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style1.xml" ContentType="application/vnd.ms-office.chartstyle+xml"/>
  <Override PartName="/word/charts/colors1.xml" ContentType="application/vnd.ms-office.chartcolorstyle+xml"/>
  <Override PartName="/word/charts/colors2.xml" ContentType="application/vnd.ms-office.chartcolorstyle+xml"/>
  <Override PartName="/word/charts/style2.xml" ContentType="application/vnd.ms-office.chartstyle+xml"/>
  <Override PartName="/word/charts/colors3.xml" ContentType="application/vnd.ms-office.chartcolorstyle+xml"/>
  <Override PartName="/word/charts/style3.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EDCA9" w14:textId="4036BE17" w:rsidR="00A26C26" w:rsidRPr="006A7DB6" w:rsidRDefault="00D2758B" w:rsidP="00A26C26">
      <w:pPr>
        <w:rPr>
          <w:rFonts w:cstheme="minorHAnsi"/>
        </w:rPr>
      </w:pPr>
      <w:r>
        <w:rPr>
          <w:rFonts w:cstheme="minorHAnsi"/>
          <w:noProof/>
          <w:lang w:eastAsia="pl-PL"/>
        </w:rPr>
        <mc:AlternateContent>
          <mc:Choice Requires="wps">
            <w:drawing>
              <wp:anchor distT="0" distB="0" distL="114300" distR="114300" simplePos="0" relativeHeight="251660288" behindDoc="0" locked="0" layoutInCell="1" allowOverlap="1" wp14:anchorId="0F274982" wp14:editId="6C818544">
                <wp:simplePos x="0" y="0"/>
                <wp:positionH relativeFrom="margin">
                  <wp:align>left</wp:align>
                </wp:positionH>
                <wp:positionV relativeFrom="paragraph">
                  <wp:posOffset>-328845</wp:posOffset>
                </wp:positionV>
                <wp:extent cx="6441743" cy="416257"/>
                <wp:effectExtent l="0" t="0" r="0" b="3175"/>
                <wp:wrapNone/>
                <wp:docPr id="6" name="Pole tekstowe 6"/>
                <wp:cNvGraphicFramePr/>
                <a:graphic xmlns:a="http://schemas.openxmlformats.org/drawingml/2006/main">
                  <a:graphicData uri="http://schemas.microsoft.com/office/word/2010/wordprocessingShape">
                    <wps:wsp>
                      <wps:cNvSpPr txBox="1"/>
                      <wps:spPr>
                        <a:xfrm>
                          <a:off x="0" y="0"/>
                          <a:ext cx="6441743" cy="41625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0D2E4D" w14:textId="77777777" w:rsidR="00137086" w:rsidRDefault="00137086" w:rsidP="000F0B6A">
                            <w:pPr>
                              <w:jc w:val="right"/>
                              <w:rPr>
                                <w:sz w:val="20"/>
                                <w:szCs w:val="20"/>
                              </w:rPr>
                            </w:pPr>
                            <w:r w:rsidRPr="000F0B6A">
                              <w:rPr>
                                <w:sz w:val="20"/>
                                <w:szCs w:val="20"/>
                              </w:rPr>
                              <w:t xml:space="preserve">Załącznik nr 1 </w:t>
                            </w:r>
                          </w:p>
                          <w:p w14:paraId="18C904D1" w14:textId="4EA11F66" w:rsidR="00137086" w:rsidRPr="000F0B6A" w:rsidRDefault="00137086" w:rsidP="000F0B6A">
                            <w:pPr>
                              <w:jc w:val="right"/>
                              <w:rPr>
                                <w:sz w:val="20"/>
                                <w:szCs w:val="20"/>
                              </w:rPr>
                            </w:pPr>
                            <w:r w:rsidRPr="000F0B6A">
                              <w:rPr>
                                <w:sz w:val="20"/>
                                <w:szCs w:val="20"/>
                              </w:rPr>
                              <w:t>d</w:t>
                            </w:r>
                            <w:r>
                              <w:rPr>
                                <w:sz w:val="20"/>
                                <w:szCs w:val="20"/>
                              </w:rPr>
                              <w:t>o Uchwały nr 1/06/2026 z dnia ……………...2026</w:t>
                            </w:r>
                            <w:r w:rsidRPr="000F0B6A">
                              <w:rPr>
                                <w:sz w:val="20"/>
                                <w:szCs w:val="20"/>
                              </w:rPr>
                              <w:t xml:space="preserve"> roku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6" o:spid="_x0000_s1026" type="#_x0000_t202" style="position:absolute;margin-left:0;margin-top:-25.9pt;width:507.2pt;height:32.8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" fillcolor="white [3201]" stroked="f" strokeweight=".5pt">
                <v:textbox>
                  <w:txbxContent>
                    <w:p w14:paraId="750D2E4D" w14:textId="77777777" w:rsidR="00137086" w:rsidRDefault="00137086" w:rsidP="000F0B6A">
                      <w:pPr>
                        <w:jc w:val="right"/>
                        <w:rPr>
                          <w:sz w:val="20"/>
                          <w:szCs w:val="20"/>
                        </w:rPr>
                      </w:pPr>
                      <w:r w:rsidRPr="000F0B6A">
                        <w:rPr>
                          <w:sz w:val="20"/>
                          <w:szCs w:val="20"/>
                        </w:rPr>
                        <w:t xml:space="preserve">Załącznik nr 1 </w:t>
                      </w:r>
                    </w:p>
                    <w:p w14:paraId="18C904D1" w14:textId="4EA11F66" w:rsidR="00137086" w:rsidRPr="000F0B6A" w:rsidRDefault="00137086" w:rsidP="000F0B6A">
                      <w:pPr>
                        <w:jc w:val="right"/>
                        <w:rPr>
                          <w:sz w:val="20"/>
                          <w:szCs w:val="20"/>
                        </w:rPr>
                      </w:pPr>
                      <w:r w:rsidRPr="000F0B6A">
                        <w:rPr>
                          <w:sz w:val="20"/>
                          <w:szCs w:val="20"/>
                        </w:rPr>
                        <w:t>d</w:t>
                      </w:r>
                      <w:r>
                        <w:rPr>
                          <w:sz w:val="20"/>
                          <w:szCs w:val="20"/>
                        </w:rPr>
                        <w:t>o Uchwały nr 1/06/2026 z dnia ……………...2026</w:t>
                      </w:r>
                      <w:r w:rsidRPr="000F0B6A">
                        <w:rPr>
                          <w:sz w:val="20"/>
                          <w:szCs w:val="20"/>
                        </w:rPr>
                        <w:t xml:space="preserve"> roku</w:t>
                      </w:r>
                    </w:p>
                  </w:txbxContent>
                </v:textbox>
                <w10:wrap anchorx="margin"/>
              </v:shape>
            </w:pict>
          </mc:Fallback>
        </mc:AlternateContent>
      </w:r>
      <w:r w:rsidR="00C136C4">
        <w:rPr>
          <w:rFonts w:cstheme="minorHAnsi"/>
          <w:noProof/>
          <w:lang w:eastAsia="pl-PL"/>
        </w:rPr>
        <mc:AlternateContent>
          <mc:Choice Requires="wps">
            <w:drawing>
              <wp:anchor distT="0" distB="0" distL="114300" distR="114300" simplePos="0" relativeHeight="251659264" behindDoc="0" locked="0" layoutInCell="1" allowOverlap="1" wp14:anchorId="153AC18C" wp14:editId="42089A24">
                <wp:simplePos x="0" y="0"/>
                <wp:positionH relativeFrom="column">
                  <wp:posOffset>5055197</wp:posOffset>
                </wp:positionH>
                <wp:positionV relativeFrom="paragraph">
                  <wp:posOffset>148827</wp:posOffset>
                </wp:positionV>
                <wp:extent cx="102358" cy="545910"/>
                <wp:effectExtent l="0" t="0" r="0" b="6985"/>
                <wp:wrapNone/>
                <wp:docPr id="2" name="Pole tekstowe 2"/>
                <wp:cNvGraphicFramePr/>
                <a:graphic xmlns:a="http://schemas.openxmlformats.org/drawingml/2006/main">
                  <a:graphicData uri="http://schemas.microsoft.com/office/word/2010/wordprocessingShape">
                    <wps:wsp>
                      <wps:cNvSpPr txBox="1"/>
                      <wps:spPr>
                        <a:xfrm>
                          <a:off x="0" y="0"/>
                          <a:ext cx="102358" cy="545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572933" w14:textId="77777777" w:rsidR="00137086" w:rsidRDefault="001370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Pole tekstowe 2" o:spid="_x0000_s1027" type="#_x0000_t202" style="position:absolute;margin-left:398.05pt;margin-top:11.7pt;width:8.05pt;height:4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" filled="f" stroked="f" strokeweight=".5pt">
                <v:textbox>
                  <w:txbxContent>
                    <w:p w14:paraId="5C572933" w14:textId="77777777" w:rsidR="00137086" w:rsidRDefault="00137086"/>
                  </w:txbxContent>
                </v:textbox>
              </v:shape>
            </w:pict>
          </mc:Fallback>
        </mc:AlternateContent>
      </w:r>
      <w:r w:rsidR="00A26C26" w:rsidRPr="006A7DB6">
        <w:rPr>
          <w:rFonts w:cstheme="minorHAnsi"/>
          <w:noProof/>
          <w:lang w:eastAsia="pl-PL"/>
        </w:rPr>
        <w:drawing>
          <wp:inline distT="0" distB="0" distL="0" distR="0" wp14:anchorId="77C42AD7" wp14:editId="5AFC4533">
            <wp:extent cx="6538754" cy="752475"/>
            <wp:effectExtent l="0" t="0" r="0" b="0"/>
            <wp:docPr id="3" name="Obraz 3">
              <a:extLst xmlns:a="http://schemas.openxmlformats.org/drawingml/2006/main">
                <a:ext uri="{FF2B5EF4-FFF2-40B4-BE49-F238E27FC236}">
                  <a16:creationId xmlns:w15="http://schemas.microsoft.com/office/word/2012/wordml"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9BC3240C-8C2A-4026-AA0F-E87E229CC5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3">
                      <a:extLst>
                        <a:ext uri="{FF2B5EF4-FFF2-40B4-BE49-F238E27FC236}">
                          <a16:creationId xmlns:w15="http://schemas.microsoft.com/office/word/2012/wordml"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9BC3240C-8C2A-4026-AA0F-E87E229CC52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55598" cy="765921"/>
                    </a:xfrm>
                    <a:prstGeom prst="rect">
                      <a:avLst/>
                    </a:prstGeom>
                  </pic:spPr>
                </pic:pic>
              </a:graphicData>
            </a:graphic>
          </wp:inline>
        </w:drawing>
      </w:r>
    </w:p>
    <w:p w14:paraId="2DFFD35F" w14:textId="77777777" w:rsidR="000A61F4" w:rsidRDefault="000A61F4" w:rsidP="000A61F4">
      <w:pPr>
        <w:spacing w:after="160" w:line="259" w:lineRule="auto"/>
        <w:rPr>
          <w:rFonts w:ascii="Calibri" w:eastAsia="Calibri" w:hAnsi="Calibri" w:cs="Times New Roman"/>
          <w:b/>
          <w:kern w:val="0"/>
          <w:sz w:val="52"/>
          <w:szCs w:val="52"/>
          <w14:ligatures w14:val="none"/>
        </w:rPr>
      </w:pPr>
    </w:p>
    <w:p w14:paraId="3FC4C30B" w14:textId="77777777" w:rsidR="00A26C26" w:rsidRDefault="00A26C26" w:rsidP="000A61F4">
      <w:pPr>
        <w:spacing w:after="160" w:line="259" w:lineRule="auto"/>
        <w:rPr>
          <w:rFonts w:ascii="Calibri" w:eastAsia="Calibri" w:hAnsi="Calibri" w:cs="Times New Roman"/>
          <w:b/>
          <w:kern w:val="0"/>
          <w:sz w:val="52"/>
          <w:szCs w:val="52"/>
          <w14:ligatures w14:val="none"/>
        </w:rPr>
      </w:pPr>
    </w:p>
    <w:p w14:paraId="69FB5330" w14:textId="77777777" w:rsidR="00A26C26" w:rsidRDefault="00A26C26" w:rsidP="000A61F4">
      <w:pPr>
        <w:spacing w:after="160" w:line="259" w:lineRule="auto"/>
        <w:rPr>
          <w:rFonts w:ascii="Calibri" w:eastAsia="Calibri" w:hAnsi="Calibri" w:cs="Times New Roman"/>
          <w:b/>
          <w:kern w:val="0"/>
          <w:sz w:val="52"/>
          <w:szCs w:val="52"/>
          <w14:ligatures w14:val="none"/>
        </w:rPr>
      </w:pPr>
    </w:p>
    <w:p w14:paraId="1B999416" w14:textId="77777777" w:rsidR="00A26C26" w:rsidRDefault="00A26C26" w:rsidP="000A61F4">
      <w:pPr>
        <w:spacing w:after="160" w:line="259" w:lineRule="auto"/>
        <w:rPr>
          <w:rFonts w:ascii="Calibri" w:eastAsia="Calibri" w:hAnsi="Calibri" w:cs="Times New Roman"/>
          <w:b/>
          <w:kern w:val="0"/>
          <w:sz w:val="52"/>
          <w:szCs w:val="52"/>
          <w14:ligatures w14:val="none"/>
        </w:rPr>
      </w:pPr>
    </w:p>
    <w:p w14:paraId="4CB540D4" w14:textId="77777777" w:rsidR="00A26C26" w:rsidRPr="000A61F4" w:rsidRDefault="00A26C26" w:rsidP="000A61F4">
      <w:pPr>
        <w:spacing w:after="160" w:line="259" w:lineRule="auto"/>
        <w:rPr>
          <w:rFonts w:ascii="Calibri" w:eastAsia="Calibri" w:hAnsi="Calibri" w:cs="Times New Roman"/>
          <w:b/>
          <w:kern w:val="0"/>
          <w:sz w:val="52"/>
          <w:szCs w:val="52"/>
          <w14:ligatures w14:val="none"/>
        </w:rPr>
      </w:pPr>
    </w:p>
    <w:p w14:paraId="4A5CBB54" w14:textId="30007DBB" w:rsidR="000A61F4" w:rsidRPr="000A61F4" w:rsidRDefault="000A61F4" w:rsidP="000A61F4">
      <w:pPr>
        <w:spacing w:after="160" w:line="259" w:lineRule="auto"/>
        <w:jc w:val="center"/>
        <w:rPr>
          <w:rFonts w:ascii="Calibri" w:eastAsia="Calibri" w:hAnsi="Calibri" w:cs="Times New Roman"/>
          <w:b/>
          <w:kern w:val="0"/>
          <w:sz w:val="52"/>
          <w:szCs w:val="52"/>
          <w14:ligatures w14:val="none"/>
        </w:rPr>
      </w:pPr>
      <w:r w:rsidRPr="000A61F4">
        <w:rPr>
          <w:rFonts w:ascii="Calibri" w:eastAsia="Calibri" w:hAnsi="Calibri" w:cs="Times New Roman"/>
          <w:b/>
          <w:kern w:val="0"/>
          <w:sz w:val="52"/>
          <w:szCs w:val="52"/>
          <w14:ligatures w14:val="none"/>
        </w:rPr>
        <w:t>LOKALNA</w:t>
      </w:r>
      <w:r w:rsidR="003B50ED">
        <w:rPr>
          <w:rFonts w:ascii="Calibri" w:eastAsia="Calibri" w:hAnsi="Calibri" w:cs="Times New Roman"/>
          <w:b/>
          <w:kern w:val="0"/>
          <w:sz w:val="52"/>
          <w:szCs w:val="52"/>
          <w14:ligatures w14:val="none"/>
        </w:rPr>
        <w:t xml:space="preserve"> </w:t>
      </w:r>
      <w:r w:rsidRPr="000A61F4">
        <w:rPr>
          <w:rFonts w:ascii="Calibri" w:eastAsia="Calibri" w:hAnsi="Calibri" w:cs="Times New Roman"/>
          <w:b/>
          <w:kern w:val="0"/>
          <w:sz w:val="52"/>
          <w:szCs w:val="52"/>
          <w14:ligatures w14:val="none"/>
        </w:rPr>
        <w:t>STRATEGIA</w:t>
      </w:r>
      <w:r w:rsidR="003B50ED">
        <w:rPr>
          <w:rFonts w:ascii="Calibri" w:eastAsia="Calibri" w:hAnsi="Calibri" w:cs="Times New Roman"/>
          <w:b/>
          <w:kern w:val="0"/>
          <w:sz w:val="52"/>
          <w:szCs w:val="52"/>
          <w14:ligatures w14:val="none"/>
        </w:rPr>
        <w:t xml:space="preserve"> </w:t>
      </w:r>
      <w:r w:rsidRPr="000A61F4">
        <w:rPr>
          <w:rFonts w:ascii="Calibri" w:eastAsia="Calibri" w:hAnsi="Calibri" w:cs="Times New Roman"/>
          <w:b/>
          <w:kern w:val="0"/>
          <w:sz w:val="52"/>
          <w:szCs w:val="52"/>
          <w14:ligatures w14:val="none"/>
        </w:rPr>
        <w:t>ROZWOJU</w:t>
      </w:r>
    </w:p>
    <w:p w14:paraId="628B5ADB" w14:textId="7F85C604" w:rsidR="000A61F4" w:rsidRPr="000A61F4" w:rsidRDefault="000A61F4" w:rsidP="000A61F4">
      <w:pPr>
        <w:spacing w:after="160" w:line="259" w:lineRule="auto"/>
        <w:jc w:val="center"/>
        <w:rPr>
          <w:rFonts w:ascii="Calibri" w:eastAsia="Calibri" w:hAnsi="Calibri" w:cs="Times New Roman"/>
          <w:b/>
          <w:kern w:val="0"/>
          <w:sz w:val="48"/>
          <w:szCs w:val="48"/>
          <w14:ligatures w14:val="none"/>
        </w:rPr>
      </w:pPr>
      <w:r w:rsidRPr="000A61F4">
        <w:rPr>
          <w:rFonts w:ascii="Calibri" w:eastAsia="Calibri" w:hAnsi="Calibri" w:cs="Times New Roman"/>
          <w:b/>
          <w:kern w:val="0"/>
          <w:sz w:val="48"/>
          <w:szCs w:val="48"/>
          <w14:ligatures w14:val="none"/>
        </w:rPr>
        <w:t>Stowarzyszenia</w:t>
      </w:r>
      <w:r w:rsidR="003B50ED">
        <w:rPr>
          <w:rFonts w:ascii="Calibri" w:eastAsia="Calibri" w:hAnsi="Calibri" w:cs="Times New Roman"/>
          <w:b/>
          <w:kern w:val="0"/>
          <w:sz w:val="48"/>
          <w:szCs w:val="48"/>
          <w14:ligatures w14:val="none"/>
        </w:rPr>
        <w:t xml:space="preserve"> </w:t>
      </w:r>
      <w:r w:rsidRPr="000A61F4">
        <w:rPr>
          <w:rFonts w:ascii="Calibri" w:eastAsia="Calibri" w:hAnsi="Calibri" w:cs="Times New Roman"/>
          <w:b/>
          <w:kern w:val="0"/>
          <w:sz w:val="48"/>
          <w:szCs w:val="48"/>
          <w14:ligatures w14:val="none"/>
        </w:rPr>
        <w:t>„Solidarni</w:t>
      </w:r>
      <w:r w:rsidR="003B50ED">
        <w:rPr>
          <w:rFonts w:ascii="Calibri" w:eastAsia="Calibri" w:hAnsi="Calibri" w:cs="Times New Roman"/>
          <w:b/>
          <w:kern w:val="0"/>
          <w:sz w:val="48"/>
          <w:szCs w:val="48"/>
          <w14:ligatures w14:val="none"/>
        </w:rPr>
        <w:t xml:space="preserve"> </w:t>
      </w:r>
      <w:r w:rsidRPr="000A61F4">
        <w:rPr>
          <w:rFonts w:ascii="Calibri" w:eastAsia="Calibri" w:hAnsi="Calibri" w:cs="Times New Roman"/>
          <w:b/>
          <w:kern w:val="0"/>
          <w:sz w:val="48"/>
          <w:szCs w:val="48"/>
          <w14:ligatures w14:val="none"/>
        </w:rPr>
        <w:t>w</w:t>
      </w:r>
      <w:r w:rsidR="003B50ED">
        <w:rPr>
          <w:rFonts w:ascii="Calibri" w:eastAsia="Calibri" w:hAnsi="Calibri" w:cs="Times New Roman"/>
          <w:b/>
          <w:kern w:val="0"/>
          <w:sz w:val="48"/>
          <w:szCs w:val="48"/>
          <w14:ligatures w14:val="none"/>
        </w:rPr>
        <w:t xml:space="preserve"> </w:t>
      </w:r>
      <w:r w:rsidRPr="000A61F4">
        <w:rPr>
          <w:rFonts w:ascii="Calibri" w:eastAsia="Calibri" w:hAnsi="Calibri" w:cs="Times New Roman"/>
          <w:b/>
          <w:kern w:val="0"/>
          <w:sz w:val="48"/>
          <w:szCs w:val="48"/>
          <w14:ligatures w14:val="none"/>
        </w:rPr>
        <w:t>Partnerstwie”</w:t>
      </w:r>
    </w:p>
    <w:p w14:paraId="17297F7E" w14:textId="256AC32E" w:rsidR="000A61F4" w:rsidRPr="000A61F4" w:rsidRDefault="000A61F4" w:rsidP="000A61F4">
      <w:pPr>
        <w:spacing w:after="160" w:line="259" w:lineRule="auto"/>
        <w:jc w:val="center"/>
        <w:rPr>
          <w:rFonts w:ascii="Calibri" w:eastAsia="Calibri" w:hAnsi="Calibri" w:cs="Times New Roman"/>
          <w:b/>
          <w:kern w:val="0"/>
          <w:sz w:val="52"/>
          <w:szCs w:val="52"/>
          <w14:ligatures w14:val="none"/>
        </w:rPr>
      </w:pPr>
      <w:r w:rsidRPr="000A61F4">
        <w:rPr>
          <w:rFonts w:ascii="Calibri" w:eastAsia="Calibri" w:hAnsi="Calibri" w:cs="Times New Roman"/>
          <w:b/>
          <w:kern w:val="0"/>
          <w:sz w:val="52"/>
          <w:szCs w:val="52"/>
          <w14:ligatures w14:val="none"/>
        </w:rPr>
        <w:t>na</w:t>
      </w:r>
      <w:r w:rsidR="003B50ED">
        <w:rPr>
          <w:rFonts w:ascii="Calibri" w:eastAsia="Calibri" w:hAnsi="Calibri" w:cs="Times New Roman"/>
          <w:b/>
          <w:kern w:val="0"/>
          <w:sz w:val="52"/>
          <w:szCs w:val="52"/>
          <w14:ligatures w14:val="none"/>
        </w:rPr>
        <w:t xml:space="preserve"> </w:t>
      </w:r>
      <w:r w:rsidRPr="000A61F4">
        <w:rPr>
          <w:rFonts w:ascii="Calibri" w:eastAsia="Calibri" w:hAnsi="Calibri" w:cs="Times New Roman"/>
          <w:b/>
          <w:kern w:val="0"/>
          <w:sz w:val="52"/>
          <w:szCs w:val="52"/>
          <w14:ligatures w14:val="none"/>
        </w:rPr>
        <w:t>lata</w:t>
      </w:r>
      <w:r w:rsidR="003B50ED">
        <w:rPr>
          <w:rFonts w:ascii="Calibri" w:eastAsia="Calibri" w:hAnsi="Calibri" w:cs="Times New Roman"/>
          <w:b/>
          <w:kern w:val="0"/>
          <w:sz w:val="52"/>
          <w:szCs w:val="52"/>
          <w14:ligatures w14:val="none"/>
        </w:rPr>
        <w:t xml:space="preserve"> </w:t>
      </w:r>
      <w:r w:rsidRPr="000A61F4">
        <w:rPr>
          <w:rFonts w:ascii="Calibri" w:eastAsia="Calibri" w:hAnsi="Calibri" w:cs="Times New Roman"/>
          <w:b/>
          <w:kern w:val="0"/>
          <w:sz w:val="52"/>
          <w:szCs w:val="52"/>
          <w14:ligatures w14:val="none"/>
        </w:rPr>
        <w:t>2023</w:t>
      </w:r>
      <w:r w:rsidR="003B50ED">
        <w:rPr>
          <w:rFonts w:ascii="Calibri" w:eastAsia="Calibri" w:hAnsi="Calibri" w:cs="Times New Roman"/>
          <w:b/>
          <w:kern w:val="0"/>
          <w:sz w:val="52"/>
          <w:szCs w:val="52"/>
          <w14:ligatures w14:val="none"/>
        </w:rPr>
        <w:t xml:space="preserve"> </w:t>
      </w:r>
      <w:r w:rsidRPr="000A61F4">
        <w:rPr>
          <w:rFonts w:ascii="Calibri" w:eastAsia="Calibri" w:hAnsi="Calibri" w:cs="Times New Roman"/>
          <w:b/>
          <w:kern w:val="0"/>
          <w:sz w:val="52"/>
          <w:szCs w:val="52"/>
          <w14:ligatures w14:val="none"/>
        </w:rPr>
        <w:t>–</w:t>
      </w:r>
      <w:r w:rsidR="003B50ED">
        <w:rPr>
          <w:rFonts w:ascii="Calibri" w:eastAsia="Calibri" w:hAnsi="Calibri" w:cs="Times New Roman"/>
          <w:b/>
          <w:kern w:val="0"/>
          <w:sz w:val="52"/>
          <w:szCs w:val="52"/>
          <w14:ligatures w14:val="none"/>
        </w:rPr>
        <w:t xml:space="preserve"> </w:t>
      </w:r>
      <w:r w:rsidRPr="000A61F4">
        <w:rPr>
          <w:rFonts w:ascii="Calibri" w:eastAsia="Calibri" w:hAnsi="Calibri" w:cs="Times New Roman"/>
          <w:b/>
          <w:kern w:val="0"/>
          <w:sz w:val="52"/>
          <w:szCs w:val="52"/>
          <w14:ligatures w14:val="none"/>
        </w:rPr>
        <w:t>2027</w:t>
      </w:r>
    </w:p>
    <w:p w14:paraId="2E0CC8E2" w14:textId="77777777" w:rsidR="000A61F4" w:rsidRPr="000A61F4" w:rsidRDefault="000A61F4" w:rsidP="000A61F4">
      <w:pPr>
        <w:spacing w:after="160" w:line="259" w:lineRule="auto"/>
        <w:rPr>
          <w:rFonts w:ascii="Calibri" w:eastAsia="Calibri" w:hAnsi="Calibri" w:cs="Times New Roman"/>
          <w:b/>
          <w:kern w:val="0"/>
          <w:sz w:val="52"/>
          <w:szCs w:val="52"/>
          <w14:ligatures w14:val="none"/>
        </w:rPr>
      </w:pPr>
    </w:p>
    <w:p w14:paraId="3B836436" w14:textId="77777777" w:rsidR="000A61F4" w:rsidRPr="000A61F4" w:rsidRDefault="000A61F4" w:rsidP="000A61F4">
      <w:pPr>
        <w:spacing w:after="160" w:line="259" w:lineRule="auto"/>
        <w:jc w:val="center"/>
        <w:rPr>
          <w:rFonts w:ascii="Calibri" w:eastAsia="Calibri" w:hAnsi="Calibri" w:cs="Times New Roman"/>
          <w:b/>
          <w:kern w:val="0"/>
          <w:sz w:val="52"/>
          <w:szCs w:val="52"/>
          <w14:ligatures w14:val="none"/>
        </w:rPr>
      </w:pPr>
      <w:r w:rsidRPr="000A61F4">
        <w:rPr>
          <w:rFonts w:ascii="Calibri" w:eastAsia="Calibri" w:hAnsi="Calibri" w:cs="Times New Roman"/>
          <w:b/>
          <w:noProof/>
          <w:kern w:val="0"/>
          <w:sz w:val="52"/>
          <w:szCs w:val="52"/>
          <w:lang w:eastAsia="pl-PL"/>
          <w14:ligatures w14:val="none"/>
        </w:rPr>
        <w:drawing>
          <wp:inline distT="0" distB="0" distL="0" distR="0" wp14:anchorId="056EFF97" wp14:editId="0700053F">
            <wp:extent cx="2156773" cy="2180474"/>
            <wp:effectExtent l="0" t="0" r="0" b="0"/>
            <wp:docPr id="1" name="Obraz 1" descr="X:\LOGA\LOGO SSWP 2006-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LOGA\LOGO SSWP 2006-00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5508" cy="2199415"/>
                    </a:xfrm>
                    <a:prstGeom prst="rect">
                      <a:avLst/>
                    </a:prstGeom>
                    <a:noFill/>
                    <a:ln>
                      <a:noFill/>
                    </a:ln>
                  </pic:spPr>
                </pic:pic>
              </a:graphicData>
            </a:graphic>
          </wp:inline>
        </w:drawing>
      </w:r>
    </w:p>
    <w:p w14:paraId="3AA84ADA" w14:textId="77777777" w:rsidR="000A61F4" w:rsidRPr="00A26C26" w:rsidRDefault="000A61F4" w:rsidP="000A61F4">
      <w:pPr>
        <w:spacing w:after="160" w:line="259" w:lineRule="auto"/>
        <w:jc w:val="center"/>
        <w:rPr>
          <w:rFonts w:ascii="Calibri" w:eastAsia="Calibri" w:hAnsi="Calibri" w:cs="Times New Roman"/>
          <w:b/>
          <w:kern w:val="0"/>
          <w:sz w:val="28"/>
          <w:szCs w:val="28"/>
          <w14:ligatures w14:val="none"/>
        </w:rPr>
      </w:pPr>
    </w:p>
    <w:p w14:paraId="654C61DD" w14:textId="77777777" w:rsidR="000A61F4" w:rsidRPr="00A26C26" w:rsidRDefault="000A61F4" w:rsidP="000A61F4">
      <w:pPr>
        <w:spacing w:after="160" w:line="259" w:lineRule="auto"/>
        <w:jc w:val="center"/>
        <w:rPr>
          <w:rFonts w:ascii="Calibri" w:eastAsia="Calibri" w:hAnsi="Calibri" w:cs="Times New Roman"/>
          <w:b/>
          <w:kern w:val="0"/>
          <w:sz w:val="28"/>
          <w:szCs w:val="28"/>
          <w14:ligatures w14:val="none"/>
        </w:rPr>
      </w:pPr>
    </w:p>
    <w:p w14:paraId="3E533EDE" w14:textId="77777777" w:rsidR="000A61F4" w:rsidRDefault="000A61F4" w:rsidP="000A61F4">
      <w:pPr>
        <w:spacing w:after="160" w:line="259" w:lineRule="auto"/>
        <w:rPr>
          <w:rFonts w:ascii="Calibri" w:eastAsia="Calibri" w:hAnsi="Calibri" w:cs="Times New Roman"/>
          <w:b/>
          <w:kern w:val="0"/>
          <w:sz w:val="28"/>
          <w:szCs w:val="28"/>
          <w14:ligatures w14:val="none"/>
        </w:rPr>
      </w:pPr>
    </w:p>
    <w:p w14:paraId="26D5E781" w14:textId="77777777" w:rsidR="00D2758B" w:rsidRPr="00A26C26" w:rsidRDefault="00D2758B" w:rsidP="000A61F4">
      <w:pPr>
        <w:spacing w:after="160" w:line="259" w:lineRule="auto"/>
        <w:rPr>
          <w:rFonts w:ascii="Calibri" w:eastAsia="Calibri" w:hAnsi="Calibri" w:cs="Times New Roman"/>
          <w:b/>
          <w:kern w:val="0"/>
          <w:sz w:val="28"/>
          <w:szCs w:val="28"/>
          <w14:ligatures w14:val="none"/>
        </w:rPr>
      </w:pPr>
    </w:p>
    <w:p w14:paraId="5FB58081" w14:textId="3E76B221" w:rsidR="007E3E1A" w:rsidRDefault="000A61F4" w:rsidP="00315C5A">
      <w:pPr>
        <w:spacing w:after="160" w:line="259" w:lineRule="auto"/>
        <w:jc w:val="center"/>
        <w:rPr>
          <w:rFonts w:asciiTheme="majorHAnsi" w:eastAsiaTheme="majorEastAsia" w:hAnsiTheme="majorHAnsi" w:cstheme="majorBidi"/>
          <w:b/>
          <w:bCs/>
          <w:color w:val="2F5496" w:themeColor="accent1" w:themeShade="BF"/>
        </w:rPr>
      </w:pPr>
      <w:r w:rsidRPr="00A26C26">
        <w:rPr>
          <w:rFonts w:ascii="Calibri" w:eastAsia="Calibri" w:hAnsi="Calibri" w:cs="Times New Roman"/>
          <w:b/>
          <w:kern w:val="0"/>
          <w:sz w:val="28"/>
          <w:szCs w:val="28"/>
          <w14:ligatures w14:val="none"/>
        </w:rPr>
        <w:t>Czerwiec</w:t>
      </w:r>
      <w:r w:rsidR="003B50ED">
        <w:rPr>
          <w:rFonts w:ascii="Calibri" w:eastAsia="Calibri" w:hAnsi="Calibri" w:cs="Times New Roman"/>
          <w:b/>
          <w:kern w:val="0"/>
          <w:sz w:val="28"/>
          <w:szCs w:val="28"/>
          <w14:ligatures w14:val="none"/>
        </w:rPr>
        <w:t xml:space="preserve"> </w:t>
      </w:r>
      <w:r w:rsidRPr="00A26C26">
        <w:rPr>
          <w:rFonts w:ascii="Calibri" w:eastAsia="Calibri" w:hAnsi="Calibri" w:cs="Times New Roman"/>
          <w:b/>
          <w:kern w:val="0"/>
          <w:sz w:val="28"/>
          <w:szCs w:val="28"/>
          <w14:ligatures w14:val="none"/>
        </w:rPr>
        <w:t>2023</w:t>
      </w:r>
      <w:bookmarkStart w:id="0" w:name="_Toc136260181"/>
      <w:r w:rsidR="007E3E1A">
        <w:rPr>
          <w:b/>
          <w:bCs/>
        </w:rPr>
        <w:br w:type="page"/>
      </w:r>
    </w:p>
    <w:sdt>
      <w:sdtPr>
        <w:rPr>
          <w:rFonts w:asciiTheme="minorHAnsi" w:eastAsiaTheme="minorHAnsi" w:hAnsiTheme="minorHAnsi" w:cstheme="minorBidi"/>
          <w:color w:val="auto"/>
          <w:kern w:val="2"/>
          <w:sz w:val="22"/>
          <w:szCs w:val="22"/>
          <w:lang w:eastAsia="en-US"/>
          <w14:ligatures w14:val="standardContextual"/>
        </w:rPr>
        <w:id w:val="967550559"/>
        <w:docPartObj>
          <w:docPartGallery w:val="Table of Contents"/>
          <w:docPartUnique/>
        </w:docPartObj>
      </w:sdtPr>
      <w:sdtEndPr>
        <w:rPr>
          <w:b/>
          <w:bCs/>
        </w:rPr>
      </w:sdtEndPr>
      <w:sdtContent>
        <w:p w14:paraId="2AB2DEEB" w14:textId="6F5C0A64" w:rsidR="007E3E1A" w:rsidRDefault="007E3E1A">
          <w:pPr>
            <w:pStyle w:val="Nagwekspisutreci"/>
          </w:pPr>
          <w:r>
            <w:t>Spis</w:t>
          </w:r>
          <w:r w:rsidR="003B50ED">
            <w:t xml:space="preserve"> </w:t>
          </w:r>
          <w:r>
            <w:t>treści</w:t>
          </w:r>
        </w:p>
        <w:p w14:paraId="532E7D64" w14:textId="5A8B7B1E" w:rsidR="00BD17DA" w:rsidRDefault="007E3E1A">
          <w:pPr>
            <w:pStyle w:val="Spistreci1"/>
            <w:tabs>
              <w:tab w:val="right" w:leader="dot" w:pos="10194"/>
            </w:tabs>
            <w:rPr>
              <w:rFonts w:eastAsiaTheme="minorEastAsia"/>
              <w:noProof/>
              <w:lang w:eastAsia="pl-PL"/>
            </w:rPr>
          </w:pPr>
          <w:r>
            <w:fldChar w:fldCharType="begin"/>
          </w:r>
          <w:r>
            <w:instrText xml:space="preserve"> TOC \o "1-3" \h \z \u </w:instrText>
          </w:r>
          <w:r>
            <w:fldChar w:fldCharType="separate"/>
          </w:r>
          <w:hyperlink w:anchor="_Toc136944391" w:history="1">
            <w:r w:rsidR="00BD17DA" w:rsidRPr="00115D73">
              <w:rPr>
                <w:rStyle w:val="Hipercze"/>
                <w:rFonts w:cstheme="minorHAnsi"/>
                <w:b/>
                <w:bCs/>
                <w:noProof/>
              </w:rPr>
              <w:t>ROZDZIAŁ I. CHARAKTERYSTYKA PARTNERSTWA LOKALNEGO</w:t>
            </w:r>
            <w:r w:rsidR="00BD17DA">
              <w:rPr>
                <w:noProof/>
                <w:webHidden/>
              </w:rPr>
              <w:tab/>
            </w:r>
            <w:r w:rsidR="00BD17DA">
              <w:rPr>
                <w:noProof/>
                <w:webHidden/>
              </w:rPr>
              <w:fldChar w:fldCharType="begin"/>
            </w:r>
            <w:r w:rsidR="00BD17DA">
              <w:rPr>
                <w:noProof/>
                <w:webHidden/>
              </w:rPr>
              <w:instrText xml:space="preserve"> PAGEREF _Toc136944391 \h </w:instrText>
            </w:r>
            <w:r w:rsidR="00BD17DA">
              <w:rPr>
                <w:noProof/>
                <w:webHidden/>
              </w:rPr>
            </w:r>
            <w:r w:rsidR="00BD17DA">
              <w:rPr>
                <w:noProof/>
                <w:webHidden/>
              </w:rPr>
              <w:fldChar w:fldCharType="separate"/>
            </w:r>
            <w:r w:rsidR="00C84953">
              <w:rPr>
                <w:noProof/>
                <w:webHidden/>
              </w:rPr>
              <w:t>4</w:t>
            </w:r>
            <w:r w:rsidR="00BD17DA">
              <w:rPr>
                <w:noProof/>
                <w:webHidden/>
              </w:rPr>
              <w:fldChar w:fldCharType="end"/>
            </w:r>
          </w:hyperlink>
        </w:p>
        <w:p w14:paraId="398D51AD" w14:textId="33410F9F" w:rsidR="00BD17DA" w:rsidRDefault="00942705">
          <w:pPr>
            <w:pStyle w:val="Spistreci2"/>
            <w:tabs>
              <w:tab w:val="left" w:pos="660"/>
              <w:tab w:val="right" w:leader="dot" w:pos="10194"/>
            </w:tabs>
            <w:rPr>
              <w:rFonts w:eastAsiaTheme="minorEastAsia"/>
              <w:noProof/>
              <w:lang w:eastAsia="pl-PL"/>
            </w:rPr>
          </w:pPr>
          <w:hyperlink w:anchor="_Toc136944392" w:history="1">
            <w:r w:rsidR="00BD17DA" w:rsidRPr="00115D73">
              <w:rPr>
                <w:rStyle w:val="Hipercze"/>
                <w:rFonts w:cstheme="minorHAnsi"/>
                <w:b/>
                <w:bCs/>
                <w:noProof/>
              </w:rPr>
              <w:t>1.</w:t>
            </w:r>
            <w:r w:rsidR="00BD17DA">
              <w:rPr>
                <w:rFonts w:eastAsiaTheme="minorEastAsia"/>
                <w:noProof/>
                <w:lang w:eastAsia="pl-PL"/>
              </w:rPr>
              <w:tab/>
            </w:r>
            <w:r w:rsidR="00BD17DA" w:rsidRPr="00115D73">
              <w:rPr>
                <w:rStyle w:val="Hipercze"/>
                <w:rFonts w:cstheme="minorHAnsi"/>
                <w:b/>
                <w:bCs/>
                <w:noProof/>
              </w:rPr>
              <w:t>Nazwa i forma prawna</w:t>
            </w:r>
            <w:r w:rsidR="00BD17DA">
              <w:rPr>
                <w:noProof/>
                <w:webHidden/>
              </w:rPr>
              <w:tab/>
            </w:r>
            <w:r w:rsidR="00BD17DA">
              <w:rPr>
                <w:noProof/>
                <w:webHidden/>
              </w:rPr>
              <w:fldChar w:fldCharType="begin"/>
            </w:r>
            <w:r w:rsidR="00BD17DA">
              <w:rPr>
                <w:noProof/>
                <w:webHidden/>
              </w:rPr>
              <w:instrText xml:space="preserve"> PAGEREF _Toc136944392 \h </w:instrText>
            </w:r>
            <w:r w:rsidR="00BD17DA">
              <w:rPr>
                <w:noProof/>
                <w:webHidden/>
              </w:rPr>
            </w:r>
            <w:r w:rsidR="00BD17DA">
              <w:rPr>
                <w:noProof/>
                <w:webHidden/>
              </w:rPr>
              <w:fldChar w:fldCharType="separate"/>
            </w:r>
            <w:r w:rsidR="00C84953">
              <w:rPr>
                <w:noProof/>
                <w:webHidden/>
              </w:rPr>
              <w:t>4</w:t>
            </w:r>
            <w:r w:rsidR="00BD17DA">
              <w:rPr>
                <w:noProof/>
                <w:webHidden/>
              </w:rPr>
              <w:fldChar w:fldCharType="end"/>
            </w:r>
          </w:hyperlink>
        </w:p>
        <w:p w14:paraId="7D832659" w14:textId="08B2AA75" w:rsidR="00BD17DA" w:rsidRDefault="00942705">
          <w:pPr>
            <w:pStyle w:val="Spistreci2"/>
            <w:tabs>
              <w:tab w:val="left" w:pos="660"/>
              <w:tab w:val="right" w:leader="dot" w:pos="10194"/>
            </w:tabs>
            <w:rPr>
              <w:rFonts w:eastAsiaTheme="minorEastAsia"/>
              <w:noProof/>
              <w:lang w:eastAsia="pl-PL"/>
            </w:rPr>
          </w:pPr>
          <w:hyperlink w:anchor="_Toc136944393" w:history="1">
            <w:r w:rsidR="00BD17DA" w:rsidRPr="00115D73">
              <w:rPr>
                <w:rStyle w:val="Hipercze"/>
                <w:rFonts w:cstheme="minorHAnsi"/>
                <w:b/>
                <w:bCs/>
                <w:noProof/>
              </w:rPr>
              <w:t>2.</w:t>
            </w:r>
            <w:r w:rsidR="00BD17DA">
              <w:rPr>
                <w:rFonts w:eastAsiaTheme="minorEastAsia"/>
                <w:noProof/>
                <w:lang w:eastAsia="pl-PL"/>
              </w:rPr>
              <w:tab/>
            </w:r>
            <w:r w:rsidR="00BD17DA" w:rsidRPr="00115D73">
              <w:rPr>
                <w:rStyle w:val="Hipercze"/>
                <w:rFonts w:cstheme="minorHAnsi"/>
                <w:b/>
                <w:bCs/>
                <w:noProof/>
              </w:rPr>
              <w:t>Proces tworzenia partnerstwa</w:t>
            </w:r>
            <w:r w:rsidR="00BD17DA">
              <w:rPr>
                <w:noProof/>
                <w:webHidden/>
              </w:rPr>
              <w:tab/>
            </w:r>
            <w:r w:rsidR="00BD17DA">
              <w:rPr>
                <w:noProof/>
                <w:webHidden/>
              </w:rPr>
              <w:fldChar w:fldCharType="begin"/>
            </w:r>
            <w:r w:rsidR="00BD17DA">
              <w:rPr>
                <w:noProof/>
                <w:webHidden/>
              </w:rPr>
              <w:instrText xml:space="preserve"> PAGEREF _Toc136944393 \h </w:instrText>
            </w:r>
            <w:r w:rsidR="00BD17DA">
              <w:rPr>
                <w:noProof/>
                <w:webHidden/>
              </w:rPr>
            </w:r>
            <w:r w:rsidR="00BD17DA">
              <w:rPr>
                <w:noProof/>
                <w:webHidden/>
              </w:rPr>
              <w:fldChar w:fldCharType="separate"/>
            </w:r>
            <w:r w:rsidR="00C84953">
              <w:rPr>
                <w:noProof/>
                <w:webHidden/>
              </w:rPr>
              <w:t>4</w:t>
            </w:r>
            <w:r w:rsidR="00BD17DA">
              <w:rPr>
                <w:noProof/>
                <w:webHidden/>
              </w:rPr>
              <w:fldChar w:fldCharType="end"/>
            </w:r>
          </w:hyperlink>
        </w:p>
        <w:p w14:paraId="2B630FA2" w14:textId="3B84D642" w:rsidR="00BD17DA" w:rsidRDefault="00942705">
          <w:pPr>
            <w:pStyle w:val="Spistreci2"/>
            <w:tabs>
              <w:tab w:val="left" w:pos="660"/>
              <w:tab w:val="right" w:leader="dot" w:pos="10194"/>
            </w:tabs>
            <w:rPr>
              <w:rFonts w:eastAsiaTheme="minorEastAsia"/>
              <w:noProof/>
              <w:lang w:eastAsia="pl-PL"/>
            </w:rPr>
          </w:pPr>
          <w:hyperlink w:anchor="_Toc136944394" w:history="1">
            <w:r w:rsidR="00BD17DA" w:rsidRPr="00115D73">
              <w:rPr>
                <w:rStyle w:val="Hipercze"/>
                <w:rFonts w:cstheme="minorHAnsi"/>
                <w:b/>
                <w:bCs/>
                <w:noProof/>
              </w:rPr>
              <w:t>3.</w:t>
            </w:r>
            <w:r w:rsidR="00BD17DA">
              <w:rPr>
                <w:rFonts w:eastAsiaTheme="minorEastAsia"/>
                <w:noProof/>
                <w:lang w:eastAsia="pl-PL"/>
              </w:rPr>
              <w:tab/>
            </w:r>
            <w:r w:rsidR="00BD17DA" w:rsidRPr="00115D73">
              <w:rPr>
                <w:rStyle w:val="Hipercze"/>
                <w:rFonts w:cstheme="minorHAnsi"/>
                <w:b/>
                <w:bCs/>
                <w:noProof/>
              </w:rPr>
              <w:t>Struktura LGD</w:t>
            </w:r>
            <w:r w:rsidR="00BD17DA">
              <w:rPr>
                <w:noProof/>
                <w:webHidden/>
              </w:rPr>
              <w:tab/>
            </w:r>
            <w:r w:rsidR="00BD17DA">
              <w:rPr>
                <w:noProof/>
                <w:webHidden/>
              </w:rPr>
              <w:fldChar w:fldCharType="begin"/>
            </w:r>
            <w:r w:rsidR="00BD17DA">
              <w:rPr>
                <w:noProof/>
                <w:webHidden/>
              </w:rPr>
              <w:instrText xml:space="preserve"> PAGEREF _Toc136944394 \h </w:instrText>
            </w:r>
            <w:r w:rsidR="00BD17DA">
              <w:rPr>
                <w:noProof/>
                <w:webHidden/>
              </w:rPr>
            </w:r>
            <w:r w:rsidR="00BD17DA">
              <w:rPr>
                <w:noProof/>
                <w:webHidden/>
              </w:rPr>
              <w:fldChar w:fldCharType="separate"/>
            </w:r>
            <w:r w:rsidR="00C84953">
              <w:rPr>
                <w:noProof/>
                <w:webHidden/>
              </w:rPr>
              <w:t>10</w:t>
            </w:r>
            <w:r w:rsidR="00BD17DA">
              <w:rPr>
                <w:noProof/>
                <w:webHidden/>
              </w:rPr>
              <w:fldChar w:fldCharType="end"/>
            </w:r>
          </w:hyperlink>
        </w:p>
        <w:p w14:paraId="125B7187" w14:textId="06A905F0" w:rsidR="00BD17DA" w:rsidRDefault="00942705">
          <w:pPr>
            <w:pStyle w:val="Spistreci2"/>
            <w:tabs>
              <w:tab w:val="left" w:pos="660"/>
              <w:tab w:val="right" w:leader="dot" w:pos="10194"/>
            </w:tabs>
            <w:rPr>
              <w:rFonts w:eastAsiaTheme="minorEastAsia"/>
              <w:noProof/>
              <w:lang w:eastAsia="pl-PL"/>
            </w:rPr>
          </w:pPr>
          <w:hyperlink w:anchor="_Toc136944395" w:history="1">
            <w:r w:rsidR="00BD17DA" w:rsidRPr="00115D73">
              <w:rPr>
                <w:rStyle w:val="Hipercze"/>
                <w:rFonts w:cstheme="minorHAnsi"/>
                <w:b/>
                <w:bCs/>
                <w:noProof/>
              </w:rPr>
              <w:t>4.</w:t>
            </w:r>
            <w:r w:rsidR="00BD17DA">
              <w:rPr>
                <w:rFonts w:eastAsiaTheme="minorEastAsia"/>
                <w:noProof/>
                <w:lang w:eastAsia="pl-PL"/>
              </w:rPr>
              <w:tab/>
            </w:r>
            <w:r w:rsidR="00BD17DA" w:rsidRPr="00115D73">
              <w:rPr>
                <w:rStyle w:val="Hipercze"/>
                <w:rFonts w:cstheme="minorHAnsi"/>
                <w:b/>
                <w:bCs/>
                <w:noProof/>
              </w:rPr>
              <w:t>Organ decyzyjny</w:t>
            </w:r>
            <w:r w:rsidR="00BD17DA">
              <w:rPr>
                <w:noProof/>
                <w:webHidden/>
              </w:rPr>
              <w:tab/>
            </w:r>
            <w:r w:rsidR="00BD17DA">
              <w:rPr>
                <w:noProof/>
                <w:webHidden/>
              </w:rPr>
              <w:fldChar w:fldCharType="begin"/>
            </w:r>
            <w:r w:rsidR="00BD17DA">
              <w:rPr>
                <w:noProof/>
                <w:webHidden/>
              </w:rPr>
              <w:instrText xml:space="preserve"> PAGEREF _Toc136944395 \h </w:instrText>
            </w:r>
            <w:r w:rsidR="00BD17DA">
              <w:rPr>
                <w:noProof/>
                <w:webHidden/>
              </w:rPr>
            </w:r>
            <w:r w:rsidR="00BD17DA">
              <w:rPr>
                <w:noProof/>
                <w:webHidden/>
              </w:rPr>
              <w:fldChar w:fldCharType="separate"/>
            </w:r>
            <w:r w:rsidR="00C84953">
              <w:rPr>
                <w:noProof/>
                <w:webHidden/>
              </w:rPr>
              <w:t>12</w:t>
            </w:r>
            <w:r w:rsidR="00BD17DA">
              <w:rPr>
                <w:noProof/>
                <w:webHidden/>
              </w:rPr>
              <w:fldChar w:fldCharType="end"/>
            </w:r>
          </w:hyperlink>
        </w:p>
        <w:p w14:paraId="591EF9F2" w14:textId="1E00F556" w:rsidR="00BD17DA" w:rsidRDefault="00942705">
          <w:pPr>
            <w:pStyle w:val="Spistreci2"/>
            <w:tabs>
              <w:tab w:val="left" w:pos="660"/>
              <w:tab w:val="right" w:leader="dot" w:pos="10194"/>
            </w:tabs>
            <w:rPr>
              <w:rFonts w:eastAsiaTheme="minorEastAsia"/>
              <w:noProof/>
              <w:lang w:eastAsia="pl-PL"/>
            </w:rPr>
          </w:pPr>
          <w:hyperlink w:anchor="_Toc136944396" w:history="1">
            <w:r w:rsidR="00BD17DA" w:rsidRPr="00115D73">
              <w:rPr>
                <w:rStyle w:val="Hipercze"/>
                <w:rFonts w:cstheme="minorHAnsi"/>
                <w:b/>
                <w:bCs/>
                <w:noProof/>
              </w:rPr>
              <w:t>5.</w:t>
            </w:r>
            <w:r w:rsidR="00BD17DA">
              <w:rPr>
                <w:rFonts w:eastAsiaTheme="minorEastAsia"/>
                <w:noProof/>
                <w:lang w:eastAsia="pl-PL"/>
              </w:rPr>
              <w:tab/>
            </w:r>
            <w:r w:rsidR="00BD17DA" w:rsidRPr="00115D73">
              <w:rPr>
                <w:rStyle w:val="Hipercze"/>
                <w:rFonts w:cstheme="minorHAnsi"/>
                <w:b/>
                <w:bCs/>
                <w:noProof/>
              </w:rPr>
              <w:t>Proces decyzyjny</w:t>
            </w:r>
            <w:r w:rsidR="00BD17DA">
              <w:rPr>
                <w:noProof/>
                <w:webHidden/>
              </w:rPr>
              <w:tab/>
            </w:r>
            <w:r w:rsidR="00BD17DA">
              <w:rPr>
                <w:noProof/>
                <w:webHidden/>
              </w:rPr>
              <w:fldChar w:fldCharType="begin"/>
            </w:r>
            <w:r w:rsidR="00BD17DA">
              <w:rPr>
                <w:noProof/>
                <w:webHidden/>
              </w:rPr>
              <w:instrText xml:space="preserve"> PAGEREF _Toc136944396 \h </w:instrText>
            </w:r>
            <w:r w:rsidR="00BD17DA">
              <w:rPr>
                <w:noProof/>
                <w:webHidden/>
              </w:rPr>
            </w:r>
            <w:r w:rsidR="00BD17DA">
              <w:rPr>
                <w:noProof/>
                <w:webHidden/>
              </w:rPr>
              <w:fldChar w:fldCharType="separate"/>
            </w:r>
            <w:r w:rsidR="00C84953">
              <w:rPr>
                <w:noProof/>
                <w:webHidden/>
              </w:rPr>
              <w:t>13</w:t>
            </w:r>
            <w:r w:rsidR="00BD17DA">
              <w:rPr>
                <w:noProof/>
                <w:webHidden/>
              </w:rPr>
              <w:fldChar w:fldCharType="end"/>
            </w:r>
          </w:hyperlink>
        </w:p>
        <w:p w14:paraId="146791B5" w14:textId="5EB33537" w:rsidR="00BD17DA" w:rsidRDefault="00942705">
          <w:pPr>
            <w:pStyle w:val="Spistreci2"/>
            <w:tabs>
              <w:tab w:val="left" w:pos="660"/>
              <w:tab w:val="right" w:leader="dot" w:pos="10194"/>
            </w:tabs>
            <w:rPr>
              <w:rFonts w:eastAsiaTheme="minorEastAsia"/>
              <w:noProof/>
              <w:lang w:eastAsia="pl-PL"/>
            </w:rPr>
          </w:pPr>
          <w:hyperlink w:anchor="_Toc136944397" w:history="1">
            <w:r w:rsidR="00BD17DA" w:rsidRPr="00115D73">
              <w:rPr>
                <w:rStyle w:val="Hipercze"/>
                <w:rFonts w:cstheme="minorHAnsi"/>
                <w:b/>
                <w:bCs/>
                <w:noProof/>
              </w:rPr>
              <w:t>6.</w:t>
            </w:r>
            <w:r w:rsidR="00BD17DA">
              <w:rPr>
                <w:rFonts w:eastAsiaTheme="minorEastAsia"/>
                <w:noProof/>
                <w:lang w:eastAsia="pl-PL"/>
              </w:rPr>
              <w:tab/>
            </w:r>
            <w:r w:rsidR="00BD17DA" w:rsidRPr="00115D73">
              <w:rPr>
                <w:rStyle w:val="Hipercze"/>
                <w:rFonts w:cstheme="minorHAnsi"/>
                <w:b/>
                <w:bCs/>
                <w:noProof/>
              </w:rPr>
              <w:t>Dokumenty regulujące funkcjonowanie LGD</w:t>
            </w:r>
            <w:r w:rsidR="00BD17DA">
              <w:rPr>
                <w:noProof/>
                <w:webHidden/>
              </w:rPr>
              <w:tab/>
            </w:r>
            <w:r w:rsidR="00BD17DA">
              <w:rPr>
                <w:noProof/>
                <w:webHidden/>
              </w:rPr>
              <w:fldChar w:fldCharType="begin"/>
            </w:r>
            <w:r w:rsidR="00BD17DA">
              <w:rPr>
                <w:noProof/>
                <w:webHidden/>
              </w:rPr>
              <w:instrText xml:space="preserve"> PAGEREF _Toc136944397 \h </w:instrText>
            </w:r>
            <w:r w:rsidR="00BD17DA">
              <w:rPr>
                <w:noProof/>
                <w:webHidden/>
              </w:rPr>
            </w:r>
            <w:r w:rsidR="00BD17DA">
              <w:rPr>
                <w:noProof/>
                <w:webHidden/>
              </w:rPr>
              <w:fldChar w:fldCharType="separate"/>
            </w:r>
            <w:r w:rsidR="00C84953">
              <w:rPr>
                <w:noProof/>
                <w:webHidden/>
              </w:rPr>
              <w:t>14</w:t>
            </w:r>
            <w:r w:rsidR="00BD17DA">
              <w:rPr>
                <w:noProof/>
                <w:webHidden/>
              </w:rPr>
              <w:fldChar w:fldCharType="end"/>
            </w:r>
          </w:hyperlink>
        </w:p>
        <w:p w14:paraId="644D8998" w14:textId="22C17319" w:rsidR="00BD17DA" w:rsidRDefault="00942705">
          <w:pPr>
            <w:pStyle w:val="Spistreci2"/>
            <w:tabs>
              <w:tab w:val="left" w:pos="660"/>
              <w:tab w:val="right" w:leader="dot" w:pos="10194"/>
            </w:tabs>
            <w:rPr>
              <w:rFonts w:eastAsiaTheme="minorEastAsia"/>
              <w:noProof/>
              <w:lang w:eastAsia="pl-PL"/>
            </w:rPr>
          </w:pPr>
          <w:hyperlink w:anchor="_Toc136944398" w:history="1">
            <w:r w:rsidR="00BD17DA" w:rsidRPr="00115D73">
              <w:rPr>
                <w:rStyle w:val="Hipercze"/>
                <w:rFonts w:cstheme="minorHAnsi"/>
                <w:b/>
                <w:bCs/>
                <w:noProof/>
              </w:rPr>
              <w:t>7.</w:t>
            </w:r>
            <w:r w:rsidR="00BD17DA">
              <w:rPr>
                <w:rFonts w:eastAsiaTheme="minorEastAsia"/>
                <w:noProof/>
                <w:lang w:eastAsia="pl-PL"/>
              </w:rPr>
              <w:tab/>
            </w:r>
            <w:r w:rsidR="00BD17DA" w:rsidRPr="00115D73">
              <w:rPr>
                <w:rStyle w:val="Hipercze"/>
                <w:rFonts w:cstheme="minorHAnsi"/>
                <w:b/>
                <w:bCs/>
                <w:noProof/>
              </w:rPr>
              <w:t>Standardy funkcjonowania partnerstwa</w:t>
            </w:r>
            <w:r w:rsidR="00BD17DA">
              <w:rPr>
                <w:noProof/>
                <w:webHidden/>
              </w:rPr>
              <w:tab/>
            </w:r>
            <w:r w:rsidR="00BD17DA">
              <w:rPr>
                <w:noProof/>
                <w:webHidden/>
              </w:rPr>
              <w:fldChar w:fldCharType="begin"/>
            </w:r>
            <w:r w:rsidR="00BD17DA">
              <w:rPr>
                <w:noProof/>
                <w:webHidden/>
              </w:rPr>
              <w:instrText xml:space="preserve"> PAGEREF _Toc136944398 \h </w:instrText>
            </w:r>
            <w:r w:rsidR="00BD17DA">
              <w:rPr>
                <w:noProof/>
                <w:webHidden/>
              </w:rPr>
            </w:r>
            <w:r w:rsidR="00BD17DA">
              <w:rPr>
                <w:noProof/>
                <w:webHidden/>
              </w:rPr>
              <w:fldChar w:fldCharType="separate"/>
            </w:r>
            <w:r w:rsidR="00C84953">
              <w:rPr>
                <w:noProof/>
                <w:webHidden/>
              </w:rPr>
              <w:t>15</w:t>
            </w:r>
            <w:r w:rsidR="00BD17DA">
              <w:rPr>
                <w:noProof/>
                <w:webHidden/>
              </w:rPr>
              <w:fldChar w:fldCharType="end"/>
            </w:r>
          </w:hyperlink>
        </w:p>
        <w:p w14:paraId="0DA478F1" w14:textId="7A4E40C2" w:rsidR="00BD17DA" w:rsidRDefault="00942705">
          <w:pPr>
            <w:pStyle w:val="Spistreci1"/>
            <w:tabs>
              <w:tab w:val="right" w:leader="dot" w:pos="10194"/>
            </w:tabs>
            <w:rPr>
              <w:rFonts w:eastAsiaTheme="minorEastAsia"/>
              <w:noProof/>
              <w:lang w:eastAsia="pl-PL"/>
            </w:rPr>
          </w:pPr>
          <w:hyperlink w:anchor="_Toc136944399" w:history="1">
            <w:r w:rsidR="00BD17DA" w:rsidRPr="00115D73">
              <w:rPr>
                <w:rStyle w:val="Hipercze"/>
                <w:rFonts w:eastAsia="Times New Roman" w:cstheme="minorHAnsi"/>
                <w:b/>
                <w:bCs/>
                <w:noProof/>
              </w:rPr>
              <w:t>ROZDZIAŁ II. CHARAKTERYSTYKA OBSZARU I LUDNOŚCI</w:t>
            </w:r>
            <w:r w:rsidR="00BD17DA">
              <w:rPr>
                <w:noProof/>
                <w:webHidden/>
              </w:rPr>
              <w:tab/>
            </w:r>
            <w:r w:rsidR="00BD17DA">
              <w:rPr>
                <w:noProof/>
                <w:webHidden/>
              </w:rPr>
              <w:fldChar w:fldCharType="begin"/>
            </w:r>
            <w:r w:rsidR="00BD17DA">
              <w:rPr>
                <w:noProof/>
                <w:webHidden/>
              </w:rPr>
              <w:instrText xml:space="preserve"> PAGEREF _Toc136944399 \h </w:instrText>
            </w:r>
            <w:r w:rsidR="00BD17DA">
              <w:rPr>
                <w:noProof/>
                <w:webHidden/>
              </w:rPr>
            </w:r>
            <w:r w:rsidR="00BD17DA">
              <w:rPr>
                <w:noProof/>
                <w:webHidden/>
              </w:rPr>
              <w:fldChar w:fldCharType="separate"/>
            </w:r>
            <w:r w:rsidR="00C84953">
              <w:rPr>
                <w:noProof/>
                <w:webHidden/>
              </w:rPr>
              <w:t>17</w:t>
            </w:r>
            <w:r w:rsidR="00BD17DA">
              <w:rPr>
                <w:noProof/>
                <w:webHidden/>
              </w:rPr>
              <w:fldChar w:fldCharType="end"/>
            </w:r>
          </w:hyperlink>
        </w:p>
        <w:p w14:paraId="79C07E87" w14:textId="4F711E26" w:rsidR="00BD17DA" w:rsidRDefault="00942705">
          <w:pPr>
            <w:pStyle w:val="Spistreci1"/>
            <w:tabs>
              <w:tab w:val="right" w:leader="dot" w:pos="10194"/>
            </w:tabs>
            <w:rPr>
              <w:rFonts w:eastAsiaTheme="minorEastAsia"/>
              <w:noProof/>
              <w:lang w:eastAsia="pl-PL"/>
            </w:rPr>
          </w:pPr>
          <w:hyperlink w:anchor="_Toc136944400" w:history="1">
            <w:r w:rsidR="00BD17DA" w:rsidRPr="00115D73">
              <w:rPr>
                <w:rStyle w:val="Hipercze"/>
                <w:rFonts w:eastAsia="Times New Roman" w:cstheme="minorHAnsi"/>
                <w:b/>
                <w:bCs/>
                <w:noProof/>
              </w:rPr>
              <w:t>ROZDZIAŁ III. PARTYCYPACYJNY CHARAKTER LSR</w:t>
            </w:r>
            <w:r w:rsidR="00BD17DA">
              <w:rPr>
                <w:noProof/>
                <w:webHidden/>
              </w:rPr>
              <w:tab/>
            </w:r>
            <w:r w:rsidR="00BD17DA">
              <w:rPr>
                <w:noProof/>
                <w:webHidden/>
              </w:rPr>
              <w:fldChar w:fldCharType="begin"/>
            </w:r>
            <w:r w:rsidR="00BD17DA">
              <w:rPr>
                <w:noProof/>
                <w:webHidden/>
              </w:rPr>
              <w:instrText xml:space="preserve"> PAGEREF _Toc136944400 \h </w:instrText>
            </w:r>
            <w:r w:rsidR="00BD17DA">
              <w:rPr>
                <w:noProof/>
                <w:webHidden/>
              </w:rPr>
            </w:r>
            <w:r w:rsidR="00BD17DA">
              <w:rPr>
                <w:noProof/>
                <w:webHidden/>
              </w:rPr>
              <w:fldChar w:fldCharType="separate"/>
            </w:r>
            <w:r w:rsidR="00C84953">
              <w:rPr>
                <w:noProof/>
                <w:webHidden/>
              </w:rPr>
              <w:t>19</w:t>
            </w:r>
            <w:r w:rsidR="00BD17DA">
              <w:rPr>
                <w:noProof/>
                <w:webHidden/>
              </w:rPr>
              <w:fldChar w:fldCharType="end"/>
            </w:r>
          </w:hyperlink>
        </w:p>
        <w:p w14:paraId="68C2FE19" w14:textId="2F15C004" w:rsidR="00BD17DA" w:rsidRDefault="00942705">
          <w:pPr>
            <w:pStyle w:val="Spistreci1"/>
            <w:tabs>
              <w:tab w:val="right" w:leader="dot" w:pos="10194"/>
            </w:tabs>
            <w:rPr>
              <w:rFonts w:eastAsiaTheme="minorEastAsia"/>
              <w:noProof/>
              <w:lang w:eastAsia="pl-PL"/>
            </w:rPr>
          </w:pPr>
          <w:hyperlink w:anchor="_Toc136944401" w:history="1">
            <w:r w:rsidR="00BD17DA" w:rsidRPr="00115D73">
              <w:rPr>
                <w:rStyle w:val="Hipercze"/>
                <w:rFonts w:cstheme="minorHAnsi"/>
                <w:b/>
                <w:bCs/>
                <w:noProof/>
              </w:rPr>
              <w:t>ROZDZIAŁ IV. ANALIZA POTRZEB I POTENCJAŁU LSR</w:t>
            </w:r>
            <w:r w:rsidR="00BD17DA">
              <w:rPr>
                <w:noProof/>
                <w:webHidden/>
              </w:rPr>
              <w:tab/>
            </w:r>
            <w:r w:rsidR="00BD17DA">
              <w:rPr>
                <w:noProof/>
                <w:webHidden/>
              </w:rPr>
              <w:fldChar w:fldCharType="begin"/>
            </w:r>
            <w:r w:rsidR="00BD17DA">
              <w:rPr>
                <w:noProof/>
                <w:webHidden/>
              </w:rPr>
              <w:instrText xml:space="preserve"> PAGEREF _Toc136944401 \h </w:instrText>
            </w:r>
            <w:r w:rsidR="00BD17DA">
              <w:rPr>
                <w:noProof/>
                <w:webHidden/>
              </w:rPr>
            </w:r>
            <w:r w:rsidR="00BD17DA">
              <w:rPr>
                <w:noProof/>
                <w:webHidden/>
              </w:rPr>
              <w:fldChar w:fldCharType="separate"/>
            </w:r>
            <w:r w:rsidR="00C84953">
              <w:rPr>
                <w:noProof/>
                <w:webHidden/>
              </w:rPr>
              <w:t>32</w:t>
            </w:r>
            <w:r w:rsidR="00BD17DA">
              <w:rPr>
                <w:noProof/>
                <w:webHidden/>
              </w:rPr>
              <w:fldChar w:fldCharType="end"/>
            </w:r>
          </w:hyperlink>
        </w:p>
        <w:p w14:paraId="1B9AE511" w14:textId="0F950CB8" w:rsidR="00BD17DA" w:rsidRDefault="00942705">
          <w:pPr>
            <w:pStyle w:val="Spistreci2"/>
            <w:tabs>
              <w:tab w:val="left" w:pos="660"/>
              <w:tab w:val="right" w:leader="dot" w:pos="10194"/>
            </w:tabs>
            <w:rPr>
              <w:rFonts w:eastAsiaTheme="minorEastAsia"/>
              <w:noProof/>
              <w:lang w:eastAsia="pl-PL"/>
            </w:rPr>
          </w:pPr>
          <w:hyperlink w:anchor="_Toc136944402" w:history="1">
            <w:r w:rsidR="00BD17DA" w:rsidRPr="00115D73">
              <w:rPr>
                <w:rStyle w:val="Hipercze"/>
                <w:rFonts w:cstheme="minorHAnsi"/>
                <w:b/>
                <w:bCs/>
                <w:noProof/>
              </w:rPr>
              <w:t>1.</w:t>
            </w:r>
            <w:r w:rsidR="00BD17DA">
              <w:rPr>
                <w:rFonts w:eastAsiaTheme="minorEastAsia"/>
                <w:noProof/>
                <w:lang w:eastAsia="pl-PL"/>
              </w:rPr>
              <w:tab/>
            </w:r>
            <w:r w:rsidR="00BD17DA" w:rsidRPr="00115D73">
              <w:rPr>
                <w:rStyle w:val="Hipercze"/>
                <w:rFonts w:cstheme="minorHAnsi"/>
                <w:b/>
                <w:bCs/>
                <w:noProof/>
              </w:rPr>
              <w:t>Analiza SWOT</w:t>
            </w:r>
            <w:r w:rsidR="00BD17DA">
              <w:rPr>
                <w:noProof/>
                <w:webHidden/>
              </w:rPr>
              <w:tab/>
            </w:r>
            <w:r w:rsidR="00BD17DA">
              <w:rPr>
                <w:noProof/>
                <w:webHidden/>
              </w:rPr>
              <w:fldChar w:fldCharType="begin"/>
            </w:r>
            <w:r w:rsidR="00BD17DA">
              <w:rPr>
                <w:noProof/>
                <w:webHidden/>
              </w:rPr>
              <w:instrText xml:space="preserve"> PAGEREF _Toc136944402 \h </w:instrText>
            </w:r>
            <w:r w:rsidR="00BD17DA">
              <w:rPr>
                <w:noProof/>
                <w:webHidden/>
              </w:rPr>
            </w:r>
            <w:r w:rsidR="00BD17DA">
              <w:rPr>
                <w:noProof/>
                <w:webHidden/>
              </w:rPr>
              <w:fldChar w:fldCharType="separate"/>
            </w:r>
            <w:r w:rsidR="00C84953">
              <w:rPr>
                <w:noProof/>
                <w:webHidden/>
              </w:rPr>
              <w:t>32</w:t>
            </w:r>
            <w:r w:rsidR="00BD17DA">
              <w:rPr>
                <w:noProof/>
                <w:webHidden/>
              </w:rPr>
              <w:fldChar w:fldCharType="end"/>
            </w:r>
          </w:hyperlink>
        </w:p>
        <w:p w14:paraId="20528ACE" w14:textId="187831F0" w:rsidR="00BD17DA" w:rsidRDefault="00942705">
          <w:pPr>
            <w:pStyle w:val="Spistreci2"/>
            <w:tabs>
              <w:tab w:val="left" w:pos="660"/>
              <w:tab w:val="right" w:leader="dot" w:pos="10194"/>
            </w:tabs>
            <w:rPr>
              <w:rFonts w:eastAsiaTheme="minorEastAsia"/>
              <w:noProof/>
              <w:lang w:eastAsia="pl-PL"/>
            </w:rPr>
          </w:pPr>
          <w:hyperlink w:anchor="_Toc136944403" w:history="1">
            <w:r w:rsidR="00BD17DA" w:rsidRPr="00115D73">
              <w:rPr>
                <w:rStyle w:val="Hipercze"/>
                <w:rFonts w:cstheme="minorHAnsi"/>
                <w:b/>
                <w:bCs/>
                <w:noProof/>
              </w:rPr>
              <w:t>2.</w:t>
            </w:r>
            <w:r w:rsidR="00BD17DA">
              <w:rPr>
                <w:rFonts w:eastAsiaTheme="minorEastAsia"/>
                <w:noProof/>
                <w:lang w:eastAsia="pl-PL"/>
              </w:rPr>
              <w:tab/>
            </w:r>
            <w:r w:rsidR="00BD17DA" w:rsidRPr="00115D73">
              <w:rPr>
                <w:rStyle w:val="Hipercze"/>
                <w:rFonts w:cstheme="minorHAnsi"/>
                <w:b/>
                <w:bCs/>
                <w:noProof/>
              </w:rPr>
              <w:t>Grupy docelowe szczególnie istotne z punktu widzenia realizacji LSR</w:t>
            </w:r>
            <w:r w:rsidR="00BD17DA">
              <w:rPr>
                <w:noProof/>
                <w:webHidden/>
              </w:rPr>
              <w:tab/>
            </w:r>
            <w:r w:rsidR="00BD17DA">
              <w:rPr>
                <w:noProof/>
                <w:webHidden/>
              </w:rPr>
              <w:fldChar w:fldCharType="begin"/>
            </w:r>
            <w:r w:rsidR="00BD17DA">
              <w:rPr>
                <w:noProof/>
                <w:webHidden/>
              </w:rPr>
              <w:instrText xml:space="preserve"> PAGEREF _Toc136944403 \h </w:instrText>
            </w:r>
            <w:r w:rsidR="00BD17DA">
              <w:rPr>
                <w:noProof/>
                <w:webHidden/>
              </w:rPr>
            </w:r>
            <w:r w:rsidR="00BD17DA">
              <w:rPr>
                <w:noProof/>
                <w:webHidden/>
              </w:rPr>
              <w:fldChar w:fldCharType="separate"/>
            </w:r>
            <w:r w:rsidR="00C84953">
              <w:rPr>
                <w:noProof/>
                <w:webHidden/>
              </w:rPr>
              <w:t>34</w:t>
            </w:r>
            <w:r w:rsidR="00BD17DA">
              <w:rPr>
                <w:noProof/>
                <w:webHidden/>
              </w:rPr>
              <w:fldChar w:fldCharType="end"/>
            </w:r>
          </w:hyperlink>
        </w:p>
        <w:p w14:paraId="19A3BB35" w14:textId="343869AD" w:rsidR="00BD17DA" w:rsidRDefault="00942705">
          <w:pPr>
            <w:pStyle w:val="Spistreci2"/>
            <w:tabs>
              <w:tab w:val="left" w:pos="660"/>
              <w:tab w:val="right" w:leader="dot" w:pos="10194"/>
            </w:tabs>
            <w:rPr>
              <w:rFonts w:eastAsiaTheme="minorEastAsia"/>
              <w:noProof/>
              <w:lang w:eastAsia="pl-PL"/>
            </w:rPr>
          </w:pPr>
          <w:hyperlink w:anchor="_Toc136944404" w:history="1">
            <w:r w:rsidR="00BD17DA" w:rsidRPr="00115D73">
              <w:rPr>
                <w:rStyle w:val="Hipercze"/>
                <w:rFonts w:cstheme="minorHAnsi"/>
                <w:b/>
                <w:bCs/>
                <w:noProof/>
              </w:rPr>
              <w:t>3.</w:t>
            </w:r>
            <w:r w:rsidR="00BD17DA">
              <w:rPr>
                <w:rFonts w:eastAsiaTheme="minorEastAsia"/>
                <w:noProof/>
                <w:lang w:eastAsia="pl-PL"/>
              </w:rPr>
              <w:tab/>
            </w:r>
            <w:r w:rsidR="00BD17DA" w:rsidRPr="00115D73">
              <w:rPr>
                <w:rStyle w:val="Hipercze"/>
                <w:rFonts w:cstheme="minorHAnsi"/>
                <w:b/>
                <w:bCs/>
                <w:noProof/>
              </w:rPr>
              <w:t>Zagospodarowanie przestrzenne/układ osadniczy</w:t>
            </w:r>
            <w:r w:rsidR="00BD17DA">
              <w:rPr>
                <w:noProof/>
                <w:webHidden/>
              </w:rPr>
              <w:tab/>
            </w:r>
            <w:r w:rsidR="00BD17DA">
              <w:rPr>
                <w:noProof/>
                <w:webHidden/>
              </w:rPr>
              <w:fldChar w:fldCharType="begin"/>
            </w:r>
            <w:r w:rsidR="00BD17DA">
              <w:rPr>
                <w:noProof/>
                <w:webHidden/>
              </w:rPr>
              <w:instrText xml:space="preserve"> PAGEREF _Toc136944404 \h </w:instrText>
            </w:r>
            <w:r w:rsidR="00BD17DA">
              <w:rPr>
                <w:noProof/>
                <w:webHidden/>
              </w:rPr>
            </w:r>
            <w:r w:rsidR="00BD17DA">
              <w:rPr>
                <w:noProof/>
                <w:webHidden/>
              </w:rPr>
              <w:fldChar w:fldCharType="separate"/>
            </w:r>
            <w:r w:rsidR="00C84953">
              <w:rPr>
                <w:noProof/>
                <w:webHidden/>
              </w:rPr>
              <w:t>36</w:t>
            </w:r>
            <w:r w:rsidR="00BD17DA">
              <w:rPr>
                <w:noProof/>
                <w:webHidden/>
              </w:rPr>
              <w:fldChar w:fldCharType="end"/>
            </w:r>
          </w:hyperlink>
        </w:p>
        <w:p w14:paraId="3951A6D6" w14:textId="0BE014A6" w:rsidR="00BD17DA" w:rsidRDefault="00942705">
          <w:pPr>
            <w:pStyle w:val="Spistreci2"/>
            <w:tabs>
              <w:tab w:val="left" w:pos="660"/>
              <w:tab w:val="right" w:leader="dot" w:pos="10194"/>
            </w:tabs>
            <w:rPr>
              <w:rFonts w:eastAsiaTheme="minorEastAsia"/>
              <w:noProof/>
              <w:lang w:eastAsia="pl-PL"/>
            </w:rPr>
          </w:pPr>
          <w:hyperlink w:anchor="_Toc136944405" w:history="1">
            <w:r w:rsidR="00BD17DA" w:rsidRPr="00115D73">
              <w:rPr>
                <w:rStyle w:val="Hipercze"/>
                <w:rFonts w:cstheme="minorHAnsi"/>
                <w:b/>
                <w:bCs/>
                <w:noProof/>
              </w:rPr>
              <w:t>4.</w:t>
            </w:r>
            <w:r w:rsidR="00BD17DA">
              <w:rPr>
                <w:rFonts w:eastAsiaTheme="minorEastAsia"/>
                <w:noProof/>
                <w:lang w:eastAsia="pl-PL"/>
              </w:rPr>
              <w:tab/>
            </w:r>
            <w:r w:rsidR="00BD17DA" w:rsidRPr="00115D73">
              <w:rPr>
                <w:rStyle w:val="Hipercze"/>
                <w:rFonts w:cstheme="minorHAnsi"/>
                <w:b/>
                <w:bCs/>
                <w:noProof/>
              </w:rPr>
              <w:t>Stan infrastruktury w kontekście potrzeb rewitalizacji</w:t>
            </w:r>
            <w:r w:rsidR="00BD17DA">
              <w:rPr>
                <w:noProof/>
                <w:webHidden/>
              </w:rPr>
              <w:tab/>
            </w:r>
            <w:r w:rsidR="00BD17DA">
              <w:rPr>
                <w:noProof/>
                <w:webHidden/>
              </w:rPr>
              <w:fldChar w:fldCharType="begin"/>
            </w:r>
            <w:r w:rsidR="00BD17DA">
              <w:rPr>
                <w:noProof/>
                <w:webHidden/>
              </w:rPr>
              <w:instrText xml:space="preserve"> PAGEREF _Toc136944405 \h </w:instrText>
            </w:r>
            <w:r w:rsidR="00BD17DA">
              <w:rPr>
                <w:noProof/>
                <w:webHidden/>
              </w:rPr>
            </w:r>
            <w:r w:rsidR="00BD17DA">
              <w:rPr>
                <w:noProof/>
                <w:webHidden/>
              </w:rPr>
              <w:fldChar w:fldCharType="separate"/>
            </w:r>
            <w:r w:rsidR="00C84953">
              <w:rPr>
                <w:noProof/>
                <w:webHidden/>
              </w:rPr>
              <w:t>36</w:t>
            </w:r>
            <w:r w:rsidR="00BD17DA">
              <w:rPr>
                <w:noProof/>
                <w:webHidden/>
              </w:rPr>
              <w:fldChar w:fldCharType="end"/>
            </w:r>
          </w:hyperlink>
        </w:p>
        <w:p w14:paraId="0C7A3DA1" w14:textId="00984047" w:rsidR="00BD17DA" w:rsidRDefault="00942705">
          <w:pPr>
            <w:pStyle w:val="Spistreci2"/>
            <w:tabs>
              <w:tab w:val="left" w:pos="660"/>
              <w:tab w:val="right" w:leader="dot" w:pos="10194"/>
            </w:tabs>
            <w:rPr>
              <w:rFonts w:eastAsiaTheme="minorEastAsia"/>
              <w:noProof/>
              <w:lang w:eastAsia="pl-PL"/>
            </w:rPr>
          </w:pPr>
          <w:hyperlink w:anchor="_Toc136944406" w:history="1">
            <w:r w:rsidR="00BD17DA" w:rsidRPr="00115D73">
              <w:rPr>
                <w:rStyle w:val="Hipercze"/>
                <w:rFonts w:cstheme="minorHAnsi"/>
                <w:b/>
                <w:bCs/>
                <w:noProof/>
              </w:rPr>
              <w:t>5.</w:t>
            </w:r>
            <w:r w:rsidR="00BD17DA">
              <w:rPr>
                <w:rFonts w:eastAsiaTheme="minorEastAsia"/>
                <w:noProof/>
                <w:lang w:eastAsia="pl-PL"/>
              </w:rPr>
              <w:tab/>
            </w:r>
            <w:r w:rsidR="00BD17DA" w:rsidRPr="00115D73">
              <w:rPr>
                <w:rStyle w:val="Hipercze"/>
                <w:rFonts w:cstheme="minorHAnsi"/>
                <w:b/>
                <w:bCs/>
                <w:noProof/>
              </w:rPr>
              <w:t>Charakterystyka gospodarki/przedsiębiorczości</w:t>
            </w:r>
            <w:r w:rsidR="00BD17DA">
              <w:rPr>
                <w:noProof/>
                <w:webHidden/>
              </w:rPr>
              <w:tab/>
            </w:r>
            <w:r w:rsidR="00BD17DA">
              <w:rPr>
                <w:noProof/>
                <w:webHidden/>
              </w:rPr>
              <w:fldChar w:fldCharType="begin"/>
            </w:r>
            <w:r w:rsidR="00BD17DA">
              <w:rPr>
                <w:noProof/>
                <w:webHidden/>
              </w:rPr>
              <w:instrText xml:space="preserve"> PAGEREF _Toc136944406 \h </w:instrText>
            </w:r>
            <w:r w:rsidR="00BD17DA">
              <w:rPr>
                <w:noProof/>
                <w:webHidden/>
              </w:rPr>
            </w:r>
            <w:r w:rsidR="00BD17DA">
              <w:rPr>
                <w:noProof/>
                <w:webHidden/>
              </w:rPr>
              <w:fldChar w:fldCharType="separate"/>
            </w:r>
            <w:r w:rsidR="00C84953">
              <w:rPr>
                <w:noProof/>
                <w:webHidden/>
              </w:rPr>
              <w:t>36</w:t>
            </w:r>
            <w:r w:rsidR="00BD17DA">
              <w:rPr>
                <w:noProof/>
                <w:webHidden/>
              </w:rPr>
              <w:fldChar w:fldCharType="end"/>
            </w:r>
          </w:hyperlink>
        </w:p>
        <w:p w14:paraId="489B13D1" w14:textId="796EBE54" w:rsidR="00BD17DA" w:rsidRDefault="00942705">
          <w:pPr>
            <w:pStyle w:val="Spistreci2"/>
            <w:tabs>
              <w:tab w:val="left" w:pos="660"/>
              <w:tab w:val="right" w:leader="dot" w:pos="10194"/>
            </w:tabs>
            <w:rPr>
              <w:rFonts w:eastAsiaTheme="minorEastAsia"/>
              <w:noProof/>
              <w:lang w:eastAsia="pl-PL"/>
            </w:rPr>
          </w:pPr>
          <w:hyperlink w:anchor="_Toc136944407" w:history="1">
            <w:r w:rsidR="00BD17DA" w:rsidRPr="00115D73">
              <w:rPr>
                <w:rStyle w:val="Hipercze"/>
                <w:rFonts w:cstheme="minorHAnsi"/>
                <w:b/>
                <w:bCs/>
                <w:noProof/>
              </w:rPr>
              <w:t>6.</w:t>
            </w:r>
            <w:r w:rsidR="00BD17DA">
              <w:rPr>
                <w:rFonts w:eastAsiaTheme="minorEastAsia"/>
                <w:noProof/>
                <w:lang w:eastAsia="pl-PL"/>
              </w:rPr>
              <w:tab/>
            </w:r>
            <w:r w:rsidR="00BD17DA" w:rsidRPr="00115D73">
              <w:rPr>
                <w:rStyle w:val="Hipercze"/>
                <w:rFonts w:cstheme="minorHAnsi"/>
                <w:b/>
                <w:bCs/>
                <w:noProof/>
              </w:rPr>
              <w:t>Rynek pracy</w:t>
            </w:r>
            <w:r w:rsidR="00BD17DA">
              <w:rPr>
                <w:noProof/>
                <w:webHidden/>
              </w:rPr>
              <w:tab/>
            </w:r>
            <w:r w:rsidR="00BD17DA">
              <w:rPr>
                <w:noProof/>
                <w:webHidden/>
              </w:rPr>
              <w:fldChar w:fldCharType="begin"/>
            </w:r>
            <w:r w:rsidR="00BD17DA">
              <w:rPr>
                <w:noProof/>
                <w:webHidden/>
              </w:rPr>
              <w:instrText xml:space="preserve"> PAGEREF _Toc136944407 \h </w:instrText>
            </w:r>
            <w:r w:rsidR="00BD17DA">
              <w:rPr>
                <w:noProof/>
                <w:webHidden/>
              </w:rPr>
            </w:r>
            <w:r w:rsidR="00BD17DA">
              <w:rPr>
                <w:noProof/>
                <w:webHidden/>
              </w:rPr>
              <w:fldChar w:fldCharType="separate"/>
            </w:r>
            <w:r w:rsidR="00C84953">
              <w:rPr>
                <w:noProof/>
                <w:webHidden/>
              </w:rPr>
              <w:t>37</w:t>
            </w:r>
            <w:r w:rsidR="00BD17DA">
              <w:rPr>
                <w:noProof/>
                <w:webHidden/>
              </w:rPr>
              <w:fldChar w:fldCharType="end"/>
            </w:r>
          </w:hyperlink>
        </w:p>
        <w:p w14:paraId="005419F6" w14:textId="313B0853" w:rsidR="00BD17DA" w:rsidRDefault="00942705">
          <w:pPr>
            <w:pStyle w:val="Spistreci2"/>
            <w:tabs>
              <w:tab w:val="left" w:pos="660"/>
              <w:tab w:val="right" w:leader="dot" w:pos="10194"/>
            </w:tabs>
            <w:rPr>
              <w:rFonts w:eastAsiaTheme="minorEastAsia"/>
              <w:noProof/>
              <w:lang w:eastAsia="pl-PL"/>
            </w:rPr>
          </w:pPr>
          <w:hyperlink w:anchor="_Toc136944408" w:history="1">
            <w:r w:rsidR="00BD17DA" w:rsidRPr="00115D73">
              <w:rPr>
                <w:rStyle w:val="Hipercze"/>
                <w:rFonts w:cstheme="minorHAnsi"/>
                <w:b/>
                <w:bCs/>
                <w:noProof/>
              </w:rPr>
              <w:t>7.</w:t>
            </w:r>
            <w:r w:rsidR="00BD17DA">
              <w:rPr>
                <w:rFonts w:eastAsiaTheme="minorEastAsia"/>
                <w:noProof/>
                <w:lang w:eastAsia="pl-PL"/>
              </w:rPr>
              <w:tab/>
            </w:r>
            <w:r w:rsidR="00BD17DA" w:rsidRPr="00115D73">
              <w:rPr>
                <w:rStyle w:val="Hipercze"/>
                <w:rFonts w:cstheme="minorHAnsi"/>
                <w:b/>
                <w:bCs/>
                <w:noProof/>
              </w:rPr>
              <w:t>Działalność sektora społecznego</w:t>
            </w:r>
            <w:r w:rsidR="00BD17DA">
              <w:rPr>
                <w:noProof/>
                <w:webHidden/>
              </w:rPr>
              <w:tab/>
            </w:r>
            <w:r w:rsidR="00BD17DA">
              <w:rPr>
                <w:noProof/>
                <w:webHidden/>
              </w:rPr>
              <w:fldChar w:fldCharType="begin"/>
            </w:r>
            <w:r w:rsidR="00BD17DA">
              <w:rPr>
                <w:noProof/>
                <w:webHidden/>
              </w:rPr>
              <w:instrText xml:space="preserve"> PAGEREF _Toc136944408 \h </w:instrText>
            </w:r>
            <w:r w:rsidR="00BD17DA">
              <w:rPr>
                <w:noProof/>
                <w:webHidden/>
              </w:rPr>
            </w:r>
            <w:r w:rsidR="00BD17DA">
              <w:rPr>
                <w:noProof/>
                <w:webHidden/>
              </w:rPr>
              <w:fldChar w:fldCharType="separate"/>
            </w:r>
            <w:r w:rsidR="00C84953">
              <w:rPr>
                <w:noProof/>
                <w:webHidden/>
              </w:rPr>
              <w:t>39</w:t>
            </w:r>
            <w:r w:rsidR="00BD17DA">
              <w:rPr>
                <w:noProof/>
                <w:webHidden/>
              </w:rPr>
              <w:fldChar w:fldCharType="end"/>
            </w:r>
          </w:hyperlink>
        </w:p>
        <w:p w14:paraId="3574AE76" w14:textId="2F2B2275" w:rsidR="00BD17DA" w:rsidRDefault="00942705">
          <w:pPr>
            <w:pStyle w:val="Spistreci2"/>
            <w:tabs>
              <w:tab w:val="left" w:pos="660"/>
              <w:tab w:val="right" w:leader="dot" w:pos="10194"/>
            </w:tabs>
            <w:rPr>
              <w:rFonts w:eastAsiaTheme="minorEastAsia"/>
              <w:noProof/>
              <w:lang w:eastAsia="pl-PL"/>
            </w:rPr>
          </w:pPr>
          <w:hyperlink w:anchor="_Toc136944409" w:history="1">
            <w:r w:rsidR="00BD17DA" w:rsidRPr="00115D73">
              <w:rPr>
                <w:rStyle w:val="Hipercze"/>
                <w:rFonts w:cstheme="minorHAnsi"/>
                <w:b/>
                <w:bCs/>
                <w:noProof/>
              </w:rPr>
              <w:t>8.</w:t>
            </w:r>
            <w:r w:rsidR="00BD17DA">
              <w:rPr>
                <w:rFonts w:eastAsiaTheme="minorEastAsia"/>
                <w:noProof/>
                <w:lang w:eastAsia="pl-PL"/>
              </w:rPr>
              <w:tab/>
            </w:r>
            <w:r w:rsidR="00BD17DA" w:rsidRPr="00115D73">
              <w:rPr>
                <w:rStyle w:val="Hipercze"/>
                <w:rFonts w:cstheme="minorHAnsi"/>
                <w:b/>
                <w:bCs/>
                <w:noProof/>
              </w:rPr>
              <w:t>Problemy społeczne</w:t>
            </w:r>
            <w:r w:rsidR="00BD17DA">
              <w:rPr>
                <w:noProof/>
                <w:webHidden/>
              </w:rPr>
              <w:tab/>
            </w:r>
            <w:r w:rsidR="00BD17DA">
              <w:rPr>
                <w:noProof/>
                <w:webHidden/>
              </w:rPr>
              <w:fldChar w:fldCharType="begin"/>
            </w:r>
            <w:r w:rsidR="00BD17DA">
              <w:rPr>
                <w:noProof/>
                <w:webHidden/>
              </w:rPr>
              <w:instrText xml:space="preserve"> PAGEREF _Toc136944409 \h </w:instrText>
            </w:r>
            <w:r w:rsidR="00BD17DA">
              <w:rPr>
                <w:noProof/>
                <w:webHidden/>
              </w:rPr>
            </w:r>
            <w:r w:rsidR="00BD17DA">
              <w:rPr>
                <w:noProof/>
                <w:webHidden/>
              </w:rPr>
              <w:fldChar w:fldCharType="separate"/>
            </w:r>
            <w:r w:rsidR="00C84953">
              <w:rPr>
                <w:noProof/>
                <w:webHidden/>
              </w:rPr>
              <w:t>40</w:t>
            </w:r>
            <w:r w:rsidR="00BD17DA">
              <w:rPr>
                <w:noProof/>
                <w:webHidden/>
              </w:rPr>
              <w:fldChar w:fldCharType="end"/>
            </w:r>
          </w:hyperlink>
        </w:p>
        <w:p w14:paraId="5855B245" w14:textId="63451CB2" w:rsidR="00BD17DA" w:rsidRDefault="00942705">
          <w:pPr>
            <w:pStyle w:val="Spistreci2"/>
            <w:tabs>
              <w:tab w:val="left" w:pos="660"/>
              <w:tab w:val="right" w:leader="dot" w:pos="10194"/>
            </w:tabs>
            <w:rPr>
              <w:rFonts w:eastAsiaTheme="minorEastAsia"/>
              <w:noProof/>
              <w:lang w:eastAsia="pl-PL"/>
            </w:rPr>
          </w:pPr>
          <w:hyperlink w:anchor="_Toc136944410" w:history="1">
            <w:r w:rsidR="00BD17DA" w:rsidRPr="00115D73">
              <w:rPr>
                <w:rStyle w:val="Hipercze"/>
                <w:rFonts w:cstheme="minorHAnsi"/>
                <w:b/>
                <w:bCs/>
                <w:noProof/>
              </w:rPr>
              <w:t>9.</w:t>
            </w:r>
            <w:r w:rsidR="00BD17DA">
              <w:rPr>
                <w:rFonts w:eastAsiaTheme="minorEastAsia"/>
                <w:noProof/>
                <w:lang w:eastAsia="pl-PL"/>
              </w:rPr>
              <w:tab/>
            </w:r>
            <w:r w:rsidR="00BD17DA" w:rsidRPr="00115D73">
              <w:rPr>
                <w:rStyle w:val="Hipercze"/>
                <w:rFonts w:cstheme="minorHAnsi"/>
                <w:b/>
                <w:bCs/>
                <w:noProof/>
              </w:rPr>
              <w:t>Dziedzictwo kulturowe/zabytki</w:t>
            </w:r>
            <w:r w:rsidR="00BD17DA">
              <w:rPr>
                <w:noProof/>
                <w:webHidden/>
              </w:rPr>
              <w:tab/>
            </w:r>
            <w:r w:rsidR="00BD17DA">
              <w:rPr>
                <w:noProof/>
                <w:webHidden/>
              </w:rPr>
              <w:fldChar w:fldCharType="begin"/>
            </w:r>
            <w:r w:rsidR="00BD17DA">
              <w:rPr>
                <w:noProof/>
                <w:webHidden/>
              </w:rPr>
              <w:instrText xml:space="preserve"> PAGEREF _Toc136944410 \h </w:instrText>
            </w:r>
            <w:r w:rsidR="00BD17DA">
              <w:rPr>
                <w:noProof/>
                <w:webHidden/>
              </w:rPr>
            </w:r>
            <w:r w:rsidR="00BD17DA">
              <w:rPr>
                <w:noProof/>
                <w:webHidden/>
              </w:rPr>
              <w:fldChar w:fldCharType="separate"/>
            </w:r>
            <w:r w:rsidR="00C84953">
              <w:rPr>
                <w:noProof/>
                <w:webHidden/>
              </w:rPr>
              <w:t>41</w:t>
            </w:r>
            <w:r w:rsidR="00BD17DA">
              <w:rPr>
                <w:noProof/>
                <w:webHidden/>
              </w:rPr>
              <w:fldChar w:fldCharType="end"/>
            </w:r>
          </w:hyperlink>
        </w:p>
        <w:p w14:paraId="6AA4DB47" w14:textId="043DF5F1" w:rsidR="00BD17DA" w:rsidRDefault="00942705">
          <w:pPr>
            <w:pStyle w:val="Spistreci2"/>
            <w:tabs>
              <w:tab w:val="left" w:pos="880"/>
              <w:tab w:val="right" w:leader="dot" w:pos="10194"/>
            </w:tabs>
            <w:rPr>
              <w:rFonts w:eastAsiaTheme="minorEastAsia"/>
              <w:noProof/>
              <w:lang w:eastAsia="pl-PL"/>
            </w:rPr>
          </w:pPr>
          <w:hyperlink w:anchor="_Toc136944411" w:history="1">
            <w:r w:rsidR="00BD17DA" w:rsidRPr="00115D73">
              <w:rPr>
                <w:rStyle w:val="Hipercze"/>
                <w:rFonts w:cstheme="minorHAnsi"/>
                <w:b/>
                <w:bCs/>
                <w:noProof/>
              </w:rPr>
              <w:t>10.</w:t>
            </w:r>
            <w:r w:rsidR="00BD17DA">
              <w:rPr>
                <w:rFonts w:eastAsiaTheme="minorEastAsia"/>
                <w:noProof/>
                <w:lang w:eastAsia="pl-PL"/>
              </w:rPr>
              <w:tab/>
            </w:r>
            <w:r w:rsidR="00BD17DA" w:rsidRPr="00115D73">
              <w:rPr>
                <w:rStyle w:val="Hipercze"/>
                <w:rFonts w:cstheme="minorHAnsi"/>
                <w:b/>
                <w:bCs/>
                <w:noProof/>
              </w:rPr>
              <w:t>Obszary atrakcyjne turystycznie</w:t>
            </w:r>
            <w:r w:rsidR="00BD17DA">
              <w:rPr>
                <w:noProof/>
                <w:webHidden/>
              </w:rPr>
              <w:tab/>
            </w:r>
            <w:r w:rsidR="00BD17DA">
              <w:rPr>
                <w:noProof/>
                <w:webHidden/>
              </w:rPr>
              <w:fldChar w:fldCharType="begin"/>
            </w:r>
            <w:r w:rsidR="00BD17DA">
              <w:rPr>
                <w:noProof/>
                <w:webHidden/>
              </w:rPr>
              <w:instrText xml:space="preserve"> PAGEREF _Toc136944411 \h </w:instrText>
            </w:r>
            <w:r w:rsidR="00BD17DA">
              <w:rPr>
                <w:noProof/>
                <w:webHidden/>
              </w:rPr>
            </w:r>
            <w:r w:rsidR="00BD17DA">
              <w:rPr>
                <w:noProof/>
                <w:webHidden/>
              </w:rPr>
              <w:fldChar w:fldCharType="separate"/>
            </w:r>
            <w:r w:rsidR="00C84953">
              <w:rPr>
                <w:noProof/>
                <w:webHidden/>
              </w:rPr>
              <w:t>41</w:t>
            </w:r>
            <w:r w:rsidR="00BD17DA">
              <w:rPr>
                <w:noProof/>
                <w:webHidden/>
              </w:rPr>
              <w:fldChar w:fldCharType="end"/>
            </w:r>
          </w:hyperlink>
        </w:p>
        <w:p w14:paraId="517D274E" w14:textId="090BC11C" w:rsidR="00BD17DA" w:rsidRDefault="00942705">
          <w:pPr>
            <w:pStyle w:val="Spistreci2"/>
            <w:tabs>
              <w:tab w:val="left" w:pos="880"/>
              <w:tab w:val="right" w:leader="dot" w:pos="10194"/>
            </w:tabs>
            <w:rPr>
              <w:rFonts w:eastAsiaTheme="minorEastAsia"/>
              <w:noProof/>
              <w:lang w:eastAsia="pl-PL"/>
            </w:rPr>
          </w:pPr>
          <w:hyperlink w:anchor="_Toc136944412" w:history="1">
            <w:r w:rsidR="00BD17DA" w:rsidRPr="00115D73">
              <w:rPr>
                <w:rStyle w:val="Hipercze"/>
                <w:rFonts w:cstheme="minorHAnsi"/>
                <w:b/>
                <w:bCs/>
                <w:noProof/>
              </w:rPr>
              <w:t>11.</w:t>
            </w:r>
            <w:r w:rsidR="00BD17DA">
              <w:rPr>
                <w:rFonts w:eastAsiaTheme="minorEastAsia"/>
                <w:noProof/>
                <w:lang w:eastAsia="pl-PL"/>
              </w:rPr>
              <w:tab/>
            </w:r>
            <w:r w:rsidR="00BD17DA" w:rsidRPr="00115D73">
              <w:rPr>
                <w:rStyle w:val="Hipercze"/>
                <w:rFonts w:cstheme="minorHAnsi"/>
                <w:b/>
                <w:bCs/>
                <w:noProof/>
              </w:rPr>
              <w:t>Obszary wiejskie</w:t>
            </w:r>
            <w:r w:rsidR="00BD17DA">
              <w:rPr>
                <w:noProof/>
                <w:webHidden/>
              </w:rPr>
              <w:tab/>
            </w:r>
            <w:r w:rsidR="00BD17DA">
              <w:rPr>
                <w:noProof/>
                <w:webHidden/>
              </w:rPr>
              <w:fldChar w:fldCharType="begin"/>
            </w:r>
            <w:r w:rsidR="00BD17DA">
              <w:rPr>
                <w:noProof/>
                <w:webHidden/>
              </w:rPr>
              <w:instrText xml:space="preserve"> PAGEREF _Toc136944412 \h </w:instrText>
            </w:r>
            <w:r w:rsidR="00BD17DA">
              <w:rPr>
                <w:noProof/>
                <w:webHidden/>
              </w:rPr>
            </w:r>
            <w:r w:rsidR="00BD17DA">
              <w:rPr>
                <w:noProof/>
                <w:webHidden/>
              </w:rPr>
              <w:fldChar w:fldCharType="separate"/>
            </w:r>
            <w:r w:rsidR="00C84953">
              <w:rPr>
                <w:noProof/>
                <w:webHidden/>
              </w:rPr>
              <w:t>43</w:t>
            </w:r>
            <w:r w:rsidR="00BD17DA">
              <w:rPr>
                <w:noProof/>
                <w:webHidden/>
              </w:rPr>
              <w:fldChar w:fldCharType="end"/>
            </w:r>
          </w:hyperlink>
        </w:p>
        <w:p w14:paraId="4959C67C" w14:textId="4E81BAD6" w:rsidR="00BD17DA" w:rsidRDefault="00942705">
          <w:pPr>
            <w:pStyle w:val="Spistreci2"/>
            <w:tabs>
              <w:tab w:val="left" w:pos="880"/>
              <w:tab w:val="right" w:leader="dot" w:pos="10194"/>
            </w:tabs>
            <w:rPr>
              <w:rFonts w:eastAsiaTheme="minorEastAsia"/>
              <w:noProof/>
              <w:lang w:eastAsia="pl-PL"/>
            </w:rPr>
          </w:pPr>
          <w:hyperlink w:anchor="_Toc136944413" w:history="1">
            <w:r w:rsidR="00BD17DA" w:rsidRPr="00115D73">
              <w:rPr>
                <w:rStyle w:val="Hipercze"/>
                <w:rFonts w:cstheme="minorHAnsi"/>
                <w:b/>
                <w:bCs/>
                <w:noProof/>
              </w:rPr>
              <w:t>12.</w:t>
            </w:r>
            <w:r w:rsidR="00BD17DA">
              <w:rPr>
                <w:rFonts w:eastAsiaTheme="minorEastAsia"/>
                <w:noProof/>
                <w:lang w:eastAsia="pl-PL"/>
              </w:rPr>
              <w:tab/>
            </w:r>
            <w:r w:rsidR="00BD17DA" w:rsidRPr="00115D73">
              <w:rPr>
                <w:rStyle w:val="Hipercze"/>
                <w:rFonts w:cstheme="minorHAnsi"/>
                <w:b/>
                <w:bCs/>
                <w:noProof/>
              </w:rPr>
              <w:t>Rolnictwo i rynek rolny</w:t>
            </w:r>
            <w:r w:rsidR="00BD17DA">
              <w:rPr>
                <w:noProof/>
                <w:webHidden/>
              </w:rPr>
              <w:tab/>
            </w:r>
            <w:r w:rsidR="00BD17DA">
              <w:rPr>
                <w:noProof/>
                <w:webHidden/>
              </w:rPr>
              <w:fldChar w:fldCharType="begin"/>
            </w:r>
            <w:r w:rsidR="00BD17DA">
              <w:rPr>
                <w:noProof/>
                <w:webHidden/>
              </w:rPr>
              <w:instrText xml:space="preserve"> PAGEREF _Toc136944413 \h </w:instrText>
            </w:r>
            <w:r w:rsidR="00BD17DA">
              <w:rPr>
                <w:noProof/>
                <w:webHidden/>
              </w:rPr>
            </w:r>
            <w:r w:rsidR="00BD17DA">
              <w:rPr>
                <w:noProof/>
                <w:webHidden/>
              </w:rPr>
              <w:fldChar w:fldCharType="separate"/>
            </w:r>
            <w:r w:rsidR="00C84953">
              <w:rPr>
                <w:noProof/>
                <w:webHidden/>
              </w:rPr>
              <w:t>44</w:t>
            </w:r>
            <w:r w:rsidR="00BD17DA">
              <w:rPr>
                <w:noProof/>
                <w:webHidden/>
              </w:rPr>
              <w:fldChar w:fldCharType="end"/>
            </w:r>
          </w:hyperlink>
        </w:p>
        <w:p w14:paraId="14205326" w14:textId="156AC4F2" w:rsidR="00BD17DA" w:rsidRDefault="00942705">
          <w:pPr>
            <w:pStyle w:val="Spistreci2"/>
            <w:tabs>
              <w:tab w:val="left" w:pos="880"/>
              <w:tab w:val="right" w:leader="dot" w:pos="10194"/>
            </w:tabs>
            <w:rPr>
              <w:rFonts w:eastAsiaTheme="minorEastAsia"/>
              <w:noProof/>
              <w:lang w:eastAsia="pl-PL"/>
            </w:rPr>
          </w:pPr>
          <w:hyperlink w:anchor="_Toc136944414" w:history="1">
            <w:r w:rsidR="00BD17DA" w:rsidRPr="00115D73">
              <w:rPr>
                <w:rStyle w:val="Hipercze"/>
                <w:rFonts w:cstheme="minorHAnsi"/>
                <w:b/>
                <w:bCs/>
                <w:noProof/>
              </w:rPr>
              <w:t>13.</w:t>
            </w:r>
            <w:r w:rsidR="00BD17DA">
              <w:rPr>
                <w:rFonts w:eastAsiaTheme="minorEastAsia"/>
                <w:noProof/>
                <w:lang w:eastAsia="pl-PL"/>
              </w:rPr>
              <w:tab/>
            </w:r>
            <w:r w:rsidR="00BD17DA" w:rsidRPr="00115D73">
              <w:rPr>
                <w:rStyle w:val="Hipercze"/>
                <w:rFonts w:cstheme="minorHAnsi"/>
                <w:b/>
                <w:bCs/>
                <w:noProof/>
              </w:rPr>
              <w:t>Produkty lokalne, tradycyjne i regionalne</w:t>
            </w:r>
            <w:r w:rsidR="00BD17DA">
              <w:rPr>
                <w:noProof/>
                <w:webHidden/>
              </w:rPr>
              <w:tab/>
            </w:r>
            <w:r w:rsidR="00BD17DA">
              <w:rPr>
                <w:noProof/>
                <w:webHidden/>
              </w:rPr>
              <w:fldChar w:fldCharType="begin"/>
            </w:r>
            <w:r w:rsidR="00BD17DA">
              <w:rPr>
                <w:noProof/>
                <w:webHidden/>
              </w:rPr>
              <w:instrText xml:space="preserve"> PAGEREF _Toc136944414 \h </w:instrText>
            </w:r>
            <w:r w:rsidR="00BD17DA">
              <w:rPr>
                <w:noProof/>
                <w:webHidden/>
              </w:rPr>
            </w:r>
            <w:r w:rsidR="00BD17DA">
              <w:rPr>
                <w:noProof/>
                <w:webHidden/>
              </w:rPr>
              <w:fldChar w:fldCharType="separate"/>
            </w:r>
            <w:r w:rsidR="00C84953">
              <w:rPr>
                <w:noProof/>
                <w:webHidden/>
              </w:rPr>
              <w:t>45</w:t>
            </w:r>
            <w:r w:rsidR="00BD17DA">
              <w:rPr>
                <w:noProof/>
                <w:webHidden/>
              </w:rPr>
              <w:fldChar w:fldCharType="end"/>
            </w:r>
          </w:hyperlink>
        </w:p>
        <w:p w14:paraId="372292F3" w14:textId="64FE66BC" w:rsidR="00BD17DA" w:rsidRDefault="00942705">
          <w:pPr>
            <w:pStyle w:val="Spistreci2"/>
            <w:tabs>
              <w:tab w:val="left" w:pos="880"/>
              <w:tab w:val="right" w:leader="dot" w:pos="10194"/>
            </w:tabs>
            <w:rPr>
              <w:rFonts w:eastAsiaTheme="minorEastAsia"/>
              <w:noProof/>
              <w:lang w:eastAsia="pl-PL"/>
            </w:rPr>
          </w:pPr>
          <w:hyperlink w:anchor="_Toc136944415" w:history="1">
            <w:r w:rsidR="00BD17DA" w:rsidRPr="00115D73">
              <w:rPr>
                <w:rStyle w:val="Hipercze"/>
                <w:rFonts w:cstheme="minorHAnsi"/>
                <w:b/>
                <w:bCs/>
                <w:noProof/>
              </w:rPr>
              <w:t>14.</w:t>
            </w:r>
            <w:r w:rsidR="00BD17DA">
              <w:rPr>
                <w:rFonts w:eastAsiaTheme="minorEastAsia"/>
                <w:noProof/>
                <w:lang w:eastAsia="pl-PL"/>
              </w:rPr>
              <w:tab/>
            </w:r>
            <w:r w:rsidR="00BD17DA" w:rsidRPr="00115D73">
              <w:rPr>
                <w:rStyle w:val="Hipercze"/>
                <w:rFonts w:cstheme="minorHAnsi"/>
                <w:b/>
                <w:bCs/>
                <w:noProof/>
              </w:rPr>
              <w:t>Edukacja</w:t>
            </w:r>
            <w:r w:rsidR="00BD17DA">
              <w:rPr>
                <w:noProof/>
                <w:webHidden/>
              </w:rPr>
              <w:tab/>
            </w:r>
            <w:r w:rsidR="00BD17DA">
              <w:rPr>
                <w:noProof/>
                <w:webHidden/>
              </w:rPr>
              <w:fldChar w:fldCharType="begin"/>
            </w:r>
            <w:r w:rsidR="00BD17DA">
              <w:rPr>
                <w:noProof/>
                <w:webHidden/>
              </w:rPr>
              <w:instrText xml:space="preserve"> PAGEREF _Toc136944415 \h </w:instrText>
            </w:r>
            <w:r w:rsidR="00BD17DA">
              <w:rPr>
                <w:noProof/>
                <w:webHidden/>
              </w:rPr>
            </w:r>
            <w:r w:rsidR="00BD17DA">
              <w:rPr>
                <w:noProof/>
                <w:webHidden/>
              </w:rPr>
              <w:fldChar w:fldCharType="separate"/>
            </w:r>
            <w:r w:rsidR="00C84953">
              <w:rPr>
                <w:noProof/>
                <w:webHidden/>
              </w:rPr>
              <w:t>45</w:t>
            </w:r>
            <w:r w:rsidR="00BD17DA">
              <w:rPr>
                <w:noProof/>
                <w:webHidden/>
              </w:rPr>
              <w:fldChar w:fldCharType="end"/>
            </w:r>
          </w:hyperlink>
        </w:p>
        <w:p w14:paraId="446C4C51" w14:textId="7FF9DC08" w:rsidR="00BD17DA" w:rsidRDefault="00942705">
          <w:pPr>
            <w:pStyle w:val="Spistreci2"/>
            <w:tabs>
              <w:tab w:val="left" w:pos="880"/>
              <w:tab w:val="right" w:leader="dot" w:pos="10194"/>
            </w:tabs>
            <w:rPr>
              <w:rFonts w:eastAsiaTheme="minorEastAsia"/>
              <w:noProof/>
              <w:lang w:eastAsia="pl-PL"/>
            </w:rPr>
          </w:pPr>
          <w:hyperlink w:anchor="_Toc136944416" w:history="1">
            <w:r w:rsidR="00BD17DA" w:rsidRPr="00115D73">
              <w:rPr>
                <w:rStyle w:val="Hipercze"/>
                <w:rFonts w:cstheme="minorHAnsi"/>
                <w:b/>
                <w:bCs/>
                <w:noProof/>
              </w:rPr>
              <w:t>15.</w:t>
            </w:r>
            <w:r w:rsidR="00BD17DA">
              <w:rPr>
                <w:rFonts w:eastAsiaTheme="minorEastAsia"/>
                <w:noProof/>
                <w:lang w:eastAsia="pl-PL"/>
              </w:rPr>
              <w:tab/>
            </w:r>
            <w:r w:rsidR="00BD17DA" w:rsidRPr="00115D73">
              <w:rPr>
                <w:rStyle w:val="Hipercze"/>
                <w:rFonts w:cstheme="minorHAnsi"/>
                <w:b/>
                <w:bCs/>
                <w:noProof/>
              </w:rPr>
              <w:t>Zrównoważenie środowiskowe</w:t>
            </w:r>
            <w:r w:rsidR="00BD17DA">
              <w:rPr>
                <w:noProof/>
                <w:webHidden/>
              </w:rPr>
              <w:tab/>
            </w:r>
            <w:r w:rsidR="00BD17DA">
              <w:rPr>
                <w:noProof/>
                <w:webHidden/>
              </w:rPr>
              <w:fldChar w:fldCharType="begin"/>
            </w:r>
            <w:r w:rsidR="00BD17DA">
              <w:rPr>
                <w:noProof/>
                <w:webHidden/>
              </w:rPr>
              <w:instrText xml:space="preserve"> PAGEREF _Toc136944416 \h </w:instrText>
            </w:r>
            <w:r w:rsidR="00BD17DA">
              <w:rPr>
                <w:noProof/>
                <w:webHidden/>
              </w:rPr>
            </w:r>
            <w:r w:rsidR="00BD17DA">
              <w:rPr>
                <w:noProof/>
                <w:webHidden/>
              </w:rPr>
              <w:fldChar w:fldCharType="separate"/>
            </w:r>
            <w:r w:rsidR="00C84953">
              <w:rPr>
                <w:noProof/>
                <w:webHidden/>
              </w:rPr>
              <w:t>46</w:t>
            </w:r>
            <w:r w:rsidR="00BD17DA">
              <w:rPr>
                <w:noProof/>
                <w:webHidden/>
              </w:rPr>
              <w:fldChar w:fldCharType="end"/>
            </w:r>
          </w:hyperlink>
        </w:p>
        <w:p w14:paraId="09B8A9AE" w14:textId="65422408" w:rsidR="00BD17DA" w:rsidRDefault="00942705">
          <w:pPr>
            <w:pStyle w:val="Spistreci2"/>
            <w:tabs>
              <w:tab w:val="left" w:pos="880"/>
              <w:tab w:val="right" w:leader="dot" w:pos="10194"/>
            </w:tabs>
            <w:rPr>
              <w:rFonts w:eastAsiaTheme="minorEastAsia"/>
              <w:noProof/>
              <w:lang w:eastAsia="pl-PL"/>
            </w:rPr>
          </w:pPr>
          <w:hyperlink w:anchor="_Toc136944417" w:history="1">
            <w:r w:rsidR="00BD17DA" w:rsidRPr="00115D73">
              <w:rPr>
                <w:rStyle w:val="Hipercze"/>
                <w:rFonts w:cstheme="minorHAnsi"/>
                <w:b/>
                <w:bCs/>
                <w:noProof/>
              </w:rPr>
              <w:t>16.</w:t>
            </w:r>
            <w:r w:rsidR="00BD17DA">
              <w:rPr>
                <w:rFonts w:eastAsiaTheme="minorEastAsia"/>
                <w:noProof/>
                <w:lang w:eastAsia="pl-PL"/>
              </w:rPr>
              <w:tab/>
            </w:r>
            <w:r w:rsidR="00BD17DA" w:rsidRPr="00115D73">
              <w:rPr>
                <w:rStyle w:val="Hipercze"/>
                <w:rFonts w:cstheme="minorHAnsi"/>
                <w:b/>
                <w:bCs/>
                <w:noProof/>
              </w:rPr>
              <w:t>Uzasadnienie doborów zakresów wsparcia, źródeł finansowania i przyjętego sposobu wdrażania.</w:t>
            </w:r>
            <w:r w:rsidR="00BD17DA">
              <w:rPr>
                <w:noProof/>
                <w:webHidden/>
              </w:rPr>
              <w:tab/>
            </w:r>
            <w:r w:rsidR="00BD17DA">
              <w:rPr>
                <w:noProof/>
                <w:webHidden/>
              </w:rPr>
              <w:fldChar w:fldCharType="begin"/>
            </w:r>
            <w:r w:rsidR="00BD17DA">
              <w:rPr>
                <w:noProof/>
                <w:webHidden/>
              </w:rPr>
              <w:instrText xml:space="preserve"> PAGEREF _Toc136944417 \h </w:instrText>
            </w:r>
            <w:r w:rsidR="00BD17DA">
              <w:rPr>
                <w:noProof/>
                <w:webHidden/>
              </w:rPr>
            </w:r>
            <w:r w:rsidR="00BD17DA">
              <w:rPr>
                <w:noProof/>
                <w:webHidden/>
              </w:rPr>
              <w:fldChar w:fldCharType="separate"/>
            </w:r>
            <w:r w:rsidR="00C84953">
              <w:rPr>
                <w:noProof/>
                <w:webHidden/>
              </w:rPr>
              <w:t>47</w:t>
            </w:r>
            <w:r w:rsidR="00BD17DA">
              <w:rPr>
                <w:noProof/>
                <w:webHidden/>
              </w:rPr>
              <w:fldChar w:fldCharType="end"/>
            </w:r>
          </w:hyperlink>
        </w:p>
        <w:p w14:paraId="0C521B0E" w14:textId="535BD861" w:rsidR="00BD17DA" w:rsidRDefault="00942705">
          <w:pPr>
            <w:pStyle w:val="Spistreci2"/>
            <w:tabs>
              <w:tab w:val="left" w:pos="880"/>
              <w:tab w:val="right" w:leader="dot" w:pos="10194"/>
            </w:tabs>
            <w:rPr>
              <w:rFonts w:eastAsiaTheme="minorEastAsia"/>
              <w:noProof/>
              <w:lang w:eastAsia="pl-PL"/>
            </w:rPr>
          </w:pPr>
          <w:hyperlink w:anchor="_Toc136944418" w:history="1">
            <w:r w:rsidR="00BD17DA" w:rsidRPr="00115D73">
              <w:rPr>
                <w:rStyle w:val="Hipercze"/>
                <w:rFonts w:eastAsia="Times New Roman" w:cstheme="minorHAnsi"/>
                <w:b/>
                <w:bCs/>
                <w:noProof/>
              </w:rPr>
              <w:t>17.</w:t>
            </w:r>
            <w:r w:rsidR="00BD17DA">
              <w:rPr>
                <w:rFonts w:eastAsiaTheme="minorEastAsia"/>
                <w:noProof/>
                <w:lang w:eastAsia="pl-PL"/>
              </w:rPr>
              <w:tab/>
            </w:r>
            <w:r w:rsidR="00BD17DA" w:rsidRPr="00115D73">
              <w:rPr>
                <w:rStyle w:val="Hipercze"/>
                <w:rFonts w:eastAsia="Times New Roman" w:cstheme="minorHAnsi"/>
                <w:b/>
                <w:bCs/>
                <w:noProof/>
              </w:rPr>
              <w:t>Podsumowanie. Kluczowe problemy obszaru LGD.</w:t>
            </w:r>
            <w:r w:rsidR="00BD17DA">
              <w:rPr>
                <w:noProof/>
                <w:webHidden/>
              </w:rPr>
              <w:tab/>
            </w:r>
            <w:r w:rsidR="00BD17DA">
              <w:rPr>
                <w:noProof/>
                <w:webHidden/>
              </w:rPr>
              <w:fldChar w:fldCharType="begin"/>
            </w:r>
            <w:r w:rsidR="00BD17DA">
              <w:rPr>
                <w:noProof/>
                <w:webHidden/>
              </w:rPr>
              <w:instrText xml:space="preserve"> PAGEREF _Toc136944418 \h </w:instrText>
            </w:r>
            <w:r w:rsidR="00BD17DA">
              <w:rPr>
                <w:noProof/>
                <w:webHidden/>
              </w:rPr>
            </w:r>
            <w:r w:rsidR="00BD17DA">
              <w:rPr>
                <w:noProof/>
                <w:webHidden/>
              </w:rPr>
              <w:fldChar w:fldCharType="separate"/>
            </w:r>
            <w:r w:rsidR="00C84953">
              <w:rPr>
                <w:noProof/>
                <w:webHidden/>
              </w:rPr>
              <w:t>47</w:t>
            </w:r>
            <w:r w:rsidR="00BD17DA">
              <w:rPr>
                <w:noProof/>
                <w:webHidden/>
              </w:rPr>
              <w:fldChar w:fldCharType="end"/>
            </w:r>
          </w:hyperlink>
        </w:p>
        <w:p w14:paraId="44E4AD52" w14:textId="427D8333" w:rsidR="00BD17DA" w:rsidRDefault="00942705">
          <w:pPr>
            <w:pStyle w:val="Spistreci2"/>
            <w:tabs>
              <w:tab w:val="left" w:pos="880"/>
              <w:tab w:val="right" w:leader="dot" w:pos="10194"/>
            </w:tabs>
            <w:rPr>
              <w:rFonts w:eastAsiaTheme="minorEastAsia"/>
              <w:noProof/>
              <w:lang w:eastAsia="pl-PL"/>
            </w:rPr>
          </w:pPr>
          <w:hyperlink w:anchor="_Toc136944419" w:history="1">
            <w:r w:rsidR="00BD17DA" w:rsidRPr="00115D73">
              <w:rPr>
                <w:rStyle w:val="Hipercze"/>
                <w:rFonts w:eastAsia="Times New Roman" w:cstheme="minorHAnsi"/>
                <w:b/>
                <w:bCs/>
                <w:noProof/>
              </w:rPr>
              <w:t>18.</w:t>
            </w:r>
            <w:r w:rsidR="00BD17DA">
              <w:rPr>
                <w:rFonts w:eastAsiaTheme="minorEastAsia"/>
                <w:noProof/>
                <w:lang w:eastAsia="pl-PL"/>
              </w:rPr>
              <w:tab/>
            </w:r>
            <w:r w:rsidR="00BD17DA" w:rsidRPr="00115D73">
              <w:rPr>
                <w:rStyle w:val="Hipercze"/>
                <w:rFonts w:eastAsia="Times New Roman" w:cstheme="minorHAnsi"/>
                <w:b/>
                <w:bCs/>
                <w:noProof/>
              </w:rPr>
              <w:t>Podejście LGD do kwestii przestrzegania zasady równości szans i niedyskryminacji</w:t>
            </w:r>
            <w:r w:rsidR="00BD17DA">
              <w:rPr>
                <w:noProof/>
                <w:webHidden/>
              </w:rPr>
              <w:tab/>
            </w:r>
            <w:r w:rsidR="00BD17DA">
              <w:rPr>
                <w:noProof/>
                <w:webHidden/>
              </w:rPr>
              <w:fldChar w:fldCharType="begin"/>
            </w:r>
            <w:r w:rsidR="00BD17DA">
              <w:rPr>
                <w:noProof/>
                <w:webHidden/>
              </w:rPr>
              <w:instrText xml:space="preserve"> PAGEREF _Toc136944419 \h </w:instrText>
            </w:r>
            <w:r w:rsidR="00BD17DA">
              <w:rPr>
                <w:noProof/>
                <w:webHidden/>
              </w:rPr>
            </w:r>
            <w:r w:rsidR="00BD17DA">
              <w:rPr>
                <w:noProof/>
                <w:webHidden/>
              </w:rPr>
              <w:fldChar w:fldCharType="separate"/>
            </w:r>
            <w:r w:rsidR="00C84953">
              <w:rPr>
                <w:noProof/>
                <w:webHidden/>
              </w:rPr>
              <w:t>51</w:t>
            </w:r>
            <w:r w:rsidR="00BD17DA">
              <w:rPr>
                <w:noProof/>
                <w:webHidden/>
              </w:rPr>
              <w:fldChar w:fldCharType="end"/>
            </w:r>
          </w:hyperlink>
        </w:p>
        <w:p w14:paraId="13D9F656" w14:textId="3DBF32AE" w:rsidR="00BD17DA" w:rsidRDefault="00942705">
          <w:pPr>
            <w:pStyle w:val="Spistreci1"/>
            <w:tabs>
              <w:tab w:val="right" w:leader="dot" w:pos="10194"/>
            </w:tabs>
            <w:rPr>
              <w:rFonts w:eastAsiaTheme="minorEastAsia"/>
              <w:noProof/>
              <w:lang w:eastAsia="pl-PL"/>
            </w:rPr>
          </w:pPr>
          <w:hyperlink w:anchor="_Toc136944420" w:history="1">
            <w:r w:rsidR="00BD17DA" w:rsidRPr="00115D73">
              <w:rPr>
                <w:rStyle w:val="Hipercze"/>
                <w:rFonts w:eastAsia="Times New Roman" w:cstheme="minorHAnsi"/>
                <w:b/>
                <w:bCs/>
                <w:noProof/>
              </w:rPr>
              <w:t>ROZDZIAŁ V. SPÓJNOŚĆ, KOMPLEMENTARNOŚĆ I SYNERGIA</w:t>
            </w:r>
            <w:r w:rsidR="00BD17DA">
              <w:rPr>
                <w:noProof/>
                <w:webHidden/>
              </w:rPr>
              <w:tab/>
            </w:r>
            <w:r w:rsidR="00BD17DA">
              <w:rPr>
                <w:noProof/>
                <w:webHidden/>
              </w:rPr>
              <w:fldChar w:fldCharType="begin"/>
            </w:r>
            <w:r w:rsidR="00BD17DA">
              <w:rPr>
                <w:noProof/>
                <w:webHidden/>
              </w:rPr>
              <w:instrText xml:space="preserve"> PAGEREF _Toc136944420 \h </w:instrText>
            </w:r>
            <w:r w:rsidR="00BD17DA">
              <w:rPr>
                <w:noProof/>
                <w:webHidden/>
              </w:rPr>
            </w:r>
            <w:r w:rsidR="00BD17DA">
              <w:rPr>
                <w:noProof/>
                <w:webHidden/>
              </w:rPr>
              <w:fldChar w:fldCharType="separate"/>
            </w:r>
            <w:r w:rsidR="00C84953">
              <w:rPr>
                <w:noProof/>
                <w:webHidden/>
              </w:rPr>
              <w:t>52</w:t>
            </w:r>
            <w:r w:rsidR="00BD17DA">
              <w:rPr>
                <w:noProof/>
                <w:webHidden/>
              </w:rPr>
              <w:fldChar w:fldCharType="end"/>
            </w:r>
          </w:hyperlink>
        </w:p>
        <w:p w14:paraId="2BCC0906" w14:textId="5F487F1D" w:rsidR="00BD17DA" w:rsidRDefault="00942705">
          <w:pPr>
            <w:pStyle w:val="Spistreci2"/>
            <w:tabs>
              <w:tab w:val="left" w:pos="660"/>
              <w:tab w:val="right" w:leader="dot" w:pos="10194"/>
            </w:tabs>
            <w:rPr>
              <w:rFonts w:eastAsiaTheme="minorEastAsia"/>
              <w:noProof/>
              <w:lang w:eastAsia="pl-PL"/>
            </w:rPr>
          </w:pPr>
          <w:hyperlink w:anchor="_Toc136944421" w:history="1">
            <w:r w:rsidR="00BD17DA" w:rsidRPr="00115D73">
              <w:rPr>
                <w:rStyle w:val="Hipercze"/>
                <w:rFonts w:eastAsia="Times New Roman" w:cstheme="minorHAnsi"/>
                <w:b/>
                <w:bCs/>
                <w:noProof/>
              </w:rPr>
              <w:t>1.</w:t>
            </w:r>
            <w:r w:rsidR="00BD17DA">
              <w:rPr>
                <w:rFonts w:eastAsiaTheme="minorEastAsia"/>
                <w:noProof/>
                <w:lang w:eastAsia="pl-PL"/>
              </w:rPr>
              <w:tab/>
            </w:r>
            <w:r w:rsidR="00BD17DA" w:rsidRPr="00115D73">
              <w:rPr>
                <w:rStyle w:val="Hipercze"/>
                <w:rFonts w:eastAsia="Times New Roman" w:cstheme="minorHAnsi"/>
                <w:b/>
                <w:bCs/>
                <w:noProof/>
              </w:rPr>
              <w:t>Zgodność i komplementarność z innymi dokumentami planistycznymi</w:t>
            </w:r>
            <w:r w:rsidR="00BD17DA">
              <w:rPr>
                <w:noProof/>
                <w:webHidden/>
              </w:rPr>
              <w:tab/>
            </w:r>
            <w:r w:rsidR="00BD17DA">
              <w:rPr>
                <w:noProof/>
                <w:webHidden/>
              </w:rPr>
              <w:fldChar w:fldCharType="begin"/>
            </w:r>
            <w:r w:rsidR="00BD17DA">
              <w:rPr>
                <w:noProof/>
                <w:webHidden/>
              </w:rPr>
              <w:instrText xml:space="preserve"> PAGEREF _Toc136944421 \h </w:instrText>
            </w:r>
            <w:r w:rsidR="00BD17DA">
              <w:rPr>
                <w:noProof/>
                <w:webHidden/>
              </w:rPr>
            </w:r>
            <w:r w:rsidR="00BD17DA">
              <w:rPr>
                <w:noProof/>
                <w:webHidden/>
              </w:rPr>
              <w:fldChar w:fldCharType="separate"/>
            </w:r>
            <w:r w:rsidR="00C84953">
              <w:rPr>
                <w:noProof/>
                <w:webHidden/>
              </w:rPr>
              <w:t>52</w:t>
            </w:r>
            <w:r w:rsidR="00BD17DA">
              <w:rPr>
                <w:noProof/>
                <w:webHidden/>
              </w:rPr>
              <w:fldChar w:fldCharType="end"/>
            </w:r>
          </w:hyperlink>
        </w:p>
        <w:p w14:paraId="4D830578" w14:textId="09D247E2" w:rsidR="00BD17DA" w:rsidRDefault="00942705">
          <w:pPr>
            <w:pStyle w:val="Spistreci2"/>
            <w:tabs>
              <w:tab w:val="left" w:pos="660"/>
              <w:tab w:val="right" w:leader="dot" w:pos="10194"/>
            </w:tabs>
            <w:rPr>
              <w:rFonts w:eastAsiaTheme="minorEastAsia"/>
              <w:noProof/>
              <w:lang w:eastAsia="pl-PL"/>
            </w:rPr>
          </w:pPr>
          <w:hyperlink w:anchor="_Toc136944422" w:history="1">
            <w:r w:rsidR="00BD17DA" w:rsidRPr="00115D73">
              <w:rPr>
                <w:rStyle w:val="Hipercze"/>
                <w:rFonts w:eastAsia="Times New Roman" w:cstheme="minorHAnsi"/>
                <w:b/>
                <w:bCs/>
                <w:noProof/>
              </w:rPr>
              <w:t>2.</w:t>
            </w:r>
            <w:r w:rsidR="00BD17DA">
              <w:rPr>
                <w:rFonts w:eastAsiaTheme="minorEastAsia"/>
                <w:noProof/>
                <w:lang w:eastAsia="pl-PL"/>
              </w:rPr>
              <w:tab/>
            </w:r>
            <w:r w:rsidR="00BD17DA" w:rsidRPr="00115D73">
              <w:rPr>
                <w:rStyle w:val="Hipercze"/>
                <w:rFonts w:eastAsia="Times New Roman" w:cstheme="minorHAnsi"/>
                <w:b/>
                <w:bCs/>
                <w:noProof/>
              </w:rPr>
              <w:t>Komplementarność i synergia przedsięwzięć w LSR</w:t>
            </w:r>
            <w:r w:rsidR="00BD17DA">
              <w:rPr>
                <w:noProof/>
                <w:webHidden/>
              </w:rPr>
              <w:tab/>
            </w:r>
            <w:r w:rsidR="00BD17DA">
              <w:rPr>
                <w:noProof/>
                <w:webHidden/>
              </w:rPr>
              <w:fldChar w:fldCharType="begin"/>
            </w:r>
            <w:r w:rsidR="00BD17DA">
              <w:rPr>
                <w:noProof/>
                <w:webHidden/>
              </w:rPr>
              <w:instrText xml:space="preserve"> PAGEREF _Toc136944422 \h </w:instrText>
            </w:r>
            <w:r w:rsidR="00BD17DA">
              <w:rPr>
                <w:noProof/>
                <w:webHidden/>
              </w:rPr>
            </w:r>
            <w:r w:rsidR="00BD17DA">
              <w:rPr>
                <w:noProof/>
                <w:webHidden/>
              </w:rPr>
              <w:fldChar w:fldCharType="separate"/>
            </w:r>
            <w:r w:rsidR="00C84953">
              <w:rPr>
                <w:noProof/>
                <w:webHidden/>
              </w:rPr>
              <w:t>55</w:t>
            </w:r>
            <w:r w:rsidR="00BD17DA">
              <w:rPr>
                <w:noProof/>
                <w:webHidden/>
              </w:rPr>
              <w:fldChar w:fldCharType="end"/>
            </w:r>
          </w:hyperlink>
        </w:p>
        <w:p w14:paraId="3675A1B7" w14:textId="5A5A6899" w:rsidR="00BD17DA" w:rsidRDefault="00942705">
          <w:pPr>
            <w:pStyle w:val="Spistreci2"/>
            <w:tabs>
              <w:tab w:val="left" w:pos="660"/>
              <w:tab w:val="right" w:leader="dot" w:pos="10194"/>
            </w:tabs>
            <w:rPr>
              <w:rFonts w:eastAsiaTheme="minorEastAsia"/>
              <w:noProof/>
              <w:lang w:eastAsia="pl-PL"/>
            </w:rPr>
          </w:pPr>
          <w:hyperlink w:anchor="_Toc136944423" w:history="1">
            <w:r w:rsidR="00BD17DA" w:rsidRPr="00115D73">
              <w:rPr>
                <w:rStyle w:val="Hipercze"/>
                <w:rFonts w:eastAsia="Times New Roman" w:cstheme="minorHAnsi"/>
                <w:b/>
                <w:bCs/>
                <w:noProof/>
              </w:rPr>
              <w:t>3.</w:t>
            </w:r>
            <w:r w:rsidR="00BD17DA">
              <w:rPr>
                <w:rFonts w:eastAsiaTheme="minorEastAsia"/>
                <w:noProof/>
                <w:lang w:eastAsia="pl-PL"/>
              </w:rPr>
              <w:tab/>
            </w:r>
            <w:r w:rsidR="00BD17DA" w:rsidRPr="00115D73">
              <w:rPr>
                <w:rStyle w:val="Hipercze"/>
                <w:rFonts w:eastAsia="Times New Roman" w:cstheme="minorHAnsi"/>
                <w:b/>
                <w:bCs/>
                <w:noProof/>
              </w:rPr>
              <w:t>Wartość dodana podejścia LEADER</w:t>
            </w:r>
            <w:r w:rsidR="00BD17DA">
              <w:rPr>
                <w:noProof/>
                <w:webHidden/>
              </w:rPr>
              <w:tab/>
            </w:r>
            <w:r w:rsidR="00BD17DA">
              <w:rPr>
                <w:noProof/>
                <w:webHidden/>
              </w:rPr>
              <w:fldChar w:fldCharType="begin"/>
            </w:r>
            <w:r w:rsidR="00BD17DA">
              <w:rPr>
                <w:noProof/>
                <w:webHidden/>
              </w:rPr>
              <w:instrText xml:space="preserve"> PAGEREF _Toc136944423 \h </w:instrText>
            </w:r>
            <w:r w:rsidR="00BD17DA">
              <w:rPr>
                <w:noProof/>
                <w:webHidden/>
              </w:rPr>
            </w:r>
            <w:r w:rsidR="00BD17DA">
              <w:rPr>
                <w:noProof/>
                <w:webHidden/>
              </w:rPr>
              <w:fldChar w:fldCharType="separate"/>
            </w:r>
            <w:r w:rsidR="00C84953">
              <w:rPr>
                <w:noProof/>
                <w:webHidden/>
              </w:rPr>
              <w:t>56</w:t>
            </w:r>
            <w:r w:rsidR="00BD17DA">
              <w:rPr>
                <w:noProof/>
                <w:webHidden/>
              </w:rPr>
              <w:fldChar w:fldCharType="end"/>
            </w:r>
          </w:hyperlink>
        </w:p>
        <w:p w14:paraId="59C9AA24" w14:textId="3EB48536" w:rsidR="00BD17DA" w:rsidRDefault="00942705">
          <w:pPr>
            <w:pStyle w:val="Spistreci2"/>
            <w:tabs>
              <w:tab w:val="left" w:pos="660"/>
              <w:tab w:val="right" w:leader="dot" w:pos="10194"/>
            </w:tabs>
            <w:rPr>
              <w:rFonts w:eastAsiaTheme="minorEastAsia"/>
              <w:noProof/>
              <w:lang w:eastAsia="pl-PL"/>
            </w:rPr>
          </w:pPr>
          <w:hyperlink w:anchor="_Toc136944424" w:history="1">
            <w:r w:rsidR="00BD17DA" w:rsidRPr="00115D73">
              <w:rPr>
                <w:rStyle w:val="Hipercze"/>
                <w:rFonts w:eastAsia="Calibri" w:cstheme="minorHAnsi"/>
                <w:b/>
                <w:bCs/>
                <w:noProof/>
              </w:rPr>
              <w:t>4.</w:t>
            </w:r>
            <w:r w:rsidR="00BD17DA">
              <w:rPr>
                <w:rFonts w:eastAsiaTheme="minorEastAsia"/>
                <w:noProof/>
                <w:lang w:eastAsia="pl-PL"/>
              </w:rPr>
              <w:tab/>
            </w:r>
            <w:r w:rsidR="00BD17DA" w:rsidRPr="00115D73">
              <w:rPr>
                <w:rStyle w:val="Hipercze"/>
                <w:rFonts w:eastAsia="Calibri" w:cstheme="minorHAnsi"/>
                <w:b/>
                <w:bCs/>
                <w:noProof/>
              </w:rPr>
              <w:t>Dywersyfikacja źródeł finansowania LSR</w:t>
            </w:r>
            <w:r w:rsidR="00BD17DA">
              <w:rPr>
                <w:noProof/>
                <w:webHidden/>
              </w:rPr>
              <w:tab/>
            </w:r>
            <w:r w:rsidR="00BD17DA">
              <w:rPr>
                <w:noProof/>
                <w:webHidden/>
              </w:rPr>
              <w:fldChar w:fldCharType="begin"/>
            </w:r>
            <w:r w:rsidR="00BD17DA">
              <w:rPr>
                <w:noProof/>
                <w:webHidden/>
              </w:rPr>
              <w:instrText xml:space="preserve"> PAGEREF _Toc136944424 \h </w:instrText>
            </w:r>
            <w:r w:rsidR="00BD17DA">
              <w:rPr>
                <w:noProof/>
                <w:webHidden/>
              </w:rPr>
            </w:r>
            <w:r w:rsidR="00BD17DA">
              <w:rPr>
                <w:noProof/>
                <w:webHidden/>
              </w:rPr>
              <w:fldChar w:fldCharType="separate"/>
            </w:r>
            <w:r w:rsidR="00C84953">
              <w:rPr>
                <w:noProof/>
                <w:webHidden/>
              </w:rPr>
              <w:t>57</w:t>
            </w:r>
            <w:r w:rsidR="00BD17DA">
              <w:rPr>
                <w:noProof/>
                <w:webHidden/>
              </w:rPr>
              <w:fldChar w:fldCharType="end"/>
            </w:r>
          </w:hyperlink>
        </w:p>
        <w:p w14:paraId="28911DEB" w14:textId="61C59155" w:rsidR="00BD17DA" w:rsidRDefault="00942705">
          <w:pPr>
            <w:pStyle w:val="Spistreci2"/>
            <w:tabs>
              <w:tab w:val="left" w:pos="660"/>
              <w:tab w:val="right" w:leader="dot" w:pos="10194"/>
            </w:tabs>
            <w:rPr>
              <w:rFonts w:eastAsiaTheme="minorEastAsia"/>
              <w:noProof/>
              <w:lang w:eastAsia="pl-PL"/>
            </w:rPr>
          </w:pPr>
          <w:hyperlink w:anchor="_Toc136944425" w:history="1">
            <w:r w:rsidR="00BD17DA" w:rsidRPr="00115D73">
              <w:rPr>
                <w:rStyle w:val="Hipercze"/>
                <w:rFonts w:eastAsia="Times New Roman" w:cstheme="minorHAnsi"/>
                <w:b/>
                <w:bCs/>
                <w:noProof/>
              </w:rPr>
              <w:t>5.</w:t>
            </w:r>
            <w:r w:rsidR="00BD17DA">
              <w:rPr>
                <w:rFonts w:eastAsiaTheme="minorEastAsia"/>
                <w:noProof/>
                <w:lang w:eastAsia="pl-PL"/>
              </w:rPr>
              <w:tab/>
            </w:r>
            <w:r w:rsidR="00BD17DA" w:rsidRPr="00115D73">
              <w:rPr>
                <w:rStyle w:val="Hipercze"/>
                <w:rFonts w:eastAsia="Times New Roman" w:cstheme="minorHAnsi"/>
                <w:b/>
                <w:bCs/>
                <w:noProof/>
              </w:rPr>
              <w:t>Metody aktywizujące</w:t>
            </w:r>
            <w:r w:rsidR="00BD17DA">
              <w:rPr>
                <w:noProof/>
                <w:webHidden/>
              </w:rPr>
              <w:tab/>
            </w:r>
            <w:r w:rsidR="00BD17DA">
              <w:rPr>
                <w:noProof/>
                <w:webHidden/>
              </w:rPr>
              <w:fldChar w:fldCharType="begin"/>
            </w:r>
            <w:r w:rsidR="00BD17DA">
              <w:rPr>
                <w:noProof/>
                <w:webHidden/>
              </w:rPr>
              <w:instrText xml:space="preserve"> PAGEREF _Toc136944425 \h </w:instrText>
            </w:r>
            <w:r w:rsidR="00BD17DA">
              <w:rPr>
                <w:noProof/>
                <w:webHidden/>
              </w:rPr>
            </w:r>
            <w:r w:rsidR="00BD17DA">
              <w:rPr>
                <w:noProof/>
                <w:webHidden/>
              </w:rPr>
              <w:fldChar w:fldCharType="separate"/>
            </w:r>
            <w:r w:rsidR="00C84953">
              <w:rPr>
                <w:noProof/>
                <w:webHidden/>
              </w:rPr>
              <w:t>58</w:t>
            </w:r>
            <w:r w:rsidR="00BD17DA">
              <w:rPr>
                <w:noProof/>
                <w:webHidden/>
              </w:rPr>
              <w:fldChar w:fldCharType="end"/>
            </w:r>
          </w:hyperlink>
        </w:p>
        <w:p w14:paraId="623576FE" w14:textId="4CD6DF82" w:rsidR="00BD17DA" w:rsidRDefault="00942705">
          <w:pPr>
            <w:pStyle w:val="Spistreci2"/>
            <w:tabs>
              <w:tab w:val="left" w:pos="660"/>
              <w:tab w:val="right" w:leader="dot" w:pos="10194"/>
            </w:tabs>
            <w:rPr>
              <w:rFonts w:eastAsiaTheme="minorEastAsia"/>
              <w:noProof/>
              <w:lang w:eastAsia="pl-PL"/>
            </w:rPr>
          </w:pPr>
          <w:hyperlink w:anchor="_Toc136944426" w:history="1">
            <w:r w:rsidR="00BD17DA" w:rsidRPr="00115D73">
              <w:rPr>
                <w:rStyle w:val="Hipercze"/>
                <w:rFonts w:eastAsia="Times New Roman" w:cstheme="minorHAnsi"/>
                <w:b/>
                <w:bCs/>
                <w:noProof/>
              </w:rPr>
              <w:t>6.</w:t>
            </w:r>
            <w:r w:rsidR="00BD17DA">
              <w:rPr>
                <w:rFonts w:eastAsiaTheme="minorEastAsia"/>
                <w:noProof/>
                <w:lang w:eastAsia="pl-PL"/>
              </w:rPr>
              <w:tab/>
            </w:r>
            <w:r w:rsidR="00BD17DA" w:rsidRPr="00115D73">
              <w:rPr>
                <w:rStyle w:val="Hipercze"/>
                <w:rFonts w:eastAsia="Times New Roman" w:cstheme="minorHAnsi"/>
                <w:b/>
                <w:bCs/>
                <w:noProof/>
              </w:rPr>
              <w:t>Integrowanie</w:t>
            </w:r>
            <w:r w:rsidR="00BD17DA" w:rsidRPr="00115D73">
              <w:rPr>
                <w:rStyle w:val="Hipercze"/>
                <w:rFonts w:eastAsia="Times New Roman" w:cstheme="minorHAnsi"/>
                <w:b/>
                <w:bCs/>
                <w:noProof/>
                <w:spacing w:val="1"/>
              </w:rPr>
              <w:t xml:space="preserve"> </w:t>
            </w:r>
            <w:r w:rsidR="00BD17DA" w:rsidRPr="00115D73">
              <w:rPr>
                <w:rStyle w:val="Hipercze"/>
                <w:rFonts w:eastAsia="Times New Roman" w:cstheme="minorHAnsi"/>
                <w:b/>
                <w:bCs/>
                <w:noProof/>
              </w:rPr>
              <w:t>sektorów,</w:t>
            </w:r>
            <w:r w:rsidR="00BD17DA" w:rsidRPr="00115D73">
              <w:rPr>
                <w:rStyle w:val="Hipercze"/>
                <w:rFonts w:eastAsia="Times New Roman" w:cstheme="minorHAnsi"/>
                <w:b/>
                <w:bCs/>
                <w:noProof/>
                <w:spacing w:val="1"/>
              </w:rPr>
              <w:t xml:space="preserve"> </w:t>
            </w:r>
            <w:r w:rsidR="00BD17DA" w:rsidRPr="00115D73">
              <w:rPr>
                <w:rStyle w:val="Hipercze"/>
                <w:rFonts w:eastAsia="Times New Roman" w:cstheme="minorHAnsi"/>
                <w:b/>
                <w:bCs/>
                <w:noProof/>
              </w:rPr>
              <w:t>partnerów,</w:t>
            </w:r>
            <w:r w:rsidR="00BD17DA" w:rsidRPr="00115D73">
              <w:rPr>
                <w:rStyle w:val="Hipercze"/>
                <w:rFonts w:eastAsia="Times New Roman" w:cstheme="minorHAnsi"/>
                <w:b/>
                <w:bCs/>
                <w:noProof/>
                <w:spacing w:val="1"/>
              </w:rPr>
              <w:t xml:space="preserve"> </w:t>
            </w:r>
            <w:r w:rsidR="00BD17DA" w:rsidRPr="00115D73">
              <w:rPr>
                <w:rStyle w:val="Hipercze"/>
                <w:rFonts w:eastAsia="Times New Roman" w:cstheme="minorHAnsi"/>
                <w:b/>
                <w:bCs/>
                <w:noProof/>
              </w:rPr>
              <w:t>zasobów</w:t>
            </w:r>
            <w:r w:rsidR="00BD17DA" w:rsidRPr="00115D73">
              <w:rPr>
                <w:rStyle w:val="Hipercze"/>
                <w:rFonts w:eastAsia="Times New Roman" w:cstheme="minorHAnsi"/>
                <w:b/>
                <w:bCs/>
                <w:noProof/>
                <w:spacing w:val="1"/>
              </w:rPr>
              <w:t xml:space="preserve"> </w:t>
            </w:r>
            <w:r w:rsidR="00BD17DA" w:rsidRPr="00115D73">
              <w:rPr>
                <w:rStyle w:val="Hipercze"/>
                <w:rFonts w:eastAsia="Times New Roman" w:cstheme="minorHAnsi"/>
                <w:b/>
                <w:bCs/>
                <w:noProof/>
              </w:rPr>
              <w:t>i branż</w:t>
            </w:r>
            <w:r w:rsidR="00BD17DA" w:rsidRPr="00115D73">
              <w:rPr>
                <w:rStyle w:val="Hipercze"/>
                <w:rFonts w:eastAsia="Times New Roman" w:cstheme="minorHAnsi"/>
                <w:b/>
                <w:bCs/>
                <w:noProof/>
                <w:spacing w:val="1"/>
              </w:rPr>
              <w:t xml:space="preserve"> </w:t>
            </w:r>
            <w:r w:rsidR="00BD17DA" w:rsidRPr="00115D73">
              <w:rPr>
                <w:rStyle w:val="Hipercze"/>
                <w:rFonts w:eastAsia="Times New Roman" w:cstheme="minorHAnsi"/>
                <w:b/>
                <w:bCs/>
                <w:noProof/>
              </w:rPr>
              <w:t>w celu</w:t>
            </w:r>
            <w:r w:rsidR="00BD17DA" w:rsidRPr="00115D73">
              <w:rPr>
                <w:rStyle w:val="Hipercze"/>
                <w:rFonts w:eastAsia="Times New Roman" w:cstheme="minorHAnsi"/>
                <w:b/>
                <w:bCs/>
                <w:noProof/>
                <w:spacing w:val="1"/>
              </w:rPr>
              <w:t xml:space="preserve"> </w:t>
            </w:r>
            <w:r w:rsidR="00BD17DA" w:rsidRPr="00115D73">
              <w:rPr>
                <w:rStyle w:val="Hipercze"/>
                <w:rFonts w:eastAsia="Times New Roman" w:cstheme="minorHAnsi"/>
                <w:b/>
                <w:bCs/>
                <w:noProof/>
              </w:rPr>
              <w:t>kompleksowej</w:t>
            </w:r>
            <w:r w:rsidR="00BD17DA" w:rsidRPr="00115D73">
              <w:rPr>
                <w:rStyle w:val="Hipercze"/>
                <w:rFonts w:eastAsia="Times New Roman" w:cstheme="minorHAnsi"/>
                <w:b/>
                <w:bCs/>
                <w:noProof/>
                <w:spacing w:val="1"/>
              </w:rPr>
              <w:t xml:space="preserve"> </w:t>
            </w:r>
            <w:r w:rsidR="00BD17DA" w:rsidRPr="00115D73">
              <w:rPr>
                <w:rStyle w:val="Hipercze"/>
                <w:rFonts w:eastAsia="Times New Roman" w:cstheme="minorHAnsi"/>
                <w:b/>
                <w:bCs/>
                <w:noProof/>
              </w:rPr>
              <w:t>realizacji</w:t>
            </w:r>
            <w:r w:rsidR="00BD17DA" w:rsidRPr="00115D73">
              <w:rPr>
                <w:rStyle w:val="Hipercze"/>
                <w:rFonts w:eastAsia="Times New Roman" w:cstheme="minorHAnsi"/>
                <w:b/>
                <w:bCs/>
                <w:noProof/>
                <w:spacing w:val="1"/>
              </w:rPr>
              <w:t xml:space="preserve"> </w:t>
            </w:r>
            <w:r w:rsidR="00BD17DA" w:rsidRPr="00115D73">
              <w:rPr>
                <w:rStyle w:val="Hipercze"/>
                <w:rFonts w:eastAsia="Times New Roman" w:cstheme="minorHAnsi"/>
                <w:b/>
                <w:bCs/>
                <w:noProof/>
              </w:rPr>
              <w:t>przedsięwzięć</w:t>
            </w:r>
            <w:r w:rsidR="00BD17DA">
              <w:rPr>
                <w:noProof/>
                <w:webHidden/>
              </w:rPr>
              <w:tab/>
            </w:r>
            <w:r w:rsidR="00BD17DA">
              <w:rPr>
                <w:noProof/>
                <w:webHidden/>
              </w:rPr>
              <w:fldChar w:fldCharType="begin"/>
            </w:r>
            <w:r w:rsidR="00BD17DA">
              <w:rPr>
                <w:noProof/>
                <w:webHidden/>
              </w:rPr>
              <w:instrText xml:space="preserve"> PAGEREF _Toc136944426 \h </w:instrText>
            </w:r>
            <w:r w:rsidR="00BD17DA">
              <w:rPr>
                <w:noProof/>
                <w:webHidden/>
              </w:rPr>
            </w:r>
            <w:r w:rsidR="00BD17DA">
              <w:rPr>
                <w:noProof/>
                <w:webHidden/>
              </w:rPr>
              <w:fldChar w:fldCharType="separate"/>
            </w:r>
            <w:r w:rsidR="00C84953">
              <w:rPr>
                <w:noProof/>
                <w:webHidden/>
              </w:rPr>
              <w:t>59</w:t>
            </w:r>
            <w:r w:rsidR="00BD17DA">
              <w:rPr>
                <w:noProof/>
                <w:webHidden/>
              </w:rPr>
              <w:fldChar w:fldCharType="end"/>
            </w:r>
          </w:hyperlink>
        </w:p>
        <w:p w14:paraId="3822D813" w14:textId="08747CD8" w:rsidR="00BD17DA" w:rsidRDefault="00942705">
          <w:pPr>
            <w:pStyle w:val="Spistreci2"/>
            <w:tabs>
              <w:tab w:val="left" w:pos="660"/>
              <w:tab w:val="right" w:leader="dot" w:pos="10194"/>
            </w:tabs>
            <w:rPr>
              <w:rFonts w:eastAsiaTheme="minorEastAsia"/>
              <w:noProof/>
              <w:lang w:eastAsia="pl-PL"/>
            </w:rPr>
          </w:pPr>
          <w:hyperlink w:anchor="_Toc136944427" w:history="1">
            <w:r w:rsidR="00BD17DA" w:rsidRPr="00115D73">
              <w:rPr>
                <w:rStyle w:val="Hipercze"/>
                <w:rFonts w:eastAsia="Times New Roman" w:cstheme="minorHAnsi"/>
                <w:b/>
                <w:bCs/>
                <w:noProof/>
              </w:rPr>
              <w:t>7.</w:t>
            </w:r>
            <w:r w:rsidR="00BD17DA">
              <w:rPr>
                <w:rFonts w:eastAsiaTheme="minorEastAsia"/>
                <w:noProof/>
                <w:lang w:eastAsia="pl-PL"/>
              </w:rPr>
              <w:tab/>
            </w:r>
            <w:r w:rsidR="00BD17DA" w:rsidRPr="00115D73">
              <w:rPr>
                <w:rStyle w:val="Hipercze"/>
                <w:rFonts w:eastAsia="Times New Roman" w:cstheme="minorHAnsi"/>
                <w:b/>
                <w:bCs/>
                <w:noProof/>
              </w:rPr>
              <w:t>Uzasadnienie doborów zakresów wsparcia, źródeł finansowania i sposobów wdrażania.</w:t>
            </w:r>
            <w:r w:rsidR="00BD17DA">
              <w:rPr>
                <w:noProof/>
                <w:webHidden/>
              </w:rPr>
              <w:tab/>
            </w:r>
            <w:r w:rsidR="00BD17DA">
              <w:rPr>
                <w:noProof/>
                <w:webHidden/>
              </w:rPr>
              <w:fldChar w:fldCharType="begin"/>
            </w:r>
            <w:r w:rsidR="00BD17DA">
              <w:rPr>
                <w:noProof/>
                <w:webHidden/>
              </w:rPr>
              <w:instrText xml:space="preserve"> PAGEREF _Toc136944427 \h </w:instrText>
            </w:r>
            <w:r w:rsidR="00BD17DA">
              <w:rPr>
                <w:noProof/>
                <w:webHidden/>
              </w:rPr>
            </w:r>
            <w:r w:rsidR="00BD17DA">
              <w:rPr>
                <w:noProof/>
                <w:webHidden/>
              </w:rPr>
              <w:fldChar w:fldCharType="separate"/>
            </w:r>
            <w:r w:rsidR="00C84953">
              <w:rPr>
                <w:noProof/>
                <w:webHidden/>
              </w:rPr>
              <w:t>59</w:t>
            </w:r>
            <w:r w:rsidR="00BD17DA">
              <w:rPr>
                <w:noProof/>
                <w:webHidden/>
              </w:rPr>
              <w:fldChar w:fldCharType="end"/>
            </w:r>
          </w:hyperlink>
        </w:p>
        <w:p w14:paraId="2BC816AA" w14:textId="5D914107" w:rsidR="00BD17DA" w:rsidRDefault="00942705">
          <w:pPr>
            <w:pStyle w:val="Spistreci1"/>
            <w:tabs>
              <w:tab w:val="right" w:leader="dot" w:pos="10194"/>
            </w:tabs>
            <w:rPr>
              <w:rFonts w:eastAsiaTheme="minorEastAsia"/>
              <w:noProof/>
              <w:lang w:eastAsia="pl-PL"/>
            </w:rPr>
          </w:pPr>
          <w:hyperlink w:anchor="_Toc136944428" w:history="1">
            <w:r w:rsidR="00BD17DA" w:rsidRPr="00115D73">
              <w:rPr>
                <w:rStyle w:val="Hipercze"/>
                <w:rFonts w:cstheme="minorHAnsi"/>
                <w:b/>
                <w:bCs/>
                <w:noProof/>
              </w:rPr>
              <w:t>ROZDZIAŁ VI - CELE I WSKAŹNIKI</w:t>
            </w:r>
            <w:r w:rsidR="00BD17DA">
              <w:rPr>
                <w:noProof/>
                <w:webHidden/>
              </w:rPr>
              <w:tab/>
            </w:r>
            <w:r w:rsidR="00BD17DA">
              <w:rPr>
                <w:noProof/>
                <w:webHidden/>
              </w:rPr>
              <w:fldChar w:fldCharType="begin"/>
            </w:r>
            <w:r w:rsidR="00BD17DA">
              <w:rPr>
                <w:noProof/>
                <w:webHidden/>
              </w:rPr>
              <w:instrText xml:space="preserve"> PAGEREF _Toc136944428 \h </w:instrText>
            </w:r>
            <w:r w:rsidR="00BD17DA">
              <w:rPr>
                <w:noProof/>
                <w:webHidden/>
              </w:rPr>
            </w:r>
            <w:r w:rsidR="00BD17DA">
              <w:rPr>
                <w:noProof/>
                <w:webHidden/>
              </w:rPr>
              <w:fldChar w:fldCharType="separate"/>
            </w:r>
            <w:r w:rsidR="00C84953">
              <w:rPr>
                <w:noProof/>
                <w:webHidden/>
              </w:rPr>
              <w:t>61</w:t>
            </w:r>
            <w:r w:rsidR="00BD17DA">
              <w:rPr>
                <w:noProof/>
                <w:webHidden/>
              </w:rPr>
              <w:fldChar w:fldCharType="end"/>
            </w:r>
          </w:hyperlink>
        </w:p>
        <w:p w14:paraId="361A2F5B" w14:textId="14E74C71" w:rsidR="00BD17DA" w:rsidRDefault="00942705">
          <w:pPr>
            <w:pStyle w:val="Spistreci1"/>
            <w:tabs>
              <w:tab w:val="right" w:leader="dot" w:pos="10194"/>
            </w:tabs>
            <w:rPr>
              <w:rFonts w:eastAsiaTheme="minorEastAsia"/>
              <w:noProof/>
              <w:lang w:eastAsia="pl-PL"/>
            </w:rPr>
          </w:pPr>
          <w:hyperlink w:anchor="_Toc136944429" w:history="1">
            <w:r w:rsidR="00BD17DA" w:rsidRPr="00115D73">
              <w:rPr>
                <w:rStyle w:val="Hipercze"/>
                <w:rFonts w:cstheme="minorHAnsi"/>
                <w:b/>
                <w:bCs/>
                <w:noProof/>
              </w:rPr>
              <w:t>ROZDZIAŁ VII - SPOSÓB WYBORU I OCENY OPERACJI ORAZ SPOSÓB USTANAWIANIA KRYTERIÓW OCENY</w:t>
            </w:r>
            <w:r w:rsidR="00BD17DA">
              <w:rPr>
                <w:noProof/>
                <w:webHidden/>
              </w:rPr>
              <w:tab/>
            </w:r>
            <w:r w:rsidR="00BD17DA">
              <w:rPr>
                <w:noProof/>
                <w:webHidden/>
              </w:rPr>
              <w:fldChar w:fldCharType="begin"/>
            </w:r>
            <w:r w:rsidR="00BD17DA">
              <w:rPr>
                <w:noProof/>
                <w:webHidden/>
              </w:rPr>
              <w:instrText xml:space="preserve"> PAGEREF _Toc136944429 \h </w:instrText>
            </w:r>
            <w:r w:rsidR="00BD17DA">
              <w:rPr>
                <w:noProof/>
                <w:webHidden/>
              </w:rPr>
            </w:r>
            <w:r w:rsidR="00BD17DA">
              <w:rPr>
                <w:noProof/>
                <w:webHidden/>
              </w:rPr>
              <w:fldChar w:fldCharType="separate"/>
            </w:r>
            <w:r w:rsidR="00C84953">
              <w:rPr>
                <w:noProof/>
                <w:webHidden/>
              </w:rPr>
              <w:t>67</w:t>
            </w:r>
            <w:r w:rsidR="00BD17DA">
              <w:rPr>
                <w:noProof/>
                <w:webHidden/>
              </w:rPr>
              <w:fldChar w:fldCharType="end"/>
            </w:r>
          </w:hyperlink>
        </w:p>
        <w:p w14:paraId="2597875C" w14:textId="1519D6DF" w:rsidR="00BD17DA" w:rsidRDefault="00942705">
          <w:pPr>
            <w:pStyle w:val="Spistreci1"/>
            <w:tabs>
              <w:tab w:val="right" w:leader="dot" w:pos="10194"/>
            </w:tabs>
            <w:rPr>
              <w:rFonts w:eastAsiaTheme="minorEastAsia"/>
              <w:noProof/>
              <w:lang w:eastAsia="pl-PL"/>
            </w:rPr>
          </w:pPr>
          <w:hyperlink w:anchor="_Toc136944430" w:history="1">
            <w:r w:rsidR="00BD17DA" w:rsidRPr="00115D73">
              <w:rPr>
                <w:rStyle w:val="Hipercze"/>
                <w:rFonts w:cstheme="minorHAnsi"/>
                <w:b/>
                <w:bCs/>
                <w:noProof/>
              </w:rPr>
              <w:t>ROZDZIAŁ VIII – PLAN DZIAŁANIA</w:t>
            </w:r>
            <w:r w:rsidR="00BD17DA">
              <w:rPr>
                <w:noProof/>
                <w:webHidden/>
              </w:rPr>
              <w:tab/>
            </w:r>
            <w:r w:rsidR="00BD17DA">
              <w:rPr>
                <w:noProof/>
                <w:webHidden/>
              </w:rPr>
              <w:fldChar w:fldCharType="begin"/>
            </w:r>
            <w:r w:rsidR="00BD17DA">
              <w:rPr>
                <w:noProof/>
                <w:webHidden/>
              </w:rPr>
              <w:instrText xml:space="preserve"> PAGEREF _Toc136944430 \h </w:instrText>
            </w:r>
            <w:r w:rsidR="00BD17DA">
              <w:rPr>
                <w:noProof/>
                <w:webHidden/>
              </w:rPr>
            </w:r>
            <w:r w:rsidR="00BD17DA">
              <w:rPr>
                <w:noProof/>
                <w:webHidden/>
              </w:rPr>
              <w:fldChar w:fldCharType="separate"/>
            </w:r>
            <w:r w:rsidR="00C84953">
              <w:rPr>
                <w:noProof/>
                <w:webHidden/>
              </w:rPr>
              <w:t>76</w:t>
            </w:r>
            <w:r w:rsidR="00BD17DA">
              <w:rPr>
                <w:noProof/>
                <w:webHidden/>
              </w:rPr>
              <w:fldChar w:fldCharType="end"/>
            </w:r>
          </w:hyperlink>
        </w:p>
        <w:p w14:paraId="41308AF8" w14:textId="54AE41F9" w:rsidR="00BD17DA" w:rsidRDefault="00942705">
          <w:pPr>
            <w:pStyle w:val="Spistreci1"/>
            <w:tabs>
              <w:tab w:val="right" w:leader="dot" w:pos="10194"/>
            </w:tabs>
            <w:rPr>
              <w:rFonts w:eastAsiaTheme="minorEastAsia"/>
              <w:noProof/>
              <w:lang w:eastAsia="pl-PL"/>
            </w:rPr>
          </w:pPr>
          <w:hyperlink w:anchor="_Toc136944431" w:history="1">
            <w:r w:rsidR="00BD17DA" w:rsidRPr="00115D73">
              <w:rPr>
                <w:rStyle w:val="Hipercze"/>
                <w:rFonts w:cstheme="minorHAnsi"/>
                <w:b/>
                <w:bCs/>
                <w:noProof/>
              </w:rPr>
              <w:t>ROZDZIAŁ IX – PLAN FINANSOWY LSR</w:t>
            </w:r>
            <w:r w:rsidR="00BD17DA">
              <w:rPr>
                <w:noProof/>
                <w:webHidden/>
              </w:rPr>
              <w:tab/>
            </w:r>
            <w:r w:rsidR="00BD17DA">
              <w:rPr>
                <w:noProof/>
                <w:webHidden/>
              </w:rPr>
              <w:fldChar w:fldCharType="begin"/>
            </w:r>
            <w:r w:rsidR="00BD17DA">
              <w:rPr>
                <w:noProof/>
                <w:webHidden/>
              </w:rPr>
              <w:instrText xml:space="preserve"> PAGEREF _Toc136944431 \h </w:instrText>
            </w:r>
            <w:r w:rsidR="00BD17DA">
              <w:rPr>
                <w:noProof/>
                <w:webHidden/>
              </w:rPr>
            </w:r>
            <w:r w:rsidR="00BD17DA">
              <w:rPr>
                <w:noProof/>
                <w:webHidden/>
              </w:rPr>
              <w:fldChar w:fldCharType="separate"/>
            </w:r>
            <w:r w:rsidR="00C84953">
              <w:rPr>
                <w:noProof/>
                <w:webHidden/>
              </w:rPr>
              <w:t>78</w:t>
            </w:r>
            <w:r w:rsidR="00BD17DA">
              <w:rPr>
                <w:noProof/>
                <w:webHidden/>
              </w:rPr>
              <w:fldChar w:fldCharType="end"/>
            </w:r>
          </w:hyperlink>
        </w:p>
        <w:p w14:paraId="7E502EEC" w14:textId="0D958C45" w:rsidR="00BD17DA" w:rsidRDefault="00942705">
          <w:pPr>
            <w:pStyle w:val="Spistreci1"/>
            <w:tabs>
              <w:tab w:val="right" w:leader="dot" w:pos="10194"/>
            </w:tabs>
            <w:rPr>
              <w:rFonts w:eastAsiaTheme="minorEastAsia"/>
              <w:noProof/>
              <w:lang w:eastAsia="pl-PL"/>
            </w:rPr>
          </w:pPr>
          <w:hyperlink w:anchor="_Toc136944432" w:history="1">
            <w:r w:rsidR="00BD17DA" w:rsidRPr="00115D73">
              <w:rPr>
                <w:rStyle w:val="Hipercze"/>
                <w:rFonts w:cstheme="minorHAnsi"/>
                <w:b/>
                <w:bCs/>
                <w:noProof/>
              </w:rPr>
              <w:t>ROZDZIAŁ X – MONITORING I EWALUACJA</w:t>
            </w:r>
            <w:r w:rsidR="00BD17DA">
              <w:rPr>
                <w:noProof/>
                <w:webHidden/>
              </w:rPr>
              <w:tab/>
            </w:r>
            <w:r w:rsidR="00BD17DA">
              <w:rPr>
                <w:noProof/>
                <w:webHidden/>
              </w:rPr>
              <w:fldChar w:fldCharType="begin"/>
            </w:r>
            <w:r w:rsidR="00BD17DA">
              <w:rPr>
                <w:noProof/>
                <w:webHidden/>
              </w:rPr>
              <w:instrText xml:space="preserve"> PAGEREF _Toc136944432 \h </w:instrText>
            </w:r>
            <w:r w:rsidR="00BD17DA">
              <w:rPr>
                <w:noProof/>
                <w:webHidden/>
              </w:rPr>
            </w:r>
            <w:r w:rsidR="00BD17DA">
              <w:rPr>
                <w:noProof/>
                <w:webHidden/>
              </w:rPr>
              <w:fldChar w:fldCharType="separate"/>
            </w:r>
            <w:r w:rsidR="00C84953">
              <w:rPr>
                <w:noProof/>
                <w:webHidden/>
              </w:rPr>
              <w:t>80</w:t>
            </w:r>
            <w:r w:rsidR="00BD17DA">
              <w:rPr>
                <w:noProof/>
                <w:webHidden/>
              </w:rPr>
              <w:fldChar w:fldCharType="end"/>
            </w:r>
          </w:hyperlink>
        </w:p>
        <w:p w14:paraId="652503FA" w14:textId="08551D90" w:rsidR="00BD17DA" w:rsidRDefault="00942705">
          <w:pPr>
            <w:pStyle w:val="Spistreci1"/>
            <w:tabs>
              <w:tab w:val="right" w:leader="dot" w:pos="10194"/>
            </w:tabs>
            <w:rPr>
              <w:rFonts w:eastAsiaTheme="minorEastAsia"/>
              <w:noProof/>
              <w:lang w:eastAsia="pl-PL"/>
            </w:rPr>
          </w:pPr>
          <w:hyperlink w:anchor="_Toc136944433" w:history="1">
            <w:r w:rsidR="00BD17DA" w:rsidRPr="00115D73">
              <w:rPr>
                <w:rStyle w:val="Hipercze"/>
                <w:rFonts w:cstheme="minorHAnsi"/>
                <w:b/>
                <w:bCs/>
                <w:noProof/>
              </w:rPr>
              <w:t>Wykaz wykorzystanej literatury</w:t>
            </w:r>
            <w:r w:rsidR="00BD17DA">
              <w:rPr>
                <w:noProof/>
                <w:webHidden/>
              </w:rPr>
              <w:tab/>
            </w:r>
            <w:r w:rsidR="00BD17DA">
              <w:rPr>
                <w:noProof/>
                <w:webHidden/>
              </w:rPr>
              <w:fldChar w:fldCharType="begin"/>
            </w:r>
            <w:r w:rsidR="00BD17DA">
              <w:rPr>
                <w:noProof/>
                <w:webHidden/>
              </w:rPr>
              <w:instrText xml:space="preserve"> PAGEREF _Toc136944433 \h </w:instrText>
            </w:r>
            <w:r w:rsidR="00BD17DA">
              <w:rPr>
                <w:noProof/>
                <w:webHidden/>
              </w:rPr>
            </w:r>
            <w:r w:rsidR="00BD17DA">
              <w:rPr>
                <w:noProof/>
                <w:webHidden/>
              </w:rPr>
              <w:fldChar w:fldCharType="separate"/>
            </w:r>
            <w:r w:rsidR="00C84953">
              <w:rPr>
                <w:noProof/>
                <w:webHidden/>
              </w:rPr>
              <w:t>86</w:t>
            </w:r>
            <w:r w:rsidR="00BD17DA">
              <w:rPr>
                <w:noProof/>
                <w:webHidden/>
              </w:rPr>
              <w:fldChar w:fldCharType="end"/>
            </w:r>
          </w:hyperlink>
        </w:p>
        <w:p w14:paraId="58166B8E" w14:textId="7A442927" w:rsidR="00BD17DA" w:rsidRDefault="00942705">
          <w:pPr>
            <w:pStyle w:val="Spistreci1"/>
            <w:tabs>
              <w:tab w:val="right" w:leader="dot" w:pos="10194"/>
            </w:tabs>
            <w:rPr>
              <w:rFonts w:eastAsiaTheme="minorEastAsia"/>
              <w:noProof/>
              <w:lang w:eastAsia="pl-PL"/>
            </w:rPr>
          </w:pPr>
          <w:hyperlink w:anchor="_Toc136944434" w:history="1">
            <w:r w:rsidR="00BD17DA" w:rsidRPr="00115D73">
              <w:rPr>
                <w:rStyle w:val="Hipercze"/>
                <w:rFonts w:cstheme="minorHAnsi"/>
                <w:b/>
                <w:bCs/>
                <w:noProof/>
              </w:rPr>
              <w:t>Załączniki do LSR</w:t>
            </w:r>
            <w:r w:rsidR="00BD17DA">
              <w:rPr>
                <w:noProof/>
                <w:webHidden/>
              </w:rPr>
              <w:tab/>
            </w:r>
            <w:r w:rsidR="00BD17DA">
              <w:rPr>
                <w:noProof/>
                <w:webHidden/>
              </w:rPr>
              <w:fldChar w:fldCharType="begin"/>
            </w:r>
            <w:r w:rsidR="00BD17DA">
              <w:rPr>
                <w:noProof/>
                <w:webHidden/>
              </w:rPr>
              <w:instrText xml:space="preserve"> PAGEREF _Toc136944434 \h </w:instrText>
            </w:r>
            <w:r w:rsidR="00BD17DA">
              <w:rPr>
                <w:noProof/>
                <w:webHidden/>
              </w:rPr>
            </w:r>
            <w:r w:rsidR="00BD17DA">
              <w:rPr>
                <w:noProof/>
                <w:webHidden/>
              </w:rPr>
              <w:fldChar w:fldCharType="separate"/>
            </w:r>
            <w:r w:rsidR="00C84953">
              <w:rPr>
                <w:noProof/>
                <w:webHidden/>
              </w:rPr>
              <w:t>88</w:t>
            </w:r>
            <w:r w:rsidR="00BD17DA">
              <w:rPr>
                <w:noProof/>
                <w:webHidden/>
              </w:rPr>
              <w:fldChar w:fldCharType="end"/>
            </w:r>
          </w:hyperlink>
        </w:p>
        <w:p w14:paraId="2B1E950B" w14:textId="6F290957" w:rsidR="007E3E1A" w:rsidRDefault="007E3E1A">
          <w:r>
            <w:rPr>
              <w:b/>
              <w:bCs/>
            </w:rPr>
            <w:fldChar w:fldCharType="end"/>
          </w:r>
        </w:p>
      </w:sdtContent>
    </w:sdt>
    <w:p w14:paraId="64A4DEEB" w14:textId="11C050C2" w:rsidR="007E3E1A" w:rsidRPr="00E17E5A" w:rsidRDefault="007E3E1A">
      <w:pPr>
        <w:rPr>
          <w:rFonts w:asciiTheme="majorHAnsi" w:eastAsiaTheme="majorEastAsia" w:hAnsiTheme="majorHAnsi" w:cstheme="majorBidi"/>
          <w:b/>
          <w:bCs/>
          <w:color w:val="2F5496" w:themeColor="accent1" w:themeShade="BF"/>
          <w:sz w:val="36"/>
          <w:szCs w:val="36"/>
        </w:rPr>
      </w:pPr>
      <w:r w:rsidRPr="00E17E5A">
        <w:rPr>
          <w:b/>
          <w:bCs/>
          <w:sz w:val="36"/>
          <w:szCs w:val="36"/>
        </w:rPr>
        <w:br w:type="page"/>
      </w:r>
    </w:p>
    <w:p w14:paraId="2F515008" w14:textId="6D2CCEA7" w:rsidR="00907EC2" w:rsidRPr="00A26C26" w:rsidRDefault="00907EC2" w:rsidP="00A26C26">
      <w:pPr>
        <w:pStyle w:val="Nagwek1"/>
        <w:spacing w:before="0" w:line="276" w:lineRule="auto"/>
        <w:rPr>
          <w:rFonts w:asciiTheme="minorHAnsi" w:hAnsiTheme="minorHAnsi" w:cstheme="minorHAnsi"/>
          <w:b/>
          <w:bCs/>
          <w:sz w:val="22"/>
          <w:szCs w:val="22"/>
        </w:rPr>
      </w:pPr>
      <w:bookmarkStart w:id="1" w:name="_Toc136944391"/>
      <w:r w:rsidRPr="00A26C26">
        <w:rPr>
          <w:rFonts w:asciiTheme="minorHAnsi" w:hAnsiTheme="minorHAnsi" w:cstheme="minorHAnsi"/>
          <w:b/>
          <w:bCs/>
          <w:sz w:val="22"/>
          <w:szCs w:val="22"/>
        </w:rPr>
        <w:lastRenderedPageBreak/>
        <w:t>ROZDZIAŁ</w:t>
      </w:r>
      <w:r w:rsidR="003B50ED">
        <w:rPr>
          <w:rFonts w:asciiTheme="minorHAnsi" w:hAnsiTheme="minorHAnsi" w:cstheme="minorHAnsi"/>
          <w:b/>
          <w:bCs/>
          <w:sz w:val="22"/>
          <w:szCs w:val="22"/>
        </w:rPr>
        <w:t xml:space="preserve"> </w:t>
      </w:r>
      <w:r w:rsidRPr="00A26C26">
        <w:rPr>
          <w:rFonts w:asciiTheme="minorHAnsi" w:hAnsiTheme="minorHAnsi" w:cstheme="minorHAnsi"/>
          <w:b/>
          <w:bCs/>
          <w:sz w:val="22"/>
          <w:szCs w:val="22"/>
        </w:rPr>
        <w:t>I.</w:t>
      </w:r>
      <w:r w:rsidR="003B50ED">
        <w:rPr>
          <w:rFonts w:asciiTheme="minorHAnsi" w:hAnsiTheme="minorHAnsi" w:cstheme="minorHAnsi"/>
          <w:b/>
          <w:bCs/>
          <w:sz w:val="22"/>
          <w:szCs w:val="22"/>
        </w:rPr>
        <w:t xml:space="preserve"> </w:t>
      </w:r>
      <w:r w:rsidRPr="00A26C26">
        <w:rPr>
          <w:rFonts w:asciiTheme="minorHAnsi" w:hAnsiTheme="minorHAnsi" w:cstheme="minorHAnsi"/>
          <w:b/>
          <w:bCs/>
          <w:sz w:val="22"/>
          <w:szCs w:val="22"/>
        </w:rPr>
        <w:t>CHARAKTERYSTYKA</w:t>
      </w:r>
      <w:r w:rsidR="003B50ED">
        <w:rPr>
          <w:rFonts w:asciiTheme="minorHAnsi" w:hAnsiTheme="minorHAnsi" w:cstheme="minorHAnsi"/>
          <w:b/>
          <w:bCs/>
          <w:sz w:val="22"/>
          <w:szCs w:val="22"/>
        </w:rPr>
        <w:t xml:space="preserve"> </w:t>
      </w:r>
      <w:r w:rsidRPr="00A26C26">
        <w:rPr>
          <w:rFonts w:asciiTheme="minorHAnsi" w:hAnsiTheme="minorHAnsi" w:cstheme="minorHAnsi"/>
          <w:b/>
          <w:bCs/>
          <w:sz w:val="22"/>
          <w:szCs w:val="22"/>
        </w:rPr>
        <w:t>PARTNERSTWA</w:t>
      </w:r>
      <w:r w:rsidR="003B50ED">
        <w:rPr>
          <w:rFonts w:asciiTheme="minorHAnsi" w:hAnsiTheme="minorHAnsi" w:cstheme="minorHAnsi"/>
          <w:b/>
          <w:bCs/>
          <w:sz w:val="22"/>
          <w:szCs w:val="22"/>
        </w:rPr>
        <w:t xml:space="preserve"> </w:t>
      </w:r>
      <w:r w:rsidRPr="00A26C26">
        <w:rPr>
          <w:rFonts w:asciiTheme="minorHAnsi" w:hAnsiTheme="minorHAnsi" w:cstheme="minorHAnsi"/>
          <w:b/>
          <w:bCs/>
          <w:sz w:val="22"/>
          <w:szCs w:val="22"/>
        </w:rPr>
        <w:t>LOKALNEGO</w:t>
      </w:r>
      <w:bookmarkEnd w:id="0"/>
      <w:bookmarkEnd w:id="1"/>
    </w:p>
    <w:p w14:paraId="23FEF466" w14:textId="77777777" w:rsidR="00FC3E79" w:rsidRPr="00A26C26" w:rsidRDefault="00FC3E79" w:rsidP="00A26C26">
      <w:pPr>
        <w:spacing w:line="276" w:lineRule="auto"/>
        <w:rPr>
          <w:rFonts w:cstheme="minorHAnsi"/>
        </w:rPr>
      </w:pPr>
    </w:p>
    <w:p w14:paraId="2C313C53" w14:textId="63370C64" w:rsidR="00FC3E79" w:rsidRPr="00F16251" w:rsidRDefault="00907EC2" w:rsidP="008A412F">
      <w:pPr>
        <w:pStyle w:val="Nagwek2"/>
        <w:numPr>
          <w:ilvl w:val="0"/>
          <w:numId w:val="1"/>
        </w:numPr>
        <w:spacing w:before="0" w:line="276" w:lineRule="auto"/>
        <w:ind w:left="426" w:hanging="142"/>
        <w:jc w:val="both"/>
        <w:rPr>
          <w:rFonts w:asciiTheme="minorHAnsi" w:hAnsiTheme="minorHAnsi" w:cstheme="minorHAnsi"/>
          <w:b/>
          <w:bCs/>
          <w:sz w:val="22"/>
          <w:szCs w:val="22"/>
        </w:rPr>
      </w:pPr>
      <w:bookmarkStart w:id="2" w:name="_Toc136260182"/>
      <w:bookmarkStart w:id="3" w:name="_Toc136944392"/>
      <w:r w:rsidRPr="00F16251">
        <w:rPr>
          <w:rFonts w:asciiTheme="minorHAnsi" w:hAnsiTheme="minorHAnsi" w:cstheme="minorHAnsi"/>
          <w:b/>
          <w:bCs/>
          <w:sz w:val="22"/>
          <w:szCs w:val="22"/>
        </w:rPr>
        <w:t>Nazwa</w:t>
      </w:r>
      <w:r w:rsidR="003B50ED" w:rsidRPr="00F16251">
        <w:rPr>
          <w:rFonts w:asciiTheme="minorHAnsi" w:hAnsiTheme="minorHAnsi" w:cstheme="minorHAnsi"/>
          <w:b/>
          <w:bCs/>
          <w:sz w:val="22"/>
          <w:szCs w:val="22"/>
        </w:rPr>
        <w:t xml:space="preserve"> </w:t>
      </w:r>
      <w:r w:rsidRPr="00F16251">
        <w:rPr>
          <w:rFonts w:asciiTheme="minorHAnsi" w:hAnsiTheme="minorHAnsi" w:cstheme="minorHAnsi"/>
          <w:b/>
          <w:bCs/>
          <w:sz w:val="22"/>
          <w:szCs w:val="22"/>
        </w:rPr>
        <w:t>i</w:t>
      </w:r>
      <w:r w:rsidR="003B50ED" w:rsidRPr="00F16251">
        <w:rPr>
          <w:rFonts w:asciiTheme="minorHAnsi" w:hAnsiTheme="minorHAnsi" w:cstheme="minorHAnsi"/>
          <w:b/>
          <w:bCs/>
          <w:sz w:val="22"/>
          <w:szCs w:val="22"/>
        </w:rPr>
        <w:t xml:space="preserve"> </w:t>
      </w:r>
      <w:r w:rsidRPr="00F16251">
        <w:rPr>
          <w:rFonts w:asciiTheme="minorHAnsi" w:hAnsiTheme="minorHAnsi" w:cstheme="minorHAnsi"/>
          <w:b/>
          <w:bCs/>
          <w:sz w:val="22"/>
          <w:szCs w:val="22"/>
        </w:rPr>
        <w:t>forma</w:t>
      </w:r>
      <w:r w:rsidR="003B50ED" w:rsidRPr="00F16251">
        <w:rPr>
          <w:rFonts w:asciiTheme="minorHAnsi" w:hAnsiTheme="minorHAnsi" w:cstheme="minorHAnsi"/>
          <w:b/>
          <w:bCs/>
          <w:sz w:val="22"/>
          <w:szCs w:val="22"/>
        </w:rPr>
        <w:t xml:space="preserve"> </w:t>
      </w:r>
      <w:r w:rsidRPr="00F16251">
        <w:rPr>
          <w:rFonts w:asciiTheme="minorHAnsi" w:hAnsiTheme="minorHAnsi" w:cstheme="minorHAnsi"/>
          <w:b/>
          <w:bCs/>
          <w:sz w:val="22"/>
          <w:szCs w:val="22"/>
        </w:rPr>
        <w:t>prawn</w:t>
      </w:r>
      <w:r w:rsidR="00DF4974" w:rsidRPr="00F16251">
        <w:rPr>
          <w:rFonts w:asciiTheme="minorHAnsi" w:hAnsiTheme="minorHAnsi" w:cstheme="minorHAnsi"/>
          <w:b/>
          <w:bCs/>
          <w:sz w:val="22"/>
          <w:szCs w:val="22"/>
        </w:rPr>
        <w:t>a</w:t>
      </w:r>
      <w:bookmarkEnd w:id="2"/>
      <w:bookmarkEnd w:id="3"/>
    </w:p>
    <w:p w14:paraId="42D90973" w14:textId="71B3820E" w:rsidR="00EA3064" w:rsidRPr="00F16251" w:rsidRDefault="00541441" w:rsidP="00EA3064">
      <w:pPr>
        <w:spacing w:line="276" w:lineRule="auto"/>
        <w:ind w:firstLine="284"/>
        <w:jc w:val="both"/>
        <w:rPr>
          <w:rFonts w:cstheme="minorHAnsi"/>
        </w:rPr>
      </w:pPr>
      <w:r w:rsidRPr="00F16251">
        <w:rPr>
          <w:rFonts w:cstheme="minorHAnsi"/>
        </w:rPr>
        <w:t>Stowarzyszenie</w:t>
      </w:r>
      <w:r w:rsidR="003B50ED" w:rsidRPr="00F16251">
        <w:rPr>
          <w:rFonts w:cstheme="minorHAnsi"/>
        </w:rPr>
        <w:t xml:space="preserve"> </w:t>
      </w:r>
      <w:r w:rsidRPr="00F16251">
        <w:rPr>
          <w:rFonts w:cstheme="minorHAnsi"/>
        </w:rPr>
        <w:t>Lokalna</w:t>
      </w:r>
      <w:r w:rsidR="003B50ED" w:rsidRPr="00F16251">
        <w:rPr>
          <w:rFonts w:cstheme="minorHAnsi"/>
        </w:rPr>
        <w:t xml:space="preserve"> </w:t>
      </w:r>
      <w:r w:rsidRPr="00F16251">
        <w:rPr>
          <w:rFonts w:cstheme="minorHAnsi"/>
        </w:rPr>
        <w:t>Grupa</w:t>
      </w:r>
      <w:r w:rsidR="003B50ED" w:rsidRPr="00F16251">
        <w:rPr>
          <w:rFonts w:cstheme="minorHAnsi"/>
        </w:rPr>
        <w:t xml:space="preserve"> </w:t>
      </w:r>
      <w:r w:rsidRPr="00F16251">
        <w:rPr>
          <w:rFonts w:cstheme="minorHAnsi"/>
        </w:rPr>
        <w:t>Działania</w:t>
      </w:r>
      <w:r w:rsidR="003B50ED" w:rsidRPr="00F16251">
        <w:rPr>
          <w:rFonts w:cstheme="minorHAnsi"/>
        </w:rPr>
        <w:t xml:space="preserve"> </w:t>
      </w:r>
      <w:r w:rsidRPr="00F16251">
        <w:rPr>
          <w:rFonts w:cstheme="minorHAnsi"/>
        </w:rPr>
        <w:t>„</w:t>
      </w:r>
      <w:r w:rsidR="00206F64" w:rsidRPr="00F16251">
        <w:rPr>
          <w:rFonts w:cstheme="minorHAnsi"/>
        </w:rPr>
        <w:t>Solidarni</w:t>
      </w:r>
      <w:r w:rsidR="003B50ED" w:rsidRPr="00F16251">
        <w:rPr>
          <w:rFonts w:cstheme="minorHAnsi"/>
        </w:rPr>
        <w:t xml:space="preserve"> </w:t>
      </w:r>
      <w:r w:rsidR="00206F64" w:rsidRPr="00F16251">
        <w:rPr>
          <w:rFonts w:cstheme="minorHAnsi"/>
        </w:rPr>
        <w:t>w</w:t>
      </w:r>
      <w:r w:rsidR="003B50ED" w:rsidRPr="00F16251">
        <w:rPr>
          <w:rFonts w:cstheme="minorHAnsi"/>
        </w:rPr>
        <w:t xml:space="preserve"> </w:t>
      </w:r>
      <w:r w:rsidR="00206F64" w:rsidRPr="00F16251">
        <w:rPr>
          <w:rFonts w:cstheme="minorHAnsi"/>
        </w:rPr>
        <w:t>Partnerstwie</w:t>
      </w:r>
      <w:r w:rsidRPr="00F16251">
        <w:rPr>
          <w:rFonts w:cstheme="minorHAnsi"/>
        </w:rPr>
        <w:t>”</w:t>
      </w:r>
      <w:r w:rsidR="003B50ED" w:rsidRPr="00F16251">
        <w:rPr>
          <w:rFonts w:cstheme="minorHAnsi"/>
        </w:rPr>
        <w:t xml:space="preserve"> </w:t>
      </w:r>
      <w:r w:rsidR="00EA3064" w:rsidRPr="00F16251">
        <w:rPr>
          <w:rFonts w:cstheme="minorHAnsi"/>
        </w:rPr>
        <w:t>(dalej</w:t>
      </w:r>
      <w:r w:rsidR="003B50ED" w:rsidRPr="00F16251">
        <w:rPr>
          <w:rFonts w:cstheme="minorHAnsi"/>
        </w:rPr>
        <w:t xml:space="preserve"> </w:t>
      </w:r>
      <w:r w:rsidR="00D243EB" w:rsidRPr="00F16251">
        <w:rPr>
          <w:rFonts w:cstheme="minorHAnsi"/>
        </w:rPr>
        <w:t>Stowarzyszeni</w:t>
      </w:r>
      <w:r w:rsidR="00552416" w:rsidRPr="00F16251">
        <w:rPr>
          <w:rFonts w:cstheme="minorHAnsi"/>
        </w:rPr>
        <w:t>e</w:t>
      </w:r>
      <w:r w:rsidR="003B50ED" w:rsidRPr="00F16251">
        <w:rPr>
          <w:rFonts w:cstheme="minorHAnsi"/>
        </w:rPr>
        <w:t xml:space="preserve"> </w:t>
      </w:r>
      <w:r w:rsidR="00D243EB" w:rsidRPr="00F16251">
        <w:rPr>
          <w:rFonts w:cstheme="minorHAnsi"/>
        </w:rPr>
        <w:t>„Solidarni</w:t>
      </w:r>
      <w:r w:rsidR="003B50ED" w:rsidRPr="00F16251">
        <w:rPr>
          <w:rFonts w:cstheme="minorHAnsi"/>
        </w:rPr>
        <w:t xml:space="preserve"> </w:t>
      </w:r>
      <w:r w:rsidR="00D243EB" w:rsidRPr="00F16251">
        <w:rPr>
          <w:rFonts w:cstheme="minorHAnsi"/>
        </w:rPr>
        <w:br/>
        <w:t>w</w:t>
      </w:r>
      <w:r w:rsidR="003B50ED" w:rsidRPr="00F16251">
        <w:rPr>
          <w:rFonts w:cstheme="minorHAnsi"/>
        </w:rPr>
        <w:t xml:space="preserve"> </w:t>
      </w:r>
      <w:r w:rsidR="00D243EB" w:rsidRPr="00F16251">
        <w:rPr>
          <w:rFonts w:cstheme="minorHAnsi"/>
        </w:rPr>
        <w:t>Partnerstwie”</w:t>
      </w:r>
      <w:r w:rsidR="00EA3064" w:rsidRPr="00F16251">
        <w:rPr>
          <w:rFonts w:cstheme="minorHAnsi"/>
        </w:rPr>
        <w:t>)</w:t>
      </w:r>
      <w:r w:rsidR="003B50ED" w:rsidRPr="00F16251">
        <w:rPr>
          <w:rFonts w:cstheme="minorHAnsi"/>
        </w:rPr>
        <w:t xml:space="preserve"> </w:t>
      </w:r>
      <w:r w:rsidR="00EA3064" w:rsidRPr="00F16251">
        <w:rPr>
          <w:rFonts w:cstheme="minorHAnsi"/>
        </w:rPr>
        <w:t>funkcjonuje</w:t>
      </w:r>
      <w:r w:rsidR="003B50ED" w:rsidRPr="00F16251">
        <w:rPr>
          <w:rFonts w:cstheme="minorHAnsi"/>
        </w:rPr>
        <w:t xml:space="preserve"> </w:t>
      </w:r>
      <w:r w:rsidR="00EA3064" w:rsidRPr="00F16251">
        <w:rPr>
          <w:rFonts w:cstheme="minorHAnsi"/>
        </w:rPr>
        <w:t>jako</w:t>
      </w:r>
      <w:r w:rsidR="003B50ED" w:rsidRPr="00F16251">
        <w:rPr>
          <w:rFonts w:cstheme="minorHAnsi"/>
        </w:rPr>
        <w:t xml:space="preserve"> </w:t>
      </w:r>
      <w:r w:rsidR="00EA3064" w:rsidRPr="00F16251">
        <w:rPr>
          <w:rFonts w:cstheme="minorHAnsi"/>
        </w:rPr>
        <w:t>dobrowolne,</w:t>
      </w:r>
      <w:r w:rsidR="003B50ED" w:rsidRPr="00F16251">
        <w:rPr>
          <w:rFonts w:cstheme="minorHAnsi"/>
        </w:rPr>
        <w:t xml:space="preserve"> </w:t>
      </w:r>
      <w:r w:rsidR="00EA3064" w:rsidRPr="00F16251">
        <w:rPr>
          <w:rFonts w:cstheme="minorHAnsi"/>
        </w:rPr>
        <w:t>samorządne</w:t>
      </w:r>
      <w:r w:rsidR="003B50ED" w:rsidRPr="00F16251">
        <w:rPr>
          <w:rFonts w:cstheme="minorHAnsi"/>
        </w:rPr>
        <w:t xml:space="preserve"> </w:t>
      </w:r>
      <w:r w:rsidR="00EA3064" w:rsidRPr="00F16251">
        <w:rPr>
          <w:rFonts w:cstheme="minorHAnsi"/>
        </w:rPr>
        <w:t>i</w:t>
      </w:r>
      <w:r w:rsidR="003B50ED" w:rsidRPr="00F16251">
        <w:rPr>
          <w:rFonts w:cstheme="minorHAnsi"/>
        </w:rPr>
        <w:t xml:space="preserve"> </w:t>
      </w:r>
      <w:r w:rsidR="00EA3064" w:rsidRPr="00F16251">
        <w:rPr>
          <w:rFonts w:cstheme="minorHAnsi"/>
        </w:rPr>
        <w:t>trwałe</w:t>
      </w:r>
      <w:r w:rsidR="003B50ED" w:rsidRPr="00F16251">
        <w:rPr>
          <w:rFonts w:cstheme="minorHAnsi"/>
        </w:rPr>
        <w:t xml:space="preserve"> </w:t>
      </w:r>
      <w:r w:rsidR="00EA3064" w:rsidRPr="00F16251">
        <w:rPr>
          <w:rFonts w:cstheme="minorHAnsi"/>
        </w:rPr>
        <w:t>zrzeszenie</w:t>
      </w:r>
      <w:r w:rsidR="003B50ED" w:rsidRPr="00F16251">
        <w:rPr>
          <w:rFonts w:cstheme="minorHAnsi"/>
        </w:rPr>
        <w:t xml:space="preserve"> </w:t>
      </w:r>
      <w:r w:rsidR="00EA3064" w:rsidRPr="00F16251">
        <w:rPr>
          <w:rFonts w:cstheme="minorHAnsi"/>
        </w:rPr>
        <w:t>osób</w:t>
      </w:r>
      <w:r w:rsidR="003B50ED" w:rsidRPr="00F16251">
        <w:rPr>
          <w:rFonts w:cstheme="minorHAnsi"/>
        </w:rPr>
        <w:t xml:space="preserve"> </w:t>
      </w:r>
      <w:r w:rsidR="00EA3064" w:rsidRPr="00F16251">
        <w:rPr>
          <w:rFonts w:cstheme="minorHAnsi"/>
        </w:rPr>
        <w:t>fizycznych</w:t>
      </w:r>
      <w:r w:rsidR="003B50ED" w:rsidRPr="00F16251">
        <w:rPr>
          <w:rFonts w:cstheme="minorHAnsi"/>
        </w:rPr>
        <w:t xml:space="preserve"> </w:t>
      </w:r>
      <w:r w:rsidR="00EA3064" w:rsidRPr="00F16251">
        <w:rPr>
          <w:rFonts w:cstheme="minorHAnsi"/>
        </w:rPr>
        <w:t>i</w:t>
      </w:r>
      <w:r w:rsidR="003B50ED" w:rsidRPr="00F16251">
        <w:rPr>
          <w:rFonts w:cstheme="minorHAnsi"/>
        </w:rPr>
        <w:t xml:space="preserve"> </w:t>
      </w:r>
      <w:r w:rsidR="00EA3064" w:rsidRPr="00F16251">
        <w:rPr>
          <w:rFonts w:cstheme="minorHAnsi"/>
        </w:rPr>
        <w:t>prawnych,</w:t>
      </w:r>
      <w:r w:rsidR="003B50ED" w:rsidRPr="00F16251">
        <w:rPr>
          <w:rFonts w:cstheme="minorHAnsi"/>
        </w:rPr>
        <w:t xml:space="preserve"> </w:t>
      </w:r>
      <w:r w:rsidR="00EA3064" w:rsidRPr="00F16251">
        <w:rPr>
          <w:rFonts w:cstheme="minorHAnsi"/>
        </w:rPr>
        <w:t>o</w:t>
      </w:r>
      <w:r w:rsidR="003B50ED" w:rsidRPr="00F16251">
        <w:rPr>
          <w:rFonts w:cstheme="minorHAnsi"/>
        </w:rPr>
        <w:t xml:space="preserve"> </w:t>
      </w:r>
      <w:r w:rsidR="00EA3064" w:rsidRPr="00F16251">
        <w:rPr>
          <w:rFonts w:cstheme="minorHAnsi"/>
        </w:rPr>
        <w:t>celach</w:t>
      </w:r>
      <w:r w:rsidR="003B50ED" w:rsidRPr="00F16251">
        <w:rPr>
          <w:rFonts w:cstheme="minorHAnsi"/>
        </w:rPr>
        <w:t xml:space="preserve"> </w:t>
      </w:r>
      <w:r w:rsidR="00EA3064" w:rsidRPr="00F16251">
        <w:rPr>
          <w:rFonts w:cstheme="minorHAnsi"/>
        </w:rPr>
        <w:t>niezarobkowych,</w:t>
      </w:r>
      <w:r w:rsidR="003B50ED" w:rsidRPr="00F16251">
        <w:rPr>
          <w:rFonts w:cstheme="minorHAnsi"/>
        </w:rPr>
        <w:t xml:space="preserve"> </w:t>
      </w:r>
      <w:r w:rsidR="00EA3064" w:rsidRPr="00F16251">
        <w:rPr>
          <w:rFonts w:cstheme="minorHAnsi"/>
        </w:rPr>
        <w:t>działające</w:t>
      </w:r>
      <w:r w:rsidR="003B50ED" w:rsidRPr="00F16251">
        <w:rPr>
          <w:rFonts w:cstheme="minorHAnsi"/>
        </w:rPr>
        <w:t xml:space="preserve"> </w:t>
      </w:r>
      <w:r w:rsidR="00EA3064" w:rsidRPr="00F16251">
        <w:rPr>
          <w:rFonts w:cstheme="minorHAnsi"/>
        </w:rPr>
        <w:t>jako</w:t>
      </w:r>
      <w:r w:rsidR="003B50ED" w:rsidRPr="00F16251">
        <w:rPr>
          <w:rFonts w:cstheme="minorHAnsi"/>
        </w:rPr>
        <w:t xml:space="preserve"> </w:t>
      </w:r>
      <w:r w:rsidR="00EA3064" w:rsidRPr="00F16251">
        <w:rPr>
          <w:rFonts w:cstheme="minorHAnsi"/>
        </w:rPr>
        <w:t>Lokalna</w:t>
      </w:r>
      <w:r w:rsidR="003B50ED" w:rsidRPr="00F16251">
        <w:rPr>
          <w:rFonts w:cstheme="minorHAnsi"/>
        </w:rPr>
        <w:t xml:space="preserve"> </w:t>
      </w:r>
      <w:r w:rsidR="00EA3064" w:rsidRPr="00F16251">
        <w:rPr>
          <w:rFonts w:cstheme="minorHAnsi"/>
        </w:rPr>
        <w:t>Grupa</w:t>
      </w:r>
      <w:r w:rsidR="003B50ED" w:rsidRPr="00F16251">
        <w:rPr>
          <w:rFonts w:cstheme="minorHAnsi"/>
        </w:rPr>
        <w:t xml:space="preserve"> </w:t>
      </w:r>
      <w:r w:rsidR="00EA3064" w:rsidRPr="00F16251">
        <w:rPr>
          <w:rFonts w:cstheme="minorHAnsi"/>
        </w:rPr>
        <w:t>Działania.</w:t>
      </w:r>
      <w:r w:rsidR="003B50ED" w:rsidRPr="00F16251">
        <w:rPr>
          <w:rFonts w:cstheme="minorHAnsi"/>
        </w:rPr>
        <w:t xml:space="preserve"> </w:t>
      </w:r>
      <w:r w:rsidR="00EA3064" w:rsidRPr="00F16251">
        <w:rPr>
          <w:rFonts w:cstheme="minorHAnsi"/>
        </w:rPr>
        <w:t>J</w:t>
      </w:r>
      <w:r w:rsidRPr="00F16251">
        <w:rPr>
          <w:rFonts w:cstheme="minorHAnsi"/>
        </w:rPr>
        <w:t>est</w:t>
      </w:r>
      <w:r w:rsidR="003B50ED" w:rsidRPr="00F16251">
        <w:rPr>
          <w:rFonts w:cstheme="minorHAnsi"/>
        </w:rPr>
        <w:t xml:space="preserve"> </w:t>
      </w:r>
      <w:r w:rsidRPr="00F16251">
        <w:rPr>
          <w:rFonts w:cstheme="minorHAnsi"/>
        </w:rPr>
        <w:t>stowarzyszeniem</w:t>
      </w:r>
      <w:r w:rsidR="003B50ED" w:rsidRPr="00F16251">
        <w:rPr>
          <w:rFonts w:cstheme="minorHAnsi"/>
        </w:rPr>
        <w:t xml:space="preserve"> </w:t>
      </w:r>
      <w:r w:rsidRPr="00F16251">
        <w:rPr>
          <w:rFonts w:cstheme="minorHAnsi"/>
        </w:rPr>
        <w:t>posiadającym</w:t>
      </w:r>
      <w:r w:rsidR="003B50ED" w:rsidRPr="00F16251">
        <w:rPr>
          <w:rFonts w:cstheme="minorHAnsi"/>
        </w:rPr>
        <w:t xml:space="preserve"> </w:t>
      </w:r>
      <w:r w:rsidRPr="00F16251">
        <w:rPr>
          <w:rFonts w:cstheme="minorHAnsi"/>
        </w:rPr>
        <w:t>osobowość</w:t>
      </w:r>
      <w:r w:rsidR="003B50ED" w:rsidRPr="00F16251">
        <w:rPr>
          <w:rFonts w:cstheme="minorHAnsi"/>
        </w:rPr>
        <w:t xml:space="preserve"> </w:t>
      </w:r>
      <w:r w:rsidRPr="00F16251">
        <w:rPr>
          <w:rFonts w:cstheme="minorHAnsi"/>
        </w:rPr>
        <w:t>prawną</w:t>
      </w:r>
      <w:r w:rsidR="00A26C26" w:rsidRPr="00F16251">
        <w:rPr>
          <w:rFonts w:cstheme="minorHAnsi"/>
        </w:rPr>
        <w:t>,</w:t>
      </w:r>
      <w:r w:rsidR="003B50ED" w:rsidRPr="00F16251">
        <w:rPr>
          <w:rFonts w:cstheme="minorHAnsi"/>
        </w:rPr>
        <w:t xml:space="preserve"> </w:t>
      </w:r>
      <w:r w:rsidRPr="00F16251">
        <w:rPr>
          <w:rFonts w:cstheme="minorHAnsi"/>
        </w:rPr>
        <w:t>wpisanym</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Krajowego</w:t>
      </w:r>
      <w:r w:rsidR="003B50ED" w:rsidRPr="00F16251">
        <w:rPr>
          <w:rFonts w:cstheme="minorHAnsi"/>
        </w:rPr>
        <w:t xml:space="preserve"> </w:t>
      </w:r>
      <w:r w:rsidRPr="00F16251">
        <w:rPr>
          <w:rFonts w:cstheme="minorHAnsi"/>
        </w:rPr>
        <w:t>Rejestru</w:t>
      </w:r>
      <w:r w:rsidR="003B50ED" w:rsidRPr="00F16251">
        <w:rPr>
          <w:rFonts w:cstheme="minorHAnsi"/>
        </w:rPr>
        <w:t xml:space="preserve"> </w:t>
      </w:r>
      <w:r w:rsidRPr="00F16251">
        <w:rPr>
          <w:rFonts w:cstheme="minorHAnsi"/>
        </w:rPr>
        <w:t>Sądowego</w:t>
      </w:r>
      <w:r w:rsidR="003B50ED" w:rsidRPr="00F16251">
        <w:rPr>
          <w:rFonts w:cstheme="minorHAnsi"/>
        </w:rPr>
        <w:t xml:space="preserve"> </w:t>
      </w:r>
      <w:r w:rsidRPr="00F16251">
        <w:rPr>
          <w:rFonts w:cstheme="minorHAnsi"/>
        </w:rPr>
        <w:t>pod</w:t>
      </w:r>
      <w:r w:rsidR="003B50ED" w:rsidRPr="00F16251">
        <w:rPr>
          <w:rFonts w:cstheme="minorHAnsi"/>
        </w:rPr>
        <w:t xml:space="preserve"> </w:t>
      </w:r>
      <w:r w:rsidRPr="00F16251">
        <w:rPr>
          <w:rFonts w:cstheme="minorHAnsi"/>
        </w:rPr>
        <w:t>numerem</w:t>
      </w:r>
      <w:r w:rsidR="003B50ED" w:rsidRPr="00F16251">
        <w:rPr>
          <w:rFonts w:cstheme="minorHAnsi"/>
        </w:rPr>
        <w:t xml:space="preserve"> </w:t>
      </w:r>
      <w:r w:rsidR="00206F64" w:rsidRPr="00F16251">
        <w:rPr>
          <w:rFonts w:cstheme="minorHAnsi"/>
        </w:rPr>
        <w:t>0000258213</w:t>
      </w:r>
      <w:r w:rsidR="00EA3064" w:rsidRPr="00F16251">
        <w:rPr>
          <w:rFonts w:cstheme="minorHAnsi"/>
        </w:rPr>
        <w:t>,</w:t>
      </w:r>
      <w:r w:rsidR="003B50ED" w:rsidRPr="00F16251">
        <w:rPr>
          <w:rFonts w:cstheme="minorHAnsi"/>
        </w:rPr>
        <w:t xml:space="preserve"> </w:t>
      </w:r>
      <w:r w:rsidR="00EA3064" w:rsidRPr="00F16251">
        <w:rPr>
          <w:rFonts w:cstheme="minorHAnsi"/>
        </w:rPr>
        <w:t>obok</w:t>
      </w:r>
      <w:r w:rsidR="003B50ED" w:rsidRPr="00F16251">
        <w:rPr>
          <w:rFonts w:cstheme="minorHAnsi"/>
        </w:rPr>
        <w:t xml:space="preserve"> </w:t>
      </w:r>
      <w:r w:rsidR="00EA3064" w:rsidRPr="00F16251">
        <w:rPr>
          <w:rFonts w:cstheme="minorHAnsi"/>
        </w:rPr>
        <w:t>Walnego</w:t>
      </w:r>
      <w:r w:rsidR="003B50ED" w:rsidRPr="00F16251">
        <w:rPr>
          <w:rFonts w:cstheme="minorHAnsi"/>
        </w:rPr>
        <w:t xml:space="preserve"> </w:t>
      </w:r>
      <w:r w:rsidR="00EA3064" w:rsidRPr="00F16251">
        <w:rPr>
          <w:rFonts w:cstheme="minorHAnsi"/>
        </w:rPr>
        <w:t>Zebrania</w:t>
      </w:r>
      <w:r w:rsidR="003B50ED" w:rsidRPr="00F16251">
        <w:rPr>
          <w:rFonts w:cstheme="minorHAnsi"/>
        </w:rPr>
        <w:t xml:space="preserve"> </w:t>
      </w:r>
      <w:r w:rsidR="00EA3064" w:rsidRPr="00F16251">
        <w:rPr>
          <w:rFonts w:cstheme="minorHAnsi"/>
        </w:rPr>
        <w:t>Członków,</w:t>
      </w:r>
      <w:r w:rsidR="003B50ED" w:rsidRPr="00F16251">
        <w:rPr>
          <w:rFonts w:cstheme="minorHAnsi"/>
        </w:rPr>
        <w:t xml:space="preserve"> </w:t>
      </w:r>
      <w:r w:rsidR="00EA3064" w:rsidRPr="00F16251">
        <w:rPr>
          <w:rFonts w:cstheme="minorHAnsi"/>
        </w:rPr>
        <w:t>Zarządu</w:t>
      </w:r>
      <w:r w:rsidR="003B50ED" w:rsidRPr="00F16251">
        <w:rPr>
          <w:rFonts w:cstheme="minorHAnsi"/>
        </w:rPr>
        <w:t xml:space="preserve"> </w:t>
      </w:r>
      <w:r w:rsidR="00EA3064" w:rsidRPr="00F16251">
        <w:rPr>
          <w:rFonts w:cstheme="minorHAnsi"/>
        </w:rPr>
        <w:t>oraz</w:t>
      </w:r>
      <w:r w:rsidR="003B50ED" w:rsidRPr="00F16251">
        <w:rPr>
          <w:rFonts w:cstheme="minorHAnsi"/>
        </w:rPr>
        <w:t xml:space="preserve"> </w:t>
      </w:r>
      <w:r w:rsidR="00EA3064" w:rsidRPr="00F16251">
        <w:rPr>
          <w:rFonts w:cstheme="minorHAnsi"/>
        </w:rPr>
        <w:t>organu</w:t>
      </w:r>
      <w:r w:rsidR="003B50ED" w:rsidRPr="00F16251">
        <w:rPr>
          <w:rFonts w:cstheme="minorHAnsi"/>
        </w:rPr>
        <w:t xml:space="preserve"> </w:t>
      </w:r>
      <w:r w:rsidR="00EA3064" w:rsidRPr="00F16251">
        <w:rPr>
          <w:rFonts w:cstheme="minorHAnsi"/>
        </w:rPr>
        <w:t>kontroli</w:t>
      </w:r>
      <w:r w:rsidR="003B50ED" w:rsidRPr="00F16251">
        <w:rPr>
          <w:rFonts w:cstheme="minorHAnsi"/>
        </w:rPr>
        <w:t xml:space="preserve"> </w:t>
      </w:r>
      <w:r w:rsidR="00EA3064" w:rsidRPr="00F16251">
        <w:rPr>
          <w:rFonts w:cstheme="minorHAnsi"/>
        </w:rPr>
        <w:t>wewnętrznej,</w:t>
      </w:r>
      <w:r w:rsidR="003B50ED" w:rsidRPr="00F16251">
        <w:rPr>
          <w:rFonts w:cstheme="minorHAnsi"/>
        </w:rPr>
        <w:t xml:space="preserve"> </w:t>
      </w:r>
      <w:r w:rsidR="00EA3064" w:rsidRPr="00F16251">
        <w:rPr>
          <w:rFonts w:cstheme="minorHAnsi"/>
        </w:rPr>
        <w:t>funkcjonuje</w:t>
      </w:r>
      <w:r w:rsidR="003B50ED" w:rsidRPr="00F16251">
        <w:rPr>
          <w:rFonts w:cstheme="minorHAnsi"/>
        </w:rPr>
        <w:t xml:space="preserve"> </w:t>
      </w:r>
      <w:r w:rsidR="00EA3064" w:rsidRPr="00F16251">
        <w:rPr>
          <w:rFonts w:cstheme="minorHAnsi"/>
        </w:rPr>
        <w:t>dodatkowy</w:t>
      </w:r>
      <w:r w:rsidR="003B50ED" w:rsidRPr="00F16251">
        <w:rPr>
          <w:rFonts w:cstheme="minorHAnsi"/>
        </w:rPr>
        <w:t xml:space="preserve"> </w:t>
      </w:r>
      <w:r w:rsidR="00EA3064" w:rsidRPr="00F16251">
        <w:rPr>
          <w:rFonts w:cstheme="minorHAnsi"/>
        </w:rPr>
        <w:t>organ</w:t>
      </w:r>
      <w:r w:rsidR="003B50ED" w:rsidRPr="00F16251">
        <w:rPr>
          <w:rFonts w:cstheme="minorHAnsi"/>
        </w:rPr>
        <w:t xml:space="preserve"> </w:t>
      </w:r>
      <w:r w:rsidR="00EA3064" w:rsidRPr="00F16251">
        <w:rPr>
          <w:rFonts w:cstheme="minorHAnsi"/>
        </w:rPr>
        <w:t>–</w:t>
      </w:r>
      <w:r w:rsidR="003B50ED" w:rsidRPr="00F16251">
        <w:rPr>
          <w:rFonts w:cstheme="minorHAnsi"/>
        </w:rPr>
        <w:t xml:space="preserve"> </w:t>
      </w:r>
      <w:r w:rsidR="00EA3064" w:rsidRPr="00F16251">
        <w:rPr>
          <w:rFonts w:cstheme="minorHAnsi"/>
        </w:rPr>
        <w:t>Rada</w:t>
      </w:r>
      <w:r w:rsidR="003B50ED" w:rsidRPr="00F16251">
        <w:rPr>
          <w:rFonts w:cstheme="minorHAnsi"/>
        </w:rPr>
        <w:t xml:space="preserve"> </w:t>
      </w:r>
      <w:r w:rsidR="00EA3064" w:rsidRPr="00F16251">
        <w:rPr>
          <w:rFonts w:cstheme="minorHAnsi"/>
        </w:rPr>
        <w:t>Stowarzyszenia,</w:t>
      </w:r>
      <w:r w:rsidR="003B50ED" w:rsidRPr="00F16251">
        <w:rPr>
          <w:rFonts w:cstheme="minorHAnsi"/>
        </w:rPr>
        <w:t xml:space="preserve"> </w:t>
      </w:r>
      <w:r w:rsidR="00EA3064" w:rsidRPr="00F16251">
        <w:rPr>
          <w:rFonts w:cstheme="minorHAnsi"/>
        </w:rPr>
        <w:t>która</w:t>
      </w:r>
      <w:r w:rsidR="003B50ED" w:rsidRPr="00F16251">
        <w:rPr>
          <w:rFonts w:cstheme="minorHAnsi"/>
        </w:rPr>
        <w:t xml:space="preserve"> </w:t>
      </w:r>
      <w:r w:rsidR="00EA3064" w:rsidRPr="00F16251">
        <w:rPr>
          <w:rFonts w:cstheme="minorHAnsi"/>
        </w:rPr>
        <w:t>podejmuje</w:t>
      </w:r>
      <w:r w:rsidR="003B50ED" w:rsidRPr="00F16251">
        <w:rPr>
          <w:rFonts w:cstheme="minorHAnsi"/>
        </w:rPr>
        <w:t xml:space="preserve"> </w:t>
      </w:r>
      <w:r w:rsidR="00EA3064" w:rsidRPr="00F16251">
        <w:rPr>
          <w:rFonts w:cstheme="minorHAnsi"/>
        </w:rPr>
        <w:t>decyzje</w:t>
      </w:r>
      <w:r w:rsidR="003B50ED" w:rsidRPr="00F16251">
        <w:rPr>
          <w:rFonts w:cstheme="minorHAnsi"/>
        </w:rPr>
        <w:t xml:space="preserve"> </w:t>
      </w:r>
      <w:r w:rsidR="00EA3064" w:rsidRPr="00F16251">
        <w:rPr>
          <w:rFonts w:cstheme="minorHAnsi"/>
        </w:rPr>
        <w:t>w</w:t>
      </w:r>
      <w:r w:rsidR="003B50ED" w:rsidRPr="00F16251">
        <w:rPr>
          <w:rFonts w:cstheme="minorHAnsi"/>
        </w:rPr>
        <w:t xml:space="preserve"> </w:t>
      </w:r>
      <w:r w:rsidR="00EA3064" w:rsidRPr="00F16251">
        <w:rPr>
          <w:rFonts w:cstheme="minorHAnsi"/>
        </w:rPr>
        <w:t>sprawie</w:t>
      </w:r>
      <w:r w:rsidR="003B50ED" w:rsidRPr="00F16251">
        <w:rPr>
          <w:rFonts w:cstheme="minorHAnsi"/>
        </w:rPr>
        <w:t xml:space="preserve"> </w:t>
      </w:r>
      <w:r w:rsidR="00EA3064" w:rsidRPr="00F16251">
        <w:rPr>
          <w:rFonts w:cstheme="minorHAnsi"/>
        </w:rPr>
        <w:t>wyboru</w:t>
      </w:r>
      <w:r w:rsidR="003B50ED" w:rsidRPr="00F16251">
        <w:rPr>
          <w:rFonts w:cstheme="minorHAnsi"/>
        </w:rPr>
        <w:t xml:space="preserve"> </w:t>
      </w:r>
      <w:r w:rsidR="00EA3064" w:rsidRPr="00F16251">
        <w:rPr>
          <w:rFonts w:cstheme="minorHAnsi"/>
        </w:rPr>
        <w:t>oraz</w:t>
      </w:r>
      <w:r w:rsidR="003B50ED" w:rsidRPr="00F16251">
        <w:rPr>
          <w:rFonts w:cstheme="minorHAnsi"/>
        </w:rPr>
        <w:t xml:space="preserve"> </w:t>
      </w:r>
      <w:r w:rsidR="00EA3064" w:rsidRPr="00F16251">
        <w:rPr>
          <w:rFonts w:cstheme="minorHAnsi"/>
        </w:rPr>
        <w:t>ustalenia</w:t>
      </w:r>
      <w:r w:rsidR="003B50ED" w:rsidRPr="00F16251">
        <w:rPr>
          <w:rFonts w:cstheme="minorHAnsi"/>
        </w:rPr>
        <w:t xml:space="preserve"> </w:t>
      </w:r>
      <w:r w:rsidR="00EA3064" w:rsidRPr="00F16251">
        <w:rPr>
          <w:rFonts w:cstheme="minorHAnsi"/>
        </w:rPr>
        <w:t>kwoty</w:t>
      </w:r>
      <w:r w:rsidR="003B50ED" w:rsidRPr="00F16251">
        <w:rPr>
          <w:rFonts w:cstheme="minorHAnsi"/>
        </w:rPr>
        <w:t xml:space="preserve"> </w:t>
      </w:r>
      <w:r w:rsidR="00EA3064" w:rsidRPr="00F16251">
        <w:rPr>
          <w:rFonts w:cstheme="minorHAnsi"/>
        </w:rPr>
        <w:t>wsparcia</w:t>
      </w:r>
      <w:r w:rsidR="003B50ED" w:rsidRPr="00F16251">
        <w:rPr>
          <w:rFonts w:cstheme="minorHAnsi"/>
        </w:rPr>
        <w:t xml:space="preserve"> </w:t>
      </w:r>
      <w:r w:rsidR="00EA3064" w:rsidRPr="00F16251">
        <w:rPr>
          <w:rFonts w:cstheme="minorHAnsi"/>
        </w:rPr>
        <w:t>operacji</w:t>
      </w:r>
      <w:r w:rsidR="003B50ED" w:rsidRPr="00F16251">
        <w:rPr>
          <w:rFonts w:cstheme="minorHAnsi"/>
        </w:rPr>
        <w:t xml:space="preserve"> </w:t>
      </w:r>
      <w:r w:rsidR="00EA3064" w:rsidRPr="00F16251">
        <w:rPr>
          <w:rFonts w:cstheme="minorHAnsi"/>
        </w:rPr>
        <w:t>realizowanych</w:t>
      </w:r>
      <w:r w:rsidR="003B50ED" w:rsidRPr="00F16251">
        <w:rPr>
          <w:rFonts w:cstheme="minorHAnsi"/>
        </w:rPr>
        <w:t xml:space="preserve"> </w:t>
      </w:r>
      <w:r w:rsidR="00EA3064" w:rsidRPr="00F16251">
        <w:rPr>
          <w:rFonts w:cstheme="minorHAnsi"/>
        </w:rPr>
        <w:t>w</w:t>
      </w:r>
      <w:r w:rsidR="003B50ED" w:rsidRPr="00F16251">
        <w:rPr>
          <w:rFonts w:cstheme="minorHAnsi"/>
        </w:rPr>
        <w:t xml:space="preserve"> </w:t>
      </w:r>
      <w:r w:rsidR="00EA3064" w:rsidRPr="00F16251">
        <w:rPr>
          <w:rFonts w:cstheme="minorHAnsi"/>
        </w:rPr>
        <w:t>ramach</w:t>
      </w:r>
      <w:r w:rsidR="003B50ED" w:rsidRPr="00F16251">
        <w:rPr>
          <w:rFonts w:cstheme="minorHAnsi"/>
        </w:rPr>
        <w:t xml:space="preserve"> </w:t>
      </w:r>
      <w:r w:rsidR="00EA3064" w:rsidRPr="00F16251">
        <w:rPr>
          <w:rFonts w:cstheme="minorHAnsi"/>
        </w:rPr>
        <w:t>LSR.</w:t>
      </w:r>
    </w:p>
    <w:p w14:paraId="3AA04D51" w14:textId="18DE3C06" w:rsidR="00EA3064" w:rsidRPr="00F16251" w:rsidRDefault="00EA3064" w:rsidP="00EA3064">
      <w:pPr>
        <w:spacing w:line="276" w:lineRule="auto"/>
        <w:ind w:firstLine="284"/>
        <w:jc w:val="both"/>
        <w:rPr>
          <w:rFonts w:cstheme="minorHAnsi"/>
        </w:rPr>
      </w:pPr>
      <w:r w:rsidRPr="00F16251">
        <w:rPr>
          <w:rFonts w:cstheme="minorHAnsi"/>
        </w:rPr>
        <w:t>Podstawą</w:t>
      </w:r>
      <w:r w:rsidR="003B50ED" w:rsidRPr="00F16251">
        <w:rPr>
          <w:rFonts w:cstheme="minorHAnsi"/>
        </w:rPr>
        <w:t xml:space="preserve"> </w:t>
      </w:r>
      <w:r w:rsidRPr="00F16251">
        <w:rPr>
          <w:rFonts w:cstheme="minorHAnsi"/>
        </w:rPr>
        <w:t>działania</w:t>
      </w:r>
      <w:r w:rsidR="003B50ED" w:rsidRPr="00F16251">
        <w:rPr>
          <w:rFonts w:cstheme="minorHAnsi"/>
        </w:rPr>
        <w:t xml:space="preserve"> </w:t>
      </w:r>
      <w:r w:rsidRPr="00F16251">
        <w:rPr>
          <w:rFonts w:cstheme="minorHAnsi"/>
        </w:rPr>
        <w:t>jest</w:t>
      </w:r>
      <w:r w:rsidR="003B50ED" w:rsidRPr="00F16251">
        <w:rPr>
          <w:rFonts w:cstheme="minorHAnsi"/>
        </w:rPr>
        <w:t xml:space="preserve"> </w:t>
      </w:r>
      <w:r w:rsidRPr="00F16251">
        <w:rPr>
          <w:rFonts w:cstheme="minorHAnsi"/>
        </w:rPr>
        <w:t>Statut</w:t>
      </w:r>
      <w:r w:rsidR="003B50ED" w:rsidRPr="00F16251">
        <w:rPr>
          <w:rFonts w:cstheme="minorHAnsi"/>
        </w:rPr>
        <w:t xml:space="preserve"> </w:t>
      </w:r>
      <w:r w:rsidRPr="00F16251">
        <w:rPr>
          <w:rFonts w:cstheme="minorHAnsi"/>
        </w:rPr>
        <w:t>wraz</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ustawą</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dnia</w:t>
      </w:r>
      <w:r w:rsidR="003B50ED" w:rsidRPr="00F16251">
        <w:rPr>
          <w:rFonts w:cstheme="minorHAnsi"/>
        </w:rPr>
        <w:t xml:space="preserve"> </w:t>
      </w:r>
      <w:r w:rsidRPr="00F16251">
        <w:rPr>
          <w:rFonts w:cstheme="minorHAnsi"/>
        </w:rPr>
        <w:t>7</w:t>
      </w:r>
      <w:r w:rsidR="003B50ED" w:rsidRPr="00F16251">
        <w:rPr>
          <w:rFonts w:cstheme="minorHAnsi"/>
        </w:rPr>
        <w:t xml:space="preserve"> </w:t>
      </w:r>
      <w:r w:rsidRPr="00F16251">
        <w:rPr>
          <w:rFonts w:cstheme="minorHAnsi"/>
        </w:rPr>
        <w:t>kwietnia</w:t>
      </w:r>
      <w:r w:rsidR="003B50ED" w:rsidRPr="00F16251">
        <w:rPr>
          <w:rFonts w:cstheme="minorHAnsi"/>
        </w:rPr>
        <w:t xml:space="preserve"> </w:t>
      </w:r>
      <w:r w:rsidRPr="00F16251">
        <w:rPr>
          <w:rFonts w:cstheme="minorHAnsi"/>
        </w:rPr>
        <w:t>1989</w:t>
      </w:r>
      <w:r w:rsidR="003B50ED" w:rsidRPr="00F16251">
        <w:rPr>
          <w:rFonts w:cstheme="minorHAnsi"/>
        </w:rPr>
        <w:t xml:space="preserve"> </w:t>
      </w:r>
      <w:r w:rsidRPr="00F16251">
        <w:rPr>
          <w:rFonts w:cstheme="minorHAnsi"/>
        </w:rPr>
        <w:t>r.</w:t>
      </w:r>
      <w:r w:rsidR="003B50ED" w:rsidRPr="00F16251">
        <w:rPr>
          <w:rFonts w:cstheme="minorHAnsi"/>
        </w:rPr>
        <w:t xml:space="preserve"> </w:t>
      </w:r>
      <w:r w:rsidRPr="00F16251">
        <w:rPr>
          <w:rFonts w:cstheme="minorHAnsi"/>
        </w:rPr>
        <w:t>Prawo</w:t>
      </w:r>
      <w:r w:rsidR="003B50ED" w:rsidRPr="00F16251">
        <w:rPr>
          <w:rFonts w:cstheme="minorHAnsi"/>
        </w:rPr>
        <w:t xml:space="preserve"> </w:t>
      </w:r>
      <w:r w:rsidRPr="00F16251">
        <w:rPr>
          <w:rFonts w:cstheme="minorHAnsi"/>
        </w:rPr>
        <w:t>o</w:t>
      </w:r>
      <w:r w:rsidR="003B50ED" w:rsidRPr="00F16251">
        <w:rPr>
          <w:rFonts w:cstheme="minorHAnsi"/>
        </w:rPr>
        <w:t xml:space="preserve"> </w:t>
      </w:r>
      <w:r w:rsidRPr="00F16251">
        <w:rPr>
          <w:rFonts w:cstheme="minorHAnsi"/>
        </w:rPr>
        <w:t>stowarzyszeniach</w:t>
      </w:r>
      <w:r w:rsidR="003B50ED" w:rsidRPr="00F16251">
        <w:rPr>
          <w:rFonts w:cstheme="minorHAnsi"/>
        </w:rPr>
        <w:t xml:space="preserve"> </w:t>
      </w:r>
      <w:r w:rsidRPr="00F16251">
        <w:rPr>
          <w:rFonts w:cstheme="minorHAnsi"/>
        </w:rPr>
        <w:t>(Dz.</w:t>
      </w:r>
      <w:r w:rsidR="003B50ED" w:rsidRPr="00F16251">
        <w:rPr>
          <w:rFonts w:cstheme="minorHAnsi"/>
        </w:rPr>
        <w:t xml:space="preserve"> </w:t>
      </w:r>
      <w:r w:rsidRPr="00F16251">
        <w:rPr>
          <w:rFonts w:cstheme="minorHAnsi"/>
        </w:rPr>
        <w:t>U.</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2020</w:t>
      </w:r>
      <w:r w:rsidR="003B50ED" w:rsidRPr="00F16251">
        <w:rPr>
          <w:rFonts w:cstheme="minorHAnsi"/>
        </w:rPr>
        <w:t xml:space="preserve"> </w:t>
      </w:r>
      <w:r w:rsidRPr="00F16251">
        <w:rPr>
          <w:rFonts w:cstheme="minorHAnsi"/>
        </w:rPr>
        <w:t>r.</w:t>
      </w:r>
      <w:r w:rsidR="003B50ED" w:rsidRPr="00F16251">
        <w:rPr>
          <w:rFonts w:cstheme="minorHAnsi"/>
        </w:rPr>
        <w:t xml:space="preserve"> </w:t>
      </w:r>
      <w:r w:rsidRPr="00F16251">
        <w:rPr>
          <w:rFonts w:cstheme="minorHAnsi"/>
        </w:rPr>
        <w:t>poz.</w:t>
      </w:r>
      <w:r w:rsidR="003B50ED" w:rsidRPr="00F16251">
        <w:rPr>
          <w:rFonts w:cstheme="minorHAnsi"/>
        </w:rPr>
        <w:t xml:space="preserve"> </w:t>
      </w:r>
      <w:r w:rsidRPr="00F16251">
        <w:rPr>
          <w:rFonts w:cstheme="minorHAnsi"/>
        </w:rPr>
        <w:t>2261).</w:t>
      </w:r>
      <w:r w:rsidR="003B50ED" w:rsidRPr="00F16251">
        <w:rPr>
          <w:rFonts w:cstheme="minorHAnsi"/>
        </w:rPr>
        <w:t xml:space="preserve"> </w:t>
      </w:r>
      <w:r w:rsidRPr="00F16251">
        <w:rPr>
          <w:rFonts w:cstheme="minorHAnsi"/>
        </w:rPr>
        <w:t>Wszelkie</w:t>
      </w:r>
      <w:r w:rsidR="003B50ED" w:rsidRPr="00F16251">
        <w:rPr>
          <w:rFonts w:cstheme="minorHAnsi"/>
        </w:rPr>
        <w:t xml:space="preserve"> </w:t>
      </w:r>
      <w:r w:rsidRPr="00F16251">
        <w:rPr>
          <w:rFonts w:cstheme="minorHAnsi"/>
        </w:rPr>
        <w:t>prowadzone</w:t>
      </w:r>
      <w:r w:rsidR="003B50ED" w:rsidRPr="00F16251">
        <w:rPr>
          <w:rFonts w:cstheme="minorHAnsi"/>
        </w:rPr>
        <w:t xml:space="preserve"> </w:t>
      </w:r>
      <w:r w:rsidRPr="00F16251">
        <w:rPr>
          <w:rFonts w:cstheme="minorHAnsi"/>
        </w:rPr>
        <w:t>przez</w:t>
      </w:r>
      <w:r w:rsidR="003B50ED" w:rsidRPr="00F16251">
        <w:rPr>
          <w:rFonts w:cstheme="minorHAnsi"/>
        </w:rPr>
        <w:t xml:space="preserve"> </w:t>
      </w:r>
      <w:r w:rsidR="007F1E76" w:rsidRPr="00F16251">
        <w:rPr>
          <w:rFonts w:cstheme="minorHAnsi"/>
        </w:rPr>
        <w:t>Stowarzyszenie</w:t>
      </w:r>
      <w:r w:rsidR="003B50ED" w:rsidRPr="00F16251">
        <w:rPr>
          <w:rFonts w:cstheme="minorHAnsi"/>
        </w:rPr>
        <w:t xml:space="preserve"> </w:t>
      </w:r>
      <w:r w:rsidR="00D243EB" w:rsidRPr="00F16251">
        <w:rPr>
          <w:rFonts w:cstheme="minorHAnsi"/>
        </w:rPr>
        <w:t>„Solidarni</w:t>
      </w:r>
      <w:r w:rsidR="003B50ED" w:rsidRPr="00F16251">
        <w:rPr>
          <w:rFonts w:cstheme="minorHAnsi"/>
        </w:rPr>
        <w:t xml:space="preserve"> </w:t>
      </w:r>
      <w:r w:rsidR="00D243EB" w:rsidRPr="00F16251">
        <w:rPr>
          <w:rFonts w:cstheme="minorHAnsi"/>
        </w:rPr>
        <w:t>w</w:t>
      </w:r>
      <w:r w:rsidR="003B50ED" w:rsidRPr="00F16251">
        <w:rPr>
          <w:rFonts w:cstheme="minorHAnsi"/>
        </w:rPr>
        <w:t xml:space="preserve"> </w:t>
      </w:r>
      <w:r w:rsidR="00D243EB" w:rsidRPr="00F16251">
        <w:rPr>
          <w:rFonts w:cstheme="minorHAnsi"/>
        </w:rPr>
        <w:t>Partnerstwie”</w:t>
      </w:r>
      <w:r w:rsidR="003B50ED" w:rsidRPr="00F16251">
        <w:rPr>
          <w:rFonts w:cstheme="minorHAnsi"/>
        </w:rPr>
        <w:t xml:space="preserve"> </w:t>
      </w:r>
      <w:r w:rsidRPr="00F16251">
        <w:rPr>
          <w:rFonts w:cstheme="minorHAnsi"/>
        </w:rPr>
        <w:t>działania</w:t>
      </w:r>
      <w:r w:rsidR="003B50ED" w:rsidRPr="00F16251">
        <w:rPr>
          <w:rFonts w:cstheme="minorHAnsi"/>
        </w:rPr>
        <w:t xml:space="preserve"> </w:t>
      </w:r>
      <w:r w:rsidRPr="00F16251">
        <w:rPr>
          <w:rFonts w:cstheme="minorHAnsi"/>
        </w:rPr>
        <w:t>są</w:t>
      </w:r>
      <w:r w:rsidR="003B50ED" w:rsidRPr="00F16251">
        <w:rPr>
          <w:rFonts w:cstheme="minorHAnsi"/>
        </w:rPr>
        <w:t xml:space="preserve"> </w:t>
      </w:r>
      <w:r w:rsidRPr="00F16251">
        <w:rPr>
          <w:rFonts w:cstheme="minorHAnsi"/>
        </w:rPr>
        <w:t>zgodne</w:t>
      </w:r>
      <w:r w:rsidR="003B50ED" w:rsidRPr="00F16251">
        <w:rPr>
          <w:rFonts w:cstheme="minorHAnsi"/>
        </w:rPr>
        <w:t xml:space="preserve"> </w:t>
      </w:r>
      <w:r w:rsidRPr="00F16251">
        <w:rPr>
          <w:rFonts w:cstheme="minorHAnsi"/>
        </w:rPr>
        <w:t>ze</w:t>
      </w:r>
      <w:r w:rsidR="003B50ED" w:rsidRPr="00F16251">
        <w:rPr>
          <w:rFonts w:cstheme="minorHAnsi"/>
        </w:rPr>
        <w:t xml:space="preserve"> </w:t>
      </w:r>
      <w:r w:rsidRPr="00F16251">
        <w:rPr>
          <w:rFonts w:cstheme="minorHAnsi"/>
        </w:rPr>
        <w:t>Statutem,</w:t>
      </w:r>
      <w:r w:rsidR="003B50ED" w:rsidRPr="00F16251">
        <w:rPr>
          <w:rFonts w:cstheme="minorHAnsi"/>
        </w:rPr>
        <w:t xml:space="preserve"> </w:t>
      </w:r>
      <w:r w:rsidRPr="00F16251">
        <w:rPr>
          <w:rFonts w:cstheme="minorHAnsi"/>
        </w:rPr>
        <w:t>tj.</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niego</w:t>
      </w:r>
      <w:r w:rsidR="003B50ED" w:rsidRPr="00F16251">
        <w:rPr>
          <w:rFonts w:cstheme="minorHAnsi"/>
        </w:rPr>
        <w:t xml:space="preserve"> </w:t>
      </w:r>
      <w:r w:rsidRPr="00F16251">
        <w:rPr>
          <w:rFonts w:cstheme="minorHAnsi"/>
        </w:rPr>
        <w:t>wynikają</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nie</w:t>
      </w:r>
      <w:r w:rsidR="003B50ED" w:rsidRPr="00F16251">
        <w:rPr>
          <w:rFonts w:cstheme="minorHAnsi"/>
        </w:rPr>
        <w:t xml:space="preserve"> </w:t>
      </w:r>
      <w:r w:rsidRPr="00F16251">
        <w:rPr>
          <w:rFonts w:cstheme="minorHAnsi"/>
        </w:rPr>
        <w:t>są</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nim</w:t>
      </w:r>
      <w:r w:rsidR="003B50ED" w:rsidRPr="00F16251">
        <w:rPr>
          <w:rFonts w:cstheme="minorHAnsi"/>
        </w:rPr>
        <w:t xml:space="preserve"> </w:t>
      </w:r>
      <w:r w:rsidRPr="00F16251">
        <w:rPr>
          <w:rFonts w:cstheme="minorHAnsi"/>
        </w:rPr>
        <w:t>sprzeczne.</w:t>
      </w:r>
      <w:r w:rsidR="003B50ED" w:rsidRPr="00F16251">
        <w:rPr>
          <w:rFonts w:cstheme="minorHAnsi"/>
        </w:rPr>
        <w:t xml:space="preserve"> </w:t>
      </w:r>
      <w:r w:rsidRPr="00F16251">
        <w:rPr>
          <w:rFonts w:cstheme="minorHAnsi"/>
        </w:rPr>
        <w:t>Podstawowe</w:t>
      </w:r>
      <w:r w:rsidR="003B50ED" w:rsidRPr="00F16251">
        <w:rPr>
          <w:rFonts w:cstheme="minorHAnsi"/>
        </w:rPr>
        <w:t xml:space="preserve"> </w:t>
      </w:r>
      <w:r w:rsidRPr="00F16251">
        <w:rPr>
          <w:rFonts w:cstheme="minorHAnsi"/>
        </w:rPr>
        <w:t>przepisy</w:t>
      </w:r>
      <w:r w:rsidR="003B50ED" w:rsidRPr="00F16251">
        <w:rPr>
          <w:rFonts w:cstheme="minorHAnsi"/>
        </w:rPr>
        <w:t xml:space="preserve"> </w:t>
      </w:r>
      <w:r w:rsidRPr="00F16251">
        <w:rPr>
          <w:rFonts w:cstheme="minorHAnsi"/>
        </w:rPr>
        <w:t>UE</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jakich</w:t>
      </w:r>
      <w:r w:rsidR="003B50ED" w:rsidRPr="00F16251">
        <w:rPr>
          <w:rFonts w:cstheme="minorHAnsi"/>
        </w:rPr>
        <w:t xml:space="preserve"> </w:t>
      </w:r>
      <w:r w:rsidRPr="00F16251">
        <w:rPr>
          <w:rFonts w:cstheme="minorHAnsi"/>
        </w:rPr>
        <w:t>opiera</w:t>
      </w:r>
      <w:r w:rsidR="003B50ED" w:rsidRPr="00F16251">
        <w:rPr>
          <w:rFonts w:cstheme="minorHAnsi"/>
        </w:rPr>
        <w:t xml:space="preserve"> </w:t>
      </w:r>
      <w:r w:rsidRPr="00F16251">
        <w:rPr>
          <w:rFonts w:cstheme="minorHAnsi"/>
        </w:rPr>
        <w:t>się</w:t>
      </w:r>
      <w:r w:rsidR="003B50ED" w:rsidRPr="00F16251">
        <w:rPr>
          <w:rFonts w:cstheme="minorHAnsi"/>
        </w:rPr>
        <w:t xml:space="preserve"> </w:t>
      </w:r>
      <w:r w:rsidRPr="00F16251">
        <w:rPr>
          <w:rFonts w:cstheme="minorHAnsi"/>
        </w:rPr>
        <w:t>działalność</w:t>
      </w:r>
      <w:r w:rsidR="003B50ED" w:rsidRPr="00F16251">
        <w:rPr>
          <w:rFonts w:cstheme="minorHAnsi"/>
        </w:rPr>
        <w:t xml:space="preserve"> </w:t>
      </w:r>
      <w:r w:rsidR="008247A9" w:rsidRPr="00F16251">
        <w:rPr>
          <w:rFonts w:cstheme="minorHAnsi"/>
        </w:rPr>
        <w:t xml:space="preserve">Stowarzyszenia „Solidarni w Partnerstwie”, </w:t>
      </w:r>
      <w:r w:rsidRPr="00F16251">
        <w:rPr>
          <w:rFonts w:cstheme="minorHAnsi"/>
        </w:rPr>
        <w:t>dotyczą:</w:t>
      </w:r>
    </w:p>
    <w:p w14:paraId="7B602C87" w14:textId="5DC64CAD" w:rsidR="00EA3064" w:rsidRPr="00F16251" w:rsidRDefault="00EA3064" w:rsidP="00EA3064">
      <w:pPr>
        <w:spacing w:line="276" w:lineRule="auto"/>
        <w:jc w:val="both"/>
        <w:rPr>
          <w:rFonts w:cstheme="minorHAnsi"/>
        </w:rPr>
      </w:pPr>
      <w:r w:rsidRPr="00F16251">
        <w:rPr>
          <w:rFonts w:cstheme="minorHAnsi"/>
        </w:rPr>
        <w:t>-</w:t>
      </w:r>
      <w:r w:rsidR="003B50ED" w:rsidRPr="00F16251">
        <w:rPr>
          <w:rFonts w:cstheme="minorHAnsi"/>
        </w:rPr>
        <w:t xml:space="preserve"> </w:t>
      </w:r>
      <w:r w:rsidRPr="00F16251">
        <w:rPr>
          <w:rFonts w:cstheme="minorHAnsi"/>
        </w:rPr>
        <w:t>Rozporządzenia</w:t>
      </w:r>
      <w:r w:rsidR="003B50ED" w:rsidRPr="00F16251">
        <w:rPr>
          <w:rFonts w:cstheme="minorHAnsi"/>
        </w:rPr>
        <w:t xml:space="preserve"> </w:t>
      </w:r>
      <w:r w:rsidRPr="00F16251">
        <w:rPr>
          <w:rFonts w:cstheme="minorHAnsi"/>
        </w:rPr>
        <w:t>Parlamentu</w:t>
      </w:r>
      <w:r w:rsidR="003B50ED" w:rsidRPr="00F16251">
        <w:rPr>
          <w:rFonts w:cstheme="minorHAnsi"/>
        </w:rPr>
        <w:t xml:space="preserve"> </w:t>
      </w:r>
      <w:r w:rsidRPr="00F16251">
        <w:rPr>
          <w:rFonts w:cstheme="minorHAnsi"/>
        </w:rPr>
        <w:t>Europejskiego</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Rady</w:t>
      </w:r>
      <w:r w:rsidR="003B50ED" w:rsidRPr="00F16251">
        <w:rPr>
          <w:rFonts w:cstheme="minorHAnsi"/>
        </w:rPr>
        <w:t xml:space="preserve"> </w:t>
      </w:r>
      <w:r w:rsidRPr="00F16251">
        <w:rPr>
          <w:rFonts w:cstheme="minorHAnsi"/>
        </w:rPr>
        <w:t>(UE)</w:t>
      </w:r>
      <w:r w:rsidR="003B50ED" w:rsidRPr="00F16251">
        <w:rPr>
          <w:rFonts w:cstheme="minorHAnsi"/>
        </w:rPr>
        <w:t xml:space="preserve"> </w:t>
      </w:r>
      <w:r w:rsidRPr="00F16251">
        <w:rPr>
          <w:rFonts w:cstheme="minorHAnsi"/>
        </w:rPr>
        <w:t>nr</w:t>
      </w:r>
      <w:r w:rsidR="003B50ED" w:rsidRPr="00F16251">
        <w:rPr>
          <w:rFonts w:cstheme="minorHAnsi"/>
        </w:rPr>
        <w:t xml:space="preserve"> </w:t>
      </w:r>
      <w:r w:rsidRPr="00F16251">
        <w:rPr>
          <w:rFonts w:cstheme="minorHAnsi"/>
        </w:rPr>
        <w:t>1303/2013</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dnia</w:t>
      </w:r>
      <w:r w:rsidR="003B50ED" w:rsidRPr="00F16251">
        <w:rPr>
          <w:rFonts w:cstheme="minorHAnsi"/>
        </w:rPr>
        <w:t xml:space="preserve"> </w:t>
      </w:r>
      <w:r w:rsidRPr="00F16251">
        <w:rPr>
          <w:rFonts w:cstheme="minorHAnsi"/>
        </w:rPr>
        <w:t>17</w:t>
      </w:r>
      <w:r w:rsidR="003B50ED" w:rsidRPr="00F16251">
        <w:rPr>
          <w:rFonts w:cstheme="minorHAnsi"/>
        </w:rPr>
        <w:t xml:space="preserve"> </w:t>
      </w:r>
      <w:r w:rsidRPr="00F16251">
        <w:rPr>
          <w:rFonts w:cstheme="minorHAnsi"/>
        </w:rPr>
        <w:t>grudnia</w:t>
      </w:r>
      <w:r w:rsidR="003B50ED" w:rsidRPr="00F16251">
        <w:rPr>
          <w:rFonts w:cstheme="minorHAnsi"/>
        </w:rPr>
        <w:t xml:space="preserve"> </w:t>
      </w:r>
      <w:r w:rsidRPr="00F16251">
        <w:rPr>
          <w:rFonts w:cstheme="minorHAnsi"/>
        </w:rPr>
        <w:t>2013</w:t>
      </w:r>
      <w:r w:rsidR="003B50ED" w:rsidRPr="00F16251">
        <w:rPr>
          <w:rFonts w:cstheme="minorHAnsi"/>
        </w:rPr>
        <w:t xml:space="preserve"> </w:t>
      </w:r>
      <w:r w:rsidRPr="00F16251">
        <w:rPr>
          <w:rFonts w:cstheme="minorHAnsi"/>
        </w:rPr>
        <w:t>r.</w:t>
      </w:r>
      <w:r w:rsidR="003B50ED" w:rsidRPr="00F16251">
        <w:rPr>
          <w:rFonts w:cstheme="minorHAnsi"/>
        </w:rPr>
        <w:t xml:space="preserve"> </w:t>
      </w:r>
      <w:r w:rsidRPr="00F16251">
        <w:rPr>
          <w:rFonts w:cstheme="minorHAnsi"/>
        </w:rPr>
        <w:t>ustanawiającego</w:t>
      </w:r>
      <w:r w:rsidR="003B50ED" w:rsidRPr="00F16251">
        <w:rPr>
          <w:rFonts w:cstheme="minorHAnsi"/>
        </w:rPr>
        <w:t xml:space="preserve"> </w:t>
      </w:r>
      <w:r w:rsidRPr="00F16251">
        <w:rPr>
          <w:rFonts w:cstheme="minorHAnsi"/>
        </w:rPr>
        <w:t>wspólne</w:t>
      </w:r>
      <w:r w:rsidR="003B50ED" w:rsidRPr="00F16251">
        <w:rPr>
          <w:rFonts w:cstheme="minorHAnsi"/>
        </w:rPr>
        <w:t xml:space="preserve"> </w:t>
      </w:r>
      <w:r w:rsidRPr="00F16251">
        <w:rPr>
          <w:rFonts w:cstheme="minorHAnsi"/>
        </w:rPr>
        <w:t>przepisy</w:t>
      </w:r>
      <w:r w:rsidR="003B50ED" w:rsidRPr="00F16251">
        <w:rPr>
          <w:rFonts w:cstheme="minorHAnsi"/>
        </w:rPr>
        <w:t xml:space="preserve"> </w:t>
      </w:r>
      <w:r w:rsidRPr="00F16251">
        <w:rPr>
          <w:rFonts w:cstheme="minorHAnsi"/>
        </w:rPr>
        <w:t>dotyczące</w:t>
      </w:r>
      <w:r w:rsidR="003B50ED" w:rsidRPr="00F16251">
        <w:rPr>
          <w:rFonts w:cstheme="minorHAnsi"/>
        </w:rPr>
        <w:t xml:space="preserve"> </w:t>
      </w:r>
      <w:r w:rsidRPr="00F16251">
        <w:rPr>
          <w:rFonts w:cstheme="minorHAnsi"/>
        </w:rPr>
        <w:t>Europejskiego</w:t>
      </w:r>
      <w:r w:rsidR="003B50ED" w:rsidRPr="00F16251">
        <w:rPr>
          <w:rFonts w:cstheme="minorHAnsi"/>
        </w:rPr>
        <w:t xml:space="preserve"> </w:t>
      </w:r>
      <w:r w:rsidRPr="00F16251">
        <w:rPr>
          <w:rFonts w:cstheme="minorHAnsi"/>
        </w:rPr>
        <w:t>Funduszu</w:t>
      </w:r>
      <w:r w:rsidR="003B50ED" w:rsidRPr="00F16251">
        <w:rPr>
          <w:rFonts w:cstheme="minorHAnsi"/>
        </w:rPr>
        <w:t xml:space="preserve"> </w:t>
      </w:r>
      <w:r w:rsidRPr="00F16251">
        <w:rPr>
          <w:rFonts w:cstheme="minorHAnsi"/>
        </w:rPr>
        <w:t>Rozwoju</w:t>
      </w:r>
      <w:r w:rsidR="003B50ED" w:rsidRPr="00F16251">
        <w:rPr>
          <w:rFonts w:cstheme="minorHAnsi"/>
        </w:rPr>
        <w:t xml:space="preserve"> </w:t>
      </w:r>
      <w:r w:rsidRPr="00F16251">
        <w:rPr>
          <w:rFonts w:cstheme="minorHAnsi"/>
        </w:rPr>
        <w:t>Regionalnego,</w:t>
      </w:r>
      <w:r w:rsidR="003B50ED" w:rsidRPr="00F16251">
        <w:rPr>
          <w:rFonts w:cstheme="minorHAnsi"/>
        </w:rPr>
        <w:t xml:space="preserve"> </w:t>
      </w:r>
      <w:r w:rsidRPr="00F16251">
        <w:rPr>
          <w:rFonts w:cstheme="minorHAnsi"/>
        </w:rPr>
        <w:t>Europejskiego</w:t>
      </w:r>
      <w:r w:rsidR="003B50ED" w:rsidRPr="00F16251">
        <w:rPr>
          <w:rFonts w:cstheme="minorHAnsi"/>
        </w:rPr>
        <w:t xml:space="preserve"> </w:t>
      </w:r>
      <w:r w:rsidRPr="00F16251">
        <w:rPr>
          <w:rFonts w:cstheme="minorHAnsi"/>
        </w:rPr>
        <w:t>Funduszu</w:t>
      </w:r>
      <w:r w:rsidR="003B50ED" w:rsidRPr="00F16251">
        <w:rPr>
          <w:rFonts w:cstheme="minorHAnsi"/>
        </w:rPr>
        <w:t xml:space="preserve"> </w:t>
      </w:r>
      <w:r w:rsidRPr="00F16251">
        <w:rPr>
          <w:rFonts w:cstheme="minorHAnsi"/>
        </w:rPr>
        <w:t>Społecznego,</w:t>
      </w:r>
      <w:r w:rsidR="003B50ED" w:rsidRPr="00F16251">
        <w:rPr>
          <w:rFonts w:cstheme="minorHAnsi"/>
        </w:rPr>
        <w:t xml:space="preserve"> </w:t>
      </w:r>
      <w:r w:rsidRPr="00F16251">
        <w:rPr>
          <w:rFonts w:cstheme="minorHAnsi"/>
        </w:rPr>
        <w:t>Funduszu</w:t>
      </w:r>
      <w:r w:rsidR="003B50ED" w:rsidRPr="00F16251">
        <w:rPr>
          <w:rFonts w:cstheme="minorHAnsi"/>
        </w:rPr>
        <w:t xml:space="preserve"> </w:t>
      </w:r>
      <w:r w:rsidRPr="00F16251">
        <w:rPr>
          <w:rFonts w:cstheme="minorHAnsi"/>
        </w:rPr>
        <w:t>Spójności,</w:t>
      </w:r>
      <w:r w:rsidR="003B50ED" w:rsidRPr="00F16251">
        <w:rPr>
          <w:rFonts w:cstheme="minorHAnsi"/>
        </w:rPr>
        <w:t xml:space="preserve"> </w:t>
      </w:r>
      <w:r w:rsidRPr="00F16251">
        <w:rPr>
          <w:rFonts w:cstheme="minorHAnsi"/>
        </w:rPr>
        <w:t>Europejskiego</w:t>
      </w:r>
      <w:r w:rsidR="003B50ED" w:rsidRPr="00F16251">
        <w:rPr>
          <w:rFonts w:cstheme="minorHAnsi"/>
        </w:rPr>
        <w:t xml:space="preserve"> </w:t>
      </w:r>
      <w:r w:rsidRPr="00F16251">
        <w:rPr>
          <w:rFonts w:cstheme="minorHAnsi"/>
        </w:rPr>
        <w:t>Funduszu</w:t>
      </w:r>
      <w:r w:rsidR="003B50ED" w:rsidRPr="00F16251">
        <w:rPr>
          <w:rFonts w:cstheme="minorHAnsi"/>
        </w:rPr>
        <w:t xml:space="preserve"> </w:t>
      </w:r>
      <w:r w:rsidRPr="00F16251">
        <w:rPr>
          <w:rFonts w:cstheme="minorHAnsi"/>
        </w:rPr>
        <w:t>Rolnego</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rzecz</w:t>
      </w:r>
      <w:r w:rsidR="003B50ED" w:rsidRPr="00F16251">
        <w:rPr>
          <w:rFonts w:cstheme="minorHAnsi"/>
        </w:rPr>
        <w:t xml:space="preserve"> </w:t>
      </w:r>
      <w:r w:rsidRPr="00F16251">
        <w:rPr>
          <w:rFonts w:cstheme="minorHAnsi"/>
        </w:rPr>
        <w:t>Rozwoju</w:t>
      </w:r>
      <w:r w:rsidR="003B50ED" w:rsidRPr="00F16251">
        <w:rPr>
          <w:rFonts w:cstheme="minorHAnsi"/>
        </w:rPr>
        <w:t xml:space="preserve"> </w:t>
      </w:r>
      <w:r w:rsidRPr="00F16251">
        <w:rPr>
          <w:rFonts w:cstheme="minorHAnsi"/>
        </w:rPr>
        <w:t>Obszarów</w:t>
      </w:r>
      <w:r w:rsidR="003B50ED" w:rsidRPr="00F16251">
        <w:rPr>
          <w:rFonts w:cstheme="minorHAnsi"/>
        </w:rPr>
        <w:t xml:space="preserve"> </w:t>
      </w:r>
      <w:r w:rsidRPr="00F16251">
        <w:rPr>
          <w:rFonts w:cstheme="minorHAnsi"/>
        </w:rPr>
        <w:t>Wiejskich</w:t>
      </w:r>
      <w:r w:rsidR="003B50ED" w:rsidRPr="00F16251">
        <w:rPr>
          <w:rFonts w:cstheme="minorHAnsi"/>
        </w:rPr>
        <w:t xml:space="preserve"> </w:t>
      </w:r>
      <w:r w:rsidRPr="00F16251">
        <w:rPr>
          <w:rFonts w:cstheme="minorHAnsi"/>
        </w:rPr>
        <w:t>oraz</w:t>
      </w:r>
      <w:r w:rsidR="003B50ED" w:rsidRPr="00F16251">
        <w:rPr>
          <w:rFonts w:cstheme="minorHAnsi"/>
        </w:rPr>
        <w:t xml:space="preserve"> </w:t>
      </w:r>
      <w:r w:rsidRPr="00F16251">
        <w:rPr>
          <w:rFonts w:cstheme="minorHAnsi"/>
        </w:rPr>
        <w:t>Europejskiego</w:t>
      </w:r>
      <w:r w:rsidR="003B50ED" w:rsidRPr="00F16251">
        <w:rPr>
          <w:rFonts w:cstheme="minorHAnsi"/>
        </w:rPr>
        <w:t xml:space="preserve"> </w:t>
      </w:r>
      <w:r w:rsidRPr="00F16251">
        <w:rPr>
          <w:rFonts w:cstheme="minorHAnsi"/>
        </w:rPr>
        <w:t>Funduszu</w:t>
      </w:r>
      <w:r w:rsidR="003B50ED" w:rsidRPr="00F16251">
        <w:rPr>
          <w:rFonts w:cstheme="minorHAnsi"/>
        </w:rPr>
        <w:t xml:space="preserve"> </w:t>
      </w:r>
      <w:r w:rsidRPr="00F16251">
        <w:rPr>
          <w:rFonts w:cstheme="minorHAnsi"/>
        </w:rPr>
        <w:t>Morskiego</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Rybackiego</w:t>
      </w:r>
      <w:r w:rsidR="003B50ED" w:rsidRPr="00F16251">
        <w:rPr>
          <w:rFonts w:cstheme="minorHAnsi"/>
        </w:rPr>
        <w:t xml:space="preserve"> </w:t>
      </w:r>
      <w:r w:rsidRPr="00F16251">
        <w:rPr>
          <w:rFonts w:cstheme="minorHAnsi"/>
        </w:rPr>
        <w:t>oraz</w:t>
      </w:r>
      <w:r w:rsidR="003B50ED" w:rsidRPr="00F16251">
        <w:rPr>
          <w:rFonts w:cstheme="minorHAnsi"/>
        </w:rPr>
        <w:t xml:space="preserve"> </w:t>
      </w:r>
      <w:r w:rsidRPr="00F16251">
        <w:rPr>
          <w:rFonts w:cstheme="minorHAnsi"/>
        </w:rPr>
        <w:t>ustanawiającego</w:t>
      </w:r>
      <w:r w:rsidR="003B50ED" w:rsidRPr="00F16251">
        <w:rPr>
          <w:rFonts w:cstheme="minorHAnsi"/>
        </w:rPr>
        <w:t xml:space="preserve"> </w:t>
      </w:r>
      <w:r w:rsidRPr="00F16251">
        <w:rPr>
          <w:rFonts w:cstheme="minorHAnsi"/>
        </w:rPr>
        <w:t>przepisy</w:t>
      </w:r>
      <w:r w:rsidR="003B50ED" w:rsidRPr="00F16251">
        <w:rPr>
          <w:rFonts w:cstheme="minorHAnsi"/>
        </w:rPr>
        <w:t xml:space="preserve"> </w:t>
      </w:r>
      <w:r w:rsidRPr="00F16251">
        <w:rPr>
          <w:rFonts w:cstheme="minorHAnsi"/>
        </w:rPr>
        <w:t>ogólne</w:t>
      </w:r>
      <w:r w:rsidR="003B50ED" w:rsidRPr="00F16251">
        <w:rPr>
          <w:rFonts w:cstheme="minorHAnsi"/>
        </w:rPr>
        <w:t xml:space="preserve"> </w:t>
      </w:r>
      <w:r w:rsidRPr="00F16251">
        <w:rPr>
          <w:rFonts w:cstheme="minorHAnsi"/>
        </w:rPr>
        <w:t>dotyczące</w:t>
      </w:r>
      <w:r w:rsidR="003B50ED" w:rsidRPr="00F16251">
        <w:rPr>
          <w:rFonts w:cstheme="minorHAnsi"/>
        </w:rPr>
        <w:t xml:space="preserve"> </w:t>
      </w:r>
      <w:r w:rsidRPr="00F16251">
        <w:rPr>
          <w:rFonts w:cstheme="minorHAnsi"/>
        </w:rPr>
        <w:t>Europejskiego</w:t>
      </w:r>
      <w:r w:rsidR="003B50ED" w:rsidRPr="00F16251">
        <w:rPr>
          <w:rFonts w:cstheme="minorHAnsi"/>
        </w:rPr>
        <w:t xml:space="preserve"> </w:t>
      </w:r>
      <w:r w:rsidRPr="00F16251">
        <w:rPr>
          <w:rFonts w:cstheme="minorHAnsi"/>
        </w:rPr>
        <w:t>Funduszu</w:t>
      </w:r>
      <w:r w:rsidR="003B50ED" w:rsidRPr="00F16251">
        <w:rPr>
          <w:rFonts w:cstheme="minorHAnsi"/>
        </w:rPr>
        <w:t xml:space="preserve"> </w:t>
      </w:r>
      <w:r w:rsidRPr="00F16251">
        <w:rPr>
          <w:rFonts w:cstheme="minorHAnsi"/>
        </w:rPr>
        <w:t>Rozwoju</w:t>
      </w:r>
      <w:r w:rsidR="003B50ED" w:rsidRPr="00F16251">
        <w:rPr>
          <w:rFonts w:cstheme="minorHAnsi"/>
        </w:rPr>
        <w:t xml:space="preserve"> </w:t>
      </w:r>
      <w:r w:rsidRPr="00F16251">
        <w:rPr>
          <w:rFonts w:cstheme="minorHAnsi"/>
        </w:rPr>
        <w:t>Regionalnego,</w:t>
      </w:r>
      <w:r w:rsidR="003B50ED" w:rsidRPr="00F16251">
        <w:rPr>
          <w:rFonts w:cstheme="minorHAnsi"/>
        </w:rPr>
        <w:t xml:space="preserve"> </w:t>
      </w:r>
      <w:r w:rsidRPr="00F16251">
        <w:rPr>
          <w:rFonts w:cstheme="minorHAnsi"/>
        </w:rPr>
        <w:t>Europejskiego</w:t>
      </w:r>
      <w:r w:rsidR="003B50ED" w:rsidRPr="00F16251">
        <w:rPr>
          <w:rFonts w:cstheme="minorHAnsi"/>
        </w:rPr>
        <w:t xml:space="preserve"> </w:t>
      </w:r>
      <w:r w:rsidRPr="00F16251">
        <w:rPr>
          <w:rFonts w:cstheme="minorHAnsi"/>
        </w:rPr>
        <w:t>Funduszu</w:t>
      </w:r>
      <w:r w:rsidR="003B50ED" w:rsidRPr="00F16251">
        <w:rPr>
          <w:rFonts w:cstheme="minorHAnsi"/>
        </w:rPr>
        <w:t xml:space="preserve"> </w:t>
      </w:r>
      <w:r w:rsidRPr="00F16251">
        <w:rPr>
          <w:rFonts w:cstheme="minorHAnsi"/>
        </w:rPr>
        <w:t>Społecznego,</w:t>
      </w:r>
      <w:r w:rsidR="003B50ED" w:rsidRPr="00F16251">
        <w:rPr>
          <w:rFonts w:cstheme="minorHAnsi"/>
        </w:rPr>
        <w:t xml:space="preserve"> </w:t>
      </w:r>
      <w:r w:rsidRPr="00F16251">
        <w:rPr>
          <w:rFonts w:cstheme="minorHAnsi"/>
        </w:rPr>
        <w:t>Funduszu</w:t>
      </w:r>
      <w:r w:rsidR="003B50ED" w:rsidRPr="00F16251">
        <w:rPr>
          <w:rFonts w:cstheme="minorHAnsi"/>
        </w:rPr>
        <w:t xml:space="preserve"> </w:t>
      </w:r>
      <w:r w:rsidRPr="00F16251">
        <w:rPr>
          <w:rFonts w:cstheme="minorHAnsi"/>
        </w:rPr>
        <w:t>Spójności</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Europejskiego</w:t>
      </w:r>
      <w:r w:rsidR="003B50ED" w:rsidRPr="00F16251">
        <w:rPr>
          <w:rFonts w:cstheme="minorHAnsi"/>
        </w:rPr>
        <w:t xml:space="preserve"> </w:t>
      </w:r>
      <w:r w:rsidRPr="00F16251">
        <w:rPr>
          <w:rFonts w:cstheme="minorHAnsi"/>
        </w:rPr>
        <w:t>Funduszu</w:t>
      </w:r>
      <w:r w:rsidR="003B50ED" w:rsidRPr="00F16251">
        <w:rPr>
          <w:rFonts w:cstheme="minorHAnsi"/>
        </w:rPr>
        <w:t xml:space="preserve"> </w:t>
      </w:r>
      <w:r w:rsidRPr="00F16251">
        <w:rPr>
          <w:rFonts w:cstheme="minorHAnsi"/>
        </w:rPr>
        <w:t>Morskiego</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Rybackiego</w:t>
      </w:r>
      <w:r w:rsidR="003B50ED" w:rsidRPr="00F16251">
        <w:rPr>
          <w:rFonts w:cstheme="minorHAnsi"/>
        </w:rPr>
        <w:t xml:space="preserve"> </w:t>
      </w:r>
      <w:r w:rsidRPr="00F16251">
        <w:rPr>
          <w:rFonts w:cstheme="minorHAnsi"/>
        </w:rPr>
        <w:t>oraz</w:t>
      </w:r>
      <w:r w:rsidR="003B50ED" w:rsidRPr="00F16251">
        <w:rPr>
          <w:rFonts w:cstheme="minorHAnsi"/>
        </w:rPr>
        <w:t xml:space="preserve"> </w:t>
      </w:r>
      <w:r w:rsidRPr="00F16251">
        <w:rPr>
          <w:rFonts w:cstheme="minorHAnsi"/>
        </w:rPr>
        <w:t>uchylającego</w:t>
      </w:r>
      <w:r w:rsidR="003B50ED" w:rsidRPr="00F16251">
        <w:rPr>
          <w:rFonts w:cstheme="minorHAnsi"/>
        </w:rPr>
        <w:t xml:space="preserve"> </w:t>
      </w:r>
      <w:r w:rsidRPr="00F16251">
        <w:rPr>
          <w:rFonts w:cstheme="minorHAnsi"/>
        </w:rPr>
        <w:t>rozporządzenie</w:t>
      </w:r>
      <w:r w:rsidR="003B50ED" w:rsidRPr="00F16251">
        <w:rPr>
          <w:rFonts w:cstheme="minorHAnsi"/>
        </w:rPr>
        <w:t xml:space="preserve"> </w:t>
      </w:r>
      <w:r w:rsidRPr="00F16251">
        <w:rPr>
          <w:rFonts w:cstheme="minorHAnsi"/>
        </w:rPr>
        <w:t>Rady</w:t>
      </w:r>
      <w:r w:rsidR="003B50ED" w:rsidRPr="00F16251">
        <w:rPr>
          <w:rFonts w:cstheme="minorHAnsi"/>
        </w:rPr>
        <w:t xml:space="preserve"> </w:t>
      </w:r>
      <w:r w:rsidRPr="00F16251">
        <w:rPr>
          <w:rFonts w:cstheme="minorHAnsi"/>
        </w:rPr>
        <w:t>(WE)</w:t>
      </w:r>
      <w:r w:rsidR="003B50ED" w:rsidRPr="00F16251">
        <w:rPr>
          <w:rFonts w:cstheme="minorHAnsi"/>
        </w:rPr>
        <w:t xml:space="preserve"> </w:t>
      </w:r>
      <w:r w:rsidRPr="00F16251">
        <w:rPr>
          <w:rFonts w:cstheme="minorHAnsi"/>
        </w:rPr>
        <w:t>nr</w:t>
      </w:r>
      <w:r w:rsidR="003B50ED" w:rsidRPr="00F16251">
        <w:rPr>
          <w:rFonts w:cstheme="minorHAnsi"/>
        </w:rPr>
        <w:t xml:space="preserve"> </w:t>
      </w:r>
      <w:r w:rsidRPr="00F16251">
        <w:rPr>
          <w:rFonts w:cstheme="minorHAnsi"/>
        </w:rPr>
        <w:t>1083/2006</w:t>
      </w:r>
      <w:r w:rsidR="003B50ED" w:rsidRPr="00F16251">
        <w:rPr>
          <w:rFonts w:cstheme="minorHAnsi"/>
        </w:rPr>
        <w:t xml:space="preserve"> </w:t>
      </w:r>
      <w:r w:rsidRPr="00F16251">
        <w:rPr>
          <w:rFonts w:cstheme="minorHAnsi"/>
        </w:rPr>
        <w:t>(Dz.</w:t>
      </w:r>
      <w:r w:rsidR="003B50ED" w:rsidRPr="00F16251">
        <w:rPr>
          <w:rFonts w:cstheme="minorHAnsi"/>
        </w:rPr>
        <w:t xml:space="preserve"> </w:t>
      </w:r>
      <w:r w:rsidRPr="00F16251">
        <w:rPr>
          <w:rFonts w:cstheme="minorHAnsi"/>
        </w:rPr>
        <w:t>Urz.</w:t>
      </w:r>
      <w:r w:rsidR="003B50ED" w:rsidRPr="00F16251">
        <w:rPr>
          <w:rFonts w:cstheme="minorHAnsi"/>
        </w:rPr>
        <w:t xml:space="preserve"> </w:t>
      </w:r>
      <w:r w:rsidRPr="00F16251">
        <w:rPr>
          <w:rFonts w:cstheme="minorHAnsi"/>
        </w:rPr>
        <w:t>UE</w:t>
      </w:r>
      <w:r w:rsidR="003B50ED" w:rsidRPr="00F16251">
        <w:rPr>
          <w:rFonts w:cstheme="minorHAnsi"/>
        </w:rPr>
        <w:t xml:space="preserve"> </w:t>
      </w:r>
      <w:r w:rsidRPr="00F16251">
        <w:rPr>
          <w:rFonts w:cstheme="minorHAnsi"/>
        </w:rPr>
        <w:t>L</w:t>
      </w:r>
      <w:r w:rsidR="003B50ED" w:rsidRPr="00F16251">
        <w:rPr>
          <w:rFonts w:cstheme="minorHAnsi"/>
        </w:rPr>
        <w:t xml:space="preserve"> </w:t>
      </w:r>
      <w:r w:rsidRPr="00F16251">
        <w:rPr>
          <w:rFonts w:cstheme="minorHAnsi"/>
        </w:rPr>
        <w:t>347</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20.12.2013,</w:t>
      </w:r>
      <w:r w:rsidR="003B50ED" w:rsidRPr="00F16251">
        <w:rPr>
          <w:rFonts w:cstheme="minorHAnsi"/>
        </w:rPr>
        <w:t xml:space="preserve"> </w:t>
      </w:r>
      <w:r w:rsidRPr="00F16251">
        <w:rPr>
          <w:rFonts w:cstheme="minorHAnsi"/>
        </w:rPr>
        <w:t>z</w:t>
      </w:r>
      <w:r w:rsidR="003B50ED" w:rsidRPr="00F16251">
        <w:rPr>
          <w:rFonts w:cstheme="minorHAnsi"/>
        </w:rPr>
        <w:t xml:space="preserve"> </w:t>
      </w:r>
      <w:proofErr w:type="spellStart"/>
      <w:r w:rsidRPr="00F16251">
        <w:rPr>
          <w:rFonts w:cstheme="minorHAnsi"/>
        </w:rPr>
        <w:t>późn</w:t>
      </w:r>
      <w:proofErr w:type="spellEnd"/>
      <w:r w:rsidRPr="00F16251">
        <w:rPr>
          <w:rFonts w:cstheme="minorHAnsi"/>
        </w:rPr>
        <w:t>.</w:t>
      </w:r>
      <w:r w:rsidR="003B50ED" w:rsidRPr="00F16251">
        <w:rPr>
          <w:rFonts w:cstheme="minorHAnsi"/>
        </w:rPr>
        <w:t xml:space="preserve"> </w:t>
      </w:r>
      <w:r w:rsidRPr="00F16251">
        <w:rPr>
          <w:rFonts w:cstheme="minorHAnsi"/>
        </w:rPr>
        <w:t>zm.)</w:t>
      </w:r>
      <w:r w:rsidR="003B50ED" w:rsidRPr="00F16251">
        <w:rPr>
          <w:rFonts w:cstheme="minorHAnsi"/>
        </w:rPr>
        <w:t xml:space="preserve"> </w:t>
      </w:r>
    </w:p>
    <w:p w14:paraId="33993A8B" w14:textId="7B68F393" w:rsidR="00EA3064" w:rsidRPr="00F16251" w:rsidRDefault="00EA3064" w:rsidP="00EA3064">
      <w:pPr>
        <w:spacing w:line="276" w:lineRule="auto"/>
        <w:jc w:val="both"/>
        <w:rPr>
          <w:rFonts w:cstheme="minorHAnsi"/>
        </w:rPr>
      </w:pPr>
      <w:r w:rsidRPr="00F16251">
        <w:rPr>
          <w:rFonts w:cstheme="minorHAnsi"/>
        </w:rPr>
        <w:t>-</w:t>
      </w:r>
      <w:r w:rsidR="003B50ED" w:rsidRPr="00F16251">
        <w:rPr>
          <w:rFonts w:cstheme="minorHAnsi"/>
        </w:rPr>
        <w:t xml:space="preserve"> </w:t>
      </w:r>
      <w:r w:rsidRPr="00F16251">
        <w:rPr>
          <w:rFonts w:cstheme="minorHAnsi"/>
        </w:rPr>
        <w:t>Rozporządzenia</w:t>
      </w:r>
      <w:r w:rsidR="003B50ED" w:rsidRPr="00F16251">
        <w:rPr>
          <w:rFonts w:cstheme="minorHAnsi"/>
        </w:rPr>
        <w:t xml:space="preserve"> </w:t>
      </w:r>
      <w:r w:rsidRPr="00F16251">
        <w:rPr>
          <w:rFonts w:cstheme="minorHAnsi"/>
        </w:rPr>
        <w:t>Parlamentu</w:t>
      </w:r>
      <w:r w:rsidR="003B50ED" w:rsidRPr="00F16251">
        <w:rPr>
          <w:rFonts w:cstheme="minorHAnsi"/>
        </w:rPr>
        <w:t xml:space="preserve"> </w:t>
      </w:r>
      <w:r w:rsidRPr="00F16251">
        <w:rPr>
          <w:rFonts w:cstheme="minorHAnsi"/>
        </w:rPr>
        <w:t>Europejskiego</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Rady</w:t>
      </w:r>
      <w:r w:rsidR="003B50ED" w:rsidRPr="00F16251">
        <w:rPr>
          <w:rFonts w:cstheme="minorHAnsi"/>
        </w:rPr>
        <w:t xml:space="preserve"> </w:t>
      </w:r>
      <w:r w:rsidRPr="00F16251">
        <w:rPr>
          <w:rFonts w:cstheme="minorHAnsi"/>
        </w:rPr>
        <w:t>(UE)</w:t>
      </w:r>
      <w:r w:rsidR="003B50ED" w:rsidRPr="00F16251">
        <w:rPr>
          <w:rFonts w:cstheme="minorHAnsi"/>
        </w:rPr>
        <w:t xml:space="preserve"> </w:t>
      </w:r>
      <w:r w:rsidRPr="00F16251">
        <w:rPr>
          <w:rFonts w:cstheme="minorHAnsi"/>
        </w:rPr>
        <w:t>2021/1060</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dnia</w:t>
      </w:r>
      <w:r w:rsidR="003B50ED" w:rsidRPr="00F16251">
        <w:rPr>
          <w:rFonts w:cstheme="minorHAnsi"/>
        </w:rPr>
        <w:t xml:space="preserve"> </w:t>
      </w:r>
      <w:r w:rsidRPr="00F16251">
        <w:rPr>
          <w:rFonts w:cstheme="minorHAnsi"/>
        </w:rPr>
        <w:t>24</w:t>
      </w:r>
      <w:r w:rsidR="003B50ED" w:rsidRPr="00F16251">
        <w:rPr>
          <w:rFonts w:cstheme="minorHAnsi"/>
        </w:rPr>
        <w:t xml:space="preserve"> </w:t>
      </w:r>
      <w:r w:rsidRPr="00F16251">
        <w:rPr>
          <w:rFonts w:cstheme="minorHAnsi"/>
        </w:rPr>
        <w:t>czerwca</w:t>
      </w:r>
      <w:r w:rsidR="003B50ED" w:rsidRPr="00F16251">
        <w:rPr>
          <w:rFonts w:cstheme="minorHAnsi"/>
        </w:rPr>
        <w:t xml:space="preserve"> </w:t>
      </w:r>
      <w:r w:rsidRPr="00F16251">
        <w:rPr>
          <w:rFonts w:cstheme="minorHAnsi"/>
        </w:rPr>
        <w:t>2021</w:t>
      </w:r>
      <w:r w:rsidR="003B50ED" w:rsidRPr="00F16251">
        <w:rPr>
          <w:rFonts w:cstheme="minorHAnsi"/>
        </w:rPr>
        <w:t xml:space="preserve"> </w:t>
      </w:r>
      <w:r w:rsidRPr="00F16251">
        <w:rPr>
          <w:rFonts w:cstheme="minorHAnsi"/>
        </w:rPr>
        <w:t>r.</w:t>
      </w:r>
      <w:r w:rsidR="003B50ED" w:rsidRPr="00F16251">
        <w:rPr>
          <w:rFonts w:cstheme="minorHAnsi"/>
        </w:rPr>
        <w:t xml:space="preserve"> </w:t>
      </w:r>
      <w:r w:rsidRPr="00F16251">
        <w:rPr>
          <w:rFonts w:cstheme="minorHAnsi"/>
        </w:rPr>
        <w:t>ustanawiającego</w:t>
      </w:r>
      <w:r w:rsidR="003B50ED" w:rsidRPr="00F16251">
        <w:rPr>
          <w:rFonts w:cstheme="minorHAnsi"/>
        </w:rPr>
        <w:t xml:space="preserve"> </w:t>
      </w:r>
      <w:r w:rsidRPr="00F16251">
        <w:rPr>
          <w:rFonts w:cstheme="minorHAnsi"/>
        </w:rPr>
        <w:t>wspólne</w:t>
      </w:r>
      <w:r w:rsidR="003B50ED" w:rsidRPr="00F16251">
        <w:rPr>
          <w:rFonts w:cstheme="minorHAnsi"/>
        </w:rPr>
        <w:t xml:space="preserve"> </w:t>
      </w:r>
      <w:r w:rsidRPr="00F16251">
        <w:rPr>
          <w:rFonts w:cstheme="minorHAnsi"/>
        </w:rPr>
        <w:t>przepisy</w:t>
      </w:r>
      <w:r w:rsidR="003B50ED" w:rsidRPr="00F16251">
        <w:rPr>
          <w:rFonts w:cstheme="minorHAnsi"/>
        </w:rPr>
        <w:t xml:space="preserve"> </w:t>
      </w:r>
      <w:r w:rsidRPr="00F16251">
        <w:rPr>
          <w:rFonts w:cstheme="minorHAnsi"/>
        </w:rPr>
        <w:t>dotyczące</w:t>
      </w:r>
      <w:r w:rsidR="003B50ED" w:rsidRPr="00F16251">
        <w:rPr>
          <w:rFonts w:cstheme="minorHAnsi"/>
        </w:rPr>
        <w:t xml:space="preserve"> </w:t>
      </w:r>
      <w:r w:rsidRPr="00F16251">
        <w:rPr>
          <w:rFonts w:cstheme="minorHAnsi"/>
        </w:rPr>
        <w:t>Europejskiego</w:t>
      </w:r>
      <w:r w:rsidR="003B50ED" w:rsidRPr="00F16251">
        <w:rPr>
          <w:rFonts w:cstheme="minorHAnsi"/>
        </w:rPr>
        <w:t xml:space="preserve"> </w:t>
      </w:r>
      <w:r w:rsidRPr="00F16251">
        <w:rPr>
          <w:rFonts w:cstheme="minorHAnsi"/>
        </w:rPr>
        <w:t>Funduszu</w:t>
      </w:r>
      <w:r w:rsidR="003B50ED" w:rsidRPr="00F16251">
        <w:rPr>
          <w:rFonts w:cstheme="minorHAnsi"/>
        </w:rPr>
        <w:t xml:space="preserve"> </w:t>
      </w:r>
      <w:r w:rsidRPr="00F16251">
        <w:rPr>
          <w:rFonts w:cstheme="minorHAnsi"/>
        </w:rPr>
        <w:t>Rozwoju</w:t>
      </w:r>
      <w:r w:rsidR="003B50ED" w:rsidRPr="00F16251">
        <w:rPr>
          <w:rFonts w:cstheme="minorHAnsi"/>
        </w:rPr>
        <w:t xml:space="preserve"> </w:t>
      </w:r>
      <w:r w:rsidRPr="00F16251">
        <w:rPr>
          <w:rFonts w:cstheme="minorHAnsi"/>
        </w:rPr>
        <w:t>Regionalnego,</w:t>
      </w:r>
      <w:r w:rsidR="003B50ED" w:rsidRPr="00F16251">
        <w:rPr>
          <w:rFonts w:cstheme="minorHAnsi"/>
        </w:rPr>
        <w:t xml:space="preserve"> </w:t>
      </w:r>
      <w:r w:rsidRPr="00F16251">
        <w:rPr>
          <w:rFonts w:cstheme="minorHAnsi"/>
        </w:rPr>
        <w:t>Europejskiego</w:t>
      </w:r>
      <w:r w:rsidR="003B50ED" w:rsidRPr="00F16251">
        <w:rPr>
          <w:rFonts w:cstheme="minorHAnsi"/>
        </w:rPr>
        <w:t xml:space="preserve"> </w:t>
      </w:r>
      <w:r w:rsidRPr="00F16251">
        <w:rPr>
          <w:rFonts w:cstheme="minorHAnsi"/>
        </w:rPr>
        <w:t>Funduszu</w:t>
      </w:r>
      <w:r w:rsidR="003B50ED" w:rsidRPr="00F16251">
        <w:rPr>
          <w:rFonts w:cstheme="minorHAnsi"/>
        </w:rPr>
        <w:t xml:space="preserve"> </w:t>
      </w:r>
      <w:r w:rsidRPr="00F16251">
        <w:rPr>
          <w:rFonts w:cstheme="minorHAnsi"/>
        </w:rPr>
        <w:t>Społecznego</w:t>
      </w:r>
      <w:r w:rsidR="003B50ED" w:rsidRPr="00F16251">
        <w:rPr>
          <w:rFonts w:cstheme="minorHAnsi"/>
        </w:rPr>
        <w:t xml:space="preserve"> </w:t>
      </w:r>
      <w:r w:rsidRPr="00F16251">
        <w:rPr>
          <w:rFonts w:cstheme="minorHAnsi"/>
        </w:rPr>
        <w:t>Plus,</w:t>
      </w:r>
      <w:r w:rsidR="003B50ED" w:rsidRPr="00F16251">
        <w:rPr>
          <w:rFonts w:cstheme="minorHAnsi"/>
        </w:rPr>
        <w:t xml:space="preserve"> </w:t>
      </w:r>
      <w:r w:rsidRPr="00F16251">
        <w:rPr>
          <w:rFonts w:cstheme="minorHAnsi"/>
        </w:rPr>
        <w:t>Funduszu</w:t>
      </w:r>
      <w:r w:rsidR="003B50ED" w:rsidRPr="00F16251">
        <w:rPr>
          <w:rFonts w:cstheme="minorHAnsi"/>
        </w:rPr>
        <w:t xml:space="preserve"> </w:t>
      </w:r>
      <w:r w:rsidRPr="00F16251">
        <w:rPr>
          <w:rFonts w:cstheme="minorHAnsi"/>
        </w:rPr>
        <w:t>Spójności,</w:t>
      </w:r>
      <w:r w:rsidR="003B50ED" w:rsidRPr="00F16251">
        <w:rPr>
          <w:rFonts w:cstheme="minorHAnsi"/>
        </w:rPr>
        <w:t xml:space="preserve"> </w:t>
      </w:r>
      <w:r w:rsidRPr="00F16251">
        <w:rPr>
          <w:rFonts w:cstheme="minorHAnsi"/>
        </w:rPr>
        <w:t>Funduszu</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rzecz</w:t>
      </w:r>
      <w:r w:rsidR="003B50ED" w:rsidRPr="00F16251">
        <w:rPr>
          <w:rFonts w:cstheme="minorHAnsi"/>
        </w:rPr>
        <w:t xml:space="preserve"> </w:t>
      </w:r>
      <w:r w:rsidRPr="00F16251">
        <w:rPr>
          <w:rFonts w:cstheme="minorHAnsi"/>
        </w:rPr>
        <w:t>Sprawiedliwej</w:t>
      </w:r>
      <w:r w:rsidR="003B50ED" w:rsidRPr="00F16251">
        <w:rPr>
          <w:rFonts w:cstheme="minorHAnsi"/>
        </w:rPr>
        <w:t xml:space="preserve"> </w:t>
      </w:r>
      <w:r w:rsidRPr="00F16251">
        <w:rPr>
          <w:rFonts w:cstheme="minorHAnsi"/>
        </w:rPr>
        <w:t>Transformacji</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Europejskiego</w:t>
      </w:r>
      <w:r w:rsidR="003B50ED" w:rsidRPr="00F16251">
        <w:rPr>
          <w:rFonts w:cstheme="minorHAnsi"/>
        </w:rPr>
        <w:t xml:space="preserve"> </w:t>
      </w:r>
      <w:r w:rsidRPr="00F16251">
        <w:rPr>
          <w:rFonts w:cstheme="minorHAnsi"/>
        </w:rPr>
        <w:t>Funduszu</w:t>
      </w:r>
      <w:r w:rsidR="003B50ED" w:rsidRPr="00F16251">
        <w:rPr>
          <w:rFonts w:cstheme="minorHAnsi"/>
        </w:rPr>
        <w:t xml:space="preserve"> </w:t>
      </w:r>
      <w:r w:rsidRPr="00F16251">
        <w:rPr>
          <w:rFonts w:cstheme="minorHAnsi"/>
        </w:rPr>
        <w:t>Morskiego,</w:t>
      </w:r>
      <w:r w:rsidR="003B50ED" w:rsidRPr="00F16251">
        <w:rPr>
          <w:rFonts w:cstheme="minorHAnsi"/>
        </w:rPr>
        <w:t xml:space="preserve"> </w:t>
      </w:r>
      <w:r w:rsidRPr="00F16251">
        <w:rPr>
          <w:rFonts w:cstheme="minorHAnsi"/>
        </w:rPr>
        <w:t>Rybackiego</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Akwakultury,</w:t>
      </w:r>
      <w:r w:rsidR="003B50ED" w:rsidRPr="00F16251">
        <w:rPr>
          <w:rFonts w:cstheme="minorHAnsi"/>
        </w:rPr>
        <w:t xml:space="preserve"> </w:t>
      </w:r>
      <w:r w:rsidRPr="00F16251">
        <w:rPr>
          <w:rFonts w:cstheme="minorHAnsi"/>
        </w:rPr>
        <w:t>a</w:t>
      </w:r>
      <w:r w:rsidR="003B50ED" w:rsidRPr="00F16251">
        <w:rPr>
          <w:rFonts w:cstheme="minorHAnsi"/>
        </w:rPr>
        <w:t xml:space="preserve"> </w:t>
      </w:r>
      <w:r w:rsidRPr="00F16251">
        <w:rPr>
          <w:rFonts w:cstheme="minorHAnsi"/>
        </w:rPr>
        <w:t>także</w:t>
      </w:r>
      <w:r w:rsidR="003B50ED" w:rsidRPr="00F16251">
        <w:rPr>
          <w:rFonts w:cstheme="minorHAnsi"/>
        </w:rPr>
        <w:t xml:space="preserve"> </w:t>
      </w:r>
      <w:r w:rsidRPr="00F16251">
        <w:rPr>
          <w:rFonts w:cstheme="minorHAnsi"/>
        </w:rPr>
        <w:t>przepisy</w:t>
      </w:r>
      <w:r w:rsidR="003B50ED" w:rsidRPr="00F16251">
        <w:rPr>
          <w:rFonts w:cstheme="minorHAnsi"/>
        </w:rPr>
        <w:t xml:space="preserve"> </w:t>
      </w:r>
      <w:r w:rsidRPr="00F16251">
        <w:rPr>
          <w:rFonts w:cstheme="minorHAnsi"/>
        </w:rPr>
        <w:t>finansowe</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potrzeby</w:t>
      </w:r>
      <w:r w:rsidR="003B50ED" w:rsidRPr="00F16251">
        <w:rPr>
          <w:rFonts w:cstheme="minorHAnsi"/>
        </w:rPr>
        <w:t xml:space="preserve"> </w:t>
      </w:r>
      <w:r w:rsidRPr="00F16251">
        <w:rPr>
          <w:rFonts w:cstheme="minorHAnsi"/>
        </w:rPr>
        <w:t>tych</w:t>
      </w:r>
      <w:r w:rsidR="003B50ED" w:rsidRPr="00F16251">
        <w:rPr>
          <w:rFonts w:cstheme="minorHAnsi"/>
        </w:rPr>
        <w:t xml:space="preserve"> </w:t>
      </w:r>
      <w:r w:rsidRPr="00F16251">
        <w:rPr>
          <w:rFonts w:cstheme="minorHAnsi"/>
        </w:rPr>
        <w:t>funduszy</w:t>
      </w:r>
      <w:r w:rsidR="003B50ED" w:rsidRPr="00F16251">
        <w:rPr>
          <w:rFonts w:cstheme="minorHAnsi"/>
        </w:rPr>
        <w:t xml:space="preserve"> </w:t>
      </w:r>
      <w:r w:rsidRPr="00F16251">
        <w:rPr>
          <w:rFonts w:cstheme="minorHAnsi"/>
        </w:rPr>
        <w:t>oraz</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potrzeby</w:t>
      </w:r>
      <w:r w:rsidR="003B50ED" w:rsidRPr="00F16251">
        <w:rPr>
          <w:rFonts w:cstheme="minorHAnsi"/>
        </w:rPr>
        <w:t xml:space="preserve"> </w:t>
      </w:r>
      <w:r w:rsidRPr="00F16251">
        <w:rPr>
          <w:rFonts w:cstheme="minorHAnsi"/>
        </w:rPr>
        <w:t>Funduszu</w:t>
      </w:r>
      <w:r w:rsidR="003B50ED" w:rsidRPr="00F16251">
        <w:rPr>
          <w:rFonts w:cstheme="minorHAnsi"/>
        </w:rPr>
        <w:t xml:space="preserve"> </w:t>
      </w:r>
      <w:r w:rsidRPr="00F16251">
        <w:rPr>
          <w:rFonts w:cstheme="minorHAnsi"/>
        </w:rPr>
        <w:t>Azylu,</w:t>
      </w:r>
      <w:r w:rsidR="003B50ED" w:rsidRPr="00F16251">
        <w:rPr>
          <w:rFonts w:cstheme="minorHAnsi"/>
        </w:rPr>
        <w:t xml:space="preserve"> </w:t>
      </w:r>
      <w:r w:rsidRPr="00F16251">
        <w:rPr>
          <w:rFonts w:cstheme="minorHAnsi"/>
        </w:rPr>
        <w:t>Migracji</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Integracji,</w:t>
      </w:r>
      <w:r w:rsidR="003B50ED" w:rsidRPr="00F16251">
        <w:rPr>
          <w:rFonts w:cstheme="minorHAnsi"/>
        </w:rPr>
        <w:t xml:space="preserve"> </w:t>
      </w:r>
      <w:r w:rsidRPr="00F16251">
        <w:rPr>
          <w:rFonts w:cstheme="minorHAnsi"/>
        </w:rPr>
        <w:t>Funduszu</w:t>
      </w:r>
      <w:r w:rsidR="003B50ED" w:rsidRPr="00F16251">
        <w:rPr>
          <w:rFonts w:cstheme="minorHAnsi"/>
        </w:rPr>
        <w:t xml:space="preserve"> </w:t>
      </w:r>
      <w:r w:rsidRPr="00F16251">
        <w:rPr>
          <w:rFonts w:cstheme="minorHAnsi"/>
        </w:rPr>
        <w:t>Bezpieczeństwa</w:t>
      </w:r>
      <w:r w:rsidR="003B50ED" w:rsidRPr="00F16251">
        <w:rPr>
          <w:rFonts w:cstheme="minorHAnsi"/>
        </w:rPr>
        <w:t xml:space="preserve"> </w:t>
      </w:r>
      <w:r w:rsidRPr="00F16251">
        <w:rPr>
          <w:rFonts w:cstheme="minorHAnsi"/>
        </w:rPr>
        <w:t>Wewnętrznego</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Instrumentu</w:t>
      </w:r>
      <w:r w:rsidR="003B50ED" w:rsidRPr="00F16251">
        <w:rPr>
          <w:rFonts w:cstheme="minorHAnsi"/>
        </w:rPr>
        <w:t xml:space="preserve"> </w:t>
      </w:r>
      <w:r w:rsidRPr="00F16251">
        <w:rPr>
          <w:rFonts w:cstheme="minorHAnsi"/>
        </w:rPr>
        <w:t>Wsparcia</w:t>
      </w:r>
      <w:r w:rsidR="003B50ED" w:rsidRPr="00F16251">
        <w:rPr>
          <w:rFonts w:cstheme="minorHAnsi"/>
        </w:rPr>
        <w:t xml:space="preserve"> </w:t>
      </w:r>
      <w:r w:rsidRPr="00F16251">
        <w:rPr>
          <w:rFonts w:cstheme="minorHAnsi"/>
        </w:rPr>
        <w:t>Finansowego</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rzecz</w:t>
      </w:r>
      <w:r w:rsidR="003B50ED" w:rsidRPr="00F16251">
        <w:rPr>
          <w:rFonts w:cstheme="minorHAnsi"/>
        </w:rPr>
        <w:t xml:space="preserve"> </w:t>
      </w:r>
      <w:r w:rsidRPr="00F16251">
        <w:rPr>
          <w:rFonts w:cstheme="minorHAnsi"/>
        </w:rPr>
        <w:t>Zarządzania</w:t>
      </w:r>
      <w:r w:rsidR="003B50ED" w:rsidRPr="00F16251">
        <w:rPr>
          <w:rFonts w:cstheme="minorHAnsi"/>
        </w:rPr>
        <w:t xml:space="preserve"> </w:t>
      </w:r>
      <w:r w:rsidRPr="00F16251">
        <w:rPr>
          <w:rFonts w:cstheme="minorHAnsi"/>
        </w:rPr>
        <w:t>Granicami</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Polityki</w:t>
      </w:r>
      <w:r w:rsidR="003B50ED" w:rsidRPr="00F16251">
        <w:rPr>
          <w:rFonts w:cstheme="minorHAnsi"/>
        </w:rPr>
        <w:t xml:space="preserve"> </w:t>
      </w:r>
      <w:r w:rsidRPr="00F16251">
        <w:rPr>
          <w:rFonts w:cstheme="minorHAnsi"/>
        </w:rPr>
        <w:t>Wizowej</w:t>
      </w:r>
      <w:r w:rsidR="003B50ED" w:rsidRPr="00F16251">
        <w:rPr>
          <w:rFonts w:cstheme="minorHAnsi"/>
        </w:rPr>
        <w:t xml:space="preserve"> </w:t>
      </w:r>
      <w:r w:rsidRPr="00F16251">
        <w:rPr>
          <w:rFonts w:cstheme="minorHAnsi"/>
        </w:rPr>
        <w:t>(Dz.</w:t>
      </w:r>
      <w:r w:rsidR="003B50ED" w:rsidRPr="00F16251">
        <w:rPr>
          <w:rFonts w:cstheme="minorHAnsi"/>
        </w:rPr>
        <w:t xml:space="preserve"> </w:t>
      </w:r>
      <w:r w:rsidRPr="00F16251">
        <w:rPr>
          <w:rFonts w:cstheme="minorHAnsi"/>
        </w:rPr>
        <w:t>Urz.</w:t>
      </w:r>
      <w:r w:rsidR="003B50ED" w:rsidRPr="00F16251">
        <w:rPr>
          <w:rFonts w:cstheme="minorHAnsi"/>
        </w:rPr>
        <w:t xml:space="preserve"> </w:t>
      </w:r>
      <w:r w:rsidRPr="00F16251">
        <w:rPr>
          <w:rFonts w:cstheme="minorHAnsi"/>
        </w:rPr>
        <w:t>UE</w:t>
      </w:r>
      <w:r w:rsidR="003B50ED" w:rsidRPr="00F16251">
        <w:rPr>
          <w:rFonts w:cstheme="minorHAnsi"/>
        </w:rPr>
        <w:t xml:space="preserve"> </w:t>
      </w:r>
      <w:r w:rsidRPr="00F16251">
        <w:rPr>
          <w:rFonts w:cstheme="minorHAnsi"/>
        </w:rPr>
        <w:t>L</w:t>
      </w:r>
      <w:r w:rsidR="003B50ED" w:rsidRPr="00F16251">
        <w:rPr>
          <w:rFonts w:cstheme="minorHAnsi"/>
        </w:rPr>
        <w:t xml:space="preserve"> </w:t>
      </w:r>
      <w:r w:rsidRPr="00F16251">
        <w:rPr>
          <w:rFonts w:cstheme="minorHAnsi"/>
        </w:rPr>
        <w:t>231</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30.06.2021,</w:t>
      </w:r>
      <w:r w:rsidR="003B50ED" w:rsidRPr="00F16251">
        <w:rPr>
          <w:rFonts w:cstheme="minorHAnsi"/>
        </w:rPr>
        <w:t xml:space="preserve"> </w:t>
      </w:r>
      <w:r w:rsidRPr="00F16251">
        <w:rPr>
          <w:rFonts w:cstheme="minorHAnsi"/>
        </w:rPr>
        <w:t>str.</w:t>
      </w:r>
      <w:r w:rsidR="003B50ED" w:rsidRPr="00F16251">
        <w:rPr>
          <w:rFonts w:cstheme="minorHAnsi"/>
        </w:rPr>
        <w:t xml:space="preserve"> </w:t>
      </w:r>
      <w:r w:rsidRPr="00F16251">
        <w:rPr>
          <w:rFonts w:cstheme="minorHAnsi"/>
        </w:rPr>
        <w:t>159-706).</w:t>
      </w:r>
      <w:r w:rsidR="003B50ED" w:rsidRPr="00F16251">
        <w:rPr>
          <w:rFonts w:cstheme="minorHAnsi"/>
        </w:rPr>
        <w:t xml:space="preserve"> </w:t>
      </w:r>
    </w:p>
    <w:p w14:paraId="75D77F36" w14:textId="0B4E5B69" w:rsidR="00EA3064" w:rsidRPr="00F16251" w:rsidRDefault="00EA3064" w:rsidP="00EA3064">
      <w:pPr>
        <w:spacing w:line="276" w:lineRule="auto"/>
        <w:ind w:firstLine="284"/>
        <w:jc w:val="both"/>
        <w:rPr>
          <w:rFonts w:cstheme="minorHAnsi"/>
        </w:rPr>
      </w:pPr>
      <w:r w:rsidRPr="00F16251">
        <w:rPr>
          <w:rFonts w:cstheme="minorHAnsi"/>
        </w:rPr>
        <w:t>W</w:t>
      </w:r>
      <w:r w:rsidR="003B50ED" w:rsidRPr="00F16251">
        <w:rPr>
          <w:rFonts w:cstheme="minorHAnsi"/>
        </w:rPr>
        <w:t xml:space="preserve"> </w:t>
      </w:r>
      <w:r w:rsidRPr="00F16251">
        <w:rPr>
          <w:rFonts w:cstheme="minorHAnsi"/>
        </w:rPr>
        <w:t>zakresie</w:t>
      </w:r>
      <w:r w:rsidR="003B50ED" w:rsidRPr="00F16251">
        <w:rPr>
          <w:rFonts w:cstheme="minorHAnsi"/>
        </w:rPr>
        <w:t xml:space="preserve"> </w:t>
      </w:r>
      <w:r w:rsidRPr="00F16251">
        <w:rPr>
          <w:rFonts w:cstheme="minorHAnsi"/>
        </w:rPr>
        <w:t>przepisów</w:t>
      </w:r>
      <w:r w:rsidR="003B50ED" w:rsidRPr="00F16251">
        <w:rPr>
          <w:rFonts w:cstheme="minorHAnsi"/>
        </w:rPr>
        <w:t xml:space="preserve"> </w:t>
      </w:r>
      <w:r w:rsidRPr="00F16251">
        <w:rPr>
          <w:rFonts w:cstheme="minorHAnsi"/>
        </w:rPr>
        <w:t>krajowych</w:t>
      </w:r>
      <w:r w:rsidR="003B50ED" w:rsidRPr="00F16251">
        <w:rPr>
          <w:rFonts w:cstheme="minorHAnsi"/>
        </w:rPr>
        <w:t xml:space="preserve"> </w:t>
      </w:r>
      <w:r w:rsidRPr="00F16251">
        <w:rPr>
          <w:rFonts w:cstheme="minorHAnsi"/>
        </w:rPr>
        <w:t>opiera</w:t>
      </w:r>
      <w:r w:rsidR="003B50ED" w:rsidRPr="00F16251">
        <w:rPr>
          <w:rFonts w:cstheme="minorHAnsi"/>
        </w:rPr>
        <w:t xml:space="preserve"> </w:t>
      </w:r>
      <w:r w:rsidRPr="00F16251">
        <w:rPr>
          <w:rFonts w:cstheme="minorHAnsi"/>
        </w:rPr>
        <w:t>się</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ustawie</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dnia</w:t>
      </w:r>
      <w:r w:rsidR="003B50ED" w:rsidRPr="00F16251">
        <w:rPr>
          <w:rFonts w:cstheme="minorHAnsi"/>
        </w:rPr>
        <w:t xml:space="preserve"> </w:t>
      </w:r>
      <w:r w:rsidRPr="00F16251">
        <w:rPr>
          <w:rFonts w:cstheme="minorHAnsi"/>
        </w:rPr>
        <w:t>20</w:t>
      </w:r>
      <w:r w:rsidR="003B50ED" w:rsidRPr="00F16251">
        <w:rPr>
          <w:rFonts w:cstheme="minorHAnsi"/>
        </w:rPr>
        <w:t xml:space="preserve"> </w:t>
      </w:r>
      <w:r w:rsidRPr="00F16251">
        <w:rPr>
          <w:rFonts w:cstheme="minorHAnsi"/>
        </w:rPr>
        <w:t>lutego</w:t>
      </w:r>
      <w:r w:rsidR="003B50ED" w:rsidRPr="00F16251">
        <w:rPr>
          <w:rFonts w:cstheme="minorHAnsi"/>
        </w:rPr>
        <w:t xml:space="preserve"> </w:t>
      </w:r>
      <w:r w:rsidRPr="00F16251">
        <w:rPr>
          <w:rFonts w:cstheme="minorHAnsi"/>
        </w:rPr>
        <w:t>2015</w:t>
      </w:r>
      <w:r w:rsidR="003B50ED" w:rsidRPr="00F16251">
        <w:rPr>
          <w:rFonts w:cstheme="minorHAnsi"/>
        </w:rPr>
        <w:t xml:space="preserve"> </w:t>
      </w:r>
      <w:r w:rsidRPr="00F16251">
        <w:rPr>
          <w:rFonts w:cstheme="minorHAnsi"/>
        </w:rPr>
        <w:t>r.</w:t>
      </w:r>
      <w:r w:rsidR="003B50ED" w:rsidRPr="00F16251">
        <w:rPr>
          <w:rFonts w:cstheme="minorHAnsi"/>
        </w:rPr>
        <w:t xml:space="preserve"> </w:t>
      </w:r>
      <w:r w:rsidRPr="00F16251">
        <w:rPr>
          <w:rFonts w:cstheme="minorHAnsi"/>
        </w:rPr>
        <w:t>o</w:t>
      </w:r>
      <w:r w:rsidR="003B50ED" w:rsidRPr="00F16251">
        <w:rPr>
          <w:rFonts w:cstheme="minorHAnsi"/>
        </w:rPr>
        <w:t xml:space="preserve"> </w:t>
      </w:r>
      <w:r w:rsidRPr="00F16251">
        <w:rPr>
          <w:rFonts w:cstheme="minorHAnsi"/>
        </w:rPr>
        <w:t>rozwoju</w:t>
      </w:r>
      <w:r w:rsidR="003B50ED" w:rsidRPr="00F16251">
        <w:rPr>
          <w:rFonts w:cstheme="minorHAnsi"/>
        </w:rPr>
        <w:t xml:space="preserve"> </w:t>
      </w:r>
      <w:r w:rsidRPr="00F16251">
        <w:rPr>
          <w:rFonts w:cstheme="minorHAnsi"/>
        </w:rPr>
        <w:t>lokalnym</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udziałem</w:t>
      </w:r>
      <w:r w:rsidR="003B50ED" w:rsidRPr="00F16251">
        <w:rPr>
          <w:rFonts w:cstheme="minorHAnsi"/>
        </w:rPr>
        <w:t xml:space="preserve"> </w:t>
      </w:r>
      <w:r w:rsidRPr="00F16251">
        <w:rPr>
          <w:rFonts w:cstheme="minorHAnsi"/>
        </w:rPr>
        <w:t>lokalnej</w:t>
      </w:r>
      <w:r w:rsidR="003B50ED" w:rsidRPr="00F16251">
        <w:rPr>
          <w:rFonts w:cstheme="minorHAnsi"/>
        </w:rPr>
        <w:t xml:space="preserve"> </w:t>
      </w:r>
      <w:r w:rsidRPr="00F16251">
        <w:rPr>
          <w:rFonts w:cstheme="minorHAnsi"/>
        </w:rPr>
        <w:t>społeczności</w:t>
      </w:r>
      <w:r w:rsidR="003B50ED" w:rsidRPr="00F16251">
        <w:rPr>
          <w:rFonts w:cstheme="minorHAnsi"/>
        </w:rPr>
        <w:t xml:space="preserve"> </w:t>
      </w:r>
      <w:r w:rsidRPr="00F16251">
        <w:rPr>
          <w:rFonts w:cstheme="minorHAnsi"/>
        </w:rPr>
        <w:t>(Dz.</w:t>
      </w:r>
      <w:r w:rsidR="003B50ED" w:rsidRPr="00F16251">
        <w:rPr>
          <w:rFonts w:cstheme="minorHAnsi"/>
        </w:rPr>
        <w:t xml:space="preserve"> </w:t>
      </w:r>
      <w:r w:rsidRPr="00F16251">
        <w:rPr>
          <w:rFonts w:cstheme="minorHAnsi"/>
        </w:rPr>
        <w:t>U.</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2022</w:t>
      </w:r>
      <w:r w:rsidR="003B50ED" w:rsidRPr="00F16251">
        <w:rPr>
          <w:rFonts w:cstheme="minorHAnsi"/>
        </w:rPr>
        <w:t xml:space="preserve"> </w:t>
      </w:r>
      <w:r w:rsidRPr="00F16251">
        <w:rPr>
          <w:rFonts w:cstheme="minorHAnsi"/>
        </w:rPr>
        <w:t>r.</w:t>
      </w:r>
      <w:r w:rsidR="003B50ED" w:rsidRPr="00F16251">
        <w:rPr>
          <w:rFonts w:cstheme="minorHAnsi"/>
        </w:rPr>
        <w:t xml:space="preserve"> </w:t>
      </w:r>
      <w:r w:rsidRPr="00F16251">
        <w:rPr>
          <w:rFonts w:cstheme="minorHAnsi"/>
        </w:rPr>
        <w:t>poz.</w:t>
      </w:r>
      <w:r w:rsidR="003B50ED" w:rsidRPr="00F16251">
        <w:rPr>
          <w:rFonts w:cstheme="minorHAnsi"/>
        </w:rPr>
        <w:t xml:space="preserve"> </w:t>
      </w:r>
      <w:r w:rsidRPr="00F16251">
        <w:rPr>
          <w:rFonts w:cstheme="minorHAnsi"/>
        </w:rPr>
        <w:t>943),</w:t>
      </w:r>
      <w:r w:rsidR="003B50ED" w:rsidRPr="00F16251">
        <w:rPr>
          <w:rFonts w:cstheme="minorHAnsi"/>
        </w:rPr>
        <w:t xml:space="preserve"> </w:t>
      </w:r>
      <w:r w:rsidRPr="00F16251">
        <w:rPr>
          <w:rFonts w:cstheme="minorHAnsi"/>
        </w:rPr>
        <w:t>zwanej</w:t>
      </w:r>
      <w:r w:rsidR="003B50ED" w:rsidRPr="00F16251">
        <w:rPr>
          <w:rFonts w:cstheme="minorHAnsi"/>
        </w:rPr>
        <w:t xml:space="preserve"> </w:t>
      </w:r>
      <w:r w:rsidRPr="00F16251">
        <w:rPr>
          <w:rFonts w:cstheme="minorHAnsi"/>
        </w:rPr>
        <w:t>dalej</w:t>
      </w:r>
      <w:r w:rsidR="003B50ED" w:rsidRPr="00F16251">
        <w:rPr>
          <w:rFonts w:cstheme="minorHAnsi"/>
        </w:rPr>
        <w:t xml:space="preserve"> </w:t>
      </w:r>
      <w:r w:rsidRPr="00F16251">
        <w:rPr>
          <w:rFonts w:cstheme="minorHAnsi"/>
        </w:rPr>
        <w:t>„ustawą</w:t>
      </w:r>
      <w:r w:rsidR="003B50ED" w:rsidRPr="00F16251">
        <w:rPr>
          <w:rFonts w:cstheme="minorHAnsi"/>
        </w:rPr>
        <w:t xml:space="preserve"> </w:t>
      </w:r>
      <w:r w:rsidRPr="00F16251">
        <w:rPr>
          <w:rFonts w:cstheme="minorHAnsi"/>
        </w:rPr>
        <w:t>RLKS”;</w:t>
      </w:r>
      <w:r w:rsidR="003B50ED" w:rsidRPr="00F16251">
        <w:rPr>
          <w:rFonts w:cstheme="minorHAnsi"/>
        </w:rPr>
        <w:t xml:space="preserve"> </w:t>
      </w:r>
      <w:r w:rsidRPr="00F16251">
        <w:rPr>
          <w:rFonts w:cstheme="minorHAnsi"/>
        </w:rPr>
        <w:t>ustawie</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dnia</w:t>
      </w:r>
      <w:r w:rsidR="003B50ED" w:rsidRPr="00F16251">
        <w:rPr>
          <w:rFonts w:cstheme="minorHAnsi"/>
        </w:rPr>
        <w:t xml:space="preserve"> </w:t>
      </w:r>
      <w:r w:rsidRPr="00F16251">
        <w:rPr>
          <w:rFonts w:cstheme="minorHAnsi"/>
        </w:rPr>
        <w:t>28</w:t>
      </w:r>
      <w:r w:rsidR="003B50ED" w:rsidRPr="00F16251">
        <w:rPr>
          <w:rFonts w:cstheme="minorHAnsi"/>
        </w:rPr>
        <w:t xml:space="preserve"> </w:t>
      </w:r>
      <w:r w:rsidRPr="00F16251">
        <w:rPr>
          <w:rFonts w:cstheme="minorHAnsi"/>
        </w:rPr>
        <w:t>kwietnia</w:t>
      </w:r>
      <w:r w:rsidR="003B50ED" w:rsidRPr="00F16251">
        <w:rPr>
          <w:rFonts w:cstheme="minorHAnsi"/>
        </w:rPr>
        <w:t xml:space="preserve"> </w:t>
      </w:r>
      <w:r w:rsidRPr="00F16251">
        <w:rPr>
          <w:rFonts w:cstheme="minorHAnsi"/>
        </w:rPr>
        <w:t>2022</w:t>
      </w:r>
      <w:r w:rsidR="003B50ED" w:rsidRPr="00F16251">
        <w:rPr>
          <w:rFonts w:cstheme="minorHAnsi"/>
        </w:rPr>
        <w:t xml:space="preserve"> </w:t>
      </w:r>
      <w:r w:rsidRPr="00F16251">
        <w:rPr>
          <w:rFonts w:cstheme="minorHAnsi"/>
        </w:rPr>
        <w:t>r.</w:t>
      </w:r>
      <w:r w:rsidR="003B50ED" w:rsidRPr="00F16251">
        <w:rPr>
          <w:rFonts w:cstheme="minorHAnsi"/>
        </w:rPr>
        <w:t xml:space="preserve"> </w:t>
      </w:r>
      <w:r w:rsidRPr="00F16251">
        <w:rPr>
          <w:rFonts w:cstheme="minorHAnsi"/>
        </w:rPr>
        <w:t>o</w:t>
      </w:r>
      <w:r w:rsidR="003B50ED" w:rsidRPr="00F16251">
        <w:rPr>
          <w:rFonts w:cstheme="minorHAnsi"/>
        </w:rPr>
        <w:t xml:space="preserve"> </w:t>
      </w:r>
      <w:r w:rsidRPr="00F16251">
        <w:rPr>
          <w:rFonts w:cstheme="minorHAnsi"/>
        </w:rPr>
        <w:t>zasadach</w:t>
      </w:r>
      <w:r w:rsidR="003B50ED" w:rsidRPr="00F16251">
        <w:rPr>
          <w:rFonts w:cstheme="minorHAnsi"/>
        </w:rPr>
        <w:t xml:space="preserve"> </w:t>
      </w:r>
      <w:r w:rsidRPr="00F16251">
        <w:rPr>
          <w:rFonts w:cstheme="minorHAnsi"/>
        </w:rPr>
        <w:t>realizacji</w:t>
      </w:r>
      <w:r w:rsidR="003B50ED" w:rsidRPr="00F16251">
        <w:rPr>
          <w:rFonts w:cstheme="minorHAnsi"/>
        </w:rPr>
        <w:t xml:space="preserve"> </w:t>
      </w:r>
      <w:r w:rsidRPr="00F16251">
        <w:rPr>
          <w:rFonts w:cstheme="minorHAnsi"/>
        </w:rPr>
        <w:t>zadań</w:t>
      </w:r>
      <w:r w:rsidR="003B50ED" w:rsidRPr="00F16251">
        <w:rPr>
          <w:rFonts w:cstheme="minorHAnsi"/>
        </w:rPr>
        <w:t xml:space="preserve"> </w:t>
      </w:r>
      <w:r w:rsidRPr="00F16251">
        <w:rPr>
          <w:rFonts w:cstheme="minorHAnsi"/>
        </w:rPr>
        <w:t>finansowanych</w:t>
      </w:r>
      <w:r w:rsidR="003B50ED" w:rsidRPr="00F16251">
        <w:rPr>
          <w:rFonts w:cstheme="minorHAnsi"/>
        </w:rPr>
        <w:t xml:space="preserve"> </w:t>
      </w:r>
      <w:r w:rsidRPr="00F16251">
        <w:rPr>
          <w:rFonts w:cstheme="minorHAnsi"/>
        </w:rPr>
        <w:t>ze</w:t>
      </w:r>
      <w:r w:rsidR="003B50ED" w:rsidRPr="00F16251">
        <w:rPr>
          <w:rFonts w:cstheme="minorHAnsi"/>
        </w:rPr>
        <w:t xml:space="preserve"> </w:t>
      </w:r>
      <w:r w:rsidRPr="00F16251">
        <w:rPr>
          <w:rFonts w:cstheme="minorHAnsi"/>
        </w:rPr>
        <w:t>środków</w:t>
      </w:r>
      <w:r w:rsidR="003B50ED" w:rsidRPr="00F16251">
        <w:rPr>
          <w:rFonts w:cstheme="minorHAnsi"/>
        </w:rPr>
        <w:t xml:space="preserve"> </w:t>
      </w:r>
      <w:r w:rsidRPr="00F16251">
        <w:rPr>
          <w:rFonts w:cstheme="minorHAnsi"/>
        </w:rPr>
        <w:t>europejskich</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perspektywie</w:t>
      </w:r>
      <w:r w:rsidR="003B50ED" w:rsidRPr="00F16251">
        <w:rPr>
          <w:rFonts w:cstheme="minorHAnsi"/>
        </w:rPr>
        <w:t xml:space="preserve"> </w:t>
      </w:r>
      <w:r w:rsidRPr="00F16251">
        <w:rPr>
          <w:rFonts w:cstheme="minorHAnsi"/>
        </w:rPr>
        <w:t>finansowej</w:t>
      </w:r>
      <w:r w:rsidR="003B50ED" w:rsidRPr="00F16251">
        <w:rPr>
          <w:rFonts w:cstheme="minorHAnsi"/>
        </w:rPr>
        <w:t xml:space="preserve"> </w:t>
      </w:r>
      <w:r w:rsidRPr="00F16251">
        <w:rPr>
          <w:rFonts w:cstheme="minorHAnsi"/>
        </w:rPr>
        <w:t>2021–2027,</w:t>
      </w:r>
      <w:r w:rsidR="003B50ED" w:rsidRPr="00F16251">
        <w:rPr>
          <w:rFonts w:cstheme="minorHAnsi"/>
        </w:rPr>
        <w:t xml:space="preserve"> </w:t>
      </w:r>
      <w:r w:rsidRPr="00F16251">
        <w:rPr>
          <w:rFonts w:cstheme="minorHAnsi"/>
        </w:rPr>
        <w:t>zwanej</w:t>
      </w:r>
      <w:r w:rsidR="003B50ED" w:rsidRPr="00F16251">
        <w:rPr>
          <w:rFonts w:cstheme="minorHAnsi"/>
        </w:rPr>
        <w:t xml:space="preserve"> </w:t>
      </w:r>
      <w:r w:rsidRPr="00F16251">
        <w:rPr>
          <w:rFonts w:cstheme="minorHAnsi"/>
        </w:rPr>
        <w:t>dalej</w:t>
      </w:r>
      <w:r w:rsidR="003B50ED" w:rsidRPr="00F16251">
        <w:rPr>
          <w:rFonts w:cstheme="minorHAnsi"/>
        </w:rPr>
        <w:t xml:space="preserve"> </w:t>
      </w:r>
      <w:r w:rsidRPr="00F16251">
        <w:rPr>
          <w:rFonts w:cstheme="minorHAnsi"/>
        </w:rPr>
        <w:t>„ustawą</w:t>
      </w:r>
      <w:r w:rsidR="003B50ED" w:rsidRPr="00F16251">
        <w:rPr>
          <w:rFonts w:cstheme="minorHAnsi"/>
        </w:rPr>
        <w:t xml:space="preserve"> </w:t>
      </w:r>
      <w:r w:rsidRPr="00F16251">
        <w:rPr>
          <w:rFonts w:cstheme="minorHAnsi"/>
        </w:rPr>
        <w:t>EFS+”,</w:t>
      </w:r>
      <w:r w:rsidR="003B50ED" w:rsidRPr="00F16251">
        <w:rPr>
          <w:rFonts w:cstheme="minorHAnsi"/>
        </w:rPr>
        <w:t xml:space="preserve"> </w:t>
      </w:r>
      <w:r w:rsidRPr="00F16251">
        <w:rPr>
          <w:rFonts w:cstheme="minorHAnsi"/>
        </w:rPr>
        <w:t>ustawie</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dnia</w:t>
      </w:r>
      <w:r w:rsidR="003B50ED" w:rsidRPr="00F16251">
        <w:rPr>
          <w:rFonts w:cstheme="minorHAnsi"/>
        </w:rPr>
        <w:t xml:space="preserve"> </w:t>
      </w:r>
      <w:r w:rsidRPr="00F16251">
        <w:rPr>
          <w:rFonts w:cstheme="minorHAnsi"/>
        </w:rPr>
        <w:t>8</w:t>
      </w:r>
      <w:r w:rsidR="003B50ED" w:rsidRPr="00F16251">
        <w:rPr>
          <w:rFonts w:cstheme="minorHAnsi"/>
        </w:rPr>
        <w:t xml:space="preserve"> </w:t>
      </w:r>
      <w:r w:rsidRPr="00F16251">
        <w:rPr>
          <w:rFonts w:cstheme="minorHAnsi"/>
        </w:rPr>
        <w:t>kwietnia</w:t>
      </w:r>
      <w:r w:rsidR="003B50ED" w:rsidRPr="00F16251">
        <w:rPr>
          <w:rFonts w:cstheme="minorHAnsi"/>
        </w:rPr>
        <w:t xml:space="preserve"> </w:t>
      </w:r>
      <w:r w:rsidRPr="00F16251">
        <w:rPr>
          <w:rFonts w:cstheme="minorHAnsi"/>
        </w:rPr>
        <w:t>2023</w:t>
      </w:r>
      <w:r w:rsidR="003B50ED" w:rsidRPr="00F16251">
        <w:rPr>
          <w:rFonts w:cstheme="minorHAnsi"/>
        </w:rPr>
        <w:t xml:space="preserve"> </w:t>
      </w:r>
      <w:r w:rsidRPr="00F16251">
        <w:rPr>
          <w:rFonts w:cstheme="minorHAnsi"/>
        </w:rPr>
        <w:t>r.</w:t>
      </w:r>
      <w:r w:rsidR="003B50ED" w:rsidRPr="00F16251">
        <w:rPr>
          <w:rFonts w:cstheme="minorHAnsi"/>
        </w:rPr>
        <w:t xml:space="preserve"> </w:t>
      </w:r>
      <w:r w:rsidRPr="00F16251">
        <w:rPr>
          <w:rFonts w:cstheme="minorHAnsi"/>
        </w:rPr>
        <w:t>o</w:t>
      </w:r>
      <w:r w:rsidR="003B50ED" w:rsidRPr="00F16251">
        <w:rPr>
          <w:rFonts w:cstheme="minorHAnsi"/>
        </w:rPr>
        <w:t xml:space="preserve"> </w:t>
      </w:r>
      <w:r w:rsidRPr="00F16251">
        <w:rPr>
          <w:rFonts w:cstheme="minorHAnsi"/>
        </w:rPr>
        <w:t>Planie</w:t>
      </w:r>
      <w:r w:rsidR="003B50ED" w:rsidRPr="00F16251">
        <w:rPr>
          <w:rFonts w:cstheme="minorHAnsi"/>
        </w:rPr>
        <w:t xml:space="preserve"> </w:t>
      </w:r>
      <w:r w:rsidRPr="00F16251">
        <w:rPr>
          <w:rFonts w:cstheme="minorHAnsi"/>
        </w:rPr>
        <w:t>Strategicznym</w:t>
      </w:r>
      <w:r w:rsidR="003B50ED" w:rsidRPr="00F16251">
        <w:rPr>
          <w:rFonts w:cstheme="minorHAnsi"/>
        </w:rPr>
        <w:t xml:space="preserve"> </w:t>
      </w:r>
      <w:r w:rsidRPr="00F16251">
        <w:rPr>
          <w:rFonts w:cstheme="minorHAnsi"/>
        </w:rPr>
        <w:t>dla</w:t>
      </w:r>
      <w:r w:rsidR="003B50ED" w:rsidRPr="00F16251">
        <w:rPr>
          <w:rFonts w:cstheme="minorHAnsi"/>
        </w:rPr>
        <w:t xml:space="preserve"> </w:t>
      </w:r>
      <w:r w:rsidRPr="00F16251">
        <w:rPr>
          <w:rFonts w:cstheme="minorHAnsi"/>
        </w:rPr>
        <w:t>Wspólnej</w:t>
      </w:r>
      <w:r w:rsidR="003B50ED" w:rsidRPr="00F16251">
        <w:rPr>
          <w:rFonts w:cstheme="minorHAnsi"/>
        </w:rPr>
        <w:t xml:space="preserve"> </w:t>
      </w:r>
      <w:r w:rsidRPr="00F16251">
        <w:rPr>
          <w:rFonts w:cstheme="minorHAnsi"/>
        </w:rPr>
        <w:t>Polityki</w:t>
      </w:r>
      <w:r w:rsidR="003B50ED" w:rsidRPr="00F16251">
        <w:rPr>
          <w:rFonts w:cstheme="minorHAnsi"/>
        </w:rPr>
        <w:t xml:space="preserve"> </w:t>
      </w:r>
      <w:r w:rsidRPr="00F16251">
        <w:rPr>
          <w:rFonts w:cstheme="minorHAnsi"/>
        </w:rPr>
        <w:t>Rolnej</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lata</w:t>
      </w:r>
      <w:r w:rsidR="003B50ED" w:rsidRPr="00F16251">
        <w:rPr>
          <w:rFonts w:cstheme="minorHAnsi"/>
        </w:rPr>
        <w:t xml:space="preserve"> </w:t>
      </w:r>
      <w:r w:rsidRPr="00F16251">
        <w:rPr>
          <w:rFonts w:cstheme="minorHAnsi"/>
        </w:rPr>
        <w:t>2023–2027</w:t>
      </w:r>
      <w:r w:rsidR="003B50ED" w:rsidRPr="00F16251">
        <w:rPr>
          <w:rFonts w:cstheme="minorHAnsi"/>
        </w:rPr>
        <w:t xml:space="preserve"> </w:t>
      </w:r>
      <w:r w:rsidRPr="00F16251">
        <w:rPr>
          <w:rFonts w:cstheme="minorHAnsi"/>
        </w:rPr>
        <w:t>(Dz.</w:t>
      </w:r>
      <w:r w:rsidR="003B50ED" w:rsidRPr="00F16251">
        <w:rPr>
          <w:rFonts w:cstheme="minorHAnsi"/>
        </w:rPr>
        <w:t xml:space="preserve"> </w:t>
      </w:r>
      <w:r w:rsidRPr="00F16251">
        <w:rPr>
          <w:rFonts w:cstheme="minorHAnsi"/>
        </w:rPr>
        <w:t>U.</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2023</w:t>
      </w:r>
      <w:r w:rsidR="003B50ED" w:rsidRPr="00F16251">
        <w:rPr>
          <w:rFonts w:cstheme="minorHAnsi"/>
        </w:rPr>
        <w:t xml:space="preserve"> </w:t>
      </w:r>
      <w:r w:rsidRPr="00F16251">
        <w:rPr>
          <w:rFonts w:cstheme="minorHAnsi"/>
        </w:rPr>
        <w:t>poz.</w:t>
      </w:r>
      <w:r w:rsidR="003B50ED" w:rsidRPr="00F16251">
        <w:rPr>
          <w:rFonts w:cstheme="minorHAnsi"/>
        </w:rPr>
        <w:t xml:space="preserve"> </w:t>
      </w:r>
      <w:r w:rsidRPr="00F16251">
        <w:rPr>
          <w:rFonts w:cstheme="minorHAnsi"/>
        </w:rPr>
        <w:t>412)</w:t>
      </w:r>
      <w:r w:rsidR="003B50ED" w:rsidRPr="00F16251">
        <w:rPr>
          <w:rFonts w:cstheme="minorHAnsi"/>
        </w:rPr>
        <w:t xml:space="preserve"> </w:t>
      </w:r>
      <w:r w:rsidRPr="00F16251">
        <w:rPr>
          <w:rFonts w:cstheme="minorHAnsi"/>
        </w:rPr>
        <w:t>oraz</w:t>
      </w:r>
      <w:r w:rsidR="003B50ED" w:rsidRPr="00F16251">
        <w:rPr>
          <w:rFonts w:cstheme="minorHAnsi"/>
        </w:rPr>
        <w:t xml:space="preserve"> </w:t>
      </w:r>
      <w:r w:rsidRPr="00F16251">
        <w:rPr>
          <w:rFonts w:cstheme="minorHAnsi"/>
        </w:rPr>
        <w:t>innych</w:t>
      </w:r>
      <w:r w:rsidR="003B50ED" w:rsidRPr="00F16251">
        <w:rPr>
          <w:rFonts w:cstheme="minorHAnsi"/>
        </w:rPr>
        <w:t xml:space="preserve"> </w:t>
      </w:r>
      <w:r w:rsidRPr="00F16251">
        <w:rPr>
          <w:rFonts w:cstheme="minorHAnsi"/>
        </w:rPr>
        <w:t>aktach</w:t>
      </w:r>
      <w:r w:rsidR="003B50ED" w:rsidRPr="00F16251">
        <w:rPr>
          <w:rFonts w:cstheme="minorHAnsi"/>
        </w:rPr>
        <w:t xml:space="preserve"> </w:t>
      </w:r>
      <w:r w:rsidRPr="00F16251">
        <w:rPr>
          <w:rFonts w:cstheme="minorHAnsi"/>
        </w:rPr>
        <w:t>prawa</w:t>
      </w:r>
      <w:r w:rsidR="003B50ED" w:rsidRPr="00F16251">
        <w:rPr>
          <w:rFonts w:cstheme="minorHAnsi"/>
        </w:rPr>
        <w:t xml:space="preserve"> </w:t>
      </w:r>
      <w:r w:rsidRPr="00F16251">
        <w:rPr>
          <w:rFonts w:cstheme="minorHAnsi"/>
        </w:rPr>
        <w:t>dotyczących</w:t>
      </w:r>
      <w:r w:rsidR="003B50ED" w:rsidRPr="00F16251">
        <w:rPr>
          <w:rFonts w:cstheme="minorHAnsi"/>
        </w:rPr>
        <w:t xml:space="preserve"> </w:t>
      </w:r>
      <w:r w:rsidRPr="00F16251">
        <w:rPr>
          <w:rFonts w:cstheme="minorHAnsi"/>
        </w:rPr>
        <w:t>RLKS</w:t>
      </w:r>
      <w:r w:rsidR="003B50ED" w:rsidRPr="00F16251">
        <w:rPr>
          <w:rFonts w:cstheme="minorHAnsi"/>
        </w:rPr>
        <w:t xml:space="preserve"> </w:t>
      </w:r>
      <w:r w:rsidRPr="00F16251">
        <w:rPr>
          <w:rFonts w:cstheme="minorHAnsi"/>
        </w:rPr>
        <w:t>oraz</w:t>
      </w:r>
      <w:r w:rsidR="003B50ED" w:rsidRPr="00F16251">
        <w:rPr>
          <w:rFonts w:cstheme="minorHAnsi"/>
        </w:rPr>
        <w:t xml:space="preserve"> </w:t>
      </w:r>
      <w:r w:rsidRPr="00F16251">
        <w:rPr>
          <w:rFonts w:cstheme="minorHAnsi"/>
        </w:rPr>
        <w:t>działalności</w:t>
      </w:r>
      <w:r w:rsidR="003B50ED" w:rsidRPr="00F16251">
        <w:rPr>
          <w:rFonts w:cstheme="minorHAnsi"/>
        </w:rPr>
        <w:t xml:space="preserve"> </w:t>
      </w:r>
      <w:r w:rsidRPr="00F16251">
        <w:rPr>
          <w:rFonts w:cstheme="minorHAnsi"/>
        </w:rPr>
        <w:t>Stowarzyszenia.</w:t>
      </w:r>
    </w:p>
    <w:p w14:paraId="3305C17B" w14:textId="617B0268" w:rsidR="00EA3064" w:rsidRPr="00F16251" w:rsidRDefault="00EA3064" w:rsidP="00EA3064">
      <w:pPr>
        <w:spacing w:line="276" w:lineRule="auto"/>
        <w:ind w:firstLine="284"/>
        <w:jc w:val="both"/>
        <w:rPr>
          <w:rFonts w:cstheme="minorHAnsi"/>
        </w:rPr>
      </w:pPr>
      <w:r w:rsidRPr="00F16251">
        <w:rPr>
          <w:rFonts w:cstheme="minorHAnsi"/>
        </w:rPr>
        <w:t>Nadzór</w:t>
      </w:r>
      <w:r w:rsidR="003B50ED" w:rsidRPr="00F16251">
        <w:rPr>
          <w:rFonts w:cstheme="minorHAnsi"/>
        </w:rPr>
        <w:t xml:space="preserve"> </w:t>
      </w:r>
      <w:r w:rsidRPr="00F16251">
        <w:rPr>
          <w:rFonts w:cstheme="minorHAnsi"/>
        </w:rPr>
        <w:t>nad</w:t>
      </w:r>
      <w:r w:rsidR="003B50ED" w:rsidRPr="00F16251">
        <w:rPr>
          <w:rFonts w:cstheme="minorHAnsi"/>
        </w:rPr>
        <w:t xml:space="preserve"> </w:t>
      </w:r>
      <w:r w:rsidRPr="00F16251">
        <w:rPr>
          <w:rFonts w:cstheme="minorHAnsi"/>
        </w:rPr>
        <w:t>działalnością</w:t>
      </w:r>
      <w:r w:rsidR="003B50ED" w:rsidRPr="00F16251">
        <w:rPr>
          <w:rFonts w:cstheme="minorHAnsi"/>
        </w:rPr>
        <w:t xml:space="preserve"> </w:t>
      </w:r>
      <w:r w:rsidR="007F1E76" w:rsidRPr="00F16251">
        <w:rPr>
          <w:rFonts w:cstheme="minorHAnsi"/>
        </w:rPr>
        <w:t>Stowarzyszenie</w:t>
      </w:r>
      <w:r w:rsidR="003B50ED" w:rsidRPr="00F16251">
        <w:rPr>
          <w:rFonts w:cstheme="minorHAnsi"/>
        </w:rPr>
        <w:t xml:space="preserve"> </w:t>
      </w:r>
      <w:r w:rsidR="00D243EB" w:rsidRPr="00F16251">
        <w:rPr>
          <w:rFonts w:cstheme="minorHAnsi"/>
        </w:rPr>
        <w:t>„Solidarni</w:t>
      </w:r>
      <w:r w:rsidR="003B50ED" w:rsidRPr="00F16251">
        <w:rPr>
          <w:rFonts w:cstheme="minorHAnsi"/>
        </w:rPr>
        <w:t xml:space="preserve"> </w:t>
      </w:r>
      <w:r w:rsidR="00D243EB" w:rsidRPr="00F16251">
        <w:rPr>
          <w:rFonts w:cstheme="minorHAnsi"/>
        </w:rPr>
        <w:t>w</w:t>
      </w:r>
      <w:r w:rsidR="003B50ED" w:rsidRPr="00F16251">
        <w:rPr>
          <w:rFonts w:cstheme="minorHAnsi"/>
        </w:rPr>
        <w:t xml:space="preserve"> </w:t>
      </w:r>
      <w:r w:rsidR="00D243EB" w:rsidRPr="00F16251">
        <w:rPr>
          <w:rFonts w:cstheme="minorHAnsi"/>
        </w:rPr>
        <w:t>Partnerstwie”</w:t>
      </w:r>
      <w:r w:rsidR="003B50ED" w:rsidRPr="00F16251">
        <w:rPr>
          <w:rFonts w:cstheme="minorHAnsi"/>
        </w:rPr>
        <w:t xml:space="preserve"> </w:t>
      </w:r>
      <w:r w:rsidRPr="00F16251">
        <w:rPr>
          <w:rFonts w:cstheme="minorHAnsi"/>
        </w:rPr>
        <w:t>sprawuje</w:t>
      </w:r>
      <w:r w:rsidR="003B50ED" w:rsidRPr="00F16251">
        <w:rPr>
          <w:rFonts w:cstheme="minorHAnsi"/>
        </w:rPr>
        <w:t xml:space="preserve"> </w:t>
      </w:r>
      <w:r w:rsidRPr="00F16251">
        <w:rPr>
          <w:rFonts w:cstheme="minorHAnsi"/>
        </w:rPr>
        <w:t>Marszałek</w:t>
      </w:r>
      <w:r w:rsidR="003B50ED" w:rsidRPr="00F16251">
        <w:rPr>
          <w:rFonts w:cstheme="minorHAnsi"/>
        </w:rPr>
        <w:t xml:space="preserve"> </w:t>
      </w:r>
      <w:r w:rsidRPr="00F16251">
        <w:rPr>
          <w:rFonts w:cstheme="minorHAnsi"/>
        </w:rPr>
        <w:t>Województwa</w:t>
      </w:r>
      <w:r w:rsidR="003B50ED" w:rsidRPr="00F16251">
        <w:rPr>
          <w:rFonts w:cstheme="minorHAnsi"/>
        </w:rPr>
        <w:t xml:space="preserve"> </w:t>
      </w:r>
      <w:r w:rsidRPr="00F16251">
        <w:rPr>
          <w:rFonts w:cstheme="minorHAnsi"/>
        </w:rPr>
        <w:t>Wielkopolskiego.</w:t>
      </w:r>
      <w:r w:rsidR="003B50ED" w:rsidRPr="00F16251">
        <w:rPr>
          <w:rFonts w:cstheme="minorHAnsi"/>
        </w:rPr>
        <w:t xml:space="preserve"> </w:t>
      </w:r>
    </w:p>
    <w:p w14:paraId="27B49E4E" w14:textId="77777777" w:rsidR="00D67218" w:rsidRPr="00F16251" w:rsidRDefault="00D67218" w:rsidP="00A26C26">
      <w:pPr>
        <w:spacing w:line="276" w:lineRule="auto"/>
        <w:jc w:val="both"/>
        <w:rPr>
          <w:rFonts w:cstheme="minorHAnsi"/>
        </w:rPr>
      </w:pPr>
    </w:p>
    <w:p w14:paraId="001911E5" w14:textId="5DFEBFA9" w:rsidR="00FC3E79" w:rsidRPr="00F16251" w:rsidRDefault="00DF4974" w:rsidP="008A412F">
      <w:pPr>
        <w:pStyle w:val="Nagwek2"/>
        <w:numPr>
          <w:ilvl w:val="0"/>
          <w:numId w:val="1"/>
        </w:numPr>
        <w:spacing w:before="0" w:line="276" w:lineRule="auto"/>
        <w:ind w:left="426" w:hanging="142"/>
        <w:jc w:val="both"/>
        <w:rPr>
          <w:rFonts w:asciiTheme="minorHAnsi" w:hAnsiTheme="minorHAnsi" w:cstheme="minorHAnsi"/>
          <w:b/>
          <w:bCs/>
          <w:sz w:val="22"/>
          <w:szCs w:val="22"/>
        </w:rPr>
      </w:pPr>
      <w:bookmarkStart w:id="4" w:name="_Toc136260183"/>
      <w:bookmarkStart w:id="5" w:name="_Toc136944393"/>
      <w:r w:rsidRPr="00F16251">
        <w:rPr>
          <w:rFonts w:asciiTheme="minorHAnsi" w:hAnsiTheme="minorHAnsi" w:cstheme="minorHAnsi"/>
          <w:b/>
          <w:bCs/>
          <w:sz w:val="22"/>
          <w:szCs w:val="22"/>
        </w:rPr>
        <w:t>Proces</w:t>
      </w:r>
      <w:r w:rsidR="003B50ED" w:rsidRPr="00F16251">
        <w:rPr>
          <w:rFonts w:asciiTheme="minorHAnsi" w:hAnsiTheme="minorHAnsi" w:cstheme="minorHAnsi"/>
          <w:b/>
          <w:bCs/>
          <w:sz w:val="22"/>
          <w:szCs w:val="22"/>
        </w:rPr>
        <w:t xml:space="preserve"> </w:t>
      </w:r>
      <w:r w:rsidRPr="00F16251">
        <w:rPr>
          <w:rFonts w:asciiTheme="minorHAnsi" w:hAnsiTheme="minorHAnsi" w:cstheme="minorHAnsi"/>
          <w:b/>
          <w:bCs/>
          <w:sz w:val="22"/>
          <w:szCs w:val="22"/>
        </w:rPr>
        <w:t>tworzenia</w:t>
      </w:r>
      <w:r w:rsidR="003B50ED" w:rsidRPr="00F16251">
        <w:rPr>
          <w:rFonts w:asciiTheme="minorHAnsi" w:hAnsiTheme="minorHAnsi" w:cstheme="minorHAnsi"/>
          <w:b/>
          <w:bCs/>
          <w:sz w:val="22"/>
          <w:szCs w:val="22"/>
        </w:rPr>
        <w:t xml:space="preserve"> </w:t>
      </w:r>
      <w:r w:rsidRPr="00F16251">
        <w:rPr>
          <w:rFonts w:asciiTheme="minorHAnsi" w:hAnsiTheme="minorHAnsi" w:cstheme="minorHAnsi"/>
          <w:b/>
          <w:bCs/>
          <w:sz w:val="22"/>
          <w:szCs w:val="22"/>
        </w:rPr>
        <w:t>partnerstwa</w:t>
      </w:r>
      <w:bookmarkEnd w:id="4"/>
      <w:bookmarkEnd w:id="5"/>
    </w:p>
    <w:p w14:paraId="3F6F5CDE" w14:textId="7B8C761E" w:rsidR="004A127B" w:rsidRPr="00F16251" w:rsidRDefault="004A127B" w:rsidP="00A26C26">
      <w:pPr>
        <w:spacing w:line="276" w:lineRule="auto"/>
        <w:ind w:firstLine="284"/>
        <w:jc w:val="both"/>
        <w:rPr>
          <w:rFonts w:cstheme="minorHAnsi"/>
        </w:rPr>
      </w:pPr>
      <w:r w:rsidRPr="00F16251">
        <w:rPr>
          <w:rFonts w:cstheme="minorHAnsi"/>
        </w:rPr>
        <w:t>Impulsem</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utworzenia</w:t>
      </w:r>
      <w:r w:rsidR="003B50ED" w:rsidRPr="00F16251">
        <w:rPr>
          <w:rFonts w:cstheme="minorHAnsi"/>
        </w:rPr>
        <w:t xml:space="preserve"> </w:t>
      </w:r>
      <w:r w:rsidR="007F1E76" w:rsidRPr="00F16251">
        <w:rPr>
          <w:rFonts w:cstheme="minorHAnsi"/>
        </w:rPr>
        <w:t>Stowarzyszenie</w:t>
      </w:r>
      <w:r w:rsidR="003B50ED" w:rsidRPr="00F16251">
        <w:rPr>
          <w:rFonts w:cstheme="minorHAnsi"/>
        </w:rPr>
        <w:t xml:space="preserve"> </w:t>
      </w:r>
      <w:r w:rsidRPr="00F16251">
        <w:rPr>
          <w:rFonts w:cstheme="minorHAnsi"/>
        </w:rPr>
        <w:t>„Solidarni</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Partnerstwie”</w:t>
      </w:r>
      <w:r w:rsidR="003B50ED" w:rsidRPr="00F16251">
        <w:rPr>
          <w:rFonts w:cstheme="minorHAnsi"/>
        </w:rPr>
        <w:t xml:space="preserve"> </w:t>
      </w:r>
      <w:r w:rsidRPr="00F16251">
        <w:rPr>
          <w:rFonts w:cstheme="minorHAnsi"/>
        </w:rPr>
        <w:t>było</w:t>
      </w:r>
      <w:r w:rsidR="003B50ED" w:rsidRPr="00F16251">
        <w:rPr>
          <w:rFonts w:cstheme="minorHAnsi"/>
        </w:rPr>
        <w:t xml:space="preserve"> </w:t>
      </w:r>
      <w:r w:rsidRPr="00F16251">
        <w:rPr>
          <w:rFonts w:cstheme="minorHAnsi"/>
        </w:rPr>
        <w:t>uruchomienie</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2004</w:t>
      </w:r>
      <w:r w:rsidR="003B50ED" w:rsidRPr="00F16251">
        <w:rPr>
          <w:rFonts w:cstheme="minorHAnsi"/>
        </w:rPr>
        <w:t xml:space="preserve"> r. </w:t>
      </w:r>
      <w:r w:rsidRPr="00F16251">
        <w:rPr>
          <w:rFonts w:cstheme="minorHAnsi"/>
        </w:rPr>
        <w:t>Pilotażowego</w:t>
      </w:r>
      <w:r w:rsidR="003B50ED" w:rsidRPr="00F16251">
        <w:rPr>
          <w:rFonts w:cstheme="minorHAnsi"/>
        </w:rPr>
        <w:t xml:space="preserve"> </w:t>
      </w:r>
      <w:r w:rsidRPr="00F16251">
        <w:rPr>
          <w:rFonts w:cstheme="minorHAnsi"/>
        </w:rPr>
        <w:t>Programu</w:t>
      </w:r>
      <w:r w:rsidR="003B50ED" w:rsidRPr="00F16251">
        <w:rPr>
          <w:rFonts w:cstheme="minorHAnsi"/>
        </w:rPr>
        <w:t xml:space="preserve"> </w:t>
      </w:r>
      <w:r w:rsidRPr="00F16251">
        <w:rPr>
          <w:rFonts w:cstheme="minorHAnsi"/>
        </w:rPr>
        <w:t>Leader.</w:t>
      </w:r>
      <w:r w:rsidR="003B50ED" w:rsidRPr="00F16251">
        <w:rPr>
          <w:rFonts w:cstheme="minorHAnsi"/>
        </w:rPr>
        <w:t xml:space="preserve"> </w:t>
      </w:r>
      <w:r w:rsidRPr="00F16251">
        <w:rPr>
          <w:rFonts w:cstheme="minorHAnsi"/>
        </w:rPr>
        <w:t>Grupa</w:t>
      </w:r>
      <w:r w:rsidR="003B50ED" w:rsidRPr="00F16251">
        <w:rPr>
          <w:rFonts w:cstheme="minorHAnsi"/>
        </w:rPr>
        <w:t xml:space="preserve"> </w:t>
      </w:r>
      <w:r w:rsidRPr="00F16251">
        <w:rPr>
          <w:rFonts w:cstheme="minorHAnsi"/>
        </w:rPr>
        <w:t>aktywnych</w:t>
      </w:r>
      <w:r w:rsidR="003B50ED" w:rsidRPr="00F16251">
        <w:rPr>
          <w:rFonts w:cstheme="minorHAnsi"/>
        </w:rPr>
        <w:t xml:space="preserve"> </w:t>
      </w:r>
      <w:r w:rsidRPr="00F16251">
        <w:rPr>
          <w:rFonts w:cstheme="minorHAnsi"/>
        </w:rPr>
        <w:t>mieszkańców</w:t>
      </w:r>
      <w:r w:rsidR="003B50ED" w:rsidRPr="00F16251">
        <w:rPr>
          <w:rFonts w:cstheme="minorHAnsi"/>
        </w:rPr>
        <w:t xml:space="preserve"> </w:t>
      </w:r>
      <w:r w:rsidRPr="00F16251">
        <w:rPr>
          <w:rFonts w:cstheme="minorHAnsi"/>
        </w:rPr>
        <w:t>gmin</w:t>
      </w:r>
      <w:r w:rsidR="003B50ED" w:rsidRPr="00F16251">
        <w:rPr>
          <w:rFonts w:cstheme="minorHAnsi"/>
        </w:rPr>
        <w:t xml:space="preserve"> </w:t>
      </w:r>
      <w:r w:rsidRPr="00F16251">
        <w:rPr>
          <w:rFonts w:cstheme="minorHAnsi"/>
        </w:rPr>
        <w:t>Stare</w:t>
      </w:r>
      <w:r w:rsidR="003B50ED" w:rsidRPr="00F16251">
        <w:rPr>
          <w:rFonts w:cstheme="minorHAnsi"/>
        </w:rPr>
        <w:t xml:space="preserve"> </w:t>
      </w:r>
      <w:r w:rsidRPr="00F16251">
        <w:rPr>
          <w:rFonts w:cstheme="minorHAnsi"/>
        </w:rPr>
        <w:t>Miasto</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Rychwał</w:t>
      </w:r>
      <w:r w:rsidR="003B50ED" w:rsidRPr="00F16251">
        <w:rPr>
          <w:rFonts w:cstheme="minorHAnsi"/>
        </w:rPr>
        <w:t xml:space="preserve"> </w:t>
      </w:r>
      <w:r w:rsidRPr="00F16251">
        <w:rPr>
          <w:rFonts w:cstheme="minorHAnsi"/>
        </w:rPr>
        <w:t>postanowiła</w:t>
      </w:r>
      <w:r w:rsidR="003B50ED" w:rsidRPr="00F16251">
        <w:rPr>
          <w:rFonts w:cstheme="minorHAnsi"/>
        </w:rPr>
        <w:t xml:space="preserve"> </w:t>
      </w:r>
      <w:r w:rsidRPr="00F16251">
        <w:rPr>
          <w:rFonts w:cstheme="minorHAnsi"/>
        </w:rPr>
        <w:t>wykorzystać</w:t>
      </w:r>
      <w:r w:rsidR="003B50ED" w:rsidRPr="00F16251">
        <w:rPr>
          <w:rFonts w:cstheme="minorHAnsi"/>
        </w:rPr>
        <w:t xml:space="preserve"> </w:t>
      </w:r>
      <w:r w:rsidRPr="00F16251">
        <w:rPr>
          <w:rFonts w:cstheme="minorHAnsi"/>
        </w:rPr>
        <w:t>tę</w:t>
      </w:r>
      <w:r w:rsidR="003B50ED" w:rsidRPr="00F16251">
        <w:rPr>
          <w:rFonts w:cstheme="minorHAnsi"/>
        </w:rPr>
        <w:t xml:space="preserve"> </w:t>
      </w:r>
      <w:r w:rsidRPr="00F16251">
        <w:rPr>
          <w:rFonts w:cstheme="minorHAnsi"/>
        </w:rPr>
        <w:t>szansę</w:t>
      </w:r>
      <w:r w:rsidR="003B50ED" w:rsidRPr="00F16251">
        <w:rPr>
          <w:rFonts w:cstheme="minorHAnsi"/>
        </w:rPr>
        <w:t xml:space="preserve"> </w:t>
      </w:r>
      <w:r w:rsidR="00946B6F" w:rsidRPr="00F16251">
        <w:rPr>
          <w:rFonts w:cstheme="minorHAnsi"/>
        </w:rPr>
        <w:br/>
      </w:r>
      <w:r w:rsidRPr="00F16251">
        <w:rPr>
          <w:rFonts w:cstheme="minorHAnsi"/>
        </w:rPr>
        <w:t>i</w:t>
      </w:r>
      <w:r w:rsidR="003B50ED" w:rsidRPr="00F16251">
        <w:rPr>
          <w:rFonts w:cstheme="minorHAnsi"/>
        </w:rPr>
        <w:t xml:space="preserve"> </w:t>
      </w:r>
      <w:r w:rsidRPr="00F16251">
        <w:rPr>
          <w:rFonts w:cstheme="minorHAnsi"/>
        </w:rPr>
        <w:t>wystąpiła</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inicjatywą</w:t>
      </w:r>
      <w:r w:rsidR="003B50ED" w:rsidRPr="00F16251">
        <w:rPr>
          <w:rFonts w:cstheme="minorHAnsi"/>
        </w:rPr>
        <w:t xml:space="preserve"> </w:t>
      </w:r>
      <w:r w:rsidRPr="00F16251">
        <w:rPr>
          <w:rFonts w:cstheme="minorHAnsi"/>
        </w:rPr>
        <w:t>utworzenia</w:t>
      </w:r>
      <w:r w:rsidR="003B50ED" w:rsidRPr="00F16251">
        <w:rPr>
          <w:rFonts w:cstheme="minorHAnsi"/>
        </w:rPr>
        <w:t xml:space="preserve"> </w:t>
      </w:r>
      <w:r w:rsidRPr="00F16251">
        <w:rPr>
          <w:rFonts w:cstheme="minorHAnsi"/>
        </w:rPr>
        <w:t>lokalnej</w:t>
      </w:r>
      <w:r w:rsidR="003B50ED" w:rsidRPr="00F16251">
        <w:rPr>
          <w:rFonts w:cstheme="minorHAnsi"/>
        </w:rPr>
        <w:t xml:space="preserve"> </w:t>
      </w:r>
      <w:r w:rsidRPr="00F16251">
        <w:rPr>
          <w:rFonts w:cstheme="minorHAnsi"/>
        </w:rPr>
        <w:t>grupy</w:t>
      </w:r>
      <w:r w:rsidR="003B50ED" w:rsidRPr="00F16251">
        <w:rPr>
          <w:rFonts w:cstheme="minorHAnsi"/>
        </w:rPr>
        <w:t xml:space="preserve"> </w:t>
      </w:r>
      <w:r w:rsidRPr="00F16251">
        <w:rPr>
          <w:rFonts w:cstheme="minorHAnsi"/>
        </w:rPr>
        <w:t>działania.</w:t>
      </w:r>
      <w:r w:rsidR="003B50ED" w:rsidRPr="00F16251">
        <w:rPr>
          <w:rFonts w:cstheme="minorHAnsi"/>
        </w:rPr>
        <w:t xml:space="preserve"> </w:t>
      </w:r>
      <w:r w:rsidRPr="00F16251">
        <w:rPr>
          <w:rFonts w:cstheme="minorHAnsi"/>
        </w:rPr>
        <w:t>Gmina</w:t>
      </w:r>
      <w:r w:rsidR="003B50ED" w:rsidRPr="00F16251">
        <w:rPr>
          <w:rFonts w:cstheme="minorHAnsi"/>
        </w:rPr>
        <w:t xml:space="preserve"> </w:t>
      </w:r>
      <w:r w:rsidRPr="00F16251">
        <w:rPr>
          <w:rFonts w:cstheme="minorHAnsi"/>
        </w:rPr>
        <w:t>Stare</w:t>
      </w:r>
      <w:r w:rsidR="003B50ED" w:rsidRPr="00F16251">
        <w:rPr>
          <w:rFonts w:cstheme="minorHAnsi"/>
        </w:rPr>
        <w:t xml:space="preserve"> </w:t>
      </w:r>
      <w:r w:rsidRPr="00F16251">
        <w:rPr>
          <w:rFonts w:cstheme="minorHAnsi"/>
        </w:rPr>
        <w:t>Miasto</w:t>
      </w:r>
      <w:r w:rsidR="003B50ED" w:rsidRPr="00F16251">
        <w:rPr>
          <w:rFonts w:cstheme="minorHAnsi"/>
        </w:rPr>
        <w:t xml:space="preserve"> </w:t>
      </w:r>
      <w:r w:rsidRPr="00F16251">
        <w:rPr>
          <w:rFonts w:cstheme="minorHAnsi"/>
        </w:rPr>
        <w:t>przygotowała</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złożyła</w:t>
      </w:r>
      <w:r w:rsidR="003B50ED" w:rsidRPr="00F16251">
        <w:rPr>
          <w:rFonts w:cstheme="minorHAnsi"/>
        </w:rPr>
        <w:t xml:space="preserve"> </w:t>
      </w:r>
      <w:r w:rsidRPr="00F16251">
        <w:rPr>
          <w:rFonts w:cstheme="minorHAnsi"/>
        </w:rPr>
        <w:t>wniosek</w:t>
      </w:r>
      <w:r w:rsidR="003B50ED" w:rsidRPr="00F16251">
        <w:rPr>
          <w:rFonts w:cstheme="minorHAnsi"/>
        </w:rPr>
        <w:t xml:space="preserve"> </w:t>
      </w:r>
      <w:r w:rsidR="00BC08F3" w:rsidRPr="00F16251">
        <w:rPr>
          <w:rFonts w:cstheme="minorHAnsi"/>
        </w:rPr>
        <w:br/>
      </w:r>
      <w:r w:rsidRPr="00F16251">
        <w:rPr>
          <w:rFonts w:cstheme="minorHAnsi"/>
        </w:rPr>
        <w:t>o</w:t>
      </w:r>
      <w:r w:rsidR="003B50ED" w:rsidRPr="00F16251">
        <w:rPr>
          <w:rFonts w:cstheme="minorHAnsi"/>
        </w:rPr>
        <w:t xml:space="preserve"> </w:t>
      </w:r>
      <w:r w:rsidRPr="00F16251">
        <w:rPr>
          <w:rFonts w:cstheme="minorHAnsi"/>
        </w:rPr>
        <w:t>pomoc</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ramach</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schematu</w:t>
      </w:r>
      <w:r w:rsidR="003B50ED" w:rsidRPr="00F16251">
        <w:rPr>
          <w:rFonts w:cstheme="minorHAnsi"/>
        </w:rPr>
        <w:t xml:space="preserve"> </w:t>
      </w:r>
      <w:r w:rsidRPr="00F16251">
        <w:rPr>
          <w:rFonts w:cstheme="minorHAnsi"/>
        </w:rPr>
        <w:t>Pilotażowego</w:t>
      </w:r>
      <w:r w:rsidR="003B50ED" w:rsidRPr="00F16251">
        <w:rPr>
          <w:rFonts w:cstheme="minorHAnsi"/>
        </w:rPr>
        <w:t xml:space="preserve"> </w:t>
      </w:r>
      <w:r w:rsidRPr="00F16251">
        <w:rPr>
          <w:rFonts w:cstheme="minorHAnsi"/>
        </w:rPr>
        <w:t>Programu</w:t>
      </w:r>
      <w:r w:rsidR="003B50ED" w:rsidRPr="00F16251">
        <w:rPr>
          <w:rFonts w:cstheme="minorHAnsi"/>
        </w:rPr>
        <w:t xml:space="preserve"> </w:t>
      </w:r>
      <w:r w:rsidRPr="00F16251">
        <w:rPr>
          <w:rFonts w:cstheme="minorHAnsi"/>
        </w:rPr>
        <w:t>Leader+.</w:t>
      </w:r>
      <w:r w:rsidR="003B50ED" w:rsidRPr="00F16251">
        <w:rPr>
          <w:rFonts w:cstheme="minorHAnsi"/>
        </w:rPr>
        <w:t xml:space="preserve"> </w:t>
      </w:r>
      <w:r w:rsidRPr="00F16251">
        <w:rPr>
          <w:rFonts w:cstheme="minorHAnsi"/>
        </w:rPr>
        <w:t>Przyznana</w:t>
      </w:r>
      <w:r w:rsidR="003B50ED" w:rsidRPr="00F16251">
        <w:rPr>
          <w:rFonts w:cstheme="minorHAnsi"/>
        </w:rPr>
        <w:t xml:space="preserve"> </w:t>
      </w:r>
      <w:r w:rsidRPr="00F16251">
        <w:rPr>
          <w:rFonts w:cstheme="minorHAnsi"/>
        </w:rPr>
        <w:t>pomoc</w:t>
      </w:r>
      <w:r w:rsidR="003B50ED" w:rsidRPr="00F16251">
        <w:rPr>
          <w:rFonts w:cstheme="minorHAnsi"/>
        </w:rPr>
        <w:t xml:space="preserve"> </w:t>
      </w:r>
      <w:r w:rsidRPr="00F16251">
        <w:rPr>
          <w:rFonts w:cstheme="minorHAnsi"/>
        </w:rPr>
        <w:t>pozwoliła</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podjęcie</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drugiej</w:t>
      </w:r>
      <w:r w:rsidR="003B50ED" w:rsidRPr="00F16251">
        <w:rPr>
          <w:rFonts w:cstheme="minorHAnsi"/>
        </w:rPr>
        <w:t xml:space="preserve"> </w:t>
      </w:r>
      <w:r w:rsidRPr="00F16251">
        <w:rPr>
          <w:rFonts w:cstheme="minorHAnsi"/>
        </w:rPr>
        <w:t>połowie</w:t>
      </w:r>
      <w:r w:rsidR="003B50ED" w:rsidRPr="00F16251">
        <w:rPr>
          <w:rFonts w:cstheme="minorHAnsi"/>
        </w:rPr>
        <w:t xml:space="preserve"> </w:t>
      </w:r>
      <w:r w:rsidRPr="00F16251">
        <w:rPr>
          <w:rFonts w:cstheme="minorHAnsi"/>
        </w:rPr>
        <w:t>2005</w:t>
      </w:r>
      <w:r w:rsidR="003B50ED" w:rsidRPr="00F16251">
        <w:rPr>
          <w:rFonts w:cstheme="minorHAnsi"/>
        </w:rPr>
        <w:t xml:space="preserve"> </w:t>
      </w:r>
      <w:r w:rsidR="00210334" w:rsidRPr="00F16251">
        <w:rPr>
          <w:rFonts w:cstheme="minorHAnsi"/>
        </w:rPr>
        <w:t>r.</w:t>
      </w:r>
      <w:r w:rsidR="003B50ED" w:rsidRPr="00F16251">
        <w:rPr>
          <w:rFonts w:cstheme="minorHAnsi"/>
        </w:rPr>
        <w:t xml:space="preserve"> </w:t>
      </w:r>
      <w:r w:rsidRPr="00F16251">
        <w:rPr>
          <w:rFonts w:cstheme="minorHAnsi"/>
        </w:rPr>
        <w:t>działań</w:t>
      </w:r>
      <w:r w:rsidR="003B50ED" w:rsidRPr="00F16251">
        <w:rPr>
          <w:rFonts w:cstheme="minorHAnsi"/>
        </w:rPr>
        <w:t xml:space="preserve"> </w:t>
      </w:r>
      <w:r w:rsidRPr="00F16251">
        <w:rPr>
          <w:rFonts w:cstheme="minorHAnsi"/>
        </w:rPr>
        <w:t>upowszechniających</w:t>
      </w:r>
      <w:r w:rsidR="003B50ED" w:rsidRPr="00F16251">
        <w:rPr>
          <w:rFonts w:cstheme="minorHAnsi"/>
        </w:rPr>
        <w:t xml:space="preserve"> </w:t>
      </w:r>
      <w:r w:rsidRPr="00F16251">
        <w:rPr>
          <w:rFonts w:cstheme="minorHAnsi"/>
        </w:rPr>
        <w:t>wiedzę</w:t>
      </w:r>
      <w:r w:rsidR="003B50ED" w:rsidRPr="00F16251">
        <w:rPr>
          <w:rFonts w:cstheme="minorHAnsi"/>
        </w:rPr>
        <w:t xml:space="preserve"> </w:t>
      </w:r>
      <w:r w:rsidRPr="00F16251">
        <w:rPr>
          <w:rFonts w:cstheme="minorHAnsi"/>
        </w:rPr>
        <w:t>o</w:t>
      </w:r>
      <w:r w:rsidR="003B50ED" w:rsidRPr="00F16251">
        <w:rPr>
          <w:rFonts w:cstheme="minorHAnsi"/>
        </w:rPr>
        <w:t xml:space="preserve"> </w:t>
      </w:r>
      <w:r w:rsidRPr="00F16251">
        <w:rPr>
          <w:rFonts w:cstheme="minorHAnsi"/>
        </w:rPr>
        <w:t>podejściu</w:t>
      </w:r>
      <w:r w:rsidR="003B50ED" w:rsidRPr="00F16251">
        <w:rPr>
          <w:rFonts w:cstheme="minorHAnsi"/>
        </w:rPr>
        <w:t xml:space="preserve"> </w:t>
      </w:r>
      <w:r w:rsidRPr="00F16251">
        <w:rPr>
          <w:rFonts w:cstheme="minorHAnsi"/>
        </w:rPr>
        <w:t>Leader</w:t>
      </w:r>
      <w:r w:rsidR="003B50ED" w:rsidRPr="00F16251">
        <w:rPr>
          <w:rFonts w:cstheme="minorHAnsi"/>
        </w:rPr>
        <w:t xml:space="preserve"> </w:t>
      </w:r>
      <w:r w:rsidRPr="00F16251">
        <w:rPr>
          <w:rFonts w:cstheme="minorHAnsi"/>
        </w:rPr>
        <w:t>oraz</w:t>
      </w:r>
      <w:r w:rsidR="003B50ED" w:rsidRPr="00F16251">
        <w:rPr>
          <w:rFonts w:cstheme="minorHAnsi"/>
        </w:rPr>
        <w:t xml:space="preserve"> </w:t>
      </w:r>
      <w:r w:rsidRPr="00F16251">
        <w:rPr>
          <w:rFonts w:cstheme="minorHAnsi"/>
        </w:rPr>
        <w:t>zaktywizowanie</w:t>
      </w:r>
      <w:r w:rsidR="003B50ED" w:rsidRPr="00F16251">
        <w:rPr>
          <w:rFonts w:cstheme="minorHAnsi"/>
        </w:rPr>
        <w:t xml:space="preserve"> </w:t>
      </w:r>
      <w:r w:rsidRPr="00F16251">
        <w:rPr>
          <w:rFonts w:cstheme="minorHAnsi"/>
        </w:rPr>
        <w:t>społeczności</w:t>
      </w:r>
      <w:r w:rsidR="003B50ED" w:rsidRPr="00F16251">
        <w:rPr>
          <w:rFonts w:cstheme="minorHAnsi"/>
        </w:rPr>
        <w:t xml:space="preserve"> </w:t>
      </w:r>
      <w:r w:rsidRPr="00F16251">
        <w:rPr>
          <w:rFonts w:cstheme="minorHAnsi"/>
        </w:rPr>
        <w:t>wiejskich.</w:t>
      </w:r>
      <w:r w:rsidR="003B50ED" w:rsidRPr="00F16251">
        <w:rPr>
          <w:rFonts w:cstheme="minorHAnsi"/>
        </w:rPr>
        <w:t xml:space="preserve"> </w:t>
      </w:r>
      <w:r w:rsidRPr="00F16251">
        <w:rPr>
          <w:rFonts w:cstheme="minorHAnsi"/>
        </w:rPr>
        <w:t>Działania</w:t>
      </w:r>
      <w:r w:rsidR="003B50ED" w:rsidRPr="00F16251">
        <w:rPr>
          <w:rFonts w:cstheme="minorHAnsi"/>
        </w:rPr>
        <w:t xml:space="preserve"> </w:t>
      </w:r>
      <w:r w:rsidRPr="00F16251">
        <w:rPr>
          <w:rFonts w:cstheme="minorHAnsi"/>
        </w:rPr>
        <w:t>te</w:t>
      </w:r>
      <w:r w:rsidR="003B50ED" w:rsidRPr="00F16251">
        <w:rPr>
          <w:rFonts w:cstheme="minorHAnsi"/>
        </w:rPr>
        <w:t xml:space="preserve"> </w:t>
      </w:r>
      <w:r w:rsidRPr="00F16251">
        <w:rPr>
          <w:rFonts w:cstheme="minorHAnsi"/>
        </w:rPr>
        <w:t>były</w:t>
      </w:r>
      <w:r w:rsidR="003B50ED" w:rsidRPr="00F16251">
        <w:rPr>
          <w:rFonts w:cstheme="minorHAnsi"/>
        </w:rPr>
        <w:t xml:space="preserve"> </w:t>
      </w:r>
      <w:r w:rsidRPr="00F16251">
        <w:rPr>
          <w:rFonts w:cstheme="minorHAnsi"/>
        </w:rPr>
        <w:t>prowadzone</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obszarze</w:t>
      </w:r>
      <w:r w:rsidR="003B50ED" w:rsidRPr="00F16251">
        <w:rPr>
          <w:rFonts w:cstheme="minorHAnsi"/>
        </w:rPr>
        <w:t xml:space="preserve"> </w:t>
      </w:r>
      <w:r w:rsidRPr="00F16251">
        <w:rPr>
          <w:rFonts w:cstheme="minorHAnsi"/>
        </w:rPr>
        <w:t>gmin</w:t>
      </w:r>
      <w:r w:rsidR="003B50ED" w:rsidRPr="00F16251">
        <w:rPr>
          <w:rFonts w:cstheme="minorHAnsi"/>
        </w:rPr>
        <w:t xml:space="preserve"> </w:t>
      </w:r>
      <w:r w:rsidRPr="00F16251">
        <w:rPr>
          <w:rFonts w:cstheme="minorHAnsi"/>
        </w:rPr>
        <w:t>Stare</w:t>
      </w:r>
      <w:r w:rsidR="003B50ED" w:rsidRPr="00F16251">
        <w:rPr>
          <w:rFonts w:cstheme="minorHAnsi"/>
        </w:rPr>
        <w:t xml:space="preserve"> </w:t>
      </w:r>
      <w:r w:rsidRPr="00F16251">
        <w:rPr>
          <w:rFonts w:cstheme="minorHAnsi"/>
        </w:rPr>
        <w:t>Miasto</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Rychwał,</w:t>
      </w:r>
      <w:r w:rsidR="003B50ED" w:rsidRPr="00F16251">
        <w:rPr>
          <w:rFonts w:cstheme="minorHAnsi"/>
        </w:rPr>
        <w:t xml:space="preserve"> </w:t>
      </w:r>
      <w:r w:rsidRPr="00F16251">
        <w:rPr>
          <w:rFonts w:cstheme="minorHAnsi"/>
        </w:rPr>
        <w:t>jednak</w:t>
      </w:r>
      <w:r w:rsidR="003B50ED" w:rsidRPr="00F16251">
        <w:rPr>
          <w:rFonts w:cstheme="minorHAnsi"/>
        </w:rPr>
        <w:t xml:space="preserve"> </w:t>
      </w:r>
      <w:r w:rsidRPr="00F16251">
        <w:rPr>
          <w:rFonts w:cstheme="minorHAnsi"/>
        </w:rPr>
        <w:t>informacje</w:t>
      </w:r>
      <w:r w:rsidR="00946B6F" w:rsidRPr="00F16251">
        <w:rPr>
          <w:rFonts w:cstheme="minorHAnsi"/>
        </w:rPr>
        <w:t xml:space="preserve"> </w:t>
      </w:r>
      <w:r w:rsidRPr="00F16251">
        <w:rPr>
          <w:rFonts w:cstheme="minorHAnsi"/>
        </w:rPr>
        <w:t>o</w:t>
      </w:r>
      <w:r w:rsidR="003B50ED" w:rsidRPr="00F16251">
        <w:rPr>
          <w:rFonts w:cstheme="minorHAnsi"/>
        </w:rPr>
        <w:t xml:space="preserve"> </w:t>
      </w:r>
      <w:r w:rsidRPr="00F16251">
        <w:rPr>
          <w:rFonts w:cstheme="minorHAnsi"/>
        </w:rPr>
        <w:t>nich</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o</w:t>
      </w:r>
      <w:r w:rsidR="003B50ED" w:rsidRPr="00F16251">
        <w:rPr>
          <w:rFonts w:cstheme="minorHAnsi"/>
        </w:rPr>
        <w:t xml:space="preserve"> </w:t>
      </w:r>
      <w:r w:rsidRPr="00F16251">
        <w:rPr>
          <w:rFonts w:cstheme="minorHAnsi"/>
        </w:rPr>
        <w:t>programie</w:t>
      </w:r>
      <w:r w:rsidR="003B50ED" w:rsidRPr="00F16251">
        <w:rPr>
          <w:rFonts w:cstheme="minorHAnsi"/>
        </w:rPr>
        <w:t xml:space="preserve"> </w:t>
      </w:r>
      <w:r w:rsidRPr="00F16251">
        <w:rPr>
          <w:rFonts w:cstheme="minorHAnsi"/>
        </w:rPr>
        <w:t>Leader</w:t>
      </w:r>
      <w:r w:rsidR="003B50ED" w:rsidRPr="00F16251">
        <w:rPr>
          <w:rFonts w:cstheme="minorHAnsi"/>
        </w:rPr>
        <w:t xml:space="preserve"> </w:t>
      </w:r>
      <w:r w:rsidRPr="00F16251">
        <w:rPr>
          <w:rFonts w:cstheme="minorHAnsi"/>
        </w:rPr>
        <w:t>docierały</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mieszkańców</w:t>
      </w:r>
      <w:r w:rsidR="003B50ED" w:rsidRPr="00F16251">
        <w:rPr>
          <w:rFonts w:cstheme="minorHAnsi"/>
        </w:rPr>
        <w:t xml:space="preserve"> </w:t>
      </w:r>
      <w:r w:rsidRPr="00F16251">
        <w:rPr>
          <w:rFonts w:cstheme="minorHAnsi"/>
        </w:rPr>
        <w:t>sąsiednich</w:t>
      </w:r>
      <w:r w:rsidR="003B50ED" w:rsidRPr="00F16251">
        <w:rPr>
          <w:rFonts w:cstheme="minorHAnsi"/>
        </w:rPr>
        <w:t xml:space="preserve"> </w:t>
      </w:r>
      <w:r w:rsidRPr="00F16251">
        <w:rPr>
          <w:rFonts w:cstheme="minorHAnsi"/>
        </w:rPr>
        <w:t>gmin.</w:t>
      </w:r>
      <w:r w:rsidR="003B50ED" w:rsidRPr="00F16251">
        <w:rPr>
          <w:rFonts w:cstheme="minorHAnsi"/>
        </w:rPr>
        <w:t xml:space="preserve"> </w:t>
      </w:r>
      <w:r w:rsidRPr="00F16251">
        <w:rPr>
          <w:rFonts w:cstheme="minorHAnsi"/>
        </w:rPr>
        <w:t>Poprzez</w:t>
      </w:r>
      <w:r w:rsidR="003B50ED" w:rsidRPr="00F16251">
        <w:rPr>
          <w:rFonts w:cstheme="minorHAnsi"/>
        </w:rPr>
        <w:t xml:space="preserve"> </w:t>
      </w:r>
      <w:r w:rsidRPr="00F16251">
        <w:rPr>
          <w:rFonts w:cstheme="minorHAnsi"/>
        </w:rPr>
        <w:t>samorządy</w:t>
      </w:r>
      <w:r w:rsidR="003B50ED" w:rsidRPr="00F16251">
        <w:rPr>
          <w:rFonts w:cstheme="minorHAnsi"/>
        </w:rPr>
        <w:t xml:space="preserve"> </w:t>
      </w:r>
      <w:r w:rsidRPr="00F16251">
        <w:rPr>
          <w:rFonts w:cstheme="minorHAnsi"/>
        </w:rPr>
        <w:t>swoich</w:t>
      </w:r>
      <w:r w:rsidR="003B50ED" w:rsidRPr="00F16251">
        <w:rPr>
          <w:rFonts w:cstheme="minorHAnsi"/>
        </w:rPr>
        <w:t xml:space="preserve"> </w:t>
      </w:r>
      <w:r w:rsidRPr="00F16251">
        <w:rPr>
          <w:rFonts w:cstheme="minorHAnsi"/>
        </w:rPr>
        <w:t>gmin</w:t>
      </w:r>
      <w:r w:rsidR="003B50ED" w:rsidRPr="00F16251">
        <w:rPr>
          <w:rFonts w:cstheme="minorHAnsi"/>
        </w:rPr>
        <w:t xml:space="preserve"> </w:t>
      </w:r>
      <w:r w:rsidRPr="00F16251">
        <w:rPr>
          <w:rFonts w:cstheme="minorHAnsi"/>
        </w:rPr>
        <w:t>zwrócili</w:t>
      </w:r>
      <w:r w:rsidR="003B50ED" w:rsidRPr="00F16251">
        <w:rPr>
          <w:rFonts w:cstheme="minorHAnsi"/>
        </w:rPr>
        <w:t xml:space="preserve"> </w:t>
      </w:r>
      <w:r w:rsidRPr="00F16251">
        <w:rPr>
          <w:rFonts w:cstheme="minorHAnsi"/>
        </w:rPr>
        <w:t>się</w:t>
      </w:r>
      <w:r w:rsidR="003B50ED" w:rsidRPr="00F16251">
        <w:rPr>
          <w:rFonts w:cstheme="minorHAnsi"/>
        </w:rPr>
        <w:t xml:space="preserve"> </w:t>
      </w:r>
      <w:r w:rsidRPr="00F16251">
        <w:rPr>
          <w:rFonts w:cstheme="minorHAnsi"/>
        </w:rPr>
        <w:t>oni</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końcu</w:t>
      </w:r>
      <w:r w:rsidR="003B50ED" w:rsidRPr="00F16251">
        <w:rPr>
          <w:rFonts w:cstheme="minorHAnsi"/>
        </w:rPr>
        <w:t xml:space="preserve"> </w:t>
      </w:r>
      <w:r w:rsidRPr="00F16251">
        <w:rPr>
          <w:rFonts w:cstheme="minorHAnsi"/>
        </w:rPr>
        <w:t>2005</w:t>
      </w:r>
      <w:r w:rsidR="003B50ED" w:rsidRPr="00F16251">
        <w:rPr>
          <w:rFonts w:cstheme="minorHAnsi"/>
        </w:rPr>
        <w:t xml:space="preserve"> </w:t>
      </w:r>
      <w:r w:rsidR="00210334" w:rsidRPr="00F16251">
        <w:rPr>
          <w:rFonts w:cstheme="minorHAnsi"/>
        </w:rPr>
        <w:t>r.</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gminy</w:t>
      </w:r>
      <w:r w:rsidR="003B50ED" w:rsidRPr="00F16251">
        <w:rPr>
          <w:rFonts w:cstheme="minorHAnsi"/>
        </w:rPr>
        <w:t xml:space="preserve"> </w:t>
      </w:r>
      <w:r w:rsidRPr="00F16251">
        <w:rPr>
          <w:rFonts w:cstheme="minorHAnsi"/>
        </w:rPr>
        <w:t>Stare</w:t>
      </w:r>
      <w:r w:rsidR="003B50ED" w:rsidRPr="00F16251">
        <w:rPr>
          <w:rFonts w:cstheme="minorHAnsi"/>
        </w:rPr>
        <w:t xml:space="preserve"> </w:t>
      </w:r>
      <w:r w:rsidRPr="00F16251">
        <w:rPr>
          <w:rFonts w:cstheme="minorHAnsi"/>
        </w:rPr>
        <w:t>Miasto</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propozycją,</w:t>
      </w:r>
      <w:r w:rsidR="003B50ED" w:rsidRPr="00F16251">
        <w:rPr>
          <w:rFonts w:cstheme="minorHAnsi"/>
        </w:rPr>
        <w:t xml:space="preserve"> </w:t>
      </w:r>
      <w:r w:rsidRPr="00F16251">
        <w:rPr>
          <w:rFonts w:cstheme="minorHAnsi"/>
        </w:rPr>
        <w:t>aby</w:t>
      </w:r>
      <w:r w:rsidR="003B50ED" w:rsidRPr="00F16251">
        <w:rPr>
          <w:rFonts w:cstheme="minorHAnsi"/>
        </w:rPr>
        <w:t xml:space="preserve"> </w:t>
      </w:r>
      <w:r w:rsidRPr="00F16251">
        <w:rPr>
          <w:rFonts w:cstheme="minorHAnsi"/>
        </w:rPr>
        <w:t>obszar</w:t>
      </w:r>
      <w:r w:rsidR="003B50ED" w:rsidRPr="00F16251">
        <w:rPr>
          <w:rFonts w:cstheme="minorHAnsi"/>
        </w:rPr>
        <w:t xml:space="preserve"> </w:t>
      </w:r>
      <w:r w:rsidRPr="00F16251">
        <w:rPr>
          <w:rFonts w:cstheme="minorHAnsi"/>
        </w:rPr>
        <w:t>działania</w:t>
      </w:r>
      <w:r w:rsidR="003B50ED" w:rsidRPr="00F16251">
        <w:rPr>
          <w:rFonts w:cstheme="minorHAnsi"/>
        </w:rPr>
        <w:t xml:space="preserve"> </w:t>
      </w:r>
      <w:r w:rsidRPr="00F16251">
        <w:rPr>
          <w:rFonts w:cstheme="minorHAnsi"/>
        </w:rPr>
        <w:t>Stowarzyszenia</w:t>
      </w:r>
      <w:r w:rsidR="003B50ED" w:rsidRPr="00F16251">
        <w:rPr>
          <w:rFonts w:cstheme="minorHAnsi"/>
        </w:rPr>
        <w:t xml:space="preserve"> </w:t>
      </w:r>
      <w:r w:rsidRPr="00F16251">
        <w:rPr>
          <w:rFonts w:cstheme="minorHAnsi"/>
        </w:rPr>
        <w:t>powiększyć</w:t>
      </w:r>
      <w:r w:rsidR="003B50ED" w:rsidRPr="00F16251">
        <w:rPr>
          <w:rFonts w:cstheme="minorHAnsi"/>
        </w:rPr>
        <w:t xml:space="preserve"> </w:t>
      </w:r>
      <w:r w:rsidRPr="00F16251">
        <w:rPr>
          <w:rFonts w:cstheme="minorHAnsi"/>
        </w:rPr>
        <w:t>o</w:t>
      </w:r>
      <w:r w:rsidR="003B50ED" w:rsidRPr="00F16251">
        <w:rPr>
          <w:rFonts w:cstheme="minorHAnsi"/>
        </w:rPr>
        <w:t xml:space="preserve"> </w:t>
      </w:r>
      <w:r w:rsidRPr="00F16251">
        <w:rPr>
          <w:rFonts w:cstheme="minorHAnsi"/>
        </w:rPr>
        <w:t>gminy</w:t>
      </w:r>
      <w:r w:rsidR="003B50ED" w:rsidRPr="00F16251">
        <w:rPr>
          <w:rFonts w:cstheme="minorHAnsi"/>
        </w:rPr>
        <w:t xml:space="preserve"> </w:t>
      </w:r>
      <w:r w:rsidRPr="00F16251">
        <w:rPr>
          <w:rFonts w:cstheme="minorHAnsi"/>
        </w:rPr>
        <w:t>Golina,</w:t>
      </w:r>
      <w:r w:rsidR="003B50ED" w:rsidRPr="00F16251">
        <w:rPr>
          <w:rFonts w:cstheme="minorHAnsi"/>
        </w:rPr>
        <w:t xml:space="preserve"> </w:t>
      </w:r>
      <w:r w:rsidRPr="00F16251">
        <w:rPr>
          <w:rFonts w:cstheme="minorHAnsi"/>
        </w:rPr>
        <w:t>Tuliszków,</w:t>
      </w:r>
      <w:r w:rsidR="003B50ED" w:rsidRPr="00F16251">
        <w:rPr>
          <w:rFonts w:cstheme="minorHAnsi"/>
        </w:rPr>
        <w:t xml:space="preserve"> </w:t>
      </w:r>
      <w:r w:rsidRPr="00F16251">
        <w:rPr>
          <w:rFonts w:cstheme="minorHAnsi"/>
        </w:rPr>
        <w:t>Rzgów</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Grodziec.</w:t>
      </w:r>
      <w:r w:rsidR="003B50ED" w:rsidRPr="00F16251">
        <w:rPr>
          <w:rFonts w:cstheme="minorHAnsi"/>
        </w:rPr>
        <w:t xml:space="preserve"> </w:t>
      </w:r>
      <w:r w:rsidRPr="00F16251">
        <w:rPr>
          <w:rFonts w:cstheme="minorHAnsi"/>
        </w:rPr>
        <w:t>Propozycja</w:t>
      </w:r>
      <w:r w:rsidR="003B50ED" w:rsidRPr="00F16251">
        <w:rPr>
          <w:rFonts w:cstheme="minorHAnsi"/>
        </w:rPr>
        <w:t xml:space="preserve"> </w:t>
      </w:r>
      <w:r w:rsidRPr="00F16251">
        <w:rPr>
          <w:rFonts w:cstheme="minorHAnsi"/>
        </w:rPr>
        <w:t>została</w:t>
      </w:r>
      <w:r w:rsidR="003B50ED" w:rsidRPr="00F16251">
        <w:rPr>
          <w:rFonts w:cstheme="minorHAnsi"/>
        </w:rPr>
        <w:t xml:space="preserve"> </w:t>
      </w:r>
      <w:r w:rsidRPr="00F16251">
        <w:rPr>
          <w:rFonts w:cstheme="minorHAnsi"/>
        </w:rPr>
        <w:t>zaakceptowana,</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związku</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czym</w:t>
      </w:r>
      <w:r w:rsidR="003B50ED" w:rsidRPr="00F16251">
        <w:rPr>
          <w:rFonts w:cstheme="minorHAnsi"/>
        </w:rPr>
        <w:t xml:space="preserve"> </w:t>
      </w:r>
      <w:r w:rsidRPr="00F16251">
        <w:rPr>
          <w:rFonts w:cstheme="minorHAnsi"/>
        </w:rPr>
        <w:t>dalsze</w:t>
      </w:r>
      <w:r w:rsidR="003B50ED" w:rsidRPr="00F16251">
        <w:rPr>
          <w:rFonts w:cstheme="minorHAnsi"/>
        </w:rPr>
        <w:t xml:space="preserve"> </w:t>
      </w:r>
      <w:r w:rsidRPr="00F16251">
        <w:rPr>
          <w:rFonts w:cstheme="minorHAnsi"/>
        </w:rPr>
        <w:t>działania</w:t>
      </w:r>
      <w:r w:rsidR="003B50ED" w:rsidRPr="00F16251">
        <w:rPr>
          <w:rFonts w:cstheme="minorHAnsi"/>
        </w:rPr>
        <w:t xml:space="preserve"> </w:t>
      </w:r>
      <w:r w:rsidRPr="00F16251">
        <w:rPr>
          <w:rFonts w:cstheme="minorHAnsi"/>
        </w:rPr>
        <w:t>zmierzające</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utworzenia</w:t>
      </w:r>
      <w:r w:rsidR="003B50ED" w:rsidRPr="00F16251">
        <w:rPr>
          <w:rFonts w:cstheme="minorHAnsi"/>
        </w:rPr>
        <w:t xml:space="preserve"> </w:t>
      </w:r>
      <w:r w:rsidRPr="00F16251">
        <w:rPr>
          <w:rFonts w:cstheme="minorHAnsi"/>
        </w:rPr>
        <w:t>lokalnej</w:t>
      </w:r>
      <w:r w:rsidR="003B50ED" w:rsidRPr="00F16251">
        <w:rPr>
          <w:rFonts w:cstheme="minorHAnsi"/>
        </w:rPr>
        <w:t xml:space="preserve"> </w:t>
      </w:r>
      <w:r w:rsidRPr="00F16251">
        <w:rPr>
          <w:rFonts w:cstheme="minorHAnsi"/>
        </w:rPr>
        <w:t>grupy</w:t>
      </w:r>
      <w:r w:rsidR="003B50ED" w:rsidRPr="00F16251">
        <w:rPr>
          <w:rFonts w:cstheme="minorHAnsi"/>
        </w:rPr>
        <w:t xml:space="preserve"> </w:t>
      </w:r>
      <w:r w:rsidRPr="00F16251">
        <w:rPr>
          <w:rFonts w:cstheme="minorHAnsi"/>
        </w:rPr>
        <w:t>działania</w:t>
      </w:r>
      <w:r w:rsidR="003B50ED" w:rsidRPr="00F16251">
        <w:rPr>
          <w:rFonts w:cstheme="minorHAnsi"/>
        </w:rPr>
        <w:t xml:space="preserve"> </w:t>
      </w:r>
      <w:r w:rsidRPr="00F16251">
        <w:rPr>
          <w:rFonts w:cstheme="minorHAnsi"/>
        </w:rPr>
        <w:t>były</w:t>
      </w:r>
      <w:r w:rsidR="003B50ED" w:rsidRPr="00F16251">
        <w:rPr>
          <w:rFonts w:cstheme="minorHAnsi"/>
        </w:rPr>
        <w:t xml:space="preserve"> </w:t>
      </w:r>
      <w:r w:rsidRPr="00F16251">
        <w:rPr>
          <w:rFonts w:cstheme="minorHAnsi"/>
        </w:rPr>
        <w:t>prowadzone</w:t>
      </w:r>
      <w:r w:rsidR="003B50ED" w:rsidRPr="00F16251">
        <w:rPr>
          <w:rFonts w:cstheme="minorHAnsi"/>
        </w:rPr>
        <w:t xml:space="preserve"> </w:t>
      </w:r>
      <w:r w:rsidRPr="00F16251">
        <w:rPr>
          <w:rFonts w:cstheme="minorHAnsi"/>
        </w:rPr>
        <w:t>równolegle</w:t>
      </w:r>
      <w:r w:rsidR="003B50ED" w:rsidRPr="00F16251">
        <w:rPr>
          <w:rFonts w:cstheme="minorHAnsi"/>
        </w:rPr>
        <w:t xml:space="preserve"> </w:t>
      </w:r>
      <w:r w:rsidRPr="00F16251">
        <w:rPr>
          <w:rFonts w:cstheme="minorHAnsi"/>
        </w:rPr>
        <w:t>we</w:t>
      </w:r>
      <w:r w:rsidR="003B50ED" w:rsidRPr="00F16251">
        <w:rPr>
          <w:rFonts w:cstheme="minorHAnsi"/>
        </w:rPr>
        <w:t xml:space="preserve"> </w:t>
      </w:r>
      <w:r w:rsidRPr="00F16251">
        <w:rPr>
          <w:rFonts w:cstheme="minorHAnsi"/>
        </w:rPr>
        <w:t>wszystkich</w:t>
      </w:r>
      <w:r w:rsidR="003B50ED" w:rsidRPr="00F16251">
        <w:rPr>
          <w:rFonts w:cstheme="minorHAnsi"/>
        </w:rPr>
        <w:t xml:space="preserve"> </w:t>
      </w:r>
      <w:r w:rsidRPr="00F16251">
        <w:rPr>
          <w:rFonts w:cstheme="minorHAnsi"/>
        </w:rPr>
        <w:t>sześciu</w:t>
      </w:r>
      <w:r w:rsidR="003B50ED" w:rsidRPr="00F16251">
        <w:rPr>
          <w:rFonts w:cstheme="minorHAnsi"/>
        </w:rPr>
        <w:t xml:space="preserve"> </w:t>
      </w:r>
      <w:r w:rsidRPr="00F16251">
        <w:rPr>
          <w:rFonts w:cstheme="minorHAnsi"/>
        </w:rPr>
        <w:t>wymienionych</w:t>
      </w:r>
      <w:r w:rsidR="003B50ED" w:rsidRPr="00F16251">
        <w:rPr>
          <w:rFonts w:cstheme="minorHAnsi"/>
        </w:rPr>
        <w:t xml:space="preserve"> </w:t>
      </w:r>
      <w:r w:rsidRPr="00F16251">
        <w:rPr>
          <w:rFonts w:cstheme="minorHAnsi"/>
        </w:rPr>
        <w:t>gminach.</w:t>
      </w:r>
      <w:r w:rsidR="003B50ED" w:rsidRPr="00F16251">
        <w:rPr>
          <w:rFonts w:cstheme="minorHAnsi"/>
        </w:rPr>
        <w:t xml:space="preserve"> </w:t>
      </w:r>
      <w:r w:rsidRPr="00F16251">
        <w:rPr>
          <w:rFonts w:cstheme="minorHAnsi"/>
        </w:rPr>
        <w:t>Ich</w:t>
      </w:r>
      <w:r w:rsidR="003B50ED" w:rsidRPr="00F16251">
        <w:rPr>
          <w:rFonts w:cstheme="minorHAnsi"/>
        </w:rPr>
        <w:t xml:space="preserve"> </w:t>
      </w:r>
      <w:r w:rsidRPr="00F16251">
        <w:rPr>
          <w:rFonts w:cstheme="minorHAnsi"/>
        </w:rPr>
        <w:t>zwieńczeniem</w:t>
      </w:r>
      <w:r w:rsidR="003B50ED" w:rsidRPr="00F16251">
        <w:rPr>
          <w:rFonts w:cstheme="minorHAnsi"/>
        </w:rPr>
        <w:t xml:space="preserve"> </w:t>
      </w:r>
      <w:r w:rsidRPr="00F16251">
        <w:rPr>
          <w:rFonts w:cstheme="minorHAnsi"/>
        </w:rPr>
        <w:t>było</w:t>
      </w:r>
      <w:r w:rsidR="003B50ED" w:rsidRPr="00F16251">
        <w:rPr>
          <w:rFonts w:cstheme="minorHAnsi"/>
        </w:rPr>
        <w:t xml:space="preserve"> </w:t>
      </w:r>
      <w:r w:rsidRPr="00F16251">
        <w:rPr>
          <w:rFonts w:cstheme="minorHAnsi"/>
        </w:rPr>
        <w:t>spotkanie</w:t>
      </w:r>
      <w:r w:rsidR="003B50ED" w:rsidRPr="00F16251">
        <w:rPr>
          <w:rFonts w:cstheme="minorHAnsi"/>
        </w:rPr>
        <w:t xml:space="preserve"> </w:t>
      </w:r>
      <w:r w:rsidRPr="00F16251">
        <w:rPr>
          <w:rFonts w:cstheme="minorHAnsi"/>
        </w:rPr>
        <w:t>założycielskie</w:t>
      </w:r>
      <w:r w:rsidR="003B50ED" w:rsidRPr="00F16251">
        <w:rPr>
          <w:rFonts w:cstheme="minorHAnsi"/>
        </w:rPr>
        <w:t xml:space="preserve"> </w:t>
      </w:r>
      <w:r w:rsidR="007F1E76" w:rsidRPr="00F16251">
        <w:rPr>
          <w:rFonts w:cstheme="minorHAnsi"/>
        </w:rPr>
        <w:t>Stowarzyszenie</w:t>
      </w:r>
      <w:r w:rsidR="003B50ED" w:rsidRPr="00F16251">
        <w:rPr>
          <w:rFonts w:cstheme="minorHAnsi"/>
        </w:rPr>
        <w:t xml:space="preserve"> </w:t>
      </w:r>
      <w:r w:rsidRPr="00F16251">
        <w:rPr>
          <w:rFonts w:cstheme="minorHAnsi"/>
        </w:rPr>
        <w:t>„Solidarni</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Partnerstwie”,</w:t>
      </w:r>
      <w:r w:rsidR="003B50ED" w:rsidRPr="00F16251">
        <w:rPr>
          <w:rFonts w:cstheme="minorHAnsi"/>
        </w:rPr>
        <w:t xml:space="preserve"> </w:t>
      </w:r>
      <w:r w:rsidRPr="00F16251">
        <w:rPr>
          <w:rFonts w:cstheme="minorHAnsi"/>
        </w:rPr>
        <w:t>przeprowadzone</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dniu</w:t>
      </w:r>
      <w:r w:rsidR="003B50ED" w:rsidRPr="00F16251">
        <w:rPr>
          <w:rFonts w:cstheme="minorHAnsi"/>
        </w:rPr>
        <w:t xml:space="preserve"> </w:t>
      </w:r>
      <w:r w:rsidRPr="00F16251">
        <w:rPr>
          <w:rFonts w:cstheme="minorHAnsi"/>
        </w:rPr>
        <w:t>7</w:t>
      </w:r>
      <w:r w:rsidR="003B50ED" w:rsidRPr="00F16251">
        <w:rPr>
          <w:rFonts w:cstheme="minorHAnsi"/>
        </w:rPr>
        <w:t xml:space="preserve"> </w:t>
      </w:r>
      <w:r w:rsidRPr="00F16251">
        <w:rPr>
          <w:rFonts w:cstheme="minorHAnsi"/>
        </w:rPr>
        <w:t>marca</w:t>
      </w:r>
      <w:r w:rsidR="003B50ED" w:rsidRPr="00F16251">
        <w:rPr>
          <w:rFonts w:cstheme="minorHAnsi"/>
        </w:rPr>
        <w:t xml:space="preserve"> </w:t>
      </w:r>
      <w:r w:rsidRPr="00F16251">
        <w:rPr>
          <w:rFonts w:cstheme="minorHAnsi"/>
        </w:rPr>
        <w:t>2006</w:t>
      </w:r>
      <w:r w:rsidR="003B50ED" w:rsidRPr="00F16251">
        <w:rPr>
          <w:rFonts w:cstheme="minorHAnsi"/>
        </w:rPr>
        <w:t xml:space="preserve"> </w:t>
      </w:r>
      <w:r w:rsidRPr="00F16251">
        <w:rPr>
          <w:rFonts w:cstheme="minorHAnsi"/>
        </w:rPr>
        <w:t>r.</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którym</w:t>
      </w:r>
      <w:r w:rsidR="003B50ED" w:rsidRPr="00F16251">
        <w:rPr>
          <w:rFonts w:cstheme="minorHAnsi"/>
        </w:rPr>
        <w:t xml:space="preserve"> </w:t>
      </w:r>
      <w:r w:rsidRPr="00F16251">
        <w:rPr>
          <w:rFonts w:cstheme="minorHAnsi"/>
        </w:rPr>
        <w:t>uczestniczyło</w:t>
      </w:r>
      <w:r w:rsidR="003B50ED" w:rsidRPr="00F16251">
        <w:rPr>
          <w:rFonts w:cstheme="minorHAnsi"/>
        </w:rPr>
        <w:t xml:space="preserve"> </w:t>
      </w:r>
      <w:r w:rsidRPr="00F16251">
        <w:rPr>
          <w:rFonts w:cstheme="minorHAnsi"/>
        </w:rPr>
        <w:t>89</w:t>
      </w:r>
      <w:r w:rsidR="003B50ED" w:rsidRPr="00F16251">
        <w:rPr>
          <w:rFonts w:cstheme="minorHAnsi"/>
        </w:rPr>
        <w:t xml:space="preserve"> </w:t>
      </w:r>
      <w:r w:rsidRPr="00F16251">
        <w:rPr>
          <w:rFonts w:cstheme="minorHAnsi"/>
        </w:rPr>
        <w:t>członków</w:t>
      </w:r>
      <w:r w:rsidR="003B50ED" w:rsidRPr="00F16251">
        <w:rPr>
          <w:rFonts w:cstheme="minorHAnsi"/>
        </w:rPr>
        <w:t xml:space="preserve"> </w:t>
      </w:r>
      <w:r w:rsidRPr="00F16251">
        <w:rPr>
          <w:rFonts w:cstheme="minorHAnsi"/>
        </w:rPr>
        <w:t>założycieli</w:t>
      </w:r>
      <w:r w:rsidR="003B50ED" w:rsidRPr="00F16251">
        <w:rPr>
          <w:rFonts w:cstheme="minorHAnsi"/>
        </w:rPr>
        <w:t xml:space="preserve"> </w:t>
      </w:r>
      <w:r w:rsidRPr="00F16251">
        <w:rPr>
          <w:rFonts w:cstheme="minorHAnsi"/>
        </w:rPr>
        <w:t>reprezentujących</w:t>
      </w:r>
      <w:r w:rsidR="003B50ED" w:rsidRPr="00F16251">
        <w:rPr>
          <w:rFonts w:cstheme="minorHAnsi"/>
        </w:rPr>
        <w:t xml:space="preserve"> </w:t>
      </w:r>
      <w:r w:rsidRPr="00F16251">
        <w:rPr>
          <w:rFonts w:cstheme="minorHAnsi"/>
        </w:rPr>
        <w:t>trzy</w:t>
      </w:r>
      <w:r w:rsidR="003B50ED" w:rsidRPr="00F16251">
        <w:rPr>
          <w:rFonts w:cstheme="minorHAnsi"/>
        </w:rPr>
        <w:t xml:space="preserve"> </w:t>
      </w:r>
      <w:r w:rsidRPr="00F16251">
        <w:rPr>
          <w:rFonts w:cstheme="minorHAnsi"/>
        </w:rPr>
        <w:t>sektory</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terenu</w:t>
      </w:r>
      <w:r w:rsidR="003B50ED" w:rsidRPr="00F16251">
        <w:rPr>
          <w:rFonts w:cstheme="minorHAnsi"/>
        </w:rPr>
        <w:t xml:space="preserve"> </w:t>
      </w:r>
      <w:r w:rsidRPr="00F16251">
        <w:rPr>
          <w:rFonts w:cstheme="minorHAnsi"/>
        </w:rPr>
        <w:t>sześciu</w:t>
      </w:r>
      <w:r w:rsidR="003B50ED" w:rsidRPr="00F16251">
        <w:rPr>
          <w:rFonts w:cstheme="minorHAnsi"/>
        </w:rPr>
        <w:t xml:space="preserve"> </w:t>
      </w:r>
      <w:r w:rsidRPr="00F16251">
        <w:rPr>
          <w:rFonts w:cstheme="minorHAnsi"/>
        </w:rPr>
        <w:lastRenderedPageBreak/>
        <w:t>gmin.</w:t>
      </w:r>
      <w:r w:rsidR="003B50ED" w:rsidRPr="00F16251">
        <w:rPr>
          <w:rFonts w:cstheme="minorHAnsi"/>
        </w:rPr>
        <w:t xml:space="preserve"> </w:t>
      </w:r>
      <w:r w:rsidRPr="00F16251">
        <w:rPr>
          <w:rFonts w:cstheme="minorHAnsi"/>
        </w:rPr>
        <w:t>Dokumenty</w:t>
      </w:r>
      <w:r w:rsidR="003B50ED" w:rsidRPr="00F16251">
        <w:rPr>
          <w:rFonts w:cstheme="minorHAnsi"/>
        </w:rPr>
        <w:t xml:space="preserve"> </w:t>
      </w:r>
      <w:r w:rsidRPr="00F16251">
        <w:rPr>
          <w:rFonts w:cstheme="minorHAnsi"/>
        </w:rPr>
        <w:t>złożone</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Krajowego</w:t>
      </w:r>
      <w:r w:rsidR="003B50ED" w:rsidRPr="00F16251">
        <w:rPr>
          <w:rFonts w:cstheme="minorHAnsi"/>
        </w:rPr>
        <w:t xml:space="preserve"> </w:t>
      </w:r>
      <w:r w:rsidRPr="00F16251">
        <w:rPr>
          <w:rFonts w:cstheme="minorHAnsi"/>
        </w:rPr>
        <w:t>Rejestru</w:t>
      </w:r>
      <w:r w:rsidR="003B50ED" w:rsidRPr="00F16251">
        <w:rPr>
          <w:rFonts w:cstheme="minorHAnsi"/>
        </w:rPr>
        <w:t xml:space="preserve"> </w:t>
      </w:r>
      <w:r w:rsidRPr="00F16251">
        <w:rPr>
          <w:rFonts w:cstheme="minorHAnsi"/>
        </w:rPr>
        <w:t>Sądowego</w:t>
      </w:r>
      <w:r w:rsidR="003B50ED" w:rsidRPr="00F16251">
        <w:rPr>
          <w:rFonts w:cstheme="minorHAnsi"/>
        </w:rPr>
        <w:t xml:space="preserve"> </w:t>
      </w:r>
      <w:r w:rsidRPr="00F16251">
        <w:rPr>
          <w:rFonts w:cstheme="minorHAnsi"/>
        </w:rPr>
        <w:t>zostały</w:t>
      </w:r>
      <w:r w:rsidR="003B50ED" w:rsidRPr="00F16251">
        <w:rPr>
          <w:rFonts w:cstheme="minorHAnsi"/>
        </w:rPr>
        <w:t xml:space="preserve"> </w:t>
      </w:r>
      <w:r w:rsidRPr="00F16251">
        <w:rPr>
          <w:rFonts w:cstheme="minorHAnsi"/>
        </w:rPr>
        <w:t>zaakceptowane</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Sąd</w:t>
      </w:r>
      <w:r w:rsidR="003B50ED" w:rsidRPr="00F16251">
        <w:rPr>
          <w:rFonts w:cstheme="minorHAnsi"/>
        </w:rPr>
        <w:t xml:space="preserve"> </w:t>
      </w:r>
      <w:r w:rsidRPr="00F16251">
        <w:rPr>
          <w:rFonts w:cstheme="minorHAnsi"/>
        </w:rPr>
        <w:t>dokonał</w:t>
      </w:r>
      <w:r w:rsidR="003B50ED" w:rsidRPr="00F16251">
        <w:rPr>
          <w:rFonts w:cstheme="minorHAnsi"/>
        </w:rPr>
        <w:t xml:space="preserve"> </w:t>
      </w:r>
      <w:r w:rsidRPr="00F16251">
        <w:rPr>
          <w:rFonts w:cstheme="minorHAnsi"/>
        </w:rPr>
        <w:t>rejestracji</w:t>
      </w:r>
      <w:r w:rsidR="003B50ED" w:rsidRPr="00F16251">
        <w:rPr>
          <w:rFonts w:cstheme="minorHAnsi"/>
        </w:rPr>
        <w:t xml:space="preserve"> </w:t>
      </w:r>
      <w:r w:rsidRPr="00F16251">
        <w:rPr>
          <w:rFonts w:cstheme="minorHAnsi"/>
        </w:rPr>
        <w:t>Stowarzyszenia</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dniu</w:t>
      </w:r>
      <w:r w:rsidR="003B50ED" w:rsidRPr="00F16251">
        <w:rPr>
          <w:rFonts w:cstheme="minorHAnsi"/>
        </w:rPr>
        <w:t xml:space="preserve"> </w:t>
      </w:r>
      <w:r w:rsidRPr="00F16251">
        <w:rPr>
          <w:rFonts w:cstheme="minorHAnsi"/>
        </w:rPr>
        <w:t>9</w:t>
      </w:r>
      <w:r w:rsidR="003B50ED" w:rsidRPr="00F16251">
        <w:rPr>
          <w:rFonts w:cstheme="minorHAnsi"/>
        </w:rPr>
        <w:t xml:space="preserve"> </w:t>
      </w:r>
      <w:r w:rsidRPr="00F16251">
        <w:rPr>
          <w:rFonts w:cstheme="minorHAnsi"/>
        </w:rPr>
        <w:t>czerwca</w:t>
      </w:r>
      <w:r w:rsidR="003B50ED" w:rsidRPr="00F16251">
        <w:rPr>
          <w:rFonts w:cstheme="minorHAnsi"/>
        </w:rPr>
        <w:t xml:space="preserve"> </w:t>
      </w:r>
      <w:r w:rsidRPr="00F16251">
        <w:rPr>
          <w:rFonts w:cstheme="minorHAnsi"/>
        </w:rPr>
        <w:t>2006</w:t>
      </w:r>
      <w:r w:rsidR="003B50ED" w:rsidRPr="00F16251">
        <w:rPr>
          <w:rFonts w:cstheme="minorHAnsi"/>
        </w:rPr>
        <w:t xml:space="preserve"> </w:t>
      </w:r>
      <w:r w:rsidR="00210334" w:rsidRPr="00F16251">
        <w:rPr>
          <w:rFonts w:cstheme="minorHAnsi"/>
        </w:rPr>
        <w:t>r</w:t>
      </w:r>
      <w:r w:rsidR="003B50ED" w:rsidRPr="00F16251">
        <w:rPr>
          <w:rFonts w:cstheme="minorHAnsi"/>
        </w:rPr>
        <w:t>.</w:t>
      </w:r>
    </w:p>
    <w:p w14:paraId="7DA6E3F5" w14:textId="6E499FE8" w:rsidR="004A127B" w:rsidRPr="00F16251" w:rsidRDefault="004A127B" w:rsidP="00A26C26">
      <w:pPr>
        <w:spacing w:line="276" w:lineRule="auto"/>
        <w:ind w:firstLine="284"/>
        <w:jc w:val="both"/>
        <w:rPr>
          <w:rFonts w:cstheme="minorHAnsi"/>
        </w:rPr>
      </w:pPr>
      <w:r w:rsidRPr="00F16251">
        <w:rPr>
          <w:rFonts w:cstheme="minorHAnsi"/>
        </w:rPr>
        <w:t>Rejestracja</w:t>
      </w:r>
      <w:r w:rsidR="003B50ED" w:rsidRPr="00F16251">
        <w:rPr>
          <w:rFonts w:cstheme="minorHAnsi"/>
        </w:rPr>
        <w:t xml:space="preserve"> </w:t>
      </w:r>
      <w:r w:rsidRPr="00F16251">
        <w:rPr>
          <w:rFonts w:cstheme="minorHAnsi"/>
        </w:rPr>
        <w:t>sądowa</w:t>
      </w:r>
      <w:r w:rsidR="003B50ED" w:rsidRPr="00F16251">
        <w:rPr>
          <w:rFonts w:cstheme="minorHAnsi"/>
        </w:rPr>
        <w:t xml:space="preserve"> </w:t>
      </w:r>
      <w:r w:rsidRPr="00F16251">
        <w:rPr>
          <w:rFonts w:cstheme="minorHAnsi"/>
        </w:rPr>
        <w:t>umożliwiła</w:t>
      </w:r>
      <w:r w:rsidR="003B50ED" w:rsidRPr="00F16251">
        <w:rPr>
          <w:rFonts w:cstheme="minorHAnsi"/>
        </w:rPr>
        <w:t xml:space="preserve"> </w:t>
      </w:r>
      <w:r w:rsidRPr="00F16251">
        <w:rPr>
          <w:rFonts w:cstheme="minorHAnsi"/>
        </w:rPr>
        <w:t>Stowarzyszeniu</w:t>
      </w:r>
      <w:r w:rsidR="003B50ED" w:rsidRPr="00F16251">
        <w:rPr>
          <w:rFonts w:cstheme="minorHAnsi"/>
        </w:rPr>
        <w:t xml:space="preserve"> </w:t>
      </w:r>
      <w:r w:rsidRPr="00F16251">
        <w:rPr>
          <w:rFonts w:cstheme="minorHAnsi"/>
        </w:rPr>
        <w:t>„Solidarni</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Partnerstwie”</w:t>
      </w:r>
      <w:r w:rsidR="003B50ED" w:rsidRPr="00F16251">
        <w:rPr>
          <w:rFonts w:cstheme="minorHAnsi"/>
        </w:rPr>
        <w:t xml:space="preserve"> </w:t>
      </w:r>
      <w:r w:rsidRPr="00F16251">
        <w:rPr>
          <w:rFonts w:cstheme="minorHAnsi"/>
        </w:rPr>
        <w:t>ubieganie</w:t>
      </w:r>
      <w:r w:rsidR="003B50ED" w:rsidRPr="00F16251">
        <w:rPr>
          <w:rFonts w:cstheme="minorHAnsi"/>
        </w:rPr>
        <w:t xml:space="preserve"> </w:t>
      </w:r>
      <w:r w:rsidRPr="00F16251">
        <w:rPr>
          <w:rFonts w:cstheme="minorHAnsi"/>
        </w:rPr>
        <w:t>się</w:t>
      </w:r>
      <w:r w:rsidR="003B50ED" w:rsidRPr="00F16251">
        <w:rPr>
          <w:rFonts w:cstheme="minorHAnsi"/>
        </w:rPr>
        <w:t xml:space="preserve"> </w:t>
      </w:r>
      <w:r w:rsidRPr="00F16251">
        <w:rPr>
          <w:rFonts w:cstheme="minorHAnsi"/>
        </w:rPr>
        <w:t>o</w:t>
      </w:r>
      <w:r w:rsidR="003B50ED" w:rsidRPr="00F16251">
        <w:rPr>
          <w:rFonts w:cstheme="minorHAnsi"/>
        </w:rPr>
        <w:t xml:space="preserve"> </w:t>
      </w:r>
      <w:r w:rsidRPr="00F16251">
        <w:rPr>
          <w:rFonts w:cstheme="minorHAnsi"/>
        </w:rPr>
        <w:t>pomoc</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realizację</w:t>
      </w:r>
      <w:r w:rsidR="003B50ED" w:rsidRPr="00F16251">
        <w:rPr>
          <w:rFonts w:cstheme="minorHAnsi"/>
        </w:rPr>
        <w:t xml:space="preserve"> </w:t>
      </w:r>
      <w:r w:rsidRPr="00F16251">
        <w:rPr>
          <w:rFonts w:cstheme="minorHAnsi"/>
        </w:rPr>
        <w:t>projektu</w:t>
      </w:r>
      <w:r w:rsidR="003B50ED" w:rsidRPr="00F16251">
        <w:rPr>
          <w:rFonts w:cstheme="minorHAnsi"/>
        </w:rPr>
        <w:t xml:space="preserve"> </w:t>
      </w:r>
      <w:r w:rsidRPr="00F16251">
        <w:rPr>
          <w:rFonts w:cstheme="minorHAnsi"/>
        </w:rPr>
        <w:t>„Twój</w:t>
      </w:r>
      <w:r w:rsidR="003B50ED" w:rsidRPr="00F16251">
        <w:rPr>
          <w:rFonts w:cstheme="minorHAnsi"/>
        </w:rPr>
        <w:t xml:space="preserve"> </w:t>
      </w:r>
      <w:r w:rsidRPr="00F16251">
        <w:rPr>
          <w:rFonts w:cstheme="minorHAnsi"/>
        </w:rPr>
        <w:t>pomysł</w:t>
      </w:r>
      <w:r w:rsidR="003B50ED" w:rsidRPr="00F16251">
        <w:rPr>
          <w:rFonts w:cstheme="minorHAnsi"/>
        </w:rPr>
        <w:t xml:space="preserve"> </w:t>
      </w:r>
      <w:r w:rsidRPr="00F16251">
        <w:rPr>
          <w:rFonts w:cstheme="minorHAnsi"/>
        </w:rPr>
        <w:t>–</w:t>
      </w:r>
      <w:r w:rsidR="003B50ED" w:rsidRPr="00F16251">
        <w:rPr>
          <w:rFonts w:cstheme="minorHAnsi"/>
        </w:rPr>
        <w:t xml:space="preserve"> </w:t>
      </w:r>
      <w:r w:rsidRPr="00F16251">
        <w:rPr>
          <w:rFonts w:cstheme="minorHAnsi"/>
        </w:rPr>
        <w:t>Twój</w:t>
      </w:r>
      <w:r w:rsidR="003B50ED" w:rsidRPr="00F16251">
        <w:rPr>
          <w:rFonts w:cstheme="minorHAnsi"/>
        </w:rPr>
        <w:t xml:space="preserve"> </w:t>
      </w:r>
      <w:r w:rsidRPr="00F16251">
        <w:rPr>
          <w:rFonts w:cstheme="minorHAnsi"/>
        </w:rPr>
        <w:t>sukces”</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ramach</w:t>
      </w:r>
      <w:r w:rsidR="003B50ED" w:rsidRPr="00F16251">
        <w:rPr>
          <w:rFonts w:cstheme="minorHAnsi"/>
        </w:rPr>
        <w:t xml:space="preserve"> </w:t>
      </w:r>
      <w:r w:rsidRPr="00F16251">
        <w:rPr>
          <w:rFonts w:cstheme="minorHAnsi"/>
        </w:rPr>
        <w:t>II</w:t>
      </w:r>
      <w:r w:rsidR="003B50ED" w:rsidRPr="00F16251">
        <w:rPr>
          <w:rFonts w:cstheme="minorHAnsi"/>
        </w:rPr>
        <w:t xml:space="preserve"> </w:t>
      </w:r>
      <w:r w:rsidRPr="00F16251">
        <w:rPr>
          <w:rFonts w:cstheme="minorHAnsi"/>
        </w:rPr>
        <w:t>schematu</w:t>
      </w:r>
      <w:r w:rsidR="003B50ED" w:rsidRPr="00F16251">
        <w:rPr>
          <w:rFonts w:cstheme="minorHAnsi"/>
        </w:rPr>
        <w:t xml:space="preserve"> </w:t>
      </w:r>
      <w:r w:rsidRPr="00F16251">
        <w:rPr>
          <w:rFonts w:cstheme="minorHAnsi"/>
        </w:rPr>
        <w:t>Pilotażowego</w:t>
      </w:r>
      <w:r w:rsidR="003B50ED" w:rsidRPr="00F16251">
        <w:rPr>
          <w:rFonts w:cstheme="minorHAnsi"/>
        </w:rPr>
        <w:t xml:space="preserve"> </w:t>
      </w:r>
      <w:r w:rsidRPr="00F16251">
        <w:rPr>
          <w:rFonts w:cstheme="minorHAnsi"/>
        </w:rPr>
        <w:t>Programu</w:t>
      </w:r>
      <w:r w:rsidR="003B50ED" w:rsidRPr="00F16251">
        <w:rPr>
          <w:rFonts w:cstheme="minorHAnsi"/>
        </w:rPr>
        <w:t xml:space="preserve"> </w:t>
      </w:r>
      <w:r w:rsidRPr="00F16251">
        <w:rPr>
          <w:rFonts w:cstheme="minorHAnsi"/>
        </w:rPr>
        <w:t>Leader+.</w:t>
      </w:r>
      <w:r w:rsidR="003B50ED" w:rsidRPr="00F16251">
        <w:rPr>
          <w:rFonts w:cstheme="minorHAnsi"/>
        </w:rPr>
        <w:t xml:space="preserve"> </w:t>
      </w:r>
      <w:r w:rsidRPr="00F16251">
        <w:rPr>
          <w:rFonts w:cstheme="minorHAnsi"/>
        </w:rPr>
        <w:t>Przyznanie</w:t>
      </w:r>
      <w:r w:rsidR="003B50ED" w:rsidRPr="00F16251">
        <w:rPr>
          <w:rFonts w:cstheme="minorHAnsi"/>
        </w:rPr>
        <w:t xml:space="preserve"> </w:t>
      </w:r>
      <w:r w:rsidRPr="00F16251">
        <w:rPr>
          <w:rFonts w:cstheme="minorHAnsi"/>
        </w:rPr>
        <w:t>pomocy</w:t>
      </w:r>
      <w:r w:rsidR="003B50ED" w:rsidRPr="00F16251">
        <w:rPr>
          <w:rFonts w:cstheme="minorHAnsi"/>
        </w:rPr>
        <w:t xml:space="preserve"> </w:t>
      </w:r>
      <w:r w:rsidR="00C410C9" w:rsidRPr="00F16251">
        <w:rPr>
          <w:rFonts w:cstheme="minorHAnsi"/>
        </w:rPr>
        <w:br/>
      </w:r>
      <w:r w:rsidRPr="00F16251">
        <w:rPr>
          <w:rFonts w:cstheme="minorHAnsi"/>
        </w:rPr>
        <w:t>i</w:t>
      </w:r>
      <w:r w:rsidR="003B50ED" w:rsidRPr="00F16251">
        <w:rPr>
          <w:rFonts w:cstheme="minorHAnsi"/>
        </w:rPr>
        <w:t xml:space="preserve"> </w:t>
      </w:r>
      <w:r w:rsidRPr="00F16251">
        <w:rPr>
          <w:rFonts w:cstheme="minorHAnsi"/>
        </w:rPr>
        <w:t>realizacja</w:t>
      </w:r>
      <w:r w:rsidR="003B50ED" w:rsidRPr="00F16251">
        <w:rPr>
          <w:rFonts w:cstheme="minorHAnsi"/>
        </w:rPr>
        <w:t xml:space="preserve"> </w:t>
      </w:r>
      <w:r w:rsidRPr="00F16251">
        <w:rPr>
          <w:rFonts w:cstheme="minorHAnsi"/>
        </w:rPr>
        <w:t>projektu</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okresie</w:t>
      </w:r>
      <w:r w:rsidR="003B50ED" w:rsidRPr="00F16251">
        <w:rPr>
          <w:rFonts w:cstheme="minorHAnsi"/>
        </w:rPr>
        <w:t xml:space="preserve"> </w:t>
      </w:r>
      <w:r w:rsidRPr="00F16251">
        <w:rPr>
          <w:rFonts w:cstheme="minorHAnsi"/>
        </w:rPr>
        <w:t>od</w:t>
      </w:r>
      <w:r w:rsidR="003B50ED" w:rsidRPr="00F16251">
        <w:rPr>
          <w:rFonts w:cstheme="minorHAnsi"/>
        </w:rPr>
        <w:t xml:space="preserve"> </w:t>
      </w:r>
      <w:r w:rsidRPr="00F16251">
        <w:rPr>
          <w:rFonts w:cstheme="minorHAnsi"/>
        </w:rPr>
        <w:t>listopada</w:t>
      </w:r>
      <w:r w:rsidR="003B50ED" w:rsidRPr="00F16251">
        <w:rPr>
          <w:rFonts w:cstheme="minorHAnsi"/>
        </w:rPr>
        <w:t xml:space="preserve"> </w:t>
      </w:r>
      <w:r w:rsidRPr="00F16251">
        <w:rPr>
          <w:rFonts w:cstheme="minorHAnsi"/>
        </w:rPr>
        <w:t>2006</w:t>
      </w:r>
      <w:r w:rsidR="003B50ED" w:rsidRPr="00F16251">
        <w:rPr>
          <w:rFonts w:cstheme="minorHAnsi"/>
        </w:rPr>
        <w:t xml:space="preserve"> </w:t>
      </w:r>
      <w:r w:rsidR="00210334" w:rsidRPr="00F16251">
        <w:rPr>
          <w:rFonts w:cstheme="minorHAnsi"/>
        </w:rPr>
        <w:t>r.</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maja</w:t>
      </w:r>
      <w:r w:rsidR="003B50ED" w:rsidRPr="00F16251">
        <w:rPr>
          <w:rFonts w:cstheme="minorHAnsi"/>
        </w:rPr>
        <w:t xml:space="preserve"> </w:t>
      </w:r>
      <w:r w:rsidRPr="00F16251">
        <w:rPr>
          <w:rFonts w:cstheme="minorHAnsi"/>
        </w:rPr>
        <w:t>2008</w:t>
      </w:r>
      <w:r w:rsidR="003B50ED" w:rsidRPr="00F16251">
        <w:rPr>
          <w:rFonts w:cstheme="minorHAnsi"/>
        </w:rPr>
        <w:t xml:space="preserve"> </w:t>
      </w:r>
      <w:r w:rsidR="00210334" w:rsidRPr="00F16251">
        <w:rPr>
          <w:rFonts w:cstheme="minorHAnsi"/>
        </w:rPr>
        <w:t>r.</w:t>
      </w:r>
      <w:r w:rsidR="003B50ED" w:rsidRPr="00F16251">
        <w:rPr>
          <w:rFonts w:cstheme="minorHAnsi"/>
        </w:rPr>
        <w:t xml:space="preserve"> </w:t>
      </w:r>
      <w:r w:rsidRPr="00F16251">
        <w:rPr>
          <w:rFonts w:cstheme="minorHAnsi"/>
        </w:rPr>
        <w:t>umożliwiły</w:t>
      </w:r>
      <w:r w:rsidR="003B50ED" w:rsidRPr="00F16251">
        <w:rPr>
          <w:rFonts w:cstheme="minorHAnsi"/>
        </w:rPr>
        <w:t xml:space="preserve"> </w:t>
      </w:r>
      <w:r w:rsidRPr="00F16251">
        <w:rPr>
          <w:rFonts w:cstheme="minorHAnsi"/>
        </w:rPr>
        <w:t>kontynuowanie</w:t>
      </w:r>
      <w:r w:rsidR="003B50ED" w:rsidRPr="00F16251">
        <w:rPr>
          <w:rFonts w:cstheme="minorHAnsi"/>
        </w:rPr>
        <w:t xml:space="preserve"> </w:t>
      </w:r>
      <w:r w:rsidRPr="00F16251">
        <w:rPr>
          <w:rFonts w:cstheme="minorHAnsi"/>
        </w:rPr>
        <w:t>działań</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rzecz</w:t>
      </w:r>
      <w:r w:rsidR="003B50ED" w:rsidRPr="00F16251">
        <w:rPr>
          <w:rFonts w:cstheme="minorHAnsi"/>
        </w:rPr>
        <w:t xml:space="preserve"> </w:t>
      </w:r>
      <w:r w:rsidRPr="00F16251">
        <w:rPr>
          <w:rFonts w:cstheme="minorHAnsi"/>
        </w:rPr>
        <w:t>budowania</w:t>
      </w:r>
      <w:r w:rsidR="003B50ED" w:rsidRPr="00F16251">
        <w:rPr>
          <w:rFonts w:cstheme="minorHAnsi"/>
        </w:rPr>
        <w:t xml:space="preserve"> </w:t>
      </w:r>
      <w:r w:rsidRPr="00F16251">
        <w:rPr>
          <w:rFonts w:cstheme="minorHAnsi"/>
        </w:rPr>
        <w:t>partnerstwa.</w:t>
      </w:r>
      <w:r w:rsidR="003B50ED" w:rsidRPr="00F16251">
        <w:rPr>
          <w:rFonts w:cstheme="minorHAnsi"/>
        </w:rPr>
        <w:t xml:space="preserve"> </w:t>
      </w:r>
      <w:r w:rsidRPr="00F16251">
        <w:rPr>
          <w:rFonts w:cstheme="minorHAnsi"/>
        </w:rPr>
        <w:t>Dzięki</w:t>
      </w:r>
      <w:r w:rsidR="003B50ED" w:rsidRPr="00F16251">
        <w:rPr>
          <w:rFonts w:cstheme="minorHAnsi"/>
        </w:rPr>
        <w:t xml:space="preserve"> </w:t>
      </w:r>
      <w:r w:rsidRPr="00F16251">
        <w:rPr>
          <w:rFonts w:cstheme="minorHAnsi"/>
        </w:rPr>
        <w:t>realizacji</w:t>
      </w:r>
      <w:r w:rsidR="003B50ED" w:rsidRPr="00F16251">
        <w:rPr>
          <w:rFonts w:cstheme="minorHAnsi"/>
        </w:rPr>
        <w:t xml:space="preserve"> </w:t>
      </w:r>
      <w:r w:rsidRPr="00F16251">
        <w:rPr>
          <w:rFonts w:cstheme="minorHAnsi"/>
        </w:rPr>
        <w:t>zadań</w:t>
      </w:r>
      <w:r w:rsidR="003B50ED" w:rsidRPr="00F16251">
        <w:rPr>
          <w:rFonts w:cstheme="minorHAnsi"/>
        </w:rPr>
        <w:t xml:space="preserve"> </w:t>
      </w:r>
      <w:r w:rsidRPr="00F16251">
        <w:rPr>
          <w:rFonts w:cstheme="minorHAnsi"/>
        </w:rPr>
        <w:t>zawartych</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Zintegrowanej</w:t>
      </w:r>
      <w:r w:rsidR="003B50ED" w:rsidRPr="00F16251">
        <w:rPr>
          <w:rFonts w:cstheme="minorHAnsi"/>
        </w:rPr>
        <w:t xml:space="preserve"> </w:t>
      </w:r>
      <w:r w:rsidRPr="00F16251">
        <w:rPr>
          <w:rFonts w:cstheme="minorHAnsi"/>
        </w:rPr>
        <w:t>Strategii</w:t>
      </w:r>
      <w:r w:rsidR="003B50ED" w:rsidRPr="00F16251">
        <w:rPr>
          <w:rFonts w:cstheme="minorHAnsi"/>
        </w:rPr>
        <w:t xml:space="preserve"> </w:t>
      </w:r>
      <w:r w:rsidRPr="00F16251">
        <w:rPr>
          <w:rFonts w:cstheme="minorHAnsi"/>
        </w:rPr>
        <w:t>Rozwoju</w:t>
      </w:r>
      <w:r w:rsidR="003B50ED" w:rsidRPr="00F16251">
        <w:rPr>
          <w:rFonts w:cstheme="minorHAnsi"/>
        </w:rPr>
        <w:t xml:space="preserve"> </w:t>
      </w:r>
      <w:r w:rsidRPr="00F16251">
        <w:rPr>
          <w:rFonts w:cstheme="minorHAnsi"/>
        </w:rPr>
        <w:t>Obszarów</w:t>
      </w:r>
      <w:r w:rsidR="003B50ED" w:rsidRPr="00F16251">
        <w:rPr>
          <w:rFonts w:cstheme="minorHAnsi"/>
        </w:rPr>
        <w:t xml:space="preserve"> </w:t>
      </w:r>
      <w:r w:rsidRPr="00F16251">
        <w:rPr>
          <w:rFonts w:cstheme="minorHAnsi"/>
        </w:rPr>
        <w:t>Wiejskich</w:t>
      </w:r>
      <w:r w:rsidR="00946B6F" w:rsidRPr="00F16251">
        <w:rPr>
          <w:rFonts w:cstheme="minorHAnsi"/>
        </w:rPr>
        <w:t>,</w:t>
      </w:r>
      <w:r w:rsidR="003B50ED" w:rsidRPr="00F16251">
        <w:rPr>
          <w:rFonts w:cstheme="minorHAnsi"/>
        </w:rPr>
        <w:t xml:space="preserve"> </w:t>
      </w:r>
      <w:r w:rsidRPr="00F16251">
        <w:rPr>
          <w:rFonts w:cstheme="minorHAnsi"/>
        </w:rPr>
        <w:t>Stowarzyszenie</w:t>
      </w:r>
      <w:r w:rsidR="003B50ED" w:rsidRPr="00F16251">
        <w:rPr>
          <w:rFonts w:cstheme="minorHAnsi"/>
        </w:rPr>
        <w:t xml:space="preserve"> </w:t>
      </w:r>
      <w:r w:rsidRPr="00F16251">
        <w:rPr>
          <w:rFonts w:cstheme="minorHAnsi"/>
        </w:rPr>
        <w:t>„Solidarni</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Partnerstwie”</w:t>
      </w:r>
      <w:r w:rsidR="003B50ED" w:rsidRPr="00F16251">
        <w:rPr>
          <w:rFonts w:cstheme="minorHAnsi"/>
        </w:rPr>
        <w:t xml:space="preserve"> </w:t>
      </w:r>
      <w:r w:rsidRPr="00F16251">
        <w:rPr>
          <w:rFonts w:cstheme="minorHAnsi"/>
        </w:rPr>
        <w:t>stał</w:t>
      </w:r>
      <w:r w:rsidR="00946B6F" w:rsidRPr="00F16251">
        <w:rPr>
          <w:rFonts w:cstheme="minorHAnsi"/>
        </w:rPr>
        <w:t>o</w:t>
      </w:r>
      <w:r w:rsidR="003B50ED" w:rsidRPr="00F16251">
        <w:rPr>
          <w:rFonts w:cstheme="minorHAnsi"/>
        </w:rPr>
        <w:t xml:space="preserve"> </w:t>
      </w:r>
      <w:r w:rsidRPr="00F16251">
        <w:rPr>
          <w:rFonts w:cstheme="minorHAnsi"/>
        </w:rPr>
        <w:t>się</w:t>
      </w:r>
      <w:r w:rsidR="003B50ED" w:rsidRPr="00F16251">
        <w:rPr>
          <w:rFonts w:cstheme="minorHAnsi"/>
        </w:rPr>
        <w:t xml:space="preserve"> </w:t>
      </w:r>
      <w:r w:rsidRPr="00F16251">
        <w:rPr>
          <w:rFonts w:cstheme="minorHAnsi"/>
        </w:rPr>
        <w:t>instytucją</w:t>
      </w:r>
      <w:r w:rsidR="003B50ED" w:rsidRPr="00F16251">
        <w:rPr>
          <w:rFonts w:cstheme="minorHAnsi"/>
        </w:rPr>
        <w:t xml:space="preserve"> </w:t>
      </w:r>
      <w:r w:rsidRPr="00F16251">
        <w:rPr>
          <w:rFonts w:cstheme="minorHAnsi"/>
        </w:rPr>
        <w:t>posiadającą</w:t>
      </w:r>
      <w:r w:rsidR="003B50ED" w:rsidRPr="00F16251">
        <w:rPr>
          <w:rFonts w:cstheme="minorHAnsi"/>
        </w:rPr>
        <w:t xml:space="preserve"> </w:t>
      </w:r>
      <w:r w:rsidRPr="00F16251">
        <w:rPr>
          <w:rFonts w:cstheme="minorHAnsi"/>
        </w:rPr>
        <w:t>duży</w:t>
      </w:r>
      <w:r w:rsidR="003B50ED" w:rsidRPr="00F16251">
        <w:rPr>
          <w:rFonts w:cstheme="minorHAnsi"/>
        </w:rPr>
        <w:t xml:space="preserve"> </w:t>
      </w:r>
      <w:r w:rsidRPr="00F16251">
        <w:rPr>
          <w:rFonts w:cstheme="minorHAnsi"/>
        </w:rPr>
        <w:t>autorytet</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społeczności</w:t>
      </w:r>
      <w:r w:rsidR="003B50ED" w:rsidRPr="00F16251">
        <w:rPr>
          <w:rFonts w:cstheme="minorHAnsi"/>
        </w:rPr>
        <w:t xml:space="preserve"> </w:t>
      </w:r>
      <w:r w:rsidRPr="00F16251">
        <w:rPr>
          <w:rFonts w:cstheme="minorHAnsi"/>
        </w:rPr>
        <w:t>lokalnej</w:t>
      </w:r>
      <w:r w:rsidR="003B50ED" w:rsidRPr="00F16251">
        <w:rPr>
          <w:rFonts w:cstheme="minorHAnsi"/>
        </w:rPr>
        <w:t xml:space="preserve"> </w:t>
      </w:r>
      <w:r w:rsidR="00946B6F" w:rsidRPr="00F16251">
        <w:rPr>
          <w:rFonts w:cstheme="minorHAnsi"/>
        </w:rPr>
        <w:br/>
      </w:r>
      <w:r w:rsidRPr="00F16251">
        <w:rPr>
          <w:rFonts w:cstheme="minorHAnsi"/>
        </w:rPr>
        <w:t>i</w:t>
      </w:r>
      <w:r w:rsidR="003B50ED" w:rsidRPr="00F16251">
        <w:rPr>
          <w:rFonts w:cstheme="minorHAnsi"/>
        </w:rPr>
        <w:t xml:space="preserve"> </w:t>
      </w:r>
      <w:r w:rsidRPr="00F16251">
        <w:rPr>
          <w:rFonts w:cstheme="minorHAnsi"/>
        </w:rPr>
        <w:t>przyciągającą</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współpracy</w:t>
      </w:r>
      <w:r w:rsidR="003B50ED" w:rsidRPr="00F16251">
        <w:rPr>
          <w:rFonts w:cstheme="minorHAnsi"/>
        </w:rPr>
        <w:t xml:space="preserve"> </w:t>
      </w:r>
      <w:r w:rsidRPr="00F16251">
        <w:rPr>
          <w:rFonts w:cstheme="minorHAnsi"/>
        </w:rPr>
        <w:t>najaktywniejszych</w:t>
      </w:r>
      <w:r w:rsidR="003B50ED" w:rsidRPr="00F16251">
        <w:rPr>
          <w:rFonts w:cstheme="minorHAnsi"/>
        </w:rPr>
        <w:t xml:space="preserve"> </w:t>
      </w:r>
      <w:r w:rsidRPr="00F16251">
        <w:rPr>
          <w:rFonts w:cstheme="minorHAnsi"/>
        </w:rPr>
        <w:t>mieszkańców</w:t>
      </w:r>
      <w:r w:rsidR="003B50ED" w:rsidRPr="00F16251">
        <w:rPr>
          <w:rFonts w:cstheme="minorHAnsi"/>
        </w:rPr>
        <w:t xml:space="preserve"> </w:t>
      </w:r>
      <w:r w:rsidRPr="00F16251">
        <w:rPr>
          <w:rFonts w:cstheme="minorHAnsi"/>
        </w:rPr>
        <w:t>obszaru.</w:t>
      </w:r>
    </w:p>
    <w:p w14:paraId="167D898F" w14:textId="10C4DB2F" w:rsidR="004A127B" w:rsidRPr="00F16251" w:rsidRDefault="004A127B" w:rsidP="00A26C26">
      <w:pPr>
        <w:spacing w:line="276" w:lineRule="auto"/>
        <w:ind w:firstLine="284"/>
        <w:jc w:val="both"/>
        <w:rPr>
          <w:rFonts w:cstheme="minorHAnsi"/>
        </w:rPr>
      </w:pPr>
      <w:r w:rsidRPr="00F16251">
        <w:rPr>
          <w:rFonts w:cstheme="minorHAnsi"/>
        </w:rPr>
        <w:t>Pozytywne</w:t>
      </w:r>
      <w:r w:rsidR="003B50ED" w:rsidRPr="00F16251">
        <w:rPr>
          <w:rFonts w:cstheme="minorHAnsi"/>
        </w:rPr>
        <w:t xml:space="preserve"> </w:t>
      </w:r>
      <w:r w:rsidRPr="00F16251">
        <w:rPr>
          <w:rFonts w:cstheme="minorHAnsi"/>
        </w:rPr>
        <w:t>doświadczenia</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udziału</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Pilotażowym</w:t>
      </w:r>
      <w:r w:rsidR="003B50ED" w:rsidRPr="00F16251">
        <w:rPr>
          <w:rFonts w:cstheme="minorHAnsi"/>
        </w:rPr>
        <w:t xml:space="preserve"> </w:t>
      </w:r>
      <w:r w:rsidRPr="00F16251">
        <w:rPr>
          <w:rFonts w:cstheme="minorHAnsi"/>
        </w:rPr>
        <w:t>Programie</w:t>
      </w:r>
      <w:r w:rsidR="003B50ED" w:rsidRPr="00F16251">
        <w:rPr>
          <w:rFonts w:cstheme="minorHAnsi"/>
        </w:rPr>
        <w:t xml:space="preserve"> </w:t>
      </w:r>
      <w:r w:rsidRPr="00F16251">
        <w:rPr>
          <w:rFonts w:cstheme="minorHAnsi"/>
        </w:rPr>
        <w:t>Leader+</w:t>
      </w:r>
      <w:r w:rsidR="003B50ED" w:rsidRPr="00F16251">
        <w:rPr>
          <w:rFonts w:cstheme="minorHAnsi"/>
        </w:rPr>
        <w:t xml:space="preserve"> </w:t>
      </w:r>
      <w:r w:rsidRPr="00F16251">
        <w:rPr>
          <w:rFonts w:cstheme="minorHAnsi"/>
        </w:rPr>
        <w:t>zachęciły</w:t>
      </w:r>
      <w:r w:rsidR="003B50ED" w:rsidRPr="00F16251">
        <w:rPr>
          <w:rFonts w:cstheme="minorHAnsi"/>
        </w:rPr>
        <w:t xml:space="preserve"> </w:t>
      </w:r>
      <w:r w:rsidRPr="00F16251">
        <w:rPr>
          <w:rFonts w:cstheme="minorHAnsi"/>
        </w:rPr>
        <w:t>władze</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członków</w:t>
      </w:r>
      <w:r w:rsidR="003B50ED" w:rsidRPr="00F16251">
        <w:rPr>
          <w:rFonts w:cstheme="minorHAnsi"/>
        </w:rPr>
        <w:t xml:space="preserve"> </w:t>
      </w:r>
      <w:r w:rsidRPr="00F16251">
        <w:rPr>
          <w:rFonts w:cstheme="minorHAnsi"/>
        </w:rPr>
        <w:t>Stowarzyszenia</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kontynuowania</w:t>
      </w:r>
      <w:r w:rsidR="003B50ED" w:rsidRPr="00F16251">
        <w:rPr>
          <w:rFonts w:cstheme="minorHAnsi"/>
        </w:rPr>
        <w:t xml:space="preserve"> </w:t>
      </w:r>
      <w:r w:rsidRPr="00F16251">
        <w:rPr>
          <w:rFonts w:cstheme="minorHAnsi"/>
        </w:rPr>
        <w:t>działalności</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ramach</w:t>
      </w:r>
      <w:r w:rsidR="003B50ED" w:rsidRPr="00F16251">
        <w:rPr>
          <w:rFonts w:cstheme="minorHAnsi"/>
        </w:rPr>
        <w:t xml:space="preserve"> </w:t>
      </w:r>
      <w:r w:rsidRPr="00F16251">
        <w:rPr>
          <w:rFonts w:cstheme="minorHAnsi"/>
        </w:rPr>
        <w:t>Osi</w:t>
      </w:r>
      <w:r w:rsidR="003B50ED" w:rsidRPr="00F16251">
        <w:rPr>
          <w:rFonts w:cstheme="minorHAnsi"/>
        </w:rPr>
        <w:t xml:space="preserve"> </w:t>
      </w:r>
      <w:r w:rsidRPr="00F16251">
        <w:rPr>
          <w:rFonts w:cstheme="minorHAnsi"/>
        </w:rPr>
        <w:t>4</w:t>
      </w:r>
      <w:r w:rsidR="003B50ED" w:rsidRPr="00F16251">
        <w:rPr>
          <w:rFonts w:cstheme="minorHAnsi"/>
        </w:rPr>
        <w:t xml:space="preserve"> </w:t>
      </w:r>
      <w:r w:rsidRPr="00F16251">
        <w:rPr>
          <w:rFonts w:cstheme="minorHAnsi"/>
        </w:rPr>
        <w:t>Leader</w:t>
      </w:r>
      <w:r w:rsidR="003B50ED" w:rsidRPr="00F16251">
        <w:rPr>
          <w:rFonts w:cstheme="minorHAnsi"/>
        </w:rPr>
        <w:t xml:space="preserve"> </w:t>
      </w:r>
      <w:r w:rsidRPr="00F16251">
        <w:rPr>
          <w:rFonts w:cstheme="minorHAnsi"/>
        </w:rPr>
        <w:t>Programu</w:t>
      </w:r>
      <w:r w:rsidR="003B50ED" w:rsidRPr="00F16251">
        <w:rPr>
          <w:rFonts w:cstheme="minorHAnsi"/>
        </w:rPr>
        <w:t xml:space="preserve"> </w:t>
      </w:r>
      <w:r w:rsidRPr="00F16251">
        <w:rPr>
          <w:rFonts w:cstheme="minorHAnsi"/>
        </w:rPr>
        <w:t>Rozwoju</w:t>
      </w:r>
      <w:r w:rsidR="003B50ED" w:rsidRPr="00F16251">
        <w:rPr>
          <w:rFonts w:cstheme="minorHAnsi"/>
        </w:rPr>
        <w:t xml:space="preserve"> </w:t>
      </w:r>
      <w:r w:rsidRPr="00F16251">
        <w:rPr>
          <w:rFonts w:cstheme="minorHAnsi"/>
        </w:rPr>
        <w:t>Obszarów</w:t>
      </w:r>
      <w:r w:rsidR="003B50ED" w:rsidRPr="00F16251">
        <w:rPr>
          <w:rFonts w:cstheme="minorHAnsi"/>
        </w:rPr>
        <w:t xml:space="preserve"> </w:t>
      </w:r>
      <w:r w:rsidRPr="00F16251">
        <w:rPr>
          <w:rFonts w:cstheme="minorHAnsi"/>
        </w:rPr>
        <w:t>Wiejskich.</w:t>
      </w:r>
      <w:r w:rsidR="003B50ED" w:rsidRPr="00F16251">
        <w:rPr>
          <w:rFonts w:cstheme="minorHAnsi"/>
        </w:rPr>
        <w:t xml:space="preserve"> </w:t>
      </w:r>
      <w:r w:rsidRPr="00F16251">
        <w:rPr>
          <w:rFonts w:cstheme="minorHAnsi"/>
        </w:rPr>
        <w:t>Wiązało</w:t>
      </w:r>
      <w:r w:rsidR="003B50ED" w:rsidRPr="00F16251">
        <w:rPr>
          <w:rFonts w:cstheme="minorHAnsi"/>
        </w:rPr>
        <w:t xml:space="preserve"> </w:t>
      </w:r>
      <w:r w:rsidRPr="00F16251">
        <w:rPr>
          <w:rFonts w:cstheme="minorHAnsi"/>
        </w:rPr>
        <w:t>się</w:t>
      </w:r>
      <w:r w:rsidR="003B50ED" w:rsidRPr="00F16251">
        <w:rPr>
          <w:rFonts w:cstheme="minorHAnsi"/>
        </w:rPr>
        <w:t xml:space="preserve"> </w:t>
      </w:r>
      <w:r w:rsidRPr="00F16251">
        <w:rPr>
          <w:rFonts w:cstheme="minorHAnsi"/>
        </w:rPr>
        <w:t>to</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koniecznością</w:t>
      </w:r>
      <w:r w:rsidR="003B50ED" w:rsidRPr="00F16251">
        <w:rPr>
          <w:rFonts w:cstheme="minorHAnsi"/>
        </w:rPr>
        <w:t xml:space="preserve"> </w:t>
      </w:r>
      <w:r w:rsidRPr="00F16251">
        <w:rPr>
          <w:rFonts w:cstheme="minorHAnsi"/>
        </w:rPr>
        <w:t>wprowadzenia</w:t>
      </w:r>
      <w:r w:rsidR="003B50ED" w:rsidRPr="00F16251">
        <w:rPr>
          <w:rFonts w:cstheme="minorHAnsi"/>
        </w:rPr>
        <w:t xml:space="preserve"> </w:t>
      </w:r>
      <w:r w:rsidRPr="00F16251">
        <w:rPr>
          <w:rFonts w:cstheme="minorHAnsi"/>
        </w:rPr>
        <w:t>zmian</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statucie</w:t>
      </w:r>
      <w:r w:rsidR="003B50ED" w:rsidRPr="00F16251">
        <w:rPr>
          <w:rFonts w:cstheme="minorHAnsi"/>
        </w:rPr>
        <w:t xml:space="preserve"> </w:t>
      </w:r>
      <w:r w:rsidRPr="00F16251">
        <w:rPr>
          <w:rFonts w:cstheme="minorHAnsi"/>
        </w:rPr>
        <w:t>odpowiadających</w:t>
      </w:r>
      <w:r w:rsidR="003B50ED" w:rsidRPr="00F16251">
        <w:rPr>
          <w:rFonts w:cstheme="minorHAnsi"/>
        </w:rPr>
        <w:t xml:space="preserve"> </w:t>
      </w:r>
      <w:r w:rsidRPr="00F16251">
        <w:rPr>
          <w:rFonts w:cstheme="minorHAnsi"/>
        </w:rPr>
        <w:t>wymogom</w:t>
      </w:r>
      <w:r w:rsidR="003B50ED" w:rsidRPr="00F16251">
        <w:rPr>
          <w:rFonts w:cstheme="minorHAnsi"/>
        </w:rPr>
        <w:t xml:space="preserve"> </w:t>
      </w:r>
      <w:r w:rsidRPr="00F16251">
        <w:rPr>
          <w:rFonts w:cstheme="minorHAnsi"/>
        </w:rPr>
        <w:t>ustawy</w:t>
      </w:r>
      <w:r w:rsidR="003B50ED" w:rsidRPr="00F16251">
        <w:rPr>
          <w:rFonts w:cstheme="minorHAnsi"/>
        </w:rPr>
        <w:t xml:space="preserve"> </w:t>
      </w:r>
      <w:r w:rsidRPr="00F16251">
        <w:rPr>
          <w:rFonts w:cstheme="minorHAnsi"/>
        </w:rPr>
        <w:t>o</w:t>
      </w:r>
      <w:r w:rsidR="003B50ED" w:rsidRPr="00F16251">
        <w:rPr>
          <w:rFonts w:cstheme="minorHAnsi"/>
        </w:rPr>
        <w:t xml:space="preserve"> </w:t>
      </w:r>
      <w:r w:rsidRPr="00F16251">
        <w:rPr>
          <w:rFonts w:cstheme="minorHAnsi"/>
        </w:rPr>
        <w:t>wspieraniu</w:t>
      </w:r>
      <w:r w:rsidR="003B50ED" w:rsidRPr="00F16251">
        <w:rPr>
          <w:rFonts w:cstheme="minorHAnsi"/>
        </w:rPr>
        <w:t xml:space="preserve"> </w:t>
      </w:r>
      <w:r w:rsidRPr="00F16251">
        <w:rPr>
          <w:rFonts w:cstheme="minorHAnsi"/>
        </w:rPr>
        <w:t>rozwoju</w:t>
      </w:r>
      <w:r w:rsidR="003B50ED" w:rsidRPr="00F16251">
        <w:rPr>
          <w:rFonts w:cstheme="minorHAnsi"/>
        </w:rPr>
        <w:t xml:space="preserve"> </w:t>
      </w:r>
      <w:r w:rsidRPr="00F16251">
        <w:rPr>
          <w:rFonts w:cstheme="minorHAnsi"/>
        </w:rPr>
        <w:t>obszarów</w:t>
      </w:r>
      <w:r w:rsidR="003B50ED" w:rsidRPr="00F16251">
        <w:rPr>
          <w:rFonts w:cstheme="minorHAnsi"/>
        </w:rPr>
        <w:t xml:space="preserve"> </w:t>
      </w:r>
      <w:r w:rsidRPr="00F16251">
        <w:rPr>
          <w:rFonts w:cstheme="minorHAnsi"/>
        </w:rPr>
        <w:t>wiejskich</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udziałem</w:t>
      </w:r>
      <w:r w:rsidR="003B50ED" w:rsidRPr="00F16251">
        <w:rPr>
          <w:rFonts w:cstheme="minorHAnsi"/>
        </w:rPr>
        <w:t xml:space="preserve"> </w:t>
      </w:r>
      <w:r w:rsidRPr="00F16251">
        <w:rPr>
          <w:rFonts w:cstheme="minorHAnsi"/>
        </w:rPr>
        <w:t>środków</w:t>
      </w:r>
      <w:r w:rsidR="003B50ED" w:rsidRPr="00F16251">
        <w:rPr>
          <w:rFonts w:cstheme="minorHAnsi"/>
        </w:rPr>
        <w:t xml:space="preserve"> </w:t>
      </w:r>
      <w:r w:rsidRPr="00F16251">
        <w:rPr>
          <w:rFonts w:cstheme="minorHAnsi"/>
        </w:rPr>
        <w:t>Europejskiego</w:t>
      </w:r>
      <w:r w:rsidR="003B50ED" w:rsidRPr="00F16251">
        <w:rPr>
          <w:rFonts w:cstheme="minorHAnsi"/>
        </w:rPr>
        <w:t xml:space="preserve"> </w:t>
      </w:r>
      <w:r w:rsidRPr="00F16251">
        <w:rPr>
          <w:rFonts w:cstheme="minorHAnsi"/>
        </w:rPr>
        <w:t>Funduszu</w:t>
      </w:r>
      <w:r w:rsidR="003B50ED" w:rsidRPr="00F16251">
        <w:rPr>
          <w:rFonts w:cstheme="minorHAnsi"/>
        </w:rPr>
        <w:t xml:space="preserve"> </w:t>
      </w:r>
      <w:r w:rsidRPr="00F16251">
        <w:rPr>
          <w:rFonts w:cstheme="minorHAnsi"/>
        </w:rPr>
        <w:t>Rolnego</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rzecz</w:t>
      </w:r>
      <w:r w:rsidR="003B50ED" w:rsidRPr="00F16251">
        <w:rPr>
          <w:rFonts w:cstheme="minorHAnsi"/>
        </w:rPr>
        <w:t xml:space="preserve"> </w:t>
      </w:r>
      <w:r w:rsidRPr="00F16251">
        <w:rPr>
          <w:rFonts w:cstheme="minorHAnsi"/>
        </w:rPr>
        <w:t>Rozwoju</w:t>
      </w:r>
      <w:r w:rsidR="003B50ED" w:rsidRPr="00F16251">
        <w:rPr>
          <w:rFonts w:cstheme="minorHAnsi"/>
        </w:rPr>
        <w:t xml:space="preserve"> </w:t>
      </w:r>
      <w:r w:rsidRPr="00F16251">
        <w:rPr>
          <w:rFonts w:cstheme="minorHAnsi"/>
        </w:rPr>
        <w:t>Obszarów</w:t>
      </w:r>
      <w:r w:rsidR="003B50ED" w:rsidRPr="00F16251">
        <w:rPr>
          <w:rFonts w:cstheme="minorHAnsi"/>
        </w:rPr>
        <w:t xml:space="preserve"> </w:t>
      </w:r>
      <w:r w:rsidRPr="00F16251">
        <w:rPr>
          <w:rFonts w:cstheme="minorHAnsi"/>
        </w:rPr>
        <w:t>Wiejskich</w:t>
      </w:r>
      <w:r w:rsidR="003B50ED" w:rsidRPr="00F16251">
        <w:rPr>
          <w:rFonts w:cstheme="minorHAnsi"/>
        </w:rPr>
        <w:t xml:space="preserve"> </w:t>
      </w:r>
      <w:r w:rsidRPr="00F16251">
        <w:rPr>
          <w:rFonts w:cstheme="minorHAnsi"/>
        </w:rPr>
        <w:t>oraz</w:t>
      </w:r>
      <w:r w:rsidR="003B50ED" w:rsidRPr="00F16251">
        <w:rPr>
          <w:rFonts w:cstheme="minorHAnsi"/>
        </w:rPr>
        <w:t xml:space="preserve"> </w:t>
      </w:r>
      <w:r w:rsidRPr="00F16251">
        <w:rPr>
          <w:rFonts w:cstheme="minorHAnsi"/>
        </w:rPr>
        <w:t>rozporządzeń</w:t>
      </w:r>
      <w:r w:rsidR="003B50ED" w:rsidRPr="00F16251">
        <w:rPr>
          <w:rFonts w:cstheme="minorHAnsi"/>
        </w:rPr>
        <w:t xml:space="preserve"> </w:t>
      </w:r>
      <w:r w:rsidRPr="00F16251">
        <w:rPr>
          <w:rFonts w:cstheme="minorHAnsi"/>
        </w:rPr>
        <w:t>określających</w:t>
      </w:r>
      <w:r w:rsidR="003B50ED" w:rsidRPr="00F16251">
        <w:rPr>
          <w:rFonts w:cstheme="minorHAnsi"/>
        </w:rPr>
        <w:t xml:space="preserve"> </w:t>
      </w:r>
      <w:r w:rsidRPr="00F16251">
        <w:rPr>
          <w:rFonts w:cstheme="minorHAnsi"/>
        </w:rPr>
        <w:t>szczegółowe</w:t>
      </w:r>
      <w:r w:rsidR="003B50ED" w:rsidRPr="00F16251">
        <w:rPr>
          <w:rFonts w:cstheme="minorHAnsi"/>
        </w:rPr>
        <w:t xml:space="preserve"> </w:t>
      </w:r>
      <w:r w:rsidRPr="00F16251">
        <w:rPr>
          <w:rFonts w:cstheme="minorHAnsi"/>
        </w:rPr>
        <w:t>zasady</w:t>
      </w:r>
      <w:r w:rsidR="003B50ED" w:rsidRPr="00F16251">
        <w:rPr>
          <w:rFonts w:cstheme="minorHAnsi"/>
        </w:rPr>
        <w:t xml:space="preserve"> </w:t>
      </w:r>
      <w:r w:rsidRPr="00F16251">
        <w:rPr>
          <w:rFonts w:cstheme="minorHAnsi"/>
        </w:rPr>
        <w:t>wdrażania</w:t>
      </w:r>
      <w:r w:rsidR="003B50ED" w:rsidRPr="00F16251">
        <w:rPr>
          <w:rFonts w:cstheme="minorHAnsi"/>
        </w:rPr>
        <w:t xml:space="preserve"> </w:t>
      </w:r>
      <w:r w:rsidRPr="00F16251">
        <w:rPr>
          <w:rFonts w:cstheme="minorHAnsi"/>
        </w:rPr>
        <w:t>osi</w:t>
      </w:r>
      <w:r w:rsidR="003B50ED" w:rsidRPr="00F16251">
        <w:rPr>
          <w:rFonts w:cstheme="minorHAnsi"/>
        </w:rPr>
        <w:t xml:space="preserve"> </w:t>
      </w:r>
      <w:r w:rsidRPr="00F16251">
        <w:rPr>
          <w:rFonts w:cstheme="minorHAnsi"/>
        </w:rPr>
        <w:t>4</w:t>
      </w:r>
      <w:r w:rsidR="003B50ED" w:rsidRPr="00F16251">
        <w:rPr>
          <w:rFonts w:cstheme="minorHAnsi"/>
        </w:rPr>
        <w:t xml:space="preserve"> </w:t>
      </w:r>
      <w:r w:rsidRPr="00F16251">
        <w:rPr>
          <w:rFonts w:cstheme="minorHAnsi"/>
        </w:rPr>
        <w:t>Leader.</w:t>
      </w:r>
      <w:r w:rsidR="003B50ED" w:rsidRPr="00F16251">
        <w:rPr>
          <w:rFonts w:cstheme="minorHAnsi"/>
        </w:rPr>
        <w:t xml:space="preserve"> </w:t>
      </w:r>
      <w:r w:rsidRPr="00F16251">
        <w:rPr>
          <w:rFonts w:cstheme="minorHAnsi"/>
        </w:rPr>
        <w:t>Działania</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tej</w:t>
      </w:r>
      <w:r w:rsidR="003B50ED" w:rsidRPr="00F16251">
        <w:rPr>
          <w:rFonts w:cstheme="minorHAnsi"/>
        </w:rPr>
        <w:t xml:space="preserve"> </w:t>
      </w:r>
      <w:r w:rsidRPr="00F16251">
        <w:rPr>
          <w:rFonts w:cstheme="minorHAnsi"/>
        </w:rPr>
        <w:t>sprawie</w:t>
      </w:r>
      <w:r w:rsidR="003B50ED" w:rsidRPr="00F16251">
        <w:rPr>
          <w:rFonts w:cstheme="minorHAnsi"/>
        </w:rPr>
        <w:t xml:space="preserve"> </w:t>
      </w:r>
      <w:r w:rsidRPr="00F16251">
        <w:rPr>
          <w:rFonts w:cstheme="minorHAnsi"/>
        </w:rPr>
        <w:t>władze</w:t>
      </w:r>
      <w:r w:rsidR="003B50ED" w:rsidRPr="00F16251">
        <w:rPr>
          <w:rFonts w:cstheme="minorHAnsi"/>
        </w:rPr>
        <w:t xml:space="preserve"> </w:t>
      </w:r>
      <w:r w:rsidRPr="00F16251">
        <w:rPr>
          <w:rFonts w:cstheme="minorHAnsi"/>
        </w:rPr>
        <w:t>Stowarzyszenia</w:t>
      </w:r>
      <w:r w:rsidR="003B50ED" w:rsidRPr="00F16251">
        <w:rPr>
          <w:rFonts w:cstheme="minorHAnsi"/>
        </w:rPr>
        <w:t xml:space="preserve"> </w:t>
      </w:r>
      <w:r w:rsidRPr="00F16251">
        <w:rPr>
          <w:rFonts w:cstheme="minorHAnsi"/>
        </w:rPr>
        <w:t>podjęły</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początku</w:t>
      </w:r>
      <w:r w:rsidR="003B50ED" w:rsidRPr="00F16251">
        <w:rPr>
          <w:rFonts w:cstheme="minorHAnsi"/>
        </w:rPr>
        <w:t xml:space="preserve"> </w:t>
      </w:r>
      <w:r w:rsidRPr="00F16251">
        <w:rPr>
          <w:rFonts w:cstheme="minorHAnsi"/>
        </w:rPr>
        <w:t>2008</w:t>
      </w:r>
      <w:r w:rsidR="003B50ED" w:rsidRPr="00F16251">
        <w:rPr>
          <w:rFonts w:cstheme="minorHAnsi"/>
        </w:rPr>
        <w:t xml:space="preserve"> </w:t>
      </w:r>
      <w:r w:rsidR="00210334" w:rsidRPr="00F16251">
        <w:rPr>
          <w:rFonts w:cstheme="minorHAnsi"/>
        </w:rPr>
        <w:t>r</w:t>
      </w:r>
      <w:r w:rsidR="003B50ED" w:rsidRPr="00F16251">
        <w:rPr>
          <w:rFonts w:cstheme="minorHAnsi"/>
        </w:rPr>
        <w:t xml:space="preserve">. </w:t>
      </w:r>
      <w:r w:rsidRPr="00F16251">
        <w:rPr>
          <w:rFonts w:cstheme="minorHAnsi"/>
        </w:rPr>
        <w:t>Po</w:t>
      </w:r>
      <w:r w:rsidR="003B50ED" w:rsidRPr="00F16251">
        <w:rPr>
          <w:rFonts w:cstheme="minorHAnsi"/>
        </w:rPr>
        <w:t xml:space="preserve"> </w:t>
      </w:r>
      <w:r w:rsidRPr="00F16251">
        <w:rPr>
          <w:rFonts w:cstheme="minorHAnsi"/>
        </w:rPr>
        <w:t>serii</w:t>
      </w:r>
      <w:r w:rsidR="003B50ED" w:rsidRPr="00F16251">
        <w:rPr>
          <w:rFonts w:cstheme="minorHAnsi"/>
        </w:rPr>
        <w:t xml:space="preserve"> </w:t>
      </w:r>
      <w:r w:rsidRPr="00F16251">
        <w:rPr>
          <w:rFonts w:cstheme="minorHAnsi"/>
        </w:rPr>
        <w:t>spotkań</w:t>
      </w:r>
      <w:r w:rsidR="003B50ED" w:rsidRPr="00F16251">
        <w:rPr>
          <w:rFonts w:cstheme="minorHAnsi"/>
        </w:rPr>
        <w:t xml:space="preserve"> </w:t>
      </w:r>
      <w:r w:rsidRPr="00F16251">
        <w:rPr>
          <w:rFonts w:cstheme="minorHAnsi"/>
        </w:rPr>
        <w:t>roboczych</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konsultacjach</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prawnikami,</w:t>
      </w:r>
      <w:r w:rsidR="003B50ED" w:rsidRPr="00F16251">
        <w:rPr>
          <w:rFonts w:cstheme="minorHAnsi"/>
        </w:rPr>
        <w:t xml:space="preserve"> </w:t>
      </w:r>
      <w:r w:rsidR="00C410C9" w:rsidRPr="00F16251">
        <w:rPr>
          <w:rFonts w:cstheme="minorHAnsi"/>
        </w:rPr>
        <w:br/>
      </w:r>
      <w:r w:rsidRPr="00F16251">
        <w:rPr>
          <w:rFonts w:cstheme="minorHAnsi"/>
        </w:rPr>
        <w:t>w</w:t>
      </w:r>
      <w:r w:rsidR="003B50ED" w:rsidRPr="00F16251">
        <w:rPr>
          <w:rFonts w:cstheme="minorHAnsi"/>
        </w:rPr>
        <w:t xml:space="preserve"> </w:t>
      </w:r>
      <w:r w:rsidRPr="00F16251">
        <w:rPr>
          <w:rFonts w:cstheme="minorHAnsi"/>
        </w:rPr>
        <w:t>dniu</w:t>
      </w:r>
      <w:r w:rsidR="003B50ED" w:rsidRPr="00F16251">
        <w:rPr>
          <w:rFonts w:cstheme="minorHAnsi"/>
        </w:rPr>
        <w:t xml:space="preserve"> </w:t>
      </w:r>
      <w:r w:rsidRPr="00F16251">
        <w:rPr>
          <w:rFonts w:cstheme="minorHAnsi"/>
        </w:rPr>
        <w:t>31</w:t>
      </w:r>
      <w:r w:rsidR="003B50ED" w:rsidRPr="00F16251">
        <w:rPr>
          <w:rFonts w:cstheme="minorHAnsi"/>
        </w:rPr>
        <w:t xml:space="preserve"> </w:t>
      </w:r>
      <w:r w:rsidRPr="00F16251">
        <w:rPr>
          <w:rFonts w:cstheme="minorHAnsi"/>
        </w:rPr>
        <w:t>lipca</w:t>
      </w:r>
      <w:r w:rsidR="003B50ED" w:rsidRPr="00F16251">
        <w:rPr>
          <w:rFonts w:cstheme="minorHAnsi"/>
        </w:rPr>
        <w:t xml:space="preserve"> </w:t>
      </w:r>
      <w:r w:rsidRPr="00F16251">
        <w:rPr>
          <w:rFonts w:cstheme="minorHAnsi"/>
        </w:rPr>
        <w:t>2008</w:t>
      </w:r>
      <w:r w:rsidR="003B50ED" w:rsidRPr="00F16251">
        <w:rPr>
          <w:rFonts w:cstheme="minorHAnsi"/>
        </w:rPr>
        <w:t xml:space="preserve"> </w:t>
      </w:r>
      <w:r w:rsidRPr="00F16251">
        <w:rPr>
          <w:rFonts w:cstheme="minorHAnsi"/>
        </w:rPr>
        <w:t>r.</w:t>
      </w:r>
      <w:r w:rsidR="003B50ED" w:rsidRPr="00F16251">
        <w:rPr>
          <w:rFonts w:cstheme="minorHAnsi"/>
        </w:rPr>
        <w:t xml:space="preserve"> </w:t>
      </w:r>
      <w:r w:rsidRPr="00F16251">
        <w:rPr>
          <w:rFonts w:cstheme="minorHAnsi"/>
        </w:rPr>
        <w:t>odbyło</w:t>
      </w:r>
      <w:r w:rsidR="003B50ED" w:rsidRPr="00F16251">
        <w:rPr>
          <w:rFonts w:cstheme="minorHAnsi"/>
        </w:rPr>
        <w:t xml:space="preserve"> </w:t>
      </w:r>
      <w:r w:rsidRPr="00F16251">
        <w:rPr>
          <w:rFonts w:cstheme="minorHAnsi"/>
        </w:rPr>
        <w:t>się</w:t>
      </w:r>
      <w:r w:rsidR="003B50ED" w:rsidRPr="00F16251">
        <w:rPr>
          <w:rFonts w:cstheme="minorHAnsi"/>
        </w:rPr>
        <w:t xml:space="preserve"> </w:t>
      </w:r>
      <w:r w:rsidRPr="00F16251">
        <w:rPr>
          <w:rFonts w:cstheme="minorHAnsi"/>
        </w:rPr>
        <w:t>Walne</w:t>
      </w:r>
      <w:r w:rsidR="003B50ED" w:rsidRPr="00F16251">
        <w:rPr>
          <w:rFonts w:cstheme="minorHAnsi"/>
        </w:rPr>
        <w:t xml:space="preserve"> </w:t>
      </w:r>
      <w:r w:rsidRPr="00F16251">
        <w:rPr>
          <w:rFonts w:cstheme="minorHAnsi"/>
        </w:rPr>
        <w:t>Zebranie</w:t>
      </w:r>
      <w:r w:rsidR="003B50ED" w:rsidRPr="00F16251">
        <w:rPr>
          <w:rFonts w:cstheme="minorHAnsi"/>
        </w:rPr>
        <w:t xml:space="preserve"> </w:t>
      </w:r>
      <w:r w:rsidRPr="00F16251">
        <w:rPr>
          <w:rFonts w:cstheme="minorHAnsi"/>
        </w:rPr>
        <w:t>Członków,</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którym</w:t>
      </w:r>
      <w:r w:rsidR="003B50ED" w:rsidRPr="00F16251">
        <w:rPr>
          <w:rFonts w:cstheme="minorHAnsi"/>
        </w:rPr>
        <w:t xml:space="preserve"> </w:t>
      </w:r>
      <w:r w:rsidRPr="00F16251">
        <w:rPr>
          <w:rFonts w:cstheme="minorHAnsi"/>
        </w:rPr>
        <w:t>przegłosowano</w:t>
      </w:r>
      <w:r w:rsidR="003B50ED" w:rsidRPr="00F16251">
        <w:rPr>
          <w:rFonts w:cstheme="minorHAnsi"/>
        </w:rPr>
        <w:t xml:space="preserve"> </w:t>
      </w:r>
      <w:r w:rsidRPr="00F16251">
        <w:rPr>
          <w:rFonts w:cstheme="minorHAnsi"/>
        </w:rPr>
        <w:t>nową</w:t>
      </w:r>
      <w:r w:rsidR="003B50ED" w:rsidRPr="00F16251">
        <w:rPr>
          <w:rFonts w:cstheme="minorHAnsi"/>
        </w:rPr>
        <w:t xml:space="preserve"> </w:t>
      </w:r>
      <w:r w:rsidRPr="00F16251">
        <w:rPr>
          <w:rFonts w:cstheme="minorHAnsi"/>
        </w:rPr>
        <w:t>treść</w:t>
      </w:r>
      <w:r w:rsidR="003B50ED" w:rsidRPr="00F16251">
        <w:rPr>
          <w:rFonts w:cstheme="minorHAnsi"/>
        </w:rPr>
        <w:t xml:space="preserve"> </w:t>
      </w:r>
      <w:r w:rsidRPr="00F16251">
        <w:rPr>
          <w:rFonts w:cstheme="minorHAnsi"/>
        </w:rPr>
        <w:t>statutu.</w:t>
      </w:r>
      <w:r w:rsidR="003B50ED" w:rsidRPr="00F16251">
        <w:rPr>
          <w:rFonts w:cstheme="minorHAnsi"/>
        </w:rPr>
        <w:t xml:space="preserve"> </w:t>
      </w:r>
      <w:r w:rsidRPr="00F16251">
        <w:rPr>
          <w:rFonts w:cstheme="minorHAnsi"/>
        </w:rPr>
        <w:t>Statut</w:t>
      </w:r>
      <w:r w:rsidR="003B50ED" w:rsidRPr="00F16251">
        <w:rPr>
          <w:rFonts w:cstheme="minorHAnsi"/>
        </w:rPr>
        <w:t xml:space="preserve"> </w:t>
      </w:r>
      <w:r w:rsidRPr="00F16251">
        <w:rPr>
          <w:rFonts w:cstheme="minorHAnsi"/>
        </w:rPr>
        <w:t>ten</w:t>
      </w:r>
      <w:r w:rsidR="003B50ED" w:rsidRPr="00F16251">
        <w:rPr>
          <w:rFonts w:cstheme="minorHAnsi"/>
        </w:rPr>
        <w:t xml:space="preserve"> </w:t>
      </w:r>
      <w:r w:rsidRPr="00F16251">
        <w:rPr>
          <w:rFonts w:cstheme="minorHAnsi"/>
        </w:rPr>
        <w:t>został</w:t>
      </w:r>
      <w:r w:rsidR="003B50ED" w:rsidRPr="00F16251">
        <w:rPr>
          <w:rFonts w:cstheme="minorHAnsi"/>
        </w:rPr>
        <w:t xml:space="preserve"> </w:t>
      </w:r>
      <w:r w:rsidRPr="00F16251">
        <w:rPr>
          <w:rFonts w:cstheme="minorHAnsi"/>
        </w:rPr>
        <w:t>zarejestrowany</w:t>
      </w:r>
      <w:r w:rsidR="003B50ED" w:rsidRPr="00F16251">
        <w:rPr>
          <w:rFonts w:cstheme="minorHAnsi"/>
        </w:rPr>
        <w:t xml:space="preserve"> </w:t>
      </w:r>
      <w:r w:rsidRPr="00F16251">
        <w:rPr>
          <w:rFonts w:cstheme="minorHAnsi"/>
        </w:rPr>
        <w:t>przez</w:t>
      </w:r>
      <w:r w:rsidR="003B50ED" w:rsidRPr="00F16251">
        <w:rPr>
          <w:rFonts w:cstheme="minorHAnsi"/>
        </w:rPr>
        <w:t xml:space="preserve"> </w:t>
      </w:r>
      <w:r w:rsidRPr="00F16251">
        <w:rPr>
          <w:rFonts w:cstheme="minorHAnsi"/>
        </w:rPr>
        <w:t>Sąd</w:t>
      </w:r>
      <w:r w:rsidR="003B50ED" w:rsidRPr="00F16251">
        <w:rPr>
          <w:rFonts w:cstheme="minorHAnsi"/>
        </w:rPr>
        <w:t xml:space="preserve"> </w:t>
      </w:r>
      <w:r w:rsidRPr="00F16251">
        <w:rPr>
          <w:rFonts w:cstheme="minorHAnsi"/>
        </w:rPr>
        <w:t>rejestrowy</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dniu</w:t>
      </w:r>
      <w:r w:rsidR="003B50ED" w:rsidRPr="00F16251">
        <w:rPr>
          <w:rFonts w:cstheme="minorHAnsi"/>
        </w:rPr>
        <w:t xml:space="preserve"> </w:t>
      </w:r>
      <w:r w:rsidRPr="00F16251">
        <w:rPr>
          <w:rFonts w:cstheme="minorHAnsi"/>
        </w:rPr>
        <w:t>28</w:t>
      </w:r>
      <w:r w:rsidR="003B50ED" w:rsidRPr="00F16251">
        <w:rPr>
          <w:rFonts w:cstheme="minorHAnsi"/>
        </w:rPr>
        <w:t xml:space="preserve"> </w:t>
      </w:r>
      <w:r w:rsidRPr="00F16251">
        <w:rPr>
          <w:rFonts w:cstheme="minorHAnsi"/>
        </w:rPr>
        <w:t>sierpnia</w:t>
      </w:r>
      <w:r w:rsidR="003B50ED" w:rsidRPr="00F16251">
        <w:rPr>
          <w:rFonts w:cstheme="minorHAnsi"/>
        </w:rPr>
        <w:t xml:space="preserve"> </w:t>
      </w:r>
      <w:r w:rsidRPr="00F16251">
        <w:rPr>
          <w:rFonts w:cstheme="minorHAnsi"/>
        </w:rPr>
        <w:t>2008</w:t>
      </w:r>
      <w:r w:rsidR="003B50ED" w:rsidRPr="00F16251">
        <w:rPr>
          <w:rFonts w:cstheme="minorHAnsi"/>
        </w:rPr>
        <w:t xml:space="preserve"> </w:t>
      </w:r>
      <w:r w:rsidRPr="00F16251">
        <w:rPr>
          <w:rFonts w:cstheme="minorHAnsi"/>
        </w:rPr>
        <w:t>r.</w:t>
      </w:r>
    </w:p>
    <w:p w14:paraId="6912E35A" w14:textId="7DD99403" w:rsidR="004A127B" w:rsidRPr="00F16251" w:rsidRDefault="004A127B" w:rsidP="00A26C26">
      <w:pPr>
        <w:spacing w:line="276" w:lineRule="auto"/>
        <w:ind w:firstLine="284"/>
        <w:jc w:val="both"/>
        <w:rPr>
          <w:rFonts w:cstheme="minorHAnsi"/>
        </w:rPr>
      </w:pPr>
      <w:r w:rsidRPr="00F16251">
        <w:rPr>
          <w:rFonts w:cstheme="minorHAnsi"/>
        </w:rPr>
        <w:t>Po</w:t>
      </w:r>
      <w:r w:rsidR="003B50ED" w:rsidRPr="00F16251">
        <w:rPr>
          <w:rFonts w:cstheme="minorHAnsi"/>
        </w:rPr>
        <w:t xml:space="preserve"> </w:t>
      </w:r>
      <w:r w:rsidRPr="00F16251">
        <w:rPr>
          <w:rFonts w:cstheme="minorHAnsi"/>
        </w:rPr>
        <w:t>paśmie</w:t>
      </w:r>
      <w:r w:rsidR="003B50ED" w:rsidRPr="00F16251">
        <w:rPr>
          <w:rFonts w:cstheme="minorHAnsi"/>
        </w:rPr>
        <w:t xml:space="preserve"> </w:t>
      </w:r>
      <w:r w:rsidRPr="00F16251">
        <w:rPr>
          <w:rFonts w:cstheme="minorHAnsi"/>
        </w:rPr>
        <w:t>sukcesów</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pozytywnie</w:t>
      </w:r>
      <w:r w:rsidR="003B50ED" w:rsidRPr="00F16251">
        <w:rPr>
          <w:rFonts w:cstheme="minorHAnsi"/>
        </w:rPr>
        <w:t xml:space="preserve"> </w:t>
      </w:r>
      <w:r w:rsidRPr="00F16251">
        <w:rPr>
          <w:rFonts w:cstheme="minorHAnsi"/>
        </w:rPr>
        <w:t>odbieranej</w:t>
      </w:r>
      <w:r w:rsidR="003B50ED" w:rsidRPr="00F16251">
        <w:rPr>
          <w:rFonts w:cstheme="minorHAnsi"/>
        </w:rPr>
        <w:t xml:space="preserve"> </w:t>
      </w:r>
      <w:r w:rsidRPr="00F16251">
        <w:rPr>
          <w:rFonts w:cstheme="minorHAnsi"/>
        </w:rPr>
        <w:t>działalności</w:t>
      </w:r>
      <w:r w:rsidR="003B50ED" w:rsidRPr="00F16251">
        <w:rPr>
          <w:rFonts w:cstheme="minorHAnsi"/>
        </w:rPr>
        <w:t xml:space="preserve"> </w:t>
      </w:r>
      <w:r w:rsidR="008247A9" w:rsidRPr="00F16251">
        <w:rPr>
          <w:rFonts w:cstheme="minorHAnsi"/>
        </w:rPr>
        <w:t xml:space="preserve">Stowarzyszenia „Solidarni w Partnerstwie” </w:t>
      </w:r>
      <w:r w:rsidRPr="00F16251">
        <w:rPr>
          <w:rFonts w:cstheme="minorHAnsi"/>
        </w:rPr>
        <w:t>na</w:t>
      </w:r>
      <w:r w:rsidR="003B50ED" w:rsidRPr="00F16251">
        <w:rPr>
          <w:rFonts w:cstheme="minorHAnsi"/>
        </w:rPr>
        <w:t xml:space="preserve"> </w:t>
      </w:r>
      <w:r w:rsidRPr="00F16251">
        <w:rPr>
          <w:rFonts w:cstheme="minorHAnsi"/>
        </w:rPr>
        <w:t>obszarze</w:t>
      </w:r>
      <w:r w:rsidR="003B50ED" w:rsidRPr="00F16251">
        <w:rPr>
          <w:rFonts w:cstheme="minorHAnsi"/>
        </w:rPr>
        <w:t xml:space="preserve"> </w:t>
      </w:r>
      <w:r w:rsidR="008247A9" w:rsidRPr="00F16251">
        <w:rPr>
          <w:rFonts w:cstheme="minorHAnsi"/>
        </w:rPr>
        <w:t xml:space="preserve">objętym LSR </w:t>
      </w:r>
      <w:r w:rsidRPr="00F16251">
        <w:rPr>
          <w:rFonts w:cstheme="minorHAnsi"/>
        </w:rPr>
        <w:t>władze</w:t>
      </w:r>
      <w:r w:rsidR="003B50ED" w:rsidRPr="00F16251">
        <w:rPr>
          <w:rFonts w:cstheme="minorHAnsi"/>
        </w:rPr>
        <w:t xml:space="preserve"> </w:t>
      </w:r>
      <w:r w:rsidRPr="00F16251">
        <w:rPr>
          <w:rFonts w:cstheme="minorHAnsi"/>
        </w:rPr>
        <w:t>oraz</w:t>
      </w:r>
      <w:r w:rsidR="003B50ED" w:rsidRPr="00F16251">
        <w:rPr>
          <w:rFonts w:cstheme="minorHAnsi"/>
        </w:rPr>
        <w:t xml:space="preserve"> </w:t>
      </w:r>
      <w:r w:rsidRPr="00F16251">
        <w:rPr>
          <w:rFonts w:cstheme="minorHAnsi"/>
        </w:rPr>
        <w:t>członkowie</w:t>
      </w:r>
      <w:r w:rsidR="003B50ED" w:rsidRPr="00F16251">
        <w:rPr>
          <w:rFonts w:cstheme="minorHAnsi"/>
        </w:rPr>
        <w:t xml:space="preserve"> </w:t>
      </w:r>
      <w:r w:rsidRPr="00F16251">
        <w:rPr>
          <w:rFonts w:cstheme="minorHAnsi"/>
        </w:rPr>
        <w:t>postanowili</w:t>
      </w:r>
      <w:r w:rsidR="003B50ED" w:rsidRPr="00F16251">
        <w:rPr>
          <w:rFonts w:cstheme="minorHAnsi"/>
        </w:rPr>
        <w:t xml:space="preserve"> </w:t>
      </w:r>
      <w:r w:rsidRPr="00F16251">
        <w:rPr>
          <w:rFonts w:cstheme="minorHAnsi"/>
        </w:rPr>
        <w:t>kontynuować</w:t>
      </w:r>
      <w:r w:rsidR="003B50ED" w:rsidRPr="00F16251">
        <w:rPr>
          <w:rFonts w:cstheme="minorHAnsi"/>
        </w:rPr>
        <w:t xml:space="preserve"> </w:t>
      </w:r>
      <w:r w:rsidRPr="00F16251">
        <w:rPr>
          <w:rFonts w:cstheme="minorHAnsi"/>
        </w:rPr>
        <w:t>swoje</w:t>
      </w:r>
      <w:r w:rsidR="003B50ED" w:rsidRPr="00F16251">
        <w:rPr>
          <w:rFonts w:cstheme="minorHAnsi"/>
        </w:rPr>
        <w:t xml:space="preserve"> </w:t>
      </w:r>
      <w:r w:rsidRPr="00F16251">
        <w:rPr>
          <w:rFonts w:cstheme="minorHAnsi"/>
        </w:rPr>
        <w:t>działania</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ramach</w:t>
      </w:r>
      <w:r w:rsidR="003B50ED" w:rsidRPr="00F16251">
        <w:rPr>
          <w:rFonts w:cstheme="minorHAnsi"/>
        </w:rPr>
        <w:t xml:space="preserve"> </w:t>
      </w:r>
      <w:r w:rsidR="008247A9" w:rsidRPr="00F16251">
        <w:rPr>
          <w:rFonts w:cstheme="minorHAnsi"/>
        </w:rPr>
        <w:t xml:space="preserve">PROW </w:t>
      </w:r>
      <w:r w:rsidRPr="00F16251">
        <w:rPr>
          <w:rFonts w:cstheme="minorHAnsi"/>
        </w:rPr>
        <w:t>na</w:t>
      </w:r>
      <w:r w:rsidR="003B50ED" w:rsidRPr="00F16251">
        <w:rPr>
          <w:rFonts w:cstheme="minorHAnsi"/>
        </w:rPr>
        <w:t xml:space="preserve"> </w:t>
      </w:r>
      <w:r w:rsidRPr="00F16251">
        <w:rPr>
          <w:rFonts w:cstheme="minorHAnsi"/>
        </w:rPr>
        <w:t>lata</w:t>
      </w:r>
      <w:r w:rsidR="003B50ED" w:rsidRPr="00F16251">
        <w:rPr>
          <w:rFonts w:cstheme="minorHAnsi"/>
        </w:rPr>
        <w:t xml:space="preserve"> </w:t>
      </w:r>
      <w:r w:rsidRPr="00F16251">
        <w:rPr>
          <w:rFonts w:cstheme="minorHAnsi"/>
        </w:rPr>
        <w:t>2014-2020</w:t>
      </w:r>
      <w:r w:rsidR="008247A9" w:rsidRPr="00F16251">
        <w:rPr>
          <w:rFonts w:cstheme="minorHAnsi"/>
        </w:rPr>
        <w:t>,</w:t>
      </w:r>
      <w:r w:rsidR="003B50ED" w:rsidRPr="00F16251">
        <w:rPr>
          <w:rFonts w:cstheme="minorHAnsi"/>
        </w:rPr>
        <w:t xml:space="preserve"> </w:t>
      </w:r>
      <w:r w:rsidRPr="00F16251">
        <w:rPr>
          <w:rFonts w:cstheme="minorHAnsi"/>
        </w:rPr>
        <w:t>wspieranego</w:t>
      </w:r>
      <w:r w:rsidR="003B50ED" w:rsidRPr="00F16251">
        <w:rPr>
          <w:rFonts w:cstheme="minorHAnsi"/>
        </w:rPr>
        <w:t xml:space="preserve"> </w:t>
      </w:r>
      <w:r w:rsidRPr="00F16251">
        <w:rPr>
          <w:rFonts w:cstheme="minorHAnsi"/>
        </w:rPr>
        <w:t>ze</w:t>
      </w:r>
      <w:r w:rsidR="003B50ED" w:rsidRPr="00F16251">
        <w:rPr>
          <w:rFonts w:cstheme="minorHAnsi"/>
        </w:rPr>
        <w:t xml:space="preserve"> </w:t>
      </w:r>
      <w:r w:rsidRPr="00F16251">
        <w:rPr>
          <w:rFonts w:cstheme="minorHAnsi"/>
        </w:rPr>
        <w:t>środków</w:t>
      </w:r>
      <w:r w:rsidR="003B50ED" w:rsidRPr="00F16251">
        <w:rPr>
          <w:rFonts w:cstheme="minorHAnsi"/>
        </w:rPr>
        <w:t xml:space="preserve"> </w:t>
      </w:r>
      <w:r w:rsidRPr="00F16251">
        <w:rPr>
          <w:rFonts w:cstheme="minorHAnsi"/>
        </w:rPr>
        <w:t>Europejskiego</w:t>
      </w:r>
      <w:r w:rsidR="003B50ED" w:rsidRPr="00F16251">
        <w:rPr>
          <w:rFonts w:cstheme="minorHAnsi"/>
        </w:rPr>
        <w:t xml:space="preserve"> </w:t>
      </w:r>
      <w:r w:rsidRPr="00F16251">
        <w:rPr>
          <w:rFonts w:cstheme="minorHAnsi"/>
        </w:rPr>
        <w:t>Funduszu</w:t>
      </w:r>
      <w:r w:rsidR="003B50ED" w:rsidRPr="00F16251">
        <w:rPr>
          <w:rFonts w:cstheme="minorHAnsi"/>
        </w:rPr>
        <w:t xml:space="preserve"> </w:t>
      </w:r>
      <w:r w:rsidRPr="00F16251">
        <w:rPr>
          <w:rFonts w:cstheme="minorHAnsi"/>
        </w:rPr>
        <w:t>Rolnego</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rzecz</w:t>
      </w:r>
      <w:r w:rsidR="003B50ED" w:rsidRPr="00F16251">
        <w:rPr>
          <w:rFonts w:cstheme="minorHAnsi"/>
        </w:rPr>
        <w:t xml:space="preserve"> </w:t>
      </w:r>
      <w:r w:rsidRPr="00F16251">
        <w:rPr>
          <w:rFonts w:cstheme="minorHAnsi"/>
        </w:rPr>
        <w:t>Rozwoju</w:t>
      </w:r>
      <w:r w:rsidR="003B50ED" w:rsidRPr="00F16251">
        <w:rPr>
          <w:rFonts w:cstheme="minorHAnsi"/>
        </w:rPr>
        <w:t xml:space="preserve"> </w:t>
      </w:r>
      <w:r w:rsidRPr="00F16251">
        <w:rPr>
          <w:rFonts w:cstheme="minorHAnsi"/>
        </w:rPr>
        <w:t>Obszarów</w:t>
      </w:r>
      <w:r w:rsidR="003B50ED" w:rsidRPr="00F16251">
        <w:rPr>
          <w:rFonts w:cstheme="minorHAnsi"/>
        </w:rPr>
        <w:t xml:space="preserve"> </w:t>
      </w:r>
      <w:r w:rsidRPr="00F16251">
        <w:rPr>
          <w:rFonts w:cstheme="minorHAnsi"/>
        </w:rPr>
        <w:t>Wiejskich</w:t>
      </w:r>
      <w:r w:rsidR="003B50ED" w:rsidRPr="00F16251">
        <w:rPr>
          <w:rFonts w:cstheme="minorHAnsi"/>
        </w:rPr>
        <w:t xml:space="preserve"> </w:t>
      </w:r>
      <w:r w:rsidRPr="00F16251">
        <w:rPr>
          <w:rFonts w:cstheme="minorHAnsi"/>
        </w:rPr>
        <w:t>(EFRROW).</w:t>
      </w:r>
      <w:r w:rsidR="003B50ED" w:rsidRPr="00F16251">
        <w:rPr>
          <w:rFonts w:cstheme="minorHAnsi"/>
        </w:rPr>
        <w:t xml:space="preserve"> </w:t>
      </w:r>
      <w:r w:rsidR="008247A9" w:rsidRPr="00F16251">
        <w:rPr>
          <w:rFonts w:cstheme="minorHAnsi"/>
        </w:rPr>
        <w:br/>
      </w:r>
      <w:r w:rsidRPr="00F16251">
        <w:rPr>
          <w:rFonts w:cstheme="minorHAnsi"/>
        </w:rPr>
        <w:t>W</w:t>
      </w:r>
      <w:r w:rsidR="003B50ED" w:rsidRPr="00F16251">
        <w:rPr>
          <w:rFonts w:cstheme="minorHAnsi"/>
        </w:rPr>
        <w:t xml:space="preserve"> </w:t>
      </w:r>
      <w:r w:rsidRPr="00F16251">
        <w:rPr>
          <w:rFonts w:cstheme="minorHAnsi"/>
        </w:rPr>
        <w:t>związku</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powyższym</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dniu</w:t>
      </w:r>
      <w:r w:rsidR="003B50ED" w:rsidRPr="00F16251">
        <w:rPr>
          <w:rFonts w:cstheme="minorHAnsi"/>
        </w:rPr>
        <w:t xml:space="preserve"> </w:t>
      </w:r>
      <w:r w:rsidRPr="00F16251">
        <w:rPr>
          <w:rFonts w:cstheme="minorHAnsi"/>
        </w:rPr>
        <w:t>15</w:t>
      </w:r>
      <w:r w:rsidR="003B50ED" w:rsidRPr="00F16251">
        <w:rPr>
          <w:rFonts w:cstheme="minorHAnsi"/>
        </w:rPr>
        <w:t xml:space="preserve"> </w:t>
      </w:r>
      <w:r w:rsidRPr="00F16251">
        <w:rPr>
          <w:rFonts w:cstheme="minorHAnsi"/>
        </w:rPr>
        <w:t>grudnia</w:t>
      </w:r>
      <w:r w:rsidR="003B50ED" w:rsidRPr="00F16251">
        <w:rPr>
          <w:rFonts w:cstheme="minorHAnsi"/>
        </w:rPr>
        <w:t xml:space="preserve"> </w:t>
      </w:r>
      <w:r w:rsidRPr="00F16251">
        <w:rPr>
          <w:rFonts w:cstheme="minorHAnsi"/>
        </w:rPr>
        <w:t>2015</w:t>
      </w:r>
      <w:r w:rsidR="003B50ED" w:rsidRPr="00F16251">
        <w:rPr>
          <w:rFonts w:cstheme="minorHAnsi"/>
        </w:rPr>
        <w:t xml:space="preserve"> </w:t>
      </w:r>
      <w:r w:rsidR="00210334" w:rsidRPr="00F16251">
        <w:rPr>
          <w:rFonts w:cstheme="minorHAnsi"/>
        </w:rPr>
        <w:t>r.</w:t>
      </w:r>
      <w:r w:rsidR="003B50ED" w:rsidRPr="00F16251">
        <w:rPr>
          <w:rFonts w:cstheme="minorHAnsi"/>
        </w:rPr>
        <w:t xml:space="preserve"> </w:t>
      </w:r>
      <w:r w:rsidRPr="00F16251">
        <w:rPr>
          <w:rFonts w:cstheme="minorHAnsi"/>
        </w:rPr>
        <w:t>odbyło</w:t>
      </w:r>
      <w:r w:rsidR="003B50ED" w:rsidRPr="00F16251">
        <w:rPr>
          <w:rFonts w:cstheme="minorHAnsi"/>
        </w:rPr>
        <w:t xml:space="preserve"> </w:t>
      </w:r>
      <w:r w:rsidRPr="00F16251">
        <w:rPr>
          <w:rFonts w:cstheme="minorHAnsi"/>
        </w:rPr>
        <w:t>się</w:t>
      </w:r>
      <w:r w:rsidR="003B50ED" w:rsidRPr="00F16251">
        <w:rPr>
          <w:rFonts w:cstheme="minorHAnsi"/>
        </w:rPr>
        <w:t xml:space="preserve"> </w:t>
      </w:r>
      <w:r w:rsidRPr="00F16251">
        <w:rPr>
          <w:rFonts w:cstheme="minorHAnsi"/>
        </w:rPr>
        <w:t>Walne</w:t>
      </w:r>
      <w:r w:rsidR="003B50ED" w:rsidRPr="00F16251">
        <w:rPr>
          <w:rFonts w:cstheme="minorHAnsi"/>
        </w:rPr>
        <w:t xml:space="preserve"> </w:t>
      </w:r>
      <w:r w:rsidRPr="00F16251">
        <w:rPr>
          <w:rFonts w:cstheme="minorHAnsi"/>
        </w:rPr>
        <w:t>Zebranie</w:t>
      </w:r>
      <w:r w:rsidR="003B50ED" w:rsidRPr="00F16251">
        <w:rPr>
          <w:rFonts w:cstheme="minorHAnsi"/>
        </w:rPr>
        <w:t xml:space="preserve"> </w:t>
      </w:r>
      <w:r w:rsidRPr="00F16251">
        <w:rPr>
          <w:rFonts w:cstheme="minorHAnsi"/>
        </w:rPr>
        <w:t>Członków,</w:t>
      </w:r>
      <w:r w:rsidR="003B50ED" w:rsidRPr="00F16251">
        <w:rPr>
          <w:rFonts w:cstheme="minorHAnsi"/>
        </w:rPr>
        <w:t xml:space="preserve"> </w:t>
      </w:r>
      <w:r w:rsidRPr="00F16251">
        <w:rPr>
          <w:rFonts w:cstheme="minorHAnsi"/>
        </w:rPr>
        <w:t>podczas</w:t>
      </w:r>
      <w:r w:rsidR="003B50ED" w:rsidRPr="00F16251">
        <w:rPr>
          <w:rFonts w:cstheme="minorHAnsi"/>
        </w:rPr>
        <w:t xml:space="preserve"> </w:t>
      </w:r>
      <w:r w:rsidRPr="00F16251">
        <w:rPr>
          <w:rFonts w:cstheme="minorHAnsi"/>
        </w:rPr>
        <w:t>którego</w:t>
      </w:r>
      <w:r w:rsidR="003B50ED" w:rsidRPr="00F16251">
        <w:rPr>
          <w:rFonts w:cstheme="minorHAnsi"/>
        </w:rPr>
        <w:t xml:space="preserve"> </w:t>
      </w:r>
      <w:r w:rsidRPr="00F16251">
        <w:rPr>
          <w:rFonts w:cstheme="minorHAnsi"/>
        </w:rPr>
        <w:t>przegłosowano</w:t>
      </w:r>
      <w:r w:rsidR="003B50ED" w:rsidRPr="00F16251">
        <w:rPr>
          <w:rFonts w:cstheme="minorHAnsi"/>
        </w:rPr>
        <w:t xml:space="preserve"> </w:t>
      </w:r>
      <w:r w:rsidRPr="00F16251">
        <w:rPr>
          <w:rFonts w:cstheme="minorHAnsi"/>
        </w:rPr>
        <w:t>niezbędne</w:t>
      </w:r>
      <w:r w:rsidR="003B50ED" w:rsidRPr="00F16251">
        <w:rPr>
          <w:rFonts w:cstheme="minorHAnsi"/>
        </w:rPr>
        <w:t xml:space="preserve"> </w:t>
      </w:r>
      <w:r w:rsidRPr="00F16251">
        <w:rPr>
          <w:rFonts w:cstheme="minorHAnsi"/>
        </w:rPr>
        <w:t>dokumenty</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realizacji</w:t>
      </w:r>
      <w:r w:rsidR="003B50ED" w:rsidRPr="00F16251">
        <w:rPr>
          <w:rFonts w:cstheme="minorHAnsi"/>
        </w:rPr>
        <w:t xml:space="preserve"> </w:t>
      </w:r>
      <w:r w:rsidRPr="00F16251">
        <w:rPr>
          <w:rFonts w:cstheme="minorHAnsi"/>
        </w:rPr>
        <w:t>PROW</w:t>
      </w:r>
      <w:r w:rsidR="003B50ED" w:rsidRPr="00F16251">
        <w:rPr>
          <w:rFonts w:cstheme="minorHAnsi"/>
        </w:rPr>
        <w:t xml:space="preserve"> </w:t>
      </w:r>
      <w:r w:rsidRPr="00F16251">
        <w:rPr>
          <w:rFonts w:cstheme="minorHAnsi"/>
        </w:rPr>
        <w:t>2014</w:t>
      </w:r>
      <w:r w:rsidR="003B50ED" w:rsidRPr="00F16251">
        <w:rPr>
          <w:rFonts w:cstheme="minorHAnsi"/>
        </w:rPr>
        <w:t xml:space="preserve"> </w:t>
      </w:r>
      <w:r w:rsidRPr="00F16251">
        <w:rPr>
          <w:rFonts w:cstheme="minorHAnsi"/>
        </w:rPr>
        <w:t>–</w:t>
      </w:r>
      <w:r w:rsidR="003B50ED" w:rsidRPr="00F16251">
        <w:rPr>
          <w:rFonts w:cstheme="minorHAnsi"/>
        </w:rPr>
        <w:t xml:space="preserve"> </w:t>
      </w:r>
      <w:r w:rsidRPr="00F16251">
        <w:rPr>
          <w:rFonts w:cstheme="minorHAnsi"/>
        </w:rPr>
        <w:t>2020.</w:t>
      </w:r>
    </w:p>
    <w:p w14:paraId="7215190F" w14:textId="08A3E75B" w:rsidR="004A127B" w:rsidRPr="00F16251" w:rsidRDefault="004A127B" w:rsidP="00A26C26">
      <w:pPr>
        <w:spacing w:line="276" w:lineRule="auto"/>
        <w:ind w:firstLine="284"/>
        <w:jc w:val="both"/>
        <w:rPr>
          <w:rFonts w:cstheme="minorHAnsi"/>
        </w:rPr>
      </w:pPr>
      <w:r w:rsidRPr="00F16251">
        <w:rPr>
          <w:rFonts w:cstheme="minorHAnsi"/>
        </w:rPr>
        <w:t>W</w:t>
      </w:r>
      <w:r w:rsidR="003B50ED" w:rsidRPr="00F16251">
        <w:rPr>
          <w:rFonts w:cstheme="minorHAnsi"/>
        </w:rPr>
        <w:t xml:space="preserve"> </w:t>
      </w:r>
      <w:r w:rsidR="0013331D" w:rsidRPr="00F16251">
        <w:rPr>
          <w:rFonts w:cstheme="minorHAnsi"/>
        </w:rPr>
        <w:t>tym</w:t>
      </w:r>
      <w:r w:rsidR="003B50ED" w:rsidRPr="00F16251">
        <w:rPr>
          <w:rFonts w:cstheme="minorHAnsi"/>
        </w:rPr>
        <w:t xml:space="preserve"> </w:t>
      </w:r>
      <w:r w:rsidR="0013331D" w:rsidRPr="00F16251">
        <w:rPr>
          <w:rFonts w:cstheme="minorHAnsi"/>
        </w:rPr>
        <w:t>okresie</w:t>
      </w:r>
      <w:r w:rsidR="003B50ED" w:rsidRPr="00F16251">
        <w:rPr>
          <w:rFonts w:cstheme="minorHAnsi"/>
        </w:rPr>
        <w:t xml:space="preserve"> </w:t>
      </w:r>
      <w:bookmarkStart w:id="6" w:name="_Hlk136373353"/>
      <w:r w:rsidR="000B603C" w:rsidRPr="00F16251">
        <w:rPr>
          <w:rFonts w:cstheme="minorHAnsi"/>
        </w:rPr>
        <w:t xml:space="preserve">Stowarzyszenie „Solidarni w Partnerstwie” </w:t>
      </w:r>
      <w:bookmarkEnd w:id="6"/>
      <w:r w:rsidR="0013331D" w:rsidRPr="00F16251">
        <w:rPr>
          <w:rFonts w:cstheme="minorHAnsi"/>
        </w:rPr>
        <w:t>za</w:t>
      </w:r>
      <w:r w:rsidR="003B50ED" w:rsidRPr="00F16251">
        <w:rPr>
          <w:rFonts w:cstheme="minorHAnsi"/>
        </w:rPr>
        <w:t xml:space="preserve"> </w:t>
      </w:r>
      <w:r w:rsidR="0013331D" w:rsidRPr="00F16251">
        <w:rPr>
          <w:rFonts w:cstheme="minorHAnsi"/>
        </w:rPr>
        <w:t>cele</w:t>
      </w:r>
      <w:r w:rsidR="003B50ED" w:rsidRPr="00F16251">
        <w:rPr>
          <w:rFonts w:cstheme="minorHAnsi"/>
        </w:rPr>
        <w:t xml:space="preserve"> </w:t>
      </w:r>
      <w:r w:rsidR="0013331D" w:rsidRPr="00F16251">
        <w:rPr>
          <w:rFonts w:cstheme="minorHAnsi"/>
        </w:rPr>
        <w:t>główne</w:t>
      </w:r>
      <w:r w:rsidR="003B50ED" w:rsidRPr="00F16251">
        <w:rPr>
          <w:rFonts w:cstheme="minorHAnsi"/>
        </w:rPr>
        <w:t xml:space="preserve"> </w:t>
      </w:r>
      <w:r w:rsidR="0013331D" w:rsidRPr="00F16251">
        <w:rPr>
          <w:rFonts w:cstheme="minorHAnsi"/>
        </w:rPr>
        <w:t>wyznaczył</w:t>
      </w:r>
      <w:r w:rsidR="000B603C" w:rsidRPr="00F16251">
        <w:rPr>
          <w:rFonts w:cstheme="minorHAnsi"/>
        </w:rPr>
        <w:t>o</w:t>
      </w:r>
      <w:r w:rsidR="003B50ED" w:rsidRPr="00F16251">
        <w:rPr>
          <w:rFonts w:cstheme="minorHAnsi"/>
        </w:rPr>
        <w:t xml:space="preserve"> </w:t>
      </w:r>
      <w:r w:rsidR="000B603C" w:rsidRPr="00F16251">
        <w:rPr>
          <w:rFonts w:cstheme="minorHAnsi"/>
        </w:rPr>
        <w:t xml:space="preserve">sobie </w:t>
      </w:r>
      <w:r w:rsidR="0013331D" w:rsidRPr="00F16251">
        <w:rPr>
          <w:rFonts w:cstheme="minorHAnsi"/>
        </w:rPr>
        <w:t>poprawę</w:t>
      </w:r>
      <w:r w:rsidR="003B50ED" w:rsidRPr="00F16251">
        <w:rPr>
          <w:rFonts w:cstheme="minorHAnsi"/>
          <w:spacing w:val="-3"/>
        </w:rPr>
        <w:t xml:space="preserve"> </w:t>
      </w:r>
      <w:r w:rsidR="0013331D" w:rsidRPr="00F16251">
        <w:rPr>
          <w:rFonts w:cstheme="minorHAnsi"/>
        </w:rPr>
        <w:t>jakości</w:t>
      </w:r>
      <w:r w:rsidR="003B50ED" w:rsidRPr="00F16251">
        <w:rPr>
          <w:rFonts w:cstheme="minorHAnsi"/>
          <w:spacing w:val="-6"/>
        </w:rPr>
        <w:t xml:space="preserve"> </w:t>
      </w:r>
      <w:r w:rsidR="0013331D" w:rsidRPr="00F16251">
        <w:rPr>
          <w:rFonts w:cstheme="minorHAnsi"/>
        </w:rPr>
        <w:t>życia</w:t>
      </w:r>
      <w:r w:rsidR="003B50ED" w:rsidRPr="00F16251">
        <w:rPr>
          <w:rFonts w:cstheme="minorHAnsi"/>
          <w:spacing w:val="-1"/>
        </w:rPr>
        <w:t xml:space="preserve"> </w:t>
      </w:r>
      <w:r w:rsidR="0013331D" w:rsidRPr="00F16251">
        <w:rPr>
          <w:rFonts w:cstheme="minorHAnsi"/>
        </w:rPr>
        <w:t>poprzez</w:t>
      </w:r>
      <w:r w:rsidR="003B50ED" w:rsidRPr="00F16251">
        <w:rPr>
          <w:rFonts w:cstheme="minorHAnsi"/>
          <w:spacing w:val="-4"/>
        </w:rPr>
        <w:t xml:space="preserve"> </w:t>
      </w:r>
      <w:r w:rsidR="0013331D" w:rsidRPr="00F16251">
        <w:rPr>
          <w:rFonts w:cstheme="minorHAnsi"/>
        </w:rPr>
        <w:t>wzmocnienie</w:t>
      </w:r>
      <w:r w:rsidR="003B50ED" w:rsidRPr="00F16251">
        <w:rPr>
          <w:rFonts w:cstheme="minorHAnsi"/>
          <w:spacing w:val="-3"/>
        </w:rPr>
        <w:t xml:space="preserve"> </w:t>
      </w:r>
      <w:r w:rsidR="0013331D" w:rsidRPr="00F16251">
        <w:rPr>
          <w:rFonts w:cstheme="minorHAnsi"/>
        </w:rPr>
        <w:t>potencjału</w:t>
      </w:r>
      <w:r w:rsidR="003B50ED" w:rsidRPr="00F16251">
        <w:rPr>
          <w:rFonts w:cstheme="minorHAnsi"/>
          <w:spacing w:val="-2"/>
        </w:rPr>
        <w:t xml:space="preserve"> </w:t>
      </w:r>
      <w:r w:rsidR="0013331D" w:rsidRPr="00F16251">
        <w:rPr>
          <w:rFonts w:cstheme="minorHAnsi"/>
        </w:rPr>
        <w:t>turystyczno-rekreacyjnego</w:t>
      </w:r>
      <w:r w:rsidR="003B50ED" w:rsidRPr="00F16251">
        <w:rPr>
          <w:rFonts w:cstheme="minorHAnsi"/>
          <w:spacing w:val="-4"/>
        </w:rPr>
        <w:t xml:space="preserve"> </w:t>
      </w:r>
      <w:r w:rsidR="0013331D" w:rsidRPr="00F16251">
        <w:rPr>
          <w:rFonts w:cstheme="minorHAnsi"/>
        </w:rPr>
        <w:t>obszaru,</w:t>
      </w:r>
      <w:r w:rsidR="003B50ED" w:rsidRPr="00F16251">
        <w:rPr>
          <w:rFonts w:cstheme="minorHAnsi"/>
        </w:rPr>
        <w:t xml:space="preserve"> </w:t>
      </w:r>
      <w:r w:rsidR="0013331D" w:rsidRPr="00F16251">
        <w:rPr>
          <w:rFonts w:cstheme="minorHAnsi"/>
        </w:rPr>
        <w:t>zachowanie</w:t>
      </w:r>
      <w:r w:rsidR="003B50ED" w:rsidRPr="00F16251">
        <w:rPr>
          <w:rFonts w:cstheme="minorHAnsi"/>
          <w:spacing w:val="-2"/>
        </w:rPr>
        <w:t xml:space="preserve"> </w:t>
      </w:r>
      <w:r w:rsidR="0013331D" w:rsidRPr="00F16251">
        <w:rPr>
          <w:rFonts w:cstheme="minorHAnsi"/>
        </w:rPr>
        <w:t>tożsamości</w:t>
      </w:r>
      <w:r w:rsidR="003B50ED" w:rsidRPr="00F16251">
        <w:rPr>
          <w:rFonts w:cstheme="minorHAnsi"/>
          <w:spacing w:val="-3"/>
        </w:rPr>
        <w:t xml:space="preserve"> </w:t>
      </w:r>
      <w:r w:rsidR="0013331D" w:rsidRPr="00F16251">
        <w:rPr>
          <w:rFonts w:cstheme="minorHAnsi"/>
        </w:rPr>
        <w:t>kulturowej</w:t>
      </w:r>
      <w:r w:rsidR="003B50ED" w:rsidRPr="00F16251">
        <w:rPr>
          <w:rFonts w:cstheme="minorHAnsi"/>
          <w:spacing w:val="-4"/>
        </w:rPr>
        <w:t xml:space="preserve"> </w:t>
      </w:r>
      <w:r w:rsidR="0013331D" w:rsidRPr="00F16251">
        <w:rPr>
          <w:rFonts w:cstheme="minorHAnsi"/>
        </w:rPr>
        <w:t>oraz</w:t>
      </w:r>
      <w:r w:rsidR="003B50ED" w:rsidRPr="00F16251">
        <w:rPr>
          <w:rFonts w:cstheme="minorHAnsi"/>
          <w:spacing w:val="-4"/>
        </w:rPr>
        <w:t xml:space="preserve"> </w:t>
      </w:r>
      <w:r w:rsidR="0013331D" w:rsidRPr="00F16251">
        <w:rPr>
          <w:rFonts w:cstheme="minorHAnsi"/>
        </w:rPr>
        <w:t>promocję</w:t>
      </w:r>
      <w:r w:rsidR="003B50ED" w:rsidRPr="00F16251">
        <w:rPr>
          <w:rFonts w:cstheme="minorHAnsi"/>
          <w:spacing w:val="-3"/>
        </w:rPr>
        <w:t xml:space="preserve"> </w:t>
      </w:r>
      <w:r w:rsidR="0013331D" w:rsidRPr="00F16251">
        <w:rPr>
          <w:rFonts w:cstheme="minorHAnsi"/>
        </w:rPr>
        <w:t>lokalnego</w:t>
      </w:r>
      <w:r w:rsidR="003B50ED" w:rsidRPr="00F16251">
        <w:rPr>
          <w:rFonts w:cstheme="minorHAnsi"/>
          <w:spacing w:val="-3"/>
        </w:rPr>
        <w:t xml:space="preserve"> </w:t>
      </w:r>
      <w:r w:rsidR="0013331D" w:rsidRPr="00F16251">
        <w:rPr>
          <w:rFonts w:cstheme="minorHAnsi"/>
        </w:rPr>
        <w:t>dziedzictwa</w:t>
      </w:r>
      <w:r w:rsidR="003B50ED" w:rsidRPr="00F16251">
        <w:rPr>
          <w:rFonts w:cstheme="minorHAnsi"/>
          <w:spacing w:val="-1"/>
        </w:rPr>
        <w:t xml:space="preserve"> </w:t>
      </w:r>
      <w:r w:rsidR="0013331D" w:rsidRPr="00F16251">
        <w:rPr>
          <w:rFonts w:cstheme="minorHAnsi"/>
        </w:rPr>
        <w:t>obszaru</w:t>
      </w:r>
      <w:r w:rsidR="003B50ED" w:rsidRPr="00F16251">
        <w:rPr>
          <w:rFonts w:cstheme="minorHAnsi"/>
          <w:spacing w:val="-2"/>
        </w:rPr>
        <w:t xml:space="preserve"> </w:t>
      </w:r>
      <w:r w:rsidR="008247A9" w:rsidRPr="00F16251">
        <w:rPr>
          <w:rFonts w:cstheme="minorHAnsi"/>
        </w:rPr>
        <w:t xml:space="preserve">objętego LSR </w:t>
      </w:r>
      <w:r w:rsidR="0013331D" w:rsidRPr="00F16251">
        <w:rPr>
          <w:rFonts w:cstheme="minorHAnsi"/>
        </w:rPr>
        <w:t>oraz</w:t>
      </w:r>
      <w:r w:rsidR="003B50ED" w:rsidRPr="00F16251">
        <w:rPr>
          <w:rFonts w:cstheme="minorHAnsi"/>
        </w:rPr>
        <w:t xml:space="preserve"> </w:t>
      </w:r>
      <w:r w:rsidR="0013331D" w:rsidRPr="00F16251">
        <w:rPr>
          <w:rFonts w:cstheme="minorHAnsi"/>
        </w:rPr>
        <w:t>wzmocnienie</w:t>
      </w:r>
      <w:r w:rsidR="003B50ED" w:rsidRPr="00F16251">
        <w:rPr>
          <w:rFonts w:cstheme="minorHAnsi"/>
        </w:rPr>
        <w:t xml:space="preserve"> </w:t>
      </w:r>
      <w:r w:rsidR="0013331D" w:rsidRPr="00F16251">
        <w:rPr>
          <w:rFonts w:cstheme="minorHAnsi"/>
        </w:rPr>
        <w:t>rozwoju</w:t>
      </w:r>
      <w:r w:rsidR="003B50ED" w:rsidRPr="00F16251">
        <w:rPr>
          <w:rFonts w:cstheme="minorHAnsi"/>
        </w:rPr>
        <w:t xml:space="preserve"> </w:t>
      </w:r>
      <w:r w:rsidR="0013331D" w:rsidRPr="00F16251">
        <w:rPr>
          <w:rFonts w:cstheme="minorHAnsi"/>
        </w:rPr>
        <w:t>gospodarczego</w:t>
      </w:r>
      <w:r w:rsidR="003B50ED" w:rsidRPr="00F16251">
        <w:rPr>
          <w:rFonts w:cstheme="minorHAnsi"/>
        </w:rPr>
        <w:t xml:space="preserve"> </w:t>
      </w:r>
      <w:r w:rsidR="0013331D" w:rsidRPr="00F16251">
        <w:rPr>
          <w:rFonts w:cstheme="minorHAnsi"/>
        </w:rPr>
        <w:t>m.in.</w:t>
      </w:r>
      <w:r w:rsidR="003B50ED" w:rsidRPr="00F16251">
        <w:rPr>
          <w:rFonts w:cstheme="minorHAnsi"/>
        </w:rPr>
        <w:t xml:space="preserve"> </w:t>
      </w:r>
      <w:r w:rsidR="0013331D" w:rsidRPr="00F16251">
        <w:rPr>
          <w:rFonts w:cstheme="minorHAnsi"/>
        </w:rPr>
        <w:t>poprzez</w:t>
      </w:r>
      <w:r w:rsidR="003B50ED" w:rsidRPr="00F16251">
        <w:rPr>
          <w:rFonts w:cstheme="minorHAnsi"/>
        </w:rPr>
        <w:t xml:space="preserve"> </w:t>
      </w:r>
      <w:r w:rsidR="0013331D" w:rsidRPr="00F16251">
        <w:rPr>
          <w:rFonts w:cstheme="minorHAnsi"/>
        </w:rPr>
        <w:t>tworzenie</w:t>
      </w:r>
      <w:r w:rsidR="003B50ED" w:rsidRPr="00F16251">
        <w:rPr>
          <w:rFonts w:cstheme="minorHAnsi"/>
        </w:rPr>
        <w:t xml:space="preserve"> </w:t>
      </w:r>
      <w:r w:rsidR="0013331D" w:rsidRPr="00F16251">
        <w:rPr>
          <w:rFonts w:cstheme="minorHAnsi"/>
        </w:rPr>
        <w:t>nowych</w:t>
      </w:r>
      <w:r w:rsidR="003B50ED" w:rsidRPr="00F16251">
        <w:rPr>
          <w:rFonts w:cstheme="minorHAnsi"/>
        </w:rPr>
        <w:t xml:space="preserve"> </w:t>
      </w:r>
      <w:r w:rsidR="0013331D" w:rsidRPr="00F16251">
        <w:rPr>
          <w:rFonts w:cstheme="minorHAnsi"/>
        </w:rPr>
        <w:t>miejsc</w:t>
      </w:r>
      <w:r w:rsidR="003B50ED" w:rsidRPr="00F16251">
        <w:rPr>
          <w:rFonts w:cstheme="minorHAnsi"/>
        </w:rPr>
        <w:t xml:space="preserve"> </w:t>
      </w:r>
      <w:r w:rsidR="0013331D" w:rsidRPr="00F16251">
        <w:rPr>
          <w:rFonts w:cstheme="minorHAnsi"/>
        </w:rPr>
        <w:t>pracy.</w:t>
      </w:r>
      <w:r w:rsidR="003B50ED" w:rsidRPr="00F16251">
        <w:rPr>
          <w:rFonts w:cstheme="minorHAnsi"/>
        </w:rPr>
        <w:t xml:space="preserve"> </w:t>
      </w:r>
    </w:p>
    <w:p w14:paraId="1ADFABF2" w14:textId="6F754B4E" w:rsidR="0013331D" w:rsidRPr="00F16251" w:rsidRDefault="0013331D" w:rsidP="00A26C26">
      <w:pPr>
        <w:spacing w:line="276" w:lineRule="auto"/>
        <w:ind w:firstLine="284"/>
        <w:jc w:val="both"/>
        <w:rPr>
          <w:rFonts w:cstheme="minorHAnsi"/>
        </w:rPr>
      </w:pPr>
      <w:r w:rsidRPr="00F16251">
        <w:rPr>
          <w:rFonts w:cstheme="minorHAnsi"/>
        </w:rPr>
        <w:t>W</w:t>
      </w:r>
      <w:r w:rsidR="003B50ED" w:rsidRPr="00F16251">
        <w:rPr>
          <w:rFonts w:cstheme="minorHAnsi"/>
        </w:rPr>
        <w:t xml:space="preserve"> </w:t>
      </w:r>
      <w:r w:rsidRPr="00F16251">
        <w:rPr>
          <w:rFonts w:cstheme="minorHAnsi"/>
        </w:rPr>
        <w:t>ramach</w:t>
      </w:r>
      <w:r w:rsidR="003B50ED" w:rsidRPr="00F16251">
        <w:rPr>
          <w:rFonts w:cstheme="minorHAnsi"/>
        </w:rPr>
        <w:t xml:space="preserve"> </w:t>
      </w:r>
      <w:r w:rsidRPr="00F16251">
        <w:rPr>
          <w:rFonts w:cstheme="minorHAnsi"/>
        </w:rPr>
        <w:t>powyższych</w:t>
      </w:r>
      <w:r w:rsidR="003B50ED" w:rsidRPr="00F16251">
        <w:rPr>
          <w:rFonts w:cstheme="minorHAnsi"/>
        </w:rPr>
        <w:t xml:space="preserve"> </w:t>
      </w:r>
      <w:r w:rsidRPr="00F16251">
        <w:rPr>
          <w:rFonts w:cstheme="minorHAnsi"/>
        </w:rPr>
        <w:t>celów</w:t>
      </w:r>
      <w:r w:rsidR="003B50ED" w:rsidRPr="00F16251">
        <w:rPr>
          <w:rFonts w:cstheme="minorHAnsi"/>
        </w:rPr>
        <w:t xml:space="preserve"> </w:t>
      </w:r>
      <w:r w:rsidRPr="00F16251">
        <w:rPr>
          <w:rFonts w:cstheme="minorHAnsi"/>
        </w:rPr>
        <w:t>zrealizowano</w:t>
      </w:r>
      <w:r w:rsidR="003B50ED" w:rsidRPr="00F16251">
        <w:rPr>
          <w:rFonts w:cstheme="minorHAnsi"/>
        </w:rPr>
        <w:t xml:space="preserve"> </w:t>
      </w:r>
      <w:r w:rsidRPr="00F16251">
        <w:rPr>
          <w:rFonts w:cstheme="minorHAnsi"/>
        </w:rPr>
        <w:t>szereg</w:t>
      </w:r>
      <w:r w:rsidR="003B50ED" w:rsidRPr="00F16251">
        <w:rPr>
          <w:rFonts w:cstheme="minorHAnsi"/>
        </w:rPr>
        <w:t xml:space="preserve"> </w:t>
      </w:r>
      <w:r w:rsidRPr="00F16251">
        <w:rPr>
          <w:rFonts w:cstheme="minorHAnsi"/>
        </w:rPr>
        <w:t>działań</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zakresu</w:t>
      </w:r>
      <w:r w:rsidR="003B50ED" w:rsidRPr="00F16251">
        <w:rPr>
          <w:rFonts w:cstheme="minorHAnsi"/>
        </w:rPr>
        <w:t xml:space="preserve"> </w:t>
      </w:r>
      <w:r w:rsidRPr="00F16251">
        <w:rPr>
          <w:rFonts w:cstheme="minorHAnsi"/>
        </w:rPr>
        <w:t>budowy/przebudowy</w:t>
      </w:r>
      <w:r w:rsidR="003B50ED" w:rsidRPr="00F16251">
        <w:rPr>
          <w:rFonts w:cstheme="minorHAnsi"/>
        </w:rPr>
        <w:t xml:space="preserve"> </w:t>
      </w:r>
      <w:r w:rsidRPr="00F16251">
        <w:rPr>
          <w:rFonts w:cstheme="minorHAnsi"/>
        </w:rPr>
        <w:t>obiektów</w:t>
      </w:r>
      <w:r w:rsidR="003B50ED" w:rsidRPr="00F16251">
        <w:rPr>
          <w:rFonts w:cstheme="minorHAnsi"/>
        </w:rPr>
        <w:t xml:space="preserve"> </w:t>
      </w:r>
      <w:r w:rsidRPr="00F16251">
        <w:rPr>
          <w:rFonts w:cstheme="minorHAnsi"/>
        </w:rPr>
        <w:t>infrastruktury</w:t>
      </w:r>
      <w:r w:rsidR="003B50ED" w:rsidRPr="00F16251">
        <w:rPr>
          <w:rFonts w:cstheme="minorHAnsi"/>
        </w:rPr>
        <w:t xml:space="preserve"> </w:t>
      </w:r>
      <w:r w:rsidRPr="00F16251">
        <w:rPr>
          <w:rFonts w:cstheme="minorHAnsi"/>
        </w:rPr>
        <w:t>turystycznej</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rekreacyjnej,</w:t>
      </w:r>
      <w:r w:rsidR="003B50ED" w:rsidRPr="00F16251">
        <w:rPr>
          <w:rFonts w:cstheme="minorHAnsi"/>
        </w:rPr>
        <w:t xml:space="preserve"> </w:t>
      </w:r>
      <w:r w:rsidRPr="00F16251">
        <w:rPr>
          <w:rFonts w:cstheme="minorHAnsi"/>
        </w:rPr>
        <w:t>organizacji</w:t>
      </w:r>
      <w:r w:rsidR="003B50ED" w:rsidRPr="00F16251">
        <w:rPr>
          <w:rFonts w:cstheme="minorHAnsi"/>
        </w:rPr>
        <w:t xml:space="preserve"> </w:t>
      </w:r>
      <w:r w:rsidRPr="00F16251">
        <w:rPr>
          <w:rFonts w:cstheme="minorHAnsi"/>
        </w:rPr>
        <w:t>wydarzeń</w:t>
      </w:r>
      <w:r w:rsidR="003B50ED" w:rsidRPr="00F16251">
        <w:rPr>
          <w:rFonts w:cstheme="minorHAnsi"/>
        </w:rPr>
        <w:t xml:space="preserve"> </w:t>
      </w:r>
      <w:r w:rsidRPr="00F16251">
        <w:rPr>
          <w:rFonts w:cstheme="minorHAnsi"/>
        </w:rPr>
        <w:t>promujących</w:t>
      </w:r>
      <w:r w:rsidR="003B50ED" w:rsidRPr="00F16251">
        <w:rPr>
          <w:rFonts w:cstheme="minorHAnsi"/>
        </w:rPr>
        <w:t xml:space="preserve"> </w:t>
      </w:r>
      <w:r w:rsidRPr="00F16251">
        <w:rPr>
          <w:rFonts w:cstheme="minorHAnsi"/>
        </w:rPr>
        <w:t>obszar</w:t>
      </w:r>
      <w:r w:rsidR="003B50ED" w:rsidRPr="00F16251">
        <w:rPr>
          <w:rFonts w:cstheme="minorHAnsi"/>
        </w:rPr>
        <w:t xml:space="preserve"> </w:t>
      </w:r>
      <w:r w:rsidR="008247A9" w:rsidRPr="00F16251">
        <w:rPr>
          <w:rFonts w:cstheme="minorHAnsi"/>
        </w:rPr>
        <w:t xml:space="preserve">objęty LSR </w:t>
      </w:r>
      <w:r w:rsidRPr="00F16251">
        <w:rPr>
          <w:rFonts w:cstheme="minorHAnsi"/>
        </w:rPr>
        <w:t>oraz</w:t>
      </w:r>
      <w:r w:rsidR="003B50ED" w:rsidRPr="00F16251">
        <w:rPr>
          <w:rFonts w:cstheme="minorHAnsi"/>
        </w:rPr>
        <w:t xml:space="preserve"> </w:t>
      </w:r>
      <w:r w:rsidRPr="00F16251">
        <w:rPr>
          <w:rFonts w:cstheme="minorHAnsi"/>
        </w:rPr>
        <w:t>produkty</w:t>
      </w:r>
      <w:r w:rsidR="003B50ED" w:rsidRPr="00F16251">
        <w:rPr>
          <w:rFonts w:cstheme="minorHAnsi"/>
        </w:rPr>
        <w:t xml:space="preserve"> </w:t>
      </w:r>
      <w:r w:rsidRPr="00F16251">
        <w:rPr>
          <w:rFonts w:cstheme="minorHAnsi"/>
        </w:rPr>
        <w:t>lokalne</w:t>
      </w:r>
      <w:r w:rsidR="003B50ED" w:rsidRPr="00F16251">
        <w:rPr>
          <w:rFonts w:cstheme="minorHAnsi"/>
        </w:rPr>
        <w:t xml:space="preserve"> </w:t>
      </w:r>
      <w:r w:rsidR="00C410C9" w:rsidRPr="00F16251">
        <w:rPr>
          <w:rFonts w:cstheme="minorHAnsi"/>
        </w:rPr>
        <w:br/>
      </w:r>
      <w:r w:rsidRPr="00F16251">
        <w:rPr>
          <w:rFonts w:cstheme="minorHAnsi"/>
        </w:rPr>
        <w:t>w</w:t>
      </w:r>
      <w:r w:rsidR="003B50ED" w:rsidRPr="00F16251">
        <w:rPr>
          <w:rFonts w:cstheme="minorHAnsi"/>
        </w:rPr>
        <w:t xml:space="preserve"> </w:t>
      </w:r>
      <w:r w:rsidRPr="00F16251">
        <w:rPr>
          <w:rFonts w:cstheme="minorHAnsi"/>
        </w:rPr>
        <w:t>tym</w:t>
      </w:r>
      <w:r w:rsidR="003B50ED" w:rsidRPr="00F16251">
        <w:rPr>
          <w:rFonts w:cstheme="minorHAnsi"/>
        </w:rPr>
        <w:t xml:space="preserve"> </w:t>
      </w:r>
      <w:r w:rsidRPr="00F16251">
        <w:rPr>
          <w:rFonts w:cstheme="minorHAnsi"/>
        </w:rPr>
        <w:t>warsztaty</w:t>
      </w:r>
      <w:r w:rsidR="003B50ED" w:rsidRPr="00F16251">
        <w:rPr>
          <w:rFonts w:cstheme="minorHAnsi"/>
        </w:rPr>
        <w:t xml:space="preserve"> </w:t>
      </w:r>
      <w:r w:rsidRPr="00F16251">
        <w:rPr>
          <w:rFonts w:cstheme="minorHAnsi"/>
        </w:rPr>
        <w:t>rękodzieła,</w:t>
      </w:r>
      <w:r w:rsidR="003B50ED" w:rsidRPr="00F16251">
        <w:rPr>
          <w:rFonts w:cstheme="minorHAnsi"/>
        </w:rPr>
        <w:t xml:space="preserve"> </w:t>
      </w:r>
      <w:r w:rsidRPr="00F16251">
        <w:rPr>
          <w:rFonts w:cstheme="minorHAnsi"/>
        </w:rPr>
        <w:t>jarmarki,</w:t>
      </w:r>
      <w:r w:rsidR="003B50ED" w:rsidRPr="00F16251">
        <w:rPr>
          <w:rFonts w:cstheme="minorHAnsi"/>
        </w:rPr>
        <w:t xml:space="preserve"> </w:t>
      </w:r>
      <w:r w:rsidRPr="00F16251">
        <w:rPr>
          <w:rFonts w:cstheme="minorHAnsi"/>
        </w:rPr>
        <w:t>wyjazdy</w:t>
      </w:r>
      <w:r w:rsidR="003B50ED" w:rsidRPr="00F16251">
        <w:rPr>
          <w:rFonts w:cstheme="minorHAnsi"/>
        </w:rPr>
        <w:t xml:space="preserve"> </w:t>
      </w:r>
      <w:r w:rsidRPr="00F16251">
        <w:rPr>
          <w:rFonts w:cstheme="minorHAnsi"/>
        </w:rPr>
        <w:t>studyjne</w:t>
      </w:r>
      <w:r w:rsidR="003B50ED" w:rsidRPr="00F16251">
        <w:rPr>
          <w:rFonts w:cstheme="minorHAnsi"/>
        </w:rPr>
        <w:t xml:space="preserve"> </w:t>
      </w:r>
      <w:r w:rsidRPr="00F16251">
        <w:rPr>
          <w:rFonts w:cstheme="minorHAnsi"/>
        </w:rPr>
        <w:t>oraz</w:t>
      </w:r>
      <w:r w:rsidR="003B50ED" w:rsidRPr="00F16251">
        <w:rPr>
          <w:rFonts w:cstheme="minorHAnsi"/>
        </w:rPr>
        <w:t xml:space="preserve"> </w:t>
      </w:r>
      <w:r w:rsidRPr="00F16251">
        <w:rPr>
          <w:rFonts w:cstheme="minorHAnsi"/>
        </w:rPr>
        <w:t>rozwój</w:t>
      </w:r>
      <w:r w:rsidR="003B50ED" w:rsidRPr="00F16251">
        <w:rPr>
          <w:rFonts w:cstheme="minorHAnsi"/>
        </w:rPr>
        <w:t xml:space="preserve"> </w:t>
      </w:r>
      <w:r w:rsidRPr="00F16251">
        <w:rPr>
          <w:rFonts w:cstheme="minorHAnsi"/>
        </w:rPr>
        <w:t>istniejących</w:t>
      </w:r>
      <w:r w:rsidR="003B50ED" w:rsidRPr="00F16251">
        <w:rPr>
          <w:rFonts w:cstheme="minorHAnsi"/>
        </w:rPr>
        <w:t xml:space="preserve"> </w:t>
      </w:r>
      <w:r w:rsidRPr="00F16251">
        <w:rPr>
          <w:rFonts w:cstheme="minorHAnsi"/>
        </w:rPr>
        <w:t>przedsiębiorstw</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powstawanie</w:t>
      </w:r>
      <w:r w:rsidR="003B50ED" w:rsidRPr="00F16251">
        <w:rPr>
          <w:rFonts w:cstheme="minorHAnsi"/>
        </w:rPr>
        <w:t xml:space="preserve"> </w:t>
      </w:r>
      <w:r w:rsidRPr="00F16251">
        <w:rPr>
          <w:rFonts w:cstheme="minorHAnsi"/>
        </w:rPr>
        <w:t>nowych</w:t>
      </w:r>
      <w:r w:rsidR="003B50ED" w:rsidRPr="00F16251">
        <w:rPr>
          <w:rFonts w:cstheme="minorHAnsi"/>
        </w:rPr>
        <w:t xml:space="preserve"> </w:t>
      </w:r>
      <w:r w:rsidRPr="00F16251">
        <w:rPr>
          <w:rFonts w:cstheme="minorHAnsi"/>
        </w:rPr>
        <w:t>podmiotów</w:t>
      </w:r>
      <w:r w:rsidR="003B50ED" w:rsidRPr="00F16251">
        <w:rPr>
          <w:rFonts w:cstheme="minorHAnsi"/>
        </w:rPr>
        <w:t xml:space="preserve"> </w:t>
      </w:r>
      <w:r w:rsidRPr="00F16251">
        <w:rPr>
          <w:rFonts w:cstheme="minorHAnsi"/>
        </w:rPr>
        <w:t>gospodarczych.</w:t>
      </w:r>
      <w:r w:rsidR="003B50ED" w:rsidRPr="00F16251">
        <w:rPr>
          <w:rFonts w:cstheme="minorHAnsi"/>
        </w:rPr>
        <w:t xml:space="preserve"> </w:t>
      </w:r>
    </w:p>
    <w:p w14:paraId="1E9D6BD5" w14:textId="156EF5BC" w:rsidR="0013331D" w:rsidRPr="00F16251" w:rsidRDefault="0013331D" w:rsidP="00A26C26">
      <w:pPr>
        <w:spacing w:line="276" w:lineRule="auto"/>
        <w:ind w:firstLine="284"/>
        <w:jc w:val="both"/>
        <w:rPr>
          <w:rFonts w:cstheme="minorHAnsi"/>
          <w:strike/>
          <w:color w:val="C00000"/>
        </w:rPr>
      </w:pPr>
      <w:r w:rsidRPr="00F16251">
        <w:rPr>
          <w:rFonts w:cstheme="minorHAnsi"/>
        </w:rPr>
        <w:t>Najwięcej</w:t>
      </w:r>
      <w:r w:rsidR="003B50ED" w:rsidRPr="00F16251">
        <w:rPr>
          <w:rFonts w:cstheme="minorHAnsi"/>
        </w:rPr>
        <w:t xml:space="preserve"> </w:t>
      </w:r>
      <w:r w:rsidRPr="00F16251">
        <w:rPr>
          <w:rFonts w:cstheme="minorHAnsi"/>
        </w:rPr>
        <w:t>środków</w:t>
      </w:r>
      <w:r w:rsidR="003B50ED" w:rsidRPr="00F16251">
        <w:rPr>
          <w:rFonts w:cstheme="minorHAnsi"/>
        </w:rPr>
        <w:t xml:space="preserve"> </w:t>
      </w:r>
      <w:r w:rsidRPr="00F16251">
        <w:rPr>
          <w:rFonts w:cstheme="minorHAnsi"/>
        </w:rPr>
        <w:t>wypłacono</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ramach</w:t>
      </w:r>
      <w:r w:rsidR="003B50ED" w:rsidRPr="00F16251">
        <w:rPr>
          <w:rFonts w:cstheme="minorHAnsi"/>
        </w:rPr>
        <w:t xml:space="preserve"> </w:t>
      </w:r>
      <w:r w:rsidRPr="00F16251">
        <w:rPr>
          <w:rFonts w:cstheme="minorHAnsi"/>
        </w:rPr>
        <w:t>przedsięwzięcia</w:t>
      </w:r>
      <w:r w:rsidR="003B50ED" w:rsidRPr="00F16251">
        <w:rPr>
          <w:rFonts w:cstheme="minorHAnsi"/>
        </w:rPr>
        <w:t xml:space="preserve"> </w:t>
      </w:r>
      <w:r w:rsidRPr="00F16251">
        <w:rPr>
          <w:rFonts w:cstheme="minorHAnsi"/>
        </w:rPr>
        <w:t>Tworzenie</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rozwój</w:t>
      </w:r>
      <w:r w:rsidR="003B50ED" w:rsidRPr="00F16251">
        <w:rPr>
          <w:rFonts w:cstheme="minorHAnsi"/>
        </w:rPr>
        <w:t xml:space="preserve"> </w:t>
      </w:r>
      <w:r w:rsidRPr="00F16251">
        <w:rPr>
          <w:rFonts w:cstheme="minorHAnsi"/>
        </w:rPr>
        <w:t>przedsięwzięć</w:t>
      </w:r>
      <w:r w:rsidR="003B50ED" w:rsidRPr="00F16251">
        <w:rPr>
          <w:rFonts w:cstheme="minorHAnsi"/>
        </w:rPr>
        <w:t xml:space="preserve"> </w:t>
      </w:r>
      <w:r w:rsidRPr="00F16251">
        <w:rPr>
          <w:rFonts w:cstheme="minorHAnsi"/>
        </w:rPr>
        <w:t>gospodarczych</w:t>
      </w:r>
      <w:r w:rsidR="003B50ED" w:rsidRPr="00F16251">
        <w:rPr>
          <w:rFonts w:cstheme="minorHAnsi"/>
        </w:rPr>
        <w:t xml:space="preserve"> </w:t>
      </w:r>
      <w:r w:rsidRPr="00F16251">
        <w:rPr>
          <w:rFonts w:cstheme="minorHAnsi"/>
        </w:rPr>
        <w:t>(552</w:t>
      </w:r>
      <w:r w:rsidR="003B50ED" w:rsidRPr="00F16251">
        <w:rPr>
          <w:rFonts w:cstheme="minorHAnsi"/>
        </w:rPr>
        <w:t xml:space="preserve"> </w:t>
      </w:r>
      <w:r w:rsidRPr="00F16251">
        <w:rPr>
          <w:rFonts w:cstheme="minorHAnsi"/>
        </w:rPr>
        <w:t>101</w:t>
      </w:r>
      <w:r w:rsidR="003B50ED" w:rsidRPr="00F16251">
        <w:rPr>
          <w:rFonts w:cstheme="minorHAnsi"/>
        </w:rPr>
        <w:t xml:space="preserve"> </w:t>
      </w:r>
      <w:r w:rsidRPr="00F16251">
        <w:rPr>
          <w:rFonts w:cstheme="minorHAnsi"/>
        </w:rPr>
        <w:t>EUR),</w:t>
      </w:r>
      <w:r w:rsidR="003B50ED" w:rsidRPr="00F16251">
        <w:rPr>
          <w:rFonts w:cstheme="minorHAnsi"/>
        </w:rPr>
        <w:t xml:space="preserve"> </w:t>
      </w:r>
      <w:r w:rsidRPr="00F16251">
        <w:rPr>
          <w:rFonts w:cstheme="minorHAnsi"/>
        </w:rPr>
        <w:t>Infrastruktura</w:t>
      </w:r>
      <w:r w:rsidR="003B50ED" w:rsidRPr="00F16251">
        <w:rPr>
          <w:rFonts w:cstheme="minorHAnsi"/>
        </w:rPr>
        <w:t xml:space="preserve"> </w:t>
      </w:r>
      <w:r w:rsidRPr="00F16251">
        <w:rPr>
          <w:rFonts w:cstheme="minorHAnsi"/>
        </w:rPr>
        <w:t>turystyczno</w:t>
      </w:r>
      <w:r w:rsidR="0035174A" w:rsidRPr="00F16251">
        <w:rPr>
          <w:rFonts w:cstheme="minorHAnsi"/>
        </w:rPr>
        <w:t>-</w:t>
      </w:r>
      <w:r w:rsidRPr="00F16251">
        <w:rPr>
          <w:rFonts w:cstheme="minorHAnsi"/>
        </w:rPr>
        <w:t>rekreacyjna</w:t>
      </w:r>
      <w:r w:rsidR="003B50ED" w:rsidRPr="00F16251">
        <w:rPr>
          <w:rFonts w:cstheme="minorHAnsi"/>
        </w:rPr>
        <w:t xml:space="preserve"> </w:t>
      </w:r>
      <w:r w:rsidRPr="00F16251">
        <w:rPr>
          <w:rFonts w:cstheme="minorHAnsi"/>
        </w:rPr>
        <w:t>podstawą</w:t>
      </w:r>
      <w:r w:rsidR="003B50ED" w:rsidRPr="00F16251">
        <w:rPr>
          <w:rFonts w:cstheme="minorHAnsi"/>
        </w:rPr>
        <w:t xml:space="preserve"> </w:t>
      </w:r>
      <w:r w:rsidRPr="00F16251">
        <w:rPr>
          <w:rFonts w:cstheme="minorHAnsi"/>
        </w:rPr>
        <w:t>podwyższenia</w:t>
      </w:r>
      <w:r w:rsidR="003B50ED" w:rsidRPr="00F16251">
        <w:rPr>
          <w:rFonts w:cstheme="minorHAnsi"/>
        </w:rPr>
        <w:t xml:space="preserve"> </w:t>
      </w:r>
      <w:r w:rsidRPr="00F16251">
        <w:rPr>
          <w:rFonts w:cstheme="minorHAnsi"/>
        </w:rPr>
        <w:t>jakości</w:t>
      </w:r>
      <w:r w:rsidR="003B50ED" w:rsidRPr="00F16251">
        <w:rPr>
          <w:rFonts w:cstheme="minorHAnsi"/>
        </w:rPr>
        <w:t xml:space="preserve"> </w:t>
      </w:r>
      <w:r w:rsidRPr="00F16251">
        <w:rPr>
          <w:rFonts w:cstheme="minorHAnsi"/>
        </w:rPr>
        <w:t>życia</w:t>
      </w:r>
      <w:r w:rsidR="003B50ED" w:rsidRPr="00F16251">
        <w:rPr>
          <w:rFonts w:cstheme="minorHAnsi"/>
        </w:rPr>
        <w:t xml:space="preserve"> </w:t>
      </w:r>
      <w:r w:rsidRPr="00F16251">
        <w:rPr>
          <w:rFonts w:cstheme="minorHAnsi"/>
        </w:rPr>
        <w:t>(356</w:t>
      </w:r>
      <w:r w:rsidR="003B50ED" w:rsidRPr="00F16251">
        <w:rPr>
          <w:rFonts w:cstheme="minorHAnsi"/>
        </w:rPr>
        <w:t xml:space="preserve"> </w:t>
      </w:r>
      <w:r w:rsidRPr="00F16251">
        <w:rPr>
          <w:rFonts w:cstheme="minorHAnsi"/>
        </w:rPr>
        <w:t>615</w:t>
      </w:r>
      <w:r w:rsidR="003B50ED" w:rsidRPr="00F16251">
        <w:rPr>
          <w:rFonts w:cstheme="minorHAnsi"/>
        </w:rPr>
        <w:t xml:space="preserve"> </w:t>
      </w:r>
      <w:r w:rsidRPr="00F16251">
        <w:rPr>
          <w:rFonts w:cstheme="minorHAnsi"/>
        </w:rPr>
        <w:t>EUR)</w:t>
      </w:r>
      <w:r w:rsidR="003B50ED" w:rsidRPr="00F16251">
        <w:rPr>
          <w:rFonts w:cstheme="minorHAnsi"/>
        </w:rPr>
        <w:t xml:space="preserve"> </w:t>
      </w:r>
      <w:r w:rsidRPr="00F16251">
        <w:rPr>
          <w:rFonts w:cstheme="minorHAnsi"/>
        </w:rPr>
        <w:t>oraz</w:t>
      </w:r>
      <w:r w:rsidR="003B50ED" w:rsidRPr="00F16251">
        <w:rPr>
          <w:rFonts w:cstheme="minorHAnsi"/>
        </w:rPr>
        <w:t xml:space="preserve"> </w:t>
      </w:r>
      <w:r w:rsidRPr="00F16251">
        <w:rPr>
          <w:rFonts w:cstheme="minorHAnsi"/>
        </w:rPr>
        <w:t>Infrastruktura</w:t>
      </w:r>
      <w:r w:rsidR="003B50ED" w:rsidRPr="00F16251">
        <w:rPr>
          <w:rFonts w:cstheme="minorHAnsi"/>
        </w:rPr>
        <w:t xml:space="preserve"> </w:t>
      </w:r>
      <w:r w:rsidRPr="00F16251">
        <w:rPr>
          <w:rFonts w:cstheme="minorHAnsi"/>
        </w:rPr>
        <w:t>kulturalna</w:t>
      </w:r>
      <w:r w:rsidR="003B50ED" w:rsidRPr="00F16251">
        <w:rPr>
          <w:rFonts w:cstheme="minorHAnsi"/>
        </w:rPr>
        <w:t xml:space="preserve"> </w:t>
      </w:r>
      <w:r w:rsidRPr="00F16251">
        <w:rPr>
          <w:rFonts w:cstheme="minorHAnsi"/>
        </w:rPr>
        <w:t>podstawą</w:t>
      </w:r>
      <w:r w:rsidR="003B50ED" w:rsidRPr="00F16251">
        <w:rPr>
          <w:rFonts w:cstheme="minorHAnsi"/>
        </w:rPr>
        <w:t xml:space="preserve"> </w:t>
      </w:r>
      <w:r w:rsidRPr="00F16251">
        <w:rPr>
          <w:rFonts w:cstheme="minorHAnsi"/>
        </w:rPr>
        <w:t>naszej</w:t>
      </w:r>
      <w:r w:rsidR="003B50ED" w:rsidRPr="00F16251">
        <w:rPr>
          <w:rFonts w:cstheme="minorHAnsi"/>
        </w:rPr>
        <w:t xml:space="preserve"> </w:t>
      </w:r>
      <w:r w:rsidRPr="00F16251">
        <w:rPr>
          <w:rFonts w:cstheme="minorHAnsi"/>
        </w:rPr>
        <w:t>aktywności</w:t>
      </w:r>
      <w:r w:rsidR="003B50ED" w:rsidRPr="00F16251">
        <w:rPr>
          <w:rFonts w:cstheme="minorHAnsi"/>
        </w:rPr>
        <w:t xml:space="preserve"> </w:t>
      </w:r>
      <w:r w:rsidRPr="00F16251">
        <w:rPr>
          <w:rFonts w:cstheme="minorHAnsi"/>
        </w:rPr>
        <w:t>(124</w:t>
      </w:r>
      <w:r w:rsidR="003B50ED" w:rsidRPr="00F16251">
        <w:rPr>
          <w:rFonts w:cstheme="minorHAnsi"/>
        </w:rPr>
        <w:t xml:space="preserve"> </w:t>
      </w:r>
      <w:r w:rsidRPr="00F16251">
        <w:rPr>
          <w:rFonts w:cstheme="minorHAnsi"/>
        </w:rPr>
        <w:t>821</w:t>
      </w:r>
      <w:r w:rsidR="003B50ED" w:rsidRPr="00F16251">
        <w:rPr>
          <w:rFonts w:cstheme="minorHAnsi"/>
        </w:rPr>
        <w:t xml:space="preserve"> </w:t>
      </w:r>
      <w:r w:rsidRPr="00F16251">
        <w:rPr>
          <w:rFonts w:cstheme="minorHAnsi"/>
        </w:rPr>
        <w:t>EUR).</w:t>
      </w:r>
    </w:p>
    <w:p w14:paraId="70BBE124" w14:textId="0C8579A9" w:rsidR="007C44CB" w:rsidRPr="00F16251" w:rsidRDefault="0013331D" w:rsidP="00A26C26">
      <w:pPr>
        <w:spacing w:line="276" w:lineRule="auto"/>
        <w:ind w:firstLine="284"/>
        <w:jc w:val="both"/>
        <w:rPr>
          <w:rFonts w:cstheme="minorHAnsi"/>
        </w:rPr>
      </w:pPr>
      <w:r w:rsidRPr="00F16251">
        <w:rPr>
          <w:rFonts w:cstheme="minorHAnsi"/>
        </w:rPr>
        <w:t>Należy</w:t>
      </w:r>
      <w:r w:rsidR="003B50ED" w:rsidRPr="00F16251">
        <w:rPr>
          <w:rFonts w:cstheme="minorHAnsi"/>
        </w:rPr>
        <w:t xml:space="preserve"> </w:t>
      </w:r>
      <w:r w:rsidRPr="00F16251">
        <w:rPr>
          <w:rFonts w:cstheme="minorHAnsi"/>
        </w:rPr>
        <w:t>podkreślić,</w:t>
      </w:r>
      <w:r w:rsidR="003B50ED" w:rsidRPr="00F16251">
        <w:rPr>
          <w:rFonts w:cstheme="minorHAnsi"/>
        </w:rPr>
        <w:t xml:space="preserve"> </w:t>
      </w:r>
      <w:r w:rsidR="007C44CB" w:rsidRPr="00F16251">
        <w:rPr>
          <w:rFonts w:cstheme="minorHAnsi"/>
        </w:rPr>
        <w:t>iż</w:t>
      </w:r>
      <w:r w:rsidR="003B50ED" w:rsidRPr="00F16251">
        <w:rPr>
          <w:rFonts w:cstheme="minorHAnsi"/>
        </w:rPr>
        <w:t xml:space="preserve"> </w:t>
      </w:r>
      <w:r w:rsidR="007C44CB" w:rsidRPr="00F16251">
        <w:rPr>
          <w:rFonts w:cstheme="minorHAnsi"/>
        </w:rPr>
        <w:t>zdaniem</w:t>
      </w:r>
      <w:r w:rsidR="003B50ED" w:rsidRPr="00F16251">
        <w:rPr>
          <w:rFonts w:cstheme="minorHAnsi"/>
        </w:rPr>
        <w:t xml:space="preserve"> </w:t>
      </w:r>
      <w:r w:rsidR="007C44CB" w:rsidRPr="00F16251">
        <w:rPr>
          <w:rFonts w:cstheme="minorHAnsi"/>
        </w:rPr>
        <w:t>100%</w:t>
      </w:r>
      <w:r w:rsidR="003B50ED" w:rsidRPr="00F16251">
        <w:rPr>
          <w:rFonts w:cstheme="minorHAnsi"/>
        </w:rPr>
        <w:t xml:space="preserve"> </w:t>
      </w:r>
      <w:r w:rsidR="007C44CB" w:rsidRPr="00F16251">
        <w:rPr>
          <w:rFonts w:cstheme="minorHAnsi"/>
        </w:rPr>
        <w:t>respondentów</w:t>
      </w:r>
      <w:r w:rsidR="003B50ED" w:rsidRPr="00F16251">
        <w:rPr>
          <w:rFonts w:cstheme="minorHAnsi"/>
        </w:rPr>
        <w:t xml:space="preserve"> </w:t>
      </w:r>
      <w:r w:rsidR="007C44CB" w:rsidRPr="00F16251">
        <w:rPr>
          <w:rFonts w:cstheme="minorHAnsi"/>
        </w:rPr>
        <w:t>biorących</w:t>
      </w:r>
      <w:r w:rsidR="003B50ED" w:rsidRPr="00F16251">
        <w:rPr>
          <w:rFonts w:cstheme="minorHAnsi"/>
        </w:rPr>
        <w:t xml:space="preserve"> </w:t>
      </w:r>
      <w:r w:rsidR="007C44CB" w:rsidRPr="00F16251">
        <w:rPr>
          <w:rFonts w:cstheme="minorHAnsi"/>
        </w:rPr>
        <w:t>udział</w:t>
      </w:r>
      <w:r w:rsidR="003B50ED" w:rsidRPr="00F16251">
        <w:rPr>
          <w:rFonts w:cstheme="minorHAnsi"/>
        </w:rPr>
        <w:t xml:space="preserve"> </w:t>
      </w:r>
      <w:r w:rsidR="007C44CB" w:rsidRPr="00F16251">
        <w:rPr>
          <w:rFonts w:cstheme="minorHAnsi"/>
        </w:rPr>
        <w:t>w</w:t>
      </w:r>
      <w:r w:rsidR="003B50ED" w:rsidRPr="00F16251">
        <w:rPr>
          <w:rFonts w:cstheme="minorHAnsi"/>
        </w:rPr>
        <w:t xml:space="preserve"> </w:t>
      </w:r>
      <w:r w:rsidR="007C44CB" w:rsidRPr="00F16251">
        <w:rPr>
          <w:rFonts w:cstheme="minorHAnsi"/>
        </w:rPr>
        <w:t>badaniu</w:t>
      </w:r>
      <w:r w:rsidR="003B50ED" w:rsidRPr="00F16251">
        <w:rPr>
          <w:rFonts w:cstheme="minorHAnsi"/>
        </w:rPr>
        <w:t xml:space="preserve"> </w:t>
      </w:r>
      <w:r w:rsidR="007C44CB" w:rsidRPr="00F16251">
        <w:rPr>
          <w:rFonts w:cstheme="minorHAnsi"/>
        </w:rPr>
        <w:t>ewaluacyjnym</w:t>
      </w:r>
      <w:r w:rsidR="003B50ED" w:rsidRPr="00F16251">
        <w:rPr>
          <w:rFonts w:cstheme="minorHAnsi"/>
        </w:rPr>
        <w:t xml:space="preserve"> </w:t>
      </w:r>
      <w:r w:rsidR="007C44CB" w:rsidRPr="00F16251">
        <w:rPr>
          <w:rFonts w:cstheme="minorHAnsi"/>
        </w:rPr>
        <w:t>podsumowującym</w:t>
      </w:r>
      <w:r w:rsidR="003B50ED" w:rsidRPr="00F16251">
        <w:rPr>
          <w:rFonts w:cstheme="minorHAnsi"/>
        </w:rPr>
        <w:t xml:space="preserve"> </w:t>
      </w:r>
      <w:r w:rsidR="007C44CB" w:rsidRPr="00F16251">
        <w:rPr>
          <w:rFonts w:cstheme="minorHAnsi"/>
        </w:rPr>
        <w:t>okres</w:t>
      </w:r>
      <w:r w:rsidR="003B50ED" w:rsidRPr="00F16251">
        <w:rPr>
          <w:rFonts w:cstheme="minorHAnsi"/>
        </w:rPr>
        <w:t xml:space="preserve"> </w:t>
      </w:r>
      <w:r w:rsidR="007C44CB" w:rsidRPr="00F16251">
        <w:rPr>
          <w:rFonts w:cstheme="minorHAnsi"/>
        </w:rPr>
        <w:t>wdrażania</w:t>
      </w:r>
      <w:r w:rsidR="003B50ED" w:rsidRPr="00F16251">
        <w:rPr>
          <w:rFonts w:cstheme="minorHAnsi"/>
        </w:rPr>
        <w:t xml:space="preserve"> </w:t>
      </w:r>
      <w:r w:rsidR="007C44CB" w:rsidRPr="00F16251">
        <w:rPr>
          <w:rFonts w:cstheme="minorHAnsi"/>
        </w:rPr>
        <w:t>LSR</w:t>
      </w:r>
      <w:r w:rsidR="003B50ED" w:rsidRPr="00F16251">
        <w:rPr>
          <w:rFonts w:cstheme="minorHAnsi"/>
        </w:rPr>
        <w:t xml:space="preserve"> </w:t>
      </w:r>
      <w:r w:rsidR="007C44CB" w:rsidRPr="00F16251">
        <w:rPr>
          <w:rFonts w:cstheme="minorHAnsi"/>
        </w:rPr>
        <w:t>2014-2020,</w:t>
      </w:r>
      <w:r w:rsidR="003B50ED" w:rsidRPr="00F16251">
        <w:rPr>
          <w:rFonts w:cstheme="minorHAnsi"/>
        </w:rPr>
        <w:t xml:space="preserve"> </w:t>
      </w:r>
      <w:r w:rsidR="007C44CB" w:rsidRPr="00F16251">
        <w:rPr>
          <w:rFonts w:cstheme="minorHAnsi"/>
        </w:rPr>
        <w:t>nabory</w:t>
      </w:r>
      <w:r w:rsidR="003B50ED" w:rsidRPr="00F16251">
        <w:rPr>
          <w:rFonts w:cstheme="minorHAnsi"/>
        </w:rPr>
        <w:t xml:space="preserve"> </w:t>
      </w:r>
      <w:r w:rsidR="007C44CB" w:rsidRPr="00F16251">
        <w:rPr>
          <w:rFonts w:cstheme="minorHAnsi"/>
        </w:rPr>
        <w:t>wniosków</w:t>
      </w:r>
      <w:r w:rsidR="003B50ED" w:rsidRPr="00F16251">
        <w:rPr>
          <w:rFonts w:cstheme="minorHAnsi"/>
        </w:rPr>
        <w:t xml:space="preserve"> </w:t>
      </w:r>
      <w:r w:rsidR="007C44CB" w:rsidRPr="00F16251">
        <w:rPr>
          <w:rFonts w:cstheme="minorHAnsi"/>
        </w:rPr>
        <w:t>ogłaszane</w:t>
      </w:r>
      <w:r w:rsidR="003B50ED" w:rsidRPr="00F16251">
        <w:rPr>
          <w:rFonts w:cstheme="minorHAnsi"/>
        </w:rPr>
        <w:t xml:space="preserve"> </w:t>
      </w:r>
      <w:r w:rsidR="007C44CB" w:rsidRPr="00F16251">
        <w:rPr>
          <w:rFonts w:cstheme="minorHAnsi"/>
        </w:rPr>
        <w:t>przez</w:t>
      </w:r>
      <w:r w:rsidR="003B50ED" w:rsidRPr="00F16251">
        <w:rPr>
          <w:rFonts w:cstheme="minorHAnsi"/>
        </w:rPr>
        <w:t xml:space="preserve"> </w:t>
      </w:r>
      <w:r w:rsidR="008247A9" w:rsidRPr="00F16251">
        <w:rPr>
          <w:rFonts w:cstheme="minorHAnsi"/>
        </w:rPr>
        <w:t xml:space="preserve">Stowarzyszenie „Solidarni w Partnerstwie” </w:t>
      </w:r>
      <w:r w:rsidR="007C44CB" w:rsidRPr="00F16251">
        <w:rPr>
          <w:rFonts w:cstheme="minorHAnsi"/>
        </w:rPr>
        <w:t>odpowiadały</w:t>
      </w:r>
      <w:r w:rsidR="003B50ED" w:rsidRPr="00F16251">
        <w:rPr>
          <w:rFonts w:cstheme="minorHAnsi"/>
        </w:rPr>
        <w:t xml:space="preserve"> </w:t>
      </w:r>
      <w:r w:rsidR="007C44CB" w:rsidRPr="00F16251">
        <w:rPr>
          <w:rFonts w:cstheme="minorHAnsi"/>
        </w:rPr>
        <w:t>na</w:t>
      </w:r>
      <w:r w:rsidR="003B50ED" w:rsidRPr="00F16251">
        <w:rPr>
          <w:rFonts w:cstheme="minorHAnsi"/>
        </w:rPr>
        <w:t xml:space="preserve"> </w:t>
      </w:r>
      <w:r w:rsidR="007C44CB" w:rsidRPr="00F16251">
        <w:rPr>
          <w:rFonts w:cstheme="minorHAnsi"/>
        </w:rPr>
        <w:t>potrzeby</w:t>
      </w:r>
      <w:r w:rsidR="003B50ED" w:rsidRPr="00F16251">
        <w:rPr>
          <w:rFonts w:cstheme="minorHAnsi"/>
        </w:rPr>
        <w:t xml:space="preserve"> </w:t>
      </w:r>
      <w:r w:rsidR="007C44CB" w:rsidRPr="00F16251">
        <w:rPr>
          <w:rFonts w:cstheme="minorHAnsi"/>
        </w:rPr>
        <w:t>mieszkańców</w:t>
      </w:r>
      <w:r w:rsidR="003B50ED" w:rsidRPr="00F16251">
        <w:rPr>
          <w:rFonts w:cstheme="minorHAnsi"/>
        </w:rPr>
        <w:t xml:space="preserve"> </w:t>
      </w:r>
      <w:r w:rsidR="007C44CB" w:rsidRPr="00F16251">
        <w:rPr>
          <w:rFonts w:cstheme="minorHAnsi"/>
        </w:rPr>
        <w:t>i</w:t>
      </w:r>
      <w:r w:rsidR="003B50ED" w:rsidRPr="00F16251">
        <w:rPr>
          <w:rFonts w:cstheme="minorHAnsi"/>
        </w:rPr>
        <w:t xml:space="preserve"> </w:t>
      </w:r>
      <w:r w:rsidR="007C44CB" w:rsidRPr="00F16251">
        <w:rPr>
          <w:rFonts w:cstheme="minorHAnsi"/>
        </w:rPr>
        <w:t>w</w:t>
      </w:r>
      <w:r w:rsidR="003B50ED" w:rsidRPr="00F16251">
        <w:rPr>
          <w:rFonts w:cstheme="minorHAnsi"/>
        </w:rPr>
        <w:t xml:space="preserve"> </w:t>
      </w:r>
      <w:r w:rsidR="007C44CB" w:rsidRPr="00F16251">
        <w:rPr>
          <w:rFonts w:cstheme="minorHAnsi"/>
        </w:rPr>
        <w:t>większości</w:t>
      </w:r>
      <w:r w:rsidR="003B50ED" w:rsidRPr="00F16251">
        <w:rPr>
          <w:rFonts w:cstheme="minorHAnsi"/>
        </w:rPr>
        <w:t xml:space="preserve"> </w:t>
      </w:r>
      <w:r w:rsidR="007C44CB" w:rsidRPr="00F16251">
        <w:rPr>
          <w:rFonts w:cstheme="minorHAnsi"/>
        </w:rPr>
        <w:t>lub</w:t>
      </w:r>
      <w:r w:rsidR="003B50ED" w:rsidRPr="00F16251">
        <w:rPr>
          <w:rFonts w:cstheme="minorHAnsi"/>
        </w:rPr>
        <w:t xml:space="preserve"> </w:t>
      </w:r>
      <w:r w:rsidR="007C44CB" w:rsidRPr="00F16251">
        <w:rPr>
          <w:rFonts w:cstheme="minorHAnsi"/>
        </w:rPr>
        <w:t>idealnie</w:t>
      </w:r>
      <w:r w:rsidR="003B50ED" w:rsidRPr="00F16251">
        <w:rPr>
          <w:rFonts w:cstheme="minorHAnsi"/>
        </w:rPr>
        <w:t xml:space="preserve"> </w:t>
      </w:r>
      <w:r w:rsidR="007C44CB" w:rsidRPr="00F16251">
        <w:rPr>
          <w:rFonts w:cstheme="minorHAnsi"/>
        </w:rPr>
        <w:t>wpisywały</w:t>
      </w:r>
      <w:r w:rsidR="003B50ED" w:rsidRPr="00F16251">
        <w:rPr>
          <w:rFonts w:cstheme="minorHAnsi"/>
        </w:rPr>
        <w:t xml:space="preserve"> </w:t>
      </w:r>
      <w:r w:rsidR="007C44CB" w:rsidRPr="00F16251">
        <w:rPr>
          <w:rFonts w:cstheme="minorHAnsi"/>
        </w:rPr>
        <w:t>się</w:t>
      </w:r>
      <w:r w:rsidR="003B50ED" w:rsidRPr="00F16251">
        <w:rPr>
          <w:rFonts w:cstheme="minorHAnsi"/>
        </w:rPr>
        <w:t xml:space="preserve"> </w:t>
      </w:r>
      <w:r w:rsidR="007C44CB" w:rsidRPr="00F16251">
        <w:rPr>
          <w:rFonts w:cstheme="minorHAnsi"/>
        </w:rPr>
        <w:t>w</w:t>
      </w:r>
      <w:r w:rsidR="003B50ED" w:rsidRPr="00F16251">
        <w:rPr>
          <w:rFonts w:cstheme="minorHAnsi"/>
        </w:rPr>
        <w:t xml:space="preserve"> </w:t>
      </w:r>
      <w:r w:rsidR="007C44CB" w:rsidRPr="00F16251">
        <w:rPr>
          <w:rFonts w:cstheme="minorHAnsi"/>
        </w:rPr>
        <w:t>ich</w:t>
      </w:r>
      <w:r w:rsidR="003B50ED" w:rsidRPr="00F16251">
        <w:rPr>
          <w:rFonts w:cstheme="minorHAnsi"/>
        </w:rPr>
        <w:t xml:space="preserve"> </w:t>
      </w:r>
      <w:r w:rsidR="007C44CB" w:rsidRPr="00F16251">
        <w:rPr>
          <w:rFonts w:cstheme="minorHAnsi"/>
        </w:rPr>
        <w:t>potrzeby</w:t>
      </w:r>
      <w:r w:rsidR="00F450C7" w:rsidRPr="00F16251">
        <w:rPr>
          <w:rFonts w:cstheme="minorHAnsi"/>
        </w:rPr>
        <w:t>.</w:t>
      </w:r>
      <w:r w:rsidR="003B50ED" w:rsidRPr="00F16251">
        <w:rPr>
          <w:rFonts w:cstheme="minorHAnsi"/>
        </w:rPr>
        <w:t xml:space="preserve"> </w:t>
      </w:r>
      <w:r w:rsidR="007C44CB" w:rsidRPr="00F16251">
        <w:rPr>
          <w:rFonts w:cstheme="minorHAnsi"/>
        </w:rPr>
        <w:t>Nabory</w:t>
      </w:r>
      <w:r w:rsidR="003B50ED" w:rsidRPr="00F16251">
        <w:rPr>
          <w:rFonts w:cstheme="minorHAnsi"/>
        </w:rPr>
        <w:t xml:space="preserve"> </w:t>
      </w:r>
      <w:r w:rsidR="007C44CB" w:rsidRPr="00F16251">
        <w:rPr>
          <w:rFonts w:cstheme="minorHAnsi"/>
        </w:rPr>
        <w:t>wniosków</w:t>
      </w:r>
      <w:r w:rsidR="008247A9" w:rsidRPr="00F16251">
        <w:rPr>
          <w:rFonts w:cstheme="minorHAnsi"/>
        </w:rPr>
        <w:t xml:space="preserve"> sprzyjały zaspokajaniu potrzeb w zakresie </w:t>
      </w:r>
      <w:r w:rsidR="007C44CB" w:rsidRPr="00F16251">
        <w:rPr>
          <w:rFonts w:cstheme="minorHAnsi"/>
        </w:rPr>
        <w:t>aktywizacji</w:t>
      </w:r>
      <w:r w:rsidR="003B50ED" w:rsidRPr="00F16251">
        <w:rPr>
          <w:rFonts w:cstheme="minorHAnsi"/>
        </w:rPr>
        <w:t xml:space="preserve"> </w:t>
      </w:r>
      <w:r w:rsidR="007C44CB" w:rsidRPr="00F16251">
        <w:rPr>
          <w:rFonts w:cstheme="minorHAnsi"/>
        </w:rPr>
        <w:t>lokalnej</w:t>
      </w:r>
      <w:r w:rsidR="003B50ED" w:rsidRPr="00F16251">
        <w:rPr>
          <w:rFonts w:cstheme="minorHAnsi"/>
        </w:rPr>
        <w:t xml:space="preserve"> </w:t>
      </w:r>
      <w:r w:rsidR="007C44CB" w:rsidRPr="00F16251">
        <w:rPr>
          <w:rFonts w:cstheme="minorHAnsi"/>
        </w:rPr>
        <w:t>społeczności,</w:t>
      </w:r>
      <w:r w:rsidR="003B50ED" w:rsidRPr="00F16251">
        <w:rPr>
          <w:rFonts w:cstheme="minorHAnsi"/>
        </w:rPr>
        <w:t xml:space="preserve"> </w:t>
      </w:r>
      <w:r w:rsidR="007C44CB" w:rsidRPr="00F16251">
        <w:rPr>
          <w:rFonts w:cstheme="minorHAnsi"/>
        </w:rPr>
        <w:t>wspierania</w:t>
      </w:r>
      <w:r w:rsidR="003B50ED" w:rsidRPr="00F16251">
        <w:rPr>
          <w:rFonts w:cstheme="minorHAnsi"/>
        </w:rPr>
        <w:t xml:space="preserve"> </w:t>
      </w:r>
      <w:r w:rsidR="007C44CB" w:rsidRPr="00F16251">
        <w:rPr>
          <w:rFonts w:cstheme="minorHAnsi"/>
        </w:rPr>
        <w:t>młodzieży,</w:t>
      </w:r>
      <w:r w:rsidR="003B50ED" w:rsidRPr="00F16251">
        <w:rPr>
          <w:rFonts w:cstheme="minorHAnsi"/>
        </w:rPr>
        <w:t xml:space="preserve"> </w:t>
      </w:r>
      <w:r w:rsidR="007C44CB" w:rsidRPr="00F16251">
        <w:rPr>
          <w:rFonts w:cstheme="minorHAnsi"/>
        </w:rPr>
        <w:t>czy</w:t>
      </w:r>
      <w:r w:rsidR="003B50ED" w:rsidRPr="00F16251">
        <w:rPr>
          <w:rFonts w:cstheme="minorHAnsi"/>
        </w:rPr>
        <w:t xml:space="preserve"> </w:t>
      </w:r>
      <w:r w:rsidR="008247A9" w:rsidRPr="00F16251">
        <w:rPr>
          <w:rFonts w:cstheme="minorHAnsi"/>
        </w:rPr>
        <w:t xml:space="preserve">rozwoju </w:t>
      </w:r>
      <w:r w:rsidR="007C44CB" w:rsidRPr="00F16251">
        <w:rPr>
          <w:rFonts w:cstheme="minorHAnsi"/>
        </w:rPr>
        <w:t>infrastruktury</w:t>
      </w:r>
      <w:r w:rsidR="003B50ED" w:rsidRPr="00F16251">
        <w:rPr>
          <w:rFonts w:cstheme="minorHAnsi"/>
        </w:rPr>
        <w:t xml:space="preserve"> </w:t>
      </w:r>
      <w:r w:rsidR="007C44CB" w:rsidRPr="00F16251">
        <w:rPr>
          <w:rFonts w:cstheme="minorHAnsi"/>
        </w:rPr>
        <w:t>społecznej,</w:t>
      </w:r>
      <w:r w:rsidR="003B50ED" w:rsidRPr="00F16251">
        <w:rPr>
          <w:rFonts w:cstheme="minorHAnsi"/>
        </w:rPr>
        <w:t xml:space="preserve"> </w:t>
      </w:r>
      <w:r w:rsidR="007C44CB" w:rsidRPr="00F16251">
        <w:rPr>
          <w:rFonts w:cstheme="minorHAnsi"/>
        </w:rPr>
        <w:t>kulturalnej</w:t>
      </w:r>
      <w:r w:rsidR="008247A9" w:rsidRPr="00F16251">
        <w:rPr>
          <w:rFonts w:cstheme="minorHAnsi"/>
        </w:rPr>
        <w:t xml:space="preserve"> i innej.</w:t>
      </w:r>
    </w:p>
    <w:p w14:paraId="547A5782" w14:textId="7105A29A" w:rsidR="0013331D" w:rsidRPr="00F16251" w:rsidRDefault="00FC214F" w:rsidP="00A26C26">
      <w:pPr>
        <w:spacing w:line="276" w:lineRule="auto"/>
        <w:ind w:firstLine="284"/>
        <w:jc w:val="both"/>
        <w:rPr>
          <w:rFonts w:cstheme="minorHAnsi"/>
        </w:rPr>
      </w:pPr>
      <w:r w:rsidRPr="00F16251">
        <w:rPr>
          <w:rFonts w:cstheme="minorHAnsi"/>
        </w:rPr>
        <w:t>Pomimo</w:t>
      </w:r>
      <w:r w:rsidR="003B50ED" w:rsidRPr="00F16251">
        <w:rPr>
          <w:rFonts w:cstheme="minorHAnsi"/>
        </w:rPr>
        <w:t xml:space="preserve"> </w:t>
      </w:r>
      <w:r w:rsidRPr="00F16251">
        <w:rPr>
          <w:rFonts w:cstheme="minorHAnsi"/>
        </w:rPr>
        <w:t>tego,</w:t>
      </w:r>
      <w:r w:rsidR="003B50ED" w:rsidRPr="00F16251">
        <w:rPr>
          <w:rFonts w:cstheme="minorHAnsi"/>
        </w:rPr>
        <w:t xml:space="preserve"> </w:t>
      </w:r>
      <w:r w:rsidRPr="00F16251">
        <w:rPr>
          <w:rFonts w:cstheme="minorHAnsi"/>
        </w:rPr>
        <w:t>że</w:t>
      </w:r>
      <w:r w:rsidR="003B50ED" w:rsidRPr="00F16251">
        <w:rPr>
          <w:rFonts w:cstheme="minorHAnsi"/>
        </w:rPr>
        <w:t xml:space="preserve"> </w:t>
      </w:r>
      <w:r w:rsidRPr="00F16251">
        <w:rPr>
          <w:rFonts w:cstheme="minorHAnsi"/>
        </w:rPr>
        <w:t>wskaźniki</w:t>
      </w:r>
      <w:r w:rsidR="003B50ED" w:rsidRPr="00F16251">
        <w:rPr>
          <w:rFonts w:cstheme="minorHAnsi"/>
        </w:rPr>
        <w:t xml:space="preserve"> </w:t>
      </w:r>
      <w:r w:rsidRPr="00F16251">
        <w:rPr>
          <w:rFonts w:cstheme="minorHAnsi"/>
        </w:rPr>
        <w:t>oddziaływania</w:t>
      </w:r>
      <w:r w:rsidR="003B50ED" w:rsidRPr="00F16251">
        <w:rPr>
          <w:rFonts w:cstheme="minorHAnsi"/>
        </w:rPr>
        <w:t xml:space="preserve"> </w:t>
      </w:r>
      <w:r w:rsidRPr="00F16251">
        <w:rPr>
          <w:rFonts w:cstheme="minorHAnsi"/>
        </w:rPr>
        <w:t>we</w:t>
      </w:r>
      <w:r w:rsidR="003B50ED" w:rsidRPr="00F16251">
        <w:rPr>
          <w:rFonts w:cstheme="minorHAnsi"/>
        </w:rPr>
        <w:t xml:space="preserve"> </w:t>
      </w:r>
      <w:r w:rsidRPr="00F16251">
        <w:rPr>
          <w:rFonts w:cstheme="minorHAnsi"/>
        </w:rPr>
        <w:t>wszystkich</w:t>
      </w:r>
      <w:r w:rsidR="003B50ED" w:rsidRPr="00F16251">
        <w:rPr>
          <w:rFonts w:cstheme="minorHAnsi"/>
        </w:rPr>
        <w:t xml:space="preserve"> </w:t>
      </w:r>
      <w:r w:rsidRPr="00F16251">
        <w:rPr>
          <w:rFonts w:cstheme="minorHAnsi"/>
        </w:rPr>
        <w:t>celach</w:t>
      </w:r>
      <w:r w:rsidR="003B50ED" w:rsidRPr="00F16251">
        <w:rPr>
          <w:rFonts w:cstheme="minorHAnsi"/>
        </w:rPr>
        <w:t xml:space="preserve"> </w:t>
      </w:r>
      <w:r w:rsidRPr="00F16251">
        <w:rPr>
          <w:rFonts w:cstheme="minorHAnsi"/>
        </w:rPr>
        <w:t>zostały</w:t>
      </w:r>
      <w:r w:rsidR="003B50ED" w:rsidRPr="00F16251">
        <w:rPr>
          <w:rFonts w:cstheme="minorHAnsi"/>
        </w:rPr>
        <w:t xml:space="preserve"> </w:t>
      </w:r>
      <w:r w:rsidRPr="00F16251">
        <w:rPr>
          <w:rFonts w:cstheme="minorHAnsi"/>
        </w:rPr>
        <w:t>zdefiniowane</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oparciu</w:t>
      </w:r>
      <w:r w:rsidR="003B50ED" w:rsidRPr="00F16251">
        <w:rPr>
          <w:rFonts w:cstheme="minorHAnsi"/>
        </w:rPr>
        <w:t xml:space="preserve"> </w:t>
      </w:r>
      <w:r w:rsidRPr="00F16251">
        <w:rPr>
          <w:rFonts w:cstheme="minorHAnsi"/>
        </w:rPr>
        <w:t>o</w:t>
      </w:r>
      <w:r w:rsidR="003B50ED" w:rsidRPr="00F16251">
        <w:rPr>
          <w:rFonts w:cstheme="minorHAnsi"/>
        </w:rPr>
        <w:t xml:space="preserve"> </w:t>
      </w:r>
      <w:r w:rsidRPr="00F16251">
        <w:rPr>
          <w:rFonts w:cstheme="minorHAnsi"/>
        </w:rPr>
        <w:t>badania</w:t>
      </w:r>
      <w:r w:rsidR="003B50ED" w:rsidRPr="00F16251">
        <w:rPr>
          <w:rFonts w:cstheme="minorHAnsi"/>
        </w:rPr>
        <w:t xml:space="preserve"> </w:t>
      </w:r>
      <w:r w:rsidRPr="00F16251">
        <w:rPr>
          <w:rFonts w:cstheme="minorHAnsi"/>
        </w:rPr>
        <w:t>ankietowe,</w:t>
      </w:r>
      <w:r w:rsidR="003B50ED" w:rsidRPr="00F16251">
        <w:rPr>
          <w:rFonts w:cstheme="minorHAnsi"/>
        </w:rPr>
        <w:t xml:space="preserve"> </w:t>
      </w:r>
      <w:r w:rsidRPr="00F16251">
        <w:rPr>
          <w:rFonts w:cstheme="minorHAnsi"/>
        </w:rPr>
        <w:t>które</w:t>
      </w:r>
      <w:r w:rsidR="003B50ED" w:rsidRPr="00F16251">
        <w:rPr>
          <w:rFonts w:cstheme="minorHAnsi"/>
        </w:rPr>
        <w:t xml:space="preserve"> </w:t>
      </w:r>
      <w:r w:rsidR="008247A9" w:rsidRPr="00F16251">
        <w:rPr>
          <w:rFonts w:cstheme="minorHAnsi"/>
        </w:rPr>
        <w:t xml:space="preserve">Stowarzyszenie „Solidarni w Partnerstwie” </w:t>
      </w:r>
      <w:r w:rsidRPr="00F16251">
        <w:rPr>
          <w:rFonts w:cstheme="minorHAnsi"/>
        </w:rPr>
        <w:t>przeprowadzi</w:t>
      </w:r>
      <w:r w:rsidR="003B50ED" w:rsidRPr="00F16251">
        <w:rPr>
          <w:rFonts w:cstheme="minorHAnsi"/>
        </w:rPr>
        <w:t xml:space="preserve"> </w:t>
      </w:r>
      <w:r w:rsidRPr="00F16251">
        <w:rPr>
          <w:rFonts w:cstheme="minorHAnsi"/>
        </w:rPr>
        <w:t>po</w:t>
      </w:r>
      <w:r w:rsidR="003B50ED" w:rsidRPr="00F16251">
        <w:rPr>
          <w:rFonts w:cstheme="minorHAnsi"/>
        </w:rPr>
        <w:t xml:space="preserve"> </w:t>
      </w:r>
      <w:r w:rsidRPr="00F16251">
        <w:rPr>
          <w:rFonts w:cstheme="minorHAnsi"/>
        </w:rPr>
        <w:t>zakończeniu</w:t>
      </w:r>
      <w:r w:rsidR="003B50ED" w:rsidRPr="00F16251">
        <w:rPr>
          <w:rFonts w:cstheme="minorHAnsi"/>
        </w:rPr>
        <w:t xml:space="preserve"> </w:t>
      </w:r>
      <w:r w:rsidRPr="00F16251">
        <w:rPr>
          <w:rFonts w:cstheme="minorHAnsi"/>
        </w:rPr>
        <w:t>wdrażania</w:t>
      </w:r>
      <w:r w:rsidR="003B50ED" w:rsidRPr="00F16251">
        <w:rPr>
          <w:rFonts w:cstheme="minorHAnsi"/>
        </w:rPr>
        <w:t xml:space="preserve"> </w:t>
      </w:r>
      <w:r w:rsidR="008247A9" w:rsidRPr="00F16251">
        <w:rPr>
          <w:rFonts w:cstheme="minorHAnsi"/>
        </w:rPr>
        <w:t xml:space="preserve">LSR </w:t>
      </w:r>
      <w:r w:rsidRPr="00F16251">
        <w:rPr>
          <w:rFonts w:cstheme="minorHAnsi"/>
        </w:rPr>
        <w:t>(prawdopodobnie</w:t>
      </w:r>
      <w:r w:rsidR="003B50ED" w:rsidRPr="00F16251">
        <w:rPr>
          <w:rFonts w:cstheme="minorHAnsi"/>
        </w:rPr>
        <w:t xml:space="preserve"> </w:t>
      </w:r>
      <w:r w:rsidRPr="00F16251">
        <w:rPr>
          <w:rFonts w:cstheme="minorHAnsi"/>
        </w:rPr>
        <w:t>będzie</w:t>
      </w:r>
      <w:r w:rsidR="003B50ED" w:rsidRPr="00F16251">
        <w:rPr>
          <w:rFonts w:cstheme="minorHAnsi"/>
        </w:rPr>
        <w:t xml:space="preserve"> </w:t>
      </w:r>
      <w:r w:rsidRPr="00F16251">
        <w:rPr>
          <w:rFonts w:cstheme="minorHAnsi"/>
        </w:rPr>
        <w:t>to</w:t>
      </w:r>
      <w:r w:rsidR="003B50ED" w:rsidRPr="00F16251">
        <w:rPr>
          <w:rFonts w:cstheme="minorHAnsi"/>
        </w:rPr>
        <w:t xml:space="preserve"> </w:t>
      </w:r>
      <w:r w:rsidR="008247A9" w:rsidRPr="00F16251">
        <w:rPr>
          <w:rFonts w:cstheme="minorHAnsi"/>
        </w:rPr>
        <w:t xml:space="preserve">pod koniec </w:t>
      </w:r>
      <w:r w:rsidRPr="00F16251">
        <w:rPr>
          <w:rFonts w:cstheme="minorHAnsi"/>
        </w:rPr>
        <w:t>2024</w:t>
      </w:r>
      <w:r w:rsidR="003B50ED" w:rsidRPr="00F16251">
        <w:rPr>
          <w:rFonts w:cstheme="minorHAnsi"/>
        </w:rPr>
        <w:t xml:space="preserve"> </w:t>
      </w:r>
      <w:r w:rsidR="00210334" w:rsidRPr="00F16251">
        <w:rPr>
          <w:rFonts w:cstheme="minorHAnsi"/>
        </w:rPr>
        <w:t>r.</w:t>
      </w:r>
      <w:r w:rsidRPr="00F16251">
        <w:rPr>
          <w:rFonts w:cstheme="minorHAnsi"/>
        </w:rPr>
        <w:t>)</w:t>
      </w:r>
      <w:r w:rsidR="003B50ED" w:rsidRPr="00F16251">
        <w:rPr>
          <w:rFonts w:cstheme="minorHAnsi"/>
        </w:rPr>
        <w:t xml:space="preserve"> </w:t>
      </w:r>
      <w:r w:rsidRPr="00F16251">
        <w:rPr>
          <w:rFonts w:cstheme="minorHAnsi"/>
        </w:rPr>
        <w:t>to</w:t>
      </w:r>
      <w:r w:rsidR="003B50ED" w:rsidRPr="00F16251">
        <w:rPr>
          <w:rFonts w:cstheme="minorHAnsi"/>
        </w:rPr>
        <w:t xml:space="preserve"> </w:t>
      </w:r>
      <w:r w:rsidRPr="00F16251">
        <w:rPr>
          <w:rFonts w:cstheme="minorHAnsi"/>
        </w:rPr>
        <w:t>opinie</w:t>
      </w:r>
      <w:r w:rsidR="003B50ED" w:rsidRPr="00F16251">
        <w:rPr>
          <w:rFonts w:cstheme="minorHAnsi"/>
        </w:rPr>
        <w:t xml:space="preserve"> </w:t>
      </w:r>
      <w:r w:rsidRPr="00F16251">
        <w:rPr>
          <w:rFonts w:cstheme="minorHAnsi"/>
        </w:rPr>
        <w:t>mieszkańców</w:t>
      </w:r>
      <w:r w:rsidR="003B50ED" w:rsidRPr="00F16251">
        <w:rPr>
          <w:rFonts w:cstheme="minorHAnsi"/>
        </w:rPr>
        <w:t xml:space="preserve"> </w:t>
      </w:r>
      <w:r w:rsidRPr="00F16251">
        <w:rPr>
          <w:rFonts w:cstheme="minorHAnsi"/>
        </w:rPr>
        <w:t>zanotowane</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badaniach</w:t>
      </w:r>
      <w:r w:rsidR="003B50ED" w:rsidRPr="00F16251">
        <w:rPr>
          <w:rFonts w:cstheme="minorHAnsi"/>
        </w:rPr>
        <w:t xml:space="preserve"> </w:t>
      </w:r>
      <w:r w:rsidRPr="00F16251">
        <w:rPr>
          <w:rFonts w:cstheme="minorHAnsi"/>
        </w:rPr>
        <w:t>ewaluacyjnych</w:t>
      </w:r>
      <w:r w:rsidR="003B50ED" w:rsidRPr="00F16251">
        <w:rPr>
          <w:rFonts w:cstheme="minorHAnsi"/>
        </w:rPr>
        <w:t xml:space="preserve"> </w:t>
      </w:r>
      <w:r w:rsidR="008247A9" w:rsidRPr="00F16251">
        <w:rPr>
          <w:rFonts w:cstheme="minorHAnsi"/>
        </w:rPr>
        <w:br/>
      </w:r>
      <w:r w:rsidRPr="00F16251">
        <w:rPr>
          <w:rFonts w:cstheme="minorHAnsi"/>
        </w:rPr>
        <w:t>z</w:t>
      </w:r>
      <w:r w:rsidR="003B50ED" w:rsidRPr="00F16251">
        <w:rPr>
          <w:rFonts w:cstheme="minorHAnsi"/>
        </w:rPr>
        <w:t xml:space="preserve"> </w:t>
      </w:r>
      <w:r w:rsidRPr="00F16251">
        <w:rPr>
          <w:rFonts w:cstheme="minorHAnsi"/>
        </w:rPr>
        <w:t>2022</w:t>
      </w:r>
      <w:r w:rsidR="003B50ED" w:rsidRPr="00F16251">
        <w:rPr>
          <w:rFonts w:cstheme="minorHAnsi"/>
        </w:rPr>
        <w:t xml:space="preserve"> </w:t>
      </w:r>
      <w:r w:rsidR="00210334" w:rsidRPr="00F16251">
        <w:rPr>
          <w:rFonts w:cstheme="minorHAnsi"/>
        </w:rPr>
        <w:t>r.</w:t>
      </w:r>
      <w:r w:rsidR="003B50ED" w:rsidRPr="00F16251">
        <w:rPr>
          <w:rFonts w:cstheme="minorHAnsi"/>
        </w:rPr>
        <w:t xml:space="preserve"> </w:t>
      </w:r>
      <w:r w:rsidRPr="00F16251">
        <w:rPr>
          <w:rFonts w:cstheme="minorHAnsi"/>
        </w:rPr>
        <w:t>już</w:t>
      </w:r>
      <w:r w:rsidR="003B50ED" w:rsidRPr="00F16251">
        <w:rPr>
          <w:rFonts w:cstheme="minorHAnsi"/>
        </w:rPr>
        <w:t xml:space="preserve"> </w:t>
      </w:r>
      <w:r w:rsidRPr="00F16251">
        <w:rPr>
          <w:rFonts w:cstheme="minorHAnsi"/>
        </w:rPr>
        <w:t>pokazują</w:t>
      </w:r>
      <w:r w:rsidR="003B50ED" w:rsidRPr="00F16251">
        <w:rPr>
          <w:rFonts w:cstheme="minorHAnsi"/>
        </w:rPr>
        <w:t xml:space="preserve"> </w:t>
      </w:r>
      <w:r w:rsidRPr="00F16251">
        <w:rPr>
          <w:rFonts w:cstheme="minorHAnsi"/>
        </w:rPr>
        <w:t>pozytywne</w:t>
      </w:r>
      <w:r w:rsidR="003B50ED" w:rsidRPr="00F16251">
        <w:rPr>
          <w:rFonts w:cstheme="minorHAnsi"/>
        </w:rPr>
        <w:t xml:space="preserve"> </w:t>
      </w:r>
      <w:r w:rsidRPr="00F16251">
        <w:rPr>
          <w:rFonts w:cstheme="minorHAnsi"/>
        </w:rPr>
        <w:t>efekty</w:t>
      </w:r>
      <w:r w:rsidR="003B50ED" w:rsidRPr="00F16251">
        <w:rPr>
          <w:rFonts w:cstheme="minorHAnsi"/>
        </w:rPr>
        <w:t xml:space="preserve"> </w:t>
      </w:r>
      <w:r w:rsidRPr="00F16251">
        <w:rPr>
          <w:rFonts w:cstheme="minorHAnsi"/>
        </w:rPr>
        <w:t>wdrażania</w:t>
      </w:r>
      <w:r w:rsidR="003B50ED" w:rsidRPr="00F16251">
        <w:rPr>
          <w:rFonts w:cstheme="minorHAnsi"/>
        </w:rPr>
        <w:t xml:space="preserve"> </w:t>
      </w:r>
      <w:r w:rsidRPr="00F16251">
        <w:rPr>
          <w:rFonts w:cstheme="minorHAnsi"/>
        </w:rPr>
        <w:t>LSR</w:t>
      </w:r>
      <w:r w:rsidR="003B50ED" w:rsidRPr="00F16251">
        <w:rPr>
          <w:rFonts w:cstheme="minorHAnsi"/>
        </w:rPr>
        <w:t xml:space="preserve"> </w:t>
      </w:r>
      <w:r w:rsidR="008247A9" w:rsidRPr="00F16251">
        <w:rPr>
          <w:rFonts w:cstheme="minorHAnsi"/>
        </w:rPr>
        <w:t>–</w:t>
      </w:r>
      <w:r w:rsidR="003B50ED" w:rsidRPr="00F16251">
        <w:rPr>
          <w:rFonts w:cstheme="minorHAnsi"/>
        </w:rPr>
        <w:t xml:space="preserve"> </w:t>
      </w:r>
      <w:r w:rsidRPr="00F16251">
        <w:rPr>
          <w:rFonts w:cstheme="minorHAnsi"/>
        </w:rPr>
        <w:t>45%</w:t>
      </w:r>
      <w:r w:rsidR="003B50ED" w:rsidRPr="00F16251">
        <w:rPr>
          <w:rFonts w:cstheme="minorHAnsi"/>
        </w:rPr>
        <w:t xml:space="preserve"> </w:t>
      </w:r>
      <w:r w:rsidRPr="00F16251">
        <w:rPr>
          <w:rFonts w:cstheme="minorHAnsi"/>
        </w:rPr>
        <w:t>jest</w:t>
      </w:r>
      <w:r w:rsidR="003B50ED" w:rsidRPr="00F16251">
        <w:rPr>
          <w:rFonts w:cstheme="minorHAnsi"/>
        </w:rPr>
        <w:t xml:space="preserve"> </w:t>
      </w:r>
      <w:r w:rsidRPr="00F16251">
        <w:rPr>
          <w:rFonts w:cstheme="minorHAnsi"/>
        </w:rPr>
        <w:t>zadowolonych</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infrastruktury</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oferty</w:t>
      </w:r>
      <w:r w:rsidR="003B50ED" w:rsidRPr="00F16251">
        <w:rPr>
          <w:rFonts w:cstheme="minorHAnsi"/>
        </w:rPr>
        <w:t xml:space="preserve"> </w:t>
      </w:r>
      <w:r w:rsidRPr="00F16251">
        <w:rPr>
          <w:rFonts w:cstheme="minorHAnsi"/>
        </w:rPr>
        <w:t>sportowej</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rekreacyjnej,</w:t>
      </w:r>
      <w:r w:rsidR="003B50ED" w:rsidRPr="00F16251">
        <w:rPr>
          <w:rFonts w:cstheme="minorHAnsi"/>
        </w:rPr>
        <w:t xml:space="preserve"> </w:t>
      </w:r>
      <w:r w:rsidRPr="00F16251">
        <w:rPr>
          <w:rFonts w:cstheme="minorHAnsi"/>
        </w:rPr>
        <w:t>31%</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promocji</w:t>
      </w:r>
      <w:r w:rsidR="003B50ED" w:rsidRPr="00F16251">
        <w:rPr>
          <w:rFonts w:cstheme="minorHAnsi"/>
        </w:rPr>
        <w:t xml:space="preserve"> </w:t>
      </w:r>
      <w:r w:rsidRPr="00F16251">
        <w:rPr>
          <w:rFonts w:cstheme="minorHAnsi"/>
        </w:rPr>
        <w:t>dziedzictwa</w:t>
      </w:r>
      <w:r w:rsidR="003B50ED" w:rsidRPr="00F16251">
        <w:rPr>
          <w:rFonts w:cstheme="minorHAnsi"/>
        </w:rPr>
        <w:t xml:space="preserve"> </w:t>
      </w:r>
      <w:r w:rsidRPr="00F16251">
        <w:rPr>
          <w:rFonts w:cstheme="minorHAnsi"/>
        </w:rPr>
        <w:t>kulturowego,</w:t>
      </w:r>
      <w:r w:rsidR="003B50ED" w:rsidRPr="00F16251">
        <w:rPr>
          <w:rFonts w:cstheme="minorHAnsi"/>
        </w:rPr>
        <w:t xml:space="preserve"> </w:t>
      </w:r>
      <w:r w:rsidRPr="00F16251">
        <w:rPr>
          <w:rFonts w:cstheme="minorHAnsi"/>
        </w:rPr>
        <w:t>zasobów</w:t>
      </w:r>
      <w:r w:rsidR="003B50ED" w:rsidRPr="00F16251">
        <w:rPr>
          <w:rFonts w:cstheme="minorHAnsi"/>
        </w:rPr>
        <w:t xml:space="preserve"> </w:t>
      </w:r>
      <w:r w:rsidRPr="00F16251">
        <w:rPr>
          <w:rFonts w:cstheme="minorHAnsi"/>
        </w:rPr>
        <w:t>naturalnych</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turystyki,</w:t>
      </w:r>
      <w:r w:rsidR="003B50ED" w:rsidRPr="00F16251">
        <w:rPr>
          <w:rFonts w:cstheme="minorHAnsi"/>
        </w:rPr>
        <w:t xml:space="preserve"> </w:t>
      </w:r>
      <w:r w:rsidRPr="00F16251">
        <w:rPr>
          <w:rFonts w:cstheme="minorHAnsi"/>
        </w:rPr>
        <w:t>a</w:t>
      </w:r>
      <w:r w:rsidR="003B50ED" w:rsidRPr="00F16251">
        <w:rPr>
          <w:rFonts w:cstheme="minorHAnsi"/>
        </w:rPr>
        <w:t xml:space="preserve"> </w:t>
      </w:r>
      <w:r w:rsidRPr="00F16251">
        <w:rPr>
          <w:rFonts w:cstheme="minorHAnsi"/>
        </w:rPr>
        <w:t>22%</w:t>
      </w:r>
      <w:r w:rsidR="003B50ED" w:rsidRPr="00F16251">
        <w:rPr>
          <w:rFonts w:cstheme="minorHAnsi"/>
        </w:rPr>
        <w:t xml:space="preserve"> </w:t>
      </w:r>
      <w:r w:rsidRPr="00F16251">
        <w:rPr>
          <w:rFonts w:cstheme="minorHAnsi"/>
        </w:rPr>
        <w:t>ze</w:t>
      </w:r>
      <w:r w:rsidR="003B50ED" w:rsidRPr="00F16251">
        <w:rPr>
          <w:rFonts w:cstheme="minorHAnsi"/>
        </w:rPr>
        <w:t xml:space="preserve"> </w:t>
      </w:r>
      <w:r w:rsidRPr="00F16251">
        <w:rPr>
          <w:rFonts w:cstheme="minorHAnsi"/>
        </w:rPr>
        <w:t>sprzyjających</w:t>
      </w:r>
      <w:r w:rsidR="003B50ED" w:rsidRPr="00F16251">
        <w:rPr>
          <w:rFonts w:cstheme="minorHAnsi"/>
        </w:rPr>
        <w:t xml:space="preserve"> </w:t>
      </w:r>
      <w:r w:rsidRPr="00F16251">
        <w:rPr>
          <w:rFonts w:cstheme="minorHAnsi"/>
        </w:rPr>
        <w:t>warunków</w:t>
      </w:r>
      <w:r w:rsidR="003B50ED" w:rsidRPr="00F16251">
        <w:rPr>
          <w:rFonts w:cstheme="minorHAnsi"/>
        </w:rPr>
        <w:t xml:space="preserve"> </w:t>
      </w:r>
      <w:r w:rsidRPr="00F16251">
        <w:rPr>
          <w:rFonts w:cstheme="minorHAnsi"/>
        </w:rPr>
        <w:t>dla</w:t>
      </w:r>
      <w:r w:rsidR="003B50ED" w:rsidRPr="00F16251">
        <w:rPr>
          <w:rFonts w:cstheme="minorHAnsi"/>
        </w:rPr>
        <w:t xml:space="preserve"> </w:t>
      </w:r>
      <w:r w:rsidRPr="00F16251">
        <w:rPr>
          <w:rFonts w:cstheme="minorHAnsi"/>
        </w:rPr>
        <w:t>przedsiębiorców</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prowadzenia</w:t>
      </w:r>
      <w:r w:rsidR="003B50ED" w:rsidRPr="00F16251">
        <w:rPr>
          <w:rFonts w:cstheme="minorHAnsi"/>
        </w:rPr>
        <w:t xml:space="preserve"> </w:t>
      </w:r>
      <w:r w:rsidRPr="00F16251">
        <w:rPr>
          <w:rFonts w:cstheme="minorHAnsi"/>
        </w:rPr>
        <w:t>firmy.</w:t>
      </w:r>
    </w:p>
    <w:p w14:paraId="68C0CF79" w14:textId="04C229D8" w:rsidR="00E01240" w:rsidRPr="00F16251" w:rsidRDefault="00E01240" w:rsidP="00A26C26">
      <w:pPr>
        <w:spacing w:line="276" w:lineRule="auto"/>
        <w:ind w:firstLine="284"/>
        <w:jc w:val="both"/>
        <w:rPr>
          <w:rFonts w:cstheme="minorHAnsi"/>
        </w:rPr>
      </w:pPr>
      <w:r w:rsidRPr="00F16251">
        <w:rPr>
          <w:rFonts w:cstheme="minorHAnsi"/>
        </w:rPr>
        <w:t>W</w:t>
      </w:r>
      <w:r w:rsidR="003B50ED" w:rsidRPr="00F16251">
        <w:rPr>
          <w:rFonts w:cstheme="minorHAnsi"/>
        </w:rPr>
        <w:t xml:space="preserve"> </w:t>
      </w:r>
      <w:r w:rsidRPr="00F16251">
        <w:rPr>
          <w:rFonts w:cstheme="minorHAnsi"/>
        </w:rPr>
        <w:t>opinii</w:t>
      </w:r>
      <w:r w:rsidR="003B50ED" w:rsidRPr="00F16251">
        <w:rPr>
          <w:rFonts w:cstheme="minorHAnsi"/>
        </w:rPr>
        <w:t xml:space="preserve"> </w:t>
      </w:r>
      <w:r w:rsidRPr="00F16251">
        <w:rPr>
          <w:rFonts w:cstheme="minorHAnsi"/>
        </w:rPr>
        <w:t>mieszkańców,</w:t>
      </w:r>
      <w:r w:rsidR="003B50ED" w:rsidRPr="00F16251">
        <w:rPr>
          <w:rFonts w:cstheme="minorHAnsi"/>
        </w:rPr>
        <w:t xml:space="preserve"> </w:t>
      </w:r>
      <w:r w:rsidRPr="00F16251">
        <w:rPr>
          <w:rFonts w:cstheme="minorHAnsi"/>
        </w:rPr>
        <w:t>największy</w:t>
      </w:r>
      <w:r w:rsidR="003B50ED" w:rsidRPr="00F16251">
        <w:rPr>
          <w:rFonts w:cstheme="minorHAnsi"/>
        </w:rPr>
        <w:t xml:space="preserve"> </w:t>
      </w:r>
      <w:r w:rsidRPr="00F16251">
        <w:rPr>
          <w:rFonts w:cstheme="minorHAnsi"/>
        </w:rPr>
        <w:t>wpływ</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budowanie</w:t>
      </w:r>
      <w:r w:rsidR="003B50ED" w:rsidRPr="00F16251">
        <w:rPr>
          <w:rFonts w:cstheme="minorHAnsi"/>
        </w:rPr>
        <w:t xml:space="preserve"> </w:t>
      </w:r>
      <w:r w:rsidRPr="00F16251">
        <w:rPr>
          <w:rFonts w:cstheme="minorHAnsi"/>
        </w:rPr>
        <w:t>kapitału</w:t>
      </w:r>
      <w:r w:rsidR="003B50ED" w:rsidRPr="00F16251">
        <w:rPr>
          <w:rFonts w:cstheme="minorHAnsi"/>
        </w:rPr>
        <w:t xml:space="preserve"> </w:t>
      </w:r>
      <w:r w:rsidRPr="00F16251">
        <w:rPr>
          <w:rFonts w:cstheme="minorHAnsi"/>
        </w:rPr>
        <w:t>społecznego</w:t>
      </w:r>
      <w:r w:rsidR="003B50ED" w:rsidRPr="00F16251">
        <w:rPr>
          <w:rFonts w:cstheme="minorHAnsi"/>
        </w:rPr>
        <w:t xml:space="preserve"> </w:t>
      </w:r>
      <w:r w:rsidRPr="00F16251">
        <w:rPr>
          <w:rFonts w:cstheme="minorHAnsi"/>
        </w:rPr>
        <w:t>wydają</w:t>
      </w:r>
      <w:r w:rsidR="003B50ED" w:rsidRPr="00F16251">
        <w:rPr>
          <w:rFonts w:cstheme="minorHAnsi"/>
        </w:rPr>
        <w:t xml:space="preserve"> </w:t>
      </w:r>
      <w:r w:rsidRPr="00F16251">
        <w:rPr>
          <w:rFonts w:cstheme="minorHAnsi"/>
        </w:rPr>
        <w:t>się</w:t>
      </w:r>
      <w:r w:rsidR="003B50ED" w:rsidRPr="00F16251">
        <w:rPr>
          <w:rFonts w:cstheme="minorHAnsi"/>
        </w:rPr>
        <w:t xml:space="preserve"> </w:t>
      </w:r>
      <w:r w:rsidRPr="00F16251">
        <w:rPr>
          <w:rFonts w:cstheme="minorHAnsi"/>
        </w:rPr>
        <w:t>mieć</w:t>
      </w:r>
      <w:r w:rsidR="003B50ED" w:rsidRPr="00F16251">
        <w:rPr>
          <w:rFonts w:cstheme="minorHAnsi"/>
        </w:rPr>
        <w:t xml:space="preserve"> </w:t>
      </w:r>
      <w:r w:rsidRPr="00F16251">
        <w:rPr>
          <w:rFonts w:cstheme="minorHAnsi"/>
        </w:rPr>
        <w:t>granty</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szkolenia</w:t>
      </w:r>
      <w:r w:rsidR="003B50ED" w:rsidRPr="00F16251">
        <w:rPr>
          <w:rFonts w:cstheme="minorHAnsi"/>
        </w:rPr>
        <w:t xml:space="preserve"> </w:t>
      </w:r>
      <w:r w:rsidRPr="00F16251">
        <w:rPr>
          <w:rFonts w:cstheme="minorHAnsi"/>
        </w:rPr>
        <w:t>dedykowane</w:t>
      </w:r>
      <w:r w:rsidR="003B50ED" w:rsidRPr="00F16251">
        <w:rPr>
          <w:rFonts w:cstheme="minorHAnsi"/>
        </w:rPr>
        <w:t xml:space="preserve"> </w:t>
      </w:r>
      <w:r w:rsidRPr="00F16251">
        <w:rPr>
          <w:rFonts w:cstheme="minorHAnsi"/>
        </w:rPr>
        <w:t>organizacjom</w:t>
      </w:r>
      <w:r w:rsidR="003B50ED" w:rsidRPr="00F16251">
        <w:rPr>
          <w:rFonts w:cstheme="minorHAnsi"/>
        </w:rPr>
        <w:t xml:space="preserve"> </w:t>
      </w:r>
      <w:r w:rsidRPr="00F16251">
        <w:rPr>
          <w:rFonts w:cstheme="minorHAnsi"/>
        </w:rPr>
        <w:t>pozarządowym.</w:t>
      </w:r>
      <w:r w:rsidR="003B50ED" w:rsidRPr="00F16251">
        <w:rPr>
          <w:rFonts w:cstheme="minorHAnsi"/>
        </w:rPr>
        <w:t xml:space="preserve"> </w:t>
      </w:r>
      <w:r w:rsidRPr="00F16251">
        <w:rPr>
          <w:rFonts w:cstheme="minorHAnsi"/>
        </w:rPr>
        <w:t>Przyjęty</w:t>
      </w:r>
      <w:r w:rsidR="003B50ED" w:rsidRPr="00F16251">
        <w:rPr>
          <w:rFonts w:cstheme="minorHAnsi"/>
        </w:rPr>
        <w:t xml:space="preserve"> </w:t>
      </w:r>
      <w:r w:rsidRPr="00F16251">
        <w:rPr>
          <w:rFonts w:cstheme="minorHAnsi"/>
        </w:rPr>
        <w:t>w</w:t>
      </w:r>
      <w:r w:rsidR="003B50ED" w:rsidRPr="00F16251">
        <w:rPr>
          <w:rFonts w:cstheme="minorHAnsi"/>
        </w:rPr>
        <w:t xml:space="preserve"> </w:t>
      </w:r>
      <w:r w:rsidR="008247A9" w:rsidRPr="00F16251">
        <w:rPr>
          <w:rFonts w:cstheme="minorHAnsi"/>
        </w:rPr>
        <w:t xml:space="preserve">Stowarzyszeniu „Solidarni w Partnerstwie” </w:t>
      </w:r>
      <w:r w:rsidRPr="00F16251">
        <w:rPr>
          <w:rFonts w:cstheme="minorHAnsi"/>
        </w:rPr>
        <w:t>przyjazny</w:t>
      </w:r>
      <w:r w:rsidR="003B50ED" w:rsidRPr="00F16251">
        <w:rPr>
          <w:rFonts w:cstheme="minorHAnsi"/>
        </w:rPr>
        <w:t xml:space="preserve"> </w:t>
      </w:r>
      <w:r w:rsidRPr="00F16251">
        <w:rPr>
          <w:rFonts w:cstheme="minorHAnsi"/>
        </w:rPr>
        <w:t>sposób</w:t>
      </w:r>
      <w:r w:rsidR="003B50ED" w:rsidRPr="00F16251">
        <w:rPr>
          <w:rFonts w:cstheme="minorHAnsi"/>
        </w:rPr>
        <w:t xml:space="preserve"> </w:t>
      </w:r>
      <w:r w:rsidRPr="00F16251">
        <w:rPr>
          <w:rFonts w:cstheme="minorHAnsi"/>
        </w:rPr>
        <w:t>finansowania</w:t>
      </w:r>
      <w:r w:rsidR="003B50ED" w:rsidRPr="00F16251">
        <w:rPr>
          <w:rFonts w:cstheme="minorHAnsi"/>
        </w:rPr>
        <w:t xml:space="preserve"> </w:t>
      </w:r>
      <w:r w:rsidRPr="00F16251">
        <w:rPr>
          <w:rFonts w:cstheme="minorHAnsi"/>
        </w:rPr>
        <w:t>sprawił,</w:t>
      </w:r>
      <w:r w:rsidR="003B50ED" w:rsidRPr="00F16251">
        <w:rPr>
          <w:rFonts w:cstheme="minorHAnsi"/>
        </w:rPr>
        <w:t xml:space="preserve"> </w:t>
      </w:r>
      <w:r w:rsidRPr="00F16251">
        <w:rPr>
          <w:rFonts w:cstheme="minorHAnsi"/>
        </w:rPr>
        <w:t>że</w:t>
      </w:r>
      <w:r w:rsidR="003B50ED" w:rsidRPr="00F16251">
        <w:rPr>
          <w:rFonts w:cstheme="minorHAnsi"/>
        </w:rPr>
        <w:t xml:space="preserve"> </w:t>
      </w:r>
      <w:r w:rsidRPr="00F16251">
        <w:rPr>
          <w:rFonts w:cstheme="minorHAnsi"/>
        </w:rPr>
        <w:t>granty</w:t>
      </w:r>
      <w:r w:rsidR="008247A9" w:rsidRPr="00F16251">
        <w:rPr>
          <w:rFonts w:cstheme="minorHAnsi"/>
        </w:rPr>
        <w:t xml:space="preserve"> były prefinansowane </w:t>
      </w:r>
      <w:r w:rsidRPr="00F16251">
        <w:rPr>
          <w:rFonts w:cstheme="minorHAnsi"/>
        </w:rPr>
        <w:t>nawet</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100%,</w:t>
      </w:r>
      <w:r w:rsidR="003B50ED" w:rsidRPr="00F16251">
        <w:rPr>
          <w:rFonts w:cstheme="minorHAnsi"/>
        </w:rPr>
        <w:t xml:space="preserve"> </w:t>
      </w:r>
      <w:r w:rsidR="008247A9" w:rsidRPr="00F16251">
        <w:rPr>
          <w:rFonts w:cstheme="minorHAnsi"/>
        </w:rPr>
        <w:t xml:space="preserve">co </w:t>
      </w:r>
      <w:r w:rsidRPr="00F16251">
        <w:rPr>
          <w:rFonts w:cstheme="minorHAnsi"/>
        </w:rPr>
        <w:t>wyraźnie</w:t>
      </w:r>
      <w:r w:rsidR="003B50ED" w:rsidRPr="00F16251">
        <w:rPr>
          <w:rFonts w:cstheme="minorHAnsi"/>
        </w:rPr>
        <w:t xml:space="preserve"> </w:t>
      </w:r>
      <w:r w:rsidRPr="00F16251">
        <w:rPr>
          <w:rFonts w:cstheme="minorHAnsi"/>
        </w:rPr>
        <w:t>aktywizował</w:t>
      </w:r>
      <w:r w:rsidR="008247A9" w:rsidRPr="00F16251">
        <w:rPr>
          <w:rFonts w:cstheme="minorHAnsi"/>
        </w:rPr>
        <w:t>o</w:t>
      </w:r>
      <w:r w:rsidR="003B50ED" w:rsidRPr="00F16251">
        <w:rPr>
          <w:rFonts w:cstheme="minorHAnsi"/>
        </w:rPr>
        <w:t xml:space="preserve"> </w:t>
      </w:r>
      <w:r w:rsidRPr="00F16251">
        <w:rPr>
          <w:rFonts w:cstheme="minorHAnsi"/>
        </w:rPr>
        <w:lastRenderedPageBreak/>
        <w:t>te</w:t>
      </w:r>
      <w:r w:rsidR="003B50ED" w:rsidRPr="00F16251">
        <w:rPr>
          <w:rFonts w:cstheme="minorHAnsi"/>
        </w:rPr>
        <w:t xml:space="preserve"> </w:t>
      </w:r>
      <w:r w:rsidRPr="00F16251">
        <w:rPr>
          <w:rFonts w:cstheme="minorHAnsi"/>
        </w:rPr>
        <w:t>organizacje.</w:t>
      </w:r>
      <w:r w:rsidR="003B50ED" w:rsidRPr="00F16251">
        <w:rPr>
          <w:rFonts w:cstheme="minorHAnsi"/>
        </w:rPr>
        <w:t xml:space="preserve"> </w:t>
      </w:r>
      <w:r w:rsidR="008247A9" w:rsidRPr="00F16251">
        <w:rPr>
          <w:rFonts w:cstheme="minorHAnsi"/>
        </w:rPr>
        <w:t xml:space="preserve">Stowarzyszenie „Solidarni w Partnerstwie” mając zgromadzone środki statutowe, </w:t>
      </w:r>
      <w:r w:rsidRPr="00F16251">
        <w:rPr>
          <w:rFonts w:cstheme="minorHAnsi"/>
        </w:rPr>
        <w:t>nie</w:t>
      </w:r>
      <w:r w:rsidR="003B50ED" w:rsidRPr="00F16251">
        <w:rPr>
          <w:rFonts w:cstheme="minorHAnsi"/>
        </w:rPr>
        <w:t xml:space="preserve"> </w:t>
      </w:r>
      <w:r w:rsidRPr="00F16251">
        <w:rPr>
          <w:rFonts w:cstheme="minorHAnsi"/>
        </w:rPr>
        <w:t>miał</w:t>
      </w:r>
      <w:r w:rsidR="008247A9" w:rsidRPr="00F16251">
        <w:rPr>
          <w:rFonts w:cstheme="minorHAnsi"/>
        </w:rPr>
        <w:t>o</w:t>
      </w:r>
      <w:r w:rsidR="003B50ED" w:rsidRPr="00F16251">
        <w:rPr>
          <w:rFonts w:cstheme="minorHAnsi"/>
        </w:rPr>
        <w:t xml:space="preserve"> </w:t>
      </w:r>
      <w:r w:rsidRPr="00F16251">
        <w:rPr>
          <w:rFonts w:cstheme="minorHAnsi"/>
        </w:rPr>
        <w:t>problemów</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ich</w:t>
      </w:r>
      <w:r w:rsidR="003B50ED" w:rsidRPr="00F16251">
        <w:rPr>
          <w:rFonts w:cstheme="minorHAnsi"/>
        </w:rPr>
        <w:t xml:space="preserve"> </w:t>
      </w:r>
      <w:r w:rsidR="008247A9" w:rsidRPr="00F16251">
        <w:rPr>
          <w:rFonts w:cstheme="minorHAnsi"/>
        </w:rPr>
        <w:t>pre</w:t>
      </w:r>
      <w:r w:rsidRPr="00F16251">
        <w:rPr>
          <w:rFonts w:cstheme="minorHAnsi"/>
        </w:rPr>
        <w:t>finansowaniem,</w:t>
      </w:r>
      <w:r w:rsidR="003B50ED" w:rsidRPr="00F16251">
        <w:rPr>
          <w:rFonts w:cstheme="minorHAnsi"/>
        </w:rPr>
        <w:t xml:space="preserve"> </w:t>
      </w:r>
      <w:r w:rsidR="008247A9" w:rsidRPr="00F16251">
        <w:rPr>
          <w:rFonts w:cstheme="minorHAnsi"/>
        </w:rPr>
        <w:t xml:space="preserve">dzięki czemu </w:t>
      </w:r>
      <w:r w:rsidRPr="00F16251">
        <w:rPr>
          <w:rFonts w:cstheme="minorHAnsi"/>
        </w:rPr>
        <w:t>nie</w:t>
      </w:r>
      <w:r w:rsidR="003B50ED" w:rsidRPr="00F16251">
        <w:rPr>
          <w:rFonts w:cstheme="minorHAnsi"/>
        </w:rPr>
        <w:t xml:space="preserve"> </w:t>
      </w:r>
      <w:r w:rsidRPr="00F16251">
        <w:rPr>
          <w:rFonts w:cstheme="minorHAnsi"/>
        </w:rPr>
        <w:t>było</w:t>
      </w:r>
      <w:r w:rsidR="003B50ED" w:rsidRPr="00F16251">
        <w:rPr>
          <w:rFonts w:cstheme="minorHAnsi"/>
        </w:rPr>
        <w:t xml:space="preserve"> </w:t>
      </w:r>
      <w:r w:rsidRPr="00F16251">
        <w:rPr>
          <w:rFonts w:cstheme="minorHAnsi"/>
        </w:rPr>
        <w:t>konieczności</w:t>
      </w:r>
      <w:r w:rsidR="003B50ED" w:rsidRPr="00F16251">
        <w:rPr>
          <w:rFonts w:cstheme="minorHAnsi"/>
        </w:rPr>
        <w:t xml:space="preserve"> </w:t>
      </w:r>
      <w:r w:rsidRPr="00F16251">
        <w:rPr>
          <w:rFonts w:cstheme="minorHAnsi"/>
        </w:rPr>
        <w:t>zaciągania</w:t>
      </w:r>
      <w:r w:rsidR="003B50ED" w:rsidRPr="00F16251">
        <w:rPr>
          <w:rFonts w:cstheme="minorHAnsi"/>
        </w:rPr>
        <w:t xml:space="preserve"> </w:t>
      </w:r>
      <w:r w:rsidRPr="00F16251">
        <w:rPr>
          <w:rFonts w:cstheme="minorHAnsi"/>
        </w:rPr>
        <w:t>kredytów.</w:t>
      </w:r>
      <w:r w:rsidR="003B50ED" w:rsidRPr="00F16251">
        <w:rPr>
          <w:rFonts w:cstheme="minorHAnsi"/>
        </w:rPr>
        <w:t xml:space="preserve"> </w:t>
      </w:r>
    </w:p>
    <w:p w14:paraId="3380A6DB" w14:textId="0DB4F131" w:rsidR="00206F64" w:rsidRPr="00F16251" w:rsidRDefault="00E01240" w:rsidP="00A26C26">
      <w:pPr>
        <w:spacing w:line="276" w:lineRule="auto"/>
        <w:ind w:firstLine="284"/>
        <w:jc w:val="both"/>
        <w:rPr>
          <w:rFonts w:cstheme="minorHAnsi"/>
        </w:rPr>
      </w:pPr>
      <w:r w:rsidRPr="00F16251">
        <w:rPr>
          <w:rFonts w:cstheme="minorHAnsi"/>
        </w:rPr>
        <w:t>Bardzo</w:t>
      </w:r>
      <w:r w:rsidR="003B50ED" w:rsidRPr="00F16251">
        <w:rPr>
          <w:rFonts w:cstheme="minorHAnsi"/>
        </w:rPr>
        <w:t xml:space="preserve"> </w:t>
      </w:r>
      <w:r w:rsidRPr="00F16251">
        <w:rPr>
          <w:rFonts w:cstheme="minorHAnsi"/>
        </w:rPr>
        <w:t>pozytywnym</w:t>
      </w:r>
      <w:r w:rsidR="003B50ED" w:rsidRPr="00F16251">
        <w:rPr>
          <w:rFonts w:cstheme="minorHAnsi"/>
        </w:rPr>
        <w:t xml:space="preserve"> </w:t>
      </w:r>
      <w:r w:rsidRPr="00F16251">
        <w:rPr>
          <w:rFonts w:cstheme="minorHAnsi"/>
        </w:rPr>
        <w:t>odbiorem</w:t>
      </w:r>
      <w:r w:rsidR="003B50ED" w:rsidRPr="00F16251">
        <w:rPr>
          <w:rFonts w:cstheme="minorHAnsi"/>
        </w:rPr>
        <w:t xml:space="preserve"> </w:t>
      </w:r>
      <w:r w:rsidRPr="00F16251">
        <w:rPr>
          <w:rFonts w:cstheme="minorHAnsi"/>
        </w:rPr>
        <w:t>wśród</w:t>
      </w:r>
      <w:r w:rsidR="003B50ED" w:rsidRPr="00F16251">
        <w:rPr>
          <w:rFonts w:cstheme="minorHAnsi"/>
        </w:rPr>
        <w:t xml:space="preserve"> </w:t>
      </w:r>
      <w:r w:rsidRPr="00F16251">
        <w:rPr>
          <w:rFonts w:cstheme="minorHAnsi"/>
        </w:rPr>
        <w:t>społeczności</w:t>
      </w:r>
      <w:r w:rsidR="003B50ED" w:rsidRPr="00F16251">
        <w:rPr>
          <w:rFonts w:cstheme="minorHAnsi"/>
        </w:rPr>
        <w:t xml:space="preserve"> </w:t>
      </w:r>
      <w:r w:rsidRPr="00F16251">
        <w:rPr>
          <w:rFonts w:cstheme="minorHAnsi"/>
        </w:rPr>
        <w:t>cieszą</w:t>
      </w:r>
      <w:r w:rsidR="003B50ED" w:rsidRPr="00F16251">
        <w:rPr>
          <w:rFonts w:cstheme="minorHAnsi"/>
        </w:rPr>
        <w:t xml:space="preserve"> </w:t>
      </w:r>
      <w:r w:rsidRPr="00F16251">
        <w:rPr>
          <w:rFonts w:cstheme="minorHAnsi"/>
        </w:rPr>
        <w:t>się</w:t>
      </w:r>
      <w:r w:rsidR="003B50ED" w:rsidRPr="00F16251">
        <w:rPr>
          <w:rFonts w:cstheme="minorHAnsi"/>
        </w:rPr>
        <w:t xml:space="preserve"> </w:t>
      </w:r>
      <w:r w:rsidRPr="00F16251">
        <w:rPr>
          <w:rFonts w:cstheme="minorHAnsi"/>
        </w:rPr>
        <w:t>również</w:t>
      </w:r>
      <w:r w:rsidR="003B50ED" w:rsidRPr="00F16251">
        <w:rPr>
          <w:rFonts w:cstheme="minorHAnsi"/>
        </w:rPr>
        <w:t xml:space="preserve"> </w:t>
      </w:r>
      <w:r w:rsidRPr="00F16251">
        <w:rPr>
          <w:rFonts w:cstheme="minorHAnsi"/>
        </w:rPr>
        <w:t>projekty</w:t>
      </w:r>
      <w:r w:rsidR="003B50ED" w:rsidRPr="00F16251">
        <w:rPr>
          <w:rFonts w:cstheme="minorHAnsi"/>
        </w:rPr>
        <w:t xml:space="preserve"> </w:t>
      </w:r>
      <w:r w:rsidRPr="00F16251">
        <w:rPr>
          <w:rFonts w:cstheme="minorHAnsi"/>
        </w:rPr>
        <w:t>infrastrukturalne.</w:t>
      </w:r>
      <w:r w:rsidR="003B50ED" w:rsidRPr="00F16251">
        <w:rPr>
          <w:rFonts w:cstheme="minorHAnsi"/>
        </w:rPr>
        <w:t xml:space="preserve"> </w:t>
      </w:r>
      <w:r w:rsidRPr="00F16251">
        <w:rPr>
          <w:rFonts w:cstheme="minorHAnsi"/>
        </w:rPr>
        <w:t>Świetlice,</w:t>
      </w:r>
      <w:r w:rsidR="003B50ED" w:rsidRPr="00F16251">
        <w:rPr>
          <w:rFonts w:cstheme="minorHAnsi"/>
        </w:rPr>
        <w:t xml:space="preserve"> </w:t>
      </w:r>
      <w:r w:rsidRPr="00F16251">
        <w:rPr>
          <w:rFonts w:cstheme="minorHAnsi"/>
        </w:rPr>
        <w:t>zmodernizowane</w:t>
      </w:r>
      <w:r w:rsidR="003B50ED" w:rsidRPr="00F16251">
        <w:rPr>
          <w:rFonts w:cstheme="minorHAnsi"/>
        </w:rPr>
        <w:t xml:space="preserve"> </w:t>
      </w:r>
      <w:r w:rsidRPr="00F16251">
        <w:rPr>
          <w:rFonts w:cstheme="minorHAnsi"/>
        </w:rPr>
        <w:t>często</w:t>
      </w:r>
      <w:r w:rsidR="003B50ED" w:rsidRPr="00F16251">
        <w:rPr>
          <w:rFonts w:cstheme="minorHAnsi"/>
        </w:rPr>
        <w:t xml:space="preserve"> </w:t>
      </w:r>
      <w:r w:rsidRPr="00F16251">
        <w:rPr>
          <w:rFonts w:cstheme="minorHAnsi"/>
        </w:rPr>
        <w:t>we</w:t>
      </w:r>
      <w:r w:rsidR="003B50ED" w:rsidRPr="00F16251">
        <w:rPr>
          <w:rFonts w:cstheme="minorHAnsi"/>
        </w:rPr>
        <w:t xml:space="preserve"> </w:t>
      </w:r>
      <w:r w:rsidRPr="00F16251">
        <w:rPr>
          <w:rFonts w:cstheme="minorHAnsi"/>
        </w:rPr>
        <w:t>współpracy</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samorządem,</w:t>
      </w:r>
      <w:r w:rsidR="003B50ED" w:rsidRPr="00F16251">
        <w:rPr>
          <w:rFonts w:cstheme="minorHAnsi"/>
        </w:rPr>
        <w:t xml:space="preserve"> </w:t>
      </w:r>
      <w:r w:rsidRPr="00F16251">
        <w:rPr>
          <w:rFonts w:cstheme="minorHAnsi"/>
        </w:rPr>
        <w:t>wciąż</w:t>
      </w:r>
      <w:r w:rsidR="003B50ED" w:rsidRPr="00F16251">
        <w:rPr>
          <w:rFonts w:cstheme="minorHAnsi"/>
        </w:rPr>
        <w:t xml:space="preserve"> </w:t>
      </w:r>
      <w:r w:rsidRPr="00F16251">
        <w:rPr>
          <w:rFonts w:cstheme="minorHAnsi"/>
        </w:rPr>
        <w:t>dobrze</w:t>
      </w:r>
      <w:r w:rsidR="003B50ED" w:rsidRPr="00F16251">
        <w:rPr>
          <w:rFonts w:cstheme="minorHAnsi"/>
        </w:rPr>
        <w:t xml:space="preserve"> </w:t>
      </w:r>
      <w:r w:rsidRPr="00F16251">
        <w:rPr>
          <w:rFonts w:cstheme="minorHAnsi"/>
        </w:rPr>
        <w:t>funkcjonują</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tworzą</w:t>
      </w:r>
      <w:r w:rsidR="003B50ED" w:rsidRPr="00F16251">
        <w:rPr>
          <w:rFonts w:cstheme="minorHAnsi"/>
        </w:rPr>
        <w:t xml:space="preserve"> </w:t>
      </w:r>
      <w:r w:rsidRPr="00F16251">
        <w:rPr>
          <w:rFonts w:cstheme="minorHAnsi"/>
        </w:rPr>
        <w:t>dobre</w:t>
      </w:r>
      <w:r w:rsidR="003B50ED" w:rsidRPr="00F16251">
        <w:rPr>
          <w:rFonts w:cstheme="minorHAnsi"/>
        </w:rPr>
        <w:t xml:space="preserve"> </w:t>
      </w:r>
      <w:r w:rsidRPr="00F16251">
        <w:rPr>
          <w:rFonts w:cstheme="minorHAnsi"/>
        </w:rPr>
        <w:t>miejsce</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spotkań</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działalności</w:t>
      </w:r>
      <w:r w:rsidR="003B50ED" w:rsidRPr="00F16251">
        <w:rPr>
          <w:rFonts w:cstheme="minorHAnsi"/>
        </w:rPr>
        <w:t xml:space="preserve"> </w:t>
      </w:r>
      <w:r w:rsidRPr="00F16251">
        <w:rPr>
          <w:rFonts w:cstheme="minorHAnsi"/>
        </w:rPr>
        <w:t>mieszkańców</w:t>
      </w:r>
      <w:r w:rsidR="003B50ED" w:rsidRPr="00F16251">
        <w:rPr>
          <w:rFonts w:cstheme="minorHAnsi"/>
        </w:rPr>
        <w:t xml:space="preserve"> </w:t>
      </w:r>
      <w:r w:rsidRPr="00F16251">
        <w:rPr>
          <w:rFonts w:cstheme="minorHAnsi"/>
        </w:rPr>
        <w:t>regionu.</w:t>
      </w:r>
      <w:r w:rsidR="003B50ED" w:rsidRPr="00F16251">
        <w:rPr>
          <w:rFonts w:cstheme="minorHAnsi"/>
        </w:rPr>
        <w:t xml:space="preserve"> </w:t>
      </w:r>
    </w:p>
    <w:p w14:paraId="05378FD9" w14:textId="77777777" w:rsidR="00F32737" w:rsidRPr="00F16251" w:rsidRDefault="00F32737" w:rsidP="00A26C26">
      <w:pPr>
        <w:spacing w:line="276" w:lineRule="auto"/>
        <w:ind w:firstLine="284"/>
        <w:jc w:val="both"/>
        <w:rPr>
          <w:rFonts w:cstheme="minorHAnsi"/>
          <w:b/>
          <w:bCs/>
        </w:rPr>
      </w:pPr>
    </w:p>
    <w:p w14:paraId="23932AEE" w14:textId="3F963041" w:rsidR="00990CC1" w:rsidRPr="00F16251" w:rsidRDefault="00990CC1" w:rsidP="00F32737">
      <w:pPr>
        <w:spacing w:line="276" w:lineRule="auto"/>
        <w:jc w:val="both"/>
        <w:rPr>
          <w:rFonts w:cstheme="minorHAnsi"/>
          <w:b/>
          <w:bCs/>
        </w:rPr>
      </w:pPr>
      <w:r w:rsidRPr="00F16251">
        <w:rPr>
          <w:rFonts w:cstheme="minorHAnsi"/>
          <w:b/>
          <w:bCs/>
        </w:rPr>
        <w:t>Wykorzystanie</w:t>
      </w:r>
      <w:r w:rsidR="003B50ED" w:rsidRPr="00F16251">
        <w:rPr>
          <w:rFonts w:cstheme="minorHAnsi"/>
          <w:b/>
          <w:bCs/>
        </w:rPr>
        <w:t xml:space="preserve"> </w:t>
      </w:r>
      <w:r w:rsidRPr="00F16251">
        <w:rPr>
          <w:rFonts w:cstheme="minorHAnsi"/>
          <w:b/>
          <w:bCs/>
        </w:rPr>
        <w:t>potencjału</w:t>
      </w:r>
      <w:r w:rsidR="003B50ED" w:rsidRPr="00F16251">
        <w:rPr>
          <w:rFonts w:cstheme="minorHAnsi"/>
          <w:b/>
          <w:bCs/>
        </w:rPr>
        <w:t xml:space="preserve"> </w:t>
      </w:r>
      <w:r w:rsidRPr="00F16251">
        <w:rPr>
          <w:rFonts w:cstheme="minorHAnsi"/>
          <w:b/>
          <w:bCs/>
        </w:rPr>
        <w:t>partnerstwa</w:t>
      </w:r>
      <w:r w:rsidR="003B50ED" w:rsidRPr="00F16251">
        <w:rPr>
          <w:rFonts w:cstheme="minorHAnsi"/>
          <w:b/>
          <w:bCs/>
        </w:rPr>
        <w:t xml:space="preserve"> </w:t>
      </w:r>
      <w:r w:rsidRPr="00F16251">
        <w:rPr>
          <w:rFonts w:cstheme="minorHAnsi"/>
          <w:b/>
          <w:bCs/>
        </w:rPr>
        <w:t>do</w:t>
      </w:r>
      <w:r w:rsidR="003B50ED" w:rsidRPr="00F16251">
        <w:rPr>
          <w:rFonts w:cstheme="minorHAnsi"/>
          <w:b/>
          <w:bCs/>
        </w:rPr>
        <w:t xml:space="preserve"> </w:t>
      </w:r>
      <w:r w:rsidRPr="00F16251">
        <w:rPr>
          <w:rFonts w:cstheme="minorHAnsi"/>
          <w:b/>
          <w:bCs/>
        </w:rPr>
        <w:t>przygotowania</w:t>
      </w:r>
      <w:r w:rsidR="003B50ED" w:rsidRPr="00F16251">
        <w:rPr>
          <w:rFonts w:cstheme="minorHAnsi"/>
          <w:b/>
          <w:bCs/>
        </w:rPr>
        <w:t xml:space="preserve"> </w:t>
      </w:r>
      <w:r w:rsidRPr="00F16251">
        <w:rPr>
          <w:rFonts w:cstheme="minorHAnsi"/>
          <w:b/>
          <w:bCs/>
        </w:rPr>
        <w:t>i</w:t>
      </w:r>
      <w:r w:rsidR="003B50ED" w:rsidRPr="00F16251">
        <w:rPr>
          <w:rFonts w:cstheme="minorHAnsi"/>
          <w:b/>
          <w:bCs/>
        </w:rPr>
        <w:t xml:space="preserve"> </w:t>
      </w:r>
      <w:r w:rsidRPr="00F16251">
        <w:rPr>
          <w:rFonts w:cstheme="minorHAnsi"/>
          <w:b/>
          <w:bCs/>
        </w:rPr>
        <w:t>wdrażania</w:t>
      </w:r>
      <w:r w:rsidR="003B50ED" w:rsidRPr="00F16251">
        <w:rPr>
          <w:rFonts w:cstheme="minorHAnsi"/>
          <w:b/>
          <w:bCs/>
        </w:rPr>
        <w:t xml:space="preserve"> </w:t>
      </w:r>
      <w:r w:rsidRPr="00F16251">
        <w:rPr>
          <w:rFonts w:cstheme="minorHAnsi"/>
          <w:b/>
          <w:bCs/>
        </w:rPr>
        <w:t>LSR</w:t>
      </w:r>
      <w:r w:rsidR="003B50ED" w:rsidRPr="00F16251">
        <w:rPr>
          <w:rFonts w:cstheme="minorHAnsi"/>
          <w:b/>
          <w:bCs/>
        </w:rPr>
        <w:t xml:space="preserve"> </w:t>
      </w:r>
      <w:r w:rsidRPr="00F16251">
        <w:rPr>
          <w:rFonts w:cstheme="minorHAnsi"/>
          <w:b/>
          <w:bCs/>
        </w:rPr>
        <w:t>na</w:t>
      </w:r>
      <w:r w:rsidR="003B50ED" w:rsidRPr="00F16251">
        <w:rPr>
          <w:rFonts w:cstheme="minorHAnsi"/>
          <w:b/>
          <w:bCs/>
        </w:rPr>
        <w:t xml:space="preserve"> </w:t>
      </w:r>
      <w:r w:rsidRPr="00F16251">
        <w:rPr>
          <w:rFonts w:cstheme="minorHAnsi"/>
          <w:b/>
          <w:bCs/>
        </w:rPr>
        <w:t>lata</w:t>
      </w:r>
      <w:r w:rsidR="003B50ED" w:rsidRPr="00F16251">
        <w:rPr>
          <w:rFonts w:cstheme="minorHAnsi"/>
          <w:b/>
          <w:bCs/>
        </w:rPr>
        <w:t xml:space="preserve"> </w:t>
      </w:r>
      <w:r w:rsidRPr="00F16251">
        <w:rPr>
          <w:rFonts w:cstheme="minorHAnsi"/>
          <w:b/>
          <w:bCs/>
        </w:rPr>
        <w:t>2023-2027</w:t>
      </w:r>
    </w:p>
    <w:p w14:paraId="27B69302" w14:textId="42247056" w:rsidR="00990CC1" w:rsidRPr="00F16251" w:rsidRDefault="00990CC1" w:rsidP="00F32737">
      <w:pPr>
        <w:spacing w:line="276" w:lineRule="auto"/>
        <w:jc w:val="both"/>
        <w:rPr>
          <w:rFonts w:cstheme="minorHAnsi"/>
          <w:b/>
          <w:bCs/>
        </w:rPr>
      </w:pPr>
      <w:r w:rsidRPr="00F16251">
        <w:rPr>
          <w:rFonts w:cstheme="minorHAnsi"/>
          <w:b/>
          <w:bCs/>
        </w:rPr>
        <w:t>Zasoby</w:t>
      </w:r>
      <w:r w:rsidR="003B50ED" w:rsidRPr="00F16251">
        <w:rPr>
          <w:rFonts w:cstheme="minorHAnsi"/>
          <w:b/>
          <w:bCs/>
        </w:rPr>
        <w:t xml:space="preserve"> </w:t>
      </w:r>
      <w:r w:rsidRPr="00F16251">
        <w:rPr>
          <w:rFonts w:cstheme="minorHAnsi"/>
          <w:b/>
          <w:bCs/>
        </w:rPr>
        <w:t>ludzkie/kadry</w:t>
      </w:r>
    </w:p>
    <w:p w14:paraId="76213987" w14:textId="4B638DB3" w:rsidR="00121F8C" w:rsidRPr="00F16251" w:rsidRDefault="00121F8C" w:rsidP="00A26C26">
      <w:pPr>
        <w:spacing w:line="276" w:lineRule="auto"/>
        <w:ind w:firstLine="284"/>
        <w:jc w:val="both"/>
        <w:rPr>
          <w:rFonts w:cstheme="minorHAnsi"/>
        </w:rPr>
      </w:pPr>
      <w:r w:rsidRPr="00F16251">
        <w:rPr>
          <w:rFonts w:cstheme="minorHAnsi"/>
        </w:rPr>
        <w:t>Aby</w:t>
      </w:r>
      <w:r w:rsidR="003B50ED" w:rsidRPr="00F16251">
        <w:rPr>
          <w:rFonts w:cstheme="minorHAnsi"/>
        </w:rPr>
        <w:t xml:space="preserve"> </w:t>
      </w:r>
      <w:r w:rsidRPr="00F16251">
        <w:rPr>
          <w:rFonts w:cstheme="minorHAnsi"/>
        </w:rPr>
        <w:t>podjąć</w:t>
      </w:r>
      <w:r w:rsidR="003B50ED" w:rsidRPr="00F16251">
        <w:rPr>
          <w:rFonts w:cstheme="minorHAnsi"/>
        </w:rPr>
        <w:t xml:space="preserve"> </w:t>
      </w:r>
      <w:r w:rsidRPr="00F16251">
        <w:rPr>
          <w:rFonts w:cstheme="minorHAnsi"/>
        </w:rPr>
        <w:t>nowe</w:t>
      </w:r>
      <w:r w:rsidR="003B50ED" w:rsidRPr="00F16251">
        <w:rPr>
          <w:rFonts w:cstheme="minorHAnsi"/>
        </w:rPr>
        <w:t xml:space="preserve"> </w:t>
      </w:r>
      <w:r w:rsidRPr="00F16251">
        <w:rPr>
          <w:rFonts w:cstheme="minorHAnsi"/>
        </w:rPr>
        <w:t>wyzwania</w:t>
      </w:r>
      <w:r w:rsidR="003B50ED" w:rsidRPr="00F16251">
        <w:rPr>
          <w:rFonts w:cstheme="minorHAnsi"/>
        </w:rPr>
        <w:t xml:space="preserve"> </w:t>
      </w:r>
      <w:r w:rsidRPr="00F16251">
        <w:rPr>
          <w:rFonts w:cstheme="minorHAnsi"/>
        </w:rPr>
        <w:t>oraz</w:t>
      </w:r>
      <w:r w:rsidR="003B50ED" w:rsidRPr="00F16251">
        <w:rPr>
          <w:rFonts w:cstheme="minorHAnsi"/>
        </w:rPr>
        <w:t xml:space="preserve"> </w:t>
      </w:r>
      <w:r w:rsidRPr="00F16251">
        <w:rPr>
          <w:rFonts w:cstheme="minorHAnsi"/>
        </w:rPr>
        <w:t>móc</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skuteczny</w:t>
      </w:r>
      <w:r w:rsidR="003B50ED" w:rsidRPr="00F16251">
        <w:rPr>
          <w:rFonts w:cstheme="minorHAnsi"/>
        </w:rPr>
        <w:t xml:space="preserve"> </w:t>
      </w:r>
      <w:r w:rsidRPr="00F16251">
        <w:rPr>
          <w:rFonts w:cstheme="minorHAnsi"/>
        </w:rPr>
        <w:t>sposób</w:t>
      </w:r>
      <w:r w:rsidR="003B50ED" w:rsidRPr="00F16251">
        <w:rPr>
          <w:rFonts w:cstheme="minorHAnsi"/>
        </w:rPr>
        <w:t xml:space="preserve"> </w:t>
      </w:r>
      <w:r w:rsidRPr="00F16251">
        <w:rPr>
          <w:rFonts w:cstheme="minorHAnsi"/>
        </w:rPr>
        <w:t>kontynuować</w:t>
      </w:r>
      <w:r w:rsidR="003B50ED" w:rsidRPr="00F16251">
        <w:rPr>
          <w:rFonts w:cstheme="minorHAnsi"/>
        </w:rPr>
        <w:t xml:space="preserve"> </w:t>
      </w:r>
      <w:r w:rsidRPr="00F16251">
        <w:rPr>
          <w:rFonts w:cstheme="minorHAnsi"/>
        </w:rPr>
        <w:t>rozwiązywanie</w:t>
      </w:r>
      <w:r w:rsidR="003B50ED" w:rsidRPr="00F16251">
        <w:rPr>
          <w:rFonts w:cstheme="minorHAnsi"/>
        </w:rPr>
        <w:t xml:space="preserve"> </w:t>
      </w:r>
      <w:r w:rsidRPr="00F16251">
        <w:rPr>
          <w:rFonts w:cstheme="minorHAnsi"/>
        </w:rPr>
        <w:t>istotnych</w:t>
      </w:r>
      <w:r w:rsidR="003B50ED" w:rsidRPr="00F16251">
        <w:rPr>
          <w:rFonts w:cstheme="minorHAnsi"/>
        </w:rPr>
        <w:t xml:space="preserve"> </w:t>
      </w:r>
      <w:r w:rsidRPr="00F16251">
        <w:rPr>
          <w:rFonts w:cstheme="minorHAnsi"/>
        </w:rPr>
        <w:t>problemów</w:t>
      </w:r>
      <w:r w:rsidR="003B50ED" w:rsidRPr="00F16251">
        <w:rPr>
          <w:rFonts w:cstheme="minorHAnsi"/>
        </w:rPr>
        <w:t xml:space="preserve"> </w:t>
      </w:r>
      <w:r w:rsidRPr="00F16251">
        <w:rPr>
          <w:rFonts w:cstheme="minorHAnsi"/>
        </w:rPr>
        <w:t>zdiagnozowanych</w:t>
      </w:r>
      <w:r w:rsidR="003B50ED" w:rsidRPr="00F16251">
        <w:rPr>
          <w:rFonts w:cstheme="minorHAnsi"/>
        </w:rPr>
        <w:t xml:space="preserve"> </w:t>
      </w:r>
      <w:r w:rsidR="00A67908" w:rsidRPr="00F16251">
        <w:rPr>
          <w:rFonts w:cstheme="minorHAnsi"/>
        </w:rPr>
        <w:t>podczas</w:t>
      </w:r>
      <w:r w:rsidR="003B50ED" w:rsidRPr="00F16251">
        <w:rPr>
          <w:rFonts w:cstheme="minorHAnsi"/>
        </w:rPr>
        <w:t xml:space="preserve"> </w:t>
      </w:r>
      <w:r w:rsidR="00A67908" w:rsidRPr="00F16251">
        <w:rPr>
          <w:rFonts w:cstheme="minorHAnsi"/>
        </w:rPr>
        <w:t>spotkań</w:t>
      </w:r>
      <w:r w:rsidR="003B50ED" w:rsidRPr="00F16251">
        <w:rPr>
          <w:rFonts w:cstheme="minorHAnsi"/>
        </w:rPr>
        <w:t xml:space="preserve"> </w:t>
      </w:r>
      <w:r w:rsidR="00A67908" w:rsidRPr="00F16251">
        <w:rPr>
          <w:rFonts w:cstheme="minorHAnsi"/>
        </w:rPr>
        <w:t>z</w:t>
      </w:r>
      <w:r w:rsidR="003B50ED" w:rsidRPr="00F16251">
        <w:rPr>
          <w:rFonts w:cstheme="minorHAnsi"/>
        </w:rPr>
        <w:t xml:space="preserve"> </w:t>
      </w:r>
      <w:r w:rsidR="00A67908" w:rsidRPr="00F16251">
        <w:rPr>
          <w:rFonts w:cstheme="minorHAnsi"/>
        </w:rPr>
        <w:t>lokalną</w:t>
      </w:r>
      <w:r w:rsidR="003B50ED" w:rsidRPr="00F16251">
        <w:rPr>
          <w:rFonts w:cstheme="minorHAnsi"/>
        </w:rPr>
        <w:t xml:space="preserve"> </w:t>
      </w:r>
      <w:r w:rsidR="00A67908" w:rsidRPr="00F16251">
        <w:rPr>
          <w:rFonts w:cstheme="minorHAnsi"/>
        </w:rPr>
        <w:t>społecznością</w:t>
      </w:r>
      <w:r w:rsidRPr="00F16251">
        <w:rPr>
          <w:rFonts w:cstheme="minorHAnsi"/>
        </w:rPr>
        <w:t>,</w:t>
      </w:r>
      <w:r w:rsidR="003B50ED" w:rsidRPr="00F16251">
        <w:rPr>
          <w:rFonts w:cstheme="minorHAnsi"/>
        </w:rPr>
        <w:t xml:space="preserve"> </w:t>
      </w:r>
      <w:r w:rsidRPr="00F16251">
        <w:rPr>
          <w:rFonts w:cstheme="minorHAnsi"/>
        </w:rPr>
        <w:t>partnerstwo,</w:t>
      </w:r>
      <w:r w:rsidR="003B50ED" w:rsidRPr="00F16251">
        <w:rPr>
          <w:rFonts w:cstheme="minorHAnsi"/>
        </w:rPr>
        <w:t xml:space="preserve"> </w:t>
      </w:r>
      <w:r w:rsidRPr="00F16251">
        <w:rPr>
          <w:rFonts w:cstheme="minorHAnsi"/>
        </w:rPr>
        <w:t>jakim</w:t>
      </w:r>
      <w:r w:rsidR="003B50ED" w:rsidRPr="00F16251">
        <w:rPr>
          <w:rFonts w:cstheme="minorHAnsi"/>
        </w:rPr>
        <w:t xml:space="preserve"> </w:t>
      </w:r>
      <w:r w:rsidRPr="00F16251">
        <w:rPr>
          <w:rFonts w:cstheme="minorHAnsi"/>
        </w:rPr>
        <w:t>niewątpliwie</w:t>
      </w:r>
      <w:r w:rsidR="003B50ED" w:rsidRPr="00F16251">
        <w:rPr>
          <w:rFonts w:cstheme="minorHAnsi"/>
        </w:rPr>
        <w:t xml:space="preserve"> </w:t>
      </w:r>
      <w:r w:rsidRPr="00F16251">
        <w:rPr>
          <w:rFonts w:cstheme="minorHAnsi"/>
        </w:rPr>
        <w:t>jest</w:t>
      </w:r>
      <w:r w:rsidR="003B50ED" w:rsidRPr="00F16251">
        <w:rPr>
          <w:rFonts w:cstheme="minorHAnsi"/>
        </w:rPr>
        <w:t xml:space="preserve"> </w:t>
      </w:r>
      <w:r w:rsidR="008247A9" w:rsidRPr="00F16251">
        <w:rPr>
          <w:rFonts w:cstheme="minorHAnsi"/>
        </w:rPr>
        <w:t xml:space="preserve">Stowarzyszenie „Solidarni w Partnerstwie”, </w:t>
      </w:r>
      <w:r w:rsidRPr="00F16251">
        <w:rPr>
          <w:rFonts w:cstheme="minorHAnsi"/>
        </w:rPr>
        <w:t>musi</w:t>
      </w:r>
      <w:r w:rsidR="003B50ED" w:rsidRPr="00F16251">
        <w:rPr>
          <w:rFonts w:cstheme="minorHAnsi"/>
        </w:rPr>
        <w:t xml:space="preserve"> </w:t>
      </w:r>
      <w:r w:rsidRPr="00F16251">
        <w:rPr>
          <w:rFonts w:cstheme="minorHAnsi"/>
        </w:rPr>
        <w:t>posiadać</w:t>
      </w:r>
      <w:r w:rsidR="003B50ED" w:rsidRPr="00F16251">
        <w:rPr>
          <w:rFonts w:cstheme="minorHAnsi"/>
        </w:rPr>
        <w:t xml:space="preserve"> </w:t>
      </w:r>
      <w:r w:rsidRPr="00F16251">
        <w:rPr>
          <w:rFonts w:cstheme="minorHAnsi"/>
        </w:rPr>
        <w:t>silne</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merytorycznie</w:t>
      </w:r>
      <w:r w:rsidR="003B50ED" w:rsidRPr="00F16251">
        <w:rPr>
          <w:rFonts w:cstheme="minorHAnsi"/>
        </w:rPr>
        <w:t xml:space="preserve"> </w:t>
      </w:r>
      <w:r w:rsidRPr="00F16251">
        <w:rPr>
          <w:rFonts w:cstheme="minorHAnsi"/>
        </w:rPr>
        <w:t>przygotowane</w:t>
      </w:r>
      <w:r w:rsidR="003B50ED" w:rsidRPr="00F16251">
        <w:rPr>
          <w:rFonts w:cstheme="minorHAnsi"/>
        </w:rPr>
        <w:t xml:space="preserve"> </w:t>
      </w:r>
      <w:r w:rsidRPr="00F16251">
        <w:rPr>
          <w:rFonts w:cstheme="minorHAnsi"/>
        </w:rPr>
        <w:t>kadry,</w:t>
      </w:r>
      <w:r w:rsidR="003B50ED" w:rsidRPr="00F16251">
        <w:rPr>
          <w:rFonts w:cstheme="minorHAnsi"/>
        </w:rPr>
        <w:t xml:space="preserve"> </w:t>
      </w:r>
      <w:r w:rsidRPr="00F16251">
        <w:rPr>
          <w:rFonts w:cstheme="minorHAnsi"/>
        </w:rPr>
        <w:t>które</w:t>
      </w:r>
      <w:r w:rsidR="003B50ED" w:rsidRPr="00F16251">
        <w:rPr>
          <w:rFonts w:cstheme="minorHAnsi"/>
        </w:rPr>
        <w:t xml:space="preserve"> </w:t>
      </w:r>
      <w:r w:rsidRPr="00F16251">
        <w:rPr>
          <w:rFonts w:cstheme="minorHAnsi"/>
        </w:rPr>
        <w:t>dzięki</w:t>
      </w:r>
      <w:r w:rsidR="003B50ED" w:rsidRPr="00F16251">
        <w:rPr>
          <w:rFonts w:cstheme="minorHAnsi"/>
        </w:rPr>
        <w:t xml:space="preserve"> </w:t>
      </w:r>
      <w:r w:rsidRPr="00F16251">
        <w:rPr>
          <w:rFonts w:cstheme="minorHAnsi"/>
        </w:rPr>
        <w:t>swojej</w:t>
      </w:r>
      <w:r w:rsidR="003B50ED" w:rsidRPr="00F16251">
        <w:rPr>
          <w:rFonts w:cstheme="minorHAnsi"/>
        </w:rPr>
        <w:t xml:space="preserve"> </w:t>
      </w:r>
      <w:r w:rsidRPr="00F16251">
        <w:rPr>
          <w:rFonts w:cstheme="minorHAnsi"/>
        </w:rPr>
        <w:t>wiedzy</w:t>
      </w:r>
      <w:r w:rsidR="005505AF">
        <w:rPr>
          <w:rFonts w:cstheme="minorHAnsi"/>
        </w:rPr>
        <w:t xml:space="preserve">                     </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doświadczeniu</w:t>
      </w:r>
      <w:r w:rsidR="003B50ED" w:rsidRPr="00F16251">
        <w:rPr>
          <w:rFonts w:cstheme="minorHAnsi"/>
        </w:rPr>
        <w:t xml:space="preserve"> </w:t>
      </w:r>
      <w:r w:rsidRPr="00F16251">
        <w:rPr>
          <w:rFonts w:cstheme="minorHAnsi"/>
        </w:rPr>
        <w:t>będą</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stanie</w:t>
      </w:r>
      <w:r w:rsidR="003B50ED" w:rsidRPr="00F16251">
        <w:rPr>
          <w:rFonts w:cstheme="minorHAnsi"/>
        </w:rPr>
        <w:t xml:space="preserve"> </w:t>
      </w:r>
      <w:r w:rsidRPr="00F16251">
        <w:rPr>
          <w:rFonts w:cstheme="minorHAnsi"/>
        </w:rPr>
        <w:t>pomóc</w:t>
      </w:r>
      <w:r w:rsidR="003B50ED" w:rsidRPr="00F16251">
        <w:rPr>
          <w:rFonts w:cstheme="minorHAnsi"/>
        </w:rPr>
        <w:t xml:space="preserve"> </w:t>
      </w:r>
      <w:r w:rsidRPr="00F16251">
        <w:rPr>
          <w:rFonts w:cstheme="minorHAnsi"/>
        </w:rPr>
        <w:t>mieszkańcom</w:t>
      </w:r>
      <w:r w:rsidR="003B50ED" w:rsidRPr="00F16251">
        <w:rPr>
          <w:rFonts w:cstheme="minorHAnsi"/>
        </w:rPr>
        <w:t xml:space="preserve"> </w:t>
      </w:r>
      <w:r w:rsidRPr="00F16251">
        <w:rPr>
          <w:rFonts w:cstheme="minorHAnsi"/>
        </w:rPr>
        <w:t>obszaru.</w:t>
      </w:r>
      <w:r w:rsidR="003B50ED" w:rsidRPr="00F16251">
        <w:rPr>
          <w:rFonts w:cstheme="minorHAnsi"/>
        </w:rPr>
        <w:t xml:space="preserve"> </w:t>
      </w:r>
    </w:p>
    <w:p w14:paraId="6499F1E3" w14:textId="20E3CD52" w:rsidR="00155723" w:rsidRPr="00F16251" w:rsidRDefault="00121F8C" w:rsidP="00A26C26">
      <w:pPr>
        <w:spacing w:line="276" w:lineRule="auto"/>
        <w:ind w:firstLine="284"/>
        <w:jc w:val="both"/>
        <w:rPr>
          <w:rFonts w:cstheme="minorHAnsi"/>
        </w:rPr>
      </w:pPr>
      <w:r w:rsidRPr="00F16251">
        <w:rPr>
          <w:rFonts w:cstheme="minorHAnsi"/>
        </w:rPr>
        <w:t>Przez</w:t>
      </w:r>
      <w:r w:rsidR="003B50ED" w:rsidRPr="00F16251">
        <w:rPr>
          <w:rFonts w:cstheme="minorHAnsi"/>
        </w:rPr>
        <w:t xml:space="preserve"> </w:t>
      </w:r>
      <w:r w:rsidR="00155723" w:rsidRPr="00F16251">
        <w:rPr>
          <w:rFonts w:cstheme="minorHAnsi"/>
        </w:rPr>
        <w:t>niemalże</w:t>
      </w:r>
      <w:r w:rsidR="003B50ED" w:rsidRPr="00F16251">
        <w:rPr>
          <w:rFonts w:cstheme="minorHAnsi"/>
        </w:rPr>
        <w:t xml:space="preserve"> </w:t>
      </w:r>
      <w:r w:rsidR="00E42D1E" w:rsidRPr="00F16251">
        <w:rPr>
          <w:rFonts w:cstheme="minorHAnsi"/>
        </w:rPr>
        <w:t>17</w:t>
      </w:r>
      <w:r w:rsidR="003B50ED" w:rsidRPr="00F16251">
        <w:rPr>
          <w:rFonts w:cstheme="minorHAnsi"/>
        </w:rPr>
        <w:t xml:space="preserve"> </w:t>
      </w:r>
      <w:r w:rsidRPr="00F16251">
        <w:rPr>
          <w:rFonts w:cstheme="minorHAnsi"/>
        </w:rPr>
        <w:t>lat</w:t>
      </w:r>
      <w:r w:rsidR="003B50ED" w:rsidRPr="00F16251">
        <w:rPr>
          <w:rFonts w:cstheme="minorHAnsi"/>
        </w:rPr>
        <w:t xml:space="preserve"> </w:t>
      </w:r>
      <w:r w:rsidRPr="00F16251">
        <w:rPr>
          <w:rFonts w:cstheme="minorHAnsi"/>
        </w:rPr>
        <w:t>funkcjonowania</w:t>
      </w:r>
      <w:r w:rsidR="00155723" w:rsidRPr="00F16251">
        <w:rPr>
          <w:rFonts w:cstheme="minorHAnsi"/>
        </w:rPr>
        <w:t>,</w:t>
      </w:r>
      <w:r w:rsidR="003B50ED" w:rsidRPr="00F16251">
        <w:rPr>
          <w:rFonts w:cstheme="minorHAnsi"/>
        </w:rPr>
        <w:t xml:space="preserve"> </w:t>
      </w:r>
      <w:r w:rsidR="008247A9" w:rsidRPr="00F16251">
        <w:rPr>
          <w:rFonts w:cstheme="minorHAnsi"/>
        </w:rPr>
        <w:t xml:space="preserve">Stowarzyszenie „Solidarni w Partnerstwie” </w:t>
      </w:r>
      <w:r w:rsidRPr="00F16251">
        <w:rPr>
          <w:rFonts w:cstheme="minorHAnsi"/>
        </w:rPr>
        <w:t>wykształcił</w:t>
      </w:r>
      <w:r w:rsidR="008247A9" w:rsidRPr="00F16251">
        <w:rPr>
          <w:rFonts w:cstheme="minorHAnsi"/>
        </w:rPr>
        <w:t>o</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ramach</w:t>
      </w:r>
      <w:r w:rsidR="003B50ED" w:rsidRPr="00F16251">
        <w:rPr>
          <w:rFonts w:cstheme="minorHAnsi"/>
        </w:rPr>
        <w:t xml:space="preserve"> </w:t>
      </w:r>
      <w:r w:rsidRPr="00F16251">
        <w:rPr>
          <w:rFonts w:cstheme="minorHAnsi"/>
        </w:rPr>
        <w:t>swoich</w:t>
      </w:r>
      <w:r w:rsidR="003B50ED" w:rsidRPr="00F16251">
        <w:rPr>
          <w:rFonts w:cstheme="minorHAnsi"/>
        </w:rPr>
        <w:t xml:space="preserve"> </w:t>
      </w:r>
      <w:r w:rsidRPr="00F16251">
        <w:rPr>
          <w:rFonts w:cstheme="minorHAnsi"/>
        </w:rPr>
        <w:t>struktur</w:t>
      </w:r>
      <w:r w:rsidR="003B50ED" w:rsidRPr="00F16251">
        <w:rPr>
          <w:rFonts w:cstheme="minorHAnsi"/>
        </w:rPr>
        <w:t xml:space="preserve"> </w:t>
      </w:r>
      <w:r w:rsidRPr="00F16251">
        <w:rPr>
          <w:rFonts w:cstheme="minorHAnsi"/>
        </w:rPr>
        <w:t>kadry,</w:t>
      </w:r>
      <w:r w:rsidR="003B50ED" w:rsidRPr="00F16251">
        <w:rPr>
          <w:rFonts w:cstheme="minorHAnsi"/>
        </w:rPr>
        <w:t xml:space="preserve"> </w:t>
      </w:r>
      <w:r w:rsidRPr="00F16251">
        <w:rPr>
          <w:rFonts w:cstheme="minorHAnsi"/>
        </w:rPr>
        <w:t>które</w:t>
      </w:r>
      <w:r w:rsidR="003B50ED" w:rsidRPr="00F16251">
        <w:rPr>
          <w:rFonts w:cstheme="minorHAnsi"/>
        </w:rPr>
        <w:t xml:space="preserve"> </w:t>
      </w:r>
      <w:r w:rsidRPr="00F16251">
        <w:rPr>
          <w:rFonts w:cstheme="minorHAnsi"/>
        </w:rPr>
        <w:t>są</w:t>
      </w:r>
      <w:r w:rsidR="003B50ED" w:rsidRPr="00F16251">
        <w:rPr>
          <w:rFonts w:cstheme="minorHAnsi"/>
        </w:rPr>
        <w:t xml:space="preserve"> </w:t>
      </w:r>
      <w:r w:rsidRPr="00F16251">
        <w:rPr>
          <w:rFonts w:cstheme="minorHAnsi"/>
        </w:rPr>
        <w:t>przygotowane</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zarządzania</w:t>
      </w:r>
      <w:r w:rsidR="003B50ED" w:rsidRPr="00F16251">
        <w:rPr>
          <w:rFonts w:cstheme="minorHAnsi"/>
        </w:rPr>
        <w:t xml:space="preserve"> </w:t>
      </w:r>
      <w:r w:rsidRPr="00F16251">
        <w:rPr>
          <w:rFonts w:cstheme="minorHAnsi"/>
        </w:rPr>
        <w:t>LGD.</w:t>
      </w:r>
      <w:r w:rsidR="003B50ED" w:rsidRPr="00F16251">
        <w:rPr>
          <w:rFonts w:cstheme="minorHAnsi"/>
        </w:rPr>
        <w:t xml:space="preserve"> </w:t>
      </w:r>
    </w:p>
    <w:p w14:paraId="41CCC79A" w14:textId="24D0A14F" w:rsidR="00990CC1" w:rsidRPr="00F16251" w:rsidRDefault="00990CC1" w:rsidP="00A26C26">
      <w:pPr>
        <w:spacing w:line="276" w:lineRule="auto"/>
        <w:ind w:firstLine="284"/>
        <w:jc w:val="both"/>
        <w:rPr>
          <w:rFonts w:cstheme="minorHAnsi"/>
        </w:rPr>
      </w:pPr>
      <w:r w:rsidRPr="00F16251">
        <w:rPr>
          <w:rFonts w:cstheme="minorHAnsi"/>
        </w:rPr>
        <w:t>W</w:t>
      </w:r>
      <w:r w:rsidR="003B50ED" w:rsidRPr="00F16251">
        <w:rPr>
          <w:rFonts w:cstheme="minorHAnsi"/>
        </w:rPr>
        <w:t xml:space="preserve"> </w:t>
      </w:r>
      <w:r w:rsidRPr="00F16251">
        <w:rPr>
          <w:rFonts w:cstheme="minorHAnsi"/>
        </w:rPr>
        <w:t>związku</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wdrażaniem</w:t>
      </w:r>
      <w:r w:rsidR="003B50ED" w:rsidRPr="00F16251">
        <w:rPr>
          <w:rFonts w:cstheme="minorHAnsi"/>
        </w:rPr>
        <w:t xml:space="preserve"> </w:t>
      </w:r>
      <w:r w:rsidRPr="00F16251">
        <w:rPr>
          <w:rFonts w:cstheme="minorHAnsi"/>
        </w:rPr>
        <w:t>LSR</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latach</w:t>
      </w:r>
      <w:r w:rsidR="003B50ED" w:rsidRPr="00F16251">
        <w:rPr>
          <w:rFonts w:cstheme="minorHAnsi"/>
        </w:rPr>
        <w:t xml:space="preserve"> </w:t>
      </w:r>
      <w:r w:rsidRPr="00F16251">
        <w:rPr>
          <w:rFonts w:cstheme="minorHAnsi"/>
        </w:rPr>
        <w:t>poprzednich</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odbytych</w:t>
      </w:r>
      <w:r w:rsidR="003B50ED" w:rsidRPr="00F16251">
        <w:rPr>
          <w:rFonts w:cstheme="minorHAnsi"/>
        </w:rPr>
        <w:t xml:space="preserve"> </w:t>
      </w:r>
      <w:r w:rsidRPr="00F16251">
        <w:rPr>
          <w:rFonts w:cstheme="minorHAnsi"/>
        </w:rPr>
        <w:t>szkoleniach</w:t>
      </w:r>
      <w:r w:rsidR="003B50ED" w:rsidRPr="00F16251">
        <w:rPr>
          <w:rFonts w:cstheme="minorHAnsi"/>
        </w:rPr>
        <w:t xml:space="preserve"> </w:t>
      </w:r>
      <w:r w:rsidRPr="00F16251">
        <w:rPr>
          <w:rFonts w:cstheme="minorHAnsi"/>
        </w:rPr>
        <w:t>pracownicy</w:t>
      </w:r>
      <w:r w:rsidR="003B50ED" w:rsidRPr="00F16251">
        <w:rPr>
          <w:rFonts w:cstheme="minorHAnsi"/>
        </w:rPr>
        <w:t xml:space="preserve"> </w:t>
      </w:r>
      <w:r w:rsidRPr="00F16251">
        <w:rPr>
          <w:rFonts w:cstheme="minorHAnsi"/>
        </w:rPr>
        <w:t>zatrudnieni</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Biurze</w:t>
      </w:r>
      <w:r w:rsidR="003B50ED" w:rsidRPr="00F16251">
        <w:rPr>
          <w:rFonts w:cstheme="minorHAnsi"/>
        </w:rPr>
        <w:t xml:space="preserve"> </w:t>
      </w:r>
      <w:r w:rsidRPr="00F16251">
        <w:rPr>
          <w:rFonts w:cstheme="minorHAnsi"/>
        </w:rPr>
        <w:t>LGD</w:t>
      </w:r>
      <w:r w:rsidR="003B50ED" w:rsidRPr="00F16251">
        <w:rPr>
          <w:rFonts w:cstheme="minorHAnsi"/>
        </w:rPr>
        <w:t xml:space="preserve"> </w:t>
      </w:r>
      <w:r w:rsidRPr="00F16251">
        <w:rPr>
          <w:rFonts w:cstheme="minorHAnsi"/>
        </w:rPr>
        <w:t>posiadają</w:t>
      </w:r>
      <w:r w:rsidR="003B50ED" w:rsidRPr="00F16251">
        <w:rPr>
          <w:rFonts w:cstheme="minorHAnsi"/>
        </w:rPr>
        <w:t xml:space="preserve"> </w:t>
      </w:r>
      <w:r w:rsidRPr="00F16251">
        <w:rPr>
          <w:rFonts w:cstheme="minorHAnsi"/>
        </w:rPr>
        <w:t>doświadczenie</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wiedzę</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zakresu</w:t>
      </w:r>
      <w:r w:rsidR="003B50ED" w:rsidRPr="00F16251">
        <w:rPr>
          <w:rFonts w:cstheme="minorHAnsi"/>
        </w:rPr>
        <w:t xml:space="preserve"> </w:t>
      </w:r>
      <w:r w:rsidRPr="00F16251">
        <w:rPr>
          <w:rFonts w:cstheme="minorHAnsi"/>
        </w:rPr>
        <w:t>wdrażania</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aktualizacji</w:t>
      </w:r>
      <w:r w:rsidR="003B50ED" w:rsidRPr="00F16251">
        <w:rPr>
          <w:rFonts w:cstheme="minorHAnsi"/>
        </w:rPr>
        <w:t xml:space="preserve"> </w:t>
      </w:r>
      <w:r w:rsidRPr="00F16251">
        <w:rPr>
          <w:rFonts w:cstheme="minorHAnsi"/>
        </w:rPr>
        <w:t>dokumentów</w:t>
      </w:r>
      <w:r w:rsidR="003B50ED" w:rsidRPr="00F16251">
        <w:rPr>
          <w:rFonts w:cstheme="minorHAnsi"/>
        </w:rPr>
        <w:t xml:space="preserve"> </w:t>
      </w:r>
      <w:r w:rsidRPr="00F16251">
        <w:rPr>
          <w:rFonts w:cstheme="minorHAnsi"/>
        </w:rPr>
        <w:t>strategicznych</w:t>
      </w:r>
      <w:r w:rsidR="003B50ED" w:rsidRPr="00F16251">
        <w:rPr>
          <w:rFonts w:cstheme="minorHAnsi"/>
        </w:rPr>
        <w:t xml:space="preserve"> </w:t>
      </w:r>
      <w:r w:rsidRPr="00F16251">
        <w:rPr>
          <w:rFonts w:cstheme="minorHAnsi"/>
        </w:rPr>
        <w:t>o</w:t>
      </w:r>
      <w:r w:rsidR="003B50ED" w:rsidRPr="00F16251">
        <w:rPr>
          <w:rFonts w:cstheme="minorHAnsi"/>
        </w:rPr>
        <w:t xml:space="preserve"> </w:t>
      </w:r>
      <w:r w:rsidRPr="00F16251">
        <w:rPr>
          <w:rFonts w:cstheme="minorHAnsi"/>
        </w:rPr>
        <w:t>zasięgu</w:t>
      </w:r>
      <w:r w:rsidR="003B50ED" w:rsidRPr="00F16251">
        <w:rPr>
          <w:rFonts w:cstheme="minorHAnsi"/>
        </w:rPr>
        <w:t xml:space="preserve"> </w:t>
      </w:r>
      <w:r w:rsidRPr="00F16251">
        <w:rPr>
          <w:rFonts w:cstheme="minorHAnsi"/>
        </w:rPr>
        <w:t>regionalnym</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lokalnym.</w:t>
      </w:r>
      <w:r w:rsidR="003B50ED" w:rsidRPr="00F16251">
        <w:rPr>
          <w:rFonts w:cstheme="minorHAnsi"/>
        </w:rPr>
        <w:t xml:space="preserve"> </w:t>
      </w:r>
      <w:r w:rsidRPr="00F16251">
        <w:rPr>
          <w:rFonts w:cstheme="minorHAnsi"/>
        </w:rPr>
        <w:t>Większość</w:t>
      </w:r>
      <w:r w:rsidR="003B50ED" w:rsidRPr="00F16251">
        <w:rPr>
          <w:rFonts w:cstheme="minorHAnsi"/>
        </w:rPr>
        <w:t xml:space="preserve"> </w:t>
      </w:r>
      <w:r w:rsidRPr="00F16251">
        <w:rPr>
          <w:rFonts w:cstheme="minorHAnsi"/>
        </w:rPr>
        <w:t>członków</w:t>
      </w:r>
      <w:r w:rsidR="003B50ED" w:rsidRPr="00F16251">
        <w:rPr>
          <w:rFonts w:cstheme="minorHAnsi"/>
        </w:rPr>
        <w:t xml:space="preserve"> </w:t>
      </w:r>
      <w:r w:rsidRPr="00F16251">
        <w:rPr>
          <w:rFonts w:cstheme="minorHAnsi"/>
        </w:rPr>
        <w:t>Zarządu</w:t>
      </w:r>
      <w:r w:rsidR="003B50ED" w:rsidRPr="00F16251">
        <w:rPr>
          <w:rFonts w:cstheme="minorHAnsi"/>
        </w:rPr>
        <w:t xml:space="preserve"> </w:t>
      </w:r>
      <w:r w:rsidRPr="00F16251">
        <w:rPr>
          <w:rFonts w:cstheme="minorHAnsi"/>
        </w:rPr>
        <w:t>od</w:t>
      </w:r>
      <w:r w:rsidR="003B50ED" w:rsidRPr="00F16251">
        <w:rPr>
          <w:rFonts w:cstheme="minorHAnsi"/>
        </w:rPr>
        <w:t xml:space="preserve"> </w:t>
      </w:r>
      <w:r w:rsidRPr="00F16251">
        <w:rPr>
          <w:rFonts w:cstheme="minorHAnsi"/>
        </w:rPr>
        <w:t>początku</w:t>
      </w:r>
      <w:r w:rsidR="003B50ED" w:rsidRPr="00F16251">
        <w:rPr>
          <w:rFonts w:cstheme="minorHAnsi"/>
        </w:rPr>
        <w:t xml:space="preserve"> </w:t>
      </w:r>
      <w:r w:rsidRPr="00F16251">
        <w:rPr>
          <w:rFonts w:cstheme="minorHAnsi"/>
        </w:rPr>
        <w:t>istnienia</w:t>
      </w:r>
      <w:r w:rsidR="003B50ED" w:rsidRPr="00F16251">
        <w:rPr>
          <w:rFonts w:cstheme="minorHAnsi"/>
        </w:rPr>
        <w:t xml:space="preserve"> </w:t>
      </w:r>
      <w:r w:rsidR="008247A9" w:rsidRPr="00F16251">
        <w:rPr>
          <w:rFonts w:cstheme="minorHAnsi"/>
        </w:rPr>
        <w:t xml:space="preserve">Stowarzyszenia „Solidarni </w:t>
      </w:r>
      <w:r w:rsidR="003B3B45" w:rsidRPr="00F16251">
        <w:rPr>
          <w:rFonts w:cstheme="minorHAnsi"/>
        </w:rPr>
        <w:br/>
      </w:r>
      <w:r w:rsidR="008247A9" w:rsidRPr="00F16251">
        <w:rPr>
          <w:rFonts w:cstheme="minorHAnsi"/>
        </w:rPr>
        <w:t xml:space="preserve">w Partnerstwie”, </w:t>
      </w:r>
      <w:r w:rsidRPr="00F16251">
        <w:rPr>
          <w:rFonts w:cstheme="minorHAnsi"/>
        </w:rPr>
        <w:t>brał</w:t>
      </w:r>
      <w:r w:rsidR="008247A9" w:rsidRPr="00F16251">
        <w:rPr>
          <w:rFonts w:cstheme="minorHAnsi"/>
        </w:rPr>
        <w:t>o</w:t>
      </w:r>
      <w:r w:rsidR="003B50ED" w:rsidRPr="00F16251">
        <w:rPr>
          <w:rFonts w:cstheme="minorHAnsi"/>
        </w:rPr>
        <w:t xml:space="preserve"> </w:t>
      </w:r>
      <w:r w:rsidRPr="00F16251">
        <w:rPr>
          <w:rFonts w:cstheme="minorHAnsi"/>
        </w:rPr>
        <w:t>udział</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niezbędnych</w:t>
      </w:r>
      <w:r w:rsidR="003B50ED" w:rsidRPr="00F16251">
        <w:rPr>
          <w:rFonts w:cstheme="minorHAnsi"/>
        </w:rPr>
        <w:t xml:space="preserve"> </w:t>
      </w:r>
      <w:r w:rsidRPr="00F16251">
        <w:rPr>
          <w:rFonts w:cstheme="minorHAnsi"/>
        </w:rPr>
        <w:t>szkoleniach</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zakresu</w:t>
      </w:r>
      <w:r w:rsidR="003B50ED" w:rsidRPr="00F16251">
        <w:rPr>
          <w:rFonts w:cstheme="minorHAnsi"/>
        </w:rPr>
        <w:t xml:space="preserve"> </w:t>
      </w:r>
      <w:r w:rsidRPr="00F16251">
        <w:rPr>
          <w:rFonts w:cstheme="minorHAnsi"/>
        </w:rPr>
        <w:t>P</w:t>
      </w:r>
      <w:r w:rsidR="003B3B45" w:rsidRPr="00F16251">
        <w:rPr>
          <w:rFonts w:cstheme="minorHAnsi"/>
        </w:rPr>
        <w:t>rogramu Rozwoju Obszarów Wiejskich.</w:t>
      </w:r>
    </w:p>
    <w:p w14:paraId="6812345D" w14:textId="72C9109D" w:rsidR="00990CC1" w:rsidRPr="00F16251" w:rsidRDefault="00990CC1" w:rsidP="00A26C26">
      <w:pPr>
        <w:spacing w:line="276" w:lineRule="auto"/>
        <w:ind w:firstLine="284"/>
        <w:jc w:val="both"/>
        <w:rPr>
          <w:rFonts w:cstheme="minorHAnsi"/>
        </w:rPr>
      </w:pPr>
      <w:r w:rsidRPr="00F16251">
        <w:rPr>
          <w:rFonts w:cstheme="minorHAnsi"/>
        </w:rPr>
        <w:t>Ponadto,</w:t>
      </w:r>
      <w:r w:rsidR="003B50ED" w:rsidRPr="00F16251">
        <w:rPr>
          <w:rFonts w:cstheme="minorHAnsi"/>
        </w:rPr>
        <w:t xml:space="preserve"> </w:t>
      </w:r>
      <w:r w:rsidRPr="00F16251">
        <w:rPr>
          <w:rFonts w:cstheme="minorHAnsi"/>
        </w:rPr>
        <w:t>zarówno</w:t>
      </w:r>
      <w:r w:rsidR="003B50ED" w:rsidRPr="00F16251">
        <w:rPr>
          <w:rFonts w:cstheme="minorHAnsi"/>
        </w:rPr>
        <w:t xml:space="preserve"> </w:t>
      </w:r>
      <w:r w:rsidRPr="00F16251">
        <w:rPr>
          <w:rFonts w:cstheme="minorHAnsi"/>
        </w:rPr>
        <w:t>osoby</w:t>
      </w:r>
      <w:r w:rsidR="003B50ED" w:rsidRPr="00F16251">
        <w:rPr>
          <w:rFonts w:cstheme="minorHAnsi"/>
        </w:rPr>
        <w:t xml:space="preserve"> </w:t>
      </w:r>
      <w:r w:rsidRPr="00F16251">
        <w:rPr>
          <w:rFonts w:cstheme="minorHAnsi"/>
        </w:rPr>
        <w:t>zarządzające</w:t>
      </w:r>
      <w:r w:rsidR="008247A9" w:rsidRPr="00F16251">
        <w:rPr>
          <w:rFonts w:cstheme="minorHAnsi"/>
        </w:rPr>
        <w:t xml:space="preserve">, </w:t>
      </w:r>
      <w:r w:rsidRPr="00F16251">
        <w:rPr>
          <w:rFonts w:cstheme="minorHAnsi"/>
        </w:rPr>
        <w:t>jak</w:t>
      </w:r>
      <w:r w:rsidR="003B50ED" w:rsidRPr="00F16251">
        <w:rPr>
          <w:rFonts w:cstheme="minorHAnsi"/>
        </w:rPr>
        <w:t xml:space="preserve"> </w:t>
      </w:r>
      <w:r w:rsidRPr="00F16251">
        <w:rPr>
          <w:rFonts w:cstheme="minorHAnsi"/>
        </w:rPr>
        <w:t>również</w:t>
      </w:r>
      <w:r w:rsidR="003B50ED" w:rsidRPr="00F16251">
        <w:rPr>
          <w:rFonts w:cstheme="minorHAnsi"/>
        </w:rPr>
        <w:t xml:space="preserve"> </w:t>
      </w:r>
      <w:r w:rsidRPr="00F16251">
        <w:rPr>
          <w:rFonts w:cstheme="minorHAnsi"/>
        </w:rPr>
        <w:t>pozostali</w:t>
      </w:r>
      <w:r w:rsidR="003B50ED" w:rsidRPr="00F16251">
        <w:rPr>
          <w:rFonts w:cstheme="minorHAnsi"/>
        </w:rPr>
        <w:t xml:space="preserve"> </w:t>
      </w:r>
      <w:r w:rsidRPr="00F16251">
        <w:rPr>
          <w:rFonts w:cstheme="minorHAnsi"/>
        </w:rPr>
        <w:t>członkowie</w:t>
      </w:r>
      <w:r w:rsidR="003B50ED" w:rsidRPr="00F16251">
        <w:rPr>
          <w:rFonts w:cstheme="minorHAnsi"/>
        </w:rPr>
        <w:t xml:space="preserve"> </w:t>
      </w:r>
      <w:r w:rsidR="000B603C" w:rsidRPr="00F16251">
        <w:rPr>
          <w:rFonts w:cstheme="minorHAnsi"/>
        </w:rPr>
        <w:t>Stowarzyszeni</w:t>
      </w:r>
      <w:r w:rsidR="008247A9" w:rsidRPr="00F16251">
        <w:rPr>
          <w:rFonts w:cstheme="minorHAnsi"/>
        </w:rPr>
        <w:t>a</w:t>
      </w:r>
      <w:r w:rsidR="000B603C" w:rsidRPr="00F16251">
        <w:rPr>
          <w:rFonts w:cstheme="minorHAnsi"/>
        </w:rPr>
        <w:t xml:space="preserve"> „Solidarni </w:t>
      </w:r>
      <w:r w:rsidR="003B3B45" w:rsidRPr="00F16251">
        <w:rPr>
          <w:rFonts w:cstheme="minorHAnsi"/>
        </w:rPr>
        <w:br/>
      </w:r>
      <w:r w:rsidR="000B603C" w:rsidRPr="00F16251">
        <w:rPr>
          <w:rFonts w:cstheme="minorHAnsi"/>
        </w:rPr>
        <w:t xml:space="preserve">w Partnerstwie” </w:t>
      </w:r>
      <w:r w:rsidRPr="00F16251">
        <w:rPr>
          <w:rFonts w:cstheme="minorHAnsi"/>
        </w:rPr>
        <w:t>posiadają</w:t>
      </w:r>
      <w:r w:rsidR="003B50ED" w:rsidRPr="00F16251">
        <w:rPr>
          <w:rFonts w:cstheme="minorHAnsi"/>
        </w:rPr>
        <w:t xml:space="preserve"> </w:t>
      </w:r>
      <w:r w:rsidRPr="00F16251">
        <w:rPr>
          <w:rFonts w:cstheme="minorHAnsi"/>
        </w:rPr>
        <w:t>duże</w:t>
      </w:r>
      <w:r w:rsidR="003B50ED" w:rsidRPr="00F16251">
        <w:rPr>
          <w:rFonts w:cstheme="minorHAnsi"/>
        </w:rPr>
        <w:t xml:space="preserve"> </w:t>
      </w:r>
      <w:r w:rsidRPr="00F16251">
        <w:rPr>
          <w:rFonts w:cstheme="minorHAnsi"/>
        </w:rPr>
        <w:t>doświadczenie</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realizacji</w:t>
      </w:r>
      <w:r w:rsidR="003B50ED" w:rsidRPr="00F16251">
        <w:rPr>
          <w:rFonts w:cstheme="minorHAnsi"/>
        </w:rPr>
        <w:t xml:space="preserve"> </w:t>
      </w:r>
      <w:r w:rsidRPr="00F16251">
        <w:rPr>
          <w:rFonts w:cstheme="minorHAnsi"/>
        </w:rPr>
        <w:t>projektów</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szeroko</w:t>
      </w:r>
      <w:r w:rsidR="003B50ED" w:rsidRPr="00F16251">
        <w:rPr>
          <w:rFonts w:cstheme="minorHAnsi"/>
        </w:rPr>
        <w:t xml:space="preserve"> </w:t>
      </w:r>
      <w:r w:rsidRPr="00F16251">
        <w:rPr>
          <w:rFonts w:cstheme="minorHAnsi"/>
        </w:rPr>
        <w:t>rozumianych</w:t>
      </w:r>
      <w:r w:rsidR="003B50ED" w:rsidRPr="00F16251">
        <w:rPr>
          <w:rFonts w:cstheme="minorHAnsi"/>
        </w:rPr>
        <w:t xml:space="preserve"> </w:t>
      </w:r>
      <w:r w:rsidRPr="00F16251">
        <w:rPr>
          <w:rFonts w:cstheme="minorHAnsi"/>
        </w:rPr>
        <w:t>środków</w:t>
      </w:r>
      <w:r w:rsidR="003B50ED" w:rsidRPr="00F16251">
        <w:rPr>
          <w:rFonts w:cstheme="minorHAnsi"/>
        </w:rPr>
        <w:t xml:space="preserve"> </w:t>
      </w:r>
      <w:r w:rsidRPr="00F16251">
        <w:rPr>
          <w:rFonts w:cstheme="minorHAnsi"/>
        </w:rPr>
        <w:t>zewnętrznych.</w:t>
      </w:r>
      <w:r w:rsidR="003B50ED" w:rsidRPr="00F16251">
        <w:rPr>
          <w:rFonts w:cstheme="minorHAnsi"/>
        </w:rPr>
        <w:t xml:space="preserve"> </w:t>
      </w:r>
      <w:r w:rsidRPr="00F16251">
        <w:rPr>
          <w:rFonts w:cstheme="minorHAnsi"/>
        </w:rPr>
        <w:t>Projekty</w:t>
      </w:r>
      <w:r w:rsidR="003B50ED" w:rsidRPr="00F16251">
        <w:rPr>
          <w:rFonts w:cstheme="minorHAnsi"/>
        </w:rPr>
        <w:t xml:space="preserve"> </w:t>
      </w:r>
      <w:r w:rsidRPr="00F16251">
        <w:rPr>
          <w:rFonts w:cstheme="minorHAnsi"/>
        </w:rPr>
        <w:t>te</w:t>
      </w:r>
      <w:r w:rsidR="003B50ED" w:rsidRPr="00F16251">
        <w:rPr>
          <w:rFonts w:cstheme="minorHAnsi"/>
        </w:rPr>
        <w:t xml:space="preserve"> </w:t>
      </w:r>
      <w:r w:rsidRPr="00F16251">
        <w:rPr>
          <w:rFonts w:cstheme="minorHAnsi"/>
        </w:rPr>
        <w:t>dotyczą</w:t>
      </w:r>
      <w:r w:rsidR="003B50ED" w:rsidRPr="00F16251">
        <w:rPr>
          <w:rFonts w:cstheme="minorHAnsi"/>
        </w:rPr>
        <w:t xml:space="preserve"> </w:t>
      </w:r>
      <w:r w:rsidRPr="00F16251">
        <w:rPr>
          <w:rFonts w:cstheme="minorHAnsi"/>
        </w:rPr>
        <w:t>zarówno</w:t>
      </w:r>
      <w:r w:rsidR="003B50ED" w:rsidRPr="00F16251">
        <w:rPr>
          <w:rFonts w:cstheme="minorHAnsi"/>
        </w:rPr>
        <w:t xml:space="preserve"> </w:t>
      </w:r>
      <w:r w:rsidRPr="00F16251">
        <w:rPr>
          <w:rFonts w:cstheme="minorHAnsi"/>
        </w:rPr>
        <w:t>aktywizacji</w:t>
      </w:r>
      <w:r w:rsidR="003B50ED" w:rsidRPr="00F16251">
        <w:rPr>
          <w:rFonts w:cstheme="minorHAnsi"/>
        </w:rPr>
        <w:t xml:space="preserve"> </w:t>
      </w:r>
      <w:r w:rsidRPr="00F16251">
        <w:rPr>
          <w:rFonts w:cstheme="minorHAnsi"/>
        </w:rPr>
        <w:t>osób</w:t>
      </w:r>
      <w:r w:rsidR="003B50ED" w:rsidRPr="00F16251">
        <w:rPr>
          <w:rFonts w:cstheme="minorHAnsi"/>
        </w:rPr>
        <w:t xml:space="preserve"> </w:t>
      </w:r>
      <w:r w:rsidRPr="00F16251">
        <w:rPr>
          <w:rFonts w:cstheme="minorHAnsi"/>
        </w:rPr>
        <w:t>bezrobotnych,</w:t>
      </w:r>
      <w:r w:rsidR="003B50ED" w:rsidRPr="00F16251">
        <w:rPr>
          <w:rFonts w:cstheme="minorHAnsi"/>
        </w:rPr>
        <w:t xml:space="preserve"> </w:t>
      </w:r>
      <w:r w:rsidRPr="00F16251">
        <w:rPr>
          <w:rFonts w:cstheme="minorHAnsi"/>
        </w:rPr>
        <w:t>tzw.</w:t>
      </w:r>
      <w:r w:rsidR="003B50ED" w:rsidRPr="00F16251">
        <w:rPr>
          <w:rFonts w:cstheme="minorHAnsi"/>
        </w:rPr>
        <w:t xml:space="preserve"> </w:t>
      </w:r>
      <w:r w:rsidRPr="00F16251">
        <w:rPr>
          <w:rFonts w:cstheme="minorHAnsi"/>
        </w:rPr>
        <w:t>projektów</w:t>
      </w:r>
      <w:r w:rsidR="003B50ED" w:rsidRPr="00F16251">
        <w:rPr>
          <w:rFonts w:cstheme="minorHAnsi"/>
        </w:rPr>
        <w:t xml:space="preserve"> </w:t>
      </w:r>
      <w:r w:rsidRPr="00F16251">
        <w:rPr>
          <w:rFonts w:cstheme="minorHAnsi"/>
        </w:rPr>
        <w:t>miękkich</w:t>
      </w:r>
      <w:r w:rsidR="003B50ED" w:rsidRPr="00F16251">
        <w:rPr>
          <w:rFonts w:cstheme="minorHAnsi"/>
        </w:rPr>
        <w:t xml:space="preserve"> </w:t>
      </w:r>
      <w:r w:rsidRPr="00F16251">
        <w:rPr>
          <w:rFonts w:cstheme="minorHAnsi"/>
        </w:rPr>
        <w:t>jak</w:t>
      </w:r>
      <w:r w:rsidR="003B50ED" w:rsidRPr="00F16251">
        <w:rPr>
          <w:rFonts w:cstheme="minorHAnsi"/>
        </w:rPr>
        <w:t xml:space="preserve"> </w:t>
      </w:r>
      <w:r w:rsidRPr="00F16251">
        <w:rPr>
          <w:rFonts w:cstheme="minorHAnsi"/>
        </w:rPr>
        <w:t>również</w:t>
      </w:r>
      <w:r w:rsidR="003B50ED" w:rsidRPr="00F16251">
        <w:rPr>
          <w:rFonts w:cstheme="minorHAnsi"/>
        </w:rPr>
        <w:t xml:space="preserve"> </w:t>
      </w:r>
      <w:r w:rsidRPr="00F16251">
        <w:rPr>
          <w:rFonts w:cstheme="minorHAnsi"/>
        </w:rPr>
        <w:t>projektów</w:t>
      </w:r>
      <w:r w:rsidR="003B50ED" w:rsidRPr="00F16251">
        <w:rPr>
          <w:rFonts w:cstheme="minorHAnsi"/>
        </w:rPr>
        <w:t xml:space="preserve"> </w:t>
      </w:r>
      <w:r w:rsidRPr="00F16251">
        <w:rPr>
          <w:rFonts w:cstheme="minorHAnsi"/>
        </w:rPr>
        <w:t>inwestycyjnych.</w:t>
      </w:r>
      <w:r w:rsidR="003B50ED" w:rsidRPr="00F16251">
        <w:rPr>
          <w:rFonts w:cstheme="minorHAnsi"/>
        </w:rPr>
        <w:t xml:space="preserve"> </w:t>
      </w:r>
      <w:r w:rsidRPr="00F16251">
        <w:rPr>
          <w:rFonts w:cstheme="minorHAnsi"/>
        </w:rPr>
        <w:t>Zwłaszcza</w:t>
      </w:r>
      <w:r w:rsidR="003B50ED" w:rsidRPr="00F16251">
        <w:rPr>
          <w:rFonts w:cstheme="minorHAnsi"/>
        </w:rPr>
        <w:t xml:space="preserve"> </w:t>
      </w:r>
      <w:r w:rsidRPr="00F16251">
        <w:rPr>
          <w:rFonts w:cstheme="minorHAnsi"/>
        </w:rPr>
        <w:t>gminy</w:t>
      </w:r>
      <w:r w:rsidR="003B50ED" w:rsidRPr="00F16251">
        <w:rPr>
          <w:rFonts w:cstheme="minorHAnsi"/>
        </w:rPr>
        <w:t xml:space="preserve"> </w:t>
      </w:r>
      <w:r w:rsidRPr="00F16251">
        <w:rPr>
          <w:rFonts w:cstheme="minorHAnsi"/>
        </w:rPr>
        <w:t>wchodzące</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skład</w:t>
      </w:r>
      <w:r w:rsidR="003B50ED" w:rsidRPr="00F16251">
        <w:rPr>
          <w:rFonts w:cstheme="minorHAnsi"/>
        </w:rPr>
        <w:t xml:space="preserve"> </w:t>
      </w:r>
      <w:r w:rsidR="008247A9" w:rsidRPr="00F16251">
        <w:rPr>
          <w:rFonts w:cstheme="minorHAnsi"/>
        </w:rPr>
        <w:t xml:space="preserve">Stowarzyszenia „Solidarni w Partnerstwie” </w:t>
      </w:r>
      <w:r w:rsidRPr="00F16251">
        <w:rPr>
          <w:rFonts w:cstheme="minorHAnsi"/>
        </w:rPr>
        <w:t>zrealizowały</w:t>
      </w:r>
      <w:r w:rsidR="003B50ED" w:rsidRPr="00F16251">
        <w:rPr>
          <w:rFonts w:cstheme="minorHAnsi"/>
        </w:rPr>
        <w:t xml:space="preserve"> </w:t>
      </w:r>
      <w:r w:rsidRPr="00F16251">
        <w:rPr>
          <w:rFonts w:cstheme="minorHAnsi"/>
        </w:rPr>
        <w:t>wiele</w:t>
      </w:r>
      <w:r w:rsidR="003B50ED" w:rsidRPr="00F16251">
        <w:rPr>
          <w:rFonts w:cstheme="minorHAnsi"/>
        </w:rPr>
        <w:t xml:space="preserve"> </w:t>
      </w:r>
      <w:r w:rsidRPr="00F16251">
        <w:rPr>
          <w:rFonts w:cstheme="minorHAnsi"/>
        </w:rPr>
        <w:t>projektów</w:t>
      </w:r>
      <w:r w:rsidR="003B50ED" w:rsidRPr="00F16251">
        <w:rPr>
          <w:rFonts w:cstheme="minorHAnsi"/>
        </w:rPr>
        <w:t xml:space="preserve"> </w:t>
      </w:r>
      <w:r w:rsidRPr="00F16251">
        <w:rPr>
          <w:rFonts w:cstheme="minorHAnsi"/>
        </w:rPr>
        <w:t>mających</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celu</w:t>
      </w:r>
      <w:r w:rsidR="003B50ED" w:rsidRPr="00F16251">
        <w:rPr>
          <w:rFonts w:cstheme="minorHAnsi"/>
        </w:rPr>
        <w:t xml:space="preserve"> </w:t>
      </w:r>
      <w:r w:rsidRPr="00F16251">
        <w:rPr>
          <w:rFonts w:cstheme="minorHAnsi"/>
        </w:rPr>
        <w:t>szeroko</w:t>
      </w:r>
      <w:r w:rsidR="003B50ED" w:rsidRPr="00F16251">
        <w:rPr>
          <w:rFonts w:cstheme="minorHAnsi"/>
        </w:rPr>
        <w:t xml:space="preserve"> </w:t>
      </w:r>
      <w:r w:rsidRPr="00F16251">
        <w:rPr>
          <w:rFonts w:cstheme="minorHAnsi"/>
        </w:rPr>
        <w:t>rozumiany</w:t>
      </w:r>
      <w:r w:rsidR="003B50ED" w:rsidRPr="00F16251">
        <w:rPr>
          <w:rFonts w:cstheme="minorHAnsi"/>
        </w:rPr>
        <w:t xml:space="preserve"> </w:t>
      </w:r>
      <w:r w:rsidRPr="00F16251">
        <w:rPr>
          <w:rFonts w:cstheme="minorHAnsi"/>
        </w:rPr>
        <w:t>rozwój</w:t>
      </w:r>
      <w:r w:rsidR="003B50ED" w:rsidRPr="00F16251">
        <w:rPr>
          <w:rFonts w:cstheme="minorHAnsi"/>
        </w:rPr>
        <w:t xml:space="preserve"> </w:t>
      </w:r>
      <w:r w:rsidRPr="00F16251">
        <w:rPr>
          <w:rFonts w:cstheme="minorHAnsi"/>
        </w:rPr>
        <w:t>obszarów</w:t>
      </w:r>
      <w:r w:rsidR="003B50ED" w:rsidRPr="00F16251">
        <w:rPr>
          <w:rFonts w:cstheme="minorHAnsi"/>
        </w:rPr>
        <w:t xml:space="preserve"> </w:t>
      </w:r>
      <w:r w:rsidRPr="00F16251">
        <w:rPr>
          <w:rFonts w:cstheme="minorHAnsi"/>
        </w:rPr>
        <w:t>wiejskich.</w:t>
      </w:r>
      <w:r w:rsidR="003B50ED" w:rsidRPr="00F16251">
        <w:rPr>
          <w:rFonts w:cstheme="minorHAnsi"/>
        </w:rPr>
        <w:t xml:space="preserve"> </w:t>
      </w:r>
      <w:r w:rsidRPr="00F16251">
        <w:rPr>
          <w:rFonts w:cstheme="minorHAnsi"/>
        </w:rPr>
        <w:t>Jest</w:t>
      </w:r>
      <w:r w:rsidR="003B50ED" w:rsidRPr="00F16251">
        <w:rPr>
          <w:rFonts w:cstheme="minorHAnsi"/>
        </w:rPr>
        <w:t xml:space="preserve"> </w:t>
      </w:r>
      <w:r w:rsidRPr="00F16251">
        <w:rPr>
          <w:rFonts w:cstheme="minorHAnsi"/>
        </w:rPr>
        <w:t>to</w:t>
      </w:r>
      <w:r w:rsidR="003B50ED" w:rsidRPr="00F16251">
        <w:rPr>
          <w:rFonts w:cstheme="minorHAnsi"/>
        </w:rPr>
        <w:t xml:space="preserve"> </w:t>
      </w:r>
      <w:r w:rsidRPr="00F16251">
        <w:rPr>
          <w:rFonts w:cstheme="minorHAnsi"/>
        </w:rPr>
        <w:t>szczególnie</w:t>
      </w:r>
      <w:r w:rsidR="003B50ED" w:rsidRPr="00F16251">
        <w:rPr>
          <w:rFonts w:cstheme="minorHAnsi"/>
        </w:rPr>
        <w:t xml:space="preserve"> </w:t>
      </w:r>
      <w:r w:rsidRPr="00F16251">
        <w:rPr>
          <w:rFonts w:cstheme="minorHAnsi"/>
        </w:rPr>
        <w:t>widoczne</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zakresie</w:t>
      </w:r>
      <w:r w:rsidR="003B50ED" w:rsidRPr="00F16251">
        <w:rPr>
          <w:rFonts w:cstheme="minorHAnsi"/>
        </w:rPr>
        <w:t xml:space="preserve"> </w:t>
      </w:r>
      <w:r w:rsidRPr="00F16251">
        <w:rPr>
          <w:rFonts w:cstheme="minorHAnsi"/>
        </w:rPr>
        <w:t>poprawy</w:t>
      </w:r>
      <w:r w:rsidR="003B50ED" w:rsidRPr="00F16251">
        <w:rPr>
          <w:rFonts w:cstheme="minorHAnsi"/>
        </w:rPr>
        <w:t xml:space="preserve"> </w:t>
      </w:r>
      <w:r w:rsidRPr="00F16251">
        <w:rPr>
          <w:rFonts w:cstheme="minorHAnsi"/>
        </w:rPr>
        <w:t>wizerunku</w:t>
      </w:r>
      <w:r w:rsidR="003B50ED" w:rsidRPr="00F16251">
        <w:rPr>
          <w:rFonts w:cstheme="minorHAnsi"/>
        </w:rPr>
        <w:t xml:space="preserve"> </w:t>
      </w:r>
      <w:r w:rsidRPr="00F16251">
        <w:rPr>
          <w:rFonts w:cstheme="minorHAnsi"/>
        </w:rPr>
        <w:t>obszaru,</w:t>
      </w:r>
      <w:r w:rsidR="003B50ED" w:rsidRPr="00F16251">
        <w:rPr>
          <w:rFonts w:cstheme="minorHAnsi"/>
        </w:rPr>
        <w:t xml:space="preserve"> </w:t>
      </w:r>
      <w:r w:rsidRPr="00F16251">
        <w:rPr>
          <w:rFonts w:cstheme="minorHAnsi"/>
        </w:rPr>
        <w:t>jakości</w:t>
      </w:r>
      <w:r w:rsidR="003B50ED" w:rsidRPr="00F16251">
        <w:rPr>
          <w:rFonts w:cstheme="minorHAnsi"/>
        </w:rPr>
        <w:t xml:space="preserve"> </w:t>
      </w:r>
      <w:r w:rsidRPr="00F16251">
        <w:rPr>
          <w:rFonts w:cstheme="minorHAnsi"/>
        </w:rPr>
        <w:t>życia</w:t>
      </w:r>
      <w:r w:rsidR="003B50ED" w:rsidRPr="00F16251">
        <w:rPr>
          <w:rFonts w:cstheme="minorHAnsi"/>
        </w:rPr>
        <w:t xml:space="preserve"> </w:t>
      </w:r>
      <w:r w:rsidRPr="00F16251">
        <w:rPr>
          <w:rFonts w:cstheme="minorHAnsi"/>
        </w:rPr>
        <w:t>oraz</w:t>
      </w:r>
      <w:r w:rsidR="003B50ED" w:rsidRPr="00F16251">
        <w:rPr>
          <w:rFonts w:cstheme="minorHAnsi"/>
        </w:rPr>
        <w:t xml:space="preserve"> </w:t>
      </w:r>
      <w:r w:rsidRPr="00F16251">
        <w:rPr>
          <w:rFonts w:cstheme="minorHAnsi"/>
        </w:rPr>
        <w:t>zwiększonej</w:t>
      </w:r>
      <w:r w:rsidR="003B50ED" w:rsidRPr="00F16251">
        <w:rPr>
          <w:rFonts w:cstheme="minorHAnsi"/>
        </w:rPr>
        <w:t xml:space="preserve"> </w:t>
      </w:r>
      <w:r w:rsidRPr="00F16251">
        <w:rPr>
          <w:rFonts w:cstheme="minorHAnsi"/>
        </w:rPr>
        <w:t>aktywności</w:t>
      </w:r>
      <w:r w:rsidR="003B50ED" w:rsidRPr="00F16251">
        <w:rPr>
          <w:rFonts w:cstheme="minorHAnsi"/>
        </w:rPr>
        <w:t xml:space="preserve"> </w:t>
      </w:r>
      <w:r w:rsidRPr="00F16251">
        <w:rPr>
          <w:rFonts w:cstheme="minorHAnsi"/>
        </w:rPr>
        <w:t>mieszkańców.</w:t>
      </w:r>
      <w:r w:rsidR="003B50ED" w:rsidRPr="00F16251">
        <w:rPr>
          <w:rFonts w:cstheme="minorHAnsi"/>
        </w:rPr>
        <w:t xml:space="preserve"> </w:t>
      </w:r>
      <w:r w:rsidR="008247A9" w:rsidRPr="00F16251">
        <w:rPr>
          <w:rFonts w:cstheme="minorHAnsi"/>
        </w:rPr>
        <w:t xml:space="preserve">Stowarzyszenie „Solidarni </w:t>
      </w:r>
      <w:r w:rsidR="003B3B45" w:rsidRPr="00F16251">
        <w:rPr>
          <w:rFonts w:cstheme="minorHAnsi"/>
        </w:rPr>
        <w:br/>
      </w:r>
      <w:r w:rsidR="008247A9" w:rsidRPr="00F16251">
        <w:rPr>
          <w:rFonts w:cstheme="minorHAnsi"/>
        </w:rPr>
        <w:t xml:space="preserve">w Partnerstwie” </w:t>
      </w:r>
      <w:r w:rsidRPr="00F16251">
        <w:rPr>
          <w:rFonts w:cstheme="minorHAnsi"/>
        </w:rPr>
        <w:t>jest</w:t>
      </w:r>
      <w:r w:rsidR="003B50ED" w:rsidRPr="00F16251">
        <w:rPr>
          <w:rFonts w:cstheme="minorHAnsi"/>
        </w:rPr>
        <w:t xml:space="preserve"> </w:t>
      </w:r>
      <w:r w:rsidRPr="00F16251">
        <w:rPr>
          <w:rFonts w:cstheme="minorHAnsi"/>
        </w:rPr>
        <w:t>kojarzon</w:t>
      </w:r>
      <w:r w:rsidR="008247A9" w:rsidRPr="00F16251">
        <w:rPr>
          <w:rFonts w:cstheme="minorHAnsi"/>
        </w:rPr>
        <w:t xml:space="preserve">e jako </w:t>
      </w:r>
      <w:r w:rsidRPr="00F16251">
        <w:rPr>
          <w:rFonts w:cstheme="minorHAnsi"/>
        </w:rPr>
        <w:t>organizacj</w:t>
      </w:r>
      <w:r w:rsidR="008247A9" w:rsidRPr="00F16251">
        <w:rPr>
          <w:rFonts w:cstheme="minorHAnsi"/>
        </w:rPr>
        <w:t>a</w:t>
      </w:r>
      <w:r w:rsidRPr="00F16251">
        <w:rPr>
          <w:rFonts w:cstheme="minorHAnsi"/>
        </w:rPr>
        <w:t>,</w:t>
      </w:r>
      <w:r w:rsidR="003B50ED" w:rsidRPr="00F16251">
        <w:rPr>
          <w:rFonts w:cstheme="minorHAnsi"/>
        </w:rPr>
        <w:t xml:space="preserve"> </w:t>
      </w:r>
      <w:r w:rsidRPr="00F16251">
        <w:rPr>
          <w:rFonts w:cstheme="minorHAnsi"/>
        </w:rPr>
        <w:t>która</w:t>
      </w:r>
      <w:r w:rsidR="003B50ED" w:rsidRPr="00F16251">
        <w:rPr>
          <w:rFonts w:cstheme="minorHAnsi"/>
        </w:rPr>
        <w:t xml:space="preserve"> </w:t>
      </w:r>
      <w:r w:rsidRPr="00F16251">
        <w:rPr>
          <w:rFonts w:cstheme="minorHAnsi"/>
        </w:rPr>
        <w:t>pomaga</w:t>
      </w:r>
      <w:r w:rsidR="003B50ED" w:rsidRPr="00F16251">
        <w:rPr>
          <w:rFonts w:cstheme="minorHAnsi"/>
        </w:rPr>
        <w:t xml:space="preserve"> </w:t>
      </w:r>
      <w:r w:rsidRPr="00F16251">
        <w:rPr>
          <w:rFonts w:cstheme="minorHAnsi"/>
        </w:rPr>
        <w:t>lokalnym</w:t>
      </w:r>
      <w:r w:rsidR="003B50ED" w:rsidRPr="00F16251">
        <w:rPr>
          <w:rFonts w:cstheme="minorHAnsi"/>
        </w:rPr>
        <w:t xml:space="preserve"> </w:t>
      </w:r>
      <w:r w:rsidRPr="00F16251">
        <w:rPr>
          <w:rFonts w:cstheme="minorHAnsi"/>
        </w:rPr>
        <w:t>społecznościom</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rozwiązywaniu</w:t>
      </w:r>
      <w:r w:rsidR="003B50ED" w:rsidRPr="00F16251">
        <w:rPr>
          <w:rFonts w:cstheme="minorHAnsi"/>
        </w:rPr>
        <w:t xml:space="preserve"> </w:t>
      </w:r>
      <w:r w:rsidRPr="00F16251">
        <w:rPr>
          <w:rFonts w:cstheme="minorHAnsi"/>
        </w:rPr>
        <w:t>ich</w:t>
      </w:r>
      <w:r w:rsidR="003B50ED" w:rsidRPr="00F16251">
        <w:rPr>
          <w:rFonts w:cstheme="minorHAnsi"/>
        </w:rPr>
        <w:t xml:space="preserve"> </w:t>
      </w:r>
      <w:r w:rsidRPr="00F16251">
        <w:rPr>
          <w:rFonts w:cstheme="minorHAnsi"/>
        </w:rPr>
        <w:t>problemów</w:t>
      </w:r>
      <w:r w:rsidR="003B50ED" w:rsidRPr="00F16251">
        <w:rPr>
          <w:rFonts w:cstheme="minorHAnsi"/>
        </w:rPr>
        <w:t xml:space="preserve"> </w:t>
      </w:r>
      <w:r w:rsidRPr="00F16251">
        <w:rPr>
          <w:rFonts w:cstheme="minorHAnsi"/>
        </w:rPr>
        <w:t>dzięki</w:t>
      </w:r>
      <w:r w:rsidR="003B50ED" w:rsidRPr="00F16251">
        <w:rPr>
          <w:rFonts w:cstheme="minorHAnsi"/>
        </w:rPr>
        <w:t xml:space="preserve"> </w:t>
      </w:r>
      <w:r w:rsidRPr="00F16251">
        <w:rPr>
          <w:rFonts w:cstheme="minorHAnsi"/>
        </w:rPr>
        <w:t>wsparciu</w:t>
      </w:r>
      <w:r w:rsidR="003B50ED" w:rsidRPr="00F16251">
        <w:rPr>
          <w:rFonts w:cstheme="minorHAnsi"/>
        </w:rPr>
        <w:t xml:space="preserve"> </w:t>
      </w:r>
      <w:r w:rsidRPr="00F16251">
        <w:rPr>
          <w:rFonts w:cstheme="minorHAnsi"/>
        </w:rPr>
        <w:t>środków</w:t>
      </w:r>
      <w:r w:rsidR="003B50ED" w:rsidRPr="00F16251">
        <w:rPr>
          <w:rFonts w:cstheme="minorHAnsi"/>
        </w:rPr>
        <w:t xml:space="preserve"> </w:t>
      </w:r>
      <w:r w:rsidRPr="00F16251">
        <w:rPr>
          <w:rFonts w:cstheme="minorHAnsi"/>
        </w:rPr>
        <w:t>zewnętrznych.</w:t>
      </w:r>
    </w:p>
    <w:p w14:paraId="1D6FB053" w14:textId="602147FB" w:rsidR="00990CC1" w:rsidRPr="00F16251" w:rsidRDefault="00990CC1" w:rsidP="00A26C26">
      <w:pPr>
        <w:spacing w:line="276" w:lineRule="auto"/>
        <w:ind w:firstLine="284"/>
        <w:jc w:val="both"/>
        <w:rPr>
          <w:rFonts w:cstheme="minorHAnsi"/>
        </w:rPr>
      </w:pPr>
      <w:r w:rsidRPr="00F16251">
        <w:rPr>
          <w:rFonts w:cstheme="minorHAnsi"/>
        </w:rPr>
        <w:t>Należy</w:t>
      </w:r>
      <w:r w:rsidR="003B50ED" w:rsidRPr="00F16251">
        <w:rPr>
          <w:rFonts w:cstheme="minorHAnsi"/>
        </w:rPr>
        <w:t xml:space="preserve"> </w:t>
      </w:r>
      <w:r w:rsidRPr="00F16251">
        <w:rPr>
          <w:rFonts w:cstheme="minorHAnsi"/>
        </w:rPr>
        <w:t>jednocześnie</w:t>
      </w:r>
      <w:r w:rsidR="003B50ED" w:rsidRPr="00F16251">
        <w:rPr>
          <w:rFonts w:cstheme="minorHAnsi"/>
        </w:rPr>
        <w:t xml:space="preserve"> </w:t>
      </w:r>
      <w:r w:rsidRPr="00F16251">
        <w:rPr>
          <w:rFonts w:cstheme="minorHAnsi"/>
        </w:rPr>
        <w:t>zauważyć,</w:t>
      </w:r>
      <w:r w:rsidR="003B50ED" w:rsidRPr="00F16251">
        <w:rPr>
          <w:rFonts w:cstheme="minorHAnsi"/>
        </w:rPr>
        <w:t xml:space="preserve"> </w:t>
      </w:r>
      <w:r w:rsidRPr="00F16251">
        <w:rPr>
          <w:rFonts w:cstheme="minorHAnsi"/>
        </w:rPr>
        <w:t>że</w:t>
      </w:r>
      <w:r w:rsidR="003B50ED" w:rsidRPr="00F16251">
        <w:rPr>
          <w:rFonts w:cstheme="minorHAnsi"/>
        </w:rPr>
        <w:t xml:space="preserve"> </w:t>
      </w:r>
      <w:r w:rsidRPr="00F16251">
        <w:rPr>
          <w:rFonts w:cstheme="minorHAnsi"/>
        </w:rPr>
        <w:t>członkowie</w:t>
      </w:r>
      <w:r w:rsidR="003B50ED" w:rsidRPr="00F16251">
        <w:rPr>
          <w:rFonts w:cstheme="minorHAnsi"/>
        </w:rPr>
        <w:t xml:space="preserve"> </w:t>
      </w:r>
      <w:r w:rsidRPr="00F16251">
        <w:rPr>
          <w:rFonts w:cstheme="minorHAnsi"/>
        </w:rPr>
        <w:t>Zarządu</w:t>
      </w:r>
      <w:r w:rsidR="003B50ED" w:rsidRPr="00F16251">
        <w:rPr>
          <w:rFonts w:cstheme="minorHAnsi"/>
        </w:rPr>
        <w:t xml:space="preserve"> </w:t>
      </w:r>
      <w:r w:rsidRPr="00F16251">
        <w:rPr>
          <w:rFonts w:cstheme="minorHAnsi"/>
        </w:rPr>
        <w:t>aktywnie</w:t>
      </w:r>
      <w:r w:rsidR="003B50ED" w:rsidRPr="00F16251">
        <w:rPr>
          <w:rFonts w:cstheme="minorHAnsi"/>
        </w:rPr>
        <w:t xml:space="preserve"> </w:t>
      </w:r>
      <w:r w:rsidRPr="00F16251">
        <w:rPr>
          <w:rFonts w:cstheme="minorHAnsi"/>
        </w:rPr>
        <w:t>działają</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sektorze</w:t>
      </w:r>
      <w:r w:rsidR="003B50ED" w:rsidRPr="00F16251">
        <w:rPr>
          <w:rFonts w:cstheme="minorHAnsi"/>
        </w:rPr>
        <w:t xml:space="preserve"> </w:t>
      </w:r>
      <w:r w:rsidRPr="00F16251">
        <w:rPr>
          <w:rFonts w:cstheme="minorHAnsi"/>
        </w:rPr>
        <w:t>społecznym</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terenie</w:t>
      </w:r>
      <w:r w:rsidR="003B50ED" w:rsidRPr="00F16251">
        <w:rPr>
          <w:rFonts w:cstheme="minorHAnsi"/>
        </w:rPr>
        <w:t xml:space="preserve"> </w:t>
      </w:r>
      <w:r w:rsidRPr="00F16251">
        <w:rPr>
          <w:rFonts w:cstheme="minorHAnsi"/>
        </w:rPr>
        <w:t>gmin,</w:t>
      </w:r>
      <w:r w:rsidR="003B50ED" w:rsidRPr="00F16251">
        <w:rPr>
          <w:rFonts w:cstheme="minorHAnsi"/>
        </w:rPr>
        <w:t xml:space="preserve"> </w:t>
      </w:r>
      <w:r w:rsidRPr="00F16251">
        <w:rPr>
          <w:rFonts w:cstheme="minorHAnsi"/>
        </w:rPr>
        <w:t>które</w:t>
      </w:r>
      <w:r w:rsidR="003B50ED" w:rsidRPr="00F16251">
        <w:rPr>
          <w:rFonts w:cstheme="minorHAnsi"/>
        </w:rPr>
        <w:t xml:space="preserve"> </w:t>
      </w:r>
      <w:r w:rsidRPr="00F16251">
        <w:rPr>
          <w:rFonts w:cstheme="minorHAnsi"/>
        </w:rPr>
        <w:t>reprezentują.</w:t>
      </w:r>
      <w:r w:rsidR="003B50ED" w:rsidRPr="00F16251">
        <w:rPr>
          <w:rFonts w:cstheme="minorHAnsi"/>
        </w:rPr>
        <w:t xml:space="preserve"> </w:t>
      </w:r>
      <w:r w:rsidRPr="00F16251">
        <w:rPr>
          <w:rFonts w:cstheme="minorHAnsi"/>
        </w:rPr>
        <w:t>Są</w:t>
      </w:r>
      <w:r w:rsidR="003B50ED" w:rsidRPr="00F16251">
        <w:rPr>
          <w:rFonts w:cstheme="minorHAnsi"/>
        </w:rPr>
        <w:t xml:space="preserve"> </w:t>
      </w:r>
      <w:r w:rsidRPr="00F16251">
        <w:rPr>
          <w:rFonts w:cstheme="minorHAnsi"/>
        </w:rPr>
        <w:t>członkami</w:t>
      </w:r>
      <w:r w:rsidR="003B50ED" w:rsidRPr="00F16251">
        <w:rPr>
          <w:rFonts w:cstheme="minorHAnsi"/>
        </w:rPr>
        <w:t xml:space="preserve"> </w:t>
      </w:r>
      <w:r w:rsidRPr="00F16251">
        <w:rPr>
          <w:rFonts w:cstheme="minorHAnsi"/>
        </w:rPr>
        <w:t>stowarzyszeń</w:t>
      </w:r>
      <w:r w:rsidR="003B50ED" w:rsidRPr="00F16251">
        <w:rPr>
          <w:rFonts w:cstheme="minorHAnsi"/>
        </w:rPr>
        <w:t xml:space="preserve"> </w:t>
      </w:r>
      <w:r w:rsidRPr="00F16251">
        <w:rPr>
          <w:rFonts w:cstheme="minorHAnsi"/>
        </w:rPr>
        <w:t>czy</w:t>
      </w:r>
      <w:r w:rsidR="003B50ED" w:rsidRPr="00F16251">
        <w:rPr>
          <w:rFonts w:cstheme="minorHAnsi"/>
        </w:rPr>
        <w:t xml:space="preserve"> </w:t>
      </w:r>
      <w:r w:rsidRPr="00F16251">
        <w:rPr>
          <w:rFonts w:cstheme="minorHAnsi"/>
        </w:rPr>
        <w:t>klubów</w:t>
      </w:r>
      <w:r w:rsidR="003B50ED" w:rsidRPr="00F16251">
        <w:rPr>
          <w:rFonts w:cstheme="minorHAnsi"/>
        </w:rPr>
        <w:t xml:space="preserve"> </w:t>
      </w:r>
      <w:r w:rsidRPr="00F16251">
        <w:rPr>
          <w:rFonts w:cstheme="minorHAnsi"/>
        </w:rPr>
        <w:t>sportowych.</w:t>
      </w:r>
      <w:r w:rsidR="003B50ED" w:rsidRPr="00F16251">
        <w:rPr>
          <w:rFonts w:cstheme="minorHAnsi"/>
        </w:rPr>
        <w:t xml:space="preserve"> </w:t>
      </w:r>
      <w:r w:rsidRPr="00F16251">
        <w:rPr>
          <w:rFonts w:cstheme="minorHAnsi"/>
        </w:rPr>
        <w:t>Angażują</w:t>
      </w:r>
      <w:r w:rsidR="003B50ED" w:rsidRPr="00F16251">
        <w:rPr>
          <w:rFonts w:cstheme="minorHAnsi"/>
        </w:rPr>
        <w:t xml:space="preserve"> </w:t>
      </w:r>
      <w:r w:rsidRPr="00F16251">
        <w:rPr>
          <w:rFonts w:cstheme="minorHAnsi"/>
        </w:rPr>
        <w:t>się</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inicjatywy</w:t>
      </w:r>
      <w:r w:rsidR="003B50ED" w:rsidRPr="00F16251">
        <w:rPr>
          <w:rFonts w:cstheme="minorHAnsi"/>
        </w:rPr>
        <w:t xml:space="preserve"> </w:t>
      </w:r>
      <w:r w:rsidRPr="00F16251">
        <w:rPr>
          <w:rFonts w:cstheme="minorHAnsi"/>
        </w:rPr>
        <w:t>lokalne,</w:t>
      </w:r>
      <w:r w:rsidR="003B50ED" w:rsidRPr="00F16251">
        <w:rPr>
          <w:rFonts w:cstheme="minorHAnsi"/>
        </w:rPr>
        <w:t xml:space="preserve"> </w:t>
      </w:r>
      <w:r w:rsidRPr="00F16251">
        <w:rPr>
          <w:rFonts w:cstheme="minorHAnsi"/>
        </w:rPr>
        <w:t>które</w:t>
      </w:r>
      <w:r w:rsidR="003B50ED" w:rsidRPr="00F16251">
        <w:rPr>
          <w:rFonts w:cstheme="minorHAnsi"/>
        </w:rPr>
        <w:t xml:space="preserve"> </w:t>
      </w:r>
      <w:r w:rsidRPr="00F16251">
        <w:rPr>
          <w:rFonts w:cstheme="minorHAnsi"/>
        </w:rPr>
        <w:t>służą</w:t>
      </w:r>
      <w:r w:rsidR="003B50ED" w:rsidRPr="00F16251">
        <w:rPr>
          <w:rFonts w:cstheme="minorHAnsi"/>
        </w:rPr>
        <w:t xml:space="preserve"> </w:t>
      </w:r>
      <w:r w:rsidRPr="00F16251">
        <w:rPr>
          <w:rFonts w:cstheme="minorHAnsi"/>
        </w:rPr>
        <w:t>integracji</w:t>
      </w:r>
      <w:r w:rsidR="003B50ED" w:rsidRPr="00F16251">
        <w:rPr>
          <w:rFonts w:cstheme="minorHAnsi"/>
        </w:rPr>
        <w:t xml:space="preserve"> </w:t>
      </w:r>
      <w:r w:rsidRPr="00F16251">
        <w:rPr>
          <w:rFonts w:cstheme="minorHAnsi"/>
        </w:rPr>
        <w:t>społeczności</w:t>
      </w:r>
      <w:r w:rsidR="003B50ED" w:rsidRPr="00F16251">
        <w:rPr>
          <w:rFonts w:cstheme="minorHAnsi"/>
        </w:rPr>
        <w:t xml:space="preserve"> </w:t>
      </w:r>
      <w:r w:rsidRPr="00F16251">
        <w:rPr>
          <w:rFonts w:cstheme="minorHAnsi"/>
        </w:rPr>
        <w:t>lokalnej.</w:t>
      </w:r>
      <w:r w:rsidR="003B50ED" w:rsidRPr="00F16251">
        <w:rPr>
          <w:rFonts w:cstheme="minorHAnsi"/>
        </w:rPr>
        <w:t xml:space="preserve"> </w:t>
      </w:r>
      <w:r w:rsidRPr="00F16251">
        <w:rPr>
          <w:rFonts w:cstheme="minorHAnsi"/>
        </w:rPr>
        <w:t>Ich</w:t>
      </w:r>
      <w:r w:rsidR="003B50ED" w:rsidRPr="00F16251">
        <w:rPr>
          <w:rFonts w:cstheme="minorHAnsi"/>
        </w:rPr>
        <w:t xml:space="preserve"> </w:t>
      </w:r>
      <w:r w:rsidRPr="00F16251">
        <w:rPr>
          <w:rFonts w:cstheme="minorHAnsi"/>
        </w:rPr>
        <w:t>zaangażowanie</w:t>
      </w:r>
      <w:r w:rsidR="003B50ED" w:rsidRPr="00F16251">
        <w:rPr>
          <w:rFonts w:cstheme="minorHAnsi"/>
        </w:rPr>
        <w:t xml:space="preserve"> </w:t>
      </w:r>
      <w:r w:rsidRPr="00F16251">
        <w:rPr>
          <w:rFonts w:cstheme="minorHAnsi"/>
        </w:rPr>
        <w:t>jest</w:t>
      </w:r>
      <w:r w:rsidR="003B50ED" w:rsidRPr="00F16251">
        <w:rPr>
          <w:rFonts w:cstheme="minorHAnsi"/>
        </w:rPr>
        <w:t xml:space="preserve"> </w:t>
      </w:r>
      <w:r w:rsidRPr="00F16251">
        <w:rPr>
          <w:rFonts w:cstheme="minorHAnsi"/>
        </w:rPr>
        <w:t>tym</w:t>
      </w:r>
      <w:r w:rsidR="003B50ED" w:rsidRPr="00F16251">
        <w:rPr>
          <w:rFonts w:cstheme="minorHAnsi"/>
        </w:rPr>
        <w:t xml:space="preserve"> </w:t>
      </w:r>
      <w:r w:rsidRPr="00F16251">
        <w:rPr>
          <w:rFonts w:cstheme="minorHAnsi"/>
        </w:rPr>
        <w:t>bardziej</w:t>
      </w:r>
      <w:r w:rsidR="003B50ED" w:rsidRPr="00F16251">
        <w:rPr>
          <w:rFonts w:cstheme="minorHAnsi"/>
        </w:rPr>
        <w:t xml:space="preserve"> </w:t>
      </w:r>
      <w:r w:rsidRPr="00F16251">
        <w:rPr>
          <w:rFonts w:cstheme="minorHAnsi"/>
        </w:rPr>
        <w:t>cenne,</w:t>
      </w:r>
      <w:r w:rsidR="003B50ED" w:rsidRPr="00F16251">
        <w:rPr>
          <w:rFonts w:cstheme="minorHAnsi"/>
        </w:rPr>
        <w:t xml:space="preserve"> </w:t>
      </w:r>
      <w:r w:rsidRPr="00F16251">
        <w:rPr>
          <w:rFonts w:cstheme="minorHAnsi"/>
        </w:rPr>
        <w:t>ponieważ</w:t>
      </w:r>
      <w:r w:rsidR="003B50ED" w:rsidRPr="00F16251">
        <w:rPr>
          <w:rFonts w:cstheme="minorHAnsi"/>
        </w:rPr>
        <w:t xml:space="preserve"> </w:t>
      </w:r>
      <w:r w:rsidRPr="00F16251">
        <w:rPr>
          <w:rFonts w:cstheme="minorHAnsi"/>
        </w:rPr>
        <w:t>jako</w:t>
      </w:r>
      <w:r w:rsidR="003B50ED" w:rsidRPr="00F16251">
        <w:rPr>
          <w:rFonts w:cstheme="minorHAnsi"/>
        </w:rPr>
        <w:t xml:space="preserve"> </w:t>
      </w:r>
      <w:r w:rsidRPr="00F16251">
        <w:rPr>
          <w:rFonts w:cstheme="minorHAnsi"/>
        </w:rPr>
        <w:t>liderzy,</w:t>
      </w:r>
      <w:r w:rsidR="003B50ED" w:rsidRPr="00F16251">
        <w:rPr>
          <w:rFonts w:cstheme="minorHAnsi"/>
        </w:rPr>
        <w:t xml:space="preserve"> </w:t>
      </w:r>
      <w:r w:rsidRPr="00F16251">
        <w:rPr>
          <w:rFonts w:cstheme="minorHAnsi"/>
        </w:rPr>
        <w:t>którzy</w:t>
      </w:r>
      <w:r w:rsidR="003B50ED" w:rsidRPr="00F16251">
        <w:rPr>
          <w:rFonts w:cstheme="minorHAnsi"/>
        </w:rPr>
        <w:t xml:space="preserve"> </w:t>
      </w:r>
      <w:r w:rsidRPr="00F16251">
        <w:rPr>
          <w:rFonts w:cstheme="minorHAnsi"/>
        </w:rPr>
        <w:t>posiadają</w:t>
      </w:r>
      <w:r w:rsidR="003B50ED" w:rsidRPr="00F16251">
        <w:rPr>
          <w:rFonts w:cstheme="minorHAnsi"/>
        </w:rPr>
        <w:t xml:space="preserve"> </w:t>
      </w:r>
      <w:r w:rsidRPr="00F16251">
        <w:rPr>
          <w:rFonts w:cstheme="minorHAnsi"/>
        </w:rPr>
        <w:t>doświadczenie</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działalności</w:t>
      </w:r>
      <w:r w:rsidR="003B50ED" w:rsidRPr="00F16251">
        <w:rPr>
          <w:rFonts w:cstheme="minorHAnsi"/>
        </w:rPr>
        <w:t xml:space="preserve"> </w:t>
      </w:r>
      <w:r w:rsidRPr="00F16251">
        <w:rPr>
          <w:rFonts w:cstheme="minorHAnsi"/>
        </w:rPr>
        <w:t>społecznej</w:t>
      </w:r>
      <w:r w:rsidR="003B50ED" w:rsidRPr="00F16251">
        <w:rPr>
          <w:rFonts w:cstheme="minorHAnsi"/>
        </w:rPr>
        <w:t xml:space="preserve"> </w:t>
      </w:r>
      <w:r w:rsidRPr="00F16251">
        <w:rPr>
          <w:rFonts w:cstheme="minorHAnsi"/>
        </w:rPr>
        <w:t>oraz</w:t>
      </w:r>
      <w:r w:rsidR="003B50ED" w:rsidRPr="00F16251">
        <w:rPr>
          <w:rFonts w:cstheme="minorHAnsi"/>
        </w:rPr>
        <w:t xml:space="preserve"> </w:t>
      </w:r>
      <w:r w:rsidRPr="00F16251">
        <w:rPr>
          <w:rFonts w:cstheme="minorHAnsi"/>
        </w:rPr>
        <w:t>wiedzę,</w:t>
      </w:r>
      <w:r w:rsidR="003B50ED" w:rsidRPr="00F16251">
        <w:rPr>
          <w:rFonts w:cstheme="minorHAnsi"/>
        </w:rPr>
        <w:t xml:space="preserve"> </w:t>
      </w:r>
      <w:r w:rsidRPr="00F16251">
        <w:rPr>
          <w:rFonts w:cstheme="minorHAnsi"/>
        </w:rPr>
        <w:t>stanowią</w:t>
      </w:r>
      <w:r w:rsidR="003B50ED" w:rsidRPr="00F16251">
        <w:rPr>
          <w:rFonts w:cstheme="minorHAnsi"/>
        </w:rPr>
        <w:t xml:space="preserve"> </w:t>
      </w:r>
      <w:r w:rsidRPr="00F16251">
        <w:rPr>
          <w:rFonts w:cstheme="minorHAnsi"/>
        </w:rPr>
        <w:t>dobry</w:t>
      </w:r>
      <w:r w:rsidR="003B50ED" w:rsidRPr="00F16251">
        <w:rPr>
          <w:rFonts w:cstheme="minorHAnsi"/>
        </w:rPr>
        <w:t xml:space="preserve"> </w:t>
      </w:r>
      <w:r w:rsidRPr="00F16251">
        <w:rPr>
          <w:rFonts w:cstheme="minorHAnsi"/>
        </w:rPr>
        <w:t>przykład</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naśladowania</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tym</w:t>
      </w:r>
      <w:r w:rsidR="003B50ED" w:rsidRPr="00F16251">
        <w:rPr>
          <w:rFonts w:cstheme="minorHAnsi"/>
        </w:rPr>
        <w:t xml:space="preserve"> </w:t>
      </w:r>
      <w:r w:rsidRPr="00F16251">
        <w:rPr>
          <w:rFonts w:cstheme="minorHAnsi"/>
        </w:rPr>
        <w:t>samym</w:t>
      </w:r>
      <w:r w:rsidR="003B50ED" w:rsidRPr="00F16251">
        <w:rPr>
          <w:rFonts w:cstheme="minorHAnsi"/>
        </w:rPr>
        <w:t xml:space="preserve"> </w:t>
      </w:r>
      <w:r w:rsidRPr="00F16251">
        <w:rPr>
          <w:rFonts w:cstheme="minorHAnsi"/>
        </w:rPr>
        <w:t>motywują</w:t>
      </w:r>
      <w:r w:rsidR="003B50ED" w:rsidRPr="00F16251">
        <w:rPr>
          <w:rFonts w:cstheme="minorHAnsi"/>
        </w:rPr>
        <w:t xml:space="preserve"> </w:t>
      </w:r>
      <w:r w:rsidRPr="00F16251">
        <w:rPr>
          <w:rFonts w:cstheme="minorHAnsi"/>
        </w:rPr>
        <w:t>mieszkańców</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podejmowania</w:t>
      </w:r>
      <w:r w:rsidR="003B50ED" w:rsidRPr="00F16251">
        <w:rPr>
          <w:rFonts w:cstheme="minorHAnsi"/>
        </w:rPr>
        <w:t xml:space="preserve"> </w:t>
      </w:r>
      <w:r w:rsidRPr="00F16251">
        <w:rPr>
          <w:rFonts w:cstheme="minorHAnsi"/>
        </w:rPr>
        <w:t>oddolnych</w:t>
      </w:r>
      <w:r w:rsidR="003B50ED" w:rsidRPr="00F16251">
        <w:rPr>
          <w:rFonts w:cstheme="minorHAnsi"/>
        </w:rPr>
        <w:t xml:space="preserve"> </w:t>
      </w:r>
      <w:r w:rsidRPr="00F16251">
        <w:rPr>
          <w:rFonts w:cstheme="minorHAnsi"/>
        </w:rPr>
        <w:t>inicjatyw.</w:t>
      </w:r>
      <w:r w:rsidR="003B50ED" w:rsidRPr="00F16251">
        <w:rPr>
          <w:rFonts w:cstheme="minorHAnsi"/>
        </w:rPr>
        <w:t xml:space="preserve"> </w:t>
      </w:r>
    </w:p>
    <w:p w14:paraId="4D8C7463" w14:textId="6F9EA895" w:rsidR="00990CC1" w:rsidRPr="00F16251" w:rsidRDefault="00990CC1" w:rsidP="00A26C26">
      <w:pPr>
        <w:spacing w:line="276" w:lineRule="auto"/>
        <w:ind w:firstLine="284"/>
        <w:jc w:val="both"/>
        <w:rPr>
          <w:rFonts w:cstheme="minorHAnsi"/>
        </w:rPr>
      </w:pPr>
      <w:r w:rsidRPr="00F16251">
        <w:rPr>
          <w:rFonts w:cstheme="minorHAnsi"/>
        </w:rPr>
        <w:t>Działalność</w:t>
      </w:r>
      <w:r w:rsidR="003B50ED" w:rsidRPr="00F16251">
        <w:rPr>
          <w:rFonts w:cstheme="minorHAnsi"/>
        </w:rPr>
        <w:t xml:space="preserve"> </w:t>
      </w:r>
      <w:r w:rsidRPr="00F16251">
        <w:rPr>
          <w:rFonts w:cstheme="minorHAnsi"/>
        </w:rPr>
        <w:t>Biura</w:t>
      </w:r>
      <w:r w:rsidR="003B50ED" w:rsidRPr="00F16251">
        <w:rPr>
          <w:rFonts w:cstheme="minorHAnsi"/>
        </w:rPr>
        <w:t xml:space="preserve"> </w:t>
      </w:r>
      <w:r w:rsidRPr="00F16251">
        <w:rPr>
          <w:rFonts w:cstheme="minorHAnsi"/>
        </w:rPr>
        <w:t>LGD,</w:t>
      </w:r>
      <w:r w:rsidR="003B50ED" w:rsidRPr="00F16251">
        <w:rPr>
          <w:rFonts w:cstheme="minorHAnsi"/>
        </w:rPr>
        <w:t xml:space="preserve"> </w:t>
      </w:r>
      <w:r w:rsidRPr="00F16251">
        <w:rPr>
          <w:rFonts w:cstheme="minorHAnsi"/>
        </w:rPr>
        <w:t>odpowiedzialnego</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dużej</w:t>
      </w:r>
      <w:r w:rsidR="003B50ED" w:rsidRPr="00F16251">
        <w:rPr>
          <w:rFonts w:cstheme="minorHAnsi"/>
        </w:rPr>
        <w:t xml:space="preserve"> </w:t>
      </w:r>
      <w:r w:rsidRPr="00F16251">
        <w:rPr>
          <w:rFonts w:cstheme="minorHAnsi"/>
        </w:rPr>
        <w:t>mierze</w:t>
      </w:r>
      <w:r w:rsidR="003B50ED" w:rsidRPr="00F16251">
        <w:rPr>
          <w:rFonts w:cstheme="minorHAnsi"/>
        </w:rPr>
        <w:t xml:space="preserve"> </w:t>
      </w:r>
      <w:r w:rsidRPr="00F16251">
        <w:rPr>
          <w:rFonts w:cstheme="minorHAnsi"/>
        </w:rPr>
        <w:t>za</w:t>
      </w:r>
      <w:r w:rsidR="003B50ED" w:rsidRPr="00F16251">
        <w:rPr>
          <w:rFonts w:cstheme="minorHAnsi"/>
        </w:rPr>
        <w:t xml:space="preserve"> </w:t>
      </w:r>
      <w:r w:rsidRPr="00F16251">
        <w:rPr>
          <w:rFonts w:cstheme="minorHAnsi"/>
        </w:rPr>
        <w:t>realizację</w:t>
      </w:r>
      <w:r w:rsidR="003B50ED" w:rsidRPr="00F16251">
        <w:rPr>
          <w:rFonts w:cstheme="minorHAnsi"/>
        </w:rPr>
        <w:t xml:space="preserve"> </w:t>
      </w:r>
      <w:r w:rsidRPr="00F16251">
        <w:rPr>
          <w:rFonts w:cstheme="minorHAnsi"/>
        </w:rPr>
        <w:t>wszystkich</w:t>
      </w:r>
      <w:r w:rsidR="003B50ED" w:rsidRPr="00F16251">
        <w:rPr>
          <w:rFonts w:cstheme="minorHAnsi"/>
        </w:rPr>
        <w:t xml:space="preserve"> </w:t>
      </w:r>
      <w:r w:rsidRPr="00F16251">
        <w:rPr>
          <w:rFonts w:cstheme="minorHAnsi"/>
        </w:rPr>
        <w:t>operacji</w:t>
      </w:r>
      <w:r w:rsidR="003B50ED" w:rsidRPr="00F16251">
        <w:rPr>
          <w:rFonts w:cstheme="minorHAnsi"/>
        </w:rPr>
        <w:t xml:space="preserve"> </w:t>
      </w:r>
      <w:r w:rsidRPr="00F16251">
        <w:rPr>
          <w:rFonts w:cstheme="minorHAnsi"/>
        </w:rPr>
        <w:t>niezbędnych</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wdrożenia</w:t>
      </w:r>
      <w:r w:rsidR="003B50ED" w:rsidRPr="00F16251">
        <w:rPr>
          <w:rFonts w:cstheme="minorHAnsi"/>
        </w:rPr>
        <w:t xml:space="preserve"> </w:t>
      </w:r>
      <w:r w:rsidRPr="00F16251">
        <w:rPr>
          <w:rFonts w:cstheme="minorHAnsi"/>
        </w:rPr>
        <w:t>LSR,</w:t>
      </w:r>
      <w:r w:rsidR="003B50ED" w:rsidRPr="00F16251">
        <w:rPr>
          <w:rFonts w:cstheme="minorHAnsi"/>
        </w:rPr>
        <w:t xml:space="preserve"> </w:t>
      </w:r>
      <w:r w:rsidRPr="00F16251">
        <w:rPr>
          <w:rFonts w:cstheme="minorHAnsi"/>
        </w:rPr>
        <w:t>opiera</w:t>
      </w:r>
      <w:r w:rsidR="003B50ED" w:rsidRPr="00F16251">
        <w:rPr>
          <w:rFonts w:cstheme="minorHAnsi"/>
        </w:rPr>
        <w:t xml:space="preserve"> </w:t>
      </w:r>
      <w:r w:rsidRPr="00F16251">
        <w:rPr>
          <w:rFonts w:cstheme="minorHAnsi"/>
        </w:rPr>
        <w:t>się</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osobach</w:t>
      </w:r>
      <w:r w:rsidR="003B50ED" w:rsidRPr="00F16251">
        <w:rPr>
          <w:rFonts w:cstheme="minorHAnsi"/>
        </w:rPr>
        <w:t xml:space="preserve"> </w:t>
      </w:r>
      <w:r w:rsidRPr="00F16251">
        <w:rPr>
          <w:rFonts w:cstheme="minorHAnsi"/>
        </w:rPr>
        <w:t>zaangażowanych</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pracę</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rzecz</w:t>
      </w:r>
      <w:r w:rsidR="003B50ED" w:rsidRPr="00F16251">
        <w:rPr>
          <w:rFonts w:cstheme="minorHAnsi"/>
        </w:rPr>
        <w:t xml:space="preserve"> </w:t>
      </w:r>
      <w:r w:rsidR="008247A9" w:rsidRPr="00F16251">
        <w:rPr>
          <w:rFonts w:cstheme="minorHAnsi"/>
        </w:rPr>
        <w:t xml:space="preserve">Stowarzyszenia „Solidarni w Partnerstwie” </w:t>
      </w:r>
      <w:r w:rsidRPr="00F16251">
        <w:rPr>
          <w:rFonts w:cstheme="minorHAnsi"/>
        </w:rPr>
        <w:t>od</w:t>
      </w:r>
      <w:r w:rsidR="003B50ED" w:rsidRPr="00F16251">
        <w:rPr>
          <w:rFonts w:cstheme="minorHAnsi"/>
        </w:rPr>
        <w:t xml:space="preserve"> </w:t>
      </w:r>
      <w:r w:rsidRPr="00F16251">
        <w:rPr>
          <w:rFonts w:cstheme="minorHAnsi"/>
        </w:rPr>
        <w:t>wielu</w:t>
      </w:r>
      <w:r w:rsidR="003B50ED" w:rsidRPr="00F16251">
        <w:rPr>
          <w:rFonts w:cstheme="minorHAnsi"/>
        </w:rPr>
        <w:t xml:space="preserve"> </w:t>
      </w:r>
      <w:r w:rsidRPr="00F16251">
        <w:rPr>
          <w:rFonts w:cstheme="minorHAnsi"/>
        </w:rPr>
        <w:t>lat.</w:t>
      </w:r>
      <w:r w:rsidR="003B50ED" w:rsidRPr="00F16251">
        <w:rPr>
          <w:rFonts w:cstheme="minorHAnsi"/>
        </w:rPr>
        <w:t xml:space="preserve"> </w:t>
      </w:r>
      <w:r w:rsidRPr="00F16251">
        <w:rPr>
          <w:rFonts w:cstheme="minorHAnsi"/>
        </w:rPr>
        <w:t>Pracownicy</w:t>
      </w:r>
      <w:r w:rsidR="003B50ED" w:rsidRPr="00F16251">
        <w:rPr>
          <w:rFonts w:cstheme="minorHAnsi"/>
        </w:rPr>
        <w:t xml:space="preserve"> </w:t>
      </w:r>
      <w:r w:rsidRPr="00F16251">
        <w:rPr>
          <w:rFonts w:cstheme="minorHAnsi"/>
        </w:rPr>
        <w:t>biura</w:t>
      </w:r>
      <w:r w:rsidR="003B50ED" w:rsidRPr="00F16251">
        <w:rPr>
          <w:rFonts w:cstheme="minorHAnsi"/>
        </w:rPr>
        <w:t xml:space="preserve"> </w:t>
      </w:r>
      <w:r w:rsidRPr="00F16251">
        <w:rPr>
          <w:rFonts w:cstheme="minorHAnsi"/>
        </w:rPr>
        <w:t>posiadają</w:t>
      </w:r>
      <w:r w:rsidR="003B50ED" w:rsidRPr="00F16251">
        <w:rPr>
          <w:rFonts w:cstheme="minorHAnsi"/>
        </w:rPr>
        <w:t xml:space="preserve"> </w:t>
      </w:r>
      <w:r w:rsidRPr="00F16251">
        <w:rPr>
          <w:rFonts w:cstheme="minorHAnsi"/>
        </w:rPr>
        <w:t>doświadczenie</w:t>
      </w:r>
      <w:r w:rsidR="003B50ED" w:rsidRPr="00F16251">
        <w:rPr>
          <w:rFonts w:cstheme="minorHAnsi"/>
        </w:rPr>
        <w:t xml:space="preserve"> </w:t>
      </w:r>
      <w:r w:rsidRPr="00F16251">
        <w:rPr>
          <w:rFonts w:cstheme="minorHAnsi"/>
        </w:rPr>
        <w:t>zdobyte</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poprzednim</w:t>
      </w:r>
      <w:r w:rsidR="003B50ED" w:rsidRPr="00F16251">
        <w:rPr>
          <w:rFonts w:cstheme="minorHAnsi"/>
        </w:rPr>
        <w:t xml:space="preserve"> </w:t>
      </w:r>
      <w:r w:rsidRPr="00F16251">
        <w:rPr>
          <w:rFonts w:cstheme="minorHAnsi"/>
        </w:rPr>
        <w:t>okresie</w:t>
      </w:r>
      <w:r w:rsidR="003B50ED" w:rsidRPr="00F16251">
        <w:rPr>
          <w:rFonts w:cstheme="minorHAnsi"/>
        </w:rPr>
        <w:t xml:space="preserve"> </w:t>
      </w:r>
      <w:r w:rsidRPr="00F16251">
        <w:rPr>
          <w:rFonts w:cstheme="minorHAnsi"/>
        </w:rPr>
        <w:t>programowania.</w:t>
      </w:r>
      <w:r w:rsidR="003B50ED" w:rsidRPr="00F16251">
        <w:rPr>
          <w:rFonts w:cstheme="minorHAnsi"/>
        </w:rPr>
        <w:t xml:space="preserve"> </w:t>
      </w:r>
      <w:r w:rsidRPr="00F16251">
        <w:rPr>
          <w:rFonts w:cstheme="minorHAnsi"/>
        </w:rPr>
        <w:t>Jako</w:t>
      </w:r>
      <w:r w:rsidR="003B50ED" w:rsidRPr="00F16251">
        <w:rPr>
          <w:rFonts w:cstheme="minorHAnsi"/>
        </w:rPr>
        <w:t xml:space="preserve"> </w:t>
      </w:r>
      <w:r w:rsidRPr="00F16251">
        <w:rPr>
          <w:rFonts w:cstheme="minorHAnsi"/>
        </w:rPr>
        <w:t>osoby</w:t>
      </w:r>
      <w:r w:rsidR="003B50ED" w:rsidRPr="00F16251">
        <w:rPr>
          <w:rFonts w:cstheme="minorHAnsi"/>
        </w:rPr>
        <w:t xml:space="preserve"> </w:t>
      </w:r>
      <w:r w:rsidRPr="00F16251">
        <w:rPr>
          <w:rFonts w:cstheme="minorHAnsi"/>
        </w:rPr>
        <w:t>zaangażowane</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opracowanie</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realizację</w:t>
      </w:r>
      <w:r w:rsidR="003B50ED" w:rsidRPr="00F16251">
        <w:rPr>
          <w:rFonts w:cstheme="minorHAnsi"/>
        </w:rPr>
        <w:t xml:space="preserve"> </w:t>
      </w:r>
      <w:r w:rsidR="000B603C" w:rsidRPr="00F16251">
        <w:rPr>
          <w:rFonts w:cstheme="minorHAnsi"/>
        </w:rPr>
        <w:t xml:space="preserve">LSR </w:t>
      </w:r>
      <w:r w:rsidRPr="00F16251">
        <w:rPr>
          <w:rFonts w:cstheme="minorHAnsi"/>
        </w:rPr>
        <w:t>posiadają</w:t>
      </w:r>
      <w:r w:rsidR="003B50ED" w:rsidRPr="00F16251">
        <w:rPr>
          <w:rFonts w:cstheme="minorHAnsi"/>
        </w:rPr>
        <w:t xml:space="preserve"> </w:t>
      </w:r>
      <w:r w:rsidRPr="00F16251">
        <w:rPr>
          <w:rFonts w:cstheme="minorHAnsi"/>
        </w:rPr>
        <w:t>niezbędną</w:t>
      </w:r>
      <w:r w:rsidR="003B50ED" w:rsidRPr="00F16251">
        <w:rPr>
          <w:rFonts w:cstheme="minorHAnsi"/>
        </w:rPr>
        <w:t xml:space="preserve"> </w:t>
      </w:r>
      <w:r w:rsidRPr="00F16251">
        <w:rPr>
          <w:rFonts w:cstheme="minorHAnsi"/>
        </w:rPr>
        <w:t>wiedzę</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wdrażania</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aktualizacji</w:t>
      </w:r>
      <w:r w:rsidR="003B50ED" w:rsidRPr="00F16251">
        <w:rPr>
          <w:rFonts w:cstheme="minorHAnsi"/>
        </w:rPr>
        <w:t xml:space="preserve"> </w:t>
      </w:r>
      <w:r w:rsidRPr="00F16251">
        <w:rPr>
          <w:rFonts w:cstheme="minorHAnsi"/>
        </w:rPr>
        <w:t>dokumentów</w:t>
      </w:r>
      <w:r w:rsidR="003B50ED" w:rsidRPr="00F16251">
        <w:rPr>
          <w:rFonts w:cstheme="minorHAnsi"/>
        </w:rPr>
        <w:t xml:space="preserve"> </w:t>
      </w:r>
      <w:r w:rsidRPr="00F16251">
        <w:rPr>
          <w:rFonts w:cstheme="minorHAnsi"/>
        </w:rPr>
        <w:t>strategicznych</w:t>
      </w:r>
      <w:r w:rsidR="003B50ED" w:rsidRPr="00F16251">
        <w:rPr>
          <w:rFonts w:cstheme="minorHAnsi"/>
        </w:rPr>
        <w:t xml:space="preserve"> </w:t>
      </w:r>
      <w:r w:rsidRPr="00F16251">
        <w:rPr>
          <w:rFonts w:cstheme="minorHAnsi"/>
        </w:rPr>
        <w:t>o</w:t>
      </w:r>
      <w:r w:rsidR="003B50ED" w:rsidRPr="00F16251">
        <w:rPr>
          <w:rFonts w:cstheme="minorHAnsi"/>
        </w:rPr>
        <w:t xml:space="preserve"> </w:t>
      </w:r>
      <w:r w:rsidRPr="00F16251">
        <w:rPr>
          <w:rFonts w:cstheme="minorHAnsi"/>
        </w:rPr>
        <w:t>zasięgu</w:t>
      </w:r>
      <w:r w:rsidR="003B50ED" w:rsidRPr="00F16251">
        <w:rPr>
          <w:rFonts w:cstheme="minorHAnsi"/>
        </w:rPr>
        <w:t xml:space="preserve"> </w:t>
      </w:r>
      <w:r w:rsidRPr="00F16251">
        <w:rPr>
          <w:rFonts w:cstheme="minorHAnsi"/>
        </w:rPr>
        <w:t>regionalnym</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lokalnym.</w:t>
      </w:r>
      <w:r w:rsidR="003B50ED" w:rsidRPr="00F16251">
        <w:rPr>
          <w:rFonts w:cstheme="minorHAnsi"/>
        </w:rPr>
        <w:t xml:space="preserve"> </w:t>
      </w:r>
    </w:p>
    <w:p w14:paraId="2059DDD9" w14:textId="42E557D1" w:rsidR="00990CC1" w:rsidRPr="00F16251" w:rsidRDefault="00990CC1" w:rsidP="00A26C26">
      <w:pPr>
        <w:spacing w:line="276" w:lineRule="auto"/>
        <w:ind w:firstLine="284"/>
        <w:jc w:val="both"/>
        <w:rPr>
          <w:rFonts w:cstheme="minorHAnsi"/>
        </w:rPr>
      </w:pPr>
      <w:r w:rsidRPr="00F16251">
        <w:rPr>
          <w:rFonts w:cstheme="minorHAnsi"/>
        </w:rPr>
        <w:t>Wysoka</w:t>
      </w:r>
      <w:r w:rsidR="003B50ED" w:rsidRPr="00F16251">
        <w:rPr>
          <w:rFonts w:cstheme="minorHAnsi"/>
        </w:rPr>
        <w:t xml:space="preserve"> </w:t>
      </w:r>
      <w:r w:rsidRPr="00F16251">
        <w:rPr>
          <w:rFonts w:cstheme="minorHAnsi"/>
        </w:rPr>
        <w:t>jakość</w:t>
      </w:r>
      <w:r w:rsidR="003B50ED" w:rsidRPr="00F16251">
        <w:rPr>
          <w:rFonts w:cstheme="minorHAnsi"/>
        </w:rPr>
        <w:t xml:space="preserve"> </w:t>
      </w:r>
      <w:r w:rsidRPr="00F16251">
        <w:rPr>
          <w:rFonts w:cstheme="minorHAnsi"/>
        </w:rPr>
        <w:t>wykonywanych</w:t>
      </w:r>
      <w:r w:rsidR="003B50ED" w:rsidRPr="00F16251">
        <w:rPr>
          <w:rFonts w:cstheme="minorHAnsi"/>
        </w:rPr>
        <w:t xml:space="preserve"> </w:t>
      </w:r>
      <w:r w:rsidRPr="00F16251">
        <w:rPr>
          <w:rFonts w:cstheme="minorHAnsi"/>
        </w:rPr>
        <w:t>zadań</w:t>
      </w:r>
      <w:r w:rsidR="003B50ED" w:rsidRPr="00F16251">
        <w:rPr>
          <w:rFonts w:cstheme="minorHAnsi"/>
        </w:rPr>
        <w:t xml:space="preserve"> </w:t>
      </w:r>
      <w:r w:rsidRPr="00F16251">
        <w:rPr>
          <w:rFonts w:cstheme="minorHAnsi"/>
        </w:rPr>
        <w:t>oraz</w:t>
      </w:r>
      <w:r w:rsidR="003B50ED" w:rsidRPr="00F16251">
        <w:rPr>
          <w:rFonts w:cstheme="minorHAnsi"/>
        </w:rPr>
        <w:t xml:space="preserve"> </w:t>
      </w:r>
      <w:r w:rsidRPr="00F16251">
        <w:rPr>
          <w:rFonts w:cstheme="minorHAnsi"/>
        </w:rPr>
        <w:t>bardzo</w:t>
      </w:r>
      <w:r w:rsidR="003B50ED" w:rsidRPr="00F16251">
        <w:rPr>
          <w:rFonts w:cstheme="minorHAnsi"/>
        </w:rPr>
        <w:t xml:space="preserve"> </w:t>
      </w:r>
      <w:r w:rsidRPr="00F16251">
        <w:rPr>
          <w:rFonts w:cstheme="minorHAnsi"/>
        </w:rPr>
        <w:t>dobrze</w:t>
      </w:r>
      <w:r w:rsidR="003B50ED" w:rsidRPr="00F16251">
        <w:rPr>
          <w:rFonts w:cstheme="minorHAnsi"/>
        </w:rPr>
        <w:t xml:space="preserve"> </w:t>
      </w:r>
      <w:r w:rsidRPr="00F16251">
        <w:rPr>
          <w:rFonts w:cstheme="minorHAnsi"/>
        </w:rPr>
        <w:t>przygotowanie</w:t>
      </w:r>
      <w:r w:rsidR="003B50ED" w:rsidRPr="00F16251">
        <w:rPr>
          <w:rFonts w:cstheme="minorHAnsi"/>
        </w:rPr>
        <w:t xml:space="preserve"> </w:t>
      </w:r>
      <w:r w:rsidRPr="00F16251">
        <w:rPr>
          <w:rFonts w:cstheme="minorHAnsi"/>
        </w:rPr>
        <w:t>merytoryczne</w:t>
      </w:r>
      <w:r w:rsidR="003B50ED" w:rsidRPr="00F16251">
        <w:rPr>
          <w:rFonts w:cstheme="minorHAnsi"/>
        </w:rPr>
        <w:t xml:space="preserve"> </w:t>
      </w:r>
      <w:r w:rsidRPr="00F16251">
        <w:rPr>
          <w:rFonts w:cstheme="minorHAnsi"/>
        </w:rPr>
        <w:t>pracowników</w:t>
      </w:r>
      <w:r w:rsidR="003B50ED" w:rsidRPr="00F16251">
        <w:rPr>
          <w:rFonts w:cstheme="minorHAnsi"/>
        </w:rPr>
        <w:t xml:space="preserve"> </w:t>
      </w:r>
      <w:r w:rsidRPr="00F16251">
        <w:rPr>
          <w:rFonts w:cstheme="minorHAnsi"/>
        </w:rPr>
        <w:t>biura</w:t>
      </w:r>
      <w:r w:rsidR="003B50ED" w:rsidRPr="00F16251">
        <w:rPr>
          <w:rFonts w:cstheme="minorHAnsi"/>
        </w:rPr>
        <w:t xml:space="preserve"> </w:t>
      </w:r>
      <w:r w:rsidRPr="00F16251">
        <w:rPr>
          <w:rFonts w:cstheme="minorHAnsi"/>
        </w:rPr>
        <w:t>zostało</w:t>
      </w:r>
      <w:r w:rsidR="003B50ED" w:rsidRPr="00F16251">
        <w:rPr>
          <w:rFonts w:cstheme="minorHAnsi"/>
        </w:rPr>
        <w:t xml:space="preserve"> </w:t>
      </w:r>
      <w:r w:rsidRPr="00F16251">
        <w:rPr>
          <w:rFonts w:cstheme="minorHAnsi"/>
        </w:rPr>
        <w:t>bardzo</w:t>
      </w:r>
      <w:r w:rsidR="003B50ED" w:rsidRPr="00F16251">
        <w:rPr>
          <w:rFonts w:cstheme="minorHAnsi"/>
        </w:rPr>
        <w:t xml:space="preserve"> </w:t>
      </w:r>
      <w:r w:rsidRPr="00F16251">
        <w:rPr>
          <w:rFonts w:cstheme="minorHAnsi"/>
        </w:rPr>
        <w:t>dobrze</w:t>
      </w:r>
      <w:r w:rsidR="003B50ED" w:rsidRPr="00F16251">
        <w:rPr>
          <w:rFonts w:cstheme="minorHAnsi"/>
        </w:rPr>
        <w:t xml:space="preserve"> </w:t>
      </w:r>
      <w:r w:rsidRPr="00F16251">
        <w:rPr>
          <w:rFonts w:cstheme="minorHAnsi"/>
        </w:rPr>
        <w:t>oceniane</w:t>
      </w:r>
      <w:r w:rsidR="003B50ED" w:rsidRPr="00F16251">
        <w:rPr>
          <w:rFonts w:cstheme="minorHAnsi"/>
        </w:rPr>
        <w:t xml:space="preserve"> </w:t>
      </w:r>
      <w:r w:rsidRPr="00F16251">
        <w:rPr>
          <w:rFonts w:cstheme="minorHAnsi"/>
        </w:rPr>
        <w:t>zarówno</w:t>
      </w:r>
      <w:r w:rsidR="003B50ED" w:rsidRPr="00F16251">
        <w:rPr>
          <w:rFonts w:cstheme="minorHAnsi"/>
        </w:rPr>
        <w:t xml:space="preserve"> </w:t>
      </w:r>
      <w:r w:rsidRPr="00F16251">
        <w:rPr>
          <w:rFonts w:cstheme="minorHAnsi"/>
        </w:rPr>
        <w:t>przez</w:t>
      </w:r>
      <w:r w:rsidR="003B50ED" w:rsidRPr="00F16251">
        <w:rPr>
          <w:rFonts w:cstheme="minorHAnsi"/>
        </w:rPr>
        <w:t xml:space="preserve"> </w:t>
      </w:r>
      <w:r w:rsidRPr="00F16251">
        <w:rPr>
          <w:rFonts w:cstheme="minorHAnsi"/>
        </w:rPr>
        <w:t>członków</w:t>
      </w:r>
      <w:r w:rsidR="003B50ED" w:rsidRPr="00F16251">
        <w:rPr>
          <w:rFonts w:cstheme="minorHAnsi"/>
        </w:rPr>
        <w:t xml:space="preserve"> </w:t>
      </w:r>
      <w:r w:rsidRPr="00F16251">
        <w:rPr>
          <w:rFonts w:cstheme="minorHAnsi"/>
        </w:rPr>
        <w:t>Rady,</w:t>
      </w:r>
      <w:r w:rsidR="003B50ED" w:rsidRPr="00F16251">
        <w:rPr>
          <w:rFonts w:cstheme="minorHAnsi"/>
        </w:rPr>
        <w:t xml:space="preserve"> </w:t>
      </w:r>
      <w:r w:rsidRPr="00F16251">
        <w:rPr>
          <w:rFonts w:cstheme="minorHAnsi"/>
        </w:rPr>
        <w:t>Zarządu</w:t>
      </w:r>
      <w:r w:rsidR="003B50ED" w:rsidRPr="00F16251">
        <w:rPr>
          <w:rFonts w:cstheme="minorHAnsi"/>
        </w:rPr>
        <w:t xml:space="preserve"> </w:t>
      </w:r>
      <w:r w:rsidRPr="00F16251">
        <w:rPr>
          <w:rFonts w:cstheme="minorHAnsi"/>
        </w:rPr>
        <w:t>jak</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samych</w:t>
      </w:r>
      <w:r w:rsidR="003B50ED" w:rsidRPr="00F16251">
        <w:rPr>
          <w:rFonts w:cstheme="minorHAnsi"/>
        </w:rPr>
        <w:t xml:space="preserve"> </w:t>
      </w:r>
      <w:r w:rsidRPr="00F16251">
        <w:rPr>
          <w:rFonts w:cstheme="minorHAnsi"/>
        </w:rPr>
        <w:t>beneficjentów</w:t>
      </w:r>
      <w:r w:rsidR="003B50ED" w:rsidRPr="00F16251">
        <w:rPr>
          <w:rFonts w:cstheme="minorHAnsi"/>
        </w:rPr>
        <w:t xml:space="preserve"> </w:t>
      </w:r>
      <w:r w:rsidRPr="00F16251">
        <w:rPr>
          <w:rFonts w:cstheme="minorHAnsi"/>
        </w:rPr>
        <w:t>podczas</w:t>
      </w:r>
      <w:r w:rsidR="003B50ED" w:rsidRPr="00F16251">
        <w:rPr>
          <w:rFonts w:cstheme="minorHAnsi"/>
        </w:rPr>
        <w:t xml:space="preserve"> </w:t>
      </w:r>
      <w:r w:rsidRPr="00F16251">
        <w:rPr>
          <w:rFonts w:cstheme="minorHAnsi"/>
        </w:rPr>
        <w:t>badań</w:t>
      </w:r>
      <w:r w:rsidR="003B50ED" w:rsidRPr="00F16251">
        <w:rPr>
          <w:rFonts w:cstheme="minorHAnsi"/>
        </w:rPr>
        <w:t xml:space="preserve"> </w:t>
      </w:r>
      <w:r w:rsidRPr="00F16251">
        <w:rPr>
          <w:rFonts w:cstheme="minorHAnsi"/>
        </w:rPr>
        <w:t>ewaluacyjnych</w:t>
      </w:r>
      <w:r w:rsidR="003B50ED" w:rsidRPr="00F16251">
        <w:rPr>
          <w:rFonts w:cstheme="minorHAnsi"/>
        </w:rPr>
        <w:t xml:space="preserve"> </w:t>
      </w:r>
      <w:r w:rsidRPr="00F16251">
        <w:rPr>
          <w:rFonts w:cstheme="minorHAnsi"/>
        </w:rPr>
        <w:t>podsumowujących</w:t>
      </w:r>
      <w:r w:rsidR="003B50ED" w:rsidRPr="00F16251">
        <w:rPr>
          <w:rFonts w:cstheme="minorHAnsi"/>
        </w:rPr>
        <w:t xml:space="preserve"> </w:t>
      </w:r>
      <w:r w:rsidRPr="00F16251">
        <w:rPr>
          <w:rFonts w:cstheme="minorHAnsi"/>
        </w:rPr>
        <w:t>okres</w:t>
      </w:r>
      <w:r w:rsidR="003B50ED" w:rsidRPr="00F16251">
        <w:rPr>
          <w:rFonts w:cstheme="minorHAnsi"/>
        </w:rPr>
        <w:t xml:space="preserve"> </w:t>
      </w:r>
      <w:r w:rsidRPr="00F16251">
        <w:rPr>
          <w:rFonts w:cstheme="minorHAnsi"/>
        </w:rPr>
        <w:t>programowania</w:t>
      </w:r>
      <w:r w:rsidR="003B50ED" w:rsidRPr="00F16251">
        <w:rPr>
          <w:rFonts w:cstheme="minorHAnsi"/>
        </w:rPr>
        <w:t xml:space="preserve"> </w:t>
      </w:r>
      <w:r w:rsidRPr="00F16251">
        <w:rPr>
          <w:rFonts w:cstheme="minorHAnsi"/>
        </w:rPr>
        <w:t>2014-2020.</w:t>
      </w:r>
      <w:r w:rsidR="003B50ED" w:rsidRPr="00F16251">
        <w:rPr>
          <w:rFonts w:cstheme="minorHAnsi"/>
        </w:rPr>
        <w:t xml:space="preserve"> </w:t>
      </w:r>
    </w:p>
    <w:p w14:paraId="32A0862E" w14:textId="453FF5FA" w:rsidR="00990CC1" w:rsidRPr="00F16251" w:rsidRDefault="00990CC1" w:rsidP="00A26C26">
      <w:pPr>
        <w:spacing w:line="276" w:lineRule="auto"/>
        <w:ind w:firstLine="284"/>
        <w:jc w:val="both"/>
        <w:rPr>
          <w:rFonts w:cstheme="minorHAnsi"/>
        </w:rPr>
      </w:pPr>
      <w:r w:rsidRPr="00F16251">
        <w:rPr>
          <w:rFonts w:cstheme="minorHAnsi"/>
        </w:rPr>
        <w:t>Mieszkańcy</w:t>
      </w:r>
      <w:r w:rsidR="003B50ED" w:rsidRPr="00F16251">
        <w:rPr>
          <w:rFonts w:cstheme="minorHAnsi"/>
        </w:rPr>
        <w:t xml:space="preserve"> </w:t>
      </w:r>
      <w:r w:rsidRPr="00F16251">
        <w:rPr>
          <w:rFonts w:cstheme="minorHAnsi"/>
        </w:rPr>
        <w:t>terenów</w:t>
      </w:r>
      <w:r w:rsidR="003B50ED" w:rsidRPr="00F16251">
        <w:rPr>
          <w:rFonts w:cstheme="minorHAnsi"/>
        </w:rPr>
        <w:t xml:space="preserve"> </w:t>
      </w:r>
      <w:r w:rsidRPr="00F16251">
        <w:rPr>
          <w:rFonts w:cstheme="minorHAnsi"/>
        </w:rPr>
        <w:t>należących</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Stowarzyszenia</w:t>
      </w:r>
      <w:r w:rsidR="003B50ED" w:rsidRPr="00F16251">
        <w:rPr>
          <w:rFonts w:cstheme="minorHAnsi"/>
        </w:rPr>
        <w:t xml:space="preserve"> </w:t>
      </w:r>
      <w:r w:rsidRPr="00F16251">
        <w:rPr>
          <w:rFonts w:cstheme="minorHAnsi"/>
        </w:rPr>
        <w:t>„Solidarni</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Partnerstwie”</w:t>
      </w:r>
      <w:r w:rsidR="003B50ED" w:rsidRPr="00F16251">
        <w:rPr>
          <w:rFonts w:cstheme="minorHAnsi"/>
        </w:rPr>
        <w:t xml:space="preserve"> </w:t>
      </w:r>
      <w:r w:rsidRPr="00F16251">
        <w:rPr>
          <w:rFonts w:cstheme="minorHAnsi"/>
        </w:rPr>
        <w:t>jednomyślnie</w:t>
      </w:r>
      <w:r w:rsidR="003B50ED" w:rsidRPr="00F16251">
        <w:rPr>
          <w:rFonts w:cstheme="minorHAnsi"/>
        </w:rPr>
        <w:t xml:space="preserve"> </w:t>
      </w:r>
      <w:r w:rsidRPr="00F16251">
        <w:rPr>
          <w:rFonts w:cstheme="minorHAnsi"/>
        </w:rPr>
        <w:t>pozytywnie</w:t>
      </w:r>
      <w:r w:rsidR="003B50ED" w:rsidRPr="00F16251">
        <w:rPr>
          <w:rFonts w:cstheme="minorHAnsi"/>
        </w:rPr>
        <w:t xml:space="preserve"> </w:t>
      </w:r>
      <w:r w:rsidRPr="00F16251">
        <w:rPr>
          <w:rFonts w:cstheme="minorHAnsi"/>
        </w:rPr>
        <w:t>ocenili</w:t>
      </w:r>
      <w:r w:rsidR="003B50ED" w:rsidRPr="00F16251">
        <w:rPr>
          <w:rFonts w:cstheme="minorHAnsi"/>
        </w:rPr>
        <w:t xml:space="preserve"> </w:t>
      </w:r>
      <w:r w:rsidRPr="00F16251">
        <w:rPr>
          <w:rFonts w:cstheme="minorHAnsi"/>
        </w:rPr>
        <w:t>funkcjonowanie</w:t>
      </w:r>
      <w:r w:rsidR="003B50ED" w:rsidRPr="00F16251">
        <w:rPr>
          <w:rFonts w:cstheme="minorHAnsi"/>
        </w:rPr>
        <w:t xml:space="preserve"> </w:t>
      </w:r>
      <w:r w:rsidR="000B603C" w:rsidRPr="00F16251">
        <w:rPr>
          <w:rFonts w:cstheme="minorHAnsi"/>
        </w:rPr>
        <w:t>Stowarzyszenia „Solidarni w Partnerstwie”</w:t>
      </w:r>
      <w:r w:rsidRPr="00F16251">
        <w:rPr>
          <w:rFonts w:cstheme="minorHAnsi"/>
        </w:rPr>
        <w:t>.</w:t>
      </w:r>
      <w:r w:rsidR="003B50ED" w:rsidRPr="00F16251">
        <w:rPr>
          <w:rFonts w:cstheme="minorHAnsi"/>
        </w:rPr>
        <w:t xml:space="preserve"> </w:t>
      </w:r>
      <w:r w:rsidRPr="00F16251">
        <w:rPr>
          <w:rFonts w:cstheme="minorHAnsi"/>
        </w:rPr>
        <w:t>Mieszkańcy</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większości</w:t>
      </w:r>
      <w:r w:rsidR="003B50ED" w:rsidRPr="00F16251">
        <w:rPr>
          <w:rFonts w:cstheme="minorHAnsi"/>
        </w:rPr>
        <w:t xml:space="preserve"> </w:t>
      </w:r>
      <w:r w:rsidRPr="00F16251">
        <w:rPr>
          <w:rFonts w:cstheme="minorHAnsi"/>
        </w:rPr>
        <w:t>wyrażają</w:t>
      </w:r>
      <w:r w:rsidR="003B50ED" w:rsidRPr="00F16251">
        <w:rPr>
          <w:rFonts w:cstheme="minorHAnsi"/>
        </w:rPr>
        <w:t xml:space="preserve"> </w:t>
      </w:r>
      <w:r w:rsidRPr="00F16251">
        <w:rPr>
          <w:rFonts w:cstheme="minorHAnsi"/>
        </w:rPr>
        <w:t>zadowolenie</w:t>
      </w:r>
      <w:r w:rsidR="003B50ED" w:rsidRPr="00F16251">
        <w:rPr>
          <w:rFonts w:cstheme="minorHAnsi"/>
        </w:rPr>
        <w:t xml:space="preserve"> </w:t>
      </w:r>
      <w:r w:rsidR="005505AF">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funkcjonowania</w:t>
      </w:r>
      <w:r w:rsidR="003B50ED" w:rsidRPr="00F16251">
        <w:rPr>
          <w:rFonts w:cstheme="minorHAnsi"/>
        </w:rPr>
        <w:t xml:space="preserve"> </w:t>
      </w:r>
      <w:r w:rsidRPr="00F16251">
        <w:rPr>
          <w:rFonts w:cstheme="minorHAnsi"/>
        </w:rPr>
        <w:t>Biura</w:t>
      </w:r>
      <w:r w:rsidR="003B50ED" w:rsidRPr="00F16251">
        <w:rPr>
          <w:rFonts w:cstheme="minorHAnsi"/>
        </w:rPr>
        <w:t xml:space="preserve"> </w:t>
      </w:r>
      <w:r w:rsidRPr="00F16251">
        <w:rPr>
          <w:rFonts w:cstheme="minorHAnsi"/>
        </w:rPr>
        <w:t>LGD.</w:t>
      </w:r>
      <w:r w:rsidR="003B50ED" w:rsidRPr="00F16251">
        <w:rPr>
          <w:rFonts w:cstheme="minorHAnsi"/>
        </w:rPr>
        <w:t xml:space="preserve"> </w:t>
      </w:r>
      <w:r w:rsidRPr="00F16251">
        <w:rPr>
          <w:rFonts w:cstheme="minorHAnsi"/>
        </w:rPr>
        <w:t>Najbardziej</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możliwości</w:t>
      </w:r>
      <w:r w:rsidR="003B50ED" w:rsidRPr="00F16251">
        <w:rPr>
          <w:rFonts w:cstheme="minorHAnsi"/>
        </w:rPr>
        <w:t xml:space="preserve"> </w:t>
      </w:r>
      <w:r w:rsidRPr="00F16251">
        <w:rPr>
          <w:rFonts w:cstheme="minorHAnsi"/>
        </w:rPr>
        <w:t>uzyskania</w:t>
      </w:r>
      <w:r w:rsidR="003B50ED" w:rsidRPr="00F16251">
        <w:rPr>
          <w:rFonts w:cstheme="minorHAnsi"/>
        </w:rPr>
        <w:t xml:space="preserve"> </w:t>
      </w:r>
      <w:r w:rsidRPr="00F16251">
        <w:rPr>
          <w:rFonts w:cstheme="minorHAnsi"/>
        </w:rPr>
        <w:t>odpowiedzi</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wiele</w:t>
      </w:r>
      <w:r w:rsidR="003B50ED" w:rsidRPr="00F16251">
        <w:rPr>
          <w:rFonts w:cstheme="minorHAnsi"/>
        </w:rPr>
        <w:t xml:space="preserve"> </w:t>
      </w:r>
      <w:r w:rsidRPr="00F16251">
        <w:rPr>
          <w:rFonts w:cstheme="minorHAnsi"/>
        </w:rPr>
        <w:t>pytań</w:t>
      </w:r>
      <w:r w:rsidR="003B50ED" w:rsidRPr="00F16251">
        <w:rPr>
          <w:rFonts w:cstheme="minorHAnsi"/>
        </w:rPr>
        <w:t xml:space="preserve"> </w:t>
      </w:r>
      <w:r w:rsidRPr="00F16251">
        <w:rPr>
          <w:rFonts w:cstheme="minorHAnsi"/>
        </w:rPr>
        <w:t>drogą</w:t>
      </w:r>
      <w:r w:rsidR="003B50ED" w:rsidRPr="00F16251">
        <w:rPr>
          <w:rFonts w:cstheme="minorHAnsi"/>
        </w:rPr>
        <w:t xml:space="preserve"> </w:t>
      </w:r>
      <w:r w:rsidRPr="00F16251">
        <w:rPr>
          <w:rFonts w:cstheme="minorHAnsi"/>
        </w:rPr>
        <w:t>telefoniczną,</w:t>
      </w:r>
      <w:r w:rsidR="003B50ED" w:rsidRPr="00F16251">
        <w:rPr>
          <w:rFonts w:cstheme="minorHAnsi"/>
        </w:rPr>
        <w:t xml:space="preserve"> </w:t>
      </w:r>
      <w:r w:rsidRPr="00F16251">
        <w:rPr>
          <w:rFonts w:cstheme="minorHAnsi"/>
        </w:rPr>
        <w:t>braku</w:t>
      </w:r>
      <w:r w:rsidR="003B50ED" w:rsidRPr="00F16251">
        <w:rPr>
          <w:rFonts w:cstheme="minorHAnsi"/>
        </w:rPr>
        <w:t xml:space="preserve"> </w:t>
      </w:r>
      <w:r w:rsidRPr="00F16251">
        <w:rPr>
          <w:rFonts w:cstheme="minorHAnsi"/>
        </w:rPr>
        <w:t>problemów</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umówieniu</w:t>
      </w:r>
      <w:r w:rsidR="003B50ED" w:rsidRPr="00F16251">
        <w:rPr>
          <w:rFonts w:cstheme="minorHAnsi"/>
        </w:rPr>
        <w:t xml:space="preserve"> </w:t>
      </w:r>
      <w:r w:rsidRPr="00F16251">
        <w:rPr>
          <w:rFonts w:cstheme="minorHAnsi"/>
        </w:rPr>
        <w:t>się</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spotkanie</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pracownikiem</w:t>
      </w:r>
      <w:r w:rsidR="003B50ED" w:rsidRPr="00F16251">
        <w:rPr>
          <w:rFonts w:cstheme="minorHAnsi"/>
        </w:rPr>
        <w:t xml:space="preserve"> </w:t>
      </w:r>
      <w:r w:rsidRPr="00F16251">
        <w:rPr>
          <w:rFonts w:cstheme="minorHAnsi"/>
        </w:rPr>
        <w:t>biura,</w:t>
      </w:r>
      <w:r w:rsidR="003B50ED" w:rsidRPr="00F16251">
        <w:rPr>
          <w:rFonts w:cstheme="minorHAnsi"/>
        </w:rPr>
        <w:t xml:space="preserve"> </w:t>
      </w:r>
      <w:r w:rsidRPr="00F16251">
        <w:rPr>
          <w:rFonts w:cstheme="minorHAnsi"/>
        </w:rPr>
        <w:t>czy</w:t>
      </w:r>
      <w:r w:rsidR="003B50ED" w:rsidRPr="00F16251">
        <w:rPr>
          <w:rFonts w:cstheme="minorHAnsi"/>
        </w:rPr>
        <w:t xml:space="preserve"> </w:t>
      </w:r>
      <w:r w:rsidRPr="00F16251">
        <w:rPr>
          <w:rFonts w:cstheme="minorHAnsi"/>
        </w:rPr>
        <w:t>bardzo</w:t>
      </w:r>
      <w:r w:rsidR="003B50ED" w:rsidRPr="00F16251">
        <w:rPr>
          <w:rFonts w:cstheme="minorHAnsi"/>
        </w:rPr>
        <w:t xml:space="preserve"> </w:t>
      </w:r>
      <w:r w:rsidRPr="00F16251">
        <w:rPr>
          <w:rFonts w:cstheme="minorHAnsi"/>
        </w:rPr>
        <w:t>dogodnych</w:t>
      </w:r>
      <w:r w:rsidR="003B50ED" w:rsidRPr="00F16251">
        <w:rPr>
          <w:rFonts w:cstheme="minorHAnsi"/>
        </w:rPr>
        <w:t xml:space="preserve"> </w:t>
      </w:r>
      <w:r w:rsidRPr="00F16251">
        <w:rPr>
          <w:rFonts w:cstheme="minorHAnsi"/>
        </w:rPr>
        <w:t>dla</w:t>
      </w:r>
      <w:r w:rsidR="003B50ED" w:rsidRPr="00F16251">
        <w:rPr>
          <w:rFonts w:cstheme="minorHAnsi"/>
        </w:rPr>
        <w:t xml:space="preserve"> </w:t>
      </w:r>
      <w:r w:rsidRPr="00F16251">
        <w:rPr>
          <w:rFonts w:cstheme="minorHAnsi"/>
        </w:rPr>
        <w:t>mieszkańców</w:t>
      </w:r>
      <w:r w:rsidR="003B50ED" w:rsidRPr="00F16251">
        <w:rPr>
          <w:rFonts w:cstheme="minorHAnsi"/>
        </w:rPr>
        <w:t xml:space="preserve"> </w:t>
      </w:r>
      <w:r w:rsidRPr="00F16251">
        <w:rPr>
          <w:rFonts w:cstheme="minorHAnsi"/>
        </w:rPr>
        <w:t>godzin</w:t>
      </w:r>
      <w:r w:rsidR="003B50ED" w:rsidRPr="00F16251">
        <w:rPr>
          <w:rFonts w:cstheme="minorHAnsi"/>
        </w:rPr>
        <w:t xml:space="preserve"> </w:t>
      </w:r>
      <w:r w:rsidRPr="00F16251">
        <w:rPr>
          <w:rFonts w:cstheme="minorHAnsi"/>
        </w:rPr>
        <w:t>funkcjonowania</w:t>
      </w:r>
      <w:r w:rsidR="003B50ED" w:rsidRPr="00F16251">
        <w:rPr>
          <w:rFonts w:cstheme="minorHAnsi"/>
        </w:rPr>
        <w:t xml:space="preserve"> </w:t>
      </w:r>
      <w:r w:rsidRPr="00F16251">
        <w:rPr>
          <w:rFonts w:cstheme="minorHAnsi"/>
        </w:rPr>
        <w:t>biura</w:t>
      </w:r>
      <w:r w:rsidR="003B50ED" w:rsidRPr="00F16251">
        <w:rPr>
          <w:rFonts w:cstheme="minorHAnsi"/>
        </w:rPr>
        <w:t xml:space="preserve"> </w:t>
      </w:r>
      <w:r w:rsidRPr="00F16251">
        <w:rPr>
          <w:rFonts w:cstheme="minorHAnsi"/>
        </w:rPr>
        <w:t>LGD.</w:t>
      </w:r>
    </w:p>
    <w:p w14:paraId="53485CF7" w14:textId="67DA8344" w:rsidR="00990CC1" w:rsidRPr="00F16251" w:rsidRDefault="00990CC1" w:rsidP="00A26C26">
      <w:pPr>
        <w:spacing w:line="276" w:lineRule="auto"/>
        <w:ind w:firstLine="284"/>
        <w:jc w:val="both"/>
        <w:rPr>
          <w:rFonts w:cstheme="minorHAnsi"/>
        </w:rPr>
      </w:pPr>
      <w:r w:rsidRPr="00F16251">
        <w:rPr>
          <w:rFonts w:cstheme="minorHAnsi"/>
        </w:rPr>
        <w:t>Ponadto,</w:t>
      </w:r>
      <w:r w:rsidR="003B50ED" w:rsidRPr="00F16251">
        <w:rPr>
          <w:rFonts w:cstheme="minorHAnsi"/>
        </w:rPr>
        <w:t xml:space="preserve"> </w:t>
      </w:r>
      <w:r w:rsidRPr="00F16251">
        <w:rPr>
          <w:rFonts w:cstheme="minorHAnsi"/>
        </w:rPr>
        <w:t>mieszkańcy</w:t>
      </w:r>
      <w:r w:rsidR="003B50ED" w:rsidRPr="00F16251">
        <w:rPr>
          <w:rFonts w:cstheme="minorHAnsi"/>
        </w:rPr>
        <w:t xml:space="preserve"> </w:t>
      </w:r>
      <w:r w:rsidR="0004602C" w:rsidRPr="00F16251">
        <w:rPr>
          <w:rFonts w:cstheme="minorHAnsi"/>
        </w:rPr>
        <w:t xml:space="preserve">obszaru objętego LSR </w:t>
      </w:r>
      <w:r w:rsidRPr="00F16251">
        <w:rPr>
          <w:rFonts w:cstheme="minorHAnsi"/>
        </w:rPr>
        <w:t>postrzegają</w:t>
      </w:r>
      <w:r w:rsidR="003B50ED" w:rsidRPr="00F16251">
        <w:rPr>
          <w:rFonts w:cstheme="minorHAnsi"/>
        </w:rPr>
        <w:t xml:space="preserve"> </w:t>
      </w:r>
      <w:r w:rsidRPr="00F16251">
        <w:rPr>
          <w:rFonts w:cstheme="minorHAnsi"/>
        </w:rPr>
        <w:t>pracowników</w:t>
      </w:r>
      <w:r w:rsidR="003B50ED" w:rsidRPr="00F16251">
        <w:rPr>
          <w:rFonts w:cstheme="minorHAnsi"/>
        </w:rPr>
        <w:t xml:space="preserve"> </w:t>
      </w:r>
      <w:r w:rsidRPr="00F16251">
        <w:rPr>
          <w:rFonts w:cstheme="minorHAnsi"/>
        </w:rPr>
        <w:t>Biura</w:t>
      </w:r>
      <w:r w:rsidR="003B50ED" w:rsidRPr="00F16251">
        <w:rPr>
          <w:rFonts w:cstheme="minorHAnsi"/>
        </w:rPr>
        <w:t xml:space="preserve"> </w:t>
      </w:r>
      <w:r w:rsidR="0004602C" w:rsidRPr="00F16251">
        <w:rPr>
          <w:rFonts w:cstheme="minorHAnsi"/>
        </w:rPr>
        <w:t xml:space="preserve">LGD </w:t>
      </w:r>
      <w:r w:rsidRPr="00F16251">
        <w:rPr>
          <w:rFonts w:cstheme="minorHAnsi"/>
        </w:rPr>
        <w:t>jako</w:t>
      </w:r>
      <w:r w:rsidR="003B50ED" w:rsidRPr="00F16251">
        <w:rPr>
          <w:rFonts w:cstheme="minorHAnsi"/>
        </w:rPr>
        <w:t xml:space="preserve"> </w:t>
      </w:r>
      <w:r w:rsidRPr="00F16251">
        <w:rPr>
          <w:rFonts w:cstheme="minorHAnsi"/>
        </w:rPr>
        <w:t>osoby</w:t>
      </w:r>
      <w:r w:rsidR="003B50ED" w:rsidRPr="00F16251">
        <w:rPr>
          <w:rFonts w:cstheme="minorHAnsi"/>
        </w:rPr>
        <w:t xml:space="preserve"> </w:t>
      </w:r>
      <w:r w:rsidRPr="00F16251">
        <w:rPr>
          <w:rFonts w:cstheme="minorHAnsi"/>
        </w:rPr>
        <w:t>miłe</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uprzejme,</w:t>
      </w:r>
      <w:r w:rsidR="003B50ED" w:rsidRPr="00F16251">
        <w:rPr>
          <w:rFonts w:cstheme="minorHAnsi"/>
        </w:rPr>
        <w:t xml:space="preserve"> </w:t>
      </w:r>
      <w:r w:rsidRPr="00F16251">
        <w:rPr>
          <w:rFonts w:cstheme="minorHAnsi"/>
        </w:rPr>
        <w:t>mające</w:t>
      </w:r>
      <w:r w:rsidR="003B50ED" w:rsidRPr="00F16251">
        <w:rPr>
          <w:rFonts w:cstheme="minorHAnsi"/>
        </w:rPr>
        <w:t xml:space="preserve"> </w:t>
      </w:r>
      <w:r w:rsidRPr="00F16251">
        <w:rPr>
          <w:rFonts w:cstheme="minorHAnsi"/>
        </w:rPr>
        <w:t>odpowiednią</w:t>
      </w:r>
      <w:r w:rsidR="003B50ED" w:rsidRPr="00F16251">
        <w:rPr>
          <w:rFonts w:cstheme="minorHAnsi"/>
        </w:rPr>
        <w:t xml:space="preserve"> </w:t>
      </w:r>
      <w:r w:rsidRPr="00F16251">
        <w:rPr>
          <w:rFonts w:cstheme="minorHAnsi"/>
        </w:rPr>
        <w:t>wiedzę</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wykonywanej</w:t>
      </w:r>
      <w:r w:rsidR="003B50ED" w:rsidRPr="00F16251">
        <w:rPr>
          <w:rFonts w:cstheme="minorHAnsi"/>
        </w:rPr>
        <w:t xml:space="preserve"> </w:t>
      </w:r>
      <w:r w:rsidRPr="00F16251">
        <w:rPr>
          <w:rFonts w:cstheme="minorHAnsi"/>
        </w:rPr>
        <w:t>pracy,</w:t>
      </w:r>
      <w:r w:rsidR="003B50ED" w:rsidRPr="00F16251">
        <w:rPr>
          <w:rFonts w:cstheme="minorHAnsi"/>
        </w:rPr>
        <w:t xml:space="preserve"> </w:t>
      </w:r>
      <w:r w:rsidRPr="00F16251">
        <w:rPr>
          <w:rFonts w:cstheme="minorHAnsi"/>
        </w:rPr>
        <w:t>które</w:t>
      </w:r>
      <w:r w:rsidR="003B50ED" w:rsidRPr="00F16251">
        <w:rPr>
          <w:rFonts w:cstheme="minorHAnsi"/>
        </w:rPr>
        <w:t xml:space="preserve"> </w:t>
      </w:r>
      <w:r w:rsidRPr="00F16251">
        <w:rPr>
          <w:rFonts w:cstheme="minorHAnsi"/>
        </w:rPr>
        <w:t>udzielają</w:t>
      </w:r>
      <w:r w:rsidR="003B50ED" w:rsidRPr="00F16251">
        <w:rPr>
          <w:rFonts w:cstheme="minorHAnsi"/>
        </w:rPr>
        <w:t xml:space="preserve"> </w:t>
      </w:r>
      <w:r w:rsidRPr="00F16251">
        <w:rPr>
          <w:rFonts w:cstheme="minorHAnsi"/>
        </w:rPr>
        <w:t>rzetelnych</w:t>
      </w:r>
      <w:r w:rsidR="003B50ED" w:rsidRPr="00F16251">
        <w:rPr>
          <w:rFonts w:cstheme="minorHAnsi"/>
        </w:rPr>
        <w:t xml:space="preserve"> </w:t>
      </w:r>
      <w:r w:rsidRPr="00F16251">
        <w:rPr>
          <w:rFonts w:cstheme="minorHAnsi"/>
        </w:rPr>
        <w:t>informacji</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zaangażowaniem</w:t>
      </w:r>
      <w:r w:rsidR="003B50ED" w:rsidRPr="00F16251">
        <w:rPr>
          <w:rFonts w:cstheme="minorHAnsi"/>
        </w:rPr>
        <w:t xml:space="preserve"> </w:t>
      </w:r>
      <w:r w:rsidRPr="00F16251">
        <w:rPr>
          <w:rFonts w:cstheme="minorHAnsi"/>
        </w:rPr>
        <w:lastRenderedPageBreak/>
        <w:t>wykonują</w:t>
      </w:r>
      <w:r w:rsidR="003B50ED" w:rsidRPr="00F16251">
        <w:rPr>
          <w:rFonts w:cstheme="minorHAnsi"/>
        </w:rPr>
        <w:t xml:space="preserve"> </w:t>
      </w:r>
      <w:r w:rsidRPr="00F16251">
        <w:rPr>
          <w:rFonts w:cstheme="minorHAnsi"/>
        </w:rPr>
        <w:t>swoje</w:t>
      </w:r>
      <w:r w:rsidR="003B50ED" w:rsidRPr="00F16251">
        <w:rPr>
          <w:rFonts w:cstheme="minorHAnsi"/>
        </w:rPr>
        <w:t xml:space="preserve"> </w:t>
      </w:r>
      <w:r w:rsidRPr="00F16251">
        <w:rPr>
          <w:rFonts w:cstheme="minorHAnsi"/>
        </w:rPr>
        <w:t>obowiązki.</w:t>
      </w:r>
      <w:r w:rsidR="003B50ED" w:rsidRPr="00F16251">
        <w:rPr>
          <w:rFonts w:cstheme="minorHAnsi"/>
        </w:rPr>
        <w:t xml:space="preserve"> </w:t>
      </w:r>
      <w:r w:rsidRPr="00F16251">
        <w:rPr>
          <w:rFonts w:cstheme="minorHAnsi"/>
        </w:rPr>
        <w:t>Najlepiej</w:t>
      </w:r>
      <w:r w:rsidR="003B50ED" w:rsidRPr="00F16251">
        <w:rPr>
          <w:rFonts w:cstheme="minorHAnsi"/>
        </w:rPr>
        <w:t xml:space="preserve"> </w:t>
      </w:r>
      <w:r w:rsidRPr="00F16251">
        <w:rPr>
          <w:rFonts w:cstheme="minorHAnsi"/>
        </w:rPr>
        <w:t>zaś</w:t>
      </w:r>
      <w:r w:rsidR="003B50ED" w:rsidRPr="00F16251">
        <w:rPr>
          <w:rFonts w:cstheme="minorHAnsi"/>
        </w:rPr>
        <w:t xml:space="preserve"> </w:t>
      </w:r>
      <w:r w:rsidRPr="00F16251">
        <w:rPr>
          <w:rFonts w:cstheme="minorHAnsi"/>
        </w:rPr>
        <w:t>Biuro</w:t>
      </w:r>
      <w:r w:rsidR="003B50ED" w:rsidRPr="00F16251">
        <w:rPr>
          <w:rFonts w:cstheme="minorHAnsi"/>
        </w:rPr>
        <w:t xml:space="preserve"> </w:t>
      </w:r>
      <w:r w:rsidRPr="00F16251">
        <w:rPr>
          <w:rFonts w:cstheme="minorHAnsi"/>
        </w:rPr>
        <w:t>LGD</w:t>
      </w:r>
      <w:r w:rsidR="003B50ED" w:rsidRPr="00F16251">
        <w:rPr>
          <w:rFonts w:cstheme="minorHAnsi"/>
        </w:rPr>
        <w:t xml:space="preserve"> </w:t>
      </w:r>
      <w:r w:rsidRPr="00F16251">
        <w:rPr>
          <w:rFonts w:cstheme="minorHAnsi"/>
        </w:rPr>
        <w:t>zostało</w:t>
      </w:r>
      <w:r w:rsidR="003B50ED" w:rsidRPr="00F16251">
        <w:rPr>
          <w:rFonts w:cstheme="minorHAnsi"/>
        </w:rPr>
        <w:t xml:space="preserve"> </w:t>
      </w:r>
      <w:r w:rsidRPr="00F16251">
        <w:rPr>
          <w:rFonts w:cstheme="minorHAnsi"/>
        </w:rPr>
        <w:t>ocenione</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obszarze</w:t>
      </w:r>
      <w:r w:rsidR="003B50ED" w:rsidRPr="00F16251">
        <w:rPr>
          <w:rFonts w:cstheme="minorHAnsi"/>
        </w:rPr>
        <w:t xml:space="preserve"> </w:t>
      </w:r>
      <w:r w:rsidRPr="00F16251">
        <w:rPr>
          <w:rFonts w:cstheme="minorHAnsi"/>
        </w:rPr>
        <w:t>organizacji</w:t>
      </w:r>
      <w:r w:rsidR="003B50ED" w:rsidRPr="00F16251">
        <w:rPr>
          <w:rFonts w:cstheme="minorHAnsi"/>
        </w:rPr>
        <w:t xml:space="preserve"> </w:t>
      </w:r>
      <w:r w:rsidRPr="00F16251">
        <w:rPr>
          <w:rFonts w:cstheme="minorHAnsi"/>
        </w:rPr>
        <w:t>naborów</w:t>
      </w:r>
      <w:r w:rsidR="003B50ED" w:rsidRPr="00F16251">
        <w:rPr>
          <w:rFonts w:cstheme="minorHAnsi"/>
        </w:rPr>
        <w:t xml:space="preserve"> </w:t>
      </w:r>
      <w:r w:rsidRPr="00F16251">
        <w:rPr>
          <w:rFonts w:cstheme="minorHAnsi"/>
        </w:rPr>
        <w:t>wniosków,</w:t>
      </w:r>
      <w:r w:rsidR="003B50ED" w:rsidRPr="00F16251">
        <w:rPr>
          <w:rFonts w:cstheme="minorHAnsi"/>
        </w:rPr>
        <w:t xml:space="preserve"> </w:t>
      </w:r>
      <w:r w:rsidRPr="00F16251">
        <w:rPr>
          <w:rFonts w:cstheme="minorHAnsi"/>
        </w:rPr>
        <w:t>prowadzenia</w:t>
      </w:r>
      <w:r w:rsidR="003B50ED" w:rsidRPr="00F16251">
        <w:rPr>
          <w:rFonts w:cstheme="minorHAnsi"/>
        </w:rPr>
        <w:t xml:space="preserve"> </w:t>
      </w:r>
      <w:r w:rsidRPr="00F16251">
        <w:rPr>
          <w:rFonts w:cstheme="minorHAnsi"/>
        </w:rPr>
        <w:t>doradztwa,</w:t>
      </w:r>
      <w:r w:rsidR="003B50ED" w:rsidRPr="00F16251">
        <w:rPr>
          <w:rFonts w:cstheme="minorHAnsi"/>
        </w:rPr>
        <w:t xml:space="preserve"> </w:t>
      </w:r>
      <w:r w:rsidRPr="00F16251">
        <w:rPr>
          <w:rFonts w:cstheme="minorHAnsi"/>
        </w:rPr>
        <w:t>czy</w:t>
      </w:r>
      <w:r w:rsidR="003B50ED" w:rsidRPr="00F16251">
        <w:rPr>
          <w:rFonts w:cstheme="minorHAnsi"/>
        </w:rPr>
        <w:t xml:space="preserve"> </w:t>
      </w:r>
      <w:r w:rsidRPr="00F16251">
        <w:rPr>
          <w:rFonts w:cstheme="minorHAnsi"/>
        </w:rPr>
        <w:t>współpracy</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innymi</w:t>
      </w:r>
      <w:r w:rsidR="003B50ED" w:rsidRPr="00F16251">
        <w:rPr>
          <w:rFonts w:cstheme="minorHAnsi"/>
        </w:rPr>
        <w:t xml:space="preserve"> </w:t>
      </w:r>
      <w:r w:rsidRPr="00F16251">
        <w:rPr>
          <w:rFonts w:cstheme="minorHAnsi"/>
        </w:rPr>
        <w:t>LGD.</w:t>
      </w:r>
    </w:p>
    <w:p w14:paraId="1A2349CC" w14:textId="03415845" w:rsidR="00990CC1" w:rsidRPr="00F16251" w:rsidRDefault="00990CC1" w:rsidP="00A26C26">
      <w:pPr>
        <w:spacing w:line="276" w:lineRule="auto"/>
        <w:ind w:firstLine="284"/>
        <w:jc w:val="both"/>
        <w:rPr>
          <w:rFonts w:cstheme="minorHAnsi"/>
        </w:rPr>
      </w:pPr>
      <w:r w:rsidRPr="00F16251">
        <w:rPr>
          <w:rFonts w:cstheme="minorHAnsi"/>
        </w:rPr>
        <w:t>Istotn</w:t>
      </w:r>
      <w:r w:rsidR="0004602C" w:rsidRPr="00F16251">
        <w:rPr>
          <w:rFonts w:cstheme="minorHAnsi"/>
        </w:rPr>
        <w:t xml:space="preserve">ym elementem </w:t>
      </w:r>
      <w:r w:rsidRPr="00F16251">
        <w:rPr>
          <w:rFonts w:cstheme="minorHAnsi"/>
        </w:rPr>
        <w:t>pracy</w:t>
      </w:r>
      <w:r w:rsidR="003B50ED" w:rsidRPr="00F16251">
        <w:rPr>
          <w:rFonts w:cstheme="minorHAnsi"/>
        </w:rPr>
        <w:t xml:space="preserve"> </w:t>
      </w:r>
      <w:r w:rsidRPr="00F16251">
        <w:rPr>
          <w:rFonts w:cstheme="minorHAnsi"/>
        </w:rPr>
        <w:t>biura</w:t>
      </w:r>
      <w:r w:rsidR="003B50ED" w:rsidRPr="00F16251">
        <w:rPr>
          <w:rFonts w:cstheme="minorHAnsi"/>
        </w:rPr>
        <w:t xml:space="preserve"> </w:t>
      </w:r>
      <w:r w:rsidRPr="00F16251">
        <w:rPr>
          <w:rFonts w:cstheme="minorHAnsi"/>
        </w:rPr>
        <w:t>LGD</w:t>
      </w:r>
      <w:r w:rsidR="003B50ED" w:rsidRPr="00F16251">
        <w:rPr>
          <w:rFonts w:cstheme="minorHAnsi"/>
        </w:rPr>
        <w:t xml:space="preserve"> </w:t>
      </w:r>
      <w:r w:rsidRPr="00F16251">
        <w:rPr>
          <w:rFonts w:cstheme="minorHAnsi"/>
        </w:rPr>
        <w:t>było</w:t>
      </w:r>
      <w:r w:rsidR="003B50ED" w:rsidRPr="00F16251">
        <w:rPr>
          <w:rFonts w:cstheme="minorHAnsi"/>
        </w:rPr>
        <w:t xml:space="preserve"> </w:t>
      </w:r>
      <w:r w:rsidRPr="00F16251">
        <w:rPr>
          <w:rFonts w:cstheme="minorHAnsi"/>
        </w:rPr>
        <w:t>doradztwo</w:t>
      </w:r>
      <w:r w:rsidR="003B50ED" w:rsidRPr="00F16251">
        <w:rPr>
          <w:rFonts w:cstheme="minorHAnsi"/>
        </w:rPr>
        <w:t xml:space="preserve"> </w:t>
      </w:r>
      <w:r w:rsidR="0004602C" w:rsidRPr="00F16251">
        <w:rPr>
          <w:rFonts w:cstheme="minorHAnsi"/>
        </w:rPr>
        <w:t xml:space="preserve">świadczone </w:t>
      </w:r>
      <w:r w:rsidR="00A761E0" w:rsidRPr="00F16251">
        <w:rPr>
          <w:rFonts w:cstheme="minorHAnsi"/>
        </w:rPr>
        <w:t>na rzecz podmiotów i osób zainteresowanych</w:t>
      </w:r>
      <w:r w:rsidR="003B50ED" w:rsidRPr="00F16251">
        <w:rPr>
          <w:rFonts w:cstheme="minorHAnsi"/>
        </w:rPr>
        <w:t xml:space="preserve"> </w:t>
      </w:r>
      <w:r w:rsidRPr="00F16251">
        <w:rPr>
          <w:rFonts w:cstheme="minorHAnsi"/>
        </w:rPr>
        <w:t>uzyskaniem</w:t>
      </w:r>
      <w:r w:rsidR="003B50ED" w:rsidRPr="00F16251">
        <w:rPr>
          <w:rFonts w:cstheme="minorHAnsi"/>
        </w:rPr>
        <w:t xml:space="preserve"> </w:t>
      </w:r>
      <w:r w:rsidR="0004602C" w:rsidRPr="00F16251">
        <w:rPr>
          <w:rFonts w:cstheme="minorHAnsi"/>
        </w:rPr>
        <w:t>wsparcia</w:t>
      </w:r>
      <w:r w:rsidRPr="00F16251">
        <w:rPr>
          <w:rFonts w:cstheme="minorHAnsi"/>
        </w:rPr>
        <w:t>.</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latach</w:t>
      </w:r>
      <w:r w:rsidR="003B50ED" w:rsidRPr="00F16251">
        <w:rPr>
          <w:rFonts w:cstheme="minorHAnsi"/>
        </w:rPr>
        <w:t xml:space="preserve"> </w:t>
      </w:r>
      <w:r w:rsidRPr="00F16251">
        <w:rPr>
          <w:rFonts w:cstheme="minorHAnsi"/>
        </w:rPr>
        <w:t>2016</w:t>
      </w:r>
      <w:r w:rsidR="003B50ED" w:rsidRPr="00F16251">
        <w:rPr>
          <w:rFonts w:cstheme="minorHAnsi"/>
        </w:rPr>
        <w:t xml:space="preserve"> </w:t>
      </w:r>
      <w:r w:rsidRPr="00F16251">
        <w:rPr>
          <w:rFonts w:cstheme="minorHAnsi"/>
        </w:rPr>
        <w:t>–</w:t>
      </w:r>
      <w:r w:rsidR="003B50ED" w:rsidRPr="00F16251">
        <w:rPr>
          <w:rFonts w:cstheme="minorHAnsi"/>
        </w:rPr>
        <w:t xml:space="preserve"> </w:t>
      </w:r>
      <w:r w:rsidRPr="00F16251">
        <w:rPr>
          <w:rFonts w:cstheme="minorHAnsi"/>
        </w:rPr>
        <w:t>2021</w:t>
      </w:r>
      <w:r w:rsidR="003B50ED" w:rsidRPr="00F16251">
        <w:rPr>
          <w:rFonts w:cstheme="minorHAnsi"/>
        </w:rPr>
        <w:t xml:space="preserve"> </w:t>
      </w:r>
      <w:r w:rsidRPr="00F16251">
        <w:rPr>
          <w:rFonts w:cstheme="minorHAnsi"/>
        </w:rPr>
        <w:t>usługi</w:t>
      </w:r>
      <w:r w:rsidR="003B50ED" w:rsidRPr="00F16251">
        <w:rPr>
          <w:rFonts w:cstheme="minorHAnsi"/>
        </w:rPr>
        <w:t xml:space="preserve"> </w:t>
      </w:r>
      <w:r w:rsidRPr="00F16251">
        <w:rPr>
          <w:rFonts w:cstheme="minorHAnsi"/>
        </w:rPr>
        <w:t>doradcze</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zakresie</w:t>
      </w:r>
      <w:r w:rsidR="003B50ED" w:rsidRPr="00F16251">
        <w:rPr>
          <w:rFonts w:cstheme="minorHAnsi"/>
        </w:rPr>
        <w:t xml:space="preserve"> </w:t>
      </w:r>
      <w:r w:rsidRPr="00F16251">
        <w:rPr>
          <w:rFonts w:cstheme="minorHAnsi"/>
        </w:rPr>
        <w:t>spotkań</w:t>
      </w:r>
      <w:r w:rsidR="003B50ED" w:rsidRPr="00F16251">
        <w:rPr>
          <w:rFonts w:cstheme="minorHAnsi"/>
        </w:rPr>
        <w:t xml:space="preserve"> </w:t>
      </w:r>
      <w:r w:rsidRPr="00F16251">
        <w:rPr>
          <w:rFonts w:cstheme="minorHAnsi"/>
        </w:rPr>
        <w:t>indywidualnych</w:t>
      </w:r>
      <w:r w:rsidR="003B50ED" w:rsidRPr="00F16251">
        <w:rPr>
          <w:rFonts w:cstheme="minorHAnsi"/>
        </w:rPr>
        <w:t xml:space="preserve"> </w:t>
      </w:r>
      <w:r w:rsidRPr="00F16251">
        <w:rPr>
          <w:rFonts w:cstheme="minorHAnsi"/>
        </w:rPr>
        <w:t>otrzymało</w:t>
      </w:r>
      <w:r w:rsidR="003B50ED" w:rsidRPr="00F16251">
        <w:rPr>
          <w:rFonts w:cstheme="minorHAnsi"/>
        </w:rPr>
        <w:t xml:space="preserve"> </w:t>
      </w:r>
      <w:r w:rsidRPr="00F16251">
        <w:rPr>
          <w:rFonts w:cstheme="minorHAnsi"/>
        </w:rPr>
        <w:t>ogółem</w:t>
      </w:r>
      <w:r w:rsidR="003B50ED" w:rsidRPr="00F16251">
        <w:rPr>
          <w:rFonts w:cstheme="minorHAnsi"/>
        </w:rPr>
        <w:t xml:space="preserve"> </w:t>
      </w:r>
      <w:r w:rsidRPr="00F16251">
        <w:rPr>
          <w:rFonts w:cstheme="minorHAnsi"/>
        </w:rPr>
        <w:t>361</w:t>
      </w:r>
      <w:r w:rsidR="003B50ED" w:rsidRPr="00F16251">
        <w:rPr>
          <w:rFonts w:cstheme="minorHAnsi"/>
        </w:rPr>
        <w:t xml:space="preserve"> </w:t>
      </w:r>
      <w:r w:rsidRPr="00F16251">
        <w:rPr>
          <w:rFonts w:cstheme="minorHAnsi"/>
        </w:rPr>
        <w:t>podmiotów</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tym</w:t>
      </w:r>
      <w:r w:rsidR="003B50ED" w:rsidRPr="00F16251">
        <w:rPr>
          <w:rFonts w:cstheme="minorHAnsi"/>
        </w:rPr>
        <w:t xml:space="preserve"> </w:t>
      </w:r>
      <w:r w:rsidRPr="00F16251">
        <w:rPr>
          <w:rFonts w:cstheme="minorHAnsi"/>
        </w:rPr>
        <w:t>osoby</w:t>
      </w:r>
      <w:r w:rsidR="003B50ED" w:rsidRPr="00F16251">
        <w:rPr>
          <w:rFonts w:cstheme="minorHAnsi"/>
        </w:rPr>
        <w:t xml:space="preserve"> </w:t>
      </w:r>
      <w:r w:rsidRPr="00F16251">
        <w:rPr>
          <w:rFonts w:cstheme="minorHAnsi"/>
        </w:rPr>
        <w:t>fizyczne,</w:t>
      </w:r>
      <w:r w:rsidR="003B50ED" w:rsidRPr="00F16251">
        <w:rPr>
          <w:rFonts w:cstheme="minorHAnsi"/>
        </w:rPr>
        <w:t xml:space="preserve"> </w:t>
      </w:r>
      <w:r w:rsidRPr="00F16251">
        <w:rPr>
          <w:rFonts w:cstheme="minorHAnsi"/>
        </w:rPr>
        <w:t>instytucje).</w:t>
      </w:r>
      <w:r w:rsidR="003B50ED" w:rsidRPr="00F16251">
        <w:rPr>
          <w:rFonts w:cstheme="minorHAnsi"/>
        </w:rPr>
        <w:t xml:space="preserve"> </w:t>
      </w:r>
      <w:r w:rsidRPr="00F16251">
        <w:rPr>
          <w:rFonts w:cstheme="minorHAnsi"/>
        </w:rPr>
        <w:t>Dominowało</w:t>
      </w:r>
      <w:r w:rsidR="003B50ED" w:rsidRPr="00F16251">
        <w:rPr>
          <w:rFonts w:cstheme="minorHAnsi"/>
        </w:rPr>
        <w:t xml:space="preserve"> </w:t>
      </w:r>
      <w:r w:rsidRPr="00F16251">
        <w:rPr>
          <w:rFonts w:cstheme="minorHAnsi"/>
        </w:rPr>
        <w:t>doradztwo</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zakresie</w:t>
      </w:r>
      <w:r w:rsidR="003B50ED" w:rsidRPr="00F16251">
        <w:rPr>
          <w:rFonts w:cstheme="minorHAnsi"/>
        </w:rPr>
        <w:t xml:space="preserve"> </w:t>
      </w:r>
      <w:r w:rsidRPr="00F16251">
        <w:rPr>
          <w:rFonts w:cstheme="minorHAnsi"/>
        </w:rPr>
        <w:t>podjęcia</w:t>
      </w:r>
      <w:r w:rsidR="003B50ED" w:rsidRPr="00F16251">
        <w:rPr>
          <w:rFonts w:cstheme="minorHAnsi"/>
        </w:rPr>
        <w:t xml:space="preserve"> </w:t>
      </w:r>
      <w:r w:rsidR="00065077" w:rsidRPr="00F16251">
        <w:rPr>
          <w:rFonts w:cstheme="minorHAnsi"/>
        </w:rPr>
        <w:t>nowych</w:t>
      </w:r>
      <w:r w:rsidR="00396A11">
        <w:rPr>
          <w:rFonts w:cstheme="minorHAnsi"/>
        </w:rPr>
        <w:t xml:space="preserve"> </w:t>
      </w:r>
      <w:r w:rsidR="00A761E0" w:rsidRPr="00F16251">
        <w:rPr>
          <w:rFonts w:cstheme="minorHAnsi"/>
        </w:rPr>
        <w:br/>
      </w:r>
      <w:r w:rsidRPr="00F16251">
        <w:rPr>
          <w:rFonts w:cstheme="minorHAnsi"/>
        </w:rPr>
        <w:t>i</w:t>
      </w:r>
      <w:r w:rsidR="003B50ED" w:rsidRPr="00F16251">
        <w:rPr>
          <w:rFonts w:cstheme="minorHAnsi"/>
        </w:rPr>
        <w:t xml:space="preserve"> </w:t>
      </w:r>
      <w:r w:rsidRPr="00F16251">
        <w:rPr>
          <w:rFonts w:cstheme="minorHAnsi"/>
        </w:rPr>
        <w:t>rozw</w:t>
      </w:r>
      <w:r w:rsidR="00A761E0" w:rsidRPr="00F16251">
        <w:rPr>
          <w:rFonts w:cstheme="minorHAnsi"/>
        </w:rPr>
        <w:t>oju ist</w:t>
      </w:r>
      <w:r w:rsidR="00065077" w:rsidRPr="00F16251">
        <w:rPr>
          <w:rFonts w:cstheme="minorHAnsi"/>
        </w:rPr>
        <w:t>niejących</w:t>
      </w:r>
      <w:r w:rsidR="003B50ED" w:rsidRPr="00F16251">
        <w:rPr>
          <w:rFonts w:cstheme="minorHAnsi"/>
        </w:rPr>
        <w:t xml:space="preserve"> </w:t>
      </w:r>
      <w:r w:rsidRPr="00F16251">
        <w:rPr>
          <w:rFonts w:cstheme="minorHAnsi"/>
        </w:rPr>
        <w:t>działalności</w:t>
      </w:r>
      <w:r w:rsidR="003B50ED" w:rsidRPr="00F16251">
        <w:rPr>
          <w:rFonts w:cstheme="minorHAnsi"/>
        </w:rPr>
        <w:t xml:space="preserve"> </w:t>
      </w:r>
      <w:r w:rsidRPr="00F16251">
        <w:rPr>
          <w:rFonts w:cstheme="minorHAnsi"/>
        </w:rPr>
        <w:t>(318</w:t>
      </w:r>
      <w:r w:rsidR="003B50ED" w:rsidRPr="00F16251">
        <w:rPr>
          <w:rFonts w:cstheme="minorHAnsi"/>
        </w:rPr>
        <w:t xml:space="preserve"> </w:t>
      </w:r>
      <w:r w:rsidRPr="00F16251">
        <w:rPr>
          <w:rFonts w:cstheme="minorHAnsi"/>
        </w:rPr>
        <w:t>podmiotów).</w:t>
      </w:r>
      <w:r w:rsidR="003B50ED" w:rsidRPr="00F16251">
        <w:rPr>
          <w:rFonts w:cstheme="minorHAnsi"/>
        </w:rPr>
        <w:t xml:space="preserve"> </w:t>
      </w:r>
    </w:p>
    <w:p w14:paraId="188505E4" w14:textId="77777777" w:rsidR="00396A11" w:rsidRDefault="00990CC1" w:rsidP="00A26C26">
      <w:pPr>
        <w:spacing w:line="276" w:lineRule="auto"/>
        <w:ind w:firstLine="284"/>
        <w:jc w:val="both"/>
        <w:rPr>
          <w:rFonts w:cstheme="minorHAnsi"/>
        </w:rPr>
      </w:pPr>
      <w:r w:rsidRPr="00F16251">
        <w:rPr>
          <w:rFonts w:cstheme="minorHAnsi"/>
        </w:rPr>
        <w:t>Zgodnie</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zapisami</w:t>
      </w:r>
      <w:r w:rsidR="003B50ED" w:rsidRPr="00F16251">
        <w:rPr>
          <w:rFonts w:cstheme="minorHAnsi"/>
        </w:rPr>
        <w:t xml:space="preserve"> </w:t>
      </w:r>
      <w:r w:rsidR="0004602C" w:rsidRPr="00F16251">
        <w:rPr>
          <w:rFonts w:cstheme="minorHAnsi"/>
        </w:rPr>
        <w:t>LSR</w:t>
      </w:r>
      <w:r w:rsidRPr="00F16251">
        <w:rPr>
          <w:rFonts w:cstheme="minorHAnsi"/>
        </w:rPr>
        <w:t>,</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założonym</w:t>
      </w:r>
      <w:r w:rsidR="003B50ED" w:rsidRPr="00F16251">
        <w:rPr>
          <w:rFonts w:cstheme="minorHAnsi"/>
        </w:rPr>
        <w:t xml:space="preserve"> </w:t>
      </w:r>
      <w:r w:rsidR="0004602C" w:rsidRPr="00F16251">
        <w:rPr>
          <w:rFonts w:cstheme="minorHAnsi"/>
        </w:rPr>
        <w:t>P</w:t>
      </w:r>
      <w:r w:rsidRPr="00F16251">
        <w:rPr>
          <w:rFonts w:cstheme="minorHAnsi"/>
        </w:rPr>
        <w:t>lanie</w:t>
      </w:r>
      <w:r w:rsidR="003B50ED" w:rsidRPr="00F16251">
        <w:rPr>
          <w:rFonts w:cstheme="minorHAnsi"/>
        </w:rPr>
        <w:t xml:space="preserve"> </w:t>
      </w:r>
      <w:r w:rsidRPr="00F16251">
        <w:rPr>
          <w:rFonts w:cstheme="minorHAnsi"/>
        </w:rPr>
        <w:t>komunikacji,</w:t>
      </w:r>
      <w:r w:rsidR="003B50ED" w:rsidRPr="00F16251">
        <w:rPr>
          <w:rFonts w:cstheme="minorHAnsi"/>
        </w:rPr>
        <w:t xml:space="preserve"> </w:t>
      </w:r>
      <w:r w:rsidRPr="00F16251">
        <w:rPr>
          <w:rFonts w:cstheme="minorHAnsi"/>
        </w:rPr>
        <w:t>bezpośrednio</w:t>
      </w:r>
      <w:r w:rsidR="003B50ED" w:rsidRPr="00F16251">
        <w:rPr>
          <w:rFonts w:cstheme="minorHAnsi"/>
        </w:rPr>
        <w:t xml:space="preserve"> </w:t>
      </w:r>
      <w:r w:rsidRPr="00F16251">
        <w:rPr>
          <w:rFonts w:cstheme="minorHAnsi"/>
        </w:rPr>
        <w:t>po</w:t>
      </w:r>
      <w:r w:rsidR="003B50ED" w:rsidRPr="00F16251">
        <w:rPr>
          <w:rFonts w:cstheme="minorHAnsi"/>
        </w:rPr>
        <w:t xml:space="preserve"> </w:t>
      </w:r>
      <w:r w:rsidRPr="00F16251">
        <w:rPr>
          <w:rFonts w:cstheme="minorHAnsi"/>
        </w:rPr>
        <w:t>świadczonej</w:t>
      </w:r>
      <w:r w:rsidR="003B50ED" w:rsidRPr="00F16251">
        <w:rPr>
          <w:rFonts w:cstheme="minorHAnsi"/>
        </w:rPr>
        <w:t xml:space="preserve"> </w:t>
      </w:r>
      <w:r w:rsidRPr="00F16251">
        <w:rPr>
          <w:rFonts w:cstheme="minorHAnsi"/>
        </w:rPr>
        <w:t>usłudze</w:t>
      </w:r>
      <w:r w:rsidR="003B50ED" w:rsidRPr="00F16251">
        <w:rPr>
          <w:rFonts w:cstheme="minorHAnsi"/>
        </w:rPr>
        <w:t xml:space="preserve"> </w:t>
      </w:r>
      <w:r w:rsidRPr="00F16251">
        <w:rPr>
          <w:rFonts w:cstheme="minorHAnsi"/>
        </w:rPr>
        <w:t>doradczej</w:t>
      </w:r>
      <w:r w:rsidR="003B50ED" w:rsidRPr="00F16251">
        <w:rPr>
          <w:rFonts w:cstheme="minorHAnsi"/>
        </w:rPr>
        <w:t xml:space="preserve"> </w:t>
      </w:r>
      <w:r w:rsidRPr="00F16251">
        <w:rPr>
          <w:rFonts w:cstheme="minorHAnsi"/>
        </w:rPr>
        <w:t>prowadzone</w:t>
      </w:r>
      <w:r w:rsidR="003B50ED" w:rsidRPr="00F16251">
        <w:rPr>
          <w:rFonts w:cstheme="minorHAnsi"/>
        </w:rPr>
        <w:t xml:space="preserve"> </w:t>
      </w:r>
      <w:r w:rsidRPr="00F16251">
        <w:rPr>
          <w:rFonts w:cstheme="minorHAnsi"/>
        </w:rPr>
        <w:t>są</w:t>
      </w:r>
      <w:r w:rsidR="003B50ED" w:rsidRPr="00F16251">
        <w:rPr>
          <w:rFonts w:cstheme="minorHAnsi"/>
        </w:rPr>
        <w:t xml:space="preserve"> </w:t>
      </w:r>
      <w:r w:rsidRPr="00F16251">
        <w:rPr>
          <w:rFonts w:cstheme="minorHAnsi"/>
        </w:rPr>
        <w:t>badania</w:t>
      </w:r>
      <w:r w:rsidR="003B50ED" w:rsidRPr="00F16251">
        <w:rPr>
          <w:rFonts w:cstheme="minorHAnsi"/>
        </w:rPr>
        <w:t xml:space="preserve"> </w:t>
      </w:r>
      <w:r w:rsidRPr="00F16251">
        <w:rPr>
          <w:rFonts w:cstheme="minorHAnsi"/>
        </w:rPr>
        <w:t>satysfakcji.</w:t>
      </w:r>
      <w:r w:rsidR="003B50ED" w:rsidRPr="00F16251">
        <w:rPr>
          <w:rFonts w:cstheme="minorHAnsi"/>
        </w:rPr>
        <w:t xml:space="preserve"> </w:t>
      </w:r>
      <w:r w:rsidRPr="00F16251">
        <w:rPr>
          <w:rFonts w:cstheme="minorHAnsi"/>
        </w:rPr>
        <w:t>Wyniki</w:t>
      </w:r>
      <w:r w:rsidR="003B50ED" w:rsidRPr="00F16251">
        <w:rPr>
          <w:rFonts w:cstheme="minorHAnsi"/>
        </w:rPr>
        <w:t xml:space="preserve"> </w:t>
      </w:r>
      <w:r w:rsidRPr="00F16251">
        <w:rPr>
          <w:rFonts w:cstheme="minorHAnsi"/>
        </w:rPr>
        <w:t>satysfakcji</w:t>
      </w:r>
      <w:r w:rsidR="003B50ED" w:rsidRPr="00F16251">
        <w:rPr>
          <w:rFonts w:cstheme="minorHAnsi"/>
        </w:rPr>
        <w:t xml:space="preserve"> </w:t>
      </w:r>
      <w:r w:rsidRPr="00F16251">
        <w:rPr>
          <w:rFonts w:cstheme="minorHAnsi"/>
        </w:rPr>
        <w:t>są</w:t>
      </w:r>
      <w:r w:rsidR="003B50ED" w:rsidRPr="00F16251">
        <w:rPr>
          <w:rFonts w:cstheme="minorHAnsi"/>
        </w:rPr>
        <w:t xml:space="preserve"> </w:t>
      </w:r>
      <w:r w:rsidRPr="00F16251">
        <w:rPr>
          <w:rFonts w:cstheme="minorHAnsi"/>
        </w:rPr>
        <w:t>bardzo</w:t>
      </w:r>
      <w:r w:rsidR="003B50ED" w:rsidRPr="00F16251">
        <w:rPr>
          <w:rFonts w:cstheme="minorHAnsi"/>
        </w:rPr>
        <w:t xml:space="preserve"> </w:t>
      </w:r>
      <w:r w:rsidRPr="00F16251">
        <w:rPr>
          <w:rFonts w:cstheme="minorHAnsi"/>
        </w:rPr>
        <w:t>wysokie.</w:t>
      </w:r>
      <w:r w:rsidR="003B50ED" w:rsidRPr="00F16251">
        <w:rPr>
          <w:rFonts w:cstheme="minorHAnsi"/>
        </w:rPr>
        <w:t xml:space="preserve"> </w:t>
      </w:r>
    </w:p>
    <w:p w14:paraId="56D2D752" w14:textId="0CC2640D" w:rsidR="00990CC1" w:rsidRPr="00F16251" w:rsidRDefault="00990CC1" w:rsidP="00A26C26">
      <w:pPr>
        <w:spacing w:line="276" w:lineRule="auto"/>
        <w:ind w:firstLine="284"/>
        <w:jc w:val="both"/>
        <w:rPr>
          <w:rFonts w:cstheme="minorHAnsi"/>
        </w:rPr>
      </w:pPr>
      <w:r w:rsidRPr="00F16251">
        <w:rPr>
          <w:rFonts w:cstheme="minorHAnsi"/>
        </w:rPr>
        <w:t>Wskaźniki</w:t>
      </w:r>
      <w:r w:rsidR="003B50ED" w:rsidRPr="00F16251">
        <w:rPr>
          <w:rFonts w:cstheme="minorHAnsi"/>
        </w:rPr>
        <w:t xml:space="preserve"> </w:t>
      </w:r>
      <w:r w:rsidRPr="00F16251">
        <w:rPr>
          <w:rFonts w:cstheme="minorHAnsi"/>
        </w:rPr>
        <w:t>usług</w:t>
      </w:r>
      <w:r w:rsidR="003B50ED" w:rsidRPr="00F16251">
        <w:rPr>
          <w:rFonts w:cstheme="minorHAnsi"/>
        </w:rPr>
        <w:t xml:space="preserve"> </w:t>
      </w:r>
      <w:r w:rsidRPr="00F16251">
        <w:rPr>
          <w:rFonts w:cstheme="minorHAnsi"/>
        </w:rPr>
        <w:t>doradczych</w:t>
      </w:r>
      <w:r w:rsidR="003B50ED" w:rsidRPr="00F16251">
        <w:rPr>
          <w:rFonts w:cstheme="minorHAnsi"/>
        </w:rPr>
        <w:t xml:space="preserve"> </w:t>
      </w:r>
      <w:r w:rsidRPr="00F16251">
        <w:rPr>
          <w:rFonts w:cstheme="minorHAnsi"/>
        </w:rPr>
        <w:t>oceniane</w:t>
      </w:r>
      <w:r w:rsidR="003B50ED" w:rsidRPr="00F16251">
        <w:rPr>
          <w:rFonts w:cstheme="minorHAnsi"/>
        </w:rPr>
        <w:t xml:space="preserve"> </w:t>
      </w:r>
      <w:r w:rsidRPr="00F16251">
        <w:rPr>
          <w:rFonts w:cstheme="minorHAnsi"/>
        </w:rPr>
        <w:t>są</w:t>
      </w:r>
      <w:r w:rsidR="003B50ED" w:rsidRPr="00F16251">
        <w:rPr>
          <w:rFonts w:cstheme="minorHAnsi"/>
        </w:rPr>
        <w:t xml:space="preserve"> </w:t>
      </w:r>
      <w:r w:rsidRPr="00F16251">
        <w:rPr>
          <w:rFonts w:cstheme="minorHAnsi"/>
        </w:rPr>
        <w:t>jako:</w:t>
      </w:r>
      <w:r w:rsidR="003B50ED" w:rsidRPr="00F16251">
        <w:rPr>
          <w:rFonts w:cstheme="minorHAnsi"/>
        </w:rPr>
        <w:t xml:space="preserve"> </w:t>
      </w:r>
      <w:r w:rsidRPr="00F16251">
        <w:rPr>
          <w:rFonts w:cstheme="minorHAnsi"/>
        </w:rPr>
        <w:t>bardzo</w:t>
      </w:r>
      <w:r w:rsidR="003B50ED" w:rsidRPr="00F16251">
        <w:rPr>
          <w:rFonts w:cstheme="minorHAnsi"/>
        </w:rPr>
        <w:t xml:space="preserve"> </w:t>
      </w:r>
      <w:r w:rsidRPr="00F16251">
        <w:rPr>
          <w:rFonts w:cstheme="minorHAnsi"/>
        </w:rPr>
        <w:t>dobre.</w:t>
      </w:r>
      <w:r w:rsidR="003B50ED" w:rsidRPr="00F16251">
        <w:rPr>
          <w:rFonts w:cstheme="minorHAnsi"/>
        </w:rPr>
        <w:t xml:space="preserve"> </w:t>
      </w:r>
      <w:r w:rsidRPr="00F16251">
        <w:rPr>
          <w:rFonts w:cstheme="minorHAnsi"/>
        </w:rPr>
        <w:t>Badani</w:t>
      </w:r>
      <w:r w:rsidR="003B50ED" w:rsidRPr="00F16251">
        <w:rPr>
          <w:rFonts w:cstheme="minorHAnsi"/>
        </w:rPr>
        <w:t xml:space="preserve"> </w:t>
      </w:r>
      <w:r w:rsidRPr="00F16251">
        <w:rPr>
          <w:rFonts w:cstheme="minorHAnsi"/>
        </w:rPr>
        <w:t>wskazują,</w:t>
      </w:r>
      <w:r w:rsidR="003B50ED" w:rsidRPr="00F16251">
        <w:rPr>
          <w:rFonts w:cstheme="minorHAnsi"/>
        </w:rPr>
        <w:t xml:space="preserve"> </w:t>
      </w:r>
      <w:r w:rsidRPr="00F16251">
        <w:rPr>
          <w:rFonts w:cstheme="minorHAnsi"/>
        </w:rPr>
        <w:t>że</w:t>
      </w:r>
      <w:r w:rsidR="003B50ED" w:rsidRPr="00F16251">
        <w:rPr>
          <w:rFonts w:cstheme="minorHAnsi"/>
        </w:rPr>
        <w:t xml:space="preserve"> </w:t>
      </w:r>
      <w:r w:rsidRPr="00F16251">
        <w:rPr>
          <w:rFonts w:cstheme="minorHAnsi"/>
        </w:rPr>
        <w:t>treści</w:t>
      </w:r>
      <w:r w:rsidR="003B50ED" w:rsidRPr="00F16251">
        <w:rPr>
          <w:rFonts w:cstheme="minorHAnsi"/>
        </w:rPr>
        <w:t xml:space="preserve"> </w:t>
      </w:r>
      <w:r w:rsidRPr="00F16251">
        <w:rPr>
          <w:rFonts w:cstheme="minorHAnsi"/>
        </w:rPr>
        <w:t>przekazywane</w:t>
      </w:r>
      <w:r w:rsidR="003B50ED" w:rsidRPr="00F16251">
        <w:rPr>
          <w:rFonts w:cstheme="minorHAnsi"/>
        </w:rPr>
        <w:t xml:space="preserve"> </w:t>
      </w:r>
      <w:r w:rsidRPr="00F16251">
        <w:rPr>
          <w:rFonts w:cstheme="minorHAnsi"/>
        </w:rPr>
        <w:t>są</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prosty,</w:t>
      </w:r>
      <w:r w:rsidR="003B50ED" w:rsidRPr="00F16251">
        <w:rPr>
          <w:rFonts w:cstheme="minorHAnsi"/>
        </w:rPr>
        <w:t xml:space="preserve"> </w:t>
      </w:r>
      <w:r w:rsidRPr="00F16251">
        <w:rPr>
          <w:rFonts w:cstheme="minorHAnsi"/>
        </w:rPr>
        <w:t>przejrzysty</w:t>
      </w:r>
      <w:r w:rsidR="003B50ED" w:rsidRPr="00F16251">
        <w:rPr>
          <w:rFonts w:cstheme="minorHAnsi"/>
        </w:rPr>
        <w:t xml:space="preserve"> </w:t>
      </w:r>
      <w:r w:rsidRPr="00F16251">
        <w:rPr>
          <w:rFonts w:cstheme="minorHAnsi"/>
        </w:rPr>
        <w:t>oraz</w:t>
      </w:r>
      <w:r w:rsidR="003B50ED" w:rsidRPr="00F16251">
        <w:rPr>
          <w:rFonts w:cstheme="minorHAnsi"/>
        </w:rPr>
        <w:t xml:space="preserve"> </w:t>
      </w:r>
      <w:r w:rsidRPr="00F16251">
        <w:rPr>
          <w:rFonts w:cstheme="minorHAnsi"/>
        </w:rPr>
        <w:t>rzeczowy</w:t>
      </w:r>
      <w:r w:rsidR="003B50ED" w:rsidRPr="00F16251">
        <w:rPr>
          <w:rFonts w:cstheme="minorHAnsi"/>
        </w:rPr>
        <w:t xml:space="preserve"> </w:t>
      </w:r>
      <w:r w:rsidRPr="00F16251">
        <w:rPr>
          <w:rFonts w:cstheme="minorHAnsi"/>
        </w:rPr>
        <w:t>sposób.</w:t>
      </w:r>
      <w:r w:rsidR="003B50ED" w:rsidRPr="00F16251">
        <w:rPr>
          <w:rFonts w:cstheme="minorHAnsi"/>
        </w:rPr>
        <w:t xml:space="preserve"> </w:t>
      </w:r>
      <w:r w:rsidRPr="00F16251">
        <w:rPr>
          <w:rFonts w:cstheme="minorHAnsi"/>
        </w:rPr>
        <w:t>Przydatność</w:t>
      </w:r>
      <w:r w:rsidR="003B50ED" w:rsidRPr="00F16251">
        <w:rPr>
          <w:rFonts w:cstheme="minorHAnsi"/>
        </w:rPr>
        <w:t xml:space="preserve"> </w:t>
      </w:r>
      <w:r w:rsidRPr="00F16251">
        <w:rPr>
          <w:rFonts w:cstheme="minorHAnsi"/>
        </w:rPr>
        <w:t>pozyskanych</w:t>
      </w:r>
      <w:r w:rsidR="003B50ED" w:rsidRPr="00F16251">
        <w:rPr>
          <w:rFonts w:cstheme="minorHAnsi"/>
        </w:rPr>
        <w:t xml:space="preserve"> </w:t>
      </w:r>
      <w:r w:rsidRPr="00F16251">
        <w:rPr>
          <w:rFonts w:cstheme="minorHAnsi"/>
        </w:rPr>
        <w:t>informacji</w:t>
      </w:r>
      <w:r w:rsidR="003B50ED" w:rsidRPr="00F16251">
        <w:rPr>
          <w:rFonts w:cstheme="minorHAnsi"/>
        </w:rPr>
        <w:t xml:space="preserve"> </w:t>
      </w:r>
      <w:r w:rsidRPr="00F16251">
        <w:rPr>
          <w:rFonts w:cstheme="minorHAnsi"/>
        </w:rPr>
        <w:t>przez</w:t>
      </w:r>
      <w:r w:rsidR="003B50ED" w:rsidRPr="00F16251">
        <w:rPr>
          <w:rFonts w:cstheme="minorHAnsi"/>
        </w:rPr>
        <w:t xml:space="preserve"> </w:t>
      </w:r>
      <w:r w:rsidRPr="00F16251">
        <w:rPr>
          <w:rFonts w:cstheme="minorHAnsi"/>
        </w:rPr>
        <w:t>wnioskodawców</w:t>
      </w:r>
      <w:r w:rsidR="003B50ED" w:rsidRPr="00F16251">
        <w:rPr>
          <w:rFonts w:cstheme="minorHAnsi"/>
        </w:rPr>
        <w:t xml:space="preserve"> </w:t>
      </w:r>
      <w:r w:rsidRPr="00F16251">
        <w:rPr>
          <w:rFonts w:cstheme="minorHAnsi"/>
        </w:rPr>
        <w:t>uzyskało</w:t>
      </w:r>
      <w:r w:rsidR="003B50ED" w:rsidRPr="00F16251">
        <w:rPr>
          <w:rFonts w:cstheme="minorHAnsi"/>
        </w:rPr>
        <w:t xml:space="preserve"> </w:t>
      </w:r>
      <w:r w:rsidRPr="00F16251">
        <w:rPr>
          <w:rFonts w:cstheme="minorHAnsi"/>
        </w:rPr>
        <w:t>najwyższe</w:t>
      </w:r>
      <w:r w:rsidR="003B50ED" w:rsidRPr="00F16251">
        <w:rPr>
          <w:rFonts w:cstheme="minorHAnsi"/>
        </w:rPr>
        <w:t xml:space="preserve"> </w:t>
      </w:r>
      <w:r w:rsidRPr="00F16251">
        <w:rPr>
          <w:rFonts w:cstheme="minorHAnsi"/>
        </w:rPr>
        <w:t>oceny.</w:t>
      </w:r>
      <w:r w:rsidR="003B50ED" w:rsidRPr="00F16251">
        <w:rPr>
          <w:rFonts w:cstheme="minorHAnsi"/>
        </w:rPr>
        <w:t xml:space="preserve"> </w:t>
      </w:r>
      <w:r w:rsidRPr="00F16251">
        <w:rPr>
          <w:rFonts w:cstheme="minorHAnsi"/>
        </w:rPr>
        <w:t>Jak</w:t>
      </w:r>
      <w:r w:rsidR="003B50ED" w:rsidRPr="00F16251">
        <w:rPr>
          <w:rFonts w:cstheme="minorHAnsi"/>
        </w:rPr>
        <w:t xml:space="preserve"> </w:t>
      </w:r>
      <w:r w:rsidRPr="00F16251">
        <w:rPr>
          <w:rFonts w:cstheme="minorHAnsi"/>
        </w:rPr>
        <w:t>również</w:t>
      </w:r>
      <w:r w:rsidR="003B50ED" w:rsidRPr="00F16251">
        <w:rPr>
          <w:rFonts w:cstheme="minorHAnsi"/>
        </w:rPr>
        <w:t xml:space="preserve"> </w:t>
      </w:r>
      <w:r w:rsidRPr="00F16251">
        <w:rPr>
          <w:rFonts w:cstheme="minorHAnsi"/>
        </w:rPr>
        <w:t>ocena</w:t>
      </w:r>
      <w:r w:rsidR="003B50ED" w:rsidRPr="00F16251">
        <w:rPr>
          <w:rFonts w:cstheme="minorHAnsi"/>
        </w:rPr>
        <w:t xml:space="preserve"> </w:t>
      </w:r>
      <w:r w:rsidRPr="00F16251">
        <w:rPr>
          <w:rFonts w:cstheme="minorHAnsi"/>
        </w:rPr>
        <w:t>udzielonego</w:t>
      </w:r>
      <w:r w:rsidR="003B50ED" w:rsidRPr="00F16251">
        <w:rPr>
          <w:rFonts w:cstheme="minorHAnsi"/>
        </w:rPr>
        <w:t xml:space="preserve"> </w:t>
      </w:r>
      <w:r w:rsidRPr="00F16251">
        <w:rPr>
          <w:rFonts w:cstheme="minorHAnsi"/>
        </w:rPr>
        <w:t>doradztwa</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przeważającej</w:t>
      </w:r>
      <w:r w:rsidR="003B50ED" w:rsidRPr="00F16251">
        <w:rPr>
          <w:rFonts w:cstheme="minorHAnsi"/>
        </w:rPr>
        <w:t xml:space="preserve"> </w:t>
      </w:r>
      <w:r w:rsidRPr="00F16251">
        <w:rPr>
          <w:rFonts w:cstheme="minorHAnsi"/>
        </w:rPr>
        <w:t>ilości</w:t>
      </w:r>
      <w:r w:rsidR="003B50ED" w:rsidRPr="00F16251">
        <w:rPr>
          <w:rFonts w:cstheme="minorHAnsi"/>
        </w:rPr>
        <w:t xml:space="preserve"> </w:t>
      </w:r>
      <w:r w:rsidR="001C1B81" w:rsidRPr="00F16251">
        <w:rPr>
          <w:rFonts w:cstheme="minorHAnsi"/>
        </w:rPr>
        <w:t>uzyskała</w:t>
      </w:r>
      <w:r w:rsidR="003B50ED" w:rsidRPr="00F16251">
        <w:rPr>
          <w:rFonts w:cstheme="minorHAnsi"/>
        </w:rPr>
        <w:t xml:space="preserve"> </w:t>
      </w:r>
      <w:r w:rsidRPr="00F16251">
        <w:rPr>
          <w:rFonts w:cstheme="minorHAnsi"/>
        </w:rPr>
        <w:t>ocenę</w:t>
      </w:r>
      <w:r w:rsidR="003B50ED" w:rsidRPr="00F16251">
        <w:rPr>
          <w:rFonts w:cstheme="minorHAnsi"/>
        </w:rPr>
        <w:t xml:space="preserve"> </w:t>
      </w:r>
      <w:r w:rsidRPr="00F16251">
        <w:rPr>
          <w:rFonts w:cstheme="minorHAnsi"/>
        </w:rPr>
        <w:t>bardzo</w:t>
      </w:r>
      <w:r w:rsidR="003B50ED" w:rsidRPr="00F16251">
        <w:rPr>
          <w:rFonts w:cstheme="minorHAnsi"/>
        </w:rPr>
        <w:t xml:space="preserve"> </w:t>
      </w:r>
      <w:r w:rsidRPr="00F16251">
        <w:rPr>
          <w:rFonts w:cstheme="minorHAnsi"/>
        </w:rPr>
        <w:t>dobrą.</w:t>
      </w:r>
    </w:p>
    <w:p w14:paraId="719B582D" w14:textId="6BD0D610" w:rsidR="00990CC1" w:rsidRPr="00F16251" w:rsidRDefault="00990CC1" w:rsidP="00A26C26">
      <w:pPr>
        <w:spacing w:line="276" w:lineRule="auto"/>
        <w:ind w:firstLine="284"/>
        <w:jc w:val="both"/>
        <w:rPr>
          <w:rFonts w:cstheme="minorHAnsi"/>
        </w:rPr>
      </w:pPr>
      <w:r w:rsidRPr="00F16251">
        <w:rPr>
          <w:rFonts w:cstheme="minorHAnsi"/>
        </w:rPr>
        <w:t>Pracownicy</w:t>
      </w:r>
      <w:r w:rsidR="003B50ED" w:rsidRPr="00F16251">
        <w:rPr>
          <w:rFonts w:cstheme="minorHAnsi"/>
        </w:rPr>
        <w:t xml:space="preserve"> </w:t>
      </w:r>
      <w:r w:rsidRPr="00F16251">
        <w:rPr>
          <w:rFonts w:cstheme="minorHAnsi"/>
        </w:rPr>
        <w:t>Biura</w:t>
      </w:r>
      <w:r w:rsidR="003B50ED" w:rsidRPr="00F16251">
        <w:rPr>
          <w:rFonts w:cstheme="minorHAnsi"/>
        </w:rPr>
        <w:t xml:space="preserve"> </w:t>
      </w:r>
      <w:r w:rsidRPr="00F16251">
        <w:rPr>
          <w:rFonts w:cstheme="minorHAnsi"/>
        </w:rPr>
        <w:t>oraz</w:t>
      </w:r>
      <w:r w:rsidR="003B50ED" w:rsidRPr="00F16251">
        <w:rPr>
          <w:rFonts w:cstheme="minorHAnsi"/>
        </w:rPr>
        <w:t xml:space="preserve"> </w:t>
      </w:r>
      <w:r w:rsidRPr="00F16251">
        <w:rPr>
          <w:rFonts w:cstheme="minorHAnsi"/>
        </w:rPr>
        <w:t>innych</w:t>
      </w:r>
      <w:r w:rsidR="003B50ED" w:rsidRPr="00F16251">
        <w:rPr>
          <w:rFonts w:cstheme="minorHAnsi"/>
        </w:rPr>
        <w:t xml:space="preserve"> </w:t>
      </w:r>
      <w:r w:rsidRPr="00F16251">
        <w:rPr>
          <w:rFonts w:cstheme="minorHAnsi"/>
        </w:rPr>
        <w:t>organów,</w:t>
      </w:r>
      <w:r w:rsidR="003B50ED" w:rsidRPr="00F16251">
        <w:rPr>
          <w:rFonts w:cstheme="minorHAnsi"/>
        </w:rPr>
        <w:t xml:space="preserve"> </w:t>
      </w:r>
      <w:r w:rsidRPr="00F16251">
        <w:rPr>
          <w:rFonts w:cstheme="minorHAnsi"/>
        </w:rPr>
        <w:t>już</w:t>
      </w:r>
      <w:r w:rsidR="003B50ED" w:rsidRPr="00F16251">
        <w:rPr>
          <w:rFonts w:cstheme="minorHAnsi"/>
        </w:rPr>
        <w:t xml:space="preserve"> </w:t>
      </w:r>
      <w:r w:rsidRPr="00F16251">
        <w:rPr>
          <w:rFonts w:cstheme="minorHAnsi"/>
        </w:rPr>
        <w:t>posiadając</w:t>
      </w:r>
      <w:r w:rsidR="003B50ED" w:rsidRPr="00F16251">
        <w:rPr>
          <w:rFonts w:cstheme="minorHAnsi"/>
        </w:rPr>
        <w:t xml:space="preserve"> </w:t>
      </w:r>
      <w:r w:rsidRPr="00F16251">
        <w:rPr>
          <w:rFonts w:cstheme="minorHAnsi"/>
        </w:rPr>
        <w:t>bardzo</w:t>
      </w:r>
      <w:r w:rsidR="003B50ED" w:rsidRPr="00F16251">
        <w:rPr>
          <w:rFonts w:cstheme="minorHAnsi"/>
        </w:rPr>
        <w:t xml:space="preserve"> </w:t>
      </w:r>
      <w:r w:rsidRPr="00F16251">
        <w:rPr>
          <w:rFonts w:cstheme="minorHAnsi"/>
        </w:rPr>
        <w:t>duże</w:t>
      </w:r>
      <w:r w:rsidR="003B50ED" w:rsidRPr="00F16251">
        <w:rPr>
          <w:rFonts w:cstheme="minorHAnsi"/>
        </w:rPr>
        <w:t xml:space="preserve"> </w:t>
      </w:r>
      <w:r w:rsidRPr="00F16251">
        <w:rPr>
          <w:rFonts w:cstheme="minorHAnsi"/>
        </w:rPr>
        <w:t>doświadczenie</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temacie</w:t>
      </w:r>
      <w:r w:rsidR="003B50ED" w:rsidRPr="00F16251">
        <w:rPr>
          <w:rFonts w:cstheme="minorHAnsi"/>
        </w:rPr>
        <w:t xml:space="preserve"> </w:t>
      </w:r>
      <w:r w:rsidRPr="00F16251">
        <w:rPr>
          <w:rFonts w:cstheme="minorHAnsi"/>
        </w:rPr>
        <w:t>pracy</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wdrażania</w:t>
      </w:r>
      <w:r w:rsidR="003B50ED" w:rsidRPr="00F16251">
        <w:rPr>
          <w:rFonts w:cstheme="minorHAnsi"/>
        </w:rPr>
        <w:t xml:space="preserve"> </w:t>
      </w:r>
      <w:r w:rsidRPr="00F16251">
        <w:rPr>
          <w:rFonts w:cstheme="minorHAnsi"/>
        </w:rPr>
        <w:t>wszelkich</w:t>
      </w:r>
      <w:r w:rsidR="003B50ED" w:rsidRPr="00F16251">
        <w:rPr>
          <w:rFonts w:cstheme="minorHAnsi"/>
        </w:rPr>
        <w:t xml:space="preserve"> </w:t>
      </w:r>
      <w:r w:rsidRPr="00F16251">
        <w:rPr>
          <w:rFonts w:cstheme="minorHAnsi"/>
        </w:rPr>
        <w:t>programów,</w:t>
      </w:r>
      <w:r w:rsidR="003B50ED" w:rsidRPr="00F16251">
        <w:rPr>
          <w:rFonts w:cstheme="minorHAnsi"/>
        </w:rPr>
        <w:t xml:space="preserve"> </w:t>
      </w:r>
      <w:r w:rsidRPr="00F16251">
        <w:rPr>
          <w:rFonts w:cstheme="minorHAnsi"/>
        </w:rPr>
        <w:t>stale</w:t>
      </w:r>
      <w:r w:rsidR="003B50ED" w:rsidRPr="00F16251">
        <w:rPr>
          <w:rFonts w:cstheme="minorHAnsi"/>
        </w:rPr>
        <w:t xml:space="preserve"> </w:t>
      </w:r>
      <w:r w:rsidRPr="00F16251">
        <w:rPr>
          <w:rFonts w:cstheme="minorHAnsi"/>
        </w:rPr>
        <w:t>podnoszą</w:t>
      </w:r>
      <w:r w:rsidR="003B50ED" w:rsidRPr="00F16251">
        <w:rPr>
          <w:rFonts w:cstheme="minorHAnsi"/>
        </w:rPr>
        <w:t xml:space="preserve"> </w:t>
      </w:r>
      <w:r w:rsidRPr="00F16251">
        <w:rPr>
          <w:rFonts w:cstheme="minorHAnsi"/>
        </w:rPr>
        <w:t>swoje</w:t>
      </w:r>
      <w:r w:rsidR="003B50ED" w:rsidRPr="00F16251">
        <w:rPr>
          <w:rFonts w:cstheme="minorHAnsi"/>
        </w:rPr>
        <w:t xml:space="preserve"> </w:t>
      </w:r>
      <w:r w:rsidRPr="00F16251">
        <w:rPr>
          <w:rFonts w:cstheme="minorHAnsi"/>
        </w:rPr>
        <w:t>kwalifikacje</w:t>
      </w:r>
      <w:r w:rsidR="003B50ED" w:rsidRPr="00F16251">
        <w:rPr>
          <w:rFonts w:cstheme="minorHAnsi"/>
        </w:rPr>
        <w:t xml:space="preserve"> </w:t>
      </w:r>
      <w:r w:rsidRPr="00F16251">
        <w:rPr>
          <w:rFonts w:cstheme="minorHAnsi"/>
        </w:rPr>
        <w:t>uczestnicząc</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wielu</w:t>
      </w:r>
      <w:r w:rsidR="003B50ED" w:rsidRPr="00F16251">
        <w:rPr>
          <w:rFonts w:cstheme="minorHAnsi"/>
        </w:rPr>
        <w:t xml:space="preserve"> </w:t>
      </w:r>
      <w:r w:rsidRPr="00F16251">
        <w:rPr>
          <w:rFonts w:cstheme="minorHAnsi"/>
        </w:rPr>
        <w:t>szkoleniach.</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latach</w:t>
      </w:r>
      <w:r w:rsidR="003B50ED" w:rsidRPr="00F16251">
        <w:rPr>
          <w:rFonts w:cstheme="minorHAnsi"/>
        </w:rPr>
        <w:t xml:space="preserve"> </w:t>
      </w:r>
      <w:r w:rsidRPr="00F16251">
        <w:rPr>
          <w:rFonts w:cstheme="minorHAnsi"/>
        </w:rPr>
        <w:t>2016-2021</w:t>
      </w:r>
      <w:r w:rsidR="003B50ED" w:rsidRPr="00F16251">
        <w:rPr>
          <w:rFonts w:cstheme="minorHAnsi"/>
        </w:rPr>
        <w:t xml:space="preserve"> </w:t>
      </w:r>
      <w:r w:rsidRPr="00F16251">
        <w:rPr>
          <w:rFonts w:cstheme="minorHAnsi"/>
        </w:rPr>
        <w:t>zorganizowano</w:t>
      </w:r>
      <w:r w:rsidR="003B50ED" w:rsidRPr="00F16251">
        <w:rPr>
          <w:rFonts w:cstheme="minorHAnsi"/>
        </w:rPr>
        <w:t xml:space="preserve"> </w:t>
      </w:r>
      <w:r w:rsidRPr="00F16251">
        <w:rPr>
          <w:rFonts w:cstheme="minorHAnsi"/>
        </w:rPr>
        <w:t>6</w:t>
      </w:r>
      <w:r w:rsidR="003B50ED" w:rsidRPr="00F16251">
        <w:rPr>
          <w:rFonts w:cstheme="minorHAnsi"/>
        </w:rPr>
        <w:t xml:space="preserve"> </w:t>
      </w:r>
      <w:r w:rsidRPr="00F16251">
        <w:rPr>
          <w:rFonts w:cstheme="minorHAnsi"/>
        </w:rPr>
        <w:t>szkoleń</w:t>
      </w:r>
      <w:r w:rsidR="003B50ED" w:rsidRPr="00F16251">
        <w:rPr>
          <w:rFonts w:cstheme="minorHAnsi"/>
        </w:rPr>
        <w:t xml:space="preserve"> </w:t>
      </w:r>
      <w:r w:rsidRPr="00F16251">
        <w:rPr>
          <w:rFonts w:cstheme="minorHAnsi"/>
        </w:rPr>
        <w:t>dla</w:t>
      </w:r>
      <w:r w:rsidR="003B50ED" w:rsidRPr="00F16251">
        <w:rPr>
          <w:rFonts w:cstheme="minorHAnsi"/>
        </w:rPr>
        <w:t xml:space="preserve"> </w:t>
      </w:r>
      <w:r w:rsidRPr="00F16251">
        <w:rPr>
          <w:rFonts w:cstheme="minorHAnsi"/>
        </w:rPr>
        <w:t>organów</w:t>
      </w:r>
      <w:r w:rsidR="003B50ED" w:rsidRPr="00F16251">
        <w:rPr>
          <w:rFonts w:cstheme="minorHAnsi"/>
        </w:rPr>
        <w:t xml:space="preserve"> </w:t>
      </w:r>
      <w:r w:rsidRPr="00F16251">
        <w:rPr>
          <w:rFonts w:cstheme="minorHAnsi"/>
        </w:rPr>
        <w:t>oraz</w:t>
      </w:r>
      <w:r w:rsidR="003B50ED" w:rsidRPr="00F16251">
        <w:rPr>
          <w:rFonts w:cstheme="minorHAnsi"/>
        </w:rPr>
        <w:t xml:space="preserve"> </w:t>
      </w:r>
      <w:r w:rsidRPr="00F16251">
        <w:rPr>
          <w:rFonts w:cstheme="minorHAnsi"/>
        </w:rPr>
        <w:t>pracowników</w:t>
      </w:r>
      <w:r w:rsidR="003B50ED" w:rsidRPr="00F16251">
        <w:rPr>
          <w:rFonts w:cstheme="minorHAnsi"/>
        </w:rPr>
        <w:t xml:space="preserve"> </w:t>
      </w:r>
      <w:r w:rsidR="0004602C" w:rsidRPr="00F16251">
        <w:rPr>
          <w:rFonts w:cstheme="minorHAnsi"/>
        </w:rPr>
        <w:t xml:space="preserve">Biura </w:t>
      </w:r>
      <w:r w:rsidRPr="00F16251">
        <w:rPr>
          <w:rFonts w:cstheme="minorHAnsi"/>
        </w:rPr>
        <w:t>LGD,</w:t>
      </w:r>
      <w:r w:rsidR="003B50ED" w:rsidRPr="00F16251">
        <w:rPr>
          <w:rFonts w:cstheme="minorHAnsi"/>
        </w:rPr>
        <w:t xml:space="preserve"> </w:t>
      </w:r>
      <w:r w:rsidRPr="00F16251">
        <w:rPr>
          <w:rFonts w:cstheme="minorHAnsi"/>
        </w:rPr>
        <w:t>co</w:t>
      </w:r>
      <w:r w:rsidR="003B50ED" w:rsidRPr="00F16251">
        <w:rPr>
          <w:rFonts w:cstheme="minorHAnsi"/>
        </w:rPr>
        <w:t xml:space="preserve"> </w:t>
      </w:r>
      <w:r w:rsidRPr="00F16251">
        <w:rPr>
          <w:rFonts w:cstheme="minorHAnsi"/>
        </w:rPr>
        <w:t>przełożyło</w:t>
      </w:r>
      <w:r w:rsidR="003B50ED" w:rsidRPr="00F16251">
        <w:rPr>
          <w:rFonts w:cstheme="minorHAnsi"/>
        </w:rPr>
        <w:t xml:space="preserve"> </w:t>
      </w:r>
      <w:r w:rsidRPr="00F16251">
        <w:rPr>
          <w:rFonts w:cstheme="minorHAnsi"/>
        </w:rPr>
        <w:t>się</w:t>
      </w:r>
      <w:r w:rsidR="003B50ED" w:rsidRPr="00F16251">
        <w:rPr>
          <w:rFonts w:cstheme="minorHAnsi"/>
        </w:rPr>
        <w:t xml:space="preserve"> </w:t>
      </w:r>
      <w:r w:rsidRPr="00F16251">
        <w:rPr>
          <w:rFonts w:cstheme="minorHAnsi"/>
        </w:rPr>
        <w:t>na</w:t>
      </w:r>
      <w:r w:rsidR="003B50ED" w:rsidRPr="00F16251">
        <w:rPr>
          <w:rFonts w:cstheme="minorHAnsi"/>
        </w:rPr>
        <w:t xml:space="preserve"> </w:t>
      </w:r>
      <w:r w:rsidR="001C1B81" w:rsidRPr="00F16251">
        <w:rPr>
          <w:rFonts w:cstheme="minorHAnsi"/>
        </w:rPr>
        <w:t>6</w:t>
      </w:r>
      <w:r w:rsidR="003B50ED" w:rsidRPr="00F16251">
        <w:rPr>
          <w:rFonts w:cstheme="minorHAnsi"/>
        </w:rPr>
        <w:t xml:space="preserve"> </w:t>
      </w:r>
      <w:r w:rsidRPr="00F16251">
        <w:rPr>
          <w:rFonts w:cstheme="minorHAnsi"/>
        </w:rPr>
        <w:t>osobodni.</w:t>
      </w:r>
      <w:r w:rsidR="003B50ED" w:rsidRPr="00F16251">
        <w:rPr>
          <w:rFonts w:cstheme="minorHAnsi"/>
        </w:rPr>
        <w:t xml:space="preserve"> </w:t>
      </w:r>
      <w:r w:rsidRPr="00F16251">
        <w:rPr>
          <w:rFonts w:cstheme="minorHAnsi"/>
        </w:rPr>
        <w:t>Szkolenia</w:t>
      </w:r>
      <w:r w:rsidR="003B50ED" w:rsidRPr="00F16251">
        <w:rPr>
          <w:rFonts w:cstheme="minorHAnsi"/>
        </w:rPr>
        <w:t xml:space="preserve"> </w:t>
      </w:r>
      <w:r w:rsidRPr="00F16251">
        <w:rPr>
          <w:rFonts w:cstheme="minorHAnsi"/>
        </w:rPr>
        <w:t>kierowane</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wewnątrz</w:t>
      </w:r>
      <w:r w:rsidR="003B50ED" w:rsidRPr="00F16251">
        <w:rPr>
          <w:rFonts w:cstheme="minorHAnsi"/>
        </w:rPr>
        <w:t xml:space="preserve"> </w:t>
      </w:r>
      <w:r w:rsidRPr="00F16251">
        <w:rPr>
          <w:rFonts w:cstheme="minorHAnsi"/>
        </w:rPr>
        <w:t>organizacji</w:t>
      </w:r>
      <w:r w:rsidR="003B50ED" w:rsidRPr="00F16251">
        <w:rPr>
          <w:rFonts w:cstheme="minorHAnsi"/>
        </w:rPr>
        <w:t xml:space="preserve"> </w:t>
      </w:r>
      <w:r w:rsidRPr="00F16251">
        <w:rPr>
          <w:rFonts w:cstheme="minorHAnsi"/>
        </w:rPr>
        <w:t>pozwalały</w:t>
      </w:r>
      <w:r w:rsidR="003B50ED" w:rsidRPr="00F16251">
        <w:rPr>
          <w:rFonts w:cstheme="minorHAnsi"/>
        </w:rPr>
        <w:t xml:space="preserve"> </w:t>
      </w:r>
      <w:r w:rsidRPr="00F16251">
        <w:rPr>
          <w:rFonts w:cstheme="minorHAnsi"/>
        </w:rPr>
        <w:t>pracownikom</w:t>
      </w:r>
      <w:r w:rsidR="003B50ED" w:rsidRPr="00F16251">
        <w:rPr>
          <w:rFonts w:cstheme="minorHAnsi"/>
        </w:rPr>
        <w:t xml:space="preserve"> </w:t>
      </w:r>
      <w:r w:rsidRPr="00F16251">
        <w:rPr>
          <w:rFonts w:cstheme="minorHAnsi"/>
        </w:rPr>
        <w:t>biura,</w:t>
      </w:r>
      <w:r w:rsidR="003B50ED" w:rsidRPr="00F16251">
        <w:rPr>
          <w:rFonts w:cstheme="minorHAnsi"/>
        </w:rPr>
        <w:t xml:space="preserve"> </w:t>
      </w:r>
      <w:r w:rsidRPr="00F16251">
        <w:rPr>
          <w:rFonts w:cstheme="minorHAnsi"/>
        </w:rPr>
        <w:t>członkom</w:t>
      </w:r>
      <w:r w:rsidR="003B50ED" w:rsidRPr="00F16251">
        <w:rPr>
          <w:rFonts w:cstheme="minorHAnsi"/>
        </w:rPr>
        <w:t xml:space="preserve"> </w:t>
      </w:r>
      <w:r w:rsidRPr="00F16251">
        <w:rPr>
          <w:rFonts w:cstheme="minorHAnsi"/>
        </w:rPr>
        <w:t>Rady</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członkom</w:t>
      </w:r>
      <w:r w:rsidR="003B50ED" w:rsidRPr="00F16251">
        <w:rPr>
          <w:rFonts w:cstheme="minorHAnsi"/>
        </w:rPr>
        <w:t xml:space="preserve"> </w:t>
      </w:r>
      <w:r w:rsidRPr="00F16251">
        <w:rPr>
          <w:rFonts w:cstheme="minorHAnsi"/>
        </w:rPr>
        <w:t>Zarządu</w:t>
      </w:r>
      <w:r w:rsidR="003B50ED" w:rsidRPr="00F16251">
        <w:rPr>
          <w:rFonts w:cstheme="minorHAnsi"/>
        </w:rPr>
        <w:t xml:space="preserve"> </w:t>
      </w:r>
      <w:r w:rsidRPr="00F16251">
        <w:rPr>
          <w:rFonts w:cstheme="minorHAnsi"/>
        </w:rPr>
        <w:t>sprawniej</w:t>
      </w:r>
      <w:r w:rsidR="003B50ED" w:rsidRPr="00F16251">
        <w:rPr>
          <w:rFonts w:cstheme="minorHAnsi"/>
        </w:rPr>
        <w:t xml:space="preserve"> </w:t>
      </w:r>
      <w:r w:rsidRPr="00F16251">
        <w:rPr>
          <w:rFonts w:cstheme="minorHAnsi"/>
        </w:rPr>
        <w:t>wykonywać</w:t>
      </w:r>
      <w:r w:rsidR="003B50ED" w:rsidRPr="00F16251">
        <w:rPr>
          <w:rFonts w:cstheme="minorHAnsi"/>
        </w:rPr>
        <w:t xml:space="preserve"> </w:t>
      </w:r>
      <w:r w:rsidRPr="00F16251">
        <w:rPr>
          <w:rFonts w:cstheme="minorHAnsi"/>
        </w:rPr>
        <w:t>swoje</w:t>
      </w:r>
      <w:r w:rsidR="003B50ED" w:rsidRPr="00F16251">
        <w:rPr>
          <w:rFonts w:cstheme="minorHAnsi"/>
        </w:rPr>
        <w:t xml:space="preserve"> </w:t>
      </w:r>
      <w:r w:rsidRPr="00F16251">
        <w:rPr>
          <w:rFonts w:cstheme="minorHAnsi"/>
        </w:rPr>
        <w:t>zadania.</w:t>
      </w:r>
      <w:r w:rsidR="003B50ED" w:rsidRPr="00F16251">
        <w:rPr>
          <w:rFonts w:cstheme="minorHAnsi"/>
        </w:rPr>
        <w:t xml:space="preserve"> </w:t>
      </w:r>
      <w:r w:rsidRPr="00F16251">
        <w:rPr>
          <w:rFonts w:cstheme="minorHAnsi"/>
        </w:rPr>
        <w:t>Szkolenia</w:t>
      </w:r>
      <w:r w:rsidR="003B50ED" w:rsidRPr="00F16251">
        <w:rPr>
          <w:rFonts w:cstheme="minorHAnsi"/>
        </w:rPr>
        <w:t xml:space="preserve"> </w:t>
      </w:r>
      <w:r w:rsidRPr="00F16251">
        <w:rPr>
          <w:rFonts w:cstheme="minorHAnsi"/>
        </w:rPr>
        <w:t>dotyczyły</w:t>
      </w:r>
      <w:r w:rsidR="003B50ED" w:rsidRPr="00F16251">
        <w:rPr>
          <w:rFonts w:cstheme="minorHAnsi"/>
        </w:rPr>
        <w:t xml:space="preserve"> </w:t>
      </w:r>
      <w:r w:rsidRPr="00F16251">
        <w:rPr>
          <w:rFonts w:cstheme="minorHAnsi"/>
        </w:rPr>
        <w:t>wdrażania</w:t>
      </w:r>
      <w:r w:rsidR="003B50ED" w:rsidRPr="00F16251">
        <w:rPr>
          <w:rFonts w:cstheme="minorHAnsi"/>
        </w:rPr>
        <w:t xml:space="preserve"> </w:t>
      </w:r>
      <w:r w:rsidRPr="00F16251">
        <w:rPr>
          <w:rFonts w:cstheme="minorHAnsi"/>
        </w:rPr>
        <w:t>LSR,</w:t>
      </w:r>
      <w:r w:rsidR="003B50ED" w:rsidRPr="00F16251">
        <w:rPr>
          <w:rFonts w:cstheme="minorHAnsi"/>
        </w:rPr>
        <w:t xml:space="preserve"> </w:t>
      </w:r>
      <w:r w:rsidRPr="00F16251">
        <w:rPr>
          <w:rFonts w:cstheme="minorHAnsi"/>
        </w:rPr>
        <w:t>zasad</w:t>
      </w:r>
      <w:r w:rsidR="003B50ED" w:rsidRPr="00F16251">
        <w:rPr>
          <w:rFonts w:cstheme="minorHAnsi"/>
        </w:rPr>
        <w:t xml:space="preserve"> </w:t>
      </w:r>
      <w:r w:rsidRPr="00F16251">
        <w:rPr>
          <w:rFonts w:cstheme="minorHAnsi"/>
        </w:rPr>
        <w:t>przyznawania</w:t>
      </w:r>
      <w:r w:rsidR="003B50ED" w:rsidRPr="00F16251">
        <w:rPr>
          <w:rFonts w:cstheme="minorHAnsi"/>
        </w:rPr>
        <w:t xml:space="preserve"> </w:t>
      </w:r>
      <w:r w:rsidRPr="00F16251">
        <w:rPr>
          <w:rFonts w:cstheme="minorHAnsi"/>
        </w:rPr>
        <w:t>dofinansowania,</w:t>
      </w:r>
      <w:r w:rsidR="003B50ED" w:rsidRPr="00F16251">
        <w:rPr>
          <w:rFonts w:cstheme="minorHAnsi"/>
        </w:rPr>
        <w:t xml:space="preserve"> </w:t>
      </w:r>
      <w:r w:rsidRPr="00F16251">
        <w:rPr>
          <w:rFonts w:cstheme="minorHAnsi"/>
        </w:rPr>
        <w:t>najważniejszych</w:t>
      </w:r>
      <w:r w:rsidR="003B50ED" w:rsidRPr="00F16251">
        <w:rPr>
          <w:rFonts w:cstheme="minorHAnsi"/>
        </w:rPr>
        <w:t xml:space="preserve"> </w:t>
      </w:r>
      <w:r w:rsidRPr="00F16251">
        <w:rPr>
          <w:rFonts w:cstheme="minorHAnsi"/>
        </w:rPr>
        <w:t>aspektów</w:t>
      </w:r>
      <w:r w:rsidR="003B50ED" w:rsidRPr="00F16251">
        <w:rPr>
          <w:rFonts w:cstheme="minorHAnsi"/>
        </w:rPr>
        <w:t xml:space="preserve"> </w:t>
      </w:r>
      <w:r w:rsidRPr="00F16251">
        <w:rPr>
          <w:rFonts w:cstheme="minorHAnsi"/>
        </w:rPr>
        <w:t>realizacji</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rozliczania</w:t>
      </w:r>
      <w:r w:rsidR="003B50ED" w:rsidRPr="00F16251">
        <w:rPr>
          <w:rFonts w:cstheme="minorHAnsi"/>
        </w:rPr>
        <w:t xml:space="preserve"> </w:t>
      </w:r>
      <w:r w:rsidRPr="00F16251">
        <w:rPr>
          <w:rFonts w:cstheme="minorHAnsi"/>
        </w:rPr>
        <w:t>projektów</w:t>
      </w:r>
      <w:r w:rsidR="003B50ED" w:rsidRPr="00F16251">
        <w:rPr>
          <w:rFonts w:cstheme="minorHAnsi"/>
        </w:rPr>
        <w:t xml:space="preserve"> </w:t>
      </w:r>
      <w:r w:rsidRPr="00F16251">
        <w:rPr>
          <w:rFonts w:cstheme="minorHAnsi"/>
        </w:rPr>
        <w:t>podejścia</w:t>
      </w:r>
      <w:r w:rsidR="003B50ED" w:rsidRPr="00F16251">
        <w:rPr>
          <w:rFonts w:cstheme="minorHAnsi"/>
        </w:rPr>
        <w:t xml:space="preserve"> </w:t>
      </w:r>
      <w:r w:rsidRPr="00F16251">
        <w:rPr>
          <w:rFonts w:cstheme="minorHAnsi"/>
        </w:rPr>
        <w:t>Leader</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okresie</w:t>
      </w:r>
      <w:r w:rsidR="003B50ED" w:rsidRPr="00F16251">
        <w:rPr>
          <w:rFonts w:cstheme="minorHAnsi"/>
        </w:rPr>
        <w:t xml:space="preserve"> </w:t>
      </w:r>
      <w:r w:rsidRPr="00F16251">
        <w:rPr>
          <w:rFonts w:cstheme="minorHAnsi"/>
        </w:rPr>
        <w:t>programowania</w:t>
      </w:r>
      <w:r w:rsidR="003B50ED" w:rsidRPr="00F16251">
        <w:rPr>
          <w:rFonts w:cstheme="minorHAnsi"/>
        </w:rPr>
        <w:t xml:space="preserve"> </w:t>
      </w:r>
      <w:r w:rsidRPr="00F16251">
        <w:rPr>
          <w:rFonts w:cstheme="minorHAnsi"/>
        </w:rPr>
        <w:t>2014-2020,</w:t>
      </w:r>
      <w:r w:rsidR="003B50ED" w:rsidRPr="00F16251">
        <w:rPr>
          <w:rFonts w:cstheme="minorHAnsi"/>
        </w:rPr>
        <w:t xml:space="preserve"> </w:t>
      </w:r>
      <w:r w:rsidRPr="00F16251">
        <w:rPr>
          <w:rFonts w:cstheme="minorHAnsi"/>
        </w:rPr>
        <w:t>zasad</w:t>
      </w:r>
      <w:r w:rsidR="003B50ED" w:rsidRPr="00F16251">
        <w:rPr>
          <w:rFonts w:cstheme="minorHAnsi"/>
        </w:rPr>
        <w:t xml:space="preserve"> </w:t>
      </w:r>
      <w:r w:rsidRPr="00F16251">
        <w:rPr>
          <w:rFonts w:cstheme="minorHAnsi"/>
        </w:rPr>
        <w:t>monitoringu,</w:t>
      </w:r>
      <w:r w:rsidR="003B50ED" w:rsidRPr="00F16251">
        <w:rPr>
          <w:rFonts w:cstheme="minorHAnsi"/>
        </w:rPr>
        <w:t xml:space="preserve"> </w:t>
      </w:r>
      <w:r w:rsidRPr="00F16251">
        <w:rPr>
          <w:rFonts w:cstheme="minorHAnsi"/>
        </w:rPr>
        <w:t>ewaluacji</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sprawozdawczości</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realizacji</w:t>
      </w:r>
      <w:r w:rsidR="003B50ED" w:rsidRPr="00F16251">
        <w:rPr>
          <w:rFonts w:cstheme="minorHAnsi"/>
        </w:rPr>
        <w:t xml:space="preserve"> </w:t>
      </w:r>
      <w:r w:rsidRPr="00F16251">
        <w:rPr>
          <w:rFonts w:cstheme="minorHAnsi"/>
        </w:rPr>
        <w:t>LSR,</w:t>
      </w:r>
      <w:r w:rsidR="003B50ED" w:rsidRPr="00F16251">
        <w:rPr>
          <w:rFonts w:cstheme="minorHAnsi"/>
        </w:rPr>
        <w:t xml:space="preserve"> </w:t>
      </w:r>
      <w:r w:rsidRPr="00F16251">
        <w:rPr>
          <w:rFonts w:cstheme="minorHAnsi"/>
        </w:rPr>
        <w:t>stanu</w:t>
      </w:r>
      <w:r w:rsidR="003B50ED" w:rsidRPr="00F16251">
        <w:rPr>
          <w:rFonts w:cstheme="minorHAnsi"/>
        </w:rPr>
        <w:t xml:space="preserve"> </w:t>
      </w:r>
      <w:r w:rsidRPr="00F16251">
        <w:rPr>
          <w:rFonts w:cstheme="minorHAnsi"/>
        </w:rPr>
        <w:t>realizacji</w:t>
      </w:r>
      <w:r w:rsidR="003B50ED" w:rsidRPr="00F16251">
        <w:rPr>
          <w:rFonts w:cstheme="minorHAnsi"/>
        </w:rPr>
        <w:t xml:space="preserve"> </w:t>
      </w:r>
      <w:r w:rsidRPr="00F16251">
        <w:rPr>
          <w:rFonts w:cstheme="minorHAnsi"/>
        </w:rPr>
        <w:t>wskaźników</w:t>
      </w:r>
      <w:r w:rsidR="003B50ED" w:rsidRPr="00F16251">
        <w:rPr>
          <w:rFonts w:cstheme="minorHAnsi"/>
        </w:rPr>
        <w:t xml:space="preserve"> </w:t>
      </w:r>
      <w:r w:rsidRPr="00F16251">
        <w:rPr>
          <w:rFonts w:cstheme="minorHAnsi"/>
        </w:rPr>
        <w:t>określonych</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LSR.</w:t>
      </w:r>
      <w:r w:rsidR="003B50ED" w:rsidRPr="00F16251">
        <w:rPr>
          <w:rFonts w:cstheme="minorHAnsi"/>
        </w:rPr>
        <w:t xml:space="preserve"> </w:t>
      </w:r>
    </w:p>
    <w:p w14:paraId="6F92AC0F" w14:textId="475A00BE" w:rsidR="00990CC1" w:rsidRPr="00F16251" w:rsidRDefault="00990CC1" w:rsidP="00A26C26">
      <w:pPr>
        <w:spacing w:line="276" w:lineRule="auto"/>
        <w:ind w:firstLine="284"/>
        <w:jc w:val="both"/>
        <w:rPr>
          <w:rFonts w:cstheme="minorHAnsi"/>
        </w:rPr>
      </w:pPr>
      <w:r w:rsidRPr="00F16251">
        <w:rPr>
          <w:rFonts w:cstheme="minorHAnsi"/>
        </w:rPr>
        <w:t>Biuro</w:t>
      </w:r>
      <w:r w:rsidR="003B50ED" w:rsidRPr="00F16251">
        <w:rPr>
          <w:rFonts w:cstheme="minorHAnsi"/>
        </w:rPr>
        <w:t xml:space="preserve"> </w:t>
      </w:r>
      <w:r w:rsidRPr="00F16251">
        <w:rPr>
          <w:rFonts w:cstheme="minorHAnsi"/>
        </w:rPr>
        <w:t>nie</w:t>
      </w:r>
      <w:r w:rsidR="003B50ED" w:rsidRPr="00F16251">
        <w:rPr>
          <w:rFonts w:cstheme="minorHAnsi"/>
        </w:rPr>
        <w:t xml:space="preserve"> </w:t>
      </w:r>
      <w:r w:rsidRPr="00F16251">
        <w:rPr>
          <w:rFonts w:cstheme="minorHAnsi"/>
        </w:rPr>
        <w:t>ma</w:t>
      </w:r>
      <w:r w:rsidR="003B50ED" w:rsidRPr="00F16251">
        <w:rPr>
          <w:rFonts w:cstheme="minorHAnsi"/>
        </w:rPr>
        <w:t xml:space="preserve"> </w:t>
      </w:r>
      <w:r w:rsidRPr="00F16251">
        <w:rPr>
          <w:rFonts w:cstheme="minorHAnsi"/>
        </w:rPr>
        <w:t>statusu</w:t>
      </w:r>
      <w:r w:rsidR="003B50ED" w:rsidRPr="00F16251">
        <w:rPr>
          <w:rFonts w:cstheme="minorHAnsi"/>
        </w:rPr>
        <w:t xml:space="preserve"> </w:t>
      </w:r>
      <w:r w:rsidRPr="00F16251">
        <w:rPr>
          <w:rFonts w:cstheme="minorHAnsi"/>
        </w:rPr>
        <w:t>organu</w:t>
      </w:r>
      <w:r w:rsidR="003B50ED" w:rsidRPr="00F16251">
        <w:rPr>
          <w:rFonts w:cstheme="minorHAnsi"/>
        </w:rPr>
        <w:t xml:space="preserve"> </w:t>
      </w:r>
      <w:r w:rsidRPr="00F16251">
        <w:rPr>
          <w:rFonts w:cstheme="minorHAnsi"/>
        </w:rPr>
        <w:t>Stowarzyszenia,</w:t>
      </w:r>
      <w:r w:rsidR="003B50ED" w:rsidRPr="00F16251">
        <w:rPr>
          <w:rFonts w:cstheme="minorHAnsi"/>
        </w:rPr>
        <w:t xml:space="preserve"> </w:t>
      </w:r>
      <w:r w:rsidRPr="00F16251">
        <w:rPr>
          <w:rFonts w:cstheme="minorHAnsi"/>
        </w:rPr>
        <w:t>ale</w:t>
      </w:r>
      <w:r w:rsidR="003B50ED" w:rsidRPr="00F16251">
        <w:rPr>
          <w:rFonts w:cstheme="minorHAnsi"/>
        </w:rPr>
        <w:t xml:space="preserve"> </w:t>
      </w:r>
      <w:r w:rsidRPr="00F16251">
        <w:rPr>
          <w:rFonts w:cstheme="minorHAnsi"/>
        </w:rPr>
        <w:t>pełni</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nim</w:t>
      </w:r>
      <w:r w:rsidR="003B50ED" w:rsidRPr="00F16251">
        <w:rPr>
          <w:rFonts w:cstheme="minorHAnsi"/>
        </w:rPr>
        <w:t xml:space="preserve"> </w:t>
      </w:r>
      <w:r w:rsidRPr="00F16251">
        <w:rPr>
          <w:rFonts w:cstheme="minorHAnsi"/>
        </w:rPr>
        <w:t>kluczową</w:t>
      </w:r>
      <w:r w:rsidR="003B50ED" w:rsidRPr="00F16251">
        <w:rPr>
          <w:rFonts w:cstheme="minorHAnsi"/>
        </w:rPr>
        <w:t xml:space="preserve"> </w:t>
      </w:r>
      <w:r w:rsidRPr="00F16251">
        <w:rPr>
          <w:rFonts w:cstheme="minorHAnsi"/>
        </w:rPr>
        <w:t>rolę.</w:t>
      </w:r>
      <w:r w:rsidR="003B50ED" w:rsidRPr="00F16251">
        <w:rPr>
          <w:rFonts w:cstheme="minorHAnsi"/>
        </w:rPr>
        <w:t xml:space="preserve"> </w:t>
      </w:r>
      <w:r w:rsidRPr="00F16251">
        <w:rPr>
          <w:rFonts w:cstheme="minorHAnsi"/>
        </w:rPr>
        <w:t>Skupia</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sobie</w:t>
      </w:r>
      <w:r w:rsidR="003B50ED" w:rsidRPr="00F16251">
        <w:rPr>
          <w:rFonts w:cstheme="minorHAnsi"/>
        </w:rPr>
        <w:t xml:space="preserve"> </w:t>
      </w:r>
      <w:r w:rsidRPr="00F16251">
        <w:rPr>
          <w:rFonts w:cstheme="minorHAnsi"/>
        </w:rPr>
        <w:t>większość</w:t>
      </w:r>
      <w:r w:rsidR="003B50ED" w:rsidRPr="00F16251">
        <w:rPr>
          <w:rFonts w:cstheme="minorHAnsi"/>
        </w:rPr>
        <w:t xml:space="preserve"> </w:t>
      </w:r>
      <w:r w:rsidRPr="00F16251">
        <w:rPr>
          <w:rFonts w:cstheme="minorHAnsi"/>
        </w:rPr>
        <w:t>działań</w:t>
      </w:r>
      <w:r w:rsidR="003B50ED" w:rsidRPr="00F16251">
        <w:rPr>
          <w:rFonts w:cstheme="minorHAnsi"/>
        </w:rPr>
        <w:t xml:space="preserve"> </w:t>
      </w:r>
      <w:r w:rsidRPr="00F16251">
        <w:rPr>
          <w:rFonts w:cstheme="minorHAnsi"/>
        </w:rPr>
        <w:t>ukierunkowanych</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realizację</w:t>
      </w:r>
      <w:r w:rsidR="003B50ED" w:rsidRPr="00F16251">
        <w:rPr>
          <w:rFonts w:cstheme="minorHAnsi"/>
        </w:rPr>
        <w:t xml:space="preserve"> </w:t>
      </w:r>
      <w:r w:rsidRPr="00F16251">
        <w:rPr>
          <w:rFonts w:cstheme="minorHAnsi"/>
        </w:rPr>
        <w:t>strategii</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praktyce</w:t>
      </w:r>
      <w:r w:rsidR="003B50ED" w:rsidRPr="00F16251">
        <w:rPr>
          <w:rFonts w:cstheme="minorHAnsi"/>
        </w:rPr>
        <w:t xml:space="preserve"> </w:t>
      </w:r>
      <w:r w:rsidRPr="00F16251">
        <w:rPr>
          <w:rFonts w:cstheme="minorHAnsi"/>
        </w:rPr>
        <w:t>te</w:t>
      </w:r>
      <w:r w:rsidR="003B50ED" w:rsidRPr="00F16251">
        <w:rPr>
          <w:rFonts w:cstheme="minorHAnsi"/>
        </w:rPr>
        <w:t xml:space="preserve"> </w:t>
      </w:r>
      <w:r w:rsidRPr="00F16251">
        <w:rPr>
          <w:rFonts w:cstheme="minorHAnsi"/>
        </w:rPr>
        <w:t>działania</w:t>
      </w:r>
      <w:r w:rsidR="003B50ED" w:rsidRPr="00F16251">
        <w:rPr>
          <w:rFonts w:cstheme="minorHAnsi"/>
        </w:rPr>
        <w:t xml:space="preserve"> </w:t>
      </w:r>
      <w:r w:rsidRPr="00F16251">
        <w:rPr>
          <w:rFonts w:cstheme="minorHAnsi"/>
        </w:rPr>
        <w:t>wykonuje.</w:t>
      </w:r>
      <w:r w:rsidR="003B50ED" w:rsidRPr="00F16251">
        <w:rPr>
          <w:rFonts w:cstheme="minorHAnsi"/>
        </w:rPr>
        <w:t xml:space="preserve"> </w:t>
      </w:r>
      <w:r w:rsidRPr="00F16251">
        <w:rPr>
          <w:rFonts w:cstheme="minorHAnsi"/>
        </w:rPr>
        <w:t>Ogłasza</w:t>
      </w:r>
      <w:r w:rsidR="003B50ED" w:rsidRPr="00F16251">
        <w:rPr>
          <w:rFonts w:cstheme="minorHAnsi"/>
        </w:rPr>
        <w:t xml:space="preserve"> </w:t>
      </w:r>
      <w:r w:rsidRPr="00F16251">
        <w:rPr>
          <w:rFonts w:cstheme="minorHAnsi"/>
        </w:rPr>
        <w:t>nabory,</w:t>
      </w:r>
      <w:r w:rsidR="003B50ED" w:rsidRPr="00F16251">
        <w:rPr>
          <w:rFonts w:cstheme="minorHAnsi"/>
        </w:rPr>
        <w:t xml:space="preserve"> </w:t>
      </w:r>
      <w:r w:rsidRPr="00F16251">
        <w:rPr>
          <w:rFonts w:cstheme="minorHAnsi"/>
        </w:rPr>
        <w:t>prowadzi</w:t>
      </w:r>
      <w:r w:rsidR="003B50ED" w:rsidRPr="00F16251">
        <w:rPr>
          <w:rFonts w:cstheme="minorHAnsi"/>
        </w:rPr>
        <w:t xml:space="preserve"> </w:t>
      </w:r>
      <w:r w:rsidRPr="00F16251">
        <w:rPr>
          <w:rFonts w:cstheme="minorHAnsi"/>
        </w:rPr>
        <w:t>szkolenia</w:t>
      </w:r>
      <w:r w:rsidR="003B50ED" w:rsidRPr="00F16251">
        <w:rPr>
          <w:rFonts w:cstheme="minorHAnsi"/>
        </w:rPr>
        <w:t xml:space="preserve"> </w:t>
      </w:r>
      <w:r w:rsidR="00C410C9" w:rsidRPr="00F16251">
        <w:rPr>
          <w:rFonts w:cstheme="minorHAnsi"/>
        </w:rPr>
        <w:br/>
      </w:r>
      <w:r w:rsidRPr="00F16251">
        <w:rPr>
          <w:rFonts w:cstheme="minorHAnsi"/>
        </w:rPr>
        <w:t>i</w:t>
      </w:r>
      <w:r w:rsidR="003B50ED" w:rsidRPr="00F16251">
        <w:rPr>
          <w:rFonts w:cstheme="minorHAnsi"/>
        </w:rPr>
        <w:t xml:space="preserve"> </w:t>
      </w:r>
      <w:r w:rsidRPr="00F16251">
        <w:rPr>
          <w:rFonts w:cstheme="minorHAnsi"/>
        </w:rPr>
        <w:t>doradztwo,</w:t>
      </w:r>
      <w:r w:rsidR="003B50ED" w:rsidRPr="00F16251">
        <w:rPr>
          <w:rFonts w:cstheme="minorHAnsi"/>
        </w:rPr>
        <w:t xml:space="preserve"> </w:t>
      </w:r>
      <w:r w:rsidRPr="00F16251">
        <w:rPr>
          <w:rFonts w:cstheme="minorHAnsi"/>
        </w:rPr>
        <w:t>przyjmuje</w:t>
      </w:r>
      <w:r w:rsidR="003B50ED" w:rsidRPr="00F16251">
        <w:rPr>
          <w:rFonts w:cstheme="minorHAnsi"/>
        </w:rPr>
        <w:t xml:space="preserve"> </w:t>
      </w:r>
      <w:r w:rsidRPr="00F16251">
        <w:rPr>
          <w:rFonts w:cstheme="minorHAnsi"/>
        </w:rPr>
        <w:t>weryfikuje</w:t>
      </w:r>
      <w:r w:rsidR="003B50ED" w:rsidRPr="00F16251">
        <w:rPr>
          <w:rFonts w:cstheme="minorHAnsi"/>
        </w:rPr>
        <w:t xml:space="preserve"> </w:t>
      </w:r>
      <w:r w:rsidRPr="00F16251">
        <w:rPr>
          <w:rFonts w:cstheme="minorHAnsi"/>
        </w:rPr>
        <w:t>wnioski,</w:t>
      </w:r>
      <w:r w:rsidR="003B50ED" w:rsidRPr="00F16251">
        <w:rPr>
          <w:rFonts w:cstheme="minorHAnsi"/>
        </w:rPr>
        <w:t xml:space="preserve"> </w:t>
      </w:r>
      <w:r w:rsidRPr="00F16251">
        <w:rPr>
          <w:rFonts w:cstheme="minorHAnsi"/>
        </w:rPr>
        <w:t>wspomaga</w:t>
      </w:r>
      <w:r w:rsidR="003B50ED" w:rsidRPr="00F16251">
        <w:rPr>
          <w:rFonts w:cstheme="minorHAnsi"/>
        </w:rPr>
        <w:t xml:space="preserve"> </w:t>
      </w:r>
      <w:r w:rsidRPr="00F16251">
        <w:rPr>
          <w:rFonts w:cstheme="minorHAnsi"/>
        </w:rPr>
        <w:t>Radę</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ocenie,</w:t>
      </w:r>
      <w:r w:rsidR="003B50ED" w:rsidRPr="00F16251">
        <w:rPr>
          <w:rFonts w:cstheme="minorHAnsi"/>
        </w:rPr>
        <w:t xml:space="preserve"> </w:t>
      </w:r>
      <w:r w:rsidRPr="00F16251">
        <w:rPr>
          <w:rFonts w:cstheme="minorHAnsi"/>
        </w:rPr>
        <w:t>przygotowuje</w:t>
      </w:r>
      <w:r w:rsidR="003B50ED" w:rsidRPr="00F16251">
        <w:rPr>
          <w:rFonts w:cstheme="minorHAnsi"/>
        </w:rPr>
        <w:t xml:space="preserve"> </w:t>
      </w:r>
      <w:r w:rsidRPr="00F16251">
        <w:rPr>
          <w:rFonts w:cstheme="minorHAnsi"/>
        </w:rPr>
        <w:t>dokumentację,</w:t>
      </w:r>
      <w:r w:rsidR="003B50ED" w:rsidRPr="00F16251">
        <w:rPr>
          <w:rFonts w:cstheme="minorHAnsi"/>
        </w:rPr>
        <w:t xml:space="preserve"> </w:t>
      </w:r>
      <w:r w:rsidRPr="00F16251">
        <w:rPr>
          <w:rFonts w:cstheme="minorHAnsi"/>
        </w:rPr>
        <w:t>prowadzi</w:t>
      </w:r>
      <w:r w:rsidR="003B50ED" w:rsidRPr="00F16251">
        <w:rPr>
          <w:rFonts w:cstheme="minorHAnsi"/>
        </w:rPr>
        <w:t xml:space="preserve"> </w:t>
      </w:r>
      <w:r w:rsidRPr="00F16251">
        <w:rPr>
          <w:rFonts w:cstheme="minorHAnsi"/>
        </w:rPr>
        <w:t>projekty</w:t>
      </w:r>
      <w:r w:rsidR="003B50ED" w:rsidRPr="00F16251">
        <w:rPr>
          <w:rFonts w:cstheme="minorHAnsi"/>
        </w:rPr>
        <w:t xml:space="preserve"> </w:t>
      </w:r>
      <w:r w:rsidRPr="00F16251">
        <w:rPr>
          <w:rFonts w:cstheme="minorHAnsi"/>
        </w:rPr>
        <w:t>współpracy,</w:t>
      </w:r>
      <w:r w:rsidR="003B50ED" w:rsidRPr="00F16251">
        <w:rPr>
          <w:rFonts w:cstheme="minorHAnsi"/>
        </w:rPr>
        <w:t xml:space="preserve"> </w:t>
      </w:r>
      <w:r w:rsidRPr="00F16251">
        <w:rPr>
          <w:rFonts w:cstheme="minorHAnsi"/>
        </w:rPr>
        <w:t>plan</w:t>
      </w:r>
      <w:r w:rsidR="003B50ED" w:rsidRPr="00F16251">
        <w:rPr>
          <w:rFonts w:cstheme="minorHAnsi"/>
        </w:rPr>
        <w:t xml:space="preserve"> </w:t>
      </w:r>
      <w:r w:rsidRPr="00F16251">
        <w:rPr>
          <w:rFonts w:cstheme="minorHAnsi"/>
        </w:rPr>
        <w:t>komunikacji,</w:t>
      </w:r>
      <w:r w:rsidR="003B50ED" w:rsidRPr="00F16251">
        <w:rPr>
          <w:rFonts w:cstheme="minorHAnsi"/>
        </w:rPr>
        <w:t xml:space="preserve"> </w:t>
      </w:r>
      <w:r w:rsidRPr="00F16251">
        <w:rPr>
          <w:rFonts w:cstheme="minorHAnsi"/>
        </w:rPr>
        <w:t>promocję</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wiele</w:t>
      </w:r>
      <w:r w:rsidR="003B50ED" w:rsidRPr="00F16251">
        <w:rPr>
          <w:rFonts w:cstheme="minorHAnsi"/>
        </w:rPr>
        <w:t xml:space="preserve"> </w:t>
      </w:r>
      <w:r w:rsidRPr="00F16251">
        <w:rPr>
          <w:rFonts w:cstheme="minorHAnsi"/>
        </w:rPr>
        <w:t>innych.</w:t>
      </w:r>
      <w:r w:rsidR="003B50ED" w:rsidRPr="00F16251">
        <w:rPr>
          <w:rFonts w:cstheme="minorHAnsi"/>
        </w:rPr>
        <w:t xml:space="preserve"> </w:t>
      </w:r>
      <w:r w:rsidRPr="00F16251">
        <w:rPr>
          <w:rFonts w:cstheme="minorHAnsi"/>
        </w:rPr>
        <w:t>Jednocześnie</w:t>
      </w:r>
      <w:r w:rsidR="003B50ED" w:rsidRPr="00F16251">
        <w:rPr>
          <w:rFonts w:cstheme="minorHAnsi"/>
        </w:rPr>
        <w:t xml:space="preserve"> </w:t>
      </w:r>
      <w:r w:rsidRPr="00F16251">
        <w:rPr>
          <w:rFonts w:cstheme="minorHAnsi"/>
        </w:rPr>
        <w:t>oceny</w:t>
      </w:r>
      <w:r w:rsidR="003B50ED" w:rsidRPr="00F16251">
        <w:rPr>
          <w:rFonts w:cstheme="minorHAnsi"/>
        </w:rPr>
        <w:t xml:space="preserve"> </w:t>
      </w:r>
      <w:r w:rsidRPr="00F16251">
        <w:rPr>
          <w:rFonts w:cstheme="minorHAnsi"/>
        </w:rPr>
        <w:t>pracy</w:t>
      </w:r>
      <w:r w:rsidR="003B50ED" w:rsidRPr="00F16251">
        <w:rPr>
          <w:rFonts w:cstheme="minorHAnsi"/>
        </w:rPr>
        <w:t xml:space="preserve"> </w:t>
      </w:r>
      <w:r w:rsidRPr="00F16251">
        <w:rPr>
          <w:rFonts w:cstheme="minorHAnsi"/>
        </w:rPr>
        <w:t>biura</w:t>
      </w:r>
      <w:r w:rsidR="003B50ED" w:rsidRPr="00F16251">
        <w:rPr>
          <w:rFonts w:cstheme="minorHAnsi"/>
        </w:rPr>
        <w:t xml:space="preserve"> </w:t>
      </w:r>
      <w:r w:rsidRPr="00F16251">
        <w:rPr>
          <w:rFonts w:cstheme="minorHAnsi"/>
        </w:rPr>
        <w:t>są</w:t>
      </w:r>
      <w:r w:rsidR="003B50ED" w:rsidRPr="00F16251">
        <w:rPr>
          <w:rFonts w:cstheme="minorHAnsi"/>
        </w:rPr>
        <w:t xml:space="preserve"> </w:t>
      </w:r>
      <w:r w:rsidRPr="00F16251">
        <w:rPr>
          <w:rFonts w:cstheme="minorHAnsi"/>
        </w:rPr>
        <w:t>bardzo</w:t>
      </w:r>
      <w:r w:rsidR="003B50ED" w:rsidRPr="00F16251">
        <w:rPr>
          <w:rFonts w:cstheme="minorHAnsi"/>
        </w:rPr>
        <w:t xml:space="preserve"> </w:t>
      </w:r>
      <w:r w:rsidRPr="00F16251">
        <w:rPr>
          <w:rFonts w:cstheme="minorHAnsi"/>
        </w:rPr>
        <w:t>wysokie,</w:t>
      </w:r>
      <w:r w:rsidR="003B50ED" w:rsidRPr="00F16251">
        <w:rPr>
          <w:rFonts w:cstheme="minorHAnsi"/>
        </w:rPr>
        <w:t xml:space="preserve"> </w:t>
      </w:r>
      <w:r w:rsidRPr="00F16251">
        <w:rPr>
          <w:rFonts w:cstheme="minorHAnsi"/>
        </w:rPr>
        <w:t>zarówno</w:t>
      </w:r>
      <w:r w:rsidR="003B50ED" w:rsidRPr="00F16251">
        <w:rPr>
          <w:rFonts w:cstheme="minorHAnsi"/>
        </w:rPr>
        <w:t xml:space="preserve"> </w:t>
      </w:r>
      <w:r w:rsidRPr="00F16251">
        <w:rPr>
          <w:rFonts w:cstheme="minorHAnsi"/>
        </w:rPr>
        <w:t>wśród</w:t>
      </w:r>
      <w:r w:rsidR="003B50ED" w:rsidRPr="00F16251">
        <w:rPr>
          <w:rFonts w:cstheme="minorHAnsi"/>
        </w:rPr>
        <w:t xml:space="preserve"> </w:t>
      </w:r>
      <w:r w:rsidRPr="00F16251">
        <w:rPr>
          <w:rFonts w:cstheme="minorHAnsi"/>
        </w:rPr>
        <w:t>członków</w:t>
      </w:r>
      <w:r w:rsidR="003B50ED" w:rsidRPr="00F16251">
        <w:rPr>
          <w:rFonts w:cstheme="minorHAnsi"/>
        </w:rPr>
        <w:t xml:space="preserve"> </w:t>
      </w:r>
      <w:r w:rsidR="00F32737" w:rsidRPr="00F16251">
        <w:rPr>
          <w:rFonts w:cstheme="minorHAnsi"/>
        </w:rPr>
        <w:t xml:space="preserve">Stowarzyszenia „Solidarni w Partnerstwie” </w:t>
      </w:r>
      <w:r w:rsidRPr="00F16251">
        <w:rPr>
          <w:rFonts w:cstheme="minorHAnsi"/>
        </w:rPr>
        <w:t>jak</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wnioskodawców.</w:t>
      </w:r>
      <w:r w:rsidR="003B50ED" w:rsidRPr="00F16251">
        <w:rPr>
          <w:rFonts w:cstheme="minorHAnsi"/>
        </w:rPr>
        <w:t xml:space="preserve"> </w:t>
      </w:r>
    </w:p>
    <w:p w14:paraId="68DFA313" w14:textId="4C7E433A" w:rsidR="00990CC1" w:rsidRPr="00F16251" w:rsidRDefault="00990CC1" w:rsidP="00A26C26">
      <w:pPr>
        <w:spacing w:line="276" w:lineRule="auto"/>
        <w:ind w:firstLine="284"/>
        <w:jc w:val="both"/>
        <w:rPr>
          <w:rFonts w:cstheme="minorHAnsi"/>
        </w:rPr>
      </w:pPr>
      <w:r w:rsidRPr="00F16251">
        <w:rPr>
          <w:rFonts w:cstheme="minorHAnsi"/>
        </w:rPr>
        <w:t>Swoje</w:t>
      </w:r>
      <w:r w:rsidR="003B50ED" w:rsidRPr="00F16251">
        <w:rPr>
          <w:rFonts w:cstheme="minorHAnsi"/>
        </w:rPr>
        <w:t xml:space="preserve"> </w:t>
      </w:r>
      <w:r w:rsidRPr="00F16251">
        <w:rPr>
          <w:rFonts w:cstheme="minorHAnsi"/>
        </w:rPr>
        <w:t>doświadczenie</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zdobytą</w:t>
      </w:r>
      <w:r w:rsidR="003B50ED" w:rsidRPr="00F16251">
        <w:rPr>
          <w:rFonts w:cstheme="minorHAnsi"/>
        </w:rPr>
        <w:t xml:space="preserve"> </w:t>
      </w:r>
      <w:r w:rsidRPr="00F16251">
        <w:rPr>
          <w:rFonts w:cstheme="minorHAnsi"/>
        </w:rPr>
        <w:t>wiedzę</w:t>
      </w:r>
      <w:r w:rsidR="003B50ED" w:rsidRPr="00F16251">
        <w:rPr>
          <w:rFonts w:cstheme="minorHAnsi"/>
        </w:rPr>
        <w:t xml:space="preserve"> </w:t>
      </w:r>
      <w:r w:rsidRPr="00F16251">
        <w:rPr>
          <w:rFonts w:cstheme="minorHAnsi"/>
        </w:rPr>
        <w:t>pracownicy</w:t>
      </w:r>
      <w:r w:rsidR="003B50ED" w:rsidRPr="00F16251">
        <w:rPr>
          <w:rFonts w:cstheme="minorHAnsi"/>
        </w:rPr>
        <w:t xml:space="preserve"> </w:t>
      </w:r>
      <w:r w:rsidRPr="00F16251">
        <w:rPr>
          <w:rFonts w:cstheme="minorHAnsi"/>
        </w:rPr>
        <w:t>wykorzystali</w:t>
      </w:r>
      <w:r w:rsidR="003B50ED" w:rsidRPr="00F16251">
        <w:rPr>
          <w:rFonts w:cstheme="minorHAnsi"/>
        </w:rPr>
        <w:t xml:space="preserve"> </w:t>
      </w:r>
      <w:r w:rsidRPr="00F16251">
        <w:rPr>
          <w:rFonts w:cstheme="minorHAnsi"/>
        </w:rPr>
        <w:t>podczas</w:t>
      </w:r>
      <w:r w:rsidR="003B50ED" w:rsidRPr="00F16251">
        <w:rPr>
          <w:rFonts w:cstheme="minorHAnsi"/>
        </w:rPr>
        <w:t xml:space="preserve"> </w:t>
      </w:r>
      <w:r w:rsidRPr="00F16251">
        <w:rPr>
          <w:rFonts w:cstheme="minorHAnsi"/>
        </w:rPr>
        <w:t>prowadzenia</w:t>
      </w:r>
      <w:r w:rsidR="003B50ED" w:rsidRPr="00F16251">
        <w:rPr>
          <w:rFonts w:cstheme="minorHAnsi"/>
        </w:rPr>
        <w:t xml:space="preserve"> </w:t>
      </w:r>
      <w:r w:rsidRPr="00F16251">
        <w:rPr>
          <w:rFonts w:cstheme="minorHAnsi"/>
        </w:rPr>
        <w:t>spotkań</w:t>
      </w:r>
      <w:r w:rsidR="003B50ED" w:rsidRPr="00F16251">
        <w:rPr>
          <w:rFonts w:cstheme="minorHAnsi"/>
        </w:rPr>
        <w:t xml:space="preserve"> </w:t>
      </w:r>
      <w:r w:rsidRPr="00F16251">
        <w:rPr>
          <w:rFonts w:cstheme="minorHAnsi"/>
        </w:rPr>
        <w:t>konsultacyjnych</w:t>
      </w:r>
      <w:r w:rsidR="003B50ED" w:rsidRPr="00F16251">
        <w:rPr>
          <w:rFonts w:cstheme="minorHAnsi"/>
        </w:rPr>
        <w:t xml:space="preserve"> </w:t>
      </w:r>
      <w:r w:rsidR="00C410C9" w:rsidRPr="00F16251">
        <w:rPr>
          <w:rFonts w:cstheme="minorHAnsi"/>
        </w:rPr>
        <w:br/>
      </w:r>
      <w:r w:rsidRPr="00F16251">
        <w:rPr>
          <w:rFonts w:cstheme="minorHAnsi"/>
        </w:rPr>
        <w:t>z</w:t>
      </w:r>
      <w:r w:rsidR="003B50ED" w:rsidRPr="00F16251">
        <w:rPr>
          <w:rFonts w:cstheme="minorHAnsi"/>
        </w:rPr>
        <w:t xml:space="preserve"> </w:t>
      </w:r>
      <w:r w:rsidRPr="00F16251">
        <w:rPr>
          <w:rFonts w:cstheme="minorHAnsi"/>
        </w:rPr>
        <w:t>mieszkańcami</w:t>
      </w:r>
      <w:r w:rsidR="003B50ED" w:rsidRPr="00F16251">
        <w:rPr>
          <w:rFonts w:cstheme="minorHAnsi"/>
        </w:rPr>
        <w:t xml:space="preserve"> </w:t>
      </w:r>
      <w:r w:rsidRPr="00F16251">
        <w:rPr>
          <w:rFonts w:cstheme="minorHAnsi"/>
        </w:rPr>
        <w:t>obszaru</w:t>
      </w:r>
      <w:r w:rsidR="003B50ED" w:rsidRPr="00F16251">
        <w:rPr>
          <w:rFonts w:cstheme="minorHAnsi"/>
        </w:rPr>
        <w:t xml:space="preserve"> </w:t>
      </w:r>
      <w:r w:rsidR="0004602C" w:rsidRPr="00F16251">
        <w:rPr>
          <w:rFonts w:cstheme="minorHAnsi"/>
        </w:rPr>
        <w:t>objętego LSR</w:t>
      </w:r>
      <w:r w:rsidRPr="00F16251">
        <w:rPr>
          <w:rFonts w:cstheme="minorHAnsi"/>
        </w:rPr>
        <w:t>,</w:t>
      </w:r>
      <w:r w:rsidR="003B50ED" w:rsidRPr="00F16251">
        <w:rPr>
          <w:rFonts w:cstheme="minorHAnsi"/>
        </w:rPr>
        <w:t xml:space="preserve"> </w:t>
      </w:r>
      <w:r w:rsidRPr="00F16251">
        <w:rPr>
          <w:rFonts w:cstheme="minorHAnsi"/>
        </w:rPr>
        <w:t>które</w:t>
      </w:r>
      <w:r w:rsidR="003B50ED" w:rsidRPr="00F16251">
        <w:rPr>
          <w:rFonts w:cstheme="minorHAnsi"/>
        </w:rPr>
        <w:t xml:space="preserve"> </w:t>
      </w:r>
      <w:r w:rsidRPr="00F16251">
        <w:rPr>
          <w:rFonts w:cstheme="minorHAnsi"/>
        </w:rPr>
        <w:t>organizowane</w:t>
      </w:r>
      <w:r w:rsidR="003B50ED" w:rsidRPr="00F16251">
        <w:rPr>
          <w:rFonts w:cstheme="minorHAnsi"/>
        </w:rPr>
        <w:t xml:space="preserve"> </w:t>
      </w:r>
      <w:r w:rsidRPr="00F16251">
        <w:rPr>
          <w:rFonts w:cstheme="minorHAnsi"/>
        </w:rPr>
        <w:t>były</w:t>
      </w:r>
      <w:r w:rsidR="003B50ED" w:rsidRPr="00F16251">
        <w:rPr>
          <w:rFonts w:cstheme="minorHAnsi"/>
        </w:rPr>
        <w:t xml:space="preserve"> </w:t>
      </w:r>
      <w:r w:rsidRPr="00F16251">
        <w:rPr>
          <w:rFonts w:cstheme="minorHAnsi"/>
        </w:rPr>
        <w:t>zarówno</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ramach</w:t>
      </w:r>
      <w:r w:rsidR="003B50ED" w:rsidRPr="00F16251">
        <w:rPr>
          <w:rFonts w:cstheme="minorHAnsi"/>
        </w:rPr>
        <w:t xml:space="preserve"> </w:t>
      </w:r>
      <w:r w:rsidRPr="00F16251">
        <w:rPr>
          <w:rFonts w:cstheme="minorHAnsi"/>
        </w:rPr>
        <w:t>realizacji</w:t>
      </w:r>
      <w:r w:rsidR="003B50ED" w:rsidRPr="00F16251">
        <w:rPr>
          <w:rFonts w:cstheme="minorHAnsi"/>
        </w:rPr>
        <w:t xml:space="preserve"> </w:t>
      </w:r>
      <w:r w:rsidRPr="00F16251">
        <w:rPr>
          <w:rFonts w:cstheme="minorHAnsi"/>
        </w:rPr>
        <w:t>planu</w:t>
      </w:r>
      <w:r w:rsidR="003B50ED" w:rsidRPr="00F16251">
        <w:rPr>
          <w:rFonts w:cstheme="minorHAnsi"/>
        </w:rPr>
        <w:t xml:space="preserve"> </w:t>
      </w:r>
      <w:r w:rsidRPr="00F16251">
        <w:rPr>
          <w:rFonts w:cstheme="minorHAnsi"/>
        </w:rPr>
        <w:t>włączenia</w:t>
      </w:r>
      <w:r w:rsidR="003B50ED" w:rsidRPr="00F16251">
        <w:rPr>
          <w:rFonts w:cstheme="minorHAnsi"/>
        </w:rPr>
        <w:t xml:space="preserve"> </w:t>
      </w:r>
      <w:r w:rsidRPr="00F16251">
        <w:rPr>
          <w:rFonts w:cstheme="minorHAnsi"/>
        </w:rPr>
        <w:t>społeczności</w:t>
      </w:r>
      <w:r w:rsidR="003B50ED" w:rsidRPr="00F16251">
        <w:rPr>
          <w:rFonts w:cstheme="minorHAnsi"/>
        </w:rPr>
        <w:t xml:space="preserve"> </w:t>
      </w:r>
      <w:r w:rsidRPr="00F16251">
        <w:rPr>
          <w:rFonts w:cstheme="minorHAnsi"/>
        </w:rPr>
        <w:t>lokalnej</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trwającej</w:t>
      </w:r>
      <w:r w:rsidR="003B50ED" w:rsidRPr="00F16251">
        <w:rPr>
          <w:rFonts w:cstheme="minorHAnsi"/>
        </w:rPr>
        <w:t xml:space="preserve"> </w:t>
      </w:r>
      <w:r w:rsidRPr="00F16251">
        <w:rPr>
          <w:rFonts w:cstheme="minorHAnsi"/>
        </w:rPr>
        <w:t>perspektywie</w:t>
      </w:r>
      <w:r w:rsidR="003B50ED" w:rsidRPr="00F16251">
        <w:rPr>
          <w:rFonts w:cstheme="minorHAnsi"/>
        </w:rPr>
        <w:t xml:space="preserve"> </w:t>
      </w:r>
      <w:r w:rsidRPr="00F16251">
        <w:rPr>
          <w:rFonts w:cstheme="minorHAnsi"/>
        </w:rPr>
        <w:t>jak</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spotkań</w:t>
      </w:r>
      <w:r w:rsidR="003B50ED" w:rsidRPr="00F16251">
        <w:rPr>
          <w:rFonts w:cstheme="minorHAnsi"/>
        </w:rPr>
        <w:t xml:space="preserve"> </w:t>
      </w:r>
      <w:r w:rsidRPr="00F16251">
        <w:rPr>
          <w:rFonts w:cstheme="minorHAnsi"/>
        </w:rPr>
        <w:t>mających</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celu</w:t>
      </w:r>
      <w:r w:rsidR="003B50ED" w:rsidRPr="00F16251">
        <w:rPr>
          <w:rFonts w:cstheme="minorHAnsi"/>
        </w:rPr>
        <w:t xml:space="preserve"> </w:t>
      </w:r>
      <w:r w:rsidRPr="00F16251">
        <w:rPr>
          <w:rFonts w:cstheme="minorHAnsi"/>
        </w:rPr>
        <w:t>jak</w:t>
      </w:r>
      <w:r w:rsidR="003B50ED" w:rsidRPr="00F16251">
        <w:rPr>
          <w:rFonts w:cstheme="minorHAnsi"/>
        </w:rPr>
        <w:t xml:space="preserve"> </w:t>
      </w:r>
      <w:r w:rsidRPr="00F16251">
        <w:rPr>
          <w:rFonts w:cstheme="minorHAnsi"/>
        </w:rPr>
        <w:t>najlepsze</w:t>
      </w:r>
      <w:r w:rsidR="003B50ED" w:rsidRPr="00F16251">
        <w:rPr>
          <w:rFonts w:cstheme="minorHAnsi"/>
        </w:rPr>
        <w:t xml:space="preserve"> </w:t>
      </w:r>
      <w:r w:rsidRPr="00F16251">
        <w:rPr>
          <w:rFonts w:cstheme="minorHAnsi"/>
        </w:rPr>
        <w:t>opracowanie</w:t>
      </w:r>
      <w:r w:rsidR="003B50ED" w:rsidRPr="00F16251">
        <w:rPr>
          <w:rFonts w:cstheme="minorHAnsi"/>
        </w:rPr>
        <w:t xml:space="preserve"> </w:t>
      </w:r>
      <w:r w:rsidR="00210334" w:rsidRPr="00F16251">
        <w:rPr>
          <w:rFonts w:cstheme="minorHAnsi"/>
        </w:rPr>
        <w:t>LSR</w:t>
      </w:r>
      <w:r w:rsidR="003B50ED" w:rsidRPr="00F16251">
        <w:rPr>
          <w:rFonts w:cstheme="minorHAnsi"/>
        </w:rPr>
        <w:t xml:space="preserve"> </w:t>
      </w:r>
      <w:r w:rsidR="00210334" w:rsidRPr="00F16251">
        <w:rPr>
          <w:rFonts w:cstheme="minorHAnsi"/>
        </w:rPr>
        <w:t>na</w:t>
      </w:r>
      <w:r w:rsidR="003B50ED" w:rsidRPr="00F16251">
        <w:rPr>
          <w:rFonts w:cstheme="minorHAnsi"/>
        </w:rPr>
        <w:t xml:space="preserve"> </w:t>
      </w:r>
      <w:r w:rsidR="00210334" w:rsidRPr="00F16251">
        <w:rPr>
          <w:rFonts w:cstheme="minorHAnsi"/>
        </w:rPr>
        <w:t>lata</w:t>
      </w:r>
      <w:r w:rsidR="003B50ED" w:rsidRPr="00F16251">
        <w:rPr>
          <w:rFonts w:cstheme="minorHAnsi"/>
        </w:rPr>
        <w:t xml:space="preserve"> </w:t>
      </w:r>
      <w:r w:rsidR="00210334" w:rsidRPr="00F16251">
        <w:rPr>
          <w:rFonts w:cstheme="minorHAnsi"/>
        </w:rPr>
        <w:t>2023-2027</w:t>
      </w:r>
      <w:r w:rsidRPr="00F16251">
        <w:rPr>
          <w:rFonts w:cstheme="minorHAnsi"/>
        </w:rPr>
        <w:t>.</w:t>
      </w:r>
      <w:r w:rsidR="003B50ED" w:rsidRPr="00F16251">
        <w:rPr>
          <w:rFonts w:cstheme="minorHAnsi"/>
        </w:rPr>
        <w:t xml:space="preserve"> </w:t>
      </w:r>
    </w:p>
    <w:p w14:paraId="5CE39A5B" w14:textId="57D62B41" w:rsidR="00990CC1" w:rsidRPr="00F16251" w:rsidRDefault="00990CC1" w:rsidP="00A26C26">
      <w:pPr>
        <w:spacing w:line="276" w:lineRule="auto"/>
        <w:ind w:firstLine="284"/>
        <w:jc w:val="both"/>
        <w:rPr>
          <w:rFonts w:cstheme="minorHAnsi"/>
        </w:rPr>
      </w:pPr>
      <w:r w:rsidRPr="00F16251">
        <w:rPr>
          <w:rFonts w:cstheme="minorHAnsi"/>
        </w:rPr>
        <w:t>W</w:t>
      </w:r>
      <w:r w:rsidR="003B50ED" w:rsidRPr="00F16251">
        <w:rPr>
          <w:rFonts w:cstheme="minorHAnsi"/>
        </w:rPr>
        <w:t xml:space="preserve"> </w:t>
      </w:r>
      <w:r w:rsidRPr="00F16251">
        <w:rPr>
          <w:rFonts w:cstheme="minorHAnsi"/>
        </w:rPr>
        <w:t>ich</w:t>
      </w:r>
      <w:r w:rsidR="003B50ED" w:rsidRPr="00F16251">
        <w:rPr>
          <w:rFonts w:cstheme="minorHAnsi"/>
        </w:rPr>
        <w:t xml:space="preserve"> </w:t>
      </w:r>
      <w:r w:rsidRPr="00F16251">
        <w:rPr>
          <w:rFonts w:cstheme="minorHAnsi"/>
        </w:rPr>
        <w:t>wyniku</w:t>
      </w:r>
      <w:r w:rsidR="003B50ED" w:rsidRPr="00F16251">
        <w:rPr>
          <w:rFonts w:cstheme="minorHAnsi"/>
        </w:rPr>
        <w:t xml:space="preserve"> </w:t>
      </w:r>
      <w:r w:rsidR="0004602C" w:rsidRPr="00F16251">
        <w:rPr>
          <w:rFonts w:cstheme="minorHAnsi"/>
        </w:rPr>
        <w:t xml:space="preserve">Stowarzyszenie „Solidarni w Partnerstwie” </w:t>
      </w:r>
      <w:r w:rsidRPr="00F16251">
        <w:rPr>
          <w:rFonts w:cstheme="minorHAnsi"/>
        </w:rPr>
        <w:t>uzyskała</w:t>
      </w:r>
      <w:r w:rsidR="003B50ED" w:rsidRPr="00F16251">
        <w:rPr>
          <w:rFonts w:cstheme="minorHAnsi"/>
        </w:rPr>
        <w:t xml:space="preserve"> </w:t>
      </w:r>
      <w:r w:rsidRPr="00F16251">
        <w:rPr>
          <w:rFonts w:cstheme="minorHAnsi"/>
        </w:rPr>
        <w:t>bogaty</w:t>
      </w:r>
      <w:r w:rsidR="003B50ED" w:rsidRPr="00F16251">
        <w:rPr>
          <w:rFonts w:cstheme="minorHAnsi"/>
        </w:rPr>
        <w:t xml:space="preserve"> </w:t>
      </w:r>
      <w:r w:rsidRPr="00F16251">
        <w:rPr>
          <w:rFonts w:cstheme="minorHAnsi"/>
        </w:rPr>
        <w:t>materiał</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opracowania</w:t>
      </w:r>
      <w:r w:rsidR="003B50ED" w:rsidRPr="00F16251">
        <w:rPr>
          <w:rFonts w:cstheme="minorHAnsi"/>
        </w:rPr>
        <w:t xml:space="preserve"> </w:t>
      </w:r>
      <w:r w:rsidR="000B603C" w:rsidRPr="00F16251">
        <w:rPr>
          <w:rFonts w:cstheme="minorHAnsi"/>
        </w:rPr>
        <w:t>LSR</w:t>
      </w:r>
      <w:r w:rsidRPr="00F16251">
        <w:rPr>
          <w:rFonts w:cstheme="minorHAnsi"/>
        </w:rPr>
        <w:t>.</w:t>
      </w:r>
      <w:r w:rsidR="003B50ED" w:rsidRPr="00F16251">
        <w:rPr>
          <w:rFonts w:cstheme="minorHAnsi"/>
        </w:rPr>
        <w:t xml:space="preserve"> </w:t>
      </w:r>
      <w:r w:rsidRPr="00F16251">
        <w:rPr>
          <w:rFonts w:cstheme="minorHAnsi"/>
        </w:rPr>
        <w:t>Tematem</w:t>
      </w:r>
      <w:r w:rsidR="003B50ED" w:rsidRPr="00F16251">
        <w:rPr>
          <w:rFonts w:cstheme="minorHAnsi"/>
        </w:rPr>
        <w:t xml:space="preserve"> </w:t>
      </w:r>
      <w:r w:rsidRPr="00F16251">
        <w:rPr>
          <w:rFonts w:cstheme="minorHAnsi"/>
        </w:rPr>
        <w:t>spotkań,</w:t>
      </w:r>
      <w:r w:rsidR="003B50ED" w:rsidRPr="00F16251">
        <w:rPr>
          <w:rFonts w:cstheme="minorHAnsi"/>
        </w:rPr>
        <w:t xml:space="preserve"> </w:t>
      </w:r>
      <w:r w:rsidRPr="00F16251">
        <w:rPr>
          <w:rFonts w:cstheme="minorHAnsi"/>
        </w:rPr>
        <w:t>które</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znacznej</w:t>
      </w:r>
      <w:r w:rsidR="003B50ED" w:rsidRPr="00F16251">
        <w:rPr>
          <w:rFonts w:cstheme="minorHAnsi"/>
        </w:rPr>
        <w:t xml:space="preserve"> </w:t>
      </w:r>
      <w:r w:rsidRPr="00F16251">
        <w:rPr>
          <w:rFonts w:cstheme="minorHAnsi"/>
        </w:rPr>
        <w:t>części</w:t>
      </w:r>
      <w:r w:rsidR="003B50ED" w:rsidRPr="00F16251">
        <w:rPr>
          <w:rFonts w:cstheme="minorHAnsi"/>
        </w:rPr>
        <w:t xml:space="preserve"> </w:t>
      </w:r>
      <w:r w:rsidRPr="00F16251">
        <w:rPr>
          <w:rFonts w:cstheme="minorHAnsi"/>
        </w:rPr>
        <w:t>miały</w:t>
      </w:r>
      <w:r w:rsidR="003B50ED" w:rsidRPr="00F16251">
        <w:rPr>
          <w:rFonts w:cstheme="minorHAnsi"/>
        </w:rPr>
        <w:t xml:space="preserve"> </w:t>
      </w:r>
      <w:r w:rsidRPr="00F16251">
        <w:rPr>
          <w:rFonts w:cstheme="minorHAnsi"/>
        </w:rPr>
        <w:t>charakter</w:t>
      </w:r>
      <w:r w:rsidR="003B50ED" w:rsidRPr="00F16251">
        <w:rPr>
          <w:rFonts w:cstheme="minorHAnsi"/>
        </w:rPr>
        <w:t xml:space="preserve"> </w:t>
      </w:r>
      <w:r w:rsidRPr="00F16251">
        <w:rPr>
          <w:rFonts w:cstheme="minorHAnsi"/>
        </w:rPr>
        <w:t>warsztatowy</w:t>
      </w:r>
      <w:r w:rsidR="003B50ED" w:rsidRPr="00F16251">
        <w:rPr>
          <w:rFonts w:cstheme="minorHAnsi"/>
        </w:rPr>
        <w:t xml:space="preserve"> </w:t>
      </w:r>
      <w:r w:rsidRPr="00F16251">
        <w:rPr>
          <w:rFonts w:cstheme="minorHAnsi"/>
        </w:rPr>
        <w:t>były</w:t>
      </w:r>
      <w:r w:rsidR="003B50ED" w:rsidRPr="00F16251">
        <w:rPr>
          <w:rFonts w:cstheme="minorHAnsi"/>
        </w:rPr>
        <w:t xml:space="preserve"> </w:t>
      </w:r>
      <w:r w:rsidRPr="00F16251">
        <w:rPr>
          <w:rFonts w:cstheme="minorHAnsi"/>
        </w:rPr>
        <w:t>mocne</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słabe</w:t>
      </w:r>
      <w:r w:rsidR="003B50ED" w:rsidRPr="00F16251">
        <w:rPr>
          <w:rFonts w:cstheme="minorHAnsi"/>
        </w:rPr>
        <w:t xml:space="preserve"> </w:t>
      </w:r>
      <w:r w:rsidRPr="00F16251">
        <w:rPr>
          <w:rFonts w:cstheme="minorHAnsi"/>
        </w:rPr>
        <w:t>strony</w:t>
      </w:r>
      <w:r w:rsidR="003B50ED" w:rsidRPr="00F16251">
        <w:rPr>
          <w:rFonts w:cstheme="minorHAnsi"/>
        </w:rPr>
        <w:t xml:space="preserve"> </w:t>
      </w:r>
      <w:r w:rsidRPr="00F16251">
        <w:rPr>
          <w:rFonts w:cstheme="minorHAnsi"/>
        </w:rPr>
        <w:t>obszaru</w:t>
      </w:r>
      <w:r w:rsidR="003B50ED" w:rsidRPr="00F16251">
        <w:rPr>
          <w:rFonts w:cstheme="minorHAnsi"/>
        </w:rPr>
        <w:t xml:space="preserve"> </w:t>
      </w:r>
      <w:r w:rsidRPr="00F16251">
        <w:rPr>
          <w:rFonts w:cstheme="minorHAnsi"/>
        </w:rPr>
        <w:t>oraz</w:t>
      </w:r>
      <w:r w:rsidR="003B50ED" w:rsidRPr="00F16251">
        <w:rPr>
          <w:rFonts w:cstheme="minorHAnsi"/>
        </w:rPr>
        <w:t xml:space="preserve"> </w:t>
      </w:r>
      <w:r w:rsidRPr="00F16251">
        <w:rPr>
          <w:rFonts w:cstheme="minorHAnsi"/>
        </w:rPr>
        <w:t>szanse</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zagrożenia</w:t>
      </w:r>
      <w:r w:rsidR="003B50ED" w:rsidRPr="00F16251">
        <w:rPr>
          <w:rFonts w:cstheme="minorHAnsi"/>
        </w:rPr>
        <w:t xml:space="preserve"> </w:t>
      </w:r>
      <w:r w:rsidRPr="00F16251">
        <w:rPr>
          <w:rFonts w:cstheme="minorHAnsi"/>
        </w:rPr>
        <w:t>jego</w:t>
      </w:r>
      <w:r w:rsidR="003B50ED" w:rsidRPr="00F16251">
        <w:rPr>
          <w:rFonts w:cstheme="minorHAnsi"/>
        </w:rPr>
        <w:t xml:space="preserve"> </w:t>
      </w:r>
      <w:r w:rsidRPr="00F16251">
        <w:rPr>
          <w:rFonts w:cstheme="minorHAnsi"/>
        </w:rPr>
        <w:t>rozwoju.</w:t>
      </w:r>
      <w:r w:rsidR="003B50ED" w:rsidRPr="00F16251">
        <w:rPr>
          <w:rFonts w:cstheme="minorHAnsi"/>
        </w:rPr>
        <w:t xml:space="preserve"> </w:t>
      </w:r>
      <w:r w:rsidRPr="00F16251">
        <w:rPr>
          <w:rFonts w:cstheme="minorHAnsi"/>
        </w:rPr>
        <w:t>Podczas</w:t>
      </w:r>
      <w:r w:rsidR="003B50ED" w:rsidRPr="00F16251">
        <w:rPr>
          <w:rFonts w:cstheme="minorHAnsi"/>
        </w:rPr>
        <w:t xml:space="preserve"> </w:t>
      </w:r>
      <w:r w:rsidRPr="00F16251">
        <w:rPr>
          <w:rFonts w:cstheme="minorHAnsi"/>
        </w:rPr>
        <w:t>spotkań</w:t>
      </w:r>
      <w:r w:rsidR="003B50ED" w:rsidRPr="00F16251">
        <w:rPr>
          <w:rFonts w:cstheme="minorHAnsi"/>
        </w:rPr>
        <w:t xml:space="preserve"> </w:t>
      </w:r>
      <w:r w:rsidRPr="00F16251">
        <w:rPr>
          <w:rFonts w:cstheme="minorHAnsi"/>
        </w:rPr>
        <w:t>poruszano</w:t>
      </w:r>
      <w:r w:rsidR="003B50ED" w:rsidRPr="00F16251">
        <w:rPr>
          <w:rFonts w:cstheme="minorHAnsi"/>
        </w:rPr>
        <w:t xml:space="preserve"> </w:t>
      </w:r>
      <w:r w:rsidRPr="00F16251">
        <w:rPr>
          <w:rFonts w:cstheme="minorHAnsi"/>
        </w:rPr>
        <w:t>także</w:t>
      </w:r>
      <w:r w:rsidR="003B50ED" w:rsidRPr="00F16251">
        <w:rPr>
          <w:rFonts w:cstheme="minorHAnsi"/>
        </w:rPr>
        <w:t xml:space="preserve"> </w:t>
      </w:r>
      <w:r w:rsidRPr="00F16251">
        <w:rPr>
          <w:rFonts w:cstheme="minorHAnsi"/>
        </w:rPr>
        <w:t>temat</w:t>
      </w:r>
      <w:r w:rsidR="003B50ED" w:rsidRPr="00F16251">
        <w:rPr>
          <w:rFonts w:cstheme="minorHAnsi"/>
        </w:rPr>
        <w:t xml:space="preserve"> </w:t>
      </w:r>
      <w:r w:rsidRPr="00F16251">
        <w:rPr>
          <w:rFonts w:cstheme="minorHAnsi"/>
        </w:rPr>
        <w:t>grup</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niekorzystnej</w:t>
      </w:r>
      <w:r w:rsidR="003B50ED" w:rsidRPr="00F16251">
        <w:rPr>
          <w:rFonts w:cstheme="minorHAnsi"/>
        </w:rPr>
        <w:t xml:space="preserve"> </w:t>
      </w:r>
      <w:r w:rsidRPr="00F16251">
        <w:rPr>
          <w:rFonts w:cstheme="minorHAnsi"/>
        </w:rPr>
        <w:t>sytuacji</w:t>
      </w:r>
      <w:r w:rsidR="003B50ED" w:rsidRPr="00F16251">
        <w:rPr>
          <w:rFonts w:cstheme="minorHAnsi"/>
        </w:rPr>
        <w:t xml:space="preserve"> </w:t>
      </w:r>
      <w:r w:rsidRPr="00F16251">
        <w:rPr>
          <w:rFonts w:cstheme="minorHAnsi"/>
        </w:rPr>
        <w:t>oraz</w:t>
      </w:r>
      <w:r w:rsidR="003B50ED" w:rsidRPr="00F16251">
        <w:rPr>
          <w:rFonts w:cstheme="minorHAnsi"/>
        </w:rPr>
        <w:t xml:space="preserve"> </w:t>
      </w:r>
      <w:r w:rsidRPr="00F16251">
        <w:rPr>
          <w:rFonts w:cstheme="minorHAnsi"/>
        </w:rPr>
        <w:t>zagrożonych</w:t>
      </w:r>
      <w:r w:rsidR="003B50ED" w:rsidRPr="00F16251">
        <w:rPr>
          <w:rFonts w:cstheme="minorHAnsi"/>
        </w:rPr>
        <w:t xml:space="preserve"> </w:t>
      </w:r>
      <w:r w:rsidRPr="00F16251">
        <w:rPr>
          <w:rFonts w:cstheme="minorHAnsi"/>
        </w:rPr>
        <w:t>wykluczeniem</w:t>
      </w:r>
      <w:r w:rsidR="003B50ED" w:rsidRPr="00F16251">
        <w:rPr>
          <w:rFonts w:cstheme="minorHAnsi"/>
        </w:rPr>
        <w:t xml:space="preserve"> </w:t>
      </w:r>
      <w:r w:rsidRPr="00F16251">
        <w:rPr>
          <w:rFonts w:cstheme="minorHAnsi"/>
        </w:rPr>
        <w:t>społecznym,</w:t>
      </w:r>
      <w:r w:rsidR="003B50ED" w:rsidRPr="00F16251">
        <w:rPr>
          <w:rFonts w:cstheme="minorHAnsi"/>
        </w:rPr>
        <w:t xml:space="preserve"> </w:t>
      </w:r>
      <w:r w:rsidRPr="00F16251">
        <w:rPr>
          <w:rFonts w:cstheme="minorHAnsi"/>
        </w:rPr>
        <w:t>przede</w:t>
      </w:r>
      <w:r w:rsidR="003B50ED" w:rsidRPr="00F16251">
        <w:rPr>
          <w:rFonts w:cstheme="minorHAnsi"/>
        </w:rPr>
        <w:t xml:space="preserve"> </w:t>
      </w:r>
      <w:r w:rsidRPr="00F16251">
        <w:rPr>
          <w:rFonts w:cstheme="minorHAnsi"/>
        </w:rPr>
        <w:t>wszystkim</w:t>
      </w:r>
      <w:r w:rsidR="003B50ED" w:rsidRPr="00F16251">
        <w:rPr>
          <w:rFonts w:cstheme="minorHAnsi"/>
        </w:rPr>
        <w:t xml:space="preserve"> </w:t>
      </w:r>
      <w:r w:rsidRPr="00F16251">
        <w:rPr>
          <w:rFonts w:cstheme="minorHAnsi"/>
        </w:rPr>
        <w:t>ze</w:t>
      </w:r>
      <w:r w:rsidR="003B50ED" w:rsidRPr="00F16251">
        <w:rPr>
          <w:rFonts w:cstheme="minorHAnsi"/>
        </w:rPr>
        <w:t xml:space="preserve"> </w:t>
      </w:r>
      <w:r w:rsidRPr="00F16251">
        <w:rPr>
          <w:rFonts w:cstheme="minorHAnsi"/>
        </w:rPr>
        <w:t>względu</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dostęp</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rynku</w:t>
      </w:r>
      <w:r w:rsidR="003B50ED" w:rsidRPr="00F16251">
        <w:rPr>
          <w:rFonts w:cstheme="minorHAnsi"/>
        </w:rPr>
        <w:t xml:space="preserve"> </w:t>
      </w:r>
      <w:r w:rsidRPr="00F16251">
        <w:rPr>
          <w:rFonts w:cstheme="minorHAnsi"/>
        </w:rPr>
        <w:t>pracy</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dla</w:t>
      </w:r>
      <w:r w:rsidR="003B50ED" w:rsidRPr="00F16251">
        <w:rPr>
          <w:rFonts w:cstheme="minorHAnsi"/>
        </w:rPr>
        <w:t xml:space="preserve"> </w:t>
      </w:r>
      <w:r w:rsidRPr="00F16251">
        <w:rPr>
          <w:rFonts w:cstheme="minorHAnsi"/>
        </w:rPr>
        <w:t>których</w:t>
      </w:r>
      <w:r w:rsidR="003B50ED" w:rsidRPr="00F16251">
        <w:rPr>
          <w:rFonts w:cstheme="minorHAnsi"/>
        </w:rPr>
        <w:t xml:space="preserve"> </w:t>
      </w:r>
      <w:r w:rsidRPr="00F16251">
        <w:rPr>
          <w:rFonts w:cstheme="minorHAnsi"/>
        </w:rPr>
        <w:t>należy</w:t>
      </w:r>
      <w:r w:rsidR="003B50ED" w:rsidRPr="00F16251">
        <w:rPr>
          <w:rFonts w:cstheme="minorHAnsi"/>
        </w:rPr>
        <w:t xml:space="preserve"> </w:t>
      </w:r>
      <w:r w:rsidRPr="00F16251">
        <w:rPr>
          <w:rFonts w:cstheme="minorHAnsi"/>
        </w:rPr>
        <w:t>zaproponować</w:t>
      </w:r>
      <w:r w:rsidR="003B50ED" w:rsidRPr="00F16251">
        <w:rPr>
          <w:rFonts w:cstheme="minorHAnsi"/>
        </w:rPr>
        <w:t xml:space="preserve"> </w:t>
      </w:r>
      <w:r w:rsidRPr="00F16251">
        <w:rPr>
          <w:rFonts w:cstheme="minorHAnsi"/>
        </w:rPr>
        <w:t>specjalne</w:t>
      </w:r>
      <w:r w:rsidR="003B50ED" w:rsidRPr="00F16251">
        <w:rPr>
          <w:rFonts w:cstheme="minorHAnsi"/>
        </w:rPr>
        <w:t xml:space="preserve"> </w:t>
      </w:r>
      <w:r w:rsidRPr="00F16251">
        <w:rPr>
          <w:rFonts w:cstheme="minorHAnsi"/>
        </w:rPr>
        <w:t>działania</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ramach</w:t>
      </w:r>
      <w:r w:rsidR="003B50ED" w:rsidRPr="00F16251">
        <w:rPr>
          <w:rFonts w:cstheme="minorHAnsi"/>
        </w:rPr>
        <w:t xml:space="preserve"> </w:t>
      </w:r>
      <w:r w:rsidRPr="00F16251">
        <w:rPr>
          <w:rFonts w:cstheme="minorHAnsi"/>
        </w:rPr>
        <w:t>budżetu</w:t>
      </w:r>
      <w:r w:rsidR="003B50ED" w:rsidRPr="00F16251">
        <w:rPr>
          <w:rFonts w:cstheme="minorHAnsi"/>
        </w:rPr>
        <w:t xml:space="preserve"> </w:t>
      </w:r>
      <w:r w:rsidRPr="00F16251">
        <w:rPr>
          <w:rFonts w:cstheme="minorHAnsi"/>
        </w:rPr>
        <w:t>jakim</w:t>
      </w:r>
      <w:r w:rsidR="003B50ED" w:rsidRPr="00F16251">
        <w:rPr>
          <w:rFonts w:cstheme="minorHAnsi"/>
        </w:rPr>
        <w:t xml:space="preserve"> </w:t>
      </w:r>
      <w:r w:rsidRPr="00F16251">
        <w:rPr>
          <w:rFonts w:cstheme="minorHAnsi"/>
        </w:rPr>
        <w:t>dysponuje</w:t>
      </w:r>
      <w:r w:rsidR="003B50ED" w:rsidRPr="00F16251">
        <w:rPr>
          <w:rFonts w:cstheme="minorHAnsi"/>
        </w:rPr>
        <w:t xml:space="preserve"> </w:t>
      </w:r>
      <w:r w:rsidR="0004602C" w:rsidRPr="00F16251">
        <w:rPr>
          <w:rFonts w:cstheme="minorHAnsi"/>
        </w:rPr>
        <w:t>Stowarzyszenie „Solidarni w Partnerstwie”</w:t>
      </w:r>
      <w:r w:rsidRPr="00F16251">
        <w:rPr>
          <w:rFonts w:cstheme="minorHAnsi"/>
        </w:rPr>
        <w:t>.</w:t>
      </w:r>
      <w:r w:rsidR="003B50ED" w:rsidRPr="00F16251">
        <w:rPr>
          <w:rFonts w:cstheme="minorHAnsi"/>
        </w:rPr>
        <w:t xml:space="preserve"> </w:t>
      </w:r>
      <w:r w:rsidRPr="00F16251">
        <w:rPr>
          <w:rFonts w:cstheme="minorHAnsi"/>
        </w:rPr>
        <w:t>Ponadto,</w:t>
      </w:r>
      <w:r w:rsidR="003B50ED" w:rsidRPr="00F16251">
        <w:rPr>
          <w:rFonts w:cstheme="minorHAnsi"/>
        </w:rPr>
        <w:t xml:space="preserve"> </w:t>
      </w:r>
      <w:r w:rsidRPr="00F16251">
        <w:rPr>
          <w:rFonts w:cstheme="minorHAnsi"/>
        </w:rPr>
        <w:t>stowarzyszenie</w:t>
      </w:r>
      <w:r w:rsidR="003B50ED" w:rsidRPr="00F16251">
        <w:rPr>
          <w:rFonts w:cstheme="minorHAnsi"/>
        </w:rPr>
        <w:t xml:space="preserve"> </w:t>
      </w:r>
      <w:r w:rsidRPr="00F16251">
        <w:rPr>
          <w:rFonts w:cstheme="minorHAnsi"/>
        </w:rPr>
        <w:t>otrzymało</w:t>
      </w:r>
      <w:r w:rsidR="003B50ED" w:rsidRPr="00F16251">
        <w:rPr>
          <w:rFonts w:cstheme="minorHAnsi"/>
        </w:rPr>
        <w:t xml:space="preserve"> </w:t>
      </w:r>
      <w:r w:rsidRPr="00F16251">
        <w:rPr>
          <w:rFonts w:cstheme="minorHAnsi"/>
        </w:rPr>
        <w:t>informację</w:t>
      </w:r>
      <w:r w:rsidR="003B50ED" w:rsidRPr="00F16251">
        <w:rPr>
          <w:rFonts w:cstheme="minorHAnsi"/>
        </w:rPr>
        <w:t xml:space="preserve"> </w:t>
      </w:r>
      <w:r w:rsidRPr="00F16251">
        <w:rPr>
          <w:rFonts w:cstheme="minorHAnsi"/>
        </w:rPr>
        <w:t>o</w:t>
      </w:r>
      <w:r w:rsidR="003B50ED" w:rsidRPr="00F16251">
        <w:rPr>
          <w:rFonts w:cstheme="minorHAnsi"/>
        </w:rPr>
        <w:t xml:space="preserve"> </w:t>
      </w:r>
      <w:r w:rsidRPr="00F16251">
        <w:rPr>
          <w:rFonts w:cstheme="minorHAnsi"/>
        </w:rPr>
        <w:t>obszarach</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zakresach,</w:t>
      </w:r>
      <w:r w:rsidR="003B50ED" w:rsidRPr="00F16251">
        <w:rPr>
          <w:rFonts w:cstheme="minorHAnsi"/>
        </w:rPr>
        <w:t xml:space="preserve"> </w:t>
      </w:r>
      <w:r w:rsidRPr="00F16251">
        <w:rPr>
          <w:rFonts w:cstheme="minorHAnsi"/>
        </w:rPr>
        <w:t>które</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pierwszej</w:t>
      </w:r>
      <w:r w:rsidR="003B50ED" w:rsidRPr="00F16251">
        <w:rPr>
          <w:rFonts w:cstheme="minorHAnsi"/>
        </w:rPr>
        <w:t xml:space="preserve"> </w:t>
      </w:r>
      <w:r w:rsidRPr="00F16251">
        <w:rPr>
          <w:rFonts w:cstheme="minorHAnsi"/>
        </w:rPr>
        <w:t>kolejności</w:t>
      </w:r>
      <w:r w:rsidR="003B50ED" w:rsidRPr="00F16251">
        <w:rPr>
          <w:rFonts w:cstheme="minorHAnsi"/>
        </w:rPr>
        <w:t xml:space="preserve"> </w:t>
      </w:r>
      <w:r w:rsidRPr="00F16251">
        <w:rPr>
          <w:rFonts w:cstheme="minorHAnsi"/>
        </w:rPr>
        <w:t>wymagają</w:t>
      </w:r>
      <w:r w:rsidR="003B50ED" w:rsidRPr="00F16251">
        <w:rPr>
          <w:rFonts w:cstheme="minorHAnsi"/>
        </w:rPr>
        <w:t xml:space="preserve"> </w:t>
      </w:r>
      <w:r w:rsidRPr="00F16251">
        <w:rPr>
          <w:rFonts w:cstheme="minorHAnsi"/>
        </w:rPr>
        <w:t>wsparcia.</w:t>
      </w:r>
      <w:r w:rsidR="003B50ED" w:rsidRPr="00F16251">
        <w:rPr>
          <w:rFonts w:cstheme="minorHAnsi"/>
        </w:rPr>
        <w:t xml:space="preserve"> </w:t>
      </w:r>
    </w:p>
    <w:p w14:paraId="2ECC2E0D" w14:textId="741D5D8B" w:rsidR="00990CC1" w:rsidRPr="00A26C26" w:rsidRDefault="00F22284" w:rsidP="00A26C26">
      <w:pPr>
        <w:spacing w:line="276" w:lineRule="auto"/>
        <w:ind w:firstLine="284"/>
        <w:jc w:val="both"/>
        <w:rPr>
          <w:rFonts w:cstheme="minorHAnsi"/>
        </w:rPr>
      </w:pPr>
      <w:r w:rsidRPr="00F16251">
        <w:rPr>
          <w:rFonts w:cstheme="minorHAnsi"/>
        </w:rPr>
        <w:t>Dodatkowym</w:t>
      </w:r>
      <w:r w:rsidR="003B50ED" w:rsidRPr="00F16251">
        <w:rPr>
          <w:rFonts w:cstheme="minorHAnsi"/>
        </w:rPr>
        <w:t xml:space="preserve"> </w:t>
      </w:r>
      <w:r w:rsidRPr="00F16251">
        <w:rPr>
          <w:rFonts w:cstheme="minorHAnsi"/>
        </w:rPr>
        <w:t>potwierdzeniem</w:t>
      </w:r>
      <w:r w:rsidR="003B50ED" w:rsidRPr="00F16251">
        <w:rPr>
          <w:rFonts w:cstheme="minorHAnsi"/>
        </w:rPr>
        <w:t xml:space="preserve"> </w:t>
      </w:r>
      <w:r w:rsidRPr="00F16251">
        <w:rPr>
          <w:rFonts w:cstheme="minorHAnsi"/>
        </w:rPr>
        <w:t>potencjału</w:t>
      </w:r>
      <w:r w:rsidR="003B50ED" w:rsidRPr="00F16251">
        <w:rPr>
          <w:rFonts w:cstheme="minorHAnsi"/>
        </w:rPr>
        <w:t xml:space="preserve"> </w:t>
      </w:r>
      <w:r w:rsidR="0004602C" w:rsidRPr="00F16251">
        <w:rPr>
          <w:rFonts w:cstheme="minorHAnsi"/>
        </w:rPr>
        <w:t xml:space="preserve">Stowarzyszenia „Solidarni w Partnerstwie” </w:t>
      </w:r>
      <w:r w:rsidRPr="00F16251">
        <w:rPr>
          <w:rFonts w:cstheme="minorHAnsi"/>
        </w:rPr>
        <w:t>do</w:t>
      </w:r>
      <w:r w:rsidR="003B50ED" w:rsidRPr="00F16251">
        <w:rPr>
          <w:rFonts w:cstheme="minorHAnsi"/>
        </w:rPr>
        <w:t xml:space="preserve"> </w:t>
      </w:r>
      <w:r w:rsidRPr="00F16251">
        <w:rPr>
          <w:rFonts w:cstheme="minorHAnsi"/>
        </w:rPr>
        <w:t>wdrażania</w:t>
      </w:r>
      <w:r w:rsidR="003B50ED" w:rsidRPr="00F16251">
        <w:rPr>
          <w:rFonts w:cstheme="minorHAnsi"/>
        </w:rPr>
        <w:t xml:space="preserve"> </w:t>
      </w:r>
      <w:r w:rsidRPr="00F16251">
        <w:rPr>
          <w:rFonts w:cstheme="minorHAnsi"/>
        </w:rPr>
        <w:t>LSR</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nowej</w:t>
      </w:r>
      <w:r w:rsidR="003B50ED" w:rsidRPr="00F16251">
        <w:rPr>
          <w:rFonts w:cstheme="minorHAnsi"/>
        </w:rPr>
        <w:t xml:space="preserve"> </w:t>
      </w:r>
      <w:r w:rsidRPr="00F16251">
        <w:rPr>
          <w:rFonts w:cstheme="minorHAnsi"/>
        </w:rPr>
        <w:t>perspektywie</w:t>
      </w:r>
      <w:r w:rsidR="003B50ED" w:rsidRPr="00F16251">
        <w:rPr>
          <w:rFonts w:cstheme="minorHAnsi"/>
        </w:rPr>
        <w:t xml:space="preserve"> </w:t>
      </w:r>
      <w:r w:rsidRPr="00F16251">
        <w:rPr>
          <w:rFonts w:cstheme="minorHAnsi"/>
        </w:rPr>
        <w:t>finansowej</w:t>
      </w:r>
      <w:r w:rsidR="003B50ED" w:rsidRPr="00F16251">
        <w:rPr>
          <w:rFonts w:cstheme="minorHAnsi"/>
        </w:rPr>
        <w:t xml:space="preserve"> </w:t>
      </w:r>
      <w:r w:rsidRPr="00F16251">
        <w:rPr>
          <w:rFonts w:cstheme="minorHAnsi"/>
        </w:rPr>
        <w:t>jest</w:t>
      </w:r>
      <w:r w:rsidR="003B50ED" w:rsidRPr="00F16251">
        <w:rPr>
          <w:rFonts w:cstheme="minorHAnsi"/>
        </w:rPr>
        <w:t xml:space="preserve"> </w:t>
      </w:r>
      <w:r w:rsidRPr="00F16251">
        <w:rPr>
          <w:rFonts w:cstheme="minorHAnsi"/>
        </w:rPr>
        <w:t>fakt,</w:t>
      </w:r>
      <w:r w:rsidR="003B50ED" w:rsidRPr="00F16251">
        <w:rPr>
          <w:rFonts w:cstheme="minorHAnsi"/>
        </w:rPr>
        <w:t xml:space="preserve"> </w:t>
      </w:r>
      <w:r w:rsidRPr="00F16251">
        <w:rPr>
          <w:rFonts w:cstheme="minorHAnsi"/>
        </w:rPr>
        <w:t>iż</w:t>
      </w:r>
      <w:r w:rsidR="003B50ED" w:rsidRPr="00F16251">
        <w:rPr>
          <w:rFonts w:cstheme="minorHAnsi"/>
        </w:rPr>
        <w:t xml:space="preserve"> </w:t>
      </w:r>
      <w:r w:rsidRPr="00F16251">
        <w:rPr>
          <w:rFonts w:cstheme="minorHAnsi"/>
        </w:rPr>
        <w:t>przez</w:t>
      </w:r>
      <w:r w:rsidR="003B50ED" w:rsidRPr="00F16251">
        <w:rPr>
          <w:rFonts w:cstheme="minorHAnsi"/>
        </w:rPr>
        <w:t xml:space="preserve"> </w:t>
      </w:r>
      <w:r w:rsidRPr="00F16251">
        <w:rPr>
          <w:rFonts w:cstheme="minorHAnsi"/>
        </w:rPr>
        <w:t>minione</w:t>
      </w:r>
      <w:r w:rsidR="003B50ED" w:rsidRPr="00F16251">
        <w:rPr>
          <w:rFonts w:cstheme="minorHAnsi"/>
        </w:rPr>
        <w:t xml:space="preserve"> </w:t>
      </w:r>
      <w:r w:rsidRPr="00F16251">
        <w:rPr>
          <w:rFonts w:cstheme="minorHAnsi"/>
        </w:rPr>
        <w:t>lata,</w:t>
      </w:r>
      <w:r w:rsidR="003B50ED" w:rsidRPr="00F16251">
        <w:rPr>
          <w:rFonts w:cstheme="minorHAnsi"/>
        </w:rPr>
        <w:t xml:space="preserve"> </w:t>
      </w:r>
      <w:r w:rsidRPr="00F16251">
        <w:rPr>
          <w:rFonts w:cstheme="minorHAnsi"/>
        </w:rPr>
        <w:t>działania</w:t>
      </w:r>
      <w:r w:rsidR="003B50ED" w:rsidRPr="00F16251">
        <w:rPr>
          <w:rFonts w:cstheme="minorHAnsi"/>
        </w:rPr>
        <w:t xml:space="preserve"> </w:t>
      </w:r>
      <w:r w:rsidRPr="00F16251">
        <w:rPr>
          <w:rFonts w:cstheme="minorHAnsi"/>
        </w:rPr>
        <w:t>realizowane</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ramach</w:t>
      </w:r>
      <w:r w:rsidR="003B50ED" w:rsidRPr="00F16251">
        <w:rPr>
          <w:rFonts w:cstheme="minorHAnsi"/>
        </w:rPr>
        <w:t xml:space="preserve"> </w:t>
      </w:r>
      <w:r w:rsidRPr="00F16251">
        <w:rPr>
          <w:rFonts w:cstheme="minorHAnsi"/>
        </w:rPr>
        <w:t>LSR</w:t>
      </w:r>
      <w:r w:rsidR="003B50ED" w:rsidRPr="00F16251">
        <w:rPr>
          <w:rFonts w:cstheme="minorHAnsi"/>
        </w:rPr>
        <w:t xml:space="preserve"> </w:t>
      </w:r>
      <w:r w:rsidRPr="00F16251">
        <w:rPr>
          <w:rFonts w:cstheme="minorHAnsi"/>
        </w:rPr>
        <w:t>były</w:t>
      </w:r>
      <w:r w:rsidR="003B50ED" w:rsidRPr="00F16251">
        <w:rPr>
          <w:rFonts w:cstheme="minorHAnsi"/>
        </w:rPr>
        <w:t xml:space="preserve"> </w:t>
      </w:r>
      <w:r w:rsidRPr="00F16251">
        <w:rPr>
          <w:rFonts w:cstheme="minorHAnsi"/>
        </w:rPr>
        <w:t>finansowane</w:t>
      </w:r>
      <w:r w:rsidR="003B50ED" w:rsidRPr="00F16251">
        <w:rPr>
          <w:rFonts w:cstheme="minorHAnsi"/>
        </w:rPr>
        <w:t xml:space="preserve"> </w:t>
      </w:r>
      <w:r w:rsidR="00F6473E" w:rsidRPr="00F16251">
        <w:rPr>
          <w:rFonts w:cstheme="minorHAnsi"/>
        </w:rPr>
        <w:t xml:space="preserve">głównie z </w:t>
      </w:r>
      <w:r w:rsidRPr="00F16251">
        <w:rPr>
          <w:rFonts w:cstheme="minorHAnsi"/>
        </w:rPr>
        <w:t>EFRROW.</w:t>
      </w:r>
      <w:r w:rsidR="003B50ED" w:rsidRPr="00F16251">
        <w:rPr>
          <w:rFonts w:cstheme="minorHAnsi"/>
        </w:rPr>
        <w:t xml:space="preserve"> </w:t>
      </w:r>
      <w:r w:rsidRPr="00F16251">
        <w:rPr>
          <w:rFonts w:cstheme="minorHAnsi"/>
        </w:rPr>
        <w:t>Mechanizmy</w:t>
      </w:r>
      <w:r w:rsidR="003B50ED" w:rsidRPr="00F16251">
        <w:rPr>
          <w:rFonts w:cstheme="minorHAnsi"/>
        </w:rPr>
        <w:t xml:space="preserve"> </w:t>
      </w:r>
      <w:r w:rsidRPr="00F16251">
        <w:rPr>
          <w:rFonts w:cstheme="minorHAnsi"/>
        </w:rPr>
        <w:t>wparcia</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przestrzeni</w:t>
      </w:r>
      <w:r w:rsidR="003B50ED" w:rsidRPr="00F16251">
        <w:rPr>
          <w:rFonts w:cstheme="minorHAnsi"/>
        </w:rPr>
        <w:t xml:space="preserve"> </w:t>
      </w:r>
      <w:r w:rsidRPr="00F16251">
        <w:rPr>
          <w:rFonts w:cstheme="minorHAnsi"/>
        </w:rPr>
        <w:t>lat</w:t>
      </w:r>
      <w:r w:rsidR="003B50ED" w:rsidRPr="00F16251">
        <w:rPr>
          <w:rFonts w:cstheme="minorHAnsi"/>
        </w:rPr>
        <w:t xml:space="preserve"> </w:t>
      </w:r>
      <w:r w:rsidRPr="00F16251">
        <w:rPr>
          <w:rFonts w:cstheme="minorHAnsi"/>
        </w:rPr>
        <w:t>ulegały</w:t>
      </w:r>
      <w:r w:rsidR="003B50ED" w:rsidRPr="00F16251">
        <w:rPr>
          <w:rFonts w:cstheme="minorHAnsi"/>
        </w:rPr>
        <w:t xml:space="preserve"> </w:t>
      </w:r>
      <w:r w:rsidRPr="00F16251">
        <w:rPr>
          <w:rFonts w:cstheme="minorHAnsi"/>
        </w:rPr>
        <w:t>nieznacznym</w:t>
      </w:r>
      <w:r w:rsidR="003B50ED" w:rsidRPr="00F16251">
        <w:rPr>
          <w:rFonts w:cstheme="minorHAnsi"/>
        </w:rPr>
        <w:t xml:space="preserve"> </w:t>
      </w:r>
      <w:r w:rsidRPr="00F16251">
        <w:rPr>
          <w:rFonts w:cstheme="minorHAnsi"/>
        </w:rPr>
        <w:t>modyfikacjom</w:t>
      </w:r>
      <w:r w:rsidR="003B50ED" w:rsidRPr="00F16251">
        <w:rPr>
          <w:rFonts w:cstheme="minorHAnsi"/>
        </w:rPr>
        <w:t xml:space="preserve"> </w:t>
      </w:r>
      <w:r w:rsidRPr="00F16251">
        <w:rPr>
          <w:rFonts w:cstheme="minorHAnsi"/>
        </w:rPr>
        <w:t>zarówno</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poziomie</w:t>
      </w:r>
      <w:r w:rsidR="003B50ED" w:rsidRPr="00F16251">
        <w:rPr>
          <w:rFonts w:cstheme="minorHAnsi"/>
        </w:rPr>
        <w:t xml:space="preserve"> </w:t>
      </w:r>
      <w:r w:rsidRPr="00F16251">
        <w:rPr>
          <w:rFonts w:cstheme="minorHAnsi"/>
        </w:rPr>
        <w:t>UE</w:t>
      </w:r>
      <w:r w:rsidR="003B50ED" w:rsidRPr="00F16251">
        <w:rPr>
          <w:rFonts w:cstheme="minorHAnsi"/>
        </w:rPr>
        <w:t xml:space="preserve"> </w:t>
      </w:r>
      <w:r w:rsidRPr="00F16251">
        <w:rPr>
          <w:rFonts w:cstheme="minorHAnsi"/>
        </w:rPr>
        <w:t>jak</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krajowej,</w:t>
      </w:r>
      <w:r w:rsidR="003B50ED" w:rsidRPr="00F16251">
        <w:rPr>
          <w:rFonts w:cstheme="minorHAnsi"/>
        </w:rPr>
        <w:t xml:space="preserve"> </w:t>
      </w:r>
      <w:r w:rsidRPr="00F16251">
        <w:rPr>
          <w:rFonts w:cstheme="minorHAnsi"/>
        </w:rPr>
        <w:t>ale</w:t>
      </w:r>
      <w:r w:rsidR="003B50ED" w:rsidRPr="00F16251">
        <w:rPr>
          <w:rFonts w:cstheme="minorHAnsi"/>
        </w:rPr>
        <w:t xml:space="preserve"> </w:t>
      </w:r>
      <w:r w:rsidRPr="00F16251">
        <w:rPr>
          <w:rFonts w:cstheme="minorHAnsi"/>
        </w:rPr>
        <w:t>główne</w:t>
      </w:r>
      <w:r w:rsidR="003B50ED" w:rsidRPr="00F16251">
        <w:rPr>
          <w:rFonts w:cstheme="minorHAnsi"/>
        </w:rPr>
        <w:t xml:space="preserve"> </w:t>
      </w:r>
      <w:r w:rsidRPr="00F16251">
        <w:rPr>
          <w:rFonts w:cstheme="minorHAnsi"/>
        </w:rPr>
        <w:t>założenia</w:t>
      </w:r>
      <w:r w:rsidR="003B50ED" w:rsidRPr="00F16251">
        <w:rPr>
          <w:rFonts w:cstheme="minorHAnsi"/>
        </w:rPr>
        <w:t xml:space="preserve"> </w:t>
      </w:r>
      <w:r w:rsidRPr="00F16251">
        <w:rPr>
          <w:rFonts w:cstheme="minorHAnsi"/>
        </w:rPr>
        <w:t>stanowiące</w:t>
      </w:r>
      <w:r w:rsidR="003B50ED" w:rsidRPr="00F16251">
        <w:rPr>
          <w:rFonts w:cstheme="minorHAnsi"/>
        </w:rPr>
        <w:t xml:space="preserve"> </w:t>
      </w:r>
      <w:r w:rsidRPr="00F16251">
        <w:rPr>
          <w:rFonts w:cstheme="minorHAnsi"/>
        </w:rPr>
        <w:t>fundament</w:t>
      </w:r>
      <w:r w:rsidR="003B50ED" w:rsidRPr="00F16251">
        <w:rPr>
          <w:rFonts w:cstheme="minorHAnsi"/>
        </w:rPr>
        <w:t xml:space="preserve"> </w:t>
      </w:r>
      <w:r w:rsidRPr="00F16251">
        <w:rPr>
          <w:rFonts w:cstheme="minorHAnsi"/>
        </w:rPr>
        <w:t>interwencji</w:t>
      </w:r>
      <w:r w:rsidR="003B50ED" w:rsidRPr="00F16251">
        <w:rPr>
          <w:rFonts w:cstheme="minorHAnsi"/>
        </w:rPr>
        <w:t xml:space="preserve"> </w:t>
      </w:r>
      <w:r w:rsidRPr="00F16251">
        <w:rPr>
          <w:rFonts w:cstheme="minorHAnsi"/>
        </w:rPr>
        <w:t>LEADER</w:t>
      </w:r>
      <w:r w:rsidR="003B50ED" w:rsidRPr="00F16251">
        <w:rPr>
          <w:rFonts w:cstheme="minorHAnsi"/>
        </w:rPr>
        <w:t xml:space="preserve"> </w:t>
      </w:r>
      <w:r w:rsidRPr="00F16251">
        <w:rPr>
          <w:rFonts w:cstheme="minorHAnsi"/>
        </w:rPr>
        <w:t>pozostały</w:t>
      </w:r>
      <w:r w:rsidR="003B50ED" w:rsidRPr="00F16251">
        <w:rPr>
          <w:rFonts w:cstheme="minorHAnsi"/>
        </w:rPr>
        <w:t xml:space="preserve"> </w:t>
      </w:r>
      <w:r w:rsidRPr="00F16251">
        <w:rPr>
          <w:rFonts w:cstheme="minorHAnsi"/>
        </w:rPr>
        <w:t>niezmienne</w:t>
      </w:r>
      <w:r w:rsidR="003B50ED" w:rsidRPr="00F16251">
        <w:rPr>
          <w:rFonts w:cstheme="minorHAnsi"/>
        </w:rPr>
        <w:t xml:space="preserve"> </w:t>
      </w:r>
      <w:r w:rsidRPr="00F16251">
        <w:rPr>
          <w:rFonts w:cstheme="minorHAnsi"/>
        </w:rPr>
        <w:t>–</w:t>
      </w:r>
      <w:r w:rsidR="003B50ED" w:rsidRPr="00F16251">
        <w:rPr>
          <w:rFonts w:cstheme="minorHAnsi"/>
        </w:rPr>
        <w:t xml:space="preserve"> </w:t>
      </w:r>
      <w:r w:rsidRPr="00F16251">
        <w:rPr>
          <w:rFonts w:cstheme="minorHAnsi"/>
        </w:rPr>
        <w:t>jak</w:t>
      </w:r>
      <w:r w:rsidR="003B50ED" w:rsidRPr="00F16251">
        <w:rPr>
          <w:rFonts w:cstheme="minorHAnsi"/>
        </w:rPr>
        <w:t xml:space="preserve"> </w:t>
      </w:r>
      <w:r w:rsidRPr="00F16251">
        <w:rPr>
          <w:rFonts w:cstheme="minorHAnsi"/>
        </w:rPr>
        <w:t>najszersze</w:t>
      </w:r>
      <w:r w:rsidR="003B50ED" w:rsidRPr="00F16251">
        <w:rPr>
          <w:rFonts w:cstheme="minorHAnsi"/>
        </w:rPr>
        <w:t xml:space="preserve"> </w:t>
      </w:r>
      <w:r w:rsidRPr="00F16251">
        <w:rPr>
          <w:rFonts w:cstheme="minorHAnsi"/>
        </w:rPr>
        <w:t>zaangażowanie</w:t>
      </w:r>
      <w:r w:rsidR="003B50ED" w:rsidRPr="00F16251">
        <w:rPr>
          <w:rFonts w:cstheme="minorHAnsi"/>
        </w:rPr>
        <w:t xml:space="preserve"> </w:t>
      </w:r>
      <w:r w:rsidRPr="00F16251">
        <w:rPr>
          <w:rFonts w:cstheme="minorHAnsi"/>
        </w:rPr>
        <w:t>lokalnych</w:t>
      </w:r>
      <w:r w:rsidR="003B50ED" w:rsidRPr="00F16251">
        <w:rPr>
          <w:rFonts w:cstheme="minorHAnsi"/>
        </w:rPr>
        <w:t xml:space="preserve"> </w:t>
      </w:r>
      <w:r w:rsidRPr="00F16251">
        <w:rPr>
          <w:rFonts w:cstheme="minorHAnsi"/>
        </w:rPr>
        <w:t>środowisk,</w:t>
      </w:r>
      <w:r w:rsidR="003B50ED" w:rsidRPr="00F16251">
        <w:rPr>
          <w:rFonts w:cstheme="minorHAnsi"/>
        </w:rPr>
        <w:t xml:space="preserve"> </w:t>
      </w:r>
      <w:r w:rsidRPr="00F16251">
        <w:rPr>
          <w:rFonts w:cstheme="minorHAnsi"/>
        </w:rPr>
        <w:t>reprezentujących</w:t>
      </w:r>
      <w:r w:rsidR="003B50ED" w:rsidRPr="00F16251">
        <w:rPr>
          <w:rFonts w:cstheme="minorHAnsi"/>
        </w:rPr>
        <w:t xml:space="preserve"> </w:t>
      </w:r>
      <w:r w:rsidRPr="00F16251">
        <w:rPr>
          <w:rFonts w:cstheme="minorHAnsi"/>
        </w:rPr>
        <w:t>wszystkie</w:t>
      </w:r>
      <w:r w:rsidR="003B50ED" w:rsidRPr="00F16251">
        <w:rPr>
          <w:rFonts w:cstheme="minorHAnsi"/>
        </w:rPr>
        <w:t xml:space="preserve"> </w:t>
      </w:r>
      <w:r w:rsidRPr="00F16251">
        <w:rPr>
          <w:rFonts w:cstheme="minorHAnsi"/>
        </w:rPr>
        <w:t>grupy</w:t>
      </w:r>
      <w:r w:rsidR="003B50ED" w:rsidRPr="00F16251">
        <w:rPr>
          <w:rFonts w:cstheme="minorHAnsi"/>
        </w:rPr>
        <w:t xml:space="preserve"> </w:t>
      </w:r>
      <w:r w:rsidRPr="00F16251">
        <w:rPr>
          <w:rFonts w:cstheme="minorHAnsi"/>
        </w:rPr>
        <w:t>społeczne</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sektory</w:t>
      </w:r>
      <w:r w:rsidR="003B50ED" w:rsidRPr="00F16251">
        <w:rPr>
          <w:rFonts w:cstheme="minorHAnsi"/>
        </w:rPr>
        <w:t xml:space="preserve"> </w:t>
      </w:r>
      <w:r w:rsidRPr="00F16251">
        <w:rPr>
          <w:rFonts w:cstheme="minorHAnsi"/>
        </w:rPr>
        <w:t>interesu</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rzecz</w:t>
      </w:r>
      <w:r w:rsidR="003B50ED" w:rsidRPr="00F16251">
        <w:rPr>
          <w:rFonts w:cstheme="minorHAnsi"/>
        </w:rPr>
        <w:t xml:space="preserve"> </w:t>
      </w:r>
      <w:r w:rsidRPr="00F16251">
        <w:rPr>
          <w:rFonts w:cstheme="minorHAnsi"/>
        </w:rPr>
        <w:t>rozwiązywania</w:t>
      </w:r>
      <w:r w:rsidR="003B50ED" w:rsidRPr="00F16251">
        <w:rPr>
          <w:rFonts w:cstheme="minorHAnsi"/>
        </w:rPr>
        <w:t xml:space="preserve"> </w:t>
      </w:r>
      <w:r w:rsidRPr="00F16251">
        <w:rPr>
          <w:rFonts w:cstheme="minorHAnsi"/>
        </w:rPr>
        <w:t>problemów</w:t>
      </w:r>
      <w:r w:rsidR="003B50ED" w:rsidRPr="00F16251">
        <w:rPr>
          <w:rFonts w:cstheme="minorHAnsi"/>
        </w:rPr>
        <w:t xml:space="preserve"> </w:t>
      </w:r>
      <w:r w:rsidRPr="00F16251">
        <w:rPr>
          <w:rFonts w:cstheme="minorHAnsi"/>
        </w:rPr>
        <w:t>zdiagnozowanych</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danym</w:t>
      </w:r>
      <w:r w:rsidR="003B50ED" w:rsidRPr="00F16251">
        <w:rPr>
          <w:rFonts w:cstheme="minorHAnsi"/>
        </w:rPr>
        <w:t xml:space="preserve"> </w:t>
      </w:r>
      <w:r w:rsidRPr="00F16251">
        <w:rPr>
          <w:rFonts w:cstheme="minorHAnsi"/>
        </w:rPr>
        <w:t>obszarze.</w:t>
      </w:r>
      <w:r w:rsidR="003B50ED" w:rsidRPr="00F16251">
        <w:rPr>
          <w:rFonts w:cstheme="minorHAnsi"/>
        </w:rPr>
        <w:t xml:space="preserve"> </w:t>
      </w:r>
      <w:r w:rsidRPr="00F16251">
        <w:rPr>
          <w:rFonts w:cstheme="minorHAnsi"/>
        </w:rPr>
        <w:t>Zatem</w:t>
      </w:r>
      <w:r w:rsidR="003B50ED" w:rsidRPr="00F16251">
        <w:rPr>
          <w:rFonts w:cstheme="minorHAnsi"/>
        </w:rPr>
        <w:t xml:space="preserve"> </w:t>
      </w:r>
      <w:r w:rsidRPr="00F16251">
        <w:rPr>
          <w:rFonts w:cstheme="minorHAnsi"/>
        </w:rPr>
        <w:t>dotychczasowe</w:t>
      </w:r>
      <w:r w:rsidR="003B50ED" w:rsidRPr="00F16251">
        <w:rPr>
          <w:rFonts w:cstheme="minorHAnsi"/>
        </w:rPr>
        <w:t xml:space="preserve"> </w:t>
      </w:r>
      <w:r w:rsidRPr="00F16251">
        <w:rPr>
          <w:rFonts w:cstheme="minorHAnsi"/>
        </w:rPr>
        <w:t>funkcjonowanie</w:t>
      </w:r>
      <w:r w:rsidR="003B50ED" w:rsidRPr="00F16251">
        <w:rPr>
          <w:rFonts w:cstheme="minorHAnsi"/>
        </w:rPr>
        <w:t xml:space="preserve"> </w:t>
      </w:r>
      <w:r w:rsidRPr="00F16251">
        <w:rPr>
          <w:rFonts w:cstheme="minorHAnsi"/>
        </w:rPr>
        <w:br/>
        <w:t>i</w:t>
      </w:r>
      <w:r w:rsidR="003B50ED" w:rsidRPr="00F16251">
        <w:rPr>
          <w:rFonts w:cstheme="minorHAnsi"/>
        </w:rPr>
        <w:t xml:space="preserve"> </w:t>
      </w:r>
      <w:r w:rsidRPr="00F16251">
        <w:rPr>
          <w:rFonts w:cstheme="minorHAnsi"/>
        </w:rPr>
        <w:t>wdrażanie</w:t>
      </w:r>
      <w:r w:rsidR="003B50ED" w:rsidRPr="00F16251">
        <w:rPr>
          <w:rFonts w:cstheme="minorHAnsi"/>
        </w:rPr>
        <w:t xml:space="preserve"> </w:t>
      </w:r>
      <w:r w:rsidRPr="00F16251">
        <w:rPr>
          <w:rFonts w:cstheme="minorHAnsi"/>
        </w:rPr>
        <w:t>LSR,</w:t>
      </w:r>
      <w:r w:rsidR="003B50ED" w:rsidRPr="00F16251">
        <w:rPr>
          <w:rFonts w:cstheme="minorHAnsi"/>
        </w:rPr>
        <w:t xml:space="preserve"> </w:t>
      </w:r>
      <w:r w:rsidRPr="00F16251">
        <w:rPr>
          <w:rFonts w:cstheme="minorHAnsi"/>
        </w:rPr>
        <w:t>analogicznie</w:t>
      </w:r>
      <w:r w:rsidR="003B50ED" w:rsidRPr="00F16251">
        <w:rPr>
          <w:rFonts w:cstheme="minorHAnsi"/>
        </w:rPr>
        <w:t xml:space="preserve"> </w:t>
      </w:r>
      <w:r w:rsidRPr="00F16251">
        <w:rPr>
          <w:rFonts w:cstheme="minorHAnsi"/>
        </w:rPr>
        <w:t>jak</w:t>
      </w:r>
      <w:r w:rsidR="003B50ED">
        <w:rPr>
          <w:rFonts w:cstheme="minorHAnsi"/>
        </w:rPr>
        <w:t xml:space="preserve"> </w:t>
      </w:r>
      <w:r w:rsidRPr="00A26C26">
        <w:rPr>
          <w:rFonts w:cstheme="minorHAnsi"/>
        </w:rPr>
        <w:t>to</w:t>
      </w:r>
      <w:r w:rsidR="003B50ED">
        <w:rPr>
          <w:rFonts w:cstheme="minorHAnsi"/>
        </w:rPr>
        <w:t xml:space="preserve"> </w:t>
      </w:r>
      <w:r w:rsidRPr="00A26C26">
        <w:rPr>
          <w:rFonts w:cstheme="minorHAnsi"/>
        </w:rPr>
        <w:t>będzie</w:t>
      </w:r>
      <w:r w:rsidR="003B50ED">
        <w:rPr>
          <w:rFonts w:cstheme="minorHAnsi"/>
        </w:rPr>
        <w:t xml:space="preserve"> </w:t>
      </w:r>
      <w:r w:rsidRPr="00A26C26">
        <w:rPr>
          <w:rFonts w:cstheme="minorHAnsi"/>
        </w:rPr>
        <w:t>miało</w:t>
      </w:r>
      <w:r w:rsidR="003B50ED">
        <w:rPr>
          <w:rFonts w:cstheme="minorHAnsi"/>
        </w:rPr>
        <w:t xml:space="preserve"> </w:t>
      </w:r>
      <w:r w:rsidRPr="00A26C26">
        <w:rPr>
          <w:rFonts w:cstheme="minorHAnsi"/>
        </w:rPr>
        <w:t>miejsce</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latach</w:t>
      </w:r>
      <w:r w:rsidR="003B50ED">
        <w:rPr>
          <w:rFonts w:cstheme="minorHAnsi"/>
        </w:rPr>
        <w:t xml:space="preserve"> </w:t>
      </w:r>
      <w:r w:rsidRPr="00A26C26">
        <w:rPr>
          <w:rFonts w:cstheme="minorHAnsi"/>
        </w:rPr>
        <w:t>2023-2027</w:t>
      </w:r>
      <w:r w:rsidR="003B50ED">
        <w:rPr>
          <w:rFonts w:cstheme="minorHAnsi"/>
        </w:rPr>
        <w:t xml:space="preserve"> </w:t>
      </w:r>
      <w:r w:rsidRPr="00A26C26">
        <w:rPr>
          <w:rFonts w:cstheme="minorHAnsi"/>
        </w:rPr>
        <w:t>dotyczyło</w:t>
      </w:r>
      <w:r w:rsidR="003B50ED">
        <w:rPr>
          <w:rFonts w:cstheme="minorHAnsi"/>
        </w:rPr>
        <w:t xml:space="preserve"> </w:t>
      </w:r>
      <w:r w:rsidRPr="00A26C26">
        <w:rPr>
          <w:rFonts w:cstheme="minorHAnsi"/>
        </w:rPr>
        <w:t>wzmocnienia</w:t>
      </w:r>
      <w:r w:rsidR="003B50ED">
        <w:rPr>
          <w:rFonts w:cstheme="minorHAnsi"/>
        </w:rPr>
        <w:t xml:space="preserve"> </w:t>
      </w:r>
      <w:r w:rsidRPr="00A26C26">
        <w:rPr>
          <w:rFonts w:cstheme="minorHAnsi"/>
        </w:rPr>
        <w:t>przedsiębiorczości,</w:t>
      </w:r>
      <w:r w:rsidR="003B50ED">
        <w:rPr>
          <w:rFonts w:cstheme="minorHAnsi"/>
        </w:rPr>
        <w:t xml:space="preserve"> </w:t>
      </w:r>
      <w:r w:rsidRPr="00A26C26">
        <w:rPr>
          <w:rFonts w:cstheme="minorHAnsi"/>
        </w:rPr>
        <w:t>zwiększenia</w:t>
      </w:r>
      <w:r w:rsidR="003B50ED">
        <w:rPr>
          <w:rFonts w:cstheme="minorHAnsi"/>
        </w:rPr>
        <w:t xml:space="preserve"> </w:t>
      </w:r>
      <w:r w:rsidRPr="00A26C26">
        <w:rPr>
          <w:rFonts w:cstheme="minorHAnsi"/>
        </w:rPr>
        <w:t>aktywności</w:t>
      </w:r>
      <w:r w:rsidR="003B50ED">
        <w:rPr>
          <w:rFonts w:cstheme="minorHAnsi"/>
        </w:rPr>
        <w:t xml:space="preserve"> </w:t>
      </w:r>
      <w:r w:rsidRPr="00A26C26">
        <w:rPr>
          <w:rFonts w:cstheme="minorHAnsi"/>
        </w:rPr>
        <w:t>obywatelskiej,</w:t>
      </w:r>
      <w:r w:rsidR="003B50ED">
        <w:rPr>
          <w:rFonts w:cstheme="minorHAnsi"/>
        </w:rPr>
        <w:t xml:space="preserve"> </w:t>
      </w:r>
      <w:r w:rsidRPr="00A26C26">
        <w:rPr>
          <w:rFonts w:cstheme="minorHAnsi"/>
        </w:rPr>
        <w:t>włączenia</w:t>
      </w:r>
      <w:r w:rsidR="003B50ED">
        <w:rPr>
          <w:rFonts w:cstheme="minorHAnsi"/>
        </w:rPr>
        <w:t xml:space="preserve"> </w:t>
      </w:r>
      <w:r w:rsidRPr="00A26C26">
        <w:rPr>
          <w:rFonts w:cstheme="minorHAnsi"/>
        </w:rPr>
        <w:t>społecznego</w:t>
      </w:r>
      <w:r w:rsidR="003B50ED">
        <w:rPr>
          <w:rFonts w:cstheme="minorHAnsi"/>
        </w:rPr>
        <w:t xml:space="preserve"> </w:t>
      </w:r>
      <w:r w:rsidRPr="00A26C26">
        <w:rPr>
          <w:rFonts w:cstheme="minorHAnsi"/>
        </w:rPr>
        <w:t>osób</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niekorzystnej</w:t>
      </w:r>
      <w:r w:rsidR="003B50ED">
        <w:rPr>
          <w:rFonts w:cstheme="minorHAnsi"/>
        </w:rPr>
        <w:t xml:space="preserve"> </w:t>
      </w:r>
      <w:r w:rsidRPr="00A26C26">
        <w:rPr>
          <w:rFonts w:cstheme="minorHAnsi"/>
        </w:rPr>
        <w:t>sytuacji,</w:t>
      </w:r>
      <w:r w:rsidR="003B50ED">
        <w:rPr>
          <w:rFonts w:cstheme="minorHAnsi"/>
        </w:rPr>
        <w:t xml:space="preserve"> </w:t>
      </w:r>
      <w:r w:rsidRPr="00A26C26">
        <w:rPr>
          <w:rFonts w:cstheme="minorHAnsi"/>
        </w:rPr>
        <w:t>seniorów</w:t>
      </w:r>
      <w:r w:rsidR="003B50ED">
        <w:rPr>
          <w:rFonts w:cstheme="minorHAnsi"/>
        </w:rPr>
        <w:t xml:space="preserve"> </w:t>
      </w:r>
      <w:r w:rsidRPr="00A26C26">
        <w:rPr>
          <w:rFonts w:cstheme="minorHAnsi"/>
        </w:rPr>
        <w:t>oraz</w:t>
      </w:r>
      <w:r w:rsidR="003B50ED">
        <w:rPr>
          <w:rFonts w:cstheme="minorHAnsi"/>
        </w:rPr>
        <w:t xml:space="preserve"> </w:t>
      </w:r>
      <w:r w:rsidRPr="00A26C26">
        <w:rPr>
          <w:rFonts w:cstheme="minorHAnsi"/>
        </w:rPr>
        <w:t>aktywizacji</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integracji</w:t>
      </w:r>
      <w:r w:rsidR="003B50ED">
        <w:rPr>
          <w:rFonts w:cstheme="minorHAnsi"/>
        </w:rPr>
        <w:t xml:space="preserve"> </w:t>
      </w:r>
      <w:r w:rsidRPr="00A26C26">
        <w:rPr>
          <w:rFonts w:cstheme="minorHAnsi"/>
        </w:rPr>
        <w:t>osób</w:t>
      </w:r>
      <w:r w:rsidR="003B50ED">
        <w:rPr>
          <w:rFonts w:cstheme="minorHAnsi"/>
        </w:rPr>
        <w:t xml:space="preserve"> </w:t>
      </w:r>
      <w:r w:rsidRPr="00A26C26">
        <w:rPr>
          <w:rFonts w:cstheme="minorHAnsi"/>
        </w:rPr>
        <w:t>młodych.</w:t>
      </w:r>
      <w:r w:rsidR="003B50ED">
        <w:rPr>
          <w:rFonts w:cstheme="minorHAnsi"/>
        </w:rPr>
        <w:t xml:space="preserve"> </w:t>
      </w:r>
    </w:p>
    <w:p w14:paraId="72629AC2" w14:textId="680074BB" w:rsidR="00990CC1" w:rsidRPr="00A26C26" w:rsidRDefault="00990CC1" w:rsidP="00A26C26">
      <w:pPr>
        <w:pStyle w:val="NormalnyWeb"/>
        <w:spacing w:before="0" w:after="0" w:line="276" w:lineRule="auto"/>
        <w:ind w:firstLine="284"/>
        <w:jc w:val="both"/>
        <w:rPr>
          <w:rFonts w:asciiTheme="minorHAnsi" w:hAnsiTheme="minorHAnsi" w:cstheme="minorHAnsi"/>
          <w:b/>
          <w:bCs/>
          <w:sz w:val="22"/>
          <w:szCs w:val="22"/>
        </w:rPr>
      </w:pPr>
      <w:r w:rsidRPr="00A26C26">
        <w:rPr>
          <w:rFonts w:asciiTheme="minorHAnsi" w:hAnsiTheme="minorHAnsi" w:cstheme="minorHAnsi"/>
          <w:b/>
          <w:bCs/>
          <w:sz w:val="22"/>
          <w:szCs w:val="22"/>
        </w:rPr>
        <w:t>Doświadczenie</w:t>
      </w:r>
      <w:r w:rsidR="003B50ED">
        <w:rPr>
          <w:rFonts w:asciiTheme="minorHAnsi" w:hAnsiTheme="minorHAnsi" w:cstheme="minorHAnsi"/>
          <w:b/>
          <w:bCs/>
          <w:sz w:val="22"/>
          <w:szCs w:val="22"/>
        </w:rPr>
        <w:t xml:space="preserve"> </w:t>
      </w:r>
      <w:r w:rsidRPr="00A26C26">
        <w:rPr>
          <w:rFonts w:asciiTheme="minorHAnsi" w:hAnsiTheme="minorHAnsi" w:cstheme="minorHAnsi"/>
          <w:b/>
          <w:bCs/>
          <w:sz w:val="22"/>
          <w:szCs w:val="22"/>
        </w:rPr>
        <w:t>partnerów</w:t>
      </w:r>
    </w:p>
    <w:p w14:paraId="2DBFFAA3" w14:textId="7F7EEB42" w:rsidR="00121F8C" w:rsidRPr="00A26C26" w:rsidRDefault="00121F8C" w:rsidP="00A26C26">
      <w:pPr>
        <w:pStyle w:val="NormalnyWeb"/>
        <w:spacing w:before="0" w:after="0" w:line="276" w:lineRule="auto"/>
        <w:ind w:firstLine="284"/>
        <w:jc w:val="both"/>
        <w:rPr>
          <w:rFonts w:asciiTheme="minorHAnsi" w:hAnsiTheme="minorHAnsi" w:cstheme="minorHAnsi"/>
          <w:sz w:val="22"/>
          <w:szCs w:val="22"/>
        </w:rPr>
      </w:pPr>
      <w:r w:rsidRPr="00A26C26">
        <w:rPr>
          <w:rFonts w:asciiTheme="minorHAnsi" w:hAnsiTheme="minorHAnsi" w:cstheme="minorHAnsi"/>
          <w:sz w:val="22"/>
          <w:szCs w:val="22"/>
        </w:rPr>
        <w:t>Również</w:t>
      </w:r>
      <w:r w:rsidR="003B50ED">
        <w:rPr>
          <w:rFonts w:asciiTheme="minorHAnsi" w:hAnsiTheme="minorHAnsi" w:cstheme="minorHAnsi"/>
          <w:sz w:val="22"/>
          <w:szCs w:val="22"/>
        </w:rPr>
        <w:t xml:space="preserve"> </w:t>
      </w:r>
      <w:r w:rsidRPr="00A26C26">
        <w:rPr>
          <w:rFonts w:asciiTheme="minorHAnsi" w:hAnsiTheme="minorHAnsi" w:cstheme="minorHAnsi"/>
          <w:sz w:val="22"/>
          <w:szCs w:val="22"/>
        </w:rPr>
        <w:t>gminy</w:t>
      </w:r>
      <w:r w:rsidR="003B50ED">
        <w:rPr>
          <w:rFonts w:asciiTheme="minorHAnsi" w:hAnsiTheme="minorHAnsi" w:cstheme="minorHAnsi"/>
          <w:sz w:val="22"/>
          <w:szCs w:val="22"/>
        </w:rPr>
        <w:t xml:space="preserve"> </w:t>
      </w:r>
      <w:r w:rsidRPr="001C1B81">
        <w:rPr>
          <w:rFonts w:asciiTheme="minorHAnsi" w:hAnsiTheme="minorHAnsi" w:cstheme="minorHAnsi"/>
          <w:sz w:val="22"/>
          <w:szCs w:val="22"/>
        </w:rPr>
        <w:t>członkowskie</w:t>
      </w:r>
      <w:r w:rsidR="003B50ED" w:rsidRPr="001C1B81">
        <w:rPr>
          <w:rFonts w:asciiTheme="minorHAnsi" w:hAnsiTheme="minorHAnsi" w:cstheme="minorHAnsi"/>
          <w:sz w:val="22"/>
          <w:szCs w:val="22"/>
        </w:rPr>
        <w:t xml:space="preserve"> </w:t>
      </w:r>
      <w:r w:rsidR="0004602C" w:rsidRPr="001C1B81">
        <w:rPr>
          <w:rFonts w:asciiTheme="minorHAnsi" w:hAnsiTheme="minorHAnsi" w:cstheme="minorHAnsi"/>
        </w:rPr>
        <w:t xml:space="preserve">Stowarzyszenia </w:t>
      </w:r>
      <w:r w:rsidR="0004602C" w:rsidRPr="001C1B81">
        <w:rPr>
          <w:rFonts w:asciiTheme="minorHAnsi" w:hAnsiTheme="minorHAnsi" w:cstheme="minorHAnsi"/>
          <w:sz w:val="22"/>
          <w:szCs w:val="22"/>
        </w:rPr>
        <w:t>„Solidarni</w:t>
      </w:r>
      <w:r w:rsidR="0004602C" w:rsidRPr="001C1B81">
        <w:rPr>
          <w:rFonts w:asciiTheme="minorHAnsi" w:hAnsiTheme="minorHAnsi" w:cstheme="minorHAnsi"/>
        </w:rPr>
        <w:t xml:space="preserve"> </w:t>
      </w:r>
      <w:r w:rsidR="0004602C" w:rsidRPr="001C1B81">
        <w:rPr>
          <w:rFonts w:asciiTheme="minorHAnsi" w:hAnsiTheme="minorHAnsi" w:cstheme="minorHAnsi"/>
          <w:sz w:val="22"/>
          <w:szCs w:val="22"/>
        </w:rPr>
        <w:t>w</w:t>
      </w:r>
      <w:r w:rsidR="0004602C" w:rsidRPr="001C1B81">
        <w:rPr>
          <w:rFonts w:asciiTheme="minorHAnsi" w:hAnsiTheme="minorHAnsi" w:cstheme="minorHAnsi"/>
        </w:rPr>
        <w:t xml:space="preserve"> </w:t>
      </w:r>
      <w:r w:rsidR="0004602C" w:rsidRPr="001C1B81">
        <w:rPr>
          <w:rFonts w:asciiTheme="minorHAnsi" w:hAnsiTheme="minorHAnsi" w:cstheme="minorHAnsi"/>
          <w:sz w:val="22"/>
          <w:szCs w:val="22"/>
        </w:rPr>
        <w:t>Partnerstwie</w:t>
      </w:r>
      <w:r w:rsidR="0004602C" w:rsidRPr="00A26C26">
        <w:rPr>
          <w:rFonts w:asciiTheme="minorHAnsi" w:hAnsiTheme="minorHAnsi" w:cstheme="minorHAnsi"/>
          <w:sz w:val="22"/>
          <w:szCs w:val="22"/>
        </w:rPr>
        <w:t>”</w:t>
      </w:r>
      <w:r w:rsidR="0004602C">
        <w:rPr>
          <w:rFonts w:asciiTheme="minorHAnsi" w:hAnsiTheme="minorHAnsi" w:cstheme="minorHAnsi"/>
          <w:sz w:val="22"/>
          <w:szCs w:val="22"/>
        </w:rPr>
        <w:t xml:space="preserve"> </w:t>
      </w:r>
      <w:r w:rsidRPr="00A26C26">
        <w:rPr>
          <w:rFonts w:asciiTheme="minorHAnsi" w:hAnsiTheme="minorHAnsi" w:cstheme="minorHAnsi"/>
          <w:sz w:val="22"/>
          <w:szCs w:val="22"/>
        </w:rPr>
        <w:t>mogą</w:t>
      </w:r>
      <w:r w:rsidR="003B50ED">
        <w:rPr>
          <w:rFonts w:asciiTheme="minorHAnsi" w:hAnsiTheme="minorHAnsi" w:cstheme="minorHAnsi"/>
          <w:sz w:val="22"/>
          <w:szCs w:val="22"/>
        </w:rPr>
        <w:t xml:space="preserve"> </w:t>
      </w:r>
      <w:r w:rsidR="00C71E9E">
        <w:rPr>
          <w:rFonts w:asciiTheme="minorHAnsi" w:hAnsiTheme="minorHAnsi" w:cstheme="minorHAnsi"/>
          <w:sz w:val="22"/>
          <w:szCs w:val="22"/>
        </w:rPr>
        <w:t xml:space="preserve">bogate </w:t>
      </w:r>
      <w:r w:rsidRPr="00A26C26">
        <w:rPr>
          <w:rFonts w:asciiTheme="minorHAnsi" w:hAnsiTheme="minorHAnsi" w:cstheme="minorHAnsi"/>
          <w:sz w:val="22"/>
          <w:szCs w:val="22"/>
        </w:rPr>
        <w:t>doświadczenie</w:t>
      </w:r>
      <w:r w:rsidR="003B50ED">
        <w:rPr>
          <w:rFonts w:asciiTheme="minorHAnsi" w:hAnsiTheme="minorHAnsi" w:cstheme="minorHAnsi"/>
          <w:sz w:val="22"/>
          <w:szCs w:val="22"/>
        </w:rPr>
        <w:t xml:space="preserve"> </w:t>
      </w:r>
      <w:r w:rsidRPr="00A26C26">
        <w:rPr>
          <w:rFonts w:asciiTheme="minorHAnsi" w:hAnsiTheme="minorHAnsi" w:cstheme="minorHAnsi"/>
          <w:sz w:val="22"/>
          <w:szCs w:val="22"/>
        </w:rPr>
        <w:t>realizacji</w:t>
      </w:r>
      <w:r w:rsidR="003B50ED">
        <w:rPr>
          <w:rFonts w:asciiTheme="minorHAnsi" w:hAnsiTheme="minorHAnsi" w:cstheme="minorHAnsi"/>
          <w:sz w:val="22"/>
          <w:szCs w:val="22"/>
        </w:rPr>
        <w:t xml:space="preserve"> </w:t>
      </w:r>
      <w:r w:rsidR="00C71E9E">
        <w:rPr>
          <w:rFonts w:asciiTheme="minorHAnsi" w:hAnsiTheme="minorHAnsi" w:cstheme="minorHAnsi"/>
          <w:sz w:val="22"/>
          <w:szCs w:val="22"/>
        </w:rPr>
        <w:t xml:space="preserve">projektów dotyczących </w:t>
      </w:r>
      <w:r w:rsidRPr="00A26C26">
        <w:rPr>
          <w:rFonts w:asciiTheme="minorHAnsi" w:hAnsiTheme="minorHAnsi" w:cstheme="minorHAnsi"/>
          <w:sz w:val="22"/>
          <w:szCs w:val="22"/>
        </w:rPr>
        <w:t>integracji</w:t>
      </w:r>
      <w:r w:rsidR="003B50ED">
        <w:rPr>
          <w:rFonts w:asciiTheme="minorHAnsi" w:hAnsiTheme="minorHAnsi" w:cstheme="minorHAnsi"/>
          <w:sz w:val="22"/>
          <w:szCs w:val="22"/>
        </w:rPr>
        <w:t xml:space="preserve"> </w:t>
      </w:r>
      <w:r w:rsidRPr="00A26C26">
        <w:rPr>
          <w:rFonts w:asciiTheme="minorHAnsi" w:hAnsiTheme="minorHAnsi" w:cstheme="minorHAnsi"/>
          <w:sz w:val="22"/>
          <w:szCs w:val="22"/>
        </w:rPr>
        <w:t>mieszkańców</w:t>
      </w:r>
      <w:r w:rsidR="003B50ED">
        <w:rPr>
          <w:rFonts w:asciiTheme="minorHAnsi" w:hAnsiTheme="minorHAnsi" w:cstheme="minorHAnsi"/>
          <w:sz w:val="22"/>
          <w:szCs w:val="22"/>
        </w:rPr>
        <w:t xml:space="preserve"> </w:t>
      </w:r>
      <w:r w:rsidRPr="00A26C26">
        <w:rPr>
          <w:rFonts w:asciiTheme="minorHAnsi" w:hAnsiTheme="minorHAnsi" w:cstheme="minorHAnsi"/>
          <w:sz w:val="22"/>
          <w:szCs w:val="22"/>
        </w:rPr>
        <w:t>oraz</w:t>
      </w:r>
      <w:r w:rsidR="003B50ED">
        <w:rPr>
          <w:rFonts w:asciiTheme="minorHAnsi" w:hAnsiTheme="minorHAnsi" w:cstheme="minorHAnsi"/>
          <w:sz w:val="22"/>
          <w:szCs w:val="22"/>
        </w:rPr>
        <w:t xml:space="preserve"> </w:t>
      </w:r>
      <w:r w:rsidRPr="00A26C26">
        <w:rPr>
          <w:rFonts w:asciiTheme="minorHAnsi" w:hAnsiTheme="minorHAnsi" w:cstheme="minorHAnsi"/>
          <w:sz w:val="22"/>
          <w:szCs w:val="22"/>
        </w:rPr>
        <w:t>poprawy</w:t>
      </w:r>
      <w:r w:rsidR="003B50ED">
        <w:rPr>
          <w:rFonts w:asciiTheme="minorHAnsi" w:hAnsiTheme="minorHAnsi" w:cstheme="minorHAnsi"/>
          <w:sz w:val="22"/>
          <w:szCs w:val="22"/>
        </w:rPr>
        <w:t xml:space="preserve"> </w:t>
      </w:r>
      <w:r w:rsidRPr="00A26C26">
        <w:rPr>
          <w:rFonts w:asciiTheme="minorHAnsi" w:hAnsiTheme="minorHAnsi" w:cstheme="minorHAnsi"/>
          <w:sz w:val="22"/>
          <w:szCs w:val="22"/>
        </w:rPr>
        <w:t>jakości</w:t>
      </w:r>
      <w:r w:rsidR="003B50ED">
        <w:rPr>
          <w:rFonts w:asciiTheme="minorHAnsi" w:hAnsiTheme="minorHAnsi" w:cstheme="minorHAnsi"/>
          <w:sz w:val="22"/>
          <w:szCs w:val="22"/>
        </w:rPr>
        <w:t xml:space="preserve"> </w:t>
      </w:r>
      <w:r w:rsidRPr="00A26C26">
        <w:rPr>
          <w:rFonts w:asciiTheme="minorHAnsi" w:hAnsiTheme="minorHAnsi" w:cstheme="minorHAnsi"/>
          <w:sz w:val="22"/>
          <w:szCs w:val="22"/>
        </w:rPr>
        <w:t>ich</w:t>
      </w:r>
      <w:r w:rsidR="003B50ED">
        <w:rPr>
          <w:rFonts w:asciiTheme="minorHAnsi" w:hAnsiTheme="minorHAnsi" w:cstheme="minorHAnsi"/>
          <w:sz w:val="22"/>
          <w:szCs w:val="22"/>
        </w:rPr>
        <w:t xml:space="preserve"> </w:t>
      </w:r>
      <w:r w:rsidRPr="00A26C26">
        <w:rPr>
          <w:rFonts w:asciiTheme="minorHAnsi" w:hAnsiTheme="minorHAnsi" w:cstheme="minorHAnsi"/>
          <w:sz w:val="22"/>
          <w:szCs w:val="22"/>
        </w:rPr>
        <w:t>życia</w:t>
      </w:r>
      <w:r w:rsidR="00C71E9E">
        <w:rPr>
          <w:rFonts w:asciiTheme="minorHAnsi" w:hAnsiTheme="minorHAnsi" w:cstheme="minorHAnsi"/>
          <w:sz w:val="22"/>
          <w:szCs w:val="22"/>
        </w:rPr>
        <w:t xml:space="preserve"> na obszarze objętym LSR</w:t>
      </w:r>
      <w:r w:rsidRPr="00A26C26">
        <w:rPr>
          <w:rFonts w:asciiTheme="minorHAnsi" w:hAnsiTheme="minorHAnsi" w:cstheme="minorHAnsi"/>
          <w:sz w:val="22"/>
          <w:szCs w:val="22"/>
        </w:rPr>
        <w:t>.</w:t>
      </w:r>
      <w:r w:rsidR="003B50ED">
        <w:rPr>
          <w:rFonts w:asciiTheme="minorHAnsi" w:hAnsiTheme="minorHAnsi" w:cstheme="minorHAnsi"/>
          <w:sz w:val="22"/>
          <w:szCs w:val="22"/>
        </w:rPr>
        <w:t xml:space="preserve"> </w:t>
      </w:r>
      <w:r w:rsidR="00C71E9E">
        <w:rPr>
          <w:rFonts w:asciiTheme="minorHAnsi" w:hAnsiTheme="minorHAnsi" w:cstheme="minorHAnsi"/>
          <w:sz w:val="22"/>
          <w:szCs w:val="22"/>
        </w:rPr>
        <w:t>Były one finansowane z różnych źródeł, w tym środków krajowych i programów pomocowych</w:t>
      </w:r>
      <w:r w:rsidR="00155723" w:rsidRPr="00A26C26">
        <w:rPr>
          <w:rFonts w:asciiTheme="minorHAnsi" w:hAnsiTheme="minorHAnsi" w:cstheme="minorHAnsi"/>
          <w:sz w:val="22"/>
          <w:szCs w:val="22"/>
        </w:rPr>
        <w:t>.</w:t>
      </w:r>
      <w:r w:rsidR="003B50ED">
        <w:rPr>
          <w:rFonts w:asciiTheme="minorHAnsi" w:hAnsiTheme="minorHAnsi" w:cstheme="minorHAnsi"/>
          <w:sz w:val="22"/>
          <w:szCs w:val="22"/>
        </w:rPr>
        <w:t xml:space="preserve"> </w:t>
      </w:r>
      <w:r w:rsidRPr="00A26C26">
        <w:rPr>
          <w:rFonts w:asciiTheme="minorHAnsi" w:hAnsiTheme="minorHAnsi" w:cstheme="minorHAnsi"/>
          <w:sz w:val="22"/>
          <w:szCs w:val="22"/>
        </w:rPr>
        <w:t>W</w:t>
      </w:r>
      <w:r w:rsidR="003B50ED">
        <w:rPr>
          <w:rFonts w:asciiTheme="minorHAnsi" w:hAnsiTheme="minorHAnsi" w:cstheme="minorHAnsi"/>
          <w:sz w:val="22"/>
          <w:szCs w:val="22"/>
        </w:rPr>
        <w:t xml:space="preserve"> </w:t>
      </w:r>
      <w:r w:rsidRPr="00A26C26">
        <w:rPr>
          <w:rFonts w:asciiTheme="minorHAnsi" w:hAnsiTheme="minorHAnsi" w:cstheme="minorHAnsi"/>
          <w:sz w:val="22"/>
          <w:szCs w:val="22"/>
        </w:rPr>
        <w:t>wyniku</w:t>
      </w:r>
      <w:r w:rsidR="003B50ED">
        <w:rPr>
          <w:rFonts w:asciiTheme="minorHAnsi" w:hAnsiTheme="minorHAnsi" w:cstheme="minorHAnsi"/>
          <w:sz w:val="22"/>
          <w:szCs w:val="22"/>
        </w:rPr>
        <w:t xml:space="preserve"> </w:t>
      </w:r>
      <w:r w:rsidRPr="00A26C26">
        <w:rPr>
          <w:rFonts w:asciiTheme="minorHAnsi" w:hAnsiTheme="minorHAnsi" w:cstheme="minorHAnsi"/>
          <w:sz w:val="22"/>
          <w:szCs w:val="22"/>
        </w:rPr>
        <w:t>ich</w:t>
      </w:r>
      <w:r w:rsidR="003B50ED">
        <w:rPr>
          <w:rFonts w:asciiTheme="minorHAnsi" w:hAnsiTheme="minorHAnsi" w:cstheme="minorHAnsi"/>
          <w:sz w:val="22"/>
          <w:szCs w:val="22"/>
        </w:rPr>
        <w:t xml:space="preserve"> </w:t>
      </w:r>
      <w:r w:rsidRPr="00A26C26">
        <w:rPr>
          <w:rFonts w:asciiTheme="minorHAnsi" w:hAnsiTheme="minorHAnsi" w:cstheme="minorHAnsi"/>
          <w:sz w:val="22"/>
          <w:szCs w:val="22"/>
        </w:rPr>
        <w:lastRenderedPageBreak/>
        <w:t>realizacji</w:t>
      </w:r>
      <w:r w:rsidR="003B50ED">
        <w:rPr>
          <w:rFonts w:asciiTheme="minorHAnsi" w:hAnsiTheme="minorHAnsi" w:cstheme="minorHAnsi"/>
          <w:sz w:val="22"/>
          <w:szCs w:val="22"/>
        </w:rPr>
        <w:t xml:space="preserve"> </w:t>
      </w:r>
      <w:r w:rsidR="00C71E9E">
        <w:rPr>
          <w:rFonts w:asciiTheme="minorHAnsi" w:hAnsiTheme="minorHAnsi" w:cstheme="minorHAnsi"/>
          <w:sz w:val="22"/>
          <w:szCs w:val="22"/>
        </w:rPr>
        <w:t>powstało wiele obiektów turystycznych, rekreacyjnych i sportowych, a także infrastruktura drogowa, wodno-kanalizacyjna</w:t>
      </w:r>
      <w:r w:rsidRPr="00A26C26">
        <w:rPr>
          <w:rFonts w:asciiTheme="minorHAnsi" w:hAnsiTheme="minorHAnsi" w:cstheme="minorHAnsi"/>
          <w:sz w:val="22"/>
          <w:szCs w:val="22"/>
        </w:rPr>
        <w:t>,</w:t>
      </w:r>
      <w:r w:rsidR="003B50ED">
        <w:rPr>
          <w:rFonts w:asciiTheme="minorHAnsi" w:hAnsiTheme="minorHAnsi" w:cstheme="minorHAnsi"/>
          <w:sz w:val="22"/>
          <w:szCs w:val="22"/>
        </w:rPr>
        <w:t xml:space="preserve"> </w:t>
      </w:r>
      <w:r w:rsidR="001C1B81">
        <w:rPr>
          <w:rFonts w:asciiTheme="minorHAnsi" w:hAnsiTheme="minorHAnsi" w:cstheme="minorHAnsi"/>
          <w:sz w:val="22"/>
          <w:szCs w:val="22"/>
        </w:rPr>
        <w:t>zaplecze</w:t>
      </w:r>
      <w:r w:rsidR="00AB742D">
        <w:rPr>
          <w:rFonts w:asciiTheme="minorHAnsi" w:hAnsiTheme="minorHAnsi" w:cstheme="minorHAnsi"/>
          <w:sz w:val="22"/>
          <w:szCs w:val="22"/>
        </w:rPr>
        <w:t xml:space="preserve"> edukacyjne i wiele innych</w:t>
      </w:r>
      <w:r w:rsidRPr="00A26C26">
        <w:rPr>
          <w:rFonts w:asciiTheme="minorHAnsi" w:hAnsiTheme="minorHAnsi" w:cstheme="minorHAnsi"/>
          <w:sz w:val="22"/>
          <w:szCs w:val="22"/>
        </w:rPr>
        <w:t>.</w:t>
      </w:r>
      <w:r w:rsidR="003B50ED">
        <w:rPr>
          <w:rFonts w:asciiTheme="minorHAnsi" w:hAnsiTheme="minorHAnsi" w:cstheme="minorHAnsi"/>
          <w:sz w:val="22"/>
          <w:szCs w:val="22"/>
        </w:rPr>
        <w:t xml:space="preserve"> </w:t>
      </w:r>
    </w:p>
    <w:p w14:paraId="38FF0B31" w14:textId="1F6C5F05" w:rsidR="00121F8C" w:rsidRPr="00A26C26" w:rsidRDefault="00121F8C" w:rsidP="00A26C26">
      <w:pPr>
        <w:pStyle w:val="NormalnyWeb"/>
        <w:spacing w:before="0" w:after="0" w:line="276" w:lineRule="auto"/>
        <w:ind w:firstLine="284"/>
        <w:jc w:val="both"/>
        <w:rPr>
          <w:rFonts w:asciiTheme="minorHAnsi" w:hAnsiTheme="minorHAnsi" w:cstheme="minorHAnsi"/>
          <w:sz w:val="22"/>
          <w:szCs w:val="22"/>
        </w:rPr>
      </w:pPr>
      <w:r w:rsidRPr="00A26C26">
        <w:rPr>
          <w:rFonts w:asciiTheme="minorHAnsi" w:hAnsiTheme="minorHAnsi" w:cstheme="minorHAnsi"/>
          <w:sz w:val="22"/>
          <w:szCs w:val="22"/>
        </w:rPr>
        <w:t>Warto</w:t>
      </w:r>
      <w:r w:rsidR="003B50ED">
        <w:rPr>
          <w:rFonts w:asciiTheme="minorHAnsi" w:hAnsiTheme="minorHAnsi" w:cstheme="minorHAnsi"/>
          <w:sz w:val="22"/>
          <w:szCs w:val="22"/>
        </w:rPr>
        <w:t xml:space="preserve"> </w:t>
      </w:r>
      <w:r w:rsidRPr="00A26C26">
        <w:rPr>
          <w:rFonts w:asciiTheme="minorHAnsi" w:hAnsiTheme="minorHAnsi" w:cstheme="minorHAnsi"/>
          <w:sz w:val="22"/>
          <w:szCs w:val="22"/>
        </w:rPr>
        <w:t>dodać,</w:t>
      </w:r>
      <w:r w:rsidR="003B50ED">
        <w:rPr>
          <w:rFonts w:asciiTheme="minorHAnsi" w:hAnsiTheme="minorHAnsi" w:cstheme="minorHAnsi"/>
          <w:sz w:val="22"/>
          <w:szCs w:val="22"/>
        </w:rPr>
        <w:t xml:space="preserve"> </w:t>
      </w:r>
      <w:r w:rsidRPr="00A26C26">
        <w:rPr>
          <w:rFonts w:asciiTheme="minorHAnsi" w:hAnsiTheme="minorHAnsi" w:cstheme="minorHAnsi"/>
          <w:sz w:val="22"/>
          <w:szCs w:val="22"/>
        </w:rPr>
        <w:t>że</w:t>
      </w:r>
      <w:r w:rsidR="003B50ED">
        <w:rPr>
          <w:rFonts w:asciiTheme="minorHAnsi" w:hAnsiTheme="minorHAnsi" w:cstheme="minorHAnsi"/>
          <w:sz w:val="22"/>
          <w:szCs w:val="22"/>
        </w:rPr>
        <w:t xml:space="preserve"> </w:t>
      </w:r>
      <w:r w:rsidRPr="00A26C26">
        <w:rPr>
          <w:rFonts w:asciiTheme="minorHAnsi" w:hAnsiTheme="minorHAnsi" w:cstheme="minorHAnsi"/>
          <w:sz w:val="22"/>
          <w:szCs w:val="22"/>
        </w:rPr>
        <w:t>osoby,</w:t>
      </w:r>
      <w:r w:rsidR="003B50ED">
        <w:rPr>
          <w:rFonts w:asciiTheme="minorHAnsi" w:hAnsiTheme="minorHAnsi" w:cstheme="minorHAnsi"/>
          <w:sz w:val="22"/>
          <w:szCs w:val="22"/>
        </w:rPr>
        <w:t xml:space="preserve"> </w:t>
      </w:r>
      <w:r w:rsidRPr="00A26C26">
        <w:rPr>
          <w:rFonts w:asciiTheme="minorHAnsi" w:hAnsiTheme="minorHAnsi" w:cstheme="minorHAnsi"/>
          <w:sz w:val="22"/>
          <w:szCs w:val="22"/>
        </w:rPr>
        <w:t>które</w:t>
      </w:r>
      <w:r w:rsidR="003B50ED">
        <w:rPr>
          <w:rFonts w:asciiTheme="minorHAnsi" w:hAnsiTheme="minorHAnsi" w:cstheme="minorHAnsi"/>
          <w:sz w:val="22"/>
          <w:szCs w:val="22"/>
        </w:rPr>
        <w:t xml:space="preserve"> </w:t>
      </w:r>
      <w:r w:rsidRPr="00A26C26">
        <w:rPr>
          <w:rFonts w:asciiTheme="minorHAnsi" w:hAnsiTheme="minorHAnsi" w:cstheme="minorHAnsi"/>
          <w:sz w:val="22"/>
          <w:szCs w:val="22"/>
        </w:rPr>
        <w:t>były</w:t>
      </w:r>
      <w:r w:rsidR="003B50ED">
        <w:rPr>
          <w:rFonts w:asciiTheme="minorHAnsi" w:hAnsiTheme="minorHAnsi" w:cstheme="minorHAnsi"/>
          <w:sz w:val="22"/>
          <w:szCs w:val="22"/>
        </w:rPr>
        <w:t xml:space="preserve"> </w:t>
      </w:r>
      <w:r w:rsidRPr="00A26C26">
        <w:rPr>
          <w:rFonts w:asciiTheme="minorHAnsi" w:hAnsiTheme="minorHAnsi" w:cstheme="minorHAnsi"/>
          <w:sz w:val="22"/>
          <w:szCs w:val="22"/>
        </w:rPr>
        <w:t>odpowiedzialne</w:t>
      </w:r>
      <w:r w:rsidR="003B50ED">
        <w:rPr>
          <w:rFonts w:asciiTheme="minorHAnsi" w:hAnsiTheme="minorHAnsi" w:cstheme="minorHAnsi"/>
          <w:sz w:val="22"/>
          <w:szCs w:val="22"/>
        </w:rPr>
        <w:t xml:space="preserve"> </w:t>
      </w:r>
      <w:r w:rsidRPr="00A26C26">
        <w:rPr>
          <w:rFonts w:asciiTheme="minorHAnsi" w:hAnsiTheme="minorHAnsi" w:cstheme="minorHAnsi"/>
          <w:sz w:val="22"/>
          <w:szCs w:val="22"/>
        </w:rPr>
        <w:t>za</w:t>
      </w:r>
      <w:r w:rsidR="003B50ED">
        <w:rPr>
          <w:rFonts w:asciiTheme="minorHAnsi" w:hAnsiTheme="minorHAnsi" w:cstheme="minorHAnsi"/>
          <w:sz w:val="22"/>
          <w:szCs w:val="22"/>
        </w:rPr>
        <w:t xml:space="preserve"> </w:t>
      </w:r>
      <w:r w:rsidRPr="00A26C26">
        <w:rPr>
          <w:rFonts w:asciiTheme="minorHAnsi" w:hAnsiTheme="minorHAnsi" w:cstheme="minorHAnsi"/>
          <w:sz w:val="22"/>
          <w:szCs w:val="22"/>
        </w:rPr>
        <w:t>realizację</w:t>
      </w:r>
      <w:r w:rsidR="003B50ED">
        <w:rPr>
          <w:rFonts w:asciiTheme="minorHAnsi" w:hAnsiTheme="minorHAnsi" w:cstheme="minorHAnsi"/>
          <w:sz w:val="22"/>
          <w:szCs w:val="22"/>
        </w:rPr>
        <w:t xml:space="preserve"> </w:t>
      </w:r>
      <w:r w:rsidRPr="00A26C26">
        <w:rPr>
          <w:rFonts w:asciiTheme="minorHAnsi" w:hAnsiTheme="minorHAnsi" w:cstheme="minorHAnsi"/>
          <w:sz w:val="22"/>
          <w:szCs w:val="22"/>
        </w:rPr>
        <w:t>projektów</w:t>
      </w:r>
      <w:r w:rsidR="003B50ED">
        <w:rPr>
          <w:rFonts w:asciiTheme="minorHAnsi" w:hAnsiTheme="minorHAnsi" w:cstheme="minorHAnsi"/>
          <w:sz w:val="22"/>
          <w:szCs w:val="22"/>
        </w:rPr>
        <w:t xml:space="preserve"> </w:t>
      </w:r>
      <w:r w:rsidRPr="00A26C26">
        <w:rPr>
          <w:rFonts w:asciiTheme="minorHAnsi" w:hAnsiTheme="minorHAnsi" w:cstheme="minorHAnsi"/>
          <w:sz w:val="22"/>
          <w:szCs w:val="22"/>
        </w:rPr>
        <w:t>gminnych</w:t>
      </w:r>
      <w:r w:rsidR="003B50ED">
        <w:rPr>
          <w:rFonts w:asciiTheme="minorHAnsi" w:hAnsiTheme="minorHAnsi" w:cstheme="minorHAnsi"/>
          <w:sz w:val="22"/>
          <w:szCs w:val="22"/>
        </w:rPr>
        <w:t xml:space="preserve"> </w:t>
      </w:r>
      <w:r w:rsidR="00155723" w:rsidRPr="00A26C26">
        <w:rPr>
          <w:rFonts w:asciiTheme="minorHAnsi" w:hAnsiTheme="minorHAnsi" w:cstheme="minorHAnsi"/>
          <w:sz w:val="22"/>
          <w:szCs w:val="22"/>
        </w:rPr>
        <w:t>aktywnie</w:t>
      </w:r>
      <w:r w:rsidR="003B50ED">
        <w:rPr>
          <w:rFonts w:asciiTheme="minorHAnsi" w:hAnsiTheme="minorHAnsi" w:cstheme="minorHAnsi"/>
          <w:sz w:val="22"/>
          <w:szCs w:val="22"/>
        </w:rPr>
        <w:t xml:space="preserve"> </w:t>
      </w:r>
      <w:r w:rsidR="00155723" w:rsidRPr="00A26C26">
        <w:rPr>
          <w:rFonts w:asciiTheme="minorHAnsi" w:hAnsiTheme="minorHAnsi" w:cstheme="minorHAnsi"/>
          <w:sz w:val="22"/>
          <w:szCs w:val="22"/>
        </w:rPr>
        <w:t>angażują</w:t>
      </w:r>
      <w:r w:rsidR="003B50ED">
        <w:rPr>
          <w:rFonts w:asciiTheme="minorHAnsi" w:hAnsiTheme="minorHAnsi" w:cstheme="minorHAnsi"/>
          <w:sz w:val="22"/>
          <w:szCs w:val="22"/>
        </w:rPr>
        <w:t xml:space="preserve"> </w:t>
      </w:r>
      <w:r w:rsidR="00155723" w:rsidRPr="00A26C26">
        <w:rPr>
          <w:rFonts w:asciiTheme="minorHAnsi" w:hAnsiTheme="minorHAnsi" w:cstheme="minorHAnsi"/>
          <w:sz w:val="22"/>
          <w:szCs w:val="22"/>
        </w:rPr>
        <w:t>się</w:t>
      </w:r>
      <w:r w:rsidR="003B50ED">
        <w:rPr>
          <w:rFonts w:asciiTheme="minorHAnsi" w:hAnsiTheme="minorHAnsi" w:cstheme="minorHAnsi"/>
          <w:sz w:val="22"/>
          <w:szCs w:val="22"/>
        </w:rPr>
        <w:t xml:space="preserve"> </w:t>
      </w:r>
      <w:r w:rsidR="00C410C9" w:rsidRPr="00A26C26">
        <w:rPr>
          <w:rFonts w:asciiTheme="minorHAnsi" w:hAnsiTheme="minorHAnsi" w:cstheme="minorHAnsi"/>
          <w:sz w:val="22"/>
          <w:szCs w:val="22"/>
        </w:rPr>
        <w:br/>
      </w:r>
      <w:r w:rsidRPr="00A26C26">
        <w:rPr>
          <w:rFonts w:asciiTheme="minorHAnsi" w:hAnsiTheme="minorHAnsi" w:cstheme="minorHAnsi"/>
          <w:sz w:val="22"/>
          <w:szCs w:val="22"/>
        </w:rPr>
        <w:t>w</w:t>
      </w:r>
      <w:r w:rsidR="003B50ED">
        <w:rPr>
          <w:rFonts w:asciiTheme="minorHAnsi" w:hAnsiTheme="minorHAnsi" w:cstheme="minorHAnsi"/>
          <w:sz w:val="22"/>
          <w:szCs w:val="22"/>
        </w:rPr>
        <w:t xml:space="preserve"> </w:t>
      </w:r>
      <w:r w:rsidRPr="00A26C26">
        <w:rPr>
          <w:rFonts w:asciiTheme="minorHAnsi" w:hAnsiTheme="minorHAnsi" w:cstheme="minorHAnsi"/>
          <w:sz w:val="22"/>
          <w:szCs w:val="22"/>
        </w:rPr>
        <w:t>działalność</w:t>
      </w:r>
      <w:r w:rsidR="003B50ED">
        <w:rPr>
          <w:rFonts w:asciiTheme="minorHAnsi" w:hAnsiTheme="minorHAnsi" w:cstheme="minorHAnsi"/>
          <w:sz w:val="22"/>
          <w:szCs w:val="22"/>
        </w:rPr>
        <w:t xml:space="preserve"> </w:t>
      </w:r>
      <w:r w:rsidR="0004602C" w:rsidRPr="001C1B81">
        <w:rPr>
          <w:rFonts w:asciiTheme="minorHAnsi" w:hAnsiTheme="minorHAnsi" w:cstheme="minorHAnsi"/>
        </w:rPr>
        <w:t xml:space="preserve">Stowarzyszenia </w:t>
      </w:r>
      <w:r w:rsidR="0004602C" w:rsidRPr="001C1B81">
        <w:rPr>
          <w:rFonts w:asciiTheme="minorHAnsi" w:hAnsiTheme="minorHAnsi" w:cstheme="minorHAnsi"/>
          <w:sz w:val="22"/>
          <w:szCs w:val="22"/>
        </w:rPr>
        <w:t>„Solidarni</w:t>
      </w:r>
      <w:r w:rsidR="0004602C" w:rsidRPr="001C1B81">
        <w:rPr>
          <w:rFonts w:asciiTheme="minorHAnsi" w:hAnsiTheme="minorHAnsi" w:cstheme="minorHAnsi"/>
        </w:rPr>
        <w:t xml:space="preserve"> </w:t>
      </w:r>
      <w:r w:rsidR="0004602C" w:rsidRPr="001C1B81">
        <w:rPr>
          <w:rFonts w:asciiTheme="minorHAnsi" w:hAnsiTheme="minorHAnsi" w:cstheme="minorHAnsi"/>
          <w:sz w:val="22"/>
          <w:szCs w:val="22"/>
        </w:rPr>
        <w:t>w</w:t>
      </w:r>
      <w:r w:rsidR="0004602C" w:rsidRPr="001C1B81">
        <w:rPr>
          <w:rFonts w:asciiTheme="minorHAnsi" w:hAnsiTheme="minorHAnsi" w:cstheme="minorHAnsi"/>
        </w:rPr>
        <w:t xml:space="preserve"> </w:t>
      </w:r>
      <w:r w:rsidR="0004602C" w:rsidRPr="001C1B81">
        <w:rPr>
          <w:rFonts w:asciiTheme="minorHAnsi" w:hAnsiTheme="minorHAnsi" w:cstheme="minorHAnsi"/>
          <w:sz w:val="22"/>
          <w:szCs w:val="22"/>
        </w:rPr>
        <w:t>Partnerstwie”</w:t>
      </w:r>
      <w:r w:rsidR="0004602C" w:rsidRPr="00A26C26">
        <w:rPr>
          <w:rFonts w:asciiTheme="minorHAnsi" w:hAnsiTheme="minorHAnsi" w:cstheme="minorHAnsi"/>
          <w:sz w:val="22"/>
          <w:szCs w:val="22"/>
        </w:rPr>
        <w:t xml:space="preserve"> </w:t>
      </w:r>
      <w:r w:rsidRPr="00A26C26">
        <w:rPr>
          <w:rFonts w:asciiTheme="minorHAnsi" w:hAnsiTheme="minorHAnsi" w:cstheme="minorHAnsi"/>
          <w:sz w:val="22"/>
          <w:szCs w:val="22"/>
        </w:rPr>
        <w:t>(jako</w:t>
      </w:r>
      <w:r w:rsidR="003B50ED">
        <w:rPr>
          <w:rFonts w:asciiTheme="minorHAnsi" w:hAnsiTheme="minorHAnsi" w:cstheme="minorHAnsi"/>
          <w:sz w:val="22"/>
          <w:szCs w:val="22"/>
        </w:rPr>
        <w:t xml:space="preserve"> </w:t>
      </w:r>
      <w:r w:rsidRPr="00A26C26">
        <w:rPr>
          <w:rFonts w:asciiTheme="minorHAnsi" w:hAnsiTheme="minorHAnsi" w:cstheme="minorHAnsi"/>
          <w:sz w:val="22"/>
          <w:szCs w:val="22"/>
        </w:rPr>
        <w:t>członkowie</w:t>
      </w:r>
      <w:r w:rsidR="003B50ED">
        <w:rPr>
          <w:rFonts w:asciiTheme="minorHAnsi" w:hAnsiTheme="minorHAnsi" w:cstheme="minorHAnsi"/>
          <w:sz w:val="22"/>
          <w:szCs w:val="22"/>
        </w:rPr>
        <w:t xml:space="preserve"> </w:t>
      </w:r>
      <w:r w:rsidRPr="00A26C26">
        <w:rPr>
          <w:rFonts w:asciiTheme="minorHAnsi" w:hAnsiTheme="minorHAnsi" w:cstheme="minorHAnsi"/>
          <w:sz w:val="22"/>
          <w:szCs w:val="22"/>
        </w:rPr>
        <w:t>Rady,</w:t>
      </w:r>
      <w:r w:rsidR="003B50ED">
        <w:rPr>
          <w:rFonts w:asciiTheme="minorHAnsi" w:hAnsiTheme="minorHAnsi" w:cstheme="minorHAnsi"/>
          <w:sz w:val="22"/>
          <w:szCs w:val="22"/>
        </w:rPr>
        <w:t xml:space="preserve"> </w:t>
      </w:r>
      <w:r w:rsidRPr="00A26C26">
        <w:rPr>
          <w:rFonts w:asciiTheme="minorHAnsi" w:hAnsiTheme="minorHAnsi" w:cstheme="minorHAnsi"/>
          <w:sz w:val="22"/>
          <w:szCs w:val="22"/>
        </w:rPr>
        <w:t>Komisji</w:t>
      </w:r>
      <w:r w:rsidR="003B50ED">
        <w:rPr>
          <w:rFonts w:asciiTheme="minorHAnsi" w:hAnsiTheme="minorHAnsi" w:cstheme="minorHAnsi"/>
          <w:sz w:val="22"/>
          <w:szCs w:val="22"/>
        </w:rPr>
        <w:t xml:space="preserve"> </w:t>
      </w:r>
      <w:r w:rsidRPr="00A26C26">
        <w:rPr>
          <w:rFonts w:asciiTheme="minorHAnsi" w:hAnsiTheme="minorHAnsi" w:cstheme="minorHAnsi"/>
          <w:sz w:val="22"/>
          <w:szCs w:val="22"/>
        </w:rPr>
        <w:t>Rewizyjnej</w:t>
      </w:r>
      <w:r w:rsidR="003B50ED">
        <w:rPr>
          <w:rFonts w:asciiTheme="minorHAnsi" w:hAnsiTheme="minorHAnsi" w:cstheme="minorHAnsi"/>
          <w:sz w:val="22"/>
          <w:szCs w:val="22"/>
        </w:rPr>
        <w:t xml:space="preserve"> </w:t>
      </w:r>
      <w:r w:rsidRPr="00A26C26">
        <w:rPr>
          <w:rFonts w:asciiTheme="minorHAnsi" w:hAnsiTheme="minorHAnsi" w:cstheme="minorHAnsi"/>
          <w:sz w:val="22"/>
          <w:szCs w:val="22"/>
        </w:rPr>
        <w:t>i</w:t>
      </w:r>
      <w:r w:rsidR="003B50ED">
        <w:rPr>
          <w:rFonts w:asciiTheme="minorHAnsi" w:hAnsiTheme="minorHAnsi" w:cstheme="minorHAnsi"/>
          <w:sz w:val="22"/>
          <w:szCs w:val="22"/>
        </w:rPr>
        <w:t xml:space="preserve"> </w:t>
      </w:r>
      <w:r w:rsidRPr="00A26C26">
        <w:rPr>
          <w:rFonts w:asciiTheme="minorHAnsi" w:hAnsiTheme="minorHAnsi" w:cstheme="minorHAnsi"/>
          <w:sz w:val="22"/>
          <w:szCs w:val="22"/>
        </w:rPr>
        <w:t>Zarządu)</w:t>
      </w:r>
      <w:r w:rsidR="003B50ED">
        <w:rPr>
          <w:rFonts w:asciiTheme="minorHAnsi" w:hAnsiTheme="minorHAnsi" w:cstheme="minorHAnsi"/>
          <w:sz w:val="22"/>
          <w:szCs w:val="22"/>
        </w:rPr>
        <w:t xml:space="preserve"> </w:t>
      </w:r>
      <w:r w:rsidRPr="00A26C26">
        <w:rPr>
          <w:rFonts w:asciiTheme="minorHAnsi" w:hAnsiTheme="minorHAnsi" w:cstheme="minorHAnsi"/>
          <w:sz w:val="22"/>
          <w:szCs w:val="22"/>
        </w:rPr>
        <w:t>co</w:t>
      </w:r>
      <w:r w:rsidR="003B50ED">
        <w:rPr>
          <w:rFonts w:asciiTheme="minorHAnsi" w:hAnsiTheme="minorHAnsi" w:cstheme="minorHAnsi"/>
          <w:sz w:val="22"/>
          <w:szCs w:val="22"/>
        </w:rPr>
        <w:t xml:space="preserve"> </w:t>
      </w:r>
      <w:r w:rsidRPr="00A26C26">
        <w:rPr>
          <w:rFonts w:asciiTheme="minorHAnsi" w:hAnsiTheme="minorHAnsi" w:cstheme="minorHAnsi"/>
          <w:sz w:val="22"/>
          <w:szCs w:val="22"/>
        </w:rPr>
        <w:t>jest</w:t>
      </w:r>
      <w:r w:rsidR="003B50ED">
        <w:rPr>
          <w:rFonts w:asciiTheme="minorHAnsi" w:hAnsiTheme="minorHAnsi" w:cstheme="minorHAnsi"/>
          <w:sz w:val="22"/>
          <w:szCs w:val="22"/>
        </w:rPr>
        <w:t xml:space="preserve"> </w:t>
      </w:r>
      <w:r w:rsidRPr="00A26C26">
        <w:rPr>
          <w:rFonts w:asciiTheme="minorHAnsi" w:hAnsiTheme="minorHAnsi" w:cstheme="minorHAnsi"/>
          <w:sz w:val="22"/>
          <w:szCs w:val="22"/>
        </w:rPr>
        <w:t>ogromnym</w:t>
      </w:r>
      <w:r w:rsidR="003B50ED">
        <w:rPr>
          <w:rFonts w:asciiTheme="minorHAnsi" w:hAnsiTheme="minorHAnsi" w:cstheme="minorHAnsi"/>
          <w:sz w:val="22"/>
          <w:szCs w:val="22"/>
        </w:rPr>
        <w:t xml:space="preserve"> </w:t>
      </w:r>
      <w:r w:rsidRPr="00A26C26">
        <w:rPr>
          <w:rFonts w:asciiTheme="minorHAnsi" w:hAnsiTheme="minorHAnsi" w:cstheme="minorHAnsi"/>
          <w:sz w:val="22"/>
          <w:szCs w:val="22"/>
        </w:rPr>
        <w:t>wsparciem</w:t>
      </w:r>
      <w:r w:rsidR="003B50ED">
        <w:rPr>
          <w:rFonts w:asciiTheme="minorHAnsi" w:hAnsiTheme="minorHAnsi" w:cstheme="minorHAnsi"/>
          <w:sz w:val="22"/>
          <w:szCs w:val="22"/>
        </w:rPr>
        <w:t xml:space="preserve"> </w:t>
      </w:r>
      <w:r w:rsidRPr="00A26C26">
        <w:rPr>
          <w:rFonts w:asciiTheme="minorHAnsi" w:hAnsiTheme="minorHAnsi" w:cstheme="minorHAnsi"/>
          <w:sz w:val="22"/>
          <w:szCs w:val="22"/>
        </w:rPr>
        <w:t>i</w:t>
      </w:r>
      <w:r w:rsidR="003B50ED">
        <w:rPr>
          <w:rFonts w:asciiTheme="minorHAnsi" w:hAnsiTheme="minorHAnsi" w:cstheme="minorHAnsi"/>
          <w:sz w:val="22"/>
          <w:szCs w:val="22"/>
        </w:rPr>
        <w:t xml:space="preserve"> </w:t>
      </w:r>
      <w:r w:rsidRPr="00A26C26">
        <w:rPr>
          <w:rFonts w:asciiTheme="minorHAnsi" w:hAnsiTheme="minorHAnsi" w:cstheme="minorHAnsi"/>
          <w:sz w:val="22"/>
          <w:szCs w:val="22"/>
        </w:rPr>
        <w:t>pomocą</w:t>
      </w:r>
      <w:r w:rsidR="003B50ED">
        <w:rPr>
          <w:rFonts w:asciiTheme="minorHAnsi" w:hAnsiTheme="minorHAnsi" w:cstheme="minorHAnsi"/>
          <w:sz w:val="22"/>
          <w:szCs w:val="22"/>
        </w:rPr>
        <w:t xml:space="preserve"> </w:t>
      </w:r>
      <w:r w:rsidRPr="00A26C26">
        <w:rPr>
          <w:rFonts w:asciiTheme="minorHAnsi" w:hAnsiTheme="minorHAnsi" w:cstheme="minorHAnsi"/>
          <w:sz w:val="22"/>
          <w:szCs w:val="22"/>
        </w:rPr>
        <w:t>w</w:t>
      </w:r>
      <w:r w:rsidR="003B50ED">
        <w:rPr>
          <w:rFonts w:asciiTheme="minorHAnsi" w:hAnsiTheme="minorHAnsi" w:cstheme="minorHAnsi"/>
          <w:sz w:val="22"/>
          <w:szCs w:val="22"/>
        </w:rPr>
        <w:t xml:space="preserve"> </w:t>
      </w:r>
      <w:r w:rsidRPr="00A26C26">
        <w:rPr>
          <w:rFonts w:asciiTheme="minorHAnsi" w:hAnsiTheme="minorHAnsi" w:cstheme="minorHAnsi"/>
          <w:sz w:val="22"/>
          <w:szCs w:val="22"/>
        </w:rPr>
        <w:t>skutecznej</w:t>
      </w:r>
      <w:r w:rsidR="003B50ED">
        <w:rPr>
          <w:rFonts w:asciiTheme="minorHAnsi" w:hAnsiTheme="minorHAnsi" w:cstheme="minorHAnsi"/>
          <w:sz w:val="22"/>
          <w:szCs w:val="22"/>
        </w:rPr>
        <w:t xml:space="preserve"> </w:t>
      </w:r>
      <w:r w:rsidRPr="00A26C26">
        <w:rPr>
          <w:rFonts w:asciiTheme="minorHAnsi" w:hAnsiTheme="minorHAnsi" w:cstheme="minorHAnsi"/>
          <w:sz w:val="22"/>
          <w:szCs w:val="22"/>
        </w:rPr>
        <w:t>realizacji</w:t>
      </w:r>
      <w:r w:rsidR="003B50ED">
        <w:rPr>
          <w:rFonts w:asciiTheme="minorHAnsi" w:hAnsiTheme="minorHAnsi" w:cstheme="minorHAnsi"/>
          <w:sz w:val="22"/>
          <w:szCs w:val="22"/>
        </w:rPr>
        <w:t xml:space="preserve"> </w:t>
      </w:r>
      <w:r w:rsidRPr="00A26C26">
        <w:rPr>
          <w:rFonts w:asciiTheme="minorHAnsi" w:hAnsiTheme="minorHAnsi" w:cstheme="minorHAnsi"/>
          <w:sz w:val="22"/>
          <w:szCs w:val="22"/>
        </w:rPr>
        <w:t>LSR.</w:t>
      </w:r>
      <w:r w:rsidR="003B50ED">
        <w:rPr>
          <w:rFonts w:asciiTheme="minorHAnsi" w:hAnsiTheme="minorHAnsi" w:cstheme="minorHAnsi"/>
          <w:sz w:val="22"/>
          <w:szCs w:val="22"/>
        </w:rPr>
        <w:t xml:space="preserve"> </w:t>
      </w:r>
    </w:p>
    <w:p w14:paraId="7A9D54AD" w14:textId="77777777" w:rsidR="00396A11" w:rsidRDefault="00396A11" w:rsidP="00396A11">
      <w:pPr>
        <w:spacing w:line="276" w:lineRule="auto"/>
        <w:jc w:val="both"/>
        <w:rPr>
          <w:rFonts w:cstheme="minorHAnsi"/>
          <w:b/>
          <w:bCs/>
        </w:rPr>
      </w:pPr>
    </w:p>
    <w:p w14:paraId="4E9D6578" w14:textId="0F2ADE42" w:rsidR="000D4533" w:rsidRPr="00A26C26" w:rsidRDefault="000D4533" w:rsidP="00396A11">
      <w:pPr>
        <w:spacing w:line="276" w:lineRule="auto"/>
        <w:jc w:val="both"/>
        <w:rPr>
          <w:rFonts w:cstheme="minorHAnsi"/>
          <w:b/>
          <w:bCs/>
        </w:rPr>
      </w:pPr>
      <w:r w:rsidRPr="00A26C26">
        <w:rPr>
          <w:rFonts w:cstheme="minorHAnsi"/>
          <w:b/>
          <w:bCs/>
        </w:rPr>
        <w:t>Współpraca</w:t>
      </w:r>
    </w:p>
    <w:p w14:paraId="19FCE309" w14:textId="68A92F53" w:rsidR="00121F8C" w:rsidRPr="00A26C26" w:rsidRDefault="00121F8C" w:rsidP="00A26C26">
      <w:pPr>
        <w:spacing w:line="276" w:lineRule="auto"/>
        <w:ind w:firstLine="284"/>
        <w:jc w:val="both"/>
        <w:rPr>
          <w:rFonts w:cstheme="minorHAnsi"/>
        </w:rPr>
      </w:pPr>
      <w:r w:rsidRPr="00A26C26">
        <w:rPr>
          <w:rFonts w:cstheme="minorHAnsi"/>
        </w:rPr>
        <w:t>Niewątpliwie</w:t>
      </w:r>
      <w:r w:rsidR="003B50ED">
        <w:rPr>
          <w:rFonts w:cstheme="minorHAnsi"/>
        </w:rPr>
        <w:t xml:space="preserve"> </w:t>
      </w:r>
      <w:r w:rsidRPr="00A26C26">
        <w:rPr>
          <w:rFonts w:cstheme="minorHAnsi"/>
        </w:rPr>
        <w:t>silną</w:t>
      </w:r>
      <w:r w:rsidR="003B50ED">
        <w:rPr>
          <w:rFonts w:cstheme="minorHAnsi"/>
        </w:rPr>
        <w:t xml:space="preserve"> </w:t>
      </w:r>
      <w:r w:rsidRPr="00A26C26">
        <w:rPr>
          <w:rFonts w:cstheme="minorHAnsi"/>
        </w:rPr>
        <w:t>stroną</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potencjałem</w:t>
      </w:r>
      <w:r w:rsidR="003B50ED">
        <w:rPr>
          <w:rFonts w:cstheme="minorHAnsi"/>
        </w:rPr>
        <w:t xml:space="preserve"> </w:t>
      </w:r>
      <w:r w:rsidR="0004602C">
        <w:rPr>
          <w:rFonts w:cstheme="minorHAnsi"/>
        </w:rPr>
        <w:t xml:space="preserve">Stowarzyszenia </w:t>
      </w:r>
      <w:r w:rsidR="0004602C" w:rsidRPr="00A26C26">
        <w:rPr>
          <w:rFonts w:cstheme="minorHAnsi"/>
        </w:rPr>
        <w:t>„Solidarni</w:t>
      </w:r>
      <w:r w:rsidR="0004602C">
        <w:rPr>
          <w:rFonts w:cstheme="minorHAnsi"/>
        </w:rPr>
        <w:t xml:space="preserve"> </w:t>
      </w:r>
      <w:r w:rsidR="0004602C" w:rsidRPr="00A26C26">
        <w:rPr>
          <w:rFonts w:cstheme="minorHAnsi"/>
        </w:rPr>
        <w:t>w</w:t>
      </w:r>
      <w:r w:rsidR="0004602C">
        <w:rPr>
          <w:rFonts w:cstheme="minorHAnsi"/>
        </w:rPr>
        <w:t xml:space="preserve"> </w:t>
      </w:r>
      <w:r w:rsidR="0004602C" w:rsidRPr="00A26C26">
        <w:rPr>
          <w:rFonts w:cstheme="minorHAnsi"/>
        </w:rPr>
        <w:t>Partnerstwie”</w:t>
      </w:r>
      <w:r w:rsidR="0004602C">
        <w:rPr>
          <w:rFonts w:cstheme="minorHAnsi"/>
        </w:rPr>
        <w:t xml:space="preserve"> </w:t>
      </w:r>
      <w:r w:rsidRPr="00A26C26">
        <w:rPr>
          <w:rFonts w:cstheme="minorHAnsi"/>
        </w:rPr>
        <w:t>jest</w:t>
      </w:r>
      <w:r w:rsidR="003B50ED">
        <w:rPr>
          <w:rFonts w:cstheme="minorHAnsi"/>
        </w:rPr>
        <w:t xml:space="preserve"> </w:t>
      </w:r>
      <w:r w:rsidRPr="00A26C26">
        <w:rPr>
          <w:rFonts w:cstheme="minorHAnsi"/>
        </w:rPr>
        <w:t>bogate</w:t>
      </w:r>
      <w:r w:rsidR="003B50ED">
        <w:rPr>
          <w:rFonts w:cstheme="minorHAnsi"/>
        </w:rPr>
        <w:t xml:space="preserve"> </w:t>
      </w:r>
      <w:r w:rsidRPr="00A26C26">
        <w:rPr>
          <w:rFonts w:cstheme="minorHAnsi"/>
        </w:rPr>
        <w:t>doświadczenie</w:t>
      </w:r>
      <w:r w:rsidR="003B50ED">
        <w:rPr>
          <w:rFonts w:cstheme="minorHAnsi"/>
        </w:rPr>
        <w:t xml:space="preserve"> </w:t>
      </w:r>
      <w:r w:rsidRPr="00A26C26">
        <w:rPr>
          <w:rFonts w:cstheme="minorHAnsi"/>
        </w:rPr>
        <w:t>jeżeli</w:t>
      </w:r>
      <w:r w:rsidR="003B50ED">
        <w:rPr>
          <w:rFonts w:cstheme="minorHAnsi"/>
        </w:rPr>
        <w:t xml:space="preserve"> </w:t>
      </w:r>
      <w:r w:rsidRPr="00A26C26">
        <w:rPr>
          <w:rFonts w:cstheme="minorHAnsi"/>
        </w:rPr>
        <w:t>chodzi</w:t>
      </w:r>
      <w:r w:rsidR="003B50ED">
        <w:rPr>
          <w:rFonts w:cstheme="minorHAnsi"/>
        </w:rPr>
        <w:t xml:space="preserve"> </w:t>
      </w:r>
      <w:r w:rsidRPr="00A26C26">
        <w:rPr>
          <w:rFonts w:cstheme="minorHAnsi"/>
        </w:rPr>
        <w:t>o</w:t>
      </w:r>
      <w:r w:rsidR="003B50ED">
        <w:rPr>
          <w:rFonts w:cstheme="minorHAnsi"/>
        </w:rPr>
        <w:t xml:space="preserve"> </w:t>
      </w:r>
      <w:r w:rsidRPr="00A26C26">
        <w:rPr>
          <w:rFonts w:cstheme="minorHAnsi"/>
        </w:rPr>
        <w:t>współpracę</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innymi</w:t>
      </w:r>
      <w:r w:rsidR="003B50ED">
        <w:rPr>
          <w:rFonts w:cstheme="minorHAnsi"/>
        </w:rPr>
        <w:t xml:space="preserve"> </w:t>
      </w:r>
      <w:r w:rsidRPr="00A26C26">
        <w:rPr>
          <w:rFonts w:cstheme="minorHAnsi"/>
        </w:rPr>
        <w:t>podmiotami.</w:t>
      </w:r>
      <w:r w:rsidR="003B50ED">
        <w:rPr>
          <w:rFonts w:cstheme="minorHAnsi"/>
        </w:rPr>
        <w:t xml:space="preserve"> </w:t>
      </w:r>
    </w:p>
    <w:p w14:paraId="7AB37A90" w14:textId="1931AEC6" w:rsidR="009014D5" w:rsidRPr="00A26C26" w:rsidRDefault="006756A8" w:rsidP="00A26C26">
      <w:pPr>
        <w:spacing w:line="276" w:lineRule="auto"/>
        <w:ind w:firstLine="284"/>
        <w:jc w:val="both"/>
        <w:rPr>
          <w:rFonts w:cstheme="minorHAnsi"/>
        </w:rPr>
      </w:pPr>
      <w:r w:rsidRPr="00A26C26">
        <w:rPr>
          <w:rFonts w:cstheme="minorHAnsi"/>
        </w:rPr>
        <w:t>Zdobyte</w:t>
      </w:r>
      <w:r w:rsidR="003B50ED">
        <w:rPr>
          <w:rFonts w:cstheme="minorHAnsi"/>
        </w:rPr>
        <w:t xml:space="preserve"> </w:t>
      </w:r>
      <w:r w:rsidRPr="00A26C26">
        <w:rPr>
          <w:rFonts w:cstheme="minorHAnsi"/>
        </w:rPr>
        <w:t>doświadczenia</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nawiązane</w:t>
      </w:r>
      <w:r w:rsidR="003B50ED">
        <w:rPr>
          <w:rFonts w:cstheme="minorHAnsi"/>
        </w:rPr>
        <w:t xml:space="preserve"> </w:t>
      </w:r>
      <w:r w:rsidRPr="00A26C26">
        <w:rPr>
          <w:rFonts w:cstheme="minorHAnsi"/>
        </w:rPr>
        <w:t>kontakty</w:t>
      </w:r>
      <w:r w:rsidR="003B50ED">
        <w:rPr>
          <w:rFonts w:cstheme="minorHAnsi"/>
        </w:rPr>
        <w:t xml:space="preserve"> </w:t>
      </w:r>
      <w:r w:rsidRPr="00A26C26">
        <w:rPr>
          <w:rFonts w:cstheme="minorHAnsi"/>
        </w:rPr>
        <w:t>zaowocowały</w:t>
      </w:r>
      <w:r w:rsidR="003B50ED">
        <w:rPr>
          <w:rFonts w:cstheme="minorHAnsi"/>
        </w:rPr>
        <w:t xml:space="preserve"> </w:t>
      </w:r>
      <w:r w:rsidRPr="00A26C26">
        <w:rPr>
          <w:rFonts w:cstheme="minorHAnsi"/>
        </w:rPr>
        <w:t>projektami</w:t>
      </w:r>
      <w:r w:rsidR="003B50ED">
        <w:rPr>
          <w:rFonts w:cstheme="minorHAnsi"/>
        </w:rPr>
        <w:t xml:space="preserve"> </w:t>
      </w:r>
      <w:r w:rsidRPr="00A26C26">
        <w:rPr>
          <w:rFonts w:cstheme="minorHAnsi"/>
        </w:rPr>
        <w:t>współpracy</w:t>
      </w:r>
      <w:r w:rsidR="003B50ED">
        <w:rPr>
          <w:rFonts w:cstheme="minorHAnsi"/>
        </w:rPr>
        <w:t xml:space="preserve"> </w:t>
      </w:r>
      <w:r w:rsidRPr="00A26C26">
        <w:rPr>
          <w:rFonts w:cstheme="minorHAnsi"/>
        </w:rPr>
        <w:t>realizowanymi</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ramach</w:t>
      </w:r>
      <w:r w:rsidR="003B50ED">
        <w:rPr>
          <w:rFonts w:cstheme="minorHAnsi"/>
        </w:rPr>
        <w:t xml:space="preserve"> </w:t>
      </w:r>
      <w:r w:rsidR="0004602C">
        <w:rPr>
          <w:rFonts w:cstheme="minorHAnsi"/>
        </w:rPr>
        <w:t>PROW na lata 2014-2020</w:t>
      </w:r>
      <w:r w:rsidRPr="00A26C26">
        <w:rPr>
          <w:rFonts w:cstheme="minorHAnsi"/>
        </w:rPr>
        <w:t>.</w:t>
      </w:r>
      <w:r w:rsidR="003B50ED">
        <w:rPr>
          <w:rFonts w:cstheme="minorHAnsi"/>
        </w:rPr>
        <w:t xml:space="preserve"> </w:t>
      </w:r>
      <w:r w:rsidR="00425212" w:rsidRPr="00A26C26">
        <w:rPr>
          <w:rFonts w:cstheme="minorHAnsi"/>
        </w:rPr>
        <w:t>Należy</w:t>
      </w:r>
      <w:r w:rsidR="003B50ED">
        <w:rPr>
          <w:rFonts w:cstheme="minorHAnsi"/>
        </w:rPr>
        <w:t xml:space="preserve"> </w:t>
      </w:r>
      <w:r w:rsidR="00425212" w:rsidRPr="00A26C26">
        <w:rPr>
          <w:rFonts w:cstheme="minorHAnsi"/>
        </w:rPr>
        <w:t>podkreślić,</w:t>
      </w:r>
      <w:r w:rsidR="003B50ED">
        <w:rPr>
          <w:rFonts w:cstheme="minorHAnsi"/>
        </w:rPr>
        <w:t xml:space="preserve"> </w:t>
      </w:r>
      <w:r w:rsidR="00425212" w:rsidRPr="00A26C26">
        <w:rPr>
          <w:rFonts w:cstheme="minorHAnsi"/>
        </w:rPr>
        <w:t>iż</w:t>
      </w:r>
      <w:r w:rsidR="003B50ED">
        <w:rPr>
          <w:rFonts w:cstheme="minorHAnsi"/>
        </w:rPr>
        <w:t xml:space="preserve"> </w:t>
      </w:r>
      <w:r w:rsidR="00425212" w:rsidRPr="00A26C26">
        <w:rPr>
          <w:rFonts w:cstheme="minorHAnsi"/>
        </w:rPr>
        <w:t>ewaluacj</w:t>
      </w:r>
      <w:r w:rsidR="0004602C">
        <w:rPr>
          <w:rFonts w:cstheme="minorHAnsi"/>
        </w:rPr>
        <w:t>a</w:t>
      </w:r>
      <w:r w:rsidR="003B50ED">
        <w:rPr>
          <w:rFonts w:cstheme="minorHAnsi"/>
        </w:rPr>
        <w:t xml:space="preserve"> </w:t>
      </w:r>
      <w:r w:rsidR="00425212" w:rsidRPr="00A26C26">
        <w:rPr>
          <w:rFonts w:cstheme="minorHAnsi"/>
        </w:rPr>
        <w:t>zewnętrzn</w:t>
      </w:r>
      <w:r w:rsidR="0004602C">
        <w:rPr>
          <w:rFonts w:cstheme="minorHAnsi"/>
        </w:rPr>
        <w:t>a</w:t>
      </w:r>
      <w:r w:rsidR="003B50ED">
        <w:rPr>
          <w:rFonts w:cstheme="minorHAnsi"/>
        </w:rPr>
        <w:t xml:space="preserve"> </w:t>
      </w:r>
      <w:r w:rsidR="0004602C">
        <w:rPr>
          <w:rFonts w:cstheme="minorHAnsi"/>
        </w:rPr>
        <w:t xml:space="preserve">ex-post </w:t>
      </w:r>
      <w:r w:rsidR="00425212" w:rsidRPr="00A26C26">
        <w:rPr>
          <w:rFonts w:cstheme="minorHAnsi"/>
        </w:rPr>
        <w:t>wykazał</w:t>
      </w:r>
      <w:r w:rsidR="0004602C">
        <w:rPr>
          <w:rFonts w:cstheme="minorHAnsi"/>
        </w:rPr>
        <w:t>a</w:t>
      </w:r>
      <w:r w:rsidR="00425212" w:rsidRPr="00A26C26">
        <w:rPr>
          <w:rFonts w:cstheme="minorHAnsi"/>
        </w:rPr>
        <w:t>,</w:t>
      </w:r>
      <w:r w:rsidR="003B50ED">
        <w:rPr>
          <w:rFonts w:cstheme="minorHAnsi"/>
        </w:rPr>
        <w:t xml:space="preserve"> </w:t>
      </w:r>
      <w:r w:rsidR="00425212" w:rsidRPr="00A26C26">
        <w:rPr>
          <w:rFonts w:cstheme="minorHAnsi"/>
        </w:rPr>
        <w:t>że</w:t>
      </w:r>
      <w:r w:rsidR="003B50ED">
        <w:rPr>
          <w:rFonts w:cstheme="minorHAnsi"/>
        </w:rPr>
        <w:t xml:space="preserve"> </w:t>
      </w:r>
      <w:r w:rsidR="00425212" w:rsidRPr="00A26C26">
        <w:rPr>
          <w:rFonts w:cstheme="minorHAnsi"/>
        </w:rPr>
        <w:t>projekty</w:t>
      </w:r>
      <w:r w:rsidR="003B50ED">
        <w:rPr>
          <w:rFonts w:cstheme="minorHAnsi"/>
        </w:rPr>
        <w:t xml:space="preserve"> </w:t>
      </w:r>
      <w:r w:rsidR="00425212" w:rsidRPr="00A26C26">
        <w:rPr>
          <w:rFonts w:cstheme="minorHAnsi"/>
        </w:rPr>
        <w:t>współpracy</w:t>
      </w:r>
      <w:r w:rsidR="003B50ED">
        <w:rPr>
          <w:rFonts w:cstheme="minorHAnsi"/>
        </w:rPr>
        <w:t xml:space="preserve"> </w:t>
      </w:r>
      <w:r w:rsidR="00425212" w:rsidRPr="00A26C26">
        <w:rPr>
          <w:rFonts w:cstheme="minorHAnsi"/>
        </w:rPr>
        <w:t>sprawdziły</w:t>
      </w:r>
      <w:r w:rsidR="003B50ED">
        <w:rPr>
          <w:rFonts w:cstheme="minorHAnsi"/>
        </w:rPr>
        <w:t xml:space="preserve"> </w:t>
      </w:r>
      <w:r w:rsidR="00425212" w:rsidRPr="00A26C26">
        <w:rPr>
          <w:rFonts w:cstheme="minorHAnsi"/>
        </w:rPr>
        <w:t>się</w:t>
      </w:r>
      <w:r w:rsidR="003B50ED">
        <w:rPr>
          <w:rFonts w:cstheme="minorHAnsi"/>
        </w:rPr>
        <w:t xml:space="preserve"> </w:t>
      </w:r>
      <w:r w:rsidR="00425212" w:rsidRPr="00A26C26">
        <w:rPr>
          <w:rFonts w:cstheme="minorHAnsi"/>
        </w:rPr>
        <w:t>doskonale</w:t>
      </w:r>
      <w:r w:rsidR="0004602C" w:rsidRPr="0004602C">
        <w:rPr>
          <w:rFonts w:cstheme="minorHAnsi"/>
        </w:rPr>
        <w:t xml:space="preserve"> </w:t>
      </w:r>
      <w:r w:rsidR="0004602C" w:rsidRPr="00A26C26">
        <w:rPr>
          <w:rFonts w:cstheme="minorHAnsi"/>
        </w:rPr>
        <w:t>jako</w:t>
      </w:r>
      <w:r w:rsidR="0004602C">
        <w:rPr>
          <w:rFonts w:cstheme="minorHAnsi"/>
        </w:rPr>
        <w:t xml:space="preserve"> </w:t>
      </w:r>
      <w:r w:rsidR="0004602C" w:rsidRPr="00A26C26">
        <w:rPr>
          <w:rFonts w:cstheme="minorHAnsi"/>
        </w:rPr>
        <w:t>narzędzie</w:t>
      </w:r>
      <w:r w:rsidR="0004602C">
        <w:rPr>
          <w:rFonts w:cstheme="minorHAnsi"/>
        </w:rPr>
        <w:t xml:space="preserve"> umożliwiające budowanie relacji i </w:t>
      </w:r>
      <w:r w:rsidR="00425212" w:rsidRPr="00A26C26">
        <w:rPr>
          <w:rFonts w:cstheme="minorHAnsi"/>
        </w:rPr>
        <w:t>więz</w:t>
      </w:r>
      <w:r w:rsidR="0004602C">
        <w:rPr>
          <w:rFonts w:cstheme="minorHAnsi"/>
        </w:rPr>
        <w:t>i</w:t>
      </w:r>
      <w:r w:rsidR="003B50ED">
        <w:rPr>
          <w:rFonts w:cstheme="minorHAnsi"/>
        </w:rPr>
        <w:t xml:space="preserve"> </w:t>
      </w:r>
      <w:r w:rsidR="00425212" w:rsidRPr="00A26C26">
        <w:rPr>
          <w:rFonts w:cstheme="minorHAnsi"/>
        </w:rPr>
        <w:t>między</w:t>
      </w:r>
      <w:r w:rsidR="003B50ED">
        <w:rPr>
          <w:rFonts w:cstheme="minorHAnsi"/>
        </w:rPr>
        <w:t xml:space="preserve"> </w:t>
      </w:r>
      <w:r w:rsidR="00425212" w:rsidRPr="00A26C26">
        <w:rPr>
          <w:rFonts w:cstheme="minorHAnsi"/>
        </w:rPr>
        <w:t>zaangażowanymi</w:t>
      </w:r>
      <w:r w:rsidR="003B50ED">
        <w:rPr>
          <w:rFonts w:cstheme="minorHAnsi"/>
        </w:rPr>
        <w:t xml:space="preserve"> </w:t>
      </w:r>
      <w:r w:rsidR="00425212" w:rsidRPr="00A26C26">
        <w:rPr>
          <w:rFonts w:cstheme="minorHAnsi"/>
        </w:rPr>
        <w:t>podmiotami</w:t>
      </w:r>
      <w:r w:rsidR="0004602C">
        <w:rPr>
          <w:rFonts w:cstheme="minorHAnsi"/>
        </w:rPr>
        <w:t xml:space="preserve"> i zapewniały możliwość stworzenia czegoś istotnego </w:t>
      </w:r>
      <w:r w:rsidR="00425212" w:rsidRPr="00A26C26">
        <w:rPr>
          <w:rFonts w:cstheme="minorHAnsi"/>
        </w:rPr>
        <w:t>na</w:t>
      </w:r>
      <w:r w:rsidR="003B50ED">
        <w:rPr>
          <w:rFonts w:cstheme="minorHAnsi"/>
        </w:rPr>
        <w:t xml:space="preserve"> </w:t>
      </w:r>
      <w:r w:rsidR="00425212" w:rsidRPr="00A26C26">
        <w:rPr>
          <w:rFonts w:cstheme="minorHAnsi"/>
        </w:rPr>
        <w:t>większym</w:t>
      </w:r>
      <w:r w:rsidR="003B50ED">
        <w:rPr>
          <w:rFonts w:cstheme="minorHAnsi"/>
        </w:rPr>
        <w:t xml:space="preserve"> </w:t>
      </w:r>
      <w:r w:rsidR="00425212" w:rsidRPr="00A26C26">
        <w:rPr>
          <w:rFonts w:cstheme="minorHAnsi"/>
        </w:rPr>
        <w:t>obszarze.</w:t>
      </w:r>
    </w:p>
    <w:p w14:paraId="21ABBDD3" w14:textId="2096E4D9" w:rsidR="00425212" w:rsidRPr="00A26C26" w:rsidRDefault="0004602C" w:rsidP="001A0F8E">
      <w:pPr>
        <w:spacing w:line="276" w:lineRule="auto"/>
        <w:ind w:firstLine="284"/>
        <w:jc w:val="both"/>
        <w:rPr>
          <w:rFonts w:cstheme="minorHAnsi"/>
        </w:rPr>
      </w:pPr>
      <w:r>
        <w:rPr>
          <w:rFonts w:cstheme="minorHAnsi"/>
        </w:rPr>
        <w:t xml:space="preserve">Stowarzyszenie </w:t>
      </w:r>
      <w:r w:rsidRPr="00A26C26">
        <w:rPr>
          <w:rFonts w:cstheme="minorHAnsi"/>
        </w:rPr>
        <w:t>„Solidarni</w:t>
      </w:r>
      <w:r>
        <w:rPr>
          <w:rFonts w:cstheme="minorHAnsi"/>
        </w:rPr>
        <w:t xml:space="preserve"> </w:t>
      </w:r>
      <w:r w:rsidRPr="00A26C26">
        <w:rPr>
          <w:rFonts w:cstheme="minorHAnsi"/>
        </w:rPr>
        <w:t>w</w:t>
      </w:r>
      <w:r>
        <w:rPr>
          <w:rFonts w:cstheme="minorHAnsi"/>
        </w:rPr>
        <w:t xml:space="preserve"> </w:t>
      </w:r>
      <w:r w:rsidRPr="00A26C26">
        <w:rPr>
          <w:rFonts w:cstheme="minorHAnsi"/>
        </w:rPr>
        <w:t>Partnerstwie”</w:t>
      </w:r>
      <w:r>
        <w:rPr>
          <w:rFonts w:cstheme="minorHAnsi"/>
        </w:rPr>
        <w:t xml:space="preserve"> </w:t>
      </w:r>
      <w:r w:rsidR="00425212" w:rsidRPr="00A26C26">
        <w:rPr>
          <w:rFonts w:cstheme="minorHAnsi"/>
        </w:rPr>
        <w:t>zrealizował</w:t>
      </w:r>
      <w:r>
        <w:rPr>
          <w:rFonts w:cstheme="minorHAnsi"/>
        </w:rPr>
        <w:t>o</w:t>
      </w:r>
      <w:r w:rsidR="003B50ED">
        <w:rPr>
          <w:rFonts w:cstheme="minorHAnsi"/>
        </w:rPr>
        <w:t xml:space="preserve"> </w:t>
      </w:r>
      <w:r w:rsidR="00425212" w:rsidRPr="00A26C26">
        <w:rPr>
          <w:rFonts w:cstheme="minorHAnsi"/>
        </w:rPr>
        <w:t>międzyregionalny</w:t>
      </w:r>
      <w:r w:rsidR="003B50ED">
        <w:rPr>
          <w:rFonts w:cstheme="minorHAnsi"/>
        </w:rPr>
        <w:t xml:space="preserve"> </w:t>
      </w:r>
      <w:r w:rsidR="00425212" w:rsidRPr="00A26C26">
        <w:rPr>
          <w:rFonts w:cstheme="minorHAnsi"/>
        </w:rPr>
        <w:t>projekt</w:t>
      </w:r>
      <w:r w:rsidR="003B50ED">
        <w:rPr>
          <w:rFonts w:cstheme="minorHAnsi"/>
        </w:rPr>
        <w:t xml:space="preserve"> </w:t>
      </w:r>
      <w:r w:rsidR="00425212" w:rsidRPr="00A26C26">
        <w:rPr>
          <w:rFonts w:cstheme="minorHAnsi"/>
        </w:rPr>
        <w:t>współpracy</w:t>
      </w:r>
      <w:r w:rsidR="003B50ED">
        <w:rPr>
          <w:rFonts w:cstheme="minorHAnsi"/>
        </w:rPr>
        <w:t xml:space="preserve"> </w:t>
      </w:r>
      <w:r w:rsidR="00425212" w:rsidRPr="00A26C26">
        <w:rPr>
          <w:rFonts w:cstheme="minorHAnsi"/>
        </w:rPr>
        <w:t>pod</w:t>
      </w:r>
      <w:r w:rsidR="003B50ED">
        <w:rPr>
          <w:rFonts w:cstheme="minorHAnsi"/>
        </w:rPr>
        <w:t xml:space="preserve"> </w:t>
      </w:r>
      <w:r w:rsidR="00425212" w:rsidRPr="00A26C26">
        <w:rPr>
          <w:rFonts w:cstheme="minorHAnsi"/>
        </w:rPr>
        <w:t>nazwą:</w:t>
      </w:r>
      <w:r w:rsidR="003B50ED">
        <w:rPr>
          <w:rFonts w:cstheme="minorHAnsi"/>
        </w:rPr>
        <w:t xml:space="preserve"> </w:t>
      </w:r>
      <w:r w:rsidR="00425212" w:rsidRPr="00A26C26">
        <w:rPr>
          <w:rFonts w:cstheme="minorHAnsi"/>
        </w:rPr>
        <w:t>Wielkopolska</w:t>
      </w:r>
      <w:r w:rsidR="003B50ED">
        <w:rPr>
          <w:rFonts w:cstheme="minorHAnsi"/>
        </w:rPr>
        <w:t xml:space="preserve"> </w:t>
      </w:r>
      <w:r w:rsidR="00425212" w:rsidRPr="00A26C26">
        <w:rPr>
          <w:rFonts w:cstheme="minorHAnsi"/>
        </w:rPr>
        <w:t>Okiem</w:t>
      </w:r>
      <w:r w:rsidR="003B50ED">
        <w:rPr>
          <w:rFonts w:cstheme="minorHAnsi"/>
        </w:rPr>
        <w:t xml:space="preserve"> </w:t>
      </w:r>
      <w:r w:rsidR="00425212" w:rsidRPr="00A26C26">
        <w:rPr>
          <w:rFonts w:cstheme="minorHAnsi"/>
        </w:rPr>
        <w:t>Cyklisty</w:t>
      </w:r>
      <w:r w:rsidR="003B50ED">
        <w:rPr>
          <w:rFonts w:cstheme="minorHAnsi"/>
        </w:rPr>
        <w:t xml:space="preserve"> </w:t>
      </w:r>
      <w:r w:rsidR="00425212" w:rsidRPr="00A26C26">
        <w:rPr>
          <w:rFonts w:cstheme="minorHAnsi"/>
        </w:rPr>
        <w:t>zrealizowany</w:t>
      </w:r>
      <w:r w:rsidR="003B50ED">
        <w:rPr>
          <w:rFonts w:cstheme="minorHAnsi"/>
        </w:rPr>
        <w:t xml:space="preserve"> </w:t>
      </w:r>
      <w:r w:rsidR="00425212" w:rsidRPr="00A26C26">
        <w:rPr>
          <w:rFonts w:cstheme="minorHAnsi"/>
        </w:rPr>
        <w:t>we</w:t>
      </w:r>
      <w:r w:rsidR="003B50ED">
        <w:rPr>
          <w:rFonts w:cstheme="minorHAnsi"/>
        </w:rPr>
        <w:t xml:space="preserve"> </w:t>
      </w:r>
      <w:r w:rsidR="00425212" w:rsidRPr="00A26C26">
        <w:rPr>
          <w:rFonts w:cstheme="minorHAnsi"/>
        </w:rPr>
        <w:t>współpracy</w:t>
      </w:r>
      <w:r w:rsidR="003B50ED">
        <w:rPr>
          <w:rFonts w:cstheme="minorHAnsi"/>
        </w:rPr>
        <w:t xml:space="preserve"> </w:t>
      </w:r>
      <w:r w:rsidR="00425212" w:rsidRPr="00A26C26">
        <w:rPr>
          <w:rFonts w:cstheme="minorHAnsi"/>
        </w:rPr>
        <w:t>z</w:t>
      </w:r>
      <w:r w:rsidR="003B50ED">
        <w:rPr>
          <w:rFonts w:cstheme="minorHAnsi"/>
        </w:rPr>
        <w:t xml:space="preserve"> </w:t>
      </w:r>
      <w:r w:rsidR="00425212" w:rsidRPr="00A26C26">
        <w:rPr>
          <w:rFonts w:cstheme="minorHAnsi"/>
        </w:rPr>
        <w:t>czteroma</w:t>
      </w:r>
      <w:r w:rsidR="003B50ED">
        <w:rPr>
          <w:rFonts w:cstheme="minorHAnsi"/>
        </w:rPr>
        <w:t xml:space="preserve"> </w:t>
      </w:r>
      <w:r w:rsidR="00425212" w:rsidRPr="00A26C26">
        <w:rPr>
          <w:rFonts w:cstheme="minorHAnsi"/>
        </w:rPr>
        <w:t>LGD</w:t>
      </w:r>
      <w:r w:rsidR="003B50ED">
        <w:rPr>
          <w:rFonts w:cstheme="minorHAnsi"/>
        </w:rPr>
        <w:t xml:space="preserve"> </w:t>
      </w:r>
      <w:r w:rsidR="00425212" w:rsidRPr="00A26C26">
        <w:rPr>
          <w:rFonts w:cstheme="minorHAnsi"/>
        </w:rPr>
        <w:t>krajowymi</w:t>
      </w:r>
      <w:r w:rsidR="003B50ED">
        <w:rPr>
          <w:rFonts w:cstheme="minorHAnsi"/>
        </w:rPr>
        <w:t xml:space="preserve"> </w:t>
      </w:r>
      <w:r w:rsidR="00425212" w:rsidRPr="00A26C26">
        <w:rPr>
          <w:rFonts w:cstheme="minorHAnsi"/>
        </w:rPr>
        <w:t>–</w:t>
      </w:r>
      <w:r w:rsidR="003B50ED">
        <w:rPr>
          <w:rFonts w:cstheme="minorHAnsi"/>
        </w:rPr>
        <w:t xml:space="preserve"> </w:t>
      </w:r>
      <w:r w:rsidR="00425212" w:rsidRPr="00A26C26">
        <w:rPr>
          <w:rFonts w:cstheme="minorHAnsi"/>
        </w:rPr>
        <w:t>LGD</w:t>
      </w:r>
      <w:r w:rsidR="003B50ED">
        <w:rPr>
          <w:rFonts w:cstheme="minorHAnsi"/>
        </w:rPr>
        <w:t xml:space="preserve"> </w:t>
      </w:r>
      <w:r w:rsidR="00425212" w:rsidRPr="00A26C26">
        <w:rPr>
          <w:rFonts w:cstheme="minorHAnsi"/>
        </w:rPr>
        <w:t>„Solna</w:t>
      </w:r>
      <w:r w:rsidR="003B50ED">
        <w:rPr>
          <w:rFonts w:cstheme="minorHAnsi"/>
        </w:rPr>
        <w:t xml:space="preserve"> </w:t>
      </w:r>
      <w:r w:rsidR="00425212" w:rsidRPr="00A26C26">
        <w:rPr>
          <w:rFonts w:cstheme="minorHAnsi"/>
        </w:rPr>
        <w:t>Dolina”,</w:t>
      </w:r>
      <w:r w:rsidR="003B50ED">
        <w:rPr>
          <w:rFonts w:cstheme="minorHAnsi"/>
        </w:rPr>
        <w:t xml:space="preserve"> </w:t>
      </w:r>
      <w:r w:rsidR="00425212" w:rsidRPr="00A26C26">
        <w:rPr>
          <w:rFonts w:cstheme="minorHAnsi"/>
        </w:rPr>
        <w:t>Stowarzyszeniem</w:t>
      </w:r>
      <w:r w:rsidR="003B50ED">
        <w:rPr>
          <w:rFonts w:cstheme="minorHAnsi"/>
        </w:rPr>
        <w:t xml:space="preserve"> </w:t>
      </w:r>
      <w:r w:rsidR="00425212" w:rsidRPr="00A26C26">
        <w:rPr>
          <w:rFonts w:cstheme="minorHAnsi"/>
        </w:rPr>
        <w:t>„Unia</w:t>
      </w:r>
      <w:r w:rsidR="003B50ED">
        <w:rPr>
          <w:rFonts w:cstheme="minorHAnsi"/>
        </w:rPr>
        <w:t xml:space="preserve"> </w:t>
      </w:r>
      <w:r w:rsidR="00425212" w:rsidRPr="00A26C26">
        <w:rPr>
          <w:rFonts w:cstheme="minorHAnsi"/>
        </w:rPr>
        <w:t>Nadwarciańska”,</w:t>
      </w:r>
      <w:r w:rsidR="003B50ED">
        <w:rPr>
          <w:rFonts w:cstheme="minorHAnsi"/>
        </w:rPr>
        <w:t xml:space="preserve"> </w:t>
      </w:r>
      <w:r w:rsidR="00425212" w:rsidRPr="00A26C26">
        <w:rPr>
          <w:rFonts w:cstheme="minorHAnsi"/>
        </w:rPr>
        <w:t>Stowarzyszeniem</w:t>
      </w:r>
      <w:r w:rsidR="003B50ED">
        <w:rPr>
          <w:rFonts w:cstheme="minorHAnsi"/>
        </w:rPr>
        <w:t xml:space="preserve"> </w:t>
      </w:r>
      <w:r w:rsidR="00425212" w:rsidRPr="00A26C26">
        <w:rPr>
          <w:rFonts w:cstheme="minorHAnsi"/>
        </w:rPr>
        <w:t>„MIĘDZY</w:t>
      </w:r>
      <w:r w:rsidR="003B50ED">
        <w:rPr>
          <w:rFonts w:cstheme="minorHAnsi"/>
        </w:rPr>
        <w:t xml:space="preserve"> </w:t>
      </w:r>
      <w:r w:rsidR="00425212" w:rsidRPr="00A26C26">
        <w:rPr>
          <w:rFonts w:cstheme="minorHAnsi"/>
        </w:rPr>
        <w:t>LUDŹMI</w:t>
      </w:r>
      <w:r w:rsidR="003B50ED">
        <w:rPr>
          <w:rFonts w:cstheme="minorHAnsi"/>
        </w:rPr>
        <w:t xml:space="preserve"> </w:t>
      </w:r>
      <w:r w:rsidR="00425212" w:rsidRPr="00A26C26">
        <w:rPr>
          <w:rFonts w:cstheme="minorHAnsi"/>
        </w:rPr>
        <w:t>I</w:t>
      </w:r>
      <w:r w:rsidR="003B50ED">
        <w:rPr>
          <w:rFonts w:cstheme="minorHAnsi"/>
        </w:rPr>
        <w:t xml:space="preserve"> </w:t>
      </w:r>
      <w:r w:rsidR="00425212" w:rsidRPr="00A26C26">
        <w:rPr>
          <w:rFonts w:cstheme="minorHAnsi"/>
        </w:rPr>
        <w:t>JEZIORAMI”</w:t>
      </w:r>
      <w:r w:rsidR="003B50ED">
        <w:rPr>
          <w:rFonts w:cstheme="minorHAnsi"/>
        </w:rPr>
        <w:t xml:space="preserve"> </w:t>
      </w:r>
      <w:r w:rsidR="00425212" w:rsidRPr="00A26C26">
        <w:rPr>
          <w:rFonts w:cstheme="minorHAnsi"/>
        </w:rPr>
        <w:t>oraz</w:t>
      </w:r>
      <w:r w:rsidR="003B50ED">
        <w:rPr>
          <w:rFonts w:cstheme="minorHAnsi"/>
        </w:rPr>
        <w:t xml:space="preserve"> </w:t>
      </w:r>
      <w:r w:rsidR="00425212" w:rsidRPr="00A26C26">
        <w:rPr>
          <w:rFonts w:cstheme="minorHAnsi"/>
        </w:rPr>
        <w:t>Stowarzyszeniem</w:t>
      </w:r>
      <w:r w:rsidR="003B50ED">
        <w:rPr>
          <w:rFonts w:cstheme="minorHAnsi"/>
        </w:rPr>
        <w:t xml:space="preserve"> </w:t>
      </w:r>
      <w:r w:rsidR="00425212" w:rsidRPr="00A26C26">
        <w:rPr>
          <w:rFonts w:cstheme="minorHAnsi"/>
        </w:rPr>
        <w:t>„Wielkopolska</w:t>
      </w:r>
      <w:r w:rsidR="003B50ED">
        <w:rPr>
          <w:rFonts w:cstheme="minorHAnsi"/>
        </w:rPr>
        <w:t xml:space="preserve"> </w:t>
      </w:r>
      <w:r w:rsidR="00425212" w:rsidRPr="00A26C26">
        <w:rPr>
          <w:rFonts w:cstheme="minorHAnsi"/>
        </w:rPr>
        <w:t>Wschodnia”.</w:t>
      </w:r>
      <w:r w:rsidR="003B50ED">
        <w:rPr>
          <w:rFonts w:cstheme="minorHAnsi"/>
        </w:rPr>
        <w:t xml:space="preserve"> </w:t>
      </w:r>
      <w:r w:rsidR="00425212" w:rsidRPr="00A26C26">
        <w:rPr>
          <w:rFonts w:cstheme="minorHAnsi"/>
        </w:rPr>
        <w:t>Głównym</w:t>
      </w:r>
      <w:r w:rsidR="003B50ED">
        <w:rPr>
          <w:rFonts w:cstheme="minorHAnsi"/>
        </w:rPr>
        <w:t xml:space="preserve"> </w:t>
      </w:r>
      <w:r w:rsidR="00425212" w:rsidRPr="00A26C26">
        <w:rPr>
          <w:rFonts w:cstheme="minorHAnsi"/>
        </w:rPr>
        <w:t>celem</w:t>
      </w:r>
      <w:r w:rsidR="003B50ED">
        <w:rPr>
          <w:rFonts w:cstheme="minorHAnsi"/>
        </w:rPr>
        <w:t xml:space="preserve"> </w:t>
      </w:r>
      <w:r w:rsidR="00425212" w:rsidRPr="00A26C26">
        <w:rPr>
          <w:rFonts w:cstheme="minorHAnsi"/>
        </w:rPr>
        <w:t>projektu</w:t>
      </w:r>
      <w:r w:rsidR="003B50ED">
        <w:rPr>
          <w:rFonts w:cstheme="minorHAnsi"/>
        </w:rPr>
        <w:t xml:space="preserve"> </w:t>
      </w:r>
      <w:r w:rsidR="00425212" w:rsidRPr="00A26C26">
        <w:rPr>
          <w:rFonts w:cstheme="minorHAnsi"/>
        </w:rPr>
        <w:t>była</w:t>
      </w:r>
      <w:r w:rsidR="003B50ED">
        <w:rPr>
          <w:rFonts w:cstheme="minorHAnsi"/>
        </w:rPr>
        <w:t xml:space="preserve"> </w:t>
      </w:r>
      <w:r w:rsidR="00425212" w:rsidRPr="00A26C26">
        <w:rPr>
          <w:rFonts w:cstheme="minorHAnsi"/>
        </w:rPr>
        <w:t>promocja</w:t>
      </w:r>
      <w:r w:rsidR="003B50ED">
        <w:rPr>
          <w:rFonts w:cstheme="minorHAnsi"/>
        </w:rPr>
        <w:t xml:space="preserve"> </w:t>
      </w:r>
      <w:r w:rsidR="00425212" w:rsidRPr="00A26C26">
        <w:rPr>
          <w:rFonts w:cstheme="minorHAnsi"/>
        </w:rPr>
        <w:t>i</w:t>
      </w:r>
      <w:r w:rsidR="003B50ED">
        <w:rPr>
          <w:rFonts w:cstheme="minorHAnsi"/>
        </w:rPr>
        <w:t xml:space="preserve"> </w:t>
      </w:r>
      <w:r w:rsidR="00425212" w:rsidRPr="00A26C26">
        <w:rPr>
          <w:rFonts w:cstheme="minorHAnsi"/>
        </w:rPr>
        <w:t>wzmocnienie</w:t>
      </w:r>
      <w:r w:rsidR="003B50ED">
        <w:rPr>
          <w:rFonts w:cstheme="minorHAnsi"/>
        </w:rPr>
        <w:t xml:space="preserve"> </w:t>
      </w:r>
      <w:r w:rsidR="00425212" w:rsidRPr="00A26C26">
        <w:rPr>
          <w:rFonts w:cstheme="minorHAnsi"/>
        </w:rPr>
        <w:t>atrakcyjności</w:t>
      </w:r>
      <w:r w:rsidR="003B50ED">
        <w:rPr>
          <w:rFonts w:cstheme="minorHAnsi"/>
        </w:rPr>
        <w:t xml:space="preserve"> </w:t>
      </w:r>
      <w:r w:rsidR="00425212" w:rsidRPr="00A26C26">
        <w:rPr>
          <w:rFonts w:cstheme="minorHAnsi"/>
        </w:rPr>
        <w:t>turystyczno-rekreacyjnej</w:t>
      </w:r>
      <w:r w:rsidR="003B50ED">
        <w:rPr>
          <w:rFonts w:cstheme="minorHAnsi"/>
        </w:rPr>
        <w:t xml:space="preserve"> </w:t>
      </w:r>
      <w:r w:rsidR="00425212" w:rsidRPr="00A26C26">
        <w:rPr>
          <w:rFonts w:cstheme="minorHAnsi"/>
        </w:rPr>
        <w:t>obszarów</w:t>
      </w:r>
      <w:r w:rsidR="003B50ED">
        <w:rPr>
          <w:rFonts w:cstheme="minorHAnsi"/>
        </w:rPr>
        <w:t xml:space="preserve"> </w:t>
      </w:r>
      <w:r w:rsidR="00425212" w:rsidRPr="00A26C26">
        <w:rPr>
          <w:rFonts w:cstheme="minorHAnsi"/>
        </w:rPr>
        <w:t>partnerskich.</w:t>
      </w:r>
      <w:r w:rsidR="003B50ED">
        <w:rPr>
          <w:rFonts w:cstheme="minorHAnsi"/>
        </w:rPr>
        <w:t xml:space="preserve"> </w:t>
      </w:r>
      <w:r w:rsidR="00425212" w:rsidRPr="00A26C26">
        <w:rPr>
          <w:rFonts w:cstheme="minorHAnsi"/>
        </w:rPr>
        <w:t>Rezultatami</w:t>
      </w:r>
      <w:r w:rsidR="003B50ED">
        <w:rPr>
          <w:rFonts w:cstheme="minorHAnsi"/>
        </w:rPr>
        <w:t xml:space="preserve"> </w:t>
      </w:r>
      <w:r w:rsidR="00425212" w:rsidRPr="00A26C26">
        <w:rPr>
          <w:rFonts w:cstheme="minorHAnsi"/>
        </w:rPr>
        <w:t>projektu</w:t>
      </w:r>
      <w:r w:rsidR="003B50ED">
        <w:rPr>
          <w:rFonts w:cstheme="minorHAnsi"/>
        </w:rPr>
        <w:t xml:space="preserve"> </w:t>
      </w:r>
      <w:r w:rsidR="00425212" w:rsidRPr="00A26C26">
        <w:rPr>
          <w:rFonts w:cstheme="minorHAnsi"/>
        </w:rPr>
        <w:t>było:</w:t>
      </w:r>
      <w:r w:rsidR="003B50ED">
        <w:rPr>
          <w:rFonts w:cstheme="minorHAnsi"/>
        </w:rPr>
        <w:t xml:space="preserve"> </w:t>
      </w:r>
      <w:r w:rsidR="00425212" w:rsidRPr="00A26C26">
        <w:rPr>
          <w:rFonts w:cstheme="minorHAnsi"/>
        </w:rPr>
        <w:t>postawienie</w:t>
      </w:r>
      <w:r w:rsidR="003B50ED">
        <w:rPr>
          <w:rFonts w:cstheme="minorHAnsi"/>
        </w:rPr>
        <w:t xml:space="preserve"> </w:t>
      </w:r>
      <w:r w:rsidR="00425212" w:rsidRPr="00A26C26">
        <w:rPr>
          <w:rFonts w:cstheme="minorHAnsi"/>
        </w:rPr>
        <w:t>44</w:t>
      </w:r>
      <w:r w:rsidR="003B50ED">
        <w:rPr>
          <w:rFonts w:cstheme="minorHAnsi"/>
        </w:rPr>
        <w:t xml:space="preserve"> </w:t>
      </w:r>
      <w:r w:rsidR="00425212" w:rsidRPr="00A26C26">
        <w:rPr>
          <w:rFonts w:cstheme="minorHAnsi"/>
        </w:rPr>
        <w:t>wiat</w:t>
      </w:r>
      <w:r w:rsidR="003B50ED">
        <w:rPr>
          <w:rFonts w:cstheme="minorHAnsi"/>
        </w:rPr>
        <w:t xml:space="preserve"> </w:t>
      </w:r>
      <w:r w:rsidR="00425212" w:rsidRPr="00A26C26">
        <w:rPr>
          <w:rFonts w:cstheme="minorHAnsi"/>
        </w:rPr>
        <w:t>przystankowo</w:t>
      </w:r>
      <w:r w:rsidR="003B50ED">
        <w:rPr>
          <w:rFonts w:cstheme="minorHAnsi"/>
        </w:rPr>
        <w:t xml:space="preserve"> </w:t>
      </w:r>
      <w:r w:rsidR="00425212" w:rsidRPr="00A26C26">
        <w:rPr>
          <w:rFonts w:cstheme="minorHAnsi"/>
        </w:rPr>
        <w:t>–</w:t>
      </w:r>
      <w:r w:rsidR="003B50ED">
        <w:rPr>
          <w:rFonts w:cstheme="minorHAnsi"/>
        </w:rPr>
        <w:t xml:space="preserve"> </w:t>
      </w:r>
      <w:r w:rsidR="00425212" w:rsidRPr="00A26C26">
        <w:rPr>
          <w:rFonts w:cstheme="minorHAnsi"/>
        </w:rPr>
        <w:t>rowerowych</w:t>
      </w:r>
      <w:r w:rsidR="003B50ED">
        <w:rPr>
          <w:rFonts w:cstheme="minorHAnsi"/>
        </w:rPr>
        <w:t xml:space="preserve"> </w:t>
      </w:r>
      <w:r w:rsidR="00425212" w:rsidRPr="00A26C26">
        <w:rPr>
          <w:rFonts w:cstheme="minorHAnsi"/>
        </w:rPr>
        <w:t>wraz</w:t>
      </w:r>
      <w:r w:rsidR="003B50ED">
        <w:rPr>
          <w:rFonts w:cstheme="minorHAnsi"/>
        </w:rPr>
        <w:t xml:space="preserve"> </w:t>
      </w:r>
      <w:r w:rsidR="00425212" w:rsidRPr="00A26C26">
        <w:rPr>
          <w:rFonts w:cstheme="minorHAnsi"/>
        </w:rPr>
        <w:t>z</w:t>
      </w:r>
      <w:r w:rsidR="003B50ED">
        <w:rPr>
          <w:rFonts w:cstheme="minorHAnsi"/>
        </w:rPr>
        <w:t xml:space="preserve"> </w:t>
      </w:r>
      <w:r w:rsidR="00425212" w:rsidRPr="00A26C26">
        <w:rPr>
          <w:rFonts w:cstheme="minorHAnsi"/>
        </w:rPr>
        <w:t>infrastrukturą</w:t>
      </w:r>
      <w:r w:rsidR="003B50ED">
        <w:rPr>
          <w:rFonts w:cstheme="minorHAnsi"/>
        </w:rPr>
        <w:t xml:space="preserve"> </w:t>
      </w:r>
      <w:r w:rsidR="00425212" w:rsidRPr="00A26C26">
        <w:rPr>
          <w:rFonts w:cstheme="minorHAnsi"/>
        </w:rPr>
        <w:t>towarzyszącą</w:t>
      </w:r>
      <w:r w:rsidR="003B50ED">
        <w:rPr>
          <w:rFonts w:cstheme="minorHAnsi"/>
        </w:rPr>
        <w:t xml:space="preserve"> </w:t>
      </w:r>
      <w:r w:rsidR="00425212" w:rsidRPr="00A26C26">
        <w:rPr>
          <w:rFonts w:cstheme="minorHAnsi"/>
        </w:rPr>
        <w:t>na</w:t>
      </w:r>
      <w:r w:rsidR="003B50ED">
        <w:rPr>
          <w:rFonts w:cstheme="minorHAnsi"/>
        </w:rPr>
        <w:t xml:space="preserve"> </w:t>
      </w:r>
      <w:r w:rsidR="00425212" w:rsidRPr="00A26C26">
        <w:rPr>
          <w:rFonts w:cstheme="minorHAnsi"/>
        </w:rPr>
        <w:t>terenie</w:t>
      </w:r>
      <w:r w:rsidR="003B50ED">
        <w:rPr>
          <w:rFonts w:cstheme="minorHAnsi"/>
        </w:rPr>
        <w:t xml:space="preserve"> </w:t>
      </w:r>
      <w:r w:rsidR="00425212" w:rsidRPr="00A26C26">
        <w:rPr>
          <w:rFonts w:cstheme="minorHAnsi"/>
        </w:rPr>
        <w:t>gmin</w:t>
      </w:r>
      <w:r w:rsidR="003B50ED">
        <w:rPr>
          <w:rFonts w:cstheme="minorHAnsi"/>
        </w:rPr>
        <w:t xml:space="preserve"> </w:t>
      </w:r>
      <w:r w:rsidR="00425212" w:rsidRPr="00A26C26">
        <w:rPr>
          <w:rFonts w:cstheme="minorHAnsi"/>
        </w:rPr>
        <w:t>członkowskich</w:t>
      </w:r>
      <w:r w:rsidR="003B50ED">
        <w:rPr>
          <w:rFonts w:cstheme="minorHAnsi"/>
        </w:rPr>
        <w:t xml:space="preserve"> </w:t>
      </w:r>
      <w:r w:rsidR="00425212" w:rsidRPr="00A26C26">
        <w:rPr>
          <w:rFonts w:cstheme="minorHAnsi"/>
        </w:rPr>
        <w:t>LGD,</w:t>
      </w:r>
      <w:r w:rsidR="003B50ED">
        <w:rPr>
          <w:rFonts w:cstheme="minorHAnsi"/>
        </w:rPr>
        <w:t xml:space="preserve"> </w:t>
      </w:r>
      <w:r w:rsidR="00425212" w:rsidRPr="00A26C26">
        <w:rPr>
          <w:rFonts w:cstheme="minorHAnsi"/>
        </w:rPr>
        <w:t>opracowanie</w:t>
      </w:r>
      <w:r w:rsidR="003B50ED">
        <w:rPr>
          <w:rFonts w:cstheme="minorHAnsi"/>
        </w:rPr>
        <w:t xml:space="preserve"> </w:t>
      </w:r>
      <w:r w:rsidR="00425212" w:rsidRPr="00A26C26">
        <w:rPr>
          <w:rFonts w:cstheme="minorHAnsi"/>
        </w:rPr>
        <w:t>i</w:t>
      </w:r>
      <w:r w:rsidR="003B50ED">
        <w:rPr>
          <w:rFonts w:cstheme="minorHAnsi"/>
        </w:rPr>
        <w:t xml:space="preserve"> </w:t>
      </w:r>
      <w:r w:rsidR="00425212" w:rsidRPr="00A26C26">
        <w:rPr>
          <w:rFonts w:cstheme="minorHAnsi"/>
        </w:rPr>
        <w:t>wydrukowanie</w:t>
      </w:r>
      <w:r w:rsidR="003B50ED">
        <w:rPr>
          <w:rFonts w:cstheme="minorHAnsi"/>
        </w:rPr>
        <w:t xml:space="preserve"> </w:t>
      </w:r>
      <w:r w:rsidR="00425212" w:rsidRPr="00A26C26">
        <w:rPr>
          <w:rFonts w:cstheme="minorHAnsi"/>
        </w:rPr>
        <w:t>mapy,</w:t>
      </w:r>
      <w:r w:rsidR="003B50ED">
        <w:rPr>
          <w:rFonts w:cstheme="minorHAnsi"/>
        </w:rPr>
        <w:t xml:space="preserve"> </w:t>
      </w:r>
      <w:r w:rsidR="00425212" w:rsidRPr="00A26C26">
        <w:rPr>
          <w:rFonts w:cstheme="minorHAnsi"/>
        </w:rPr>
        <w:t>obejmującej</w:t>
      </w:r>
      <w:r w:rsidR="003B50ED">
        <w:rPr>
          <w:rFonts w:cstheme="minorHAnsi"/>
        </w:rPr>
        <w:t xml:space="preserve"> </w:t>
      </w:r>
      <w:r w:rsidR="00425212" w:rsidRPr="00A26C26">
        <w:rPr>
          <w:rFonts w:cstheme="minorHAnsi"/>
        </w:rPr>
        <w:t>wszystkie</w:t>
      </w:r>
      <w:r w:rsidR="003B50ED">
        <w:rPr>
          <w:rFonts w:cstheme="minorHAnsi"/>
        </w:rPr>
        <w:t xml:space="preserve"> </w:t>
      </w:r>
      <w:r w:rsidR="00425212" w:rsidRPr="00A26C26">
        <w:rPr>
          <w:rFonts w:cstheme="minorHAnsi"/>
        </w:rPr>
        <w:t>gminy</w:t>
      </w:r>
      <w:r w:rsidR="003B50ED">
        <w:rPr>
          <w:rFonts w:cstheme="minorHAnsi"/>
        </w:rPr>
        <w:t xml:space="preserve"> </w:t>
      </w:r>
      <w:r w:rsidR="00425212" w:rsidRPr="00A26C26">
        <w:rPr>
          <w:rFonts w:cstheme="minorHAnsi"/>
        </w:rPr>
        <w:t>uczestniczące</w:t>
      </w:r>
      <w:r w:rsidR="003B50ED">
        <w:rPr>
          <w:rFonts w:cstheme="minorHAnsi"/>
        </w:rPr>
        <w:t xml:space="preserve"> </w:t>
      </w:r>
      <w:r w:rsidR="00425212" w:rsidRPr="00A26C26">
        <w:rPr>
          <w:rFonts w:cstheme="minorHAnsi"/>
        </w:rPr>
        <w:t>w</w:t>
      </w:r>
      <w:r w:rsidR="003B50ED">
        <w:rPr>
          <w:rFonts w:cstheme="minorHAnsi"/>
        </w:rPr>
        <w:t xml:space="preserve"> </w:t>
      </w:r>
      <w:r w:rsidR="00425212" w:rsidRPr="00A26C26">
        <w:rPr>
          <w:rFonts w:cstheme="minorHAnsi"/>
        </w:rPr>
        <w:t>projekcie,</w:t>
      </w:r>
      <w:r w:rsidR="003B50ED">
        <w:rPr>
          <w:rFonts w:cstheme="minorHAnsi"/>
        </w:rPr>
        <w:t xml:space="preserve"> </w:t>
      </w:r>
      <w:r w:rsidR="00425212" w:rsidRPr="00A26C26">
        <w:rPr>
          <w:rFonts w:cstheme="minorHAnsi"/>
        </w:rPr>
        <w:t>a</w:t>
      </w:r>
      <w:r w:rsidR="003B50ED">
        <w:rPr>
          <w:rFonts w:cstheme="minorHAnsi"/>
        </w:rPr>
        <w:t xml:space="preserve"> </w:t>
      </w:r>
      <w:r w:rsidR="00425212" w:rsidRPr="00A26C26">
        <w:rPr>
          <w:rFonts w:cstheme="minorHAnsi"/>
        </w:rPr>
        <w:t>także</w:t>
      </w:r>
      <w:r w:rsidR="003B50ED">
        <w:rPr>
          <w:rFonts w:cstheme="minorHAnsi"/>
        </w:rPr>
        <w:t xml:space="preserve"> </w:t>
      </w:r>
      <w:r w:rsidR="00425212" w:rsidRPr="00A26C26">
        <w:rPr>
          <w:rFonts w:cstheme="minorHAnsi"/>
        </w:rPr>
        <w:t>mapy</w:t>
      </w:r>
      <w:r w:rsidR="003B50ED">
        <w:rPr>
          <w:rFonts w:cstheme="minorHAnsi"/>
        </w:rPr>
        <w:t xml:space="preserve"> </w:t>
      </w:r>
      <w:r w:rsidR="00425212" w:rsidRPr="00A26C26">
        <w:rPr>
          <w:rFonts w:cstheme="minorHAnsi"/>
        </w:rPr>
        <w:t>w</w:t>
      </w:r>
      <w:r w:rsidR="003B50ED">
        <w:rPr>
          <w:rFonts w:cstheme="minorHAnsi"/>
        </w:rPr>
        <w:t xml:space="preserve"> </w:t>
      </w:r>
      <w:r w:rsidR="00425212" w:rsidRPr="00A26C26">
        <w:rPr>
          <w:rFonts w:cstheme="minorHAnsi"/>
        </w:rPr>
        <w:t>wersji</w:t>
      </w:r>
      <w:r w:rsidR="003B50ED">
        <w:rPr>
          <w:rFonts w:cstheme="minorHAnsi"/>
        </w:rPr>
        <w:t xml:space="preserve"> </w:t>
      </w:r>
      <w:r w:rsidR="00425212" w:rsidRPr="00A26C26">
        <w:rPr>
          <w:rFonts w:cstheme="minorHAnsi"/>
        </w:rPr>
        <w:t>do</w:t>
      </w:r>
      <w:r w:rsidR="003B50ED">
        <w:rPr>
          <w:rFonts w:cstheme="minorHAnsi"/>
        </w:rPr>
        <w:t xml:space="preserve"> </w:t>
      </w:r>
      <w:r w:rsidR="00425212" w:rsidRPr="00A26C26">
        <w:rPr>
          <w:rFonts w:cstheme="minorHAnsi"/>
        </w:rPr>
        <w:t>umieszczenia</w:t>
      </w:r>
      <w:r w:rsidR="003B50ED">
        <w:rPr>
          <w:rFonts w:cstheme="minorHAnsi"/>
        </w:rPr>
        <w:t xml:space="preserve"> </w:t>
      </w:r>
      <w:r w:rsidR="00425212" w:rsidRPr="00A26C26">
        <w:rPr>
          <w:rFonts w:cstheme="minorHAnsi"/>
        </w:rPr>
        <w:t>na</w:t>
      </w:r>
      <w:r w:rsidR="003B50ED">
        <w:rPr>
          <w:rFonts w:cstheme="minorHAnsi"/>
        </w:rPr>
        <w:t xml:space="preserve"> </w:t>
      </w:r>
      <w:r w:rsidR="00425212" w:rsidRPr="00A26C26">
        <w:rPr>
          <w:rFonts w:cstheme="minorHAnsi"/>
        </w:rPr>
        <w:t>stronach</w:t>
      </w:r>
      <w:r w:rsidR="003B50ED">
        <w:rPr>
          <w:rFonts w:cstheme="minorHAnsi"/>
        </w:rPr>
        <w:t xml:space="preserve"> </w:t>
      </w:r>
      <w:r w:rsidR="00425212" w:rsidRPr="00A26C26">
        <w:rPr>
          <w:rFonts w:cstheme="minorHAnsi"/>
        </w:rPr>
        <w:t>internetowych</w:t>
      </w:r>
      <w:r w:rsidR="003B50ED">
        <w:rPr>
          <w:rFonts w:cstheme="minorHAnsi"/>
        </w:rPr>
        <w:t xml:space="preserve"> </w:t>
      </w:r>
      <w:r w:rsidR="00425212" w:rsidRPr="00A26C26">
        <w:rPr>
          <w:rFonts w:cstheme="minorHAnsi"/>
        </w:rPr>
        <w:t>LGD</w:t>
      </w:r>
      <w:r w:rsidR="003B50ED">
        <w:rPr>
          <w:rFonts w:cstheme="minorHAnsi"/>
        </w:rPr>
        <w:t xml:space="preserve"> </w:t>
      </w:r>
      <w:r w:rsidR="00425212" w:rsidRPr="00A26C26">
        <w:rPr>
          <w:rFonts w:cstheme="minorHAnsi"/>
        </w:rPr>
        <w:t>biorących</w:t>
      </w:r>
      <w:r w:rsidR="003B50ED">
        <w:rPr>
          <w:rFonts w:cstheme="minorHAnsi"/>
        </w:rPr>
        <w:t xml:space="preserve"> </w:t>
      </w:r>
      <w:r w:rsidR="00425212" w:rsidRPr="00A26C26">
        <w:rPr>
          <w:rFonts w:cstheme="minorHAnsi"/>
        </w:rPr>
        <w:t>udział</w:t>
      </w:r>
      <w:r w:rsidR="003B50ED">
        <w:rPr>
          <w:rFonts w:cstheme="minorHAnsi"/>
        </w:rPr>
        <w:t xml:space="preserve"> </w:t>
      </w:r>
      <w:r w:rsidR="00425212" w:rsidRPr="00A26C26">
        <w:rPr>
          <w:rFonts w:cstheme="minorHAnsi"/>
        </w:rPr>
        <w:t>w</w:t>
      </w:r>
      <w:r w:rsidR="003B50ED">
        <w:rPr>
          <w:rFonts w:cstheme="minorHAnsi"/>
        </w:rPr>
        <w:t xml:space="preserve"> </w:t>
      </w:r>
      <w:r w:rsidR="00425212" w:rsidRPr="00A26C26">
        <w:rPr>
          <w:rFonts w:cstheme="minorHAnsi"/>
        </w:rPr>
        <w:t>projekcie.</w:t>
      </w:r>
      <w:r w:rsidR="003B50ED">
        <w:rPr>
          <w:rFonts w:cstheme="minorHAnsi"/>
        </w:rPr>
        <w:t xml:space="preserve"> </w:t>
      </w:r>
      <w:r w:rsidR="00425212" w:rsidRPr="00A26C26">
        <w:rPr>
          <w:rFonts w:cstheme="minorHAnsi"/>
        </w:rPr>
        <w:t>Wiaty</w:t>
      </w:r>
      <w:r w:rsidR="003B50ED">
        <w:rPr>
          <w:rFonts w:cstheme="minorHAnsi"/>
        </w:rPr>
        <w:t xml:space="preserve"> </w:t>
      </w:r>
      <w:r w:rsidR="00425212" w:rsidRPr="00A26C26">
        <w:rPr>
          <w:rFonts w:cstheme="minorHAnsi"/>
        </w:rPr>
        <w:t>przystankowe</w:t>
      </w:r>
      <w:r w:rsidR="003B50ED">
        <w:rPr>
          <w:rFonts w:cstheme="minorHAnsi"/>
        </w:rPr>
        <w:t xml:space="preserve"> </w:t>
      </w:r>
      <w:r w:rsidR="00425212" w:rsidRPr="00A26C26">
        <w:rPr>
          <w:rFonts w:cstheme="minorHAnsi"/>
        </w:rPr>
        <w:t>zostały</w:t>
      </w:r>
      <w:r w:rsidR="003B50ED">
        <w:rPr>
          <w:rFonts w:cstheme="minorHAnsi"/>
        </w:rPr>
        <w:t xml:space="preserve"> </w:t>
      </w:r>
      <w:r w:rsidR="00425212" w:rsidRPr="00A26C26">
        <w:rPr>
          <w:rFonts w:cstheme="minorHAnsi"/>
        </w:rPr>
        <w:t>zlokalizowane</w:t>
      </w:r>
      <w:r w:rsidR="003B50ED">
        <w:rPr>
          <w:rFonts w:cstheme="minorHAnsi"/>
        </w:rPr>
        <w:t xml:space="preserve"> </w:t>
      </w:r>
      <w:r w:rsidR="00425212" w:rsidRPr="00A26C26">
        <w:rPr>
          <w:rFonts w:cstheme="minorHAnsi"/>
        </w:rPr>
        <w:t>w</w:t>
      </w:r>
      <w:r w:rsidR="003B50ED">
        <w:rPr>
          <w:rFonts w:cstheme="minorHAnsi"/>
        </w:rPr>
        <w:t xml:space="preserve"> </w:t>
      </w:r>
      <w:r w:rsidR="00425212" w:rsidRPr="00A26C26">
        <w:rPr>
          <w:rFonts w:cstheme="minorHAnsi"/>
        </w:rPr>
        <w:t>ogólnie</w:t>
      </w:r>
      <w:r w:rsidR="003B50ED">
        <w:rPr>
          <w:rFonts w:cstheme="minorHAnsi"/>
        </w:rPr>
        <w:t xml:space="preserve"> </w:t>
      </w:r>
      <w:r w:rsidR="00425212" w:rsidRPr="00A26C26">
        <w:rPr>
          <w:rFonts w:cstheme="minorHAnsi"/>
        </w:rPr>
        <w:t>dostępnych</w:t>
      </w:r>
      <w:r w:rsidR="003B50ED">
        <w:rPr>
          <w:rFonts w:cstheme="minorHAnsi"/>
        </w:rPr>
        <w:t xml:space="preserve"> </w:t>
      </w:r>
      <w:r w:rsidR="00425212" w:rsidRPr="00A26C26">
        <w:rPr>
          <w:rFonts w:cstheme="minorHAnsi"/>
        </w:rPr>
        <w:t>miejscach</w:t>
      </w:r>
      <w:r w:rsidR="003B50ED">
        <w:rPr>
          <w:rFonts w:cstheme="minorHAnsi"/>
        </w:rPr>
        <w:t xml:space="preserve"> </w:t>
      </w:r>
      <w:r w:rsidR="00425212" w:rsidRPr="00A26C26">
        <w:rPr>
          <w:rFonts w:cstheme="minorHAnsi"/>
        </w:rPr>
        <w:t>i</w:t>
      </w:r>
      <w:r w:rsidR="003B50ED">
        <w:rPr>
          <w:rFonts w:cstheme="minorHAnsi"/>
        </w:rPr>
        <w:t xml:space="preserve"> </w:t>
      </w:r>
      <w:r w:rsidR="00425212" w:rsidRPr="00A26C26">
        <w:rPr>
          <w:rFonts w:cstheme="minorHAnsi"/>
        </w:rPr>
        <w:t>służą</w:t>
      </w:r>
      <w:r w:rsidR="003B50ED">
        <w:rPr>
          <w:rFonts w:cstheme="minorHAnsi"/>
        </w:rPr>
        <w:t xml:space="preserve"> </w:t>
      </w:r>
      <w:r w:rsidR="00425212" w:rsidRPr="00A26C26">
        <w:rPr>
          <w:rFonts w:cstheme="minorHAnsi"/>
        </w:rPr>
        <w:t>jako</w:t>
      </w:r>
      <w:r w:rsidR="003B50ED">
        <w:rPr>
          <w:rFonts w:cstheme="minorHAnsi"/>
        </w:rPr>
        <w:t xml:space="preserve"> </w:t>
      </w:r>
      <w:r w:rsidR="00425212" w:rsidRPr="00A26C26">
        <w:rPr>
          <w:rFonts w:cstheme="minorHAnsi"/>
        </w:rPr>
        <w:t>miejsce</w:t>
      </w:r>
      <w:r w:rsidR="003B50ED">
        <w:rPr>
          <w:rFonts w:cstheme="minorHAnsi"/>
        </w:rPr>
        <w:t xml:space="preserve"> </w:t>
      </w:r>
      <w:r w:rsidR="00425212" w:rsidRPr="00A26C26">
        <w:rPr>
          <w:rFonts w:cstheme="minorHAnsi"/>
        </w:rPr>
        <w:t>postojowe</w:t>
      </w:r>
      <w:r w:rsidR="003B50ED">
        <w:rPr>
          <w:rFonts w:cstheme="minorHAnsi"/>
        </w:rPr>
        <w:t xml:space="preserve"> </w:t>
      </w:r>
      <w:r w:rsidR="00425212" w:rsidRPr="00A26C26">
        <w:rPr>
          <w:rFonts w:cstheme="minorHAnsi"/>
        </w:rPr>
        <w:t>dla</w:t>
      </w:r>
      <w:r w:rsidR="003B50ED">
        <w:rPr>
          <w:rFonts w:cstheme="minorHAnsi"/>
        </w:rPr>
        <w:t xml:space="preserve"> </w:t>
      </w:r>
      <w:r w:rsidR="00425212" w:rsidRPr="00A26C26">
        <w:rPr>
          <w:rFonts w:cstheme="minorHAnsi"/>
        </w:rPr>
        <w:t>rowerzystów</w:t>
      </w:r>
      <w:r w:rsidR="003B50ED">
        <w:rPr>
          <w:rFonts w:cstheme="minorHAnsi"/>
        </w:rPr>
        <w:t xml:space="preserve"> </w:t>
      </w:r>
      <w:r w:rsidR="00425212" w:rsidRPr="00A26C26">
        <w:rPr>
          <w:rFonts w:cstheme="minorHAnsi"/>
        </w:rPr>
        <w:t>korzystających</w:t>
      </w:r>
      <w:r w:rsidR="003B50ED">
        <w:rPr>
          <w:rFonts w:cstheme="minorHAnsi"/>
        </w:rPr>
        <w:t xml:space="preserve"> </w:t>
      </w:r>
      <w:r w:rsidR="00425212" w:rsidRPr="00A26C26">
        <w:rPr>
          <w:rFonts w:cstheme="minorHAnsi"/>
        </w:rPr>
        <w:t>z</w:t>
      </w:r>
      <w:r w:rsidR="003B50ED">
        <w:rPr>
          <w:rFonts w:cstheme="minorHAnsi"/>
        </w:rPr>
        <w:t xml:space="preserve"> </w:t>
      </w:r>
      <w:r w:rsidR="00425212" w:rsidRPr="00A26C26">
        <w:rPr>
          <w:rFonts w:cstheme="minorHAnsi"/>
        </w:rPr>
        <w:t>pętli</w:t>
      </w:r>
      <w:r w:rsidR="003B50ED">
        <w:rPr>
          <w:rFonts w:cstheme="minorHAnsi"/>
        </w:rPr>
        <w:t xml:space="preserve"> </w:t>
      </w:r>
      <w:r w:rsidR="00425212" w:rsidRPr="00A26C26">
        <w:rPr>
          <w:rFonts w:cstheme="minorHAnsi"/>
        </w:rPr>
        <w:t>rowerowej</w:t>
      </w:r>
      <w:r w:rsidR="003B50ED">
        <w:rPr>
          <w:rFonts w:cstheme="minorHAnsi"/>
        </w:rPr>
        <w:t xml:space="preserve"> </w:t>
      </w:r>
      <w:r w:rsidR="00425212" w:rsidRPr="00A26C26">
        <w:rPr>
          <w:rFonts w:cstheme="minorHAnsi"/>
        </w:rPr>
        <w:t>na</w:t>
      </w:r>
      <w:r w:rsidR="003B50ED">
        <w:rPr>
          <w:rFonts w:cstheme="minorHAnsi"/>
        </w:rPr>
        <w:t xml:space="preserve"> </w:t>
      </w:r>
      <w:r w:rsidR="00425212" w:rsidRPr="00A26C26">
        <w:rPr>
          <w:rFonts w:cstheme="minorHAnsi"/>
        </w:rPr>
        <w:t>terenie</w:t>
      </w:r>
      <w:r w:rsidR="003B50ED">
        <w:rPr>
          <w:rFonts w:cstheme="minorHAnsi"/>
        </w:rPr>
        <w:t xml:space="preserve"> </w:t>
      </w:r>
      <w:r w:rsidR="00425212" w:rsidRPr="00A26C26">
        <w:rPr>
          <w:rFonts w:cstheme="minorHAnsi"/>
        </w:rPr>
        <w:t>partnerskich</w:t>
      </w:r>
      <w:r w:rsidR="003B50ED">
        <w:rPr>
          <w:rFonts w:cstheme="minorHAnsi"/>
        </w:rPr>
        <w:t xml:space="preserve"> </w:t>
      </w:r>
      <w:r w:rsidR="00425212" w:rsidRPr="00A26C26">
        <w:rPr>
          <w:rFonts w:cstheme="minorHAnsi"/>
        </w:rPr>
        <w:t>LGD.</w:t>
      </w:r>
      <w:r w:rsidR="003B50ED">
        <w:rPr>
          <w:rFonts w:cstheme="minorHAnsi"/>
        </w:rPr>
        <w:t xml:space="preserve"> </w:t>
      </w:r>
      <w:r w:rsidR="00425212" w:rsidRPr="00A26C26">
        <w:rPr>
          <w:rFonts w:cstheme="minorHAnsi"/>
        </w:rPr>
        <w:t>Na</w:t>
      </w:r>
      <w:r w:rsidR="003B50ED">
        <w:rPr>
          <w:rFonts w:cstheme="minorHAnsi"/>
        </w:rPr>
        <w:t xml:space="preserve"> </w:t>
      </w:r>
      <w:r w:rsidR="00425212" w:rsidRPr="00A26C26">
        <w:rPr>
          <w:rFonts w:cstheme="minorHAnsi"/>
        </w:rPr>
        <w:t>terenie</w:t>
      </w:r>
      <w:r w:rsidR="003B50ED">
        <w:rPr>
          <w:rFonts w:cstheme="minorHAnsi"/>
        </w:rPr>
        <w:t xml:space="preserve"> </w:t>
      </w:r>
      <w:r w:rsidR="00F32737">
        <w:rPr>
          <w:rFonts w:cstheme="minorHAnsi"/>
        </w:rPr>
        <w:t xml:space="preserve">Stowarzyszenia </w:t>
      </w:r>
      <w:r w:rsidR="00F32737" w:rsidRPr="00A26C26">
        <w:rPr>
          <w:rFonts w:cstheme="minorHAnsi"/>
        </w:rPr>
        <w:t>„Solidarni</w:t>
      </w:r>
      <w:r w:rsidR="00F32737">
        <w:rPr>
          <w:rFonts w:cstheme="minorHAnsi"/>
        </w:rPr>
        <w:t xml:space="preserve"> </w:t>
      </w:r>
      <w:r w:rsidR="00F32737" w:rsidRPr="00A26C26">
        <w:rPr>
          <w:rFonts w:cstheme="minorHAnsi"/>
        </w:rPr>
        <w:t>w</w:t>
      </w:r>
      <w:r w:rsidR="00F32737">
        <w:rPr>
          <w:rFonts w:cstheme="minorHAnsi"/>
        </w:rPr>
        <w:t xml:space="preserve"> </w:t>
      </w:r>
      <w:r w:rsidR="00F32737" w:rsidRPr="00A26C26">
        <w:rPr>
          <w:rFonts w:cstheme="minorHAnsi"/>
        </w:rPr>
        <w:t>Partnerstwie”</w:t>
      </w:r>
      <w:r w:rsidR="00F32737">
        <w:rPr>
          <w:rFonts w:cstheme="minorHAnsi"/>
        </w:rPr>
        <w:t xml:space="preserve"> </w:t>
      </w:r>
      <w:r w:rsidR="00425212" w:rsidRPr="00A26C26">
        <w:rPr>
          <w:rFonts w:cstheme="minorHAnsi"/>
        </w:rPr>
        <w:t>powstało</w:t>
      </w:r>
      <w:r w:rsidR="003B50ED">
        <w:rPr>
          <w:rFonts w:cstheme="minorHAnsi"/>
        </w:rPr>
        <w:t xml:space="preserve"> </w:t>
      </w:r>
      <w:r w:rsidR="00425212" w:rsidRPr="00A26C26">
        <w:rPr>
          <w:rFonts w:cstheme="minorHAnsi"/>
        </w:rPr>
        <w:t>9</w:t>
      </w:r>
      <w:r w:rsidR="003B50ED">
        <w:rPr>
          <w:rFonts w:cstheme="minorHAnsi"/>
        </w:rPr>
        <w:t xml:space="preserve"> </w:t>
      </w:r>
      <w:r w:rsidR="00425212" w:rsidRPr="00A26C26">
        <w:rPr>
          <w:rFonts w:cstheme="minorHAnsi"/>
        </w:rPr>
        <w:t>wiat</w:t>
      </w:r>
      <w:r w:rsidR="003B50ED">
        <w:rPr>
          <w:rFonts w:cstheme="minorHAnsi"/>
        </w:rPr>
        <w:t xml:space="preserve"> </w:t>
      </w:r>
      <w:r w:rsidR="00425212" w:rsidRPr="00A26C26">
        <w:rPr>
          <w:rFonts w:cstheme="minorHAnsi"/>
        </w:rPr>
        <w:t>wraz</w:t>
      </w:r>
      <w:r w:rsidR="003B50ED">
        <w:rPr>
          <w:rFonts w:cstheme="minorHAnsi"/>
        </w:rPr>
        <w:t xml:space="preserve"> </w:t>
      </w:r>
      <w:r w:rsidR="00425212" w:rsidRPr="00A26C26">
        <w:rPr>
          <w:rFonts w:cstheme="minorHAnsi"/>
        </w:rPr>
        <w:t>z</w:t>
      </w:r>
      <w:r w:rsidR="003B50ED">
        <w:rPr>
          <w:rFonts w:cstheme="minorHAnsi"/>
        </w:rPr>
        <w:t xml:space="preserve"> </w:t>
      </w:r>
      <w:r w:rsidR="00425212" w:rsidRPr="00A26C26">
        <w:rPr>
          <w:rFonts w:cstheme="minorHAnsi"/>
        </w:rPr>
        <w:t>infrastrukturą</w:t>
      </w:r>
      <w:r w:rsidR="003B50ED">
        <w:rPr>
          <w:rFonts w:cstheme="minorHAnsi"/>
        </w:rPr>
        <w:t xml:space="preserve"> </w:t>
      </w:r>
      <w:r w:rsidR="00425212" w:rsidRPr="00A26C26">
        <w:rPr>
          <w:rFonts w:cstheme="minorHAnsi"/>
        </w:rPr>
        <w:t>towarzyszącą</w:t>
      </w:r>
      <w:r w:rsidR="003B50ED">
        <w:rPr>
          <w:rFonts w:cstheme="minorHAnsi"/>
        </w:rPr>
        <w:t xml:space="preserve"> </w:t>
      </w:r>
      <w:r w:rsidR="00425212" w:rsidRPr="00A26C26">
        <w:rPr>
          <w:rFonts w:cstheme="minorHAnsi"/>
        </w:rPr>
        <w:t>tj.</w:t>
      </w:r>
      <w:r w:rsidR="003B50ED">
        <w:rPr>
          <w:rFonts w:cstheme="minorHAnsi"/>
        </w:rPr>
        <w:t xml:space="preserve"> </w:t>
      </w:r>
      <w:r w:rsidR="00425212" w:rsidRPr="00A26C26">
        <w:rPr>
          <w:rFonts w:cstheme="minorHAnsi"/>
        </w:rPr>
        <w:t>tablicą</w:t>
      </w:r>
      <w:r w:rsidR="003B50ED">
        <w:rPr>
          <w:rFonts w:cstheme="minorHAnsi"/>
        </w:rPr>
        <w:t xml:space="preserve"> </w:t>
      </w:r>
      <w:r w:rsidR="00425212" w:rsidRPr="00A26C26">
        <w:rPr>
          <w:rFonts w:cstheme="minorHAnsi"/>
        </w:rPr>
        <w:t>informacyjną</w:t>
      </w:r>
      <w:r w:rsidR="003B50ED">
        <w:rPr>
          <w:rFonts w:cstheme="minorHAnsi"/>
        </w:rPr>
        <w:t xml:space="preserve"> </w:t>
      </w:r>
      <w:r w:rsidR="00425212" w:rsidRPr="00A26C26">
        <w:rPr>
          <w:rFonts w:cstheme="minorHAnsi"/>
        </w:rPr>
        <w:t>z</w:t>
      </w:r>
      <w:r w:rsidR="003B50ED">
        <w:rPr>
          <w:rFonts w:cstheme="minorHAnsi"/>
        </w:rPr>
        <w:t xml:space="preserve"> </w:t>
      </w:r>
      <w:r w:rsidR="00425212" w:rsidRPr="00A26C26">
        <w:rPr>
          <w:rFonts w:cstheme="minorHAnsi"/>
        </w:rPr>
        <w:t>mapą,</w:t>
      </w:r>
      <w:r w:rsidR="003B50ED">
        <w:rPr>
          <w:rFonts w:cstheme="minorHAnsi"/>
        </w:rPr>
        <w:t xml:space="preserve"> </w:t>
      </w:r>
      <w:r w:rsidR="00425212" w:rsidRPr="00A26C26">
        <w:rPr>
          <w:rFonts w:cstheme="minorHAnsi"/>
        </w:rPr>
        <w:t>stojakiem</w:t>
      </w:r>
      <w:r w:rsidR="003B50ED">
        <w:rPr>
          <w:rFonts w:cstheme="minorHAnsi"/>
        </w:rPr>
        <w:t xml:space="preserve"> </w:t>
      </w:r>
      <w:r w:rsidR="00425212" w:rsidRPr="00A26C26">
        <w:rPr>
          <w:rFonts w:cstheme="minorHAnsi"/>
        </w:rPr>
        <w:t>na</w:t>
      </w:r>
      <w:r w:rsidR="003B50ED">
        <w:rPr>
          <w:rFonts w:cstheme="minorHAnsi"/>
        </w:rPr>
        <w:t xml:space="preserve"> </w:t>
      </w:r>
      <w:r w:rsidR="00425212" w:rsidRPr="00A26C26">
        <w:rPr>
          <w:rFonts w:cstheme="minorHAnsi"/>
        </w:rPr>
        <w:t>rowery</w:t>
      </w:r>
      <w:r w:rsidR="003B50ED">
        <w:rPr>
          <w:rFonts w:cstheme="minorHAnsi"/>
        </w:rPr>
        <w:t xml:space="preserve"> </w:t>
      </w:r>
      <w:r w:rsidR="00425212" w:rsidRPr="00A26C26">
        <w:rPr>
          <w:rFonts w:cstheme="minorHAnsi"/>
        </w:rPr>
        <w:t>oraz</w:t>
      </w:r>
      <w:r w:rsidR="003B50ED">
        <w:rPr>
          <w:rFonts w:cstheme="minorHAnsi"/>
        </w:rPr>
        <w:t xml:space="preserve"> </w:t>
      </w:r>
      <w:r w:rsidR="00425212" w:rsidRPr="00A26C26">
        <w:rPr>
          <w:rFonts w:cstheme="minorHAnsi"/>
        </w:rPr>
        <w:t>koszem</w:t>
      </w:r>
      <w:r w:rsidR="003B50ED">
        <w:rPr>
          <w:rFonts w:cstheme="minorHAnsi"/>
        </w:rPr>
        <w:t xml:space="preserve"> </w:t>
      </w:r>
      <w:r w:rsidR="00425212" w:rsidRPr="00A26C26">
        <w:rPr>
          <w:rFonts w:cstheme="minorHAnsi"/>
        </w:rPr>
        <w:t>na</w:t>
      </w:r>
      <w:r w:rsidR="003B50ED">
        <w:rPr>
          <w:rFonts w:cstheme="minorHAnsi"/>
        </w:rPr>
        <w:t xml:space="preserve"> </w:t>
      </w:r>
      <w:r w:rsidR="00425212" w:rsidRPr="00A26C26">
        <w:rPr>
          <w:rFonts w:cstheme="minorHAnsi"/>
        </w:rPr>
        <w:t>śmieci.</w:t>
      </w:r>
      <w:r w:rsidR="003B50ED">
        <w:rPr>
          <w:rFonts w:cstheme="minorHAnsi"/>
        </w:rPr>
        <w:t xml:space="preserve"> </w:t>
      </w:r>
      <w:r w:rsidR="00425212" w:rsidRPr="00A26C26">
        <w:rPr>
          <w:rFonts w:cstheme="minorHAnsi"/>
        </w:rPr>
        <w:t>Efekty</w:t>
      </w:r>
      <w:r w:rsidR="003B50ED">
        <w:rPr>
          <w:rFonts w:cstheme="minorHAnsi"/>
        </w:rPr>
        <w:t xml:space="preserve"> </w:t>
      </w:r>
      <w:r w:rsidR="00425212" w:rsidRPr="00A26C26">
        <w:rPr>
          <w:rFonts w:cstheme="minorHAnsi"/>
        </w:rPr>
        <w:t>działań</w:t>
      </w:r>
      <w:r w:rsidR="003B50ED">
        <w:rPr>
          <w:rFonts w:cstheme="minorHAnsi"/>
        </w:rPr>
        <w:t xml:space="preserve"> </w:t>
      </w:r>
      <w:r w:rsidR="00425212" w:rsidRPr="00A26C26">
        <w:rPr>
          <w:rFonts w:cstheme="minorHAnsi"/>
        </w:rPr>
        <w:t>projektu</w:t>
      </w:r>
      <w:r w:rsidR="003B50ED">
        <w:rPr>
          <w:rFonts w:cstheme="minorHAnsi"/>
        </w:rPr>
        <w:t xml:space="preserve"> </w:t>
      </w:r>
      <w:r w:rsidR="00425212" w:rsidRPr="00A26C26">
        <w:rPr>
          <w:rFonts w:cstheme="minorHAnsi"/>
        </w:rPr>
        <w:t>są</w:t>
      </w:r>
      <w:r w:rsidR="003B50ED">
        <w:rPr>
          <w:rFonts w:cstheme="minorHAnsi"/>
        </w:rPr>
        <w:t xml:space="preserve"> </w:t>
      </w:r>
      <w:r w:rsidR="00425212" w:rsidRPr="00A26C26">
        <w:rPr>
          <w:rFonts w:cstheme="minorHAnsi"/>
        </w:rPr>
        <w:t>wsparciem</w:t>
      </w:r>
      <w:r w:rsidR="003B50ED">
        <w:rPr>
          <w:rFonts w:cstheme="minorHAnsi"/>
        </w:rPr>
        <w:t xml:space="preserve"> </w:t>
      </w:r>
      <w:r w:rsidR="00425212" w:rsidRPr="00A26C26">
        <w:rPr>
          <w:rFonts w:cstheme="minorHAnsi"/>
        </w:rPr>
        <w:t>dla</w:t>
      </w:r>
      <w:r w:rsidR="003B50ED">
        <w:rPr>
          <w:rFonts w:cstheme="minorHAnsi"/>
        </w:rPr>
        <w:t xml:space="preserve"> </w:t>
      </w:r>
      <w:r w:rsidR="00425212" w:rsidRPr="00A26C26">
        <w:rPr>
          <w:rFonts w:cstheme="minorHAnsi"/>
        </w:rPr>
        <w:t>inicjatyw</w:t>
      </w:r>
      <w:r w:rsidR="003B50ED">
        <w:rPr>
          <w:rFonts w:cstheme="minorHAnsi"/>
        </w:rPr>
        <w:t xml:space="preserve"> </w:t>
      </w:r>
      <w:r w:rsidR="00425212" w:rsidRPr="00A26C26">
        <w:rPr>
          <w:rFonts w:cstheme="minorHAnsi"/>
        </w:rPr>
        <w:t>lokalnych</w:t>
      </w:r>
      <w:r w:rsidR="003B50ED">
        <w:rPr>
          <w:rFonts w:cstheme="minorHAnsi"/>
        </w:rPr>
        <w:t xml:space="preserve"> </w:t>
      </w:r>
      <w:r w:rsidR="00425212" w:rsidRPr="00A26C26">
        <w:rPr>
          <w:rFonts w:cstheme="minorHAnsi"/>
        </w:rPr>
        <w:t>do</w:t>
      </w:r>
      <w:r w:rsidR="003B50ED">
        <w:rPr>
          <w:rFonts w:cstheme="minorHAnsi"/>
        </w:rPr>
        <w:t xml:space="preserve"> </w:t>
      </w:r>
      <w:r w:rsidR="00425212" w:rsidRPr="00A26C26">
        <w:rPr>
          <w:rFonts w:cstheme="minorHAnsi"/>
        </w:rPr>
        <w:t>organizowania</w:t>
      </w:r>
      <w:r w:rsidR="003B50ED">
        <w:rPr>
          <w:rFonts w:cstheme="minorHAnsi"/>
        </w:rPr>
        <w:t xml:space="preserve"> </w:t>
      </w:r>
      <w:r w:rsidR="00425212" w:rsidRPr="00A26C26">
        <w:rPr>
          <w:rFonts w:cstheme="minorHAnsi"/>
        </w:rPr>
        <w:t>spotkań</w:t>
      </w:r>
      <w:r w:rsidR="003B50ED">
        <w:rPr>
          <w:rFonts w:cstheme="minorHAnsi"/>
        </w:rPr>
        <w:t xml:space="preserve"> </w:t>
      </w:r>
      <w:r w:rsidR="00425212" w:rsidRPr="00A26C26">
        <w:rPr>
          <w:rFonts w:cstheme="minorHAnsi"/>
        </w:rPr>
        <w:t>i</w:t>
      </w:r>
      <w:r w:rsidR="003B50ED">
        <w:rPr>
          <w:rFonts w:cstheme="minorHAnsi"/>
        </w:rPr>
        <w:t xml:space="preserve"> </w:t>
      </w:r>
      <w:r w:rsidR="00425212" w:rsidRPr="00A26C26">
        <w:rPr>
          <w:rFonts w:cstheme="minorHAnsi"/>
        </w:rPr>
        <w:t>imprez</w:t>
      </w:r>
      <w:r w:rsidR="003B50ED">
        <w:rPr>
          <w:rFonts w:cstheme="minorHAnsi"/>
        </w:rPr>
        <w:t xml:space="preserve"> </w:t>
      </w:r>
      <w:r w:rsidR="00425212" w:rsidRPr="00A26C26">
        <w:rPr>
          <w:rFonts w:cstheme="minorHAnsi"/>
        </w:rPr>
        <w:t>o</w:t>
      </w:r>
      <w:r w:rsidR="003B50ED">
        <w:rPr>
          <w:rFonts w:cstheme="minorHAnsi"/>
        </w:rPr>
        <w:t xml:space="preserve"> </w:t>
      </w:r>
      <w:r w:rsidR="00425212" w:rsidRPr="00A26C26">
        <w:rPr>
          <w:rFonts w:cstheme="minorHAnsi"/>
        </w:rPr>
        <w:t>charakterze</w:t>
      </w:r>
      <w:r w:rsidR="003B50ED">
        <w:rPr>
          <w:rFonts w:cstheme="minorHAnsi"/>
        </w:rPr>
        <w:t xml:space="preserve"> </w:t>
      </w:r>
      <w:r w:rsidR="00425212" w:rsidRPr="00A26C26">
        <w:rPr>
          <w:rFonts w:cstheme="minorHAnsi"/>
        </w:rPr>
        <w:t>rekreacyjnym,</w:t>
      </w:r>
      <w:r w:rsidR="003B50ED">
        <w:rPr>
          <w:rFonts w:cstheme="minorHAnsi"/>
        </w:rPr>
        <w:t xml:space="preserve"> </w:t>
      </w:r>
      <w:r w:rsidR="00425212" w:rsidRPr="00A26C26">
        <w:rPr>
          <w:rFonts w:cstheme="minorHAnsi"/>
        </w:rPr>
        <w:t>sportowym</w:t>
      </w:r>
      <w:r w:rsidR="003B50ED">
        <w:rPr>
          <w:rFonts w:cstheme="minorHAnsi"/>
        </w:rPr>
        <w:t xml:space="preserve"> </w:t>
      </w:r>
      <w:r w:rsidR="00425212" w:rsidRPr="00A26C26">
        <w:rPr>
          <w:rFonts w:cstheme="minorHAnsi"/>
        </w:rPr>
        <w:t>i</w:t>
      </w:r>
      <w:r w:rsidR="003B50ED">
        <w:rPr>
          <w:rFonts w:cstheme="minorHAnsi"/>
        </w:rPr>
        <w:t xml:space="preserve"> </w:t>
      </w:r>
      <w:r w:rsidR="00425212" w:rsidRPr="00A26C26">
        <w:rPr>
          <w:rFonts w:cstheme="minorHAnsi"/>
        </w:rPr>
        <w:t>społecznym</w:t>
      </w:r>
      <w:r w:rsidR="003B50ED">
        <w:rPr>
          <w:rFonts w:cstheme="minorHAnsi"/>
        </w:rPr>
        <w:t xml:space="preserve"> </w:t>
      </w:r>
      <w:r w:rsidR="00425212" w:rsidRPr="00A26C26">
        <w:rPr>
          <w:rFonts w:cstheme="minorHAnsi"/>
        </w:rPr>
        <w:t>-</w:t>
      </w:r>
      <w:r w:rsidR="003B50ED">
        <w:rPr>
          <w:rFonts w:cstheme="minorHAnsi"/>
        </w:rPr>
        <w:t xml:space="preserve"> </w:t>
      </w:r>
      <w:r w:rsidR="00425212" w:rsidRPr="00A26C26">
        <w:rPr>
          <w:rFonts w:cstheme="minorHAnsi"/>
        </w:rPr>
        <w:t>służą</w:t>
      </w:r>
      <w:r w:rsidR="003B50ED">
        <w:rPr>
          <w:rFonts w:cstheme="minorHAnsi"/>
        </w:rPr>
        <w:t xml:space="preserve"> </w:t>
      </w:r>
      <w:r w:rsidR="00425212" w:rsidRPr="00A26C26">
        <w:rPr>
          <w:rFonts w:cstheme="minorHAnsi"/>
        </w:rPr>
        <w:t>wzajemnej</w:t>
      </w:r>
      <w:r w:rsidR="003B50ED">
        <w:rPr>
          <w:rFonts w:cstheme="minorHAnsi"/>
        </w:rPr>
        <w:t xml:space="preserve"> </w:t>
      </w:r>
      <w:r w:rsidR="00425212" w:rsidRPr="00A26C26">
        <w:rPr>
          <w:rFonts w:cstheme="minorHAnsi"/>
        </w:rPr>
        <w:t>integracji</w:t>
      </w:r>
      <w:r w:rsidR="003B50ED">
        <w:rPr>
          <w:rFonts w:cstheme="minorHAnsi"/>
        </w:rPr>
        <w:t xml:space="preserve"> </w:t>
      </w:r>
      <w:r w:rsidR="00425212" w:rsidRPr="00A26C26">
        <w:rPr>
          <w:rFonts w:cstheme="minorHAnsi"/>
        </w:rPr>
        <w:t>mieszkańców.</w:t>
      </w:r>
      <w:r w:rsidR="003B50ED">
        <w:rPr>
          <w:rFonts w:cstheme="minorHAnsi"/>
        </w:rPr>
        <w:t xml:space="preserve"> </w:t>
      </w:r>
      <w:r w:rsidR="00425212" w:rsidRPr="00A26C26">
        <w:rPr>
          <w:rFonts w:cstheme="minorHAnsi"/>
        </w:rPr>
        <w:t>Zrealizowany</w:t>
      </w:r>
      <w:r w:rsidR="003B50ED">
        <w:rPr>
          <w:rFonts w:cstheme="minorHAnsi"/>
        </w:rPr>
        <w:t xml:space="preserve"> </w:t>
      </w:r>
      <w:r w:rsidR="00425212" w:rsidRPr="00A26C26">
        <w:rPr>
          <w:rFonts w:cstheme="minorHAnsi"/>
        </w:rPr>
        <w:t>projekt</w:t>
      </w:r>
      <w:r w:rsidR="003B50ED">
        <w:rPr>
          <w:rFonts w:cstheme="minorHAnsi"/>
        </w:rPr>
        <w:t xml:space="preserve"> </w:t>
      </w:r>
      <w:r w:rsidR="00425212" w:rsidRPr="00A26C26">
        <w:rPr>
          <w:rFonts w:cstheme="minorHAnsi"/>
        </w:rPr>
        <w:t>aktywizuje</w:t>
      </w:r>
      <w:r w:rsidR="003B50ED">
        <w:rPr>
          <w:rFonts w:cstheme="minorHAnsi"/>
        </w:rPr>
        <w:t xml:space="preserve"> </w:t>
      </w:r>
      <w:r w:rsidR="00425212" w:rsidRPr="00A26C26">
        <w:rPr>
          <w:rFonts w:cstheme="minorHAnsi"/>
        </w:rPr>
        <w:t>jednocześnie</w:t>
      </w:r>
      <w:r w:rsidR="003B50ED">
        <w:rPr>
          <w:rFonts w:cstheme="minorHAnsi"/>
        </w:rPr>
        <w:t xml:space="preserve"> </w:t>
      </w:r>
      <w:r w:rsidR="00425212" w:rsidRPr="00A26C26">
        <w:rPr>
          <w:rFonts w:cstheme="minorHAnsi"/>
        </w:rPr>
        <w:t>społeczność</w:t>
      </w:r>
      <w:r w:rsidR="003B50ED">
        <w:rPr>
          <w:rFonts w:cstheme="minorHAnsi"/>
        </w:rPr>
        <w:t xml:space="preserve"> </w:t>
      </w:r>
      <w:r w:rsidR="00425212" w:rsidRPr="00A26C26">
        <w:rPr>
          <w:rFonts w:cstheme="minorHAnsi"/>
        </w:rPr>
        <w:t>oraz</w:t>
      </w:r>
      <w:r w:rsidR="003B50ED">
        <w:rPr>
          <w:rFonts w:cstheme="minorHAnsi"/>
        </w:rPr>
        <w:t xml:space="preserve"> </w:t>
      </w:r>
      <w:r w:rsidR="00425212" w:rsidRPr="00A26C26">
        <w:rPr>
          <w:rFonts w:cstheme="minorHAnsi"/>
        </w:rPr>
        <w:t>ma</w:t>
      </w:r>
      <w:r w:rsidR="003B50ED">
        <w:rPr>
          <w:rFonts w:cstheme="minorHAnsi"/>
        </w:rPr>
        <w:t xml:space="preserve"> </w:t>
      </w:r>
      <w:r w:rsidR="00425212" w:rsidRPr="00A26C26">
        <w:rPr>
          <w:rFonts w:cstheme="minorHAnsi"/>
        </w:rPr>
        <w:t>wpływ</w:t>
      </w:r>
      <w:r w:rsidR="003B50ED">
        <w:rPr>
          <w:rFonts w:cstheme="minorHAnsi"/>
        </w:rPr>
        <w:t xml:space="preserve"> </w:t>
      </w:r>
      <w:r w:rsidR="00425212" w:rsidRPr="00A26C26">
        <w:rPr>
          <w:rFonts w:cstheme="minorHAnsi"/>
        </w:rPr>
        <w:t>na</w:t>
      </w:r>
      <w:r w:rsidR="003B50ED">
        <w:rPr>
          <w:rFonts w:cstheme="minorHAnsi"/>
        </w:rPr>
        <w:t xml:space="preserve"> </w:t>
      </w:r>
      <w:r w:rsidR="00425212" w:rsidRPr="00A26C26">
        <w:rPr>
          <w:rFonts w:cstheme="minorHAnsi"/>
        </w:rPr>
        <w:t>rozpoznawalność</w:t>
      </w:r>
      <w:r w:rsidR="003B50ED">
        <w:rPr>
          <w:rFonts w:cstheme="minorHAnsi"/>
        </w:rPr>
        <w:t xml:space="preserve"> </w:t>
      </w:r>
      <w:r w:rsidR="00425212" w:rsidRPr="00A26C26">
        <w:rPr>
          <w:rFonts w:cstheme="minorHAnsi"/>
        </w:rPr>
        <w:t>marki</w:t>
      </w:r>
      <w:r w:rsidR="003B50ED">
        <w:rPr>
          <w:rFonts w:cstheme="minorHAnsi"/>
        </w:rPr>
        <w:t xml:space="preserve"> </w:t>
      </w:r>
      <w:r>
        <w:rPr>
          <w:rFonts w:cstheme="minorHAnsi"/>
        </w:rPr>
        <w:t xml:space="preserve">Stowarzyszenia </w:t>
      </w:r>
      <w:r w:rsidRPr="00A26C26">
        <w:rPr>
          <w:rFonts w:cstheme="minorHAnsi"/>
        </w:rPr>
        <w:t>„Solidarni</w:t>
      </w:r>
      <w:r>
        <w:rPr>
          <w:rFonts w:cstheme="minorHAnsi"/>
        </w:rPr>
        <w:t xml:space="preserve"> </w:t>
      </w:r>
      <w:r w:rsidRPr="00A26C26">
        <w:rPr>
          <w:rFonts w:cstheme="minorHAnsi"/>
        </w:rPr>
        <w:t>w</w:t>
      </w:r>
      <w:r>
        <w:rPr>
          <w:rFonts w:cstheme="minorHAnsi"/>
        </w:rPr>
        <w:t xml:space="preserve"> </w:t>
      </w:r>
      <w:r w:rsidRPr="00A26C26">
        <w:rPr>
          <w:rFonts w:cstheme="minorHAnsi"/>
        </w:rPr>
        <w:t>Partnerstwie”</w:t>
      </w:r>
      <w:r w:rsidR="00425212" w:rsidRPr="00A26C26">
        <w:rPr>
          <w:rFonts w:cstheme="minorHAnsi"/>
        </w:rPr>
        <w:t>.</w:t>
      </w:r>
      <w:r w:rsidR="003B50ED">
        <w:rPr>
          <w:rFonts w:cstheme="minorHAnsi"/>
        </w:rPr>
        <w:t xml:space="preserve"> </w:t>
      </w:r>
      <w:r>
        <w:rPr>
          <w:rFonts w:cstheme="minorHAnsi"/>
        </w:rPr>
        <w:t xml:space="preserve">Obecnie realizowany jest </w:t>
      </w:r>
      <w:r w:rsidR="00110363" w:rsidRPr="00A26C26">
        <w:rPr>
          <w:rFonts w:cstheme="minorHAnsi"/>
        </w:rPr>
        <w:t>kolejny</w:t>
      </w:r>
      <w:r w:rsidR="003B50ED">
        <w:rPr>
          <w:rFonts w:cstheme="minorHAnsi"/>
        </w:rPr>
        <w:t xml:space="preserve"> </w:t>
      </w:r>
      <w:r w:rsidR="00110363" w:rsidRPr="00A26C26">
        <w:rPr>
          <w:rFonts w:cstheme="minorHAnsi"/>
        </w:rPr>
        <w:t>projekt</w:t>
      </w:r>
      <w:r w:rsidR="003B50ED">
        <w:rPr>
          <w:rFonts w:cstheme="minorHAnsi"/>
        </w:rPr>
        <w:t xml:space="preserve"> </w:t>
      </w:r>
      <w:r w:rsidR="00110363" w:rsidRPr="00A26C26">
        <w:rPr>
          <w:rFonts w:cstheme="minorHAnsi"/>
        </w:rPr>
        <w:t>współpracy</w:t>
      </w:r>
      <w:r w:rsidR="003B50ED">
        <w:rPr>
          <w:rFonts w:cstheme="minorHAnsi"/>
        </w:rPr>
        <w:t xml:space="preserve"> </w:t>
      </w:r>
      <w:r w:rsidR="00110363" w:rsidRPr="00A26C26">
        <w:rPr>
          <w:rFonts w:cstheme="minorHAnsi"/>
        </w:rPr>
        <w:t>pn.</w:t>
      </w:r>
      <w:r w:rsidR="003B50ED">
        <w:rPr>
          <w:rFonts w:cstheme="minorHAnsi"/>
        </w:rPr>
        <w:t xml:space="preserve"> </w:t>
      </w:r>
      <w:r w:rsidR="00110363" w:rsidRPr="00A26C26">
        <w:rPr>
          <w:rFonts w:cstheme="minorHAnsi"/>
        </w:rPr>
        <w:t>:</w:t>
      </w:r>
      <w:r w:rsidR="003B50ED">
        <w:rPr>
          <w:rFonts w:cstheme="minorHAnsi"/>
        </w:rPr>
        <w:t xml:space="preserve"> </w:t>
      </w:r>
      <w:r w:rsidR="00110363" w:rsidRPr="00A26C26">
        <w:rPr>
          <w:rFonts w:cstheme="minorHAnsi"/>
        </w:rPr>
        <w:t>Spektakl</w:t>
      </w:r>
      <w:r w:rsidR="003B50ED">
        <w:rPr>
          <w:rFonts w:cstheme="minorHAnsi"/>
        </w:rPr>
        <w:t xml:space="preserve"> </w:t>
      </w:r>
      <w:r w:rsidR="00110363" w:rsidRPr="00A26C26">
        <w:rPr>
          <w:rFonts w:cstheme="minorHAnsi"/>
        </w:rPr>
        <w:t>Międzypokoleniowych</w:t>
      </w:r>
      <w:r w:rsidR="003B50ED">
        <w:rPr>
          <w:rFonts w:cstheme="minorHAnsi"/>
        </w:rPr>
        <w:t xml:space="preserve"> </w:t>
      </w:r>
      <w:r w:rsidR="00110363" w:rsidRPr="00A26C26">
        <w:rPr>
          <w:rFonts w:cstheme="minorHAnsi"/>
        </w:rPr>
        <w:t>Atrakcji</w:t>
      </w:r>
      <w:r w:rsidR="003B50ED">
        <w:rPr>
          <w:rFonts w:cstheme="minorHAnsi"/>
        </w:rPr>
        <w:t xml:space="preserve"> </w:t>
      </w:r>
      <w:r w:rsidR="00110363" w:rsidRPr="00A26C26">
        <w:rPr>
          <w:rFonts w:cstheme="minorHAnsi"/>
        </w:rPr>
        <w:t>Kulinarnych</w:t>
      </w:r>
      <w:r w:rsidR="003B50ED">
        <w:rPr>
          <w:rFonts w:cstheme="minorHAnsi"/>
        </w:rPr>
        <w:t xml:space="preserve"> </w:t>
      </w:r>
      <w:r w:rsidR="00110363" w:rsidRPr="00A26C26">
        <w:rPr>
          <w:rFonts w:cstheme="minorHAnsi"/>
        </w:rPr>
        <w:t>(</w:t>
      </w:r>
      <w:r w:rsidR="003B50ED">
        <w:rPr>
          <w:rFonts w:cstheme="minorHAnsi"/>
        </w:rPr>
        <w:t xml:space="preserve"> </w:t>
      </w:r>
      <w:r w:rsidR="00110363" w:rsidRPr="00A26C26">
        <w:rPr>
          <w:rFonts w:cstheme="minorHAnsi"/>
        </w:rPr>
        <w:t>SMAK</w:t>
      </w:r>
      <w:r w:rsidR="003B50ED">
        <w:rPr>
          <w:rFonts w:cstheme="minorHAnsi"/>
        </w:rPr>
        <w:t xml:space="preserve"> </w:t>
      </w:r>
      <w:r w:rsidR="00110363" w:rsidRPr="00A26C26">
        <w:rPr>
          <w:rFonts w:cstheme="minorHAnsi"/>
        </w:rPr>
        <w:t>),</w:t>
      </w:r>
      <w:r w:rsidR="003B50ED">
        <w:rPr>
          <w:rFonts w:cstheme="minorHAnsi"/>
        </w:rPr>
        <w:t xml:space="preserve"> </w:t>
      </w:r>
      <w:r w:rsidR="00110363" w:rsidRPr="00A26C26">
        <w:rPr>
          <w:rFonts w:cstheme="minorHAnsi"/>
        </w:rPr>
        <w:t>którego</w:t>
      </w:r>
      <w:r w:rsidR="003B50ED">
        <w:rPr>
          <w:rFonts w:cstheme="minorHAnsi"/>
        </w:rPr>
        <w:t xml:space="preserve"> </w:t>
      </w:r>
      <w:r w:rsidR="00110363" w:rsidRPr="00A26C26">
        <w:rPr>
          <w:rFonts w:cstheme="minorHAnsi"/>
        </w:rPr>
        <w:t>celem</w:t>
      </w:r>
      <w:r w:rsidR="003B50ED">
        <w:rPr>
          <w:rFonts w:cstheme="minorHAnsi"/>
        </w:rPr>
        <w:t xml:space="preserve"> </w:t>
      </w:r>
      <w:r w:rsidR="00110363" w:rsidRPr="00A26C26">
        <w:rPr>
          <w:rFonts w:cstheme="minorHAnsi"/>
        </w:rPr>
        <w:t>jest</w:t>
      </w:r>
      <w:r w:rsidR="003B50ED">
        <w:rPr>
          <w:rFonts w:cstheme="minorHAnsi"/>
        </w:rPr>
        <w:t xml:space="preserve"> </w:t>
      </w:r>
      <w:r w:rsidR="00110363" w:rsidRPr="00A26C26">
        <w:rPr>
          <w:rFonts w:cstheme="minorHAnsi"/>
        </w:rPr>
        <w:t>rozwój</w:t>
      </w:r>
      <w:r w:rsidR="003B50ED">
        <w:rPr>
          <w:rFonts w:cstheme="minorHAnsi"/>
        </w:rPr>
        <w:t xml:space="preserve"> </w:t>
      </w:r>
      <w:r w:rsidR="00110363" w:rsidRPr="00A26C26">
        <w:rPr>
          <w:rFonts w:cstheme="minorHAnsi"/>
        </w:rPr>
        <w:t>obszarów</w:t>
      </w:r>
      <w:r w:rsidR="003B50ED">
        <w:rPr>
          <w:rFonts w:cstheme="minorHAnsi"/>
        </w:rPr>
        <w:t xml:space="preserve"> </w:t>
      </w:r>
      <w:r w:rsidR="00110363" w:rsidRPr="00A26C26">
        <w:rPr>
          <w:rFonts w:cstheme="minorHAnsi"/>
        </w:rPr>
        <w:t>Partnerów</w:t>
      </w:r>
      <w:r w:rsidR="003B50ED">
        <w:rPr>
          <w:rFonts w:cstheme="minorHAnsi"/>
        </w:rPr>
        <w:t xml:space="preserve"> </w:t>
      </w:r>
      <w:r w:rsidR="00110363" w:rsidRPr="00A26C26">
        <w:rPr>
          <w:rFonts w:cstheme="minorHAnsi"/>
        </w:rPr>
        <w:t>poprzez</w:t>
      </w:r>
      <w:r w:rsidR="003B50ED">
        <w:rPr>
          <w:rFonts w:cstheme="minorHAnsi"/>
        </w:rPr>
        <w:t xml:space="preserve"> </w:t>
      </w:r>
      <w:r w:rsidR="00110363" w:rsidRPr="00A26C26">
        <w:rPr>
          <w:rFonts w:cstheme="minorHAnsi"/>
        </w:rPr>
        <w:t>zwiększenie</w:t>
      </w:r>
      <w:r w:rsidR="003B50ED">
        <w:rPr>
          <w:rFonts w:cstheme="minorHAnsi"/>
        </w:rPr>
        <w:t xml:space="preserve"> </w:t>
      </w:r>
      <w:r w:rsidR="00110363" w:rsidRPr="00A26C26">
        <w:rPr>
          <w:rFonts w:cstheme="minorHAnsi"/>
        </w:rPr>
        <w:t>ich</w:t>
      </w:r>
      <w:r w:rsidR="003B50ED">
        <w:rPr>
          <w:rFonts w:cstheme="minorHAnsi"/>
        </w:rPr>
        <w:t xml:space="preserve"> </w:t>
      </w:r>
      <w:r w:rsidR="00110363" w:rsidRPr="00A26C26">
        <w:rPr>
          <w:rFonts w:cstheme="minorHAnsi"/>
        </w:rPr>
        <w:t>atrakcyjności</w:t>
      </w:r>
      <w:r w:rsidR="003B50ED">
        <w:rPr>
          <w:rFonts w:cstheme="minorHAnsi"/>
        </w:rPr>
        <w:t xml:space="preserve"> </w:t>
      </w:r>
      <w:r w:rsidR="00110363" w:rsidRPr="00A26C26">
        <w:rPr>
          <w:rFonts w:cstheme="minorHAnsi"/>
        </w:rPr>
        <w:t>turystycznej</w:t>
      </w:r>
      <w:r w:rsidR="003B50ED">
        <w:rPr>
          <w:rFonts w:cstheme="minorHAnsi"/>
        </w:rPr>
        <w:t xml:space="preserve"> </w:t>
      </w:r>
      <w:r w:rsidR="00110363" w:rsidRPr="00A26C26">
        <w:rPr>
          <w:rFonts w:cstheme="minorHAnsi"/>
        </w:rPr>
        <w:t>oraz</w:t>
      </w:r>
      <w:r w:rsidR="003B50ED">
        <w:rPr>
          <w:rFonts w:cstheme="minorHAnsi"/>
        </w:rPr>
        <w:t xml:space="preserve"> </w:t>
      </w:r>
      <w:r w:rsidR="00110363" w:rsidRPr="00A26C26">
        <w:rPr>
          <w:rFonts w:cstheme="minorHAnsi"/>
        </w:rPr>
        <w:t>kultywowanie</w:t>
      </w:r>
      <w:r w:rsidR="003B50ED">
        <w:rPr>
          <w:rFonts w:cstheme="minorHAnsi"/>
        </w:rPr>
        <w:t xml:space="preserve"> </w:t>
      </w:r>
      <w:r w:rsidR="00110363" w:rsidRPr="00A26C26">
        <w:rPr>
          <w:rFonts w:cstheme="minorHAnsi"/>
        </w:rPr>
        <w:t>dziedzictwa</w:t>
      </w:r>
      <w:r w:rsidR="003B50ED">
        <w:rPr>
          <w:rFonts w:cstheme="minorHAnsi"/>
        </w:rPr>
        <w:t xml:space="preserve"> </w:t>
      </w:r>
      <w:r w:rsidR="00110363" w:rsidRPr="00A26C26">
        <w:rPr>
          <w:rFonts w:cstheme="minorHAnsi"/>
        </w:rPr>
        <w:t>kulinarnego</w:t>
      </w:r>
      <w:r>
        <w:rPr>
          <w:rFonts w:cstheme="minorHAnsi"/>
        </w:rPr>
        <w:t>, p</w:t>
      </w:r>
      <w:r w:rsidR="00110363" w:rsidRPr="00A26C26">
        <w:rPr>
          <w:rFonts w:cstheme="minorHAnsi"/>
        </w:rPr>
        <w:t>romocja</w:t>
      </w:r>
      <w:r w:rsidR="003B50ED">
        <w:rPr>
          <w:rFonts w:cstheme="minorHAnsi"/>
        </w:rPr>
        <w:t xml:space="preserve"> </w:t>
      </w:r>
      <w:r w:rsidR="00110363" w:rsidRPr="00A26C26">
        <w:rPr>
          <w:rFonts w:cstheme="minorHAnsi"/>
        </w:rPr>
        <w:t>dziedzictwa</w:t>
      </w:r>
      <w:r w:rsidR="003B50ED">
        <w:rPr>
          <w:rFonts w:cstheme="minorHAnsi"/>
        </w:rPr>
        <w:t xml:space="preserve"> </w:t>
      </w:r>
      <w:r w:rsidR="00110363" w:rsidRPr="00A26C26">
        <w:rPr>
          <w:rFonts w:cstheme="minorHAnsi"/>
        </w:rPr>
        <w:t>kulturowego</w:t>
      </w:r>
      <w:r w:rsidR="003B50ED">
        <w:rPr>
          <w:rFonts w:cstheme="minorHAnsi"/>
        </w:rPr>
        <w:t xml:space="preserve"> </w:t>
      </w:r>
      <w:r w:rsidR="00110363" w:rsidRPr="00A26C26">
        <w:rPr>
          <w:rFonts w:cstheme="minorHAnsi"/>
        </w:rPr>
        <w:t>poprzez</w:t>
      </w:r>
      <w:r w:rsidR="003B50ED">
        <w:rPr>
          <w:rFonts w:cstheme="minorHAnsi"/>
        </w:rPr>
        <w:t xml:space="preserve"> </w:t>
      </w:r>
      <w:r w:rsidR="00110363" w:rsidRPr="00A26C26">
        <w:rPr>
          <w:rFonts w:cstheme="minorHAnsi"/>
        </w:rPr>
        <w:t>zorganizowanie</w:t>
      </w:r>
      <w:r w:rsidR="003B50ED">
        <w:rPr>
          <w:rFonts w:cstheme="minorHAnsi"/>
        </w:rPr>
        <w:t xml:space="preserve"> </w:t>
      </w:r>
      <w:r w:rsidR="00110363" w:rsidRPr="00A26C26">
        <w:rPr>
          <w:rFonts w:cstheme="minorHAnsi"/>
        </w:rPr>
        <w:t>wydarzeń</w:t>
      </w:r>
      <w:r w:rsidR="003B50ED">
        <w:rPr>
          <w:rFonts w:cstheme="minorHAnsi"/>
        </w:rPr>
        <w:t xml:space="preserve"> </w:t>
      </w:r>
      <w:r w:rsidR="00110363" w:rsidRPr="00A26C26">
        <w:rPr>
          <w:rFonts w:cstheme="minorHAnsi"/>
        </w:rPr>
        <w:t>kulinarnych</w:t>
      </w:r>
      <w:r>
        <w:rPr>
          <w:rFonts w:cstheme="minorHAnsi"/>
        </w:rPr>
        <w:t xml:space="preserve"> oraz w</w:t>
      </w:r>
      <w:r w:rsidR="00110363" w:rsidRPr="00A26C26">
        <w:rPr>
          <w:rFonts w:cstheme="minorHAnsi"/>
        </w:rPr>
        <w:t>zm</w:t>
      </w:r>
      <w:r>
        <w:rPr>
          <w:rFonts w:cstheme="minorHAnsi"/>
        </w:rPr>
        <w:t>a</w:t>
      </w:r>
      <w:r w:rsidR="00110363" w:rsidRPr="00A26C26">
        <w:rPr>
          <w:rFonts w:cstheme="minorHAnsi"/>
        </w:rPr>
        <w:t>cni</w:t>
      </w:r>
      <w:r>
        <w:rPr>
          <w:rFonts w:cstheme="minorHAnsi"/>
        </w:rPr>
        <w:t>a</w:t>
      </w:r>
      <w:r w:rsidR="00110363" w:rsidRPr="00A26C26">
        <w:rPr>
          <w:rFonts w:cstheme="minorHAnsi"/>
        </w:rPr>
        <w:t>nie</w:t>
      </w:r>
      <w:r w:rsidR="003B50ED">
        <w:rPr>
          <w:rFonts w:cstheme="minorHAnsi"/>
        </w:rPr>
        <w:t xml:space="preserve"> </w:t>
      </w:r>
      <w:r w:rsidR="00110363" w:rsidRPr="00A26C26">
        <w:rPr>
          <w:rFonts w:cstheme="minorHAnsi"/>
        </w:rPr>
        <w:t>sektora</w:t>
      </w:r>
      <w:r w:rsidR="003B50ED">
        <w:rPr>
          <w:rFonts w:cstheme="minorHAnsi"/>
        </w:rPr>
        <w:t xml:space="preserve"> </w:t>
      </w:r>
      <w:r w:rsidR="00110363" w:rsidRPr="00A26C26">
        <w:rPr>
          <w:rFonts w:cstheme="minorHAnsi"/>
        </w:rPr>
        <w:t>społecznego</w:t>
      </w:r>
      <w:r w:rsidR="003B50ED">
        <w:rPr>
          <w:rFonts w:cstheme="minorHAnsi"/>
        </w:rPr>
        <w:t xml:space="preserve"> </w:t>
      </w:r>
      <w:r w:rsidR="00110363" w:rsidRPr="00A26C26">
        <w:rPr>
          <w:rFonts w:cstheme="minorHAnsi"/>
        </w:rPr>
        <w:t>poprzez</w:t>
      </w:r>
      <w:r w:rsidR="003B50ED">
        <w:rPr>
          <w:rFonts w:cstheme="minorHAnsi"/>
        </w:rPr>
        <w:t xml:space="preserve"> </w:t>
      </w:r>
      <w:r w:rsidR="00110363" w:rsidRPr="00A26C26">
        <w:rPr>
          <w:rFonts w:cstheme="minorHAnsi"/>
        </w:rPr>
        <w:t>kultywowani</w:t>
      </w:r>
      <w:r>
        <w:rPr>
          <w:rFonts w:cstheme="minorHAnsi"/>
        </w:rPr>
        <w:t>e</w:t>
      </w:r>
      <w:r w:rsidR="003B50ED">
        <w:rPr>
          <w:rFonts w:cstheme="minorHAnsi"/>
        </w:rPr>
        <w:t xml:space="preserve"> </w:t>
      </w:r>
      <w:r w:rsidR="00110363" w:rsidRPr="00A26C26">
        <w:rPr>
          <w:rFonts w:cstheme="minorHAnsi"/>
        </w:rPr>
        <w:t>i</w:t>
      </w:r>
      <w:r w:rsidR="003B50ED">
        <w:rPr>
          <w:rFonts w:cstheme="minorHAnsi"/>
        </w:rPr>
        <w:t xml:space="preserve"> </w:t>
      </w:r>
      <w:r w:rsidR="00110363" w:rsidRPr="00A26C26">
        <w:rPr>
          <w:rFonts w:cstheme="minorHAnsi"/>
        </w:rPr>
        <w:t>promowani</w:t>
      </w:r>
      <w:r>
        <w:rPr>
          <w:rFonts w:cstheme="minorHAnsi"/>
        </w:rPr>
        <w:t>e</w:t>
      </w:r>
      <w:r w:rsidR="003B50ED">
        <w:rPr>
          <w:rFonts w:cstheme="minorHAnsi"/>
        </w:rPr>
        <w:t xml:space="preserve"> </w:t>
      </w:r>
      <w:r w:rsidR="00110363" w:rsidRPr="00A26C26">
        <w:rPr>
          <w:rFonts w:cstheme="minorHAnsi"/>
        </w:rPr>
        <w:t>lokalnego</w:t>
      </w:r>
      <w:r w:rsidR="003B50ED">
        <w:rPr>
          <w:rFonts w:cstheme="minorHAnsi"/>
        </w:rPr>
        <w:t xml:space="preserve"> </w:t>
      </w:r>
      <w:r w:rsidR="00110363" w:rsidRPr="00A26C26">
        <w:rPr>
          <w:rFonts w:cstheme="minorHAnsi"/>
        </w:rPr>
        <w:t>dziedzictwa</w:t>
      </w:r>
      <w:r w:rsidR="003B50ED">
        <w:rPr>
          <w:rFonts w:cstheme="minorHAnsi"/>
        </w:rPr>
        <w:t xml:space="preserve"> </w:t>
      </w:r>
      <w:r w:rsidR="00110363" w:rsidRPr="00A26C26">
        <w:rPr>
          <w:rFonts w:cstheme="minorHAnsi"/>
        </w:rPr>
        <w:t>kulinarnego</w:t>
      </w:r>
      <w:r w:rsidR="003B50ED">
        <w:rPr>
          <w:rFonts w:cstheme="minorHAnsi"/>
        </w:rPr>
        <w:t xml:space="preserve"> </w:t>
      </w:r>
      <w:r w:rsidR="00110363" w:rsidRPr="00A26C26">
        <w:rPr>
          <w:rFonts w:cstheme="minorHAnsi"/>
        </w:rPr>
        <w:t>oraz</w:t>
      </w:r>
      <w:r w:rsidR="003B50ED">
        <w:rPr>
          <w:rFonts w:cstheme="minorHAnsi"/>
        </w:rPr>
        <w:t xml:space="preserve"> </w:t>
      </w:r>
      <w:r w:rsidR="006343C4" w:rsidRPr="00A26C26">
        <w:rPr>
          <w:rFonts w:cstheme="minorHAnsi"/>
        </w:rPr>
        <w:t>zacieśni</w:t>
      </w:r>
      <w:r>
        <w:rPr>
          <w:rFonts w:cstheme="minorHAnsi"/>
        </w:rPr>
        <w:t>a</w:t>
      </w:r>
      <w:r w:rsidR="006343C4" w:rsidRPr="00A26C26">
        <w:rPr>
          <w:rFonts w:cstheme="minorHAnsi"/>
        </w:rPr>
        <w:t>nie</w:t>
      </w:r>
      <w:r w:rsidR="003B50ED">
        <w:rPr>
          <w:rFonts w:cstheme="minorHAnsi"/>
        </w:rPr>
        <w:t xml:space="preserve"> </w:t>
      </w:r>
      <w:r w:rsidR="00110363" w:rsidRPr="00A26C26">
        <w:rPr>
          <w:rFonts w:cstheme="minorHAnsi"/>
        </w:rPr>
        <w:t>współpracy</w:t>
      </w:r>
      <w:r w:rsidR="003B50ED">
        <w:rPr>
          <w:rFonts w:cstheme="minorHAnsi"/>
        </w:rPr>
        <w:t xml:space="preserve"> </w:t>
      </w:r>
      <w:r w:rsidR="00110363" w:rsidRPr="00A26C26">
        <w:rPr>
          <w:rFonts w:cstheme="minorHAnsi"/>
        </w:rPr>
        <w:t>między</w:t>
      </w:r>
      <w:r w:rsidR="003B50ED">
        <w:rPr>
          <w:rFonts w:cstheme="minorHAnsi"/>
        </w:rPr>
        <w:t xml:space="preserve"> </w:t>
      </w:r>
      <w:r w:rsidR="00110363" w:rsidRPr="00A26C26">
        <w:rPr>
          <w:rFonts w:cstheme="minorHAnsi"/>
        </w:rPr>
        <w:t>uczestnikami</w:t>
      </w:r>
      <w:r w:rsidR="003B50ED">
        <w:rPr>
          <w:rFonts w:cstheme="minorHAnsi"/>
        </w:rPr>
        <w:t xml:space="preserve"> </w:t>
      </w:r>
      <w:r w:rsidR="00110363" w:rsidRPr="00A26C26">
        <w:rPr>
          <w:rFonts w:cstheme="minorHAnsi"/>
        </w:rPr>
        <w:t>projektu.</w:t>
      </w:r>
      <w:r w:rsidR="003B50ED">
        <w:rPr>
          <w:rFonts w:cstheme="minorHAnsi"/>
        </w:rPr>
        <w:t xml:space="preserve"> </w:t>
      </w:r>
      <w:r>
        <w:rPr>
          <w:rFonts w:cstheme="minorHAnsi"/>
        </w:rPr>
        <w:t>Ważnym efektem podejmowa</w:t>
      </w:r>
      <w:r w:rsidR="00CB5579">
        <w:rPr>
          <w:rFonts w:cstheme="minorHAnsi"/>
        </w:rPr>
        <w:t>nych działań jest</w:t>
      </w:r>
      <w:r>
        <w:rPr>
          <w:rFonts w:cstheme="minorHAnsi"/>
        </w:rPr>
        <w:t xml:space="preserve"> również </w:t>
      </w:r>
      <w:r w:rsidR="00851102">
        <w:rPr>
          <w:rFonts w:cstheme="minorHAnsi"/>
        </w:rPr>
        <w:t>i</w:t>
      </w:r>
      <w:r w:rsidR="00110363" w:rsidRPr="00A26C26">
        <w:rPr>
          <w:rFonts w:cstheme="minorHAnsi"/>
        </w:rPr>
        <w:t>ntegracja</w:t>
      </w:r>
      <w:r w:rsidR="003B50ED">
        <w:rPr>
          <w:rFonts w:cstheme="minorHAnsi"/>
        </w:rPr>
        <w:t xml:space="preserve"> </w:t>
      </w:r>
      <w:r w:rsidR="00851102">
        <w:rPr>
          <w:rFonts w:cstheme="minorHAnsi"/>
        </w:rPr>
        <w:t>p</w:t>
      </w:r>
      <w:r w:rsidR="00110363" w:rsidRPr="00A26C26">
        <w:rPr>
          <w:rFonts w:cstheme="minorHAnsi"/>
        </w:rPr>
        <w:t>artnerów</w:t>
      </w:r>
      <w:r>
        <w:rPr>
          <w:rFonts w:cstheme="minorHAnsi"/>
        </w:rPr>
        <w:t>,</w:t>
      </w:r>
      <w:r w:rsidR="003B50ED">
        <w:rPr>
          <w:rFonts w:cstheme="minorHAnsi"/>
        </w:rPr>
        <w:t xml:space="preserve"> </w:t>
      </w:r>
      <w:r w:rsidR="00110363" w:rsidRPr="00A26C26">
        <w:rPr>
          <w:rFonts w:cstheme="minorHAnsi"/>
        </w:rPr>
        <w:t>tj.</w:t>
      </w:r>
      <w:r w:rsidR="003B50ED">
        <w:rPr>
          <w:rFonts w:cstheme="minorHAnsi"/>
        </w:rPr>
        <w:t xml:space="preserve"> </w:t>
      </w:r>
      <w:r w:rsidR="006343C4" w:rsidRPr="00A26C26">
        <w:rPr>
          <w:rFonts w:cstheme="minorHAnsi"/>
        </w:rPr>
        <w:t>Stowarzyszenia</w:t>
      </w:r>
      <w:r w:rsidR="003B50ED">
        <w:rPr>
          <w:rFonts w:cstheme="minorHAnsi"/>
        </w:rPr>
        <w:t xml:space="preserve"> </w:t>
      </w:r>
      <w:r w:rsidR="006343C4" w:rsidRPr="00A26C26">
        <w:rPr>
          <w:rFonts w:cstheme="minorHAnsi"/>
        </w:rPr>
        <w:t>„Wielkopolska</w:t>
      </w:r>
      <w:r w:rsidR="003B50ED">
        <w:rPr>
          <w:rFonts w:cstheme="minorHAnsi"/>
        </w:rPr>
        <w:t xml:space="preserve"> </w:t>
      </w:r>
      <w:r w:rsidR="006343C4" w:rsidRPr="00A26C26">
        <w:rPr>
          <w:rFonts w:cstheme="minorHAnsi"/>
        </w:rPr>
        <w:t>Wschodnia”,</w:t>
      </w:r>
      <w:r w:rsidR="003B50ED">
        <w:rPr>
          <w:rFonts w:cstheme="minorHAnsi"/>
        </w:rPr>
        <w:t xml:space="preserve"> </w:t>
      </w:r>
      <w:r w:rsidR="006343C4" w:rsidRPr="00A26C26">
        <w:rPr>
          <w:rFonts w:cstheme="minorHAnsi"/>
        </w:rPr>
        <w:t>Stowarzyszenia</w:t>
      </w:r>
      <w:r w:rsidR="003B50ED">
        <w:rPr>
          <w:rFonts w:cstheme="minorHAnsi"/>
        </w:rPr>
        <w:t xml:space="preserve"> </w:t>
      </w:r>
      <w:r w:rsidR="006343C4" w:rsidRPr="00A26C26">
        <w:rPr>
          <w:rFonts w:cstheme="minorHAnsi"/>
        </w:rPr>
        <w:t>Lokalna</w:t>
      </w:r>
      <w:r w:rsidR="003B50ED">
        <w:rPr>
          <w:rFonts w:cstheme="minorHAnsi"/>
        </w:rPr>
        <w:t xml:space="preserve"> </w:t>
      </w:r>
      <w:r w:rsidR="006343C4" w:rsidRPr="00A26C26">
        <w:rPr>
          <w:rFonts w:cstheme="minorHAnsi"/>
        </w:rPr>
        <w:t>Grupa</w:t>
      </w:r>
      <w:r w:rsidR="003B50ED">
        <w:rPr>
          <w:rFonts w:cstheme="minorHAnsi"/>
        </w:rPr>
        <w:t xml:space="preserve"> </w:t>
      </w:r>
      <w:r w:rsidR="006343C4" w:rsidRPr="00A26C26">
        <w:rPr>
          <w:rFonts w:cstheme="minorHAnsi"/>
        </w:rPr>
        <w:t>Działania</w:t>
      </w:r>
      <w:r w:rsidR="003B50ED">
        <w:rPr>
          <w:rFonts w:cstheme="minorHAnsi"/>
        </w:rPr>
        <w:t xml:space="preserve"> </w:t>
      </w:r>
      <w:r w:rsidR="006343C4" w:rsidRPr="00A26C26">
        <w:rPr>
          <w:rFonts w:cstheme="minorHAnsi"/>
        </w:rPr>
        <w:t>Kraina</w:t>
      </w:r>
      <w:r w:rsidR="003B50ED">
        <w:rPr>
          <w:rFonts w:cstheme="minorHAnsi"/>
        </w:rPr>
        <w:t xml:space="preserve"> </w:t>
      </w:r>
      <w:r w:rsidR="006343C4" w:rsidRPr="00A26C26">
        <w:rPr>
          <w:rFonts w:cstheme="minorHAnsi"/>
        </w:rPr>
        <w:t>Trzech</w:t>
      </w:r>
      <w:r w:rsidR="003B50ED">
        <w:rPr>
          <w:rFonts w:cstheme="minorHAnsi"/>
        </w:rPr>
        <w:t xml:space="preserve"> </w:t>
      </w:r>
      <w:r w:rsidR="006343C4" w:rsidRPr="00A26C26">
        <w:rPr>
          <w:rFonts w:cstheme="minorHAnsi"/>
        </w:rPr>
        <w:t>Rzek,</w:t>
      </w:r>
      <w:r w:rsidR="003B50ED">
        <w:rPr>
          <w:rFonts w:cstheme="minorHAnsi"/>
        </w:rPr>
        <w:t xml:space="preserve"> </w:t>
      </w:r>
      <w:r w:rsidR="006343C4" w:rsidRPr="00A26C26">
        <w:rPr>
          <w:rFonts w:cstheme="minorHAnsi"/>
        </w:rPr>
        <w:t>Czarnkowsko-Trzcianecką</w:t>
      </w:r>
      <w:r w:rsidR="003B50ED">
        <w:rPr>
          <w:rFonts w:cstheme="minorHAnsi"/>
        </w:rPr>
        <w:t xml:space="preserve"> </w:t>
      </w:r>
      <w:r w:rsidR="006343C4" w:rsidRPr="00A26C26">
        <w:rPr>
          <w:rFonts w:cstheme="minorHAnsi"/>
        </w:rPr>
        <w:t>Lokalna</w:t>
      </w:r>
      <w:r w:rsidR="003B50ED">
        <w:rPr>
          <w:rFonts w:cstheme="minorHAnsi"/>
        </w:rPr>
        <w:t xml:space="preserve"> </w:t>
      </w:r>
      <w:r w:rsidR="006343C4" w:rsidRPr="00A26C26">
        <w:rPr>
          <w:rFonts w:cstheme="minorHAnsi"/>
        </w:rPr>
        <w:t>Grupa</w:t>
      </w:r>
      <w:r w:rsidR="003B50ED">
        <w:rPr>
          <w:rFonts w:cstheme="minorHAnsi"/>
        </w:rPr>
        <w:t xml:space="preserve"> </w:t>
      </w:r>
      <w:r w:rsidR="006343C4" w:rsidRPr="00A26C26">
        <w:rPr>
          <w:rFonts w:cstheme="minorHAnsi"/>
        </w:rPr>
        <w:t>Działania</w:t>
      </w:r>
      <w:r w:rsidR="003B50ED">
        <w:rPr>
          <w:rFonts w:cstheme="minorHAnsi"/>
        </w:rPr>
        <w:t xml:space="preserve"> </w:t>
      </w:r>
      <w:r w:rsidR="006343C4" w:rsidRPr="00A26C26">
        <w:rPr>
          <w:rFonts w:cstheme="minorHAnsi"/>
        </w:rPr>
        <w:t>oraz</w:t>
      </w:r>
      <w:r w:rsidR="003B50ED">
        <w:rPr>
          <w:rFonts w:cstheme="minorHAnsi"/>
        </w:rPr>
        <w:t xml:space="preserve"> </w:t>
      </w:r>
      <w:r w:rsidR="006343C4" w:rsidRPr="00A26C26">
        <w:rPr>
          <w:rFonts w:cstheme="minorHAnsi"/>
        </w:rPr>
        <w:t>Stowarzyszenia</w:t>
      </w:r>
      <w:r w:rsidR="003B50ED">
        <w:rPr>
          <w:rFonts w:cstheme="minorHAnsi"/>
        </w:rPr>
        <w:t xml:space="preserve"> </w:t>
      </w:r>
      <w:r w:rsidR="006343C4" w:rsidRPr="00A26C26">
        <w:rPr>
          <w:rFonts w:cstheme="minorHAnsi"/>
        </w:rPr>
        <w:t>„Solidarni</w:t>
      </w:r>
      <w:r w:rsidR="003B50ED">
        <w:rPr>
          <w:rFonts w:cstheme="minorHAnsi"/>
        </w:rPr>
        <w:t xml:space="preserve"> </w:t>
      </w:r>
      <w:r w:rsidR="006343C4" w:rsidRPr="00A26C26">
        <w:rPr>
          <w:rFonts w:cstheme="minorHAnsi"/>
        </w:rPr>
        <w:t>w</w:t>
      </w:r>
      <w:r w:rsidR="003B50ED">
        <w:rPr>
          <w:rFonts w:cstheme="minorHAnsi"/>
        </w:rPr>
        <w:t xml:space="preserve"> </w:t>
      </w:r>
      <w:r w:rsidR="006343C4" w:rsidRPr="00A26C26">
        <w:rPr>
          <w:rFonts w:cstheme="minorHAnsi"/>
        </w:rPr>
        <w:t>Partnerstwie”</w:t>
      </w:r>
      <w:r w:rsidR="003B50ED">
        <w:rPr>
          <w:rFonts w:cstheme="minorHAnsi"/>
        </w:rPr>
        <w:t xml:space="preserve"> </w:t>
      </w:r>
      <w:r w:rsidR="006343C4" w:rsidRPr="00A26C26">
        <w:rPr>
          <w:rFonts w:cstheme="minorHAnsi"/>
        </w:rPr>
        <w:t>(koordynatora</w:t>
      </w:r>
      <w:r w:rsidR="003B50ED">
        <w:rPr>
          <w:rFonts w:cstheme="minorHAnsi"/>
        </w:rPr>
        <w:t xml:space="preserve"> </w:t>
      </w:r>
      <w:r w:rsidR="006343C4" w:rsidRPr="00A26C26">
        <w:rPr>
          <w:rFonts w:cstheme="minorHAnsi"/>
        </w:rPr>
        <w:t>projektu)</w:t>
      </w:r>
      <w:r w:rsidR="003B50ED">
        <w:rPr>
          <w:rFonts w:cstheme="minorHAnsi"/>
        </w:rPr>
        <w:t xml:space="preserve"> </w:t>
      </w:r>
      <w:r w:rsidR="006343C4" w:rsidRPr="00A26C26">
        <w:rPr>
          <w:rFonts w:cstheme="minorHAnsi"/>
        </w:rPr>
        <w:t>poprzez</w:t>
      </w:r>
      <w:r w:rsidR="003B50ED">
        <w:rPr>
          <w:rFonts w:cstheme="minorHAnsi"/>
        </w:rPr>
        <w:t xml:space="preserve"> </w:t>
      </w:r>
      <w:r w:rsidR="006343C4" w:rsidRPr="00A26C26">
        <w:rPr>
          <w:rFonts w:cstheme="minorHAnsi"/>
        </w:rPr>
        <w:t>wspólne</w:t>
      </w:r>
      <w:r w:rsidR="003B50ED">
        <w:rPr>
          <w:rFonts w:cstheme="minorHAnsi"/>
        </w:rPr>
        <w:t xml:space="preserve"> </w:t>
      </w:r>
      <w:r w:rsidR="006343C4" w:rsidRPr="00A26C26">
        <w:rPr>
          <w:rFonts w:cstheme="minorHAnsi"/>
        </w:rPr>
        <w:t>uczestnictwo</w:t>
      </w:r>
      <w:r w:rsidR="003B50ED">
        <w:rPr>
          <w:rFonts w:cstheme="minorHAnsi"/>
        </w:rPr>
        <w:t xml:space="preserve"> </w:t>
      </w:r>
      <w:r w:rsidR="006343C4" w:rsidRPr="00A26C26">
        <w:rPr>
          <w:rFonts w:cstheme="minorHAnsi"/>
        </w:rPr>
        <w:t>w</w:t>
      </w:r>
      <w:r w:rsidR="003B50ED">
        <w:rPr>
          <w:rFonts w:cstheme="minorHAnsi"/>
        </w:rPr>
        <w:t xml:space="preserve"> </w:t>
      </w:r>
      <w:r w:rsidR="006343C4" w:rsidRPr="00A26C26">
        <w:rPr>
          <w:rFonts w:cstheme="minorHAnsi"/>
        </w:rPr>
        <w:t>wydarzeniach,</w:t>
      </w:r>
      <w:r w:rsidR="003B50ED">
        <w:rPr>
          <w:rFonts w:cstheme="minorHAnsi"/>
        </w:rPr>
        <w:t xml:space="preserve"> </w:t>
      </w:r>
      <w:r w:rsidR="006343C4" w:rsidRPr="00A26C26">
        <w:rPr>
          <w:rFonts w:cstheme="minorHAnsi"/>
        </w:rPr>
        <w:t>wyjazdach</w:t>
      </w:r>
      <w:r w:rsidR="003B50ED">
        <w:rPr>
          <w:rFonts w:cstheme="minorHAnsi"/>
        </w:rPr>
        <w:t xml:space="preserve"> </w:t>
      </w:r>
      <w:r w:rsidR="006343C4" w:rsidRPr="00A26C26">
        <w:rPr>
          <w:rFonts w:cstheme="minorHAnsi"/>
        </w:rPr>
        <w:t>studyjnych.</w:t>
      </w:r>
      <w:r w:rsidR="003B50ED">
        <w:rPr>
          <w:rFonts w:cstheme="minorHAnsi"/>
        </w:rPr>
        <w:t xml:space="preserve"> </w:t>
      </w:r>
    </w:p>
    <w:p w14:paraId="28472DBA" w14:textId="77777777" w:rsidR="00396A11" w:rsidRDefault="00396A11" w:rsidP="00A26C26">
      <w:pPr>
        <w:spacing w:line="276" w:lineRule="auto"/>
        <w:jc w:val="both"/>
        <w:rPr>
          <w:rFonts w:cstheme="minorHAnsi"/>
          <w:b/>
          <w:bCs/>
        </w:rPr>
      </w:pPr>
    </w:p>
    <w:p w14:paraId="0A5043EE" w14:textId="5878AB0E" w:rsidR="000D4533" w:rsidRPr="00A26C26" w:rsidRDefault="000D4533" w:rsidP="00A26C26">
      <w:pPr>
        <w:spacing w:line="276" w:lineRule="auto"/>
        <w:jc w:val="both"/>
        <w:rPr>
          <w:rFonts w:cstheme="minorHAnsi"/>
          <w:b/>
          <w:bCs/>
        </w:rPr>
      </w:pPr>
      <w:r w:rsidRPr="00A26C26">
        <w:rPr>
          <w:rFonts w:cstheme="minorHAnsi"/>
          <w:b/>
          <w:bCs/>
        </w:rPr>
        <w:t>Aktywizacja/komunikacja</w:t>
      </w:r>
    </w:p>
    <w:p w14:paraId="4DC4171B" w14:textId="0D78C36D" w:rsidR="00276131" w:rsidRPr="00A26C26" w:rsidRDefault="00EA772B" w:rsidP="00A26C26">
      <w:pPr>
        <w:spacing w:line="276" w:lineRule="auto"/>
        <w:ind w:firstLine="284"/>
        <w:jc w:val="both"/>
        <w:rPr>
          <w:rFonts w:cstheme="minorHAnsi"/>
        </w:rPr>
      </w:pPr>
      <w:r>
        <w:rPr>
          <w:rFonts w:cstheme="minorHAnsi"/>
        </w:rPr>
        <w:t xml:space="preserve">Stowarzyszenie </w:t>
      </w:r>
      <w:r w:rsidRPr="00A26C26">
        <w:rPr>
          <w:rFonts w:cstheme="minorHAnsi"/>
        </w:rPr>
        <w:t>„Solidarni</w:t>
      </w:r>
      <w:r>
        <w:rPr>
          <w:rFonts w:cstheme="minorHAnsi"/>
        </w:rPr>
        <w:t xml:space="preserve"> </w:t>
      </w:r>
      <w:r w:rsidRPr="00A26C26">
        <w:rPr>
          <w:rFonts w:cstheme="minorHAnsi"/>
        </w:rPr>
        <w:t>w</w:t>
      </w:r>
      <w:r>
        <w:rPr>
          <w:rFonts w:cstheme="minorHAnsi"/>
        </w:rPr>
        <w:t xml:space="preserve"> </w:t>
      </w:r>
      <w:r w:rsidRPr="00A26C26">
        <w:rPr>
          <w:rFonts w:cstheme="minorHAnsi"/>
        </w:rPr>
        <w:t>Partnerstwie”</w:t>
      </w:r>
      <w:r>
        <w:rPr>
          <w:rFonts w:cstheme="minorHAnsi"/>
        </w:rPr>
        <w:t xml:space="preserve"> </w:t>
      </w:r>
      <w:r w:rsidR="00276131" w:rsidRPr="00A26C26">
        <w:rPr>
          <w:rFonts w:cstheme="minorHAnsi"/>
        </w:rPr>
        <w:t>realizował</w:t>
      </w:r>
      <w:r>
        <w:rPr>
          <w:rFonts w:cstheme="minorHAnsi"/>
        </w:rPr>
        <w:t>o</w:t>
      </w:r>
      <w:r w:rsidR="003B50ED">
        <w:rPr>
          <w:rFonts w:cstheme="minorHAnsi"/>
        </w:rPr>
        <w:t xml:space="preserve"> </w:t>
      </w:r>
      <w:r w:rsidR="00276131" w:rsidRPr="00A26C26">
        <w:rPr>
          <w:rFonts w:cstheme="minorHAnsi"/>
        </w:rPr>
        <w:t>również</w:t>
      </w:r>
      <w:r w:rsidR="003B50ED">
        <w:rPr>
          <w:rFonts w:cstheme="minorHAnsi"/>
        </w:rPr>
        <w:t xml:space="preserve"> </w:t>
      </w:r>
      <w:r w:rsidR="002E1D7C" w:rsidRPr="00A26C26">
        <w:rPr>
          <w:rFonts w:cstheme="minorHAnsi"/>
        </w:rPr>
        <w:t>szereg</w:t>
      </w:r>
      <w:r w:rsidR="003B50ED">
        <w:rPr>
          <w:rFonts w:cstheme="minorHAnsi"/>
        </w:rPr>
        <w:t xml:space="preserve"> </w:t>
      </w:r>
      <w:r w:rsidR="002E1D7C" w:rsidRPr="00A26C26">
        <w:rPr>
          <w:rFonts w:cstheme="minorHAnsi"/>
        </w:rPr>
        <w:t>innych</w:t>
      </w:r>
      <w:r w:rsidR="003B50ED">
        <w:rPr>
          <w:rFonts w:cstheme="minorHAnsi"/>
        </w:rPr>
        <w:t xml:space="preserve"> </w:t>
      </w:r>
      <w:r w:rsidR="002E1D7C" w:rsidRPr="00A26C26">
        <w:rPr>
          <w:rFonts w:cstheme="minorHAnsi"/>
        </w:rPr>
        <w:t>działań</w:t>
      </w:r>
      <w:r w:rsidR="00276131" w:rsidRPr="00A26C26">
        <w:rPr>
          <w:rFonts w:cstheme="minorHAnsi"/>
        </w:rPr>
        <w:t>,</w:t>
      </w:r>
      <w:r w:rsidR="003B50ED">
        <w:rPr>
          <w:rFonts w:cstheme="minorHAnsi"/>
        </w:rPr>
        <w:t xml:space="preserve"> </w:t>
      </w:r>
      <w:r w:rsidR="00276131" w:rsidRPr="00A26C26">
        <w:rPr>
          <w:rFonts w:cstheme="minorHAnsi"/>
        </w:rPr>
        <w:t>które</w:t>
      </w:r>
      <w:r w:rsidR="003B50ED">
        <w:rPr>
          <w:rFonts w:cstheme="minorHAnsi"/>
        </w:rPr>
        <w:t xml:space="preserve"> </w:t>
      </w:r>
      <w:r w:rsidR="00276131" w:rsidRPr="00A26C26">
        <w:rPr>
          <w:rFonts w:cstheme="minorHAnsi"/>
        </w:rPr>
        <w:t>nie</w:t>
      </w:r>
      <w:r w:rsidR="003B50ED">
        <w:rPr>
          <w:rFonts w:cstheme="minorHAnsi"/>
        </w:rPr>
        <w:t xml:space="preserve"> </w:t>
      </w:r>
      <w:r w:rsidR="00276131" w:rsidRPr="00A26C26">
        <w:rPr>
          <w:rFonts w:cstheme="minorHAnsi"/>
        </w:rPr>
        <w:t>tylko</w:t>
      </w:r>
      <w:r w:rsidR="003B50ED">
        <w:rPr>
          <w:rFonts w:cstheme="minorHAnsi"/>
        </w:rPr>
        <w:t xml:space="preserve"> </w:t>
      </w:r>
      <w:r w:rsidR="00276131" w:rsidRPr="00A26C26">
        <w:rPr>
          <w:rFonts w:cstheme="minorHAnsi"/>
        </w:rPr>
        <w:t>wniosły</w:t>
      </w:r>
      <w:r w:rsidR="003B50ED">
        <w:rPr>
          <w:rFonts w:cstheme="minorHAnsi"/>
        </w:rPr>
        <w:t xml:space="preserve"> </w:t>
      </w:r>
      <w:r w:rsidR="00276131" w:rsidRPr="00A26C26">
        <w:rPr>
          <w:rFonts w:cstheme="minorHAnsi"/>
        </w:rPr>
        <w:t>wartość</w:t>
      </w:r>
      <w:r w:rsidR="003B50ED">
        <w:rPr>
          <w:rFonts w:cstheme="minorHAnsi"/>
        </w:rPr>
        <w:t xml:space="preserve"> </w:t>
      </w:r>
      <w:r w:rsidR="00276131" w:rsidRPr="00A26C26">
        <w:rPr>
          <w:rFonts w:cstheme="minorHAnsi"/>
        </w:rPr>
        <w:t>dodaną</w:t>
      </w:r>
      <w:r w:rsidR="003B50ED">
        <w:rPr>
          <w:rFonts w:cstheme="minorHAnsi"/>
        </w:rPr>
        <w:t xml:space="preserve"> </w:t>
      </w:r>
      <w:r w:rsidR="00276131" w:rsidRPr="00A26C26">
        <w:rPr>
          <w:rFonts w:cstheme="minorHAnsi"/>
        </w:rPr>
        <w:t>na</w:t>
      </w:r>
      <w:r w:rsidR="003B50ED">
        <w:rPr>
          <w:rFonts w:cstheme="minorHAnsi"/>
        </w:rPr>
        <w:t xml:space="preserve"> </w:t>
      </w:r>
      <w:r w:rsidR="00276131" w:rsidRPr="00A26C26">
        <w:rPr>
          <w:rFonts w:cstheme="minorHAnsi"/>
        </w:rPr>
        <w:t>obszar</w:t>
      </w:r>
      <w:r w:rsidR="003B50ED">
        <w:rPr>
          <w:rFonts w:cstheme="minorHAnsi"/>
        </w:rPr>
        <w:t xml:space="preserve"> </w:t>
      </w:r>
      <w:r w:rsidR="00276131" w:rsidRPr="00A26C26">
        <w:rPr>
          <w:rFonts w:cstheme="minorHAnsi"/>
        </w:rPr>
        <w:t>objęty</w:t>
      </w:r>
      <w:r w:rsidR="003B50ED">
        <w:rPr>
          <w:rFonts w:cstheme="minorHAnsi"/>
        </w:rPr>
        <w:t xml:space="preserve"> </w:t>
      </w:r>
      <w:r w:rsidR="00276131" w:rsidRPr="00A26C26">
        <w:rPr>
          <w:rFonts w:cstheme="minorHAnsi"/>
        </w:rPr>
        <w:t>LSR</w:t>
      </w:r>
      <w:r w:rsidR="003B50ED">
        <w:rPr>
          <w:rFonts w:cstheme="minorHAnsi"/>
        </w:rPr>
        <w:t xml:space="preserve"> </w:t>
      </w:r>
      <w:r w:rsidR="00276131" w:rsidRPr="00A26C26">
        <w:rPr>
          <w:rFonts w:cstheme="minorHAnsi"/>
        </w:rPr>
        <w:t>ale</w:t>
      </w:r>
      <w:r w:rsidR="003B50ED">
        <w:rPr>
          <w:rFonts w:cstheme="minorHAnsi"/>
        </w:rPr>
        <w:t xml:space="preserve"> </w:t>
      </w:r>
      <w:r w:rsidR="00276131" w:rsidRPr="00A26C26">
        <w:rPr>
          <w:rFonts w:cstheme="minorHAnsi"/>
        </w:rPr>
        <w:t>również</w:t>
      </w:r>
      <w:r w:rsidR="003B50ED">
        <w:rPr>
          <w:rFonts w:cstheme="minorHAnsi"/>
        </w:rPr>
        <w:t xml:space="preserve"> </w:t>
      </w:r>
      <w:r w:rsidR="00276131" w:rsidRPr="00A26C26">
        <w:rPr>
          <w:rFonts w:cstheme="minorHAnsi"/>
        </w:rPr>
        <w:t>wzmocniły</w:t>
      </w:r>
      <w:r w:rsidR="003B50ED">
        <w:rPr>
          <w:rFonts w:cstheme="minorHAnsi"/>
        </w:rPr>
        <w:t xml:space="preserve"> </w:t>
      </w:r>
      <w:r w:rsidR="00276131" w:rsidRPr="00A26C26">
        <w:rPr>
          <w:rFonts w:cstheme="minorHAnsi"/>
        </w:rPr>
        <w:t>kompetencje</w:t>
      </w:r>
      <w:r w:rsidR="003B50ED">
        <w:rPr>
          <w:rFonts w:cstheme="minorHAnsi"/>
        </w:rPr>
        <w:t xml:space="preserve"> </w:t>
      </w:r>
      <w:r w:rsidR="00276131" w:rsidRPr="00A26C26">
        <w:rPr>
          <w:rFonts w:cstheme="minorHAnsi"/>
        </w:rPr>
        <w:t>pracowników</w:t>
      </w:r>
      <w:r w:rsidR="003B50ED">
        <w:rPr>
          <w:rFonts w:cstheme="minorHAnsi"/>
        </w:rPr>
        <w:t xml:space="preserve"> </w:t>
      </w:r>
      <w:r w:rsidR="00276131" w:rsidRPr="00A26C26">
        <w:rPr>
          <w:rFonts w:cstheme="minorHAnsi"/>
        </w:rPr>
        <w:t>biura</w:t>
      </w:r>
      <w:r w:rsidR="003B50ED">
        <w:rPr>
          <w:rFonts w:cstheme="minorHAnsi"/>
        </w:rPr>
        <w:t xml:space="preserve"> </w:t>
      </w:r>
      <w:r w:rsidR="00276131" w:rsidRPr="00A26C26">
        <w:rPr>
          <w:rFonts w:cstheme="minorHAnsi"/>
        </w:rPr>
        <w:t>LGD.</w:t>
      </w:r>
      <w:r w:rsidR="003B50ED">
        <w:rPr>
          <w:rFonts w:cstheme="minorHAnsi"/>
        </w:rPr>
        <w:t xml:space="preserve"> </w:t>
      </w:r>
    </w:p>
    <w:p w14:paraId="3AD79FDE" w14:textId="5D204E37" w:rsidR="00BA0B82" w:rsidRPr="00A26C26" w:rsidRDefault="000B603C" w:rsidP="00A26C26">
      <w:pPr>
        <w:spacing w:line="276" w:lineRule="auto"/>
        <w:ind w:firstLine="284"/>
        <w:jc w:val="both"/>
        <w:rPr>
          <w:rFonts w:cstheme="minorHAnsi"/>
        </w:rPr>
      </w:pPr>
      <w:r w:rsidRPr="00A26C26">
        <w:rPr>
          <w:rFonts w:cstheme="minorHAnsi"/>
        </w:rPr>
        <w:t>Stowarzyszeni</w:t>
      </w:r>
      <w:r>
        <w:rPr>
          <w:rFonts w:cstheme="minorHAnsi"/>
        </w:rPr>
        <w:t xml:space="preserve">e </w:t>
      </w:r>
      <w:r w:rsidRPr="00A26C26">
        <w:rPr>
          <w:rFonts w:cstheme="minorHAnsi"/>
        </w:rPr>
        <w:t>„Solidarni</w:t>
      </w:r>
      <w:r>
        <w:rPr>
          <w:rFonts w:cstheme="minorHAnsi"/>
        </w:rPr>
        <w:t xml:space="preserve"> </w:t>
      </w:r>
      <w:r w:rsidRPr="00A26C26">
        <w:rPr>
          <w:rFonts w:cstheme="minorHAnsi"/>
        </w:rPr>
        <w:t>w</w:t>
      </w:r>
      <w:r>
        <w:rPr>
          <w:rFonts w:cstheme="minorHAnsi"/>
        </w:rPr>
        <w:t xml:space="preserve"> </w:t>
      </w:r>
      <w:r w:rsidRPr="00A26C26">
        <w:rPr>
          <w:rFonts w:cstheme="minorHAnsi"/>
        </w:rPr>
        <w:t>Partnerstwie”</w:t>
      </w:r>
      <w:r>
        <w:rPr>
          <w:rFonts w:cstheme="minorHAnsi"/>
        </w:rPr>
        <w:t xml:space="preserve"> </w:t>
      </w:r>
      <w:r w:rsidR="002E1D7C" w:rsidRPr="00A26C26">
        <w:rPr>
          <w:rFonts w:cstheme="minorHAnsi"/>
        </w:rPr>
        <w:t>w</w:t>
      </w:r>
      <w:r w:rsidR="003B50ED">
        <w:rPr>
          <w:rFonts w:cstheme="minorHAnsi"/>
        </w:rPr>
        <w:t xml:space="preserve"> </w:t>
      </w:r>
      <w:r w:rsidR="002E1D7C" w:rsidRPr="00A26C26">
        <w:rPr>
          <w:rFonts w:cstheme="minorHAnsi"/>
        </w:rPr>
        <w:t>okresie</w:t>
      </w:r>
      <w:r w:rsidR="003B50ED">
        <w:rPr>
          <w:rFonts w:cstheme="minorHAnsi"/>
        </w:rPr>
        <w:t xml:space="preserve"> </w:t>
      </w:r>
      <w:r w:rsidR="002E1D7C" w:rsidRPr="00A26C26">
        <w:rPr>
          <w:rFonts w:cstheme="minorHAnsi"/>
        </w:rPr>
        <w:t>2016</w:t>
      </w:r>
      <w:r w:rsidR="003B50ED">
        <w:rPr>
          <w:rFonts w:cstheme="minorHAnsi"/>
        </w:rPr>
        <w:t xml:space="preserve"> </w:t>
      </w:r>
      <w:r w:rsidR="002E1D7C" w:rsidRPr="00A26C26">
        <w:rPr>
          <w:rFonts w:cstheme="minorHAnsi"/>
        </w:rPr>
        <w:t>–</w:t>
      </w:r>
      <w:r w:rsidR="003B50ED">
        <w:rPr>
          <w:rFonts w:cstheme="minorHAnsi"/>
        </w:rPr>
        <w:t xml:space="preserve"> </w:t>
      </w:r>
      <w:r w:rsidR="002E1D7C" w:rsidRPr="00A26C26">
        <w:rPr>
          <w:rFonts w:cstheme="minorHAnsi"/>
        </w:rPr>
        <w:t>2021</w:t>
      </w:r>
      <w:r w:rsidR="003B50ED">
        <w:rPr>
          <w:rFonts w:cstheme="minorHAnsi"/>
        </w:rPr>
        <w:t xml:space="preserve"> </w:t>
      </w:r>
      <w:r w:rsidR="002E1D7C" w:rsidRPr="00A26C26">
        <w:rPr>
          <w:rFonts w:cstheme="minorHAnsi"/>
        </w:rPr>
        <w:t>prowadził</w:t>
      </w:r>
      <w:r>
        <w:rPr>
          <w:rFonts w:cstheme="minorHAnsi"/>
        </w:rPr>
        <w:t>o</w:t>
      </w:r>
      <w:r w:rsidR="003B50ED">
        <w:rPr>
          <w:rFonts w:cstheme="minorHAnsi"/>
        </w:rPr>
        <w:t xml:space="preserve"> </w:t>
      </w:r>
      <w:r w:rsidR="002E1D7C" w:rsidRPr="00A26C26">
        <w:rPr>
          <w:rFonts w:cstheme="minorHAnsi"/>
        </w:rPr>
        <w:t>szeroką</w:t>
      </w:r>
      <w:r w:rsidR="003B50ED">
        <w:rPr>
          <w:rFonts w:cstheme="minorHAnsi"/>
        </w:rPr>
        <w:t xml:space="preserve"> </w:t>
      </w:r>
      <w:r w:rsidR="002E1D7C" w:rsidRPr="00A26C26">
        <w:rPr>
          <w:rFonts w:cstheme="minorHAnsi"/>
        </w:rPr>
        <w:t>gamę</w:t>
      </w:r>
      <w:r w:rsidR="003B50ED">
        <w:rPr>
          <w:rFonts w:cstheme="minorHAnsi"/>
        </w:rPr>
        <w:t xml:space="preserve"> </w:t>
      </w:r>
      <w:r w:rsidR="002E1D7C" w:rsidRPr="00A26C26">
        <w:rPr>
          <w:rFonts w:cstheme="minorHAnsi"/>
        </w:rPr>
        <w:t>aktywności</w:t>
      </w:r>
      <w:r w:rsidR="003B50ED">
        <w:rPr>
          <w:rFonts w:cstheme="minorHAnsi"/>
        </w:rPr>
        <w:t xml:space="preserve"> </w:t>
      </w:r>
      <w:r w:rsidR="002E1D7C" w:rsidRPr="00A26C26">
        <w:rPr>
          <w:rFonts w:cstheme="minorHAnsi"/>
        </w:rPr>
        <w:t>promocyjno-informacyjnych</w:t>
      </w:r>
      <w:r w:rsidR="003B50ED">
        <w:rPr>
          <w:rFonts w:cstheme="minorHAnsi"/>
        </w:rPr>
        <w:t xml:space="preserve"> </w:t>
      </w:r>
      <w:r w:rsidR="002E1D7C" w:rsidRPr="00A26C26">
        <w:rPr>
          <w:rFonts w:cstheme="minorHAnsi"/>
        </w:rPr>
        <w:t>oraz</w:t>
      </w:r>
      <w:r w:rsidR="003B50ED">
        <w:rPr>
          <w:rFonts w:cstheme="minorHAnsi"/>
        </w:rPr>
        <w:t xml:space="preserve"> </w:t>
      </w:r>
      <w:r w:rsidR="002E1D7C" w:rsidRPr="00A26C26">
        <w:rPr>
          <w:rFonts w:cstheme="minorHAnsi"/>
        </w:rPr>
        <w:t>działań</w:t>
      </w:r>
      <w:r w:rsidR="003B50ED">
        <w:rPr>
          <w:rFonts w:cstheme="minorHAnsi"/>
        </w:rPr>
        <w:t xml:space="preserve"> </w:t>
      </w:r>
      <w:r w:rsidR="002E1D7C" w:rsidRPr="00A26C26">
        <w:rPr>
          <w:rFonts w:cstheme="minorHAnsi"/>
        </w:rPr>
        <w:t>aktywizacyjnych.</w:t>
      </w:r>
      <w:r w:rsidR="003B50ED">
        <w:rPr>
          <w:rFonts w:cstheme="minorHAnsi"/>
        </w:rPr>
        <w:t xml:space="preserve"> </w:t>
      </w:r>
      <w:r w:rsidR="002E1D7C" w:rsidRPr="00A26C26">
        <w:rPr>
          <w:rFonts w:cstheme="minorHAnsi"/>
        </w:rPr>
        <w:t>Nie</w:t>
      </w:r>
      <w:r w:rsidR="003B50ED">
        <w:rPr>
          <w:rFonts w:cstheme="minorHAnsi"/>
        </w:rPr>
        <w:t xml:space="preserve"> </w:t>
      </w:r>
      <w:r w:rsidR="002E1D7C" w:rsidRPr="00A26C26">
        <w:rPr>
          <w:rFonts w:cstheme="minorHAnsi"/>
        </w:rPr>
        <w:t>sposób</w:t>
      </w:r>
      <w:r w:rsidR="003B50ED">
        <w:rPr>
          <w:rFonts w:cstheme="minorHAnsi"/>
        </w:rPr>
        <w:t xml:space="preserve"> </w:t>
      </w:r>
      <w:r w:rsidR="002E1D7C" w:rsidRPr="00A26C26">
        <w:rPr>
          <w:rFonts w:cstheme="minorHAnsi"/>
        </w:rPr>
        <w:t>wymienić</w:t>
      </w:r>
      <w:r w:rsidR="003B50ED">
        <w:rPr>
          <w:rFonts w:cstheme="minorHAnsi"/>
        </w:rPr>
        <w:t xml:space="preserve"> </w:t>
      </w:r>
      <w:r w:rsidR="002E1D7C" w:rsidRPr="00A26C26">
        <w:rPr>
          <w:rFonts w:cstheme="minorHAnsi"/>
        </w:rPr>
        <w:t>wszystkich</w:t>
      </w:r>
      <w:r w:rsidR="003B50ED">
        <w:rPr>
          <w:rFonts w:cstheme="minorHAnsi"/>
        </w:rPr>
        <w:t xml:space="preserve"> </w:t>
      </w:r>
      <w:r w:rsidR="002E1D7C" w:rsidRPr="00A26C26">
        <w:rPr>
          <w:rFonts w:cstheme="minorHAnsi"/>
        </w:rPr>
        <w:t>inicjatyw</w:t>
      </w:r>
      <w:r w:rsidR="003B50ED">
        <w:rPr>
          <w:rFonts w:cstheme="minorHAnsi"/>
        </w:rPr>
        <w:t xml:space="preserve"> </w:t>
      </w:r>
      <w:r w:rsidR="002E1D7C" w:rsidRPr="00A26C26">
        <w:rPr>
          <w:rFonts w:cstheme="minorHAnsi"/>
        </w:rPr>
        <w:t>i</w:t>
      </w:r>
      <w:r w:rsidR="003B50ED">
        <w:rPr>
          <w:rFonts w:cstheme="minorHAnsi"/>
        </w:rPr>
        <w:t xml:space="preserve"> </w:t>
      </w:r>
      <w:r w:rsidR="002E1D7C" w:rsidRPr="00A26C26">
        <w:rPr>
          <w:rFonts w:cstheme="minorHAnsi"/>
        </w:rPr>
        <w:t>działalności.</w:t>
      </w:r>
      <w:r w:rsidR="003B50ED">
        <w:rPr>
          <w:rFonts w:cstheme="minorHAnsi"/>
        </w:rPr>
        <w:t xml:space="preserve"> </w:t>
      </w:r>
    </w:p>
    <w:p w14:paraId="2D60E88C" w14:textId="55A261F6" w:rsidR="002E1D7C" w:rsidRPr="00A26C26" w:rsidRDefault="002E1D7C" w:rsidP="00A26C26">
      <w:pPr>
        <w:spacing w:line="276" w:lineRule="auto"/>
        <w:ind w:firstLine="284"/>
        <w:jc w:val="both"/>
        <w:rPr>
          <w:rFonts w:cstheme="minorHAnsi"/>
        </w:rPr>
      </w:pPr>
      <w:r w:rsidRPr="00A26C26">
        <w:rPr>
          <w:rFonts w:cstheme="minorHAnsi"/>
        </w:rPr>
        <w:t>Do</w:t>
      </w:r>
      <w:r w:rsidR="003B50ED">
        <w:rPr>
          <w:rFonts w:cstheme="minorHAnsi"/>
        </w:rPr>
        <w:t xml:space="preserve"> </w:t>
      </w:r>
      <w:r w:rsidRPr="00A26C26">
        <w:rPr>
          <w:rFonts w:cstheme="minorHAnsi"/>
        </w:rPr>
        <w:t>najważniejszych</w:t>
      </w:r>
      <w:r w:rsidR="003B50ED">
        <w:rPr>
          <w:rFonts w:cstheme="minorHAnsi"/>
        </w:rPr>
        <w:t xml:space="preserve"> </w:t>
      </w:r>
      <w:r w:rsidRPr="00A26C26">
        <w:rPr>
          <w:rFonts w:cstheme="minorHAnsi"/>
        </w:rPr>
        <w:t>należy</w:t>
      </w:r>
      <w:r w:rsidR="003B50ED">
        <w:rPr>
          <w:rFonts w:cstheme="minorHAnsi"/>
        </w:rPr>
        <w:t xml:space="preserve"> </w:t>
      </w:r>
      <w:r w:rsidRPr="00A26C26">
        <w:rPr>
          <w:rFonts w:cstheme="minorHAnsi"/>
        </w:rPr>
        <w:t>zaliczyć</w:t>
      </w:r>
      <w:r w:rsidR="003B50ED">
        <w:rPr>
          <w:rFonts w:cstheme="minorHAnsi"/>
        </w:rPr>
        <w:t xml:space="preserve"> </w:t>
      </w:r>
      <w:r w:rsidRPr="00A26C26">
        <w:rPr>
          <w:rFonts w:cstheme="minorHAnsi"/>
        </w:rPr>
        <w:t>między</w:t>
      </w:r>
      <w:r w:rsidR="003B50ED">
        <w:rPr>
          <w:rFonts w:cstheme="minorHAnsi"/>
        </w:rPr>
        <w:t xml:space="preserve"> </w:t>
      </w:r>
      <w:r w:rsidRPr="00A26C26">
        <w:rPr>
          <w:rFonts w:cstheme="minorHAnsi"/>
        </w:rPr>
        <w:t>innymi</w:t>
      </w:r>
      <w:r w:rsidR="003B50ED">
        <w:rPr>
          <w:rFonts w:cstheme="minorHAnsi"/>
        </w:rPr>
        <w:t xml:space="preserve"> </w:t>
      </w:r>
      <w:r w:rsidRPr="00A26C26">
        <w:rPr>
          <w:rFonts w:cstheme="minorHAnsi"/>
        </w:rPr>
        <w:t>działania</w:t>
      </w:r>
      <w:r w:rsidR="003B50ED">
        <w:rPr>
          <w:rFonts w:cstheme="minorHAnsi"/>
        </w:rPr>
        <w:t xml:space="preserve"> </w:t>
      </w:r>
      <w:r w:rsidRPr="00A26C26">
        <w:rPr>
          <w:rFonts w:cstheme="minorHAnsi"/>
        </w:rPr>
        <w:t>dotyczące</w:t>
      </w:r>
      <w:r w:rsidR="003B50ED">
        <w:rPr>
          <w:rFonts w:cstheme="minorHAnsi"/>
        </w:rPr>
        <w:t xml:space="preserve"> </w:t>
      </w:r>
      <w:r w:rsidRPr="00A26C26">
        <w:rPr>
          <w:rFonts w:cstheme="minorHAnsi"/>
        </w:rPr>
        <w:t>aktywizacji,</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ramach</w:t>
      </w:r>
      <w:r w:rsidR="003B50ED">
        <w:rPr>
          <w:rFonts w:cstheme="minorHAnsi"/>
        </w:rPr>
        <w:t xml:space="preserve"> </w:t>
      </w:r>
      <w:r w:rsidRPr="00A26C26">
        <w:rPr>
          <w:rFonts w:cstheme="minorHAnsi"/>
        </w:rPr>
        <w:t>których</w:t>
      </w:r>
      <w:r w:rsidR="003B50ED">
        <w:rPr>
          <w:rFonts w:cstheme="minorHAnsi"/>
        </w:rPr>
        <w:t xml:space="preserve"> </w:t>
      </w:r>
      <w:r w:rsidRPr="00A26C26">
        <w:rPr>
          <w:rFonts w:cstheme="minorHAnsi"/>
        </w:rPr>
        <w:t>zorganizowano</w:t>
      </w:r>
      <w:r w:rsidR="003B50ED">
        <w:rPr>
          <w:rFonts w:cstheme="minorHAnsi"/>
        </w:rPr>
        <w:t xml:space="preserve"> </w:t>
      </w:r>
      <w:r w:rsidRPr="00A26C26">
        <w:rPr>
          <w:rFonts w:cstheme="minorHAnsi"/>
        </w:rPr>
        <w:t>przez</w:t>
      </w:r>
      <w:r w:rsidR="003B50ED">
        <w:rPr>
          <w:rFonts w:cstheme="minorHAnsi"/>
        </w:rPr>
        <w:t xml:space="preserve"> </w:t>
      </w:r>
      <w:r w:rsidR="00EA772B">
        <w:rPr>
          <w:rFonts w:cstheme="minorHAnsi"/>
        </w:rPr>
        <w:t xml:space="preserve">Stowarzyszenie </w:t>
      </w:r>
      <w:r w:rsidR="00EA772B" w:rsidRPr="00A26C26">
        <w:rPr>
          <w:rFonts w:cstheme="minorHAnsi"/>
        </w:rPr>
        <w:t>„Solidarni</w:t>
      </w:r>
      <w:r w:rsidR="00EA772B">
        <w:rPr>
          <w:rFonts w:cstheme="minorHAnsi"/>
        </w:rPr>
        <w:t xml:space="preserve"> </w:t>
      </w:r>
      <w:r w:rsidR="00EA772B" w:rsidRPr="00A26C26">
        <w:rPr>
          <w:rFonts w:cstheme="minorHAnsi"/>
        </w:rPr>
        <w:t>w</w:t>
      </w:r>
      <w:r w:rsidR="00EA772B">
        <w:rPr>
          <w:rFonts w:cstheme="minorHAnsi"/>
        </w:rPr>
        <w:t xml:space="preserve"> </w:t>
      </w:r>
      <w:r w:rsidR="00EA772B" w:rsidRPr="00A26C26">
        <w:rPr>
          <w:rFonts w:cstheme="minorHAnsi"/>
        </w:rPr>
        <w:t>Partnerstwie”</w:t>
      </w:r>
      <w:r w:rsidR="00EA772B">
        <w:rPr>
          <w:rFonts w:cstheme="minorHAnsi"/>
        </w:rPr>
        <w:t xml:space="preserve"> </w:t>
      </w:r>
      <w:r w:rsidRPr="00A26C26">
        <w:rPr>
          <w:rFonts w:cstheme="minorHAnsi"/>
        </w:rPr>
        <w:t>wiele</w:t>
      </w:r>
      <w:r w:rsidR="003B50ED">
        <w:rPr>
          <w:rFonts w:cstheme="minorHAnsi"/>
        </w:rPr>
        <w:t xml:space="preserve"> </w:t>
      </w:r>
      <w:r w:rsidRPr="00A26C26">
        <w:rPr>
          <w:rFonts w:cstheme="minorHAnsi"/>
        </w:rPr>
        <w:t>warsztatów,</w:t>
      </w:r>
      <w:r w:rsidR="003B50ED">
        <w:rPr>
          <w:rFonts w:cstheme="minorHAnsi"/>
        </w:rPr>
        <w:t xml:space="preserve"> </w:t>
      </w:r>
      <w:r w:rsidRPr="00A26C26">
        <w:rPr>
          <w:rFonts w:cstheme="minorHAnsi"/>
        </w:rPr>
        <w:t>konkursów,</w:t>
      </w:r>
      <w:r w:rsidR="003B50ED">
        <w:rPr>
          <w:rFonts w:cstheme="minorHAnsi"/>
        </w:rPr>
        <w:t xml:space="preserve"> </w:t>
      </w:r>
      <w:r w:rsidRPr="00A26C26">
        <w:rPr>
          <w:rFonts w:cstheme="minorHAnsi"/>
        </w:rPr>
        <w:t>jak</w:t>
      </w:r>
      <w:r w:rsidR="003B50ED">
        <w:rPr>
          <w:rFonts w:cstheme="minorHAnsi"/>
        </w:rPr>
        <w:t xml:space="preserve"> </w:t>
      </w:r>
      <w:r w:rsidRPr="00A26C26">
        <w:rPr>
          <w:rFonts w:cstheme="minorHAnsi"/>
        </w:rPr>
        <w:t>również</w:t>
      </w:r>
      <w:r w:rsidR="003B50ED">
        <w:rPr>
          <w:rFonts w:cstheme="minorHAnsi"/>
        </w:rPr>
        <w:t xml:space="preserve"> </w:t>
      </w:r>
      <w:r w:rsidRPr="00A26C26">
        <w:rPr>
          <w:rFonts w:cstheme="minorHAnsi"/>
        </w:rPr>
        <w:t>spotkań,</w:t>
      </w:r>
      <w:r w:rsidR="003B50ED">
        <w:rPr>
          <w:rFonts w:cstheme="minorHAnsi"/>
        </w:rPr>
        <w:t xml:space="preserve"> </w:t>
      </w:r>
      <w:r w:rsidRPr="00A26C26">
        <w:rPr>
          <w:rFonts w:cstheme="minorHAnsi"/>
        </w:rPr>
        <w:t>imprez</w:t>
      </w:r>
      <w:r w:rsidR="003B50ED">
        <w:rPr>
          <w:rFonts w:cstheme="minorHAnsi"/>
        </w:rPr>
        <w:t xml:space="preserve"> </w:t>
      </w:r>
      <w:r w:rsidRPr="00A26C26">
        <w:rPr>
          <w:rFonts w:cstheme="minorHAnsi"/>
        </w:rPr>
        <w:t>rocznicowych</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przedświątecznych.</w:t>
      </w:r>
      <w:r w:rsidR="003B50ED">
        <w:rPr>
          <w:rFonts w:cstheme="minorHAnsi"/>
        </w:rPr>
        <w:t xml:space="preserve"> </w:t>
      </w:r>
      <w:r w:rsidR="00EA772B">
        <w:rPr>
          <w:rFonts w:cstheme="minorHAnsi"/>
        </w:rPr>
        <w:t>Ze środków innych niż EFRROW z</w:t>
      </w:r>
      <w:r w:rsidRPr="00A26C26">
        <w:rPr>
          <w:rFonts w:cstheme="minorHAnsi"/>
        </w:rPr>
        <w:t>organizowa</w:t>
      </w:r>
      <w:r w:rsidR="00EA772B">
        <w:rPr>
          <w:rFonts w:cstheme="minorHAnsi"/>
        </w:rPr>
        <w:t>no</w:t>
      </w:r>
      <w:r w:rsidR="003B50ED">
        <w:rPr>
          <w:rFonts w:cstheme="minorHAnsi"/>
        </w:rPr>
        <w:t xml:space="preserve"> </w:t>
      </w:r>
      <w:r w:rsidRPr="00A26C26">
        <w:rPr>
          <w:rFonts w:cstheme="minorHAnsi"/>
        </w:rPr>
        <w:t>Jarmark</w:t>
      </w:r>
      <w:r w:rsidR="003B50ED">
        <w:rPr>
          <w:rFonts w:cstheme="minorHAnsi"/>
        </w:rPr>
        <w:t xml:space="preserve"> </w:t>
      </w:r>
      <w:r w:rsidRPr="00A26C26">
        <w:rPr>
          <w:rFonts w:cstheme="minorHAnsi"/>
        </w:rPr>
        <w:t>lokalny</w:t>
      </w:r>
      <w:r w:rsidR="003B50ED">
        <w:rPr>
          <w:rFonts w:cstheme="minorHAnsi"/>
        </w:rPr>
        <w:t xml:space="preserve"> </w:t>
      </w:r>
      <w:r w:rsidRPr="00A26C26">
        <w:rPr>
          <w:rFonts w:cstheme="minorHAnsi"/>
        </w:rPr>
        <w:t>promujący</w:t>
      </w:r>
      <w:r w:rsidR="003B50ED">
        <w:rPr>
          <w:rFonts w:cstheme="minorHAnsi"/>
        </w:rPr>
        <w:t xml:space="preserve"> </w:t>
      </w:r>
      <w:r w:rsidRPr="00A26C26">
        <w:rPr>
          <w:rFonts w:cstheme="minorHAnsi"/>
        </w:rPr>
        <w:t>działania</w:t>
      </w:r>
      <w:r w:rsidR="003B50ED">
        <w:rPr>
          <w:rFonts w:cstheme="minorHAnsi"/>
        </w:rPr>
        <w:t xml:space="preserve"> </w:t>
      </w:r>
      <w:r w:rsidRPr="00A26C26">
        <w:rPr>
          <w:rFonts w:cstheme="minorHAnsi"/>
        </w:rPr>
        <w:t>Odnowy</w:t>
      </w:r>
      <w:r w:rsidR="003B50ED">
        <w:rPr>
          <w:rFonts w:cstheme="minorHAnsi"/>
        </w:rPr>
        <w:t xml:space="preserve"> </w:t>
      </w:r>
      <w:r w:rsidRPr="00A26C26">
        <w:rPr>
          <w:rFonts w:cstheme="minorHAnsi"/>
        </w:rPr>
        <w:t>Wsi</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ramach</w:t>
      </w:r>
      <w:r w:rsidR="003B50ED">
        <w:rPr>
          <w:rFonts w:cstheme="minorHAnsi"/>
        </w:rPr>
        <w:t xml:space="preserve"> </w:t>
      </w:r>
      <w:r w:rsidRPr="00A26C26">
        <w:rPr>
          <w:rFonts w:cstheme="minorHAnsi"/>
        </w:rPr>
        <w:t>konkursu</w:t>
      </w:r>
      <w:r w:rsidR="003B50ED">
        <w:rPr>
          <w:rFonts w:cstheme="minorHAnsi"/>
        </w:rPr>
        <w:t xml:space="preserve"> </w:t>
      </w:r>
      <w:r w:rsidRPr="00A26C26">
        <w:rPr>
          <w:rFonts w:cstheme="minorHAnsi"/>
        </w:rPr>
        <w:t>„Nasza</w:t>
      </w:r>
      <w:r w:rsidR="003B50ED">
        <w:rPr>
          <w:rFonts w:cstheme="minorHAnsi"/>
        </w:rPr>
        <w:t xml:space="preserve"> </w:t>
      </w:r>
      <w:r w:rsidRPr="00A26C26">
        <w:rPr>
          <w:rFonts w:cstheme="minorHAnsi"/>
        </w:rPr>
        <w:t>wieś,</w:t>
      </w:r>
      <w:r w:rsidR="003B50ED">
        <w:rPr>
          <w:rFonts w:cstheme="minorHAnsi"/>
        </w:rPr>
        <w:t xml:space="preserve"> </w:t>
      </w:r>
      <w:r w:rsidRPr="00A26C26">
        <w:rPr>
          <w:rFonts w:cstheme="minorHAnsi"/>
        </w:rPr>
        <w:t>naszą</w:t>
      </w:r>
      <w:r w:rsidR="003B50ED">
        <w:rPr>
          <w:rFonts w:cstheme="minorHAnsi"/>
        </w:rPr>
        <w:t xml:space="preserve"> </w:t>
      </w:r>
      <w:r w:rsidRPr="00A26C26">
        <w:rPr>
          <w:rFonts w:cstheme="minorHAnsi"/>
        </w:rPr>
        <w:t>wspólną</w:t>
      </w:r>
      <w:r w:rsidR="003B50ED">
        <w:rPr>
          <w:rFonts w:cstheme="minorHAnsi"/>
        </w:rPr>
        <w:t xml:space="preserve"> </w:t>
      </w:r>
      <w:r w:rsidRPr="00A26C26">
        <w:rPr>
          <w:rFonts w:cstheme="minorHAnsi"/>
        </w:rPr>
        <w:t>sprawa”.</w:t>
      </w:r>
      <w:r w:rsidR="003B50ED">
        <w:rPr>
          <w:rFonts w:cstheme="minorHAnsi"/>
        </w:rPr>
        <w:t xml:space="preserve"> </w:t>
      </w:r>
      <w:r w:rsidRPr="00A26C26">
        <w:rPr>
          <w:rFonts w:cstheme="minorHAnsi"/>
        </w:rPr>
        <w:t>Podczas</w:t>
      </w:r>
      <w:r w:rsidR="003B50ED">
        <w:rPr>
          <w:rFonts w:cstheme="minorHAnsi"/>
        </w:rPr>
        <w:t xml:space="preserve"> </w:t>
      </w:r>
      <w:r w:rsidRPr="00A26C26">
        <w:rPr>
          <w:rFonts w:cstheme="minorHAnsi"/>
        </w:rPr>
        <w:t>Jarmarku</w:t>
      </w:r>
      <w:r w:rsidR="003B50ED">
        <w:rPr>
          <w:rFonts w:cstheme="minorHAnsi"/>
        </w:rPr>
        <w:t xml:space="preserve"> </w:t>
      </w:r>
      <w:r w:rsidRPr="00A26C26">
        <w:rPr>
          <w:rFonts w:cstheme="minorHAnsi"/>
        </w:rPr>
        <w:t>zaprezentowano</w:t>
      </w:r>
      <w:r w:rsidR="003B50ED">
        <w:rPr>
          <w:rFonts w:cstheme="minorHAnsi"/>
        </w:rPr>
        <w:t xml:space="preserve"> </w:t>
      </w:r>
      <w:r w:rsidRPr="00A26C26">
        <w:rPr>
          <w:rFonts w:cstheme="minorHAnsi"/>
        </w:rPr>
        <w:t>bogactwo</w:t>
      </w:r>
      <w:r w:rsidR="003B50ED">
        <w:rPr>
          <w:rFonts w:cstheme="minorHAnsi"/>
        </w:rPr>
        <w:t xml:space="preserve"> </w:t>
      </w:r>
      <w:r w:rsidRPr="00A26C26">
        <w:rPr>
          <w:rFonts w:cstheme="minorHAnsi"/>
        </w:rPr>
        <w:t>kulinarne,</w:t>
      </w:r>
      <w:r w:rsidR="003B50ED">
        <w:rPr>
          <w:rFonts w:cstheme="minorHAnsi"/>
        </w:rPr>
        <w:t xml:space="preserve"> </w:t>
      </w:r>
      <w:r w:rsidRPr="00A26C26">
        <w:rPr>
          <w:rFonts w:cstheme="minorHAnsi"/>
        </w:rPr>
        <w:t>kulturalne</w:t>
      </w:r>
      <w:r w:rsidR="003B50ED">
        <w:rPr>
          <w:rFonts w:cstheme="minorHAnsi"/>
        </w:rPr>
        <w:t xml:space="preserve"> </w:t>
      </w:r>
      <w:r w:rsidRPr="00A26C26">
        <w:rPr>
          <w:rFonts w:cstheme="minorHAnsi"/>
        </w:rPr>
        <w:t>obszaru.</w:t>
      </w:r>
      <w:r w:rsidR="003B50ED">
        <w:rPr>
          <w:rFonts w:cstheme="minorHAnsi"/>
        </w:rPr>
        <w:t xml:space="preserve"> </w:t>
      </w:r>
      <w:r w:rsidRPr="00A26C26">
        <w:rPr>
          <w:rFonts w:cstheme="minorHAnsi"/>
        </w:rPr>
        <w:t>Odbyły</w:t>
      </w:r>
      <w:r w:rsidR="003B50ED">
        <w:rPr>
          <w:rFonts w:cstheme="minorHAnsi"/>
        </w:rPr>
        <w:t xml:space="preserve"> </w:t>
      </w:r>
      <w:r w:rsidRPr="00A26C26">
        <w:rPr>
          <w:rFonts w:cstheme="minorHAnsi"/>
        </w:rPr>
        <w:t>się</w:t>
      </w:r>
      <w:r w:rsidR="003B50ED">
        <w:rPr>
          <w:rFonts w:cstheme="minorHAnsi"/>
        </w:rPr>
        <w:t xml:space="preserve"> </w:t>
      </w:r>
      <w:r w:rsidRPr="00A26C26">
        <w:rPr>
          <w:rFonts w:cstheme="minorHAnsi"/>
        </w:rPr>
        <w:t>dla</w:t>
      </w:r>
      <w:r w:rsidR="003B50ED">
        <w:rPr>
          <w:rFonts w:cstheme="minorHAnsi"/>
        </w:rPr>
        <w:t xml:space="preserve"> </w:t>
      </w:r>
      <w:r w:rsidRPr="00A26C26">
        <w:rPr>
          <w:rFonts w:cstheme="minorHAnsi"/>
        </w:rPr>
        <w:t>mieszkańców</w:t>
      </w:r>
      <w:r w:rsidR="003B50ED">
        <w:rPr>
          <w:rFonts w:cstheme="minorHAnsi"/>
        </w:rPr>
        <w:t xml:space="preserve"> </w:t>
      </w:r>
      <w:r w:rsidRPr="00A26C26">
        <w:rPr>
          <w:rFonts w:cstheme="minorHAnsi"/>
        </w:rPr>
        <w:t>warsztaty</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rękodzieła,</w:t>
      </w:r>
      <w:r w:rsidR="003B50ED">
        <w:rPr>
          <w:rFonts w:cstheme="minorHAnsi"/>
        </w:rPr>
        <w:t xml:space="preserve"> </w:t>
      </w:r>
      <w:r w:rsidRPr="00A26C26">
        <w:rPr>
          <w:rFonts w:cstheme="minorHAnsi"/>
        </w:rPr>
        <w:t>konkurs</w:t>
      </w:r>
      <w:r w:rsidR="003B50ED">
        <w:rPr>
          <w:rFonts w:cstheme="minorHAnsi"/>
        </w:rPr>
        <w:t xml:space="preserve"> </w:t>
      </w:r>
      <w:r w:rsidRPr="00A26C26">
        <w:rPr>
          <w:rFonts w:cstheme="minorHAnsi"/>
        </w:rPr>
        <w:t>kulinarny</w:t>
      </w:r>
      <w:r w:rsidR="003B50ED">
        <w:rPr>
          <w:rFonts w:cstheme="minorHAnsi"/>
        </w:rPr>
        <w:t xml:space="preserve"> </w:t>
      </w:r>
      <w:r w:rsidRPr="00A26C26">
        <w:rPr>
          <w:rFonts w:cstheme="minorHAnsi"/>
        </w:rPr>
        <w:t>oraz</w:t>
      </w:r>
      <w:r w:rsidR="003B50ED">
        <w:rPr>
          <w:rFonts w:cstheme="minorHAnsi"/>
        </w:rPr>
        <w:t xml:space="preserve"> </w:t>
      </w:r>
      <w:r w:rsidRPr="00A26C26">
        <w:rPr>
          <w:rFonts w:cstheme="minorHAnsi"/>
        </w:rPr>
        <w:t>miały</w:t>
      </w:r>
      <w:r w:rsidR="003B50ED">
        <w:rPr>
          <w:rFonts w:cstheme="minorHAnsi"/>
        </w:rPr>
        <w:t xml:space="preserve"> </w:t>
      </w:r>
      <w:r w:rsidRPr="00A26C26">
        <w:rPr>
          <w:rFonts w:cstheme="minorHAnsi"/>
        </w:rPr>
        <w:t>miejsca</w:t>
      </w:r>
      <w:r w:rsidR="003B50ED">
        <w:rPr>
          <w:rFonts w:cstheme="minorHAnsi"/>
        </w:rPr>
        <w:t xml:space="preserve"> </w:t>
      </w:r>
      <w:r w:rsidRPr="00A26C26">
        <w:rPr>
          <w:rFonts w:cstheme="minorHAnsi"/>
        </w:rPr>
        <w:t>prezentacje</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występy</w:t>
      </w:r>
      <w:r w:rsidR="003B50ED">
        <w:rPr>
          <w:rFonts w:cstheme="minorHAnsi"/>
        </w:rPr>
        <w:t xml:space="preserve"> </w:t>
      </w:r>
      <w:r w:rsidRPr="00A26C26">
        <w:rPr>
          <w:rFonts w:cstheme="minorHAnsi"/>
        </w:rPr>
        <w:t>lokalnych</w:t>
      </w:r>
      <w:r w:rsidR="003B50ED">
        <w:rPr>
          <w:rFonts w:cstheme="minorHAnsi"/>
        </w:rPr>
        <w:t xml:space="preserve"> </w:t>
      </w:r>
      <w:r w:rsidRPr="00A26C26">
        <w:rPr>
          <w:rFonts w:cstheme="minorHAnsi"/>
        </w:rPr>
        <w:t>artystów.</w:t>
      </w:r>
      <w:r w:rsidR="003B50ED">
        <w:rPr>
          <w:rFonts w:cstheme="minorHAnsi"/>
        </w:rPr>
        <w:t xml:space="preserve"> </w:t>
      </w:r>
      <w:r w:rsidRPr="00A26C26">
        <w:rPr>
          <w:rFonts w:cstheme="minorHAnsi"/>
        </w:rPr>
        <w:t>Impreza</w:t>
      </w:r>
      <w:r w:rsidR="003B50ED">
        <w:rPr>
          <w:rFonts w:cstheme="minorHAnsi"/>
        </w:rPr>
        <w:t xml:space="preserve"> </w:t>
      </w:r>
      <w:r w:rsidRPr="00A26C26">
        <w:rPr>
          <w:rFonts w:cstheme="minorHAnsi"/>
        </w:rPr>
        <w:t>cieszyła</w:t>
      </w:r>
      <w:r w:rsidR="003B50ED">
        <w:rPr>
          <w:rFonts w:cstheme="minorHAnsi"/>
        </w:rPr>
        <w:t xml:space="preserve"> </w:t>
      </w:r>
      <w:r w:rsidRPr="00A26C26">
        <w:rPr>
          <w:rFonts w:cstheme="minorHAnsi"/>
        </w:rPr>
        <w:t>się</w:t>
      </w:r>
      <w:r w:rsidR="003B50ED">
        <w:rPr>
          <w:rFonts w:cstheme="minorHAnsi"/>
        </w:rPr>
        <w:t xml:space="preserve"> </w:t>
      </w:r>
      <w:r w:rsidRPr="00A26C26">
        <w:rPr>
          <w:rFonts w:cstheme="minorHAnsi"/>
        </w:rPr>
        <w:t>dużym</w:t>
      </w:r>
      <w:r w:rsidR="003B50ED">
        <w:rPr>
          <w:rFonts w:cstheme="minorHAnsi"/>
        </w:rPr>
        <w:t xml:space="preserve"> </w:t>
      </w:r>
      <w:r w:rsidRPr="00A26C26">
        <w:rPr>
          <w:rFonts w:cstheme="minorHAnsi"/>
        </w:rPr>
        <w:t>zainteresowaniem</w:t>
      </w:r>
      <w:r w:rsidR="003B50ED">
        <w:rPr>
          <w:rFonts w:cstheme="minorHAnsi"/>
        </w:rPr>
        <w:t xml:space="preserve"> </w:t>
      </w:r>
      <w:r w:rsidRPr="00A26C26">
        <w:rPr>
          <w:rFonts w:cstheme="minorHAnsi"/>
        </w:rPr>
        <w:t>społeczności</w:t>
      </w:r>
      <w:r w:rsidR="003B50ED">
        <w:rPr>
          <w:rFonts w:cstheme="minorHAnsi"/>
        </w:rPr>
        <w:t xml:space="preserve"> </w:t>
      </w:r>
      <w:r w:rsidRPr="00A26C26">
        <w:rPr>
          <w:rFonts w:cstheme="minorHAnsi"/>
        </w:rPr>
        <w:t>lokalnej.</w:t>
      </w:r>
    </w:p>
    <w:p w14:paraId="7F1727B7" w14:textId="5995ED44" w:rsidR="002E1D7C" w:rsidRPr="00A26C26" w:rsidRDefault="002E1D7C" w:rsidP="00A26C26">
      <w:pPr>
        <w:spacing w:line="276" w:lineRule="auto"/>
        <w:ind w:firstLine="284"/>
        <w:jc w:val="both"/>
        <w:rPr>
          <w:rFonts w:cstheme="minorHAnsi"/>
        </w:rPr>
      </w:pPr>
      <w:r w:rsidRPr="00A26C26">
        <w:rPr>
          <w:rFonts w:cstheme="minorHAnsi"/>
        </w:rPr>
        <w:lastRenderedPageBreak/>
        <w:t>Interesującym</w:t>
      </w:r>
      <w:r w:rsidR="003B50ED">
        <w:rPr>
          <w:rFonts w:cstheme="minorHAnsi"/>
        </w:rPr>
        <w:t xml:space="preserve"> </w:t>
      </w:r>
      <w:r w:rsidRPr="00A26C26">
        <w:rPr>
          <w:rFonts w:cstheme="minorHAnsi"/>
        </w:rPr>
        <w:t>wydarzeniem</w:t>
      </w:r>
      <w:r w:rsidR="003B50ED">
        <w:rPr>
          <w:rFonts w:cstheme="minorHAnsi"/>
        </w:rPr>
        <w:t xml:space="preserve"> </w:t>
      </w:r>
      <w:r w:rsidRPr="00A26C26">
        <w:rPr>
          <w:rFonts w:cstheme="minorHAnsi"/>
        </w:rPr>
        <w:t>zorganizowanym</w:t>
      </w:r>
      <w:r w:rsidR="003B50ED">
        <w:rPr>
          <w:rFonts w:cstheme="minorHAnsi"/>
        </w:rPr>
        <w:t xml:space="preserve"> </w:t>
      </w:r>
      <w:r w:rsidRPr="00A26C26">
        <w:rPr>
          <w:rFonts w:cstheme="minorHAnsi"/>
        </w:rPr>
        <w:t>przez</w:t>
      </w:r>
      <w:r w:rsidR="003B50ED">
        <w:rPr>
          <w:rFonts w:cstheme="minorHAnsi"/>
        </w:rPr>
        <w:t xml:space="preserve"> </w:t>
      </w:r>
      <w:r w:rsidR="00EA772B">
        <w:rPr>
          <w:rFonts w:cstheme="minorHAnsi"/>
        </w:rPr>
        <w:t xml:space="preserve">Stowarzyszenie </w:t>
      </w:r>
      <w:r w:rsidR="00EA772B" w:rsidRPr="00A26C26">
        <w:rPr>
          <w:rFonts w:cstheme="minorHAnsi"/>
        </w:rPr>
        <w:t>„Solidarni</w:t>
      </w:r>
      <w:r w:rsidR="00EA772B">
        <w:rPr>
          <w:rFonts w:cstheme="minorHAnsi"/>
        </w:rPr>
        <w:t xml:space="preserve"> </w:t>
      </w:r>
      <w:r w:rsidR="00EA772B" w:rsidRPr="00A26C26">
        <w:rPr>
          <w:rFonts w:cstheme="minorHAnsi"/>
        </w:rPr>
        <w:t>w</w:t>
      </w:r>
      <w:r w:rsidR="00EA772B">
        <w:rPr>
          <w:rFonts w:cstheme="minorHAnsi"/>
        </w:rPr>
        <w:t xml:space="preserve"> </w:t>
      </w:r>
      <w:r w:rsidR="00EA772B" w:rsidRPr="00A26C26">
        <w:rPr>
          <w:rFonts w:cstheme="minorHAnsi"/>
        </w:rPr>
        <w:t>Partnerstwie”</w:t>
      </w:r>
      <w:r w:rsidR="00EA772B">
        <w:rPr>
          <w:rFonts w:cstheme="minorHAnsi"/>
        </w:rPr>
        <w:t xml:space="preserve"> </w:t>
      </w:r>
      <w:r w:rsidRPr="00A26C26">
        <w:rPr>
          <w:rFonts w:cstheme="minorHAnsi"/>
        </w:rPr>
        <w:t>był</w:t>
      </w:r>
      <w:r w:rsidR="003B50ED">
        <w:rPr>
          <w:rFonts w:cstheme="minorHAnsi"/>
        </w:rPr>
        <w:t xml:space="preserve"> </w:t>
      </w:r>
      <w:r w:rsidR="006343C4" w:rsidRPr="00A26C26">
        <w:rPr>
          <w:rFonts w:cstheme="minorHAnsi"/>
        </w:rPr>
        <w:t>cykl</w:t>
      </w:r>
      <w:r w:rsidR="003B50ED">
        <w:rPr>
          <w:rFonts w:cstheme="minorHAnsi"/>
        </w:rPr>
        <w:t xml:space="preserve"> </w:t>
      </w:r>
      <w:r w:rsidRPr="00A26C26">
        <w:rPr>
          <w:rFonts w:cstheme="minorHAnsi"/>
        </w:rPr>
        <w:t>Rajd</w:t>
      </w:r>
      <w:r w:rsidR="006343C4" w:rsidRPr="00A26C26">
        <w:rPr>
          <w:rFonts w:cstheme="minorHAnsi"/>
        </w:rPr>
        <w:t>ów</w:t>
      </w:r>
      <w:r w:rsidR="003B50ED">
        <w:rPr>
          <w:rFonts w:cstheme="minorHAnsi"/>
        </w:rPr>
        <w:t xml:space="preserve"> </w:t>
      </w:r>
      <w:r w:rsidR="006343C4" w:rsidRPr="00A26C26">
        <w:rPr>
          <w:rFonts w:cstheme="minorHAnsi"/>
        </w:rPr>
        <w:t>rowerowych</w:t>
      </w:r>
      <w:r w:rsidR="003B50ED">
        <w:rPr>
          <w:rFonts w:cstheme="minorHAnsi"/>
        </w:rPr>
        <w:t xml:space="preserve"> </w:t>
      </w:r>
      <w:r w:rsidRPr="00A26C26">
        <w:rPr>
          <w:rFonts w:cstheme="minorHAnsi"/>
        </w:rPr>
        <w:t>pn.</w:t>
      </w:r>
      <w:r w:rsidR="003B50ED">
        <w:rPr>
          <w:rFonts w:cstheme="minorHAnsi"/>
        </w:rPr>
        <w:t xml:space="preserve"> </w:t>
      </w:r>
      <w:r w:rsidRPr="00A26C26">
        <w:rPr>
          <w:rFonts w:cstheme="minorHAnsi"/>
        </w:rPr>
        <w:t>„Rowerowy</w:t>
      </w:r>
      <w:r w:rsidR="003B50ED">
        <w:rPr>
          <w:rFonts w:cstheme="minorHAnsi"/>
        </w:rPr>
        <w:t xml:space="preserve"> </w:t>
      </w:r>
      <w:r w:rsidRPr="00A26C26">
        <w:rPr>
          <w:rFonts w:cstheme="minorHAnsi"/>
        </w:rPr>
        <w:t>zawrót</w:t>
      </w:r>
      <w:r w:rsidR="003B50ED">
        <w:rPr>
          <w:rFonts w:cstheme="minorHAnsi"/>
        </w:rPr>
        <w:t xml:space="preserve"> </w:t>
      </w:r>
      <w:r w:rsidRPr="00A26C26">
        <w:rPr>
          <w:rFonts w:cstheme="minorHAnsi"/>
        </w:rPr>
        <w:t>głowy</w:t>
      </w:r>
      <w:r w:rsidR="003B50ED">
        <w:rPr>
          <w:rFonts w:cstheme="minorHAnsi"/>
        </w:rPr>
        <w:t xml:space="preserve"> </w:t>
      </w:r>
      <w:r w:rsidRPr="00A26C26">
        <w:rPr>
          <w:rFonts w:cstheme="minorHAnsi"/>
        </w:rPr>
        <w:t>ze</w:t>
      </w:r>
      <w:r w:rsidR="003B50ED">
        <w:rPr>
          <w:rFonts w:cstheme="minorHAnsi"/>
        </w:rPr>
        <w:t xml:space="preserve"> </w:t>
      </w:r>
      <w:r w:rsidRPr="00A26C26">
        <w:rPr>
          <w:rFonts w:cstheme="minorHAnsi"/>
        </w:rPr>
        <w:t>Stowarzyszeniem</w:t>
      </w:r>
      <w:r w:rsidR="003B50ED">
        <w:rPr>
          <w:rFonts w:cstheme="minorHAnsi"/>
        </w:rPr>
        <w:t xml:space="preserve"> </w:t>
      </w:r>
      <w:r w:rsidRPr="00A26C26">
        <w:rPr>
          <w:rFonts w:cstheme="minorHAnsi"/>
        </w:rPr>
        <w:t>„Solidarni</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Partnerstwie”,</w:t>
      </w:r>
      <w:r w:rsidR="003B50ED">
        <w:rPr>
          <w:rFonts w:cstheme="minorHAnsi"/>
        </w:rPr>
        <w:t xml:space="preserve"> </w:t>
      </w:r>
      <w:r w:rsidRPr="00A26C26">
        <w:rPr>
          <w:rFonts w:cstheme="minorHAnsi"/>
        </w:rPr>
        <w:t>który</w:t>
      </w:r>
      <w:r w:rsidR="003B50ED">
        <w:rPr>
          <w:rFonts w:cstheme="minorHAnsi"/>
        </w:rPr>
        <w:t xml:space="preserve"> </w:t>
      </w:r>
      <w:r w:rsidRPr="00A26C26">
        <w:rPr>
          <w:rFonts w:cstheme="minorHAnsi"/>
        </w:rPr>
        <w:t>aktywizował</w:t>
      </w:r>
      <w:r w:rsidR="003B50ED">
        <w:rPr>
          <w:rFonts w:cstheme="minorHAnsi"/>
        </w:rPr>
        <w:t xml:space="preserve"> </w:t>
      </w:r>
      <w:r w:rsidRPr="00A26C26">
        <w:rPr>
          <w:rFonts w:cstheme="minorHAnsi"/>
        </w:rPr>
        <w:t>mieszkańców,</w:t>
      </w:r>
      <w:r w:rsidR="003B50ED">
        <w:rPr>
          <w:rFonts w:cstheme="minorHAnsi"/>
        </w:rPr>
        <w:t xml:space="preserve"> </w:t>
      </w:r>
      <w:r w:rsidRPr="00A26C26">
        <w:rPr>
          <w:rFonts w:cstheme="minorHAnsi"/>
        </w:rPr>
        <w:t>a</w:t>
      </w:r>
      <w:r w:rsidR="003B50ED">
        <w:rPr>
          <w:rFonts w:cstheme="minorHAnsi"/>
        </w:rPr>
        <w:t xml:space="preserve"> </w:t>
      </w:r>
      <w:r w:rsidRPr="00A26C26">
        <w:rPr>
          <w:rFonts w:cstheme="minorHAnsi"/>
        </w:rPr>
        <w:t>zarazem</w:t>
      </w:r>
      <w:r w:rsidR="003B50ED">
        <w:rPr>
          <w:rFonts w:cstheme="minorHAnsi"/>
        </w:rPr>
        <w:t xml:space="preserve"> </w:t>
      </w:r>
      <w:r w:rsidRPr="00A26C26">
        <w:rPr>
          <w:rFonts w:cstheme="minorHAnsi"/>
        </w:rPr>
        <w:t>wzmacniał</w:t>
      </w:r>
      <w:r w:rsidR="003B50ED">
        <w:rPr>
          <w:rFonts w:cstheme="minorHAnsi"/>
        </w:rPr>
        <w:t xml:space="preserve"> </w:t>
      </w:r>
      <w:r w:rsidRPr="00A26C26">
        <w:rPr>
          <w:rFonts w:cstheme="minorHAnsi"/>
        </w:rPr>
        <w:t>markę</w:t>
      </w:r>
      <w:r w:rsidR="003B50ED">
        <w:rPr>
          <w:rFonts w:cstheme="minorHAnsi"/>
        </w:rPr>
        <w:t xml:space="preserve"> </w:t>
      </w:r>
      <w:r w:rsidRPr="00A26C26">
        <w:rPr>
          <w:rFonts w:cstheme="minorHAnsi"/>
        </w:rPr>
        <w:t>Stowarzyszenia.</w:t>
      </w:r>
      <w:r w:rsidR="003B50ED">
        <w:rPr>
          <w:rFonts w:cstheme="minorHAnsi"/>
        </w:rPr>
        <w:t xml:space="preserve"> </w:t>
      </w:r>
    </w:p>
    <w:p w14:paraId="365B9151" w14:textId="4C5F2675" w:rsidR="002E1D7C" w:rsidRPr="00A26C26" w:rsidRDefault="002E1D7C" w:rsidP="00A26C26">
      <w:pPr>
        <w:spacing w:line="276" w:lineRule="auto"/>
        <w:ind w:firstLine="284"/>
        <w:jc w:val="both"/>
        <w:rPr>
          <w:rFonts w:cstheme="minorHAnsi"/>
        </w:rPr>
      </w:pPr>
      <w:r w:rsidRPr="00A26C26">
        <w:rPr>
          <w:rFonts w:cstheme="minorHAnsi"/>
        </w:rPr>
        <w:t>Zorganizowano</w:t>
      </w:r>
      <w:r w:rsidR="003B50ED">
        <w:rPr>
          <w:rFonts w:cstheme="minorHAnsi"/>
        </w:rPr>
        <w:t xml:space="preserve"> </w:t>
      </w:r>
      <w:r w:rsidRPr="00A26C26">
        <w:rPr>
          <w:rFonts w:cstheme="minorHAnsi"/>
        </w:rPr>
        <w:t>wiele</w:t>
      </w:r>
      <w:r w:rsidR="003B50ED">
        <w:rPr>
          <w:rFonts w:cstheme="minorHAnsi"/>
        </w:rPr>
        <w:t xml:space="preserve"> </w:t>
      </w:r>
      <w:r w:rsidRPr="00A26C26">
        <w:rPr>
          <w:rFonts w:cstheme="minorHAnsi"/>
        </w:rPr>
        <w:t>spotkań</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wizyt</w:t>
      </w:r>
      <w:r w:rsidR="003B50ED">
        <w:rPr>
          <w:rFonts w:cstheme="minorHAnsi"/>
        </w:rPr>
        <w:t xml:space="preserve"> </w:t>
      </w:r>
      <w:r w:rsidRPr="00A26C26">
        <w:rPr>
          <w:rFonts w:cstheme="minorHAnsi"/>
        </w:rPr>
        <w:t>studyjnych</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ramach</w:t>
      </w:r>
      <w:r w:rsidR="003B50ED">
        <w:rPr>
          <w:rFonts w:cstheme="minorHAnsi"/>
        </w:rPr>
        <w:t xml:space="preserve"> </w:t>
      </w:r>
      <w:r w:rsidRPr="00A26C26">
        <w:rPr>
          <w:rFonts w:cstheme="minorHAnsi"/>
        </w:rPr>
        <w:t>poznawania</w:t>
      </w:r>
      <w:r w:rsidR="003B50ED">
        <w:rPr>
          <w:rFonts w:cstheme="minorHAnsi"/>
        </w:rPr>
        <w:t xml:space="preserve"> </w:t>
      </w:r>
      <w:r w:rsidRPr="00A26C26">
        <w:rPr>
          <w:rFonts w:cstheme="minorHAnsi"/>
        </w:rPr>
        <w:t>dobrych</w:t>
      </w:r>
      <w:r w:rsidR="003B50ED">
        <w:rPr>
          <w:rFonts w:cstheme="minorHAnsi"/>
        </w:rPr>
        <w:t xml:space="preserve"> </w:t>
      </w:r>
      <w:r w:rsidRPr="00A26C26">
        <w:rPr>
          <w:rFonts w:cstheme="minorHAnsi"/>
        </w:rPr>
        <w:t>praktyk.</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uwagę</w:t>
      </w:r>
      <w:r w:rsidR="003B50ED">
        <w:rPr>
          <w:rFonts w:cstheme="minorHAnsi"/>
        </w:rPr>
        <w:t xml:space="preserve"> </w:t>
      </w:r>
      <w:r w:rsidRPr="00A26C26">
        <w:rPr>
          <w:rFonts w:cstheme="minorHAnsi"/>
        </w:rPr>
        <w:t>zasługuje</w:t>
      </w:r>
      <w:r w:rsidR="003B50ED">
        <w:rPr>
          <w:rFonts w:cstheme="minorHAnsi"/>
        </w:rPr>
        <w:t xml:space="preserve"> </w:t>
      </w:r>
      <w:r w:rsidRPr="00A26C26">
        <w:rPr>
          <w:rFonts w:cstheme="minorHAnsi"/>
        </w:rPr>
        <w:t>wyjazd</w:t>
      </w:r>
      <w:r w:rsidR="003B50ED">
        <w:rPr>
          <w:rFonts w:cstheme="minorHAnsi"/>
        </w:rPr>
        <w:t xml:space="preserve"> </w:t>
      </w:r>
      <w:r w:rsidRPr="00A26C26">
        <w:rPr>
          <w:rFonts w:cstheme="minorHAnsi"/>
        </w:rPr>
        <w:t>studyjny</w:t>
      </w:r>
      <w:r w:rsidR="003B50ED">
        <w:rPr>
          <w:rFonts w:cstheme="minorHAnsi"/>
        </w:rPr>
        <w:t xml:space="preserve"> </w:t>
      </w:r>
      <w:r w:rsidRPr="00A26C26">
        <w:rPr>
          <w:rFonts w:cstheme="minorHAnsi"/>
        </w:rPr>
        <w:t>do</w:t>
      </w:r>
      <w:r w:rsidR="003B50ED">
        <w:rPr>
          <w:rFonts w:cstheme="minorHAnsi"/>
        </w:rPr>
        <w:t xml:space="preserve"> </w:t>
      </w:r>
      <w:r w:rsidRPr="00A26C26">
        <w:rPr>
          <w:rFonts w:cstheme="minorHAnsi"/>
        </w:rPr>
        <w:t>Brukseli,</w:t>
      </w:r>
      <w:r w:rsidR="003B50ED">
        <w:rPr>
          <w:rFonts w:cstheme="minorHAnsi"/>
        </w:rPr>
        <w:t xml:space="preserve"> </w:t>
      </w:r>
      <w:r w:rsidRPr="00A26C26">
        <w:rPr>
          <w:rFonts w:cstheme="minorHAnsi"/>
        </w:rPr>
        <w:t>gdzie</w:t>
      </w:r>
      <w:r w:rsidR="003B50ED">
        <w:rPr>
          <w:rFonts w:cstheme="minorHAnsi"/>
        </w:rPr>
        <w:t xml:space="preserve"> </w:t>
      </w:r>
      <w:r w:rsidRPr="00A26C26">
        <w:rPr>
          <w:rFonts w:cstheme="minorHAnsi"/>
        </w:rPr>
        <w:t>Stowarzyszenie</w:t>
      </w:r>
      <w:r w:rsidR="003B50ED">
        <w:rPr>
          <w:rFonts w:cstheme="minorHAnsi"/>
        </w:rPr>
        <w:t xml:space="preserve"> </w:t>
      </w:r>
      <w:r w:rsidRPr="00A26C26">
        <w:rPr>
          <w:rFonts w:cstheme="minorHAnsi"/>
        </w:rPr>
        <w:t>uczestniczyło</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uroczystych</w:t>
      </w:r>
      <w:r w:rsidR="003B50ED">
        <w:rPr>
          <w:rFonts w:cstheme="minorHAnsi"/>
        </w:rPr>
        <w:t xml:space="preserve"> </w:t>
      </w:r>
      <w:r w:rsidRPr="001A0F8E">
        <w:rPr>
          <w:rFonts w:cstheme="minorHAnsi"/>
        </w:rPr>
        <w:t>obchodach</w:t>
      </w:r>
      <w:r w:rsidR="003B50ED" w:rsidRPr="001A0F8E">
        <w:rPr>
          <w:rFonts w:cstheme="minorHAnsi"/>
        </w:rPr>
        <w:t xml:space="preserve"> </w:t>
      </w:r>
      <w:r w:rsidRPr="001A0F8E">
        <w:rPr>
          <w:rFonts w:cstheme="minorHAnsi"/>
        </w:rPr>
        <w:t>„Dnia</w:t>
      </w:r>
      <w:r w:rsidR="003B50ED" w:rsidRPr="001A0F8E">
        <w:rPr>
          <w:rFonts w:cstheme="minorHAnsi"/>
        </w:rPr>
        <w:t xml:space="preserve"> </w:t>
      </w:r>
      <w:r w:rsidRPr="001A0F8E">
        <w:rPr>
          <w:rFonts w:cstheme="minorHAnsi"/>
        </w:rPr>
        <w:t>Świętego</w:t>
      </w:r>
      <w:r w:rsidR="003B50ED" w:rsidRPr="001A0F8E">
        <w:rPr>
          <w:rFonts w:cstheme="minorHAnsi"/>
        </w:rPr>
        <w:t xml:space="preserve"> </w:t>
      </w:r>
      <w:r w:rsidRPr="001A0F8E">
        <w:rPr>
          <w:rFonts w:cstheme="minorHAnsi"/>
        </w:rPr>
        <w:t>Marcina”.</w:t>
      </w:r>
      <w:r w:rsidR="003B50ED">
        <w:rPr>
          <w:rFonts w:cstheme="minorHAnsi"/>
        </w:rPr>
        <w:t xml:space="preserve"> </w:t>
      </w:r>
      <w:r w:rsidRPr="00A26C26">
        <w:rPr>
          <w:rFonts w:cstheme="minorHAnsi"/>
        </w:rPr>
        <w:t>Celem</w:t>
      </w:r>
      <w:r w:rsidR="003B50ED">
        <w:rPr>
          <w:rFonts w:cstheme="minorHAnsi"/>
        </w:rPr>
        <w:t xml:space="preserve"> </w:t>
      </w:r>
      <w:r w:rsidRPr="00A26C26">
        <w:rPr>
          <w:rFonts w:cstheme="minorHAnsi"/>
        </w:rPr>
        <w:t>corocznych</w:t>
      </w:r>
      <w:r w:rsidR="003B50ED">
        <w:rPr>
          <w:rFonts w:cstheme="minorHAnsi"/>
        </w:rPr>
        <w:t xml:space="preserve"> </w:t>
      </w:r>
      <w:r w:rsidRPr="00A26C26">
        <w:rPr>
          <w:rFonts w:cstheme="minorHAnsi"/>
        </w:rPr>
        <w:t>obchodów</w:t>
      </w:r>
      <w:r w:rsidR="003B50ED">
        <w:rPr>
          <w:rFonts w:cstheme="minorHAnsi"/>
        </w:rPr>
        <w:t xml:space="preserve"> </w:t>
      </w:r>
      <w:r w:rsidRPr="00A26C26">
        <w:rPr>
          <w:rFonts w:cstheme="minorHAnsi"/>
        </w:rPr>
        <w:t>było</w:t>
      </w:r>
      <w:r w:rsidR="003B50ED">
        <w:rPr>
          <w:rFonts w:cstheme="minorHAnsi"/>
        </w:rPr>
        <w:t xml:space="preserve"> </w:t>
      </w:r>
      <w:r w:rsidRPr="00A26C26">
        <w:rPr>
          <w:rFonts w:cstheme="minorHAnsi"/>
        </w:rPr>
        <w:t>przybliżenie</w:t>
      </w:r>
      <w:r w:rsidR="003B50ED">
        <w:rPr>
          <w:rFonts w:cstheme="minorHAnsi"/>
        </w:rPr>
        <w:t xml:space="preserve"> </w:t>
      </w:r>
      <w:r w:rsidRPr="00A26C26">
        <w:rPr>
          <w:rFonts w:cstheme="minorHAnsi"/>
        </w:rPr>
        <w:t>przedstawicielom</w:t>
      </w:r>
      <w:r w:rsidR="003B50ED">
        <w:rPr>
          <w:rFonts w:cstheme="minorHAnsi"/>
        </w:rPr>
        <w:t xml:space="preserve"> </w:t>
      </w:r>
      <w:r w:rsidRPr="00A26C26">
        <w:rPr>
          <w:rFonts w:cstheme="minorHAnsi"/>
        </w:rPr>
        <w:t>instytucji</w:t>
      </w:r>
      <w:r w:rsidR="003B50ED">
        <w:rPr>
          <w:rFonts w:cstheme="minorHAnsi"/>
        </w:rPr>
        <w:t xml:space="preserve"> </w:t>
      </w:r>
      <w:r w:rsidRPr="00A26C26">
        <w:rPr>
          <w:rFonts w:cstheme="minorHAnsi"/>
        </w:rPr>
        <w:t>unijnych,</w:t>
      </w:r>
      <w:r w:rsidR="003B50ED">
        <w:rPr>
          <w:rFonts w:cstheme="minorHAnsi"/>
        </w:rPr>
        <w:t xml:space="preserve"> </w:t>
      </w:r>
      <w:r w:rsidRPr="00A26C26">
        <w:rPr>
          <w:rFonts w:cstheme="minorHAnsi"/>
        </w:rPr>
        <w:t>placówek</w:t>
      </w:r>
      <w:r w:rsidR="003B50ED">
        <w:rPr>
          <w:rFonts w:cstheme="minorHAnsi"/>
        </w:rPr>
        <w:t xml:space="preserve"> </w:t>
      </w:r>
      <w:r w:rsidRPr="00A26C26">
        <w:rPr>
          <w:rFonts w:cstheme="minorHAnsi"/>
        </w:rPr>
        <w:t>dyplomatycznych</w:t>
      </w:r>
      <w:r w:rsidR="003B50ED">
        <w:rPr>
          <w:rFonts w:cstheme="minorHAnsi"/>
        </w:rPr>
        <w:t xml:space="preserve"> </w:t>
      </w:r>
      <w:r w:rsidRPr="00A26C26">
        <w:rPr>
          <w:rFonts w:cstheme="minorHAnsi"/>
        </w:rPr>
        <w:t>oraz</w:t>
      </w:r>
      <w:r w:rsidR="003B50ED">
        <w:rPr>
          <w:rFonts w:cstheme="minorHAnsi"/>
        </w:rPr>
        <w:t xml:space="preserve"> </w:t>
      </w:r>
      <w:r w:rsidRPr="00A26C26">
        <w:rPr>
          <w:rFonts w:cstheme="minorHAnsi"/>
        </w:rPr>
        <w:t>europejskich</w:t>
      </w:r>
      <w:r w:rsidR="003B50ED">
        <w:rPr>
          <w:rFonts w:cstheme="minorHAnsi"/>
        </w:rPr>
        <w:t xml:space="preserve"> </w:t>
      </w:r>
      <w:r w:rsidRPr="00A26C26">
        <w:rPr>
          <w:rFonts w:cstheme="minorHAnsi"/>
        </w:rPr>
        <w:t>regionów</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miast</w:t>
      </w:r>
      <w:r w:rsidR="003B50ED">
        <w:rPr>
          <w:rFonts w:cstheme="minorHAnsi"/>
        </w:rPr>
        <w:t xml:space="preserve"> </w:t>
      </w:r>
      <w:r w:rsidRPr="00A26C26">
        <w:rPr>
          <w:rFonts w:cstheme="minorHAnsi"/>
        </w:rPr>
        <w:t>-</w:t>
      </w:r>
      <w:r w:rsidR="003B50ED">
        <w:rPr>
          <w:rFonts w:cstheme="minorHAnsi"/>
        </w:rPr>
        <w:t xml:space="preserve"> </w:t>
      </w:r>
      <w:r w:rsidRPr="00A26C26">
        <w:rPr>
          <w:rFonts w:cstheme="minorHAnsi"/>
        </w:rPr>
        <w:t>wielkopolskich</w:t>
      </w:r>
      <w:r w:rsidR="003B50ED">
        <w:rPr>
          <w:rFonts w:cstheme="minorHAnsi"/>
        </w:rPr>
        <w:t xml:space="preserve"> </w:t>
      </w:r>
      <w:r w:rsidRPr="00A26C26">
        <w:rPr>
          <w:rFonts w:cstheme="minorHAnsi"/>
        </w:rPr>
        <w:t>tradycji.</w:t>
      </w:r>
      <w:r w:rsidR="003B50ED">
        <w:rPr>
          <w:rFonts w:cstheme="minorHAnsi"/>
        </w:rPr>
        <w:t xml:space="preserve"> </w:t>
      </w:r>
    </w:p>
    <w:p w14:paraId="71E29163" w14:textId="48BBADBB" w:rsidR="002E1D7C" w:rsidRPr="00D02820" w:rsidRDefault="002E1D7C" w:rsidP="00A26C26">
      <w:pPr>
        <w:spacing w:line="276" w:lineRule="auto"/>
        <w:ind w:firstLine="284"/>
        <w:jc w:val="both"/>
        <w:rPr>
          <w:rFonts w:cstheme="minorHAnsi"/>
        </w:rPr>
      </w:pPr>
      <w:r w:rsidRPr="00D02820">
        <w:rPr>
          <w:rFonts w:cstheme="minorHAnsi"/>
        </w:rPr>
        <w:t>Stowarzyszenie</w:t>
      </w:r>
      <w:r w:rsidR="003B50ED" w:rsidRPr="00D02820">
        <w:rPr>
          <w:rFonts w:cstheme="minorHAnsi"/>
        </w:rPr>
        <w:t xml:space="preserve"> </w:t>
      </w:r>
      <w:r w:rsidRPr="00D02820">
        <w:rPr>
          <w:rFonts w:cstheme="minorHAnsi"/>
        </w:rPr>
        <w:t>udział</w:t>
      </w:r>
      <w:r w:rsidR="003B50ED" w:rsidRPr="00D02820">
        <w:rPr>
          <w:rFonts w:cstheme="minorHAnsi"/>
        </w:rPr>
        <w:t xml:space="preserve"> </w:t>
      </w:r>
      <w:r w:rsidRPr="00D02820">
        <w:rPr>
          <w:rFonts w:cstheme="minorHAnsi"/>
        </w:rPr>
        <w:t>też</w:t>
      </w:r>
      <w:r w:rsidR="003B50ED" w:rsidRPr="00D02820">
        <w:rPr>
          <w:rFonts w:cstheme="minorHAnsi"/>
        </w:rPr>
        <w:t xml:space="preserve"> </w:t>
      </w:r>
      <w:r w:rsidRPr="00D02820">
        <w:rPr>
          <w:rFonts w:cstheme="minorHAnsi"/>
        </w:rPr>
        <w:t>wzięło</w:t>
      </w:r>
      <w:r w:rsidR="003B50ED" w:rsidRPr="00D02820">
        <w:rPr>
          <w:rFonts w:cstheme="minorHAnsi"/>
        </w:rPr>
        <w:t xml:space="preserve"> </w:t>
      </w:r>
      <w:r w:rsidRPr="00D02820">
        <w:rPr>
          <w:rFonts w:cstheme="minorHAnsi"/>
        </w:rPr>
        <w:t>już</w:t>
      </w:r>
      <w:r w:rsidR="003B50ED" w:rsidRPr="00D02820">
        <w:rPr>
          <w:rFonts w:cstheme="minorHAnsi"/>
        </w:rPr>
        <w:t xml:space="preserve"> </w:t>
      </w:r>
      <w:r w:rsidRPr="00D02820">
        <w:rPr>
          <w:rFonts w:cstheme="minorHAnsi"/>
        </w:rPr>
        <w:t>dwa</w:t>
      </w:r>
      <w:r w:rsidR="003B50ED" w:rsidRPr="00D02820">
        <w:rPr>
          <w:rFonts w:cstheme="minorHAnsi"/>
        </w:rPr>
        <w:t xml:space="preserve"> </w:t>
      </w:r>
      <w:r w:rsidRPr="00D02820">
        <w:rPr>
          <w:rFonts w:cstheme="minorHAnsi"/>
        </w:rPr>
        <w:t>razy</w:t>
      </w:r>
      <w:r w:rsidR="003B50ED" w:rsidRPr="00D02820">
        <w:rPr>
          <w:rFonts w:cstheme="minorHAnsi"/>
        </w:rPr>
        <w:t xml:space="preserve"> </w:t>
      </w:r>
      <w:r w:rsidRPr="00D02820">
        <w:rPr>
          <w:rFonts w:cstheme="minorHAnsi"/>
        </w:rPr>
        <w:t>(rok</w:t>
      </w:r>
      <w:r w:rsidR="003B50ED" w:rsidRPr="00D02820">
        <w:rPr>
          <w:rFonts w:cstheme="minorHAnsi"/>
        </w:rPr>
        <w:t xml:space="preserve"> </w:t>
      </w:r>
      <w:r w:rsidRPr="00D02820">
        <w:rPr>
          <w:rFonts w:cstheme="minorHAnsi"/>
        </w:rPr>
        <w:t>po</w:t>
      </w:r>
      <w:r w:rsidR="003B50ED" w:rsidRPr="00D02820">
        <w:rPr>
          <w:rFonts w:cstheme="minorHAnsi"/>
        </w:rPr>
        <w:t xml:space="preserve"> </w:t>
      </w:r>
      <w:r w:rsidRPr="00D02820">
        <w:rPr>
          <w:rFonts w:cstheme="minorHAnsi"/>
        </w:rPr>
        <w:t>roku)</w:t>
      </w:r>
      <w:r w:rsidR="003B50ED" w:rsidRPr="00D02820">
        <w:rPr>
          <w:rFonts w:cstheme="minorHAnsi"/>
        </w:rPr>
        <w:t xml:space="preserve"> </w:t>
      </w:r>
      <w:r w:rsidRPr="00D02820">
        <w:rPr>
          <w:rFonts w:cstheme="minorHAnsi"/>
        </w:rPr>
        <w:t>w</w:t>
      </w:r>
      <w:r w:rsidR="003B50ED" w:rsidRPr="00D02820">
        <w:rPr>
          <w:rFonts w:cstheme="minorHAnsi"/>
        </w:rPr>
        <w:t xml:space="preserve"> </w:t>
      </w:r>
      <w:r w:rsidRPr="00D02820">
        <w:rPr>
          <w:rFonts w:cstheme="minorHAnsi"/>
        </w:rPr>
        <w:t>wizycie</w:t>
      </w:r>
      <w:r w:rsidR="003B50ED" w:rsidRPr="00D02820">
        <w:rPr>
          <w:rFonts w:cstheme="minorHAnsi"/>
        </w:rPr>
        <w:t xml:space="preserve"> </w:t>
      </w:r>
      <w:r w:rsidRPr="00D02820">
        <w:rPr>
          <w:rFonts w:cstheme="minorHAnsi"/>
        </w:rPr>
        <w:t>studyjnej</w:t>
      </w:r>
      <w:r w:rsidR="003B50ED" w:rsidRPr="00D02820">
        <w:rPr>
          <w:rFonts w:cstheme="minorHAnsi"/>
        </w:rPr>
        <w:t xml:space="preserve"> </w:t>
      </w:r>
      <w:r w:rsidRPr="00D02820">
        <w:rPr>
          <w:rFonts w:cstheme="minorHAnsi"/>
        </w:rPr>
        <w:t>w</w:t>
      </w:r>
      <w:r w:rsidR="003B50ED" w:rsidRPr="00D02820">
        <w:rPr>
          <w:rFonts w:cstheme="minorHAnsi"/>
        </w:rPr>
        <w:t xml:space="preserve"> </w:t>
      </w:r>
      <w:r w:rsidRPr="00D02820">
        <w:rPr>
          <w:rFonts w:cstheme="minorHAnsi"/>
        </w:rPr>
        <w:t>ramach</w:t>
      </w:r>
      <w:r w:rsidR="003B50ED" w:rsidRPr="00D02820">
        <w:rPr>
          <w:rFonts w:cstheme="minorHAnsi"/>
        </w:rPr>
        <w:t xml:space="preserve"> </w:t>
      </w:r>
      <w:r w:rsidRPr="00D02820">
        <w:rPr>
          <w:rFonts w:cstheme="minorHAnsi"/>
        </w:rPr>
        <w:t>operacji</w:t>
      </w:r>
      <w:r w:rsidR="003B50ED" w:rsidRPr="00D02820">
        <w:rPr>
          <w:rFonts w:cstheme="minorHAnsi"/>
        </w:rPr>
        <w:t xml:space="preserve"> </w:t>
      </w:r>
      <w:r w:rsidRPr="00D02820">
        <w:rPr>
          <w:rFonts w:cstheme="minorHAnsi"/>
        </w:rPr>
        <w:t>pod</w:t>
      </w:r>
      <w:r w:rsidR="003B50ED" w:rsidRPr="00D02820">
        <w:rPr>
          <w:rFonts w:cstheme="minorHAnsi"/>
        </w:rPr>
        <w:t xml:space="preserve"> </w:t>
      </w:r>
      <w:r w:rsidRPr="00D02820">
        <w:rPr>
          <w:rFonts w:cstheme="minorHAnsi"/>
        </w:rPr>
        <w:t>nazwą</w:t>
      </w:r>
      <w:r w:rsidR="003B50ED" w:rsidRPr="00D02820">
        <w:rPr>
          <w:rFonts w:cstheme="minorHAnsi"/>
        </w:rPr>
        <w:t xml:space="preserve"> </w:t>
      </w:r>
      <w:r w:rsidRPr="00D02820">
        <w:rPr>
          <w:rFonts w:cstheme="minorHAnsi"/>
        </w:rPr>
        <w:t>„Wymiana</w:t>
      </w:r>
      <w:r w:rsidR="003B50ED" w:rsidRPr="00D02820">
        <w:rPr>
          <w:rFonts w:cstheme="minorHAnsi"/>
        </w:rPr>
        <w:t xml:space="preserve"> </w:t>
      </w:r>
      <w:r w:rsidRPr="00D02820">
        <w:rPr>
          <w:rFonts w:cstheme="minorHAnsi"/>
        </w:rPr>
        <w:t>doświadczeń</w:t>
      </w:r>
      <w:r w:rsidR="003B50ED" w:rsidRPr="00D02820">
        <w:rPr>
          <w:rFonts w:cstheme="minorHAnsi"/>
        </w:rPr>
        <w:t xml:space="preserve"> </w:t>
      </w:r>
      <w:r w:rsidRPr="00D02820">
        <w:rPr>
          <w:rFonts w:cstheme="minorHAnsi"/>
        </w:rPr>
        <w:t>między</w:t>
      </w:r>
      <w:r w:rsidR="003B50ED" w:rsidRPr="00D02820">
        <w:rPr>
          <w:rFonts w:cstheme="minorHAnsi"/>
        </w:rPr>
        <w:t xml:space="preserve"> </w:t>
      </w:r>
      <w:r w:rsidR="000B603C" w:rsidRPr="00D02820">
        <w:rPr>
          <w:rFonts w:cstheme="minorHAnsi"/>
        </w:rPr>
        <w:t xml:space="preserve">lokalnymi grupami działania </w:t>
      </w:r>
      <w:r w:rsidRPr="00D02820">
        <w:rPr>
          <w:rFonts w:cstheme="minorHAnsi"/>
        </w:rPr>
        <w:t>szansą</w:t>
      </w:r>
      <w:r w:rsidR="003B50ED" w:rsidRPr="00D02820">
        <w:rPr>
          <w:rFonts w:cstheme="minorHAnsi"/>
        </w:rPr>
        <w:t xml:space="preserve"> </w:t>
      </w:r>
      <w:r w:rsidRPr="00D02820">
        <w:rPr>
          <w:rFonts w:cstheme="minorHAnsi"/>
        </w:rPr>
        <w:t>na</w:t>
      </w:r>
      <w:r w:rsidR="003B50ED" w:rsidRPr="00D02820">
        <w:rPr>
          <w:rFonts w:cstheme="minorHAnsi"/>
        </w:rPr>
        <w:t xml:space="preserve"> </w:t>
      </w:r>
      <w:r w:rsidRPr="00D02820">
        <w:rPr>
          <w:rFonts w:cstheme="minorHAnsi"/>
        </w:rPr>
        <w:t>rozwój</w:t>
      </w:r>
      <w:r w:rsidR="003B50ED" w:rsidRPr="00D02820">
        <w:rPr>
          <w:rFonts w:cstheme="minorHAnsi"/>
        </w:rPr>
        <w:t xml:space="preserve"> </w:t>
      </w:r>
      <w:r w:rsidRPr="00D02820">
        <w:rPr>
          <w:rFonts w:cstheme="minorHAnsi"/>
        </w:rPr>
        <w:t>obszarów</w:t>
      </w:r>
      <w:r w:rsidR="003B50ED" w:rsidRPr="00D02820">
        <w:rPr>
          <w:rFonts w:cstheme="minorHAnsi"/>
        </w:rPr>
        <w:t xml:space="preserve"> </w:t>
      </w:r>
      <w:r w:rsidRPr="00D02820">
        <w:rPr>
          <w:rFonts w:cstheme="minorHAnsi"/>
        </w:rPr>
        <w:t>wiejskich”</w:t>
      </w:r>
      <w:r w:rsidR="003B50ED" w:rsidRPr="00D02820">
        <w:rPr>
          <w:rFonts w:cstheme="minorHAnsi"/>
        </w:rPr>
        <w:t xml:space="preserve"> </w:t>
      </w:r>
      <w:r w:rsidRPr="00D02820">
        <w:rPr>
          <w:rFonts w:cstheme="minorHAnsi"/>
        </w:rPr>
        <w:t>współfinansowaną</w:t>
      </w:r>
      <w:r w:rsidR="003B50ED" w:rsidRPr="00D02820">
        <w:rPr>
          <w:rFonts w:cstheme="minorHAnsi"/>
        </w:rPr>
        <w:t xml:space="preserve"> </w:t>
      </w:r>
      <w:r w:rsidRPr="00D02820">
        <w:rPr>
          <w:rFonts w:cstheme="minorHAnsi"/>
        </w:rPr>
        <w:t>ze</w:t>
      </w:r>
      <w:r w:rsidR="003B50ED" w:rsidRPr="00D02820">
        <w:rPr>
          <w:rFonts w:cstheme="minorHAnsi"/>
        </w:rPr>
        <w:t xml:space="preserve"> </w:t>
      </w:r>
      <w:r w:rsidRPr="00D02820">
        <w:rPr>
          <w:rFonts w:cstheme="minorHAnsi"/>
        </w:rPr>
        <w:t>środków</w:t>
      </w:r>
      <w:r w:rsidR="003B50ED" w:rsidRPr="00D02820">
        <w:rPr>
          <w:rFonts w:cstheme="minorHAnsi"/>
        </w:rPr>
        <w:t xml:space="preserve"> </w:t>
      </w:r>
      <w:r w:rsidRPr="00D02820">
        <w:rPr>
          <w:rFonts w:cstheme="minorHAnsi"/>
        </w:rPr>
        <w:t>Unii</w:t>
      </w:r>
      <w:r w:rsidR="003B50ED" w:rsidRPr="00D02820">
        <w:rPr>
          <w:rFonts w:cstheme="minorHAnsi"/>
        </w:rPr>
        <w:t xml:space="preserve"> </w:t>
      </w:r>
      <w:r w:rsidRPr="00D02820">
        <w:rPr>
          <w:rFonts w:cstheme="minorHAnsi"/>
        </w:rPr>
        <w:t>Europejskiej</w:t>
      </w:r>
      <w:r w:rsidR="003B50ED" w:rsidRPr="00D02820">
        <w:rPr>
          <w:rFonts w:cstheme="minorHAnsi"/>
        </w:rPr>
        <w:t xml:space="preserve"> </w:t>
      </w:r>
      <w:r w:rsidRPr="00D02820">
        <w:rPr>
          <w:rFonts w:cstheme="minorHAnsi"/>
        </w:rPr>
        <w:t>w</w:t>
      </w:r>
      <w:r w:rsidR="003B50ED" w:rsidRPr="00D02820">
        <w:rPr>
          <w:rFonts w:cstheme="minorHAnsi"/>
        </w:rPr>
        <w:t xml:space="preserve"> </w:t>
      </w:r>
      <w:r w:rsidRPr="00D02820">
        <w:rPr>
          <w:rFonts w:cstheme="minorHAnsi"/>
        </w:rPr>
        <w:t>ramach</w:t>
      </w:r>
      <w:r w:rsidR="003B50ED" w:rsidRPr="00D02820">
        <w:rPr>
          <w:rFonts w:cstheme="minorHAnsi"/>
        </w:rPr>
        <w:t xml:space="preserve"> </w:t>
      </w:r>
      <w:r w:rsidRPr="00D02820">
        <w:rPr>
          <w:rFonts w:cstheme="minorHAnsi"/>
        </w:rPr>
        <w:t>Schematu</w:t>
      </w:r>
      <w:r w:rsidR="003B50ED" w:rsidRPr="00D02820">
        <w:rPr>
          <w:rFonts w:cstheme="minorHAnsi"/>
        </w:rPr>
        <w:t xml:space="preserve"> </w:t>
      </w:r>
      <w:r w:rsidRPr="00D02820">
        <w:rPr>
          <w:rFonts w:cstheme="minorHAnsi"/>
        </w:rPr>
        <w:t>II</w:t>
      </w:r>
      <w:r w:rsidR="003B50ED" w:rsidRPr="00D02820">
        <w:rPr>
          <w:rFonts w:cstheme="minorHAnsi"/>
        </w:rPr>
        <w:t xml:space="preserve"> </w:t>
      </w:r>
      <w:r w:rsidRPr="00D02820">
        <w:rPr>
          <w:rFonts w:cstheme="minorHAnsi"/>
        </w:rPr>
        <w:t>Pomocy</w:t>
      </w:r>
      <w:r w:rsidR="003B50ED" w:rsidRPr="00D02820">
        <w:rPr>
          <w:rFonts w:cstheme="minorHAnsi"/>
        </w:rPr>
        <w:t xml:space="preserve"> </w:t>
      </w:r>
      <w:r w:rsidRPr="00D02820">
        <w:rPr>
          <w:rFonts w:cstheme="minorHAnsi"/>
        </w:rPr>
        <w:t>Technicznej</w:t>
      </w:r>
      <w:r w:rsidR="003B50ED" w:rsidRPr="00D02820">
        <w:rPr>
          <w:rFonts w:cstheme="minorHAnsi"/>
        </w:rPr>
        <w:t xml:space="preserve"> </w:t>
      </w:r>
      <w:r w:rsidRPr="00D02820">
        <w:rPr>
          <w:rFonts w:cstheme="minorHAnsi"/>
        </w:rPr>
        <w:t>„Krajowa</w:t>
      </w:r>
      <w:r w:rsidR="003B50ED" w:rsidRPr="00D02820">
        <w:rPr>
          <w:rFonts w:cstheme="minorHAnsi"/>
        </w:rPr>
        <w:t xml:space="preserve"> </w:t>
      </w:r>
      <w:r w:rsidRPr="00D02820">
        <w:rPr>
          <w:rFonts w:cstheme="minorHAnsi"/>
        </w:rPr>
        <w:t>Sieć</w:t>
      </w:r>
      <w:r w:rsidR="003B50ED" w:rsidRPr="00D02820">
        <w:rPr>
          <w:rFonts w:cstheme="minorHAnsi"/>
        </w:rPr>
        <w:t xml:space="preserve"> </w:t>
      </w:r>
      <w:r w:rsidRPr="00D02820">
        <w:rPr>
          <w:rFonts w:cstheme="minorHAnsi"/>
        </w:rPr>
        <w:t>Obszarów</w:t>
      </w:r>
      <w:r w:rsidR="003B50ED" w:rsidRPr="00D02820">
        <w:rPr>
          <w:rFonts w:cstheme="minorHAnsi"/>
        </w:rPr>
        <w:t xml:space="preserve"> </w:t>
      </w:r>
      <w:r w:rsidRPr="00D02820">
        <w:rPr>
          <w:rFonts w:cstheme="minorHAnsi"/>
        </w:rPr>
        <w:t>Wiejskich”</w:t>
      </w:r>
      <w:r w:rsidR="003B50ED" w:rsidRPr="00D02820">
        <w:rPr>
          <w:rFonts w:cstheme="minorHAnsi"/>
        </w:rPr>
        <w:t xml:space="preserve"> </w:t>
      </w:r>
      <w:r w:rsidRPr="00D02820">
        <w:rPr>
          <w:rFonts w:cstheme="minorHAnsi"/>
        </w:rPr>
        <w:t>Programu</w:t>
      </w:r>
      <w:r w:rsidR="003B50ED" w:rsidRPr="00D02820">
        <w:rPr>
          <w:rFonts w:cstheme="minorHAnsi"/>
        </w:rPr>
        <w:t xml:space="preserve"> </w:t>
      </w:r>
      <w:r w:rsidRPr="00D02820">
        <w:rPr>
          <w:rFonts w:cstheme="minorHAnsi"/>
        </w:rPr>
        <w:t>Rozwoju</w:t>
      </w:r>
      <w:r w:rsidR="003B50ED" w:rsidRPr="00D02820">
        <w:rPr>
          <w:rFonts w:cstheme="minorHAnsi"/>
        </w:rPr>
        <w:t xml:space="preserve"> </w:t>
      </w:r>
      <w:r w:rsidRPr="00D02820">
        <w:rPr>
          <w:rFonts w:cstheme="minorHAnsi"/>
        </w:rPr>
        <w:t>Obszarów</w:t>
      </w:r>
      <w:r w:rsidR="003B50ED" w:rsidRPr="00D02820">
        <w:rPr>
          <w:rFonts w:cstheme="minorHAnsi"/>
        </w:rPr>
        <w:t xml:space="preserve"> </w:t>
      </w:r>
      <w:r w:rsidRPr="00D02820">
        <w:rPr>
          <w:rFonts w:cstheme="minorHAnsi"/>
        </w:rPr>
        <w:t>Wiejskich</w:t>
      </w:r>
      <w:r w:rsidR="003B50ED" w:rsidRPr="00D02820">
        <w:rPr>
          <w:rFonts w:cstheme="minorHAnsi"/>
        </w:rPr>
        <w:t xml:space="preserve"> </w:t>
      </w:r>
      <w:r w:rsidRPr="00D02820">
        <w:rPr>
          <w:rFonts w:cstheme="minorHAnsi"/>
        </w:rPr>
        <w:t>na</w:t>
      </w:r>
      <w:r w:rsidR="003B50ED" w:rsidRPr="00D02820">
        <w:rPr>
          <w:rFonts w:cstheme="minorHAnsi"/>
        </w:rPr>
        <w:t xml:space="preserve"> </w:t>
      </w:r>
      <w:r w:rsidRPr="00D02820">
        <w:rPr>
          <w:rFonts w:cstheme="minorHAnsi"/>
        </w:rPr>
        <w:t>lata</w:t>
      </w:r>
      <w:r w:rsidR="003B50ED" w:rsidRPr="00D02820">
        <w:rPr>
          <w:rFonts w:cstheme="minorHAnsi"/>
        </w:rPr>
        <w:t xml:space="preserve"> </w:t>
      </w:r>
      <w:r w:rsidRPr="00D02820">
        <w:rPr>
          <w:rFonts w:cstheme="minorHAnsi"/>
        </w:rPr>
        <w:t>2014-2020”.</w:t>
      </w:r>
      <w:r w:rsidR="003B50ED" w:rsidRPr="00D02820">
        <w:rPr>
          <w:rFonts w:cstheme="minorHAnsi"/>
        </w:rPr>
        <w:t xml:space="preserve"> </w:t>
      </w:r>
    </w:p>
    <w:p w14:paraId="1CD387A6" w14:textId="6507066D" w:rsidR="002E1D7C" w:rsidRPr="00A26C26" w:rsidRDefault="002E1D7C" w:rsidP="00A26C26">
      <w:pPr>
        <w:spacing w:line="276" w:lineRule="auto"/>
        <w:ind w:firstLine="284"/>
        <w:jc w:val="both"/>
        <w:rPr>
          <w:rFonts w:cstheme="minorHAnsi"/>
        </w:rPr>
      </w:pPr>
      <w:r w:rsidRPr="00A26C26">
        <w:rPr>
          <w:rFonts w:cstheme="minorHAnsi"/>
        </w:rPr>
        <w:t>Jednocześnie</w:t>
      </w:r>
      <w:r w:rsidR="003B50ED">
        <w:rPr>
          <w:rFonts w:cstheme="minorHAnsi"/>
        </w:rPr>
        <w:t xml:space="preserve"> </w:t>
      </w:r>
      <w:r w:rsidRPr="00A26C26">
        <w:rPr>
          <w:rFonts w:cstheme="minorHAnsi"/>
        </w:rPr>
        <w:t>Stowarzyszenie</w:t>
      </w:r>
      <w:r w:rsidR="003B50ED">
        <w:rPr>
          <w:rFonts w:cstheme="minorHAnsi"/>
        </w:rPr>
        <w:t xml:space="preserve"> </w:t>
      </w:r>
      <w:r w:rsidRPr="00A26C26">
        <w:rPr>
          <w:rFonts w:cstheme="minorHAnsi"/>
        </w:rPr>
        <w:t>organizowało</w:t>
      </w:r>
      <w:r w:rsidR="003B50ED">
        <w:rPr>
          <w:rFonts w:cstheme="minorHAnsi"/>
        </w:rPr>
        <w:t xml:space="preserve"> </w:t>
      </w:r>
      <w:r w:rsidRPr="00A26C26">
        <w:rPr>
          <w:rFonts w:cstheme="minorHAnsi"/>
        </w:rPr>
        <w:t>istotne</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punktu</w:t>
      </w:r>
      <w:r w:rsidR="003B50ED">
        <w:rPr>
          <w:rFonts w:cstheme="minorHAnsi"/>
        </w:rPr>
        <w:t xml:space="preserve"> </w:t>
      </w:r>
      <w:r w:rsidRPr="00A26C26">
        <w:rPr>
          <w:rFonts w:cstheme="minorHAnsi"/>
        </w:rPr>
        <w:t>widzenia</w:t>
      </w:r>
      <w:r w:rsidR="003B50ED">
        <w:rPr>
          <w:rFonts w:cstheme="minorHAnsi"/>
        </w:rPr>
        <w:t xml:space="preserve"> </w:t>
      </w:r>
      <w:r w:rsidRPr="00A26C26">
        <w:rPr>
          <w:rFonts w:cstheme="minorHAnsi"/>
        </w:rPr>
        <w:t>prowadzonej</w:t>
      </w:r>
      <w:r w:rsidR="003B50ED">
        <w:rPr>
          <w:rFonts w:cstheme="minorHAnsi"/>
        </w:rPr>
        <w:t xml:space="preserve"> </w:t>
      </w:r>
      <w:r w:rsidRPr="00A26C26">
        <w:rPr>
          <w:rFonts w:cstheme="minorHAnsi"/>
        </w:rPr>
        <w:t>działalności</w:t>
      </w:r>
      <w:r w:rsidR="003B50ED">
        <w:rPr>
          <w:rFonts w:cstheme="minorHAnsi"/>
        </w:rPr>
        <w:t xml:space="preserve"> </w:t>
      </w:r>
      <w:r w:rsidRPr="00A26C26">
        <w:rPr>
          <w:rFonts w:cstheme="minorHAnsi"/>
        </w:rPr>
        <w:t>kursy</w:t>
      </w:r>
      <w:r w:rsidR="003B50ED">
        <w:rPr>
          <w:rFonts w:cstheme="minorHAnsi"/>
        </w:rPr>
        <w:t xml:space="preserve"> </w:t>
      </w:r>
      <w:r w:rsidRPr="00A26C26">
        <w:rPr>
          <w:rFonts w:cstheme="minorHAnsi"/>
        </w:rPr>
        <w:t>lub</w:t>
      </w:r>
      <w:r w:rsidR="003B50ED">
        <w:rPr>
          <w:rFonts w:cstheme="minorHAnsi"/>
        </w:rPr>
        <w:t xml:space="preserve"> </w:t>
      </w:r>
      <w:r w:rsidRPr="00A26C26">
        <w:rPr>
          <w:rFonts w:cstheme="minorHAnsi"/>
        </w:rPr>
        <w:t>szkolenia</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biurze</w:t>
      </w:r>
      <w:r w:rsidR="003B50ED">
        <w:rPr>
          <w:rFonts w:cstheme="minorHAnsi"/>
        </w:rPr>
        <w:t xml:space="preserve"> </w:t>
      </w:r>
      <w:r w:rsidRPr="00A26C26">
        <w:rPr>
          <w:rFonts w:cstheme="minorHAnsi"/>
        </w:rPr>
        <w:t>LGD</w:t>
      </w:r>
      <w:r w:rsidR="003B50ED">
        <w:rPr>
          <w:rFonts w:cstheme="minorHAnsi"/>
        </w:rPr>
        <w:t xml:space="preserve"> </w:t>
      </w:r>
      <w:r w:rsidRPr="00A26C26">
        <w:rPr>
          <w:rFonts w:cstheme="minorHAnsi"/>
        </w:rPr>
        <w:t>dla</w:t>
      </w:r>
      <w:r w:rsidR="003B50ED">
        <w:rPr>
          <w:rFonts w:cstheme="minorHAnsi"/>
        </w:rPr>
        <w:t xml:space="preserve"> </w:t>
      </w:r>
      <w:r w:rsidRPr="00A26C26">
        <w:rPr>
          <w:rFonts w:cstheme="minorHAnsi"/>
        </w:rPr>
        <w:t>mieszkańców</w:t>
      </w:r>
      <w:r w:rsidR="003B50ED">
        <w:rPr>
          <w:rFonts w:cstheme="minorHAnsi"/>
        </w:rPr>
        <w:t xml:space="preserve"> </w:t>
      </w:r>
      <w:r w:rsidRPr="00A26C26">
        <w:rPr>
          <w:rFonts w:cstheme="minorHAnsi"/>
        </w:rPr>
        <w:t>oraz</w:t>
      </w:r>
      <w:r w:rsidR="003B50ED">
        <w:rPr>
          <w:rFonts w:cstheme="minorHAnsi"/>
        </w:rPr>
        <w:t xml:space="preserve"> </w:t>
      </w:r>
      <w:r w:rsidRPr="00A26C26">
        <w:rPr>
          <w:rFonts w:cstheme="minorHAnsi"/>
        </w:rPr>
        <w:t>przedstawicieli</w:t>
      </w:r>
      <w:r w:rsidR="003B50ED">
        <w:rPr>
          <w:rFonts w:cstheme="minorHAnsi"/>
        </w:rPr>
        <w:t xml:space="preserve"> </w:t>
      </w:r>
      <w:r w:rsidRPr="00A26C26">
        <w:rPr>
          <w:rFonts w:cstheme="minorHAnsi"/>
        </w:rPr>
        <w:t>organizacji</w:t>
      </w:r>
      <w:r w:rsidR="003B50ED">
        <w:rPr>
          <w:rFonts w:cstheme="minorHAnsi"/>
        </w:rPr>
        <w:t xml:space="preserve"> </w:t>
      </w:r>
      <w:r w:rsidRPr="00A26C26">
        <w:rPr>
          <w:rFonts w:cstheme="minorHAnsi"/>
        </w:rPr>
        <w:t>pozarządowych</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obszaru</w:t>
      </w:r>
      <w:r w:rsidR="003B50ED">
        <w:rPr>
          <w:rFonts w:cstheme="minorHAnsi"/>
        </w:rPr>
        <w:t xml:space="preserve"> </w:t>
      </w:r>
      <w:r w:rsidR="00EA772B">
        <w:rPr>
          <w:rFonts w:cstheme="minorHAnsi"/>
        </w:rPr>
        <w:t xml:space="preserve">objętego LSR </w:t>
      </w:r>
      <w:r w:rsidRPr="00A26C26">
        <w:rPr>
          <w:rFonts w:cstheme="minorHAnsi"/>
        </w:rPr>
        <w:t>(m.in.</w:t>
      </w:r>
      <w:r w:rsidR="003B50ED">
        <w:rPr>
          <w:rFonts w:cstheme="minorHAnsi"/>
        </w:rPr>
        <w:t xml:space="preserve"> </w:t>
      </w:r>
      <w:r w:rsidRPr="00A26C26">
        <w:rPr>
          <w:rFonts w:cstheme="minorHAnsi"/>
        </w:rPr>
        <w:t>szkolenia</w:t>
      </w:r>
      <w:r w:rsidR="003B50ED">
        <w:rPr>
          <w:rFonts w:cstheme="minorHAnsi"/>
        </w:rPr>
        <w:t xml:space="preserve"> </w:t>
      </w:r>
      <w:r w:rsidRPr="00A26C26">
        <w:rPr>
          <w:rFonts w:cstheme="minorHAnsi"/>
        </w:rPr>
        <w:t>dotyczyły</w:t>
      </w:r>
      <w:r w:rsidR="003B50ED">
        <w:rPr>
          <w:rFonts w:cstheme="minorHAnsi"/>
        </w:rPr>
        <w:t xml:space="preserve"> </w:t>
      </w:r>
      <w:r w:rsidRPr="00A26C26">
        <w:rPr>
          <w:rFonts w:cstheme="minorHAnsi"/>
        </w:rPr>
        <w:t>ochrony</w:t>
      </w:r>
      <w:r w:rsidR="003B50ED">
        <w:rPr>
          <w:rFonts w:cstheme="minorHAnsi"/>
        </w:rPr>
        <w:t xml:space="preserve"> </w:t>
      </w:r>
      <w:r w:rsidRPr="00A26C26">
        <w:rPr>
          <w:rFonts w:cstheme="minorHAnsi"/>
        </w:rPr>
        <w:t>danych</w:t>
      </w:r>
      <w:r w:rsidR="003B50ED">
        <w:rPr>
          <w:rFonts w:cstheme="minorHAnsi"/>
        </w:rPr>
        <w:t xml:space="preserve"> </w:t>
      </w:r>
      <w:r w:rsidRPr="00A26C26">
        <w:rPr>
          <w:rFonts w:cstheme="minorHAnsi"/>
        </w:rPr>
        <w:t>osobowych,</w:t>
      </w:r>
      <w:r w:rsidR="003B50ED">
        <w:rPr>
          <w:rFonts w:cstheme="minorHAnsi"/>
        </w:rPr>
        <w:t xml:space="preserve"> </w:t>
      </w:r>
      <w:r w:rsidRPr="00A26C26">
        <w:rPr>
          <w:rFonts w:cstheme="minorHAnsi"/>
        </w:rPr>
        <w:t>zarządzania</w:t>
      </w:r>
      <w:r w:rsidR="003B50ED">
        <w:rPr>
          <w:rFonts w:cstheme="minorHAnsi"/>
        </w:rPr>
        <w:t xml:space="preserve"> </w:t>
      </w:r>
      <w:r w:rsidRPr="00A26C26">
        <w:rPr>
          <w:rFonts w:cstheme="minorHAnsi"/>
        </w:rPr>
        <w:t>organizacją,</w:t>
      </w:r>
      <w:r w:rsidR="003B50ED">
        <w:rPr>
          <w:rFonts w:cstheme="minorHAnsi"/>
        </w:rPr>
        <w:t xml:space="preserve"> </w:t>
      </w:r>
      <w:r w:rsidRPr="00A26C26">
        <w:rPr>
          <w:rFonts w:cstheme="minorHAnsi"/>
        </w:rPr>
        <w:t>kursów</w:t>
      </w:r>
      <w:r w:rsidR="003B50ED">
        <w:rPr>
          <w:rFonts w:cstheme="minorHAnsi"/>
        </w:rPr>
        <w:t xml:space="preserve"> </w:t>
      </w:r>
      <w:r w:rsidRPr="00A26C26">
        <w:rPr>
          <w:rFonts w:cstheme="minorHAnsi"/>
        </w:rPr>
        <w:t>komputerowych,</w:t>
      </w:r>
      <w:r w:rsidR="003B50ED">
        <w:rPr>
          <w:rFonts w:cstheme="minorHAnsi"/>
        </w:rPr>
        <w:t xml:space="preserve"> </w:t>
      </w:r>
      <w:r w:rsidRPr="00A26C26">
        <w:rPr>
          <w:rFonts w:cstheme="minorHAnsi"/>
        </w:rPr>
        <w:t>językowych).</w:t>
      </w:r>
    </w:p>
    <w:p w14:paraId="3851DCCC" w14:textId="2892CB45" w:rsidR="0027018D" w:rsidRPr="00A26C26" w:rsidRDefault="0027018D" w:rsidP="00A26C26">
      <w:pPr>
        <w:spacing w:line="276" w:lineRule="auto"/>
        <w:jc w:val="both"/>
        <w:rPr>
          <w:rFonts w:cstheme="minorHAnsi"/>
        </w:rPr>
      </w:pPr>
      <w:r w:rsidRPr="00A26C26">
        <w:rPr>
          <w:rFonts w:cstheme="minorHAnsi"/>
        </w:rPr>
        <w:t>Na</w:t>
      </w:r>
      <w:r w:rsidR="003B50ED">
        <w:rPr>
          <w:rFonts w:cstheme="minorHAnsi"/>
        </w:rPr>
        <w:t xml:space="preserve"> </w:t>
      </w:r>
      <w:r w:rsidRPr="00A26C26">
        <w:rPr>
          <w:rFonts w:cstheme="minorHAnsi"/>
        </w:rPr>
        <w:t>zaproszenie</w:t>
      </w:r>
      <w:r w:rsidR="003B50ED">
        <w:rPr>
          <w:rFonts w:cstheme="minorHAnsi"/>
        </w:rPr>
        <w:t xml:space="preserve"> </w:t>
      </w:r>
      <w:r w:rsidRPr="00A26C26">
        <w:rPr>
          <w:rFonts w:cstheme="minorHAnsi"/>
        </w:rPr>
        <w:t>SWW</w:t>
      </w:r>
      <w:r w:rsidR="003B50ED">
        <w:rPr>
          <w:rFonts w:cstheme="minorHAnsi"/>
        </w:rPr>
        <w:t xml:space="preserve"> </w:t>
      </w:r>
      <w:r w:rsidRPr="00A26C26">
        <w:rPr>
          <w:rFonts w:cstheme="minorHAnsi"/>
        </w:rPr>
        <w:t>Stowarzyszenie</w:t>
      </w:r>
      <w:r w:rsidR="003B50ED">
        <w:rPr>
          <w:rFonts w:cstheme="minorHAnsi"/>
        </w:rPr>
        <w:t xml:space="preserve"> </w:t>
      </w:r>
      <w:r w:rsidRPr="00A26C26">
        <w:rPr>
          <w:rFonts w:cstheme="minorHAnsi"/>
        </w:rPr>
        <w:t>uczestniczyło</w:t>
      </w:r>
      <w:r w:rsidR="003B50ED">
        <w:rPr>
          <w:rFonts w:cstheme="minorHAnsi"/>
        </w:rPr>
        <w:t xml:space="preserve"> </w:t>
      </w:r>
      <w:r w:rsidRPr="00A26C26">
        <w:rPr>
          <w:rFonts w:cstheme="minorHAnsi"/>
        </w:rPr>
        <w:t>dwukrotnie</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Dożynkach</w:t>
      </w:r>
      <w:r w:rsidR="003B50ED">
        <w:rPr>
          <w:rFonts w:cstheme="minorHAnsi"/>
        </w:rPr>
        <w:t xml:space="preserve"> </w:t>
      </w:r>
      <w:r w:rsidRPr="00A26C26">
        <w:rPr>
          <w:rFonts w:cstheme="minorHAnsi"/>
        </w:rPr>
        <w:t>Prezydenckich</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Spale,</w:t>
      </w:r>
      <w:r w:rsidR="003B50ED">
        <w:rPr>
          <w:rFonts w:cstheme="minorHAnsi"/>
        </w:rPr>
        <w:t xml:space="preserve"> </w:t>
      </w:r>
      <w:r w:rsidRPr="00A26C26">
        <w:rPr>
          <w:rFonts w:cstheme="minorHAnsi"/>
        </w:rPr>
        <w:t>gdzie</w:t>
      </w:r>
      <w:r w:rsidR="003B50ED">
        <w:rPr>
          <w:rFonts w:cstheme="minorHAnsi"/>
        </w:rPr>
        <w:t xml:space="preserve"> </w:t>
      </w:r>
      <w:r w:rsidRPr="00A26C26">
        <w:rPr>
          <w:rFonts w:cstheme="minorHAnsi"/>
        </w:rPr>
        <w:t>promowało</w:t>
      </w:r>
      <w:r w:rsidR="003B50ED">
        <w:rPr>
          <w:rFonts w:cstheme="minorHAnsi"/>
        </w:rPr>
        <w:t xml:space="preserve"> </w:t>
      </w:r>
      <w:r w:rsidRPr="00A26C26">
        <w:rPr>
          <w:rFonts w:cstheme="minorHAnsi"/>
        </w:rPr>
        <w:t>Wielkopolskę</w:t>
      </w:r>
      <w:r w:rsidR="003B50ED">
        <w:rPr>
          <w:rFonts w:cstheme="minorHAnsi"/>
        </w:rPr>
        <w:t xml:space="preserve"> </w:t>
      </w:r>
      <w:r w:rsidRPr="00A26C26">
        <w:rPr>
          <w:rFonts w:cstheme="minorHAnsi"/>
        </w:rPr>
        <w:t>oraz</w:t>
      </w:r>
      <w:r w:rsidR="003B50ED">
        <w:rPr>
          <w:rFonts w:cstheme="minorHAnsi"/>
        </w:rPr>
        <w:t xml:space="preserve"> </w:t>
      </w:r>
      <w:r w:rsidRPr="00A26C26">
        <w:rPr>
          <w:rFonts w:cstheme="minorHAnsi"/>
        </w:rPr>
        <w:t>obszar</w:t>
      </w:r>
      <w:r w:rsidR="003B50ED">
        <w:rPr>
          <w:rFonts w:cstheme="minorHAnsi"/>
        </w:rPr>
        <w:t xml:space="preserve"> </w:t>
      </w:r>
      <w:r w:rsidRPr="00A26C26">
        <w:rPr>
          <w:rFonts w:cstheme="minorHAnsi"/>
        </w:rPr>
        <w:t>objęty</w:t>
      </w:r>
      <w:r w:rsidR="003B50ED">
        <w:rPr>
          <w:rFonts w:cstheme="minorHAnsi"/>
        </w:rPr>
        <w:t xml:space="preserve"> </w:t>
      </w:r>
      <w:r w:rsidRPr="00A26C26">
        <w:rPr>
          <w:rFonts w:cstheme="minorHAnsi"/>
        </w:rPr>
        <w:t>LSR.</w:t>
      </w:r>
      <w:r w:rsidR="003B50ED">
        <w:rPr>
          <w:rFonts w:cstheme="minorHAnsi"/>
        </w:rPr>
        <w:t xml:space="preserve"> </w:t>
      </w:r>
    </w:p>
    <w:p w14:paraId="4B46CD82" w14:textId="598E6142" w:rsidR="002E1D7C" w:rsidRPr="00A26C26" w:rsidRDefault="002E1D7C" w:rsidP="00A26C26">
      <w:pPr>
        <w:spacing w:line="276" w:lineRule="auto"/>
        <w:ind w:firstLine="284"/>
        <w:jc w:val="both"/>
        <w:rPr>
          <w:rFonts w:cstheme="minorHAnsi"/>
        </w:rPr>
      </w:pPr>
      <w:r w:rsidRPr="00A26C26">
        <w:rPr>
          <w:rFonts w:cstheme="minorHAnsi"/>
        </w:rPr>
        <w:t>Zorganizowano</w:t>
      </w:r>
      <w:r w:rsidR="003B50ED">
        <w:rPr>
          <w:rFonts w:cstheme="minorHAnsi"/>
        </w:rPr>
        <w:t xml:space="preserve"> </w:t>
      </w:r>
      <w:r w:rsidRPr="00A26C26">
        <w:rPr>
          <w:rFonts w:cstheme="minorHAnsi"/>
        </w:rPr>
        <w:t>też</w:t>
      </w:r>
      <w:r w:rsidR="003B50ED">
        <w:rPr>
          <w:rFonts w:cstheme="minorHAnsi"/>
        </w:rPr>
        <w:t xml:space="preserve"> </w:t>
      </w:r>
      <w:r w:rsidRPr="00A26C26">
        <w:rPr>
          <w:rFonts w:cstheme="minorHAnsi"/>
        </w:rPr>
        <w:t>interesujące</w:t>
      </w:r>
      <w:r w:rsidR="003B50ED">
        <w:rPr>
          <w:rFonts w:cstheme="minorHAnsi"/>
        </w:rPr>
        <w:t xml:space="preserve"> </w:t>
      </w:r>
      <w:r w:rsidRPr="00A26C26">
        <w:rPr>
          <w:rFonts w:cstheme="minorHAnsi"/>
        </w:rPr>
        <w:t>spotkanie</w:t>
      </w:r>
      <w:r w:rsidR="003B50ED">
        <w:rPr>
          <w:rFonts w:cstheme="minorHAnsi"/>
        </w:rPr>
        <w:t xml:space="preserve"> </w:t>
      </w:r>
      <w:r w:rsidRPr="00A26C26">
        <w:rPr>
          <w:rFonts w:cstheme="minorHAnsi"/>
        </w:rPr>
        <w:t>Wielkopolskich</w:t>
      </w:r>
      <w:r w:rsidR="003B50ED">
        <w:rPr>
          <w:rFonts w:cstheme="minorHAnsi"/>
        </w:rPr>
        <w:t xml:space="preserve"> </w:t>
      </w:r>
      <w:r w:rsidRPr="00A26C26">
        <w:rPr>
          <w:rFonts w:cstheme="minorHAnsi"/>
        </w:rPr>
        <w:t>Lokalnych</w:t>
      </w:r>
      <w:r w:rsidR="003B50ED">
        <w:rPr>
          <w:rFonts w:cstheme="minorHAnsi"/>
        </w:rPr>
        <w:t xml:space="preserve"> </w:t>
      </w:r>
      <w:r w:rsidRPr="00A26C26">
        <w:rPr>
          <w:rFonts w:cstheme="minorHAnsi"/>
        </w:rPr>
        <w:t>Grup</w:t>
      </w:r>
      <w:r w:rsidR="003B50ED">
        <w:rPr>
          <w:rFonts w:cstheme="minorHAnsi"/>
        </w:rPr>
        <w:t xml:space="preserve"> </w:t>
      </w:r>
      <w:r w:rsidRPr="00A26C26">
        <w:rPr>
          <w:rFonts w:cstheme="minorHAnsi"/>
        </w:rPr>
        <w:t>Działania,</w:t>
      </w:r>
      <w:r w:rsidR="003B50ED">
        <w:rPr>
          <w:rFonts w:cstheme="minorHAnsi"/>
        </w:rPr>
        <w:t xml:space="preserve"> </w:t>
      </w:r>
      <w:r w:rsidRPr="00A26C26">
        <w:rPr>
          <w:rFonts w:cstheme="minorHAnsi"/>
        </w:rPr>
        <w:t>gdzie</w:t>
      </w:r>
      <w:r w:rsidR="003B50ED">
        <w:rPr>
          <w:rFonts w:cstheme="minorHAnsi"/>
        </w:rPr>
        <w:t xml:space="preserve"> </w:t>
      </w:r>
      <w:r w:rsidRPr="00A26C26">
        <w:rPr>
          <w:rFonts w:cstheme="minorHAnsi"/>
        </w:rPr>
        <w:t>prezentowano</w:t>
      </w:r>
      <w:r w:rsidR="003B50ED">
        <w:rPr>
          <w:rFonts w:cstheme="minorHAnsi"/>
        </w:rPr>
        <w:t xml:space="preserve"> </w:t>
      </w:r>
      <w:r w:rsidRPr="00A26C26">
        <w:rPr>
          <w:rFonts w:cstheme="minorHAnsi"/>
        </w:rPr>
        <w:t>dobre</w:t>
      </w:r>
      <w:r w:rsidR="003B50ED">
        <w:rPr>
          <w:rFonts w:cstheme="minorHAnsi"/>
        </w:rPr>
        <w:t xml:space="preserve"> </w:t>
      </w:r>
      <w:r w:rsidRPr="00A26C26">
        <w:rPr>
          <w:rFonts w:cstheme="minorHAnsi"/>
        </w:rPr>
        <w:t>praktyki</w:t>
      </w:r>
      <w:r w:rsidR="003B50ED">
        <w:rPr>
          <w:rFonts w:cstheme="minorHAnsi"/>
        </w:rPr>
        <w:t xml:space="preserve"> </w:t>
      </w:r>
      <w:r w:rsidRPr="00A26C26">
        <w:rPr>
          <w:rFonts w:cstheme="minorHAnsi"/>
        </w:rPr>
        <w:t>realizowane</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obszarze.</w:t>
      </w:r>
      <w:r w:rsidR="003B50ED">
        <w:rPr>
          <w:rFonts w:cstheme="minorHAnsi"/>
        </w:rPr>
        <w:t xml:space="preserve"> </w:t>
      </w:r>
      <w:r w:rsidRPr="00A26C26">
        <w:rPr>
          <w:rFonts w:cstheme="minorHAnsi"/>
        </w:rPr>
        <w:t>Uczestnicy</w:t>
      </w:r>
      <w:r w:rsidR="003B50ED">
        <w:rPr>
          <w:rFonts w:cstheme="minorHAnsi"/>
        </w:rPr>
        <w:t xml:space="preserve"> </w:t>
      </w:r>
      <w:r w:rsidRPr="00A26C26">
        <w:rPr>
          <w:rFonts w:cstheme="minorHAnsi"/>
        </w:rPr>
        <w:t>odwiedzili</w:t>
      </w:r>
      <w:r w:rsidR="003B50ED">
        <w:rPr>
          <w:rFonts w:cstheme="minorHAnsi"/>
        </w:rPr>
        <w:t xml:space="preserve"> </w:t>
      </w:r>
      <w:r w:rsidRPr="00A26C26">
        <w:rPr>
          <w:rFonts w:cstheme="minorHAnsi"/>
        </w:rPr>
        <w:t>miejsca,</w:t>
      </w:r>
      <w:r w:rsidR="003B50ED">
        <w:rPr>
          <w:rFonts w:cstheme="minorHAnsi"/>
        </w:rPr>
        <w:t xml:space="preserve"> </w:t>
      </w:r>
      <w:r w:rsidRPr="00A26C26">
        <w:rPr>
          <w:rFonts w:cstheme="minorHAnsi"/>
        </w:rPr>
        <w:t>gdzie</w:t>
      </w:r>
      <w:r w:rsidR="003B50ED">
        <w:rPr>
          <w:rFonts w:cstheme="minorHAnsi"/>
        </w:rPr>
        <w:t xml:space="preserve"> </w:t>
      </w:r>
      <w:r w:rsidRPr="00A26C26">
        <w:rPr>
          <w:rFonts w:cstheme="minorHAnsi"/>
        </w:rPr>
        <w:t>zrealizowane</w:t>
      </w:r>
      <w:r w:rsidR="003B50ED">
        <w:rPr>
          <w:rFonts w:cstheme="minorHAnsi"/>
        </w:rPr>
        <w:t xml:space="preserve"> </w:t>
      </w:r>
      <w:r w:rsidRPr="00A26C26">
        <w:rPr>
          <w:rFonts w:cstheme="minorHAnsi"/>
        </w:rPr>
        <w:t>zostały</w:t>
      </w:r>
      <w:r w:rsidR="003B50ED">
        <w:rPr>
          <w:rFonts w:cstheme="minorHAnsi"/>
        </w:rPr>
        <w:t xml:space="preserve"> </w:t>
      </w:r>
      <w:r w:rsidRPr="00A26C26">
        <w:rPr>
          <w:rFonts w:cstheme="minorHAnsi"/>
        </w:rPr>
        <w:t>operacje</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ramach</w:t>
      </w:r>
      <w:r w:rsidR="003B50ED">
        <w:rPr>
          <w:rFonts w:cstheme="minorHAnsi"/>
        </w:rPr>
        <w:t xml:space="preserve"> </w:t>
      </w:r>
      <w:r w:rsidRPr="00A26C26">
        <w:rPr>
          <w:rFonts w:cstheme="minorHAnsi"/>
        </w:rPr>
        <w:t>poddziałania</w:t>
      </w:r>
      <w:r w:rsidR="003B50ED">
        <w:rPr>
          <w:rFonts w:cstheme="minorHAnsi"/>
        </w:rPr>
        <w:t xml:space="preserve"> </w:t>
      </w:r>
      <w:r w:rsidRPr="00A26C26">
        <w:rPr>
          <w:rFonts w:cstheme="minorHAnsi"/>
        </w:rPr>
        <w:t>19.2</w:t>
      </w:r>
      <w:r w:rsidR="003B50ED">
        <w:rPr>
          <w:rFonts w:cstheme="minorHAnsi"/>
        </w:rPr>
        <w:t xml:space="preserve"> </w:t>
      </w:r>
      <w:r w:rsidRPr="00A26C26">
        <w:rPr>
          <w:rFonts w:cstheme="minorHAnsi"/>
        </w:rPr>
        <w:t>„Wsparcie</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wdrażanie</w:t>
      </w:r>
      <w:r w:rsidR="003B50ED">
        <w:rPr>
          <w:rFonts w:cstheme="minorHAnsi"/>
        </w:rPr>
        <w:t xml:space="preserve"> </w:t>
      </w:r>
      <w:r w:rsidRPr="00A26C26">
        <w:rPr>
          <w:rFonts w:cstheme="minorHAnsi"/>
        </w:rPr>
        <w:t>operacji</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ramach</w:t>
      </w:r>
      <w:r w:rsidR="003B50ED">
        <w:rPr>
          <w:rFonts w:cstheme="minorHAnsi"/>
        </w:rPr>
        <w:t xml:space="preserve"> </w:t>
      </w:r>
      <w:r w:rsidRPr="00A26C26">
        <w:rPr>
          <w:rFonts w:cstheme="minorHAnsi"/>
        </w:rPr>
        <w:t>strategii</w:t>
      </w:r>
      <w:r w:rsidR="003B50ED">
        <w:rPr>
          <w:rFonts w:cstheme="minorHAnsi"/>
        </w:rPr>
        <w:t xml:space="preserve"> </w:t>
      </w:r>
      <w:r w:rsidRPr="00A26C26">
        <w:rPr>
          <w:rFonts w:cstheme="minorHAnsi"/>
        </w:rPr>
        <w:t>rozwoju</w:t>
      </w:r>
      <w:r w:rsidR="003B50ED">
        <w:rPr>
          <w:rFonts w:cstheme="minorHAnsi"/>
        </w:rPr>
        <w:t xml:space="preserve"> </w:t>
      </w:r>
      <w:r w:rsidRPr="00A26C26">
        <w:rPr>
          <w:rFonts w:cstheme="minorHAnsi"/>
        </w:rPr>
        <w:t>lokalnego</w:t>
      </w:r>
      <w:r w:rsidR="003B50ED">
        <w:rPr>
          <w:rFonts w:cstheme="minorHAnsi"/>
        </w:rPr>
        <w:t xml:space="preserve"> </w:t>
      </w:r>
      <w:r w:rsidRPr="00A26C26">
        <w:rPr>
          <w:rFonts w:cstheme="minorHAnsi"/>
        </w:rPr>
        <w:t>kierowanego</w:t>
      </w:r>
      <w:r w:rsidR="003B50ED">
        <w:rPr>
          <w:rFonts w:cstheme="minorHAnsi"/>
        </w:rPr>
        <w:t xml:space="preserve"> </w:t>
      </w:r>
      <w:r w:rsidRPr="00A26C26">
        <w:rPr>
          <w:rFonts w:cstheme="minorHAnsi"/>
        </w:rPr>
        <w:t>przez</w:t>
      </w:r>
      <w:r w:rsidR="003B50ED">
        <w:rPr>
          <w:rFonts w:cstheme="minorHAnsi"/>
        </w:rPr>
        <w:t xml:space="preserve"> </w:t>
      </w:r>
      <w:r w:rsidRPr="00A26C26">
        <w:rPr>
          <w:rFonts w:cstheme="minorHAnsi"/>
        </w:rPr>
        <w:t>społeczność”</w:t>
      </w:r>
      <w:r w:rsidR="003B50ED">
        <w:rPr>
          <w:rFonts w:cstheme="minorHAnsi"/>
        </w:rPr>
        <w:t xml:space="preserve"> </w:t>
      </w:r>
      <w:r w:rsidRPr="00A26C26">
        <w:rPr>
          <w:rFonts w:cstheme="minorHAnsi"/>
        </w:rPr>
        <w:t>objętego</w:t>
      </w:r>
      <w:r w:rsidR="003B50ED">
        <w:rPr>
          <w:rFonts w:cstheme="minorHAnsi"/>
        </w:rPr>
        <w:t xml:space="preserve"> </w:t>
      </w:r>
      <w:r w:rsidRPr="00A26C26">
        <w:rPr>
          <w:rFonts w:cstheme="minorHAnsi"/>
        </w:rPr>
        <w:t>Programem</w:t>
      </w:r>
      <w:r w:rsidR="003B50ED">
        <w:rPr>
          <w:rFonts w:cstheme="minorHAnsi"/>
        </w:rPr>
        <w:t xml:space="preserve"> </w:t>
      </w:r>
      <w:r w:rsidRPr="00A26C26">
        <w:rPr>
          <w:rFonts w:cstheme="minorHAnsi"/>
        </w:rPr>
        <w:t>Rozwoju</w:t>
      </w:r>
      <w:r w:rsidR="003B50ED">
        <w:rPr>
          <w:rFonts w:cstheme="minorHAnsi"/>
        </w:rPr>
        <w:t xml:space="preserve"> </w:t>
      </w:r>
      <w:r w:rsidRPr="00A26C26">
        <w:rPr>
          <w:rFonts w:cstheme="minorHAnsi"/>
        </w:rPr>
        <w:t>Obszarów</w:t>
      </w:r>
      <w:r w:rsidR="003B50ED">
        <w:rPr>
          <w:rFonts w:cstheme="minorHAnsi"/>
        </w:rPr>
        <w:t xml:space="preserve"> </w:t>
      </w:r>
      <w:r w:rsidRPr="00A26C26">
        <w:rPr>
          <w:rFonts w:cstheme="minorHAnsi"/>
        </w:rPr>
        <w:t>Wiejskich</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lata</w:t>
      </w:r>
      <w:r w:rsidR="003B50ED">
        <w:rPr>
          <w:rFonts w:cstheme="minorHAnsi"/>
        </w:rPr>
        <w:t xml:space="preserve"> </w:t>
      </w:r>
      <w:r w:rsidRPr="00A26C26">
        <w:rPr>
          <w:rFonts w:cstheme="minorHAnsi"/>
        </w:rPr>
        <w:t>2014-2020.</w:t>
      </w:r>
    </w:p>
    <w:p w14:paraId="01111E3F" w14:textId="4635FCC3" w:rsidR="00BA0B82" w:rsidRPr="00A26C26" w:rsidRDefault="000A0CF2" w:rsidP="00A26C26">
      <w:pPr>
        <w:spacing w:line="276" w:lineRule="auto"/>
        <w:ind w:firstLine="284"/>
        <w:jc w:val="both"/>
        <w:rPr>
          <w:rFonts w:cstheme="minorHAnsi"/>
        </w:rPr>
      </w:pPr>
      <w:r w:rsidRPr="00A26C26">
        <w:rPr>
          <w:rFonts w:cstheme="minorHAnsi"/>
        </w:rPr>
        <w:t>Należy</w:t>
      </w:r>
      <w:r w:rsidR="003B50ED">
        <w:rPr>
          <w:rFonts w:cstheme="minorHAnsi"/>
        </w:rPr>
        <w:t xml:space="preserve"> </w:t>
      </w:r>
      <w:r w:rsidRPr="00A26C26">
        <w:rPr>
          <w:rFonts w:cstheme="minorHAnsi"/>
        </w:rPr>
        <w:t>podkreślić,</w:t>
      </w:r>
      <w:r w:rsidR="003B50ED">
        <w:rPr>
          <w:rFonts w:cstheme="minorHAnsi"/>
        </w:rPr>
        <w:t xml:space="preserve"> </w:t>
      </w:r>
      <w:r w:rsidRPr="00A26C26">
        <w:rPr>
          <w:rFonts w:cstheme="minorHAnsi"/>
        </w:rPr>
        <w:t>że</w:t>
      </w:r>
      <w:r w:rsidR="003B50ED">
        <w:rPr>
          <w:rFonts w:cstheme="minorHAnsi"/>
        </w:rPr>
        <w:t xml:space="preserve"> </w:t>
      </w:r>
      <w:r w:rsidRPr="00A26C26">
        <w:rPr>
          <w:rFonts w:cstheme="minorHAnsi"/>
        </w:rPr>
        <w:t>w</w:t>
      </w:r>
      <w:r w:rsidR="006756A8" w:rsidRPr="00A26C26">
        <w:rPr>
          <w:rFonts w:cstheme="minorHAnsi"/>
        </w:rPr>
        <w:t>szystkie</w:t>
      </w:r>
      <w:r w:rsidR="003B50ED">
        <w:rPr>
          <w:rFonts w:cstheme="minorHAnsi"/>
        </w:rPr>
        <w:t xml:space="preserve"> </w:t>
      </w:r>
      <w:r w:rsidR="006756A8" w:rsidRPr="00A26C26">
        <w:rPr>
          <w:rFonts w:cstheme="minorHAnsi"/>
        </w:rPr>
        <w:t>te</w:t>
      </w:r>
      <w:r w:rsidR="003B50ED">
        <w:rPr>
          <w:rFonts w:cstheme="minorHAnsi"/>
        </w:rPr>
        <w:t xml:space="preserve"> </w:t>
      </w:r>
      <w:r w:rsidR="006756A8" w:rsidRPr="00A26C26">
        <w:rPr>
          <w:rFonts w:cstheme="minorHAnsi"/>
        </w:rPr>
        <w:t>działania</w:t>
      </w:r>
      <w:r w:rsidR="003B50ED">
        <w:rPr>
          <w:rFonts w:cstheme="minorHAnsi"/>
        </w:rPr>
        <w:t xml:space="preserve"> </w:t>
      </w:r>
      <w:r w:rsidR="006756A8" w:rsidRPr="00A26C26">
        <w:rPr>
          <w:rFonts w:cstheme="minorHAnsi"/>
        </w:rPr>
        <w:t>nie</w:t>
      </w:r>
      <w:r w:rsidR="003B50ED">
        <w:rPr>
          <w:rFonts w:cstheme="minorHAnsi"/>
        </w:rPr>
        <w:t xml:space="preserve"> </w:t>
      </w:r>
      <w:r w:rsidR="006756A8" w:rsidRPr="00A26C26">
        <w:rPr>
          <w:rFonts w:cstheme="minorHAnsi"/>
        </w:rPr>
        <w:t>miałyby</w:t>
      </w:r>
      <w:r w:rsidR="003B50ED">
        <w:rPr>
          <w:rFonts w:cstheme="minorHAnsi"/>
        </w:rPr>
        <w:t xml:space="preserve"> </w:t>
      </w:r>
      <w:r w:rsidR="006756A8" w:rsidRPr="00A26C26">
        <w:rPr>
          <w:rFonts w:cstheme="minorHAnsi"/>
        </w:rPr>
        <w:t>racji</w:t>
      </w:r>
      <w:r w:rsidR="003B50ED">
        <w:rPr>
          <w:rFonts w:cstheme="minorHAnsi"/>
        </w:rPr>
        <w:t xml:space="preserve"> </w:t>
      </w:r>
      <w:r w:rsidR="006756A8" w:rsidRPr="00A26C26">
        <w:rPr>
          <w:rFonts w:cstheme="minorHAnsi"/>
        </w:rPr>
        <w:t>bytu</w:t>
      </w:r>
      <w:r w:rsidR="003B50ED">
        <w:rPr>
          <w:rFonts w:cstheme="minorHAnsi"/>
        </w:rPr>
        <w:t xml:space="preserve"> </w:t>
      </w:r>
      <w:r w:rsidR="006756A8" w:rsidRPr="00A26C26">
        <w:rPr>
          <w:rFonts w:cstheme="minorHAnsi"/>
        </w:rPr>
        <w:t>ani</w:t>
      </w:r>
      <w:r w:rsidR="003B50ED">
        <w:rPr>
          <w:rFonts w:cstheme="minorHAnsi"/>
        </w:rPr>
        <w:t xml:space="preserve"> </w:t>
      </w:r>
      <w:r w:rsidR="006756A8" w:rsidRPr="00A26C26">
        <w:rPr>
          <w:rFonts w:cstheme="minorHAnsi"/>
        </w:rPr>
        <w:t>tym</w:t>
      </w:r>
      <w:r w:rsidR="003B50ED">
        <w:rPr>
          <w:rFonts w:cstheme="minorHAnsi"/>
        </w:rPr>
        <w:t xml:space="preserve"> </w:t>
      </w:r>
      <w:r w:rsidR="006756A8" w:rsidRPr="00A26C26">
        <w:rPr>
          <w:rFonts w:cstheme="minorHAnsi"/>
        </w:rPr>
        <w:t>bardziej</w:t>
      </w:r>
      <w:r w:rsidR="003B50ED">
        <w:rPr>
          <w:rFonts w:cstheme="minorHAnsi"/>
        </w:rPr>
        <w:t xml:space="preserve"> </w:t>
      </w:r>
      <w:r w:rsidR="006756A8" w:rsidRPr="00A26C26">
        <w:rPr>
          <w:rFonts w:cstheme="minorHAnsi"/>
        </w:rPr>
        <w:t>nie</w:t>
      </w:r>
      <w:r w:rsidR="003B50ED">
        <w:rPr>
          <w:rFonts w:cstheme="minorHAnsi"/>
        </w:rPr>
        <w:t xml:space="preserve"> </w:t>
      </w:r>
      <w:r w:rsidR="006756A8" w:rsidRPr="00A26C26">
        <w:rPr>
          <w:rFonts w:cstheme="minorHAnsi"/>
        </w:rPr>
        <w:t>znalazłyby</w:t>
      </w:r>
      <w:r w:rsidR="003B50ED">
        <w:rPr>
          <w:rFonts w:cstheme="minorHAnsi"/>
        </w:rPr>
        <w:t xml:space="preserve"> </w:t>
      </w:r>
      <w:r w:rsidR="006756A8" w:rsidRPr="00A26C26">
        <w:rPr>
          <w:rFonts w:cstheme="minorHAnsi"/>
        </w:rPr>
        <w:t>odbiorców</w:t>
      </w:r>
      <w:r w:rsidR="003B50ED">
        <w:rPr>
          <w:rFonts w:cstheme="minorHAnsi"/>
        </w:rPr>
        <w:t xml:space="preserve"> </w:t>
      </w:r>
      <w:r w:rsidR="006756A8" w:rsidRPr="00A26C26">
        <w:rPr>
          <w:rFonts w:cstheme="minorHAnsi"/>
        </w:rPr>
        <w:t>gdyby</w:t>
      </w:r>
      <w:r w:rsidR="003B50ED">
        <w:rPr>
          <w:rFonts w:cstheme="minorHAnsi"/>
        </w:rPr>
        <w:t xml:space="preserve"> </w:t>
      </w:r>
      <w:r w:rsidR="006756A8" w:rsidRPr="00A26C26">
        <w:rPr>
          <w:rFonts w:cstheme="minorHAnsi"/>
        </w:rPr>
        <w:t>nie</w:t>
      </w:r>
      <w:r w:rsidR="003B50ED">
        <w:rPr>
          <w:rFonts w:cstheme="minorHAnsi"/>
        </w:rPr>
        <w:t xml:space="preserve"> </w:t>
      </w:r>
      <w:r w:rsidR="006756A8" w:rsidRPr="00A26C26">
        <w:rPr>
          <w:rFonts w:cstheme="minorHAnsi"/>
        </w:rPr>
        <w:t>siła</w:t>
      </w:r>
      <w:r w:rsidR="003B50ED">
        <w:rPr>
          <w:rFonts w:cstheme="minorHAnsi"/>
        </w:rPr>
        <w:t xml:space="preserve"> </w:t>
      </w:r>
      <w:r w:rsidR="006756A8" w:rsidRPr="00A26C26">
        <w:rPr>
          <w:rFonts w:cstheme="minorHAnsi"/>
        </w:rPr>
        <w:t>budowanego</w:t>
      </w:r>
      <w:r w:rsidR="003B50ED">
        <w:rPr>
          <w:rFonts w:cstheme="minorHAnsi"/>
        </w:rPr>
        <w:t xml:space="preserve"> </w:t>
      </w:r>
      <w:r w:rsidR="006756A8" w:rsidRPr="00A26C26">
        <w:rPr>
          <w:rFonts w:cstheme="minorHAnsi"/>
        </w:rPr>
        <w:t>od</w:t>
      </w:r>
      <w:r w:rsidR="003B50ED">
        <w:rPr>
          <w:rFonts w:cstheme="minorHAnsi"/>
        </w:rPr>
        <w:t xml:space="preserve"> </w:t>
      </w:r>
      <w:r w:rsidR="0027018D" w:rsidRPr="00A26C26">
        <w:rPr>
          <w:rFonts w:cstheme="minorHAnsi"/>
        </w:rPr>
        <w:t>17</w:t>
      </w:r>
      <w:r w:rsidR="003B50ED">
        <w:rPr>
          <w:rFonts w:cstheme="minorHAnsi"/>
        </w:rPr>
        <w:t xml:space="preserve"> </w:t>
      </w:r>
      <w:r w:rsidR="006756A8" w:rsidRPr="00A26C26">
        <w:rPr>
          <w:rFonts w:cstheme="minorHAnsi"/>
        </w:rPr>
        <w:t>lat</w:t>
      </w:r>
      <w:r w:rsidR="003B50ED">
        <w:rPr>
          <w:rFonts w:cstheme="minorHAnsi"/>
        </w:rPr>
        <w:t xml:space="preserve"> </w:t>
      </w:r>
      <w:r w:rsidR="006756A8" w:rsidRPr="00A26C26">
        <w:rPr>
          <w:rFonts w:cstheme="minorHAnsi"/>
        </w:rPr>
        <w:t>partnerstwa.</w:t>
      </w:r>
      <w:r w:rsidR="003B50ED">
        <w:rPr>
          <w:rFonts w:cstheme="minorHAnsi"/>
        </w:rPr>
        <w:t xml:space="preserve"> </w:t>
      </w:r>
      <w:r w:rsidR="006756A8" w:rsidRPr="00A26C26">
        <w:rPr>
          <w:rFonts w:cstheme="minorHAnsi"/>
        </w:rPr>
        <w:t>To</w:t>
      </w:r>
      <w:r w:rsidR="003B50ED">
        <w:rPr>
          <w:rFonts w:cstheme="minorHAnsi"/>
        </w:rPr>
        <w:t xml:space="preserve"> </w:t>
      </w:r>
      <w:r w:rsidR="006756A8" w:rsidRPr="00A26C26">
        <w:rPr>
          <w:rFonts w:cstheme="minorHAnsi"/>
        </w:rPr>
        <w:t>właśnie</w:t>
      </w:r>
      <w:r w:rsidR="003B50ED">
        <w:rPr>
          <w:rFonts w:cstheme="minorHAnsi"/>
        </w:rPr>
        <w:t xml:space="preserve"> </w:t>
      </w:r>
      <w:r w:rsidR="006756A8" w:rsidRPr="00A26C26">
        <w:rPr>
          <w:rFonts w:cstheme="minorHAnsi"/>
        </w:rPr>
        <w:t>otwartość</w:t>
      </w:r>
      <w:r w:rsidR="003B50ED">
        <w:rPr>
          <w:rFonts w:cstheme="minorHAnsi"/>
        </w:rPr>
        <w:t xml:space="preserve"> </w:t>
      </w:r>
      <w:r w:rsidR="006756A8" w:rsidRPr="00A26C26">
        <w:rPr>
          <w:rFonts w:cstheme="minorHAnsi"/>
        </w:rPr>
        <w:t>na</w:t>
      </w:r>
      <w:r w:rsidR="003B50ED">
        <w:rPr>
          <w:rFonts w:cstheme="minorHAnsi"/>
        </w:rPr>
        <w:t xml:space="preserve"> </w:t>
      </w:r>
      <w:r w:rsidR="006756A8" w:rsidRPr="00A26C26">
        <w:rPr>
          <w:rFonts w:cstheme="minorHAnsi"/>
        </w:rPr>
        <w:t>potrzeby</w:t>
      </w:r>
      <w:r w:rsidR="003B50ED">
        <w:rPr>
          <w:rFonts w:cstheme="minorHAnsi"/>
        </w:rPr>
        <w:t xml:space="preserve"> </w:t>
      </w:r>
      <w:r w:rsidR="006756A8" w:rsidRPr="00A26C26">
        <w:rPr>
          <w:rFonts w:cstheme="minorHAnsi"/>
        </w:rPr>
        <w:t>lokalnej</w:t>
      </w:r>
      <w:r w:rsidR="003B50ED">
        <w:rPr>
          <w:rFonts w:cstheme="minorHAnsi"/>
        </w:rPr>
        <w:t xml:space="preserve"> </w:t>
      </w:r>
      <w:r w:rsidR="006756A8" w:rsidRPr="00A26C26">
        <w:rPr>
          <w:rFonts w:cstheme="minorHAnsi"/>
        </w:rPr>
        <w:t>społeczności,</w:t>
      </w:r>
      <w:r w:rsidR="003B50ED">
        <w:rPr>
          <w:rFonts w:cstheme="minorHAnsi"/>
        </w:rPr>
        <w:t xml:space="preserve"> </w:t>
      </w:r>
      <w:r w:rsidR="006756A8" w:rsidRPr="00A26C26">
        <w:rPr>
          <w:rFonts w:cstheme="minorHAnsi"/>
        </w:rPr>
        <w:t>pomoc</w:t>
      </w:r>
      <w:r w:rsidR="003B50ED">
        <w:rPr>
          <w:rFonts w:cstheme="minorHAnsi"/>
        </w:rPr>
        <w:t xml:space="preserve"> </w:t>
      </w:r>
      <w:r w:rsidR="00C410C9" w:rsidRPr="00A26C26">
        <w:rPr>
          <w:rFonts w:cstheme="minorHAnsi"/>
        </w:rPr>
        <w:br/>
      </w:r>
      <w:r w:rsidR="006756A8" w:rsidRPr="00A26C26">
        <w:rPr>
          <w:rFonts w:cstheme="minorHAnsi"/>
        </w:rPr>
        <w:t>w</w:t>
      </w:r>
      <w:r w:rsidR="003B50ED">
        <w:rPr>
          <w:rFonts w:cstheme="minorHAnsi"/>
        </w:rPr>
        <w:t xml:space="preserve"> </w:t>
      </w:r>
      <w:r w:rsidR="006756A8" w:rsidRPr="00A26C26">
        <w:rPr>
          <w:rFonts w:cstheme="minorHAnsi"/>
        </w:rPr>
        <w:t>realizowaniu</w:t>
      </w:r>
      <w:r w:rsidR="003B50ED">
        <w:rPr>
          <w:rFonts w:cstheme="minorHAnsi"/>
        </w:rPr>
        <w:t xml:space="preserve"> </w:t>
      </w:r>
      <w:r w:rsidR="006756A8" w:rsidRPr="00A26C26">
        <w:rPr>
          <w:rFonts w:cstheme="minorHAnsi"/>
        </w:rPr>
        <w:t>oddolnych</w:t>
      </w:r>
      <w:r w:rsidR="003B50ED">
        <w:rPr>
          <w:rFonts w:cstheme="minorHAnsi"/>
        </w:rPr>
        <w:t xml:space="preserve"> </w:t>
      </w:r>
      <w:r w:rsidR="006756A8" w:rsidRPr="00A26C26">
        <w:rPr>
          <w:rFonts w:cstheme="minorHAnsi"/>
        </w:rPr>
        <w:t>inicjatyw,</w:t>
      </w:r>
      <w:r w:rsidR="003B50ED">
        <w:rPr>
          <w:rFonts w:cstheme="minorHAnsi"/>
        </w:rPr>
        <w:t xml:space="preserve"> </w:t>
      </w:r>
      <w:r w:rsidR="002D4886" w:rsidRPr="00A26C26">
        <w:rPr>
          <w:rFonts w:cstheme="minorHAnsi"/>
        </w:rPr>
        <w:t>promocja</w:t>
      </w:r>
      <w:r w:rsidR="003B50ED">
        <w:rPr>
          <w:rFonts w:cstheme="minorHAnsi"/>
        </w:rPr>
        <w:t xml:space="preserve"> </w:t>
      </w:r>
      <w:r w:rsidR="002D4886" w:rsidRPr="00A26C26">
        <w:rPr>
          <w:rFonts w:cstheme="minorHAnsi"/>
        </w:rPr>
        <w:t>realizowanych</w:t>
      </w:r>
      <w:r w:rsidR="003B50ED">
        <w:rPr>
          <w:rFonts w:cstheme="minorHAnsi"/>
        </w:rPr>
        <w:t xml:space="preserve"> </w:t>
      </w:r>
      <w:r w:rsidR="002D4886" w:rsidRPr="00A26C26">
        <w:rPr>
          <w:rFonts w:cstheme="minorHAnsi"/>
        </w:rPr>
        <w:t>działań,</w:t>
      </w:r>
      <w:r w:rsidR="003B50ED">
        <w:rPr>
          <w:rFonts w:cstheme="minorHAnsi"/>
        </w:rPr>
        <w:t xml:space="preserve"> </w:t>
      </w:r>
      <w:r w:rsidR="002D4886" w:rsidRPr="00A26C26">
        <w:rPr>
          <w:rFonts w:cstheme="minorHAnsi"/>
        </w:rPr>
        <w:t>skuteczność</w:t>
      </w:r>
      <w:r w:rsidR="003B50ED">
        <w:rPr>
          <w:rFonts w:cstheme="minorHAnsi"/>
        </w:rPr>
        <w:t xml:space="preserve"> </w:t>
      </w:r>
      <w:r w:rsidR="002D4886" w:rsidRPr="00A26C26">
        <w:rPr>
          <w:rFonts w:cstheme="minorHAnsi"/>
        </w:rPr>
        <w:t>realizacji</w:t>
      </w:r>
      <w:r w:rsidR="003B50ED">
        <w:rPr>
          <w:rFonts w:cstheme="minorHAnsi"/>
        </w:rPr>
        <w:t xml:space="preserve"> </w:t>
      </w:r>
      <w:r w:rsidR="002D4886" w:rsidRPr="00A26C26">
        <w:rPr>
          <w:rFonts w:cstheme="minorHAnsi"/>
        </w:rPr>
        <w:t>planu</w:t>
      </w:r>
      <w:r w:rsidR="003B50ED">
        <w:rPr>
          <w:rFonts w:cstheme="minorHAnsi"/>
        </w:rPr>
        <w:t xml:space="preserve"> </w:t>
      </w:r>
      <w:r w:rsidR="002D4886" w:rsidRPr="00A26C26">
        <w:rPr>
          <w:rFonts w:cstheme="minorHAnsi"/>
        </w:rPr>
        <w:t>komunikacji</w:t>
      </w:r>
      <w:r w:rsidR="003B50ED">
        <w:rPr>
          <w:rFonts w:cstheme="minorHAnsi"/>
        </w:rPr>
        <w:t xml:space="preserve"> </w:t>
      </w:r>
      <w:r w:rsidR="002D4886" w:rsidRPr="00A26C26">
        <w:rPr>
          <w:rFonts w:cstheme="minorHAnsi"/>
        </w:rPr>
        <w:t>oraz</w:t>
      </w:r>
      <w:r w:rsidR="003B50ED">
        <w:rPr>
          <w:rFonts w:cstheme="minorHAnsi"/>
        </w:rPr>
        <w:t xml:space="preserve"> </w:t>
      </w:r>
      <w:r w:rsidR="006756A8" w:rsidRPr="00A26C26">
        <w:rPr>
          <w:rFonts w:cstheme="minorHAnsi"/>
        </w:rPr>
        <w:t>wzmacnianie</w:t>
      </w:r>
      <w:r w:rsidR="003B50ED">
        <w:rPr>
          <w:rFonts w:cstheme="minorHAnsi"/>
        </w:rPr>
        <w:t xml:space="preserve"> </w:t>
      </w:r>
      <w:r w:rsidR="006756A8" w:rsidRPr="00A26C26">
        <w:rPr>
          <w:rFonts w:cstheme="minorHAnsi"/>
        </w:rPr>
        <w:t>kapitału</w:t>
      </w:r>
      <w:r w:rsidR="003B50ED">
        <w:rPr>
          <w:rFonts w:cstheme="minorHAnsi"/>
        </w:rPr>
        <w:t xml:space="preserve"> </w:t>
      </w:r>
      <w:r w:rsidR="006756A8" w:rsidRPr="00A26C26">
        <w:rPr>
          <w:rFonts w:cstheme="minorHAnsi"/>
        </w:rPr>
        <w:t>społecznego</w:t>
      </w:r>
      <w:r w:rsidR="003B50ED">
        <w:rPr>
          <w:rFonts w:cstheme="minorHAnsi"/>
        </w:rPr>
        <w:t xml:space="preserve"> </w:t>
      </w:r>
      <w:r w:rsidR="006756A8" w:rsidRPr="00A26C26">
        <w:rPr>
          <w:rFonts w:cstheme="minorHAnsi"/>
        </w:rPr>
        <w:t>sprawia,</w:t>
      </w:r>
      <w:r w:rsidR="003B50ED">
        <w:rPr>
          <w:rFonts w:cstheme="minorHAnsi"/>
        </w:rPr>
        <w:t xml:space="preserve"> </w:t>
      </w:r>
      <w:r w:rsidR="006756A8" w:rsidRPr="00A26C26">
        <w:rPr>
          <w:rFonts w:cstheme="minorHAnsi"/>
        </w:rPr>
        <w:t>że</w:t>
      </w:r>
      <w:r w:rsidR="003B50ED">
        <w:rPr>
          <w:rFonts w:cstheme="minorHAnsi"/>
        </w:rPr>
        <w:t xml:space="preserve"> </w:t>
      </w:r>
      <w:r w:rsidR="006756A8" w:rsidRPr="00A26C26">
        <w:rPr>
          <w:rFonts w:cstheme="minorHAnsi"/>
        </w:rPr>
        <w:t>w</w:t>
      </w:r>
      <w:r w:rsidR="003B50ED">
        <w:rPr>
          <w:rFonts w:cstheme="minorHAnsi"/>
        </w:rPr>
        <w:t xml:space="preserve"> </w:t>
      </w:r>
      <w:r w:rsidR="006756A8" w:rsidRPr="00A26C26">
        <w:rPr>
          <w:rFonts w:cstheme="minorHAnsi"/>
        </w:rPr>
        <w:t>raporcie</w:t>
      </w:r>
      <w:r w:rsidR="003B50ED">
        <w:rPr>
          <w:rFonts w:cstheme="minorHAnsi"/>
        </w:rPr>
        <w:t xml:space="preserve"> </w:t>
      </w:r>
      <w:r w:rsidR="006756A8" w:rsidRPr="00A26C26">
        <w:rPr>
          <w:rFonts w:cstheme="minorHAnsi"/>
        </w:rPr>
        <w:t>zewnętrznej</w:t>
      </w:r>
      <w:r w:rsidR="003B50ED">
        <w:rPr>
          <w:rFonts w:cstheme="minorHAnsi"/>
        </w:rPr>
        <w:t xml:space="preserve"> </w:t>
      </w:r>
      <w:r w:rsidR="006756A8" w:rsidRPr="00A26C26">
        <w:rPr>
          <w:rFonts w:cstheme="minorHAnsi"/>
        </w:rPr>
        <w:t>ewaluacji,</w:t>
      </w:r>
      <w:r w:rsidR="003B50ED">
        <w:rPr>
          <w:rFonts w:cstheme="minorHAnsi"/>
        </w:rPr>
        <w:t xml:space="preserve"> </w:t>
      </w:r>
      <w:r w:rsidR="006756A8" w:rsidRPr="00A26C26">
        <w:rPr>
          <w:rFonts w:cstheme="minorHAnsi"/>
        </w:rPr>
        <w:t>który</w:t>
      </w:r>
      <w:r w:rsidR="003B50ED">
        <w:rPr>
          <w:rFonts w:cstheme="minorHAnsi"/>
        </w:rPr>
        <w:t xml:space="preserve"> </w:t>
      </w:r>
      <w:r w:rsidR="006756A8" w:rsidRPr="00A26C26">
        <w:rPr>
          <w:rFonts w:cstheme="minorHAnsi"/>
        </w:rPr>
        <w:t>został</w:t>
      </w:r>
      <w:r w:rsidR="003B50ED">
        <w:rPr>
          <w:rFonts w:cstheme="minorHAnsi"/>
        </w:rPr>
        <w:t xml:space="preserve"> </w:t>
      </w:r>
      <w:r w:rsidR="006756A8" w:rsidRPr="00A26C26">
        <w:rPr>
          <w:rFonts w:cstheme="minorHAnsi"/>
        </w:rPr>
        <w:t>opracowany</w:t>
      </w:r>
      <w:r w:rsidR="003B50ED">
        <w:rPr>
          <w:rFonts w:cstheme="minorHAnsi"/>
        </w:rPr>
        <w:t xml:space="preserve"> </w:t>
      </w:r>
      <w:r w:rsidR="006756A8" w:rsidRPr="00A26C26">
        <w:rPr>
          <w:rFonts w:cstheme="minorHAnsi"/>
        </w:rPr>
        <w:t>w</w:t>
      </w:r>
      <w:r w:rsidR="003B50ED">
        <w:rPr>
          <w:rFonts w:cstheme="minorHAnsi"/>
        </w:rPr>
        <w:t xml:space="preserve"> </w:t>
      </w:r>
      <w:r w:rsidR="006756A8" w:rsidRPr="00A26C26">
        <w:rPr>
          <w:rFonts w:cstheme="minorHAnsi"/>
        </w:rPr>
        <w:t>oparciu</w:t>
      </w:r>
      <w:r w:rsidR="003B50ED">
        <w:rPr>
          <w:rFonts w:cstheme="minorHAnsi"/>
        </w:rPr>
        <w:t xml:space="preserve"> </w:t>
      </w:r>
      <w:r w:rsidR="006756A8" w:rsidRPr="00A26C26">
        <w:rPr>
          <w:rFonts w:cstheme="minorHAnsi"/>
        </w:rPr>
        <w:t>o</w:t>
      </w:r>
      <w:r w:rsidR="003B50ED">
        <w:rPr>
          <w:rFonts w:cstheme="minorHAnsi"/>
        </w:rPr>
        <w:t xml:space="preserve"> </w:t>
      </w:r>
      <w:r w:rsidR="006756A8" w:rsidRPr="00A26C26">
        <w:rPr>
          <w:rFonts w:cstheme="minorHAnsi"/>
        </w:rPr>
        <w:t>zróżnicowanie</w:t>
      </w:r>
      <w:r w:rsidR="003B50ED">
        <w:rPr>
          <w:rFonts w:cstheme="minorHAnsi"/>
        </w:rPr>
        <w:t xml:space="preserve"> </w:t>
      </w:r>
      <w:r w:rsidR="00444111" w:rsidRPr="00A26C26">
        <w:rPr>
          <w:rFonts w:cstheme="minorHAnsi"/>
        </w:rPr>
        <w:t>zarówno</w:t>
      </w:r>
      <w:r w:rsidR="003B50ED">
        <w:rPr>
          <w:rFonts w:cstheme="minorHAnsi"/>
        </w:rPr>
        <w:t xml:space="preserve"> </w:t>
      </w:r>
      <w:r w:rsidR="00444111" w:rsidRPr="00A26C26">
        <w:rPr>
          <w:rFonts w:cstheme="minorHAnsi"/>
        </w:rPr>
        <w:t>źródeł</w:t>
      </w:r>
      <w:r w:rsidR="003B50ED">
        <w:rPr>
          <w:rFonts w:cstheme="minorHAnsi"/>
        </w:rPr>
        <w:t xml:space="preserve"> </w:t>
      </w:r>
      <w:r w:rsidR="00444111" w:rsidRPr="00A26C26">
        <w:rPr>
          <w:rFonts w:cstheme="minorHAnsi"/>
        </w:rPr>
        <w:t>danych</w:t>
      </w:r>
      <w:r w:rsidR="003B50ED">
        <w:rPr>
          <w:rFonts w:cstheme="minorHAnsi"/>
        </w:rPr>
        <w:t xml:space="preserve"> </w:t>
      </w:r>
      <w:r w:rsidR="00444111" w:rsidRPr="00A26C26">
        <w:rPr>
          <w:rFonts w:cstheme="minorHAnsi"/>
        </w:rPr>
        <w:t>i</w:t>
      </w:r>
      <w:r w:rsidR="003B50ED">
        <w:rPr>
          <w:rFonts w:cstheme="minorHAnsi"/>
        </w:rPr>
        <w:t xml:space="preserve"> </w:t>
      </w:r>
      <w:r w:rsidR="00444111" w:rsidRPr="00A26C26">
        <w:rPr>
          <w:rFonts w:cstheme="minorHAnsi"/>
        </w:rPr>
        <w:t>metod</w:t>
      </w:r>
      <w:r w:rsidR="003B50ED">
        <w:rPr>
          <w:rFonts w:cstheme="minorHAnsi"/>
        </w:rPr>
        <w:t xml:space="preserve"> </w:t>
      </w:r>
      <w:r w:rsidR="00444111" w:rsidRPr="00A26C26">
        <w:rPr>
          <w:rFonts w:cstheme="minorHAnsi"/>
        </w:rPr>
        <w:t>badawczych,</w:t>
      </w:r>
      <w:r w:rsidR="003B50ED">
        <w:rPr>
          <w:rFonts w:cstheme="minorHAnsi"/>
        </w:rPr>
        <w:t xml:space="preserve"> </w:t>
      </w:r>
      <w:r w:rsidR="00444111" w:rsidRPr="00A26C26">
        <w:rPr>
          <w:rFonts w:cstheme="minorHAnsi"/>
        </w:rPr>
        <w:t>można</w:t>
      </w:r>
      <w:r w:rsidR="003B50ED">
        <w:rPr>
          <w:rFonts w:cstheme="minorHAnsi"/>
        </w:rPr>
        <w:t xml:space="preserve"> </w:t>
      </w:r>
      <w:r w:rsidR="00444111" w:rsidRPr="00A26C26">
        <w:rPr>
          <w:rFonts w:cstheme="minorHAnsi"/>
        </w:rPr>
        <w:t>przeczytać,</w:t>
      </w:r>
      <w:r w:rsidR="003B50ED">
        <w:rPr>
          <w:rFonts w:cstheme="minorHAnsi"/>
        </w:rPr>
        <w:t xml:space="preserve"> </w:t>
      </w:r>
      <w:r w:rsidR="00444111" w:rsidRPr="00A26C26">
        <w:rPr>
          <w:rFonts w:cstheme="minorHAnsi"/>
        </w:rPr>
        <w:t>że</w:t>
      </w:r>
      <w:r w:rsidR="003B50ED">
        <w:rPr>
          <w:rFonts w:cstheme="minorHAnsi"/>
        </w:rPr>
        <w:t xml:space="preserve"> </w:t>
      </w:r>
      <w:r w:rsidR="0032172C" w:rsidRPr="00A26C26">
        <w:rPr>
          <w:rFonts w:cstheme="minorHAnsi"/>
        </w:rPr>
        <w:t>mieszkańcy</w:t>
      </w:r>
      <w:r w:rsidR="003B50ED">
        <w:rPr>
          <w:rFonts w:cstheme="minorHAnsi"/>
        </w:rPr>
        <w:t xml:space="preserve"> </w:t>
      </w:r>
      <w:r w:rsidR="0032172C" w:rsidRPr="00A26C26">
        <w:rPr>
          <w:rFonts w:cstheme="minorHAnsi"/>
        </w:rPr>
        <w:t>nie</w:t>
      </w:r>
      <w:r w:rsidR="003B50ED">
        <w:rPr>
          <w:rFonts w:cstheme="minorHAnsi"/>
        </w:rPr>
        <w:t xml:space="preserve"> </w:t>
      </w:r>
      <w:r w:rsidR="0032172C" w:rsidRPr="00A26C26">
        <w:rPr>
          <w:rFonts w:cstheme="minorHAnsi"/>
        </w:rPr>
        <w:t>tylko</w:t>
      </w:r>
      <w:r w:rsidR="003B50ED">
        <w:rPr>
          <w:rFonts w:cstheme="minorHAnsi"/>
        </w:rPr>
        <w:t xml:space="preserve"> </w:t>
      </w:r>
      <w:r w:rsidR="002D4886" w:rsidRPr="00A26C26">
        <w:rPr>
          <w:rFonts w:cstheme="minorHAnsi"/>
        </w:rPr>
        <w:t>potrafią</w:t>
      </w:r>
      <w:r w:rsidR="003B50ED">
        <w:rPr>
          <w:rFonts w:cstheme="minorHAnsi"/>
        </w:rPr>
        <w:t xml:space="preserve"> </w:t>
      </w:r>
      <w:r w:rsidR="002D4886" w:rsidRPr="00A26C26">
        <w:rPr>
          <w:rFonts w:cstheme="minorHAnsi"/>
        </w:rPr>
        <w:t>zidentyfikować</w:t>
      </w:r>
      <w:r w:rsidR="003B50ED">
        <w:rPr>
          <w:rFonts w:cstheme="minorHAnsi"/>
        </w:rPr>
        <w:t xml:space="preserve"> </w:t>
      </w:r>
      <w:r w:rsidR="000B603C" w:rsidRPr="00A26C26">
        <w:rPr>
          <w:rFonts w:cstheme="minorHAnsi"/>
        </w:rPr>
        <w:t>Stowarzyszeni</w:t>
      </w:r>
      <w:r w:rsidR="000B603C">
        <w:rPr>
          <w:rFonts w:cstheme="minorHAnsi"/>
        </w:rPr>
        <w:t xml:space="preserve">e </w:t>
      </w:r>
      <w:r w:rsidR="000B603C" w:rsidRPr="00A26C26">
        <w:rPr>
          <w:rFonts w:cstheme="minorHAnsi"/>
        </w:rPr>
        <w:t>„Solidarni</w:t>
      </w:r>
      <w:r w:rsidR="000B603C">
        <w:rPr>
          <w:rFonts w:cstheme="minorHAnsi"/>
        </w:rPr>
        <w:t xml:space="preserve"> </w:t>
      </w:r>
      <w:r w:rsidR="000B603C" w:rsidRPr="00A26C26">
        <w:rPr>
          <w:rFonts w:cstheme="minorHAnsi"/>
        </w:rPr>
        <w:t>w</w:t>
      </w:r>
      <w:r w:rsidR="000B603C">
        <w:rPr>
          <w:rFonts w:cstheme="minorHAnsi"/>
        </w:rPr>
        <w:t xml:space="preserve"> </w:t>
      </w:r>
      <w:r w:rsidR="000B603C" w:rsidRPr="00A26C26">
        <w:rPr>
          <w:rFonts w:cstheme="minorHAnsi"/>
        </w:rPr>
        <w:t>Partnerstwie”</w:t>
      </w:r>
      <w:r w:rsidR="000B603C">
        <w:rPr>
          <w:rFonts w:cstheme="minorHAnsi"/>
        </w:rPr>
        <w:t xml:space="preserve">, </w:t>
      </w:r>
      <w:r w:rsidR="002D4886" w:rsidRPr="00A26C26">
        <w:rPr>
          <w:rFonts w:cstheme="minorHAnsi"/>
        </w:rPr>
        <w:t>ale</w:t>
      </w:r>
      <w:r w:rsidR="003B50ED">
        <w:rPr>
          <w:rFonts w:cstheme="minorHAnsi"/>
        </w:rPr>
        <w:t xml:space="preserve"> </w:t>
      </w:r>
      <w:r w:rsidR="002D4886" w:rsidRPr="00A26C26">
        <w:rPr>
          <w:rFonts w:cstheme="minorHAnsi"/>
        </w:rPr>
        <w:t>również</w:t>
      </w:r>
      <w:r w:rsidR="003B50ED">
        <w:rPr>
          <w:rFonts w:cstheme="minorHAnsi"/>
        </w:rPr>
        <w:t xml:space="preserve"> </w:t>
      </w:r>
      <w:r w:rsidR="002D4886" w:rsidRPr="00A26C26">
        <w:rPr>
          <w:rFonts w:cstheme="minorHAnsi"/>
        </w:rPr>
        <w:t>wiedzą,</w:t>
      </w:r>
      <w:r w:rsidR="003B50ED">
        <w:rPr>
          <w:rFonts w:cstheme="minorHAnsi"/>
        </w:rPr>
        <w:t xml:space="preserve"> </w:t>
      </w:r>
      <w:r w:rsidR="002D4886" w:rsidRPr="00A26C26">
        <w:rPr>
          <w:rFonts w:cstheme="minorHAnsi"/>
        </w:rPr>
        <w:t>że</w:t>
      </w:r>
      <w:r w:rsidR="003B50ED">
        <w:rPr>
          <w:rFonts w:cstheme="minorHAnsi"/>
        </w:rPr>
        <w:t xml:space="preserve"> </w:t>
      </w:r>
      <w:r w:rsidR="002D4886" w:rsidRPr="00A26C26">
        <w:rPr>
          <w:rFonts w:cstheme="minorHAnsi"/>
        </w:rPr>
        <w:t>infrastruktura,</w:t>
      </w:r>
      <w:r w:rsidR="003B50ED">
        <w:rPr>
          <w:rFonts w:cstheme="minorHAnsi"/>
        </w:rPr>
        <w:t xml:space="preserve"> </w:t>
      </w:r>
      <w:r w:rsidR="002D4886" w:rsidRPr="00A26C26">
        <w:rPr>
          <w:rFonts w:cstheme="minorHAnsi"/>
        </w:rPr>
        <w:t>z</w:t>
      </w:r>
      <w:r w:rsidR="003B50ED">
        <w:rPr>
          <w:rFonts w:cstheme="minorHAnsi"/>
        </w:rPr>
        <w:t xml:space="preserve"> </w:t>
      </w:r>
      <w:r w:rsidR="002D4886" w:rsidRPr="00A26C26">
        <w:rPr>
          <w:rFonts w:cstheme="minorHAnsi"/>
        </w:rPr>
        <w:t>której</w:t>
      </w:r>
      <w:r w:rsidR="003B50ED">
        <w:rPr>
          <w:rFonts w:cstheme="minorHAnsi"/>
        </w:rPr>
        <w:t xml:space="preserve"> </w:t>
      </w:r>
      <w:r w:rsidR="002D4886" w:rsidRPr="00A26C26">
        <w:rPr>
          <w:rFonts w:cstheme="minorHAnsi"/>
        </w:rPr>
        <w:t>korzystają</w:t>
      </w:r>
      <w:r w:rsidR="003B50ED">
        <w:rPr>
          <w:rFonts w:cstheme="minorHAnsi"/>
        </w:rPr>
        <w:t xml:space="preserve"> </w:t>
      </w:r>
      <w:r w:rsidR="002D4886" w:rsidRPr="00A26C26">
        <w:rPr>
          <w:rFonts w:cstheme="minorHAnsi"/>
        </w:rPr>
        <w:t>została</w:t>
      </w:r>
      <w:r w:rsidR="003B50ED">
        <w:rPr>
          <w:rFonts w:cstheme="minorHAnsi"/>
        </w:rPr>
        <w:t xml:space="preserve"> </w:t>
      </w:r>
      <w:r w:rsidR="002D4886" w:rsidRPr="00A26C26">
        <w:rPr>
          <w:rFonts w:cstheme="minorHAnsi"/>
        </w:rPr>
        <w:t>sfinansowana</w:t>
      </w:r>
      <w:r w:rsidR="003B50ED">
        <w:rPr>
          <w:rFonts w:cstheme="minorHAnsi"/>
        </w:rPr>
        <w:t xml:space="preserve"> </w:t>
      </w:r>
      <w:r w:rsidR="002D4886" w:rsidRPr="00A26C26">
        <w:rPr>
          <w:rFonts w:cstheme="minorHAnsi"/>
        </w:rPr>
        <w:t>ze</w:t>
      </w:r>
      <w:r w:rsidR="003B50ED">
        <w:rPr>
          <w:rFonts w:cstheme="minorHAnsi"/>
        </w:rPr>
        <w:t xml:space="preserve"> </w:t>
      </w:r>
      <w:r w:rsidR="002D4886" w:rsidRPr="00A26C26">
        <w:rPr>
          <w:rFonts w:cstheme="minorHAnsi"/>
        </w:rPr>
        <w:t>środków</w:t>
      </w:r>
      <w:r w:rsidR="003B50ED">
        <w:rPr>
          <w:rFonts w:cstheme="minorHAnsi"/>
        </w:rPr>
        <w:t xml:space="preserve"> </w:t>
      </w:r>
      <w:r w:rsidR="002D4886" w:rsidRPr="00A26C26">
        <w:rPr>
          <w:rFonts w:cstheme="minorHAnsi"/>
        </w:rPr>
        <w:t>unijnych.</w:t>
      </w:r>
      <w:r w:rsidR="003B50ED">
        <w:rPr>
          <w:rFonts w:cstheme="minorHAnsi"/>
        </w:rPr>
        <w:t xml:space="preserve"> </w:t>
      </w:r>
    </w:p>
    <w:p w14:paraId="598CA2C1" w14:textId="322FA06A" w:rsidR="00FA703D" w:rsidRPr="00A26C26" w:rsidRDefault="00C93D5F" w:rsidP="00A26C26">
      <w:pPr>
        <w:spacing w:line="276" w:lineRule="auto"/>
        <w:ind w:firstLine="284"/>
        <w:jc w:val="both"/>
        <w:rPr>
          <w:rFonts w:cstheme="minorHAnsi"/>
        </w:rPr>
      </w:pPr>
      <w:r w:rsidRPr="00A26C26">
        <w:rPr>
          <w:rFonts w:cstheme="minorHAnsi"/>
        </w:rPr>
        <w:t>To</w:t>
      </w:r>
      <w:r w:rsidR="003B50ED">
        <w:rPr>
          <w:rFonts w:cstheme="minorHAnsi"/>
        </w:rPr>
        <w:t xml:space="preserve"> </w:t>
      </w:r>
      <w:r w:rsidRPr="00A26C26">
        <w:rPr>
          <w:rFonts w:cstheme="minorHAnsi"/>
        </w:rPr>
        <w:t>właśnie</w:t>
      </w:r>
      <w:r w:rsidR="003B50ED">
        <w:rPr>
          <w:rFonts w:cstheme="minorHAnsi"/>
        </w:rPr>
        <w:t xml:space="preserve"> </w:t>
      </w:r>
      <w:r w:rsidRPr="00A26C26">
        <w:rPr>
          <w:rFonts w:cstheme="minorHAnsi"/>
        </w:rPr>
        <w:t>partnerskie</w:t>
      </w:r>
      <w:r w:rsidR="003B50ED">
        <w:rPr>
          <w:rFonts w:cstheme="minorHAnsi"/>
        </w:rPr>
        <w:t xml:space="preserve"> </w:t>
      </w:r>
      <w:r w:rsidRPr="00A26C26">
        <w:rPr>
          <w:rFonts w:cstheme="minorHAnsi"/>
        </w:rPr>
        <w:t>relacje</w:t>
      </w:r>
      <w:r w:rsidR="003B50ED">
        <w:rPr>
          <w:rFonts w:cstheme="minorHAnsi"/>
        </w:rPr>
        <w:t xml:space="preserve"> </w:t>
      </w:r>
      <w:r w:rsidRPr="00A26C26">
        <w:rPr>
          <w:rFonts w:cstheme="minorHAnsi"/>
        </w:rPr>
        <w:t>są</w:t>
      </w:r>
      <w:r w:rsidR="003B50ED">
        <w:rPr>
          <w:rFonts w:cstheme="minorHAnsi"/>
        </w:rPr>
        <w:t xml:space="preserve"> </w:t>
      </w:r>
      <w:r w:rsidRPr="00A26C26">
        <w:rPr>
          <w:rFonts w:cstheme="minorHAnsi"/>
        </w:rPr>
        <w:t>fundamentalną</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niezaprzeczalną</w:t>
      </w:r>
      <w:r w:rsidR="003B50ED">
        <w:rPr>
          <w:rFonts w:cstheme="minorHAnsi"/>
        </w:rPr>
        <w:t xml:space="preserve"> </w:t>
      </w:r>
      <w:r w:rsidRPr="00A26C26">
        <w:rPr>
          <w:rFonts w:cstheme="minorHAnsi"/>
        </w:rPr>
        <w:t>cechą</w:t>
      </w:r>
      <w:r w:rsidR="003B50ED">
        <w:rPr>
          <w:rFonts w:cstheme="minorHAnsi"/>
        </w:rPr>
        <w:t xml:space="preserve"> </w:t>
      </w:r>
      <w:r w:rsidRPr="00A26C26">
        <w:rPr>
          <w:rFonts w:cstheme="minorHAnsi"/>
        </w:rPr>
        <w:t>podejścia</w:t>
      </w:r>
      <w:r w:rsidR="003B50ED">
        <w:rPr>
          <w:rFonts w:cstheme="minorHAnsi"/>
        </w:rPr>
        <w:t xml:space="preserve"> </w:t>
      </w:r>
      <w:r w:rsidR="000B603C">
        <w:rPr>
          <w:rFonts w:cstheme="minorHAnsi"/>
        </w:rPr>
        <w:t>RLKS</w:t>
      </w:r>
      <w:r w:rsidRPr="00A26C26">
        <w:rPr>
          <w:rFonts w:cstheme="minorHAnsi"/>
        </w:rPr>
        <w:t>,</w:t>
      </w:r>
      <w:r w:rsidR="003B50ED">
        <w:rPr>
          <w:rFonts w:cstheme="minorHAnsi"/>
        </w:rPr>
        <w:t xml:space="preserve"> </w:t>
      </w:r>
      <w:r w:rsidRPr="00A26C26">
        <w:rPr>
          <w:rFonts w:cstheme="minorHAnsi"/>
        </w:rPr>
        <w:t>stanowiącego</w:t>
      </w:r>
      <w:r w:rsidR="003B50ED">
        <w:rPr>
          <w:rFonts w:cstheme="minorHAnsi"/>
        </w:rPr>
        <w:t xml:space="preserve"> </w:t>
      </w:r>
      <w:r w:rsidRPr="00A26C26">
        <w:rPr>
          <w:rFonts w:cstheme="minorHAnsi"/>
        </w:rPr>
        <w:t>kontynuację</w:t>
      </w:r>
      <w:r w:rsidR="003B50ED">
        <w:rPr>
          <w:rFonts w:cstheme="minorHAnsi"/>
        </w:rPr>
        <w:t xml:space="preserve"> </w:t>
      </w:r>
      <w:r w:rsidRPr="00A26C26">
        <w:rPr>
          <w:rFonts w:cstheme="minorHAnsi"/>
        </w:rPr>
        <w:t>idei</w:t>
      </w:r>
      <w:r w:rsidR="003B50ED">
        <w:rPr>
          <w:rFonts w:cstheme="minorHAnsi"/>
        </w:rPr>
        <w:t xml:space="preserve"> </w:t>
      </w:r>
      <w:r w:rsidRPr="00A26C26">
        <w:rPr>
          <w:rFonts w:cstheme="minorHAnsi"/>
        </w:rPr>
        <w:t>LEADER</w:t>
      </w:r>
      <w:r w:rsidR="003B50ED">
        <w:rPr>
          <w:rFonts w:cstheme="minorHAnsi"/>
        </w:rPr>
        <w:t xml:space="preserve">. </w:t>
      </w:r>
      <w:r w:rsidRPr="00A26C26">
        <w:rPr>
          <w:rFonts w:cstheme="minorHAnsi"/>
        </w:rPr>
        <w:t>Tylko</w:t>
      </w:r>
      <w:r w:rsidR="003B50ED">
        <w:rPr>
          <w:rFonts w:cstheme="minorHAnsi"/>
        </w:rPr>
        <w:t xml:space="preserve"> </w:t>
      </w:r>
      <w:r w:rsidRPr="00A26C26">
        <w:rPr>
          <w:rFonts w:cstheme="minorHAnsi"/>
        </w:rPr>
        <w:t>dzięki</w:t>
      </w:r>
      <w:r w:rsidR="003B50ED">
        <w:rPr>
          <w:rFonts w:cstheme="minorHAnsi"/>
        </w:rPr>
        <w:t xml:space="preserve"> </w:t>
      </w:r>
      <w:r w:rsidR="00A2443B" w:rsidRPr="00A26C26">
        <w:rPr>
          <w:rFonts w:cstheme="minorHAnsi"/>
        </w:rPr>
        <w:t>aktywnej</w:t>
      </w:r>
      <w:r w:rsidR="003B50ED">
        <w:rPr>
          <w:rFonts w:cstheme="minorHAnsi"/>
        </w:rPr>
        <w:t xml:space="preserve"> </w:t>
      </w:r>
      <w:r w:rsidR="00A2443B" w:rsidRPr="00A26C26">
        <w:rPr>
          <w:rFonts w:cstheme="minorHAnsi"/>
        </w:rPr>
        <w:t>i</w:t>
      </w:r>
      <w:r w:rsidR="003B50ED">
        <w:rPr>
          <w:rFonts w:cstheme="minorHAnsi"/>
        </w:rPr>
        <w:t xml:space="preserve"> </w:t>
      </w:r>
      <w:r w:rsidR="00A2443B" w:rsidRPr="00A26C26">
        <w:rPr>
          <w:rFonts w:cstheme="minorHAnsi"/>
        </w:rPr>
        <w:t>wielopoziomowej</w:t>
      </w:r>
      <w:r w:rsidR="003B50ED">
        <w:rPr>
          <w:rFonts w:cstheme="minorHAnsi"/>
        </w:rPr>
        <w:t xml:space="preserve"> </w:t>
      </w:r>
      <w:r w:rsidRPr="00A26C26">
        <w:rPr>
          <w:rFonts w:cstheme="minorHAnsi"/>
        </w:rPr>
        <w:t>współpracy</w:t>
      </w:r>
      <w:r w:rsidR="003B50ED">
        <w:rPr>
          <w:rFonts w:cstheme="minorHAnsi"/>
        </w:rPr>
        <w:t xml:space="preserve"> </w:t>
      </w:r>
      <w:r w:rsidR="00A2443B" w:rsidRPr="00A26C26">
        <w:rPr>
          <w:rFonts w:cstheme="minorHAnsi"/>
        </w:rPr>
        <w:t>z</w:t>
      </w:r>
      <w:r w:rsidR="003B50ED">
        <w:rPr>
          <w:rFonts w:cstheme="minorHAnsi"/>
        </w:rPr>
        <w:t xml:space="preserve"> </w:t>
      </w:r>
      <w:r w:rsidR="00A2443B" w:rsidRPr="00A26C26">
        <w:rPr>
          <w:rFonts w:cstheme="minorHAnsi"/>
        </w:rPr>
        <w:t>lokalną</w:t>
      </w:r>
      <w:r w:rsidR="003B50ED">
        <w:rPr>
          <w:rFonts w:cstheme="minorHAnsi"/>
        </w:rPr>
        <w:t xml:space="preserve"> </w:t>
      </w:r>
      <w:r w:rsidR="00A2443B" w:rsidRPr="00A26C26">
        <w:rPr>
          <w:rFonts w:cstheme="minorHAnsi"/>
        </w:rPr>
        <w:t>społecznością</w:t>
      </w:r>
      <w:r w:rsidR="003B50ED">
        <w:rPr>
          <w:rFonts w:cstheme="minorHAnsi"/>
        </w:rPr>
        <w:t xml:space="preserve"> </w:t>
      </w:r>
      <w:r w:rsidR="00A2443B" w:rsidRPr="00A26C26">
        <w:rPr>
          <w:rFonts w:cstheme="minorHAnsi"/>
        </w:rPr>
        <w:t>na</w:t>
      </w:r>
      <w:r w:rsidR="003B50ED">
        <w:rPr>
          <w:rFonts w:cstheme="minorHAnsi"/>
        </w:rPr>
        <w:t xml:space="preserve"> </w:t>
      </w:r>
      <w:r w:rsidR="00A2443B" w:rsidRPr="00A26C26">
        <w:rPr>
          <w:rFonts w:cstheme="minorHAnsi"/>
        </w:rPr>
        <w:t>każdym</w:t>
      </w:r>
      <w:r w:rsidR="003B50ED">
        <w:rPr>
          <w:rFonts w:cstheme="minorHAnsi"/>
        </w:rPr>
        <w:t xml:space="preserve"> </w:t>
      </w:r>
      <w:r w:rsidR="00A2443B" w:rsidRPr="00A26C26">
        <w:rPr>
          <w:rFonts w:cstheme="minorHAnsi"/>
        </w:rPr>
        <w:t>etapie</w:t>
      </w:r>
      <w:r w:rsidR="003B50ED">
        <w:rPr>
          <w:rFonts w:cstheme="minorHAnsi"/>
        </w:rPr>
        <w:t xml:space="preserve"> </w:t>
      </w:r>
      <w:r w:rsidR="00A2443B" w:rsidRPr="00A26C26">
        <w:rPr>
          <w:rFonts w:cstheme="minorHAnsi"/>
        </w:rPr>
        <w:t>realizacji</w:t>
      </w:r>
      <w:r w:rsidR="003B50ED">
        <w:rPr>
          <w:rFonts w:cstheme="minorHAnsi"/>
        </w:rPr>
        <w:t xml:space="preserve"> </w:t>
      </w:r>
      <w:r w:rsidR="00A2443B" w:rsidRPr="00A26C26">
        <w:rPr>
          <w:rFonts w:cstheme="minorHAnsi"/>
        </w:rPr>
        <w:t>LSR</w:t>
      </w:r>
      <w:r w:rsidR="003B50ED">
        <w:rPr>
          <w:rFonts w:cstheme="minorHAnsi"/>
        </w:rPr>
        <w:t xml:space="preserve"> </w:t>
      </w:r>
      <w:r w:rsidR="00A2443B" w:rsidRPr="00A26C26">
        <w:rPr>
          <w:rFonts w:cstheme="minorHAnsi"/>
        </w:rPr>
        <w:t>(od</w:t>
      </w:r>
      <w:r w:rsidR="003B50ED">
        <w:rPr>
          <w:rFonts w:cstheme="minorHAnsi"/>
        </w:rPr>
        <w:t xml:space="preserve"> </w:t>
      </w:r>
      <w:r w:rsidR="00EA772B">
        <w:rPr>
          <w:rFonts w:cstheme="minorHAnsi"/>
        </w:rPr>
        <w:t>przygotowania LSR</w:t>
      </w:r>
      <w:r w:rsidR="00A2443B" w:rsidRPr="00A26C26">
        <w:rPr>
          <w:rFonts w:cstheme="minorHAnsi"/>
        </w:rPr>
        <w:t>,</w:t>
      </w:r>
      <w:r w:rsidR="003B50ED">
        <w:rPr>
          <w:rFonts w:cstheme="minorHAnsi"/>
        </w:rPr>
        <w:t xml:space="preserve"> </w:t>
      </w:r>
      <w:r w:rsidR="00A2443B" w:rsidRPr="00A26C26">
        <w:rPr>
          <w:rFonts w:cstheme="minorHAnsi"/>
        </w:rPr>
        <w:t>przez</w:t>
      </w:r>
      <w:r w:rsidR="003B50ED">
        <w:rPr>
          <w:rFonts w:cstheme="minorHAnsi"/>
        </w:rPr>
        <w:t xml:space="preserve"> </w:t>
      </w:r>
      <w:r w:rsidR="00A2443B" w:rsidRPr="00A26C26">
        <w:rPr>
          <w:rFonts w:cstheme="minorHAnsi"/>
        </w:rPr>
        <w:t>wdrażanie</w:t>
      </w:r>
      <w:r w:rsidR="003B50ED">
        <w:rPr>
          <w:rFonts w:cstheme="minorHAnsi"/>
        </w:rPr>
        <w:t xml:space="preserve"> </w:t>
      </w:r>
      <w:r w:rsidR="00A2443B" w:rsidRPr="00A26C26">
        <w:rPr>
          <w:rFonts w:cstheme="minorHAnsi"/>
        </w:rPr>
        <w:t>konkretnych</w:t>
      </w:r>
      <w:r w:rsidR="003B50ED">
        <w:rPr>
          <w:rFonts w:cstheme="minorHAnsi"/>
        </w:rPr>
        <w:t xml:space="preserve"> </w:t>
      </w:r>
      <w:r w:rsidR="00A2443B" w:rsidRPr="00A26C26">
        <w:rPr>
          <w:rFonts w:cstheme="minorHAnsi"/>
        </w:rPr>
        <w:t>działań,</w:t>
      </w:r>
      <w:r w:rsidR="003B50ED">
        <w:rPr>
          <w:rFonts w:cstheme="minorHAnsi"/>
        </w:rPr>
        <w:t xml:space="preserve"> </w:t>
      </w:r>
      <w:r w:rsidR="00A2443B" w:rsidRPr="00A26C26">
        <w:rPr>
          <w:rFonts w:cstheme="minorHAnsi"/>
        </w:rPr>
        <w:t>na</w:t>
      </w:r>
      <w:r w:rsidR="003B50ED">
        <w:rPr>
          <w:rFonts w:cstheme="minorHAnsi"/>
        </w:rPr>
        <w:t xml:space="preserve"> </w:t>
      </w:r>
      <w:r w:rsidR="00A2443B" w:rsidRPr="00A26C26">
        <w:rPr>
          <w:rFonts w:cstheme="minorHAnsi"/>
        </w:rPr>
        <w:t>ewaluacji</w:t>
      </w:r>
      <w:r w:rsidR="003B50ED">
        <w:rPr>
          <w:rFonts w:cstheme="minorHAnsi"/>
        </w:rPr>
        <w:t xml:space="preserve"> </w:t>
      </w:r>
      <w:r w:rsidR="00A2443B" w:rsidRPr="00A26C26">
        <w:rPr>
          <w:rFonts w:cstheme="minorHAnsi"/>
        </w:rPr>
        <w:t>kończąc)</w:t>
      </w:r>
      <w:r w:rsidR="003B50ED">
        <w:rPr>
          <w:rFonts w:cstheme="minorHAnsi"/>
        </w:rPr>
        <w:t xml:space="preserve"> </w:t>
      </w:r>
      <w:r w:rsidR="00A2443B" w:rsidRPr="00A26C26">
        <w:rPr>
          <w:rFonts w:cstheme="minorHAnsi"/>
        </w:rPr>
        <w:t>udało</w:t>
      </w:r>
      <w:r w:rsidR="003B50ED">
        <w:rPr>
          <w:rFonts w:cstheme="minorHAnsi"/>
        </w:rPr>
        <w:t xml:space="preserve"> </w:t>
      </w:r>
      <w:r w:rsidR="00A2443B" w:rsidRPr="00A26C26">
        <w:rPr>
          <w:rFonts w:cstheme="minorHAnsi"/>
        </w:rPr>
        <w:t>się</w:t>
      </w:r>
      <w:r w:rsidR="003B50ED">
        <w:rPr>
          <w:rFonts w:cstheme="minorHAnsi"/>
        </w:rPr>
        <w:t xml:space="preserve"> </w:t>
      </w:r>
      <w:r w:rsidR="00EA772B">
        <w:rPr>
          <w:rFonts w:cstheme="minorHAnsi"/>
        </w:rPr>
        <w:br/>
      </w:r>
      <w:r w:rsidR="00A2443B" w:rsidRPr="00A26C26">
        <w:rPr>
          <w:rFonts w:cstheme="minorHAnsi"/>
        </w:rPr>
        <w:t>z</w:t>
      </w:r>
      <w:r w:rsidR="003B50ED">
        <w:rPr>
          <w:rFonts w:cstheme="minorHAnsi"/>
        </w:rPr>
        <w:t xml:space="preserve"> </w:t>
      </w:r>
      <w:r w:rsidR="00A2443B" w:rsidRPr="00A26C26">
        <w:rPr>
          <w:rFonts w:cstheme="minorHAnsi"/>
        </w:rPr>
        <w:t>sukcesem</w:t>
      </w:r>
      <w:r w:rsidR="003B50ED">
        <w:rPr>
          <w:rFonts w:cstheme="minorHAnsi"/>
        </w:rPr>
        <w:t xml:space="preserve"> </w:t>
      </w:r>
      <w:r w:rsidR="00A2443B" w:rsidRPr="00A26C26">
        <w:rPr>
          <w:rFonts w:cstheme="minorHAnsi"/>
        </w:rPr>
        <w:t>osiągać</w:t>
      </w:r>
      <w:r w:rsidR="003B50ED">
        <w:rPr>
          <w:rFonts w:cstheme="minorHAnsi"/>
        </w:rPr>
        <w:t xml:space="preserve"> </w:t>
      </w:r>
      <w:r w:rsidR="00A2443B" w:rsidRPr="00A26C26">
        <w:rPr>
          <w:rFonts w:cstheme="minorHAnsi"/>
        </w:rPr>
        <w:t>założone</w:t>
      </w:r>
      <w:r w:rsidR="003B50ED">
        <w:rPr>
          <w:rFonts w:cstheme="minorHAnsi"/>
        </w:rPr>
        <w:t xml:space="preserve"> </w:t>
      </w:r>
      <w:r w:rsidR="00A2443B" w:rsidRPr="00A26C26">
        <w:rPr>
          <w:rFonts w:cstheme="minorHAnsi"/>
        </w:rPr>
        <w:t>cele</w:t>
      </w:r>
      <w:r w:rsidR="008750C3" w:rsidRPr="00A26C26">
        <w:rPr>
          <w:rFonts w:cstheme="minorHAnsi"/>
        </w:rPr>
        <w:t>.</w:t>
      </w:r>
      <w:r w:rsidR="003B50ED">
        <w:rPr>
          <w:rFonts w:cstheme="minorHAnsi"/>
        </w:rPr>
        <w:t xml:space="preserve"> </w:t>
      </w:r>
    </w:p>
    <w:p w14:paraId="05F3DC64" w14:textId="459A2DF8" w:rsidR="00F22284" w:rsidRPr="00F16251" w:rsidRDefault="008750C3" w:rsidP="00A26C26">
      <w:pPr>
        <w:spacing w:line="276" w:lineRule="auto"/>
        <w:ind w:firstLine="284"/>
        <w:jc w:val="both"/>
        <w:rPr>
          <w:rFonts w:cstheme="minorHAnsi"/>
        </w:rPr>
      </w:pPr>
      <w:r w:rsidRPr="00A26C26">
        <w:rPr>
          <w:rFonts w:cstheme="minorHAnsi"/>
        </w:rPr>
        <w:t>Analizując</w:t>
      </w:r>
      <w:r w:rsidR="003B50ED">
        <w:rPr>
          <w:rFonts w:cstheme="minorHAnsi"/>
        </w:rPr>
        <w:t xml:space="preserve"> </w:t>
      </w:r>
      <w:r w:rsidRPr="00A26C26">
        <w:rPr>
          <w:rFonts w:cstheme="minorHAnsi"/>
        </w:rPr>
        <w:t>proces</w:t>
      </w:r>
      <w:r w:rsidR="003B50ED">
        <w:rPr>
          <w:rFonts w:cstheme="minorHAnsi"/>
        </w:rPr>
        <w:t xml:space="preserve"> </w:t>
      </w:r>
      <w:r w:rsidRPr="00A26C26">
        <w:rPr>
          <w:rFonts w:cstheme="minorHAnsi"/>
        </w:rPr>
        <w:t>wdrażania</w:t>
      </w:r>
      <w:r w:rsidR="003B50ED">
        <w:rPr>
          <w:rFonts w:cstheme="minorHAnsi"/>
        </w:rPr>
        <w:t xml:space="preserve"> </w:t>
      </w:r>
      <w:r w:rsidR="00F22284" w:rsidRPr="00A26C26">
        <w:rPr>
          <w:rFonts w:cstheme="minorHAnsi"/>
        </w:rPr>
        <w:t>LSR</w:t>
      </w:r>
      <w:r w:rsidR="003B50ED">
        <w:rPr>
          <w:rFonts w:cstheme="minorHAnsi"/>
        </w:rPr>
        <w:t xml:space="preserve"> </w:t>
      </w:r>
      <w:r w:rsidRPr="00A26C26">
        <w:rPr>
          <w:rFonts w:cstheme="minorHAnsi"/>
        </w:rPr>
        <w:t>zarówno</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poprzednich</w:t>
      </w:r>
      <w:r w:rsidR="003B50ED">
        <w:rPr>
          <w:rFonts w:cstheme="minorHAnsi"/>
        </w:rPr>
        <w:t xml:space="preserve"> </w:t>
      </w:r>
      <w:r w:rsidRPr="00A26C26">
        <w:rPr>
          <w:rFonts w:cstheme="minorHAnsi"/>
        </w:rPr>
        <w:t>okresach</w:t>
      </w:r>
      <w:r w:rsidR="003B50ED">
        <w:rPr>
          <w:rFonts w:cstheme="minorHAnsi"/>
        </w:rPr>
        <w:t xml:space="preserve"> </w:t>
      </w:r>
      <w:r w:rsidRPr="00A26C26">
        <w:rPr>
          <w:rFonts w:cstheme="minorHAnsi"/>
        </w:rPr>
        <w:t>programowania</w:t>
      </w:r>
      <w:r w:rsidR="003B50ED">
        <w:rPr>
          <w:rFonts w:cstheme="minorHAnsi"/>
        </w:rPr>
        <w:t xml:space="preserve"> </w:t>
      </w:r>
      <w:r w:rsidRPr="00A26C26">
        <w:rPr>
          <w:rFonts w:cstheme="minorHAnsi"/>
        </w:rPr>
        <w:t>jak</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planując</w:t>
      </w:r>
      <w:r w:rsidR="003B50ED">
        <w:rPr>
          <w:rFonts w:cstheme="minorHAnsi"/>
        </w:rPr>
        <w:t xml:space="preserve"> </w:t>
      </w:r>
      <w:r w:rsidRPr="00A26C26">
        <w:rPr>
          <w:rFonts w:cstheme="minorHAnsi"/>
        </w:rPr>
        <w:t>założenia</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lata</w:t>
      </w:r>
      <w:r w:rsidR="003B50ED">
        <w:rPr>
          <w:rFonts w:cstheme="minorHAnsi"/>
        </w:rPr>
        <w:t xml:space="preserve"> </w:t>
      </w:r>
      <w:r w:rsidRPr="00A26C26">
        <w:rPr>
          <w:rFonts w:cstheme="minorHAnsi"/>
        </w:rPr>
        <w:t>2023-2027</w:t>
      </w:r>
      <w:r w:rsidR="003B50ED">
        <w:rPr>
          <w:rFonts w:cstheme="minorHAnsi"/>
        </w:rPr>
        <w:t xml:space="preserve"> </w:t>
      </w:r>
      <w:r w:rsidRPr="00A26C26">
        <w:rPr>
          <w:rFonts w:cstheme="minorHAnsi"/>
        </w:rPr>
        <w:t>należy</w:t>
      </w:r>
      <w:r w:rsidR="003B50ED">
        <w:rPr>
          <w:rFonts w:cstheme="minorHAnsi"/>
        </w:rPr>
        <w:t xml:space="preserve"> </w:t>
      </w:r>
      <w:r w:rsidRPr="00A26C26">
        <w:rPr>
          <w:rFonts w:cstheme="minorHAnsi"/>
        </w:rPr>
        <w:t>pamiętać,</w:t>
      </w:r>
      <w:r w:rsidR="003B50ED">
        <w:rPr>
          <w:rFonts w:cstheme="minorHAnsi"/>
        </w:rPr>
        <w:t xml:space="preserve"> </w:t>
      </w:r>
      <w:r w:rsidRPr="00A26C26">
        <w:rPr>
          <w:rFonts w:cstheme="minorHAnsi"/>
        </w:rPr>
        <w:t>że</w:t>
      </w:r>
      <w:r w:rsidR="003B50ED">
        <w:rPr>
          <w:rFonts w:cstheme="minorHAnsi"/>
        </w:rPr>
        <w:t xml:space="preserve"> </w:t>
      </w:r>
      <w:r w:rsidRPr="00A26C26">
        <w:rPr>
          <w:rFonts w:cstheme="minorHAnsi"/>
        </w:rPr>
        <w:t>LSR</w:t>
      </w:r>
      <w:r w:rsidR="003B50ED">
        <w:rPr>
          <w:rFonts w:cstheme="minorHAnsi"/>
        </w:rPr>
        <w:t xml:space="preserve"> </w:t>
      </w:r>
      <w:r w:rsidR="00F22284" w:rsidRPr="00A26C26">
        <w:rPr>
          <w:rFonts w:cstheme="minorHAnsi"/>
        </w:rPr>
        <w:t>jest</w:t>
      </w:r>
      <w:r w:rsidR="003B50ED">
        <w:rPr>
          <w:rFonts w:cstheme="minorHAnsi"/>
        </w:rPr>
        <w:t xml:space="preserve"> </w:t>
      </w:r>
      <w:r w:rsidR="00F22284" w:rsidRPr="00A26C26">
        <w:rPr>
          <w:rFonts w:cstheme="minorHAnsi"/>
        </w:rPr>
        <w:t>szczególną</w:t>
      </w:r>
      <w:r w:rsidR="003B50ED">
        <w:rPr>
          <w:rFonts w:cstheme="minorHAnsi"/>
        </w:rPr>
        <w:t xml:space="preserve"> </w:t>
      </w:r>
      <w:r w:rsidR="00F22284" w:rsidRPr="00A26C26">
        <w:rPr>
          <w:rFonts w:cstheme="minorHAnsi"/>
        </w:rPr>
        <w:t>formą</w:t>
      </w:r>
      <w:r w:rsidR="003B50ED">
        <w:rPr>
          <w:rFonts w:cstheme="minorHAnsi"/>
        </w:rPr>
        <w:t xml:space="preserve"> </w:t>
      </w:r>
      <w:r w:rsidR="00F22284" w:rsidRPr="00A26C26">
        <w:rPr>
          <w:rFonts w:cstheme="minorHAnsi"/>
        </w:rPr>
        <w:t>interwencji</w:t>
      </w:r>
      <w:r w:rsidR="003B50ED">
        <w:rPr>
          <w:rFonts w:cstheme="minorHAnsi"/>
        </w:rPr>
        <w:t xml:space="preserve"> </w:t>
      </w:r>
      <w:r w:rsidR="00F22284" w:rsidRPr="00A26C26">
        <w:rPr>
          <w:rFonts w:cstheme="minorHAnsi"/>
        </w:rPr>
        <w:t>publicznej.</w:t>
      </w:r>
      <w:r w:rsidR="003B50ED">
        <w:rPr>
          <w:rFonts w:cstheme="minorHAnsi"/>
        </w:rPr>
        <w:t xml:space="preserve"> </w:t>
      </w:r>
      <w:r w:rsidR="00F22284" w:rsidRPr="00A26C26">
        <w:rPr>
          <w:rFonts w:cstheme="minorHAnsi"/>
        </w:rPr>
        <w:t>Skuteczne</w:t>
      </w:r>
      <w:r w:rsidR="003B50ED">
        <w:rPr>
          <w:rFonts w:cstheme="minorHAnsi"/>
        </w:rPr>
        <w:t xml:space="preserve"> </w:t>
      </w:r>
      <w:r w:rsidR="00F22284" w:rsidRPr="00A26C26">
        <w:rPr>
          <w:rFonts w:cstheme="minorHAnsi"/>
        </w:rPr>
        <w:t>jej</w:t>
      </w:r>
      <w:r w:rsidR="003B50ED">
        <w:rPr>
          <w:rFonts w:cstheme="minorHAnsi"/>
        </w:rPr>
        <w:t xml:space="preserve"> </w:t>
      </w:r>
      <w:r w:rsidR="00F22284" w:rsidRPr="00A26C26">
        <w:rPr>
          <w:rFonts w:cstheme="minorHAnsi"/>
        </w:rPr>
        <w:t>wdrożenie</w:t>
      </w:r>
      <w:r w:rsidR="003B50ED">
        <w:rPr>
          <w:rFonts w:cstheme="minorHAnsi"/>
        </w:rPr>
        <w:t xml:space="preserve"> </w:t>
      </w:r>
      <w:r w:rsidR="00F22284" w:rsidRPr="00A26C26">
        <w:rPr>
          <w:rFonts w:cstheme="minorHAnsi"/>
        </w:rPr>
        <w:t>było</w:t>
      </w:r>
      <w:r w:rsidR="003B50ED">
        <w:rPr>
          <w:rFonts w:cstheme="minorHAnsi"/>
        </w:rPr>
        <w:t xml:space="preserve"> </w:t>
      </w:r>
      <w:r w:rsidR="00F22284" w:rsidRPr="00A26C26">
        <w:rPr>
          <w:rFonts w:cstheme="minorHAnsi"/>
        </w:rPr>
        <w:t>możliwe</w:t>
      </w:r>
      <w:r w:rsidR="003B50ED">
        <w:rPr>
          <w:rFonts w:cstheme="minorHAnsi"/>
        </w:rPr>
        <w:t xml:space="preserve"> </w:t>
      </w:r>
      <w:r w:rsidR="00F22284" w:rsidRPr="00A26C26">
        <w:rPr>
          <w:rFonts w:cstheme="minorHAnsi"/>
        </w:rPr>
        <w:t>między</w:t>
      </w:r>
      <w:r w:rsidR="003B50ED">
        <w:rPr>
          <w:rFonts w:cstheme="minorHAnsi"/>
        </w:rPr>
        <w:t xml:space="preserve"> </w:t>
      </w:r>
      <w:r w:rsidR="00F22284" w:rsidRPr="00A26C26">
        <w:rPr>
          <w:rFonts w:cstheme="minorHAnsi"/>
        </w:rPr>
        <w:t>innymi</w:t>
      </w:r>
      <w:r w:rsidR="003B50ED">
        <w:rPr>
          <w:rFonts w:cstheme="minorHAnsi"/>
        </w:rPr>
        <w:t xml:space="preserve"> </w:t>
      </w:r>
      <w:r w:rsidR="00F22284" w:rsidRPr="00A26C26">
        <w:rPr>
          <w:rFonts w:cstheme="minorHAnsi"/>
        </w:rPr>
        <w:t>dzięki</w:t>
      </w:r>
      <w:r w:rsidR="003B50ED">
        <w:rPr>
          <w:rFonts w:cstheme="minorHAnsi"/>
        </w:rPr>
        <w:t xml:space="preserve"> </w:t>
      </w:r>
      <w:r w:rsidR="00F22284" w:rsidRPr="00A26C26">
        <w:rPr>
          <w:rFonts w:cstheme="minorHAnsi"/>
        </w:rPr>
        <w:t>jakości</w:t>
      </w:r>
      <w:r w:rsidR="003B50ED">
        <w:rPr>
          <w:rFonts w:cstheme="minorHAnsi"/>
        </w:rPr>
        <w:t xml:space="preserve"> </w:t>
      </w:r>
      <w:r w:rsidR="00F22284" w:rsidRPr="00A26C26">
        <w:rPr>
          <w:rFonts w:cstheme="minorHAnsi"/>
        </w:rPr>
        <w:t>procesu</w:t>
      </w:r>
      <w:r w:rsidR="003B50ED">
        <w:rPr>
          <w:rFonts w:cstheme="minorHAnsi"/>
        </w:rPr>
        <w:t xml:space="preserve"> </w:t>
      </w:r>
      <w:r w:rsidR="00F22284" w:rsidRPr="00A26C26">
        <w:rPr>
          <w:rFonts w:cstheme="minorHAnsi"/>
        </w:rPr>
        <w:t>wdrażania</w:t>
      </w:r>
      <w:r w:rsidR="003B50ED">
        <w:rPr>
          <w:rFonts w:cstheme="minorHAnsi"/>
        </w:rPr>
        <w:t xml:space="preserve"> </w:t>
      </w:r>
      <w:r w:rsidR="00F22284" w:rsidRPr="00A26C26">
        <w:rPr>
          <w:rFonts w:cstheme="minorHAnsi"/>
        </w:rPr>
        <w:t>oraz</w:t>
      </w:r>
      <w:r w:rsidR="003B50ED">
        <w:rPr>
          <w:rFonts w:cstheme="minorHAnsi"/>
        </w:rPr>
        <w:t xml:space="preserve"> </w:t>
      </w:r>
      <w:r w:rsidR="00F22284" w:rsidRPr="00A26C26">
        <w:rPr>
          <w:rFonts w:cstheme="minorHAnsi"/>
        </w:rPr>
        <w:t>trafności</w:t>
      </w:r>
      <w:r w:rsidR="003B50ED">
        <w:rPr>
          <w:rFonts w:cstheme="minorHAnsi"/>
        </w:rPr>
        <w:t xml:space="preserve"> </w:t>
      </w:r>
      <w:r w:rsidR="00F22284" w:rsidRPr="00A26C26">
        <w:rPr>
          <w:rFonts w:cstheme="minorHAnsi"/>
        </w:rPr>
        <w:t>i</w:t>
      </w:r>
      <w:r w:rsidR="003B50ED">
        <w:rPr>
          <w:rFonts w:cstheme="minorHAnsi"/>
        </w:rPr>
        <w:t xml:space="preserve"> </w:t>
      </w:r>
      <w:r w:rsidR="00F22284" w:rsidRPr="00A26C26">
        <w:rPr>
          <w:rFonts w:cstheme="minorHAnsi"/>
        </w:rPr>
        <w:t>aktualności</w:t>
      </w:r>
      <w:r w:rsidR="003B50ED">
        <w:rPr>
          <w:rFonts w:cstheme="minorHAnsi"/>
        </w:rPr>
        <w:t xml:space="preserve"> </w:t>
      </w:r>
      <w:r w:rsidR="00F22284" w:rsidRPr="00A26C26">
        <w:rPr>
          <w:rFonts w:cstheme="minorHAnsi"/>
        </w:rPr>
        <w:t>przyjętych</w:t>
      </w:r>
      <w:r w:rsidR="003B50ED">
        <w:rPr>
          <w:rFonts w:cstheme="minorHAnsi"/>
        </w:rPr>
        <w:t xml:space="preserve"> </w:t>
      </w:r>
      <w:r w:rsidR="00F22284" w:rsidRPr="00A26C26">
        <w:rPr>
          <w:rFonts w:cstheme="minorHAnsi"/>
        </w:rPr>
        <w:t>założeń</w:t>
      </w:r>
      <w:r w:rsidR="003B50ED">
        <w:rPr>
          <w:rFonts w:cstheme="minorHAnsi"/>
        </w:rPr>
        <w:t xml:space="preserve"> </w:t>
      </w:r>
      <w:r w:rsidR="00F22284" w:rsidRPr="00A26C26">
        <w:rPr>
          <w:rFonts w:cstheme="minorHAnsi"/>
        </w:rPr>
        <w:t>(celów,</w:t>
      </w:r>
      <w:r w:rsidR="003B50ED">
        <w:rPr>
          <w:rFonts w:cstheme="minorHAnsi"/>
        </w:rPr>
        <w:t xml:space="preserve"> </w:t>
      </w:r>
      <w:r w:rsidR="00F22284" w:rsidRPr="00A26C26">
        <w:rPr>
          <w:rFonts w:cstheme="minorHAnsi"/>
        </w:rPr>
        <w:t>priorytetów).</w:t>
      </w:r>
      <w:r w:rsidR="003B50ED">
        <w:rPr>
          <w:rFonts w:cstheme="minorHAnsi"/>
        </w:rPr>
        <w:t xml:space="preserve"> </w:t>
      </w:r>
      <w:r w:rsidR="00F22284" w:rsidRPr="00A26C26">
        <w:rPr>
          <w:rFonts w:cstheme="minorHAnsi"/>
        </w:rPr>
        <w:t>Wpływ</w:t>
      </w:r>
      <w:r w:rsidR="003B50ED">
        <w:rPr>
          <w:rFonts w:cstheme="minorHAnsi"/>
        </w:rPr>
        <w:t xml:space="preserve"> </w:t>
      </w:r>
      <w:r w:rsidR="00F22284" w:rsidRPr="00A26C26">
        <w:rPr>
          <w:rFonts w:cstheme="minorHAnsi"/>
        </w:rPr>
        <w:t>na</w:t>
      </w:r>
      <w:r w:rsidR="003B50ED">
        <w:rPr>
          <w:rFonts w:cstheme="minorHAnsi"/>
        </w:rPr>
        <w:t xml:space="preserve"> </w:t>
      </w:r>
      <w:r w:rsidR="00F22284" w:rsidRPr="00A26C26">
        <w:rPr>
          <w:rFonts w:cstheme="minorHAnsi"/>
        </w:rPr>
        <w:t>taki</w:t>
      </w:r>
      <w:r w:rsidR="003B50ED">
        <w:rPr>
          <w:rFonts w:cstheme="minorHAnsi"/>
        </w:rPr>
        <w:t xml:space="preserve"> </w:t>
      </w:r>
      <w:r w:rsidR="00F22284" w:rsidRPr="00A26C26">
        <w:rPr>
          <w:rFonts w:cstheme="minorHAnsi"/>
        </w:rPr>
        <w:t>stan</w:t>
      </w:r>
      <w:r w:rsidR="003B50ED">
        <w:rPr>
          <w:rFonts w:cstheme="minorHAnsi"/>
        </w:rPr>
        <w:t xml:space="preserve"> </w:t>
      </w:r>
      <w:r w:rsidR="00F22284" w:rsidRPr="00A26C26">
        <w:rPr>
          <w:rFonts w:cstheme="minorHAnsi"/>
        </w:rPr>
        <w:t>rzeczy</w:t>
      </w:r>
      <w:r w:rsidR="003B50ED">
        <w:rPr>
          <w:rFonts w:cstheme="minorHAnsi"/>
        </w:rPr>
        <w:t xml:space="preserve"> </w:t>
      </w:r>
      <w:r w:rsidR="00F22284" w:rsidRPr="00A26C26">
        <w:rPr>
          <w:rFonts w:cstheme="minorHAnsi"/>
        </w:rPr>
        <w:t>miał</w:t>
      </w:r>
      <w:r w:rsidR="003B50ED">
        <w:rPr>
          <w:rFonts w:cstheme="minorHAnsi"/>
        </w:rPr>
        <w:t xml:space="preserve"> </w:t>
      </w:r>
      <w:r w:rsidR="00F22284" w:rsidRPr="00A26C26">
        <w:rPr>
          <w:rFonts w:cstheme="minorHAnsi"/>
        </w:rPr>
        <w:t>również</w:t>
      </w:r>
      <w:r w:rsidR="003B50ED">
        <w:rPr>
          <w:rFonts w:cstheme="minorHAnsi"/>
        </w:rPr>
        <w:t xml:space="preserve"> </w:t>
      </w:r>
      <w:r w:rsidR="00F22284" w:rsidRPr="00A26C26">
        <w:rPr>
          <w:rFonts w:cstheme="minorHAnsi"/>
        </w:rPr>
        <w:t>skuteczny</w:t>
      </w:r>
      <w:r w:rsidR="003B50ED">
        <w:rPr>
          <w:rFonts w:cstheme="minorHAnsi"/>
        </w:rPr>
        <w:t xml:space="preserve"> </w:t>
      </w:r>
      <w:r w:rsidR="00F22284" w:rsidRPr="00A26C26">
        <w:rPr>
          <w:rFonts w:cstheme="minorHAnsi"/>
        </w:rPr>
        <w:t>system</w:t>
      </w:r>
      <w:r w:rsidR="003B50ED">
        <w:rPr>
          <w:rFonts w:cstheme="minorHAnsi"/>
        </w:rPr>
        <w:t xml:space="preserve"> </w:t>
      </w:r>
      <w:r w:rsidR="00F22284" w:rsidRPr="00A26C26">
        <w:rPr>
          <w:rFonts w:cstheme="minorHAnsi"/>
        </w:rPr>
        <w:t>monitoringu</w:t>
      </w:r>
      <w:r w:rsidR="003B50ED">
        <w:rPr>
          <w:rFonts w:cstheme="minorHAnsi"/>
        </w:rPr>
        <w:t xml:space="preserve"> </w:t>
      </w:r>
      <w:r w:rsidR="00F22284" w:rsidRPr="00A26C26">
        <w:rPr>
          <w:rFonts w:cstheme="minorHAnsi"/>
        </w:rPr>
        <w:t>i</w:t>
      </w:r>
      <w:r w:rsidR="003B50ED">
        <w:rPr>
          <w:rFonts w:cstheme="minorHAnsi"/>
        </w:rPr>
        <w:t xml:space="preserve"> </w:t>
      </w:r>
      <w:r w:rsidR="00F22284" w:rsidRPr="00A26C26">
        <w:rPr>
          <w:rFonts w:cstheme="minorHAnsi"/>
        </w:rPr>
        <w:t>ewaluacji,</w:t>
      </w:r>
      <w:r w:rsidR="003B50ED">
        <w:rPr>
          <w:rFonts w:cstheme="minorHAnsi"/>
        </w:rPr>
        <w:t xml:space="preserve"> </w:t>
      </w:r>
      <w:r w:rsidR="00F22284" w:rsidRPr="00A26C26">
        <w:rPr>
          <w:rFonts w:cstheme="minorHAnsi"/>
        </w:rPr>
        <w:t>dostosowany</w:t>
      </w:r>
      <w:r w:rsidR="003B50ED">
        <w:rPr>
          <w:rFonts w:cstheme="minorHAnsi"/>
        </w:rPr>
        <w:t xml:space="preserve"> </w:t>
      </w:r>
      <w:r w:rsidR="00F22284" w:rsidRPr="00A26C26">
        <w:rPr>
          <w:rFonts w:cstheme="minorHAnsi"/>
        </w:rPr>
        <w:t>do</w:t>
      </w:r>
      <w:r w:rsidR="003B50ED">
        <w:rPr>
          <w:rFonts w:cstheme="minorHAnsi"/>
        </w:rPr>
        <w:t xml:space="preserve"> </w:t>
      </w:r>
      <w:r w:rsidR="00F22284" w:rsidRPr="00A26C26">
        <w:rPr>
          <w:rFonts w:cstheme="minorHAnsi"/>
        </w:rPr>
        <w:t>specyfiki</w:t>
      </w:r>
      <w:r w:rsidR="003B50ED">
        <w:rPr>
          <w:rFonts w:cstheme="minorHAnsi"/>
        </w:rPr>
        <w:t xml:space="preserve"> </w:t>
      </w:r>
      <w:r w:rsidR="00F22284" w:rsidRPr="00A26C26">
        <w:rPr>
          <w:rFonts w:cstheme="minorHAnsi"/>
        </w:rPr>
        <w:t>obszaru</w:t>
      </w:r>
      <w:r w:rsidR="003B50ED">
        <w:rPr>
          <w:rFonts w:cstheme="minorHAnsi"/>
        </w:rPr>
        <w:t xml:space="preserve"> </w:t>
      </w:r>
      <w:r w:rsidR="00F22284" w:rsidRPr="00A26C26">
        <w:rPr>
          <w:rFonts w:cstheme="minorHAnsi"/>
        </w:rPr>
        <w:t>i</w:t>
      </w:r>
      <w:r w:rsidR="003B50ED">
        <w:rPr>
          <w:rFonts w:cstheme="minorHAnsi"/>
        </w:rPr>
        <w:t xml:space="preserve"> </w:t>
      </w:r>
      <w:r w:rsidR="00F22284" w:rsidRPr="00A26C26">
        <w:rPr>
          <w:rFonts w:cstheme="minorHAnsi"/>
        </w:rPr>
        <w:t>wdrażanej</w:t>
      </w:r>
      <w:r w:rsidR="003B50ED">
        <w:rPr>
          <w:rFonts w:cstheme="minorHAnsi"/>
        </w:rPr>
        <w:t xml:space="preserve"> </w:t>
      </w:r>
      <w:r w:rsidR="00F22284" w:rsidRPr="00A26C26">
        <w:rPr>
          <w:rFonts w:cstheme="minorHAnsi"/>
        </w:rPr>
        <w:t>LSR.</w:t>
      </w:r>
      <w:r w:rsidR="003B50ED">
        <w:rPr>
          <w:rFonts w:cstheme="minorHAnsi"/>
        </w:rPr>
        <w:t xml:space="preserve"> </w:t>
      </w:r>
      <w:r w:rsidR="00F22284" w:rsidRPr="00A26C26">
        <w:rPr>
          <w:rFonts w:cstheme="minorHAnsi"/>
        </w:rPr>
        <w:t>Te</w:t>
      </w:r>
      <w:r w:rsidR="003B50ED">
        <w:rPr>
          <w:rFonts w:cstheme="minorHAnsi"/>
        </w:rPr>
        <w:t xml:space="preserve"> </w:t>
      </w:r>
      <w:r w:rsidR="00F22284" w:rsidRPr="00A26C26">
        <w:rPr>
          <w:rFonts w:cstheme="minorHAnsi"/>
        </w:rPr>
        <w:t>doświadczenia</w:t>
      </w:r>
      <w:r w:rsidR="003B50ED">
        <w:rPr>
          <w:rFonts w:cstheme="minorHAnsi"/>
        </w:rPr>
        <w:t xml:space="preserve"> </w:t>
      </w:r>
      <w:r w:rsidR="00F22284" w:rsidRPr="00A26C26">
        <w:rPr>
          <w:rFonts w:cstheme="minorHAnsi"/>
        </w:rPr>
        <w:t>stanowią</w:t>
      </w:r>
      <w:r w:rsidR="003B50ED">
        <w:rPr>
          <w:rFonts w:cstheme="minorHAnsi"/>
        </w:rPr>
        <w:t xml:space="preserve"> </w:t>
      </w:r>
      <w:r w:rsidR="00F22284" w:rsidRPr="00A26C26">
        <w:rPr>
          <w:rFonts w:cstheme="minorHAnsi"/>
        </w:rPr>
        <w:t>ogromny</w:t>
      </w:r>
      <w:r w:rsidR="003B50ED">
        <w:rPr>
          <w:rFonts w:cstheme="minorHAnsi"/>
        </w:rPr>
        <w:t xml:space="preserve"> </w:t>
      </w:r>
      <w:r w:rsidR="00F22284" w:rsidRPr="00A26C26">
        <w:rPr>
          <w:rFonts w:cstheme="minorHAnsi"/>
        </w:rPr>
        <w:t>potencjał</w:t>
      </w:r>
      <w:r w:rsidR="003B50ED">
        <w:rPr>
          <w:rFonts w:cstheme="minorHAnsi"/>
        </w:rPr>
        <w:t xml:space="preserve"> </w:t>
      </w:r>
      <w:r w:rsidR="00F22284" w:rsidRPr="00A26C26">
        <w:rPr>
          <w:rFonts w:cstheme="minorHAnsi"/>
        </w:rPr>
        <w:t>i</w:t>
      </w:r>
      <w:r w:rsidR="003B50ED">
        <w:rPr>
          <w:rFonts w:cstheme="minorHAnsi"/>
        </w:rPr>
        <w:t xml:space="preserve"> </w:t>
      </w:r>
      <w:r w:rsidR="00F22284" w:rsidRPr="00A26C26">
        <w:rPr>
          <w:rFonts w:cstheme="minorHAnsi"/>
        </w:rPr>
        <w:t>zapewniają</w:t>
      </w:r>
      <w:r w:rsidR="003B50ED">
        <w:rPr>
          <w:rFonts w:cstheme="minorHAnsi"/>
        </w:rPr>
        <w:t xml:space="preserve"> </w:t>
      </w:r>
      <w:r w:rsidR="00F22284" w:rsidRPr="00A26C26">
        <w:rPr>
          <w:rFonts w:cstheme="minorHAnsi"/>
        </w:rPr>
        <w:t>możliwość</w:t>
      </w:r>
      <w:r w:rsidR="003B50ED">
        <w:rPr>
          <w:rFonts w:cstheme="minorHAnsi"/>
        </w:rPr>
        <w:t xml:space="preserve"> </w:t>
      </w:r>
      <w:r w:rsidR="00F22284" w:rsidRPr="00A26C26">
        <w:rPr>
          <w:rFonts w:cstheme="minorHAnsi"/>
        </w:rPr>
        <w:t>płynnego</w:t>
      </w:r>
      <w:r w:rsidR="003B50ED">
        <w:rPr>
          <w:rFonts w:cstheme="minorHAnsi"/>
        </w:rPr>
        <w:t xml:space="preserve"> </w:t>
      </w:r>
      <w:r w:rsidR="00F22284" w:rsidRPr="00A26C26">
        <w:rPr>
          <w:rFonts w:cstheme="minorHAnsi"/>
        </w:rPr>
        <w:t>przejścia</w:t>
      </w:r>
      <w:r w:rsidR="003B50ED">
        <w:rPr>
          <w:rFonts w:cstheme="minorHAnsi"/>
        </w:rPr>
        <w:t xml:space="preserve"> </w:t>
      </w:r>
      <w:r w:rsidR="00F22284" w:rsidRPr="00A26C26">
        <w:rPr>
          <w:rFonts w:cstheme="minorHAnsi"/>
        </w:rPr>
        <w:t>do</w:t>
      </w:r>
      <w:r w:rsidR="003B50ED">
        <w:rPr>
          <w:rFonts w:cstheme="minorHAnsi"/>
        </w:rPr>
        <w:t xml:space="preserve"> </w:t>
      </w:r>
      <w:r w:rsidR="00F22284" w:rsidRPr="00A26C26">
        <w:rPr>
          <w:rFonts w:cstheme="minorHAnsi"/>
        </w:rPr>
        <w:t>wdrażania</w:t>
      </w:r>
      <w:r w:rsidR="003B50ED">
        <w:rPr>
          <w:rFonts w:cstheme="minorHAnsi"/>
        </w:rPr>
        <w:t xml:space="preserve"> </w:t>
      </w:r>
      <w:r w:rsidR="00F22284" w:rsidRPr="00A26C26">
        <w:rPr>
          <w:rFonts w:cstheme="minorHAnsi"/>
        </w:rPr>
        <w:t>LSR</w:t>
      </w:r>
      <w:r w:rsidR="003B50ED">
        <w:rPr>
          <w:rFonts w:cstheme="minorHAnsi"/>
        </w:rPr>
        <w:t xml:space="preserve"> </w:t>
      </w:r>
      <w:r w:rsidR="00F22284" w:rsidRPr="00A26C26">
        <w:rPr>
          <w:rFonts w:cstheme="minorHAnsi"/>
        </w:rPr>
        <w:t>w</w:t>
      </w:r>
      <w:r w:rsidR="003B50ED">
        <w:rPr>
          <w:rFonts w:cstheme="minorHAnsi"/>
        </w:rPr>
        <w:t xml:space="preserve"> </w:t>
      </w:r>
      <w:r w:rsidR="00F22284" w:rsidRPr="00A26C26">
        <w:rPr>
          <w:rFonts w:cstheme="minorHAnsi"/>
        </w:rPr>
        <w:t>nowej</w:t>
      </w:r>
      <w:r w:rsidR="003B50ED">
        <w:rPr>
          <w:rFonts w:cstheme="minorHAnsi"/>
        </w:rPr>
        <w:t xml:space="preserve"> </w:t>
      </w:r>
      <w:r w:rsidR="00F22284" w:rsidRPr="00F16251">
        <w:rPr>
          <w:rFonts w:cstheme="minorHAnsi"/>
        </w:rPr>
        <w:t>perspektywie.</w:t>
      </w:r>
      <w:r w:rsidR="003B50ED" w:rsidRPr="00F16251">
        <w:rPr>
          <w:rFonts w:cstheme="minorHAnsi"/>
        </w:rPr>
        <w:t xml:space="preserve"> </w:t>
      </w:r>
    </w:p>
    <w:p w14:paraId="0680C548" w14:textId="4FCCDC7E" w:rsidR="00F22284" w:rsidRPr="00F16251" w:rsidRDefault="00566216" w:rsidP="00A26C26">
      <w:pPr>
        <w:spacing w:line="276" w:lineRule="auto"/>
        <w:ind w:firstLine="284"/>
        <w:jc w:val="both"/>
        <w:rPr>
          <w:rFonts w:cstheme="minorHAnsi"/>
        </w:rPr>
      </w:pPr>
      <w:r w:rsidRPr="00F16251">
        <w:rPr>
          <w:rFonts w:cstheme="minorHAnsi"/>
        </w:rPr>
        <w:t>Dodatkowym atutem, usprawniającym zarządzanie organizacją jak i wdrażaniem LSR jest</w:t>
      </w:r>
      <w:r w:rsidR="00396A11">
        <w:rPr>
          <w:rFonts w:cstheme="minorHAnsi"/>
        </w:rPr>
        <w:t xml:space="preserve"> </w:t>
      </w:r>
      <w:r w:rsidR="00EA772B" w:rsidRPr="00F16251">
        <w:rPr>
          <w:rFonts w:cstheme="minorHAnsi"/>
        </w:rPr>
        <w:t xml:space="preserve">w pełni </w:t>
      </w:r>
      <w:r w:rsidR="00F22284" w:rsidRPr="00F16251">
        <w:rPr>
          <w:rFonts w:cstheme="minorHAnsi"/>
        </w:rPr>
        <w:t>wyposażone</w:t>
      </w:r>
      <w:r w:rsidR="003B50ED" w:rsidRPr="00F16251">
        <w:rPr>
          <w:rFonts w:cstheme="minorHAnsi"/>
        </w:rPr>
        <w:t xml:space="preserve"> </w:t>
      </w:r>
      <w:r w:rsidR="00F22284" w:rsidRPr="00F16251">
        <w:rPr>
          <w:rFonts w:cstheme="minorHAnsi"/>
        </w:rPr>
        <w:t>biuro</w:t>
      </w:r>
      <w:r w:rsidR="00EA772B" w:rsidRPr="00F16251">
        <w:rPr>
          <w:rFonts w:cstheme="minorHAnsi"/>
        </w:rPr>
        <w:t>,</w:t>
      </w:r>
      <w:r w:rsidR="003B50ED" w:rsidRPr="00F16251">
        <w:rPr>
          <w:rFonts w:cstheme="minorHAnsi"/>
        </w:rPr>
        <w:t xml:space="preserve"> </w:t>
      </w:r>
      <w:r w:rsidR="00F22284" w:rsidRPr="00F16251">
        <w:rPr>
          <w:rFonts w:cstheme="minorHAnsi"/>
        </w:rPr>
        <w:t>otwarte</w:t>
      </w:r>
      <w:r w:rsidR="003B50ED" w:rsidRPr="00F16251">
        <w:rPr>
          <w:rFonts w:cstheme="minorHAnsi"/>
        </w:rPr>
        <w:t xml:space="preserve"> </w:t>
      </w:r>
      <w:r w:rsidR="00F22284" w:rsidRPr="00F16251">
        <w:rPr>
          <w:rFonts w:cstheme="minorHAnsi"/>
        </w:rPr>
        <w:t>5</w:t>
      </w:r>
      <w:r w:rsidR="003B50ED" w:rsidRPr="00F16251">
        <w:rPr>
          <w:rFonts w:cstheme="minorHAnsi"/>
        </w:rPr>
        <w:t xml:space="preserve"> </w:t>
      </w:r>
      <w:r w:rsidR="00F22284" w:rsidRPr="00F16251">
        <w:rPr>
          <w:rFonts w:cstheme="minorHAnsi"/>
        </w:rPr>
        <w:t>dni</w:t>
      </w:r>
      <w:r w:rsidR="003B50ED" w:rsidRPr="00F16251">
        <w:rPr>
          <w:rFonts w:cstheme="minorHAnsi"/>
        </w:rPr>
        <w:t xml:space="preserve"> </w:t>
      </w:r>
      <w:r w:rsidR="00F22284" w:rsidRPr="00F16251">
        <w:rPr>
          <w:rFonts w:cstheme="minorHAnsi"/>
        </w:rPr>
        <w:t>w</w:t>
      </w:r>
      <w:r w:rsidR="003B50ED" w:rsidRPr="00F16251">
        <w:rPr>
          <w:rFonts w:cstheme="minorHAnsi"/>
        </w:rPr>
        <w:t xml:space="preserve"> </w:t>
      </w:r>
      <w:r w:rsidR="00F22284" w:rsidRPr="00F16251">
        <w:rPr>
          <w:rFonts w:cstheme="minorHAnsi"/>
        </w:rPr>
        <w:t>tygodniu</w:t>
      </w:r>
      <w:r w:rsidR="00EA772B" w:rsidRPr="00F16251">
        <w:rPr>
          <w:rFonts w:cstheme="minorHAnsi"/>
        </w:rPr>
        <w:t>. Z</w:t>
      </w:r>
      <w:r w:rsidR="00F22284" w:rsidRPr="00F16251">
        <w:rPr>
          <w:rFonts w:cstheme="minorHAnsi"/>
        </w:rPr>
        <w:t>atrudnieni</w:t>
      </w:r>
      <w:r w:rsidR="003B50ED" w:rsidRPr="00F16251">
        <w:rPr>
          <w:rFonts w:cstheme="minorHAnsi"/>
        </w:rPr>
        <w:t xml:space="preserve"> </w:t>
      </w:r>
      <w:r w:rsidR="00F22284" w:rsidRPr="00F16251">
        <w:rPr>
          <w:rFonts w:cstheme="minorHAnsi"/>
        </w:rPr>
        <w:t>pracownicy</w:t>
      </w:r>
      <w:r w:rsidR="003B50ED" w:rsidRPr="00F16251">
        <w:rPr>
          <w:rFonts w:cstheme="minorHAnsi"/>
        </w:rPr>
        <w:t xml:space="preserve"> </w:t>
      </w:r>
      <w:r w:rsidR="00F22284" w:rsidRPr="00F16251">
        <w:rPr>
          <w:rFonts w:cstheme="minorHAnsi"/>
        </w:rPr>
        <w:t>posiadają</w:t>
      </w:r>
      <w:r w:rsidR="003B50ED" w:rsidRPr="00F16251">
        <w:rPr>
          <w:rFonts w:cstheme="minorHAnsi"/>
        </w:rPr>
        <w:t xml:space="preserve"> </w:t>
      </w:r>
      <w:r w:rsidR="00F22284" w:rsidRPr="00F16251">
        <w:rPr>
          <w:rFonts w:cstheme="minorHAnsi"/>
        </w:rPr>
        <w:t>kwalifikacje</w:t>
      </w:r>
      <w:r w:rsidR="003B50ED" w:rsidRPr="00F16251">
        <w:rPr>
          <w:rFonts w:cstheme="minorHAnsi"/>
        </w:rPr>
        <w:t xml:space="preserve"> </w:t>
      </w:r>
      <w:r w:rsidR="00F22284" w:rsidRPr="00F16251">
        <w:rPr>
          <w:rFonts w:cstheme="minorHAnsi"/>
        </w:rPr>
        <w:t>i</w:t>
      </w:r>
      <w:r w:rsidR="003B50ED" w:rsidRPr="00F16251">
        <w:rPr>
          <w:rFonts w:cstheme="minorHAnsi"/>
        </w:rPr>
        <w:t xml:space="preserve"> </w:t>
      </w:r>
      <w:r w:rsidR="00F22284" w:rsidRPr="00F16251">
        <w:rPr>
          <w:rFonts w:cstheme="minorHAnsi"/>
        </w:rPr>
        <w:t>wieloletnie</w:t>
      </w:r>
      <w:r w:rsidR="003B50ED" w:rsidRPr="00F16251">
        <w:rPr>
          <w:rFonts w:cstheme="minorHAnsi"/>
        </w:rPr>
        <w:t xml:space="preserve"> </w:t>
      </w:r>
      <w:r w:rsidR="00F22284" w:rsidRPr="00F16251">
        <w:rPr>
          <w:rFonts w:cstheme="minorHAnsi"/>
        </w:rPr>
        <w:t>doświadczenie</w:t>
      </w:r>
      <w:r w:rsidR="003B50ED" w:rsidRPr="00F16251">
        <w:rPr>
          <w:rFonts w:cstheme="minorHAnsi"/>
        </w:rPr>
        <w:t xml:space="preserve"> </w:t>
      </w:r>
      <w:r w:rsidR="00F22284" w:rsidRPr="00F16251">
        <w:rPr>
          <w:rFonts w:cstheme="minorHAnsi"/>
        </w:rPr>
        <w:t>we</w:t>
      </w:r>
      <w:r w:rsidR="003B50ED" w:rsidRPr="00F16251">
        <w:rPr>
          <w:rFonts w:cstheme="minorHAnsi"/>
        </w:rPr>
        <w:t xml:space="preserve"> </w:t>
      </w:r>
      <w:r w:rsidR="00F22284" w:rsidRPr="00F16251">
        <w:rPr>
          <w:rFonts w:cstheme="minorHAnsi"/>
        </w:rPr>
        <w:t>wdrażaniu</w:t>
      </w:r>
      <w:r w:rsidR="003B50ED" w:rsidRPr="00F16251">
        <w:rPr>
          <w:rFonts w:cstheme="minorHAnsi"/>
        </w:rPr>
        <w:t xml:space="preserve"> </w:t>
      </w:r>
      <w:r w:rsidR="00F22284" w:rsidRPr="00F16251">
        <w:rPr>
          <w:rFonts w:cstheme="minorHAnsi"/>
        </w:rPr>
        <w:t>LSR.</w:t>
      </w:r>
      <w:r w:rsidR="003B50ED" w:rsidRPr="00F16251">
        <w:rPr>
          <w:rFonts w:cstheme="minorHAnsi"/>
        </w:rPr>
        <w:t xml:space="preserve"> </w:t>
      </w:r>
      <w:r w:rsidR="00F22284" w:rsidRPr="00F16251">
        <w:rPr>
          <w:rFonts w:cstheme="minorHAnsi"/>
        </w:rPr>
        <w:t>Wszelkie</w:t>
      </w:r>
      <w:r w:rsidR="003B50ED" w:rsidRPr="00F16251">
        <w:rPr>
          <w:rFonts w:cstheme="minorHAnsi"/>
        </w:rPr>
        <w:t xml:space="preserve"> </w:t>
      </w:r>
      <w:r w:rsidR="00F22284" w:rsidRPr="00F16251">
        <w:rPr>
          <w:rFonts w:cstheme="minorHAnsi"/>
        </w:rPr>
        <w:t>informacje,</w:t>
      </w:r>
      <w:r w:rsidR="003B50ED" w:rsidRPr="00F16251">
        <w:rPr>
          <w:rFonts w:cstheme="minorHAnsi"/>
        </w:rPr>
        <w:t xml:space="preserve"> </w:t>
      </w:r>
      <w:r w:rsidR="00F22284" w:rsidRPr="00F16251">
        <w:rPr>
          <w:rFonts w:cstheme="minorHAnsi"/>
        </w:rPr>
        <w:t>również</w:t>
      </w:r>
      <w:r w:rsidR="003B50ED" w:rsidRPr="00F16251">
        <w:rPr>
          <w:rFonts w:cstheme="minorHAnsi"/>
        </w:rPr>
        <w:t xml:space="preserve"> </w:t>
      </w:r>
      <w:r w:rsidR="00F22284" w:rsidRPr="00F16251">
        <w:rPr>
          <w:rFonts w:cstheme="minorHAnsi"/>
        </w:rPr>
        <w:t>dane</w:t>
      </w:r>
      <w:r w:rsidR="003B50ED" w:rsidRPr="00F16251">
        <w:rPr>
          <w:rFonts w:cstheme="minorHAnsi"/>
        </w:rPr>
        <w:t xml:space="preserve"> </w:t>
      </w:r>
      <w:r w:rsidR="00F22284" w:rsidRPr="00F16251">
        <w:rPr>
          <w:rFonts w:cstheme="minorHAnsi"/>
        </w:rPr>
        <w:t>kontaktowe,</w:t>
      </w:r>
      <w:r w:rsidR="003B50ED" w:rsidRPr="00F16251">
        <w:rPr>
          <w:rFonts w:cstheme="minorHAnsi"/>
        </w:rPr>
        <w:t xml:space="preserve"> </w:t>
      </w:r>
      <w:r w:rsidR="00F22284" w:rsidRPr="00F16251">
        <w:rPr>
          <w:rFonts w:cstheme="minorHAnsi"/>
        </w:rPr>
        <w:t>są</w:t>
      </w:r>
      <w:r w:rsidR="003B50ED" w:rsidRPr="00F16251">
        <w:rPr>
          <w:rFonts w:cstheme="minorHAnsi"/>
        </w:rPr>
        <w:t xml:space="preserve"> </w:t>
      </w:r>
      <w:r w:rsidR="00F22284" w:rsidRPr="00F16251">
        <w:rPr>
          <w:rFonts w:cstheme="minorHAnsi"/>
        </w:rPr>
        <w:t>zamieszczane</w:t>
      </w:r>
      <w:r w:rsidR="003B50ED" w:rsidRPr="00F16251">
        <w:rPr>
          <w:rFonts w:cstheme="minorHAnsi"/>
        </w:rPr>
        <w:t xml:space="preserve"> </w:t>
      </w:r>
      <w:r w:rsidR="00F22284" w:rsidRPr="00F16251">
        <w:rPr>
          <w:rFonts w:cstheme="minorHAnsi"/>
        </w:rPr>
        <w:t>na</w:t>
      </w:r>
      <w:r w:rsidR="003B50ED" w:rsidRPr="00F16251">
        <w:rPr>
          <w:rFonts w:cstheme="minorHAnsi"/>
        </w:rPr>
        <w:t xml:space="preserve"> </w:t>
      </w:r>
      <w:r w:rsidR="00F22284" w:rsidRPr="00F16251">
        <w:rPr>
          <w:rFonts w:cstheme="minorHAnsi"/>
        </w:rPr>
        <w:t>stronie</w:t>
      </w:r>
      <w:r w:rsidR="003B50ED" w:rsidRPr="00F16251">
        <w:rPr>
          <w:rFonts w:cstheme="minorHAnsi"/>
        </w:rPr>
        <w:t xml:space="preserve"> </w:t>
      </w:r>
      <w:r w:rsidR="00F22284" w:rsidRPr="00F16251">
        <w:rPr>
          <w:rFonts w:cstheme="minorHAnsi"/>
        </w:rPr>
        <w:t>internetowej,</w:t>
      </w:r>
      <w:r w:rsidR="003B50ED" w:rsidRPr="00F16251">
        <w:rPr>
          <w:rFonts w:cstheme="minorHAnsi"/>
        </w:rPr>
        <w:t xml:space="preserve"> </w:t>
      </w:r>
      <w:r w:rsidR="00F22284" w:rsidRPr="00F16251">
        <w:rPr>
          <w:rFonts w:cstheme="minorHAnsi"/>
        </w:rPr>
        <w:t>tablicach</w:t>
      </w:r>
      <w:r w:rsidR="003B50ED" w:rsidRPr="00F16251">
        <w:rPr>
          <w:rFonts w:cstheme="minorHAnsi"/>
        </w:rPr>
        <w:t xml:space="preserve"> </w:t>
      </w:r>
      <w:r w:rsidR="00F22284" w:rsidRPr="00F16251">
        <w:rPr>
          <w:rFonts w:cstheme="minorHAnsi"/>
        </w:rPr>
        <w:t>ogłoszeń</w:t>
      </w:r>
      <w:r w:rsidR="003B50ED" w:rsidRPr="00F16251">
        <w:rPr>
          <w:rFonts w:cstheme="minorHAnsi"/>
        </w:rPr>
        <w:t xml:space="preserve"> </w:t>
      </w:r>
      <w:r w:rsidR="00F22284" w:rsidRPr="00F16251">
        <w:rPr>
          <w:rFonts w:cstheme="minorHAnsi"/>
        </w:rPr>
        <w:t>oraz</w:t>
      </w:r>
      <w:r w:rsidR="003B50ED" w:rsidRPr="00F16251">
        <w:rPr>
          <w:rFonts w:cstheme="minorHAnsi"/>
        </w:rPr>
        <w:t xml:space="preserve"> </w:t>
      </w:r>
      <w:r w:rsidR="00F22284" w:rsidRPr="00F16251">
        <w:rPr>
          <w:rFonts w:cstheme="minorHAnsi"/>
        </w:rPr>
        <w:t>przekazywane</w:t>
      </w:r>
      <w:r w:rsidR="003B50ED" w:rsidRPr="00F16251">
        <w:rPr>
          <w:rFonts w:cstheme="minorHAnsi"/>
        </w:rPr>
        <w:t xml:space="preserve"> </w:t>
      </w:r>
      <w:r w:rsidR="00F22284" w:rsidRPr="00F16251">
        <w:rPr>
          <w:rFonts w:cstheme="minorHAnsi"/>
        </w:rPr>
        <w:t>do</w:t>
      </w:r>
      <w:r w:rsidR="003B50ED" w:rsidRPr="00F16251">
        <w:rPr>
          <w:rFonts w:cstheme="minorHAnsi"/>
        </w:rPr>
        <w:t xml:space="preserve"> </w:t>
      </w:r>
      <w:r w:rsidR="00F22284" w:rsidRPr="00F16251">
        <w:rPr>
          <w:rFonts w:cstheme="minorHAnsi"/>
        </w:rPr>
        <w:t>partnerów</w:t>
      </w:r>
      <w:r w:rsidR="003B50ED" w:rsidRPr="00F16251">
        <w:rPr>
          <w:rFonts w:cstheme="minorHAnsi"/>
        </w:rPr>
        <w:t xml:space="preserve"> </w:t>
      </w:r>
      <w:r w:rsidR="00F22284" w:rsidRPr="00F16251">
        <w:rPr>
          <w:rFonts w:cstheme="minorHAnsi"/>
        </w:rPr>
        <w:t>w</w:t>
      </w:r>
      <w:r w:rsidR="003B50ED" w:rsidRPr="00F16251">
        <w:rPr>
          <w:rFonts w:cstheme="minorHAnsi"/>
        </w:rPr>
        <w:t xml:space="preserve"> </w:t>
      </w:r>
      <w:r w:rsidR="00F22284" w:rsidRPr="00F16251">
        <w:rPr>
          <w:rFonts w:cstheme="minorHAnsi"/>
        </w:rPr>
        <w:t>celu</w:t>
      </w:r>
      <w:r w:rsidR="003B50ED" w:rsidRPr="00F16251">
        <w:rPr>
          <w:rFonts w:cstheme="minorHAnsi"/>
        </w:rPr>
        <w:t xml:space="preserve"> </w:t>
      </w:r>
      <w:r w:rsidR="00F22284" w:rsidRPr="00F16251">
        <w:rPr>
          <w:rFonts w:cstheme="minorHAnsi"/>
        </w:rPr>
        <w:t>szerszego</w:t>
      </w:r>
      <w:r w:rsidR="003B50ED" w:rsidRPr="00F16251">
        <w:rPr>
          <w:rFonts w:cstheme="minorHAnsi"/>
        </w:rPr>
        <w:t xml:space="preserve"> </w:t>
      </w:r>
      <w:r w:rsidR="00F22284" w:rsidRPr="00F16251">
        <w:rPr>
          <w:rFonts w:cstheme="minorHAnsi"/>
        </w:rPr>
        <w:t>upublicznienia.</w:t>
      </w:r>
      <w:r w:rsidR="003B50ED" w:rsidRPr="00F16251">
        <w:rPr>
          <w:rFonts w:cstheme="minorHAnsi"/>
        </w:rPr>
        <w:t xml:space="preserve"> </w:t>
      </w:r>
      <w:r w:rsidR="00F22284" w:rsidRPr="00F16251">
        <w:rPr>
          <w:rFonts w:cstheme="minorHAnsi"/>
        </w:rPr>
        <w:t>Dzięki</w:t>
      </w:r>
      <w:r w:rsidR="003B50ED" w:rsidRPr="00F16251">
        <w:rPr>
          <w:rFonts w:cstheme="minorHAnsi"/>
        </w:rPr>
        <w:t xml:space="preserve"> </w:t>
      </w:r>
      <w:r w:rsidR="00F22284" w:rsidRPr="00F16251">
        <w:rPr>
          <w:rFonts w:cstheme="minorHAnsi"/>
        </w:rPr>
        <w:t>temu</w:t>
      </w:r>
      <w:r w:rsidR="003B50ED" w:rsidRPr="00F16251">
        <w:rPr>
          <w:rFonts w:cstheme="minorHAnsi"/>
        </w:rPr>
        <w:t xml:space="preserve"> </w:t>
      </w:r>
      <w:r w:rsidR="00EA772B" w:rsidRPr="00F16251">
        <w:rPr>
          <w:rFonts w:cstheme="minorHAnsi"/>
        </w:rPr>
        <w:t xml:space="preserve">Stowarzyszenie „Solidarni w Partnerstwie” </w:t>
      </w:r>
      <w:r w:rsidR="00F22284" w:rsidRPr="00F16251">
        <w:rPr>
          <w:rFonts w:cstheme="minorHAnsi"/>
        </w:rPr>
        <w:t>oddziałuje</w:t>
      </w:r>
      <w:r w:rsidR="003B50ED" w:rsidRPr="00F16251">
        <w:rPr>
          <w:rFonts w:cstheme="minorHAnsi"/>
        </w:rPr>
        <w:t xml:space="preserve"> </w:t>
      </w:r>
      <w:r w:rsidR="00F22284" w:rsidRPr="00F16251">
        <w:rPr>
          <w:rFonts w:cstheme="minorHAnsi"/>
        </w:rPr>
        <w:t>na</w:t>
      </w:r>
      <w:r w:rsidR="003B50ED" w:rsidRPr="00F16251">
        <w:rPr>
          <w:rFonts w:cstheme="minorHAnsi"/>
        </w:rPr>
        <w:t xml:space="preserve"> </w:t>
      </w:r>
      <w:r w:rsidR="00F22284" w:rsidRPr="00F16251">
        <w:rPr>
          <w:rFonts w:cstheme="minorHAnsi"/>
        </w:rPr>
        <w:t>większość</w:t>
      </w:r>
      <w:r w:rsidR="003B50ED" w:rsidRPr="00F16251">
        <w:rPr>
          <w:rFonts w:cstheme="minorHAnsi"/>
        </w:rPr>
        <w:t xml:space="preserve"> </w:t>
      </w:r>
      <w:r w:rsidR="00F22284" w:rsidRPr="00F16251">
        <w:rPr>
          <w:rFonts w:cstheme="minorHAnsi"/>
        </w:rPr>
        <w:t>mieszkańców</w:t>
      </w:r>
      <w:r w:rsidR="003B50ED" w:rsidRPr="00F16251">
        <w:rPr>
          <w:rFonts w:cstheme="minorHAnsi"/>
        </w:rPr>
        <w:t xml:space="preserve"> </w:t>
      </w:r>
      <w:r w:rsidR="00F22284" w:rsidRPr="00F16251">
        <w:rPr>
          <w:rFonts w:cstheme="minorHAnsi"/>
        </w:rPr>
        <w:t>obszaru</w:t>
      </w:r>
      <w:r w:rsidR="003B50ED" w:rsidRPr="00F16251">
        <w:rPr>
          <w:rFonts w:cstheme="minorHAnsi"/>
        </w:rPr>
        <w:t xml:space="preserve"> </w:t>
      </w:r>
      <w:r w:rsidR="00EA772B" w:rsidRPr="00F16251">
        <w:rPr>
          <w:rFonts w:cstheme="minorHAnsi"/>
        </w:rPr>
        <w:t xml:space="preserve">objętego </w:t>
      </w:r>
      <w:r w:rsidR="00F22284" w:rsidRPr="00F16251">
        <w:rPr>
          <w:rFonts w:cstheme="minorHAnsi"/>
        </w:rPr>
        <w:t>LSR.</w:t>
      </w:r>
      <w:r w:rsidR="003B50ED" w:rsidRPr="00F16251">
        <w:rPr>
          <w:rFonts w:cstheme="minorHAnsi"/>
        </w:rPr>
        <w:t xml:space="preserve"> </w:t>
      </w:r>
      <w:r w:rsidR="00F22284" w:rsidRPr="00F16251">
        <w:rPr>
          <w:rFonts w:cstheme="minorHAnsi"/>
        </w:rPr>
        <w:t>Współdziałanie</w:t>
      </w:r>
      <w:r w:rsidR="003B50ED" w:rsidRPr="00F16251">
        <w:rPr>
          <w:rFonts w:cstheme="minorHAnsi"/>
        </w:rPr>
        <w:t xml:space="preserve"> </w:t>
      </w:r>
      <w:r w:rsidR="00F22284" w:rsidRPr="00F16251">
        <w:rPr>
          <w:rFonts w:cstheme="minorHAnsi"/>
        </w:rPr>
        <w:t>z</w:t>
      </w:r>
      <w:r w:rsidR="003B50ED" w:rsidRPr="00F16251">
        <w:rPr>
          <w:rFonts w:cstheme="minorHAnsi"/>
        </w:rPr>
        <w:t xml:space="preserve"> </w:t>
      </w:r>
      <w:r w:rsidR="00F22284" w:rsidRPr="00F16251">
        <w:rPr>
          <w:rFonts w:cstheme="minorHAnsi"/>
        </w:rPr>
        <w:t>partnerami</w:t>
      </w:r>
      <w:r w:rsidR="003B50ED" w:rsidRPr="00F16251">
        <w:rPr>
          <w:rFonts w:cstheme="minorHAnsi"/>
        </w:rPr>
        <w:t xml:space="preserve"> </w:t>
      </w:r>
      <w:r w:rsidR="00F22284" w:rsidRPr="00F16251">
        <w:rPr>
          <w:rFonts w:cstheme="minorHAnsi"/>
        </w:rPr>
        <w:t>zapewnia</w:t>
      </w:r>
      <w:r w:rsidR="003B50ED" w:rsidRPr="00F16251">
        <w:rPr>
          <w:rFonts w:cstheme="minorHAnsi"/>
        </w:rPr>
        <w:t xml:space="preserve"> </w:t>
      </w:r>
      <w:r w:rsidR="00F22284" w:rsidRPr="00F16251">
        <w:rPr>
          <w:rFonts w:cstheme="minorHAnsi"/>
        </w:rPr>
        <w:t>możliwość</w:t>
      </w:r>
      <w:r w:rsidR="003B50ED" w:rsidRPr="00F16251">
        <w:rPr>
          <w:rFonts w:cstheme="minorHAnsi"/>
        </w:rPr>
        <w:t xml:space="preserve"> </w:t>
      </w:r>
      <w:r w:rsidR="00F22284" w:rsidRPr="00F16251">
        <w:rPr>
          <w:rFonts w:cstheme="minorHAnsi"/>
        </w:rPr>
        <w:t>dotarcia</w:t>
      </w:r>
      <w:r w:rsidR="003B50ED" w:rsidRPr="00F16251">
        <w:rPr>
          <w:rFonts w:cstheme="minorHAnsi"/>
        </w:rPr>
        <w:t xml:space="preserve"> </w:t>
      </w:r>
      <w:r w:rsidR="00F22284" w:rsidRPr="00F16251">
        <w:rPr>
          <w:rFonts w:cstheme="minorHAnsi"/>
        </w:rPr>
        <w:t>w</w:t>
      </w:r>
      <w:r w:rsidR="003B50ED" w:rsidRPr="00F16251">
        <w:rPr>
          <w:rFonts w:cstheme="minorHAnsi"/>
        </w:rPr>
        <w:t xml:space="preserve"> </w:t>
      </w:r>
      <w:r w:rsidR="00F22284" w:rsidRPr="00F16251">
        <w:rPr>
          <w:rFonts w:cstheme="minorHAnsi"/>
        </w:rPr>
        <w:t>szczególności</w:t>
      </w:r>
      <w:r w:rsidR="003B50ED" w:rsidRPr="00F16251">
        <w:rPr>
          <w:rFonts w:cstheme="minorHAnsi"/>
        </w:rPr>
        <w:t xml:space="preserve"> </w:t>
      </w:r>
      <w:r w:rsidR="00F22284" w:rsidRPr="00F16251">
        <w:rPr>
          <w:rFonts w:cstheme="minorHAnsi"/>
        </w:rPr>
        <w:t>do</w:t>
      </w:r>
      <w:r w:rsidR="003B50ED" w:rsidRPr="00F16251">
        <w:rPr>
          <w:rFonts w:cstheme="minorHAnsi"/>
        </w:rPr>
        <w:t xml:space="preserve"> </w:t>
      </w:r>
      <w:r w:rsidR="00EA772B" w:rsidRPr="00F16251">
        <w:rPr>
          <w:rFonts w:cstheme="minorHAnsi"/>
        </w:rPr>
        <w:t xml:space="preserve">młodzieży, </w:t>
      </w:r>
      <w:r w:rsidR="00F22284" w:rsidRPr="00F16251">
        <w:rPr>
          <w:rFonts w:cstheme="minorHAnsi"/>
        </w:rPr>
        <w:t>seniorów</w:t>
      </w:r>
      <w:r w:rsidR="00EA772B" w:rsidRPr="00F16251">
        <w:rPr>
          <w:rFonts w:cstheme="minorHAnsi"/>
        </w:rPr>
        <w:t xml:space="preserve"> oraz </w:t>
      </w:r>
      <w:r w:rsidR="00F22284" w:rsidRPr="00F16251">
        <w:rPr>
          <w:rFonts w:cstheme="minorHAnsi"/>
        </w:rPr>
        <w:t>osób</w:t>
      </w:r>
      <w:r w:rsidR="003B50ED" w:rsidRPr="00F16251">
        <w:rPr>
          <w:rFonts w:cstheme="minorHAnsi"/>
        </w:rPr>
        <w:t xml:space="preserve"> </w:t>
      </w:r>
      <w:r w:rsidR="00F22284" w:rsidRPr="00F16251">
        <w:rPr>
          <w:rFonts w:cstheme="minorHAnsi"/>
        </w:rPr>
        <w:t>w</w:t>
      </w:r>
      <w:r w:rsidR="003B50ED" w:rsidRPr="00F16251">
        <w:rPr>
          <w:rFonts w:cstheme="minorHAnsi"/>
        </w:rPr>
        <w:t xml:space="preserve"> </w:t>
      </w:r>
      <w:r w:rsidR="00AB742D" w:rsidRPr="00F16251">
        <w:rPr>
          <w:rFonts w:cstheme="minorHAnsi"/>
        </w:rPr>
        <w:t>niekorzyst</w:t>
      </w:r>
      <w:r w:rsidR="00F22284" w:rsidRPr="00F16251">
        <w:rPr>
          <w:rFonts w:cstheme="minorHAnsi"/>
        </w:rPr>
        <w:t>nej</w:t>
      </w:r>
      <w:r w:rsidR="003B50ED" w:rsidRPr="00F16251">
        <w:rPr>
          <w:rFonts w:cstheme="minorHAnsi"/>
        </w:rPr>
        <w:t xml:space="preserve"> </w:t>
      </w:r>
      <w:r w:rsidR="00F22284" w:rsidRPr="00F16251">
        <w:rPr>
          <w:rFonts w:cstheme="minorHAnsi"/>
        </w:rPr>
        <w:t>sytuacji.</w:t>
      </w:r>
    </w:p>
    <w:p w14:paraId="752D0778" w14:textId="67D5F583" w:rsidR="00F22284" w:rsidRPr="00F16251" w:rsidRDefault="00F22284" w:rsidP="00A26C26">
      <w:pPr>
        <w:spacing w:line="276" w:lineRule="auto"/>
        <w:ind w:firstLine="284"/>
        <w:jc w:val="both"/>
        <w:rPr>
          <w:rFonts w:cstheme="minorHAnsi"/>
        </w:rPr>
      </w:pPr>
      <w:r w:rsidRPr="00F16251">
        <w:rPr>
          <w:rFonts w:cstheme="minorHAnsi"/>
        </w:rPr>
        <w:t>Fakt</w:t>
      </w:r>
      <w:r w:rsidR="003B50ED" w:rsidRPr="00F16251">
        <w:rPr>
          <w:rFonts w:cstheme="minorHAnsi"/>
        </w:rPr>
        <w:t xml:space="preserve"> </w:t>
      </w:r>
      <w:r w:rsidRPr="00F16251">
        <w:rPr>
          <w:rFonts w:cstheme="minorHAnsi"/>
        </w:rPr>
        <w:t>istnienia</w:t>
      </w:r>
      <w:r w:rsidR="003B50ED" w:rsidRPr="00F16251">
        <w:rPr>
          <w:rFonts w:cstheme="minorHAnsi"/>
        </w:rPr>
        <w:t xml:space="preserve"> </w:t>
      </w:r>
      <w:r w:rsidRPr="00F16251">
        <w:rPr>
          <w:rFonts w:cstheme="minorHAnsi"/>
        </w:rPr>
        <w:t>od</w:t>
      </w:r>
      <w:r w:rsidR="003B50ED" w:rsidRPr="00F16251">
        <w:rPr>
          <w:rFonts w:cstheme="minorHAnsi"/>
        </w:rPr>
        <w:t xml:space="preserve"> </w:t>
      </w:r>
      <w:r w:rsidRPr="00F16251">
        <w:rPr>
          <w:rFonts w:cstheme="minorHAnsi"/>
        </w:rPr>
        <w:t>niemalże</w:t>
      </w:r>
      <w:r w:rsidR="003B50ED" w:rsidRPr="00F16251">
        <w:rPr>
          <w:rFonts w:cstheme="minorHAnsi"/>
        </w:rPr>
        <w:t xml:space="preserve"> </w:t>
      </w:r>
      <w:r w:rsidRPr="00F16251">
        <w:rPr>
          <w:rFonts w:cstheme="minorHAnsi"/>
        </w:rPr>
        <w:t>dwóch</w:t>
      </w:r>
      <w:r w:rsidR="003B50ED" w:rsidRPr="00F16251">
        <w:rPr>
          <w:rFonts w:cstheme="minorHAnsi"/>
        </w:rPr>
        <w:t xml:space="preserve"> </w:t>
      </w:r>
      <w:r w:rsidRPr="00F16251">
        <w:rPr>
          <w:rFonts w:cstheme="minorHAnsi"/>
        </w:rPr>
        <w:t>dekad</w:t>
      </w:r>
      <w:r w:rsidR="003B50ED" w:rsidRPr="00F16251">
        <w:rPr>
          <w:rFonts w:cstheme="minorHAnsi"/>
        </w:rPr>
        <w:t xml:space="preserve"> </w:t>
      </w:r>
      <w:r w:rsidR="000B603C" w:rsidRPr="00F16251">
        <w:rPr>
          <w:rFonts w:cstheme="minorHAnsi"/>
        </w:rPr>
        <w:t xml:space="preserve">Stowarzyszenia „Solidarni w Partnerstwie” </w:t>
      </w:r>
      <w:r w:rsidRPr="00F16251">
        <w:rPr>
          <w:rFonts w:cstheme="minorHAnsi"/>
        </w:rPr>
        <w:t>w</w:t>
      </w:r>
      <w:r w:rsidR="003B50ED" w:rsidRPr="00F16251">
        <w:rPr>
          <w:rFonts w:cstheme="minorHAnsi"/>
        </w:rPr>
        <w:t xml:space="preserve"> </w:t>
      </w:r>
      <w:r w:rsidRPr="00F16251">
        <w:rPr>
          <w:rFonts w:cstheme="minorHAnsi"/>
        </w:rPr>
        <w:t>środowisku</w:t>
      </w:r>
      <w:r w:rsidR="003B50ED" w:rsidRPr="00F16251">
        <w:rPr>
          <w:rFonts w:cstheme="minorHAnsi"/>
        </w:rPr>
        <w:t xml:space="preserve"> </w:t>
      </w:r>
      <w:r w:rsidRPr="00F16251">
        <w:rPr>
          <w:rFonts w:cstheme="minorHAnsi"/>
        </w:rPr>
        <w:t>lokalnym</w:t>
      </w:r>
      <w:r w:rsidR="003B50ED" w:rsidRPr="00F16251">
        <w:rPr>
          <w:rFonts w:cstheme="minorHAnsi"/>
        </w:rPr>
        <w:t xml:space="preserve"> </w:t>
      </w:r>
      <w:r w:rsidRPr="00F16251">
        <w:rPr>
          <w:rFonts w:cstheme="minorHAnsi"/>
        </w:rPr>
        <w:t>motywuje</w:t>
      </w:r>
      <w:r w:rsidR="003B50ED" w:rsidRPr="00F16251">
        <w:rPr>
          <w:rFonts w:cstheme="minorHAnsi"/>
        </w:rPr>
        <w:t xml:space="preserve"> </w:t>
      </w:r>
      <w:r w:rsidRPr="00F16251">
        <w:rPr>
          <w:rFonts w:cstheme="minorHAnsi"/>
        </w:rPr>
        <w:t>kolejne</w:t>
      </w:r>
      <w:r w:rsidR="003B50ED" w:rsidRPr="00F16251">
        <w:rPr>
          <w:rFonts w:cstheme="minorHAnsi"/>
        </w:rPr>
        <w:t xml:space="preserve"> </w:t>
      </w:r>
      <w:r w:rsidRPr="00F16251">
        <w:rPr>
          <w:rFonts w:cstheme="minorHAnsi"/>
        </w:rPr>
        <w:t>osoby,</w:t>
      </w:r>
      <w:r w:rsidR="003B50ED" w:rsidRPr="00F16251">
        <w:rPr>
          <w:rFonts w:cstheme="minorHAnsi"/>
        </w:rPr>
        <w:t xml:space="preserve"> </w:t>
      </w:r>
      <w:r w:rsidRPr="00F16251">
        <w:rPr>
          <w:rFonts w:cstheme="minorHAnsi"/>
        </w:rPr>
        <w:t>kolejne</w:t>
      </w:r>
      <w:r w:rsidR="003B50ED" w:rsidRPr="00F16251">
        <w:rPr>
          <w:rFonts w:cstheme="minorHAnsi"/>
        </w:rPr>
        <w:t xml:space="preserve"> </w:t>
      </w:r>
      <w:r w:rsidRPr="00F16251">
        <w:rPr>
          <w:rFonts w:cstheme="minorHAnsi"/>
        </w:rPr>
        <w:t>młode</w:t>
      </w:r>
      <w:r w:rsidR="003B50ED" w:rsidRPr="00F16251">
        <w:rPr>
          <w:rFonts w:cstheme="minorHAnsi"/>
        </w:rPr>
        <w:t xml:space="preserve"> </w:t>
      </w:r>
      <w:r w:rsidRPr="00F16251">
        <w:rPr>
          <w:rFonts w:cstheme="minorHAnsi"/>
        </w:rPr>
        <w:t>organizacje</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podmioty</w:t>
      </w:r>
      <w:r w:rsidR="003B50ED" w:rsidRPr="00F16251">
        <w:rPr>
          <w:rFonts w:cstheme="minorHAnsi"/>
        </w:rPr>
        <w:t xml:space="preserve"> </w:t>
      </w:r>
      <w:r w:rsidRPr="00F16251">
        <w:rPr>
          <w:rFonts w:cstheme="minorHAnsi"/>
        </w:rPr>
        <w:t>gospodarcze</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aktywniejszego</w:t>
      </w:r>
      <w:r w:rsidR="003B50ED" w:rsidRPr="00F16251">
        <w:rPr>
          <w:rFonts w:cstheme="minorHAnsi"/>
        </w:rPr>
        <w:t xml:space="preserve"> </w:t>
      </w:r>
      <w:r w:rsidRPr="00F16251">
        <w:rPr>
          <w:rFonts w:cstheme="minorHAnsi"/>
        </w:rPr>
        <w:t>włączenia</w:t>
      </w:r>
      <w:r w:rsidR="003B50ED" w:rsidRPr="00F16251">
        <w:rPr>
          <w:rFonts w:cstheme="minorHAnsi"/>
        </w:rPr>
        <w:t xml:space="preserve"> </w:t>
      </w:r>
      <w:r w:rsidRPr="00F16251">
        <w:rPr>
          <w:rFonts w:cstheme="minorHAnsi"/>
        </w:rPr>
        <w:t>się</w:t>
      </w:r>
      <w:r w:rsidR="003B50ED" w:rsidRPr="00F16251">
        <w:rPr>
          <w:rFonts w:cstheme="minorHAnsi"/>
        </w:rPr>
        <w:t xml:space="preserve"> </w:t>
      </w:r>
      <w:r w:rsidR="004A15A6">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działania</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rzecz</w:t>
      </w:r>
      <w:r w:rsidR="003B50ED" w:rsidRPr="00F16251">
        <w:rPr>
          <w:rFonts w:cstheme="minorHAnsi"/>
        </w:rPr>
        <w:t xml:space="preserve"> </w:t>
      </w:r>
      <w:r w:rsidRPr="00F16251">
        <w:rPr>
          <w:rFonts w:cstheme="minorHAnsi"/>
        </w:rPr>
        <w:t>najbliższego</w:t>
      </w:r>
      <w:r w:rsidR="003B50ED" w:rsidRPr="00F16251">
        <w:rPr>
          <w:rFonts w:cstheme="minorHAnsi"/>
        </w:rPr>
        <w:t xml:space="preserve"> </w:t>
      </w:r>
      <w:r w:rsidRPr="00F16251">
        <w:rPr>
          <w:rFonts w:cstheme="minorHAnsi"/>
        </w:rPr>
        <w:t>otoczenia.</w:t>
      </w:r>
      <w:r w:rsidR="003B50ED" w:rsidRPr="00F16251">
        <w:rPr>
          <w:rFonts w:cstheme="minorHAnsi"/>
        </w:rPr>
        <w:t xml:space="preserve"> </w:t>
      </w:r>
      <w:r w:rsidRPr="00F16251">
        <w:rPr>
          <w:rFonts w:cstheme="minorHAnsi"/>
        </w:rPr>
        <w:t>Również</w:t>
      </w:r>
      <w:r w:rsidR="003B50ED" w:rsidRPr="00F16251">
        <w:rPr>
          <w:rFonts w:cstheme="minorHAnsi"/>
        </w:rPr>
        <w:t xml:space="preserve"> </w:t>
      </w:r>
      <w:r w:rsidR="000B603C" w:rsidRPr="00F16251">
        <w:rPr>
          <w:rFonts w:cstheme="minorHAnsi"/>
        </w:rPr>
        <w:t xml:space="preserve">Stowarzyszenie „Solidarni w Partnerstwie” </w:t>
      </w:r>
      <w:r w:rsidRPr="00F16251">
        <w:rPr>
          <w:rFonts w:cstheme="minorHAnsi"/>
        </w:rPr>
        <w:t>wykorzystuje</w:t>
      </w:r>
      <w:r w:rsidR="003B50ED" w:rsidRPr="00F16251">
        <w:rPr>
          <w:rFonts w:cstheme="minorHAnsi"/>
        </w:rPr>
        <w:t xml:space="preserve"> </w:t>
      </w:r>
      <w:r w:rsidRPr="00F16251">
        <w:rPr>
          <w:rFonts w:cstheme="minorHAnsi"/>
        </w:rPr>
        <w:t>różnorodne</w:t>
      </w:r>
      <w:r w:rsidR="003B50ED" w:rsidRPr="00F16251">
        <w:rPr>
          <w:rFonts w:cstheme="minorHAnsi"/>
        </w:rPr>
        <w:t xml:space="preserve"> </w:t>
      </w:r>
      <w:r w:rsidRPr="00F16251">
        <w:rPr>
          <w:rFonts w:cstheme="minorHAnsi"/>
        </w:rPr>
        <w:t>sposoby</w:t>
      </w:r>
      <w:r w:rsidR="003B50ED" w:rsidRPr="00F16251">
        <w:rPr>
          <w:rFonts w:cstheme="minorHAnsi"/>
        </w:rPr>
        <w:t xml:space="preserve"> </w:t>
      </w:r>
      <w:r w:rsidRPr="00F16251">
        <w:rPr>
          <w:rFonts w:cstheme="minorHAnsi"/>
        </w:rPr>
        <w:t>aby</w:t>
      </w:r>
      <w:r w:rsidR="003B50ED" w:rsidRPr="00F16251">
        <w:rPr>
          <w:rFonts w:cstheme="minorHAnsi"/>
        </w:rPr>
        <w:t xml:space="preserve"> </w:t>
      </w:r>
      <w:r w:rsidRPr="00F16251">
        <w:rPr>
          <w:rFonts w:cstheme="minorHAnsi"/>
        </w:rPr>
        <w:t>dotrzeć</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nowych,</w:t>
      </w:r>
      <w:r w:rsidR="003B50ED" w:rsidRPr="00F16251">
        <w:rPr>
          <w:rFonts w:cstheme="minorHAnsi"/>
        </w:rPr>
        <w:t xml:space="preserve"> </w:t>
      </w:r>
      <w:r w:rsidRPr="00F16251">
        <w:rPr>
          <w:rFonts w:cstheme="minorHAnsi"/>
        </w:rPr>
        <w:t>potencjalnych</w:t>
      </w:r>
      <w:r w:rsidR="003B50ED" w:rsidRPr="00F16251">
        <w:rPr>
          <w:rFonts w:cstheme="minorHAnsi"/>
        </w:rPr>
        <w:t xml:space="preserve"> </w:t>
      </w:r>
      <w:r w:rsidRPr="00F16251">
        <w:rPr>
          <w:rFonts w:cstheme="minorHAnsi"/>
        </w:rPr>
        <w:t>partnerów.</w:t>
      </w:r>
      <w:r w:rsidR="003B50ED" w:rsidRPr="00F16251">
        <w:rPr>
          <w:rFonts w:cstheme="minorHAnsi"/>
        </w:rPr>
        <w:t xml:space="preserve"> </w:t>
      </w:r>
      <w:r w:rsidR="00EA772B" w:rsidRPr="00F16251">
        <w:rPr>
          <w:rFonts w:cstheme="minorHAnsi"/>
        </w:rPr>
        <w:t>O</w:t>
      </w:r>
      <w:r w:rsidRPr="00F16251">
        <w:rPr>
          <w:rFonts w:cstheme="minorHAnsi"/>
        </w:rPr>
        <w:t>becność</w:t>
      </w:r>
      <w:r w:rsidR="003B50ED" w:rsidRPr="00F16251">
        <w:rPr>
          <w:rFonts w:cstheme="minorHAnsi"/>
        </w:rPr>
        <w:t xml:space="preserve"> </w:t>
      </w:r>
      <w:r w:rsidR="00EA772B" w:rsidRPr="00F16251">
        <w:rPr>
          <w:rFonts w:cstheme="minorHAnsi"/>
        </w:rPr>
        <w:t xml:space="preserve">Stowarzyszenia „Solidarni </w:t>
      </w:r>
      <w:r w:rsidR="00EA772B" w:rsidRPr="00F16251">
        <w:rPr>
          <w:rFonts w:cstheme="minorHAnsi"/>
        </w:rPr>
        <w:br/>
      </w:r>
      <w:r w:rsidR="00EA772B" w:rsidRPr="00F16251">
        <w:rPr>
          <w:rFonts w:cstheme="minorHAnsi"/>
        </w:rPr>
        <w:lastRenderedPageBreak/>
        <w:t xml:space="preserve">w Partnerstwie” </w:t>
      </w:r>
      <w:r w:rsidRPr="00F16251">
        <w:rPr>
          <w:rFonts w:cstheme="minorHAnsi"/>
        </w:rPr>
        <w:t>na</w:t>
      </w:r>
      <w:r w:rsidR="003B50ED" w:rsidRPr="00F16251">
        <w:rPr>
          <w:rFonts w:cstheme="minorHAnsi"/>
        </w:rPr>
        <w:t xml:space="preserve"> </w:t>
      </w:r>
      <w:r w:rsidRPr="00F16251">
        <w:rPr>
          <w:rFonts w:cstheme="minorHAnsi"/>
        </w:rPr>
        <w:t>stałe</w:t>
      </w:r>
      <w:r w:rsidR="003B50ED" w:rsidRPr="00F16251">
        <w:rPr>
          <w:rFonts w:cstheme="minorHAnsi"/>
        </w:rPr>
        <w:t xml:space="preserve"> </w:t>
      </w:r>
      <w:r w:rsidRPr="00F16251">
        <w:rPr>
          <w:rFonts w:cstheme="minorHAnsi"/>
        </w:rPr>
        <w:t>wpisała</w:t>
      </w:r>
      <w:r w:rsidR="003B50ED" w:rsidRPr="00F16251">
        <w:rPr>
          <w:rFonts w:cstheme="minorHAnsi"/>
        </w:rPr>
        <w:t xml:space="preserve"> </w:t>
      </w:r>
      <w:r w:rsidRPr="00F16251">
        <w:rPr>
          <w:rFonts w:cstheme="minorHAnsi"/>
        </w:rPr>
        <w:t>się</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świadomość</w:t>
      </w:r>
      <w:r w:rsidR="003B50ED" w:rsidRPr="00F16251">
        <w:rPr>
          <w:rFonts w:cstheme="minorHAnsi"/>
        </w:rPr>
        <w:t xml:space="preserve"> </w:t>
      </w:r>
      <w:r w:rsidRPr="00F16251">
        <w:rPr>
          <w:rFonts w:cstheme="minorHAnsi"/>
        </w:rPr>
        <w:t>lokalnej</w:t>
      </w:r>
      <w:r w:rsidR="003B50ED" w:rsidRPr="00F16251">
        <w:rPr>
          <w:rFonts w:cstheme="minorHAnsi"/>
        </w:rPr>
        <w:t xml:space="preserve"> </w:t>
      </w:r>
      <w:r w:rsidRPr="00F16251">
        <w:rPr>
          <w:rFonts w:cstheme="minorHAnsi"/>
        </w:rPr>
        <w:t>społeczności,</w:t>
      </w:r>
      <w:r w:rsidR="003B50ED" w:rsidRPr="00F16251">
        <w:rPr>
          <w:rFonts w:cstheme="minorHAnsi"/>
        </w:rPr>
        <w:t xml:space="preserve"> </w:t>
      </w:r>
      <w:r w:rsidRPr="00F16251">
        <w:rPr>
          <w:rFonts w:cstheme="minorHAnsi"/>
        </w:rPr>
        <w:t>sami</w:t>
      </w:r>
      <w:r w:rsidR="003B50ED" w:rsidRPr="00F16251">
        <w:rPr>
          <w:rFonts w:cstheme="minorHAnsi"/>
        </w:rPr>
        <w:t xml:space="preserve"> </w:t>
      </w:r>
      <w:r w:rsidRPr="00F16251">
        <w:rPr>
          <w:rFonts w:cstheme="minorHAnsi"/>
        </w:rPr>
        <w:t>mieszkańcy</w:t>
      </w:r>
      <w:r w:rsidR="003B50ED" w:rsidRPr="00F16251">
        <w:rPr>
          <w:rFonts w:cstheme="minorHAnsi"/>
        </w:rPr>
        <w:t xml:space="preserve"> </w:t>
      </w:r>
      <w:r w:rsidRPr="00F16251">
        <w:rPr>
          <w:rFonts w:cstheme="minorHAnsi"/>
        </w:rPr>
        <w:t>i</w:t>
      </w:r>
      <w:r w:rsidR="003B50ED" w:rsidRPr="00F16251">
        <w:rPr>
          <w:rFonts w:cstheme="minorHAnsi"/>
        </w:rPr>
        <w:t xml:space="preserve"> </w:t>
      </w:r>
      <w:r w:rsidR="00EA772B" w:rsidRPr="00F16251">
        <w:rPr>
          <w:rFonts w:cstheme="minorHAnsi"/>
        </w:rPr>
        <w:t xml:space="preserve">organizacje inicjują </w:t>
      </w:r>
      <w:r w:rsidRPr="00F16251">
        <w:rPr>
          <w:rFonts w:cstheme="minorHAnsi"/>
        </w:rPr>
        <w:t>przestrzeń</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wspólnych</w:t>
      </w:r>
      <w:r w:rsidR="003B50ED" w:rsidRPr="00F16251">
        <w:rPr>
          <w:rFonts w:cstheme="minorHAnsi"/>
        </w:rPr>
        <w:t xml:space="preserve"> </w:t>
      </w:r>
      <w:r w:rsidRPr="00F16251">
        <w:rPr>
          <w:rFonts w:cstheme="minorHAnsi"/>
        </w:rPr>
        <w:t>spotkań</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rozmów.</w:t>
      </w:r>
      <w:r w:rsidR="003B50ED" w:rsidRPr="00F16251">
        <w:rPr>
          <w:rFonts w:cstheme="minorHAnsi"/>
        </w:rPr>
        <w:t xml:space="preserve"> </w:t>
      </w:r>
      <w:r w:rsidRPr="00F16251">
        <w:rPr>
          <w:rFonts w:cstheme="minorHAnsi"/>
        </w:rPr>
        <w:t>Potwierdzają</w:t>
      </w:r>
      <w:r w:rsidR="003B50ED" w:rsidRPr="00F16251">
        <w:rPr>
          <w:rFonts w:cstheme="minorHAnsi"/>
        </w:rPr>
        <w:t xml:space="preserve"> </w:t>
      </w:r>
      <w:r w:rsidRPr="00F16251">
        <w:rPr>
          <w:rFonts w:cstheme="minorHAnsi"/>
        </w:rPr>
        <w:t>to</w:t>
      </w:r>
      <w:r w:rsidR="003B50ED" w:rsidRPr="00F16251">
        <w:rPr>
          <w:rFonts w:cstheme="minorHAnsi"/>
        </w:rPr>
        <w:t xml:space="preserve"> </w:t>
      </w:r>
      <w:r w:rsidRPr="00F16251">
        <w:rPr>
          <w:rFonts w:cstheme="minorHAnsi"/>
        </w:rPr>
        <w:t>wyniki</w:t>
      </w:r>
      <w:r w:rsidR="003B50ED" w:rsidRPr="00F16251">
        <w:rPr>
          <w:rFonts w:cstheme="minorHAnsi"/>
        </w:rPr>
        <w:t xml:space="preserve"> </w:t>
      </w:r>
      <w:r w:rsidRPr="00F16251">
        <w:rPr>
          <w:rFonts w:cstheme="minorHAnsi"/>
        </w:rPr>
        <w:t>ewaluacji</w:t>
      </w:r>
      <w:r w:rsidR="003B50ED" w:rsidRPr="00F16251">
        <w:rPr>
          <w:rFonts w:cstheme="minorHAnsi"/>
        </w:rPr>
        <w:t xml:space="preserve"> </w:t>
      </w:r>
      <w:r w:rsidRPr="00F16251">
        <w:rPr>
          <w:rFonts w:cstheme="minorHAnsi"/>
        </w:rPr>
        <w:t>zewnętrznej,</w:t>
      </w:r>
      <w:r w:rsidR="003B50ED" w:rsidRPr="00F16251">
        <w:rPr>
          <w:rFonts w:cstheme="minorHAnsi"/>
        </w:rPr>
        <w:t xml:space="preserve"> </w:t>
      </w:r>
      <w:r w:rsidRPr="00F16251">
        <w:rPr>
          <w:rFonts w:cstheme="minorHAnsi"/>
        </w:rPr>
        <w:t>gdzie</w:t>
      </w:r>
      <w:r w:rsidR="003B50ED" w:rsidRPr="00F16251">
        <w:rPr>
          <w:rFonts w:cstheme="minorHAnsi"/>
        </w:rPr>
        <w:t xml:space="preserve"> </w:t>
      </w:r>
      <w:r w:rsidRPr="00F16251">
        <w:rPr>
          <w:rFonts w:cstheme="minorHAnsi"/>
        </w:rPr>
        <w:t>prawie</w:t>
      </w:r>
      <w:r w:rsidR="003B50ED" w:rsidRPr="00F16251">
        <w:rPr>
          <w:rFonts w:cstheme="minorHAnsi"/>
        </w:rPr>
        <w:t xml:space="preserve"> </w:t>
      </w:r>
      <w:r w:rsidRPr="00F16251">
        <w:rPr>
          <w:rFonts w:cstheme="minorHAnsi"/>
        </w:rPr>
        <w:t>czterech</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pięciu</w:t>
      </w:r>
      <w:r w:rsidR="003B50ED" w:rsidRPr="00F16251">
        <w:rPr>
          <w:rFonts w:cstheme="minorHAnsi"/>
        </w:rPr>
        <w:t xml:space="preserve"> </w:t>
      </w:r>
      <w:r w:rsidRPr="00F16251">
        <w:rPr>
          <w:rFonts w:cstheme="minorHAnsi"/>
        </w:rPr>
        <w:t>ankietowanych</w:t>
      </w:r>
      <w:r w:rsidR="003B50ED" w:rsidRPr="00F16251">
        <w:rPr>
          <w:rFonts w:cstheme="minorHAnsi"/>
        </w:rPr>
        <w:t xml:space="preserve"> </w:t>
      </w:r>
      <w:r w:rsidRPr="00F16251">
        <w:rPr>
          <w:rFonts w:cstheme="minorHAnsi"/>
        </w:rPr>
        <w:t>mieszkańców</w:t>
      </w:r>
      <w:r w:rsidR="003B50ED" w:rsidRPr="00F16251">
        <w:rPr>
          <w:rFonts w:cstheme="minorHAnsi"/>
        </w:rPr>
        <w:t xml:space="preserve"> </w:t>
      </w:r>
      <w:r w:rsidRPr="00F16251">
        <w:rPr>
          <w:rFonts w:cstheme="minorHAnsi"/>
        </w:rPr>
        <w:t>zna</w:t>
      </w:r>
      <w:r w:rsidR="003B50ED" w:rsidRPr="00F16251">
        <w:rPr>
          <w:rFonts w:cstheme="minorHAnsi"/>
        </w:rPr>
        <w:t xml:space="preserve"> </w:t>
      </w:r>
      <w:r w:rsidR="000B603C" w:rsidRPr="00F16251">
        <w:rPr>
          <w:rFonts w:cstheme="minorHAnsi"/>
        </w:rPr>
        <w:t>Stowarzyszenie „Solidarni w Partnerstwie”</w:t>
      </w:r>
      <w:r w:rsidRPr="00F16251">
        <w:rPr>
          <w:rFonts w:cstheme="minorHAnsi"/>
        </w:rPr>
        <w:t>.</w:t>
      </w:r>
      <w:r w:rsidR="003B50ED" w:rsidRPr="00F16251">
        <w:rPr>
          <w:rFonts w:cstheme="minorHAnsi"/>
        </w:rPr>
        <w:t xml:space="preserve"> </w:t>
      </w:r>
      <w:r w:rsidRPr="00F16251">
        <w:rPr>
          <w:rFonts w:cstheme="minorHAnsi"/>
        </w:rPr>
        <w:t>Źródłem</w:t>
      </w:r>
      <w:r w:rsidR="003B50ED" w:rsidRPr="00F16251">
        <w:rPr>
          <w:rFonts w:cstheme="minorHAnsi"/>
        </w:rPr>
        <w:t xml:space="preserve"> </w:t>
      </w:r>
      <w:r w:rsidRPr="00F16251">
        <w:rPr>
          <w:rFonts w:cstheme="minorHAnsi"/>
        </w:rPr>
        <w:t>tej</w:t>
      </w:r>
      <w:r w:rsidR="003B50ED" w:rsidRPr="00F16251">
        <w:rPr>
          <w:rFonts w:cstheme="minorHAnsi"/>
        </w:rPr>
        <w:t xml:space="preserve"> </w:t>
      </w:r>
      <w:r w:rsidRPr="00F16251">
        <w:rPr>
          <w:rFonts w:cstheme="minorHAnsi"/>
        </w:rPr>
        <w:t>wiedzy</w:t>
      </w:r>
      <w:r w:rsidR="003B50ED" w:rsidRPr="00F16251">
        <w:rPr>
          <w:rFonts w:cstheme="minorHAnsi"/>
        </w:rPr>
        <w:t xml:space="preserve"> </w:t>
      </w:r>
      <w:r w:rsidRPr="00F16251">
        <w:rPr>
          <w:rFonts w:cstheme="minorHAnsi"/>
        </w:rPr>
        <w:t>jest</w:t>
      </w:r>
      <w:r w:rsidR="003B50ED" w:rsidRPr="00F16251">
        <w:rPr>
          <w:rFonts w:cstheme="minorHAnsi"/>
        </w:rPr>
        <w:t xml:space="preserve"> </w:t>
      </w:r>
      <w:r w:rsidRPr="00F16251">
        <w:rPr>
          <w:rFonts w:cstheme="minorHAnsi"/>
        </w:rPr>
        <w:t>przede</w:t>
      </w:r>
      <w:r w:rsidR="003B50ED" w:rsidRPr="00F16251">
        <w:rPr>
          <w:rFonts w:cstheme="minorHAnsi"/>
        </w:rPr>
        <w:t xml:space="preserve"> </w:t>
      </w:r>
      <w:r w:rsidRPr="00F16251">
        <w:rPr>
          <w:rFonts w:cstheme="minorHAnsi"/>
        </w:rPr>
        <w:t>wszystkim</w:t>
      </w:r>
      <w:r w:rsidR="003B50ED" w:rsidRPr="00F16251">
        <w:rPr>
          <w:rFonts w:cstheme="minorHAnsi"/>
        </w:rPr>
        <w:t xml:space="preserve"> </w:t>
      </w:r>
      <w:r w:rsidRPr="00F16251">
        <w:rPr>
          <w:rFonts w:cstheme="minorHAnsi"/>
        </w:rPr>
        <w:t>lokalna</w:t>
      </w:r>
      <w:r w:rsidR="003B50ED" w:rsidRPr="00F16251">
        <w:rPr>
          <w:rFonts w:cstheme="minorHAnsi"/>
        </w:rPr>
        <w:t xml:space="preserve"> </w:t>
      </w:r>
      <w:r w:rsidRPr="00F16251">
        <w:rPr>
          <w:rFonts w:cstheme="minorHAnsi"/>
        </w:rPr>
        <w:t>prasa,</w:t>
      </w:r>
      <w:r w:rsidR="003B50ED" w:rsidRPr="00F16251">
        <w:rPr>
          <w:rFonts w:cstheme="minorHAnsi"/>
        </w:rPr>
        <w:t xml:space="preserve"> </w:t>
      </w:r>
      <w:r w:rsidRPr="00F16251">
        <w:rPr>
          <w:rFonts w:cstheme="minorHAnsi"/>
        </w:rPr>
        <w:t>a</w:t>
      </w:r>
      <w:r w:rsidR="003B50ED" w:rsidRPr="00F16251">
        <w:rPr>
          <w:rFonts w:cstheme="minorHAnsi"/>
        </w:rPr>
        <w:t xml:space="preserve"> </w:t>
      </w:r>
      <w:r w:rsidRPr="00F16251">
        <w:rPr>
          <w:rFonts w:cstheme="minorHAnsi"/>
        </w:rPr>
        <w:t>także</w:t>
      </w:r>
      <w:r w:rsidR="003B50ED" w:rsidRPr="00F16251">
        <w:rPr>
          <w:rFonts w:cstheme="minorHAnsi"/>
        </w:rPr>
        <w:t xml:space="preserve"> </w:t>
      </w:r>
      <w:r w:rsidRPr="00F16251">
        <w:rPr>
          <w:rFonts w:cstheme="minorHAnsi"/>
        </w:rPr>
        <w:t>instytucje</w:t>
      </w:r>
      <w:r w:rsidR="003B50ED" w:rsidRPr="00F16251">
        <w:rPr>
          <w:rFonts w:cstheme="minorHAnsi"/>
        </w:rPr>
        <w:t xml:space="preserve"> </w:t>
      </w:r>
      <w:r w:rsidRPr="00F16251">
        <w:rPr>
          <w:rFonts w:cstheme="minorHAnsi"/>
        </w:rPr>
        <w:t>takie</w:t>
      </w:r>
      <w:r w:rsidR="003B50ED" w:rsidRPr="00F16251">
        <w:rPr>
          <w:rFonts w:cstheme="minorHAnsi"/>
        </w:rPr>
        <w:t xml:space="preserve"> </w:t>
      </w:r>
      <w:r w:rsidRPr="00F16251">
        <w:rPr>
          <w:rFonts w:cstheme="minorHAnsi"/>
        </w:rPr>
        <w:t>jak</w:t>
      </w:r>
      <w:r w:rsidR="003B50ED" w:rsidRPr="00F16251">
        <w:rPr>
          <w:rFonts w:cstheme="minorHAnsi"/>
        </w:rPr>
        <w:t xml:space="preserve"> </w:t>
      </w:r>
      <w:r w:rsidRPr="00F16251">
        <w:rPr>
          <w:rFonts w:cstheme="minorHAnsi"/>
        </w:rPr>
        <w:t>urząd</w:t>
      </w:r>
      <w:r w:rsidR="003B50ED" w:rsidRPr="00F16251">
        <w:rPr>
          <w:rFonts w:cstheme="minorHAnsi"/>
        </w:rPr>
        <w:t xml:space="preserve"> </w:t>
      </w:r>
      <w:r w:rsidRPr="00F16251">
        <w:rPr>
          <w:rFonts w:cstheme="minorHAnsi"/>
        </w:rPr>
        <w:t>czy</w:t>
      </w:r>
      <w:r w:rsidR="003B50ED" w:rsidRPr="00F16251">
        <w:rPr>
          <w:rFonts w:cstheme="minorHAnsi"/>
        </w:rPr>
        <w:t xml:space="preserve"> </w:t>
      </w:r>
      <w:r w:rsidRPr="00F16251">
        <w:rPr>
          <w:rFonts w:cstheme="minorHAnsi"/>
        </w:rPr>
        <w:t>szkoła.</w:t>
      </w:r>
      <w:r w:rsidR="003B50ED" w:rsidRPr="00F16251">
        <w:rPr>
          <w:rFonts w:cstheme="minorHAnsi"/>
        </w:rPr>
        <w:t xml:space="preserve"> </w:t>
      </w:r>
      <w:r w:rsidRPr="00F16251">
        <w:rPr>
          <w:rFonts w:cstheme="minorHAnsi"/>
        </w:rPr>
        <w:t>Co</w:t>
      </w:r>
      <w:r w:rsidR="003B50ED" w:rsidRPr="00F16251">
        <w:rPr>
          <w:rFonts w:cstheme="minorHAnsi"/>
        </w:rPr>
        <w:t xml:space="preserve"> </w:t>
      </w:r>
      <w:r w:rsidRPr="00F16251">
        <w:rPr>
          <w:rFonts w:cstheme="minorHAnsi"/>
        </w:rPr>
        <w:t>trzeci</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respondentów,</w:t>
      </w:r>
      <w:r w:rsidR="003B50ED" w:rsidRPr="00F16251">
        <w:rPr>
          <w:rFonts w:cstheme="minorHAnsi"/>
        </w:rPr>
        <w:t xml:space="preserve"> </w:t>
      </w:r>
      <w:r w:rsidRPr="00F16251">
        <w:rPr>
          <w:rFonts w:cstheme="minorHAnsi"/>
        </w:rPr>
        <w:t>którzy</w:t>
      </w:r>
      <w:r w:rsidR="003B50ED" w:rsidRPr="00F16251">
        <w:rPr>
          <w:rFonts w:cstheme="minorHAnsi"/>
        </w:rPr>
        <w:t xml:space="preserve"> </w:t>
      </w:r>
      <w:r w:rsidRPr="00F16251">
        <w:rPr>
          <w:rFonts w:cstheme="minorHAnsi"/>
        </w:rPr>
        <w:t>zadeklarowali</w:t>
      </w:r>
      <w:r w:rsidR="003B50ED" w:rsidRPr="00F16251">
        <w:rPr>
          <w:rFonts w:cstheme="minorHAnsi"/>
        </w:rPr>
        <w:t xml:space="preserve"> </w:t>
      </w:r>
      <w:r w:rsidRPr="00F16251">
        <w:rPr>
          <w:rFonts w:cstheme="minorHAnsi"/>
        </w:rPr>
        <w:t>znajomość</w:t>
      </w:r>
      <w:r w:rsidR="00885052" w:rsidRPr="00F16251">
        <w:rPr>
          <w:rFonts w:cstheme="minorHAnsi"/>
        </w:rPr>
        <w:t xml:space="preserve">, </w:t>
      </w:r>
      <w:r w:rsidRPr="00F16251">
        <w:rPr>
          <w:rFonts w:cstheme="minorHAnsi"/>
        </w:rPr>
        <w:t>widział</w:t>
      </w:r>
      <w:r w:rsidR="003B50ED" w:rsidRPr="00F16251">
        <w:rPr>
          <w:rFonts w:cstheme="minorHAnsi"/>
        </w:rPr>
        <w:t xml:space="preserve"> </w:t>
      </w:r>
      <w:r w:rsidR="00885052" w:rsidRPr="00F16251">
        <w:rPr>
          <w:rFonts w:cstheme="minorHAnsi"/>
        </w:rPr>
        <w:t xml:space="preserve">efekty działań </w:t>
      </w:r>
      <w:r w:rsidRPr="00F16251">
        <w:rPr>
          <w:rFonts w:cstheme="minorHAnsi"/>
        </w:rPr>
        <w:t>lub</w:t>
      </w:r>
      <w:r w:rsidR="003B50ED" w:rsidRPr="00F16251">
        <w:rPr>
          <w:rFonts w:cstheme="minorHAnsi"/>
        </w:rPr>
        <w:t xml:space="preserve"> </w:t>
      </w:r>
      <w:r w:rsidRPr="00F16251">
        <w:rPr>
          <w:rFonts w:cstheme="minorHAnsi"/>
        </w:rPr>
        <w:t>osobiście</w:t>
      </w:r>
      <w:r w:rsidR="003B50ED" w:rsidRPr="00F16251">
        <w:rPr>
          <w:rFonts w:cstheme="minorHAnsi"/>
        </w:rPr>
        <w:t xml:space="preserve"> </w:t>
      </w:r>
      <w:r w:rsidRPr="00F16251">
        <w:rPr>
          <w:rFonts w:cstheme="minorHAnsi"/>
        </w:rPr>
        <w:t>brał</w:t>
      </w:r>
      <w:r w:rsidR="003B50ED" w:rsidRPr="00F16251">
        <w:rPr>
          <w:rFonts w:cstheme="minorHAnsi"/>
        </w:rPr>
        <w:t xml:space="preserve"> </w:t>
      </w:r>
      <w:r w:rsidRPr="00F16251">
        <w:rPr>
          <w:rFonts w:cstheme="minorHAnsi"/>
        </w:rPr>
        <w:t>udział</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jej</w:t>
      </w:r>
      <w:r w:rsidR="003B50ED" w:rsidRPr="00F16251">
        <w:rPr>
          <w:rFonts w:cstheme="minorHAnsi"/>
        </w:rPr>
        <w:t xml:space="preserve"> </w:t>
      </w:r>
      <w:r w:rsidRPr="00F16251">
        <w:rPr>
          <w:rFonts w:cstheme="minorHAnsi"/>
        </w:rPr>
        <w:t>inicjatywach.</w:t>
      </w:r>
    </w:p>
    <w:p w14:paraId="4073DA9B" w14:textId="77777777" w:rsidR="00396A11" w:rsidRDefault="00F22284" w:rsidP="00A26C26">
      <w:pPr>
        <w:spacing w:line="276" w:lineRule="auto"/>
        <w:ind w:firstLine="284"/>
        <w:jc w:val="both"/>
        <w:rPr>
          <w:rFonts w:cstheme="minorHAnsi"/>
        </w:rPr>
      </w:pPr>
      <w:r w:rsidRPr="00F16251">
        <w:rPr>
          <w:rFonts w:cstheme="minorHAnsi"/>
        </w:rPr>
        <w:t>W</w:t>
      </w:r>
      <w:r w:rsidR="003B50ED" w:rsidRPr="00F16251">
        <w:rPr>
          <w:rFonts w:cstheme="minorHAnsi"/>
        </w:rPr>
        <w:t xml:space="preserve"> </w:t>
      </w:r>
      <w:r w:rsidRPr="00F16251">
        <w:rPr>
          <w:rFonts w:cstheme="minorHAnsi"/>
        </w:rPr>
        <w:t>opinii</w:t>
      </w:r>
      <w:r w:rsidR="003B50ED" w:rsidRPr="00F16251">
        <w:rPr>
          <w:rFonts w:cstheme="minorHAnsi"/>
        </w:rPr>
        <w:t xml:space="preserve"> </w:t>
      </w:r>
      <w:r w:rsidRPr="00F16251">
        <w:rPr>
          <w:rFonts w:cstheme="minorHAnsi"/>
        </w:rPr>
        <w:t>osób</w:t>
      </w:r>
      <w:r w:rsidR="003B50ED" w:rsidRPr="00F16251">
        <w:rPr>
          <w:rFonts w:cstheme="minorHAnsi"/>
        </w:rPr>
        <w:t xml:space="preserve"> </w:t>
      </w:r>
      <w:r w:rsidRPr="00F16251">
        <w:rPr>
          <w:rFonts w:cstheme="minorHAnsi"/>
        </w:rPr>
        <w:t>biorących</w:t>
      </w:r>
      <w:r w:rsidR="003B50ED" w:rsidRPr="00F16251">
        <w:rPr>
          <w:rFonts w:cstheme="minorHAnsi"/>
        </w:rPr>
        <w:t xml:space="preserve"> </w:t>
      </w:r>
      <w:r w:rsidRPr="00F16251">
        <w:rPr>
          <w:rFonts w:cstheme="minorHAnsi"/>
        </w:rPr>
        <w:t>udział</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badaniu</w:t>
      </w:r>
      <w:r w:rsidR="003B50ED" w:rsidRPr="00F16251">
        <w:rPr>
          <w:rFonts w:cstheme="minorHAnsi"/>
        </w:rPr>
        <w:t xml:space="preserve"> </w:t>
      </w:r>
      <w:r w:rsidRPr="00F16251">
        <w:rPr>
          <w:rFonts w:cstheme="minorHAnsi"/>
        </w:rPr>
        <w:t>ewaluacyjnym</w:t>
      </w:r>
      <w:r w:rsidR="003B50ED" w:rsidRPr="00F16251">
        <w:rPr>
          <w:rFonts w:cstheme="minorHAnsi"/>
        </w:rPr>
        <w:t xml:space="preserve"> </w:t>
      </w:r>
      <w:r w:rsidRPr="00F16251">
        <w:rPr>
          <w:rFonts w:cstheme="minorHAnsi"/>
        </w:rPr>
        <w:t>powstanie</w:t>
      </w:r>
      <w:r w:rsidR="003B50ED" w:rsidRPr="00F16251">
        <w:rPr>
          <w:rFonts w:cstheme="minorHAnsi"/>
        </w:rPr>
        <w:t xml:space="preserve"> </w:t>
      </w:r>
      <w:r w:rsidR="00EA772B" w:rsidRPr="00F16251">
        <w:rPr>
          <w:rFonts w:cstheme="minorHAnsi"/>
        </w:rPr>
        <w:t xml:space="preserve">Stowarzyszenia „Solidarni w Partnerstwie” </w:t>
      </w:r>
      <w:r w:rsidRPr="00F16251">
        <w:rPr>
          <w:rFonts w:cstheme="minorHAnsi"/>
        </w:rPr>
        <w:t>zintensyfikowało</w:t>
      </w:r>
      <w:r w:rsidR="003B50ED" w:rsidRPr="00F16251">
        <w:rPr>
          <w:rFonts w:cstheme="minorHAnsi"/>
        </w:rPr>
        <w:t xml:space="preserve"> </w:t>
      </w:r>
      <w:r w:rsidRPr="00F16251">
        <w:rPr>
          <w:rFonts w:cstheme="minorHAnsi"/>
        </w:rPr>
        <w:t>współpracę</w:t>
      </w:r>
      <w:r w:rsidR="003B50ED" w:rsidRPr="00F16251">
        <w:rPr>
          <w:rFonts w:cstheme="minorHAnsi"/>
        </w:rPr>
        <w:t xml:space="preserve"> </w:t>
      </w:r>
      <w:r w:rsidRPr="00F16251">
        <w:rPr>
          <w:rFonts w:cstheme="minorHAnsi"/>
        </w:rPr>
        <w:t>pomiędzy</w:t>
      </w:r>
      <w:r w:rsidR="003B50ED" w:rsidRPr="00F16251">
        <w:rPr>
          <w:rFonts w:cstheme="minorHAnsi"/>
        </w:rPr>
        <w:t xml:space="preserve"> </w:t>
      </w:r>
      <w:r w:rsidRPr="00F16251">
        <w:rPr>
          <w:rFonts w:cstheme="minorHAnsi"/>
        </w:rPr>
        <w:t>gminami</w:t>
      </w:r>
      <w:r w:rsidR="003B50ED" w:rsidRPr="00F16251">
        <w:rPr>
          <w:rFonts w:cstheme="minorHAnsi"/>
        </w:rPr>
        <w:t xml:space="preserve"> </w:t>
      </w:r>
      <w:r w:rsidRPr="00F16251">
        <w:rPr>
          <w:rFonts w:cstheme="minorHAnsi"/>
        </w:rPr>
        <w:t>zaangażowanymi</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jej</w:t>
      </w:r>
      <w:r w:rsidR="003B50ED" w:rsidRPr="00F16251">
        <w:rPr>
          <w:rFonts w:cstheme="minorHAnsi"/>
        </w:rPr>
        <w:t xml:space="preserve"> </w:t>
      </w:r>
      <w:r w:rsidRPr="00F16251">
        <w:rPr>
          <w:rFonts w:cstheme="minorHAnsi"/>
        </w:rPr>
        <w:t>działalność.</w:t>
      </w:r>
      <w:r w:rsidR="003B50ED" w:rsidRPr="00F16251">
        <w:rPr>
          <w:rFonts w:cstheme="minorHAnsi"/>
        </w:rPr>
        <w:t xml:space="preserve"> </w:t>
      </w:r>
      <w:r w:rsidRPr="00F16251">
        <w:rPr>
          <w:rFonts w:cstheme="minorHAnsi"/>
        </w:rPr>
        <w:t>Przedstawiciele</w:t>
      </w:r>
      <w:r w:rsidR="003B50ED" w:rsidRPr="00F16251">
        <w:rPr>
          <w:rFonts w:cstheme="minorHAnsi"/>
        </w:rPr>
        <w:t xml:space="preserve"> </w:t>
      </w:r>
      <w:r w:rsidRPr="00F16251">
        <w:rPr>
          <w:rFonts w:cstheme="minorHAnsi"/>
        </w:rPr>
        <w:t>gmin</w:t>
      </w:r>
      <w:r w:rsidR="003B50ED" w:rsidRPr="00F16251">
        <w:rPr>
          <w:rFonts w:cstheme="minorHAnsi"/>
        </w:rPr>
        <w:t xml:space="preserve"> </w:t>
      </w:r>
      <w:r w:rsidRPr="00F16251">
        <w:rPr>
          <w:rFonts w:cstheme="minorHAnsi"/>
        </w:rPr>
        <w:t>często</w:t>
      </w:r>
      <w:r w:rsidR="003B50ED" w:rsidRPr="00F16251">
        <w:rPr>
          <w:rFonts w:cstheme="minorHAnsi"/>
        </w:rPr>
        <w:t xml:space="preserve"> </w:t>
      </w:r>
      <w:r w:rsidRPr="00F16251">
        <w:rPr>
          <w:rFonts w:cstheme="minorHAnsi"/>
        </w:rPr>
        <w:t>się</w:t>
      </w:r>
      <w:r w:rsidR="003B50ED" w:rsidRPr="00F16251">
        <w:rPr>
          <w:rFonts w:cstheme="minorHAnsi"/>
        </w:rPr>
        <w:t xml:space="preserve"> </w:t>
      </w:r>
      <w:r w:rsidRPr="00F16251">
        <w:rPr>
          <w:rFonts w:cstheme="minorHAnsi"/>
        </w:rPr>
        <w:t>spotykają</w:t>
      </w:r>
      <w:r w:rsidR="00EA772B" w:rsidRPr="00F16251">
        <w:rPr>
          <w:rFonts w:cstheme="minorHAnsi"/>
        </w:rPr>
        <w:t xml:space="preserve"> i </w:t>
      </w:r>
      <w:r w:rsidRPr="00F16251">
        <w:rPr>
          <w:rFonts w:cstheme="minorHAnsi"/>
        </w:rPr>
        <w:t>wymieniają</w:t>
      </w:r>
      <w:r w:rsidR="003B50ED" w:rsidRPr="00F16251">
        <w:rPr>
          <w:rFonts w:cstheme="minorHAnsi"/>
        </w:rPr>
        <w:t xml:space="preserve"> </w:t>
      </w:r>
      <w:r w:rsidRPr="00F16251">
        <w:rPr>
          <w:rFonts w:cstheme="minorHAnsi"/>
        </w:rPr>
        <w:t>doświadczenia</w:t>
      </w:r>
      <w:r w:rsidR="003B50ED" w:rsidRPr="00F16251">
        <w:rPr>
          <w:rFonts w:cstheme="minorHAnsi"/>
        </w:rPr>
        <w:t xml:space="preserve"> </w:t>
      </w:r>
      <w:r w:rsidR="00EA772B" w:rsidRPr="00F16251">
        <w:rPr>
          <w:rFonts w:cstheme="minorHAnsi"/>
        </w:rPr>
        <w:t xml:space="preserve">lub </w:t>
      </w:r>
      <w:r w:rsidRPr="00F16251">
        <w:rPr>
          <w:rFonts w:cstheme="minorHAnsi"/>
        </w:rPr>
        <w:t>planują</w:t>
      </w:r>
      <w:r w:rsidR="003B50ED" w:rsidRPr="00F16251">
        <w:rPr>
          <w:rFonts w:cstheme="minorHAnsi"/>
        </w:rPr>
        <w:t xml:space="preserve"> </w:t>
      </w:r>
      <w:r w:rsidRPr="00F16251">
        <w:rPr>
          <w:rFonts w:cstheme="minorHAnsi"/>
        </w:rPr>
        <w:t>wspólne</w:t>
      </w:r>
      <w:r w:rsidR="003B50ED" w:rsidRPr="00F16251">
        <w:rPr>
          <w:rFonts w:cstheme="minorHAnsi"/>
        </w:rPr>
        <w:t xml:space="preserve"> </w:t>
      </w:r>
      <w:r w:rsidRPr="00F16251">
        <w:rPr>
          <w:rFonts w:cstheme="minorHAnsi"/>
        </w:rPr>
        <w:t>działania.</w:t>
      </w:r>
      <w:r w:rsidR="003B50ED" w:rsidRPr="00F16251">
        <w:rPr>
          <w:rFonts w:cstheme="minorHAnsi"/>
        </w:rPr>
        <w:t xml:space="preserve"> </w:t>
      </w:r>
      <w:r w:rsidRPr="00F16251">
        <w:rPr>
          <w:rFonts w:cstheme="minorHAnsi"/>
        </w:rPr>
        <w:t>Została</w:t>
      </w:r>
      <w:r w:rsidR="003B50ED" w:rsidRPr="00F16251">
        <w:rPr>
          <w:rFonts w:cstheme="minorHAnsi"/>
        </w:rPr>
        <w:t xml:space="preserve"> </w:t>
      </w:r>
      <w:r w:rsidRPr="00F16251">
        <w:rPr>
          <w:rFonts w:cstheme="minorHAnsi"/>
        </w:rPr>
        <w:t>nawiązana</w:t>
      </w:r>
      <w:r w:rsidR="003B50ED" w:rsidRPr="00F16251">
        <w:rPr>
          <w:rFonts w:cstheme="minorHAnsi"/>
        </w:rPr>
        <w:t xml:space="preserve"> </w:t>
      </w:r>
      <w:r w:rsidRPr="00F16251">
        <w:rPr>
          <w:rFonts w:cstheme="minorHAnsi"/>
        </w:rPr>
        <w:t>ściślejsza</w:t>
      </w:r>
      <w:r w:rsidR="003B50ED" w:rsidRPr="00F16251">
        <w:rPr>
          <w:rFonts w:cstheme="minorHAnsi"/>
        </w:rPr>
        <w:t xml:space="preserve"> </w:t>
      </w:r>
      <w:r w:rsidRPr="00F16251">
        <w:rPr>
          <w:rFonts w:cstheme="minorHAnsi"/>
        </w:rPr>
        <w:t>współpraca</w:t>
      </w:r>
      <w:r w:rsidR="003B50ED" w:rsidRPr="00F16251">
        <w:rPr>
          <w:rFonts w:cstheme="minorHAnsi"/>
        </w:rPr>
        <w:t xml:space="preserve"> </w:t>
      </w:r>
      <w:r w:rsidRPr="00F16251">
        <w:rPr>
          <w:rFonts w:cstheme="minorHAnsi"/>
        </w:rPr>
        <w:t>między</w:t>
      </w:r>
      <w:r w:rsidR="003B50ED" w:rsidRPr="00F16251">
        <w:rPr>
          <w:rFonts w:cstheme="minorHAnsi"/>
        </w:rPr>
        <w:t xml:space="preserve"> </w:t>
      </w:r>
      <w:r w:rsidRPr="00F16251">
        <w:rPr>
          <w:rFonts w:cstheme="minorHAnsi"/>
        </w:rPr>
        <w:t>gminami</w:t>
      </w:r>
      <w:r w:rsidR="003B50ED" w:rsidRPr="00F16251">
        <w:rPr>
          <w:rFonts w:cstheme="minorHAnsi"/>
        </w:rPr>
        <w:t xml:space="preserve"> </w:t>
      </w:r>
      <w:r w:rsidRPr="00F16251">
        <w:rPr>
          <w:rFonts w:cstheme="minorHAnsi"/>
        </w:rPr>
        <w:t>a</w:t>
      </w:r>
      <w:r w:rsidR="003B50ED" w:rsidRPr="00F16251">
        <w:rPr>
          <w:rFonts w:cstheme="minorHAnsi"/>
        </w:rPr>
        <w:t xml:space="preserve"> </w:t>
      </w:r>
      <w:r w:rsidRPr="00F16251">
        <w:rPr>
          <w:rFonts w:cstheme="minorHAnsi"/>
        </w:rPr>
        <w:t>organizacjami</w:t>
      </w:r>
      <w:r w:rsidR="003B50ED" w:rsidRPr="00F16251">
        <w:rPr>
          <w:rFonts w:cstheme="minorHAnsi"/>
        </w:rPr>
        <w:t xml:space="preserve"> </w:t>
      </w:r>
      <w:r w:rsidRPr="00F16251">
        <w:rPr>
          <w:rFonts w:cstheme="minorHAnsi"/>
        </w:rPr>
        <w:t>pozarządowymi,</w:t>
      </w:r>
      <w:r w:rsidR="003B50ED" w:rsidRPr="00F16251">
        <w:rPr>
          <w:rFonts w:cstheme="minorHAnsi"/>
        </w:rPr>
        <w:t xml:space="preserve"> </w:t>
      </w:r>
      <w:r w:rsidRPr="00F16251">
        <w:rPr>
          <w:rFonts w:cstheme="minorHAnsi"/>
        </w:rPr>
        <w:t>co</w:t>
      </w:r>
      <w:r w:rsidR="003B50ED" w:rsidRPr="00F16251">
        <w:rPr>
          <w:rFonts w:cstheme="minorHAnsi"/>
        </w:rPr>
        <w:t xml:space="preserve"> </w:t>
      </w:r>
      <w:r w:rsidRPr="00F16251">
        <w:rPr>
          <w:rFonts w:cstheme="minorHAnsi"/>
        </w:rPr>
        <w:t>przynosi</w:t>
      </w:r>
      <w:r w:rsidR="003B50ED" w:rsidRPr="00F16251">
        <w:rPr>
          <w:rFonts w:cstheme="minorHAnsi"/>
        </w:rPr>
        <w:t xml:space="preserve"> </w:t>
      </w:r>
      <w:r w:rsidRPr="00F16251">
        <w:rPr>
          <w:rFonts w:cstheme="minorHAnsi"/>
        </w:rPr>
        <w:t>widoczne</w:t>
      </w:r>
      <w:r w:rsidR="003B50ED" w:rsidRPr="00F16251">
        <w:rPr>
          <w:rFonts w:cstheme="minorHAnsi"/>
        </w:rPr>
        <w:t xml:space="preserve"> </w:t>
      </w:r>
      <w:r w:rsidRPr="00F16251">
        <w:rPr>
          <w:rFonts w:cstheme="minorHAnsi"/>
        </w:rPr>
        <w:t>korzyści</w:t>
      </w:r>
      <w:r w:rsidR="003B50ED" w:rsidRPr="00F16251">
        <w:rPr>
          <w:rFonts w:cstheme="minorHAnsi"/>
        </w:rPr>
        <w:t xml:space="preserve"> </w:t>
      </w:r>
      <w:r w:rsidRPr="00F16251">
        <w:rPr>
          <w:rFonts w:cstheme="minorHAnsi"/>
        </w:rPr>
        <w:t>dla</w:t>
      </w:r>
      <w:r w:rsidR="003B50ED" w:rsidRPr="00F16251">
        <w:rPr>
          <w:rFonts w:cstheme="minorHAnsi"/>
        </w:rPr>
        <w:t xml:space="preserve"> </w:t>
      </w:r>
      <w:r w:rsidRPr="00F16251">
        <w:rPr>
          <w:rFonts w:cstheme="minorHAnsi"/>
        </w:rPr>
        <w:t>regionu.</w:t>
      </w:r>
      <w:r w:rsidR="003B50ED" w:rsidRPr="00F16251">
        <w:rPr>
          <w:rFonts w:cstheme="minorHAnsi"/>
        </w:rPr>
        <w:t xml:space="preserve"> </w:t>
      </w:r>
    </w:p>
    <w:p w14:paraId="5B847869" w14:textId="4DB1FE41" w:rsidR="00F22284" w:rsidRPr="00F16251" w:rsidRDefault="00F22284" w:rsidP="00A26C26">
      <w:pPr>
        <w:spacing w:line="276" w:lineRule="auto"/>
        <w:ind w:firstLine="284"/>
        <w:jc w:val="both"/>
        <w:rPr>
          <w:rFonts w:cstheme="minorHAnsi"/>
        </w:rPr>
      </w:pPr>
      <w:r w:rsidRPr="00F16251">
        <w:rPr>
          <w:rFonts w:cstheme="minorHAnsi"/>
        </w:rPr>
        <w:t>Widać</w:t>
      </w:r>
      <w:r w:rsidR="003B50ED" w:rsidRPr="00F16251">
        <w:rPr>
          <w:rFonts w:cstheme="minorHAnsi"/>
        </w:rPr>
        <w:t xml:space="preserve"> </w:t>
      </w:r>
      <w:r w:rsidRPr="00F16251">
        <w:rPr>
          <w:rFonts w:cstheme="minorHAnsi"/>
        </w:rPr>
        <w:t>również,</w:t>
      </w:r>
      <w:r w:rsidR="003B50ED" w:rsidRPr="00F16251">
        <w:rPr>
          <w:rFonts w:cstheme="minorHAnsi"/>
        </w:rPr>
        <w:t xml:space="preserve"> </w:t>
      </w:r>
      <w:r w:rsidRPr="00F16251">
        <w:rPr>
          <w:rFonts w:cstheme="minorHAnsi"/>
        </w:rPr>
        <w:t>że</w:t>
      </w:r>
      <w:r w:rsidR="003B50ED" w:rsidRPr="00F16251">
        <w:rPr>
          <w:rFonts w:cstheme="minorHAnsi"/>
        </w:rPr>
        <w:t xml:space="preserve"> </w:t>
      </w:r>
      <w:r w:rsidRPr="00F16251">
        <w:rPr>
          <w:rFonts w:cstheme="minorHAnsi"/>
        </w:rPr>
        <w:t>dzięki</w:t>
      </w:r>
      <w:r w:rsidR="003B50ED" w:rsidRPr="00F16251">
        <w:rPr>
          <w:rFonts w:cstheme="minorHAnsi"/>
        </w:rPr>
        <w:t xml:space="preserve"> </w:t>
      </w:r>
      <w:r w:rsidR="00EA772B" w:rsidRPr="00F16251">
        <w:rPr>
          <w:rFonts w:cstheme="minorHAnsi"/>
        </w:rPr>
        <w:t xml:space="preserve">wsparciu </w:t>
      </w:r>
      <w:r w:rsidRPr="00F16251">
        <w:rPr>
          <w:rFonts w:cstheme="minorHAnsi"/>
        </w:rPr>
        <w:t>przedsiębiorców</w:t>
      </w:r>
      <w:r w:rsidR="003B50ED" w:rsidRPr="00F16251">
        <w:rPr>
          <w:rFonts w:cstheme="minorHAnsi"/>
        </w:rPr>
        <w:t xml:space="preserve"> </w:t>
      </w:r>
      <w:r w:rsidR="00EA772B" w:rsidRPr="00F16251">
        <w:rPr>
          <w:rFonts w:cstheme="minorHAnsi"/>
        </w:rPr>
        <w:t xml:space="preserve">Stowarzyszenie „Solidarni w Partnerstwie” </w:t>
      </w:r>
      <w:r w:rsidRPr="00F16251">
        <w:rPr>
          <w:rFonts w:cstheme="minorHAnsi"/>
        </w:rPr>
        <w:t>przyczynił</w:t>
      </w:r>
      <w:r w:rsidR="00EA772B" w:rsidRPr="00F16251">
        <w:rPr>
          <w:rFonts w:cstheme="minorHAnsi"/>
        </w:rPr>
        <w:t>o</w:t>
      </w:r>
      <w:r w:rsidR="003B50ED" w:rsidRPr="00F16251">
        <w:rPr>
          <w:rFonts w:cstheme="minorHAnsi"/>
        </w:rPr>
        <w:t xml:space="preserve"> </w:t>
      </w:r>
      <w:r w:rsidRPr="00F16251">
        <w:rPr>
          <w:rFonts w:cstheme="minorHAnsi"/>
        </w:rPr>
        <w:t>się</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rozwoju</w:t>
      </w:r>
      <w:r w:rsidR="003B50ED" w:rsidRPr="00F16251">
        <w:rPr>
          <w:rFonts w:cstheme="minorHAnsi"/>
        </w:rPr>
        <w:t xml:space="preserve"> </w:t>
      </w:r>
      <w:r w:rsidRPr="00F16251">
        <w:rPr>
          <w:rFonts w:cstheme="minorHAnsi"/>
        </w:rPr>
        <w:t>gospodarczego</w:t>
      </w:r>
      <w:r w:rsidR="003B50ED" w:rsidRPr="00F16251">
        <w:rPr>
          <w:rFonts w:cstheme="minorHAnsi"/>
        </w:rPr>
        <w:t xml:space="preserve"> </w:t>
      </w:r>
      <w:r w:rsidRPr="00F16251">
        <w:rPr>
          <w:rFonts w:cstheme="minorHAnsi"/>
        </w:rPr>
        <w:t>obszaru.</w:t>
      </w:r>
    </w:p>
    <w:p w14:paraId="7BF9FB89" w14:textId="77777777" w:rsidR="00C410C9" w:rsidRPr="00F16251" w:rsidRDefault="00C410C9" w:rsidP="00A26C26">
      <w:pPr>
        <w:spacing w:line="276" w:lineRule="auto"/>
        <w:rPr>
          <w:rFonts w:cstheme="minorHAnsi"/>
        </w:rPr>
      </w:pPr>
    </w:p>
    <w:p w14:paraId="6974650D" w14:textId="75F9FB27" w:rsidR="0015158B" w:rsidRPr="00F16251" w:rsidRDefault="00DF4974" w:rsidP="008A412F">
      <w:pPr>
        <w:pStyle w:val="Nagwek2"/>
        <w:numPr>
          <w:ilvl w:val="0"/>
          <w:numId w:val="1"/>
        </w:numPr>
        <w:spacing w:before="0" w:line="276" w:lineRule="auto"/>
        <w:ind w:left="426" w:hanging="142"/>
        <w:jc w:val="both"/>
        <w:rPr>
          <w:rFonts w:asciiTheme="minorHAnsi" w:hAnsiTheme="minorHAnsi" w:cstheme="minorHAnsi"/>
          <w:b/>
          <w:bCs/>
          <w:sz w:val="22"/>
          <w:szCs w:val="22"/>
        </w:rPr>
      </w:pPr>
      <w:bookmarkStart w:id="7" w:name="_Toc136260184"/>
      <w:bookmarkStart w:id="8" w:name="_Toc136944394"/>
      <w:r w:rsidRPr="00F16251">
        <w:rPr>
          <w:rFonts w:asciiTheme="minorHAnsi" w:hAnsiTheme="minorHAnsi" w:cstheme="minorHAnsi"/>
          <w:b/>
          <w:bCs/>
          <w:sz w:val="22"/>
          <w:szCs w:val="22"/>
        </w:rPr>
        <w:t>Struktura</w:t>
      </w:r>
      <w:r w:rsidR="003B50ED" w:rsidRPr="00F16251">
        <w:rPr>
          <w:rFonts w:asciiTheme="minorHAnsi" w:hAnsiTheme="minorHAnsi" w:cstheme="minorHAnsi"/>
          <w:b/>
          <w:bCs/>
          <w:sz w:val="22"/>
          <w:szCs w:val="22"/>
        </w:rPr>
        <w:t xml:space="preserve"> </w:t>
      </w:r>
      <w:r w:rsidRPr="00F16251">
        <w:rPr>
          <w:rFonts w:asciiTheme="minorHAnsi" w:hAnsiTheme="minorHAnsi" w:cstheme="minorHAnsi"/>
          <w:b/>
          <w:bCs/>
          <w:sz w:val="22"/>
          <w:szCs w:val="22"/>
        </w:rPr>
        <w:t>LGD</w:t>
      </w:r>
      <w:bookmarkEnd w:id="7"/>
      <w:bookmarkEnd w:id="8"/>
      <w:r w:rsidR="003B50ED" w:rsidRPr="00F16251">
        <w:rPr>
          <w:rFonts w:asciiTheme="minorHAnsi" w:hAnsiTheme="minorHAnsi" w:cstheme="minorHAnsi"/>
          <w:b/>
          <w:bCs/>
          <w:sz w:val="22"/>
          <w:szCs w:val="22"/>
        </w:rPr>
        <w:t xml:space="preserve"> </w:t>
      </w:r>
    </w:p>
    <w:p w14:paraId="478FF10B" w14:textId="374C6458" w:rsidR="00361C66" w:rsidRPr="00F16251" w:rsidRDefault="00361C66" w:rsidP="00361C66">
      <w:pPr>
        <w:spacing w:line="276" w:lineRule="auto"/>
        <w:ind w:firstLine="284"/>
        <w:jc w:val="both"/>
        <w:rPr>
          <w:rFonts w:eastAsia="Times New Roman" w:cstheme="minorHAnsi"/>
          <w:kern w:val="0"/>
          <w:lang w:eastAsia="pl-PL"/>
          <w14:ligatures w14:val="none"/>
        </w:rPr>
      </w:pPr>
      <w:r w:rsidRPr="00F16251">
        <w:rPr>
          <w:rFonts w:eastAsia="Times New Roman" w:cstheme="minorHAnsi"/>
          <w:kern w:val="0"/>
          <w:lang w:eastAsia="pl-PL"/>
          <w14:ligatures w14:val="none"/>
        </w:rPr>
        <w:t xml:space="preserve">Strukturę organizacyjną LGD reguluje Statut i przepisy wskazane w pkt. 1 niniejszego rozdziału. Organami LGD są: Walne Zabranie Członków, Zarząd, Rada oraz Komisja Rewizyjna. </w:t>
      </w:r>
      <w:r w:rsidRPr="00F16251">
        <w:rPr>
          <w:rFonts w:eastAsia="Calibri" w:cstheme="minorHAnsi"/>
          <w:kern w:val="0"/>
          <w:lang w:eastAsia="pl-PL"/>
          <w14:ligatures w14:val="none"/>
        </w:rPr>
        <w:t>Dla potrzeb realizacji celów statutowych zostało utworzone Biuro LGD, które jednak nie ma statusu organu LGD.</w:t>
      </w:r>
    </w:p>
    <w:p w14:paraId="119F428F" w14:textId="1A64591C" w:rsidR="00361C66" w:rsidRPr="00F16251" w:rsidRDefault="00361C66" w:rsidP="00361C66">
      <w:pPr>
        <w:spacing w:line="276" w:lineRule="auto"/>
        <w:ind w:firstLine="284"/>
        <w:jc w:val="both"/>
        <w:rPr>
          <w:rFonts w:eastAsia="Times New Roman" w:cstheme="minorHAnsi"/>
          <w:kern w:val="0"/>
          <w:lang w:eastAsia="pl-PL"/>
          <w14:ligatures w14:val="none"/>
        </w:rPr>
      </w:pPr>
      <w:r w:rsidRPr="00F16251">
        <w:rPr>
          <w:rFonts w:eastAsia="Times New Roman" w:cstheme="minorHAnsi"/>
          <w:kern w:val="0"/>
          <w:lang w:eastAsia="pl-PL"/>
          <w14:ligatures w14:val="none"/>
        </w:rPr>
        <w:t xml:space="preserve">Stowarzyszenie </w:t>
      </w:r>
      <w:r w:rsidR="00352DEE" w:rsidRPr="00F16251">
        <w:rPr>
          <w:rFonts w:eastAsia="Times New Roman" w:cstheme="minorHAnsi"/>
          <w:kern w:val="0"/>
          <w:lang w:eastAsia="pl-PL"/>
          <w14:ligatures w14:val="none"/>
        </w:rPr>
        <w:t>„Solidarni w Partnerstwie”</w:t>
      </w:r>
      <w:r w:rsidRPr="00F16251">
        <w:rPr>
          <w:rFonts w:eastAsia="Times New Roman" w:cstheme="minorHAnsi"/>
          <w:kern w:val="0"/>
          <w:lang w:eastAsia="pl-PL"/>
          <w14:ligatures w14:val="none"/>
        </w:rPr>
        <w:t xml:space="preserve"> jest partnerstwem trójsektorowym, w skład którego wchodzą </w:t>
      </w:r>
      <w:r w:rsidR="00396A11">
        <w:rPr>
          <w:rFonts w:eastAsia="Times New Roman" w:cstheme="minorHAnsi"/>
          <w:kern w:val="0"/>
          <w:lang w:eastAsia="pl-PL"/>
          <w14:ligatures w14:val="none"/>
        </w:rPr>
        <w:br/>
      </w:r>
      <w:r w:rsidRPr="00F16251">
        <w:rPr>
          <w:rFonts w:eastAsia="Times New Roman" w:cstheme="minorHAnsi"/>
          <w:kern w:val="0"/>
          <w:lang w:eastAsia="pl-PL"/>
          <w14:ligatures w14:val="none"/>
        </w:rPr>
        <w:t xml:space="preserve">z każdej gminy przedstawiciele lokalnych grup interesów społeczno-gospodarczych reprezentujących interesy sektorów: publicznego, społecznego i gospodarczego (co najmniej po 1 przedstawicielu danej grupy interesów </w:t>
      </w:r>
      <w:r w:rsidR="00396A11">
        <w:rPr>
          <w:rFonts w:eastAsia="Times New Roman" w:cstheme="minorHAnsi"/>
          <w:kern w:val="0"/>
          <w:lang w:eastAsia="pl-PL"/>
          <w14:ligatures w14:val="none"/>
        </w:rPr>
        <w:br/>
      </w:r>
      <w:r w:rsidRPr="00F16251">
        <w:rPr>
          <w:rFonts w:eastAsia="Times New Roman" w:cstheme="minorHAnsi"/>
          <w:kern w:val="0"/>
          <w:lang w:eastAsia="pl-PL"/>
          <w14:ligatures w14:val="none"/>
        </w:rPr>
        <w:t>z każdej gminy).</w:t>
      </w:r>
    </w:p>
    <w:p w14:paraId="5B86BA52" w14:textId="3658BC35" w:rsidR="00885052" w:rsidRPr="00F16251" w:rsidRDefault="00885052" w:rsidP="00A26C26">
      <w:pPr>
        <w:spacing w:line="276" w:lineRule="auto"/>
        <w:ind w:firstLine="284"/>
        <w:jc w:val="both"/>
        <w:rPr>
          <w:rFonts w:cstheme="minorHAnsi"/>
        </w:rPr>
      </w:pPr>
      <w:r w:rsidRPr="00F16251">
        <w:rPr>
          <w:rFonts w:cstheme="minorHAnsi"/>
        </w:rPr>
        <w:t xml:space="preserve">Stowarzyszenie „Solidarni w Partnerstwie” </w:t>
      </w:r>
      <w:r w:rsidR="005213BB" w:rsidRPr="00F16251">
        <w:rPr>
          <w:rFonts w:cstheme="minorHAnsi"/>
        </w:rPr>
        <w:t>na</w:t>
      </w:r>
      <w:r w:rsidR="003B50ED" w:rsidRPr="00F16251">
        <w:rPr>
          <w:rFonts w:cstheme="minorHAnsi"/>
        </w:rPr>
        <w:t xml:space="preserve"> </w:t>
      </w:r>
      <w:r w:rsidR="005213BB" w:rsidRPr="00F16251">
        <w:rPr>
          <w:rFonts w:cstheme="minorHAnsi"/>
        </w:rPr>
        <w:t>dzień</w:t>
      </w:r>
      <w:r w:rsidR="003B50ED" w:rsidRPr="00F16251">
        <w:rPr>
          <w:rFonts w:cstheme="minorHAnsi"/>
        </w:rPr>
        <w:t xml:space="preserve"> </w:t>
      </w:r>
      <w:r w:rsidR="005213BB" w:rsidRPr="00F16251">
        <w:rPr>
          <w:rFonts w:cstheme="minorHAnsi"/>
        </w:rPr>
        <w:t>sporządzania</w:t>
      </w:r>
      <w:r w:rsidR="003B50ED" w:rsidRPr="00F16251">
        <w:rPr>
          <w:rFonts w:cstheme="minorHAnsi"/>
        </w:rPr>
        <w:t xml:space="preserve"> </w:t>
      </w:r>
      <w:r w:rsidR="005213BB" w:rsidRPr="00F16251">
        <w:rPr>
          <w:rFonts w:cstheme="minorHAnsi"/>
        </w:rPr>
        <w:t>niniejszej</w:t>
      </w:r>
      <w:r w:rsidR="003B50ED" w:rsidRPr="00F16251">
        <w:rPr>
          <w:rFonts w:cstheme="minorHAnsi"/>
        </w:rPr>
        <w:t xml:space="preserve"> </w:t>
      </w:r>
      <w:r w:rsidRPr="00F16251">
        <w:rPr>
          <w:rFonts w:cstheme="minorHAnsi"/>
        </w:rPr>
        <w:t xml:space="preserve">LSR </w:t>
      </w:r>
      <w:r w:rsidR="0099730D" w:rsidRPr="00F16251">
        <w:rPr>
          <w:rFonts w:cstheme="minorHAnsi"/>
        </w:rPr>
        <w:t>licz</w:t>
      </w:r>
      <w:r w:rsidR="000A6DA3" w:rsidRPr="00F16251">
        <w:rPr>
          <w:rFonts w:cstheme="minorHAnsi"/>
        </w:rPr>
        <w:t>y</w:t>
      </w:r>
      <w:r w:rsidR="00396A11">
        <w:rPr>
          <w:rFonts w:cstheme="minorHAnsi"/>
        </w:rPr>
        <w:t xml:space="preserve"> </w:t>
      </w:r>
      <w:r w:rsidR="00D43F21" w:rsidRPr="00F16251">
        <w:rPr>
          <w:rFonts w:cstheme="minorHAnsi"/>
        </w:rPr>
        <w:t xml:space="preserve">151 </w:t>
      </w:r>
      <w:r w:rsidRPr="00F16251">
        <w:rPr>
          <w:rFonts w:cstheme="minorHAnsi"/>
        </w:rPr>
        <w:t>C</w:t>
      </w:r>
      <w:r w:rsidR="0015158B" w:rsidRPr="00F16251">
        <w:rPr>
          <w:rFonts w:cstheme="minorHAnsi"/>
        </w:rPr>
        <w:t>złonków</w:t>
      </w:r>
      <w:r w:rsidR="0099730D" w:rsidRPr="00F16251">
        <w:rPr>
          <w:rFonts w:cstheme="minorHAnsi"/>
        </w:rPr>
        <w:t>.</w:t>
      </w:r>
      <w:r w:rsidR="003B50ED" w:rsidRPr="00F16251">
        <w:rPr>
          <w:rFonts w:cstheme="minorHAnsi"/>
        </w:rPr>
        <w:t xml:space="preserve"> </w:t>
      </w:r>
    </w:p>
    <w:p w14:paraId="331D4644" w14:textId="7E884F12" w:rsidR="0099730D" w:rsidRPr="00F16251" w:rsidRDefault="00D676B4" w:rsidP="00A26C26">
      <w:pPr>
        <w:spacing w:line="276" w:lineRule="auto"/>
        <w:ind w:firstLine="284"/>
        <w:jc w:val="both"/>
        <w:rPr>
          <w:rFonts w:cstheme="minorHAnsi"/>
        </w:rPr>
      </w:pPr>
      <w:r w:rsidRPr="00F16251">
        <w:rPr>
          <w:rFonts w:cstheme="minorHAnsi"/>
        </w:rPr>
        <w:t xml:space="preserve">Grupa interesu sektora publicznego jest </w:t>
      </w:r>
      <w:r w:rsidR="0099730D" w:rsidRPr="00F16251">
        <w:rPr>
          <w:rFonts w:cstheme="minorHAnsi"/>
        </w:rPr>
        <w:t>reprezentowana</w:t>
      </w:r>
      <w:r w:rsidR="003B50ED" w:rsidRPr="00F16251">
        <w:rPr>
          <w:rFonts w:cstheme="minorHAnsi"/>
        </w:rPr>
        <w:t xml:space="preserve"> </w:t>
      </w:r>
      <w:r w:rsidR="0099730D" w:rsidRPr="00F16251">
        <w:rPr>
          <w:rFonts w:cstheme="minorHAnsi"/>
        </w:rPr>
        <w:t>przez</w:t>
      </w:r>
      <w:r w:rsidR="003B50ED" w:rsidRPr="00F16251">
        <w:rPr>
          <w:rFonts w:cstheme="minorHAnsi"/>
        </w:rPr>
        <w:t xml:space="preserve"> </w:t>
      </w:r>
      <w:r w:rsidRPr="00F16251">
        <w:rPr>
          <w:rFonts w:cstheme="minorHAnsi"/>
        </w:rPr>
        <w:t xml:space="preserve">6 </w:t>
      </w:r>
      <w:r w:rsidR="0099730D" w:rsidRPr="00F16251">
        <w:rPr>
          <w:rFonts w:cstheme="minorHAnsi"/>
        </w:rPr>
        <w:t>gmin</w:t>
      </w:r>
      <w:r w:rsidR="003B50ED" w:rsidRPr="00F16251">
        <w:rPr>
          <w:rFonts w:cstheme="minorHAnsi"/>
        </w:rPr>
        <w:t xml:space="preserve"> </w:t>
      </w:r>
      <w:r w:rsidR="0099730D" w:rsidRPr="00F16251">
        <w:rPr>
          <w:rFonts w:cstheme="minorHAnsi"/>
        </w:rPr>
        <w:t>członkowskich</w:t>
      </w:r>
      <w:r w:rsidRPr="00F16251">
        <w:rPr>
          <w:rFonts w:cstheme="minorHAnsi"/>
        </w:rPr>
        <w:t xml:space="preserve">, w tym </w:t>
      </w:r>
      <w:r w:rsidR="00383D5D" w:rsidRPr="00F16251">
        <w:rPr>
          <w:rFonts w:cstheme="minorHAnsi"/>
        </w:rPr>
        <w:t>przedstawicieli</w:t>
      </w:r>
      <w:r w:rsidR="003B50ED" w:rsidRPr="00F16251">
        <w:rPr>
          <w:rFonts w:cstheme="minorHAnsi"/>
        </w:rPr>
        <w:t xml:space="preserve"> </w:t>
      </w:r>
      <w:r w:rsidR="00A00DAD" w:rsidRPr="00F16251">
        <w:rPr>
          <w:rFonts w:cstheme="minorHAnsi"/>
        </w:rPr>
        <w:t>gmin,</w:t>
      </w:r>
      <w:r w:rsidR="003B50ED" w:rsidRPr="00F16251">
        <w:rPr>
          <w:rFonts w:cstheme="minorHAnsi"/>
        </w:rPr>
        <w:t xml:space="preserve"> </w:t>
      </w:r>
      <w:r w:rsidR="00383D5D" w:rsidRPr="00F16251">
        <w:rPr>
          <w:rFonts w:cstheme="minorHAnsi"/>
        </w:rPr>
        <w:t>samorządowych</w:t>
      </w:r>
      <w:r w:rsidR="003B50ED" w:rsidRPr="00F16251">
        <w:rPr>
          <w:rFonts w:cstheme="minorHAnsi"/>
        </w:rPr>
        <w:t xml:space="preserve"> </w:t>
      </w:r>
      <w:r w:rsidR="00383D5D" w:rsidRPr="00F16251">
        <w:rPr>
          <w:rFonts w:cstheme="minorHAnsi"/>
        </w:rPr>
        <w:t>ośrodków</w:t>
      </w:r>
      <w:r w:rsidR="003B50ED" w:rsidRPr="00F16251">
        <w:rPr>
          <w:rFonts w:cstheme="minorHAnsi"/>
        </w:rPr>
        <w:t xml:space="preserve"> </w:t>
      </w:r>
      <w:r w:rsidR="00383D5D" w:rsidRPr="00F16251">
        <w:rPr>
          <w:rFonts w:cstheme="minorHAnsi"/>
        </w:rPr>
        <w:t>kultury,</w:t>
      </w:r>
      <w:r w:rsidR="003B50ED" w:rsidRPr="00F16251">
        <w:rPr>
          <w:rFonts w:cstheme="minorHAnsi"/>
        </w:rPr>
        <w:t xml:space="preserve"> </w:t>
      </w:r>
      <w:r w:rsidR="00383D5D" w:rsidRPr="00F16251">
        <w:rPr>
          <w:rFonts w:cstheme="minorHAnsi"/>
        </w:rPr>
        <w:t>itp</w:t>
      </w:r>
      <w:r w:rsidR="0099730D" w:rsidRPr="00F16251">
        <w:rPr>
          <w:rFonts w:cstheme="minorHAnsi"/>
        </w:rPr>
        <w:t>.</w:t>
      </w:r>
      <w:r w:rsidR="003B50ED" w:rsidRPr="00F16251">
        <w:rPr>
          <w:rFonts w:cstheme="minorHAnsi"/>
        </w:rPr>
        <w:t xml:space="preserve"> </w:t>
      </w:r>
      <w:r w:rsidR="0099730D" w:rsidRPr="00F16251">
        <w:rPr>
          <w:rFonts w:cstheme="minorHAnsi"/>
        </w:rPr>
        <w:t>Lokalni</w:t>
      </w:r>
      <w:r w:rsidR="003B50ED" w:rsidRPr="00F16251">
        <w:rPr>
          <w:rFonts w:cstheme="minorHAnsi"/>
        </w:rPr>
        <w:t xml:space="preserve"> </w:t>
      </w:r>
      <w:r w:rsidR="0099730D" w:rsidRPr="00F16251">
        <w:rPr>
          <w:rFonts w:cstheme="minorHAnsi"/>
        </w:rPr>
        <w:t>partnerzy</w:t>
      </w:r>
      <w:r w:rsidR="003B50ED" w:rsidRPr="00F16251">
        <w:rPr>
          <w:rFonts w:cstheme="minorHAnsi"/>
        </w:rPr>
        <w:t xml:space="preserve"> </w:t>
      </w:r>
      <w:r w:rsidR="0099730D" w:rsidRPr="00F16251">
        <w:rPr>
          <w:rFonts w:cstheme="minorHAnsi"/>
        </w:rPr>
        <w:t>społeczni</w:t>
      </w:r>
      <w:r w:rsidR="003B50ED" w:rsidRPr="00F16251">
        <w:rPr>
          <w:rFonts w:cstheme="minorHAnsi"/>
        </w:rPr>
        <w:t xml:space="preserve"> </w:t>
      </w:r>
      <w:r w:rsidR="0099730D" w:rsidRPr="00F16251">
        <w:rPr>
          <w:rFonts w:cstheme="minorHAnsi"/>
        </w:rPr>
        <w:t>są</w:t>
      </w:r>
      <w:r w:rsidR="003B50ED" w:rsidRPr="00F16251">
        <w:rPr>
          <w:rFonts w:cstheme="minorHAnsi"/>
        </w:rPr>
        <w:t xml:space="preserve"> </w:t>
      </w:r>
      <w:r w:rsidR="0099730D" w:rsidRPr="00F16251">
        <w:rPr>
          <w:rFonts w:cstheme="minorHAnsi"/>
        </w:rPr>
        <w:t>reprezentowani</w:t>
      </w:r>
      <w:r w:rsidR="003B50ED" w:rsidRPr="00F16251">
        <w:rPr>
          <w:rFonts w:cstheme="minorHAnsi"/>
        </w:rPr>
        <w:t xml:space="preserve"> </w:t>
      </w:r>
      <w:r w:rsidR="0099730D" w:rsidRPr="00F16251">
        <w:rPr>
          <w:rFonts w:cstheme="minorHAnsi"/>
        </w:rPr>
        <w:t>poprzez</w:t>
      </w:r>
      <w:r w:rsidR="003B50ED" w:rsidRPr="00F16251">
        <w:rPr>
          <w:rFonts w:cstheme="minorHAnsi"/>
        </w:rPr>
        <w:t xml:space="preserve"> </w:t>
      </w:r>
      <w:r w:rsidR="008D3828" w:rsidRPr="00F16251">
        <w:rPr>
          <w:rFonts w:cstheme="minorHAnsi"/>
        </w:rPr>
        <w:t>członków</w:t>
      </w:r>
      <w:r w:rsidR="003B50ED" w:rsidRPr="00F16251">
        <w:rPr>
          <w:rFonts w:cstheme="minorHAnsi"/>
        </w:rPr>
        <w:t xml:space="preserve"> </w:t>
      </w:r>
      <w:r w:rsidR="00DE18F5" w:rsidRPr="00F16251">
        <w:rPr>
          <w:rFonts w:cstheme="minorHAnsi"/>
        </w:rPr>
        <w:t>organizacj</w:t>
      </w:r>
      <w:r w:rsidR="00F019BC" w:rsidRPr="00F16251">
        <w:rPr>
          <w:rFonts w:cstheme="minorHAnsi"/>
        </w:rPr>
        <w:t>i</w:t>
      </w:r>
      <w:r w:rsidR="003B50ED" w:rsidRPr="00F16251">
        <w:rPr>
          <w:rFonts w:cstheme="minorHAnsi"/>
        </w:rPr>
        <w:t xml:space="preserve"> </w:t>
      </w:r>
      <w:r w:rsidR="00DE18F5" w:rsidRPr="00F16251">
        <w:rPr>
          <w:rFonts w:cstheme="minorHAnsi"/>
        </w:rPr>
        <w:t>pozarządowych</w:t>
      </w:r>
      <w:r w:rsidR="005C5DE8" w:rsidRPr="00F16251">
        <w:rPr>
          <w:rFonts w:cstheme="minorHAnsi"/>
        </w:rPr>
        <w:t>,</w:t>
      </w:r>
      <w:r w:rsidR="003B50ED" w:rsidRPr="00F16251">
        <w:rPr>
          <w:rFonts w:cstheme="minorHAnsi"/>
        </w:rPr>
        <w:t xml:space="preserve"> </w:t>
      </w:r>
      <w:r w:rsidRPr="00F16251">
        <w:rPr>
          <w:rFonts w:cstheme="minorHAnsi"/>
        </w:rPr>
        <w:t xml:space="preserve">w tym </w:t>
      </w:r>
      <w:r w:rsidR="005C5DE8" w:rsidRPr="00F16251">
        <w:rPr>
          <w:rFonts w:cstheme="minorHAnsi"/>
        </w:rPr>
        <w:t>K</w:t>
      </w:r>
      <w:r w:rsidR="002308F2" w:rsidRPr="00F16251">
        <w:rPr>
          <w:rFonts w:cstheme="minorHAnsi"/>
        </w:rPr>
        <w:t>oła</w:t>
      </w:r>
      <w:r w:rsidR="003B50ED" w:rsidRPr="00F16251">
        <w:rPr>
          <w:rFonts w:cstheme="minorHAnsi"/>
        </w:rPr>
        <w:t xml:space="preserve"> </w:t>
      </w:r>
      <w:r w:rsidR="005C5DE8" w:rsidRPr="00F16251">
        <w:rPr>
          <w:rFonts w:cstheme="minorHAnsi"/>
        </w:rPr>
        <w:t>Gospodyń</w:t>
      </w:r>
      <w:r w:rsidR="003B50ED" w:rsidRPr="00F16251">
        <w:rPr>
          <w:rFonts w:cstheme="minorHAnsi"/>
        </w:rPr>
        <w:t xml:space="preserve"> </w:t>
      </w:r>
      <w:r w:rsidR="005C5DE8" w:rsidRPr="00F16251">
        <w:rPr>
          <w:rFonts w:cstheme="minorHAnsi"/>
        </w:rPr>
        <w:t>Wiejskich</w:t>
      </w:r>
      <w:r w:rsidR="003B50ED" w:rsidRPr="00F16251">
        <w:rPr>
          <w:rFonts w:cstheme="minorHAnsi"/>
        </w:rPr>
        <w:t xml:space="preserve"> </w:t>
      </w:r>
      <w:r w:rsidR="005C5DE8" w:rsidRPr="00F16251">
        <w:rPr>
          <w:rFonts w:cstheme="minorHAnsi"/>
        </w:rPr>
        <w:t>oraz</w:t>
      </w:r>
      <w:r w:rsidR="003B50ED" w:rsidRPr="00F16251">
        <w:rPr>
          <w:rFonts w:cstheme="minorHAnsi"/>
        </w:rPr>
        <w:t xml:space="preserve"> </w:t>
      </w:r>
      <w:r w:rsidR="008D3828" w:rsidRPr="00F16251">
        <w:rPr>
          <w:rFonts w:cstheme="minorHAnsi"/>
        </w:rPr>
        <w:t>mieszkańców</w:t>
      </w:r>
      <w:r w:rsidR="003B50ED" w:rsidRPr="00F16251">
        <w:rPr>
          <w:rFonts w:cstheme="minorHAnsi"/>
        </w:rPr>
        <w:t xml:space="preserve"> </w:t>
      </w:r>
      <w:r w:rsidR="008D3828" w:rsidRPr="00F16251">
        <w:rPr>
          <w:rFonts w:cstheme="minorHAnsi"/>
        </w:rPr>
        <w:t>obszaru</w:t>
      </w:r>
      <w:r w:rsidR="003B50ED" w:rsidRPr="00F16251">
        <w:rPr>
          <w:rFonts w:cstheme="minorHAnsi"/>
        </w:rPr>
        <w:t xml:space="preserve"> </w:t>
      </w:r>
      <w:r w:rsidR="00885052" w:rsidRPr="00F16251">
        <w:rPr>
          <w:rFonts w:cstheme="minorHAnsi"/>
        </w:rPr>
        <w:t>objętego LSR</w:t>
      </w:r>
      <w:r w:rsidRPr="00F16251">
        <w:rPr>
          <w:rFonts w:cstheme="minorHAnsi"/>
        </w:rPr>
        <w:t>,</w:t>
      </w:r>
      <w:r w:rsidR="00885052" w:rsidRPr="00F16251">
        <w:rPr>
          <w:rFonts w:cstheme="minorHAnsi"/>
        </w:rPr>
        <w:t xml:space="preserve"> </w:t>
      </w:r>
      <w:r w:rsidR="008D3828" w:rsidRPr="00F16251">
        <w:rPr>
          <w:rFonts w:cstheme="minorHAnsi"/>
        </w:rPr>
        <w:t>nie</w:t>
      </w:r>
      <w:r w:rsidR="003B50ED" w:rsidRPr="00F16251">
        <w:rPr>
          <w:rFonts w:cstheme="minorHAnsi"/>
        </w:rPr>
        <w:t xml:space="preserve"> </w:t>
      </w:r>
      <w:r w:rsidR="008D3828" w:rsidRPr="00F16251">
        <w:rPr>
          <w:rFonts w:cstheme="minorHAnsi"/>
        </w:rPr>
        <w:t>zaangażowanych</w:t>
      </w:r>
      <w:r w:rsidR="003B50ED" w:rsidRPr="00F16251">
        <w:rPr>
          <w:rFonts w:cstheme="minorHAnsi"/>
        </w:rPr>
        <w:t xml:space="preserve"> </w:t>
      </w:r>
      <w:r w:rsidR="00F019BC" w:rsidRPr="00F16251">
        <w:rPr>
          <w:rFonts w:cstheme="minorHAnsi"/>
        </w:rPr>
        <w:t>bezpośrednio</w:t>
      </w:r>
      <w:r w:rsidR="003B50ED" w:rsidRPr="00F16251">
        <w:rPr>
          <w:rFonts w:cstheme="minorHAnsi"/>
        </w:rPr>
        <w:t xml:space="preserve"> </w:t>
      </w:r>
      <w:r w:rsidR="008D3828" w:rsidRPr="00F16251">
        <w:rPr>
          <w:rFonts w:cstheme="minorHAnsi"/>
        </w:rPr>
        <w:t>w</w:t>
      </w:r>
      <w:r w:rsidR="003B50ED" w:rsidRPr="00F16251">
        <w:rPr>
          <w:rFonts w:cstheme="minorHAnsi"/>
        </w:rPr>
        <w:t xml:space="preserve"> </w:t>
      </w:r>
      <w:r w:rsidR="008D3828" w:rsidRPr="00F16251">
        <w:rPr>
          <w:rFonts w:cstheme="minorHAnsi"/>
        </w:rPr>
        <w:t>działalność</w:t>
      </w:r>
      <w:r w:rsidR="003B50ED" w:rsidRPr="00F16251">
        <w:rPr>
          <w:rFonts w:cstheme="minorHAnsi"/>
        </w:rPr>
        <w:t xml:space="preserve"> </w:t>
      </w:r>
      <w:r w:rsidR="008D3828" w:rsidRPr="00F16251">
        <w:rPr>
          <w:rFonts w:cstheme="minorHAnsi"/>
        </w:rPr>
        <w:t>organizacji</w:t>
      </w:r>
      <w:r w:rsidR="003B50ED" w:rsidRPr="00F16251">
        <w:rPr>
          <w:rFonts w:cstheme="minorHAnsi"/>
        </w:rPr>
        <w:t xml:space="preserve"> </w:t>
      </w:r>
      <w:r w:rsidR="008D3828" w:rsidRPr="00F16251">
        <w:rPr>
          <w:rFonts w:cstheme="minorHAnsi"/>
        </w:rPr>
        <w:t>pozarządowych.</w:t>
      </w:r>
      <w:r w:rsidR="003B50ED" w:rsidRPr="00F16251">
        <w:rPr>
          <w:rFonts w:cstheme="minorHAnsi"/>
        </w:rPr>
        <w:t xml:space="preserve"> </w:t>
      </w:r>
      <w:r w:rsidR="0099730D" w:rsidRPr="00F16251">
        <w:rPr>
          <w:rFonts w:cstheme="minorHAnsi"/>
        </w:rPr>
        <w:t>Natomiast</w:t>
      </w:r>
      <w:r w:rsidR="003B50ED" w:rsidRPr="00F16251">
        <w:rPr>
          <w:rFonts w:cstheme="minorHAnsi"/>
        </w:rPr>
        <w:t xml:space="preserve"> </w:t>
      </w:r>
      <w:r w:rsidR="0099730D" w:rsidRPr="00F16251">
        <w:rPr>
          <w:rFonts w:cstheme="minorHAnsi"/>
        </w:rPr>
        <w:t>partnerzy</w:t>
      </w:r>
      <w:r w:rsidR="003B50ED" w:rsidRPr="00F16251">
        <w:rPr>
          <w:rFonts w:cstheme="minorHAnsi"/>
        </w:rPr>
        <w:t xml:space="preserve"> </w:t>
      </w:r>
      <w:r w:rsidR="0099730D" w:rsidRPr="00F16251">
        <w:rPr>
          <w:rFonts w:cstheme="minorHAnsi"/>
        </w:rPr>
        <w:t>gospodarczy</w:t>
      </w:r>
      <w:r w:rsidR="003B50ED" w:rsidRPr="00F16251">
        <w:rPr>
          <w:rFonts w:cstheme="minorHAnsi"/>
        </w:rPr>
        <w:t xml:space="preserve"> </w:t>
      </w:r>
      <w:r w:rsidR="0099730D" w:rsidRPr="00F16251">
        <w:rPr>
          <w:rFonts w:cstheme="minorHAnsi"/>
        </w:rPr>
        <w:t>posiadają</w:t>
      </w:r>
      <w:r w:rsidR="003B50ED" w:rsidRPr="00F16251">
        <w:rPr>
          <w:rFonts w:cstheme="minorHAnsi"/>
        </w:rPr>
        <w:t xml:space="preserve"> </w:t>
      </w:r>
      <w:r w:rsidR="0099730D" w:rsidRPr="00F16251">
        <w:rPr>
          <w:rFonts w:cstheme="minorHAnsi"/>
        </w:rPr>
        <w:t>w</w:t>
      </w:r>
      <w:r w:rsidR="003B50ED" w:rsidRPr="00F16251">
        <w:rPr>
          <w:rFonts w:cstheme="minorHAnsi"/>
        </w:rPr>
        <w:t xml:space="preserve"> </w:t>
      </w:r>
      <w:r w:rsidR="0099730D" w:rsidRPr="00F16251">
        <w:rPr>
          <w:rFonts w:cstheme="minorHAnsi"/>
        </w:rPr>
        <w:t>strukturach</w:t>
      </w:r>
      <w:r w:rsidR="003B50ED" w:rsidRPr="00F16251">
        <w:rPr>
          <w:rFonts w:cstheme="minorHAnsi"/>
        </w:rPr>
        <w:t xml:space="preserve"> </w:t>
      </w:r>
      <w:r w:rsidRPr="00F16251">
        <w:rPr>
          <w:rFonts w:cstheme="minorHAnsi"/>
        </w:rPr>
        <w:t xml:space="preserve">Stowarzyszenia „Solidarni w Partnerstwie” </w:t>
      </w:r>
      <w:r w:rsidR="0099730D" w:rsidRPr="00F16251">
        <w:rPr>
          <w:rFonts w:cstheme="minorHAnsi"/>
        </w:rPr>
        <w:t>swoich</w:t>
      </w:r>
      <w:r w:rsidR="003B50ED" w:rsidRPr="00F16251">
        <w:rPr>
          <w:rFonts w:cstheme="minorHAnsi"/>
        </w:rPr>
        <w:t xml:space="preserve"> </w:t>
      </w:r>
      <w:r w:rsidR="0099730D" w:rsidRPr="00F16251">
        <w:rPr>
          <w:rFonts w:cstheme="minorHAnsi"/>
        </w:rPr>
        <w:t>przedstawicieli</w:t>
      </w:r>
      <w:r w:rsidR="003B50ED" w:rsidRPr="00F16251">
        <w:rPr>
          <w:rFonts w:cstheme="minorHAnsi"/>
        </w:rPr>
        <w:t xml:space="preserve"> </w:t>
      </w:r>
      <w:r w:rsidR="0099730D" w:rsidRPr="00F16251">
        <w:rPr>
          <w:rFonts w:cstheme="minorHAnsi"/>
        </w:rPr>
        <w:t>w</w:t>
      </w:r>
      <w:r w:rsidR="003B50ED" w:rsidRPr="00F16251">
        <w:rPr>
          <w:rFonts w:cstheme="minorHAnsi"/>
        </w:rPr>
        <w:t xml:space="preserve"> </w:t>
      </w:r>
      <w:r w:rsidR="0099730D" w:rsidRPr="00F16251">
        <w:rPr>
          <w:rFonts w:cstheme="minorHAnsi"/>
        </w:rPr>
        <w:t>postaci</w:t>
      </w:r>
      <w:r w:rsidR="003B50ED" w:rsidRPr="00F16251">
        <w:rPr>
          <w:rFonts w:cstheme="minorHAnsi"/>
        </w:rPr>
        <w:t xml:space="preserve"> </w:t>
      </w:r>
      <w:r w:rsidR="005C5DE8" w:rsidRPr="00F16251">
        <w:rPr>
          <w:rFonts w:cstheme="minorHAnsi"/>
        </w:rPr>
        <w:t>przedsiębiorców</w:t>
      </w:r>
      <w:r w:rsidRPr="00F16251">
        <w:rPr>
          <w:rFonts w:cstheme="minorHAnsi"/>
        </w:rPr>
        <w:t xml:space="preserve"> i rolników</w:t>
      </w:r>
      <w:r w:rsidR="005C5DE8" w:rsidRPr="00F16251">
        <w:rPr>
          <w:rFonts w:cstheme="minorHAnsi"/>
        </w:rPr>
        <w:t>.</w:t>
      </w:r>
      <w:r w:rsidR="003B50ED" w:rsidRPr="00F16251">
        <w:rPr>
          <w:rFonts w:cstheme="minorHAnsi"/>
        </w:rPr>
        <w:t xml:space="preserve"> </w:t>
      </w:r>
      <w:r w:rsidRPr="00F16251">
        <w:rPr>
          <w:rFonts w:cstheme="minorHAnsi"/>
        </w:rPr>
        <w:t>L</w:t>
      </w:r>
      <w:r w:rsidR="0099730D" w:rsidRPr="00F16251">
        <w:rPr>
          <w:rFonts w:cstheme="minorHAnsi"/>
        </w:rPr>
        <w:t>iczn</w:t>
      </w:r>
      <w:r w:rsidRPr="00F16251">
        <w:rPr>
          <w:rFonts w:cstheme="minorHAnsi"/>
        </w:rPr>
        <w:t>a</w:t>
      </w:r>
      <w:r w:rsidR="003B50ED" w:rsidRPr="00F16251">
        <w:rPr>
          <w:rFonts w:cstheme="minorHAnsi"/>
        </w:rPr>
        <w:t xml:space="preserve"> </w:t>
      </w:r>
      <w:r w:rsidR="0099730D" w:rsidRPr="00F16251">
        <w:rPr>
          <w:rFonts w:cstheme="minorHAnsi"/>
        </w:rPr>
        <w:t>reprezenta</w:t>
      </w:r>
      <w:r w:rsidRPr="00F16251">
        <w:rPr>
          <w:rFonts w:cstheme="minorHAnsi"/>
        </w:rPr>
        <w:t>cja</w:t>
      </w:r>
      <w:r w:rsidR="003B50ED" w:rsidRPr="00F16251">
        <w:rPr>
          <w:rFonts w:cstheme="minorHAnsi"/>
        </w:rPr>
        <w:t xml:space="preserve"> </w:t>
      </w:r>
      <w:r w:rsidR="0099730D" w:rsidRPr="00F16251">
        <w:rPr>
          <w:rFonts w:cstheme="minorHAnsi"/>
        </w:rPr>
        <w:t>mieszkańców</w:t>
      </w:r>
      <w:r w:rsidR="003B50ED" w:rsidRPr="00F16251">
        <w:rPr>
          <w:rFonts w:cstheme="minorHAnsi"/>
        </w:rPr>
        <w:t xml:space="preserve"> </w:t>
      </w:r>
      <w:r w:rsidRPr="00F16251">
        <w:rPr>
          <w:rFonts w:cstheme="minorHAnsi"/>
        </w:rPr>
        <w:t xml:space="preserve">z </w:t>
      </w:r>
      <w:r w:rsidR="0099730D" w:rsidRPr="00F16251">
        <w:rPr>
          <w:rFonts w:cstheme="minorHAnsi"/>
        </w:rPr>
        <w:t>obszaru</w:t>
      </w:r>
      <w:r w:rsidR="003B50ED" w:rsidRPr="00F16251">
        <w:rPr>
          <w:rFonts w:cstheme="minorHAnsi"/>
        </w:rPr>
        <w:t xml:space="preserve"> </w:t>
      </w:r>
      <w:r w:rsidRPr="00F16251">
        <w:rPr>
          <w:rFonts w:cstheme="minorHAnsi"/>
        </w:rPr>
        <w:t xml:space="preserve">umożliwia identyfikację </w:t>
      </w:r>
      <w:r w:rsidR="0099730D" w:rsidRPr="00F16251">
        <w:rPr>
          <w:rFonts w:cstheme="minorHAnsi"/>
        </w:rPr>
        <w:t>lokaln</w:t>
      </w:r>
      <w:r w:rsidRPr="00F16251">
        <w:rPr>
          <w:rFonts w:cstheme="minorHAnsi"/>
        </w:rPr>
        <w:t>ych</w:t>
      </w:r>
      <w:r w:rsidR="003B50ED" w:rsidRPr="00F16251">
        <w:rPr>
          <w:rFonts w:cstheme="minorHAnsi"/>
        </w:rPr>
        <w:t xml:space="preserve"> </w:t>
      </w:r>
      <w:r w:rsidR="0099730D" w:rsidRPr="00F16251">
        <w:rPr>
          <w:rFonts w:cstheme="minorHAnsi"/>
        </w:rPr>
        <w:t>lider</w:t>
      </w:r>
      <w:r w:rsidRPr="00F16251">
        <w:rPr>
          <w:rFonts w:cstheme="minorHAnsi"/>
        </w:rPr>
        <w:t>ów</w:t>
      </w:r>
      <w:r w:rsidR="0099730D" w:rsidRPr="00F16251">
        <w:rPr>
          <w:rFonts w:cstheme="minorHAnsi"/>
        </w:rPr>
        <w:t>,</w:t>
      </w:r>
      <w:r w:rsidR="003B50ED" w:rsidRPr="00F16251">
        <w:rPr>
          <w:rFonts w:cstheme="minorHAnsi"/>
        </w:rPr>
        <w:t xml:space="preserve"> </w:t>
      </w:r>
      <w:r w:rsidR="0099730D" w:rsidRPr="00F16251">
        <w:rPr>
          <w:rFonts w:cstheme="minorHAnsi"/>
        </w:rPr>
        <w:t>którzy</w:t>
      </w:r>
      <w:r w:rsidR="003B50ED" w:rsidRPr="00F16251">
        <w:rPr>
          <w:rFonts w:cstheme="minorHAnsi"/>
        </w:rPr>
        <w:t xml:space="preserve"> </w:t>
      </w:r>
      <w:r w:rsidR="0099730D" w:rsidRPr="00F16251">
        <w:rPr>
          <w:rFonts w:cstheme="minorHAnsi"/>
        </w:rPr>
        <w:t>dzięki</w:t>
      </w:r>
      <w:r w:rsidR="003B50ED" w:rsidRPr="00F16251">
        <w:rPr>
          <w:rFonts w:cstheme="minorHAnsi"/>
        </w:rPr>
        <w:t xml:space="preserve"> </w:t>
      </w:r>
      <w:r w:rsidR="0099730D" w:rsidRPr="00F16251">
        <w:rPr>
          <w:rFonts w:cstheme="minorHAnsi"/>
        </w:rPr>
        <w:t>swojej</w:t>
      </w:r>
      <w:r w:rsidR="003B50ED" w:rsidRPr="00F16251">
        <w:rPr>
          <w:rFonts w:cstheme="minorHAnsi"/>
        </w:rPr>
        <w:t xml:space="preserve"> </w:t>
      </w:r>
      <w:r w:rsidR="0099730D" w:rsidRPr="00F16251">
        <w:rPr>
          <w:rFonts w:cstheme="minorHAnsi"/>
        </w:rPr>
        <w:t>charyzmie</w:t>
      </w:r>
      <w:r w:rsidR="003B50ED" w:rsidRPr="00F16251">
        <w:rPr>
          <w:rFonts w:cstheme="minorHAnsi"/>
        </w:rPr>
        <w:t xml:space="preserve"> </w:t>
      </w:r>
      <w:r w:rsidR="0099730D" w:rsidRPr="00F16251">
        <w:rPr>
          <w:rFonts w:cstheme="minorHAnsi"/>
        </w:rPr>
        <w:t>i</w:t>
      </w:r>
      <w:r w:rsidR="003B50ED" w:rsidRPr="00F16251">
        <w:rPr>
          <w:rFonts w:cstheme="minorHAnsi"/>
        </w:rPr>
        <w:t xml:space="preserve"> </w:t>
      </w:r>
      <w:r w:rsidR="0099730D" w:rsidRPr="00F16251">
        <w:rPr>
          <w:rFonts w:cstheme="minorHAnsi"/>
        </w:rPr>
        <w:t>oddaniu</w:t>
      </w:r>
      <w:r w:rsidR="003B50ED" w:rsidRPr="00F16251">
        <w:rPr>
          <w:rFonts w:cstheme="minorHAnsi"/>
        </w:rPr>
        <w:t xml:space="preserve"> </w:t>
      </w:r>
      <w:r w:rsidR="0099730D" w:rsidRPr="00F16251">
        <w:rPr>
          <w:rFonts w:cstheme="minorHAnsi"/>
        </w:rPr>
        <w:t>idei</w:t>
      </w:r>
      <w:r w:rsidR="003B50ED" w:rsidRPr="00F16251">
        <w:rPr>
          <w:rFonts w:cstheme="minorHAnsi"/>
        </w:rPr>
        <w:t xml:space="preserve"> </w:t>
      </w:r>
      <w:r w:rsidR="0099730D" w:rsidRPr="00F16251">
        <w:rPr>
          <w:rFonts w:cstheme="minorHAnsi"/>
        </w:rPr>
        <w:t>działania</w:t>
      </w:r>
      <w:r w:rsidR="003B50ED" w:rsidRPr="00F16251">
        <w:rPr>
          <w:rFonts w:cstheme="minorHAnsi"/>
        </w:rPr>
        <w:t xml:space="preserve"> </w:t>
      </w:r>
      <w:r w:rsidR="0099730D" w:rsidRPr="00F16251">
        <w:rPr>
          <w:rFonts w:cstheme="minorHAnsi"/>
        </w:rPr>
        <w:t>społecznikowskiego</w:t>
      </w:r>
      <w:r w:rsidR="003B50ED" w:rsidRPr="00F16251">
        <w:rPr>
          <w:rFonts w:cstheme="minorHAnsi"/>
        </w:rPr>
        <w:t xml:space="preserve"> </w:t>
      </w:r>
      <w:r w:rsidR="0099730D" w:rsidRPr="00F16251">
        <w:rPr>
          <w:rFonts w:cstheme="minorHAnsi"/>
        </w:rPr>
        <w:t>pociągają</w:t>
      </w:r>
      <w:r w:rsidR="003B50ED" w:rsidRPr="00F16251">
        <w:rPr>
          <w:rFonts w:cstheme="minorHAnsi"/>
        </w:rPr>
        <w:t xml:space="preserve"> </w:t>
      </w:r>
      <w:r w:rsidR="0099730D" w:rsidRPr="00F16251">
        <w:rPr>
          <w:rFonts w:cstheme="minorHAnsi"/>
        </w:rPr>
        <w:t>za</w:t>
      </w:r>
      <w:r w:rsidR="003B50ED" w:rsidRPr="00F16251">
        <w:rPr>
          <w:rFonts w:cstheme="minorHAnsi"/>
        </w:rPr>
        <w:t xml:space="preserve"> </w:t>
      </w:r>
      <w:r w:rsidR="0099730D" w:rsidRPr="00F16251">
        <w:rPr>
          <w:rFonts w:cstheme="minorHAnsi"/>
        </w:rPr>
        <w:t>sobą</w:t>
      </w:r>
      <w:r w:rsidR="003B50ED" w:rsidRPr="00F16251">
        <w:rPr>
          <w:rFonts w:cstheme="minorHAnsi"/>
        </w:rPr>
        <w:t xml:space="preserve"> </w:t>
      </w:r>
      <w:r w:rsidR="0099730D" w:rsidRPr="00F16251">
        <w:rPr>
          <w:rFonts w:cstheme="minorHAnsi"/>
        </w:rPr>
        <w:t>lokaln</w:t>
      </w:r>
      <w:r w:rsidRPr="00F16251">
        <w:rPr>
          <w:rFonts w:cstheme="minorHAnsi"/>
        </w:rPr>
        <w:t>ą</w:t>
      </w:r>
      <w:r w:rsidR="003B50ED" w:rsidRPr="00F16251">
        <w:rPr>
          <w:rFonts w:cstheme="minorHAnsi"/>
        </w:rPr>
        <w:t xml:space="preserve"> </w:t>
      </w:r>
      <w:r w:rsidR="0099730D" w:rsidRPr="00F16251">
        <w:rPr>
          <w:rFonts w:cstheme="minorHAnsi"/>
        </w:rPr>
        <w:t>społecznoś</w:t>
      </w:r>
      <w:r w:rsidRPr="00F16251">
        <w:rPr>
          <w:rFonts w:cstheme="minorHAnsi"/>
        </w:rPr>
        <w:t>ć</w:t>
      </w:r>
      <w:r w:rsidR="0099730D" w:rsidRPr="00F16251">
        <w:rPr>
          <w:rFonts w:cstheme="minorHAnsi"/>
        </w:rPr>
        <w:t>.</w:t>
      </w:r>
      <w:r w:rsidR="003B50ED" w:rsidRPr="00F16251">
        <w:rPr>
          <w:rFonts w:cstheme="minorHAnsi"/>
        </w:rPr>
        <w:t xml:space="preserve"> </w:t>
      </w:r>
      <w:r w:rsidRPr="00F16251">
        <w:rPr>
          <w:rFonts w:cstheme="minorHAnsi"/>
        </w:rPr>
        <w:t>D</w:t>
      </w:r>
      <w:r w:rsidR="0099730D" w:rsidRPr="00F16251">
        <w:rPr>
          <w:rFonts w:cstheme="minorHAnsi"/>
        </w:rPr>
        <w:t>zięki</w:t>
      </w:r>
      <w:r w:rsidR="003B50ED" w:rsidRPr="00F16251">
        <w:rPr>
          <w:rFonts w:cstheme="minorHAnsi"/>
        </w:rPr>
        <w:t xml:space="preserve"> </w:t>
      </w:r>
      <w:r w:rsidR="0099730D" w:rsidRPr="00F16251">
        <w:rPr>
          <w:rFonts w:cstheme="minorHAnsi"/>
        </w:rPr>
        <w:t>nim</w:t>
      </w:r>
      <w:r w:rsidR="003B50ED" w:rsidRPr="00F16251">
        <w:rPr>
          <w:rFonts w:cstheme="minorHAnsi"/>
        </w:rPr>
        <w:t xml:space="preserve"> </w:t>
      </w:r>
      <w:r w:rsidR="0099730D" w:rsidRPr="00F16251">
        <w:rPr>
          <w:rFonts w:cstheme="minorHAnsi"/>
        </w:rPr>
        <w:t>organiz</w:t>
      </w:r>
      <w:r w:rsidRPr="00F16251">
        <w:rPr>
          <w:rFonts w:cstheme="minorHAnsi"/>
        </w:rPr>
        <w:t>ujemy</w:t>
      </w:r>
      <w:r w:rsidR="003B50ED" w:rsidRPr="00F16251">
        <w:rPr>
          <w:rFonts w:cstheme="minorHAnsi"/>
        </w:rPr>
        <w:t xml:space="preserve"> </w:t>
      </w:r>
      <w:r w:rsidR="0099730D" w:rsidRPr="00F16251">
        <w:rPr>
          <w:rFonts w:cstheme="minorHAnsi"/>
        </w:rPr>
        <w:t>wiele</w:t>
      </w:r>
      <w:r w:rsidR="003B50ED" w:rsidRPr="00F16251">
        <w:rPr>
          <w:rFonts w:cstheme="minorHAnsi"/>
        </w:rPr>
        <w:t xml:space="preserve"> </w:t>
      </w:r>
      <w:r w:rsidR="0099730D" w:rsidRPr="00F16251">
        <w:rPr>
          <w:rFonts w:cstheme="minorHAnsi"/>
        </w:rPr>
        <w:t>wydarzeń</w:t>
      </w:r>
      <w:r w:rsidR="003B50ED" w:rsidRPr="00F16251">
        <w:rPr>
          <w:rFonts w:cstheme="minorHAnsi"/>
        </w:rPr>
        <w:t xml:space="preserve"> </w:t>
      </w:r>
      <w:r w:rsidR="0099730D" w:rsidRPr="00F16251">
        <w:rPr>
          <w:rFonts w:cstheme="minorHAnsi"/>
        </w:rPr>
        <w:t>integracyjnych</w:t>
      </w:r>
      <w:r w:rsidR="003B50ED" w:rsidRPr="00F16251">
        <w:rPr>
          <w:rFonts w:cstheme="minorHAnsi"/>
        </w:rPr>
        <w:t xml:space="preserve"> </w:t>
      </w:r>
      <w:r w:rsidRPr="00F16251">
        <w:rPr>
          <w:rFonts w:cstheme="minorHAnsi"/>
        </w:rPr>
        <w:t xml:space="preserve">od poziomu </w:t>
      </w:r>
      <w:r w:rsidR="0099730D" w:rsidRPr="00F16251">
        <w:rPr>
          <w:rFonts w:cstheme="minorHAnsi"/>
        </w:rPr>
        <w:t>sołectwa</w:t>
      </w:r>
      <w:r w:rsidRPr="00F16251">
        <w:rPr>
          <w:rFonts w:cstheme="minorHAnsi"/>
        </w:rPr>
        <w:t xml:space="preserve">. Takie działania </w:t>
      </w:r>
      <w:r w:rsidR="0099730D" w:rsidRPr="00F16251">
        <w:rPr>
          <w:rFonts w:cstheme="minorHAnsi"/>
        </w:rPr>
        <w:t>buduj</w:t>
      </w:r>
      <w:r w:rsidR="00D47463" w:rsidRPr="00F16251">
        <w:rPr>
          <w:rFonts w:cstheme="minorHAnsi"/>
        </w:rPr>
        <w:t>ą</w:t>
      </w:r>
      <w:r w:rsidR="003B50ED" w:rsidRPr="00F16251">
        <w:rPr>
          <w:rFonts w:cstheme="minorHAnsi"/>
        </w:rPr>
        <w:t xml:space="preserve"> </w:t>
      </w:r>
      <w:r w:rsidR="0099730D" w:rsidRPr="00F16251">
        <w:rPr>
          <w:rFonts w:cstheme="minorHAnsi"/>
        </w:rPr>
        <w:t>aktywne</w:t>
      </w:r>
      <w:r w:rsidR="003B50ED" w:rsidRPr="00F16251">
        <w:rPr>
          <w:rFonts w:cstheme="minorHAnsi"/>
        </w:rPr>
        <w:t xml:space="preserve"> </w:t>
      </w:r>
      <w:r w:rsidR="0099730D" w:rsidRPr="00F16251">
        <w:rPr>
          <w:rFonts w:cstheme="minorHAnsi"/>
        </w:rPr>
        <w:t>społeczeństwo.</w:t>
      </w:r>
      <w:r w:rsidR="003B50ED" w:rsidRPr="00F16251">
        <w:rPr>
          <w:rFonts w:cstheme="minorHAnsi"/>
        </w:rPr>
        <w:t xml:space="preserve"> </w:t>
      </w:r>
    </w:p>
    <w:p w14:paraId="051D7985" w14:textId="77777777" w:rsidR="0099730D" w:rsidRPr="00F16251" w:rsidRDefault="0099730D" w:rsidP="00A26C26">
      <w:pPr>
        <w:spacing w:line="276" w:lineRule="auto"/>
        <w:ind w:firstLine="708"/>
        <w:jc w:val="both"/>
        <w:rPr>
          <w:rFonts w:cstheme="minorHAnsi"/>
        </w:rPr>
      </w:pPr>
    </w:p>
    <w:p w14:paraId="491A0E6F" w14:textId="48DE0320" w:rsidR="003B5515" w:rsidRPr="00F16251" w:rsidRDefault="003B5515" w:rsidP="00A26C26">
      <w:pPr>
        <w:spacing w:line="276" w:lineRule="auto"/>
        <w:jc w:val="both"/>
        <w:rPr>
          <w:rFonts w:cstheme="minorHAnsi"/>
          <w:bCs/>
        </w:rPr>
      </w:pPr>
      <w:r w:rsidRPr="00F16251">
        <w:rPr>
          <w:rFonts w:cstheme="minorHAnsi"/>
          <w:bCs/>
        </w:rPr>
        <w:t>Wykres</w:t>
      </w:r>
      <w:r w:rsidR="003B50ED" w:rsidRPr="00F16251">
        <w:rPr>
          <w:rFonts w:cstheme="minorHAnsi"/>
          <w:bCs/>
        </w:rPr>
        <w:t xml:space="preserve"> </w:t>
      </w:r>
      <w:r w:rsidRPr="00F16251">
        <w:rPr>
          <w:rFonts w:cstheme="minorHAnsi"/>
          <w:bCs/>
        </w:rPr>
        <w:t>nr</w:t>
      </w:r>
      <w:r w:rsidR="00396A11">
        <w:rPr>
          <w:rFonts w:cstheme="minorHAnsi"/>
          <w:bCs/>
        </w:rPr>
        <w:t xml:space="preserve"> 1 </w:t>
      </w:r>
      <w:r w:rsidRPr="00F16251">
        <w:rPr>
          <w:rFonts w:cstheme="minorHAnsi"/>
          <w:bCs/>
        </w:rPr>
        <w:t>Struktura</w:t>
      </w:r>
      <w:r w:rsidR="003B50ED" w:rsidRPr="00F16251">
        <w:rPr>
          <w:rFonts w:cstheme="minorHAnsi"/>
          <w:bCs/>
        </w:rPr>
        <w:t xml:space="preserve"> </w:t>
      </w:r>
      <w:r w:rsidR="00D47463" w:rsidRPr="00F16251">
        <w:rPr>
          <w:rFonts w:cstheme="minorHAnsi"/>
        </w:rPr>
        <w:t>Stowarzyszenia „Solidarni w Partnerstwie”</w:t>
      </w:r>
    </w:p>
    <w:p w14:paraId="696C41E2" w14:textId="79287395" w:rsidR="003B5515" w:rsidRPr="00F16251" w:rsidRDefault="003B5515" w:rsidP="00A26C26">
      <w:pPr>
        <w:spacing w:line="276" w:lineRule="auto"/>
        <w:ind w:firstLine="708"/>
        <w:jc w:val="both"/>
        <w:rPr>
          <w:rFonts w:cstheme="minorHAnsi"/>
          <w:bCs/>
        </w:rPr>
      </w:pPr>
      <w:r w:rsidRPr="00F16251">
        <w:rPr>
          <w:rFonts w:cstheme="minorHAnsi"/>
          <w:noProof/>
          <w:lang w:eastAsia="pl-PL"/>
        </w:rPr>
        <w:drawing>
          <wp:inline distT="0" distB="0" distL="0" distR="0" wp14:anchorId="1FE71E55" wp14:editId="059273D7">
            <wp:extent cx="3310741" cy="1377537"/>
            <wp:effectExtent l="0" t="57150" r="0" b="70485"/>
            <wp:docPr id="27446724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F5E40F3" w14:textId="07F8F233" w:rsidR="0099730D" w:rsidRPr="003017ED" w:rsidRDefault="0099730D" w:rsidP="003017ED">
      <w:pPr>
        <w:spacing w:line="276" w:lineRule="auto"/>
        <w:jc w:val="both"/>
        <w:rPr>
          <w:rFonts w:cstheme="minorHAnsi"/>
          <w:iCs/>
          <w:noProof/>
        </w:rPr>
      </w:pPr>
      <w:r w:rsidRPr="003017ED">
        <w:rPr>
          <w:rFonts w:cstheme="minorHAnsi"/>
          <w:iCs/>
          <w:noProof/>
        </w:rPr>
        <w:t>Źródło:</w:t>
      </w:r>
      <w:r w:rsidR="003B50ED" w:rsidRPr="003017ED">
        <w:rPr>
          <w:rFonts w:cstheme="minorHAnsi"/>
          <w:iCs/>
          <w:noProof/>
        </w:rPr>
        <w:t xml:space="preserve"> </w:t>
      </w:r>
      <w:r w:rsidRPr="003017ED">
        <w:rPr>
          <w:rFonts w:cstheme="minorHAnsi"/>
          <w:iCs/>
          <w:noProof/>
        </w:rPr>
        <w:t>Opracowanie</w:t>
      </w:r>
      <w:r w:rsidR="003B50ED" w:rsidRPr="003017ED">
        <w:rPr>
          <w:rFonts w:cstheme="minorHAnsi"/>
          <w:iCs/>
          <w:noProof/>
        </w:rPr>
        <w:t xml:space="preserve"> </w:t>
      </w:r>
      <w:r w:rsidRPr="003017ED">
        <w:rPr>
          <w:rFonts w:cstheme="minorHAnsi"/>
          <w:iCs/>
          <w:noProof/>
        </w:rPr>
        <w:t>własne</w:t>
      </w:r>
    </w:p>
    <w:p w14:paraId="209F5EBD" w14:textId="77777777" w:rsidR="0004264B" w:rsidRPr="00F16251" w:rsidRDefault="0004264B" w:rsidP="0004264B">
      <w:pPr>
        <w:spacing w:line="276" w:lineRule="auto"/>
        <w:jc w:val="both"/>
        <w:rPr>
          <w:rFonts w:cstheme="minorHAnsi"/>
        </w:rPr>
      </w:pPr>
    </w:p>
    <w:p w14:paraId="049F5008" w14:textId="101E58D9" w:rsidR="002A51F6" w:rsidRPr="00F16251" w:rsidRDefault="0099730D" w:rsidP="00A26C26">
      <w:pPr>
        <w:spacing w:line="276" w:lineRule="auto"/>
        <w:ind w:firstLine="284"/>
        <w:jc w:val="both"/>
        <w:rPr>
          <w:rFonts w:cstheme="minorHAnsi"/>
        </w:rPr>
      </w:pPr>
      <w:r w:rsidRPr="00F16251">
        <w:rPr>
          <w:rFonts w:cstheme="minorHAnsi"/>
        </w:rPr>
        <w:t>Wśród</w:t>
      </w:r>
      <w:r w:rsidR="003B50ED" w:rsidRPr="00F16251">
        <w:rPr>
          <w:rFonts w:cstheme="minorHAnsi"/>
        </w:rPr>
        <w:t xml:space="preserve"> </w:t>
      </w:r>
      <w:r w:rsidRPr="00F16251">
        <w:rPr>
          <w:rFonts w:cstheme="minorHAnsi"/>
        </w:rPr>
        <w:t>członków</w:t>
      </w:r>
      <w:r w:rsidR="003B50ED" w:rsidRPr="00F16251">
        <w:rPr>
          <w:rFonts w:cstheme="minorHAnsi"/>
        </w:rPr>
        <w:t xml:space="preserve"> </w:t>
      </w:r>
      <w:r w:rsidRPr="00F16251">
        <w:rPr>
          <w:rFonts w:cstheme="minorHAnsi"/>
        </w:rPr>
        <w:t>Stowarzyszenia</w:t>
      </w:r>
      <w:r w:rsidR="003B50ED" w:rsidRPr="00F16251">
        <w:rPr>
          <w:rFonts w:cstheme="minorHAnsi"/>
        </w:rPr>
        <w:t xml:space="preserve"> </w:t>
      </w:r>
      <w:r w:rsidRPr="00F16251">
        <w:rPr>
          <w:rFonts w:cstheme="minorHAnsi"/>
        </w:rPr>
        <w:t>znajdują</w:t>
      </w:r>
      <w:r w:rsidR="003B50ED" w:rsidRPr="00F16251">
        <w:rPr>
          <w:rFonts w:cstheme="minorHAnsi"/>
        </w:rPr>
        <w:t xml:space="preserve"> </w:t>
      </w:r>
      <w:r w:rsidRPr="00F16251">
        <w:rPr>
          <w:rFonts w:cstheme="minorHAnsi"/>
        </w:rPr>
        <w:t>się</w:t>
      </w:r>
      <w:r w:rsidR="003B50ED" w:rsidRPr="00F16251">
        <w:rPr>
          <w:rFonts w:cstheme="minorHAnsi"/>
        </w:rPr>
        <w:t xml:space="preserve"> </w:t>
      </w:r>
      <w:r w:rsidRPr="00F16251">
        <w:rPr>
          <w:rFonts w:cstheme="minorHAnsi"/>
        </w:rPr>
        <w:t>także</w:t>
      </w:r>
      <w:r w:rsidR="003B50ED" w:rsidRPr="00F16251">
        <w:rPr>
          <w:rFonts w:cstheme="minorHAnsi"/>
        </w:rPr>
        <w:t xml:space="preserve"> </w:t>
      </w:r>
      <w:r w:rsidRPr="00F16251">
        <w:rPr>
          <w:rFonts w:cstheme="minorHAnsi"/>
        </w:rPr>
        <w:t>przedstawiciele</w:t>
      </w:r>
      <w:r w:rsidR="003B50ED" w:rsidRPr="00F16251">
        <w:rPr>
          <w:rFonts w:cstheme="minorHAnsi"/>
        </w:rPr>
        <w:t xml:space="preserve"> </w:t>
      </w:r>
      <w:r w:rsidRPr="00F16251">
        <w:rPr>
          <w:rFonts w:cstheme="minorHAnsi"/>
        </w:rPr>
        <w:t>grup</w:t>
      </w:r>
      <w:r w:rsidR="003B50ED" w:rsidRPr="00F16251">
        <w:rPr>
          <w:rFonts w:cstheme="minorHAnsi"/>
        </w:rPr>
        <w:t xml:space="preserve"> </w:t>
      </w:r>
      <w:r w:rsidR="005C744E" w:rsidRPr="00F16251">
        <w:rPr>
          <w:rFonts w:cstheme="minorHAnsi"/>
        </w:rPr>
        <w:t>najbardziej</w:t>
      </w:r>
      <w:r w:rsidR="003B50ED" w:rsidRPr="00F16251">
        <w:rPr>
          <w:rFonts w:cstheme="minorHAnsi"/>
        </w:rPr>
        <w:t xml:space="preserve"> </w:t>
      </w:r>
      <w:r w:rsidR="005C744E" w:rsidRPr="00F16251">
        <w:rPr>
          <w:rFonts w:cstheme="minorHAnsi"/>
        </w:rPr>
        <w:t>narażonych</w:t>
      </w:r>
      <w:r w:rsidR="003B50ED" w:rsidRPr="00F16251">
        <w:rPr>
          <w:rFonts w:cstheme="minorHAnsi"/>
        </w:rPr>
        <w:t xml:space="preserve"> </w:t>
      </w:r>
      <w:r w:rsidR="005C744E" w:rsidRPr="00F16251">
        <w:rPr>
          <w:rFonts w:cstheme="minorHAnsi"/>
        </w:rPr>
        <w:t>na</w:t>
      </w:r>
      <w:r w:rsidR="003B50ED" w:rsidRPr="00F16251">
        <w:rPr>
          <w:rFonts w:cstheme="minorHAnsi"/>
        </w:rPr>
        <w:t xml:space="preserve"> </w:t>
      </w:r>
      <w:r w:rsidR="005C744E" w:rsidRPr="00F16251">
        <w:rPr>
          <w:rFonts w:cstheme="minorHAnsi"/>
        </w:rPr>
        <w:t>wykluczenie</w:t>
      </w:r>
      <w:r w:rsidR="003B50ED" w:rsidRPr="00F16251">
        <w:rPr>
          <w:rFonts w:cstheme="minorHAnsi"/>
        </w:rPr>
        <w:t xml:space="preserve"> </w:t>
      </w:r>
      <w:r w:rsidR="005C744E" w:rsidRPr="00F16251">
        <w:rPr>
          <w:rFonts w:cstheme="minorHAnsi"/>
        </w:rPr>
        <w:t>z</w:t>
      </w:r>
      <w:r w:rsidR="003B50ED" w:rsidRPr="00F16251">
        <w:rPr>
          <w:rFonts w:cstheme="minorHAnsi"/>
        </w:rPr>
        <w:t xml:space="preserve"> </w:t>
      </w:r>
      <w:r w:rsidR="005C744E" w:rsidRPr="00F16251">
        <w:rPr>
          <w:rFonts w:cstheme="minorHAnsi"/>
        </w:rPr>
        <w:t>życia</w:t>
      </w:r>
      <w:r w:rsidR="003B50ED" w:rsidRPr="00F16251">
        <w:rPr>
          <w:rFonts w:cstheme="minorHAnsi"/>
        </w:rPr>
        <w:t xml:space="preserve"> </w:t>
      </w:r>
      <w:r w:rsidR="008D3828" w:rsidRPr="00F16251">
        <w:rPr>
          <w:rFonts w:cstheme="minorHAnsi"/>
        </w:rPr>
        <w:t>społecznego</w:t>
      </w:r>
      <w:r w:rsidRPr="00F16251">
        <w:rPr>
          <w:rFonts w:cstheme="minorHAnsi"/>
        </w:rPr>
        <w:t>,</w:t>
      </w:r>
      <w:r w:rsidR="003B50ED" w:rsidRPr="00F16251">
        <w:rPr>
          <w:rFonts w:cstheme="minorHAnsi"/>
        </w:rPr>
        <w:t xml:space="preserve"> </w:t>
      </w:r>
      <w:r w:rsidRPr="00F16251">
        <w:rPr>
          <w:rFonts w:cstheme="minorHAnsi"/>
        </w:rPr>
        <w:t>które</w:t>
      </w:r>
      <w:r w:rsidR="003B50ED" w:rsidRPr="00F16251">
        <w:rPr>
          <w:rFonts w:cstheme="minorHAnsi"/>
        </w:rPr>
        <w:t xml:space="preserve"> </w:t>
      </w:r>
      <w:r w:rsidRPr="00F16251">
        <w:rPr>
          <w:rFonts w:cstheme="minorHAnsi"/>
        </w:rPr>
        <w:t>zostały</w:t>
      </w:r>
      <w:r w:rsidR="003B50ED" w:rsidRPr="00F16251">
        <w:rPr>
          <w:rFonts w:cstheme="minorHAnsi"/>
        </w:rPr>
        <w:t xml:space="preserve"> </w:t>
      </w:r>
      <w:r w:rsidRPr="00F16251">
        <w:rPr>
          <w:rFonts w:cstheme="minorHAnsi"/>
        </w:rPr>
        <w:t>określone</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etapie</w:t>
      </w:r>
      <w:r w:rsidR="003B50ED" w:rsidRPr="00F16251">
        <w:rPr>
          <w:rFonts w:cstheme="minorHAnsi"/>
        </w:rPr>
        <w:t xml:space="preserve"> </w:t>
      </w:r>
      <w:r w:rsidRPr="00F16251">
        <w:rPr>
          <w:rFonts w:cstheme="minorHAnsi"/>
        </w:rPr>
        <w:t>diagnozy</w:t>
      </w:r>
      <w:r w:rsidR="003B50ED" w:rsidRPr="00F16251">
        <w:rPr>
          <w:rFonts w:cstheme="minorHAnsi"/>
        </w:rPr>
        <w:t xml:space="preserve"> </w:t>
      </w:r>
      <w:r w:rsidRPr="00F16251">
        <w:rPr>
          <w:rFonts w:cstheme="minorHAnsi"/>
        </w:rPr>
        <w:t>obszaru.</w:t>
      </w:r>
      <w:r w:rsidR="003B50ED" w:rsidRPr="00F16251">
        <w:rPr>
          <w:rFonts w:cstheme="minorHAnsi"/>
        </w:rPr>
        <w:t xml:space="preserve"> </w:t>
      </w:r>
      <w:r w:rsidR="005C744E" w:rsidRPr="00F16251">
        <w:rPr>
          <w:rFonts w:cstheme="minorHAnsi"/>
        </w:rPr>
        <w:t>Mieszkańcy</w:t>
      </w:r>
      <w:r w:rsidR="003B50ED" w:rsidRPr="00F16251">
        <w:rPr>
          <w:rFonts w:cstheme="minorHAnsi"/>
        </w:rPr>
        <w:t xml:space="preserve"> </w:t>
      </w:r>
      <w:r w:rsidR="005C744E" w:rsidRPr="00F16251">
        <w:rPr>
          <w:rFonts w:cstheme="minorHAnsi"/>
        </w:rPr>
        <w:t>biorący</w:t>
      </w:r>
      <w:r w:rsidR="003B50ED" w:rsidRPr="00F16251">
        <w:rPr>
          <w:rFonts w:cstheme="minorHAnsi"/>
        </w:rPr>
        <w:t xml:space="preserve"> </w:t>
      </w:r>
      <w:r w:rsidR="005C744E" w:rsidRPr="00F16251">
        <w:rPr>
          <w:rFonts w:cstheme="minorHAnsi"/>
        </w:rPr>
        <w:t>udział</w:t>
      </w:r>
      <w:r w:rsidR="003B50ED" w:rsidRPr="00F16251">
        <w:rPr>
          <w:rFonts w:cstheme="minorHAnsi"/>
        </w:rPr>
        <w:t xml:space="preserve"> </w:t>
      </w:r>
      <w:r w:rsidR="005C744E" w:rsidRPr="00F16251">
        <w:rPr>
          <w:rFonts w:cstheme="minorHAnsi"/>
        </w:rPr>
        <w:t>w</w:t>
      </w:r>
      <w:r w:rsidR="003B50ED" w:rsidRPr="00F16251">
        <w:rPr>
          <w:rFonts w:cstheme="minorHAnsi"/>
        </w:rPr>
        <w:t xml:space="preserve"> </w:t>
      </w:r>
      <w:r w:rsidR="005C744E" w:rsidRPr="00F16251">
        <w:rPr>
          <w:rFonts w:cstheme="minorHAnsi"/>
        </w:rPr>
        <w:t>spotkaniach</w:t>
      </w:r>
      <w:r w:rsidR="003B50ED" w:rsidRPr="00F16251">
        <w:rPr>
          <w:rFonts w:cstheme="minorHAnsi"/>
        </w:rPr>
        <w:t xml:space="preserve"> </w:t>
      </w:r>
      <w:r w:rsidR="00C410C9" w:rsidRPr="00F16251">
        <w:rPr>
          <w:rFonts w:cstheme="minorHAnsi"/>
        </w:rPr>
        <w:br/>
      </w:r>
      <w:r w:rsidR="005C744E" w:rsidRPr="00F16251">
        <w:rPr>
          <w:rFonts w:cstheme="minorHAnsi"/>
        </w:rPr>
        <w:t>i</w:t>
      </w:r>
      <w:r w:rsidR="003B50ED" w:rsidRPr="00F16251">
        <w:rPr>
          <w:rFonts w:cstheme="minorHAnsi"/>
        </w:rPr>
        <w:t xml:space="preserve"> </w:t>
      </w:r>
      <w:r w:rsidR="005C744E" w:rsidRPr="00F16251">
        <w:rPr>
          <w:rFonts w:cstheme="minorHAnsi"/>
        </w:rPr>
        <w:t>badaniach</w:t>
      </w:r>
      <w:r w:rsidR="003B50ED" w:rsidRPr="00F16251">
        <w:rPr>
          <w:rFonts w:cstheme="minorHAnsi"/>
        </w:rPr>
        <w:t xml:space="preserve"> </w:t>
      </w:r>
      <w:r w:rsidR="005C744E" w:rsidRPr="00F16251">
        <w:rPr>
          <w:rFonts w:cstheme="minorHAnsi"/>
        </w:rPr>
        <w:t>ankietowych</w:t>
      </w:r>
      <w:r w:rsidR="003B50ED" w:rsidRPr="00F16251">
        <w:rPr>
          <w:rFonts w:cstheme="minorHAnsi"/>
        </w:rPr>
        <w:t xml:space="preserve"> </w:t>
      </w:r>
      <w:r w:rsidR="005C744E" w:rsidRPr="00F16251">
        <w:rPr>
          <w:rFonts w:cstheme="minorHAnsi"/>
        </w:rPr>
        <w:t>wskazali,</w:t>
      </w:r>
      <w:r w:rsidR="003B50ED" w:rsidRPr="00F16251">
        <w:rPr>
          <w:rFonts w:cstheme="minorHAnsi"/>
        </w:rPr>
        <w:t xml:space="preserve"> </w:t>
      </w:r>
      <w:r w:rsidR="002A51F6" w:rsidRPr="00F16251">
        <w:rPr>
          <w:rFonts w:cstheme="minorHAnsi"/>
        </w:rPr>
        <w:t>że</w:t>
      </w:r>
      <w:r w:rsidR="003B50ED" w:rsidRPr="00F16251">
        <w:rPr>
          <w:rFonts w:cstheme="minorHAnsi"/>
        </w:rPr>
        <w:t xml:space="preserve"> </w:t>
      </w:r>
      <w:r w:rsidR="002A51F6" w:rsidRPr="00F16251">
        <w:rPr>
          <w:rFonts w:cstheme="minorHAnsi"/>
        </w:rPr>
        <w:t>wsparcie</w:t>
      </w:r>
      <w:r w:rsidR="003B50ED" w:rsidRPr="00F16251">
        <w:rPr>
          <w:rFonts w:cstheme="minorHAnsi"/>
        </w:rPr>
        <w:t xml:space="preserve"> </w:t>
      </w:r>
      <w:r w:rsidR="002A51F6" w:rsidRPr="00F16251">
        <w:rPr>
          <w:rFonts w:cstheme="minorHAnsi"/>
        </w:rPr>
        <w:t>powinno</w:t>
      </w:r>
      <w:r w:rsidR="003B50ED" w:rsidRPr="00F16251">
        <w:rPr>
          <w:rFonts w:cstheme="minorHAnsi"/>
        </w:rPr>
        <w:t xml:space="preserve"> </w:t>
      </w:r>
      <w:r w:rsidR="002A51F6" w:rsidRPr="00F16251">
        <w:rPr>
          <w:rFonts w:cstheme="minorHAnsi"/>
        </w:rPr>
        <w:t>być</w:t>
      </w:r>
      <w:r w:rsidR="003B50ED" w:rsidRPr="00F16251">
        <w:rPr>
          <w:rFonts w:cstheme="minorHAnsi"/>
        </w:rPr>
        <w:t xml:space="preserve"> </w:t>
      </w:r>
      <w:r w:rsidR="002A51F6" w:rsidRPr="00F16251">
        <w:rPr>
          <w:rFonts w:cstheme="minorHAnsi"/>
        </w:rPr>
        <w:t>ukierunkowane</w:t>
      </w:r>
      <w:r w:rsidR="003B50ED" w:rsidRPr="00F16251">
        <w:rPr>
          <w:rFonts w:cstheme="minorHAnsi"/>
        </w:rPr>
        <w:t xml:space="preserve"> </w:t>
      </w:r>
      <w:r w:rsidR="002A51F6" w:rsidRPr="00F16251">
        <w:rPr>
          <w:rFonts w:cstheme="minorHAnsi"/>
        </w:rPr>
        <w:t>na</w:t>
      </w:r>
      <w:r w:rsidR="003B50ED" w:rsidRPr="00F16251">
        <w:rPr>
          <w:rFonts w:cstheme="minorHAnsi"/>
        </w:rPr>
        <w:t xml:space="preserve"> </w:t>
      </w:r>
      <w:r w:rsidR="002A51F6" w:rsidRPr="00F16251">
        <w:rPr>
          <w:rFonts w:cstheme="minorHAnsi"/>
        </w:rPr>
        <w:t>seniorów</w:t>
      </w:r>
      <w:r w:rsidR="003B50ED" w:rsidRPr="00F16251">
        <w:rPr>
          <w:rFonts w:cstheme="minorHAnsi"/>
        </w:rPr>
        <w:t xml:space="preserve"> </w:t>
      </w:r>
      <w:r w:rsidR="002A51F6" w:rsidRPr="00F16251">
        <w:rPr>
          <w:rFonts w:cstheme="minorHAnsi"/>
        </w:rPr>
        <w:t>(osoby,</w:t>
      </w:r>
      <w:r w:rsidR="003B50ED" w:rsidRPr="00F16251">
        <w:rPr>
          <w:rFonts w:cstheme="minorHAnsi"/>
        </w:rPr>
        <w:t xml:space="preserve"> </w:t>
      </w:r>
      <w:r w:rsidR="002A51F6" w:rsidRPr="00F16251">
        <w:rPr>
          <w:rFonts w:cstheme="minorHAnsi"/>
        </w:rPr>
        <w:t>które</w:t>
      </w:r>
      <w:r w:rsidR="003B50ED" w:rsidRPr="00F16251">
        <w:rPr>
          <w:rFonts w:cstheme="minorHAnsi"/>
        </w:rPr>
        <w:t xml:space="preserve"> </w:t>
      </w:r>
      <w:r w:rsidR="002A51F6" w:rsidRPr="00F16251">
        <w:rPr>
          <w:rFonts w:cstheme="minorHAnsi"/>
        </w:rPr>
        <w:t>ukończyły</w:t>
      </w:r>
      <w:r w:rsidR="003B50ED" w:rsidRPr="00F16251">
        <w:rPr>
          <w:rFonts w:cstheme="minorHAnsi"/>
        </w:rPr>
        <w:t xml:space="preserve"> </w:t>
      </w:r>
      <w:r w:rsidR="002A51F6" w:rsidRPr="00F16251">
        <w:rPr>
          <w:rFonts w:cstheme="minorHAnsi"/>
        </w:rPr>
        <w:t>60</w:t>
      </w:r>
      <w:r w:rsidR="003B50ED" w:rsidRPr="00F16251">
        <w:rPr>
          <w:rFonts w:cstheme="minorHAnsi"/>
        </w:rPr>
        <w:t xml:space="preserve"> </w:t>
      </w:r>
      <w:r w:rsidR="002A51F6" w:rsidRPr="00F16251">
        <w:rPr>
          <w:rFonts w:cstheme="minorHAnsi"/>
        </w:rPr>
        <w:t>rok</w:t>
      </w:r>
      <w:r w:rsidR="003B50ED" w:rsidRPr="00F16251">
        <w:rPr>
          <w:rFonts w:cstheme="minorHAnsi"/>
        </w:rPr>
        <w:t xml:space="preserve"> </w:t>
      </w:r>
      <w:r w:rsidR="002A51F6" w:rsidRPr="00F16251">
        <w:rPr>
          <w:rFonts w:cstheme="minorHAnsi"/>
        </w:rPr>
        <w:t>życia)</w:t>
      </w:r>
      <w:r w:rsidR="003B50ED" w:rsidRPr="00F16251">
        <w:rPr>
          <w:rFonts w:cstheme="minorHAnsi"/>
        </w:rPr>
        <w:t xml:space="preserve"> </w:t>
      </w:r>
      <w:r w:rsidR="002A51F6" w:rsidRPr="00F16251">
        <w:rPr>
          <w:rFonts w:cstheme="minorHAnsi"/>
        </w:rPr>
        <w:t>i</w:t>
      </w:r>
      <w:r w:rsidR="003B50ED" w:rsidRPr="00F16251">
        <w:rPr>
          <w:rFonts w:cstheme="minorHAnsi"/>
        </w:rPr>
        <w:t xml:space="preserve"> </w:t>
      </w:r>
      <w:r w:rsidR="002A51F6" w:rsidRPr="00F16251">
        <w:rPr>
          <w:rFonts w:cstheme="minorHAnsi"/>
        </w:rPr>
        <w:t>ludzi</w:t>
      </w:r>
      <w:r w:rsidR="003B50ED" w:rsidRPr="00F16251">
        <w:rPr>
          <w:rFonts w:cstheme="minorHAnsi"/>
        </w:rPr>
        <w:t xml:space="preserve"> </w:t>
      </w:r>
      <w:r w:rsidR="002A51F6" w:rsidRPr="00F16251">
        <w:rPr>
          <w:rFonts w:cstheme="minorHAnsi"/>
        </w:rPr>
        <w:t>młodych</w:t>
      </w:r>
      <w:r w:rsidR="003B50ED" w:rsidRPr="00F16251">
        <w:rPr>
          <w:rFonts w:cstheme="minorHAnsi"/>
        </w:rPr>
        <w:t xml:space="preserve"> </w:t>
      </w:r>
      <w:r w:rsidR="002A51F6" w:rsidRPr="00F16251">
        <w:rPr>
          <w:rFonts w:cstheme="minorHAnsi"/>
        </w:rPr>
        <w:t>(do</w:t>
      </w:r>
      <w:r w:rsidR="003B50ED" w:rsidRPr="00F16251">
        <w:rPr>
          <w:rFonts w:cstheme="minorHAnsi"/>
        </w:rPr>
        <w:t xml:space="preserve"> </w:t>
      </w:r>
      <w:r w:rsidR="002A51F6" w:rsidRPr="00F16251">
        <w:rPr>
          <w:rFonts w:cstheme="minorHAnsi"/>
        </w:rPr>
        <w:t>25</w:t>
      </w:r>
      <w:r w:rsidR="003B50ED" w:rsidRPr="00F16251">
        <w:rPr>
          <w:rFonts w:cstheme="minorHAnsi"/>
        </w:rPr>
        <w:t xml:space="preserve"> </w:t>
      </w:r>
      <w:r w:rsidR="002A51F6" w:rsidRPr="00F16251">
        <w:rPr>
          <w:rFonts w:cstheme="minorHAnsi"/>
        </w:rPr>
        <w:t>roku</w:t>
      </w:r>
      <w:r w:rsidR="003B50ED" w:rsidRPr="00F16251">
        <w:rPr>
          <w:rFonts w:cstheme="minorHAnsi"/>
        </w:rPr>
        <w:t xml:space="preserve"> </w:t>
      </w:r>
      <w:r w:rsidR="002A51F6" w:rsidRPr="00F16251">
        <w:rPr>
          <w:rFonts w:cstheme="minorHAnsi"/>
        </w:rPr>
        <w:t>życia)</w:t>
      </w:r>
      <w:r w:rsidR="003B50ED" w:rsidRPr="00F16251">
        <w:rPr>
          <w:rFonts w:cstheme="minorHAnsi"/>
        </w:rPr>
        <w:t xml:space="preserve"> </w:t>
      </w:r>
      <w:r w:rsidR="002A51F6" w:rsidRPr="00F16251">
        <w:rPr>
          <w:rFonts w:cstheme="minorHAnsi"/>
        </w:rPr>
        <w:t>oraz</w:t>
      </w:r>
      <w:r w:rsidR="003B50ED" w:rsidRPr="00F16251">
        <w:rPr>
          <w:rFonts w:cstheme="minorHAnsi"/>
        </w:rPr>
        <w:t xml:space="preserve"> </w:t>
      </w:r>
      <w:r w:rsidR="002A51F6" w:rsidRPr="00F16251">
        <w:rPr>
          <w:rFonts w:cstheme="minorHAnsi"/>
        </w:rPr>
        <w:t>na</w:t>
      </w:r>
      <w:r w:rsidR="003B50ED" w:rsidRPr="00F16251">
        <w:rPr>
          <w:rFonts w:cstheme="minorHAnsi"/>
        </w:rPr>
        <w:t xml:space="preserve"> </w:t>
      </w:r>
      <w:r w:rsidR="002A51F6" w:rsidRPr="00F16251">
        <w:rPr>
          <w:rFonts w:cstheme="minorHAnsi"/>
        </w:rPr>
        <w:t>potrzeby</w:t>
      </w:r>
      <w:r w:rsidR="003B50ED" w:rsidRPr="00F16251">
        <w:rPr>
          <w:rFonts w:cstheme="minorHAnsi"/>
        </w:rPr>
        <w:t xml:space="preserve"> </w:t>
      </w:r>
      <w:r w:rsidR="002A51F6" w:rsidRPr="00F16251">
        <w:rPr>
          <w:rFonts w:cstheme="minorHAnsi"/>
        </w:rPr>
        <w:t>osób</w:t>
      </w:r>
      <w:r w:rsidR="003B50ED" w:rsidRPr="00F16251">
        <w:rPr>
          <w:rFonts w:cstheme="minorHAnsi"/>
        </w:rPr>
        <w:t xml:space="preserve"> </w:t>
      </w:r>
      <w:r w:rsidR="002A51F6" w:rsidRPr="00F16251">
        <w:rPr>
          <w:rFonts w:cstheme="minorHAnsi"/>
        </w:rPr>
        <w:t>w</w:t>
      </w:r>
      <w:r w:rsidR="003B50ED" w:rsidRPr="00F16251">
        <w:rPr>
          <w:rFonts w:cstheme="minorHAnsi"/>
        </w:rPr>
        <w:t xml:space="preserve"> </w:t>
      </w:r>
      <w:r w:rsidR="002A51F6" w:rsidRPr="00F16251">
        <w:rPr>
          <w:rFonts w:cstheme="minorHAnsi"/>
        </w:rPr>
        <w:t>niekorzystnej</w:t>
      </w:r>
      <w:r w:rsidR="003B50ED" w:rsidRPr="00F16251">
        <w:rPr>
          <w:rFonts w:cstheme="minorHAnsi"/>
        </w:rPr>
        <w:t xml:space="preserve"> </w:t>
      </w:r>
      <w:r w:rsidR="002A51F6" w:rsidRPr="00F16251">
        <w:rPr>
          <w:rFonts w:cstheme="minorHAnsi"/>
        </w:rPr>
        <w:t>sytuacji,</w:t>
      </w:r>
      <w:r w:rsidR="003B50ED" w:rsidRPr="00F16251">
        <w:rPr>
          <w:rFonts w:cstheme="minorHAnsi"/>
        </w:rPr>
        <w:t xml:space="preserve"> </w:t>
      </w:r>
      <w:r w:rsidR="002A51F6" w:rsidRPr="00F16251">
        <w:rPr>
          <w:rFonts w:cstheme="minorHAnsi"/>
        </w:rPr>
        <w:t>tj.:</w:t>
      </w:r>
      <w:r w:rsidR="003B50ED" w:rsidRPr="00F16251">
        <w:rPr>
          <w:rFonts w:cstheme="minorHAnsi"/>
        </w:rPr>
        <w:t xml:space="preserve"> </w:t>
      </w:r>
      <w:r w:rsidR="002A51F6" w:rsidRPr="00F16251">
        <w:rPr>
          <w:rFonts w:cstheme="minorHAnsi"/>
        </w:rPr>
        <w:t>osób</w:t>
      </w:r>
      <w:r w:rsidR="003B50ED" w:rsidRPr="00F16251">
        <w:rPr>
          <w:rFonts w:cstheme="minorHAnsi"/>
        </w:rPr>
        <w:t xml:space="preserve"> </w:t>
      </w:r>
      <w:r w:rsidR="003017ED">
        <w:rPr>
          <w:rFonts w:cstheme="minorHAnsi"/>
        </w:rPr>
        <w:br/>
      </w:r>
      <w:r w:rsidR="002A51F6" w:rsidRPr="00F16251">
        <w:rPr>
          <w:rFonts w:cstheme="minorHAnsi"/>
        </w:rPr>
        <w:t>z</w:t>
      </w:r>
      <w:r w:rsidR="003B50ED" w:rsidRPr="00F16251">
        <w:rPr>
          <w:rFonts w:cstheme="minorHAnsi"/>
        </w:rPr>
        <w:t xml:space="preserve"> </w:t>
      </w:r>
      <w:r w:rsidR="002A51F6" w:rsidRPr="00F16251">
        <w:rPr>
          <w:rFonts w:cstheme="minorHAnsi"/>
        </w:rPr>
        <w:t>niepełnosprawnościami</w:t>
      </w:r>
      <w:r w:rsidR="003B50ED" w:rsidRPr="00F16251">
        <w:rPr>
          <w:rFonts w:cstheme="minorHAnsi"/>
        </w:rPr>
        <w:t xml:space="preserve"> </w:t>
      </w:r>
      <w:r w:rsidR="002A51F6" w:rsidRPr="00F16251">
        <w:rPr>
          <w:rFonts w:cstheme="minorHAnsi"/>
        </w:rPr>
        <w:t>i</w:t>
      </w:r>
      <w:r w:rsidR="003B50ED" w:rsidRPr="00F16251">
        <w:rPr>
          <w:rFonts w:cstheme="minorHAnsi"/>
        </w:rPr>
        <w:t xml:space="preserve"> </w:t>
      </w:r>
      <w:r w:rsidR="002A51F6" w:rsidRPr="00F16251">
        <w:rPr>
          <w:rFonts w:cstheme="minorHAnsi"/>
        </w:rPr>
        <w:t>ich</w:t>
      </w:r>
      <w:r w:rsidR="003B50ED" w:rsidRPr="00F16251">
        <w:rPr>
          <w:rFonts w:cstheme="minorHAnsi"/>
        </w:rPr>
        <w:t xml:space="preserve"> </w:t>
      </w:r>
      <w:r w:rsidR="002A51F6" w:rsidRPr="00F16251">
        <w:rPr>
          <w:rFonts w:cstheme="minorHAnsi"/>
        </w:rPr>
        <w:t>opiekunów,</w:t>
      </w:r>
      <w:r w:rsidR="003B50ED" w:rsidRPr="00F16251">
        <w:rPr>
          <w:rFonts w:cstheme="minorHAnsi"/>
        </w:rPr>
        <w:t xml:space="preserve"> </w:t>
      </w:r>
      <w:r w:rsidR="002A51F6" w:rsidRPr="00F16251">
        <w:rPr>
          <w:rFonts w:cstheme="minorHAnsi"/>
        </w:rPr>
        <w:t>kobiet,</w:t>
      </w:r>
      <w:r w:rsidR="003B50ED" w:rsidRPr="00F16251">
        <w:rPr>
          <w:rFonts w:cstheme="minorHAnsi"/>
        </w:rPr>
        <w:t xml:space="preserve"> </w:t>
      </w:r>
      <w:r w:rsidR="002A51F6" w:rsidRPr="00F16251">
        <w:rPr>
          <w:rFonts w:cstheme="minorHAnsi"/>
        </w:rPr>
        <w:t>migrantów,</w:t>
      </w:r>
      <w:r w:rsidR="003B50ED" w:rsidRPr="00F16251">
        <w:rPr>
          <w:rFonts w:cstheme="minorHAnsi"/>
        </w:rPr>
        <w:t xml:space="preserve"> </w:t>
      </w:r>
      <w:r w:rsidR="002A51F6" w:rsidRPr="00F16251">
        <w:rPr>
          <w:rFonts w:cstheme="minorHAnsi"/>
        </w:rPr>
        <w:t>rolników</w:t>
      </w:r>
      <w:r w:rsidR="003B50ED" w:rsidRPr="00F16251">
        <w:rPr>
          <w:rFonts w:cstheme="minorHAnsi"/>
        </w:rPr>
        <w:t xml:space="preserve"> </w:t>
      </w:r>
      <w:r w:rsidR="002A51F6" w:rsidRPr="00F16251">
        <w:rPr>
          <w:rFonts w:cstheme="minorHAnsi"/>
        </w:rPr>
        <w:t>z</w:t>
      </w:r>
      <w:r w:rsidR="003B50ED" w:rsidRPr="00F16251">
        <w:rPr>
          <w:rFonts w:cstheme="minorHAnsi"/>
        </w:rPr>
        <w:t xml:space="preserve"> </w:t>
      </w:r>
      <w:r w:rsidR="002A51F6" w:rsidRPr="00F16251">
        <w:rPr>
          <w:rFonts w:cstheme="minorHAnsi"/>
        </w:rPr>
        <w:t>małych</w:t>
      </w:r>
      <w:r w:rsidR="003B50ED" w:rsidRPr="00F16251">
        <w:rPr>
          <w:rFonts w:cstheme="minorHAnsi"/>
        </w:rPr>
        <w:t xml:space="preserve"> </w:t>
      </w:r>
      <w:r w:rsidR="002A51F6" w:rsidRPr="00F16251">
        <w:rPr>
          <w:rFonts w:cstheme="minorHAnsi"/>
        </w:rPr>
        <w:t>gospodarstw</w:t>
      </w:r>
      <w:r w:rsidR="003B50ED" w:rsidRPr="00F16251">
        <w:rPr>
          <w:rFonts w:cstheme="minorHAnsi"/>
        </w:rPr>
        <w:t xml:space="preserve"> </w:t>
      </w:r>
      <w:r w:rsidR="002A51F6" w:rsidRPr="00F16251">
        <w:rPr>
          <w:rFonts w:cstheme="minorHAnsi"/>
        </w:rPr>
        <w:t>lub</w:t>
      </w:r>
      <w:r w:rsidR="003B50ED" w:rsidRPr="00F16251">
        <w:rPr>
          <w:rFonts w:cstheme="minorHAnsi"/>
        </w:rPr>
        <w:t xml:space="preserve"> </w:t>
      </w:r>
      <w:r w:rsidR="002A51F6" w:rsidRPr="00F16251">
        <w:rPr>
          <w:rFonts w:cstheme="minorHAnsi"/>
        </w:rPr>
        <w:t>osób</w:t>
      </w:r>
      <w:r w:rsidR="003B50ED" w:rsidRPr="00F16251">
        <w:rPr>
          <w:rFonts w:cstheme="minorHAnsi"/>
        </w:rPr>
        <w:t xml:space="preserve"> </w:t>
      </w:r>
      <w:r w:rsidR="002A51F6" w:rsidRPr="00F16251">
        <w:rPr>
          <w:rFonts w:cstheme="minorHAnsi"/>
        </w:rPr>
        <w:t>poszukujących</w:t>
      </w:r>
      <w:r w:rsidR="003B50ED" w:rsidRPr="00F16251">
        <w:rPr>
          <w:rFonts w:cstheme="minorHAnsi"/>
        </w:rPr>
        <w:t xml:space="preserve"> </w:t>
      </w:r>
      <w:r w:rsidR="002A51F6" w:rsidRPr="00F16251">
        <w:rPr>
          <w:rFonts w:cstheme="minorHAnsi"/>
        </w:rPr>
        <w:t>zatrudnienia</w:t>
      </w:r>
      <w:r w:rsidR="003B50ED" w:rsidRPr="00F16251">
        <w:rPr>
          <w:rFonts w:cstheme="minorHAnsi"/>
        </w:rPr>
        <w:t xml:space="preserve"> </w:t>
      </w:r>
      <w:r w:rsidR="002A51F6" w:rsidRPr="00F16251">
        <w:rPr>
          <w:rFonts w:cstheme="minorHAnsi"/>
        </w:rPr>
        <w:t>np.</w:t>
      </w:r>
      <w:r w:rsidR="003B50ED" w:rsidRPr="00F16251">
        <w:rPr>
          <w:rFonts w:cstheme="minorHAnsi"/>
        </w:rPr>
        <w:t xml:space="preserve"> </w:t>
      </w:r>
      <w:r w:rsidR="002A51F6" w:rsidRPr="00F16251">
        <w:rPr>
          <w:rFonts w:cstheme="minorHAnsi"/>
        </w:rPr>
        <w:t>mieszkańców</w:t>
      </w:r>
      <w:r w:rsidR="003B50ED" w:rsidRPr="00F16251">
        <w:rPr>
          <w:rFonts w:cstheme="minorHAnsi"/>
        </w:rPr>
        <w:t xml:space="preserve"> </w:t>
      </w:r>
      <w:r w:rsidR="002A51F6" w:rsidRPr="00F16251">
        <w:rPr>
          <w:rFonts w:cstheme="minorHAnsi"/>
        </w:rPr>
        <w:t>osiedli</w:t>
      </w:r>
      <w:r w:rsidR="003B50ED" w:rsidRPr="00F16251">
        <w:rPr>
          <w:rFonts w:cstheme="minorHAnsi"/>
        </w:rPr>
        <w:t xml:space="preserve"> </w:t>
      </w:r>
      <w:r w:rsidR="002A51F6" w:rsidRPr="00F16251">
        <w:rPr>
          <w:rFonts w:cstheme="minorHAnsi"/>
        </w:rPr>
        <w:t>po-PGR.</w:t>
      </w:r>
    </w:p>
    <w:p w14:paraId="65792D09" w14:textId="77777777" w:rsidR="0004264B" w:rsidRPr="00F16251" w:rsidRDefault="0004264B" w:rsidP="0004264B">
      <w:pPr>
        <w:spacing w:line="276" w:lineRule="auto"/>
        <w:ind w:firstLine="284"/>
        <w:jc w:val="both"/>
        <w:rPr>
          <w:rFonts w:cstheme="minorHAnsi"/>
        </w:rPr>
      </w:pPr>
      <w:r w:rsidRPr="00F16251">
        <w:rPr>
          <w:rFonts w:cstheme="minorHAnsi"/>
        </w:rPr>
        <w:lastRenderedPageBreak/>
        <w:t>Przez grupę interesu należy rozumieć grupę jednostek połączonych więzami wspólnych interesów lub korzyści publicznych, gospodarczych albo społecznych. Jednocześnie zasada ta nie stoi w sprzeczności z możliwością jednoczesnego reprezentowania grup interesu innych niż grupy interesu sektorów.</w:t>
      </w:r>
    </w:p>
    <w:p w14:paraId="74C194CC" w14:textId="5E8B24F0" w:rsidR="0004264B" w:rsidRPr="00F16251" w:rsidRDefault="0004264B" w:rsidP="0004264B">
      <w:pPr>
        <w:spacing w:line="276" w:lineRule="auto"/>
        <w:ind w:firstLine="284"/>
        <w:jc w:val="both"/>
        <w:rPr>
          <w:rFonts w:cstheme="minorHAnsi"/>
        </w:rPr>
      </w:pPr>
      <w:r w:rsidRPr="00F16251">
        <w:rPr>
          <w:rFonts w:cstheme="minorHAnsi"/>
        </w:rPr>
        <w:t xml:space="preserve">W celu prawidłowego przyporządkowania członków do grup interesu sektorów przyjęto metodę kolejnych </w:t>
      </w:r>
      <w:proofErr w:type="spellStart"/>
      <w:r w:rsidRPr="00F16251">
        <w:rPr>
          <w:rFonts w:cstheme="minorHAnsi"/>
        </w:rPr>
        <w:t>wykluczeń</w:t>
      </w:r>
      <w:proofErr w:type="spellEnd"/>
      <w:r w:rsidRPr="00F16251">
        <w:rPr>
          <w:rFonts w:cstheme="minorHAnsi"/>
        </w:rPr>
        <w:t>, tzn. jeśli wystąpiły przesłanki potwierdzające, iż Członek jest reprezentantem grupy interesu sektora publicznego</w:t>
      </w:r>
      <w:r w:rsidR="0095221B" w:rsidRPr="00F16251">
        <w:rPr>
          <w:rFonts w:cstheme="minorHAnsi"/>
        </w:rPr>
        <w:t xml:space="preserve"> - </w:t>
      </w:r>
      <w:r w:rsidRPr="00F16251">
        <w:rPr>
          <w:rFonts w:cstheme="minorHAnsi"/>
        </w:rPr>
        <w:t>nie był traktowany jako przedstawiciel innych grup</w:t>
      </w:r>
      <w:r w:rsidR="0095221B" w:rsidRPr="00F16251">
        <w:rPr>
          <w:rFonts w:cstheme="minorHAnsi"/>
        </w:rPr>
        <w:t xml:space="preserve"> interesu</w:t>
      </w:r>
      <w:r w:rsidRPr="00F16251">
        <w:rPr>
          <w:rFonts w:cstheme="minorHAnsi"/>
        </w:rPr>
        <w:t xml:space="preserve">. Jeżeli natomiast takich przesłanek nie stwierdzono, badano przesłanki na potwierdzenie reprezentacji grupy interesu sektora gospodarczego. Jeżeli nie wystąpiły przesłanki w tym zakresie – Członek był uznany za reprezentanta grupy interesu sektora społecznego. </w:t>
      </w:r>
      <w:r w:rsidRPr="00F16251">
        <w:rPr>
          <w:rFonts w:cstheme="minorHAnsi"/>
        </w:rPr>
        <w:br/>
        <w:t>W przypadku osób znajdujących się w niekorzystnej sytuacji, przynależność do grupy interesów jest ustalana poprzez weryfikację rzeczywistego statusu Członka Rady na podstawie odpowiedniego dokumentu, który jednoznacznie potwierdza przynależność do danej grupy interesu, eliminując wszelkie wątpliwości.</w:t>
      </w:r>
    </w:p>
    <w:p w14:paraId="7A4C8AE3" w14:textId="42BBE7DC" w:rsidR="0004264B" w:rsidRPr="00F16251" w:rsidRDefault="0004264B" w:rsidP="0004264B">
      <w:pPr>
        <w:spacing w:line="276" w:lineRule="auto"/>
        <w:ind w:firstLine="284"/>
        <w:jc w:val="both"/>
        <w:rPr>
          <w:rFonts w:cstheme="minorHAnsi"/>
        </w:rPr>
      </w:pPr>
      <w:r w:rsidRPr="00F16251">
        <w:rPr>
          <w:rFonts w:cstheme="minorHAnsi"/>
        </w:rPr>
        <w:t>Podstawowym narzędziem weryfikacji przynależności członków do grupy interesów jest informacja (oświadczenie), która podlega weryfikacji w biurze LGD. Deklaracja jest składana zgodnie ze stanem faktycznym oraz bez zatajania informacji objętych tym dokumentem. Wykaz Członków jest upubliczniany na stronie internetowej LGD oraz dostępny w Biurze LGD.</w:t>
      </w:r>
    </w:p>
    <w:p w14:paraId="02047601" w14:textId="6E0B0DBE" w:rsidR="00AF24A4" w:rsidRPr="00F16251" w:rsidRDefault="00AF24A4" w:rsidP="00A26C26">
      <w:pPr>
        <w:spacing w:line="276" w:lineRule="auto"/>
        <w:ind w:firstLine="284"/>
        <w:jc w:val="both"/>
        <w:rPr>
          <w:rFonts w:cstheme="minorHAnsi"/>
        </w:rPr>
      </w:pPr>
      <w:r w:rsidRPr="00F16251">
        <w:rPr>
          <w:rFonts w:cstheme="minorHAnsi"/>
        </w:rPr>
        <w:t>Reprezentatywny</w:t>
      </w:r>
      <w:r w:rsidR="003B50ED" w:rsidRPr="00F16251">
        <w:rPr>
          <w:rFonts w:cstheme="minorHAnsi"/>
        </w:rPr>
        <w:t xml:space="preserve"> </w:t>
      </w:r>
      <w:r w:rsidRPr="00F16251">
        <w:rPr>
          <w:rFonts w:cstheme="minorHAnsi"/>
        </w:rPr>
        <w:t>udział</w:t>
      </w:r>
      <w:r w:rsidR="003B50ED" w:rsidRPr="00F16251">
        <w:rPr>
          <w:rFonts w:cstheme="minorHAnsi"/>
        </w:rPr>
        <w:t xml:space="preserve"> </w:t>
      </w:r>
      <w:r w:rsidRPr="00F16251">
        <w:rPr>
          <w:rFonts w:cstheme="minorHAnsi"/>
        </w:rPr>
        <w:t>lokalnych</w:t>
      </w:r>
      <w:r w:rsidR="003B50ED" w:rsidRPr="00F16251">
        <w:rPr>
          <w:rFonts w:cstheme="minorHAnsi"/>
        </w:rPr>
        <w:t xml:space="preserve"> </w:t>
      </w:r>
      <w:r w:rsidRPr="00F16251">
        <w:rPr>
          <w:rFonts w:cstheme="minorHAnsi"/>
        </w:rPr>
        <w:t>podmiotów</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członkostwie</w:t>
      </w:r>
      <w:r w:rsidR="003B50ED" w:rsidRPr="00F16251">
        <w:rPr>
          <w:rFonts w:cstheme="minorHAnsi"/>
        </w:rPr>
        <w:t xml:space="preserve"> </w:t>
      </w:r>
      <w:r w:rsidRPr="00F16251">
        <w:rPr>
          <w:rFonts w:cstheme="minorHAnsi"/>
        </w:rPr>
        <w:t>oraz</w:t>
      </w:r>
      <w:r w:rsidR="003B50ED" w:rsidRPr="00F16251">
        <w:rPr>
          <w:rFonts w:cstheme="minorHAnsi"/>
        </w:rPr>
        <w:t xml:space="preserve"> </w:t>
      </w:r>
      <w:r w:rsidRPr="00F16251">
        <w:rPr>
          <w:rFonts w:cstheme="minorHAnsi"/>
        </w:rPr>
        <w:t>zaangażowanie</w:t>
      </w:r>
      <w:r w:rsidR="003B50ED" w:rsidRPr="00F16251">
        <w:rPr>
          <w:rFonts w:cstheme="minorHAnsi"/>
        </w:rPr>
        <w:t xml:space="preserve"> </w:t>
      </w:r>
      <w:r w:rsidRPr="00F16251">
        <w:rPr>
          <w:rFonts w:cstheme="minorHAnsi"/>
        </w:rPr>
        <w:t>wszystkich</w:t>
      </w:r>
      <w:r w:rsidR="003B50ED" w:rsidRPr="00F16251">
        <w:rPr>
          <w:rFonts w:cstheme="minorHAnsi"/>
        </w:rPr>
        <w:t xml:space="preserve"> </w:t>
      </w:r>
      <w:r w:rsidRPr="00F16251">
        <w:rPr>
          <w:rFonts w:cstheme="minorHAnsi"/>
        </w:rPr>
        <w:t>grup</w:t>
      </w:r>
      <w:r w:rsidR="003B50ED" w:rsidRPr="00F16251">
        <w:rPr>
          <w:rFonts w:cstheme="minorHAnsi"/>
        </w:rPr>
        <w:t xml:space="preserve"> </w:t>
      </w:r>
      <w:r w:rsidRPr="00F16251">
        <w:rPr>
          <w:rFonts w:cstheme="minorHAnsi"/>
        </w:rPr>
        <w:t>interesariuszy</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przygotowanie</w:t>
      </w:r>
      <w:r w:rsidR="003B50ED" w:rsidRPr="00F16251">
        <w:rPr>
          <w:rFonts w:cstheme="minorHAnsi"/>
        </w:rPr>
        <w:t xml:space="preserve"> </w:t>
      </w:r>
      <w:r w:rsidRPr="00F16251">
        <w:rPr>
          <w:rFonts w:cstheme="minorHAnsi"/>
        </w:rPr>
        <w:t>LSR</w:t>
      </w:r>
      <w:r w:rsidR="003B50ED" w:rsidRPr="00F16251">
        <w:rPr>
          <w:rFonts w:cstheme="minorHAnsi"/>
        </w:rPr>
        <w:t xml:space="preserve"> </w:t>
      </w:r>
      <w:r w:rsidRPr="00F16251">
        <w:rPr>
          <w:rFonts w:cstheme="minorHAnsi"/>
        </w:rPr>
        <w:t>umożliwiły</w:t>
      </w:r>
      <w:r w:rsidR="003B50ED" w:rsidRPr="00F16251">
        <w:rPr>
          <w:rFonts w:cstheme="minorHAnsi"/>
        </w:rPr>
        <w:t xml:space="preserve"> </w:t>
      </w:r>
      <w:r w:rsidRPr="00F16251">
        <w:rPr>
          <w:rFonts w:cstheme="minorHAnsi"/>
        </w:rPr>
        <w:t>wyznaczenie</w:t>
      </w:r>
      <w:r w:rsidR="003B50ED" w:rsidRPr="00F16251">
        <w:rPr>
          <w:rFonts w:cstheme="minorHAnsi"/>
        </w:rPr>
        <w:t xml:space="preserve"> </w:t>
      </w:r>
      <w:r w:rsidRPr="00F16251">
        <w:rPr>
          <w:rFonts w:cstheme="minorHAnsi"/>
        </w:rPr>
        <w:t>kluczowych</w:t>
      </w:r>
      <w:r w:rsidR="003B50ED" w:rsidRPr="00F16251">
        <w:rPr>
          <w:rFonts w:cstheme="minorHAnsi"/>
        </w:rPr>
        <w:t xml:space="preserve"> </w:t>
      </w:r>
      <w:r w:rsidRPr="00F16251">
        <w:rPr>
          <w:rFonts w:cstheme="minorHAnsi"/>
        </w:rPr>
        <w:t>kierunków</w:t>
      </w:r>
      <w:r w:rsidR="003B50ED" w:rsidRPr="00F16251">
        <w:rPr>
          <w:rFonts w:cstheme="minorHAnsi"/>
        </w:rPr>
        <w:t xml:space="preserve"> </w:t>
      </w:r>
      <w:r w:rsidRPr="00F16251">
        <w:rPr>
          <w:rFonts w:cstheme="minorHAnsi"/>
        </w:rPr>
        <w:t>wydatkowania</w:t>
      </w:r>
      <w:r w:rsidR="003B50ED" w:rsidRPr="00F16251">
        <w:rPr>
          <w:rFonts w:cstheme="minorHAnsi"/>
        </w:rPr>
        <w:t xml:space="preserve"> </w:t>
      </w:r>
      <w:r w:rsidRPr="00F16251">
        <w:rPr>
          <w:rFonts w:cstheme="minorHAnsi"/>
        </w:rPr>
        <w:t>środków,</w:t>
      </w:r>
      <w:r w:rsidR="003B50ED" w:rsidRPr="00F16251">
        <w:rPr>
          <w:rFonts w:cstheme="minorHAnsi"/>
        </w:rPr>
        <w:t xml:space="preserve"> </w:t>
      </w:r>
      <w:r w:rsidRPr="00F16251">
        <w:rPr>
          <w:rFonts w:cstheme="minorHAnsi"/>
        </w:rPr>
        <w:t>które</w:t>
      </w:r>
      <w:r w:rsidR="003B50ED" w:rsidRPr="00F16251">
        <w:rPr>
          <w:rFonts w:cstheme="minorHAnsi"/>
        </w:rPr>
        <w:t xml:space="preserve"> </w:t>
      </w:r>
      <w:r w:rsidRPr="00F16251">
        <w:rPr>
          <w:rFonts w:cstheme="minorHAnsi"/>
        </w:rPr>
        <w:t>są</w:t>
      </w:r>
      <w:r w:rsidR="003B50ED" w:rsidRPr="00F16251">
        <w:rPr>
          <w:rFonts w:cstheme="minorHAnsi"/>
        </w:rPr>
        <w:t xml:space="preserve"> </w:t>
      </w:r>
      <w:r w:rsidRPr="00F16251">
        <w:rPr>
          <w:rFonts w:cstheme="minorHAnsi"/>
        </w:rPr>
        <w:t>odzwierciedleniem</w:t>
      </w:r>
      <w:r w:rsidR="003B50ED" w:rsidRPr="00F16251">
        <w:rPr>
          <w:rFonts w:cstheme="minorHAnsi"/>
        </w:rPr>
        <w:t xml:space="preserve"> </w:t>
      </w:r>
      <w:r w:rsidRPr="00F16251">
        <w:rPr>
          <w:rFonts w:cstheme="minorHAnsi"/>
        </w:rPr>
        <w:t>rzeczywistych</w:t>
      </w:r>
      <w:r w:rsidR="003B50ED" w:rsidRPr="00F16251">
        <w:rPr>
          <w:rFonts w:cstheme="minorHAnsi"/>
        </w:rPr>
        <w:t xml:space="preserve"> </w:t>
      </w:r>
      <w:r w:rsidRPr="00F16251">
        <w:rPr>
          <w:rFonts w:cstheme="minorHAnsi"/>
        </w:rPr>
        <w:t>potrzeb</w:t>
      </w:r>
      <w:r w:rsidR="003B50ED" w:rsidRPr="00F16251">
        <w:rPr>
          <w:rFonts w:cstheme="minorHAnsi"/>
        </w:rPr>
        <w:t xml:space="preserve"> </w:t>
      </w:r>
      <w:r w:rsidRPr="00F16251">
        <w:rPr>
          <w:rFonts w:cstheme="minorHAnsi"/>
        </w:rPr>
        <w:t>mieszkańców</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odpowiedzią</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zidentyfikowane</w:t>
      </w:r>
      <w:r w:rsidR="003B50ED" w:rsidRPr="00F16251">
        <w:rPr>
          <w:rFonts w:cstheme="minorHAnsi"/>
        </w:rPr>
        <w:t xml:space="preserve"> </w:t>
      </w:r>
      <w:r w:rsidRPr="00F16251">
        <w:rPr>
          <w:rFonts w:cstheme="minorHAnsi"/>
        </w:rPr>
        <w:t>problemy.</w:t>
      </w:r>
      <w:r w:rsidR="003B50ED" w:rsidRPr="00F16251">
        <w:rPr>
          <w:rFonts w:cstheme="minorHAnsi"/>
        </w:rPr>
        <w:t xml:space="preserve"> </w:t>
      </w:r>
      <w:r w:rsidRPr="00F16251">
        <w:rPr>
          <w:rFonts w:cstheme="minorHAnsi"/>
        </w:rPr>
        <w:t>Partnerstwo</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partycypacja</w:t>
      </w:r>
      <w:r w:rsidR="003B50ED" w:rsidRPr="00F16251">
        <w:rPr>
          <w:rFonts w:cstheme="minorHAnsi"/>
        </w:rPr>
        <w:t xml:space="preserve"> </w:t>
      </w:r>
      <w:r w:rsidRPr="00F16251">
        <w:rPr>
          <w:rFonts w:cstheme="minorHAnsi"/>
        </w:rPr>
        <w:t>zapewniły</w:t>
      </w:r>
      <w:r w:rsidR="003B50ED" w:rsidRPr="00F16251">
        <w:rPr>
          <w:rFonts w:cstheme="minorHAnsi"/>
        </w:rPr>
        <w:t xml:space="preserve"> </w:t>
      </w:r>
      <w:r w:rsidRPr="00F16251">
        <w:rPr>
          <w:rFonts w:cstheme="minorHAnsi"/>
        </w:rPr>
        <w:t>wybór</w:t>
      </w:r>
      <w:r w:rsidR="003B50ED" w:rsidRPr="00F16251">
        <w:rPr>
          <w:rFonts w:cstheme="minorHAnsi"/>
        </w:rPr>
        <w:t xml:space="preserve"> </w:t>
      </w:r>
      <w:r w:rsidRPr="00F16251">
        <w:rPr>
          <w:rFonts w:cstheme="minorHAnsi"/>
        </w:rPr>
        <w:t>najistotniejszych.</w:t>
      </w:r>
    </w:p>
    <w:p w14:paraId="25BC67B2" w14:textId="0948107F" w:rsidR="00F50A79" w:rsidRPr="00F16251" w:rsidRDefault="00F50A79" w:rsidP="00A26C26">
      <w:pPr>
        <w:spacing w:line="276" w:lineRule="auto"/>
        <w:ind w:firstLine="284"/>
        <w:jc w:val="both"/>
        <w:rPr>
          <w:rFonts w:cstheme="minorHAnsi"/>
        </w:rPr>
      </w:pPr>
      <w:r w:rsidRPr="00F16251">
        <w:rPr>
          <w:rFonts w:cstheme="minorHAnsi"/>
        </w:rPr>
        <w:t>Struktura</w:t>
      </w:r>
      <w:r w:rsidR="003B50ED" w:rsidRPr="00F16251">
        <w:rPr>
          <w:rFonts w:cstheme="minorHAnsi"/>
        </w:rPr>
        <w:t xml:space="preserve"> </w:t>
      </w:r>
      <w:r w:rsidR="00885052" w:rsidRPr="00F16251">
        <w:rPr>
          <w:rFonts w:cstheme="minorHAnsi"/>
        </w:rPr>
        <w:t xml:space="preserve">Stowarzyszenie „Solidarni w Partnerstwie” </w:t>
      </w:r>
      <w:r w:rsidRPr="00F16251">
        <w:rPr>
          <w:rFonts w:cstheme="minorHAnsi"/>
        </w:rPr>
        <w:t>jest</w:t>
      </w:r>
      <w:r w:rsidR="003B50ED" w:rsidRPr="00F16251">
        <w:rPr>
          <w:rFonts w:cstheme="minorHAnsi"/>
        </w:rPr>
        <w:t xml:space="preserve"> </w:t>
      </w:r>
      <w:r w:rsidRPr="00F16251">
        <w:rPr>
          <w:rFonts w:cstheme="minorHAnsi"/>
        </w:rPr>
        <w:t>tak</w:t>
      </w:r>
      <w:r w:rsidR="003B50ED" w:rsidRPr="00F16251">
        <w:rPr>
          <w:rFonts w:cstheme="minorHAnsi"/>
        </w:rPr>
        <w:t xml:space="preserve"> </w:t>
      </w:r>
      <w:r w:rsidRPr="00F16251">
        <w:rPr>
          <w:rFonts w:cstheme="minorHAnsi"/>
        </w:rPr>
        <w:t>skonstruowana</w:t>
      </w:r>
      <w:r w:rsidR="00326532" w:rsidRPr="00F16251">
        <w:rPr>
          <w:rFonts w:cstheme="minorHAnsi"/>
        </w:rPr>
        <w:t>,</w:t>
      </w:r>
      <w:r w:rsidR="003B50ED" w:rsidRPr="00F16251">
        <w:rPr>
          <w:rFonts w:cstheme="minorHAnsi"/>
        </w:rPr>
        <w:t xml:space="preserve"> </w:t>
      </w:r>
      <w:r w:rsidRPr="00F16251">
        <w:rPr>
          <w:rFonts w:cstheme="minorHAnsi"/>
        </w:rPr>
        <w:t>aby</w:t>
      </w:r>
      <w:r w:rsidR="003B50ED" w:rsidRPr="00F16251">
        <w:rPr>
          <w:rFonts w:cstheme="minorHAnsi"/>
        </w:rPr>
        <w:t xml:space="preserve"> </w:t>
      </w:r>
      <w:r w:rsidRPr="00F16251">
        <w:rPr>
          <w:rFonts w:cstheme="minorHAnsi"/>
        </w:rPr>
        <w:t>zapewnić</w:t>
      </w:r>
      <w:r w:rsidR="003B50ED" w:rsidRPr="00F16251">
        <w:rPr>
          <w:rFonts w:cstheme="minorHAnsi"/>
        </w:rPr>
        <w:t xml:space="preserve"> </w:t>
      </w:r>
      <w:r w:rsidRPr="00F16251">
        <w:rPr>
          <w:rFonts w:cstheme="minorHAnsi"/>
        </w:rPr>
        <w:t>jak</w:t>
      </w:r>
      <w:r w:rsidR="003B50ED" w:rsidRPr="00F16251">
        <w:rPr>
          <w:rFonts w:cstheme="minorHAnsi"/>
        </w:rPr>
        <w:t xml:space="preserve"> </w:t>
      </w:r>
      <w:r w:rsidRPr="00F16251">
        <w:rPr>
          <w:rFonts w:cstheme="minorHAnsi"/>
        </w:rPr>
        <w:t>najczęstsze</w:t>
      </w:r>
      <w:r w:rsidR="003B50ED" w:rsidRPr="00F16251">
        <w:rPr>
          <w:rFonts w:cstheme="minorHAnsi"/>
        </w:rPr>
        <w:t xml:space="preserve"> </w:t>
      </w:r>
      <w:r w:rsidRPr="00F16251">
        <w:rPr>
          <w:rFonts w:cstheme="minorHAnsi"/>
        </w:rPr>
        <w:t>korzystanie</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możliwości</w:t>
      </w:r>
      <w:r w:rsidR="003B50ED" w:rsidRPr="00F16251">
        <w:rPr>
          <w:rFonts w:cstheme="minorHAnsi"/>
        </w:rPr>
        <w:t xml:space="preserve"> </w:t>
      </w:r>
      <w:r w:rsidRPr="00F16251">
        <w:rPr>
          <w:rFonts w:cstheme="minorHAnsi"/>
        </w:rPr>
        <w:t>kolegialnego</w:t>
      </w:r>
      <w:r w:rsidR="003B50ED" w:rsidRPr="00F16251">
        <w:rPr>
          <w:rFonts w:cstheme="minorHAnsi"/>
        </w:rPr>
        <w:t xml:space="preserve"> </w:t>
      </w:r>
      <w:r w:rsidRPr="00F16251">
        <w:rPr>
          <w:rFonts w:cstheme="minorHAnsi"/>
        </w:rPr>
        <w:t>podejmowania</w:t>
      </w:r>
      <w:r w:rsidR="003B50ED" w:rsidRPr="00F16251">
        <w:rPr>
          <w:rFonts w:cstheme="minorHAnsi"/>
        </w:rPr>
        <w:t xml:space="preserve"> </w:t>
      </w:r>
      <w:r w:rsidRPr="00F16251">
        <w:rPr>
          <w:rFonts w:cstheme="minorHAnsi"/>
        </w:rPr>
        <w:t>decyzji,</w:t>
      </w:r>
      <w:r w:rsidR="003B50ED" w:rsidRPr="00F16251">
        <w:rPr>
          <w:rFonts w:cstheme="minorHAnsi"/>
        </w:rPr>
        <w:t xml:space="preserve"> </w:t>
      </w:r>
      <w:r w:rsidRPr="00F16251">
        <w:rPr>
          <w:rFonts w:cstheme="minorHAnsi"/>
        </w:rPr>
        <w:t>stosować</w:t>
      </w:r>
      <w:r w:rsidR="003B50ED" w:rsidRPr="00F16251">
        <w:rPr>
          <w:rFonts w:cstheme="minorHAnsi"/>
        </w:rPr>
        <w:t xml:space="preserve"> </w:t>
      </w:r>
      <w:r w:rsidRPr="00F16251">
        <w:rPr>
          <w:rFonts w:cstheme="minorHAnsi"/>
        </w:rPr>
        <w:t>przyjazne</w:t>
      </w:r>
      <w:r w:rsidR="003B50ED" w:rsidRPr="00F16251">
        <w:rPr>
          <w:rFonts w:cstheme="minorHAnsi"/>
        </w:rPr>
        <w:t xml:space="preserve"> </w:t>
      </w:r>
      <w:r w:rsidRPr="00F16251">
        <w:rPr>
          <w:rFonts w:cstheme="minorHAnsi"/>
        </w:rPr>
        <w:t>dla</w:t>
      </w:r>
      <w:r w:rsidR="003B50ED" w:rsidRPr="00F16251">
        <w:rPr>
          <w:rFonts w:cstheme="minorHAnsi"/>
        </w:rPr>
        <w:t xml:space="preserve"> </w:t>
      </w:r>
      <w:r w:rsidRPr="00F16251">
        <w:rPr>
          <w:rFonts w:cstheme="minorHAnsi"/>
        </w:rPr>
        <w:t>odbiorcy</w:t>
      </w:r>
      <w:r w:rsidR="003B50ED" w:rsidRPr="00F16251">
        <w:rPr>
          <w:rFonts w:cstheme="minorHAnsi"/>
        </w:rPr>
        <w:t xml:space="preserve"> </w:t>
      </w:r>
      <w:r w:rsidRPr="00F16251">
        <w:rPr>
          <w:rFonts w:cstheme="minorHAnsi"/>
        </w:rPr>
        <w:t>formy</w:t>
      </w:r>
      <w:r w:rsidR="003B50ED" w:rsidRPr="00F16251">
        <w:rPr>
          <w:rFonts w:cstheme="minorHAnsi"/>
        </w:rPr>
        <w:t xml:space="preserve"> </w:t>
      </w:r>
      <w:r w:rsidRPr="00F16251">
        <w:rPr>
          <w:rFonts w:cstheme="minorHAnsi"/>
        </w:rPr>
        <w:t>komunikacji</w:t>
      </w:r>
      <w:r w:rsidR="003B50ED" w:rsidRPr="00F16251">
        <w:rPr>
          <w:rFonts w:cstheme="minorHAnsi"/>
        </w:rPr>
        <w:t xml:space="preserve"> </w:t>
      </w:r>
      <w:r w:rsidRPr="00F16251">
        <w:rPr>
          <w:rFonts w:cstheme="minorHAnsi"/>
        </w:rPr>
        <w:t>oraz</w:t>
      </w:r>
      <w:r w:rsidR="003B50ED" w:rsidRPr="00F16251">
        <w:rPr>
          <w:rFonts w:cstheme="minorHAnsi"/>
        </w:rPr>
        <w:t xml:space="preserve"> </w:t>
      </w:r>
      <w:r w:rsidRPr="00F16251">
        <w:rPr>
          <w:rFonts w:cstheme="minorHAnsi"/>
        </w:rPr>
        <w:t>stworzyć</w:t>
      </w:r>
      <w:r w:rsidR="003B50ED" w:rsidRPr="00F16251">
        <w:rPr>
          <w:rFonts w:cstheme="minorHAnsi"/>
        </w:rPr>
        <w:t xml:space="preserve"> </w:t>
      </w:r>
      <w:r w:rsidRPr="00F16251">
        <w:rPr>
          <w:rFonts w:cstheme="minorHAnsi"/>
        </w:rPr>
        <w:t>system</w:t>
      </w:r>
      <w:r w:rsidR="003B50ED" w:rsidRPr="00F16251">
        <w:rPr>
          <w:rFonts w:cstheme="minorHAnsi"/>
        </w:rPr>
        <w:t xml:space="preserve"> </w:t>
      </w:r>
      <w:r w:rsidRPr="00F16251">
        <w:rPr>
          <w:rFonts w:cstheme="minorHAnsi"/>
        </w:rPr>
        <w:t>zachęt</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zgłaszania</w:t>
      </w:r>
      <w:r w:rsidR="003B50ED" w:rsidRPr="00F16251">
        <w:rPr>
          <w:rFonts w:cstheme="minorHAnsi"/>
        </w:rPr>
        <w:t xml:space="preserve"> </w:t>
      </w:r>
      <w:r w:rsidRPr="00F16251">
        <w:rPr>
          <w:rFonts w:cstheme="minorHAnsi"/>
        </w:rPr>
        <w:t>nowych</w:t>
      </w:r>
      <w:r w:rsidR="003B50ED" w:rsidRPr="00F16251">
        <w:rPr>
          <w:rFonts w:cstheme="minorHAnsi"/>
        </w:rPr>
        <w:t xml:space="preserve"> </w:t>
      </w:r>
      <w:r w:rsidRPr="00F16251">
        <w:rPr>
          <w:rFonts w:cstheme="minorHAnsi"/>
        </w:rPr>
        <w:t>pomysłów</w:t>
      </w:r>
      <w:r w:rsidR="003B50ED" w:rsidRPr="00F16251">
        <w:rPr>
          <w:rFonts w:cstheme="minorHAnsi"/>
        </w:rPr>
        <w:t xml:space="preserve"> </w:t>
      </w:r>
      <w:r w:rsidRPr="00F16251">
        <w:rPr>
          <w:rFonts w:cstheme="minorHAnsi"/>
        </w:rPr>
        <w:t>oraz</w:t>
      </w:r>
      <w:r w:rsidR="003B50ED" w:rsidRPr="00F16251">
        <w:rPr>
          <w:rFonts w:cstheme="minorHAnsi"/>
        </w:rPr>
        <w:t xml:space="preserve"> </w:t>
      </w:r>
      <w:r w:rsidRPr="00F16251">
        <w:rPr>
          <w:rFonts w:cstheme="minorHAnsi"/>
        </w:rPr>
        <w:t>inicjatyw</w:t>
      </w:r>
      <w:r w:rsidR="003B50ED" w:rsidRPr="00F16251">
        <w:rPr>
          <w:rFonts w:cstheme="minorHAnsi"/>
        </w:rPr>
        <w:t xml:space="preserve"> </w:t>
      </w:r>
      <w:r w:rsidRPr="00F16251">
        <w:rPr>
          <w:rFonts w:cstheme="minorHAnsi"/>
        </w:rPr>
        <w:t>dotyczących</w:t>
      </w:r>
      <w:r w:rsidR="003B50ED" w:rsidRPr="00F16251">
        <w:rPr>
          <w:rFonts w:cstheme="minorHAnsi"/>
        </w:rPr>
        <w:t xml:space="preserve"> </w:t>
      </w:r>
      <w:r w:rsidRPr="00F16251">
        <w:rPr>
          <w:rFonts w:cstheme="minorHAnsi"/>
        </w:rPr>
        <w:t>funkcjonowania</w:t>
      </w:r>
      <w:r w:rsidR="003B50ED" w:rsidRPr="00F16251">
        <w:rPr>
          <w:rFonts w:cstheme="minorHAnsi"/>
        </w:rPr>
        <w:t xml:space="preserve"> </w:t>
      </w:r>
      <w:r w:rsidR="00D47463" w:rsidRPr="00F16251">
        <w:rPr>
          <w:rFonts w:cstheme="minorHAnsi"/>
        </w:rPr>
        <w:t xml:space="preserve">Stowarzyszenia „Solidarni w Partnerstwie” </w:t>
      </w:r>
      <w:r w:rsidRPr="00F16251">
        <w:rPr>
          <w:rFonts w:cstheme="minorHAnsi"/>
        </w:rPr>
        <w:t>i</w:t>
      </w:r>
      <w:r w:rsidR="003B50ED" w:rsidRPr="00F16251">
        <w:rPr>
          <w:rFonts w:cstheme="minorHAnsi"/>
        </w:rPr>
        <w:t xml:space="preserve"> </w:t>
      </w:r>
      <w:r w:rsidRPr="00F16251">
        <w:rPr>
          <w:rFonts w:cstheme="minorHAnsi"/>
        </w:rPr>
        <w:t>wdrażania</w:t>
      </w:r>
      <w:r w:rsidR="003B50ED" w:rsidRPr="00F16251">
        <w:rPr>
          <w:rFonts w:cstheme="minorHAnsi"/>
        </w:rPr>
        <w:t xml:space="preserve"> </w:t>
      </w:r>
      <w:r w:rsidR="00885052" w:rsidRPr="00F16251">
        <w:rPr>
          <w:rFonts w:cstheme="minorHAnsi"/>
        </w:rPr>
        <w:t>LSR</w:t>
      </w:r>
      <w:r w:rsidRPr="00F16251">
        <w:rPr>
          <w:rFonts w:cstheme="minorHAnsi"/>
        </w:rPr>
        <w:t>.</w:t>
      </w:r>
      <w:r w:rsidR="003B50ED" w:rsidRPr="00F16251">
        <w:rPr>
          <w:rFonts w:cstheme="minorHAnsi"/>
        </w:rPr>
        <w:t xml:space="preserve"> </w:t>
      </w:r>
    </w:p>
    <w:p w14:paraId="688E4290" w14:textId="439A4CCE" w:rsidR="00F50A79" w:rsidRPr="00F16251" w:rsidRDefault="00F50A79" w:rsidP="00A26C26">
      <w:pPr>
        <w:spacing w:line="276" w:lineRule="auto"/>
        <w:ind w:firstLine="284"/>
        <w:jc w:val="both"/>
        <w:rPr>
          <w:rFonts w:cstheme="minorHAnsi"/>
        </w:rPr>
      </w:pPr>
      <w:r w:rsidRPr="00F16251">
        <w:rPr>
          <w:rFonts w:cstheme="minorHAnsi"/>
        </w:rPr>
        <w:t>Należy</w:t>
      </w:r>
      <w:r w:rsidR="003B50ED" w:rsidRPr="00F16251">
        <w:rPr>
          <w:rFonts w:cstheme="minorHAnsi"/>
        </w:rPr>
        <w:t xml:space="preserve"> </w:t>
      </w:r>
      <w:r w:rsidRPr="00F16251">
        <w:rPr>
          <w:rFonts w:cstheme="minorHAnsi"/>
        </w:rPr>
        <w:t>podkreślić,</w:t>
      </w:r>
      <w:r w:rsidR="003B50ED" w:rsidRPr="00F16251">
        <w:rPr>
          <w:rFonts w:cstheme="minorHAnsi"/>
        </w:rPr>
        <w:t xml:space="preserve"> </w:t>
      </w:r>
      <w:r w:rsidRPr="00F16251">
        <w:rPr>
          <w:rFonts w:cstheme="minorHAnsi"/>
        </w:rPr>
        <w:t>że</w:t>
      </w:r>
      <w:r w:rsidR="003B50ED" w:rsidRPr="00F16251">
        <w:rPr>
          <w:rFonts w:cstheme="minorHAnsi"/>
        </w:rPr>
        <w:t xml:space="preserve"> </w:t>
      </w:r>
      <w:r w:rsidRPr="00F16251">
        <w:rPr>
          <w:rFonts w:cstheme="minorHAnsi"/>
        </w:rPr>
        <w:t>zasady</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zakresie</w:t>
      </w:r>
      <w:r w:rsidR="003B50ED" w:rsidRPr="00F16251">
        <w:rPr>
          <w:rFonts w:cstheme="minorHAnsi"/>
        </w:rPr>
        <w:t xml:space="preserve"> </w:t>
      </w:r>
      <w:r w:rsidRPr="00F16251">
        <w:rPr>
          <w:rFonts w:cstheme="minorHAnsi"/>
        </w:rPr>
        <w:t>zgłaszania</w:t>
      </w:r>
      <w:r w:rsidR="003B50ED" w:rsidRPr="00F16251">
        <w:rPr>
          <w:rFonts w:cstheme="minorHAnsi"/>
        </w:rPr>
        <w:t xml:space="preserve"> </w:t>
      </w:r>
      <w:r w:rsidRPr="00F16251">
        <w:rPr>
          <w:rFonts w:cstheme="minorHAnsi"/>
        </w:rPr>
        <w:t>pomysłów/zachęt</w:t>
      </w:r>
      <w:r w:rsidR="003B50ED" w:rsidRPr="00F16251">
        <w:rPr>
          <w:rFonts w:cstheme="minorHAnsi"/>
        </w:rPr>
        <w:t xml:space="preserve"> </w:t>
      </w:r>
      <w:r w:rsidRPr="00F16251">
        <w:rPr>
          <w:rFonts w:cstheme="minorHAnsi"/>
        </w:rPr>
        <w:t>są</w:t>
      </w:r>
      <w:r w:rsidR="003B50ED" w:rsidRPr="00F16251">
        <w:rPr>
          <w:rFonts w:cstheme="minorHAnsi"/>
        </w:rPr>
        <w:t xml:space="preserve"> </w:t>
      </w:r>
      <w:r w:rsidRPr="00F16251">
        <w:rPr>
          <w:rFonts w:cstheme="minorHAnsi"/>
        </w:rPr>
        <w:t>przejrzyste,</w:t>
      </w:r>
      <w:r w:rsidR="003B50ED" w:rsidRPr="00F16251">
        <w:rPr>
          <w:rFonts w:cstheme="minorHAnsi"/>
        </w:rPr>
        <w:t xml:space="preserve"> </w:t>
      </w:r>
      <w:r w:rsidRPr="00F16251">
        <w:rPr>
          <w:rFonts w:cstheme="minorHAnsi"/>
        </w:rPr>
        <w:t>sformułowane</w:t>
      </w:r>
      <w:r w:rsidR="003B50ED" w:rsidRPr="00F16251">
        <w:rPr>
          <w:rFonts w:cstheme="minorHAnsi"/>
        </w:rPr>
        <w:t xml:space="preserve"> </w:t>
      </w:r>
      <w:r w:rsidRPr="00F16251">
        <w:rPr>
          <w:rFonts w:cstheme="minorHAnsi"/>
        </w:rPr>
        <w:t>zrozumiałym</w:t>
      </w:r>
      <w:r w:rsidR="003B50ED" w:rsidRPr="00F16251">
        <w:rPr>
          <w:rFonts w:cstheme="minorHAnsi"/>
        </w:rPr>
        <w:t xml:space="preserve"> </w:t>
      </w:r>
      <w:r w:rsidRPr="00F16251">
        <w:rPr>
          <w:rFonts w:cstheme="minorHAnsi"/>
        </w:rPr>
        <w:t>językiem</w:t>
      </w:r>
      <w:r w:rsidR="003B50ED" w:rsidRPr="00F16251">
        <w:rPr>
          <w:rFonts w:cstheme="minorHAnsi"/>
        </w:rPr>
        <w:t xml:space="preserve"> </w:t>
      </w:r>
      <w:r w:rsidRPr="00F16251">
        <w:rPr>
          <w:rFonts w:cstheme="minorHAnsi"/>
        </w:rPr>
        <w:t>oraz</w:t>
      </w:r>
      <w:r w:rsidR="003B50ED" w:rsidRPr="00F16251">
        <w:rPr>
          <w:rFonts w:cstheme="minorHAnsi"/>
        </w:rPr>
        <w:t xml:space="preserve"> </w:t>
      </w:r>
      <w:r w:rsidRPr="00F16251">
        <w:rPr>
          <w:rFonts w:cstheme="minorHAnsi"/>
        </w:rPr>
        <w:t>publicznie</w:t>
      </w:r>
      <w:r w:rsidR="003B50ED" w:rsidRPr="00F16251">
        <w:rPr>
          <w:rFonts w:cstheme="minorHAnsi"/>
        </w:rPr>
        <w:t xml:space="preserve"> </w:t>
      </w:r>
      <w:r w:rsidRPr="00F16251">
        <w:rPr>
          <w:rFonts w:cstheme="minorHAnsi"/>
        </w:rPr>
        <w:t>dostępne.</w:t>
      </w:r>
      <w:r w:rsidR="003B50ED" w:rsidRPr="00F16251">
        <w:rPr>
          <w:rFonts w:cstheme="minorHAnsi"/>
        </w:rPr>
        <w:t xml:space="preserve"> </w:t>
      </w:r>
      <w:r w:rsidRPr="00F16251">
        <w:rPr>
          <w:rFonts w:cstheme="minorHAnsi"/>
        </w:rPr>
        <w:t>Aby</w:t>
      </w:r>
      <w:r w:rsidR="003B50ED" w:rsidRPr="00F16251">
        <w:rPr>
          <w:rFonts w:cstheme="minorHAnsi"/>
        </w:rPr>
        <w:t xml:space="preserve"> </w:t>
      </w:r>
      <w:r w:rsidRPr="00F16251">
        <w:rPr>
          <w:rFonts w:cstheme="minorHAnsi"/>
        </w:rPr>
        <w:t>żaden</w:t>
      </w:r>
      <w:r w:rsidR="003B50ED" w:rsidRPr="00F16251">
        <w:rPr>
          <w:rFonts w:cstheme="minorHAnsi"/>
        </w:rPr>
        <w:t xml:space="preserve"> </w:t>
      </w:r>
      <w:r w:rsidRPr="00F16251">
        <w:rPr>
          <w:rFonts w:cstheme="minorHAnsi"/>
        </w:rPr>
        <w:t>interesariusz</w:t>
      </w:r>
      <w:r w:rsidR="003B50ED" w:rsidRPr="00F16251">
        <w:rPr>
          <w:rFonts w:cstheme="minorHAnsi"/>
        </w:rPr>
        <w:t xml:space="preserve"> </w:t>
      </w:r>
      <w:r w:rsidRPr="00F16251">
        <w:rPr>
          <w:rFonts w:cstheme="minorHAnsi"/>
        </w:rPr>
        <w:t>nie</w:t>
      </w:r>
      <w:r w:rsidR="003B50ED" w:rsidRPr="00F16251">
        <w:rPr>
          <w:rFonts w:cstheme="minorHAnsi"/>
        </w:rPr>
        <w:t xml:space="preserve"> </w:t>
      </w:r>
      <w:r w:rsidRPr="00F16251">
        <w:rPr>
          <w:rFonts w:cstheme="minorHAnsi"/>
        </w:rPr>
        <w:t>poczuł</w:t>
      </w:r>
      <w:r w:rsidR="003B50ED" w:rsidRPr="00F16251">
        <w:rPr>
          <w:rFonts w:cstheme="minorHAnsi"/>
        </w:rPr>
        <w:t xml:space="preserve"> </w:t>
      </w:r>
      <w:r w:rsidRPr="00F16251">
        <w:rPr>
          <w:rFonts w:cstheme="minorHAnsi"/>
        </w:rPr>
        <w:t>się</w:t>
      </w:r>
      <w:r w:rsidR="003B50ED" w:rsidRPr="00F16251">
        <w:rPr>
          <w:rFonts w:cstheme="minorHAnsi"/>
        </w:rPr>
        <w:t xml:space="preserve"> </w:t>
      </w:r>
      <w:r w:rsidRPr="00F16251">
        <w:rPr>
          <w:rFonts w:cstheme="minorHAnsi"/>
        </w:rPr>
        <w:t>wykluczony,</w:t>
      </w:r>
      <w:r w:rsidR="003B50ED" w:rsidRPr="00F16251">
        <w:rPr>
          <w:rFonts w:cstheme="minorHAnsi"/>
        </w:rPr>
        <w:t xml:space="preserve"> </w:t>
      </w:r>
      <w:r w:rsidRPr="00F16251">
        <w:rPr>
          <w:rFonts w:cstheme="minorHAnsi"/>
        </w:rPr>
        <w:t>umożliwiliśmy</w:t>
      </w:r>
      <w:r w:rsidR="003B50ED" w:rsidRPr="00F16251">
        <w:rPr>
          <w:rFonts w:cstheme="minorHAnsi"/>
        </w:rPr>
        <w:t xml:space="preserve"> </w:t>
      </w:r>
      <w:r w:rsidRPr="00F16251">
        <w:rPr>
          <w:rFonts w:cstheme="minorHAnsi"/>
        </w:rPr>
        <w:t>zgłaszanie</w:t>
      </w:r>
      <w:r w:rsidR="003B50ED" w:rsidRPr="00F16251">
        <w:rPr>
          <w:rFonts w:cstheme="minorHAnsi"/>
        </w:rPr>
        <w:t xml:space="preserve"> </w:t>
      </w:r>
      <w:r w:rsidRPr="00F16251">
        <w:rPr>
          <w:rFonts w:cstheme="minorHAnsi"/>
        </w:rPr>
        <w:t>propozycji</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różnych</w:t>
      </w:r>
      <w:r w:rsidR="003B50ED" w:rsidRPr="00F16251">
        <w:rPr>
          <w:rFonts w:cstheme="minorHAnsi"/>
        </w:rPr>
        <w:t xml:space="preserve"> </w:t>
      </w:r>
      <w:r w:rsidRPr="00F16251">
        <w:rPr>
          <w:rFonts w:cstheme="minorHAnsi"/>
        </w:rPr>
        <w:t>formach</w:t>
      </w:r>
      <w:r w:rsidR="003B50ED" w:rsidRPr="00F16251">
        <w:rPr>
          <w:rFonts w:cstheme="minorHAnsi"/>
        </w:rPr>
        <w:t xml:space="preserve"> </w:t>
      </w:r>
      <w:r w:rsidRPr="00F16251">
        <w:rPr>
          <w:rFonts w:cstheme="minorHAnsi"/>
        </w:rPr>
        <w:t>tj.</w:t>
      </w:r>
      <w:r w:rsidR="003B50ED" w:rsidRPr="00F16251">
        <w:rPr>
          <w:rFonts w:cstheme="minorHAnsi"/>
        </w:rPr>
        <w:t xml:space="preserve"> </w:t>
      </w:r>
      <w:r w:rsidRPr="00F16251">
        <w:rPr>
          <w:rFonts w:cstheme="minorHAnsi"/>
        </w:rPr>
        <w:t>poprzez</w:t>
      </w:r>
      <w:r w:rsidR="003B50ED" w:rsidRPr="00F16251">
        <w:rPr>
          <w:rFonts w:cstheme="minorHAnsi"/>
        </w:rPr>
        <w:t xml:space="preserve"> </w:t>
      </w:r>
      <w:r w:rsidRPr="00F16251">
        <w:rPr>
          <w:rFonts w:cstheme="minorHAnsi"/>
        </w:rPr>
        <w:t>wypełnienie</w:t>
      </w:r>
      <w:r w:rsidR="003B50ED" w:rsidRPr="00F16251">
        <w:rPr>
          <w:rFonts w:cstheme="minorHAnsi"/>
        </w:rPr>
        <w:t xml:space="preserve"> </w:t>
      </w:r>
      <w:r w:rsidRPr="00F16251">
        <w:rPr>
          <w:rFonts w:cstheme="minorHAnsi"/>
        </w:rPr>
        <w:t>formularza</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biurze</w:t>
      </w:r>
      <w:r w:rsidR="003B50ED" w:rsidRPr="00F16251">
        <w:rPr>
          <w:rFonts w:cstheme="minorHAnsi"/>
        </w:rPr>
        <w:t xml:space="preserve"> </w:t>
      </w:r>
      <w:r w:rsidRPr="00F16251">
        <w:rPr>
          <w:rFonts w:cstheme="minorHAnsi"/>
        </w:rPr>
        <w:t>LGD,</w:t>
      </w:r>
      <w:r w:rsidR="003B50ED" w:rsidRPr="00F16251">
        <w:rPr>
          <w:rFonts w:cstheme="minorHAnsi"/>
        </w:rPr>
        <w:t xml:space="preserve"> </w:t>
      </w:r>
      <w:r w:rsidRPr="00F16251">
        <w:rPr>
          <w:rFonts w:cstheme="minorHAnsi"/>
        </w:rPr>
        <w:t>online</w:t>
      </w:r>
      <w:r w:rsidR="003B50ED" w:rsidRPr="00F16251">
        <w:rPr>
          <w:rFonts w:cstheme="minorHAnsi"/>
        </w:rPr>
        <w:t xml:space="preserve"> </w:t>
      </w:r>
      <w:r w:rsidRPr="00F16251">
        <w:rPr>
          <w:rFonts w:cstheme="minorHAnsi"/>
        </w:rPr>
        <w:t>oraz</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możliwością</w:t>
      </w:r>
      <w:r w:rsidR="003B50ED" w:rsidRPr="00F16251">
        <w:rPr>
          <w:rFonts w:cstheme="minorHAnsi"/>
        </w:rPr>
        <w:t xml:space="preserve"> </w:t>
      </w:r>
      <w:r w:rsidRPr="00F16251">
        <w:rPr>
          <w:rFonts w:cstheme="minorHAnsi"/>
        </w:rPr>
        <w:t>przesłania</w:t>
      </w:r>
      <w:r w:rsidR="003B50ED" w:rsidRPr="00F16251">
        <w:rPr>
          <w:rFonts w:cstheme="minorHAnsi"/>
        </w:rPr>
        <w:t xml:space="preserve"> </w:t>
      </w:r>
      <w:r w:rsidRPr="00F16251">
        <w:rPr>
          <w:rFonts w:cstheme="minorHAnsi"/>
        </w:rPr>
        <w:t>pocztą</w:t>
      </w:r>
      <w:r w:rsidR="003B50ED" w:rsidRPr="00F16251">
        <w:rPr>
          <w:rFonts w:cstheme="minorHAnsi"/>
        </w:rPr>
        <w:t xml:space="preserve"> </w:t>
      </w:r>
      <w:r w:rsidRPr="00F16251">
        <w:rPr>
          <w:rFonts w:cstheme="minorHAnsi"/>
        </w:rPr>
        <w:t>tradycyjną</w:t>
      </w:r>
      <w:r w:rsidR="003B50ED" w:rsidRPr="00F16251">
        <w:rPr>
          <w:rFonts w:cstheme="minorHAnsi"/>
        </w:rPr>
        <w:t xml:space="preserve"> </w:t>
      </w:r>
      <w:r w:rsidRPr="00F16251">
        <w:rPr>
          <w:rFonts w:cstheme="minorHAnsi"/>
        </w:rPr>
        <w:t>lub</w:t>
      </w:r>
      <w:r w:rsidR="003B50ED" w:rsidRPr="00F16251">
        <w:rPr>
          <w:rFonts w:cstheme="minorHAnsi"/>
        </w:rPr>
        <w:t xml:space="preserve"> </w:t>
      </w:r>
      <w:r w:rsidRPr="00F16251">
        <w:rPr>
          <w:rFonts w:cstheme="minorHAnsi"/>
        </w:rPr>
        <w:t>mailowo.</w:t>
      </w:r>
      <w:r w:rsidR="003B50ED" w:rsidRPr="00F16251">
        <w:rPr>
          <w:rFonts w:cstheme="minorHAnsi"/>
        </w:rPr>
        <w:t xml:space="preserve"> </w:t>
      </w:r>
    </w:p>
    <w:p w14:paraId="349C841A" w14:textId="37A32812" w:rsidR="00F50A79" w:rsidRPr="00F16251" w:rsidRDefault="00F50A79" w:rsidP="00A26C26">
      <w:pPr>
        <w:spacing w:line="276" w:lineRule="auto"/>
        <w:ind w:firstLine="284"/>
        <w:jc w:val="both"/>
        <w:rPr>
          <w:rFonts w:cstheme="minorHAnsi"/>
        </w:rPr>
      </w:pPr>
      <w:r w:rsidRPr="00F16251">
        <w:rPr>
          <w:rFonts w:cstheme="minorHAnsi"/>
        </w:rPr>
        <w:t>Informacje</w:t>
      </w:r>
      <w:r w:rsidR="003B50ED" w:rsidRPr="00F16251">
        <w:rPr>
          <w:rFonts w:cstheme="minorHAnsi"/>
        </w:rPr>
        <w:t xml:space="preserve"> </w:t>
      </w:r>
      <w:r w:rsidRPr="00F16251">
        <w:rPr>
          <w:rFonts w:cstheme="minorHAnsi"/>
        </w:rPr>
        <w:t>o</w:t>
      </w:r>
      <w:r w:rsidR="003B50ED" w:rsidRPr="00F16251">
        <w:rPr>
          <w:rFonts w:cstheme="minorHAnsi"/>
        </w:rPr>
        <w:t xml:space="preserve"> </w:t>
      </w:r>
      <w:r w:rsidRPr="00F16251">
        <w:rPr>
          <w:rFonts w:cstheme="minorHAnsi"/>
        </w:rPr>
        <w:t>możliwości</w:t>
      </w:r>
      <w:r w:rsidR="003B50ED" w:rsidRPr="00F16251">
        <w:rPr>
          <w:rFonts w:cstheme="minorHAnsi"/>
        </w:rPr>
        <w:t xml:space="preserve"> </w:t>
      </w:r>
      <w:r w:rsidRPr="00F16251">
        <w:rPr>
          <w:rFonts w:cstheme="minorHAnsi"/>
        </w:rPr>
        <w:t>składania</w:t>
      </w:r>
      <w:r w:rsidR="003B50ED" w:rsidRPr="00F16251">
        <w:rPr>
          <w:rFonts w:cstheme="minorHAnsi"/>
        </w:rPr>
        <w:t xml:space="preserve"> </w:t>
      </w:r>
      <w:r w:rsidRPr="00F16251">
        <w:rPr>
          <w:rFonts w:cstheme="minorHAnsi"/>
        </w:rPr>
        <w:t>inicjatyw</w:t>
      </w:r>
      <w:r w:rsidR="003B50ED" w:rsidRPr="00F16251">
        <w:rPr>
          <w:rFonts w:cstheme="minorHAnsi"/>
        </w:rPr>
        <w:t xml:space="preserve"> </w:t>
      </w:r>
      <w:r w:rsidRPr="00F16251">
        <w:rPr>
          <w:rFonts w:cstheme="minorHAnsi"/>
        </w:rPr>
        <w:t>zostały</w:t>
      </w:r>
      <w:r w:rsidR="003B50ED" w:rsidRPr="00F16251">
        <w:rPr>
          <w:rFonts w:cstheme="minorHAnsi"/>
        </w:rPr>
        <w:t xml:space="preserve"> </w:t>
      </w:r>
      <w:r w:rsidRPr="00F16251">
        <w:rPr>
          <w:rFonts w:cstheme="minorHAnsi"/>
        </w:rPr>
        <w:t>opublikowane</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naszej</w:t>
      </w:r>
      <w:r w:rsidR="003B50ED" w:rsidRPr="00F16251">
        <w:rPr>
          <w:rFonts w:cstheme="minorHAnsi"/>
        </w:rPr>
        <w:t xml:space="preserve"> </w:t>
      </w:r>
      <w:r w:rsidRPr="00F16251">
        <w:rPr>
          <w:rFonts w:cstheme="minorHAnsi"/>
        </w:rPr>
        <w:t>stronie</w:t>
      </w:r>
      <w:r w:rsidR="003B50ED" w:rsidRPr="00F16251">
        <w:rPr>
          <w:rFonts w:cstheme="minorHAnsi"/>
        </w:rPr>
        <w:t xml:space="preserve"> </w:t>
      </w:r>
      <w:r w:rsidRPr="00F16251">
        <w:rPr>
          <w:rFonts w:cstheme="minorHAnsi"/>
        </w:rPr>
        <w:t>internetowej,</w:t>
      </w:r>
      <w:r w:rsidR="003B50ED" w:rsidRPr="00F16251">
        <w:rPr>
          <w:rFonts w:cstheme="minorHAnsi"/>
        </w:rPr>
        <w:t xml:space="preserve"> </w:t>
      </w:r>
      <w:r w:rsidRPr="00F16251">
        <w:rPr>
          <w:rFonts w:cstheme="minorHAnsi"/>
        </w:rPr>
        <w:t>tablicy</w:t>
      </w:r>
      <w:r w:rsidR="003B50ED" w:rsidRPr="00F16251">
        <w:rPr>
          <w:rFonts w:cstheme="minorHAnsi"/>
        </w:rPr>
        <w:t xml:space="preserve"> </w:t>
      </w:r>
      <w:r w:rsidRPr="00F16251">
        <w:rPr>
          <w:rFonts w:cstheme="minorHAnsi"/>
        </w:rPr>
        <w:t>ogłoszeń</w:t>
      </w:r>
      <w:r w:rsidR="003B50ED" w:rsidRPr="00F16251">
        <w:rPr>
          <w:rFonts w:cstheme="minorHAnsi"/>
        </w:rPr>
        <w:t xml:space="preserve"> </w:t>
      </w:r>
      <w:r w:rsidRPr="00F16251">
        <w:rPr>
          <w:rFonts w:cstheme="minorHAnsi"/>
        </w:rPr>
        <w:t>oraz</w:t>
      </w:r>
      <w:r w:rsidR="003B50ED" w:rsidRPr="00F16251">
        <w:rPr>
          <w:rFonts w:cstheme="minorHAnsi"/>
        </w:rPr>
        <w:t xml:space="preserve"> </w:t>
      </w:r>
      <w:r w:rsidRPr="00F16251">
        <w:rPr>
          <w:rFonts w:cstheme="minorHAnsi"/>
        </w:rPr>
        <w:t>są</w:t>
      </w:r>
      <w:r w:rsidR="003B50ED" w:rsidRPr="00F16251">
        <w:rPr>
          <w:rFonts w:cstheme="minorHAnsi"/>
        </w:rPr>
        <w:t xml:space="preserve"> </w:t>
      </w:r>
      <w:r w:rsidRPr="00F16251">
        <w:rPr>
          <w:rFonts w:cstheme="minorHAnsi"/>
        </w:rPr>
        <w:t>przekazywane</w:t>
      </w:r>
      <w:r w:rsidR="003B50ED" w:rsidRPr="00F16251">
        <w:rPr>
          <w:rFonts w:cstheme="minorHAnsi"/>
        </w:rPr>
        <w:t xml:space="preserve"> </w:t>
      </w:r>
      <w:r w:rsidRPr="00F16251">
        <w:rPr>
          <w:rFonts w:cstheme="minorHAnsi"/>
        </w:rPr>
        <w:t>podczas</w:t>
      </w:r>
      <w:r w:rsidR="003B50ED" w:rsidRPr="00F16251">
        <w:rPr>
          <w:rFonts w:cstheme="minorHAnsi"/>
        </w:rPr>
        <w:t xml:space="preserve"> </w:t>
      </w:r>
      <w:r w:rsidRPr="00F16251">
        <w:rPr>
          <w:rFonts w:cstheme="minorHAnsi"/>
        </w:rPr>
        <w:t>spotkań</w:t>
      </w:r>
      <w:r w:rsidR="003B50ED" w:rsidRPr="00F16251">
        <w:rPr>
          <w:rFonts w:cstheme="minorHAnsi"/>
        </w:rPr>
        <w:t xml:space="preserve"> </w:t>
      </w:r>
      <w:r w:rsidRPr="00F16251">
        <w:rPr>
          <w:rFonts w:cstheme="minorHAnsi"/>
        </w:rPr>
        <w:t>animacyjno-integracyjnych,</w:t>
      </w:r>
      <w:r w:rsidR="003B50ED" w:rsidRPr="00F16251">
        <w:rPr>
          <w:rFonts w:cstheme="minorHAnsi"/>
        </w:rPr>
        <w:t xml:space="preserve"> </w:t>
      </w:r>
      <w:r w:rsidRPr="00F16251">
        <w:rPr>
          <w:rFonts w:cstheme="minorHAnsi"/>
        </w:rPr>
        <w:t>szkoleń</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innych</w:t>
      </w:r>
      <w:r w:rsidR="003B50ED" w:rsidRPr="00F16251">
        <w:rPr>
          <w:rFonts w:cstheme="minorHAnsi"/>
        </w:rPr>
        <w:t xml:space="preserve"> </w:t>
      </w:r>
      <w:r w:rsidRPr="00F16251">
        <w:rPr>
          <w:rFonts w:cstheme="minorHAnsi"/>
        </w:rPr>
        <w:t>wydarzeń.</w:t>
      </w:r>
      <w:r w:rsidR="003B50ED" w:rsidRPr="00F16251">
        <w:rPr>
          <w:rFonts w:cstheme="minorHAnsi"/>
        </w:rPr>
        <w:t xml:space="preserve"> </w:t>
      </w:r>
    </w:p>
    <w:p w14:paraId="7384A199" w14:textId="303D0277" w:rsidR="00F50A79" w:rsidRPr="00F16251" w:rsidRDefault="00F50A79" w:rsidP="00A26C26">
      <w:pPr>
        <w:spacing w:line="276" w:lineRule="auto"/>
        <w:ind w:firstLine="284"/>
        <w:jc w:val="both"/>
        <w:rPr>
          <w:rFonts w:cstheme="minorHAnsi"/>
        </w:rPr>
      </w:pPr>
      <w:r w:rsidRPr="00F16251">
        <w:rPr>
          <w:rFonts w:cstheme="minorHAnsi"/>
        </w:rPr>
        <w:t>Obrazowo</w:t>
      </w:r>
      <w:r w:rsidR="003B50ED" w:rsidRPr="00F16251">
        <w:rPr>
          <w:rFonts w:cstheme="minorHAnsi"/>
        </w:rPr>
        <w:t xml:space="preserve"> </w:t>
      </w:r>
      <w:r w:rsidRPr="00F16251">
        <w:rPr>
          <w:rFonts w:cstheme="minorHAnsi"/>
        </w:rPr>
        <w:t>procedurę</w:t>
      </w:r>
      <w:r w:rsidR="003B50ED" w:rsidRPr="00F16251">
        <w:rPr>
          <w:rFonts w:cstheme="minorHAnsi"/>
        </w:rPr>
        <w:t xml:space="preserve"> </w:t>
      </w:r>
      <w:r w:rsidRPr="00F16251">
        <w:rPr>
          <w:rFonts w:cstheme="minorHAnsi"/>
        </w:rPr>
        <w:t>zgłaszania</w:t>
      </w:r>
      <w:r w:rsidR="003B50ED" w:rsidRPr="00F16251">
        <w:rPr>
          <w:rFonts w:cstheme="minorHAnsi"/>
        </w:rPr>
        <w:t xml:space="preserve"> </w:t>
      </w:r>
      <w:r w:rsidRPr="00F16251">
        <w:rPr>
          <w:rFonts w:cstheme="minorHAnsi"/>
        </w:rPr>
        <w:t>pomysłów/inicjatyw</w:t>
      </w:r>
      <w:r w:rsidR="003B50ED" w:rsidRPr="00F16251">
        <w:rPr>
          <w:rFonts w:cstheme="minorHAnsi"/>
        </w:rPr>
        <w:t xml:space="preserve"> </w:t>
      </w:r>
      <w:r w:rsidRPr="00F16251">
        <w:rPr>
          <w:rFonts w:cstheme="minorHAnsi"/>
        </w:rPr>
        <w:t>można</w:t>
      </w:r>
      <w:r w:rsidR="003B50ED" w:rsidRPr="00F16251">
        <w:rPr>
          <w:rFonts w:cstheme="minorHAnsi"/>
        </w:rPr>
        <w:t xml:space="preserve"> </w:t>
      </w:r>
      <w:r w:rsidRPr="00F16251">
        <w:rPr>
          <w:rFonts w:cstheme="minorHAnsi"/>
        </w:rPr>
        <w:t>opisać</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następujący</w:t>
      </w:r>
      <w:r w:rsidR="003B50ED" w:rsidRPr="00F16251">
        <w:rPr>
          <w:rFonts w:cstheme="minorHAnsi"/>
        </w:rPr>
        <w:t xml:space="preserve"> </w:t>
      </w:r>
      <w:r w:rsidRPr="00F16251">
        <w:rPr>
          <w:rFonts w:cstheme="minorHAnsi"/>
        </w:rPr>
        <w:t>sposób:</w:t>
      </w:r>
    </w:p>
    <w:p w14:paraId="423867B6" w14:textId="46C01D3A" w:rsidR="00F50A79" w:rsidRPr="00F16251" w:rsidRDefault="00F50A79" w:rsidP="00C71E9E">
      <w:pPr>
        <w:spacing w:line="276" w:lineRule="auto"/>
        <w:jc w:val="both"/>
        <w:rPr>
          <w:rFonts w:cstheme="minorHAnsi"/>
        </w:rPr>
      </w:pPr>
      <w:r w:rsidRPr="00F16251">
        <w:rPr>
          <w:rFonts w:cstheme="minorHAnsi"/>
        </w:rPr>
        <w:t>-</w:t>
      </w:r>
      <w:r w:rsidR="003B50ED" w:rsidRPr="00F16251">
        <w:rPr>
          <w:rFonts w:cstheme="minorHAnsi"/>
        </w:rPr>
        <w:t xml:space="preserve"> </w:t>
      </w:r>
      <w:r w:rsidRPr="00F16251">
        <w:rPr>
          <w:rFonts w:cstheme="minorHAnsi"/>
        </w:rPr>
        <w:t>rejestracja</w:t>
      </w:r>
      <w:r w:rsidR="003B50ED" w:rsidRPr="00F16251">
        <w:rPr>
          <w:rFonts w:cstheme="minorHAnsi"/>
        </w:rPr>
        <w:t xml:space="preserve"> </w:t>
      </w:r>
      <w:r w:rsidRPr="00F16251">
        <w:rPr>
          <w:rFonts w:cstheme="minorHAnsi"/>
        </w:rPr>
        <w:t>korespondencji</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biurze</w:t>
      </w:r>
      <w:r w:rsidR="003B50ED" w:rsidRPr="00F16251">
        <w:rPr>
          <w:rFonts w:cstheme="minorHAnsi"/>
        </w:rPr>
        <w:t xml:space="preserve"> </w:t>
      </w:r>
      <w:r w:rsidRPr="00F16251">
        <w:rPr>
          <w:rFonts w:cstheme="minorHAnsi"/>
        </w:rPr>
        <w:t>LGD</w:t>
      </w:r>
      <w:r w:rsidR="00D43F21" w:rsidRPr="00F16251">
        <w:rPr>
          <w:rFonts w:cstheme="minorHAnsi"/>
        </w:rPr>
        <w:t>,</w:t>
      </w:r>
    </w:p>
    <w:p w14:paraId="08EF9826" w14:textId="055FB17E" w:rsidR="00F50A79" w:rsidRPr="00F16251" w:rsidRDefault="00F50A79" w:rsidP="00C71E9E">
      <w:pPr>
        <w:spacing w:line="276" w:lineRule="auto"/>
        <w:jc w:val="both"/>
        <w:rPr>
          <w:rFonts w:cstheme="minorHAnsi"/>
        </w:rPr>
      </w:pPr>
      <w:r w:rsidRPr="00F16251">
        <w:rPr>
          <w:rFonts w:cstheme="minorHAnsi"/>
        </w:rPr>
        <w:t>-jeżeli</w:t>
      </w:r>
      <w:r w:rsidR="003B50ED" w:rsidRPr="00F16251">
        <w:rPr>
          <w:rFonts w:cstheme="minorHAnsi"/>
        </w:rPr>
        <w:t xml:space="preserve"> </w:t>
      </w:r>
      <w:r w:rsidRPr="00F16251">
        <w:rPr>
          <w:rFonts w:cstheme="minorHAnsi"/>
        </w:rPr>
        <w:t>sprawa</w:t>
      </w:r>
      <w:r w:rsidR="003B50ED" w:rsidRPr="00F16251">
        <w:rPr>
          <w:rFonts w:cstheme="minorHAnsi"/>
        </w:rPr>
        <w:t xml:space="preserve"> </w:t>
      </w:r>
      <w:r w:rsidRPr="00F16251">
        <w:rPr>
          <w:rFonts w:cstheme="minorHAnsi"/>
        </w:rPr>
        <w:t>nie</w:t>
      </w:r>
      <w:r w:rsidR="003B50ED" w:rsidRPr="00F16251">
        <w:rPr>
          <w:rFonts w:cstheme="minorHAnsi"/>
        </w:rPr>
        <w:t xml:space="preserve"> </w:t>
      </w:r>
      <w:r w:rsidRPr="00F16251">
        <w:rPr>
          <w:rFonts w:cstheme="minorHAnsi"/>
        </w:rPr>
        <w:t>będzie</w:t>
      </w:r>
      <w:r w:rsidR="003B50ED" w:rsidRPr="00F16251">
        <w:rPr>
          <w:rFonts w:cstheme="minorHAnsi"/>
        </w:rPr>
        <w:t xml:space="preserve"> </w:t>
      </w:r>
      <w:r w:rsidRPr="00F16251">
        <w:rPr>
          <w:rFonts w:cstheme="minorHAnsi"/>
        </w:rPr>
        <w:t>wymagała</w:t>
      </w:r>
      <w:r w:rsidR="003B50ED" w:rsidRPr="00F16251">
        <w:rPr>
          <w:rFonts w:cstheme="minorHAnsi"/>
        </w:rPr>
        <w:t xml:space="preserve"> </w:t>
      </w:r>
      <w:r w:rsidRPr="00F16251">
        <w:rPr>
          <w:rFonts w:cstheme="minorHAnsi"/>
        </w:rPr>
        <w:t>specjalistycznej</w:t>
      </w:r>
      <w:r w:rsidR="003B50ED" w:rsidRPr="00F16251">
        <w:rPr>
          <w:rFonts w:cstheme="minorHAnsi"/>
        </w:rPr>
        <w:t xml:space="preserve"> </w:t>
      </w:r>
      <w:r w:rsidRPr="00F16251">
        <w:rPr>
          <w:rFonts w:cstheme="minorHAnsi"/>
        </w:rPr>
        <w:t>analizy,</w:t>
      </w:r>
      <w:r w:rsidR="003B50ED" w:rsidRPr="00F16251">
        <w:rPr>
          <w:rFonts w:cstheme="minorHAnsi"/>
        </w:rPr>
        <w:t xml:space="preserve"> </w:t>
      </w:r>
      <w:r w:rsidRPr="00F16251">
        <w:rPr>
          <w:rFonts w:cstheme="minorHAnsi"/>
        </w:rPr>
        <w:t>odpowiedź</w:t>
      </w:r>
      <w:r w:rsidR="003B50ED" w:rsidRPr="00F16251">
        <w:rPr>
          <w:rFonts w:cstheme="minorHAnsi"/>
        </w:rPr>
        <w:t xml:space="preserve"> </w:t>
      </w:r>
      <w:r w:rsidRPr="00F16251">
        <w:rPr>
          <w:rFonts w:cstheme="minorHAnsi"/>
        </w:rPr>
        <w:t>zostanie</w:t>
      </w:r>
      <w:r w:rsidR="003B50ED" w:rsidRPr="00F16251">
        <w:rPr>
          <w:rFonts w:cstheme="minorHAnsi"/>
        </w:rPr>
        <w:t xml:space="preserve"> </w:t>
      </w:r>
      <w:r w:rsidRPr="00F16251">
        <w:rPr>
          <w:rFonts w:cstheme="minorHAnsi"/>
        </w:rPr>
        <w:t>udzielona</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ciągu</w:t>
      </w:r>
      <w:r w:rsidR="003B50ED" w:rsidRPr="00F16251">
        <w:rPr>
          <w:rFonts w:cstheme="minorHAnsi"/>
        </w:rPr>
        <w:t xml:space="preserve"> </w:t>
      </w:r>
      <w:r w:rsidRPr="00F16251">
        <w:rPr>
          <w:rFonts w:cstheme="minorHAnsi"/>
        </w:rPr>
        <w:t>maksymalnie</w:t>
      </w:r>
      <w:r w:rsidR="003B50ED" w:rsidRPr="00F16251">
        <w:rPr>
          <w:rFonts w:cstheme="minorHAnsi"/>
        </w:rPr>
        <w:t xml:space="preserve"> </w:t>
      </w:r>
      <w:r w:rsidR="00396A11">
        <w:rPr>
          <w:rFonts w:cstheme="minorHAnsi"/>
        </w:rPr>
        <w:br/>
      </w:r>
      <w:r w:rsidRPr="00F16251">
        <w:rPr>
          <w:rFonts w:cstheme="minorHAnsi"/>
        </w:rPr>
        <w:t>2</w:t>
      </w:r>
      <w:r w:rsidR="003B50ED" w:rsidRPr="00F16251">
        <w:rPr>
          <w:rFonts w:cstheme="minorHAnsi"/>
        </w:rPr>
        <w:t xml:space="preserve"> </w:t>
      </w:r>
      <w:r w:rsidRPr="00F16251">
        <w:rPr>
          <w:rFonts w:cstheme="minorHAnsi"/>
        </w:rPr>
        <w:t>tygodni</w:t>
      </w:r>
      <w:r w:rsidR="00D43F21" w:rsidRPr="00F16251">
        <w:rPr>
          <w:rFonts w:cstheme="minorHAnsi"/>
        </w:rPr>
        <w:t>,</w:t>
      </w:r>
    </w:p>
    <w:p w14:paraId="6AAC93EA" w14:textId="280F76B8" w:rsidR="00F50A79" w:rsidRPr="00F16251" w:rsidRDefault="00F50A79" w:rsidP="00C71E9E">
      <w:pPr>
        <w:spacing w:line="276" w:lineRule="auto"/>
        <w:jc w:val="both"/>
        <w:rPr>
          <w:rFonts w:cstheme="minorHAnsi"/>
        </w:rPr>
      </w:pPr>
      <w:r w:rsidRPr="00F16251">
        <w:rPr>
          <w:rFonts w:cstheme="minorHAnsi"/>
        </w:rPr>
        <w:t>-</w:t>
      </w:r>
      <w:r w:rsidR="003B50ED" w:rsidRPr="00F16251">
        <w:rPr>
          <w:rFonts w:cstheme="minorHAnsi"/>
        </w:rPr>
        <w:t xml:space="preserve"> </w:t>
      </w:r>
      <w:r w:rsidRPr="00F16251">
        <w:rPr>
          <w:rFonts w:cstheme="minorHAnsi"/>
        </w:rPr>
        <w:t>jeżeli</w:t>
      </w:r>
      <w:r w:rsidR="003B50ED" w:rsidRPr="00F16251">
        <w:rPr>
          <w:rFonts w:cstheme="minorHAnsi"/>
        </w:rPr>
        <w:t xml:space="preserve"> </w:t>
      </w:r>
      <w:r w:rsidRPr="00F16251">
        <w:rPr>
          <w:rFonts w:cstheme="minorHAnsi"/>
        </w:rPr>
        <w:t>sprawa</w:t>
      </w:r>
      <w:r w:rsidR="003B50ED" w:rsidRPr="00F16251">
        <w:rPr>
          <w:rFonts w:cstheme="minorHAnsi"/>
        </w:rPr>
        <w:t xml:space="preserve"> </w:t>
      </w:r>
      <w:r w:rsidRPr="00F16251">
        <w:rPr>
          <w:rFonts w:cstheme="minorHAnsi"/>
        </w:rPr>
        <w:t>będzie</w:t>
      </w:r>
      <w:r w:rsidR="003B50ED" w:rsidRPr="00F16251">
        <w:rPr>
          <w:rFonts w:cstheme="minorHAnsi"/>
        </w:rPr>
        <w:t xml:space="preserve"> </w:t>
      </w:r>
      <w:r w:rsidRPr="00F16251">
        <w:rPr>
          <w:rFonts w:cstheme="minorHAnsi"/>
        </w:rPr>
        <w:t>wymagała</w:t>
      </w:r>
      <w:r w:rsidR="003B50ED" w:rsidRPr="00F16251">
        <w:rPr>
          <w:rFonts w:cstheme="minorHAnsi"/>
        </w:rPr>
        <w:t xml:space="preserve"> </w:t>
      </w:r>
      <w:r w:rsidRPr="00F16251">
        <w:rPr>
          <w:rFonts w:cstheme="minorHAnsi"/>
        </w:rPr>
        <w:t>dodatkowej</w:t>
      </w:r>
      <w:r w:rsidR="003B50ED" w:rsidRPr="00F16251">
        <w:rPr>
          <w:rFonts w:cstheme="minorHAnsi"/>
        </w:rPr>
        <w:t xml:space="preserve"> </w:t>
      </w:r>
      <w:r w:rsidRPr="00F16251">
        <w:rPr>
          <w:rFonts w:cstheme="minorHAnsi"/>
        </w:rPr>
        <w:t>konsultacji</w:t>
      </w:r>
      <w:r w:rsidR="003B50ED" w:rsidRPr="00F16251">
        <w:rPr>
          <w:rFonts w:cstheme="minorHAnsi"/>
        </w:rPr>
        <w:t xml:space="preserve"> </w:t>
      </w:r>
      <w:r w:rsidRPr="00F16251">
        <w:rPr>
          <w:rFonts w:cstheme="minorHAnsi"/>
        </w:rPr>
        <w:t>lub</w:t>
      </w:r>
      <w:r w:rsidR="003B50ED" w:rsidRPr="00F16251">
        <w:rPr>
          <w:rFonts w:cstheme="minorHAnsi"/>
        </w:rPr>
        <w:t xml:space="preserve"> </w:t>
      </w:r>
      <w:r w:rsidRPr="00F16251">
        <w:rPr>
          <w:rFonts w:cstheme="minorHAnsi"/>
        </w:rPr>
        <w:t>opinii</w:t>
      </w:r>
      <w:r w:rsidR="003B50ED" w:rsidRPr="00F16251">
        <w:rPr>
          <w:rFonts w:cstheme="minorHAnsi"/>
        </w:rPr>
        <w:t xml:space="preserve"> </w:t>
      </w:r>
      <w:r w:rsidRPr="00F16251">
        <w:rPr>
          <w:rFonts w:cstheme="minorHAnsi"/>
        </w:rPr>
        <w:t>zewnętrznej,</w:t>
      </w:r>
      <w:r w:rsidR="003B50ED" w:rsidRPr="00F16251">
        <w:rPr>
          <w:rFonts w:cstheme="minorHAnsi"/>
        </w:rPr>
        <w:t xml:space="preserve"> </w:t>
      </w:r>
      <w:r w:rsidRPr="00F16251">
        <w:rPr>
          <w:rFonts w:cstheme="minorHAnsi"/>
        </w:rPr>
        <w:t>wnioskodawca</w:t>
      </w:r>
      <w:r w:rsidR="003B50ED" w:rsidRPr="00F16251">
        <w:rPr>
          <w:rFonts w:cstheme="minorHAnsi"/>
        </w:rPr>
        <w:t xml:space="preserve"> </w:t>
      </w:r>
      <w:r w:rsidRPr="00F16251">
        <w:rPr>
          <w:rFonts w:cstheme="minorHAnsi"/>
        </w:rPr>
        <w:t>zostanie</w:t>
      </w:r>
      <w:r w:rsidR="003B50ED" w:rsidRPr="00F16251">
        <w:rPr>
          <w:rFonts w:cstheme="minorHAnsi"/>
        </w:rPr>
        <w:t xml:space="preserve"> </w:t>
      </w:r>
      <w:r w:rsidRPr="00F16251">
        <w:rPr>
          <w:rFonts w:cstheme="minorHAnsi"/>
        </w:rPr>
        <w:t>poinformowany</w:t>
      </w:r>
      <w:r w:rsidR="003B50ED" w:rsidRPr="00F16251">
        <w:rPr>
          <w:rFonts w:cstheme="minorHAnsi"/>
        </w:rPr>
        <w:t xml:space="preserve"> </w:t>
      </w:r>
      <w:r w:rsidRPr="00F16251">
        <w:rPr>
          <w:rFonts w:cstheme="minorHAnsi"/>
        </w:rPr>
        <w:t>o</w:t>
      </w:r>
      <w:r w:rsidR="003B50ED" w:rsidRPr="00F16251">
        <w:rPr>
          <w:rFonts w:cstheme="minorHAnsi"/>
        </w:rPr>
        <w:t xml:space="preserve"> </w:t>
      </w:r>
      <w:r w:rsidRPr="00F16251">
        <w:rPr>
          <w:rFonts w:cstheme="minorHAnsi"/>
        </w:rPr>
        <w:t>tym</w:t>
      </w:r>
      <w:r w:rsidR="003B50ED" w:rsidRPr="00F16251">
        <w:rPr>
          <w:rFonts w:cstheme="minorHAnsi"/>
        </w:rPr>
        <w:t xml:space="preserve"> </w:t>
      </w:r>
      <w:r w:rsidRPr="00F16251">
        <w:rPr>
          <w:rFonts w:cstheme="minorHAnsi"/>
        </w:rPr>
        <w:t>fakcie</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zostanie</w:t>
      </w:r>
      <w:r w:rsidR="003B50ED" w:rsidRPr="00F16251">
        <w:rPr>
          <w:rFonts w:cstheme="minorHAnsi"/>
        </w:rPr>
        <w:t xml:space="preserve"> </w:t>
      </w:r>
      <w:r w:rsidRPr="00F16251">
        <w:rPr>
          <w:rFonts w:cstheme="minorHAnsi"/>
        </w:rPr>
        <w:t>wyznaczony</w:t>
      </w:r>
      <w:r w:rsidR="003B50ED" w:rsidRPr="00F16251">
        <w:rPr>
          <w:rFonts w:cstheme="minorHAnsi"/>
        </w:rPr>
        <w:t xml:space="preserve"> </w:t>
      </w:r>
      <w:r w:rsidRPr="00F16251">
        <w:rPr>
          <w:rFonts w:cstheme="minorHAnsi"/>
        </w:rPr>
        <w:t>nowy</w:t>
      </w:r>
      <w:r w:rsidR="003B50ED" w:rsidRPr="00F16251">
        <w:rPr>
          <w:rFonts w:cstheme="minorHAnsi"/>
        </w:rPr>
        <w:t xml:space="preserve"> </w:t>
      </w:r>
      <w:r w:rsidRPr="00F16251">
        <w:rPr>
          <w:rFonts w:cstheme="minorHAnsi"/>
        </w:rPr>
        <w:t>termin</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udzielenie</w:t>
      </w:r>
      <w:r w:rsidR="003B50ED" w:rsidRPr="00F16251">
        <w:rPr>
          <w:rFonts w:cstheme="minorHAnsi"/>
        </w:rPr>
        <w:t xml:space="preserve"> </w:t>
      </w:r>
      <w:r w:rsidRPr="00F16251">
        <w:rPr>
          <w:rFonts w:cstheme="minorHAnsi"/>
        </w:rPr>
        <w:t>odpowiedzi</w:t>
      </w:r>
      <w:r w:rsidR="00D43F21" w:rsidRPr="00F16251">
        <w:rPr>
          <w:rFonts w:cstheme="minorHAnsi"/>
        </w:rPr>
        <w:t>,</w:t>
      </w:r>
    </w:p>
    <w:p w14:paraId="79B354FE" w14:textId="5BF5A8BC" w:rsidR="00F50A79" w:rsidRPr="00F16251" w:rsidRDefault="00F50A79" w:rsidP="00C71E9E">
      <w:pPr>
        <w:spacing w:line="276" w:lineRule="auto"/>
        <w:jc w:val="both"/>
        <w:rPr>
          <w:rFonts w:cstheme="minorHAnsi"/>
        </w:rPr>
      </w:pPr>
      <w:r w:rsidRPr="00F16251">
        <w:rPr>
          <w:rFonts w:cstheme="minorHAnsi"/>
        </w:rPr>
        <w:t>-</w:t>
      </w:r>
      <w:r w:rsidR="003B50ED" w:rsidRPr="00F16251">
        <w:rPr>
          <w:rFonts w:cstheme="minorHAnsi"/>
        </w:rPr>
        <w:t xml:space="preserve"> </w:t>
      </w:r>
      <w:r w:rsidRPr="00F16251">
        <w:rPr>
          <w:rFonts w:cstheme="minorHAnsi"/>
        </w:rPr>
        <w:t>wnioskodawca</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wyznaczonym</w:t>
      </w:r>
      <w:r w:rsidR="003B50ED" w:rsidRPr="00F16251">
        <w:rPr>
          <w:rFonts w:cstheme="minorHAnsi"/>
        </w:rPr>
        <w:t xml:space="preserve"> </w:t>
      </w:r>
      <w:r w:rsidRPr="00F16251">
        <w:rPr>
          <w:rFonts w:cstheme="minorHAnsi"/>
        </w:rPr>
        <w:t>terminie</w:t>
      </w:r>
      <w:r w:rsidR="003B50ED" w:rsidRPr="00F16251">
        <w:rPr>
          <w:rFonts w:cstheme="minorHAnsi"/>
        </w:rPr>
        <w:t xml:space="preserve"> </w:t>
      </w:r>
      <w:r w:rsidRPr="00F16251">
        <w:rPr>
          <w:rFonts w:cstheme="minorHAnsi"/>
        </w:rPr>
        <w:t>otrzymuje</w:t>
      </w:r>
      <w:r w:rsidR="003B50ED" w:rsidRPr="00F16251">
        <w:rPr>
          <w:rFonts w:cstheme="minorHAnsi"/>
        </w:rPr>
        <w:t xml:space="preserve"> </w:t>
      </w:r>
      <w:r w:rsidRPr="00F16251">
        <w:rPr>
          <w:rFonts w:cstheme="minorHAnsi"/>
        </w:rPr>
        <w:t>odpowiedź</w:t>
      </w:r>
      <w:r w:rsidR="003B50ED" w:rsidRPr="00F16251">
        <w:rPr>
          <w:rFonts w:cstheme="minorHAnsi"/>
        </w:rPr>
        <w:t xml:space="preserve"> </w:t>
      </w:r>
      <w:r w:rsidRPr="00F16251">
        <w:rPr>
          <w:rFonts w:cstheme="minorHAnsi"/>
        </w:rPr>
        <w:t>zawierającą</w:t>
      </w:r>
      <w:r w:rsidR="003B50ED" w:rsidRPr="00F16251">
        <w:rPr>
          <w:rFonts w:cstheme="minorHAnsi"/>
        </w:rPr>
        <w:t xml:space="preserve"> </w:t>
      </w:r>
      <w:r w:rsidRPr="00F16251">
        <w:rPr>
          <w:rFonts w:cstheme="minorHAnsi"/>
        </w:rPr>
        <w:t>uzasadnienie</w:t>
      </w:r>
      <w:r w:rsidR="00D43F21" w:rsidRPr="00F16251">
        <w:rPr>
          <w:rFonts w:cstheme="minorHAnsi"/>
        </w:rPr>
        <w:t>.</w:t>
      </w:r>
    </w:p>
    <w:p w14:paraId="6FD07E12" w14:textId="77777777" w:rsidR="00F50A79" w:rsidRPr="00F16251" w:rsidRDefault="00F50A79" w:rsidP="00A26C26">
      <w:pPr>
        <w:spacing w:line="276" w:lineRule="auto"/>
        <w:ind w:firstLine="284"/>
        <w:jc w:val="both"/>
        <w:rPr>
          <w:rFonts w:cstheme="minorHAnsi"/>
        </w:rPr>
      </w:pPr>
      <w:r w:rsidRPr="00F16251">
        <w:rPr>
          <w:rFonts w:cstheme="minorHAnsi"/>
        </w:rPr>
        <w:t>Ponadto:</w:t>
      </w:r>
    </w:p>
    <w:p w14:paraId="2C8164A9" w14:textId="7A571DB8" w:rsidR="00F50A79" w:rsidRPr="00F16251" w:rsidRDefault="00F50A79" w:rsidP="00C71E9E">
      <w:pPr>
        <w:spacing w:line="276" w:lineRule="auto"/>
        <w:jc w:val="both"/>
        <w:rPr>
          <w:rFonts w:cstheme="minorHAnsi"/>
        </w:rPr>
      </w:pPr>
      <w:r w:rsidRPr="00F16251">
        <w:rPr>
          <w:rFonts w:cstheme="minorHAnsi"/>
        </w:rPr>
        <w:t>-</w:t>
      </w:r>
      <w:r w:rsidR="003B50ED" w:rsidRPr="00F16251">
        <w:rPr>
          <w:rFonts w:cstheme="minorHAnsi"/>
        </w:rPr>
        <w:t xml:space="preserve"> </w:t>
      </w:r>
      <w:r w:rsidRPr="00F16251">
        <w:rPr>
          <w:rFonts w:cstheme="minorHAnsi"/>
        </w:rPr>
        <w:t>każda</w:t>
      </w:r>
      <w:r w:rsidR="003B50ED" w:rsidRPr="00F16251">
        <w:rPr>
          <w:rFonts w:cstheme="minorHAnsi"/>
        </w:rPr>
        <w:t xml:space="preserve"> </w:t>
      </w:r>
      <w:r w:rsidRPr="00F16251">
        <w:rPr>
          <w:rFonts w:cstheme="minorHAnsi"/>
        </w:rPr>
        <w:t>wpływające</w:t>
      </w:r>
      <w:r w:rsidR="003B50ED" w:rsidRPr="00F16251">
        <w:rPr>
          <w:rFonts w:cstheme="minorHAnsi"/>
        </w:rPr>
        <w:t xml:space="preserve"> </w:t>
      </w:r>
      <w:r w:rsidRPr="00F16251">
        <w:rPr>
          <w:rFonts w:cstheme="minorHAnsi"/>
        </w:rPr>
        <w:t>inicjatywa</w:t>
      </w:r>
      <w:r w:rsidR="003B50ED" w:rsidRPr="00F16251">
        <w:rPr>
          <w:rFonts w:cstheme="minorHAnsi"/>
        </w:rPr>
        <w:t xml:space="preserve"> </w:t>
      </w:r>
      <w:r w:rsidRPr="00F16251">
        <w:rPr>
          <w:rFonts w:cstheme="minorHAnsi"/>
        </w:rPr>
        <w:t>będzie</w:t>
      </w:r>
      <w:r w:rsidR="003B50ED" w:rsidRPr="00F16251">
        <w:rPr>
          <w:rFonts w:cstheme="minorHAnsi"/>
        </w:rPr>
        <w:t xml:space="preserve"> </w:t>
      </w:r>
      <w:r w:rsidRPr="00F16251">
        <w:rPr>
          <w:rFonts w:cstheme="minorHAnsi"/>
        </w:rPr>
        <w:t>uwzględniana</w:t>
      </w:r>
      <w:r w:rsidR="003B50ED" w:rsidRPr="00F16251">
        <w:rPr>
          <w:rFonts w:cstheme="minorHAnsi"/>
        </w:rPr>
        <w:t xml:space="preserve"> </w:t>
      </w:r>
      <w:r w:rsidRPr="00F16251">
        <w:rPr>
          <w:rFonts w:cstheme="minorHAnsi"/>
        </w:rPr>
        <w:t>podczas</w:t>
      </w:r>
      <w:r w:rsidR="003B50ED" w:rsidRPr="00F16251">
        <w:rPr>
          <w:rFonts w:cstheme="minorHAnsi"/>
        </w:rPr>
        <w:t xml:space="preserve"> </w:t>
      </w:r>
      <w:r w:rsidRPr="00F16251">
        <w:rPr>
          <w:rFonts w:cstheme="minorHAnsi"/>
        </w:rPr>
        <w:t>bieżącego</w:t>
      </w:r>
      <w:r w:rsidR="003B50ED" w:rsidRPr="00F16251">
        <w:rPr>
          <w:rFonts w:cstheme="minorHAnsi"/>
        </w:rPr>
        <w:t xml:space="preserve"> </w:t>
      </w:r>
      <w:r w:rsidRPr="00F16251">
        <w:rPr>
          <w:rFonts w:cstheme="minorHAnsi"/>
        </w:rPr>
        <w:t>monitoringu</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odnotowywana</w:t>
      </w:r>
      <w:r w:rsidR="003B50ED" w:rsidRPr="00F16251">
        <w:rPr>
          <w:rFonts w:cstheme="minorHAnsi"/>
        </w:rPr>
        <w:t xml:space="preserve"> </w:t>
      </w:r>
      <w:r w:rsidR="00CB1987" w:rsidRPr="00F16251">
        <w:rPr>
          <w:rFonts w:cstheme="minorHAnsi"/>
        </w:rPr>
        <w:br/>
      </w:r>
      <w:r w:rsidRPr="00F16251">
        <w:rPr>
          <w:rFonts w:cstheme="minorHAnsi"/>
        </w:rPr>
        <w:t>w</w:t>
      </w:r>
      <w:r w:rsidR="003B50ED" w:rsidRPr="00F16251">
        <w:rPr>
          <w:rFonts w:cstheme="minorHAnsi"/>
        </w:rPr>
        <w:t xml:space="preserve"> </w:t>
      </w:r>
      <w:r w:rsidRPr="00F16251">
        <w:rPr>
          <w:rFonts w:cstheme="minorHAnsi"/>
        </w:rPr>
        <w:t>raportach</w:t>
      </w:r>
      <w:r w:rsidR="003B50ED" w:rsidRPr="00F16251">
        <w:rPr>
          <w:rFonts w:cstheme="minorHAnsi"/>
        </w:rPr>
        <w:t xml:space="preserve"> </w:t>
      </w:r>
      <w:r w:rsidRPr="00F16251">
        <w:rPr>
          <w:rFonts w:cstheme="minorHAnsi"/>
        </w:rPr>
        <w:t>monitoringowych</w:t>
      </w:r>
      <w:r w:rsidR="003B50ED" w:rsidRPr="00F16251">
        <w:rPr>
          <w:rFonts w:cstheme="minorHAnsi"/>
        </w:rPr>
        <w:t xml:space="preserve"> </w:t>
      </w:r>
      <w:r w:rsidRPr="00F16251">
        <w:rPr>
          <w:rFonts w:cstheme="minorHAnsi"/>
        </w:rPr>
        <w:t>lub</w:t>
      </w:r>
      <w:r w:rsidR="003B50ED" w:rsidRPr="00F16251">
        <w:rPr>
          <w:rFonts w:cstheme="minorHAnsi"/>
        </w:rPr>
        <w:t xml:space="preserve"> </w:t>
      </w:r>
      <w:r w:rsidRPr="00F16251">
        <w:rPr>
          <w:rFonts w:cstheme="minorHAnsi"/>
        </w:rPr>
        <w:t>rocznych</w:t>
      </w:r>
      <w:r w:rsidR="003B50ED" w:rsidRPr="00F16251">
        <w:rPr>
          <w:rFonts w:cstheme="minorHAnsi"/>
        </w:rPr>
        <w:t xml:space="preserve"> </w:t>
      </w:r>
      <w:r w:rsidRPr="00F16251">
        <w:rPr>
          <w:rFonts w:cstheme="minorHAnsi"/>
        </w:rPr>
        <w:t>raportach</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ewaluacji</w:t>
      </w:r>
      <w:r w:rsidR="00D43F21" w:rsidRPr="00F16251">
        <w:rPr>
          <w:rFonts w:cstheme="minorHAnsi"/>
        </w:rPr>
        <w:t>,</w:t>
      </w:r>
    </w:p>
    <w:p w14:paraId="7AFF856D" w14:textId="7587F6C9" w:rsidR="00F50A79" w:rsidRPr="00F16251" w:rsidRDefault="00F50A79" w:rsidP="00C71E9E">
      <w:pPr>
        <w:spacing w:line="276" w:lineRule="auto"/>
        <w:jc w:val="both"/>
        <w:rPr>
          <w:rFonts w:cstheme="minorHAnsi"/>
        </w:rPr>
      </w:pPr>
      <w:r w:rsidRPr="00F16251">
        <w:rPr>
          <w:rFonts w:cstheme="minorHAnsi"/>
        </w:rPr>
        <w:t>-</w:t>
      </w:r>
      <w:r w:rsidR="003B50ED" w:rsidRPr="00F16251">
        <w:rPr>
          <w:rFonts w:cstheme="minorHAnsi"/>
        </w:rPr>
        <w:t xml:space="preserve"> </w:t>
      </w:r>
      <w:r w:rsidRPr="00F16251">
        <w:rPr>
          <w:rFonts w:cstheme="minorHAnsi"/>
        </w:rPr>
        <w:t>istotne</w:t>
      </w:r>
      <w:r w:rsidR="003B50ED" w:rsidRPr="00F16251">
        <w:rPr>
          <w:rFonts w:cstheme="minorHAnsi"/>
        </w:rPr>
        <w:t xml:space="preserve"> </w:t>
      </w:r>
      <w:r w:rsidRPr="00F16251">
        <w:rPr>
          <w:rFonts w:cstheme="minorHAnsi"/>
        </w:rPr>
        <w:t>propozycje</w:t>
      </w:r>
      <w:r w:rsidR="003B50ED" w:rsidRPr="00F16251">
        <w:rPr>
          <w:rFonts w:cstheme="minorHAnsi"/>
        </w:rPr>
        <w:t xml:space="preserve"> </w:t>
      </w:r>
      <w:r w:rsidRPr="00F16251">
        <w:rPr>
          <w:rFonts w:cstheme="minorHAnsi"/>
        </w:rPr>
        <w:t>zostaną</w:t>
      </w:r>
      <w:r w:rsidR="003B50ED" w:rsidRPr="00F16251">
        <w:rPr>
          <w:rFonts w:cstheme="minorHAnsi"/>
        </w:rPr>
        <w:t xml:space="preserve"> </w:t>
      </w:r>
      <w:r w:rsidRPr="00F16251">
        <w:rPr>
          <w:rFonts w:cstheme="minorHAnsi"/>
        </w:rPr>
        <w:t>przedstawiane</w:t>
      </w:r>
      <w:r w:rsidR="003B50ED" w:rsidRPr="00F16251">
        <w:rPr>
          <w:rFonts w:cstheme="minorHAnsi"/>
        </w:rPr>
        <w:t xml:space="preserve"> </w:t>
      </w:r>
      <w:r w:rsidRPr="00F16251">
        <w:rPr>
          <w:rFonts w:cstheme="minorHAnsi"/>
        </w:rPr>
        <w:t>Zarządowi</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celu</w:t>
      </w:r>
      <w:r w:rsidR="003B50ED" w:rsidRPr="00F16251">
        <w:rPr>
          <w:rFonts w:cstheme="minorHAnsi"/>
        </w:rPr>
        <w:t xml:space="preserve"> </w:t>
      </w:r>
      <w:r w:rsidRPr="00F16251">
        <w:rPr>
          <w:rFonts w:cstheme="minorHAnsi"/>
        </w:rPr>
        <w:t>analizy</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ewentualnych</w:t>
      </w:r>
      <w:r w:rsidR="003B50ED" w:rsidRPr="00F16251">
        <w:rPr>
          <w:rFonts w:cstheme="minorHAnsi"/>
        </w:rPr>
        <w:t xml:space="preserve"> </w:t>
      </w:r>
      <w:r w:rsidRPr="00F16251">
        <w:rPr>
          <w:rFonts w:cstheme="minorHAnsi"/>
        </w:rPr>
        <w:t>zmian.</w:t>
      </w:r>
      <w:r w:rsidR="003B50ED" w:rsidRPr="00F16251">
        <w:rPr>
          <w:rFonts w:cstheme="minorHAnsi"/>
        </w:rPr>
        <w:t xml:space="preserve"> </w:t>
      </w:r>
    </w:p>
    <w:p w14:paraId="60898183" w14:textId="02968A95" w:rsidR="00CB1987" w:rsidRPr="00F16251" w:rsidRDefault="00CB1987" w:rsidP="00A26C26">
      <w:pPr>
        <w:spacing w:line="276" w:lineRule="auto"/>
        <w:ind w:firstLine="284"/>
        <w:jc w:val="both"/>
        <w:rPr>
          <w:rFonts w:cstheme="minorHAnsi"/>
        </w:rPr>
      </w:pPr>
      <w:r w:rsidRPr="00F16251">
        <w:rPr>
          <w:rFonts w:cstheme="minorHAnsi"/>
        </w:rPr>
        <w:t>Dodatkowo,</w:t>
      </w:r>
      <w:r w:rsidR="003B50ED" w:rsidRPr="00F16251">
        <w:rPr>
          <w:rFonts w:cstheme="minorHAnsi"/>
        </w:rPr>
        <w:t xml:space="preserve"> </w:t>
      </w:r>
      <w:r w:rsidRPr="00F16251">
        <w:rPr>
          <w:rFonts w:cstheme="minorHAnsi"/>
        </w:rPr>
        <w:t>jeżeli</w:t>
      </w:r>
      <w:r w:rsidR="003B50ED" w:rsidRPr="00F16251">
        <w:rPr>
          <w:rFonts w:cstheme="minorHAnsi"/>
        </w:rPr>
        <w:t xml:space="preserve"> </w:t>
      </w:r>
      <w:r w:rsidRPr="00F16251">
        <w:rPr>
          <w:rFonts w:cstheme="minorHAnsi"/>
        </w:rPr>
        <w:t>taka</w:t>
      </w:r>
      <w:r w:rsidR="003B50ED" w:rsidRPr="00F16251">
        <w:rPr>
          <w:rFonts w:cstheme="minorHAnsi"/>
        </w:rPr>
        <w:t xml:space="preserve"> </w:t>
      </w:r>
      <w:r w:rsidRPr="00F16251">
        <w:rPr>
          <w:rFonts w:cstheme="minorHAnsi"/>
        </w:rPr>
        <w:t>potrzeba</w:t>
      </w:r>
      <w:r w:rsidR="003B50ED" w:rsidRPr="00F16251">
        <w:rPr>
          <w:rFonts w:cstheme="minorHAnsi"/>
        </w:rPr>
        <w:t xml:space="preserve"> </w:t>
      </w:r>
      <w:r w:rsidRPr="00F16251">
        <w:rPr>
          <w:rFonts w:cstheme="minorHAnsi"/>
        </w:rPr>
        <w:t>pojawi</w:t>
      </w:r>
      <w:r w:rsidR="003B50ED" w:rsidRPr="00F16251">
        <w:rPr>
          <w:rFonts w:cstheme="minorHAnsi"/>
        </w:rPr>
        <w:t xml:space="preserve"> </w:t>
      </w:r>
      <w:r w:rsidRPr="00F16251">
        <w:rPr>
          <w:rFonts w:cstheme="minorHAnsi"/>
        </w:rPr>
        <w:t>się</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trakcie</w:t>
      </w:r>
      <w:r w:rsidR="003B50ED" w:rsidRPr="00F16251">
        <w:rPr>
          <w:rFonts w:cstheme="minorHAnsi"/>
        </w:rPr>
        <w:t xml:space="preserve"> </w:t>
      </w:r>
      <w:r w:rsidRPr="00F16251">
        <w:rPr>
          <w:rFonts w:cstheme="minorHAnsi"/>
        </w:rPr>
        <w:t>realizacji</w:t>
      </w:r>
      <w:r w:rsidR="003B50ED" w:rsidRPr="00F16251">
        <w:rPr>
          <w:rFonts w:cstheme="minorHAnsi"/>
        </w:rPr>
        <w:t xml:space="preserve"> </w:t>
      </w:r>
      <w:r w:rsidRPr="00F16251">
        <w:rPr>
          <w:rFonts w:cstheme="minorHAnsi"/>
        </w:rPr>
        <w:t>LSR,</w:t>
      </w:r>
      <w:r w:rsidR="003B50ED" w:rsidRPr="00F16251">
        <w:rPr>
          <w:rFonts w:cstheme="minorHAnsi"/>
        </w:rPr>
        <w:t xml:space="preserve"> </w:t>
      </w:r>
      <w:r w:rsidR="00D47463" w:rsidRPr="00F16251">
        <w:rPr>
          <w:rFonts w:cstheme="minorHAnsi"/>
        </w:rPr>
        <w:t xml:space="preserve">Stowarzyszenie „Solidarni w Partnerstwie” </w:t>
      </w:r>
      <w:r w:rsidRPr="00F16251">
        <w:rPr>
          <w:rFonts w:cstheme="minorHAnsi"/>
        </w:rPr>
        <w:t>dopuści</w:t>
      </w:r>
      <w:r w:rsidR="003B50ED" w:rsidRPr="00F16251">
        <w:rPr>
          <w:rFonts w:cstheme="minorHAnsi"/>
        </w:rPr>
        <w:t xml:space="preserve"> </w:t>
      </w:r>
      <w:r w:rsidRPr="00F16251">
        <w:rPr>
          <w:rFonts w:cstheme="minorHAnsi"/>
        </w:rPr>
        <w:t>również</w:t>
      </w:r>
      <w:r w:rsidR="003B50ED" w:rsidRPr="00F16251">
        <w:rPr>
          <w:rFonts w:cstheme="minorHAnsi"/>
        </w:rPr>
        <w:t xml:space="preserve"> </w:t>
      </w:r>
      <w:r w:rsidR="000A6DA3" w:rsidRPr="00F16251">
        <w:rPr>
          <w:rFonts w:cstheme="minorHAnsi"/>
        </w:rPr>
        <w:t>możliwość</w:t>
      </w:r>
      <w:r w:rsidR="003B50ED" w:rsidRPr="00F16251">
        <w:rPr>
          <w:rFonts w:cstheme="minorHAnsi"/>
        </w:rPr>
        <w:t xml:space="preserve"> </w:t>
      </w:r>
      <w:r w:rsidRPr="00F16251">
        <w:rPr>
          <w:rFonts w:cstheme="minorHAnsi"/>
        </w:rPr>
        <w:t>zgłaszania</w:t>
      </w:r>
      <w:r w:rsidR="003B50ED" w:rsidRPr="00F16251">
        <w:rPr>
          <w:rFonts w:cstheme="minorHAnsi"/>
        </w:rPr>
        <w:t xml:space="preserve"> </w:t>
      </w:r>
      <w:r w:rsidRPr="00F16251">
        <w:rPr>
          <w:rFonts w:cstheme="minorHAnsi"/>
        </w:rPr>
        <w:t>inicjatyw</w:t>
      </w:r>
      <w:r w:rsidR="003B50ED" w:rsidRPr="00F16251">
        <w:rPr>
          <w:rFonts w:cstheme="minorHAnsi"/>
        </w:rPr>
        <w:t xml:space="preserve"> </w:t>
      </w:r>
      <w:r w:rsidRPr="00F16251">
        <w:rPr>
          <w:rFonts w:cstheme="minorHAnsi"/>
        </w:rPr>
        <w:t>przez</w:t>
      </w:r>
      <w:r w:rsidR="003B50ED" w:rsidRPr="00F16251">
        <w:rPr>
          <w:rFonts w:cstheme="minorHAnsi"/>
        </w:rPr>
        <w:t xml:space="preserve"> </w:t>
      </w:r>
      <w:r w:rsidRPr="00F16251">
        <w:rPr>
          <w:rFonts w:cstheme="minorHAnsi"/>
        </w:rPr>
        <w:t>mieszkańców</w:t>
      </w:r>
      <w:r w:rsidR="003B50ED" w:rsidRPr="00F16251">
        <w:rPr>
          <w:rFonts w:cstheme="minorHAnsi"/>
        </w:rPr>
        <w:t xml:space="preserve"> </w:t>
      </w:r>
      <w:r w:rsidRPr="00F16251">
        <w:rPr>
          <w:rFonts w:cstheme="minorHAnsi"/>
        </w:rPr>
        <w:t>obszaru,</w:t>
      </w:r>
      <w:r w:rsidR="003B50ED" w:rsidRPr="00F16251">
        <w:rPr>
          <w:rFonts w:cstheme="minorHAnsi"/>
        </w:rPr>
        <w:t xml:space="preserve"> </w:t>
      </w:r>
      <w:r w:rsidRPr="00F16251">
        <w:rPr>
          <w:rFonts w:cstheme="minorHAnsi"/>
        </w:rPr>
        <w:t>którzy</w:t>
      </w:r>
      <w:r w:rsidR="003B50ED" w:rsidRPr="00F16251">
        <w:rPr>
          <w:rFonts w:cstheme="minorHAnsi"/>
        </w:rPr>
        <w:t xml:space="preserve"> </w:t>
      </w:r>
      <w:r w:rsidRPr="00F16251">
        <w:rPr>
          <w:rFonts w:cstheme="minorHAnsi"/>
        </w:rPr>
        <w:t>nie</w:t>
      </w:r>
      <w:r w:rsidR="003B50ED" w:rsidRPr="00F16251">
        <w:rPr>
          <w:rFonts w:cstheme="minorHAnsi"/>
        </w:rPr>
        <w:t xml:space="preserve"> </w:t>
      </w:r>
      <w:r w:rsidRPr="00F16251">
        <w:rPr>
          <w:rFonts w:cstheme="minorHAnsi"/>
        </w:rPr>
        <w:t>są</w:t>
      </w:r>
      <w:r w:rsidR="003B50ED" w:rsidRPr="00F16251">
        <w:rPr>
          <w:rFonts w:cstheme="minorHAnsi"/>
        </w:rPr>
        <w:t xml:space="preserve"> </w:t>
      </w:r>
      <w:r w:rsidRPr="00F16251">
        <w:rPr>
          <w:rFonts w:cstheme="minorHAnsi"/>
        </w:rPr>
        <w:t>członkami</w:t>
      </w:r>
      <w:r w:rsidR="00D47463" w:rsidRPr="00F16251">
        <w:rPr>
          <w:rFonts w:cstheme="minorHAnsi"/>
        </w:rPr>
        <w:t xml:space="preserve">, ale zgłaszane </w:t>
      </w:r>
      <w:r w:rsidR="001C27CF" w:rsidRPr="00F16251">
        <w:rPr>
          <w:rFonts w:cstheme="minorHAnsi"/>
        </w:rPr>
        <w:t xml:space="preserve">pomysły </w:t>
      </w:r>
      <w:r w:rsidRPr="00F16251">
        <w:rPr>
          <w:rFonts w:cstheme="minorHAnsi"/>
        </w:rPr>
        <w:t>mogą</w:t>
      </w:r>
      <w:r w:rsidR="003B50ED" w:rsidRPr="00F16251">
        <w:rPr>
          <w:rFonts w:cstheme="minorHAnsi"/>
        </w:rPr>
        <w:t xml:space="preserve"> </w:t>
      </w:r>
      <w:r w:rsidRPr="00F16251">
        <w:rPr>
          <w:rFonts w:cstheme="minorHAnsi"/>
        </w:rPr>
        <w:t>przyczynić</w:t>
      </w:r>
      <w:r w:rsidR="003B50ED" w:rsidRPr="00F16251">
        <w:rPr>
          <w:rFonts w:cstheme="minorHAnsi"/>
        </w:rPr>
        <w:t xml:space="preserve"> </w:t>
      </w:r>
      <w:r w:rsidRPr="00F16251">
        <w:rPr>
          <w:rFonts w:cstheme="minorHAnsi"/>
        </w:rPr>
        <w:t>się</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jeszcze</w:t>
      </w:r>
      <w:r w:rsidR="003B50ED" w:rsidRPr="00F16251">
        <w:rPr>
          <w:rFonts w:cstheme="minorHAnsi"/>
        </w:rPr>
        <w:t xml:space="preserve"> </w:t>
      </w:r>
      <w:r w:rsidRPr="00F16251">
        <w:rPr>
          <w:rFonts w:cstheme="minorHAnsi"/>
        </w:rPr>
        <w:t>lepszego</w:t>
      </w:r>
      <w:r w:rsidR="003B50ED" w:rsidRPr="00F16251">
        <w:rPr>
          <w:rFonts w:cstheme="minorHAnsi"/>
        </w:rPr>
        <w:t xml:space="preserve"> </w:t>
      </w:r>
      <w:r w:rsidRPr="00F16251">
        <w:rPr>
          <w:rFonts w:cstheme="minorHAnsi"/>
        </w:rPr>
        <w:t>funkcjonowania</w:t>
      </w:r>
      <w:r w:rsidR="001C27CF" w:rsidRPr="00F16251">
        <w:rPr>
          <w:rFonts w:cstheme="minorHAnsi"/>
        </w:rPr>
        <w:t xml:space="preserve"> LGD</w:t>
      </w:r>
      <w:r w:rsidR="003B50ED" w:rsidRPr="00F16251">
        <w:rPr>
          <w:rFonts w:cstheme="minorHAnsi"/>
        </w:rPr>
        <w:t xml:space="preserve"> </w:t>
      </w:r>
      <w:r w:rsidR="00D47463" w:rsidRPr="00F16251">
        <w:rPr>
          <w:rFonts w:cstheme="minorHAnsi"/>
        </w:rPr>
        <w:t xml:space="preserve">i </w:t>
      </w:r>
      <w:r w:rsidRPr="00F16251">
        <w:rPr>
          <w:rFonts w:cstheme="minorHAnsi"/>
        </w:rPr>
        <w:t>wdrażania</w:t>
      </w:r>
      <w:r w:rsidR="003B50ED" w:rsidRPr="00F16251">
        <w:rPr>
          <w:rFonts w:cstheme="minorHAnsi"/>
        </w:rPr>
        <w:t xml:space="preserve"> </w:t>
      </w:r>
      <w:r w:rsidRPr="00F16251">
        <w:rPr>
          <w:rFonts w:cstheme="minorHAnsi"/>
        </w:rPr>
        <w:t>LSR.</w:t>
      </w:r>
    </w:p>
    <w:p w14:paraId="03ADDCC6" w14:textId="10FE9487" w:rsidR="00F50A79" w:rsidRPr="00F16251" w:rsidRDefault="00F50A79" w:rsidP="00A26C26">
      <w:pPr>
        <w:spacing w:line="276" w:lineRule="auto"/>
        <w:ind w:firstLine="284"/>
        <w:jc w:val="both"/>
        <w:rPr>
          <w:rFonts w:cstheme="minorHAnsi"/>
        </w:rPr>
      </w:pPr>
      <w:r w:rsidRPr="00F16251">
        <w:rPr>
          <w:rFonts w:cstheme="minorHAnsi"/>
        </w:rPr>
        <w:t>Zachętą</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większej</w:t>
      </w:r>
      <w:r w:rsidR="003B50ED" w:rsidRPr="00F16251">
        <w:rPr>
          <w:rFonts w:cstheme="minorHAnsi"/>
        </w:rPr>
        <w:t xml:space="preserve"> </w:t>
      </w:r>
      <w:r w:rsidRPr="00F16251">
        <w:rPr>
          <w:rFonts w:cstheme="minorHAnsi"/>
        </w:rPr>
        <w:t>aktywności</w:t>
      </w:r>
      <w:r w:rsidR="003B50ED" w:rsidRPr="00F16251">
        <w:rPr>
          <w:rFonts w:cstheme="minorHAnsi"/>
        </w:rPr>
        <w:t xml:space="preserve"> </w:t>
      </w:r>
      <w:r w:rsidRPr="00F16251">
        <w:rPr>
          <w:rFonts w:cstheme="minorHAnsi"/>
        </w:rPr>
        <w:t>członków</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ramach</w:t>
      </w:r>
      <w:r w:rsidR="003B50ED" w:rsidRPr="00F16251">
        <w:rPr>
          <w:rFonts w:cstheme="minorHAnsi"/>
        </w:rPr>
        <w:t xml:space="preserve"> </w:t>
      </w:r>
      <w:r w:rsidRPr="00F16251">
        <w:rPr>
          <w:rFonts w:cstheme="minorHAnsi"/>
        </w:rPr>
        <w:t>działalności</w:t>
      </w:r>
      <w:r w:rsidR="003B50ED" w:rsidRPr="00F16251">
        <w:rPr>
          <w:rFonts w:cstheme="minorHAnsi"/>
        </w:rPr>
        <w:t xml:space="preserve"> </w:t>
      </w:r>
      <w:r w:rsidR="00D47463" w:rsidRPr="00F16251">
        <w:rPr>
          <w:rFonts w:cstheme="minorHAnsi"/>
        </w:rPr>
        <w:t xml:space="preserve">Stowarzyszenia „Solidarni w Partnerstwie” będzie organizacja </w:t>
      </w:r>
      <w:r w:rsidRPr="00F16251">
        <w:rPr>
          <w:rFonts w:cstheme="minorHAnsi"/>
        </w:rPr>
        <w:t>panel</w:t>
      </w:r>
      <w:r w:rsidR="00D47463" w:rsidRPr="00F16251">
        <w:rPr>
          <w:rFonts w:cstheme="minorHAnsi"/>
        </w:rPr>
        <w:t>i</w:t>
      </w:r>
      <w:r w:rsidR="003B50ED" w:rsidRPr="00F16251">
        <w:rPr>
          <w:rFonts w:cstheme="minorHAnsi"/>
        </w:rPr>
        <w:t xml:space="preserve"> </w:t>
      </w:r>
      <w:r w:rsidRPr="00F16251">
        <w:rPr>
          <w:rFonts w:cstheme="minorHAnsi"/>
        </w:rPr>
        <w:t>dyskusyjnych</w:t>
      </w:r>
      <w:r w:rsidR="00D47463" w:rsidRPr="00F16251">
        <w:rPr>
          <w:rFonts w:cstheme="minorHAnsi"/>
        </w:rPr>
        <w:t xml:space="preserve">, grup roboczych </w:t>
      </w:r>
      <w:r w:rsidRPr="00F16251">
        <w:rPr>
          <w:rFonts w:cstheme="minorHAnsi"/>
        </w:rPr>
        <w:t>lub</w:t>
      </w:r>
      <w:r w:rsidR="003B50ED" w:rsidRPr="00F16251">
        <w:rPr>
          <w:rFonts w:cstheme="minorHAnsi"/>
        </w:rPr>
        <w:t xml:space="preserve"> </w:t>
      </w:r>
      <w:r w:rsidRPr="00F16251">
        <w:rPr>
          <w:rFonts w:cstheme="minorHAnsi"/>
        </w:rPr>
        <w:t>internetowych</w:t>
      </w:r>
      <w:r w:rsidR="003B50ED" w:rsidRPr="00F16251">
        <w:rPr>
          <w:rFonts w:cstheme="minorHAnsi"/>
        </w:rPr>
        <w:t xml:space="preserve"> </w:t>
      </w:r>
      <w:r w:rsidRPr="00F16251">
        <w:rPr>
          <w:rFonts w:cstheme="minorHAnsi"/>
        </w:rPr>
        <w:t>for</w:t>
      </w:r>
      <w:r w:rsidR="00D47463" w:rsidRPr="00F16251">
        <w:rPr>
          <w:rFonts w:cstheme="minorHAnsi"/>
        </w:rPr>
        <w:t xml:space="preserve">ów, np. </w:t>
      </w:r>
      <w:r w:rsidRPr="00F16251">
        <w:rPr>
          <w:rFonts w:cstheme="minorHAnsi"/>
        </w:rPr>
        <w:t>w</w:t>
      </w:r>
      <w:r w:rsidR="003B50ED" w:rsidRPr="00F16251">
        <w:rPr>
          <w:rFonts w:cstheme="minorHAnsi"/>
        </w:rPr>
        <w:t xml:space="preserve"> </w:t>
      </w:r>
      <w:r w:rsidRPr="00F16251">
        <w:rPr>
          <w:rFonts w:cstheme="minorHAnsi"/>
        </w:rPr>
        <w:t>celu</w:t>
      </w:r>
      <w:r w:rsidR="003B50ED" w:rsidRPr="00F16251">
        <w:rPr>
          <w:rFonts w:cstheme="minorHAnsi"/>
        </w:rPr>
        <w:t xml:space="preserve"> </w:t>
      </w:r>
      <w:r w:rsidRPr="00F16251">
        <w:rPr>
          <w:rFonts w:cstheme="minorHAnsi"/>
        </w:rPr>
        <w:t>podsumowania</w:t>
      </w:r>
      <w:r w:rsidR="003B50ED" w:rsidRPr="00F16251">
        <w:rPr>
          <w:rFonts w:cstheme="minorHAnsi"/>
        </w:rPr>
        <w:t xml:space="preserve"> </w:t>
      </w:r>
      <w:r w:rsidRPr="00F16251">
        <w:rPr>
          <w:rFonts w:cstheme="minorHAnsi"/>
        </w:rPr>
        <w:t>działalności</w:t>
      </w:r>
      <w:r w:rsidR="00D47463" w:rsidRPr="00F16251">
        <w:rPr>
          <w:rFonts w:cstheme="minorHAnsi"/>
        </w:rPr>
        <w:t>.</w:t>
      </w:r>
    </w:p>
    <w:p w14:paraId="3E7E3223" w14:textId="2E37F780" w:rsidR="00AF24A4" w:rsidRPr="00F16251" w:rsidRDefault="00B50849" w:rsidP="00A26C26">
      <w:pPr>
        <w:spacing w:line="276" w:lineRule="auto"/>
        <w:ind w:firstLine="284"/>
        <w:jc w:val="both"/>
        <w:rPr>
          <w:rFonts w:cstheme="minorHAnsi"/>
        </w:rPr>
      </w:pPr>
      <w:r w:rsidRPr="00F16251">
        <w:rPr>
          <w:rFonts w:cstheme="minorHAnsi"/>
        </w:rPr>
        <w:t xml:space="preserve">Stowarzyszenie „Solidarni w Partnerstwie” </w:t>
      </w:r>
      <w:r w:rsidR="00AF24A4" w:rsidRPr="00F16251">
        <w:rPr>
          <w:rFonts w:cstheme="minorHAnsi"/>
        </w:rPr>
        <w:t>jest</w:t>
      </w:r>
      <w:r w:rsidR="003B50ED" w:rsidRPr="00F16251">
        <w:rPr>
          <w:rFonts w:cstheme="minorHAnsi"/>
        </w:rPr>
        <w:t xml:space="preserve"> </w:t>
      </w:r>
      <w:r w:rsidR="00AF24A4" w:rsidRPr="00F16251">
        <w:rPr>
          <w:rFonts w:cstheme="minorHAnsi"/>
        </w:rPr>
        <w:t>organizacją</w:t>
      </w:r>
      <w:r w:rsidR="003B50ED" w:rsidRPr="00F16251">
        <w:rPr>
          <w:rFonts w:cstheme="minorHAnsi"/>
        </w:rPr>
        <w:t xml:space="preserve"> </w:t>
      </w:r>
      <w:proofErr w:type="spellStart"/>
      <w:r w:rsidR="00AF24A4" w:rsidRPr="00F16251">
        <w:rPr>
          <w:rFonts w:cstheme="minorHAnsi"/>
        </w:rPr>
        <w:t>inkluzywną</w:t>
      </w:r>
      <w:proofErr w:type="spellEnd"/>
      <w:r w:rsidR="00AF24A4" w:rsidRPr="00F16251">
        <w:rPr>
          <w:rFonts w:cstheme="minorHAnsi"/>
        </w:rPr>
        <w:t>,</w:t>
      </w:r>
      <w:r w:rsidR="003B50ED" w:rsidRPr="00F16251">
        <w:rPr>
          <w:rFonts w:cstheme="minorHAnsi"/>
        </w:rPr>
        <w:t xml:space="preserve"> </w:t>
      </w:r>
      <w:r w:rsidR="00AF24A4" w:rsidRPr="00F16251">
        <w:rPr>
          <w:rFonts w:cstheme="minorHAnsi"/>
        </w:rPr>
        <w:t>co</w:t>
      </w:r>
      <w:r w:rsidR="003B50ED" w:rsidRPr="00F16251">
        <w:rPr>
          <w:rFonts w:cstheme="minorHAnsi"/>
        </w:rPr>
        <w:t xml:space="preserve"> </w:t>
      </w:r>
      <w:r w:rsidR="00AF24A4" w:rsidRPr="00F16251">
        <w:rPr>
          <w:rFonts w:cstheme="minorHAnsi"/>
        </w:rPr>
        <w:t>oznacza,</w:t>
      </w:r>
      <w:r w:rsidR="003B50ED" w:rsidRPr="00F16251">
        <w:rPr>
          <w:rFonts w:cstheme="minorHAnsi"/>
        </w:rPr>
        <w:t xml:space="preserve"> </w:t>
      </w:r>
      <w:r w:rsidR="00AF24A4" w:rsidRPr="00F16251">
        <w:rPr>
          <w:rFonts w:cstheme="minorHAnsi"/>
        </w:rPr>
        <w:t>że</w:t>
      </w:r>
      <w:r w:rsidR="003B50ED" w:rsidRPr="00F16251">
        <w:rPr>
          <w:rFonts w:cstheme="minorHAnsi"/>
        </w:rPr>
        <w:t xml:space="preserve"> </w:t>
      </w:r>
      <w:r w:rsidR="00AF24A4" w:rsidRPr="00F16251">
        <w:rPr>
          <w:rFonts w:cstheme="minorHAnsi"/>
        </w:rPr>
        <w:t>jest</w:t>
      </w:r>
      <w:r w:rsidR="003B50ED" w:rsidRPr="00F16251">
        <w:rPr>
          <w:rFonts w:cstheme="minorHAnsi"/>
        </w:rPr>
        <w:t xml:space="preserve"> </w:t>
      </w:r>
      <w:r w:rsidR="00AF24A4" w:rsidRPr="00F16251">
        <w:rPr>
          <w:rFonts w:cstheme="minorHAnsi"/>
        </w:rPr>
        <w:t>otwart</w:t>
      </w:r>
      <w:r w:rsidRPr="00F16251">
        <w:rPr>
          <w:rFonts w:cstheme="minorHAnsi"/>
        </w:rPr>
        <w:t>e</w:t>
      </w:r>
      <w:r w:rsidR="003B50ED" w:rsidRPr="00F16251">
        <w:rPr>
          <w:rFonts w:cstheme="minorHAnsi"/>
        </w:rPr>
        <w:t xml:space="preserve"> </w:t>
      </w:r>
      <w:r w:rsidR="00AF24A4" w:rsidRPr="00F16251">
        <w:rPr>
          <w:rFonts w:cstheme="minorHAnsi"/>
        </w:rPr>
        <w:t>na</w:t>
      </w:r>
      <w:r w:rsidR="003B50ED" w:rsidRPr="00F16251">
        <w:rPr>
          <w:rFonts w:cstheme="minorHAnsi"/>
        </w:rPr>
        <w:t xml:space="preserve"> </w:t>
      </w:r>
      <w:r w:rsidR="00AF24A4" w:rsidRPr="00F16251">
        <w:rPr>
          <w:rFonts w:cstheme="minorHAnsi"/>
        </w:rPr>
        <w:t>nowych</w:t>
      </w:r>
      <w:r w:rsidR="003B50ED" w:rsidRPr="00F16251">
        <w:rPr>
          <w:rFonts w:cstheme="minorHAnsi"/>
        </w:rPr>
        <w:t xml:space="preserve"> </w:t>
      </w:r>
      <w:r w:rsidR="00AF24A4" w:rsidRPr="00F16251">
        <w:rPr>
          <w:rFonts w:cstheme="minorHAnsi"/>
        </w:rPr>
        <w:t>członków,</w:t>
      </w:r>
      <w:r w:rsidR="00F86146" w:rsidRPr="00F16251">
        <w:rPr>
          <w:rFonts w:cstheme="minorHAnsi"/>
        </w:rPr>
        <w:t xml:space="preserve"> co oznacza, że każdy, kto spełni wymagania określone w Statucie, może zostać członkiem LGD, co</w:t>
      </w:r>
      <w:r w:rsidR="003B50ED" w:rsidRPr="00F16251">
        <w:rPr>
          <w:rFonts w:cstheme="minorHAnsi"/>
        </w:rPr>
        <w:t xml:space="preserve"> </w:t>
      </w:r>
      <w:r w:rsidR="00AF24A4" w:rsidRPr="00F16251">
        <w:rPr>
          <w:rFonts w:cstheme="minorHAnsi"/>
        </w:rPr>
        <w:lastRenderedPageBreak/>
        <w:t>potwierdzają</w:t>
      </w:r>
      <w:r w:rsidR="003B50ED" w:rsidRPr="00F16251">
        <w:rPr>
          <w:rFonts w:cstheme="minorHAnsi"/>
        </w:rPr>
        <w:t xml:space="preserve"> </w:t>
      </w:r>
      <w:r w:rsidR="00AF24A4" w:rsidRPr="00F16251">
        <w:rPr>
          <w:rFonts w:cstheme="minorHAnsi"/>
        </w:rPr>
        <w:t>zapisy</w:t>
      </w:r>
      <w:r w:rsidR="003B50ED" w:rsidRPr="00F16251">
        <w:rPr>
          <w:rFonts w:cstheme="minorHAnsi"/>
        </w:rPr>
        <w:t xml:space="preserve"> </w:t>
      </w:r>
      <w:r w:rsidR="00AF24A4" w:rsidRPr="00F16251">
        <w:rPr>
          <w:rFonts w:cstheme="minorHAnsi"/>
        </w:rPr>
        <w:t>Statutu</w:t>
      </w:r>
      <w:r w:rsidR="003B50ED" w:rsidRPr="00F16251">
        <w:rPr>
          <w:rFonts w:cstheme="minorHAnsi"/>
        </w:rPr>
        <w:t xml:space="preserve"> </w:t>
      </w:r>
      <w:r w:rsidR="00AF24A4" w:rsidRPr="00F16251">
        <w:rPr>
          <w:rFonts w:cstheme="minorHAnsi"/>
        </w:rPr>
        <w:t>(III</w:t>
      </w:r>
      <w:r w:rsidR="003B50ED" w:rsidRPr="00F16251">
        <w:rPr>
          <w:rFonts w:cstheme="minorHAnsi"/>
        </w:rPr>
        <w:t xml:space="preserve"> </w:t>
      </w:r>
      <w:r w:rsidR="00AF24A4" w:rsidRPr="00F16251">
        <w:rPr>
          <w:rFonts w:cstheme="minorHAnsi"/>
        </w:rPr>
        <w:t>Rozdział</w:t>
      </w:r>
      <w:r w:rsidR="003B50ED" w:rsidRPr="00F16251">
        <w:rPr>
          <w:rFonts w:cstheme="minorHAnsi"/>
        </w:rPr>
        <w:t xml:space="preserve"> </w:t>
      </w:r>
      <w:r w:rsidR="00AF24A4" w:rsidRPr="00F16251">
        <w:rPr>
          <w:rFonts w:cstheme="minorHAnsi"/>
        </w:rPr>
        <w:t>Członkowie</w:t>
      </w:r>
      <w:r w:rsidR="003B50ED" w:rsidRPr="00F16251">
        <w:rPr>
          <w:rFonts w:cstheme="minorHAnsi"/>
        </w:rPr>
        <w:t xml:space="preserve"> </w:t>
      </w:r>
      <w:r w:rsidR="00AF24A4" w:rsidRPr="00F16251">
        <w:rPr>
          <w:rFonts w:cstheme="minorHAnsi"/>
        </w:rPr>
        <w:t>Stowarzyszenia)</w:t>
      </w:r>
      <w:r w:rsidR="00F86146" w:rsidRPr="00F16251">
        <w:rPr>
          <w:rFonts w:cstheme="minorHAnsi"/>
        </w:rPr>
        <w:t xml:space="preserve">. Ponadto, </w:t>
      </w:r>
      <w:r w:rsidR="00DA7A07" w:rsidRPr="00F16251">
        <w:rPr>
          <w:rFonts w:cstheme="minorHAnsi"/>
        </w:rPr>
        <w:t>z</w:t>
      </w:r>
      <w:r w:rsidR="00AF24A4" w:rsidRPr="00F16251">
        <w:rPr>
          <w:rFonts w:cstheme="minorHAnsi"/>
        </w:rPr>
        <w:t>apisy</w:t>
      </w:r>
      <w:r w:rsidR="003B50ED" w:rsidRPr="00F16251">
        <w:rPr>
          <w:rFonts w:cstheme="minorHAnsi"/>
        </w:rPr>
        <w:t xml:space="preserve"> </w:t>
      </w:r>
      <w:r w:rsidR="00AF24A4" w:rsidRPr="00F16251">
        <w:rPr>
          <w:rFonts w:cstheme="minorHAnsi"/>
        </w:rPr>
        <w:t>Statutu</w:t>
      </w:r>
      <w:r w:rsidR="003B50ED" w:rsidRPr="00F16251">
        <w:rPr>
          <w:rFonts w:cstheme="minorHAnsi"/>
        </w:rPr>
        <w:t xml:space="preserve"> </w:t>
      </w:r>
      <w:r w:rsidRPr="00F16251">
        <w:rPr>
          <w:rFonts w:cstheme="minorHAnsi"/>
        </w:rPr>
        <w:t xml:space="preserve">gwarantują </w:t>
      </w:r>
      <w:r w:rsidR="00AF24A4" w:rsidRPr="00F16251">
        <w:rPr>
          <w:rFonts w:cstheme="minorHAnsi"/>
        </w:rPr>
        <w:t>kadencyjność</w:t>
      </w:r>
      <w:r w:rsidR="003B50ED" w:rsidRPr="00F16251">
        <w:rPr>
          <w:rFonts w:cstheme="minorHAnsi"/>
        </w:rPr>
        <w:t xml:space="preserve"> </w:t>
      </w:r>
      <w:r w:rsidR="00AF24A4" w:rsidRPr="00F16251">
        <w:rPr>
          <w:rFonts w:cstheme="minorHAnsi"/>
        </w:rPr>
        <w:t>organów</w:t>
      </w:r>
      <w:r w:rsidR="003B50ED" w:rsidRPr="00F16251">
        <w:rPr>
          <w:rFonts w:cstheme="minorHAnsi"/>
        </w:rPr>
        <w:t xml:space="preserve"> </w:t>
      </w:r>
      <w:r w:rsidR="00AF24A4" w:rsidRPr="00F16251">
        <w:rPr>
          <w:rFonts w:cstheme="minorHAnsi"/>
        </w:rPr>
        <w:t>Stowarzyszenia</w:t>
      </w:r>
      <w:r w:rsidR="003B50ED" w:rsidRPr="00F16251">
        <w:rPr>
          <w:rFonts w:cstheme="minorHAnsi"/>
        </w:rPr>
        <w:t xml:space="preserve"> </w:t>
      </w:r>
      <w:r w:rsidR="00AF24A4" w:rsidRPr="00F16251">
        <w:rPr>
          <w:rFonts w:cstheme="minorHAnsi"/>
        </w:rPr>
        <w:t>(§</w:t>
      </w:r>
      <w:r w:rsidR="003B50ED" w:rsidRPr="00F16251">
        <w:rPr>
          <w:rFonts w:cstheme="minorHAnsi"/>
        </w:rPr>
        <w:t xml:space="preserve"> </w:t>
      </w:r>
      <w:r w:rsidR="00AF24A4" w:rsidRPr="00F16251">
        <w:rPr>
          <w:rFonts w:cstheme="minorHAnsi"/>
        </w:rPr>
        <w:t>20</w:t>
      </w:r>
      <w:r w:rsidR="003B50ED" w:rsidRPr="00F16251">
        <w:rPr>
          <w:rFonts w:cstheme="minorHAnsi"/>
        </w:rPr>
        <w:t xml:space="preserve"> </w:t>
      </w:r>
      <w:r w:rsidR="00AF24A4" w:rsidRPr="00F16251">
        <w:rPr>
          <w:rFonts w:cstheme="minorHAnsi"/>
        </w:rPr>
        <w:t>pkt</w:t>
      </w:r>
      <w:r w:rsidR="003B50ED" w:rsidRPr="00F16251">
        <w:rPr>
          <w:rFonts w:cstheme="minorHAnsi"/>
        </w:rPr>
        <w:t xml:space="preserve"> </w:t>
      </w:r>
      <w:r w:rsidR="00AF24A4" w:rsidRPr="00F16251">
        <w:rPr>
          <w:rFonts w:cstheme="minorHAnsi"/>
        </w:rPr>
        <w:t>5,</w:t>
      </w:r>
      <w:r w:rsidR="003B50ED" w:rsidRPr="00F16251">
        <w:rPr>
          <w:rFonts w:cstheme="minorHAnsi"/>
        </w:rPr>
        <w:t xml:space="preserve"> </w:t>
      </w:r>
      <w:r w:rsidR="00AF24A4" w:rsidRPr="00F16251">
        <w:rPr>
          <w:rFonts w:cstheme="minorHAnsi"/>
        </w:rPr>
        <w:t>§</w:t>
      </w:r>
      <w:r w:rsidR="003B50ED" w:rsidRPr="00F16251">
        <w:rPr>
          <w:rFonts w:cstheme="minorHAnsi"/>
        </w:rPr>
        <w:t xml:space="preserve"> </w:t>
      </w:r>
      <w:r w:rsidR="00AF24A4" w:rsidRPr="00F16251">
        <w:rPr>
          <w:rFonts w:cstheme="minorHAnsi"/>
        </w:rPr>
        <w:t>27</w:t>
      </w:r>
      <w:r w:rsidR="003B50ED" w:rsidRPr="00F16251">
        <w:rPr>
          <w:rFonts w:cstheme="minorHAnsi"/>
        </w:rPr>
        <w:t xml:space="preserve"> </w:t>
      </w:r>
      <w:r w:rsidR="00AF24A4" w:rsidRPr="00F16251">
        <w:rPr>
          <w:rFonts w:cstheme="minorHAnsi"/>
        </w:rPr>
        <w:t>pkt</w:t>
      </w:r>
      <w:r w:rsidR="003B50ED" w:rsidRPr="00F16251">
        <w:rPr>
          <w:rFonts w:cstheme="minorHAnsi"/>
        </w:rPr>
        <w:t xml:space="preserve"> </w:t>
      </w:r>
      <w:r w:rsidR="00AF24A4" w:rsidRPr="00F16251">
        <w:rPr>
          <w:rFonts w:cstheme="minorHAnsi"/>
        </w:rPr>
        <w:t>3,</w:t>
      </w:r>
      <w:r w:rsidR="003B50ED" w:rsidRPr="00F16251">
        <w:rPr>
          <w:rFonts w:cstheme="minorHAnsi"/>
        </w:rPr>
        <w:t xml:space="preserve"> </w:t>
      </w:r>
      <w:r w:rsidR="00AF24A4" w:rsidRPr="00F16251">
        <w:rPr>
          <w:rFonts w:cstheme="minorHAnsi"/>
        </w:rPr>
        <w:t>§</w:t>
      </w:r>
      <w:r w:rsidR="003B50ED" w:rsidRPr="00F16251">
        <w:rPr>
          <w:rFonts w:cstheme="minorHAnsi"/>
        </w:rPr>
        <w:t xml:space="preserve"> </w:t>
      </w:r>
      <w:r w:rsidR="00AF24A4" w:rsidRPr="00F16251">
        <w:rPr>
          <w:rFonts w:cstheme="minorHAnsi"/>
        </w:rPr>
        <w:t>34</w:t>
      </w:r>
      <w:r w:rsidR="003B50ED" w:rsidRPr="00F16251">
        <w:rPr>
          <w:rFonts w:cstheme="minorHAnsi"/>
        </w:rPr>
        <w:t xml:space="preserve"> </w:t>
      </w:r>
      <w:r w:rsidR="00AF24A4" w:rsidRPr="00F16251">
        <w:rPr>
          <w:rFonts w:cstheme="minorHAnsi"/>
        </w:rPr>
        <w:t>pkt</w:t>
      </w:r>
      <w:r w:rsidR="003B50ED" w:rsidRPr="00F16251">
        <w:rPr>
          <w:rFonts w:cstheme="minorHAnsi"/>
        </w:rPr>
        <w:t xml:space="preserve"> </w:t>
      </w:r>
      <w:r w:rsidR="00AF24A4" w:rsidRPr="00F16251">
        <w:rPr>
          <w:rFonts w:cstheme="minorHAnsi"/>
        </w:rPr>
        <w:t>6,)</w:t>
      </w:r>
      <w:r w:rsidR="00DA7A07" w:rsidRPr="00F16251">
        <w:rPr>
          <w:rFonts w:cstheme="minorHAnsi"/>
        </w:rPr>
        <w:t xml:space="preserve"> tj. kadencja </w:t>
      </w:r>
      <w:r w:rsidR="006A24B7" w:rsidRPr="00F16251">
        <w:rPr>
          <w:rFonts w:cstheme="minorHAnsi"/>
        </w:rPr>
        <w:t>każd</w:t>
      </w:r>
      <w:r w:rsidR="00361C66" w:rsidRPr="00F16251">
        <w:rPr>
          <w:rFonts w:cstheme="minorHAnsi"/>
        </w:rPr>
        <w:t xml:space="preserve">ego </w:t>
      </w:r>
      <w:r w:rsidR="006A24B7" w:rsidRPr="00F16251">
        <w:rPr>
          <w:rFonts w:cstheme="minorHAnsi"/>
        </w:rPr>
        <w:t>organ</w:t>
      </w:r>
      <w:r w:rsidR="00361C66" w:rsidRPr="00F16251">
        <w:rPr>
          <w:rFonts w:cstheme="minorHAnsi"/>
        </w:rPr>
        <w:t>u</w:t>
      </w:r>
      <w:r w:rsidR="006A24B7" w:rsidRPr="00F16251">
        <w:rPr>
          <w:rFonts w:cstheme="minorHAnsi"/>
        </w:rPr>
        <w:t xml:space="preserve"> </w:t>
      </w:r>
      <w:r w:rsidR="00361C66" w:rsidRPr="00F16251">
        <w:rPr>
          <w:rFonts w:cstheme="minorHAnsi"/>
        </w:rPr>
        <w:t xml:space="preserve">trwa </w:t>
      </w:r>
      <w:r w:rsidR="006A24B7" w:rsidRPr="00F16251">
        <w:rPr>
          <w:rFonts w:cstheme="minorHAnsi"/>
        </w:rPr>
        <w:t>5 lat</w:t>
      </w:r>
      <w:r w:rsidR="00361C66" w:rsidRPr="00F16251">
        <w:rPr>
          <w:rFonts w:cstheme="minorHAnsi"/>
        </w:rPr>
        <w:t>.</w:t>
      </w:r>
    </w:p>
    <w:p w14:paraId="64DDB7A6" w14:textId="77777777" w:rsidR="007A7550" w:rsidRPr="00F16251" w:rsidRDefault="007A7550" w:rsidP="00A26C26">
      <w:pPr>
        <w:spacing w:line="276" w:lineRule="auto"/>
        <w:rPr>
          <w:rFonts w:cstheme="minorHAnsi"/>
        </w:rPr>
      </w:pPr>
    </w:p>
    <w:p w14:paraId="5BDA21F9" w14:textId="30387A6A" w:rsidR="00F019BC" w:rsidRPr="00F16251" w:rsidRDefault="00DF4974" w:rsidP="008A412F">
      <w:pPr>
        <w:pStyle w:val="Nagwek2"/>
        <w:numPr>
          <w:ilvl w:val="0"/>
          <w:numId w:val="1"/>
        </w:numPr>
        <w:spacing w:before="0" w:line="276" w:lineRule="auto"/>
        <w:ind w:left="426" w:hanging="142"/>
        <w:jc w:val="both"/>
        <w:rPr>
          <w:rFonts w:asciiTheme="minorHAnsi" w:hAnsiTheme="minorHAnsi" w:cstheme="minorHAnsi"/>
          <w:b/>
          <w:bCs/>
          <w:sz w:val="22"/>
          <w:szCs w:val="22"/>
        </w:rPr>
      </w:pPr>
      <w:bookmarkStart w:id="9" w:name="_Toc136260185"/>
      <w:bookmarkStart w:id="10" w:name="_Toc136944395"/>
      <w:r w:rsidRPr="00F16251">
        <w:rPr>
          <w:rFonts w:asciiTheme="minorHAnsi" w:hAnsiTheme="minorHAnsi" w:cstheme="minorHAnsi"/>
          <w:b/>
          <w:bCs/>
          <w:sz w:val="22"/>
          <w:szCs w:val="22"/>
        </w:rPr>
        <w:t>Organ</w:t>
      </w:r>
      <w:r w:rsidR="003B50ED" w:rsidRPr="00F16251">
        <w:rPr>
          <w:rFonts w:asciiTheme="minorHAnsi" w:hAnsiTheme="minorHAnsi" w:cstheme="minorHAnsi"/>
          <w:b/>
          <w:bCs/>
          <w:sz w:val="22"/>
          <w:szCs w:val="22"/>
        </w:rPr>
        <w:t xml:space="preserve"> </w:t>
      </w:r>
      <w:r w:rsidRPr="00F16251">
        <w:rPr>
          <w:rFonts w:asciiTheme="minorHAnsi" w:hAnsiTheme="minorHAnsi" w:cstheme="minorHAnsi"/>
          <w:b/>
          <w:bCs/>
          <w:sz w:val="22"/>
          <w:szCs w:val="22"/>
        </w:rPr>
        <w:t>decyzyjny</w:t>
      </w:r>
      <w:bookmarkEnd w:id="9"/>
      <w:bookmarkEnd w:id="10"/>
    </w:p>
    <w:p w14:paraId="29552316" w14:textId="7568B47F" w:rsidR="0038786A" w:rsidRPr="00F16251" w:rsidRDefault="00885052" w:rsidP="00A26C26">
      <w:pPr>
        <w:spacing w:line="276" w:lineRule="auto"/>
        <w:ind w:firstLine="284"/>
        <w:jc w:val="both"/>
        <w:rPr>
          <w:rFonts w:cstheme="minorHAnsi"/>
        </w:rPr>
      </w:pPr>
      <w:r w:rsidRPr="00F16251">
        <w:rPr>
          <w:rFonts w:cstheme="minorHAnsi"/>
        </w:rPr>
        <w:t xml:space="preserve">Stowarzyszenie „Solidarni w Partnerstwie” </w:t>
      </w:r>
      <w:r w:rsidR="001432C5" w:rsidRPr="00F16251">
        <w:rPr>
          <w:rFonts w:cstheme="minorHAnsi"/>
        </w:rPr>
        <w:t>posiada</w:t>
      </w:r>
      <w:r w:rsidR="003B50ED" w:rsidRPr="00F16251">
        <w:rPr>
          <w:rFonts w:cstheme="minorHAnsi"/>
        </w:rPr>
        <w:t xml:space="preserve"> </w:t>
      </w:r>
      <w:r w:rsidR="001432C5" w:rsidRPr="00F16251">
        <w:rPr>
          <w:rFonts w:cstheme="minorHAnsi"/>
        </w:rPr>
        <w:t>wyłącznie</w:t>
      </w:r>
      <w:r w:rsidR="003B50ED" w:rsidRPr="00F16251">
        <w:rPr>
          <w:rFonts w:cstheme="minorHAnsi"/>
        </w:rPr>
        <w:t xml:space="preserve"> </w:t>
      </w:r>
      <w:r w:rsidR="001432C5" w:rsidRPr="00F16251">
        <w:rPr>
          <w:rFonts w:cstheme="minorHAnsi"/>
        </w:rPr>
        <w:t>jeden</w:t>
      </w:r>
      <w:r w:rsidR="003B50ED" w:rsidRPr="00F16251">
        <w:rPr>
          <w:rFonts w:cstheme="minorHAnsi"/>
        </w:rPr>
        <w:t xml:space="preserve"> </w:t>
      </w:r>
      <w:r w:rsidR="001432C5" w:rsidRPr="00F16251">
        <w:rPr>
          <w:rFonts w:cstheme="minorHAnsi"/>
        </w:rPr>
        <w:t>organ</w:t>
      </w:r>
      <w:r w:rsidR="003B50ED" w:rsidRPr="00F16251">
        <w:rPr>
          <w:rFonts w:cstheme="minorHAnsi"/>
        </w:rPr>
        <w:t xml:space="preserve"> </w:t>
      </w:r>
      <w:r w:rsidR="001432C5" w:rsidRPr="00F16251">
        <w:rPr>
          <w:rFonts w:cstheme="minorHAnsi"/>
        </w:rPr>
        <w:t>uprawniony</w:t>
      </w:r>
      <w:r w:rsidR="003B50ED" w:rsidRPr="00F16251">
        <w:rPr>
          <w:rFonts w:cstheme="minorHAnsi"/>
        </w:rPr>
        <w:t xml:space="preserve"> </w:t>
      </w:r>
      <w:r w:rsidR="001432C5" w:rsidRPr="00F16251">
        <w:rPr>
          <w:rFonts w:cstheme="minorHAnsi"/>
        </w:rPr>
        <w:t>do</w:t>
      </w:r>
      <w:r w:rsidR="003B50ED" w:rsidRPr="00F16251">
        <w:rPr>
          <w:rFonts w:cstheme="minorHAnsi"/>
        </w:rPr>
        <w:t xml:space="preserve"> </w:t>
      </w:r>
      <w:r w:rsidR="001432C5" w:rsidRPr="00F16251">
        <w:rPr>
          <w:rFonts w:cstheme="minorHAnsi"/>
        </w:rPr>
        <w:t>dokonywania</w:t>
      </w:r>
      <w:r w:rsidR="003B50ED" w:rsidRPr="00F16251">
        <w:rPr>
          <w:rFonts w:cstheme="minorHAnsi"/>
        </w:rPr>
        <w:t xml:space="preserve"> </w:t>
      </w:r>
      <w:r w:rsidR="001432C5" w:rsidRPr="00F16251">
        <w:rPr>
          <w:rFonts w:cstheme="minorHAnsi"/>
        </w:rPr>
        <w:t>wyboru</w:t>
      </w:r>
      <w:r w:rsidR="003B50ED" w:rsidRPr="00F16251">
        <w:rPr>
          <w:rFonts w:cstheme="minorHAnsi"/>
        </w:rPr>
        <w:t xml:space="preserve"> </w:t>
      </w:r>
      <w:r w:rsidR="001432C5" w:rsidRPr="00F16251">
        <w:rPr>
          <w:rFonts w:cstheme="minorHAnsi"/>
        </w:rPr>
        <w:t>operacji.</w:t>
      </w:r>
      <w:r w:rsidR="003B50ED" w:rsidRPr="00F16251">
        <w:rPr>
          <w:rFonts w:cstheme="minorHAnsi"/>
        </w:rPr>
        <w:t xml:space="preserve"> </w:t>
      </w:r>
      <w:r w:rsidR="009257BD" w:rsidRPr="00F16251">
        <w:rPr>
          <w:rFonts w:cstheme="minorHAnsi"/>
        </w:rPr>
        <w:t>Funkcję organu decyzyjnego pełni Rada LGD, do której wyłącznej kompetencji należy</w:t>
      </w:r>
      <w:r w:rsidR="009257BD" w:rsidRPr="00F16251">
        <w:rPr>
          <w:rFonts w:cstheme="minorHAnsi"/>
          <w:bCs/>
        </w:rPr>
        <w:t xml:space="preserve"> wybór operacji </w:t>
      </w:r>
      <w:r w:rsidR="00E477AB">
        <w:rPr>
          <w:rFonts w:cstheme="minorHAnsi"/>
          <w:bCs/>
        </w:rPr>
        <w:t xml:space="preserve">                         </w:t>
      </w:r>
      <w:r w:rsidR="009257BD" w:rsidRPr="00F16251">
        <w:rPr>
          <w:rFonts w:cstheme="minorHAnsi"/>
          <w:bCs/>
        </w:rPr>
        <w:t>w rozumieniu art. 2 pkt 4 ww. rozporządzenia 2021/1060, które mają być realizowane w ramach LSR oraz ustalenie kwoty wsparcia.</w:t>
      </w:r>
      <w:r w:rsidR="009257BD" w:rsidRPr="00F16251">
        <w:rPr>
          <w:rFonts w:cstheme="minorHAnsi"/>
        </w:rPr>
        <w:t xml:space="preserve"> </w:t>
      </w:r>
      <w:r w:rsidR="0038786A" w:rsidRPr="00F16251">
        <w:rPr>
          <w:rFonts w:cstheme="minorHAnsi"/>
        </w:rPr>
        <w:t>W</w:t>
      </w:r>
      <w:r w:rsidR="003B50ED" w:rsidRPr="00F16251">
        <w:rPr>
          <w:rFonts w:cstheme="minorHAnsi"/>
        </w:rPr>
        <w:t xml:space="preserve"> </w:t>
      </w:r>
      <w:r w:rsidR="0038786A" w:rsidRPr="00F16251">
        <w:rPr>
          <w:rFonts w:cstheme="minorHAnsi"/>
        </w:rPr>
        <w:t>skład</w:t>
      </w:r>
      <w:r w:rsidR="003B50ED" w:rsidRPr="00F16251">
        <w:rPr>
          <w:rFonts w:cstheme="minorHAnsi"/>
        </w:rPr>
        <w:t xml:space="preserve"> </w:t>
      </w:r>
      <w:r w:rsidR="0038786A" w:rsidRPr="00F16251">
        <w:rPr>
          <w:rFonts w:cstheme="minorHAnsi"/>
        </w:rPr>
        <w:t>organu</w:t>
      </w:r>
      <w:r w:rsidR="003B50ED" w:rsidRPr="00F16251">
        <w:rPr>
          <w:rFonts w:cstheme="minorHAnsi"/>
        </w:rPr>
        <w:t xml:space="preserve"> </w:t>
      </w:r>
      <w:r w:rsidR="0038786A" w:rsidRPr="00F16251">
        <w:rPr>
          <w:rFonts w:cstheme="minorHAnsi"/>
        </w:rPr>
        <w:t>decyzyjnego</w:t>
      </w:r>
      <w:r w:rsidR="003B50ED" w:rsidRPr="00F16251">
        <w:rPr>
          <w:rFonts w:cstheme="minorHAnsi"/>
        </w:rPr>
        <w:t xml:space="preserve"> </w:t>
      </w:r>
      <w:r w:rsidR="0038786A" w:rsidRPr="00F16251">
        <w:rPr>
          <w:rFonts w:cstheme="minorHAnsi"/>
        </w:rPr>
        <w:t>–</w:t>
      </w:r>
      <w:r w:rsidR="003B50ED" w:rsidRPr="00F16251">
        <w:rPr>
          <w:rFonts w:cstheme="minorHAnsi"/>
        </w:rPr>
        <w:t xml:space="preserve"> </w:t>
      </w:r>
      <w:r w:rsidR="0038786A" w:rsidRPr="00F16251">
        <w:rPr>
          <w:rFonts w:cstheme="minorHAnsi"/>
        </w:rPr>
        <w:t>Rady</w:t>
      </w:r>
      <w:r w:rsidR="003B50ED" w:rsidRPr="00F16251">
        <w:rPr>
          <w:rFonts w:cstheme="minorHAnsi"/>
        </w:rPr>
        <w:t xml:space="preserve"> </w:t>
      </w:r>
      <w:r w:rsidR="0038786A" w:rsidRPr="00F16251">
        <w:rPr>
          <w:rFonts w:cstheme="minorHAnsi"/>
        </w:rPr>
        <w:t>wchodzi</w:t>
      </w:r>
      <w:r w:rsidR="003B50ED" w:rsidRPr="00F16251">
        <w:rPr>
          <w:rFonts w:cstheme="minorHAnsi"/>
        </w:rPr>
        <w:t xml:space="preserve"> </w:t>
      </w:r>
      <w:r w:rsidRPr="00F16251">
        <w:rPr>
          <w:rFonts w:cstheme="minorHAnsi"/>
        </w:rPr>
        <w:t xml:space="preserve">12 </w:t>
      </w:r>
      <w:r w:rsidR="0038786A" w:rsidRPr="00F16251">
        <w:rPr>
          <w:rFonts w:cstheme="minorHAnsi"/>
        </w:rPr>
        <w:t>członków</w:t>
      </w:r>
      <w:r w:rsidR="00C70DD0" w:rsidRPr="00F16251">
        <w:rPr>
          <w:rFonts w:cstheme="minorHAnsi"/>
        </w:rPr>
        <w:t>;</w:t>
      </w:r>
      <w:r w:rsidR="003B50ED" w:rsidRPr="00F16251">
        <w:rPr>
          <w:rFonts w:cstheme="minorHAnsi"/>
        </w:rPr>
        <w:t xml:space="preserve"> </w:t>
      </w:r>
      <w:r w:rsidR="0038786A" w:rsidRPr="00F16251">
        <w:rPr>
          <w:rFonts w:cstheme="minorHAnsi"/>
        </w:rPr>
        <w:t>przedstawicieli</w:t>
      </w:r>
      <w:r w:rsidR="003B50ED" w:rsidRPr="00F16251">
        <w:rPr>
          <w:rFonts w:cstheme="minorHAnsi"/>
        </w:rPr>
        <w:t xml:space="preserve"> </w:t>
      </w:r>
      <w:r w:rsidR="0038786A" w:rsidRPr="00F16251">
        <w:rPr>
          <w:rFonts w:cstheme="minorHAnsi"/>
        </w:rPr>
        <w:t>władz</w:t>
      </w:r>
      <w:r w:rsidR="003B50ED" w:rsidRPr="00F16251">
        <w:rPr>
          <w:rFonts w:cstheme="minorHAnsi"/>
        </w:rPr>
        <w:t xml:space="preserve"> </w:t>
      </w:r>
      <w:r w:rsidR="0038786A" w:rsidRPr="00F16251">
        <w:rPr>
          <w:rFonts w:cstheme="minorHAnsi"/>
        </w:rPr>
        <w:t>publicznych,</w:t>
      </w:r>
      <w:r w:rsidR="003B50ED" w:rsidRPr="00F16251">
        <w:rPr>
          <w:rFonts w:cstheme="minorHAnsi"/>
        </w:rPr>
        <w:t xml:space="preserve"> </w:t>
      </w:r>
      <w:r w:rsidR="0038786A" w:rsidRPr="00F16251">
        <w:rPr>
          <w:rFonts w:cstheme="minorHAnsi"/>
        </w:rPr>
        <w:t>lokalnych</w:t>
      </w:r>
      <w:r w:rsidR="003B50ED" w:rsidRPr="00F16251">
        <w:rPr>
          <w:rFonts w:cstheme="minorHAnsi"/>
        </w:rPr>
        <w:t xml:space="preserve"> </w:t>
      </w:r>
      <w:r w:rsidR="0038786A" w:rsidRPr="00F16251">
        <w:rPr>
          <w:rFonts w:cstheme="minorHAnsi"/>
        </w:rPr>
        <w:t>partnerów</w:t>
      </w:r>
      <w:r w:rsidR="003B50ED" w:rsidRPr="00F16251">
        <w:rPr>
          <w:rFonts w:cstheme="minorHAnsi"/>
        </w:rPr>
        <w:t xml:space="preserve"> </w:t>
      </w:r>
      <w:r w:rsidR="0038786A" w:rsidRPr="00F16251">
        <w:rPr>
          <w:rFonts w:cstheme="minorHAnsi"/>
        </w:rPr>
        <w:t>społecznych</w:t>
      </w:r>
      <w:r w:rsidR="003B50ED" w:rsidRPr="00F16251">
        <w:rPr>
          <w:rFonts w:cstheme="minorHAnsi"/>
        </w:rPr>
        <w:t xml:space="preserve"> </w:t>
      </w:r>
      <w:r w:rsidR="0038786A" w:rsidRPr="00F16251">
        <w:rPr>
          <w:rFonts w:cstheme="minorHAnsi"/>
        </w:rPr>
        <w:t>i</w:t>
      </w:r>
      <w:r w:rsidR="003B50ED" w:rsidRPr="00F16251">
        <w:rPr>
          <w:rFonts w:cstheme="minorHAnsi"/>
        </w:rPr>
        <w:t xml:space="preserve"> </w:t>
      </w:r>
      <w:r w:rsidR="0038786A" w:rsidRPr="00F16251">
        <w:rPr>
          <w:rFonts w:cstheme="minorHAnsi"/>
        </w:rPr>
        <w:t>gospodarczych.</w:t>
      </w:r>
      <w:r w:rsidR="003B50ED" w:rsidRPr="00F16251">
        <w:rPr>
          <w:rFonts w:cstheme="minorHAnsi"/>
        </w:rPr>
        <w:t xml:space="preserve"> </w:t>
      </w:r>
      <w:r w:rsidR="00C70DD0" w:rsidRPr="00F16251">
        <w:rPr>
          <w:rFonts w:cstheme="minorHAnsi"/>
        </w:rPr>
        <w:t>Są</w:t>
      </w:r>
      <w:r w:rsidR="003B50ED" w:rsidRPr="00F16251">
        <w:rPr>
          <w:rFonts w:cstheme="minorHAnsi"/>
        </w:rPr>
        <w:t xml:space="preserve"> </w:t>
      </w:r>
      <w:r w:rsidR="00C70DD0" w:rsidRPr="00F16251">
        <w:rPr>
          <w:rFonts w:cstheme="minorHAnsi"/>
        </w:rPr>
        <w:t>to</w:t>
      </w:r>
      <w:r w:rsidR="003B50ED" w:rsidRPr="00F16251">
        <w:rPr>
          <w:rFonts w:cstheme="minorHAnsi"/>
        </w:rPr>
        <w:t xml:space="preserve"> </w:t>
      </w:r>
      <w:r w:rsidRPr="00F16251">
        <w:rPr>
          <w:rFonts w:cstheme="minorHAnsi"/>
        </w:rPr>
        <w:t xml:space="preserve">przedstawiciele </w:t>
      </w:r>
      <w:r w:rsidR="004806C7" w:rsidRPr="00F16251">
        <w:rPr>
          <w:rFonts w:cstheme="minorHAnsi"/>
        </w:rPr>
        <w:t>urzędów</w:t>
      </w:r>
      <w:r w:rsidR="003B50ED" w:rsidRPr="00F16251">
        <w:rPr>
          <w:rFonts w:cstheme="minorHAnsi"/>
        </w:rPr>
        <w:t xml:space="preserve"> </w:t>
      </w:r>
      <w:r w:rsidR="004806C7" w:rsidRPr="00F16251">
        <w:rPr>
          <w:rFonts w:cstheme="minorHAnsi"/>
        </w:rPr>
        <w:t>gmin</w:t>
      </w:r>
      <w:r w:rsidR="00C70DD0" w:rsidRPr="00F16251">
        <w:rPr>
          <w:rFonts w:cstheme="minorHAnsi"/>
        </w:rPr>
        <w:t>,</w:t>
      </w:r>
      <w:r w:rsidR="003B50ED" w:rsidRPr="00F16251">
        <w:rPr>
          <w:rFonts w:cstheme="minorHAnsi"/>
        </w:rPr>
        <w:t xml:space="preserve"> </w:t>
      </w:r>
      <w:r w:rsidR="004806C7" w:rsidRPr="00F16251">
        <w:rPr>
          <w:rFonts w:cstheme="minorHAnsi"/>
        </w:rPr>
        <w:t>jednostek</w:t>
      </w:r>
      <w:r w:rsidR="003B50ED" w:rsidRPr="00F16251">
        <w:rPr>
          <w:rFonts w:cstheme="minorHAnsi"/>
        </w:rPr>
        <w:t xml:space="preserve"> </w:t>
      </w:r>
      <w:r w:rsidR="004806C7" w:rsidRPr="00F16251">
        <w:rPr>
          <w:rFonts w:cstheme="minorHAnsi"/>
        </w:rPr>
        <w:t>organizacyjnych</w:t>
      </w:r>
      <w:r w:rsidR="003B50ED" w:rsidRPr="00F16251">
        <w:rPr>
          <w:rFonts w:cstheme="minorHAnsi"/>
        </w:rPr>
        <w:t xml:space="preserve"> </w:t>
      </w:r>
      <w:r w:rsidR="004806C7" w:rsidRPr="00F16251">
        <w:rPr>
          <w:rFonts w:cstheme="minorHAnsi"/>
        </w:rPr>
        <w:t>oraz</w:t>
      </w:r>
      <w:r w:rsidR="003B50ED" w:rsidRPr="00F16251">
        <w:rPr>
          <w:rFonts w:cstheme="minorHAnsi"/>
        </w:rPr>
        <w:t xml:space="preserve"> </w:t>
      </w:r>
      <w:r w:rsidR="00C70DD0" w:rsidRPr="00F16251">
        <w:rPr>
          <w:rFonts w:cstheme="minorHAnsi"/>
        </w:rPr>
        <w:t>członkowie</w:t>
      </w:r>
      <w:r w:rsidR="003B50ED" w:rsidRPr="00F16251">
        <w:rPr>
          <w:rFonts w:cstheme="minorHAnsi"/>
        </w:rPr>
        <w:t xml:space="preserve"> </w:t>
      </w:r>
      <w:r w:rsidR="00C70DD0" w:rsidRPr="00F16251">
        <w:rPr>
          <w:rFonts w:cstheme="minorHAnsi"/>
        </w:rPr>
        <w:t>lokalnych</w:t>
      </w:r>
      <w:r w:rsidR="003B50ED" w:rsidRPr="00F16251">
        <w:rPr>
          <w:rFonts w:cstheme="minorHAnsi"/>
        </w:rPr>
        <w:t xml:space="preserve"> </w:t>
      </w:r>
      <w:r w:rsidR="00C70DD0" w:rsidRPr="00F16251">
        <w:rPr>
          <w:rFonts w:cstheme="minorHAnsi"/>
        </w:rPr>
        <w:t>stowarzyszeń</w:t>
      </w:r>
      <w:r w:rsidR="003B50ED" w:rsidRPr="00F16251">
        <w:rPr>
          <w:rFonts w:cstheme="minorHAnsi"/>
        </w:rPr>
        <w:t xml:space="preserve"> </w:t>
      </w:r>
      <w:r w:rsidR="00C70DD0" w:rsidRPr="00F16251">
        <w:rPr>
          <w:rFonts w:cstheme="minorHAnsi"/>
        </w:rPr>
        <w:t>oraz</w:t>
      </w:r>
      <w:r w:rsidR="003B50ED" w:rsidRPr="00F16251">
        <w:rPr>
          <w:rFonts w:cstheme="minorHAnsi"/>
        </w:rPr>
        <w:t xml:space="preserve"> </w:t>
      </w:r>
      <w:r w:rsidR="00C70DD0" w:rsidRPr="00F16251">
        <w:rPr>
          <w:rFonts w:cstheme="minorHAnsi"/>
        </w:rPr>
        <w:t>mieszkańcy</w:t>
      </w:r>
      <w:r w:rsidR="003B50ED" w:rsidRPr="00F16251">
        <w:rPr>
          <w:rFonts w:cstheme="minorHAnsi"/>
        </w:rPr>
        <w:t xml:space="preserve"> </w:t>
      </w:r>
      <w:r w:rsidR="00C70DD0" w:rsidRPr="00F16251">
        <w:rPr>
          <w:rFonts w:cstheme="minorHAnsi"/>
        </w:rPr>
        <w:t>gmin</w:t>
      </w:r>
      <w:r w:rsidR="003B50ED" w:rsidRPr="00F16251">
        <w:rPr>
          <w:rFonts w:cstheme="minorHAnsi"/>
        </w:rPr>
        <w:t xml:space="preserve"> </w:t>
      </w:r>
      <w:r w:rsidR="00C70DD0" w:rsidRPr="00F16251">
        <w:rPr>
          <w:rFonts w:cstheme="minorHAnsi"/>
        </w:rPr>
        <w:t>członkowskich</w:t>
      </w:r>
      <w:r w:rsidR="003B50ED" w:rsidRPr="00F16251">
        <w:rPr>
          <w:rFonts w:cstheme="minorHAnsi"/>
        </w:rPr>
        <w:t xml:space="preserve"> </w:t>
      </w:r>
      <w:r w:rsidR="00C70DD0" w:rsidRPr="00F16251">
        <w:rPr>
          <w:rFonts w:cstheme="minorHAnsi"/>
        </w:rPr>
        <w:t>niezaangażowani</w:t>
      </w:r>
      <w:r w:rsidR="003B50ED" w:rsidRPr="00F16251">
        <w:rPr>
          <w:rFonts w:cstheme="minorHAnsi"/>
        </w:rPr>
        <w:t xml:space="preserve"> </w:t>
      </w:r>
      <w:r w:rsidR="00C70DD0" w:rsidRPr="00F16251">
        <w:rPr>
          <w:rFonts w:cstheme="minorHAnsi"/>
        </w:rPr>
        <w:t>bezpośrednio</w:t>
      </w:r>
      <w:r w:rsidR="003B50ED" w:rsidRPr="00F16251">
        <w:rPr>
          <w:rFonts w:cstheme="minorHAnsi"/>
        </w:rPr>
        <w:t xml:space="preserve"> </w:t>
      </w:r>
      <w:r w:rsidRPr="00F16251">
        <w:rPr>
          <w:rFonts w:cstheme="minorHAnsi"/>
        </w:rPr>
        <w:br/>
      </w:r>
      <w:r w:rsidR="00C70DD0" w:rsidRPr="00F16251">
        <w:rPr>
          <w:rFonts w:cstheme="minorHAnsi"/>
        </w:rPr>
        <w:t>w</w:t>
      </w:r>
      <w:r w:rsidR="003B50ED" w:rsidRPr="00F16251">
        <w:rPr>
          <w:rFonts w:cstheme="minorHAnsi"/>
        </w:rPr>
        <w:t xml:space="preserve"> </w:t>
      </w:r>
      <w:r w:rsidR="00C70DD0" w:rsidRPr="00F16251">
        <w:rPr>
          <w:rFonts w:cstheme="minorHAnsi"/>
        </w:rPr>
        <w:t>działalność</w:t>
      </w:r>
      <w:r w:rsidR="003B50ED" w:rsidRPr="00F16251">
        <w:rPr>
          <w:rFonts w:cstheme="minorHAnsi"/>
        </w:rPr>
        <w:t xml:space="preserve"> </w:t>
      </w:r>
      <w:r w:rsidR="00C70DD0" w:rsidRPr="00F16251">
        <w:rPr>
          <w:rFonts w:cstheme="minorHAnsi"/>
        </w:rPr>
        <w:t>organizacji</w:t>
      </w:r>
      <w:r w:rsidR="003B50ED" w:rsidRPr="00F16251">
        <w:rPr>
          <w:rFonts w:cstheme="minorHAnsi"/>
        </w:rPr>
        <w:t xml:space="preserve"> </w:t>
      </w:r>
      <w:r w:rsidR="00C70DD0" w:rsidRPr="00F16251">
        <w:rPr>
          <w:rFonts w:cstheme="minorHAnsi"/>
        </w:rPr>
        <w:t>pozarządowych</w:t>
      </w:r>
      <w:r w:rsidR="0038786A" w:rsidRPr="00F16251">
        <w:rPr>
          <w:rFonts w:cstheme="minorHAnsi"/>
        </w:rPr>
        <w:t>.</w:t>
      </w:r>
      <w:r w:rsidR="003B50ED" w:rsidRPr="00F16251">
        <w:rPr>
          <w:rFonts w:cstheme="minorHAnsi"/>
        </w:rPr>
        <w:t xml:space="preserve"> </w:t>
      </w:r>
      <w:r w:rsidR="0038786A" w:rsidRPr="00F16251">
        <w:rPr>
          <w:rFonts w:cstheme="minorHAnsi"/>
        </w:rPr>
        <w:t>W</w:t>
      </w:r>
      <w:r w:rsidR="003B50ED" w:rsidRPr="00F16251">
        <w:rPr>
          <w:rFonts w:cstheme="minorHAnsi"/>
        </w:rPr>
        <w:t xml:space="preserve"> </w:t>
      </w:r>
      <w:r w:rsidR="0038786A" w:rsidRPr="00F16251">
        <w:rPr>
          <w:rFonts w:cstheme="minorHAnsi"/>
        </w:rPr>
        <w:t>skład</w:t>
      </w:r>
      <w:r w:rsidR="003B50ED" w:rsidRPr="00F16251">
        <w:rPr>
          <w:rFonts w:cstheme="minorHAnsi"/>
        </w:rPr>
        <w:t xml:space="preserve"> </w:t>
      </w:r>
      <w:r w:rsidR="0038786A" w:rsidRPr="00F16251">
        <w:rPr>
          <w:rFonts w:cstheme="minorHAnsi"/>
        </w:rPr>
        <w:t>Rady</w:t>
      </w:r>
      <w:r w:rsidR="003B50ED" w:rsidRPr="00F16251">
        <w:rPr>
          <w:rFonts w:cstheme="minorHAnsi"/>
        </w:rPr>
        <w:t xml:space="preserve"> </w:t>
      </w:r>
      <w:r w:rsidR="0038786A" w:rsidRPr="00F16251">
        <w:rPr>
          <w:rFonts w:cstheme="minorHAnsi"/>
        </w:rPr>
        <w:t>wchodzą</w:t>
      </w:r>
      <w:r w:rsidR="003B50ED" w:rsidRPr="00F16251">
        <w:rPr>
          <w:rFonts w:cstheme="minorHAnsi"/>
        </w:rPr>
        <w:t xml:space="preserve"> </w:t>
      </w:r>
      <w:r w:rsidR="0038786A" w:rsidRPr="00F16251">
        <w:rPr>
          <w:rFonts w:cstheme="minorHAnsi"/>
        </w:rPr>
        <w:t>również</w:t>
      </w:r>
      <w:r w:rsidR="003B50ED" w:rsidRPr="00F16251">
        <w:rPr>
          <w:rFonts w:cstheme="minorHAnsi"/>
        </w:rPr>
        <w:t xml:space="preserve"> </w:t>
      </w:r>
      <w:r w:rsidR="0038786A" w:rsidRPr="00F16251">
        <w:rPr>
          <w:rFonts w:cstheme="minorHAnsi"/>
        </w:rPr>
        <w:t>osoby</w:t>
      </w:r>
      <w:r w:rsidR="003B50ED" w:rsidRPr="00F16251">
        <w:rPr>
          <w:rFonts w:cstheme="minorHAnsi"/>
        </w:rPr>
        <w:t xml:space="preserve"> </w:t>
      </w:r>
      <w:r w:rsidR="0038786A" w:rsidRPr="00F16251">
        <w:rPr>
          <w:rFonts w:cstheme="minorHAnsi"/>
        </w:rPr>
        <w:t>prowadzące</w:t>
      </w:r>
      <w:r w:rsidR="003B50ED" w:rsidRPr="00F16251">
        <w:rPr>
          <w:rFonts w:cstheme="minorHAnsi"/>
        </w:rPr>
        <w:t xml:space="preserve"> </w:t>
      </w:r>
      <w:r w:rsidR="0038786A" w:rsidRPr="00F16251">
        <w:rPr>
          <w:rFonts w:cstheme="minorHAnsi"/>
        </w:rPr>
        <w:t>działalność</w:t>
      </w:r>
      <w:r w:rsidR="003B50ED" w:rsidRPr="00F16251">
        <w:rPr>
          <w:rFonts w:cstheme="minorHAnsi"/>
        </w:rPr>
        <w:t xml:space="preserve"> </w:t>
      </w:r>
      <w:r w:rsidR="0038786A" w:rsidRPr="00F16251">
        <w:rPr>
          <w:rFonts w:cstheme="minorHAnsi"/>
        </w:rPr>
        <w:t>gospodarczą.</w:t>
      </w:r>
      <w:r w:rsidR="007315F2">
        <w:rPr>
          <w:rFonts w:cstheme="minorHAnsi"/>
        </w:rPr>
        <w:t xml:space="preserve"> </w:t>
      </w:r>
      <w:r w:rsidR="003B50ED" w:rsidRPr="00F16251">
        <w:rPr>
          <w:rFonts w:cstheme="minorHAnsi"/>
        </w:rPr>
        <w:t xml:space="preserve"> </w:t>
      </w:r>
    </w:p>
    <w:p w14:paraId="5CC4D053" w14:textId="3AADBA5D" w:rsidR="00885052" w:rsidRPr="00F16251" w:rsidRDefault="00177F2B" w:rsidP="00885052">
      <w:pPr>
        <w:spacing w:line="276" w:lineRule="auto"/>
        <w:ind w:firstLine="284"/>
        <w:jc w:val="both"/>
        <w:rPr>
          <w:rFonts w:cstheme="minorHAnsi"/>
        </w:rPr>
      </w:pPr>
      <w:r w:rsidRPr="00F16251">
        <w:rPr>
          <w:rFonts w:cstheme="minorHAnsi"/>
        </w:rPr>
        <w:t>Taki</w:t>
      </w:r>
      <w:r w:rsidR="003B50ED" w:rsidRPr="00F16251">
        <w:rPr>
          <w:rFonts w:cstheme="minorHAnsi"/>
        </w:rPr>
        <w:t xml:space="preserve"> </w:t>
      </w:r>
      <w:r w:rsidRPr="00F16251">
        <w:rPr>
          <w:rFonts w:cstheme="minorHAnsi"/>
        </w:rPr>
        <w:t>skład</w:t>
      </w:r>
      <w:r w:rsidR="003B50ED" w:rsidRPr="00F16251">
        <w:rPr>
          <w:rFonts w:cstheme="minorHAnsi"/>
        </w:rPr>
        <w:t xml:space="preserve"> </w:t>
      </w:r>
      <w:r w:rsidRPr="00F16251">
        <w:rPr>
          <w:rFonts w:cstheme="minorHAnsi"/>
        </w:rPr>
        <w:t>Rady</w:t>
      </w:r>
      <w:r w:rsidR="003B50ED" w:rsidRPr="00F16251">
        <w:rPr>
          <w:rFonts w:cstheme="minorHAnsi"/>
        </w:rPr>
        <w:t xml:space="preserve"> </w:t>
      </w:r>
      <w:r w:rsidRPr="00F16251">
        <w:rPr>
          <w:rFonts w:cstheme="minorHAnsi"/>
        </w:rPr>
        <w:t>zapewnia,</w:t>
      </w:r>
      <w:r w:rsidR="003B50ED" w:rsidRPr="00F16251">
        <w:rPr>
          <w:rFonts w:cstheme="minorHAnsi"/>
        </w:rPr>
        <w:t xml:space="preserve"> </w:t>
      </w:r>
      <w:r w:rsidRPr="00F16251">
        <w:rPr>
          <w:rFonts w:cstheme="minorHAnsi"/>
        </w:rPr>
        <w:t>iż</w:t>
      </w:r>
      <w:r w:rsidR="003B50ED" w:rsidRPr="00F16251">
        <w:rPr>
          <w:rFonts w:cstheme="minorHAnsi"/>
        </w:rPr>
        <w:t xml:space="preserve"> </w:t>
      </w:r>
      <w:r w:rsidRPr="00F16251">
        <w:rPr>
          <w:rFonts w:cstheme="minorHAnsi"/>
        </w:rPr>
        <w:t>proces</w:t>
      </w:r>
      <w:r w:rsidR="003B50ED" w:rsidRPr="00F16251">
        <w:rPr>
          <w:rFonts w:cstheme="minorHAnsi"/>
        </w:rPr>
        <w:t xml:space="preserve"> </w:t>
      </w:r>
      <w:r w:rsidRPr="00F16251">
        <w:rPr>
          <w:rFonts w:cstheme="minorHAnsi"/>
        </w:rPr>
        <w:t>decyzyjny</w:t>
      </w:r>
      <w:r w:rsidR="003B50ED" w:rsidRPr="00F16251">
        <w:rPr>
          <w:rFonts w:cstheme="minorHAnsi"/>
        </w:rPr>
        <w:t xml:space="preserve"> </w:t>
      </w:r>
      <w:r w:rsidRPr="00F16251">
        <w:rPr>
          <w:rFonts w:cstheme="minorHAnsi"/>
        </w:rPr>
        <w:t>nie</w:t>
      </w:r>
      <w:r w:rsidR="003B50ED" w:rsidRPr="00F16251">
        <w:rPr>
          <w:rFonts w:cstheme="minorHAnsi"/>
        </w:rPr>
        <w:t xml:space="preserve"> </w:t>
      </w:r>
      <w:r w:rsidRPr="00F16251">
        <w:rPr>
          <w:rFonts w:cstheme="minorHAnsi"/>
        </w:rPr>
        <w:t>został</w:t>
      </w:r>
      <w:r w:rsidR="003B50ED" w:rsidRPr="00F16251">
        <w:rPr>
          <w:rFonts w:cstheme="minorHAnsi"/>
        </w:rPr>
        <w:t xml:space="preserve"> </w:t>
      </w:r>
      <w:r w:rsidRPr="00F16251">
        <w:rPr>
          <w:rFonts w:cstheme="minorHAnsi"/>
        </w:rPr>
        <w:t>zdominowany</w:t>
      </w:r>
      <w:r w:rsidR="003B50ED" w:rsidRPr="00F16251">
        <w:rPr>
          <w:rFonts w:cstheme="minorHAnsi"/>
        </w:rPr>
        <w:t xml:space="preserve"> </w:t>
      </w:r>
      <w:r w:rsidRPr="00F16251">
        <w:rPr>
          <w:rFonts w:cstheme="minorHAnsi"/>
        </w:rPr>
        <w:t>przez</w:t>
      </w:r>
      <w:r w:rsidR="003B50ED" w:rsidRPr="00F16251">
        <w:rPr>
          <w:rFonts w:cstheme="minorHAnsi"/>
        </w:rPr>
        <w:t xml:space="preserve"> </w:t>
      </w:r>
      <w:r w:rsidRPr="00F16251">
        <w:rPr>
          <w:rFonts w:cstheme="minorHAnsi"/>
        </w:rPr>
        <w:t>władzę</w:t>
      </w:r>
      <w:r w:rsidR="003B50ED" w:rsidRPr="00F16251">
        <w:rPr>
          <w:rFonts w:cstheme="minorHAnsi"/>
        </w:rPr>
        <w:t xml:space="preserve"> </w:t>
      </w:r>
      <w:r w:rsidRPr="00F16251">
        <w:rPr>
          <w:rFonts w:cstheme="minorHAnsi"/>
        </w:rPr>
        <w:t>publiczną</w:t>
      </w:r>
      <w:r w:rsidR="003B50ED" w:rsidRPr="00F16251">
        <w:rPr>
          <w:rFonts w:cstheme="minorHAnsi"/>
        </w:rPr>
        <w:t xml:space="preserve"> </w:t>
      </w:r>
      <w:r w:rsidRPr="00F16251">
        <w:rPr>
          <w:rFonts w:cstheme="minorHAnsi"/>
        </w:rPr>
        <w:t>ani</w:t>
      </w:r>
      <w:r w:rsidR="003B50ED" w:rsidRPr="00F16251">
        <w:rPr>
          <w:rFonts w:cstheme="minorHAnsi"/>
        </w:rPr>
        <w:t xml:space="preserve"> </w:t>
      </w:r>
      <w:r w:rsidRPr="00F16251">
        <w:rPr>
          <w:rFonts w:cstheme="minorHAnsi"/>
        </w:rPr>
        <w:t>żadną</w:t>
      </w:r>
      <w:r w:rsidR="003B50ED" w:rsidRPr="00F16251">
        <w:rPr>
          <w:rFonts w:cstheme="minorHAnsi"/>
        </w:rPr>
        <w:t xml:space="preserve"> </w:t>
      </w:r>
      <w:r w:rsidRPr="00F16251">
        <w:rPr>
          <w:rFonts w:cstheme="minorHAnsi"/>
        </w:rPr>
        <w:br/>
        <w:t>z</w:t>
      </w:r>
      <w:r w:rsidR="003B50ED" w:rsidRPr="00F16251">
        <w:rPr>
          <w:rFonts w:cstheme="minorHAnsi"/>
        </w:rPr>
        <w:t xml:space="preserve"> </w:t>
      </w:r>
      <w:r w:rsidRPr="00F16251">
        <w:rPr>
          <w:rFonts w:cstheme="minorHAnsi"/>
        </w:rPr>
        <w:t>grup</w:t>
      </w:r>
      <w:r w:rsidR="003B50ED" w:rsidRPr="00F16251">
        <w:rPr>
          <w:rFonts w:cstheme="minorHAnsi"/>
        </w:rPr>
        <w:t xml:space="preserve"> </w:t>
      </w:r>
      <w:r w:rsidRPr="00F16251">
        <w:rPr>
          <w:rFonts w:cstheme="minorHAnsi"/>
        </w:rPr>
        <w:t>interesu.</w:t>
      </w:r>
      <w:r w:rsidR="003B50ED" w:rsidRPr="00F16251">
        <w:rPr>
          <w:rFonts w:cstheme="minorHAnsi"/>
        </w:rPr>
        <w:t xml:space="preserve"> </w:t>
      </w:r>
      <w:r w:rsidRPr="00F16251">
        <w:rPr>
          <w:rFonts w:cstheme="minorHAnsi"/>
        </w:rPr>
        <w:t>Żad</w:t>
      </w:r>
      <w:r w:rsidR="00FE0977" w:rsidRPr="00F16251">
        <w:rPr>
          <w:rFonts w:cstheme="minorHAnsi"/>
        </w:rPr>
        <w:t xml:space="preserve">na z grup interesu sektorów </w:t>
      </w:r>
      <w:r w:rsidRPr="00F16251">
        <w:rPr>
          <w:rFonts w:cstheme="minorHAnsi"/>
        </w:rPr>
        <w:t>nie</w:t>
      </w:r>
      <w:r w:rsidR="003B50ED" w:rsidRPr="00F16251">
        <w:rPr>
          <w:rFonts w:cstheme="minorHAnsi"/>
        </w:rPr>
        <w:t xml:space="preserve"> </w:t>
      </w:r>
      <w:r w:rsidRPr="00F16251">
        <w:rPr>
          <w:rFonts w:cstheme="minorHAnsi"/>
        </w:rPr>
        <w:t>dominuje</w:t>
      </w:r>
      <w:r w:rsidR="003B50ED" w:rsidRPr="00F16251">
        <w:rPr>
          <w:rFonts w:cstheme="minorHAnsi"/>
        </w:rPr>
        <w:t xml:space="preserve"> </w:t>
      </w:r>
      <w:r w:rsidRPr="00F16251">
        <w:rPr>
          <w:rFonts w:cstheme="minorHAnsi"/>
        </w:rPr>
        <w:t>procesie</w:t>
      </w:r>
      <w:r w:rsidR="003B50ED" w:rsidRPr="00F16251">
        <w:rPr>
          <w:rFonts w:cstheme="minorHAnsi"/>
        </w:rPr>
        <w:t xml:space="preserve"> </w:t>
      </w:r>
      <w:r w:rsidRPr="00F16251">
        <w:rPr>
          <w:rFonts w:cstheme="minorHAnsi"/>
        </w:rPr>
        <w:t>podejmowania</w:t>
      </w:r>
      <w:r w:rsidR="003B50ED" w:rsidRPr="00F16251">
        <w:rPr>
          <w:rFonts w:cstheme="minorHAnsi"/>
        </w:rPr>
        <w:t xml:space="preserve"> </w:t>
      </w:r>
      <w:r w:rsidRPr="00F16251">
        <w:rPr>
          <w:rFonts w:cstheme="minorHAnsi"/>
        </w:rPr>
        <w:t>decyzji.</w:t>
      </w:r>
      <w:r w:rsidR="003B50ED" w:rsidRPr="00F16251">
        <w:rPr>
          <w:rFonts w:cstheme="minorHAnsi"/>
        </w:rPr>
        <w:t xml:space="preserve"> </w:t>
      </w:r>
    </w:p>
    <w:p w14:paraId="270F3CE0" w14:textId="2FFB7503" w:rsidR="00177F2B" w:rsidRPr="00F16251" w:rsidRDefault="00177F2B" w:rsidP="00885052">
      <w:pPr>
        <w:spacing w:line="276" w:lineRule="auto"/>
        <w:ind w:firstLine="284"/>
        <w:jc w:val="both"/>
        <w:rPr>
          <w:rFonts w:cstheme="minorHAnsi"/>
        </w:rPr>
      </w:pPr>
      <w:r w:rsidRPr="00F16251">
        <w:rPr>
          <w:rFonts w:cstheme="minorHAnsi"/>
        </w:rPr>
        <w:t>Przez</w:t>
      </w:r>
      <w:r w:rsidR="003B50ED" w:rsidRPr="00F16251">
        <w:rPr>
          <w:rFonts w:cstheme="minorHAnsi"/>
        </w:rPr>
        <w:t xml:space="preserve"> </w:t>
      </w:r>
      <w:r w:rsidRPr="00F16251">
        <w:rPr>
          <w:rFonts w:cstheme="minorHAnsi"/>
        </w:rPr>
        <w:t>grupę</w:t>
      </w:r>
      <w:r w:rsidR="003B50ED" w:rsidRPr="00F16251">
        <w:rPr>
          <w:rFonts w:cstheme="minorHAnsi"/>
        </w:rPr>
        <w:t xml:space="preserve"> </w:t>
      </w:r>
      <w:r w:rsidRPr="00F16251">
        <w:rPr>
          <w:rFonts w:cstheme="minorHAnsi"/>
        </w:rPr>
        <w:t>interesu</w:t>
      </w:r>
      <w:r w:rsidR="003B50ED" w:rsidRPr="00F16251">
        <w:rPr>
          <w:rFonts w:cstheme="minorHAnsi"/>
        </w:rPr>
        <w:t xml:space="preserve"> </w:t>
      </w:r>
      <w:r w:rsidRPr="00F16251">
        <w:rPr>
          <w:rFonts w:cstheme="minorHAnsi"/>
        </w:rPr>
        <w:t>należy</w:t>
      </w:r>
      <w:r w:rsidR="003B50ED" w:rsidRPr="00F16251">
        <w:rPr>
          <w:rFonts w:cstheme="minorHAnsi"/>
        </w:rPr>
        <w:t xml:space="preserve"> </w:t>
      </w:r>
      <w:r w:rsidRPr="00F16251">
        <w:rPr>
          <w:rFonts w:cstheme="minorHAnsi"/>
        </w:rPr>
        <w:t>rozumieć</w:t>
      </w:r>
      <w:r w:rsidR="003B50ED" w:rsidRPr="00F16251">
        <w:rPr>
          <w:rFonts w:cstheme="minorHAnsi"/>
        </w:rPr>
        <w:t xml:space="preserve"> </w:t>
      </w:r>
      <w:r w:rsidRPr="00F16251">
        <w:rPr>
          <w:rFonts w:cstheme="minorHAnsi"/>
        </w:rPr>
        <w:t>grupę</w:t>
      </w:r>
      <w:r w:rsidR="003B50ED" w:rsidRPr="00F16251">
        <w:rPr>
          <w:rFonts w:cstheme="minorHAnsi"/>
        </w:rPr>
        <w:t xml:space="preserve"> </w:t>
      </w:r>
      <w:r w:rsidRPr="00F16251">
        <w:rPr>
          <w:rFonts w:cstheme="minorHAnsi"/>
        </w:rPr>
        <w:t>jednostek</w:t>
      </w:r>
      <w:r w:rsidR="003B50ED" w:rsidRPr="00F16251">
        <w:rPr>
          <w:rFonts w:cstheme="minorHAnsi"/>
        </w:rPr>
        <w:t xml:space="preserve"> </w:t>
      </w:r>
      <w:r w:rsidRPr="00F16251">
        <w:rPr>
          <w:rFonts w:cstheme="minorHAnsi"/>
        </w:rPr>
        <w:t>połączonych</w:t>
      </w:r>
      <w:r w:rsidR="003B50ED" w:rsidRPr="00F16251">
        <w:rPr>
          <w:rFonts w:cstheme="minorHAnsi"/>
        </w:rPr>
        <w:t xml:space="preserve"> </w:t>
      </w:r>
      <w:r w:rsidRPr="00F16251">
        <w:rPr>
          <w:rFonts w:cstheme="minorHAnsi"/>
        </w:rPr>
        <w:t>więzami</w:t>
      </w:r>
      <w:r w:rsidR="003B50ED" w:rsidRPr="00F16251">
        <w:rPr>
          <w:rFonts w:cstheme="minorHAnsi"/>
        </w:rPr>
        <w:t xml:space="preserve"> </w:t>
      </w:r>
      <w:r w:rsidRPr="00F16251">
        <w:rPr>
          <w:rFonts w:cstheme="minorHAnsi"/>
        </w:rPr>
        <w:t>wspólnych</w:t>
      </w:r>
      <w:r w:rsidR="003B50ED" w:rsidRPr="00F16251">
        <w:rPr>
          <w:rFonts w:cstheme="minorHAnsi"/>
        </w:rPr>
        <w:t xml:space="preserve"> </w:t>
      </w:r>
      <w:r w:rsidRPr="00F16251">
        <w:rPr>
          <w:rFonts w:cstheme="minorHAnsi"/>
        </w:rPr>
        <w:t>interesów</w:t>
      </w:r>
      <w:r w:rsidR="003B50ED" w:rsidRPr="00F16251">
        <w:rPr>
          <w:rFonts w:cstheme="minorHAnsi"/>
        </w:rPr>
        <w:t xml:space="preserve"> </w:t>
      </w:r>
      <w:r w:rsidRPr="00F16251">
        <w:rPr>
          <w:rFonts w:cstheme="minorHAnsi"/>
        </w:rPr>
        <w:t>lub</w:t>
      </w:r>
      <w:r w:rsidR="003B50ED" w:rsidRPr="00F16251">
        <w:rPr>
          <w:rFonts w:cstheme="minorHAnsi"/>
        </w:rPr>
        <w:t xml:space="preserve"> </w:t>
      </w:r>
      <w:r w:rsidRPr="00F16251">
        <w:rPr>
          <w:rFonts w:cstheme="minorHAnsi"/>
        </w:rPr>
        <w:t>korzyści</w:t>
      </w:r>
      <w:r w:rsidR="003B50ED" w:rsidRPr="00F16251">
        <w:rPr>
          <w:rFonts w:cstheme="minorHAnsi"/>
        </w:rPr>
        <w:t xml:space="preserve"> </w:t>
      </w:r>
      <w:r w:rsidRPr="00F16251">
        <w:rPr>
          <w:rFonts w:cstheme="minorHAnsi"/>
        </w:rPr>
        <w:t>publicznych,</w:t>
      </w:r>
      <w:r w:rsidR="003B50ED" w:rsidRPr="00F16251">
        <w:rPr>
          <w:rFonts w:cstheme="minorHAnsi"/>
        </w:rPr>
        <w:t xml:space="preserve"> </w:t>
      </w:r>
      <w:r w:rsidRPr="00F16251">
        <w:rPr>
          <w:rFonts w:cstheme="minorHAnsi"/>
        </w:rPr>
        <w:t>gospodarczych</w:t>
      </w:r>
      <w:r w:rsidR="003B50ED" w:rsidRPr="00F16251">
        <w:rPr>
          <w:rFonts w:cstheme="minorHAnsi"/>
        </w:rPr>
        <w:t xml:space="preserve"> </w:t>
      </w:r>
      <w:r w:rsidRPr="00F16251">
        <w:rPr>
          <w:rFonts w:cstheme="minorHAnsi"/>
        </w:rPr>
        <w:t>albo</w:t>
      </w:r>
      <w:r w:rsidR="003B50ED" w:rsidRPr="00F16251">
        <w:rPr>
          <w:rFonts w:cstheme="minorHAnsi"/>
        </w:rPr>
        <w:t xml:space="preserve"> </w:t>
      </w:r>
      <w:r w:rsidRPr="00F16251">
        <w:rPr>
          <w:rFonts w:cstheme="minorHAnsi"/>
        </w:rPr>
        <w:t>społecznych.</w:t>
      </w:r>
      <w:r w:rsidR="003B50ED" w:rsidRPr="00F16251">
        <w:rPr>
          <w:rFonts w:cstheme="minorHAnsi"/>
        </w:rPr>
        <w:t xml:space="preserve"> </w:t>
      </w:r>
    </w:p>
    <w:p w14:paraId="0E9F2E4D" w14:textId="320DE62D" w:rsidR="00177F2B" w:rsidRPr="00F16251" w:rsidRDefault="00177F2B" w:rsidP="00A26C26">
      <w:pPr>
        <w:spacing w:line="276" w:lineRule="auto"/>
        <w:ind w:firstLine="284"/>
        <w:jc w:val="both"/>
        <w:rPr>
          <w:rFonts w:cstheme="minorHAnsi"/>
        </w:rPr>
      </w:pPr>
      <w:r w:rsidRPr="00F16251">
        <w:rPr>
          <w:rFonts w:cstheme="minorHAnsi"/>
        </w:rPr>
        <w:t>W</w:t>
      </w:r>
      <w:r w:rsidR="003B50ED" w:rsidRPr="00F16251">
        <w:rPr>
          <w:rFonts w:cstheme="minorHAnsi"/>
        </w:rPr>
        <w:t xml:space="preserve"> </w:t>
      </w:r>
      <w:r w:rsidRPr="00F16251">
        <w:rPr>
          <w:rFonts w:cstheme="minorHAnsi"/>
        </w:rPr>
        <w:t>celu</w:t>
      </w:r>
      <w:r w:rsidR="003B50ED" w:rsidRPr="00F16251">
        <w:rPr>
          <w:rFonts w:cstheme="minorHAnsi"/>
        </w:rPr>
        <w:t xml:space="preserve"> </w:t>
      </w:r>
      <w:r w:rsidRPr="00F16251">
        <w:rPr>
          <w:rFonts w:cstheme="minorHAnsi"/>
        </w:rPr>
        <w:t>prawidłowego</w:t>
      </w:r>
      <w:r w:rsidR="003B50ED" w:rsidRPr="00F16251">
        <w:rPr>
          <w:rFonts w:cstheme="minorHAnsi"/>
        </w:rPr>
        <w:t xml:space="preserve"> </w:t>
      </w:r>
      <w:r w:rsidRPr="00F16251">
        <w:rPr>
          <w:rFonts w:cstheme="minorHAnsi"/>
        </w:rPr>
        <w:t>przyporządkowania</w:t>
      </w:r>
      <w:r w:rsidR="003B50ED" w:rsidRPr="00F16251">
        <w:rPr>
          <w:rFonts w:cstheme="minorHAnsi"/>
        </w:rPr>
        <w:t xml:space="preserve"> </w:t>
      </w:r>
      <w:r w:rsidRPr="00F16251">
        <w:rPr>
          <w:rFonts w:cstheme="minorHAnsi"/>
        </w:rPr>
        <w:t>członków</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grup</w:t>
      </w:r>
      <w:r w:rsidR="003B50ED" w:rsidRPr="00F16251">
        <w:rPr>
          <w:rFonts w:cstheme="minorHAnsi"/>
        </w:rPr>
        <w:t xml:space="preserve"> </w:t>
      </w:r>
      <w:r w:rsidRPr="00F16251">
        <w:rPr>
          <w:rFonts w:cstheme="minorHAnsi"/>
        </w:rPr>
        <w:t>interesu</w:t>
      </w:r>
      <w:r w:rsidR="003B50ED" w:rsidRPr="00F16251">
        <w:rPr>
          <w:rFonts w:cstheme="minorHAnsi"/>
        </w:rPr>
        <w:t xml:space="preserve"> </w:t>
      </w:r>
      <w:r w:rsidRPr="00F16251">
        <w:rPr>
          <w:rFonts w:cstheme="minorHAnsi"/>
        </w:rPr>
        <w:t>przyjęto</w:t>
      </w:r>
      <w:r w:rsidR="003B50ED" w:rsidRPr="00F16251">
        <w:rPr>
          <w:rFonts w:cstheme="minorHAnsi"/>
        </w:rPr>
        <w:t xml:space="preserve"> </w:t>
      </w:r>
      <w:r w:rsidR="0093426C" w:rsidRPr="00F16251">
        <w:rPr>
          <w:rFonts w:cstheme="minorHAnsi"/>
        </w:rPr>
        <w:t xml:space="preserve">opisaną wyżej </w:t>
      </w:r>
      <w:r w:rsidRPr="00F16251">
        <w:rPr>
          <w:rFonts w:cstheme="minorHAnsi"/>
        </w:rPr>
        <w:t>metodę</w:t>
      </w:r>
      <w:r w:rsidR="003B50ED" w:rsidRPr="00F16251">
        <w:rPr>
          <w:rFonts w:cstheme="minorHAnsi"/>
        </w:rPr>
        <w:t xml:space="preserve"> </w:t>
      </w:r>
      <w:r w:rsidRPr="00F16251">
        <w:rPr>
          <w:rFonts w:cstheme="minorHAnsi"/>
        </w:rPr>
        <w:t>kolejnych</w:t>
      </w:r>
      <w:r w:rsidR="003B50ED" w:rsidRPr="00F16251">
        <w:rPr>
          <w:rFonts w:cstheme="minorHAnsi"/>
        </w:rPr>
        <w:t xml:space="preserve"> </w:t>
      </w:r>
      <w:proofErr w:type="spellStart"/>
      <w:r w:rsidRPr="00F16251">
        <w:rPr>
          <w:rFonts w:cstheme="minorHAnsi"/>
        </w:rPr>
        <w:t>wykluczeń</w:t>
      </w:r>
      <w:proofErr w:type="spellEnd"/>
      <w:r w:rsidR="0093426C" w:rsidRPr="00F16251">
        <w:rPr>
          <w:rFonts w:cstheme="minorHAnsi"/>
        </w:rPr>
        <w:t>.</w:t>
      </w:r>
    </w:p>
    <w:p w14:paraId="7A232DE4" w14:textId="1BB44CB8" w:rsidR="00177F2B" w:rsidRPr="00F16251" w:rsidRDefault="0093426C" w:rsidP="00A26C26">
      <w:pPr>
        <w:spacing w:line="276" w:lineRule="auto"/>
        <w:ind w:firstLine="284"/>
        <w:jc w:val="both"/>
        <w:rPr>
          <w:rFonts w:cstheme="minorHAnsi"/>
        </w:rPr>
      </w:pPr>
      <w:r w:rsidRPr="00F16251">
        <w:rPr>
          <w:rFonts w:cstheme="minorHAnsi"/>
        </w:rPr>
        <w:t>Analogicznie, jak w przypadku członków Stowarzyszenia, p</w:t>
      </w:r>
      <w:r w:rsidR="00177F2B" w:rsidRPr="00F16251">
        <w:rPr>
          <w:rFonts w:cstheme="minorHAnsi"/>
        </w:rPr>
        <w:t>rzyporządkowanie</w:t>
      </w:r>
      <w:r w:rsidR="003B50ED" w:rsidRPr="00F16251">
        <w:rPr>
          <w:rFonts w:cstheme="minorHAnsi"/>
        </w:rPr>
        <w:t xml:space="preserve"> </w:t>
      </w:r>
      <w:r w:rsidR="00177F2B" w:rsidRPr="00F16251">
        <w:rPr>
          <w:rFonts w:cstheme="minorHAnsi"/>
        </w:rPr>
        <w:t>Członków</w:t>
      </w:r>
      <w:r w:rsidR="003B50ED" w:rsidRPr="00F16251">
        <w:rPr>
          <w:rFonts w:cstheme="minorHAnsi"/>
        </w:rPr>
        <w:t xml:space="preserve"> </w:t>
      </w:r>
      <w:r w:rsidRPr="00F16251">
        <w:rPr>
          <w:rFonts w:cstheme="minorHAnsi"/>
        </w:rPr>
        <w:t xml:space="preserve">Rady </w:t>
      </w:r>
      <w:r w:rsidR="00177F2B" w:rsidRPr="00F16251">
        <w:rPr>
          <w:rFonts w:cstheme="minorHAnsi"/>
        </w:rPr>
        <w:t>do</w:t>
      </w:r>
      <w:r w:rsidR="003B50ED" w:rsidRPr="00F16251">
        <w:rPr>
          <w:rFonts w:cstheme="minorHAnsi"/>
        </w:rPr>
        <w:t xml:space="preserve"> </w:t>
      </w:r>
      <w:r w:rsidR="00177F2B" w:rsidRPr="00F16251">
        <w:rPr>
          <w:rFonts w:cstheme="minorHAnsi"/>
        </w:rPr>
        <w:t>odpowiednich</w:t>
      </w:r>
      <w:r w:rsidR="003B50ED" w:rsidRPr="00F16251">
        <w:rPr>
          <w:rFonts w:cstheme="minorHAnsi"/>
        </w:rPr>
        <w:t xml:space="preserve"> </w:t>
      </w:r>
      <w:r w:rsidR="00177F2B" w:rsidRPr="00F16251">
        <w:rPr>
          <w:rFonts w:cstheme="minorHAnsi"/>
        </w:rPr>
        <w:t>grup</w:t>
      </w:r>
      <w:r w:rsidR="003B50ED" w:rsidRPr="00F16251">
        <w:rPr>
          <w:rFonts w:cstheme="minorHAnsi"/>
        </w:rPr>
        <w:t xml:space="preserve"> </w:t>
      </w:r>
      <w:r w:rsidR="00177F2B" w:rsidRPr="00F16251">
        <w:rPr>
          <w:rFonts w:cstheme="minorHAnsi"/>
        </w:rPr>
        <w:t>interesów</w:t>
      </w:r>
      <w:r w:rsidR="003B50ED" w:rsidRPr="00F16251">
        <w:rPr>
          <w:rFonts w:cstheme="minorHAnsi"/>
        </w:rPr>
        <w:t xml:space="preserve"> </w:t>
      </w:r>
      <w:r w:rsidR="00177F2B" w:rsidRPr="00F16251">
        <w:rPr>
          <w:rFonts w:cstheme="minorHAnsi"/>
        </w:rPr>
        <w:t>odbywa</w:t>
      </w:r>
      <w:r w:rsidR="003B50ED" w:rsidRPr="00F16251">
        <w:rPr>
          <w:rFonts w:cstheme="minorHAnsi"/>
        </w:rPr>
        <w:t xml:space="preserve"> </w:t>
      </w:r>
      <w:r w:rsidR="00177F2B" w:rsidRPr="00F16251">
        <w:rPr>
          <w:rFonts w:cstheme="minorHAnsi"/>
        </w:rPr>
        <w:t>się</w:t>
      </w:r>
      <w:r w:rsidR="003B50ED" w:rsidRPr="00F16251">
        <w:rPr>
          <w:rFonts w:cstheme="minorHAnsi"/>
        </w:rPr>
        <w:t xml:space="preserve"> </w:t>
      </w:r>
      <w:r w:rsidR="00177F2B" w:rsidRPr="00F16251">
        <w:rPr>
          <w:rFonts w:cstheme="minorHAnsi"/>
        </w:rPr>
        <w:t>poprzez</w:t>
      </w:r>
      <w:r w:rsidR="003B50ED" w:rsidRPr="00F16251">
        <w:rPr>
          <w:rFonts w:cstheme="minorHAnsi"/>
        </w:rPr>
        <w:t xml:space="preserve"> </w:t>
      </w:r>
      <w:r w:rsidR="00177F2B" w:rsidRPr="00F16251">
        <w:rPr>
          <w:rFonts w:cstheme="minorHAnsi"/>
        </w:rPr>
        <w:t>weryfikację</w:t>
      </w:r>
      <w:r w:rsidR="003B50ED" w:rsidRPr="00F16251">
        <w:rPr>
          <w:rFonts w:cstheme="minorHAnsi"/>
        </w:rPr>
        <w:t xml:space="preserve"> </w:t>
      </w:r>
      <w:r w:rsidR="00177F2B" w:rsidRPr="00F16251">
        <w:rPr>
          <w:rFonts w:cstheme="minorHAnsi"/>
        </w:rPr>
        <w:t>deklaracji</w:t>
      </w:r>
      <w:r w:rsidR="003B50ED" w:rsidRPr="00F16251">
        <w:rPr>
          <w:rFonts w:cstheme="minorHAnsi"/>
        </w:rPr>
        <w:t xml:space="preserve"> </w:t>
      </w:r>
      <w:r w:rsidR="00177F2B" w:rsidRPr="00F16251">
        <w:rPr>
          <w:rFonts w:cstheme="minorHAnsi"/>
        </w:rPr>
        <w:t>przez</w:t>
      </w:r>
      <w:r w:rsidR="003B50ED" w:rsidRPr="00F16251">
        <w:rPr>
          <w:rFonts w:cstheme="minorHAnsi"/>
        </w:rPr>
        <w:t xml:space="preserve"> </w:t>
      </w:r>
      <w:r w:rsidR="00177F2B" w:rsidRPr="00F16251">
        <w:rPr>
          <w:rFonts w:cstheme="minorHAnsi"/>
        </w:rPr>
        <w:t>nich</w:t>
      </w:r>
      <w:r w:rsidR="003B50ED" w:rsidRPr="00F16251">
        <w:rPr>
          <w:rFonts w:cstheme="minorHAnsi"/>
        </w:rPr>
        <w:t xml:space="preserve"> </w:t>
      </w:r>
      <w:r w:rsidR="00177F2B" w:rsidRPr="00F16251">
        <w:rPr>
          <w:rFonts w:cstheme="minorHAnsi"/>
        </w:rPr>
        <w:t>składanych</w:t>
      </w:r>
      <w:r w:rsidR="003B50ED" w:rsidRPr="00F16251">
        <w:rPr>
          <w:rFonts w:cstheme="minorHAnsi"/>
        </w:rPr>
        <w:t xml:space="preserve"> </w:t>
      </w:r>
      <w:r w:rsidR="00177F2B" w:rsidRPr="00F16251">
        <w:rPr>
          <w:rFonts w:cstheme="minorHAnsi"/>
        </w:rPr>
        <w:t>dotyczących</w:t>
      </w:r>
      <w:r w:rsidR="003B50ED" w:rsidRPr="00F16251">
        <w:rPr>
          <w:rFonts w:cstheme="minorHAnsi"/>
        </w:rPr>
        <w:t xml:space="preserve"> </w:t>
      </w:r>
      <w:r w:rsidR="00177F2B" w:rsidRPr="00F16251">
        <w:rPr>
          <w:rFonts w:cstheme="minorHAnsi"/>
        </w:rPr>
        <w:t>aktywności</w:t>
      </w:r>
      <w:r w:rsidR="003B50ED" w:rsidRPr="00F16251">
        <w:rPr>
          <w:rFonts w:cstheme="minorHAnsi"/>
        </w:rPr>
        <w:t xml:space="preserve"> </w:t>
      </w:r>
      <w:r w:rsidR="00177F2B" w:rsidRPr="00F16251">
        <w:rPr>
          <w:rFonts w:cstheme="minorHAnsi"/>
        </w:rPr>
        <w:t>na</w:t>
      </w:r>
      <w:r w:rsidR="003B50ED" w:rsidRPr="00F16251">
        <w:rPr>
          <w:rFonts w:cstheme="minorHAnsi"/>
        </w:rPr>
        <w:t xml:space="preserve"> </w:t>
      </w:r>
      <w:r w:rsidR="00177F2B" w:rsidRPr="00F16251">
        <w:rPr>
          <w:rFonts w:cstheme="minorHAnsi"/>
        </w:rPr>
        <w:t>obszarze</w:t>
      </w:r>
      <w:r w:rsidR="003B50ED" w:rsidRPr="00F16251">
        <w:rPr>
          <w:rFonts w:cstheme="minorHAnsi"/>
        </w:rPr>
        <w:t xml:space="preserve"> </w:t>
      </w:r>
      <w:r w:rsidR="00885052" w:rsidRPr="00F16251">
        <w:rPr>
          <w:rFonts w:cstheme="minorHAnsi"/>
        </w:rPr>
        <w:t xml:space="preserve">objętym </w:t>
      </w:r>
      <w:r w:rsidR="00177F2B" w:rsidRPr="00F16251">
        <w:rPr>
          <w:rFonts w:cstheme="minorHAnsi"/>
        </w:rPr>
        <w:t>LSR.</w:t>
      </w:r>
      <w:r w:rsidR="003B50ED" w:rsidRPr="00F16251">
        <w:rPr>
          <w:rFonts w:cstheme="minorHAnsi"/>
        </w:rPr>
        <w:t xml:space="preserve"> </w:t>
      </w:r>
      <w:r w:rsidR="00885052" w:rsidRPr="00F16251">
        <w:rPr>
          <w:rFonts w:cstheme="minorHAnsi"/>
        </w:rPr>
        <w:t>B</w:t>
      </w:r>
      <w:r w:rsidR="00177F2B" w:rsidRPr="00F16251">
        <w:rPr>
          <w:rFonts w:cstheme="minorHAnsi"/>
        </w:rPr>
        <w:t>iuro</w:t>
      </w:r>
      <w:r w:rsidR="003B50ED" w:rsidRPr="00F16251">
        <w:rPr>
          <w:rFonts w:cstheme="minorHAnsi"/>
        </w:rPr>
        <w:t xml:space="preserve"> </w:t>
      </w:r>
      <w:r w:rsidR="00177F2B" w:rsidRPr="00F16251">
        <w:rPr>
          <w:rFonts w:cstheme="minorHAnsi"/>
        </w:rPr>
        <w:t>LGD</w:t>
      </w:r>
      <w:r w:rsidR="003B50ED" w:rsidRPr="00F16251">
        <w:rPr>
          <w:rFonts w:cstheme="minorHAnsi"/>
        </w:rPr>
        <w:t xml:space="preserve"> </w:t>
      </w:r>
      <w:r w:rsidR="00885052" w:rsidRPr="00F16251">
        <w:rPr>
          <w:rFonts w:cstheme="minorHAnsi"/>
        </w:rPr>
        <w:t xml:space="preserve">dokonuje </w:t>
      </w:r>
      <w:r w:rsidR="00177F2B" w:rsidRPr="00F16251">
        <w:rPr>
          <w:rFonts w:cstheme="minorHAnsi"/>
        </w:rPr>
        <w:t>weryfikacj</w:t>
      </w:r>
      <w:r w:rsidR="00885052" w:rsidRPr="00F16251">
        <w:rPr>
          <w:rFonts w:cstheme="minorHAnsi"/>
        </w:rPr>
        <w:t>i</w:t>
      </w:r>
      <w:r w:rsidR="003B50ED" w:rsidRPr="00F16251">
        <w:rPr>
          <w:rFonts w:cstheme="minorHAnsi"/>
        </w:rPr>
        <w:t xml:space="preserve"> </w:t>
      </w:r>
      <w:r w:rsidR="00177F2B" w:rsidRPr="00F16251">
        <w:rPr>
          <w:rFonts w:cstheme="minorHAnsi"/>
        </w:rPr>
        <w:t>złożonych</w:t>
      </w:r>
      <w:r w:rsidR="003B50ED" w:rsidRPr="00F16251">
        <w:rPr>
          <w:rFonts w:cstheme="minorHAnsi"/>
        </w:rPr>
        <w:t xml:space="preserve"> </w:t>
      </w:r>
      <w:r w:rsidR="00177F2B" w:rsidRPr="00F16251">
        <w:rPr>
          <w:rFonts w:cstheme="minorHAnsi"/>
        </w:rPr>
        <w:t>deklaracji.</w:t>
      </w:r>
      <w:r w:rsidR="003B50ED" w:rsidRPr="00F16251">
        <w:rPr>
          <w:rFonts w:cstheme="minorHAnsi"/>
        </w:rPr>
        <w:t xml:space="preserve"> </w:t>
      </w:r>
      <w:r w:rsidR="00177F2B" w:rsidRPr="00F16251">
        <w:rPr>
          <w:rFonts w:cstheme="minorHAnsi"/>
        </w:rPr>
        <w:t>W</w:t>
      </w:r>
      <w:r w:rsidR="003B50ED" w:rsidRPr="00F16251">
        <w:rPr>
          <w:rFonts w:cstheme="minorHAnsi"/>
        </w:rPr>
        <w:t xml:space="preserve"> </w:t>
      </w:r>
      <w:r w:rsidR="00177F2B" w:rsidRPr="00F16251">
        <w:rPr>
          <w:rFonts w:cstheme="minorHAnsi"/>
        </w:rPr>
        <w:t>przypadku</w:t>
      </w:r>
      <w:r w:rsidR="003B50ED" w:rsidRPr="00F16251">
        <w:rPr>
          <w:rFonts w:cstheme="minorHAnsi"/>
        </w:rPr>
        <w:t xml:space="preserve"> </w:t>
      </w:r>
      <w:r w:rsidR="00177F2B" w:rsidRPr="00F16251">
        <w:rPr>
          <w:rFonts w:cstheme="minorHAnsi"/>
        </w:rPr>
        <w:t>osób</w:t>
      </w:r>
      <w:r w:rsidR="003B50ED" w:rsidRPr="00F16251">
        <w:rPr>
          <w:rFonts w:cstheme="minorHAnsi"/>
        </w:rPr>
        <w:t xml:space="preserve"> </w:t>
      </w:r>
      <w:r w:rsidR="00177F2B" w:rsidRPr="00F16251">
        <w:rPr>
          <w:rFonts w:cstheme="minorHAnsi"/>
        </w:rPr>
        <w:t>znajdujących</w:t>
      </w:r>
      <w:r w:rsidR="003B50ED" w:rsidRPr="00F16251">
        <w:rPr>
          <w:rFonts w:cstheme="minorHAnsi"/>
        </w:rPr>
        <w:t xml:space="preserve"> </w:t>
      </w:r>
      <w:r w:rsidR="00177F2B" w:rsidRPr="00F16251">
        <w:rPr>
          <w:rFonts w:cstheme="minorHAnsi"/>
        </w:rPr>
        <w:t>się</w:t>
      </w:r>
      <w:r w:rsidR="003B50ED" w:rsidRPr="00F16251">
        <w:rPr>
          <w:rFonts w:cstheme="minorHAnsi"/>
        </w:rPr>
        <w:t xml:space="preserve"> </w:t>
      </w:r>
      <w:r w:rsidR="00E477AB">
        <w:rPr>
          <w:rFonts w:cstheme="minorHAnsi"/>
        </w:rPr>
        <w:t xml:space="preserve">                     </w:t>
      </w:r>
      <w:r w:rsidR="00177F2B" w:rsidRPr="00F16251">
        <w:rPr>
          <w:rFonts w:cstheme="minorHAnsi"/>
        </w:rPr>
        <w:t>w</w:t>
      </w:r>
      <w:r w:rsidR="003B50ED" w:rsidRPr="00F16251">
        <w:rPr>
          <w:rFonts w:cstheme="minorHAnsi"/>
        </w:rPr>
        <w:t xml:space="preserve"> </w:t>
      </w:r>
      <w:r w:rsidR="00177F2B" w:rsidRPr="00F16251">
        <w:rPr>
          <w:rFonts w:cstheme="minorHAnsi"/>
        </w:rPr>
        <w:t>niekorzystnej</w:t>
      </w:r>
      <w:r w:rsidR="003B50ED" w:rsidRPr="00F16251">
        <w:rPr>
          <w:rFonts w:cstheme="minorHAnsi"/>
        </w:rPr>
        <w:t xml:space="preserve"> </w:t>
      </w:r>
      <w:r w:rsidR="00177F2B" w:rsidRPr="00F16251">
        <w:rPr>
          <w:rFonts w:cstheme="minorHAnsi"/>
        </w:rPr>
        <w:t>sytuacji,</w:t>
      </w:r>
      <w:r w:rsidR="003B50ED" w:rsidRPr="00F16251">
        <w:rPr>
          <w:rFonts w:cstheme="minorHAnsi"/>
        </w:rPr>
        <w:t xml:space="preserve"> </w:t>
      </w:r>
      <w:r w:rsidR="00177F2B" w:rsidRPr="00F16251">
        <w:rPr>
          <w:rFonts w:cstheme="minorHAnsi"/>
        </w:rPr>
        <w:t>przynależność</w:t>
      </w:r>
      <w:r w:rsidR="003B50ED" w:rsidRPr="00F16251">
        <w:rPr>
          <w:rFonts w:cstheme="minorHAnsi"/>
        </w:rPr>
        <w:t xml:space="preserve"> </w:t>
      </w:r>
      <w:r w:rsidR="00177F2B" w:rsidRPr="00F16251">
        <w:rPr>
          <w:rFonts w:cstheme="minorHAnsi"/>
        </w:rPr>
        <w:t>do</w:t>
      </w:r>
      <w:r w:rsidR="003B50ED" w:rsidRPr="00F16251">
        <w:rPr>
          <w:rFonts w:cstheme="minorHAnsi"/>
        </w:rPr>
        <w:t xml:space="preserve"> </w:t>
      </w:r>
      <w:r w:rsidR="00177F2B" w:rsidRPr="00F16251">
        <w:rPr>
          <w:rFonts w:cstheme="minorHAnsi"/>
        </w:rPr>
        <w:t>grupy</w:t>
      </w:r>
      <w:r w:rsidR="003B50ED" w:rsidRPr="00F16251">
        <w:rPr>
          <w:rFonts w:cstheme="minorHAnsi"/>
        </w:rPr>
        <w:t xml:space="preserve"> </w:t>
      </w:r>
      <w:r w:rsidR="00177F2B" w:rsidRPr="00F16251">
        <w:rPr>
          <w:rFonts w:cstheme="minorHAnsi"/>
        </w:rPr>
        <w:t>interesów</w:t>
      </w:r>
      <w:r w:rsidR="003B50ED" w:rsidRPr="00F16251">
        <w:rPr>
          <w:rFonts w:cstheme="minorHAnsi"/>
        </w:rPr>
        <w:t xml:space="preserve"> </w:t>
      </w:r>
      <w:r w:rsidR="00177F2B" w:rsidRPr="00F16251">
        <w:rPr>
          <w:rFonts w:cstheme="minorHAnsi"/>
        </w:rPr>
        <w:t>jest</w:t>
      </w:r>
      <w:r w:rsidR="003B50ED" w:rsidRPr="00F16251">
        <w:rPr>
          <w:rFonts w:cstheme="minorHAnsi"/>
        </w:rPr>
        <w:t xml:space="preserve"> </w:t>
      </w:r>
      <w:r w:rsidR="00177F2B" w:rsidRPr="00F16251">
        <w:rPr>
          <w:rFonts w:cstheme="minorHAnsi"/>
        </w:rPr>
        <w:t>ustalana</w:t>
      </w:r>
      <w:r w:rsidR="003B50ED" w:rsidRPr="00F16251">
        <w:rPr>
          <w:rFonts w:cstheme="minorHAnsi"/>
        </w:rPr>
        <w:t xml:space="preserve"> </w:t>
      </w:r>
      <w:r w:rsidR="00177F2B" w:rsidRPr="00F16251">
        <w:rPr>
          <w:rFonts w:cstheme="minorHAnsi"/>
        </w:rPr>
        <w:t>poprzez</w:t>
      </w:r>
      <w:r w:rsidR="003B50ED" w:rsidRPr="00F16251">
        <w:rPr>
          <w:rFonts w:cstheme="minorHAnsi"/>
        </w:rPr>
        <w:t xml:space="preserve"> </w:t>
      </w:r>
      <w:r w:rsidR="00177F2B" w:rsidRPr="00F16251">
        <w:rPr>
          <w:rFonts w:cstheme="minorHAnsi"/>
        </w:rPr>
        <w:t>weryfikację</w:t>
      </w:r>
      <w:r w:rsidR="003B50ED" w:rsidRPr="00F16251">
        <w:rPr>
          <w:rFonts w:cstheme="minorHAnsi"/>
        </w:rPr>
        <w:t xml:space="preserve"> </w:t>
      </w:r>
      <w:r w:rsidR="00177F2B" w:rsidRPr="00F16251">
        <w:rPr>
          <w:rFonts w:cstheme="minorHAnsi"/>
        </w:rPr>
        <w:t>rzeczywistego</w:t>
      </w:r>
      <w:r w:rsidR="003B50ED" w:rsidRPr="00F16251">
        <w:rPr>
          <w:rFonts w:cstheme="minorHAnsi"/>
        </w:rPr>
        <w:t xml:space="preserve"> </w:t>
      </w:r>
      <w:r w:rsidR="00177F2B" w:rsidRPr="00F16251">
        <w:rPr>
          <w:rFonts w:cstheme="minorHAnsi"/>
        </w:rPr>
        <w:t>statusu</w:t>
      </w:r>
      <w:r w:rsidR="003B50ED" w:rsidRPr="00F16251">
        <w:rPr>
          <w:rFonts w:cstheme="minorHAnsi"/>
        </w:rPr>
        <w:t xml:space="preserve"> </w:t>
      </w:r>
      <w:r w:rsidR="00177F2B" w:rsidRPr="00F16251">
        <w:rPr>
          <w:rFonts w:cstheme="minorHAnsi"/>
        </w:rPr>
        <w:t>Członka</w:t>
      </w:r>
      <w:r w:rsidR="003B50ED" w:rsidRPr="00F16251">
        <w:rPr>
          <w:rFonts w:cstheme="minorHAnsi"/>
        </w:rPr>
        <w:t xml:space="preserve"> </w:t>
      </w:r>
      <w:r w:rsidR="00177F2B" w:rsidRPr="00F16251">
        <w:rPr>
          <w:rFonts w:cstheme="minorHAnsi"/>
        </w:rPr>
        <w:t>Rady</w:t>
      </w:r>
      <w:r w:rsidR="003B50ED" w:rsidRPr="00F16251">
        <w:rPr>
          <w:rFonts w:cstheme="minorHAnsi"/>
        </w:rPr>
        <w:t xml:space="preserve"> </w:t>
      </w:r>
      <w:r w:rsidR="00177F2B" w:rsidRPr="00F16251">
        <w:rPr>
          <w:rFonts w:cstheme="minorHAnsi"/>
        </w:rPr>
        <w:t>na</w:t>
      </w:r>
      <w:r w:rsidR="003B50ED" w:rsidRPr="00F16251">
        <w:rPr>
          <w:rFonts w:cstheme="minorHAnsi"/>
        </w:rPr>
        <w:t xml:space="preserve"> </w:t>
      </w:r>
      <w:r w:rsidR="00177F2B" w:rsidRPr="00F16251">
        <w:rPr>
          <w:rFonts w:cstheme="minorHAnsi"/>
        </w:rPr>
        <w:t>podstawie</w:t>
      </w:r>
      <w:r w:rsidR="003B50ED" w:rsidRPr="00F16251">
        <w:rPr>
          <w:rFonts w:cstheme="minorHAnsi"/>
        </w:rPr>
        <w:t xml:space="preserve"> </w:t>
      </w:r>
      <w:r w:rsidR="00177F2B" w:rsidRPr="00F16251">
        <w:rPr>
          <w:rFonts w:cstheme="minorHAnsi"/>
        </w:rPr>
        <w:t>odpowiedniego</w:t>
      </w:r>
      <w:r w:rsidR="003B50ED" w:rsidRPr="00F16251">
        <w:rPr>
          <w:rFonts w:cstheme="minorHAnsi"/>
        </w:rPr>
        <w:t xml:space="preserve"> </w:t>
      </w:r>
      <w:r w:rsidR="00177F2B" w:rsidRPr="00F16251">
        <w:rPr>
          <w:rFonts w:cstheme="minorHAnsi"/>
        </w:rPr>
        <w:t>dokumentu,</w:t>
      </w:r>
      <w:r w:rsidR="003B50ED" w:rsidRPr="00F16251">
        <w:rPr>
          <w:rFonts w:cstheme="minorHAnsi"/>
        </w:rPr>
        <w:t xml:space="preserve"> </w:t>
      </w:r>
      <w:r w:rsidR="00177F2B" w:rsidRPr="00F16251">
        <w:rPr>
          <w:rFonts w:cstheme="minorHAnsi"/>
        </w:rPr>
        <w:t>który</w:t>
      </w:r>
      <w:r w:rsidR="003B50ED" w:rsidRPr="00F16251">
        <w:rPr>
          <w:rFonts w:cstheme="minorHAnsi"/>
        </w:rPr>
        <w:t xml:space="preserve"> </w:t>
      </w:r>
      <w:r w:rsidR="00177F2B" w:rsidRPr="00F16251">
        <w:rPr>
          <w:rFonts w:cstheme="minorHAnsi"/>
        </w:rPr>
        <w:t>jednoznacznie</w:t>
      </w:r>
      <w:r w:rsidR="003B50ED" w:rsidRPr="00F16251">
        <w:rPr>
          <w:rFonts w:cstheme="minorHAnsi"/>
        </w:rPr>
        <w:t xml:space="preserve"> </w:t>
      </w:r>
      <w:r w:rsidR="00177F2B" w:rsidRPr="00F16251">
        <w:rPr>
          <w:rFonts w:cstheme="minorHAnsi"/>
        </w:rPr>
        <w:t>potwierdza</w:t>
      </w:r>
      <w:r w:rsidR="003B50ED" w:rsidRPr="00F16251">
        <w:rPr>
          <w:rFonts w:cstheme="minorHAnsi"/>
        </w:rPr>
        <w:t xml:space="preserve"> </w:t>
      </w:r>
      <w:r w:rsidR="00177F2B" w:rsidRPr="00F16251">
        <w:rPr>
          <w:rFonts w:cstheme="minorHAnsi"/>
        </w:rPr>
        <w:t>przynależność</w:t>
      </w:r>
      <w:r w:rsidR="003B50ED" w:rsidRPr="00F16251">
        <w:rPr>
          <w:rFonts w:cstheme="minorHAnsi"/>
        </w:rPr>
        <w:t xml:space="preserve"> </w:t>
      </w:r>
      <w:r w:rsidR="00177F2B" w:rsidRPr="00F16251">
        <w:rPr>
          <w:rFonts w:cstheme="minorHAnsi"/>
        </w:rPr>
        <w:t>do</w:t>
      </w:r>
      <w:r w:rsidR="003B50ED" w:rsidRPr="00F16251">
        <w:rPr>
          <w:rFonts w:cstheme="minorHAnsi"/>
        </w:rPr>
        <w:t xml:space="preserve"> </w:t>
      </w:r>
      <w:r w:rsidR="00177F2B" w:rsidRPr="00F16251">
        <w:rPr>
          <w:rFonts w:cstheme="minorHAnsi"/>
        </w:rPr>
        <w:t>danej</w:t>
      </w:r>
      <w:r w:rsidR="003B50ED" w:rsidRPr="00F16251">
        <w:rPr>
          <w:rFonts w:cstheme="minorHAnsi"/>
        </w:rPr>
        <w:t xml:space="preserve"> </w:t>
      </w:r>
      <w:r w:rsidR="00177F2B" w:rsidRPr="00F16251">
        <w:rPr>
          <w:rFonts w:cstheme="minorHAnsi"/>
        </w:rPr>
        <w:t>grupy</w:t>
      </w:r>
      <w:r w:rsidR="003B50ED" w:rsidRPr="00F16251">
        <w:rPr>
          <w:rFonts w:cstheme="minorHAnsi"/>
        </w:rPr>
        <w:t xml:space="preserve"> </w:t>
      </w:r>
      <w:r w:rsidR="00177F2B" w:rsidRPr="00F16251">
        <w:rPr>
          <w:rFonts w:cstheme="minorHAnsi"/>
        </w:rPr>
        <w:t>interesu,</w:t>
      </w:r>
      <w:r w:rsidR="003B50ED" w:rsidRPr="00F16251">
        <w:rPr>
          <w:rFonts w:cstheme="minorHAnsi"/>
        </w:rPr>
        <w:t xml:space="preserve"> </w:t>
      </w:r>
      <w:r w:rsidR="00177F2B" w:rsidRPr="00F16251">
        <w:rPr>
          <w:rFonts w:cstheme="minorHAnsi"/>
        </w:rPr>
        <w:t>eliminując</w:t>
      </w:r>
      <w:r w:rsidR="003B50ED" w:rsidRPr="00F16251">
        <w:rPr>
          <w:rFonts w:cstheme="minorHAnsi"/>
        </w:rPr>
        <w:t xml:space="preserve"> </w:t>
      </w:r>
      <w:r w:rsidR="00177F2B" w:rsidRPr="00F16251">
        <w:rPr>
          <w:rFonts w:cstheme="minorHAnsi"/>
        </w:rPr>
        <w:t>wszelkie</w:t>
      </w:r>
      <w:r w:rsidR="003B50ED" w:rsidRPr="00F16251">
        <w:rPr>
          <w:rFonts w:cstheme="minorHAnsi"/>
        </w:rPr>
        <w:t xml:space="preserve"> </w:t>
      </w:r>
      <w:r w:rsidR="00177F2B" w:rsidRPr="00F16251">
        <w:rPr>
          <w:rFonts w:cstheme="minorHAnsi"/>
        </w:rPr>
        <w:t>wątpliwości.</w:t>
      </w:r>
    </w:p>
    <w:p w14:paraId="55D5AB21" w14:textId="66675FA5" w:rsidR="00177F2B" w:rsidRPr="00F16251" w:rsidRDefault="00177F2B" w:rsidP="00A26C26">
      <w:pPr>
        <w:spacing w:line="276" w:lineRule="auto"/>
        <w:ind w:firstLine="284"/>
        <w:rPr>
          <w:rFonts w:cstheme="minorHAnsi"/>
        </w:rPr>
      </w:pPr>
      <w:r w:rsidRPr="00F16251">
        <w:rPr>
          <w:rFonts w:cstheme="minorHAnsi"/>
        </w:rPr>
        <w:t>W</w:t>
      </w:r>
      <w:r w:rsidR="003B50ED" w:rsidRPr="00F16251">
        <w:rPr>
          <w:rFonts w:cstheme="minorHAnsi"/>
        </w:rPr>
        <w:t xml:space="preserve"> </w:t>
      </w:r>
      <w:r w:rsidRPr="00F16251">
        <w:rPr>
          <w:rFonts w:cstheme="minorHAnsi"/>
        </w:rPr>
        <w:t>przypadku</w:t>
      </w:r>
      <w:r w:rsidR="003B50ED" w:rsidRPr="00F16251">
        <w:rPr>
          <w:rFonts w:cstheme="minorHAnsi"/>
        </w:rPr>
        <w:t xml:space="preserve"> </w:t>
      </w:r>
      <w:r w:rsidRPr="00F16251">
        <w:rPr>
          <w:rFonts w:cstheme="minorHAnsi"/>
        </w:rPr>
        <w:t>PS</w:t>
      </w:r>
      <w:r w:rsidR="003B50ED" w:rsidRPr="00F16251">
        <w:rPr>
          <w:rFonts w:cstheme="minorHAnsi"/>
        </w:rPr>
        <w:t xml:space="preserve"> </w:t>
      </w:r>
      <w:r w:rsidRPr="00F16251">
        <w:rPr>
          <w:rFonts w:cstheme="minorHAnsi"/>
        </w:rPr>
        <w:t>dla</w:t>
      </w:r>
      <w:r w:rsidR="003B50ED" w:rsidRPr="00F16251">
        <w:rPr>
          <w:rFonts w:cstheme="minorHAnsi"/>
        </w:rPr>
        <w:t xml:space="preserve"> </w:t>
      </w:r>
      <w:r w:rsidRPr="00F16251">
        <w:rPr>
          <w:rFonts w:cstheme="minorHAnsi"/>
        </w:rPr>
        <w:t>WPR</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lata</w:t>
      </w:r>
      <w:r w:rsidR="003B50ED" w:rsidRPr="00F16251">
        <w:rPr>
          <w:rFonts w:cstheme="minorHAnsi"/>
        </w:rPr>
        <w:t xml:space="preserve"> </w:t>
      </w:r>
      <w:r w:rsidRPr="00F16251">
        <w:rPr>
          <w:rFonts w:cstheme="minorHAnsi"/>
        </w:rPr>
        <w:t>2023-2027</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ramach</w:t>
      </w:r>
      <w:r w:rsidR="003B50ED" w:rsidRPr="00F16251">
        <w:rPr>
          <w:rFonts w:cstheme="minorHAnsi"/>
        </w:rPr>
        <w:t xml:space="preserve"> </w:t>
      </w:r>
      <w:r w:rsidRPr="00F16251">
        <w:rPr>
          <w:rFonts w:cstheme="minorHAnsi"/>
        </w:rPr>
        <w:t>przedmiotowego</w:t>
      </w:r>
      <w:r w:rsidR="003B50ED" w:rsidRPr="00F16251">
        <w:rPr>
          <w:rFonts w:cstheme="minorHAnsi"/>
        </w:rPr>
        <w:t xml:space="preserve"> </w:t>
      </w:r>
      <w:r w:rsidRPr="00F16251">
        <w:rPr>
          <w:rFonts w:cstheme="minorHAnsi"/>
        </w:rPr>
        <w:t>kryterium</w:t>
      </w:r>
      <w:r w:rsidR="003B50ED" w:rsidRPr="00F16251">
        <w:rPr>
          <w:rFonts w:cstheme="minorHAnsi"/>
        </w:rPr>
        <w:t xml:space="preserve"> </w:t>
      </w:r>
      <w:r w:rsidRPr="00F16251">
        <w:rPr>
          <w:rFonts w:cstheme="minorHAnsi"/>
        </w:rPr>
        <w:t>przez</w:t>
      </w:r>
      <w:r w:rsidR="003B50ED" w:rsidRPr="00F16251">
        <w:rPr>
          <w:rFonts w:cstheme="minorHAnsi"/>
        </w:rPr>
        <w:t xml:space="preserve"> </w:t>
      </w:r>
      <w:r w:rsidRPr="00F16251">
        <w:rPr>
          <w:rFonts w:cstheme="minorHAnsi"/>
        </w:rPr>
        <w:t>osoby</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niekorzystnej</w:t>
      </w:r>
      <w:r w:rsidR="003B50ED" w:rsidRPr="00F16251">
        <w:rPr>
          <w:rFonts w:cstheme="minorHAnsi"/>
        </w:rPr>
        <w:t xml:space="preserve"> </w:t>
      </w:r>
      <w:r w:rsidRPr="00F16251">
        <w:rPr>
          <w:rFonts w:cstheme="minorHAnsi"/>
        </w:rPr>
        <w:t>sytuacji</w:t>
      </w:r>
      <w:r w:rsidR="003B50ED" w:rsidRPr="00F16251">
        <w:rPr>
          <w:rFonts w:cstheme="minorHAnsi"/>
        </w:rPr>
        <w:t xml:space="preserve"> </w:t>
      </w:r>
      <w:r w:rsidRPr="00F16251">
        <w:rPr>
          <w:rFonts w:cstheme="minorHAnsi"/>
        </w:rPr>
        <w:t>rozumie</w:t>
      </w:r>
      <w:r w:rsidR="003B50ED" w:rsidRPr="00F16251">
        <w:rPr>
          <w:rFonts w:cstheme="minorHAnsi"/>
        </w:rPr>
        <w:t xml:space="preserve"> </w:t>
      </w:r>
      <w:r w:rsidRPr="00F16251">
        <w:rPr>
          <w:rFonts w:cstheme="minorHAnsi"/>
        </w:rPr>
        <w:t>się:</w:t>
      </w:r>
      <w:r w:rsidR="003B50ED" w:rsidRPr="00F16251">
        <w:rPr>
          <w:rFonts w:cstheme="minorHAnsi"/>
        </w:rPr>
        <w:t xml:space="preserve"> </w:t>
      </w:r>
      <w:r w:rsidRPr="00F16251">
        <w:rPr>
          <w:rFonts w:cstheme="minorHAnsi"/>
        </w:rPr>
        <w:t>kobiety,</w:t>
      </w:r>
      <w:r w:rsidR="003B50ED" w:rsidRPr="00F16251">
        <w:rPr>
          <w:rFonts w:cstheme="minorHAnsi"/>
        </w:rPr>
        <w:t xml:space="preserve"> </w:t>
      </w:r>
      <w:r w:rsidRPr="00F16251">
        <w:rPr>
          <w:rFonts w:cstheme="minorHAnsi"/>
        </w:rPr>
        <w:t>osoby</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niepełnosprawnościami</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ich</w:t>
      </w:r>
      <w:r w:rsidR="003B50ED" w:rsidRPr="00F16251">
        <w:rPr>
          <w:rFonts w:cstheme="minorHAnsi"/>
        </w:rPr>
        <w:t xml:space="preserve"> </w:t>
      </w:r>
      <w:r w:rsidRPr="00F16251">
        <w:rPr>
          <w:rFonts w:cstheme="minorHAnsi"/>
        </w:rPr>
        <w:t>opiekunów</w:t>
      </w:r>
      <w:r w:rsidR="003B50ED" w:rsidRPr="00F16251">
        <w:rPr>
          <w:rFonts w:cstheme="minorHAnsi"/>
        </w:rPr>
        <w:t xml:space="preserve"> </w:t>
      </w:r>
      <w:r w:rsidRPr="00F16251">
        <w:rPr>
          <w:rFonts w:cstheme="minorHAnsi"/>
        </w:rPr>
        <w:t>lub</w:t>
      </w:r>
      <w:r w:rsidR="003B50ED" w:rsidRPr="00F16251">
        <w:rPr>
          <w:rFonts w:cstheme="minorHAnsi"/>
        </w:rPr>
        <w:t xml:space="preserve"> </w:t>
      </w:r>
      <w:r w:rsidRPr="00F16251">
        <w:rPr>
          <w:rFonts w:cstheme="minorHAnsi"/>
        </w:rPr>
        <w:t>osoby</w:t>
      </w:r>
      <w:r w:rsidR="003B50ED" w:rsidRPr="00F16251">
        <w:rPr>
          <w:rFonts w:cstheme="minorHAnsi"/>
        </w:rPr>
        <w:t xml:space="preserve"> </w:t>
      </w:r>
      <w:r w:rsidRPr="00F16251">
        <w:rPr>
          <w:rFonts w:cstheme="minorHAnsi"/>
        </w:rPr>
        <w:t>poszukujące</w:t>
      </w:r>
      <w:r w:rsidR="003B50ED" w:rsidRPr="00F16251">
        <w:rPr>
          <w:rFonts w:cstheme="minorHAnsi"/>
        </w:rPr>
        <w:t xml:space="preserve"> </w:t>
      </w:r>
      <w:r w:rsidRPr="00F16251">
        <w:rPr>
          <w:rFonts w:cstheme="minorHAnsi"/>
        </w:rPr>
        <w:t>zatrudnienia,</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tym</w:t>
      </w:r>
      <w:r w:rsidR="003B50ED" w:rsidRPr="00F16251">
        <w:rPr>
          <w:rFonts w:cstheme="minorHAnsi"/>
        </w:rPr>
        <w:t xml:space="preserve"> </w:t>
      </w:r>
      <w:r w:rsidRPr="00F16251">
        <w:rPr>
          <w:rFonts w:cstheme="minorHAnsi"/>
        </w:rPr>
        <w:t>mieszkańców</w:t>
      </w:r>
      <w:r w:rsidR="003B50ED" w:rsidRPr="00F16251">
        <w:rPr>
          <w:rFonts w:cstheme="minorHAnsi"/>
        </w:rPr>
        <w:t xml:space="preserve"> </w:t>
      </w:r>
      <w:r w:rsidRPr="00F16251">
        <w:rPr>
          <w:rFonts w:cstheme="minorHAnsi"/>
        </w:rPr>
        <w:t>osiedli</w:t>
      </w:r>
      <w:r w:rsidR="003B50ED" w:rsidRPr="00F16251">
        <w:rPr>
          <w:rFonts w:cstheme="minorHAnsi"/>
        </w:rPr>
        <w:t xml:space="preserve"> </w:t>
      </w:r>
      <w:r w:rsidRPr="00F16251">
        <w:rPr>
          <w:rFonts w:cstheme="minorHAnsi"/>
        </w:rPr>
        <w:t>po-PGR,</w:t>
      </w:r>
      <w:r w:rsidR="003B50ED" w:rsidRPr="00F16251">
        <w:rPr>
          <w:rFonts w:cstheme="minorHAnsi"/>
        </w:rPr>
        <w:t xml:space="preserve"> </w:t>
      </w:r>
      <w:r w:rsidRPr="00F16251">
        <w:rPr>
          <w:rFonts w:cstheme="minorHAnsi"/>
        </w:rPr>
        <w:t>migrantów.</w:t>
      </w:r>
    </w:p>
    <w:p w14:paraId="2AB5563A" w14:textId="774B8BE7" w:rsidR="001432C5" w:rsidRPr="00D02820" w:rsidRDefault="001432C5" w:rsidP="00A26C26">
      <w:pPr>
        <w:spacing w:line="276" w:lineRule="auto"/>
        <w:rPr>
          <w:rFonts w:cstheme="minorHAnsi"/>
        </w:rPr>
      </w:pPr>
      <w:r w:rsidRPr="00F16251">
        <w:rPr>
          <w:rFonts w:cstheme="minorHAnsi"/>
        </w:rPr>
        <w:t>Dla</w:t>
      </w:r>
      <w:r w:rsidR="003B50ED" w:rsidRPr="00F16251">
        <w:rPr>
          <w:rFonts w:cstheme="minorHAnsi"/>
        </w:rPr>
        <w:t xml:space="preserve"> </w:t>
      </w:r>
      <w:r w:rsidRPr="00F16251">
        <w:rPr>
          <w:rFonts w:cstheme="minorHAnsi"/>
        </w:rPr>
        <w:t>zapewnienia</w:t>
      </w:r>
      <w:r w:rsidR="003B50ED" w:rsidRPr="00F16251">
        <w:rPr>
          <w:rFonts w:cstheme="minorHAnsi"/>
        </w:rPr>
        <w:t xml:space="preserve"> </w:t>
      </w:r>
      <w:r w:rsidRPr="00F16251">
        <w:rPr>
          <w:rFonts w:cstheme="minorHAnsi"/>
        </w:rPr>
        <w:t>transparentności</w:t>
      </w:r>
      <w:r w:rsidR="003B50ED" w:rsidRPr="00F16251">
        <w:rPr>
          <w:rFonts w:cstheme="minorHAnsi"/>
        </w:rPr>
        <w:t xml:space="preserve"> </w:t>
      </w:r>
      <w:r w:rsidRPr="00F16251">
        <w:rPr>
          <w:rFonts w:cstheme="minorHAnsi"/>
        </w:rPr>
        <w:t>funkcjonowania</w:t>
      </w:r>
      <w:r w:rsidR="003B50ED" w:rsidRPr="00F16251">
        <w:rPr>
          <w:rFonts w:cstheme="minorHAnsi"/>
        </w:rPr>
        <w:t xml:space="preserve"> </w:t>
      </w:r>
      <w:r w:rsidRPr="00F16251">
        <w:rPr>
          <w:rFonts w:cstheme="minorHAnsi"/>
        </w:rPr>
        <w:t>Rady</w:t>
      </w:r>
      <w:r w:rsidR="003B50ED" w:rsidRPr="00F16251">
        <w:rPr>
          <w:rFonts w:cstheme="minorHAnsi"/>
        </w:rPr>
        <w:t xml:space="preserve"> </w:t>
      </w:r>
      <w:r w:rsidRPr="00F16251">
        <w:rPr>
          <w:rFonts w:cstheme="minorHAnsi"/>
        </w:rPr>
        <w:t>zostały</w:t>
      </w:r>
      <w:r w:rsidR="003B50ED" w:rsidRPr="00F16251">
        <w:rPr>
          <w:rFonts w:cstheme="minorHAnsi"/>
        </w:rPr>
        <w:t xml:space="preserve"> </w:t>
      </w:r>
      <w:r w:rsidRPr="00F16251">
        <w:rPr>
          <w:rFonts w:cstheme="minorHAnsi"/>
        </w:rPr>
        <w:t>wyznaczone</w:t>
      </w:r>
      <w:r w:rsidR="003B50ED" w:rsidRPr="00F16251">
        <w:rPr>
          <w:rFonts w:cstheme="minorHAnsi"/>
        </w:rPr>
        <w:t xml:space="preserve"> </w:t>
      </w:r>
      <w:r w:rsidRPr="00D02820">
        <w:rPr>
          <w:rFonts w:cstheme="minorHAnsi"/>
        </w:rPr>
        <w:t>co</w:t>
      </w:r>
      <w:r w:rsidR="003B50ED" w:rsidRPr="00D02820">
        <w:rPr>
          <w:rFonts w:cstheme="minorHAnsi"/>
        </w:rPr>
        <w:t xml:space="preserve"> </w:t>
      </w:r>
      <w:r w:rsidRPr="00D02820">
        <w:rPr>
          <w:rFonts w:cstheme="minorHAnsi"/>
        </w:rPr>
        <w:t>najmniej</w:t>
      </w:r>
      <w:r w:rsidR="003B50ED" w:rsidRPr="00D02820">
        <w:rPr>
          <w:rFonts w:cstheme="minorHAnsi"/>
        </w:rPr>
        <w:t xml:space="preserve"> </w:t>
      </w:r>
      <w:r w:rsidR="00D02820" w:rsidRPr="00D02820">
        <w:rPr>
          <w:rFonts w:cstheme="minorHAnsi"/>
        </w:rPr>
        <w:t>3</w:t>
      </w:r>
      <w:r w:rsidR="003B50ED" w:rsidRPr="00D02820">
        <w:rPr>
          <w:rFonts w:cstheme="minorHAnsi"/>
        </w:rPr>
        <w:t xml:space="preserve"> </w:t>
      </w:r>
      <w:r w:rsidRPr="00D02820">
        <w:rPr>
          <w:rFonts w:cstheme="minorHAnsi"/>
        </w:rPr>
        <w:t>grupy</w:t>
      </w:r>
      <w:r w:rsidR="003B50ED" w:rsidRPr="00D02820">
        <w:rPr>
          <w:rFonts w:eastAsia="Times New Roman" w:cstheme="minorHAnsi"/>
          <w:kern w:val="0"/>
          <w:lang w:eastAsia="pl-PL"/>
          <w14:ligatures w14:val="none"/>
        </w:rPr>
        <w:t xml:space="preserve"> </w:t>
      </w:r>
      <w:r w:rsidRPr="00D02820">
        <w:rPr>
          <w:rFonts w:cstheme="minorHAnsi"/>
        </w:rPr>
        <w:t>interesów:</w:t>
      </w:r>
      <w:r w:rsidR="003B50ED" w:rsidRPr="00D02820">
        <w:rPr>
          <w:rFonts w:cstheme="minorHAnsi"/>
        </w:rPr>
        <w:t xml:space="preserve"> </w:t>
      </w:r>
    </w:p>
    <w:p w14:paraId="09B9C072" w14:textId="6EEFF07A" w:rsidR="001432C5" w:rsidRPr="00D02820" w:rsidRDefault="001432C5" w:rsidP="00A26C26">
      <w:pPr>
        <w:spacing w:line="276" w:lineRule="auto"/>
        <w:jc w:val="both"/>
        <w:rPr>
          <w:rFonts w:cstheme="minorHAnsi"/>
        </w:rPr>
      </w:pPr>
      <w:r w:rsidRPr="00D02820">
        <w:rPr>
          <w:rFonts w:cstheme="minorHAnsi"/>
        </w:rPr>
        <w:t>-</w:t>
      </w:r>
      <w:r w:rsidR="003B50ED" w:rsidRPr="00D02820">
        <w:rPr>
          <w:rFonts w:cstheme="minorHAnsi"/>
        </w:rPr>
        <w:t xml:space="preserve"> </w:t>
      </w:r>
      <w:r w:rsidRPr="00D02820">
        <w:rPr>
          <w:rFonts w:cstheme="minorHAnsi"/>
        </w:rPr>
        <w:t>grupa</w:t>
      </w:r>
      <w:r w:rsidR="003B50ED" w:rsidRPr="00D02820">
        <w:rPr>
          <w:rFonts w:cstheme="minorHAnsi"/>
        </w:rPr>
        <w:t xml:space="preserve"> </w:t>
      </w:r>
      <w:r w:rsidRPr="00D02820">
        <w:rPr>
          <w:rFonts w:cstheme="minorHAnsi"/>
        </w:rPr>
        <w:t>interesu</w:t>
      </w:r>
      <w:r w:rsidR="003B50ED" w:rsidRPr="00D02820">
        <w:rPr>
          <w:rFonts w:cstheme="minorHAnsi"/>
        </w:rPr>
        <w:t xml:space="preserve"> </w:t>
      </w:r>
      <w:r w:rsidRPr="00D02820">
        <w:rPr>
          <w:rFonts w:cstheme="minorHAnsi"/>
        </w:rPr>
        <w:t>sektora</w:t>
      </w:r>
      <w:r w:rsidR="003B50ED" w:rsidRPr="00D02820">
        <w:rPr>
          <w:rFonts w:cstheme="minorHAnsi"/>
        </w:rPr>
        <w:t xml:space="preserve"> </w:t>
      </w:r>
      <w:r w:rsidRPr="00D02820">
        <w:rPr>
          <w:rFonts w:cstheme="minorHAnsi"/>
        </w:rPr>
        <w:t>publicznego</w:t>
      </w:r>
      <w:r w:rsidR="00E477AB" w:rsidRPr="00D02820">
        <w:rPr>
          <w:rFonts w:cstheme="minorHAnsi"/>
        </w:rPr>
        <w:t>,</w:t>
      </w:r>
    </w:p>
    <w:p w14:paraId="361892EE" w14:textId="05E97D06" w:rsidR="001432C5" w:rsidRPr="00D02820" w:rsidRDefault="001432C5" w:rsidP="00A26C26">
      <w:pPr>
        <w:spacing w:line="276" w:lineRule="auto"/>
        <w:jc w:val="both"/>
        <w:rPr>
          <w:rFonts w:cstheme="minorHAnsi"/>
        </w:rPr>
      </w:pPr>
      <w:r w:rsidRPr="00D02820">
        <w:rPr>
          <w:rFonts w:cstheme="minorHAnsi"/>
        </w:rPr>
        <w:t>-</w:t>
      </w:r>
      <w:r w:rsidR="003B50ED" w:rsidRPr="00D02820">
        <w:rPr>
          <w:rFonts w:cstheme="minorHAnsi"/>
        </w:rPr>
        <w:t xml:space="preserve"> </w:t>
      </w:r>
      <w:r w:rsidRPr="00D02820">
        <w:rPr>
          <w:rFonts w:cstheme="minorHAnsi"/>
        </w:rPr>
        <w:t>grupa</w:t>
      </w:r>
      <w:r w:rsidR="003B50ED" w:rsidRPr="00D02820">
        <w:rPr>
          <w:rFonts w:cstheme="minorHAnsi"/>
        </w:rPr>
        <w:t xml:space="preserve"> </w:t>
      </w:r>
      <w:r w:rsidRPr="00D02820">
        <w:rPr>
          <w:rFonts w:cstheme="minorHAnsi"/>
        </w:rPr>
        <w:t>interesu</w:t>
      </w:r>
      <w:r w:rsidR="003B50ED" w:rsidRPr="00D02820">
        <w:rPr>
          <w:rFonts w:cstheme="minorHAnsi"/>
        </w:rPr>
        <w:t xml:space="preserve"> </w:t>
      </w:r>
      <w:r w:rsidRPr="00D02820">
        <w:rPr>
          <w:rFonts w:cstheme="minorHAnsi"/>
        </w:rPr>
        <w:t>sektora</w:t>
      </w:r>
      <w:r w:rsidR="003B50ED" w:rsidRPr="00D02820">
        <w:rPr>
          <w:rFonts w:cstheme="minorHAnsi"/>
        </w:rPr>
        <w:t xml:space="preserve"> </w:t>
      </w:r>
      <w:r w:rsidRPr="00D02820">
        <w:rPr>
          <w:rFonts w:cstheme="minorHAnsi"/>
        </w:rPr>
        <w:t>gospodarczego</w:t>
      </w:r>
      <w:r w:rsidR="00E477AB" w:rsidRPr="00D02820">
        <w:rPr>
          <w:rFonts w:cstheme="minorHAnsi"/>
        </w:rPr>
        <w:t>,</w:t>
      </w:r>
    </w:p>
    <w:p w14:paraId="67C9932B" w14:textId="300373FB" w:rsidR="001432C5" w:rsidRPr="00D02820" w:rsidRDefault="001432C5" w:rsidP="00A26C26">
      <w:pPr>
        <w:spacing w:line="276" w:lineRule="auto"/>
        <w:jc w:val="both"/>
        <w:rPr>
          <w:rFonts w:cstheme="minorHAnsi"/>
        </w:rPr>
      </w:pPr>
      <w:r w:rsidRPr="00D02820">
        <w:rPr>
          <w:rFonts w:cstheme="minorHAnsi"/>
        </w:rPr>
        <w:t>-</w:t>
      </w:r>
      <w:r w:rsidR="003B50ED" w:rsidRPr="00D02820">
        <w:rPr>
          <w:rFonts w:cstheme="minorHAnsi"/>
        </w:rPr>
        <w:t xml:space="preserve"> </w:t>
      </w:r>
      <w:r w:rsidRPr="00D02820">
        <w:rPr>
          <w:rFonts w:cstheme="minorHAnsi"/>
        </w:rPr>
        <w:t>grupa</w:t>
      </w:r>
      <w:r w:rsidR="003B50ED" w:rsidRPr="00D02820">
        <w:rPr>
          <w:rFonts w:cstheme="minorHAnsi"/>
        </w:rPr>
        <w:t xml:space="preserve"> </w:t>
      </w:r>
      <w:r w:rsidRPr="00D02820">
        <w:rPr>
          <w:rFonts w:cstheme="minorHAnsi"/>
        </w:rPr>
        <w:t>interesu</w:t>
      </w:r>
      <w:r w:rsidR="003B50ED" w:rsidRPr="00D02820">
        <w:rPr>
          <w:rFonts w:cstheme="minorHAnsi"/>
        </w:rPr>
        <w:t xml:space="preserve"> </w:t>
      </w:r>
      <w:r w:rsidRPr="00D02820">
        <w:rPr>
          <w:rFonts w:cstheme="minorHAnsi"/>
        </w:rPr>
        <w:t>sektora</w:t>
      </w:r>
      <w:r w:rsidR="003B50ED" w:rsidRPr="00D02820">
        <w:rPr>
          <w:rFonts w:cstheme="minorHAnsi"/>
        </w:rPr>
        <w:t xml:space="preserve"> </w:t>
      </w:r>
      <w:r w:rsidRPr="00D02820">
        <w:rPr>
          <w:rFonts w:cstheme="minorHAnsi"/>
        </w:rPr>
        <w:t>społecznego</w:t>
      </w:r>
      <w:r w:rsidR="00D02820" w:rsidRPr="00D02820">
        <w:rPr>
          <w:rFonts w:cstheme="minorHAnsi"/>
        </w:rPr>
        <w:t>.</w:t>
      </w:r>
    </w:p>
    <w:p w14:paraId="422FC7B4" w14:textId="3D6114DB" w:rsidR="0038786A" w:rsidRPr="00F16251" w:rsidRDefault="001432C5" w:rsidP="00A26C26">
      <w:pPr>
        <w:spacing w:line="276" w:lineRule="auto"/>
        <w:ind w:firstLine="284"/>
        <w:jc w:val="both"/>
        <w:rPr>
          <w:rFonts w:cstheme="minorHAnsi"/>
        </w:rPr>
      </w:pPr>
      <w:r w:rsidRPr="00F16251">
        <w:rPr>
          <w:rFonts w:cstheme="minorHAnsi"/>
        </w:rPr>
        <w:t>Żaden</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członków</w:t>
      </w:r>
      <w:r w:rsidR="003B50ED" w:rsidRPr="00F16251">
        <w:rPr>
          <w:rFonts w:cstheme="minorHAnsi"/>
        </w:rPr>
        <w:t xml:space="preserve"> </w:t>
      </w:r>
      <w:r w:rsidRPr="00F16251">
        <w:rPr>
          <w:rFonts w:cstheme="minorHAnsi"/>
        </w:rPr>
        <w:t>Rady</w:t>
      </w:r>
      <w:r w:rsidR="003B50ED" w:rsidRPr="00F16251">
        <w:rPr>
          <w:rFonts w:cstheme="minorHAnsi"/>
        </w:rPr>
        <w:t xml:space="preserve"> </w:t>
      </w:r>
      <w:r w:rsidRPr="00F16251">
        <w:rPr>
          <w:rFonts w:cstheme="minorHAnsi"/>
        </w:rPr>
        <w:t>nie</w:t>
      </w:r>
      <w:r w:rsidR="003B50ED" w:rsidRPr="00F16251">
        <w:rPr>
          <w:rFonts w:cstheme="minorHAnsi"/>
        </w:rPr>
        <w:t xml:space="preserve"> </w:t>
      </w:r>
      <w:r w:rsidRPr="00F16251">
        <w:rPr>
          <w:rFonts w:cstheme="minorHAnsi"/>
        </w:rPr>
        <w:t>jest</w:t>
      </w:r>
      <w:r w:rsidR="003B50ED" w:rsidRPr="00F16251">
        <w:rPr>
          <w:rFonts w:cstheme="minorHAnsi"/>
        </w:rPr>
        <w:t xml:space="preserve"> </w:t>
      </w:r>
      <w:r w:rsidRPr="00F16251">
        <w:rPr>
          <w:rFonts w:cstheme="minorHAnsi"/>
        </w:rPr>
        <w:t>zatrudniony</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biurze</w:t>
      </w:r>
      <w:r w:rsidR="003B50ED" w:rsidRPr="00F16251">
        <w:rPr>
          <w:rFonts w:cstheme="minorHAnsi"/>
        </w:rPr>
        <w:t xml:space="preserve"> </w:t>
      </w:r>
      <w:r w:rsidRPr="00F16251">
        <w:rPr>
          <w:rFonts w:cstheme="minorHAnsi"/>
        </w:rPr>
        <w:t>ani</w:t>
      </w:r>
      <w:r w:rsidR="003B50ED" w:rsidRPr="00F16251">
        <w:rPr>
          <w:rFonts w:cstheme="minorHAnsi"/>
        </w:rPr>
        <w:t xml:space="preserve"> </w:t>
      </w:r>
      <w:r w:rsidRPr="00F16251">
        <w:rPr>
          <w:rFonts w:cstheme="minorHAnsi"/>
        </w:rPr>
        <w:t>nie</w:t>
      </w:r>
      <w:r w:rsidR="003B50ED" w:rsidRPr="00F16251">
        <w:rPr>
          <w:rFonts w:cstheme="minorHAnsi"/>
        </w:rPr>
        <w:t xml:space="preserve"> </w:t>
      </w:r>
      <w:r w:rsidRPr="00F16251">
        <w:rPr>
          <w:rFonts w:cstheme="minorHAnsi"/>
        </w:rPr>
        <w:t>jest</w:t>
      </w:r>
      <w:r w:rsidR="003B50ED" w:rsidRPr="00F16251">
        <w:rPr>
          <w:rFonts w:cstheme="minorHAnsi"/>
        </w:rPr>
        <w:t xml:space="preserve"> </w:t>
      </w:r>
      <w:r w:rsidRPr="00F16251">
        <w:rPr>
          <w:rFonts w:cstheme="minorHAnsi"/>
        </w:rPr>
        <w:t>członkiem</w:t>
      </w:r>
      <w:r w:rsidR="003B50ED" w:rsidRPr="00F16251">
        <w:rPr>
          <w:rFonts w:cstheme="minorHAnsi"/>
        </w:rPr>
        <w:t xml:space="preserve"> </w:t>
      </w:r>
      <w:r w:rsidRPr="00F16251">
        <w:rPr>
          <w:rFonts w:cstheme="minorHAnsi"/>
        </w:rPr>
        <w:t>innego</w:t>
      </w:r>
      <w:r w:rsidR="003B50ED" w:rsidRPr="00F16251">
        <w:rPr>
          <w:rFonts w:cstheme="minorHAnsi"/>
        </w:rPr>
        <w:t xml:space="preserve"> </w:t>
      </w:r>
      <w:r w:rsidRPr="00F16251">
        <w:rPr>
          <w:rFonts w:cstheme="minorHAnsi"/>
        </w:rPr>
        <w:t>organu</w:t>
      </w:r>
      <w:r w:rsidR="00D80114" w:rsidRPr="00F16251">
        <w:rPr>
          <w:rFonts w:cstheme="minorHAnsi"/>
        </w:rPr>
        <w:t>.</w:t>
      </w:r>
    </w:p>
    <w:p w14:paraId="15CC8BF3" w14:textId="13EA3C02" w:rsidR="0038786A" w:rsidRPr="00F16251" w:rsidRDefault="0038786A" w:rsidP="00A26C26">
      <w:pPr>
        <w:spacing w:line="276" w:lineRule="auto"/>
        <w:ind w:firstLine="284"/>
        <w:jc w:val="both"/>
        <w:rPr>
          <w:rFonts w:cstheme="minorHAnsi"/>
        </w:rPr>
      </w:pPr>
      <w:r w:rsidRPr="00F16251">
        <w:rPr>
          <w:rFonts w:cstheme="minorHAnsi"/>
        </w:rPr>
        <w:t>Liczebność</w:t>
      </w:r>
      <w:r w:rsidR="003B50ED" w:rsidRPr="00F16251">
        <w:rPr>
          <w:rFonts w:cstheme="minorHAnsi"/>
        </w:rPr>
        <w:t xml:space="preserve"> </w:t>
      </w:r>
      <w:r w:rsidRPr="00F16251">
        <w:rPr>
          <w:rFonts w:cstheme="minorHAnsi"/>
        </w:rPr>
        <w:t>organu</w:t>
      </w:r>
      <w:r w:rsidR="003B50ED" w:rsidRPr="00F16251">
        <w:rPr>
          <w:rFonts w:cstheme="minorHAnsi"/>
        </w:rPr>
        <w:t xml:space="preserve"> </w:t>
      </w:r>
      <w:r w:rsidRPr="00F16251">
        <w:rPr>
          <w:rFonts w:cstheme="minorHAnsi"/>
        </w:rPr>
        <w:t>decyzyjnego</w:t>
      </w:r>
      <w:r w:rsidR="003B50ED" w:rsidRPr="00F16251">
        <w:rPr>
          <w:rFonts w:cstheme="minorHAnsi"/>
        </w:rPr>
        <w:t xml:space="preserve"> </w:t>
      </w:r>
      <w:r w:rsidRPr="00F16251">
        <w:rPr>
          <w:rFonts w:cstheme="minorHAnsi"/>
        </w:rPr>
        <w:t>została</w:t>
      </w:r>
      <w:r w:rsidR="003B50ED" w:rsidRPr="00F16251">
        <w:rPr>
          <w:rFonts w:cstheme="minorHAnsi"/>
        </w:rPr>
        <w:t xml:space="preserve"> </w:t>
      </w:r>
      <w:r w:rsidRPr="00F16251">
        <w:rPr>
          <w:rFonts w:cstheme="minorHAnsi"/>
        </w:rPr>
        <w:t>ustanowiona</w:t>
      </w:r>
      <w:r w:rsidR="003B50ED" w:rsidRPr="00F16251">
        <w:rPr>
          <w:rFonts w:cstheme="minorHAnsi"/>
        </w:rPr>
        <w:t xml:space="preserve"> </w:t>
      </w:r>
      <w:r w:rsidRPr="00F16251">
        <w:rPr>
          <w:rFonts w:cstheme="minorHAnsi"/>
        </w:rPr>
        <w:t>podczas</w:t>
      </w:r>
      <w:r w:rsidR="003B50ED" w:rsidRPr="00F16251">
        <w:rPr>
          <w:rFonts w:cstheme="minorHAnsi"/>
        </w:rPr>
        <w:t xml:space="preserve"> </w:t>
      </w:r>
      <w:r w:rsidRPr="00F16251">
        <w:rPr>
          <w:rFonts w:cstheme="minorHAnsi"/>
        </w:rPr>
        <w:t>posiedzenia</w:t>
      </w:r>
      <w:r w:rsidR="003B50ED" w:rsidRPr="00F16251">
        <w:rPr>
          <w:rFonts w:cstheme="minorHAnsi"/>
        </w:rPr>
        <w:t xml:space="preserve"> </w:t>
      </w:r>
      <w:r w:rsidRPr="00F16251">
        <w:rPr>
          <w:rFonts w:cstheme="minorHAnsi"/>
        </w:rPr>
        <w:t>Walnego</w:t>
      </w:r>
      <w:r w:rsidR="003B50ED" w:rsidRPr="00F16251">
        <w:rPr>
          <w:rFonts w:cstheme="minorHAnsi"/>
        </w:rPr>
        <w:t xml:space="preserve"> </w:t>
      </w:r>
      <w:r w:rsidRPr="00F16251">
        <w:rPr>
          <w:rFonts w:cstheme="minorHAnsi"/>
        </w:rPr>
        <w:t>Zebrania</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zapisana</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Statucie</w:t>
      </w:r>
      <w:r w:rsidR="003B50ED" w:rsidRPr="00F16251">
        <w:rPr>
          <w:rFonts w:cstheme="minorHAnsi"/>
        </w:rPr>
        <w:t xml:space="preserve"> </w:t>
      </w:r>
      <w:r w:rsidR="00C71E9E" w:rsidRPr="00F16251">
        <w:rPr>
          <w:rFonts w:cstheme="minorHAnsi"/>
        </w:rPr>
        <w:t>Stowarzyszenia „Solidarni w Partnerstwie”</w:t>
      </w:r>
      <w:r w:rsidRPr="00F16251">
        <w:rPr>
          <w:rFonts w:cstheme="minorHAnsi"/>
        </w:rPr>
        <w:t>.</w:t>
      </w:r>
      <w:r w:rsidR="003B50ED" w:rsidRPr="00F16251">
        <w:rPr>
          <w:rFonts w:cstheme="minorHAnsi"/>
        </w:rPr>
        <w:t xml:space="preserve"> </w:t>
      </w:r>
      <w:r w:rsidRPr="00F16251">
        <w:rPr>
          <w:rFonts w:cstheme="minorHAnsi"/>
        </w:rPr>
        <w:t>Obecny</w:t>
      </w:r>
      <w:r w:rsidR="003B50ED" w:rsidRPr="00F16251">
        <w:rPr>
          <w:rFonts w:cstheme="minorHAnsi"/>
        </w:rPr>
        <w:t xml:space="preserve"> </w:t>
      </w:r>
      <w:r w:rsidRPr="00F16251">
        <w:rPr>
          <w:rFonts w:cstheme="minorHAnsi"/>
        </w:rPr>
        <w:t>skład</w:t>
      </w:r>
      <w:r w:rsidR="003B50ED" w:rsidRPr="00F16251">
        <w:rPr>
          <w:rFonts w:cstheme="minorHAnsi"/>
        </w:rPr>
        <w:t xml:space="preserve"> </w:t>
      </w:r>
      <w:r w:rsidRPr="00F16251">
        <w:rPr>
          <w:rFonts w:cstheme="minorHAnsi"/>
        </w:rPr>
        <w:t>Rady</w:t>
      </w:r>
      <w:r w:rsidR="003B50ED" w:rsidRPr="00F16251">
        <w:rPr>
          <w:rFonts w:cstheme="minorHAnsi"/>
        </w:rPr>
        <w:t xml:space="preserve"> </w:t>
      </w:r>
      <w:r w:rsidRPr="00F16251">
        <w:rPr>
          <w:rFonts w:cstheme="minorHAnsi"/>
        </w:rPr>
        <w:t>pozwala</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ograniczenie</w:t>
      </w:r>
      <w:r w:rsidR="003B50ED" w:rsidRPr="00F16251">
        <w:rPr>
          <w:rFonts w:cstheme="minorHAnsi"/>
        </w:rPr>
        <w:t xml:space="preserve"> </w:t>
      </w:r>
      <w:r w:rsidRPr="00F16251">
        <w:rPr>
          <w:rFonts w:cstheme="minorHAnsi"/>
        </w:rPr>
        <w:t>reprezentowania</w:t>
      </w:r>
      <w:r w:rsidR="003B50ED" w:rsidRPr="00F16251">
        <w:rPr>
          <w:rFonts w:cstheme="minorHAnsi"/>
        </w:rPr>
        <w:t xml:space="preserve"> </w:t>
      </w:r>
      <w:r w:rsidR="00D80114" w:rsidRPr="00F16251">
        <w:rPr>
          <w:rFonts w:cstheme="minorHAnsi"/>
        </w:rPr>
        <w:t xml:space="preserve">grupy interesu </w:t>
      </w:r>
      <w:r w:rsidRPr="00F16251">
        <w:rPr>
          <w:rFonts w:cstheme="minorHAnsi"/>
        </w:rPr>
        <w:t>sektora</w:t>
      </w:r>
      <w:r w:rsidR="003B50ED" w:rsidRPr="00F16251">
        <w:rPr>
          <w:rFonts w:cstheme="minorHAnsi"/>
        </w:rPr>
        <w:t xml:space="preserve"> </w:t>
      </w:r>
      <w:r w:rsidRPr="00F16251">
        <w:rPr>
          <w:rFonts w:cstheme="minorHAnsi"/>
        </w:rPr>
        <w:t>społeczno-gospodarczego</w:t>
      </w:r>
      <w:r w:rsidR="003B50ED" w:rsidRPr="00F16251">
        <w:rPr>
          <w:rFonts w:cstheme="minorHAnsi"/>
        </w:rPr>
        <w:t xml:space="preserve"> </w:t>
      </w:r>
      <w:r w:rsidRPr="00F16251">
        <w:rPr>
          <w:rFonts w:cstheme="minorHAnsi"/>
        </w:rPr>
        <w:t>przez</w:t>
      </w:r>
      <w:r w:rsidR="003B50ED" w:rsidRPr="00F16251">
        <w:rPr>
          <w:rFonts w:cstheme="minorHAnsi"/>
        </w:rPr>
        <w:t xml:space="preserve"> </w:t>
      </w:r>
      <w:r w:rsidRPr="00F16251">
        <w:rPr>
          <w:rFonts w:cstheme="minorHAnsi"/>
        </w:rPr>
        <w:t>osoby</w:t>
      </w:r>
      <w:r w:rsidR="003B50ED" w:rsidRPr="00F16251">
        <w:rPr>
          <w:rFonts w:cstheme="minorHAnsi"/>
        </w:rPr>
        <w:t xml:space="preserve"> </w:t>
      </w:r>
      <w:r w:rsidRPr="00F16251">
        <w:rPr>
          <w:rFonts w:cstheme="minorHAnsi"/>
        </w:rPr>
        <w:t>związane</w:t>
      </w:r>
      <w:r w:rsidR="003B50ED" w:rsidRPr="00F16251">
        <w:rPr>
          <w:rFonts w:cstheme="minorHAnsi"/>
        </w:rPr>
        <w:t xml:space="preserve"> </w:t>
      </w:r>
      <w:r w:rsidRPr="00F16251">
        <w:rPr>
          <w:rFonts w:cstheme="minorHAnsi"/>
        </w:rPr>
        <w:t>z</w:t>
      </w:r>
      <w:r w:rsidR="003B50ED" w:rsidRPr="00F16251">
        <w:rPr>
          <w:rFonts w:cstheme="minorHAnsi"/>
        </w:rPr>
        <w:t xml:space="preserve"> </w:t>
      </w:r>
      <w:r w:rsidR="00D80114" w:rsidRPr="00F16251">
        <w:rPr>
          <w:rFonts w:cstheme="minorHAnsi"/>
        </w:rPr>
        <w:t xml:space="preserve">grupą interesu </w:t>
      </w:r>
      <w:r w:rsidRPr="00F16251">
        <w:rPr>
          <w:rFonts w:cstheme="minorHAnsi"/>
        </w:rPr>
        <w:t>sekto</w:t>
      </w:r>
      <w:r w:rsidR="00D80114" w:rsidRPr="00F16251">
        <w:rPr>
          <w:rFonts w:cstheme="minorHAnsi"/>
        </w:rPr>
        <w:t>ra</w:t>
      </w:r>
      <w:r w:rsidR="003B50ED" w:rsidRPr="00F16251">
        <w:rPr>
          <w:rFonts w:cstheme="minorHAnsi"/>
        </w:rPr>
        <w:t xml:space="preserve"> </w:t>
      </w:r>
      <w:r w:rsidRPr="00F16251">
        <w:rPr>
          <w:rFonts w:cstheme="minorHAnsi"/>
        </w:rPr>
        <w:t>publiczn</w:t>
      </w:r>
      <w:r w:rsidR="00D80114" w:rsidRPr="00F16251">
        <w:rPr>
          <w:rFonts w:cstheme="minorHAnsi"/>
        </w:rPr>
        <w:t>ego</w:t>
      </w:r>
      <w:r w:rsidRPr="00F16251">
        <w:rPr>
          <w:rFonts w:cstheme="minorHAnsi"/>
        </w:rPr>
        <w:t>.</w:t>
      </w:r>
      <w:r w:rsidR="003B50ED" w:rsidRPr="00F16251">
        <w:rPr>
          <w:rFonts w:cstheme="minorHAnsi"/>
        </w:rPr>
        <w:t xml:space="preserve"> </w:t>
      </w:r>
      <w:r w:rsidRPr="00F16251">
        <w:rPr>
          <w:rFonts w:cstheme="minorHAnsi"/>
        </w:rPr>
        <w:t>Osoby</w:t>
      </w:r>
      <w:r w:rsidR="003B50ED" w:rsidRPr="00F16251">
        <w:rPr>
          <w:rFonts w:cstheme="minorHAnsi"/>
        </w:rPr>
        <w:t xml:space="preserve"> </w:t>
      </w:r>
      <w:r w:rsidRPr="00F16251">
        <w:rPr>
          <w:rFonts w:cstheme="minorHAnsi"/>
        </w:rPr>
        <w:t>trzecie</w:t>
      </w:r>
      <w:r w:rsidR="003B50ED" w:rsidRPr="00F16251">
        <w:rPr>
          <w:rFonts w:cstheme="minorHAnsi"/>
        </w:rPr>
        <w:t xml:space="preserve"> </w:t>
      </w:r>
      <w:r w:rsidRPr="00F16251">
        <w:rPr>
          <w:rFonts w:cstheme="minorHAnsi"/>
        </w:rPr>
        <w:t>nie</w:t>
      </w:r>
      <w:r w:rsidR="003B50ED" w:rsidRPr="00F16251">
        <w:rPr>
          <w:rFonts w:cstheme="minorHAnsi"/>
        </w:rPr>
        <w:t xml:space="preserve"> </w:t>
      </w:r>
      <w:r w:rsidRPr="00F16251">
        <w:rPr>
          <w:rFonts w:cstheme="minorHAnsi"/>
        </w:rPr>
        <w:t>są</w:t>
      </w:r>
      <w:r w:rsidR="003B50ED" w:rsidRPr="00F16251">
        <w:rPr>
          <w:rFonts w:cstheme="minorHAnsi"/>
        </w:rPr>
        <w:t xml:space="preserve"> </w:t>
      </w:r>
      <w:r w:rsidRPr="00F16251">
        <w:rPr>
          <w:rFonts w:cstheme="minorHAnsi"/>
        </w:rPr>
        <w:t>upoważniane</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udziału</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podejmowaniu</w:t>
      </w:r>
      <w:r w:rsidR="003B50ED" w:rsidRPr="00F16251">
        <w:rPr>
          <w:rFonts w:cstheme="minorHAnsi"/>
        </w:rPr>
        <w:t xml:space="preserve"> </w:t>
      </w:r>
      <w:r w:rsidRPr="00F16251">
        <w:rPr>
          <w:rFonts w:cstheme="minorHAnsi"/>
        </w:rPr>
        <w:t>decyzji,</w:t>
      </w:r>
      <w:r w:rsidR="003B50ED" w:rsidRPr="00F16251">
        <w:rPr>
          <w:rFonts w:cstheme="minorHAnsi"/>
        </w:rPr>
        <w:t xml:space="preserve"> </w:t>
      </w:r>
      <w:r w:rsidRPr="00F16251">
        <w:rPr>
          <w:rFonts w:cstheme="minorHAnsi"/>
        </w:rPr>
        <w:t>a</w:t>
      </w:r>
      <w:r w:rsidR="003B50ED" w:rsidRPr="00F16251">
        <w:rPr>
          <w:rFonts w:cstheme="minorHAnsi"/>
        </w:rPr>
        <w:t xml:space="preserve"> </w:t>
      </w:r>
      <w:r w:rsidRPr="00F16251">
        <w:rPr>
          <w:rFonts w:cstheme="minorHAnsi"/>
        </w:rPr>
        <w:t>członkowie</w:t>
      </w:r>
      <w:r w:rsidR="003B50ED" w:rsidRPr="00F16251">
        <w:rPr>
          <w:rFonts w:cstheme="minorHAnsi"/>
        </w:rPr>
        <w:t xml:space="preserve"> </w:t>
      </w:r>
      <w:r w:rsidRPr="00F16251">
        <w:rPr>
          <w:rFonts w:cstheme="minorHAnsi"/>
        </w:rPr>
        <w:t>organu</w:t>
      </w:r>
      <w:r w:rsidR="003B50ED" w:rsidRPr="00F16251">
        <w:rPr>
          <w:rFonts w:cstheme="minorHAnsi"/>
        </w:rPr>
        <w:t xml:space="preserve"> </w:t>
      </w:r>
      <w:r w:rsidRPr="00F16251">
        <w:rPr>
          <w:rFonts w:cstheme="minorHAnsi"/>
        </w:rPr>
        <w:t>decyzyjnego</w:t>
      </w:r>
      <w:r w:rsidR="003B50ED" w:rsidRPr="00F16251">
        <w:rPr>
          <w:rFonts w:cstheme="minorHAnsi"/>
        </w:rPr>
        <w:t xml:space="preserve"> </w:t>
      </w:r>
      <w:r w:rsidRPr="00F16251">
        <w:rPr>
          <w:rFonts w:cstheme="minorHAnsi"/>
        </w:rPr>
        <w:t>pełnią</w:t>
      </w:r>
      <w:r w:rsidR="003B50ED" w:rsidRPr="00F16251">
        <w:rPr>
          <w:rFonts w:cstheme="minorHAnsi"/>
        </w:rPr>
        <w:t xml:space="preserve"> </w:t>
      </w:r>
      <w:r w:rsidRPr="00F16251">
        <w:rPr>
          <w:rFonts w:cstheme="minorHAnsi"/>
        </w:rPr>
        <w:t>swoje</w:t>
      </w:r>
      <w:r w:rsidR="003B50ED" w:rsidRPr="00F16251">
        <w:rPr>
          <w:rFonts w:cstheme="minorHAnsi"/>
        </w:rPr>
        <w:t xml:space="preserve"> </w:t>
      </w:r>
      <w:r w:rsidRPr="00F16251">
        <w:rPr>
          <w:rFonts w:cstheme="minorHAnsi"/>
        </w:rPr>
        <w:t>funkcje</w:t>
      </w:r>
      <w:r w:rsidR="003B50ED" w:rsidRPr="00F16251">
        <w:rPr>
          <w:rFonts w:cstheme="minorHAnsi"/>
        </w:rPr>
        <w:t xml:space="preserve"> </w:t>
      </w:r>
      <w:r w:rsidRPr="00F16251">
        <w:rPr>
          <w:rFonts w:cstheme="minorHAnsi"/>
        </w:rPr>
        <w:t>osobiście.</w:t>
      </w:r>
      <w:r w:rsidR="003B50ED" w:rsidRPr="00F16251">
        <w:rPr>
          <w:rFonts w:cstheme="minorHAnsi"/>
        </w:rPr>
        <w:t xml:space="preserve"> </w:t>
      </w:r>
    </w:p>
    <w:p w14:paraId="08EAABB7" w14:textId="77777777" w:rsidR="001432C5" w:rsidRPr="00F16251" w:rsidRDefault="001432C5" w:rsidP="00A26C26">
      <w:pPr>
        <w:spacing w:line="276" w:lineRule="auto"/>
        <w:ind w:firstLine="284"/>
        <w:jc w:val="both"/>
        <w:rPr>
          <w:rFonts w:cstheme="minorHAnsi"/>
        </w:rPr>
      </w:pPr>
    </w:p>
    <w:p w14:paraId="6C0CC3A8" w14:textId="78D360E3" w:rsidR="00C17317" w:rsidRPr="00F16251" w:rsidRDefault="0035174A" w:rsidP="00EA6EBF">
      <w:pPr>
        <w:rPr>
          <w:rFonts w:cstheme="minorHAnsi"/>
          <w:bCs/>
        </w:rPr>
      </w:pPr>
      <w:r w:rsidRPr="00F16251">
        <w:rPr>
          <w:rFonts w:cstheme="minorHAnsi"/>
          <w:bCs/>
        </w:rPr>
        <w:t>Wykres</w:t>
      </w:r>
      <w:r w:rsidR="00B50849" w:rsidRPr="00F16251">
        <w:rPr>
          <w:rFonts w:cstheme="minorHAnsi"/>
          <w:bCs/>
        </w:rPr>
        <w:t xml:space="preserve"> nr </w:t>
      </w:r>
      <w:r w:rsidR="00396A11">
        <w:rPr>
          <w:rFonts w:cstheme="minorHAnsi"/>
          <w:bCs/>
        </w:rPr>
        <w:t xml:space="preserve">2 </w:t>
      </w:r>
      <w:r w:rsidR="00C17317" w:rsidRPr="00F16251">
        <w:rPr>
          <w:rFonts w:cstheme="minorHAnsi"/>
          <w:bCs/>
        </w:rPr>
        <w:t>Struktur</w:t>
      </w:r>
      <w:r w:rsidR="00B50849" w:rsidRPr="00F16251">
        <w:rPr>
          <w:rFonts w:cstheme="minorHAnsi"/>
          <w:bCs/>
        </w:rPr>
        <w:t>a</w:t>
      </w:r>
      <w:r w:rsidR="003B50ED" w:rsidRPr="00F16251">
        <w:rPr>
          <w:rFonts w:cstheme="minorHAnsi"/>
          <w:bCs/>
        </w:rPr>
        <w:t xml:space="preserve"> </w:t>
      </w:r>
      <w:r w:rsidR="00C17317" w:rsidRPr="00F16251">
        <w:rPr>
          <w:rFonts w:cstheme="minorHAnsi"/>
          <w:bCs/>
        </w:rPr>
        <w:t>Rady</w:t>
      </w:r>
      <w:r w:rsidR="003B50ED" w:rsidRPr="00F16251">
        <w:rPr>
          <w:rFonts w:cstheme="minorHAnsi"/>
          <w:bCs/>
        </w:rPr>
        <w:t xml:space="preserve"> </w:t>
      </w:r>
      <w:r w:rsidR="00B50849" w:rsidRPr="00F16251">
        <w:rPr>
          <w:rFonts w:cstheme="minorHAnsi"/>
        </w:rPr>
        <w:t>Stowarzyszenia „Solidarni w Partnerstwie”</w:t>
      </w:r>
    </w:p>
    <w:p w14:paraId="1B340D8A" w14:textId="5FA942B8" w:rsidR="0038786A" w:rsidRPr="00F16251" w:rsidRDefault="00DC55C3" w:rsidP="00A26C26">
      <w:pPr>
        <w:spacing w:line="276" w:lineRule="auto"/>
        <w:rPr>
          <w:rFonts w:cstheme="minorHAnsi"/>
        </w:rPr>
      </w:pPr>
      <w:r w:rsidRPr="00F16251">
        <w:rPr>
          <w:noProof/>
          <w:lang w:eastAsia="pl-PL"/>
        </w:rPr>
        <w:drawing>
          <wp:inline distT="0" distB="0" distL="0" distR="0" wp14:anchorId="7B71755E" wp14:editId="67F836A3">
            <wp:extent cx="5303520" cy="1304014"/>
            <wp:effectExtent l="0" t="0" r="11430" b="10795"/>
            <wp:docPr id="980117184" name="Wykres 1">
              <a:extLst xmlns:a="http://schemas.openxmlformats.org/drawingml/2006/main">
                <a:ext uri="{FF2B5EF4-FFF2-40B4-BE49-F238E27FC236}">
                  <a16:creationId xmlns:w15="http://schemas.microsoft.com/office/word/2012/wordml"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FE37FA35-652A-42E4-B7B5-4EDAB84FF4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F85302A" w14:textId="62373C5B" w:rsidR="00D02820" w:rsidRDefault="0038786A" w:rsidP="00EA6EBF">
      <w:pPr>
        <w:spacing w:line="276" w:lineRule="auto"/>
        <w:rPr>
          <w:rFonts w:cstheme="minorHAnsi"/>
        </w:rPr>
      </w:pPr>
      <w:r w:rsidRPr="00F16251">
        <w:rPr>
          <w:rFonts w:cstheme="minorHAnsi"/>
        </w:rPr>
        <w:t>Źródło:</w:t>
      </w:r>
      <w:r w:rsidR="003B50ED" w:rsidRPr="00F16251">
        <w:rPr>
          <w:rFonts w:cstheme="minorHAnsi"/>
        </w:rPr>
        <w:t xml:space="preserve"> </w:t>
      </w:r>
      <w:r w:rsidRPr="00F16251">
        <w:rPr>
          <w:rFonts w:cstheme="minorHAnsi"/>
        </w:rPr>
        <w:t>Opracowanie</w:t>
      </w:r>
      <w:r w:rsidR="003B50ED" w:rsidRPr="00F16251">
        <w:rPr>
          <w:rFonts w:cstheme="minorHAnsi"/>
        </w:rPr>
        <w:t xml:space="preserve"> </w:t>
      </w:r>
      <w:r w:rsidRPr="00F16251">
        <w:rPr>
          <w:rFonts w:cstheme="minorHAnsi"/>
        </w:rPr>
        <w:t>własne</w:t>
      </w:r>
    </w:p>
    <w:p w14:paraId="67B9FD7D" w14:textId="2B054930" w:rsidR="0038786A" w:rsidRPr="00F16251" w:rsidRDefault="00383D5D" w:rsidP="00A26C26">
      <w:pPr>
        <w:spacing w:line="276" w:lineRule="auto"/>
        <w:ind w:firstLine="284"/>
        <w:jc w:val="both"/>
        <w:rPr>
          <w:rFonts w:cstheme="minorHAnsi"/>
        </w:rPr>
      </w:pPr>
      <w:r w:rsidRPr="00F16251">
        <w:rPr>
          <w:rFonts w:cstheme="minorHAnsi"/>
        </w:rPr>
        <w:t>Reprezentatywność</w:t>
      </w:r>
      <w:r w:rsidR="003B50ED" w:rsidRPr="00F16251">
        <w:rPr>
          <w:rFonts w:cstheme="minorHAnsi"/>
        </w:rPr>
        <w:t xml:space="preserve"> </w:t>
      </w:r>
      <w:r w:rsidRPr="00F16251">
        <w:rPr>
          <w:rFonts w:cstheme="minorHAnsi"/>
        </w:rPr>
        <w:t>poszczególnych</w:t>
      </w:r>
      <w:r w:rsidR="003B50ED" w:rsidRPr="00F16251">
        <w:rPr>
          <w:rFonts w:cstheme="minorHAnsi"/>
        </w:rPr>
        <w:t xml:space="preserve"> </w:t>
      </w:r>
      <w:r w:rsidR="00396A11">
        <w:rPr>
          <w:rFonts w:cstheme="minorHAnsi"/>
        </w:rPr>
        <w:t xml:space="preserve">grup interesu </w:t>
      </w:r>
      <w:r w:rsidRPr="00F16251">
        <w:rPr>
          <w:rFonts w:cstheme="minorHAnsi"/>
        </w:rPr>
        <w:t>sektorów</w:t>
      </w:r>
      <w:r w:rsidR="003B50ED" w:rsidRPr="00F16251">
        <w:rPr>
          <w:rFonts w:cstheme="minorHAnsi"/>
        </w:rPr>
        <w:t xml:space="preserve"> </w:t>
      </w:r>
      <w:r w:rsidRPr="00F16251">
        <w:rPr>
          <w:rFonts w:cstheme="minorHAnsi"/>
        </w:rPr>
        <w:t>wygląda</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następujący</w:t>
      </w:r>
      <w:r w:rsidR="003B50ED" w:rsidRPr="00F16251">
        <w:rPr>
          <w:rFonts w:cstheme="minorHAnsi"/>
        </w:rPr>
        <w:t xml:space="preserve"> </w:t>
      </w:r>
      <w:r w:rsidRPr="00F16251">
        <w:rPr>
          <w:rFonts w:cstheme="minorHAnsi"/>
        </w:rPr>
        <w:t>sposób</w:t>
      </w:r>
    </w:p>
    <w:p w14:paraId="725AC5BD" w14:textId="1898E8B1" w:rsidR="00383D5D" w:rsidRPr="00F16251" w:rsidRDefault="00D80114" w:rsidP="008A412F">
      <w:pPr>
        <w:pStyle w:val="Akapitzlist"/>
        <w:numPr>
          <w:ilvl w:val="0"/>
          <w:numId w:val="2"/>
        </w:numPr>
        <w:spacing w:line="276" w:lineRule="auto"/>
        <w:contextualSpacing w:val="0"/>
        <w:jc w:val="both"/>
        <w:rPr>
          <w:rFonts w:cstheme="minorHAnsi"/>
        </w:rPr>
      </w:pPr>
      <w:r w:rsidRPr="00F16251">
        <w:rPr>
          <w:rFonts w:cstheme="minorHAnsi"/>
        </w:rPr>
        <w:t>Grupa interesu sektora publicznego</w:t>
      </w:r>
      <w:r w:rsidR="003B50ED" w:rsidRPr="00F16251">
        <w:rPr>
          <w:rFonts w:cstheme="minorHAnsi"/>
        </w:rPr>
        <w:t xml:space="preserve"> </w:t>
      </w:r>
      <w:r w:rsidR="00383D5D" w:rsidRPr="00F16251">
        <w:rPr>
          <w:rFonts w:cstheme="minorHAnsi"/>
        </w:rPr>
        <w:t>–</w:t>
      </w:r>
      <w:r w:rsidR="003B50ED" w:rsidRPr="00F16251">
        <w:rPr>
          <w:rFonts w:cstheme="minorHAnsi"/>
        </w:rPr>
        <w:t xml:space="preserve"> </w:t>
      </w:r>
      <w:r w:rsidR="00383D5D" w:rsidRPr="00F16251">
        <w:rPr>
          <w:rFonts w:cstheme="minorHAnsi"/>
        </w:rPr>
        <w:t>reprezentowan</w:t>
      </w:r>
      <w:r w:rsidR="002155F5" w:rsidRPr="00F16251">
        <w:rPr>
          <w:rFonts w:cstheme="minorHAnsi"/>
        </w:rPr>
        <w:t>a</w:t>
      </w:r>
      <w:r w:rsidR="003B50ED" w:rsidRPr="00F16251">
        <w:rPr>
          <w:rFonts w:cstheme="minorHAnsi"/>
        </w:rPr>
        <w:t xml:space="preserve"> </w:t>
      </w:r>
      <w:r w:rsidR="00383D5D" w:rsidRPr="00F16251">
        <w:rPr>
          <w:rFonts w:cstheme="minorHAnsi"/>
        </w:rPr>
        <w:t>jest</w:t>
      </w:r>
      <w:r w:rsidR="003B50ED" w:rsidRPr="00F16251">
        <w:rPr>
          <w:rFonts w:cstheme="minorHAnsi"/>
        </w:rPr>
        <w:t xml:space="preserve"> </w:t>
      </w:r>
      <w:r w:rsidR="00383D5D" w:rsidRPr="00F16251">
        <w:rPr>
          <w:rFonts w:cstheme="minorHAnsi"/>
        </w:rPr>
        <w:t>przez</w:t>
      </w:r>
      <w:r w:rsidR="003B50ED" w:rsidRPr="00F16251">
        <w:rPr>
          <w:rFonts w:cstheme="minorHAnsi"/>
        </w:rPr>
        <w:t xml:space="preserve"> </w:t>
      </w:r>
      <w:r w:rsidR="00995F46" w:rsidRPr="00F16251">
        <w:rPr>
          <w:rFonts w:cstheme="minorHAnsi"/>
        </w:rPr>
        <w:t>5</w:t>
      </w:r>
      <w:r w:rsidR="003B50ED" w:rsidRPr="00F16251">
        <w:rPr>
          <w:rFonts w:cstheme="minorHAnsi"/>
        </w:rPr>
        <w:t xml:space="preserve"> </w:t>
      </w:r>
      <w:r w:rsidR="00383D5D" w:rsidRPr="00F16251">
        <w:rPr>
          <w:rFonts w:cstheme="minorHAnsi"/>
        </w:rPr>
        <w:t>os</w:t>
      </w:r>
      <w:r w:rsidR="00995F46" w:rsidRPr="00F16251">
        <w:rPr>
          <w:rFonts w:cstheme="minorHAnsi"/>
        </w:rPr>
        <w:t>ób</w:t>
      </w:r>
      <w:r w:rsidR="003B50ED" w:rsidRPr="00F16251">
        <w:rPr>
          <w:rFonts w:cstheme="minorHAnsi"/>
        </w:rPr>
        <w:t xml:space="preserve"> </w:t>
      </w:r>
      <w:r w:rsidR="00383D5D" w:rsidRPr="00F16251">
        <w:rPr>
          <w:rFonts w:cstheme="minorHAnsi"/>
        </w:rPr>
        <w:t>(</w:t>
      </w:r>
      <w:r w:rsidR="00995F46" w:rsidRPr="00F16251">
        <w:rPr>
          <w:rFonts w:cstheme="minorHAnsi"/>
        </w:rPr>
        <w:t>42</w:t>
      </w:r>
      <w:r w:rsidR="00383D5D" w:rsidRPr="00F16251">
        <w:rPr>
          <w:rFonts w:cstheme="minorHAnsi"/>
        </w:rPr>
        <w:t>%);</w:t>
      </w:r>
    </w:p>
    <w:p w14:paraId="5F6C3123" w14:textId="555E4D17" w:rsidR="00383D5D" w:rsidRPr="00F16251" w:rsidRDefault="002155F5" w:rsidP="008A412F">
      <w:pPr>
        <w:pStyle w:val="Akapitzlist"/>
        <w:numPr>
          <w:ilvl w:val="0"/>
          <w:numId w:val="2"/>
        </w:numPr>
        <w:spacing w:line="276" w:lineRule="auto"/>
        <w:contextualSpacing w:val="0"/>
        <w:jc w:val="both"/>
        <w:rPr>
          <w:rFonts w:cstheme="minorHAnsi"/>
        </w:rPr>
      </w:pPr>
      <w:r w:rsidRPr="00F16251">
        <w:rPr>
          <w:rFonts w:cstheme="minorHAnsi"/>
        </w:rPr>
        <w:lastRenderedPageBreak/>
        <w:t xml:space="preserve">Grupa interesu sektora </w:t>
      </w:r>
      <w:r w:rsidR="00383D5D" w:rsidRPr="00F16251">
        <w:rPr>
          <w:rFonts w:cstheme="minorHAnsi"/>
        </w:rPr>
        <w:t>gospodarcz</w:t>
      </w:r>
      <w:r w:rsidRPr="00F16251">
        <w:rPr>
          <w:rFonts w:cstheme="minorHAnsi"/>
        </w:rPr>
        <w:t>ego</w:t>
      </w:r>
      <w:r w:rsidR="003B50ED" w:rsidRPr="00F16251">
        <w:rPr>
          <w:rFonts w:cstheme="minorHAnsi"/>
        </w:rPr>
        <w:t xml:space="preserve"> </w:t>
      </w:r>
      <w:r w:rsidR="00383D5D" w:rsidRPr="00F16251">
        <w:rPr>
          <w:rFonts w:cstheme="minorHAnsi"/>
        </w:rPr>
        <w:t>-</w:t>
      </w:r>
      <w:r w:rsidR="003B50ED" w:rsidRPr="00F16251">
        <w:rPr>
          <w:rFonts w:cstheme="minorHAnsi"/>
        </w:rPr>
        <w:t xml:space="preserve"> </w:t>
      </w:r>
      <w:r w:rsidR="00383D5D" w:rsidRPr="00F16251">
        <w:rPr>
          <w:rFonts w:cstheme="minorHAnsi"/>
        </w:rPr>
        <w:t>reprezentowan</w:t>
      </w:r>
      <w:r w:rsidRPr="00F16251">
        <w:rPr>
          <w:rFonts w:cstheme="minorHAnsi"/>
        </w:rPr>
        <w:t>a</w:t>
      </w:r>
      <w:r w:rsidR="003B50ED" w:rsidRPr="00F16251">
        <w:rPr>
          <w:rFonts w:cstheme="minorHAnsi"/>
        </w:rPr>
        <w:t xml:space="preserve"> </w:t>
      </w:r>
      <w:r w:rsidR="00383D5D" w:rsidRPr="00F16251">
        <w:rPr>
          <w:rFonts w:cstheme="minorHAnsi"/>
        </w:rPr>
        <w:t>jest</w:t>
      </w:r>
      <w:r w:rsidR="003B50ED" w:rsidRPr="00F16251">
        <w:rPr>
          <w:rFonts w:cstheme="minorHAnsi"/>
        </w:rPr>
        <w:t xml:space="preserve"> </w:t>
      </w:r>
      <w:r w:rsidR="00383D5D" w:rsidRPr="00F16251">
        <w:rPr>
          <w:rFonts w:cstheme="minorHAnsi"/>
        </w:rPr>
        <w:t>przez</w:t>
      </w:r>
      <w:r w:rsidR="003B50ED" w:rsidRPr="00F16251">
        <w:rPr>
          <w:rFonts w:cstheme="minorHAnsi"/>
        </w:rPr>
        <w:t xml:space="preserve"> </w:t>
      </w:r>
      <w:r w:rsidR="00995F46" w:rsidRPr="00F16251">
        <w:rPr>
          <w:rFonts w:cstheme="minorHAnsi"/>
        </w:rPr>
        <w:t>4</w:t>
      </w:r>
      <w:r w:rsidR="003B50ED" w:rsidRPr="00F16251">
        <w:rPr>
          <w:rFonts w:cstheme="minorHAnsi"/>
        </w:rPr>
        <w:t xml:space="preserve"> </w:t>
      </w:r>
      <w:r w:rsidR="00383D5D" w:rsidRPr="00F16251">
        <w:rPr>
          <w:rFonts w:cstheme="minorHAnsi"/>
        </w:rPr>
        <w:t>osoby</w:t>
      </w:r>
      <w:r w:rsidR="003B50ED" w:rsidRPr="00F16251">
        <w:rPr>
          <w:rFonts w:cstheme="minorHAnsi"/>
        </w:rPr>
        <w:t xml:space="preserve"> </w:t>
      </w:r>
      <w:r w:rsidR="00383D5D" w:rsidRPr="00F16251">
        <w:rPr>
          <w:rFonts w:cstheme="minorHAnsi"/>
        </w:rPr>
        <w:t>(</w:t>
      </w:r>
      <w:r w:rsidR="00995F46" w:rsidRPr="00F16251">
        <w:rPr>
          <w:rFonts w:cstheme="minorHAnsi"/>
        </w:rPr>
        <w:t>33</w:t>
      </w:r>
      <w:r w:rsidR="00383D5D" w:rsidRPr="00F16251">
        <w:rPr>
          <w:rFonts w:cstheme="minorHAnsi"/>
        </w:rPr>
        <w:t>%).</w:t>
      </w:r>
    </w:p>
    <w:p w14:paraId="7B2C38AA" w14:textId="2272B6FA" w:rsidR="00995F46" w:rsidRPr="00F16251" w:rsidRDefault="002155F5" w:rsidP="008A412F">
      <w:pPr>
        <w:pStyle w:val="Akapitzlist"/>
        <w:numPr>
          <w:ilvl w:val="0"/>
          <w:numId w:val="2"/>
        </w:numPr>
        <w:spacing w:line="276" w:lineRule="auto"/>
        <w:contextualSpacing w:val="0"/>
        <w:jc w:val="both"/>
        <w:rPr>
          <w:rFonts w:cstheme="minorHAnsi"/>
        </w:rPr>
      </w:pPr>
      <w:r w:rsidRPr="00F16251">
        <w:rPr>
          <w:rFonts w:cstheme="minorHAnsi"/>
        </w:rPr>
        <w:t>Grupa interesu sektora społecznego</w:t>
      </w:r>
      <w:r w:rsidR="00995F46" w:rsidRPr="00F16251">
        <w:rPr>
          <w:rFonts w:cstheme="minorHAnsi"/>
        </w:rPr>
        <w:t>–</w:t>
      </w:r>
      <w:r w:rsidR="003B50ED" w:rsidRPr="00F16251">
        <w:rPr>
          <w:rFonts w:cstheme="minorHAnsi"/>
        </w:rPr>
        <w:t xml:space="preserve"> </w:t>
      </w:r>
      <w:r w:rsidR="00995F46" w:rsidRPr="00F16251">
        <w:rPr>
          <w:rFonts w:cstheme="minorHAnsi"/>
        </w:rPr>
        <w:t>reprezentowan</w:t>
      </w:r>
      <w:r w:rsidRPr="00F16251">
        <w:rPr>
          <w:rFonts w:cstheme="minorHAnsi"/>
        </w:rPr>
        <w:t>a</w:t>
      </w:r>
      <w:r w:rsidR="003B50ED" w:rsidRPr="00F16251">
        <w:rPr>
          <w:rFonts w:cstheme="minorHAnsi"/>
        </w:rPr>
        <w:t xml:space="preserve"> </w:t>
      </w:r>
      <w:r w:rsidR="00995F46" w:rsidRPr="00F16251">
        <w:rPr>
          <w:rFonts w:cstheme="minorHAnsi"/>
        </w:rPr>
        <w:t>jest</w:t>
      </w:r>
      <w:r w:rsidR="003B50ED" w:rsidRPr="00F16251">
        <w:rPr>
          <w:rFonts w:cstheme="minorHAnsi"/>
        </w:rPr>
        <w:t xml:space="preserve"> </w:t>
      </w:r>
      <w:r w:rsidR="00995F46" w:rsidRPr="00F16251">
        <w:rPr>
          <w:rFonts w:cstheme="minorHAnsi"/>
        </w:rPr>
        <w:t>przez</w:t>
      </w:r>
      <w:r w:rsidR="003B50ED" w:rsidRPr="00F16251">
        <w:rPr>
          <w:rFonts w:cstheme="minorHAnsi"/>
        </w:rPr>
        <w:t xml:space="preserve"> </w:t>
      </w:r>
      <w:r w:rsidR="00995F46" w:rsidRPr="00F16251">
        <w:rPr>
          <w:rFonts w:cstheme="minorHAnsi"/>
        </w:rPr>
        <w:t>3</w:t>
      </w:r>
      <w:r w:rsidR="003B50ED" w:rsidRPr="00F16251">
        <w:rPr>
          <w:rFonts w:cstheme="minorHAnsi"/>
        </w:rPr>
        <w:t xml:space="preserve"> </w:t>
      </w:r>
      <w:r w:rsidR="00995F46" w:rsidRPr="00F16251">
        <w:rPr>
          <w:rFonts w:cstheme="minorHAnsi"/>
        </w:rPr>
        <w:t>osoby</w:t>
      </w:r>
      <w:r w:rsidR="003B50ED" w:rsidRPr="00F16251">
        <w:rPr>
          <w:rFonts w:cstheme="minorHAnsi"/>
        </w:rPr>
        <w:t xml:space="preserve"> </w:t>
      </w:r>
      <w:r w:rsidR="00995F46" w:rsidRPr="00F16251">
        <w:rPr>
          <w:rFonts w:cstheme="minorHAnsi"/>
        </w:rPr>
        <w:t>(25%);</w:t>
      </w:r>
    </w:p>
    <w:p w14:paraId="23CB0178" w14:textId="09384B3E" w:rsidR="0038786A" w:rsidRPr="00F16251" w:rsidRDefault="0038786A" w:rsidP="00A26C26">
      <w:pPr>
        <w:spacing w:line="276" w:lineRule="auto"/>
        <w:ind w:firstLine="284"/>
        <w:jc w:val="both"/>
        <w:rPr>
          <w:rFonts w:cstheme="minorHAnsi"/>
        </w:rPr>
      </w:pPr>
      <w:r w:rsidRPr="00F16251">
        <w:rPr>
          <w:rFonts w:cstheme="minorHAnsi"/>
        </w:rPr>
        <w:t>W</w:t>
      </w:r>
      <w:r w:rsidR="003B50ED" w:rsidRPr="00F16251">
        <w:rPr>
          <w:rFonts w:cstheme="minorHAnsi"/>
        </w:rPr>
        <w:t xml:space="preserve"> </w:t>
      </w:r>
      <w:r w:rsidRPr="00F16251">
        <w:rPr>
          <w:rFonts w:cstheme="minorHAnsi"/>
        </w:rPr>
        <w:t>celu</w:t>
      </w:r>
      <w:r w:rsidR="003B50ED" w:rsidRPr="00F16251">
        <w:rPr>
          <w:rFonts w:cstheme="minorHAnsi"/>
        </w:rPr>
        <w:t xml:space="preserve"> </w:t>
      </w:r>
      <w:r w:rsidRPr="00F16251">
        <w:rPr>
          <w:rFonts w:cstheme="minorHAnsi"/>
        </w:rPr>
        <w:t>zapewnienia</w:t>
      </w:r>
      <w:r w:rsidR="003B50ED" w:rsidRPr="00F16251">
        <w:rPr>
          <w:rFonts w:cstheme="minorHAnsi"/>
        </w:rPr>
        <w:t xml:space="preserve"> </w:t>
      </w:r>
      <w:r w:rsidRPr="00F16251">
        <w:rPr>
          <w:rFonts w:cstheme="minorHAnsi"/>
        </w:rPr>
        <w:t>wyboru</w:t>
      </w:r>
      <w:r w:rsidR="003B50ED" w:rsidRPr="00F16251">
        <w:rPr>
          <w:rFonts w:cstheme="minorHAnsi"/>
        </w:rPr>
        <w:t xml:space="preserve"> </w:t>
      </w:r>
      <w:r w:rsidRPr="00F16251">
        <w:rPr>
          <w:rFonts w:cstheme="minorHAnsi"/>
        </w:rPr>
        <w:t>operacji</w:t>
      </w:r>
      <w:r w:rsidR="003B50ED" w:rsidRPr="00F16251">
        <w:rPr>
          <w:rFonts w:cstheme="minorHAnsi"/>
        </w:rPr>
        <w:t xml:space="preserve"> </w:t>
      </w:r>
      <w:r w:rsidRPr="00F16251">
        <w:rPr>
          <w:rFonts w:cstheme="minorHAnsi"/>
        </w:rPr>
        <w:t>bez</w:t>
      </w:r>
      <w:r w:rsidR="003B50ED" w:rsidRPr="00F16251">
        <w:rPr>
          <w:rFonts w:cstheme="minorHAnsi"/>
        </w:rPr>
        <w:t xml:space="preserve"> </w:t>
      </w:r>
      <w:r w:rsidRPr="00F16251">
        <w:rPr>
          <w:rFonts w:cstheme="minorHAnsi"/>
        </w:rPr>
        <w:t>dominacji</w:t>
      </w:r>
      <w:r w:rsidR="003B50ED" w:rsidRPr="00F16251">
        <w:rPr>
          <w:rFonts w:cstheme="minorHAnsi"/>
        </w:rPr>
        <w:t xml:space="preserve"> </w:t>
      </w:r>
      <w:r w:rsidRPr="00F16251">
        <w:rPr>
          <w:rFonts w:cstheme="minorHAnsi"/>
        </w:rPr>
        <w:t>jakiejkolwiek</w:t>
      </w:r>
      <w:r w:rsidR="003B50ED" w:rsidRPr="00F16251">
        <w:rPr>
          <w:rFonts w:cstheme="minorHAnsi"/>
        </w:rPr>
        <w:t xml:space="preserve"> </w:t>
      </w:r>
      <w:r w:rsidRPr="00F16251">
        <w:rPr>
          <w:rFonts w:cstheme="minorHAnsi"/>
        </w:rPr>
        <w:t>grupy</w:t>
      </w:r>
      <w:r w:rsidR="003B50ED" w:rsidRPr="00F16251">
        <w:rPr>
          <w:rFonts w:cstheme="minorHAnsi"/>
        </w:rPr>
        <w:t xml:space="preserve"> </w:t>
      </w:r>
      <w:r w:rsidRPr="00F16251">
        <w:rPr>
          <w:rFonts w:cstheme="minorHAnsi"/>
        </w:rPr>
        <w:t>interesu</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organie</w:t>
      </w:r>
      <w:r w:rsidR="003B50ED" w:rsidRPr="00F16251">
        <w:rPr>
          <w:rFonts w:cstheme="minorHAnsi"/>
        </w:rPr>
        <w:t xml:space="preserve"> </w:t>
      </w:r>
      <w:r w:rsidRPr="00F16251">
        <w:rPr>
          <w:rFonts w:cstheme="minorHAnsi"/>
        </w:rPr>
        <w:t>decyzyjnym</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unikania</w:t>
      </w:r>
      <w:r w:rsidR="003B50ED" w:rsidRPr="00F16251">
        <w:rPr>
          <w:rFonts w:cstheme="minorHAnsi"/>
        </w:rPr>
        <w:t xml:space="preserve"> </w:t>
      </w:r>
      <w:r w:rsidRPr="00F16251">
        <w:rPr>
          <w:rFonts w:cstheme="minorHAnsi"/>
        </w:rPr>
        <w:t>konfliktu</w:t>
      </w:r>
      <w:r w:rsidR="003B50ED" w:rsidRPr="00F16251">
        <w:rPr>
          <w:rFonts w:cstheme="minorHAnsi"/>
        </w:rPr>
        <w:t xml:space="preserve"> </w:t>
      </w:r>
      <w:r w:rsidRPr="00F16251">
        <w:rPr>
          <w:rFonts w:cstheme="minorHAnsi"/>
        </w:rPr>
        <w:t>interesu,</w:t>
      </w:r>
      <w:r w:rsidR="003B50ED" w:rsidRPr="00F16251">
        <w:rPr>
          <w:rFonts w:cstheme="minorHAnsi"/>
        </w:rPr>
        <w:t xml:space="preserve"> </w:t>
      </w:r>
      <w:r w:rsidR="0011498F" w:rsidRPr="00F16251">
        <w:rPr>
          <w:rFonts w:cstheme="minorHAnsi"/>
        </w:rPr>
        <w:t>biuro</w:t>
      </w:r>
      <w:r w:rsidR="003B50ED" w:rsidRPr="00F16251">
        <w:rPr>
          <w:rFonts w:cstheme="minorHAnsi"/>
        </w:rPr>
        <w:t xml:space="preserve"> </w:t>
      </w:r>
      <w:r w:rsidR="0011498F" w:rsidRPr="00F16251">
        <w:rPr>
          <w:rFonts w:cstheme="minorHAnsi"/>
        </w:rPr>
        <w:t>LGD</w:t>
      </w:r>
      <w:r w:rsidR="003B50ED" w:rsidRPr="00F16251">
        <w:rPr>
          <w:rFonts w:cstheme="minorHAnsi"/>
        </w:rPr>
        <w:t xml:space="preserve"> </w:t>
      </w:r>
      <w:r w:rsidR="0011498F" w:rsidRPr="00F16251">
        <w:rPr>
          <w:rFonts w:cstheme="minorHAnsi"/>
        </w:rPr>
        <w:t>będzie</w:t>
      </w:r>
      <w:r w:rsidR="003B50ED" w:rsidRPr="00F16251">
        <w:rPr>
          <w:rFonts w:cstheme="minorHAnsi"/>
        </w:rPr>
        <w:t xml:space="preserve"> </w:t>
      </w:r>
      <w:r w:rsidR="0011498F" w:rsidRPr="00F16251">
        <w:rPr>
          <w:rFonts w:cstheme="minorHAnsi"/>
        </w:rPr>
        <w:t>prowadzić</w:t>
      </w:r>
      <w:r w:rsidR="003B50ED" w:rsidRPr="00F16251">
        <w:rPr>
          <w:rFonts w:cstheme="minorHAnsi"/>
        </w:rPr>
        <w:t xml:space="preserve"> </w:t>
      </w:r>
      <w:r w:rsidR="0011498F" w:rsidRPr="00F16251">
        <w:rPr>
          <w:rFonts w:cstheme="minorHAnsi"/>
        </w:rPr>
        <w:t>rejestr</w:t>
      </w:r>
      <w:r w:rsidR="003B50ED" w:rsidRPr="00F16251">
        <w:rPr>
          <w:rFonts w:cstheme="minorHAnsi"/>
        </w:rPr>
        <w:t xml:space="preserve"> </w:t>
      </w:r>
      <w:r w:rsidR="0011498F" w:rsidRPr="00F16251">
        <w:rPr>
          <w:rFonts w:cstheme="minorHAnsi"/>
        </w:rPr>
        <w:t>interesów.</w:t>
      </w:r>
      <w:r w:rsidR="003B50ED" w:rsidRPr="00F16251">
        <w:rPr>
          <w:rFonts w:cstheme="minorHAnsi"/>
        </w:rPr>
        <w:t xml:space="preserve"> </w:t>
      </w:r>
      <w:r w:rsidR="0011498F" w:rsidRPr="00F16251">
        <w:rPr>
          <w:rFonts w:cstheme="minorHAnsi"/>
        </w:rPr>
        <w:t>Ponadto</w:t>
      </w:r>
      <w:r w:rsidR="003B50ED" w:rsidRPr="00F16251">
        <w:rPr>
          <w:rFonts w:cstheme="minorHAnsi"/>
        </w:rPr>
        <w:t xml:space="preserve"> </w:t>
      </w:r>
      <w:r w:rsidR="0011498F" w:rsidRPr="00F16251">
        <w:rPr>
          <w:rFonts w:cstheme="minorHAnsi"/>
        </w:rPr>
        <w:t>przed</w:t>
      </w:r>
      <w:r w:rsidR="003B50ED" w:rsidRPr="00F16251">
        <w:rPr>
          <w:rFonts w:cstheme="minorHAnsi"/>
        </w:rPr>
        <w:t xml:space="preserve"> </w:t>
      </w:r>
      <w:r w:rsidR="0011498F" w:rsidRPr="00F16251">
        <w:rPr>
          <w:rFonts w:cstheme="minorHAnsi"/>
        </w:rPr>
        <w:t>głosowaniem</w:t>
      </w:r>
      <w:r w:rsidR="003B50ED" w:rsidRPr="00F16251">
        <w:rPr>
          <w:rFonts w:cstheme="minorHAnsi"/>
        </w:rPr>
        <w:t xml:space="preserve"> </w:t>
      </w:r>
      <w:r w:rsidR="0011498F" w:rsidRPr="00F16251">
        <w:rPr>
          <w:rFonts w:cstheme="minorHAnsi"/>
        </w:rPr>
        <w:t>nad</w:t>
      </w:r>
      <w:r w:rsidR="003B50ED" w:rsidRPr="00F16251">
        <w:rPr>
          <w:rFonts w:cstheme="minorHAnsi"/>
        </w:rPr>
        <w:t xml:space="preserve"> </w:t>
      </w:r>
      <w:r w:rsidR="0011498F" w:rsidRPr="00F16251">
        <w:rPr>
          <w:rFonts w:cstheme="minorHAnsi"/>
        </w:rPr>
        <w:t>wyborem</w:t>
      </w:r>
      <w:r w:rsidR="003B50ED" w:rsidRPr="00F16251">
        <w:rPr>
          <w:rFonts w:cstheme="minorHAnsi"/>
        </w:rPr>
        <w:t xml:space="preserve"> </w:t>
      </w:r>
      <w:r w:rsidR="0011498F" w:rsidRPr="00F16251">
        <w:rPr>
          <w:rFonts w:cstheme="minorHAnsi"/>
        </w:rPr>
        <w:t>projektu,</w:t>
      </w:r>
      <w:r w:rsidR="003B50ED" w:rsidRPr="00F16251">
        <w:rPr>
          <w:rFonts w:cstheme="minorHAnsi"/>
        </w:rPr>
        <w:t xml:space="preserve"> </w:t>
      </w:r>
      <w:r w:rsidR="0011498F" w:rsidRPr="00F16251">
        <w:rPr>
          <w:rFonts w:cstheme="minorHAnsi"/>
        </w:rPr>
        <w:t>każdy</w:t>
      </w:r>
      <w:r w:rsidR="003B50ED" w:rsidRPr="00F16251">
        <w:rPr>
          <w:rFonts w:cstheme="minorHAnsi"/>
        </w:rPr>
        <w:t xml:space="preserve"> </w:t>
      </w:r>
      <w:r w:rsidR="0011498F" w:rsidRPr="00F16251">
        <w:rPr>
          <w:rFonts w:cstheme="minorHAnsi"/>
        </w:rPr>
        <w:t>z</w:t>
      </w:r>
      <w:r w:rsidR="003B50ED" w:rsidRPr="00F16251">
        <w:rPr>
          <w:rFonts w:cstheme="minorHAnsi"/>
        </w:rPr>
        <w:t xml:space="preserve"> </w:t>
      </w:r>
      <w:r w:rsidR="0011498F" w:rsidRPr="00F16251">
        <w:rPr>
          <w:rFonts w:cstheme="minorHAnsi"/>
        </w:rPr>
        <w:t>członków</w:t>
      </w:r>
      <w:r w:rsidR="003B50ED" w:rsidRPr="00F16251">
        <w:rPr>
          <w:rFonts w:cstheme="minorHAnsi"/>
        </w:rPr>
        <w:t xml:space="preserve"> </w:t>
      </w:r>
      <w:r w:rsidR="0011498F" w:rsidRPr="00F16251">
        <w:rPr>
          <w:rFonts w:cstheme="minorHAnsi"/>
        </w:rPr>
        <w:t>Rady</w:t>
      </w:r>
      <w:r w:rsidR="003B50ED" w:rsidRPr="00F16251">
        <w:rPr>
          <w:rFonts w:cstheme="minorHAnsi"/>
        </w:rPr>
        <w:t xml:space="preserve"> </w:t>
      </w:r>
      <w:r w:rsidR="0011498F" w:rsidRPr="00F16251">
        <w:rPr>
          <w:rFonts w:cstheme="minorHAnsi"/>
        </w:rPr>
        <w:t>podpisuje</w:t>
      </w:r>
      <w:r w:rsidR="003B50ED" w:rsidRPr="00F16251">
        <w:rPr>
          <w:rFonts w:cstheme="minorHAnsi"/>
        </w:rPr>
        <w:t xml:space="preserve"> </w:t>
      </w:r>
      <w:r w:rsidR="0011498F" w:rsidRPr="00F16251">
        <w:rPr>
          <w:rFonts w:cstheme="minorHAnsi"/>
        </w:rPr>
        <w:t>deklaracje</w:t>
      </w:r>
      <w:r w:rsidR="003B50ED" w:rsidRPr="00F16251">
        <w:rPr>
          <w:rFonts w:cstheme="minorHAnsi"/>
        </w:rPr>
        <w:t xml:space="preserve"> </w:t>
      </w:r>
      <w:r w:rsidR="0011498F" w:rsidRPr="00F16251">
        <w:rPr>
          <w:rFonts w:cstheme="minorHAnsi"/>
        </w:rPr>
        <w:t>bezstronności</w:t>
      </w:r>
      <w:r w:rsidR="003B50ED" w:rsidRPr="00F16251">
        <w:rPr>
          <w:rFonts w:cstheme="minorHAnsi"/>
        </w:rPr>
        <w:t xml:space="preserve"> </w:t>
      </w:r>
      <w:r w:rsidR="0011498F" w:rsidRPr="00F16251">
        <w:rPr>
          <w:rFonts w:cstheme="minorHAnsi"/>
        </w:rPr>
        <w:t>i</w:t>
      </w:r>
      <w:r w:rsidR="003B50ED" w:rsidRPr="00F16251">
        <w:rPr>
          <w:rFonts w:cstheme="minorHAnsi"/>
        </w:rPr>
        <w:t xml:space="preserve"> </w:t>
      </w:r>
      <w:r w:rsidR="0011498F" w:rsidRPr="00F16251">
        <w:rPr>
          <w:rFonts w:cstheme="minorHAnsi"/>
        </w:rPr>
        <w:t>poufności</w:t>
      </w:r>
      <w:r w:rsidR="003B50ED" w:rsidRPr="00F16251">
        <w:rPr>
          <w:rFonts w:cstheme="minorHAnsi"/>
        </w:rPr>
        <w:t xml:space="preserve"> </w:t>
      </w:r>
      <w:r w:rsidR="0011498F" w:rsidRPr="00F16251">
        <w:rPr>
          <w:rFonts w:cstheme="minorHAnsi"/>
        </w:rPr>
        <w:t>dotyczącą</w:t>
      </w:r>
      <w:r w:rsidR="003B50ED" w:rsidRPr="00F16251">
        <w:rPr>
          <w:rFonts w:cstheme="minorHAnsi"/>
        </w:rPr>
        <w:t xml:space="preserve"> </w:t>
      </w:r>
      <w:r w:rsidR="0011498F" w:rsidRPr="00F16251">
        <w:rPr>
          <w:rFonts w:cstheme="minorHAnsi"/>
        </w:rPr>
        <w:t>każdego</w:t>
      </w:r>
      <w:r w:rsidR="003B50ED" w:rsidRPr="00F16251">
        <w:rPr>
          <w:rFonts w:cstheme="minorHAnsi"/>
        </w:rPr>
        <w:t xml:space="preserve"> </w:t>
      </w:r>
      <w:r w:rsidR="0011498F" w:rsidRPr="00F16251">
        <w:rPr>
          <w:rFonts w:cstheme="minorHAnsi"/>
        </w:rPr>
        <w:t>projektu</w:t>
      </w:r>
      <w:r w:rsidRPr="00F16251">
        <w:rPr>
          <w:rFonts w:cstheme="minorHAnsi"/>
        </w:rPr>
        <w:t>.</w:t>
      </w:r>
      <w:r w:rsidR="003B50ED" w:rsidRPr="00F16251">
        <w:rPr>
          <w:rFonts w:cstheme="minorHAnsi"/>
        </w:rPr>
        <w:t xml:space="preserve"> </w:t>
      </w:r>
      <w:r w:rsidRPr="00F16251">
        <w:rPr>
          <w:rFonts w:cstheme="minorHAnsi"/>
        </w:rPr>
        <w:t>Dokument</w:t>
      </w:r>
      <w:r w:rsidR="003B50ED" w:rsidRPr="00F16251">
        <w:rPr>
          <w:rFonts w:cstheme="minorHAnsi"/>
        </w:rPr>
        <w:t xml:space="preserve"> </w:t>
      </w:r>
      <w:r w:rsidRPr="00F16251">
        <w:rPr>
          <w:rFonts w:cstheme="minorHAnsi"/>
        </w:rPr>
        <w:t>ten</w:t>
      </w:r>
      <w:r w:rsidR="003B50ED" w:rsidRPr="00F16251">
        <w:rPr>
          <w:rFonts w:cstheme="minorHAnsi"/>
        </w:rPr>
        <w:t xml:space="preserve"> </w:t>
      </w:r>
      <w:r w:rsidRPr="00F16251">
        <w:rPr>
          <w:rFonts w:cstheme="minorHAnsi"/>
        </w:rPr>
        <w:t>umożliwia</w:t>
      </w:r>
      <w:r w:rsidR="003B50ED" w:rsidRPr="00F16251">
        <w:rPr>
          <w:rFonts w:cstheme="minorHAnsi"/>
        </w:rPr>
        <w:t xml:space="preserve"> </w:t>
      </w:r>
      <w:r w:rsidRPr="00F16251">
        <w:rPr>
          <w:rFonts w:cstheme="minorHAnsi"/>
        </w:rPr>
        <w:t>identyfikację</w:t>
      </w:r>
      <w:r w:rsidR="003B50ED" w:rsidRPr="00F16251">
        <w:rPr>
          <w:rFonts w:cstheme="minorHAnsi"/>
        </w:rPr>
        <w:t xml:space="preserve"> </w:t>
      </w:r>
      <w:r w:rsidRPr="00F16251">
        <w:rPr>
          <w:rFonts w:cstheme="minorHAnsi"/>
        </w:rPr>
        <w:t>charakteru</w:t>
      </w:r>
      <w:r w:rsidR="003B50ED" w:rsidRPr="00F16251">
        <w:rPr>
          <w:rFonts w:cstheme="minorHAnsi"/>
        </w:rPr>
        <w:t xml:space="preserve"> </w:t>
      </w:r>
      <w:r w:rsidRPr="00F16251">
        <w:rPr>
          <w:rFonts w:cstheme="minorHAnsi"/>
        </w:rPr>
        <w:t>powiązań</w:t>
      </w:r>
      <w:r w:rsidR="003B50ED" w:rsidRPr="00F16251">
        <w:rPr>
          <w:rFonts w:cstheme="minorHAnsi"/>
        </w:rPr>
        <w:t xml:space="preserve"> </w:t>
      </w:r>
      <w:r w:rsidRPr="00F16251">
        <w:rPr>
          <w:rFonts w:cstheme="minorHAnsi"/>
        </w:rPr>
        <w:t>członków</w:t>
      </w:r>
      <w:r w:rsidR="003B50ED" w:rsidRPr="00F16251">
        <w:rPr>
          <w:rFonts w:cstheme="minorHAnsi"/>
        </w:rPr>
        <w:t xml:space="preserve"> </w:t>
      </w:r>
      <w:r w:rsidRPr="00F16251">
        <w:rPr>
          <w:rFonts w:cstheme="minorHAnsi"/>
        </w:rPr>
        <w:t>organu</w:t>
      </w:r>
      <w:r w:rsidR="003B50ED" w:rsidRPr="00F16251">
        <w:rPr>
          <w:rFonts w:cstheme="minorHAnsi"/>
        </w:rPr>
        <w:t xml:space="preserve"> </w:t>
      </w:r>
      <w:r w:rsidRPr="00F16251">
        <w:rPr>
          <w:rFonts w:cstheme="minorHAnsi"/>
        </w:rPr>
        <w:t>decyzyjnego</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wnioskodawcami</w:t>
      </w:r>
      <w:r w:rsidR="003B50ED" w:rsidRPr="00F16251">
        <w:rPr>
          <w:rFonts w:cstheme="minorHAnsi"/>
        </w:rPr>
        <w:t xml:space="preserve"> </w:t>
      </w:r>
      <w:r w:rsidRPr="00F16251">
        <w:rPr>
          <w:rFonts w:cstheme="minorHAnsi"/>
        </w:rPr>
        <w:t>lub</w:t>
      </w:r>
      <w:r w:rsidR="003B50ED" w:rsidRPr="00F16251">
        <w:rPr>
          <w:rFonts w:cstheme="minorHAnsi"/>
        </w:rPr>
        <w:t xml:space="preserve"> </w:t>
      </w:r>
      <w:r w:rsidRPr="00F16251">
        <w:rPr>
          <w:rFonts w:cstheme="minorHAnsi"/>
        </w:rPr>
        <w:t>poszczególnymi</w:t>
      </w:r>
      <w:r w:rsidR="003B50ED" w:rsidRPr="00F16251">
        <w:rPr>
          <w:rFonts w:cstheme="minorHAnsi"/>
        </w:rPr>
        <w:t xml:space="preserve"> </w:t>
      </w:r>
      <w:r w:rsidRPr="00F16251">
        <w:rPr>
          <w:rFonts w:cstheme="minorHAnsi"/>
        </w:rPr>
        <w:t>projektami</w:t>
      </w:r>
      <w:r w:rsidR="003B50ED" w:rsidRPr="00F16251">
        <w:rPr>
          <w:rFonts w:cstheme="minorHAnsi"/>
        </w:rPr>
        <w:t xml:space="preserve"> </w:t>
      </w:r>
      <w:r w:rsidR="0011498F" w:rsidRPr="00F16251">
        <w:rPr>
          <w:rFonts w:cstheme="minorHAnsi"/>
        </w:rPr>
        <w:t>oraz</w:t>
      </w:r>
      <w:r w:rsidR="003B50ED" w:rsidRPr="00F16251">
        <w:rPr>
          <w:rFonts w:cstheme="minorHAnsi"/>
        </w:rPr>
        <w:t xml:space="preserve"> </w:t>
      </w:r>
      <w:r w:rsidRPr="00F16251">
        <w:rPr>
          <w:rFonts w:cstheme="minorHAnsi"/>
        </w:rPr>
        <w:t>zapewni</w:t>
      </w:r>
      <w:r w:rsidR="0011498F" w:rsidRPr="00F16251">
        <w:rPr>
          <w:rFonts w:cstheme="minorHAnsi"/>
        </w:rPr>
        <w:t>a</w:t>
      </w:r>
      <w:r w:rsidR="003B50ED" w:rsidRPr="00F16251">
        <w:rPr>
          <w:rFonts w:cstheme="minorHAnsi"/>
        </w:rPr>
        <w:t xml:space="preserve"> </w:t>
      </w:r>
      <w:r w:rsidRPr="00F16251">
        <w:rPr>
          <w:rFonts w:cstheme="minorHAnsi"/>
        </w:rPr>
        <w:t>zachowanie</w:t>
      </w:r>
      <w:r w:rsidR="003B50ED" w:rsidRPr="00F16251">
        <w:rPr>
          <w:rFonts w:cstheme="minorHAnsi"/>
        </w:rPr>
        <w:t xml:space="preserve"> </w:t>
      </w:r>
      <w:r w:rsidRPr="00F16251">
        <w:rPr>
          <w:rFonts w:cstheme="minorHAnsi"/>
        </w:rPr>
        <w:t>odpowiedniego</w:t>
      </w:r>
      <w:r w:rsidR="003B50ED" w:rsidRPr="00F16251">
        <w:rPr>
          <w:rFonts w:cstheme="minorHAnsi"/>
        </w:rPr>
        <w:t xml:space="preserve"> </w:t>
      </w:r>
      <w:r w:rsidRPr="00F16251">
        <w:rPr>
          <w:rFonts w:cstheme="minorHAnsi"/>
        </w:rPr>
        <w:t>parytetu</w:t>
      </w:r>
      <w:r w:rsidR="003B50ED" w:rsidRPr="00F16251">
        <w:rPr>
          <w:rFonts w:cstheme="minorHAnsi"/>
        </w:rPr>
        <w:t xml:space="preserve"> </w:t>
      </w:r>
      <w:r w:rsidRPr="00F16251">
        <w:rPr>
          <w:rFonts w:cstheme="minorHAnsi"/>
        </w:rPr>
        <w:t>każdorazowo</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etapie</w:t>
      </w:r>
      <w:r w:rsidR="003B50ED" w:rsidRPr="00F16251">
        <w:rPr>
          <w:rFonts w:cstheme="minorHAnsi"/>
        </w:rPr>
        <w:t xml:space="preserve"> </w:t>
      </w:r>
      <w:r w:rsidRPr="00F16251">
        <w:rPr>
          <w:rFonts w:cstheme="minorHAnsi"/>
        </w:rPr>
        <w:t>głosowania.</w:t>
      </w:r>
      <w:r w:rsidR="003B50ED" w:rsidRPr="00F16251">
        <w:rPr>
          <w:rFonts w:cstheme="minorHAnsi"/>
        </w:rPr>
        <w:t xml:space="preserve"> </w:t>
      </w:r>
      <w:r w:rsidRPr="00F16251">
        <w:rPr>
          <w:rFonts w:cstheme="minorHAnsi"/>
        </w:rPr>
        <w:t>Oznacza</w:t>
      </w:r>
      <w:r w:rsidR="003B50ED" w:rsidRPr="00F16251">
        <w:rPr>
          <w:rFonts w:cstheme="minorHAnsi"/>
        </w:rPr>
        <w:t xml:space="preserve"> </w:t>
      </w:r>
      <w:r w:rsidRPr="00F16251">
        <w:rPr>
          <w:rFonts w:cstheme="minorHAnsi"/>
        </w:rPr>
        <w:t>to,</w:t>
      </w:r>
      <w:r w:rsidR="003B50ED" w:rsidRPr="00F16251">
        <w:rPr>
          <w:rFonts w:cstheme="minorHAnsi"/>
        </w:rPr>
        <w:t xml:space="preserve"> </w:t>
      </w:r>
      <w:r w:rsidRPr="00F16251">
        <w:rPr>
          <w:rFonts w:cstheme="minorHAnsi"/>
        </w:rPr>
        <w:t>iż</w:t>
      </w:r>
      <w:r w:rsidR="003B50ED" w:rsidRPr="00F16251">
        <w:rPr>
          <w:rFonts w:cstheme="minorHAnsi"/>
        </w:rPr>
        <w:t xml:space="preserve"> </w:t>
      </w:r>
      <w:r w:rsidRPr="00F16251">
        <w:rPr>
          <w:rFonts w:cstheme="minorHAnsi"/>
        </w:rPr>
        <w:t>podczas</w:t>
      </w:r>
      <w:r w:rsidR="003B50ED" w:rsidRPr="00F16251">
        <w:rPr>
          <w:rFonts w:cstheme="minorHAnsi"/>
        </w:rPr>
        <w:t xml:space="preserve"> </w:t>
      </w:r>
      <w:r w:rsidRPr="00F16251">
        <w:rPr>
          <w:rFonts w:cstheme="minorHAnsi"/>
        </w:rPr>
        <w:t>głosowania</w:t>
      </w:r>
      <w:r w:rsidR="003B50ED" w:rsidRPr="00F16251">
        <w:rPr>
          <w:rFonts w:cstheme="minorHAnsi"/>
        </w:rPr>
        <w:t xml:space="preserve"> </w:t>
      </w:r>
      <w:r w:rsidRPr="00F16251">
        <w:rPr>
          <w:rFonts w:cstheme="minorHAnsi"/>
        </w:rPr>
        <w:t>członkowie</w:t>
      </w:r>
      <w:r w:rsidR="003B50ED" w:rsidRPr="00F16251">
        <w:rPr>
          <w:rFonts w:cstheme="minorHAnsi"/>
        </w:rPr>
        <w:t xml:space="preserve"> </w:t>
      </w:r>
      <w:r w:rsidRPr="00F16251">
        <w:rPr>
          <w:rFonts w:cstheme="minorHAnsi"/>
        </w:rPr>
        <w:t>Rady,</w:t>
      </w:r>
      <w:r w:rsidR="003B50ED" w:rsidRPr="00F16251">
        <w:rPr>
          <w:rFonts w:cstheme="minorHAnsi"/>
        </w:rPr>
        <w:t xml:space="preserve"> </w:t>
      </w:r>
      <w:r w:rsidRPr="00F16251">
        <w:rPr>
          <w:rFonts w:cstheme="minorHAnsi"/>
        </w:rPr>
        <w:t>którzy</w:t>
      </w:r>
      <w:r w:rsidR="003B50ED" w:rsidRPr="00F16251">
        <w:rPr>
          <w:rFonts w:cstheme="minorHAnsi"/>
        </w:rPr>
        <w:t xml:space="preserve"> </w:t>
      </w:r>
      <w:r w:rsidRPr="00F16251">
        <w:rPr>
          <w:rFonts w:cstheme="minorHAnsi"/>
        </w:rPr>
        <w:t>nie</w:t>
      </w:r>
      <w:r w:rsidR="003B50ED" w:rsidRPr="00F16251">
        <w:rPr>
          <w:rFonts w:cstheme="minorHAnsi"/>
        </w:rPr>
        <w:t xml:space="preserve"> </w:t>
      </w:r>
      <w:r w:rsidRPr="00F16251">
        <w:rPr>
          <w:rFonts w:cstheme="minorHAnsi"/>
        </w:rPr>
        <w:t>są</w:t>
      </w:r>
      <w:r w:rsidR="003B50ED" w:rsidRPr="00F16251">
        <w:rPr>
          <w:rFonts w:cstheme="minorHAnsi"/>
        </w:rPr>
        <w:t xml:space="preserve"> </w:t>
      </w:r>
      <w:r w:rsidRPr="00F16251">
        <w:rPr>
          <w:rFonts w:cstheme="minorHAnsi"/>
        </w:rPr>
        <w:t>bezstronni</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podjęciu</w:t>
      </w:r>
      <w:r w:rsidR="003B50ED" w:rsidRPr="00F16251">
        <w:rPr>
          <w:rFonts w:cstheme="minorHAnsi"/>
        </w:rPr>
        <w:t xml:space="preserve"> </w:t>
      </w:r>
      <w:r w:rsidRPr="00F16251">
        <w:rPr>
          <w:rFonts w:cstheme="minorHAnsi"/>
        </w:rPr>
        <w:t>decyzji</w:t>
      </w:r>
      <w:r w:rsidR="003B50ED" w:rsidRPr="00F16251">
        <w:rPr>
          <w:rFonts w:cstheme="minorHAnsi"/>
        </w:rPr>
        <w:t xml:space="preserve"> </w:t>
      </w:r>
      <w:r w:rsidRPr="00F16251">
        <w:rPr>
          <w:rFonts w:cstheme="minorHAnsi"/>
        </w:rPr>
        <w:t>o</w:t>
      </w:r>
      <w:r w:rsidR="003B50ED" w:rsidRPr="00F16251">
        <w:rPr>
          <w:rFonts w:cstheme="minorHAnsi"/>
        </w:rPr>
        <w:t xml:space="preserve"> </w:t>
      </w:r>
      <w:r w:rsidRPr="00F16251">
        <w:rPr>
          <w:rFonts w:cstheme="minorHAnsi"/>
        </w:rPr>
        <w:t>wsparciu</w:t>
      </w:r>
      <w:r w:rsidR="003B50ED" w:rsidRPr="00F16251">
        <w:rPr>
          <w:rFonts w:cstheme="minorHAnsi"/>
        </w:rPr>
        <w:t xml:space="preserve"> </w:t>
      </w:r>
      <w:r w:rsidRPr="00F16251">
        <w:rPr>
          <w:rFonts w:cstheme="minorHAnsi"/>
        </w:rPr>
        <w:t>podmiotu</w:t>
      </w:r>
      <w:r w:rsidR="003B50ED" w:rsidRPr="00F16251">
        <w:rPr>
          <w:rFonts w:cstheme="minorHAnsi"/>
        </w:rPr>
        <w:t xml:space="preserve"> </w:t>
      </w:r>
      <w:r w:rsidRPr="00F16251">
        <w:rPr>
          <w:rFonts w:cstheme="minorHAnsi"/>
        </w:rPr>
        <w:t>ubiegającego</w:t>
      </w:r>
      <w:r w:rsidR="003B50ED" w:rsidRPr="00F16251">
        <w:rPr>
          <w:rFonts w:cstheme="minorHAnsi"/>
        </w:rPr>
        <w:t xml:space="preserve"> </w:t>
      </w:r>
      <w:r w:rsidRPr="00F16251">
        <w:rPr>
          <w:rFonts w:cstheme="minorHAnsi"/>
        </w:rPr>
        <w:t>się</w:t>
      </w:r>
      <w:r w:rsidR="003B50ED" w:rsidRPr="00F16251">
        <w:rPr>
          <w:rFonts w:cstheme="minorHAnsi"/>
        </w:rPr>
        <w:t xml:space="preserve"> </w:t>
      </w:r>
      <w:r w:rsidRPr="00F16251">
        <w:rPr>
          <w:rFonts w:cstheme="minorHAnsi"/>
        </w:rPr>
        <w:t>o</w:t>
      </w:r>
      <w:r w:rsidR="003B50ED" w:rsidRPr="00F16251">
        <w:rPr>
          <w:rFonts w:cstheme="minorHAnsi"/>
        </w:rPr>
        <w:t xml:space="preserve"> </w:t>
      </w:r>
      <w:r w:rsidRPr="00F16251">
        <w:rPr>
          <w:rFonts w:cstheme="minorHAnsi"/>
        </w:rPr>
        <w:t>dofinansowanie</w:t>
      </w:r>
      <w:r w:rsidR="003B50ED" w:rsidRPr="00F16251">
        <w:rPr>
          <w:rFonts w:cstheme="minorHAnsi"/>
        </w:rPr>
        <w:t xml:space="preserve"> </w:t>
      </w:r>
      <w:r w:rsidRPr="00F16251">
        <w:rPr>
          <w:rFonts w:cstheme="minorHAnsi"/>
        </w:rPr>
        <w:t>operacji,</w:t>
      </w:r>
      <w:r w:rsidR="003B50ED" w:rsidRPr="00F16251">
        <w:rPr>
          <w:rFonts w:cstheme="minorHAnsi"/>
        </w:rPr>
        <w:t xml:space="preserve"> </w:t>
      </w:r>
      <w:r w:rsidRPr="00F16251">
        <w:rPr>
          <w:rFonts w:cstheme="minorHAnsi"/>
        </w:rPr>
        <w:t>zostają</w:t>
      </w:r>
      <w:r w:rsidR="003B50ED" w:rsidRPr="00F16251">
        <w:rPr>
          <w:rFonts w:cstheme="minorHAnsi"/>
        </w:rPr>
        <w:t xml:space="preserve"> </w:t>
      </w:r>
      <w:r w:rsidRPr="00F16251">
        <w:rPr>
          <w:rFonts w:cstheme="minorHAnsi"/>
        </w:rPr>
        <w:t>wykluczeni</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oceny</w:t>
      </w:r>
      <w:r w:rsidR="003B50ED" w:rsidRPr="00F16251">
        <w:rPr>
          <w:rFonts w:cstheme="minorHAnsi"/>
        </w:rPr>
        <w:t xml:space="preserve"> </w:t>
      </w:r>
      <w:r w:rsidRPr="00F16251">
        <w:rPr>
          <w:rFonts w:cstheme="minorHAnsi"/>
        </w:rPr>
        <w:t>rozpatrywanego</w:t>
      </w:r>
      <w:r w:rsidR="003B50ED" w:rsidRPr="00F16251">
        <w:rPr>
          <w:rFonts w:cstheme="minorHAnsi"/>
        </w:rPr>
        <w:t xml:space="preserve"> </w:t>
      </w:r>
      <w:r w:rsidRPr="00F16251">
        <w:rPr>
          <w:rFonts w:cstheme="minorHAnsi"/>
        </w:rPr>
        <w:t>wniosku.</w:t>
      </w:r>
      <w:r w:rsidR="003B50ED" w:rsidRPr="00F16251">
        <w:rPr>
          <w:rFonts w:cstheme="minorHAnsi"/>
        </w:rPr>
        <w:t xml:space="preserve"> </w:t>
      </w:r>
      <w:r w:rsidRPr="00F16251">
        <w:rPr>
          <w:rFonts w:cstheme="minorHAnsi"/>
        </w:rPr>
        <w:t>Fakt</w:t>
      </w:r>
      <w:r w:rsidR="003B50ED" w:rsidRPr="00F16251">
        <w:rPr>
          <w:rFonts w:cstheme="minorHAnsi"/>
        </w:rPr>
        <w:t xml:space="preserve"> </w:t>
      </w:r>
      <w:r w:rsidRPr="00F16251">
        <w:rPr>
          <w:rFonts w:cstheme="minorHAnsi"/>
        </w:rPr>
        <w:t>ten</w:t>
      </w:r>
      <w:r w:rsidR="003B50ED" w:rsidRPr="00F16251">
        <w:rPr>
          <w:rFonts w:cstheme="minorHAnsi"/>
        </w:rPr>
        <w:t xml:space="preserve"> </w:t>
      </w:r>
      <w:r w:rsidRPr="00F16251">
        <w:rPr>
          <w:rFonts w:cstheme="minorHAnsi"/>
        </w:rPr>
        <w:t>zostanie</w:t>
      </w:r>
      <w:r w:rsidR="003B50ED" w:rsidRPr="00F16251">
        <w:rPr>
          <w:rFonts w:cstheme="minorHAnsi"/>
        </w:rPr>
        <w:t xml:space="preserve"> </w:t>
      </w:r>
      <w:r w:rsidRPr="00F16251">
        <w:rPr>
          <w:rFonts w:cstheme="minorHAnsi"/>
        </w:rPr>
        <w:t>również</w:t>
      </w:r>
      <w:r w:rsidR="003B50ED" w:rsidRPr="00F16251">
        <w:rPr>
          <w:rFonts w:cstheme="minorHAnsi"/>
        </w:rPr>
        <w:t xml:space="preserve"> </w:t>
      </w:r>
      <w:r w:rsidRPr="00F16251">
        <w:rPr>
          <w:rFonts w:cstheme="minorHAnsi"/>
        </w:rPr>
        <w:t>odnotowany</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protokole</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posiedzenia</w:t>
      </w:r>
      <w:r w:rsidR="003B50ED" w:rsidRPr="00F16251">
        <w:rPr>
          <w:rFonts w:cstheme="minorHAnsi"/>
        </w:rPr>
        <w:t xml:space="preserve"> </w:t>
      </w:r>
      <w:r w:rsidRPr="00F16251">
        <w:rPr>
          <w:rFonts w:cstheme="minorHAnsi"/>
        </w:rPr>
        <w:t>Rady.</w:t>
      </w:r>
      <w:r w:rsidR="003B50ED" w:rsidRPr="00F16251">
        <w:rPr>
          <w:rFonts w:cstheme="minorHAnsi"/>
        </w:rPr>
        <w:t xml:space="preserve"> </w:t>
      </w:r>
    </w:p>
    <w:p w14:paraId="74451DB5" w14:textId="187745FF" w:rsidR="0038786A" w:rsidRPr="00F16251" w:rsidRDefault="0038786A" w:rsidP="00A26C26">
      <w:pPr>
        <w:spacing w:line="276" w:lineRule="auto"/>
        <w:ind w:firstLine="284"/>
        <w:jc w:val="both"/>
        <w:rPr>
          <w:rFonts w:cstheme="minorHAnsi"/>
        </w:rPr>
      </w:pPr>
      <w:r w:rsidRPr="00F16251">
        <w:rPr>
          <w:rFonts w:cstheme="minorHAnsi"/>
        </w:rPr>
        <w:t>W</w:t>
      </w:r>
      <w:r w:rsidR="003B50ED" w:rsidRPr="00F16251">
        <w:rPr>
          <w:rFonts w:cstheme="minorHAnsi"/>
        </w:rPr>
        <w:t xml:space="preserve"> </w:t>
      </w:r>
      <w:r w:rsidRPr="00F16251">
        <w:rPr>
          <w:rFonts w:cstheme="minorHAnsi"/>
        </w:rPr>
        <w:t>celu</w:t>
      </w:r>
      <w:r w:rsidR="003B50ED" w:rsidRPr="00F16251">
        <w:rPr>
          <w:rFonts w:cstheme="minorHAnsi"/>
        </w:rPr>
        <w:t xml:space="preserve"> </w:t>
      </w:r>
      <w:r w:rsidRPr="00F16251">
        <w:rPr>
          <w:rFonts w:cstheme="minorHAnsi"/>
        </w:rPr>
        <w:t>zapewnienia</w:t>
      </w:r>
      <w:r w:rsidR="003B50ED" w:rsidRPr="00F16251">
        <w:rPr>
          <w:rFonts w:cstheme="minorHAnsi"/>
        </w:rPr>
        <w:t xml:space="preserve"> </w:t>
      </w:r>
      <w:r w:rsidRPr="00F16251">
        <w:rPr>
          <w:rFonts w:cstheme="minorHAnsi"/>
        </w:rPr>
        <w:t>sprawnego</w:t>
      </w:r>
      <w:r w:rsidR="003B50ED" w:rsidRPr="00F16251">
        <w:rPr>
          <w:rFonts w:cstheme="minorHAnsi"/>
        </w:rPr>
        <w:t xml:space="preserve"> </w:t>
      </w:r>
      <w:r w:rsidRPr="00F16251">
        <w:rPr>
          <w:rFonts w:cstheme="minorHAnsi"/>
        </w:rPr>
        <w:t>funkcjonowania</w:t>
      </w:r>
      <w:r w:rsidR="003B50ED" w:rsidRPr="00F16251">
        <w:rPr>
          <w:rFonts w:cstheme="minorHAnsi"/>
        </w:rPr>
        <w:t xml:space="preserve"> </w:t>
      </w:r>
      <w:r w:rsidRPr="00F16251">
        <w:rPr>
          <w:rFonts w:cstheme="minorHAnsi"/>
        </w:rPr>
        <w:t>Rady,</w:t>
      </w:r>
      <w:r w:rsidR="003B50ED" w:rsidRPr="00F16251">
        <w:rPr>
          <w:rFonts w:cstheme="minorHAnsi"/>
        </w:rPr>
        <w:t xml:space="preserve"> </w:t>
      </w:r>
      <w:r w:rsidRPr="00F16251">
        <w:rPr>
          <w:rFonts w:cstheme="minorHAnsi"/>
        </w:rPr>
        <w:t>a</w:t>
      </w:r>
      <w:r w:rsidR="003B50ED" w:rsidRPr="00F16251">
        <w:rPr>
          <w:rFonts w:cstheme="minorHAnsi"/>
        </w:rPr>
        <w:t xml:space="preserve"> </w:t>
      </w:r>
      <w:r w:rsidRPr="00F16251">
        <w:rPr>
          <w:rFonts w:cstheme="minorHAnsi"/>
        </w:rPr>
        <w:t>dzięki</w:t>
      </w:r>
      <w:r w:rsidR="003B50ED" w:rsidRPr="00F16251">
        <w:rPr>
          <w:rFonts w:cstheme="minorHAnsi"/>
        </w:rPr>
        <w:t xml:space="preserve"> </w:t>
      </w:r>
      <w:r w:rsidRPr="00F16251">
        <w:rPr>
          <w:rFonts w:cstheme="minorHAnsi"/>
        </w:rPr>
        <w:t>temu</w:t>
      </w:r>
      <w:r w:rsidR="003B50ED" w:rsidRPr="00F16251">
        <w:rPr>
          <w:rFonts w:cstheme="minorHAnsi"/>
        </w:rPr>
        <w:t xml:space="preserve"> </w:t>
      </w:r>
      <w:r w:rsidRPr="00F16251">
        <w:rPr>
          <w:rFonts w:cstheme="minorHAnsi"/>
        </w:rPr>
        <w:t>sprawnej</w:t>
      </w:r>
      <w:r w:rsidR="003B50ED" w:rsidRPr="00F16251">
        <w:rPr>
          <w:rFonts w:cstheme="minorHAnsi"/>
        </w:rPr>
        <w:t xml:space="preserve"> </w:t>
      </w:r>
      <w:r w:rsidRPr="00F16251">
        <w:rPr>
          <w:rFonts w:cstheme="minorHAnsi"/>
        </w:rPr>
        <w:t>ocen</w:t>
      </w:r>
      <w:r w:rsidR="00173E21" w:rsidRPr="00F16251">
        <w:rPr>
          <w:rFonts w:cstheme="minorHAnsi"/>
        </w:rPr>
        <w:t>y</w:t>
      </w:r>
      <w:r w:rsidR="003B50ED" w:rsidRPr="00F16251">
        <w:rPr>
          <w:rFonts w:cstheme="minorHAnsi"/>
        </w:rPr>
        <w:t xml:space="preserve"> </w:t>
      </w:r>
      <w:r w:rsidRPr="00F16251">
        <w:rPr>
          <w:rFonts w:cstheme="minorHAnsi"/>
        </w:rPr>
        <w:t>operacji,</w:t>
      </w:r>
      <w:r w:rsidR="003B50ED" w:rsidRPr="00F16251">
        <w:rPr>
          <w:rFonts w:cstheme="minorHAnsi"/>
        </w:rPr>
        <w:t xml:space="preserve"> </w:t>
      </w:r>
      <w:r w:rsidRPr="00F16251">
        <w:rPr>
          <w:rFonts w:cstheme="minorHAnsi"/>
        </w:rPr>
        <w:t>które</w:t>
      </w:r>
      <w:r w:rsidR="003B50ED" w:rsidRPr="00F16251">
        <w:rPr>
          <w:rFonts w:cstheme="minorHAnsi"/>
        </w:rPr>
        <w:t xml:space="preserve"> </w:t>
      </w:r>
      <w:r w:rsidRPr="00F16251">
        <w:rPr>
          <w:rFonts w:cstheme="minorHAnsi"/>
        </w:rPr>
        <w:t>mają</w:t>
      </w:r>
      <w:r w:rsidR="003B50ED" w:rsidRPr="00F16251">
        <w:rPr>
          <w:rFonts w:cstheme="minorHAnsi"/>
        </w:rPr>
        <w:t xml:space="preserve"> </w:t>
      </w:r>
      <w:r w:rsidRPr="00F16251">
        <w:rPr>
          <w:rFonts w:cstheme="minorHAnsi"/>
        </w:rPr>
        <w:t>być</w:t>
      </w:r>
      <w:r w:rsidR="003B50ED" w:rsidRPr="00F16251">
        <w:rPr>
          <w:rFonts w:cstheme="minorHAnsi"/>
        </w:rPr>
        <w:t xml:space="preserve"> </w:t>
      </w:r>
      <w:r w:rsidRPr="00F16251">
        <w:rPr>
          <w:rFonts w:cstheme="minorHAnsi"/>
        </w:rPr>
        <w:t>realizowane</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ramach</w:t>
      </w:r>
      <w:r w:rsidR="003B50ED" w:rsidRPr="00F16251">
        <w:rPr>
          <w:rFonts w:cstheme="minorHAnsi"/>
        </w:rPr>
        <w:t xml:space="preserve"> </w:t>
      </w:r>
      <w:r w:rsidRPr="00F16251">
        <w:rPr>
          <w:rFonts w:cstheme="minorHAnsi"/>
        </w:rPr>
        <w:t>LSR</w:t>
      </w:r>
      <w:r w:rsidR="003B50ED" w:rsidRPr="00F16251">
        <w:rPr>
          <w:rFonts w:cstheme="minorHAnsi"/>
        </w:rPr>
        <w:t xml:space="preserve"> </w:t>
      </w:r>
      <w:r w:rsidRPr="00F16251">
        <w:rPr>
          <w:rFonts w:cstheme="minorHAnsi"/>
        </w:rPr>
        <w:t>Stowarzyszenie</w:t>
      </w:r>
      <w:r w:rsidR="003B50ED" w:rsidRPr="00F16251">
        <w:rPr>
          <w:rFonts w:cstheme="minorHAnsi"/>
        </w:rPr>
        <w:t xml:space="preserve"> </w:t>
      </w:r>
      <w:r w:rsidRPr="00F16251">
        <w:rPr>
          <w:rFonts w:cstheme="minorHAnsi"/>
        </w:rPr>
        <w:t>zaplanowało</w:t>
      </w:r>
      <w:r w:rsidR="003B50ED" w:rsidRPr="00F16251">
        <w:rPr>
          <w:rFonts w:cstheme="minorHAnsi"/>
        </w:rPr>
        <w:t xml:space="preserve"> </w:t>
      </w:r>
      <w:r w:rsidRPr="00F16251">
        <w:rPr>
          <w:rFonts w:cstheme="minorHAnsi"/>
        </w:rPr>
        <w:t>szereg</w:t>
      </w:r>
      <w:r w:rsidR="003B50ED" w:rsidRPr="00F16251">
        <w:rPr>
          <w:rFonts w:cstheme="minorHAnsi"/>
        </w:rPr>
        <w:t xml:space="preserve"> </w:t>
      </w:r>
      <w:r w:rsidRPr="00F16251">
        <w:rPr>
          <w:rFonts w:cstheme="minorHAnsi"/>
        </w:rPr>
        <w:t>szkoleń</w:t>
      </w:r>
      <w:r w:rsidR="003B50ED" w:rsidRPr="00F16251">
        <w:rPr>
          <w:rFonts w:cstheme="minorHAnsi"/>
        </w:rPr>
        <w:t xml:space="preserve"> </w:t>
      </w:r>
      <w:r w:rsidRPr="00F16251">
        <w:rPr>
          <w:rFonts w:cstheme="minorHAnsi"/>
        </w:rPr>
        <w:t>mających</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celu</w:t>
      </w:r>
      <w:r w:rsidR="003B50ED" w:rsidRPr="00F16251">
        <w:rPr>
          <w:rFonts w:cstheme="minorHAnsi"/>
        </w:rPr>
        <w:t xml:space="preserve"> </w:t>
      </w:r>
      <w:r w:rsidRPr="00F16251">
        <w:rPr>
          <w:rFonts w:cstheme="minorHAnsi"/>
        </w:rPr>
        <w:t>podniesienie</w:t>
      </w:r>
      <w:r w:rsidR="003B50ED" w:rsidRPr="00F16251">
        <w:rPr>
          <w:rFonts w:cstheme="minorHAnsi"/>
        </w:rPr>
        <w:t xml:space="preserve"> </w:t>
      </w:r>
      <w:r w:rsidRPr="00F16251">
        <w:rPr>
          <w:rFonts w:cstheme="minorHAnsi"/>
        </w:rPr>
        <w:t>kompetencji</w:t>
      </w:r>
      <w:r w:rsidR="003B50ED" w:rsidRPr="00F16251">
        <w:rPr>
          <w:rFonts w:cstheme="minorHAnsi"/>
        </w:rPr>
        <w:t xml:space="preserve"> </w:t>
      </w:r>
      <w:r w:rsidRPr="00F16251">
        <w:rPr>
          <w:rFonts w:cstheme="minorHAnsi"/>
        </w:rPr>
        <w:t>członków</w:t>
      </w:r>
      <w:r w:rsidR="003B50ED" w:rsidRPr="00F16251">
        <w:rPr>
          <w:rFonts w:cstheme="minorHAnsi"/>
        </w:rPr>
        <w:t xml:space="preserve"> </w:t>
      </w:r>
      <w:r w:rsidRPr="00F16251">
        <w:rPr>
          <w:rFonts w:cstheme="minorHAnsi"/>
        </w:rPr>
        <w:t>Rady</w:t>
      </w:r>
      <w:r w:rsidR="003B50ED" w:rsidRPr="00F16251">
        <w:rPr>
          <w:rFonts w:cstheme="minorHAnsi"/>
        </w:rPr>
        <w:t xml:space="preserve"> </w:t>
      </w:r>
      <w:r w:rsidRPr="00F16251">
        <w:rPr>
          <w:rFonts w:cstheme="minorHAnsi"/>
        </w:rPr>
        <w:t>oraz</w:t>
      </w:r>
      <w:r w:rsidR="003B50ED" w:rsidRPr="00F16251">
        <w:rPr>
          <w:rFonts w:cstheme="minorHAnsi"/>
        </w:rPr>
        <w:t xml:space="preserve"> </w:t>
      </w:r>
      <w:r w:rsidRPr="00F16251">
        <w:rPr>
          <w:rFonts w:cstheme="minorHAnsi"/>
        </w:rPr>
        <w:t>praktycznych</w:t>
      </w:r>
      <w:r w:rsidR="003B50ED" w:rsidRPr="00F16251">
        <w:rPr>
          <w:rFonts w:cstheme="minorHAnsi"/>
        </w:rPr>
        <w:t xml:space="preserve"> </w:t>
      </w:r>
      <w:r w:rsidRPr="00F16251">
        <w:rPr>
          <w:rFonts w:cstheme="minorHAnsi"/>
        </w:rPr>
        <w:t>umiejętności</w:t>
      </w:r>
      <w:r w:rsidR="003B50ED" w:rsidRPr="00F16251">
        <w:rPr>
          <w:rFonts w:cstheme="minorHAnsi"/>
        </w:rPr>
        <w:t xml:space="preserve"> </w:t>
      </w:r>
      <w:r w:rsidRPr="00F16251">
        <w:rPr>
          <w:rFonts w:cstheme="minorHAnsi"/>
        </w:rPr>
        <w:t>związanych</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wypełnianiem</w:t>
      </w:r>
      <w:r w:rsidR="003B50ED" w:rsidRPr="00F16251">
        <w:rPr>
          <w:rFonts w:cstheme="minorHAnsi"/>
        </w:rPr>
        <w:t xml:space="preserve"> </w:t>
      </w:r>
      <w:r w:rsidRPr="00F16251">
        <w:rPr>
          <w:rFonts w:cstheme="minorHAnsi"/>
        </w:rPr>
        <w:t>kart</w:t>
      </w:r>
      <w:r w:rsidR="003B50ED" w:rsidRPr="00F16251">
        <w:rPr>
          <w:rFonts w:cstheme="minorHAnsi"/>
        </w:rPr>
        <w:t xml:space="preserve"> </w:t>
      </w:r>
      <w:r w:rsidRPr="00F16251">
        <w:rPr>
          <w:rFonts w:cstheme="minorHAnsi"/>
        </w:rPr>
        <w:t>oceny</w:t>
      </w:r>
      <w:r w:rsidR="003B50ED" w:rsidRPr="00F16251">
        <w:rPr>
          <w:rFonts w:cstheme="minorHAnsi"/>
        </w:rPr>
        <w:t xml:space="preserve"> </w:t>
      </w:r>
      <w:r w:rsidRPr="00F16251">
        <w:rPr>
          <w:rFonts w:cstheme="minorHAnsi"/>
        </w:rPr>
        <w:t>operacji</w:t>
      </w:r>
      <w:r w:rsidR="003B50ED" w:rsidRPr="00F16251">
        <w:rPr>
          <w:rFonts w:cstheme="minorHAnsi"/>
        </w:rPr>
        <w:t xml:space="preserve"> </w:t>
      </w:r>
      <w:r w:rsidRPr="00F16251">
        <w:rPr>
          <w:rFonts w:cstheme="minorHAnsi"/>
        </w:rPr>
        <w:t>pod</w:t>
      </w:r>
      <w:r w:rsidR="003B50ED" w:rsidRPr="00F16251">
        <w:rPr>
          <w:rFonts w:cstheme="minorHAnsi"/>
        </w:rPr>
        <w:t xml:space="preserve"> </w:t>
      </w:r>
      <w:r w:rsidRPr="00F16251">
        <w:rPr>
          <w:rFonts w:cstheme="minorHAnsi"/>
        </w:rPr>
        <w:t>względem</w:t>
      </w:r>
      <w:r w:rsidR="003B50ED" w:rsidRPr="00F16251">
        <w:rPr>
          <w:rFonts w:cstheme="minorHAnsi"/>
        </w:rPr>
        <w:t xml:space="preserve"> </w:t>
      </w:r>
      <w:r w:rsidRPr="00F16251">
        <w:rPr>
          <w:rFonts w:cstheme="minorHAnsi"/>
        </w:rPr>
        <w:t>zgodności</w:t>
      </w:r>
      <w:r w:rsidR="003B50ED" w:rsidRPr="00F16251">
        <w:rPr>
          <w:rFonts w:cstheme="minorHAnsi"/>
        </w:rPr>
        <w:t xml:space="preserve"> </w:t>
      </w:r>
      <w:r w:rsidRPr="00F16251">
        <w:rPr>
          <w:rFonts w:cstheme="minorHAnsi"/>
        </w:rPr>
        <w:t>z</w:t>
      </w:r>
      <w:r w:rsidR="003B50ED" w:rsidRPr="00F16251">
        <w:rPr>
          <w:rFonts w:cstheme="minorHAnsi"/>
        </w:rPr>
        <w:t xml:space="preserve"> </w:t>
      </w:r>
      <w:r w:rsidR="00D5105C" w:rsidRPr="00F16251">
        <w:rPr>
          <w:rFonts w:cstheme="minorHAnsi"/>
        </w:rPr>
        <w:t>PS</w:t>
      </w:r>
      <w:r w:rsidR="003B50ED" w:rsidRPr="00F16251">
        <w:rPr>
          <w:rFonts w:cstheme="minorHAnsi"/>
        </w:rPr>
        <w:t xml:space="preserve"> </w:t>
      </w:r>
      <w:r w:rsidR="00D5105C" w:rsidRPr="00F16251">
        <w:rPr>
          <w:rFonts w:cstheme="minorHAnsi"/>
        </w:rPr>
        <w:t>dla</w:t>
      </w:r>
      <w:r w:rsidR="003B50ED" w:rsidRPr="00F16251">
        <w:rPr>
          <w:rFonts w:cstheme="minorHAnsi"/>
        </w:rPr>
        <w:t xml:space="preserve"> </w:t>
      </w:r>
      <w:r w:rsidR="00D5105C" w:rsidRPr="00F16251">
        <w:rPr>
          <w:rFonts w:cstheme="minorHAnsi"/>
        </w:rPr>
        <w:t>WPR</w:t>
      </w:r>
      <w:r w:rsidR="003B50ED" w:rsidRPr="00F16251">
        <w:rPr>
          <w:rFonts w:cstheme="minorHAnsi"/>
        </w:rPr>
        <w:t xml:space="preserve"> </w:t>
      </w:r>
      <w:r w:rsidR="00D5105C" w:rsidRPr="00F16251">
        <w:rPr>
          <w:rFonts w:cstheme="minorHAnsi"/>
        </w:rPr>
        <w:t>na</w:t>
      </w:r>
      <w:r w:rsidR="003B50ED" w:rsidRPr="00F16251">
        <w:rPr>
          <w:rFonts w:cstheme="minorHAnsi"/>
        </w:rPr>
        <w:t xml:space="preserve"> </w:t>
      </w:r>
      <w:r w:rsidR="00D5105C" w:rsidRPr="00F16251">
        <w:rPr>
          <w:rFonts w:cstheme="minorHAnsi"/>
        </w:rPr>
        <w:t>lata</w:t>
      </w:r>
      <w:r w:rsidR="003B50ED" w:rsidRPr="00F16251">
        <w:rPr>
          <w:rFonts w:cstheme="minorHAnsi"/>
        </w:rPr>
        <w:t xml:space="preserve"> </w:t>
      </w:r>
      <w:r w:rsidR="00D5105C" w:rsidRPr="00F16251">
        <w:rPr>
          <w:rFonts w:cstheme="minorHAnsi"/>
        </w:rPr>
        <w:t>2023-2027</w:t>
      </w:r>
      <w:r w:rsidR="003B50ED" w:rsidRPr="00F16251">
        <w:rPr>
          <w:rFonts w:cstheme="minorHAnsi"/>
        </w:rPr>
        <w:t xml:space="preserve"> </w:t>
      </w:r>
      <w:r w:rsidRPr="00F16251">
        <w:rPr>
          <w:rFonts w:cstheme="minorHAnsi"/>
        </w:rPr>
        <w:t>oraz</w:t>
      </w:r>
      <w:r w:rsidR="003B50ED" w:rsidRPr="00F16251">
        <w:rPr>
          <w:rFonts w:cstheme="minorHAnsi"/>
        </w:rPr>
        <w:t xml:space="preserve"> </w:t>
      </w:r>
      <w:r w:rsidRPr="00F16251">
        <w:rPr>
          <w:rFonts w:cstheme="minorHAnsi"/>
        </w:rPr>
        <w:t>według</w:t>
      </w:r>
      <w:r w:rsidR="003B50ED" w:rsidRPr="00F16251">
        <w:rPr>
          <w:rFonts w:cstheme="minorHAnsi"/>
        </w:rPr>
        <w:t xml:space="preserve"> </w:t>
      </w:r>
      <w:r w:rsidRPr="00F16251">
        <w:rPr>
          <w:rFonts w:cstheme="minorHAnsi"/>
        </w:rPr>
        <w:t>lokalnych</w:t>
      </w:r>
      <w:r w:rsidR="003B50ED" w:rsidRPr="00F16251">
        <w:rPr>
          <w:rFonts w:cstheme="minorHAnsi"/>
        </w:rPr>
        <w:t xml:space="preserve"> </w:t>
      </w:r>
      <w:r w:rsidRPr="00F16251">
        <w:rPr>
          <w:rFonts w:cstheme="minorHAnsi"/>
        </w:rPr>
        <w:t>kryteriów.</w:t>
      </w:r>
      <w:r w:rsidR="003B50ED" w:rsidRPr="00F16251">
        <w:rPr>
          <w:rFonts w:cstheme="minorHAnsi"/>
        </w:rPr>
        <w:t xml:space="preserve"> </w:t>
      </w:r>
    </w:p>
    <w:p w14:paraId="146B36D3" w14:textId="1CF72F5E" w:rsidR="00D5105C" w:rsidRPr="00F16251" w:rsidRDefault="003B50ED" w:rsidP="00A26C26">
      <w:pPr>
        <w:spacing w:line="276" w:lineRule="auto"/>
        <w:ind w:firstLine="284"/>
        <w:jc w:val="both"/>
        <w:rPr>
          <w:rFonts w:cstheme="minorHAnsi"/>
        </w:rPr>
      </w:pPr>
      <w:r w:rsidRPr="00F16251">
        <w:rPr>
          <w:rFonts w:cstheme="minorHAnsi"/>
        </w:rPr>
        <w:t xml:space="preserve"> </w:t>
      </w:r>
      <w:r w:rsidR="00D5105C" w:rsidRPr="00F16251">
        <w:rPr>
          <w:rFonts w:cstheme="minorHAnsi"/>
        </w:rPr>
        <w:t>Szkolenia</w:t>
      </w:r>
      <w:r w:rsidRPr="00F16251">
        <w:rPr>
          <w:rFonts w:cstheme="minorHAnsi"/>
        </w:rPr>
        <w:t xml:space="preserve"> </w:t>
      </w:r>
      <w:r w:rsidR="00D5105C" w:rsidRPr="00F16251">
        <w:rPr>
          <w:rFonts w:cstheme="minorHAnsi"/>
        </w:rPr>
        <w:t>te</w:t>
      </w:r>
      <w:r w:rsidRPr="00F16251">
        <w:rPr>
          <w:rFonts w:cstheme="minorHAnsi"/>
        </w:rPr>
        <w:t xml:space="preserve"> </w:t>
      </w:r>
      <w:r w:rsidR="00D5105C" w:rsidRPr="00F16251">
        <w:rPr>
          <w:rFonts w:cstheme="minorHAnsi"/>
        </w:rPr>
        <w:t>mogą</w:t>
      </w:r>
      <w:r w:rsidRPr="00F16251">
        <w:rPr>
          <w:rFonts w:cstheme="minorHAnsi"/>
        </w:rPr>
        <w:t xml:space="preserve"> </w:t>
      </w:r>
      <w:r w:rsidR="00D5105C" w:rsidRPr="00F16251">
        <w:rPr>
          <w:rFonts w:cstheme="minorHAnsi"/>
        </w:rPr>
        <w:t>być</w:t>
      </w:r>
      <w:r w:rsidRPr="00F16251">
        <w:rPr>
          <w:rFonts w:cstheme="minorHAnsi"/>
        </w:rPr>
        <w:t xml:space="preserve"> </w:t>
      </w:r>
      <w:r w:rsidR="00D5105C" w:rsidRPr="00F16251">
        <w:rPr>
          <w:rFonts w:cstheme="minorHAnsi"/>
        </w:rPr>
        <w:t>organizowane</w:t>
      </w:r>
      <w:r w:rsidRPr="00F16251">
        <w:rPr>
          <w:rFonts w:cstheme="minorHAnsi"/>
        </w:rPr>
        <w:t xml:space="preserve"> </w:t>
      </w:r>
      <w:r w:rsidR="00D5105C" w:rsidRPr="00F16251">
        <w:rPr>
          <w:rFonts w:cstheme="minorHAnsi"/>
        </w:rPr>
        <w:t>i</w:t>
      </w:r>
      <w:r w:rsidRPr="00F16251">
        <w:rPr>
          <w:rFonts w:cstheme="minorHAnsi"/>
        </w:rPr>
        <w:t xml:space="preserve"> </w:t>
      </w:r>
      <w:r w:rsidR="00D5105C" w:rsidRPr="00F16251">
        <w:rPr>
          <w:rFonts w:cstheme="minorHAnsi"/>
        </w:rPr>
        <w:t>prowadzone</w:t>
      </w:r>
      <w:r w:rsidRPr="00F16251">
        <w:rPr>
          <w:rFonts w:cstheme="minorHAnsi"/>
        </w:rPr>
        <w:t xml:space="preserve"> </w:t>
      </w:r>
      <w:r w:rsidR="00D5105C" w:rsidRPr="00F16251">
        <w:rPr>
          <w:rFonts w:cstheme="minorHAnsi"/>
        </w:rPr>
        <w:t>we</w:t>
      </w:r>
      <w:r w:rsidRPr="00F16251">
        <w:rPr>
          <w:rFonts w:cstheme="minorHAnsi"/>
        </w:rPr>
        <w:t xml:space="preserve"> </w:t>
      </w:r>
      <w:r w:rsidR="00D5105C" w:rsidRPr="00F16251">
        <w:rPr>
          <w:rFonts w:cstheme="minorHAnsi"/>
        </w:rPr>
        <w:t>wszystkich</w:t>
      </w:r>
      <w:r w:rsidRPr="00F16251">
        <w:rPr>
          <w:rFonts w:cstheme="minorHAnsi"/>
        </w:rPr>
        <w:t xml:space="preserve"> </w:t>
      </w:r>
      <w:r w:rsidR="00D5105C" w:rsidRPr="00F16251">
        <w:rPr>
          <w:rFonts w:cstheme="minorHAnsi"/>
        </w:rPr>
        <w:t>pozaszkolnych</w:t>
      </w:r>
      <w:r w:rsidRPr="00F16251">
        <w:rPr>
          <w:rFonts w:cstheme="minorHAnsi"/>
        </w:rPr>
        <w:t xml:space="preserve"> </w:t>
      </w:r>
      <w:r w:rsidR="00D5105C" w:rsidRPr="00F16251">
        <w:rPr>
          <w:rFonts w:cstheme="minorHAnsi"/>
        </w:rPr>
        <w:t>formach</w:t>
      </w:r>
      <w:r w:rsidRPr="00F16251">
        <w:rPr>
          <w:rFonts w:cstheme="minorHAnsi"/>
        </w:rPr>
        <w:t xml:space="preserve"> </w:t>
      </w:r>
      <w:r w:rsidR="00D5105C" w:rsidRPr="00F16251">
        <w:rPr>
          <w:rFonts w:cstheme="minorHAnsi"/>
        </w:rPr>
        <w:t>dydaktycznych</w:t>
      </w:r>
      <w:r w:rsidRPr="00F16251">
        <w:rPr>
          <w:rFonts w:cstheme="minorHAnsi"/>
        </w:rPr>
        <w:t xml:space="preserve"> </w:t>
      </w:r>
      <w:r w:rsidR="00D5105C" w:rsidRPr="00F16251">
        <w:rPr>
          <w:rFonts w:cstheme="minorHAnsi"/>
        </w:rPr>
        <w:t>(w</w:t>
      </w:r>
      <w:r w:rsidRPr="00F16251">
        <w:rPr>
          <w:rFonts w:cstheme="minorHAnsi"/>
        </w:rPr>
        <w:t xml:space="preserve"> </w:t>
      </w:r>
      <w:r w:rsidR="00D5105C" w:rsidRPr="00F16251">
        <w:rPr>
          <w:rFonts w:cstheme="minorHAnsi"/>
        </w:rPr>
        <w:t>tym</w:t>
      </w:r>
      <w:r w:rsidRPr="00F16251">
        <w:rPr>
          <w:rFonts w:cstheme="minorHAnsi"/>
        </w:rPr>
        <w:t xml:space="preserve"> </w:t>
      </w:r>
      <w:r w:rsidR="00D5105C" w:rsidRPr="00F16251">
        <w:rPr>
          <w:rFonts w:cstheme="minorHAnsi"/>
        </w:rPr>
        <w:t>jako</w:t>
      </w:r>
      <w:r w:rsidRPr="00F16251">
        <w:rPr>
          <w:rFonts w:cstheme="minorHAnsi"/>
        </w:rPr>
        <w:t xml:space="preserve"> </w:t>
      </w:r>
      <w:r w:rsidR="00D5105C" w:rsidRPr="00F16251">
        <w:rPr>
          <w:rFonts w:cstheme="minorHAnsi"/>
        </w:rPr>
        <w:t>zajęcia</w:t>
      </w:r>
      <w:r w:rsidRPr="00F16251">
        <w:rPr>
          <w:rFonts w:cstheme="minorHAnsi"/>
        </w:rPr>
        <w:t xml:space="preserve"> </w:t>
      </w:r>
      <w:r w:rsidR="00D5105C" w:rsidRPr="00F16251">
        <w:rPr>
          <w:rFonts w:cstheme="minorHAnsi"/>
        </w:rPr>
        <w:t>warsztatowe,</w:t>
      </w:r>
      <w:r w:rsidRPr="00F16251">
        <w:rPr>
          <w:rFonts w:cstheme="minorHAnsi"/>
        </w:rPr>
        <w:t xml:space="preserve"> </w:t>
      </w:r>
      <w:r w:rsidR="00D5105C" w:rsidRPr="00F16251">
        <w:rPr>
          <w:rFonts w:cstheme="minorHAnsi"/>
        </w:rPr>
        <w:t>seminaria,</w:t>
      </w:r>
      <w:r w:rsidRPr="00F16251">
        <w:rPr>
          <w:rFonts w:cstheme="minorHAnsi"/>
        </w:rPr>
        <w:t xml:space="preserve"> </w:t>
      </w:r>
      <w:r w:rsidR="00D5105C" w:rsidRPr="00F16251">
        <w:rPr>
          <w:rFonts w:cstheme="minorHAnsi"/>
        </w:rPr>
        <w:t>konferencje</w:t>
      </w:r>
      <w:r w:rsidRPr="00F16251">
        <w:rPr>
          <w:rFonts w:cstheme="minorHAnsi"/>
        </w:rPr>
        <w:t xml:space="preserve"> </w:t>
      </w:r>
      <w:r w:rsidR="00D5105C" w:rsidRPr="00F16251">
        <w:rPr>
          <w:rFonts w:cstheme="minorHAnsi"/>
        </w:rPr>
        <w:t>oraz</w:t>
      </w:r>
      <w:r w:rsidRPr="00F16251">
        <w:rPr>
          <w:rFonts w:cstheme="minorHAnsi"/>
        </w:rPr>
        <w:t xml:space="preserve"> </w:t>
      </w:r>
      <w:r w:rsidR="00D5105C" w:rsidRPr="00F16251">
        <w:rPr>
          <w:rFonts w:cstheme="minorHAnsi"/>
        </w:rPr>
        <w:t>kursy).</w:t>
      </w:r>
      <w:r w:rsidRPr="00F16251">
        <w:rPr>
          <w:rFonts w:cstheme="minorHAnsi"/>
        </w:rPr>
        <w:t xml:space="preserve"> </w:t>
      </w:r>
      <w:r w:rsidR="00D5105C" w:rsidRPr="00F16251">
        <w:rPr>
          <w:rFonts w:cstheme="minorHAnsi"/>
        </w:rPr>
        <w:t>Corocznie</w:t>
      </w:r>
      <w:r w:rsidRPr="00F16251">
        <w:rPr>
          <w:rFonts w:cstheme="minorHAnsi"/>
        </w:rPr>
        <w:t xml:space="preserve"> </w:t>
      </w:r>
      <w:r w:rsidR="00D5105C" w:rsidRPr="00F16251">
        <w:rPr>
          <w:rFonts w:cstheme="minorHAnsi"/>
        </w:rPr>
        <w:t>plan</w:t>
      </w:r>
      <w:r w:rsidRPr="00F16251">
        <w:rPr>
          <w:rFonts w:cstheme="minorHAnsi"/>
        </w:rPr>
        <w:t xml:space="preserve"> </w:t>
      </w:r>
      <w:r w:rsidR="00D5105C" w:rsidRPr="00F16251">
        <w:rPr>
          <w:rFonts w:cstheme="minorHAnsi"/>
        </w:rPr>
        <w:t>szkoleń</w:t>
      </w:r>
      <w:r w:rsidRPr="00F16251">
        <w:rPr>
          <w:rFonts w:cstheme="minorHAnsi"/>
        </w:rPr>
        <w:t xml:space="preserve"> </w:t>
      </w:r>
      <w:r w:rsidR="00D5105C" w:rsidRPr="00F16251">
        <w:rPr>
          <w:rFonts w:cstheme="minorHAnsi"/>
        </w:rPr>
        <w:t>będzie</w:t>
      </w:r>
      <w:r w:rsidRPr="00F16251">
        <w:rPr>
          <w:rFonts w:cstheme="minorHAnsi"/>
        </w:rPr>
        <w:t xml:space="preserve"> </w:t>
      </w:r>
      <w:r w:rsidR="00D5105C" w:rsidRPr="00F16251">
        <w:rPr>
          <w:rFonts w:cstheme="minorHAnsi"/>
        </w:rPr>
        <w:t>aktualizowany</w:t>
      </w:r>
      <w:r w:rsidRPr="00F16251">
        <w:rPr>
          <w:rFonts w:cstheme="minorHAnsi"/>
        </w:rPr>
        <w:t xml:space="preserve"> </w:t>
      </w:r>
      <w:r w:rsidR="00D5105C" w:rsidRPr="00F16251">
        <w:rPr>
          <w:rFonts w:cstheme="minorHAnsi"/>
        </w:rPr>
        <w:t>w</w:t>
      </w:r>
      <w:r w:rsidRPr="00F16251">
        <w:rPr>
          <w:rFonts w:cstheme="minorHAnsi"/>
        </w:rPr>
        <w:t xml:space="preserve"> </w:t>
      </w:r>
      <w:r w:rsidR="00D5105C" w:rsidRPr="00F16251">
        <w:rPr>
          <w:rFonts w:cstheme="minorHAnsi"/>
        </w:rPr>
        <w:t>oparciu</w:t>
      </w:r>
      <w:r w:rsidRPr="00F16251">
        <w:rPr>
          <w:rFonts w:cstheme="minorHAnsi"/>
        </w:rPr>
        <w:t xml:space="preserve"> </w:t>
      </w:r>
      <w:r w:rsidR="00D5105C" w:rsidRPr="00F16251">
        <w:rPr>
          <w:rFonts w:cstheme="minorHAnsi"/>
        </w:rPr>
        <w:t>o</w:t>
      </w:r>
      <w:r w:rsidRPr="00F16251">
        <w:rPr>
          <w:rFonts w:cstheme="minorHAnsi"/>
        </w:rPr>
        <w:t xml:space="preserve"> </w:t>
      </w:r>
      <w:r w:rsidR="00D5105C" w:rsidRPr="00F16251">
        <w:rPr>
          <w:rFonts w:cstheme="minorHAnsi"/>
        </w:rPr>
        <w:t>zgłoszone</w:t>
      </w:r>
      <w:r w:rsidRPr="00F16251">
        <w:rPr>
          <w:rFonts w:cstheme="minorHAnsi"/>
        </w:rPr>
        <w:t xml:space="preserve"> </w:t>
      </w:r>
      <w:r w:rsidR="00D5105C" w:rsidRPr="00F16251">
        <w:rPr>
          <w:rFonts w:cstheme="minorHAnsi"/>
        </w:rPr>
        <w:t>przez</w:t>
      </w:r>
      <w:r w:rsidRPr="00F16251">
        <w:rPr>
          <w:rFonts w:cstheme="minorHAnsi"/>
        </w:rPr>
        <w:t xml:space="preserve"> </w:t>
      </w:r>
      <w:r w:rsidR="00D5105C" w:rsidRPr="00F16251">
        <w:rPr>
          <w:rFonts w:cstheme="minorHAnsi"/>
        </w:rPr>
        <w:t>przedstawicieli</w:t>
      </w:r>
      <w:r w:rsidRPr="00F16251">
        <w:rPr>
          <w:rFonts w:cstheme="minorHAnsi"/>
        </w:rPr>
        <w:t xml:space="preserve"> </w:t>
      </w:r>
      <w:r w:rsidR="00D5105C" w:rsidRPr="00F16251">
        <w:rPr>
          <w:rFonts w:cstheme="minorHAnsi"/>
        </w:rPr>
        <w:t>organu</w:t>
      </w:r>
      <w:r w:rsidRPr="00F16251">
        <w:rPr>
          <w:rFonts w:cstheme="minorHAnsi"/>
        </w:rPr>
        <w:t xml:space="preserve"> </w:t>
      </w:r>
      <w:r w:rsidR="00D5105C" w:rsidRPr="00F16251">
        <w:rPr>
          <w:rFonts w:cstheme="minorHAnsi"/>
        </w:rPr>
        <w:t>decyzyjnego</w:t>
      </w:r>
      <w:r w:rsidRPr="00F16251">
        <w:rPr>
          <w:rFonts w:cstheme="minorHAnsi"/>
        </w:rPr>
        <w:t xml:space="preserve"> </w:t>
      </w:r>
      <w:r w:rsidR="00D5105C" w:rsidRPr="00F16251">
        <w:rPr>
          <w:rFonts w:cstheme="minorHAnsi"/>
        </w:rPr>
        <w:t>zapotrzebowania</w:t>
      </w:r>
      <w:r w:rsidRPr="00F16251">
        <w:rPr>
          <w:rFonts w:cstheme="minorHAnsi"/>
        </w:rPr>
        <w:t xml:space="preserve"> </w:t>
      </w:r>
      <w:r w:rsidR="00D5105C" w:rsidRPr="00F16251">
        <w:rPr>
          <w:rFonts w:cstheme="minorHAnsi"/>
        </w:rPr>
        <w:t>na</w:t>
      </w:r>
      <w:r w:rsidRPr="00F16251">
        <w:rPr>
          <w:rFonts w:cstheme="minorHAnsi"/>
        </w:rPr>
        <w:t xml:space="preserve"> </w:t>
      </w:r>
      <w:r w:rsidR="00D5105C" w:rsidRPr="00F16251">
        <w:rPr>
          <w:rFonts w:cstheme="minorHAnsi"/>
        </w:rPr>
        <w:t>szkolenia.</w:t>
      </w:r>
      <w:r w:rsidRPr="00F16251">
        <w:rPr>
          <w:rFonts w:cstheme="minorHAnsi"/>
        </w:rPr>
        <w:t xml:space="preserve"> </w:t>
      </w:r>
    </w:p>
    <w:p w14:paraId="315400A9" w14:textId="76AF666A" w:rsidR="008D3828" w:rsidRPr="00F16251" w:rsidRDefault="0038786A" w:rsidP="00A26C26">
      <w:pPr>
        <w:spacing w:line="276" w:lineRule="auto"/>
        <w:ind w:firstLine="284"/>
        <w:jc w:val="both"/>
        <w:rPr>
          <w:rFonts w:cstheme="minorHAnsi"/>
        </w:rPr>
      </w:pPr>
      <w:r w:rsidRPr="00F16251">
        <w:rPr>
          <w:rFonts w:cstheme="minorHAnsi"/>
        </w:rPr>
        <w:t>Mając</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uwadze</w:t>
      </w:r>
      <w:r w:rsidR="003B50ED" w:rsidRPr="00F16251">
        <w:rPr>
          <w:rFonts w:cstheme="minorHAnsi"/>
        </w:rPr>
        <w:t xml:space="preserve"> </w:t>
      </w:r>
      <w:r w:rsidRPr="00F16251">
        <w:rPr>
          <w:rFonts w:cstheme="minorHAnsi"/>
        </w:rPr>
        <w:t>fakt,</w:t>
      </w:r>
      <w:r w:rsidR="003B50ED" w:rsidRPr="00F16251">
        <w:rPr>
          <w:rFonts w:cstheme="minorHAnsi"/>
        </w:rPr>
        <w:t xml:space="preserve"> </w:t>
      </w:r>
      <w:r w:rsidRPr="00F16251">
        <w:rPr>
          <w:rFonts w:cstheme="minorHAnsi"/>
        </w:rPr>
        <w:t>iż</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członkach</w:t>
      </w:r>
      <w:r w:rsidR="003B50ED" w:rsidRPr="00F16251">
        <w:rPr>
          <w:rFonts w:cstheme="minorHAnsi"/>
        </w:rPr>
        <w:t xml:space="preserve"> </w:t>
      </w:r>
      <w:r w:rsidRPr="00F16251">
        <w:rPr>
          <w:rFonts w:cstheme="minorHAnsi"/>
        </w:rPr>
        <w:t>Rady</w:t>
      </w:r>
      <w:r w:rsidR="003B50ED" w:rsidRPr="00F16251">
        <w:rPr>
          <w:rFonts w:cstheme="minorHAnsi"/>
        </w:rPr>
        <w:t xml:space="preserve"> </w:t>
      </w:r>
      <w:r w:rsidRPr="00F16251">
        <w:rPr>
          <w:rFonts w:cstheme="minorHAnsi"/>
        </w:rPr>
        <w:t>spoczywa</w:t>
      </w:r>
      <w:r w:rsidR="003B50ED" w:rsidRPr="00F16251">
        <w:rPr>
          <w:rFonts w:cstheme="minorHAnsi"/>
        </w:rPr>
        <w:t xml:space="preserve"> </w:t>
      </w:r>
      <w:r w:rsidRPr="00F16251">
        <w:rPr>
          <w:rFonts w:cstheme="minorHAnsi"/>
        </w:rPr>
        <w:t>bardzo</w:t>
      </w:r>
      <w:r w:rsidR="003B50ED" w:rsidRPr="00F16251">
        <w:rPr>
          <w:rFonts w:cstheme="minorHAnsi"/>
        </w:rPr>
        <w:t xml:space="preserve"> </w:t>
      </w:r>
      <w:r w:rsidRPr="00F16251">
        <w:rPr>
          <w:rFonts w:cstheme="minorHAnsi"/>
        </w:rPr>
        <w:t>duża</w:t>
      </w:r>
      <w:r w:rsidR="003B50ED" w:rsidRPr="00F16251">
        <w:rPr>
          <w:rFonts w:cstheme="minorHAnsi"/>
        </w:rPr>
        <w:t xml:space="preserve"> </w:t>
      </w:r>
      <w:r w:rsidRPr="00F16251">
        <w:rPr>
          <w:rFonts w:cstheme="minorHAnsi"/>
        </w:rPr>
        <w:t>odpowiedzialność</w:t>
      </w:r>
      <w:r w:rsidR="003B50ED" w:rsidRPr="00F16251">
        <w:rPr>
          <w:rFonts w:cstheme="minorHAnsi"/>
        </w:rPr>
        <w:t xml:space="preserve"> </w:t>
      </w:r>
      <w:r w:rsidRPr="00F16251">
        <w:rPr>
          <w:rFonts w:cstheme="minorHAnsi"/>
        </w:rPr>
        <w:t>związana</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oceną</w:t>
      </w:r>
      <w:r w:rsidR="003B50ED" w:rsidRPr="00F16251">
        <w:rPr>
          <w:rFonts w:cstheme="minorHAnsi"/>
        </w:rPr>
        <w:t xml:space="preserve"> </w:t>
      </w:r>
      <w:r w:rsidR="00396A11">
        <w:rPr>
          <w:rFonts w:cstheme="minorHAnsi"/>
        </w:rPr>
        <w:br/>
      </w:r>
      <w:r w:rsidRPr="00F16251">
        <w:rPr>
          <w:rFonts w:cstheme="minorHAnsi"/>
        </w:rPr>
        <w:t>i</w:t>
      </w:r>
      <w:r w:rsidR="003B50ED" w:rsidRPr="00F16251">
        <w:rPr>
          <w:rFonts w:cstheme="minorHAnsi"/>
        </w:rPr>
        <w:t xml:space="preserve"> </w:t>
      </w:r>
      <w:r w:rsidRPr="00F16251">
        <w:rPr>
          <w:rFonts w:cstheme="minorHAnsi"/>
        </w:rPr>
        <w:t>wyborem</w:t>
      </w:r>
      <w:r w:rsidR="003B50ED" w:rsidRPr="00F16251">
        <w:rPr>
          <w:rFonts w:cstheme="minorHAnsi"/>
        </w:rPr>
        <w:t xml:space="preserve"> </w:t>
      </w:r>
      <w:r w:rsidRPr="00F16251">
        <w:rPr>
          <w:rFonts w:cstheme="minorHAnsi"/>
        </w:rPr>
        <w:t>operacji</w:t>
      </w:r>
      <w:r w:rsidR="003B50ED" w:rsidRPr="00F16251">
        <w:rPr>
          <w:rFonts w:cstheme="minorHAnsi"/>
        </w:rPr>
        <w:t xml:space="preserve"> </w:t>
      </w:r>
      <w:r w:rsidRPr="00F16251">
        <w:rPr>
          <w:rFonts w:cstheme="minorHAnsi"/>
        </w:rPr>
        <w:t>nad</w:t>
      </w:r>
      <w:r w:rsidR="003B50ED" w:rsidRPr="00F16251">
        <w:rPr>
          <w:rFonts w:cstheme="minorHAnsi"/>
        </w:rPr>
        <w:t xml:space="preserve"> </w:t>
      </w:r>
      <w:r w:rsidRPr="00F16251">
        <w:rPr>
          <w:rFonts w:cstheme="minorHAnsi"/>
        </w:rPr>
        <w:t>prawidłowym</w:t>
      </w:r>
      <w:r w:rsidR="003B50ED" w:rsidRPr="00F16251">
        <w:rPr>
          <w:rFonts w:cstheme="minorHAnsi"/>
        </w:rPr>
        <w:t xml:space="preserve"> </w:t>
      </w:r>
      <w:r w:rsidRPr="00F16251">
        <w:rPr>
          <w:rFonts w:cstheme="minorHAnsi"/>
        </w:rPr>
        <w:t>przebiegiem</w:t>
      </w:r>
      <w:r w:rsidR="003B50ED" w:rsidRPr="00F16251">
        <w:rPr>
          <w:rFonts w:cstheme="minorHAnsi"/>
        </w:rPr>
        <w:t xml:space="preserve"> </w:t>
      </w:r>
      <w:r w:rsidRPr="00F16251">
        <w:rPr>
          <w:rFonts w:cstheme="minorHAnsi"/>
        </w:rPr>
        <w:t>procesu</w:t>
      </w:r>
      <w:r w:rsidR="003B50ED" w:rsidRPr="00F16251">
        <w:rPr>
          <w:rFonts w:cstheme="minorHAnsi"/>
        </w:rPr>
        <w:t xml:space="preserve"> </w:t>
      </w:r>
      <w:r w:rsidRPr="00F16251">
        <w:rPr>
          <w:rFonts w:cstheme="minorHAnsi"/>
        </w:rPr>
        <w:t>oceny</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wyboru,</w:t>
      </w:r>
      <w:r w:rsidR="003B50ED" w:rsidRPr="00F16251">
        <w:rPr>
          <w:rFonts w:cstheme="minorHAnsi"/>
        </w:rPr>
        <w:t xml:space="preserve"> </w:t>
      </w:r>
      <w:r w:rsidRPr="00F16251">
        <w:rPr>
          <w:rFonts w:cstheme="minorHAnsi"/>
        </w:rPr>
        <w:t>poprawności</w:t>
      </w:r>
      <w:r w:rsidR="003B50ED" w:rsidRPr="00F16251">
        <w:rPr>
          <w:rFonts w:cstheme="minorHAnsi"/>
        </w:rPr>
        <w:t xml:space="preserve"> </w:t>
      </w:r>
      <w:r w:rsidRPr="00F16251">
        <w:rPr>
          <w:rFonts w:cstheme="minorHAnsi"/>
        </w:rPr>
        <w:t>dokumentacji,</w:t>
      </w:r>
      <w:r w:rsidR="003B50ED" w:rsidRPr="00F16251">
        <w:rPr>
          <w:rFonts w:cstheme="minorHAnsi"/>
        </w:rPr>
        <w:t xml:space="preserve"> </w:t>
      </w:r>
      <w:r w:rsidRPr="00F16251">
        <w:rPr>
          <w:rFonts w:cstheme="minorHAnsi"/>
        </w:rPr>
        <w:t>zgodności</w:t>
      </w:r>
      <w:r w:rsidR="003B50ED" w:rsidRPr="00F16251">
        <w:rPr>
          <w:rFonts w:cstheme="minorHAnsi"/>
        </w:rPr>
        <w:t xml:space="preserve"> </w:t>
      </w:r>
      <w:r w:rsidRPr="00F16251">
        <w:rPr>
          <w:rFonts w:cstheme="minorHAnsi"/>
        </w:rPr>
        <w:t>formalnej</w:t>
      </w:r>
      <w:r w:rsidR="003B50ED" w:rsidRPr="00F16251">
        <w:rPr>
          <w:rFonts w:cstheme="minorHAnsi"/>
        </w:rPr>
        <w:t xml:space="preserve"> </w:t>
      </w:r>
      <w:r w:rsidRPr="00F16251">
        <w:rPr>
          <w:rFonts w:cstheme="minorHAnsi"/>
        </w:rPr>
        <w:t>czuwać</w:t>
      </w:r>
      <w:r w:rsidR="003B50ED" w:rsidRPr="00F16251">
        <w:rPr>
          <w:rFonts w:cstheme="minorHAnsi"/>
        </w:rPr>
        <w:t xml:space="preserve"> </w:t>
      </w:r>
      <w:r w:rsidRPr="00F16251">
        <w:rPr>
          <w:rFonts w:cstheme="minorHAnsi"/>
        </w:rPr>
        <w:t>będzie</w:t>
      </w:r>
      <w:r w:rsidR="003B50ED" w:rsidRPr="00F16251">
        <w:rPr>
          <w:rFonts w:cstheme="minorHAnsi"/>
        </w:rPr>
        <w:t xml:space="preserve"> </w:t>
      </w:r>
      <w:r w:rsidRPr="00F16251">
        <w:rPr>
          <w:rFonts w:cstheme="minorHAnsi"/>
        </w:rPr>
        <w:t>biuro</w:t>
      </w:r>
      <w:r w:rsidR="00AB742D" w:rsidRPr="00F16251">
        <w:rPr>
          <w:rFonts w:cstheme="minorHAnsi"/>
        </w:rPr>
        <w:t xml:space="preserve"> LGD</w:t>
      </w:r>
      <w:r w:rsidRPr="00F16251">
        <w:rPr>
          <w:rFonts w:cstheme="minorHAnsi"/>
        </w:rPr>
        <w:t>,</w:t>
      </w:r>
      <w:r w:rsidR="003B50ED" w:rsidRPr="00F16251">
        <w:rPr>
          <w:rFonts w:cstheme="minorHAnsi"/>
        </w:rPr>
        <w:t xml:space="preserve"> </w:t>
      </w:r>
      <w:r w:rsidRPr="00F16251">
        <w:rPr>
          <w:rFonts w:cstheme="minorHAnsi"/>
        </w:rPr>
        <w:t>zaś</w:t>
      </w:r>
      <w:r w:rsidR="003B50ED" w:rsidRPr="00F16251">
        <w:rPr>
          <w:rFonts w:cstheme="minorHAnsi"/>
        </w:rPr>
        <w:t xml:space="preserve"> </w:t>
      </w:r>
      <w:r w:rsidRPr="00F16251">
        <w:rPr>
          <w:rFonts w:cstheme="minorHAnsi"/>
        </w:rPr>
        <w:t>członkowie</w:t>
      </w:r>
      <w:r w:rsidR="003B50ED" w:rsidRPr="00F16251">
        <w:rPr>
          <w:rFonts w:cstheme="minorHAnsi"/>
        </w:rPr>
        <w:t xml:space="preserve"> </w:t>
      </w:r>
      <w:r w:rsidRPr="00F16251">
        <w:rPr>
          <w:rFonts w:cstheme="minorHAnsi"/>
        </w:rPr>
        <w:t>komisji</w:t>
      </w:r>
      <w:r w:rsidR="003B50ED" w:rsidRPr="00F16251">
        <w:rPr>
          <w:rFonts w:cstheme="minorHAnsi"/>
        </w:rPr>
        <w:t xml:space="preserve"> </w:t>
      </w:r>
      <w:r w:rsidRPr="00F16251">
        <w:rPr>
          <w:rFonts w:cstheme="minorHAnsi"/>
        </w:rPr>
        <w:t>skrutacyjnej</w:t>
      </w:r>
      <w:r w:rsidR="003B50ED" w:rsidRPr="00F16251">
        <w:rPr>
          <w:rFonts w:cstheme="minorHAnsi"/>
        </w:rPr>
        <w:t xml:space="preserve"> </w:t>
      </w:r>
      <w:r w:rsidRPr="00F16251">
        <w:rPr>
          <w:rFonts w:cstheme="minorHAnsi"/>
        </w:rPr>
        <w:t>powoływani</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każdym</w:t>
      </w:r>
      <w:r w:rsidR="003B50ED" w:rsidRPr="00F16251">
        <w:rPr>
          <w:rFonts w:cstheme="minorHAnsi"/>
        </w:rPr>
        <w:t xml:space="preserve"> </w:t>
      </w:r>
      <w:r w:rsidRPr="00F16251">
        <w:rPr>
          <w:rFonts w:cstheme="minorHAnsi"/>
        </w:rPr>
        <w:t>posiedzeniu</w:t>
      </w:r>
      <w:r w:rsidR="003B50ED" w:rsidRPr="00F16251">
        <w:rPr>
          <w:rFonts w:cstheme="minorHAnsi"/>
        </w:rPr>
        <w:t xml:space="preserve"> </w:t>
      </w:r>
      <w:r w:rsidRPr="00F16251">
        <w:rPr>
          <w:rFonts w:cstheme="minorHAnsi"/>
        </w:rPr>
        <w:t>odpowiedzialni</w:t>
      </w:r>
      <w:r w:rsidR="003B50ED" w:rsidRPr="00F16251">
        <w:rPr>
          <w:rFonts w:cstheme="minorHAnsi"/>
        </w:rPr>
        <w:t xml:space="preserve"> </w:t>
      </w:r>
      <w:r w:rsidRPr="00F16251">
        <w:rPr>
          <w:rFonts w:cstheme="minorHAnsi"/>
        </w:rPr>
        <w:t>będą</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głównej</w:t>
      </w:r>
      <w:r w:rsidR="003B50ED" w:rsidRPr="00F16251">
        <w:rPr>
          <w:rFonts w:cstheme="minorHAnsi"/>
        </w:rPr>
        <w:t xml:space="preserve"> </w:t>
      </w:r>
      <w:r w:rsidRPr="00F16251">
        <w:rPr>
          <w:rFonts w:cstheme="minorHAnsi"/>
        </w:rPr>
        <w:t>mierze</w:t>
      </w:r>
      <w:r w:rsidR="003B50ED" w:rsidRPr="00F16251">
        <w:rPr>
          <w:rFonts w:cstheme="minorHAnsi"/>
        </w:rPr>
        <w:t xml:space="preserve"> </w:t>
      </w:r>
      <w:r w:rsidRPr="00F16251">
        <w:rPr>
          <w:rFonts w:cstheme="minorHAnsi"/>
        </w:rPr>
        <w:t>za</w:t>
      </w:r>
      <w:r w:rsidR="003B50ED" w:rsidRPr="00F16251">
        <w:rPr>
          <w:rFonts w:cstheme="minorHAnsi"/>
        </w:rPr>
        <w:t xml:space="preserve"> </w:t>
      </w:r>
      <w:r w:rsidRPr="00F16251">
        <w:rPr>
          <w:rFonts w:cstheme="minorHAnsi"/>
        </w:rPr>
        <w:t>obliczanie</w:t>
      </w:r>
      <w:r w:rsidR="003B50ED" w:rsidRPr="00F16251">
        <w:rPr>
          <w:rFonts w:cstheme="minorHAnsi"/>
        </w:rPr>
        <w:t xml:space="preserve"> </w:t>
      </w:r>
      <w:r w:rsidRPr="00F16251">
        <w:rPr>
          <w:rFonts w:cstheme="minorHAnsi"/>
        </w:rPr>
        <w:t>wyników</w:t>
      </w:r>
      <w:r w:rsidR="003B50ED" w:rsidRPr="00F16251">
        <w:rPr>
          <w:rFonts w:cstheme="minorHAnsi"/>
        </w:rPr>
        <w:t xml:space="preserve"> </w:t>
      </w:r>
      <w:r w:rsidRPr="00F16251">
        <w:rPr>
          <w:rFonts w:cstheme="minorHAnsi"/>
        </w:rPr>
        <w:t>głosowań</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kontrolę</w:t>
      </w:r>
      <w:r w:rsidR="003B50ED" w:rsidRPr="00F16251">
        <w:rPr>
          <w:rFonts w:cstheme="minorHAnsi"/>
        </w:rPr>
        <w:t xml:space="preserve"> </w:t>
      </w:r>
      <w:r w:rsidRPr="00F16251">
        <w:rPr>
          <w:rFonts w:cstheme="minorHAnsi"/>
        </w:rPr>
        <w:t>kworum</w:t>
      </w:r>
      <w:r w:rsidR="000B571F" w:rsidRPr="00F16251">
        <w:rPr>
          <w:rFonts w:cstheme="minorHAnsi"/>
        </w:rPr>
        <w:t>.</w:t>
      </w:r>
    </w:p>
    <w:p w14:paraId="54FE2F84" w14:textId="41F8EB17" w:rsidR="00D5105C" w:rsidRPr="00F16251" w:rsidRDefault="00D5105C" w:rsidP="00A26C26">
      <w:pPr>
        <w:spacing w:line="276" w:lineRule="auto"/>
        <w:ind w:firstLine="284"/>
        <w:jc w:val="both"/>
        <w:rPr>
          <w:rFonts w:cstheme="minorHAnsi"/>
        </w:rPr>
      </w:pPr>
      <w:r w:rsidRPr="00F16251">
        <w:rPr>
          <w:rFonts w:cstheme="minorHAnsi"/>
        </w:rPr>
        <w:t>Osobowy</w:t>
      </w:r>
      <w:r w:rsidR="003B50ED" w:rsidRPr="00F16251">
        <w:rPr>
          <w:rFonts w:cstheme="minorHAnsi"/>
        </w:rPr>
        <w:t xml:space="preserve"> </w:t>
      </w:r>
      <w:r w:rsidRPr="00F16251">
        <w:rPr>
          <w:rFonts w:cstheme="minorHAnsi"/>
        </w:rPr>
        <w:t>wykaz</w:t>
      </w:r>
      <w:r w:rsidR="003B50ED" w:rsidRPr="00F16251">
        <w:rPr>
          <w:rFonts w:cstheme="minorHAnsi"/>
        </w:rPr>
        <w:t xml:space="preserve"> </w:t>
      </w:r>
      <w:r w:rsidRPr="00F16251">
        <w:rPr>
          <w:rFonts w:cstheme="minorHAnsi"/>
        </w:rPr>
        <w:t>osób</w:t>
      </w:r>
      <w:r w:rsidR="003B50ED" w:rsidRPr="00F16251">
        <w:rPr>
          <w:rFonts w:cstheme="minorHAnsi"/>
        </w:rPr>
        <w:t xml:space="preserve"> </w:t>
      </w:r>
      <w:r w:rsidRPr="00F16251">
        <w:rPr>
          <w:rFonts w:cstheme="minorHAnsi"/>
        </w:rPr>
        <w:t>członków</w:t>
      </w:r>
      <w:r w:rsidR="003B50ED" w:rsidRPr="00F16251">
        <w:rPr>
          <w:rFonts w:cstheme="minorHAnsi"/>
        </w:rPr>
        <w:t xml:space="preserve"> </w:t>
      </w:r>
      <w:r w:rsidRPr="00F16251">
        <w:rPr>
          <w:rFonts w:cstheme="minorHAnsi"/>
        </w:rPr>
        <w:t>rady</w:t>
      </w:r>
      <w:r w:rsidR="003B50ED" w:rsidRPr="00F16251">
        <w:rPr>
          <w:rFonts w:cstheme="minorHAnsi"/>
        </w:rPr>
        <w:t xml:space="preserve"> </w:t>
      </w:r>
      <w:r w:rsidRPr="00F16251">
        <w:rPr>
          <w:rFonts w:cstheme="minorHAnsi"/>
        </w:rPr>
        <w:t>(organu</w:t>
      </w:r>
      <w:r w:rsidR="003B50ED" w:rsidRPr="00F16251">
        <w:rPr>
          <w:rFonts w:cstheme="minorHAnsi"/>
        </w:rPr>
        <w:t xml:space="preserve"> </w:t>
      </w:r>
      <w:r w:rsidRPr="00F16251">
        <w:rPr>
          <w:rFonts w:cstheme="minorHAnsi"/>
        </w:rPr>
        <w:t>decyzyjnego)</w:t>
      </w:r>
      <w:r w:rsidR="003B50ED" w:rsidRPr="00F16251">
        <w:rPr>
          <w:rFonts w:cstheme="minorHAnsi"/>
        </w:rPr>
        <w:t xml:space="preserve"> </w:t>
      </w:r>
      <w:r w:rsidRPr="00F16251">
        <w:rPr>
          <w:rFonts w:cstheme="minorHAnsi"/>
        </w:rPr>
        <w:t>wraz</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nazwą</w:t>
      </w:r>
      <w:r w:rsidR="003B50ED" w:rsidRPr="00F16251">
        <w:rPr>
          <w:rFonts w:cstheme="minorHAnsi"/>
        </w:rPr>
        <w:t xml:space="preserve"> </w:t>
      </w:r>
      <w:r w:rsidRPr="00F16251">
        <w:rPr>
          <w:rFonts w:cstheme="minorHAnsi"/>
        </w:rPr>
        <w:t>reprezentowanej</w:t>
      </w:r>
      <w:r w:rsidR="003B50ED" w:rsidRPr="00F16251">
        <w:rPr>
          <w:rFonts w:cstheme="minorHAnsi"/>
        </w:rPr>
        <w:t xml:space="preserve"> </w:t>
      </w:r>
      <w:r w:rsidRPr="00F16251">
        <w:rPr>
          <w:rFonts w:cstheme="minorHAnsi"/>
        </w:rPr>
        <w:t>gminy</w:t>
      </w:r>
      <w:r w:rsidR="003B50ED" w:rsidRPr="00F16251">
        <w:rPr>
          <w:rFonts w:cstheme="minorHAnsi"/>
        </w:rPr>
        <w:t xml:space="preserve"> </w:t>
      </w:r>
      <w:r w:rsidRPr="00F16251">
        <w:rPr>
          <w:rFonts w:cstheme="minorHAnsi"/>
        </w:rPr>
        <w:t>oraz</w:t>
      </w:r>
      <w:r w:rsidR="003B50ED" w:rsidRPr="00F16251">
        <w:rPr>
          <w:rFonts w:cstheme="minorHAnsi"/>
        </w:rPr>
        <w:t xml:space="preserve"> </w:t>
      </w:r>
      <w:r w:rsidRPr="00F16251">
        <w:rPr>
          <w:rFonts w:cstheme="minorHAnsi"/>
        </w:rPr>
        <w:t>wskazaniem</w:t>
      </w:r>
      <w:r w:rsidR="003B50ED" w:rsidRPr="00F16251">
        <w:rPr>
          <w:rFonts w:cstheme="minorHAnsi"/>
        </w:rPr>
        <w:t xml:space="preserve"> </w:t>
      </w:r>
      <w:r w:rsidRPr="00F16251">
        <w:rPr>
          <w:rFonts w:cstheme="minorHAnsi"/>
        </w:rPr>
        <w:t>przynależności</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zdiagnozowanych</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obszarze</w:t>
      </w:r>
      <w:r w:rsidR="003B50ED" w:rsidRPr="00F16251">
        <w:rPr>
          <w:rFonts w:cstheme="minorHAnsi"/>
        </w:rPr>
        <w:t xml:space="preserve"> </w:t>
      </w:r>
      <w:r w:rsidRPr="00F16251">
        <w:rPr>
          <w:rFonts w:cstheme="minorHAnsi"/>
        </w:rPr>
        <w:t>LSR</w:t>
      </w:r>
      <w:r w:rsidR="003B50ED" w:rsidRPr="00F16251">
        <w:rPr>
          <w:rFonts w:cstheme="minorHAnsi"/>
        </w:rPr>
        <w:t xml:space="preserve"> </w:t>
      </w:r>
      <w:r w:rsidRPr="00F16251">
        <w:rPr>
          <w:rFonts w:cstheme="minorHAnsi"/>
        </w:rPr>
        <w:t>grup</w:t>
      </w:r>
      <w:r w:rsidR="003B50ED" w:rsidRPr="00F16251">
        <w:rPr>
          <w:rFonts w:cstheme="minorHAnsi"/>
        </w:rPr>
        <w:t xml:space="preserve"> </w:t>
      </w:r>
      <w:r w:rsidRPr="00F16251">
        <w:rPr>
          <w:rFonts w:cstheme="minorHAnsi"/>
        </w:rPr>
        <w:t>interesu</w:t>
      </w:r>
      <w:r w:rsidR="003B50ED" w:rsidRPr="00F16251">
        <w:rPr>
          <w:rFonts w:cstheme="minorHAnsi"/>
        </w:rPr>
        <w:t xml:space="preserve"> </w:t>
      </w:r>
      <w:r w:rsidRPr="00F16251">
        <w:rPr>
          <w:rFonts w:cstheme="minorHAnsi"/>
        </w:rPr>
        <w:t>stanowi</w:t>
      </w:r>
      <w:r w:rsidR="003B50ED" w:rsidRPr="00F16251">
        <w:rPr>
          <w:rFonts w:cstheme="minorHAnsi"/>
        </w:rPr>
        <w:t xml:space="preserve"> </w:t>
      </w:r>
      <w:r w:rsidRPr="00F16251">
        <w:rPr>
          <w:rFonts w:cstheme="minorHAnsi"/>
        </w:rPr>
        <w:t>załącznik</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wniosku</w:t>
      </w:r>
      <w:r w:rsidR="003B50ED" w:rsidRPr="00F16251">
        <w:rPr>
          <w:rFonts w:cstheme="minorHAnsi"/>
        </w:rPr>
        <w:t xml:space="preserve"> </w:t>
      </w:r>
      <w:r w:rsidR="00396A11">
        <w:rPr>
          <w:rFonts w:cstheme="minorHAnsi"/>
        </w:rPr>
        <w:br/>
      </w:r>
      <w:r w:rsidRPr="00F16251">
        <w:rPr>
          <w:rFonts w:cstheme="minorHAnsi"/>
        </w:rPr>
        <w:t>o</w:t>
      </w:r>
      <w:r w:rsidR="003B50ED" w:rsidRPr="00F16251">
        <w:rPr>
          <w:rFonts w:cstheme="minorHAnsi"/>
        </w:rPr>
        <w:t xml:space="preserve"> </w:t>
      </w:r>
      <w:r w:rsidRPr="00F16251">
        <w:rPr>
          <w:rFonts w:cstheme="minorHAnsi"/>
        </w:rPr>
        <w:t>wybór</w:t>
      </w:r>
      <w:r w:rsidR="003B50ED" w:rsidRPr="00F16251">
        <w:rPr>
          <w:rFonts w:cstheme="minorHAnsi"/>
        </w:rPr>
        <w:t xml:space="preserve"> </w:t>
      </w:r>
      <w:r w:rsidRPr="00F16251">
        <w:rPr>
          <w:rFonts w:cstheme="minorHAnsi"/>
        </w:rPr>
        <w:t>LSR.</w:t>
      </w:r>
    </w:p>
    <w:p w14:paraId="5F90BFBF" w14:textId="77777777" w:rsidR="008D3828" w:rsidRPr="00F16251" w:rsidRDefault="008D3828" w:rsidP="00A26C26">
      <w:pPr>
        <w:spacing w:line="276" w:lineRule="auto"/>
        <w:rPr>
          <w:rFonts w:cstheme="minorHAnsi"/>
        </w:rPr>
      </w:pPr>
    </w:p>
    <w:p w14:paraId="44158349" w14:textId="6574ECB2" w:rsidR="00DF4974" w:rsidRPr="00F16251" w:rsidRDefault="00DF4974" w:rsidP="008A412F">
      <w:pPr>
        <w:pStyle w:val="Nagwek2"/>
        <w:numPr>
          <w:ilvl w:val="0"/>
          <w:numId w:val="1"/>
        </w:numPr>
        <w:spacing w:before="0" w:line="276" w:lineRule="auto"/>
        <w:ind w:left="426" w:hanging="142"/>
        <w:jc w:val="both"/>
        <w:rPr>
          <w:rFonts w:asciiTheme="minorHAnsi" w:hAnsiTheme="minorHAnsi" w:cstheme="minorHAnsi"/>
          <w:b/>
          <w:bCs/>
          <w:sz w:val="22"/>
          <w:szCs w:val="22"/>
        </w:rPr>
      </w:pPr>
      <w:bookmarkStart w:id="11" w:name="_Toc136260186"/>
      <w:bookmarkStart w:id="12" w:name="_Toc136944396"/>
      <w:r w:rsidRPr="00F16251">
        <w:rPr>
          <w:rFonts w:asciiTheme="minorHAnsi" w:hAnsiTheme="minorHAnsi" w:cstheme="minorHAnsi"/>
          <w:b/>
          <w:bCs/>
          <w:sz w:val="22"/>
          <w:szCs w:val="22"/>
        </w:rPr>
        <w:t>Proces</w:t>
      </w:r>
      <w:r w:rsidR="003B50ED" w:rsidRPr="00F16251">
        <w:rPr>
          <w:rFonts w:asciiTheme="minorHAnsi" w:hAnsiTheme="minorHAnsi" w:cstheme="minorHAnsi"/>
          <w:b/>
          <w:bCs/>
          <w:sz w:val="22"/>
          <w:szCs w:val="22"/>
        </w:rPr>
        <w:t xml:space="preserve"> </w:t>
      </w:r>
      <w:r w:rsidRPr="00F16251">
        <w:rPr>
          <w:rFonts w:asciiTheme="minorHAnsi" w:hAnsiTheme="minorHAnsi" w:cstheme="minorHAnsi"/>
          <w:b/>
          <w:bCs/>
          <w:sz w:val="22"/>
          <w:szCs w:val="22"/>
        </w:rPr>
        <w:t>decyzyjny</w:t>
      </w:r>
      <w:bookmarkEnd w:id="11"/>
      <w:bookmarkEnd w:id="12"/>
      <w:r w:rsidR="003B50ED" w:rsidRPr="00F16251">
        <w:rPr>
          <w:rFonts w:asciiTheme="minorHAnsi" w:hAnsiTheme="minorHAnsi" w:cstheme="minorHAnsi"/>
          <w:b/>
          <w:bCs/>
          <w:sz w:val="22"/>
          <w:szCs w:val="22"/>
        </w:rPr>
        <w:t xml:space="preserve"> </w:t>
      </w:r>
    </w:p>
    <w:p w14:paraId="16172524" w14:textId="7D91E367" w:rsidR="00590E23" w:rsidRPr="00F16251" w:rsidRDefault="00590E23" w:rsidP="00A26C26">
      <w:pPr>
        <w:spacing w:line="276" w:lineRule="auto"/>
        <w:ind w:firstLine="284"/>
        <w:jc w:val="both"/>
        <w:rPr>
          <w:rFonts w:cstheme="minorHAnsi"/>
        </w:rPr>
      </w:pPr>
      <w:r w:rsidRPr="00F16251">
        <w:rPr>
          <w:rFonts w:cstheme="minorHAnsi"/>
        </w:rPr>
        <w:t>Proces</w:t>
      </w:r>
      <w:r w:rsidR="003B50ED" w:rsidRPr="00F16251">
        <w:rPr>
          <w:rFonts w:cstheme="minorHAnsi"/>
        </w:rPr>
        <w:t xml:space="preserve"> </w:t>
      </w:r>
      <w:r w:rsidRPr="00F16251">
        <w:rPr>
          <w:rFonts w:cstheme="minorHAnsi"/>
        </w:rPr>
        <w:t>decyzyjny</w:t>
      </w:r>
      <w:r w:rsidR="003B50ED" w:rsidRPr="00F16251">
        <w:rPr>
          <w:rFonts w:cstheme="minorHAnsi"/>
        </w:rPr>
        <w:t xml:space="preserve"> </w:t>
      </w:r>
      <w:r w:rsidRPr="00F16251">
        <w:rPr>
          <w:rFonts w:cstheme="minorHAnsi"/>
        </w:rPr>
        <w:t>Rady</w:t>
      </w:r>
      <w:r w:rsidR="003B50ED" w:rsidRPr="00F16251">
        <w:rPr>
          <w:rFonts w:cstheme="minorHAnsi"/>
        </w:rPr>
        <w:t xml:space="preserve"> </w:t>
      </w:r>
      <w:r w:rsidRPr="00F16251">
        <w:rPr>
          <w:rFonts w:cstheme="minorHAnsi"/>
        </w:rPr>
        <w:t>przebiega</w:t>
      </w:r>
      <w:r w:rsidR="003B50ED" w:rsidRPr="00F16251">
        <w:rPr>
          <w:rFonts w:cstheme="minorHAnsi"/>
        </w:rPr>
        <w:t xml:space="preserve"> </w:t>
      </w:r>
      <w:r w:rsidRPr="00F16251">
        <w:rPr>
          <w:rFonts w:cstheme="minorHAnsi"/>
        </w:rPr>
        <w:t>zgodnie</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zapisami</w:t>
      </w:r>
      <w:r w:rsidR="003B50ED" w:rsidRPr="00F16251">
        <w:rPr>
          <w:rFonts w:cstheme="minorHAnsi"/>
        </w:rPr>
        <w:t xml:space="preserve"> </w:t>
      </w:r>
      <w:r w:rsidRPr="00F16251">
        <w:rPr>
          <w:rFonts w:cstheme="minorHAnsi"/>
        </w:rPr>
        <w:t>Statutu</w:t>
      </w:r>
      <w:r w:rsidR="003B50ED" w:rsidRPr="00F16251">
        <w:rPr>
          <w:rFonts w:cstheme="minorHAnsi"/>
        </w:rPr>
        <w:t xml:space="preserve"> </w:t>
      </w:r>
      <w:r w:rsidRPr="00F16251">
        <w:rPr>
          <w:rFonts w:cstheme="minorHAnsi"/>
        </w:rPr>
        <w:t>oraz</w:t>
      </w:r>
      <w:r w:rsidR="003B50ED" w:rsidRPr="00F16251">
        <w:rPr>
          <w:rFonts w:cstheme="minorHAnsi"/>
        </w:rPr>
        <w:t xml:space="preserve"> </w:t>
      </w:r>
      <w:r w:rsidRPr="00F16251">
        <w:rPr>
          <w:rFonts w:cstheme="minorHAnsi"/>
        </w:rPr>
        <w:t>pozostałymi</w:t>
      </w:r>
      <w:r w:rsidR="003B50ED" w:rsidRPr="00F16251">
        <w:rPr>
          <w:rFonts w:cstheme="minorHAnsi"/>
        </w:rPr>
        <w:t xml:space="preserve"> </w:t>
      </w:r>
      <w:r w:rsidRPr="00F16251">
        <w:rPr>
          <w:rFonts w:cstheme="minorHAnsi"/>
        </w:rPr>
        <w:t>dokumentami</w:t>
      </w:r>
      <w:r w:rsidR="003B50ED" w:rsidRPr="00F16251">
        <w:rPr>
          <w:rFonts w:cstheme="minorHAnsi"/>
        </w:rPr>
        <w:t xml:space="preserve"> </w:t>
      </w:r>
      <w:r w:rsidRPr="00F16251">
        <w:rPr>
          <w:rFonts w:cstheme="minorHAnsi"/>
        </w:rPr>
        <w:t>wewnętrznymi,</w:t>
      </w:r>
      <w:r w:rsidR="003B50ED" w:rsidRPr="00F16251">
        <w:rPr>
          <w:rFonts w:cstheme="minorHAnsi"/>
        </w:rPr>
        <w:t xml:space="preserve"> </w:t>
      </w:r>
      <w:r w:rsidR="00182CE8" w:rsidRPr="00F16251">
        <w:rPr>
          <w:rFonts w:cstheme="minorHAnsi"/>
        </w:rPr>
        <w:br/>
      </w:r>
      <w:r w:rsidRPr="00F16251">
        <w:rPr>
          <w:rFonts w:cstheme="minorHAnsi"/>
        </w:rPr>
        <w:t>w</w:t>
      </w:r>
      <w:r w:rsidR="003B50ED" w:rsidRPr="00F16251">
        <w:rPr>
          <w:rFonts w:cstheme="minorHAnsi"/>
        </w:rPr>
        <w:t xml:space="preserve"> </w:t>
      </w:r>
      <w:r w:rsidRPr="00F16251">
        <w:rPr>
          <w:rFonts w:cstheme="minorHAnsi"/>
        </w:rPr>
        <w:t>szczególności</w:t>
      </w:r>
      <w:r w:rsidR="003B50ED" w:rsidRPr="00F16251">
        <w:rPr>
          <w:rFonts w:cstheme="minorHAnsi"/>
        </w:rPr>
        <w:t xml:space="preserve"> </w:t>
      </w:r>
      <w:r w:rsidRPr="00F16251">
        <w:rPr>
          <w:rFonts w:cstheme="minorHAnsi"/>
        </w:rPr>
        <w:t>Regulaminem</w:t>
      </w:r>
      <w:r w:rsidR="003B50ED" w:rsidRPr="00F16251">
        <w:rPr>
          <w:rFonts w:cstheme="minorHAnsi"/>
        </w:rPr>
        <w:t xml:space="preserve"> </w:t>
      </w:r>
      <w:r w:rsidRPr="00F16251">
        <w:rPr>
          <w:rFonts w:cstheme="minorHAnsi"/>
        </w:rPr>
        <w:t>Rady</w:t>
      </w:r>
      <w:r w:rsidR="003B50ED" w:rsidRPr="00F16251">
        <w:rPr>
          <w:rFonts w:cstheme="minorHAnsi"/>
        </w:rPr>
        <w:t xml:space="preserve"> </w:t>
      </w:r>
      <w:r w:rsidRPr="00F16251">
        <w:rPr>
          <w:rFonts w:cstheme="minorHAnsi"/>
        </w:rPr>
        <w:t>oraz</w:t>
      </w:r>
      <w:r w:rsidR="003B50ED" w:rsidRPr="00F16251">
        <w:rPr>
          <w:rFonts w:cstheme="minorHAnsi"/>
        </w:rPr>
        <w:t xml:space="preserve"> </w:t>
      </w:r>
      <w:r w:rsidRPr="00F16251">
        <w:rPr>
          <w:rFonts w:cstheme="minorHAnsi"/>
        </w:rPr>
        <w:t>Procedurami</w:t>
      </w:r>
      <w:r w:rsidR="003B50ED" w:rsidRPr="00F16251">
        <w:rPr>
          <w:rFonts w:cstheme="minorHAnsi"/>
        </w:rPr>
        <w:t xml:space="preserve"> </w:t>
      </w:r>
      <w:r w:rsidRPr="00F16251">
        <w:rPr>
          <w:rFonts w:cstheme="minorHAnsi"/>
        </w:rPr>
        <w:t>utworzonymi</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bazie</w:t>
      </w:r>
      <w:r w:rsidR="003B50ED" w:rsidRPr="00F16251">
        <w:rPr>
          <w:rFonts w:cstheme="minorHAnsi"/>
        </w:rPr>
        <w:t xml:space="preserve"> </w:t>
      </w:r>
      <w:r w:rsidRPr="00F16251">
        <w:rPr>
          <w:rFonts w:cstheme="minorHAnsi"/>
        </w:rPr>
        <w:t>zasad</w:t>
      </w:r>
      <w:r w:rsidR="003B50ED" w:rsidRPr="00F16251">
        <w:rPr>
          <w:rFonts w:cstheme="minorHAnsi"/>
        </w:rPr>
        <w:t xml:space="preserve"> </w:t>
      </w:r>
      <w:r w:rsidRPr="00F16251">
        <w:rPr>
          <w:rFonts w:cstheme="minorHAnsi"/>
        </w:rPr>
        <w:t>poddziałania</w:t>
      </w:r>
      <w:r w:rsidR="003B50ED" w:rsidRPr="00F16251">
        <w:rPr>
          <w:rFonts w:cstheme="minorHAnsi"/>
        </w:rPr>
        <w:t xml:space="preserve"> </w:t>
      </w:r>
      <w:r w:rsidRPr="00F16251">
        <w:rPr>
          <w:rFonts w:cstheme="minorHAnsi"/>
        </w:rPr>
        <w:t>„Wsparcie</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wdrażanie</w:t>
      </w:r>
      <w:r w:rsidR="003B50ED" w:rsidRPr="00F16251">
        <w:rPr>
          <w:rFonts w:cstheme="minorHAnsi"/>
        </w:rPr>
        <w:t xml:space="preserve"> </w:t>
      </w:r>
      <w:r w:rsidRPr="00F16251">
        <w:rPr>
          <w:rFonts w:cstheme="minorHAnsi"/>
        </w:rPr>
        <w:t>operacji</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ramach</w:t>
      </w:r>
      <w:r w:rsidR="003B50ED" w:rsidRPr="00F16251">
        <w:rPr>
          <w:rFonts w:cstheme="minorHAnsi"/>
        </w:rPr>
        <w:t xml:space="preserve"> </w:t>
      </w:r>
      <w:r w:rsidRPr="00F16251">
        <w:rPr>
          <w:rFonts w:cstheme="minorHAnsi"/>
        </w:rPr>
        <w:t>strategii</w:t>
      </w:r>
      <w:r w:rsidR="003B50ED" w:rsidRPr="00F16251">
        <w:rPr>
          <w:rFonts w:cstheme="minorHAnsi"/>
        </w:rPr>
        <w:t xml:space="preserve"> </w:t>
      </w:r>
      <w:r w:rsidRPr="00F16251">
        <w:rPr>
          <w:rFonts w:cstheme="minorHAnsi"/>
        </w:rPr>
        <w:t>rozwoju</w:t>
      </w:r>
      <w:r w:rsidR="003B50ED" w:rsidRPr="00F16251">
        <w:rPr>
          <w:rFonts w:cstheme="minorHAnsi"/>
        </w:rPr>
        <w:t xml:space="preserve"> </w:t>
      </w:r>
      <w:r w:rsidRPr="00F16251">
        <w:rPr>
          <w:rFonts w:cstheme="minorHAnsi"/>
        </w:rPr>
        <w:t>lokalnego</w:t>
      </w:r>
      <w:r w:rsidR="003B50ED" w:rsidRPr="00F16251">
        <w:rPr>
          <w:rFonts w:cstheme="minorHAnsi"/>
        </w:rPr>
        <w:t xml:space="preserve"> </w:t>
      </w:r>
      <w:r w:rsidRPr="00F16251">
        <w:rPr>
          <w:rFonts w:cstheme="minorHAnsi"/>
        </w:rPr>
        <w:t>kierowanego</w:t>
      </w:r>
      <w:r w:rsidR="003B50ED" w:rsidRPr="00F16251">
        <w:rPr>
          <w:rFonts w:cstheme="minorHAnsi"/>
        </w:rPr>
        <w:t xml:space="preserve"> </w:t>
      </w:r>
      <w:r w:rsidRPr="00F16251">
        <w:rPr>
          <w:rFonts w:cstheme="minorHAnsi"/>
        </w:rPr>
        <w:t>przez</w:t>
      </w:r>
      <w:r w:rsidR="003B50ED" w:rsidRPr="00F16251">
        <w:rPr>
          <w:rFonts w:cstheme="minorHAnsi"/>
        </w:rPr>
        <w:t xml:space="preserve"> </w:t>
      </w:r>
      <w:r w:rsidRPr="00F16251">
        <w:rPr>
          <w:rFonts w:cstheme="minorHAnsi"/>
        </w:rPr>
        <w:t>społeczność”.</w:t>
      </w:r>
      <w:r w:rsidR="003B50ED" w:rsidRPr="00F16251">
        <w:rPr>
          <w:rFonts w:cstheme="minorHAnsi"/>
        </w:rPr>
        <w:t xml:space="preserve"> </w:t>
      </w:r>
    </w:p>
    <w:p w14:paraId="1E03AD39" w14:textId="22DDF851" w:rsidR="0064487A" w:rsidRPr="00F16251" w:rsidRDefault="00590E23" w:rsidP="00A26C26">
      <w:pPr>
        <w:spacing w:line="276" w:lineRule="auto"/>
        <w:ind w:firstLine="284"/>
        <w:jc w:val="both"/>
        <w:rPr>
          <w:rFonts w:cstheme="minorHAnsi"/>
        </w:rPr>
      </w:pPr>
      <w:r w:rsidRPr="00F16251">
        <w:rPr>
          <w:rFonts w:cstheme="minorHAnsi"/>
        </w:rPr>
        <w:t>C</w:t>
      </w:r>
      <w:r w:rsidR="0064487A" w:rsidRPr="00F16251">
        <w:rPr>
          <w:rFonts w:cstheme="minorHAnsi"/>
        </w:rPr>
        <w:t>złonkowie</w:t>
      </w:r>
      <w:r w:rsidR="003B50ED" w:rsidRPr="00F16251">
        <w:rPr>
          <w:rFonts w:cstheme="minorHAnsi"/>
        </w:rPr>
        <w:t xml:space="preserve"> </w:t>
      </w:r>
      <w:r w:rsidRPr="00F16251">
        <w:rPr>
          <w:rFonts w:cstheme="minorHAnsi"/>
        </w:rPr>
        <w:t>Rady</w:t>
      </w:r>
      <w:r w:rsidR="003B50ED" w:rsidRPr="00F16251">
        <w:rPr>
          <w:rFonts w:cstheme="minorHAnsi"/>
        </w:rPr>
        <w:t xml:space="preserve"> </w:t>
      </w:r>
      <w:r w:rsidR="00211340" w:rsidRPr="00F16251">
        <w:rPr>
          <w:rFonts w:cstheme="minorHAnsi"/>
        </w:rPr>
        <w:t>wybierani</w:t>
      </w:r>
      <w:r w:rsidR="003B50ED" w:rsidRPr="00F16251">
        <w:rPr>
          <w:rFonts w:cstheme="minorHAnsi"/>
        </w:rPr>
        <w:t xml:space="preserve"> </w:t>
      </w:r>
      <w:r w:rsidR="0064487A" w:rsidRPr="00F16251">
        <w:rPr>
          <w:rFonts w:cstheme="minorHAnsi"/>
        </w:rPr>
        <w:t>spośród</w:t>
      </w:r>
      <w:r w:rsidR="003B50ED" w:rsidRPr="00F16251">
        <w:rPr>
          <w:rFonts w:cstheme="minorHAnsi"/>
        </w:rPr>
        <w:t xml:space="preserve"> </w:t>
      </w:r>
      <w:r w:rsidR="0064487A" w:rsidRPr="00F16251">
        <w:rPr>
          <w:rFonts w:cstheme="minorHAnsi"/>
        </w:rPr>
        <w:t>członków</w:t>
      </w:r>
      <w:r w:rsidR="003B50ED" w:rsidRPr="00F16251">
        <w:rPr>
          <w:rFonts w:cstheme="minorHAnsi"/>
        </w:rPr>
        <w:t xml:space="preserve"> </w:t>
      </w:r>
      <w:r w:rsidR="0064487A" w:rsidRPr="00F16251">
        <w:rPr>
          <w:rFonts w:cstheme="minorHAnsi"/>
        </w:rPr>
        <w:t>stowarzyszenia</w:t>
      </w:r>
      <w:r w:rsidR="003B50ED" w:rsidRPr="00F16251">
        <w:rPr>
          <w:rFonts w:cstheme="minorHAnsi"/>
        </w:rPr>
        <w:t xml:space="preserve"> </w:t>
      </w:r>
      <w:r w:rsidR="0064487A" w:rsidRPr="00F16251">
        <w:rPr>
          <w:rFonts w:cstheme="minorHAnsi"/>
        </w:rPr>
        <w:t>w</w:t>
      </w:r>
      <w:r w:rsidR="003B50ED" w:rsidRPr="00F16251">
        <w:rPr>
          <w:rFonts w:cstheme="minorHAnsi"/>
        </w:rPr>
        <w:t xml:space="preserve"> </w:t>
      </w:r>
      <w:r w:rsidR="0064487A" w:rsidRPr="00F16251">
        <w:rPr>
          <w:rFonts w:cstheme="minorHAnsi"/>
        </w:rPr>
        <w:t>głosowaniu</w:t>
      </w:r>
      <w:r w:rsidR="003B50ED" w:rsidRPr="00F16251">
        <w:rPr>
          <w:rFonts w:cstheme="minorHAnsi"/>
        </w:rPr>
        <w:t xml:space="preserve"> </w:t>
      </w:r>
      <w:r w:rsidR="00211340" w:rsidRPr="00F16251">
        <w:rPr>
          <w:rFonts w:cstheme="minorHAnsi"/>
        </w:rPr>
        <w:t>jawnym</w:t>
      </w:r>
      <w:r w:rsidR="003B50ED" w:rsidRPr="00F16251">
        <w:rPr>
          <w:rFonts w:cstheme="minorHAnsi"/>
        </w:rPr>
        <w:t xml:space="preserve"> </w:t>
      </w:r>
      <w:r w:rsidR="0064487A" w:rsidRPr="00F16251">
        <w:rPr>
          <w:rFonts w:cstheme="minorHAnsi"/>
        </w:rPr>
        <w:t>przez</w:t>
      </w:r>
      <w:r w:rsidR="003B50ED" w:rsidRPr="00F16251">
        <w:rPr>
          <w:rFonts w:cstheme="minorHAnsi"/>
        </w:rPr>
        <w:t xml:space="preserve"> </w:t>
      </w:r>
      <w:r w:rsidR="0064487A" w:rsidRPr="00F16251">
        <w:rPr>
          <w:rFonts w:cstheme="minorHAnsi"/>
        </w:rPr>
        <w:t>Walne</w:t>
      </w:r>
      <w:r w:rsidR="003B50ED" w:rsidRPr="00F16251">
        <w:rPr>
          <w:rFonts w:cstheme="minorHAnsi"/>
        </w:rPr>
        <w:t xml:space="preserve"> </w:t>
      </w:r>
      <w:r w:rsidR="0064487A" w:rsidRPr="00F16251">
        <w:rPr>
          <w:rFonts w:cstheme="minorHAnsi"/>
        </w:rPr>
        <w:t>Zebranie</w:t>
      </w:r>
      <w:r w:rsidR="003B50ED" w:rsidRPr="00F16251">
        <w:rPr>
          <w:rFonts w:cstheme="minorHAnsi"/>
        </w:rPr>
        <w:t xml:space="preserve"> </w:t>
      </w:r>
      <w:r w:rsidR="0064487A" w:rsidRPr="00F16251">
        <w:rPr>
          <w:rFonts w:cstheme="minorHAnsi"/>
        </w:rPr>
        <w:t>Członków</w:t>
      </w:r>
      <w:r w:rsidR="003B50ED" w:rsidRPr="00F16251">
        <w:rPr>
          <w:rFonts w:cstheme="minorHAnsi"/>
        </w:rPr>
        <w:t xml:space="preserve"> </w:t>
      </w:r>
      <w:r w:rsidR="0064487A" w:rsidRPr="00F16251">
        <w:rPr>
          <w:rFonts w:cstheme="minorHAnsi"/>
        </w:rPr>
        <w:t>Stowarzyszenia.</w:t>
      </w:r>
      <w:r w:rsidR="003B50ED" w:rsidRPr="00F16251">
        <w:rPr>
          <w:rFonts w:cstheme="minorHAnsi"/>
        </w:rPr>
        <w:t xml:space="preserve"> </w:t>
      </w:r>
      <w:r w:rsidR="0064487A" w:rsidRPr="00F16251">
        <w:rPr>
          <w:rFonts w:cstheme="minorHAnsi"/>
        </w:rPr>
        <w:t>Jedna</w:t>
      </w:r>
      <w:r w:rsidR="003B50ED" w:rsidRPr="00F16251">
        <w:rPr>
          <w:rFonts w:cstheme="minorHAnsi"/>
        </w:rPr>
        <w:t xml:space="preserve"> </w:t>
      </w:r>
      <w:r w:rsidR="0064487A" w:rsidRPr="00F16251">
        <w:rPr>
          <w:rFonts w:cstheme="minorHAnsi"/>
        </w:rPr>
        <w:t>osoba</w:t>
      </w:r>
      <w:r w:rsidR="003B50ED" w:rsidRPr="00F16251">
        <w:rPr>
          <w:rFonts w:cstheme="minorHAnsi"/>
        </w:rPr>
        <w:t xml:space="preserve"> </w:t>
      </w:r>
      <w:r w:rsidR="0064487A" w:rsidRPr="00F16251">
        <w:rPr>
          <w:rFonts w:cstheme="minorHAnsi"/>
        </w:rPr>
        <w:t>może</w:t>
      </w:r>
      <w:r w:rsidR="003B50ED" w:rsidRPr="00F16251">
        <w:rPr>
          <w:rFonts w:cstheme="minorHAnsi"/>
        </w:rPr>
        <w:t xml:space="preserve"> </w:t>
      </w:r>
      <w:r w:rsidR="0064487A" w:rsidRPr="00F16251">
        <w:rPr>
          <w:rFonts w:cstheme="minorHAnsi"/>
        </w:rPr>
        <w:t>wchodzić</w:t>
      </w:r>
      <w:r w:rsidR="003B50ED" w:rsidRPr="00F16251">
        <w:rPr>
          <w:rFonts w:cstheme="minorHAnsi"/>
        </w:rPr>
        <w:t xml:space="preserve"> </w:t>
      </w:r>
      <w:r w:rsidR="0064487A" w:rsidRPr="00F16251">
        <w:rPr>
          <w:rFonts w:cstheme="minorHAnsi"/>
        </w:rPr>
        <w:t>w</w:t>
      </w:r>
      <w:r w:rsidR="003B50ED" w:rsidRPr="00F16251">
        <w:rPr>
          <w:rFonts w:cstheme="minorHAnsi"/>
        </w:rPr>
        <w:t xml:space="preserve"> </w:t>
      </w:r>
      <w:r w:rsidR="0064487A" w:rsidRPr="00F16251">
        <w:rPr>
          <w:rFonts w:cstheme="minorHAnsi"/>
        </w:rPr>
        <w:t>skład</w:t>
      </w:r>
      <w:r w:rsidR="003B50ED" w:rsidRPr="00F16251">
        <w:rPr>
          <w:rFonts w:cstheme="minorHAnsi"/>
        </w:rPr>
        <w:t xml:space="preserve"> </w:t>
      </w:r>
      <w:r w:rsidR="0064487A" w:rsidRPr="00F16251">
        <w:rPr>
          <w:rFonts w:cstheme="minorHAnsi"/>
        </w:rPr>
        <w:t>tylko</w:t>
      </w:r>
      <w:r w:rsidR="003B50ED" w:rsidRPr="00F16251">
        <w:rPr>
          <w:rFonts w:cstheme="minorHAnsi"/>
        </w:rPr>
        <w:t xml:space="preserve"> </w:t>
      </w:r>
      <w:r w:rsidR="0064487A" w:rsidRPr="00F16251">
        <w:rPr>
          <w:rFonts w:cstheme="minorHAnsi"/>
        </w:rPr>
        <w:t>jednego</w:t>
      </w:r>
      <w:r w:rsidR="003B50ED" w:rsidRPr="00F16251">
        <w:rPr>
          <w:rFonts w:cstheme="minorHAnsi"/>
        </w:rPr>
        <w:t xml:space="preserve"> </w:t>
      </w:r>
      <w:r w:rsidR="0064487A" w:rsidRPr="00F16251">
        <w:rPr>
          <w:rFonts w:cstheme="minorHAnsi"/>
        </w:rPr>
        <w:t>z</w:t>
      </w:r>
      <w:r w:rsidR="003B50ED" w:rsidRPr="00F16251">
        <w:rPr>
          <w:rFonts w:cstheme="minorHAnsi"/>
        </w:rPr>
        <w:t xml:space="preserve"> </w:t>
      </w:r>
      <w:r w:rsidR="0064487A" w:rsidRPr="00F16251">
        <w:rPr>
          <w:rFonts w:cstheme="minorHAnsi"/>
        </w:rPr>
        <w:t>organów</w:t>
      </w:r>
      <w:r w:rsidR="003B50ED" w:rsidRPr="00F16251">
        <w:rPr>
          <w:rFonts w:cstheme="minorHAnsi"/>
        </w:rPr>
        <w:t xml:space="preserve"> </w:t>
      </w:r>
      <w:r w:rsidR="00AB742D" w:rsidRPr="00F16251">
        <w:rPr>
          <w:rFonts w:cstheme="minorHAnsi"/>
        </w:rPr>
        <w:t>Stowarzyszenia „Solidarni w Partnerstwie”</w:t>
      </w:r>
      <w:r w:rsidR="0064487A" w:rsidRPr="00F16251">
        <w:rPr>
          <w:rFonts w:cstheme="minorHAnsi"/>
        </w:rPr>
        <w:t>.</w:t>
      </w:r>
      <w:r w:rsidR="003B50ED" w:rsidRPr="00F16251">
        <w:rPr>
          <w:rFonts w:cstheme="minorHAnsi"/>
        </w:rPr>
        <w:t xml:space="preserve"> </w:t>
      </w:r>
      <w:r w:rsidR="0064487A" w:rsidRPr="00F16251">
        <w:rPr>
          <w:rFonts w:cstheme="minorHAnsi"/>
        </w:rPr>
        <w:t>Kadencja</w:t>
      </w:r>
      <w:r w:rsidR="003B50ED" w:rsidRPr="00F16251">
        <w:rPr>
          <w:rFonts w:cstheme="minorHAnsi"/>
        </w:rPr>
        <w:t xml:space="preserve"> </w:t>
      </w:r>
      <w:r w:rsidR="0064487A" w:rsidRPr="00F16251">
        <w:rPr>
          <w:rFonts w:cstheme="minorHAnsi"/>
        </w:rPr>
        <w:t>wszystkich</w:t>
      </w:r>
      <w:r w:rsidR="003B50ED" w:rsidRPr="00F16251">
        <w:rPr>
          <w:rFonts w:cstheme="minorHAnsi"/>
        </w:rPr>
        <w:t xml:space="preserve"> </w:t>
      </w:r>
      <w:r w:rsidR="0064487A" w:rsidRPr="00F16251">
        <w:rPr>
          <w:rFonts w:cstheme="minorHAnsi"/>
        </w:rPr>
        <w:t>władz</w:t>
      </w:r>
      <w:r w:rsidR="003B50ED" w:rsidRPr="00F16251">
        <w:rPr>
          <w:rFonts w:cstheme="minorHAnsi"/>
        </w:rPr>
        <w:t xml:space="preserve"> </w:t>
      </w:r>
      <w:r w:rsidR="0064487A" w:rsidRPr="00F16251">
        <w:rPr>
          <w:rFonts w:cstheme="minorHAnsi"/>
        </w:rPr>
        <w:t>trwa</w:t>
      </w:r>
      <w:r w:rsidR="003B50ED" w:rsidRPr="00F16251">
        <w:rPr>
          <w:rFonts w:cstheme="minorHAnsi"/>
        </w:rPr>
        <w:t xml:space="preserve"> </w:t>
      </w:r>
      <w:r w:rsidR="00211340" w:rsidRPr="00F16251">
        <w:rPr>
          <w:rFonts w:cstheme="minorHAnsi"/>
        </w:rPr>
        <w:t>pięć</w:t>
      </w:r>
      <w:r w:rsidR="003B50ED" w:rsidRPr="00F16251">
        <w:rPr>
          <w:rFonts w:cstheme="minorHAnsi"/>
        </w:rPr>
        <w:t xml:space="preserve"> </w:t>
      </w:r>
      <w:r w:rsidR="00211340" w:rsidRPr="00F16251">
        <w:rPr>
          <w:rFonts w:cstheme="minorHAnsi"/>
        </w:rPr>
        <w:t>lat</w:t>
      </w:r>
      <w:r w:rsidR="0064487A" w:rsidRPr="00F16251">
        <w:rPr>
          <w:rFonts w:cstheme="minorHAnsi"/>
        </w:rPr>
        <w:t>.</w:t>
      </w:r>
      <w:r w:rsidR="003B50ED" w:rsidRPr="00F16251">
        <w:rPr>
          <w:rFonts w:cstheme="minorHAnsi"/>
        </w:rPr>
        <w:t xml:space="preserve"> </w:t>
      </w:r>
    </w:p>
    <w:p w14:paraId="7CFAC641" w14:textId="2B02AC40" w:rsidR="00DF60A0" w:rsidRPr="00F16251" w:rsidRDefault="00701577" w:rsidP="00A26C26">
      <w:pPr>
        <w:spacing w:line="276" w:lineRule="auto"/>
        <w:ind w:firstLine="284"/>
        <w:jc w:val="both"/>
        <w:rPr>
          <w:rFonts w:cstheme="minorHAnsi"/>
          <w:strike/>
        </w:rPr>
      </w:pPr>
      <w:r w:rsidRPr="00F16251">
        <w:rPr>
          <w:rFonts w:cstheme="minorHAnsi"/>
        </w:rPr>
        <w:t>R</w:t>
      </w:r>
      <w:r w:rsidR="0064487A" w:rsidRPr="00F16251">
        <w:rPr>
          <w:rFonts w:cstheme="minorHAnsi"/>
        </w:rPr>
        <w:t>ada</w:t>
      </w:r>
      <w:r w:rsidR="003B50ED" w:rsidRPr="00F16251">
        <w:rPr>
          <w:rFonts w:cstheme="minorHAnsi"/>
        </w:rPr>
        <w:t xml:space="preserve"> </w:t>
      </w:r>
      <w:r w:rsidR="00211340" w:rsidRPr="00F16251">
        <w:rPr>
          <w:rFonts w:cstheme="minorHAnsi"/>
        </w:rPr>
        <w:t>i</w:t>
      </w:r>
      <w:r w:rsidR="003B50ED" w:rsidRPr="00F16251">
        <w:rPr>
          <w:rFonts w:cstheme="minorHAnsi"/>
        </w:rPr>
        <w:t xml:space="preserve"> </w:t>
      </w:r>
      <w:r w:rsidR="00211340" w:rsidRPr="00F16251">
        <w:rPr>
          <w:rFonts w:cstheme="minorHAnsi"/>
        </w:rPr>
        <w:t>Przewodniczący</w:t>
      </w:r>
      <w:r w:rsidR="003B50ED" w:rsidRPr="00F16251">
        <w:rPr>
          <w:rFonts w:cstheme="minorHAnsi"/>
        </w:rPr>
        <w:t xml:space="preserve"> </w:t>
      </w:r>
      <w:r w:rsidR="00211340" w:rsidRPr="00F16251">
        <w:rPr>
          <w:rFonts w:cstheme="minorHAnsi"/>
        </w:rPr>
        <w:t>Rady</w:t>
      </w:r>
      <w:r w:rsidR="003B50ED" w:rsidRPr="00F16251">
        <w:rPr>
          <w:rFonts w:cstheme="minorHAnsi"/>
        </w:rPr>
        <w:t xml:space="preserve"> </w:t>
      </w:r>
      <w:r w:rsidR="0064487A" w:rsidRPr="00F16251">
        <w:rPr>
          <w:rFonts w:cstheme="minorHAnsi"/>
        </w:rPr>
        <w:t>jest</w:t>
      </w:r>
      <w:r w:rsidR="003B50ED" w:rsidRPr="00F16251">
        <w:rPr>
          <w:rFonts w:cstheme="minorHAnsi"/>
        </w:rPr>
        <w:t xml:space="preserve"> </w:t>
      </w:r>
      <w:r w:rsidR="0064487A" w:rsidRPr="00F16251">
        <w:rPr>
          <w:rFonts w:cstheme="minorHAnsi"/>
        </w:rPr>
        <w:t>wybierana</w:t>
      </w:r>
      <w:r w:rsidR="003B50ED" w:rsidRPr="00F16251">
        <w:rPr>
          <w:rFonts w:cstheme="minorHAnsi"/>
        </w:rPr>
        <w:t xml:space="preserve"> </w:t>
      </w:r>
      <w:r w:rsidR="0064487A" w:rsidRPr="00F16251">
        <w:rPr>
          <w:rFonts w:cstheme="minorHAnsi"/>
        </w:rPr>
        <w:t>przez</w:t>
      </w:r>
      <w:r w:rsidR="003B50ED" w:rsidRPr="00F16251">
        <w:rPr>
          <w:rFonts w:cstheme="minorHAnsi"/>
        </w:rPr>
        <w:t xml:space="preserve"> </w:t>
      </w:r>
      <w:r w:rsidR="0064487A" w:rsidRPr="00F16251">
        <w:rPr>
          <w:rFonts w:cstheme="minorHAnsi"/>
        </w:rPr>
        <w:t>Walne</w:t>
      </w:r>
      <w:r w:rsidR="003B50ED" w:rsidRPr="00F16251">
        <w:rPr>
          <w:rFonts w:cstheme="minorHAnsi"/>
        </w:rPr>
        <w:t xml:space="preserve"> </w:t>
      </w:r>
      <w:r w:rsidR="0064487A" w:rsidRPr="00F16251">
        <w:rPr>
          <w:rFonts w:cstheme="minorHAnsi"/>
        </w:rPr>
        <w:t>Zebranie</w:t>
      </w:r>
      <w:r w:rsidR="003B50ED" w:rsidRPr="00F16251">
        <w:rPr>
          <w:rFonts w:cstheme="minorHAnsi"/>
        </w:rPr>
        <w:t xml:space="preserve"> </w:t>
      </w:r>
      <w:r w:rsidR="0064487A" w:rsidRPr="00F16251">
        <w:rPr>
          <w:rFonts w:cstheme="minorHAnsi"/>
        </w:rPr>
        <w:t>spośród</w:t>
      </w:r>
      <w:r w:rsidR="003B50ED" w:rsidRPr="00F16251">
        <w:rPr>
          <w:rFonts w:cstheme="minorHAnsi"/>
        </w:rPr>
        <w:t xml:space="preserve"> </w:t>
      </w:r>
      <w:r w:rsidR="0064487A" w:rsidRPr="00F16251">
        <w:rPr>
          <w:rFonts w:cstheme="minorHAnsi"/>
        </w:rPr>
        <w:t>członków</w:t>
      </w:r>
      <w:r w:rsidR="003B50ED" w:rsidRPr="00F16251">
        <w:rPr>
          <w:rFonts w:cstheme="minorHAnsi"/>
        </w:rPr>
        <w:t xml:space="preserve"> </w:t>
      </w:r>
      <w:r w:rsidR="0064487A" w:rsidRPr="00F16251">
        <w:rPr>
          <w:rFonts w:cstheme="minorHAnsi"/>
        </w:rPr>
        <w:t>zwyczajnych</w:t>
      </w:r>
      <w:r w:rsidR="003B50ED" w:rsidRPr="00F16251">
        <w:rPr>
          <w:rFonts w:cstheme="minorHAnsi"/>
        </w:rPr>
        <w:t xml:space="preserve"> </w:t>
      </w:r>
      <w:r w:rsidR="00AB742D" w:rsidRPr="00F16251">
        <w:rPr>
          <w:rFonts w:cstheme="minorHAnsi"/>
        </w:rPr>
        <w:t>Stowarzyszenia „Solidarni w Partnerstwie”</w:t>
      </w:r>
      <w:r w:rsidR="0064487A" w:rsidRPr="00F16251">
        <w:rPr>
          <w:rFonts w:cstheme="minorHAnsi"/>
        </w:rPr>
        <w:t>.</w:t>
      </w:r>
      <w:r w:rsidR="003B50ED" w:rsidRPr="00F16251">
        <w:rPr>
          <w:rFonts w:cstheme="minorHAnsi"/>
        </w:rPr>
        <w:t xml:space="preserve"> </w:t>
      </w:r>
      <w:r w:rsidR="00995F46" w:rsidRPr="00F16251">
        <w:rPr>
          <w:rFonts w:cstheme="minorHAnsi"/>
        </w:rPr>
        <w:t>S</w:t>
      </w:r>
      <w:r w:rsidR="0064487A" w:rsidRPr="00F16251">
        <w:rPr>
          <w:rFonts w:cstheme="minorHAnsi"/>
        </w:rPr>
        <w:t>kład</w:t>
      </w:r>
      <w:r w:rsidR="003B50ED" w:rsidRPr="00F16251">
        <w:rPr>
          <w:rFonts w:cstheme="minorHAnsi"/>
        </w:rPr>
        <w:t xml:space="preserve"> </w:t>
      </w:r>
      <w:r w:rsidR="0064487A" w:rsidRPr="00F16251">
        <w:rPr>
          <w:rFonts w:cstheme="minorHAnsi"/>
        </w:rPr>
        <w:t>Rady</w:t>
      </w:r>
      <w:r w:rsidR="003B50ED" w:rsidRPr="00F16251">
        <w:rPr>
          <w:rFonts w:cstheme="minorHAnsi"/>
        </w:rPr>
        <w:t xml:space="preserve"> </w:t>
      </w:r>
      <w:r w:rsidR="00590E23" w:rsidRPr="00F16251">
        <w:rPr>
          <w:rFonts w:cstheme="minorHAnsi"/>
        </w:rPr>
        <w:t>liczy</w:t>
      </w:r>
      <w:r w:rsidR="003B50ED" w:rsidRPr="00F16251">
        <w:rPr>
          <w:rFonts w:cstheme="minorHAnsi"/>
        </w:rPr>
        <w:t xml:space="preserve"> </w:t>
      </w:r>
      <w:r w:rsidR="00590E23" w:rsidRPr="00F16251">
        <w:rPr>
          <w:rFonts w:cstheme="minorHAnsi"/>
        </w:rPr>
        <w:t>1</w:t>
      </w:r>
      <w:r w:rsidR="00995F46" w:rsidRPr="00F16251">
        <w:rPr>
          <w:rFonts w:cstheme="minorHAnsi"/>
        </w:rPr>
        <w:t>2</w:t>
      </w:r>
      <w:r w:rsidR="003B50ED" w:rsidRPr="00F16251">
        <w:rPr>
          <w:rFonts w:cstheme="minorHAnsi"/>
        </w:rPr>
        <w:t xml:space="preserve"> </w:t>
      </w:r>
      <w:r w:rsidR="00590E23" w:rsidRPr="00F16251">
        <w:rPr>
          <w:rFonts w:cstheme="minorHAnsi"/>
        </w:rPr>
        <w:t>osób.</w:t>
      </w:r>
      <w:r w:rsidR="003B50ED" w:rsidRPr="00F16251">
        <w:rPr>
          <w:rFonts w:cstheme="minorHAnsi"/>
        </w:rPr>
        <w:t xml:space="preserve"> </w:t>
      </w:r>
      <w:r w:rsidR="0064487A" w:rsidRPr="00F16251">
        <w:rPr>
          <w:rFonts w:cstheme="minorHAnsi"/>
        </w:rPr>
        <w:t>Do</w:t>
      </w:r>
      <w:r w:rsidR="003B50ED" w:rsidRPr="00F16251">
        <w:rPr>
          <w:rFonts w:cstheme="minorHAnsi"/>
        </w:rPr>
        <w:t xml:space="preserve"> </w:t>
      </w:r>
      <w:r w:rsidR="0064487A" w:rsidRPr="00F16251">
        <w:rPr>
          <w:rFonts w:cstheme="minorHAnsi"/>
        </w:rPr>
        <w:t>wyłącznej</w:t>
      </w:r>
      <w:r w:rsidR="003B50ED" w:rsidRPr="00F16251">
        <w:rPr>
          <w:rFonts w:cstheme="minorHAnsi"/>
        </w:rPr>
        <w:t xml:space="preserve"> </w:t>
      </w:r>
      <w:r w:rsidR="0064487A" w:rsidRPr="00F16251">
        <w:rPr>
          <w:rFonts w:cstheme="minorHAnsi"/>
        </w:rPr>
        <w:t>kompetencji</w:t>
      </w:r>
      <w:r w:rsidR="003B50ED" w:rsidRPr="00F16251">
        <w:rPr>
          <w:rFonts w:cstheme="minorHAnsi"/>
        </w:rPr>
        <w:t xml:space="preserve"> </w:t>
      </w:r>
      <w:r w:rsidR="0064487A" w:rsidRPr="00F16251">
        <w:rPr>
          <w:rFonts w:cstheme="minorHAnsi"/>
        </w:rPr>
        <w:t>Rady</w:t>
      </w:r>
      <w:r w:rsidR="003B50ED" w:rsidRPr="00F16251">
        <w:rPr>
          <w:rFonts w:cstheme="minorHAnsi"/>
        </w:rPr>
        <w:t xml:space="preserve"> </w:t>
      </w:r>
      <w:r w:rsidR="0064487A" w:rsidRPr="00F16251">
        <w:rPr>
          <w:rFonts w:cstheme="minorHAnsi"/>
        </w:rPr>
        <w:t>należy</w:t>
      </w:r>
      <w:r w:rsidR="003B50ED" w:rsidRPr="00F16251">
        <w:rPr>
          <w:rFonts w:cstheme="minorHAnsi"/>
        </w:rPr>
        <w:t xml:space="preserve"> </w:t>
      </w:r>
      <w:r w:rsidR="0064487A" w:rsidRPr="00F16251">
        <w:rPr>
          <w:rFonts w:cstheme="minorHAnsi"/>
        </w:rPr>
        <w:t>wybór</w:t>
      </w:r>
      <w:r w:rsidR="003B50ED" w:rsidRPr="00F16251">
        <w:rPr>
          <w:rFonts w:cstheme="minorHAnsi"/>
        </w:rPr>
        <w:t xml:space="preserve"> </w:t>
      </w:r>
      <w:r w:rsidR="0064487A" w:rsidRPr="00F16251">
        <w:rPr>
          <w:rFonts w:cstheme="minorHAnsi"/>
        </w:rPr>
        <w:t>operacji</w:t>
      </w:r>
      <w:r w:rsidR="003B50ED" w:rsidRPr="00F16251">
        <w:rPr>
          <w:rFonts w:cstheme="minorHAnsi"/>
        </w:rPr>
        <w:t xml:space="preserve"> </w:t>
      </w:r>
      <w:r w:rsidR="0064487A" w:rsidRPr="00F16251">
        <w:rPr>
          <w:rFonts w:cstheme="minorHAnsi"/>
        </w:rPr>
        <w:t>i</w:t>
      </w:r>
      <w:r w:rsidR="003B50ED" w:rsidRPr="00F16251">
        <w:rPr>
          <w:rFonts w:cstheme="minorHAnsi"/>
        </w:rPr>
        <w:t xml:space="preserve"> </w:t>
      </w:r>
      <w:r w:rsidR="0064487A" w:rsidRPr="00F16251">
        <w:rPr>
          <w:rFonts w:cstheme="minorHAnsi"/>
        </w:rPr>
        <w:t>ustalanie</w:t>
      </w:r>
      <w:r w:rsidR="003B50ED" w:rsidRPr="00F16251">
        <w:rPr>
          <w:rFonts w:cstheme="minorHAnsi"/>
        </w:rPr>
        <w:t xml:space="preserve"> </w:t>
      </w:r>
      <w:r w:rsidR="0064487A" w:rsidRPr="00F16251">
        <w:rPr>
          <w:rFonts w:cstheme="minorHAnsi"/>
        </w:rPr>
        <w:t>kwoty</w:t>
      </w:r>
      <w:r w:rsidR="003B50ED" w:rsidRPr="00F16251">
        <w:rPr>
          <w:rFonts w:cstheme="minorHAnsi"/>
        </w:rPr>
        <w:t xml:space="preserve"> </w:t>
      </w:r>
      <w:r w:rsidR="0064487A" w:rsidRPr="00F16251">
        <w:rPr>
          <w:rFonts w:cstheme="minorHAnsi"/>
        </w:rPr>
        <w:t>wsparcia.</w:t>
      </w:r>
      <w:r w:rsidR="003B50ED" w:rsidRPr="00F16251">
        <w:rPr>
          <w:rFonts w:cstheme="minorHAnsi"/>
        </w:rPr>
        <w:t xml:space="preserve"> </w:t>
      </w:r>
    </w:p>
    <w:p w14:paraId="7E4D270B" w14:textId="16BB472A" w:rsidR="00701577" w:rsidRPr="00F16251" w:rsidRDefault="0064487A" w:rsidP="00A26C26">
      <w:pPr>
        <w:spacing w:line="276" w:lineRule="auto"/>
        <w:ind w:firstLine="284"/>
        <w:jc w:val="both"/>
        <w:rPr>
          <w:rFonts w:cstheme="minorHAnsi"/>
        </w:rPr>
      </w:pPr>
      <w:r w:rsidRPr="00F16251">
        <w:rPr>
          <w:rFonts w:cstheme="minorHAnsi"/>
        </w:rPr>
        <w:t>Wybór</w:t>
      </w:r>
      <w:r w:rsidR="003B50ED" w:rsidRPr="00F16251">
        <w:rPr>
          <w:rFonts w:cstheme="minorHAnsi"/>
        </w:rPr>
        <w:t xml:space="preserve"> </w:t>
      </w:r>
      <w:r w:rsidRPr="00F16251">
        <w:rPr>
          <w:rFonts w:cstheme="minorHAnsi"/>
        </w:rPr>
        <w:t>operacji,</w:t>
      </w:r>
      <w:r w:rsidR="003B50ED" w:rsidRPr="00F16251">
        <w:rPr>
          <w:rFonts w:cstheme="minorHAnsi"/>
        </w:rPr>
        <w:t xml:space="preserve"> </w:t>
      </w:r>
      <w:r w:rsidRPr="00F16251">
        <w:rPr>
          <w:rFonts w:cstheme="minorHAnsi"/>
        </w:rPr>
        <w:t>które</w:t>
      </w:r>
      <w:r w:rsidR="003B50ED" w:rsidRPr="00F16251">
        <w:rPr>
          <w:rFonts w:cstheme="minorHAnsi"/>
        </w:rPr>
        <w:t xml:space="preserve"> </w:t>
      </w:r>
      <w:r w:rsidRPr="00F16251">
        <w:rPr>
          <w:rFonts w:cstheme="minorHAnsi"/>
        </w:rPr>
        <w:t>mają</w:t>
      </w:r>
      <w:r w:rsidR="003B50ED" w:rsidRPr="00F16251">
        <w:rPr>
          <w:rFonts w:cstheme="minorHAnsi"/>
        </w:rPr>
        <w:t xml:space="preserve"> </w:t>
      </w:r>
      <w:r w:rsidRPr="00F16251">
        <w:rPr>
          <w:rFonts w:cstheme="minorHAnsi"/>
        </w:rPr>
        <w:t>być</w:t>
      </w:r>
      <w:r w:rsidR="003B50ED" w:rsidRPr="00F16251">
        <w:rPr>
          <w:rFonts w:cstheme="minorHAnsi"/>
        </w:rPr>
        <w:t xml:space="preserve"> </w:t>
      </w:r>
      <w:r w:rsidRPr="00F16251">
        <w:rPr>
          <w:rFonts w:cstheme="minorHAnsi"/>
        </w:rPr>
        <w:t>realizowane</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ramach</w:t>
      </w:r>
      <w:r w:rsidR="003B50ED" w:rsidRPr="00F16251">
        <w:rPr>
          <w:rFonts w:cstheme="minorHAnsi"/>
        </w:rPr>
        <w:t xml:space="preserve"> </w:t>
      </w:r>
      <w:r w:rsidRPr="00F16251">
        <w:rPr>
          <w:rFonts w:cstheme="minorHAnsi"/>
        </w:rPr>
        <w:t>opracowanej</w:t>
      </w:r>
      <w:r w:rsidR="003B50ED" w:rsidRPr="00F16251">
        <w:rPr>
          <w:rFonts w:cstheme="minorHAnsi"/>
        </w:rPr>
        <w:t xml:space="preserve"> </w:t>
      </w:r>
      <w:r w:rsidR="00AB742D" w:rsidRPr="00F16251">
        <w:rPr>
          <w:rFonts w:cstheme="minorHAnsi"/>
        </w:rPr>
        <w:t xml:space="preserve">LSR </w:t>
      </w:r>
      <w:r w:rsidRPr="00F16251">
        <w:rPr>
          <w:rFonts w:cstheme="minorHAnsi"/>
        </w:rPr>
        <w:t>dokonywany</w:t>
      </w:r>
      <w:r w:rsidR="003B50ED" w:rsidRPr="00F16251">
        <w:rPr>
          <w:rFonts w:cstheme="minorHAnsi"/>
        </w:rPr>
        <w:t xml:space="preserve"> </w:t>
      </w:r>
      <w:r w:rsidRPr="00F16251">
        <w:rPr>
          <w:rFonts w:cstheme="minorHAnsi"/>
        </w:rPr>
        <w:t>jest</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formie</w:t>
      </w:r>
      <w:r w:rsidR="003B50ED" w:rsidRPr="00F16251">
        <w:rPr>
          <w:rFonts w:cstheme="minorHAnsi"/>
        </w:rPr>
        <w:t xml:space="preserve"> </w:t>
      </w:r>
      <w:r w:rsidRPr="00F16251">
        <w:rPr>
          <w:rFonts w:cstheme="minorHAnsi"/>
        </w:rPr>
        <w:t>uchwały</w:t>
      </w:r>
      <w:r w:rsidR="003B50ED" w:rsidRPr="00F16251">
        <w:rPr>
          <w:rFonts w:cstheme="minorHAnsi"/>
        </w:rPr>
        <w:t xml:space="preserve"> </w:t>
      </w:r>
      <w:r w:rsidRPr="00F16251">
        <w:rPr>
          <w:rFonts w:cstheme="minorHAnsi"/>
        </w:rPr>
        <w:t>Rady,</w:t>
      </w:r>
      <w:r w:rsidR="003B50ED" w:rsidRPr="00F16251">
        <w:rPr>
          <w:rFonts w:cstheme="minorHAnsi"/>
        </w:rPr>
        <w:t xml:space="preserve"> </w:t>
      </w:r>
      <w:r w:rsidRPr="00F16251">
        <w:rPr>
          <w:rFonts w:cstheme="minorHAnsi"/>
        </w:rPr>
        <w:t>podjętej</w:t>
      </w:r>
      <w:r w:rsidR="003B50ED" w:rsidRPr="00F16251">
        <w:rPr>
          <w:rFonts w:cstheme="minorHAnsi"/>
        </w:rPr>
        <w:t xml:space="preserve"> </w:t>
      </w:r>
      <w:r w:rsidRPr="00F16251">
        <w:rPr>
          <w:rFonts w:cstheme="minorHAnsi"/>
        </w:rPr>
        <w:t>zwykłą</w:t>
      </w:r>
      <w:r w:rsidR="003B50ED" w:rsidRPr="00F16251">
        <w:rPr>
          <w:rFonts w:cstheme="minorHAnsi"/>
        </w:rPr>
        <w:t xml:space="preserve"> </w:t>
      </w:r>
      <w:r w:rsidRPr="00F16251">
        <w:rPr>
          <w:rFonts w:cstheme="minorHAnsi"/>
        </w:rPr>
        <w:t>większością</w:t>
      </w:r>
      <w:r w:rsidR="003B50ED" w:rsidRPr="00F16251">
        <w:rPr>
          <w:rFonts w:cstheme="minorHAnsi"/>
        </w:rPr>
        <w:t xml:space="preserve"> </w:t>
      </w:r>
      <w:r w:rsidRPr="00F16251">
        <w:rPr>
          <w:rFonts w:cstheme="minorHAnsi"/>
        </w:rPr>
        <w:t>głosów</w:t>
      </w:r>
      <w:r w:rsidR="003B50ED" w:rsidRPr="00F16251">
        <w:rPr>
          <w:rFonts w:cstheme="minorHAnsi"/>
        </w:rPr>
        <w:t xml:space="preserve"> </w:t>
      </w:r>
      <w:r w:rsidRPr="00F16251">
        <w:rPr>
          <w:rFonts w:cstheme="minorHAnsi"/>
        </w:rPr>
        <w:t>przy</w:t>
      </w:r>
      <w:r w:rsidR="003B50ED" w:rsidRPr="00F16251">
        <w:rPr>
          <w:rFonts w:cstheme="minorHAnsi"/>
        </w:rPr>
        <w:t xml:space="preserve"> </w:t>
      </w:r>
      <w:r w:rsidRPr="00F16251">
        <w:rPr>
          <w:rFonts w:cstheme="minorHAnsi"/>
        </w:rPr>
        <w:t>obecności</w:t>
      </w:r>
      <w:r w:rsidR="003B50ED" w:rsidRPr="00F16251">
        <w:rPr>
          <w:rFonts w:cstheme="minorHAnsi"/>
        </w:rPr>
        <w:t xml:space="preserve"> </w:t>
      </w:r>
      <w:r w:rsidRPr="00F16251">
        <w:rPr>
          <w:rFonts w:cstheme="minorHAnsi"/>
        </w:rPr>
        <w:t>co</w:t>
      </w:r>
      <w:r w:rsidR="003B50ED" w:rsidRPr="00F16251">
        <w:rPr>
          <w:rFonts w:cstheme="minorHAnsi"/>
        </w:rPr>
        <w:t xml:space="preserve"> </w:t>
      </w:r>
      <w:r w:rsidRPr="00F16251">
        <w:rPr>
          <w:rFonts w:cstheme="minorHAnsi"/>
        </w:rPr>
        <w:t>najmniej</w:t>
      </w:r>
      <w:r w:rsidR="003B50ED" w:rsidRPr="00F16251">
        <w:rPr>
          <w:rFonts w:cstheme="minorHAnsi"/>
        </w:rPr>
        <w:t xml:space="preserve"> </w:t>
      </w:r>
      <w:r w:rsidRPr="00F16251">
        <w:rPr>
          <w:rFonts w:cstheme="minorHAnsi"/>
        </w:rPr>
        <w:t>połowy</w:t>
      </w:r>
      <w:r w:rsidR="003B50ED" w:rsidRPr="00F16251">
        <w:rPr>
          <w:rFonts w:cstheme="minorHAnsi"/>
        </w:rPr>
        <w:t xml:space="preserve"> </w:t>
      </w:r>
      <w:r w:rsidRPr="00F16251">
        <w:rPr>
          <w:rFonts w:cstheme="minorHAnsi"/>
        </w:rPr>
        <w:t>członków</w:t>
      </w:r>
      <w:r w:rsidR="003B50ED" w:rsidRPr="00F16251">
        <w:rPr>
          <w:rFonts w:cstheme="minorHAnsi"/>
        </w:rPr>
        <w:t xml:space="preserve"> </w:t>
      </w:r>
      <w:r w:rsidRPr="00F16251">
        <w:rPr>
          <w:rFonts w:cstheme="minorHAnsi"/>
        </w:rPr>
        <w:t>uprawnionych</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głosowania.</w:t>
      </w:r>
      <w:r w:rsidR="003B50ED" w:rsidRPr="00F16251">
        <w:rPr>
          <w:rFonts w:cstheme="minorHAnsi"/>
        </w:rPr>
        <w:t xml:space="preserve"> </w:t>
      </w:r>
    </w:p>
    <w:p w14:paraId="49179D58" w14:textId="5A780D28" w:rsidR="00673DE9" w:rsidRPr="00F16251" w:rsidRDefault="00673DE9" w:rsidP="00A26C26">
      <w:pPr>
        <w:spacing w:line="276" w:lineRule="auto"/>
        <w:ind w:firstLine="284"/>
        <w:jc w:val="both"/>
        <w:rPr>
          <w:rFonts w:cstheme="minorHAnsi"/>
        </w:rPr>
      </w:pPr>
      <w:r w:rsidRPr="00F16251">
        <w:rPr>
          <w:rFonts w:cstheme="minorHAnsi"/>
        </w:rPr>
        <w:t>Wybór</w:t>
      </w:r>
      <w:r w:rsidR="003B50ED" w:rsidRPr="00F16251">
        <w:rPr>
          <w:rFonts w:cstheme="minorHAnsi"/>
        </w:rPr>
        <w:t xml:space="preserve"> </w:t>
      </w:r>
      <w:r w:rsidRPr="00F16251">
        <w:rPr>
          <w:rFonts w:cstheme="minorHAnsi"/>
        </w:rPr>
        <w:t>operacji</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ramach</w:t>
      </w:r>
      <w:r w:rsidR="003B50ED" w:rsidRPr="00F16251">
        <w:rPr>
          <w:rFonts w:cstheme="minorHAnsi"/>
        </w:rPr>
        <w:t xml:space="preserve"> </w:t>
      </w:r>
      <w:r w:rsidRPr="00F16251">
        <w:rPr>
          <w:rFonts w:cstheme="minorHAnsi"/>
        </w:rPr>
        <w:t>komponentu</w:t>
      </w:r>
      <w:r w:rsidR="003B50ED" w:rsidRPr="00F16251">
        <w:rPr>
          <w:rFonts w:cstheme="minorHAnsi"/>
        </w:rPr>
        <w:t xml:space="preserve"> </w:t>
      </w:r>
      <w:r w:rsidRPr="00F16251">
        <w:rPr>
          <w:rFonts w:cstheme="minorHAnsi"/>
        </w:rPr>
        <w:t>Wdrażanie</w:t>
      </w:r>
      <w:r w:rsidR="003B50ED" w:rsidRPr="00F16251">
        <w:rPr>
          <w:rFonts w:cstheme="minorHAnsi"/>
        </w:rPr>
        <w:t xml:space="preserve"> </w:t>
      </w:r>
      <w:r w:rsidRPr="00F16251">
        <w:rPr>
          <w:rFonts w:cstheme="minorHAnsi"/>
        </w:rPr>
        <w:t>LSR</w:t>
      </w:r>
      <w:r w:rsidR="003B50ED" w:rsidRPr="00F16251">
        <w:rPr>
          <w:rFonts w:cstheme="minorHAnsi"/>
        </w:rPr>
        <w:t xml:space="preserve"> </w:t>
      </w:r>
      <w:r w:rsidRPr="00F16251">
        <w:rPr>
          <w:rFonts w:cstheme="minorHAnsi"/>
        </w:rPr>
        <w:t>jest</w:t>
      </w:r>
      <w:r w:rsidR="003B50ED" w:rsidRPr="00F16251">
        <w:rPr>
          <w:rFonts w:cstheme="minorHAnsi"/>
        </w:rPr>
        <w:t xml:space="preserve"> </w:t>
      </w:r>
      <w:r w:rsidRPr="00F16251">
        <w:rPr>
          <w:rFonts w:cstheme="minorHAnsi"/>
        </w:rPr>
        <w:t>dokonywany</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zastosowaniem</w:t>
      </w:r>
      <w:r w:rsidR="003B50ED" w:rsidRPr="00F16251">
        <w:rPr>
          <w:rFonts w:cstheme="minorHAnsi"/>
        </w:rPr>
        <w:t xml:space="preserve"> </w:t>
      </w:r>
      <w:r w:rsidRPr="00F16251">
        <w:rPr>
          <w:rFonts w:cstheme="minorHAnsi"/>
        </w:rPr>
        <w:t>procedury</w:t>
      </w:r>
      <w:r w:rsidR="003B50ED" w:rsidRPr="00F16251">
        <w:rPr>
          <w:rFonts w:cstheme="minorHAnsi"/>
        </w:rPr>
        <w:t xml:space="preserve"> </w:t>
      </w:r>
      <w:r w:rsidRPr="00F16251">
        <w:rPr>
          <w:rFonts w:cstheme="minorHAnsi"/>
        </w:rPr>
        <w:t>zapewniającej</w:t>
      </w:r>
      <w:r w:rsidR="003B50ED" w:rsidRPr="00F16251">
        <w:rPr>
          <w:rFonts w:cstheme="minorHAnsi"/>
        </w:rPr>
        <w:t xml:space="preserve"> </w:t>
      </w:r>
      <w:r w:rsidRPr="00F16251">
        <w:rPr>
          <w:rFonts w:cstheme="minorHAnsi"/>
        </w:rPr>
        <w:t>bezstronność</w:t>
      </w:r>
      <w:r w:rsidR="003B50ED" w:rsidRPr="00F16251">
        <w:rPr>
          <w:rFonts w:cstheme="minorHAnsi"/>
        </w:rPr>
        <w:t xml:space="preserve"> </w:t>
      </w:r>
      <w:r w:rsidRPr="00F16251">
        <w:rPr>
          <w:rFonts w:cstheme="minorHAnsi"/>
        </w:rPr>
        <w:t>członków</w:t>
      </w:r>
      <w:r w:rsidR="003B50ED" w:rsidRPr="00F16251">
        <w:rPr>
          <w:rFonts w:cstheme="minorHAnsi"/>
        </w:rPr>
        <w:t xml:space="preserve"> </w:t>
      </w:r>
      <w:r w:rsidRPr="00F16251">
        <w:rPr>
          <w:rFonts w:cstheme="minorHAnsi"/>
        </w:rPr>
        <w:t>Rady,</w:t>
      </w:r>
      <w:r w:rsidR="003B50ED" w:rsidRPr="00F16251">
        <w:rPr>
          <w:rFonts w:cstheme="minorHAnsi"/>
        </w:rPr>
        <w:t xml:space="preserve"> </w:t>
      </w:r>
      <w:r w:rsidRPr="00F16251">
        <w:rPr>
          <w:rFonts w:cstheme="minorHAnsi"/>
        </w:rPr>
        <w:t>przy</w:t>
      </w:r>
      <w:r w:rsidR="003B50ED" w:rsidRPr="00F16251">
        <w:rPr>
          <w:rFonts w:cstheme="minorHAnsi"/>
        </w:rPr>
        <w:t xml:space="preserve"> </w:t>
      </w:r>
      <w:r w:rsidRPr="00F16251">
        <w:rPr>
          <w:rFonts w:cstheme="minorHAnsi"/>
        </w:rPr>
        <w:t>uwzględnieniu</w:t>
      </w:r>
      <w:r w:rsidR="003B50ED" w:rsidRPr="00F16251">
        <w:rPr>
          <w:rFonts w:cstheme="minorHAnsi"/>
        </w:rPr>
        <w:t xml:space="preserve"> </w:t>
      </w:r>
      <w:r w:rsidRPr="00F16251">
        <w:rPr>
          <w:rFonts w:cstheme="minorHAnsi"/>
        </w:rPr>
        <w:t>obowiązujących</w:t>
      </w:r>
      <w:r w:rsidR="003B50ED" w:rsidRPr="00F16251">
        <w:rPr>
          <w:rFonts w:cstheme="minorHAnsi"/>
        </w:rPr>
        <w:t xml:space="preserve"> </w:t>
      </w:r>
      <w:r w:rsidRPr="00F16251">
        <w:rPr>
          <w:rFonts w:cstheme="minorHAnsi"/>
        </w:rPr>
        <w:t>kryteriów</w:t>
      </w:r>
      <w:r w:rsidR="003B50ED" w:rsidRPr="00F16251">
        <w:rPr>
          <w:rFonts w:cstheme="minorHAnsi"/>
        </w:rPr>
        <w:t xml:space="preserve"> </w:t>
      </w:r>
      <w:r w:rsidRPr="00F16251">
        <w:rPr>
          <w:rFonts w:cstheme="minorHAnsi"/>
        </w:rPr>
        <w:t>wyboru</w:t>
      </w:r>
      <w:r w:rsidR="003B50ED" w:rsidRPr="00F16251">
        <w:rPr>
          <w:rFonts w:cstheme="minorHAnsi"/>
        </w:rPr>
        <w:t xml:space="preserve"> </w:t>
      </w:r>
      <w:r w:rsidRPr="00F16251">
        <w:rPr>
          <w:rFonts w:cstheme="minorHAnsi"/>
        </w:rPr>
        <w:t>operacji</w:t>
      </w:r>
      <w:r w:rsidR="003B50ED" w:rsidRPr="00F16251">
        <w:rPr>
          <w:rFonts w:cstheme="minorHAnsi"/>
        </w:rPr>
        <w:t xml:space="preserve"> </w:t>
      </w:r>
      <w:r w:rsidRPr="00F16251">
        <w:rPr>
          <w:rFonts w:cstheme="minorHAnsi"/>
        </w:rPr>
        <w:t>oraz</w:t>
      </w:r>
      <w:r w:rsidR="003B50ED" w:rsidRPr="00F16251">
        <w:rPr>
          <w:rFonts w:cstheme="minorHAnsi"/>
        </w:rPr>
        <w:t xml:space="preserve"> </w:t>
      </w:r>
      <w:r w:rsidRPr="00F16251">
        <w:rPr>
          <w:rFonts w:cstheme="minorHAnsi"/>
        </w:rPr>
        <w:t>zapewnieniu</w:t>
      </w:r>
      <w:r w:rsidR="003B50ED" w:rsidRPr="00F16251">
        <w:rPr>
          <w:rFonts w:cstheme="minorHAnsi"/>
        </w:rPr>
        <w:t xml:space="preserve"> </w:t>
      </w:r>
      <w:r w:rsidRPr="00F16251">
        <w:rPr>
          <w:rFonts w:cstheme="minorHAnsi"/>
        </w:rPr>
        <w:t>składu</w:t>
      </w:r>
      <w:r w:rsidR="003B50ED" w:rsidRPr="00F16251">
        <w:rPr>
          <w:rFonts w:cstheme="minorHAnsi"/>
        </w:rPr>
        <w:t xml:space="preserve"> </w:t>
      </w:r>
      <w:r w:rsidRPr="00F16251">
        <w:rPr>
          <w:rFonts w:cstheme="minorHAnsi"/>
        </w:rPr>
        <w:t>Rady</w:t>
      </w:r>
      <w:r w:rsidR="003B50ED" w:rsidRPr="00F16251">
        <w:rPr>
          <w:rFonts w:cstheme="minorHAnsi"/>
        </w:rPr>
        <w:t xml:space="preserve"> </w:t>
      </w:r>
      <w:r w:rsidRPr="00F16251">
        <w:rPr>
          <w:rFonts w:cstheme="minorHAnsi"/>
        </w:rPr>
        <w:t>zgodnego</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wymaganiami</w:t>
      </w:r>
      <w:r w:rsidR="003B50ED" w:rsidRPr="00F16251">
        <w:rPr>
          <w:rFonts w:cstheme="minorHAnsi"/>
        </w:rPr>
        <w:t xml:space="preserve"> </w:t>
      </w:r>
      <w:r w:rsidRPr="00F16251">
        <w:rPr>
          <w:rFonts w:cstheme="minorHAnsi"/>
        </w:rPr>
        <w:t>określonymi</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art.</w:t>
      </w:r>
      <w:r w:rsidR="003B50ED" w:rsidRPr="00F16251">
        <w:rPr>
          <w:rFonts w:cstheme="minorHAnsi"/>
        </w:rPr>
        <w:t xml:space="preserve"> </w:t>
      </w:r>
      <w:r w:rsidRPr="00F16251">
        <w:rPr>
          <w:rFonts w:cstheme="minorHAnsi"/>
        </w:rPr>
        <w:t>31</w:t>
      </w:r>
      <w:r w:rsidR="003B50ED" w:rsidRPr="00F16251">
        <w:rPr>
          <w:rFonts w:cstheme="minorHAnsi"/>
        </w:rPr>
        <w:t xml:space="preserve"> </w:t>
      </w:r>
      <w:r w:rsidRPr="00F16251">
        <w:rPr>
          <w:rFonts w:cstheme="minorHAnsi"/>
        </w:rPr>
        <w:t>ust.</w:t>
      </w:r>
      <w:r w:rsidR="003B50ED" w:rsidRPr="00F16251">
        <w:rPr>
          <w:rFonts w:cstheme="minorHAnsi"/>
        </w:rPr>
        <w:t xml:space="preserve"> </w:t>
      </w:r>
      <w:r w:rsidRPr="00F16251">
        <w:rPr>
          <w:rFonts w:cstheme="minorHAnsi"/>
        </w:rPr>
        <w:t>2</w:t>
      </w:r>
      <w:r w:rsidR="003B50ED" w:rsidRPr="00F16251">
        <w:rPr>
          <w:rFonts w:cstheme="minorHAnsi"/>
        </w:rPr>
        <w:t xml:space="preserve"> </w:t>
      </w:r>
      <w:r w:rsidRPr="00F16251">
        <w:rPr>
          <w:rFonts w:cstheme="minorHAnsi"/>
        </w:rPr>
        <w:t>lit.</w:t>
      </w:r>
      <w:r w:rsidR="003B50ED" w:rsidRPr="00F16251">
        <w:rPr>
          <w:rFonts w:cstheme="minorHAnsi"/>
        </w:rPr>
        <w:t xml:space="preserve"> </w:t>
      </w:r>
      <w:r w:rsidRPr="00F16251">
        <w:rPr>
          <w:rFonts w:cstheme="minorHAnsi"/>
        </w:rPr>
        <w:t>b</w:t>
      </w:r>
      <w:r w:rsidR="003B50ED" w:rsidRPr="00F16251">
        <w:rPr>
          <w:rFonts w:cstheme="minorHAnsi"/>
        </w:rPr>
        <w:t xml:space="preserve"> </w:t>
      </w:r>
      <w:r w:rsidRPr="00F16251">
        <w:rPr>
          <w:rFonts w:cstheme="minorHAnsi"/>
        </w:rPr>
        <w:t>ww.</w:t>
      </w:r>
      <w:r w:rsidR="003B50ED" w:rsidRPr="00F16251">
        <w:rPr>
          <w:rFonts w:cstheme="minorHAnsi"/>
        </w:rPr>
        <w:t xml:space="preserve"> </w:t>
      </w:r>
      <w:r w:rsidRPr="00F16251">
        <w:rPr>
          <w:rFonts w:cstheme="minorHAnsi"/>
        </w:rPr>
        <w:t>rozporządzenia</w:t>
      </w:r>
      <w:r w:rsidR="003B50ED" w:rsidRPr="00F16251">
        <w:rPr>
          <w:rFonts w:cstheme="minorHAnsi"/>
        </w:rPr>
        <w:t xml:space="preserve"> </w:t>
      </w:r>
      <w:r w:rsidRPr="00F16251">
        <w:rPr>
          <w:rFonts w:cstheme="minorHAnsi"/>
        </w:rPr>
        <w:t>2021/1060</w:t>
      </w:r>
      <w:r w:rsidR="003B50ED" w:rsidRPr="00F16251">
        <w:rPr>
          <w:rFonts w:cstheme="minorHAnsi"/>
        </w:rPr>
        <w:t xml:space="preserve"> </w:t>
      </w:r>
      <w:r w:rsidRPr="00F16251">
        <w:rPr>
          <w:rFonts w:cstheme="minorHAnsi"/>
        </w:rPr>
        <w:t>lub</w:t>
      </w:r>
      <w:r w:rsidR="003B50ED" w:rsidRPr="00F16251">
        <w:rPr>
          <w:rFonts w:cstheme="minorHAnsi"/>
        </w:rPr>
        <w:t xml:space="preserve"> </w:t>
      </w:r>
      <w:r w:rsidRPr="00F16251">
        <w:rPr>
          <w:rFonts w:cstheme="minorHAnsi"/>
        </w:rPr>
        <w:t>wymogu,</w:t>
      </w:r>
      <w:r w:rsidR="003B50ED" w:rsidRPr="00F16251">
        <w:rPr>
          <w:rFonts w:cstheme="minorHAnsi"/>
        </w:rPr>
        <w:t xml:space="preserve"> </w:t>
      </w:r>
      <w:r w:rsidRPr="00F16251">
        <w:rPr>
          <w:rFonts w:cstheme="minorHAnsi"/>
        </w:rPr>
        <w:t>zgodnie</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którym</w:t>
      </w:r>
      <w:r w:rsidR="003B50ED" w:rsidRPr="00F16251">
        <w:rPr>
          <w:rFonts w:cstheme="minorHAnsi"/>
        </w:rPr>
        <w:t xml:space="preserve"> </w:t>
      </w:r>
      <w:r w:rsidRPr="00F16251">
        <w:rPr>
          <w:rFonts w:cstheme="minorHAnsi"/>
        </w:rPr>
        <w:t>pojedyncza</w:t>
      </w:r>
      <w:r w:rsidR="003B50ED" w:rsidRPr="00F16251">
        <w:rPr>
          <w:rFonts w:cstheme="minorHAnsi"/>
        </w:rPr>
        <w:t xml:space="preserve"> </w:t>
      </w:r>
      <w:r w:rsidRPr="00F16251">
        <w:rPr>
          <w:rFonts w:cstheme="minorHAnsi"/>
        </w:rPr>
        <w:t>grupa</w:t>
      </w:r>
      <w:r w:rsidR="003B50ED" w:rsidRPr="00F16251">
        <w:rPr>
          <w:rFonts w:cstheme="minorHAnsi"/>
        </w:rPr>
        <w:t xml:space="preserve"> </w:t>
      </w:r>
      <w:r w:rsidRPr="00F16251">
        <w:rPr>
          <w:rFonts w:cstheme="minorHAnsi"/>
        </w:rPr>
        <w:t>interesu</w:t>
      </w:r>
      <w:r w:rsidR="003B50ED" w:rsidRPr="00F16251">
        <w:rPr>
          <w:rFonts w:cstheme="minorHAnsi"/>
        </w:rPr>
        <w:t xml:space="preserve"> </w:t>
      </w:r>
      <w:r w:rsidRPr="00F16251">
        <w:rPr>
          <w:rFonts w:cstheme="minorHAnsi"/>
        </w:rPr>
        <w:t>nie</w:t>
      </w:r>
      <w:r w:rsidR="003B50ED" w:rsidRPr="00F16251">
        <w:rPr>
          <w:rFonts w:cstheme="minorHAnsi"/>
        </w:rPr>
        <w:t xml:space="preserve"> </w:t>
      </w:r>
      <w:r w:rsidRPr="00F16251">
        <w:rPr>
          <w:rFonts w:cstheme="minorHAnsi"/>
        </w:rPr>
        <w:t>kontroluje</w:t>
      </w:r>
      <w:r w:rsidR="003B50ED" w:rsidRPr="00F16251">
        <w:rPr>
          <w:rFonts w:cstheme="minorHAnsi"/>
        </w:rPr>
        <w:t xml:space="preserve"> </w:t>
      </w:r>
      <w:r w:rsidRPr="00F16251">
        <w:rPr>
          <w:rFonts w:cstheme="minorHAnsi"/>
        </w:rPr>
        <w:t>decyzji</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sprawie</w:t>
      </w:r>
      <w:r w:rsidR="003B50ED" w:rsidRPr="00F16251">
        <w:rPr>
          <w:rFonts w:cstheme="minorHAnsi"/>
        </w:rPr>
        <w:t xml:space="preserve"> </w:t>
      </w:r>
      <w:r w:rsidRPr="00F16251">
        <w:rPr>
          <w:rFonts w:cstheme="minorHAnsi"/>
        </w:rPr>
        <w:t>wyboru</w:t>
      </w:r>
      <w:r w:rsidR="003B50ED" w:rsidRPr="00F16251">
        <w:rPr>
          <w:rFonts w:cstheme="minorHAnsi"/>
        </w:rPr>
        <w:t xml:space="preserve"> </w:t>
      </w:r>
      <w:r w:rsidRPr="00F16251">
        <w:rPr>
          <w:rFonts w:cstheme="minorHAnsi"/>
        </w:rPr>
        <w:t>operacji,</w:t>
      </w:r>
      <w:r w:rsidR="003B50ED" w:rsidRPr="00F16251">
        <w:rPr>
          <w:rFonts w:cstheme="minorHAnsi"/>
        </w:rPr>
        <w:t xml:space="preserve"> </w:t>
      </w:r>
      <w:r w:rsidRPr="00F16251">
        <w:rPr>
          <w:rFonts w:cstheme="minorHAnsi"/>
        </w:rPr>
        <w:t>określonego</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art.</w:t>
      </w:r>
      <w:r w:rsidR="003B50ED" w:rsidRPr="00F16251">
        <w:rPr>
          <w:rFonts w:cstheme="minorHAnsi"/>
        </w:rPr>
        <w:t xml:space="preserve"> </w:t>
      </w:r>
      <w:r w:rsidRPr="00F16251">
        <w:rPr>
          <w:rFonts w:cstheme="minorHAnsi"/>
        </w:rPr>
        <w:t>33</w:t>
      </w:r>
      <w:r w:rsidR="003B50ED" w:rsidRPr="00F16251">
        <w:rPr>
          <w:rFonts w:cstheme="minorHAnsi"/>
        </w:rPr>
        <w:t xml:space="preserve"> </w:t>
      </w:r>
      <w:r w:rsidRPr="00F16251">
        <w:rPr>
          <w:rFonts w:cstheme="minorHAnsi"/>
        </w:rPr>
        <w:t>ust.</w:t>
      </w:r>
      <w:r w:rsidR="003B50ED" w:rsidRPr="00F16251">
        <w:rPr>
          <w:rFonts w:cstheme="minorHAnsi"/>
        </w:rPr>
        <w:t xml:space="preserve"> </w:t>
      </w:r>
      <w:r w:rsidRPr="00F16251">
        <w:rPr>
          <w:rFonts w:cstheme="minorHAnsi"/>
        </w:rPr>
        <w:t>3</w:t>
      </w:r>
      <w:r w:rsidR="003B50ED" w:rsidRPr="00F16251">
        <w:rPr>
          <w:rFonts w:cstheme="minorHAnsi"/>
        </w:rPr>
        <w:t xml:space="preserve"> </w:t>
      </w:r>
      <w:r w:rsidRPr="00F16251">
        <w:rPr>
          <w:rFonts w:cstheme="minorHAnsi"/>
        </w:rPr>
        <w:t>lit.</w:t>
      </w:r>
      <w:r w:rsidR="003B50ED" w:rsidRPr="00F16251">
        <w:rPr>
          <w:rFonts w:cstheme="minorHAnsi"/>
        </w:rPr>
        <w:t xml:space="preserve"> </w:t>
      </w:r>
      <w:r w:rsidRPr="00F16251">
        <w:rPr>
          <w:rFonts w:cstheme="minorHAnsi"/>
        </w:rPr>
        <w:t>b</w:t>
      </w:r>
      <w:r w:rsidR="003B50ED" w:rsidRPr="00F16251">
        <w:rPr>
          <w:rFonts w:cstheme="minorHAnsi"/>
        </w:rPr>
        <w:t xml:space="preserve"> </w:t>
      </w:r>
      <w:r w:rsidRPr="00F16251">
        <w:rPr>
          <w:rFonts w:cstheme="minorHAnsi"/>
        </w:rPr>
        <w:t>ww.</w:t>
      </w:r>
      <w:r w:rsidR="003B50ED" w:rsidRPr="00F16251">
        <w:rPr>
          <w:rFonts w:cstheme="minorHAnsi"/>
        </w:rPr>
        <w:t xml:space="preserve"> </w:t>
      </w:r>
      <w:r w:rsidRPr="00F16251">
        <w:rPr>
          <w:rFonts w:cstheme="minorHAnsi"/>
        </w:rPr>
        <w:t>rozporządzenia</w:t>
      </w:r>
      <w:r w:rsidR="003B50ED" w:rsidRPr="00F16251">
        <w:rPr>
          <w:rFonts w:cstheme="minorHAnsi"/>
        </w:rPr>
        <w:t xml:space="preserve"> </w:t>
      </w:r>
      <w:r w:rsidRPr="00F16251">
        <w:rPr>
          <w:rFonts w:cstheme="minorHAnsi"/>
        </w:rPr>
        <w:t>2021/1060.</w:t>
      </w:r>
    </w:p>
    <w:p w14:paraId="38FCC7AC" w14:textId="7C135F5F" w:rsidR="001432C5" w:rsidRPr="00F16251" w:rsidRDefault="00787110" w:rsidP="00A26C26">
      <w:pPr>
        <w:spacing w:line="276" w:lineRule="auto"/>
        <w:ind w:firstLine="284"/>
        <w:jc w:val="both"/>
        <w:rPr>
          <w:rFonts w:cstheme="minorHAnsi"/>
        </w:rPr>
      </w:pPr>
      <w:r w:rsidRPr="00F16251">
        <w:rPr>
          <w:rFonts w:cstheme="minorHAnsi"/>
        </w:rPr>
        <w:t>W</w:t>
      </w:r>
      <w:r w:rsidR="003B50ED" w:rsidRPr="00F16251">
        <w:rPr>
          <w:rFonts w:cstheme="minorHAnsi"/>
        </w:rPr>
        <w:t xml:space="preserve"> </w:t>
      </w:r>
      <w:r w:rsidRPr="00F16251">
        <w:rPr>
          <w:rFonts w:cstheme="minorHAnsi"/>
        </w:rPr>
        <w:t>przypadku</w:t>
      </w:r>
      <w:r w:rsidR="003B50ED" w:rsidRPr="00F16251">
        <w:rPr>
          <w:rFonts w:cstheme="minorHAnsi"/>
        </w:rPr>
        <w:t xml:space="preserve"> </w:t>
      </w:r>
      <w:r w:rsidRPr="00F16251">
        <w:rPr>
          <w:rFonts w:cstheme="minorHAnsi"/>
        </w:rPr>
        <w:t>Rady,</w:t>
      </w:r>
      <w:r w:rsidR="003B50ED" w:rsidRPr="00F16251">
        <w:rPr>
          <w:rFonts w:cstheme="minorHAnsi"/>
        </w:rPr>
        <w:t xml:space="preserve"> </w:t>
      </w:r>
      <w:r w:rsidR="00AB742D" w:rsidRPr="00F16251">
        <w:rPr>
          <w:rFonts w:cstheme="minorHAnsi"/>
        </w:rPr>
        <w:t xml:space="preserve">Stowarzyszenia „Solidarni w Partnerstwie” </w:t>
      </w:r>
      <w:r w:rsidRPr="00F16251">
        <w:rPr>
          <w:rFonts w:cstheme="minorHAnsi"/>
        </w:rPr>
        <w:t>zastosował</w:t>
      </w:r>
      <w:r w:rsidR="00AB742D" w:rsidRPr="00F16251">
        <w:rPr>
          <w:rFonts w:cstheme="minorHAnsi"/>
        </w:rPr>
        <w:t>o</w:t>
      </w:r>
      <w:r w:rsidR="003B50ED" w:rsidRPr="00F16251">
        <w:rPr>
          <w:rFonts w:cstheme="minorHAnsi"/>
        </w:rPr>
        <w:t xml:space="preserve"> </w:t>
      </w:r>
      <w:r w:rsidRPr="00F16251">
        <w:rPr>
          <w:rFonts w:cstheme="minorHAnsi"/>
        </w:rPr>
        <w:t>skuteczne</w:t>
      </w:r>
      <w:r w:rsidR="003B50ED" w:rsidRPr="00F16251">
        <w:rPr>
          <w:rFonts w:cstheme="minorHAnsi"/>
        </w:rPr>
        <w:t xml:space="preserve"> </w:t>
      </w:r>
      <w:r w:rsidRPr="00F16251">
        <w:rPr>
          <w:rFonts w:cstheme="minorHAnsi"/>
        </w:rPr>
        <w:t>mechanizmy</w:t>
      </w:r>
      <w:r w:rsidR="003B50ED" w:rsidRPr="00F16251">
        <w:rPr>
          <w:rFonts w:cstheme="minorHAnsi"/>
        </w:rPr>
        <w:t xml:space="preserve"> </w:t>
      </w:r>
      <w:r w:rsidRPr="00F16251">
        <w:rPr>
          <w:rFonts w:cstheme="minorHAnsi"/>
        </w:rPr>
        <w:t>gwarantujące</w:t>
      </w:r>
      <w:r w:rsidR="003B50ED" w:rsidRPr="00F16251">
        <w:rPr>
          <w:rFonts w:cstheme="minorHAnsi"/>
        </w:rPr>
        <w:t xml:space="preserve"> </w:t>
      </w:r>
      <w:r w:rsidRPr="00F16251">
        <w:rPr>
          <w:rFonts w:cstheme="minorHAnsi"/>
        </w:rPr>
        <w:t>bezstronność</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rzetelność</w:t>
      </w:r>
      <w:r w:rsidR="003B50ED" w:rsidRPr="00F16251">
        <w:rPr>
          <w:rFonts w:cstheme="minorHAnsi"/>
        </w:rPr>
        <w:t xml:space="preserve"> </w:t>
      </w:r>
      <w:r w:rsidRPr="00F16251">
        <w:rPr>
          <w:rFonts w:cstheme="minorHAnsi"/>
        </w:rPr>
        <w:t>podczas</w:t>
      </w:r>
      <w:r w:rsidR="003B50ED" w:rsidRPr="00F16251">
        <w:rPr>
          <w:rFonts w:cstheme="minorHAnsi"/>
        </w:rPr>
        <w:t xml:space="preserve"> </w:t>
      </w:r>
      <w:r w:rsidRPr="00F16251">
        <w:rPr>
          <w:rFonts w:cstheme="minorHAnsi"/>
        </w:rPr>
        <w:t>oceny</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wyboru</w:t>
      </w:r>
      <w:r w:rsidR="003B50ED" w:rsidRPr="00F16251">
        <w:rPr>
          <w:rFonts w:cstheme="minorHAnsi"/>
        </w:rPr>
        <w:t xml:space="preserve"> </w:t>
      </w:r>
      <w:r w:rsidRPr="00F16251">
        <w:rPr>
          <w:rFonts w:cstheme="minorHAnsi"/>
        </w:rPr>
        <w:t>operacji</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finansowania.</w:t>
      </w:r>
      <w:r w:rsidR="003B50ED" w:rsidRPr="00F16251">
        <w:rPr>
          <w:rFonts w:cstheme="minorHAnsi"/>
        </w:rPr>
        <w:t xml:space="preserve"> </w:t>
      </w:r>
      <w:r w:rsidRPr="00F16251">
        <w:rPr>
          <w:rFonts w:cstheme="minorHAnsi"/>
        </w:rPr>
        <w:t>Przejawia</w:t>
      </w:r>
      <w:r w:rsidR="003B50ED" w:rsidRPr="00F16251">
        <w:rPr>
          <w:rFonts w:cstheme="minorHAnsi"/>
        </w:rPr>
        <w:t xml:space="preserve"> </w:t>
      </w:r>
      <w:r w:rsidRPr="00F16251">
        <w:rPr>
          <w:rFonts w:cstheme="minorHAnsi"/>
        </w:rPr>
        <w:t>się</w:t>
      </w:r>
      <w:r w:rsidR="003B50ED" w:rsidRPr="00F16251">
        <w:rPr>
          <w:rFonts w:cstheme="minorHAnsi"/>
        </w:rPr>
        <w:t xml:space="preserve"> </w:t>
      </w:r>
      <w:r w:rsidRPr="00F16251">
        <w:rPr>
          <w:rFonts w:cstheme="minorHAnsi"/>
        </w:rPr>
        <w:t>to</w:t>
      </w:r>
      <w:r w:rsidR="003B50ED" w:rsidRPr="00F16251">
        <w:rPr>
          <w:rFonts w:cstheme="minorHAnsi"/>
        </w:rPr>
        <w:t xml:space="preserve"> </w:t>
      </w:r>
      <w:r w:rsidRPr="00F16251">
        <w:rPr>
          <w:rFonts w:cstheme="minorHAnsi"/>
        </w:rPr>
        <w:t>między</w:t>
      </w:r>
      <w:r w:rsidR="003B50ED" w:rsidRPr="00F16251">
        <w:rPr>
          <w:rFonts w:cstheme="minorHAnsi"/>
        </w:rPr>
        <w:t xml:space="preserve"> </w:t>
      </w:r>
      <w:r w:rsidRPr="00F16251">
        <w:rPr>
          <w:rFonts w:cstheme="minorHAnsi"/>
        </w:rPr>
        <w:t>innymi</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skrupulatnej</w:t>
      </w:r>
      <w:r w:rsidR="003B50ED" w:rsidRPr="00F16251">
        <w:rPr>
          <w:rFonts w:cstheme="minorHAnsi"/>
        </w:rPr>
        <w:t xml:space="preserve"> </w:t>
      </w:r>
      <w:r w:rsidRPr="00F16251">
        <w:rPr>
          <w:rFonts w:cstheme="minorHAnsi"/>
        </w:rPr>
        <w:t>weryfikacji</w:t>
      </w:r>
      <w:r w:rsidR="003B50ED" w:rsidRPr="00F16251">
        <w:rPr>
          <w:rFonts w:cstheme="minorHAnsi"/>
        </w:rPr>
        <w:t xml:space="preserve"> </w:t>
      </w:r>
      <w:r w:rsidRPr="00F16251">
        <w:rPr>
          <w:rFonts w:cstheme="minorHAnsi"/>
        </w:rPr>
        <w:t>przynależności</w:t>
      </w:r>
      <w:r w:rsidR="003B50ED" w:rsidRPr="00F16251">
        <w:rPr>
          <w:rFonts w:cstheme="minorHAnsi"/>
        </w:rPr>
        <w:t xml:space="preserve"> </w:t>
      </w:r>
      <w:r w:rsidRPr="00F16251">
        <w:rPr>
          <w:rFonts w:cstheme="minorHAnsi"/>
        </w:rPr>
        <w:t>danego</w:t>
      </w:r>
      <w:r w:rsidR="003B50ED" w:rsidRPr="00F16251">
        <w:rPr>
          <w:rFonts w:cstheme="minorHAnsi"/>
        </w:rPr>
        <w:t xml:space="preserve"> </w:t>
      </w:r>
      <w:r w:rsidRPr="00F16251">
        <w:rPr>
          <w:rFonts w:cstheme="minorHAnsi"/>
        </w:rPr>
        <w:t>członka</w:t>
      </w:r>
      <w:r w:rsidR="003B50ED" w:rsidRPr="00F16251">
        <w:rPr>
          <w:rFonts w:cstheme="minorHAnsi"/>
        </w:rPr>
        <w:t xml:space="preserve"> </w:t>
      </w:r>
      <w:r w:rsidRPr="00F16251">
        <w:rPr>
          <w:rFonts w:cstheme="minorHAnsi"/>
        </w:rPr>
        <w:t>Rady</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jednej</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grup</w:t>
      </w:r>
      <w:r w:rsidR="003B50ED" w:rsidRPr="00F16251">
        <w:rPr>
          <w:rFonts w:cstheme="minorHAnsi"/>
        </w:rPr>
        <w:t xml:space="preserve"> </w:t>
      </w:r>
      <w:r w:rsidRPr="00F16251">
        <w:rPr>
          <w:rFonts w:cstheme="minorHAnsi"/>
        </w:rPr>
        <w:t>interesu</w:t>
      </w:r>
      <w:r w:rsidR="003B50ED" w:rsidRPr="00F16251">
        <w:rPr>
          <w:rFonts w:cstheme="minorHAnsi"/>
        </w:rPr>
        <w:t xml:space="preserve"> </w:t>
      </w:r>
      <w:r w:rsidRPr="00F16251">
        <w:rPr>
          <w:rFonts w:cstheme="minorHAnsi"/>
        </w:rPr>
        <w:t>zdiagnozowanych</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obszarze</w:t>
      </w:r>
      <w:r w:rsidR="003B50ED" w:rsidRPr="00F16251">
        <w:rPr>
          <w:rFonts w:cstheme="minorHAnsi"/>
        </w:rPr>
        <w:t xml:space="preserve"> </w:t>
      </w:r>
      <w:r w:rsidR="00B50849" w:rsidRPr="00F16251">
        <w:rPr>
          <w:rFonts w:cstheme="minorHAnsi"/>
        </w:rPr>
        <w:t>objętym LSR</w:t>
      </w:r>
      <w:r w:rsidRPr="00F16251">
        <w:rPr>
          <w:rFonts w:cstheme="minorHAnsi"/>
        </w:rPr>
        <w:t>,</w:t>
      </w:r>
      <w:r w:rsidR="003B50ED" w:rsidRPr="00F16251">
        <w:rPr>
          <w:rFonts w:cstheme="minorHAnsi"/>
        </w:rPr>
        <w:t xml:space="preserve"> </w:t>
      </w:r>
      <w:r w:rsidRPr="00F16251">
        <w:rPr>
          <w:rFonts w:cstheme="minorHAnsi"/>
        </w:rPr>
        <w:t>obowiązku</w:t>
      </w:r>
      <w:r w:rsidR="003B50ED" w:rsidRPr="00F16251">
        <w:rPr>
          <w:rFonts w:cstheme="minorHAnsi"/>
        </w:rPr>
        <w:t xml:space="preserve"> </w:t>
      </w:r>
      <w:r w:rsidRPr="00F16251">
        <w:rPr>
          <w:rFonts w:cstheme="minorHAnsi"/>
        </w:rPr>
        <w:t>wypełnienia</w:t>
      </w:r>
      <w:r w:rsidR="003B50ED" w:rsidRPr="00F16251">
        <w:rPr>
          <w:rFonts w:cstheme="minorHAnsi"/>
        </w:rPr>
        <w:t xml:space="preserve"> </w:t>
      </w:r>
      <w:r w:rsidRPr="00F16251">
        <w:rPr>
          <w:rFonts w:cstheme="minorHAnsi"/>
        </w:rPr>
        <w:t>deklaracji</w:t>
      </w:r>
      <w:r w:rsidR="003B50ED" w:rsidRPr="00F16251">
        <w:rPr>
          <w:rFonts w:cstheme="minorHAnsi"/>
        </w:rPr>
        <w:t xml:space="preserve"> </w:t>
      </w:r>
      <w:r w:rsidRPr="00F16251">
        <w:rPr>
          <w:rFonts w:cstheme="minorHAnsi"/>
        </w:rPr>
        <w:t>bezstronności</w:t>
      </w:r>
      <w:r w:rsidR="003B50ED" w:rsidRPr="00F16251">
        <w:rPr>
          <w:rFonts w:cstheme="minorHAnsi"/>
        </w:rPr>
        <w:t xml:space="preserve"> </w:t>
      </w:r>
      <w:r w:rsidRPr="00F16251">
        <w:rPr>
          <w:rFonts w:cstheme="minorHAnsi"/>
        </w:rPr>
        <w:t>dla</w:t>
      </w:r>
      <w:r w:rsidR="003B50ED" w:rsidRPr="00F16251">
        <w:rPr>
          <w:rFonts w:cstheme="minorHAnsi"/>
        </w:rPr>
        <w:t xml:space="preserve"> </w:t>
      </w:r>
      <w:r w:rsidRPr="00F16251">
        <w:rPr>
          <w:rFonts w:cstheme="minorHAnsi"/>
        </w:rPr>
        <w:t>każdego</w:t>
      </w:r>
      <w:r w:rsidR="003B50ED" w:rsidRPr="00F16251">
        <w:rPr>
          <w:rFonts w:cstheme="minorHAnsi"/>
        </w:rPr>
        <w:t xml:space="preserve"> </w:t>
      </w:r>
      <w:r w:rsidRPr="00F16251">
        <w:rPr>
          <w:rFonts w:cstheme="minorHAnsi"/>
        </w:rPr>
        <w:t>projektu</w:t>
      </w:r>
      <w:r w:rsidR="0024741D" w:rsidRPr="00F16251">
        <w:rPr>
          <w:rFonts w:cstheme="minorHAnsi"/>
        </w:rPr>
        <w:t>.</w:t>
      </w:r>
    </w:p>
    <w:p w14:paraId="0E7478D9" w14:textId="77777777" w:rsidR="00396A11" w:rsidRDefault="0024741D" w:rsidP="00A26C26">
      <w:pPr>
        <w:spacing w:line="276" w:lineRule="auto"/>
        <w:ind w:firstLine="284"/>
        <w:jc w:val="both"/>
        <w:rPr>
          <w:rFonts w:cstheme="minorHAnsi"/>
        </w:rPr>
      </w:pPr>
      <w:r w:rsidRPr="00F16251">
        <w:rPr>
          <w:rFonts w:cstheme="minorHAnsi"/>
        </w:rPr>
        <w:lastRenderedPageBreak/>
        <w:t>Członek</w:t>
      </w:r>
      <w:r w:rsidR="003B50ED" w:rsidRPr="00F16251">
        <w:rPr>
          <w:rFonts w:cstheme="minorHAnsi"/>
        </w:rPr>
        <w:t xml:space="preserve"> </w:t>
      </w:r>
      <w:r w:rsidRPr="00F16251">
        <w:rPr>
          <w:rFonts w:cstheme="minorHAnsi"/>
        </w:rPr>
        <w:t>Rady</w:t>
      </w:r>
      <w:r w:rsidR="003B50ED" w:rsidRPr="00F16251">
        <w:rPr>
          <w:rFonts w:cstheme="minorHAnsi"/>
        </w:rPr>
        <w:t xml:space="preserve"> </w:t>
      </w:r>
      <w:r w:rsidRPr="00F16251">
        <w:rPr>
          <w:rFonts w:cstheme="minorHAnsi"/>
        </w:rPr>
        <w:t>lub</w:t>
      </w:r>
      <w:r w:rsidR="003B50ED" w:rsidRPr="00F16251">
        <w:rPr>
          <w:rFonts w:cstheme="minorHAnsi"/>
        </w:rPr>
        <w:t xml:space="preserve"> </w:t>
      </w:r>
      <w:r w:rsidRPr="00F16251">
        <w:rPr>
          <w:rFonts w:cstheme="minorHAnsi"/>
        </w:rPr>
        <w:t>jego</w:t>
      </w:r>
      <w:r w:rsidR="003B50ED" w:rsidRPr="00F16251">
        <w:rPr>
          <w:rFonts w:cstheme="minorHAnsi"/>
        </w:rPr>
        <w:t xml:space="preserve"> </w:t>
      </w:r>
      <w:r w:rsidRPr="00F16251">
        <w:rPr>
          <w:rFonts w:cstheme="minorHAnsi"/>
        </w:rPr>
        <w:t>reprezentant,</w:t>
      </w:r>
      <w:r w:rsidR="003B50ED" w:rsidRPr="00F16251">
        <w:rPr>
          <w:rFonts w:cstheme="minorHAnsi"/>
        </w:rPr>
        <w:t xml:space="preserve"> </w:t>
      </w:r>
      <w:r w:rsidRPr="00F16251">
        <w:rPr>
          <w:rFonts w:cstheme="minorHAnsi"/>
        </w:rPr>
        <w:t>który</w:t>
      </w:r>
      <w:r w:rsidR="003B50ED" w:rsidRPr="00F16251">
        <w:rPr>
          <w:rFonts w:cstheme="minorHAnsi"/>
        </w:rPr>
        <w:t xml:space="preserve"> </w:t>
      </w:r>
      <w:r w:rsidRPr="00F16251">
        <w:rPr>
          <w:rFonts w:cstheme="minorHAnsi"/>
        </w:rPr>
        <w:t>jest</w:t>
      </w:r>
      <w:r w:rsidR="003B50ED" w:rsidRPr="00F16251">
        <w:rPr>
          <w:rFonts w:cstheme="minorHAnsi"/>
        </w:rPr>
        <w:t xml:space="preserve"> </w:t>
      </w:r>
      <w:r w:rsidRPr="00F16251">
        <w:rPr>
          <w:rFonts w:cstheme="minorHAnsi"/>
        </w:rPr>
        <w:t>wnioskodawcą</w:t>
      </w:r>
      <w:r w:rsidR="003B50ED" w:rsidRPr="00F16251">
        <w:rPr>
          <w:rFonts w:cstheme="minorHAnsi"/>
        </w:rPr>
        <w:t xml:space="preserve"> </w:t>
      </w:r>
      <w:r w:rsidRPr="00F16251">
        <w:rPr>
          <w:rFonts w:cstheme="minorHAnsi"/>
        </w:rPr>
        <w:t>wybieranej</w:t>
      </w:r>
      <w:r w:rsidR="003B50ED" w:rsidRPr="00F16251">
        <w:rPr>
          <w:rFonts w:cstheme="minorHAnsi"/>
        </w:rPr>
        <w:t xml:space="preserve"> </w:t>
      </w:r>
      <w:r w:rsidRPr="00F16251">
        <w:rPr>
          <w:rFonts w:cstheme="minorHAnsi"/>
        </w:rPr>
        <w:t>przez</w:t>
      </w:r>
      <w:r w:rsidR="003B50ED" w:rsidRPr="00F16251">
        <w:rPr>
          <w:rFonts w:cstheme="minorHAnsi"/>
        </w:rPr>
        <w:t xml:space="preserve"> </w:t>
      </w:r>
      <w:r w:rsidRPr="00F16251">
        <w:rPr>
          <w:rFonts w:cstheme="minorHAnsi"/>
        </w:rPr>
        <w:t>Radę</w:t>
      </w:r>
      <w:r w:rsidR="003B50ED" w:rsidRPr="00F16251">
        <w:rPr>
          <w:rFonts w:cstheme="minorHAnsi"/>
        </w:rPr>
        <w:t xml:space="preserve"> </w:t>
      </w:r>
      <w:r w:rsidRPr="00F16251">
        <w:rPr>
          <w:rFonts w:cstheme="minorHAnsi"/>
        </w:rPr>
        <w:t>operacji,</w:t>
      </w:r>
      <w:r w:rsidR="003B50ED" w:rsidRPr="00F16251">
        <w:rPr>
          <w:rFonts w:cstheme="minorHAnsi"/>
        </w:rPr>
        <w:t xml:space="preserve"> </w:t>
      </w:r>
      <w:r w:rsidRPr="00F16251">
        <w:rPr>
          <w:rFonts w:cstheme="minorHAnsi"/>
        </w:rPr>
        <w:t>reprezentuje</w:t>
      </w:r>
      <w:r w:rsidR="003B50ED" w:rsidRPr="00F16251">
        <w:rPr>
          <w:rFonts w:cstheme="minorHAnsi"/>
        </w:rPr>
        <w:t xml:space="preserve"> </w:t>
      </w:r>
      <w:r w:rsidRPr="00F16251">
        <w:rPr>
          <w:rFonts w:cstheme="minorHAnsi"/>
        </w:rPr>
        <w:t>wnioskodawcę,</w:t>
      </w:r>
      <w:r w:rsidR="003B50ED" w:rsidRPr="00F16251">
        <w:rPr>
          <w:rFonts w:cstheme="minorHAnsi"/>
        </w:rPr>
        <w:t xml:space="preserve"> </w:t>
      </w:r>
      <w:r w:rsidRPr="00F16251">
        <w:rPr>
          <w:rFonts w:cstheme="minorHAnsi"/>
        </w:rPr>
        <w:t>zachodzi</w:t>
      </w:r>
      <w:r w:rsidR="003B50ED" w:rsidRPr="00F16251">
        <w:rPr>
          <w:rFonts w:cstheme="minorHAnsi"/>
        </w:rPr>
        <w:t xml:space="preserve"> </w:t>
      </w:r>
      <w:r w:rsidRPr="00F16251">
        <w:rPr>
          <w:rFonts w:cstheme="minorHAnsi"/>
        </w:rPr>
        <w:t>pomiędzy</w:t>
      </w:r>
      <w:r w:rsidR="003B50ED" w:rsidRPr="00F16251">
        <w:rPr>
          <w:rFonts w:cstheme="minorHAnsi"/>
        </w:rPr>
        <w:t xml:space="preserve"> </w:t>
      </w:r>
      <w:r w:rsidRPr="00F16251">
        <w:rPr>
          <w:rFonts w:cstheme="minorHAnsi"/>
        </w:rPr>
        <w:t>nim</w:t>
      </w:r>
      <w:r w:rsidR="003B50ED" w:rsidRPr="00F16251">
        <w:rPr>
          <w:rFonts w:cstheme="minorHAnsi"/>
        </w:rPr>
        <w:t xml:space="preserve"> </w:t>
      </w:r>
      <w:r w:rsidRPr="00F16251">
        <w:rPr>
          <w:rFonts w:cstheme="minorHAnsi"/>
        </w:rPr>
        <w:t>a</w:t>
      </w:r>
      <w:r w:rsidR="003B50ED" w:rsidRPr="00F16251">
        <w:rPr>
          <w:rFonts w:cstheme="minorHAnsi"/>
        </w:rPr>
        <w:t xml:space="preserve"> </w:t>
      </w:r>
      <w:r w:rsidRPr="00F16251">
        <w:rPr>
          <w:rFonts w:cstheme="minorHAnsi"/>
        </w:rPr>
        <w:t>wnioskodawcą</w:t>
      </w:r>
      <w:r w:rsidR="003B50ED" w:rsidRPr="00F16251">
        <w:rPr>
          <w:rFonts w:cstheme="minorHAnsi"/>
        </w:rPr>
        <w:t xml:space="preserve"> </w:t>
      </w:r>
      <w:r w:rsidRPr="00F16251">
        <w:rPr>
          <w:rFonts w:cstheme="minorHAnsi"/>
        </w:rPr>
        <w:t>stosunek</w:t>
      </w:r>
      <w:r w:rsidR="003B50ED" w:rsidRPr="00F16251">
        <w:rPr>
          <w:rFonts w:cstheme="minorHAnsi"/>
        </w:rPr>
        <w:t xml:space="preserve"> </w:t>
      </w:r>
      <w:r w:rsidRPr="00F16251">
        <w:rPr>
          <w:rFonts w:cstheme="minorHAnsi"/>
        </w:rPr>
        <w:t>bezpośredniej</w:t>
      </w:r>
      <w:r w:rsidR="003B50ED" w:rsidRPr="00F16251">
        <w:rPr>
          <w:rFonts w:cstheme="minorHAnsi"/>
        </w:rPr>
        <w:t xml:space="preserve"> </w:t>
      </w:r>
      <w:r w:rsidRPr="00F16251">
        <w:rPr>
          <w:rFonts w:cstheme="minorHAnsi"/>
        </w:rPr>
        <w:t>podległości</w:t>
      </w:r>
      <w:r w:rsidR="003B50ED" w:rsidRPr="00F16251">
        <w:rPr>
          <w:rFonts w:cstheme="minorHAnsi"/>
        </w:rPr>
        <w:t xml:space="preserve"> </w:t>
      </w:r>
      <w:r w:rsidRPr="00F16251">
        <w:rPr>
          <w:rFonts w:cstheme="minorHAnsi"/>
        </w:rPr>
        <w:t>służbowej,</w:t>
      </w:r>
      <w:r w:rsidR="003B50ED" w:rsidRPr="00F16251">
        <w:rPr>
          <w:rFonts w:cstheme="minorHAnsi"/>
        </w:rPr>
        <w:t xml:space="preserve"> </w:t>
      </w:r>
      <w:r w:rsidRPr="00F16251">
        <w:rPr>
          <w:rFonts w:cstheme="minorHAnsi"/>
        </w:rPr>
        <w:t>jest</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nim</w:t>
      </w:r>
      <w:r w:rsidR="003B50ED" w:rsidRPr="00F16251">
        <w:rPr>
          <w:rFonts w:cstheme="minorHAnsi"/>
        </w:rPr>
        <w:t xml:space="preserve"> </w:t>
      </w:r>
      <w:r w:rsidRPr="00F16251">
        <w:rPr>
          <w:rFonts w:cstheme="minorHAnsi"/>
        </w:rPr>
        <w:t>spokrewniony,</w:t>
      </w:r>
      <w:r w:rsidR="003B50ED" w:rsidRPr="00F16251">
        <w:rPr>
          <w:rFonts w:cstheme="minorHAnsi"/>
        </w:rPr>
        <w:t xml:space="preserve"> </w:t>
      </w:r>
      <w:r w:rsidRPr="00F16251">
        <w:rPr>
          <w:rFonts w:cstheme="minorHAnsi"/>
        </w:rPr>
        <w:t>jest</w:t>
      </w:r>
      <w:r w:rsidR="003B50ED" w:rsidRPr="00F16251">
        <w:rPr>
          <w:rFonts w:cstheme="minorHAnsi"/>
        </w:rPr>
        <w:t xml:space="preserve"> </w:t>
      </w:r>
      <w:r w:rsidRPr="00F16251">
        <w:rPr>
          <w:rFonts w:cstheme="minorHAnsi"/>
        </w:rPr>
        <w:t>osobą</w:t>
      </w:r>
      <w:r w:rsidR="003B50ED" w:rsidRPr="00F16251">
        <w:rPr>
          <w:rFonts w:cstheme="minorHAnsi"/>
        </w:rPr>
        <w:t xml:space="preserve"> </w:t>
      </w:r>
      <w:r w:rsidRPr="00F16251">
        <w:rPr>
          <w:rFonts w:cstheme="minorHAnsi"/>
        </w:rPr>
        <w:t>fizyczną</w:t>
      </w:r>
      <w:r w:rsidR="003B50ED" w:rsidRPr="00F16251">
        <w:rPr>
          <w:rFonts w:cstheme="minorHAnsi"/>
        </w:rPr>
        <w:t xml:space="preserve"> </w:t>
      </w:r>
      <w:r w:rsidRPr="00F16251">
        <w:rPr>
          <w:rFonts w:cstheme="minorHAnsi"/>
        </w:rPr>
        <w:t>reprezentującą</w:t>
      </w:r>
      <w:r w:rsidR="003B50ED" w:rsidRPr="00F16251">
        <w:rPr>
          <w:rFonts w:cstheme="minorHAnsi"/>
        </w:rPr>
        <w:t xml:space="preserve"> </w:t>
      </w:r>
      <w:r w:rsidRPr="00F16251">
        <w:rPr>
          <w:rFonts w:cstheme="minorHAnsi"/>
        </w:rPr>
        <w:t>przedsiębiorstwo</w:t>
      </w:r>
      <w:r w:rsidR="003B50ED" w:rsidRPr="00F16251">
        <w:rPr>
          <w:rFonts w:cstheme="minorHAnsi"/>
        </w:rPr>
        <w:t xml:space="preserve"> </w:t>
      </w:r>
      <w:r w:rsidRPr="00F16251">
        <w:rPr>
          <w:rFonts w:cstheme="minorHAnsi"/>
        </w:rPr>
        <w:t>powiązane</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przedsiębiorstwem</w:t>
      </w:r>
      <w:r w:rsidR="003B50ED" w:rsidRPr="00F16251">
        <w:rPr>
          <w:rFonts w:cstheme="minorHAnsi"/>
        </w:rPr>
        <w:t xml:space="preserve"> </w:t>
      </w:r>
      <w:r w:rsidRPr="00F16251">
        <w:rPr>
          <w:rFonts w:cstheme="minorHAnsi"/>
        </w:rPr>
        <w:t>reprezentowanym</w:t>
      </w:r>
      <w:r w:rsidR="003B50ED" w:rsidRPr="00F16251">
        <w:rPr>
          <w:rFonts w:cstheme="minorHAnsi"/>
        </w:rPr>
        <w:t xml:space="preserve"> </w:t>
      </w:r>
      <w:r w:rsidRPr="00F16251">
        <w:rPr>
          <w:rFonts w:cstheme="minorHAnsi"/>
        </w:rPr>
        <w:t>przez</w:t>
      </w:r>
      <w:r w:rsidR="003B50ED" w:rsidRPr="00F16251">
        <w:rPr>
          <w:rFonts w:cstheme="minorHAnsi"/>
        </w:rPr>
        <w:t xml:space="preserve"> </w:t>
      </w:r>
      <w:r w:rsidRPr="00F16251">
        <w:rPr>
          <w:rFonts w:cstheme="minorHAnsi"/>
        </w:rPr>
        <w:t>wnioskodawcę</w:t>
      </w:r>
      <w:r w:rsidR="003B50ED" w:rsidRPr="00F16251">
        <w:rPr>
          <w:rFonts w:cstheme="minorHAnsi"/>
        </w:rPr>
        <w:t xml:space="preserve"> </w:t>
      </w:r>
      <w:r w:rsidRPr="00F16251">
        <w:rPr>
          <w:rFonts w:cstheme="minorHAnsi"/>
        </w:rPr>
        <w:t>lub</w:t>
      </w:r>
      <w:r w:rsidR="003B50ED" w:rsidRPr="00F16251">
        <w:rPr>
          <w:rFonts w:cstheme="minorHAnsi"/>
        </w:rPr>
        <w:t xml:space="preserve"> </w:t>
      </w:r>
      <w:r w:rsidRPr="00F16251">
        <w:rPr>
          <w:rFonts w:cstheme="minorHAnsi"/>
        </w:rPr>
        <w:t>zgłosi</w:t>
      </w:r>
      <w:r w:rsidR="003B50ED" w:rsidRPr="00F16251">
        <w:rPr>
          <w:rFonts w:cstheme="minorHAnsi"/>
        </w:rPr>
        <w:t xml:space="preserve"> </w:t>
      </w:r>
      <w:r w:rsidRPr="00F16251">
        <w:rPr>
          <w:rFonts w:cstheme="minorHAnsi"/>
        </w:rPr>
        <w:t>inne</w:t>
      </w:r>
      <w:r w:rsidR="003B50ED" w:rsidRPr="00F16251">
        <w:rPr>
          <w:rFonts w:cstheme="minorHAnsi"/>
        </w:rPr>
        <w:t xml:space="preserve"> </w:t>
      </w:r>
      <w:r w:rsidRPr="00F16251">
        <w:rPr>
          <w:rFonts w:cstheme="minorHAnsi"/>
        </w:rPr>
        <w:t>powiązanie</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daną</w:t>
      </w:r>
      <w:r w:rsidR="003B50ED" w:rsidRPr="00F16251">
        <w:rPr>
          <w:rFonts w:cstheme="minorHAnsi"/>
        </w:rPr>
        <w:t xml:space="preserve"> </w:t>
      </w:r>
      <w:r w:rsidRPr="00F16251">
        <w:rPr>
          <w:rFonts w:cstheme="minorHAnsi"/>
        </w:rPr>
        <w:t>operacją</w:t>
      </w:r>
      <w:r w:rsidR="003B50ED" w:rsidRPr="00F16251">
        <w:rPr>
          <w:rFonts w:cstheme="minorHAnsi"/>
        </w:rPr>
        <w:t xml:space="preserve"> </w:t>
      </w:r>
      <w:r w:rsidRPr="00F16251">
        <w:rPr>
          <w:rFonts w:cstheme="minorHAnsi"/>
        </w:rPr>
        <w:t>lub</w:t>
      </w:r>
      <w:r w:rsidR="003B50ED" w:rsidRPr="00F16251">
        <w:rPr>
          <w:rFonts w:cstheme="minorHAnsi"/>
        </w:rPr>
        <w:t xml:space="preserve"> </w:t>
      </w:r>
      <w:r w:rsidRPr="00F16251">
        <w:rPr>
          <w:rFonts w:cstheme="minorHAnsi"/>
        </w:rPr>
        <w:t>co</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którego</w:t>
      </w:r>
      <w:r w:rsidR="003B50ED" w:rsidRPr="00F16251">
        <w:rPr>
          <w:rFonts w:cstheme="minorHAnsi"/>
        </w:rPr>
        <w:t xml:space="preserve"> </w:t>
      </w:r>
      <w:r w:rsidRPr="00F16251">
        <w:rPr>
          <w:rFonts w:cstheme="minorHAnsi"/>
        </w:rPr>
        <w:t>zachodzi</w:t>
      </w:r>
      <w:r w:rsidR="003B50ED" w:rsidRPr="00F16251">
        <w:rPr>
          <w:rFonts w:cstheme="minorHAnsi"/>
        </w:rPr>
        <w:t xml:space="preserve"> </w:t>
      </w:r>
      <w:r w:rsidRPr="00F16251">
        <w:rPr>
          <w:rFonts w:cstheme="minorHAnsi"/>
        </w:rPr>
        <w:t>podejrzenie</w:t>
      </w:r>
      <w:r w:rsidR="003B50ED" w:rsidRPr="00F16251">
        <w:rPr>
          <w:rFonts w:cstheme="minorHAnsi"/>
        </w:rPr>
        <w:t xml:space="preserve"> </w:t>
      </w:r>
      <w:r w:rsidRPr="00F16251">
        <w:rPr>
          <w:rFonts w:cstheme="minorHAnsi"/>
        </w:rPr>
        <w:t>stronniczości</w:t>
      </w:r>
      <w:r w:rsidR="003B50ED" w:rsidRPr="00F16251">
        <w:rPr>
          <w:rFonts w:cstheme="minorHAnsi"/>
        </w:rPr>
        <w:t xml:space="preserve"> </w:t>
      </w:r>
      <w:r w:rsidRPr="00F16251">
        <w:rPr>
          <w:rFonts w:cstheme="minorHAnsi"/>
        </w:rPr>
        <w:t>przy</w:t>
      </w:r>
      <w:r w:rsidR="003B50ED" w:rsidRPr="00F16251">
        <w:rPr>
          <w:rFonts w:cstheme="minorHAnsi"/>
        </w:rPr>
        <w:t xml:space="preserve"> </w:t>
      </w:r>
      <w:r w:rsidRPr="00F16251">
        <w:rPr>
          <w:rFonts w:cstheme="minorHAnsi"/>
        </w:rPr>
        <w:t>wyborze</w:t>
      </w:r>
      <w:r w:rsidR="003B50ED" w:rsidRPr="00F16251">
        <w:rPr>
          <w:rFonts w:cstheme="minorHAnsi"/>
        </w:rPr>
        <w:t xml:space="preserve"> </w:t>
      </w:r>
      <w:r w:rsidRPr="00F16251">
        <w:rPr>
          <w:rFonts w:cstheme="minorHAnsi"/>
        </w:rPr>
        <w:t>danej</w:t>
      </w:r>
      <w:r w:rsidR="003B50ED" w:rsidRPr="00F16251">
        <w:rPr>
          <w:rFonts w:cstheme="minorHAnsi"/>
        </w:rPr>
        <w:t xml:space="preserve"> </w:t>
      </w:r>
      <w:r w:rsidRPr="00F16251">
        <w:rPr>
          <w:rFonts w:cstheme="minorHAnsi"/>
        </w:rPr>
        <w:t>operacji,</w:t>
      </w:r>
      <w:r w:rsidR="003B50ED" w:rsidRPr="00F16251">
        <w:rPr>
          <w:rFonts w:cstheme="minorHAnsi"/>
        </w:rPr>
        <w:t xml:space="preserve"> </w:t>
      </w:r>
      <w:r w:rsidRPr="00F16251">
        <w:rPr>
          <w:rFonts w:cstheme="minorHAnsi"/>
        </w:rPr>
        <w:t>zostaje</w:t>
      </w:r>
      <w:r w:rsidR="003B50ED" w:rsidRPr="00F16251">
        <w:rPr>
          <w:rFonts w:cstheme="minorHAnsi"/>
        </w:rPr>
        <w:t xml:space="preserve"> </w:t>
      </w:r>
      <w:r w:rsidRPr="00F16251">
        <w:rPr>
          <w:rFonts w:cstheme="minorHAnsi"/>
        </w:rPr>
        <w:t>wykluczony</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tego</w:t>
      </w:r>
      <w:r w:rsidR="003B50ED" w:rsidRPr="00F16251">
        <w:rPr>
          <w:rFonts w:cstheme="minorHAnsi"/>
        </w:rPr>
        <w:t xml:space="preserve"> </w:t>
      </w:r>
      <w:r w:rsidRPr="00F16251">
        <w:rPr>
          <w:rFonts w:cstheme="minorHAnsi"/>
        </w:rPr>
        <w:t>wyboru.</w:t>
      </w:r>
      <w:r w:rsidR="003B50ED" w:rsidRPr="00F16251">
        <w:rPr>
          <w:rFonts w:cstheme="minorHAnsi"/>
        </w:rPr>
        <w:t xml:space="preserve"> </w:t>
      </w:r>
    </w:p>
    <w:p w14:paraId="63EB20A9" w14:textId="534162B4" w:rsidR="0024741D" w:rsidRPr="00F16251" w:rsidRDefault="0024741D" w:rsidP="00A26C26">
      <w:pPr>
        <w:spacing w:line="276" w:lineRule="auto"/>
        <w:ind w:firstLine="284"/>
        <w:jc w:val="both"/>
        <w:rPr>
          <w:rFonts w:cstheme="minorHAnsi"/>
        </w:rPr>
      </w:pPr>
      <w:r w:rsidRPr="00F16251">
        <w:rPr>
          <w:rFonts w:cstheme="minorHAnsi"/>
        </w:rPr>
        <w:t>Regulamin</w:t>
      </w:r>
      <w:r w:rsidR="003B50ED" w:rsidRPr="00F16251">
        <w:rPr>
          <w:rFonts w:cstheme="minorHAnsi"/>
        </w:rPr>
        <w:t xml:space="preserve"> </w:t>
      </w:r>
      <w:r w:rsidRPr="00F16251">
        <w:rPr>
          <w:rFonts w:cstheme="minorHAnsi"/>
        </w:rPr>
        <w:t>zakłada</w:t>
      </w:r>
      <w:r w:rsidR="003B50ED" w:rsidRPr="00F16251">
        <w:rPr>
          <w:rFonts w:cstheme="minorHAnsi"/>
        </w:rPr>
        <w:t xml:space="preserve"> </w:t>
      </w:r>
      <w:r w:rsidRPr="00F16251">
        <w:rPr>
          <w:rFonts w:cstheme="minorHAnsi"/>
        </w:rPr>
        <w:t>ponadto</w:t>
      </w:r>
      <w:r w:rsidR="003B50ED" w:rsidRPr="00F16251">
        <w:rPr>
          <w:rFonts w:cstheme="minorHAnsi"/>
        </w:rPr>
        <w:t xml:space="preserve"> </w:t>
      </w:r>
      <w:r w:rsidRPr="00F16251">
        <w:rPr>
          <w:rFonts w:cstheme="minorHAnsi"/>
        </w:rPr>
        <w:t>obowiązek</w:t>
      </w:r>
      <w:r w:rsidR="003B50ED" w:rsidRPr="00F16251">
        <w:rPr>
          <w:rFonts w:cstheme="minorHAnsi"/>
        </w:rPr>
        <w:t xml:space="preserve"> </w:t>
      </w:r>
      <w:r w:rsidRPr="00F16251">
        <w:rPr>
          <w:rFonts w:cstheme="minorHAnsi"/>
        </w:rPr>
        <w:t>wyłączenia</w:t>
      </w:r>
      <w:r w:rsidR="003B50ED" w:rsidRPr="00F16251">
        <w:rPr>
          <w:rFonts w:cstheme="minorHAnsi"/>
        </w:rPr>
        <w:t xml:space="preserve"> </w:t>
      </w:r>
      <w:r w:rsidRPr="00F16251">
        <w:rPr>
          <w:rFonts w:cstheme="minorHAnsi"/>
        </w:rPr>
        <w:t>członków</w:t>
      </w:r>
      <w:r w:rsidR="003B50ED" w:rsidRPr="00F16251">
        <w:rPr>
          <w:rFonts w:cstheme="minorHAnsi"/>
        </w:rPr>
        <w:t xml:space="preserve"> </w:t>
      </w:r>
      <w:r w:rsidRPr="00F16251">
        <w:rPr>
          <w:rFonts w:cstheme="minorHAnsi"/>
        </w:rPr>
        <w:t>Rady</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przypadku</w:t>
      </w:r>
      <w:r w:rsidR="003B50ED" w:rsidRPr="00F16251">
        <w:rPr>
          <w:rFonts w:cstheme="minorHAnsi"/>
        </w:rPr>
        <w:t xml:space="preserve"> </w:t>
      </w:r>
      <w:r w:rsidRPr="00F16251">
        <w:rPr>
          <w:rFonts w:cstheme="minorHAnsi"/>
        </w:rPr>
        <w:t>stwierdzenia</w:t>
      </w:r>
      <w:r w:rsidR="003B50ED" w:rsidRPr="00F16251">
        <w:rPr>
          <w:rFonts w:cstheme="minorHAnsi"/>
        </w:rPr>
        <w:t xml:space="preserve"> </w:t>
      </w:r>
      <w:r w:rsidRPr="00F16251">
        <w:rPr>
          <w:rFonts w:cstheme="minorHAnsi"/>
        </w:rPr>
        <w:t>innych</w:t>
      </w:r>
      <w:r w:rsidR="003B50ED" w:rsidRPr="00F16251">
        <w:rPr>
          <w:rFonts w:cstheme="minorHAnsi"/>
        </w:rPr>
        <w:t xml:space="preserve"> </w:t>
      </w:r>
      <w:r w:rsidRPr="00F16251">
        <w:rPr>
          <w:rFonts w:cstheme="minorHAnsi"/>
        </w:rPr>
        <w:t>powiązań.</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podstawie</w:t>
      </w:r>
      <w:r w:rsidR="003B50ED" w:rsidRPr="00F16251">
        <w:rPr>
          <w:rFonts w:cstheme="minorHAnsi"/>
        </w:rPr>
        <w:t xml:space="preserve"> </w:t>
      </w:r>
      <w:r w:rsidRPr="00F16251">
        <w:rPr>
          <w:rFonts w:cstheme="minorHAnsi"/>
        </w:rPr>
        <w:t>deklaracji,</w:t>
      </w:r>
      <w:r w:rsidR="003B50ED" w:rsidRPr="00F16251">
        <w:rPr>
          <w:rFonts w:cstheme="minorHAnsi"/>
        </w:rPr>
        <w:t xml:space="preserve"> </w:t>
      </w:r>
      <w:r w:rsidRPr="00F16251">
        <w:rPr>
          <w:rFonts w:cstheme="minorHAnsi"/>
        </w:rPr>
        <w:t>Przewodniczący</w:t>
      </w:r>
      <w:r w:rsidR="003B50ED" w:rsidRPr="00F16251">
        <w:rPr>
          <w:rFonts w:cstheme="minorHAnsi"/>
        </w:rPr>
        <w:t xml:space="preserve"> </w:t>
      </w:r>
      <w:r w:rsidRPr="00F16251">
        <w:rPr>
          <w:rFonts w:cstheme="minorHAnsi"/>
        </w:rPr>
        <w:t>Rady</w:t>
      </w:r>
      <w:r w:rsidR="003B50ED" w:rsidRPr="00F16251">
        <w:rPr>
          <w:rFonts w:cstheme="minorHAnsi"/>
        </w:rPr>
        <w:t xml:space="preserve"> </w:t>
      </w:r>
      <w:r w:rsidRPr="00F16251">
        <w:rPr>
          <w:rFonts w:cstheme="minorHAnsi"/>
        </w:rPr>
        <w:t>wraz</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Sekretarzem</w:t>
      </w:r>
      <w:r w:rsidR="003B50ED" w:rsidRPr="00F16251">
        <w:rPr>
          <w:rFonts w:cstheme="minorHAnsi"/>
        </w:rPr>
        <w:t xml:space="preserve"> </w:t>
      </w:r>
      <w:r w:rsidRPr="00F16251">
        <w:rPr>
          <w:rFonts w:cstheme="minorHAnsi"/>
        </w:rPr>
        <w:t>Rady</w:t>
      </w:r>
      <w:r w:rsidR="003B50ED" w:rsidRPr="00F16251">
        <w:rPr>
          <w:rFonts w:cstheme="minorHAnsi"/>
        </w:rPr>
        <w:t xml:space="preserve"> </w:t>
      </w:r>
      <w:r w:rsidRPr="00F16251">
        <w:rPr>
          <w:rFonts w:cstheme="minorHAnsi"/>
        </w:rPr>
        <w:t>kontroluje</w:t>
      </w:r>
      <w:r w:rsidR="003B50ED" w:rsidRPr="00F16251">
        <w:rPr>
          <w:rFonts w:cstheme="minorHAnsi"/>
        </w:rPr>
        <w:t xml:space="preserve"> </w:t>
      </w:r>
      <w:r w:rsidRPr="00F16251">
        <w:rPr>
          <w:rFonts w:cstheme="minorHAnsi"/>
        </w:rPr>
        <w:t>czy</w:t>
      </w:r>
      <w:r w:rsidR="003B50ED" w:rsidRPr="00F16251">
        <w:rPr>
          <w:rFonts w:cstheme="minorHAnsi"/>
        </w:rPr>
        <w:t xml:space="preserve"> </w:t>
      </w:r>
      <w:r w:rsidRPr="00F16251">
        <w:rPr>
          <w:rFonts w:cstheme="minorHAnsi"/>
        </w:rPr>
        <w:t>skład</w:t>
      </w:r>
      <w:r w:rsidR="003B50ED" w:rsidRPr="00F16251">
        <w:rPr>
          <w:rFonts w:cstheme="minorHAnsi"/>
        </w:rPr>
        <w:t xml:space="preserve"> </w:t>
      </w:r>
      <w:r w:rsidRPr="00F16251">
        <w:rPr>
          <w:rFonts w:cstheme="minorHAnsi"/>
        </w:rPr>
        <w:t>rady</w:t>
      </w:r>
      <w:r w:rsidR="003B50ED" w:rsidRPr="00F16251">
        <w:rPr>
          <w:rFonts w:cstheme="minorHAnsi"/>
        </w:rPr>
        <w:t xml:space="preserve"> </w:t>
      </w:r>
      <w:r w:rsidRPr="00F16251">
        <w:rPr>
          <w:rFonts w:cstheme="minorHAnsi"/>
        </w:rPr>
        <w:t>obecny</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posiedzeniu</w:t>
      </w:r>
      <w:r w:rsidR="003B50ED" w:rsidRPr="00F16251">
        <w:rPr>
          <w:rFonts w:cstheme="minorHAnsi"/>
        </w:rPr>
        <w:t xml:space="preserve"> </w:t>
      </w:r>
      <w:r w:rsidRPr="00F16251">
        <w:rPr>
          <w:rFonts w:cstheme="minorHAnsi"/>
        </w:rPr>
        <w:t>pozwala</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zachowanie</w:t>
      </w:r>
      <w:r w:rsidR="003B50ED" w:rsidRPr="00F16251">
        <w:rPr>
          <w:rFonts w:cstheme="minorHAnsi"/>
        </w:rPr>
        <w:t xml:space="preserve"> </w:t>
      </w:r>
      <w:r w:rsidRPr="00F16251">
        <w:rPr>
          <w:rFonts w:cstheme="minorHAnsi"/>
        </w:rPr>
        <w:t>parytetów.</w:t>
      </w:r>
      <w:r w:rsidR="003B50ED" w:rsidRPr="00F16251">
        <w:rPr>
          <w:rFonts w:cstheme="minorHAnsi"/>
        </w:rPr>
        <w:t xml:space="preserve"> </w:t>
      </w:r>
    </w:p>
    <w:p w14:paraId="2260C1D1" w14:textId="7B4E02C7" w:rsidR="0024741D" w:rsidRPr="00F16251" w:rsidRDefault="0024741D" w:rsidP="00A26C26">
      <w:pPr>
        <w:spacing w:line="276" w:lineRule="auto"/>
        <w:ind w:firstLine="284"/>
        <w:jc w:val="both"/>
        <w:rPr>
          <w:rFonts w:cstheme="minorHAnsi"/>
        </w:rPr>
      </w:pPr>
      <w:r w:rsidRPr="00F16251">
        <w:rPr>
          <w:rFonts w:cstheme="minorHAnsi"/>
        </w:rPr>
        <w:t>Dla</w:t>
      </w:r>
      <w:r w:rsidR="003B50ED" w:rsidRPr="00F16251">
        <w:rPr>
          <w:rFonts w:cstheme="minorHAnsi"/>
        </w:rPr>
        <w:t xml:space="preserve"> </w:t>
      </w:r>
      <w:r w:rsidRPr="00F16251">
        <w:rPr>
          <w:rFonts w:cstheme="minorHAnsi"/>
        </w:rPr>
        <w:t>zapewnienia</w:t>
      </w:r>
      <w:r w:rsidR="003B50ED" w:rsidRPr="00F16251">
        <w:rPr>
          <w:rFonts w:cstheme="minorHAnsi"/>
        </w:rPr>
        <w:t xml:space="preserve"> </w:t>
      </w:r>
      <w:r w:rsidRPr="00F16251">
        <w:rPr>
          <w:rFonts w:cstheme="minorHAnsi"/>
        </w:rPr>
        <w:t>prawidłowości</w:t>
      </w:r>
      <w:r w:rsidR="003B50ED" w:rsidRPr="00F16251">
        <w:rPr>
          <w:rFonts w:cstheme="minorHAnsi"/>
        </w:rPr>
        <w:t xml:space="preserve"> </w:t>
      </w:r>
      <w:r w:rsidRPr="00F16251">
        <w:rPr>
          <w:rFonts w:cstheme="minorHAnsi"/>
        </w:rPr>
        <w:t>wyborów</w:t>
      </w:r>
      <w:r w:rsidR="003B50ED" w:rsidRPr="00F16251">
        <w:rPr>
          <w:rFonts w:cstheme="minorHAnsi"/>
        </w:rPr>
        <w:t xml:space="preserve"> </w:t>
      </w:r>
      <w:r w:rsidRPr="00F16251">
        <w:rPr>
          <w:rFonts w:cstheme="minorHAnsi"/>
        </w:rPr>
        <w:t>dokon</w:t>
      </w:r>
      <w:r w:rsidR="00B50849" w:rsidRPr="00F16251">
        <w:rPr>
          <w:rFonts w:cstheme="minorHAnsi"/>
        </w:rPr>
        <w:t>yw</w:t>
      </w:r>
      <w:r w:rsidRPr="00F16251">
        <w:rPr>
          <w:rFonts w:cstheme="minorHAnsi"/>
        </w:rPr>
        <w:t>anych</w:t>
      </w:r>
      <w:r w:rsidR="003B50ED" w:rsidRPr="00F16251">
        <w:rPr>
          <w:rFonts w:cstheme="minorHAnsi"/>
        </w:rPr>
        <w:t xml:space="preserve"> </w:t>
      </w:r>
      <w:r w:rsidRPr="00F16251">
        <w:rPr>
          <w:rFonts w:cstheme="minorHAnsi"/>
        </w:rPr>
        <w:t>przez</w:t>
      </w:r>
      <w:r w:rsidR="003B50ED" w:rsidRPr="00F16251">
        <w:rPr>
          <w:rFonts w:cstheme="minorHAnsi"/>
        </w:rPr>
        <w:t xml:space="preserve"> </w:t>
      </w:r>
      <w:r w:rsidRPr="00F16251">
        <w:rPr>
          <w:rFonts w:cstheme="minorHAnsi"/>
        </w:rPr>
        <w:t>członków</w:t>
      </w:r>
      <w:r w:rsidR="003B50ED" w:rsidRPr="00F16251">
        <w:rPr>
          <w:rFonts w:cstheme="minorHAnsi"/>
        </w:rPr>
        <w:t xml:space="preserve"> </w:t>
      </w:r>
      <w:r w:rsidRPr="00F16251">
        <w:rPr>
          <w:rFonts w:cstheme="minorHAnsi"/>
        </w:rPr>
        <w:t>Rady</w:t>
      </w:r>
      <w:r w:rsidR="00B50849" w:rsidRPr="00F16251">
        <w:rPr>
          <w:rFonts w:cstheme="minorHAnsi"/>
        </w:rPr>
        <w:t>,</w:t>
      </w:r>
      <w:r w:rsidR="003B50ED" w:rsidRPr="00F16251">
        <w:rPr>
          <w:rFonts w:cstheme="minorHAnsi"/>
        </w:rPr>
        <w:t xml:space="preserve"> </w:t>
      </w:r>
      <w:r w:rsidR="00B50849" w:rsidRPr="00F16251">
        <w:rPr>
          <w:rFonts w:cstheme="minorHAnsi"/>
        </w:rPr>
        <w:t xml:space="preserve">wprowadzono </w:t>
      </w:r>
      <w:r w:rsidRPr="00F16251">
        <w:rPr>
          <w:rFonts w:cstheme="minorHAnsi"/>
        </w:rPr>
        <w:t>działania</w:t>
      </w:r>
      <w:r w:rsidR="003B50ED" w:rsidRPr="00F16251">
        <w:rPr>
          <w:rFonts w:cstheme="minorHAnsi"/>
        </w:rPr>
        <w:t xml:space="preserve"> </w:t>
      </w:r>
      <w:r w:rsidRPr="00F16251">
        <w:rPr>
          <w:rFonts w:cstheme="minorHAnsi"/>
        </w:rPr>
        <w:t>dyscyplinujące</w:t>
      </w:r>
      <w:r w:rsidR="003B50ED" w:rsidRPr="00F16251">
        <w:rPr>
          <w:rFonts w:cstheme="minorHAnsi"/>
        </w:rPr>
        <w:t xml:space="preserve"> </w:t>
      </w:r>
      <w:r w:rsidR="00B50849" w:rsidRPr="00F16251">
        <w:rPr>
          <w:rFonts w:cstheme="minorHAnsi"/>
        </w:rPr>
        <w:t>określone w Regulaminie</w:t>
      </w:r>
      <w:r w:rsidRPr="00F16251">
        <w:rPr>
          <w:rFonts w:cstheme="minorHAnsi"/>
        </w:rPr>
        <w:t>.</w:t>
      </w:r>
    </w:p>
    <w:p w14:paraId="045FCAAC" w14:textId="09572D0A" w:rsidR="00182CE8" w:rsidRPr="00F16251" w:rsidRDefault="00AB742D" w:rsidP="00A26C26">
      <w:pPr>
        <w:spacing w:line="276" w:lineRule="auto"/>
        <w:ind w:firstLine="284"/>
        <w:jc w:val="both"/>
        <w:rPr>
          <w:rFonts w:cstheme="minorHAnsi"/>
        </w:rPr>
      </w:pPr>
      <w:r w:rsidRPr="00F16251">
        <w:rPr>
          <w:rFonts w:cstheme="minorHAnsi"/>
        </w:rPr>
        <w:t>D</w:t>
      </w:r>
      <w:r w:rsidR="00787110" w:rsidRPr="00F16251">
        <w:rPr>
          <w:rFonts w:cstheme="minorHAnsi"/>
        </w:rPr>
        <w:t>zięki</w:t>
      </w:r>
      <w:r w:rsidR="003B50ED" w:rsidRPr="00F16251">
        <w:rPr>
          <w:rFonts w:cstheme="minorHAnsi"/>
        </w:rPr>
        <w:t xml:space="preserve"> </w:t>
      </w:r>
      <w:r w:rsidR="00590E23" w:rsidRPr="00F16251">
        <w:rPr>
          <w:rFonts w:cstheme="minorHAnsi"/>
        </w:rPr>
        <w:t>planowi</w:t>
      </w:r>
      <w:r w:rsidR="003B50ED" w:rsidRPr="00F16251">
        <w:rPr>
          <w:rFonts w:cstheme="minorHAnsi"/>
        </w:rPr>
        <w:t xml:space="preserve"> </w:t>
      </w:r>
      <w:r w:rsidR="00590E23" w:rsidRPr="00F16251">
        <w:rPr>
          <w:rFonts w:cstheme="minorHAnsi"/>
        </w:rPr>
        <w:t>szkoleń</w:t>
      </w:r>
      <w:r w:rsidR="003B50ED" w:rsidRPr="00F16251">
        <w:rPr>
          <w:rFonts w:cstheme="minorHAnsi"/>
        </w:rPr>
        <w:t xml:space="preserve"> </w:t>
      </w:r>
      <w:r w:rsidR="00590E23" w:rsidRPr="00F16251">
        <w:rPr>
          <w:rFonts w:cstheme="minorHAnsi"/>
        </w:rPr>
        <w:t>dla</w:t>
      </w:r>
      <w:r w:rsidR="003B50ED" w:rsidRPr="00F16251">
        <w:rPr>
          <w:rFonts w:cstheme="minorHAnsi"/>
        </w:rPr>
        <w:t xml:space="preserve"> </w:t>
      </w:r>
      <w:r w:rsidR="00590E23" w:rsidRPr="00F16251">
        <w:rPr>
          <w:rFonts w:cstheme="minorHAnsi"/>
        </w:rPr>
        <w:t>członków</w:t>
      </w:r>
      <w:r w:rsidR="003B50ED" w:rsidRPr="00F16251">
        <w:rPr>
          <w:rFonts w:cstheme="minorHAnsi"/>
        </w:rPr>
        <w:t xml:space="preserve"> </w:t>
      </w:r>
      <w:r w:rsidR="00590E23" w:rsidRPr="00F16251">
        <w:rPr>
          <w:rFonts w:cstheme="minorHAnsi"/>
        </w:rPr>
        <w:t>Rady</w:t>
      </w:r>
      <w:r w:rsidR="003B50ED" w:rsidRPr="00F16251">
        <w:rPr>
          <w:rFonts w:cstheme="minorHAnsi"/>
        </w:rPr>
        <w:t xml:space="preserve"> </w:t>
      </w:r>
      <w:r w:rsidR="00590E23" w:rsidRPr="00F16251">
        <w:rPr>
          <w:rFonts w:cstheme="minorHAnsi"/>
        </w:rPr>
        <w:t>z</w:t>
      </w:r>
      <w:r w:rsidR="003B50ED" w:rsidRPr="00F16251">
        <w:rPr>
          <w:rFonts w:cstheme="minorHAnsi"/>
        </w:rPr>
        <w:t xml:space="preserve"> </w:t>
      </w:r>
      <w:r w:rsidR="00590E23" w:rsidRPr="00F16251">
        <w:rPr>
          <w:rFonts w:cstheme="minorHAnsi"/>
        </w:rPr>
        <w:t>zakresu</w:t>
      </w:r>
      <w:r w:rsidR="003B50ED" w:rsidRPr="00F16251">
        <w:rPr>
          <w:rFonts w:cstheme="minorHAnsi"/>
        </w:rPr>
        <w:t xml:space="preserve"> </w:t>
      </w:r>
      <w:r w:rsidR="0024741D" w:rsidRPr="00F16251">
        <w:rPr>
          <w:rFonts w:cstheme="minorHAnsi"/>
        </w:rPr>
        <w:t>oceny</w:t>
      </w:r>
      <w:r w:rsidR="003B50ED" w:rsidRPr="00F16251">
        <w:rPr>
          <w:rFonts w:cstheme="minorHAnsi"/>
        </w:rPr>
        <w:t xml:space="preserve"> </w:t>
      </w:r>
      <w:r w:rsidR="0024741D" w:rsidRPr="00F16251">
        <w:rPr>
          <w:rFonts w:cstheme="minorHAnsi"/>
        </w:rPr>
        <w:t>wniosków,</w:t>
      </w:r>
      <w:r w:rsidR="003B50ED" w:rsidRPr="00F16251">
        <w:rPr>
          <w:rFonts w:cstheme="minorHAnsi"/>
        </w:rPr>
        <w:t xml:space="preserve"> </w:t>
      </w:r>
      <w:r w:rsidR="0024741D" w:rsidRPr="00F16251">
        <w:rPr>
          <w:rFonts w:cstheme="minorHAnsi"/>
        </w:rPr>
        <w:t>procedur</w:t>
      </w:r>
      <w:r w:rsidR="003B50ED" w:rsidRPr="00F16251">
        <w:rPr>
          <w:rFonts w:cstheme="minorHAnsi"/>
        </w:rPr>
        <w:t xml:space="preserve"> </w:t>
      </w:r>
      <w:r w:rsidR="0024741D" w:rsidRPr="00F16251">
        <w:rPr>
          <w:rFonts w:cstheme="minorHAnsi"/>
        </w:rPr>
        <w:t>oraz</w:t>
      </w:r>
      <w:r w:rsidR="003B50ED" w:rsidRPr="00F16251">
        <w:rPr>
          <w:rFonts w:cstheme="minorHAnsi"/>
        </w:rPr>
        <w:t xml:space="preserve"> </w:t>
      </w:r>
      <w:r w:rsidR="0024741D" w:rsidRPr="00F16251">
        <w:rPr>
          <w:rFonts w:cstheme="minorHAnsi"/>
        </w:rPr>
        <w:t>zakresu</w:t>
      </w:r>
      <w:r w:rsidR="003B50ED" w:rsidRPr="00F16251">
        <w:rPr>
          <w:rFonts w:cstheme="minorHAnsi"/>
        </w:rPr>
        <w:t xml:space="preserve"> </w:t>
      </w:r>
      <w:r w:rsidR="0024741D" w:rsidRPr="00F16251">
        <w:rPr>
          <w:rFonts w:cstheme="minorHAnsi"/>
        </w:rPr>
        <w:t>wsparcia</w:t>
      </w:r>
      <w:r w:rsidR="003B50ED" w:rsidRPr="00F16251">
        <w:rPr>
          <w:rFonts w:cstheme="minorHAnsi"/>
        </w:rPr>
        <w:t xml:space="preserve"> </w:t>
      </w:r>
      <w:r w:rsidR="0024741D" w:rsidRPr="00F16251">
        <w:rPr>
          <w:rFonts w:cstheme="minorHAnsi"/>
        </w:rPr>
        <w:t>udzielanego</w:t>
      </w:r>
      <w:r w:rsidR="003B50ED" w:rsidRPr="00F16251">
        <w:rPr>
          <w:rFonts w:cstheme="minorHAnsi"/>
        </w:rPr>
        <w:t xml:space="preserve"> </w:t>
      </w:r>
      <w:r w:rsidR="0024741D" w:rsidRPr="00F16251">
        <w:rPr>
          <w:rFonts w:cstheme="minorHAnsi"/>
        </w:rPr>
        <w:t>beneficjentom</w:t>
      </w:r>
      <w:r w:rsidR="003B50ED" w:rsidRPr="00F16251">
        <w:rPr>
          <w:rFonts w:cstheme="minorHAnsi"/>
        </w:rPr>
        <w:t xml:space="preserve"> </w:t>
      </w:r>
      <w:r w:rsidR="0024741D" w:rsidRPr="00F16251">
        <w:rPr>
          <w:rFonts w:cstheme="minorHAnsi"/>
        </w:rPr>
        <w:t>w</w:t>
      </w:r>
      <w:r w:rsidR="003B50ED" w:rsidRPr="00F16251">
        <w:rPr>
          <w:rFonts w:cstheme="minorHAnsi"/>
        </w:rPr>
        <w:t xml:space="preserve"> </w:t>
      </w:r>
      <w:r w:rsidR="0024741D" w:rsidRPr="00F16251">
        <w:rPr>
          <w:rFonts w:cstheme="minorHAnsi"/>
        </w:rPr>
        <w:t>ramach</w:t>
      </w:r>
      <w:r w:rsidR="003B50ED" w:rsidRPr="00F16251">
        <w:rPr>
          <w:rFonts w:cstheme="minorHAnsi"/>
        </w:rPr>
        <w:t xml:space="preserve"> </w:t>
      </w:r>
      <w:r w:rsidR="0024741D" w:rsidRPr="00F16251">
        <w:rPr>
          <w:rFonts w:cstheme="minorHAnsi"/>
        </w:rPr>
        <w:t>LSR,</w:t>
      </w:r>
      <w:r w:rsidR="003B50ED" w:rsidRPr="00F16251">
        <w:rPr>
          <w:rFonts w:cstheme="minorHAnsi"/>
        </w:rPr>
        <w:t xml:space="preserve"> </w:t>
      </w:r>
      <w:r w:rsidR="0024741D" w:rsidRPr="00F16251">
        <w:rPr>
          <w:rFonts w:cstheme="minorHAnsi"/>
        </w:rPr>
        <w:t>gwarantuje</w:t>
      </w:r>
      <w:r w:rsidR="003B50ED" w:rsidRPr="00F16251">
        <w:rPr>
          <w:rFonts w:cstheme="minorHAnsi"/>
        </w:rPr>
        <w:t xml:space="preserve"> </w:t>
      </w:r>
      <w:r w:rsidR="00787110" w:rsidRPr="00F16251">
        <w:rPr>
          <w:rFonts w:cstheme="minorHAnsi"/>
        </w:rPr>
        <w:t>beneficjentom,</w:t>
      </w:r>
      <w:r w:rsidR="003B50ED" w:rsidRPr="00F16251">
        <w:rPr>
          <w:rFonts w:cstheme="minorHAnsi"/>
        </w:rPr>
        <w:t xml:space="preserve"> </w:t>
      </w:r>
      <w:r w:rsidR="00787110" w:rsidRPr="00F16251">
        <w:rPr>
          <w:rFonts w:cstheme="minorHAnsi"/>
        </w:rPr>
        <w:t>że</w:t>
      </w:r>
      <w:r w:rsidR="003B50ED" w:rsidRPr="00F16251">
        <w:rPr>
          <w:rFonts w:cstheme="minorHAnsi"/>
        </w:rPr>
        <w:t xml:space="preserve"> </w:t>
      </w:r>
      <w:r w:rsidR="00787110" w:rsidRPr="00F16251">
        <w:rPr>
          <w:rFonts w:cstheme="minorHAnsi"/>
        </w:rPr>
        <w:t>każdy</w:t>
      </w:r>
      <w:r w:rsidR="003B50ED" w:rsidRPr="00F16251">
        <w:rPr>
          <w:rFonts w:cstheme="minorHAnsi"/>
        </w:rPr>
        <w:t xml:space="preserve"> </w:t>
      </w:r>
      <w:r w:rsidR="00787110" w:rsidRPr="00F16251">
        <w:rPr>
          <w:rFonts w:cstheme="minorHAnsi"/>
        </w:rPr>
        <w:t>wniosek</w:t>
      </w:r>
      <w:r w:rsidR="003B50ED" w:rsidRPr="00F16251">
        <w:rPr>
          <w:rFonts w:cstheme="minorHAnsi"/>
        </w:rPr>
        <w:t xml:space="preserve"> </w:t>
      </w:r>
      <w:r w:rsidR="00787110" w:rsidRPr="00F16251">
        <w:rPr>
          <w:rFonts w:cstheme="minorHAnsi"/>
        </w:rPr>
        <w:t>zostanie</w:t>
      </w:r>
      <w:r w:rsidR="003B50ED" w:rsidRPr="00F16251">
        <w:rPr>
          <w:rFonts w:cstheme="minorHAnsi"/>
        </w:rPr>
        <w:t xml:space="preserve"> </w:t>
      </w:r>
      <w:r w:rsidR="00787110" w:rsidRPr="00F16251">
        <w:rPr>
          <w:rFonts w:cstheme="minorHAnsi"/>
        </w:rPr>
        <w:t>oceniony</w:t>
      </w:r>
      <w:r w:rsidR="003B50ED" w:rsidRPr="00F16251">
        <w:rPr>
          <w:rFonts w:cstheme="minorHAnsi"/>
        </w:rPr>
        <w:t xml:space="preserve"> </w:t>
      </w:r>
      <w:r w:rsidR="00787110" w:rsidRPr="00F16251">
        <w:rPr>
          <w:rFonts w:cstheme="minorHAnsi"/>
        </w:rPr>
        <w:t>przez</w:t>
      </w:r>
      <w:r w:rsidR="003B50ED" w:rsidRPr="00F16251">
        <w:rPr>
          <w:rFonts w:cstheme="minorHAnsi"/>
        </w:rPr>
        <w:t xml:space="preserve"> </w:t>
      </w:r>
      <w:r w:rsidR="00787110" w:rsidRPr="00F16251">
        <w:rPr>
          <w:rFonts w:cstheme="minorHAnsi"/>
        </w:rPr>
        <w:t>zespół</w:t>
      </w:r>
      <w:r w:rsidR="003B50ED" w:rsidRPr="00F16251">
        <w:rPr>
          <w:rFonts w:cstheme="minorHAnsi"/>
        </w:rPr>
        <w:t xml:space="preserve"> </w:t>
      </w:r>
      <w:r w:rsidR="00787110" w:rsidRPr="00F16251">
        <w:rPr>
          <w:rFonts w:cstheme="minorHAnsi"/>
        </w:rPr>
        <w:t>ludzi</w:t>
      </w:r>
      <w:r w:rsidR="003B50ED" w:rsidRPr="00F16251">
        <w:rPr>
          <w:rFonts w:cstheme="minorHAnsi"/>
        </w:rPr>
        <w:t xml:space="preserve"> </w:t>
      </w:r>
      <w:r w:rsidR="00787110" w:rsidRPr="00F16251">
        <w:rPr>
          <w:rFonts w:cstheme="minorHAnsi"/>
        </w:rPr>
        <w:t>merytorycznie</w:t>
      </w:r>
      <w:r w:rsidR="003B50ED" w:rsidRPr="00F16251">
        <w:rPr>
          <w:rFonts w:cstheme="minorHAnsi"/>
        </w:rPr>
        <w:t xml:space="preserve"> </w:t>
      </w:r>
      <w:r w:rsidR="00787110" w:rsidRPr="00F16251">
        <w:rPr>
          <w:rFonts w:cstheme="minorHAnsi"/>
        </w:rPr>
        <w:t>do</w:t>
      </w:r>
      <w:r w:rsidR="003B50ED" w:rsidRPr="00F16251">
        <w:rPr>
          <w:rFonts w:cstheme="minorHAnsi"/>
        </w:rPr>
        <w:t xml:space="preserve"> </w:t>
      </w:r>
      <w:r w:rsidR="00787110" w:rsidRPr="00F16251">
        <w:rPr>
          <w:rFonts w:cstheme="minorHAnsi"/>
        </w:rPr>
        <w:t>tego</w:t>
      </w:r>
      <w:r w:rsidR="003B50ED" w:rsidRPr="00F16251">
        <w:rPr>
          <w:rFonts w:cstheme="minorHAnsi"/>
        </w:rPr>
        <w:t xml:space="preserve"> </w:t>
      </w:r>
      <w:r w:rsidR="00787110" w:rsidRPr="00F16251">
        <w:rPr>
          <w:rFonts w:cstheme="minorHAnsi"/>
        </w:rPr>
        <w:t>przygotowanych.</w:t>
      </w:r>
      <w:r w:rsidR="003B50ED" w:rsidRPr="00F16251">
        <w:rPr>
          <w:rFonts w:cstheme="minorHAnsi"/>
        </w:rPr>
        <w:t xml:space="preserve"> </w:t>
      </w:r>
    </w:p>
    <w:p w14:paraId="60E740C5" w14:textId="77777777" w:rsidR="00182CE8" w:rsidRPr="00F16251" w:rsidRDefault="00182CE8" w:rsidP="00A26C26">
      <w:pPr>
        <w:spacing w:line="276" w:lineRule="auto"/>
        <w:ind w:firstLine="284"/>
        <w:jc w:val="both"/>
        <w:rPr>
          <w:rFonts w:cstheme="minorHAnsi"/>
        </w:rPr>
      </w:pPr>
    </w:p>
    <w:p w14:paraId="409C3D19" w14:textId="7DAB98C8" w:rsidR="00DF4974" w:rsidRPr="00F16251" w:rsidRDefault="00DF4974" w:rsidP="008A412F">
      <w:pPr>
        <w:pStyle w:val="Nagwek2"/>
        <w:numPr>
          <w:ilvl w:val="0"/>
          <w:numId w:val="1"/>
        </w:numPr>
        <w:spacing w:before="0" w:line="276" w:lineRule="auto"/>
        <w:ind w:left="426" w:hanging="142"/>
        <w:jc w:val="both"/>
        <w:rPr>
          <w:rFonts w:asciiTheme="minorHAnsi" w:hAnsiTheme="minorHAnsi" w:cstheme="minorHAnsi"/>
          <w:b/>
          <w:bCs/>
          <w:sz w:val="22"/>
          <w:szCs w:val="22"/>
        </w:rPr>
      </w:pPr>
      <w:bookmarkStart w:id="13" w:name="_Toc136260187"/>
      <w:bookmarkStart w:id="14" w:name="_Toc136944397"/>
      <w:r w:rsidRPr="00F16251">
        <w:rPr>
          <w:rFonts w:asciiTheme="minorHAnsi" w:hAnsiTheme="minorHAnsi" w:cstheme="minorHAnsi"/>
          <w:b/>
          <w:bCs/>
          <w:sz w:val="22"/>
          <w:szCs w:val="22"/>
        </w:rPr>
        <w:t>Dokumenty</w:t>
      </w:r>
      <w:r w:rsidR="003B50ED" w:rsidRPr="00F16251">
        <w:rPr>
          <w:rFonts w:asciiTheme="minorHAnsi" w:hAnsiTheme="minorHAnsi" w:cstheme="minorHAnsi"/>
          <w:b/>
          <w:bCs/>
          <w:sz w:val="22"/>
          <w:szCs w:val="22"/>
        </w:rPr>
        <w:t xml:space="preserve"> </w:t>
      </w:r>
      <w:r w:rsidRPr="00F16251">
        <w:rPr>
          <w:rFonts w:asciiTheme="minorHAnsi" w:hAnsiTheme="minorHAnsi" w:cstheme="minorHAnsi"/>
          <w:b/>
          <w:bCs/>
          <w:sz w:val="22"/>
          <w:szCs w:val="22"/>
        </w:rPr>
        <w:t>regulujące</w:t>
      </w:r>
      <w:r w:rsidR="003B50ED" w:rsidRPr="00F16251">
        <w:rPr>
          <w:rFonts w:asciiTheme="minorHAnsi" w:hAnsiTheme="minorHAnsi" w:cstheme="minorHAnsi"/>
          <w:b/>
          <w:bCs/>
          <w:sz w:val="22"/>
          <w:szCs w:val="22"/>
        </w:rPr>
        <w:t xml:space="preserve"> </w:t>
      </w:r>
      <w:r w:rsidRPr="00F16251">
        <w:rPr>
          <w:rFonts w:asciiTheme="minorHAnsi" w:hAnsiTheme="minorHAnsi" w:cstheme="minorHAnsi"/>
          <w:b/>
          <w:bCs/>
          <w:sz w:val="22"/>
          <w:szCs w:val="22"/>
        </w:rPr>
        <w:t>funkcjonowanie</w:t>
      </w:r>
      <w:r w:rsidR="003B50ED" w:rsidRPr="00F16251">
        <w:rPr>
          <w:rFonts w:asciiTheme="minorHAnsi" w:hAnsiTheme="minorHAnsi" w:cstheme="minorHAnsi"/>
          <w:b/>
          <w:bCs/>
          <w:sz w:val="22"/>
          <w:szCs w:val="22"/>
        </w:rPr>
        <w:t xml:space="preserve"> </w:t>
      </w:r>
      <w:r w:rsidRPr="00F16251">
        <w:rPr>
          <w:rFonts w:asciiTheme="minorHAnsi" w:hAnsiTheme="minorHAnsi" w:cstheme="minorHAnsi"/>
          <w:b/>
          <w:bCs/>
          <w:sz w:val="22"/>
          <w:szCs w:val="22"/>
        </w:rPr>
        <w:t>LGD</w:t>
      </w:r>
      <w:bookmarkEnd w:id="13"/>
      <w:bookmarkEnd w:id="14"/>
      <w:r w:rsidR="003B50ED" w:rsidRPr="00F16251">
        <w:rPr>
          <w:rFonts w:asciiTheme="minorHAnsi" w:hAnsiTheme="minorHAnsi" w:cstheme="minorHAnsi"/>
          <w:b/>
          <w:bCs/>
          <w:sz w:val="22"/>
          <w:szCs w:val="22"/>
        </w:rPr>
        <w:t xml:space="preserve"> </w:t>
      </w:r>
    </w:p>
    <w:p w14:paraId="69B4D92A" w14:textId="703C5FA0" w:rsidR="00DF60A0" w:rsidRPr="00F16251" w:rsidRDefault="00B52FD9" w:rsidP="00A26C26">
      <w:pPr>
        <w:spacing w:line="276" w:lineRule="auto"/>
        <w:ind w:firstLine="284"/>
        <w:jc w:val="both"/>
        <w:rPr>
          <w:rFonts w:cstheme="minorHAnsi"/>
        </w:rPr>
      </w:pPr>
      <w:r w:rsidRPr="00F16251">
        <w:rPr>
          <w:rFonts w:cstheme="minorHAnsi"/>
        </w:rPr>
        <w:t>Działanie</w:t>
      </w:r>
      <w:r w:rsidR="003B50ED" w:rsidRPr="00F16251">
        <w:rPr>
          <w:rFonts w:cstheme="minorHAnsi"/>
        </w:rPr>
        <w:t xml:space="preserve"> </w:t>
      </w:r>
      <w:r w:rsidRPr="00F16251">
        <w:rPr>
          <w:rFonts w:cstheme="minorHAnsi"/>
        </w:rPr>
        <w:t>wszystkich</w:t>
      </w:r>
      <w:r w:rsidR="003B50ED" w:rsidRPr="00F16251">
        <w:rPr>
          <w:rFonts w:cstheme="minorHAnsi"/>
        </w:rPr>
        <w:t xml:space="preserve"> </w:t>
      </w:r>
      <w:r w:rsidRPr="00F16251">
        <w:rPr>
          <w:rFonts w:cstheme="minorHAnsi"/>
        </w:rPr>
        <w:t>organów</w:t>
      </w:r>
      <w:r w:rsidR="003B50ED" w:rsidRPr="00F16251">
        <w:rPr>
          <w:rFonts w:cstheme="minorHAnsi"/>
        </w:rPr>
        <w:t xml:space="preserve"> </w:t>
      </w:r>
      <w:r w:rsidR="00B50849" w:rsidRPr="00F16251">
        <w:rPr>
          <w:rFonts w:cstheme="minorHAnsi"/>
        </w:rPr>
        <w:t xml:space="preserve">Stowarzyszenia „Solidarni w Partnerstwie” </w:t>
      </w:r>
      <w:r w:rsidRPr="00F16251">
        <w:rPr>
          <w:rFonts w:cstheme="minorHAnsi"/>
        </w:rPr>
        <w:t>regulują</w:t>
      </w:r>
      <w:r w:rsidR="003B50ED" w:rsidRPr="00F16251">
        <w:rPr>
          <w:rFonts w:cstheme="minorHAnsi"/>
        </w:rPr>
        <w:t xml:space="preserve"> </w:t>
      </w:r>
      <w:r w:rsidRPr="00F16251">
        <w:rPr>
          <w:rFonts w:cstheme="minorHAnsi"/>
        </w:rPr>
        <w:t>Statut</w:t>
      </w:r>
      <w:r w:rsidR="003B50ED" w:rsidRPr="00F16251">
        <w:rPr>
          <w:rFonts w:cstheme="minorHAnsi"/>
        </w:rPr>
        <w:t xml:space="preserve"> </w:t>
      </w:r>
      <w:r w:rsidRPr="00F16251">
        <w:rPr>
          <w:rFonts w:cstheme="minorHAnsi"/>
        </w:rPr>
        <w:t>oraz</w:t>
      </w:r>
      <w:r w:rsidR="003B50ED" w:rsidRPr="00F16251">
        <w:rPr>
          <w:rFonts w:cstheme="minorHAnsi"/>
        </w:rPr>
        <w:t xml:space="preserve"> </w:t>
      </w:r>
      <w:r w:rsidR="00B50849" w:rsidRPr="00F16251">
        <w:rPr>
          <w:rFonts w:cstheme="minorHAnsi"/>
        </w:rPr>
        <w:t xml:space="preserve">regulaminy, w tym </w:t>
      </w:r>
      <w:r w:rsidR="00DF60A0" w:rsidRPr="00F16251">
        <w:rPr>
          <w:rFonts w:cstheme="minorHAnsi"/>
        </w:rPr>
        <w:t>Regulamin</w:t>
      </w:r>
      <w:r w:rsidR="003B50ED" w:rsidRPr="00F16251">
        <w:rPr>
          <w:rFonts w:cstheme="minorHAnsi"/>
        </w:rPr>
        <w:t xml:space="preserve"> </w:t>
      </w:r>
      <w:r w:rsidR="00DF60A0" w:rsidRPr="00F16251">
        <w:rPr>
          <w:rFonts w:cstheme="minorHAnsi"/>
        </w:rPr>
        <w:t>funkcjonowania</w:t>
      </w:r>
      <w:r w:rsidR="003B50ED" w:rsidRPr="00F16251">
        <w:rPr>
          <w:rFonts w:cstheme="minorHAnsi"/>
        </w:rPr>
        <w:t xml:space="preserve"> </w:t>
      </w:r>
      <w:r w:rsidR="00DF60A0" w:rsidRPr="00F16251">
        <w:rPr>
          <w:rFonts w:cstheme="minorHAnsi"/>
        </w:rPr>
        <w:t>Rady</w:t>
      </w:r>
      <w:r w:rsidR="003B50ED" w:rsidRPr="00F16251">
        <w:rPr>
          <w:rFonts w:cstheme="minorHAnsi"/>
        </w:rPr>
        <w:t xml:space="preserve"> </w:t>
      </w:r>
      <w:r w:rsidR="00DF60A0" w:rsidRPr="00F16251">
        <w:rPr>
          <w:rFonts w:cstheme="minorHAnsi"/>
        </w:rPr>
        <w:t>LGD</w:t>
      </w:r>
      <w:r w:rsidR="003B50ED" w:rsidRPr="00F16251">
        <w:rPr>
          <w:rFonts w:cstheme="minorHAnsi"/>
        </w:rPr>
        <w:t xml:space="preserve"> </w:t>
      </w:r>
      <w:r w:rsidR="004E60D7" w:rsidRPr="00F16251">
        <w:rPr>
          <w:rFonts w:cstheme="minorHAnsi"/>
        </w:rPr>
        <w:t>„</w:t>
      </w:r>
      <w:r w:rsidR="00206F64" w:rsidRPr="00F16251">
        <w:rPr>
          <w:rFonts w:cstheme="minorHAnsi"/>
        </w:rPr>
        <w:t>Solidarni</w:t>
      </w:r>
      <w:r w:rsidR="003B50ED" w:rsidRPr="00F16251">
        <w:rPr>
          <w:rFonts w:cstheme="minorHAnsi"/>
        </w:rPr>
        <w:t xml:space="preserve"> </w:t>
      </w:r>
      <w:r w:rsidR="00206F64" w:rsidRPr="00F16251">
        <w:rPr>
          <w:rFonts w:cstheme="minorHAnsi"/>
        </w:rPr>
        <w:t>w</w:t>
      </w:r>
      <w:r w:rsidR="003B50ED" w:rsidRPr="00F16251">
        <w:rPr>
          <w:rFonts w:cstheme="minorHAnsi"/>
        </w:rPr>
        <w:t xml:space="preserve"> </w:t>
      </w:r>
      <w:r w:rsidR="00206F64" w:rsidRPr="00F16251">
        <w:rPr>
          <w:rFonts w:cstheme="minorHAnsi"/>
        </w:rPr>
        <w:t>Partnerstwie</w:t>
      </w:r>
      <w:r w:rsidR="004E60D7" w:rsidRPr="00F16251">
        <w:rPr>
          <w:rFonts w:cstheme="minorHAnsi"/>
        </w:rPr>
        <w:t>”</w:t>
      </w:r>
      <w:r w:rsidR="003B50ED" w:rsidRPr="00F16251">
        <w:rPr>
          <w:rFonts w:cstheme="minorHAnsi"/>
        </w:rPr>
        <w:t xml:space="preserve"> </w:t>
      </w:r>
      <w:r w:rsidR="00DF60A0" w:rsidRPr="00F16251">
        <w:rPr>
          <w:rFonts w:cstheme="minorHAnsi"/>
        </w:rPr>
        <w:t>(organ</w:t>
      </w:r>
      <w:r w:rsidR="003B50ED" w:rsidRPr="00F16251">
        <w:rPr>
          <w:rFonts w:cstheme="minorHAnsi"/>
        </w:rPr>
        <w:t xml:space="preserve"> </w:t>
      </w:r>
      <w:r w:rsidR="00DF60A0" w:rsidRPr="00F16251">
        <w:rPr>
          <w:rFonts w:cstheme="minorHAnsi"/>
        </w:rPr>
        <w:t>decyzyjny),</w:t>
      </w:r>
      <w:r w:rsidR="003B50ED" w:rsidRPr="00F16251">
        <w:rPr>
          <w:rFonts w:cstheme="minorHAnsi"/>
        </w:rPr>
        <w:t xml:space="preserve"> </w:t>
      </w:r>
      <w:r w:rsidR="00DF60A0" w:rsidRPr="00F16251">
        <w:rPr>
          <w:rFonts w:cstheme="minorHAnsi"/>
        </w:rPr>
        <w:t>Regulamin</w:t>
      </w:r>
      <w:r w:rsidR="003B50ED" w:rsidRPr="00F16251">
        <w:rPr>
          <w:rFonts w:cstheme="minorHAnsi"/>
        </w:rPr>
        <w:t xml:space="preserve"> </w:t>
      </w:r>
      <w:r w:rsidR="00DF60A0" w:rsidRPr="00F16251">
        <w:rPr>
          <w:rFonts w:cstheme="minorHAnsi"/>
        </w:rPr>
        <w:t>pracy</w:t>
      </w:r>
      <w:r w:rsidR="003B50ED" w:rsidRPr="00F16251">
        <w:rPr>
          <w:rFonts w:cstheme="minorHAnsi"/>
        </w:rPr>
        <w:t xml:space="preserve"> </w:t>
      </w:r>
      <w:r w:rsidR="00DF60A0" w:rsidRPr="00F16251">
        <w:rPr>
          <w:rFonts w:cstheme="minorHAnsi"/>
        </w:rPr>
        <w:t>Zarządu</w:t>
      </w:r>
      <w:r w:rsidR="003B50ED" w:rsidRPr="00F16251">
        <w:rPr>
          <w:rFonts w:cstheme="minorHAnsi"/>
        </w:rPr>
        <w:t xml:space="preserve"> </w:t>
      </w:r>
      <w:r w:rsidR="00DF60A0" w:rsidRPr="00F16251">
        <w:rPr>
          <w:rFonts w:cstheme="minorHAnsi"/>
        </w:rPr>
        <w:t>Stowarzyszenia,</w:t>
      </w:r>
      <w:r w:rsidR="003B50ED" w:rsidRPr="00F16251">
        <w:rPr>
          <w:rFonts w:cstheme="minorHAnsi"/>
        </w:rPr>
        <w:t xml:space="preserve"> </w:t>
      </w:r>
      <w:r w:rsidR="00DF60A0" w:rsidRPr="00F16251">
        <w:rPr>
          <w:rFonts w:cstheme="minorHAnsi"/>
        </w:rPr>
        <w:t>Regulamin</w:t>
      </w:r>
      <w:r w:rsidR="003B50ED" w:rsidRPr="00F16251">
        <w:rPr>
          <w:rFonts w:cstheme="minorHAnsi"/>
        </w:rPr>
        <w:t xml:space="preserve"> </w:t>
      </w:r>
      <w:r w:rsidR="00DF60A0" w:rsidRPr="00F16251">
        <w:rPr>
          <w:rFonts w:cstheme="minorHAnsi"/>
        </w:rPr>
        <w:t>pracy</w:t>
      </w:r>
      <w:r w:rsidR="003B50ED" w:rsidRPr="00F16251">
        <w:rPr>
          <w:rFonts w:cstheme="minorHAnsi"/>
        </w:rPr>
        <w:t xml:space="preserve"> </w:t>
      </w:r>
      <w:r w:rsidR="00DF60A0" w:rsidRPr="00F16251">
        <w:rPr>
          <w:rFonts w:cstheme="minorHAnsi"/>
        </w:rPr>
        <w:t>Komisji</w:t>
      </w:r>
      <w:r w:rsidR="003B50ED" w:rsidRPr="00F16251">
        <w:rPr>
          <w:rFonts w:cstheme="minorHAnsi"/>
        </w:rPr>
        <w:t xml:space="preserve"> </w:t>
      </w:r>
      <w:r w:rsidR="00DF60A0" w:rsidRPr="00F16251">
        <w:rPr>
          <w:rFonts w:cstheme="minorHAnsi"/>
        </w:rPr>
        <w:t>Rewizyjnej</w:t>
      </w:r>
      <w:r w:rsidR="003B50ED" w:rsidRPr="00F16251">
        <w:rPr>
          <w:rFonts w:cstheme="minorHAnsi"/>
        </w:rPr>
        <w:t xml:space="preserve"> </w:t>
      </w:r>
      <w:r w:rsidR="00DF60A0" w:rsidRPr="00F16251">
        <w:rPr>
          <w:rFonts w:cstheme="minorHAnsi"/>
        </w:rPr>
        <w:t>oraz</w:t>
      </w:r>
      <w:r w:rsidR="003B50ED" w:rsidRPr="00F16251">
        <w:rPr>
          <w:rFonts w:cstheme="minorHAnsi"/>
        </w:rPr>
        <w:t xml:space="preserve"> </w:t>
      </w:r>
      <w:r w:rsidR="00DF60A0" w:rsidRPr="00F16251">
        <w:rPr>
          <w:rFonts w:cstheme="minorHAnsi"/>
        </w:rPr>
        <w:t>Regulamin</w:t>
      </w:r>
      <w:r w:rsidR="003B50ED" w:rsidRPr="00F16251">
        <w:rPr>
          <w:rFonts w:cstheme="minorHAnsi"/>
        </w:rPr>
        <w:t xml:space="preserve"> </w:t>
      </w:r>
      <w:r w:rsidR="00DF60A0" w:rsidRPr="00F16251">
        <w:rPr>
          <w:rFonts w:cstheme="minorHAnsi"/>
        </w:rPr>
        <w:t>Organizacyjny</w:t>
      </w:r>
      <w:r w:rsidR="003B50ED" w:rsidRPr="00F16251">
        <w:rPr>
          <w:rFonts w:cstheme="minorHAnsi"/>
        </w:rPr>
        <w:t xml:space="preserve"> </w:t>
      </w:r>
      <w:r w:rsidR="00DF60A0" w:rsidRPr="00F16251">
        <w:rPr>
          <w:rFonts w:cstheme="minorHAnsi"/>
        </w:rPr>
        <w:t>Biura</w:t>
      </w:r>
      <w:r w:rsidR="004E60D7" w:rsidRPr="00F16251">
        <w:rPr>
          <w:rFonts w:cstheme="minorHAnsi"/>
        </w:rPr>
        <w:t>.</w:t>
      </w:r>
      <w:r w:rsidR="003B50ED" w:rsidRPr="00F16251">
        <w:rPr>
          <w:rFonts w:cstheme="minorHAnsi"/>
        </w:rPr>
        <w:t xml:space="preserve"> </w:t>
      </w:r>
    </w:p>
    <w:p w14:paraId="59FC1A64" w14:textId="254CCE10" w:rsidR="00DF60A0" w:rsidRPr="00F16251" w:rsidRDefault="00DF60A0" w:rsidP="00A26C26">
      <w:pPr>
        <w:spacing w:line="276" w:lineRule="auto"/>
        <w:ind w:firstLine="284"/>
        <w:jc w:val="both"/>
        <w:rPr>
          <w:rFonts w:cstheme="minorHAnsi"/>
        </w:rPr>
      </w:pPr>
      <w:r w:rsidRPr="00F16251">
        <w:rPr>
          <w:rFonts w:cstheme="minorHAnsi"/>
        </w:rPr>
        <w:t>Statut</w:t>
      </w:r>
      <w:r w:rsidR="003B50ED" w:rsidRPr="00F16251">
        <w:rPr>
          <w:rFonts w:cstheme="minorHAnsi"/>
        </w:rPr>
        <w:t xml:space="preserve"> </w:t>
      </w:r>
      <w:r w:rsidRPr="00F16251">
        <w:rPr>
          <w:rFonts w:cstheme="minorHAnsi"/>
        </w:rPr>
        <w:t>reguluje</w:t>
      </w:r>
      <w:r w:rsidR="003B50ED" w:rsidRPr="00F16251">
        <w:rPr>
          <w:rFonts w:cstheme="minorHAnsi"/>
        </w:rPr>
        <w:t xml:space="preserve"> </w:t>
      </w:r>
      <w:r w:rsidRPr="00F16251">
        <w:rPr>
          <w:rFonts w:cstheme="minorHAnsi"/>
        </w:rPr>
        <w:t>najważniejsze</w:t>
      </w:r>
      <w:r w:rsidR="003B50ED" w:rsidRPr="00F16251">
        <w:rPr>
          <w:rFonts w:cstheme="minorHAnsi"/>
        </w:rPr>
        <w:t xml:space="preserve"> </w:t>
      </w:r>
      <w:r w:rsidRPr="00F16251">
        <w:rPr>
          <w:rFonts w:cstheme="minorHAnsi"/>
        </w:rPr>
        <w:t>kwestie</w:t>
      </w:r>
      <w:r w:rsidR="003B50ED" w:rsidRPr="00F16251">
        <w:rPr>
          <w:rFonts w:cstheme="minorHAnsi"/>
        </w:rPr>
        <w:t xml:space="preserve"> </w:t>
      </w:r>
      <w:r w:rsidRPr="00F16251">
        <w:rPr>
          <w:rFonts w:cstheme="minorHAnsi"/>
        </w:rPr>
        <w:t>funkcjonowania</w:t>
      </w:r>
      <w:r w:rsidR="003B50ED" w:rsidRPr="00F16251">
        <w:rPr>
          <w:rFonts w:cstheme="minorHAnsi"/>
        </w:rPr>
        <w:t xml:space="preserve"> </w:t>
      </w:r>
      <w:r w:rsidRPr="00F16251">
        <w:rPr>
          <w:rFonts w:cstheme="minorHAnsi"/>
        </w:rPr>
        <w:t>Stowarzyszenia:</w:t>
      </w:r>
      <w:r w:rsidR="003B50ED" w:rsidRPr="00F16251">
        <w:rPr>
          <w:rFonts w:cstheme="minorHAnsi"/>
        </w:rPr>
        <w:t xml:space="preserve"> </w:t>
      </w:r>
      <w:r w:rsidRPr="00F16251">
        <w:rPr>
          <w:rFonts w:cstheme="minorHAnsi"/>
        </w:rPr>
        <w:t>nazwę</w:t>
      </w:r>
      <w:r w:rsidR="003B50ED" w:rsidRPr="00F16251">
        <w:rPr>
          <w:rFonts w:cstheme="minorHAnsi"/>
        </w:rPr>
        <w:t xml:space="preserve"> </w:t>
      </w:r>
      <w:r w:rsidRPr="00F16251">
        <w:rPr>
          <w:rFonts w:cstheme="minorHAnsi"/>
        </w:rPr>
        <w:t>stowarzyszenia,</w:t>
      </w:r>
      <w:r w:rsidR="003B50ED" w:rsidRPr="00F16251">
        <w:rPr>
          <w:rFonts w:cstheme="minorHAnsi"/>
        </w:rPr>
        <w:t xml:space="preserve"> </w:t>
      </w:r>
      <w:r w:rsidRPr="00F16251">
        <w:rPr>
          <w:rFonts w:cstheme="minorHAnsi"/>
        </w:rPr>
        <w:t>teren</w:t>
      </w:r>
      <w:r w:rsidR="003B50ED" w:rsidRPr="00F16251">
        <w:rPr>
          <w:rFonts w:cstheme="minorHAnsi"/>
        </w:rPr>
        <w:t xml:space="preserve"> </w:t>
      </w:r>
      <w:r w:rsidRPr="00F16251">
        <w:rPr>
          <w:rFonts w:cstheme="minorHAnsi"/>
        </w:rPr>
        <w:t>działania</w:t>
      </w:r>
      <w:r w:rsidR="003B50ED" w:rsidRPr="00F16251">
        <w:rPr>
          <w:rFonts w:cstheme="minorHAnsi"/>
        </w:rPr>
        <w:t xml:space="preserve"> </w:t>
      </w:r>
      <w:r w:rsidR="00396A11">
        <w:rPr>
          <w:rFonts w:cstheme="minorHAnsi"/>
        </w:rPr>
        <w:br/>
      </w:r>
      <w:r w:rsidRPr="00F16251">
        <w:rPr>
          <w:rFonts w:cstheme="minorHAnsi"/>
        </w:rPr>
        <w:t>i</w:t>
      </w:r>
      <w:r w:rsidR="003B50ED" w:rsidRPr="00F16251">
        <w:rPr>
          <w:rFonts w:cstheme="minorHAnsi"/>
        </w:rPr>
        <w:t xml:space="preserve"> </w:t>
      </w:r>
      <w:r w:rsidRPr="00F16251">
        <w:rPr>
          <w:rFonts w:cstheme="minorHAnsi"/>
        </w:rPr>
        <w:t>siedzibę</w:t>
      </w:r>
      <w:r w:rsidR="003B50ED" w:rsidRPr="00F16251">
        <w:rPr>
          <w:rFonts w:cstheme="minorHAnsi"/>
        </w:rPr>
        <w:t xml:space="preserve"> </w:t>
      </w:r>
      <w:r w:rsidRPr="00F16251">
        <w:rPr>
          <w:rFonts w:cstheme="minorHAnsi"/>
        </w:rPr>
        <w:t>stowarzyszenia,</w:t>
      </w:r>
      <w:r w:rsidR="003B50ED" w:rsidRPr="00F16251">
        <w:rPr>
          <w:rFonts w:cstheme="minorHAnsi"/>
        </w:rPr>
        <w:t xml:space="preserve"> </w:t>
      </w:r>
      <w:r w:rsidRPr="00F16251">
        <w:rPr>
          <w:rFonts w:cstheme="minorHAnsi"/>
        </w:rPr>
        <w:t>cele</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sposoby</w:t>
      </w:r>
      <w:r w:rsidR="003B50ED" w:rsidRPr="00F16251">
        <w:rPr>
          <w:rFonts w:cstheme="minorHAnsi"/>
        </w:rPr>
        <w:t xml:space="preserve"> </w:t>
      </w:r>
      <w:r w:rsidRPr="00F16251">
        <w:rPr>
          <w:rFonts w:cstheme="minorHAnsi"/>
        </w:rPr>
        <w:t>ich</w:t>
      </w:r>
      <w:r w:rsidR="003B50ED" w:rsidRPr="00F16251">
        <w:rPr>
          <w:rFonts w:cstheme="minorHAnsi"/>
        </w:rPr>
        <w:t xml:space="preserve"> </w:t>
      </w:r>
      <w:r w:rsidRPr="00F16251">
        <w:rPr>
          <w:rFonts w:cstheme="minorHAnsi"/>
        </w:rPr>
        <w:t>realizacji,</w:t>
      </w:r>
      <w:r w:rsidR="003B50ED" w:rsidRPr="00F16251">
        <w:rPr>
          <w:rFonts w:cstheme="minorHAnsi"/>
        </w:rPr>
        <w:t xml:space="preserve"> </w:t>
      </w:r>
      <w:r w:rsidRPr="00F16251">
        <w:rPr>
          <w:rFonts w:cstheme="minorHAnsi"/>
        </w:rPr>
        <w:t>sposób</w:t>
      </w:r>
      <w:r w:rsidR="003B50ED" w:rsidRPr="00F16251">
        <w:rPr>
          <w:rFonts w:cstheme="minorHAnsi"/>
        </w:rPr>
        <w:t xml:space="preserve"> </w:t>
      </w:r>
      <w:r w:rsidRPr="00F16251">
        <w:rPr>
          <w:rFonts w:cstheme="minorHAnsi"/>
        </w:rPr>
        <w:t>nabywania</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utraty</w:t>
      </w:r>
      <w:r w:rsidR="003B50ED" w:rsidRPr="00F16251">
        <w:rPr>
          <w:rFonts w:cstheme="minorHAnsi"/>
        </w:rPr>
        <w:t xml:space="preserve"> </w:t>
      </w:r>
      <w:r w:rsidRPr="00F16251">
        <w:rPr>
          <w:rFonts w:cstheme="minorHAnsi"/>
        </w:rPr>
        <w:t>członkostwa,</w:t>
      </w:r>
      <w:r w:rsidR="003B50ED" w:rsidRPr="00F16251">
        <w:rPr>
          <w:rFonts w:cstheme="minorHAnsi"/>
        </w:rPr>
        <w:t xml:space="preserve"> </w:t>
      </w:r>
      <w:r w:rsidRPr="00F16251">
        <w:rPr>
          <w:rFonts w:cstheme="minorHAnsi"/>
        </w:rPr>
        <w:t>przyczyny</w:t>
      </w:r>
      <w:r w:rsidR="003B50ED" w:rsidRPr="00F16251">
        <w:rPr>
          <w:rFonts w:cstheme="minorHAnsi"/>
        </w:rPr>
        <w:t xml:space="preserve"> </w:t>
      </w:r>
      <w:r w:rsidRPr="00F16251">
        <w:rPr>
          <w:rFonts w:cstheme="minorHAnsi"/>
        </w:rPr>
        <w:t>utraty</w:t>
      </w:r>
      <w:r w:rsidR="003B50ED" w:rsidRPr="00F16251">
        <w:rPr>
          <w:rFonts w:cstheme="minorHAnsi"/>
        </w:rPr>
        <w:t xml:space="preserve"> </w:t>
      </w:r>
      <w:r w:rsidRPr="00F16251">
        <w:rPr>
          <w:rFonts w:cstheme="minorHAnsi"/>
        </w:rPr>
        <w:t>członkostwa</w:t>
      </w:r>
      <w:r w:rsidR="003B50ED" w:rsidRPr="00F16251">
        <w:rPr>
          <w:rFonts w:cstheme="minorHAnsi"/>
        </w:rPr>
        <w:t xml:space="preserve"> </w:t>
      </w:r>
      <w:r w:rsidRPr="00F16251">
        <w:rPr>
          <w:rFonts w:cstheme="minorHAnsi"/>
        </w:rPr>
        <w:t>oraz</w:t>
      </w:r>
      <w:r w:rsidR="003B50ED" w:rsidRPr="00F16251">
        <w:rPr>
          <w:rFonts w:cstheme="minorHAnsi"/>
        </w:rPr>
        <w:t xml:space="preserve"> </w:t>
      </w:r>
      <w:r w:rsidRPr="00F16251">
        <w:rPr>
          <w:rFonts w:cstheme="minorHAnsi"/>
        </w:rPr>
        <w:t>prawa</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obowiązki</w:t>
      </w:r>
      <w:r w:rsidR="003B50ED" w:rsidRPr="00F16251">
        <w:rPr>
          <w:rFonts w:cstheme="minorHAnsi"/>
        </w:rPr>
        <w:t xml:space="preserve"> </w:t>
      </w:r>
      <w:r w:rsidRPr="00F16251">
        <w:rPr>
          <w:rFonts w:cstheme="minorHAnsi"/>
        </w:rPr>
        <w:t>członków,</w:t>
      </w:r>
      <w:r w:rsidR="003B50ED" w:rsidRPr="00F16251">
        <w:rPr>
          <w:rFonts w:cstheme="minorHAnsi"/>
        </w:rPr>
        <w:t xml:space="preserve"> </w:t>
      </w:r>
      <w:r w:rsidRPr="00F16251">
        <w:rPr>
          <w:rFonts w:cstheme="minorHAnsi"/>
        </w:rPr>
        <w:t>a</w:t>
      </w:r>
      <w:r w:rsidR="003B50ED" w:rsidRPr="00F16251">
        <w:rPr>
          <w:rFonts w:cstheme="minorHAnsi"/>
        </w:rPr>
        <w:t xml:space="preserve"> </w:t>
      </w:r>
      <w:r w:rsidRPr="00F16251">
        <w:rPr>
          <w:rFonts w:cstheme="minorHAnsi"/>
        </w:rPr>
        <w:t>także</w:t>
      </w:r>
      <w:r w:rsidR="003B50ED" w:rsidRPr="00F16251">
        <w:rPr>
          <w:rFonts w:cstheme="minorHAnsi"/>
        </w:rPr>
        <w:t xml:space="preserve"> </w:t>
      </w:r>
      <w:r w:rsidRPr="00F16251">
        <w:rPr>
          <w:rFonts w:cstheme="minorHAnsi"/>
        </w:rPr>
        <w:t>wskazuje</w:t>
      </w:r>
      <w:r w:rsidR="003B50ED" w:rsidRPr="00F16251">
        <w:rPr>
          <w:rFonts w:cstheme="minorHAnsi"/>
        </w:rPr>
        <w:t xml:space="preserve"> </w:t>
      </w:r>
      <w:r w:rsidRPr="00F16251">
        <w:rPr>
          <w:rFonts w:cstheme="minorHAnsi"/>
        </w:rPr>
        <w:t>władze</w:t>
      </w:r>
      <w:r w:rsidR="003B50ED" w:rsidRPr="00F16251">
        <w:rPr>
          <w:rFonts w:cstheme="minorHAnsi"/>
        </w:rPr>
        <w:t xml:space="preserve"> </w:t>
      </w:r>
      <w:r w:rsidRPr="00F16251">
        <w:rPr>
          <w:rFonts w:cstheme="minorHAnsi"/>
        </w:rPr>
        <w:t>stowarzyszenia,</w:t>
      </w:r>
      <w:r w:rsidR="003B50ED" w:rsidRPr="00F16251">
        <w:rPr>
          <w:rFonts w:cstheme="minorHAnsi"/>
        </w:rPr>
        <w:t xml:space="preserve"> </w:t>
      </w:r>
      <w:r w:rsidRPr="00F16251">
        <w:rPr>
          <w:rFonts w:cstheme="minorHAnsi"/>
        </w:rPr>
        <w:t>tryb</w:t>
      </w:r>
      <w:r w:rsidR="003B50ED" w:rsidRPr="00F16251">
        <w:rPr>
          <w:rFonts w:cstheme="minorHAnsi"/>
        </w:rPr>
        <w:t xml:space="preserve"> </w:t>
      </w:r>
      <w:r w:rsidRPr="00F16251">
        <w:rPr>
          <w:rFonts w:cstheme="minorHAnsi"/>
        </w:rPr>
        <w:t>dokonywania</w:t>
      </w:r>
      <w:r w:rsidR="003B50ED" w:rsidRPr="00F16251">
        <w:rPr>
          <w:rFonts w:cstheme="minorHAnsi"/>
        </w:rPr>
        <w:t xml:space="preserve"> </w:t>
      </w:r>
      <w:r w:rsidRPr="00F16251">
        <w:rPr>
          <w:rFonts w:cstheme="minorHAnsi"/>
        </w:rPr>
        <w:t>ich</w:t>
      </w:r>
      <w:r w:rsidR="003B50ED" w:rsidRPr="00F16251">
        <w:rPr>
          <w:rFonts w:cstheme="minorHAnsi"/>
        </w:rPr>
        <w:t xml:space="preserve"> </w:t>
      </w:r>
      <w:r w:rsidRPr="00F16251">
        <w:rPr>
          <w:rFonts w:cstheme="minorHAnsi"/>
        </w:rPr>
        <w:t>wyboru,</w:t>
      </w:r>
      <w:r w:rsidR="003B50ED" w:rsidRPr="00F16251">
        <w:rPr>
          <w:rFonts w:cstheme="minorHAnsi"/>
        </w:rPr>
        <w:t xml:space="preserve"> </w:t>
      </w:r>
      <w:r w:rsidRPr="00F16251">
        <w:rPr>
          <w:rFonts w:cstheme="minorHAnsi"/>
        </w:rPr>
        <w:t>uzupełniania</w:t>
      </w:r>
      <w:r w:rsidR="003B50ED" w:rsidRPr="00F16251">
        <w:rPr>
          <w:rFonts w:cstheme="minorHAnsi"/>
        </w:rPr>
        <w:t xml:space="preserve"> </w:t>
      </w:r>
      <w:r w:rsidRPr="00F16251">
        <w:rPr>
          <w:rFonts w:cstheme="minorHAnsi"/>
        </w:rPr>
        <w:t>składu</w:t>
      </w:r>
      <w:r w:rsidR="003B50ED" w:rsidRPr="00F16251">
        <w:rPr>
          <w:rFonts w:cstheme="minorHAnsi"/>
        </w:rPr>
        <w:t xml:space="preserve"> </w:t>
      </w:r>
      <w:r w:rsidRPr="00F16251">
        <w:rPr>
          <w:rFonts w:cstheme="minorHAnsi"/>
        </w:rPr>
        <w:t>oraz</w:t>
      </w:r>
      <w:r w:rsidR="003B50ED" w:rsidRPr="00F16251">
        <w:rPr>
          <w:rFonts w:cstheme="minorHAnsi"/>
        </w:rPr>
        <w:t xml:space="preserve"> </w:t>
      </w:r>
      <w:r w:rsidRPr="00F16251">
        <w:rPr>
          <w:rFonts w:cstheme="minorHAnsi"/>
        </w:rPr>
        <w:t>ich</w:t>
      </w:r>
      <w:r w:rsidR="003B50ED" w:rsidRPr="00F16251">
        <w:rPr>
          <w:rFonts w:cstheme="minorHAnsi"/>
        </w:rPr>
        <w:t xml:space="preserve"> </w:t>
      </w:r>
      <w:r w:rsidRPr="00F16251">
        <w:rPr>
          <w:rFonts w:cstheme="minorHAnsi"/>
        </w:rPr>
        <w:t>kompetencje,</w:t>
      </w:r>
      <w:r w:rsidR="003B50ED" w:rsidRPr="00F16251">
        <w:rPr>
          <w:rFonts w:cstheme="minorHAnsi"/>
        </w:rPr>
        <w:t xml:space="preserve"> </w:t>
      </w:r>
      <w:r w:rsidRPr="00F16251">
        <w:rPr>
          <w:rFonts w:cstheme="minorHAnsi"/>
        </w:rPr>
        <w:t>sposób</w:t>
      </w:r>
      <w:r w:rsidR="003B50ED" w:rsidRPr="00F16251">
        <w:rPr>
          <w:rFonts w:cstheme="minorHAnsi"/>
        </w:rPr>
        <w:t xml:space="preserve"> </w:t>
      </w:r>
      <w:r w:rsidRPr="00F16251">
        <w:rPr>
          <w:rFonts w:cstheme="minorHAnsi"/>
        </w:rPr>
        <w:t>reprezentowania</w:t>
      </w:r>
      <w:r w:rsidR="003B50ED" w:rsidRPr="00F16251">
        <w:rPr>
          <w:rFonts w:cstheme="minorHAnsi"/>
        </w:rPr>
        <w:t xml:space="preserve"> </w:t>
      </w:r>
      <w:r w:rsidRPr="00F16251">
        <w:rPr>
          <w:rFonts w:cstheme="minorHAnsi"/>
        </w:rPr>
        <w:t>stowarzyszenia</w:t>
      </w:r>
      <w:r w:rsidR="003B50ED" w:rsidRPr="00F16251">
        <w:rPr>
          <w:rFonts w:cstheme="minorHAnsi"/>
        </w:rPr>
        <w:t xml:space="preserve"> </w:t>
      </w:r>
      <w:r w:rsidRPr="00F16251">
        <w:rPr>
          <w:rFonts w:cstheme="minorHAnsi"/>
        </w:rPr>
        <w:t>oraz</w:t>
      </w:r>
      <w:r w:rsidR="003B50ED" w:rsidRPr="00F16251">
        <w:rPr>
          <w:rFonts w:cstheme="minorHAnsi"/>
        </w:rPr>
        <w:t xml:space="preserve"> </w:t>
      </w:r>
      <w:r w:rsidRPr="00F16251">
        <w:rPr>
          <w:rFonts w:cstheme="minorHAnsi"/>
        </w:rPr>
        <w:t>zaciągania</w:t>
      </w:r>
      <w:r w:rsidR="003B50ED" w:rsidRPr="00F16251">
        <w:rPr>
          <w:rFonts w:cstheme="minorHAnsi"/>
        </w:rPr>
        <w:t xml:space="preserve"> </w:t>
      </w:r>
      <w:r w:rsidRPr="00F16251">
        <w:rPr>
          <w:rFonts w:cstheme="minorHAnsi"/>
        </w:rPr>
        <w:t>zobowiązań</w:t>
      </w:r>
      <w:r w:rsidR="003B50ED" w:rsidRPr="00F16251">
        <w:rPr>
          <w:rFonts w:cstheme="minorHAnsi"/>
        </w:rPr>
        <w:t xml:space="preserve"> </w:t>
      </w:r>
      <w:r w:rsidRPr="00F16251">
        <w:rPr>
          <w:rFonts w:cstheme="minorHAnsi"/>
        </w:rPr>
        <w:t>majątkowych,</w:t>
      </w:r>
      <w:r w:rsidR="003B50ED" w:rsidRPr="00F16251">
        <w:rPr>
          <w:rFonts w:cstheme="minorHAnsi"/>
        </w:rPr>
        <w:t xml:space="preserve"> </w:t>
      </w:r>
      <w:r w:rsidRPr="00F16251">
        <w:rPr>
          <w:rFonts w:cstheme="minorHAnsi"/>
        </w:rPr>
        <w:t>a</w:t>
      </w:r>
      <w:r w:rsidR="003B50ED" w:rsidRPr="00F16251">
        <w:rPr>
          <w:rFonts w:cstheme="minorHAnsi"/>
        </w:rPr>
        <w:t xml:space="preserve"> </w:t>
      </w:r>
      <w:r w:rsidRPr="00F16251">
        <w:rPr>
          <w:rFonts w:cstheme="minorHAnsi"/>
        </w:rPr>
        <w:t>także</w:t>
      </w:r>
      <w:r w:rsidR="003B50ED" w:rsidRPr="00F16251">
        <w:rPr>
          <w:rFonts w:cstheme="minorHAnsi"/>
        </w:rPr>
        <w:t xml:space="preserve"> </w:t>
      </w:r>
      <w:r w:rsidRPr="00F16251">
        <w:rPr>
          <w:rFonts w:cstheme="minorHAnsi"/>
        </w:rPr>
        <w:t>warunki</w:t>
      </w:r>
      <w:r w:rsidR="003B50ED" w:rsidRPr="00F16251">
        <w:rPr>
          <w:rFonts w:cstheme="minorHAnsi"/>
        </w:rPr>
        <w:t xml:space="preserve"> </w:t>
      </w:r>
      <w:r w:rsidRPr="00F16251">
        <w:rPr>
          <w:rFonts w:cstheme="minorHAnsi"/>
        </w:rPr>
        <w:t>ważności</w:t>
      </w:r>
      <w:r w:rsidR="003B50ED" w:rsidRPr="00F16251">
        <w:rPr>
          <w:rFonts w:cstheme="minorHAnsi"/>
        </w:rPr>
        <w:t xml:space="preserve"> </w:t>
      </w:r>
      <w:r w:rsidRPr="00F16251">
        <w:rPr>
          <w:rFonts w:cstheme="minorHAnsi"/>
        </w:rPr>
        <w:t>jego</w:t>
      </w:r>
      <w:r w:rsidR="003B50ED" w:rsidRPr="00F16251">
        <w:rPr>
          <w:rFonts w:cstheme="minorHAnsi"/>
        </w:rPr>
        <w:t xml:space="preserve"> </w:t>
      </w:r>
      <w:r w:rsidRPr="00F16251">
        <w:rPr>
          <w:rFonts w:cstheme="minorHAnsi"/>
        </w:rPr>
        <w:t>uchwał,</w:t>
      </w:r>
      <w:r w:rsidR="003B50ED" w:rsidRPr="00F16251">
        <w:rPr>
          <w:rFonts w:cstheme="minorHAnsi"/>
        </w:rPr>
        <w:t xml:space="preserve"> </w:t>
      </w:r>
      <w:r w:rsidRPr="00F16251">
        <w:rPr>
          <w:rFonts w:cstheme="minorHAnsi"/>
        </w:rPr>
        <w:t>sposób</w:t>
      </w:r>
      <w:r w:rsidR="003B50ED" w:rsidRPr="00F16251">
        <w:rPr>
          <w:rFonts w:cstheme="minorHAnsi"/>
        </w:rPr>
        <w:t xml:space="preserve"> </w:t>
      </w:r>
      <w:r w:rsidRPr="00F16251">
        <w:rPr>
          <w:rFonts w:cstheme="minorHAnsi"/>
        </w:rPr>
        <w:t>uzyskiwania</w:t>
      </w:r>
      <w:r w:rsidR="003B50ED" w:rsidRPr="00F16251">
        <w:rPr>
          <w:rFonts w:cstheme="minorHAnsi"/>
        </w:rPr>
        <w:t xml:space="preserve"> </w:t>
      </w:r>
      <w:r w:rsidRPr="00F16251">
        <w:rPr>
          <w:rFonts w:cstheme="minorHAnsi"/>
        </w:rPr>
        <w:t>środków</w:t>
      </w:r>
      <w:r w:rsidR="003B50ED" w:rsidRPr="00F16251">
        <w:rPr>
          <w:rFonts w:cstheme="minorHAnsi"/>
        </w:rPr>
        <w:t xml:space="preserve"> </w:t>
      </w:r>
      <w:r w:rsidRPr="00F16251">
        <w:rPr>
          <w:rFonts w:cstheme="minorHAnsi"/>
        </w:rPr>
        <w:t>finansowych</w:t>
      </w:r>
      <w:r w:rsidR="003B50ED" w:rsidRPr="00F16251">
        <w:rPr>
          <w:rFonts w:cstheme="minorHAnsi"/>
        </w:rPr>
        <w:t xml:space="preserve"> </w:t>
      </w:r>
      <w:r w:rsidRPr="00F16251">
        <w:rPr>
          <w:rFonts w:cstheme="minorHAnsi"/>
        </w:rPr>
        <w:t>oraz</w:t>
      </w:r>
      <w:r w:rsidR="003B50ED" w:rsidRPr="00F16251">
        <w:rPr>
          <w:rFonts w:cstheme="minorHAnsi"/>
        </w:rPr>
        <w:t xml:space="preserve"> </w:t>
      </w:r>
      <w:r w:rsidRPr="00F16251">
        <w:rPr>
          <w:rFonts w:cstheme="minorHAnsi"/>
        </w:rPr>
        <w:t>ustanawiania</w:t>
      </w:r>
      <w:r w:rsidR="003B50ED" w:rsidRPr="00F16251">
        <w:rPr>
          <w:rFonts w:cstheme="minorHAnsi"/>
        </w:rPr>
        <w:t xml:space="preserve"> </w:t>
      </w:r>
      <w:r w:rsidRPr="00F16251">
        <w:rPr>
          <w:rFonts w:cstheme="minorHAnsi"/>
        </w:rPr>
        <w:t>składek</w:t>
      </w:r>
      <w:r w:rsidR="003B50ED" w:rsidRPr="00F16251">
        <w:rPr>
          <w:rFonts w:cstheme="minorHAnsi"/>
        </w:rPr>
        <w:t xml:space="preserve"> </w:t>
      </w:r>
      <w:r w:rsidRPr="00F16251">
        <w:rPr>
          <w:rFonts w:cstheme="minorHAnsi"/>
        </w:rPr>
        <w:t>członkowskich,</w:t>
      </w:r>
      <w:r w:rsidR="003B50ED" w:rsidRPr="00F16251">
        <w:rPr>
          <w:rFonts w:cstheme="minorHAnsi"/>
        </w:rPr>
        <w:t xml:space="preserve"> </w:t>
      </w:r>
      <w:r w:rsidRPr="00F16251">
        <w:rPr>
          <w:rFonts w:cstheme="minorHAnsi"/>
        </w:rPr>
        <w:t>zasady</w:t>
      </w:r>
      <w:r w:rsidR="003B50ED" w:rsidRPr="00F16251">
        <w:rPr>
          <w:rFonts w:cstheme="minorHAnsi"/>
        </w:rPr>
        <w:t xml:space="preserve"> </w:t>
      </w:r>
      <w:r w:rsidRPr="00F16251">
        <w:rPr>
          <w:rFonts w:cstheme="minorHAnsi"/>
        </w:rPr>
        <w:t>dokonywania</w:t>
      </w:r>
      <w:r w:rsidR="003B50ED" w:rsidRPr="00F16251">
        <w:rPr>
          <w:rFonts w:cstheme="minorHAnsi"/>
        </w:rPr>
        <w:t xml:space="preserve"> </w:t>
      </w:r>
      <w:r w:rsidRPr="00F16251">
        <w:rPr>
          <w:rFonts w:cstheme="minorHAnsi"/>
        </w:rPr>
        <w:t>zmian</w:t>
      </w:r>
      <w:r w:rsidR="003B50ED" w:rsidRPr="00F16251">
        <w:rPr>
          <w:rFonts w:cstheme="minorHAnsi"/>
        </w:rPr>
        <w:t xml:space="preserve"> </w:t>
      </w:r>
      <w:r w:rsidRPr="00F16251">
        <w:rPr>
          <w:rFonts w:cstheme="minorHAnsi"/>
        </w:rPr>
        <w:t>statutu</w:t>
      </w:r>
      <w:r w:rsidR="003B50ED" w:rsidRPr="00F16251">
        <w:rPr>
          <w:rFonts w:cstheme="minorHAnsi"/>
        </w:rPr>
        <w:t xml:space="preserve"> </w:t>
      </w:r>
      <w:r w:rsidRPr="00F16251">
        <w:rPr>
          <w:rFonts w:cstheme="minorHAnsi"/>
        </w:rPr>
        <w:t>oraz</w:t>
      </w:r>
      <w:r w:rsidR="003B50ED" w:rsidRPr="00F16251">
        <w:rPr>
          <w:rFonts w:cstheme="minorHAnsi"/>
        </w:rPr>
        <w:t xml:space="preserve"> </w:t>
      </w:r>
      <w:r w:rsidRPr="00F16251">
        <w:rPr>
          <w:rFonts w:cstheme="minorHAnsi"/>
        </w:rPr>
        <w:t>sposób</w:t>
      </w:r>
      <w:r w:rsidR="003B50ED" w:rsidRPr="00F16251">
        <w:rPr>
          <w:rFonts w:cstheme="minorHAnsi"/>
        </w:rPr>
        <w:t xml:space="preserve"> </w:t>
      </w:r>
      <w:r w:rsidRPr="00F16251">
        <w:rPr>
          <w:rFonts w:cstheme="minorHAnsi"/>
        </w:rPr>
        <w:t>rozwiązania</w:t>
      </w:r>
      <w:r w:rsidR="003B50ED" w:rsidRPr="00F16251">
        <w:rPr>
          <w:rFonts w:cstheme="minorHAnsi"/>
        </w:rPr>
        <w:t xml:space="preserve"> </w:t>
      </w:r>
      <w:r w:rsidRPr="00F16251">
        <w:rPr>
          <w:rFonts w:cstheme="minorHAnsi"/>
        </w:rPr>
        <w:t>się</w:t>
      </w:r>
      <w:r w:rsidR="003B50ED" w:rsidRPr="00F16251">
        <w:rPr>
          <w:rFonts w:cstheme="minorHAnsi"/>
        </w:rPr>
        <w:t xml:space="preserve"> </w:t>
      </w:r>
      <w:r w:rsidRPr="00F16251">
        <w:rPr>
          <w:rFonts w:cstheme="minorHAnsi"/>
        </w:rPr>
        <w:t>stowarzyszenia.</w:t>
      </w:r>
      <w:r w:rsidR="003B50ED" w:rsidRPr="00F16251">
        <w:rPr>
          <w:rFonts w:cstheme="minorHAnsi"/>
        </w:rPr>
        <w:t xml:space="preserve"> </w:t>
      </w:r>
      <w:r w:rsidRPr="00F16251">
        <w:rPr>
          <w:rFonts w:cstheme="minorHAnsi"/>
        </w:rPr>
        <w:t>Wskazuje</w:t>
      </w:r>
      <w:r w:rsidR="003B50ED" w:rsidRPr="00F16251">
        <w:rPr>
          <w:rFonts w:cstheme="minorHAnsi"/>
        </w:rPr>
        <w:t xml:space="preserve"> </w:t>
      </w:r>
      <w:r w:rsidRPr="00F16251">
        <w:rPr>
          <w:rFonts w:cstheme="minorHAnsi"/>
        </w:rPr>
        <w:t>ponadto</w:t>
      </w:r>
      <w:r w:rsidR="003B50ED" w:rsidRPr="00F16251">
        <w:rPr>
          <w:rFonts w:cstheme="minorHAnsi"/>
        </w:rPr>
        <w:t xml:space="preserve"> </w:t>
      </w:r>
      <w:r w:rsidRPr="00F16251">
        <w:rPr>
          <w:rFonts w:cstheme="minorHAnsi"/>
        </w:rPr>
        <w:t>organ</w:t>
      </w:r>
      <w:r w:rsidR="003B50ED" w:rsidRPr="00F16251">
        <w:rPr>
          <w:rFonts w:cstheme="minorHAnsi"/>
        </w:rPr>
        <w:t xml:space="preserve"> </w:t>
      </w:r>
      <w:r w:rsidRPr="00F16251">
        <w:rPr>
          <w:rFonts w:cstheme="minorHAnsi"/>
        </w:rPr>
        <w:t>nadzoru</w:t>
      </w:r>
      <w:r w:rsidR="003B50ED" w:rsidRPr="00F16251">
        <w:rPr>
          <w:rFonts w:cstheme="minorHAnsi"/>
        </w:rPr>
        <w:t xml:space="preserve"> </w:t>
      </w:r>
      <w:r w:rsidRPr="00F16251">
        <w:rPr>
          <w:rFonts w:cstheme="minorHAnsi"/>
        </w:rPr>
        <w:t>nad</w:t>
      </w:r>
      <w:r w:rsidR="003B50ED" w:rsidRPr="00F16251">
        <w:rPr>
          <w:rFonts w:cstheme="minorHAnsi"/>
        </w:rPr>
        <w:t xml:space="preserve"> </w:t>
      </w:r>
      <w:r w:rsidRPr="00F16251">
        <w:rPr>
          <w:rFonts w:cstheme="minorHAnsi"/>
        </w:rPr>
        <w:t>stowarzyszeniem,</w:t>
      </w:r>
      <w:r w:rsidR="003B50ED" w:rsidRPr="00F16251">
        <w:rPr>
          <w:rFonts w:cstheme="minorHAnsi"/>
        </w:rPr>
        <w:t xml:space="preserve"> </w:t>
      </w:r>
      <w:r w:rsidRPr="00F16251">
        <w:rPr>
          <w:rFonts w:cstheme="minorHAnsi"/>
        </w:rPr>
        <w:t>jakim</w:t>
      </w:r>
      <w:r w:rsidR="003B50ED" w:rsidRPr="00F16251">
        <w:rPr>
          <w:rFonts w:cstheme="minorHAnsi"/>
        </w:rPr>
        <w:t xml:space="preserve"> </w:t>
      </w:r>
      <w:r w:rsidRPr="00F16251">
        <w:rPr>
          <w:rFonts w:cstheme="minorHAnsi"/>
        </w:rPr>
        <w:t>jest</w:t>
      </w:r>
      <w:r w:rsidR="003B50ED" w:rsidRPr="00F16251">
        <w:rPr>
          <w:rFonts w:cstheme="minorHAnsi"/>
        </w:rPr>
        <w:t xml:space="preserve"> </w:t>
      </w:r>
      <w:r w:rsidRPr="00F16251">
        <w:rPr>
          <w:rFonts w:cstheme="minorHAnsi"/>
        </w:rPr>
        <w:t>Marszałek</w:t>
      </w:r>
      <w:r w:rsidR="003B50ED" w:rsidRPr="00F16251">
        <w:rPr>
          <w:rFonts w:cstheme="minorHAnsi"/>
        </w:rPr>
        <w:t xml:space="preserve"> </w:t>
      </w:r>
      <w:r w:rsidRPr="00F16251">
        <w:rPr>
          <w:rFonts w:cstheme="minorHAnsi"/>
        </w:rPr>
        <w:t>Województwa</w:t>
      </w:r>
      <w:r w:rsidR="003B50ED" w:rsidRPr="00F16251">
        <w:rPr>
          <w:rFonts w:cstheme="minorHAnsi"/>
        </w:rPr>
        <w:t xml:space="preserve"> </w:t>
      </w:r>
      <w:r w:rsidR="00211340" w:rsidRPr="00F16251">
        <w:rPr>
          <w:rFonts w:cstheme="minorHAnsi"/>
        </w:rPr>
        <w:t>Wielkopolskiego</w:t>
      </w:r>
      <w:r w:rsidR="003B50ED" w:rsidRPr="00F16251">
        <w:rPr>
          <w:rFonts w:cstheme="minorHAnsi"/>
        </w:rPr>
        <w:t xml:space="preserve">, </w:t>
      </w:r>
      <w:r w:rsidR="00D53B90" w:rsidRPr="00F16251">
        <w:rPr>
          <w:rFonts w:cstheme="minorHAnsi"/>
        </w:rPr>
        <w:t>a</w:t>
      </w:r>
      <w:r w:rsidR="003B50ED" w:rsidRPr="00F16251">
        <w:rPr>
          <w:rFonts w:cstheme="minorHAnsi"/>
        </w:rPr>
        <w:t xml:space="preserve"> </w:t>
      </w:r>
      <w:r w:rsidR="00D53B90" w:rsidRPr="00F16251">
        <w:rPr>
          <w:rFonts w:cstheme="minorHAnsi"/>
        </w:rPr>
        <w:t>także</w:t>
      </w:r>
      <w:r w:rsidR="003B50ED" w:rsidRPr="00F16251">
        <w:rPr>
          <w:rFonts w:cstheme="minorHAnsi"/>
        </w:rPr>
        <w:t xml:space="preserve"> </w:t>
      </w:r>
      <w:r w:rsidR="00D53B90" w:rsidRPr="00F16251">
        <w:rPr>
          <w:rFonts w:cstheme="minorHAnsi"/>
        </w:rPr>
        <w:t>określa</w:t>
      </w:r>
      <w:r w:rsidR="003B50ED" w:rsidRPr="00F16251">
        <w:rPr>
          <w:rFonts w:cstheme="minorHAnsi"/>
        </w:rPr>
        <w:t xml:space="preserve"> </w:t>
      </w:r>
      <w:r w:rsidR="00D53B90" w:rsidRPr="00F16251">
        <w:rPr>
          <w:rFonts w:cstheme="minorHAnsi"/>
        </w:rPr>
        <w:t>organ</w:t>
      </w:r>
      <w:r w:rsidR="003B50ED" w:rsidRPr="00F16251">
        <w:rPr>
          <w:rFonts w:cstheme="minorHAnsi"/>
        </w:rPr>
        <w:t xml:space="preserve"> </w:t>
      </w:r>
      <w:r w:rsidR="00D53B90" w:rsidRPr="00F16251">
        <w:rPr>
          <w:rFonts w:cstheme="minorHAnsi"/>
        </w:rPr>
        <w:t>kompetentny</w:t>
      </w:r>
      <w:r w:rsidR="003B50ED" w:rsidRPr="00F16251">
        <w:rPr>
          <w:rFonts w:cstheme="minorHAnsi"/>
        </w:rPr>
        <w:t xml:space="preserve"> </w:t>
      </w:r>
      <w:r w:rsidR="00D53B90" w:rsidRPr="00F16251">
        <w:rPr>
          <w:rFonts w:cstheme="minorHAnsi"/>
        </w:rPr>
        <w:t>w</w:t>
      </w:r>
      <w:r w:rsidR="003B50ED" w:rsidRPr="00F16251">
        <w:rPr>
          <w:rFonts w:cstheme="minorHAnsi"/>
        </w:rPr>
        <w:t xml:space="preserve"> </w:t>
      </w:r>
      <w:r w:rsidR="00D53B90" w:rsidRPr="00F16251">
        <w:rPr>
          <w:rFonts w:cstheme="minorHAnsi"/>
        </w:rPr>
        <w:t>zakresie</w:t>
      </w:r>
      <w:r w:rsidR="003B50ED" w:rsidRPr="00F16251">
        <w:rPr>
          <w:rFonts w:cstheme="minorHAnsi"/>
        </w:rPr>
        <w:t xml:space="preserve"> </w:t>
      </w:r>
      <w:r w:rsidR="00D53B90" w:rsidRPr="00F16251">
        <w:rPr>
          <w:rFonts w:cstheme="minorHAnsi"/>
        </w:rPr>
        <w:t>uchwalenia</w:t>
      </w:r>
      <w:r w:rsidR="003B50ED" w:rsidRPr="00F16251">
        <w:rPr>
          <w:rFonts w:cstheme="minorHAnsi"/>
        </w:rPr>
        <w:t xml:space="preserve"> </w:t>
      </w:r>
      <w:r w:rsidR="00D53B90" w:rsidRPr="00F16251">
        <w:rPr>
          <w:rFonts w:cstheme="minorHAnsi"/>
        </w:rPr>
        <w:t>LSR</w:t>
      </w:r>
      <w:r w:rsidR="003B50ED" w:rsidRPr="00F16251">
        <w:rPr>
          <w:rFonts w:cstheme="minorHAnsi"/>
        </w:rPr>
        <w:t xml:space="preserve"> </w:t>
      </w:r>
      <w:r w:rsidR="00D53B90" w:rsidRPr="00F16251">
        <w:rPr>
          <w:rFonts w:cstheme="minorHAnsi"/>
        </w:rPr>
        <w:t>(W</w:t>
      </w:r>
      <w:r w:rsidR="00B50849" w:rsidRPr="00F16251">
        <w:rPr>
          <w:rFonts w:cstheme="minorHAnsi"/>
        </w:rPr>
        <w:t xml:space="preserve">alne </w:t>
      </w:r>
      <w:r w:rsidR="00D53B90" w:rsidRPr="00F16251">
        <w:rPr>
          <w:rFonts w:cstheme="minorHAnsi"/>
        </w:rPr>
        <w:t>Z</w:t>
      </w:r>
      <w:r w:rsidR="00B50849" w:rsidRPr="00F16251">
        <w:rPr>
          <w:rFonts w:cstheme="minorHAnsi"/>
        </w:rPr>
        <w:t xml:space="preserve">ebranie </w:t>
      </w:r>
      <w:r w:rsidR="00D53B90" w:rsidRPr="00F16251">
        <w:rPr>
          <w:rFonts w:cstheme="minorHAnsi"/>
        </w:rPr>
        <w:t>C</w:t>
      </w:r>
      <w:r w:rsidR="00B50849" w:rsidRPr="00F16251">
        <w:rPr>
          <w:rFonts w:cstheme="minorHAnsi"/>
        </w:rPr>
        <w:t>złonków</w:t>
      </w:r>
      <w:r w:rsidR="00D53B90" w:rsidRPr="00F16251">
        <w:rPr>
          <w:rFonts w:cstheme="minorHAnsi"/>
        </w:rPr>
        <w:t>)</w:t>
      </w:r>
      <w:r w:rsidR="003B50ED" w:rsidRPr="00F16251">
        <w:rPr>
          <w:rFonts w:cstheme="minorHAnsi"/>
        </w:rPr>
        <w:t xml:space="preserve"> </w:t>
      </w:r>
      <w:r w:rsidR="00D53B90" w:rsidRPr="00F16251">
        <w:rPr>
          <w:rFonts w:cstheme="minorHAnsi"/>
        </w:rPr>
        <w:t>i</w:t>
      </w:r>
      <w:r w:rsidR="003B50ED" w:rsidRPr="00F16251">
        <w:rPr>
          <w:rFonts w:cstheme="minorHAnsi"/>
        </w:rPr>
        <w:t xml:space="preserve"> </w:t>
      </w:r>
      <w:r w:rsidR="00D53B90" w:rsidRPr="00F16251">
        <w:rPr>
          <w:rFonts w:cstheme="minorHAnsi"/>
        </w:rPr>
        <w:t>jej</w:t>
      </w:r>
      <w:r w:rsidR="003B50ED" w:rsidRPr="00F16251">
        <w:rPr>
          <w:rFonts w:cstheme="minorHAnsi"/>
        </w:rPr>
        <w:t xml:space="preserve"> </w:t>
      </w:r>
      <w:r w:rsidR="00D53B90" w:rsidRPr="00F16251">
        <w:rPr>
          <w:rFonts w:cstheme="minorHAnsi"/>
        </w:rPr>
        <w:t>aktualizacji</w:t>
      </w:r>
      <w:r w:rsidR="003B50ED" w:rsidRPr="00F16251">
        <w:rPr>
          <w:rFonts w:cstheme="minorHAnsi"/>
        </w:rPr>
        <w:t xml:space="preserve"> </w:t>
      </w:r>
      <w:r w:rsidR="00D53B90" w:rsidRPr="00D02820">
        <w:rPr>
          <w:rFonts w:cstheme="minorHAnsi"/>
        </w:rPr>
        <w:t>(w</w:t>
      </w:r>
      <w:r w:rsidR="003B50ED" w:rsidRPr="00D02820">
        <w:rPr>
          <w:rFonts w:cstheme="minorHAnsi"/>
        </w:rPr>
        <w:t xml:space="preserve"> </w:t>
      </w:r>
      <w:r w:rsidR="00D53B90" w:rsidRPr="00D02820">
        <w:rPr>
          <w:rFonts w:cstheme="minorHAnsi"/>
        </w:rPr>
        <w:t>zależności</w:t>
      </w:r>
      <w:r w:rsidR="003B50ED" w:rsidRPr="00D02820">
        <w:rPr>
          <w:rFonts w:cstheme="minorHAnsi"/>
        </w:rPr>
        <w:t xml:space="preserve"> </w:t>
      </w:r>
      <w:r w:rsidR="00D53B90" w:rsidRPr="00D02820">
        <w:rPr>
          <w:rFonts w:cstheme="minorHAnsi"/>
        </w:rPr>
        <w:t>od</w:t>
      </w:r>
      <w:r w:rsidR="003B50ED" w:rsidRPr="00D02820">
        <w:rPr>
          <w:rFonts w:cstheme="minorHAnsi"/>
        </w:rPr>
        <w:t xml:space="preserve"> </w:t>
      </w:r>
      <w:r w:rsidR="00D53B90" w:rsidRPr="00D02820">
        <w:rPr>
          <w:rFonts w:cstheme="minorHAnsi"/>
        </w:rPr>
        <w:t>zakresu</w:t>
      </w:r>
      <w:r w:rsidR="003B50ED" w:rsidRPr="00D02820">
        <w:rPr>
          <w:rFonts w:cstheme="minorHAnsi"/>
        </w:rPr>
        <w:t xml:space="preserve"> </w:t>
      </w:r>
      <w:r w:rsidR="00D53B90" w:rsidRPr="00D02820">
        <w:rPr>
          <w:rFonts w:cstheme="minorHAnsi"/>
        </w:rPr>
        <w:t>może</w:t>
      </w:r>
      <w:r w:rsidR="003B50ED" w:rsidRPr="00D02820">
        <w:rPr>
          <w:rFonts w:cstheme="minorHAnsi"/>
        </w:rPr>
        <w:t xml:space="preserve"> </w:t>
      </w:r>
      <w:r w:rsidR="00D53B90" w:rsidRPr="00D02820">
        <w:rPr>
          <w:rFonts w:cstheme="minorHAnsi"/>
        </w:rPr>
        <w:t>to</w:t>
      </w:r>
      <w:r w:rsidR="003B50ED" w:rsidRPr="00D02820">
        <w:rPr>
          <w:rFonts w:cstheme="minorHAnsi"/>
        </w:rPr>
        <w:t xml:space="preserve"> </w:t>
      </w:r>
      <w:r w:rsidR="00D53B90" w:rsidRPr="00D02820">
        <w:rPr>
          <w:rFonts w:cstheme="minorHAnsi"/>
        </w:rPr>
        <w:t>być</w:t>
      </w:r>
      <w:r w:rsidR="003B50ED" w:rsidRPr="00D02820">
        <w:rPr>
          <w:rFonts w:cstheme="minorHAnsi"/>
        </w:rPr>
        <w:t xml:space="preserve"> </w:t>
      </w:r>
      <w:r w:rsidR="00D53B90" w:rsidRPr="00D02820">
        <w:rPr>
          <w:rFonts w:cstheme="minorHAnsi"/>
        </w:rPr>
        <w:t>Zarząd</w:t>
      </w:r>
      <w:r w:rsidR="003B50ED" w:rsidRPr="00D02820">
        <w:rPr>
          <w:rFonts w:cstheme="minorHAnsi"/>
        </w:rPr>
        <w:t xml:space="preserve"> </w:t>
      </w:r>
      <w:r w:rsidR="00D53B90" w:rsidRPr="00D02820">
        <w:rPr>
          <w:rFonts w:cstheme="minorHAnsi"/>
        </w:rPr>
        <w:t>lub</w:t>
      </w:r>
      <w:r w:rsidR="003B50ED" w:rsidRPr="00D02820">
        <w:rPr>
          <w:rFonts w:cstheme="minorHAnsi"/>
        </w:rPr>
        <w:t xml:space="preserve"> </w:t>
      </w:r>
      <w:r w:rsidR="00D53B90" w:rsidRPr="00D02820">
        <w:rPr>
          <w:rFonts w:cstheme="minorHAnsi"/>
        </w:rPr>
        <w:t>WZC).</w:t>
      </w:r>
      <w:r w:rsidR="003B50ED" w:rsidRPr="00D02820">
        <w:rPr>
          <w:rFonts w:cstheme="minorHAnsi"/>
        </w:rPr>
        <w:t xml:space="preserve"> </w:t>
      </w:r>
      <w:r w:rsidR="00D53B90" w:rsidRPr="00F16251">
        <w:rPr>
          <w:rFonts w:cstheme="minorHAnsi"/>
        </w:rPr>
        <w:t>Statut</w:t>
      </w:r>
      <w:r w:rsidR="003B50ED" w:rsidRPr="00F16251">
        <w:rPr>
          <w:rFonts w:cstheme="minorHAnsi"/>
        </w:rPr>
        <w:t xml:space="preserve"> </w:t>
      </w:r>
      <w:r w:rsidR="00D53B90" w:rsidRPr="00F16251">
        <w:rPr>
          <w:rFonts w:cstheme="minorHAnsi"/>
        </w:rPr>
        <w:t>zawiera</w:t>
      </w:r>
      <w:r w:rsidR="003B50ED" w:rsidRPr="00F16251">
        <w:rPr>
          <w:rFonts w:cstheme="minorHAnsi"/>
        </w:rPr>
        <w:t xml:space="preserve"> </w:t>
      </w:r>
      <w:r w:rsidR="00D53B90" w:rsidRPr="00F16251">
        <w:rPr>
          <w:rFonts w:cstheme="minorHAnsi"/>
        </w:rPr>
        <w:t>również</w:t>
      </w:r>
      <w:r w:rsidR="003B50ED" w:rsidRPr="00F16251">
        <w:rPr>
          <w:rFonts w:cstheme="minorHAnsi"/>
        </w:rPr>
        <w:t xml:space="preserve"> </w:t>
      </w:r>
      <w:r w:rsidR="00D53B90" w:rsidRPr="00F16251">
        <w:rPr>
          <w:rFonts w:cstheme="minorHAnsi"/>
        </w:rPr>
        <w:t>zobowiązanie</w:t>
      </w:r>
      <w:r w:rsidR="003B50ED" w:rsidRPr="00F16251">
        <w:rPr>
          <w:rFonts w:cstheme="minorHAnsi"/>
        </w:rPr>
        <w:t xml:space="preserve"> </w:t>
      </w:r>
      <w:r w:rsidR="00D53B90" w:rsidRPr="00F16251">
        <w:rPr>
          <w:rFonts w:cstheme="minorHAnsi"/>
        </w:rPr>
        <w:t>do</w:t>
      </w:r>
      <w:r w:rsidR="003B50ED" w:rsidRPr="00F16251">
        <w:rPr>
          <w:rFonts w:cstheme="minorHAnsi"/>
        </w:rPr>
        <w:t xml:space="preserve"> </w:t>
      </w:r>
      <w:r w:rsidR="00D53B90" w:rsidRPr="00F16251">
        <w:rPr>
          <w:rFonts w:cstheme="minorHAnsi"/>
        </w:rPr>
        <w:t>stosowania</w:t>
      </w:r>
      <w:r w:rsidR="003B50ED" w:rsidRPr="00F16251">
        <w:rPr>
          <w:rFonts w:cstheme="minorHAnsi"/>
        </w:rPr>
        <w:t xml:space="preserve"> </w:t>
      </w:r>
      <w:r w:rsidR="00D53B90" w:rsidRPr="00F16251">
        <w:rPr>
          <w:rFonts w:cstheme="minorHAnsi"/>
        </w:rPr>
        <w:t>zasad</w:t>
      </w:r>
      <w:r w:rsidR="003B50ED" w:rsidRPr="00F16251">
        <w:rPr>
          <w:rFonts w:cstheme="minorHAnsi"/>
        </w:rPr>
        <w:t xml:space="preserve"> </w:t>
      </w:r>
      <w:r w:rsidR="00D53B90" w:rsidRPr="00F16251">
        <w:rPr>
          <w:rFonts w:cstheme="minorHAnsi"/>
        </w:rPr>
        <w:t>pogłębionego</w:t>
      </w:r>
      <w:r w:rsidR="003B50ED" w:rsidRPr="00F16251">
        <w:rPr>
          <w:rFonts w:cstheme="minorHAnsi"/>
        </w:rPr>
        <w:t xml:space="preserve"> </w:t>
      </w:r>
      <w:r w:rsidR="00D53B90" w:rsidRPr="00F16251">
        <w:rPr>
          <w:rFonts w:cstheme="minorHAnsi"/>
        </w:rPr>
        <w:t>partnerstwa</w:t>
      </w:r>
      <w:r w:rsidR="003B50ED" w:rsidRPr="00F16251">
        <w:rPr>
          <w:rFonts w:cstheme="minorHAnsi"/>
        </w:rPr>
        <w:t xml:space="preserve"> </w:t>
      </w:r>
      <w:r w:rsidR="00D53B90" w:rsidRPr="00F16251">
        <w:rPr>
          <w:rFonts w:cstheme="minorHAnsi"/>
        </w:rPr>
        <w:t>i</w:t>
      </w:r>
      <w:r w:rsidR="003B50ED" w:rsidRPr="00F16251">
        <w:rPr>
          <w:rFonts w:cstheme="minorHAnsi"/>
        </w:rPr>
        <w:t xml:space="preserve"> </w:t>
      </w:r>
      <w:r w:rsidR="00D53B90" w:rsidRPr="00F16251">
        <w:rPr>
          <w:rFonts w:cstheme="minorHAnsi"/>
        </w:rPr>
        <w:t>skutecznej</w:t>
      </w:r>
      <w:r w:rsidR="003B50ED" w:rsidRPr="00F16251">
        <w:rPr>
          <w:rFonts w:cstheme="minorHAnsi"/>
        </w:rPr>
        <w:t xml:space="preserve"> </w:t>
      </w:r>
      <w:r w:rsidR="00D53B90" w:rsidRPr="00F16251">
        <w:rPr>
          <w:rFonts w:cstheme="minorHAnsi"/>
        </w:rPr>
        <w:t>komunikacji</w:t>
      </w:r>
      <w:r w:rsidR="003B50ED" w:rsidRPr="00F16251">
        <w:rPr>
          <w:rFonts w:cstheme="minorHAnsi"/>
        </w:rPr>
        <w:t xml:space="preserve"> </w:t>
      </w:r>
      <w:r w:rsidR="00D53B90" w:rsidRPr="00F16251">
        <w:rPr>
          <w:rFonts w:cstheme="minorHAnsi"/>
        </w:rPr>
        <w:t>oraz</w:t>
      </w:r>
      <w:r w:rsidR="003B50ED" w:rsidRPr="00F16251">
        <w:rPr>
          <w:rFonts w:cstheme="minorHAnsi"/>
        </w:rPr>
        <w:t xml:space="preserve"> </w:t>
      </w:r>
      <w:r w:rsidR="00D53B90" w:rsidRPr="00F16251">
        <w:rPr>
          <w:rFonts w:cstheme="minorHAnsi"/>
        </w:rPr>
        <w:t>korzystania</w:t>
      </w:r>
      <w:r w:rsidR="003B50ED" w:rsidRPr="00F16251">
        <w:rPr>
          <w:rFonts w:cstheme="minorHAnsi"/>
        </w:rPr>
        <w:t xml:space="preserve"> </w:t>
      </w:r>
      <w:r w:rsidR="00D53B90" w:rsidRPr="00F16251">
        <w:rPr>
          <w:rFonts w:cstheme="minorHAnsi"/>
        </w:rPr>
        <w:t>z</w:t>
      </w:r>
      <w:r w:rsidR="003B50ED" w:rsidRPr="00F16251">
        <w:rPr>
          <w:rFonts w:cstheme="minorHAnsi"/>
        </w:rPr>
        <w:t xml:space="preserve"> </w:t>
      </w:r>
      <w:r w:rsidR="00D53B90" w:rsidRPr="00F16251">
        <w:rPr>
          <w:rFonts w:cstheme="minorHAnsi"/>
        </w:rPr>
        <w:t>możliwości</w:t>
      </w:r>
      <w:r w:rsidR="003B50ED" w:rsidRPr="00F16251">
        <w:rPr>
          <w:rFonts w:cstheme="minorHAnsi"/>
        </w:rPr>
        <w:t xml:space="preserve"> </w:t>
      </w:r>
      <w:r w:rsidR="00D53B90" w:rsidRPr="00F16251">
        <w:rPr>
          <w:rFonts w:cstheme="minorHAnsi"/>
        </w:rPr>
        <w:t>kolegialnego</w:t>
      </w:r>
      <w:r w:rsidR="003B50ED" w:rsidRPr="00F16251">
        <w:rPr>
          <w:rFonts w:cstheme="minorHAnsi"/>
        </w:rPr>
        <w:t xml:space="preserve"> </w:t>
      </w:r>
      <w:r w:rsidR="00D53B90" w:rsidRPr="00F16251">
        <w:rPr>
          <w:rFonts w:cstheme="minorHAnsi"/>
        </w:rPr>
        <w:t>podejmowania</w:t>
      </w:r>
      <w:r w:rsidR="003B50ED" w:rsidRPr="00F16251">
        <w:rPr>
          <w:rFonts w:cstheme="minorHAnsi"/>
        </w:rPr>
        <w:t xml:space="preserve"> </w:t>
      </w:r>
      <w:r w:rsidR="00D53B90" w:rsidRPr="00F16251">
        <w:rPr>
          <w:rFonts w:cstheme="minorHAnsi"/>
        </w:rPr>
        <w:t>decyzji</w:t>
      </w:r>
      <w:r w:rsidR="003B50ED" w:rsidRPr="00F16251">
        <w:rPr>
          <w:rFonts w:cstheme="minorHAnsi"/>
        </w:rPr>
        <w:t xml:space="preserve"> </w:t>
      </w:r>
      <w:r w:rsidR="00D53B90" w:rsidRPr="00F16251">
        <w:rPr>
          <w:rFonts w:cstheme="minorHAnsi"/>
        </w:rPr>
        <w:t>(możliwość</w:t>
      </w:r>
      <w:r w:rsidR="003B50ED" w:rsidRPr="00F16251">
        <w:rPr>
          <w:rFonts w:cstheme="minorHAnsi"/>
        </w:rPr>
        <w:t xml:space="preserve"> </w:t>
      </w:r>
      <w:r w:rsidR="00D53B90" w:rsidRPr="00F16251">
        <w:rPr>
          <w:rFonts w:cstheme="minorHAnsi"/>
        </w:rPr>
        <w:t>powoływania</w:t>
      </w:r>
      <w:r w:rsidR="003B50ED" w:rsidRPr="00F16251">
        <w:rPr>
          <w:rFonts w:cstheme="minorHAnsi"/>
        </w:rPr>
        <w:t xml:space="preserve"> </w:t>
      </w:r>
      <w:r w:rsidR="00D53B90" w:rsidRPr="00F16251">
        <w:rPr>
          <w:rFonts w:cstheme="minorHAnsi"/>
        </w:rPr>
        <w:t>zespołów).</w:t>
      </w:r>
      <w:r w:rsidR="003B50ED" w:rsidRPr="00F16251">
        <w:rPr>
          <w:rFonts w:cstheme="minorHAnsi"/>
        </w:rPr>
        <w:t xml:space="preserve"> </w:t>
      </w:r>
      <w:r w:rsidR="00D53B90" w:rsidRPr="00F16251">
        <w:rPr>
          <w:rFonts w:cstheme="minorHAnsi"/>
        </w:rPr>
        <w:t>Dokument</w:t>
      </w:r>
      <w:r w:rsidR="003B50ED" w:rsidRPr="00F16251">
        <w:rPr>
          <w:rFonts w:cstheme="minorHAnsi"/>
        </w:rPr>
        <w:t xml:space="preserve"> </w:t>
      </w:r>
      <w:r w:rsidR="00D53B90" w:rsidRPr="00F16251">
        <w:rPr>
          <w:rFonts w:cstheme="minorHAnsi"/>
        </w:rPr>
        <w:t>ten</w:t>
      </w:r>
      <w:r w:rsidR="003B50ED" w:rsidRPr="00F16251">
        <w:rPr>
          <w:rFonts w:cstheme="minorHAnsi"/>
        </w:rPr>
        <w:t xml:space="preserve"> </w:t>
      </w:r>
      <w:r w:rsidR="00D53B90" w:rsidRPr="00F16251">
        <w:rPr>
          <w:rFonts w:cstheme="minorHAnsi"/>
        </w:rPr>
        <w:t>wskazuje</w:t>
      </w:r>
      <w:r w:rsidR="003B50ED" w:rsidRPr="00F16251">
        <w:rPr>
          <w:rFonts w:cstheme="minorHAnsi"/>
        </w:rPr>
        <w:t xml:space="preserve"> </w:t>
      </w:r>
      <w:r w:rsidR="00D53B90" w:rsidRPr="00F16251">
        <w:rPr>
          <w:rFonts w:cstheme="minorHAnsi"/>
        </w:rPr>
        <w:t>również</w:t>
      </w:r>
      <w:r w:rsidR="003B50ED" w:rsidRPr="00F16251">
        <w:rPr>
          <w:rFonts w:cstheme="minorHAnsi"/>
        </w:rPr>
        <w:t xml:space="preserve"> </w:t>
      </w:r>
      <w:r w:rsidR="00D53B90" w:rsidRPr="00F16251">
        <w:rPr>
          <w:rFonts w:cstheme="minorHAnsi"/>
        </w:rPr>
        <w:t>na</w:t>
      </w:r>
      <w:r w:rsidR="003B50ED" w:rsidRPr="00F16251">
        <w:rPr>
          <w:rFonts w:cstheme="minorHAnsi"/>
        </w:rPr>
        <w:t xml:space="preserve"> </w:t>
      </w:r>
      <w:r w:rsidR="00D53B90" w:rsidRPr="00F16251">
        <w:rPr>
          <w:rFonts w:cstheme="minorHAnsi"/>
        </w:rPr>
        <w:t>gotowość</w:t>
      </w:r>
      <w:r w:rsidR="003B50ED" w:rsidRPr="00F16251">
        <w:rPr>
          <w:rFonts w:cstheme="minorHAnsi"/>
        </w:rPr>
        <w:t xml:space="preserve"> </w:t>
      </w:r>
      <w:r w:rsidR="00D53B90" w:rsidRPr="00F16251">
        <w:rPr>
          <w:rFonts w:cstheme="minorHAnsi"/>
        </w:rPr>
        <w:t>na</w:t>
      </w:r>
      <w:r w:rsidR="003B50ED" w:rsidRPr="00F16251">
        <w:rPr>
          <w:rFonts w:cstheme="minorHAnsi"/>
        </w:rPr>
        <w:t xml:space="preserve"> </w:t>
      </w:r>
      <w:r w:rsidR="00D53B90" w:rsidRPr="00F16251">
        <w:rPr>
          <w:rFonts w:cstheme="minorHAnsi"/>
        </w:rPr>
        <w:t>poszerzanie</w:t>
      </w:r>
      <w:r w:rsidR="003B50ED" w:rsidRPr="00F16251">
        <w:rPr>
          <w:rFonts w:cstheme="minorHAnsi"/>
        </w:rPr>
        <w:t xml:space="preserve"> </w:t>
      </w:r>
      <w:r w:rsidR="00D53B90" w:rsidRPr="00F16251">
        <w:rPr>
          <w:rFonts w:cstheme="minorHAnsi"/>
        </w:rPr>
        <w:t>partnerstwa</w:t>
      </w:r>
      <w:r w:rsidR="003B50ED" w:rsidRPr="00F16251">
        <w:rPr>
          <w:rFonts w:cstheme="minorHAnsi"/>
        </w:rPr>
        <w:t xml:space="preserve"> </w:t>
      </w:r>
      <w:r w:rsidR="00D53B90" w:rsidRPr="00F16251">
        <w:rPr>
          <w:rFonts w:cstheme="minorHAnsi"/>
        </w:rPr>
        <w:t>(otwartość</w:t>
      </w:r>
      <w:r w:rsidR="003B50ED" w:rsidRPr="00F16251">
        <w:rPr>
          <w:rFonts w:cstheme="minorHAnsi"/>
        </w:rPr>
        <w:t xml:space="preserve"> </w:t>
      </w:r>
      <w:r w:rsidR="00D53B90" w:rsidRPr="00F16251">
        <w:rPr>
          <w:rFonts w:cstheme="minorHAnsi"/>
        </w:rPr>
        <w:t>na</w:t>
      </w:r>
      <w:r w:rsidR="003B50ED" w:rsidRPr="00F16251">
        <w:rPr>
          <w:rFonts w:cstheme="minorHAnsi"/>
        </w:rPr>
        <w:t xml:space="preserve"> </w:t>
      </w:r>
      <w:r w:rsidR="00D53B90" w:rsidRPr="00F16251">
        <w:rPr>
          <w:rFonts w:cstheme="minorHAnsi"/>
        </w:rPr>
        <w:t>nowych</w:t>
      </w:r>
      <w:r w:rsidR="003B50ED" w:rsidRPr="00F16251">
        <w:rPr>
          <w:rFonts w:cstheme="minorHAnsi"/>
        </w:rPr>
        <w:t xml:space="preserve"> </w:t>
      </w:r>
      <w:r w:rsidR="00D53B90" w:rsidRPr="00F16251">
        <w:rPr>
          <w:rFonts w:cstheme="minorHAnsi"/>
        </w:rPr>
        <w:t>członków),</w:t>
      </w:r>
      <w:r w:rsidR="003B50ED" w:rsidRPr="00F16251">
        <w:rPr>
          <w:rFonts w:cstheme="minorHAnsi"/>
        </w:rPr>
        <w:t xml:space="preserve"> </w:t>
      </w:r>
      <w:r w:rsidR="00D53B90" w:rsidRPr="00F16251">
        <w:rPr>
          <w:rFonts w:cstheme="minorHAnsi"/>
        </w:rPr>
        <w:t>kadencyjność</w:t>
      </w:r>
      <w:r w:rsidR="003B50ED" w:rsidRPr="00F16251">
        <w:rPr>
          <w:rFonts w:cstheme="minorHAnsi"/>
        </w:rPr>
        <w:t xml:space="preserve"> </w:t>
      </w:r>
      <w:r w:rsidR="00D53B90" w:rsidRPr="00F16251">
        <w:rPr>
          <w:rFonts w:cstheme="minorHAnsi"/>
        </w:rPr>
        <w:t>organów</w:t>
      </w:r>
      <w:r w:rsidR="003B50ED" w:rsidRPr="00F16251">
        <w:rPr>
          <w:rFonts w:cstheme="minorHAnsi"/>
        </w:rPr>
        <w:t xml:space="preserve"> </w:t>
      </w:r>
      <w:r w:rsidR="00D53B90" w:rsidRPr="00F16251">
        <w:rPr>
          <w:rFonts w:cstheme="minorHAnsi"/>
        </w:rPr>
        <w:t>LGD</w:t>
      </w:r>
      <w:r w:rsidR="003B50ED" w:rsidRPr="00F16251">
        <w:rPr>
          <w:rFonts w:cstheme="minorHAnsi"/>
        </w:rPr>
        <w:t xml:space="preserve"> </w:t>
      </w:r>
      <w:r w:rsidR="00D53B90" w:rsidRPr="00F16251">
        <w:rPr>
          <w:rFonts w:cstheme="minorHAnsi"/>
        </w:rPr>
        <w:t>oraz</w:t>
      </w:r>
      <w:r w:rsidR="003B50ED" w:rsidRPr="00F16251">
        <w:rPr>
          <w:rFonts w:cstheme="minorHAnsi"/>
        </w:rPr>
        <w:t xml:space="preserve"> </w:t>
      </w:r>
      <w:r w:rsidR="00D53B90" w:rsidRPr="00F16251">
        <w:rPr>
          <w:rFonts w:cstheme="minorHAnsi"/>
        </w:rPr>
        <w:t>otwartość</w:t>
      </w:r>
      <w:r w:rsidR="003B50ED" w:rsidRPr="00F16251">
        <w:rPr>
          <w:rFonts w:cstheme="minorHAnsi"/>
        </w:rPr>
        <w:t xml:space="preserve"> </w:t>
      </w:r>
      <w:r w:rsidR="00D53B90" w:rsidRPr="00F16251">
        <w:rPr>
          <w:rFonts w:cstheme="minorHAnsi"/>
        </w:rPr>
        <w:t>na</w:t>
      </w:r>
      <w:r w:rsidR="003B50ED" w:rsidRPr="00F16251">
        <w:rPr>
          <w:rFonts w:cstheme="minorHAnsi"/>
        </w:rPr>
        <w:t xml:space="preserve"> </w:t>
      </w:r>
      <w:r w:rsidR="00D53B90" w:rsidRPr="00F16251">
        <w:rPr>
          <w:rFonts w:cstheme="minorHAnsi"/>
        </w:rPr>
        <w:t>szeroko</w:t>
      </w:r>
      <w:r w:rsidR="003B50ED" w:rsidRPr="00F16251">
        <w:rPr>
          <w:rFonts w:cstheme="minorHAnsi"/>
        </w:rPr>
        <w:t xml:space="preserve"> </w:t>
      </w:r>
      <w:r w:rsidR="00B50849" w:rsidRPr="00F16251">
        <w:rPr>
          <w:rFonts w:cstheme="minorHAnsi"/>
        </w:rPr>
        <w:t xml:space="preserve">rozumianą </w:t>
      </w:r>
      <w:r w:rsidR="00D53B90" w:rsidRPr="00F16251">
        <w:rPr>
          <w:rFonts w:cstheme="minorHAnsi"/>
        </w:rPr>
        <w:t>współpracę.</w:t>
      </w:r>
      <w:r w:rsidR="003B50ED" w:rsidRPr="00F16251">
        <w:rPr>
          <w:rFonts w:cstheme="minorHAnsi"/>
        </w:rPr>
        <w:t xml:space="preserve"> </w:t>
      </w:r>
      <w:r w:rsidR="00D53B90" w:rsidRPr="00F16251">
        <w:rPr>
          <w:rFonts w:cstheme="minorHAnsi"/>
        </w:rPr>
        <w:t>Dodatkowo,</w:t>
      </w:r>
      <w:r w:rsidR="003B50ED" w:rsidRPr="00F16251">
        <w:rPr>
          <w:rFonts w:cstheme="minorHAnsi"/>
        </w:rPr>
        <w:t xml:space="preserve"> </w:t>
      </w:r>
      <w:r w:rsidR="00D53B90" w:rsidRPr="00F16251">
        <w:rPr>
          <w:rFonts w:cstheme="minorHAnsi"/>
        </w:rPr>
        <w:t>Statut</w:t>
      </w:r>
      <w:r w:rsidR="003B50ED" w:rsidRPr="00F16251">
        <w:rPr>
          <w:rFonts w:cstheme="minorHAnsi"/>
        </w:rPr>
        <w:t xml:space="preserve"> </w:t>
      </w:r>
      <w:r w:rsidR="00D53B90" w:rsidRPr="00F16251">
        <w:rPr>
          <w:rFonts w:cstheme="minorHAnsi"/>
        </w:rPr>
        <w:t>zawiera</w:t>
      </w:r>
      <w:r w:rsidR="003B50ED" w:rsidRPr="00F16251">
        <w:rPr>
          <w:rFonts w:cstheme="minorHAnsi"/>
        </w:rPr>
        <w:t xml:space="preserve"> </w:t>
      </w:r>
      <w:r w:rsidR="00D53B90" w:rsidRPr="00F16251">
        <w:rPr>
          <w:rFonts w:cstheme="minorHAnsi"/>
        </w:rPr>
        <w:t>zapis</w:t>
      </w:r>
      <w:r w:rsidR="003B50ED" w:rsidRPr="00F16251">
        <w:rPr>
          <w:rFonts w:cstheme="minorHAnsi"/>
        </w:rPr>
        <w:t xml:space="preserve"> </w:t>
      </w:r>
      <w:r w:rsidR="00D53B90" w:rsidRPr="00F16251">
        <w:rPr>
          <w:rFonts w:cstheme="minorHAnsi"/>
        </w:rPr>
        <w:t>o</w:t>
      </w:r>
      <w:r w:rsidR="003B50ED" w:rsidRPr="00F16251">
        <w:rPr>
          <w:rFonts w:cstheme="minorHAnsi"/>
        </w:rPr>
        <w:t xml:space="preserve"> </w:t>
      </w:r>
      <w:r w:rsidR="00D53B90" w:rsidRPr="00F16251">
        <w:rPr>
          <w:rFonts w:cstheme="minorHAnsi"/>
        </w:rPr>
        <w:t>możliwości</w:t>
      </w:r>
      <w:r w:rsidR="003B50ED" w:rsidRPr="00F16251">
        <w:rPr>
          <w:rFonts w:cstheme="minorHAnsi"/>
        </w:rPr>
        <w:t xml:space="preserve"> </w:t>
      </w:r>
      <w:r w:rsidR="00D53B90" w:rsidRPr="00F16251">
        <w:rPr>
          <w:rFonts w:cstheme="minorHAnsi"/>
        </w:rPr>
        <w:t>zwołania</w:t>
      </w:r>
      <w:r w:rsidR="003B50ED" w:rsidRPr="00F16251">
        <w:rPr>
          <w:rFonts w:cstheme="minorHAnsi"/>
        </w:rPr>
        <w:t xml:space="preserve"> </w:t>
      </w:r>
      <w:r w:rsidR="00D53B90" w:rsidRPr="00F16251">
        <w:rPr>
          <w:rFonts w:cstheme="minorHAnsi"/>
        </w:rPr>
        <w:t>W</w:t>
      </w:r>
      <w:r w:rsidR="00B50849" w:rsidRPr="00F16251">
        <w:rPr>
          <w:rFonts w:cstheme="minorHAnsi"/>
        </w:rPr>
        <w:t xml:space="preserve">alnego </w:t>
      </w:r>
      <w:r w:rsidR="00D53B90" w:rsidRPr="00F16251">
        <w:rPr>
          <w:rFonts w:cstheme="minorHAnsi"/>
        </w:rPr>
        <w:t>Z</w:t>
      </w:r>
      <w:r w:rsidR="00B50849" w:rsidRPr="00F16251">
        <w:rPr>
          <w:rFonts w:cstheme="minorHAnsi"/>
        </w:rPr>
        <w:t xml:space="preserve">ebrania </w:t>
      </w:r>
      <w:r w:rsidR="00D53B90" w:rsidRPr="00F16251">
        <w:rPr>
          <w:rFonts w:cstheme="minorHAnsi"/>
        </w:rPr>
        <w:t>C</w:t>
      </w:r>
      <w:r w:rsidR="00B50849" w:rsidRPr="00F16251">
        <w:rPr>
          <w:rFonts w:cstheme="minorHAnsi"/>
        </w:rPr>
        <w:t>złonków</w:t>
      </w:r>
      <w:r w:rsidR="002308F2" w:rsidRPr="00F16251">
        <w:rPr>
          <w:rFonts w:cstheme="minorHAnsi"/>
        </w:rPr>
        <w:t xml:space="preserve"> </w:t>
      </w:r>
      <w:r w:rsidR="00D53B90" w:rsidRPr="00F16251">
        <w:rPr>
          <w:rFonts w:cstheme="minorHAnsi"/>
        </w:rPr>
        <w:t>na</w:t>
      </w:r>
      <w:r w:rsidR="003B50ED" w:rsidRPr="00F16251">
        <w:rPr>
          <w:rFonts w:cstheme="minorHAnsi"/>
        </w:rPr>
        <w:t xml:space="preserve"> </w:t>
      </w:r>
      <w:r w:rsidR="00D53B90" w:rsidRPr="00F16251">
        <w:rPr>
          <w:rFonts w:cstheme="minorHAnsi"/>
        </w:rPr>
        <w:t>wniosek</w:t>
      </w:r>
      <w:r w:rsidR="003B50ED" w:rsidRPr="00F16251">
        <w:rPr>
          <w:rFonts w:cstheme="minorHAnsi"/>
        </w:rPr>
        <w:t xml:space="preserve"> </w:t>
      </w:r>
      <w:r w:rsidR="00D53B90" w:rsidRPr="00F16251">
        <w:rPr>
          <w:rFonts w:cstheme="minorHAnsi"/>
        </w:rPr>
        <w:t>wąskiej</w:t>
      </w:r>
      <w:r w:rsidR="003B50ED" w:rsidRPr="00F16251">
        <w:rPr>
          <w:rFonts w:cstheme="minorHAnsi"/>
        </w:rPr>
        <w:t xml:space="preserve"> </w:t>
      </w:r>
      <w:r w:rsidR="00D53B90" w:rsidRPr="00F16251">
        <w:rPr>
          <w:rFonts w:cstheme="minorHAnsi"/>
        </w:rPr>
        <w:t>grupy</w:t>
      </w:r>
      <w:r w:rsidR="003B50ED" w:rsidRPr="00F16251">
        <w:rPr>
          <w:rFonts w:cstheme="minorHAnsi"/>
        </w:rPr>
        <w:t xml:space="preserve"> </w:t>
      </w:r>
      <w:r w:rsidR="00D53B90" w:rsidRPr="00F16251">
        <w:rPr>
          <w:rFonts w:cstheme="minorHAnsi"/>
        </w:rPr>
        <w:t>członków</w:t>
      </w:r>
      <w:r w:rsidR="003B50ED" w:rsidRPr="00F16251">
        <w:rPr>
          <w:rFonts w:cstheme="minorHAnsi"/>
        </w:rPr>
        <w:t xml:space="preserve"> </w:t>
      </w:r>
      <w:r w:rsidR="00D53B90" w:rsidRPr="00F16251">
        <w:rPr>
          <w:rFonts w:cstheme="minorHAnsi"/>
        </w:rPr>
        <w:t>oraz</w:t>
      </w:r>
      <w:r w:rsidR="003B50ED" w:rsidRPr="00F16251">
        <w:rPr>
          <w:rFonts w:cstheme="minorHAnsi"/>
        </w:rPr>
        <w:t xml:space="preserve"> </w:t>
      </w:r>
      <w:r w:rsidR="00D53B90" w:rsidRPr="00F16251">
        <w:rPr>
          <w:rFonts w:cstheme="minorHAnsi"/>
        </w:rPr>
        <w:t>ograniczenia</w:t>
      </w:r>
      <w:r w:rsidR="003B50ED" w:rsidRPr="00F16251">
        <w:rPr>
          <w:rFonts w:cstheme="minorHAnsi"/>
        </w:rPr>
        <w:t xml:space="preserve"> </w:t>
      </w:r>
      <w:r w:rsidR="00D53B90" w:rsidRPr="00F16251">
        <w:rPr>
          <w:rFonts w:cstheme="minorHAnsi"/>
        </w:rPr>
        <w:t>zakresu</w:t>
      </w:r>
      <w:r w:rsidR="003B50ED" w:rsidRPr="00F16251">
        <w:rPr>
          <w:rFonts w:cstheme="minorHAnsi"/>
        </w:rPr>
        <w:t xml:space="preserve"> </w:t>
      </w:r>
      <w:r w:rsidR="00D53B90" w:rsidRPr="00F16251">
        <w:rPr>
          <w:rFonts w:cstheme="minorHAnsi"/>
        </w:rPr>
        <w:t>czynności,</w:t>
      </w:r>
      <w:r w:rsidR="003B50ED" w:rsidRPr="00F16251">
        <w:rPr>
          <w:rFonts w:cstheme="minorHAnsi"/>
        </w:rPr>
        <w:t xml:space="preserve"> </w:t>
      </w:r>
      <w:r w:rsidR="00D53B90" w:rsidRPr="00F16251">
        <w:rPr>
          <w:rFonts w:cstheme="minorHAnsi"/>
        </w:rPr>
        <w:t>co</w:t>
      </w:r>
      <w:r w:rsidR="003B50ED" w:rsidRPr="00F16251">
        <w:rPr>
          <w:rFonts w:cstheme="minorHAnsi"/>
        </w:rPr>
        <w:t xml:space="preserve"> </w:t>
      </w:r>
      <w:r w:rsidR="00D53B90" w:rsidRPr="00F16251">
        <w:rPr>
          <w:rFonts w:cstheme="minorHAnsi"/>
        </w:rPr>
        <w:t>do</w:t>
      </w:r>
      <w:r w:rsidR="003B50ED" w:rsidRPr="00F16251">
        <w:rPr>
          <w:rFonts w:cstheme="minorHAnsi"/>
        </w:rPr>
        <w:t xml:space="preserve"> </w:t>
      </w:r>
      <w:r w:rsidR="00D53B90" w:rsidRPr="00F16251">
        <w:rPr>
          <w:rFonts w:cstheme="minorHAnsi"/>
        </w:rPr>
        <w:t>których</w:t>
      </w:r>
      <w:r w:rsidR="003B50ED" w:rsidRPr="00F16251">
        <w:rPr>
          <w:rFonts w:cstheme="minorHAnsi"/>
        </w:rPr>
        <w:t xml:space="preserve"> </w:t>
      </w:r>
      <w:r w:rsidR="00B50849" w:rsidRPr="00F16251">
        <w:rPr>
          <w:rFonts w:cstheme="minorHAnsi"/>
        </w:rPr>
        <w:t>Z</w:t>
      </w:r>
      <w:r w:rsidR="00D53B90" w:rsidRPr="00F16251">
        <w:rPr>
          <w:rFonts w:cstheme="minorHAnsi"/>
        </w:rPr>
        <w:t>arząd</w:t>
      </w:r>
      <w:r w:rsidR="003B50ED" w:rsidRPr="00F16251">
        <w:rPr>
          <w:rFonts w:cstheme="minorHAnsi"/>
        </w:rPr>
        <w:t xml:space="preserve"> </w:t>
      </w:r>
      <w:r w:rsidR="00D53B90" w:rsidRPr="00F16251">
        <w:rPr>
          <w:rFonts w:cstheme="minorHAnsi"/>
        </w:rPr>
        <w:t>podejmuje</w:t>
      </w:r>
      <w:r w:rsidR="003B50ED" w:rsidRPr="00F16251">
        <w:rPr>
          <w:rFonts w:cstheme="minorHAnsi"/>
        </w:rPr>
        <w:t xml:space="preserve"> </w:t>
      </w:r>
      <w:r w:rsidR="00D53B90" w:rsidRPr="00F16251">
        <w:rPr>
          <w:rFonts w:cstheme="minorHAnsi"/>
        </w:rPr>
        <w:t>decyzje</w:t>
      </w:r>
      <w:r w:rsidR="003B50ED" w:rsidRPr="00F16251">
        <w:rPr>
          <w:rFonts w:cstheme="minorHAnsi"/>
        </w:rPr>
        <w:t xml:space="preserve"> </w:t>
      </w:r>
      <w:r w:rsidR="00D53B90" w:rsidRPr="00F16251">
        <w:rPr>
          <w:rFonts w:cstheme="minorHAnsi"/>
        </w:rPr>
        <w:t>bez</w:t>
      </w:r>
      <w:r w:rsidR="003B50ED" w:rsidRPr="00F16251">
        <w:rPr>
          <w:rFonts w:cstheme="minorHAnsi"/>
        </w:rPr>
        <w:t xml:space="preserve"> </w:t>
      </w:r>
      <w:r w:rsidR="00D53B90" w:rsidRPr="00F16251">
        <w:rPr>
          <w:rFonts w:cstheme="minorHAnsi"/>
        </w:rPr>
        <w:t>konsultacji/uzgodnienia</w:t>
      </w:r>
      <w:r w:rsidR="003B50ED" w:rsidRPr="00F16251">
        <w:rPr>
          <w:rFonts w:cstheme="minorHAnsi"/>
        </w:rPr>
        <w:t xml:space="preserve"> </w:t>
      </w:r>
      <w:r w:rsidR="00D53B90" w:rsidRPr="00F16251">
        <w:rPr>
          <w:rFonts w:cstheme="minorHAnsi"/>
        </w:rPr>
        <w:t>z</w:t>
      </w:r>
      <w:r w:rsidR="003B50ED" w:rsidRPr="00F16251">
        <w:rPr>
          <w:rFonts w:cstheme="minorHAnsi"/>
        </w:rPr>
        <w:t xml:space="preserve"> </w:t>
      </w:r>
      <w:r w:rsidR="00D53B90" w:rsidRPr="00F16251">
        <w:rPr>
          <w:rFonts w:cstheme="minorHAnsi"/>
        </w:rPr>
        <w:t>pozostałymi</w:t>
      </w:r>
      <w:r w:rsidR="003B50ED" w:rsidRPr="00F16251">
        <w:rPr>
          <w:rFonts w:cstheme="minorHAnsi"/>
        </w:rPr>
        <w:t xml:space="preserve"> </w:t>
      </w:r>
      <w:r w:rsidR="00D53B90" w:rsidRPr="00F16251">
        <w:rPr>
          <w:rFonts w:cstheme="minorHAnsi"/>
        </w:rPr>
        <w:t>członkami</w:t>
      </w:r>
      <w:r w:rsidR="003B50ED" w:rsidRPr="00F16251">
        <w:rPr>
          <w:rFonts w:cstheme="minorHAnsi"/>
        </w:rPr>
        <w:t xml:space="preserve"> </w:t>
      </w:r>
      <w:r w:rsidR="00D53B90" w:rsidRPr="00F16251">
        <w:rPr>
          <w:rFonts w:cstheme="minorHAnsi"/>
        </w:rPr>
        <w:t>LGD.</w:t>
      </w:r>
      <w:r w:rsidR="003B50ED" w:rsidRPr="00F16251">
        <w:rPr>
          <w:rFonts w:cstheme="minorHAnsi"/>
        </w:rPr>
        <w:t xml:space="preserve"> </w:t>
      </w:r>
      <w:r w:rsidR="00D53B90" w:rsidRPr="00F16251">
        <w:rPr>
          <w:rFonts w:cstheme="minorHAnsi"/>
        </w:rPr>
        <w:t>Również</w:t>
      </w:r>
      <w:r w:rsidR="003B50ED" w:rsidRPr="00F16251">
        <w:rPr>
          <w:rFonts w:cstheme="minorHAnsi"/>
        </w:rPr>
        <w:t xml:space="preserve"> </w:t>
      </w:r>
      <w:r w:rsidR="00D53B90" w:rsidRPr="00F16251">
        <w:rPr>
          <w:rFonts w:cstheme="minorHAnsi"/>
        </w:rPr>
        <w:t>w</w:t>
      </w:r>
      <w:r w:rsidR="003B50ED" w:rsidRPr="00F16251">
        <w:rPr>
          <w:rFonts w:cstheme="minorHAnsi"/>
        </w:rPr>
        <w:t xml:space="preserve"> </w:t>
      </w:r>
      <w:r w:rsidR="00D53B90" w:rsidRPr="00F16251">
        <w:rPr>
          <w:rFonts w:cstheme="minorHAnsi"/>
        </w:rPr>
        <w:t>Statucie</w:t>
      </w:r>
      <w:r w:rsidR="003B50ED" w:rsidRPr="00F16251">
        <w:rPr>
          <w:rFonts w:cstheme="minorHAnsi"/>
        </w:rPr>
        <w:t xml:space="preserve"> </w:t>
      </w:r>
      <w:r w:rsidR="00D53B90" w:rsidRPr="00F16251">
        <w:rPr>
          <w:rFonts w:cstheme="minorHAnsi"/>
        </w:rPr>
        <w:t>znajdują</w:t>
      </w:r>
      <w:r w:rsidR="003B50ED" w:rsidRPr="00F16251">
        <w:rPr>
          <w:rFonts w:cstheme="minorHAnsi"/>
        </w:rPr>
        <w:t xml:space="preserve"> </w:t>
      </w:r>
      <w:r w:rsidR="00D53B90" w:rsidRPr="00F16251">
        <w:rPr>
          <w:rFonts w:cstheme="minorHAnsi"/>
        </w:rPr>
        <w:t>się</w:t>
      </w:r>
      <w:r w:rsidR="003B50ED" w:rsidRPr="00F16251">
        <w:rPr>
          <w:rFonts w:cstheme="minorHAnsi"/>
        </w:rPr>
        <w:t xml:space="preserve"> </w:t>
      </w:r>
      <w:r w:rsidR="00D53B90" w:rsidRPr="00F16251">
        <w:rPr>
          <w:rFonts w:cstheme="minorHAnsi"/>
        </w:rPr>
        <w:t>zapisy</w:t>
      </w:r>
      <w:r w:rsidR="003B50ED" w:rsidRPr="00F16251">
        <w:rPr>
          <w:rFonts w:cstheme="minorHAnsi"/>
        </w:rPr>
        <w:t xml:space="preserve"> </w:t>
      </w:r>
      <w:r w:rsidR="00D53B90" w:rsidRPr="00F16251">
        <w:rPr>
          <w:rFonts w:cstheme="minorHAnsi"/>
        </w:rPr>
        <w:t>potwierdzające</w:t>
      </w:r>
      <w:r w:rsidR="003B50ED" w:rsidRPr="00F16251">
        <w:rPr>
          <w:rFonts w:cstheme="minorHAnsi"/>
        </w:rPr>
        <w:t xml:space="preserve"> </w:t>
      </w:r>
      <w:r w:rsidR="00D53B90" w:rsidRPr="00F16251">
        <w:rPr>
          <w:rFonts w:cstheme="minorHAnsi"/>
        </w:rPr>
        <w:t>otwartość</w:t>
      </w:r>
      <w:r w:rsidR="003B50ED" w:rsidRPr="00F16251">
        <w:rPr>
          <w:rFonts w:cstheme="minorHAnsi"/>
        </w:rPr>
        <w:t xml:space="preserve"> </w:t>
      </w:r>
      <w:r w:rsidR="00D53B90" w:rsidRPr="00F16251">
        <w:rPr>
          <w:rFonts w:cstheme="minorHAnsi"/>
        </w:rPr>
        <w:t>na</w:t>
      </w:r>
      <w:r w:rsidR="003B50ED" w:rsidRPr="00F16251">
        <w:rPr>
          <w:rFonts w:cstheme="minorHAnsi"/>
        </w:rPr>
        <w:t xml:space="preserve"> </w:t>
      </w:r>
      <w:r w:rsidR="00D53B90" w:rsidRPr="00F16251">
        <w:rPr>
          <w:rFonts w:cstheme="minorHAnsi"/>
        </w:rPr>
        <w:t>inicjatywy</w:t>
      </w:r>
      <w:r w:rsidR="003B50ED" w:rsidRPr="00F16251">
        <w:rPr>
          <w:rFonts w:cstheme="minorHAnsi"/>
        </w:rPr>
        <w:t xml:space="preserve"> </w:t>
      </w:r>
      <w:r w:rsidR="00D53B90" w:rsidRPr="00F16251">
        <w:rPr>
          <w:rFonts w:cstheme="minorHAnsi"/>
        </w:rPr>
        <w:t>członków</w:t>
      </w:r>
      <w:r w:rsidR="003B50ED" w:rsidRPr="00F16251">
        <w:rPr>
          <w:rFonts w:cstheme="minorHAnsi"/>
        </w:rPr>
        <w:t xml:space="preserve"> </w:t>
      </w:r>
      <w:r w:rsidR="00B50849" w:rsidRPr="00F16251">
        <w:rPr>
          <w:rFonts w:cstheme="minorHAnsi"/>
        </w:rPr>
        <w:t>Stowarzyszenia „Solidarni w Partnerstwie”</w:t>
      </w:r>
      <w:r w:rsidR="00D53B90" w:rsidRPr="00F16251">
        <w:rPr>
          <w:rFonts w:cstheme="minorHAnsi"/>
        </w:rPr>
        <w:t>.</w:t>
      </w:r>
    </w:p>
    <w:p w14:paraId="378D4B04" w14:textId="532C8BA3" w:rsidR="00DF60A0" w:rsidRPr="00F16251" w:rsidRDefault="00DF60A0" w:rsidP="00A26C26">
      <w:pPr>
        <w:spacing w:line="276" w:lineRule="auto"/>
        <w:ind w:firstLine="284"/>
        <w:jc w:val="both"/>
        <w:rPr>
          <w:rFonts w:cstheme="minorHAnsi"/>
        </w:rPr>
      </w:pPr>
      <w:r w:rsidRPr="00F16251">
        <w:rPr>
          <w:rFonts w:cstheme="minorHAnsi"/>
        </w:rPr>
        <w:t>Regulamin</w:t>
      </w:r>
      <w:r w:rsidR="003B50ED" w:rsidRPr="00F16251">
        <w:rPr>
          <w:rFonts w:cstheme="minorHAnsi"/>
        </w:rPr>
        <w:t xml:space="preserve"> </w:t>
      </w:r>
      <w:r w:rsidRPr="00F16251">
        <w:rPr>
          <w:rFonts w:cstheme="minorHAnsi"/>
        </w:rPr>
        <w:t>funkcjonowania</w:t>
      </w:r>
      <w:r w:rsidR="003B50ED" w:rsidRPr="00F16251">
        <w:rPr>
          <w:rFonts w:cstheme="minorHAnsi"/>
        </w:rPr>
        <w:t xml:space="preserve"> </w:t>
      </w:r>
      <w:r w:rsidRPr="00F16251">
        <w:rPr>
          <w:rFonts w:cstheme="minorHAnsi"/>
        </w:rPr>
        <w:t>Rady</w:t>
      </w:r>
      <w:r w:rsidR="003B50ED" w:rsidRPr="00F16251">
        <w:rPr>
          <w:rFonts w:cstheme="minorHAnsi"/>
        </w:rPr>
        <w:t xml:space="preserve"> </w:t>
      </w:r>
      <w:r w:rsidRPr="00F16251">
        <w:rPr>
          <w:rFonts w:cstheme="minorHAnsi"/>
        </w:rPr>
        <w:t>reguluje</w:t>
      </w:r>
      <w:r w:rsidR="003B50ED" w:rsidRPr="00F16251">
        <w:rPr>
          <w:rFonts w:cstheme="minorHAnsi"/>
        </w:rPr>
        <w:t xml:space="preserve"> </w:t>
      </w:r>
      <w:r w:rsidRPr="00F16251">
        <w:rPr>
          <w:rFonts w:cstheme="minorHAnsi"/>
        </w:rPr>
        <w:t>najważniejsze</w:t>
      </w:r>
      <w:r w:rsidR="003B50ED" w:rsidRPr="00F16251">
        <w:rPr>
          <w:rFonts w:cstheme="minorHAnsi"/>
        </w:rPr>
        <w:t xml:space="preserve"> </w:t>
      </w:r>
      <w:r w:rsidRPr="00F16251">
        <w:rPr>
          <w:rFonts w:cstheme="minorHAnsi"/>
        </w:rPr>
        <w:t>kwestie</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zakresie</w:t>
      </w:r>
      <w:r w:rsidR="003B50ED" w:rsidRPr="00F16251">
        <w:rPr>
          <w:rFonts w:cstheme="minorHAnsi"/>
        </w:rPr>
        <w:t xml:space="preserve"> </w:t>
      </w:r>
      <w:r w:rsidRPr="00F16251">
        <w:rPr>
          <w:rFonts w:cstheme="minorHAnsi"/>
        </w:rPr>
        <w:t>funkcjonowania</w:t>
      </w:r>
      <w:r w:rsidR="003B50ED" w:rsidRPr="00F16251">
        <w:rPr>
          <w:rFonts w:cstheme="minorHAnsi"/>
        </w:rPr>
        <w:t xml:space="preserve"> </w:t>
      </w:r>
      <w:r w:rsidRPr="00F16251">
        <w:rPr>
          <w:rFonts w:cstheme="minorHAnsi"/>
        </w:rPr>
        <w:t>tego</w:t>
      </w:r>
      <w:r w:rsidR="003B50ED" w:rsidRPr="00F16251">
        <w:rPr>
          <w:rFonts w:cstheme="minorHAnsi"/>
        </w:rPr>
        <w:t xml:space="preserve"> </w:t>
      </w:r>
      <w:r w:rsidRPr="00F16251">
        <w:rPr>
          <w:rFonts w:cstheme="minorHAnsi"/>
        </w:rPr>
        <w:t>organu.</w:t>
      </w:r>
      <w:r w:rsidR="003B50ED" w:rsidRPr="00F16251">
        <w:rPr>
          <w:rFonts w:cstheme="minorHAnsi"/>
        </w:rPr>
        <w:t xml:space="preserve"> </w:t>
      </w:r>
      <w:r w:rsidRPr="00F16251">
        <w:rPr>
          <w:rFonts w:cstheme="minorHAnsi"/>
        </w:rPr>
        <w:t>Rada</w:t>
      </w:r>
      <w:r w:rsidR="003B50ED" w:rsidRPr="00F16251">
        <w:rPr>
          <w:rFonts w:cstheme="minorHAnsi"/>
        </w:rPr>
        <w:t xml:space="preserve"> </w:t>
      </w:r>
      <w:r w:rsidRPr="00F16251">
        <w:rPr>
          <w:rFonts w:cstheme="minorHAnsi"/>
        </w:rPr>
        <w:t>powoływana</w:t>
      </w:r>
      <w:r w:rsidR="003B50ED" w:rsidRPr="00F16251">
        <w:rPr>
          <w:rFonts w:cstheme="minorHAnsi"/>
        </w:rPr>
        <w:t xml:space="preserve"> </w:t>
      </w:r>
      <w:r w:rsidRPr="00F16251">
        <w:rPr>
          <w:rFonts w:cstheme="minorHAnsi"/>
        </w:rPr>
        <w:t>jest</w:t>
      </w:r>
      <w:r w:rsidR="003B50ED" w:rsidRPr="00F16251">
        <w:rPr>
          <w:rFonts w:cstheme="minorHAnsi"/>
        </w:rPr>
        <w:t xml:space="preserve"> </w:t>
      </w:r>
      <w:r w:rsidRPr="00F16251">
        <w:rPr>
          <w:rFonts w:cstheme="minorHAnsi"/>
        </w:rPr>
        <w:t>przez</w:t>
      </w:r>
      <w:r w:rsidR="003B50ED" w:rsidRPr="00F16251">
        <w:rPr>
          <w:rFonts w:cstheme="minorHAnsi"/>
        </w:rPr>
        <w:t xml:space="preserve"> </w:t>
      </w:r>
      <w:r w:rsidRPr="00F16251">
        <w:rPr>
          <w:rFonts w:cstheme="minorHAnsi"/>
        </w:rPr>
        <w:t>Walne</w:t>
      </w:r>
      <w:r w:rsidR="003B50ED" w:rsidRPr="00F16251">
        <w:rPr>
          <w:rFonts w:cstheme="minorHAnsi"/>
        </w:rPr>
        <w:t xml:space="preserve"> </w:t>
      </w:r>
      <w:r w:rsidRPr="00F16251">
        <w:rPr>
          <w:rFonts w:cstheme="minorHAnsi"/>
        </w:rPr>
        <w:t>Zebranie</w:t>
      </w:r>
      <w:r w:rsidR="003B50ED" w:rsidRPr="00F16251">
        <w:rPr>
          <w:rFonts w:cstheme="minorHAnsi"/>
        </w:rPr>
        <w:t xml:space="preserve"> </w:t>
      </w:r>
      <w:r w:rsidRPr="00F16251">
        <w:rPr>
          <w:rFonts w:cstheme="minorHAnsi"/>
        </w:rPr>
        <w:t>Członków.</w:t>
      </w:r>
      <w:r w:rsidR="003B50ED" w:rsidRPr="00F16251">
        <w:rPr>
          <w:rFonts w:cstheme="minorHAnsi"/>
        </w:rPr>
        <w:t xml:space="preserve"> </w:t>
      </w:r>
      <w:r w:rsidR="00B50849" w:rsidRPr="00F16251">
        <w:rPr>
          <w:rFonts w:cstheme="minorHAnsi"/>
        </w:rPr>
        <w:t>R</w:t>
      </w:r>
      <w:r w:rsidRPr="00F16251">
        <w:rPr>
          <w:rFonts w:cstheme="minorHAnsi"/>
        </w:rPr>
        <w:t>egulamin</w:t>
      </w:r>
      <w:r w:rsidR="003B50ED" w:rsidRPr="00F16251">
        <w:rPr>
          <w:rFonts w:cstheme="minorHAnsi"/>
        </w:rPr>
        <w:t xml:space="preserve"> </w:t>
      </w:r>
      <w:r w:rsidR="00B50849" w:rsidRPr="00F16251">
        <w:rPr>
          <w:rFonts w:cstheme="minorHAnsi"/>
        </w:rPr>
        <w:t xml:space="preserve">określa </w:t>
      </w:r>
      <w:r w:rsidRPr="00F16251">
        <w:rPr>
          <w:rFonts w:cstheme="minorHAnsi"/>
        </w:rPr>
        <w:t>przede</w:t>
      </w:r>
      <w:r w:rsidR="003B50ED" w:rsidRPr="00F16251">
        <w:rPr>
          <w:rFonts w:cstheme="minorHAnsi"/>
        </w:rPr>
        <w:t xml:space="preserve"> </w:t>
      </w:r>
      <w:r w:rsidRPr="00F16251">
        <w:rPr>
          <w:rFonts w:cstheme="minorHAnsi"/>
        </w:rPr>
        <w:t>wszystkim</w:t>
      </w:r>
      <w:r w:rsidR="003B50ED" w:rsidRPr="00F16251">
        <w:rPr>
          <w:rFonts w:cstheme="minorHAnsi"/>
        </w:rPr>
        <w:t xml:space="preserve"> </w:t>
      </w:r>
      <w:r w:rsidRPr="00F16251">
        <w:rPr>
          <w:rFonts w:cstheme="minorHAnsi"/>
        </w:rPr>
        <w:t>szczegółowe</w:t>
      </w:r>
      <w:r w:rsidR="003B50ED" w:rsidRPr="00F16251">
        <w:rPr>
          <w:rFonts w:cstheme="minorHAnsi"/>
        </w:rPr>
        <w:t xml:space="preserve"> </w:t>
      </w:r>
      <w:r w:rsidRPr="00F16251">
        <w:rPr>
          <w:rFonts w:cstheme="minorHAnsi"/>
        </w:rPr>
        <w:t>kompetencje</w:t>
      </w:r>
      <w:r w:rsidR="003B50ED" w:rsidRPr="00F16251">
        <w:rPr>
          <w:rFonts w:cstheme="minorHAnsi"/>
        </w:rPr>
        <w:t xml:space="preserve"> </w:t>
      </w:r>
      <w:r w:rsidRPr="00F16251">
        <w:rPr>
          <w:rFonts w:cstheme="minorHAnsi"/>
        </w:rPr>
        <w:t>Rady,</w:t>
      </w:r>
      <w:r w:rsidR="003B50ED" w:rsidRPr="00F16251">
        <w:rPr>
          <w:rFonts w:cstheme="minorHAnsi"/>
        </w:rPr>
        <w:t xml:space="preserve"> </w:t>
      </w:r>
      <w:r w:rsidRPr="00F16251">
        <w:rPr>
          <w:rFonts w:cstheme="minorHAnsi"/>
        </w:rPr>
        <w:t>zasady</w:t>
      </w:r>
      <w:r w:rsidR="003B50ED" w:rsidRPr="00F16251">
        <w:rPr>
          <w:rFonts w:cstheme="minorHAnsi"/>
        </w:rPr>
        <w:t xml:space="preserve"> </w:t>
      </w:r>
      <w:r w:rsidRPr="00F16251">
        <w:rPr>
          <w:rFonts w:cstheme="minorHAnsi"/>
        </w:rPr>
        <w:t>zwoływania</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organizacji</w:t>
      </w:r>
      <w:r w:rsidR="003B50ED" w:rsidRPr="00F16251">
        <w:rPr>
          <w:rFonts w:cstheme="minorHAnsi"/>
        </w:rPr>
        <w:t xml:space="preserve"> </w:t>
      </w:r>
      <w:r w:rsidRPr="00F16251">
        <w:rPr>
          <w:rFonts w:cstheme="minorHAnsi"/>
        </w:rPr>
        <w:t>posiedzeń</w:t>
      </w:r>
      <w:r w:rsidR="003B50ED" w:rsidRPr="00F16251">
        <w:rPr>
          <w:rFonts w:cstheme="minorHAnsi"/>
        </w:rPr>
        <w:t xml:space="preserve"> </w:t>
      </w:r>
      <w:r w:rsidRPr="00F16251">
        <w:rPr>
          <w:rFonts w:cstheme="minorHAnsi"/>
        </w:rPr>
        <w:t>organu</w:t>
      </w:r>
      <w:r w:rsidR="003B50ED" w:rsidRPr="00F16251">
        <w:rPr>
          <w:rFonts w:cstheme="minorHAnsi"/>
        </w:rPr>
        <w:t xml:space="preserve"> </w:t>
      </w:r>
      <w:r w:rsidRPr="00F16251">
        <w:rPr>
          <w:rFonts w:cstheme="minorHAnsi"/>
        </w:rPr>
        <w:t>decyzyjnego,</w:t>
      </w:r>
      <w:r w:rsidR="003B50ED" w:rsidRPr="00F16251">
        <w:rPr>
          <w:rFonts w:cstheme="minorHAnsi"/>
        </w:rPr>
        <w:t xml:space="preserve"> </w:t>
      </w:r>
      <w:r w:rsidRPr="00F16251">
        <w:rPr>
          <w:rFonts w:cstheme="minorHAnsi"/>
        </w:rPr>
        <w:t>rozwiązania</w:t>
      </w:r>
      <w:r w:rsidR="003B50ED" w:rsidRPr="00F16251">
        <w:rPr>
          <w:rFonts w:cstheme="minorHAnsi"/>
        </w:rPr>
        <w:t xml:space="preserve"> </w:t>
      </w:r>
      <w:r w:rsidRPr="00F16251">
        <w:rPr>
          <w:rFonts w:cstheme="minorHAnsi"/>
        </w:rPr>
        <w:t>dotyczące</w:t>
      </w:r>
      <w:r w:rsidR="003B50ED" w:rsidRPr="00F16251">
        <w:rPr>
          <w:rFonts w:cstheme="minorHAnsi"/>
        </w:rPr>
        <w:t xml:space="preserve"> </w:t>
      </w:r>
      <w:r w:rsidRPr="00F16251">
        <w:rPr>
          <w:rFonts w:cstheme="minorHAnsi"/>
        </w:rPr>
        <w:t>wyłączenia</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oceny</w:t>
      </w:r>
      <w:r w:rsidR="003B50ED" w:rsidRPr="00F16251">
        <w:rPr>
          <w:rFonts w:cstheme="minorHAnsi"/>
        </w:rPr>
        <w:t xml:space="preserve"> </w:t>
      </w:r>
      <w:r w:rsidRPr="00F16251">
        <w:rPr>
          <w:rFonts w:cstheme="minorHAnsi"/>
        </w:rPr>
        <w:t>operacji</w:t>
      </w:r>
      <w:r w:rsidR="003B50ED" w:rsidRPr="00F16251">
        <w:rPr>
          <w:rFonts w:cstheme="minorHAnsi"/>
        </w:rPr>
        <w:t xml:space="preserve"> </w:t>
      </w:r>
      <w:r w:rsidRPr="00F16251">
        <w:rPr>
          <w:rFonts w:cstheme="minorHAnsi"/>
        </w:rPr>
        <w:t>(sposób</w:t>
      </w:r>
      <w:r w:rsidR="003B50ED" w:rsidRPr="00F16251">
        <w:rPr>
          <w:rFonts w:cstheme="minorHAnsi"/>
        </w:rPr>
        <w:t xml:space="preserve"> </w:t>
      </w:r>
      <w:r w:rsidRPr="00F16251">
        <w:rPr>
          <w:rFonts w:cstheme="minorHAnsi"/>
        </w:rPr>
        <w:t>wyłączenia</w:t>
      </w:r>
      <w:r w:rsidR="003B50ED" w:rsidRPr="00F16251">
        <w:rPr>
          <w:rFonts w:cstheme="minorHAnsi"/>
        </w:rPr>
        <w:t xml:space="preserve"> </w:t>
      </w:r>
      <w:r w:rsidRPr="00F16251">
        <w:rPr>
          <w:rFonts w:cstheme="minorHAnsi"/>
        </w:rPr>
        <w:t>członka</w:t>
      </w:r>
      <w:r w:rsidR="003B50ED" w:rsidRPr="00F16251">
        <w:rPr>
          <w:rFonts w:cstheme="minorHAnsi"/>
        </w:rPr>
        <w:t xml:space="preserve"> </w:t>
      </w:r>
      <w:r w:rsidRPr="00F16251">
        <w:rPr>
          <w:rFonts w:cstheme="minorHAnsi"/>
        </w:rPr>
        <w:t>organu</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oceny),</w:t>
      </w:r>
      <w:r w:rsidR="003B50ED" w:rsidRPr="00F16251">
        <w:rPr>
          <w:rFonts w:cstheme="minorHAnsi"/>
        </w:rPr>
        <w:t xml:space="preserve"> </w:t>
      </w:r>
      <w:r w:rsidRPr="00F16251">
        <w:rPr>
          <w:rFonts w:cstheme="minorHAnsi"/>
        </w:rPr>
        <w:t>zasady</w:t>
      </w:r>
      <w:r w:rsidR="003B50ED" w:rsidRPr="00F16251">
        <w:rPr>
          <w:rFonts w:cstheme="minorHAnsi"/>
        </w:rPr>
        <w:t xml:space="preserve"> </w:t>
      </w:r>
      <w:r w:rsidRPr="00F16251">
        <w:rPr>
          <w:rFonts w:cstheme="minorHAnsi"/>
        </w:rPr>
        <w:t>podejmowania</w:t>
      </w:r>
      <w:r w:rsidR="003B50ED" w:rsidRPr="00F16251">
        <w:rPr>
          <w:rFonts w:cstheme="minorHAnsi"/>
        </w:rPr>
        <w:t xml:space="preserve"> </w:t>
      </w:r>
      <w:r w:rsidRPr="00F16251">
        <w:rPr>
          <w:rFonts w:cstheme="minorHAnsi"/>
        </w:rPr>
        <w:t>decyzji</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sprawie</w:t>
      </w:r>
      <w:r w:rsidR="003B50ED" w:rsidRPr="00F16251">
        <w:rPr>
          <w:rFonts w:cstheme="minorHAnsi"/>
        </w:rPr>
        <w:t xml:space="preserve"> </w:t>
      </w:r>
      <w:r w:rsidRPr="00F16251">
        <w:rPr>
          <w:rFonts w:cstheme="minorHAnsi"/>
        </w:rPr>
        <w:t>wyboru</w:t>
      </w:r>
      <w:r w:rsidR="003B50ED" w:rsidRPr="00F16251">
        <w:rPr>
          <w:rFonts w:cstheme="minorHAnsi"/>
        </w:rPr>
        <w:t xml:space="preserve"> </w:t>
      </w:r>
      <w:r w:rsidRPr="00F16251">
        <w:rPr>
          <w:rFonts w:cstheme="minorHAnsi"/>
        </w:rPr>
        <w:t>operacji,</w:t>
      </w:r>
      <w:r w:rsidR="003B50ED" w:rsidRPr="00F16251">
        <w:rPr>
          <w:rFonts w:cstheme="minorHAnsi"/>
        </w:rPr>
        <w:t xml:space="preserve"> </w:t>
      </w:r>
      <w:r w:rsidRPr="00F16251">
        <w:rPr>
          <w:rFonts w:cstheme="minorHAnsi"/>
        </w:rPr>
        <w:t>zasady</w:t>
      </w:r>
      <w:r w:rsidR="003B50ED" w:rsidRPr="00F16251">
        <w:rPr>
          <w:rFonts w:cstheme="minorHAnsi"/>
        </w:rPr>
        <w:t xml:space="preserve"> </w:t>
      </w:r>
      <w:r w:rsidRPr="00F16251">
        <w:rPr>
          <w:rFonts w:cstheme="minorHAnsi"/>
        </w:rPr>
        <w:t>protokołowania</w:t>
      </w:r>
      <w:r w:rsidR="003B50ED" w:rsidRPr="00F16251">
        <w:rPr>
          <w:rFonts w:cstheme="minorHAnsi"/>
        </w:rPr>
        <w:t xml:space="preserve"> </w:t>
      </w:r>
      <w:r w:rsidRPr="00F16251">
        <w:rPr>
          <w:rFonts w:cstheme="minorHAnsi"/>
        </w:rPr>
        <w:t>posiedzeń</w:t>
      </w:r>
      <w:r w:rsidR="003B50ED" w:rsidRPr="00F16251">
        <w:rPr>
          <w:rFonts w:cstheme="minorHAnsi"/>
        </w:rPr>
        <w:t xml:space="preserve"> </w:t>
      </w:r>
      <w:r w:rsidRPr="00F16251">
        <w:rPr>
          <w:rFonts w:cstheme="minorHAnsi"/>
        </w:rPr>
        <w:t>organu</w:t>
      </w:r>
      <w:r w:rsidR="003B50ED" w:rsidRPr="00F16251">
        <w:rPr>
          <w:rFonts w:cstheme="minorHAnsi"/>
        </w:rPr>
        <w:t xml:space="preserve"> </w:t>
      </w:r>
      <w:r w:rsidRPr="00F16251">
        <w:rPr>
          <w:rFonts w:cstheme="minorHAnsi"/>
        </w:rPr>
        <w:t>decyzyjnego,</w:t>
      </w:r>
      <w:r w:rsidR="003B50ED" w:rsidRPr="00F16251">
        <w:rPr>
          <w:rFonts w:cstheme="minorHAnsi"/>
        </w:rPr>
        <w:t xml:space="preserve"> </w:t>
      </w:r>
      <w:r w:rsidRPr="00F16251">
        <w:rPr>
          <w:rFonts w:cstheme="minorHAnsi"/>
        </w:rPr>
        <w:t>zasady</w:t>
      </w:r>
      <w:r w:rsidR="003B50ED" w:rsidRPr="00F16251">
        <w:rPr>
          <w:rFonts w:cstheme="minorHAnsi"/>
        </w:rPr>
        <w:t xml:space="preserve"> </w:t>
      </w:r>
      <w:r w:rsidRPr="00F16251">
        <w:rPr>
          <w:rFonts w:cstheme="minorHAnsi"/>
        </w:rPr>
        <w:t>wynagradzania</w:t>
      </w:r>
      <w:r w:rsidR="003B50ED" w:rsidRPr="00F16251">
        <w:rPr>
          <w:rFonts w:cstheme="minorHAnsi"/>
        </w:rPr>
        <w:t xml:space="preserve"> </w:t>
      </w:r>
      <w:r w:rsidRPr="00F16251">
        <w:rPr>
          <w:rFonts w:cstheme="minorHAnsi"/>
        </w:rPr>
        <w:t>członków</w:t>
      </w:r>
      <w:r w:rsidR="003B50ED" w:rsidRPr="00F16251">
        <w:rPr>
          <w:rFonts w:cstheme="minorHAnsi"/>
        </w:rPr>
        <w:t xml:space="preserve"> </w:t>
      </w:r>
      <w:r w:rsidRPr="00F16251">
        <w:rPr>
          <w:rFonts w:cstheme="minorHAnsi"/>
        </w:rPr>
        <w:t>organu</w:t>
      </w:r>
      <w:r w:rsidR="003B50ED" w:rsidRPr="00F16251">
        <w:rPr>
          <w:rFonts w:cstheme="minorHAnsi"/>
        </w:rPr>
        <w:t xml:space="preserve"> </w:t>
      </w:r>
      <w:r w:rsidRPr="00F16251">
        <w:rPr>
          <w:rFonts w:cstheme="minorHAnsi"/>
        </w:rPr>
        <w:t>decyzyjnego</w:t>
      </w:r>
      <w:r w:rsidR="003B50ED" w:rsidRPr="00F16251">
        <w:rPr>
          <w:rFonts w:cstheme="minorHAnsi"/>
        </w:rPr>
        <w:t xml:space="preserve"> </w:t>
      </w:r>
      <w:r w:rsidR="00D53B90" w:rsidRPr="00F16251">
        <w:rPr>
          <w:rFonts w:cstheme="minorHAnsi"/>
        </w:rPr>
        <w:t>jak</w:t>
      </w:r>
      <w:r w:rsidR="003B50ED" w:rsidRPr="00F16251">
        <w:rPr>
          <w:rFonts w:cstheme="minorHAnsi"/>
        </w:rPr>
        <w:t xml:space="preserve"> </w:t>
      </w:r>
      <w:r w:rsidR="00D53B90" w:rsidRPr="00F16251">
        <w:rPr>
          <w:rFonts w:cstheme="minorHAnsi"/>
        </w:rPr>
        <w:t>również</w:t>
      </w:r>
      <w:r w:rsidR="003B50ED" w:rsidRPr="00F16251">
        <w:rPr>
          <w:rFonts w:cstheme="minorHAnsi"/>
        </w:rPr>
        <w:t xml:space="preserve"> </w:t>
      </w:r>
      <w:r w:rsidR="00D53B90" w:rsidRPr="00F16251">
        <w:rPr>
          <w:rFonts w:cstheme="minorHAnsi"/>
        </w:rPr>
        <w:t>zasady</w:t>
      </w:r>
      <w:r w:rsidR="003B50ED" w:rsidRPr="00F16251">
        <w:rPr>
          <w:rFonts w:cstheme="minorHAnsi"/>
        </w:rPr>
        <w:t xml:space="preserve"> </w:t>
      </w:r>
      <w:r w:rsidR="00D53B90" w:rsidRPr="00F16251">
        <w:rPr>
          <w:rFonts w:cstheme="minorHAnsi"/>
        </w:rPr>
        <w:t>nabywania</w:t>
      </w:r>
      <w:r w:rsidR="003B50ED" w:rsidRPr="00F16251">
        <w:rPr>
          <w:rFonts w:cstheme="minorHAnsi"/>
        </w:rPr>
        <w:t xml:space="preserve"> </w:t>
      </w:r>
      <w:r w:rsidR="00D53B90" w:rsidRPr="00F16251">
        <w:rPr>
          <w:rFonts w:cstheme="minorHAnsi"/>
        </w:rPr>
        <w:t>i</w:t>
      </w:r>
      <w:r w:rsidR="003B50ED" w:rsidRPr="00F16251">
        <w:rPr>
          <w:rFonts w:cstheme="minorHAnsi"/>
        </w:rPr>
        <w:t xml:space="preserve"> </w:t>
      </w:r>
      <w:r w:rsidR="00D53B90" w:rsidRPr="00F16251">
        <w:rPr>
          <w:rFonts w:cstheme="minorHAnsi"/>
        </w:rPr>
        <w:t>utraty</w:t>
      </w:r>
      <w:r w:rsidR="003B50ED" w:rsidRPr="00F16251">
        <w:rPr>
          <w:rFonts w:cstheme="minorHAnsi"/>
        </w:rPr>
        <w:t xml:space="preserve"> </w:t>
      </w:r>
      <w:r w:rsidR="00D53B90" w:rsidRPr="00F16251">
        <w:rPr>
          <w:rFonts w:cstheme="minorHAnsi"/>
        </w:rPr>
        <w:t>mandatu,</w:t>
      </w:r>
      <w:r w:rsidR="003B50ED" w:rsidRPr="00F16251">
        <w:rPr>
          <w:rFonts w:cstheme="minorHAnsi"/>
        </w:rPr>
        <w:t xml:space="preserve"> </w:t>
      </w:r>
      <w:r w:rsidR="00D53B90" w:rsidRPr="00F16251">
        <w:rPr>
          <w:rFonts w:cstheme="minorHAnsi"/>
        </w:rPr>
        <w:t>w</w:t>
      </w:r>
      <w:r w:rsidR="003B50ED" w:rsidRPr="00F16251">
        <w:rPr>
          <w:rFonts w:cstheme="minorHAnsi"/>
        </w:rPr>
        <w:t xml:space="preserve"> </w:t>
      </w:r>
      <w:r w:rsidR="00D53B90" w:rsidRPr="00F16251">
        <w:rPr>
          <w:rFonts w:cstheme="minorHAnsi"/>
        </w:rPr>
        <w:t>szczególności</w:t>
      </w:r>
      <w:r w:rsidR="003B50ED" w:rsidRPr="00F16251">
        <w:rPr>
          <w:rFonts w:cstheme="minorHAnsi"/>
        </w:rPr>
        <w:t xml:space="preserve"> </w:t>
      </w:r>
      <w:r w:rsidR="00D53B90" w:rsidRPr="00F16251">
        <w:rPr>
          <w:rFonts w:cstheme="minorHAnsi"/>
        </w:rPr>
        <w:t>w</w:t>
      </w:r>
      <w:r w:rsidR="003B50ED" w:rsidRPr="00F16251">
        <w:rPr>
          <w:rFonts w:cstheme="minorHAnsi"/>
        </w:rPr>
        <w:t xml:space="preserve"> </w:t>
      </w:r>
      <w:r w:rsidR="00D53B90" w:rsidRPr="00F16251">
        <w:rPr>
          <w:rFonts w:cstheme="minorHAnsi"/>
        </w:rPr>
        <w:t>przypadku</w:t>
      </w:r>
      <w:r w:rsidR="003B50ED" w:rsidRPr="00F16251">
        <w:rPr>
          <w:rFonts w:cstheme="minorHAnsi"/>
        </w:rPr>
        <w:t xml:space="preserve"> </w:t>
      </w:r>
      <w:r w:rsidR="00D53B90" w:rsidRPr="00F16251">
        <w:rPr>
          <w:rFonts w:cstheme="minorHAnsi"/>
        </w:rPr>
        <w:t>nie</w:t>
      </w:r>
      <w:r w:rsidR="003B50ED" w:rsidRPr="00F16251">
        <w:rPr>
          <w:rFonts w:cstheme="minorHAnsi"/>
        </w:rPr>
        <w:t xml:space="preserve"> </w:t>
      </w:r>
      <w:r w:rsidR="00D53B90" w:rsidRPr="00F16251">
        <w:rPr>
          <w:rFonts w:cstheme="minorHAnsi"/>
        </w:rPr>
        <w:t>złożenia</w:t>
      </w:r>
      <w:r w:rsidR="003B50ED" w:rsidRPr="00F16251">
        <w:rPr>
          <w:rFonts w:cstheme="minorHAnsi"/>
        </w:rPr>
        <w:t xml:space="preserve"> </w:t>
      </w:r>
      <w:r w:rsidR="00D53B90" w:rsidRPr="00F16251">
        <w:rPr>
          <w:rFonts w:cstheme="minorHAnsi"/>
        </w:rPr>
        <w:t>deklaracji</w:t>
      </w:r>
      <w:r w:rsidR="003B50ED" w:rsidRPr="00F16251">
        <w:rPr>
          <w:rFonts w:cstheme="minorHAnsi"/>
        </w:rPr>
        <w:t xml:space="preserve"> </w:t>
      </w:r>
      <w:r w:rsidR="00D53B90" w:rsidRPr="00F16251">
        <w:rPr>
          <w:rFonts w:cstheme="minorHAnsi"/>
        </w:rPr>
        <w:t>umożliwiających</w:t>
      </w:r>
      <w:r w:rsidR="003B50ED" w:rsidRPr="00F16251">
        <w:rPr>
          <w:rFonts w:cstheme="minorHAnsi"/>
        </w:rPr>
        <w:t xml:space="preserve"> </w:t>
      </w:r>
      <w:r w:rsidR="00D53B90" w:rsidRPr="00F16251">
        <w:rPr>
          <w:rFonts w:cstheme="minorHAnsi"/>
        </w:rPr>
        <w:t>identyfikację</w:t>
      </w:r>
      <w:r w:rsidR="003B50ED" w:rsidRPr="00F16251">
        <w:rPr>
          <w:rFonts w:cstheme="minorHAnsi"/>
        </w:rPr>
        <w:t xml:space="preserve"> </w:t>
      </w:r>
      <w:r w:rsidR="00D53B90" w:rsidRPr="00F16251">
        <w:rPr>
          <w:rFonts w:cstheme="minorHAnsi"/>
        </w:rPr>
        <w:t>charakteru</w:t>
      </w:r>
      <w:r w:rsidR="003B50ED" w:rsidRPr="00F16251">
        <w:rPr>
          <w:rFonts w:cstheme="minorHAnsi"/>
        </w:rPr>
        <w:t xml:space="preserve"> </w:t>
      </w:r>
      <w:r w:rsidR="00D53B90" w:rsidRPr="00F16251">
        <w:rPr>
          <w:rFonts w:cstheme="minorHAnsi"/>
        </w:rPr>
        <w:t>powiązań</w:t>
      </w:r>
      <w:r w:rsidR="003B50ED" w:rsidRPr="00F16251">
        <w:rPr>
          <w:rFonts w:cstheme="minorHAnsi"/>
        </w:rPr>
        <w:t xml:space="preserve"> </w:t>
      </w:r>
      <w:r w:rsidR="00D53B90" w:rsidRPr="00F16251">
        <w:rPr>
          <w:rFonts w:cstheme="minorHAnsi"/>
        </w:rPr>
        <w:t>z</w:t>
      </w:r>
      <w:r w:rsidR="003B50ED" w:rsidRPr="00F16251">
        <w:rPr>
          <w:rFonts w:cstheme="minorHAnsi"/>
        </w:rPr>
        <w:t xml:space="preserve"> </w:t>
      </w:r>
      <w:r w:rsidR="00D53B90" w:rsidRPr="00F16251">
        <w:rPr>
          <w:rFonts w:cstheme="minorHAnsi"/>
        </w:rPr>
        <w:t>Wnioskodawcami</w:t>
      </w:r>
      <w:r w:rsidR="003B50ED" w:rsidRPr="00F16251">
        <w:rPr>
          <w:rFonts w:cstheme="minorHAnsi"/>
        </w:rPr>
        <w:t xml:space="preserve"> </w:t>
      </w:r>
      <w:r w:rsidR="00D53B90" w:rsidRPr="00F16251">
        <w:rPr>
          <w:rFonts w:cstheme="minorHAnsi"/>
        </w:rPr>
        <w:t>lub</w:t>
      </w:r>
      <w:r w:rsidR="003B50ED" w:rsidRPr="00F16251">
        <w:rPr>
          <w:rFonts w:cstheme="minorHAnsi"/>
        </w:rPr>
        <w:t xml:space="preserve"> </w:t>
      </w:r>
      <w:r w:rsidR="00D53B90" w:rsidRPr="00F16251">
        <w:rPr>
          <w:rFonts w:cstheme="minorHAnsi"/>
        </w:rPr>
        <w:t>złożenia</w:t>
      </w:r>
      <w:r w:rsidR="003B50ED" w:rsidRPr="00F16251">
        <w:rPr>
          <w:rFonts w:cstheme="minorHAnsi"/>
        </w:rPr>
        <w:t xml:space="preserve"> </w:t>
      </w:r>
      <w:r w:rsidR="00D53B90" w:rsidRPr="00F16251">
        <w:rPr>
          <w:rFonts w:cstheme="minorHAnsi"/>
        </w:rPr>
        <w:t>deklaracji</w:t>
      </w:r>
      <w:r w:rsidR="003B50ED" w:rsidRPr="00F16251">
        <w:rPr>
          <w:rFonts w:cstheme="minorHAnsi"/>
        </w:rPr>
        <w:t xml:space="preserve"> </w:t>
      </w:r>
      <w:r w:rsidR="00D53B90" w:rsidRPr="00F16251">
        <w:rPr>
          <w:rFonts w:cstheme="minorHAnsi"/>
        </w:rPr>
        <w:t>niezgodnych</w:t>
      </w:r>
      <w:r w:rsidR="003B50ED" w:rsidRPr="00F16251">
        <w:rPr>
          <w:rFonts w:cstheme="minorHAnsi"/>
        </w:rPr>
        <w:t xml:space="preserve"> </w:t>
      </w:r>
      <w:r w:rsidR="00D53B90" w:rsidRPr="00F16251">
        <w:rPr>
          <w:rFonts w:cstheme="minorHAnsi"/>
        </w:rPr>
        <w:t>ze</w:t>
      </w:r>
      <w:r w:rsidR="003B50ED" w:rsidRPr="00F16251">
        <w:rPr>
          <w:rFonts w:cstheme="minorHAnsi"/>
        </w:rPr>
        <w:t xml:space="preserve"> </w:t>
      </w:r>
      <w:r w:rsidR="00D53B90" w:rsidRPr="00F16251">
        <w:rPr>
          <w:rFonts w:cstheme="minorHAnsi"/>
        </w:rPr>
        <w:t>stanem</w:t>
      </w:r>
      <w:r w:rsidR="003B50ED" w:rsidRPr="00F16251">
        <w:rPr>
          <w:rFonts w:cstheme="minorHAnsi"/>
        </w:rPr>
        <w:t xml:space="preserve"> </w:t>
      </w:r>
      <w:r w:rsidR="00D53B90" w:rsidRPr="00F16251">
        <w:rPr>
          <w:rFonts w:cstheme="minorHAnsi"/>
        </w:rPr>
        <w:t>faktycznym</w:t>
      </w:r>
      <w:r w:rsidR="003B50ED" w:rsidRPr="00F16251">
        <w:rPr>
          <w:rFonts w:cstheme="minorHAnsi"/>
        </w:rPr>
        <w:t xml:space="preserve"> </w:t>
      </w:r>
      <w:r w:rsidR="00D53B90" w:rsidRPr="00F16251">
        <w:rPr>
          <w:rFonts w:cstheme="minorHAnsi"/>
        </w:rPr>
        <w:t>lub</w:t>
      </w:r>
      <w:r w:rsidR="003B50ED" w:rsidRPr="00F16251">
        <w:rPr>
          <w:rFonts w:cstheme="minorHAnsi"/>
        </w:rPr>
        <w:t xml:space="preserve"> </w:t>
      </w:r>
      <w:r w:rsidR="00D53B90" w:rsidRPr="00F16251">
        <w:rPr>
          <w:rFonts w:cstheme="minorHAnsi"/>
        </w:rPr>
        <w:t>zatajenia</w:t>
      </w:r>
      <w:r w:rsidR="003B50ED" w:rsidRPr="00F16251">
        <w:rPr>
          <w:rFonts w:cstheme="minorHAnsi"/>
        </w:rPr>
        <w:t xml:space="preserve"> </w:t>
      </w:r>
      <w:r w:rsidR="00D53B90" w:rsidRPr="00F16251">
        <w:rPr>
          <w:rFonts w:cstheme="minorHAnsi"/>
        </w:rPr>
        <w:t>informacji</w:t>
      </w:r>
      <w:r w:rsidR="003B50ED" w:rsidRPr="00F16251">
        <w:rPr>
          <w:rFonts w:cstheme="minorHAnsi"/>
        </w:rPr>
        <w:t xml:space="preserve"> </w:t>
      </w:r>
      <w:r w:rsidR="00D53B90" w:rsidRPr="00F16251">
        <w:rPr>
          <w:rFonts w:cstheme="minorHAnsi"/>
        </w:rPr>
        <w:t>o</w:t>
      </w:r>
      <w:r w:rsidR="003B50ED" w:rsidRPr="00F16251">
        <w:rPr>
          <w:rFonts w:cstheme="minorHAnsi"/>
        </w:rPr>
        <w:t xml:space="preserve"> </w:t>
      </w:r>
      <w:r w:rsidR="00D53B90" w:rsidRPr="00F16251">
        <w:rPr>
          <w:rFonts w:cstheme="minorHAnsi"/>
        </w:rPr>
        <w:t>charakterze</w:t>
      </w:r>
      <w:r w:rsidR="003B50ED" w:rsidRPr="00F16251">
        <w:rPr>
          <w:rFonts w:cstheme="minorHAnsi"/>
        </w:rPr>
        <w:t xml:space="preserve"> </w:t>
      </w:r>
      <w:r w:rsidR="00D53B90" w:rsidRPr="00F16251">
        <w:rPr>
          <w:rFonts w:cstheme="minorHAnsi"/>
        </w:rPr>
        <w:t>powiązań.</w:t>
      </w:r>
      <w:r w:rsidR="003B50ED" w:rsidRPr="00F16251">
        <w:rPr>
          <w:rFonts w:cstheme="minorHAnsi"/>
        </w:rPr>
        <w:t xml:space="preserve"> </w:t>
      </w:r>
      <w:r w:rsidR="00D53B90" w:rsidRPr="00F16251">
        <w:rPr>
          <w:rFonts w:cstheme="minorHAnsi"/>
        </w:rPr>
        <w:t>Regulamin</w:t>
      </w:r>
      <w:r w:rsidR="003B50ED" w:rsidRPr="00F16251">
        <w:rPr>
          <w:rFonts w:cstheme="minorHAnsi"/>
        </w:rPr>
        <w:t xml:space="preserve"> </w:t>
      </w:r>
      <w:r w:rsidR="00D53B90" w:rsidRPr="00F16251">
        <w:rPr>
          <w:rFonts w:cstheme="minorHAnsi"/>
        </w:rPr>
        <w:t>zawiera</w:t>
      </w:r>
      <w:r w:rsidR="003B50ED" w:rsidRPr="00F16251">
        <w:rPr>
          <w:rFonts w:cstheme="minorHAnsi"/>
        </w:rPr>
        <w:t xml:space="preserve"> </w:t>
      </w:r>
      <w:r w:rsidR="00D53B90" w:rsidRPr="00F16251">
        <w:rPr>
          <w:rFonts w:cstheme="minorHAnsi"/>
        </w:rPr>
        <w:t>również</w:t>
      </w:r>
      <w:r w:rsidR="003B50ED" w:rsidRPr="00F16251">
        <w:rPr>
          <w:rFonts w:cstheme="minorHAnsi"/>
        </w:rPr>
        <w:t xml:space="preserve"> </w:t>
      </w:r>
      <w:r w:rsidR="00D53B90" w:rsidRPr="00F16251">
        <w:rPr>
          <w:rFonts w:cstheme="minorHAnsi"/>
        </w:rPr>
        <w:t>zasady</w:t>
      </w:r>
      <w:r w:rsidR="003B50ED" w:rsidRPr="00F16251">
        <w:rPr>
          <w:rFonts w:cstheme="minorHAnsi"/>
        </w:rPr>
        <w:t xml:space="preserve"> </w:t>
      </w:r>
      <w:r w:rsidR="00D53B90" w:rsidRPr="00F16251">
        <w:rPr>
          <w:rFonts w:cstheme="minorHAnsi"/>
        </w:rPr>
        <w:t>składania</w:t>
      </w:r>
      <w:r w:rsidR="003B50ED" w:rsidRPr="00F16251">
        <w:rPr>
          <w:rFonts w:cstheme="minorHAnsi"/>
        </w:rPr>
        <w:t xml:space="preserve"> </w:t>
      </w:r>
      <w:r w:rsidR="00D53B90" w:rsidRPr="00F16251">
        <w:rPr>
          <w:rFonts w:cstheme="minorHAnsi"/>
        </w:rPr>
        <w:t>informacji</w:t>
      </w:r>
      <w:r w:rsidR="003B50ED" w:rsidRPr="00F16251">
        <w:rPr>
          <w:rFonts w:cstheme="minorHAnsi"/>
        </w:rPr>
        <w:t xml:space="preserve"> </w:t>
      </w:r>
      <w:r w:rsidR="00D53B90" w:rsidRPr="00F16251">
        <w:rPr>
          <w:rFonts w:cstheme="minorHAnsi"/>
        </w:rPr>
        <w:t>(oświadczenia)</w:t>
      </w:r>
      <w:r w:rsidR="003B50ED" w:rsidRPr="00F16251">
        <w:rPr>
          <w:rFonts w:cstheme="minorHAnsi"/>
        </w:rPr>
        <w:t xml:space="preserve"> </w:t>
      </w:r>
      <w:r w:rsidR="00D53B90" w:rsidRPr="00F16251">
        <w:rPr>
          <w:rFonts w:cstheme="minorHAnsi"/>
        </w:rPr>
        <w:t>w</w:t>
      </w:r>
      <w:r w:rsidR="003B50ED" w:rsidRPr="00F16251">
        <w:rPr>
          <w:rFonts w:cstheme="minorHAnsi"/>
        </w:rPr>
        <w:t xml:space="preserve"> </w:t>
      </w:r>
      <w:r w:rsidR="00D53B90" w:rsidRPr="00F16251">
        <w:rPr>
          <w:rFonts w:cstheme="minorHAnsi"/>
        </w:rPr>
        <w:t>postaci</w:t>
      </w:r>
      <w:r w:rsidR="003B50ED" w:rsidRPr="00F16251">
        <w:rPr>
          <w:rFonts w:cstheme="minorHAnsi"/>
        </w:rPr>
        <w:t xml:space="preserve"> </w:t>
      </w:r>
      <w:r w:rsidR="00D53B90" w:rsidRPr="00F16251">
        <w:rPr>
          <w:rFonts w:cstheme="minorHAnsi"/>
        </w:rPr>
        <w:t>Rejestru</w:t>
      </w:r>
      <w:r w:rsidR="003B50ED" w:rsidRPr="00F16251">
        <w:rPr>
          <w:rFonts w:cstheme="minorHAnsi"/>
        </w:rPr>
        <w:t xml:space="preserve"> </w:t>
      </w:r>
      <w:r w:rsidR="00D53B90" w:rsidRPr="00F16251">
        <w:rPr>
          <w:rFonts w:cstheme="minorHAnsi"/>
        </w:rPr>
        <w:t>interesów</w:t>
      </w:r>
      <w:r w:rsidR="003B50ED" w:rsidRPr="00F16251">
        <w:rPr>
          <w:rFonts w:cstheme="minorHAnsi"/>
        </w:rPr>
        <w:t xml:space="preserve"> </w:t>
      </w:r>
      <w:r w:rsidR="00D53B90" w:rsidRPr="00F16251">
        <w:rPr>
          <w:rFonts w:cstheme="minorHAnsi"/>
        </w:rPr>
        <w:t>/</w:t>
      </w:r>
      <w:r w:rsidR="003B50ED" w:rsidRPr="00F16251">
        <w:rPr>
          <w:rFonts w:cstheme="minorHAnsi"/>
        </w:rPr>
        <w:t xml:space="preserve"> </w:t>
      </w:r>
      <w:r w:rsidR="00D53B90" w:rsidRPr="00F16251">
        <w:rPr>
          <w:rFonts w:cstheme="minorHAnsi"/>
        </w:rPr>
        <w:t>deklaracji</w:t>
      </w:r>
      <w:r w:rsidR="003B50ED" w:rsidRPr="00F16251">
        <w:rPr>
          <w:rFonts w:cstheme="minorHAnsi"/>
        </w:rPr>
        <w:t xml:space="preserve"> </w:t>
      </w:r>
      <w:r w:rsidR="00D53B90" w:rsidRPr="00F16251">
        <w:rPr>
          <w:rFonts w:cstheme="minorHAnsi"/>
        </w:rPr>
        <w:t>bezstronności,</w:t>
      </w:r>
      <w:r w:rsidR="003B50ED" w:rsidRPr="00F16251">
        <w:rPr>
          <w:rFonts w:cstheme="minorHAnsi"/>
        </w:rPr>
        <w:t xml:space="preserve"> </w:t>
      </w:r>
      <w:r w:rsidR="00D53B90" w:rsidRPr="00F16251">
        <w:rPr>
          <w:rFonts w:cstheme="minorHAnsi"/>
        </w:rPr>
        <w:t>umożliwiających</w:t>
      </w:r>
      <w:r w:rsidR="003B50ED" w:rsidRPr="00F16251">
        <w:rPr>
          <w:rFonts w:cstheme="minorHAnsi"/>
        </w:rPr>
        <w:t xml:space="preserve"> </w:t>
      </w:r>
      <w:r w:rsidR="00D53B90" w:rsidRPr="00F16251">
        <w:rPr>
          <w:rFonts w:cstheme="minorHAnsi"/>
        </w:rPr>
        <w:t>identyfikację</w:t>
      </w:r>
      <w:r w:rsidR="003B50ED" w:rsidRPr="00F16251">
        <w:rPr>
          <w:rFonts w:cstheme="minorHAnsi"/>
        </w:rPr>
        <w:t xml:space="preserve"> </w:t>
      </w:r>
      <w:r w:rsidR="00D53B90" w:rsidRPr="00F16251">
        <w:rPr>
          <w:rFonts w:cstheme="minorHAnsi"/>
        </w:rPr>
        <w:t>charakteru</w:t>
      </w:r>
      <w:r w:rsidR="003B50ED" w:rsidRPr="00F16251">
        <w:rPr>
          <w:rFonts w:cstheme="minorHAnsi"/>
        </w:rPr>
        <w:t xml:space="preserve"> </w:t>
      </w:r>
      <w:r w:rsidR="00D53B90" w:rsidRPr="00F16251">
        <w:rPr>
          <w:rFonts w:cstheme="minorHAnsi"/>
        </w:rPr>
        <w:t>powiązań</w:t>
      </w:r>
      <w:r w:rsidR="003B50ED" w:rsidRPr="00F16251">
        <w:rPr>
          <w:rFonts w:cstheme="minorHAnsi"/>
        </w:rPr>
        <w:t xml:space="preserve"> </w:t>
      </w:r>
      <w:r w:rsidR="00D53B90" w:rsidRPr="00F16251">
        <w:rPr>
          <w:rFonts w:cstheme="minorHAnsi"/>
        </w:rPr>
        <w:t>Członków</w:t>
      </w:r>
      <w:r w:rsidR="003B50ED" w:rsidRPr="00F16251">
        <w:rPr>
          <w:rFonts w:cstheme="minorHAnsi"/>
        </w:rPr>
        <w:t xml:space="preserve"> </w:t>
      </w:r>
      <w:r w:rsidR="00D53B90" w:rsidRPr="00F16251">
        <w:rPr>
          <w:rFonts w:cstheme="minorHAnsi"/>
        </w:rPr>
        <w:t>Rady</w:t>
      </w:r>
      <w:r w:rsidR="003B50ED" w:rsidRPr="00F16251">
        <w:rPr>
          <w:rFonts w:cstheme="minorHAnsi"/>
        </w:rPr>
        <w:t xml:space="preserve"> </w:t>
      </w:r>
      <w:r w:rsidR="00D53B90" w:rsidRPr="00F16251">
        <w:rPr>
          <w:rFonts w:cstheme="minorHAnsi"/>
        </w:rPr>
        <w:t>z</w:t>
      </w:r>
      <w:r w:rsidR="003B50ED" w:rsidRPr="00F16251">
        <w:rPr>
          <w:rFonts w:cstheme="minorHAnsi"/>
        </w:rPr>
        <w:t xml:space="preserve"> </w:t>
      </w:r>
      <w:r w:rsidR="00D53B90" w:rsidRPr="00F16251">
        <w:rPr>
          <w:rFonts w:cstheme="minorHAnsi"/>
        </w:rPr>
        <w:t>Wnioskodawcami</w:t>
      </w:r>
      <w:r w:rsidR="003B50ED" w:rsidRPr="00F16251">
        <w:rPr>
          <w:rFonts w:cstheme="minorHAnsi"/>
        </w:rPr>
        <w:t xml:space="preserve"> </w:t>
      </w:r>
      <w:r w:rsidR="00D53B90" w:rsidRPr="00F16251">
        <w:rPr>
          <w:rFonts w:cstheme="minorHAnsi"/>
        </w:rPr>
        <w:t>oraz</w:t>
      </w:r>
      <w:r w:rsidR="003B50ED" w:rsidRPr="00F16251">
        <w:rPr>
          <w:rFonts w:cstheme="minorHAnsi"/>
        </w:rPr>
        <w:t xml:space="preserve"> </w:t>
      </w:r>
      <w:r w:rsidR="00D53B90" w:rsidRPr="00F16251">
        <w:rPr>
          <w:rFonts w:cstheme="minorHAnsi"/>
        </w:rPr>
        <w:t>rozwiązania</w:t>
      </w:r>
      <w:r w:rsidR="003B50ED" w:rsidRPr="00F16251">
        <w:rPr>
          <w:rFonts w:cstheme="minorHAnsi"/>
        </w:rPr>
        <w:t xml:space="preserve"> </w:t>
      </w:r>
      <w:r w:rsidR="00D53B90" w:rsidRPr="00F16251">
        <w:rPr>
          <w:rFonts w:cstheme="minorHAnsi"/>
        </w:rPr>
        <w:t>dotyczące</w:t>
      </w:r>
      <w:r w:rsidR="003B50ED" w:rsidRPr="00F16251">
        <w:rPr>
          <w:rFonts w:cstheme="minorHAnsi"/>
        </w:rPr>
        <w:t xml:space="preserve"> </w:t>
      </w:r>
      <w:r w:rsidR="00D53B90" w:rsidRPr="00F16251">
        <w:rPr>
          <w:rFonts w:cstheme="minorHAnsi"/>
        </w:rPr>
        <w:t>wyłączenia</w:t>
      </w:r>
      <w:r w:rsidR="003B50ED" w:rsidRPr="00F16251">
        <w:rPr>
          <w:rFonts w:cstheme="minorHAnsi"/>
        </w:rPr>
        <w:t xml:space="preserve"> </w:t>
      </w:r>
      <w:r w:rsidR="00D53B90" w:rsidRPr="00F16251">
        <w:rPr>
          <w:rFonts w:cstheme="minorHAnsi"/>
        </w:rPr>
        <w:t>członka</w:t>
      </w:r>
      <w:r w:rsidR="003B50ED" w:rsidRPr="00F16251">
        <w:rPr>
          <w:rFonts w:cstheme="minorHAnsi"/>
        </w:rPr>
        <w:t xml:space="preserve"> </w:t>
      </w:r>
      <w:r w:rsidR="00D53B90" w:rsidRPr="00F16251">
        <w:rPr>
          <w:rFonts w:cstheme="minorHAnsi"/>
        </w:rPr>
        <w:t>organu</w:t>
      </w:r>
      <w:r w:rsidR="003B50ED" w:rsidRPr="00F16251">
        <w:rPr>
          <w:rFonts w:cstheme="minorHAnsi"/>
        </w:rPr>
        <w:t xml:space="preserve"> </w:t>
      </w:r>
      <w:r w:rsidR="00D53B90" w:rsidRPr="00F16251">
        <w:rPr>
          <w:rFonts w:cstheme="minorHAnsi"/>
        </w:rPr>
        <w:t>z</w:t>
      </w:r>
      <w:r w:rsidR="003B50ED" w:rsidRPr="00F16251">
        <w:rPr>
          <w:rFonts w:cstheme="minorHAnsi"/>
        </w:rPr>
        <w:t xml:space="preserve"> </w:t>
      </w:r>
      <w:r w:rsidR="00D53B90" w:rsidRPr="00F16251">
        <w:rPr>
          <w:rFonts w:cstheme="minorHAnsi"/>
        </w:rPr>
        <w:t>wyboru</w:t>
      </w:r>
      <w:r w:rsidR="003B50ED" w:rsidRPr="00F16251">
        <w:rPr>
          <w:rFonts w:cstheme="minorHAnsi"/>
        </w:rPr>
        <w:t xml:space="preserve"> </w:t>
      </w:r>
      <w:r w:rsidR="00D53B90" w:rsidRPr="00F16251">
        <w:rPr>
          <w:rFonts w:cstheme="minorHAnsi"/>
        </w:rPr>
        <w:t>operacji</w:t>
      </w:r>
      <w:r w:rsidR="003B50ED" w:rsidRPr="00F16251">
        <w:rPr>
          <w:rFonts w:cstheme="minorHAnsi"/>
        </w:rPr>
        <w:t xml:space="preserve"> </w:t>
      </w:r>
      <w:r w:rsidR="00D53B90" w:rsidRPr="00F16251">
        <w:rPr>
          <w:rFonts w:cstheme="minorHAnsi"/>
        </w:rPr>
        <w:t>/</w:t>
      </w:r>
      <w:r w:rsidR="003B50ED" w:rsidRPr="00F16251">
        <w:rPr>
          <w:rFonts w:cstheme="minorHAnsi"/>
        </w:rPr>
        <w:t xml:space="preserve"> </w:t>
      </w:r>
      <w:proofErr w:type="spellStart"/>
      <w:r w:rsidR="00D53B90" w:rsidRPr="00F16251">
        <w:rPr>
          <w:rFonts w:cstheme="minorHAnsi"/>
        </w:rPr>
        <w:t>Grantobiorców</w:t>
      </w:r>
      <w:proofErr w:type="spellEnd"/>
      <w:r w:rsidR="003B50ED" w:rsidRPr="00F16251">
        <w:rPr>
          <w:rFonts w:cstheme="minorHAnsi"/>
        </w:rPr>
        <w:t xml:space="preserve"> </w:t>
      </w:r>
      <w:r w:rsidR="00D53B90" w:rsidRPr="00F16251">
        <w:rPr>
          <w:rFonts w:cstheme="minorHAnsi"/>
        </w:rPr>
        <w:t>jak</w:t>
      </w:r>
      <w:r w:rsidR="003B50ED" w:rsidRPr="00F16251">
        <w:rPr>
          <w:rFonts w:cstheme="minorHAnsi"/>
        </w:rPr>
        <w:t xml:space="preserve"> </w:t>
      </w:r>
      <w:r w:rsidR="00D53B90" w:rsidRPr="00F16251">
        <w:rPr>
          <w:rFonts w:cstheme="minorHAnsi"/>
        </w:rPr>
        <w:t>również</w:t>
      </w:r>
      <w:r w:rsidR="003B50ED" w:rsidRPr="00F16251">
        <w:rPr>
          <w:rFonts w:cstheme="minorHAnsi"/>
        </w:rPr>
        <w:t xml:space="preserve"> </w:t>
      </w:r>
      <w:r w:rsidR="00D53B90" w:rsidRPr="00F16251">
        <w:rPr>
          <w:rFonts w:cstheme="minorHAnsi"/>
        </w:rPr>
        <w:t>obowiązek</w:t>
      </w:r>
      <w:r w:rsidR="003B50ED" w:rsidRPr="00F16251">
        <w:rPr>
          <w:rFonts w:cstheme="minorHAnsi"/>
        </w:rPr>
        <w:t xml:space="preserve"> </w:t>
      </w:r>
      <w:r w:rsidR="00D53B90" w:rsidRPr="00F16251">
        <w:rPr>
          <w:rFonts w:cstheme="minorHAnsi"/>
        </w:rPr>
        <w:t>ujawnienia</w:t>
      </w:r>
      <w:r w:rsidR="003B50ED" w:rsidRPr="00F16251">
        <w:rPr>
          <w:rFonts w:cstheme="minorHAnsi"/>
        </w:rPr>
        <w:t xml:space="preserve"> </w:t>
      </w:r>
      <w:r w:rsidR="00D53B90" w:rsidRPr="00F16251">
        <w:rPr>
          <w:rFonts w:cstheme="minorHAnsi"/>
        </w:rPr>
        <w:t>okoliczności</w:t>
      </w:r>
      <w:r w:rsidR="003B50ED" w:rsidRPr="00F16251">
        <w:rPr>
          <w:rFonts w:cstheme="minorHAnsi"/>
        </w:rPr>
        <w:t xml:space="preserve"> </w:t>
      </w:r>
      <w:r w:rsidR="00D53B90" w:rsidRPr="00F16251">
        <w:rPr>
          <w:rFonts w:cstheme="minorHAnsi"/>
        </w:rPr>
        <w:t>mogących</w:t>
      </w:r>
      <w:r w:rsidR="003B50ED" w:rsidRPr="00F16251">
        <w:rPr>
          <w:rFonts w:cstheme="minorHAnsi"/>
        </w:rPr>
        <w:t xml:space="preserve"> </w:t>
      </w:r>
      <w:r w:rsidR="00D53B90" w:rsidRPr="00F16251">
        <w:rPr>
          <w:rFonts w:cstheme="minorHAnsi"/>
        </w:rPr>
        <w:t>wywołać</w:t>
      </w:r>
      <w:r w:rsidR="003B50ED" w:rsidRPr="00F16251">
        <w:rPr>
          <w:rFonts w:cstheme="minorHAnsi"/>
        </w:rPr>
        <w:t xml:space="preserve"> </w:t>
      </w:r>
      <w:r w:rsidR="00D53B90" w:rsidRPr="00F16251">
        <w:rPr>
          <w:rFonts w:cstheme="minorHAnsi"/>
        </w:rPr>
        <w:t>wątpliwości,</w:t>
      </w:r>
      <w:r w:rsidR="003B50ED" w:rsidRPr="00F16251">
        <w:rPr>
          <w:rFonts w:cstheme="minorHAnsi"/>
        </w:rPr>
        <w:t xml:space="preserve"> </w:t>
      </w:r>
      <w:r w:rsidR="00D53B90" w:rsidRPr="00F16251">
        <w:rPr>
          <w:rFonts w:cstheme="minorHAnsi"/>
        </w:rPr>
        <w:t>co</w:t>
      </w:r>
      <w:r w:rsidR="003B50ED" w:rsidRPr="00F16251">
        <w:rPr>
          <w:rFonts w:cstheme="minorHAnsi"/>
        </w:rPr>
        <w:t xml:space="preserve"> </w:t>
      </w:r>
      <w:r w:rsidR="00D53B90" w:rsidRPr="00F16251">
        <w:rPr>
          <w:rFonts w:cstheme="minorHAnsi"/>
        </w:rPr>
        <w:t>do</w:t>
      </w:r>
      <w:r w:rsidR="003B50ED" w:rsidRPr="00F16251">
        <w:rPr>
          <w:rFonts w:cstheme="minorHAnsi"/>
        </w:rPr>
        <w:t xml:space="preserve"> </w:t>
      </w:r>
      <w:r w:rsidR="00D53B90" w:rsidRPr="00F16251">
        <w:rPr>
          <w:rFonts w:cstheme="minorHAnsi"/>
        </w:rPr>
        <w:t>bezstronności</w:t>
      </w:r>
      <w:r w:rsidR="003B50ED" w:rsidRPr="00F16251">
        <w:rPr>
          <w:rFonts w:cstheme="minorHAnsi"/>
        </w:rPr>
        <w:t xml:space="preserve"> </w:t>
      </w:r>
      <w:r w:rsidR="00D53B90" w:rsidRPr="00F16251">
        <w:rPr>
          <w:rFonts w:cstheme="minorHAnsi"/>
        </w:rPr>
        <w:t>członka</w:t>
      </w:r>
      <w:r w:rsidR="003B50ED" w:rsidRPr="00F16251">
        <w:rPr>
          <w:rFonts w:cstheme="minorHAnsi"/>
        </w:rPr>
        <w:t xml:space="preserve"> </w:t>
      </w:r>
      <w:r w:rsidR="00D53B90" w:rsidRPr="00F16251">
        <w:rPr>
          <w:rFonts w:cstheme="minorHAnsi"/>
        </w:rPr>
        <w:t>Rady</w:t>
      </w:r>
      <w:r w:rsidR="003B50ED" w:rsidRPr="00F16251">
        <w:rPr>
          <w:rFonts w:cstheme="minorHAnsi"/>
        </w:rPr>
        <w:t xml:space="preserve"> </w:t>
      </w:r>
      <w:r w:rsidR="00D53B90" w:rsidRPr="00F16251">
        <w:rPr>
          <w:rFonts w:cstheme="minorHAnsi"/>
        </w:rPr>
        <w:t>biorącego</w:t>
      </w:r>
      <w:r w:rsidR="003B50ED" w:rsidRPr="00F16251">
        <w:rPr>
          <w:rFonts w:cstheme="minorHAnsi"/>
        </w:rPr>
        <w:t xml:space="preserve"> </w:t>
      </w:r>
      <w:r w:rsidR="00D53B90" w:rsidRPr="00F16251">
        <w:rPr>
          <w:rFonts w:cstheme="minorHAnsi"/>
        </w:rPr>
        <w:t>udział</w:t>
      </w:r>
      <w:r w:rsidR="003B50ED" w:rsidRPr="00F16251">
        <w:rPr>
          <w:rFonts w:cstheme="minorHAnsi"/>
        </w:rPr>
        <w:t xml:space="preserve"> </w:t>
      </w:r>
      <w:r w:rsidR="00D53B90" w:rsidRPr="00F16251">
        <w:rPr>
          <w:rFonts w:cstheme="minorHAnsi"/>
        </w:rPr>
        <w:t>w</w:t>
      </w:r>
      <w:r w:rsidR="003B50ED" w:rsidRPr="00F16251">
        <w:rPr>
          <w:rFonts w:cstheme="minorHAnsi"/>
        </w:rPr>
        <w:t xml:space="preserve"> </w:t>
      </w:r>
      <w:r w:rsidR="00D53B90" w:rsidRPr="00F16251">
        <w:rPr>
          <w:rFonts w:cstheme="minorHAnsi"/>
        </w:rPr>
        <w:t>głosowaniu</w:t>
      </w:r>
      <w:r w:rsidR="00B50849" w:rsidRPr="00F16251">
        <w:rPr>
          <w:rFonts w:cstheme="minorHAnsi"/>
        </w:rPr>
        <w:t>.</w:t>
      </w:r>
    </w:p>
    <w:p w14:paraId="4283A661" w14:textId="3CDD2A3A" w:rsidR="00DF60A0" w:rsidRPr="00F16251" w:rsidRDefault="00DF60A0" w:rsidP="00A26C26">
      <w:pPr>
        <w:spacing w:line="276" w:lineRule="auto"/>
        <w:ind w:firstLine="284"/>
        <w:jc w:val="both"/>
        <w:rPr>
          <w:rFonts w:cstheme="minorHAnsi"/>
        </w:rPr>
      </w:pPr>
      <w:r w:rsidRPr="00F16251">
        <w:rPr>
          <w:rFonts w:cstheme="minorHAnsi"/>
        </w:rPr>
        <w:t>Regulamin</w:t>
      </w:r>
      <w:r w:rsidR="003B50ED" w:rsidRPr="00F16251">
        <w:rPr>
          <w:rFonts w:cstheme="minorHAnsi"/>
        </w:rPr>
        <w:t xml:space="preserve"> </w:t>
      </w:r>
      <w:r w:rsidRPr="00F16251">
        <w:rPr>
          <w:rFonts w:cstheme="minorHAnsi"/>
        </w:rPr>
        <w:t>pracy</w:t>
      </w:r>
      <w:r w:rsidR="003B50ED" w:rsidRPr="00F16251">
        <w:rPr>
          <w:rFonts w:cstheme="minorHAnsi"/>
        </w:rPr>
        <w:t xml:space="preserve"> </w:t>
      </w:r>
      <w:r w:rsidRPr="00F16251">
        <w:rPr>
          <w:rFonts w:cstheme="minorHAnsi"/>
        </w:rPr>
        <w:t>Zarządu</w:t>
      </w:r>
      <w:r w:rsidR="003B50ED" w:rsidRPr="00F16251">
        <w:rPr>
          <w:rFonts w:cstheme="minorHAnsi"/>
        </w:rPr>
        <w:t xml:space="preserve"> </w:t>
      </w:r>
      <w:r w:rsidRPr="00F16251">
        <w:rPr>
          <w:rFonts w:cstheme="minorHAnsi"/>
        </w:rPr>
        <w:t>zawiera</w:t>
      </w:r>
      <w:r w:rsidR="003B50ED" w:rsidRPr="00F16251">
        <w:rPr>
          <w:rFonts w:cstheme="minorHAnsi"/>
        </w:rPr>
        <w:t xml:space="preserve"> </w:t>
      </w:r>
      <w:r w:rsidRPr="00F16251">
        <w:rPr>
          <w:rFonts w:cstheme="minorHAnsi"/>
        </w:rPr>
        <w:t>zapisy</w:t>
      </w:r>
      <w:r w:rsidR="003B50ED" w:rsidRPr="00F16251">
        <w:rPr>
          <w:rFonts w:cstheme="minorHAnsi"/>
        </w:rPr>
        <w:t xml:space="preserve"> </w:t>
      </w:r>
      <w:r w:rsidRPr="00F16251">
        <w:rPr>
          <w:rFonts w:cstheme="minorHAnsi"/>
        </w:rPr>
        <w:t>dotyczące</w:t>
      </w:r>
      <w:r w:rsidR="003B50ED" w:rsidRPr="00F16251">
        <w:rPr>
          <w:rFonts w:cstheme="minorHAnsi"/>
        </w:rPr>
        <w:t xml:space="preserve"> </w:t>
      </w:r>
      <w:r w:rsidRPr="00F16251">
        <w:rPr>
          <w:rFonts w:cstheme="minorHAnsi"/>
        </w:rPr>
        <w:t>przede</w:t>
      </w:r>
      <w:r w:rsidR="003B50ED" w:rsidRPr="00F16251">
        <w:rPr>
          <w:rFonts w:cstheme="minorHAnsi"/>
        </w:rPr>
        <w:t xml:space="preserve"> </w:t>
      </w:r>
      <w:r w:rsidRPr="00F16251">
        <w:rPr>
          <w:rFonts w:cstheme="minorHAnsi"/>
        </w:rPr>
        <w:t>wszystkim</w:t>
      </w:r>
      <w:r w:rsidR="003B50ED" w:rsidRPr="00F16251">
        <w:rPr>
          <w:rFonts w:cstheme="minorHAnsi"/>
        </w:rPr>
        <w:t xml:space="preserve"> </w:t>
      </w:r>
      <w:r w:rsidRPr="00F16251">
        <w:rPr>
          <w:rFonts w:cstheme="minorHAnsi"/>
        </w:rPr>
        <w:t>kompetencji</w:t>
      </w:r>
      <w:r w:rsidR="003B50ED" w:rsidRPr="00F16251">
        <w:rPr>
          <w:rFonts w:cstheme="minorHAnsi"/>
        </w:rPr>
        <w:t xml:space="preserve"> </w:t>
      </w:r>
      <w:r w:rsidRPr="00F16251">
        <w:rPr>
          <w:rFonts w:cstheme="minorHAnsi"/>
        </w:rPr>
        <w:t>Zarządu,</w:t>
      </w:r>
      <w:r w:rsidR="003B50ED" w:rsidRPr="00F16251">
        <w:rPr>
          <w:rFonts w:cstheme="minorHAnsi"/>
        </w:rPr>
        <w:t xml:space="preserve"> </w:t>
      </w:r>
      <w:r w:rsidRPr="00F16251">
        <w:rPr>
          <w:rFonts w:cstheme="minorHAnsi"/>
        </w:rPr>
        <w:t>zasad</w:t>
      </w:r>
      <w:r w:rsidR="003B50ED" w:rsidRPr="00F16251">
        <w:rPr>
          <w:rFonts w:cstheme="minorHAnsi"/>
        </w:rPr>
        <w:t xml:space="preserve"> </w:t>
      </w:r>
      <w:r w:rsidRPr="00F16251">
        <w:rPr>
          <w:rFonts w:cstheme="minorHAnsi"/>
        </w:rPr>
        <w:t>organizacji</w:t>
      </w:r>
      <w:r w:rsidR="003B50ED" w:rsidRPr="00F16251">
        <w:rPr>
          <w:rFonts w:cstheme="minorHAnsi"/>
        </w:rPr>
        <w:t xml:space="preserve"> </w:t>
      </w:r>
      <w:r w:rsidRPr="00F16251">
        <w:rPr>
          <w:rFonts w:cstheme="minorHAnsi"/>
        </w:rPr>
        <w:t>posiedzeń,</w:t>
      </w:r>
      <w:r w:rsidR="003B50ED" w:rsidRPr="00F16251">
        <w:rPr>
          <w:rFonts w:cstheme="minorHAnsi"/>
        </w:rPr>
        <w:t xml:space="preserve"> </w:t>
      </w:r>
      <w:r w:rsidRPr="00F16251">
        <w:rPr>
          <w:rFonts w:cstheme="minorHAnsi"/>
        </w:rPr>
        <w:t>zasad</w:t>
      </w:r>
      <w:r w:rsidR="003B50ED" w:rsidRPr="00F16251">
        <w:rPr>
          <w:rFonts w:cstheme="minorHAnsi"/>
        </w:rPr>
        <w:t xml:space="preserve"> </w:t>
      </w:r>
      <w:r w:rsidRPr="00F16251">
        <w:rPr>
          <w:rFonts w:cstheme="minorHAnsi"/>
        </w:rPr>
        <w:t>protokołowania</w:t>
      </w:r>
      <w:r w:rsidR="003B50ED" w:rsidRPr="00F16251">
        <w:rPr>
          <w:rFonts w:cstheme="minorHAnsi"/>
        </w:rPr>
        <w:t xml:space="preserve"> </w:t>
      </w:r>
      <w:r w:rsidRPr="00F16251">
        <w:rPr>
          <w:rFonts w:cstheme="minorHAnsi"/>
        </w:rPr>
        <w:t>posiedzeń.</w:t>
      </w:r>
      <w:r w:rsidR="003B50ED" w:rsidRPr="00F16251">
        <w:rPr>
          <w:rFonts w:cstheme="minorHAnsi"/>
        </w:rPr>
        <w:t xml:space="preserve"> </w:t>
      </w:r>
    </w:p>
    <w:p w14:paraId="4F92AD7B" w14:textId="6F22D09A" w:rsidR="00DF60A0" w:rsidRPr="00F16251" w:rsidRDefault="00DF60A0" w:rsidP="00A26C26">
      <w:pPr>
        <w:spacing w:line="276" w:lineRule="auto"/>
        <w:ind w:firstLine="284"/>
        <w:jc w:val="both"/>
        <w:rPr>
          <w:rFonts w:cstheme="minorHAnsi"/>
        </w:rPr>
      </w:pPr>
      <w:r w:rsidRPr="00F16251">
        <w:rPr>
          <w:rFonts w:cstheme="minorHAnsi"/>
        </w:rPr>
        <w:lastRenderedPageBreak/>
        <w:t>Regulamin</w:t>
      </w:r>
      <w:r w:rsidR="003B50ED" w:rsidRPr="00F16251">
        <w:rPr>
          <w:rFonts w:cstheme="minorHAnsi"/>
        </w:rPr>
        <w:t xml:space="preserve"> </w:t>
      </w:r>
      <w:r w:rsidRPr="00F16251">
        <w:rPr>
          <w:rFonts w:cstheme="minorHAnsi"/>
        </w:rPr>
        <w:t>pracy</w:t>
      </w:r>
      <w:r w:rsidR="003B50ED" w:rsidRPr="00F16251">
        <w:rPr>
          <w:rFonts w:cstheme="minorHAnsi"/>
        </w:rPr>
        <w:t xml:space="preserve"> </w:t>
      </w:r>
      <w:r w:rsidRPr="00F16251">
        <w:rPr>
          <w:rFonts w:cstheme="minorHAnsi"/>
        </w:rPr>
        <w:t>Komisji</w:t>
      </w:r>
      <w:r w:rsidR="003B50ED" w:rsidRPr="00F16251">
        <w:rPr>
          <w:rFonts w:cstheme="minorHAnsi"/>
        </w:rPr>
        <w:t xml:space="preserve"> </w:t>
      </w:r>
      <w:r w:rsidRPr="00F16251">
        <w:rPr>
          <w:rFonts w:cstheme="minorHAnsi"/>
        </w:rPr>
        <w:t>Rewizyjnej</w:t>
      </w:r>
      <w:r w:rsidR="003B50ED" w:rsidRPr="00F16251">
        <w:rPr>
          <w:rFonts w:cstheme="minorHAnsi"/>
        </w:rPr>
        <w:t xml:space="preserve"> </w:t>
      </w:r>
      <w:r w:rsidRPr="00F16251">
        <w:rPr>
          <w:rFonts w:cstheme="minorHAnsi"/>
        </w:rPr>
        <w:t>zawiera</w:t>
      </w:r>
      <w:r w:rsidR="003B50ED" w:rsidRPr="00F16251">
        <w:rPr>
          <w:rFonts w:cstheme="minorHAnsi"/>
        </w:rPr>
        <w:t xml:space="preserve"> </w:t>
      </w:r>
      <w:r w:rsidRPr="00F16251">
        <w:rPr>
          <w:rFonts w:cstheme="minorHAnsi"/>
        </w:rPr>
        <w:t>regulacje</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prawie</w:t>
      </w:r>
      <w:r w:rsidR="003B50ED" w:rsidRPr="00F16251">
        <w:rPr>
          <w:rFonts w:cstheme="minorHAnsi"/>
        </w:rPr>
        <w:t xml:space="preserve"> </w:t>
      </w:r>
      <w:r w:rsidRPr="00F16251">
        <w:rPr>
          <w:rFonts w:cstheme="minorHAnsi"/>
        </w:rPr>
        <w:t>szczegółowych</w:t>
      </w:r>
      <w:r w:rsidR="003B50ED" w:rsidRPr="00F16251">
        <w:rPr>
          <w:rFonts w:cstheme="minorHAnsi"/>
        </w:rPr>
        <w:t xml:space="preserve"> </w:t>
      </w:r>
      <w:r w:rsidRPr="00F16251">
        <w:rPr>
          <w:rFonts w:cstheme="minorHAnsi"/>
        </w:rPr>
        <w:t>kompetencji</w:t>
      </w:r>
      <w:r w:rsidR="003B50ED" w:rsidRPr="00F16251">
        <w:rPr>
          <w:rFonts w:cstheme="minorHAnsi"/>
        </w:rPr>
        <w:t xml:space="preserve"> </w:t>
      </w:r>
      <w:r w:rsidRPr="00F16251">
        <w:rPr>
          <w:rFonts w:cstheme="minorHAnsi"/>
        </w:rPr>
        <w:t>organu,</w:t>
      </w:r>
      <w:r w:rsidR="003B50ED" w:rsidRPr="00F16251">
        <w:rPr>
          <w:rFonts w:cstheme="minorHAnsi"/>
        </w:rPr>
        <w:t xml:space="preserve"> </w:t>
      </w:r>
      <w:r w:rsidRPr="00F16251">
        <w:rPr>
          <w:rFonts w:cstheme="minorHAnsi"/>
        </w:rPr>
        <w:t>zasady</w:t>
      </w:r>
      <w:r w:rsidR="003B50ED" w:rsidRPr="00F16251">
        <w:rPr>
          <w:rFonts w:cstheme="minorHAnsi"/>
        </w:rPr>
        <w:t xml:space="preserve"> </w:t>
      </w:r>
      <w:r w:rsidRPr="00F16251">
        <w:rPr>
          <w:rFonts w:cstheme="minorHAnsi"/>
        </w:rPr>
        <w:t>zwoływania</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organizacji</w:t>
      </w:r>
      <w:r w:rsidR="003B50ED" w:rsidRPr="00F16251">
        <w:rPr>
          <w:rFonts w:cstheme="minorHAnsi"/>
        </w:rPr>
        <w:t xml:space="preserve"> </w:t>
      </w:r>
      <w:r w:rsidRPr="00F16251">
        <w:rPr>
          <w:rFonts w:cstheme="minorHAnsi"/>
        </w:rPr>
        <w:t>posiedzeń</w:t>
      </w:r>
      <w:r w:rsidR="003B50ED" w:rsidRPr="00F16251">
        <w:rPr>
          <w:rFonts w:cstheme="minorHAnsi"/>
        </w:rPr>
        <w:t xml:space="preserve"> </w:t>
      </w:r>
      <w:r w:rsidRPr="00F16251">
        <w:rPr>
          <w:rFonts w:cstheme="minorHAnsi"/>
        </w:rPr>
        <w:t>Komisji,</w:t>
      </w:r>
      <w:r w:rsidR="003B50ED" w:rsidRPr="00F16251">
        <w:rPr>
          <w:rFonts w:cstheme="minorHAnsi"/>
        </w:rPr>
        <w:t xml:space="preserve"> </w:t>
      </w:r>
      <w:r w:rsidRPr="00F16251">
        <w:rPr>
          <w:rFonts w:cstheme="minorHAnsi"/>
        </w:rPr>
        <w:t>zasad</w:t>
      </w:r>
      <w:r w:rsidR="003B50ED" w:rsidRPr="00F16251">
        <w:rPr>
          <w:rFonts w:cstheme="minorHAnsi"/>
        </w:rPr>
        <w:t xml:space="preserve"> </w:t>
      </w:r>
      <w:r w:rsidRPr="00F16251">
        <w:rPr>
          <w:rFonts w:cstheme="minorHAnsi"/>
        </w:rPr>
        <w:t>prowadzenia</w:t>
      </w:r>
      <w:r w:rsidR="003B50ED" w:rsidRPr="00F16251">
        <w:rPr>
          <w:rFonts w:cstheme="minorHAnsi"/>
        </w:rPr>
        <w:t xml:space="preserve"> </w:t>
      </w:r>
      <w:r w:rsidRPr="00F16251">
        <w:rPr>
          <w:rFonts w:cstheme="minorHAnsi"/>
        </w:rPr>
        <w:t>działań</w:t>
      </w:r>
      <w:r w:rsidR="003B50ED" w:rsidRPr="00F16251">
        <w:rPr>
          <w:rFonts w:cstheme="minorHAnsi"/>
        </w:rPr>
        <w:t xml:space="preserve"> </w:t>
      </w:r>
      <w:r w:rsidRPr="00F16251">
        <w:rPr>
          <w:rFonts w:cstheme="minorHAnsi"/>
        </w:rPr>
        <w:t>kontrolnych,</w:t>
      </w:r>
      <w:r w:rsidR="003B50ED" w:rsidRPr="00F16251">
        <w:rPr>
          <w:rFonts w:cstheme="minorHAnsi"/>
        </w:rPr>
        <w:t xml:space="preserve"> </w:t>
      </w:r>
      <w:r w:rsidRPr="00F16251">
        <w:rPr>
          <w:rFonts w:cstheme="minorHAnsi"/>
        </w:rPr>
        <w:t>zasad</w:t>
      </w:r>
      <w:r w:rsidR="003B50ED" w:rsidRPr="00F16251">
        <w:rPr>
          <w:rFonts w:cstheme="minorHAnsi"/>
        </w:rPr>
        <w:t xml:space="preserve"> </w:t>
      </w:r>
      <w:r w:rsidRPr="00F16251">
        <w:rPr>
          <w:rFonts w:cstheme="minorHAnsi"/>
        </w:rPr>
        <w:t>protokołowania</w:t>
      </w:r>
      <w:r w:rsidR="003B50ED" w:rsidRPr="00F16251">
        <w:rPr>
          <w:rFonts w:cstheme="minorHAnsi"/>
        </w:rPr>
        <w:t xml:space="preserve"> </w:t>
      </w:r>
      <w:r w:rsidRPr="00F16251">
        <w:rPr>
          <w:rFonts w:cstheme="minorHAnsi"/>
        </w:rPr>
        <w:t>posiedzeń.</w:t>
      </w:r>
      <w:r w:rsidR="003B50ED" w:rsidRPr="00F16251">
        <w:rPr>
          <w:rFonts w:cstheme="minorHAnsi"/>
        </w:rPr>
        <w:t xml:space="preserve"> </w:t>
      </w:r>
    </w:p>
    <w:p w14:paraId="49162425" w14:textId="038295A5" w:rsidR="00DF60A0" w:rsidRDefault="00DF60A0" w:rsidP="00A26C26">
      <w:pPr>
        <w:spacing w:line="276" w:lineRule="auto"/>
        <w:ind w:firstLine="284"/>
        <w:jc w:val="both"/>
        <w:rPr>
          <w:rFonts w:cstheme="minorHAnsi"/>
        </w:rPr>
      </w:pPr>
      <w:r w:rsidRPr="00F16251">
        <w:rPr>
          <w:rFonts w:cstheme="minorHAnsi"/>
        </w:rPr>
        <w:t>Regulamin</w:t>
      </w:r>
      <w:r w:rsidR="003B50ED" w:rsidRPr="00F16251">
        <w:rPr>
          <w:rFonts w:cstheme="minorHAnsi"/>
        </w:rPr>
        <w:t xml:space="preserve"> </w:t>
      </w:r>
      <w:r w:rsidRPr="00F16251">
        <w:rPr>
          <w:rFonts w:cstheme="minorHAnsi"/>
        </w:rPr>
        <w:t>Biura</w:t>
      </w:r>
      <w:r w:rsidR="003B50ED" w:rsidRPr="00F16251">
        <w:rPr>
          <w:rFonts w:cstheme="minorHAnsi"/>
        </w:rPr>
        <w:t xml:space="preserve"> </w:t>
      </w:r>
      <w:r w:rsidRPr="00F16251">
        <w:rPr>
          <w:rFonts w:cstheme="minorHAnsi"/>
        </w:rPr>
        <w:t>określa</w:t>
      </w:r>
      <w:r w:rsidR="003B50ED" w:rsidRPr="00F16251">
        <w:rPr>
          <w:rFonts w:cstheme="minorHAnsi"/>
        </w:rPr>
        <w:t xml:space="preserve"> </w:t>
      </w:r>
      <w:r w:rsidRPr="00F16251">
        <w:rPr>
          <w:rFonts w:cstheme="minorHAnsi"/>
        </w:rPr>
        <w:t>zasady</w:t>
      </w:r>
      <w:r w:rsidR="003B50ED" w:rsidRPr="00F16251">
        <w:rPr>
          <w:rFonts w:cstheme="minorHAnsi"/>
        </w:rPr>
        <w:t xml:space="preserve"> </w:t>
      </w:r>
      <w:r w:rsidRPr="00F16251">
        <w:rPr>
          <w:rFonts w:cstheme="minorHAnsi"/>
        </w:rPr>
        <w:t>funkcjonowania</w:t>
      </w:r>
      <w:r w:rsidR="003B50ED" w:rsidRPr="00F16251">
        <w:rPr>
          <w:rFonts w:cstheme="minorHAnsi"/>
        </w:rPr>
        <w:t xml:space="preserve"> </w:t>
      </w:r>
      <w:r w:rsidRPr="00F16251">
        <w:rPr>
          <w:rFonts w:cstheme="minorHAnsi"/>
        </w:rPr>
        <w:t>Biura</w:t>
      </w:r>
      <w:r w:rsidR="00826D5B" w:rsidRPr="00F16251">
        <w:rPr>
          <w:rFonts w:cstheme="minorHAnsi"/>
        </w:rPr>
        <w:t xml:space="preserve"> LGD</w:t>
      </w:r>
      <w:r w:rsidRPr="00F16251">
        <w:rPr>
          <w:rFonts w:cstheme="minorHAnsi"/>
        </w:rPr>
        <w:t>,</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tym</w:t>
      </w:r>
      <w:r w:rsidR="003B50ED" w:rsidRPr="00F16251">
        <w:rPr>
          <w:rFonts w:cstheme="minorHAnsi"/>
        </w:rPr>
        <w:t xml:space="preserve"> </w:t>
      </w:r>
      <w:r w:rsidRPr="00F16251">
        <w:rPr>
          <w:rFonts w:cstheme="minorHAnsi"/>
        </w:rPr>
        <w:t>uprawnienia</w:t>
      </w:r>
      <w:r w:rsidR="003B50ED" w:rsidRPr="00F16251">
        <w:rPr>
          <w:rFonts w:cstheme="minorHAnsi"/>
        </w:rPr>
        <w:t xml:space="preserve"> </w:t>
      </w:r>
      <w:r w:rsidR="00826D5B" w:rsidRPr="00F16251">
        <w:rPr>
          <w:rFonts w:cstheme="minorHAnsi"/>
        </w:rPr>
        <w:t>D</w:t>
      </w:r>
      <w:r w:rsidRPr="00F16251">
        <w:rPr>
          <w:rFonts w:cstheme="minorHAnsi"/>
        </w:rPr>
        <w:t>yrektora</w:t>
      </w:r>
      <w:r w:rsidR="003B50ED" w:rsidRPr="00F16251">
        <w:rPr>
          <w:rFonts w:cstheme="minorHAnsi"/>
        </w:rPr>
        <w:t xml:space="preserve"> </w:t>
      </w:r>
      <w:r w:rsidRPr="00F16251">
        <w:rPr>
          <w:rFonts w:cstheme="minorHAnsi"/>
        </w:rPr>
        <w:t>biura,</w:t>
      </w:r>
      <w:r w:rsidR="003B50ED" w:rsidRPr="00F16251">
        <w:rPr>
          <w:rFonts w:cstheme="minorHAnsi"/>
        </w:rPr>
        <w:t xml:space="preserve"> </w:t>
      </w:r>
      <w:r w:rsidRPr="00F16251">
        <w:rPr>
          <w:rFonts w:cstheme="minorHAnsi"/>
        </w:rPr>
        <w:t>podział</w:t>
      </w:r>
      <w:r w:rsidR="003B50ED" w:rsidRPr="00F16251">
        <w:rPr>
          <w:rFonts w:cstheme="minorHAnsi"/>
        </w:rPr>
        <w:t xml:space="preserve"> </w:t>
      </w:r>
      <w:r w:rsidRPr="00F16251">
        <w:rPr>
          <w:rFonts w:cstheme="minorHAnsi"/>
        </w:rPr>
        <w:t>zadań</w:t>
      </w:r>
      <w:r w:rsidR="003B50ED" w:rsidRPr="00F16251">
        <w:rPr>
          <w:rFonts w:cstheme="minorHAnsi"/>
        </w:rPr>
        <w:t xml:space="preserve"> </w:t>
      </w:r>
      <w:r w:rsidRPr="00F16251">
        <w:rPr>
          <w:rFonts w:cstheme="minorHAnsi"/>
        </w:rPr>
        <w:t>(oraz</w:t>
      </w:r>
      <w:r w:rsidR="003B50ED" w:rsidRPr="00F16251">
        <w:rPr>
          <w:rFonts w:cstheme="minorHAnsi"/>
        </w:rPr>
        <w:t xml:space="preserve"> </w:t>
      </w:r>
      <w:r w:rsidRPr="00F16251">
        <w:rPr>
          <w:rFonts w:cstheme="minorHAnsi"/>
        </w:rPr>
        <w:t>metody</w:t>
      </w:r>
      <w:r w:rsidR="003B50ED" w:rsidRPr="00F16251">
        <w:rPr>
          <w:rFonts w:cstheme="minorHAnsi"/>
        </w:rPr>
        <w:t xml:space="preserve"> </w:t>
      </w:r>
      <w:r w:rsidRPr="00F16251">
        <w:rPr>
          <w:rFonts w:cstheme="minorHAnsi"/>
        </w:rPr>
        <w:t>pomiaru)</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zakresie</w:t>
      </w:r>
      <w:r w:rsidR="003B50ED" w:rsidRPr="00F16251">
        <w:rPr>
          <w:rFonts w:cstheme="minorHAnsi"/>
        </w:rPr>
        <w:t xml:space="preserve"> </w:t>
      </w:r>
      <w:r w:rsidRPr="00F16251">
        <w:rPr>
          <w:rFonts w:cstheme="minorHAnsi"/>
        </w:rPr>
        <w:t>doradztwa</w:t>
      </w:r>
      <w:r w:rsidR="00826D5B" w:rsidRPr="00F16251">
        <w:rPr>
          <w:rFonts w:cstheme="minorHAnsi"/>
        </w:rPr>
        <w:t>,</w:t>
      </w:r>
      <w:r w:rsidR="003B50ED" w:rsidRPr="00F16251">
        <w:rPr>
          <w:rFonts w:cstheme="minorHAnsi"/>
        </w:rPr>
        <w:t xml:space="preserve"> </w:t>
      </w:r>
      <w:r w:rsidRPr="00F16251">
        <w:rPr>
          <w:rFonts w:cstheme="minorHAnsi"/>
        </w:rPr>
        <w:t>zasady</w:t>
      </w:r>
      <w:r w:rsidR="003B50ED" w:rsidRPr="00F16251">
        <w:rPr>
          <w:rFonts w:cstheme="minorHAnsi"/>
        </w:rPr>
        <w:t xml:space="preserve"> </w:t>
      </w:r>
      <w:r w:rsidRPr="00F16251">
        <w:rPr>
          <w:rFonts w:cstheme="minorHAnsi"/>
        </w:rPr>
        <w:t>zatrudniania</w:t>
      </w:r>
      <w:r w:rsidR="003B50ED" w:rsidRPr="00F16251">
        <w:rPr>
          <w:rFonts w:cstheme="minorHAnsi"/>
        </w:rPr>
        <w:t xml:space="preserve"> </w:t>
      </w:r>
      <w:r w:rsidRPr="00F16251">
        <w:rPr>
          <w:rFonts w:cstheme="minorHAnsi"/>
        </w:rPr>
        <w:t>pracowników</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tym</w:t>
      </w:r>
      <w:r w:rsidR="003B50ED" w:rsidRPr="00F16251">
        <w:rPr>
          <w:rFonts w:cstheme="minorHAnsi"/>
        </w:rPr>
        <w:t xml:space="preserve"> </w:t>
      </w:r>
      <w:r w:rsidRPr="00F16251">
        <w:rPr>
          <w:rFonts w:cstheme="minorHAnsi"/>
        </w:rPr>
        <w:t>zasady</w:t>
      </w:r>
      <w:r w:rsidR="003B50ED" w:rsidRPr="00F16251">
        <w:rPr>
          <w:rFonts w:cstheme="minorHAnsi"/>
        </w:rPr>
        <w:t xml:space="preserve"> </w:t>
      </w:r>
      <w:r w:rsidRPr="00F16251">
        <w:rPr>
          <w:rFonts w:cstheme="minorHAnsi"/>
        </w:rPr>
        <w:t>naboru</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weryfikacji</w:t>
      </w:r>
      <w:r w:rsidR="003B50ED" w:rsidRPr="00F16251">
        <w:rPr>
          <w:rFonts w:cstheme="minorHAnsi"/>
        </w:rPr>
        <w:t xml:space="preserve"> </w:t>
      </w:r>
      <w:r w:rsidRPr="00F16251">
        <w:rPr>
          <w:rFonts w:cstheme="minorHAnsi"/>
        </w:rPr>
        <w:t>dokumentów,</w:t>
      </w:r>
      <w:r w:rsidR="003B50ED" w:rsidRPr="00F16251">
        <w:rPr>
          <w:rFonts w:cstheme="minorHAnsi"/>
        </w:rPr>
        <w:t xml:space="preserve"> </w:t>
      </w:r>
      <w:r w:rsidRPr="00F16251">
        <w:rPr>
          <w:rFonts w:cstheme="minorHAnsi"/>
        </w:rPr>
        <w:t>pracy</w:t>
      </w:r>
      <w:r w:rsidR="003B50ED" w:rsidRPr="00F16251">
        <w:rPr>
          <w:rFonts w:cstheme="minorHAnsi"/>
        </w:rPr>
        <w:t xml:space="preserve"> </w:t>
      </w:r>
      <w:r w:rsidRPr="00F16251">
        <w:rPr>
          <w:rFonts w:cstheme="minorHAnsi"/>
        </w:rPr>
        <w:t>komisji</w:t>
      </w:r>
      <w:r w:rsidR="003B50ED" w:rsidRPr="00F16251">
        <w:rPr>
          <w:rFonts w:cstheme="minorHAnsi"/>
        </w:rPr>
        <w:t xml:space="preserve"> </w:t>
      </w:r>
      <w:r w:rsidRPr="00F16251">
        <w:rPr>
          <w:rFonts w:cstheme="minorHAnsi"/>
        </w:rPr>
        <w:t>Rekrutacyjnej,</w:t>
      </w:r>
      <w:r w:rsidR="003B50ED" w:rsidRPr="00F16251">
        <w:rPr>
          <w:rFonts w:cstheme="minorHAnsi"/>
        </w:rPr>
        <w:t xml:space="preserve"> </w:t>
      </w:r>
      <w:r w:rsidRPr="00F16251">
        <w:rPr>
          <w:rFonts w:cstheme="minorHAnsi"/>
        </w:rPr>
        <w:t>ogłaszania</w:t>
      </w:r>
      <w:r w:rsidR="003B50ED" w:rsidRPr="00F16251">
        <w:rPr>
          <w:rFonts w:cstheme="minorHAnsi"/>
        </w:rPr>
        <w:t xml:space="preserve"> </w:t>
      </w:r>
      <w:r w:rsidRPr="00F16251">
        <w:rPr>
          <w:rFonts w:cstheme="minorHAnsi"/>
        </w:rPr>
        <w:t>informacji</w:t>
      </w:r>
      <w:r w:rsidR="003B50ED" w:rsidRPr="00F16251">
        <w:rPr>
          <w:rFonts w:cstheme="minorHAnsi"/>
        </w:rPr>
        <w:t xml:space="preserve"> </w:t>
      </w:r>
      <w:r w:rsidRPr="00F16251">
        <w:rPr>
          <w:rFonts w:cstheme="minorHAnsi"/>
        </w:rPr>
        <w:t>o</w:t>
      </w:r>
      <w:r w:rsidR="003B50ED" w:rsidRPr="00F16251">
        <w:rPr>
          <w:rFonts w:cstheme="minorHAnsi"/>
        </w:rPr>
        <w:t xml:space="preserve"> </w:t>
      </w:r>
      <w:r w:rsidRPr="00F16251">
        <w:rPr>
          <w:rFonts w:cstheme="minorHAnsi"/>
        </w:rPr>
        <w:t>wynikach</w:t>
      </w:r>
      <w:r w:rsidR="003B50ED" w:rsidRPr="00F16251">
        <w:rPr>
          <w:rFonts w:cstheme="minorHAnsi"/>
        </w:rPr>
        <w:t xml:space="preserve"> </w:t>
      </w:r>
      <w:r w:rsidRPr="00F16251">
        <w:rPr>
          <w:rFonts w:cstheme="minorHAnsi"/>
        </w:rPr>
        <w:t>naboru</w:t>
      </w:r>
      <w:r w:rsidR="00416FC4">
        <w:rPr>
          <w:rFonts w:cstheme="minorHAnsi"/>
        </w:rPr>
        <w:t>)</w:t>
      </w:r>
      <w:r w:rsidRPr="00F16251">
        <w:rPr>
          <w:rFonts w:cstheme="minorHAnsi"/>
        </w:rPr>
        <w:t>,</w:t>
      </w:r>
      <w:r w:rsidR="003B50ED" w:rsidRPr="00F16251">
        <w:rPr>
          <w:rFonts w:cstheme="minorHAnsi"/>
        </w:rPr>
        <w:t xml:space="preserve"> </w:t>
      </w:r>
      <w:r w:rsidRPr="00F16251">
        <w:rPr>
          <w:rFonts w:cstheme="minorHAnsi"/>
        </w:rPr>
        <w:t>zasady</w:t>
      </w:r>
      <w:r w:rsidR="003B50ED" w:rsidRPr="00F16251">
        <w:rPr>
          <w:rFonts w:cstheme="minorHAnsi"/>
        </w:rPr>
        <w:t xml:space="preserve"> </w:t>
      </w:r>
      <w:r w:rsidRPr="00F16251">
        <w:rPr>
          <w:rFonts w:cstheme="minorHAnsi"/>
        </w:rPr>
        <w:t>wynagradzania</w:t>
      </w:r>
      <w:r w:rsidR="003B50ED" w:rsidRPr="00F16251">
        <w:rPr>
          <w:rFonts w:cstheme="minorHAnsi"/>
        </w:rPr>
        <w:t xml:space="preserve"> </w:t>
      </w:r>
      <w:r w:rsidRPr="00F16251">
        <w:rPr>
          <w:rFonts w:cstheme="minorHAnsi"/>
        </w:rPr>
        <w:t>pracowników,</w:t>
      </w:r>
      <w:r w:rsidR="003B50ED" w:rsidRPr="00F16251">
        <w:rPr>
          <w:rFonts w:cstheme="minorHAnsi"/>
        </w:rPr>
        <w:t xml:space="preserve"> </w:t>
      </w:r>
      <w:r w:rsidRPr="00F16251">
        <w:rPr>
          <w:rFonts w:cstheme="minorHAnsi"/>
        </w:rPr>
        <w:t>zawiera</w:t>
      </w:r>
      <w:r w:rsidR="003B50ED" w:rsidRPr="00F16251">
        <w:rPr>
          <w:rFonts w:cstheme="minorHAnsi"/>
        </w:rPr>
        <w:t xml:space="preserve"> </w:t>
      </w:r>
      <w:r w:rsidRPr="00F16251">
        <w:rPr>
          <w:rFonts w:cstheme="minorHAnsi"/>
        </w:rPr>
        <w:t>regulacje</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zakresie</w:t>
      </w:r>
      <w:r w:rsidR="003B50ED" w:rsidRPr="00F16251">
        <w:rPr>
          <w:rFonts w:cstheme="minorHAnsi"/>
        </w:rPr>
        <w:t xml:space="preserve"> </w:t>
      </w:r>
      <w:r w:rsidRPr="00F16251">
        <w:rPr>
          <w:rFonts w:cstheme="minorHAnsi"/>
        </w:rPr>
        <w:t>polityki</w:t>
      </w:r>
      <w:r w:rsidR="003B50ED" w:rsidRPr="00F16251">
        <w:rPr>
          <w:rFonts w:cstheme="minorHAnsi"/>
        </w:rPr>
        <w:t xml:space="preserve"> </w:t>
      </w:r>
      <w:r w:rsidRPr="00F16251">
        <w:rPr>
          <w:rFonts w:cstheme="minorHAnsi"/>
        </w:rPr>
        <w:t>bezpieczeństwa</w:t>
      </w:r>
      <w:r w:rsidR="003B50ED" w:rsidRPr="00F16251">
        <w:rPr>
          <w:rFonts w:cstheme="minorHAnsi"/>
        </w:rPr>
        <w:t xml:space="preserve"> </w:t>
      </w:r>
      <w:r w:rsidRPr="00F16251">
        <w:rPr>
          <w:rFonts w:cstheme="minorHAnsi"/>
        </w:rPr>
        <w:t>danych</w:t>
      </w:r>
      <w:r w:rsidR="003B50ED" w:rsidRPr="00F16251">
        <w:rPr>
          <w:rFonts w:cstheme="minorHAnsi"/>
        </w:rPr>
        <w:t xml:space="preserve"> </w:t>
      </w:r>
      <w:r w:rsidRPr="00F16251">
        <w:rPr>
          <w:rFonts w:cstheme="minorHAnsi"/>
        </w:rPr>
        <w:t>osobowych</w:t>
      </w:r>
      <w:r w:rsidR="003B50ED" w:rsidRPr="00F16251">
        <w:rPr>
          <w:rFonts w:cstheme="minorHAnsi"/>
        </w:rPr>
        <w:t xml:space="preserve"> </w:t>
      </w:r>
      <w:r w:rsidR="00826D5B" w:rsidRPr="00F16251">
        <w:rPr>
          <w:rFonts w:cstheme="minorHAnsi"/>
        </w:rPr>
        <w:t>Stowarzyszenia „Solidarni w Partnerstwie”</w:t>
      </w:r>
      <w:r w:rsidRPr="00F16251">
        <w:rPr>
          <w:rFonts w:cstheme="minorHAnsi"/>
        </w:rPr>
        <w:t>,</w:t>
      </w:r>
      <w:r w:rsidR="003B50ED" w:rsidRPr="00F16251">
        <w:rPr>
          <w:rFonts w:cstheme="minorHAnsi"/>
        </w:rPr>
        <w:t xml:space="preserve"> </w:t>
      </w:r>
      <w:r w:rsidRPr="00F16251">
        <w:rPr>
          <w:rFonts w:cstheme="minorHAnsi"/>
        </w:rPr>
        <w:t>regulując</w:t>
      </w:r>
      <w:r w:rsidR="00826D5B" w:rsidRPr="00F16251">
        <w:rPr>
          <w:rFonts w:cstheme="minorHAnsi"/>
        </w:rPr>
        <w:t>e</w:t>
      </w:r>
      <w:r w:rsidR="003B50ED" w:rsidRPr="00F16251">
        <w:rPr>
          <w:rFonts w:cstheme="minorHAnsi"/>
        </w:rPr>
        <w:t xml:space="preserve"> </w:t>
      </w:r>
      <w:r w:rsidRPr="00F16251">
        <w:rPr>
          <w:rFonts w:cstheme="minorHAnsi"/>
        </w:rPr>
        <w:t>zasady</w:t>
      </w:r>
      <w:r w:rsidR="003B50ED" w:rsidRPr="00F16251">
        <w:rPr>
          <w:rFonts w:cstheme="minorHAnsi"/>
        </w:rPr>
        <w:t xml:space="preserve"> </w:t>
      </w:r>
      <w:r w:rsidRPr="00F16251">
        <w:rPr>
          <w:rFonts w:cstheme="minorHAnsi"/>
        </w:rPr>
        <w:t>udostępniania</w:t>
      </w:r>
      <w:r w:rsidR="003B50ED" w:rsidRPr="00F16251">
        <w:rPr>
          <w:rFonts w:cstheme="minorHAnsi"/>
        </w:rPr>
        <w:t xml:space="preserve"> </w:t>
      </w:r>
      <w:r w:rsidRPr="00F16251">
        <w:rPr>
          <w:rFonts w:cstheme="minorHAnsi"/>
        </w:rPr>
        <w:t>informacji</w:t>
      </w:r>
      <w:r w:rsidR="003B50ED" w:rsidRPr="00F16251">
        <w:rPr>
          <w:rFonts w:cstheme="minorHAnsi"/>
        </w:rPr>
        <w:t xml:space="preserve"> </w:t>
      </w:r>
      <w:r w:rsidRPr="00F16251">
        <w:rPr>
          <w:rFonts w:cstheme="minorHAnsi"/>
        </w:rPr>
        <w:t>będących</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dyspozycji</w:t>
      </w:r>
      <w:r w:rsidR="003B50ED" w:rsidRPr="00F16251">
        <w:rPr>
          <w:rFonts w:cstheme="minorHAnsi"/>
        </w:rPr>
        <w:t xml:space="preserve"> </w:t>
      </w:r>
      <w:r w:rsidRPr="00F16251">
        <w:rPr>
          <w:rFonts w:cstheme="minorHAnsi"/>
        </w:rPr>
        <w:t>LGD,</w:t>
      </w:r>
      <w:r w:rsidR="003B50ED" w:rsidRPr="00F16251">
        <w:rPr>
          <w:rFonts w:cstheme="minorHAnsi"/>
        </w:rPr>
        <w:t xml:space="preserve"> </w:t>
      </w:r>
      <w:r w:rsidRPr="00F16251">
        <w:rPr>
          <w:rFonts w:cstheme="minorHAnsi"/>
        </w:rPr>
        <w:t>a</w:t>
      </w:r>
      <w:r w:rsidR="003B50ED" w:rsidRPr="00F16251">
        <w:rPr>
          <w:rFonts w:cstheme="minorHAnsi"/>
        </w:rPr>
        <w:t xml:space="preserve"> </w:t>
      </w:r>
      <w:r w:rsidRPr="00F16251">
        <w:rPr>
          <w:rFonts w:cstheme="minorHAnsi"/>
        </w:rPr>
        <w:t>także</w:t>
      </w:r>
      <w:r w:rsidR="003B50ED" w:rsidRPr="00F16251">
        <w:rPr>
          <w:rFonts w:cstheme="minorHAnsi"/>
        </w:rPr>
        <w:t xml:space="preserve"> </w:t>
      </w:r>
      <w:r w:rsidRPr="00F16251">
        <w:rPr>
          <w:rFonts w:cstheme="minorHAnsi"/>
        </w:rPr>
        <w:t>zasady</w:t>
      </w:r>
      <w:r w:rsidR="003B50ED" w:rsidRPr="00F16251">
        <w:rPr>
          <w:rFonts w:cstheme="minorHAnsi"/>
        </w:rPr>
        <w:t xml:space="preserve"> </w:t>
      </w:r>
      <w:r w:rsidRPr="00F16251">
        <w:rPr>
          <w:rFonts w:cstheme="minorHAnsi"/>
        </w:rPr>
        <w:t>bezpieczeństwa</w:t>
      </w:r>
      <w:r w:rsidR="003B50ED" w:rsidRPr="00F16251">
        <w:rPr>
          <w:rFonts w:cstheme="minorHAnsi"/>
        </w:rPr>
        <w:t xml:space="preserve"> </w:t>
      </w:r>
      <w:r w:rsidRPr="00F16251">
        <w:rPr>
          <w:rFonts w:cstheme="minorHAnsi"/>
        </w:rPr>
        <w:t>informacji</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przetwarzania</w:t>
      </w:r>
      <w:r w:rsidR="003B50ED" w:rsidRPr="00F16251">
        <w:rPr>
          <w:rFonts w:cstheme="minorHAnsi"/>
        </w:rPr>
        <w:t xml:space="preserve"> </w:t>
      </w:r>
      <w:r w:rsidRPr="00F16251">
        <w:rPr>
          <w:rFonts w:cstheme="minorHAnsi"/>
        </w:rPr>
        <w:t>danych</w:t>
      </w:r>
      <w:r w:rsidR="003B50ED" w:rsidRPr="00F16251">
        <w:rPr>
          <w:rFonts w:cstheme="minorHAnsi"/>
        </w:rPr>
        <w:t xml:space="preserve"> </w:t>
      </w:r>
      <w:r w:rsidRPr="00F16251">
        <w:rPr>
          <w:rFonts w:cstheme="minorHAnsi"/>
        </w:rPr>
        <w:t>osobowych.</w:t>
      </w:r>
      <w:r w:rsidR="003B50ED" w:rsidRPr="00F16251">
        <w:rPr>
          <w:rFonts w:cstheme="minorHAnsi"/>
        </w:rPr>
        <w:t xml:space="preserve"> </w:t>
      </w:r>
      <w:r w:rsidRPr="00F16251">
        <w:rPr>
          <w:rFonts w:cstheme="minorHAnsi"/>
        </w:rPr>
        <w:t>Tym</w:t>
      </w:r>
      <w:r w:rsidR="003B50ED" w:rsidRPr="00F16251">
        <w:rPr>
          <w:rFonts w:cstheme="minorHAnsi"/>
        </w:rPr>
        <w:t xml:space="preserve"> </w:t>
      </w:r>
      <w:r w:rsidRPr="00F16251">
        <w:rPr>
          <w:rFonts w:cstheme="minorHAnsi"/>
        </w:rPr>
        <w:t>samym</w:t>
      </w:r>
      <w:r w:rsidR="003B50ED" w:rsidRPr="00F16251">
        <w:rPr>
          <w:rFonts w:cstheme="minorHAnsi"/>
        </w:rPr>
        <w:t xml:space="preserve"> </w:t>
      </w:r>
      <w:r w:rsidRPr="00F16251">
        <w:rPr>
          <w:rFonts w:cstheme="minorHAnsi"/>
        </w:rPr>
        <w:t>Regulamin</w:t>
      </w:r>
      <w:r w:rsidR="003B50ED" w:rsidRPr="00F16251">
        <w:rPr>
          <w:rFonts w:cstheme="minorHAnsi"/>
        </w:rPr>
        <w:t xml:space="preserve"> </w:t>
      </w:r>
      <w:r w:rsidRPr="00F16251">
        <w:rPr>
          <w:rFonts w:cstheme="minorHAnsi"/>
        </w:rPr>
        <w:t>Biura</w:t>
      </w:r>
      <w:r w:rsidR="003B50ED" w:rsidRPr="00F16251">
        <w:rPr>
          <w:rFonts w:cstheme="minorHAnsi"/>
        </w:rPr>
        <w:t xml:space="preserve"> </w:t>
      </w:r>
      <w:r w:rsidR="00826D5B" w:rsidRPr="00F16251">
        <w:rPr>
          <w:rFonts w:cstheme="minorHAnsi"/>
        </w:rPr>
        <w:t xml:space="preserve">LGD </w:t>
      </w:r>
      <w:r w:rsidRPr="00F16251">
        <w:rPr>
          <w:rFonts w:cstheme="minorHAnsi"/>
        </w:rPr>
        <w:t>określa</w:t>
      </w:r>
      <w:r w:rsidR="003B50ED" w:rsidRPr="00F16251">
        <w:rPr>
          <w:rFonts w:cstheme="minorHAnsi"/>
        </w:rPr>
        <w:t xml:space="preserve"> </w:t>
      </w:r>
      <w:r w:rsidRPr="00F16251">
        <w:rPr>
          <w:rFonts w:cstheme="minorHAnsi"/>
        </w:rPr>
        <w:t>szczegółowo</w:t>
      </w:r>
      <w:r w:rsidR="003B50ED" w:rsidRPr="00F16251">
        <w:rPr>
          <w:rFonts w:cstheme="minorHAnsi"/>
        </w:rPr>
        <w:t xml:space="preserve"> </w:t>
      </w:r>
      <w:r w:rsidRPr="00F16251">
        <w:rPr>
          <w:rFonts w:cstheme="minorHAnsi"/>
        </w:rPr>
        <w:t>podział</w:t>
      </w:r>
      <w:r w:rsidR="003B50ED" w:rsidRPr="00F16251">
        <w:rPr>
          <w:rFonts w:cstheme="minorHAnsi"/>
        </w:rPr>
        <w:t xml:space="preserve"> </w:t>
      </w:r>
      <w:r w:rsidRPr="00F16251">
        <w:rPr>
          <w:rFonts w:cstheme="minorHAnsi"/>
        </w:rPr>
        <w:t>zadań</w:t>
      </w:r>
      <w:r w:rsidR="003B50ED" w:rsidRPr="00F16251">
        <w:rPr>
          <w:rFonts w:cstheme="minorHAnsi"/>
        </w:rPr>
        <w:t xml:space="preserve"> </w:t>
      </w:r>
      <w:r w:rsidRPr="00F16251">
        <w:rPr>
          <w:rFonts w:cstheme="minorHAnsi"/>
        </w:rPr>
        <w:t>pracowników</w:t>
      </w:r>
      <w:r w:rsidR="003B50ED" w:rsidRPr="00F16251">
        <w:rPr>
          <w:rFonts w:cstheme="minorHAnsi"/>
        </w:rPr>
        <w:t xml:space="preserve"> </w:t>
      </w:r>
      <w:r w:rsidRPr="00F16251">
        <w:rPr>
          <w:rFonts w:cstheme="minorHAnsi"/>
        </w:rPr>
        <w:t>biura,</w:t>
      </w:r>
      <w:r w:rsidR="003B50ED" w:rsidRPr="00F16251">
        <w:rPr>
          <w:rFonts w:cstheme="minorHAnsi"/>
        </w:rPr>
        <w:t xml:space="preserve"> </w:t>
      </w:r>
      <w:r w:rsidRPr="00F16251">
        <w:rPr>
          <w:rFonts w:cstheme="minorHAnsi"/>
        </w:rPr>
        <w:t>a</w:t>
      </w:r>
      <w:r w:rsidR="003B50ED" w:rsidRPr="00F16251">
        <w:rPr>
          <w:rFonts w:cstheme="minorHAnsi"/>
        </w:rPr>
        <w:t xml:space="preserve"> </w:t>
      </w:r>
      <w:r w:rsidRPr="00F16251">
        <w:rPr>
          <w:rFonts w:cstheme="minorHAnsi"/>
        </w:rPr>
        <w:t>także</w:t>
      </w:r>
      <w:r w:rsidR="003B50ED" w:rsidRPr="00F16251">
        <w:rPr>
          <w:rFonts w:cstheme="minorHAnsi"/>
        </w:rPr>
        <w:t xml:space="preserve"> </w:t>
      </w:r>
      <w:r w:rsidRPr="00F16251">
        <w:rPr>
          <w:rFonts w:cstheme="minorHAnsi"/>
        </w:rPr>
        <w:t>zapewnia</w:t>
      </w:r>
      <w:r w:rsidR="003B50ED" w:rsidRPr="00F16251">
        <w:rPr>
          <w:rFonts w:cstheme="minorHAnsi"/>
        </w:rPr>
        <w:t xml:space="preserve"> </w:t>
      </w:r>
      <w:r w:rsidRPr="00F16251">
        <w:rPr>
          <w:rFonts w:cstheme="minorHAnsi"/>
        </w:rPr>
        <w:t>adekwatność</w:t>
      </w:r>
      <w:r w:rsidR="003B50ED" w:rsidRPr="00F16251">
        <w:rPr>
          <w:rFonts w:cstheme="minorHAnsi"/>
        </w:rPr>
        <w:t xml:space="preserve"> </w:t>
      </w:r>
      <w:r w:rsidRPr="00F16251">
        <w:rPr>
          <w:rFonts w:cstheme="minorHAnsi"/>
        </w:rPr>
        <w:t>wymagań</w:t>
      </w:r>
      <w:r w:rsidR="003B50ED" w:rsidRPr="00F16251">
        <w:rPr>
          <w:rFonts w:cstheme="minorHAnsi"/>
        </w:rPr>
        <w:t xml:space="preserve"> </w:t>
      </w:r>
      <w:r w:rsidRPr="00F16251">
        <w:rPr>
          <w:rFonts w:cstheme="minorHAnsi"/>
        </w:rPr>
        <w:t>przypisanych</w:t>
      </w:r>
      <w:r w:rsidR="003B50ED" w:rsidRPr="00F16251">
        <w:rPr>
          <w:rFonts w:cstheme="minorHAnsi"/>
        </w:rPr>
        <w:t xml:space="preserve"> </w:t>
      </w:r>
      <w:r w:rsidRPr="00F16251">
        <w:rPr>
          <w:rFonts w:cstheme="minorHAnsi"/>
        </w:rPr>
        <w:t>poszczególnym</w:t>
      </w:r>
      <w:r w:rsidR="003B50ED" w:rsidRPr="00F16251">
        <w:rPr>
          <w:rFonts w:cstheme="minorHAnsi"/>
        </w:rPr>
        <w:t xml:space="preserve"> </w:t>
      </w:r>
      <w:r w:rsidRPr="00F16251">
        <w:rPr>
          <w:rFonts w:cstheme="minorHAnsi"/>
        </w:rPr>
        <w:t>stanowiskom</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przewidzianych</w:t>
      </w:r>
      <w:r w:rsidR="003B50ED" w:rsidRPr="00F16251">
        <w:rPr>
          <w:rFonts w:cstheme="minorHAnsi"/>
        </w:rPr>
        <w:t xml:space="preserve"> </w:t>
      </w:r>
      <w:r w:rsidRPr="00F16251">
        <w:rPr>
          <w:rFonts w:cstheme="minorHAnsi"/>
        </w:rPr>
        <w:t>obowiązków.</w:t>
      </w:r>
      <w:r w:rsidR="003B50ED" w:rsidRPr="00F16251">
        <w:rPr>
          <w:rFonts w:cstheme="minorHAnsi"/>
        </w:rPr>
        <w:t xml:space="preserve"> </w:t>
      </w:r>
      <w:r w:rsidRPr="00F16251">
        <w:rPr>
          <w:rFonts w:cstheme="minorHAnsi"/>
        </w:rPr>
        <w:t>Podobnie</w:t>
      </w:r>
      <w:r w:rsidR="003B50ED" w:rsidRPr="00F16251">
        <w:rPr>
          <w:rFonts w:cstheme="minorHAnsi"/>
        </w:rPr>
        <w:t xml:space="preserve"> </w:t>
      </w:r>
      <w:r w:rsidRPr="00F16251">
        <w:rPr>
          <w:rFonts w:cstheme="minorHAnsi"/>
        </w:rPr>
        <w:t>jak</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przypadku</w:t>
      </w:r>
      <w:r w:rsidR="003B50ED" w:rsidRPr="00F16251">
        <w:rPr>
          <w:rFonts w:cstheme="minorHAnsi"/>
        </w:rPr>
        <w:t xml:space="preserve"> </w:t>
      </w:r>
      <w:r w:rsidRPr="00F16251">
        <w:rPr>
          <w:rFonts w:cstheme="minorHAnsi"/>
        </w:rPr>
        <w:t>Rady,</w:t>
      </w:r>
      <w:r w:rsidR="003B50ED" w:rsidRPr="00F16251">
        <w:rPr>
          <w:rFonts w:cstheme="minorHAnsi"/>
        </w:rPr>
        <w:t xml:space="preserve"> </w:t>
      </w:r>
      <w:r w:rsidRPr="00F16251">
        <w:rPr>
          <w:rFonts w:cstheme="minorHAnsi"/>
        </w:rPr>
        <w:t>także</w:t>
      </w:r>
      <w:r w:rsidR="003B50ED" w:rsidRPr="00F16251">
        <w:rPr>
          <w:rFonts w:cstheme="minorHAnsi"/>
        </w:rPr>
        <w:t xml:space="preserve"> </w:t>
      </w:r>
      <w:r w:rsidRPr="00F16251">
        <w:rPr>
          <w:rFonts w:cstheme="minorHAnsi"/>
        </w:rPr>
        <w:t>dla</w:t>
      </w:r>
      <w:r w:rsidR="003B50ED" w:rsidRPr="00F16251">
        <w:rPr>
          <w:rFonts w:cstheme="minorHAnsi"/>
        </w:rPr>
        <w:t xml:space="preserve"> </w:t>
      </w:r>
      <w:r w:rsidRPr="00F16251">
        <w:rPr>
          <w:rFonts w:cstheme="minorHAnsi"/>
        </w:rPr>
        <w:t>pracowników</w:t>
      </w:r>
      <w:r w:rsidR="003B50ED" w:rsidRPr="00F16251">
        <w:rPr>
          <w:rFonts w:cstheme="minorHAnsi"/>
        </w:rPr>
        <w:t xml:space="preserve"> </w:t>
      </w:r>
      <w:r w:rsidRPr="00F16251">
        <w:rPr>
          <w:rFonts w:cstheme="minorHAnsi"/>
        </w:rPr>
        <w:t>biura</w:t>
      </w:r>
      <w:r w:rsidR="003B50ED" w:rsidRPr="00F16251">
        <w:rPr>
          <w:rFonts w:cstheme="minorHAnsi"/>
        </w:rPr>
        <w:t xml:space="preserve"> </w:t>
      </w:r>
      <w:r w:rsidRPr="00F16251">
        <w:rPr>
          <w:rFonts w:cstheme="minorHAnsi"/>
        </w:rPr>
        <w:t>zaprojektowany</w:t>
      </w:r>
      <w:r w:rsidR="003B50ED" w:rsidRPr="00F16251">
        <w:rPr>
          <w:rFonts w:cstheme="minorHAnsi"/>
        </w:rPr>
        <w:t xml:space="preserve"> </w:t>
      </w:r>
      <w:r w:rsidRPr="00F16251">
        <w:rPr>
          <w:rFonts w:cstheme="minorHAnsi"/>
        </w:rPr>
        <w:t>został</w:t>
      </w:r>
      <w:r w:rsidR="003B50ED" w:rsidRPr="00F16251">
        <w:rPr>
          <w:rFonts w:cstheme="minorHAnsi"/>
        </w:rPr>
        <w:t xml:space="preserve"> </w:t>
      </w:r>
      <w:r w:rsidRPr="00F16251">
        <w:rPr>
          <w:rFonts w:cstheme="minorHAnsi"/>
        </w:rPr>
        <w:t>plan</w:t>
      </w:r>
      <w:r w:rsidR="003B50ED" w:rsidRPr="00F16251">
        <w:rPr>
          <w:rFonts w:cstheme="minorHAnsi"/>
        </w:rPr>
        <w:t xml:space="preserve"> </w:t>
      </w:r>
      <w:r w:rsidRPr="00F16251">
        <w:rPr>
          <w:rFonts w:cstheme="minorHAnsi"/>
        </w:rPr>
        <w:t>szkoleń.</w:t>
      </w:r>
    </w:p>
    <w:p w14:paraId="5E9F052E" w14:textId="77777777" w:rsidR="00396A11" w:rsidRPr="00F16251" w:rsidRDefault="00396A11" w:rsidP="00A26C26">
      <w:pPr>
        <w:spacing w:line="276" w:lineRule="auto"/>
        <w:ind w:firstLine="284"/>
        <w:jc w:val="both"/>
        <w:rPr>
          <w:rFonts w:cstheme="minorHAnsi"/>
        </w:rPr>
      </w:pPr>
    </w:p>
    <w:p w14:paraId="24EE29A1" w14:textId="7168BD52" w:rsidR="00D53B90" w:rsidRPr="00F16251" w:rsidRDefault="00D53B90" w:rsidP="008A412F">
      <w:pPr>
        <w:pStyle w:val="Nagwek2"/>
        <w:numPr>
          <w:ilvl w:val="0"/>
          <w:numId w:val="1"/>
        </w:numPr>
        <w:spacing w:before="0" w:line="276" w:lineRule="auto"/>
        <w:rPr>
          <w:rFonts w:asciiTheme="minorHAnsi" w:hAnsiTheme="minorHAnsi" w:cstheme="minorHAnsi"/>
          <w:b/>
          <w:bCs/>
          <w:sz w:val="22"/>
          <w:szCs w:val="22"/>
        </w:rPr>
      </w:pPr>
      <w:bookmarkStart w:id="15" w:name="_Toc135941643"/>
      <w:bookmarkStart w:id="16" w:name="_Toc136111477"/>
      <w:bookmarkStart w:id="17" w:name="_Toc136133733"/>
      <w:bookmarkStart w:id="18" w:name="_Toc136209167"/>
      <w:bookmarkStart w:id="19" w:name="_Toc136212403"/>
      <w:bookmarkStart w:id="20" w:name="_Toc136260188"/>
      <w:bookmarkStart w:id="21" w:name="_Toc136944398"/>
      <w:r w:rsidRPr="00F16251">
        <w:rPr>
          <w:rFonts w:asciiTheme="minorHAnsi" w:hAnsiTheme="minorHAnsi" w:cstheme="minorHAnsi"/>
          <w:b/>
          <w:bCs/>
          <w:sz w:val="22"/>
          <w:szCs w:val="22"/>
        </w:rPr>
        <w:t>Standardy</w:t>
      </w:r>
      <w:r w:rsidR="003B50ED" w:rsidRPr="00F16251">
        <w:rPr>
          <w:rFonts w:asciiTheme="minorHAnsi" w:hAnsiTheme="minorHAnsi" w:cstheme="minorHAnsi"/>
          <w:b/>
          <w:bCs/>
          <w:sz w:val="22"/>
          <w:szCs w:val="22"/>
        </w:rPr>
        <w:t xml:space="preserve"> </w:t>
      </w:r>
      <w:r w:rsidRPr="00F16251">
        <w:rPr>
          <w:rFonts w:asciiTheme="minorHAnsi" w:hAnsiTheme="minorHAnsi" w:cstheme="minorHAnsi"/>
          <w:b/>
          <w:bCs/>
          <w:sz w:val="22"/>
          <w:szCs w:val="22"/>
        </w:rPr>
        <w:t>funkcjonowania</w:t>
      </w:r>
      <w:r w:rsidR="003B50ED" w:rsidRPr="00F16251">
        <w:rPr>
          <w:rFonts w:asciiTheme="minorHAnsi" w:hAnsiTheme="minorHAnsi" w:cstheme="minorHAnsi"/>
          <w:b/>
          <w:bCs/>
          <w:sz w:val="22"/>
          <w:szCs w:val="22"/>
        </w:rPr>
        <w:t xml:space="preserve"> </w:t>
      </w:r>
      <w:r w:rsidRPr="00F16251">
        <w:rPr>
          <w:rFonts w:asciiTheme="minorHAnsi" w:hAnsiTheme="minorHAnsi" w:cstheme="minorHAnsi"/>
          <w:b/>
          <w:bCs/>
          <w:sz w:val="22"/>
          <w:szCs w:val="22"/>
        </w:rPr>
        <w:t>partnerstw</w:t>
      </w:r>
      <w:bookmarkEnd w:id="15"/>
      <w:r w:rsidRPr="00F16251">
        <w:rPr>
          <w:rFonts w:asciiTheme="minorHAnsi" w:hAnsiTheme="minorHAnsi" w:cstheme="minorHAnsi"/>
          <w:b/>
          <w:bCs/>
          <w:sz w:val="22"/>
          <w:szCs w:val="22"/>
        </w:rPr>
        <w:t>a</w:t>
      </w:r>
      <w:bookmarkEnd w:id="16"/>
      <w:bookmarkEnd w:id="17"/>
      <w:bookmarkEnd w:id="18"/>
      <w:bookmarkEnd w:id="19"/>
      <w:bookmarkEnd w:id="20"/>
      <w:bookmarkEnd w:id="21"/>
      <w:r w:rsidR="003B50ED" w:rsidRPr="00F16251">
        <w:rPr>
          <w:rFonts w:asciiTheme="minorHAnsi" w:hAnsiTheme="minorHAnsi" w:cstheme="minorHAnsi"/>
          <w:b/>
          <w:bCs/>
          <w:sz w:val="22"/>
          <w:szCs w:val="22"/>
        </w:rPr>
        <w:t xml:space="preserve"> </w:t>
      </w:r>
    </w:p>
    <w:p w14:paraId="3A1961B7" w14:textId="1DBE9BB6" w:rsidR="00D53B90" w:rsidRPr="00F16251" w:rsidRDefault="00D53B90" w:rsidP="00A26C26">
      <w:pPr>
        <w:spacing w:line="276" w:lineRule="auto"/>
        <w:ind w:firstLine="360"/>
        <w:jc w:val="both"/>
        <w:rPr>
          <w:rFonts w:cstheme="minorHAnsi"/>
        </w:rPr>
      </w:pPr>
      <w:r w:rsidRPr="00F16251">
        <w:rPr>
          <w:rFonts w:cstheme="minorHAnsi"/>
        </w:rPr>
        <w:t>Na</w:t>
      </w:r>
      <w:r w:rsidR="003B50ED" w:rsidRPr="00F16251">
        <w:rPr>
          <w:rFonts w:cstheme="minorHAnsi"/>
        </w:rPr>
        <w:t xml:space="preserve"> </w:t>
      </w:r>
      <w:r w:rsidRPr="00F16251">
        <w:rPr>
          <w:rFonts w:cstheme="minorHAnsi"/>
        </w:rPr>
        <w:t>przestrzeni</w:t>
      </w:r>
      <w:r w:rsidR="003B50ED" w:rsidRPr="00F16251">
        <w:rPr>
          <w:rFonts w:cstheme="minorHAnsi"/>
        </w:rPr>
        <w:t xml:space="preserve"> </w:t>
      </w:r>
      <w:r w:rsidR="00826D5B" w:rsidRPr="00F16251">
        <w:rPr>
          <w:rFonts w:cstheme="minorHAnsi"/>
        </w:rPr>
        <w:t xml:space="preserve">ostatnich lat Stowarzyszenie „Solidarni w Partnerstwie” </w:t>
      </w:r>
      <w:r w:rsidRPr="00F16251">
        <w:rPr>
          <w:rFonts w:cstheme="minorHAnsi"/>
        </w:rPr>
        <w:t>wypracował</w:t>
      </w:r>
      <w:r w:rsidR="00826D5B" w:rsidRPr="00F16251">
        <w:rPr>
          <w:rFonts w:cstheme="minorHAnsi"/>
        </w:rPr>
        <w:t>o</w:t>
      </w:r>
      <w:r w:rsidR="003B50ED" w:rsidRPr="00F16251">
        <w:rPr>
          <w:rFonts w:cstheme="minorHAnsi"/>
        </w:rPr>
        <w:t xml:space="preserve"> </w:t>
      </w:r>
      <w:r w:rsidRPr="00F16251">
        <w:rPr>
          <w:rFonts w:cstheme="minorHAnsi"/>
        </w:rPr>
        <w:t>standardy,</w:t>
      </w:r>
      <w:r w:rsidR="003B50ED" w:rsidRPr="00F16251">
        <w:rPr>
          <w:rFonts w:cstheme="minorHAnsi"/>
        </w:rPr>
        <w:t xml:space="preserve"> </w:t>
      </w:r>
      <w:r w:rsidRPr="00F16251">
        <w:rPr>
          <w:rFonts w:cstheme="minorHAnsi"/>
        </w:rPr>
        <w:t>które</w:t>
      </w:r>
      <w:r w:rsidR="003B50ED" w:rsidRPr="00F16251">
        <w:rPr>
          <w:rFonts w:cstheme="minorHAnsi"/>
        </w:rPr>
        <w:t xml:space="preserve"> </w:t>
      </w:r>
      <w:r w:rsidRPr="00F16251">
        <w:rPr>
          <w:rFonts w:cstheme="minorHAnsi"/>
        </w:rPr>
        <w:t>doceniają</w:t>
      </w:r>
      <w:r w:rsidR="003B50ED" w:rsidRPr="00F16251">
        <w:rPr>
          <w:rFonts w:cstheme="minorHAnsi"/>
        </w:rPr>
        <w:t xml:space="preserve"> </w:t>
      </w:r>
      <w:r w:rsidRPr="00F16251">
        <w:rPr>
          <w:rFonts w:cstheme="minorHAnsi"/>
        </w:rPr>
        <w:t>zarówno</w:t>
      </w:r>
      <w:r w:rsidR="003B50ED" w:rsidRPr="00F16251">
        <w:rPr>
          <w:rFonts w:cstheme="minorHAnsi"/>
        </w:rPr>
        <w:t xml:space="preserve"> </w:t>
      </w:r>
      <w:r w:rsidRPr="00F16251">
        <w:rPr>
          <w:rFonts w:cstheme="minorHAnsi"/>
        </w:rPr>
        <w:t>wnioskodawcy</w:t>
      </w:r>
      <w:r w:rsidR="003B50ED" w:rsidRPr="00F16251">
        <w:rPr>
          <w:rFonts w:cstheme="minorHAnsi"/>
        </w:rPr>
        <w:t xml:space="preserve"> </w:t>
      </w:r>
      <w:r w:rsidRPr="00F16251">
        <w:rPr>
          <w:rFonts w:cstheme="minorHAnsi"/>
        </w:rPr>
        <w:t>jak</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lokalna</w:t>
      </w:r>
      <w:r w:rsidR="003B50ED" w:rsidRPr="00F16251">
        <w:rPr>
          <w:rFonts w:cstheme="minorHAnsi"/>
        </w:rPr>
        <w:t xml:space="preserve"> </w:t>
      </w:r>
      <w:r w:rsidRPr="00F16251">
        <w:rPr>
          <w:rFonts w:cstheme="minorHAnsi"/>
        </w:rPr>
        <w:t>społeczność,</w:t>
      </w:r>
      <w:r w:rsidR="003B50ED" w:rsidRPr="00F16251">
        <w:rPr>
          <w:rFonts w:cstheme="minorHAnsi"/>
        </w:rPr>
        <w:t xml:space="preserve"> </w:t>
      </w:r>
      <w:r w:rsidRPr="00F16251">
        <w:rPr>
          <w:rFonts w:cstheme="minorHAnsi"/>
        </w:rPr>
        <w:t>co</w:t>
      </w:r>
      <w:r w:rsidR="003B50ED" w:rsidRPr="00F16251">
        <w:rPr>
          <w:rFonts w:cstheme="minorHAnsi"/>
        </w:rPr>
        <w:t xml:space="preserve"> </w:t>
      </w:r>
      <w:r w:rsidRPr="00F16251">
        <w:rPr>
          <w:rFonts w:cstheme="minorHAnsi"/>
        </w:rPr>
        <w:t>zostało</w:t>
      </w:r>
      <w:r w:rsidR="003B50ED" w:rsidRPr="00F16251">
        <w:rPr>
          <w:rFonts w:cstheme="minorHAnsi"/>
        </w:rPr>
        <w:t xml:space="preserve"> </w:t>
      </w:r>
      <w:r w:rsidRPr="00F16251">
        <w:rPr>
          <w:rFonts w:cstheme="minorHAnsi"/>
        </w:rPr>
        <w:t>uwidocznione</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wynikach</w:t>
      </w:r>
      <w:r w:rsidR="003B50ED" w:rsidRPr="00F16251">
        <w:rPr>
          <w:rFonts w:cstheme="minorHAnsi"/>
        </w:rPr>
        <w:t xml:space="preserve"> </w:t>
      </w:r>
      <w:r w:rsidRPr="00F16251">
        <w:rPr>
          <w:rFonts w:cstheme="minorHAnsi"/>
        </w:rPr>
        <w:t>ewaluacji</w:t>
      </w:r>
      <w:r w:rsidR="003B50ED" w:rsidRPr="00F16251">
        <w:rPr>
          <w:rFonts w:cstheme="minorHAnsi"/>
        </w:rPr>
        <w:t xml:space="preserve"> </w:t>
      </w:r>
      <w:r w:rsidRPr="00F16251">
        <w:rPr>
          <w:rFonts w:cstheme="minorHAnsi"/>
        </w:rPr>
        <w:t>ex-post.</w:t>
      </w:r>
      <w:r w:rsidR="003B50ED" w:rsidRPr="00F16251">
        <w:rPr>
          <w:rFonts w:cstheme="minorHAnsi"/>
        </w:rPr>
        <w:t xml:space="preserve"> </w:t>
      </w:r>
      <w:r w:rsidRPr="00F16251">
        <w:rPr>
          <w:rFonts w:cstheme="minorHAnsi"/>
        </w:rPr>
        <w:t>Członkowie</w:t>
      </w:r>
      <w:r w:rsidR="003B50ED" w:rsidRPr="00F16251">
        <w:rPr>
          <w:rFonts w:cstheme="minorHAnsi"/>
        </w:rPr>
        <w:t xml:space="preserve"> </w:t>
      </w:r>
      <w:r w:rsidR="00826D5B" w:rsidRPr="00F16251">
        <w:rPr>
          <w:rFonts w:cstheme="minorHAnsi"/>
        </w:rPr>
        <w:t xml:space="preserve">aktywnie działają </w:t>
      </w:r>
      <w:r w:rsidRPr="00F16251">
        <w:rPr>
          <w:rFonts w:cstheme="minorHAnsi"/>
        </w:rPr>
        <w:t>poprzez</w:t>
      </w:r>
      <w:r w:rsidR="003B50ED" w:rsidRPr="00F16251">
        <w:rPr>
          <w:rFonts w:cstheme="minorHAnsi"/>
        </w:rPr>
        <w:t xml:space="preserve"> </w:t>
      </w:r>
      <w:r w:rsidRPr="00F16251">
        <w:rPr>
          <w:rFonts w:cstheme="minorHAnsi"/>
        </w:rPr>
        <w:t>udział</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Walnych</w:t>
      </w:r>
      <w:r w:rsidR="003B50ED" w:rsidRPr="00F16251">
        <w:rPr>
          <w:rFonts w:cstheme="minorHAnsi"/>
        </w:rPr>
        <w:t xml:space="preserve"> </w:t>
      </w:r>
      <w:r w:rsidRPr="00F16251">
        <w:rPr>
          <w:rFonts w:cstheme="minorHAnsi"/>
        </w:rPr>
        <w:t>Zebraniach</w:t>
      </w:r>
      <w:r w:rsidR="003B50ED" w:rsidRPr="00F16251">
        <w:rPr>
          <w:rFonts w:cstheme="minorHAnsi"/>
        </w:rPr>
        <w:t xml:space="preserve"> </w:t>
      </w:r>
      <w:r w:rsidRPr="00F16251">
        <w:rPr>
          <w:rFonts w:cstheme="minorHAnsi"/>
        </w:rPr>
        <w:t>Członków,</w:t>
      </w:r>
      <w:r w:rsidR="003B50ED" w:rsidRPr="00F16251">
        <w:rPr>
          <w:rFonts w:cstheme="minorHAnsi"/>
        </w:rPr>
        <w:t xml:space="preserve"> </w:t>
      </w:r>
      <w:r w:rsidRPr="00F16251">
        <w:rPr>
          <w:rFonts w:cstheme="minorHAnsi"/>
        </w:rPr>
        <w:t>uczestniczą</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posiedzeniach</w:t>
      </w:r>
      <w:r w:rsidR="003B50ED" w:rsidRPr="00F16251">
        <w:rPr>
          <w:rFonts w:cstheme="minorHAnsi"/>
        </w:rPr>
        <w:t xml:space="preserve"> </w:t>
      </w:r>
      <w:r w:rsidRPr="00F16251">
        <w:rPr>
          <w:rFonts w:cstheme="minorHAnsi"/>
        </w:rPr>
        <w:t>organów,</w:t>
      </w:r>
      <w:r w:rsidR="003B50ED" w:rsidRPr="00F16251">
        <w:rPr>
          <w:rFonts w:cstheme="minorHAnsi"/>
        </w:rPr>
        <w:t xml:space="preserve"> </w:t>
      </w:r>
      <w:r w:rsidRPr="00F16251">
        <w:rPr>
          <w:rFonts w:cstheme="minorHAnsi"/>
        </w:rPr>
        <w:t>szkoleniach,</w:t>
      </w:r>
      <w:r w:rsidR="003B50ED" w:rsidRPr="00F16251">
        <w:rPr>
          <w:rFonts w:cstheme="minorHAnsi"/>
        </w:rPr>
        <w:t xml:space="preserve"> </w:t>
      </w:r>
      <w:r w:rsidRPr="00F16251">
        <w:rPr>
          <w:rFonts w:cstheme="minorHAnsi"/>
        </w:rPr>
        <w:t>warsztatach</w:t>
      </w:r>
      <w:r w:rsidR="003B50ED" w:rsidRPr="00F16251">
        <w:rPr>
          <w:rFonts w:cstheme="minorHAnsi"/>
        </w:rPr>
        <w:t xml:space="preserve"> </w:t>
      </w:r>
      <w:r w:rsidRPr="00F16251">
        <w:rPr>
          <w:rFonts w:cstheme="minorHAnsi"/>
        </w:rPr>
        <w:t>refleksyjnych,</w:t>
      </w:r>
      <w:r w:rsidR="003B50ED" w:rsidRPr="00F16251">
        <w:rPr>
          <w:rFonts w:cstheme="minorHAnsi"/>
        </w:rPr>
        <w:t xml:space="preserve"> </w:t>
      </w:r>
      <w:r w:rsidRPr="00F16251">
        <w:rPr>
          <w:rFonts w:cstheme="minorHAnsi"/>
        </w:rPr>
        <w:t>grupach</w:t>
      </w:r>
      <w:r w:rsidR="003B50ED" w:rsidRPr="00F16251">
        <w:rPr>
          <w:rFonts w:cstheme="minorHAnsi"/>
        </w:rPr>
        <w:t xml:space="preserve"> </w:t>
      </w:r>
      <w:r w:rsidRPr="00F16251">
        <w:rPr>
          <w:rFonts w:cstheme="minorHAnsi"/>
        </w:rPr>
        <w:t>roboczych,</w:t>
      </w:r>
      <w:r w:rsidR="003B50ED" w:rsidRPr="00F16251">
        <w:rPr>
          <w:rFonts w:cstheme="minorHAnsi"/>
        </w:rPr>
        <w:t xml:space="preserve"> </w:t>
      </w:r>
      <w:r w:rsidRPr="00F16251">
        <w:rPr>
          <w:rFonts w:cstheme="minorHAnsi"/>
        </w:rPr>
        <w:t>targach</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imprezach</w:t>
      </w:r>
      <w:r w:rsidR="003B50ED" w:rsidRPr="00F16251">
        <w:rPr>
          <w:rFonts w:cstheme="minorHAnsi"/>
        </w:rPr>
        <w:t xml:space="preserve"> </w:t>
      </w:r>
      <w:r w:rsidRPr="00F16251">
        <w:rPr>
          <w:rFonts w:cstheme="minorHAnsi"/>
        </w:rPr>
        <w:t>promocyjnych,</w:t>
      </w:r>
      <w:r w:rsidR="003B50ED" w:rsidRPr="00F16251">
        <w:rPr>
          <w:rFonts w:cstheme="minorHAnsi"/>
        </w:rPr>
        <w:t xml:space="preserve"> </w:t>
      </w:r>
      <w:r w:rsidRPr="00F16251">
        <w:rPr>
          <w:rFonts w:cstheme="minorHAnsi"/>
        </w:rPr>
        <w:t>warsztatach</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wyjazdach</w:t>
      </w:r>
      <w:r w:rsidR="003B50ED" w:rsidRPr="00F16251">
        <w:rPr>
          <w:rFonts w:cstheme="minorHAnsi"/>
        </w:rPr>
        <w:t xml:space="preserve"> </w:t>
      </w:r>
      <w:r w:rsidRPr="00F16251">
        <w:rPr>
          <w:rFonts w:cstheme="minorHAnsi"/>
        </w:rPr>
        <w:t>studyjnych</w:t>
      </w:r>
      <w:r w:rsidR="00826D5B" w:rsidRPr="00F16251">
        <w:rPr>
          <w:rFonts w:cstheme="minorHAnsi"/>
        </w:rPr>
        <w:t>,</w:t>
      </w:r>
      <w:r w:rsidR="003B50ED" w:rsidRPr="00F16251">
        <w:rPr>
          <w:rFonts w:cstheme="minorHAnsi"/>
        </w:rPr>
        <w:t xml:space="preserve"> </w:t>
      </w:r>
      <w:r w:rsidRPr="00F16251">
        <w:rPr>
          <w:rFonts w:cstheme="minorHAnsi"/>
        </w:rPr>
        <w:t>podnosząc</w:t>
      </w:r>
      <w:r w:rsidR="003B50ED" w:rsidRPr="00F16251">
        <w:rPr>
          <w:rFonts w:cstheme="minorHAnsi"/>
        </w:rPr>
        <w:t xml:space="preserve"> </w:t>
      </w:r>
      <w:r w:rsidRPr="00F16251">
        <w:rPr>
          <w:rFonts w:cstheme="minorHAnsi"/>
        </w:rPr>
        <w:t>swoje</w:t>
      </w:r>
      <w:r w:rsidR="003B50ED" w:rsidRPr="00F16251">
        <w:rPr>
          <w:rFonts w:cstheme="minorHAnsi"/>
        </w:rPr>
        <w:t xml:space="preserve"> </w:t>
      </w:r>
      <w:r w:rsidRPr="00F16251">
        <w:rPr>
          <w:rFonts w:cstheme="minorHAnsi"/>
        </w:rPr>
        <w:t>kompetencje</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rzecz</w:t>
      </w:r>
      <w:r w:rsidR="003B50ED" w:rsidRPr="00F16251">
        <w:rPr>
          <w:rFonts w:cstheme="minorHAnsi"/>
        </w:rPr>
        <w:t xml:space="preserve"> </w:t>
      </w:r>
      <w:r w:rsidRPr="00F16251">
        <w:rPr>
          <w:rFonts w:cstheme="minorHAnsi"/>
        </w:rPr>
        <w:t>podejmowania</w:t>
      </w:r>
      <w:r w:rsidR="003B50ED" w:rsidRPr="00F16251">
        <w:rPr>
          <w:rFonts w:cstheme="minorHAnsi"/>
        </w:rPr>
        <w:t xml:space="preserve"> </w:t>
      </w:r>
      <w:r w:rsidRPr="00F16251">
        <w:rPr>
          <w:rFonts w:cstheme="minorHAnsi"/>
        </w:rPr>
        <w:t>działań</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swoim</w:t>
      </w:r>
      <w:r w:rsidR="003B50ED" w:rsidRPr="00F16251">
        <w:rPr>
          <w:rFonts w:cstheme="minorHAnsi"/>
        </w:rPr>
        <w:t xml:space="preserve"> </w:t>
      </w:r>
      <w:r w:rsidRPr="00F16251">
        <w:rPr>
          <w:rFonts w:cstheme="minorHAnsi"/>
        </w:rPr>
        <w:t>najbliższym</w:t>
      </w:r>
      <w:r w:rsidR="003B50ED" w:rsidRPr="00F16251">
        <w:rPr>
          <w:rFonts w:cstheme="minorHAnsi"/>
        </w:rPr>
        <w:t xml:space="preserve"> </w:t>
      </w:r>
      <w:r w:rsidRPr="00F16251">
        <w:rPr>
          <w:rFonts w:cstheme="minorHAnsi"/>
        </w:rPr>
        <w:t>otoczeniu.</w:t>
      </w:r>
      <w:r w:rsidR="003B50ED" w:rsidRPr="00F16251">
        <w:rPr>
          <w:rFonts w:cstheme="minorHAnsi"/>
        </w:rPr>
        <w:t xml:space="preserve"> </w:t>
      </w:r>
    </w:p>
    <w:p w14:paraId="7AC66E7C" w14:textId="624E82CF" w:rsidR="00D53B90" w:rsidRPr="00F16251" w:rsidRDefault="00D53B90" w:rsidP="00A26C26">
      <w:pPr>
        <w:spacing w:line="276" w:lineRule="auto"/>
        <w:ind w:firstLine="360"/>
        <w:jc w:val="both"/>
        <w:rPr>
          <w:rFonts w:cstheme="minorHAnsi"/>
        </w:rPr>
      </w:pPr>
      <w:r w:rsidRPr="00F16251">
        <w:rPr>
          <w:rFonts w:cstheme="minorHAnsi"/>
        </w:rPr>
        <w:t>Niewątpliwie,</w:t>
      </w:r>
      <w:r w:rsidR="003B50ED" w:rsidRPr="00F16251">
        <w:rPr>
          <w:rFonts w:cstheme="minorHAnsi"/>
        </w:rPr>
        <w:t xml:space="preserve"> </w:t>
      </w:r>
      <w:r w:rsidRPr="00F16251">
        <w:rPr>
          <w:rFonts w:cstheme="minorHAnsi"/>
        </w:rPr>
        <w:t>zachowanie</w:t>
      </w:r>
      <w:r w:rsidR="003B50ED" w:rsidRPr="00F16251">
        <w:rPr>
          <w:rFonts w:cstheme="minorHAnsi"/>
        </w:rPr>
        <w:t xml:space="preserve"> </w:t>
      </w:r>
      <w:r w:rsidRPr="00F16251">
        <w:rPr>
          <w:rFonts w:cstheme="minorHAnsi"/>
        </w:rPr>
        <w:t>wysokich</w:t>
      </w:r>
      <w:r w:rsidR="003B50ED" w:rsidRPr="00F16251">
        <w:rPr>
          <w:rFonts w:cstheme="minorHAnsi"/>
        </w:rPr>
        <w:t xml:space="preserve"> </w:t>
      </w:r>
      <w:r w:rsidRPr="00F16251">
        <w:rPr>
          <w:rFonts w:cstheme="minorHAnsi"/>
        </w:rPr>
        <w:t>standardów</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nowym</w:t>
      </w:r>
      <w:r w:rsidR="003B50ED" w:rsidRPr="00F16251">
        <w:rPr>
          <w:rFonts w:cstheme="minorHAnsi"/>
        </w:rPr>
        <w:t xml:space="preserve"> </w:t>
      </w:r>
      <w:r w:rsidRPr="00F16251">
        <w:rPr>
          <w:rFonts w:cstheme="minorHAnsi"/>
        </w:rPr>
        <w:t>okresie</w:t>
      </w:r>
      <w:r w:rsidR="003B50ED" w:rsidRPr="00F16251">
        <w:rPr>
          <w:rFonts w:cstheme="minorHAnsi"/>
        </w:rPr>
        <w:t xml:space="preserve"> </w:t>
      </w:r>
      <w:r w:rsidRPr="00F16251">
        <w:rPr>
          <w:rFonts w:cstheme="minorHAnsi"/>
        </w:rPr>
        <w:t>programowania</w:t>
      </w:r>
      <w:r w:rsidR="003B50ED" w:rsidRPr="00F16251">
        <w:rPr>
          <w:rFonts w:cstheme="minorHAnsi"/>
        </w:rPr>
        <w:t xml:space="preserve"> </w:t>
      </w:r>
      <w:r w:rsidRPr="00F16251">
        <w:rPr>
          <w:rFonts w:cstheme="minorHAnsi"/>
        </w:rPr>
        <w:t>zapewni</w:t>
      </w:r>
      <w:r w:rsidR="003B50ED" w:rsidRPr="00F16251">
        <w:rPr>
          <w:rFonts w:cstheme="minorHAnsi"/>
        </w:rPr>
        <w:t xml:space="preserve"> </w:t>
      </w:r>
      <w:r w:rsidRPr="00F16251">
        <w:rPr>
          <w:rFonts w:cstheme="minorHAnsi"/>
        </w:rPr>
        <w:t>możliwość</w:t>
      </w:r>
      <w:r w:rsidR="003B50ED" w:rsidRPr="00F16251">
        <w:rPr>
          <w:rFonts w:cstheme="minorHAnsi"/>
        </w:rPr>
        <w:t xml:space="preserve"> </w:t>
      </w:r>
      <w:r w:rsidRPr="00F16251">
        <w:rPr>
          <w:rFonts w:cstheme="minorHAnsi"/>
        </w:rPr>
        <w:t>płynnego</w:t>
      </w:r>
      <w:r w:rsidR="003B50ED" w:rsidRPr="00F16251">
        <w:rPr>
          <w:rFonts w:cstheme="minorHAnsi"/>
        </w:rPr>
        <w:t xml:space="preserve"> </w:t>
      </w:r>
      <w:r w:rsidRPr="00F16251">
        <w:rPr>
          <w:rFonts w:cstheme="minorHAnsi"/>
        </w:rPr>
        <w:t>przystąpienia</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wdrażania</w:t>
      </w:r>
      <w:r w:rsidR="003B50ED" w:rsidRPr="00F16251">
        <w:rPr>
          <w:rFonts w:cstheme="minorHAnsi"/>
        </w:rPr>
        <w:t xml:space="preserve"> </w:t>
      </w:r>
      <w:r w:rsidRPr="00F16251">
        <w:rPr>
          <w:rFonts w:cstheme="minorHAnsi"/>
        </w:rPr>
        <w:t>LSR.</w:t>
      </w:r>
      <w:r w:rsidR="003B50ED" w:rsidRPr="00F16251">
        <w:rPr>
          <w:rFonts w:cstheme="minorHAnsi"/>
        </w:rPr>
        <w:t xml:space="preserve"> </w:t>
      </w:r>
      <w:r w:rsidRPr="00F16251">
        <w:rPr>
          <w:rFonts w:cstheme="minorHAnsi"/>
        </w:rPr>
        <w:t>Działania</w:t>
      </w:r>
      <w:r w:rsidR="003B50ED" w:rsidRPr="00F16251">
        <w:rPr>
          <w:rFonts w:cstheme="minorHAnsi"/>
        </w:rPr>
        <w:t xml:space="preserve"> </w:t>
      </w:r>
      <w:r w:rsidRPr="00F16251">
        <w:rPr>
          <w:rFonts w:cstheme="minorHAnsi"/>
        </w:rPr>
        <w:t>przygotowawcze</w:t>
      </w:r>
      <w:r w:rsidR="003B50ED" w:rsidRPr="00F16251">
        <w:rPr>
          <w:rFonts w:cstheme="minorHAnsi"/>
        </w:rPr>
        <w:t xml:space="preserve"> </w:t>
      </w:r>
      <w:r w:rsidRPr="00F16251">
        <w:rPr>
          <w:rFonts w:cstheme="minorHAnsi"/>
        </w:rPr>
        <w:t>ograniczą</w:t>
      </w:r>
      <w:r w:rsidR="003B50ED" w:rsidRPr="00F16251">
        <w:rPr>
          <w:rFonts w:cstheme="minorHAnsi"/>
        </w:rPr>
        <w:t xml:space="preserve"> </w:t>
      </w:r>
      <w:r w:rsidRPr="00F16251">
        <w:rPr>
          <w:rFonts w:cstheme="minorHAnsi"/>
        </w:rPr>
        <w:t>się</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analizy</w:t>
      </w:r>
      <w:r w:rsidR="003B50ED" w:rsidRPr="00F16251">
        <w:rPr>
          <w:rFonts w:cstheme="minorHAnsi"/>
        </w:rPr>
        <w:t xml:space="preserve"> </w:t>
      </w:r>
      <w:r w:rsidRPr="00F16251">
        <w:rPr>
          <w:rFonts w:cstheme="minorHAnsi"/>
        </w:rPr>
        <w:t>zakresu</w:t>
      </w:r>
      <w:r w:rsidR="003B50ED" w:rsidRPr="00F16251">
        <w:rPr>
          <w:rFonts w:cstheme="minorHAnsi"/>
        </w:rPr>
        <w:t xml:space="preserve"> </w:t>
      </w:r>
      <w:r w:rsidRPr="00F16251">
        <w:rPr>
          <w:rFonts w:cstheme="minorHAnsi"/>
        </w:rPr>
        <w:t>zmian</w:t>
      </w:r>
      <w:r w:rsidR="003B50ED" w:rsidRPr="00F16251">
        <w:rPr>
          <w:rFonts w:cstheme="minorHAnsi"/>
        </w:rPr>
        <w:t xml:space="preserve"> </w:t>
      </w:r>
      <w:r w:rsidRPr="00F16251">
        <w:rPr>
          <w:rFonts w:cstheme="minorHAnsi"/>
        </w:rPr>
        <w:br/>
        <w:t>w</w:t>
      </w:r>
      <w:r w:rsidR="003B50ED" w:rsidRPr="00F16251">
        <w:rPr>
          <w:rFonts w:cstheme="minorHAnsi"/>
        </w:rPr>
        <w:t xml:space="preserve"> </w:t>
      </w:r>
      <w:r w:rsidRPr="00F16251">
        <w:rPr>
          <w:rFonts w:cstheme="minorHAnsi"/>
        </w:rPr>
        <w:t>procesie</w:t>
      </w:r>
      <w:r w:rsidR="003B50ED" w:rsidRPr="00F16251">
        <w:rPr>
          <w:rFonts w:cstheme="minorHAnsi"/>
        </w:rPr>
        <w:t xml:space="preserve"> </w:t>
      </w:r>
      <w:r w:rsidRPr="00F16251">
        <w:rPr>
          <w:rFonts w:cstheme="minorHAnsi"/>
        </w:rPr>
        <w:t>wdrażania</w:t>
      </w:r>
      <w:r w:rsidR="003B50ED" w:rsidRPr="00F16251">
        <w:rPr>
          <w:rFonts w:cstheme="minorHAnsi"/>
        </w:rPr>
        <w:t xml:space="preserve"> </w:t>
      </w:r>
      <w:r w:rsidRPr="00F16251">
        <w:rPr>
          <w:rFonts w:cstheme="minorHAnsi"/>
        </w:rPr>
        <w:t>oraz</w:t>
      </w:r>
      <w:r w:rsidR="003B50ED" w:rsidRPr="00F16251">
        <w:rPr>
          <w:rFonts w:cstheme="minorHAnsi"/>
        </w:rPr>
        <w:t xml:space="preserve"> </w:t>
      </w:r>
      <w:r w:rsidRPr="00F16251">
        <w:rPr>
          <w:rFonts w:cstheme="minorHAnsi"/>
        </w:rPr>
        <w:t>przygotowania</w:t>
      </w:r>
      <w:r w:rsidR="003B50ED" w:rsidRPr="00F16251">
        <w:rPr>
          <w:rFonts w:cstheme="minorHAnsi"/>
        </w:rPr>
        <w:t xml:space="preserve"> </w:t>
      </w:r>
      <w:r w:rsidRPr="00F16251">
        <w:rPr>
          <w:rFonts w:cstheme="minorHAnsi"/>
        </w:rPr>
        <w:t>potencjalnych</w:t>
      </w:r>
      <w:r w:rsidR="003B50ED" w:rsidRPr="00F16251">
        <w:rPr>
          <w:rFonts w:cstheme="minorHAnsi"/>
        </w:rPr>
        <w:t xml:space="preserve"> </w:t>
      </w:r>
      <w:r w:rsidRPr="00F16251">
        <w:rPr>
          <w:rFonts w:cstheme="minorHAnsi"/>
        </w:rPr>
        <w:t>beneficjentów</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aplikowania</w:t>
      </w:r>
      <w:r w:rsidR="003B50ED" w:rsidRPr="00F16251">
        <w:rPr>
          <w:rFonts w:cstheme="minorHAnsi"/>
        </w:rPr>
        <w:t xml:space="preserve"> </w:t>
      </w:r>
      <w:r w:rsidRPr="00F16251">
        <w:rPr>
          <w:rFonts w:cstheme="minorHAnsi"/>
        </w:rPr>
        <w:t>o</w:t>
      </w:r>
      <w:r w:rsidR="003B50ED" w:rsidRPr="00F16251">
        <w:rPr>
          <w:rFonts w:cstheme="minorHAnsi"/>
        </w:rPr>
        <w:t xml:space="preserve"> </w:t>
      </w:r>
      <w:r w:rsidRPr="00F16251">
        <w:rPr>
          <w:rFonts w:cstheme="minorHAnsi"/>
        </w:rPr>
        <w:t>wsparcie.</w:t>
      </w:r>
      <w:r w:rsidR="003B50ED" w:rsidRPr="00F16251">
        <w:rPr>
          <w:rFonts w:cstheme="minorHAnsi"/>
        </w:rPr>
        <w:t xml:space="preserve"> </w:t>
      </w:r>
    </w:p>
    <w:p w14:paraId="546356F4" w14:textId="11EACACF" w:rsidR="00396A11" w:rsidRDefault="00396A11" w:rsidP="00396A11">
      <w:pPr>
        <w:spacing w:line="276" w:lineRule="auto"/>
        <w:ind w:firstLine="360"/>
        <w:jc w:val="both"/>
        <w:rPr>
          <w:rFonts w:cstheme="minorHAnsi"/>
        </w:rPr>
      </w:pPr>
      <w:r w:rsidRPr="00F16251">
        <w:rPr>
          <w:rFonts w:cstheme="minorHAnsi"/>
        </w:rPr>
        <w:t>Stowarzyszenia „Solidarni w Partnerstwie”</w:t>
      </w:r>
      <w:r>
        <w:rPr>
          <w:rFonts w:cstheme="minorHAnsi"/>
        </w:rPr>
        <w:t xml:space="preserve"> </w:t>
      </w:r>
      <w:r w:rsidRPr="00396A11">
        <w:rPr>
          <w:rFonts w:cstheme="minorHAnsi"/>
        </w:rPr>
        <w:t xml:space="preserve">jak każda organizacja funkcjonuje w określonym otoczeniu publicznym, prawnym, gospodarczym i społecznym. Jednocześnie należy mieć na uwadze, że jedną </w:t>
      </w:r>
      <w:r>
        <w:rPr>
          <w:rFonts w:cstheme="minorHAnsi"/>
        </w:rPr>
        <w:br/>
      </w:r>
      <w:r w:rsidRPr="00396A11">
        <w:rPr>
          <w:rFonts w:cstheme="minorHAnsi"/>
        </w:rPr>
        <w:t>z fundamentalnych zasad idei LEADER jest partnerstwo i oddolne działanie. Aby móc skutecznie realizować misję, jaka została określona u podstaw tej organizacji, LGD musi legitymować się odpowiednimi standardami funkcjonowania.</w:t>
      </w:r>
    </w:p>
    <w:p w14:paraId="020BA2DD" w14:textId="77777777" w:rsidR="00396A11" w:rsidRPr="00396A11" w:rsidRDefault="00396A11" w:rsidP="00396A11">
      <w:pPr>
        <w:spacing w:line="276" w:lineRule="auto"/>
        <w:ind w:firstLine="360"/>
        <w:jc w:val="both"/>
        <w:rPr>
          <w:rFonts w:cstheme="minorHAnsi"/>
        </w:rPr>
      </w:pPr>
      <w:r w:rsidRPr="00396A11">
        <w:rPr>
          <w:rFonts w:cstheme="minorHAnsi"/>
        </w:rPr>
        <w:t>LGD przez wiele lat aktywności w lokalnym środowisku, poprzez ogromne zaangażowanie w realizacji celów kolejnych Strategii, doskonalenia metod i mechanizmów komunikacji czy procedur, na podstawie których były oceniane wnioski niejako samoczynnie wypracowała wysokie standardy funkcjonowania.</w:t>
      </w:r>
    </w:p>
    <w:p w14:paraId="260D35CD" w14:textId="3A1CB1E7" w:rsidR="00396A11" w:rsidRPr="00396A11" w:rsidRDefault="00396A11" w:rsidP="00396A11">
      <w:pPr>
        <w:spacing w:line="276" w:lineRule="auto"/>
        <w:ind w:firstLine="360"/>
        <w:jc w:val="both"/>
        <w:rPr>
          <w:rFonts w:cstheme="minorHAnsi"/>
        </w:rPr>
      </w:pPr>
      <w:r w:rsidRPr="00396A11">
        <w:rPr>
          <w:rFonts w:cstheme="minorHAnsi"/>
        </w:rPr>
        <w:t>Jakość oparta na pogłębionym partnerstwie i skutecznej komunikacji wyraża się to przede wszystkim</w:t>
      </w:r>
      <w:r>
        <w:rPr>
          <w:rFonts w:cstheme="minorHAnsi"/>
        </w:rPr>
        <w:t xml:space="preserve"> </w:t>
      </w:r>
      <w:r>
        <w:rPr>
          <w:rFonts w:cstheme="minorHAnsi"/>
        </w:rPr>
        <w:br/>
      </w:r>
      <w:r w:rsidRPr="00396A11">
        <w:rPr>
          <w:rFonts w:cstheme="minorHAnsi"/>
        </w:rPr>
        <w:t>w odpowiedniej komunikacji – zarówno wewnątrz jak i na zewnątrz partnerstwa, która szczegółowo została opisana w Planie komunikacji. Podstawą komunikacji jest jej dwustronność oraz dostosowanie przekazu do zasad przyjaznej komunikacji oraz do potrzeb wyrażanych przez interesariuszu na etapie budowania LSR w tym w szczególności przez osoby młode, seniorów i osoby w niekorzystnej sytuacji.</w:t>
      </w:r>
    </w:p>
    <w:p w14:paraId="18F6A554" w14:textId="2A41A896" w:rsidR="00396A11" w:rsidRPr="00396A11" w:rsidRDefault="00396A11" w:rsidP="00396A11">
      <w:pPr>
        <w:spacing w:line="276" w:lineRule="auto"/>
        <w:ind w:firstLine="360"/>
        <w:jc w:val="both"/>
        <w:rPr>
          <w:rFonts w:cstheme="minorHAnsi"/>
        </w:rPr>
      </w:pPr>
      <w:r w:rsidRPr="00396A11">
        <w:rPr>
          <w:rFonts w:cstheme="minorHAnsi"/>
        </w:rPr>
        <w:t xml:space="preserve">Stosowane są skuteczne metody partycypacji na każdym etapie budowy, wdrażania i aktualizacji LSR wg. metod opisanych w niniejszej LSR. </w:t>
      </w:r>
      <w:r w:rsidRPr="00F16251">
        <w:rPr>
          <w:rFonts w:cstheme="minorHAnsi"/>
        </w:rPr>
        <w:t>Stowarzyszenia „Solidarni w Partnerstwie”</w:t>
      </w:r>
      <w:r>
        <w:rPr>
          <w:rFonts w:cstheme="minorHAnsi"/>
        </w:rPr>
        <w:t xml:space="preserve"> </w:t>
      </w:r>
      <w:r w:rsidRPr="00396A11">
        <w:rPr>
          <w:rFonts w:cstheme="minorHAnsi"/>
        </w:rPr>
        <w:t>opiera relacje na realnej otwartości na osoby w niekorzystnej sytuacji (poprzez ich udział w organach LGD).</w:t>
      </w:r>
    </w:p>
    <w:p w14:paraId="03AD918C" w14:textId="77777777" w:rsidR="00396A11" w:rsidRPr="00396A11" w:rsidRDefault="00396A11" w:rsidP="00396A11">
      <w:pPr>
        <w:spacing w:line="276" w:lineRule="auto"/>
        <w:ind w:firstLine="360"/>
        <w:jc w:val="both"/>
        <w:rPr>
          <w:rFonts w:cstheme="minorHAnsi"/>
        </w:rPr>
      </w:pPr>
      <w:r w:rsidRPr="00396A11">
        <w:rPr>
          <w:rFonts w:cstheme="minorHAnsi"/>
        </w:rPr>
        <w:t>Wdrożono mechanizmy zachęcające i ułatwiające zgłaszanie przez członków LGD pomysłów / inicjatyw dotyczących zarówno funkcjonowania LGD jak i wdrażania LSR w tym wymogu przekazania odpowiedzi wraz</w:t>
      </w:r>
    </w:p>
    <w:p w14:paraId="34B56B39" w14:textId="0BCC4411" w:rsidR="00396A11" w:rsidRPr="00396A11" w:rsidRDefault="00396A11" w:rsidP="00396A11">
      <w:pPr>
        <w:spacing w:line="276" w:lineRule="auto"/>
        <w:ind w:firstLine="360"/>
        <w:jc w:val="both"/>
        <w:rPr>
          <w:rFonts w:cstheme="minorHAnsi"/>
        </w:rPr>
      </w:pPr>
      <w:r w:rsidRPr="00396A11">
        <w:rPr>
          <w:rFonts w:cstheme="minorHAnsi"/>
        </w:rPr>
        <w:t xml:space="preserve">z uzasadnieniem. W </w:t>
      </w:r>
      <w:r w:rsidRPr="00F16251">
        <w:rPr>
          <w:rFonts w:cstheme="minorHAnsi"/>
        </w:rPr>
        <w:t>Stowarzyszeni</w:t>
      </w:r>
      <w:r>
        <w:rPr>
          <w:rFonts w:cstheme="minorHAnsi"/>
        </w:rPr>
        <w:t>u</w:t>
      </w:r>
      <w:r w:rsidRPr="00F16251">
        <w:rPr>
          <w:rFonts w:cstheme="minorHAnsi"/>
        </w:rPr>
        <w:t xml:space="preserve"> „Solidarni w Partnerstwie”</w:t>
      </w:r>
      <w:r>
        <w:rPr>
          <w:rFonts w:cstheme="minorHAnsi"/>
        </w:rPr>
        <w:t xml:space="preserve"> </w:t>
      </w:r>
      <w:r w:rsidRPr="00396A11">
        <w:rPr>
          <w:rFonts w:cstheme="minorHAnsi"/>
        </w:rPr>
        <w:t>obowiązuje kadencyjności organów, tj. Zarządu, Rady, Komisji Rewizyjnej.</w:t>
      </w:r>
    </w:p>
    <w:p w14:paraId="42217238" w14:textId="77777777" w:rsidR="00396A11" w:rsidRPr="00396A11" w:rsidRDefault="00396A11" w:rsidP="00396A11">
      <w:pPr>
        <w:spacing w:line="276" w:lineRule="auto"/>
        <w:ind w:firstLine="360"/>
        <w:jc w:val="both"/>
        <w:rPr>
          <w:rFonts w:cstheme="minorHAnsi"/>
        </w:rPr>
      </w:pPr>
      <w:r w:rsidRPr="00396A11">
        <w:rPr>
          <w:rFonts w:cstheme="minorHAnsi"/>
        </w:rPr>
        <w:t>Stosowane są zasady kolegialnego sposobu podejmowania decyzji m.in. poprzez wprowadzenie formuły zespołów / grup roboczych, których zadaniem jest przedyskutowanie konkretnej propozycji zanim zostanie przekazana na obrady Zarządu. Ogranicza to zakres uprawnień Zarządu, co do kwestii, w których może samodzielnie podejmować decyzje bez konsultacji z pozostałymi członkami LGD. Wdrożone zostały jasne procedury przyjmowania nowych członków potwierdzonych zapisami w Statucie;</w:t>
      </w:r>
    </w:p>
    <w:p w14:paraId="4315D423" w14:textId="6DAF3CDB" w:rsidR="00396A11" w:rsidRPr="00396A11" w:rsidRDefault="00396A11" w:rsidP="00396A11">
      <w:pPr>
        <w:spacing w:line="276" w:lineRule="auto"/>
        <w:ind w:firstLine="360"/>
        <w:jc w:val="both"/>
        <w:rPr>
          <w:rFonts w:cstheme="minorHAnsi"/>
        </w:rPr>
      </w:pPr>
      <w:r w:rsidRPr="00396A11">
        <w:rPr>
          <w:rFonts w:cstheme="minorHAnsi"/>
        </w:rPr>
        <w:lastRenderedPageBreak/>
        <w:t>Ważnym elementem jakości partnerstwa są jasne i czytelne procedur</w:t>
      </w:r>
      <w:r w:rsidR="00CE49D6">
        <w:rPr>
          <w:rFonts w:cstheme="minorHAnsi"/>
        </w:rPr>
        <w:t>y</w:t>
      </w:r>
      <w:r w:rsidRPr="00396A11">
        <w:rPr>
          <w:rFonts w:cstheme="minorHAnsi"/>
        </w:rPr>
        <w:t xml:space="preserve"> oceny i wyboru operacji, w tym obiektywne kryteria, które gwarantują bezstronność na każdym etapie oceny dokumentacji aplikacyjnej. Dostępność harmonogramu naboru wniosków zapewnia Wnioskodawcom z wyprzedzeniem zaplanować swoje projekty.</w:t>
      </w:r>
    </w:p>
    <w:p w14:paraId="3DFB6929" w14:textId="5C2E5A26" w:rsidR="00396A11" w:rsidRPr="00396A11" w:rsidRDefault="00396A11" w:rsidP="00396A11">
      <w:pPr>
        <w:spacing w:line="276" w:lineRule="auto"/>
        <w:ind w:firstLine="360"/>
        <w:jc w:val="both"/>
        <w:rPr>
          <w:rFonts w:cstheme="minorHAnsi"/>
        </w:rPr>
      </w:pPr>
      <w:r w:rsidRPr="00F16251">
        <w:rPr>
          <w:rFonts w:cstheme="minorHAnsi"/>
        </w:rPr>
        <w:t>Stowarzyszenia „Solidarni w Partnerstwie”</w:t>
      </w:r>
      <w:r>
        <w:rPr>
          <w:rFonts w:cstheme="minorHAnsi"/>
        </w:rPr>
        <w:t xml:space="preserve"> </w:t>
      </w:r>
      <w:r w:rsidRPr="00396A11">
        <w:rPr>
          <w:rFonts w:cstheme="minorHAnsi"/>
        </w:rPr>
        <w:t>zabiega o ciągłe podnoszenie kompetencji, tj. skrupulatną realizację Planu szkoleń zarówno dla pracowników Biura jak i członków poszczególnych organów. Systematyczne podnoszenie kwalifikacji</w:t>
      </w:r>
      <w:r>
        <w:rPr>
          <w:rFonts w:cstheme="minorHAnsi"/>
        </w:rPr>
        <w:t xml:space="preserve"> </w:t>
      </w:r>
      <w:r w:rsidRPr="00396A11">
        <w:rPr>
          <w:rFonts w:cstheme="minorHAnsi"/>
        </w:rPr>
        <w:t>i kompetencji daje interesariuszom gwarancję świadczenia doradztwa na najwyższym poziomie oraz gwarancję skutecznego i kompetentnego zarządzania partnerstwem.</w:t>
      </w:r>
    </w:p>
    <w:p w14:paraId="0AFD22D6" w14:textId="493AB3C4" w:rsidR="00396A11" w:rsidRPr="00396A11" w:rsidRDefault="00396A11" w:rsidP="00396A11">
      <w:pPr>
        <w:spacing w:line="276" w:lineRule="auto"/>
        <w:ind w:firstLine="360"/>
        <w:jc w:val="both"/>
        <w:rPr>
          <w:rFonts w:cstheme="minorHAnsi"/>
        </w:rPr>
      </w:pPr>
      <w:r w:rsidRPr="00396A11">
        <w:rPr>
          <w:rFonts w:cstheme="minorHAnsi"/>
        </w:rPr>
        <w:t xml:space="preserve">Wzmacnianie zaufania i reputacji odbywa się poprzez stosowanie standardów funkcjonowania, które pomagają budować zaufanie wśród partnerów, społeczności lokalnej i innych interesariuszy. Poprzez przestrzeganie standardów, </w:t>
      </w:r>
      <w:r w:rsidRPr="00F16251">
        <w:rPr>
          <w:rFonts w:cstheme="minorHAnsi"/>
        </w:rPr>
        <w:t>Stowarzyszeni</w:t>
      </w:r>
      <w:r>
        <w:rPr>
          <w:rFonts w:cstheme="minorHAnsi"/>
        </w:rPr>
        <w:t>e</w:t>
      </w:r>
      <w:r w:rsidRPr="00F16251">
        <w:rPr>
          <w:rFonts w:cstheme="minorHAnsi"/>
        </w:rPr>
        <w:t xml:space="preserve"> „Solidarni w Partnerstwie”</w:t>
      </w:r>
      <w:r>
        <w:rPr>
          <w:rFonts w:cstheme="minorHAnsi"/>
        </w:rPr>
        <w:t xml:space="preserve"> </w:t>
      </w:r>
      <w:r w:rsidRPr="00396A11">
        <w:rPr>
          <w:rFonts w:cstheme="minorHAnsi"/>
        </w:rPr>
        <w:t>demonstruje profesjonalizm, rzetelność i wiarygodność, co przyczynia się do wzmocnienia jej reputacji a w dalszej konsekwencji zwiększenia zaangażowania w działalność LGD.</w:t>
      </w:r>
      <w:r>
        <w:rPr>
          <w:rFonts w:cstheme="minorHAnsi"/>
        </w:rPr>
        <w:t xml:space="preserve"> </w:t>
      </w:r>
      <w:r w:rsidRPr="00396A11">
        <w:rPr>
          <w:rFonts w:cstheme="minorHAnsi"/>
        </w:rPr>
        <w:t xml:space="preserve">Ponadto, w </w:t>
      </w:r>
      <w:r w:rsidRPr="00F16251">
        <w:rPr>
          <w:rFonts w:cstheme="minorHAnsi"/>
        </w:rPr>
        <w:t>Stowarzyszeni</w:t>
      </w:r>
      <w:r>
        <w:rPr>
          <w:rFonts w:cstheme="minorHAnsi"/>
        </w:rPr>
        <w:t>e</w:t>
      </w:r>
      <w:r w:rsidRPr="00F16251">
        <w:rPr>
          <w:rFonts w:cstheme="minorHAnsi"/>
        </w:rPr>
        <w:t xml:space="preserve"> „Solidarni w Partnerstwie”</w:t>
      </w:r>
      <w:r>
        <w:rPr>
          <w:rFonts w:cstheme="minorHAnsi"/>
        </w:rPr>
        <w:t xml:space="preserve"> </w:t>
      </w:r>
      <w:r w:rsidRPr="00396A11">
        <w:rPr>
          <w:rFonts w:cstheme="minorHAnsi"/>
        </w:rPr>
        <w:t>jest przestrzegana zasada równości szans i niedyskryminacji. Zarówno</w:t>
      </w:r>
      <w:r w:rsidR="00E625D8">
        <w:rPr>
          <w:rFonts w:cstheme="minorHAnsi"/>
        </w:rPr>
        <w:t xml:space="preserve"> </w:t>
      </w:r>
      <w:r w:rsidRPr="00396A11">
        <w:rPr>
          <w:rFonts w:cstheme="minorHAnsi"/>
        </w:rPr>
        <w:t xml:space="preserve">w swoich działaniach jak i działaniach podejmowanych </w:t>
      </w:r>
      <w:r w:rsidR="00E625D8">
        <w:rPr>
          <w:rFonts w:cstheme="minorHAnsi"/>
        </w:rPr>
        <w:t xml:space="preserve">przez </w:t>
      </w:r>
      <w:r w:rsidR="00E625D8" w:rsidRPr="00F16251">
        <w:rPr>
          <w:rFonts w:cstheme="minorHAnsi"/>
        </w:rPr>
        <w:t>Stowarzyszeni</w:t>
      </w:r>
      <w:r w:rsidR="00E625D8">
        <w:rPr>
          <w:rFonts w:cstheme="minorHAnsi"/>
        </w:rPr>
        <w:t>e</w:t>
      </w:r>
      <w:r w:rsidR="00E625D8" w:rsidRPr="00F16251">
        <w:rPr>
          <w:rFonts w:cstheme="minorHAnsi"/>
        </w:rPr>
        <w:t xml:space="preserve"> „Solidarni w Partnerstwie”</w:t>
      </w:r>
      <w:r w:rsidR="00E625D8">
        <w:rPr>
          <w:rFonts w:cstheme="minorHAnsi"/>
        </w:rPr>
        <w:t xml:space="preserve"> </w:t>
      </w:r>
      <w:r w:rsidRPr="00396A11">
        <w:rPr>
          <w:rFonts w:cstheme="minorHAnsi"/>
        </w:rPr>
        <w:t xml:space="preserve">zwraca uwagę na zachowanie standardu minimum w zakresie realizacji zasady równości szans i niedyskryminacji. Wzorem w tym zakresie są „Wytyczne dotyczące realizacji zasad równościowych w ramach funduszy unijnych na lata 2021-2027” opracowane w celu zapewnienia zgodności wdrażania programów z zasadami horyzontalnymi: zasadą równości szans i niedyskryminacji oraz zasadą równości kobiet i mężczyzn, a także zapewnienie spójnego podejścia w tym zakresie w ramach programów i projektów współfinansowanych </w:t>
      </w:r>
      <w:r w:rsidR="00AA737D">
        <w:rPr>
          <w:rFonts w:cstheme="minorHAnsi"/>
        </w:rPr>
        <w:t xml:space="preserve">ze środków EFS+, EFRR. </w:t>
      </w:r>
      <w:r w:rsidRPr="00396A11">
        <w:rPr>
          <w:rFonts w:cstheme="minorHAnsi"/>
        </w:rPr>
        <w:t xml:space="preserve">Dokumenty będące podstawą funkcjonowania </w:t>
      </w:r>
      <w:r w:rsidR="00E625D8" w:rsidRPr="00F16251">
        <w:rPr>
          <w:rFonts w:cstheme="minorHAnsi"/>
        </w:rPr>
        <w:t>Stowarzyszenia „Solidarni w Partnerstwie”</w:t>
      </w:r>
      <w:r w:rsidR="00E625D8">
        <w:rPr>
          <w:rFonts w:cstheme="minorHAnsi"/>
        </w:rPr>
        <w:t xml:space="preserve"> </w:t>
      </w:r>
      <w:r w:rsidRPr="00396A11">
        <w:rPr>
          <w:rFonts w:cstheme="minorHAnsi"/>
        </w:rPr>
        <w:t>są doskonałym przykładem otwartości, ponieważ w żadnym przypadku nie zawierają zapisów dyskryminujących. Równość płci polega na odwzorowaniu istniejących proporcji płci na obszarze działania LGD lub zwiększaniu we wsparciu udziału grupy niedoreprezentowanej. Możliwe są jednak przypadki, w których proporcja 50/50 wynika z sytuacji kobiet i mężczyzn i stanowi proporcję prawidłową z perspektywy równości szans kobiet i mężczyzn.</w:t>
      </w:r>
    </w:p>
    <w:p w14:paraId="6BA7189B" w14:textId="6088D749" w:rsidR="00396A11" w:rsidRDefault="00396A11" w:rsidP="00396A11">
      <w:pPr>
        <w:spacing w:line="276" w:lineRule="auto"/>
        <w:ind w:firstLine="360"/>
        <w:jc w:val="both"/>
        <w:rPr>
          <w:rFonts w:cstheme="minorHAnsi"/>
        </w:rPr>
      </w:pPr>
      <w:r w:rsidRPr="00396A11">
        <w:rPr>
          <w:rFonts w:cstheme="minorHAnsi"/>
        </w:rPr>
        <w:t xml:space="preserve">Ponadto, </w:t>
      </w:r>
      <w:r w:rsidR="00E625D8" w:rsidRPr="00F16251">
        <w:rPr>
          <w:rFonts w:cstheme="minorHAnsi"/>
        </w:rPr>
        <w:t>Stowarzyszeni</w:t>
      </w:r>
      <w:r w:rsidR="00E625D8">
        <w:rPr>
          <w:rFonts w:cstheme="minorHAnsi"/>
        </w:rPr>
        <w:t>e</w:t>
      </w:r>
      <w:r w:rsidR="00E625D8" w:rsidRPr="00F16251">
        <w:rPr>
          <w:rFonts w:cstheme="minorHAnsi"/>
        </w:rPr>
        <w:t xml:space="preserve"> „Solidarni w Partnerstwie”</w:t>
      </w:r>
      <w:r w:rsidR="00E625D8">
        <w:rPr>
          <w:rFonts w:cstheme="minorHAnsi"/>
        </w:rPr>
        <w:t xml:space="preserve"> </w:t>
      </w:r>
      <w:r w:rsidRPr="00396A11">
        <w:rPr>
          <w:rFonts w:cstheme="minorHAnsi"/>
        </w:rPr>
        <w:t>będzie premiować operacje, które będą miały pozytywny wpływ na włącznie społeczne osób w niekorzystnej sytuacji (w tym z niepełnosprawnościami) poprzez tworzenie miejsc pracy, niwelowanie barier architektonicznych oraz tworzenie miejsc integracji społecznej.</w:t>
      </w:r>
    </w:p>
    <w:p w14:paraId="330BB50C" w14:textId="77777777" w:rsidR="002B575D" w:rsidRPr="00F16251" w:rsidRDefault="002B575D" w:rsidP="002B575D">
      <w:pPr>
        <w:spacing w:line="276" w:lineRule="auto"/>
        <w:ind w:left="360"/>
        <w:jc w:val="both"/>
        <w:rPr>
          <w:rFonts w:cstheme="minorHAnsi"/>
        </w:rPr>
      </w:pPr>
    </w:p>
    <w:p w14:paraId="2B8AF06A" w14:textId="77777777" w:rsidR="00BD17DA" w:rsidRDefault="00BD17DA">
      <w:pPr>
        <w:rPr>
          <w:rFonts w:eastAsiaTheme="majorEastAsia" w:cstheme="minorHAnsi"/>
          <w:b/>
          <w:bCs/>
          <w:color w:val="2F5496" w:themeColor="accent1" w:themeShade="BF"/>
        </w:rPr>
      </w:pPr>
      <w:bookmarkStart w:id="22" w:name="_Toc136260189"/>
      <w:r>
        <w:rPr>
          <w:rFonts w:cstheme="minorHAnsi"/>
          <w:b/>
          <w:bCs/>
        </w:rPr>
        <w:br w:type="page"/>
      </w:r>
    </w:p>
    <w:p w14:paraId="0B54B142" w14:textId="648709AC" w:rsidR="000A61F4" w:rsidRPr="00BD17DA" w:rsidRDefault="000A61F4" w:rsidP="00BD17DA">
      <w:pPr>
        <w:pStyle w:val="Nagwek1"/>
        <w:spacing w:before="0" w:line="276" w:lineRule="auto"/>
        <w:rPr>
          <w:rFonts w:asciiTheme="minorHAnsi" w:eastAsia="Times New Roman" w:hAnsiTheme="minorHAnsi" w:cstheme="minorHAnsi"/>
          <w:b/>
          <w:bCs/>
          <w:sz w:val="22"/>
          <w:szCs w:val="22"/>
        </w:rPr>
      </w:pPr>
      <w:bookmarkStart w:id="23" w:name="_Toc136944399"/>
      <w:r w:rsidRPr="00BD17DA">
        <w:rPr>
          <w:rFonts w:asciiTheme="minorHAnsi" w:eastAsia="Times New Roman" w:hAnsiTheme="minorHAnsi" w:cstheme="minorHAnsi"/>
          <w:b/>
          <w:bCs/>
          <w:sz w:val="22"/>
          <w:szCs w:val="22"/>
        </w:rPr>
        <w:lastRenderedPageBreak/>
        <w:t>ROZDZIAŁ</w:t>
      </w:r>
      <w:r w:rsidR="003B50ED" w:rsidRPr="00BD17DA">
        <w:rPr>
          <w:rFonts w:asciiTheme="minorHAnsi" w:eastAsia="Times New Roman" w:hAnsiTheme="minorHAnsi" w:cstheme="minorHAnsi"/>
          <w:b/>
          <w:bCs/>
          <w:sz w:val="22"/>
          <w:szCs w:val="22"/>
        </w:rPr>
        <w:t xml:space="preserve"> </w:t>
      </w:r>
      <w:r w:rsidRPr="00BD17DA">
        <w:rPr>
          <w:rFonts w:asciiTheme="minorHAnsi" w:eastAsia="Times New Roman" w:hAnsiTheme="minorHAnsi" w:cstheme="minorHAnsi"/>
          <w:b/>
          <w:bCs/>
          <w:sz w:val="22"/>
          <w:szCs w:val="22"/>
        </w:rPr>
        <w:t>II.</w:t>
      </w:r>
      <w:r w:rsidR="003B50ED" w:rsidRPr="00BD17DA">
        <w:rPr>
          <w:rFonts w:asciiTheme="minorHAnsi" w:eastAsia="Times New Roman" w:hAnsiTheme="minorHAnsi" w:cstheme="minorHAnsi"/>
          <w:b/>
          <w:bCs/>
          <w:sz w:val="22"/>
          <w:szCs w:val="22"/>
        </w:rPr>
        <w:t xml:space="preserve"> </w:t>
      </w:r>
      <w:r w:rsidRPr="00BD17DA">
        <w:rPr>
          <w:rFonts w:asciiTheme="minorHAnsi" w:eastAsia="Times New Roman" w:hAnsiTheme="minorHAnsi" w:cstheme="minorHAnsi"/>
          <w:b/>
          <w:bCs/>
          <w:sz w:val="22"/>
          <w:szCs w:val="22"/>
        </w:rPr>
        <w:t>CHARAKTERYSTYKA</w:t>
      </w:r>
      <w:r w:rsidR="003B50ED" w:rsidRPr="00BD17DA">
        <w:rPr>
          <w:rFonts w:asciiTheme="minorHAnsi" w:eastAsia="Times New Roman" w:hAnsiTheme="minorHAnsi" w:cstheme="minorHAnsi"/>
          <w:b/>
          <w:bCs/>
          <w:sz w:val="22"/>
          <w:szCs w:val="22"/>
        </w:rPr>
        <w:t xml:space="preserve"> </w:t>
      </w:r>
      <w:r w:rsidRPr="00BD17DA">
        <w:rPr>
          <w:rFonts w:asciiTheme="minorHAnsi" w:eastAsia="Times New Roman" w:hAnsiTheme="minorHAnsi" w:cstheme="minorHAnsi"/>
          <w:b/>
          <w:bCs/>
          <w:sz w:val="22"/>
          <w:szCs w:val="22"/>
        </w:rPr>
        <w:t>OBSZARU</w:t>
      </w:r>
      <w:r w:rsidR="003B50ED" w:rsidRPr="00BD17DA">
        <w:rPr>
          <w:rFonts w:asciiTheme="minorHAnsi" w:eastAsia="Times New Roman" w:hAnsiTheme="minorHAnsi" w:cstheme="minorHAnsi"/>
          <w:b/>
          <w:bCs/>
          <w:sz w:val="22"/>
          <w:szCs w:val="22"/>
        </w:rPr>
        <w:t xml:space="preserve"> </w:t>
      </w:r>
      <w:r w:rsidRPr="00BD17DA">
        <w:rPr>
          <w:rFonts w:asciiTheme="minorHAnsi" w:eastAsia="Times New Roman" w:hAnsiTheme="minorHAnsi" w:cstheme="minorHAnsi"/>
          <w:b/>
          <w:bCs/>
          <w:sz w:val="22"/>
          <w:szCs w:val="22"/>
        </w:rPr>
        <w:t>I</w:t>
      </w:r>
      <w:r w:rsidR="003B50ED" w:rsidRPr="00BD17DA">
        <w:rPr>
          <w:rFonts w:asciiTheme="minorHAnsi" w:eastAsia="Times New Roman" w:hAnsiTheme="minorHAnsi" w:cstheme="minorHAnsi"/>
          <w:b/>
          <w:bCs/>
          <w:sz w:val="22"/>
          <w:szCs w:val="22"/>
        </w:rPr>
        <w:t xml:space="preserve"> </w:t>
      </w:r>
      <w:r w:rsidRPr="00BD17DA">
        <w:rPr>
          <w:rFonts w:asciiTheme="minorHAnsi" w:eastAsia="Times New Roman" w:hAnsiTheme="minorHAnsi" w:cstheme="minorHAnsi"/>
          <w:b/>
          <w:bCs/>
          <w:sz w:val="22"/>
          <w:szCs w:val="22"/>
        </w:rPr>
        <w:t>LUDNOŚCI</w:t>
      </w:r>
      <w:bookmarkEnd w:id="22"/>
      <w:bookmarkEnd w:id="23"/>
    </w:p>
    <w:p w14:paraId="680E5695" w14:textId="77777777" w:rsidR="002B575D" w:rsidRPr="002B575D" w:rsidRDefault="002B575D" w:rsidP="002B575D"/>
    <w:p w14:paraId="7D629CF9" w14:textId="5BF0A4E9" w:rsidR="0074340E" w:rsidRPr="00F16251" w:rsidRDefault="0045598C" w:rsidP="0074340E">
      <w:pPr>
        <w:spacing w:line="276" w:lineRule="auto"/>
        <w:ind w:firstLine="360"/>
        <w:jc w:val="both"/>
        <w:rPr>
          <w:rFonts w:ascii="Calibri" w:hAnsi="Calibri" w:cs="Calibri"/>
          <w:color w:val="000000"/>
          <w:kern w:val="0"/>
        </w:rPr>
      </w:pPr>
      <w:r w:rsidRPr="00F16251">
        <w:rPr>
          <w:rFonts w:ascii="Calibri" w:hAnsi="Calibri" w:cs="Calibri"/>
          <w:color w:val="000000"/>
          <w:kern w:val="0"/>
        </w:rPr>
        <w:t xml:space="preserve">W skład </w:t>
      </w:r>
      <w:r w:rsidR="003B49E6" w:rsidRPr="00F16251">
        <w:rPr>
          <w:rFonts w:ascii="Calibri" w:hAnsi="Calibri" w:cs="Calibri"/>
          <w:color w:val="000000"/>
          <w:kern w:val="0"/>
        </w:rPr>
        <w:t xml:space="preserve">obszaru Stowarzyszenia </w:t>
      </w:r>
      <w:r w:rsidRPr="00F16251">
        <w:rPr>
          <w:rFonts w:ascii="Calibri" w:hAnsi="Calibri" w:cs="Calibri"/>
          <w:color w:val="000000"/>
          <w:kern w:val="0"/>
        </w:rPr>
        <w:t xml:space="preserve">„Solidarni w Partnerstwie” wchodzi </w:t>
      </w:r>
      <w:r w:rsidR="0074340E" w:rsidRPr="00F16251">
        <w:rPr>
          <w:rFonts w:ascii="Calibri" w:hAnsi="Calibri" w:cs="Calibri"/>
          <w:color w:val="000000"/>
          <w:kern w:val="0"/>
        </w:rPr>
        <w:t>5</w:t>
      </w:r>
      <w:r w:rsidRPr="00F16251">
        <w:rPr>
          <w:rFonts w:ascii="Calibri" w:hAnsi="Calibri" w:cs="Calibri"/>
          <w:color w:val="000000"/>
          <w:kern w:val="0"/>
        </w:rPr>
        <w:t xml:space="preserve"> gmin </w:t>
      </w:r>
      <w:r w:rsidR="00E74559" w:rsidRPr="00F16251">
        <w:rPr>
          <w:rFonts w:ascii="Calibri" w:hAnsi="Calibri" w:cs="Calibri"/>
          <w:color w:val="000000"/>
          <w:kern w:val="0"/>
        </w:rPr>
        <w:t>powiatu konińskiego</w:t>
      </w:r>
      <w:r w:rsidR="003B49E6" w:rsidRPr="00F16251">
        <w:rPr>
          <w:rFonts w:ascii="Calibri" w:hAnsi="Calibri" w:cs="Calibri"/>
          <w:color w:val="000000"/>
          <w:kern w:val="0"/>
        </w:rPr>
        <w:t xml:space="preserve">, w tym </w:t>
      </w:r>
      <w:r w:rsidR="00C234F6" w:rsidRPr="00F16251">
        <w:rPr>
          <w:rFonts w:ascii="Calibri" w:hAnsi="Calibri" w:cs="Calibri"/>
          <w:color w:val="000000"/>
          <w:kern w:val="0"/>
        </w:rPr>
        <w:br/>
      </w:r>
      <w:r w:rsidR="003B49E6" w:rsidRPr="00F16251">
        <w:rPr>
          <w:rFonts w:ascii="Calibri" w:hAnsi="Calibri" w:cs="Calibri"/>
          <w:color w:val="000000"/>
          <w:kern w:val="0"/>
        </w:rPr>
        <w:t xml:space="preserve">2 gminy </w:t>
      </w:r>
      <w:r w:rsidR="0074340E" w:rsidRPr="00F16251">
        <w:rPr>
          <w:rFonts w:ascii="Calibri" w:hAnsi="Calibri" w:cs="Calibri"/>
          <w:color w:val="000000"/>
          <w:kern w:val="0"/>
        </w:rPr>
        <w:t>miejsko-wiejski</w:t>
      </w:r>
      <w:r w:rsidR="003B49E6" w:rsidRPr="00F16251">
        <w:rPr>
          <w:rFonts w:ascii="Calibri" w:hAnsi="Calibri" w:cs="Calibri"/>
          <w:color w:val="000000"/>
          <w:kern w:val="0"/>
        </w:rPr>
        <w:t>e</w:t>
      </w:r>
      <w:r w:rsidR="0074340E" w:rsidRPr="00F16251">
        <w:rPr>
          <w:rFonts w:ascii="Calibri" w:hAnsi="Calibri" w:cs="Calibri"/>
          <w:color w:val="000000"/>
          <w:kern w:val="0"/>
        </w:rPr>
        <w:t xml:space="preserve">: Golina, Rychwał oraz </w:t>
      </w:r>
      <w:r w:rsidR="003B49E6" w:rsidRPr="00F16251">
        <w:rPr>
          <w:rFonts w:ascii="Calibri" w:hAnsi="Calibri" w:cs="Calibri"/>
          <w:color w:val="000000"/>
          <w:kern w:val="0"/>
        </w:rPr>
        <w:t xml:space="preserve">3 gminy </w:t>
      </w:r>
      <w:r w:rsidR="0074340E" w:rsidRPr="00F16251">
        <w:rPr>
          <w:rFonts w:ascii="Calibri" w:hAnsi="Calibri" w:cs="Calibri"/>
          <w:color w:val="000000"/>
          <w:kern w:val="0"/>
        </w:rPr>
        <w:t>wiejski</w:t>
      </w:r>
      <w:r w:rsidR="003B49E6" w:rsidRPr="00F16251">
        <w:rPr>
          <w:rFonts w:ascii="Calibri" w:hAnsi="Calibri" w:cs="Calibri"/>
          <w:color w:val="000000"/>
          <w:kern w:val="0"/>
        </w:rPr>
        <w:t>e</w:t>
      </w:r>
      <w:r w:rsidR="0074340E" w:rsidRPr="00F16251">
        <w:rPr>
          <w:rFonts w:ascii="Calibri" w:hAnsi="Calibri" w:cs="Calibri"/>
          <w:color w:val="000000"/>
          <w:kern w:val="0"/>
        </w:rPr>
        <w:t xml:space="preserve">: Grodziec, Rzgów, Stare Miasto oraz </w:t>
      </w:r>
      <w:r w:rsidR="003B49E6" w:rsidRPr="00F16251">
        <w:rPr>
          <w:rFonts w:ascii="Calibri" w:hAnsi="Calibri" w:cs="Calibri"/>
          <w:color w:val="000000"/>
          <w:kern w:val="0"/>
        </w:rPr>
        <w:t>g</w:t>
      </w:r>
      <w:r w:rsidR="0074340E" w:rsidRPr="00F16251">
        <w:rPr>
          <w:rFonts w:ascii="Calibri" w:hAnsi="Calibri" w:cs="Calibri"/>
          <w:color w:val="000000"/>
          <w:kern w:val="0"/>
        </w:rPr>
        <w:t xml:space="preserve">mina </w:t>
      </w:r>
      <w:r w:rsidR="003B49E6" w:rsidRPr="00F16251">
        <w:rPr>
          <w:rFonts w:ascii="Calibri" w:hAnsi="Calibri" w:cs="Calibri"/>
          <w:color w:val="000000"/>
          <w:kern w:val="0"/>
        </w:rPr>
        <w:t xml:space="preserve">miejsko-wiejska </w:t>
      </w:r>
      <w:r w:rsidR="0074340E" w:rsidRPr="00F16251">
        <w:rPr>
          <w:rFonts w:ascii="Calibri" w:hAnsi="Calibri" w:cs="Calibri"/>
          <w:color w:val="000000"/>
          <w:kern w:val="0"/>
        </w:rPr>
        <w:t xml:space="preserve">Tuliszków </w:t>
      </w:r>
      <w:r w:rsidR="003B49E6" w:rsidRPr="00F16251">
        <w:rPr>
          <w:rFonts w:ascii="Calibri" w:hAnsi="Calibri" w:cs="Calibri"/>
          <w:color w:val="000000"/>
          <w:kern w:val="0"/>
        </w:rPr>
        <w:t xml:space="preserve">należąca do powiatu tureckiego. </w:t>
      </w:r>
    </w:p>
    <w:p w14:paraId="45D9742A" w14:textId="696E2534" w:rsidR="00DC3A22" w:rsidRPr="00F16251" w:rsidRDefault="0045598C" w:rsidP="00E74559">
      <w:pPr>
        <w:spacing w:line="276" w:lineRule="auto"/>
        <w:ind w:firstLine="360"/>
        <w:jc w:val="both"/>
        <w:rPr>
          <w:rFonts w:ascii="Calibri" w:hAnsi="Calibri" w:cs="Calibri"/>
          <w:color w:val="000000"/>
          <w:kern w:val="0"/>
        </w:rPr>
      </w:pPr>
      <w:r w:rsidRPr="00F16251">
        <w:rPr>
          <w:rFonts w:ascii="Calibri" w:hAnsi="Calibri" w:cs="Calibri"/>
          <w:color w:val="000000"/>
          <w:kern w:val="0"/>
        </w:rPr>
        <w:t xml:space="preserve">Łączna powierzchnia obszaru wynosi 686,53 km2. Największą powierzchnię ma gmina Tuliszków (149,4 km2), nieco </w:t>
      </w:r>
      <w:r w:rsidR="00E74559" w:rsidRPr="00F16251">
        <w:rPr>
          <w:rFonts w:ascii="Calibri" w:hAnsi="Calibri" w:cs="Calibri"/>
          <w:color w:val="000000"/>
          <w:kern w:val="0"/>
        </w:rPr>
        <w:t>mniejsze gminy</w:t>
      </w:r>
      <w:r w:rsidRPr="00F16251">
        <w:rPr>
          <w:rFonts w:ascii="Calibri" w:hAnsi="Calibri" w:cs="Calibri"/>
          <w:color w:val="000000"/>
          <w:kern w:val="0"/>
        </w:rPr>
        <w:t xml:space="preserve"> </w:t>
      </w:r>
      <w:r w:rsidR="00E74559" w:rsidRPr="00F16251">
        <w:rPr>
          <w:rFonts w:ascii="Calibri" w:hAnsi="Calibri" w:cs="Calibri"/>
          <w:color w:val="000000"/>
          <w:kern w:val="0"/>
        </w:rPr>
        <w:t xml:space="preserve">to </w:t>
      </w:r>
      <w:r w:rsidRPr="00F16251">
        <w:rPr>
          <w:rFonts w:ascii="Calibri" w:hAnsi="Calibri" w:cs="Calibri"/>
          <w:color w:val="000000"/>
          <w:kern w:val="0"/>
        </w:rPr>
        <w:t xml:space="preserve">Grodziec i Rychwał (117,7 km2). Najmniejszą powierzchnię mają gminy Golina (99 km2) </w:t>
      </w:r>
      <w:r w:rsidR="00C234F6" w:rsidRPr="00F16251">
        <w:rPr>
          <w:rFonts w:ascii="Calibri" w:hAnsi="Calibri" w:cs="Calibri"/>
          <w:color w:val="000000"/>
          <w:kern w:val="0"/>
        </w:rPr>
        <w:br/>
      </w:r>
      <w:r w:rsidRPr="00F16251">
        <w:rPr>
          <w:rFonts w:ascii="Calibri" w:hAnsi="Calibri" w:cs="Calibri"/>
          <w:color w:val="000000"/>
          <w:kern w:val="0"/>
        </w:rPr>
        <w:t>i Stare Miasto (97,8 km2).</w:t>
      </w:r>
    </w:p>
    <w:p w14:paraId="3719B34C" w14:textId="670BF551" w:rsidR="00DC3A22" w:rsidRPr="00F16251" w:rsidRDefault="00E74559" w:rsidP="003B49E6">
      <w:pPr>
        <w:spacing w:line="276" w:lineRule="auto"/>
        <w:ind w:firstLine="360"/>
        <w:jc w:val="both"/>
        <w:rPr>
          <w:rFonts w:ascii="Calibri" w:hAnsi="Calibri" w:cs="Calibri"/>
          <w:color w:val="000000"/>
          <w:kern w:val="0"/>
        </w:rPr>
      </w:pPr>
      <w:r w:rsidRPr="00F16251">
        <w:rPr>
          <w:rFonts w:ascii="Calibri" w:hAnsi="Calibri" w:cs="Calibri"/>
          <w:color w:val="000000"/>
          <w:kern w:val="0"/>
        </w:rPr>
        <w:t xml:space="preserve">Obszar jest położony we wschodniej części </w:t>
      </w:r>
      <w:r w:rsidR="003B49E6" w:rsidRPr="00F16251">
        <w:rPr>
          <w:rFonts w:ascii="Calibri" w:hAnsi="Calibri" w:cs="Calibri"/>
          <w:color w:val="000000"/>
          <w:kern w:val="0"/>
        </w:rPr>
        <w:t>w</w:t>
      </w:r>
      <w:r w:rsidRPr="00F16251">
        <w:rPr>
          <w:rFonts w:ascii="Calibri" w:hAnsi="Calibri" w:cs="Calibri"/>
          <w:color w:val="000000"/>
          <w:kern w:val="0"/>
        </w:rPr>
        <w:t xml:space="preserve">ojewództwa </w:t>
      </w:r>
      <w:r w:rsidR="003B49E6" w:rsidRPr="00F16251">
        <w:rPr>
          <w:rFonts w:ascii="Calibri" w:hAnsi="Calibri" w:cs="Calibri"/>
          <w:color w:val="000000"/>
          <w:kern w:val="0"/>
        </w:rPr>
        <w:t>w</w:t>
      </w:r>
      <w:r w:rsidRPr="00F16251">
        <w:rPr>
          <w:rFonts w:ascii="Calibri" w:hAnsi="Calibri" w:cs="Calibri"/>
          <w:color w:val="000000"/>
          <w:kern w:val="0"/>
        </w:rPr>
        <w:t xml:space="preserve">ielkopolskiego, w podregionie konińskim. Stanowi on południowo-zachodnie obrzeże Konina, z którym graniczą gminy Stare Miasto i Golina. </w:t>
      </w:r>
      <w:r w:rsidR="00921C63" w:rsidRPr="00F16251">
        <w:rPr>
          <w:rFonts w:cstheme="minorHAnsi"/>
        </w:rPr>
        <w:t xml:space="preserve">Obszar jest spójny przestrzennie i </w:t>
      </w:r>
      <w:r w:rsidRPr="00F16251">
        <w:rPr>
          <w:rFonts w:ascii="Calibri" w:hAnsi="Calibri" w:cs="Calibri"/>
          <w:color w:val="000000"/>
          <w:kern w:val="0"/>
        </w:rPr>
        <w:t>leży na bardzo ważnym szlaku tranzytowym</w:t>
      </w:r>
      <w:r w:rsidR="003B49E6" w:rsidRPr="00F16251">
        <w:rPr>
          <w:rFonts w:ascii="Calibri" w:hAnsi="Calibri" w:cs="Calibri"/>
          <w:color w:val="000000"/>
          <w:kern w:val="0"/>
        </w:rPr>
        <w:t>,</w:t>
      </w:r>
      <w:r w:rsidRPr="00F16251">
        <w:rPr>
          <w:rFonts w:ascii="Calibri" w:hAnsi="Calibri" w:cs="Calibri"/>
          <w:color w:val="000000"/>
          <w:kern w:val="0"/>
        </w:rPr>
        <w:t xml:space="preserve"> z dogodnymi połączeniami komunikacyjnymi: autostrad</w:t>
      </w:r>
      <w:r w:rsidR="003B49E6" w:rsidRPr="00F16251">
        <w:rPr>
          <w:rFonts w:ascii="Calibri" w:hAnsi="Calibri" w:cs="Calibri"/>
          <w:color w:val="000000"/>
          <w:kern w:val="0"/>
        </w:rPr>
        <w:t>ą</w:t>
      </w:r>
      <w:r w:rsidRPr="00F16251">
        <w:rPr>
          <w:rFonts w:ascii="Calibri" w:hAnsi="Calibri" w:cs="Calibri"/>
          <w:color w:val="000000"/>
          <w:kern w:val="0"/>
        </w:rPr>
        <w:t xml:space="preserve"> A2 łącząca Europę Zachodnią z Rosją i krajami wschodnimi oraz system</w:t>
      </w:r>
      <w:r w:rsidR="003B49E6" w:rsidRPr="00F16251">
        <w:rPr>
          <w:rFonts w:ascii="Calibri" w:hAnsi="Calibri" w:cs="Calibri"/>
          <w:color w:val="000000"/>
          <w:kern w:val="0"/>
        </w:rPr>
        <w:t>em</w:t>
      </w:r>
      <w:r w:rsidRPr="00F16251">
        <w:rPr>
          <w:rFonts w:ascii="Calibri" w:hAnsi="Calibri" w:cs="Calibri"/>
          <w:color w:val="000000"/>
          <w:kern w:val="0"/>
        </w:rPr>
        <w:t xml:space="preserve"> połączeń kolejowych.</w:t>
      </w:r>
    </w:p>
    <w:p w14:paraId="6DA1F075" w14:textId="28A620DA" w:rsidR="00A705D7" w:rsidRPr="00F16251" w:rsidRDefault="00A705D7" w:rsidP="00A705D7">
      <w:pPr>
        <w:pStyle w:val="Akapitzlist"/>
        <w:spacing w:line="276" w:lineRule="auto"/>
        <w:ind w:left="0" w:firstLine="360"/>
        <w:contextualSpacing w:val="0"/>
        <w:jc w:val="both"/>
        <w:rPr>
          <w:rFonts w:cstheme="minorHAnsi"/>
        </w:rPr>
      </w:pPr>
      <w:r w:rsidRPr="00F16251">
        <w:rPr>
          <w:rFonts w:cstheme="minorHAnsi"/>
        </w:rPr>
        <w:t xml:space="preserve">Obszar </w:t>
      </w:r>
      <w:r w:rsidRPr="00F16251">
        <w:rPr>
          <w:rFonts w:ascii="Calibri" w:hAnsi="Calibri" w:cs="Calibri"/>
          <w:color w:val="000000"/>
          <w:kern w:val="0"/>
        </w:rPr>
        <w:t xml:space="preserve">Stowarzyszenia „Solidarni w Partnerstwie”, </w:t>
      </w:r>
      <w:r w:rsidRPr="00F16251">
        <w:rPr>
          <w:rFonts w:cstheme="minorHAnsi"/>
        </w:rPr>
        <w:t xml:space="preserve">zgodnie z danymi na dzień 31.12.2020 r., zamieszkiwało </w:t>
      </w:r>
      <w:r w:rsidR="00C826DF" w:rsidRPr="00F16251">
        <w:rPr>
          <w:rFonts w:cstheme="minorHAnsi"/>
        </w:rPr>
        <w:t xml:space="preserve">55 246 </w:t>
      </w:r>
      <w:r w:rsidRPr="00F16251">
        <w:rPr>
          <w:rFonts w:cstheme="minorHAnsi"/>
        </w:rPr>
        <w:t xml:space="preserve">osób. Najwięcej osób zamieszkuje na terenie gminy </w:t>
      </w:r>
      <w:r w:rsidRPr="00F16251">
        <w:rPr>
          <w:rFonts w:cstheme="minorHAnsi"/>
          <w:lang w:bidi="pl-PL"/>
        </w:rPr>
        <w:t>Stare Miasto</w:t>
      </w:r>
      <w:r w:rsidRPr="00F16251">
        <w:rPr>
          <w:rFonts w:cstheme="minorHAnsi"/>
        </w:rPr>
        <w:t xml:space="preserve"> (</w:t>
      </w:r>
      <w:r w:rsidRPr="00F16251">
        <w:rPr>
          <w:rFonts w:cstheme="minorHAnsi"/>
          <w:lang w:bidi="pl-PL"/>
        </w:rPr>
        <w:t>12 639</w:t>
      </w:r>
      <w:r w:rsidRPr="00F16251">
        <w:rPr>
          <w:rFonts w:cstheme="minorHAnsi"/>
        </w:rPr>
        <w:t xml:space="preserve">), a najmniej na terenie gminy </w:t>
      </w:r>
      <w:r w:rsidRPr="00F16251">
        <w:rPr>
          <w:rFonts w:cstheme="minorHAnsi"/>
          <w:lang w:bidi="pl-PL"/>
        </w:rPr>
        <w:t>Grodziec</w:t>
      </w:r>
      <w:r w:rsidRPr="00F16251">
        <w:rPr>
          <w:rFonts w:cstheme="minorHAnsi"/>
        </w:rPr>
        <w:t xml:space="preserve"> (</w:t>
      </w:r>
      <w:r w:rsidRPr="00F16251">
        <w:rPr>
          <w:rFonts w:cstheme="minorHAnsi"/>
          <w:lang w:bidi="pl-PL"/>
        </w:rPr>
        <w:t>5 077</w:t>
      </w:r>
      <w:r w:rsidRPr="00F16251">
        <w:rPr>
          <w:rFonts w:cstheme="minorHAnsi"/>
        </w:rPr>
        <w:t>). Średnia gęstość zaludnienia wynosi 83,2 mieszkańców na 1 km</w:t>
      </w:r>
      <w:r w:rsidRPr="00F16251">
        <w:rPr>
          <w:rFonts w:cstheme="minorHAnsi"/>
          <w:vertAlign w:val="superscript"/>
        </w:rPr>
        <w:t>2</w:t>
      </w:r>
      <w:r w:rsidRPr="00F16251">
        <w:rPr>
          <w:rFonts w:cstheme="minorHAnsi"/>
        </w:rPr>
        <w:t xml:space="preserve">. </w:t>
      </w:r>
    </w:p>
    <w:p w14:paraId="14E159D8" w14:textId="77777777" w:rsidR="00203429" w:rsidRDefault="00E625D8" w:rsidP="00E625D8">
      <w:pPr>
        <w:spacing w:line="276" w:lineRule="auto"/>
        <w:ind w:firstLine="360"/>
        <w:jc w:val="both"/>
        <w:rPr>
          <w:rFonts w:ascii="Calibri" w:hAnsi="Calibri" w:cs="Calibri"/>
          <w:color w:val="000000"/>
          <w:kern w:val="0"/>
        </w:rPr>
      </w:pPr>
      <w:r w:rsidRPr="00F16251">
        <w:rPr>
          <w:rFonts w:ascii="Calibri" w:hAnsi="Calibri" w:cs="Calibri"/>
          <w:color w:val="000000"/>
          <w:kern w:val="0"/>
        </w:rPr>
        <w:t xml:space="preserve">Obszar objęty LSR wchodzi w skład pasa nizin w obrębie Niziny Wielkopolskiej, gdzie panuje klimat umiarkowany z łagodnymi zimami i niskim rocznym poziomem opadów atmosferycznych. </w:t>
      </w:r>
    </w:p>
    <w:p w14:paraId="1D9CEE87" w14:textId="66137E4E" w:rsidR="00E625D8" w:rsidRPr="00F16251" w:rsidRDefault="00E625D8" w:rsidP="00E625D8">
      <w:pPr>
        <w:spacing w:line="276" w:lineRule="auto"/>
        <w:ind w:firstLine="360"/>
        <w:jc w:val="both"/>
        <w:rPr>
          <w:rFonts w:ascii="Calibri" w:hAnsi="Calibri" w:cs="Calibri"/>
          <w:color w:val="000000"/>
          <w:kern w:val="0"/>
        </w:rPr>
      </w:pPr>
      <w:r w:rsidRPr="00F16251">
        <w:rPr>
          <w:rFonts w:ascii="Calibri" w:hAnsi="Calibri" w:cs="Calibri"/>
          <w:color w:val="000000"/>
          <w:kern w:val="0"/>
        </w:rPr>
        <w:t>Cechą wyróżniającą obszar jest położenie geograficzne, czyste środowisko naturalne, ciąg jezior z kompleksami leśnymi, obiekty zabytkowe oraz obszary chronione. Walory obszaru sprzyjają różnym formom wypoczynku opartym na zasobach naturalnych. Łatwy dostęp sprzyja kształtowaniu się ruchu turystycznego na danym obszarze i wiąże ze sobą wiele korzyści. Do bazy komunikacyjnej należy także zaliczyć wytyczone szlaki piesze, rowerowe, konne oraz kajakowe.</w:t>
      </w:r>
    </w:p>
    <w:p w14:paraId="28776DBD" w14:textId="15720137" w:rsidR="00E625D8" w:rsidRDefault="00E625D8" w:rsidP="00E625D8">
      <w:pPr>
        <w:spacing w:line="276" w:lineRule="auto"/>
        <w:jc w:val="both"/>
        <w:rPr>
          <w:rFonts w:ascii="Calibri" w:hAnsi="Calibri" w:cs="Calibri"/>
          <w:color w:val="000000"/>
          <w:kern w:val="0"/>
        </w:rPr>
      </w:pPr>
    </w:p>
    <w:p w14:paraId="08B9A416" w14:textId="77777777" w:rsidR="00E625D8" w:rsidRPr="00F16251" w:rsidRDefault="00E625D8" w:rsidP="00E625D8">
      <w:pPr>
        <w:spacing w:line="276" w:lineRule="auto"/>
        <w:jc w:val="both"/>
        <w:rPr>
          <w:rFonts w:ascii="Calibri" w:hAnsi="Calibri" w:cs="Calibri"/>
          <w:color w:val="000000"/>
          <w:kern w:val="0"/>
        </w:rPr>
      </w:pPr>
      <w:r w:rsidRPr="00F16251">
        <w:rPr>
          <w:rFonts w:ascii="Calibri" w:hAnsi="Calibri" w:cs="Calibri"/>
          <w:color w:val="000000"/>
          <w:kern w:val="0"/>
        </w:rPr>
        <w:t xml:space="preserve">Rysunek nr </w:t>
      </w:r>
      <w:r>
        <w:rPr>
          <w:rFonts w:ascii="Calibri" w:hAnsi="Calibri" w:cs="Calibri"/>
          <w:color w:val="000000"/>
          <w:kern w:val="0"/>
        </w:rPr>
        <w:t>1</w:t>
      </w:r>
      <w:r w:rsidRPr="00F16251">
        <w:rPr>
          <w:rFonts w:ascii="Calibri" w:hAnsi="Calibri" w:cs="Calibri"/>
          <w:color w:val="000000"/>
          <w:kern w:val="0"/>
        </w:rPr>
        <w:t xml:space="preserve"> Mapa obszaru objętego LSR </w:t>
      </w:r>
    </w:p>
    <w:p w14:paraId="54D88ADA" w14:textId="77777777" w:rsidR="00E625D8" w:rsidRPr="00F16251" w:rsidRDefault="00E625D8" w:rsidP="00E625D8">
      <w:pPr>
        <w:spacing w:line="276" w:lineRule="auto"/>
        <w:jc w:val="both"/>
        <w:rPr>
          <w:rFonts w:ascii="Calibri" w:hAnsi="Calibri" w:cs="Calibri"/>
          <w:color w:val="000000"/>
          <w:kern w:val="0"/>
        </w:rPr>
      </w:pPr>
      <w:r w:rsidRPr="00F16251">
        <w:rPr>
          <w:rFonts w:ascii="Calibri" w:hAnsi="Calibri" w:cs="Calibri"/>
          <w:noProof/>
          <w:color w:val="000000"/>
          <w:kern w:val="0"/>
          <w:lang w:eastAsia="pl-PL"/>
        </w:rPr>
        <w:drawing>
          <wp:inline distT="0" distB="0" distL="0" distR="0" wp14:anchorId="2DA65CAB" wp14:editId="4C9B338C">
            <wp:extent cx="3466653" cy="3543300"/>
            <wp:effectExtent l="0" t="0" r="635" b="0"/>
            <wp:docPr id="119687055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04159" cy="3581635"/>
                    </a:xfrm>
                    <a:prstGeom prst="rect">
                      <a:avLst/>
                    </a:prstGeom>
                    <a:noFill/>
                    <a:ln>
                      <a:noFill/>
                    </a:ln>
                  </pic:spPr>
                </pic:pic>
              </a:graphicData>
            </a:graphic>
          </wp:inline>
        </w:drawing>
      </w:r>
    </w:p>
    <w:p w14:paraId="1253A324" w14:textId="77777777" w:rsidR="00E625D8" w:rsidRPr="00F16251" w:rsidRDefault="00E625D8" w:rsidP="00E625D8">
      <w:pPr>
        <w:spacing w:line="276" w:lineRule="auto"/>
        <w:jc w:val="both"/>
        <w:rPr>
          <w:rFonts w:ascii="Calibri" w:hAnsi="Calibri" w:cs="Calibri"/>
          <w:color w:val="000000"/>
          <w:kern w:val="0"/>
        </w:rPr>
      </w:pPr>
      <w:r w:rsidRPr="00F16251">
        <w:rPr>
          <w:rFonts w:ascii="Calibri" w:hAnsi="Calibri" w:cs="Calibri"/>
          <w:color w:val="000000"/>
          <w:kern w:val="0"/>
        </w:rPr>
        <w:t xml:space="preserve">Źródło: opracowanie własne </w:t>
      </w:r>
    </w:p>
    <w:p w14:paraId="5F403D5A" w14:textId="79156F7A" w:rsidR="00BD17DA" w:rsidRDefault="00BD17DA">
      <w:pPr>
        <w:rPr>
          <w:rFonts w:ascii="Calibri" w:hAnsi="Calibri" w:cs="Calibri"/>
          <w:color w:val="000000"/>
          <w:kern w:val="0"/>
        </w:rPr>
      </w:pPr>
      <w:r>
        <w:rPr>
          <w:rFonts w:ascii="Calibri" w:hAnsi="Calibri" w:cs="Calibri"/>
          <w:color w:val="000000"/>
          <w:kern w:val="0"/>
        </w:rPr>
        <w:br w:type="page"/>
      </w:r>
    </w:p>
    <w:p w14:paraId="4662918F" w14:textId="77777777" w:rsidR="00C7528D" w:rsidRPr="00F16251" w:rsidRDefault="00C7528D" w:rsidP="009713CD">
      <w:pPr>
        <w:spacing w:line="276" w:lineRule="auto"/>
        <w:jc w:val="both"/>
        <w:rPr>
          <w:rFonts w:ascii="Calibri" w:hAnsi="Calibri" w:cs="Calibri"/>
          <w:color w:val="000000"/>
          <w:kern w:val="0"/>
        </w:rPr>
      </w:pPr>
    </w:p>
    <w:p w14:paraId="36157D53" w14:textId="680ECCEA" w:rsidR="00A705D7" w:rsidRPr="00F16251" w:rsidRDefault="00A705D7" w:rsidP="00A705D7">
      <w:pPr>
        <w:spacing w:line="276" w:lineRule="auto"/>
        <w:jc w:val="both"/>
        <w:rPr>
          <w:rFonts w:ascii="Calibri" w:hAnsi="Calibri" w:cs="Calibri"/>
          <w:color w:val="000000"/>
          <w:kern w:val="0"/>
        </w:rPr>
      </w:pPr>
      <w:r w:rsidRPr="00F16251">
        <w:rPr>
          <w:rFonts w:ascii="Calibri" w:hAnsi="Calibri" w:cs="Calibri"/>
          <w:color w:val="000000"/>
          <w:kern w:val="0"/>
        </w:rPr>
        <w:t xml:space="preserve">Tabela nr </w:t>
      </w:r>
      <w:r w:rsidR="00396A11">
        <w:rPr>
          <w:rFonts w:ascii="Calibri" w:hAnsi="Calibri" w:cs="Calibri"/>
          <w:color w:val="000000"/>
          <w:kern w:val="0"/>
        </w:rPr>
        <w:t>1</w:t>
      </w:r>
      <w:r w:rsidRPr="00F16251">
        <w:rPr>
          <w:rFonts w:ascii="Calibri" w:hAnsi="Calibri" w:cs="Calibri"/>
          <w:color w:val="000000"/>
          <w:kern w:val="0"/>
        </w:rPr>
        <w:t xml:space="preserve"> Obszar objęty LSR </w:t>
      </w:r>
    </w:p>
    <w:tbl>
      <w:tblPr>
        <w:tblStyle w:val="Tabelasiatki4akcent31"/>
        <w:tblW w:w="10194" w:type="dxa"/>
        <w:tblLayout w:type="fixed"/>
        <w:tblLook w:val="04A0" w:firstRow="1" w:lastRow="0" w:firstColumn="1" w:lastColumn="0" w:noHBand="0" w:noVBand="1"/>
      </w:tblPr>
      <w:tblGrid>
        <w:gridCol w:w="1403"/>
        <w:gridCol w:w="1650"/>
        <w:gridCol w:w="1052"/>
        <w:gridCol w:w="1742"/>
        <w:gridCol w:w="1395"/>
        <w:gridCol w:w="1476"/>
        <w:gridCol w:w="1476"/>
      </w:tblGrid>
      <w:tr w:rsidR="00A705D7" w:rsidRPr="00F16251" w14:paraId="4B767E04" w14:textId="436DAE0B" w:rsidTr="00A705D7">
        <w:trPr>
          <w:cnfStyle w:val="100000000000" w:firstRow="1" w:lastRow="0" w:firstColumn="0" w:lastColumn="0" w:oddVBand="0" w:evenVBand="0" w:oddHBand="0"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1403" w:type="dxa"/>
          </w:tcPr>
          <w:p w14:paraId="6562B246" w14:textId="77777777" w:rsidR="00A705D7" w:rsidRPr="00F16251" w:rsidRDefault="00A705D7" w:rsidP="008D7485">
            <w:pPr>
              <w:spacing w:line="276" w:lineRule="auto"/>
              <w:rPr>
                <w:rFonts w:cstheme="minorHAnsi"/>
                <w:b w:val="0"/>
                <w:bCs w:val="0"/>
                <w:lang w:bidi="pl-PL"/>
              </w:rPr>
            </w:pPr>
          </w:p>
          <w:p w14:paraId="7175B8FC" w14:textId="77777777" w:rsidR="008D7485" w:rsidRPr="00F16251" w:rsidRDefault="008D7485" w:rsidP="008D7485">
            <w:pPr>
              <w:spacing w:line="276" w:lineRule="auto"/>
              <w:rPr>
                <w:rFonts w:cstheme="minorHAnsi"/>
                <w:color w:val="auto"/>
                <w:lang w:bidi="pl-PL"/>
              </w:rPr>
            </w:pPr>
          </w:p>
        </w:tc>
        <w:tc>
          <w:tcPr>
            <w:tcW w:w="1650" w:type="dxa"/>
          </w:tcPr>
          <w:p w14:paraId="4C468199" w14:textId="77777777" w:rsidR="00A705D7" w:rsidRPr="00F16251" w:rsidRDefault="00A705D7" w:rsidP="008D7485">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lang w:bidi="pl-PL"/>
              </w:rPr>
            </w:pPr>
            <w:r w:rsidRPr="00F16251">
              <w:rPr>
                <w:rFonts w:cstheme="minorHAnsi"/>
                <w:color w:val="auto"/>
                <w:kern w:val="0"/>
              </w:rPr>
              <w:t xml:space="preserve">Typ gminy </w:t>
            </w:r>
          </w:p>
        </w:tc>
        <w:tc>
          <w:tcPr>
            <w:tcW w:w="1052" w:type="dxa"/>
          </w:tcPr>
          <w:p w14:paraId="47E6B3B5" w14:textId="77777777" w:rsidR="00A705D7" w:rsidRPr="00F16251" w:rsidRDefault="00A705D7" w:rsidP="008D7485">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lang w:bidi="pl-PL"/>
              </w:rPr>
            </w:pPr>
            <w:proofErr w:type="spellStart"/>
            <w:r w:rsidRPr="00F16251">
              <w:rPr>
                <w:rFonts w:cstheme="minorHAnsi"/>
                <w:color w:val="auto"/>
                <w:kern w:val="0"/>
              </w:rPr>
              <w:t>Teryt</w:t>
            </w:r>
            <w:proofErr w:type="spellEnd"/>
            <w:r w:rsidRPr="00F16251">
              <w:rPr>
                <w:rFonts w:cstheme="minorHAnsi"/>
                <w:color w:val="auto"/>
                <w:kern w:val="0"/>
              </w:rPr>
              <w:t xml:space="preserve"> </w:t>
            </w:r>
          </w:p>
        </w:tc>
        <w:tc>
          <w:tcPr>
            <w:tcW w:w="1742" w:type="dxa"/>
          </w:tcPr>
          <w:p w14:paraId="7888FA85" w14:textId="77777777" w:rsidR="00A705D7" w:rsidRPr="00F16251" w:rsidRDefault="00A705D7" w:rsidP="008D7485">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lang w:bidi="pl-PL"/>
              </w:rPr>
            </w:pPr>
            <w:r w:rsidRPr="00F16251">
              <w:rPr>
                <w:rFonts w:cstheme="minorHAnsi"/>
                <w:color w:val="auto"/>
                <w:kern w:val="0"/>
              </w:rPr>
              <w:t xml:space="preserve">Liczna ludności </w:t>
            </w:r>
            <w:r w:rsidRPr="00F16251">
              <w:rPr>
                <w:rFonts w:cstheme="minorHAnsi"/>
                <w:color w:val="auto"/>
                <w:kern w:val="0"/>
              </w:rPr>
              <w:br/>
              <w:t xml:space="preserve">31.12.2020 r. </w:t>
            </w:r>
          </w:p>
        </w:tc>
        <w:tc>
          <w:tcPr>
            <w:tcW w:w="1395" w:type="dxa"/>
          </w:tcPr>
          <w:p w14:paraId="39FFC35E" w14:textId="77777777" w:rsidR="00A705D7" w:rsidRPr="00F16251" w:rsidRDefault="00A705D7" w:rsidP="008D7485">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lang w:bidi="pl-PL"/>
              </w:rPr>
            </w:pPr>
            <w:r w:rsidRPr="00F16251">
              <w:rPr>
                <w:rFonts w:cstheme="minorHAnsi"/>
                <w:color w:val="auto"/>
                <w:lang w:bidi="pl-PL"/>
              </w:rPr>
              <w:t>sołectwa</w:t>
            </w:r>
          </w:p>
        </w:tc>
        <w:tc>
          <w:tcPr>
            <w:tcW w:w="1476" w:type="dxa"/>
          </w:tcPr>
          <w:p w14:paraId="23F6BB27" w14:textId="77777777" w:rsidR="00A705D7" w:rsidRPr="00F16251" w:rsidRDefault="00A705D7" w:rsidP="008D7485">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lang w:bidi="pl-PL"/>
              </w:rPr>
            </w:pPr>
            <w:r w:rsidRPr="00F16251">
              <w:rPr>
                <w:rFonts w:cstheme="minorHAnsi"/>
                <w:color w:val="auto"/>
                <w:lang w:bidi="pl-PL"/>
              </w:rPr>
              <w:t xml:space="preserve">Powierzchnia </w:t>
            </w:r>
            <w:r w:rsidRPr="00F16251">
              <w:rPr>
                <w:rFonts w:cstheme="minorHAnsi"/>
                <w:color w:val="auto"/>
                <w:lang w:bidi="pl-PL"/>
              </w:rPr>
              <w:br/>
              <w:t>w km</w:t>
            </w:r>
            <w:r w:rsidRPr="00F16251">
              <w:rPr>
                <w:rFonts w:cstheme="minorHAnsi"/>
                <w:color w:val="auto"/>
                <w:vertAlign w:val="superscript"/>
                <w:lang w:bidi="pl-PL"/>
              </w:rPr>
              <w:t>2</w:t>
            </w:r>
          </w:p>
        </w:tc>
        <w:tc>
          <w:tcPr>
            <w:tcW w:w="1476" w:type="dxa"/>
          </w:tcPr>
          <w:p w14:paraId="61BAC27F" w14:textId="3E87937B" w:rsidR="00A705D7" w:rsidRPr="00F16251" w:rsidRDefault="00A705D7" w:rsidP="008D7485">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lang w:bidi="pl-PL"/>
              </w:rPr>
            </w:pPr>
            <w:r w:rsidRPr="00F16251">
              <w:rPr>
                <w:rFonts w:cstheme="minorHAnsi"/>
                <w:color w:val="auto"/>
                <w:lang w:bidi="pl-PL"/>
              </w:rPr>
              <w:t>Gęstość zaludnienia</w:t>
            </w:r>
            <w:r w:rsidRPr="00F16251">
              <w:rPr>
                <w:rFonts w:cstheme="minorHAnsi"/>
                <w:lang w:bidi="pl-PL"/>
              </w:rPr>
              <w:t xml:space="preserve"> </w:t>
            </w:r>
          </w:p>
        </w:tc>
      </w:tr>
      <w:tr w:rsidR="00A705D7" w:rsidRPr="00F16251" w14:paraId="0BC28D7C" w14:textId="54C46E8F" w:rsidTr="008D7485">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1BCD37CC" w14:textId="77777777" w:rsidR="00A705D7" w:rsidRPr="00F16251" w:rsidRDefault="00A705D7" w:rsidP="008D7485">
            <w:pPr>
              <w:spacing w:line="276" w:lineRule="auto"/>
              <w:rPr>
                <w:rFonts w:cstheme="minorHAnsi"/>
                <w:lang w:bidi="pl-PL"/>
              </w:rPr>
            </w:pPr>
            <w:r w:rsidRPr="00F16251">
              <w:rPr>
                <w:rFonts w:cstheme="minorHAnsi"/>
                <w:lang w:bidi="pl-PL"/>
              </w:rPr>
              <w:t>Golina</w:t>
            </w:r>
          </w:p>
        </w:tc>
        <w:tc>
          <w:tcPr>
            <w:tcW w:w="1650" w:type="dxa"/>
            <w:vAlign w:val="center"/>
          </w:tcPr>
          <w:p w14:paraId="2AE24682" w14:textId="77777777" w:rsidR="00A705D7" w:rsidRPr="00F16251" w:rsidRDefault="00A705D7" w:rsidP="008D7485">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lang w:bidi="pl-PL"/>
              </w:rPr>
            </w:pPr>
            <w:r w:rsidRPr="00F16251">
              <w:rPr>
                <w:rFonts w:cstheme="minorHAnsi"/>
                <w:color w:val="000000"/>
                <w:kern w:val="0"/>
              </w:rPr>
              <w:t>miejsko-wiejska</w:t>
            </w:r>
          </w:p>
        </w:tc>
        <w:tc>
          <w:tcPr>
            <w:tcW w:w="1052" w:type="dxa"/>
            <w:vAlign w:val="center"/>
          </w:tcPr>
          <w:p w14:paraId="45B7A1F2" w14:textId="77777777" w:rsidR="00A705D7" w:rsidRPr="00F16251" w:rsidRDefault="00A705D7" w:rsidP="008D7485">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lang w:bidi="pl-PL"/>
              </w:rPr>
            </w:pPr>
            <w:r w:rsidRPr="00F16251">
              <w:rPr>
                <w:rFonts w:cstheme="minorHAnsi"/>
              </w:rPr>
              <w:t>3010013</w:t>
            </w:r>
          </w:p>
        </w:tc>
        <w:tc>
          <w:tcPr>
            <w:tcW w:w="1742" w:type="dxa"/>
            <w:vAlign w:val="center"/>
          </w:tcPr>
          <w:p w14:paraId="30CCAE03" w14:textId="77777777" w:rsidR="00A705D7" w:rsidRPr="00F16251" w:rsidRDefault="00A705D7" w:rsidP="008D7485">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lang w:bidi="pl-PL"/>
              </w:rPr>
            </w:pPr>
            <w:r w:rsidRPr="00F16251">
              <w:rPr>
                <w:rFonts w:cstheme="minorHAnsi"/>
                <w:lang w:bidi="pl-PL"/>
              </w:rPr>
              <w:t>12 066</w:t>
            </w:r>
          </w:p>
        </w:tc>
        <w:tc>
          <w:tcPr>
            <w:tcW w:w="1395" w:type="dxa"/>
            <w:vAlign w:val="center"/>
          </w:tcPr>
          <w:p w14:paraId="373C6E8D" w14:textId="77777777" w:rsidR="00A705D7" w:rsidRPr="00F16251" w:rsidRDefault="00A705D7" w:rsidP="008D7485">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lang w:bidi="pl-PL"/>
              </w:rPr>
            </w:pPr>
            <w:r w:rsidRPr="00F16251">
              <w:rPr>
                <w:rFonts w:cstheme="minorHAnsi"/>
              </w:rPr>
              <w:t>18</w:t>
            </w:r>
          </w:p>
        </w:tc>
        <w:tc>
          <w:tcPr>
            <w:tcW w:w="1476" w:type="dxa"/>
            <w:vAlign w:val="bottom"/>
          </w:tcPr>
          <w:p w14:paraId="2469D950" w14:textId="77777777" w:rsidR="00A705D7" w:rsidRPr="00F16251" w:rsidRDefault="00A705D7" w:rsidP="008D7485">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F16251">
              <w:rPr>
                <w:rFonts w:cstheme="minorHAnsi"/>
              </w:rPr>
              <w:t>99</w:t>
            </w:r>
          </w:p>
        </w:tc>
        <w:tc>
          <w:tcPr>
            <w:tcW w:w="1476" w:type="dxa"/>
            <w:vAlign w:val="bottom"/>
          </w:tcPr>
          <w:p w14:paraId="0ED2376C" w14:textId="1A3E961F" w:rsidR="00A705D7" w:rsidRPr="00F16251" w:rsidRDefault="00A705D7" w:rsidP="008D7485">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F16251">
              <w:rPr>
                <w:rFonts w:cstheme="minorHAnsi"/>
              </w:rPr>
              <w:t>121,9</w:t>
            </w:r>
          </w:p>
        </w:tc>
      </w:tr>
      <w:tr w:rsidR="00A705D7" w:rsidRPr="00F16251" w14:paraId="39DEBB77" w14:textId="31A4EB0C" w:rsidTr="008D7485">
        <w:trPr>
          <w:trHeight w:val="77"/>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41BA8319" w14:textId="77777777" w:rsidR="00A705D7" w:rsidRPr="00F16251" w:rsidRDefault="00A705D7" w:rsidP="008D7485">
            <w:pPr>
              <w:spacing w:line="276" w:lineRule="auto"/>
              <w:rPr>
                <w:rFonts w:cstheme="minorHAnsi"/>
                <w:lang w:bidi="pl-PL"/>
              </w:rPr>
            </w:pPr>
            <w:r w:rsidRPr="00F16251">
              <w:rPr>
                <w:rFonts w:cstheme="minorHAnsi"/>
                <w:lang w:bidi="pl-PL"/>
              </w:rPr>
              <w:t>Grodziec</w:t>
            </w:r>
          </w:p>
        </w:tc>
        <w:tc>
          <w:tcPr>
            <w:tcW w:w="1650" w:type="dxa"/>
            <w:vAlign w:val="center"/>
          </w:tcPr>
          <w:p w14:paraId="2B4420A3" w14:textId="77777777" w:rsidR="00A705D7" w:rsidRPr="00F16251" w:rsidRDefault="00A705D7" w:rsidP="008D7485">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lang w:bidi="pl-PL"/>
              </w:rPr>
            </w:pPr>
            <w:r w:rsidRPr="00F16251">
              <w:rPr>
                <w:rFonts w:cstheme="minorHAnsi"/>
                <w:color w:val="000000"/>
                <w:kern w:val="0"/>
              </w:rPr>
              <w:t>wiejska</w:t>
            </w:r>
          </w:p>
        </w:tc>
        <w:tc>
          <w:tcPr>
            <w:tcW w:w="1052" w:type="dxa"/>
            <w:vAlign w:val="center"/>
          </w:tcPr>
          <w:p w14:paraId="6FA4DCC9" w14:textId="77777777" w:rsidR="00A705D7" w:rsidRPr="00F16251" w:rsidRDefault="00A705D7" w:rsidP="008D7485">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lang w:bidi="pl-PL"/>
              </w:rPr>
            </w:pPr>
            <w:r w:rsidRPr="00F16251">
              <w:rPr>
                <w:rFonts w:cstheme="minorHAnsi"/>
              </w:rPr>
              <w:t>3010022</w:t>
            </w:r>
          </w:p>
        </w:tc>
        <w:tc>
          <w:tcPr>
            <w:tcW w:w="1742" w:type="dxa"/>
            <w:vAlign w:val="center"/>
          </w:tcPr>
          <w:p w14:paraId="22B7077A" w14:textId="77777777" w:rsidR="00A705D7" w:rsidRPr="00F16251" w:rsidRDefault="00A705D7" w:rsidP="008D7485">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lang w:bidi="pl-PL"/>
              </w:rPr>
            </w:pPr>
            <w:r w:rsidRPr="00F16251">
              <w:rPr>
                <w:rFonts w:cstheme="minorHAnsi"/>
                <w:lang w:bidi="pl-PL"/>
              </w:rPr>
              <w:t>5 077</w:t>
            </w:r>
          </w:p>
        </w:tc>
        <w:tc>
          <w:tcPr>
            <w:tcW w:w="1395" w:type="dxa"/>
            <w:vAlign w:val="center"/>
          </w:tcPr>
          <w:p w14:paraId="62A6A1EB" w14:textId="77777777" w:rsidR="00A705D7" w:rsidRPr="00F16251" w:rsidRDefault="00A705D7" w:rsidP="008D7485">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lang w:bidi="pl-PL"/>
              </w:rPr>
            </w:pPr>
            <w:r w:rsidRPr="00F16251">
              <w:rPr>
                <w:rFonts w:cstheme="minorHAnsi"/>
              </w:rPr>
              <w:t>18</w:t>
            </w:r>
          </w:p>
        </w:tc>
        <w:tc>
          <w:tcPr>
            <w:tcW w:w="1476" w:type="dxa"/>
            <w:vAlign w:val="bottom"/>
          </w:tcPr>
          <w:p w14:paraId="2D9EA2F7" w14:textId="77777777" w:rsidR="00A705D7" w:rsidRPr="00F16251" w:rsidRDefault="00A705D7" w:rsidP="008D7485">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F16251">
              <w:rPr>
                <w:rFonts w:cstheme="minorHAnsi"/>
              </w:rPr>
              <w:t>118</w:t>
            </w:r>
          </w:p>
        </w:tc>
        <w:tc>
          <w:tcPr>
            <w:tcW w:w="1476" w:type="dxa"/>
            <w:vAlign w:val="bottom"/>
          </w:tcPr>
          <w:p w14:paraId="1EDA09C5" w14:textId="6E11E5B8" w:rsidR="00A705D7" w:rsidRPr="00F16251" w:rsidRDefault="00A705D7" w:rsidP="008D7485">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F16251">
              <w:rPr>
                <w:rFonts w:cstheme="minorHAnsi"/>
              </w:rPr>
              <w:t>43,1</w:t>
            </w:r>
          </w:p>
        </w:tc>
      </w:tr>
      <w:tr w:rsidR="00A705D7" w:rsidRPr="00F16251" w14:paraId="3E0A6A62" w14:textId="2DB59F50" w:rsidTr="008D7485">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30CAA6FD" w14:textId="77777777" w:rsidR="00A705D7" w:rsidRPr="00F16251" w:rsidRDefault="00A705D7" w:rsidP="008D7485">
            <w:pPr>
              <w:spacing w:line="276" w:lineRule="auto"/>
              <w:rPr>
                <w:rFonts w:cstheme="minorHAnsi"/>
                <w:lang w:bidi="pl-PL"/>
              </w:rPr>
            </w:pPr>
            <w:r w:rsidRPr="00F16251">
              <w:rPr>
                <w:rFonts w:cstheme="minorHAnsi"/>
                <w:lang w:bidi="pl-PL"/>
              </w:rPr>
              <w:t>Rychwał</w:t>
            </w:r>
          </w:p>
        </w:tc>
        <w:tc>
          <w:tcPr>
            <w:tcW w:w="1650" w:type="dxa"/>
            <w:vAlign w:val="center"/>
          </w:tcPr>
          <w:p w14:paraId="6974FAD2" w14:textId="77777777" w:rsidR="00A705D7" w:rsidRPr="00F16251" w:rsidRDefault="00A705D7" w:rsidP="008D7485">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lang w:bidi="pl-PL"/>
              </w:rPr>
            </w:pPr>
            <w:r w:rsidRPr="00F16251">
              <w:rPr>
                <w:rFonts w:cstheme="minorHAnsi"/>
                <w:color w:val="000000"/>
                <w:kern w:val="0"/>
              </w:rPr>
              <w:t>miejsko-wiejska</w:t>
            </w:r>
          </w:p>
        </w:tc>
        <w:tc>
          <w:tcPr>
            <w:tcW w:w="1052" w:type="dxa"/>
            <w:vAlign w:val="center"/>
          </w:tcPr>
          <w:p w14:paraId="47C72BFF" w14:textId="77777777" w:rsidR="00A705D7" w:rsidRPr="00F16251" w:rsidRDefault="00A705D7" w:rsidP="008D7485">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lang w:bidi="pl-PL"/>
              </w:rPr>
            </w:pPr>
            <w:r w:rsidRPr="00F16251">
              <w:rPr>
                <w:rFonts w:cstheme="minorHAnsi"/>
              </w:rPr>
              <w:t>3010073</w:t>
            </w:r>
          </w:p>
        </w:tc>
        <w:tc>
          <w:tcPr>
            <w:tcW w:w="1742" w:type="dxa"/>
            <w:vAlign w:val="center"/>
          </w:tcPr>
          <w:p w14:paraId="3EEFAA15" w14:textId="77777777" w:rsidR="00A705D7" w:rsidRPr="00F16251" w:rsidRDefault="00A705D7" w:rsidP="008D7485">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lang w:bidi="pl-PL"/>
              </w:rPr>
            </w:pPr>
            <w:r w:rsidRPr="00F16251">
              <w:rPr>
                <w:rFonts w:cstheme="minorHAnsi"/>
                <w:lang w:bidi="pl-PL"/>
              </w:rPr>
              <w:t>8 048</w:t>
            </w:r>
          </w:p>
        </w:tc>
        <w:tc>
          <w:tcPr>
            <w:tcW w:w="1395" w:type="dxa"/>
            <w:vAlign w:val="center"/>
          </w:tcPr>
          <w:p w14:paraId="0B5CB64F" w14:textId="77777777" w:rsidR="00A705D7" w:rsidRPr="00F16251" w:rsidRDefault="00A705D7" w:rsidP="008D7485">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lang w:bidi="pl-PL"/>
              </w:rPr>
            </w:pPr>
            <w:r w:rsidRPr="00F16251">
              <w:rPr>
                <w:rFonts w:cstheme="minorHAnsi"/>
              </w:rPr>
              <w:t>23</w:t>
            </w:r>
          </w:p>
        </w:tc>
        <w:tc>
          <w:tcPr>
            <w:tcW w:w="1476" w:type="dxa"/>
            <w:vAlign w:val="bottom"/>
          </w:tcPr>
          <w:p w14:paraId="7ECA9D88" w14:textId="77777777" w:rsidR="00A705D7" w:rsidRPr="00F16251" w:rsidRDefault="00A705D7" w:rsidP="008D7485">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F16251">
              <w:rPr>
                <w:rFonts w:cstheme="minorHAnsi"/>
              </w:rPr>
              <w:t>118</w:t>
            </w:r>
          </w:p>
        </w:tc>
        <w:tc>
          <w:tcPr>
            <w:tcW w:w="1476" w:type="dxa"/>
            <w:vAlign w:val="bottom"/>
          </w:tcPr>
          <w:p w14:paraId="2BAD8440" w14:textId="3FA6C878" w:rsidR="00A705D7" w:rsidRPr="00F16251" w:rsidRDefault="00A705D7" w:rsidP="008D7485">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F16251">
              <w:rPr>
                <w:rFonts w:cstheme="minorHAnsi"/>
              </w:rPr>
              <w:t>68,3</w:t>
            </w:r>
          </w:p>
        </w:tc>
      </w:tr>
      <w:tr w:rsidR="00A705D7" w:rsidRPr="00F16251" w14:paraId="10820970" w14:textId="3AB749F7" w:rsidTr="008D7485">
        <w:trPr>
          <w:trHeight w:val="77"/>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30A014BC" w14:textId="77777777" w:rsidR="00A705D7" w:rsidRPr="00F16251" w:rsidRDefault="00A705D7" w:rsidP="008D7485">
            <w:pPr>
              <w:spacing w:line="276" w:lineRule="auto"/>
              <w:rPr>
                <w:rFonts w:cstheme="minorHAnsi"/>
                <w:lang w:bidi="pl-PL"/>
              </w:rPr>
            </w:pPr>
            <w:r w:rsidRPr="00F16251">
              <w:rPr>
                <w:rFonts w:cstheme="minorHAnsi"/>
                <w:lang w:bidi="pl-PL"/>
              </w:rPr>
              <w:t>Rzgów</w:t>
            </w:r>
          </w:p>
        </w:tc>
        <w:tc>
          <w:tcPr>
            <w:tcW w:w="1650" w:type="dxa"/>
            <w:vAlign w:val="center"/>
          </w:tcPr>
          <w:p w14:paraId="08482FB1" w14:textId="77777777" w:rsidR="00A705D7" w:rsidRPr="00F16251" w:rsidRDefault="00A705D7" w:rsidP="008D7485">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lang w:bidi="pl-PL"/>
              </w:rPr>
            </w:pPr>
            <w:r w:rsidRPr="00F16251">
              <w:rPr>
                <w:rFonts w:cstheme="minorHAnsi"/>
                <w:color w:val="000000"/>
                <w:kern w:val="0"/>
              </w:rPr>
              <w:t>wiejska</w:t>
            </w:r>
          </w:p>
        </w:tc>
        <w:tc>
          <w:tcPr>
            <w:tcW w:w="1052" w:type="dxa"/>
            <w:vAlign w:val="center"/>
          </w:tcPr>
          <w:p w14:paraId="545A400A" w14:textId="77777777" w:rsidR="00A705D7" w:rsidRPr="00F16251" w:rsidRDefault="00A705D7" w:rsidP="008D7485">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lang w:bidi="pl-PL"/>
              </w:rPr>
            </w:pPr>
            <w:r w:rsidRPr="00F16251">
              <w:rPr>
                <w:rFonts w:cstheme="minorHAnsi"/>
              </w:rPr>
              <w:t>3010082</w:t>
            </w:r>
          </w:p>
        </w:tc>
        <w:tc>
          <w:tcPr>
            <w:tcW w:w="1742" w:type="dxa"/>
            <w:vAlign w:val="center"/>
          </w:tcPr>
          <w:p w14:paraId="255795F4" w14:textId="77777777" w:rsidR="00A705D7" w:rsidRPr="00F16251" w:rsidRDefault="00A705D7" w:rsidP="008D7485">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lang w:bidi="pl-PL"/>
              </w:rPr>
            </w:pPr>
            <w:r w:rsidRPr="00F16251">
              <w:rPr>
                <w:rFonts w:cstheme="minorHAnsi"/>
                <w:lang w:bidi="pl-PL"/>
              </w:rPr>
              <w:t>7 131</w:t>
            </w:r>
          </w:p>
        </w:tc>
        <w:tc>
          <w:tcPr>
            <w:tcW w:w="1395" w:type="dxa"/>
            <w:vAlign w:val="center"/>
          </w:tcPr>
          <w:p w14:paraId="2C206EB5" w14:textId="77777777" w:rsidR="00A705D7" w:rsidRPr="00F16251" w:rsidRDefault="00A705D7" w:rsidP="008D7485">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lang w:bidi="pl-PL"/>
              </w:rPr>
            </w:pPr>
            <w:r w:rsidRPr="00F16251">
              <w:rPr>
                <w:rFonts w:cstheme="minorHAnsi"/>
              </w:rPr>
              <w:t>21</w:t>
            </w:r>
          </w:p>
        </w:tc>
        <w:tc>
          <w:tcPr>
            <w:tcW w:w="1476" w:type="dxa"/>
            <w:vAlign w:val="bottom"/>
          </w:tcPr>
          <w:p w14:paraId="7343F104" w14:textId="77777777" w:rsidR="00A705D7" w:rsidRPr="00F16251" w:rsidRDefault="00A705D7" w:rsidP="008D7485">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F16251">
              <w:rPr>
                <w:rFonts w:cstheme="minorHAnsi"/>
              </w:rPr>
              <w:t>105</w:t>
            </w:r>
          </w:p>
        </w:tc>
        <w:tc>
          <w:tcPr>
            <w:tcW w:w="1476" w:type="dxa"/>
            <w:vAlign w:val="bottom"/>
          </w:tcPr>
          <w:p w14:paraId="249D63D8" w14:textId="7C656A8C" w:rsidR="00A705D7" w:rsidRPr="00F16251" w:rsidRDefault="00A705D7" w:rsidP="008D7485">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F16251">
              <w:rPr>
                <w:rFonts w:cstheme="minorHAnsi"/>
              </w:rPr>
              <w:t>68,1</w:t>
            </w:r>
          </w:p>
        </w:tc>
      </w:tr>
      <w:tr w:rsidR="00A705D7" w:rsidRPr="00F16251" w14:paraId="6875E7A7" w14:textId="450C2A83" w:rsidTr="008D7485">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67B0BF37" w14:textId="77777777" w:rsidR="00A705D7" w:rsidRPr="00F16251" w:rsidRDefault="00A705D7" w:rsidP="008D7485">
            <w:pPr>
              <w:spacing w:line="276" w:lineRule="auto"/>
              <w:rPr>
                <w:rFonts w:cstheme="minorHAnsi"/>
                <w:lang w:bidi="pl-PL"/>
              </w:rPr>
            </w:pPr>
            <w:r w:rsidRPr="00F16251">
              <w:rPr>
                <w:rFonts w:cstheme="minorHAnsi"/>
                <w:lang w:bidi="pl-PL"/>
              </w:rPr>
              <w:t>Stare Miasto</w:t>
            </w:r>
          </w:p>
        </w:tc>
        <w:tc>
          <w:tcPr>
            <w:tcW w:w="1650" w:type="dxa"/>
            <w:vAlign w:val="center"/>
          </w:tcPr>
          <w:p w14:paraId="02A47D4C" w14:textId="77777777" w:rsidR="00A705D7" w:rsidRPr="00F16251" w:rsidRDefault="00A705D7" w:rsidP="008D7485">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lang w:bidi="pl-PL"/>
              </w:rPr>
            </w:pPr>
            <w:r w:rsidRPr="00F16251">
              <w:rPr>
                <w:rFonts w:cstheme="minorHAnsi"/>
                <w:color w:val="000000"/>
                <w:kern w:val="0"/>
              </w:rPr>
              <w:t>wiejska</w:t>
            </w:r>
          </w:p>
        </w:tc>
        <w:tc>
          <w:tcPr>
            <w:tcW w:w="1052" w:type="dxa"/>
            <w:vAlign w:val="center"/>
          </w:tcPr>
          <w:p w14:paraId="7B6777B1" w14:textId="77777777" w:rsidR="00A705D7" w:rsidRPr="00F16251" w:rsidRDefault="00A705D7" w:rsidP="008D7485">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lang w:bidi="pl-PL"/>
              </w:rPr>
            </w:pPr>
            <w:r w:rsidRPr="00F16251">
              <w:rPr>
                <w:rFonts w:cstheme="minorHAnsi"/>
              </w:rPr>
              <w:t>3010112</w:t>
            </w:r>
          </w:p>
        </w:tc>
        <w:tc>
          <w:tcPr>
            <w:tcW w:w="1742" w:type="dxa"/>
            <w:vAlign w:val="center"/>
          </w:tcPr>
          <w:p w14:paraId="4B67AC27" w14:textId="77777777" w:rsidR="00A705D7" w:rsidRPr="00F16251" w:rsidRDefault="00A705D7" w:rsidP="008D7485">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lang w:bidi="pl-PL"/>
              </w:rPr>
            </w:pPr>
            <w:r w:rsidRPr="00F16251">
              <w:rPr>
                <w:rFonts w:cstheme="minorHAnsi"/>
                <w:lang w:bidi="pl-PL"/>
              </w:rPr>
              <w:t>12 639</w:t>
            </w:r>
          </w:p>
        </w:tc>
        <w:tc>
          <w:tcPr>
            <w:tcW w:w="1395" w:type="dxa"/>
            <w:vAlign w:val="center"/>
          </w:tcPr>
          <w:p w14:paraId="63441F78" w14:textId="77777777" w:rsidR="00A705D7" w:rsidRPr="00F16251" w:rsidRDefault="00A705D7" w:rsidP="008D7485">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lang w:bidi="pl-PL"/>
              </w:rPr>
            </w:pPr>
            <w:r w:rsidRPr="00F16251">
              <w:rPr>
                <w:rFonts w:cstheme="minorHAnsi"/>
              </w:rPr>
              <w:t>16</w:t>
            </w:r>
          </w:p>
        </w:tc>
        <w:tc>
          <w:tcPr>
            <w:tcW w:w="1476" w:type="dxa"/>
            <w:vAlign w:val="bottom"/>
          </w:tcPr>
          <w:p w14:paraId="47782D7D" w14:textId="77777777" w:rsidR="00A705D7" w:rsidRPr="00F16251" w:rsidRDefault="00A705D7" w:rsidP="008D7485">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F16251">
              <w:rPr>
                <w:rFonts w:cstheme="minorHAnsi"/>
              </w:rPr>
              <w:t>98</w:t>
            </w:r>
          </w:p>
        </w:tc>
        <w:tc>
          <w:tcPr>
            <w:tcW w:w="1476" w:type="dxa"/>
            <w:vAlign w:val="bottom"/>
          </w:tcPr>
          <w:p w14:paraId="7EC7C3A5" w14:textId="59B57D96" w:rsidR="00A705D7" w:rsidRPr="00F16251" w:rsidRDefault="00A705D7" w:rsidP="008D7485">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F16251">
              <w:rPr>
                <w:rFonts w:cstheme="minorHAnsi"/>
              </w:rPr>
              <w:t>129,3</w:t>
            </w:r>
          </w:p>
        </w:tc>
      </w:tr>
      <w:tr w:rsidR="00A705D7" w:rsidRPr="00F16251" w14:paraId="62C4C73D" w14:textId="50A98BE6" w:rsidTr="008D7485">
        <w:trPr>
          <w:trHeight w:val="77"/>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0E44EA4E" w14:textId="77777777" w:rsidR="00A705D7" w:rsidRPr="00F16251" w:rsidRDefault="00A705D7" w:rsidP="008D7485">
            <w:pPr>
              <w:spacing w:line="276" w:lineRule="auto"/>
              <w:rPr>
                <w:rFonts w:cstheme="minorHAnsi"/>
                <w:lang w:bidi="pl-PL"/>
              </w:rPr>
            </w:pPr>
            <w:r w:rsidRPr="00F16251">
              <w:rPr>
                <w:rFonts w:cstheme="minorHAnsi"/>
                <w:lang w:bidi="pl-PL"/>
              </w:rPr>
              <w:t>Tuliszków</w:t>
            </w:r>
          </w:p>
        </w:tc>
        <w:tc>
          <w:tcPr>
            <w:tcW w:w="1650" w:type="dxa"/>
            <w:vAlign w:val="center"/>
          </w:tcPr>
          <w:p w14:paraId="04DD76C0" w14:textId="77777777" w:rsidR="00A705D7" w:rsidRPr="00F16251" w:rsidRDefault="00A705D7" w:rsidP="008D7485">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lang w:bidi="pl-PL"/>
              </w:rPr>
            </w:pPr>
            <w:r w:rsidRPr="00F16251">
              <w:rPr>
                <w:rFonts w:cstheme="minorHAnsi"/>
                <w:color w:val="000000"/>
                <w:kern w:val="0"/>
              </w:rPr>
              <w:t>miejsko-wiejska</w:t>
            </w:r>
          </w:p>
        </w:tc>
        <w:tc>
          <w:tcPr>
            <w:tcW w:w="1052" w:type="dxa"/>
            <w:vAlign w:val="center"/>
          </w:tcPr>
          <w:p w14:paraId="3F215102" w14:textId="77777777" w:rsidR="00A705D7" w:rsidRPr="00F16251" w:rsidRDefault="00A705D7" w:rsidP="008D7485">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lang w:bidi="pl-PL"/>
              </w:rPr>
            </w:pPr>
            <w:r w:rsidRPr="00F16251">
              <w:rPr>
                <w:rFonts w:cstheme="minorHAnsi"/>
              </w:rPr>
              <w:t>3027073</w:t>
            </w:r>
          </w:p>
        </w:tc>
        <w:tc>
          <w:tcPr>
            <w:tcW w:w="1742" w:type="dxa"/>
            <w:vAlign w:val="center"/>
          </w:tcPr>
          <w:p w14:paraId="7C2D8879" w14:textId="77777777" w:rsidR="00A705D7" w:rsidRPr="00F16251" w:rsidRDefault="00A705D7" w:rsidP="008D7485">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lang w:bidi="pl-PL"/>
              </w:rPr>
            </w:pPr>
            <w:r w:rsidRPr="00F16251">
              <w:rPr>
                <w:rFonts w:cstheme="minorHAnsi"/>
                <w:lang w:bidi="pl-PL"/>
              </w:rPr>
              <w:t>10 285</w:t>
            </w:r>
          </w:p>
        </w:tc>
        <w:tc>
          <w:tcPr>
            <w:tcW w:w="1395" w:type="dxa"/>
            <w:vAlign w:val="center"/>
          </w:tcPr>
          <w:p w14:paraId="79D9867C" w14:textId="77777777" w:rsidR="00A705D7" w:rsidRPr="00F16251" w:rsidRDefault="00A705D7" w:rsidP="008D7485">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lang w:bidi="pl-PL"/>
              </w:rPr>
            </w:pPr>
            <w:r w:rsidRPr="00F16251">
              <w:rPr>
                <w:rFonts w:cstheme="minorHAnsi"/>
              </w:rPr>
              <w:t>15</w:t>
            </w:r>
          </w:p>
        </w:tc>
        <w:tc>
          <w:tcPr>
            <w:tcW w:w="1476" w:type="dxa"/>
            <w:vAlign w:val="bottom"/>
          </w:tcPr>
          <w:p w14:paraId="29093F0E" w14:textId="77777777" w:rsidR="00A705D7" w:rsidRPr="00F16251" w:rsidRDefault="00A705D7" w:rsidP="008D7485">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F16251">
              <w:rPr>
                <w:rFonts w:cstheme="minorHAnsi"/>
              </w:rPr>
              <w:t>150</w:t>
            </w:r>
          </w:p>
        </w:tc>
        <w:tc>
          <w:tcPr>
            <w:tcW w:w="1476" w:type="dxa"/>
            <w:vAlign w:val="bottom"/>
          </w:tcPr>
          <w:p w14:paraId="1368D33E" w14:textId="229FBFBB" w:rsidR="00A705D7" w:rsidRPr="00F16251" w:rsidRDefault="00A705D7" w:rsidP="008D7485">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F16251">
              <w:rPr>
                <w:rFonts w:cstheme="minorHAnsi"/>
              </w:rPr>
              <w:t>68,7</w:t>
            </w:r>
          </w:p>
        </w:tc>
      </w:tr>
      <w:tr w:rsidR="00A705D7" w:rsidRPr="00F16251" w14:paraId="640A745A" w14:textId="377CBF73" w:rsidTr="008D7485">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321C501E" w14:textId="77777777" w:rsidR="00A705D7" w:rsidRPr="00F16251" w:rsidRDefault="00A705D7" w:rsidP="008D7485">
            <w:pPr>
              <w:spacing w:line="276" w:lineRule="auto"/>
              <w:rPr>
                <w:rFonts w:cstheme="minorHAnsi"/>
                <w:b w:val="0"/>
                <w:bCs w:val="0"/>
                <w:lang w:bidi="pl-PL"/>
              </w:rPr>
            </w:pPr>
            <w:r w:rsidRPr="00F16251">
              <w:rPr>
                <w:rFonts w:cstheme="minorHAnsi"/>
                <w:lang w:bidi="pl-PL"/>
              </w:rPr>
              <w:t>RAZEM</w:t>
            </w:r>
          </w:p>
        </w:tc>
        <w:tc>
          <w:tcPr>
            <w:tcW w:w="1650" w:type="dxa"/>
            <w:vAlign w:val="center"/>
          </w:tcPr>
          <w:p w14:paraId="033A6A64" w14:textId="77777777" w:rsidR="00A705D7" w:rsidRPr="00F16251" w:rsidRDefault="00A705D7" w:rsidP="008D7485">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lang w:bidi="pl-PL"/>
              </w:rPr>
            </w:pPr>
          </w:p>
        </w:tc>
        <w:tc>
          <w:tcPr>
            <w:tcW w:w="1052" w:type="dxa"/>
            <w:vAlign w:val="center"/>
          </w:tcPr>
          <w:p w14:paraId="7310297C" w14:textId="77777777" w:rsidR="00A705D7" w:rsidRPr="00F16251" w:rsidRDefault="00A705D7" w:rsidP="008D7485">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lang w:bidi="pl-PL"/>
              </w:rPr>
            </w:pPr>
          </w:p>
        </w:tc>
        <w:tc>
          <w:tcPr>
            <w:tcW w:w="1742" w:type="dxa"/>
            <w:vAlign w:val="center"/>
          </w:tcPr>
          <w:p w14:paraId="4E146BDD" w14:textId="77777777" w:rsidR="00A705D7" w:rsidRPr="00F16251" w:rsidRDefault="00A705D7" w:rsidP="008D7485">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lang w:bidi="pl-PL"/>
              </w:rPr>
            </w:pPr>
            <w:r w:rsidRPr="00F16251">
              <w:rPr>
                <w:rFonts w:cstheme="minorHAnsi"/>
                <w:lang w:bidi="pl-PL"/>
              </w:rPr>
              <w:t>55 246</w:t>
            </w:r>
          </w:p>
        </w:tc>
        <w:tc>
          <w:tcPr>
            <w:tcW w:w="1395" w:type="dxa"/>
            <w:vAlign w:val="center"/>
          </w:tcPr>
          <w:p w14:paraId="007AEAC2" w14:textId="77777777" w:rsidR="00A705D7" w:rsidRPr="00F16251" w:rsidRDefault="00A705D7" w:rsidP="008D7485">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lang w:bidi="pl-PL"/>
              </w:rPr>
            </w:pPr>
            <w:r w:rsidRPr="00F16251">
              <w:rPr>
                <w:rFonts w:cstheme="minorHAnsi"/>
                <w:lang w:bidi="pl-PL"/>
              </w:rPr>
              <w:t>111</w:t>
            </w:r>
          </w:p>
        </w:tc>
        <w:tc>
          <w:tcPr>
            <w:tcW w:w="1476" w:type="dxa"/>
            <w:vAlign w:val="bottom"/>
          </w:tcPr>
          <w:p w14:paraId="068CD66B" w14:textId="77777777" w:rsidR="00A705D7" w:rsidRPr="00F16251" w:rsidRDefault="00A705D7" w:rsidP="008D7485">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lang w:bidi="pl-PL"/>
              </w:rPr>
            </w:pPr>
            <w:r w:rsidRPr="00F16251">
              <w:rPr>
                <w:rFonts w:cstheme="minorHAnsi"/>
              </w:rPr>
              <w:t>688</w:t>
            </w:r>
          </w:p>
        </w:tc>
        <w:tc>
          <w:tcPr>
            <w:tcW w:w="1476" w:type="dxa"/>
            <w:vAlign w:val="bottom"/>
          </w:tcPr>
          <w:p w14:paraId="47C97505" w14:textId="658B3369" w:rsidR="00A705D7" w:rsidRPr="00F16251" w:rsidRDefault="00A705D7" w:rsidP="008D7485">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F16251">
              <w:rPr>
                <w:rFonts w:cstheme="minorHAnsi"/>
              </w:rPr>
              <w:t>83,2</w:t>
            </w:r>
          </w:p>
        </w:tc>
      </w:tr>
    </w:tbl>
    <w:p w14:paraId="001E8FDA" w14:textId="77777777" w:rsidR="00A705D7" w:rsidRPr="00F16251" w:rsidRDefault="00A705D7" w:rsidP="00A705D7">
      <w:pPr>
        <w:spacing w:line="276" w:lineRule="auto"/>
        <w:jc w:val="both"/>
        <w:rPr>
          <w:rFonts w:eastAsia="Calibri" w:cstheme="minorHAnsi"/>
        </w:rPr>
      </w:pPr>
      <w:r w:rsidRPr="00F16251">
        <w:rPr>
          <w:rFonts w:eastAsia="Calibri" w:cstheme="minorHAnsi"/>
        </w:rPr>
        <w:t>Źródło: Opracowanie własne</w:t>
      </w:r>
    </w:p>
    <w:p w14:paraId="266DB11F" w14:textId="77777777" w:rsidR="008D7485" w:rsidRPr="00F16251" w:rsidRDefault="008D7485" w:rsidP="008D7485">
      <w:pPr>
        <w:spacing w:line="276" w:lineRule="auto"/>
        <w:ind w:firstLine="360"/>
        <w:jc w:val="both"/>
        <w:rPr>
          <w:rFonts w:ascii="Calibri" w:hAnsi="Calibri" w:cs="Calibri"/>
          <w:color w:val="000000"/>
          <w:kern w:val="0"/>
        </w:rPr>
      </w:pPr>
    </w:p>
    <w:p w14:paraId="1B398180" w14:textId="2F746553" w:rsidR="00A705D7" w:rsidRPr="00F16251" w:rsidRDefault="00A705D7" w:rsidP="00242220">
      <w:pPr>
        <w:spacing w:line="276" w:lineRule="auto"/>
        <w:ind w:firstLine="360"/>
        <w:jc w:val="both"/>
        <w:rPr>
          <w:rFonts w:eastAsiaTheme="minorEastAsia" w:cstheme="minorHAnsi"/>
          <w:color w:val="000000"/>
          <w:lang w:eastAsia="pl-PL"/>
        </w:rPr>
      </w:pPr>
      <w:r w:rsidRPr="00F16251">
        <w:rPr>
          <w:rFonts w:cstheme="minorHAnsi"/>
        </w:rPr>
        <w:t xml:space="preserve">Teren </w:t>
      </w:r>
      <w:r w:rsidR="008D7485" w:rsidRPr="00F16251">
        <w:rPr>
          <w:rFonts w:ascii="Calibri" w:hAnsi="Calibri" w:cs="Calibri"/>
          <w:color w:val="000000"/>
          <w:kern w:val="0"/>
        </w:rPr>
        <w:t>Stowarzyszenia „Solidarni w Partnerstwie”</w:t>
      </w:r>
      <w:r w:rsidR="00242220" w:rsidRPr="00F16251">
        <w:rPr>
          <w:rFonts w:ascii="Calibri" w:hAnsi="Calibri" w:cs="Calibri"/>
          <w:color w:val="000000"/>
          <w:kern w:val="0"/>
        </w:rPr>
        <w:t xml:space="preserve"> </w:t>
      </w:r>
      <w:r w:rsidRPr="00F16251">
        <w:rPr>
          <w:rFonts w:cstheme="minorHAnsi"/>
        </w:rPr>
        <w:t xml:space="preserve">w roku 2021 zamieszkiwało w sumie </w:t>
      </w:r>
      <w:r w:rsidR="008D7485" w:rsidRPr="00F16251">
        <w:rPr>
          <w:rFonts w:cstheme="minorHAnsi"/>
          <w:lang w:bidi="pl-PL"/>
        </w:rPr>
        <w:t xml:space="preserve">55 369 </w:t>
      </w:r>
      <w:r w:rsidRPr="00F16251">
        <w:rPr>
          <w:rFonts w:cstheme="minorHAnsi"/>
        </w:rPr>
        <w:t xml:space="preserve">osób, o </w:t>
      </w:r>
      <w:r w:rsidR="008D7485" w:rsidRPr="00F16251">
        <w:rPr>
          <w:rFonts w:cstheme="minorHAnsi"/>
        </w:rPr>
        <w:t xml:space="preserve">142 </w:t>
      </w:r>
      <w:r w:rsidR="00242220" w:rsidRPr="00F16251">
        <w:rPr>
          <w:rFonts w:cstheme="minorHAnsi"/>
        </w:rPr>
        <w:t>os</w:t>
      </w:r>
      <w:r w:rsidR="00627390" w:rsidRPr="00F16251">
        <w:rPr>
          <w:rFonts w:cstheme="minorHAnsi"/>
        </w:rPr>
        <w:t xml:space="preserve">oby </w:t>
      </w:r>
      <w:r w:rsidRPr="00F16251">
        <w:rPr>
          <w:rFonts w:cstheme="minorHAnsi"/>
        </w:rPr>
        <w:t xml:space="preserve">mniej, niż w roku 2015. </w:t>
      </w:r>
      <w:r w:rsidRPr="00F16251">
        <w:rPr>
          <w:rFonts w:eastAsiaTheme="minorEastAsia" w:cstheme="minorHAnsi"/>
          <w:color w:val="000000"/>
          <w:lang w:eastAsia="pl-PL"/>
        </w:rPr>
        <w:t xml:space="preserve">Porównując oba te lata 2021 można stwierdzić, że </w:t>
      </w:r>
      <w:r w:rsidR="00B93210" w:rsidRPr="00F16251">
        <w:rPr>
          <w:rFonts w:eastAsiaTheme="minorEastAsia" w:cstheme="minorHAnsi"/>
          <w:color w:val="000000"/>
          <w:lang w:eastAsia="pl-PL"/>
        </w:rPr>
        <w:t xml:space="preserve">pomimo dodatniego salda liczby mieszkańców </w:t>
      </w:r>
      <w:r w:rsidRPr="00F16251">
        <w:rPr>
          <w:rFonts w:eastAsiaTheme="minorEastAsia" w:cstheme="minorHAnsi"/>
          <w:color w:val="000000"/>
          <w:lang w:eastAsia="pl-PL"/>
        </w:rPr>
        <w:t xml:space="preserve">depopulacja </w:t>
      </w:r>
      <w:r w:rsidR="008D7485" w:rsidRPr="00F16251">
        <w:rPr>
          <w:rFonts w:eastAsiaTheme="minorEastAsia" w:cstheme="minorHAnsi"/>
          <w:color w:val="000000"/>
          <w:lang w:eastAsia="pl-PL"/>
        </w:rPr>
        <w:t>do</w:t>
      </w:r>
      <w:r w:rsidR="00830F08" w:rsidRPr="00F16251">
        <w:rPr>
          <w:rFonts w:eastAsiaTheme="minorEastAsia" w:cstheme="minorHAnsi"/>
          <w:color w:val="000000"/>
          <w:lang w:eastAsia="pl-PL"/>
        </w:rPr>
        <w:t>tknęła gminy</w:t>
      </w:r>
      <w:r w:rsidR="00711493" w:rsidRPr="00F16251">
        <w:rPr>
          <w:rFonts w:eastAsiaTheme="minorEastAsia" w:cstheme="minorHAnsi"/>
          <w:color w:val="000000"/>
          <w:lang w:eastAsia="pl-PL"/>
        </w:rPr>
        <w:t>: Grodziec, Rychwał, Rzgów i Tuliszków</w:t>
      </w:r>
      <w:r w:rsidRPr="00F16251">
        <w:rPr>
          <w:rFonts w:eastAsiaTheme="minorEastAsia" w:cstheme="minorHAnsi"/>
          <w:color w:val="000000"/>
          <w:lang w:eastAsia="pl-PL"/>
        </w:rPr>
        <w:t>.</w:t>
      </w:r>
      <w:r w:rsidR="00396A11">
        <w:rPr>
          <w:rFonts w:eastAsiaTheme="minorEastAsia" w:cstheme="minorHAnsi"/>
          <w:color w:val="000000"/>
          <w:lang w:eastAsia="pl-PL"/>
        </w:rPr>
        <w:t xml:space="preserve"> </w:t>
      </w:r>
      <w:r w:rsidR="00F54816" w:rsidRPr="00F16251">
        <w:rPr>
          <w:rFonts w:eastAsiaTheme="minorEastAsia" w:cstheme="minorHAnsi"/>
          <w:color w:val="000000"/>
          <w:lang w:eastAsia="pl-PL"/>
        </w:rPr>
        <w:t>W p</w:t>
      </w:r>
      <w:r w:rsidR="008D7485" w:rsidRPr="00F16251">
        <w:rPr>
          <w:rFonts w:eastAsiaTheme="minorEastAsia" w:cstheme="minorHAnsi"/>
          <w:color w:val="000000"/>
          <w:lang w:eastAsia="pl-PL"/>
        </w:rPr>
        <w:t xml:space="preserve">ozostałych </w:t>
      </w:r>
      <w:r w:rsidR="00F54816" w:rsidRPr="00F16251">
        <w:rPr>
          <w:rFonts w:eastAsiaTheme="minorEastAsia" w:cstheme="minorHAnsi"/>
          <w:color w:val="000000"/>
          <w:lang w:eastAsia="pl-PL"/>
        </w:rPr>
        <w:t xml:space="preserve">dwóch gminach </w:t>
      </w:r>
      <w:r w:rsidR="008D7485" w:rsidRPr="00F16251">
        <w:rPr>
          <w:rFonts w:eastAsiaTheme="minorEastAsia" w:cstheme="minorHAnsi"/>
          <w:color w:val="000000"/>
          <w:lang w:eastAsia="pl-PL"/>
        </w:rPr>
        <w:t>mamy do czynienia ze wzrostem liczby ludności</w:t>
      </w:r>
      <w:r w:rsidR="00F54816" w:rsidRPr="00F16251">
        <w:rPr>
          <w:rFonts w:eastAsiaTheme="minorEastAsia" w:cstheme="minorHAnsi"/>
          <w:color w:val="000000"/>
          <w:lang w:eastAsia="pl-PL"/>
        </w:rPr>
        <w:t xml:space="preserve"> Golina (2,5%),</w:t>
      </w:r>
      <w:r w:rsidR="004719DC" w:rsidRPr="00F16251">
        <w:rPr>
          <w:rFonts w:eastAsiaTheme="minorEastAsia" w:cstheme="minorHAnsi"/>
          <w:color w:val="000000"/>
          <w:lang w:eastAsia="pl-PL"/>
        </w:rPr>
        <w:t xml:space="preserve"> Stare Miasto (7,6%).</w:t>
      </w:r>
    </w:p>
    <w:p w14:paraId="316951BC" w14:textId="77777777" w:rsidR="00E74559" w:rsidRPr="00F16251" w:rsidRDefault="00E74559" w:rsidP="00A705D7">
      <w:pPr>
        <w:spacing w:line="276" w:lineRule="auto"/>
        <w:jc w:val="both"/>
        <w:rPr>
          <w:rFonts w:cstheme="minorHAnsi"/>
          <w:color w:val="000000"/>
          <w:kern w:val="0"/>
        </w:rPr>
      </w:pPr>
    </w:p>
    <w:p w14:paraId="544972A4" w14:textId="714B6DCC" w:rsidR="00C7528D" w:rsidRPr="00F16251" w:rsidRDefault="00C7528D" w:rsidP="00C7528D">
      <w:pPr>
        <w:spacing w:line="276" w:lineRule="auto"/>
        <w:rPr>
          <w:rFonts w:cstheme="minorHAnsi"/>
        </w:rPr>
      </w:pPr>
      <w:bookmarkStart w:id="24" w:name="_Hlk125832705"/>
      <w:r w:rsidRPr="00F16251">
        <w:rPr>
          <w:rFonts w:cstheme="minorHAnsi"/>
        </w:rPr>
        <w:t xml:space="preserve">Tabela nr </w:t>
      </w:r>
      <w:r w:rsidR="00396A11">
        <w:rPr>
          <w:rFonts w:cstheme="minorHAnsi"/>
        </w:rPr>
        <w:t>2</w:t>
      </w:r>
      <w:r w:rsidRPr="00F16251">
        <w:rPr>
          <w:rFonts w:cstheme="minorHAnsi"/>
        </w:rPr>
        <w:t xml:space="preserve"> Liczba ludności na obszarze LSR</w:t>
      </w:r>
    </w:p>
    <w:bookmarkEnd w:id="24"/>
    <w:tbl>
      <w:tblPr>
        <w:tblStyle w:val="Tabelasiatki4akcent31"/>
        <w:tblW w:w="9634" w:type="dxa"/>
        <w:tblLayout w:type="fixed"/>
        <w:tblLook w:val="04A0" w:firstRow="1" w:lastRow="0" w:firstColumn="1" w:lastColumn="0" w:noHBand="0" w:noVBand="1"/>
      </w:tblPr>
      <w:tblGrid>
        <w:gridCol w:w="2263"/>
        <w:gridCol w:w="1053"/>
        <w:gridCol w:w="1053"/>
        <w:gridCol w:w="1053"/>
        <w:gridCol w:w="1053"/>
        <w:gridCol w:w="1053"/>
        <w:gridCol w:w="1053"/>
        <w:gridCol w:w="1053"/>
      </w:tblGrid>
      <w:tr w:rsidR="00C7528D" w:rsidRPr="00F16251" w14:paraId="6DEDF2F5" w14:textId="77777777" w:rsidTr="00C7528D">
        <w:trPr>
          <w:cnfStyle w:val="100000000000" w:firstRow="1" w:lastRow="0" w:firstColumn="0" w:lastColumn="0" w:oddVBand="0" w:evenVBand="0" w:oddHBand="0"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2263" w:type="dxa"/>
          </w:tcPr>
          <w:p w14:paraId="20BFCF07" w14:textId="77777777" w:rsidR="00C7528D" w:rsidRPr="00F16251" w:rsidRDefault="00C7528D" w:rsidP="00C7528D">
            <w:pPr>
              <w:spacing w:line="276" w:lineRule="auto"/>
              <w:rPr>
                <w:rFonts w:cstheme="minorHAnsi"/>
                <w:color w:val="auto"/>
                <w:lang w:bidi="pl-PL"/>
              </w:rPr>
            </w:pPr>
          </w:p>
        </w:tc>
        <w:tc>
          <w:tcPr>
            <w:tcW w:w="1053" w:type="dxa"/>
          </w:tcPr>
          <w:p w14:paraId="7A05F20D" w14:textId="77777777" w:rsidR="00C7528D" w:rsidRPr="00F16251" w:rsidRDefault="00C7528D" w:rsidP="00C7528D">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lang w:bidi="pl-PL"/>
              </w:rPr>
            </w:pPr>
            <w:r w:rsidRPr="00F16251">
              <w:rPr>
                <w:rFonts w:cstheme="minorHAnsi"/>
                <w:color w:val="auto"/>
                <w:lang w:bidi="pl-PL"/>
              </w:rPr>
              <w:t>2015</w:t>
            </w:r>
          </w:p>
        </w:tc>
        <w:tc>
          <w:tcPr>
            <w:tcW w:w="1053" w:type="dxa"/>
          </w:tcPr>
          <w:p w14:paraId="5123E099" w14:textId="77777777" w:rsidR="00C7528D" w:rsidRPr="00F16251" w:rsidRDefault="00C7528D" w:rsidP="00C7528D">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lang w:bidi="pl-PL"/>
              </w:rPr>
            </w:pPr>
            <w:r w:rsidRPr="00F16251">
              <w:rPr>
                <w:rFonts w:cstheme="minorHAnsi"/>
                <w:color w:val="auto"/>
                <w:lang w:bidi="pl-PL"/>
              </w:rPr>
              <w:t>2016</w:t>
            </w:r>
          </w:p>
        </w:tc>
        <w:tc>
          <w:tcPr>
            <w:tcW w:w="1053" w:type="dxa"/>
          </w:tcPr>
          <w:p w14:paraId="686C1B6E" w14:textId="77777777" w:rsidR="00C7528D" w:rsidRPr="00F16251" w:rsidRDefault="00C7528D" w:rsidP="00C7528D">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lang w:bidi="pl-PL"/>
              </w:rPr>
            </w:pPr>
            <w:r w:rsidRPr="00F16251">
              <w:rPr>
                <w:rFonts w:cstheme="minorHAnsi"/>
                <w:color w:val="auto"/>
                <w:lang w:bidi="pl-PL"/>
              </w:rPr>
              <w:t>2017</w:t>
            </w:r>
          </w:p>
        </w:tc>
        <w:tc>
          <w:tcPr>
            <w:tcW w:w="1053" w:type="dxa"/>
          </w:tcPr>
          <w:p w14:paraId="1665409A" w14:textId="77777777" w:rsidR="00C7528D" w:rsidRPr="00F16251" w:rsidRDefault="00C7528D" w:rsidP="00C7528D">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lang w:bidi="pl-PL"/>
              </w:rPr>
            </w:pPr>
            <w:r w:rsidRPr="00F16251">
              <w:rPr>
                <w:rFonts w:cstheme="minorHAnsi"/>
                <w:color w:val="auto"/>
                <w:lang w:bidi="pl-PL"/>
              </w:rPr>
              <w:t>2018</w:t>
            </w:r>
          </w:p>
        </w:tc>
        <w:tc>
          <w:tcPr>
            <w:tcW w:w="1053" w:type="dxa"/>
          </w:tcPr>
          <w:p w14:paraId="456C0E2A" w14:textId="77777777" w:rsidR="00C7528D" w:rsidRPr="00F16251" w:rsidRDefault="00C7528D" w:rsidP="00C7528D">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lang w:bidi="pl-PL"/>
              </w:rPr>
            </w:pPr>
            <w:r w:rsidRPr="00F16251">
              <w:rPr>
                <w:rFonts w:cstheme="minorHAnsi"/>
                <w:color w:val="auto"/>
                <w:lang w:bidi="pl-PL"/>
              </w:rPr>
              <w:t>2019</w:t>
            </w:r>
          </w:p>
        </w:tc>
        <w:tc>
          <w:tcPr>
            <w:tcW w:w="1053" w:type="dxa"/>
          </w:tcPr>
          <w:p w14:paraId="5D684044" w14:textId="77777777" w:rsidR="00C7528D" w:rsidRPr="00F16251" w:rsidRDefault="00C7528D" w:rsidP="00C7528D">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lang w:bidi="pl-PL"/>
              </w:rPr>
            </w:pPr>
            <w:r w:rsidRPr="00F16251">
              <w:rPr>
                <w:rFonts w:cstheme="minorHAnsi"/>
                <w:color w:val="auto"/>
                <w:lang w:bidi="pl-PL"/>
              </w:rPr>
              <w:t>2020</w:t>
            </w:r>
          </w:p>
        </w:tc>
        <w:tc>
          <w:tcPr>
            <w:tcW w:w="1053" w:type="dxa"/>
          </w:tcPr>
          <w:p w14:paraId="037656D6" w14:textId="77777777" w:rsidR="00C7528D" w:rsidRPr="00F16251" w:rsidRDefault="00C7528D" w:rsidP="00C7528D">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lang w:bidi="pl-PL"/>
              </w:rPr>
            </w:pPr>
            <w:r w:rsidRPr="00F16251">
              <w:rPr>
                <w:rFonts w:cstheme="minorHAnsi"/>
                <w:color w:val="auto"/>
                <w:lang w:bidi="pl-PL"/>
              </w:rPr>
              <w:t>2021</w:t>
            </w:r>
          </w:p>
        </w:tc>
      </w:tr>
      <w:tr w:rsidR="00C7528D" w:rsidRPr="00F16251" w14:paraId="2C876871" w14:textId="77777777" w:rsidTr="00C7528D">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263" w:type="dxa"/>
          </w:tcPr>
          <w:p w14:paraId="5C8E8914" w14:textId="35C274CF" w:rsidR="00C7528D" w:rsidRPr="00F16251" w:rsidRDefault="00C7528D" w:rsidP="00C7528D">
            <w:pPr>
              <w:spacing w:line="276" w:lineRule="auto"/>
              <w:rPr>
                <w:rFonts w:cstheme="minorHAnsi"/>
                <w:lang w:bidi="pl-PL"/>
              </w:rPr>
            </w:pPr>
            <w:r w:rsidRPr="00F16251">
              <w:rPr>
                <w:rFonts w:cstheme="minorHAnsi"/>
                <w:lang w:bidi="pl-PL"/>
              </w:rPr>
              <w:t>Golina</w:t>
            </w:r>
          </w:p>
        </w:tc>
        <w:tc>
          <w:tcPr>
            <w:tcW w:w="1053" w:type="dxa"/>
          </w:tcPr>
          <w:p w14:paraId="35E0523C" w14:textId="0ACF4A32" w:rsidR="00C7528D" w:rsidRPr="00F16251" w:rsidRDefault="00C7528D" w:rsidP="00D02820">
            <w:pPr>
              <w:spacing w:line="276" w:lineRule="auto"/>
              <w:jc w:val="right"/>
              <w:cnfStyle w:val="000000100000" w:firstRow="0" w:lastRow="0" w:firstColumn="0" w:lastColumn="0" w:oddVBand="0" w:evenVBand="0" w:oddHBand="1" w:evenHBand="0" w:firstRowFirstColumn="0" w:firstRowLastColumn="0" w:lastRowFirstColumn="0" w:lastRowLastColumn="0"/>
              <w:rPr>
                <w:rFonts w:cstheme="minorHAnsi"/>
                <w:lang w:bidi="pl-PL"/>
              </w:rPr>
            </w:pPr>
            <w:r w:rsidRPr="00F16251">
              <w:rPr>
                <w:rFonts w:cstheme="minorHAnsi"/>
                <w:lang w:bidi="pl-PL"/>
              </w:rPr>
              <w:t>11 880</w:t>
            </w:r>
          </w:p>
        </w:tc>
        <w:tc>
          <w:tcPr>
            <w:tcW w:w="1053" w:type="dxa"/>
          </w:tcPr>
          <w:p w14:paraId="79BFA95A" w14:textId="2B6F5FE9" w:rsidR="00C7528D" w:rsidRPr="00F16251" w:rsidRDefault="00C7528D" w:rsidP="00D02820">
            <w:pPr>
              <w:spacing w:line="276" w:lineRule="auto"/>
              <w:jc w:val="right"/>
              <w:cnfStyle w:val="000000100000" w:firstRow="0" w:lastRow="0" w:firstColumn="0" w:lastColumn="0" w:oddVBand="0" w:evenVBand="0" w:oddHBand="1" w:evenHBand="0" w:firstRowFirstColumn="0" w:firstRowLastColumn="0" w:lastRowFirstColumn="0" w:lastRowLastColumn="0"/>
              <w:rPr>
                <w:rFonts w:cstheme="minorHAnsi"/>
                <w:lang w:bidi="pl-PL"/>
              </w:rPr>
            </w:pPr>
            <w:r w:rsidRPr="00F16251">
              <w:rPr>
                <w:rFonts w:cstheme="minorHAnsi"/>
                <w:lang w:bidi="pl-PL"/>
              </w:rPr>
              <w:t>11 928</w:t>
            </w:r>
          </w:p>
        </w:tc>
        <w:tc>
          <w:tcPr>
            <w:tcW w:w="1053" w:type="dxa"/>
          </w:tcPr>
          <w:p w14:paraId="48D0CE91" w14:textId="43381EFC" w:rsidR="00C7528D" w:rsidRPr="00F16251" w:rsidRDefault="00C7528D" w:rsidP="00D02820">
            <w:pPr>
              <w:spacing w:line="276" w:lineRule="auto"/>
              <w:jc w:val="right"/>
              <w:cnfStyle w:val="000000100000" w:firstRow="0" w:lastRow="0" w:firstColumn="0" w:lastColumn="0" w:oddVBand="0" w:evenVBand="0" w:oddHBand="1" w:evenHBand="0" w:firstRowFirstColumn="0" w:firstRowLastColumn="0" w:lastRowFirstColumn="0" w:lastRowLastColumn="0"/>
              <w:rPr>
                <w:rFonts w:cstheme="minorHAnsi"/>
                <w:lang w:bidi="pl-PL"/>
              </w:rPr>
            </w:pPr>
            <w:r w:rsidRPr="00F16251">
              <w:rPr>
                <w:rFonts w:cstheme="minorHAnsi"/>
                <w:lang w:bidi="pl-PL"/>
              </w:rPr>
              <w:t>12 033</w:t>
            </w:r>
          </w:p>
        </w:tc>
        <w:tc>
          <w:tcPr>
            <w:tcW w:w="1053" w:type="dxa"/>
          </w:tcPr>
          <w:p w14:paraId="0D9167AC" w14:textId="14A0DA0F" w:rsidR="00C7528D" w:rsidRPr="00F16251" w:rsidRDefault="00C7528D" w:rsidP="00D02820">
            <w:pPr>
              <w:spacing w:line="276" w:lineRule="auto"/>
              <w:jc w:val="right"/>
              <w:cnfStyle w:val="000000100000" w:firstRow="0" w:lastRow="0" w:firstColumn="0" w:lastColumn="0" w:oddVBand="0" w:evenVBand="0" w:oddHBand="1" w:evenHBand="0" w:firstRowFirstColumn="0" w:firstRowLastColumn="0" w:lastRowFirstColumn="0" w:lastRowLastColumn="0"/>
              <w:rPr>
                <w:rFonts w:cstheme="minorHAnsi"/>
                <w:lang w:bidi="pl-PL"/>
              </w:rPr>
            </w:pPr>
            <w:r w:rsidRPr="00F16251">
              <w:rPr>
                <w:rFonts w:cstheme="minorHAnsi"/>
                <w:lang w:bidi="pl-PL"/>
              </w:rPr>
              <w:t>12 083</w:t>
            </w:r>
          </w:p>
        </w:tc>
        <w:tc>
          <w:tcPr>
            <w:tcW w:w="1053" w:type="dxa"/>
          </w:tcPr>
          <w:p w14:paraId="1E42E08B" w14:textId="3F68B98C" w:rsidR="00C7528D" w:rsidRPr="00F16251" w:rsidRDefault="00C7528D" w:rsidP="00D02820">
            <w:pPr>
              <w:spacing w:line="276" w:lineRule="auto"/>
              <w:jc w:val="right"/>
              <w:cnfStyle w:val="000000100000" w:firstRow="0" w:lastRow="0" w:firstColumn="0" w:lastColumn="0" w:oddVBand="0" w:evenVBand="0" w:oddHBand="1" w:evenHBand="0" w:firstRowFirstColumn="0" w:firstRowLastColumn="0" w:lastRowFirstColumn="0" w:lastRowLastColumn="0"/>
              <w:rPr>
                <w:rFonts w:cstheme="minorHAnsi"/>
                <w:lang w:bidi="pl-PL"/>
              </w:rPr>
            </w:pPr>
            <w:r w:rsidRPr="00F16251">
              <w:rPr>
                <w:rFonts w:cstheme="minorHAnsi"/>
                <w:lang w:bidi="pl-PL"/>
              </w:rPr>
              <w:t>12 079</w:t>
            </w:r>
          </w:p>
        </w:tc>
        <w:tc>
          <w:tcPr>
            <w:tcW w:w="1053" w:type="dxa"/>
          </w:tcPr>
          <w:p w14:paraId="06ACEAAC" w14:textId="1D41E37E" w:rsidR="00C7528D" w:rsidRPr="00F16251" w:rsidRDefault="00C7528D" w:rsidP="00D02820">
            <w:pPr>
              <w:spacing w:line="276" w:lineRule="auto"/>
              <w:jc w:val="right"/>
              <w:cnfStyle w:val="000000100000" w:firstRow="0" w:lastRow="0" w:firstColumn="0" w:lastColumn="0" w:oddVBand="0" w:evenVBand="0" w:oddHBand="1" w:evenHBand="0" w:firstRowFirstColumn="0" w:firstRowLastColumn="0" w:lastRowFirstColumn="0" w:lastRowLastColumn="0"/>
              <w:rPr>
                <w:rFonts w:cstheme="minorHAnsi"/>
                <w:lang w:bidi="pl-PL"/>
              </w:rPr>
            </w:pPr>
            <w:r w:rsidRPr="00F16251">
              <w:rPr>
                <w:rFonts w:cstheme="minorHAnsi"/>
                <w:lang w:bidi="pl-PL"/>
              </w:rPr>
              <w:t>12 066</w:t>
            </w:r>
          </w:p>
        </w:tc>
        <w:tc>
          <w:tcPr>
            <w:tcW w:w="1053" w:type="dxa"/>
          </w:tcPr>
          <w:p w14:paraId="32B38879" w14:textId="24C84DD5" w:rsidR="00C7528D" w:rsidRPr="00F16251" w:rsidRDefault="00C7528D" w:rsidP="00D02820">
            <w:pPr>
              <w:spacing w:line="276" w:lineRule="auto"/>
              <w:jc w:val="right"/>
              <w:cnfStyle w:val="000000100000" w:firstRow="0" w:lastRow="0" w:firstColumn="0" w:lastColumn="0" w:oddVBand="0" w:evenVBand="0" w:oddHBand="1" w:evenHBand="0" w:firstRowFirstColumn="0" w:firstRowLastColumn="0" w:lastRowFirstColumn="0" w:lastRowLastColumn="0"/>
              <w:rPr>
                <w:rFonts w:cstheme="minorHAnsi"/>
                <w:lang w:bidi="pl-PL"/>
              </w:rPr>
            </w:pPr>
            <w:r w:rsidRPr="00F16251">
              <w:rPr>
                <w:rFonts w:cstheme="minorHAnsi"/>
                <w:lang w:bidi="pl-PL"/>
              </w:rPr>
              <w:t>12 184</w:t>
            </w:r>
          </w:p>
        </w:tc>
      </w:tr>
      <w:tr w:rsidR="00C7528D" w:rsidRPr="00F16251" w14:paraId="2EB8D582" w14:textId="77777777" w:rsidTr="00C7528D">
        <w:trPr>
          <w:trHeight w:val="416"/>
        </w:trPr>
        <w:tc>
          <w:tcPr>
            <w:cnfStyle w:val="001000000000" w:firstRow="0" w:lastRow="0" w:firstColumn="1" w:lastColumn="0" w:oddVBand="0" w:evenVBand="0" w:oddHBand="0" w:evenHBand="0" w:firstRowFirstColumn="0" w:firstRowLastColumn="0" w:lastRowFirstColumn="0" w:lastRowLastColumn="0"/>
            <w:tcW w:w="2263" w:type="dxa"/>
          </w:tcPr>
          <w:p w14:paraId="61BE92C3" w14:textId="0CC63082" w:rsidR="00C7528D" w:rsidRPr="00F16251" w:rsidRDefault="00C7528D" w:rsidP="00C7528D">
            <w:pPr>
              <w:spacing w:line="276" w:lineRule="auto"/>
              <w:rPr>
                <w:rFonts w:cstheme="minorHAnsi"/>
                <w:lang w:bidi="pl-PL"/>
              </w:rPr>
            </w:pPr>
            <w:r w:rsidRPr="00F16251">
              <w:rPr>
                <w:rFonts w:cstheme="minorHAnsi"/>
                <w:lang w:bidi="pl-PL"/>
              </w:rPr>
              <w:t>Grodziec</w:t>
            </w:r>
          </w:p>
        </w:tc>
        <w:tc>
          <w:tcPr>
            <w:tcW w:w="1053" w:type="dxa"/>
          </w:tcPr>
          <w:p w14:paraId="0E780520" w14:textId="5041EF3A" w:rsidR="00C7528D" w:rsidRPr="00F16251" w:rsidRDefault="00C7528D" w:rsidP="00D02820">
            <w:pPr>
              <w:spacing w:line="276" w:lineRule="auto"/>
              <w:jc w:val="right"/>
              <w:cnfStyle w:val="000000000000" w:firstRow="0" w:lastRow="0" w:firstColumn="0" w:lastColumn="0" w:oddVBand="0" w:evenVBand="0" w:oddHBand="0" w:evenHBand="0" w:firstRowFirstColumn="0" w:firstRowLastColumn="0" w:lastRowFirstColumn="0" w:lastRowLastColumn="0"/>
              <w:rPr>
                <w:rFonts w:cstheme="minorHAnsi"/>
                <w:lang w:bidi="pl-PL"/>
              </w:rPr>
            </w:pPr>
            <w:r w:rsidRPr="00F16251">
              <w:rPr>
                <w:rFonts w:cstheme="minorHAnsi"/>
                <w:lang w:bidi="pl-PL"/>
              </w:rPr>
              <w:t>5 246</w:t>
            </w:r>
          </w:p>
        </w:tc>
        <w:tc>
          <w:tcPr>
            <w:tcW w:w="1053" w:type="dxa"/>
          </w:tcPr>
          <w:p w14:paraId="2D695D11" w14:textId="29BEA266" w:rsidR="00C7528D" w:rsidRPr="00F16251" w:rsidRDefault="00C7528D" w:rsidP="00D02820">
            <w:pPr>
              <w:spacing w:line="276" w:lineRule="auto"/>
              <w:jc w:val="right"/>
              <w:cnfStyle w:val="000000000000" w:firstRow="0" w:lastRow="0" w:firstColumn="0" w:lastColumn="0" w:oddVBand="0" w:evenVBand="0" w:oddHBand="0" w:evenHBand="0" w:firstRowFirstColumn="0" w:firstRowLastColumn="0" w:lastRowFirstColumn="0" w:lastRowLastColumn="0"/>
              <w:rPr>
                <w:rFonts w:cstheme="minorHAnsi"/>
                <w:lang w:bidi="pl-PL"/>
              </w:rPr>
            </w:pPr>
            <w:r w:rsidRPr="00F16251">
              <w:rPr>
                <w:rFonts w:cstheme="minorHAnsi"/>
                <w:lang w:bidi="pl-PL"/>
              </w:rPr>
              <w:t>5 256</w:t>
            </w:r>
          </w:p>
        </w:tc>
        <w:tc>
          <w:tcPr>
            <w:tcW w:w="1053" w:type="dxa"/>
          </w:tcPr>
          <w:p w14:paraId="3E2410BF" w14:textId="03A3AFE7" w:rsidR="00C7528D" w:rsidRPr="00F16251" w:rsidRDefault="00C7528D" w:rsidP="00D02820">
            <w:pPr>
              <w:spacing w:line="276" w:lineRule="auto"/>
              <w:jc w:val="right"/>
              <w:cnfStyle w:val="000000000000" w:firstRow="0" w:lastRow="0" w:firstColumn="0" w:lastColumn="0" w:oddVBand="0" w:evenVBand="0" w:oddHBand="0" w:evenHBand="0" w:firstRowFirstColumn="0" w:firstRowLastColumn="0" w:lastRowFirstColumn="0" w:lastRowLastColumn="0"/>
              <w:rPr>
                <w:rFonts w:cstheme="minorHAnsi"/>
                <w:lang w:bidi="pl-PL"/>
              </w:rPr>
            </w:pPr>
            <w:r w:rsidRPr="00F16251">
              <w:rPr>
                <w:rFonts w:cstheme="minorHAnsi"/>
                <w:lang w:bidi="pl-PL"/>
              </w:rPr>
              <w:t>5 220</w:t>
            </w:r>
          </w:p>
        </w:tc>
        <w:tc>
          <w:tcPr>
            <w:tcW w:w="1053" w:type="dxa"/>
          </w:tcPr>
          <w:p w14:paraId="08A33260" w14:textId="45299273" w:rsidR="00C7528D" w:rsidRPr="00F16251" w:rsidRDefault="00C7528D" w:rsidP="00D02820">
            <w:pPr>
              <w:spacing w:line="276" w:lineRule="auto"/>
              <w:jc w:val="right"/>
              <w:cnfStyle w:val="000000000000" w:firstRow="0" w:lastRow="0" w:firstColumn="0" w:lastColumn="0" w:oddVBand="0" w:evenVBand="0" w:oddHBand="0" w:evenHBand="0" w:firstRowFirstColumn="0" w:firstRowLastColumn="0" w:lastRowFirstColumn="0" w:lastRowLastColumn="0"/>
              <w:rPr>
                <w:rFonts w:cstheme="minorHAnsi"/>
                <w:lang w:bidi="pl-PL"/>
              </w:rPr>
            </w:pPr>
            <w:r w:rsidRPr="00F16251">
              <w:rPr>
                <w:rFonts w:cstheme="minorHAnsi"/>
                <w:lang w:bidi="pl-PL"/>
              </w:rPr>
              <w:t>5 206</w:t>
            </w:r>
          </w:p>
        </w:tc>
        <w:tc>
          <w:tcPr>
            <w:tcW w:w="1053" w:type="dxa"/>
          </w:tcPr>
          <w:p w14:paraId="77D04F2F" w14:textId="5ABA29C1" w:rsidR="00C7528D" w:rsidRPr="00F16251" w:rsidRDefault="00C7528D" w:rsidP="00D02820">
            <w:pPr>
              <w:spacing w:line="276" w:lineRule="auto"/>
              <w:jc w:val="right"/>
              <w:cnfStyle w:val="000000000000" w:firstRow="0" w:lastRow="0" w:firstColumn="0" w:lastColumn="0" w:oddVBand="0" w:evenVBand="0" w:oddHBand="0" w:evenHBand="0" w:firstRowFirstColumn="0" w:firstRowLastColumn="0" w:lastRowFirstColumn="0" w:lastRowLastColumn="0"/>
              <w:rPr>
                <w:rFonts w:cstheme="minorHAnsi"/>
                <w:lang w:bidi="pl-PL"/>
              </w:rPr>
            </w:pPr>
            <w:r w:rsidRPr="00F16251">
              <w:rPr>
                <w:rFonts w:cstheme="minorHAnsi"/>
                <w:lang w:bidi="pl-PL"/>
              </w:rPr>
              <w:t>5 160</w:t>
            </w:r>
          </w:p>
        </w:tc>
        <w:tc>
          <w:tcPr>
            <w:tcW w:w="1053" w:type="dxa"/>
          </w:tcPr>
          <w:p w14:paraId="0D7AB4C4" w14:textId="749A2FCE" w:rsidR="00C7528D" w:rsidRPr="00F16251" w:rsidRDefault="00C7528D" w:rsidP="00D02820">
            <w:pPr>
              <w:spacing w:line="276" w:lineRule="auto"/>
              <w:jc w:val="right"/>
              <w:cnfStyle w:val="000000000000" w:firstRow="0" w:lastRow="0" w:firstColumn="0" w:lastColumn="0" w:oddVBand="0" w:evenVBand="0" w:oddHBand="0" w:evenHBand="0" w:firstRowFirstColumn="0" w:firstRowLastColumn="0" w:lastRowFirstColumn="0" w:lastRowLastColumn="0"/>
              <w:rPr>
                <w:rFonts w:cstheme="minorHAnsi"/>
                <w:lang w:bidi="pl-PL"/>
              </w:rPr>
            </w:pPr>
            <w:r w:rsidRPr="00F16251">
              <w:rPr>
                <w:rFonts w:cstheme="minorHAnsi"/>
                <w:lang w:bidi="pl-PL"/>
              </w:rPr>
              <w:t>5 077</w:t>
            </w:r>
          </w:p>
        </w:tc>
        <w:tc>
          <w:tcPr>
            <w:tcW w:w="1053" w:type="dxa"/>
          </w:tcPr>
          <w:p w14:paraId="37756BE4" w14:textId="6C4264C3" w:rsidR="00C7528D" w:rsidRPr="00F16251" w:rsidRDefault="00C7528D" w:rsidP="00D02820">
            <w:pPr>
              <w:spacing w:line="276" w:lineRule="auto"/>
              <w:jc w:val="right"/>
              <w:cnfStyle w:val="000000000000" w:firstRow="0" w:lastRow="0" w:firstColumn="0" w:lastColumn="0" w:oddVBand="0" w:evenVBand="0" w:oddHBand="0" w:evenHBand="0" w:firstRowFirstColumn="0" w:firstRowLastColumn="0" w:lastRowFirstColumn="0" w:lastRowLastColumn="0"/>
              <w:rPr>
                <w:rFonts w:cstheme="minorHAnsi"/>
                <w:lang w:bidi="pl-PL"/>
              </w:rPr>
            </w:pPr>
            <w:r w:rsidRPr="00F16251">
              <w:rPr>
                <w:rFonts w:cstheme="minorHAnsi"/>
                <w:lang w:bidi="pl-PL"/>
              </w:rPr>
              <w:t>5 039</w:t>
            </w:r>
          </w:p>
        </w:tc>
      </w:tr>
      <w:tr w:rsidR="00C7528D" w:rsidRPr="00F16251" w14:paraId="4059F390" w14:textId="77777777" w:rsidTr="00C7528D">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263" w:type="dxa"/>
          </w:tcPr>
          <w:p w14:paraId="03E3A13D" w14:textId="0FA7EB76" w:rsidR="00C7528D" w:rsidRPr="00F16251" w:rsidRDefault="00C7528D" w:rsidP="00C7528D">
            <w:pPr>
              <w:spacing w:line="276" w:lineRule="auto"/>
              <w:rPr>
                <w:rFonts w:cstheme="minorHAnsi"/>
                <w:lang w:bidi="pl-PL"/>
              </w:rPr>
            </w:pPr>
            <w:r w:rsidRPr="00F16251">
              <w:rPr>
                <w:rFonts w:cstheme="minorHAnsi"/>
                <w:lang w:bidi="pl-PL"/>
              </w:rPr>
              <w:t>Rychwał</w:t>
            </w:r>
          </w:p>
        </w:tc>
        <w:tc>
          <w:tcPr>
            <w:tcW w:w="1053" w:type="dxa"/>
          </w:tcPr>
          <w:p w14:paraId="1700F991" w14:textId="5B31EEF3" w:rsidR="00C7528D" w:rsidRPr="00F16251" w:rsidRDefault="00C7528D" w:rsidP="00D02820">
            <w:pPr>
              <w:spacing w:line="276" w:lineRule="auto"/>
              <w:jc w:val="right"/>
              <w:cnfStyle w:val="000000100000" w:firstRow="0" w:lastRow="0" w:firstColumn="0" w:lastColumn="0" w:oddVBand="0" w:evenVBand="0" w:oddHBand="1" w:evenHBand="0" w:firstRowFirstColumn="0" w:firstRowLastColumn="0" w:lastRowFirstColumn="0" w:lastRowLastColumn="0"/>
              <w:rPr>
                <w:rFonts w:cstheme="minorHAnsi"/>
                <w:lang w:bidi="pl-PL"/>
              </w:rPr>
            </w:pPr>
            <w:r w:rsidRPr="00F16251">
              <w:rPr>
                <w:rFonts w:cstheme="minorHAnsi"/>
                <w:lang w:bidi="pl-PL"/>
              </w:rPr>
              <w:t>8 388</w:t>
            </w:r>
          </w:p>
        </w:tc>
        <w:tc>
          <w:tcPr>
            <w:tcW w:w="1053" w:type="dxa"/>
          </w:tcPr>
          <w:p w14:paraId="1B72E926" w14:textId="5729695A" w:rsidR="00C7528D" w:rsidRPr="00F16251" w:rsidRDefault="00C7528D" w:rsidP="00D02820">
            <w:pPr>
              <w:spacing w:line="276" w:lineRule="auto"/>
              <w:jc w:val="right"/>
              <w:cnfStyle w:val="000000100000" w:firstRow="0" w:lastRow="0" w:firstColumn="0" w:lastColumn="0" w:oddVBand="0" w:evenVBand="0" w:oddHBand="1" w:evenHBand="0" w:firstRowFirstColumn="0" w:firstRowLastColumn="0" w:lastRowFirstColumn="0" w:lastRowLastColumn="0"/>
              <w:rPr>
                <w:rFonts w:cstheme="minorHAnsi"/>
                <w:lang w:bidi="pl-PL"/>
              </w:rPr>
            </w:pPr>
            <w:r w:rsidRPr="00F16251">
              <w:rPr>
                <w:rFonts w:cstheme="minorHAnsi"/>
                <w:lang w:bidi="pl-PL"/>
              </w:rPr>
              <w:t>8 362</w:t>
            </w:r>
          </w:p>
        </w:tc>
        <w:tc>
          <w:tcPr>
            <w:tcW w:w="1053" w:type="dxa"/>
          </w:tcPr>
          <w:p w14:paraId="2267167F" w14:textId="35BB65BA" w:rsidR="00C7528D" w:rsidRPr="00F16251" w:rsidRDefault="00C7528D" w:rsidP="00D02820">
            <w:pPr>
              <w:spacing w:line="276" w:lineRule="auto"/>
              <w:jc w:val="right"/>
              <w:cnfStyle w:val="000000100000" w:firstRow="0" w:lastRow="0" w:firstColumn="0" w:lastColumn="0" w:oddVBand="0" w:evenVBand="0" w:oddHBand="1" w:evenHBand="0" w:firstRowFirstColumn="0" w:firstRowLastColumn="0" w:lastRowFirstColumn="0" w:lastRowLastColumn="0"/>
              <w:rPr>
                <w:rFonts w:cstheme="minorHAnsi"/>
                <w:lang w:bidi="pl-PL"/>
              </w:rPr>
            </w:pPr>
            <w:r w:rsidRPr="00F16251">
              <w:rPr>
                <w:rFonts w:cstheme="minorHAnsi"/>
                <w:lang w:bidi="pl-PL"/>
              </w:rPr>
              <w:t>8 320</w:t>
            </w:r>
          </w:p>
        </w:tc>
        <w:tc>
          <w:tcPr>
            <w:tcW w:w="1053" w:type="dxa"/>
          </w:tcPr>
          <w:p w14:paraId="67D6C8BF" w14:textId="67874188" w:rsidR="00C7528D" w:rsidRPr="00F16251" w:rsidRDefault="00C7528D" w:rsidP="00D02820">
            <w:pPr>
              <w:spacing w:line="276" w:lineRule="auto"/>
              <w:jc w:val="right"/>
              <w:cnfStyle w:val="000000100000" w:firstRow="0" w:lastRow="0" w:firstColumn="0" w:lastColumn="0" w:oddVBand="0" w:evenVBand="0" w:oddHBand="1" w:evenHBand="0" w:firstRowFirstColumn="0" w:firstRowLastColumn="0" w:lastRowFirstColumn="0" w:lastRowLastColumn="0"/>
              <w:rPr>
                <w:rFonts w:cstheme="minorHAnsi"/>
                <w:lang w:bidi="pl-PL"/>
              </w:rPr>
            </w:pPr>
            <w:r w:rsidRPr="00F16251">
              <w:rPr>
                <w:rFonts w:cstheme="minorHAnsi"/>
                <w:lang w:bidi="pl-PL"/>
              </w:rPr>
              <w:t>8 311</w:t>
            </w:r>
          </w:p>
        </w:tc>
        <w:tc>
          <w:tcPr>
            <w:tcW w:w="1053" w:type="dxa"/>
          </w:tcPr>
          <w:p w14:paraId="35E03396" w14:textId="0C2A4BBF" w:rsidR="00C7528D" w:rsidRPr="00F16251" w:rsidRDefault="00C7528D" w:rsidP="00D02820">
            <w:pPr>
              <w:spacing w:line="276" w:lineRule="auto"/>
              <w:jc w:val="right"/>
              <w:cnfStyle w:val="000000100000" w:firstRow="0" w:lastRow="0" w:firstColumn="0" w:lastColumn="0" w:oddVBand="0" w:evenVBand="0" w:oddHBand="1" w:evenHBand="0" w:firstRowFirstColumn="0" w:firstRowLastColumn="0" w:lastRowFirstColumn="0" w:lastRowLastColumn="0"/>
              <w:rPr>
                <w:rFonts w:cstheme="minorHAnsi"/>
                <w:lang w:bidi="pl-PL"/>
              </w:rPr>
            </w:pPr>
            <w:r w:rsidRPr="00F16251">
              <w:rPr>
                <w:rFonts w:cstheme="minorHAnsi"/>
                <w:lang w:bidi="pl-PL"/>
              </w:rPr>
              <w:t>8 249</w:t>
            </w:r>
          </w:p>
        </w:tc>
        <w:tc>
          <w:tcPr>
            <w:tcW w:w="1053" w:type="dxa"/>
          </w:tcPr>
          <w:p w14:paraId="7527C00E" w14:textId="5786163B" w:rsidR="00C7528D" w:rsidRPr="00F16251" w:rsidRDefault="00C7528D" w:rsidP="00D02820">
            <w:pPr>
              <w:spacing w:line="276" w:lineRule="auto"/>
              <w:jc w:val="right"/>
              <w:cnfStyle w:val="000000100000" w:firstRow="0" w:lastRow="0" w:firstColumn="0" w:lastColumn="0" w:oddVBand="0" w:evenVBand="0" w:oddHBand="1" w:evenHBand="0" w:firstRowFirstColumn="0" w:firstRowLastColumn="0" w:lastRowFirstColumn="0" w:lastRowLastColumn="0"/>
              <w:rPr>
                <w:rFonts w:cstheme="minorHAnsi"/>
                <w:lang w:bidi="pl-PL"/>
              </w:rPr>
            </w:pPr>
            <w:r w:rsidRPr="00F16251">
              <w:rPr>
                <w:rFonts w:cstheme="minorHAnsi"/>
                <w:lang w:bidi="pl-PL"/>
              </w:rPr>
              <w:t>8 048</w:t>
            </w:r>
          </w:p>
        </w:tc>
        <w:tc>
          <w:tcPr>
            <w:tcW w:w="1053" w:type="dxa"/>
          </w:tcPr>
          <w:p w14:paraId="10FFCCA1" w14:textId="4D140776" w:rsidR="00C7528D" w:rsidRPr="00F16251" w:rsidRDefault="00C7528D" w:rsidP="00D02820">
            <w:pPr>
              <w:spacing w:line="276" w:lineRule="auto"/>
              <w:jc w:val="right"/>
              <w:cnfStyle w:val="000000100000" w:firstRow="0" w:lastRow="0" w:firstColumn="0" w:lastColumn="0" w:oddVBand="0" w:evenVBand="0" w:oddHBand="1" w:evenHBand="0" w:firstRowFirstColumn="0" w:firstRowLastColumn="0" w:lastRowFirstColumn="0" w:lastRowLastColumn="0"/>
              <w:rPr>
                <w:rFonts w:cstheme="minorHAnsi"/>
                <w:lang w:bidi="pl-PL"/>
              </w:rPr>
            </w:pPr>
            <w:r w:rsidRPr="00F16251">
              <w:rPr>
                <w:rFonts w:cstheme="minorHAnsi"/>
                <w:lang w:bidi="pl-PL"/>
              </w:rPr>
              <w:t>8 031</w:t>
            </w:r>
          </w:p>
        </w:tc>
      </w:tr>
      <w:tr w:rsidR="00C7528D" w:rsidRPr="00F16251" w14:paraId="75DA102B" w14:textId="77777777" w:rsidTr="00C7528D">
        <w:trPr>
          <w:trHeight w:val="416"/>
        </w:trPr>
        <w:tc>
          <w:tcPr>
            <w:cnfStyle w:val="001000000000" w:firstRow="0" w:lastRow="0" w:firstColumn="1" w:lastColumn="0" w:oddVBand="0" w:evenVBand="0" w:oddHBand="0" w:evenHBand="0" w:firstRowFirstColumn="0" w:firstRowLastColumn="0" w:lastRowFirstColumn="0" w:lastRowLastColumn="0"/>
            <w:tcW w:w="2263" w:type="dxa"/>
          </w:tcPr>
          <w:p w14:paraId="55E1A232" w14:textId="358AC590" w:rsidR="00C7528D" w:rsidRPr="00F16251" w:rsidRDefault="00C7528D" w:rsidP="00C7528D">
            <w:pPr>
              <w:spacing w:line="276" w:lineRule="auto"/>
              <w:rPr>
                <w:rFonts w:cstheme="minorHAnsi"/>
                <w:lang w:bidi="pl-PL"/>
              </w:rPr>
            </w:pPr>
            <w:r w:rsidRPr="00F16251">
              <w:rPr>
                <w:rFonts w:cstheme="minorHAnsi"/>
                <w:lang w:bidi="pl-PL"/>
              </w:rPr>
              <w:t>Rzgów</w:t>
            </w:r>
          </w:p>
        </w:tc>
        <w:tc>
          <w:tcPr>
            <w:tcW w:w="1053" w:type="dxa"/>
          </w:tcPr>
          <w:p w14:paraId="39D5FA10" w14:textId="0384E1BE" w:rsidR="00C7528D" w:rsidRPr="00F16251" w:rsidRDefault="00C7528D" w:rsidP="00D02820">
            <w:pPr>
              <w:spacing w:line="276" w:lineRule="auto"/>
              <w:jc w:val="right"/>
              <w:cnfStyle w:val="000000000000" w:firstRow="0" w:lastRow="0" w:firstColumn="0" w:lastColumn="0" w:oddVBand="0" w:evenVBand="0" w:oddHBand="0" w:evenHBand="0" w:firstRowFirstColumn="0" w:firstRowLastColumn="0" w:lastRowFirstColumn="0" w:lastRowLastColumn="0"/>
              <w:rPr>
                <w:rFonts w:cstheme="minorHAnsi"/>
                <w:lang w:bidi="pl-PL"/>
              </w:rPr>
            </w:pPr>
            <w:r w:rsidRPr="00F16251">
              <w:rPr>
                <w:rFonts w:cstheme="minorHAnsi"/>
                <w:lang w:bidi="pl-PL"/>
              </w:rPr>
              <w:t>7 171</w:t>
            </w:r>
          </w:p>
        </w:tc>
        <w:tc>
          <w:tcPr>
            <w:tcW w:w="1053" w:type="dxa"/>
          </w:tcPr>
          <w:p w14:paraId="60E70C2E" w14:textId="50767789" w:rsidR="00C7528D" w:rsidRPr="00F16251" w:rsidRDefault="00C7528D" w:rsidP="00D02820">
            <w:pPr>
              <w:spacing w:line="276" w:lineRule="auto"/>
              <w:jc w:val="right"/>
              <w:cnfStyle w:val="000000000000" w:firstRow="0" w:lastRow="0" w:firstColumn="0" w:lastColumn="0" w:oddVBand="0" w:evenVBand="0" w:oddHBand="0" w:evenHBand="0" w:firstRowFirstColumn="0" w:firstRowLastColumn="0" w:lastRowFirstColumn="0" w:lastRowLastColumn="0"/>
              <w:rPr>
                <w:rFonts w:cstheme="minorHAnsi"/>
                <w:lang w:bidi="pl-PL"/>
              </w:rPr>
            </w:pPr>
            <w:r w:rsidRPr="00F16251">
              <w:rPr>
                <w:rFonts w:cstheme="minorHAnsi"/>
                <w:lang w:bidi="pl-PL"/>
              </w:rPr>
              <w:t>7 206</w:t>
            </w:r>
          </w:p>
        </w:tc>
        <w:tc>
          <w:tcPr>
            <w:tcW w:w="1053" w:type="dxa"/>
          </w:tcPr>
          <w:p w14:paraId="1ACB2EC8" w14:textId="57ED4E4E" w:rsidR="00C7528D" w:rsidRPr="00F16251" w:rsidRDefault="00C7528D" w:rsidP="00D02820">
            <w:pPr>
              <w:spacing w:line="276" w:lineRule="auto"/>
              <w:jc w:val="right"/>
              <w:cnfStyle w:val="000000000000" w:firstRow="0" w:lastRow="0" w:firstColumn="0" w:lastColumn="0" w:oddVBand="0" w:evenVBand="0" w:oddHBand="0" w:evenHBand="0" w:firstRowFirstColumn="0" w:firstRowLastColumn="0" w:lastRowFirstColumn="0" w:lastRowLastColumn="0"/>
              <w:rPr>
                <w:rFonts w:cstheme="minorHAnsi"/>
                <w:lang w:bidi="pl-PL"/>
              </w:rPr>
            </w:pPr>
            <w:r w:rsidRPr="00F16251">
              <w:rPr>
                <w:rFonts w:cstheme="minorHAnsi"/>
                <w:lang w:bidi="pl-PL"/>
              </w:rPr>
              <w:t>7 245</w:t>
            </w:r>
          </w:p>
        </w:tc>
        <w:tc>
          <w:tcPr>
            <w:tcW w:w="1053" w:type="dxa"/>
          </w:tcPr>
          <w:p w14:paraId="7FCE81F9" w14:textId="093EC389" w:rsidR="00C7528D" w:rsidRPr="00F16251" w:rsidRDefault="00C7528D" w:rsidP="00D02820">
            <w:pPr>
              <w:spacing w:line="276" w:lineRule="auto"/>
              <w:jc w:val="right"/>
              <w:cnfStyle w:val="000000000000" w:firstRow="0" w:lastRow="0" w:firstColumn="0" w:lastColumn="0" w:oddVBand="0" w:evenVBand="0" w:oddHBand="0" w:evenHBand="0" w:firstRowFirstColumn="0" w:firstRowLastColumn="0" w:lastRowFirstColumn="0" w:lastRowLastColumn="0"/>
              <w:rPr>
                <w:rFonts w:cstheme="minorHAnsi"/>
                <w:lang w:bidi="pl-PL"/>
              </w:rPr>
            </w:pPr>
            <w:r w:rsidRPr="00F16251">
              <w:rPr>
                <w:rFonts w:cstheme="minorHAnsi"/>
                <w:lang w:bidi="pl-PL"/>
              </w:rPr>
              <w:t>7 291</w:t>
            </w:r>
          </w:p>
        </w:tc>
        <w:tc>
          <w:tcPr>
            <w:tcW w:w="1053" w:type="dxa"/>
          </w:tcPr>
          <w:p w14:paraId="305D2D10" w14:textId="7A5C8A3A" w:rsidR="00C7528D" w:rsidRPr="00F16251" w:rsidRDefault="00C7528D" w:rsidP="00D02820">
            <w:pPr>
              <w:spacing w:line="276" w:lineRule="auto"/>
              <w:jc w:val="right"/>
              <w:cnfStyle w:val="000000000000" w:firstRow="0" w:lastRow="0" w:firstColumn="0" w:lastColumn="0" w:oddVBand="0" w:evenVBand="0" w:oddHBand="0" w:evenHBand="0" w:firstRowFirstColumn="0" w:firstRowLastColumn="0" w:lastRowFirstColumn="0" w:lastRowLastColumn="0"/>
              <w:rPr>
                <w:rFonts w:cstheme="minorHAnsi"/>
                <w:lang w:bidi="pl-PL"/>
              </w:rPr>
            </w:pPr>
            <w:r w:rsidRPr="00F16251">
              <w:rPr>
                <w:rFonts w:cstheme="minorHAnsi"/>
                <w:lang w:bidi="pl-PL"/>
              </w:rPr>
              <w:t>7 275</w:t>
            </w:r>
          </w:p>
        </w:tc>
        <w:tc>
          <w:tcPr>
            <w:tcW w:w="1053" w:type="dxa"/>
          </w:tcPr>
          <w:p w14:paraId="01967F2E" w14:textId="0519728F" w:rsidR="00C7528D" w:rsidRPr="00F16251" w:rsidRDefault="00C7528D" w:rsidP="00D02820">
            <w:pPr>
              <w:spacing w:line="276" w:lineRule="auto"/>
              <w:jc w:val="right"/>
              <w:cnfStyle w:val="000000000000" w:firstRow="0" w:lastRow="0" w:firstColumn="0" w:lastColumn="0" w:oddVBand="0" w:evenVBand="0" w:oddHBand="0" w:evenHBand="0" w:firstRowFirstColumn="0" w:firstRowLastColumn="0" w:lastRowFirstColumn="0" w:lastRowLastColumn="0"/>
              <w:rPr>
                <w:rFonts w:cstheme="minorHAnsi"/>
                <w:lang w:bidi="pl-PL"/>
              </w:rPr>
            </w:pPr>
            <w:r w:rsidRPr="00F16251">
              <w:rPr>
                <w:rFonts w:cstheme="minorHAnsi"/>
                <w:lang w:bidi="pl-PL"/>
              </w:rPr>
              <w:t>7 131</w:t>
            </w:r>
          </w:p>
        </w:tc>
        <w:tc>
          <w:tcPr>
            <w:tcW w:w="1053" w:type="dxa"/>
          </w:tcPr>
          <w:p w14:paraId="0599BC51" w14:textId="607C3B89" w:rsidR="00C7528D" w:rsidRPr="00F16251" w:rsidRDefault="00C7528D" w:rsidP="00D02820">
            <w:pPr>
              <w:spacing w:line="276" w:lineRule="auto"/>
              <w:jc w:val="right"/>
              <w:cnfStyle w:val="000000000000" w:firstRow="0" w:lastRow="0" w:firstColumn="0" w:lastColumn="0" w:oddVBand="0" w:evenVBand="0" w:oddHBand="0" w:evenHBand="0" w:firstRowFirstColumn="0" w:firstRowLastColumn="0" w:lastRowFirstColumn="0" w:lastRowLastColumn="0"/>
              <w:rPr>
                <w:rFonts w:cstheme="minorHAnsi"/>
                <w:lang w:bidi="pl-PL"/>
              </w:rPr>
            </w:pPr>
            <w:r w:rsidRPr="00F16251">
              <w:rPr>
                <w:rFonts w:cstheme="minorHAnsi"/>
                <w:lang w:bidi="pl-PL"/>
              </w:rPr>
              <w:t>7 132</w:t>
            </w:r>
          </w:p>
        </w:tc>
      </w:tr>
      <w:tr w:rsidR="00C7528D" w:rsidRPr="00F16251" w14:paraId="06B40334" w14:textId="77777777" w:rsidTr="00C7528D">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263" w:type="dxa"/>
          </w:tcPr>
          <w:p w14:paraId="49AB356B" w14:textId="22A50065" w:rsidR="00C7528D" w:rsidRPr="00F16251" w:rsidRDefault="00C7528D" w:rsidP="00C7528D">
            <w:pPr>
              <w:spacing w:line="276" w:lineRule="auto"/>
              <w:rPr>
                <w:rFonts w:cstheme="minorHAnsi"/>
                <w:lang w:bidi="pl-PL"/>
              </w:rPr>
            </w:pPr>
            <w:r w:rsidRPr="00F16251">
              <w:rPr>
                <w:rFonts w:cstheme="minorHAnsi"/>
                <w:lang w:bidi="pl-PL"/>
              </w:rPr>
              <w:t>Stare Miasto</w:t>
            </w:r>
          </w:p>
        </w:tc>
        <w:tc>
          <w:tcPr>
            <w:tcW w:w="1053" w:type="dxa"/>
          </w:tcPr>
          <w:p w14:paraId="0F46BF3F" w14:textId="692E1D8E" w:rsidR="00C7528D" w:rsidRPr="00F16251" w:rsidRDefault="00C7528D" w:rsidP="00D02820">
            <w:pPr>
              <w:spacing w:line="276" w:lineRule="auto"/>
              <w:jc w:val="right"/>
              <w:cnfStyle w:val="000000100000" w:firstRow="0" w:lastRow="0" w:firstColumn="0" w:lastColumn="0" w:oddVBand="0" w:evenVBand="0" w:oddHBand="1" w:evenHBand="0" w:firstRowFirstColumn="0" w:firstRowLastColumn="0" w:lastRowFirstColumn="0" w:lastRowLastColumn="0"/>
              <w:rPr>
                <w:rFonts w:cstheme="minorHAnsi"/>
                <w:lang w:bidi="pl-PL"/>
              </w:rPr>
            </w:pPr>
            <w:r w:rsidRPr="00F16251">
              <w:rPr>
                <w:rFonts w:cstheme="minorHAnsi"/>
                <w:lang w:bidi="pl-PL"/>
              </w:rPr>
              <w:t>11 849</w:t>
            </w:r>
          </w:p>
        </w:tc>
        <w:tc>
          <w:tcPr>
            <w:tcW w:w="1053" w:type="dxa"/>
          </w:tcPr>
          <w:p w14:paraId="282380FF" w14:textId="50DAC626" w:rsidR="00C7528D" w:rsidRPr="00F16251" w:rsidRDefault="00C7528D" w:rsidP="00D02820">
            <w:pPr>
              <w:spacing w:line="276" w:lineRule="auto"/>
              <w:jc w:val="right"/>
              <w:cnfStyle w:val="000000100000" w:firstRow="0" w:lastRow="0" w:firstColumn="0" w:lastColumn="0" w:oddVBand="0" w:evenVBand="0" w:oddHBand="1" w:evenHBand="0" w:firstRowFirstColumn="0" w:firstRowLastColumn="0" w:lastRowFirstColumn="0" w:lastRowLastColumn="0"/>
              <w:rPr>
                <w:rFonts w:cstheme="minorHAnsi"/>
                <w:lang w:bidi="pl-PL"/>
              </w:rPr>
            </w:pPr>
            <w:r w:rsidRPr="00F16251">
              <w:rPr>
                <w:rFonts w:cstheme="minorHAnsi"/>
                <w:lang w:bidi="pl-PL"/>
              </w:rPr>
              <w:t>12 039</w:t>
            </w:r>
          </w:p>
        </w:tc>
        <w:tc>
          <w:tcPr>
            <w:tcW w:w="1053" w:type="dxa"/>
          </w:tcPr>
          <w:p w14:paraId="75187772" w14:textId="6CD350F6" w:rsidR="00C7528D" w:rsidRPr="00F16251" w:rsidRDefault="00C7528D" w:rsidP="00D02820">
            <w:pPr>
              <w:spacing w:line="276" w:lineRule="auto"/>
              <w:jc w:val="right"/>
              <w:cnfStyle w:val="000000100000" w:firstRow="0" w:lastRow="0" w:firstColumn="0" w:lastColumn="0" w:oddVBand="0" w:evenVBand="0" w:oddHBand="1" w:evenHBand="0" w:firstRowFirstColumn="0" w:firstRowLastColumn="0" w:lastRowFirstColumn="0" w:lastRowLastColumn="0"/>
              <w:rPr>
                <w:rFonts w:cstheme="minorHAnsi"/>
                <w:lang w:bidi="pl-PL"/>
              </w:rPr>
            </w:pPr>
            <w:r w:rsidRPr="00F16251">
              <w:rPr>
                <w:rFonts w:cstheme="minorHAnsi"/>
                <w:lang w:bidi="pl-PL"/>
              </w:rPr>
              <w:t>12 154</w:t>
            </w:r>
          </w:p>
        </w:tc>
        <w:tc>
          <w:tcPr>
            <w:tcW w:w="1053" w:type="dxa"/>
          </w:tcPr>
          <w:p w14:paraId="46AB5530" w14:textId="06FC4C4F" w:rsidR="00C7528D" w:rsidRPr="00F16251" w:rsidRDefault="00C7528D" w:rsidP="00D02820">
            <w:pPr>
              <w:spacing w:line="276" w:lineRule="auto"/>
              <w:jc w:val="right"/>
              <w:cnfStyle w:val="000000100000" w:firstRow="0" w:lastRow="0" w:firstColumn="0" w:lastColumn="0" w:oddVBand="0" w:evenVBand="0" w:oddHBand="1" w:evenHBand="0" w:firstRowFirstColumn="0" w:firstRowLastColumn="0" w:lastRowFirstColumn="0" w:lastRowLastColumn="0"/>
              <w:rPr>
                <w:rFonts w:cstheme="minorHAnsi"/>
                <w:lang w:bidi="pl-PL"/>
              </w:rPr>
            </w:pPr>
            <w:r w:rsidRPr="00F16251">
              <w:rPr>
                <w:rFonts w:cstheme="minorHAnsi"/>
                <w:lang w:bidi="pl-PL"/>
              </w:rPr>
              <w:t>12 266</w:t>
            </w:r>
          </w:p>
        </w:tc>
        <w:tc>
          <w:tcPr>
            <w:tcW w:w="1053" w:type="dxa"/>
          </w:tcPr>
          <w:p w14:paraId="35EFE72F" w14:textId="09602F87" w:rsidR="00C7528D" w:rsidRPr="00F16251" w:rsidRDefault="00C7528D" w:rsidP="00D02820">
            <w:pPr>
              <w:spacing w:line="276" w:lineRule="auto"/>
              <w:jc w:val="right"/>
              <w:cnfStyle w:val="000000100000" w:firstRow="0" w:lastRow="0" w:firstColumn="0" w:lastColumn="0" w:oddVBand="0" w:evenVBand="0" w:oddHBand="1" w:evenHBand="0" w:firstRowFirstColumn="0" w:firstRowLastColumn="0" w:lastRowFirstColumn="0" w:lastRowLastColumn="0"/>
              <w:rPr>
                <w:rFonts w:cstheme="minorHAnsi"/>
                <w:lang w:bidi="pl-PL"/>
              </w:rPr>
            </w:pPr>
            <w:r w:rsidRPr="00F16251">
              <w:rPr>
                <w:rFonts w:cstheme="minorHAnsi"/>
                <w:lang w:bidi="pl-PL"/>
              </w:rPr>
              <w:t>12 436</w:t>
            </w:r>
          </w:p>
        </w:tc>
        <w:tc>
          <w:tcPr>
            <w:tcW w:w="1053" w:type="dxa"/>
          </w:tcPr>
          <w:p w14:paraId="4F84BA42" w14:textId="4BCC7418" w:rsidR="00C7528D" w:rsidRPr="00F16251" w:rsidRDefault="00C7528D" w:rsidP="00D02820">
            <w:pPr>
              <w:spacing w:line="276" w:lineRule="auto"/>
              <w:jc w:val="right"/>
              <w:cnfStyle w:val="000000100000" w:firstRow="0" w:lastRow="0" w:firstColumn="0" w:lastColumn="0" w:oddVBand="0" w:evenVBand="0" w:oddHBand="1" w:evenHBand="0" w:firstRowFirstColumn="0" w:firstRowLastColumn="0" w:lastRowFirstColumn="0" w:lastRowLastColumn="0"/>
              <w:rPr>
                <w:rFonts w:cstheme="minorHAnsi"/>
                <w:lang w:bidi="pl-PL"/>
              </w:rPr>
            </w:pPr>
            <w:r w:rsidRPr="00F16251">
              <w:rPr>
                <w:rFonts w:cstheme="minorHAnsi"/>
                <w:lang w:bidi="pl-PL"/>
              </w:rPr>
              <w:t>12 639</w:t>
            </w:r>
          </w:p>
        </w:tc>
        <w:tc>
          <w:tcPr>
            <w:tcW w:w="1053" w:type="dxa"/>
          </w:tcPr>
          <w:p w14:paraId="31EA5B0E" w14:textId="611BEA2A" w:rsidR="00C7528D" w:rsidRPr="00F16251" w:rsidRDefault="00C7528D" w:rsidP="00D02820">
            <w:pPr>
              <w:spacing w:line="276" w:lineRule="auto"/>
              <w:jc w:val="right"/>
              <w:cnfStyle w:val="000000100000" w:firstRow="0" w:lastRow="0" w:firstColumn="0" w:lastColumn="0" w:oddVBand="0" w:evenVBand="0" w:oddHBand="1" w:evenHBand="0" w:firstRowFirstColumn="0" w:firstRowLastColumn="0" w:lastRowFirstColumn="0" w:lastRowLastColumn="0"/>
              <w:rPr>
                <w:rFonts w:cstheme="minorHAnsi"/>
                <w:lang w:bidi="pl-PL"/>
              </w:rPr>
            </w:pPr>
            <w:r w:rsidRPr="00F16251">
              <w:rPr>
                <w:rFonts w:cstheme="minorHAnsi"/>
                <w:lang w:bidi="pl-PL"/>
              </w:rPr>
              <w:t>12 750</w:t>
            </w:r>
          </w:p>
        </w:tc>
      </w:tr>
      <w:tr w:rsidR="00C7528D" w:rsidRPr="00F16251" w14:paraId="03058801" w14:textId="77777777" w:rsidTr="00C7528D">
        <w:trPr>
          <w:trHeight w:val="416"/>
        </w:trPr>
        <w:tc>
          <w:tcPr>
            <w:cnfStyle w:val="001000000000" w:firstRow="0" w:lastRow="0" w:firstColumn="1" w:lastColumn="0" w:oddVBand="0" w:evenVBand="0" w:oddHBand="0" w:evenHBand="0" w:firstRowFirstColumn="0" w:firstRowLastColumn="0" w:lastRowFirstColumn="0" w:lastRowLastColumn="0"/>
            <w:tcW w:w="2263" w:type="dxa"/>
          </w:tcPr>
          <w:p w14:paraId="42EB9092" w14:textId="66E3E225" w:rsidR="00C7528D" w:rsidRPr="00F16251" w:rsidRDefault="00C7528D" w:rsidP="00C7528D">
            <w:pPr>
              <w:spacing w:line="276" w:lineRule="auto"/>
              <w:rPr>
                <w:rFonts w:cstheme="minorHAnsi"/>
                <w:lang w:bidi="pl-PL"/>
              </w:rPr>
            </w:pPr>
            <w:r w:rsidRPr="00F16251">
              <w:rPr>
                <w:rFonts w:cstheme="minorHAnsi"/>
                <w:lang w:bidi="pl-PL"/>
              </w:rPr>
              <w:t>Tuliszków</w:t>
            </w:r>
          </w:p>
        </w:tc>
        <w:tc>
          <w:tcPr>
            <w:tcW w:w="1053" w:type="dxa"/>
          </w:tcPr>
          <w:p w14:paraId="62DE8975" w14:textId="3B8B6099" w:rsidR="00C7528D" w:rsidRPr="00F16251" w:rsidRDefault="00C7528D" w:rsidP="00D02820">
            <w:pPr>
              <w:spacing w:line="276" w:lineRule="auto"/>
              <w:jc w:val="right"/>
              <w:cnfStyle w:val="000000000000" w:firstRow="0" w:lastRow="0" w:firstColumn="0" w:lastColumn="0" w:oddVBand="0" w:evenVBand="0" w:oddHBand="0" w:evenHBand="0" w:firstRowFirstColumn="0" w:firstRowLastColumn="0" w:lastRowFirstColumn="0" w:lastRowLastColumn="0"/>
              <w:rPr>
                <w:rFonts w:cstheme="minorHAnsi"/>
                <w:lang w:bidi="pl-PL"/>
              </w:rPr>
            </w:pPr>
            <w:r w:rsidRPr="00F16251">
              <w:rPr>
                <w:rFonts w:cstheme="minorHAnsi"/>
                <w:lang w:bidi="pl-PL"/>
              </w:rPr>
              <w:t>10 693</w:t>
            </w:r>
          </w:p>
        </w:tc>
        <w:tc>
          <w:tcPr>
            <w:tcW w:w="1053" w:type="dxa"/>
          </w:tcPr>
          <w:p w14:paraId="0E4C3AD4" w14:textId="09AD51AC" w:rsidR="00C7528D" w:rsidRPr="00F16251" w:rsidRDefault="00C7528D" w:rsidP="00D02820">
            <w:pPr>
              <w:spacing w:line="276" w:lineRule="auto"/>
              <w:jc w:val="right"/>
              <w:cnfStyle w:val="000000000000" w:firstRow="0" w:lastRow="0" w:firstColumn="0" w:lastColumn="0" w:oddVBand="0" w:evenVBand="0" w:oddHBand="0" w:evenHBand="0" w:firstRowFirstColumn="0" w:firstRowLastColumn="0" w:lastRowFirstColumn="0" w:lastRowLastColumn="0"/>
              <w:rPr>
                <w:rFonts w:cstheme="minorHAnsi"/>
                <w:lang w:bidi="pl-PL"/>
              </w:rPr>
            </w:pPr>
            <w:r w:rsidRPr="00F16251">
              <w:rPr>
                <w:rFonts w:cstheme="minorHAnsi"/>
                <w:lang w:bidi="pl-PL"/>
              </w:rPr>
              <w:t>10 665</w:t>
            </w:r>
          </w:p>
        </w:tc>
        <w:tc>
          <w:tcPr>
            <w:tcW w:w="1053" w:type="dxa"/>
          </w:tcPr>
          <w:p w14:paraId="1D798B05" w14:textId="2D14253F" w:rsidR="00C7528D" w:rsidRPr="00F16251" w:rsidRDefault="00C7528D" w:rsidP="00D02820">
            <w:pPr>
              <w:spacing w:line="276" w:lineRule="auto"/>
              <w:jc w:val="right"/>
              <w:cnfStyle w:val="000000000000" w:firstRow="0" w:lastRow="0" w:firstColumn="0" w:lastColumn="0" w:oddVBand="0" w:evenVBand="0" w:oddHBand="0" w:evenHBand="0" w:firstRowFirstColumn="0" w:firstRowLastColumn="0" w:lastRowFirstColumn="0" w:lastRowLastColumn="0"/>
              <w:rPr>
                <w:rFonts w:cstheme="minorHAnsi"/>
                <w:lang w:bidi="pl-PL"/>
              </w:rPr>
            </w:pPr>
            <w:r w:rsidRPr="00F16251">
              <w:rPr>
                <w:rFonts w:cstheme="minorHAnsi"/>
                <w:lang w:bidi="pl-PL"/>
              </w:rPr>
              <w:t>10 654</w:t>
            </w:r>
          </w:p>
        </w:tc>
        <w:tc>
          <w:tcPr>
            <w:tcW w:w="1053" w:type="dxa"/>
          </w:tcPr>
          <w:p w14:paraId="5AD6F48A" w14:textId="1BE793B7" w:rsidR="00C7528D" w:rsidRPr="00F16251" w:rsidRDefault="00C7528D" w:rsidP="00D02820">
            <w:pPr>
              <w:spacing w:line="276" w:lineRule="auto"/>
              <w:jc w:val="right"/>
              <w:cnfStyle w:val="000000000000" w:firstRow="0" w:lastRow="0" w:firstColumn="0" w:lastColumn="0" w:oddVBand="0" w:evenVBand="0" w:oddHBand="0" w:evenHBand="0" w:firstRowFirstColumn="0" w:firstRowLastColumn="0" w:lastRowFirstColumn="0" w:lastRowLastColumn="0"/>
              <w:rPr>
                <w:rFonts w:cstheme="minorHAnsi"/>
                <w:lang w:bidi="pl-PL"/>
              </w:rPr>
            </w:pPr>
            <w:r w:rsidRPr="00F16251">
              <w:rPr>
                <w:rFonts w:cstheme="minorHAnsi"/>
                <w:lang w:bidi="pl-PL"/>
              </w:rPr>
              <w:t>10 594</w:t>
            </w:r>
          </w:p>
        </w:tc>
        <w:tc>
          <w:tcPr>
            <w:tcW w:w="1053" w:type="dxa"/>
          </w:tcPr>
          <w:p w14:paraId="0370350B" w14:textId="7EFC8587" w:rsidR="00C7528D" w:rsidRPr="00F16251" w:rsidRDefault="00C7528D" w:rsidP="00D02820">
            <w:pPr>
              <w:spacing w:line="276" w:lineRule="auto"/>
              <w:jc w:val="right"/>
              <w:cnfStyle w:val="000000000000" w:firstRow="0" w:lastRow="0" w:firstColumn="0" w:lastColumn="0" w:oddVBand="0" w:evenVBand="0" w:oddHBand="0" w:evenHBand="0" w:firstRowFirstColumn="0" w:firstRowLastColumn="0" w:lastRowFirstColumn="0" w:lastRowLastColumn="0"/>
              <w:rPr>
                <w:rFonts w:cstheme="minorHAnsi"/>
                <w:lang w:bidi="pl-PL"/>
              </w:rPr>
            </w:pPr>
            <w:r w:rsidRPr="00F16251">
              <w:rPr>
                <w:rFonts w:cstheme="minorHAnsi"/>
                <w:lang w:bidi="pl-PL"/>
              </w:rPr>
              <w:t>10 537</w:t>
            </w:r>
          </w:p>
        </w:tc>
        <w:tc>
          <w:tcPr>
            <w:tcW w:w="1053" w:type="dxa"/>
          </w:tcPr>
          <w:p w14:paraId="02AF917C" w14:textId="43575383" w:rsidR="00C7528D" w:rsidRPr="00F16251" w:rsidRDefault="00C7528D" w:rsidP="00D02820">
            <w:pPr>
              <w:spacing w:line="276" w:lineRule="auto"/>
              <w:jc w:val="right"/>
              <w:cnfStyle w:val="000000000000" w:firstRow="0" w:lastRow="0" w:firstColumn="0" w:lastColumn="0" w:oddVBand="0" w:evenVBand="0" w:oddHBand="0" w:evenHBand="0" w:firstRowFirstColumn="0" w:firstRowLastColumn="0" w:lastRowFirstColumn="0" w:lastRowLastColumn="0"/>
              <w:rPr>
                <w:rFonts w:cstheme="minorHAnsi"/>
                <w:lang w:bidi="pl-PL"/>
              </w:rPr>
            </w:pPr>
            <w:r w:rsidRPr="00F16251">
              <w:rPr>
                <w:rFonts w:cstheme="minorHAnsi"/>
                <w:lang w:bidi="pl-PL"/>
              </w:rPr>
              <w:t>10 285</w:t>
            </w:r>
          </w:p>
        </w:tc>
        <w:tc>
          <w:tcPr>
            <w:tcW w:w="1053" w:type="dxa"/>
          </w:tcPr>
          <w:p w14:paraId="246CF526" w14:textId="0C9E8C2A" w:rsidR="00C7528D" w:rsidRPr="00F16251" w:rsidRDefault="00C7528D" w:rsidP="00D02820">
            <w:pPr>
              <w:spacing w:line="276" w:lineRule="auto"/>
              <w:jc w:val="right"/>
              <w:cnfStyle w:val="000000000000" w:firstRow="0" w:lastRow="0" w:firstColumn="0" w:lastColumn="0" w:oddVBand="0" w:evenVBand="0" w:oddHBand="0" w:evenHBand="0" w:firstRowFirstColumn="0" w:firstRowLastColumn="0" w:lastRowFirstColumn="0" w:lastRowLastColumn="0"/>
              <w:rPr>
                <w:rFonts w:cstheme="minorHAnsi"/>
                <w:lang w:bidi="pl-PL"/>
              </w:rPr>
            </w:pPr>
            <w:r w:rsidRPr="00F16251">
              <w:rPr>
                <w:rFonts w:cstheme="minorHAnsi"/>
                <w:lang w:bidi="pl-PL"/>
              </w:rPr>
              <w:t>10 233</w:t>
            </w:r>
          </w:p>
        </w:tc>
      </w:tr>
      <w:tr w:rsidR="00C7528D" w:rsidRPr="00F16251" w14:paraId="2ABEF834" w14:textId="77777777" w:rsidTr="00C7528D">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263" w:type="dxa"/>
          </w:tcPr>
          <w:p w14:paraId="1F917DCA" w14:textId="77777777" w:rsidR="00C7528D" w:rsidRPr="00F16251" w:rsidRDefault="00C7528D" w:rsidP="00C7528D">
            <w:pPr>
              <w:spacing w:line="276" w:lineRule="auto"/>
              <w:rPr>
                <w:rFonts w:cstheme="minorHAnsi"/>
                <w:b w:val="0"/>
                <w:bCs w:val="0"/>
                <w:lang w:bidi="pl-PL"/>
              </w:rPr>
            </w:pPr>
            <w:r w:rsidRPr="00F16251">
              <w:rPr>
                <w:rFonts w:cstheme="minorHAnsi"/>
                <w:lang w:bidi="pl-PL"/>
              </w:rPr>
              <w:t>RAZEM</w:t>
            </w:r>
          </w:p>
        </w:tc>
        <w:tc>
          <w:tcPr>
            <w:tcW w:w="1053" w:type="dxa"/>
          </w:tcPr>
          <w:p w14:paraId="2AD0B181" w14:textId="2B2860A7" w:rsidR="00C7528D" w:rsidRPr="00F16251" w:rsidRDefault="00C7528D" w:rsidP="00D02820">
            <w:pPr>
              <w:spacing w:line="276" w:lineRule="auto"/>
              <w:jc w:val="right"/>
              <w:cnfStyle w:val="000000100000" w:firstRow="0" w:lastRow="0" w:firstColumn="0" w:lastColumn="0" w:oddVBand="0" w:evenVBand="0" w:oddHBand="1" w:evenHBand="0" w:firstRowFirstColumn="0" w:firstRowLastColumn="0" w:lastRowFirstColumn="0" w:lastRowLastColumn="0"/>
              <w:rPr>
                <w:rFonts w:cstheme="minorHAnsi"/>
                <w:lang w:bidi="pl-PL"/>
              </w:rPr>
            </w:pPr>
            <w:r w:rsidRPr="00F16251">
              <w:rPr>
                <w:rFonts w:cstheme="minorHAnsi"/>
                <w:lang w:bidi="pl-PL"/>
              </w:rPr>
              <w:t>55 227</w:t>
            </w:r>
          </w:p>
        </w:tc>
        <w:tc>
          <w:tcPr>
            <w:tcW w:w="1053" w:type="dxa"/>
          </w:tcPr>
          <w:p w14:paraId="23366214" w14:textId="67D2F71D" w:rsidR="00C7528D" w:rsidRPr="00F16251" w:rsidRDefault="00C7528D" w:rsidP="00D02820">
            <w:pPr>
              <w:spacing w:line="276" w:lineRule="auto"/>
              <w:jc w:val="right"/>
              <w:cnfStyle w:val="000000100000" w:firstRow="0" w:lastRow="0" w:firstColumn="0" w:lastColumn="0" w:oddVBand="0" w:evenVBand="0" w:oddHBand="1" w:evenHBand="0" w:firstRowFirstColumn="0" w:firstRowLastColumn="0" w:lastRowFirstColumn="0" w:lastRowLastColumn="0"/>
              <w:rPr>
                <w:rFonts w:cstheme="minorHAnsi"/>
                <w:lang w:bidi="pl-PL"/>
              </w:rPr>
            </w:pPr>
            <w:r w:rsidRPr="00F16251">
              <w:rPr>
                <w:rFonts w:cstheme="minorHAnsi"/>
                <w:lang w:bidi="pl-PL"/>
              </w:rPr>
              <w:t>55 456</w:t>
            </w:r>
          </w:p>
        </w:tc>
        <w:tc>
          <w:tcPr>
            <w:tcW w:w="1053" w:type="dxa"/>
          </w:tcPr>
          <w:p w14:paraId="785D664A" w14:textId="0E7FCE20" w:rsidR="00C7528D" w:rsidRPr="00F16251" w:rsidRDefault="00C7528D" w:rsidP="00D02820">
            <w:pPr>
              <w:spacing w:line="276" w:lineRule="auto"/>
              <w:jc w:val="right"/>
              <w:cnfStyle w:val="000000100000" w:firstRow="0" w:lastRow="0" w:firstColumn="0" w:lastColumn="0" w:oddVBand="0" w:evenVBand="0" w:oddHBand="1" w:evenHBand="0" w:firstRowFirstColumn="0" w:firstRowLastColumn="0" w:lastRowFirstColumn="0" w:lastRowLastColumn="0"/>
              <w:rPr>
                <w:rFonts w:cstheme="minorHAnsi"/>
                <w:lang w:bidi="pl-PL"/>
              </w:rPr>
            </w:pPr>
            <w:r w:rsidRPr="00F16251">
              <w:rPr>
                <w:rFonts w:cstheme="minorHAnsi"/>
                <w:lang w:bidi="pl-PL"/>
              </w:rPr>
              <w:t>55 626</w:t>
            </w:r>
          </w:p>
        </w:tc>
        <w:tc>
          <w:tcPr>
            <w:tcW w:w="1053" w:type="dxa"/>
          </w:tcPr>
          <w:p w14:paraId="322A1A99" w14:textId="780AFFBF" w:rsidR="00C7528D" w:rsidRPr="00F16251" w:rsidRDefault="00C7528D" w:rsidP="00D02820">
            <w:pPr>
              <w:spacing w:line="276" w:lineRule="auto"/>
              <w:jc w:val="right"/>
              <w:cnfStyle w:val="000000100000" w:firstRow="0" w:lastRow="0" w:firstColumn="0" w:lastColumn="0" w:oddVBand="0" w:evenVBand="0" w:oddHBand="1" w:evenHBand="0" w:firstRowFirstColumn="0" w:firstRowLastColumn="0" w:lastRowFirstColumn="0" w:lastRowLastColumn="0"/>
              <w:rPr>
                <w:rFonts w:cstheme="minorHAnsi"/>
                <w:lang w:bidi="pl-PL"/>
              </w:rPr>
            </w:pPr>
            <w:r w:rsidRPr="00F16251">
              <w:rPr>
                <w:rFonts w:cstheme="minorHAnsi"/>
                <w:lang w:bidi="pl-PL"/>
              </w:rPr>
              <w:t>55 751</w:t>
            </w:r>
          </w:p>
        </w:tc>
        <w:tc>
          <w:tcPr>
            <w:tcW w:w="1053" w:type="dxa"/>
          </w:tcPr>
          <w:p w14:paraId="144B20D9" w14:textId="42E1B94B" w:rsidR="00C7528D" w:rsidRPr="00F16251" w:rsidRDefault="00C7528D" w:rsidP="00D02820">
            <w:pPr>
              <w:spacing w:line="276" w:lineRule="auto"/>
              <w:jc w:val="right"/>
              <w:cnfStyle w:val="000000100000" w:firstRow="0" w:lastRow="0" w:firstColumn="0" w:lastColumn="0" w:oddVBand="0" w:evenVBand="0" w:oddHBand="1" w:evenHBand="0" w:firstRowFirstColumn="0" w:firstRowLastColumn="0" w:lastRowFirstColumn="0" w:lastRowLastColumn="0"/>
              <w:rPr>
                <w:rFonts w:cstheme="minorHAnsi"/>
                <w:lang w:bidi="pl-PL"/>
              </w:rPr>
            </w:pPr>
            <w:r w:rsidRPr="00F16251">
              <w:rPr>
                <w:rFonts w:cstheme="minorHAnsi"/>
                <w:lang w:bidi="pl-PL"/>
              </w:rPr>
              <w:t>55 736</w:t>
            </w:r>
          </w:p>
        </w:tc>
        <w:tc>
          <w:tcPr>
            <w:tcW w:w="1053" w:type="dxa"/>
          </w:tcPr>
          <w:p w14:paraId="2137E054" w14:textId="38683E61" w:rsidR="00C7528D" w:rsidRPr="00F16251" w:rsidRDefault="00C7528D" w:rsidP="00D02820">
            <w:pPr>
              <w:spacing w:line="276" w:lineRule="auto"/>
              <w:jc w:val="right"/>
              <w:cnfStyle w:val="000000100000" w:firstRow="0" w:lastRow="0" w:firstColumn="0" w:lastColumn="0" w:oddVBand="0" w:evenVBand="0" w:oddHBand="1" w:evenHBand="0" w:firstRowFirstColumn="0" w:firstRowLastColumn="0" w:lastRowFirstColumn="0" w:lastRowLastColumn="0"/>
              <w:rPr>
                <w:rFonts w:cstheme="minorHAnsi"/>
                <w:lang w:bidi="pl-PL"/>
              </w:rPr>
            </w:pPr>
            <w:r w:rsidRPr="00F16251">
              <w:rPr>
                <w:rFonts w:cstheme="minorHAnsi"/>
                <w:lang w:bidi="pl-PL"/>
              </w:rPr>
              <w:t>55 246</w:t>
            </w:r>
          </w:p>
        </w:tc>
        <w:tc>
          <w:tcPr>
            <w:tcW w:w="1053" w:type="dxa"/>
          </w:tcPr>
          <w:p w14:paraId="77A5B288" w14:textId="026E02D1" w:rsidR="00C7528D" w:rsidRPr="00F16251" w:rsidRDefault="00C7528D" w:rsidP="00D02820">
            <w:pPr>
              <w:spacing w:line="276" w:lineRule="auto"/>
              <w:jc w:val="right"/>
              <w:cnfStyle w:val="000000100000" w:firstRow="0" w:lastRow="0" w:firstColumn="0" w:lastColumn="0" w:oddVBand="0" w:evenVBand="0" w:oddHBand="1" w:evenHBand="0" w:firstRowFirstColumn="0" w:firstRowLastColumn="0" w:lastRowFirstColumn="0" w:lastRowLastColumn="0"/>
              <w:rPr>
                <w:rFonts w:cstheme="minorHAnsi"/>
                <w:lang w:bidi="pl-PL"/>
              </w:rPr>
            </w:pPr>
            <w:r w:rsidRPr="00F16251">
              <w:rPr>
                <w:rFonts w:cstheme="minorHAnsi"/>
                <w:lang w:bidi="pl-PL"/>
              </w:rPr>
              <w:t>55 369</w:t>
            </w:r>
          </w:p>
        </w:tc>
      </w:tr>
    </w:tbl>
    <w:p w14:paraId="2623D415" w14:textId="77777777" w:rsidR="00C7528D" w:rsidRPr="00F16251" w:rsidRDefault="00C7528D" w:rsidP="00C7528D">
      <w:pPr>
        <w:spacing w:line="276" w:lineRule="auto"/>
        <w:jc w:val="both"/>
        <w:rPr>
          <w:rFonts w:eastAsia="Calibri" w:cstheme="minorHAnsi"/>
        </w:rPr>
      </w:pPr>
      <w:r w:rsidRPr="00F16251">
        <w:rPr>
          <w:rFonts w:eastAsia="Calibri" w:cstheme="minorHAnsi"/>
        </w:rPr>
        <w:t>Źródło: Opracowanie własne</w:t>
      </w:r>
    </w:p>
    <w:p w14:paraId="0835FB9A" w14:textId="6EB59E4C" w:rsidR="00E74559" w:rsidRPr="00F16251" w:rsidRDefault="00E74559" w:rsidP="00C7528D">
      <w:pPr>
        <w:spacing w:line="276" w:lineRule="auto"/>
        <w:jc w:val="both"/>
        <w:rPr>
          <w:rFonts w:cstheme="minorHAnsi"/>
          <w:color w:val="000000"/>
          <w:kern w:val="0"/>
        </w:rPr>
      </w:pPr>
    </w:p>
    <w:p w14:paraId="0A8B7041" w14:textId="31FB9C6A" w:rsidR="00242220" w:rsidRPr="00F16251" w:rsidRDefault="00242220" w:rsidP="00242220">
      <w:pPr>
        <w:spacing w:line="276" w:lineRule="auto"/>
        <w:ind w:firstLine="360"/>
        <w:jc w:val="both"/>
        <w:rPr>
          <w:rFonts w:cstheme="minorHAnsi"/>
        </w:rPr>
      </w:pPr>
      <w:r w:rsidRPr="00F16251">
        <w:rPr>
          <w:rFonts w:cstheme="minorHAnsi"/>
        </w:rPr>
        <w:t xml:space="preserve">Jednymi z istotnych czynników oddziałujących na stan rynku pracy są uwarunkowania demograficzne. Liczba mieszkańców obszaru </w:t>
      </w:r>
      <w:r w:rsidR="00285D5D" w:rsidRPr="00F16251">
        <w:rPr>
          <w:rFonts w:cstheme="minorHAnsi"/>
        </w:rPr>
        <w:t>L</w:t>
      </w:r>
      <w:r w:rsidRPr="00F16251">
        <w:rPr>
          <w:rFonts w:cstheme="minorHAnsi"/>
        </w:rPr>
        <w:t xml:space="preserve">SR </w:t>
      </w:r>
      <w:r w:rsidR="00285D5D" w:rsidRPr="00F16251">
        <w:rPr>
          <w:rFonts w:cstheme="minorHAnsi"/>
        </w:rPr>
        <w:t xml:space="preserve">w większości </w:t>
      </w:r>
      <w:r w:rsidRPr="00F16251">
        <w:rPr>
          <w:rFonts w:cstheme="minorHAnsi"/>
        </w:rPr>
        <w:t xml:space="preserve">rośnie, co jest charakterystyczne dla gmin wokół </w:t>
      </w:r>
      <w:r w:rsidR="00285D5D" w:rsidRPr="00F16251">
        <w:rPr>
          <w:rFonts w:cstheme="minorHAnsi"/>
        </w:rPr>
        <w:t xml:space="preserve">większych miast </w:t>
      </w:r>
      <w:r w:rsidRPr="00F16251">
        <w:rPr>
          <w:rFonts w:cstheme="minorHAnsi"/>
        </w:rPr>
        <w:t xml:space="preserve">(napływ nowych mieszkańców z miasta rdzeniowego), jednak największy zauważalny przyrost mieszkańców występuje </w:t>
      </w:r>
      <w:r w:rsidR="00285D5D" w:rsidRPr="00F16251">
        <w:rPr>
          <w:rFonts w:cstheme="minorHAnsi"/>
        </w:rPr>
        <w:br/>
      </w:r>
      <w:r w:rsidRPr="00F16251">
        <w:rPr>
          <w:rFonts w:cstheme="minorHAnsi"/>
        </w:rPr>
        <w:t>w gmin</w:t>
      </w:r>
      <w:r w:rsidR="00285D5D" w:rsidRPr="00F16251">
        <w:rPr>
          <w:rFonts w:cstheme="minorHAnsi"/>
        </w:rPr>
        <w:t>ach Tuliszków (460) i Rychwał (357)</w:t>
      </w:r>
      <w:r w:rsidRPr="00F16251">
        <w:rPr>
          <w:rFonts w:cstheme="minorHAnsi"/>
        </w:rPr>
        <w:t>, ze względu na intensywny rozwój nowych terenów pod budownictwo mieszkaniowe i osiedlanie się nowych rodzin na tym terenie.</w:t>
      </w:r>
    </w:p>
    <w:p w14:paraId="12ABDEFD" w14:textId="77777777" w:rsidR="00EE12A5" w:rsidRPr="00F16251" w:rsidRDefault="00EE12A5" w:rsidP="00873026">
      <w:pPr>
        <w:spacing w:line="276" w:lineRule="auto"/>
        <w:jc w:val="both"/>
        <w:rPr>
          <w:rFonts w:cstheme="minorHAnsi"/>
          <w:color w:val="000000"/>
          <w:kern w:val="0"/>
        </w:rPr>
      </w:pPr>
    </w:p>
    <w:p w14:paraId="16E67133" w14:textId="65B26B9B" w:rsidR="00873026" w:rsidRPr="00F16251" w:rsidRDefault="00873026" w:rsidP="00873026">
      <w:pPr>
        <w:spacing w:line="276" w:lineRule="auto"/>
        <w:rPr>
          <w:rFonts w:cstheme="minorHAnsi"/>
        </w:rPr>
      </w:pPr>
      <w:r w:rsidRPr="003017ED">
        <w:rPr>
          <w:rFonts w:cstheme="minorHAnsi"/>
        </w:rPr>
        <w:t xml:space="preserve">Tabela nr </w:t>
      </w:r>
      <w:r w:rsidR="00396A11" w:rsidRPr="003017ED">
        <w:rPr>
          <w:rFonts w:cstheme="minorHAnsi"/>
        </w:rPr>
        <w:t>3</w:t>
      </w:r>
      <w:r w:rsidRPr="003017ED">
        <w:rPr>
          <w:rFonts w:cstheme="minorHAnsi"/>
        </w:rPr>
        <w:t xml:space="preserve"> Przyrost naturalny na obszarze LSR wg gmin wchodzących w skład obszaru LSR</w:t>
      </w:r>
    </w:p>
    <w:tbl>
      <w:tblPr>
        <w:tblStyle w:val="Tabelasiatki5ciemnaakcent31"/>
        <w:tblW w:w="9634" w:type="dxa"/>
        <w:tblLayout w:type="fixed"/>
        <w:tblLook w:val="04A0" w:firstRow="1" w:lastRow="0" w:firstColumn="1" w:lastColumn="0" w:noHBand="0" w:noVBand="1"/>
      </w:tblPr>
      <w:tblGrid>
        <w:gridCol w:w="2263"/>
        <w:gridCol w:w="1134"/>
        <w:gridCol w:w="993"/>
        <w:gridCol w:w="992"/>
        <w:gridCol w:w="1134"/>
        <w:gridCol w:w="992"/>
        <w:gridCol w:w="1134"/>
        <w:gridCol w:w="992"/>
      </w:tblGrid>
      <w:tr w:rsidR="00873026" w:rsidRPr="00F16251" w14:paraId="161655AE" w14:textId="77777777" w:rsidTr="0087302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21915E09" w14:textId="77777777" w:rsidR="00873026" w:rsidRPr="00F16251" w:rsidRDefault="00873026" w:rsidP="00873026">
            <w:pPr>
              <w:spacing w:line="276" w:lineRule="auto"/>
              <w:rPr>
                <w:rFonts w:cstheme="minorHAnsi"/>
                <w:color w:val="auto"/>
              </w:rPr>
            </w:pPr>
          </w:p>
        </w:tc>
        <w:tc>
          <w:tcPr>
            <w:tcW w:w="1134" w:type="dxa"/>
            <w:hideMark/>
          </w:tcPr>
          <w:p w14:paraId="2E06D9C4" w14:textId="77777777" w:rsidR="00873026" w:rsidRPr="00F16251" w:rsidRDefault="00873026" w:rsidP="00873026">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F16251">
              <w:rPr>
                <w:rFonts w:cstheme="minorHAnsi"/>
                <w:color w:val="auto"/>
              </w:rPr>
              <w:t>2015</w:t>
            </w:r>
          </w:p>
        </w:tc>
        <w:tc>
          <w:tcPr>
            <w:tcW w:w="993" w:type="dxa"/>
            <w:hideMark/>
          </w:tcPr>
          <w:p w14:paraId="57DCEE32" w14:textId="77777777" w:rsidR="00873026" w:rsidRPr="00F16251" w:rsidRDefault="00873026" w:rsidP="00873026">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F16251">
              <w:rPr>
                <w:rFonts w:cstheme="minorHAnsi"/>
                <w:color w:val="auto"/>
              </w:rPr>
              <w:t>2016</w:t>
            </w:r>
          </w:p>
        </w:tc>
        <w:tc>
          <w:tcPr>
            <w:tcW w:w="992" w:type="dxa"/>
            <w:hideMark/>
          </w:tcPr>
          <w:p w14:paraId="51AAE4A1" w14:textId="77777777" w:rsidR="00873026" w:rsidRPr="00F16251" w:rsidRDefault="00873026" w:rsidP="00873026">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F16251">
              <w:rPr>
                <w:rFonts w:cstheme="minorHAnsi"/>
                <w:color w:val="auto"/>
              </w:rPr>
              <w:t>2017</w:t>
            </w:r>
          </w:p>
        </w:tc>
        <w:tc>
          <w:tcPr>
            <w:tcW w:w="1134" w:type="dxa"/>
            <w:hideMark/>
          </w:tcPr>
          <w:p w14:paraId="2411E6FB" w14:textId="77777777" w:rsidR="00873026" w:rsidRPr="00F16251" w:rsidRDefault="00873026" w:rsidP="00873026">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F16251">
              <w:rPr>
                <w:rFonts w:cstheme="minorHAnsi"/>
                <w:color w:val="auto"/>
              </w:rPr>
              <w:t>2018</w:t>
            </w:r>
          </w:p>
        </w:tc>
        <w:tc>
          <w:tcPr>
            <w:tcW w:w="992" w:type="dxa"/>
            <w:hideMark/>
          </w:tcPr>
          <w:p w14:paraId="5DD6F3A3" w14:textId="77777777" w:rsidR="00873026" w:rsidRPr="00F16251" w:rsidRDefault="00873026" w:rsidP="00873026">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F16251">
              <w:rPr>
                <w:rFonts w:cstheme="minorHAnsi"/>
                <w:color w:val="auto"/>
              </w:rPr>
              <w:t>2019</w:t>
            </w:r>
          </w:p>
        </w:tc>
        <w:tc>
          <w:tcPr>
            <w:tcW w:w="1134" w:type="dxa"/>
            <w:hideMark/>
          </w:tcPr>
          <w:p w14:paraId="1A4DA6DC" w14:textId="77777777" w:rsidR="00873026" w:rsidRPr="00F16251" w:rsidRDefault="00873026" w:rsidP="00873026">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F16251">
              <w:rPr>
                <w:rFonts w:cstheme="minorHAnsi"/>
                <w:color w:val="auto"/>
              </w:rPr>
              <w:t>2020</w:t>
            </w:r>
          </w:p>
        </w:tc>
        <w:tc>
          <w:tcPr>
            <w:tcW w:w="992" w:type="dxa"/>
            <w:hideMark/>
          </w:tcPr>
          <w:p w14:paraId="3006F5F4" w14:textId="77777777" w:rsidR="00873026" w:rsidRPr="00F16251" w:rsidRDefault="00873026" w:rsidP="00873026">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F16251">
              <w:rPr>
                <w:rFonts w:cstheme="minorHAnsi"/>
                <w:color w:val="auto"/>
              </w:rPr>
              <w:t>2021</w:t>
            </w:r>
          </w:p>
        </w:tc>
      </w:tr>
      <w:tr w:rsidR="00873026" w:rsidRPr="00F16251" w14:paraId="1D6E1653" w14:textId="77777777" w:rsidTr="0087302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71E1A4FD" w14:textId="4A0A9F79" w:rsidR="00873026" w:rsidRPr="00F16251" w:rsidRDefault="00873026" w:rsidP="00873026">
            <w:pPr>
              <w:spacing w:line="276" w:lineRule="auto"/>
              <w:rPr>
                <w:rFonts w:cstheme="minorHAnsi"/>
                <w:b w:val="0"/>
                <w:bCs w:val="0"/>
                <w:color w:val="auto"/>
              </w:rPr>
            </w:pPr>
            <w:r w:rsidRPr="00F16251">
              <w:rPr>
                <w:rFonts w:cstheme="minorHAnsi"/>
                <w:color w:val="auto"/>
                <w:lang w:bidi="pl-PL"/>
              </w:rPr>
              <w:t>Golina</w:t>
            </w:r>
          </w:p>
        </w:tc>
        <w:tc>
          <w:tcPr>
            <w:tcW w:w="1134" w:type="dxa"/>
            <w:noWrap/>
            <w:hideMark/>
          </w:tcPr>
          <w:p w14:paraId="59F17A8E" w14:textId="77777777" w:rsidR="00873026" w:rsidRPr="00F16251" w:rsidRDefault="00873026" w:rsidP="0087302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F16251">
              <w:rPr>
                <w:rFonts w:cstheme="minorHAnsi"/>
              </w:rPr>
              <w:t>-12</w:t>
            </w:r>
          </w:p>
        </w:tc>
        <w:tc>
          <w:tcPr>
            <w:tcW w:w="993" w:type="dxa"/>
            <w:noWrap/>
            <w:hideMark/>
          </w:tcPr>
          <w:p w14:paraId="1FF76FC1" w14:textId="77777777" w:rsidR="00873026" w:rsidRPr="00F16251" w:rsidRDefault="00873026" w:rsidP="0087302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F16251">
              <w:rPr>
                <w:rFonts w:cstheme="minorHAnsi"/>
              </w:rPr>
              <w:t>5</w:t>
            </w:r>
          </w:p>
        </w:tc>
        <w:tc>
          <w:tcPr>
            <w:tcW w:w="992" w:type="dxa"/>
            <w:noWrap/>
            <w:hideMark/>
          </w:tcPr>
          <w:p w14:paraId="7287149B" w14:textId="77777777" w:rsidR="00873026" w:rsidRPr="00F16251" w:rsidRDefault="00873026" w:rsidP="0087302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F16251">
              <w:rPr>
                <w:rFonts w:cstheme="minorHAnsi"/>
              </w:rPr>
              <w:t>-6</w:t>
            </w:r>
          </w:p>
        </w:tc>
        <w:tc>
          <w:tcPr>
            <w:tcW w:w="1134" w:type="dxa"/>
            <w:noWrap/>
            <w:hideMark/>
          </w:tcPr>
          <w:p w14:paraId="432E61D0" w14:textId="77777777" w:rsidR="00873026" w:rsidRPr="00F16251" w:rsidRDefault="00873026" w:rsidP="0087302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F16251">
              <w:rPr>
                <w:rFonts w:cstheme="minorHAnsi"/>
              </w:rPr>
              <w:t>11</w:t>
            </w:r>
          </w:p>
        </w:tc>
        <w:tc>
          <w:tcPr>
            <w:tcW w:w="992" w:type="dxa"/>
            <w:noWrap/>
            <w:hideMark/>
          </w:tcPr>
          <w:p w14:paraId="656B4ACB" w14:textId="77777777" w:rsidR="00873026" w:rsidRPr="00F16251" w:rsidRDefault="00873026" w:rsidP="0087302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F16251">
              <w:rPr>
                <w:rFonts w:cstheme="minorHAnsi"/>
              </w:rPr>
              <w:t>2</w:t>
            </w:r>
          </w:p>
        </w:tc>
        <w:tc>
          <w:tcPr>
            <w:tcW w:w="1134" w:type="dxa"/>
            <w:noWrap/>
            <w:hideMark/>
          </w:tcPr>
          <w:p w14:paraId="60212C9B" w14:textId="77777777" w:rsidR="00873026" w:rsidRPr="00F16251" w:rsidRDefault="00873026" w:rsidP="0087302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F16251">
              <w:rPr>
                <w:rFonts w:cstheme="minorHAnsi"/>
              </w:rPr>
              <w:t>-21</w:t>
            </w:r>
          </w:p>
        </w:tc>
        <w:tc>
          <w:tcPr>
            <w:tcW w:w="992" w:type="dxa"/>
            <w:noWrap/>
            <w:hideMark/>
          </w:tcPr>
          <w:p w14:paraId="73B90E7F" w14:textId="77777777" w:rsidR="00873026" w:rsidRPr="00F16251" w:rsidRDefault="00873026" w:rsidP="0087302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F16251">
              <w:rPr>
                <w:rFonts w:cstheme="minorHAnsi"/>
              </w:rPr>
              <w:t>-22</w:t>
            </w:r>
          </w:p>
        </w:tc>
      </w:tr>
      <w:tr w:rsidR="00873026" w:rsidRPr="00F16251" w14:paraId="2ADFD60D" w14:textId="77777777" w:rsidTr="00873026">
        <w:trPr>
          <w:trHeight w:val="30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235B2F1E" w14:textId="2A1AA1C4" w:rsidR="00873026" w:rsidRPr="00F16251" w:rsidRDefault="00873026" w:rsidP="00873026">
            <w:pPr>
              <w:spacing w:line="276" w:lineRule="auto"/>
              <w:rPr>
                <w:rFonts w:cstheme="minorHAnsi"/>
                <w:color w:val="auto"/>
              </w:rPr>
            </w:pPr>
            <w:r w:rsidRPr="00F16251">
              <w:rPr>
                <w:rFonts w:cstheme="minorHAnsi"/>
                <w:color w:val="auto"/>
                <w:lang w:bidi="pl-PL"/>
              </w:rPr>
              <w:t>Grodziec</w:t>
            </w:r>
          </w:p>
        </w:tc>
        <w:tc>
          <w:tcPr>
            <w:tcW w:w="1134" w:type="dxa"/>
            <w:noWrap/>
            <w:hideMark/>
          </w:tcPr>
          <w:p w14:paraId="4E961051" w14:textId="77777777" w:rsidR="00873026" w:rsidRPr="00F16251" w:rsidRDefault="00873026" w:rsidP="0087302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F16251">
              <w:rPr>
                <w:rFonts w:cstheme="minorHAnsi"/>
              </w:rPr>
              <w:t>12</w:t>
            </w:r>
          </w:p>
        </w:tc>
        <w:tc>
          <w:tcPr>
            <w:tcW w:w="993" w:type="dxa"/>
            <w:noWrap/>
            <w:hideMark/>
          </w:tcPr>
          <w:p w14:paraId="6DFCD86D" w14:textId="77777777" w:rsidR="00873026" w:rsidRPr="00F16251" w:rsidRDefault="00873026" w:rsidP="0087302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F16251">
              <w:rPr>
                <w:rFonts w:cstheme="minorHAnsi"/>
              </w:rPr>
              <w:t>-21</w:t>
            </w:r>
          </w:p>
        </w:tc>
        <w:tc>
          <w:tcPr>
            <w:tcW w:w="992" w:type="dxa"/>
            <w:noWrap/>
            <w:hideMark/>
          </w:tcPr>
          <w:p w14:paraId="1807C81C" w14:textId="77777777" w:rsidR="00873026" w:rsidRPr="00F16251" w:rsidRDefault="00873026" w:rsidP="0087302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F16251">
              <w:rPr>
                <w:rFonts w:cstheme="minorHAnsi"/>
              </w:rPr>
              <w:t>-10</w:t>
            </w:r>
          </w:p>
        </w:tc>
        <w:tc>
          <w:tcPr>
            <w:tcW w:w="1134" w:type="dxa"/>
            <w:noWrap/>
            <w:hideMark/>
          </w:tcPr>
          <w:p w14:paraId="7D948D0B" w14:textId="77777777" w:rsidR="00873026" w:rsidRPr="00F16251" w:rsidRDefault="00873026" w:rsidP="0087302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F16251">
              <w:rPr>
                <w:rFonts w:cstheme="minorHAnsi"/>
              </w:rPr>
              <w:t>-14</w:t>
            </w:r>
          </w:p>
        </w:tc>
        <w:tc>
          <w:tcPr>
            <w:tcW w:w="992" w:type="dxa"/>
            <w:noWrap/>
            <w:hideMark/>
          </w:tcPr>
          <w:p w14:paraId="46F3EC03" w14:textId="77777777" w:rsidR="00873026" w:rsidRPr="00F16251" w:rsidRDefault="00873026" w:rsidP="0087302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F16251">
              <w:rPr>
                <w:rFonts w:cstheme="minorHAnsi"/>
              </w:rPr>
              <w:t>26</w:t>
            </w:r>
          </w:p>
        </w:tc>
        <w:tc>
          <w:tcPr>
            <w:tcW w:w="1134" w:type="dxa"/>
            <w:noWrap/>
            <w:hideMark/>
          </w:tcPr>
          <w:p w14:paraId="16B2033D" w14:textId="77777777" w:rsidR="00873026" w:rsidRPr="00F16251" w:rsidRDefault="00873026" w:rsidP="0087302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F16251">
              <w:rPr>
                <w:rFonts w:cstheme="minorHAnsi"/>
              </w:rPr>
              <w:t>-7</w:t>
            </w:r>
          </w:p>
        </w:tc>
        <w:tc>
          <w:tcPr>
            <w:tcW w:w="992" w:type="dxa"/>
            <w:noWrap/>
            <w:hideMark/>
          </w:tcPr>
          <w:p w14:paraId="4632EDF6" w14:textId="77777777" w:rsidR="00873026" w:rsidRPr="00F16251" w:rsidRDefault="00873026" w:rsidP="0087302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F16251">
              <w:rPr>
                <w:rFonts w:cstheme="minorHAnsi"/>
              </w:rPr>
              <w:t>-23</w:t>
            </w:r>
          </w:p>
        </w:tc>
      </w:tr>
      <w:tr w:rsidR="00873026" w:rsidRPr="00F16251" w14:paraId="06448800" w14:textId="77777777" w:rsidTr="0087302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682388D6" w14:textId="10C3C229" w:rsidR="00873026" w:rsidRPr="00F16251" w:rsidRDefault="00873026" w:rsidP="00873026">
            <w:pPr>
              <w:spacing w:line="276" w:lineRule="auto"/>
              <w:rPr>
                <w:rFonts w:cstheme="minorHAnsi"/>
                <w:color w:val="auto"/>
              </w:rPr>
            </w:pPr>
            <w:r w:rsidRPr="00F16251">
              <w:rPr>
                <w:rFonts w:cstheme="minorHAnsi"/>
                <w:color w:val="auto"/>
                <w:lang w:bidi="pl-PL"/>
              </w:rPr>
              <w:t>Rychwał</w:t>
            </w:r>
          </w:p>
        </w:tc>
        <w:tc>
          <w:tcPr>
            <w:tcW w:w="1134" w:type="dxa"/>
            <w:noWrap/>
            <w:hideMark/>
          </w:tcPr>
          <w:p w14:paraId="4BF43BC0" w14:textId="77777777" w:rsidR="00873026" w:rsidRPr="00F16251" w:rsidRDefault="00873026" w:rsidP="0087302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F16251">
              <w:rPr>
                <w:rFonts w:cstheme="minorHAnsi"/>
              </w:rPr>
              <w:t>6</w:t>
            </w:r>
          </w:p>
        </w:tc>
        <w:tc>
          <w:tcPr>
            <w:tcW w:w="993" w:type="dxa"/>
            <w:noWrap/>
            <w:hideMark/>
          </w:tcPr>
          <w:p w14:paraId="73A504C5" w14:textId="77777777" w:rsidR="00873026" w:rsidRPr="00F16251" w:rsidRDefault="00873026" w:rsidP="0087302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F16251">
              <w:rPr>
                <w:rFonts w:cstheme="minorHAnsi"/>
              </w:rPr>
              <w:t>14</w:t>
            </w:r>
          </w:p>
        </w:tc>
        <w:tc>
          <w:tcPr>
            <w:tcW w:w="992" w:type="dxa"/>
            <w:noWrap/>
            <w:hideMark/>
          </w:tcPr>
          <w:p w14:paraId="1CB4F979" w14:textId="77777777" w:rsidR="00873026" w:rsidRPr="00F16251" w:rsidRDefault="00873026" w:rsidP="0087302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F16251">
              <w:rPr>
                <w:rFonts w:cstheme="minorHAnsi"/>
              </w:rPr>
              <w:t>-2</w:t>
            </w:r>
          </w:p>
        </w:tc>
        <w:tc>
          <w:tcPr>
            <w:tcW w:w="1134" w:type="dxa"/>
            <w:noWrap/>
            <w:hideMark/>
          </w:tcPr>
          <w:p w14:paraId="65D34CD4" w14:textId="77777777" w:rsidR="00873026" w:rsidRPr="00F16251" w:rsidRDefault="00873026" w:rsidP="0087302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F16251">
              <w:rPr>
                <w:rFonts w:cstheme="minorHAnsi"/>
              </w:rPr>
              <w:t>2</w:t>
            </w:r>
          </w:p>
        </w:tc>
        <w:tc>
          <w:tcPr>
            <w:tcW w:w="992" w:type="dxa"/>
            <w:noWrap/>
            <w:hideMark/>
          </w:tcPr>
          <w:p w14:paraId="763751DB" w14:textId="77777777" w:rsidR="00873026" w:rsidRPr="00F16251" w:rsidRDefault="00873026" w:rsidP="0087302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F16251">
              <w:rPr>
                <w:rFonts w:cstheme="minorHAnsi"/>
              </w:rPr>
              <w:t>-18</w:t>
            </w:r>
          </w:p>
        </w:tc>
        <w:tc>
          <w:tcPr>
            <w:tcW w:w="1134" w:type="dxa"/>
            <w:noWrap/>
            <w:hideMark/>
          </w:tcPr>
          <w:p w14:paraId="434C2D87" w14:textId="77777777" w:rsidR="00873026" w:rsidRPr="00F16251" w:rsidRDefault="00873026" w:rsidP="0087302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F16251">
              <w:rPr>
                <w:rFonts w:cstheme="minorHAnsi"/>
              </w:rPr>
              <w:t>-4</w:t>
            </w:r>
          </w:p>
        </w:tc>
        <w:tc>
          <w:tcPr>
            <w:tcW w:w="992" w:type="dxa"/>
            <w:noWrap/>
            <w:hideMark/>
          </w:tcPr>
          <w:p w14:paraId="5C7B6E55" w14:textId="77777777" w:rsidR="00873026" w:rsidRPr="00F16251" w:rsidRDefault="00873026" w:rsidP="0087302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F16251">
              <w:rPr>
                <w:rFonts w:cstheme="minorHAnsi"/>
              </w:rPr>
              <w:t>-60</w:t>
            </w:r>
          </w:p>
        </w:tc>
      </w:tr>
      <w:tr w:rsidR="00873026" w:rsidRPr="00F16251" w14:paraId="05BEDF2A" w14:textId="77777777" w:rsidTr="00873026">
        <w:trPr>
          <w:trHeight w:val="30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0E2228AB" w14:textId="2A9A9C11" w:rsidR="00873026" w:rsidRPr="00F16251" w:rsidRDefault="00873026" w:rsidP="00873026">
            <w:pPr>
              <w:spacing w:line="276" w:lineRule="auto"/>
              <w:rPr>
                <w:rFonts w:cstheme="minorHAnsi"/>
                <w:color w:val="auto"/>
              </w:rPr>
            </w:pPr>
            <w:r w:rsidRPr="00F16251">
              <w:rPr>
                <w:rFonts w:cstheme="minorHAnsi"/>
                <w:color w:val="auto"/>
                <w:lang w:bidi="pl-PL"/>
              </w:rPr>
              <w:t>Rzgów</w:t>
            </w:r>
          </w:p>
        </w:tc>
        <w:tc>
          <w:tcPr>
            <w:tcW w:w="1134" w:type="dxa"/>
            <w:noWrap/>
            <w:hideMark/>
          </w:tcPr>
          <w:p w14:paraId="645438AB" w14:textId="77777777" w:rsidR="00873026" w:rsidRPr="00F16251" w:rsidRDefault="00873026" w:rsidP="0087302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F16251">
              <w:rPr>
                <w:rFonts w:cstheme="minorHAnsi"/>
              </w:rPr>
              <w:t>-5</w:t>
            </w:r>
          </w:p>
        </w:tc>
        <w:tc>
          <w:tcPr>
            <w:tcW w:w="993" w:type="dxa"/>
            <w:noWrap/>
            <w:hideMark/>
          </w:tcPr>
          <w:p w14:paraId="0E0EE43F" w14:textId="77777777" w:rsidR="00873026" w:rsidRPr="00F16251" w:rsidRDefault="00873026" w:rsidP="0087302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F16251">
              <w:rPr>
                <w:rFonts w:cstheme="minorHAnsi"/>
              </w:rPr>
              <w:t>-3</w:t>
            </w:r>
          </w:p>
        </w:tc>
        <w:tc>
          <w:tcPr>
            <w:tcW w:w="992" w:type="dxa"/>
            <w:noWrap/>
            <w:hideMark/>
          </w:tcPr>
          <w:p w14:paraId="6C56FC7B" w14:textId="77777777" w:rsidR="00873026" w:rsidRPr="00F16251" w:rsidRDefault="00873026" w:rsidP="0087302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F16251">
              <w:rPr>
                <w:rFonts w:cstheme="minorHAnsi"/>
              </w:rPr>
              <w:t>-11</w:t>
            </w:r>
          </w:p>
        </w:tc>
        <w:tc>
          <w:tcPr>
            <w:tcW w:w="1134" w:type="dxa"/>
            <w:noWrap/>
            <w:hideMark/>
          </w:tcPr>
          <w:p w14:paraId="6020F258" w14:textId="77777777" w:rsidR="00873026" w:rsidRPr="00F16251" w:rsidRDefault="00873026" w:rsidP="0087302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F16251">
              <w:rPr>
                <w:rFonts w:cstheme="minorHAnsi"/>
              </w:rPr>
              <w:t>7</w:t>
            </w:r>
          </w:p>
        </w:tc>
        <w:tc>
          <w:tcPr>
            <w:tcW w:w="992" w:type="dxa"/>
            <w:noWrap/>
            <w:hideMark/>
          </w:tcPr>
          <w:p w14:paraId="6AFDF6F4" w14:textId="77777777" w:rsidR="00873026" w:rsidRPr="00F16251" w:rsidRDefault="00873026" w:rsidP="0087302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F16251">
              <w:rPr>
                <w:rFonts w:cstheme="minorHAnsi"/>
              </w:rPr>
              <w:t>-3</w:t>
            </w:r>
          </w:p>
        </w:tc>
        <w:tc>
          <w:tcPr>
            <w:tcW w:w="1134" w:type="dxa"/>
            <w:noWrap/>
            <w:hideMark/>
          </w:tcPr>
          <w:p w14:paraId="2BF7D871" w14:textId="77777777" w:rsidR="00873026" w:rsidRPr="00F16251" w:rsidRDefault="00873026" w:rsidP="0087302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F16251">
              <w:rPr>
                <w:rFonts w:cstheme="minorHAnsi"/>
              </w:rPr>
              <w:t>-20</w:t>
            </w:r>
          </w:p>
        </w:tc>
        <w:tc>
          <w:tcPr>
            <w:tcW w:w="992" w:type="dxa"/>
            <w:noWrap/>
            <w:hideMark/>
          </w:tcPr>
          <w:p w14:paraId="5E372CCF" w14:textId="77777777" w:rsidR="00873026" w:rsidRPr="00F16251" w:rsidRDefault="00873026" w:rsidP="0087302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F16251">
              <w:rPr>
                <w:rFonts w:cstheme="minorHAnsi"/>
              </w:rPr>
              <w:t>-17</w:t>
            </w:r>
          </w:p>
        </w:tc>
      </w:tr>
      <w:tr w:rsidR="00873026" w:rsidRPr="00F16251" w14:paraId="79E73891" w14:textId="77777777" w:rsidTr="0087302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0683F932" w14:textId="30D0A960" w:rsidR="00873026" w:rsidRPr="00F16251" w:rsidRDefault="00873026" w:rsidP="00873026">
            <w:pPr>
              <w:spacing w:line="276" w:lineRule="auto"/>
              <w:rPr>
                <w:rFonts w:cstheme="minorHAnsi"/>
                <w:color w:val="auto"/>
              </w:rPr>
            </w:pPr>
            <w:r w:rsidRPr="00F16251">
              <w:rPr>
                <w:rFonts w:cstheme="minorHAnsi"/>
                <w:color w:val="auto"/>
                <w:lang w:bidi="pl-PL"/>
              </w:rPr>
              <w:t>Stare Miasto</w:t>
            </w:r>
          </w:p>
        </w:tc>
        <w:tc>
          <w:tcPr>
            <w:tcW w:w="1134" w:type="dxa"/>
            <w:noWrap/>
            <w:hideMark/>
          </w:tcPr>
          <w:p w14:paraId="5E146D28" w14:textId="77777777" w:rsidR="00873026" w:rsidRPr="00F16251" w:rsidRDefault="00873026" w:rsidP="0087302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F16251">
              <w:rPr>
                <w:rFonts w:cstheme="minorHAnsi"/>
              </w:rPr>
              <w:t>-4</w:t>
            </w:r>
          </w:p>
        </w:tc>
        <w:tc>
          <w:tcPr>
            <w:tcW w:w="993" w:type="dxa"/>
            <w:noWrap/>
            <w:hideMark/>
          </w:tcPr>
          <w:p w14:paraId="50AC751E" w14:textId="77777777" w:rsidR="00873026" w:rsidRPr="00F16251" w:rsidRDefault="00873026" w:rsidP="0087302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F16251">
              <w:rPr>
                <w:rFonts w:cstheme="minorHAnsi"/>
              </w:rPr>
              <w:t>2</w:t>
            </w:r>
          </w:p>
        </w:tc>
        <w:tc>
          <w:tcPr>
            <w:tcW w:w="992" w:type="dxa"/>
            <w:noWrap/>
            <w:hideMark/>
          </w:tcPr>
          <w:p w14:paraId="0315D4B9" w14:textId="77777777" w:rsidR="00873026" w:rsidRPr="00F16251" w:rsidRDefault="00873026" w:rsidP="0087302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F16251">
              <w:rPr>
                <w:rFonts w:cstheme="minorHAnsi"/>
              </w:rPr>
              <w:t>23</w:t>
            </w:r>
          </w:p>
        </w:tc>
        <w:tc>
          <w:tcPr>
            <w:tcW w:w="1134" w:type="dxa"/>
            <w:noWrap/>
            <w:hideMark/>
          </w:tcPr>
          <w:p w14:paraId="778E61FE" w14:textId="77777777" w:rsidR="00873026" w:rsidRPr="00F16251" w:rsidRDefault="00873026" w:rsidP="0087302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F16251">
              <w:rPr>
                <w:rFonts w:cstheme="minorHAnsi"/>
              </w:rPr>
              <w:t>0</w:t>
            </w:r>
          </w:p>
        </w:tc>
        <w:tc>
          <w:tcPr>
            <w:tcW w:w="992" w:type="dxa"/>
            <w:noWrap/>
            <w:hideMark/>
          </w:tcPr>
          <w:p w14:paraId="2C525499" w14:textId="77777777" w:rsidR="00873026" w:rsidRPr="00F16251" w:rsidRDefault="00873026" w:rsidP="0087302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F16251">
              <w:rPr>
                <w:rFonts w:cstheme="minorHAnsi"/>
              </w:rPr>
              <w:t>-32</w:t>
            </w:r>
          </w:p>
        </w:tc>
        <w:tc>
          <w:tcPr>
            <w:tcW w:w="1134" w:type="dxa"/>
            <w:noWrap/>
            <w:hideMark/>
          </w:tcPr>
          <w:p w14:paraId="6D843DC8" w14:textId="77777777" w:rsidR="00873026" w:rsidRPr="00F16251" w:rsidRDefault="00873026" w:rsidP="0087302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F16251">
              <w:rPr>
                <w:rFonts w:cstheme="minorHAnsi"/>
              </w:rPr>
              <w:t>-9</w:t>
            </w:r>
          </w:p>
        </w:tc>
        <w:tc>
          <w:tcPr>
            <w:tcW w:w="992" w:type="dxa"/>
            <w:noWrap/>
            <w:hideMark/>
          </w:tcPr>
          <w:p w14:paraId="05431773" w14:textId="77777777" w:rsidR="00873026" w:rsidRPr="00F16251" w:rsidRDefault="00873026" w:rsidP="0087302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F16251">
              <w:rPr>
                <w:rFonts w:cstheme="minorHAnsi"/>
              </w:rPr>
              <w:t>-38</w:t>
            </w:r>
          </w:p>
        </w:tc>
      </w:tr>
      <w:tr w:rsidR="00873026" w:rsidRPr="00F16251" w14:paraId="0D0D53F9" w14:textId="77777777" w:rsidTr="00873026">
        <w:trPr>
          <w:trHeight w:val="30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36720FCF" w14:textId="730823C2" w:rsidR="00873026" w:rsidRPr="00F16251" w:rsidRDefault="00873026" w:rsidP="00873026">
            <w:pPr>
              <w:spacing w:line="276" w:lineRule="auto"/>
              <w:rPr>
                <w:rFonts w:cstheme="minorHAnsi"/>
                <w:color w:val="auto"/>
              </w:rPr>
            </w:pPr>
            <w:r w:rsidRPr="00F16251">
              <w:rPr>
                <w:rFonts w:cstheme="minorHAnsi"/>
                <w:color w:val="auto"/>
                <w:lang w:bidi="pl-PL"/>
              </w:rPr>
              <w:t>Tuliszków</w:t>
            </w:r>
          </w:p>
        </w:tc>
        <w:tc>
          <w:tcPr>
            <w:tcW w:w="1134" w:type="dxa"/>
            <w:noWrap/>
            <w:hideMark/>
          </w:tcPr>
          <w:p w14:paraId="75EE5D76" w14:textId="77777777" w:rsidR="00873026" w:rsidRPr="00F16251" w:rsidRDefault="00873026" w:rsidP="0087302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F16251">
              <w:rPr>
                <w:rFonts w:cstheme="minorHAnsi"/>
              </w:rPr>
              <w:t>-16</w:t>
            </w:r>
          </w:p>
        </w:tc>
        <w:tc>
          <w:tcPr>
            <w:tcW w:w="993" w:type="dxa"/>
            <w:noWrap/>
            <w:hideMark/>
          </w:tcPr>
          <w:p w14:paraId="548461AA" w14:textId="77777777" w:rsidR="00873026" w:rsidRPr="00F16251" w:rsidRDefault="00873026" w:rsidP="0087302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F16251">
              <w:rPr>
                <w:rFonts w:cstheme="minorHAnsi"/>
              </w:rPr>
              <w:t>-23</w:t>
            </w:r>
          </w:p>
        </w:tc>
        <w:tc>
          <w:tcPr>
            <w:tcW w:w="992" w:type="dxa"/>
            <w:noWrap/>
            <w:hideMark/>
          </w:tcPr>
          <w:p w14:paraId="75A3A2E0" w14:textId="77777777" w:rsidR="00873026" w:rsidRPr="00F16251" w:rsidRDefault="00873026" w:rsidP="0087302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F16251">
              <w:rPr>
                <w:rFonts w:cstheme="minorHAnsi"/>
              </w:rPr>
              <w:t>-5</w:t>
            </w:r>
          </w:p>
        </w:tc>
        <w:tc>
          <w:tcPr>
            <w:tcW w:w="1134" w:type="dxa"/>
            <w:noWrap/>
            <w:hideMark/>
          </w:tcPr>
          <w:p w14:paraId="21AC6FB3" w14:textId="77777777" w:rsidR="00873026" w:rsidRPr="00F16251" w:rsidRDefault="00873026" w:rsidP="0087302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F16251">
              <w:rPr>
                <w:rFonts w:cstheme="minorHAnsi"/>
              </w:rPr>
              <w:t>22</w:t>
            </w:r>
          </w:p>
        </w:tc>
        <w:tc>
          <w:tcPr>
            <w:tcW w:w="992" w:type="dxa"/>
            <w:noWrap/>
            <w:hideMark/>
          </w:tcPr>
          <w:p w14:paraId="6F45F779" w14:textId="77777777" w:rsidR="00873026" w:rsidRPr="00F16251" w:rsidRDefault="00873026" w:rsidP="0087302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F16251">
              <w:rPr>
                <w:rFonts w:cstheme="minorHAnsi"/>
              </w:rPr>
              <w:t>-21</w:t>
            </w:r>
          </w:p>
        </w:tc>
        <w:tc>
          <w:tcPr>
            <w:tcW w:w="1134" w:type="dxa"/>
            <w:noWrap/>
            <w:hideMark/>
          </w:tcPr>
          <w:p w14:paraId="6A33C7CD" w14:textId="77777777" w:rsidR="00873026" w:rsidRPr="00F16251" w:rsidRDefault="00873026" w:rsidP="0087302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F16251">
              <w:rPr>
                <w:rFonts w:cstheme="minorHAnsi"/>
              </w:rPr>
              <w:t>-43</w:t>
            </w:r>
          </w:p>
        </w:tc>
        <w:tc>
          <w:tcPr>
            <w:tcW w:w="992" w:type="dxa"/>
            <w:noWrap/>
            <w:hideMark/>
          </w:tcPr>
          <w:p w14:paraId="5F850493" w14:textId="77777777" w:rsidR="00873026" w:rsidRPr="00F16251" w:rsidRDefault="00873026" w:rsidP="00873026">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F16251">
              <w:rPr>
                <w:rFonts w:cstheme="minorHAnsi"/>
              </w:rPr>
              <w:t>-63</w:t>
            </w:r>
          </w:p>
        </w:tc>
      </w:tr>
      <w:tr w:rsidR="00873026" w:rsidRPr="00F16251" w14:paraId="4EF99919" w14:textId="77777777" w:rsidTr="0087302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535B1F65" w14:textId="26B7FC95" w:rsidR="00873026" w:rsidRPr="00F16251" w:rsidRDefault="00873026" w:rsidP="00873026">
            <w:pPr>
              <w:spacing w:line="276" w:lineRule="auto"/>
              <w:rPr>
                <w:rFonts w:cstheme="minorHAnsi"/>
                <w:color w:val="auto"/>
              </w:rPr>
            </w:pPr>
            <w:r w:rsidRPr="00F16251">
              <w:rPr>
                <w:rFonts w:cstheme="minorHAnsi"/>
                <w:color w:val="auto"/>
                <w:lang w:bidi="pl-PL"/>
              </w:rPr>
              <w:t>RAZEM</w:t>
            </w:r>
          </w:p>
        </w:tc>
        <w:tc>
          <w:tcPr>
            <w:tcW w:w="1134" w:type="dxa"/>
            <w:noWrap/>
            <w:hideMark/>
          </w:tcPr>
          <w:p w14:paraId="4B948B0B" w14:textId="77777777" w:rsidR="00873026" w:rsidRPr="00F16251" w:rsidRDefault="00873026" w:rsidP="0087302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F16251">
              <w:rPr>
                <w:rFonts w:cstheme="minorHAnsi"/>
              </w:rPr>
              <w:t>14</w:t>
            </w:r>
          </w:p>
        </w:tc>
        <w:tc>
          <w:tcPr>
            <w:tcW w:w="993" w:type="dxa"/>
            <w:noWrap/>
            <w:hideMark/>
          </w:tcPr>
          <w:p w14:paraId="1CA6F625" w14:textId="77777777" w:rsidR="00873026" w:rsidRPr="00F16251" w:rsidRDefault="00873026" w:rsidP="0087302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F16251">
              <w:rPr>
                <w:rFonts w:cstheme="minorHAnsi"/>
              </w:rPr>
              <w:t>-4</w:t>
            </w:r>
          </w:p>
        </w:tc>
        <w:tc>
          <w:tcPr>
            <w:tcW w:w="992" w:type="dxa"/>
            <w:noWrap/>
            <w:hideMark/>
          </w:tcPr>
          <w:p w14:paraId="4C3DB86A" w14:textId="77777777" w:rsidR="00873026" w:rsidRPr="00F16251" w:rsidRDefault="00873026" w:rsidP="0087302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F16251">
              <w:rPr>
                <w:rFonts w:cstheme="minorHAnsi"/>
              </w:rPr>
              <w:t>3</w:t>
            </w:r>
          </w:p>
        </w:tc>
        <w:tc>
          <w:tcPr>
            <w:tcW w:w="1134" w:type="dxa"/>
            <w:noWrap/>
            <w:hideMark/>
          </w:tcPr>
          <w:p w14:paraId="76D8A594" w14:textId="77777777" w:rsidR="00873026" w:rsidRPr="00F16251" w:rsidRDefault="00873026" w:rsidP="0087302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F16251">
              <w:rPr>
                <w:rFonts w:cstheme="minorHAnsi"/>
              </w:rPr>
              <w:t>29</w:t>
            </w:r>
          </w:p>
        </w:tc>
        <w:tc>
          <w:tcPr>
            <w:tcW w:w="992" w:type="dxa"/>
            <w:noWrap/>
            <w:hideMark/>
          </w:tcPr>
          <w:p w14:paraId="70550E42" w14:textId="77777777" w:rsidR="00873026" w:rsidRPr="00F16251" w:rsidRDefault="00873026" w:rsidP="0087302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F16251">
              <w:rPr>
                <w:rFonts w:cstheme="minorHAnsi"/>
              </w:rPr>
              <w:t>24</w:t>
            </w:r>
          </w:p>
        </w:tc>
        <w:tc>
          <w:tcPr>
            <w:tcW w:w="1134" w:type="dxa"/>
            <w:noWrap/>
            <w:hideMark/>
          </w:tcPr>
          <w:p w14:paraId="0A10DE9C" w14:textId="77777777" w:rsidR="00873026" w:rsidRPr="00F16251" w:rsidRDefault="00873026" w:rsidP="0087302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F16251">
              <w:rPr>
                <w:rFonts w:cstheme="minorHAnsi"/>
              </w:rPr>
              <w:t>8</w:t>
            </w:r>
          </w:p>
        </w:tc>
        <w:tc>
          <w:tcPr>
            <w:tcW w:w="992" w:type="dxa"/>
            <w:noWrap/>
            <w:hideMark/>
          </w:tcPr>
          <w:p w14:paraId="4438B80D" w14:textId="77777777" w:rsidR="00873026" w:rsidRPr="00F16251" w:rsidRDefault="00873026" w:rsidP="0087302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F16251">
              <w:rPr>
                <w:rFonts w:cstheme="minorHAnsi"/>
              </w:rPr>
              <w:t>-8</w:t>
            </w:r>
          </w:p>
        </w:tc>
      </w:tr>
    </w:tbl>
    <w:p w14:paraId="09D319DD" w14:textId="427D535E" w:rsidR="00BD17DA" w:rsidRDefault="00873026" w:rsidP="00BD17DA">
      <w:pPr>
        <w:spacing w:line="276" w:lineRule="auto"/>
        <w:rPr>
          <w:rFonts w:eastAsia="Times New Roman" w:cstheme="minorHAnsi"/>
          <w:b/>
          <w:bCs/>
          <w:color w:val="2F5496" w:themeColor="accent1" w:themeShade="BF"/>
        </w:rPr>
      </w:pPr>
      <w:r w:rsidRPr="00F16251">
        <w:rPr>
          <w:rFonts w:cstheme="minorHAnsi"/>
        </w:rPr>
        <w:t>Źródło: Opracowanie własne na podstawie danych GUS</w:t>
      </w:r>
      <w:bookmarkStart w:id="25" w:name="_Toc136212404"/>
      <w:bookmarkStart w:id="26" w:name="_Toc136260190"/>
      <w:r w:rsidR="00BD17DA">
        <w:rPr>
          <w:rFonts w:eastAsia="Times New Roman" w:cstheme="minorHAnsi"/>
          <w:b/>
          <w:bCs/>
        </w:rPr>
        <w:br w:type="page"/>
      </w:r>
    </w:p>
    <w:p w14:paraId="25FD23EA" w14:textId="0C35DFB0" w:rsidR="00E2372E" w:rsidRPr="00F16251" w:rsidRDefault="00E2372E" w:rsidP="00A26C26">
      <w:pPr>
        <w:pStyle w:val="Nagwek1"/>
        <w:spacing w:before="0" w:line="276" w:lineRule="auto"/>
        <w:rPr>
          <w:rFonts w:asciiTheme="minorHAnsi" w:eastAsia="Times New Roman" w:hAnsiTheme="minorHAnsi" w:cstheme="minorHAnsi"/>
          <w:b/>
          <w:bCs/>
          <w:sz w:val="22"/>
          <w:szCs w:val="22"/>
        </w:rPr>
      </w:pPr>
      <w:bookmarkStart w:id="27" w:name="_Toc136944400"/>
      <w:r w:rsidRPr="00F16251">
        <w:rPr>
          <w:rFonts w:asciiTheme="minorHAnsi" w:eastAsia="Times New Roman" w:hAnsiTheme="minorHAnsi" w:cstheme="minorHAnsi"/>
          <w:b/>
          <w:bCs/>
          <w:sz w:val="22"/>
          <w:szCs w:val="22"/>
        </w:rPr>
        <w:lastRenderedPageBreak/>
        <w:t>ROZDZIAŁ</w:t>
      </w:r>
      <w:r w:rsidR="003B50ED" w:rsidRPr="00F16251">
        <w:rPr>
          <w:rFonts w:asciiTheme="minorHAnsi" w:eastAsia="Times New Roman" w:hAnsiTheme="minorHAnsi" w:cstheme="minorHAnsi"/>
          <w:b/>
          <w:bCs/>
          <w:sz w:val="22"/>
          <w:szCs w:val="22"/>
        </w:rPr>
        <w:t xml:space="preserve"> </w:t>
      </w:r>
      <w:r w:rsidRPr="00F16251">
        <w:rPr>
          <w:rFonts w:asciiTheme="minorHAnsi" w:eastAsia="Times New Roman" w:hAnsiTheme="minorHAnsi" w:cstheme="minorHAnsi"/>
          <w:b/>
          <w:bCs/>
          <w:sz w:val="22"/>
          <w:szCs w:val="22"/>
        </w:rPr>
        <w:t>III.</w:t>
      </w:r>
      <w:r w:rsidR="003B50ED" w:rsidRPr="00F16251">
        <w:rPr>
          <w:rFonts w:asciiTheme="minorHAnsi" w:eastAsia="Times New Roman" w:hAnsiTheme="minorHAnsi" w:cstheme="minorHAnsi"/>
          <w:b/>
          <w:bCs/>
          <w:sz w:val="22"/>
          <w:szCs w:val="22"/>
        </w:rPr>
        <w:t xml:space="preserve"> </w:t>
      </w:r>
      <w:r w:rsidRPr="00F16251">
        <w:rPr>
          <w:rFonts w:asciiTheme="minorHAnsi" w:eastAsia="Times New Roman" w:hAnsiTheme="minorHAnsi" w:cstheme="minorHAnsi"/>
          <w:b/>
          <w:bCs/>
          <w:sz w:val="22"/>
          <w:szCs w:val="22"/>
        </w:rPr>
        <w:t>PARTYCYPACYJNY</w:t>
      </w:r>
      <w:r w:rsidR="003B50ED" w:rsidRPr="00F16251">
        <w:rPr>
          <w:rFonts w:asciiTheme="minorHAnsi" w:eastAsia="Times New Roman" w:hAnsiTheme="minorHAnsi" w:cstheme="minorHAnsi"/>
          <w:b/>
          <w:bCs/>
          <w:sz w:val="22"/>
          <w:szCs w:val="22"/>
        </w:rPr>
        <w:t xml:space="preserve"> </w:t>
      </w:r>
      <w:r w:rsidRPr="00F16251">
        <w:rPr>
          <w:rFonts w:asciiTheme="minorHAnsi" w:eastAsia="Times New Roman" w:hAnsiTheme="minorHAnsi" w:cstheme="minorHAnsi"/>
          <w:b/>
          <w:bCs/>
          <w:sz w:val="22"/>
          <w:szCs w:val="22"/>
        </w:rPr>
        <w:t>CHARAKTER</w:t>
      </w:r>
      <w:r w:rsidR="003B50ED" w:rsidRPr="00F16251">
        <w:rPr>
          <w:rFonts w:asciiTheme="minorHAnsi" w:eastAsia="Times New Roman" w:hAnsiTheme="minorHAnsi" w:cstheme="minorHAnsi"/>
          <w:b/>
          <w:bCs/>
          <w:sz w:val="22"/>
          <w:szCs w:val="22"/>
        </w:rPr>
        <w:t xml:space="preserve"> </w:t>
      </w:r>
      <w:r w:rsidRPr="00F16251">
        <w:rPr>
          <w:rFonts w:asciiTheme="minorHAnsi" w:eastAsia="Times New Roman" w:hAnsiTheme="minorHAnsi" w:cstheme="minorHAnsi"/>
          <w:b/>
          <w:bCs/>
          <w:sz w:val="22"/>
          <w:szCs w:val="22"/>
        </w:rPr>
        <w:t>LSR</w:t>
      </w:r>
      <w:bookmarkEnd w:id="25"/>
      <w:bookmarkEnd w:id="26"/>
      <w:bookmarkEnd w:id="27"/>
      <w:r w:rsidR="003B50ED" w:rsidRPr="00F16251">
        <w:rPr>
          <w:rFonts w:asciiTheme="minorHAnsi" w:eastAsia="Times New Roman" w:hAnsiTheme="minorHAnsi" w:cstheme="minorHAnsi"/>
          <w:b/>
          <w:bCs/>
          <w:sz w:val="22"/>
          <w:szCs w:val="22"/>
        </w:rPr>
        <w:t xml:space="preserve"> </w:t>
      </w:r>
    </w:p>
    <w:p w14:paraId="223C7132" w14:textId="77777777" w:rsidR="003260B4" w:rsidRPr="00F16251" w:rsidRDefault="003260B4" w:rsidP="00A26C26">
      <w:pPr>
        <w:spacing w:line="276" w:lineRule="auto"/>
        <w:jc w:val="both"/>
        <w:rPr>
          <w:rFonts w:eastAsia="Calibri" w:cstheme="minorHAnsi"/>
          <w:color w:val="000000"/>
          <w:kern w:val="0"/>
          <w14:ligatures w14:val="none"/>
        </w:rPr>
      </w:pPr>
    </w:p>
    <w:p w14:paraId="6717AAFC" w14:textId="03CF4D54" w:rsidR="00E2372E" w:rsidRPr="00F16251" w:rsidRDefault="00E2372E" w:rsidP="003260B4">
      <w:pPr>
        <w:spacing w:line="276" w:lineRule="auto"/>
        <w:ind w:firstLine="284"/>
        <w:jc w:val="both"/>
        <w:rPr>
          <w:rFonts w:eastAsia="Calibri" w:cstheme="minorHAnsi"/>
          <w:color w:val="000000"/>
          <w:kern w:val="0"/>
          <w14:ligatures w14:val="none"/>
        </w:rPr>
      </w:pPr>
      <w:r w:rsidRPr="00F16251">
        <w:rPr>
          <w:rFonts w:eastAsia="Calibri" w:cstheme="minorHAnsi"/>
          <w:color w:val="000000"/>
          <w:kern w:val="0"/>
          <w14:ligatures w14:val="none"/>
        </w:rPr>
        <w:t>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niniejszym</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rozdziale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zaprezentowano</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metody</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partycypacji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zastosowane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kluczowych</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etapach</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prac</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nad</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budową</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LSR</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dla</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obszaru</w:t>
      </w:r>
      <w:r w:rsidR="003B50ED" w:rsidRPr="00F16251">
        <w:rPr>
          <w:rFonts w:eastAsia="Calibri" w:cstheme="minorHAnsi"/>
          <w:color w:val="000000"/>
          <w:kern w:val="0"/>
          <w14:ligatures w14:val="none"/>
        </w:rPr>
        <w:t xml:space="preserve"> </w:t>
      </w:r>
      <w:r w:rsidR="003260B4" w:rsidRPr="00F16251">
        <w:rPr>
          <w:rFonts w:eastAsia="Calibri" w:cstheme="minorHAnsi"/>
          <w:color w:val="000000"/>
          <w:kern w:val="0"/>
          <w14:ligatures w14:val="none"/>
        </w:rPr>
        <w:t>objętego LSR</w:t>
      </w:r>
      <w:r w:rsidRPr="00F16251">
        <w:rPr>
          <w:rFonts w:eastAsia="Calibri" w:cstheme="minorHAnsi"/>
          <w:color w:val="000000"/>
          <w:kern w:val="0"/>
          <w14:ligatures w14:val="none"/>
        </w:rPr>
        <w:t>.</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Należy</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jednocześnie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podkreślić,</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iż</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informacje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o</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przygotowaniach</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LSR</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zostały</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przekazane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wszystkim</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interesariuszom</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jeszcze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przed</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ogłoszeniem</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konkursu</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na</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wybór</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LSR.</w:t>
      </w:r>
    </w:p>
    <w:p w14:paraId="1207623C" w14:textId="1DD6F7AF" w:rsidR="00E2372E" w:rsidRPr="00F16251" w:rsidRDefault="00E2372E" w:rsidP="00A26C26">
      <w:pPr>
        <w:spacing w:line="276" w:lineRule="auto"/>
        <w:ind w:firstLine="284"/>
        <w:jc w:val="both"/>
        <w:rPr>
          <w:rFonts w:eastAsia="Calibri" w:cstheme="minorHAnsi"/>
          <w:color w:val="000000"/>
          <w:kern w:val="0"/>
          <w14:ligatures w14:val="none"/>
        </w:rPr>
      </w:pPr>
      <w:r w:rsidRPr="00F16251">
        <w:rPr>
          <w:rFonts w:eastAsia="Calibri" w:cstheme="minorHAnsi"/>
          <w:color w:val="000000"/>
          <w:kern w:val="0"/>
          <w14:ligatures w14:val="none"/>
        </w:rPr>
        <w:t>Na</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poszczególnych</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kluczowych</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etapach</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prac</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nad</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Strategią</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zastosowano</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kilka</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partycypacyjnych</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metod</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konsultacji.</w:t>
      </w:r>
      <w:r w:rsidR="003B50ED" w:rsidRPr="00F16251">
        <w:rPr>
          <w:rFonts w:eastAsia="Calibri" w:cstheme="minorHAnsi"/>
          <w:color w:val="000000"/>
          <w:kern w:val="0"/>
          <w14:ligatures w14:val="none"/>
        </w:rPr>
        <w:t xml:space="preserve"> </w:t>
      </w:r>
    </w:p>
    <w:p w14:paraId="405065B9" w14:textId="387F5552" w:rsidR="00E2372E" w:rsidRPr="00F16251" w:rsidRDefault="00E2372E" w:rsidP="00A26C26">
      <w:pPr>
        <w:spacing w:line="276" w:lineRule="auto"/>
        <w:ind w:firstLine="284"/>
        <w:jc w:val="both"/>
        <w:rPr>
          <w:rFonts w:eastAsia="Calibri" w:cstheme="minorHAnsi"/>
          <w:kern w:val="0"/>
          <w14:ligatures w14:val="none"/>
        </w:rPr>
      </w:pPr>
      <w:r w:rsidRPr="00F16251">
        <w:rPr>
          <w:rFonts w:eastAsia="Calibri" w:cstheme="minorHAnsi"/>
          <w:kern w:val="0"/>
          <w14:ligatures w14:val="none"/>
        </w:rPr>
        <w:t>Proces</w:t>
      </w:r>
      <w:r w:rsidR="003B50ED" w:rsidRPr="00F16251">
        <w:rPr>
          <w:rFonts w:eastAsia="Calibri" w:cstheme="minorHAnsi"/>
          <w:kern w:val="0"/>
          <w14:ligatures w14:val="none"/>
        </w:rPr>
        <w:t xml:space="preserve"> </w:t>
      </w:r>
      <w:r w:rsidRPr="00F16251">
        <w:rPr>
          <w:rFonts w:eastAsia="Calibri" w:cstheme="minorHAnsi"/>
          <w:kern w:val="0"/>
          <w14:ligatures w14:val="none"/>
        </w:rPr>
        <w:t>tworzenia</w:t>
      </w:r>
      <w:r w:rsidR="003B50ED" w:rsidRPr="00F16251">
        <w:rPr>
          <w:rFonts w:eastAsia="Calibri" w:cstheme="minorHAnsi"/>
          <w:kern w:val="0"/>
          <w14:ligatures w14:val="none"/>
        </w:rPr>
        <w:t xml:space="preserve"> </w:t>
      </w:r>
      <w:r w:rsidRPr="00F16251">
        <w:rPr>
          <w:rFonts w:eastAsia="Calibri" w:cstheme="minorHAnsi"/>
          <w:kern w:val="0"/>
          <w14:ligatures w14:val="none"/>
        </w:rPr>
        <w:t>dokumentu</w:t>
      </w:r>
      <w:r w:rsidR="003B50ED" w:rsidRPr="00F16251">
        <w:rPr>
          <w:rFonts w:eastAsia="Calibri" w:cstheme="minorHAnsi"/>
          <w:kern w:val="0"/>
          <w14:ligatures w14:val="none"/>
        </w:rPr>
        <w:t xml:space="preserve"> </w:t>
      </w:r>
      <w:r w:rsidRPr="00F16251">
        <w:rPr>
          <w:rFonts w:eastAsia="Calibri" w:cstheme="minorHAnsi"/>
          <w:kern w:val="0"/>
          <w14:ligatures w14:val="none"/>
        </w:rPr>
        <w:t>LSR</w:t>
      </w:r>
      <w:r w:rsidR="003B50ED" w:rsidRPr="00F16251">
        <w:rPr>
          <w:rFonts w:eastAsia="Calibri" w:cstheme="minorHAnsi"/>
          <w:kern w:val="0"/>
          <w14:ligatures w14:val="none"/>
        </w:rPr>
        <w:t xml:space="preserve"> </w:t>
      </w:r>
      <w:r w:rsidRPr="00F16251">
        <w:rPr>
          <w:rFonts w:eastAsia="Calibri" w:cstheme="minorHAnsi"/>
          <w:kern w:val="0"/>
          <w14:ligatures w14:val="none"/>
        </w:rPr>
        <w:t>składał</w:t>
      </w:r>
      <w:r w:rsidR="003B50ED" w:rsidRPr="00F16251">
        <w:rPr>
          <w:rFonts w:eastAsia="Calibri" w:cstheme="minorHAnsi"/>
          <w:kern w:val="0"/>
          <w14:ligatures w14:val="none"/>
        </w:rPr>
        <w:t xml:space="preserve"> </w:t>
      </w:r>
      <w:r w:rsidRPr="00F16251">
        <w:rPr>
          <w:rFonts w:eastAsia="Calibri" w:cstheme="minorHAnsi"/>
          <w:kern w:val="0"/>
          <w14:ligatures w14:val="none"/>
        </w:rPr>
        <w:t>się</w:t>
      </w:r>
      <w:r w:rsidR="003B50ED" w:rsidRPr="00F16251">
        <w:rPr>
          <w:rFonts w:eastAsia="Calibri" w:cstheme="minorHAnsi"/>
          <w:kern w:val="0"/>
          <w14:ligatures w14:val="none"/>
        </w:rPr>
        <w:t xml:space="preserve"> </w:t>
      </w:r>
      <w:r w:rsidRPr="00F16251">
        <w:rPr>
          <w:rFonts w:eastAsia="Calibri" w:cstheme="minorHAnsi"/>
          <w:kern w:val="0"/>
          <w14:ligatures w14:val="none"/>
        </w:rPr>
        <w:t>z</w:t>
      </w:r>
      <w:r w:rsidR="003B50ED" w:rsidRPr="00F16251">
        <w:rPr>
          <w:rFonts w:eastAsia="Calibri" w:cstheme="minorHAnsi"/>
          <w:kern w:val="0"/>
          <w14:ligatures w14:val="none"/>
        </w:rPr>
        <w:t xml:space="preserve"> </w:t>
      </w:r>
      <w:r w:rsidRPr="00F16251">
        <w:rPr>
          <w:rFonts w:eastAsia="Calibri" w:cstheme="minorHAnsi"/>
          <w:kern w:val="0"/>
          <w14:ligatures w14:val="none"/>
        </w:rPr>
        <w:t>pięciu</w:t>
      </w:r>
      <w:r w:rsidR="003B50ED" w:rsidRPr="00F16251">
        <w:rPr>
          <w:rFonts w:eastAsia="Calibri" w:cstheme="minorHAnsi"/>
          <w:kern w:val="0"/>
          <w14:ligatures w14:val="none"/>
        </w:rPr>
        <w:t xml:space="preserve"> </w:t>
      </w:r>
      <w:r w:rsidRPr="00F16251">
        <w:rPr>
          <w:rFonts w:eastAsia="Calibri" w:cstheme="minorHAnsi"/>
          <w:kern w:val="0"/>
          <w14:ligatures w14:val="none"/>
        </w:rPr>
        <w:t>ważnych</w:t>
      </w:r>
      <w:r w:rsidR="003B50ED" w:rsidRPr="00F16251">
        <w:rPr>
          <w:rFonts w:eastAsia="Calibri" w:cstheme="minorHAnsi"/>
          <w:kern w:val="0"/>
          <w14:ligatures w14:val="none"/>
        </w:rPr>
        <w:t xml:space="preserve"> </w:t>
      </w:r>
      <w:r w:rsidRPr="00F16251">
        <w:rPr>
          <w:rFonts w:eastAsia="Calibri" w:cstheme="minorHAnsi"/>
          <w:kern w:val="0"/>
          <w14:ligatures w14:val="none"/>
        </w:rPr>
        <w:t>etapów.</w:t>
      </w:r>
      <w:r w:rsidR="003B50ED" w:rsidRPr="00F16251">
        <w:rPr>
          <w:rFonts w:eastAsia="Calibri" w:cstheme="minorHAnsi"/>
          <w:kern w:val="0"/>
          <w14:ligatures w14:val="none"/>
        </w:rPr>
        <w:t xml:space="preserve"> </w:t>
      </w:r>
      <w:r w:rsidRPr="00F16251">
        <w:rPr>
          <w:rFonts w:eastAsia="Calibri" w:cstheme="minorHAnsi"/>
          <w:kern w:val="0"/>
          <w14:ligatures w14:val="none"/>
        </w:rPr>
        <w:t>Podczas</w:t>
      </w:r>
      <w:r w:rsidR="003B50ED" w:rsidRPr="00F16251">
        <w:rPr>
          <w:rFonts w:eastAsia="Calibri" w:cstheme="minorHAnsi"/>
          <w:kern w:val="0"/>
          <w14:ligatures w14:val="none"/>
        </w:rPr>
        <w:t xml:space="preserve"> </w:t>
      </w:r>
      <w:r w:rsidRPr="00F16251">
        <w:rPr>
          <w:rFonts w:eastAsia="Calibri" w:cstheme="minorHAnsi"/>
          <w:kern w:val="0"/>
          <w14:ligatures w14:val="none"/>
        </w:rPr>
        <w:t>każdego</w:t>
      </w:r>
      <w:r w:rsidR="003B50ED" w:rsidRPr="00F16251">
        <w:rPr>
          <w:rFonts w:eastAsia="Calibri" w:cstheme="minorHAnsi"/>
          <w:kern w:val="0"/>
          <w14:ligatures w14:val="none"/>
        </w:rPr>
        <w:t xml:space="preserve"> </w:t>
      </w:r>
      <w:r w:rsidRPr="00F16251">
        <w:rPr>
          <w:rFonts w:eastAsia="Calibri" w:cstheme="minorHAnsi"/>
          <w:kern w:val="0"/>
          <w14:ligatures w14:val="none"/>
        </w:rPr>
        <w:t>z</w:t>
      </w:r>
      <w:r w:rsidR="003B50ED" w:rsidRPr="00F16251">
        <w:rPr>
          <w:rFonts w:eastAsia="Calibri" w:cstheme="minorHAnsi"/>
          <w:kern w:val="0"/>
          <w14:ligatures w14:val="none"/>
        </w:rPr>
        <w:t xml:space="preserve"> </w:t>
      </w:r>
      <w:r w:rsidRPr="00F16251">
        <w:rPr>
          <w:rFonts w:eastAsia="Calibri" w:cstheme="minorHAnsi"/>
          <w:kern w:val="0"/>
          <w14:ligatures w14:val="none"/>
        </w:rPr>
        <w:t>nich</w:t>
      </w:r>
      <w:r w:rsidR="003B50ED" w:rsidRPr="00F16251">
        <w:rPr>
          <w:rFonts w:eastAsia="Calibri" w:cstheme="minorHAnsi"/>
          <w:kern w:val="0"/>
          <w14:ligatures w14:val="none"/>
        </w:rPr>
        <w:t xml:space="preserve"> </w:t>
      </w:r>
      <w:r w:rsidR="003260B4" w:rsidRPr="00F16251">
        <w:rPr>
          <w:rFonts w:cstheme="minorHAnsi"/>
        </w:rPr>
        <w:t xml:space="preserve">Stowarzyszenie „Solidarni w Partnerstwie” </w:t>
      </w:r>
      <w:r w:rsidRPr="00F16251">
        <w:rPr>
          <w:rFonts w:eastAsia="Calibri" w:cstheme="minorHAnsi"/>
          <w:kern w:val="0"/>
          <w14:ligatures w14:val="none"/>
        </w:rPr>
        <w:t>stosował</w:t>
      </w:r>
      <w:r w:rsidR="003260B4" w:rsidRPr="00F16251">
        <w:rPr>
          <w:rFonts w:eastAsia="Calibri" w:cstheme="minorHAnsi"/>
          <w:kern w:val="0"/>
          <w14:ligatures w14:val="none"/>
        </w:rPr>
        <w:t>o</w:t>
      </w:r>
      <w:r w:rsidR="003B50ED" w:rsidRPr="00F16251">
        <w:rPr>
          <w:rFonts w:eastAsia="Calibri" w:cstheme="minorHAnsi"/>
          <w:kern w:val="0"/>
          <w14:ligatures w14:val="none"/>
        </w:rPr>
        <w:t xml:space="preserve"> </w:t>
      </w:r>
      <w:r w:rsidRPr="00F16251">
        <w:rPr>
          <w:rFonts w:eastAsia="Calibri" w:cstheme="minorHAnsi"/>
          <w:kern w:val="0"/>
          <w14:ligatures w14:val="none"/>
        </w:rPr>
        <w:t>różne</w:t>
      </w:r>
      <w:r w:rsidR="003B50ED" w:rsidRPr="00F16251">
        <w:rPr>
          <w:rFonts w:eastAsia="Calibri" w:cstheme="minorHAnsi"/>
          <w:kern w:val="0"/>
          <w14:ligatures w14:val="none"/>
        </w:rPr>
        <w:t xml:space="preserve"> </w:t>
      </w:r>
      <w:r w:rsidRPr="00F16251">
        <w:rPr>
          <w:rFonts w:eastAsia="Calibri" w:cstheme="minorHAnsi"/>
          <w:kern w:val="0"/>
          <w14:ligatures w14:val="none"/>
        </w:rPr>
        <w:t>metody,</w:t>
      </w:r>
      <w:r w:rsidR="003B50ED" w:rsidRPr="00F16251">
        <w:rPr>
          <w:rFonts w:eastAsia="Calibri" w:cstheme="minorHAnsi"/>
          <w:kern w:val="0"/>
          <w14:ligatures w14:val="none"/>
        </w:rPr>
        <w:t xml:space="preserve"> </w:t>
      </w:r>
      <w:r w:rsidR="003260B4" w:rsidRPr="00F16251">
        <w:rPr>
          <w:rFonts w:eastAsia="Calibri" w:cstheme="minorHAnsi"/>
          <w:kern w:val="0"/>
          <w14:ligatures w14:val="none"/>
        </w:rPr>
        <w:t xml:space="preserve">adekwatne </w:t>
      </w:r>
      <w:r w:rsidRPr="00F16251">
        <w:rPr>
          <w:rFonts w:eastAsia="Calibri" w:cstheme="minorHAnsi"/>
          <w:kern w:val="0"/>
          <w14:ligatures w14:val="none"/>
        </w:rPr>
        <w:t>do</w:t>
      </w:r>
      <w:r w:rsidR="003B50ED" w:rsidRPr="00F16251">
        <w:rPr>
          <w:rFonts w:eastAsia="Calibri" w:cstheme="minorHAnsi"/>
          <w:kern w:val="0"/>
          <w14:ligatures w14:val="none"/>
        </w:rPr>
        <w:t xml:space="preserve"> </w:t>
      </w:r>
      <w:r w:rsidRPr="00F16251">
        <w:rPr>
          <w:rFonts w:eastAsia="Calibri" w:cstheme="minorHAnsi"/>
          <w:kern w:val="0"/>
          <w14:ligatures w14:val="none"/>
        </w:rPr>
        <w:t>potrzeb</w:t>
      </w:r>
      <w:r w:rsidR="003B50ED" w:rsidRPr="00F16251">
        <w:rPr>
          <w:rFonts w:eastAsia="Calibri" w:cstheme="minorHAnsi"/>
          <w:kern w:val="0"/>
          <w14:ligatures w14:val="none"/>
        </w:rPr>
        <w:t xml:space="preserve"> </w:t>
      </w:r>
      <w:r w:rsidRPr="00F16251">
        <w:rPr>
          <w:rFonts w:eastAsia="Calibri" w:cstheme="minorHAnsi"/>
          <w:kern w:val="0"/>
          <w14:ligatures w14:val="none"/>
        </w:rPr>
        <w:t>społeczności</w:t>
      </w:r>
      <w:r w:rsidR="003B50ED" w:rsidRPr="00F16251">
        <w:rPr>
          <w:rFonts w:eastAsia="Calibri" w:cstheme="minorHAnsi"/>
          <w:kern w:val="0"/>
          <w14:ligatures w14:val="none"/>
        </w:rPr>
        <w:t xml:space="preserve"> </w:t>
      </w:r>
      <w:r w:rsidRPr="00F16251">
        <w:rPr>
          <w:rFonts w:eastAsia="Calibri" w:cstheme="minorHAnsi"/>
          <w:kern w:val="0"/>
          <w14:ligatures w14:val="none"/>
        </w:rPr>
        <w:t>lokalnej</w:t>
      </w:r>
      <w:r w:rsidR="003260B4" w:rsidRPr="00F16251">
        <w:rPr>
          <w:rFonts w:eastAsia="Calibri" w:cstheme="minorHAnsi"/>
          <w:kern w:val="0"/>
          <w14:ligatures w14:val="none"/>
        </w:rPr>
        <w:t>,</w:t>
      </w:r>
      <w:r w:rsidR="003B50ED" w:rsidRPr="00F16251">
        <w:rPr>
          <w:rFonts w:eastAsia="Calibri" w:cstheme="minorHAnsi"/>
          <w:kern w:val="0"/>
          <w14:ligatures w14:val="none"/>
        </w:rPr>
        <w:t xml:space="preserve"> </w:t>
      </w:r>
      <w:r w:rsidRPr="00F16251">
        <w:rPr>
          <w:rFonts w:eastAsia="Calibri" w:cstheme="minorHAnsi"/>
          <w:kern w:val="0"/>
          <w14:ligatures w14:val="none"/>
        </w:rPr>
        <w:t>korzystając</w:t>
      </w:r>
      <w:r w:rsidR="003B50ED" w:rsidRPr="00F16251">
        <w:rPr>
          <w:rFonts w:eastAsia="Calibri" w:cstheme="minorHAnsi"/>
          <w:kern w:val="0"/>
          <w14:ligatures w14:val="none"/>
        </w:rPr>
        <w:t xml:space="preserve"> </w:t>
      </w:r>
      <w:r w:rsidR="003260B4" w:rsidRPr="00F16251">
        <w:rPr>
          <w:rFonts w:eastAsia="Calibri" w:cstheme="minorHAnsi"/>
          <w:kern w:val="0"/>
          <w14:ligatures w14:val="none"/>
        </w:rPr>
        <w:br/>
      </w:r>
      <w:r w:rsidRPr="00F16251">
        <w:rPr>
          <w:rFonts w:eastAsia="Calibri" w:cstheme="minorHAnsi"/>
          <w:kern w:val="0"/>
          <w14:ligatures w14:val="none"/>
        </w:rPr>
        <w:t>z</w:t>
      </w:r>
      <w:r w:rsidR="003B50ED" w:rsidRPr="00F16251">
        <w:rPr>
          <w:rFonts w:eastAsia="Calibri" w:cstheme="minorHAnsi"/>
          <w:kern w:val="0"/>
          <w14:ligatures w14:val="none"/>
        </w:rPr>
        <w:t xml:space="preserve"> </w:t>
      </w:r>
      <w:r w:rsidRPr="00F16251">
        <w:rPr>
          <w:rFonts w:eastAsia="Calibri" w:cstheme="minorHAnsi"/>
          <w:kern w:val="0"/>
          <w14:ligatures w14:val="none"/>
        </w:rPr>
        <w:t>doświadczenia</w:t>
      </w:r>
      <w:r w:rsidR="003B50ED" w:rsidRPr="00F16251">
        <w:rPr>
          <w:rFonts w:eastAsia="Calibri" w:cstheme="minorHAnsi"/>
          <w:kern w:val="0"/>
          <w14:ligatures w14:val="none"/>
        </w:rPr>
        <w:t xml:space="preserve"> </w:t>
      </w:r>
      <w:r w:rsidRPr="00F16251">
        <w:rPr>
          <w:rFonts w:eastAsia="Calibri" w:cstheme="minorHAnsi"/>
          <w:kern w:val="0"/>
          <w14:ligatures w14:val="none"/>
        </w:rPr>
        <w:t>w</w:t>
      </w:r>
      <w:r w:rsidR="003B50ED" w:rsidRPr="00F16251">
        <w:rPr>
          <w:rFonts w:eastAsia="Calibri" w:cstheme="minorHAnsi"/>
          <w:kern w:val="0"/>
          <w14:ligatures w14:val="none"/>
        </w:rPr>
        <w:t xml:space="preserve"> </w:t>
      </w:r>
      <w:r w:rsidRPr="00F16251">
        <w:rPr>
          <w:rFonts w:eastAsia="Calibri" w:cstheme="minorHAnsi"/>
          <w:kern w:val="0"/>
          <w14:ligatures w14:val="none"/>
        </w:rPr>
        <w:t>komunikowaniu</w:t>
      </w:r>
      <w:r w:rsidR="003B50ED" w:rsidRPr="00F16251">
        <w:rPr>
          <w:rFonts w:eastAsia="Calibri" w:cstheme="minorHAnsi"/>
          <w:kern w:val="0"/>
          <w14:ligatures w14:val="none"/>
        </w:rPr>
        <w:t xml:space="preserve"> </w:t>
      </w:r>
      <w:r w:rsidRPr="00F16251">
        <w:rPr>
          <w:rFonts w:eastAsia="Calibri" w:cstheme="minorHAnsi"/>
          <w:kern w:val="0"/>
          <w14:ligatures w14:val="none"/>
        </w:rPr>
        <w:t>się</w:t>
      </w:r>
      <w:r w:rsidR="003B50ED" w:rsidRPr="00F16251">
        <w:rPr>
          <w:rFonts w:eastAsia="Calibri" w:cstheme="minorHAnsi"/>
          <w:kern w:val="0"/>
          <w14:ligatures w14:val="none"/>
        </w:rPr>
        <w:t xml:space="preserve"> </w:t>
      </w:r>
      <w:r w:rsidRPr="00F16251">
        <w:rPr>
          <w:rFonts w:eastAsia="Calibri" w:cstheme="minorHAnsi"/>
          <w:kern w:val="0"/>
          <w14:ligatures w14:val="none"/>
        </w:rPr>
        <w:t>z</w:t>
      </w:r>
      <w:r w:rsidR="003B50ED" w:rsidRPr="00F16251">
        <w:rPr>
          <w:rFonts w:eastAsia="Calibri" w:cstheme="minorHAnsi"/>
          <w:kern w:val="0"/>
          <w14:ligatures w14:val="none"/>
        </w:rPr>
        <w:t xml:space="preserve"> </w:t>
      </w:r>
      <w:r w:rsidRPr="00F16251">
        <w:rPr>
          <w:rFonts w:eastAsia="Calibri" w:cstheme="minorHAnsi"/>
          <w:kern w:val="0"/>
          <w14:ligatures w14:val="none"/>
        </w:rPr>
        <w:t>lokalną</w:t>
      </w:r>
      <w:r w:rsidR="003B50ED" w:rsidRPr="00F16251">
        <w:rPr>
          <w:rFonts w:eastAsia="Calibri" w:cstheme="minorHAnsi"/>
          <w:kern w:val="0"/>
          <w14:ligatures w14:val="none"/>
        </w:rPr>
        <w:t xml:space="preserve"> </w:t>
      </w:r>
      <w:r w:rsidRPr="00F16251">
        <w:rPr>
          <w:rFonts w:eastAsia="Calibri" w:cstheme="minorHAnsi"/>
          <w:kern w:val="0"/>
          <w14:ligatures w14:val="none"/>
        </w:rPr>
        <w:t>społecznością</w:t>
      </w:r>
      <w:r w:rsidR="003B50ED" w:rsidRPr="00F16251">
        <w:rPr>
          <w:rFonts w:eastAsia="Calibri" w:cstheme="minorHAnsi"/>
          <w:kern w:val="0"/>
          <w14:ligatures w14:val="none"/>
        </w:rPr>
        <w:t xml:space="preserve"> </w:t>
      </w:r>
      <w:r w:rsidR="003260B4" w:rsidRPr="00F16251">
        <w:rPr>
          <w:rFonts w:eastAsia="Calibri" w:cstheme="minorHAnsi"/>
          <w:kern w:val="0"/>
          <w14:ligatures w14:val="none"/>
        </w:rPr>
        <w:t xml:space="preserve">z okresów </w:t>
      </w:r>
      <w:r w:rsidRPr="00F16251">
        <w:rPr>
          <w:rFonts w:eastAsia="Calibri" w:cstheme="minorHAnsi"/>
          <w:kern w:val="0"/>
          <w14:ligatures w14:val="none"/>
        </w:rPr>
        <w:t>2007-2013</w:t>
      </w:r>
      <w:r w:rsidR="003B50ED" w:rsidRPr="00F16251">
        <w:rPr>
          <w:rFonts w:eastAsia="Calibri" w:cstheme="minorHAnsi"/>
          <w:kern w:val="0"/>
          <w14:ligatures w14:val="none"/>
        </w:rPr>
        <w:t xml:space="preserve"> </w:t>
      </w:r>
      <w:r w:rsidR="003260B4" w:rsidRPr="00F16251">
        <w:rPr>
          <w:rFonts w:eastAsia="Calibri" w:cstheme="minorHAnsi"/>
          <w:kern w:val="0"/>
          <w14:ligatures w14:val="none"/>
        </w:rPr>
        <w:t xml:space="preserve">oraz </w:t>
      </w:r>
      <w:r w:rsidRPr="00F16251">
        <w:rPr>
          <w:rFonts w:eastAsia="Calibri" w:cstheme="minorHAnsi"/>
          <w:kern w:val="0"/>
          <w14:ligatures w14:val="none"/>
        </w:rPr>
        <w:t>2014-2020.</w:t>
      </w:r>
      <w:r w:rsidR="003B50ED" w:rsidRPr="00F16251">
        <w:rPr>
          <w:rFonts w:eastAsia="Calibri" w:cstheme="minorHAnsi"/>
          <w:kern w:val="0"/>
          <w14:ligatures w14:val="none"/>
        </w:rPr>
        <w:t xml:space="preserve"> </w:t>
      </w:r>
      <w:r w:rsidRPr="00F16251">
        <w:rPr>
          <w:rFonts w:eastAsia="Calibri" w:cstheme="minorHAnsi"/>
          <w:kern w:val="0"/>
          <w14:ligatures w14:val="none"/>
        </w:rPr>
        <w:t>Na</w:t>
      </w:r>
      <w:r w:rsidR="003B50ED" w:rsidRPr="00F16251">
        <w:rPr>
          <w:rFonts w:eastAsia="Calibri" w:cstheme="minorHAnsi"/>
          <w:kern w:val="0"/>
          <w14:ligatures w14:val="none"/>
        </w:rPr>
        <w:t xml:space="preserve"> </w:t>
      </w:r>
      <w:r w:rsidR="003260B4" w:rsidRPr="00F16251">
        <w:rPr>
          <w:rFonts w:eastAsia="Calibri" w:cstheme="minorHAnsi"/>
          <w:kern w:val="0"/>
          <w14:ligatures w14:val="none"/>
        </w:rPr>
        <w:br/>
      </w:r>
      <w:r w:rsidRPr="00F16251">
        <w:rPr>
          <w:rFonts w:eastAsia="Calibri" w:cstheme="minorHAnsi"/>
          <w:kern w:val="0"/>
          <w14:ligatures w14:val="none"/>
        </w:rPr>
        <w:t>każdym</w:t>
      </w:r>
      <w:r w:rsidR="003B50ED" w:rsidRPr="00F16251">
        <w:rPr>
          <w:rFonts w:eastAsia="Calibri" w:cstheme="minorHAnsi"/>
          <w:kern w:val="0"/>
          <w14:ligatures w14:val="none"/>
        </w:rPr>
        <w:t xml:space="preserve"> </w:t>
      </w:r>
      <w:r w:rsidRPr="00F16251">
        <w:rPr>
          <w:rFonts w:eastAsia="Calibri" w:cstheme="minorHAnsi"/>
          <w:kern w:val="0"/>
          <w14:ligatures w14:val="none"/>
        </w:rPr>
        <w:t>z</w:t>
      </w:r>
      <w:r w:rsidR="003B50ED" w:rsidRPr="00F16251">
        <w:rPr>
          <w:rFonts w:eastAsia="Calibri" w:cstheme="minorHAnsi"/>
          <w:kern w:val="0"/>
          <w14:ligatures w14:val="none"/>
        </w:rPr>
        <w:t xml:space="preserve"> </w:t>
      </w:r>
      <w:r w:rsidRPr="00F16251">
        <w:rPr>
          <w:rFonts w:eastAsia="Calibri" w:cstheme="minorHAnsi"/>
          <w:kern w:val="0"/>
          <w14:ligatures w14:val="none"/>
        </w:rPr>
        <w:t>etapów</w:t>
      </w:r>
      <w:r w:rsidR="003B50ED" w:rsidRPr="00F16251">
        <w:rPr>
          <w:rFonts w:eastAsia="Calibri" w:cstheme="minorHAnsi"/>
          <w:kern w:val="0"/>
          <w14:ligatures w14:val="none"/>
        </w:rPr>
        <w:t xml:space="preserve"> </w:t>
      </w:r>
      <w:r w:rsidRPr="00F16251">
        <w:rPr>
          <w:rFonts w:eastAsia="Calibri" w:cstheme="minorHAnsi"/>
          <w:kern w:val="0"/>
          <w14:ligatures w14:val="none"/>
        </w:rPr>
        <w:t>stosowano</w:t>
      </w:r>
      <w:r w:rsidR="003B50ED" w:rsidRPr="00F16251">
        <w:rPr>
          <w:rFonts w:eastAsia="Calibri" w:cstheme="minorHAnsi"/>
          <w:kern w:val="0"/>
          <w14:ligatures w14:val="none"/>
        </w:rPr>
        <w:t xml:space="preserve"> </w:t>
      </w:r>
      <w:r w:rsidRPr="00F16251">
        <w:rPr>
          <w:rFonts w:eastAsia="Calibri" w:cstheme="minorHAnsi"/>
          <w:kern w:val="0"/>
          <w14:ligatures w14:val="none"/>
        </w:rPr>
        <w:t>zasady</w:t>
      </w:r>
      <w:r w:rsidR="003B50ED" w:rsidRPr="00F16251">
        <w:rPr>
          <w:rFonts w:eastAsia="Calibri" w:cstheme="minorHAnsi"/>
          <w:kern w:val="0"/>
          <w14:ligatures w14:val="none"/>
        </w:rPr>
        <w:t xml:space="preserve"> </w:t>
      </w:r>
      <w:r w:rsidRPr="00F16251">
        <w:rPr>
          <w:rFonts w:eastAsia="Calibri" w:cstheme="minorHAnsi"/>
          <w:kern w:val="0"/>
          <w14:ligatures w14:val="none"/>
        </w:rPr>
        <w:t>przyjaznej</w:t>
      </w:r>
      <w:r w:rsidR="003B50ED" w:rsidRPr="00F16251">
        <w:rPr>
          <w:rFonts w:eastAsia="Calibri" w:cstheme="minorHAnsi"/>
          <w:kern w:val="0"/>
          <w14:ligatures w14:val="none"/>
        </w:rPr>
        <w:t xml:space="preserve"> </w:t>
      </w:r>
      <w:r w:rsidRPr="00F16251">
        <w:rPr>
          <w:rFonts w:eastAsia="Calibri" w:cstheme="minorHAnsi"/>
          <w:kern w:val="0"/>
          <w14:ligatures w14:val="none"/>
        </w:rPr>
        <w:t>komunikacji.</w:t>
      </w:r>
    </w:p>
    <w:p w14:paraId="2DB303C3" w14:textId="77777777" w:rsidR="00E625D8" w:rsidRDefault="00E625D8" w:rsidP="00A26C26">
      <w:pPr>
        <w:spacing w:line="276" w:lineRule="auto"/>
        <w:jc w:val="both"/>
        <w:rPr>
          <w:rFonts w:eastAsia="Calibri" w:cstheme="minorHAnsi"/>
          <w:kern w:val="0"/>
          <w14:ligatures w14:val="none"/>
        </w:rPr>
      </w:pPr>
    </w:p>
    <w:p w14:paraId="675B4073" w14:textId="14341915" w:rsidR="00E2372E" w:rsidRPr="00F16251" w:rsidRDefault="00E2372E" w:rsidP="00A26C26">
      <w:pPr>
        <w:spacing w:line="276" w:lineRule="auto"/>
        <w:jc w:val="both"/>
        <w:rPr>
          <w:rFonts w:eastAsia="Calibri" w:cstheme="minorHAnsi"/>
          <w:kern w:val="0"/>
          <w14:ligatures w14:val="none"/>
        </w:rPr>
      </w:pPr>
      <w:r w:rsidRPr="00F16251">
        <w:rPr>
          <w:rFonts w:eastAsia="Calibri" w:cstheme="minorHAnsi"/>
          <w:kern w:val="0"/>
          <w14:ligatures w14:val="none"/>
        </w:rPr>
        <w:t>Wyróżniono</w:t>
      </w:r>
      <w:r w:rsidR="003260B4" w:rsidRPr="00F16251">
        <w:rPr>
          <w:rFonts w:eastAsia="Calibri" w:cstheme="minorHAnsi"/>
          <w:kern w:val="0"/>
          <w14:ligatures w14:val="none"/>
        </w:rPr>
        <w:t xml:space="preserve"> następujące etapy</w:t>
      </w:r>
      <w:r w:rsidRPr="00F16251">
        <w:rPr>
          <w:rFonts w:eastAsia="Calibri" w:cstheme="minorHAnsi"/>
          <w:kern w:val="0"/>
          <w14:ligatures w14:val="none"/>
        </w:rPr>
        <w:t>:</w:t>
      </w:r>
    </w:p>
    <w:p w14:paraId="32C4583D" w14:textId="6519B8FD" w:rsidR="00E2372E" w:rsidRPr="00F16251" w:rsidRDefault="00E2372E" w:rsidP="008A412F">
      <w:pPr>
        <w:numPr>
          <w:ilvl w:val="0"/>
          <w:numId w:val="4"/>
        </w:numPr>
        <w:tabs>
          <w:tab w:val="left" w:pos="10206"/>
        </w:tabs>
        <w:spacing w:line="276" w:lineRule="auto"/>
        <w:jc w:val="both"/>
        <w:rPr>
          <w:rFonts w:eastAsia="Calibri" w:cstheme="minorHAnsi"/>
          <w:kern w:val="0"/>
          <w14:ligatures w14:val="none"/>
        </w:rPr>
      </w:pPr>
      <w:r w:rsidRPr="00F16251">
        <w:rPr>
          <w:rFonts w:eastAsia="Calibri" w:cstheme="minorHAnsi"/>
          <w:kern w:val="0"/>
          <w14:ligatures w14:val="none"/>
        </w:rPr>
        <w:t>Etap</w:t>
      </w:r>
      <w:r w:rsidR="003B50ED" w:rsidRPr="00F16251">
        <w:rPr>
          <w:rFonts w:eastAsia="Calibri" w:cstheme="minorHAnsi"/>
          <w:kern w:val="0"/>
          <w14:ligatures w14:val="none"/>
        </w:rPr>
        <w:t xml:space="preserve"> </w:t>
      </w:r>
      <w:r w:rsidRPr="00F16251">
        <w:rPr>
          <w:rFonts w:eastAsia="Calibri" w:cstheme="minorHAnsi"/>
          <w:kern w:val="0"/>
          <w14:ligatures w14:val="none"/>
        </w:rPr>
        <w:t>I</w:t>
      </w:r>
      <w:r w:rsidR="003B50ED" w:rsidRPr="00F16251">
        <w:rPr>
          <w:rFonts w:eastAsia="Calibri" w:cstheme="minorHAnsi"/>
          <w:kern w:val="0"/>
          <w14:ligatures w14:val="none"/>
        </w:rPr>
        <w:t xml:space="preserve"> </w:t>
      </w:r>
      <w:r w:rsidRPr="00F16251">
        <w:rPr>
          <w:rFonts w:eastAsia="Calibri" w:cstheme="minorHAnsi"/>
          <w:kern w:val="0"/>
          <w14:ligatures w14:val="none"/>
        </w:rPr>
        <w:t>Diagnoza</w:t>
      </w:r>
      <w:r w:rsidR="003B50ED" w:rsidRPr="00F16251">
        <w:rPr>
          <w:rFonts w:eastAsia="Calibri" w:cstheme="minorHAnsi"/>
          <w:kern w:val="0"/>
          <w14:ligatures w14:val="none"/>
        </w:rPr>
        <w:t xml:space="preserve"> </w:t>
      </w:r>
      <w:r w:rsidRPr="00F16251">
        <w:rPr>
          <w:rFonts w:eastAsia="Calibri" w:cstheme="minorHAnsi"/>
          <w:kern w:val="0"/>
          <w14:ligatures w14:val="none"/>
        </w:rPr>
        <w:t>i</w:t>
      </w:r>
      <w:r w:rsidR="003B50ED" w:rsidRPr="00F16251">
        <w:rPr>
          <w:rFonts w:eastAsia="Calibri" w:cstheme="minorHAnsi"/>
          <w:kern w:val="0"/>
          <w14:ligatures w14:val="none"/>
        </w:rPr>
        <w:t xml:space="preserve"> </w:t>
      </w:r>
      <w:r w:rsidRPr="00F16251">
        <w:rPr>
          <w:rFonts w:eastAsia="Calibri" w:cstheme="minorHAnsi"/>
          <w:kern w:val="0"/>
          <w14:ligatures w14:val="none"/>
        </w:rPr>
        <w:t>analiza</w:t>
      </w:r>
      <w:r w:rsidR="003B50ED" w:rsidRPr="00F16251">
        <w:rPr>
          <w:rFonts w:eastAsia="Calibri" w:cstheme="minorHAnsi"/>
          <w:kern w:val="0"/>
          <w14:ligatures w14:val="none"/>
        </w:rPr>
        <w:t xml:space="preserve"> </w:t>
      </w:r>
      <w:r w:rsidRPr="00F16251">
        <w:rPr>
          <w:rFonts w:eastAsia="Calibri" w:cstheme="minorHAnsi"/>
          <w:kern w:val="0"/>
          <w14:ligatures w14:val="none"/>
        </w:rPr>
        <w:t>SWOT</w:t>
      </w:r>
      <w:r w:rsidR="003B50ED" w:rsidRPr="00F16251">
        <w:rPr>
          <w:rFonts w:eastAsia="Calibri" w:cstheme="minorHAnsi"/>
          <w:kern w:val="0"/>
          <w14:ligatures w14:val="none"/>
        </w:rPr>
        <w:t xml:space="preserve"> </w:t>
      </w:r>
    </w:p>
    <w:p w14:paraId="3179FB8C" w14:textId="02629CBF" w:rsidR="00E2372E" w:rsidRPr="00F16251" w:rsidRDefault="00E2372E" w:rsidP="008A412F">
      <w:pPr>
        <w:numPr>
          <w:ilvl w:val="0"/>
          <w:numId w:val="4"/>
        </w:numPr>
        <w:tabs>
          <w:tab w:val="left" w:pos="10206"/>
        </w:tabs>
        <w:spacing w:line="276" w:lineRule="auto"/>
        <w:jc w:val="both"/>
        <w:rPr>
          <w:rFonts w:eastAsia="Calibri" w:cstheme="minorHAnsi"/>
        </w:rPr>
      </w:pPr>
      <w:r w:rsidRPr="00F16251">
        <w:rPr>
          <w:rFonts w:eastAsia="Calibri" w:cstheme="minorHAnsi"/>
        </w:rPr>
        <w:t>Etap</w:t>
      </w:r>
      <w:r w:rsidR="003B50ED" w:rsidRPr="00F16251">
        <w:rPr>
          <w:rFonts w:eastAsia="Calibri" w:cstheme="minorHAnsi"/>
        </w:rPr>
        <w:t xml:space="preserve"> </w:t>
      </w:r>
      <w:r w:rsidRPr="00F16251">
        <w:rPr>
          <w:rFonts w:eastAsia="Calibri" w:cstheme="minorHAnsi"/>
        </w:rPr>
        <w:t>II</w:t>
      </w:r>
      <w:r w:rsidR="003B50ED" w:rsidRPr="00F16251">
        <w:rPr>
          <w:rFonts w:eastAsia="Calibri" w:cstheme="minorHAnsi"/>
        </w:rPr>
        <w:t xml:space="preserve"> </w:t>
      </w:r>
      <w:r w:rsidRPr="00F16251">
        <w:rPr>
          <w:rFonts w:eastAsia="Calibri" w:cstheme="minorHAnsi"/>
        </w:rPr>
        <w:t>Określenie</w:t>
      </w:r>
      <w:r w:rsidR="003B50ED" w:rsidRPr="00F16251">
        <w:rPr>
          <w:rFonts w:eastAsia="Calibri" w:cstheme="minorHAnsi"/>
        </w:rPr>
        <w:t xml:space="preserve"> </w:t>
      </w:r>
      <w:r w:rsidRPr="00F16251">
        <w:rPr>
          <w:rFonts w:eastAsia="Calibri" w:cstheme="minorHAnsi"/>
        </w:rPr>
        <w:t>/</w:t>
      </w:r>
      <w:r w:rsidR="003B50ED" w:rsidRPr="00F16251">
        <w:rPr>
          <w:rFonts w:eastAsia="Calibri" w:cstheme="minorHAnsi"/>
        </w:rPr>
        <w:t xml:space="preserve"> </w:t>
      </w:r>
      <w:r w:rsidRPr="00F16251">
        <w:rPr>
          <w:rFonts w:eastAsia="Calibri" w:cstheme="minorHAnsi"/>
        </w:rPr>
        <w:t>konsultacje</w:t>
      </w:r>
      <w:r w:rsidR="003B50ED" w:rsidRPr="00F16251">
        <w:rPr>
          <w:rFonts w:eastAsia="Calibri" w:cstheme="minorHAnsi"/>
        </w:rPr>
        <w:t xml:space="preserve"> </w:t>
      </w:r>
      <w:r w:rsidRPr="00F16251">
        <w:rPr>
          <w:rFonts w:eastAsia="Calibri" w:cstheme="minorHAnsi"/>
        </w:rPr>
        <w:t>celów</w:t>
      </w:r>
      <w:r w:rsidR="003B50ED" w:rsidRPr="00F16251">
        <w:rPr>
          <w:rFonts w:eastAsia="Calibri" w:cstheme="minorHAnsi"/>
        </w:rPr>
        <w:t xml:space="preserve"> </w:t>
      </w:r>
      <w:r w:rsidRPr="00F16251">
        <w:rPr>
          <w:rFonts w:eastAsia="Calibri" w:cstheme="minorHAnsi"/>
        </w:rPr>
        <w:t>i</w:t>
      </w:r>
      <w:r w:rsidR="003B50ED" w:rsidRPr="00F16251">
        <w:rPr>
          <w:rFonts w:eastAsia="Calibri" w:cstheme="minorHAnsi"/>
        </w:rPr>
        <w:t xml:space="preserve"> </w:t>
      </w:r>
      <w:r w:rsidRPr="00F16251">
        <w:rPr>
          <w:rFonts w:eastAsia="Calibri" w:cstheme="minorHAnsi"/>
        </w:rPr>
        <w:t>wskaźników</w:t>
      </w:r>
      <w:r w:rsidR="003B50ED" w:rsidRPr="00F16251">
        <w:rPr>
          <w:rFonts w:eastAsia="Calibri" w:cstheme="minorHAnsi"/>
        </w:rPr>
        <w:t xml:space="preserve"> </w:t>
      </w:r>
      <w:r w:rsidRPr="00F16251">
        <w:rPr>
          <w:rFonts w:eastAsia="Calibri" w:cstheme="minorHAnsi"/>
        </w:rPr>
        <w:t>oraz</w:t>
      </w:r>
      <w:r w:rsidR="003B50ED" w:rsidRPr="00F16251">
        <w:rPr>
          <w:rFonts w:eastAsia="Calibri" w:cstheme="minorHAnsi"/>
        </w:rPr>
        <w:t xml:space="preserve"> </w:t>
      </w:r>
      <w:r w:rsidRPr="00F16251">
        <w:rPr>
          <w:rFonts w:eastAsia="Calibri" w:cstheme="minorHAnsi"/>
        </w:rPr>
        <w:t>Planu</w:t>
      </w:r>
      <w:r w:rsidR="003B50ED" w:rsidRPr="00F16251">
        <w:rPr>
          <w:rFonts w:eastAsia="Calibri" w:cstheme="minorHAnsi"/>
        </w:rPr>
        <w:t xml:space="preserve"> </w:t>
      </w:r>
      <w:r w:rsidRPr="00F16251">
        <w:rPr>
          <w:rFonts w:eastAsia="Calibri" w:cstheme="minorHAnsi"/>
        </w:rPr>
        <w:t>działania</w:t>
      </w:r>
    </w:p>
    <w:p w14:paraId="2FB3E61A" w14:textId="03C7884B" w:rsidR="00E2372E" w:rsidRPr="00F16251" w:rsidRDefault="00E2372E" w:rsidP="008A412F">
      <w:pPr>
        <w:numPr>
          <w:ilvl w:val="0"/>
          <w:numId w:val="4"/>
        </w:numPr>
        <w:tabs>
          <w:tab w:val="left" w:pos="10206"/>
        </w:tabs>
        <w:spacing w:line="276" w:lineRule="auto"/>
        <w:jc w:val="both"/>
        <w:rPr>
          <w:rFonts w:eastAsia="Calibri" w:cstheme="minorHAnsi"/>
        </w:rPr>
      </w:pPr>
      <w:r w:rsidRPr="00F16251">
        <w:rPr>
          <w:rFonts w:eastAsia="Calibri" w:cstheme="minorHAnsi"/>
        </w:rPr>
        <w:t>Etap</w:t>
      </w:r>
      <w:r w:rsidR="003B50ED" w:rsidRPr="00F16251">
        <w:rPr>
          <w:rFonts w:eastAsia="Calibri" w:cstheme="minorHAnsi"/>
        </w:rPr>
        <w:t xml:space="preserve"> </w:t>
      </w:r>
      <w:r w:rsidRPr="00F16251">
        <w:rPr>
          <w:rFonts w:eastAsia="Calibri" w:cstheme="minorHAnsi"/>
        </w:rPr>
        <w:t>III</w:t>
      </w:r>
      <w:r w:rsidR="003B50ED" w:rsidRPr="00F16251">
        <w:rPr>
          <w:rFonts w:eastAsia="Calibri" w:cstheme="minorHAnsi"/>
        </w:rPr>
        <w:t xml:space="preserve"> </w:t>
      </w:r>
      <w:r w:rsidRPr="00F16251">
        <w:rPr>
          <w:rFonts w:eastAsia="Calibri" w:cstheme="minorHAnsi"/>
        </w:rPr>
        <w:t>Opracowanie</w:t>
      </w:r>
      <w:r w:rsidR="003B50ED" w:rsidRPr="00F16251">
        <w:rPr>
          <w:rFonts w:eastAsia="Calibri" w:cstheme="minorHAnsi"/>
        </w:rPr>
        <w:t xml:space="preserve"> </w:t>
      </w:r>
      <w:r w:rsidRPr="00F16251">
        <w:rPr>
          <w:rFonts w:eastAsia="Calibri" w:cstheme="minorHAnsi"/>
        </w:rPr>
        <w:t>/</w:t>
      </w:r>
      <w:r w:rsidR="003B50ED" w:rsidRPr="00F16251">
        <w:rPr>
          <w:rFonts w:eastAsia="Calibri" w:cstheme="minorHAnsi"/>
        </w:rPr>
        <w:t xml:space="preserve"> </w:t>
      </w:r>
      <w:r w:rsidRPr="00F16251">
        <w:rPr>
          <w:rFonts w:eastAsia="Calibri" w:cstheme="minorHAnsi"/>
        </w:rPr>
        <w:t>konsultacje</w:t>
      </w:r>
      <w:r w:rsidR="003B50ED" w:rsidRPr="00F16251">
        <w:rPr>
          <w:rFonts w:eastAsia="Calibri" w:cstheme="minorHAnsi"/>
        </w:rPr>
        <w:t xml:space="preserve"> </w:t>
      </w:r>
      <w:r w:rsidRPr="00F16251">
        <w:rPr>
          <w:rFonts w:eastAsia="Calibri" w:cstheme="minorHAnsi"/>
        </w:rPr>
        <w:t>zasad</w:t>
      </w:r>
      <w:r w:rsidR="003B50ED" w:rsidRPr="00F16251">
        <w:rPr>
          <w:rFonts w:eastAsia="Calibri" w:cstheme="minorHAnsi"/>
        </w:rPr>
        <w:t xml:space="preserve"> </w:t>
      </w:r>
      <w:r w:rsidRPr="00F16251">
        <w:rPr>
          <w:rFonts w:eastAsia="Calibri" w:cstheme="minorHAnsi"/>
        </w:rPr>
        <w:t>wyboru</w:t>
      </w:r>
      <w:r w:rsidR="003B50ED" w:rsidRPr="00F16251">
        <w:rPr>
          <w:rFonts w:eastAsia="Calibri" w:cstheme="minorHAnsi"/>
        </w:rPr>
        <w:t xml:space="preserve"> </w:t>
      </w:r>
      <w:r w:rsidRPr="00F16251">
        <w:rPr>
          <w:rFonts w:eastAsia="Calibri" w:cstheme="minorHAnsi"/>
        </w:rPr>
        <w:t>operacji</w:t>
      </w:r>
      <w:r w:rsidR="003B50ED" w:rsidRPr="00F16251">
        <w:rPr>
          <w:rFonts w:eastAsia="Calibri" w:cstheme="minorHAnsi"/>
        </w:rPr>
        <w:t xml:space="preserve"> </w:t>
      </w:r>
      <w:r w:rsidRPr="00F16251">
        <w:rPr>
          <w:rFonts w:eastAsia="Calibri" w:cstheme="minorHAnsi"/>
        </w:rPr>
        <w:t>i</w:t>
      </w:r>
      <w:r w:rsidR="003B50ED" w:rsidRPr="00F16251">
        <w:rPr>
          <w:rFonts w:eastAsia="Calibri" w:cstheme="minorHAnsi"/>
        </w:rPr>
        <w:t xml:space="preserve"> </w:t>
      </w:r>
      <w:r w:rsidRPr="00F16251">
        <w:rPr>
          <w:rFonts w:eastAsia="Calibri" w:cstheme="minorHAnsi"/>
        </w:rPr>
        <w:t>lokalnych</w:t>
      </w:r>
      <w:r w:rsidR="003B50ED" w:rsidRPr="00F16251">
        <w:rPr>
          <w:rFonts w:eastAsia="Calibri" w:cstheme="minorHAnsi"/>
        </w:rPr>
        <w:t xml:space="preserve"> </w:t>
      </w:r>
      <w:r w:rsidRPr="00F16251">
        <w:rPr>
          <w:rFonts w:eastAsia="Calibri" w:cstheme="minorHAnsi"/>
        </w:rPr>
        <w:t>kryteriów</w:t>
      </w:r>
    </w:p>
    <w:p w14:paraId="238F4EC9" w14:textId="45A43E73" w:rsidR="00E2372E" w:rsidRPr="00F16251" w:rsidRDefault="00E2372E" w:rsidP="008A412F">
      <w:pPr>
        <w:numPr>
          <w:ilvl w:val="0"/>
          <w:numId w:val="4"/>
        </w:numPr>
        <w:tabs>
          <w:tab w:val="left" w:pos="10206"/>
        </w:tabs>
        <w:spacing w:line="276" w:lineRule="auto"/>
        <w:jc w:val="both"/>
        <w:rPr>
          <w:rFonts w:eastAsia="Calibri" w:cstheme="minorHAnsi"/>
        </w:rPr>
      </w:pPr>
      <w:r w:rsidRPr="00F16251">
        <w:rPr>
          <w:rFonts w:eastAsia="Calibri" w:cstheme="minorHAnsi"/>
        </w:rPr>
        <w:t>Etap</w:t>
      </w:r>
      <w:r w:rsidR="003B50ED" w:rsidRPr="00F16251">
        <w:rPr>
          <w:rFonts w:eastAsia="Calibri" w:cstheme="minorHAnsi"/>
        </w:rPr>
        <w:t xml:space="preserve"> </w:t>
      </w:r>
      <w:r w:rsidRPr="00F16251">
        <w:rPr>
          <w:rFonts w:eastAsia="Calibri" w:cstheme="minorHAnsi"/>
        </w:rPr>
        <w:t>IV</w:t>
      </w:r>
      <w:r w:rsidR="003B50ED" w:rsidRPr="00F16251">
        <w:rPr>
          <w:rFonts w:eastAsia="Calibri" w:cstheme="minorHAnsi"/>
        </w:rPr>
        <w:t xml:space="preserve"> </w:t>
      </w:r>
      <w:r w:rsidRPr="00F16251">
        <w:rPr>
          <w:rFonts w:eastAsia="Calibri" w:cstheme="minorHAnsi"/>
        </w:rPr>
        <w:t>Opracowanie</w:t>
      </w:r>
      <w:r w:rsidR="003B50ED" w:rsidRPr="00F16251">
        <w:rPr>
          <w:rFonts w:eastAsia="Calibri" w:cstheme="minorHAnsi"/>
        </w:rPr>
        <w:t xml:space="preserve"> </w:t>
      </w:r>
      <w:r w:rsidRPr="00F16251">
        <w:rPr>
          <w:rFonts w:eastAsia="Calibri" w:cstheme="minorHAnsi"/>
        </w:rPr>
        <w:t>/</w:t>
      </w:r>
      <w:r w:rsidR="003B50ED" w:rsidRPr="00F16251">
        <w:rPr>
          <w:rFonts w:eastAsia="Calibri" w:cstheme="minorHAnsi"/>
        </w:rPr>
        <w:t xml:space="preserve"> </w:t>
      </w:r>
      <w:r w:rsidRPr="00F16251">
        <w:rPr>
          <w:rFonts w:eastAsia="Calibri" w:cstheme="minorHAnsi"/>
        </w:rPr>
        <w:t>konsultacje</w:t>
      </w:r>
      <w:r w:rsidR="003B50ED" w:rsidRPr="00F16251">
        <w:rPr>
          <w:rFonts w:eastAsia="Calibri" w:cstheme="minorHAnsi"/>
        </w:rPr>
        <w:t xml:space="preserve"> </w:t>
      </w:r>
      <w:r w:rsidRPr="00F16251">
        <w:rPr>
          <w:rFonts w:eastAsia="Calibri" w:cstheme="minorHAnsi"/>
        </w:rPr>
        <w:t>zasad</w:t>
      </w:r>
      <w:r w:rsidR="003B50ED" w:rsidRPr="00F16251">
        <w:rPr>
          <w:rFonts w:eastAsia="Calibri" w:cstheme="minorHAnsi"/>
        </w:rPr>
        <w:t xml:space="preserve"> </w:t>
      </w:r>
      <w:r w:rsidRPr="00F16251">
        <w:rPr>
          <w:rFonts w:eastAsia="Calibri" w:cstheme="minorHAnsi"/>
        </w:rPr>
        <w:t>monitorowania</w:t>
      </w:r>
      <w:r w:rsidR="003B50ED" w:rsidRPr="00F16251">
        <w:rPr>
          <w:rFonts w:eastAsia="Calibri" w:cstheme="minorHAnsi"/>
        </w:rPr>
        <w:t xml:space="preserve"> </w:t>
      </w:r>
      <w:r w:rsidRPr="00F16251">
        <w:rPr>
          <w:rFonts w:eastAsia="Calibri" w:cstheme="minorHAnsi"/>
        </w:rPr>
        <w:t>i</w:t>
      </w:r>
      <w:r w:rsidR="003B50ED" w:rsidRPr="00F16251">
        <w:rPr>
          <w:rFonts w:eastAsia="Calibri" w:cstheme="minorHAnsi"/>
        </w:rPr>
        <w:t xml:space="preserve"> </w:t>
      </w:r>
      <w:r w:rsidRPr="00F16251">
        <w:rPr>
          <w:rFonts w:eastAsia="Calibri" w:cstheme="minorHAnsi"/>
        </w:rPr>
        <w:t>ewaluacji</w:t>
      </w:r>
    </w:p>
    <w:p w14:paraId="4BCE389B" w14:textId="7C0EE9BD" w:rsidR="00E2372E" w:rsidRPr="00F16251" w:rsidRDefault="00E2372E" w:rsidP="008A412F">
      <w:pPr>
        <w:numPr>
          <w:ilvl w:val="0"/>
          <w:numId w:val="4"/>
        </w:numPr>
        <w:tabs>
          <w:tab w:val="left" w:pos="10206"/>
        </w:tabs>
        <w:spacing w:line="276" w:lineRule="auto"/>
        <w:jc w:val="both"/>
        <w:rPr>
          <w:rFonts w:eastAsia="Calibri" w:cstheme="minorHAnsi"/>
        </w:rPr>
      </w:pPr>
      <w:r w:rsidRPr="00F16251">
        <w:rPr>
          <w:rFonts w:eastAsia="Calibri" w:cstheme="minorHAnsi"/>
        </w:rPr>
        <w:t>Etap</w:t>
      </w:r>
      <w:r w:rsidR="003B50ED" w:rsidRPr="00F16251">
        <w:rPr>
          <w:rFonts w:eastAsia="Calibri" w:cstheme="minorHAnsi"/>
        </w:rPr>
        <w:t xml:space="preserve"> </w:t>
      </w:r>
      <w:r w:rsidRPr="00F16251">
        <w:rPr>
          <w:rFonts w:eastAsia="Calibri" w:cstheme="minorHAnsi"/>
        </w:rPr>
        <w:t>V</w:t>
      </w:r>
      <w:r w:rsidR="003B50ED" w:rsidRPr="00F16251">
        <w:rPr>
          <w:rFonts w:eastAsia="Calibri" w:cstheme="minorHAnsi"/>
        </w:rPr>
        <w:t xml:space="preserve"> </w:t>
      </w:r>
      <w:r w:rsidRPr="00F16251">
        <w:rPr>
          <w:rFonts w:eastAsia="Calibri" w:cstheme="minorHAnsi"/>
        </w:rPr>
        <w:t>Opracowanie</w:t>
      </w:r>
      <w:r w:rsidR="003B50ED" w:rsidRPr="00F16251">
        <w:rPr>
          <w:rFonts w:eastAsia="Calibri" w:cstheme="minorHAnsi"/>
        </w:rPr>
        <w:t xml:space="preserve"> </w:t>
      </w:r>
      <w:r w:rsidRPr="00F16251">
        <w:rPr>
          <w:rFonts w:eastAsia="Calibri" w:cstheme="minorHAnsi"/>
        </w:rPr>
        <w:t>/</w:t>
      </w:r>
      <w:r w:rsidR="003B50ED" w:rsidRPr="00F16251">
        <w:rPr>
          <w:rFonts w:eastAsia="Calibri" w:cstheme="minorHAnsi"/>
        </w:rPr>
        <w:t xml:space="preserve"> </w:t>
      </w:r>
      <w:r w:rsidRPr="00F16251">
        <w:rPr>
          <w:rFonts w:eastAsia="Calibri" w:cstheme="minorHAnsi"/>
        </w:rPr>
        <w:t>konsultacje</w:t>
      </w:r>
      <w:r w:rsidR="003B50ED" w:rsidRPr="00F16251">
        <w:rPr>
          <w:rFonts w:eastAsia="Calibri" w:cstheme="minorHAnsi"/>
        </w:rPr>
        <w:t xml:space="preserve"> </w:t>
      </w:r>
      <w:r w:rsidRPr="00F16251">
        <w:rPr>
          <w:rFonts w:eastAsia="Calibri" w:cstheme="minorHAnsi"/>
        </w:rPr>
        <w:t>planu</w:t>
      </w:r>
      <w:r w:rsidR="003B50ED" w:rsidRPr="00F16251">
        <w:rPr>
          <w:rFonts w:eastAsia="Calibri" w:cstheme="minorHAnsi"/>
        </w:rPr>
        <w:t xml:space="preserve"> </w:t>
      </w:r>
      <w:r w:rsidRPr="00F16251">
        <w:rPr>
          <w:rFonts w:eastAsia="Calibri" w:cstheme="minorHAnsi"/>
        </w:rPr>
        <w:t>komunikacji</w:t>
      </w:r>
    </w:p>
    <w:p w14:paraId="415E6601" w14:textId="77777777" w:rsidR="00E2372E" w:rsidRPr="00F16251" w:rsidRDefault="00E2372E" w:rsidP="00A26C26">
      <w:pPr>
        <w:spacing w:line="276" w:lineRule="auto"/>
        <w:jc w:val="both"/>
        <w:rPr>
          <w:rFonts w:eastAsia="Calibri" w:cstheme="minorHAnsi"/>
        </w:rPr>
      </w:pPr>
    </w:p>
    <w:p w14:paraId="5D7C0A14" w14:textId="3DDB1532" w:rsidR="00E2372E" w:rsidRPr="00F16251" w:rsidRDefault="00E2372E" w:rsidP="00A26C26">
      <w:pPr>
        <w:spacing w:line="276" w:lineRule="auto"/>
        <w:jc w:val="both"/>
        <w:rPr>
          <w:rFonts w:eastAsia="Calibri" w:cstheme="minorHAnsi"/>
        </w:rPr>
      </w:pPr>
      <w:r w:rsidRPr="00F16251">
        <w:rPr>
          <w:rFonts w:eastAsia="Calibri" w:cstheme="minorHAnsi"/>
        </w:rPr>
        <w:t>Tabela</w:t>
      </w:r>
      <w:r w:rsidR="003B50ED" w:rsidRPr="00F16251">
        <w:rPr>
          <w:rFonts w:eastAsia="Calibri" w:cstheme="minorHAnsi"/>
        </w:rPr>
        <w:t xml:space="preserve"> </w:t>
      </w:r>
      <w:r w:rsidRPr="00F16251">
        <w:rPr>
          <w:rFonts w:eastAsia="Calibri" w:cstheme="minorHAnsi"/>
        </w:rPr>
        <w:t>nr</w:t>
      </w:r>
      <w:r w:rsidR="003B50ED" w:rsidRPr="00F16251">
        <w:rPr>
          <w:rFonts w:eastAsia="Calibri" w:cstheme="minorHAnsi"/>
        </w:rPr>
        <w:t xml:space="preserve"> </w:t>
      </w:r>
      <w:r w:rsidR="00396A11">
        <w:rPr>
          <w:rFonts w:eastAsia="Calibri" w:cstheme="minorHAnsi"/>
        </w:rPr>
        <w:t>4</w:t>
      </w:r>
      <w:r w:rsidR="003B50ED" w:rsidRPr="00F16251">
        <w:rPr>
          <w:rFonts w:eastAsia="Calibri" w:cstheme="minorHAnsi"/>
        </w:rPr>
        <w:t xml:space="preserve"> </w:t>
      </w:r>
      <w:r w:rsidRPr="00F16251">
        <w:rPr>
          <w:rFonts w:eastAsia="Calibri" w:cstheme="minorHAnsi"/>
        </w:rPr>
        <w:t>Metody</w:t>
      </w:r>
      <w:r w:rsidR="003B50ED" w:rsidRPr="00F16251">
        <w:rPr>
          <w:rFonts w:eastAsia="Calibri" w:cstheme="minorHAnsi"/>
        </w:rPr>
        <w:t xml:space="preserve"> </w:t>
      </w:r>
      <w:r w:rsidRPr="00F16251">
        <w:rPr>
          <w:rFonts w:eastAsia="Calibri" w:cstheme="minorHAnsi"/>
        </w:rPr>
        <w:t>partycypacji</w:t>
      </w:r>
      <w:r w:rsidR="003B50ED" w:rsidRPr="00F16251">
        <w:rPr>
          <w:rFonts w:eastAsia="Calibri" w:cstheme="minorHAnsi"/>
        </w:rPr>
        <w:t xml:space="preserve"> </w:t>
      </w:r>
      <w:r w:rsidRPr="00F16251">
        <w:rPr>
          <w:rFonts w:eastAsia="Calibri" w:cstheme="minorHAnsi"/>
        </w:rPr>
        <w:t>zastosowane</w:t>
      </w:r>
      <w:r w:rsidR="003B50ED" w:rsidRPr="00F16251">
        <w:rPr>
          <w:rFonts w:eastAsia="Calibri" w:cstheme="minorHAnsi"/>
        </w:rPr>
        <w:t xml:space="preserve"> </w:t>
      </w:r>
      <w:r w:rsidRPr="00F16251">
        <w:rPr>
          <w:rFonts w:eastAsia="Calibri" w:cstheme="minorHAnsi"/>
        </w:rPr>
        <w:t>na</w:t>
      </w:r>
      <w:r w:rsidR="003B50ED" w:rsidRPr="00F16251">
        <w:rPr>
          <w:rFonts w:eastAsia="Calibri" w:cstheme="minorHAnsi"/>
        </w:rPr>
        <w:t xml:space="preserve"> </w:t>
      </w:r>
      <w:r w:rsidRPr="00F16251">
        <w:rPr>
          <w:rFonts w:eastAsia="Calibri" w:cstheme="minorHAnsi"/>
        </w:rPr>
        <w:t>poszczególnych</w:t>
      </w:r>
      <w:r w:rsidR="003B50ED" w:rsidRPr="00F16251">
        <w:rPr>
          <w:rFonts w:eastAsia="Calibri" w:cstheme="minorHAnsi"/>
        </w:rPr>
        <w:t xml:space="preserve"> </w:t>
      </w:r>
      <w:r w:rsidRPr="00F16251">
        <w:rPr>
          <w:rFonts w:eastAsia="Calibri" w:cstheme="minorHAnsi"/>
        </w:rPr>
        <w:t>etapach</w:t>
      </w:r>
      <w:r w:rsidR="003B50ED" w:rsidRPr="00F16251">
        <w:rPr>
          <w:rFonts w:eastAsia="Calibri" w:cstheme="minorHAnsi"/>
        </w:rPr>
        <w:t xml:space="preserve"> </w:t>
      </w:r>
      <w:r w:rsidRPr="00F16251">
        <w:rPr>
          <w:rFonts w:eastAsia="Calibri" w:cstheme="minorHAnsi"/>
        </w:rPr>
        <w:t>prac</w:t>
      </w:r>
      <w:r w:rsidR="003B50ED" w:rsidRPr="00F16251">
        <w:rPr>
          <w:rFonts w:eastAsia="Calibri" w:cstheme="minorHAnsi"/>
        </w:rPr>
        <w:t xml:space="preserve"> </w:t>
      </w:r>
      <w:r w:rsidRPr="00F16251">
        <w:rPr>
          <w:rFonts w:eastAsia="Calibri" w:cstheme="minorHAnsi"/>
        </w:rPr>
        <w:t>nad</w:t>
      </w:r>
      <w:r w:rsidR="003B50ED" w:rsidRPr="00F16251">
        <w:rPr>
          <w:rFonts w:eastAsia="Calibri" w:cstheme="minorHAnsi"/>
        </w:rPr>
        <w:t xml:space="preserve"> </w:t>
      </w:r>
      <w:r w:rsidRPr="00F16251">
        <w:rPr>
          <w:rFonts w:eastAsia="Calibri" w:cstheme="minorHAnsi"/>
        </w:rPr>
        <w:t>przygotowaniem</w:t>
      </w:r>
      <w:r w:rsidR="003B50ED" w:rsidRPr="00F16251">
        <w:rPr>
          <w:rFonts w:eastAsia="Calibri" w:cstheme="minorHAnsi"/>
        </w:rPr>
        <w:t xml:space="preserve"> </w:t>
      </w:r>
      <w:r w:rsidRPr="00F16251">
        <w:rPr>
          <w:rFonts w:eastAsia="Calibri" w:cstheme="minorHAnsi"/>
        </w:rPr>
        <w:t>LSR</w:t>
      </w:r>
      <w:r w:rsidR="003B50ED" w:rsidRPr="00F16251">
        <w:rPr>
          <w:rFonts w:eastAsia="Calibri" w:cstheme="minorHAnsi"/>
        </w:rPr>
        <w:t xml:space="preserve"> </w:t>
      </w:r>
      <w:r w:rsidRPr="00F16251">
        <w:rPr>
          <w:rFonts w:eastAsia="Calibri" w:cstheme="minorHAnsi"/>
        </w:rPr>
        <w:t>obejmujące</w:t>
      </w:r>
      <w:r w:rsidR="003B50ED" w:rsidRPr="00F16251">
        <w:rPr>
          <w:rFonts w:eastAsia="Calibri" w:cstheme="minorHAnsi"/>
        </w:rPr>
        <w:t xml:space="preserve"> </w:t>
      </w:r>
      <w:r w:rsidRPr="00F16251">
        <w:rPr>
          <w:rFonts w:eastAsia="Calibri" w:cstheme="minorHAnsi"/>
        </w:rPr>
        <w:t>również</w:t>
      </w:r>
      <w:r w:rsidR="003B50ED" w:rsidRPr="00F16251">
        <w:rPr>
          <w:rFonts w:eastAsia="Calibri" w:cstheme="minorHAnsi"/>
        </w:rPr>
        <w:t xml:space="preserve"> </w:t>
      </w:r>
      <w:r w:rsidRPr="00F16251">
        <w:rPr>
          <w:rFonts w:eastAsia="Calibri" w:cstheme="minorHAnsi"/>
        </w:rPr>
        <w:t>konsultacje</w:t>
      </w:r>
      <w:r w:rsidR="003B50ED" w:rsidRPr="00F16251">
        <w:rPr>
          <w:rFonts w:eastAsia="Calibri" w:cstheme="minorHAnsi"/>
        </w:rPr>
        <w:t xml:space="preserve"> </w:t>
      </w:r>
      <w:r w:rsidRPr="00F16251">
        <w:rPr>
          <w:rFonts w:eastAsia="Calibri" w:cstheme="minorHAnsi"/>
        </w:rPr>
        <w:t>wypracowanych</w:t>
      </w:r>
      <w:r w:rsidR="003B50ED" w:rsidRPr="00F16251">
        <w:rPr>
          <w:rFonts w:eastAsia="Calibri" w:cstheme="minorHAnsi"/>
        </w:rPr>
        <w:t xml:space="preserve"> </w:t>
      </w:r>
      <w:r w:rsidRPr="00F16251">
        <w:rPr>
          <w:rFonts w:eastAsia="Calibri" w:cstheme="minorHAnsi"/>
        </w:rPr>
        <w:t>propozycji</w:t>
      </w:r>
    </w:p>
    <w:tbl>
      <w:tblPr>
        <w:tblStyle w:val="Tabelasiatki4akcent31"/>
        <w:tblW w:w="10060" w:type="dxa"/>
        <w:tblLayout w:type="fixed"/>
        <w:tblLook w:val="04A0" w:firstRow="1" w:lastRow="0" w:firstColumn="1" w:lastColumn="0" w:noHBand="0" w:noVBand="1"/>
      </w:tblPr>
      <w:tblGrid>
        <w:gridCol w:w="562"/>
        <w:gridCol w:w="4820"/>
        <w:gridCol w:w="935"/>
        <w:gridCol w:w="936"/>
        <w:gridCol w:w="935"/>
        <w:gridCol w:w="936"/>
        <w:gridCol w:w="936"/>
      </w:tblGrid>
      <w:tr w:rsidR="00B520BD" w:rsidRPr="00F16251" w14:paraId="75F6BA22" w14:textId="77777777" w:rsidTr="003260B4">
        <w:trPr>
          <w:cnfStyle w:val="100000000000" w:firstRow="1" w:lastRow="0" w:firstColumn="0" w:lastColumn="0" w:oddVBand="0" w:evenVBand="0" w:oddHBand="0"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562" w:type="dxa"/>
          </w:tcPr>
          <w:p w14:paraId="7A9B99AC" w14:textId="77777777" w:rsidR="00E2372E" w:rsidRPr="00F16251" w:rsidRDefault="00E2372E" w:rsidP="00A26C26">
            <w:pPr>
              <w:spacing w:line="276" w:lineRule="auto"/>
              <w:jc w:val="both"/>
              <w:rPr>
                <w:rFonts w:eastAsia="Calibri" w:cstheme="minorHAnsi"/>
              </w:rPr>
            </w:pPr>
            <w:r w:rsidRPr="00F16251">
              <w:rPr>
                <w:rFonts w:eastAsia="Calibri" w:cstheme="minorHAnsi"/>
              </w:rPr>
              <w:t>Lp.</w:t>
            </w:r>
          </w:p>
        </w:tc>
        <w:tc>
          <w:tcPr>
            <w:tcW w:w="4820" w:type="dxa"/>
          </w:tcPr>
          <w:p w14:paraId="3E6357B7" w14:textId="2361A8FA" w:rsidR="00E2372E" w:rsidRPr="00F16251" w:rsidRDefault="00E2372E" w:rsidP="00A26C26">
            <w:pPr>
              <w:spacing w:line="276" w:lineRule="auto"/>
              <w:jc w:val="both"/>
              <w:cnfStyle w:val="100000000000" w:firstRow="1" w:lastRow="0" w:firstColumn="0" w:lastColumn="0" w:oddVBand="0" w:evenVBand="0" w:oddHBand="0" w:evenHBand="0" w:firstRowFirstColumn="0" w:firstRowLastColumn="0" w:lastRowFirstColumn="0" w:lastRowLastColumn="0"/>
              <w:rPr>
                <w:rFonts w:eastAsia="Calibri" w:cstheme="minorHAnsi"/>
              </w:rPr>
            </w:pPr>
            <w:r w:rsidRPr="00F16251">
              <w:rPr>
                <w:rFonts w:eastAsia="Calibri" w:cstheme="minorHAnsi"/>
              </w:rPr>
              <w:t>Nazwa</w:t>
            </w:r>
            <w:r w:rsidR="003B50ED" w:rsidRPr="00F16251">
              <w:rPr>
                <w:rFonts w:eastAsia="Calibri" w:cstheme="minorHAnsi"/>
              </w:rPr>
              <w:t xml:space="preserve"> </w:t>
            </w:r>
            <w:r w:rsidRPr="00F16251">
              <w:rPr>
                <w:rFonts w:eastAsia="Calibri" w:cstheme="minorHAnsi"/>
              </w:rPr>
              <w:t>metody</w:t>
            </w:r>
          </w:p>
        </w:tc>
        <w:tc>
          <w:tcPr>
            <w:tcW w:w="935" w:type="dxa"/>
          </w:tcPr>
          <w:p w14:paraId="0428E79E" w14:textId="2C1C276A" w:rsidR="00E2372E" w:rsidRPr="00F16251" w:rsidRDefault="00E2372E" w:rsidP="003260B4">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rPr>
            </w:pPr>
            <w:r w:rsidRPr="00F16251">
              <w:rPr>
                <w:rFonts w:eastAsia="Calibri" w:cstheme="minorHAnsi"/>
              </w:rPr>
              <w:t>Etap</w:t>
            </w:r>
            <w:r w:rsidR="003B50ED" w:rsidRPr="00F16251">
              <w:rPr>
                <w:rFonts w:eastAsia="Calibri" w:cstheme="minorHAnsi"/>
              </w:rPr>
              <w:t xml:space="preserve"> </w:t>
            </w:r>
            <w:r w:rsidRPr="00F16251">
              <w:rPr>
                <w:rFonts w:eastAsia="Calibri" w:cstheme="minorHAnsi"/>
              </w:rPr>
              <w:t>I</w:t>
            </w:r>
          </w:p>
        </w:tc>
        <w:tc>
          <w:tcPr>
            <w:tcW w:w="936" w:type="dxa"/>
          </w:tcPr>
          <w:p w14:paraId="304A4D99" w14:textId="39F6AE6C" w:rsidR="00E2372E" w:rsidRPr="00F16251" w:rsidRDefault="00E2372E" w:rsidP="003260B4">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rPr>
            </w:pPr>
            <w:r w:rsidRPr="00F16251">
              <w:rPr>
                <w:rFonts w:eastAsia="Calibri" w:cstheme="minorHAnsi"/>
              </w:rPr>
              <w:t>Etap</w:t>
            </w:r>
            <w:r w:rsidR="003B50ED" w:rsidRPr="00F16251">
              <w:rPr>
                <w:rFonts w:eastAsia="Calibri" w:cstheme="minorHAnsi"/>
              </w:rPr>
              <w:t xml:space="preserve"> </w:t>
            </w:r>
            <w:r w:rsidRPr="00F16251">
              <w:rPr>
                <w:rFonts w:eastAsia="Calibri" w:cstheme="minorHAnsi"/>
              </w:rPr>
              <w:t>II</w:t>
            </w:r>
          </w:p>
        </w:tc>
        <w:tc>
          <w:tcPr>
            <w:tcW w:w="935" w:type="dxa"/>
          </w:tcPr>
          <w:p w14:paraId="2D8FBF13" w14:textId="35B7DD5A" w:rsidR="00E2372E" w:rsidRPr="00F16251" w:rsidRDefault="00E2372E" w:rsidP="003260B4">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rPr>
            </w:pPr>
            <w:r w:rsidRPr="00F16251">
              <w:rPr>
                <w:rFonts w:eastAsia="Calibri" w:cstheme="minorHAnsi"/>
              </w:rPr>
              <w:t>Etap</w:t>
            </w:r>
            <w:r w:rsidR="003B50ED" w:rsidRPr="00F16251">
              <w:rPr>
                <w:rFonts w:eastAsia="Calibri" w:cstheme="minorHAnsi"/>
              </w:rPr>
              <w:t xml:space="preserve"> </w:t>
            </w:r>
            <w:r w:rsidRPr="00F16251">
              <w:rPr>
                <w:rFonts w:eastAsia="Calibri" w:cstheme="minorHAnsi"/>
              </w:rPr>
              <w:t>III</w:t>
            </w:r>
          </w:p>
        </w:tc>
        <w:tc>
          <w:tcPr>
            <w:tcW w:w="936" w:type="dxa"/>
          </w:tcPr>
          <w:p w14:paraId="7EA2033B" w14:textId="2B86163C" w:rsidR="00E2372E" w:rsidRPr="00F16251" w:rsidRDefault="00E2372E" w:rsidP="003260B4">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rPr>
            </w:pPr>
            <w:r w:rsidRPr="00F16251">
              <w:rPr>
                <w:rFonts w:eastAsia="Calibri" w:cstheme="minorHAnsi"/>
              </w:rPr>
              <w:t>Etap</w:t>
            </w:r>
            <w:r w:rsidR="003B50ED" w:rsidRPr="00F16251">
              <w:rPr>
                <w:rFonts w:eastAsia="Calibri" w:cstheme="minorHAnsi"/>
              </w:rPr>
              <w:t xml:space="preserve"> </w:t>
            </w:r>
            <w:r w:rsidRPr="00F16251">
              <w:rPr>
                <w:rFonts w:eastAsia="Calibri" w:cstheme="minorHAnsi"/>
              </w:rPr>
              <w:t>IV</w:t>
            </w:r>
          </w:p>
        </w:tc>
        <w:tc>
          <w:tcPr>
            <w:tcW w:w="936" w:type="dxa"/>
          </w:tcPr>
          <w:p w14:paraId="2862EBA4" w14:textId="438C6B02" w:rsidR="00E2372E" w:rsidRPr="00F16251" w:rsidRDefault="00E2372E" w:rsidP="003260B4">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rPr>
            </w:pPr>
            <w:r w:rsidRPr="00F16251">
              <w:rPr>
                <w:rFonts w:eastAsia="Calibri" w:cstheme="minorHAnsi"/>
              </w:rPr>
              <w:t>Etap</w:t>
            </w:r>
            <w:r w:rsidR="003B50ED" w:rsidRPr="00F16251">
              <w:rPr>
                <w:rFonts w:eastAsia="Calibri" w:cstheme="minorHAnsi"/>
              </w:rPr>
              <w:t xml:space="preserve"> </w:t>
            </w:r>
            <w:r w:rsidRPr="00F16251">
              <w:rPr>
                <w:rFonts w:eastAsia="Calibri" w:cstheme="minorHAnsi"/>
              </w:rPr>
              <w:t>V</w:t>
            </w:r>
          </w:p>
        </w:tc>
      </w:tr>
      <w:tr w:rsidR="00B520BD" w:rsidRPr="00F16251" w14:paraId="0E1343A4" w14:textId="77777777" w:rsidTr="00326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53C9662D" w14:textId="77777777" w:rsidR="00B520BD" w:rsidRPr="00F16251" w:rsidRDefault="00B520BD" w:rsidP="008A412F">
            <w:pPr>
              <w:numPr>
                <w:ilvl w:val="0"/>
                <w:numId w:val="5"/>
              </w:numPr>
              <w:spacing w:line="276" w:lineRule="auto"/>
              <w:jc w:val="both"/>
              <w:rPr>
                <w:rFonts w:eastAsia="Calibri" w:cstheme="minorHAnsi"/>
                <w:b w:val="0"/>
                <w:bCs w:val="0"/>
              </w:rPr>
            </w:pPr>
          </w:p>
        </w:tc>
        <w:tc>
          <w:tcPr>
            <w:tcW w:w="4820" w:type="dxa"/>
          </w:tcPr>
          <w:p w14:paraId="7061BDB6" w14:textId="6D19CE58" w:rsidR="00B520BD" w:rsidRPr="00F16251" w:rsidRDefault="00B520BD" w:rsidP="00A26C26">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rPr>
            </w:pPr>
            <w:r w:rsidRPr="00F16251">
              <w:rPr>
                <w:rFonts w:eastAsia="Calibri" w:cstheme="minorHAnsi"/>
              </w:rPr>
              <w:t>spotkania</w:t>
            </w:r>
            <w:r w:rsidR="003B50ED" w:rsidRPr="00F16251">
              <w:rPr>
                <w:rFonts w:eastAsia="Calibri" w:cstheme="minorHAnsi"/>
              </w:rPr>
              <w:t xml:space="preserve"> </w:t>
            </w:r>
            <w:r w:rsidRPr="00F16251">
              <w:rPr>
                <w:rFonts w:eastAsia="Calibri" w:cstheme="minorHAnsi"/>
              </w:rPr>
              <w:t>otwarte</w:t>
            </w:r>
          </w:p>
        </w:tc>
        <w:tc>
          <w:tcPr>
            <w:tcW w:w="935" w:type="dxa"/>
          </w:tcPr>
          <w:p w14:paraId="70B7E880" w14:textId="4BF5C93D" w:rsidR="00B520BD" w:rsidRPr="00F16251" w:rsidRDefault="00B520BD" w:rsidP="00326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b/>
              </w:rPr>
            </w:pPr>
            <w:r w:rsidRPr="00F16251">
              <w:rPr>
                <w:rFonts w:eastAsia="Calibri" w:cstheme="minorHAnsi"/>
                <w:b/>
              </w:rPr>
              <w:t>X</w:t>
            </w:r>
          </w:p>
        </w:tc>
        <w:tc>
          <w:tcPr>
            <w:tcW w:w="936" w:type="dxa"/>
          </w:tcPr>
          <w:p w14:paraId="5A5F5A3A" w14:textId="2F3616A2" w:rsidR="00B520BD" w:rsidRPr="00F16251" w:rsidRDefault="00B520BD" w:rsidP="00326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b/>
              </w:rPr>
            </w:pPr>
            <w:r w:rsidRPr="00F16251">
              <w:rPr>
                <w:rFonts w:eastAsia="Calibri" w:cstheme="minorHAnsi"/>
                <w:b/>
              </w:rPr>
              <w:t>X</w:t>
            </w:r>
          </w:p>
        </w:tc>
        <w:tc>
          <w:tcPr>
            <w:tcW w:w="935" w:type="dxa"/>
          </w:tcPr>
          <w:p w14:paraId="17155A49" w14:textId="77777777" w:rsidR="00B520BD" w:rsidRPr="00F16251" w:rsidRDefault="00B520BD" w:rsidP="00326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b/>
              </w:rPr>
            </w:pPr>
          </w:p>
        </w:tc>
        <w:tc>
          <w:tcPr>
            <w:tcW w:w="936" w:type="dxa"/>
          </w:tcPr>
          <w:p w14:paraId="2935559F" w14:textId="77777777" w:rsidR="00B520BD" w:rsidRPr="00F16251" w:rsidRDefault="00B520BD" w:rsidP="00326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b/>
              </w:rPr>
            </w:pPr>
          </w:p>
        </w:tc>
        <w:tc>
          <w:tcPr>
            <w:tcW w:w="936" w:type="dxa"/>
          </w:tcPr>
          <w:p w14:paraId="7E2289F4" w14:textId="490F06CA" w:rsidR="00B520BD" w:rsidRPr="00F16251" w:rsidRDefault="00B520BD" w:rsidP="00326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b/>
              </w:rPr>
            </w:pPr>
            <w:r w:rsidRPr="00F16251">
              <w:rPr>
                <w:rFonts w:eastAsia="Calibri" w:cstheme="minorHAnsi"/>
                <w:b/>
              </w:rPr>
              <w:t>X</w:t>
            </w:r>
          </w:p>
        </w:tc>
      </w:tr>
      <w:tr w:rsidR="00B520BD" w:rsidRPr="00F16251" w14:paraId="1E8FF54E" w14:textId="77777777" w:rsidTr="003260B4">
        <w:tc>
          <w:tcPr>
            <w:cnfStyle w:val="001000000000" w:firstRow="0" w:lastRow="0" w:firstColumn="1" w:lastColumn="0" w:oddVBand="0" w:evenVBand="0" w:oddHBand="0" w:evenHBand="0" w:firstRowFirstColumn="0" w:firstRowLastColumn="0" w:lastRowFirstColumn="0" w:lastRowLastColumn="0"/>
            <w:tcW w:w="562" w:type="dxa"/>
          </w:tcPr>
          <w:p w14:paraId="154F961A" w14:textId="77777777" w:rsidR="00E2372E" w:rsidRPr="00F16251" w:rsidRDefault="00E2372E" w:rsidP="008A412F">
            <w:pPr>
              <w:numPr>
                <w:ilvl w:val="0"/>
                <w:numId w:val="5"/>
              </w:numPr>
              <w:spacing w:line="276" w:lineRule="auto"/>
              <w:jc w:val="both"/>
              <w:rPr>
                <w:rFonts w:eastAsia="Calibri" w:cstheme="minorHAnsi"/>
              </w:rPr>
            </w:pPr>
          </w:p>
        </w:tc>
        <w:tc>
          <w:tcPr>
            <w:tcW w:w="4820" w:type="dxa"/>
          </w:tcPr>
          <w:p w14:paraId="293E1EB7" w14:textId="3C5DB6C5" w:rsidR="00E2372E" w:rsidRPr="00F16251" w:rsidRDefault="00E2372E" w:rsidP="00A26C26">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F16251">
              <w:rPr>
                <w:rFonts w:eastAsia="Calibri" w:cstheme="minorHAnsi"/>
              </w:rPr>
              <w:t>badania</w:t>
            </w:r>
            <w:r w:rsidR="003B50ED" w:rsidRPr="00F16251">
              <w:rPr>
                <w:rFonts w:eastAsia="Calibri" w:cstheme="minorHAnsi"/>
              </w:rPr>
              <w:t xml:space="preserve"> </w:t>
            </w:r>
            <w:r w:rsidRPr="00F16251">
              <w:rPr>
                <w:rFonts w:eastAsia="Calibri" w:cstheme="minorHAnsi"/>
              </w:rPr>
              <w:t>ankietowe</w:t>
            </w:r>
          </w:p>
        </w:tc>
        <w:tc>
          <w:tcPr>
            <w:tcW w:w="935" w:type="dxa"/>
          </w:tcPr>
          <w:p w14:paraId="4F2D1FF5" w14:textId="77777777" w:rsidR="00E2372E" w:rsidRPr="00F16251" w:rsidRDefault="00E2372E" w:rsidP="00326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b/>
              </w:rPr>
            </w:pPr>
            <w:r w:rsidRPr="00F16251">
              <w:rPr>
                <w:rFonts w:eastAsia="Calibri" w:cstheme="minorHAnsi"/>
                <w:b/>
              </w:rPr>
              <w:t>X</w:t>
            </w:r>
          </w:p>
        </w:tc>
        <w:tc>
          <w:tcPr>
            <w:tcW w:w="936" w:type="dxa"/>
          </w:tcPr>
          <w:p w14:paraId="112FCCCE" w14:textId="77777777" w:rsidR="00E2372E" w:rsidRPr="00F16251" w:rsidRDefault="00E2372E" w:rsidP="00326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b/>
              </w:rPr>
            </w:pPr>
            <w:r w:rsidRPr="00F16251">
              <w:rPr>
                <w:rFonts w:eastAsia="Calibri" w:cstheme="minorHAnsi"/>
                <w:b/>
              </w:rPr>
              <w:t>X</w:t>
            </w:r>
          </w:p>
        </w:tc>
        <w:tc>
          <w:tcPr>
            <w:tcW w:w="935" w:type="dxa"/>
          </w:tcPr>
          <w:p w14:paraId="71D0A34B" w14:textId="77777777" w:rsidR="00E2372E" w:rsidRPr="00F16251" w:rsidRDefault="00E2372E" w:rsidP="00326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b/>
              </w:rPr>
            </w:pPr>
            <w:r w:rsidRPr="00F16251">
              <w:rPr>
                <w:rFonts w:eastAsia="Calibri" w:cstheme="minorHAnsi"/>
                <w:b/>
              </w:rPr>
              <w:t>X</w:t>
            </w:r>
          </w:p>
        </w:tc>
        <w:tc>
          <w:tcPr>
            <w:tcW w:w="936" w:type="dxa"/>
          </w:tcPr>
          <w:p w14:paraId="6C1577BE" w14:textId="77777777" w:rsidR="00E2372E" w:rsidRPr="00F16251" w:rsidRDefault="00E2372E" w:rsidP="00326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b/>
              </w:rPr>
            </w:pPr>
          </w:p>
        </w:tc>
        <w:tc>
          <w:tcPr>
            <w:tcW w:w="936" w:type="dxa"/>
          </w:tcPr>
          <w:p w14:paraId="0E9FABD6" w14:textId="77777777" w:rsidR="00E2372E" w:rsidRPr="00F16251" w:rsidRDefault="00E2372E" w:rsidP="00326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b/>
              </w:rPr>
            </w:pPr>
            <w:r w:rsidRPr="00F16251">
              <w:rPr>
                <w:rFonts w:eastAsia="Calibri" w:cstheme="minorHAnsi"/>
                <w:b/>
              </w:rPr>
              <w:t>X</w:t>
            </w:r>
          </w:p>
        </w:tc>
      </w:tr>
      <w:tr w:rsidR="00B520BD" w:rsidRPr="00F16251" w14:paraId="614D358C" w14:textId="77777777" w:rsidTr="00326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3C26C88" w14:textId="77777777" w:rsidR="00B520BD" w:rsidRPr="00F16251" w:rsidRDefault="00B520BD" w:rsidP="008A412F">
            <w:pPr>
              <w:numPr>
                <w:ilvl w:val="0"/>
                <w:numId w:val="5"/>
              </w:numPr>
              <w:spacing w:line="276" w:lineRule="auto"/>
              <w:jc w:val="both"/>
              <w:rPr>
                <w:rFonts w:eastAsia="Calibri" w:cstheme="minorHAnsi"/>
              </w:rPr>
            </w:pPr>
          </w:p>
        </w:tc>
        <w:tc>
          <w:tcPr>
            <w:tcW w:w="4820" w:type="dxa"/>
          </w:tcPr>
          <w:p w14:paraId="24CA63EA" w14:textId="2460E805" w:rsidR="00B520BD" w:rsidRPr="00F16251" w:rsidRDefault="00B520BD" w:rsidP="00A26C26">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rPr>
            </w:pPr>
            <w:r w:rsidRPr="00F16251">
              <w:rPr>
                <w:rFonts w:eastAsia="Calibri" w:cstheme="minorHAnsi"/>
              </w:rPr>
              <w:t>dyżury</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biurze</w:t>
            </w:r>
            <w:r w:rsidR="003B50ED" w:rsidRPr="00F16251">
              <w:rPr>
                <w:rFonts w:eastAsia="Calibri" w:cstheme="minorHAnsi"/>
              </w:rPr>
              <w:t xml:space="preserve"> </w:t>
            </w:r>
            <w:r w:rsidRPr="00F16251">
              <w:rPr>
                <w:rFonts w:eastAsia="Calibri" w:cstheme="minorHAnsi"/>
              </w:rPr>
              <w:t>LGD,</w:t>
            </w:r>
            <w:r w:rsidR="003B50ED" w:rsidRPr="00F16251">
              <w:rPr>
                <w:rFonts w:eastAsia="Calibri" w:cstheme="minorHAnsi"/>
              </w:rPr>
              <w:t xml:space="preserve"> </w:t>
            </w:r>
            <w:r w:rsidRPr="00F16251">
              <w:rPr>
                <w:rFonts w:eastAsia="Calibri" w:cstheme="minorHAnsi"/>
              </w:rPr>
              <w:t>rozszerzone</w:t>
            </w:r>
            <w:r w:rsidR="003B50ED" w:rsidRPr="00F16251">
              <w:rPr>
                <w:rFonts w:eastAsia="Calibri" w:cstheme="minorHAnsi"/>
              </w:rPr>
              <w:t xml:space="preserve"> </w:t>
            </w:r>
            <w:r w:rsidRPr="00F16251">
              <w:rPr>
                <w:rFonts w:eastAsia="Calibri" w:cstheme="minorHAnsi"/>
              </w:rPr>
              <w:t>o</w:t>
            </w:r>
            <w:r w:rsidR="003B50ED" w:rsidRPr="00F16251">
              <w:rPr>
                <w:rFonts w:eastAsia="Calibri" w:cstheme="minorHAnsi"/>
              </w:rPr>
              <w:t xml:space="preserve"> </w:t>
            </w:r>
            <w:r w:rsidRPr="00F16251">
              <w:rPr>
                <w:rFonts w:eastAsia="Calibri" w:cstheme="minorHAnsi"/>
              </w:rPr>
              <w:t>konsultacje</w:t>
            </w:r>
            <w:r w:rsidR="003B50ED" w:rsidRPr="00F16251">
              <w:rPr>
                <w:rFonts w:eastAsia="Calibri" w:cstheme="minorHAnsi"/>
              </w:rPr>
              <w:t xml:space="preserve"> </w:t>
            </w:r>
            <w:r w:rsidRPr="00F16251">
              <w:rPr>
                <w:rFonts w:eastAsia="Calibri" w:cstheme="minorHAnsi"/>
              </w:rPr>
              <w:t>konkretnych</w:t>
            </w:r>
            <w:r w:rsidR="003B50ED" w:rsidRPr="00F16251">
              <w:rPr>
                <w:rFonts w:eastAsia="Calibri" w:cstheme="minorHAnsi"/>
              </w:rPr>
              <w:t xml:space="preserve"> </w:t>
            </w:r>
            <w:r w:rsidRPr="00F16251">
              <w:rPr>
                <w:rFonts w:eastAsia="Calibri" w:cstheme="minorHAnsi"/>
              </w:rPr>
              <w:t>zapisów</w:t>
            </w:r>
            <w:r w:rsidR="003B50ED" w:rsidRPr="00F16251">
              <w:rPr>
                <w:rFonts w:eastAsia="Calibri" w:cstheme="minorHAnsi"/>
              </w:rPr>
              <w:t xml:space="preserve"> </w:t>
            </w:r>
            <w:r w:rsidRPr="00F16251">
              <w:rPr>
                <w:rFonts w:eastAsia="Calibri" w:cstheme="minorHAnsi"/>
              </w:rPr>
              <w:t>i</w:t>
            </w:r>
            <w:r w:rsidR="003B50ED" w:rsidRPr="00F16251">
              <w:rPr>
                <w:rFonts w:eastAsia="Calibri" w:cstheme="minorHAnsi"/>
              </w:rPr>
              <w:t xml:space="preserve"> </w:t>
            </w:r>
            <w:r w:rsidRPr="00F16251">
              <w:rPr>
                <w:rFonts w:eastAsia="Calibri" w:cstheme="minorHAnsi"/>
              </w:rPr>
              <w:t>propozycji</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LSR</w:t>
            </w:r>
            <w:r w:rsidR="003B50ED" w:rsidRPr="00F16251">
              <w:rPr>
                <w:rFonts w:eastAsia="Calibri" w:cstheme="minorHAnsi"/>
              </w:rPr>
              <w:t xml:space="preserve"> </w:t>
            </w:r>
            <w:r w:rsidRPr="00F16251">
              <w:rPr>
                <w:rFonts w:eastAsia="Calibri" w:cstheme="minorHAnsi"/>
              </w:rPr>
              <w:t>przeprowadzane</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konkretnych</w:t>
            </w:r>
            <w:r w:rsidR="003B50ED" w:rsidRPr="00F16251">
              <w:rPr>
                <w:rFonts w:eastAsia="Calibri" w:cstheme="minorHAnsi"/>
              </w:rPr>
              <w:t xml:space="preserve"> </w:t>
            </w:r>
            <w:r w:rsidRPr="00F16251">
              <w:rPr>
                <w:rFonts w:eastAsia="Calibri" w:cstheme="minorHAnsi"/>
              </w:rPr>
              <w:t>terminach</w:t>
            </w:r>
          </w:p>
        </w:tc>
        <w:tc>
          <w:tcPr>
            <w:tcW w:w="935" w:type="dxa"/>
          </w:tcPr>
          <w:p w14:paraId="0367DEEE" w14:textId="1409E428" w:rsidR="00B520BD" w:rsidRPr="00F16251" w:rsidRDefault="00B520BD" w:rsidP="00326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b/>
              </w:rPr>
            </w:pPr>
            <w:r w:rsidRPr="00F16251">
              <w:rPr>
                <w:rFonts w:eastAsia="Calibri" w:cstheme="minorHAnsi"/>
                <w:b/>
              </w:rPr>
              <w:t>X</w:t>
            </w:r>
          </w:p>
        </w:tc>
        <w:tc>
          <w:tcPr>
            <w:tcW w:w="936" w:type="dxa"/>
          </w:tcPr>
          <w:p w14:paraId="42DFF88C" w14:textId="5A828269" w:rsidR="00B520BD" w:rsidRPr="00F16251" w:rsidRDefault="00B520BD" w:rsidP="00326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b/>
              </w:rPr>
            </w:pPr>
            <w:r w:rsidRPr="00F16251">
              <w:rPr>
                <w:rFonts w:eastAsia="Calibri" w:cstheme="minorHAnsi"/>
                <w:b/>
              </w:rPr>
              <w:t>X</w:t>
            </w:r>
          </w:p>
        </w:tc>
        <w:tc>
          <w:tcPr>
            <w:tcW w:w="935" w:type="dxa"/>
          </w:tcPr>
          <w:p w14:paraId="254EF385" w14:textId="5BD1D29B" w:rsidR="00B520BD" w:rsidRPr="00F16251" w:rsidRDefault="00B520BD" w:rsidP="00326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b/>
              </w:rPr>
            </w:pPr>
            <w:r w:rsidRPr="00F16251">
              <w:rPr>
                <w:rFonts w:eastAsia="Calibri" w:cstheme="minorHAnsi"/>
                <w:b/>
              </w:rPr>
              <w:t>X</w:t>
            </w:r>
          </w:p>
        </w:tc>
        <w:tc>
          <w:tcPr>
            <w:tcW w:w="936" w:type="dxa"/>
          </w:tcPr>
          <w:p w14:paraId="60E0F4EE" w14:textId="1B8963B2" w:rsidR="00B520BD" w:rsidRPr="00F16251" w:rsidRDefault="00B520BD" w:rsidP="00326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b/>
              </w:rPr>
            </w:pPr>
            <w:r w:rsidRPr="00F16251">
              <w:rPr>
                <w:rFonts w:eastAsia="Calibri" w:cstheme="minorHAnsi"/>
                <w:b/>
              </w:rPr>
              <w:t>X</w:t>
            </w:r>
          </w:p>
        </w:tc>
        <w:tc>
          <w:tcPr>
            <w:tcW w:w="936" w:type="dxa"/>
          </w:tcPr>
          <w:p w14:paraId="31213078" w14:textId="00C25FE9" w:rsidR="00B520BD" w:rsidRPr="00F16251" w:rsidRDefault="00B520BD" w:rsidP="00326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b/>
              </w:rPr>
            </w:pPr>
            <w:r w:rsidRPr="00F16251">
              <w:rPr>
                <w:rFonts w:eastAsia="Calibri" w:cstheme="minorHAnsi"/>
                <w:b/>
              </w:rPr>
              <w:t>X</w:t>
            </w:r>
          </w:p>
        </w:tc>
      </w:tr>
      <w:tr w:rsidR="00B520BD" w:rsidRPr="00F16251" w14:paraId="166E9DE1" w14:textId="77777777" w:rsidTr="003260B4">
        <w:tc>
          <w:tcPr>
            <w:cnfStyle w:val="001000000000" w:firstRow="0" w:lastRow="0" w:firstColumn="1" w:lastColumn="0" w:oddVBand="0" w:evenVBand="0" w:oddHBand="0" w:evenHBand="0" w:firstRowFirstColumn="0" w:firstRowLastColumn="0" w:lastRowFirstColumn="0" w:lastRowLastColumn="0"/>
            <w:tcW w:w="562" w:type="dxa"/>
          </w:tcPr>
          <w:p w14:paraId="6A0C2069" w14:textId="77777777" w:rsidR="00B520BD" w:rsidRPr="00F16251" w:rsidRDefault="00B520BD" w:rsidP="008A412F">
            <w:pPr>
              <w:numPr>
                <w:ilvl w:val="0"/>
                <w:numId w:val="5"/>
              </w:numPr>
              <w:spacing w:line="276" w:lineRule="auto"/>
              <w:jc w:val="both"/>
              <w:rPr>
                <w:rFonts w:eastAsia="Calibri" w:cstheme="minorHAnsi"/>
              </w:rPr>
            </w:pPr>
          </w:p>
        </w:tc>
        <w:tc>
          <w:tcPr>
            <w:tcW w:w="4820" w:type="dxa"/>
          </w:tcPr>
          <w:p w14:paraId="6E445334" w14:textId="24171F24" w:rsidR="00B520BD" w:rsidRPr="00F16251" w:rsidRDefault="00B520BD" w:rsidP="00A26C26">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F16251">
              <w:rPr>
                <w:rFonts w:eastAsia="Calibri" w:cstheme="minorHAnsi"/>
              </w:rPr>
              <w:t>warsztat</w:t>
            </w:r>
            <w:r w:rsidR="003B50ED" w:rsidRPr="00F16251">
              <w:rPr>
                <w:rFonts w:eastAsia="Calibri" w:cstheme="minorHAnsi"/>
              </w:rPr>
              <w:t xml:space="preserve"> </w:t>
            </w:r>
            <w:r w:rsidRPr="00F16251">
              <w:rPr>
                <w:rFonts w:eastAsia="Calibri" w:cstheme="minorHAnsi"/>
              </w:rPr>
              <w:t>strategiczny</w:t>
            </w:r>
          </w:p>
        </w:tc>
        <w:tc>
          <w:tcPr>
            <w:tcW w:w="935" w:type="dxa"/>
          </w:tcPr>
          <w:p w14:paraId="4E38E3C8" w14:textId="14EC2DB8" w:rsidR="00B520BD" w:rsidRPr="00F16251" w:rsidRDefault="00B520BD" w:rsidP="00326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b/>
              </w:rPr>
            </w:pPr>
            <w:r w:rsidRPr="00F16251">
              <w:rPr>
                <w:rFonts w:eastAsia="Calibri" w:cstheme="minorHAnsi"/>
                <w:b/>
              </w:rPr>
              <w:t>X</w:t>
            </w:r>
          </w:p>
        </w:tc>
        <w:tc>
          <w:tcPr>
            <w:tcW w:w="936" w:type="dxa"/>
          </w:tcPr>
          <w:p w14:paraId="77874D17" w14:textId="43A2B340" w:rsidR="00B520BD" w:rsidRPr="00F16251" w:rsidRDefault="00B520BD" w:rsidP="00326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b/>
              </w:rPr>
            </w:pPr>
            <w:r w:rsidRPr="00F16251">
              <w:rPr>
                <w:rFonts w:eastAsia="Calibri" w:cstheme="minorHAnsi"/>
                <w:b/>
              </w:rPr>
              <w:t>X</w:t>
            </w:r>
          </w:p>
        </w:tc>
        <w:tc>
          <w:tcPr>
            <w:tcW w:w="935" w:type="dxa"/>
          </w:tcPr>
          <w:p w14:paraId="1CA5589A" w14:textId="53C37C0F" w:rsidR="00B520BD" w:rsidRPr="00F16251" w:rsidRDefault="00B520BD" w:rsidP="00326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b/>
              </w:rPr>
            </w:pPr>
            <w:r w:rsidRPr="00F16251">
              <w:rPr>
                <w:rFonts w:eastAsia="Calibri" w:cstheme="minorHAnsi"/>
                <w:b/>
              </w:rPr>
              <w:t>X</w:t>
            </w:r>
          </w:p>
        </w:tc>
        <w:tc>
          <w:tcPr>
            <w:tcW w:w="936" w:type="dxa"/>
          </w:tcPr>
          <w:p w14:paraId="0E44DF7E" w14:textId="7B56B3AF" w:rsidR="00B520BD" w:rsidRPr="00F16251" w:rsidRDefault="00B520BD" w:rsidP="00326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b/>
              </w:rPr>
            </w:pPr>
          </w:p>
        </w:tc>
        <w:tc>
          <w:tcPr>
            <w:tcW w:w="936" w:type="dxa"/>
          </w:tcPr>
          <w:p w14:paraId="033EAC8F" w14:textId="419B3BEC" w:rsidR="00B520BD" w:rsidRPr="00F16251" w:rsidRDefault="00B520BD" w:rsidP="00326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b/>
              </w:rPr>
            </w:pPr>
          </w:p>
        </w:tc>
      </w:tr>
      <w:tr w:rsidR="00B520BD" w:rsidRPr="00F16251" w14:paraId="66AAFA12" w14:textId="77777777" w:rsidTr="00326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2CAB6F7F" w14:textId="77777777" w:rsidR="00E2372E" w:rsidRPr="00F16251" w:rsidRDefault="00E2372E" w:rsidP="008A412F">
            <w:pPr>
              <w:numPr>
                <w:ilvl w:val="0"/>
                <w:numId w:val="5"/>
              </w:numPr>
              <w:spacing w:line="276" w:lineRule="auto"/>
              <w:jc w:val="both"/>
              <w:rPr>
                <w:rFonts w:eastAsia="Calibri" w:cstheme="minorHAnsi"/>
              </w:rPr>
            </w:pPr>
          </w:p>
        </w:tc>
        <w:tc>
          <w:tcPr>
            <w:tcW w:w="4820" w:type="dxa"/>
          </w:tcPr>
          <w:p w14:paraId="47E132CD" w14:textId="1202B0D8" w:rsidR="00E2372E" w:rsidRPr="00F16251" w:rsidRDefault="00E2372E" w:rsidP="00A26C26">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rPr>
            </w:pPr>
            <w:r w:rsidRPr="00F16251">
              <w:rPr>
                <w:rFonts w:eastAsia="Calibri" w:cstheme="minorHAnsi"/>
              </w:rPr>
              <w:t>wywiady</w:t>
            </w:r>
            <w:r w:rsidR="003B50ED" w:rsidRPr="00F16251">
              <w:rPr>
                <w:rFonts w:eastAsia="Calibri" w:cstheme="minorHAnsi"/>
              </w:rPr>
              <w:t xml:space="preserve"> </w:t>
            </w:r>
            <w:r w:rsidRPr="00F16251">
              <w:rPr>
                <w:rFonts w:eastAsia="Calibri" w:cstheme="minorHAnsi"/>
              </w:rPr>
              <w:t>fokusowe</w:t>
            </w:r>
            <w:r w:rsidR="003B50ED" w:rsidRPr="00F16251">
              <w:rPr>
                <w:rFonts w:eastAsia="Calibri" w:cstheme="minorHAnsi"/>
              </w:rPr>
              <w:t xml:space="preserve"> </w:t>
            </w:r>
            <w:r w:rsidRPr="00F16251">
              <w:rPr>
                <w:rFonts w:eastAsia="Calibri" w:cstheme="minorHAnsi"/>
              </w:rPr>
              <w:t>/</w:t>
            </w:r>
            <w:r w:rsidR="003B50ED" w:rsidRPr="00F16251">
              <w:rPr>
                <w:rFonts w:eastAsia="Calibri" w:cstheme="minorHAnsi"/>
              </w:rPr>
              <w:t xml:space="preserve"> </w:t>
            </w:r>
            <w:r w:rsidRPr="00F16251">
              <w:rPr>
                <w:rFonts w:eastAsia="Calibri" w:cstheme="minorHAnsi"/>
              </w:rPr>
              <w:t>wywiady</w:t>
            </w:r>
            <w:r w:rsidR="003B50ED" w:rsidRPr="00F16251">
              <w:rPr>
                <w:rFonts w:eastAsia="Calibri" w:cstheme="minorHAnsi"/>
              </w:rPr>
              <w:t xml:space="preserve"> </w:t>
            </w:r>
            <w:r w:rsidRPr="00F16251">
              <w:rPr>
                <w:rFonts w:eastAsia="Calibri" w:cstheme="minorHAnsi"/>
              </w:rPr>
              <w:t>indywidualne</w:t>
            </w:r>
            <w:r w:rsidR="003B50ED" w:rsidRPr="00F16251">
              <w:rPr>
                <w:rFonts w:eastAsia="Calibri" w:cstheme="minorHAnsi"/>
              </w:rPr>
              <w:t xml:space="preserve"> </w:t>
            </w:r>
            <w:r w:rsidRPr="00F16251">
              <w:rPr>
                <w:rFonts w:eastAsia="Calibri" w:cstheme="minorHAnsi"/>
              </w:rPr>
              <w:t>/</w:t>
            </w:r>
            <w:r w:rsidR="003B50ED" w:rsidRPr="00F16251">
              <w:rPr>
                <w:rFonts w:eastAsia="Calibri" w:cstheme="minorHAnsi"/>
              </w:rPr>
              <w:t xml:space="preserve"> </w:t>
            </w:r>
            <w:r w:rsidRPr="00F16251">
              <w:rPr>
                <w:rFonts w:eastAsia="Calibri" w:cstheme="minorHAnsi"/>
              </w:rPr>
              <w:t>spotkania</w:t>
            </w:r>
            <w:r w:rsidR="003B50ED" w:rsidRPr="00F16251">
              <w:rPr>
                <w:rFonts w:eastAsia="Calibri" w:cstheme="minorHAnsi"/>
              </w:rPr>
              <w:t xml:space="preserve"> </w:t>
            </w:r>
            <w:r w:rsidRPr="00F16251">
              <w:rPr>
                <w:rFonts w:eastAsia="Calibri" w:cstheme="minorHAnsi"/>
              </w:rPr>
              <w:t>zespołów</w:t>
            </w:r>
            <w:r w:rsidR="003B50ED" w:rsidRPr="00F16251">
              <w:rPr>
                <w:rFonts w:eastAsia="Calibri" w:cstheme="minorHAnsi"/>
              </w:rPr>
              <w:t xml:space="preserve"> </w:t>
            </w:r>
            <w:r w:rsidRPr="00F16251">
              <w:rPr>
                <w:rFonts w:eastAsia="Calibri" w:cstheme="minorHAnsi"/>
              </w:rPr>
              <w:t>roboczych</w:t>
            </w:r>
            <w:r w:rsidR="003B50ED" w:rsidRPr="00F16251">
              <w:rPr>
                <w:rFonts w:eastAsia="Calibri" w:cstheme="minorHAnsi"/>
              </w:rPr>
              <w:t xml:space="preserve"> </w:t>
            </w:r>
            <w:r w:rsidRPr="00F16251">
              <w:rPr>
                <w:rFonts w:eastAsia="Calibri" w:cstheme="minorHAnsi"/>
              </w:rPr>
              <w:t>ds.</w:t>
            </w:r>
            <w:r w:rsidR="003B50ED" w:rsidRPr="00F16251">
              <w:rPr>
                <w:rFonts w:eastAsia="Calibri" w:cstheme="minorHAnsi"/>
              </w:rPr>
              <w:t xml:space="preserve"> </w:t>
            </w:r>
            <w:r w:rsidRPr="00F16251">
              <w:rPr>
                <w:rFonts w:eastAsia="Calibri" w:cstheme="minorHAnsi"/>
              </w:rPr>
              <w:t>LSR</w:t>
            </w:r>
            <w:r w:rsidR="003B50ED" w:rsidRPr="00F16251">
              <w:rPr>
                <w:rFonts w:eastAsia="Calibri" w:cstheme="minorHAnsi"/>
              </w:rPr>
              <w:t xml:space="preserve"> </w:t>
            </w:r>
          </w:p>
        </w:tc>
        <w:tc>
          <w:tcPr>
            <w:tcW w:w="935" w:type="dxa"/>
          </w:tcPr>
          <w:p w14:paraId="2566D03F" w14:textId="77777777" w:rsidR="00E2372E" w:rsidRPr="00F16251" w:rsidRDefault="00E2372E" w:rsidP="00326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b/>
              </w:rPr>
            </w:pPr>
            <w:r w:rsidRPr="00F16251">
              <w:rPr>
                <w:rFonts w:eastAsia="Calibri" w:cstheme="minorHAnsi"/>
                <w:b/>
              </w:rPr>
              <w:t>X</w:t>
            </w:r>
          </w:p>
        </w:tc>
        <w:tc>
          <w:tcPr>
            <w:tcW w:w="936" w:type="dxa"/>
          </w:tcPr>
          <w:p w14:paraId="744FB855" w14:textId="77777777" w:rsidR="00E2372E" w:rsidRPr="00F16251" w:rsidRDefault="00E2372E" w:rsidP="00326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b/>
              </w:rPr>
            </w:pPr>
            <w:r w:rsidRPr="00F16251">
              <w:rPr>
                <w:rFonts w:eastAsia="Calibri" w:cstheme="minorHAnsi"/>
                <w:b/>
              </w:rPr>
              <w:t>X</w:t>
            </w:r>
          </w:p>
        </w:tc>
        <w:tc>
          <w:tcPr>
            <w:tcW w:w="935" w:type="dxa"/>
          </w:tcPr>
          <w:p w14:paraId="315F7E9B" w14:textId="77777777" w:rsidR="00E2372E" w:rsidRPr="00F16251" w:rsidRDefault="00E2372E" w:rsidP="00326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b/>
              </w:rPr>
            </w:pPr>
            <w:r w:rsidRPr="00F16251">
              <w:rPr>
                <w:rFonts w:eastAsia="Calibri" w:cstheme="minorHAnsi"/>
                <w:b/>
              </w:rPr>
              <w:t>X</w:t>
            </w:r>
          </w:p>
        </w:tc>
        <w:tc>
          <w:tcPr>
            <w:tcW w:w="936" w:type="dxa"/>
          </w:tcPr>
          <w:p w14:paraId="3788BF2D" w14:textId="77777777" w:rsidR="00E2372E" w:rsidRPr="00F16251" w:rsidRDefault="00E2372E" w:rsidP="00326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b/>
              </w:rPr>
            </w:pPr>
            <w:r w:rsidRPr="00F16251">
              <w:rPr>
                <w:rFonts w:eastAsia="Calibri" w:cstheme="minorHAnsi"/>
                <w:b/>
              </w:rPr>
              <w:t>X</w:t>
            </w:r>
          </w:p>
        </w:tc>
        <w:tc>
          <w:tcPr>
            <w:tcW w:w="936" w:type="dxa"/>
          </w:tcPr>
          <w:p w14:paraId="141AE409" w14:textId="77777777" w:rsidR="00E2372E" w:rsidRPr="00F16251" w:rsidRDefault="00E2372E" w:rsidP="00326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b/>
              </w:rPr>
            </w:pPr>
            <w:r w:rsidRPr="00F16251">
              <w:rPr>
                <w:rFonts w:eastAsia="Calibri" w:cstheme="minorHAnsi"/>
                <w:b/>
              </w:rPr>
              <w:t>X</w:t>
            </w:r>
          </w:p>
        </w:tc>
      </w:tr>
      <w:tr w:rsidR="00B520BD" w:rsidRPr="00F16251" w14:paraId="1B31AC37" w14:textId="77777777" w:rsidTr="003260B4">
        <w:tc>
          <w:tcPr>
            <w:cnfStyle w:val="001000000000" w:firstRow="0" w:lastRow="0" w:firstColumn="1" w:lastColumn="0" w:oddVBand="0" w:evenVBand="0" w:oddHBand="0" w:evenHBand="0" w:firstRowFirstColumn="0" w:firstRowLastColumn="0" w:lastRowFirstColumn="0" w:lastRowLastColumn="0"/>
            <w:tcW w:w="562" w:type="dxa"/>
          </w:tcPr>
          <w:p w14:paraId="48486559" w14:textId="77777777" w:rsidR="00B520BD" w:rsidRPr="00F16251" w:rsidRDefault="00B520BD" w:rsidP="008A412F">
            <w:pPr>
              <w:numPr>
                <w:ilvl w:val="0"/>
                <w:numId w:val="5"/>
              </w:numPr>
              <w:spacing w:line="276" w:lineRule="auto"/>
              <w:jc w:val="both"/>
              <w:rPr>
                <w:rFonts w:eastAsia="Calibri" w:cstheme="minorHAnsi"/>
              </w:rPr>
            </w:pPr>
          </w:p>
        </w:tc>
        <w:tc>
          <w:tcPr>
            <w:tcW w:w="4820" w:type="dxa"/>
          </w:tcPr>
          <w:p w14:paraId="1C64D4E3" w14:textId="1BA0ECE6" w:rsidR="00B520BD" w:rsidRPr="00F16251" w:rsidRDefault="00B520BD" w:rsidP="00A26C26">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F16251">
              <w:rPr>
                <w:rFonts w:eastAsia="Calibri" w:cstheme="minorHAnsi"/>
              </w:rPr>
              <w:t>karta</w:t>
            </w:r>
            <w:r w:rsidR="003B50ED" w:rsidRPr="00F16251">
              <w:rPr>
                <w:rFonts w:eastAsia="Calibri" w:cstheme="minorHAnsi"/>
              </w:rPr>
              <w:t xml:space="preserve"> </w:t>
            </w:r>
            <w:r w:rsidRPr="00F16251">
              <w:rPr>
                <w:rFonts w:eastAsia="Calibri" w:cstheme="minorHAnsi"/>
              </w:rPr>
              <w:t>pomysłu</w:t>
            </w:r>
          </w:p>
        </w:tc>
        <w:tc>
          <w:tcPr>
            <w:tcW w:w="935" w:type="dxa"/>
          </w:tcPr>
          <w:p w14:paraId="6347BBDD" w14:textId="26E5569D" w:rsidR="00B520BD" w:rsidRPr="00F16251" w:rsidRDefault="00B520BD" w:rsidP="00326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b/>
              </w:rPr>
            </w:pPr>
            <w:r w:rsidRPr="00F16251">
              <w:rPr>
                <w:rFonts w:eastAsia="Calibri" w:cstheme="minorHAnsi"/>
                <w:b/>
              </w:rPr>
              <w:t>X</w:t>
            </w:r>
          </w:p>
        </w:tc>
        <w:tc>
          <w:tcPr>
            <w:tcW w:w="936" w:type="dxa"/>
          </w:tcPr>
          <w:p w14:paraId="51FEFE5A" w14:textId="47387CDB" w:rsidR="00B520BD" w:rsidRPr="00F16251" w:rsidRDefault="00B520BD" w:rsidP="00326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b/>
              </w:rPr>
            </w:pPr>
            <w:r w:rsidRPr="00F16251">
              <w:rPr>
                <w:rFonts w:eastAsia="Calibri" w:cstheme="minorHAnsi"/>
                <w:b/>
              </w:rPr>
              <w:t>X</w:t>
            </w:r>
          </w:p>
        </w:tc>
        <w:tc>
          <w:tcPr>
            <w:tcW w:w="935" w:type="dxa"/>
          </w:tcPr>
          <w:p w14:paraId="3E70A035" w14:textId="77777777" w:rsidR="00B520BD" w:rsidRPr="00F16251" w:rsidRDefault="00B520BD" w:rsidP="00326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b/>
              </w:rPr>
            </w:pPr>
          </w:p>
        </w:tc>
        <w:tc>
          <w:tcPr>
            <w:tcW w:w="936" w:type="dxa"/>
          </w:tcPr>
          <w:p w14:paraId="01BEDF1C" w14:textId="77777777" w:rsidR="00B520BD" w:rsidRPr="00F16251" w:rsidRDefault="00B520BD" w:rsidP="00326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b/>
              </w:rPr>
            </w:pPr>
          </w:p>
        </w:tc>
        <w:tc>
          <w:tcPr>
            <w:tcW w:w="936" w:type="dxa"/>
          </w:tcPr>
          <w:p w14:paraId="1281DE16" w14:textId="5D1AC3C2" w:rsidR="00B520BD" w:rsidRPr="00F16251" w:rsidRDefault="00B520BD" w:rsidP="003260B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b/>
              </w:rPr>
            </w:pPr>
            <w:r w:rsidRPr="00F16251">
              <w:rPr>
                <w:rFonts w:eastAsia="Calibri" w:cstheme="minorHAnsi"/>
                <w:b/>
              </w:rPr>
              <w:t>X</w:t>
            </w:r>
          </w:p>
        </w:tc>
      </w:tr>
      <w:tr w:rsidR="00B520BD" w:rsidRPr="00F16251" w14:paraId="4E9DDB89" w14:textId="77777777" w:rsidTr="00326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78D719E5" w14:textId="77777777" w:rsidR="00E2372E" w:rsidRPr="00F16251" w:rsidRDefault="00E2372E" w:rsidP="008A412F">
            <w:pPr>
              <w:numPr>
                <w:ilvl w:val="0"/>
                <w:numId w:val="5"/>
              </w:numPr>
              <w:spacing w:line="276" w:lineRule="auto"/>
              <w:jc w:val="both"/>
              <w:rPr>
                <w:rFonts w:eastAsia="Calibri" w:cstheme="minorHAnsi"/>
              </w:rPr>
            </w:pPr>
          </w:p>
        </w:tc>
        <w:tc>
          <w:tcPr>
            <w:tcW w:w="4820" w:type="dxa"/>
          </w:tcPr>
          <w:p w14:paraId="6F0951B6" w14:textId="63FB33E8" w:rsidR="00E2372E" w:rsidRPr="00F16251" w:rsidRDefault="00E2372E" w:rsidP="00A26C26">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rPr>
            </w:pPr>
            <w:r w:rsidRPr="00F16251">
              <w:rPr>
                <w:rFonts w:eastAsia="Calibri" w:cstheme="minorHAnsi"/>
              </w:rPr>
              <w:t>system</w:t>
            </w:r>
            <w:r w:rsidR="003B50ED" w:rsidRPr="00F16251">
              <w:rPr>
                <w:rFonts w:eastAsia="Calibri" w:cstheme="minorHAnsi"/>
              </w:rPr>
              <w:t xml:space="preserve"> </w:t>
            </w:r>
            <w:r w:rsidRPr="00F16251">
              <w:rPr>
                <w:rFonts w:eastAsia="Calibri" w:cstheme="minorHAnsi"/>
              </w:rPr>
              <w:t>zachęt</w:t>
            </w:r>
            <w:r w:rsidR="003B50ED" w:rsidRPr="00F16251">
              <w:rPr>
                <w:rFonts w:eastAsia="Calibri" w:cstheme="minorHAnsi"/>
              </w:rPr>
              <w:t xml:space="preserve"> </w:t>
            </w:r>
            <w:r w:rsidRPr="00F16251">
              <w:rPr>
                <w:rFonts w:eastAsia="Calibri" w:cstheme="minorHAnsi"/>
              </w:rPr>
              <w:t>do</w:t>
            </w:r>
            <w:r w:rsidR="003B50ED" w:rsidRPr="00F16251">
              <w:rPr>
                <w:rFonts w:eastAsia="Calibri" w:cstheme="minorHAnsi"/>
              </w:rPr>
              <w:t xml:space="preserve"> </w:t>
            </w:r>
            <w:r w:rsidRPr="00F16251">
              <w:rPr>
                <w:rFonts w:eastAsia="Calibri" w:cstheme="minorHAnsi"/>
              </w:rPr>
              <w:t>włączenia</w:t>
            </w:r>
            <w:r w:rsidR="003B50ED" w:rsidRPr="00F16251">
              <w:rPr>
                <w:rFonts w:eastAsia="Calibri" w:cstheme="minorHAnsi"/>
              </w:rPr>
              <w:t xml:space="preserve"> </w:t>
            </w:r>
            <w:r w:rsidRPr="00F16251">
              <w:rPr>
                <w:rFonts w:eastAsia="Calibri" w:cstheme="minorHAnsi"/>
              </w:rPr>
              <w:t>się</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proces</w:t>
            </w:r>
            <w:r w:rsidR="003B50ED" w:rsidRPr="00F16251">
              <w:rPr>
                <w:rFonts w:eastAsia="Calibri" w:cstheme="minorHAnsi"/>
              </w:rPr>
              <w:t xml:space="preserve"> </w:t>
            </w:r>
            <w:r w:rsidRPr="00F16251">
              <w:rPr>
                <w:rFonts w:eastAsia="Calibri" w:cstheme="minorHAnsi"/>
              </w:rPr>
              <w:t>budowy/konsultacji</w:t>
            </w:r>
            <w:r w:rsidR="003B50ED" w:rsidRPr="00F16251">
              <w:rPr>
                <w:rFonts w:eastAsia="Calibri" w:cstheme="minorHAnsi"/>
              </w:rPr>
              <w:t xml:space="preserve"> </w:t>
            </w:r>
            <w:r w:rsidRPr="00F16251">
              <w:rPr>
                <w:rFonts w:eastAsia="Calibri" w:cstheme="minorHAnsi"/>
              </w:rPr>
              <w:t>LSR</w:t>
            </w:r>
          </w:p>
        </w:tc>
        <w:tc>
          <w:tcPr>
            <w:tcW w:w="935" w:type="dxa"/>
          </w:tcPr>
          <w:p w14:paraId="5390A622" w14:textId="77777777" w:rsidR="00E2372E" w:rsidRPr="00F16251" w:rsidRDefault="00E2372E" w:rsidP="00326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b/>
              </w:rPr>
            </w:pPr>
            <w:r w:rsidRPr="00F16251">
              <w:rPr>
                <w:rFonts w:eastAsia="Calibri" w:cstheme="minorHAnsi"/>
                <w:b/>
              </w:rPr>
              <w:t>X</w:t>
            </w:r>
          </w:p>
        </w:tc>
        <w:tc>
          <w:tcPr>
            <w:tcW w:w="936" w:type="dxa"/>
          </w:tcPr>
          <w:p w14:paraId="6F42394B" w14:textId="77777777" w:rsidR="00E2372E" w:rsidRPr="00F16251" w:rsidRDefault="00E2372E" w:rsidP="00326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b/>
              </w:rPr>
            </w:pPr>
            <w:r w:rsidRPr="00F16251">
              <w:rPr>
                <w:rFonts w:eastAsia="Calibri" w:cstheme="minorHAnsi"/>
                <w:b/>
              </w:rPr>
              <w:t>X</w:t>
            </w:r>
          </w:p>
        </w:tc>
        <w:tc>
          <w:tcPr>
            <w:tcW w:w="935" w:type="dxa"/>
          </w:tcPr>
          <w:p w14:paraId="5A9CF55F" w14:textId="77777777" w:rsidR="00E2372E" w:rsidRPr="00F16251" w:rsidRDefault="00E2372E" w:rsidP="00326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b/>
              </w:rPr>
            </w:pPr>
            <w:r w:rsidRPr="00F16251">
              <w:rPr>
                <w:rFonts w:eastAsia="Calibri" w:cstheme="minorHAnsi"/>
                <w:b/>
              </w:rPr>
              <w:t>X</w:t>
            </w:r>
          </w:p>
        </w:tc>
        <w:tc>
          <w:tcPr>
            <w:tcW w:w="936" w:type="dxa"/>
          </w:tcPr>
          <w:p w14:paraId="527E128E" w14:textId="77777777" w:rsidR="00E2372E" w:rsidRPr="00F16251" w:rsidRDefault="00E2372E" w:rsidP="00326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b/>
              </w:rPr>
            </w:pPr>
            <w:r w:rsidRPr="00F16251">
              <w:rPr>
                <w:rFonts w:eastAsia="Calibri" w:cstheme="minorHAnsi"/>
                <w:b/>
              </w:rPr>
              <w:t>X</w:t>
            </w:r>
          </w:p>
        </w:tc>
        <w:tc>
          <w:tcPr>
            <w:tcW w:w="936" w:type="dxa"/>
          </w:tcPr>
          <w:p w14:paraId="499AB1A5" w14:textId="77777777" w:rsidR="00E2372E" w:rsidRPr="00F16251" w:rsidRDefault="00E2372E" w:rsidP="003260B4">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b/>
              </w:rPr>
            </w:pPr>
            <w:r w:rsidRPr="00F16251">
              <w:rPr>
                <w:rFonts w:eastAsia="Calibri" w:cstheme="minorHAnsi"/>
                <w:b/>
              </w:rPr>
              <w:t>X</w:t>
            </w:r>
          </w:p>
        </w:tc>
      </w:tr>
    </w:tbl>
    <w:p w14:paraId="74D8F14F" w14:textId="0C0F15D1" w:rsidR="00E2372E" w:rsidRPr="00F16251" w:rsidRDefault="00E2372E" w:rsidP="00A26C26">
      <w:pPr>
        <w:spacing w:line="276" w:lineRule="auto"/>
        <w:jc w:val="both"/>
        <w:rPr>
          <w:rFonts w:eastAsia="Calibri" w:cstheme="minorHAnsi"/>
        </w:rPr>
      </w:pPr>
      <w:r w:rsidRPr="00F16251">
        <w:rPr>
          <w:rFonts w:eastAsia="Calibri" w:cstheme="minorHAnsi"/>
        </w:rPr>
        <w:t>Źródło:</w:t>
      </w:r>
      <w:r w:rsidR="003B50ED" w:rsidRPr="00F16251">
        <w:rPr>
          <w:rFonts w:eastAsia="Calibri" w:cstheme="minorHAnsi"/>
        </w:rPr>
        <w:t xml:space="preserve"> </w:t>
      </w:r>
      <w:r w:rsidRPr="00F16251">
        <w:rPr>
          <w:rFonts w:eastAsia="Calibri" w:cstheme="minorHAnsi"/>
        </w:rPr>
        <w:t>Opracowanie</w:t>
      </w:r>
      <w:r w:rsidR="003B50ED" w:rsidRPr="00F16251">
        <w:rPr>
          <w:rFonts w:eastAsia="Calibri" w:cstheme="minorHAnsi"/>
        </w:rPr>
        <w:t xml:space="preserve"> </w:t>
      </w:r>
      <w:r w:rsidRPr="00F16251">
        <w:rPr>
          <w:rFonts w:eastAsia="Calibri" w:cstheme="minorHAnsi"/>
        </w:rPr>
        <w:t>własne</w:t>
      </w:r>
    </w:p>
    <w:p w14:paraId="35C9295C" w14:textId="77777777" w:rsidR="00B520BD" w:rsidRPr="00F16251" w:rsidRDefault="00B520BD" w:rsidP="00A26C26">
      <w:pPr>
        <w:spacing w:line="276" w:lineRule="auto"/>
        <w:jc w:val="both"/>
        <w:rPr>
          <w:rFonts w:eastAsia="Calibri" w:cstheme="minorHAnsi"/>
          <w:i/>
          <w:iCs/>
        </w:rPr>
      </w:pPr>
    </w:p>
    <w:p w14:paraId="5A91A2C9" w14:textId="2C287D6D" w:rsidR="00E2372E" w:rsidRPr="00F16251" w:rsidRDefault="00E2372E" w:rsidP="00A26C26">
      <w:pPr>
        <w:spacing w:line="276" w:lineRule="auto"/>
        <w:jc w:val="both"/>
        <w:rPr>
          <w:rFonts w:eastAsia="Calibri" w:cstheme="minorHAnsi"/>
        </w:rPr>
      </w:pPr>
      <w:r w:rsidRPr="00F16251">
        <w:rPr>
          <w:rFonts w:eastAsia="Calibri" w:cstheme="minorHAnsi"/>
        </w:rPr>
        <w:t>Omówienie</w:t>
      </w:r>
      <w:r w:rsidR="003B50ED" w:rsidRPr="00F16251">
        <w:rPr>
          <w:rFonts w:eastAsia="Calibri" w:cstheme="minorHAnsi"/>
        </w:rPr>
        <w:t xml:space="preserve"> </w:t>
      </w:r>
      <w:r w:rsidRPr="00F16251">
        <w:rPr>
          <w:rFonts w:eastAsia="Calibri" w:cstheme="minorHAnsi"/>
        </w:rPr>
        <w:t>poszczególnych</w:t>
      </w:r>
      <w:r w:rsidR="003B50ED" w:rsidRPr="00F16251">
        <w:rPr>
          <w:rFonts w:eastAsia="Calibri" w:cstheme="minorHAnsi"/>
        </w:rPr>
        <w:t xml:space="preserve"> </w:t>
      </w:r>
      <w:r w:rsidRPr="00F16251">
        <w:rPr>
          <w:rFonts w:eastAsia="Calibri" w:cstheme="minorHAnsi"/>
        </w:rPr>
        <w:t>metod</w:t>
      </w:r>
      <w:r w:rsidR="003B50ED" w:rsidRPr="00F16251">
        <w:rPr>
          <w:rFonts w:eastAsia="Calibri" w:cstheme="minorHAnsi"/>
        </w:rPr>
        <w:t xml:space="preserve"> </w:t>
      </w:r>
      <w:r w:rsidRPr="00F16251">
        <w:rPr>
          <w:rFonts w:eastAsia="Calibri" w:cstheme="minorHAnsi"/>
        </w:rPr>
        <w:t>partycypacji</w:t>
      </w:r>
      <w:r w:rsidR="003B50ED" w:rsidRPr="00F16251">
        <w:rPr>
          <w:rFonts w:eastAsia="Calibri" w:cstheme="minorHAnsi"/>
        </w:rPr>
        <w:t xml:space="preserve"> </w:t>
      </w:r>
    </w:p>
    <w:p w14:paraId="0CBD669A" w14:textId="56D1C18D" w:rsidR="00B520BD" w:rsidRPr="00F16251" w:rsidRDefault="00B520BD" w:rsidP="00A26C26">
      <w:pPr>
        <w:spacing w:line="276" w:lineRule="auto"/>
        <w:ind w:firstLine="284"/>
        <w:jc w:val="both"/>
        <w:rPr>
          <w:rFonts w:eastAsia="Calibri" w:cstheme="minorHAnsi"/>
        </w:rPr>
      </w:pPr>
      <w:r w:rsidRPr="00F16251">
        <w:rPr>
          <w:rFonts w:eastAsia="Calibri" w:cstheme="minorHAnsi"/>
          <w:b/>
          <w:bCs/>
        </w:rPr>
        <w:t>Spotkania</w:t>
      </w:r>
      <w:r w:rsidR="003B50ED" w:rsidRPr="00F16251">
        <w:rPr>
          <w:rFonts w:eastAsia="Calibri" w:cstheme="minorHAnsi"/>
          <w:b/>
          <w:bCs/>
        </w:rPr>
        <w:t xml:space="preserve"> </w:t>
      </w:r>
      <w:r w:rsidRPr="00F16251">
        <w:rPr>
          <w:rFonts w:eastAsia="Calibri" w:cstheme="minorHAnsi"/>
          <w:b/>
          <w:bCs/>
        </w:rPr>
        <w:t>otwarte,</w:t>
      </w:r>
      <w:r w:rsidR="003B50ED" w:rsidRPr="00F16251">
        <w:rPr>
          <w:rFonts w:eastAsia="Calibri" w:cstheme="minorHAnsi"/>
          <w:b/>
          <w:bCs/>
        </w:rPr>
        <w:t xml:space="preserve"> </w:t>
      </w:r>
      <w:r w:rsidRPr="00F16251">
        <w:rPr>
          <w:rFonts w:eastAsia="Calibri" w:cstheme="minorHAnsi"/>
        </w:rPr>
        <w:t>wzorem</w:t>
      </w:r>
      <w:r w:rsidR="003B50ED" w:rsidRPr="00F16251">
        <w:rPr>
          <w:rFonts w:eastAsia="Calibri" w:cstheme="minorHAnsi"/>
        </w:rPr>
        <w:t xml:space="preserve"> </w:t>
      </w:r>
      <w:r w:rsidRPr="00F16251">
        <w:rPr>
          <w:rFonts w:eastAsia="Calibri" w:cstheme="minorHAnsi"/>
        </w:rPr>
        <w:t>doświadczeń</w:t>
      </w:r>
      <w:r w:rsidR="003B50ED" w:rsidRPr="00F16251">
        <w:rPr>
          <w:rFonts w:eastAsia="Calibri" w:cstheme="minorHAnsi"/>
        </w:rPr>
        <w:t xml:space="preserve"> </w:t>
      </w:r>
      <w:r w:rsidRPr="00F16251">
        <w:rPr>
          <w:rFonts w:eastAsia="Calibri" w:cstheme="minorHAnsi"/>
        </w:rPr>
        <w:t>wynikających</w:t>
      </w:r>
      <w:r w:rsidR="003B50ED" w:rsidRPr="00F16251">
        <w:rPr>
          <w:rFonts w:eastAsia="Calibri" w:cstheme="minorHAnsi"/>
        </w:rPr>
        <w:t xml:space="preserve"> </w:t>
      </w:r>
      <w:r w:rsidRPr="00F16251">
        <w:rPr>
          <w:rFonts w:eastAsia="Calibri" w:cstheme="minorHAnsi"/>
        </w:rPr>
        <w:t>z</w:t>
      </w:r>
      <w:r w:rsidR="003B50ED" w:rsidRPr="00F16251">
        <w:rPr>
          <w:rFonts w:eastAsia="Calibri" w:cstheme="minorHAnsi"/>
        </w:rPr>
        <w:t xml:space="preserve"> </w:t>
      </w:r>
      <w:r w:rsidRPr="00F16251">
        <w:rPr>
          <w:rFonts w:eastAsia="Calibri" w:cstheme="minorHAnsi"/>
        </w:rPr>
        <w:t>budowy</w:t>
      </w:r>
      <w:r w:rsidR="003B50ED" w:rsidRPr="00F16251">
        <w:rPr>
          <w:rFonts w:eastAsia="Calibri" w:cstheme="minorHAnsi"/>
        </w:rPr>
        <w:t xml:space="preserve"> </w:t>
      </w:r>
      <w:r w:rsidRPr="00F16251">
        <w:rPr>
          <w:rFonts w:eastAsia="Calibri" w:cstheme="minorHAnsi"/>
        </w:rPr>
        <w:t>LSR</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okresie</w:t>
      </w:r>
      <w:r w:rsidR="003B50ED" w:rsidRPr="00F16251">
        <w:rPr>
          <w:rFonts w:eastAsia="Calibri" w:cstheme="minorHAnsi"/>
        </w:rPr>
        <w:t xml:space="preserve"> </w:t>
      </w:r>
      <w:r w:rsidRPr="00F16251">
        <w:rPr>
          <w:rFonts w:eastAsia="Calibri" w:cstheme="minorHAnsi"/>
        </w:rPr>
        <w:t>2014-2020,</w:t>
      </w:r>
      <w:r w:rsidR="003B50ED" w:rsidRPr="00F16251">
        <w:rPr>
          <w:rFonts w:eastAsia="Calibri" w:cstheme="minorHAnsi"/>
        </w:rPr>
        <w:t xml:space="preserve"> </w:t>
      </w:r>
      <w:r w:rsidRPr="00F16251">
        <w:rPr>
          <w:rFonts w:eastAsia="Calibri" w:cstheme="minorHAnsi"/>
        </w:rPr>
        <w:t>zostały</w:t>
      </w:r>
      <w:r w:rsidR="003B50ED" w:rsidRPr="00F16251">
        <w:rPr>
          <w:rFonts w:eastAsia="Calibri" w:cstheme="minorHAnsi"/>
        </w:rPr>
        <w:t xml:space="preserve"> </w:t>
      </w:r>
      <w:r w:rsidRPr="00F16251">
        <w:rPr>
          <w:rFonts w:eastAsia="Calibri" w:cstheme="minorHAnsi"/>
        </w:rPr>
        <w:t>zorganizowane</w:t>
      </w:r>
      <w:r w:rsidR="003B50ED" w:rsidRPr="00F16251">
        <w:rPr>
          <w:rFonts w:eastAsia="Calibri" w:cstheme="minorHAnsi"/>
        </w:rPr>
        <w:t xml:space="preserve"> </w:t>
      </w:r>
      <w:r w:rsidRPr="00F16251">
        <w:rPr>
          <w:rFonts w:eastAsia="Calibri" w:cstheme="minorHAnsi"/>
        </w:rPr>
        <w:t>na</w:t>
      </w:r>
      <w:r w:rsidR="003B50ED" w:rsidRPr="00F16251">
        <w:rPr>
          <w:rFonts w:eastAsia="Calibri" w:cstheme="minorHAnsi"/>
        </w:rPr>
        <w:t xml:space="preserve"> </w:t>
      </w:r>
      <w:r w:rsidRPr="00F16251">
        <w:rPr>
          <w:rFonts w:eastAsia="Calibri" w:cstheme="minorHAnsi"/>
        </w:rPr>
        <w:t>terenie</w:t>
      </w:r>
      <w:r w:rsidR="003B50ED" w:rsidRPr="00F16251">
        <w:rPr>
          <w:rFonts w:eastAsia="Calibri" w:cstheme="minorHAnsi"/>
        </w:rPr>
        <w:t xml:space="preserve"> </w:t>
      </w:r>
      <w:r w:rsidRPr="00F16251">
        <w:rPr>
          <w:rFonts w:eastAsia="Calibri" w:cstheme="minorHAnsi"/>
        </w:rPr>
        <w:t>każdej</w:t>
      </w:r>
      <w:r w:rsidR="003B50ED" w:rsidRPr="00F16251">
        <w:rPr>
          <w:rFonts w:eastAsia="Calibri" w:cstheme="minorHAnsi"/>
        </w:rPr>
        <w:t xml:space="preserve"> </w:t>
      </w:r>
      <w:r w:rsidRPr="00F16251">
        <w:rPr>
          <w:rFonts w:eastAsia="Calibri" w:cstheme="minorHAnsi"/>
        </w:rPr>
        <w:t>z</w:t>
      </w:r>
      <w:r w:rsidR="003B50ED" w:rsidRPr="00F16251">
        <w:rPr>
          <w:rFonts w:eastAsia="Calibri" w:cstheme="minorHAnsi"/>
        </w:rPr>
        <w:t xml:space="preserve"> </w:t>
      </w:r>
      <w:r w:rsidRPr="00F16251">
        <w:rPr>
          <w:rFonts w:eastAsia="Calibri" w:cstheme="minorHAnsi"/>
        </w:rPr>
        <w:t>gmin,</w:t>
      </w:r>
      <w:r w:rsidR="003B50ED" w:rsidRPr="00F16251">
        <w:rPr>
          <w:rFonts w:eastAsia="Calibri" w:cstheme="minorHAnsi"/>
        </w:rPr>
        <w:t xml:space="preserve"> </w:t>
      </w:r>
      <w:r w:rsidRPr="00F16251">
        <w:rPr>
          <w:rFonts w:eastAsia="Calibri" w:cstheme="minorHAnsi"/>
        </w:rPr>
        <w:t>by</w:t>
      </w:r>
      <w:r w:rsidR="003B50ED" w:rsidRPr="00F16251">
        <w:rPr>
          <w:rFonts w:eastAsia="Calibri" w:cstheme="minorHAnsi"/>
        </w:rPr>
        <w:t xml:space="preserve"> </w:t>
      </w:r>
      <w:r w:rsidRPr="00F16251">
        <w:rPr>
          <w:rFonts w:eastAsia="Calibri" w:cstheme="minorHAnsi"/>
        </w:rPr>
        <w:t>zapewnić</w:t>
      </w:r>
      <w:r w:rsidR="003B50ED" w:rsidRPr="00F16251">
        <w:rPr>
          <w:rFonts w:eastAsia="Calibri" w:cstheme="minorHAnsi"/>
        </w:rPr>
        <w:t xml:space="preserve"> </w:t>
      </w:r>
      <w:r w:rsidRPr="00F16251">
        <w:rPr>
          <w:rFonts w:eastAsia="Calibri" w:cstheme="minorHAnsi"/>
        </w:rPr>
        <w:t>udział</w:t>
      </w:r>
      <w:r w:rsidR="003B50ED" w:rsidRPr="00F16251">
        <w:rPr>
          <w:rFonts w:eastAsia="Calibri" w:cstheme="minorHAnsi"/>
        </w:rPr>
        <w:t xml:space="preserve"> </w:t>
      </w:r>
      <w:r w:rsidRPr="00F16251">
        <w:rPr>
          <w:rFonts w:eastAsia="Calibri" w:cstheme="minorHAnsi"/>
        </w:rPr>
        <w:t>przedstawicieli</w:t>
      </w:r>
      <w:r w:rsidR="003B50ED" w:rsidRPr="00F16251">
        <w:rPr>
          <w:rFonts w:eastAsia="Calibri" w:cstheme="minorHAnsi"/>
        </w:rPr>
        <w:t xml:space="preserve"> </w:t>
      </w:r>
      <w:r w:rsidRPr="00F16251">
        <w:rPr>
          <w:rFonts w:eastAsia="Calibri" w:cstheme="minorHAnsi"/>
        </w:rPr>
        <w:t>wszystkich</w:t>
      </w:r>
      <w:r w:rsidR="003B50ED" w:rsidRPr="00F16251">
        <w:rPr>
          <w:rFonts w:eastAsia="Calibri" w:cstheme="minorHAnsi"/>
        </w:rPr>
        <w:t xml:space="preserve"> </w:t>
      </w:r>
      <w:r w:rsidRPr="00F16251">
        <w:rPr>
          <w:rFonts w:eastAsia="Calibri" w:cstheme="minorHAnsi"/>
        </w:rPr>
        <w:t>grup</w:t>
      </w:r>
      <w:r w:rsidR="003B50ED" w:rsidRPr="00F16251">
        <w:rPr>
          <w:rFonts w:eastAsia="Calibri" w:cstheme="minorHAnsi"/>
        </w:rPr>
        <w:t xml:space="preserve"> </w:t>
      </w:r>
      <w:r w:rsidRPr="00F16251">
        <w:rPr>
          <w:rFonts w:eastAsia="Calibri" w:cstheme="minorHAnsi"/>
        </w:rPr>
        <w:t>interesu</w:t>
      </w:r>
      <w:r w:rsidR="003B50ED" w:rsidRPr="00F16251">
        <w:rPr>
          <w:rFonts w:eastAsia="Calibri" w:cstheme="minorHAnsi"/>
        </w:rPr>
        <w:t xml:space="preserve"> </w:t>
      </w:r>
      <w:r w:rsidRPr="00F16251">
        <w:rPr>
          <w:rFonts w:eastAsia="Calibri" w:cstheme="minorHAnsi"/>
        </w:rPr>
        <w:t>sektorów.</w:t>
      </w:r>
      <w:r w:rsidR="003B50ED" w:rsidRPr="00F16251">
        <w:rPr>
          <w:rFonts w:eastAsia="Calibri" w:cstheme="minorHAnsi"/>
        </w:rPr>
        <w:t xml:space="preserve"> </w:t>
      </w:r>
      <w:r w:rsidRPr="00F16251">
        <w:rPr>
          <w:rFonts w:eastAsia="Calibri" w:cstheme="minorHAnsi"/>
        </w:rPr>
        <w:br/>
        <w:t>W</w:t>
      </w:r>
      <w:r w:rsidR="003B50ED" w:rsidRPr="00F16251">
        <w:rPr>
          <w:rFonts w:eastAsia="Calibri" w:cstheme="minorHAnsi"/>
        </w:rPr>
        <w:t xml:space="preserve"> </w:t>
      </w:r>
      <w:r w:rsidRPr="00F16251">
        <w:rPr>
          <w:rFonts w:eastAsia="Calibri" w:cstheme="minorHAnsi"/>
        </w:rPr>
        <w:t>spotkaniach</w:t>
      </w:r>
      <w:r w:rsidR="003B50ED" w:rsidRPr="00F16251">
        <w:rPr>
          <w:rFonts w:eastAsia="Calibri" w:cstheme="minorHAnsi"/>
        </w:rPr>
        <w:t xml:space="preserve"> </w:t>
      </w:r>
      <w:r w:rsidRPr="00F16251">
        <w:rPr>
          <w:rFonts w:eastAsia="Calibri" w:cstheme="minorHAnsi"/>
        </w:rPr>
        <w:t>uczestniczyli</w:t>
      </w:r>
      <w:r w:rsidR="003B50ED" w:rsidRPr="00F16251">
        <w:rPr>
          <w:rFonts w:eastAsia="Calibri" w:cstheme="minorHAnsi"/>
        </w:rPr>
        <w:t xml:space="preserve"> </w:t>
      </w:r>
      <w:r w:rsidRPr="00F16251">
        <w:rPr>
          <w:rFonts w:eastAsia="Calibri" w:cstheme="minorHAnsi"/>
        </w:rPr>
        <w:t>przedstawiciele</w:t>
      </w:r>
      <w:r w:rsidR="003B50ED" w:rsidRPr="00F16251">
        <w:rPr>
          <w:rFonts w:eastAsia="Calibri" w:cstheme="minorHAnsi"/>
        </w:rPr>
        <w:t xml:space="preserve"> </w:t>
      </w:r>
      <w:r w:rsidRPr="00F16251">
        <w:rPr>
          <w:rFonts w:eastAsia="Calibri" w:cstheme="minorHAnsi"/>
        </w:rPr>
        <w:t>różnych</w:t>
      </w:r>
      <w:r w:rsidR="003B50ED" w:rsidRPr="00F16251">
        <w:rPr>
          <w:rFonts w:eastAsia="Calibri" w:cstheme="minorHAnsi"/>
        </w:rPr>
        <w:t xml:space="preserve"> </w:t>
      </w:r>
      <w:r w:rsidRPr="00F16251">
        <w:rPr>
          <w:rFonts w:eastAsia="Calibri" w:cstheme="minorHAnsi"/>
        </w:rPr>
        <w:t>grup</w:t>
      </w:r>
      <w:r w:rsidR="003B50ED" w:rsidRPr="00F16251">
        <w:rPr>
          <w:rFonts w:eastAsia="Calibri" w:cstheme="minorHAnsi"/>
        </w:rPr>
        <w:t xml:space="preserve"> </w:t>
      </w:r>
      <w:r w:rsidRPr="00F16251">
        <w:rPr>
          <w:rFonts w:eastAsia="Calibri" w:cstheme="minorHAnsi"/>
        </w:rPr>
        <w:t>społecznych,</w:t>
      </w:r>
      <w:r w:rsidR="003B50ED" w:rsidRPr="00F16251">
        <w:rPr>
          <w:rFonts w:eastAsia="Calibri" w:cstheme="minorHAnsi"/>
        </w:rPr>
        <w:t xml:space="preserve"> </w:t>
      </w:r>
      <w:r w:rsidRPr="00F16251">
        <w:rPr>
          <w:rFonts w:eastAsia="Calibri" w:cstheme="minorHAnsi"/>
        </w:rPr>
        <w:t>takich</w:t>
      </w:r>
      <w:r w:rsidR="003B50ED" w:rsidRPr="00F16251">
        <w:rPr>
          <w:rFonts w:eastAsia="Calibri" w:cstheme="minorHAnsi"/>
        </w:rPr>
        <w:t xml:space="preserve"> </w:t>
      </w:r>
      <w:r w:rsidRPr="00F16251">
        <w:rPr>
          <w:rFonts w:eastAsia="Calibri" w:cstheme="minorHAnsi"/>
        </w:rPr>
        <w:t>jak</w:t>
      </w:r>
      <w:r w:rsidR="003B50ED" w:rsidRPr="00F16251">
        <w:rPr>
          <w:rFonts w:eastAsia="Calibri" w:cstheme="minorHAnsi"/>
        </w:rPr>
        <w:t xml:space="preserve"> </w:t>
      </w:r>
      <w:r w:rsidRPr="00F16251">
        <w:rPr>
          <w:rFonts w:eastAsia="Calibri" w:cstheme="minorHAnsi"/>
        </w:rPr>
        <w:t>wójtowie,</w:t>
      </w:r>
      <w:r w:rsidR="003B50ED" w:rsidRPr="00F16251">
        <w:rPr>
          <w:rFonts w:eastAsia="Calibri" w:cstheme="minorHAnsi"/>
        </w:rPr>
        <w:t xml:space="preserve"> </w:t>
      </w:r>
      <w:r w:rsidRPr="00F16251">
        <w:rPr>
          <w:rFonts w:eastAsia="Calibri" w:cstheme="minorHAnsi"/>
        </w:rPr>
        <w:t>burmistrzowie,</w:t>
      </w:r>
      <w:r w:rsidR="003B50ED" w:rsidRPr="00F16251">
        <w:rPr>
          <w:rFonts w:eastAsia="Calibri" w:cstheme="minorHAnsi"/>
        </w:rPr>
        <w:t xml:space="preserve"> </w:t>
      </w:r>
      <w:r w:rsidRPr="00F16251">
        <w:rPr>
          <w:rFonts w:eastAsia="Calibri" w:cstheme="minorHAnsi"/>
        </w:rPr>
        <w:t>radni,</w:t>
      </w:r>
      <w:r w:rsidR="003B50ED" w:rsidRPr="00F16251">
        <w:rPr>
          <w:rFonts w:eastAsia="Calibri" w:cstheme="minorHAnsi"/>
        </w:rPr>
        <w:t xml:space="preserve"> </w:t>
      </w:r>
      <w:r w:rsidRPr="00F16251">
        <w:rPr>
          <w:rFonts w:eastAsia="Calibri" w:cstheme="minorHAnsi"/>
        </w:rPr>
        <w:t>sołtysi,</w:t>
      </w:r>
      <w:r w:rsidR="003B50ED" w:rsidRPr="00F16251">
        <w:rPr>
          <w:rFonts w:eastAsia="Calibri" w:cstheme="minorHAnsi"/>
        </w:rPr>
        <w:t xml:space="preserve"> </w:t>
      </w:r>
      <w:r w:rsidRPr="00F16251">
        <w:rPr>
          <w:rFonts w:eastAsia="Calibri" w:cstheme="minorHAnsi"/>
        </w:rPr>
        <w:t>przedstawiciele</w:t>
      </w:r>
      <w:r w:rsidR="003B50ED" w:rsidRPr="00F16251">
        <w:rPr>
          <w:rFonts w:eastAsia="Calibri" w:cstheme="minorHAnsi"/>
        </w:rPr>
        <w:t xml:space="preserve"> </w:t>
      </w:r>
      <w:r w:rsidRPr="00F16251">
        <w:rPr>
          <w:rFonts w:eastAsia="Calibri" w:cstheme="minorHAnsi"/>
        </w:rPr>
        <w:t>instytucji</w:t>
      </w:r>
      <w:r w:rsidR="003B50ED" w:rsidRPr="00F16251">
        <w:rPr>
          <w:rFonts w:eastAsia="Calibri" w:cstheme="minorHAnsi"/>
        </w:rPr>
        <w:t xml:space="preserve"> </w:t>
      </w:r>
      <w:r w:rsidRPr="00F16251">
        <w:rPr>
          <w:rFonts w:eastAsia="Calibri" w:cstheme="minorHAnsi"/>
        </w:rPr>
        <w:t>kulturalnych,</w:t>
      </w:r>
      <w:r w:rsidR="003B50ED" w:rsidRPr="00F16251">
        <w:rPr>
          <w:rFonts w:eastAsia="Calibri" w:cstheme="minorHAnsi"/>
        </w:rPr>
        <w:t xml:space="preserve"> </w:t>
      </w:r>
      <w:r w:rsidRPr="00F16251">
        <w:rPr>
          <w:rFonts w:eastAsia="Calibri" w:cstheme="minorHAnsi"/>
        </w:rPr>
        <w:t>OSP,</w:t>
      </w:r>
      <w:r w:rsidR="003B50ED" w:rsidRPr="00F16251">
        <w:rPr>
          <w:rFonts w:eastAsia="Calibri" w:cstheme="minorHAnsi"/>
        </w:rPr>
        <w:t xml:space="preserve"> </w:t>
      </w:r>
      <w:r w:rsidRPr="00F16251">
        <w:rPr>
          <w:rFonts w:eastAsia="Calibri" w:cstheme="minorHAnsi"/>
        </w:rPr>
        <w:t>KGW,</w:t>
      </w:r>
      <w:r w:rsidR="003B50ED" w:rsidRPr="00F16251">
        <w:rPr>
          <w:rFonts w:eastAsia="Calibri" w:cstheme="minorHAnsi"/>
        </w:rPr>
        <w:t xml:space="preserve"> </w:t>
      </w:r>
      <w:r w:rsidRPr="00F16251">
        <w:rPr>
          <w:rFonts w:eastAsia="Calibri" w:cstheme="minorHAnsi"/>
        </w:rPr>
        <w:t>grupy</w:t>
      </w:r>
      <w:r w:rsidR="003B50ED" w:rsidRPr="00F16251">
        <w:rPr>
          <w:rFonts w:eastAsia="Calibri" w:cstheme="minorHAnsi"/>
        </w:rPr>
        <w:t xml:space="preserve"> </w:t>
      </w:r>
      <w:r w:rsidRPr="00F16251">
        <w:rPr>
          <w:rFonts w:eastAsia="Calibri" w:cstheme="minorHAnsi"/>
        </w:rPr>
        <w:t>nieformalne,</w:t>
      </w:r>
      <w:r w:rsidR="003B50ED" w:rsidRPr="00F16251">
        <w:rPr>
          <w:rFonts w:eastAsia="Calibri" w:cstheme="minorHAnsi"/>
        </w:rPr>
        <w:t xml:space="preserve"> </w:t>
      </w:r>
      <w:r w:rsidRPr="00F16251">
        <w:rPr>
          <w:rFonts w:eastAsia="Calibri" w:cstheme="minorHAnsi"/>
        </w:rPr>
        <w:t>przedsiębiorcy</w:t>
      </w:r>
      <w:r w:rsidR="003B50ED" w:rsidRPr="00F16251">
        <w:rPr>
          <w:rFonts w:eastAsia="Calibri" w:cstheme="minorHAnsi"/>
        </w:rPr>
        <w:t xml:space="preserve"> </w:t>
      </w:r>
      <w:r w:rsidRPr="00F16251">
        <w:rPr>
          <w:rFonts w:eastAsia="Calibri" w:cstheme="minorHAnsi"/>
        </w:rPr>
        <w:t>i</w:t>
      </w:r>
      <w:r w:rsidR="003B50ED" w:rsidRPr="00F16251">
        <w:rPr>
          <w:rFonts w:eastAsia="Calibri" w:cstheme="minorHAnsi"/>
        </w:rPr>
        <w:t xml:space="preserve"> </w:t>
      </w:r>
      <w:r w:rsidRPr="00F16251">
        <w:rPr>
          <w:rFonts w:eastAsia="Calibri" w:cstheme="minorHAnsi"/>
        </w:rPr>
        <w:t>mieszkańcy.</w:t>
      </w:r>
      <w:r w:rsidR="003B50ED" w:rsidRPr="00F16251">
        <w:rPr>
          <w:rFonts w:eastAsia="Calibri" w:cstheme="minorHAnsi"/>
        </w:rPr>
        <w:t xml:space="preserve"> </w:t>
      </w:r>
      <w:r w:rsidRPr="00F16251">
        <w:rPr>
          <w:rFonts w:eastAsia="Calibri" w:cstheme="minorHAnsi"/>
        </w:rPr>
        <w:t>Informacje</w:t>
      </w:r>
      <w:r w:rsidR="003B50ED" w:rsidRPr="00F16251">
        <w:rPr>
          <w:rFonts w:eastAsia="Calibri" w:cstheme="minorHAnsi"/>
        </w:rPr>
        <w:t xml:space="preserve"> </w:t>
      </w:r>
      <w:r w:rsidRPr="00F16251">
        <w:rPr>
          <w:rFonts w:eastAsia="Calibri" w:cstheme="minorHAnsi"/>
        </w:rPr>
        <w:t>o</w:t>
      </w:r>
      <w:r w:rsidR="003B50ED" w:rsidRPr="00F16251">
        <w:rPr>
          <w:rFonts w:eastAsia="Calibri" w:cstheme="minorHAnsi"/>
        </w:rPr>
        <w:t xml:space="preserve"> </w:t>
      </w:r>
      <w:r w:rsidRPr="00F16251">
        <w:rPr>
          <w:rFonts w:eastAsia="Calibri" w:cstheme="minorHAnsi"/>
        </w:rPr>
        <w:t>terminach</w:t>
      </w:r>
      <w:r w:rsidR="003B50ED" w:rsidRPr="00F16251">
        <w:rPr>
          <w:rFonts w:eastAsia="Calibri" w:cstheme="minorHAnsi"/>
        </w:rPr>
        <w:t xml:space="preserve"> </w:t>
      </w:r>
      <w:r w:rsidRPr="00F16251">
        <w:rPr>
          <w:rFonts w:eastAsia="Calibri" w:cstheme="minorHAnsi"/>
        </w:rPr>
        <w:t>spotkań</w:t>
      </w:r>
      <w:r w:rsidR="003B50ED" w:rsidRPr="00F16251">
        <w:rPr>
          <w:rFonts w:eastAsia="Calibri" w:cstheme="minorHAnsi"/>
        </w:rPr>
        <w:t xml:space="preserve"> </w:t>
      </w:r>
      <w:r w:rsidRPr="00F16251">
        <w:rPr>
          <w:rFonts w:eastAsia="Calibri" w:cstheme="minorHAnsi"/>
        </w:rPr>
        <w:t>udostępniliśmy</w:t>
      </w:r>
      <w:r w:rsidR="003B50ED" w:rsidRPr="00F16251">
        <w:rPr>
          <w:rFonts w:eastAsia="Calibri" w:cstheme="minorHAnsi"/>
        </w:rPr>
        <w:t xml:space="preserve"> </w:t>
      </w:r>
      <w:r w:rsidRPr="00F16251">
        <w:rPr>
          <w:rFonts w:eastAsia="Calibri" w:cstheme="minorHAnsi"/>
        </w:rPr>
        <w:t>na</w:t>
      </w:r>
      <w:r w:rsidR="003B50ED" w:rsidRPr="00F16251">
        <w:rPr>
          <w:rFonts w:eastAsia="Calibri" w:cstheme="minorHAnsi"/>
        </w:rPr>
        <w:t xml:space="preserve"> </w:t>
      </w:r>
      <w:r w:rsidRPr="00F16251">
        <w:rPr>
          <w:rFonts w:eastAsia="Calibri" w:cstheme="minorHAnsi"/>
        </w:rPr>
        <w:t>stronie</w:t>
      </w:r>
      <w:r w:rsidR="003B50ED" w:rsidRPr="00F16251">
        <w:rPr>
          <w:rFonts w:eastAsia="Calibri" w:cstheme="minorHAnsi"/>
        </w:rPr>
        <w:t xml:space="preserve"> </w:t>
      </w:r>
      <w:r w:rsidRPr="00F16251">
        <w:rPr>
          <w:rFonts w:eastAsia="Calibri" w:cstheme="minorHAnsi"/>
        </w:rPr>
        <w:t>internetowej</w:t>
      </w:r>
      <w:r w:rsidR="003B50ED" w:rsidRPr="00F16251">
        <w:rPr>
          <w:rFonts w:eastAsia="Calibri" w:cstheme="minorHAnsi"/>
        </w:rPr>
        <w:t xml:space="preserve"> </w:t>
      </w:r>
      <w:r w:rsidR="003260B4" w:rsidRPr="00F16251">
        <w:rPr>
          <w:rFonts w:cstheme="minorHAnsi"/>
        </w:rPr>
        <w:t>Stowarzyszenia „Solidarni w Partnerstwie”</w:t>
      </w:r>
      <w:r w:rsidRPr="00F16251">
        <w:rPr>
          <w:rFonts w:eastAsia="Calibri" w:cstheme="minorHAnsi"/>
        </w:rPr>
        <w:t>,</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mediach</w:t>
      </w:r>
      <w:r w:rsidR="003B50ED" w:rsidRPr="00F16251">
        <w:rPr>
          <w:rFonts w:eastAsia="Calibri" w:cstheme="minorHAnsi"/>
        </w:rPr>
        <w:t xml:space="preserve"> </w:t>
      </w:r>
      <w:r w:rsidRPr="00F16251">
        <w:rPr>
          <w:rFonts w:eastAsia="Calibri" w:cstheme="minorHAnsi"/>
        </w:rPr>
        <w:t>społecznościowych</w:t>
      </w:r>
      <w:r w:rsidR="003B50ED" w:rsidRPr="00F16251">
        <w:rPr>
          <w:rFonts w:eastAsia="Calibri" w:cstheme="minorHAnsi"/>
        </w:rPr>
        <w:t xml:space="preserve"> </w:t>
      </w:r>
      <w:r w:rsidRPr="00F16251">
        <w:rPr>
          <w:rFonts w:eastAsia="Calibri" w:cstheme="minorHAnsi"/>
        </w:rPr>
        <w:t>oraz</w:t>
      </w:r>
      <w:r w:rsidR="003B50ED" w:rsidRPr="00F16251">
        <w:rPr>
          <w:rFonts w:eastAsia="Calibri" w:cstheme="minorHAnsi"/>
        </w:rPr>
        <w:t xml:space="preserve"> </w:t>
      </w:r>
      <w:r w:rsidRPr="00F16251">
        <w:rPr>
          <w:rFonts w:eastAsia="Calibri" w:cstheme="minorHAnsi"/>
        </w:rPr>
        <w:t>na</w:t>
      </w:r>
      <w:r w:rsidR="003B50ED" w:rsidRPr="00F16251">
        <w:rPr>
          <w:rFonts w:eastAsia="Calibri" w:cstheme="minorHAnsi"/>
        </w:rPr>
        <w:t xml:space="preserve"> </w:t>
      </w:r>
      <w:r w:rsidRPr="00F16251">
        <w:rPr>
          <w:rFonts w:eastAsia="Calibri" w:cstheme="minorHAnsi"/>
        </w:rPr>
        <w:t>tablicach</w:t>
      </w:r>
      <w:r w:rsidR="003B50ED" w:rsidRPr="00F16251">
        <w:rPr>
          <w:rFonts w:eastAsia="Calibri" w:cstheme="minorHAnsi"/>
        </w:rPr>
        <w:t xml:space="preserve"> </w:t>
      </w:r>
      <w:r w:rsidRPr="00F16251">
        <w:rPr>
          <w:rFonts w:eastAsia="Calibri" w:cstheme="minorHAnsi"/>
        </w:rPr>
        <w:t>ogłoszeń</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biurze</w:t>
      </w:r>
      <w:r w:rsidR="003B50ED" w:rsidRPr="00F16251">
        <w:rPr>
          <w:rFonts w:eastAsia="Calibri" w:cstheme="minorHAnsi"/>
        </w:rPr>
        <w:t xml:space="preserve"> </w:t>
      </w:r>
      <w:r w:rsidRPr="00F16251">
        <w:rPr>
          <w:rFonts w:eastAsia="Calibri" w:cstheme="minorHAnsi"/>
        </w:rPr>
        <w:t>LGD</w:t>
      </w:r>
      <w:r w:rsidR="003B50ED" w:rsidRPr="00F16251">
        <w:rPr>
          <w:rFonts w:eastAsia="Calibri" w:cstheme="minorHAnsi"/>
        </w:rPr>
        <w:t xml:space="preserve"> </w:t>
      </w:r>
      <w:r w:rsidRPr="00F16251">
        <w:rPr>
          <w:rFonts w:eastAsia="Calibri" w:cstheme="minorHAnsi"/>
        </w:rPr>
        <w:t>i</w:t>
      </w:r>
      <w:r w:rsidR="003B50ED" w:rsidRPr="00F16251">
        <w:rPr>
          <w:rFonts w:eastAsia="Calibri" w:cstheme="minorHAnsi"/>
        </w:rPr>
        <w:t xml:space="preserve"> </w:t>
      </w:r>
      <w:r w:rsidRPr="00F16251">
        <w:rPr>
          <w:rFonts w:eastAsia="Calibri" w:cstheme="minorHAnsi"/>
        </w:rPr>
        <w:t>siedzibach</w:t>
      </w:r>
      <w:r w:rsidR="003B50ED" w:rsidRPr="00F16251">
        <w:rPr>
          <w:rFonts w:eastAsia="Calibri" w:cstheme="minorHAnsi"/>
        </w:rPr>
        <w:t xml:space="preserve"> </w:t>
      </w:r>
      <w:r w:rsidRPr="00F16251">
        <w:rPr>
          <w:rFonts w:eastAsia="Calibri" w:cstheme="minorHAnsi"/>
        </w:rPr>
        <w:t>gmin.</w:t>
      </w:r>
      <w:r w:rsidR="003B50ED" w:rsidRPr="00F16251">
        <w:rPr>
          <w:rFonts w:eastAsia="Calibri" w:cstheme="minorHAnsi"/>
        </w:rPr>
        <w:t xml:space="preserve"> </w:t>
      </w:r>
      <w:r w:rsidRPr="00F16251">
        <w:rPr>
          <w:rFonts w:eastAsia="Calibri" w:cstheme="minorHAnsi"/>
        </w:rPr>
        <w:t>Zaproszenia</w:t>
      </w:r>
      <w:r w:rsidR="003B50ED" w:rsidRPr="00F16251">
        <w:rPr>
          <w:rFonts w:eastAsia="Calibri" w:cstheme="minorHAnsi"/>
        </w:rPr>
        <w:t xml:space="preserve"> </w:t>
      </w:r>
      <w:r w:rsidRPr="00F16251">
        <w:rPr>
          <w:rFonts w:eastAsia="Calibri" w:cstheme="minorHAnsi"/>
        </w:rPr>
        <w:t>do</w:t>
      </w:r>
      <w:r w:rsidR="003B50ED" w:rsidRPr="00F16251">
        <w:rPr>
          <w:rFonts w:eastAsia="Calibri" w:cstheme="minorHAnsi"/>
        </w:rPr>
        <w:t xml:space="preserve"> </w:t>
      </w:r>
      <w:r w:rsidRPr="00F16251">
        <w:rPr>
          <w:rFonts w:eastAsia="Calibri" w:cstheme="minorHAnsi"/>
        </w:rPr>
        <w:t>udziału</w:t>
      </w:r>
      <w:r w:rsidR="003B50ED" w:rsidRPr="00F16251">
        <w:rPr>
          <w:rFonts w:eastAsia="Calibri" w:cstheme="minorHAnsi"/>
        </w:rPr>
        <w:t xml:space="preserve"> </w:t>
      </w:r>
      <w:r w:rsidR="003260B4" w:rsidRPr="00F16251">
        <w:rPr>
          <w:rFonts w:eastAsia="Calibri" w:cstheme="minorHAnsi"/>
        </w:rPr>
        <w:br/>
      </w:r>
      <w:r w:rsidRPr="00F16251">
        <w:rPr>
          <w:rFonts w:eastAsia="Calibri" w:cstheme="minorHAnsi"/>
        </w:rPr>
        <w:t>w</w:t>
      </w:r>
      <w:r w:rsidR="003B50ED" w:rsidRPr="00F16251">
        <w:rPr>
          <w:rFonts w:eastAsia="Calibri" w:cstheme="minorHAnsi"/>
        </w:rPr>
        <w:t xml:space="preserve"> </w:t>
      </w:r>
      <w:r w:rsidRPr="00F16251">
        <w:rPr>
          <w:rFonts w:eastAsia="Calibri" w:cstheme="minorHAnsi"/>
        </w:rPr>
        <w:t>spotkaniach</w:t>
      </w:r>
      <w:r w:rsidR="003B50ED" w:rsidRPr="00F16251">
        <w:rPr>
          <w:rFonts w:eastAsia="Calibri" w:cstheme="minorHAnsi"/>
        </w:rPr>
        <w:t xml:space="preserve"> </w:t>
      </w:r>
      <w:r w:rsidRPr="00F16251">
        <w:rPr>
          <w:rFonts w:eastAsia="Calibri" w:cstheme="minorHAnsi"/>
        </w:rPr>
        <w:t>rozpowszechniliśmy</w:t>
      </w:r>
      <w:r w:rsidR="003B50ED" w:rsidRPr="00F16251">
        <w:rPr>
          <w:rFonts w:eastAsia="Calibri" w:cstheme="minorHAnsi"/>
        </w:rPr>
        <w:t xml:space="preserve"> </w:t>
      </w:r>
      <w:r w:rsidRPr="00F16251">
        <w:rPr>
          <w:rFonts w:eastAsia="Calibri" w:cstheme="minorHAnsi"/>
        </w:rPr>
        <w:t>za</w:t>
      </w:r>
      <w:r w:rsidR="003B50ED" w:rsidRPr="00F16251">
        <w:rPr>
          <w:rFonts w:eastAsia="Calibri" w:cstheme="minorHAnsi"/>
        </w:rPr>
        <w:t xml:space="preserve"> </w:t>
      </w:r>
      <w:r w:rsidRPr="00F16251">
        <w:rPr>
          <w:rFonts w:eastAsia="Calibri" w:cstheme="minorHAnsi"/>
        </w:rPr>
        <w:t>pośrednictwem</w:t>
      </w:r>
      <w:r w:rsidR="003B50ED" w:rsidRPr="00F16251">
        <w:rPr>
          <w:rFonts w:eastAsia="Calibri" w:cstheme="minorHAnsi"/>
        </w:rPr>
        <w:t xml:space="preserve"> </w:t>
      </w:r>
      <w:r w:rsidRPr="00F16251">
        <w:rPr>
          <w:rFonts w:eastAsia="Calibri" w:cstheme="minorHAnsi"/>
        </w:rPr>
        <w:t>ulotek</w:t>
      </w:r>
      <w:r w:rsidR="003B50ED" w:rsidRPr="00F16251">
        <w:rPr>
          <w:rFonts w:eastAsia="Calibri" w:cstheme="minorHAnsi"/>
        </w:rPr>
        <w:t xml:space="preserve"> </w:t>
      </w:r>
      <w:r w:rsidRPr="00F16251">
        <w:rPr>
          <w:rFonts w:eastAsia="Calibri" w:cstheme="minorHAnsi"/>
        </w:rPr>
        <w:t>i</w:t>
      </w:r>
      <w:r w:rsidR="003B50ED" w:rsidRPr="00F16251">
        <w:rPr>
          <w:rFonts w:eastAsia="Calibri" w:cstheme="minorHAnsi"/>
        </w:rPr>
        <w:t xml:space="preserve"> </w:t>
      </w:r>
      <w:r w:rsidRPr="00F16251">
        <w:rPr>
          <w:rFonts w:eastAsia="Calibri" w:cstheme="minorHAnsi"/>
        </w:rPr>
        <w:t>plakatów,</w:t>
      </w:r>
      <w:r w:rsidR="003B50ED" w:rsidRPr="00F16251">
        <w:rPr>
          <w:rFonts w:eastAsia="Calibri" w:cstheme="minorHAnsi"/>
        </w:rPr>
        <w:t xml:space="preserve"> </w:t>
      </w:r>
      <w:r w:rsidRPr="00F16251">
        <w:rPr>
          <w:rFonts w:eastAsia="Calibri" w:cstheme="minorHAnsi"/>
        </w:rPr>
        <w:t>które</w:t>
      </w:r>
      <w:r w:rsidR="003B50ED" w:rsidRPr="00F16251">
        <w:rPr>
          <w:rFonts w:eastAsia="Calibri" w:cstheme="minorHAnsi"/>
        </w:rPr>
        <w:t xml:space="preserve"> </w:t>
      </w:r>
      <w:r w:rsidRPr="00F16251">
        <w:rPr>
          <w:rFonts w:eastAsia="Calibri" w:cstheme="minorHAnsi"/>
        </w:rPr>
        <w:t>zostały</w:t>
      </w:r>
      <w:r w:rsidR="003B50ED" w:rsidRPr="00F16251">
        <w:rPr>
          <w:rFonts w:eastAsia="Calibri" w:cstheme="minorHAnsi"/>
        </w:rPr>
        <w:t xml:space="preserve"> </w:t>
      </w:r>
      <w:r w:rsidRPr="00F16251">
        <w:rPr>
          <w:rFonts w:eastAsia="Calibri" w:cstheme="minorHAnsi"/>
        </w:rPr>
        <w:t>przekazane</w:t>
      </w:r>
      <w:r w:rsidR="003B50ED" w:rsidRPr="00F16251">
        <w:rPr>
          <w:rFonts w:eastAsia="Calibri" w:cstheme="minorHAnsi"/>
        </w:rPr>
        <w:t xml:space="preserve"> </w:t>
      </w:r>
      <w:r w:rsidRPr="00F16251">
        <w:rPr>
          <w:rFonts w:eastAsia="Calibri" w:cstheme="minorHAnsi"/>
        </w:rPr>
        <w:t>do</w:t>
      </w:r>
      <w:r w:rsidR="003B50ED" w:rsidRPr="00F16251">
        <w:rPr>
          <w:rFonts w:eastAsia="Calibri" w:cstheme="minorHAnsi"/>
        </w:rPr>
        <w:t xml:space="preserve"> </w:t>
      </w:r>
      <w:r w:rsidRPr="00F16251">
        <w:rPr>
          <w:rFonts w:eastAsia="Calibri" w:cstheme="minorHAnsi"/>
        </w:rPr>
        <w:t>organizacji</w:t>
      </w:r>
      <w:r w:rsidR="003B50ED" w:rsidRPr="00F16251">
        <w:rPr>
          <w:rFonts w:eastAsia="Calibri" w:cstheme="minorHAnsi"/>
        </w:rPr>
        <w:t xml:space="preserve"> </w:t>
      </w:r>
      <w:r w:rsidR="00153FDC">
        <w:rPr>
          <w:rFonts w:eastAsia="Calibri" w:cstheme="minorHAnsi"/>
        </w:rPr>
        <w:t xml:space="preserve">                     </w:t>
      </w:r>
      <w:r w:rsidRPr="00F16251">
        <w:rPr>
          <w:rFonts w:eastAsia="Calibri" w:cstheme="minorHAnsi"/>
        </w:rPr>
        <w:t>z</w:t>
      </w:r>
      <w:r w:rsidR="003B50ED" w:rsidRPr="00F16251">
        <w:rPr>
          <w:rFonts w:eastAsia="Calibri" w:cstheme="minorHAnsi"/>
        </w:rPr>
        <w:t xml:space="preserve"> </w:t>
      </w:r>
      <w:r w:rsidRPr="00F16251">
        <w:rPr>
          <w:rFonts w:eastAsia="Calibri" w:cstheme="minorHAnsi"/>
        </w:rPr>
        <w:t>obszaru</w:t>
      </w:r>
      <w:r w:rsidR="003B50ED" w:rsidRPr="00F16251">
        <w:rPr>
          <w:rFonts w:eastAsia="Calibri" w:cstheme="minorHAnsi"/>
        </w:rPr>
        <w:t xml:space="preserve"> </w:t>
      </w:r>
      <w:r w:rsidRPr="00F16251">
        <w:rPr>
          <w:rFonts w:eastAsia="Calibri" w:cstheme="minorHAnsi"/>
        </w:rPr>
        <w:t>LSR.</w:t>
      </w:r>
      <w:r w:rsidR="003B50ED" w:rsidRPr="00F16251">
        <w:rPr>
          <w:rFonts w:eastAsia="Calibri" w:cstheme="minorHAnsi"/>
        </w:rPr>
        <w:t xml:space="preserve"> </w:t>
      </w:r>
    </w:p>
    <w:p w14:paraId="5915E2C2" w14:textId="199806CD" w:rsidR="00B520BD" w:rsidRPr="00F16251" w:rsidRDefault="00B520BD" w:rsidP="00A26C26">
      <w:pPr>
        <w:spacing w:line="276" w:lineRule="auto"/>
        <w:ind w:firstLine="284"/>
        <w:jc w:val="both"/>
        <w:rPr>
          <w:rFonts w:eastAsia="Calibri" w:cstheme="minorHAnsi"/>
        </w:rPr>
      </w:pPr>
      <w:r w:rsidRPr="00F16251">
        <w:rPr>
          <w:rFonts w:eastAsia="Calibri" w:cstheme="minorHAnsi"/>
        </w:rPr>
        <w:t>W</w:t>
      </w:r>
      <w:r w:rsidR="003B50ED" w:rsidRPr="00F16251">
        <w:rPr>
          <w:rFonts w:eastAsia="Calibri" w:cstheme="minorHAnsi"/>
        </w:rPr>
        <w:t xml:space="preserve"> </w:t>
      </w:r>
      <w:r w:rsidRPr="00F16251">
        <w:rPr>
          <w:rFonts w:eastAsia="Calibri" w:cstheme="minorHAnsi"/>
        </w:rPr>
        <w:t>celu</w:t>
      </w:r>
      <w:r w:rsidR="003B50ED" w:rsidRPr="00F16251">
        <w:rPr>
          <w:rFonts w:eastAsia="Calibri" w:cstheme="minorHAnsi"/>
        </w:rPr>
        <w:t xml:space="preserve"> </w:t>
      </w:r>
      <w:r w:rsidRPr="00F16251">
        <w:rPr>
          <w:rFonts w:eastAsia="Calibri" w:cstheme="minorHAnsi"/>
        </w:rPr>
        <w:t>dotarcia</w:t>
      </w:r>
      <w:r w:rsidR="003B50ED" w:rsidRPr="00F16251">
        <w:rPr>
          <w:rFonts w:eastAsia="Calibri" w:cstheme="minorHAnsi"/>
        </w:rPr>
        <w:t xml:space="preserve"> </w:t>
      </w:r>
      <w:r w:rsidRPr="00F16251">
        <w:rPr>
          <w:rFonts w:eastAsia="Calibri" w:cstheme="minorHAnsi"/>
        </w:rPr>
        <w:t>do</w:t>
      </w:r>
      <w:r w:rsidR="003B50ED" w:rsidRPr="00F16251">
        <w:rPr>
          <w:rFonts w:eastAsia="Calibri" w:cstheme="minorHAnsi"/>
        </w:rPr>
        <w:t xml:space="preserve"> </w:t>
      </w:r>
      <w:r w:rsidRPr="00F16251">
        <w:rPr>
          <w:rFonts w:eastAsia="Calibri" w:cstheme="minorHAnsi"/>
        </w:rPr>
        <w:t>jak</w:t>
      </w:r>
      <w:r w:rsidR="003B50ED" w:rsidRPr="00F16251">
        <w:rPr>
          <w:rFonts w:eastAsia="Calibri" w:cstheme="minorHAnsi"/>
        </w:rPr>
        <w:t xml:space="preserve"> </w:t>
      </w:r>
      <w:r w:rsidRPr="00F16251">
        <w:rPr>
          <w:rFonts w:eastAsia="Calibri" w:cstheme="minorHAnsi"/>
        </w:rPr>
        <w:t>największej</w:t>
      </w:r>
      <w:r w:rsidR="003B50ED" w:rsidRPr="00F16251">
        <w:rPr>
          <w:rFonts w:eastAsia="Calibri" w:cstheme="minorHAnsi"/>
        </w:rPr>
        <w:t xml:space="preserve"> </w:t>
      </w:r>
      <w:r w:rsidRPr="00F16251">
        <w:rPr>
          <w:rFonts w:eastAsia="Calibri" w:cstheme="minorHAnsi"/>
        </w:rPr>
        <w:t>liczby</w:t>
      </w:r>
      <w:r w:rsidR="003B50ED" w:rsidRPr="00F16251">
        <w:rPr>
          <w:rFonts w:eastAsia="Calibri" w:cstheme="minorHAnsi"/>
        </w:rPr>
        <w:t xml:space="preserve"> </w:t>
      </w:r>
      <w:r w:rsidRPr="00F16251">
        <w:rPr>
          <w:rFonts w:eastAsia="Calibri" w:cstheme="minorHAnsi"/>
        </w:rPr>
        <w:t>odbiorców,</w:t>
      </w:r>
      <w:r w:rsidR="003B50ED" w:rsidRPr="00F16251">
        <w:rPr>
          <w:rFonts w:eastAsia="Calibri" w:cstheme="minorHAnsi"/>
        </w:rPr>
        <w:t xml:space="preserve"> </w:t>
      </w:r>
      <w:r w:rsidRPr="00F16251">
        <w:rPr>
          <w:rFonts w:eastAsia="Calibri" w:cstheme="minorHAnsi"/>
        </w:rPr>
        <w:t>skontaktowaliśmy</w:t>
      </w:r>
      <w:r w:rsidR="003B50ED" w:rsidRPr="00F16251">
        <w:rPr>
          <w:rFonts w:eastAsia="Calibri" w:cstheme="minorHAnsi"/>
        </w:rPr>
        <w:t xml:space="preserve"> </w:t>
      </w:r>
      <w:r w:rsidRPr="00F16251">
        <w:rPr>
          <w:rFonts w:eastAsia="Calibri" w:cstheme="minorHAnsi"/>
        </w:rPr>
        <w:t>się</w:t>
      </w:r>
      <w:r w:rsidR="003B50ED" w:rsidRPr="00F16251">
        <w:rPr>
          <w:rFonts w:eastAsia="Calibri" w:cstheme="minorHAnsi"/>
        </w:rPr>
        <w:t xml:space="preserve"> </w:t>
      </w:r>
      <w:r w:rsidRPr="00F16251">
        <w:rPr>
          <w:rFonts w:eastAsia="Calibri" w:cstheme="minorHAnsi"/>
        </w:rPr>
        <w:t>również</w:t>
      </w:r>
      <w:r w:rsidR="003B50ED" w:rsidRPr="00F16251">
        <w:rPr>
          <w:rFonts w:eastAsia="Calibri" w:cstheme="minorHAnsi"/>
        </w:rPr>
        <w:t xml:space="preserve"> </w:t>
      </w:r>
      <w:r w:rsidRPr="00F16251">
        <w:rPr>
          <w:rFonts w:eastAsia="Calibri" w:cstheme="minorHAnsi"/>
        </w:rPr>
        <w:t>telefonicznie</w:t>
      </w:r>
      <w:r w:rsidR="003B50ED" w:rsidRPr="00F16251">
        <w:rPr>
          <w:rFonts w:eastAsia="Calibri" w:cstheme="minorHAnsi"/>
        </w:rPr>
        <w:t xml:space="preserve"> </w:t>
      </w:r>
      <w:r w:rsidRPr="00F16251">
        <w:rPr>
          <w:rFonts w:eastAsia="Calibri" w:cstheme="minorHAnsi"/>
        </w:rPr>
        <w:t>z</w:t>
      </w:r>
      <w:r w:rsidR="003B50ED" w:rsidRPr="00F16251">
        <w:rPr>
          <w:rFonts w:eastAsia="Calibri" w:cstheme="minorHAnsi"/>
        </w:rPr>
        <w:t xml:space="preserve"> </w:t>
      </w:r>
      <w:r w:rsidRPr="00F16251">
        <w:rPr>
          <w:rFonts w:eastAsia="Calibri" w:cstheme="minorHAnsi"/>
        </w:rPr>
        <w:t>członkami</w:t>
      </w:r>
      <w:r w:rsidR="003B50ED" w:rsidRPr="00F16251">
        <w:rPr>
          <w:rFonts w:eastAsia="Calibri" w:cstheme="minorHAnsi"/>
        </w:rPr>
        <w:t xml:space="preserve"> </w:t>
      </w:r>
      <w:r w:rsidR="003260B4" w:rsidRPr="00F16251">
        <w:rPr>
          <w:rFonts w:cstheme="minorHAnsi"/>
        </w:rPr>
        <w:t>Stowarzyszenia „Solidarni w Partnerstwie”</w:t>
      </w:r>
      <w:r w:rsidRPr="00F16251">
        <w:rPr>
          <w:rFonts w:eastAsia="Calibri" w:cstheme="minorHAnsi"/>
        </w:rPr>
        <w:t>,</w:t>
      </w:r>
      <w:r w:rsidR="003B50ED" w:rsidRPr="00F16251">
        <w:rPr>
          <w:rFonts w:eastAsia="Calibri" w:cstheme="minorHAnsi"/>
        </w:rPr>
        <w:t xml:space="preserve"> </w:t>
      </w:r>
      <w:r w:rsidRPr="00F16251">
        <w:rPr>
          <w:rFonts w:eastAsia="Calibri" w:cstheme="minorHAnsi"/>
        </w:rPr>
        <w:t>liderami</w:t>
      </w:r>
      <w:r w:rsidR="003B50ED" w:rsidRPr="00F16251">
        <w:rPr>
          <w:rFonts w:eastAsia="Calibri" w:cstheme="minorHAnsi"/>
        </w:rPr>
        <w:t xml:space="preserve"> </w:t>
      </w:r>
      <w:r w:rsidRPr="00F16251">
        <w:rPr>
          <w:rFonts w:eastAsia="Calibri" w:cstheme="minorHAnsi"/>
        </w:rPr>
        <w:t>lokalnymi,</w:t>
      </w:r>
      <w:r w:rsidR="003B50ED" w:rsidRPr="00F16251">
        <w:rPr>
          <w:rFonts w:eastAsia="Calibri" w:cstheme="minorHAnsi"/>
        </w:rPr>
        <w:t xml:space="preserve"> </w:t>
      </w:r>
      <w:r w:rsidRPr="00F16251">
        <w:rPr>
          <w:rFonts w:eastAsia="Calibri" w:cstheme="minorHAnsi"/>
        </w:rPr>
        <w:t>przedsiębiorcami</w:t>
      </w:r>
      <w:r w:rsidR="003B50ED" w:rsidRPr="00F16251">
        <w:rPr>
          <w:rFonts w:eastAsia="Calibri" w:cstheme="minorHAnsi"/>
        </w:rPr>
        <w:t xml:space="preserve"> </w:t>
      </w:r>
      <w:r w:rsidRPr="00F16251">
        <w:rPr>
          <w:rFonts w:eastAsia="Calibri" w:cstheme="minorHAnsi"/>
        </w:rPr>
        <w:t>i</w:t>
      </w:r>
      <w:r w:rsidR="003B50ED" w:rsidRPr="00F16251">
        <w:rPr>
          <w:rFonts w:eastAsia="Calibri" w:cstheme="minorHAnsi"/>
        </w:rPr>
        <w:t xml:space="preserve"> </w:t>
      </w:r>
      <w:r w:rsidRPr="00F16251">
        <w:rPr>
          <w:rFonts w:eastAsia="Calibri" w:cstheme="minorHAnsi"/>
        </w:rPr>
        <w:t>władzami</w:t>
      </w:r>
      <w:r w:rsidR="003B50ED" w:rsidRPr="00F16251">
        <w:rPr>
          <w:rFonts w:eastAsia="Calibri" w:cstheme="minorHAnsi"/>
        </w:rPr>
        <w:t xml:space="preserve"> </w:t>
      </w:r>
      <w:r w:rsidRPr="00F16251">
        <w:rPr>
          <w:rFonts w:eastAsia="Calibri" w:cstheme="minorHAnsi"/>
        </w:rPr>
        <w:t>publicznymi.</w:t>
      </w:r>
      <w:r w:rsidR="003B50ED" w:rsidRPr="00F16251">
        <w:rPr>
          <w:rFonts w:eastAsia="Calibri" w:cstheme="minorHAnsi"/>
        </w:rPr>
        <w:t xml:space="preserve"> </w:t>
      </w:r>
      <w:r w:rsidRPr="00F16251">
        <w:rPr>
          <w:rFonts w:eastAsia="Calibri" w:cstheme="minorHAnsi"/>
        </w:rPr>
        <w:lastRenderedPageBreak/>
        <w:t>Dodatkowo,</w:t>
      </w:r>
      <w:r w:rsidR="003B50ED" w:rsidRPr="00F16251">
        <w:rPr>
          <w:rFonts w:eastAsia="Calibri" w:cstheme="minorHAnsi"/>
        </w:rPr>
        <w:t xml:space="preserve"> </w:t>
      </w:r>
      <w:r w:rsidRPr="00F16251">
        <w:rPr>
          <w:rFonts w:eastAsia="Calibri" w:cstheme="minorHAnsi"/>
        </w:rPr>
        <w:t>informacje</w:t>
      </w:r>
      <w:r w:rsidR="003B50ED" w:rsidRPr="00F16251">
        <w:rPr>
          <w:rFonts w:eastAsia="Calibri" w:cstheme="minorHAnsi"/>
        </w:rPr>
        <w:t xml:space="preserve"> </w:t>
      </w:r>
      <w:r w:rsidRPr="00F16251">
        <w:rPr>
          <w:rFonts w:eastAsia="Calibri" w:cstheme="minorHAnsi"/>
        </w:rPr>
        <w:t>na</w:t>
      </w:r>
      <w:r w:rsidR="003B50ED" w:rsidRPr="00F16251">
        <w:rPr>
          <w:rFonts w:eastAsia="Calibri" w:cstheme="minorHAnsi"/>
        </w:rPr>
        <w:t xml:space="preserve"> </w:t>
      </w:r>
      <w:r w:rsidRPr="00F16251">
        <w:rPr>
          <w:rFonts w:eastAsia="Calibri" w:cstheme="minorHAnsi"/>
        </w:rPr>
        <w:t>temat</w:t>
      </w:r>
      <w:r w:rsidR="003B50ED" w:rsidRPr="00F16251">
        <w:rPr>
          <w:rFonts w:eastAsia="Calibri" w:cstheme="minorHAnsi"/>
        </w:rPr>
        <w:t xml:space="preserve"> </w:t>
      </w:r>
      <w:r w:rsidRPr="00F16251">
        <w:rPr>
          <w:rFonts w:eastAsia="Calibri" w:cstheme="minorHAnsi"/>
        </w:rPr>
        <w:t>prac</w:t>
      </w:r>
      <w:r w:rsidR="003B50ED" w:rsidRPr="00F16251">
        <w:rPr>
          <w:rFonts w:eastAsia="Calibri" w:cstheme="minorHAnsi"/>
        </w:rPr>
        <w:t xml:space="preserve"> </w:t>
      </w:r>
      <w:r w:rsidRPr="00F16251">
        <w:rPr>
          <w:rFonts w:eastAsia="Calibri" w:cstheme="minorHAnsi"/>
        </w:rPr>
        <w:t>nad</w:t>
      </w:r>
      <w:r w:rsidR="003B50ED" w:rsidRPr="00F16251">
        <w:rPr>
          <w:rFonts w:eastAsia="Calibri" w:cstheme="minorHAnsi"/>
        </w:rPr>
        <w:t xml:space="preserve"> </w:t>
      </w:r>
      <w:r w:rsidRPr="00F16251">
        <w:rPr>
          <w:rFonts w:eastAsia="Calibri" w:cstheme="minorHAnsi"/>
        </w:rPr>
        <w:t>przygotowaniem</w:t>
      </w:r>
      <w:r w:rsidR="003B50ED" w:rsidRPr="00F16251">
        <w:rPr>
          <w:rFonts w:eastAsia="Calibri" w:cstheme="minorHAnsi"/>
        </w:rPr>
        <w:t xml:space="preserve"> </w:t>
      </w:r>
      <w:r w:rsidRPr="00F16251">
        <w:rPr>
          <w:rFonts w:eastAsia="Calibri" w:cstheme="minorHAnsi"/>
        </w:rPr>
        <w:t>LSR</w:t>
      </w:r>
      <w:r w:rsidR="003B50ED" w:rsidRPr="00F16251">
        <w:rPr>
          <w:rFonts w:eastAsia="Calibri" w:cstheme="minorHAnsi"/>
        </w:rPr>
        <w:t xml:space="preserve"> </w:t>
      </w:r>
      <w:r w:rsidRPr="00F16251">
        <w:rPr>
          <w:rFonts w:eastAsia="Calibri" w:cstheme="minorHAnsi"/>
        </w:rPr>
        <w:t>były</w:t>
      </w:r>
      <w:r w:rsidR="003B50ED" w:rsidRPr="00F16251">
        <w:rPr>
          <w:rFonts w:eastAsia="Calibri" w:cstheme="minorHAnsi"/>
        </w:rPr>
        <w:t xml:space="preserve"> </w:t>
      </w:r>
      <w:r w:rsidRPr="00F16251">
        <w:rPr>
          <w:rFonts w:eastAsia="Calibri" w:cstheme="minorHAnsi"/>
        </w:rPr>
        <w:t>publikowane</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lokalnej</w:t>
      </w:r>
      <w:r w:rsidR="003B50ED" w:rsidRPr="00F16251">
        <w:rPr>
          <w:rFonts w:eastAsia="Calibri" w:cstheme="minorHAnsi"/>
        </w:rPr>
        <w:t xml:space="preserve"> </w:t>
      </w:r>
      <w:r w:rsidRPr="00F16251">
        <w:rPr>
          <w:rFonts w:eastAsia="Calibri" w:cstheme="minorHAnsi"/>
        </w:rPr>
        <w:t>prasie,</w:t>
      </w:r>
      <w:r w:rsidR="003B50ED" w:rsidRPr="00F16251">
        <w:rPr>
          <w:rFonts w:eastAsia="Calibri" w:cstheme="minorHAnsi"/>
        </w:rPr>
        <w:t xml:space="preserve"> </w:t>
      </w:r>
      <w:r w:rsidRPr="00F16251">
        <w:rPr>
          <w:rFonts w:eastAsia="Calibri" w:cstheme="minorHAnsi"/>
        </w:rPr>
        <w:t>aby</w:t>
      </w:r>
      <w:r w:rsidR="003B50ED" w:rsidRPr="00F16251">
        <w:rPr>
          <w:rFonts w:eastAsia="Calibri" w:cstheme="minorHAnsi"/>
        </w:rPr>
        <w:t xml:space="preserve"> </w:t>
      </w:r>
      <w:r w:rsidRPr="00F16251">
        <w:rPr>
          <w:rFonts w:eastAsia="Calibri" w:cstheme="minorHAnsi"/>
        </w:rPr>
        <w:t>zaproszenie</w:t>
      </w:r>
      <w:r w:rsidR="003B50ED" w:rsidRPr="00F16251">
        <w:rPr>
          <w:rFonts w:eastAsia="Calibri" w:cstheme="minorHAnsi"/>
        </w:rPr>
        <w:t xml:space="preserve"> </w:t>
      </w:r>
      <w:r w:rsidRPr="00F16251">
        <w:rPr>
          <w:rFonts w:eastAsia="Calibri" w:cstheme="minorHAnsi"/>
        </w:rPr>
        <w:t>do</w:t>
      </w:r>
      <w:r w:rsidR="003B50ED" w:rsidRPr="00F16251">
        <w:rPr>
          <w:rFonts w:eastAsia="Calibri" w:cstheme="minorHAnsi"/>
        </w:rPr>
        <w:t xml:space="preserve"> </w:t>
      </w:r>
      <w:r w:rsidRPr="00F16251">
        <w:rPr>
          <w:rFonts w:eastAsia="Calibri" w:cstheme="minorHAnsi"/>
        </w:rPr>
        <w:t>partycypacji</w:t>
      </w:r>
      <w:r w:rsidR="003B50ED" w:rsidRPr="00F16251">
        <w:rPr>
          <w:rFonts w:eastAsia="Calibri" w:cstheme="minorHAnsi"/>
        </w:rPr>
        <w:t xml:space="preserve"> </w:t>
      </w:r>
      <w:r w:rsidRPr="00F16251">
        <w:rPr>
          <w:rFonts w:eastAsia="Calibri" w:cstheme="minorHAnsi"/>
        </w:rPr>
        <w:t>miało</w:t>
      </w:r>
      <w:r w:rsidR="003B50ED" w:rsidRPr="00F16251">
        <w:rPr>
          <w:rFonts w:eastAsia="Calibri" w:cstheme="minorHAnsi"/>
        </w:rPr>
        <w:t xml:space="preserve"> </w:t>
      </w:r>
      <w:r w:rsidRPr="00F16251">
        <w:rPr>
          <w:rFonts w:eastAsia="Calibri" w:cstheme="minorHAnsi"/>
        </w:rPr>
        <w:t>jak</w:t>
      </w:r>
      <w:r w:rsidR="003B50ED" w:rsidRPr="00F16251">
        <w:rPr>
          <w:rFonts w:eastAsia="Calibri" w:cstheme="minorHAnsi"/>
        </w:rPr>
        <w:t xml:space="preserve"> </w:t>
      </w:r>
      <w:r w:rsidRPr="00F16251">
        <w:rPr>
          <w:rFonts w:eastAsia="Calibri" w:cstheme="minorHAnsi"/>
        </w:rPr>
        <w:t>największy</w:t>
      </w:r>
      <w:r w:rsidR="003B50ED" w:rsidRPr="00F16251">
        <w:rPr>
          <w:rFonts w:eastAsia="Calibri" w:cstheme="minorHAnsi"/>
        </w:rPr>
        <w:t xml:space="preserve"> </w:t>
      </w:r>
      <w:r w:rsidRPr="00F16251">
        <w:rPr>
          <w:rFonts w:eastAsia="Calibri" w:cstheme="minorHAnsi"/>
        </w:rPr>
        <w:t>zasięg.</w:t>
      </w:r>
      <w:r w:rsidR="003B50ED" w:rsidRPr="00F16251">
        <w:rPr>
          <w:rFonts w:eastAsia="Calibri" w:cstheme="minorHAnsi"/>
        </w:rPr>
        <w:t xml:space="preserve"> </w:t>
      </w:r>
    </w:p>
    <w:p w14:paraId="2C240A0B" w14:textId="77777777" w:rsidR="003260B4" w:rsidRPr="00F16251" w:rsidRDefault="003260B4" w:rsidP="00A26C26">
      <w:pPr>
        <w:spacing w:line="276" w:lineRule="auto"/>
        <w:jc w:val="both"/>
        <w:rPr>
          <w:rFonts w:eastAsia="Calibri" w:cstheme="minorHAnsi"/>
        </w:rPr>
      </w:pPr>
    </w:p>
    <w:p w14:paraId="6B137B35" w14:textId="5A81443F" w:rsidR="00B520BD" w:rsidRPr="00F16251" w:rsidRDefault="00B520BD" w:rsidP="00A26C26">
      <w:pPr>
        <w:spacing w:line="276" w:lineRule="auto"/>
        <w:jc w:val="both"/>
        <w:rPr>
          <w:rFonts w:eastAsia="Calibri" w:cstheme="minorHAnsi"/>
        </w:rPr>
      </w:pPr>
      <w:r w:rsidRPr="00F16251">
        <w:rPr>
          <w:rFonts w:eastAsia="Calibri" w:cstheme="minorHAnsi"/>
        </w:rPr>
        <w:t>Plan</w:t>
      </w:r>
      <w:r w:rsidR="003B50ED" w:rsidRPr="00F16251">
        <w:rPr>
          <w:rFonts w:eastAsia="Calibri" w:cstheme="minorHAnsi"/>
        </w:rPr>
        <w:t xml:space="preserve"> </w:t>
      </w:r>
      <w:r w:rsidRPr="00F16251">
        <w:rPr>
          <w:rFonts w:eastAsia="Calibri" w:cstheme="minorHAnsi"/>
        </w:rPr>
        <w:t>spotkań</w:t>
      </w:r>
      <w:r w:rsidR="003B50ED" w:rsidRPr="00F16251">
        <w:rPr>
          <w:rFonts w:eastAsia="Calibri" w:cstheme="minorHAnsi"/>
        </w:rPr>
        <w:t xml:space="preserve"> </w:t>
      </w:r>
      <w:r w:rsidRPr="00F16251">
        <w:rPr>
          <w:rFonts w:eastAsia="Calibri" w:cstheme="minorHAnsi"/>
        </w:rPr>
        <w:t>przebiegał</w:t>
      </w:r>
      <w:r w:rsidR="003B50ED" w:rsidRPr="00F16251">
        <w:rPr>
          <w:rFonts w:eastAsia="Calibri" w:cstheme="minorHAnsi"/>
        </w:rPr>
        <w:t xml:space="preserve"> </w:t>
      </w:r>
      <w:r w:rsidRPr="00F16251">
        <w:rPr>
          <w:rFonts w:eastAsia="Calibri" w:cstheme="minorHAnsi"/>
        </w:rPr>
        <w:t>według</w:t>
      </w:r>
      <w:r w:rsidR="003B50ED" w:rsidRPr="00F16251">
        <w:rPr>
          <w:rFonts w:eastAsia="Calibri" w:cstheme="minorHAnsi"/>
        </w:rPr>
        <w:t xml:space="preserve"> </w:t>
      </w:r>
      <w:r w:rsidRPr="00F16251">
        <w:rPr>
          <w:rFonts w:eastAsia="Calibri" w:cstheme="minorHAnsi"/>
        </w:rPr>
        <w:t>wspólnego</w:t>
      </w:r>
      <w:r w:rsidR="003B50ED" w:rsidRPr="00F16251">
        <w:rPr>
          <w:rFonts w:eastAsia="Calibri" w:cstheme="minorHAnsi"/>
        </w:rPr>
        <w:t xml:space="preserve"> </w:t>
      </w:r>
      <w:r w:rsidRPr="00F16251">
        <w:rPr>
          <w:rFonts w:eastAsia="Calibri" w:cstheme="minorHAnsi"/>
        </w:rPr>
        <w:t>schematu:</w:t>
      </w:r>
    </w:p>
    <w:p w14:paraId="3E774926" w14:textId="10FADB64" w:rsidR="0066789E" w:rsidRPr="00F16251" w:rsidRDefault="0066789E" w:rsidP="008A412F">
      <w:pPr>
        <w:numPr>
          <w:ilvl w:val="0"/>
          <w:numId w:val="8"/>
        </w:numPr>
        <w:spacing w:line="276" w:lineRule="auto"/>
        <w:jc w:val="both"/>
        <w:rPr>
          <w:rFonts w:eastAsia="Calibri" w:cstheme="minorHAnsi"/>
        </w:rPr>
      </w:pPr>
      <w:r w:rsidRPr="00F16251">
        <w:rPr>
          <w:rFonts w:eastAsia="Calibri" w:cstheme="minorHAnsi"/>
        </w:rPr>
        <w:t>Otwarcie</w:t>
      </w:r>
      <w:r w:rsidR="003B50ED" w:rsidRPr="00F16251">
        <w:rPr>
          <w:rFonts w:eastAsia="Calibri" w:cstheme="minorHAnsi"/>
        </w:rPr>
        <w:t xml:space="preserve"> </w:t>
      </w:r>
      <w:r w:rsidRPr="00F16251">
        <w:rPr>
          <w:rFonts w:eastAsia="Calibri" w:cstheme="minorHAnsi"/>
        </w:rPr>
        <w:t>konsultacji,</w:t>
      </w:r>
      <w:r w:rsidR="003B50ED" w:rsidRPr="00F16251">
        <w:rPr>
          <w:rFonts w:eastAsia="Calibri" w:cstheme="minorHAnsi"/>
        </w:rPr>
        <w:t xml:space="preserve"> </w:t>
      </w:r>
      <w:r w:rsidRPr="00F16251">
        <w:rPr>
          <w:rFonts w:eastAsia="Calibri" w:cstheme="minorHAnsi"/>
        </w:rPr>
        <w:t>przywitanie</w:t>
      </w:r>
      <w:r w:rsidR="003B50ED" w:rsidRPr="00F16251">
        <w:rPr>
          <w:rFonts w:eastAsia="Calibri" w:cstheme="minorHAnsi"/>
        </w:rPr>
        <w:t xml:space="preserve"> </w:t>
      </w:r>
      <w:r w:rsidRPr="00F16251">
        <w:rPr>
          <w:rFonts w:eastAsia="Calibri" w:cstheme="minorHAnsi"/>
        </w:rPr>
        <w:t>przybyłych</w:t>
      </w:r>
      <w:r w:rsidR="003B50ED" w:rsidRPr="00F16251">
        <w:rPr>
          <w:rFonts w:eastAsia="Calibri" w:cstheme="minorHAnsi"/>
        </w:rPr>
        <w:t xml:space="preserve"> </w:t>
      </w:r>
      <w:r w:rsidRPr="00F16251">
        <w:rPr>
          <w:rFonts w:eastAsia="Calibri" w:cstheme="minorHAnsi"/>
        </w:rPr>
        <w:t>mieszkańców,</w:t>
      </w:r>
      <w:r w:rsidR="003B50ED" w:rsidRPr="00F16251">
        <w:rPr>
          <w:rFonts w:eastAsia="Calibri" w:cstheme="minorHAnsi"/>
        </w:rPr>
        <w:t xml:space="preserve"> </w:t>
      </w:r>
      <w:r w:rsidRPr="00F16251">
        <w:rPr>
          <w:rFonts w:eastAsia="Calibri" w:cstheme="minorHAnsi"/>
        </w:rPr>
        <w:t>lista</w:t>
      </w:r>
      <w:r w:rsidR="003B50ED" w:rsidRPr="00F16251">
        <w:rPr>
          <w:rFonts w:eastAsia="Calibri" w:cstheme="minorHAnsi"/>
        </w:rPr>
        <w:t xml:space="preserve"> </w:t>
      </w:r>
      <w:r w:rsidRPr="00F16251">
        <w:rPr>
          <w:rFonts w:eastAsia="Calibri" w:cstheme="minorHAnsi"/>
        </w:rPr>
        <w:t>obecności.</w:t>
      </w:r>
    </w:p>
    <w:p w14:paraId="013E0D20" w14:textId="4635FCC3" w:rsidR="0066789E" w:rsidRPr="00F16251" w:rsidRDefault="0066789E" w:rsidP="008A412F">
      <w:pPr>
        <w:numPr>
          <w:ilvl w:val="0"/>
          <w:numId w:val="8"/>
        </w:numPr>
        <w:spacing w:line="276" w:lineRule="auto"/>
        <w:jc w:val="both"/>
        <w:rPr>
          <w:rFonts w:eastAsia="Calibri" w:cstheme="minorHAnsi"/>
        </w:rPr>
      </w:pPr>
      <w:r w:rsidRPr="00F16251">
        <w:rPr>
          <w:rFonts w:eastAsia="Calibri" w:cstheme="minorHAnsi"/>
        </w:rPr>
        <w:t>Przedstawienie</w:t>
      </w:r>
      <w:r w:rsidR="003B50ED" w:rsidRPr="00F16251">
        <w:rPr>
          <w:rFonts w:eastAsia="Calibri" w:cstheme="minorHAnsi"/>
        </w:rPr>
        <w:t xml:space="preserve"> </w:t>
      </w:r>
      <w:r w:rsidRPr="00F16251">
        <w:rPr>
          <w:rFonts w:eastAsia="Calibri" w:cstheme="minorHAnsi"/>
        </w:rPr>
        <w:t>działalności</w:t>
      </w:r>
      <w:r w:rsidR="003B50ED" w:rsidRPr="00F16251">
        <w:rPr>
          <w:rFonts w:eastAsia="Calibri" w:cstheme="minorHAnsi"/>
        </w:rPr>
        <w:t xml:space="preserve"> </w:t>
      </w:r>
      <w:r w:rsidRPr="00F16251">
        <w:rPr>
          <w:rFonts w:eastAsia="Calibri" w:cstheme="minorHAnsi"/>
        </w:rPr>
        <w:t>i</w:t>
      </w:r>
      <w:r w:rsidR="003B50ED" w:rsidRPr="00F16251">
        <w:rPr>
          <w:rFonts w:eastAsia="Calibri" w:cstheme="minorHAnsi"/>
        </w:rPr>
        <w:t xml:space="preserve"> </w:t>
      </w:r>
      <w:r w:rsidRPr="00F16251">
        <w:rPr>
          <w:rFonts w:eastAsia="Calibri" w:cstheme="minorHAnsi"/>
        </w:rPr>
        <w:t>struktury</w:t>
      </w:r>
      <w:r w:rsidR="003B50ED" w:rsidRPr="00F16251">
        <w:rPr>
          <w:rFonts w:eastAsia="Calibri" w:cstheme="minorHAnsi"/>
        </w:rPr>
        <w:t xml:space="preserve"> </w:t>
      </w:r>
      <w:r w:rsidRPr="00F16251">
        <w:rPr>
          <w:rFonts w:eastAsia="Calibri" w:cstheme="minorHAnsi"/>
        </w:rPr>
        <w:t>LGD.</w:t>
      </w:r>
    </w:p>
    <w:p w14:paraId="448A41B1" w14:textId="7308C30C" w:rsidR="0066789E" w:rsidRPr="00F16251" w:rsidRDefault="0066789E" w:rsidP="008A412F">
      <w:pPr>
        <w:numPr>
          <w:ilvl w:val="0"/>
          <w:numId w:val="8"/>
        </w:numPr>
        <w:spacing w:line="276" w:lineRule="auto"/>
        <w:jc w:val="both"/>
        <w:rPr>
          <w:rFonts w:eastAsia="Calibri" w:cstheme="minorHAnsi"/>
        </w:rPr>
      </w:pPr>
      <w:r w:rsidRPr="00F16251">
        <w:rPr>
          <w:rFonts w:eastAsia="Calibri" w:cstheme="minorHAnsi"/>
        </w:rPr>
        <w:t>Omówienie</w:t>
      </w:r>
      <w:r w:rsidR="003B50ED" w:rsidRPr="00F16251">
        <w:rPr>
          <w:rFonts w:eastAsia="Calibri" w:cstheme="minorHAnsi"/>
        </w:rPr>
        <w:t xml:space="preserve"> </w:t>
      </w:r>
      <w:r w:rsidRPr="00F16251">
        <w:rPr>
          <w:rFonts w:eastAsia="Calibri" w:cstheme="minorHAnsi"/>
        </w:rPr>
        <w:t>obszaru</w:t>
      </w:r>
      <w:r w:rsidR="003B50ED" w:rsidRPr="00F16251">
        <w:rPr>
          <w:rFonts w:eastAsia="Calibri" w:cstheme="minorHAnsi"/>
        </w:rPr>
        <w:t xml:space="preserve"> </w:t>
      </w:r>
      <w:r w:rsidRPr="00F16251">
        <w:rPr>
          <w:rFonts w:eastAsia="Calibri" w:cstheme="minorHAnsi"/>
        </w:rPr>
        <w:t>planowanego</w:t>
      </w:r>
      <w:r w:rsidR="003B50ED" w:rsidRPr="00F16251">
        <w:rPr>
          <w:rFonts w:eastAsia="Calibri" w:cstheme="minorHAnsi"/>
        </w:rPr>
        <w:t xml:space="preserve"> </w:t>
      </w:r>
      <w:r w:rsidRPr="00F16251">
        <w:rPr>
          <w:rFonts w:eastAsia="Calibri" w:cstheme="minorHAnsi"/>
        </w:rPr>
        <w:t>do</w:t>
      </w:r>
      <w:r w:rsidR="003B50ED" w:rsidRPr="00F16251">
        <w:rPr>
          <w:rFonts w:eastAsia="Calibri" w:cstheme="minorHAnsi"/>
        </w:rPr>
        <w:t xml:space="preserve"> </w:t>
      </w:r>
      <w:r w:rsidRPr="00F16251">
        <w:rPr>
          <w:rFonts w:eastAsia="Calibri" w:cstheme="minorHAnsi"/>
        </w:rPr>
        <w:t>objęcia</w:t>
      </w:r>
      <w:r w:rsidR="003B50ED" w:rsidRPr="00F16251">
        <w:rPr>
          <w:rFonts w:eastAsia="Calibri" w:cstheme="minorHAnsi"/>
        </w:rPr>
        <w:t xml:space="preserve"> </w:t>
      </w:r>
      <w:r w:rsidRPr="00F16251">
        <w:rPr>
          <w:rFonts w:eastAsia="Calibri" w:cstheme="minorHAnsi"/>
        </w:rPr>
        <w:t>LSR,</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tym</w:t>
      </w:r>
      <w:r w:rsidR="003B50ED" w:rsidRPr="00F16251">
        <w:rPr>
          <w:rFonts w:eastAsia="Calibri" w:cstheme="minorHAnsi"/>
        </w:rPr>
        <w:t xml:space="preserve"> </w:t>
      </w:r>
      <w:r w:rsidRPr="00F16251">
        <w:rPr>
          <w:rFonts w:eastAsia="Calibri" w:cstheme="minorHAnsi"/>
        </w:rPr>
        <w:t>omówienie</w:t>
      </w:r>
      <w:r w:rsidR="003B50ED" w:rsidRPr="00F16251">
        <w:rPr>
          <w:rFonts w:eastAsia="Calibri" w:cstheme="minorHAnsi"/>
        </w:rPr>
        <w:t xml:space="preserve"> </w:t>
      </w:r>
      <w:r w:rsidRPr="00F16251">
        <w:rPr>
          <w:rFonts w:eastAsia="Calibri" w:cstheme="minorHAnsi"/>
        </w:rPr>
        <w:t>spójności</w:t>
      </w:r>
      <w:r w:rsidR="003B50ED" w:rsidRPr="00F16251">
        <w:rPr>
          <w:rFonts w:eastAsia="Calibri" w:cstheme="minorHAnsi"/>
        </w:rPr>
        <w:t xml:space="preserve"> </w:t>
      </w:r>
      <w:r w:rsidRPr="00F16251">
        <w:rPr>
          <w:rFonts w:eastAsia="Calibri" w:cstheme="minorHAnsi"/>
        </w:rPr>
        <w:t>tego</w:t>
      </w:r>
      <w:r w:rsidR="003B50ED" w:rsidRPr="00F16251">
        <w:rPr>
          <w:rFonts w:eastAsia="Calibri" w:cstheme="minorHAnsi"/>
        </w:rPr>
        <w:t xml:space="preserve"> </w:t>
      </w:r>
      <w:r w:rsidRPr="00F16251">
        <w:rPr>
          <w:rFonts w:eastAsia="Calibri" w:cstheme="minorHAnsi"/>
        </w:rPr>
        <w:t>obszaru.</w:t>
      </w:r>
    </w:p>
    <w:p w14:paraId="0706FE92" w14:textId="28225D00" w:rsidR="0066789E" w:rsidRPr="00F16251" w:rsidRDefault="0066789E" w:rsidP="008A412F">
      <w:pPr>
        <w:numPr>
          <w:ilvl w:val="0"/>
          <w:numId w:val="8"/>
        </w:numPr>
        <w:spacing w:line="276" w:lineRule="auto"/>
        <w:jc w:val="both"/>
        <w:rPr>
          <w:rFonts w:eastAsia="Calibri" w:cstheme="minorHAnsi"/>
        </w:rPr>
      </w:pPr>
      <w:r w:rsidRPr="00F16251">
        <w:rPr>
          <w:rFonts w:eastAsia="Calibri" w:cstheme="minorHAnsi"/>
        </w:rPr>
        <w:t>Przedstawienie</w:t>
      </w:r>
      <w:r w:rsidR="003B50ED" w:rsidRPr="00F16251">
        <w:rPr>
          <w:rFonts w:eastAsia="Calibri" w:cstheme="minorHAnsi"/>
        </w:rPr>
        <w:t xml:space="preserve"> </w:t>
      </w:r>
      <w:r w:rsidRPr="00F16251">
        <w:rPr>
          <w:rFonts w:eastAsia="Calibri" w:cstheme="minorHAnsi"/>
        </w:rPr>
        <w:t>planu</w:t>
      </w:r>
      <w:r w:rsidR="003B50ED" w:rsidRPr="00F16251">
        <w:rPr>
          <w:rFonts w:eastAsia="Calibri" w:cstheme="minorHAnsi"/>
        </w:rPr>
        <w:t xml:space="preserve"> </w:t>
      </w:r>
      <w:r w:rsidRPr="00F16251">
        <w:rPr>
          <w:rFonts w:eastAsia="Calibri" w:cstheme="minorHAnsi"/>
        </w:rPr>
        <w:t>włączenia</w:t>
      </w:r>
      <w:r w:rsidR="003B50ED" w:rsidRPr="00F16251">
        <w:rPr>
          <w:rFonts w:eastAsia="Calibri" w:cstheme="minorHAnsi"/>
        </w:rPr>
        <w:t xml:space="preserve"> </w:t>
      </w:r>
      <w:r w:rsidRPr="00F16251">
        <w:rPr>
          <w:rFonts w:eastAsia="Calibri" w:cstheme="minorHAnsi"/>
        </w:rPr>
        <w:t>społeczności</w:t>
      </w:r>
      <w:r w:rsidR="003B50ED" w:rsidRPr="00F16251">
        <w:rPr>
          <w:rFonts w:eastAsia="Calibri" w:cstheme="minorHAnsi"/>
        </w:rPr>
        <w:t xml:space="preserve"> </w:t>
      </w:r>
      <w:r w:rsidRPr="00F16251">
        <w:rPr>
          <w:rFonts w:eastAsia="Calibri" w:cstheme="minorHAnsi"/>
        </w:rPr>
        <w:t>lokalnej</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tworzenie</w:t>
      </w:r>
      <w:r w:rsidR="003B50ED" w:rsidRPr="00F16251">
        <w:rPr>
          <w:rFonts w:eastAsia="Calibri" w:cstheme="minorHAnsi"/>
        </w:rPr>
        <w:t xml:space="preserve"> </w:t>
      </w:r>
      <w:r w:rsidRPr="00F16251">
        <w:rPr>
          <w:rFonts w:eastAsia="Calibri" w:cstheme="minorHAnsi"/>
        </w:rPr>
        <w:t>nowej</w:t>
      </w:r>
      <w:r w:rsidR="003B50ED" w:rsidRPr="00F16251">
        <w:rPr>
          <w:rFonts w:eastAsia="Calibri" w:cstheme="minorHAnsi"/>
        </w:rPr>
        <w:t xml:space="preserve"> </w:t>
      </w:r>
      <w:r w:rsidRPr="00F16251">
        <w:rPr>
          <w:rFonts w:eastAsia="Calibri" w:cstheme="minorHAnsi"/>
        </w:rPr>
        <w:t>LSR.</w:t>
      </w:r>
    </w:p>
    <w:p w14:paraId="3260C8C2" w14:textId="022D4553" w:rsidR="0066789E" w:rsidRPr="00F16251" w:rsidRDefault="0066789E" w:rsidP="008A412F">
      <w:pPr>
        <w:numPr>
          <w:ilvl w:val="0"/>
          <w:numId w:val="8"/>
        </w:numPr>
        <w:spacing w:line="276" w:lineRule="auto"/>
        <w:jc w:val="both"/>
        <w:rPr>
          <w:rFonts w:eastAsia="Calibri" w:cstheme="minorHAnsi"/>
        </w:rPr>
      </w:pPr>
      <w:r w:rsidRPr="00F16251">
        <w:rPr>
          <w:rFonts w:eastAsia="Calibri" w:cstheme="minorHAnsi"/>
        </w:rPr>
        <w:t>Diagnoza</w:t>
      </w:r>
      <w:r w:rsidR="003B50ED" w:rsidRPr="00F16251">
        <w:rPr>
          <w:rFonts w:eastAsia="Calibri" w:cstheme="minorHAnsi"/>
        </w:rPr>
        <w:t xml:space="preserve"> </w:t>
      </w:r>
      <w:r w:rsidRPr="00F16251">
        <w:rPr>
          <w:rFonts w:eastAsia="Calibri" w:cstheme="minorHAnsi"/>
        </w:rPr>
        <w:t>potrzeb</w:t>
      </w:r>
      <w:r w:rsidR="003B50ED" w:rsidRPr="00F16251">
        <w:rPr>
          <w:rFonts w:eastAsia="Calibri" w:cstheme="minorHAnsi"/>
        </w:rPr>
        <w:t xml:space="preserve"> </w:t>
      </w:r>
      <w:r w:rsidRPr="00F16251">
        <w:rPr>
          <w:rFonts w:eastAsia="Calibri" w:cstheme="minorHAnsi"/>
        </w:rPr>
        <w:t>i</w:t>
      </w:r>
      <w:r w:rsidR="003B50ED" w:rsidRPr="00F16251">
        <w:rPr>
          <w:rFonts w:eastAsia="Calibri" w:cstheme="minorHAnsi"/>
        </w:rPr>
        <w:t xml:space="preserve"> </w:t>
      </w:r>
      <w:r w:rsidRPr="00F16251">
        <w:rPr>
          <w:rFonts w:eastAsia="Calibri" w:cstheme="minorHAnsi"/>
        </w:rPr>
        <w:t>problemów</w:t>
      </w:r>
      <w:r w:rsidR="003B50ED" w:rsidRPr="00F16251">
        <w:rPr>
          <w:rFonts w:eastAsia="Calibri" w:cstheme="minorHAnsi"/>
        </w:rPr>
        <w:t xml:space="preserve"> </w:t>
      </w:r>
      <w:r w:rsidRPr="00F16251">
        <w:rPr>
          <w:rFonts w:eastAsia="Calibri" w:cstheme="minorHAnsi"/>
        </w:rPr>
        <w:t>obszaru</w:t>
      </w:r>
      <w:r w:rsidR="003B50ED" w:rsidRPr="00F16251">
        <w:rPr>
          <w:rFonts w:eastAsia="Calibri" w:cstheme="minorHAnsi"/>
        </w:rPr>
        <w:t xml:space="preserve"> </w:t>
      </w:r>
      <w:r w:rsidRPr="00F16251">
        <w:rPr>
          <w:rFonts w:eastAsia="Calibri" w:cstheme="minorHAnsi"/>
        </w:rPr>
        <w:t>i</w:t>
      </w:r>
      <w:r w:rsidR="003B50ED" w:rsidRPr="00F16251">
        <w:rPr>
          <w:rFonts w:eastAsia="Calibri" w:cstheme="minorHAnsi"/>
        </w:rPr>
        <w:t xml:space="preserve"> </w:t>
      </w:r>
      <w:r w:rsidRPr="00F16251">
        <w:rPr>
          <w:rFonts w:eastAsia="Calibri" w:cstheme="minorHAnsi"/>
        </w:rPr>
        <w:t>mieszkańców</w:t>
      </w:r>
      <w:r w:rsidR="003B50ED" w:rsidRPr="00F16251">
        <w:rPr>
          <w:rFonts w:eastAsia="Calibri" w:cstheme="minorHAnsi"/>
        </w:rPr>
        <w:t xml:space="preserve"> </w:t>
      </w:r>
      <w:r w:rsidRPr="00F16251">
        <w:rPr>
          <w:rFonts w:eastAsia="Calibri" w:cstheme="minorHAnsi"/>
        </w:rPr>
        <w:t>gmin</w:t>
      </w:r>
      <w:r w:rsidR="003B50ED" w:rsidRPr="00F16251">
        <w:rPr>
          <w:rFonts w:eastAsia="Calibri" w:cstheme="minorHAnsi"/>
        </w:rPr>
        <w:t xml:space="preserve"> </w:t>
      </w:r>
      <w:r w:rsidRPr="00F16251">
        <w:rPr>
          <w:rFonts w:eastAsia="Calibri" w:cstheme="minorHAnsi"/>
        </w:rPr>
        <w:t>wchodzących</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skład</w:t>
      </w:r>
      <w:r w:rsidR="003B50ED" w:rsidRPr="00F16251">
        <w:rPr>
          <w:rFonts w:eastAsia="Calibri" w:cstheme="minorHAnsi"/>
        </w:rPr>
        <w:t xml:space="preserve"> </w:t>
      </w:r>
      <w:r w:rsidRPr="00F16251">
        <w:rPr>
          <w:rFonts w:eastAsia="Calibri" w:cstheme="minorHAnsi"/>
        </w:rPr>
        <w:t>LGD,</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tym</w:t>
      </w:r>
      <w:r w:rsidR="003B50ED" w:rsidRPr="00F16251">
        <w:rPr>
          <w:rFonts w:eastAsia="Calibri" w:cstheme="minorHAnsi"/>
        </w:rPr>
        <w:t xml:space="preserve"> </w:t>
      </w:r>
      <w:r w:rsidRPr="00F16251">
        <w:rPr>
          <w:rFonts w:eastAsia="Calibri" w:cstheme="minorHAnsi"/>
        </w:rPr>
        <w:t>ukierunkowanie</w:t>
      </w:r>
      <w:r w:rsidR="003B50ED" w:rsidRPr="00F16251">
        <w:rPr>
          <w:rFonts w:eastAsia="Calibri" w:cstheme="minorHAnsi"/>
        </w:rPr>
        <w:t xml:space="preserve"> </w:t>
      </w:r>
      <w:r w:rsidRPr="00F16251">
        <w:rPr>
          <w:rFonts w:eastAsia="Calibri" w:cstheme="minorHAnsi"/>
        </w:rPr>
        <w:t>na</w:t>
      </w:r>
      <w:r w:rsidR="003B50ED" w:rsidRPr="00F16251">
        <w:rPr>
          <w:rFonts w:eastAsia="Calibri" w:cstheme="minorHAnsi"/>
        </w:rPr>
        <w:t xml:space="preserve"> </w:t>
      </w:r>
      <w:r w:rsidRPr="00F16251">
        <w:rPr>
          <w:rFonts w:eastAsia="Calibri" w:cstheme="minorHAnsi"/>
        </w:rPr>
        <w:t>zagadnienia</w:t>
      </w:r>
      <w:r w:rsidR="003B50ED" w:rsidRPr="00F16251">
        <w:rPr>
          <w:rFonts w:eastAsia="Calibri" w:cstheme="minorHAnsi"/>
        </w:rPr>
        <w:t xml:space="preserve"> </w:t>
      </w:r>
      <w:r w:rsidRPr="00F16251">
        <w:rPr>
          <w:rFonts w:eastAsia="Calibri" w:cstheme="minorHAnsi"/>
        </w:rPr>
        <w:t>dotyczące:</w:t>
      </w:r>
      <w:r w:rsidR="003B50ED" w:rsidRPr="00F16251">
        <w:rPr>
          <w:rFonts w:eastAsia="Calibri" w:cstheme="minorHAnsi"/>
        </w:rPr>
        <w:t xml:space="preserve"> </w:t>
      </w:r>
      <w:r w:rsidRPr="00F16251">
        <w:rPr>
          <w:rFonts w:eastAsia="Calibri" w:cstheme="minorHAnsi"/>
        </w:rPr>
        <w:t>innowacyjności,</w:t>
      </w:r>
      <w:r w:rsidR="003B50ED" w:rsidRPr="00F16251">
        <w:rPr>
          <w:rFonts w:eastAsia="Calibri" w:cstheme="minorHAnsi"/>
        </w:rPr>
        <w:t xml:space="preserve"> </w:t>
      </w:r>
      <w:r w:rsidRPr="00F16251">
        <w:rPr>
          <w:rFonts w:eastAsia="Calibri" w:cstheme="minorHAnsi"/>
        </w:rPr>
        <w:t>cyfryzacji,</w:t>
      </w:r>
      <w:r w:rsidR="003B50ED" w:rsidRPr="00F16251">
        <w:rPr>
          <w:rFonts w:eastAsia="Calibri" w:cstheme="minorHAnsi"/>
        </w:rPr>
        <w:t xml:space="preserve"> </w:t>
      </w:r>
      <w:r w:rsidRPr="00F16251">
        <w:rPr>
          <w:rFonts w:eastAsia="Calibri" w:cstheme="minorHAnsi"/>
        </w:rPr>
        <w:t>środowiska</w:t>
      </w:r>
      <w:r w:rsidR="003B50ED" w:rsidRPr="00F16251">
        <w:rPr>
          <w:rFonts w:eastAsia="Calibri" w:cstheme="minorHAnsi"/>
        </w:rPr>
        <w:t xml:space="preserve"> </w:t>
      </w:r>
      <w:r w:rsidRPr="00F16251">
        <w:rPr>
          <w:rFonts w:eastAsia="Calibri" w:cstheme="minorHAnsi"/>
        </w:rPr>
        <w:t>i</w:t>
      </w:r>
      <w:r w:rsidR="003B50ED" w:rsidRPr="00F16251">
        <w:rPr>
          <w:rFonts w:eastAsia="Calibri" w:cstheme="minorHAnsi"/>
        </w:rPr>
        <w:t xml:space="preserve"> </w:t>
      </w:r>
      <w:r w:rsidRPr="00F16251">
        <w:rPr>
          <w:rFonts w:eastAsia="Calibri" w:cstheme="minorHAnsi"/>
        </w:rPr>
        <w:t>klimatu,</w:t>
      </w:r>
      <w:r w:rsidR="003B50ED" w:rsidRPr="00F16251">
        <w:rPr>
          <w:rFonts w:eastAsia="Calibri" w:cstheme="minorHAnsi"/>
        </w:rPr>
        <w:t xml:space="preserve"> </w:t>
      </w:r>
      <w:r w:rsidRPr="00F16251">
        <w:rPr>
          <w:rFonts w:eastAsia="Calibri" w:cstheme="minorHAnsi"/>
        </w:rPr>
        <w:t>zmian</w:t>
      </w:r>
      <w:r w:rsidR="003B50ED" w:rsidRPr="00F16251">
        <w:rPr>
          <w:rFonts w:eastAsia="Calibri" w:cstheme="minorHAnsi"/>
        </w:rPr>
        <w:t xml:space="preserve"> </w:t>
      </w:r>
      <w:r w:rsidRPr="00F16251">
        <w:rPr>
          <w:rFonts w:eastAsia="Calibri" w:cstheme="minorHAnsi"/>
        </w:rPr>
        <w:t>demograficznych</w:t>
      </w:r>
      <w:r w:rsidR="003B50ED" w:rsidRPr="00F16251">
        <w:rPr>
          <w:rFonts w:eastAsia="Calibri" w:cstheme="minorHAnsi"/>
        </w:rPr>
        <w:t xml:space="preserve"> </w:t>
      </w:r>
      <w:r w:rsidRPr="00F16251">
        <w:rPr>
          <w:rFonts w:eastAsia="Calibri" w:cstheme="minorHAnsi"/>
        </w:rPr>
        <w:t>ze</w:t>
      </w:r>
      <w:r w:rsidR="003B50ED" w:rsidRPr="00F16251">
        <w:rPr>
          <w:rFonts w:eastAsia="Calibri" w:cstheme="minorHAnsi"/>
        </w:rPr>
        <w:t xml:space="preserve"> </w:t>
      </w:r>
      <w:r w:rsidRPr="00F16251">
        <w:rPr>
          <w:rFonts w:eastAsia="Calibri" w:cstheme="minorHAnsi"/>
        </w:rPr>
        <w:t>szczególnym</w:t>
      </w:r>
      <w:r w:rsidR="003B50ED" w:rsidRPr="00F16251">
        <w:rPr>
          <w:rFonts w:eastAsia="Calibri" w:cstheme="minorHAnsi"/>
        </w:rPr>
        <w:t xml:space="preserve"> </w:t>
      </w:r>
      <w:r w:rsidRPr="00F16251">
        <w:rPr>
          <w:rFonts w:eastAsia="Calibri" w:cstheme="minorHAnsi"/>
        </w:rPr>
        <w:t>uwzględnieniem</w:t>
      </w:r>
      <w:r w:rsidR="003B50ED" w:rsidRPr="00F16251">
        <w:rPr>
          <w:rFonts w:eastAsia="Calibri" w:cstheme="minorHAnsi"/>
        </w:rPr>
        <w:t xml:space="preserve"> </w:t>
      </w:r>
      <w:r w:rsidRPr="00F16251">
        <w:rPr>
          <w:rFonts w:eastAsia="Calibri" w:cstheme="minorHAnsi"/>
        </w:rPr>
        <w:t>starzenia</w:t>
      </w:r>
      <w:r w:rsidR="003B50ED" w:rsidRPr="00F16251">
        <w:rPr>
          <w:rFonts w:eastAsia="Calibri" w:cstheme="minorHAnsi"/>
        </w:rPr>
        <w:t xml:space="preserve"> </w:t>
      </w:r>
      <w:r w:rsidRPr="00F16251">
        <w:rPr>
          <w:rFonts w:eastAsia="Calibri" w:cstheme="minorHAnsi"/>
        </w:rPr>
        <w:t>się</w:t>
      </w:r>
      <w:r w:rsidR="003B50ED" w:rsidRPr="00F16251">
        <w:rPr>
          <w:rFonts w:eastAsia="Calibri" w:cstheme="minorHAnsi"/>
        </w:rPr>
        <w:t xml:space="preserve"> </w:t>
      </w:r>
      <w:r w:rsidRPr="00F16251">
        <w:rPr>
          <w:rFonts w:eastAsia="Calibri" w:cstheme="minorHAnsi"/>
        </w:rPr>
        <w:t>społeczeństwa</w:t>
      </w:r>
      <w:r w:rsidR="003B50ED" w:rsidRPr="00F16251">
        <w:rPr>
          <w:rFonts w:eastAsia="Calibri" w:cstheme="minorHAnsi"/>
        </w:rPr>
        <w:t xml:space="preserve"> </w:t>
      </w:r>
      <w:r w:rsidRPr="00F16251">
        <w:rPr>
          <w:rFonts w:eastAsia="Calibri" w:cstheme="minorHAnsi"/>
        </w:rPr>
        <w:t>oraz</w:t>
      </w:r>
      <w:r w:rsidR="003B50ED" w:rsidRPr="00F16251">
        <w:rPr>
          <w:rFonts w:eastAsia="Calibri" w:cstheme="minorHAnsi"/>
        </w:rPr>
        <w:t xml:space="preserve"> </w:t>
      </w:r>
      <w:r w:rsidRPr="00F16251">
        <w:rPr>
          <w:rFonts w:eastAsia="Calibri" w:cstheme="minorHAnsi"/>
        </w:rPr>
        <w:t>wyludniania</w:t>
      </w:r>
      <w:r w:rsidR="003B50ED" w:rsidRPr="00F16251">
        <w:rPr>
          <w:rFonts w:eastAsia="Calibri" w:cstheme="minorHAnsi"/>
        </w:rPr>
        <w:t xml:space="preserve"> </w:t>
      </w:r>
      <w:r w:rsidRPr="00F16251">
        <w:rPr>
          <w:rFonts w:eastAsia="Calibri" w:cstheme="minorHAnsi"/>
        </w:rPr>
        <w:t>się</w:t>
      </w:r>
      <w:r w:rsidR="003B50ED" w:rsidRPr="00F16251">
        <w:rPr>
          <w:rFonts w:eastAsia="Calibri" w:cstheme="minorHAnsi"/>
        </w:rPr>
        <w:t xml:space="preserve"> </w:t>
      </w:r>
      <w:r w:rsidRPr="00F16251">
        <w:rPr>
          <w:rFonts w:eastAsia="Calibri" w:cstheme="minorHAnsi"/>
        </w:rPr>
        <w:t>obszaru</w:t>
      </w:r>
      <w:r w:rsidR="003B50ED" w:rsidRPr="00F16251">
        <w:rPr>
          <w:rFonts w:eastAsia="Calibri" w:cstheme="minorHAnsi"/>
        </w:rPr>
        <w:t xml:space="preserve"> </w:t>
      </w:r>
      <w:r w:rsidRPr="00F16251">
        <w:rPr>
          <w:rFonts w:eastAsia="Calibri" w:cstheme="minorHAnsi"/>
        </w:rPr>
        <w:t>planowanego</w:t>
      </w:r>
      <w:r w:rsidR="003B50ED" w:rsidRPr="00F16251">
        <w:rPr>
          <w:rFonts w:eastAsia="Calibri" w:cstheme="minorHAnsi"/>
        </w:rPr>
        <w:t xml:space="preserve"> </w:t>
      </w:r>
      <w:r w:rsidRPr="00F16251">
        <w:rPr>
          <w:rFonts w:eastAsia="Calibri" w:cstheme="minorHAnsi"/>
        </w:rPr>
        <w:t>do</w:t>
      </w:r>
      <w:r w:rsidR="003B50ED" w:rsidRPr="00F16251">
        <w:rPr>
          <w:rFonts w:eastAsia="Calibri" w:cstheme="minorHAnsi"/>
        </w:rPr>
        <w:t xml:space="preserve"> </w:t>
      </w:r>
      <w:r w:rsidRPr="00F16251">
        <w:rPr>
          <w:rFonts w:eastAsia="Calibri" w:cstheme="minorHAnsi"/>
        </w:rPr>
        <w:t>objęcia</w:t>
      </w:r>
      <w:r w:rsidR="003B50ED" w:rsidRPr="00F16251">
        <w:rPr>
          <w:rFonts w:eastAsia="Calibri" w:cstheme="minorHAnsi"/>
        </w:rPr>
        <w:t xml:space="preserve"> </w:t>
      </w:r>
      <w:r w:rsidRPr="00F16251">
        <w:rPr>
          <w:rFonts w:eastAsia="Calibri" w:cstheme="minorHAnsi"/>
        </w:rPr>
        <w:t>LSR,</w:t>
      </w:r>
      <w:r w:rsidR="003B50ED" w:rsidRPr="00F16251">
        <w:rPr>
          <w:rFonts w:eastAsia="Calibri" w:cstheme="minorHAnsi"/>
        </w:rPr>
        <w:t xml:space="preserve"> </w:t>
      </w:r>
      <w:r w:rsidRPr="00F16251">
        <w:rPr>
          <w:rFonts w:eastAsia="Calibri" w:cstheme="minorHAnsi"/>
        </w:rPr>
        <w:t>partnerstwa</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realizacji</w:t>
      </w:r>
      <w:r w:rsidR="003B50ED" w:rsidRPr="00F16251">
        <w:rPr>
          <w:rFonts w:eastAsia="Calibri" w:cstheme="minorHAnsi"/>
        </w:rPr>
        <w:t xml:space="preserve"> </w:t>
      </w:r>
      <w:r w:rsidRPr="00F16251">
        <w:rPr>
          <w:rFonts w:eastAsia="Calibri" w:cstheme="minorHAnsi"/>
        </w:rPr>
        <w:t>LSR</w:t>
      </w:r>
      <w:r w:rsidR="003B50ED" w:rsidRPr="00F16251">
        <w:rPr>
          <w:rFonts w:eastAsia="Calibri" w:cstheme="minorHAnsi"/>
        </w:rPr>
        <w:t xml:space="preserve"> </w:t>
      </w:r>
      <w:r w:rsidRPr="00F16251">
        <w:rPr>
          <w:rFonts w:eastAsia="Calibri" w:cstheme="minorHAnsi"/>
        </w:rPr>
        <w:t>polegającego</w:t>
      </w:r>
      <w:r w:rsidR="003B50ED" w:rsidRPr="00F16251">
        <w:rPr>
          <w:rFonts w:eastAsia="Calibri" w:cstheme="minorHAnsi"/>
        </w:rPr>
        <w:t xml:space="preserve"> </w:t>
      </w:r>
      <w:r w:rsidRPr="00F16251">
        <w:rPr>
          <w:rFonts w:eastAsia="Calibri" w:cstheme="minorHAnsi"/>
        </w:rPr>
        <w:t>na</w:t>
      </w:r>
      <w:r w:rsidR="003B50ED" w:rsidRPr="00F16251">
        <w:rPr>
          <w:rFonts w:eastAsia="Calibri" w:cstheme="minorHAnsi"/>
        </w:rPr>
        <w:t xml:space="preserve"> </w:t>
      </w:r>
      <w:r w:rsidRPr="00F16251">
        <w:rPr>
          <w:rFonts w:eastAsia="Calibri" w:cstheme="minorHAnsi"/>
        </w:rPr>
        <w:t>wspólnej</w:t>
      </w:r>
      <w:r w:rsidR="003B50ED" w:rsidRPr="00F16251">
        <w:rPr>
          <w:rFonts w:eastAsia="Calibri" w:cstheme="minorHAnsi"/>
        </w:rPr>
        <w:t xml:space="preserve"> </w:t>
      </w:r>
      <w:r w:rsidRPr="00F16251">
        <w:rPr>
          <w:rFonts w:eastAsia="Calibri" w:cstheme="minorHAnsi"/>
        </w:rPr>
        <w:t>realizacji</w:t>
      </w:r>
      <w:r w:rsidR="003B50ED" w:rsidRPr="00F16251">
        <w:rPr>
          <w:rFonts w:eastAsia="Calibri" w:cstheme="minorHAnsi"/>
        </w:rPr>
        <w:t xml:space="preserve"> </w:t>
      </w:r>
      <w:r w:rsidRPr="00F16251">
        <w:rPr>
          <w:rFonts w:eastAsia="Calibri" w:cstheme="minorHAnsi"/>
        </w:rPr>
        <w:t>przedsięwzięć</w:t>
      </w:r>
      <w:r w:rsidR="003B50ED" w:rsidRPr="00F16251">
        <w:rPr>
          <w:rFonts w:eastAsia="Calibri" w:cstheme="minorHAnsi"/>
        </w:rPr>
        <w:t xml:space="preserve"> </w:t>
      </w:r>
      <w:r w:rsidRPr="00F16251">
        <w:rPr>
          <w:rFonts w:eastAsia="Calibri" w:cstheme="minorHAnsi"/>
        </w:rPr>
        <w:t>i</w:t>
      </w:r>
      <w:r w:rsidR="003B50ED" w:rsidRPr="00F16251">
        <w:rPr>
          <w:rFonts w:eastAsia="Calibri" w:cstheme="minorHAnsi"/>
        </w:rPr>
        <w:t xml:space="preserve"> </w:t>
      </w:r>
      <w:r w:rsidRPr="00F16251">
        <w:rPr>
          <w:rFonts w:eastAsia="Calibri" w:cstheme="minorHAnsi"/>
        </w:rPr>
        <w:t>projektów.</w:t>
      </w:r>
    </w:p>
    <w:p w14:paraId="46028A46" w14:textId="1C9E7FA0" w:rsidR="0066789E" w:rsidRPr="00F16251" w:rsidRDefault="0066789E" w:rsidP="008A412F">
      <w:pPr>
        <w:numPr>
          <w:ilvl w:val="0"/>
          <w:numId w:val="8"/>
        </w:numPr>
        <w:spacing w:line="276" w:lineRule="auto"/>
        <w:jc w:val="both"/>
        <w:rPr>
          <w:rFonts w:eastAsia="Calibri" w:cstheme="minorHAnsi"/>
        </w:rPr>
      </w:pPr>
      <w:r w:rsidRPr="00F16251">
        <w:rPr>
          <w:rFonts w:eastAsia="Calibri" w:cstheme="minorHAnsi"/>
        </w:rPr>
        <w:t>Analiza</w:t>
      </w:r>
      <w:r w:rsidR="003B50ED" w:rsidRPr="00F16251">
        <w:rPr>
          <w:rFonts w:eastAsia="Calibri" w:cstheme="minorHAnsi"/>
        </w:rPr>
        <w:t xml:space="preserve"> </w:t>
      </w:r>
      <w:r w:rsidRPr="00F16251">
        <w:rPr>
          <w:rFonts w:eastAsia="Calibri" w:cstheme="minorHAnsi"/>
        </w:rPr>
        <w:t>mocnych</w:t>
      </w:r>
      <w:r w:rsidR="003B50ED" w:rsidRPr="00F16251">
        <w:rPr>
          <w:rFonts w:eastAsia="Calibri" w:cstheme="minorHAnsi"/>
        </w:rPr>
        <w:t xml:space="preserve"> </w:t>
      </w:r>
      <w:r w:rsidRPr="00F16251">
        <w:rPr>
          <w:rFonts w:eastAsia="Calibri" w:cstheme="minorHAnsi"/>
        </w:rPr>
        <w:t>i</w:t>
      </w:r>
      <w:r w:rsidR="003B50ED" w:rsidRPr="00F16251">
        <w:rPr>
          <w:rFonts w:eastAsia="Calibri" w:cstheme="minorHAnsi"/>
        </w:rPr>
        <w:t xml:space="preserve"> </w:t>
      </w:r>
      <w:r w:rsidRPr="00F16251">
        <w:rPr>
          <w:rFonts w:eastAsia="Calibri" w:cstheme="minorHAnsi"/>
        </w:rPr>
        <w:t>słabych</w:t>
      </w:r>
      <w:r w:rsidR="003B50ED" w:rsidRPr="00F16251">
        <w:rPr>
          <w:rFonts w:eastAsia="Calibri" w:cstheme="minorHAnsi"/>
        </w:rPr>
        <w:t xml:space="preserve"> </w:t>
      </w:r>
      <w:r w:rsidRPr="00F16251">
        <w:rPr>
          <w:rFonts w:eastAsia="Calibri" w:cstheme="minorHAnsi"/>
        </w:rPr>
        <w:t>stron,</w:t>
      </w:r>
      <w:r w:rsidR="003B50ED" w:rsidRPr="00F16251">
        <w:rPr>
          <w:rFonts w:eastAsia="Calibri" w:cstheme="minorHAnsi"/>
        </w:rPr>
        <w:t xml:space="preserve"> </w:t>
      </w:r>
      <w:r w:rsidRPr="00F16251">
        <w:rPr>
          <w:rFonts w:eastAsia="Calibri" w:cstheme="minorHAnsi"/>
        </w:rPr>
        <w:t>szans</w:t>
      </w:r>
      <w:r w:rsidR="003B50ED" w:rsidRPr="00F16251">
        <w:rPr>
          <w:rFonts w:eastAsia="Calibri" w:cstheme="minorHAnsi"/>
        </w:rPr>
        <w:t xml:space="preserve"> </w:t>
      </w:r>
      <w:r w:rsidRPr="00F16251">
        <w:rPr>
          <w:rFonts w:eastAsia="Calibri" w:cstheme="minorHAnsi"/>
        </w:rPr>
        <w:t>i</w:t>
      </w:r>
      <w:r w:rsidR="003B50ED" w:rsidRPr="00F16251">
        <w:rPr>
          <w:rFonts w:eastAsia="Calibri" w:cstheme="minorHAnsi"/>
        </w:rPr>
        <w:t xml:space="preserve"> </w:t>
      </w:r>
      <w:r w:rsidRPr="00F16251">
        <w:rPr>
          <w:rFonts w:eastAsia="Calibri" w:cstheme="minorHAnsi"/>
        </w:rPr>
        <w:t>zagrożeń,</w:t>
      </w:r>
      <w:r w:rsidR="003B50ED" w:rsidRPr="00F16251">
        <w:rPr>
          <w:rFonts w:eastAsia="Calibri" w:cstheme="minorHAnsi"/>
        </w:rPr>
        <w:t xml:space="preserve"> </w:t>
      </w:r>
      <w:r w:rsidRPr="00F16251">
        <w:rPr>
          <w:rFonts w:eastAsia="Calibri" w:cstheme="minorHAnsi"/>
        </w:rPr>
        <w:t>a</w:t>
      </w:r>
      <w:r w:rsidR="003B50ED" w:rsidRPr="00F16251">
        <w:rPr>
          <w:rFonts w:eastAsia="Calibri" w:cstheme="minorHAnsi"/>
        </w:rPr>
        <w:t xml:space="preserve"> </w:t>
      </w:r>
      <w:r w:rsidRPr="00F16251">
        <w:rPr>
          <w:rFonts w:eastAsia="Calibri" w:cstheme="minorHAnsi"/>
        </w:rPr>
        <w:t>także</w:t>
      </w:r>
      <w:r w:rsidR="003B50ED" w:rsidRPr="00F16251">
        <w:rPr>
          <w:rFonts w:eastAsia="Calibri" w:cstheme="minorHAnsi"/>
        </w:rPr>
        <w:t xml:space="preserve"> </w:t>
      </w:r>
      <w:r w:rsidRPr="00F16251">
        <w:rPr>
          <w:rFonts w:eastAsia="Calibri" w:cstheme="minorHAnsi"/>
        </w:rPr>
        <w:t>celów</w:t>
      </w:r>
      <w:r w:rsidR="003B50ED" w:rsidRPr="00F16251">
        <w:rPr>
          <w:rFonts w:eastAsia="Calibri" w:cstheme="minorHAnsi"/>
        </w:rPr>
        <w:t xml:space="preserve"> </w:t>
      </w:r>
      <w:r w:rsidRPr="00F16251">
        <w:rPr>
          <w:rFonts w:eastAsia="Calibri" w:cstheme="minorHAnsi"/>
        </w:rPr>
        <w:t>LSR</w:t>
      </w:r>
    </w:p>
    <w:p w14:paraId="6A7F8A6D" w14:textId="30949D7E" w:rsidR="0066789E" w:rsidRPr="00F16251" w:rsidRDefault="0066789E" w:rsidP="008A412F">
      <w:pPr>
        <w:numPr>
          <w:ilvl w:val="0"/>
          <w:numId w:val="8"/>
        </w:numPr>
        <w:spacing w:line="276" w:lineRule="auto"/>
        <w:jc w:val="both"/>
        <w:rPr>
          <w:rFonts w:eastAsia="Calibri" w:cstheme="minorHAnsi"/>
        </w:rPr>
      </w:pPr>
      <w:r w:rsidRPr="00F16251">
        <w:rPr>
          <w:rFonts w:eastAsia="Calibri" w:cstheme="minorHAnsi"/>
        </w:rPr>
        <w:t>Dyskusja</w:t>
      </w:r>
      <w:r w:rsidR="003B50ED" w:rsidRPr="00F16251">
        <w:rPr>
          <w:rFonts w:eastAsia="Calibri" w:cstheme="minorHAnsi"/>
        </w:rPr>
        <w:t xml:space="preserve"> </w:t>
      </w:r>
      <w:r w:rsidRPr="00F16251">
        <w:rPr>
          <w:rFonts w:eastAsia="Calibri" w:cstheme="minorHAnsi"/>
        </w:rPr>
        <w:t>nad</w:t>
      </w:r>
      <w:r w:rsidR="003B50ED" w:rsidRPr="00F16251">
        <w:rPr>
          <w:rFonts w:eastAsia="Calibri" w:cstheme="minorHAnsi"/>
        </w:rPr>
        <w:t xml:space="preserve"> </w:t>
      </w:r>
      <w:r w:rsidRPr="00F16251">
        <w:rPr>
          <w:rFonts w:eastAsia="Calibri" w:cstheme="minorHAnsi"/>
        </w:rPr>
        <w:t>celami</w:t>
      </w:r>
      <w:r w:rsidR="003B50ED" w:rsidRPr="00F16251">
        <w:rPr>
          <w:rFonts w:eastAsia="Calibri" w:cstheme="minorHAnsi"/>
        </w:rPr>
        <w:t xml:space="preserve"> </w:t>
      </w:r>
      <w:r w:rsidRPr="00F16251">
        <w:rPr>
          <w:rFonts w:eastAsia="Calibri" w:cstheme="minorHAnsi"/>
        </w:rPr>
        <w:t>LSR</w:t>
      </w:r>
      <w:r w:rsidR="003B50ED" w:rsidRPr="00F16251">
        <w:rPr>
          <w:rFonts w:eastAsia="Calibri" w:cstheme="minorHAnsi"/>
        </w:rPr>
        <w:t xml:space="preserve"> </w:t>
      </w:r>
      <w:r w:rsidRPr="00F16251">
        <w:rPr>
          <w:rFonts w:eastAsia="Calibri" w:cstheme="minorHAnsi"/>
        </w:rPr>
        <w:t>i</w:t>
      </w:r>
      <w:r w:rsidR="003B50ED" w:rsidRPr="00F16251">
        <w:rPr>
          <w:rFonts w:eastAsia="Calibri" w:cstheme="minorHAnsi"/>
        </w:rPr>
        <w:t xml:space="preserve"> </w:t>
      </w:r>
      <w:r w:rsidRPr="00F16251">
        <w:rPr>
          <w:rFonts w:eastAsia="Calibri" w:cstheme="minorHAnsi"/>
        </w:rPr>
        <w:t>działaniami.</w:t>
      </w:r>
    </w:p>
    <w:p w14:paraId="39EE6020" w14:textId="59BF44F4" w:rsidR="0066789E" w:rsidRPr="00F16251" w:rsidRDefault="0066789E" w:rsidP="008A412F">
      <w:pPr>
        <w:numPr>
          <w:ilvl w:val="0"/>
          <w:numId w:val="8"/>
        </w:numPr>
        <w:spacing w:line="276" w:lineRule="auto"/>
        <w:jc w:val="both"/>
        <w:rPr>
          <w:rFonts w:eastAsia="Calibri" w:cstheme="minorHAnsi"/>
        </w:rPr>
      </w:pPr>
      <w:r w:rsidRPr="00F16251">
        <w:rPr>
          <w:rFonts w:eastAsia="Calibri" w:cstheme="minorHAnsi"/>
        </w:rPr>
        <w:t>Omówienie</w:t>
      </w:r>
      <w:r w:rsidR="003B50ED" w:rsidRPr="00F16251">
        <w:rPr>
          <w:rFonts w:eastAsia="Calibri" w:cstheme="minorHAnsi"/>
        </w:rPr>
        <w:t xml:space="preserve"> </w:t>
      </w:r>
      <w:r w:rsidRPr="00F16251">
        <w:rPr>
          <w:rFonts w:eastAsia="Calibri" w:cstheme="minorHAnsi"/>
        </w:rPr>
        <w:t>rezultatów</w:t>
      </w:r>
      <w:r w:rsidR="003B50ED" w:rsidRPr="00F16251">
        <w:rPr>
          <w:rFonts w:eastAsia="Calibri" w:cstheme="minorHAnsi"/>
        </w:rPr>
        <w:t xml:space="preserve"> </w:t>
      </w:r>
      <w:r w:rsidRPr="00F16251">
        <w:rPr>
          <w:rFonts w:eastAsia="Calibri" w:cstheme="minorHAnsi"/>
        </w:rPr>
        <w:t>działań</w:t>
      </w:r>
      <w:r w:rsidR="003B50ED" w:rsidRPr="00F16251">
        <w:rPr>
          <w:rFonts w:eastAsia="Calibri" w:cstheme="minorHAnsi"/>
        </w:rPr>
        <w:t xml:space="preserve"> </w:t>
      </w:r>
      <w:r w:rsidRPr="00F16251">
        <w:rPr>
          <w:rFonts w:eastAsia="Calibri" w:cstheme="minorHAnsi"/>
        </w:rPr>
        <w:t>na</w:t>
      </w:r>
      <w:r w:rsidR="003B50ED" w:rsidRPr="00F16251">
        <w:rPr>
          <w:rFonts w:eastAsia="Calibri" w:cstheme="minorHAnsi"/>
        </w:rPr>
        <w:t xml:space="preserve"> </w:t>
      </w:r>
      <w:r w:rsidRPr="00F16251">
        <w:rPr>
          <w:rFonts w:eastAsia="Calibri" w:cstheme="minorHAnsi"/>
        </w:rPr>
        <w:t>zakończenie</w:t>
      </w:r>
      <w:r w:rsidR="003B50ED" w:rsidRPr="00F16251">
        <w:rPr>
          <w:rFonts w:eastAsia="Calibri" w:cstheme="minorHAnsi"/>
        </w:rPr>
        <w:t xml:space="preserve"> </w:t>
      </w:r>
      <w:r w:rsidRPr="00F16251">
        <w:rPr>
          <w:rFonts w:eastAsia="Calibri" w:cstheme="minorHAnsi"/>
        </w:rPr>
        <w:t>realizacji</w:t>
      </w:r>
      <w:r w:rsidR="003B50ED" w:rsidRPr="00F16251">
        <w:rPr>
          <w:rFonts w:eastAsia="Calibri" w:cstheme="minorHAnsi"/>
        </w:rPr>
        <w:t xml:space="preserve"> </w:t>
      </w:r>
      <w:r w:rsidRPr="00F16251">
        <w:rPr>
          <w:rFonts w:eastAsia="Calibri" w:cstheme="minorHAnsi"/>
        </w:rPr>
        <w:t>LSR.</w:t>
      </w:r>
    </w:p>
    <w:p w14:paraId="08EA6E04" w14:textId="3A88155F" w:rsidR="0066789E" w:rsidRPr="00F16251" w:rsidRDefault="0066789E" w:rsidP="008A412F">
      <w:pPr>
        <w:numPr>
          <w:ilvl w:val="0"/>
          <w:numId w:val="8"/>
        </w:numPr>
        <w:spacing w:line="276" w:lineRule="auto"/>
        <w:jc w:val="both"/>
        <w:rPr>
          <w:rFonts w:eastAsia="Calibri" w:cstheme="minorHAnsi"/>
        </w:rPr>
      </w:pPr>
      <w:r w:rsidRPr="00F16251">
        <w:rPr>
          <w:rFonts w:eastAsia="Calibri" w:cstheme="minorHAnsi"/>
        </w:rPr>
        <w:t>Wypełnienia</w:t>
      </w:r>
      <w:r w:rsidR="003B50ED" w:rsidRPr="00F16251">
        <w:rPr>
          <w:rFonts w:eastAsia="Calibri" w:cstheme="minorHAnsi"/>
        </w:rPr>
        <w:t xml:space="preserve"> </w:t>
      </w:r>
      <w:r w:rsidRPr="00F16251">
        <w:rPr>
          <w:rFonts w:eastAsia="Calibri" w:cstheme="minorHAnsi"/>
        </w:rPr>
        <w:t>przez</w:t>
      </w:r>
      <w:r w:rsidR="003B50ED" w:rsidRPr="00F16251">
        <w:rPr>
          <w:rFonts w:eastAsia="Calibri" w:cstheme="minorHAnsi"/>
        </w:rPr>
        <w:t xml:space="preserve"> </w:t>
      </w:r>
      <w:r w:rsidRPr="00F16251">
        <w:rPr>
          <w:rFonts w:eastAsia="Calibri" w:cstheme="minorHAnsi"/>
        </w:rPr>
        <w:t>uczestników</w:t>
      </w:r>
      <w:r w:rsidR="003B50ED" w:rsidRPr="00F16251">
        <w:rPr>
          <w:rFonts w:eastAsia="Calibri" w:cstheme="minorHAnsi"/>
        </w:rPr>
        <w:t xml:space="preserve"> </w:t>
      </w:r>
      <w:r w:rsidRPr="00F16251">
        <w:rPr>
          <w:rFonts w:eastAsia="Calibri" w:cstheme="minorHAnsi"/>
        </w:rPr>
        <w:t>konsultacji</w:t>
      </w:r>
      <w:r w:rsidR="003B50ED" w:rsidRPr="00F16251">
        <w:rPr>
          <w:rFonts w:eastAsia="Calibri" w:cstheme="minorHAnsi"/>
        </w:rPr>
        <w:t xml:space="preserve"> </w:t>
      </w:r>
      <w:r w:rsidRPr="00F16251">
        <w:rPr>
          <w:rFonts w:eastAsia="Calibri" w:cstheme="minorHAnsi"/>
        </w:rPr>
        <w:t>ankiet.</w:t>
      </w:r>
    </w:p>
    <w:p w14:paraId="248B4062" w14:textId="5FEDF990" w:rsidR="0066789E" w:rsidRPr="00F16251" w:rsidRDefault="0066789E" w:rsidP="008A412F">
      <w:pPr>
        <w:numPr>
          <w:ilvl w:val="0"/>
          <w:numId w:val="8"/>
        </w:numPr>
        <w:spacing w:line="276" w:lineRule="auto"/>
        <w:jc w:val="both"/>
        <w:rPr>
          <w:rFonts w:eastAsia="Calibri" w:cstheme="minorHAnsi"/>
        </w:rPr>
      </w:pPr>
      <w:r w:rsidRPr="00F16251">
        <w:rPr>
          <w:rFonts w:eastAsia="Calibri" w:cstheme="minorHAnsi"/>
        </w:rPr>
        <w:t>Wywiady</w:t>
      </w:r>
      <w:r w:rsidR="003B50ED" w:rsidRPr="00F16251">
        <w:rPr>
          <w:rFonts w:eastAsia="Calibri" w:cstheme="minorHAnsi"/>
        </w:rPr>
        <w:t xml:space="preserve"> </w:t>
      </w:r>
      <w:r w:rsidRPr="00F16251">
        <w:rPr>
          <w:rFonts w:eastAsia="Calibri" w:cstheme="minorHAnsi"/>
        </w:rPr>
        <w:t>indywidualne</w:t>
      </w:r>
      <w:r w:rsidR="003B50ED" w:rsidRPr="00F16251">
        <w:rPr>
          <w:rFonts w:eastAsia="Calibri" w:cstheme="minorHAnsi"/>
        </w:rPr>
        <w:t xml:space="preserve"> </w:t>
      </w:r>
      <w:r w:rsidRPr="00F16251">
        <w:rPr>
          <w:rFonts w:eastAsia="Calibri" w:cstheme="minorHAnsi"/>
        </w:rPr>
        <w:t>i</w:t>
      </w:r>
      <w:r w:rsidR="003B50ED" w:rsidRPr="00F16251">
        <w:rPr>
          <w:rFonts w:eastAsia="Calibri" w:cstheme="minorHAnsi"/>
        </w:rPr>
        <w:t xml:space="preserve"> </w:t>
      </w:r>
      <w:r w:rsidRPr="00F16251">
        <w:rPr>
          <w:rFonts w:eastAsia="Calibri" w:cstheme="minorHAnsi"/>
        </w:rPr>
        <w:t>grupowe</w:t>
      </w:r>
      <w:r w:rsidR="003B50ED" w:rsidRPr="00F16251">
        <w:rPr>
          <w:rFonts w:eastAsia="Calibri" w:cstheme="minorHAnsi"/>
        </w:rPr>
        <w:t xml:space="preserve"> </w:t>
      </w:r>
      <w:r w:rsidRPr="00F16251">
        <w:rPr>
          <w:rFonts w:eastAsia="Calibri" w:cstheme="minorHAnsi"/>
        </w:rPr>
        <w:t>z</w:t>
      </w:r>
      <w:r w:rsidR="003B50ED" w:rsidRPr="00F16251">
        <w:rPr>
          <w:rFonts w:eastAsia="Calibri" w:cstheme="minorHAnsi"/>
        </w:rPr>
        <w:t xml:space="preserve"> </w:t>
      </w:r>
      <w:r w:rsidRPr="00F16251">
        <w:rPr>
          <w:rFonts w:eastAsia="Calibri" w:cstheme="minorHAnsi"/>
        </w:rPr>
        <w:t>chętnymi</w:t>
      </w:r>
      <w:r w:rsidR="003B50ED" w:rsidRPr="00F16251">
        <w:rPr>
          <w:rFonts w:eastAsia="Calibri" w:cstheme="minorHAnsi"/>
        </w:rPr>
        <w:t xml:space="preserve"> </w:t>
      </w:r>
      <w:r w:rsidRPr="00F16251">
        <w:rPr>
          <w:rFonts w:eastAsia="Calibri" w:cstheme="minorHAnsi"/>
        </w:rPr>
        <w:t>uczestnikami</w:t>
      </w:r>
      <w:r w:rsidR="003B50ED" w:rsidRPr="00F16251">
        <w:rPr>
          <w:rFonts w:eastAsia="Calibri" w:cstheme="minorHAnsi"/>
        </w:rPr>
        <w:t xml:space="preserve"> </w:t>
      </w:r>
      <w:r w:rsidRPr="00F16251">
        <w:rPr>
          <w:rFonts w:eastAsia="Calibri" w:cstheme="minorHAnsi"/>
        </w:rPr>
        <w:t>konsultacji</w:t>
      </w:r>
      <w:r w:rsidR="003B50ED" w:rsidRPr="00F16251">
        <w:rPr>
          <w:rFonts w:eastAsia="Calibri" w:cstheme="minorHAnsi"/>
        </w:rPr>
        <w:t xml:space="preserve"> </w:t>
      </w:r>
      <w:r w:rsidR="0035174A" w:rsidRPr="00F16251">
        <w:rPr>
          <w:rFonts w:eastAsia="Calibri" w:cstheme="minorHAnsi"/>
        </w:rPr>
        <w:t xml:space="preserve">w zakresie </w:t>
      </w:r>
      <w:r w:rsidRPr="00F16251">
        <w:rPr>
          <w:rFonts w:eastAsia="Calibri" w:cstheme="minorHAnsi"/>
        </w:rPr>
        <w:t>tworzenia</w:t>
      </w:r>
      <w:r w:rsidR="003B50ED" w:rsidRPr="00F16251">
        <w:rPr>
          <w:rFonts w:eastAsia="Calibri" w:cstheme="minorHAnsi"/>
        </w:rPr>
        <w:t xml:space="preserve"> </w:t>
      </w:r>
      <w:r w:rsidRPr="00F16251">
        <w:rPr>
          <w:rFonts w:eastAsia="Calibri" w:cstheme="minorHAnsi"/>
        </w:rPr>
        <w:t>LSR.</w:t>
      </w:r>
    </w:p>
    <w:p w14:paraId="0D31BA89" w14:textId="364506DD" w:rsidR="0066789E" w:rsidRPr="00F16251" w:rsidRDefault="0066789E" w:rsidP="008A412F">
      <w:pPr>
        <w:numPr>
          <w:ilvl w:val="0"/>
          <w:numId w:val="8"/>
        </w:numPr>
        <w:spacing w:line="276" w:lineRule="auto"/>
        <w:jc w:val="both"/>
        <w:rPr>
          <w:rFonts w:eastAsia="Calibri" w:cstheme="minorHAnsi"/>
        </w:rPr>
      </w:pPr>
      <w:r w:rsidRPr="00F16251">
        <w:rPr>
          <w:rFonts w:eastAsia="Calibri" w:cstheme="minorHAnsi"/>
        </w:rPr>
        <w:t>Przedstawienie</w:t>
      </w:r>
      <w:r w:rsidR="003B50ED" w:rsidRPr="00F16251">
        <w:rPr>
          <w:rFonts w:eastAsia="Calibri" w:cstheme="minorHAnsi"/>
        </w:rPr>
        <w:t xml:space="preserve"> </w:t>
      </w:r>
      <w:r w:rsidRPr="00F16251">
        <w:rPr>
          <w:rFonts w:eastAsia="Calibri" w:cstheme="minorHAnsi"/>
        </w:rPr>
        <w:t>wniosków</w:t>
      </w:r>
      <w:r w:rsidR="003B50ED" w:rsidRPr="00F16251">
        <w:rPr>
          <w:rFonts w:eastAsia="Calibri" w:cstheme="minorHAnsi"/>
        </w:rPr>
        <w:t xml:space="preserve"> </w:t>
      </w:r>
      <w:r w:rsidRPr="00F16251">
        <w:rPr>
          <w:rFonts w:eastAsia="Calibri" w:cstheme="minorHAnsi"/>
        </w:rPr>
        <w:t>z</w:t>
      </w:r>
      <w:r w:rsidR="003B50ED" w:rsidRPr="00F16251">
        <w:rPr>
          <w:rFonts w:eastAsia="Calibri" w:cstheme="minorHAnsi"/>
        </w:rPr>
        <w:t xml:space="preserve"> </w:t>
      </w:r>
      <w:r w:rsidRPr="00F16251">
        <w:rPr>
          <w:rFonts w:eastAsia="Calibri" w:cstheme="minorHAnsi"/>
        </w:rPr>
        <w:t>konsultacji,</w:t>
      </w:r>
      <w:r w:rsidR="003B50ED" w:rsidRPr="00F16251">
        <w:rPr>
          <w:rFonts w:eastAsia="Calibri" w:cstheme="minorHAnsi"/>
        </w:rPr>
        <w:t xml:space="preserve"> </w:t>
      </w:r>
      <w:r w:rsidRPr="00F16251">
        <w:rPr>
          <w:rFonts w:eastAsia="Calibri" w:cstheme="minorHAnsi"/>
        </w:rPr>
        <w:t>podsumowanie</w:t>
      </w:r>
      <w:r w:rsidR="003B50ED" w:rsidRPr="00F16251">
        <w:rPr>
          <w:rFonts w:eastAsia="Calibri" w:cstheme="minorHAnsi"/>
        </w:rPr>
        <w:t xml:space="preserve"> </w:t>
      </w:r>
      <w:r w:rsidRPr="00F16251">
        <w:rPr>
          <w:rFonts w:eastAsia="Calibri" w:cstheme="minorHAnsi"/>
        </w:rPr>
        <w:t>i</w:t>
      </w:r>
      <w:r w:rsidR="003B50ED" w:rsidRPr="00F16251">
        <w:rPr>
          <w:rFonts w:eastAsia="Calibri" w:cstheme="minorHAnsi"/>
        </w:rPr>
        <w:t xml:space="preserve"> </w:t>
      </w:r>
      <w:r w:rsidRPr="00F16251">
        <w:rPr>
          <w:rFonts w:eastAsia="Calibri" w:cstheme="minorHAnsi"/>
        </w:rPr>
        <w:t>zakończenie</w:t>
      </w:r>
      <w:r w:rsidR="003B50ED" w:rsidRPr="00F16251">
        <w:rPr>
          <w:rFonts w:eastAsia="Calibri" w:cstheme="minorHAnsi"/>
        </w:rPr>
        <w:t xml:space="preserve"> </w:t>
      </w:r>
      <w:r w:rsidRPr="00F16251">
        <w:rPr>
          <w:rFonts w:eastAsia="Calibri" w:cstheme="minorHAnsi"/>
        </w:rPr>
        <w:t>spotkania</w:t>
      </w:r>
    </w:p>
    <w:p w14:paraId="12B158CA" w14:textId="77777777" w:rsidR="00B520BD" w:rsidRPr="00F16251" w:rsidRDefault="00B520BD" w:rsidP="00A26C26">
      <w:pPr>
        <w:spacing w:line="276" w:lineRule="auto"/>
        <w:jc w:val="both"/>
        <w:rPr>
          <w:rFonts w:eastAsia="Calibri" w:cstheme="minorHAnsi"/>
        </w:rPr>
      </w:pPr>
    </w:p>
    <w:p w14:paraId="38A80980" w14:textId="063FB6C0" w:rsidR="00B520BD" w:rsidRPr="00F16251" w:rsidRDefault="0066789E" w:rsidP="00A26C26">
      <w:pPr>
        <w:spacing w:line="276" w:lineRule="auto"/>
        <w:jc w:val="both"/>
        <w:rPr>
          <w:rFonts w:eastAsia="Calibri" w:cstheme="minorHAnsi"/>
        </w:rPr>
      </w:pPr>
      <w:r w:rsidRPr="00F16251">
        <w:rPr>
          <w:rFonts w:eastAsia="Calibri" w:cstheme="minorHAnsi"/>
        </w:rPr>
        <w:t>Tabela</w:t>
      </w:r>
      <w:r w:rsidR="003B50ED" w:rsidRPr="00F16251">
        <w:rPr>
          <w:rFonts w:eastAsia="Calibri" w:cstheme="minorHAnsi"/>
        </w:rPr>
        <w:t xml:space="preserve"> </w:t>
      </w:r>
      <w:r w:rsidRPr="00F16251">
        <w:rPr>
          <w:rFonts w:eastAsia="Calibri" w:cstheme="minorHAnsi"/>
        </w:rPr>
        <w:t>nr</w:t>
      </w:r>
      <w:r w:rsidR="00396A11">
        <w:rPr>
          <w:rFonts w:eastAsia="Calibri" w:cstheme="minorHAnsi"/>
        </w:rPr>
        <w:t xml:space="preserve"> 5</w:t>
      </w:r>
      <w:r w:rsidR="003B50ED" w:rsidRPr="00F16251">
        <w:rPr>
          <w:rFonts w:eastAsia="Calibri" w:cstheme="minorHAnsi"/>
        </w:rPr>
        <w:t xml:space="preserve"> </w:t>
      </w:r>
      <w:r w:rsidRPr="00F16251">
        <w:rPr>
          <w:rFonts w:eastAsia="Calibri" w:cstheme="minorHAnsi"/>
        </w:rPr>
        <w:t>S</w:t>
      </w:r>
      <w:r w:rsidR="00B520BD" w:rsidRPr="00F16251">
        <w:rPr>
          <w:rFonts w:eastAsia="Calibri" w:cstheme="minorHAnsi"/>
        </w:rPr>
        <w:t>zczegółowy</w:t>
      </w:r>
      <w:r w:rsidR="003B50ED" w:rsidRPr="00F16251">
        <w:rPr>
          <w:rFonts w:eastAsia="Calibri" w:cstheme="minorHAnsi"/>
        </w:rPr>
        <w:t xml:space="preserve"> </w:t>
      </w:r>
      <w:r w:rsidR="00B520BD" w:rsidRPr="00F16251">
        <w:rPr>
          <w:rFonts w:eastAsia="Calibri" w:cstheme="minorHAnsi"/>
        </w:rPr>
        <w:t>harmonogram</w:t>
      </w:r>
      <w:r w:rsidR="003B50ED" w:rsidRPr="00F16251">
        <w:rPr>
          <w:rFonts w:eastAsia="Calibri" w:cstheme="minorHAnsi"/>
        </w:rPr>
        <w:t xml:space="preserve"> </w:t>
      </w:r>
      <w:r w:rsidR="00B520BD" w:rsidRPr="00F16251">
        <w:rPr>
          <w:rFonts w:eastAsia="Calibri" w:cstheme="minorHAnsi"/>
        </w:rPr>
        <w:t>przeprowadzonych</w:t>
      </w:r>
      <w:r w:rsidR="003B50ED" w:rsidRPr="00F16251">
        <w:rPr>
          <w:rFonts w:eastAsia="Calibri" w:cstheme="minorHAnsi"/>
        </w:rPr>
        <w:t xml:space="preserve"> </w:t>
      </w:r>
      <w:r w:rsidR="00B520BD" w:rsidRPr="00F16251">
        <w:rPr>
          <w:rFonts w:eastAsia="Calibri" w:cstheme="minorHAnsi"/>
        </w:rPr>
        <w:t>konsultacji.</w:t>
      </w:r>
    </w:p>
    <w:tbl>
      <w:tblPr>
        <w:tblStyle w:val="Tabelalisty3akcent310"/>
        <w:tblW w:w="10201" w:type="dxa"/>
        <w:tblLayout w:type="fixed"/>
        <w:tblLook w:val="04A0" w:firstRow="1" w:lastRow="0" w:firstColumn="1" w:lastColumn="0" w:noHBand="0" w:noVBand="1"/>
      </w:tblPr>
      <w:tblGrid>
        <w:gridCol w:w="562"/>
        <w:gridCol w:w="1418"/>
        <w:gridCol w:w="1417"/>
        <w:gridCol w:w="1418"/>
        <w:gridCol w:w="3685"/>
        <w:gridCol w:w="1701"/>
      </w:tblGrid>
      <w:tr w:rsidR="0066789E" w:rsidRPr="00F16251" w14:paraId="2B3611A7" w14:textId="45F0C1DC" w:rsidTr="00E625D8">
        <w:trPr>
          <w:cnfStyle w:val="100000000000" w:firstRow="1" w:lastRow="0" w:firstColumn="0" w:lastColumn="0" w:oddVBand="0" w:evenVBand="0" w:oddHBand="0" w:evenHBand="0" w:firstRowFirstColumn="0" w:firstRowLastColumn="0" w:lastRowFirstColumn="0" w:lastRowLastColumn="0"/>
          <w:trHeight w:val="249"/>
        </w:trPr>
        <w:tc>
          <w:tcPr>
            <w:cnfStyle w:val="001000000100" w:firstRow="0" w:lastRow="0" w:firstColumn="1" w:lastColumn="0" w:oddVBand="0" w:evenVBand="0" w:oddHBand="0" w:evenHBand="0" w:firstRowFirstColumn="1" w:firstRowLastColumn="0" w:lastRowFirstColumn="0" w:lastRowLastColumn="0"/>
            <w:tcW w:w="562" w:type="dxa"/>
          </w:tcPr>
          <w:p w14:paraId="1A77B62C" w14:textId="77777777" w:rsidR="0066789E" w:rsidRPr="00F16251" w:rsidRDefault="0066789E" w:rsidP="00A26C26">
            <w:pPr>
              <w:spacing w:line="276" w:lineRule="auto"/>
              <w:jc w:val="both"/>
              <w:rPr>
                <w:rFonts w:eastAsia="Calibri" w:cstheme="minorHAnsi"/>
              </w:rPr>
            </w:pPr>
            <w:r w:rsidRPr="00F16251">
              <w:rPr>
                <w:rFonts w:eastAsia="Calibri" w:cstheme="minorHAnsi"/>
              </w:rPr>
              <w:t>Lp.</w:t>
            </w:r>
          </w:p>
        </w:tc>
        <w:tc>
          <w:tcPr>
            <w:tcW w:w="1418" w:type="dxa"/>
          </w:tcPr>
          <w:p w14:paraId="7D947DB0" w14:textId="77777777" w:rsidR="0066789E" w:rsidRPr="00F16251" w:rsidRDefault="0066789E" w:rsidP="00A26C26">
            <w:pPr>
              <w:spacing w:line="276" w:lineRule="auto"/>
              <w:jc w:val="both"/>
              <w:cnfStyle w:val="100000000000" w:firstRow="1" w:lastRow="0" w:firstColumn="0" w:lastColumn="0" w:oddVBand="0" w:evenVBand="0" w:oddHBand="0" w:evenHBand="0" w:firstRowFirstColumn="0" w:firstRowLastColumn="0" w:lastRowFirstColumn="0" w:lastRowLastColumn="0"/>
              <w:rPr>
                <w:rFonts w:eastAsia="Calibri" w:cstheme="minorHAnsi"/>
              </w:rPr>
            </w:pPr>
            <w:r w:rsidRPr="00F16251">
              <w:rPr>
                <w:rFonts w:eastAsia="Calibri" w:cstheme="minorHAnsi"/>
              </w:rPr>
              <w:t>Gmina</w:t>
            </w:r>
          </w:p>
        </w:tc>
        <w:tc>
          <w:tcPr>
            <w:tcW w:w="1417" w:type="dxa"/>
          </w:tcPr>
          <w:p w14:paraId="44A6C29F" w14:textId="1442C504" w:rsidR="0066789E" w:rsidRPr="00F16251" w:rsidRDefault="0066789E" w:rsidP="00A26C26">
            <w:pPr>
              <w:spacing w:line="276" w:lineRule="auto"/>
              <w:jc w:val="both"/>
              <w:cnfStyle w:val="100000000000" w:firstRow="1" w:lastRow="0" w:firstColumn="0" w:lastColumn="0" w:oddVBand="0" w:evenVBand="0" w:oddHBand="0" w:evenHBand="0" w:firstRowFirstColumn="0" w:firstRowLastColumn="0" w:lastRowFirstColumn="0" w:lastRowLastColumn="0"/>
              <w:rPr>
                <w:rFonts w:eastAsia="Calibri" w:cstheme="minorHAnsi"/>
              </w:rPr>
            </w:pPr>
            <w:r w:rsidRPr="00F16251">
              <w:rPr>
                <w:rFonts w:eastAsia="Calibri" w:cstheme="minorHAnsi"/>
              </w:rPr>
              <w:t>Data</w:t>
            </w:r>
            <w:r w:rsidR="003B50ED" w:rsidRPr="00F16251">
              <w:rPr>
                <w:rFonts w:eastAsia="Calibri" w:cstheme="minorHAnsi"/>
              </w:rPr>
              <w:t xml:space="preserve"> </w:t>
            </w:r>
          </w:p>
        </w:tc>
        <w:tc>
          <w:tcPr>
            <w:tcW w:w="1418" w:type="dxa"/>
          </w:tcPr>
          <w:p w14:paraId="4C852700" w14:textId="19610BA9" w:rsidR="0066789E" w:rsidRPr="00F16251" w:rsidRDefault="0066789E" w:rsidP="00A26C26">
            <w:pPr>
              <w:spacing w:line="276" w:lineRule="auto"/>
              <w:jc w:val="both"/>
              <w:cnfStyle w:val="100000000000" w:firstRow="1" w:lastRow="0" w:firstColumn="0" w:lastColumn="0" w:oddVBand="0" w:evenVBand="0" w:oddHBand="0" w:evenHBand="0" w:firstRowFirstColumn="0" w:firstRowLastColumn="0" w:lastRowFirstColumn="0" w:lastRowLastColumn="0"/>
              <w:rPr>
                <w:rFonts w:eastAsia="Calibri" w:cstheme="minorHAnsi"/>
              </w:rPr>
            </w:pPr>
            <w:r w:rsidRPr="00F16251">
              <w:rPr>
                <w:rFonts w:eastAsia="Calibri" w:cstheme="minorHAnsi"/>
              </w:rPr>
              <w:t>Liczba</w:t>
            </w:r>
            <w:r w:rsidR="003B50ED" w:rsidRPr="00F16251">
              <w:rPr>
                <w:rFonts w:eastAsia="Calibri" w:cstheme="minorHAnsi"/>
              </w:rPr>
              <w:t xml:space="preserve"> </w:t>
            </w:r>
            <w:r w:rsidRPr="00F16251">
              <w:rPr>
                <w:rFonts w:eastAsia="Calibri" w:cstheme="minorHAnsi"/>
              </w:rPr>
              <w:t>uczestników</w:t>
            </w:r>
          </w:p>
        </w:tc>
        <w:tc>
          <w:tcPr>
            <w:tcW w:w="3685" w:type="dxa"/>
          </w:tcPr>
          <w:p w14:paraId="61830884" w14:textId="63333931" w:rsidR="0066789E" w:rsidRPr="00F16251" w:rsidRDefault="0066789E" w:rsidP="00A26C26">
            <w:pPr>
              <w:spacing w:line="276" w:lineRule="auto"/>
              <w:jc w:val="both"/>
              <w:cnfStyle w:val="100000000000" w:firstRow="1" w:lastRow="0" w:firstColumn="0" w:lastColumn="0" w:oddVBand="0" w:evenVBand="0" w:oddHBand="0" w:evenHBand="0" w:firstRowFirstColumn="0" w:firstRowLastColumn="0" w:lastRowFirstColumn="0" w:lastRowLastColumn="0"/>
              <w:rPr>
                <w:rFonts w:eastAsia="Calibri" w:cstheme="minorHAnsi"/>
              </w:rPr>
            </w:pPr>
            <w:r w:rsidRPr="00F16251">
              <w:rPr>
                <w:rFonts w:cstheme="minorHAnsi"/>
              </w:rPr>
              <w:t>Grupa</w:t>
            </w:r>
            <w:r w:rsidR="003B50ED" w:rsidRPr="00F16251">
              <w:rPr>
                <w:rFonts w:cstheme="minorHAnsi"/>
              </w:rPr>
              <w:t xml:space="preserve"> </w:t>
            </w:r>
            <w:r w:rsidRPr="00F16251">
              <w:rPr>
                <w:rFonts w:cstheme="minorHAnsi"/>
              </w:rPr>
              <w:t>docelowa</w:t>
            </w:r>
          </w:p>
        </w:tc>
        <w:tc>
          <w:tcPr>
            <w:tcW w:w="1701" w:type="dxa"/>
          </w:tcPr>
          <w:p w14:paraId="4049F9A0" w14:textId="160AE5C9" w:rsidR="0066789E" w:rsidRPr="00F16251" w:rsidRDefault="0066789E" w:rsidP="00A26C26">
            <w:pPr>
              <w:spacing w:line="276" w:lineRule="auto"/>
              <w:jc w:val="both"/>
              <w:cnfStyle w:val="100000000000" w:firstRow="1" w:lastRow="0" w:firstColumn="0" w:lastColumn="0" w:oddVBand="0" w:evenVBand="0" w:oddHBand="0" w:evenHBand="0" w:firstRowFirstColumn="0" w:firstRowLastColumn="0" w:lastRowFirstColumn="0" w:lastRowLastColumn="0"/>
              <w:rPr>
                <w:rFonts w:eastAsia="Calibri" w:cstheme="minorHAnsi"/>
              </w:rPr>
            </w:pPr>
            <w:r w:rsidRPr="00F16251">
              <w:rPr>
                <w:rFonts w:cstheme="minorHAnsi"/>
              </w:rPr>
              <w:t>Dokument</w:t>
            </w:r>
            <w:r w:rsidR="003B50ED" w:rsidRPr="00F16251">
              <w:rPr>
                <w:rFonts w:cstheme="minorHAnsi"/>
              </w:rPr>
              <w:t xml:space="preserve"> </w:t>
            </w:r>
            <w:r w:rsidRPr="00F16251">
              <w:rPr>
                <w:rFonts w:cstheme="minorHAnsi"/>
              </w:rPr>
              <w:t>potwierdzający</w:t>
            </w:r>
            <w:r w:rsidR="003B50ED" w:rsidRPr="00F16251">
              <w:rPr>
                <w:rFonts w:cstheme="minorHAnsi"/>
              </w:rPr>
              <w:t xml:space="preserve"> </w:t>
            </w:r>
          </w:p>
        </w:tc>
      </w:tr>
      <w:tr w:rsidR="001C5423" w:rsidRPr="00F16251" w14:paraId="475D050D" w14:textId="70FA4DC2" w:rsidTr="00E625D8">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562" w:type="dxa"/>
          </w:tcPr>
          <w:p w14:paraId="545007A9" w14:textId="77777777" w:rsidR="001C5423" w:rsidRPr="00F16251" w:rsidRDefault="001C5423" w:rsidP="00A26C26">
            <w:pPr>
              <w:spacing w:line="276" w:lineRule="auto"/>
              <w:jc w:val="both"/>
              <w:rPr>
                <w:rFonts w:eastAsia="Calibri" w:cstheme="minorHAnsi"/>
              </w:rPr>
            </w:pPr>
            <w:r w:rsidRPr="00F16251">
              <w:rPr>
                <w:rFonts w:eastAsia="Calibri" w:cstheme="minorHAnsi"/>
              </w:rPr>
              <w:t>1</w:t>
            </w:r>
          </w:p>
        </w:tc>
        <w:tc>
          <w:tcPr>
            <w:tcW w:w="1418" w:type="dxa"/>
          </w:tcPr>
          <w:p w14:paraId="1D42CFFD" w14:textId="77777777" w:rsidR="001C5423" w:rsidRPr="00F16251" w:rsidRDefault="001C5423" w:rsidP="00A26C26">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rPr>
            </w:pPr>
            <w:r w:rsidRPr="00F16251">
              <w:rPr>
                <w:rFonts w:eastAsia="Calibri" w:cstheme="minorHAnsi"/>
              </w:rPr>
              <w:t>Golina</w:t>
            </w:r>
          </w:p>
        </w:tc>
        <w:tc>
          <w:tcPr>
            <w:tcW w:w="1417" w:type="dxa"/>
          </w:tcPr>
          <w:p w14:paraId="2731DE79" w14:textId="088A5B8C" w:rsidR="001C5423" w:rsidRPr="00F16251" w:rsidRDefault="001C5423" w:rsidP="00A26C26">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rPr>
            </w:pPr>
            <w:r w:rsidRPr="00F16251">
              <w:rPr>
                <w:rFonts w:eastAsia="Calibri" w:cstheme="minorHAnsi"/>
              </w:rPr>
              <w:t>28.07.2022 r.</w:t>
            </w:r>
          </w:p>
        </w:tc>
        <w:tc>
          <w:tcPr>
            <w:tcW w:w="1418" w:type="dxa"/>
          </w:tcPr>
          <w:p w14:paraId="3F309F53" w14:textId="77777777" w:rsidR="001C5423" w:rsidRPr="00F16251" w:rsidRDefault="001C5423" w:rsidP="00E625D8">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r w:rsidRPr="00F16251">
              <w:rPr>
                <w:rFonts w:eastAsia="Calibri" w:cstheme="minorHAnsi"/>
              </w:rPr>
              <w:t>10</w:t>
            </w:r>
          </w:p>
        </w:tc>
        <w:tc>
          <w:tcPr>
            <w:tcW w:w="3685" w:type="dxa"/>
            <w:vMerge w:val="restart"/>
            <w:vAlign w:val="center"/>
          </w:tcPr>
          <w:p w14:paraId="13A6778F" w14:textId="0B9A1E90" w:rsidR="001C5423" w:rsidRPr="00F16251" w:rsidRDefault="001C5423" w:rsidP="00E625D8">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r w:rsidRPr="00F16251">
              <w:rPr>
                <w:rFonts w:cstheme="minorHAnsi"/>
              </w:rPr>
              <w:t xml:space="preserve">Osoby młode (do 25 r.ż.), seniorzy </w:t>
            </w:r>
            <w:r w:rsidRPr="00F16251">
              <w:rPr>
                <w:rFonts w:cstheme="minorHAnsi"/>
              </w:rPr>
              <w:br/>
              <w:t>(pow. 60 r.ż.), osoby w niekorzystnej sytuacji, przedsiębiorcy, mieszkańcy, JSFP, org. pozarządowe</w:t>
            </w:r>
          </w:p>
        </w:tc>
        <w:tc>
          <w:tcPr>
            <w:tcW w:w="1701" w:type="dxa"/>
            <w:vMerge w:val="restart"/>
            <w:vAlign w:val="center"/>
          </w:tcPr>
          <w:p w14:paraId="4D85F520" w14:textId="7D1CE682" w:rsidR="001C5423" w:rsidRPr="00F16251" w:rsidRDefault="001C5423" w:rsidP="00E625D8">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r w:rsidRPr="00F16251">
              <w:rPr>
                <w:rFonts w:eastAsia="Calibri" w:cstheme="minorHAnsi"/>
              </w:rPr>
              <w:t>Lista obecności</w:t>
            </w:r>
          </w:p>
        </w:tc>
      </w:tr>
      <w:tr w:rsidR="001C5423" w:rsidRPr="00F16251" w14:paraId="1C57D013" w14:textId="2719AAF6" w:rsidTr="00E625D8">
        <w:trPr>
          <w:trHeight w:val="249"/>
        </w:trPr>
        <w:tc>
          <w:tcPr>
            <w:cnfStyle w:val="001000000000" w:firstRow="0" w:lastRow="0" w:firstColumn="1" w:lastColumn="0" w:oddVBand="0" w:evenVBand="0" w:oddHBand="0" w:evenHBand="0" w:firstRowFirstColumn="0" w:firstRowLastColumn="0" w:lastRowFirstColumn="0" w:lastRowLastColumn="0"/>
            <w:tcW w:w="562" w:type="dxa"/>
          </w:tcPr>
          <w:p w14:paraId="56978BA7" w14:textId="77777777" w:rsidR="001C5423" w:rsidRPr="00F16251" w:rsidRDefault="001C5423" w:rsidP="00A26C26">
            <w:pPr>
              <w:spacing w:line="276" w:lineRule="auto"/>
              <w:jc w:val="both"/>
              <w:rPr>
                <w:rFonts w:eastAsia="Calibri" w:cstheme="minorHAnsi"/>
              </w:rPr>
            </w:pPr>
            <w:r w:rsidRPr="00F16251">
              <w:rPr>
                <w:rFonts w:eastAsia="Calibri" w:cstheme="minorHAnsi"/>
              </w:rPr>
              <w:t>2</w:t>
            </w:r>
          </w:p>
        </w:tc>
        <w:tc>
          <w:tcPr>
            <w:tcW w:w="1418" w:type="dxa"/>
          </w:tcPr>
          <w:p w14:paraId="0ED56DE6" w14:textId="77777777" w:rsidR="001C5423" w:rsidRPr="00F16251" w:rsidRDefault="001C5423" w:rsidP="00A26C26">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F16251">
              <w:rPr>
                <w:rFonts w:eastAsia="Calibri" w:cstheme="minorHAnsi"/>
              </w:rPr>
              <w:t>Grodziec</w:t>
            </w:r>
          </w:p>
        </w:tc>
        <w:tc>
          <w:tcPr>
            <w:tcW w:w="1417" w:type="dxa"/>
          </w:tcPr>
          <w:p w14:paraId="2CE5B712" w14:textId="098A80CD" w:rsidR="001C5423" w:rsidRPr="00F16251" w:rsidRDefault="001C5423" w:rsidP="00A26C26">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F16251">
              <w:rPr>
                <w:rFonts w:eastAsia="Calibri" w:cstheme="minorHAnsi"/>
              </w:rPr>
              <w:t>29.07.2022 r.</w:t>
            </w:r>
          </w:p>
        </w:tc>
        <w:tc>
          <w:tcPr>
            <w:tcW w:w="1418" w:type="dxa"/>
          </w:tcPr>
          <w:p w14:paraId="03ACEEF5" w14:textId="47FB1584" w:rsidR="001C5423" w:rsidRPr="00F16251" w:rsidRDefault="00153FDC" w:rsidP="00E625D8">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Pr>
                <w:rFonts w:eastAsia="Calibri" w:cstheme="minorHAnsi"/>
              </w:rPr>
              <w:t xml:space="preserve">  </w:t>
            </w:r>
            <w:r w:rsidR="001C5423" w:rsidRPr="00F16251">
              <w:rPr>
                <w:rFonts w:eastAsia="Calibri" w:cstheme="minorHAnsi"/>
              </w:rPr>
              <w:t>7</w:t>
            </w:r>
          </w:p>
        </w:tc>
        <w:tc>
          <w:tcPr>
            <w:tcW w:w="3685" w:type="dxa"/>
            <w:vMerge/>
          </w:tcPr>
          <w:p w14:paraId="23C99557" w14:textId="4119D0ED" w:rsidR="001C5423" w:rsidRPr="00F16251" w:rsidRDefault="001C5423" w:rsidP="00E625D8">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p>
        </w:tc>
        <w:tc>
          <w:tcPr>
            <w:tcW w:w="1701" w:type="dxa"/>
            <w:vMerge/>
          </w:tcPr>
          <w:p w14:paraId="1EC06D25" w14:textId="2BFD4FBB" w:rsidR="001C5423" w:rsidRPr="00F16251" w:rsidRDefault="001C5423" w:rsidP="00E625D8">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p>
        </w:tc>
      </w:tr>
      <w:tr w:rsidR="001C5423" w:rsidRPr="00F16251" w14:paraId="5F3CB226" w14:textId="5727ECBF" w:rsidTr="00E625D8">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562" w:type="dxa"/>
          </w:tcPr>
          <w:p w14:paraId="6FD61CAD" w14:textId="77777777" w:rsidR="001C5423" w:rsidRPr="00F16251" w:rsidRDefault="001C5423" w:rsidP="00A26C26">
            <w:pPr>
              <w:spacing w:line="276" w:lineRule="auto"/>
              <w:jc w:val="both"/>
              <w:rPr>
                <w:rFonts w:eastAsia="Calibri" w:cstheme="minorHAnsi"/>
              </w:rPr>
            </w:pPr>
            <w:r w:rsidRPr="00F16251">
              <w:rPr>
                <w:rFonts w:eastAsia="Calibri" w:cstheme="minorHAnsi"/>
              </w:rPr>
              <w:t>3</w:t>
            </w:r>
          </w:p>
        </w:tc>
        <w:tc>
          <w:tcPr>
            <w:tcW w:w="1418" w:type="dxa"/>
          </w:tcPr>
          <w:p w14:paraId="04170666" w14:textId="77777777" w:rsidR="001C5423" w:rsidRPr="00F16251" w:rsidRDefault="001C5423" w:rsidP="00A26C26">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rPr>
            </w:pPr>
            <w:r w:rsidRPr="00F16251">
              <w:rPr>
                <w:rFonts w:eastAsia="Calibri" w:cstheme="minorHAnsi"/>
              </w:rPr>
              <w:t>Rychwał</w:t>
            </w:r>
          </w:p>
        </w:tc>
        <w:tc>
          <w:tcPr>
            <w:tcW w:w="1417" w:type="dxa"/>
          </w:tcPr>
          <w:p w14:paraId="025D19C0" w14:textId="769F25A8" w:rsidR="001C5423" w:rsidRPr="00F16251" w:rsidRDefault="001C5423" w:rsidP="00A26C26">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rPr>
            </w:pPr>
            <w:r w:rsidRPr="00F16251">
              <w:rPr>
                <w:rFonts w:eastAsia="Calibri" w:cstheme="minorHAnsi"/>
              </w:rPr>
              <w:t>02.08.2022 r.</w:t>
            </w:r>
          </w:p>
        </w:tc>
        <w:tc>
          <w:tcPr>
            <w:tcW w:w="1418" w:type="dxa"/>
          </w:tcPr>
          <w:p w14:paraId="48B1920C" w14:textId="77777777" w:rsidR="001C5423" w:rsidRPr="00F16251" w:rsidRDefault="001C5423" w:rsidP="00E625D8">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r w:rsidRPr="00F16251">
              <w:rPr>
                <w:rFonts w:eastAsia="Calibri" w:cstheme="minorHAnsi"/>
              </w:rPr>
              <w:t>18</w:t>
            </w:r>
          </w:p>
        </w:tc>
        <w:tc>
          <w:tcPr>
            <w:tcW w:w="3685" w:type="dxa"/>
            <w:vMerge/>
          </w:tcPr>
          <w:p w14:paraId="60D4EE39" w14:textId="50C91D98" w:rsidR="001C5423" w:rsidRPr="00F16251" w:rsidRDefault="001C5423" w:rsidP="00E625D8">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1701" w:type="dxa"/>
            <w:vMerge/>
          </w:tcPr>
          <w:p w14:paraId="31B24017" w14:textId="2FE88729" w:rsidR="001C5423" w:rsidRPr="00F16251" w:rsidRDefault="001C5423" w:rsidP="00E625D8">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1C5423" w:rsidRPr="00F16251" w14:paraId="1CDF9A12" w14:textId="1E5190FE" w:rsidTr="00E625D8">
        <w:trPr>
          <w:trHeight w:val="249"/>
        </w:trPr>
        <w:tc>
          <w:tcPr>
            <w:cnfStyle w:val="001000000000" w:firstRow="0" w:lastRow="0" w:firstColumn="1" w:lastColumn="0" w:oddVBand="0" w:evenVBand="0" w:oddHBand="0" w:evenHBand="0" w:firstRowFirstColumn="0" w:firstRowLastColumn="0" w:lastRowFirstColumn="0" w:lastRowLastColumn="0"/>
            <w:tcW w:w="562" w:type="dxa"/>
          </w:tcPr>
          <w:p w14:paraId="368B39D7" w14:textId="77777777" w:rsidR="001C5423" w:rsidRPr="00F16251" w:rsidRDefault="001C5423" w:rsidP="00A26C26">
            <w:pPr>
              <w:spacing w:line="276" w:lineRule="auto"/>
              <w:jc w:val="both"/>
              <w:rPr>
                <w:rFonts w:eastAsia="Calibri" w:cstheme="minorHAnsi"/>
              </w:rPr>
            </w:pPr>
            <w:r w:rsidRPr="00F16251">
              <w:rPr>
                <w:rFonts w:eastAsia="Calibri" w:cstheme="minorHAnsi"/>
              </w:rPr>
              <w:t>4</w:t>
            </w:r>
          </w:p>
        </w:tc>
        <w:tc>
          <w:tcPr>
            <w:tcW w:w="1418" w:type="dxa"/>
          </w:tcPr>
          <w:p w14:paraId="1636C560" w14:textId="77777777" w:rsidR="001C5423" w:rsidRPr="00F16251" w:rsidRDefault="001C5423" w:rsidP="00A26C26">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F16251">
              <w:rPr>
                <w:rFonts w:eastAsia="Calibri" w:cstheme="minorHAnsi"/>
              </w:rPr>
              <w:t>Rzgów</w:t>
            </w:r>
          </w:p>
        </w:tc>
        <w:tc>
          <w:tcPr>
            <w:tcW w:w="1417" w:type="dxa"/>
          </w:tcPr>
          <w:p w14:paraId="4E3EA64D" w14:textId="53B2D29B" w:rsidR="001C5423" w:rsidRPr="00F16251" w:rsidRDefault="001C5423" w:rsidP="00A26C26">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F16251">
              <w:rPr>
                <w:rFonts w:eastAsia="Calibri" w:cstheme="minorHAnsi"/>
              </w:rPr>
              <w:t>04.08.2022 r.</w:t>
            </w:r>
          </w:p>
        </w:tc>
        <w:tc>
          <w:tcPr>
            <w:tcW w:w="1418" w:type="dxa"/>
          </w:tcPr>
          <w:p w14:paraId="547EBB2D" w14:textId="77777777" w:rsidR="001C5423" w:rsidRPr="00F16251" w:rsidRDefault="001C5423" w:rsidP="00E625D8">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sidRPr="00F16251">
              <w:rPr>
                <w:rFonts w:eastAsia="Calibri" w:cstheme="minorHAnsi"/>
              </w:rPr>
              <w:t>14</w:t>
            </w:r>
          </w:p>
        </w:tc>
        <w:tc>
          <w:tcPr>
            <w:tcW w:w="3685" w:type="dxa"/>
            <w:vMerge/>
          </w:tcPr>
          <w:p w14:paraId="70BD03D1" w14:textId="0AA0B52F" w:rsidR="001C5423" w:rsidRPr="00F16251" w:rsidRDefault="001C5423" w:rsidP="00E625D8">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p>
        </w:tc>
        <w:tc>
          <w:tcPr>
            <w:tcW w:w="1701" w:type="dxa"/>
            <w:vMerge/>
          </w:tcPr>
          <w:p w14:paraId="3A34238F" w14:textId="0695FBA7" w:rsidR="001C5423" w:rsidRPr="00F16251" w:rsidRDefault="001C5423" w:rsidP="00E625D8">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p>
        </w:tc>
      </w:tr>
      <w:tr w:rsidR="001C5423" w:rsidRPr="00F16251" w14:paraId="16DD38F1" w14:textId="7D450321" w:rsidTr="00E625D8">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562" w:type="dxa"/>
          </w:tcPr>
          <w:p w14:paraId="49266D85" w14:textId="77777777" w:rsidR="001C5423" w:rsidRPr="00F16251" w:rsidRDefault="001C5423" w:rsidP="00A26C26">
            <w:pPr>
              <w:spacing w:line="276" w:lineRule="auto"/>
              <w:jc w:val="both"/>
              <w:rPr>
                <w:rFonts w:eastAsia="Calibri" w:cstheme="minorHAnsi"/>
              </w:rPr>
            </w:pPr>
            <w:r w:rsidRPr="00F16251">
              <w:rPr>
                <w:rFonts w:eastAsia="Calibri" w:cstheme="minorHAnsi"/>
              </w:rPr>
              <w:t>5</w:t>
            </w:r>
          </w:p>
        </w:tc>
        <w:tc>
          <w:tcPr>
            <w:tcW w:w="1418" w:type="dxa"/>
          </w:tcPr>
          <w:p w14:paraId="62445E02" w14:textId="6F81FD4D" w:rsidR="001C5423" w:rsidRPr="00F16251" w:rsidRDefault="001C5423" w:rsidP="00A26C26">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rPr>
            </w:pPr>
            <w:r w:rsidRPr="00F16251">
              <w:rPr>
                <w:rFonts w:eastAsia="Calibri" w:cstheme="minorHAnsi"/>
              </w:rPr>
              <w:t>Stare Miasto</w:t>
            </w:r>
          </w:p>
        </w:tc>
        <w:tc>
          <w:tcPr>
            <w:tcW w:w="1417" w:type="dxa"/>
          </w:tcPr>
          <w:p w14:paraId="73D752A2" w14:textId="60076F05" w:rsidR="001C5423" w:rsidRPr="00F16251" w:rsidRDefault="001C5423" w:rsidP="00A26C26">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rPr>
            </w:pPr>
            <w:r w:rsidRPr="00F16251">
              <w:rPr>
                <w:rFonts w:eastAsia="Calibri" w:cstheme="minorHAnsi"/>
              </w:rPr>
              <w:t>01.08.2022 r.</w:t>
            </w:r>
          </w:p>
        </w:tc>
        <w:tc>
          <w:tcPr>
            <w:tcW w:w="1418" w:type="dxa"/>
          </w:tcPr>
          <w:p w14:paraId="2689FDE0" w14:textId="067533E3" w:rsidR="001C5423" w:rsidRPr="00F16251" w:rsidRDefault="00153FDC" w:rsidP="00E625D8">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r>
              <w:rPr>
                <w:rFonts w:eastAsia="Calibri" w:cstheme="minorHAnsi"/>
              </w:rPr>
              <w:t xml:space="preserve">  </w:t>
            </w:r>
            <w:r w:rsidR="001C5423" w:rsidRPr="00F16251">
              <w:rPr>
                <w:rFonts w:eastAsia="Calibri" w:cstheme="minorHAnsi"/>
              </w:rPr>
              <w:t>8</w:t>
            </w:r>
          </w:p>
        </w:tc>
        <w:tc>
          <w:tcPr>
            <w:tcW w:w="3685" w:type="dxa"/>
            <w:vMerge/>
          </w:tcPr>
          <w:p w14:paraId="56781C77" w14:textId="657C7635" w:rsidR="001C5423" w:rsidRPr="00F16251" w:rsidRDefault="001C5423" w:rsidP="00E625D8">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1701" w:type="dxa"/>
            <w:vMerge/>
          </w:tcPr>
          <w:p w14:paraId="5B96158D" w14:textId="42E3DB48" w:rsidR="001C5423" w:rsidRPr="00F16251" w:rsidRDefault="001C5423" w:rsidP="00E625D8">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1C5423" w:rsidRPr="00F16251" w14:paraId="55162E0D" w14:textId="27C5B923" w:rsidTr="00E625D8">
        <w:trPr>
          <w:trHeight w:val="249"/>
        </w:trPr>
        <w:tc>
          <w:tcPr>
            <w:cnfStyle w:val="001000000000" w:firstRow="0" w:lastRow="0" w:firstColumn="1" w:lastColumn="0" w:oddVBand="0" w:evenVBand="0" w:oddHBand="0" w:evenHBand="0" w:firstRowFirstColumn="0" w:firstRowLastColumn="0" w:lastRowFirstColumn="0" w:lastRowLastColumn="0"/>
            <w:tcW w:w="562" w:type="dxa"/>
          </w:tcPr>
          <w:p w14:paraId="3FDE42BA" w14:textId="77777777" w:rsidR="001C5423" w:rsidRPr="00F16251" w:rsidRDefault="001C5423" w:rsidP="00A26C26">
            <w:pPr>
              <w:spacing w:line="276" w:lineRule="auto"/>
              <w:jc w:val="both"/>
              <w:rPr>
                <w:rFonts w:eastAsia="Calibri" w:cstheme="minorHAnsi"/>
              </w:rPr>
            </w:pPr>
            <w:r w:rsidRPr="00F16251">
              <w:rPr>
                <w:rFonts w:eastAsia="Calibri" w:cstheme="minorHAnsi"/>
              </w:rPr>
              <w:t>6</w:t>
            </w:r>
          </w:p>
        </w:tc>
        <w:tc>
          <w:tcPr>
            <w:tcW w:w="1418" w:type="dxa"/>
          </w:tcPr>
          <w:p w14:paraId="4CB2B6DB" w14:textId="77777777" w:rsidR="001C5423" w:rsidRPr="00F16251" w:rsidRDefault="001C5423" w:rsidP="00A26C26">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F16251">
              <w:rPr>
                <w:rFonts w:eastAsia="Calibri" w:cstheme="minorHAnsi"/>
              </w:rPr>
              <w:t>Tuliszków</w:t>
            </w:r>
          </w:p>
        </w:tc>
        <w:tc>
          <w:tcPr>
            <w:tcW w:w="1417" w:type="dxa"/>
          </w:tcPr>
          <w:p w14:paraId="7F1DCEDD" w14:textId="30A1DC93" w:rsidR="001C5423" w:rsidRPr="00F16251" w:rsidRDefault="001C5423" w:rsidP="00A26C26">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F16251">
              <w:rPr>
                <w:rFonts w:eastAsia="Calibri" w:cstheme="minorHAnsi"/>
              </w:rPr>
              <w:t>03.08.2022 r.</w:t>
            </w:r>
          </w:p>
        </w:tc>
        <w:tc>
          <w:tcPr>
            <w:tcW w:w="1418" w:type="dxa"/>
          </w:tcPr>
          <w:p w14:paraId="3595F649" w14:textId="77777777" w:rsidR="001C5423" w:rsidRPr="00F16251" w:rsidRDefault="001C5423" w:rsidP="00E625D8">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sidRPr="00F16251">
              <w:rPr>
                <w:rFonts w:eastAsia="Calibri" w:cstheme="minorHAnsi"/>
              </w:rPr>
              <w:t>13</w:t>
            </w:r>
          </w:p>
        </w:tc>
        <w:tc>
          <w:tcPr>
            <w:tcW w:w="3685" w:type="dxa"/>
            <w:vMerge/>
          </w:tcPr>
          <w:p w14:paraId="78F52A07" w14:textId="344D2BA7" w:rsidR="001C5423" w:rsidRPr="00F16251" w:rsidRDefault="001C5423" w:rsidP="00E625D8">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p>
        </w:tc>
        <w:tc>
          <w:tcPr>
            <w:tcW w:w="1701" w:type="dxa"/>
            <w:vMerge/>
          </w:tcPr>
          <w:p w14:paraId="675C314E" w14:textId="3A603A0A" w:rsidR="001C5423" w:rsidRPr="00F16251" w:rsidRDefault="001C5423" w:rsidP="00E625D8">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p>
        </w:tc>
      </w:tr>
      <w:tr w:rsidR="00F16251" w:rsidRPr="00F16251" w14:paraId="343F1C5A" w14:textId="77777777" w:rsidTr="00E625D8">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3397" w:type="dxa"/>
            <w:gridSpan w:val="3"/>
          </w:tcPr>
          <w:p w14:paraId="68B272B3" w14:textId="63CFBAFD" w:rsidR="00F16251" w:rsidRPr="00F16251" w:rsidRDefault="00F16251" w:rsidP="00674A2D">
            <w:pPr>
              <w:spacing w:line="276" w:lineRule="auto"/>
              <w:jc w:val="right"/>
              <w:rPr>
                <w:rFonts w:eastAsia="Calibri" w:cstheme="minorHAnsi"/>
              </w:rPr>
            </w:pPr>
            <w:r w:rsidRPr="00F16251">
              <w:rPr>
                <w:rFonts w:eastAsia="Calibri" w:cstheme="minorHAnsi"/>
              </w:rPr>
              <w:t>Razem</w:t>
            </w:r>
          </w:p>
        </w:tc>
        <w:tc>
          <w:tcPr>
            <w:tcW w:w="6804" w:type="dxa"/>
            <w:gridSpan w:val="3"/>
          </w:tcPr>
          <w:p w14:paraId="4A0B72C7" w14:textId="59543127" w:rsidR="00F16251" w:rsidRPr="00F16251" w:rsidRDefault="00BD17DA" w:rsidP="00E625D8">
            <w:pPr>
              <w:spacing w:line="276"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r>
              <w:rPr>
                <w:rFonts w:eastAsia="Calibri" w:cstheme="minorHAnsi"/>
              </w:rPr>
              <w:t xml:space="preserve"> </w:t>
            </w:r>
            <w:r w:rsidR="00153FDC">
              <w:rPr>
                <w:rFonts w:eastAsia="Calibri" w:cstheme="minorHAnsi"/>
              </w:rPr>
              <w:t xml:space="preserve">         </w:t>
            </w:r>
            <w:r w:rsidR="00F16251" w:rsidRPr="00F16251">
              <w:rPr>
                <w:rFonts w:eastAsia="Calibri" w:cstheme="minorHAnsi"/>
              </w:rPr>
              <w:t>70</w:t>
            </w:r>
          </w:p>
        </w:tc>
      </w:tr>
    </w:tbl>
    <w:p w14:paraId="79A7771C" w14:textId="77777777" w:rsidR="00B520BD" w:rsidRPr="00F16251" w:rsidRDefault="00B520BD" w:rsidP="00A26C26">
      <w:pPr>
        <w:spacing w:line="276" w:lineRule="auto"/>
        <w:jc w:val="both"/>
        <w:rPr>
          <w:rFonts w:eastAsia="Calibri" w:cstheme="minorHAnsi"/>
        </w:rPr>
      </w:pPr>
    </w:p>
    <w:p w14:paraId="289167D5" w14:textId="3CB99155" w:rsidR="00B520BD" w:rsidRPr="00F16251" w:rsidRDefault="00B520BD" w:rsidP="006D43E4">
      <w:pPr>
        <w:spacing w:line="276" w:lineRule="auto"/>
        <w:ind w:firstLine="284"/>
        <w:jc w:val="both"/>
        <w:rPr>
          <w:rFonts w:eastAsia="Calibri" w:cstheme="minorHAnsi"/>
        </w:rPr>
      </w:pPr>
      <w:r w:rsidRPr="00F16251">
        <w:rPr>
          <w:rFonts w:eastAsia="Calibri" w:cstheme="minorHAnsi"/>
        </w:rPr>
        <w:t>Głównym</w:t>
      </w:r>
      <w:r w:rsidR="003B50ED" w:rsidRPr="00F16251">
        <w:rPr>
          <w:rFonts w:eastAsia="Calibri" w:cstheme="minorHAnsi"/>
        </w:rPr>
        <w:t xml:space="preserve"> </w:t>
      </w:r>
      <w:r w:rsidRPr="00F16251">
        <w:rPr>
          <w:rFonts w:eastAsia="Calibri" w:cstheme="minorHAnsi"/>
        </w:rPr>
        <w:t>celem</w:t>
      </w:r>
      <w:r w:rsidR="003B50ED" w:rsidRPr="00F16251">
        <w:rPr>
          <w:rFonts w:eastAsia="Calibri" w:cstheme="minorHAnsi"/>
        </w:rPr>
        <w:t xml:space="preserve"> </w:t>
      </w:r>
      <w:r w:rsidRPr="00F16251">
        <w:rPr>
          <w:rFonts w:eastAsia="Calibri" w:cstheme="minorHAnsi"/>
        </w:rPr>
        <w:t>tych</w:t>
      </w:r>
      <w:r w:rsidR="003B50ED" w:rsidRPr="00F16251">
        <w:rPr>
          <w:rFonts w:eastAsia="Calibri" w:cstheme="minorHAnsi"/>
        </w:rPr>
        <w:t xml:space="preserve"> </w:t>
      </w:r>
      <w:r w:rsidRPr="00F16251">
        <w:rPr>
          <w:rFonts w:eastAsia="Calibri" w:cstheme="minorHAnsi"/>
        </w:rPr>
        <w:t>spotkań</w:t>
      </w:r>
      <w:r w:rsidR="003B50ED" w:rsidRPr="00F16251">
        <w:rPr>
          <w:rFonts w:eastAsia="Calibri" w:cstheme="minorHAnsi"/>
        </w:rPr>
        <w:t xml:space="preserve"> </w:t>
      </w:r>
      <w:r w:rsidRPr="00F16251">
        <w:rPr>
          <w:rFonts w:eastAsia="Calibri" w:cstheme="minorHAnsi"/>
        </w:rPr>
        <w:t>było</w:t>
      </w:r>
      <w:r w:rsidR="003B50ED" w:rsidRPr="00F16251">
        <w:rPr>
          <w:rFonts w:eastAsia="Calibri" w:cstheme="minorHAnsi"/>
        </w:rPr>
        <w:t xml:space="preserve"> </w:t>
      </w:r>
      <w:r w:rsidRPr="00F16251">
        <w:rPr>
          <w:rFonts w:eastAsia="Calibri" w:cstheme="minorHAnsi"/>
        </w:rPr>
        <w:t>opracowanie</w:t>
      </w:r>
      <w:r w:rsidR="003B50ED" w:rsidRPr="00F16251">
        <w:rPr>
          <w:rFonts w:eastAsia="Calibri" w:cstheme="minorHAnsi"/>
        </w:rPr>
        <w:t xml:space="preserve"> </w:t>
      </w:r>
      <w:r w:rsidRPr="00F16251">
        <w:rPr>
          <w:rFonts w:eastAsia="Calibri" w:cstheme="minorHAnsi"/>
        </w:rPr>
        <w:t>podstawowych</w:t>
      </w:r>
      <w:r w:rsidR="003B50ED" w:rsidRPr="00F16251">
        <w:rPr>
          <w:rFonts w:eastAsia="Calibri" w:cstheme="minorHAnsi"/>
        </w:rPr>
        <w:t xml:space="preserve"> </w:t>
      </w:r>
      <w:r w:rsidRPr="00F16251">
        <w:rPr>
          <w:rFonts w:eastAsia="Calibri" w:cstheme="minorHAnsi"/>
        </w:rPr>
        <w:t>założeń</w:t>
      </w:r>
      <w:r w:rsidR="003B50ED" w:rsidRPr="00F16251">
        <w:rPr>
          <w:rFonts w:eastAsia="Calibri" w:cstheme="minorHAnsi"/>
        </w:rPr>
        <w:t xml:space="preserve"> </w:t>
      </w:r>
      <w:r w:rsidRPr="00F16251">
        <w:rPr>
          <w:rFonts w:eastAsia="Calibri" w:cstheme="minorHAnsi"/>
        </w:rPr>
        <w:t>do</w:t>
      </w:r>
      <w:r w:rsidR="003B50ED" w:rsidRPr="00F16251">
        <w:rPr>
          <w:rFonts w:eastAsia="Calibri" w:cstheme="minorHAnsi"/>
        </w:rPr>
        <w:t xml:space="preserve"> </w:t>
      </w:r>
      <w:r w:rsidRPr="00F16251">
        <w:rPr>
          <w:rFonts w:eastAsia="Calibri" w:cstheme="minorHAnsi"/>
        </w:rPr>
        <w:t>przyszłej</w:t>
      </w:r>
      <w:r w:rsidR="003B50ED" w:rsidRPr="00F16251">
        <w:rPr>
          <w:rFonts w:eastAsia="Calibri" w:cstheme="minorHAnsi"/>
        </w:rPr>
        <w:t xml:space="preserve"> </w:t>
      </w:r>
      <w:r w:rsidRPr="00F16251">
        <w:rPr>
          <w:rFonts w:eastAsia="Calibri" w:cstheme="minorHAnsi"/>
        </w:rPr>
        <w:t>analizy</w:t>
      </w:r>
      <w:r w:rsidR="003B50ED" w:rsidRPr="00F16251">
        <w:rPr>
          <w:rFonts w:eastAsia="Calibri" w:cstheme="minorHAnsi"/>
        </w:rPr>
        <w:t xml:space="preserve"> </w:t>
      </w:r>
      <w:r w:rsidRPr="00F16251">
        <w:rPr>
          <w:rFonts w:eastAsia="Calibri" w:cstheme="minorHAnsi"/>
        </w:rPr>
        <w:t>SWOT</w:t>
      </w:r>
      <w:r w:rsidR="003B50ED" w:rsidRPr="00F16251">
        <w:rPr>
          <w:rFonts w:eastAsia="Calibri" w:cstheme="minorHAnsi"/>
        </w:rPr>
        <w:t xml:space="preserve"> </w:t>
      </w:r>
      <w:r w:rsidRPr="00F16251">
        <w:rPr>
          <w:rFonts w:eastAsia="Calibri" w:cstheme="minorHAnsi"/>
        </w:rPr>
        <w:t>oraz</w:t>
      </w:r>
      <w:r w:rsidR="003B50ED" w:rsidRPr="00F16251">
        <w:rPr>
          <w:rFonts w:eastAsia="Calibri" w:cstheme="minorHAnsi"/>
        </w:rPr>
        <w:t xml:space="preserve"> </w:t>
      </w:r>
      <w:r w:rsidRPr="00F16251">
        <w:rPr>
          <w:rFonts w:eastAsia="Calibri" w:cstheme="minorHAnsi"/>
        </w:rPr>
        <w:t>celów,</w:t>
      </w:r>
      <w:r w:rsidR="003B50ED" w:rsidRPr="00F16251">
        <w:rPr>
          <w:rFonts w:eastAsia="Calibri" w:cstheme="minorHAnsi"/>
        </w:rPr>
        <w:t xml:space="preserve"> </w:t>
      </w:r>
      <w:r w:rsidRPr="00F16251">
        <w:rPr>
          <w:rFonts w:eastAsia="Calibri" w:cstheme="minorHAnsi"/>
        </w:rPr>
        <w:t>wskaźników</w:t>
      </w:r>
      <w:r w:rsidR="003B50ED" w:rsidRPr="00F16251">
        <w:rPr>
          <w:rFonts w:eastAsia="Calibri" w:cstheme="minorHAnsi"/>
        </w:rPr>
        <w:t xml:space="preserve"> </w:t>
      </w:r>
      <w:r w:rsidRPr="00F16251">
        <w:rPr>
          <w:rFonts w:eastAsia="Calibri" w:cstheme="minorHAnsi"/>
        </w:rPr>
        <w:t>i</w:t>
      </w:r>
      <w:r w:rsidR="003B50ED" w:rsidRPr="00F16251">
        <w:rPr>
          <w:rFonts w:eastAsia="Calibri" w:cstheme="minorHAnsi"/>
        </w:rPr>
        <w:t xml:space="preserve"> </w:t>
      </w:r>
      <w:r w:rsidRPr="00F16251">
        <w:rPr>
          <w:rFonts w:eastAsia="Calibri" w:cstheme="minorHAnsi"/>
        </w:rPr>
        <w:t>planu</w:t>
      </w:r>
      <w:r w:rsidR="003B50ED" w:rsidRPr="00F16251">
        <w:rPr>
          <w:rFonts w:eastAsia="Calibri" w:cstheme="minorHAnsi"/>
        </w:rPr>
        <w:t xml:space="preserve"> </w:t>
      </w:r>
      <w:r w:rsidRPr="00F16251">
        <w:rPr>
          <w:rFonts w:eastAsia="Calibri" w:cstheme="minorHAnsi"/>
        </w:rPr>
        <w:t>działania</w:t>
      </w:r>
      <w:r w:rsidR="003B50ED" w:rsidRPr="00F16251">
        <w:rPr>
          <w:rFonts w:eastAsia="Calibri" w:cstheme="minorHAnsi"/>
        </w:rPr>
        <w:t xml:space="preserve"> </w:t>
      </w:r>
      <w:r w:rsidRPr="00F16251">
        <w:rPr>
          <w:rFonts w:eastAsia="Calibri" w:cstheme="minorHAnsi"/>
        </w:rPr>
        <w:t>adekwatnych</w:t>
      </w:r>
      <w:r w:rsidR="003B50ED" w:rsidRPr="00F16251">
        <w:rPr>
          <w:rFonts w:eastAsia="Calibri" w:cstheme="minorHAnsi"/>
        </w:rPr>
        <w:t xml:space="preserve"> </w:t>
      </w:r>
      <w:r w:rsidRPr="00F16251">
        <w:rPr>
          <w:rFonts w:eastAsia="Calibri" w:cstheme="minorHAnsi"/>
        </w:rPr>
        <w:t>do</w:t>
      </w:r>
      <w:r w:rsidR="003B50ED" w:rsidRPr="00F16251">
        <w:rPr>
          <w:rFonts w:eastAsia="Calibri" w:cstheme="minorHAnsi"/>
        </w:rPr>
        <w:t xml:space="preserve"> </w:t>
      </w:r>
      <w:r w:rsidRPr="00F16251">
        <w:rPr>
          <w:rFonts w:eastAsia="Calibri" w:cstheme="minorHAnsi"/>
        </w:rPr>
        <w:t>zdiagnozowanych</w:t>
      </w:r>
      <w:r w:rsidR="003B50ED" w:rsidRPr="00F16251">
        <w:rPr>
          <w:rFonts w:eastAsia="Calibri" w:cstheme="minorHAnsi"/>
        </w:rPr>
        <w:t xml:space="preserve"> </w:t>
      </w:r>
      <w:r w:rsidRPr="00F16251">
        <w:rPr>
          <w:rFonts w:eastAsia="Calibri" w:cstheme="minorHAnsi"/>
        </w:rPr>
        <w:t>wyzwań.</w:t>
      </w:r>
      <w:r w:rsidR="003B50ED" w:rsidRPr="00F16251">
        <w:rPr>
          <w:rFonts w:eastAsia="Calibri" w:cstheme="minorHAnsi"/>
        </w:rPr>
        <w:t xml:space="preserve"> </w:t>
      </w:r>
      <w:r w:rsidRPr="00F16251">
        <w:rPr>
          <w:rFonts w:eastAsia="Calibri" w:cstheme="minorHAnsi"/>
        </w:rPr>
        <w:t>Uzyskano</w:t>
      </w:r>
      <w:r w:rsidR="003B50ED" w:rsidRPr="00F16251">
        <w:rPr>
          <w:rFonts w:eastAsia="Calibri" w:cstheme="minorHAnsi"/>
        </w:rPr>
        <w:t xml:space="preserve"> </w:t>
      </w:r>
      <w:r w:rsidRPr="00F16251">
        <w:rPr>
          <w:rFonts w:eastAsia="Calibri" w:cstheme="minorHAnsi"/>
        </w:rPr>
        <w:t>także</w:t>
      </w:r>
      <w:r w:rsidR="003B50ED" w:rsidRPr="00F16251">
        <w:rPr>
          <w:rFonts w:eastAsia="Calibri" w:cstheme="minorHAnsi"/>
        </w:rPr>
        <w:t xml:space="preserve"> </w:t>
      </w:r>
      <w:r w:rsidRPr="00F16251">
        <w:rPr>
          <w:rFonts w:eastAsia="Calibri" w:cstheme="minorHAnsi"/>
        </w:rPr>
        <w:t>informacje</w:t>
      </w:r>
      <w:r w:rsidR="003B50ED" w:rsidRPr="00F16251">
        <w:rPr>
          <w:rFonts w:eastAsia="Calibri" w:cstheme="minorHAnsi"/>
        </w:rPr>
        <w:t xml:space="preserve"> </w:t>
      </w:r>
      <w:r w:rsidRPr="00F16251">
        <w:rPr>
          <w:rFonts w:eastAsia="Calibri" w:cstheme="minorHAnsi"/>
        </w:rPr>
        <w:t>dotyczące</w:t>
      </w:r>
      <w:r w:rsidR="003B50ED" w:rsidRPr="00F16251">
        <w:rPr>
          <w:rFonts w:eastAsia="Calibri" w:cstheme="minorHAnsi"/>
        </w:rPr>
        <w:t xml:space="preserve"> </w:t>
      </w:r>
      <w:r w:rsidRPr="00F16251">
        <w:rPr>
          <w:rFonts w:eastAsia="Calibri" w:cstheme="minorHAnsi"/>
        </w:rPr>
        <w:t>preferowanych</w:t>
      </w:r>
      <w:r w:rsidR="003B50ED" w:rsidRPr="00F16251">
        <w:rPr>
          <w:rFonts w:eastAsia="Calibri" w:cstheme="minorHAnsi"/>
        </w:rPr>
        <w:t xml:space="preserve"> </w:t>
      </w:r>
      <w:r w:rsidRPr="00F16251">
        <w:rPr>
          <w:rFonts w:eastAsia="Calibri" w:cstheme="minorHAnsi"/>
        </w:rPr>
        <w:t>sposobów</w:t>
      </w:r>
      <w:r w:rsidR="003B50ED" w:rsidRPr="00F16251">
        <w:rPr>
          <w:rFonts w:eastAsia="Calibri" w:cstheme="minorHAnsi"/>
        </w:rPr>
        <w:t xml:space="preserve"> </w:t>
      </w:r>
      <w:r w:rsidRPr="00F16251">
        <w:rPr>
          <w:rFonts w:eastAsia="Calibri" w:cstheme="minorHAnsi"/>
        </w:rPr>
        <w:t>komunikacji</w:t>
      </w:r>
      <w:r w:rsidR="003B50ED" w:rsidRPr="00F16251">
        <w:rPr>
          <w:rFonts w:eastAsia="Calibri" w:cstheme="minorHAnsi"/>
        </w:rPr>
        <w:t xml:space="preserve"> </w:t>
      </w:r>
      <w:r w:rsidRPr="00F16251">
        <w:rPr>
          <w:rFonts w:eastAsia="Calibri" w:cstheme="minorHAnsi"/>
        </w:rPr>
        <w:t>z</w:t>
      </w:r>
      <w:r w:rsidR="003B50ED" w:rsidRPr="00F16251">
        <w:rPr>
          <w:rFonts w:eastAsia="Calibri" w:cstheme="minorHAnsi"/>
        </w:rPr>
        <w:t xml:space="preserve"> </w:t>
      </w:r>
      <w:r w:rsidRPr="00F16251">
        <w:rPr>
          <w:rFonts w:eastAsia="Calibri" w:cstheme="minorHAnsi"/>
        </w:rPr>
        <w:t>różnymi</w:t>
      </w:r>
      <w:r w:rsidR="003B50ED" w:rsidRPr="00F16251">
        <w:rPr>
          <w:rFonts w:eastAsia="Calibri" w:cstheme="minorHAnsi"/>
        </w:rPr>
        <w:t xml:space="preserve"> </w:t>
      </w:r>
      <w:r w:rsidRPr="00F16251">
        <w:rPr>
          <w:rFonts w:eastAsia="Calibri" w:cstheme="minorHAnsi"/>
        </w:rPr>
        <w:t>grupami</w:t>
      </w:r>
      <w:r w:rsidR="003B50ED" w:rsidRPr="00F16251">
        <w:rPr>
          <w:rFonts w:eastAsia="Calibri" w:cstheme="minorHAnsi"/>
        </w:rPr>
        <w:t xml:space="preserve"> </w:t>
      </w:r>
      <w:r w:rsidRPr="00F16251">
        <w:rPr>
          <w:rFonts w:eastAsia="Calibri" w:cstheme="minorHAnsi"/>
        </w:rPr>
        <w:t>docelowymi,</w:t>
      </w:r>
      <w:r w:rsidR="003B50ED" w:rsidRPr="00F16251">
        <w:rPr>
          <w:rFonts w:eastAsia="Calibri" w:cstheme="minorHAnsi"/>
        </w:rPr>
        <w:t xml:space="preserve"> </w:t>
      </w:r>
      <w:r w:rsidRPr="00F16251">
        <w:rPr>
          <w:rFonts w:eastAsia="Calibri" w:cstheme="minorHAnsi"/>
        </w:rPr>
        <w:t>takimi</w:t>
      </w:r>
      <w:r w:rsidR="003B50ED" w:rsidRPr="00F16251">
        <w:rPr>
          <w:rFonts w:eastAsia="Calibri" w:cstheme="minorHAnsi"/>
        </w:rPr>
        <w:t xml:space="preserve"> </w:t>
      </w:r>
      <w:r w:rsidRPr="00F16251">
        <w:rPr>
          <w:rFonts w:eastAsia="Calibri" w:cstheme="minorHAnsi"/>
        </w:rPr>
        <w:t>jak</w:t>
      </w:r>
      <w:r w:rsidR="003B50ED" w:rsidRPr="00F16251">
        <w:rPr>
          <w:rFonts w:eastAsia="Calibri" w:cstheme="minorHAnsi"/>
        </w:rPr>
        <w:t xml:space="preserve"> </w:t>
      </w:r>
      <w:r w:rsidRPr="00F16251">
        <w:rPr>
          <w:rFonts w:eastAsia="Calibri" w:cstheme="minorHAnsi"/>
        </w:rPr>
        <w:t>osoby</w:t>
      </w:r>
      <w:r w:rsidR="003B50ED" w:rsidRPr="00F16251">
        <w:rPr>
          <w:rFonts w:eastAsia="Calibri" w:cstheme="minorHAnsi"/>
        </w:rPr>
        <w:t xml:space="preserve"> </w:t>
      </w:r>
      <w:r w:rsidRPr="00F16251">
        <w:rPr>
          <w:rFonts w:eastAsia="Calibri" w:cstheme="minorHAnsi"/>
        </w:rPr>
        <w:t>młode,</w:t>
      </w:r>
      <w:r w:rsidR="003B50ED" w:rsidRPr="00F16251">
        <w:rPr>
          <w:rFonts w:eastAsia="Calibri" w:cstheme="minorHAnsi"/>
        </w:rPr>
        <w:t xml:space="preserve"> </w:t>
      </w:r>
      <w:r w:rsidRPr="00F16251">
        <w:rPr>
          <w:rFonts w:eastAsia="Calibri" w:cstheme="minorHAnsi"/>
        </w:rPr>
        <w:t>seniorzy</w:t>
      </w:r>
      <w:r w:rsidR="003B50ED" w:rsidRPr="00F16251">
        <w:rPr>
          <w:rFonts w:eastAsia="Calibri" w:cstheme="minorHAnsi"/>
        </w:rPr>
        <w:t xml:space="preserve"> </w:t>
      </w:r>
      <w:r w:rsidRPr="00F16251">
        <w:rPr>
          <w:rFonts w:eastAsia="Calibri" w:cstheme="minorHAnsi"/>
        </w:rPr>
        <w:t>oraz</w:t>
      </w:r>
      <w:r w:rsidR="003B50ED" w:rsidRPr="00F16251">
        <w:rPr>
          <w:rFonts w:eastAsia="Calibri" w:cstheme="minorHAnsi"/>
        </w:rPr>
        <w:t xml:space="preserve"> </w:t>
      </w:r>
      <w:r w:rsidRPr="00F16251">
        <w:rPr>
          <w:rFonts w:eastAsia="Calibri" w:cstheme="minorHAnsi"/>
        </w:rPr>
        <w:t>osoby</w:t>
      </w:r>
      <w:r w:rsidR="003B50ED" w:rsidRPr="00F16251">
        <w:rPr>
          <w:rFonts w:eastAsia="Calibri" w:cstheme="minorHAnsi"/>
        </w:rPr>
        <w:t xml:space="preserve"> </w:t>
      </w:r>
      <w:r w:rsidRPr="00F16251">
        <w:rPr>
          <w:rFonts w:eastAsia="Calibri" w:cstheme="minorHAnsi"/>
        </w:rPr>
        <w:t>znajdujące</w:t>
      </w:r>
      <w:r w:rsidR="003B50ED" w:rsidRPr="00F16251">
        <w:rPr>
          <w:rFonts w:eastAsia="Calibri" w:cstheme="minorHAnsi"/>
        </w:rPr>
        <w:t xml:space="preserve"> </w:t>
      </w:r>
      <w:r w:rsidRPr="00F16251">
        <w:rPr>
          <w:rFonts w:eastAsia="Calibri" w:cstheme="minorHAnsi"/>
        </w:rPr>
        <w:t>się</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trudnej</w:t>
      </w:r>
      <w:r w:rsidR="003B50ED" w:rsidRPr="00F16251">
        <w:rPr>
          <w:rFonts w:eastAsia="Calibri" w:cstheme="minorHAnsi"/>
        </w:rPr>
        <w:t xml:space="preserve"> </w:t>
      </w:r>
      <w:r w:rsidRPr="00F16251">
        <w:rPr>
          <w:rFonts w:eastAsia="Calibri" w:cstheme="minorHAnsi"/>
        </w:rPr>
        <w:t>sytuacji.</w:t>
      </w:r>
      <w:r w:rsidR="003B50ED" w:rsidRPr="00F16251">
        <w:rPr>
          <w:rFonts w:eastAsia="Calibri" w:cstheme="minorHAnsi"/>
        </w:rPr>
        <w:t xml:space="preserve"> </w:t>
      </w:r>
    </w:p>
    <w:p w14:paraId="6D491730" w14:textId="6AE4C396" w:rsidR="00B520BD" w:rsidRPr="00F16251" w:rsidRDefault="00B520BD" w:rsidP="006D43E4">
      <w:pPr>
        <w:spacing w:line="276" w:lineRule="auto"/>
        <w:ind w:firstLine="284"/>
        <w:jc w:val="both"/>
        <w:rPr>
          <w:rFonts w:eastAsia="Calibri" w:cstheme="minorHAnsi"/>
        </w:rPr>
      </w:pPr>
      <w:r w:rsidRPr="00F16251">
        <w:rPr>
          <w:rFonts w:eastAsia="Calibri" w:cstheme="minorHAnsi"/>
        </w:rPr>
        <w:t>Również</w:t>
      </w:r>
      <w:r w:rsidR="003B50ED" w:rsidRPr="00F16251">
        <w:rPr>
          <w:rFonts w:eastAsia="Calibri" w:cstheme="minorHAnsi"/>
        </w:rPr>
        <w:t xml:space="preserve"> </w:t>
      </w:r>
      <w:r w:rsidRPr="00F16251">
        <w:rPr>
          <w:rFonts w:eastAsia="Calibri" w:cstheme="minorHAnsi"/>
        </w:rPr>
        <w:t>forma</w:t>
      </w:r>
      <w:r w:rsidR="003B50ED" w:rsidRPr="00F16251">
        <w:rPr>
          <w:rFonts w:eastAsia="Calibri" w:cstheme="minorHAnsi"/>
        </w:rPr>
        <w:t xml:space="preserve"> </w:t>
      </w:r>
      <w:r w:rsidRPr="00F16251">
        <w:rPr>
          <w:rFonts w:eastAsia="Calibri" w:cstheme="minorHAnsi"/>
        </w:rPr>
        <w:t>spotkań</w:t>
      </w:r>
      <w:r w:rsidR="003B50ED" w:rsidRPr="00F16251">
        <w:rPr>
          <w:rFonts w:eastAsia="Calibri" w:cstheme="minorHAnsi"/>
        </w:rPr>
        <w:t xml:space="preserve"> </w:t>
      </w:r>
      <w:r w:rsidRPr="00F16251">
        <w:rPr>
          <w:rFonts w:eastAsia="Calibri" w:cstheme="minorHAnsi"/>
        </w:rPr>
        <w:t>nie</w:t>
      </w:r>
      <w:r w:rsidR="003B50ED" w:rsidRPr="00F16251">
        <w:rPr>
          <w:rFonts w:eastAsia="Calibri" w:cstheme="minorHAnsi"/>
        </w:rPr>
        <w:t xml:space="preserve"> </w:t>
      </w:r>
      <w:r w:rsidRPr="00F16251">
        <w:rPr>
          <w:rFonts w:eastAsia="Calibri" w:cstheme="minorHAnsi"/>
        </w:rPr>
        <w:t>była</w:t>
      </w:r>
      <w:r w:rsidR="003B50ED" w:rsidRPr="00F16251">
        <w:rPr>
          <w:rFonts w:eastAsia="Calibri" w:cstheme="minorHAnsi"/>
        </w:rPr>
        <w:t xml:space="preserve"> </w:t>
      </w:r>
      <w:r w:rsidRPr="00F16251">
        <w:rPr>
          <w:rFonts w:eastAsia="Calibri" w:cstheme="minorHAnsi"/>
        </w:rPr>
        <w:t>przypadkowa.</w:t>
      </w:r>
      <w:r w:rsidR="003B50ED" w:rsidRPr="00F16251">
        <w:rPr>
          <w:rFonts w:eastAsia="Calibri" w:cstheme="minorHAnsi"/>
        </w:rPr>
        <w:t xml:space="preserve"> </w:t>
      </w:r>
      <w:r w:rsidRPr="00F16251">
        <w:rPr>
          <w:rFonts w:eastAsia="Calibri" w:cstheme="minorHAnsi"/>
        </w:rPr>
        <w:t>Bazując</w:t>
      </w:r>
      <w:r w:rsidR="003B50ED" w:rsidRPr="00F16251">
        <w:rPr>
          <w:rFonts w:eastAsia="Calibri" w:cstheme="minorHAnsi"/>
        </w:rPr>
        <w:t xml:space="preserve"> </w:t>
      </w:r>
      <w:r w:rsidRPr="00F16251">
        <w:rPr>
          <w:rFonts w:eastAsia="Calibri" w:cstheme="minorHAnsi"/>
        </w:rPr>
        <w:t>na</w:t>
      </w:r>
      <w:r w:rsidR="003B50ED" w:rsidRPr="00F16251">
        <w:rPr>
          <w:rFonts w:eastAsia="Calibri" w:cstheme="minorHAnsi"/>
        </w:rPr>
        <w:t xml:space="preserve"> </w:t>
      </w:r>
      <w:r w:rsidRPr="00F16251">
        <w:rPr>
          <w:rFonts w:eastAsia="Calibri" w:cstheme="minorHAnsi"/>
        </w:rPr>
        <w:t>wcześniejszych</w:t>
      </w:r>
      <w:r w:rsidR="003B50ED" w:rsidRPr="00F16251">
        <w:rPr>
          <w:rFonts w:eastAsia="Calibri" w:cstheme="minorHAnsi"/>
        </w:rPr>
        <w:t xml:space="preserve"> </w:t>
      </w:r>
      <w:r w:rsidRPr="00F16251">
        <w:rPr>
          <w:rFonts w:eastAsia="Calibri" w:cstheme="minorHAnsi"/>
        </w:rPr>
        <w:t>doświadczeniach,</w:t>
      </w:r>
      <w:r w:rsidR="003B50ED" w:rsidRPr="00F16251">
        <w:rPr>
          <w:rFonts w:eastAsia="Calibri" w:cstheme="minorHAnsi"/>
        </w:rPr>
        <w:t xml:space="preserve"> </w:t>
      </w:r>
      <w:r w:rsidRPr="00F16251">
        <w:rPr>
          <w:rFonts w:eastAsia="Calibri" w:cstheme="minorHAnsi"/>
        </w:rPr>
        <w:t>zorganizowano</w:t>
      </w:r>
      <w:r w:rsidR="003B50ED" w:rsidRPr="00F16251">
        <w:rPr>
          <w:rFonts w:eastAsia="Calibri" w:cstheme="minorHAnsi"/>
        </w:rPr>
        <w:t xml:space="preserve"> </w:t>
      </w:r>
      <w:r w:rsidRPr="00F16251">
        <w:rPr>
          <w:rFonts w:eastAsia="Calibri" w:cstheme="minorHAnsi"/>
        </w:rPr>
        <w:t>spotkania</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formie</w:t>
      </w:r>
      <w:r w:rsidR="003B50ED" w:rsidRPr="00F16251">
        <w:rPr>
          <w:rFonts w:eastAsia="Calibri" w:cstheme="minorHAnsi"/>
        </w:rPr>
        <w:t xml:space="preserve"> </w:t>
      </w:r>
      <w:r w:rsidRPr="00F16251">
        <w:rPr>
          <w:rFonts w:eastAsia="Calibri" w:cstheme="minorHAnsi"/>
        </w:rPr>
        <w:t>warsztatów</w:t>
      </w:r>
      <w:r w:rsidR="003B50ED" w:rsidRPr="00F16251">
        <w:rPr>
          <w:rFonts w:eastAsia="Calibri" w:cstheme="minorHAnsi"/>
        </w:rPr>
        <w:t xml:space="preserve"> </w:t>
      </w:r>
      <w:r w:rsidRPr="00F16251">
        <w:rPr>
          <w:rFonts w:eastAsia="Calibri" w:cstheme="minorHAnsi"/>
        </w:rPr>
        <w:t>prowadzonych</w:t>
      </w:r>
      <w:r w:rsidR="003B50ED" w:rsidRPr="00F16251">
        <w:rPr>
          <w:rFonts w:eastAsia="Calibri" w:cstheme="minorHAnsi"/>
        </w:rPr>
        <w:t xml:space="preserve"> </w:t>
      </w:r>
      <w:r w:rsidRPr="00F16251">
        <w:rPr>
          <w:rFonts w:eastAsia="Calibri" w:cstheme="minorHAnsi"/>
        </w:rPr>
        <w:t>przez</w:t>
      </w:r>
      <w:r w:rsidR="003B50ED" w:rsidRPr="00F16251">
        <w:rPr>
          <w:rFonts w:eastAsia="Calibri" w:cstheme="minorHAnsi"/>
        </w:rPr>
        <w:t xml:space="preserve"> </w:t>
      </w:r>
      <w:r w:rsidRPr="00F16251">
        <w:rPr>
          <w:rFonts w:eastAsia="Calibri" w:cstheme="minorHAnsi"/>
        </w:rPr>
        <w:t>moderatora,</w:t>
      </w:r>
      <w:r w:rsidR="003B50ED" w:rsidRPr="00F16251">
        <w:rPr>
          <w:rFonts w:eastAsia="Calibri" w:cstheme="minorHAnsi"/>
        </w:rPr>
        <w:t xml:space="preserve"> </w:t>
      </w:r>
      <w:r w:rsidRPr="00F16251">
        <w:rPr>
          <w:rFonts w:eastAsia="Calibri" w:cstheme="minorHAnsi"/>
        </w:rPr>
        <w:t>który</w:t>
      </w:r>
      <w:r w:rsidR="003B50ED" w:rsidRPr="00F16251">
        <w:rPr>
          <w:rFonts w:eastAsia="Calibri" w:cstheme="minorHAnsi"/>
        </w:rPr>
        <w:t xml:space="preserve"> </w:t>
      </w:r>
      <w:r w:rsidRPr="00F16251">
        <w:rPr>
          <w:rFonts w:eastAsia="Calibri" w:cstheme="minorHAnsi"/>
        </w:rPr>
        <w:t>czuwał</w:t>
      </w:r>
      <w:r w:rsidR="003B50ED" w:rsidRPr="00F16251">
        <w:rPr>
          <w:rFonts w:eastAsia="Calibri" w:cstheme="minorHAnsi"/>
        </w:rPr>
        <w:t xml:space="preserve"> </w:t>
      </w:r>
      <w:r w:rsidRPr="00F16251">
        <w:rPr>
          <w:rFonts w:eastAsia="Calibri" w:cstheme="minorHAnsi"/>
        </w:rPr>
        <w:t>nad</w:t>
      </w:r>
      <w:r w:rsidR="003B50ED" w:rsidRPr="00F16251">
        <w:rPr>
          <w:rFonts w:eastAsia="Calibri" w:cstheme="minorHAnsi"/>
        </w:rPr>
        <w:t xml:space="preserve"> </w:t>
      </w:r>
      <w:r w:rsidRPr="00F16251">
        <w:rPr>
          <w:rFonts w:eastAsia="Calibri" w:cstheme="minorHAnsi"/>
        </w:rPr>
        <w:t>zachowaniem</w:t>
      </w:r>
      <w:r w:rsidR="003B50ED" w:rsidRPr="00F16251">
        <w:rPr>
          <w:rFonts w:eastAsia="Calibri" w:cstheme="minorHAnsi"/>
        </w:rPr>
        <w:t xml:space="preserve"> </w:t>
      </w:r>
      <w:r w:rsidRPr="00F16251">
        <w:rPr>
          <w:rFonts w:eastAsia="Calibri" w:cstheme="minorHAnsi"/>
        </w:rPr>
        <w:t>planu</w:t>
      </w:r>
      <w:r w:rsidR="003B50ED" w:rsidRPr="00F16251">
        <w:rPr>
          <w:rFonts w:eastAsia="Calibri" w:cstheme="minorHAnsi"/>
        </w:rPr>
        <w:t xml:space="preserve"> </w:t>
      </w:r>
      <w:r w:rsidRPr="00F16251">
        <w:rPr>
          <w:rFonts w:eastAsia="Calibri" w:cstheme="minorHAnsi"/>
        </w:rPr>
        <w:br/>
        <w:t>i</w:t>
      </w:r>
      <w:r w:rsidR="003B50ED" w:rsidRPr="00F16251">
        <w:rPr>
          <w:rFonts w:eastAsia="Calibri" w:cstheme="minorHAnsi"/>
        </w:rPr>
        <w:t xml:space="preserve"> </w:t>
      </w:r>
      <w:r w:rsidRPr="00F16251">
        <w:rPr>
          <w:rFonts w:eastAsia="Calibri" w:cstheme="minorHAnsi"/>
        </w:rPr>
        <w:t>scenariusza</w:t>
      </w:r>
      <w:r w:rsidR="003B50ED" w:rsidRPr="00F16251">
        <w:rPr>
          <w:rFonts w:eastAsia="Calibri" w:cstheme="minorHAnsi"/>
        </w:rPr>
        <w:t xml:space="preserve"> </w:t>
      </w:r>
      <w:r w:rsidRPr="00F16251">
        <w:rPr>
          <w:rFonts w:eastAsia="Calibri" w:cstheme="minorHAnsi"/>
        </w:rPr>
        <w:t>dyskusji.</w:t>
      </w:r>
      <w:r w:rsidR="003B50ED" w:rsidRPr="00F16251">
        <w:rPr>
          <w:rFonts w:eastAsia="Calibri" w:cstheme="minorHAnsi"/>
        </w:rPr>
        <w:t xml:space="preserve"> </w:t>
      </w:r>
      <w:r w:rsidRPr="00F16251">
        <w:rPr>
          <w:rFonts w:eastAsia="Calibri" w:cstheme="minorHAnsi"/>
        </w:rPr>
        <w:t>Panująca</w:t>
      </w:r>
      <w:r w:rsidR="003B50ED" w:rsidRPr="00F16251">
        <w:rPr>
          <w:rFonts w:eastAsia="Calibri" w:cstheme="minorHAnsi"/>
        </w:rPr>
        <w:t xml:space="preserve"> </w:t>
      </w:r>
      <w:r w:rsidRPr="00F16251">
        <w:rPr>
          <w:rFonts w:eastAsia="Calibri" w:cstheme="minorHAnsi"/>
        </w:rPr>
        <w:t>swobodna</w:t>
      </w:r>
      <w:r w:rsidR="003B50ED" w:rsidRPr="00F16251">
        <w:rPr>
          <w:rFonts w:eastAsia="Calibri" w:cstheme="minorHAnsi"/>
        </w:rPr>
        <w:t xml:space="preserve"> </w:t>
      </w:r>
      <w:r w:rsidRPr="00F16251">
        <w:rPr>
          <w:rFonts w:eastAsia="Calibri" w:cstheme="minorHAnsi"/>
        </w:rPr>
        <w:t>atmosfera,</w:t>
      </w:r>
      <w:r w:rsidR="003B50ED" w:rsidRPr="00F16251">
        <w:rPr>
          <w:rFonts w:eastAsia="Calibri" w:cstheme="minorHAnsi"/>
        </w:rPr>
        <w:t xml:space="preserve"> </w:t>
      </w:r>
      <w:r w:rsidRPr="00F16251">
        <w:rPr>
          <w:rFonts w:eastAsia="Calibri" w:cstheme="minorHAnsi"/>
        </w:rPr>
        <w:t>umożliwiła</w:t>
      </w:r>
      <w:r w:rsidR="003B50ED" w:rsidRPr="00F16251">
        <w:rPr>
          <w:rFonts w:eastAsia="Calibri" w:cstheme="minorHAnsi"/>
        </w:rPr>
        <w:t xml:space="preserve"> </w:t>
      </w:r>
      <w:r w:rsidRPr="00F16251">
        <w:rPr>
          <w:rFonts w:eastAsia="Calibri" w:cstheme="minorHAnsi"/>
        </w:rPr>
        <w:t>uczestnikom</w:t>
      </w:r>
      <w:r w:rsidR="003B50ED" w:rsidRPr="00F16251">
        <w:rPr>
          <w:rFonts w:eastAsia="Calibri" w:cstheme="minorHAnsi"/>
        </w:rPr>
        <w:t xml:space="preserve"> </w:t>
      </w:r>
      <w:r w:rsidRPr="00F16251">
        <w:rPr>
          <w:rFonts w:eastAsia="Calibri" w:cstheme="minorHAnsi"/>
        </w:rPr>
        <w:t>wyrażanie</w:t>
      </w:r>
      <w:r w:rsidR="003B50ED" w:rsidRPr="00F16251">
        <w:rPr>
          <w:rFonts w:eastAsia="Calibri" w:cstheme="minorHAnsi"/>
        </w:rPr>
        <w:t xml:space="preserve"> </w:t>
      </w:r>
      <w:r w:rsidRPr="00F16251">
        <w:rPr>
          <w:rFonts w:eastAsia="Calibri" w:cstheme="minorHAnsi"/>
        </w:rPr>
        <w:t>swoich</w:t>
      </w:r>
      <w:r w:rsidR="003B50ED" w:rsidRPr="00F16251">
        <w:rPr>
          <w:rFonts w:eastAsia="Calibri" w:cstheme="minorHAnsi"/>
        </w:rPr>
        <w:t xml:space="preserve"> </w:t>
      </w:r>
      <w:r w:rsidRPr="00F16251">
        <w:rPr>
          <w:rFonts w:eastAsia="Calibri" w:cstheme="minorHAnsi"/>
        </w:rPr>
        <w:t>opinii</w:t>
      </w:r>
      <w:r w:rsidR="003B50ED" w:rsidRPr="00F16251">
        <w:rPr>
          <w:rFonts w:eastAsia="Calibri" w:cstheme="minorHAnsi"/>
        </w:rPr>
        <w:t xml:space="preserve"> </w:t>
      </w:r>
      <w:r w:rsidRPr="00F16251">
        <w:rPr>
          <w:rFonts w:eastAsia="Calibri" w:cstheme="minorHAnsi"/>
        </w:rPr>
        <w:t>i</w:t>
      </w:r>
      <w:r w:rsidR="003B50ED" w:rsidRPr="00F16251">
        <w:rPr>
          <w:rFonts w:eastAsia="Calibri" w:cstheme="minorHAnsi"/>
        </w:rPr>
        <w:t xml:space="preserve"> </w:t>
      </w:r>
      <w:r w:rsidRPr="00F16251">
        <w:rPr>
          <w:rFonts w:eastAsia="Calibri" w:cstheme="minorHAnsi"/>
        </w:rPr>
        <w:t>pilnych</w:t>
      </w:r>
      <w:r w:rsidR="003B50ED" w:rsidRPr="00F16251">
        <w:rPr>
          <w:rFonts w:eastAsia="Calibri" w:cstheme="minorHAnsi"/>
        </w:rPr>
        <w:t xml:space="preserve"> </w:t>
      </w:r>
      <w:r w:rsidRPr="00F16251">
        <w:rPr>
          <w:rFonts w:eastAsia="Calibri" w:cstheme="minorHAnsi"/>
        </w:rPr>
        <w:t>potrzeb,</w:t>
      </w:r>
      <w:r w:rsidR="003B50ED" w:rsidRPr="00F16251">
        <w:rPr>
          <w:rFonts w:eastAsia="Calibri" w:cstheme="minorHAnsi"/>
        </w:rPr>
        <w:t xml:space="preserve"> </w:t>
      </w:r>
      <w:r w:rsidRPr="00F16251">
        <w:rPr>
          <w:rFonts w:eastAsia="Calibri" w:cstheme="minorHAnsi"/>
        </w:rPr>
        <w:t>które</w:t>
      </w:r>
      <w:r w:rsidR="003B50ED" w:rsidRPr="00F16251">
        <w:rPr>
          <w:rFonts w:eastAsia="Calibri" w:cstheme="minorHAnsi"/>
        </w:rPr>
        <w:t xml:space="preserve"> </w:t>
      </w:r>
      <w:r w:rsidRPr="00F16251">
        <w:rPr>
          <w:rFonts w:eastAsia="Calibri" w:cstheme="minorHAnsi"/>
        </w:rPr>
        <w:t>można</w:t>
      </w:r>
      <w:r w:rsidR="003B50ED" w:rsidRPr="00F16251">
        <w:rPr>
          <w:rFonts w:eastAsia="Calibri" w:cstheme="minorHAnsi"/>
        </w:rPr>
        <w:t xml:space="preserve"> </w:t>
      </w:r>
      <w:r w:rsidRPr="00F16251">
        <w:rPr>
          <w:rFonts w:eastAsia="Calibri" w:cstheme="minorHAnsi"/>
        </w:rPr>
        <w:t>zrealizować</w:t>
      </w:r>
      <w:r w:rsidR="003B50ED" w:rsidRPr="00F16251">
        <w:rPr>
          <w:rFonts w:eastAsia="Calibri" w:cstheme="minorHAnsi"/>
        </w:rPr>
        <w:t xml:space="preserve"> </w:t>
      </w:r>
      <w:r w:rsidRPr="00F16251">
        <w:rPr>
          <w:rFonts w:eastAsia="Calibri" w:cstheme="minorHAnsi"/>
        </w:rPr>
        <w:t>przy</w:t>
      </w:r>
      <w:r w:rsidR="003B50ED" w:rsidRPr="00F16251">
        <w:rPr>
          <w:rFonts w:eastAsia="Calibri" w:cstheme="minorHAnsi"/>
        </w:rPr>
        <w:t xml:space="preserve"> </w:t>
      </w:r>
      <w:r w:rsidRPr="00F16251">
        <w:rPr>
          <w:rFonts w:eastAsia="Calibri" w:cstheme="minorHAnsi"/>
        </w:rPr>
        <w:t>użyciu</w:t>
      </w:r>
      <w:r w:rsidR="003B50ED" w:rsidRPr="00F16251">
        <w:rPr>
          <w:rFonts w:eastAsia="Calibri" w:cstheme="minorHAnsi"/>
        </w:rPr>
        <w:t xml:space="preserve"> </w:t>
      </w:r>
      <w:r w:rsidRPr="00F16251">
        <w:rPr>
          <w:rFonts w:eastAsia="Calibri" w:cstheme="minorHAnsi"/>
        </w:rPr>
        <w:t>dostępnych</w:t>
      </w:r>
      <w:r w:rsidR="003B50ED" w:rsidRPr="00F16251">
        <w:rPr>
          <w:rFonts w:eastAsia="Calibri" w:cstheme="minorHAnsi"/>
        </w:rPr>
        <w:t xml:space="preserve"> </w:t>
      </w:r>
      <w:r w:rsidRPr="00F16251">
        <w:rPr>
          <w:rFonts w:eastAsia="Calibri" w:cstheme="minorHAnsi"/>
        </w:rPr>
        <w:t>funduszy</w:t>
      </w:r>
      <w:r w:rsidR="003B50ED" w:rsidRPr="00F16251">
        <w:rPr>
          <w:rFonts w:eastAsia="Calibri" w:cstheme="minorHAnsi"/>
        </w:rPr>
        <w:t xml:space="preserve"> </w:t>
      </w:r>
      <w:r w:rsidRPr="00F16251">
        <w:rPr>
          <w:rFonts w:eastAsia="Calibri" w:cstheme="minorHAnsi"/>
        </w:rPr>
        <w:t>zewnętrznych.</w:t>
      </w:r>
      <w:r w:rsidR="003B50ED" w:rsidRPr="00F16251">
        <w:rPr>
          <w:rFonts w:eastAsia="Calibri" w:cstheme="minorHAnsi"/>
        </w:rPr>
        <w:t xml:space="preserve"> </w:t>
      </w:r>
      <w:r w:rsidRPr="00F16251">
        <w:rPr>
          <w:rFonts w:eastAsia="Calibri" w:cstheme="minorHAnsi"/>
        </w:rPr>
        <w:t>Warto</w:t>
      </w:r>
      <w:r w:rsidR="003B50ED" w:rsidRPr="00F16251">
        <w:rPr>
          <w:rFonts w:eastAsia="Calibri" w:cstheme="minorHAnsi"/>
        </w:rPr>
        <w:t xml:space="preserve"> </w:t>
      </w:r>
      <w:r w:rsidRPr="00F16251">
        <w:rPr>
          <w:rFonts w:eastAsia="Calibri" w:cstheme="minorHAnsi"/>
        </w:rPr>
        <w:t>zauważyć,</w:t>
      </w:r>
      <w:r w:rsidR="003B50ED" w:rsidRPr="00F16251">
        <w:rPr>
          <w:rFonts w:eastAsia="Calibri" w:cstheme="minorHAnsi"/>
        </w:rPr>
        <w:t xml:space="preserve"> </w:t>
      </w:r>
      <w:r w:rsidRPr="00F16251">
        <w:rPr>
          <w:rFonts w:eastAsia="Calibri" w:cstheme="minorHAnsi"/>
        </w:rPr>
        <w:t>że</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dyskusji</w:t>
      </w:r>
      <w:r w:rsidR="003B50ED" w:rsidRPr="00F16251">
        <w:rPr>
          <w:rFonts w:eastAsia="Calibri" w:cstheme="minorHAnsi"/>
        </w:rPr>
        <w:t xml:space="preserve"> </w:t>
      </w:r>
      <w:r w:rsidRPr="00F16251">
        <w:rPr>
          <w:rFonts w:eastAsia="Calibri" w:cstheme="minorHAnsi"/>
        </w:rPr>
        <w:t>brali</w:t>
      </w:r>
      <w:r w:rsidR="003B50ED" w:rsidRPr="00F16251">
        <w:rPr>
          <w:rFonts w:eastAsia="Calibri" w:cstheme="minorHAnsi"/>
        </w:rPr>
        <w:t xml:space="preserve"> </w:t>
      </w:r>
      <w:r w:rsidRPr="00F16251">
        <w:rPr>
          <w:rFonts w:eastAsia="Calibri" w:cstheme="minorHAnsi"/>
        </w:rPr>
        <w:t>udział</w:t>
      </w:r>
      <w:r w:rsidR="003B50ED" w:rsidRPr="00F16251">
        <w:rPr>
          <w:rFonts w:eastAsia="Calibri" w:cstheme="minorHAnsi"/>
        </w:rPr>
        <w:t xml:space="preserve"> </w:t>
      </w:r>
      <w:r w:rsidRPr="00F16251">
        <w:rPr>
          <w:rFonts w:eastAsia="Calibri" w:cstheme="minorHAnsi"/>
        </w:rPr>
        <w:t>mieszkańcy</w:t>
      </w:r>
      <w:r w:rsidR="003B50ED" w:rsidRPr="00F16251">
        <w:rPr>
          <w:rFonts w:eastAsia="Calibri" w:cstheme="minorHAnsi"/>
        </w:rPr>
        <w:t xml:space="preserve"> </w:t>
      </w:r>
      <w:r w:rsidRPr="00F16251">
        <w:rPr>
          <w:rFonts w:eastAsia="Calibri" w:cstheme="minorHAnsi"/>
        </w:rPr>
        <w:t>różnych</w:t>
      </w:r>
      <w:r w:rsidR="003B50ED" w:rsidRPr="00F16251">
        <w:rPr>
          <w:rFonts w:eastAsia="Calibri" w:cstheme="minorHAnsi"/>
        </w:rPr>
        <w:t xml:space="preserve"> </w:t>
      </w:r>
      <w:r w:rsidRPr="00F16251">
        <w:rPr>
          <w:rFonts w:eastAsia="Calibri" w:cstheme="minorHAnsi"/>
        </w:rPr>
        <w:t>gmin,</w:t>
      </w:r>
      <w:r w:rsidR="003B50ED" w:rsidRPr="00F16251">
        <w:rPr>
          <w:rFonts w:eastAsia="Calibri" w:cstheme="minorHAnsi"/>
        </w:rPr>
        <w:t xml:space="preserve"> </w:t>
      </w:r>
      <w:r w:rsidRPr="00F16251">
        <w:rPr>
          <w:rFonts w:eastAsia="Calibri" w:cstheme="minorHAnsi"/>
        </w:rPr>
        <w:t>dlatego</w:t>
      </w:r>
      <w:r w:rsidR="003B50ED" w:rsidRPr="00F16251">
        <w:rPr>
          <w:rFonts w:eastAsia="Calibri" w:cstheme="minorHAnsi"/>
        </w:rPr>
        <w:t xml:space="preserve"> </w:t>
      </w:r>
      <w:r w:rsidRPr="00F16251">
        <w:rPr>
          <w:rFonts w:eastAsia="Calibri" w:cstheme="minorHAnsi"/>
        </w:rPr>
        <w:t>każda</w:t>
      </w:r>
      <w:r w:rsidR="003B50ED" w:rsidRPr="00F16251">
        <w:rPr>
          <w:rFonts w:eastAsia="Calibri" w:cstheme="minorHAnsi"/>
        </w:rPr>
        <w:t xml:space="preserve"> </w:t>
      </w:r>
      <w:r w:rsidRPr="00F16251">
        <w:rPr>
          <w:rFonts w:eastAsia="Calibri" w:cstheme="minorHAnsi"/>
        </w:rPr>
        <w:t>zgłaszana</w:t>
      </w:r>
      <w:r w:rsidR="003B50ED" w:rsidRPr="00F16251">
        <w:rPr>
          <w:rFonts w:eastAsia="Calibri" w:cstheme="minorHAnsi"/>
        </w:rPr>
        <w:t xml:space="preserve"> </w:t>
      </w:r>
      <w:r w:rsidRPr="00F16251">
        <w:rPr>
          <w:rFonts w:eastAsia="Calibri" w:cstheme="minorHAnsi"/>
        </w:rPr>
        <w:t>potrzeba</w:t>
      </w:r>
      <w:r w:rsidR="003B50ED" w:rsidRPr="00F16251">
        <w:rPr>
          <w:rFonts w:eastAsia="Calibri" w:cstheme="minorHAnsi"/>
        </w:rPr>
        <w:t xml:space="preserve"> </w:t>
      </w:r>
      <w:r w:rsidRPr="00F16251">
        <w:rPr>
          <w:rFonts w:eastAsia="Calibri" w:cstheme="minorHAnsi"/>
        </w:rPr>
        <w:t>była</w:t>
      </w:r>
      <w:r w:rsidR="003B50ED" w:rsidRPr="00F16251">
        <w:rPr>
          <w:rFonts w:eastAsia="Calibri" w:cstheme="minorHAnsi"/>
        </w:rPr>
        <w:t xml:space="preserve"> </w:t>
      </w:r>
      <w:r w:rsidRPr="00F16251">
        <w:rPr>
          <w:rFonts w:eastAsia="Calibri" w:cstheme="minorHAnsi"/>
        </w:rPr>
        <w:t>analizowana</w:t>
      </w:r>
      <w:r w:rsidR="003B50ED" w:rsidRPr="00F16251">
        <w:rPr>
          <w:rFonts w:eastAsia="Calibri" w:cstheme="minorHAnsi"/>
        </w:rPr>
        <w:t xml:space="preserve"> </w:t>
      </w:r>
      <w:r w:rsidRPr="00F16251">
        <w:rPr>
          <w:rFonts w:eastAsia="Calibri" w:cstheme="minorHAnsi"/>
        </w:rPr>
        <w:t>z</w:t>
      </w:r>
      <w:r w:rsidR="003B50ED" w:rsidRPr="00F16251">
        <w:rPr>
          <w:rFonts w:eastAsia="Calibri" w:cstheme="minorHAnsi"/>
        </w:rPr>
        <w:t xml:space="preserve"> </w:t>
      </w:r>
      <w:r w:rsidRPr="00F16251">
        <w:rPr>
          <w:rFonts w:eastAsia="Calibri" w:cstheme="minorHAnsi"/>
        </w:rPr>
        <w:t>uwzględnieniem</w:t>
      </w:r>
      <w:r w:rsidR="003B50ED" w:rsidRPr="00F16251">
        <w:rPr>
          <w:rFonts w:eastAsia="Calibri" w:cstheme="minorHAnsi"/>
        </w:rPr>
        <w:t xml:space="preserve"> </w:t>
      </w:r>
      <w:r w:rsidRPr="00F16251">
        <w:rPr>
          <w:rFonts w:eastAsia="Calibri" w:cstheme="minorHAnsi"/>
        </w:rPr>
        <w:t>specyfiki</w:t>
      </w:r>
      <w:r w:rsidR="003B50ED" w:rsidRPr="00F16251">
        <w:rPr>
          <w:rFonts w:eastAsia="Calibri" w:cstheme="minorHAnsi"/>
        </w:rPr>
        <w:t xml:space="preserve"> </w:t>
      </w:r>
      <w:r w:rsidRPr="00F16251">
        <w:rPr>
          <w:rFonts w:eastAsia="Calibri" w:cstheme="minorHAnsi"/>
        </w:rPr>
        <w:t>danej</w:t>
      </w:r>
      <w:r w:rsidR="003B50ED" w:rsidRPr="00F16251">
        <w:rPr>
          <w:rFonts w:eastAsia="Calibri" w:cstheme="minorHAnsi"/>
        </w:rPr>
        <w:t xml:space="preserve"> </w:t>
      </w:r>
      <w:r w:rsidRPr="00F16251">
        <w:rPr>
          <w:rFonts w:eastAsia="Calibri" w:cstheme="minorHAnsi"/>
        </w:rPr>
        <w:t>gminy</w:t>
      </w:r>
      <w:r w:rsidR="003B50ED" w:rsidRPr="00F16251">
        <w:rPr>
          <w:rFonts w:eastAsia="Calibri" w:cstheme="minorHAnsi"/>
        </w:rPr>
        <w:t xml:space="preserve"> </w:t>
      </w:r>
      <w:r w:rsidRPr="00F16251">
        <w:rPr>
          <w:rFonts w:eastAsia="Calibri" w:cstheme="minorHAnsi"/>
        </w:rPr>
        <w:t>oraz</w:t>
      </w:r>
      <w:r w:rsidR="003B50ED" w:rsidRPr="00F16251">
        <w:rPr>
          <w:rFonts w:eastAsia="Calibri" w:cstheme="minorHAnsi"/>
        </w:rPr>
        <w:t xml:space="preserve"> </w:t>
      </w:r>
      <w:r w:rsidRPr="00F16251">
        <w:rPr>
          <w:rFonts w:eastAsia="Calibri" w:cstheme="minorHAnsi"/>
        </w:rPr>
        <w:t>jakości</w:t>
      </w:r>
      <w:r w:rsidR="003B50ED" w:rsidRPr="00F16251">
        <w:rPr>
          <w:rFonts w:eastAsia="Calibri" w:cstheme="minorHAnsi"/>
        </w:rPr>
        <w:t xml:space="preserve"> </w:t>
      </w:r>
      <w:r w:rsidRPr="00F16251">
        <w:rPr>
          <w:rFonts w:eastAsia="Calibri" w:cstheme="minorHAnsi"/>
        </w:rPr>
        <w:t>życia</w:t>
      </w:r>
      <w:r w:rsidR="003B50ED" w:rsidRPr="00F16251">
        <w:rPr>
          <w:rFonts w:eastAsia="Calibri" w:cstheme="minorHAnsi"/>
        </w:rPr>
        <w:t xml:space="preserve"> </w:t>
      </w:r>
      <w:r w:rsidRPr="00F16251">
        <w:rPr>
          <w:rFonts w:eastAsia="Calibri" w:cstheme="minorHAnsi"/>
        </w:rPr>
        <w:t>mieszkańców</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konkretnym</w:t>
      </w:r>
      <w:r w:rsidR="003B50ED" w:rsidRPr="00F16251">
        <w:rPr>
          <w:rFonts w:eastAsia="Calibri" w:cstheme="minorHAnsi"/>
        </w:rPr>
        <w:t xml:space="preserve"> </w:t>
      </w:r>
      <w:r w:rsidRPr="00F16251">
        <w:rPr>
          <w:rFonts w:eastAsia="Calibri" w:cstheme="minorHAnsi"/>
        </w:rPr>
        <w:t>miejscu.</w:t>
      </w:r>
    </w:p>
    <w:p w14:paraId="280B9136" w14:textId="5DE11F55" w:rsidR="00B520BD" w:rsidRPr="00F16251" w:rsidRDefault="00B520BD" w:rsidP="006D43E4">
      <w:pPr>
        <w:spacing w:line="276" w:lineRule="auto"/>
        <w:ind w:firstLine="284"/>
        <w:jc w:val="both"/>
        <w:rPr>
          <w:rFonts w:eastAsia="Calibri" w:cstheme="minorHAnsi"/>
        </w:rPr>
      </w:pPr>
      <w:r w:rsidRPr="00F16251">
        <w:rPr>
          <w:rFonts w:eastAsia="Calibri" w:cstheme="minorHAnsi"/>
        </w:rPr>
        <w:t>Po</w:t>
      </w:r>
      <w:r w:rsidR="003B50ED" w:rsidRPr="00F16251">
        <w:rPr>
          <w:rFonts w:eastAsia="Calibri" w:cstheme="minorHAnsi"/>
        </w:rPr>
        <w:t xml:space="preserve"> </w:t>
      </w:r>
      <w:r w:rsidRPr="00F16251">
        <w:rPr>
          <w:rFonts w:eastAsia="Calibri" w:cstheme="minorHAnsi"/>
        </w:rPr>
        <w:t>zakończeniu</w:t>
      </w:r>
      <w:r w:rsidR="003B50ED" w:rsidRPr="00F16251">
        <w:rPr>
          <w:rFonts w:eastAsia="Calibri" w:cstheme="minorHAnsi"/>
        </w:rPr>
        <w:t xml:space="preserve"> </w:t>
      </w:r>
      <w:r w:rsidRPr="00F16251">
        <w:rPr>
          <w:rFonts w:eastAsia="Calibri" w:cstheme="minorHAnsi"/>
        </w:rPr>
        <w:t>wszystkich</w:t>
      </w:r>
      <w:r w:rsidR="003B50ED" w:rsidRPr="00F16251">
        <w:rPr>
          <w:rFonts w:eastAsia="Calibri" w:cstheme="minorHAnsi"/>
        </w:rPr>
        <w:t xml:space="preserve"> </w:t>
      </w:r>
      <w:r w:rsidRPr="00F16251">
        <w:rPr>
          <w:rFonts w:eastAsia="Calibri" w:cstheme="minorHAnsi"/>
        </w:rPr>
        <w:t>spotkań,</w:t>
      </w:r>
      <w:r w:rsidR="003B50ED" w:rsidRPr="00F16251">
        <w:rPr>
          <w:rFonts w:eastAsia="Calibri" w:cstheme="minorHAnsi"/>
        </w:rPr>
        <w:t xml:space="preserve"> </w:t>
      </w:r>
      <w:r w:rsidRPr="00F16251">
        <w:rPr>
          <w:rFonts w:eastAsia="Calibri" w:cstheme="minorHAnsi"/>
        </w:rPr>
        <w:t>pracownicy</w:t>
      </w:r>
      <w:r w:rsidR="003B50ED" w:rsidRPr="00F16251">
        <w:rPr>
          <w:rFonts w:eastAsia="Calibri" w:cstheme="minorHAnsi"/>
        </w:rPr>
        <w:t xml:space="preserve"> </w:t>
      </w:r>
      <w:r w:rsidRPr="00F16251">
        <w:rPr>
          <w:rFonts w:eastAsia="Calibri" w:cstheme="minorHAnsi"/>
        </w:rPr>
        <w:t>biura</w:t>
      </w:r>
      <w:r w:rsidR="003B50ED" w:rsidRPr="00F16251">
        <w:rPr>
          <w:rFonts w:eastAsia="Calibri" w:cstheme="minorHAnsi"/>
        </w:rPr>
        <w:t xml:space="preserve"> </w:t>
      </w:r>
      <w:r w:rsidRPr="00F16251">
        <w:rPr>
          <w:rFonts w:eastAsia="Calibri" w:cstheme="minorHAnsi"/>
        </w:rPr>
        <w:t>zebrali</w:t>
      </w:r>
      <w:r w:rsidR="003B50ED" w:rsidRPr="00F16251">
        <w:rPr>
          <w:rFonts w:eastAsia="Calibri" w:cstheme="minorHAnsi"/>
        </w:rPr>
        <w:t xml:space="preserve"> </w:t>
      </w:r>
      <w:r w:rsidRPr="00F16251">
        <w:rPr>
          <w:rFonts w:eastAsia="Calibri" w:cstheme="minorHAnsi"/>
        </w:rPr>
        <w:t>wszystkie</w:t>
      </w:r>
      <w:r w:rsidR="003B50ED" w:rsidRPr="00F16251">
        <w:rPr>
          <w:rFonts w:eastAsia="Calibri" w:cstheme="minorHAnsi"/>
        </w:rPr>
        <w:t xml:space="preserve"> </w:t>
      </w:r>
      <w:r w:rsidRPr="00F16251">
        <w:rPr>
          <w:rFonts w:eastAsia="Calibri" w:cstheme="minorHAnsi"/>
        </w:rPr>
        <w:t>zgłaszane</w:t>
      </w:r>
      <w:r w:rsidR="003B50ED" w:rsidRPr="00F16251">
        <w:rPr>
          <w:rFonts w:eastAsia="Calibri" w:cstheme="minorHAnsi"/>
        </w:rPr>
        <w:t xml:space="preserve"> </w:t>
      </w:r>
      <w:r w:rsidRPr="00F16251">
        <w:rPr>
          <w:rFonts w:eastAsia="Calibri" w:cstheme="minorHAnsi"/>
        </w:rPr>
        <w:t>problemy</w:t>
      </w:r>
      <w:r w:rsidR="003B50ED" w:rsidRPr="00F16251">
        <w:rPr>
          <w:rFonts w:eastAsia="Calibri" w:cstheme="minorHAnsi"/>
        </w:rPr>
        <w:t xml:space="preserve"> </w:t>
      </w:r>
      <w:r w:rsidRPr="00F16251">
        <w:rPr>
          <w:rFonts w:eastAsia="Calibri" w:cstheme="minorHAnsi"/>
        </w:rPr>
        <w:br/>
        <w:t>i</w:t>
      </w:r>
      <w:r w:rsidR="003B50ED" w:rsidRPr="00F16251">
        <w:rPr>
          <w:rFonts w:eastAsia="Calibri" w:cstheme="minorHAnsi"/>
        </w:rPr>
        <w:t xml:space="preserve"> </w:t>
      </w:r>
      <w:r w:rsidRPr="00F16251">
        <w:rPr>
          <w:rFonts w:eastAsia="Calibri" w:cstheme="minorHAnsi"/>
        </w:rPr>
        <w:t>potrzeby.</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procesie</w:t>
      </w:r>
      <w:r w:rsidR="003B50ED" w:rsidRPr="00F16251">
        <w:rPr>
          <w:rFonts w:eastAsia="Calibri" w:cstheme="minorHAnsi"/>
        </w:rPr>
        <w:t xml:space="preserve"> </w:t>
      </w:r>
      <w:r w:rsidRPr="00F16251">
        <w:rPr>
          <w:rFonts w:eastAsia="Calibri" w:cstheme="minorHAnsi"/>
        </w:rPr>
        <w:t>tym</w:t>
      </w:r>
      <w:r w:rsidR="003B50ED" w:rsidRPr="00F16251">
        <w:rPr>
          <w:rFonts w:eastAsia="Calibri" w:cstheme="minorHAnsi"/>
        </w:rPr>
        <w:t xml:space="preserve"> </w:t>
      </w:r>
      <w:r w:rsidRPr="00F16251">
        <w:rPr>
          <w:rFonts w:eastAsia="Calibri" w:cstheme="minorHAnsi"/>
        </w:rPr>
        <w:t>uwzględnili</w:t>
      </w:r>
      <w:r w:rsidR="003B50ED" w:rsidRPr="00F16251">
        <w:rPr>
          <w:rFonts w:eastAsia="Calibri" w:cstheme="minorHAnsi"/>
        </w:rPr>
        <w:t xml:space="preserve"> </w:t>
      </w:r>
      <w:r w:rsidRPr="00F16251">
        <w:rPr>
          <w:rFonts w:eastAsia="Calibri" w:cstheme="minorHAnsi"/>
        </w:rPr>
        <w:t>obszary,</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których</w:t>
      </w:r>
      <w:r w:rsidR="003B50ED" w:rsidRPr="00F16251">
        <w:rPr>
          <w:rFonts w:eastAsia="Calibri" w:cstheme="minorHAnsi"/>
        </w:rPr>
        <w:t xml:space="preserve"> </w:t>
      </w:r>
      <w:r w:rsidRPr="00F16251">
        <w:rPr>
          <w:rFonts w:eastAsia="Calibri" w:cstheme="minorHAnsi"/>
        </w:rPr>
        <w:t>występują</w:t>
      </w:r>
      <w:r w:rsidR="003B50ED" w:rsidRPr="00F16251">
        <w:rPr>
          <w:rFonts w:eastAsia="Calibri" w:cstheme="minorHAnsi"/>
        </w:rPr>
        <w:t xml:space="preserve"> </w:t>
      </w:r>
      <w:r w:rsidRPr="00F16251">
        <w:rPr>
          <w:rFonts w:eastAsia="Calibri" w:cstheme="minorHAnsi"/>
        </w:rPr>
        <w:t>oraz</w:t>
      </w:r>
      <w:r w:rsidR="003B50ED" w:rsidRPr="00F16251">
        <w:rPr>
          <w:rFonts w:eastAsia="Calibri" w:cstheme="minorHAnsi"/>
        </w:rPr>
        <w:t xml:space="preserve"> </w:t>
      </w:r>
      <w:r w:rsidRPr="00F16251">
        <w:rPr>
          <w:rFonts w:eastAsia="Calibri" w:cstheme="minorHAnsi"/>
        </w:rPr>
        <w:t>liczbę</w:t>
      </w:r>
      <w:r w:rsidR="003B50ED" w:rsidRPr="00F16251">
        <w:rPr>
          <w:rFonts w:eastAsia="Calibri" w:cstheme="minorHAnsi"/>
        </w:rPr>
        <w:t xml:space="preserve"> </w:t>
      </w:r>
      <w:r w:rsidRPr="00F16251">
        <w:rPr>
          <w:rFonts w:eastAsia="Calibri" w:cstheme="minorHAnsi"/>
        </w:rPr>
        <w:t>ludności,</w:t>
      </w:r>
      <w:r w:rsidR="003B50ED" w:rsidRPr="00F16251">
        <w:rPr>
          <w:rFonts w:eastAsia="Calibri" w:cstheme="minorHAnsi"/>
        </w:rPr>
        <w:t xml:space="preserve"> </w:t>
      </w:r>
      <w:r w:rsidRPr="00F16251">
        <w:rPr>
          <w:rFonts w:eastAsia="Calibri" w:cstheme="minorHAnsi"/>
        </w:rPr>
        <w:t>której</w:t>
      </w:r>
      <w:r w:rsidR="003B50ED" w:rsidRPr="00F16251">
        <w:rPr>
          <w:rFonts w:eastAsia="Calibri" w:cstheme="minorHAnsi"/>
        </w:rPr>
        <w:t xml:space="preserve"> </w:t>
      </w:r>
      <w:r w:rsidRPr="00F16251">
        <w:rPr>
          <w:rFonts w:eastAsia="Calibri" w:cstheme="minorHAnsi"/>
        </w:rPr>
        <w:t>dotyczą.</w:t>
      </w:r>
      <w:r w:rsidR="003B50ED" w:rsidRPr="00F16251">
        <w:rPr>
          <w:rFonts w:eastAsia="Calibri" w:cstheme="minorHAnsi"/>
        </w:rPr>
        <w:t xml:space="preserve"> </w:t>
      </w:r>
      <w:r w:rsidRPr="00F16251">
        <w:rPr>
          <w:rFonts w:eastAsia="Calibri" w:cstheme="minorHAnsi"/>
        </w:rPr>
        <w:t>Następnie</w:t>
      </w:r>
      <w:r w:rsidR="003B50ED" w:rsidRPr="00F16251">
        <w:rPr>
          <w:rFonts w:eastAsia="Calibri" w:cstheme="minorHAnsi"/>
        </w:rPr>
        <w:t xml:space="preserve"> </w:t>
      </w:r>
      <w:r w:rsidRPr="00F16251">
        <w:rPr>
          <w:rFonts w:eastAsia="Calibri" w:cstheme="minorHAnsi"/>
        </w:rPr>
        <w:t>zestawili</w:t>
      </w:r>
      <w:r w:rsidR="003B50ED" w:rsidRPr="00F16251">
        <w:rPr>
          <w:rFonts w:eastAsia="Calibri" w:cstheme="minorHAnsi"/>
        </w:rPr>
        <w:t xml:space="preserve"> </w:t>
      </w:r>
      <w:r w:rsidRPr="00F16251">
        <w:rPr>
          <w:rFonts w:eastAsia="Calibri" w:cstheme="minorHAnsi"/>
        </w:rPr>
        <w:t>te</w:t>
      </w:r>
      <w:r w:rsidR="003B50ED" w:rsidRPr="00F16251">
        <w:rPr>
          <w:rFonts w:eastAsia="Calibri" w:cstheme="minorHAnsi"/>
        </w:rPr>
        <w:t xml:space="preserve"> </w:t>
      </w:r>
      <w:r w:rsidRPr="00F16251">
        <w:rPr>
          <w:rFonts w:eastAsia="Calibri" w:cstheme="minorHAnsi"/>
        </w:rPr>
        <w:t>informacje</w:t>
      </w:r>
      <w:r w:rsidR="003B50ED" w:rsidRPr="00F16251">
        <w:rPr>
          <w:rFonts w:eastAsia="Calibri" w:cstheme="minorHAnsi"/>
        </w:rPr>
        <w:t xml:space="preserve"> </w:t>
      </w:r>
      <w:r w:rsidRPr="00F16251">
        <w:rPr>
          <w:rFonts w:eastAsia="Calibri" w:cstheme="minorHAnsi"/>
        </w:rPr>
        <w:t>z</w:t>
      </w:r>
      <w:r w:rsidR="003B50ED" w:rsidRPr="00F16251">
        <w:rPr>
          <w:rFonts w:eastAsia="Calibri" w:cstheme="minorHAnsi"/>
        </w:rPr>
        <w:t xml:space="preserve"> </w:t>
      </w:r>
      <w:r w:rsidRPr="00F16251">
        <w:rPr>
          <w:rFonts w:eastAsia="Calibri" w:cstheme="minorHAnsi"/>
        </w:rPr>
        <w:t>możliwościami,</w:t>
      </w:r>
      <w:r w:rsidR="003B50ED" w:rsidRPr="00F16251">
        <w:rPr>
          <w:rFonts w:eastAsia="Calibri" w:cstheme="minorHAnsi"/>
        </w:rPr>
        <w:t xml:space="preserve"> </w:t>
      </w:r>
      <w:r w:rsidRPr="00F16251">
        <w:rPr>
          <w:rFonts w:eastAsia="Calibri" w:cstheme="minorHAnsi"/>
        </w:rPr>
        <w:t>jakie</w:t>
      </w:r>
      <w:r w:rsidR="003B50ED" w:rsidRPr="00F16251">
        <w:rPr>
          <w:rFonts w:eastAsia="Calibri" w:cstheme="minorHAnsi"/>
        </w:rPr>
        <w:t xml:space="preserve"> </w:t>
      </w:r>
      <w:r w:rsidRPr="00F16251">
        <w:rPr>
          <w:rFonts w:eastAsia="Calibri" w:cstheme="minorHAnsi"/>
        </w:rPr>
        <w:t>oferuje</w:t>
      </w:r>
      <w:r w:rsidR="003B50ED" w:rsidRPr="00F16251">
        <w:rPr>
          <w:rFonts w:eastAsia="Calibri" w:cstheme="minorHAnsi"/>
        </w:rPr>
        <w:t xml:space="preserve"> </w:t>
      </w:r>
      <w:r w:rsidRPr="00F16251">
        <w:rPr>
          <w:rFonts w:eastAsia="Calibri" w:cstheme="minorHAnsi"/>
        </w:rPr>
        <w:t>interwencja</w:t>
      </w:r>
      <w:r w:rsidR="003B50ED" w:rsidRPr="00F16251">
        <w:rPr>
          <w:rFonts w:eastAsia="Calibri" w:cstheme="minorHAnsi"/>
        </w:rPr>
        <w:t xml:space="preserve"> </w:t>
      </w:r>
      <w:r w:rsidRPr="00F16251">
        <w:rPr>
          <w:rFonts w:eastAsia="Calibri" w:cstheme="minorHAnsi"/>
        </w:rPr>
        <w:t>LEADER.</w:t>
      </w:r>
      <w:r w:rsidR="003B50ED" w:rsidRPr="00F16251">
        <w:rPr>
          <w:rFonts w:eastAsia="Calibri" w:cstheme="minorHAnsi"/>
        </w:rPr>
        <w:t xml:space="preserve"> </w:t>
      </w:r>
    </w:p>
    <w:p w14:paraId="5E1DD07B" w14:textId="14633FDA" w:rsidR="00B520BD" w:rsidRPr="00F16251" w:rsidRDefault="00B520BD" w:rsidP="006D43E4">
      <w:pPr>
        <w:spacing w:line="276" w:lineRule="auto"/>
        <w:ind w:firstLine="284"/>
        <w:jc w:val="both"/>
        <w:rPr>
          <w:rFonts w:eastAsia="Calibri" w:cstheme="minorHAnsi"/>
        </w:rPr>
      </w:pPr>
      <w:r w:rsidRPr="00F16251">
        <w:rPr>
          <w:rFonts w:eastAsia="Calibri" w:cstheme="minorHAnsi"/>
        </w:rPr>
        <w:t>Ponadto,</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celu</w:t>
      </w:r>
      <w:r w:rsidR="003B50ED" w:rsidRPr="00F16251">
        <w:rPr>
          <w:rFonts w:eastAsia="Calibri" w:cstheme="minorHAnsi"/>
        </w:rPr>
        <w:t xml:space="preserve"> </w:t>
      </w:r>
      <w:r w:rsidRPr="00F16251">
        <w:rPr>
          <w:rFonts w:eastAsia="Calibri" w:cstheme="minorHAnsi"/>
        </w:rPr>
        <w:t>wykonania</w:t>
      </w:r>
      <w:r w:rsidR="003B50ED" w:rsidRPr="00F16251">
        <w:rPr>
          <w:rFonts w:eastAsia="Calibri" w:cstheme="minorHAnsi"/>
        </w:rPr>
        <w:t xml:space="preserve"> </w:t>
      </w:r>
      <w:r w:rsidRPr="00F16251">
        <w:rPr>
          <w:rFonts w:eastAsia="Calibri" w:cstheme="minorHAnsi"/>
        </w:rPr>
        <w:t>dokładnej</w:t>
      </w:r>
      <w:r w:rsidR="003B50ED" w:rsidRPr="00F16251">
        <w:rPr>
          <w:rFonts w:eastAsia="Calibri" w:cstheme="minorHAnsi"/>
        </w:rPr>
        <w:t xml:space="preserve"> </w:t>
      </w:r>
      <w:r w:rsidRPr="00F16251">
        <w:rPr>
          <w:rFonts w:eastAsia="Calibri" w:cstheme="minorHAnsi"/>
        </w:rPr>
        <w:t>diagnozy</w:t>
      </w:r>
      <w:r w:rsidR="003B50ED" w:rsidRPr="00F16251">
        <w:rPr>
          <w:rFonts w:eastAsia="Calibri" w:cstheme="minorHAnsi"/>
        </w:rPr>
        <w:t xml:space="preserve"> </w:t>
      </w:r>
      <w:r w:rsidRPr="00F16251">
        <w:rPr>
          <w:rFonts w:eastAsia="Calibri" w:cstheme="minorHAnsi"/>
        </w:rPr>
        <w:t>obszaru,</w:t>
      </w:r>
      <w:r w:rsidR="003B50ED" w:rsidRPr="00F16251">
        <w:rPr>
          <w:rFonts w:eastAsia="Calibri" w:cstheme="minorHAnsi"/>
        </w:rPr>
        <w:t xml:space="preserve"> </w:t>
      </w:r>
      <w:r w:rsidRPr="00F16251">
        <w:rPr>
          <w:rFonts w:eastAsia="Calibri" w:cstheme="minorHAnsi"/>
        </w:rPr>
        <w:t>wykorzystano</w:t>
      </w:r>
      <w:r w:rsidR="003B50ED" w:rsidRPr="00F16251">
        <w:rPr>
          <w:rFonts w:eastAsia="Calibri" w:cstheme="minorHAnsi"/>
        </w:rPr>
        <w:t xml:space="preserve"> </w:t>
      </w:r>
      <w:r w:rsidRPr="00F16251">
        <w:rPr>
          <w:rFonts w:eastAsia="Calibri" w:cstheme="minorHAnsi"/>
        </w:rPr>
        <w:t>również</w:t>
      </w:r>
      <w:r w:rsidR="003B50ED" w:rsidRPr="00F16251">
        <w:rPr>
          <w:rFonts w:eastAsia="Calibri" w:cstheme="minorHAnsi"/>
        </w:rPr>
        <w:t xml:space="preserve"> </w:t>
      </w:r>
      <w:r w:rsidRPr="00F16251">
        <w:rPr>
          <w:rFonts w:eastAsia="Calibri" w:cstheme="minorHAnsi"/>
        </w:rPr>
        <w:t>dostępne</w:t>
      </w:r>
      <w:r w:rsidR="003B50ED" w:rsidRPr="00F16251">
        <w:rPr>
          <w:rFonts w:eastAsia="Calibri" w:cstheme="minorHAnsi"/>
        </w:rPr>
        <w:t xml:space="preserve"> </w:t>
      </w:r>
      <w:r w:rsidRPr="00F16251">
        <w:rPr>
          <w:rFonts w:eastAsia="Calibri" w:cstheme="minorHAnsi"/>
        </w:rPr>
        <w:t>dane</w:t>
      </w:r>
      <w:r w:rsidR="003B50ED" w:rsidRPr="00F16251">
        <w:rPr>
          <w:rFonts w:eastAsia="Calibri" w:cstheme="minorHAnsi"/>
        </w:rPr>
        <w:t xml:space="preserve"> </w:t>
      </w:r>
      <w:r w:rsidRPr="00F16251">
        <w:rPr>
          <w:rFonts w:eastAsia="Calibri" w:cstheme="minorHAnsi"/>
        </w:rPr>
        <w:t>z</w:t>
      </w:r>
      <w:r w:rsidR="003B50ED" w:rsidRPr="00F16251">
        <w:rPr>
          <w:rFonts w:eastAsia="Calibri" w:cstheme="minorHAnsi"/>
        </w:rPr>
        <w:t xml:space="preserve"> </w:t>
      </w:r>
      <w:r w:rsidRPr="00F16251">
        <w:rPr>
          <w:rFonts w:eastAsia="Calibri" w:cstheme="minorHAnsi"/>
        </w:rPr>
        <w:t>innych</w:t>
      </w:r>
      <w:r w:rsidR="003B50ED" w:rsidRPr="00F16251">
        <w:rPr>
          <w:rFonts w:eastAsia="Calibri" w:cstheme="minorHAnsi"/>
        </w:rPr>
        <w:t xml:space="preserve"> </w:t>
      </w:r>
      <w:r w:rsidRPr="00F16251">
        <w:rPr>
          <w:rFonts w:eastAsia="Calibri" w:cstheme="minorHAnsi"/>
        </w:rPr>
        <w:t>źródeł,</w:t>
      </w:r>
      <w:r w:rsidR="003B50ED" w:rsidRPr="00F16251">
        <w:rPr>
          <w:rFonts w:eastAsia="Calibri" w:cstheme="minorHAnsi"/>
        </w:rPr>
        <w:t xml:space="preserve"> </w:t>
      </w:r>
      <w:r w:rsidRPr="00F16251">
        <w:rPr>
          <w:rFonts w:eastAsia="Calibri" w:cstheme="minorHAnsi"/>
        </w:rPr>
        <w:t>takich</w:t>
      </w:r>
      <w:r w:rsidR="003B50ED" w:rsidRPr="00F16251">
        <w:rPr>
          <w:rFonts w:eastAsia="Calibri" w:cstheme="minorHAnsi"/>
        </w:rPr>
        <w:t xml:space="preserve"> </w:t>
      </w:r>
      <w:r w:rsidRPr="00F16251">
        <w:rPr>
          <w:rFonts w:eastAsia="Calibri" w:cstheme="minorHAnsi"/>
        </w:rPr>
        <w:t>jak</w:t>
      </w:r>
      <w:r w:rsidR="003B50ED" w:rsidRPr="00F16251">
        <w:rPr>
          <w:rFonts w:eastAsia="Calibri" w:cstheme="minorHAnsi"/>
        </w:rPr>
        <w:t xml:space="preserve"> </w:t>
      </w:r>
      <w:r w:rsidRPr="00F16251">
        <w:rPr>
          <w:rFonts w:eastAsia="Calibri" w:cstheme="minorHAnsi"/>
        </w:rPr>
        <w:t>Główny</w:t>
      </w:r>
      <w:r w:rsidR="003B50ED" w:rsidRPr="00F16251">
        <w:rPr>
          <w:rFonts w:eastAsia="Calibri" w:cstheme="minorHAnsi"/>
        </w:rPr>
        <w:t xml:space="preserve"> </w:t>
      </w:r>
      <w:r w:rsidRPr="00F16251">
        <w:rPr>
          <w:rFonts w:eastAsia="Calibri" w:cstheme="minorHAnsi"/>
        </w:rPr>
        <w:t>Urząd</w:t>
      </w:r>
      <w:r w:rsidR="003B50ED" w:rsidRPr="00F16251">
        <w:rPr>
          <w:rFonts w:eastAsia="Calibri" w:cstheme="minorHAnsi"/>
        </w:rPr>
        <w:t xml:space="preserve"> </w:t>
      </w:r>
      <w:r w:rsidRPr="00F16251">
        <w:rPr>
          <w:rFonts w:eastAsia="Calibri" w:cstheme="minorHAnsi"/>
        </w:rPr>
        <w:t>Statystyczny</w:t>
      </w:r>
      <w:r w:rsidR="003B50ED" w:rsidRPr="00F16251">
        <w:rPr>
          <w:rFonts w:eastAsia="Calibri" w:cstheme="minorHAnsi"/>
        </w:rPr>
        <w:t xml:space="preserve"> </w:t>
      </w:r>
      <w:r w:rsidRPr="00F16251">
        <w:rPr>
          <w:rFonts w:eastAsia="Calibri" w:cstheme="minorHAnsi"/>
        </w:rPr>
        <w:t>(GUS),</w:t>
      </w:r>
      <w:r w:rsidR="003B50ED" w:rsidRPr="00F16251">
        <w:rPr>
          <w:rFonts w:eastAsia="Calibri" w:cstheme="minorHAnsi"/>
        </w:rPr>
        <w:t xml:space="preserve"> </w:t>
      </w:r>
      <w:r w:rsidRPr="00F16251">
        <w:rPr>
          <w:rFonts w:eastAsia="Calibri" w:cstheme="minorHAnsi"/>
        </w:rPr>
        <w:t>bazy</w:t>
      </w:r>
      <w:r w:rsidR="003B50ED" w:rsidRPr="00F16251">
        <w:rPr>
          <w:rFonts w:eastAsia="Calibri" w:cstheme="minorHAnsi"/>
        </w:rPr>
        <w:t xml:space="preserve"> </w:t>
      </w:r>
      <w:r w:rsidRPr="00F16251">
        <w:rPr>
          <w:rFonts w:eastAsia="Calibri" w:cstheme="minorHAnsi"/>
        </w:rPr>
        <w:t>danych</w:t>
      </w:r>
      <w:r w:rsidR="003B50ED" w:rsidRPr="00F16251">
        <w:rPr>
          <w:rFonts w:eastAsia="Calibri" w:cstheme="minorHAnsi"/>
        </w:rPr>
        <w:t xml:space="preserve"> </w:t>
      </w:r>
      <w:r w:rsidRPr="00F16251">
        <w:rPr>
          <w:rFonts w:eastAsia="Calibri" w:cstheme="minorHAnsi"/>
        </w:rPr>
        <w:t>gmin</w:t>
      </w:r>
      <w:r w:rsidR="003B50ED" w:rsidRPr="00F16251">
        <w:rPr>
          <w:rFonts w:eastAsia="Calibri" w:cstheme="minorHAnsi"/>
        </w:rPr>
        <w:t xml:space="preserve"> </w:t>
      </w:r>
      <w:r w:rsidRPr="00F16251">
        <w:rPr>
          <w:rFonts w:eastAsia="Calibri" w:cstheme="minorHAnsi"/>
        </w:rPr>
        <w:t>członkowskich,</w:t>
      </w:r>
      <w:r w:rsidR="003B50ED" w:rsidRPr="00F16251">
        <w:rPr>
          <w:rFonts w:eastAsia="Calibri" w:cstheme="minorHAnsi"/>
        </w:rPr>
        <w:t xml:space="preserve"> </w:t>
      </w:r>
      <w:r w:rsidRPr="00F16251">
        <w:rPr>
          <w:rFonts w:eastAsia="Calibri" w:cstheme="minorHAnsi"/>
        </w:rPr>
        <w:t>ankiety,</w:t>
      </w:r>
      <w:r w:rsidR="003B50ED" w:rsidRPr="00F16251">
        <w:rPr>
          <w:rFonts w:eastAsia="Calibri" w:cstheme="minorHAnsi"/>
        </w:rPr>
        <w:t xml:space="preserve"> </w:t>
      </w:r>
      <w:r w:rsidRPr="00F16251">
        <w:rPr>
          <w:rFonts w:eastAsia="Calibri" w:cstheme="minorHAnsi"/>
        </w:rPr>
        <w:t>karty</w:t>
      </w:r>
      <w:r w:rsidR="003B50ED" w:rsidRPr="00F16251">
        <w:rPr>
          <w:rFonts w:eastAsia="Calibri" w:cstheme="minorHAnsi"/>
        </w:rPr>
        <w:t xml:space="preserve"> </w:t>
      </w:r>
      <w:r w:rsidRPr="00F16251">
        <w:rPr>
          <w:rFonts w:eastAsia="Calibri" w:cstheme="minorHAnsi"/>
        </w:rPr>
        <w:t>pomysłów</w:t>
      </w:r>
      <w:r w:rsidR="003B50ED" w:rsidRPr="00F16251">
        <w:rPr>
          <w:rFonts w:eastAsia="Calibri" w:cstheme="minorHAnsi"/>
        </w:rPr>
        <w:t xml:space="preserve"> </w:t>
      </w:r>
      <w:r w:rsidRPr="00F16251">
        <w:rPr>
          <w:rFonts w:eastAsia="Calibri" w:cstheme="minorHAnsi"/>
        </w:rPr>
        <w:t>oraz</w:t>
      </w:r>
      <w:r w:rsidR="003B50ED" w:rsidRPr="00F16251">
        <w:rPr>
          <w:rFonts w:eastAsia="Calibri" w:cstheme="minorHAnsi"/>
        </w:rPr>
        <w:t xml:space="preserve"> </w:t>
      </w:r>
      <w:r w:rsidRPr="00F16251">
        <w:rPr>
          <w:rFonts w:eastAsia="Calibri" w:cstheme="minorHAnsi"/>
        </w:rPr>
        <w:t>wywiady.</w:t>
      </w:r>
      <w:r w:rsidR="003B50ED" w:rsidRPr="00F16251">
        <w:rPr>
          <w:rFonts w:eastAsia="Calibri" w:cstheme="minorHAnsi"/>
        </w:rPr>
        <w:t xml:space="preserve"> </w:t>
      </w:r>
    </w:p>
    <w:p w14:paraId="201ED0D6" w14:textId="3B92D008" w:rsidR="00E2372E" w:rsidRPr="00F16251" w:rsidRDefault="00F503C9" w:rsidP="00A26C26">
      <w:pPr>
        <w:spacing w:line="276" w:lineRule="auto"/>
        <w:ind w:firstLine="284"/>
        <w:jc w:val="both"/>
        <w:rPr>
          <w:rFonts w:eastAsia="Calibri" w:cstheme="minorHAnsi"/>
          <w:b/>
          <w:bCs/>
        </w:rPr>
      </w:pPr>
      <w:r w:rsidRPr="00F16251">
        <w:rPr>
          <w:rFonts w:eastAsia="Calibri" w:cstheme="minorHAnsi"/>
        </w:rPr>
        <w:lastRenderedPageBreak/>
        <w:t>Niewątpliwie</w:t>
      </w:r>
      <w:r w:rsidR="003B50ED" w:rsidRPr="00F16251">
        <w:rPr>
          <w:rFonts w:eastAsia="Calibri" w:cstheme="minorHAnsi"/>
        </w:rPr>
        <w:t xml:space="preserve"> </w:t>
      </w:r>
      <w:r w:rsidRPr="00F16251">
        <w:rPr>
          <w:rFonts w:eastAsia="Calibri" w:cstheme="minorHAnsi"/>
        </w:rPr>
        <w:t>jedną</w:t>
      </w:r>
      <w:r w:rsidR="003B50ED" w:rsidRPr="00F16251">
        <w:rPr>
          <w:rFonts w:eastAsia="Calibri" w:cstheme="minorHAnsi"/>
        </w:rPr>
        <w:t xml:space="preserve"> </w:t>
      </w:r>
      <w:r w:rsidRPr="00F16251">
        <w:rPr>
          <w:rFonts w:eastAsia="Calibri" w:cstheme="minorHAnsi"/>
        </w:rPr>
        <w:t>z</w:t>
      </w:r>
      <w:r w:rsidR="003B50ED" w:rsidRPr="00F16251">
        <w:rPr>
          <w:rFonts w:eastAsia="Calibri" w:cstheme="minorHAnsi"/>
        </w:rPr>
        <w:t xml:space="preserve"> </w:t>
      </w:r>
      <w:r w:rsidRPr="00F16251">
        <w:rPr>
          <w:rFonts w:eastAsia="Calibri" w:cstheme="minorHAnsi"/>
        </w:rPr>
        <w:t>najpowszechniejszych</w:t>
      </w:r>
      <w:r w:rsidR="003B50ED" w:rsidRPr="00F16251">
        <w:rPr>
          <w:rFonts w:eastAsia="Calibri" w:cstheme="minorHAnsi"/>
        </w:rPr>
        <w:t xml:space="preserve"> </w:t>
      </w:r>
      <w:r w:rsidR="00E2372E" w:rsidRPr="00F16251">
        <w:rPr>
          <w:rFonts w:eastAsia="Calibri" w:cstheme="minorHAnsi"/>
        </w:rPr>
        <w:t>metod</w:t>
      </w:r>
      <w:r w:rsidR="003B50ED" w:rsidRPr="00F16251">
        <w:rPr>
          <w:rFonts w:eastAsia="Calibri" w:cstheme="minorHAnsi"/>
        </w:rPr>
        <w:t xml:space="preserve"> </w:t>
      </w:r>
      <w:r w:rsidRPr="00F16251">
        <w:rPr>
          <w:rFonts w:eastAsia="Calibri" w:cstheme="minorHAnsi"/>
        </w:rPr>
        <w:t>angażujących</w:t>
      </w:r>
      <w:r w:rsidR="003B50ED" w:rsidRPr="00F16251">
        <w:rPr>
          <w:rFonts w:eastAsia="Calibri" w:cstheme="minorHAnsi"/>
        </w:rPr>
        <w:t xml:space="preserve"> </w:t>
      </w:r>
      <w:r w:rsidR="00E2372E" w:rsidRPr="00F16251">
        <w:rPr>
          <w:rFonts w:eastAsia="Calibri" w:cstheme="minorHAnsi"/>
        </w:rPr>
        <w:t>społecznoś</w:t>
      </w:r>
      <w:r w:rsidRPr="00F16251">
        <w:rPr>
          <w:rFonts w:eastAsia="Calibri" w:cstheme="minorHAnsi"/>
        </w:rPr>
        <w:t>ć</w:t>
      </w:r>
      <w:r w:rsidR="003B50ED" w:rsidRPr="00F16251">
        <w:rPr>
          <w:rFonts w:eastAsia="Calibri" w:cstheme="minorHAnsi"/>
        </w:rPr>
        <w:t xml:space="preserve"> </w:t>
      </w:r>
      <w:r w:rsidR="00E2372E" w:rsidRPr="00F16251">
        <w:rPr>
          <w:rFonts w:eastAsia="Calibri" w:cstheme="minorHAnsi"/>
        </w:rPr>
        <w:t>lokaln</w:t>
      </w:r>
      <w:r w:rsidRPr="00F16251">
        <w:rPr>
          <w:rFonts w:eastAsia="Calibri" w:cstheme="minorHAnsi"/>
        </w:rPr>
        <w:t>ą</w:t>
      </w:r>
      <w:r w:rsidR="003B50ED" w:rsidRPr="00F16251">
        <w:rPr>
          <w:rFonts w:eastAsia="Calibri" w:cstheme="minorHAnsi"/>
        </w:rPr>
        <w:t xml:space="preserve"> </w:t>
      </w:r>
      <w:r w:rsidR="00E2372E" w:rsidRPr="00F16251">
        <w:rPr>
          <w:rFonts w:eastAsia="Calibri" w:cstheme="minorHAnsi"/>
        </w:rPr>
        <w:t>w</w:t>
      </w:r>
      <w:r w:rsidR="003B50ED" w:rsidRPr="00F16251">
        <w:rPr>
          <w:rFonts w:eastAsia="Calibri" w:cstheme="minorHAnsi"/>
        </w:rPr>
        <w:t xml:space="preserve"> </w:t>
      </w:r>
      <w:r w:rsidR="00E2372E" w:rsidRPr="00F16251">
        <w:rPr>
          <w:rFonts w:eastAsia="Calibri" w:cstheme="minorHAnsi"/>
        </w:rPr>
        <w:t>życiu</w:t>
      </w:r>
      <w:r w:rsidR="003B50ED" w:rsidRPr="00F16251">
        <w:rPr>
          <w:rFonts w:eastAsia="Calibri" w:cstheme="minorHAnsi"/>
        </w:rPr>
        <w:t xml:space="preserve"> </w:t>
      </w:r>
      <w:r w:rsidR="0043248A" w:rsidRPr="00F16251">
        <w:rPr>
          <w:rFonts w:eastAsia="Calibri" w:cstheme="minorHAnsi"/>
        </w:rPr>
        <w:t>każdej</w:t>
      </w:r>
      <w:r w:rsidR="003B50ED" w:rsidRPr="00F16251">
        <w:rPr>
          <w:rFonts w:eastAsia="Calibri" w:cstheme="minorHAnsi"/>
        </w:rPr>
        <w:t xml:space="preserve"> </w:t>
      </w:r>
      <w:r w:rsidR="0043248A" w:rsidRPr="00F16251">
        <w:rPr>
          <w:rFonts w:eastAsia="Calibri" w:cstheme="minorHAnsi"/>
        </w:rPr>
        <w:t>organizacji</w:t>
      </w:r>
      <w:r w:rsidR="003B50ED" w:rsidRPr="00F16251">
        <w:rPr>
          <w:rFonts w:eastAsia="Calibri" w:cstheme="minorHAnsi"/>
        </w:rPr>
        <w:t xml:space="preserve"> </w:t>
      </w:r>
      <w:r w:rsidR="00E2372E" w:rsidRPr="00F16251">
        <w:rPr>
          <w:rFonts w:eastAsia="Calibri" w:cstheme="minorHAnsi"/>
        </w:rPr>
        <w:t>są</w:t>
      </w:r>
      <w:r w:rsidR="003B50ED" w:rsidRPr="00F16251">
        <w:rPr>
          <w:rFonts w:eastAsia="Calibri" w:cstheme="minorHAnsi"/>
        </w:rPr>
        <w:t xml:space="preserve"> </w:t>
      </w:r>
      <w:r w:rsidR="00E2372E" w:rsidRPr="00F16251">
        <w:rPr>
          <w:rFonts w:eastAsia="Calibri" w:cstheme="minorHAnsi"/>
          <w:b/>
          <w:bCs/>
        </w:rPr>
        <w:t>badania</w:t>
      </w:r>
      <w:r w:rsidR="003B50ED" w:rsidRPr="00F16251">
        <w:rPr>
          <w:rFonts w:eastAsia="Calibri" w:cstheme="minorHAnsi"/>
          <w:b/>
          <w:bCs/>
        </w:rPr>
        <w:t xml:space="preserve"> </w:t>
      </w:r>
      <w:r w:rsidR="00E2372E" w:rsidRPr="00F16251">
        <w:rPr>
          <w:rFonts w:eastAsia="Calibri" w:cstheme="minorHAnsi"/>
          <w:b/>
          <w:bCs/>
        </w:rPr>
        <w:t>ankietowe.</w:t>
      </w:r>
      <w:r w:rsidR="003B50ED" w:rsidRPr="00F16251">
        <w:rPr>
          <w:rFonts w:eastAsia="Calibri" w:cstheme="minorHAnsi"/>
          <w:b/>
          <w:bCs/>
        </w:rPr>
        <w:t xml:space="preserve"> </w:t>
      </w:r>
      <w:bookmarkStart w:id="28" w:name="_Hlk136205575"/>
      <w:r w:rsidR="00E2372E" w:rsidRPr="00F16251">
        <w:rPr>
          <w:rFonts w:eastAsia="Calibri" w:cstheme="minorHAnsi"/>
          <w:kern w:val="0"/>
          <w14:ligatures w14:val="none"/>
        </w:rPr>
        <w:t>W</w:t>
      </w:r>
      <w:r w:rsidR="003B50ED" w:rsidRPr="00F16251">
        <w:rPr>
          <w:rFonts w:eastAsia="Calibri" w:cstheme="minorHAnsi"/>
          <w:kern w:val="0"/>
          <w14:ligatures w14:val="none"/>
        </w:rPr>
        <w:t xml:space="preserve"> </w:t>
      </w:r>
      <w:r w:rsidR="00E2372E" w:rsidRPr="00F16251">
        <w:rPr>
          <w:rFonts w:eastAsia="Calibri" w:cstheme="minorHAnsi"/>
          <w:kern w:val="0"/>
          <w14:ligatures w14:val="none"/>
        </w:rPr>
        <w:t>przypadku</w:t>
      </w:r>
      <w:r w:rsidR="003B50ED" w:rsidRPr="00F16251">
        <w:rPr>
          <w:rFonts w:eastAsia="Calibri" w:cstheme="minorHAnsi"/>
          <w:kern w:val="0"/>
          <w14:ligatures w14:val="none"/>
        </w:rPr>
        <w:t xml:space="preserve"> </w:t>
      </w:r>
      <w:r w:rsidR="003260B4" w:rsidRPr="00F16251">
        <w:rPr>
          <w:rFonts w:cstheme="minorHAnsi"/>
        </w:rPr>
        <w:t xml:space="preserve">Stowarzyszenia „Solidarni w Partnerstwie” </w:t>
      </w:r>
      <w:r w:rsidR="00E2372E" w:rsidRPr="00F16251">
        <w:rPr>
          <w:rFonts w:eastAsia="Calibri" w:cstheme="minorHAnsi"/>
          <w:kern w:val="0"/>
          <w14:ligatures w14:val="none"/>
        </w:rPr>
        <w:t>udział</w:t>
      </w:r>
      <w:r w:rsidR="003B50ED" w:rsidRPr="00F16251">
        <w:rPr>
          <w:rFonts w:eastAsia="Calibri" w:cstheme="minorHAnsi"/>
          <w:kern w:val="0"/>
          <w14:ligatures w14:val="none"/>
        </w:rPr>
        <w:t xml:space="preserve"> </w:t>
      </w:r>
      <w:r w:rsidR="00E2372E" w:rsidRPr="00F16251">
        <w:rPr>
          <w:rFonts w:eastAsia="Calibri" w:cstheme="minorHAnsi"/>
          <w:kern w:val="0"/>
          <w14:ligatures w14:val="none"/>
        </w:rPr>
        <w:t>w</w:t>
      </w:r>
      <w:r w:rsidR="003B50ED" w:rsidRPr="00F16251">
        <w:rPr>
          <w:rFonts w:eastAsia="Calibri" w:cstheme="minorHAnsi"/>
          <w:kern w:val="0"/>
          <w14:ligatures w14:val="none"/>
        </w:rPr>
        <w:t xml:space="preserve"> </w:t>
      </w:r>
      <w:r w:rsidR="00E2372E" w:rsidRPr="00F16251">
        <w:rPr>
          <w:rFonts w:eastAsia="Calibri" w:cstheme="minorHAnsi"/>
          <w:kern w:val="0"/>
          <w14:ligatures w14:val="none"/>
        </w:rPr>
        <w:t>tej</w:t>
      </w:r>
      <w:r w:rsidR="003B50ED" w:rsidRPr="00F16251">
        <w:rPr>
          <w:rFonts w:eastAsia="Calibri" w:cstheme="minorHAnsi"/>
          <w:kern w:val="0"/>
          <w14:ligatures w14:val="none"/>
        </w:rPr>
        <w:t xml:space="preserve"> </w:t>
      </w:r>
      <w:r w:rsidR="00E2372E" w:rsidRPr="00F16251">
        <w:rPr>
          <w:rFonts w:eastAsia="Calibri" w:cstheme="minorHAnsi"/>
          <w:kern w:val="0"/>
          <w14:ligatures w14:val="none"/>
        </w:rPr>
        <w:t>formie</w:t>
      </w:r>
      <w:r w:rsidR="003B50ED" w:rsidRPr="00F16251">
        <w:rPr>
          <w:rFonts w:eastAsia="Calibri" w:cstheme="minorHAnsi"/>
          <w:kern w:val="0"/>
          <w14:ligatures w14:val="none"/>
        </w:rPr>
        <w:t xml:space="preserve"> </w:t>
      </w:r>
      <w:r w:rsidR="00E2372E" w:rsidRPr="00F16251">
        <w:rPr>
          <w:rFonts w:eastAsia="Calibri" w:cstheme="minorHAnsi"/>
          <w:kern w:val="0"/>
          <w14:ligatures w14:val="none"/>
        </w:rPr>
        <w:t>zaangażowania</w:t>
      </w:r>
      <w:r w:rsidR="003B50ED" w:rsidRPr="00F16251">
        <w:rPr>
          <w:rFonts w:eastAsia="Calibri" w:cstheme="minorHAnsi"/>
          <w:kern w:val="0"/>
          <w14:ligatures w14:val="none"/>
        </w:rPr>
        <w:t xml:space="preserve"> </w:t>
      </w:r>
      <w:r w:rsidR="00E2372E" w:rsidRPr="00F16251">
        <w:rPr>
          <w:rFonts w:eastAsia="Calibri" w:cstheme="minorHAnsi"/>
          <w:kern w:val="0"/>
          <w14:ligatures w14:val="none"/>
        </w:rPr>
        <w:t>wzięło</w:t>
      </w:r>
      <w:r w:rsidR="003B50ED" w:rsidRPr="00F16251">
        <w:rPr>
          <w:rFonts w:eastAsia="Calibri" w:cstheme="minorHAnsi"/>
          <w:kern w:val="0"/>
          <w14:ligatures w14:val="none"/>
        </w:rPr>
        <w:t xml:space="preserve"> </w:t>
      </w:r>
      <w:r w:rsidR="008F45EE" w:rsidRPr="00F16251">
        <w:rPr>
          <w:rFonts w:eastAsia="Calibri" w:cstheme="minorHAnsi"/>
          <w:kern w:val="0"/>
          <w14:ligatures w14:val="none"/>
        </w:rPr>
        <w:t>150</w:t>
      </w:r>
      <w:r w:rsidR="003B50ED" w:rsidRPr="00F16251">
        <w:rPr>
          <w:rFonts w:eastAsia="Calibri" w:cstheme="minorHAnsi"/>
          <w:kern w:val="0"/>
          <w14:ligatures w14:val="none"/>
        </w:rPr>
        <w:t xml:space="preserve"> </w:t>
      </w:r>
      <w:r w:rsidR="00E2372E" w:rsidRPr="00F16251">
        <w:rPr>
          <w:rFonts w:eastAsia="Calibri" w:cstheme="minorHAnsi"/>
          <w:kern w:val="0"/>
          <w14:ligatures w14:val="none"/>
        </w:rPr>
        <w:t>osób,</w:t>
      </w:r>
      <w:r w:rsidR="003B50ED" w:rsidRPr="00F16251">
        <w:rPr>
          <w:rFonts w:eastAsia="Calibri" w:cstheme="minorHAnsi"/>
          <w:kern w:val="0"/>
          <w14:ligatures w14:val="none"/>
        </w:rPr>
        <w:t xml:space="preserve"> </w:t>
      </w:r>
      <w:r w:rsidR="00E2372E" w:rsidRPr="00F16251">
        <w:rPr>
          <w:rFonts w:eastAsia="Calibri" w:cstheme="minorHAnsi"/>
          <w:kern w:val="0"/>
          <w14:ligatures w14:val="none"/>
        </w:rPr>
        <w:t>czego</w:t>
      </w:r>
      <w:r w:rsidR="003B50ED" w:rsidRPr="00F16251">
        <w:rPr>
          <w:rFonts w:eastAsia="Calibri" w:cstheme="minorHAnsi"/>
          <w:kern w:val="0"/>
          <w14:ligatures w14:val="none"/>
        </w:rPr>
        <w:t xml:space="preserve"> </w:t>
      </w:r>
      <w:r w:rsidR="00E2372E" w:rsidRPr="00F16251">
        <w:rPr>
          <w:rFonts w:eastAsia="Calibri" w:cstheme="minorHAnsi"/>
          <w:kern w:val="0"/>
          <w14:ligatures w14:val="none"/>
        </w:rPr>
        <w:t>potwierdzeniem</w:t>
      </w:r>
      <w:r w:rsidR="003B50ED" w:rsidRPr="00F16251">
        <w:rPr>
          <w:rFonts w:eastAsia="Calibri" w:cstheme="minorHAnsi"/>
          <w:kern w:val="0"/>
          <w14:ligatures w14:val="none"/>
        </w:rPr>
        <w:t xml:space="preserve"> </w:t>
      </w:r>
      <w:r w:rsidR="00E2372E" w:rsidRPr="00F16251">
        <w:rPr>
          <w:rFonts w:eastAsia="Calibri" w:cstheme="minorHAnsi"/>
          <w:kern w:val="0"/>
          <w14:ligatures w14:val="none"/>
        </w:rPr>
        <w:t>jest</w:t>
      </w:r>
      <w:r w:rsidR="003B50ED" w:rsidRPr="00F16251">
        <w:rPr>
          <w:rFonts w:eastAsia="Calibri" w:cstheme="minorHAnsi"/>
          <w:kern w:val="0"/>
          <w14:ligatures w14:val="none"/>
        </w:rPr>
        <w:t xml:space="preserve"> </w:t>
      </w:r>
      <w:r w:rsidR="00E2372E" w:rsidRPr="00F16251">
        <w:rPr>
          <w:rFonts w:eastAsia="Calibri" w:cstheme="minorHAnsi"/>
          <w:kern w:val="0"/>
          <w14:ligatures w14:val="none"/>
        </w:rPr>
        <w:t>sporządzone</w:t>
      </w:r>
      <w:r w:rsidR="003B50ED" w:rsidRPr="00F16251">
        <w:rPr>
          <w:rFonts w:eastAsia="Calibri" w:cstheme="minorHAnsi"/>
          <w:kern w:val="0"/>
          <w14:ligatures w14:val="none"/>
        </w:rPr>
        <w:t xml:space="preserve"> </w:t>
      </w:r>
      <w:r w:rsidR="00E2372E" w:rsidRPr="00F16251">
        <w:rPr>
          <w:rFonts w:eastAsia="Calibri" w:cstheme="minorHAnsi"/>
          <w:kern w:val="0"/>
          <w14:ligatures w14:val="none"/>
        </w:rPr>
        <w:t>zestawienie</w:t>
      </w:r>
      <w:r w:rsidR="003B50ED" w:rsidRPr="00F16251">
        <w:rPr>
          <w:rFonts w:eastAsia="Calibri" w:cstheme="minorHAnsi"/>
          <w:kern w:val="0"/>
          <w14:ligatures w14:val="none"/>
        </w:rPr>
        <w:t xml:space="preserve"> </w:t>
      </w:r>
      <w:r w:rsidR="00E2372E" w:rsidRPr="00F16251">
        <w:rPr>
          <w:rFonts w:eastAsia="Calibri" w:cstheme="minorHAnsi"/>
          <w:kern w:val="0"/>
          <w14:ligatures w14:val="none"/>
        </w:rPr>
        <w:t>ankiet</w:t>
      </w:r>
      <w:bookmarkEnd w:id="28"/>
      <w:r w:rsidR="00E2372E" w:rsidRPr="00F16251">
        <w:rPr>
          <w:rFonts w:eastAsia="Calibri" w:cstheme="minorHAnsi"/>
        </w:rPr>
        <w:t>.</w:t>
      </w:r>
      <w:r w:rsidR="003B50ED" w:rsidRPr="00F16251">
        <w:rPr>
          <w:rFonts w:eastAsia="Calibri" w:cstheme="minorHAnsi"/>
        </w:rPr>
        <w:t xml:space="preserve"> </w:t>
      </w:r>
      <w:r w:rsidR="00E2372E" w:rsidRPr="00F16251">
        <w:rPr>
          <w:rFonts w:eastAsia="Calibri" w:cstheme="minorHAnsi"/>
        </w:rPr>
        <w:t>Dołożono</w:t>
      </w:r>
      <w:r w:rsidR="003B50ED" w:rsidRPr="00F16251">
        <w:rPr>
          <w:rFonts w:eastAsia="Calibri" w:cstheme="minorHAnsi"/>
        </w:rPr>
        <w:t xml:space="preserve"> </w:t>
      </w:r>
      <w:r w:rsidR="00E2372E" w:rsidRPr="00F16251">
        <w:rPr>
          <w:rFonts w:eastAsia="Calibri" w:cstheme="minorHAnsi"/>
        </w:rPr>
        <w:t>wszelkich</w:t>
      </w:r>
      <w:r w:rsidR="003B50ED" w:rsidRPr="00F16251">
        <w:rPr>
          <w:rFonts w:eastAsia="Calibri" w:cstheme="minorHAnsi"/>
        </w:rPr>
        <w:t xml:space="preserve"> </w:t>
      </w:r>
      <w:r w:rsidR="00E2372E" w:rsidRPr="00F16251">
        <w:rPr>
          <w:rFonts w:eastAsia="Calibri" w:cstheme="minorHAnsi"/>
        </w:rPr>
        <w:t>starań</w:t>
      </w:r>
      <w:r w:rsidR="003B50ED" w:rsidRPr="00F16251">
        <w:rPr>
          <w:rFonts w:eastAsia="Calibri" w:cstheme="minorHAnsi"/>
        </w:rPr>
        <w:t xml:space="preserve"> </w:t>
      </w:r>
      <w:r w:rsidR="00E2372E" w:rsidRPr="00F16251">
        <w:rPr>
          <w:rFonts w:eastAsia="Calibri" w:cstheme="minorHAnsi"/>
        </w:rPr>
        <w:t>aby</w:t>
      </w:r>
      <w:r w:rsidR="003B50ED" w:rsidRPr="00F16251">
        <w:rPr>
          <w:rFonts w:eastAsia="Calibri" w:cstheme="minorHAnsi"/>
        </w:rPr>
        <w:t xml:space="preserve"> </w:t>
      </w:r>
      <w:r w:rsidR="00E2372E" w:rsidRPr="00F16251">
        <w:rPr>
          <w:rFonts w:eastAsia="Calibri" w:cstheme="minorHAnsi"/>
        </w:rPr>
        <w:t>kwestionariusze</w:t>
      </w:r>
      <w:r w:rsidR="003B50ED" w:rsidRPr="00F16251">
        <w:rPr>
          <w:rFonts w:eastAsia="Calibri" w:cstheme="minorHAnsi"/>
        </w:rPr>
        <w:t xml:space="preserve"> </w:t>
      </w:r>
      <w:r w:rsidR="00E2372E" w:rsidRPr="00F16251">
        <w:rPr>
          <w:rFonts w:eastAsia="Calibri" w:cstheme="minorHAnsi"/>
        </w:rPr>
        <w:t>dotarły</w:t>
      </w:r>
      <w:r w:rsidR="003B50ED" w:rsidRPr="00F16251">
        <w:rPr>
          <w:rFonts w:eastAsia="Calibri" w:cstheme="minorHAnsi"/>
        </w:rPr>
        <w:t xml:space="preserve"> </w:t>
      </w:r>
      <w:r w:rsidR="00E2372E" w:rsidRPr="00F16251">
        <w:rPr>
          <w:rFonts w:eastAsia="Calibri" w:cstheme="minorHAnsi"/>
        </w:rPr>
        <w:t>do</w:t>
      </w:r>
      <w:r w:rsidR="003B50ED" w:rsidRPr="00F16251">
        <w:rPr>
          <w:rFonts w:eastAsia="Calibri" w:cstheme="minorHAnsi"/>
        </w:rPr>
        <w:t xml:space="preserve"> </w:t>
      </w:r>
      <w:r w:rsidR="00E2372E" w:rsidRPr="00F16251">
        <w:rPr>
          <w:rFonts w:eastAsia="Calibri" w:cstheme="minorHAnsi"/>
        </w:rPr>
        <w:t>jak</w:t>
      </w:r>
      <w:r w:rsidR="003B50ED" w:rsidRPr="00F16251">
        <w:rPr>
          <w:rFonts w:eastAsia="Calibri" w:cstheme="minorHAnsi"/>
        </w:rPr>
        <w:t xml:space="preserve"> </w:t>
      </w:r>
      <w:r w:rsidR="00E2372E" w:rsidRPr="00F16251">
        <w:rPr>
          <w:rFonts w:eastAsia="Calibri" w:cstheme="minorHAnsi"/>
        </w:rPr>
        <w:t>największej</w:t>
      </w:r>
      <w:r w:rsidR="003B50ED" w:rsidRPr="00F16251">
        <w:rPr>
          <w:rFonts w:eastAsia="Calibri" w:cstheme="minorHAnsi"/>
        </w:rPr>
        <w:t xml:space="preserve"> </w:t>
      </w:r>
      <w:r w:rsidR="00E2372E" w:rsidRPr="00F16251">
        <w:rPr>
          <w:rFonts w:eastAsia="Calibri" w:cstheme="minorHAnsi"/>
        </w:rPr>
        <w:t>liczy</w:t>
      </w:r>
      <w:r w:rsidR="003B50ED" w:rsidRPr="00F16251">
        <w:rPr>
          <w:rFonts w:eastAsia="Calibri" w:cstheme="minorHAnsi"/>
        </w:rPr>
        <w:t xml:space="preserve"> </w:t>
      </w:r>
      <w:r w:rsidR="00E2372E" w:rsidRPr="00F16251">
        <w:rPr>
          <w:rFonts w:eastAsia="Calibri" w:cstheme="minorHAnsi"/>
        </w:rPr>
        <w:t>osób.</w:t>
      </w:r>
      <w:r w:rsidR="003B50ED" w:rsidRPr="00F16251">
        <w:rPr>
          <w:rFonts w:eastAsia="Calibri" w:cstheme="minorHAnsi"/>
        </w:rPr>
        <w:t xml:space="preserve"> </w:t>
      </w:r>
      <w:r w:rsidR="00E2372E" w:rsidRPr="00F16251">
        <w:rPr>
          <w:rFonts w:eastAsia="Calibri" w:cstheme="minorHAnsi"/>
        </w:rPr>
        <w:t>Ankiety</w:t>
      </w:r>
      <w:r w:rsidR="003B50ED" w:rsidRPr="00F16251">
        <w:rPr>
          <w:rFonts w:eastAsia="Calibri" w:cstheme="minorHAnsi"/>
        </w:rPr>
        <w:t xml:space="preserve"> </w:t>
      </w:r>
      <w:r w:rsidR="00E2372E" w:rsidRPr="00F16251">
        <w:rPr>
          <w:rFonts w:eastAsia="Calibri" w:cstheme="minorHAnsi"/>
        </w:rPr>
        <w:t>zostały</w:t>
      </w:r>
      <w:r w:rsidR="003B50ED" w:rsidRPr="00F16251">
        <w:rPr>
          <w:rFonts w:eastAsia="Calibri" w:cstheme="minorHAnsi"/>
        </w:rPr>
        <w:t xml:space="preserve"> </w:t>
      </w:r>
      <w:r w:rsidR="00E2372E" w:rsidRPr="00F16251">
        <w:rPr>
          <w:rFonts w:eastAsia="Calibri" w:cstheme="minorHAnsi"/>
        </w:rPr>
        <w:t>rozdysponowane</w:t>
      </w:r>
      <w:r w:rsidR="003B50ED" w:rsidRPr="00F16251">
        <w:rPr>
          <w:rFonts w:eastAsia="Calibri" w:cstheme="minorHAnsi"/>
        </w:rPr>
        <w:t xml:space="preserve"> </w:t>
      </w:r>
      <w:r w:rsidR="00E2372E" w:rsidRPr="00F16251">
        <w:rPr>
          <w:rFonts w:eastAsia="Calibri" w:cstheme="minorHAnsi"/>
        </w:rPr>
        <w:t>na</w:t>
      </w:r>
      <w:r w:rsidR="003B50ED" w:rsidRPr="00F16251">
        <w:rPr>
          <w:rFonts w:eastAsia="Calibri" w:cstheme="minorHAnsi"/>
        </w:rPr>
        <w:t xml:space="preserve"> </w:t>
      </w:r>
      <w:r w:rsidR="00E2372E" w:rsidRPr="00F16251">
        <w:rPr>
          <w:rFonts w:eastAsia="Calibri" w:cstheme="minorHAnsi"/>
        </w:rPr>
        <w:t>obszarze</w:t>
      </w:r>
      <w:r w:rsidR="003B50ED" w:rsidRPr="00F16251">
        <w:rPr>
          <w:rFonts w:eastAsia="Calibri" w:cstheme="minorHAnsi"/>
        </w:rPr>
        <w:t xml:space="preserve"> </w:t>
      </w:r>
      <w:r w:rsidR="00E2372E" w:rsidRPr="00F16251">
        <w:rPr>
          <w:rFonts w:eastAsia="Calibri" w:cstheme="minorHAnsi"/>
        </w:rPr>
        <w:t>objętym</w:t>
      </w:r>
      <w:r w:rsidR="003B50ED" w:rsidRPr="00F16251">
        <w:rPr>
          <w:rFonts w:eastAsia="Calibri" w:cstheme="minorHAnsi"/>
        </w:rPr>
        <w:t xml:space="preserve"> </w:t>
      </w:r>
      <w:r w:rsidR="00E2372E" w:rsidRPr="00F16251">
        <w:rPr>
          <w:rFonts w:eastAsia="Calibri" w:cstheme="minorHAnsi"/>
        </w:rPr>
        <w:t>LSR</w:t>
      </w:r>
      <w:r w:rsidR="003B50ED" w:rsidRPr="00F16251">
        <w:rPr>
          <w:rFonts w:eastAsia="Calibri" w:cstheme="minorHAnsi"/>
        </w:rPr>
        <w:t xml:space="preserve"> </w:t>
      </w:r>
      <w:r w:rsidR="00153FDC">
        <w:rPr>
          <w:rFonts w:eastAsia="Calibri" w:cstheme="minorHAnsi"/>
        </w:rPr>
        <w:t xml:space="preserve"> </w:t>
      </w:r>
      <w:r w:rsidR="00E2372E" w:rsidRPr="00F16251">
        <w:rPr>
          <w:rFonts w:eastAsia="Calibri" w:cstheme="minorHAnsi"/>
        </w:rPr>
        <w:t>i</w:t>
      </w:r>
      <w:r w:rsidR="003B50ED" w:rsidRPr="00F16251">
        <w:rPr>
          <w:rFonts w:eastAsia="Calibri" w:cstheme="minorHAnsi"/>
        </w:rPr>
        <w:t xml:space="preserve"> </w:t>
      </w:r>
      <w:r w:rsidR="00E2372E" w:rsidRPr="00F16251">
        <w:rPr>
          <w:rFonts w:eastAsia="Calibri" w:cstheme="minorHAnsi"/>
        </w:rPr>
        <w:t>zostały</w:t>
      </w:r>
      <w:r w:rsidR="003B50ED" w:rsidRPr="00F16251">
        <w:rPr>
          <w:rFonts w:eastAsia="Calibri" w:cstheme="minorHAnsi"/>
        </w:rPr>
        <w:t xml:space="preserve"> </w:t>
      </w:r>
      <w:r w:rsidR="00E2372E" w:rsidRPr="00F16251">
        <w:rPr>
          <w:rFonts w:eastAsia="Calibri" w:cstheme="minorHAnsi"/>
        </w:rPr>
        <w:t>wypełnione</w:t>
      </w:r>
      <w:r w:rsidR="003B50ED" w:rsidRPr="00F16251">
        <w:rPr>
          <w:rFonts w:eastAsia="Calibri" w:cstheme="minorHAnsi"/>
        </w:rPr>
        <w:t xml:space="preserve"> </w:t>
      </w:r>
      <w:r w:rsidR="00E2372E" w:rsidRPr="00F16251">
        <w:rPr>
          <w:rFonts w:eastAsia="Calibri" w:cstheme="minorHAnsi"/>
        </w:rPr>
        <w:t>przez</w:t>
      </w:r>
      <w:r w:rsidR="003B50ED" w:rsidRPr="00F16251">
        <w:rPr>
          <w:rFonts w:eastAsia="Calibri" w:cstheme="minorHAnsi"/>
        </w:rPr>
        <w:t xml:space="preserve"> </w:t>
      </w:r>
      <w:r w:rsidR="00E2372E" w:rsidRPr="00F16251">
        <w:rPr>
          <w:rFonts w:eastAsia="Calibri" w:cstheme="minorHAnsi"/>
        </w:rPr>
        <w:t>mieszkańców,</w:t>
      </w:r>
      <w:r w:rsidR="003B50ED" w:rsidRPr="00F16251">
        <w:rPr>
          <w:rFonts w:eastAsia="Calibri" w:cstheme="minorHAnsi"/>
        </w:rPr>
        <w:t xml:space="preserve"> </w:t>
      </w:r>
      <w:r w:rsidR="00E2372E" w:rsidRPr="00F16251">
        <w:rPr>
          <w:rFonts w:eastAsia="Calibri" w:cstheme="minorHAnsi"/>
        </w:rPr>
        <w:t>w</w:t>
      </w:r>
      <w:r w:rsidR="003B50ED" w:rsidRPr="00F16251">
        <w:rPr>
          <w:rFonts w:eastAsia="Calibri" w:cstheme="minorHAnsi"/>
        </w:rPr>
        <w:t xml:space="preserve"> </w:t>
      </w:r>
      <w:r w:rsidR="00E2372E" w:rsidRPr="00F16251">
        <w:rPr>
          <w:rFonts w:eastAsia="Calibri" w:cstheme="minorHAnsi"/>
        </w:rPr>
        <w:t>tym</w:t>
      </w:r>
      <w:r w:rsidR="003B50ED" w:rsidRPr="00F16251">
        <w:rPr>
          <w:rFonts w:eastAsia="Calibri" w:cstheme="minorHAnsi"/>
        </w:rPr>
        <w:t xml:space="preserve"> </w:t>
      </w:r>
      <w:r w:rsidR="00E2372E" w:rsidRPr="00F16251">
        <w:rPr>
          <w:rFonts w:eastAsia="Calibri" w:cstheme="minorHAnsi"/>
        </w:rPr>
        <w:t>osoby</w:t>
      </w:r>
      <w:r w:rsidR="003B50ED" w:rsidRPr="00F16251">
        <w:rPr>
          <w:rFonts w:eastAsia="Calibri" w:cstheme="minorHAnsi"/>
        </w:rPr>
        <w:t xml:space="preserve"> </w:t>
      </w:r>
      <w:r w:rsidR="00E2372E" w:rsidRPr="00F16251">
        <w:rPr>
          <w:rFonts w:eastAsia="Calibri" w:cstheme="minorHAnsi"/>
        </w:rPr>
        <w:t>młode,</w:t>
      </w:r>
      <w:r w:rsidR="003B50ED" w:rsidRPr="00F16251">
        <w:rPr>
          <w:rFonts w:eastAsia="Calibri" w:cstheme="minorHAnsi"/>
        </w:rPr>
        <w:t xml:space="preserve"> </w:t>
      </w:r>
      <w:r w:rsidR="00E2372E" w:rsidRPr="00F16251">
        <w:rPr>
          <w:rFonts w:eastAsia="Calibri" w:cstheme="minorHAnsi"/>
        </w:rPr>
        <w:t>seniorów,</w:t>
      </w:r>
      <w:r w:rsidR="003B50ED" w:rsidRPr="00F16251">
        <w:rPr>
          <w:rFonts w:eastAsia="Calibri" w:cstheme="minorHAnsi"/>
        </w:rPr>
        <w:t xml:space="preserve"> </w:t>
      </w:r>
      <w:r w:rsidR="00E2372E" w:rsidRPr="00F16251">
        <w:rPr>
          <w:rFonts w:eastAsia="Calibri" w:cstheme="minorHAnsi"/>
        </w:rPr>
        <w:t>osoby</w:t>
      </w:r>
      <w:r w:rsidR="003B50ED" w:rsidRPr="00F16251">
        <w:rPr>
          <w:rFonts w:eastAsia="Calibri" w:cstheme="minorHAnsi"/>
        </w:rPr>
        <w:t xml:space="preserve"> </w:t>
      </w:r>
      <w:r w:rsidR="00E2372E" w:rsidRPr="00F16251">
        <w:rPr>
          <w:rFonts w:eastAsia="Calibri" w:cstheme="minorHAnsi"/>
        </w:rPr>
        <w:t>w</w:t>
      </w:r>
      <w:r w:rsidR="003B50ED" w:rsidRPr="00F16251">
        <w:rPr>
          <w:rFonts w:eastAsia="Calibri" w:cstheme="minorHAnsi"/>
        </w:rPr>
        <w:t xml:space="preserve"> </w:t>
      </w:r>
      <w:r w:rsidR="00AB742D" w:rsidRPr="00F16251">
        <w:rPr>
          <w:rFonts w:eastAsia="Calibri" w:cstheme="minorHAnsi"/>
        </w:rPr>
        <w:t>niekorzyst</w:t>
      </w:r>
      <w:r w:rsidR="00E2372E" w:rsidRPr="00F16251">
        <w:rPr>
          <w:rFonts w:eastAsia="Calibri" w:cstheme="minorHAnsi"/>
        </w:rPr>
        <w:t>nej</w:t>
      </w:r>
      <w:r w:rsidR="003B50ED" w:rsidRPr="00F16251">
        <w:rPr>
          <w:rFonts w:eastAsia="Calibri" w:cstheme="minorHAnsi"/>
        </w:rPr>
        <w:t xml:space="preserve"> </w:t>
      </w:r>
      <w:r w:rsidR="00E2372E" w:rsidRPr="00F16251">
        <w:rPr>
          <w:rFonts w:eastAsia="Calibri" w:cstheme="minorHAnsi"/>
        </w:rPr>
        <w:t>sytuacji</w:t>
      </w:r>
      <w:r w:rsidR="003B50ED" w:rsidRPr="00F16251">
        <w:rPr>
          <w:rFonts w:eastAsia="Calibri" w:cstheme="minorHAnsi"/>
        </w:rPr>
        <w:t xml:space="preserve"> </w:t>
      </w:r>
      <w:r w:rsidR="00E2372E" w:rsidRPr="00F16251">
        <w:rPr>
          <w:rFonts w:eastAsia="Calibri" w:cstheme="minorHAnsi"/>
        </w:rPr>
        <w:t>oraz</w:t>
      </w:r>
      <w:r w:rsidR="003B50ED" w:rsidRPr="00F16251">
        <w:rPr>
          <w:rFonts w:eastAsia="Calibri" w:cstheme="minorHAnsi"/>
        </w:rPr>
        <w:t xml:space="preserve"> </w:t>
      </w:r>
      <w:r w:rsidR="00E2372E" w:rsidRPr="00F16251">
        <w:rPr>
          <w:rFonts w:eastAsia="Calibri" w:cstheme="minorHAnsi"/>
        </w:rPr>
        <w:t>przedstawicieli</w:t>
      </w:r>
      <w:r w:rsidR="003B50ED" w:rsidRPr="00F16251">
        <w:rPr>
          <w:rFonts w:eastAsia="Calibri" w:cstheme="minorHAnsi"/>
        </w:rPr>
        <w:t xml:space="preserve"> </w:t>
      </w:r>
      <w:r w:rsidR="00E2372E" w:rsidRPr="00F16251">
        <w:rPr>
          <w:rFonts w:eastAsia="Calibri" w:cstheme="minorHAnsi"/>
        </w:rPr>
        <w:t>zidentyfikowanych</w:t>
      </w:r>
      <w:r w:rsidR="003B50ED" w:rsidRPr="00F16251">
        <w:rPr>
          <w:rFonts w:eastAsia="Calibri" w:cstheme="minorHAnsi"/>
        </w:rPr>
        <w:t xml:space="preserve"> </w:t>
      </w:r>
      <w:r w:rsidR="00E2372E" w:rsidRPr="00F16251">
        <w:rPr>
          <w:rFonts w:eastAsia="Calibri" w:cstheme="minorHAnsi"/>
        </w:rPr>
        <w:t>grup</w:t>
      </w:r>
      <w:r w:rsidR="003B50ED" w:rsidRPr="00F16251">
        <w:rPr>
          <w:rFonts w:eastAsia="Calibri" w:cstheme="minorHAnsi"/>
        </w:rPr>
        <w:t xml:space="preserve"> </w:t>
      </w:r>
      <w:r w:rsidR="00E2372E" w:rsidRPr="00F16251">
        <w:rPr>
          <w:rFonts w:eastAsia="Calibri" w:cstheme="minorHAnsi"/>
        </w:rPr>
        <w:t>interesu</w:t>
      </w:r>
      <w:r w:rsidR="003B50ED" w:rsidRPr="00F16251">
        <w:rPr>
          <w:rFonts w:eastAsia="Calibri" w:cstheme="minorHAnsi"/>
        </w:rPr>
        <w:t xml:space="preserve"> </w:t>
      </w:r>
      <w:r w:rsidR="00E2372E" w:rsidRPr="00F16251">
        <w:rPr>
          <w:rFonts w:eastAsia="Calibri" w:cstheme="minorHAnsi"/>
        </w:rPr>
        <w:t>na</w:t>
      </w:r>
      <w:r w:rsidR="003B50ED" w:rsidRPr="00F16251">
        <w:rPr>
          <w:rFonts w:eastAsia="Calibri" w:cstheme="minorHAnsi"/>
        </w:rPr>
        <w:t xml:space="preserve"> </w:t>
      </w:r>
      <w:r w:rsidR="00E2372E" w:rsidRPr="00F16251">
        <w:rPr>
          <w:rFonts w:eastAsia="Calibri" w:cstheme="minorHAnsi"/>
        </w:rPr>
        <w:t>obszarze</w:t>
      </w:r>
      <w:r w:rsidR="003B50ED" w:rsidRPr="00F16251">
        <w:rPr>
          <w:rFonts w:eastAsia="Calibri" w:cstheme="minorHAnsi"/>
        </w:rPr>
        <w:t xml:space="preserve"> </w:t>
      </w:r>
      <w:r w:rsidR="00E2372E" w:rsidRPr="00F16251">
        <w:rPr>
          <w:rFonts w:eastAsia="Calibri" w:cstheme="minorHAnsi"/>
        </w:rPr>
        <w:t>LSR.</w:t>
      </w:r>
      <w:r w:rsidR="003B50ED" w:rsidRPr="00F16251">
        <w:rPr>
          <w:rFonts w:eastAsia="Calibri" w:cstheme="minorHAnsi"/>
        </w:rPr>
        <w:t xml:space="preserve"> </w:t>
      </w:r>
    </w:p>
    <w:p w14:paraId="593E7716" w14:textId="360AF52B" w:rsidR="00E2372E" w:rsidRPr="00F16251" w:rsidRDefault="00E2372E" w:rsidP="00A26C26">
      <w:pPr>
        <w:spacing w:line="276" w:lineRule="auto"/>
        <w:ind w:firstLine="284"/>
        <w:jc w:val="both"/>
        <w:rPr>
          <w:rFonts w:eastAsia="Calibri" w:cstheme="minorHAnsi"/>
        </w:rPr>
      </w:pPr>
      <w:r w:rsidRPr="00F16251">
        <w:rPr>
          <w:rFonts w:eastAsia="Calibri" w:cstheme="minorHAnsi"/>
        </w:rPr>
        <w:t>Respondenci</w:t>
      </w:r>
      <w:r w:rsidR="003B50ED" w:rsidRPr="00F16251">
        <w:rPr>
          <w:rFonts w:eastAsia="Calibri" w:cstheme="minorHAnsi"/>
        </w:rPr>
        <w:t xml:space="preserve"> </w:t>
      </w:r>
      <w:r w:rsidRPr="00F16251">
        <w:rPr>
          <w:rFonts w:eastAsia="Calibri" w:cstheme="minorHAnsi"/>
        </w:rPr>
        <w:t>wskazywali</w:t>
      </w:r>
      <w:r w:rsidR="003B50ED" w:rsidRPr="00F16251">
        <w:rPr>
          <w:rFonts w:eastAsia="Calibri" w:cstheme="minorHAnsi"/>
        </w:rPr>
        <w:t xml:space="preserve"> </w:t>
      </w:r>
      <w:r w:rsidRPr="00F16251">
        <w:rPr>
          <w:rFonts w:eastAsia="Calibri" w:cstheme="minorHAnsi"/>
        </w:rPr>
        <w:t>obszary,</w:t>
      </w:r>
      <w:r w:rsidR="003B50ED" w:rsidRPr="00F16251">
        <w:rPr>
          <w:rFonts w:eastAsia="Calibri" w:cstheme="minorHAnsi"/>
        </w:rPr>
        <w:t xml:space="preserve"> </w:t>
      </w:r>
      <w:r w:rsidRPr="00F16251">
        <w:rPr>
          <w:rFonts w:eastAsia="Calibri" w:cstheme="minorHAnsi"/>
        </w:rPr>
        <w:t>które</w:t>
      </w:r>
      <w:r w:rsidR="003B50ED" w:rsidRPr="00F16251">
        <w:rPr>
          <w:rFonts w:eastAsia="Calibri" w:cstheme="minorHAnsi"/>
        </w:rPr>
        <w:t xml:space="preserve"> </w:t>
      </w:r>
      <w:r w:rsidRPr="00F16251">
        <w:rPr>
          <w:rFonts w:eastAsia="Calibri" w:cstheme="minorHAnsi"/>
        </w:rPr>
        <w:t>ich</w:t>
      </w:r>
      <w:r w:rsidR="003B50ED" w:rsidRPr="00F16251">
        <w:rPr>
          <w:rFonts w:eastAsia="Calibri" w:cstheme="minorHAnsi"/>
        </w:rPr>
        <w:t xml:space="preserve"> </w:t>
      </w:r>
      <w:r w:rsidRPr="00F16251">
        <w:rPr>
          <w:rFonts w:eastAsia="Calibri" w:cstheme="minorHAnsi"/>
        </w:rPr>
        <w:t>zdaniem</w:t>
      </w:r>
      <w:r w:rsidR="003B50ED" w:rsidRPr="00F16251">
        <w:rPr>
          <w:rFonts w:eastAsia="Calibri" w:cstheme="minorHAnsi"/>
        </w:rPr>
        <w:t xml:space="preserve"> </w:t>
      </w:r>
      <w:r w:rsidRPr="00F16251">
        <w:rPr>
          <w:rFonts w:eastAsia="Calibri" w:cstheme="minorHAnsi"/>
        </w:rPr>
        <w:t>wymagają</w:t>
      </w:r>
      <w:r w:rsidR="003B50ED" w:rsidRPr="00F16251">
        <w:rPr>
          <w:rFonts w:eastAsia="Calibri" w:cstheme="minorHAnsi"/>
        </w:rPr>
        <w:t xml:space="preserve"> </w:t>
      </w:r>
      <w:r w:rsidRPr="00F16251">
        <w:rPr>
          <w:rFonts w:eastAsia="Calibri" w:cstheme="minorHAnsi"/>
        </w:rPr>
        <w:t>pilnej</w:t>
      </w:r>
      <w:r w:rsidR="003B50ED" w:rsidRPr="00F16251">
        <w:rPr>
          <w:rFonts w:eastAsia="Calibri" w:cstheme="minorHAnsi"/>
        </w:rPr>
        <w:t xml:space="preserve"> </w:t>
      </w:r>
      <w:r w:rsidRPr="00F16251">
        <w:rPr>
          <w:rFonts w:eastAsia="Calibri" w:cstheme="minorHAnsi"/>
        </w:rPr>
        <w:t>interwencji</w:t>
      </w:r>
      <w:r w:rsidR="003B50ED" w:rsidRPr="00F16251">
        <w:rPr>
          <w:rFonts w:eastAsia="Calibri" w:cstheme="minorHAnsi"/>
        </w:rPr>
        <w:t xml:space="preserve"> </w:t>
      </w:r>
      <w:r w:rsidRPr="00F16251">
        <w:rPr>
          <w:rFonts w:eastAsia="Calibri" w:cstheme="minorHAnsi"/>
        </w:rPr>
        <w:t>z</w:t>
      </w:r>
      <w:r w:rsidR="003B50ED" w:rsidRPr="00F16251">
        <w:rPr>
          <w:rFonts w:eastAsia="Calibri" w:cstheme="minorHAnsi"/>
        </w:rPr>
        <w:t xml:space="preserve"> </w:t>
      </w:r>
      <w:r w:rsidRPr="00F16251">
        <w:rPr>
          <w:rFonts w:eastAsia="Calibri" w:cstheme="minorHAnsi"/>
        </w:rPr>
        <w:t>wykorzystaniem</w:t>
      </w:r>
      <w:r w:rsidR="003B50ED" w:rsidRPr="00F16251">
        <w:rPr>
          <w:rFonts w:eastAsia="Calibri" w:cstheme="minorHAnsi"/>
        </w:rPr>
        <w:t xml:space="preserve"> </w:t>
      </w:r>
      <w:r w:rsidRPr="00F16251">
        <w:rPr>
          <w:rFonts w:eastAsia="Calibri" w:cstheme="minorHAnsi"/>
        </w:rPr>
        <w:t>potencjału</w:t>
      </w:r>
      <w:r w:rsidR="003B50ED" w:rsidRPr="00F16251">
        <w:rPr>
          <w:rFonts w:eastAsia="Calibri" w:cstheme="minorHAnsi"/>
        </w:rPr>
        <w:t xml:space="preserve"> </w:t>
      </w:r>
      <w:r w:rsidRPr="00F16251">
        <w:rPr>
          <w:rFonts w:eastAsia="Calibri" w:cstheme="minorHAnsi"/>
        </w:rPr>
        <w:t>jaki</w:t>
      </w:r>
      <w:r w:rsidR="003B50ED" w:rsidRPr="00F16251">
        <w:rPr>
          <w:rFonts w:eastAsia="Calibri" w:cstheme="minorHAnsi"/>
        </w:rPr>
        <w:t xml:space="preserve"> </w:t>
      </w:r>
      <w:r w:rsidRPr="00F16251">
        <w:rPr>
          <w:rFonts w:eastAsia="Calibri" w:cstheme="minorHAnsi"/>
        </w:rPr>
        <w:t>daje</w:t>
      </w:r>
      <w:r w:rsidR="003B50ED" w:rsidRPr="00F16251">
        <w:rPr>
          <w:rFonts w:eastAsia="Calibri" w:cstheme="minorHAnsi"/>
        </w:rPr>
        <w:t xml:space="preserve"> </w:t>
      </w:r>
      <w:r w:rsidRPr="00F16251">
        <w:rPr>
          <w:rFonts w:eastAsia="Calibri" w:cstheme="minorHAnsi"/>
        </w:rPr>
        <w:t>podejście</w:t>
      </w:r>
      <w:r w:rsidR="003B50ED" w:rsidRPr="00F16251">
        <w:rPr>
          <w:rFonts w:eastAsia="Calibri" w:cstheme="minorHAnsi"/>
        </w:rPr>
        <w:t xml:space="preserve"> </w:t>
      </w:r>
      <w:r w:rsidRPr="00F16251">
        <w:rPr>
          <w:rFonts w:eastAsia="Calibri" w:cstheme="minorHAnsi"/>
        </w:rPr>
        <w:t>LEADER</w:t>
      </w:r>
      <w:r w:rsidR="003B50ED" w:rsidRPr="00F16251">
        <w:rPr>
          <w:rFonts w:eastAsia="Calibri" w:cstheme="minorHAnsi"/>
        </w:rPr>
        <w:t xml:space="preserve"> </w:t>
      </w:r>
      <w:r w:rsidRPr="00F16251">
        <w:rPr>
          <w:rFonts w:eastAsia="Calibri" w:cstheme="minorHAnsi"/>
        </w:rPr>
        <w:t>jak</w:t>
      </w:r>
      <w:r w:rsidR="003B50ED" w:rsidRPr="00F16251">
        <w:rPr>
          <w:rFonts w:eastAsia="Calibri" w:cstheme="minorHAnsi"/>
        </w:rPr>
        <w:t xml:space="preserve"> </w:t>
      </w:r>
      <w:r w:rsidRPr="00F16251">
        <w:rPr>
          <w:rFonts w:eastAsia="Calibri" w:cstheme="minorHAnsi"/>
        </w:rPr>
        <w:t>również</w:t>
      </w:r>
      <w:r w:rsidR="003B50ED" w:rsidRPr="00F16251">
        <w:rPr>
          <w:rFonts w:eastAsia="Calibri" w:cstheme="minorHAnsi"/>
        </w:rPr>
        <w:t xml:space="preserve"> </w:t>
      </w:r>
      <w:r w:rsidRPr="00F16251">
        <w:rPr>
          <w:rFonts w:eastAsia="Calibri" w:cstheme="minorHAnsi"/>
        </w:rPr>
        <w:t>zgłaszali</w:t>
      </w:r>
      <w:r w:rsidR="003B50ED" w:rsidRPr="00F16251">
        <w:rPr>
          <w:rFonts w:eastAsia="Calibri" w:cstheme="minorHAnsi"/>
        </w:rPr>
        <w:t xml:space="preserve"> </w:t>
      </w:r>
      <w:r w:rsidRPr="00F16251">
        <w:rPr>
          <w:rFonts w:eastAsia="Calibri" w:cstheme="minorHAnsi"/>
        </w:rPr>
        <w:t>potrzeby</w:t>
      </w:r>
      <w:r w:rsidR="003B50ED" w:rsidRPr="00F16251">
        <w:rPr>
          <w:rFonts w:eastAsia="Calibri" w:cstheme="minorHAnsi"/>
        </w:rPr>
        <w:t xml:space="preserve"> </w:t>
      </w:r>
      <w:r w:rsidRPr="00F16251">
        <w:rPr>
          <w:rFonts w:eastAsia="Calibri" w:cstheme="minorHAnsi"/>
        </w:rPr>
        <w:t>i</w:t>
      </w:r>
      <w:r w:rsidR="003B50ED" w:rsidRPr="00F16251">
        <w:rPr>
          <w:rFonts w:eastAsia="Calibri" w:cstheme="minorHAnsi"/>
        </w:rPr>
        <w:t xml:space="preserve"> </w:t>
      </w:r>
      <w:r w:rsidRPr="00F16251">
        <w:rPr>
          <w:rFonts w:eastAsia="Calibri" w:cstheme="minorHAnsi"/>
        </w:rPr>
        <w:t>pomysły</w:t>
      </w:r>
      <w:r w:rsidR="003B50ED" w:rsidRPr="00F16251">
        <w:rPr>
          <w:rFonts w:eastAsia="Calibri" w:cstheme="minorHAnsi"/>
        </w:rPr>
        <w:t xml:space="preserve"> </w:t>
      </w:r>
      <w:r w:rsidRPr="00F16251">
        <w:rPr>
          <w:rFonts w:eastAsia="Calibri" w:cstheme="minorHAnsi"/>
        </w:rPr>
        <w:t>na</w:t>
      </w:r>
      <w:r w:rsidR="003B50ED" w:rsidRPr="00F16251">
        <w:rPr>
          <w:rFonts w:eastAsia="Calibri" w:cstheme="minorHAnsi"/>
        </w:rPr>
        <w:t xml:space="preserve"> </w:t>
      </w:r>
      <w:r w:rsidRPr="00F16251">
        <w:rPr>
          <w:rFonts w:eastAsia="Calibri" w:cstheme="minorHAnsi"/>
        </w:rPr>
        <w:t>działania</w:t>
      </w:r>
      <w:r w:rsidR="003B50ED" w:rsidRPr="00F16251">
        <w:rPr>
          <w:rFonts w:eastAsia="Calibri" w:cstheme="minorHAnsi"/>
        </w:rPr>
        <w:t xml:space="preserve"> </w:t>
      </w:r>
      <w:r w:rsidRPr="00F16251">
        <w:rPr>
          <w:rFonts w:eastAsia="Calibri" w:cstheme="minorHAnsi"/>
        </w:rPr>
        <w:t>mające</w:t>
      </w:r>
      <w:r w:rsidR="003B50ED" w:rsidRPr="00F16251">
        <w:rPr>
          <w:rFonts w:eastAsia="Calibri" w:cstheme="minorHAnsi"/>
        </w:rPr>
        <w:t xml:space="preserve"> </w:t>
      </w:r>
      <w:r w:rsidRPr="00F16251">
        <w:rPr>
          <w:rFonts w:eastAsia="Calibri" w:cstheme="minorHAnsi"/>
        </w:rPr>
        <w:t>celu</w:t>
      </w:r>
      <w:r w:rsidR="003B50ED" w:rsidRPr="00F16251">
        <w:rPr>
          <w:rFonts w:eastAsia="Calibri" w:cstheme="minorHAnsi"/>
        </w:rPr>
        <w:t xml:space="preserve"> </w:t>
      </w:r>
      <w:r w:rsidRPr="00F16251">
        <w:rPr>
          <w:rFonts w:eastAsia="Calibri" w:cstheme="minorHAnsi"/>
        </w:rPr>
        <w:t>poprawę</w:t>
      </w:r>
      <w:r w:rsidR="003B50ED" w:rsidRPr="00F16251">
        <w:rPr>
          <w:rFonts w:eastAsia="Calibri" w:cstheme="minorHAnsi"/>
        </w:rPr>
        <w:t xml:space="preserve"> </w:t>
      </w:r>
      <w:r w:rsidRPr="00F16251">
        <w:rPr>
          <w:rFonts w:eastAsia="Calibri" w:cstheme="minorHAnsi"/>
        </w:rPr>
        <w:t>jakości</w:t>
      </w:r>
      <w:r w:rsidR="003B50ED" w:rsidRPr="00F16251">
        <w:rPr>
          <w:rFonts w:eastAsia="Calibri" w:cstheme="minorHAnsi"/>
        </w:rPr>
        <w:t xml:space="preserve"> </w:t>
      </w:r>
      <w:r w:rsidRPr="00F16251">
        <w:rPr>
          <w:rFonts w:eastAsia="Calibri" w:cstheme="minorHAnsi"/>
        </w:rPr>
        <w:t>życia</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ich</w:t>
      </w:r>
      <w:r w:rsidR="003B50ED" w:rsidRPr="00F16251">
        <w:rPr>
          <w:rFonts w:eastAsia="Calibri" w:cstheme="minorHAnsi"/>
        </w:rPr>
        <w:t xml:space="preserve"> </w:t>
      </w:r>
      <w:r w:rsidRPr="00F16251">
        <w:rPr>
          <w:rFonts w:eastAsia="Calibri" w:cstheme="minorHAnsi"/>
        </w:rPr>
        <w:t>gminie</w:t>
      </w:r>
      <w:r w:rsidR="003B50ED" w:rsidRPr="00F16251">
        <w:rPr>
          <w:rFonts w:eastAsia="Calibri" w:cstheme="minorHAnsi"/>
        </w:rPr>
        <w:t xml:space="preserve"> </w:t>
      </w:r>
      <w:r w:rsidRPr="00F16251">
        <w:rPr>
          <w:rFonts w:eastAsia="Calibri" w:cstheme="minorHAnsi"/>
        </w:rPr>
        <w:t>lub</w:t>
      </w:r>
      <w:r w:rsidR="003B50ED" w:rsidRPr="00F16251">
        <w:rPr>
          <w:rFonts w:eastAsia="Calibri" w:cstheme="minorHAnsi"/>
        </w:rPr>
        <w:t xml:space="preserve"> </w:t>
      </w:r>
      <w:r w:rsidRPr="00F16251">
        <w:rPr>
          <w:rFonts w:eastAsia="Calibri" w:cstheme="minorHAnsi"/>
        </w:rPr>
        <w:t>miejscowości.</w:t>
      </w:r>
      <w:r w:rsidR="003B50ED" w:rsidRPr="00F16251">
        <w:rPr>
          <w:rFonts w:eastAsia="Calibri" w:cstheme="minorHAnsi"/>
        </w:rPr>
        <w:t xml:space="preserve"> </w:t>
      </w:r>
      <w:r w:rsidRPr="00F16251">
        <w:rPr>
          <w:rFonts w:eastAsia="Calibri" w:cstheme="minorHAnsi"/>
        </w:rPr>
        <w:t>Ankieta</w:t>
      </w:r>
      <w:r w:rsidR="003B50ED" w:rsidRPr="00F16251">
        <w:rPr>
          <w:rFonts w:eastAsia="Calibri" w:cstheme="minorHAnsi"/>
        </w:rPr>
        <w:t xml:space="preserve"> </w:t>
      </w:r>
      <w:r w:rsidRPr="00F16251">
        <w:rPr>
          <w:rFonts w:eastAsia="Calibri" w:cstheme="minorHAnsi"/>
        </w:rPr>
        <w:t>badała</w:t>
      </w:r>
      <w:r w:rsidR="003B50ED" w:rsidRPr="00F16251">
        <w:rPr>
          <w:rFonts w:eastAsia="Calibri" w:cstheme="minorHAnsi"/>
        </w:rPr>
        <w:t xml:space="preserve"> </w:t>
      </w:r>
      <w:r w:rsidRPr="00F16251">
        <w:rPr>
          <w:rFonts w:eastAsia="Calibri" w:cstheme="minorHAnsi"/>
        </w:rPr>
        <w:t>również</w:t>
      </w:r>
      <w:r w:rsidR="003B50ED" w:rsidRPr="00F16251">
        <w:rPr>
          <w:rFonts w:eastAsia="Calibri" w:cstheme="minorHAnsi"/>
        </w:rPr>
        <w:t xml:space="preserve"> </w:t>
      </w:r>
      <w:r w:rsidRPr="00F16251">
        <w:rPr>
          <w:rFonts w:eastAsia="Calibri" w:cstheme="minorHAnsi"/>
        </w:rPr>
        <w:t>potencjalne</w:t>
      </w:r>
      <w:r w:rsidR="003B50ED" w:rsidRPr="00F16251">
        <w:rPr>
          <w:rFonts w:eastAsia="Calibri" w:cstheme="minorHAnsi"/>
        </w:rPr>
        <w:t xml:space="preserve"> </w:t>
      </w:r>
      <w:r w:rsidRPr="00F16251">
        <w:rPr>
          <w:rFonts w:eastAsia="Calibri" w:cstheme="minorHAnsi"/>
        </w:rPr>
        <w:t>zainteresowanie</w:t>
      </w:r>
      <w:r w:rsidR="003B50ED" w:rsidRPr="00F16251">
        <w:rPr>
          <w:rFonts w:eastAsia="Calibri" w:cstheme="minorHAnsi"/>
        </w:rPr>
        <w:t xml:space="preserve"> </w:t>
      </w:r>
      <w:r w:rsidRPr="00F16251">
        <w:rPr>
          <w:rFonts w:eastAsia="Calibri" w:cstheme="minorHAnsi"/>
        </w:rPr>
        <w:t>ubieganiem</w:t>
      </w:r>
      <w:r w:rsidR="003B50ED" w:rsidRPr="00F16251">
        <w:rPr>
          <w:rFonts w:eastAsia="Calibri" w:cstheme="minorHAnsi"/>
        </w:rPr>
        <w:t xml:space="preserve"> </w:t>
      </w:r>
      <w:r w:rsidRPr="00F16251">
        <w:rPr>
          <w:rFonts w:eastAsia="Calibri" w:cstheme="minorHAnsi"/>
        </w:rPr>
        <w:t>się</w:t>
      </w:r>
      <w:r w:rsidR="003B50ED" w:rsidRPr="00F16251">
        <w:rPr>
          <w:rFonts w:eastAsia="Calibri" w:cstheme="minorHAnsi"/>
        </w:rPr>
        <w:t xml:space="preserve"> </w:t>
      </w:r>
      <w:r w:rsidRPr="00F16251">
        <w:rPr>
          <w:rFonts w:eastAsia="Calibri" w:cstheme="minorHAnsi"/>
        </w:rPr>
        <w:br/>
        <w:t>o</w:t>
      </w:r>
      <w:r w:rsidR="003B50ED" w:rsidRPr="00F16251">
        <w:rPr>
          <w:rFonts w:eastAsia="Calibri" w:cstheme="minorHAnsi"/>
        </w:rPr>
        <w:t xml:space="preserve"> </w:t>
      </w:r>
      <w:r w:rsidRPr="00F16251">
        <w:rPr>
          <w:rFonts w:eastAsia="Calibri" w:cstheme="minorHAnsi"/>
        </w:rPr>
        <w:t>dofinansowanie</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ramach</w:t>
      </w:r>
      <w:r w:rsidR="003B50ED" w:rsidRPr="00F16251">
        <w:rPr>
          <w:rFonts w:eastAsia="Calibri" w:cstheme="minorHAnsi"/>
        </w:rPr>
        <w:t xml:space="preserve"> </w:t>
      </w:r>
      <w:r w:rsidRPr="00F16251">
        <w:rPr>
          <w:rFonts w:eastAsia="Calibri" w:cstheme="minorHAnsi"/>
        </w:rPr>
        <w:t>wdrażania</w:t>
      </w:r>
      <w:r w:rsidR="003B50ED" w:rsidRPr="00F16251">
        <w:rPr>
          <w:rFonts w:eastAsia="Calibri" w:cstheme="minorHAnsi"/>
        </w:rPr>
        <w:t xml:space="preserve"> </w:t>
      </w:r>
      <w:r w:rsidRPr="00F16251">
        <w:rPr>
          <w:rFonts w:eastAsia="Calibri" w:cstheme="minorHAnsi"/>
        </w:rPr>
        <w:t>LSR</w:t>
      </w:r>
      <w:r w:rsidR="003B50ED" w:rsidRPr="00F16251">
        <w:rPr>
          <w:rFonts w:eastAsia="Calibri" w:cstheme="minorHAnsi"/>
        </w:rPr>
        <w:t xml:space="preserve"> </w:t>
      </w:r>
      <w:r w:rsidRPr="00F16251">
        <w:rPr>
          <w:rFonts w:eastAsia="Calibri" w:cstheme="minorHAnsi"/>
        </w:rPr>
        <w:t>i</w:t>
      </w:r>
      <w:r w:rsidR="003B50ED" w:rsidRPr="00F16251">
        <w:rPr>
          <w:rFonts w:eastAsia="Calibri" w:cstheme="minorHAnsi"/>
        </w:rPr>
        <w:t xml:space="preserve"> </w:t>
      </w:r>
      <w:r w:rsidRPr="00F16251">
        <w:rPr>
          <w:rFonts w:eastAsia="Calibri" w:cstheme="minorHAnsi"/>
        </w:rPr>
        <w:t>ogłaszanych</w:t>
      </w:r>
      <w:r w:rsidR="003B50ED" w:rsidRPr="00F16251">
        <w:rPr>
          <w:rFonts w:eastAsia="Calibri" w:cstheme="minorHAnsi"/>
        </w:rPr>
        <w:t xml:space="preserve"> </w:t>
      </w:r>
      <w:r w:rsidRPr="00F16251">
        <w:rPr>
          <w:rFonts w:eastAsia="Calibri" w:cstheme="minorHAnsi"/>
        </w:rPr>
        <w:t>naborów</w:t>
      </w:r>
      <w:r w:rsidR="003B50ED" w:rsidRPr="00F16251">
        <w:rPr>
          <w:rFonts w:eastAsia="Calibri" w:cstheme="minorHAnsi"/>
        </w:rPr>
        <w:t xml:space="preserve"> </w:t>
      </w:r>
      <w:r w:rsidRPr="00F16251">
        <w:rPr>
          <w:rFonts w:eastAsia="Calibri" w:cstheme="minorHAnsi"/>
        </w:rPr>
        <w:t>wniosków.</w:t>
      </w:r>
      <w:r w:rsidR="003B50ED" w:rsidRPr="00F16251">
        <w:rPr>
          <w:rFonts w:eastAsia="Calibri" w:cstheme="minorHAnsi"/>
        </w:rPr>
        <w:t xml:space="preserve"> </w:t>
      </w:r>
    </w:p>
    <w:p w14:paraId="4C6B5C8F" w14:textId="29485EF4" w:rsidR="00E2372E" w:rsidRPr="006D43E4" w:rsidRDefault="00E2372E" w:rsidP="00A26C26">
      <w:pPr>
        <w:spacing w:line="276" w:lineRule="auto"/>
        <w:ind w:firstLine="284"/>
        <w:jc w:val="both"/>
        <w:rPr>
          <w:rFonts w:eastAsia="Calibri" w:cstheme="minorHAnsi"/>
        </w:rPr>
      </w:pPr>
      <w:r w:rsidRPr="00F16251">
        <w:rPr>
          <w:rFonts w:eastAsia="Calibri" w:cstheme="minorHAnsi"/>
        </w:rPr>
        <w:t>W</w:t>
      </w:r>
      <w:r w:rsidR="003B50ED" w:rsidRPr="00F16251">
        <w:rPr>
          <w:rFonts w:eastAsia="Calibri" w:cstheme="minorHAnsi"/>
        </w:rPr>
        <w:t xml:space="preserve"> </w:t>
      </w:r>
      <w:r w:rsidRPr="00F16251">
        <w:rPr>
          <w:rFonts w:eastAsia="Calibri" w:cstheme="minorHAnsi"/>
        </w:rPr>
        <w:t>celu</w:t>
      </w:r>
      <w:r w:rsidR="003B50ED" w:rsidRPr="00F16251">
        <w:rPr>
          <w:rFonts w:eastAsia="Calibri" w:cstheme="minorHAnsi"/>
        </w:rPr>
        <w:t xml:space="preserve"> </w:t>
      </w:r>
      <w:r w:rsidRPr="00F16251">
        <w:rPr>
          <w:rFonts w:eastAsia="Calibri" w:cstheme="minorHAnsi"/>
        </w:rPr>
        <w:t>maksymalnego</w:t>
      </w:r>
      <w:r w:rsidR="003B50ED" w:rsidRPr="00F16251">
        <w:rPr>
          <w:rFonts w:eastAsia="Calibri" w:cstheme="minorHAnsi"/>
        </w:rPr>
        <w:t xml:space="preserve"> </w:t>
      </w:r>
      <w:r w:rsidRPr="00F16251">
        <w:rPr>
          <w:rFonts w:eastAsia="Calibri" w:cstheme="minorHAnsi"/>
        </w:rPr>
        <w:t>ułatwienia</w:t>
      </w:r>
      <w:r w:rsidR="003B50ED" w:rsidRPr="00F16251">
        <w:rPr>
          <w:rFonts w:eastAsia="Calibri" w:cstheme="minorHAnsi"/>
        </w:rPr>
        <w:t xml:space="preserve"> </w:t>
      </w:r>
      <w:r w:rsidRPr="00F16251">
        <w:rPr>
          <w:rFonts w:eastAsia="Calibri" w:cstheme="minorHAnsi"/>
        </w:rPr>
        <w:t>wypełniania</w:t>
      </w:r>
      <w:r w:rsidR="003B50ED" w:rsidRPr="00F16251">
        <w:rPr>
          <w:rFonts w:eastAsia="Calibri" w:cstheme="minorHAnsi"/>
        </w:rPr>
        <w:t xml:space="preserve"> </w:t>
      </w:r>
      <w:r w:rsidRPr="00F16251">
        <w:rPr>
          <w:rFonts w:eastAsia="Calibri" w:cstheme="minorHAnsi"/>
        </w:rPr>
        <w:t>ankiet,</w:t>
      </w:r>
      <w:r w:rsidR="003B50ED" w:rsidRPr="00F16251">
        <w:rPr>
          <w:rFonts w:eastAsia="Calibri" w:cstheme="minorHAnsi"/>
        </w:rPr>
        <w:t xml:space="preserve"> </w:t>
      </w:r>
      <w:r w:rsidRPr="00F16251">
        <w:rPr>
          <w:rFonts w:eastAsia="Calibri" w:cstheme="minorHAnsi"/>
        </w:rPr>
        <w:t>pracownicy</w:t>
      </w:r>
      <w:r w:rsidR="003B50ED" w:rsidRPr="00F16251">
        <w:rPr>
          <w:rFonts w:eastAsia="Calibri" w:cstheme="minorHAnsi"/>
        </w:rPr>
        <w:t xml:space="preserve"> </w:t>
      </w:r>
      <w:r w:rsidRPr="00F16251">
        <w:rPr>
          <w:rFonts w:eastAsia="Calibri" w:cstheme="minorHAnsi"/>
        </w:rPr>
        <w:t>LGD</w:t>
      </w:r>
      <w:r w:rsidR="003B50ED" w:rsidRPr="00F16251">
        <w:rPr>
          <w:rFonts w:eastAsia="Calibri" w:cstheme="minorHAnsi"/>
        </w:rPr>
        <w:t xml:space="preserve"> </w:t>
      </w:r>
      <w:r w:rsidRPr="00F16251">
        <w:rPr>
          <w:rFonts w:eastAsia="Calibri" w:cstheme="minorHAnsi"/>
        </w:rPr>
        <w:t>oraz</w:t>
      </w:r>
      <w:r w:rsidR="003B50ED" w:rsidRPr="00F16251">
        <w:rPr>
          <w:rFonts w:eastAsia="Calibri" w:cstheme="minorHAnsi"/>
        </w:rPr>
        <w:t xml:space="preserve"> </w:t>
      </w:r>
      <w:r w:rsidRPr="00F16251">
        <w:rPr>
          <w:rFonts w:eastAsia="Calibri" w:cstheme="minorHAnsi"/>
        </w:rPr>
        <w:t>gminni</w:t>
      </w:r>
      <w:r w:rsidR="003B50ED" w:rsidRPr="00F16251">
        <w:rPr>
          <w:rFonts w:eastAsia="Calibri" w:cstheme="minorHAnsi"/>
        </w:rPr>
        <w:t xml:space="preserve"> </w:t>
      </w:r>
      <w:r w:rsidRPr="00F16251">
        <w:rPr>
          <w:rFonts w:eastAsia="Calibri" w:cstheme="minorHAnsi"/>
        </w:rPr>
        <w:t>koordynatorzy</w:t>
      </w:r>
      <w:r w:rsidR="003B50ED" w:rsidRPr="00F16251">
        <w:rPr>
          <w:rFonts w:eastAsia="Calibri" w:cstheme="minorHAnsi"/>
        </w:rPr>
        <w:t xml:space="preserve"> </w:t>
      </w:r>
      <w:r w:rsidRPr="00F16251">
        <w:rPr>
          <w:rFonts w:eastAsia="Calibri" w:cstheme="minorHAnsi"/>
        </w:rPr>
        <w:t>przez</w:t>
      </w:r>
      <w:r w:rsidR="003B50ED" w:rsidRPr="00F16251">
        <w:rPr>
          <w:rFonts w:eastAsia="Calibri" w:cstheme="minorHAnsi"/>
        </w:rPr>
        <w:t xml:space="preserve"> </w:t>
      </w:r>
      <w:r w:rsidRPr="00F16251">
        <w:rPr>
          <w:rFonts w:eastAsia="Calibri" w:cstheme="minorHAnsi"/>
        </w:rPr>
        <w:t>cały</w:t>
      </w:r>
      <w:r w:rsidR="003B50ED" w:rsidRPr="00F16251">
        <w:rPr>
          <w:rFonts w:eastAsia="Calibri" w:cstheme="minorHAnsi"/>
        </w:rPr>
        <w:t xml:space="preserve"> </w:t>
      </w:r>
      <w:r w:rsidRPr="00F16251">
        <w:rPr>
          <w:rFonts w:eastAsia="Calibri" w:cstheme="minorHAnsi"/>
        </w:rPr>
        <w:t>czas</w:t>
      </w:r>
      <w:r w:rsidR="003B50ED" w:rsidRPr="00F16251">
        <w:rPr>
          <w:rFonts w:eastAsia="Calibri" w:cstheme="minorHAnsi"/>
        </w:rPr>
        <w:t xml:space="preserve"> </w:t>
      </w:r>
      <w:r w:rsidRPr="00F16251">
        <w:rPr>
          <w:rFonts w:eastAsia="Calibri" w:cstheme="minorHAnsi"/>
        </w:rPr>
        <w:t>trwania</w:t>
      </w:r>
      <w:r w:rsidR="003B50ED" w:rsidRPr="00F16251">
        <w:rPr>
          <w:rFonts w:eastAsia="Calibri" w:cstheme="minorHAnsi"/>
        </w:rPr>
        <w:t xml:space="preserve"> </w:t>
      </w:r>
      <w:r w:rsidRPr="00F16251">
        <w:rPr>
          <w:rFonts w:eastAsia="Calibri" w:cstheme="minorHAnsi"/>
        </w:rPr>
        <w:t>badania</w:t>
      </w:r>
      <w:r w:rsidR="003B50ED" w:rsidRPr="00F16251">
        <w:rPr>
          <w:rFonts w:eastAsia="Calibri" w:cstheme="minorHAnsi"/>
        </w:rPr>
        <w:t xml:space="preserve"> </w:t>
      </w:r>
      <w:r w:rsidRPr="00F16251">
        <w:rPr>
          <w:rFonts w:eastAsia="Calibri" w:cstheme="minorHAnsi"/>
        </w:rPr>
        <w:t>służyli</w:t>
      </w:r>
      <w:r w:rsidR="003B50ED" w:rsidRPr="00F16251">
        <w:rPr>
          <w:rFonts w:eastAsia="Calibri" w:cstheme="minorHAnsi"/>
        </w:rPr>
        <w:t xml:space="preserve"> </w:t>
      </w:r>
      <w:r w:rsidRPr="00F16251">
        <w:rPr>
          <w:rFonts w:eastAsia="Calibri" w:cstheme="minorHAnsi"/>
        </w:rPr>
        <w:t>merytorycznym</w:t>
      </w:r>
      <w:r w:rsidR="003B50ED" w:rsidRPr="00F16251">
        <w:rPr>
          <w:rFonts w:eastAsia="Calibri" w:cstheme="minorHAnsi"/>
        </w:rPr>
        <w:t xml:space="preserve"> </w:t>
      </w:r>
      <w:r w:rsidRPr="00F16251">
        <w:rPr>
          <w:rFonts w:eastAsia="Calibri" w:cstheme="minorHAnsi"/>
        </w:rPr>
        <w:t>wsparciem</w:t>
      </w:r>
      <w:r w:rsidR="003B50ED" w:rsidRPr="00F16251">
        <w:rPr>
          <w:rFonts w:eastAsia="Calibri" w:cstheme="minorHAnsi"/>
        </w:rPr>
        <w:t xml:space="preserve"> </w:t>
      </w:r>
      <w:r w:rsidRPr="00F16251">
        <w:rPr>
          <w:rFonts w:eastAsia="Calibri" w:cstheme="minorHAnsi"/>
        </w:rPr>
        <w:t>każdej</w:t>
      </w:r>
      <w:r w:rsidR="003B50ED" w:rsidRPr="00F16251">
        <w:rPr>
          <w:rFonts w:eastAsia="Calibri" w:cstheme="minorHAnsi"/>
        </w:rPr>
        <w:t xml:space="preserve"> </w:t>
      </w:r>
      <w:r w:rsidRPr="00F16251">
        <w:rPr>
          <w:rFonts w:eastAsia="Calibri" w:cstheme="minorHAnsi"/>
        </w:rPr>
        <w:t>osobie,</w:t>
      </w:r>
      <w:r w:rsidR="003B50ED" w:rsidRPr="00F16251">
        <w:rPr>
          <w:rFonts w:eastAsia="Calibri" w:cstheme="minorHAnsi"/>
        </w:rPr>
        <w:t xml:space="preserve"> </w:t>
      </w:r>
      <w:r w:rsidRPr="00F16251">
        <w:rPr>
          <w:rFonts w:eastAsia="Calibri" w:cstheme="minorHAnsi"/>
        </w:rPr>
        <w:t>która</w:t>
      </w:r>
      <w:r w:rsidR="003B50ED" w:rsidRPr="00F16251">
        <w:rPr>
          <w:rFonts w:eastAsia="Calibri" w:cstheme="minorHAnsi"/>
        </w:rPr>
        <w:t xml:space="preserve"> </w:t>
      </w:r>
      <w:r w:rsidRPr="00F16251">
        <w:rPr>
          <w:rFonts w:eastAsia="Calibri" w:cstheme="minorHAnsi"/>
        </w:rPr>
        <w:t>zgłosiła</w:t>
      </w:r>
      <w:r w:rsidR="003B50ED" w:rsidRPr="00F16251">
        <w:rPr>
          <w:rFonts w:eastAsia="Calibri" w:cstheme="minorHAnsi"/>
        </w:rPr>
        <w:t xml:space="preserve"> </w:t>
      </w:r>
      <w:r w:rsidRPr="00F16251">
        <w:rPr>
          <w:rFonts w:eastAsia="Calibri" w:cstheme="minorHAnsi"/>
        </w:rPr>
        <w:t>taką</w:t>
      </w:r>
      <w:r w:rsidR="003B50ED" w:rsidRPr="00F16251">
        <w:rPr>
          <w:rFonts w:eastAsia="Calibri" w:cstheme="minorHAnsi"/>
        </w:rPr>
        <w:t xml:space="preserve"> </w:t>
      </w:r>
      <w:r w:rsidRPr="00F16251">
        <w:rPr>
          <w:rFonts w:eastAsia="Calibri" w:cstheme="minorHAnsi"/>
        </w:rPr>
        <w:t>potrzebę.</w:t>
      </w:r>
      <w:r w:rsidR="003B50ED" w:rsidRPr="00F16251">
        <w:rPr>
          <w:rFonts w:eastAsia="Calibri" w:cstheme="minorHAnsi"/>
        </w:rPr>
        <w:t xml:space="preserve"> </w:t>
      </w:r>
      <w:r w:rsidRPr="00F16251">
        <w:rPr>
          <w:rFonts w:eastAsia="Calibri" w:cstheme="minorHAnsi"/>
        </w:rPr>
        <w:t>Ankiety</w:t>
      </w:r>
      <w:r w:rsidR="003B50ED" w:rsidRPr="00F16251">
        <w:rPr>
          <w:rFonts w:eastAsia="Calibri" w:cstheme="minorHAnsi"/>
        </w:rPr>
        <w:t xml:space="preserve"> </w:t>
      </w:r>
      <w:r w:rsidRPr="00F16251">
        <w:rPr>
          <w:rFonts w:eastAsia="Calibri" w:cstheme="minorHAnsi"/>
        </w:rPr>
        <w:t>były</w:t>
      </w:r>
      <w:r w:rsidR="003B50ED" w:rsidRPr="00F16251">
        <w:rPr>
          <w:rFonts w:eastAsia="Calibri" w:cstheme="minorHAnsi"/>
        </w:rPr>
        <w:t xml:space="preserve"> </w:t>
      </w:r>
      <w:r w:rsidRPr="00F16251">
        <w:rPr>
          <w:rFonts w:eastAsia="Calibri" w:cstheme="minorHAnsi"/>
        </w:rPr>
        <w:t>także</w:t>
      </w:r>
      <w:r w:rsidR="003B50ED" w:rsidRPr="00F16251">
        <w:rPr>
          <w:rFonts w:eastAsia="Calibri" w:cstheme="minorHAnsi"/>
        </w:rPr>
        <w:t xml:space="preserve"> </w:t>
      </w:r>
      <w:r w:rsidRPr="00F16251">
        <w:rPr>
          <w:rFonts w:eastAsia="Calibri" w:cstheme="minorHAnsi"/>
        </w:rPr>
        <w:t>udostępnione</w:t>
      </w:r>
      <w:r w:rsidR="003B50ED" w:rsidRPr="00F16251">
        <w:rPr>
          <w:rFonts w:eastAsia="Calibri" w:cstheme="minorHAnsi"/>
        </w:rPr>
        <w:t xml:space="preserve"> </w:t>
      </w:r>
      <w:r w:rsidRPr="00F16251">
        <w:rPr>
          <w:rFonts w:eastAsia="Calibri" w:cstheme="minorHAnsi"/>
        </w:rPr>
        <w:t>poprzez</w:t>
      </w:r>
      <w:r w:rsidR="003B50ED" w:rsidRPr="00F16251">
        <w:rPr>
          <w:rFonts w:eastAsia="Calibri" w:cstheme="minorHAnsi"/>
        </w:rPr>
        <w:t xml:space="preserve"> </w:t>
      </w:r>
      <w:r w:rsidRPr="00F16251">
        <w:rPr>
          <w:rFonts w:eastAsia="Calibri" w:cstheme="minorHAnsi"/>
        </w:rPr>
        <w:t>stronę</w:t>
      </w:r>
      <w:r w:rsidR="003B50ED" w:rsidRPr="00F16251">
        <w:rPr>
          <w:rFonts w:eastAsia="Calibri" w:cstheme="minorHAnsi"/>
        </w:rPr>
        <w:t xml:space="preserve"> </w:t>
      </w:r>
      <w:r w:rsidRPr="00F16251">
        <w:rPr>
          <w:rFonts w:eastAsia="Calibri" w:cstheme="minorHAnsi"/>
        </w:rPr>
        <w:t>internetową,</w:t>
      </w:r>
      <w:r w:rsidR="003B50ED" w:rsidRPr="00F16251">
        <w:rPr>
          <w:rFonts w:eastAsia="Calibri" w:cstheme="minorHAnsi"/>
        </w:rPr>
        <w:t xml:space="preserve"> </w:t>
      </w:r>
      <w:r w:rsidRPr="00F16251">
        <w:rPr>
          <w:rFonts w:eastAsia="Calibri" w:cstheme="minorHAnsi"/>
        </w:rPr>
        <w:t>bezpośrednio</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biurze</w:t>
      </w:r>
      <w:r w:rsidR="003B50ED" w:rsidRPr="00F16251">
        <w:rPr>
          <w:rFonts w:eastAsia="Calibri" w:cstheme="minorHAnsi"/>
        </w:rPr>
        <w:t xml:space="preserve"> </w:t>
      </w:r>
      <w:r w:rsidRPr="00F16251">
        <w:rPr>
          <w:rFonts w:eastAsia="Calibri" w:cstheme="minorHAnsi"/>
        </w:rPr>
        <w:t>LGD,</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punktach</w:t>
      </w:r>
      <w:r w:rsidR="003B50ED" w:rsidRPr="00F16251">
        <w:rPr>
          <w:rFonts w:eastAsia="Calibri" w:cstheme="minorHAnsi"/>
        </w:rPr>
        <w:t xml:space="preserve"> </w:t>
      </w:r>
      <w:r w:rsidRPr="00F16251">
        <w:rPr>
          <w:rFonts w:eastAsia="Calibri" w:cstheme="minorHAnsi"/>
        </w:rPr>
        <w:t>konsultacyjnych</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gminach,</w:t>
      </w:r>
      <w:r w:rsidR="003B50ED" w:rsidRPr="00F16251">
        <w:rPr>
          <w:rFonts w:eastAsia="Calibri" w:cstheme="minorHAnsi"/>
        </w:rPr>
        <w:t xml:space="preserve"> </w:t>
      </w:r>
      <w:r w:rsidRPr="00F16251">
        <w:rPr>
          <w:rFonts w:eastAsia="Calibri" w:cstheme="minorHAnsi"/>
        </w:rPr>
        <w:br/>
        <w:t>w</w:t>
      </w:r>
      <w:r w:rsidR="003B50ED" w:rsidRPr="00F16251">
        <w:rPr>
          <w:rFonts w:eastAsia="Calibri" w:cstheme="minorHAnsi"/>
        </w:rPr>
        <w:t xml:space="preserve"> </w:t>
      </w:r>
      <w:r w:rsidRPr="00F16251">
        <w:rPr>
          <w:rFonts w:eastAsia="Calibri" w:cstheme="minorHAnsi"/>
        </w:rPr>
        <w:t>czasie</w:t>
      </w:r>
      <w:r w:rsidR="003B50ED" w:rsidRPr="00F16251">
        <w:rPr>
          <w:rFonts w:eastAsia="Calibri" w:cstheme="minorHAnsi"/>
        </w:rPr>
        <w:t xml:space="preserve"> </w:t>
      </w:r>
      <w:r w:rsidRPr="00F16251">
        <w:rPr>
          <w:rFonts w:eastAsia="Calibri" w:cstheme="minorHAnsi"/>
        </w:rPr>
        <w:t>wywiadów,</w:t>
      </w:r>
      <w:r w:rsidR="003B50ED" w:rsidRPr="00F16251">
        <w:rPr>
          <w:rFonts w:eastAsia="Calibri" w:cstheme="minorHAnsi"/>
        </w:rPr>
        <w:t xml:space="preserve"> </w:t>
      </w:r>
      <w:r w:rsidRPr="00F16251">
        <w:rPr>
          <w:rFonts w:eastAsia="Calibri" w:cstheme="minorHAnsi"/>
        </w:rPr>
        <w:t>podczas</w:t>
      </w:r>
      <w:r w:rsidR="003B50ED" w:rsidRPr="00F16251">
        <w:rPr>
          <w:rFonts w:eastAsia="Calibri" w:cstheme="minorHAnsi"/>
        </w:rPr>
        <w:t xml:space="preserve"> </w:t>
      </w:r>
      <w:r w:rsidRPr="00F16251">
        <w:rPr>
          <w:rFonts w:eastAsia="Calibri" w:cstheme="minorHAnsi"/>
        </w:rPr>
        <w:t>spotkań</w:t>
      </w:r>
      <w:r w:rsidR="003B50ED" w:rsidRPr="00F16251">
        <w:rPr>
          <w:rFonts w:eastAsia="Calibri" w:cstheme="minorHAnsi"/>
        </w:rPr>
        <w:t xml:space="preserve"> </w:t>
      </w:r>
      <w:r w:rsidRPr="00F16251">
        <w:rPr>
          <w:rFonts w:eastAsia="Calibri" w:cstheme="minorHAnsi"/>
        </w:rPr>
        <w:t>roboczych</w:t>
      </w:r>
      <w:r w:rsidR="003B50ED" w:rsidRPr="00F16251">
        <w:rPr>
          <w:rFonts w:eastAsia="Calibri" w:cstheme="minorHAnsi"/>
        </w:rPr>
        <w:t xml:space="preserve"> </w:t>
      </w:r>
      <w:r w:rsidRPr="00F16251">
        <w:rPr>
          <w:rFonts w:eastAsia="Calibri" w:cstheme="minorHAnsi"/>
        </w:rPr>
        <w:t>itd.</w:t>
      </w:r>
      <w:r w:rsidR="003B50ED" w:rsidRPr="00F16251">
        <w:rPr>
          <w:rFonts w:eastAsia="Calibri" w:cstheme="minorHAnsi"/>
        </w:rPr>
        <w:t xml:space="preserve"> </w:t>
      </w:r>
      <w:r w:rsidRPr="00F16251">
        <w:rPr>
          <w:rFonts w:eastAsia="Calibri" w:cstheme="minorHAnsi"/>
        </w:rPr>
        <w:t>Dodatkowo,</w:t>
      </w:r>
      <w:r w:rsidR="003B50ED" w:rsidRPr="00F16251">
        <w:rPr>
          <w:rFonts w:eastAsia="Calibri" w:cstheme="minorHAnsi"/>
        </w:rPr>
        <w:t xml:space="preserve"> </w:t>
      </w:r>
      <w:r w:rsidRPr="00F16251">
        <w:rPr>
          <w:rFonts w:eastAsia="Calibri" w:cstheme="minorHAnsi"/>
        </w:rPr>
        <w:t>rozsyłano</w:t>
      </w:r>
      <w:r w:rsidR="003B50ED" w:rsidRPr="00F16251">
        <w:rPr>
          <w:rFonts w:eastAsia="Calibri" w:cstheme="minorHAnsi"/>
        </w:rPr>
        <w:t xml:space="preserve"> </w:t>
      </w:r>
      <w:r w:rsidRPr="00F16251">
        <w:rPr>
          <w:rFonts w:eastAsia="Calibri" w:cstheme="minorHAnsi"/>
        </w:rPr>
        <w:t>je</w:t>
      </w:r>
      <w:r w:rsidR="003B50ED" w:rsidRPr="00F16251">
        <w:rPr>
          <w:rFonts w:eastAsia="Calibri" w:cstheme="minorHAnsi"/>
        </w:rPr>
        <w:t xml:space="preserve"> </w:t>
      </w:r>
      <w:r w:rsidRPr="00F16251">
        <w:rPr>
          <w:rFonts w:eastAsia="Calibri" w:cstheme="minorHAnsi"/>
        </w:rPr>
        <w:t>drogą</w:t>
      </w:r>
      <w:r w:rsidR="003B50ED" w:rsidRPr="00F16251">
        <w:rPr>
          <w:rFonts w:eastAsia="Calibri" w:cstheme="minorHAnsi"/>
        </w:rPr>
        <w:t xml:space="preserve"> </w:t>
      </w:r>
      <w:r w:rsidRPr="00F16251">
        <w:rPr>
          <w:rFonts w:eastAsia="Calibri" w:cstheme="minorHAnsi"/>
        </w:rPr>
        <w:t>mailową,</w:t>
      </w:r>
      <w:r w:rsidR="003B50ED" w:rsidRPr="00F16251">
        <w:rPr>
          <w:rFonts w:eastAsia="Calibri" w:cstheme="minorHAnsi"/>
        </w:rPr>
        <w:t xml:space="preserve"> </w:t>
      </w:r>
      <w:r w:rsidRPr="00F16251">
        <w:rPr>
          <w:rFonts w:eastAsia="Calibri" w:cstheme="minorHAnsi"/>
        </w:rPr>
        <w:t>udostępniano</w:t>
      </w:r>
      <w:r w:rsidR="003B50ED" w:rsidRPr="00F16251">
        <w:rPr>
          <w:rFonts w:eastAsia="Calibri" w:cstheme="minorHAnsi"/>
        </w:rPr>
        <w:t xml:space="preserve"> </w:t>
      </w:r>
      <w:r w:rsidRPr="00F16251">
        <w:rPr>
          <w:rFonts w:eastAsia="Calibri" w:cstheme="minorHAnsi"/>
        </w:rPr>
        <w:t>za</w:t>
      </w:r>
      <w:r w:rsidR="003B50ED" w:rsidRPr="00F16251">
        <w:rPr>
          <w:rFonts w:eastAsia="Calibri" w:cstheme="minorHAnsi"/>
        </w:rPr>
        <w:t xml:space="preserve"> </w:t>
      </w:r>
      <w:r w:rsidRPr="00F16251">
        <w:rPr>
          <w:rFonts w:eastAsia="Calibri" w:cstheme="minorHAnsi"/>
        </w:rPr>
        <w:t>pośrednictwem</w:t>
      </w:r>
      <w:r w:rsidR="003B50ED" w:rsidRPr="00F16251">
        <w:rPr>
          <w:rFonts w:eastAsia="Calibri" w:cstheme="minorHAnsi"/>
        </w:rPr>
        <w:t xml:space="preserve"> </w:t>
      </w:r>
      <w:r w:rsidRPr="00F16251">
        <w:rPr>
          <w:rFonts w:eastAsia="Calibri" w:cstheme="minorHAnsi"/>
        </w:rPr>
        <w:t>mediów</w:t>
      </w:r>
      <w:r w:rsidR="003B50ED" w:rsidRPr="00F16251">
        <w:rPr>
          <w:rFonts w:eastAsia="Calibri" w:cstheme="minorHAnsi"/>
        </w:rPr>
        <w:t xml:space="preserve"> </w:t>
      </w:r>
      <w:r w:rsidRPr="00F16251">
        <w:rPr>
          <w:rFonts w:eastAsia="Calibri" w:cstheme="minorHAnsi"/>
        </w:rPr>
        <w:t>społecznościowych</w:t>
      </w:r>
      <w:r w:rsidR="003B50ED" w:rsidRPr="00F16251">
        <w:rPr>
          <w:rFonts w:eastAsia="Calibri" w:cstheme="minorHAnsi"/>
        </w:rPr>
        <w:t xml:space="preserve"> </w:t>
      </w:r>
      <w:r w:rsidRPr="00F16251">
        <w:rPr>
          <w:rFonts w:eastAsia="Calibri" w:cstheme="minorHAnsi"/>
        </w:rPr>
        <w:t>oraz</w:t>
      </w:r>
      <w:r w:rsidR="003B50ED" w:rsidRPr="00F16251">
        <w:rPr>
          <w:rFonts w:eastAsia="Calibri" w:cstheme="minorHAnsi"/>
        </w:rPr>
        <w:t xml:space="preserve"> </w:t>
      </w:r>
      <w:r w:rsidRPr="00F16251">
        <w:rPr>
          <w:rFonts w:eastAsia="Calibri" w:cstheme="minorHAnsi"/>
        </w:rPr>
        <w:t>dostarczano</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formie</w:t>
      </w:r>
      <w:r w:rsidR="003B50ED" w:rsidRPr="00F16251">
        <w:rPr>
          <w:rFonts w:eastAsia="Calibri" w:cstheme="minorHAnsi"/>
        </w:rPr>
        <w:t xml:space="preserve"> </w:t>
      </w:r>
      <w:r w:rsidRPr="00F16251">
        <w:rPr>
          <w:rFonts w:eastAsia="Calibri" w:cstheme="minorHAnsi"/>
        </w:rPr>
        <w:t>papierowej</w:t>
      </w:r>
      <w:r w:rsidR="003B50ED" w:rsidRPr="00F16251">
        <w:rPr>
          <w:rFonts w:eastAsia="Calibri" w:cstheme="minorHAnsi"/>
        </w:rPr>
        <w:t xml:space="preserve"> </w:t>
      </w:r>
      <w:r w:rsidRPr="00F16251">
        <w:rPr>
          <w:rFonts w:eastAsia="Calibri" w:cstheme="minorHAnsi"/>
        </w:rPr>
        <w:t>na</w:t>
      </w:r>
      <w:r w:rsidR="003B50ED" w:rsidRPr="00F16251">
        <w:rPr>
          <w:rFonts w:eastAsia="Calibri" w:cstheme="minorHAnsi"/>
        </w:rPr>
        <w:t xml:space="preserve"> </w:t>
      </w:r>
      <w:r w:rsidRPr="00F16251">
        <w:rPr>
          <w:rFonts w:eastAsia="Calibri" w:cstheme="minorHAnsi"/>
        </w:rPr>
        <w:t>różnego</w:t>
      </w:r>
      <w:r w:rsidR="003B50ED" w:rsidRPr="00F16251">
        <w:rPr>
          <w:rFonts w:eastAsia="Calibri" w:cstheme="minorHAnsi"/>
        </w:rPr>
        <w:t xml:space="preserve"> </w:t>
      </w:r>
      <w:r w:rsidRPr="00F16251">
        <w:rPr>
          <w:rFonts w:eastAsia="Calibri" w:cstheme="minorHAnsi"/>
        </w:rPr>
        <w:t>rodzaju</w:t>
      </w:r>
      <w:r w:rsidR="003B50ED" w:rsidRPr="00F16251">
        <w:rPr>
          <w:rFonts w:eastAsia="Calibri" w:cstheme="minorHAnsi"/>
        </w:rPr>
        <w:t xml:space="preserve"> </w:t>
      </w:r>
      <w:r w:rsidRPr="00F16251">
        <w:rPr>
          <w:rFonts w:eastAsia="Calibri" w:cstheme="minorHAnsi"/>
        </w:rPr>
        <w:t>wydarzenia,</w:t>
      </w:r>
      <w:r w:rsidR="003B50ED" w:rsidRPr="00F16251">
        <w:rPr>
          <w:rFonts w:eastAsia="Calibri" w:cstheme="minorHAnsi"/>
        </w:rPr>
        <w:t xml:space="preserve"> </w:t>
      </w:r>
      <w:r w:rsidRPr="00F16251">
        <w:rPr>
          <w:rFonts w:eastAsia="Calibri" w:cstheme="minorHAnsi"/>
        </w:rPr>
        <w:t>spotkania</w:t>
      </w:r>
      <w:r w:rsidR="003B50ED" w:rsidRPr="00F16251">
        <w:rPr>
          <w:rFonts w:eastAsia="Calibri" w:cstheme="minorHAnsi"/>
        </w:rPr>
        <w:t xml:space="preserve"> </w:t>
      </w:r>
      <w:r w:rsidRPr="00F16251">
        <w:rPr>
          <w:rFonts w:eastAsia="Calibri" w:cstheme="minorHAnsi"/>
        </w:rPr>
        <w:t>o</w:t>
      </w:r>
      <w:r w:rsidR="003B50ED" w:rsidRPr="00F16251">
        <w:rPr>
          <w:rFonts w:eastAsia="Calibri" w:cstheme="minorHAnsi"/>
        </w:rPr>
        <w:t xml:space="preserve"> </w:t>
      </w:r>
      <w:r w:rsidRPr="00F16251">
        <w:rPr>
          <w:rFonts w:eastAsia="Calibri" w:cstheme="minorHAnsi"/>
        </w:rPr>
        <w:t>charakterze</w:t>
      </w:r>
      <w:r w:rsidR="003B50ED" w:rsidRPr="00F16251">
        <w:rPr>
          <w:rFonts w:eastAsia="Calibri" w:cstheme="minorHAnsi"/>
        </w:rPr>
        <w:t xml:space="preserve"> </w:t>
      </w:r>
      <w:r w:rsidRPr="00F16251">
        <w:rPr>
          <w:rFonts w:eastAsia="Calibri" w:cstheme="minorHAnsi"/>
        </w:rPr>
        <w:t>integracyjno-kulturalnym</w:t>
      </w:r>
      <w:r w:rsidR="003B50ED" w:rsidRPr="00F16251">
        <w:rPr>
          <w:rFonts w:eastAsia="Calibri" w:cstheme="minorHAnsi"/>
        </w:rPr>
        <w:t xml:space="preserve"> </w:t>
      </w:r>
      <w:r w:rsidRPr="00F16251">
        <w:rPr>
          <w:rFonts w:eastAsia="Calibri" w:cstheme="minorHAnsi"/>
        </w:rPr>
        <w:t>jakie</w:t>
      </w:r>
      <w:r w:rsidR="003B50ED" w:rsidRPr="00F16251">
        <w:rPr>
          <w:rFonts w:eastAsia="Calibri" w:cstheme="minorHAnsi"/>
        </w:rPr>
        <w:t xml:space="preserve"> </w:t>
      </w:r>
      <w:r w:rsidRPr="00F16251">
        <w:rPr>
          <w:rFonts w:eastAsia="Calibri" w:cstheme="minorHAnsi"/>
        </w:rPr>
        <w:t>były</w:t>
      </w:r>
      <w:r w:rsidR="003B50ED" w:rsidRPr="00F16251">
        <w:rPr>
          <w:rFonts w:eastAsia="Calibri" w:cstheme="minorHAnsi"/>
        </w:rPr>
        <w:t xml:space="preserve"> </w:t>
      </w:r>
      <w:r w:rsidRPr="00F16251">
        <w:rPr>
          <w:rFonts w:eastAsia="Calibri" w:cstheme="minorHAnsi"/>
        </w:rPr>
        <w:t>organizowane</w:t>
      </w:r>
      <w:r w:rsidR="003B50ED" w:rsidRPr="00F16251">
        <w:rPr>
          <w:rFonts w:eastAsia="Calibri" w:cstheme="minorHAnsi"/>
        </w:rPr>
        <w:t xml:space="preserve"> </w:t>
      </w:r>
      <w:r w:rsidRPr="00F16251">
        <w:rPr>
          <w:rFonts w:eastAsia="Calibri" w:cstheme="minorHAnsi"/>
        </w:rPr>
        <w:t>na</w:t>
      </w:r>
      <w:r w:rsidR="003B50ED" w:rsidRPr="00F16251">
        <w:rPr>
          <w:rFonts w:eastAsia="Calibri" w:cstheme="minorHAnsi"/>
        </w:rPr>
        <w:t xml:space="preserve"> </w:t>
      </w:r>
      <w:r w:rsidRPr="00F16251">
        <w:rPr>
          <w:rFonts w:eastAsia="Calibri" w:cstheme="minorHAnsi"/>
        </w:rPr>
        <w:t>obszarze</w:t>
      </w:r>
      <w:r w:rsidR="003B50ED" w:rsidRPr="00F16251">
        <w:rPr>
          <w:rFonts w:eastAsia="Calibri" w:cstheme="minorHAnsi"/>
        </w:rPr>
        <w:t xml:space="preserve"> </w:t>
      </w:r>
      <w:r w:rsidRPr="00F16251">
        <w:rPr>
          <w:rFonts w:eastAsia="Calibri" w:cstheme="minorHAnsi"/>
        </w:rPr>
        <w:t>LSR.</w:t>
      </w:r>
      <w:r w:rsidR="003B50ED" w:rsidRPr="00F16251">
        <w:rPr>
          <w:rFonts w:eastAsia="Calibri" w:cstheme="minorHAnsi"/>
        </w:rPr>
        <w:t xml:space="preserve"> </w:t>
      </w:r>
      <w:r w:rsidRPr="00F16251">
        <w:rPr>
          <w:rFonts w:eastAsia="Calibri" w:cstheme="minorHAnsi"/>
        </w:rPr>
        <w:t>Ponadto,</w:t>
      </w:r>
      <w:r w:rsidR="003B50ED" w:rsidRPr="00F16251">
        <w:rPr>
          <w:rFonts w:eastAsia="Calibri" w:cstheme="minorHAnsi"/>
        </w:rPr>
        <w:t xml:space="preserve"> </w:t>
      </w:r>
      <w:r w:rsidRPr="00F16251">
        <w:rPr>
          <w:rFonts w:eastAsia="Calibri" w:cstheme="minorHAnsi"/>
        </w:rPr>
        <w:t>Członkowie</w:t>
      </w:r>
      <w:r w:rsidR="003B50ED" w:rsidRPr="00F16251">
        <w:rPr>
          <w:rFonts w:eastAsia="Calibri" w:cstheme="minorHAnsi"/>
        </w:rPr>
        <w:t xml:space="preserve"> </w:t>
      </w:r>
      <w:r w:rsidR="003260B4" w:rsidRPr="00F16251">
        <w:rPr>
          <w:rFonts w:cstheme="minorHAnsi"/>
        </w:rPr>
        <w:t xml:space="preserve">Stowarzyszenia „Solidarni w Partnerstwie” </w:t>
      </w:r>
      <w:r w:rsidRPr="00F16251">
        <w:rPr>
          <w:rFonts w:eastAsia="Calibri" w:cstheme="minorHAnsi"/>
        </w:rPr>
        <w:t>przekazywali</w:t>
      </w:r>
      <w:r w:rsidR="003B50ED" w:rsidRPr="00F16251">
        <w:rPr>
          <w:rFonts w:eastAsia="Calibri" w:cstheme="minorHAnsi"/>
        </w:rPr>
        <w:t xml:space="preserve"> </w:t>
      </w:r>
      <w:r w:rsidRPr="00F16251">
        <w:rPr>
          <w:rFonts w:eastAsia="Calibri" w:cstheme="minorHAnsi"/>
        </w:rPr>
        <w:t>ankiety</w:t>
      </w:r>
      <w:r w:rsidR="003B50ED" w:rsidRPr="00F16251">
        <w:rPr>
          <w:rFonts w:eastAsia="Calibri" w:cstheme="minorHAnsi"/>
        </w:rPr>
        <w:t xml:space="preserve"> </w:t>
      </w:r>
      <w:r w:rsidRPr="00F16251">
        <w:rPr>
          <w:rFonts w:eastAsia="Calibri" w:cstheme="minorHAnsi"/>
        </w:rPr>
        <w:t>swoim</w:t>
      </w:r>
      <w:r w:rsidR="003B50ED" w:rsidRPr="00F16251">
        <w:rPr>
          <w:rFonts w:eastAsia="Calibri" w:cstheme="minorHAnsi"/>
        </w:rPr>
        <w:t xml:space="preserve"> </w:t>
      </w:r>
      <w:r w:rsidRPr="00F16251">
        <w:rPr>
          <w:rFonts w:eastAsia="Calibri" w:cstheme="minorHAnsi"/>
        </w:rPr>
        <w:t>znajomym,</w:t>
      </w:r>
      <w:r w:rsidR="003B50ED" w:rsidRPr="00F16251">
        <w:rPr>
          <w:rFonts w:eastAsia="Calibri" w:cstheme="minorHAnsi"/>
        </w:rPr>
        <w:t xml:space="preserve"> </w:t>
      </w:r>
      <w:r w:rsidRPr="00F16251">
        <w:rPr>
          <w:rFonts w:eastAsia="Calibri" w:cstheme="minorHAnsi"/>
        </w:rPr>
        <w:t>członkom</w:t>
      </w:r>
      <w:r w:rsidR="003B50ED" w:rsidRPr="00F16251">
        <w:rPr>
          <w:rFonts w:eastAsia="Calibri" w:cstheme="minorHAnsi"/>
        </w:rPr>
        <w:t xml:space="preserve"> </w:t>
      </w:r>
      <w:r w:rsidRPr="00F16251">
        <w:rPr>
          <w:rFonts w:eastAsia="Calibri" w:cstheme="minorHAnsi"/>
        </w:rPr>
        <w:t>rodzin</w:t>
      </w:r>
      <w:r w:rsidR="003B50ED" w:rsidRPr="00F16251">
        <w:rPr>
          <w:rFonts w:eastAsia="Calibri" w:cstheme="minorHAnsi"/>
        </w:rPr>
        <w:t xml:space="preserve"> </w:t>
      </w:r>
      <w:r w:rsidRPr="00F16251">
        <w:rPr>
          <w:rFonts w:eastAsia="Calibri" w:cstheme="minorHAnsi"/>
        </w:rPr>
        <w:t>itd.</w:t>
      </w:r>
      <w:r w:rsidR="003B50ED" w:rsidRPr="00F16251">
        <w:rPr>
          <w:rFonts w:eastAsia="Calibri" w:cstheme="minorHAnsi"/>
        </w:rPr>
        <w:t xml:space="preserve"> </w:t>
      </w:r>
      <w:r w:rsidRPr="00F16251">
        <w:rPr>
          <w:rFonts w:eastAsia="Calibri" w:cstheme="minorHAnsi"/>
        </w:rPr>
        <w:t>Wypełnione</w:t>
      </w:r>
      <w:r w:rsidR="003B50ED" w:rsidRPr="00F16251">
        <w:rPr>
          <w:rFonts w:eastAsia="Calibri" w:cstheme="minorHAnsi"/>
        </w:rPr>
        <w:t xml:space="preserve"> </w:t>
      </w:r>
      <w:r w:rsidRPr="00F16251">
        <w:rPr>
          <w:rFonts w:eastAsia="Calibri" w:cstheme="minorHAnsi"/>
        </w:rPr>
        <w:t>ankiety</w:t>
      </w:r>
      <w:r w:rsidR="003B50ED" w:rsidRPr="00F16251">
        <w:rPr>
          <w:rFonts w:eastAsia="Calibri" w:cstheme="minorHAnsi"/>
        </w:rPr>
        <w:t xml:space="preserve"> </w:t>
      </w:r>
      <w:r w:rsidRPr="00F16251">
        <w:rPr>
          <w:rFonts w:eastAsia="Calibri" w:cstheme="minorHAnsi"/>
        </w:rPr>
        <w:t>respondenci</w:t>
      </w:r>
      <w:r w:rsidR="003B50ED" w:rsidRPr="00F16251">
        <w:rPr>
          <w:rFonts w:eastAsia="Calibri" w:cstheme="minorHAnsi"/>
        </w:rPr>
        <w:t xml:space="preserve"> </w:t>
      </w:r>
      <w:r w:rsidRPr="00F16251">
        <w:rPr>
          <w:rFonts w:eastAsia="Calibri" w:cstheme="minorHAnsi"/>
        </w:rPr>
        <w:t>mieli</w:t>
      </w:r>
      <w:r w:rsidR="003B50ED" w:rsidRPr="00F16251">
        <w:rPr>
          <w:rFonts w:eastAsia="Calibri" w:cstheme="minorHAnsi"/>
        </w:rPr>
        <w:t xml:space="preserve"> </w:t>
      </w:r>
      <w:r w:rsidRPr="00F16251">
        <w:rPr>
          <w:rFonts w:eastAsia="Calibri" w:cstheme="minorHAnsi"/>
        </w:rPr>
        <w:t>możliwość</w:t>
      </w:r>
      <w:r w:rsidR="003B50ED" w:rsidRPr="00F16251">
        <w:rPr>
          <w:rFonts w:eastAsia="Calibri" w:cstheme="minorHAnsi"/>
        </w:rPr>
        <w:t xml:space="preserve"> </w:t>
      </w:r>
      <w:r w:rsidRPr="00F16251">
        <w:rPr>
          <w:rFonts w:eastAsia="Calibri" w:cstheme="minorHAnsi"/>
        </w:rPr>
        <w:t>przesłać</w:t>
      </w:r>
      <w:r w:rsidR="003B50ED" w:rsidRPr="00F16251">
        <w:rPr>
          <w:rFonts w:eastAsia="Calibri" w:cstheme="minorHAnsi"/>
        </w:rPr>
        <w:t xml:space="preserve"> </w:t>
      </w:r>
      <w:r w:rsidRPr="00F16251">
        <w:rPr>
          <w:rFonts w:eastAsia="Calibri" w:cstheme="minorHAnsi"/>
        </w:rPr>
        <w:t>przez</w:t>
      </w:r>
      <w:r w:rsidR="003B50ED" w:rsidRPr="00F16251">
        <w:rPr>
          <w:rFonts w:eastAsia="Calibri" w:cstheme="minorHAnsi"/>
        </w:rPr>
        <w:t xml:space="preserve"> </w:t>
      </w:r>
      <w:r w:rsidRPr="00F16251">
        <w:rPr>
          <w:rFonts w:eastAsia="Calibri" w:cstheme="minorHAnsi"/>
        </w:rPr>
        <w:t>Internet,</w:t>
      </w:r>
      <w:r w:rsidR="003B50ED" w:rsidRPr="00F16251">
        <w:rPr>
          <w:rFonts w:eastAsia="Calibri" w:cstheme="minorHAnsi"/>
        </w:rPr>
        <w:t xml:space="preserve"> </w:t>
      </w:r>
      <w:r w:rsidRPr="00F16251">
        <w:rPr>
          <w:rFonts w:eastAsia="Calibri" w:cstheme="minorHAnsi"/>
        </w:rPr>
        <w:t>pocztą</w:t>
      </w:r>
      <w:r w:rsidR="003B50ED" w:rsidRPr="00F16251">
        <w:rPr>
          <w:rFonts w:eastAsia="Calibri" w:cstheme="minorHAnsi"/>
        </w:rPr>
        <w:t xml:space="preserve"> </w:t>
      </w:r>
      <w:r w:rsidRPr="00F16251">
        <w:rPr>
          <w:rFonts w:eastAsia="Calibri" w:cstheme="minorHAnsi"/>
        </w:rPr>
        <w:t>elektroniczną,</w:t>
      </w:r>
      <w:r w:rsidR="003B50ED" w:rsidRPr="00F16251">
        <w:rPr>
          <w:rFonts w:eastAsia="Calibri" w:cstheme="minorHAnsi"/>
        </w:rPr>
        <w:t xml:space="preserve"> </w:t>
      </w:r>
      <w:r w:rsidRPr="00F16251">
        <w:rPr>
          <w:rFonts w:eastAsia="Calibri" w:cstheme="minorHAnsi"/>
        </w:rPr>
        <w:t>tradycyjną,</w:t>
      </w:r>
      <w:r w:rsidR="003B50ED" w:rsidRPr="00F16251">
        <w:rPr>
          <w:rFonts w:eastAsia="Calibri" w:cstheme="minorHAnsi"/>
        </w:rPr>
        <w:t xml:space="preserve"> </w:t>
      </w:r>
      <w:r w:rsidRPr="00F16251">
        <w:rPr>
          <w:rFonts w:eastAsia="Calibri" w:cstheme="minorHAnsi"/>
        </w:rPr>
        <w:t>złożyć</w:t>
      </w:r>
      <w:r w:rsidR="003B50ED" w:rsidRPr="00F16251">
        <w:rPr>
          <w:rFonts w:eastAsia="Calibri" w:cstheme="minorHAnsi"/>
        </w:rPr>
        <w:t xml:space="preserve"> </w:t>
      </w:r>
      <w:r w:rsidRPr="00F16251">
        <w:rPr>
          <w:rFonts w:eastAsia="Calibri" w:cstheme="minorHAnsi"/>
        </w:rPr>
        <w:t>bezpośrednio</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biurze</w:t>
      </w:r>
      <w:r w:rsidR="003B50ED" w:rsidRPr="00F16251">
        <w:rPr>
          <w:rFonts w:eastAsia="Calibri" w:cstheme="minorHAnsi"/>
        </w:rPr>
        <w:t xml:space="preserve"> </w:t>
      </w:r>
      <w:r w:rsidRPr="00F16251">
        <w:rPr>
          <w:rFonts w:eastAsia="Calibri" w:cstheme="minorHAnsi"/>
        </w:rPr>
        <w:t>LGD</w:t>
      </w:r>
      <w:r w:rsidR="003B50ED" w:rsidRPr="00F16251">
        <w:rPr>
          <w:rFonts w:eastAsia="Calibri" w:cstheme="minorHAnsi"/>
        </w:rPr>
        <w:t xml:space="preserve"> </w:t>
      </w:r>
      <w:r w:rsidRPr="00F16251">
        <w:rPr>
          <w:rFonts w:eastAsia="Calibri" w:cstheme="minorHAnsi"/>
        </w:rPr>
        <w:t>albo</w:t>
      </w:r>
      <w:r w:rsidR="003B50ED" w:rsidRPr="00F16251">
        <w:rPr>
          <w:rFonts w:eastAsia="Calibri" w:cstheme="minorHAnsi"/>
        </w:rPr>
        <w:t xml:space="preserve"> </w:t>
      </w:r>
      <w:r w:rsidRPr="00F16251">
        <w:rPr>
          <w:rFonts w:eastAsia="Calibri" w:cstheme="minorHAnsi"/>
        </w:rPr>
        <w:t>przekazać</w:t>
      </w:r>
      <w:r w:rsidR="003B50ED" w:rsidRPr="00F16251">
        <w:rPr>
          <w:rFonts w:eastAsia="Calibri" w:cstheme="minorHAnsi"/>
        </w:rPr>
        <w:t xml:space="preserve"> </w:t>
      </w:r>
      <w:r w:rsidRPr="00F16251">
        <w:rPr>
          <w:rFonts w:eastAsia="Calibri" w:cstheme="minorHAnsi"/>
        </w:rPr>
        <w:t>koordynatorom</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punkcie</w:t>
      </w:r>
      <w:r w:rsidR="003B50ED" w:rsidRPr="00F16251">
        <w:rPr>
          <w:rFonts w:eastAsia="Calibri" w:cstheme="minorHAnsi"/>
        </w:rPr>
        <w:t xml:space="preserve"> </w:t>
      </w:r>
      <w:r w:rsidRPr="00F16251">
        <w:rPr>
          <w:rFonts w:eastAsia="Calibri" w:cstheme="minorHAnsi"/>
        </w:rPr>
        <w:t>konsultacji</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gminie</w:t>
      </w:r>
      <w:r w:rsidR="003B50ED" w:rsidRPr="00F16251">
        <w:rPr>
          <w:rFonts w:eastAsia="Calibri" w:cstheme="minorHAnsi"/>
        </w:rPr>
        <w:t xml:space="preserve"> </w:t>
      </w:r>
      <w:r w:rsidRPr="00F16251">
        <w:rPr>
          <w:rFonts w:eastAsia="Calibri" w:cstheme="minorHAnsi"/>
        </w:rPr>
        <w:t>lub</w:t>
      </w:r>
      <w:r w:rsidR="003B50ED" w:rsidRPr="00F16251">
        <w:rPr>
          <w:rFonts w:eastAsia="Calibri" w:cstheme="minorHAnsi"/>
        </w:rPr>
        <w:t xml:space="preserve"> </w:t>
      </w:r>
      <w:r w:rsidRPr="00F16251">
        <w:rPr>
          <w:rFonts w:eastAsia="Calibri" w:cstheme="minorHAnsi"/>
        </w:rPr>
        <w:t>przedstawicielom</w:t>
      </w:r>
      <w:r w:rsidR="003B50ED" w:rsidRPr="00F16251">
        <w:rPr>
          <w:rFonts w:eastAsia="Calibri" w:cstheme="minorHAnsi"/>
        </w:rPr>
        <w:t xml:space="preserve"> </w:t>
      </w:r>
      <w:r w:rsidR="003260B4" w:rsidRPr="00F16251">
        <w:rPr>
          <w:rFonts w:cstheme="minorHAnsi"/>
        </w:rPr>
        <w:t xml:space="preserve">Stowarzyszenia „Solidarni w </w:t>
      </w:r>
      <w:r w:rsidR="003260B4" w:rsidRPr="006D43E4">
        <w:rPr>
          <w:rFonts w:cstheme="minorHAnsi"/>
        </w:rPr>
        <w:t xml:space="preserve">Partnerstwie” </w:t>
      </w:r>
      <w:r w:rsidRPr="006D43E4">
        <w:rPr>
          <w:rFonts w:eastAsia="Calibri" w:cstheme="minorHAnsi"/>
        </w:rPr>
        <w:t>podczas</w:t>
      </w:r>
      <w:r w:rsidR="003B50ED" w:rsidRPr="006D43E4">
        <w:rPr>
          <w:rFonts w:eastAsia="Calibri" w:cstheme="minorHAnsi"/>
        </w:rPr>
        <w:t xml:space="preserve"> </w:t>
      </w:r>
      <w:r w:rsidRPr="006D43E4">
        <w:rPr>
          <w:rFonts w:eastAsia="Calibri" w:cstheme="minorHAnsi"/>
        </w:rPr>
        <w:t>spotkań</w:t>
      </w:r>
      <w:r w:rsidR="003B50ED" w:rsidRPr="006D43E4">
        <w:rPr>
          <w:rFonts w:eastAsia="Calibri" w:cstheme="minorHAnsi"/>
        </w:rPr>
        <w:t xml:space="preserve"> </w:t>
      </w:r>
      <w:r w:rsidRPr="006D43E4">
        <w:rPr>
          <w:rFonts w:eastAsia="Calibri" w:cstheme="minorHAnsi"/>
        </w:rPr>
        <w:t>organizowanych</w:t>
      </w:r>
      <w:r w:rsidR="003B50ED" w:rsidRPr="006D43E4">
        <w:rPr>
          <w:rFonts w:eastAsia="Calibri" w:cstheme="minorHAnsi"/>
        </w:rPr>
        <w:t xml:space="preserve"> </w:t>
      </w:r>
      <w:r w:rsidRPr="006D43E4">
        <w:rPr>
          <w:rFonts w:eastAsia="Calibri" w:cstheme="minorHAnsi"/>
        </w:rPr>
        <w:t>w</w:t>
      </w:r>
      <w:r w:rsidR="003B50ED" w:rsidRPr="006D43E4">
        <w:rPr>
          <w:rFonts w:eastAsia="Calibri" w:cstheme="minorHAnsi"/>
        </w:rPr>
        <w:t xml:space="preserve"> </w:t>
      </w:r>
      <w:r w:rsidRPr="006D43E4">
        <w:rPr>
          <w:rFonts w:eastAsia="Calibri" w:cstheme="minorHAnsi"/>
        </w:rPr>
        <w:t>ramach</w:t>
      </w:r>
      <w:r w:rsidR="003B50ED" w:rsidRPr="006D43E4">
        <w:rPr>
          <w:rFonts w:eastAsia="Calibri" w:cstheme="minorHAnsi"/>
        </w:rPr>
        <w:t xml:space="preserve"> </w:t>
      </w:r>
      <w:r w:rsidR="003260B4" w:rsidRPr="006D43E4">
        <w:rPr>
          <w:rFonts w:eastAsia="Calibri" w:cstheme="minorHAnsi"/>
        </w:rPr>
        <w:t>P</w:t>
      </w:r>
      <w:r w:rsidRPr="006D43E4">
        <w:rPr>
          <w:rFonts w:eastAsia="Calibri" w:cstheme="minorHAnsi"/>
        </w:rPr>
        <w:t>lanu</w:t>
      </w:r>
      <w:r w:rsidR="003B50ED" w:rsidRPr="006D43E4">
        <w:rPr>
          <w:rFonts w:eastAsia="Calibri" w:cstheme="minorHAnsi"/>
        </w:rPr>
        <w:t xml:space="preserve"> </w:t>
      </w:r>
      <w:r w:rsidRPr="006D43E4">
        <w:rPr>
          <w:rFonts w:eastAsia="Calibri" w:cstheme="minorHAnsi"/>
        </w:rPr>
        <w:t>włączenia</w:t>
      </w:r>
      <w:r w:rsidR="003B50ED" w:rsidRPr="006D43E4">
        <w:rPr>
          <w:rFonts w:eastAsia="Calibri" w:cstheme="minorHAnsi"/>
        </w:rPr>
        <w:t xml:space="preserve"> </w:t>
      </w:r>
      <w:r w:rsidRPr="006D43E4">
        <w:rPr>
          <w:rFonts w:eastAsia="Calibri" w:cstheme="minorHAnsi"/>
        </w:rPr>
        <w:t>społeczności</w:t>
      </w:r>
      <w:r w:rsidR="003B50ED" w:rsidRPr="006D43E4">
        <w:rPr>
          <w:rFonts w:eastAsia="Calibri" w:cstheme="minorHAnsi"/>
        </w:rPr>
        <w:t xml:space="preserve"> </w:t>
      </w:r>
      <w:r w:rsidRPr="006D43E4">
        <w:rPr>
          <w:rFonts w:eastAsia="Calibri" w:cstheme="minorHAnsi"/>
        </w:rPr>
        <w:t>lokalnej</w:t>
      </w:r>
      <w:r w:rsidR="003B50ED" w:rsidRPr="006D43E4">
        <w:rPr>
          <w:rFonts w:eastAsia="Calibri" w:cstheme="minorHAnsi"/>
        </w:rPr>
        <w:t xml:space="preserve"> </w:t>
      </w:r>
      <w:r w:rsidRPr="006D43E4">
        <w:rPr>
          <w:rFonts w:eastAsia="Calibri" w:cstheme="minorHAnsi"/>
        </w:rPr>
        <w:t>do</w:t>
      </w:r>
      <w:r w:rsidR="003B50ED" w:rsidRPr="006D43E4">
        <w:rPr>
          <w:rFonts w:eastAsia="Calibri" w:cstheme="minorHAnsi"/>
        </w:rPr>
        <w:t xml:space="preserve"> </w:t>
      </w:r>
      <w:r w:rsidRPr="006D43E4">
        <w:rPr>
          <w:rFonts w:eastAsia="Calibri" w:cstheme="minorHAnsi"/>
        </w:rPr>
        <w:t>prac</w:t>
      </w:r>
      <w:r w:rsidR="003B50ED" w:rsidRPr="006D43E4">
        <w:rPr>
          <w:rFonts w:eastAsia="Calibri" w:cstheme="minorHAnsi"/>
        </w:rPr>
        <w:t xml:space="preserve"> </w:t>
      </w:r>
      <w:r w:rsidRPr="006D43E4">
        <w:rPr>
          <w:rFonts w:eastAsia="Calibri" w:cstheme="minorHAnsi"/>
        </w:rPr>
        <w:t>nad</w:t>
      </w:r>
      <w:r w:rsidR="003B50ED" w:rsidRPr="006D43E4">
        <w:rPr>
          <w:rFonts w:eastAsia="Calibri" w:cstheme="minorHAnsi"/>
        </w:rPr>
        <w:t xml:space="preserve"> </w:t>
      </w:r>
      <w:r w:rsidRPr="006D43E4">
        <w:rPr>
          <w:rFonts w:eastAsia="Calibri" w:cstheme="minorHAnsi"/>
        </w:rPr>
        <w:t>budową</w:t>
      </w:r>
      <w:r w:rsidR="003B50ED" w:rsidRPr="006D43E4">
        <w:rPr>
          <w:rFonts w:eastAsia="Calibri" w:cstheme="minorHAnsi"/>
        </w:rPr>
        <w:t xml:space="preserve"> </w:t>
      </w:r>
      <w:r w:rsidRPr="006D43E4">
        <w:rPr>
          <w:rFonts w:eastAsia="Calibri" w:cstheme="minorHAnsi"/>
        </w:rPr>
        <w:t>LSR.</w:t>
      </w:r>
      <w:r w:rsidR="003B50ED" w:rsidRPr="006D43E4">
        <w:rPr>
          <w:rFonts w:eastAsia="Calibri" w:cstheme="minorHAnsi"/>
        </w:rPr>
        <w:t xml:space="preserve"> </w:t>
      </w:r>
      <w:r w:rsidRPr="006D43E4">
        <w:rPr>
          <w:rFonts w:eastAsia="Calibri" w:cstheme="minorHAnsi"/>
        </w:rPr>
        <w:t>W</w:t>
      </w:r>
      <w:r w:rsidR="003B50ED" w:rsidRPr="006D43E4">
        <w:rPr>
          <w:rFonts w:eastAsia="Calibri" w:cstheme="minorHAnsi"/>
        </w:rPr>
        <w:t xml:space="preserve"> </w:t>
      </w:r>
      <w:r w:rsidRPr="006D43E4">
        <w:rPr>
          <w:rFonts w:eastAsia="Calibri" w:cstheme="minorHAnsi"/>
        </w:rPr>
        <w:t>celu</w:t>
      </w:r>
      <w:r w:rsidR="003B50ED" w:rsidRPr="006D43E4">
        <w:rPr>
          <w:rFonts w:eastAsia="Calibri" w:cstheme="minorHAnsi"/>
        </w:rPr>
        <w:t xml:space="preserve"> </w:t>
      </w:r>
      <w:r w:rsidRPr="006D43E4">
        <w:rPr>
          <w:rFonts w:eastAsia="Calibri" w:cstheme="minorHAnsi"/>
        </w:rPr>
        <w:t>ułatwienia</w:t>
      </w:r>
      <w:r w:rsidR="003B50ED" w:rsidRPr="006D43E4">
        <w:rPr>
          <w:rFonts w:eastAsia="Calibri" w:cstheme="minorHAnsi"/>
        </w:rPr>
        <w:t xml:space="preserve"> </w:t>
      </w:r>
      <w:r w:rsidRPr="006D43E4">
        <w:rPr>
          <w:rFonts w:eastAsia="Calibri" w:cstheme="minorHAnsi"/>
        </w:rPr>
        <w:t>wypełnienia</w:t>
      </w:r>
      <w:r w:rsidR="003B50ED" w:rsidRPr="006D43E4">
        <w:rPr>
          <w:rFonts w:eastAsia="Calibri" w:cstheme="minorHAnsi"/>
        </w:rPr>
        <w:t xml:space="preserve"> </w:t>
      </w:r>
      <w:r w:rsidRPr="006D43E4">
        <w:rPr>
          <w:rFonts w:eastAsia="Calibri" w:cstheme="minorHAnsi"/>
        </w:rPr>
        <w:t>ankiety</w:t>
      </w:r>
      <w:r w:rsidR="003260B4" w:rsidRPr="006D43E4">
        <w:rPr>
          <w:rFonts w:eastAsia="Calibri" w:cstheme="minorHAnsi"/>
        </w:rPr>
        <w:t xml:space="preserve"> przez </w:t>
      </w:r>
      <w:r w:rsidRPr="006D43E4">
        <w:rPr>
          <w:rFonts w:eastAsia="Calibri" w:cstheme="minorHAnsi"/>
        </w:rPr>
        <w:t>seniorów</w:t>
      </w:r>
      <w:r w:rsidR="003B50ED" w:rsidRPr="006D43E4">
        <w:rPr>
          <w:rFonts w:eastAsia="Calibri" w:cstheme="minorHAnsi"/>
        </w:rPr>
        <w:t xml:space="preserve"> </w:t>
      </w:r>
      <w:r w:rsidRPr="006D43E4">
        <w:rPr>
          <w:rFonts w:eastAsia="Calibri" w:cstheme="minorHAnsi"/>
        </w:rPr>
        <w:t>lub</w:t>
      </w:r>
      <w:r w:rsidR="003B50ED" w:rsidRPr="006D43E4">
        <w:rPr>
          <w:rFonts w:eastAsia="Calibri" w:cstheme="minorHAnsi"/>
        </w:rPr>
        <w:t xml:space="preserve"> </w:t>
      </w:r>
      <w:r w:rsidRPr="006D43E4">
        <w:rPr>
          <w:rFonts w:eastAsia="Calibri" w:cstheme="minorHAnsi"/>
        </w:rPr>
        <w:t>osoby</w:t>
      </w:r>
      <w:r w:rsidR="003B50ED" w:rsidRPr="006D43E4">
        <w:rPr>
          <w:rFonts w:eastAsia="Calibri" w:cstheme="minorHAnsi"/>
        </w:rPr>
        <w:t xml:space="preserve"> </w:t>
      </w:r>
      <w:r w:rsidRPr="006D43E4">
        <w:rPr>
          <w:rFonts w:eastAsia="Calibri" w:cstheme="minorHAnsi"/>
        </w:rPr>
        <w:t>w</w:t>
      </w:r>
      <w:r w:rsidR="003B50ED" w:rsidRPr="006D43E4">
        <w:rPr>
          <w:rFonts w:eastAsia="Calibri" w:cstheme="minorHAnsi"/>
        </w:rPr>
        <w:t xml:space="preserve"> </w:t>
      </w:r>
      <w:r w:rsidRPr="006D43E4">
        <w:rPr>
          <w:rFonts w:eastAsia="Calibri" w:cstheme="minorHAnsi"/>
        </w:rPr>
        <w:t>niekorzystnej</w:t>
      </w:r>
      <w:r w:rsidR="003B50ED" w:rsidRPr="006D43E4">
        <w:rPr>
          <w:rFonts w:eastAsia="Calibri" w:cstheme="minorHAnsi"/>
        </w:rPr>
        <w:t xml:space="preserve"> </w:t>
      </w:r>
      <w:r w:rsidRPr="006D43E4">
        <w:rPr>
          <w:rFonts w:eastAsia="Calibri" w:cstheme="minorHAnsi"/>
        </w:rPr>
        <w:t>sytuacji,</w:t>
      </w:r>
      <w:r w:rsidR="003B50ED" w:rsidRPr="006D43E4">
        <w:rPr>
          <w:rFonts w:eastAsia="Calibri" w:cstheme="minorHAnsi"/>
        </w:rPr>
        <w:t xml:space="preserve"> </w:t>
      </w:r>
      <w:r w:rsidRPr="006D43E4">
        <w:rPr>
          <w:rFonts w:eastAsia="Calibri" w:cstheme="minorHAnsi"/>
        </w:rPr>
        <w:t>dopuszczono</w:t>
      </w:r>
      <w:r w:rsidR="003B50ED" w:rsidRPr="006D43E4">
        <w:rPr>
          <w:rFonts w:eastAsia="Calibri" w:cstheme="minorHAnsi"/>
        </w:rPr>
        <w:t xml:space="preserve"> </w:t>
      </w:r>
      <w:r w:rsidRPr="006D43E4">
        <w:rPr>
          <w:rFonts w:eastAsia="Calibri" w:cstheme="minorHAnsi"/>
        </w:rPr>
        <w:t>również</w:t>
      </w:r>
      <w:r w:rsidR="003B50ED" w:rsidRPr="006D43E4">
        <w:rPr>
          <w:rFonts w:eastAsia="Calibri" w:cstheme="minorHAnsi"/>
        </w:rPr>
        <w:t xml:space="preserve"> </w:t>
      </w:r>
      <w:r w:rsidRPr="006D43E4">
        <w:rPr>
          <w:rFonts w:eastAsia="Calibri" w:cstheme="minorHAnsi"/>
        </w:rPr>
        <w:t>możliwość</w:t>
      </w:r>
      <w:r w:rsidR="003B50ED" w:rsidRPr="006D43E4">
        <w:rPr>
          <w:rFonts w:eastAsia="Calibri" w:cstheme="minorHAnsi"/>
        </w:rPr>
        <w:t xml:space="preserve"> </w:t>
      </w:r>
      <w:r w:rsidRPr="006D43E4">
        <w:rPr>
          <w:rFonts w:eastAsia="Calibri" w:cstheme="minorHAnsi"/>
        </w:rPr>
        <w:t>telefonicznego</w:t>
      </w:r>
      <w:r w:rsidR="003B50ED" w:rsidRPr="006D43E4">
        <w:rPr>
          <w:rFonts w:eastAsia="Calibri" w:cstheme="minorHAnsi"/>
        </w:rPr>
        <w:t xml:space="preserve"> </w:t>
      </w:r>
      <w:r w:rsidRPr="006D43E4">
        <w:rPr>
          <w:rFonts w:eastAsia="Calibri" w:cstheme="minorHAnsi"/>
        </w:rPr>
        <w:t>udzielenia</w:t>
      </w:r>
      <w:r w:rsidR="003B50ED" w:rsidRPr="006D43E4">
        <w:rPr>
          <w:rFonts w:eastAsia="Calibri" w:cstheme="minorHAnsi"/>
        </w:rPr>
        <w:t xml:space="preserve"> </w:t>
      </w:r>
      <w:r w:rsidRPr="006D43E4">
        <w:rPr>
          <w:rFonts w:eastAsia="Calibri" w:cstheme="minorHAnsi"/>
        </w:rPr>
        <w:t>odpowiedzi</w:t>
      </w:r>
      <w:r w:rsidR="003B50ED" w:rsidRPr="006D43E4">
        <w:rPr>
          <w:rFonts w:eastAsia="Calibri" w:cstheme="minorHAnsi"/>
        </w:rPr>
        <w:t xml:space="preserve"> </w:t>
      </w:r>
      <w:r w:rsidRPr="006D43E4">
        <w:rPr>
          <w:rFonts w:eastAsia="Calibri" w:cstheme="minorHAnsi"/>
        </w:rPr>
        <w:t>na</w:t>
      </w:r>
      <w:r w:rsidR="003B50ED" w:rsidRPr="006D43E4">
        <w:rPr>
          <w:rFonts w:eastAsia="Calibri" w:cstheme="minorHAnsi"/>
        </w:rPr>
        <w:t xml:space="preserve"> </w:t>
      </w:r>
      <w:r w:rsidRPr="006D43E4">
        <w:rPr>
          <w:rFonts w:eastAsia="Calibri" w:cstheme="minorHAnsi"/>
        </w:rPr>
        <w:t>pytania</w:t>
      </w:r>
      <w:r w:rsidR="003B50ED" w:rsidRPr="006D43E4">
        <w:rPr>
          <w:rFonts w:eastAsia="Calibri" w:cstheme="minorHAnsi"/>
        </w:rPr>
        <w:t xml:space="preserve"> </w:t>
      </w:r>
      <w:r w:rsidRPr="006D43E4">
        <w:rPr>
          <w:rFonts w:eastAsia="Calibri" w:cstheme="minorHAnsi"/>
        </w:rPr>
        <w:t>postawione</w:t>
      </w:r>
      <w:r w:rsidR="003B50ED" w:rsidRPr="006D43E4">
        <w:rPr>
          <w:rFonts w:eastAsia="Calibri" w:cstheme="minorHAnsi"/>
        </w:rPr>
        <w:t xml:space="preserve"> </w:t>
      </w:r>
      <w:r w:rsidRPr="006D43E4">
        <w:rPr>
          <w:rFonts w:eastAsia="Calibri" w:cstheme="minorHAnsi"/>
        </w:rPr>
        <w:t>w</w:t>
      </w:r>
      <w:r w:rsidR="003B50ED" w:rsidRPr="006D43E4">
        <w:rPr>
          <w:rFonts w:eastAsia="Calibri" w:cstheme="minorHAnsi"/>
        </w:rPr>
        <w:t xml:space="preserve"> </w:t>
      </w:r>
      <w:r w:rsidRPr="006D43E4">
        <w:rPr>
          <w:rFonts w:eastAsia="Calibri" w:cstheme="minorHAnsi"/>
        </w:rPr>
        <w:t>kwestionariuszu.</w:t>
      </w:r>
    </w:p>
    <w:p w14:paraId="5A1CB99C" w14:textId="5E08DDD3" w:rsidR="002B575D" w:rsidRPr="006D43E4" w:rsidRDefault="00171BB1" w:rsidP="006D43E4">
      <w:pPr>
        <w:spacing w:line="276" w:lineRule="auto"/>
        <w:ind w:firstLine="284"/>
        <w:jc w:val="both"/>
        <w:rPr>
          <w:rFonts w:eastAsia="Calibri" w:cstheme="minorHAnsi"/>
        </w:rPr>
      </w:pPr>
      <w:r w:rsidRPr="006D43E4">
        <w:rPr>
          <w:rFonts w:eastAsia="Calibri" w:cstheme="minorHAnsi"/>
        </w:rPr>
        <w:t xml:space="preserve">Wyniki ankiet pozwoliły zdiagnozować grupy docelowe oraz ustalić zakres wsparcia tj. rozwój przedsiębiorczości,  rozwój małej infrastruktury turystycznej, sportowej i kulturalnej </w:t>
      </w:r>
      <w:r w:rsidR="00153FDC">
        <w:rPr>
          <w:rFonts w:eastAsia="Calibri" w:cstheme="minorHAnsi"/>
        </w:rPr>
        <w:t xml:space="preserve"> </w:t>
      </w:r>
      <w:r w:rsidRPr="006D43E4">
        <w:rPr>
          <w:rFonts w:eastAsia="Calibri" w:cstheme="minorHAnsi"/>
        </w:rPr>
        <w:t xml:space="preserve">w tym wykorzystanie innowacji na rzecz wzmacniania kapitału ludzkiego w szczególności osób młodych, seniorów oraz kobiet, osób niepełnosprawnych </w:t>
      </w:r>
      <w:r w:rsidR="00D02820">
        <w:rPr>
          <w:rFonts w:eastAsia="Calibri" w:cstheme="minorHAnsi"/>
        </w:rPr>
        <w:t xml:space="preserve"> </w:t>
      </w:r>
      <w:r w:rsidRPr="006D43E4">
        <w:rPr>
          <w:rFonts w:eastAsia="Calibri" w:cstheme="minorHAnsi"/>
        </w:rPr>
        <w:t xml:space="preserve">i bezrobotnych w tym również opracowanie koncepcji Smart </w:t>
      </w:r>
      <w:proofErr w:type="spellStart"/>
      <w:r w:rsidRPr="006D43E4">
        <w:rPr>
          <w:rFonts w:eastAsia="Calibri" w:cstheme="minorHAnsi"/>
        </w:rPr>
        <w:t>Village</w:t>
      </w:r>
      <w:proofErr w:type="spellEnd"/>
      <w:r w:rsidRPr="006D43E4">
        <w:rPr>
          <w:rFonts w:eastAsia="Calibri" w:cstheme="minorHAnsi"/>
        </w:rPr>
        <w:t>. Zdecydowana większość respondentów wskazywała na konieczność stworzenia miejsc rekreacji, które jednocześnie zwiększyłyby atrakcyjność obszaru.</w:t>
      </w:r>
      <w:r w:rsidR="00D02820">
        <w:rPr>
          <w:rFonts w:eastAsia="Calibri" w:cstheme="minorHAnsi"/>
        </w:rPr>
        <w:t xml:space="preserve">   </w:t>
      </w:r>
      <w:r w:rsidRPr="006D43E4">
        <w:rPr>
          <w:rFonts w:eastAsia="Calibri" w:cstheme="minorHAnsi"/>
        </w:rPr>
        <w:t>W ankietach pojawiał się również problem braku miejsc pracy i niedostosowania systemu edukacji do rynku pracy.</w:t>
      </w:r>
      <w:r w:rsidR="00396A11" w:rsidRPr="006D43E4">
        <w:rPr>
          <w:rFonts w:eastAsia="Calibri" w:cstheme="minorHAnsi"/>
        </w:rPr>
        <w:t xml:space="preserve"> </w:t>
      </w:r>
    </w:p>
    <w:p w14:paraId="5FCDC774" w14:textId="4FF08B43" w:rsidR="0043248A" w:rsidRPr="006D43E4" w:rsidRDefault="0043248A" w:rsidP="00A26C26">
      <w:pPr>
        <w:spacing w:line="276" w:lineRule="auto"/>
        <w:ind w:firstLine="284"/>
        <w:jc w:val="both"/>
        <w:rPr>
          <w:rFonts w:eastAsia="Calibri" w:cstheme="minorHAnsi"/>
          <w:b/>
          <w:bCs/>
        </w:rPr>
      </w:pPr>
      <w:r w:rsidRPr="006D43E4">
        <w:rPr>
          <w:rFonts w:eastAsia="Calibri" w:cstheme="minorHAnsi"/>
        </w:rPr>
        <w:t>W</w:t>
      </w:r>
      <w:r w:rsidR="003B50ED" w:rsidRPr="006D43E4">
        <w:rPr>
          <w:rFonts w:eastAsia="Calibri" w:cstheme="minorHAnsi"/>
        </w:rPr>
        <w:t xml:space="preserve"> </w:t>
      </w:r>
      <w:r w:rsidRPr="006D43E4">
        <w:rPr>
          <w:rFonts w:eastAsia="Calibri" w:cstheme="minorHAnsi"/>
        </w:rPr>
        <w:t>przypadku</w:t>
      </w:r>
      <w:r w:rsidR="003B50ED" w:rsidRPr="006D43E4">
        <w:rPr>
          <w:rFonts w:eastAsia="Calibri" w:cstheme="minorHAnsi"/>
        </w:rPr>
        <w:t xml:space="preserve"> </w:t>
      </w:r>
      <w:r w:rsidR="003260B4" w:rsidRPr="006D43E4">
        <w:rPr>
          <w:rFonts w:cstheme="minorHAnsi"/>
        </w:rPr>
        <w:t xml:space="preserve">Stowarzyszenia „Solidarni w Partnerstwie” </w:t>
      </w:r>
      <w:r w:rsidRPr="006D43E4">
        <w:rPr>
          <w:rFonts w:eastAsia="Calibri" w:cstheme="minorHAnsi"/>
          <w:b/>
          <w:bCs/>
        </w:rPr>
        <w:t>dyżury</w:t>
      </w:r>
      <w:r w:rsidR="003B50ED" w:rsidRPr="006D43E4">
        <w:rPr>
          <w:rFonts w:eastAsia="Calibri" w:cstheme="minorHAnsi"/>
          <w:b/>
          <w:bCs/>
        </w:rPr>
        <w:t xml:space="preserve"> </w:t>
      </w:r>
      <w:r w:rsidRPr="006D43E4">
        <w:rPr>
          <w:rFonts w:eastAsia="Calibri" w:cstheme="minorHAnsi"/>
          <w:b/>
          <w:bCs/>
        </w:rPr>
        <w:t>w</w:t>
      </w:r>
      <w:r w:rsidR="003B50ED" w:rsidRPr="006D43E4">
        <w:rPr>
          <w:rFonts w:eastAsia="Calibri" w:cstheme="minorHAnsi"/>
          <w:b/>
          <w:bCs/>
        </w:rPr>
        <w:t xml:space="preserve"> </w:t>
      </w:r>
      <w:r w:rsidRPr="006D43E4">
        <w:rPr>
          <w:rFonts w:eastAsia="Calibri" w:cstheme="minorHAnsi"/>
          <w:b/>
          <w:bCs/>
        </w:rPr>
        <w:t>biurze</w:t>
      </w:r>
      <w:r w:rsidR="003B50ED" w:rsidRPr="006D43E4">
        <w:rPr>
          <w:rFonts w:eastAsia="Calibri" w:cstheme="minorHAnsi"/>
          <w:b/>
          <w:bCs/>
        </w:rPr>
        <w:t xml:space="preserve"> </w:t>
      </w:r>
      <w:r w:rsidRPr="006D43E4">
        <w:rPr>
          <w:rFonts w:eastAsia="Calibri" w:cstheme="minorHAnsi"/>
          <w:b/>
          <w:bCs/>
        </w:rPr>
        <w:t>LGD,</w:t>
      </w:r>
      <w:r w:rsidR="003B50ED" w:rsidRPr="006D43E4">
        <w:rPr>
          <w:rFonts w:eastAsia="Calibri" w:cstheme="minorHAnsi"/>
          <w:b/>
          <w:bCs/>
        </w:rPr>
        <w:t xml:space="preserve"> </w:t>
      </w:r>
      <w:r w:rsidRPr="006D43E4">
        <w:rPr>
          <w:rFonts w:eastAsia="Calibri" w:cstheme="minorHAnsi"/>
        </w:rPr>
        <w:t>zostały</w:t>
      </w:r>
      <w:r w:rsidR="003B50ED" w:rsidRPr="006D43E4">
        <w:rPr>
          <w:rFonts w:eastAsia="Calibri" w:cstheme="minorHAnsi"/>
          <w:b/>
          <w:bCs/>
        </w:rPr>
        <w:t xml:space="preserve"> </w:t>
      </w:r>
      <w:r w:rsidRPr="006D43E4">
        <w:rPr>
          <w:rFonts w:eastAsia="Calibri" w:cstheme="minorHAnsi"/>
        </w:rPr>
        <w:t>rozszerzone</w:t>
      </w:r>
      <w:r w:rsidR="003B50ED" w:rsidRPr="006D43E4">
        <w:rPr>
          <w:rFonts w:eastAsia="Calibri" w:cstheme="minorHAnsi"/>
        </w:rPr>
        <w:t xml:space="preserve"> </w:t>
      </w:r>
      <w:r w:rsidR="003260B4" w:rsidRPr="006D43E4">
        <w:rPr>
          <w:rFonts w:eastAsia="Calibri" w:cstheme="minorHAnsi"/>
        </w:rPr>
        <w:br/>
      </w:r>
      <w:r w:rsidRPr="006D43E4">
        <w:rPr>
          <w:rFonts w:eastAsia="Calibri" w:cstheme="minorHAnsi"/>
        </w:rPr>
        <w:t>o</w:t>
      </w:r>
      <w:r w:rsidR="003B50ED" w:rsidRPr="006D43E4">
        <w:rPr>
          <w:rFonts w:eastAsia="Calibri" w:cstheme="minorHAnsi"/>
          <w:b/>
          <w:bCs/>
        </w:rPr>
        <w:t xml:space="preserve"> </w:t>
      </w:r>
      <w:r w:rsidR="003260B4" w:rsidRPr="006D43E4">
        <w:rPr>
          <w:rFonts w:eastAsia="Calibri" w:cstheme="minorHAnsi"/>
          <w:b/>
          <w:bCs/>
        </w:rPr>
        <w:t xml:space="preserve">przeprowadzane w konkretnych terminach </w:t>
      </w:r>
      <w:r w:rsidRPr="006D43E4">
        <w:rPr>
          <w:rFonts w:eastAsia="Calibri" w:cstheme="minorHAnsi"/>
          <w:b/>
          <w:bCs/>
        </w:rPr>
        <w:t>konsultacje</w:t>
      </w:r>
      <w:r w:rsidR="003B50ED" w:rsidRPr="006D43E4">
        <w:rPr>
          <w:rFonts w:eastAsia="Calibri" w:cstheme="minorHAnsi"/>
          <w:b/>
          <w:bCs/>
        </w:rPr>
        <w:t xml:space="preserve"> </w:t>
      </w:r>
      <w:r w:rsidRPr="006D43E4">
        <w:rPr>
          <w:rFonts w:eastAsia="Calibri" w:cstheme="minorHAnsi"/>
          <w:b/>
          <w:bCs/>
        </w:rPr>
        <w:t>konkretnych</w:t>
      </w:r>
      <w:r w:rsidR="003B50ED" w:rsidRPr="006D43E4">
        <w:rPr>
          <w:rFonts w:eastAsia="Calibri" w:cstheme="minorHAnsi"/>
          <w:b/>
          <w:bCs/>
        </w:rPr>
        <w:t xml:space="preserve"> </w:t>
      </w:r>
      <w:r w:rsidRPr="006D43E4">
        <w:rPr>
          <w:rFonts w:eastAsia="Calibri" w:cstheme="minorHAnsi"/>
          <w:b/>
          <w:bCs/>
        </w:rPr>
        <w:t>zapisów</w:t>
      </w:r>
      <w:r w:rsidR="003B50ED" w:rsidRPr="006D43E4">
        <w:rPr>
          <w:rFonts w:eastAsia="Calibri" w:cstheme="minorHAnsi"/>
          <w:b/>
          <w:bCs/>
        </w:rPr>
        <w:t xml:space="preserve"> </w:t>
      </w:r>
      <w:r w:rsidRPr="006D43E4">
        <w:rPr>
          <w:rFonts w:eastAsia="Calibri" w:cstheme="minorHAnsi"/>
          <w:b/>
          <w:bCs/>
        </w:rPr>
        <w:t>i</w:t>
      </w:r>
      <w:r w:rsidR="003B50ED" w:rsidRPr="006D43E4">
        <w:rPr>
          <w:rFonts w:eastAsia="Calibri" w:cstheme="minorHAnsi"/>
          <w:b/>
          <w:bCs/>
        </w:rPr>
        <w:t xml:space="preserve"> </w:t>
      </w:r>
      <w:r w:rsidRPr="006D43E4">
        <w:rPr>
          <w:rFonts w:eastAsia="Calibri" w:cstheme="minorHAnsi"/>
          <w:b/>
          <w:bCs/>
        </w:rPr>
        <w:t>propozycji</w:t>
      </w:r>
      <w:r w:rsidR="003B50ED" w:rsidRPr="006D43E4">
        <w:rPr>
          <w:rFonts w:eastAsia="Calibri" w:cstheme="minorHAnsi"/>
          <w:b/>
          <w:bCs/>
        </w:rPr>
        <w:t xml:space="preserve"> </w:t>
      </w:r>
      <w:r w:rsidRPr="006D43E4">
        <w:rPr>
          <w:rFonts w:eastAsia="Calibri" w:cstheme="minorHAnsi"/>
          <w:b/>
          <w:bCs/>
        </w:rPr>
        <w:t>LSR.</w:t>
      </w:r>
      <w:r w:rsidR="003B50ED" w:rsidRPr="006D43E4">
        <w:rPr>
          <w:rFonts w:eastAsia="Calibri" w:cstheme="minorHAnsi"/>
          <w:b/>
          <w:bCs/>
        </w:rPr>
        <w:t xml:space="preserve"> </w:t>
      </w:r>
    </w:p>
    <w:p w14:paraId="7469A28D" w14:textId="5DFB948F" w:rsidR="0043248A" w:rsidRPr="00F16251" w:rsidRDefault="0043248A" w:rsidP="00A26C26">
      <w:pPr>
        <w:spacing w:line="276" w:lineRule="auto"/>
        <w:ind w:firstLine="284"/>
        <w:jc w:val="both"/>
        <w:rPr>
          <w:rFonts w:eastAsia="Calibri" w:cstheme="minorHAnsi"/>
        </w:rPr>
      </w:pPr>
      <w:r w:rsidRPr="006D43E4">
        <w:rPr>
          <w:rFonts w:eastAsia="Calibri" w:cstheme="minorHAnsi"/>
        </w:rPr>
        <w:t>Podczas</w:t>
      </w:r>
      <w:r w:rsidR="003B50ED" w:rsidRPr="006D43E4">
        <w:rPr>
          <w:rFonts w:eastAsia="Calibri" w:cstheme="minorHAnsi"/>
        </w:rPr>
        <w:t xml:space="preserve"> </w:t>
      </w:r>
      <w:r w:rsidRPr="006D43E4">
        <w:rPr>
          <w:rFonts w:eastAsia="Calibri" w:cstheme="minorHAnsi"/>
        </w:rPr>
        <w:t>spotka</w:t>
      </w:r>
      <w:r w:rsidR="003260B4" w:rsidRPr="006D43E4">
        <w:rPr>
          <w:rFonts w:eastAsia="Calibri" w:cstheme="minorHAnsi"/>
        </w:rPr>
        <w:t>ń</w:t>
      </w:r>
      <w:r w:rsidR="003B50ED" w:rsidRPr="006D43E4">
        <w:rPr>
          <w:rFonts w:eastAsia="Calibri" w:cstheme="minorHAnsi"/>
        </w:rPr>
        <w:t xml:space="preserve"> </w:t>
      </w:r>
      <w:r w:rsidRPr="006D43E4">
        <w:rPr>
          <w:rFonts w:eastAsia="Calibri" w:cstheme="minorHAnsi"/>
        </w:rPr>
        <w:t>z</w:t>
      </w:r>
      <w:r w:rsidR="003B50ED" w:rsidRPr="006D43E4">
        <w:rPr>
          <w:rFonts w:eastAsia="Calibri" w:cstheme="minorHAnsi"/>
        </w:rPr>
        <w:t xml:space="preserve"> </w:t>
      </w:r>
      <w:r w:rsidRPr="006D43E4">
        <w:rPr>
          <w:rFonts w:eastAsia="Calibri" w:cstheme="minorHAnsi"/>
        </w:rPr>
        <w:t>pracownikiem</w:t>
      </w:r>
      <w:r w:rsidR="003B50ED" w:rsidRPr="00F16251">
        <w:rPr>
          <w:rFonts w:eastAsia="Calibri" w:cstheme="minorHAnsi"/>
        </w:rPr>
        <w:t xml:space="preserve"> </w:t>
      </w:r>
      <w:r w:rsidRPr="00F16251">
        <w:rPr>
          <w:rFonts w:eastAsia="Calibri" w:cstheme="minorHAnsi"/>
        </w:rPr>
        <w:t>biura</w:t>
      </w:r>
      <w:r w:rsidR="003260B4" w:rsidRPr="00F16251">
        <w:rPr>
          <w:rFonts w:eastAsia="Calibri" w:cstheme="minorHAnsi"/>
        </w:rPr>
        <w:t xml:space="preserve"> LGD</w:t>
      </w:r>
      <w:r w:rsidRPr="00F16251">
        <w:rPr>
          <w:rFonts w:eastAsia="Calibri" w:cstheme="minorHAnsi"/>
        </w:rPr>
        <w:t>,</w:t>
      </w:r>
      <w:r w:rsidR="003B50ED" w:rsidRPr="00F16251">
        <w:rPr>
          <w:rFonts w:eastAsia="Calibri" w:cstheme="minorHAnsi"/>
        </w:rPr>
        <w:t xml:space="preserve"> </w:t>
      </w:r>
      <w:r w:rsidRPr="00F16251">
        <w:rPr>
          <w:rFonts w:eastAsia="Calibri" w:cstheme="minorHAnsi"/>
        </w:rPr>
        <w:t>każdy</w:t>
      </w:r>
      <w:r w:rsidR="003B50ED" w:rsidRPr="00F16251">
        <w:rPr>
          <w:rFonts w:eastAsia="Calibri" w:cstheme="minorHAnsi"/>
        </w:rPr>
        <w:t xml:space="preserve"> </w:t>
      </w:r>
      <w:r w:rsidRPr="00F16251">
        <w:rPr>
          <w:rFonts w:eastAsia="Calibri" w:cstheme="minorHAnsi"/>
        </w:rPr>
        <w:t>zainteresowany</w:t>
      </w:r>
      <w:r w:rsidR="003B50ED" w:rsidRPr="00F16251">
        <w:rPr>
          <w:rFonts w:eastAsia="Calibri" w:cstheme="minorHAnsi"/>
        </w:rPr>
        <w:t xml:space="preserve"> </w:t>
      </w:r>
      <w:r w:rsidRPr="00F16251">
        <w:rPr>
          <w:rFonts w:eastAsia="Calibri" w:cstheme="minorHAnsi"/>
        </w:rPr>
        <w:t>mógł</w:t>
      </w:r>
      <w:r w:rsidR="003B50ED" w:rsidRPr="00F16251">
        <w:rPr>
          <w:rFonts w:eastAsia="Calibri" w:cstheme="minorHAnsi"/>
        </w:rPr>
        <w:t xml:space="preserve"> </w:t>
      </w:r>
      <w:r w:rsidRPr="00F16251">
        <w:rPr>
          <w:rFonts w:eastAsia="Calibri" w:cstheme="minorHAnsi"/>
        </w:rPr>
        <w:t>zdobyć</w:t>
      </w:r>
      <w:r w:rsidR="003B50ED" w:rsidRPr="00F16251">
        <w:rPr>
          <w:rFonts w:eastAsia="Calibri" w:cstheme="minorHAnsi"/>
        </w:rPr>
        <w:t xml:space="preserve"> </w:t>
      </w:r>
      <w:r w:rsidRPr="00F16251">
        <w:rPr>
          <w:rFonts w:eastAsia="Calibri" w:cstheme="minorHAnsi"/>
        </w:rPr>
        <w:t>informacje</w:t>
      </w:r>
      <w:r w:rsidR="003B50ED" w:rsidRPr="00F16251">
        <w:rPr>
          <w:rFonts w:eastAsia="Calibri" w:cstheme="minorHAnsi"/>
        </w:rPr>
        <w:t xml:space="preserve"> </w:t>
      </w:r>
      <w:r w:rsidRPr="00F16251">
        <w:rPr>
          <w:rFonts w:eastAsia="Calibri" w:cstheme="minorHAnsi"/>
        </w:rPr>
        <w:t>na</w:t>
      </w:r>
      <w:r w:rsidR="003B50ED" w:rsidRPr="00F16251">
        <w:rPr>
          <w:rFonts w:eastAsia="Calibri" w:cstheme="minorHAnsi"/>
        </w:rPr>
        <w:t xml:space="preserve"> </w:t>
      </w:r>
      <w:r w:rsidRPr="00F16251">
        <w:rPr>
          <w:rFonts w:eastAsia="Calibri" w:cstheme="minorHAnsi"/>
        </w:rPr>
        <w:t>temat</w:t>
      </w:r>
      <w:r w:rsidR="003B50ED" w:rsidRPr="00F16251">
        <w:rPr>
          <w:rFonts w:eastAsia="Calibri" w:cstheme="minorHAnsi"/>
        </w:rPr>
        <w:t xml:space="preserve"> </w:t>
      </w:r>
      <w:r w:rsidR="003260B4" w:rsidRPr="00F16251">
        <w:rPr>
          <w:rFonts w:eastAsia="Calibri" w:cstheme="minorHAnsi"/>
        </w:rPr>
        <w:t xml:space="preserve">funkcjonowania </w:t>
      </w:r>
      <w:r w:rsidR="003260B4" w:rsidRPr="00F16251">
        <w:rPr>
          <w:rFonts w:cstheme="minorHAnsi"/>
        </w:rPr>
        <w:t>Stowarzyszenia „Solidarni w Partnerstwie”</w:t>
      </w:r>
      <w:r w:rsidR="003260B4" w:rsidRPr="00F16251">
        <w:rPr>
          <w:rFonts w:eastAsia="Calibri" w:cstheme="minorHAnsi"/>
        </w:rPr>
        <w:t xml:space="preserve">, </w:t>
      </w:r>
      <w:r w:rsidRPr="00F16251">
        <w:rPr>
          <w:rFonts w:eastAsia="Calibri" w:cstheme="minorHAnsi"/>
        </w:rPr>
        <w:t>możliw</w:t>
      </w:r>
      <w:r w:rsidR="003260B4" w:rsidRPr="00F16251">
        <w:rPr>
          <w:rFonts w:eastAsia="Calibri" w:cstheme="minorHAnsi"/>
        </w:rPr>
        <w:t>ych</w:t>
      </w:r>
      <w:r w:rsidR="003B50ED" w:rsidRPr="00F16251">
        <w:rPr>
          <w:rFonts w:eastAsia="Calibri" w:cstheme="minorHAnsi"/>
        </w:rPr>
        <w:t xml:space="preserve"> </w:t>
      </w:r>
      <w:r w:rsidRPr="00F16251">
        <w:rPr>
          <w:rFonts w:eastAsia="Calibri" w:cstheme="minorHAnsi"/>
        </w:rPr>
        <w:t>zakres</w:t>
      </w:r>
      <w:r w:rsidR="003260B4" w:rsidRPr="00F16251">
        <w:rPr>
          <w:rFonts w:eastAsia="Calibri" w:cstheme="minorHAnsi"/>
        </w:rPr>
        <w:t>ów</w:t>
      </w:r>
      <w:r w:rsidR="003B50ED" w:rsidRPr="00F16251">
        <w:rPr>
          <w:rFonts w:eastAsia="Calibri" w:cstheme="minorHAnsi"/>
        </w:rPr>
        <w:t xml:space="preserve"> </w:t>
      </w:r>
      <w:r w:rsidRPr="00F16251">
        <w:rPr>
          <w:rFonts w:eastAsia="Calibri" w:cstheme="minorHAnsi"/>
        </w:rPr>
        <w:t>wsparcia</w:t>
      </w:r>
      <w:r w:rsidR="003B50ED" w:rsidRPr="00F16251">
        <w:rPr>
          <w:rFonts w:eastAsia="Calibri" w:cstheme="minorHAnsi"/>
        </w:rPr>
        <w:t xml:space="preserve"> </w:t>
      </w:r>
      <w:r w:rsidR="003260B4" w:rsidRPr="00F16251">
        <w:rPr>
          <w:rFonts w:eastAsia="Calibri" w:cstheme="minorHAnsi"/>
        </w:rPr>
        <w:t xml:space="preserve">oraz </w:t>
      </w:r>
      <w:r w:rsidRPr="00F16251">
        <w:rPr>
          <w:rFonts w:eastAsia="Calibri" w:cstheme="minorHAnsi"/>
        </w:rPr>
        <w:t>możliwości</w:t>
      </w:r>
      <w:r w:rsidR="003B50ED" w:rsidRPr="00F16251">
        <w:rPr>
          <w:rFonts w:eastAsia="Calibri" w:cstheme="minorHAnsi"/>
        </w:rPr>
        <w:t xml:space="preserve"> </w:t>
      </w:r>
      <w:r w:rsidRPr="00F16251">
        <w:rPr>
          <w:rFonts w:eastAsia="Calibri" w:cstheme="minorHAnsi"/>
        </w:rPr>
        <w:t>zaangażowania</w:t>
      </w:r>
      <w:r w:rsidR="003B50ED" w:rsidRPr="00F16251">
        <w:rPr>
          <w:rFonts w:eastAsia="Calibri" w:cstheme="minorHAnsi"/>
        </w:rPr>
        <w:t xml:space="preserve"> </w:t>
      </w:r>
      <w:r w:rsidR="003260B4" w:rsidRPr="00F16251">
        <w:rPr>
          <w:rFonts w:eastAsia="Calibri" w:cstheme="minorHAnsi"/>
        </w:rPr>
        <w:t xml:space="preserve">się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opracowanie</w:t>
      </w:r>
      <w:r w:rsidR="003B50ED" w:rsidRPr="00F16251">
        <w:rPr>
          <w:rFonts w:eastAsia="Calibri" w:cstheme="minorHAnsi"/>
        </w:rPr>
        <w:t xml:space="preserve"> </w:t>
      </w:r>
      <w:r w:rsidR="003260B4" w:rsidRPr="00F16251">
        <w:rPr>
          <w:rFonts w:eastAsia="Calibri" w:cstheme="minorHAnsi"/>
        </w:rPr>
        <w:t xml:space="preserve">i realizację </w:t>
      </w:r>
      <w:r w:rsidRPr="00F16251">
        <w:rPr>
          <w:rFonts w:eastAsia="Calibri" w:cstheme="minorHAnsi"/>
        </w:rPr>
        <w:t>LSR.</w:t>
      </w:r>
      <w:r w:rsidR="003B50ED" w:rsidRPr="00F16251">
        <w:rPr>
          <w:rFonts w:eastAsia="Calibri" w:cstheme="minorHAnsi"/>
        </w:rPr>
        <w:t xml:space="preserve"> </w:t>
      </w:r>
      <w:r w:rsidRPr="00F16251">
        <w:rPr>
          <w:rFonts w:eastAsia="Calibri" w:cstheme="minorHAnsi"/>
        </w:rPr>
        <w:t>Na</w:t>
      </w:r>
      <w:r w:rsidR="003B50ED" w:rsidRPr="00F16251">
        <w:rPr>
          <w:rFonts w:eastAsia="Calibri" w:cstheme="minorHAnsi"/>
        </w:rPr>
        <w:t xml:space="preserve"> </w:t>
      </w:r>
      <w:r w:rsidRPr="00F16251">
        <w:rPr>
          <w:rFonts w:eastAsia="Calibri" w:cstheme="minorHAnsi"/>
        </w:rPr>
        <w:t>spotkaniu</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biurze</w:t>
      </w:r>
      <w:r w:rsidR="003B50ED" w:rsidRPr="00F16251">
        <w:rPr>
          <w:rFonts w:eastAsia="Calibri" w:cstheme="minorHAnsi"/>
        </w:rPr>
        <w:t xml:space="preserve"> </w:t>
      </w:r>
      <w:r w:rsidRPr="00F16251">
        <w:rPr>
          <w:rFonts w:eastAsia="Calibri" w:cstheme="minorHAnsi"/>
        </w:rPr>
        <w:t>LGD</w:t>
      </w:r>
      <w:r w:rsidR="003B50ED" w:rsidRPr="00F16251">
        <w:rPr>
          <w:rFonts w:eastAsia="Calibri" w:cstheme="minorHAnsi"/>
        </w:rPr>
        <w:t xml:space="preserve"> </w:t>
      </w:r>
      <w:r w:rsidRPr="00F16251">
        <w:rPr>
          <w:rFonts w:eastAsia="Calibri" w:cstheme="minorHAnsi"/>
        </w:rPr>
        <w:t>istniała</w:t>
      </w:r>
      <w:r w:rsidR="003B50ED" w:rsidRPr="00F16251">
        <w:rPr>
          <w:rFonts w:eastAsia="Calibri" w:cstheme="minorHAnsi"/>
        </w:rPr>
        <w:t xml:space="preserve"> </w:t>
      </w:r>
      <w:r w:rsidRPr="00F16251">
        <w:rPr>
          <w:rFonts w:eastAsia="Calibri" w:cstheme="minorHAnsi"/>
        </w:rPr>
        <w:t>również</w:t>
      </w:r>
      <w:r w:rsidR="003B50ED" w:rsidRPr="00F16251">
        <w:rPr>
          <w:rFonts w:eastAsia="Calibri" w:cstheme="minorHAnsi"/>
        </w:rPr>
        <w:t xml:space="preserve"> </w:t>
      </w:r>
      <w:r w:rsidRPr="00F16251">
        <w:rPr>
          <w:rFonts w:eastAsia="Calibri" w:cstheme="minorHAnsi"/>
        </w:rPr>
        <w:t>możliwość</w:t>
      </w:r>
      <w:r w:rsidR="003B50ED" w:rsidRPr="00F16251">
        <w:rPr>
          <w:rFonts w:eastAsia="Calibri" w:cstheme="minorHAnsi"/>
        </w:rPr>
        <w:t xml:space="preserve"> </w:t>
      </w:r>
      <w:r w:rsidRPr="00F16251">
        <w:rPr>
          <w:rFonts w:eastAsia="Calibri" w:cstheme="minorHAnsi"/>
        </w:rPr>
        <w:t>wypełnienia</w:t>
      </w:r>
      <w:r w:rsidR="003B50ED" w:rsidRPr="00F16251">
        <w:rPr>
          <w:rFonts w:eastAsia="Calibri" w:cstheme="minorHAnsi"/>
        </w:rPr>
        <w:t xml:space="preserve"> </w:t>
      </w:r>
      <w:r w:rsidRPr="00F16251">
        <w:rPr>
          <w:rFonts w:eastAsia="Calibri" w:cstheme="minorHAnsi"/>
        </w:rPr>
        <w:t>ankiety</w:t>
      </w:r>
      <w:r w:rsidR="003B50ED" w:rsidRPr="00F16251">
        <w:rPr>
          <w:rFonts w:eastAsia="Calibri" w:cstheme="minorHAnsi"/>
        </w:rPr>
        <w:t xml:space="preserve"> </w:t>
      </w:r>
      <w:r w:rsidRPr="00F16251">
        <w:rPr>
          <w:rFonts w:eastAsia="Calibri" w:cstheme="minorHAnsi"/>
        </w:rPr>
        <w:t>lub</w:t>
      </w:r>
      <w:r w:rsidR="003B50ED" w:rsidRPr="00F16251">
        <w:rPr>
          <w:rFonts w:eastAsia="Calibri" w:cstheme="minorHAnsi"/>
        </w:rPr>
        <w:t xml:space="preserve"> </w:t>
      </w:r>
      <w:r w:rsidRPr="00F16251">
        <w:rPr>
          <w:rFonts w:eastAsia="Calibri" w:cstheme="minorHAnsi"/>
        </w:rPr>
        <w:t>karty</w:t>
      </w:r>
      <w:r w:rsidR="003B50ED" w:rsidRPr="00F16251">
        <w:rPr>
          <w:rFonts w:eastAsia="Calibri" w:cstheme="minorHAnsi"/>
        </w:rPr>
        <w:t xml:space="preserve"> </w:t>
      </w:r>
      <w:r w:rsidRPr="00F16251">
        <w:rPr>
          <w:rFonts w:eastAsia="Calibri" w:cstheme="minorHAnsi"/>
        </w:rPr>
        <w:t>pomysłu.</w:t>
      </w:r>
      <w:r w:rsidR="003B50ED" w:rsidRPr="00F16251">
        <w:rPr>
          <w:rFonts w:eastAsia="Calibri" w:cstheme="minorHAnsi"/>
        </w:rPr>
        <w:t xml:space="preserve"> </w:t>
      </w:r>
      <w:r w:rsidRPr="00F16251">
        <w:rPr>
          <w:rFonts w:eastAsia="Calibri" w:cstheme="minorHAnsi"/>
        </w:rPr>
        <w:t>Każda</w:t>
      </w:r>
      <w:r w:rsidR="003B50ED" w:rsidRPr="00F16251">
        <w:rPr>
          <w:rFonts w:eastAsia="Calibri" w:cstheme="minorHAnsi"/>
        </w:rPr>
        <w:t xml:space="preserve"> </w:t>
      </w:r>
      <w:r w:rsidRPr="00F16251">
        <w:rPr>
          <w:rFonts w:eastAsia="Calibri" w:cstheme="minorHAnsi"/>
        </w:rPr>
        <w:t>osoba,</w:t>
      </w:r>
      <w:r w:rsidR="003B50ED" w:rsidRPr="00F16251">
        <w:rPr>
          <w:rFonts w:eastAsia="Calibri" w:cstheme="minorHAnsi"/>
        </w:rPr>
        <w:t xml:space="preserve"> </w:t>
      </w:r>
      <w:r w:rsidRPr="00F16251">
        <w:rPr>
          <w:rFonts w:eastAsia="Calibri" w:cstheme="minorHAnsi"/>
        </w:rPr>
        <w:t>która</w:t>
      </w:r>
      <w:r w:rsidR="003B50ED" w:rsidRPr="00F16251">
        <w:rPr>
          <w:rFonts w:eastAsia="Calibri" w:cstheme="minorHAnsi"/>
        </w:rPr>
        <w:t xml:space="preserve"> </w:t>
      </w:r>
      <w:r w:rsidRPr="00F16251">
        <w:rPr>
          <w:rFonts w:eastAsia="Calibri" w:cstheme="minorHAnsi"/>
        </w:rPr>
        <w:t>uczestniczyła</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takim</w:t>
      </w:r>
      <w:r w:rsidR="003B50ED" w:rsidRPr="00F16251">
        <w:rPr>
          <w:rFonts w:eastAsia="Calibri" w:cstheme="minorHAnsi"/>
        </w:rPr>
        <w:t xml:space="preserve"> </w:t>
      </w:r>
      <w:r w:rsidRPr="00F16251">
        <w:rPr>
          <w:rFonts w:eastAsia="Calibri" w:cstheme="minorHAnsi"/>
        </w:rPr>
        <w:t>dyżurze</w:t>
      </w:r>
      <w:r w:rsidR="003B50ED" w:rsidRPr="00F16251">
        <w:rPr>
          <w:rFonts w:eastAsia="Calibri" w:cstheme="minorHAnsi"/>
        </w:rPr>
        <w:t xml:space="preserve"> </w:t>
      </w:r>
      <w:r w:rsidRPr="00F16251">
        <w:rPr>
          <w:rFonts w:eastAsia="Calibri" w:cstheme="minorHAnsi"/>
        </w:rPr>
        <w:t>została</w:t>
      </w:r>
      <w:r w:rsidR="003B50ED" w:rsidRPr="00F16251">
        <w:rPr>
          <w:rFonts w:eastAsia="Calibri" w:cstheme="minorHAnsi"/>
        </w:rPr>
        <w:t xml:space="preserve"> </w:t>
      </w:r>
      <w:r w:rsidRPr="00F16251">
        <w:rPr>
          <w:rFonts w:eastAsia="Calibri" w:cstheme="minorHAnsi"/>
        </w:rPr>
        <w:t>zaproszono</w:t>
      </w:r>
      <w:r w:rsidR="003B50ED" w:rsidRPr="00F16251">
        <w:rPr>
          <w:rFonts w:eastAsia="Calibri" w:cstheme="minorHAnsi"/>
        </w:rPr>
        <w:t xml:space="preserve"> </w:t>
      </w:r>
      <w:r w:rsidRPr="00F16251">
        <w:rPr>
          <w:rFonts w:eastAsia="Calibri" w:cstheme="minorHAnsi"/>
        </w:rPr>
        <w:t>do</w:t>
      </w:r>
      <w:r w:rsidR="003B50ED" w:rsidRPr="00F16251">
        <w:rPr>
          <w:rFonts w:eastAsia="Calibri" w:cstheme="minorHAnsi"/>
        </w:rPr>
        <w:t xml:space="preserve"> </w:t>
      </w:r>
      <w:r w:rsidRPr="00F16251">
        <w:rPr>
          <w:rFonts w:eastAsia="Calibri" w:cstheme="minorHAnsi"/>
        </w:rPr>
        <w:t>kontynuowania</w:t>
      </w:r>
      <w:r w:rsidR="003B50ED" w:rsidRPr="00F16251">
        <w:rPr>
          <w:rFonts w:eastAsia="Calibri" w:cstheme="minorHAnsi"/>
        </w:rPr>
        <w:t xml:space="preserve"> </w:t>
      </w:r>
      <w:r w:rsidRPr="00F16251">
        <w:rPr>
          <w:rFonts w:eastAsia="Calibri" w:cstheme="minorHAnsi"/>
        </w:rPr>
        <w:t>udziału</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kolejnych</w:t>
      </w:r>
      <w:r w:rsidR="003B50ED" w:rsidRPr="00F16251">
        <w:rPr>
          <w:rFonts w:eastAsia="Calibri" w:cstheme="minorHAnsi"/>
        </w:rPr>
        <w:t xml:space="preserve"> </w:t>
      </w:r>
      <w:r w:rsidRPr="00F16251">
        <w:rPr>
          <w:rFonts w:eastAsia="Calibri" w:cstheme="minorHAnsi"/>
        </w:rPr>
        <w:t>etapach</w:t>
      </w:r>
      <w:r w:rsidR="003B50ED" w:rsidRPr="00F16251">
        <w:rPr>
          <w:rFonts w:eastAsia="Calibri" w:cstheme="minorHAnsi"/>
        </w:rPr>
        <w:t xml:space="preserve"> </w:t>
      </w:r>
      <w:r w:rsidRPr="00F16251">
        <w:rPr>
          <w:rFonts w:eastAsia="Calibri" w:cstheme="minorHAnsi"/>
        </w:rPr>
        <w:t>prac</w:t>
      </w:r>
      <w:r w:rsidR="003B50ED" w:rsidRPr="00F16251">
        <w:rPr>
          <w:rFonts w:eastAsia="Calibri" w:cstheme="minorHAnsi"/>
        </w:rPr>
        <w:t xml:space="preserve"> </w:t>
      </w:r>
      <w:r w:rsidRPr="00F16251">
        <w:rPr>
          <w:rFonts w:eastAsia="Calibri" w:cstheme="minorHAnsi"/>
        </w:rPr>
        <w:t>nad</w:t>
      </w:r>
      <w:r w:rsidR="003B50ED" w:rsidRPr="00F16251">
        <w:rPr>
          <w:rFonts w:eastAsia="Calibri" w:cstheme="minorHAnsi"/>
        </w:rPr>
        <w:t xml:space="preserve"> </w:t>
      </w:r>
      <w:r w:rsidRPr="00F16251">
        <w:rPr>
          <w:rFonts w:eastAsia="Calibri" w:cstheme="minorHAnsi"/>
        </w:rPr>
        <w:t>LSR</w:t>
      </w:r>
      <w:r w:rsidR="003260B4" w:rsidRPr="00F16251">
        <w:rPr>
          <w:rFonts w:eastAsia="Calibri" w:cstheme="minorHAnsi"/>
        </w:rPr>
        <w:t xml:space="preserve"> oraz </w:t>
      </w:r>
      <w:r w:rsidRPr="00F16251">
        <w:rPr>
          <w:rFonts w:eastAsia="Calibri" w:cstheme="minorHAnsi"/>
        </w:rPr>
        <w:t>aktywnego</w:t>
      </w:r>
      <w:r w:rsidR="003B50ED" w:rsidRPr="00F16251">
        <w:rPr>
          <w:rFonts w:eastAsia="Calibri" w:cstheme="minorHAnsi"/>
        </w:rPr>
        <w:t xml:space="preserve"> </w:t>
      </w:r>
      <w:r w:rsidRPr="00F16251">
        <w:rPr>
          <w:rFonts w:eastAsia="Calibri" w:cstheme="minorHAnsi"/>
        </w:rPr>
        <w:t>zaangażowania</w:t>
      </w:r>
      <w:r w:rsidR="003B50ED" w:rsidRPr="00F16251">
        <w:rPr>
          <w:rFonts w:eastAsia="Calibri" w:cstheme="minorHAnsi"/>
        </w:rPr>
        <w:t xml:space="preserve"> </w:t>
      </w:r>
      <w:r w:rsidRPr="00F16251">
        <w:rPr>
          <w:rFonts w:eastAsia="Calibri" w:cstheme="minorHAnsi"/>
        </w:rPr>
        <w:t>się</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działalność</w:t>
      </w:r>
      <w:r w:rsidR="003B50ED" w:rsidRPr="00F16251">
        <w:rPr>
          <w:rFonts w:eastAsia="Calibri" w:cstheme="minorHAnsi"/>
        </w:rPr>
        <w:t xml:space="preserve"> </w:t>
      </w:r>
      <w:r w:rsidR="003260B4" w:rsidRPr="00F16251">
        <w:rPr>
          <w:rFonts w:cstheme="minorHAnsi"/>
        </w:rPr>
        <w:t>Stowarzyszenia „Solidarni w Partnerstwie”</w:t>
      </w:r>
      <w:r w:rsidRPr="00F16251">
        <w:rPr>
          <w:rFonts w:eastAsia="Calibri" w:cstheme="minorHAnsi"/>
        </w:rPr>
        <w:t>,</w:t>
      </w:r>
      <w:r w:rsidR="003B50ED" w:rsidRPr="00F16251">
        <w:rPr>
          <w:rFonts w:eastAsia="Calibri" w:cstheme="minorHAnsi"/>
        </w:rPr>
        <w:t xml:space="preserve"> </w:t>
      </w:r>
      <w:r w:rsidRPr="00F16251">
        <w:rPr>
          <w:rFonts w:eastAsia="Calibri" w:cstheme="minorHAnsi"/>
        </w:rPr>
        <w:t>jak</w:t>
      </w:r>
      <w:r w:rsidR="003B50ED" w:rsidRPr="00F16251">
        <w:rPr>
          <w:rFonts w:eastAsia="Calibri" w:cstheme="minorHAnsi"/>
        </w:rPr>
        <w:t xml:space="preserve"> </w:t>
      </w:r>
      <w:r w:rsidRPr="00F16251">
        <w:rPr>
          <w:rFonts w:eastAsia="Calibri" w:cstheme="minorHAnsi"/>
        </w:rPr>
        <w:t>również</w:t>
      </w:r>
      <w:r w:rsidR="003B50ED" w:rsidRPr="00F16251">
        <w:rPr>
          <w:rFonts w:eastAsia="Calibri" w:cstheme="minorHAnsi"/>
        </w:rPr>
        <w:t xml:space="preserve"> </w:t>
      </w:r>
      <w:r w:rsidRPr="00F16251">
        <w:rPr>
          <w:rFonts w:eastAsia="Calibri" w:cstheme="minorHAnsi"/>
        </w:rPr>
        <w:t>zgłaszania</w:t>
      </w:r>
      <w:r w:rsidR="003B50ED" w:rsidRPr="00F16251">
        <w:rPr>
          <w:rFonts w:eastAsia="Calibri" w:cstheme="minorHAnsi"/>
        </w:rPr>
        <w:t xml:space="preserve"> </w:t>
      </w:r>
      <w:r w:rsidRPr="00F16251">
        <w:rPr>
          <w:rFonts w:eastAsia="Calibri" w:cstheme="minorHAnsi"/>
        </w:rPr>
        <w:t>pomysłów</w:t>
      </w:r>
      <w:r w:rsidR="003B50ED" w:rsidRPr="00F16251">
        <w:rPr>
          <w:rFonts w:eastAsia="Calibri" w:cstheme="minorHAnsi"/>
        </w:rPr>
        <w:t xml:space="preserve"> </w:t>
      </w:r>
      <w:r w:rsidRPr="00F16251">
        <w:rPr>
          <w:rFonts w:eastAsia="Calibri" w:cstheme="minorHAnsi"/>
        </w:rPr>
        <w:t>i</w:t>
      </w:r>
      <w:r w:rsidR="003B50ED" w:rsidRPr="00F16251">
        <w:rPr>
          <w:rFonts w:eastAsia="Calibri" w:cstheme="minorHAnsi"/>
        </w:rPr>
        <w:t xml:space="preserve"> </w:t>
      </w:r>
      <w:r w:rsidRPr="00F16251">
        <w:rPr>
          <w:rFonts w:eastAsia="Calibri" w:cstheme="minorHAnsi"/>
        </w:rPr>
        <w:t>inicjatyw</w:t>
      </w:r>
      <w:r w:rsidR="003B50ED" w:rsidRPr="00F16251">
        <w:rPr>
          <w:rFonts w:eastAsia="Calibri" w:cstheme="minorHAnsi"/>
        </w:rPr>
        <w:t xml:space="preserve"> </w:t>
      </w:r>
      <w:r w:rsidRPr="00F16251">
        <w:rPr>
          <w:rFonts w:eastAsia="Calibri" w:cstheme="minorHAnsi"/>
        </w:rPr>
        <w:t>mogących</w:t>
      </w:r>
      <w:r w:rsidR="003B50ED" w:rsidRPr="00F16251">
        <w:rPr>
          <w:rFonts w:eastAsia="Calibri" w:cstheme="minorHAnsi"/>
        </w:rPr>
        <w:t xml:space="preserve"> </w:t>
      </w:r>
      <w:r w:rsidRPr="00F16251">
        <w:rPr>
          <w:rFonts w:eastAsia="Calibri" w:cstheme="minorHAnsi"/>
        </w:rPr>
        <w:t>mieć</w:t>
      </w:r>
      <w:r w:rsidR="003B50ED" w:rsidRPr="00F16251">
        <w:rPr>
          <w:rFonts w:eastAsia="Calibri" w:cstheme="minorHAnsi"/>
        </w:rPr>
        <w:t xml:space="preserve"> </w:t>
      </w:r>
      <w:r w:rsidRPr="00F16251">
        <w:rPr>
          <w:rFonts w:eastAsia="Calibri" w:cstheme="minorHAnsi"/>
        </w:rPr>
        <w:t>wpływ</w:t>
      </w:r>
      <w:r w:rsidR="003B50ED" w:rsidRPr="00F16251">
        <w:rPr>
          <w:rFonts w:eastAsia="Calibri" w:cstheme="minorHAnsi"/>
        </w:rPr>
        <w:t xml:space="preserve"> </w:t>
      </w:r>
      <w:r w:rsidRPr="00F16251">
        <w:rPr>
          <w:rFonts w:eastAsia="Calibri" w:cstheme="minorHAnsi"/>
        </w:rPr>
        <w:t>na</w:t>
      </w:r>
      <w:r w:rsidR="003B50ED" w:rsidRPr="00F16251">
        <w:rPr>
          <w:rFonts w:eastAsia="Calibri" w:cstheme="minorHAnsi"/>
        </w:rPr>
        <w:t xml:space="preserve"> </w:t>
      </w:r>
      <w:r w:rsidR="003260B4" w:rsidRPr="00F16251">
        <w:rPr>
          <w:rFonts w:eastAsia="Calibri" w:cstheme="minorHAnsi"/>
        </w:rPr>
        <w:t xml:space="preserve">prawidłowe </w:t>
      </w:r>
      <w:r w:rsidRPr="00F16251">
        <w:rPr>
          <w:rFonts w:eastAsia="Calibri" w:cstheme="minorHAnsi"/>
        </w:rPr>
        <w:t>funkcjonowanie</w:t>
      </w:r>
      <w:r w:rsidR="003B50ED" w:rsidRPr="00F16251">
        <w:rPr>
          <w:rFonts w:eastAsia="Calibri" w:cstheme="minorHAnsi"/>
        </w:rPr>
        <w:t xml:space="preserve"> </w:t>
      </w:r>
      <w:r w:rsidRPr="00F16251">
        <w:rPr>
          <w:rFonts w:eastAsia="Calibri" w:cstheme="minorHAnsi"/>
        </w:rPr>
        <w:t>LGD</w:t>
      </w:r>
      <w:r w:rsidR="003B50ED" w:rsidRPr="00F16251">
        <w:rPr>
          <w:rFonts w:eastAsia="Calibri" w:cstheme="minorHAnsi"/>
        </w:rPr>
        <w:t xml:space="preserve"> </w:t>
      </w:r>
      <w:r w:rsidRPr="00F16251">
        <w:rPr>
          <w:rFonts w:eastAsia="Calibri" w:cstheme="minorHAnsi"/>
        </w:rPr>
        <w:t>i</w:t>
      </w:r>
      <w:r w:rsidR="003B50ED" w:rsidRPr="00F16251">
        <w:rPr>
          <w:rFonts w:eastAsia="Calibri" w:cstheme="minorHAnsi"/>
        </w:rPr>
        <w:t xml:space="preserve"> </w:t>
      </w:r>
      <w:r w:rsidRPr="00F16251">
        <w:rPr>
          <w:rFonts w:eastAsia="Calibri" w:cstheme="minorHAnsi"/>
        </w:rPr>
        <w:t>wdrażanie</w:t>
      </w:r>
      <w:r w:rsidR="003B50ED" w:rsidRPr="00F16251">
        <w:rPr>
          <w:rFonts w:eastAsia="Calibri" w:cstheme="minorHAnsi"/>
        </w:rPr>
        <w:t xml:space="preserve"> </w:t>
      </w:r>
      <w:r w:rsidRPr="00F16251">
        <w:rPr>
          <w:rFonts w:eastAsia="Calibri" w:cstheme="minorHAnsi"/>
        </w:rPr>
        <w:t>LSR.</w:t>
      </w:r>
      <w:r w:rsidR="003B50ED" w:rsidRPr="00F16251">
        <w:rPr>
          <w:rFonts w:eastAsia="Calibri" w:cstheme="minorHAnsi"/>
        </w:rPr>
        <w:t xml:space="preserve"> </w:t>
      </w:r>
      <w:r w:rsidRPr="00F16251">
        <w:rPr>
          <w:rFonts w:eastAsia="Calibri" w:cstheme="minorHAnsi"/>
        </w:rPr>
        <w:t>Informacje</w:t>
      </w:r>
      <w:r w:rsidR="003B50ED" w:rsidRPr="00F16251">
        <w:rPr>
          <w:rFonts w:eastAsia="Calibri" w:cstheme="minorHAnsi"/>
        </w:rPr>
        <w:t xml:space="preserve"> </w:t>
      </w:r>
      <w:r w:rsidRPr="00F16251">
        <w:rPr>
          <w:rFonts w:eastAsia="Calibri" w:cstheme="minorHAnsi"/>
        </w:rPr>
        <w:t>na</w:t>
      </w:r>
      <w:r w:rsidR="003B50ED" w:rsidRPr="00F16251">
        <w:rPr>
          <w:rFonts w:eastAsia="Calibri" w:cstheme="minorHAnsi"/>
        </w:rPr>
        <w:t xml:space="preserve"> </w:t>
      </w:r>
      <w:r w:rsidRPr="00F16251">
        <w:rPr>
          <w:rFonts w:eastAsia="Calibri" w:cstheme="minorHAnsi"/>
        </w:rPr>
        <w:t>temat</w:t>
      </w:r>
      <w:r w:rsidR="003B50ED" w:rsidRPr="00F16251">
        <w:rPr>
          <w:rFonts w:eastAsia="Calibri" w:cstheme="minorHAnsi"/>
        </w:rPr>
        <w:t xml:space="preserve"> </w:t>
      </w:r>
      <w:r w:rsidRPr="00F16251">
        <w:rPr>
          <w:rFonts w:eastAsia="Calibri" w:cstheme="minorHAnsi"/>
        </w:rPr>
        <w:t>dyżurów</w:t>
      </w:r>
      <w:r w:rsidR="003B50ED" w:rsidRPr="00F16251">
        <w:rPr>
          <w:rFonts w:eastAsia="Calibri" w:cstheme="minorHAnsi"/>
        </w:rPr>
        <w:t xml:space="preserve"> </w:t>
      </w:r>
      <w:r w:rsidRPr="00F16251">
        <w:rPr>
          <w:rFonts w:eastAsia="Calibri" w:cstheme="minorHAnsi"/>
        </w:rPr>
        <w:t>były</w:t>
      </w:r>
      <w:r w:rsidR="003B50ED" w:rsidRPr="00F16251">
        <w:rPr>
          <w:rFonts w:eastAsia="Calibri" w:cstheme="minorHAnsi"/>
        </w:rPr>
        <w:t xml:space="preserve"> </w:t>
      </w:r>
      <w:r w:rsidRPr="00F16251">
        <w:rPr>
          <w:rFonts w:eastAsia="Calibri" w:cstheme="minorHAnsi"/>
        </w:rPr>
        <w:t>dostępne</w:t>
      </w:r>
      <w:r w:rsidR="003B50ED" w:rsidRPr="00F16251">
        <w:rPr>
          <w:rFonts w:eastAsia="Calibri" w:cstheme="minorHAnsi"/>
        </w:rPr>
        <w:t xml:space="preserve"> </w:t>
      </w:r>
      <w:r w:rsidRPr="00F16251">
        <w:rPr>
          <w:rFonts w:eastAsia="Calibri" w:cstheme="minorHAnsi"/>
        </w:rPr>
        <w:t>na</w:t>
      </w:r>
      <w:r w:rsidR="003B50ED" w:rsidRPr="00F16251">
        <w:rPr>
          <w:rFonts w:eastAsia="Calibri" w:cstheme="minorHAnsi"/>
        </w:rPr>
        <w:t xml:space="preserve"> </w:t>
      </w:r>
      <w:r w:rsidRPr="00F16251">
        <w:rPr>
          <w:rFonts w:eastAsia="Calibri" w:cstheme="minorHAnsi"/>
        </w:rPr>
        <w:t>stronie</w:t>
      </w:r>
      <w:r w:rsidR="003B50ED" w:rsidRPr="00F16251">
        <w:rPr>
          <w:rFonts w:eastAsia="Calibri" w:cstheme="minorHAnsi"/>
        </w:rPr>
        <w:t xml:space="preserve"> </w:t>
      </w:r>
      <w:r w:rsidRPr="00F16251">
        <w:rPr>
          <w:rFonts w:eastAsia="Calibri" w:cstheme="minorHAnsi"/>
        </w:rPr>
        <w:t>internetowej</w:t>
      </w:r>
      <w:r w:rsidR="003B50ED" w:rsidRPr="00F16251">
        <w:rPr>
          <w:rFonts w:eastAsia="Calibri" w:cstheme="minorHAnsi"/>
        </w:rPr>
        <w:t xml:space="preserve"> </w:t>
      </w:r>
      <w:r w:rsidR="003260B4" w:rsidRPr="00F16251">
        <w:rPr>
          <w:rFonts w:cstheme="minorHAnsi"/>
        </w:rPr>
        <w:t xml:space="preserve">Stowarzyszenia „Solidarni w Partnerstwie” </w:t>
      </w:r>
      <w:r w:rsidRPr="00F16251">
        <w:rPr>
          <w:rFonts w:eastAsia="Calibri" w:cstheme="minorHAnsi"/>
        </w:rPr>
        <w:t>oraz</w:t>
      </w:r>
      <w:r w:rsidR="003B50ED" w:rsidRPr="00F16251">
        <w:rPr>
          <w:rFonts w:eastAsia="Calibri" w:cstheme="minorHAnsi"/>
        </w:rPr>
        <w:t xml:space="preserve"> </w:t>
      </w:r>
      <w:r w:rsidRPr="00F16251">
        <w:rPr>
          <w:rFonts w:eastAsia="Calibri" w:cstheme="minorHAnsi"/>
        </w:rPr>
        <w:t>na</w:t>
      </w:r>
      <w:r w:rsidR="003B50ED" w:rsidRPr="00F16251">
        <w:rPr>
          <w:rFonts w:eastAsia="Calibri" w:cstheme="minorHAnsi"/>
        </w:rPr>
        <w:t xml:space="preserve"> </w:t>
      </w:r>
      <w:r w:rsidRPr="00F16251">
        <w:rPr>
          <w:rFonts w:eastAsia="Calibri" w:cstheme="minorHAnsi"/>
        </w:rPr>
        <w:t>stronach</w:t>
      </w:r>
      <w:r w:rsidR="003B50ED" w:rsidRPr="00F16251">
        <w:rPr>
          <w:rFonts w:eastAsia="Calibri" w:cstheme="minorHAnsi"/>
        </w:rPr>
        <w:t xml:space="preserve"> </w:t>
      </w:r>
      <w:r w:rsidRPr="00F16251">
        <w:rPr>
          <w:rFonts w:eastAsia="Calibri" w:cstheme="minorHAnsi"/>
        </w:rPr>
        <w:t>gmin</w:t>
      </w:r>
      <w:r w:rsidR="003B50ED" w:rsidRPr="00F16251">
        <w:rPr>
          <w:rFonts w:eastAsia="Calibri" w:cstheme="minorHAnsi"/>
        </w:rPr>
        <w:t xml:space="preserve"> </w:t>
      </w:r>
      <w:r w:rsidR="003260B4" w:rsidRPr="00F16251">
        <w:rPr>
          <w:rFonts w:eastAsia="Calibri" w:cstheme="minorHAnsi"/>
        </w:rPr>
        <w:t>członkowskich</w:t>
      </w:r>
      <w:r w:rsidRPr="00F16251">
        <w:rPr>
          <w:rFonts w:eastAsia="Calibri" w:cstheme="minorHAnsi"/>
        </w:rPr>
        <w:t>.</w:t>
      </w:r>
    </w:p>
    <w:p w14:paraId="138DED44" w14:textId="7346DEB0" w:rsidR="0043248A" w:rsidRPr="00F16251" w:rsidRDefault="0043248A" w:rsidP="00A26C26">
      <w:pPr>
        <w:spacing w:line="276" w:lineRule="auto"/>
        <w:ind w:firstLine="284"/>
        <w:jc w:val="both"/>
        <w:rPr>
          <w:rFonts w:eastAsia="Calibri" w:cstheme="minorHAnsi"/>
          <w:strike/>
        </w:rPr>
      </w:pPr>
      <w:bookmarkStart w:id="29" w:name="_Hlk136203074"/>
      <w:r w:rsidRPr="00F16251">
        <w:rPr>
          <w:rFonts w:eastAsia="Calibri" w:cstheme="minorHAnsi"/>
        </w:rPr>
        <w:t>Łącznie</w:t>
      </w:r>
      <w:r w:rsidR="003B50ED" w:rsidRPr="00F16251">
        <w:rPr>
          <w:rFonts w:eastAsia="Calibri" w:cstheme="minorHAnsi"/>
        </w:rPr>
        <w:t xml:space="preserve"> </w:t>
      </w:r>
      <w:r w:rsidRPr="00F16251">
        <w:rPr>
          <w:rFonts w:eastAsia="Calibri" w:cstheme="minorHAnsi"/>
        </w:rPr>
        <w:t>z</w:t>
      </w:r>
      <w:r w:rsidR="003B50ED" w:rsidRPr="00F16251">
        <w:rPr>
          <w:rFonts w:eastAsia="Calibri" w:cstheme="minorHAnsi"/>
        </w:rPr>
        <w:t xml:space="preserve"> </w:t>
      </w:r>
      <w:r w:rsidRPr="00F16251">
        <w:rPr>
          <w:rFonts w:eastAsia="Calibri" w:cstheme="minorHAnsi"/>
        </w:rPr>
        <w:t>możliwości</w:t>
      </w:r>
      <w:r w:rsidR="003B50ED" w:rsidRPr="00F16251">
        <w:rPr>
          <w:rFonts w:eastAsia="Calibri" w:cstheme="minorHAnsi"/>
        </w:rPr>
        <w:t xml:space="preserve"> </w:t>
      </w:r>
      <w:r w:rsidRPr="00F16251">
        <w:rPr>
          <w:rFonts w:eastAsia="Calibri" w:cstheme="minorHAnsi"/>
        </w:rPr>
        <w:t>bezpośredniego</w:t>
      </w:r>
      <w:r w:rsidR="003B50ED" w:rsidRPr="00F16251">
        <w:rPr>
          <w:rFonts w:eastAsia="Calibri" w:cstheme="minorHAnsi"/>
        </w:rPr>
        <w:t xml:space="preserve"> </w:t>
      </w:r>
      <w:r w:rsidRPr="00F16251">
        <w:rPr>
          <w:rFonts w:eastAsia="Calibri" w:cstheme="minorHAnsi"/>
        </w:rPr>
        <w:t>kontaktu</w:t>
      </w:r>
      <w:r w:rsidR="003B50ED" w:rsidRPr="00F16251">
        <w:rPr>
          <w:rFonts w:eastAsia="Calibri" w:cstheme="minorHAnsi"/>
        </w:rPr>
        <w:t xml:space="preserve"> </w:t>
      </w:r>
      <w:r w:rsidRPr="00F16251">
        <w:rPr>
          <w:rFonts w:eastAsia="Calibri" w:cstheme="minorHAnsi"/>
        </w:rPr>
        <w:t>z</w:t>
      </w:r>
      <w:r w:rsidR="003B50ED" w:rsidRPr="00F16251">
        <w:rPr>
          <w:rFonts w:eastAsia="Calibri" w:cstheme="minorHAnsi"/>
        </w:rPr>
        <w:t xml:space="preserve"> </w:t>
      </w:r>
      <w:r w:rsidRPr="00F16251">
        <w:rPr>
          <w:rFonts w:eastAsia="Calibri" w:cstheme="minorHAnsi"/>
        </w:rPr>
        <w:t>pracownikami</w:t>
      </w:r>
      <w:r w:rsidR="003B50ED" w:rsidRPr="00F16251">
        <w:rPr>
          <w:rFonts w:eastAsia="Calibri" w:cstheme="minorHAnsi"/>
        </w:rPr>
        <w:t xml:space="preserve"> </w:t>
      </w:r>
      <w:r w:rsidRPr="00F16251">
        <w:rPr>
          <w:rFonts w:eastAsia="Calibri" w:cstheme="minorHAnsi"/>
        </w:rPr>
        <w:t>biura</w:t>
      </w:r>
      <w:r w:rsidR="003B50ED" w:rsidRPr="00F16251">
        <w:rPr>
          <w:rFonts w:eastAsia="Calibri" w:cstheme="minorHAnsi"/>
        </w:rPr>
        <w:t xml:space="preserve"> </w:t>
      </w:r>
      <w:r w:rsidRPr="00F16251">
        <w:rPr>
          <w:rFonts w:eastAsia="Calibri" w:cstheme="minorHAnsi"/>
        </w:rPr>
        <w:t>LGD</w:t>
      </w:r>
      <w:r w:rsidR="003B50ED" w:rsidRPr="00F16251">
        <w:rPr>
          <w:rFonts w:eastAsia="Calibri" w:cstheme="minorHAnsi"/>
        </w:rPr>
        <w:t xml:space="preserve"> </w:t>
      </w:r>
      <w:r w:rsidRPr="00F16251">
        <w:rPr>
          <w:rFonts w:eastAsia="Calibri" w:cstheme="minorHAnsi"/>
        </w:rPr>
        <w:t>skorzystało</w:t>
      </w:r>
      <w:r w:rsidR="003B50ED" w:rsidRPr="00F16251">
        <w:rPr>
          <w:rFonts w:eastAsia="Calibri" w:cstheme="minorHAnsi"/>
        </w:rPr>
        <w:t xml:space="preserve"> </w:t>
      </w:r>
      <w:r w:rsidR="002B6374" w:rsidRPr="00F16251">
        <w:rPr>
          <w:rFonts w:eastAsia="Calibri" w:cstheme="minorHAnsi"/>
        </w:rPr>
        <w:t>116</w:t>
      </w:r>
      <w:r w:rsidR="003B50ED" w:rsidRPr="00F16251">
        <w:rPr>
          <w:rFonts w:eastAsia="Calibri" w:cstheme="minorHAnsi"/>
        </w:rPr>
        <w:t xml:space="preserve"> </w:t>
      </w:r>
      <w:r w:rsidRPr="00F16251">
        <w:rPr>
          <w:rFonts w:eastAsia="Calibri" w:cstheme="minorHAnsi"/>
        </w:rPr>
        <w:t>osób</w:t>
      </w:r>
      <w:r w:rsidR="006E3B6D" w:rsidRPr="00F16251">
        <w:rPr>
          <w:rFonts w:eastAsia="Calibri" w:cstheme="minorHAnsi"/>
        </w:rPr>
        <w:t>,</w:t>
      </w:r>
      <w:r w:rsidR="00216991" w:rsidRPr="00F16251">
        <w:rPr>
          <w:rFonts w:eastAsia="Calibri" w:cstheme="minorHAnsi"/>
        </w:rPr>
        <w:t xml:space="preserve"> czego potwierdzeniem jest rejestr prowadzonego doradztwa</w:t>
      </w:r>
      <w:r w:rsidR="00EC0382" w:rsidRPr="00F16251">
        <w:rPr>
          <w:rFonts w:eastAsia="Calibri" w:cstheme="minorHAnsi"/>
        </w:rPr>
        <w:t xml:space="preserve">. Jeżeli podczas rozmowy została zgłoszona inicjatywa lub opinia, została ona </w:t>
      </w:r>
      <w:r w:rsidR="006E3B6D" w:rsidRPr="00F16251">
        <w:rPr>
          <w:rFonts w:eastAsia="Calibri" w:cstheme="minorHAnsi"/>
        </w:rPr>
        <w:t xml:space="preserve">– po dokonaniu analizy - </w:t>
      </w:r>
      <w:r w:rsidR="00EC0382" w:rsidRPr="00F16251">
        <w:rPr>
          <w:rFonts w:eastAsia="Calibri" w:cstheme="minorHAnsi"/>
        </w:rPr>
        <w:t xml:space="preserve">uwzględniona na kolejnych etapach </w:t>
      </w:r>
      <w:r w:rsidR="006E3B6D" w:rsidRPr="00F16251">
        <w:rPr>
          <w:rFonts w:eastAsia="Calibri" w:cstheme="minorHAnsi"/>
        </w:rPr>
        <w:t>budowy LSR.</w:t>
      </w:r>
      <w:r w:rsidR="00396A11">
        <w:rPr>
          <w:rFonts w:eastAsia="Calibri" w:cstheme="minorHAnsi"/>
        </w:rPr>
        <w:t xml:space="preserve"> </w:t>
      </w:r>
    </w:p>
    <w:p w14:paraId="46D40EDD" w14:textId="395E884F" w:rsidR="0043248A" w:rsidRPr="00F16251" w:rsidRDefault="0043248A" w:rsidP="00A26C26">
      <w:pPr>
        <w:spacing w:line="276" w:lineRule="auto"/>
        <w:ind w:firstLine="284"/>
        <w:jc w:val="both"/>
        <w:rPr>
          <w:rFonts w:eastAsia="Calibri" w:cstheme="minorHAnsi"/>
        </w:rPr>
      </w:pPr>
      <w:r w:rsidRPr="00F16251">
        <w:rPr>
          <w:rFonts w:eastAsia="Calibri" w:cstheme="minorHAnsi"/>
        </w:rPr>
        <w:t>Informacje</w:t>
      </w:r>
      <w:r w:rsidR="003B50ED" w:rsidRPr="00F16251">
        <w:rPr>
          <w:rFonts w:eastAsia="Calibri" w:cstheme="minorHAnsi"/>
        </w:rPr>
        <w:t xml:space="preserve"> </w:t>
      </w:r>
      <w:r w:rsidRPr="00F16251">
        <w:rPr>
          <w:rFonts w:eastAsia="Calibri" w:cstheme="minorHAnsi"/>
        </w:rPr>
        <w:t>pozyskane</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trakcie</w:t>
      </w:r>
      <w:r w:rsidR="003B50ED" w:rsidRPr="00F16251">
        <w:rPr>
          <w:rFonts w:eastAsia="Calibri" w:cstheme="minorHAnsi"/>
        </w:rPr>
        <w:t xml:space="preserve"> </w:t>
      </w:r>
      <w:r w:rsidRPr="00F16251">
        <w:rPr>
          <w:rFonts w:eastAsia="Calibri" w:cstheme="minorHAnsi"/>
        </w:rPr>
        <w:t>dyżurów</w:t>
      </w:r>
      <w:r w:rsidR="003B50ED" w:rsidRPr="00F16251">
        <w:rPr>
          <w:rFonts w:eastAsia="Calibri" w:cstheme="minorHAnsi"/>
        </w:rPr>
        <w:t xml:space="preserve"> </w:t>
      </w:r>
      <w:r w:rsidRPr="00F16251">
        <w:rPr>
          <w:rFonts w:eastAsia="Calibri" w:cstheme="minorHAnsi"/>
        </w:rPr>
        <w:t>stanowiły</w:t>
      </w:r>
      <w:r w:rsidR="003B50ED" w:rsidRPr="00F16251">
        <w:rPr>
          <w:rFonts w:eastAsia="Calibri" w:cstheme="minorHAnsi"/>
        </w:rPr>
        <w:t xml:space="preserve"> </w:t>
      </w:r>
      <w:r w:rsidRPr="00F16251">
        <w:rPr>
          <w:rFonts w:eastAsia="Calibri" w:cstheme="minorHAnsi"/>
        </w:rPr>
        <w:t>cenny</w:t>
      </w:r>
      <w:r w:rsidR="003B50ED" w:rsidRPr="00F16251">
        <w:rPr>
          <w:rFonts w:eastAsia="Calibri" w:cstheme="minorHAnsi"/>
        </w:rPr>
        <w:t xml:space="preserve"> </w:t>
      </w:r>
      <w:r w:rsidRPr="00F16251">
        <w:rPr>
          <w:rFonts w:eastAsia="Calibri" w:cstheme="minorHAnsi"/>
        </w:rPr>
        <w:t>wkład</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opracowanie</w:t>
      </w:r>
      <w:r w:rsidR="003B50ED" w:rsidRPr="00F16251">
        <w:rPr>
          <w:rFonts w:eastAsia="Calibri" w:cstheme="minorHAnsi"/>
        </w:rPr>
        <w:t xml:space="preserve"> </w:t>
      </w:r>
      <w:r w:rsidRPr="00F16251">
        <w:rPr>
          <w:rFonts w:eastAsia="Calibri" w:cstheme="minorHAnsi"/>
        </w:rPr>
        <w:t>diagnozy</w:t>
      </w:r>
      <w:r w:rsidR="003B50ED" w:rsidRPr="00F16251">
        <w:rPr>
          <w:rFonts w:eastAsia="Calibri" w:cstheme="minorHAnsi"/>
        </w:rPr>
        <w:t xml:space="preserve"> </w:t>
      </w:r>
      <w:r w:rsidRPr="00F16251">
        <w:rPr>
          <w:rFonts w:eastAsia="Calibri" w:cstheme="minorHAnsi"/>
        </w:rPr>
        <w:t>i</w:t>
      </w:r>
      <w:r w:rsidR="003B50ED" w:rsidRPr="00F16251">
        <w:rPr>
          <w:rFonts w:eastAsia="Calibri" w:cstheme="minorHAnsi"/>
        </w:rPr>
        <w:t xml:space="preserve"> </w:t>
      </w:r>
      <w:r w:rsidRPr="00F16251">
        <w:rPr>
          <w:rFonts w:eastAsia="Calibri" w:cstheme="minorHAnsi"/>
        </w:rPr>
        <w:t>analizy</w:t>
      </w:r>
      <w:r w:rsidR="003B50ED" w:rsidRPr="00F16251">
        <w:rPr>
          <w:rFonts w:eastAsia="Calibri" w:cstheme="minorHAnsi"/>
        </w:rPr>
        <w:t xml:space="preserve"> </w:t>
      </w:r>
      <w:r w:rsidRPr="00F16251">
        <w:rPr>
          <w:rFonts w:eastAsia="Calibri" w:cstheme="minorHAnsi"/>
        </w:rPr>
        <w:t>SWOT</w:t>
      </w:r>
      <w:r w:rsidR="003B50ED" w:rsidRPr="00F16251">
        <w:rPr>
          <w:rFonts w:eastAsia="Calibri" w:cstheme="minorHAnsi"/>
        </w:rPr>
        <w:t xml:space="preserve"> </w:t>
      </w:r>
      <w:r w:rsidRPr="00F16251">
        <w:rPr>
          <w:rFonts w:eastAsia="Calibri" w:cstheme="minorHAnsi"/>
        </w:rPr>
        <w:t>obszaru</w:t>
      </w:r>
      <w:r w:rsidR="003B50ED" w:rsidRPr="00F16251">
        <w:rPr>
          <w:rFonts w:eastAsia="Calibri" w:cstheme="minorHAnsi"/>
        </w:rPr>
        <w:t xml:space="preserve"> </w:t>
      </w:r>
      <w:r w:rsidRPr="00F16251">
        <w:rPr>
          <w:rFonts w:eastAsia="Calibri" w:cstheme="minorHAnsi"/>
        </w:rPr>
        <w:t>LSR,</w:t>
      </w:r>
      <w:r w:rsidR="003B50ED" w:rsidRPr="00F16251">
        <w:rPr>
          <w:rFonts w:eastAsia="Calibri" w:cstheme="minorHAnsi"/>
        </w:rPr>
        <w:t xml:space="preserve"> </w:t>
      </w:r>
      <w:r w:rsidRPr="00F16251">
        <w:rPr>
          <w:rFonts w:eastAsia="Calibri" w:cstheme="minorHAnsi"/>
        </w:rPr>
        <w:t>sformułowania</w:t>
      </w:r>
      <w:r w:rsidR="003B50ED" w:rsidRPr="00F16251">
        <w:rPr>
          <w:rFonts w:eastAsia="Calibri" w:cstheme="minorHAnsi"/>
        </w:rPr>
        <w:t xml:space="preserve"> </w:t>
      </w:r>
      <w:r w:rsidRPr="00F16251">
        <w:rPr>
          <w:rFonts w:eastAsia="Calibri" w:cstheme="minorHAnsi"/>
        </w:rPr>
        <w:t>celów</w:t>
      </w:r>
      <w:r w:rsidR="003B50ED" w:rsidRPr="00F16251">
        <w:rPr>
          <w:rFonts w:eastAsia="Calibri" w:cstheme="minorHAnsi"/>
        </w:rPr>
        <w:t xml:space="preserve"> </w:t>
      </w:r>
      <w:r w:rsidRPr="00F16251">
        <w:rPr>
          <w:rFonts w:eastAsia="Calibri" w:cstheme="minorHAnsi"/>
        </w:rPr>
        <w:t>i</w:t>
      </w:r>
      <w:r w:rsidR="003B50ED" w:rsidRPr="00F16251">
        <w:rPr>
          <w:rFonts w:eastAsia="Calibri" w:cstheme="minorHAnsi"/>
        </w:rPr>
        <w:t xml:space="preserve"> </w:t>
      </w:r>
      <w:r w:rsidRPr="00F16251">
        <w:rPr>
          <w:rFonts w:eastAsia="Calibri" w:cstheme="minorHAnsi"/>
        </w:rPr>
        <w:t>wskaźników</w:t>
      </w:r>
      <w:r w:rsidR="003B50ED" w:rsidRPr="00F16251">
        <w:rPr>
          <w:rFonts w:eastAsia="Calibri" w:cstheme="minorHAnsi"/>
        </w:rPr>
        <w:t xml:space="preserve"> </w:t>
      </w:r>
      <w:r w:rsidRPr="00F16251">
        <w:rPr>
          <w:rFonts w:eastAsia="Calibri" w:cstheme="minorHAnsi"/>
        </w:rPr>
        <w:t>LSR</w:t>
      </w:r>
      <w:r w:rsidR="003B50ED" w:rsidRPr="00F16251">
        <w:rPr>
          <w:rFonts w:eastAsia="Calibri" w:cstheme="minorHAnsi"/>
        </w:rPr>
        <w:t xml:space="preserve"> </w:t>
      </w:r>
      <w:r w:rsidRPr="00F16251">
        <w:rPr>
          <w:rFonts w:eastAsia="Calibri" w:cstheme="minorHAnsi"/>
        </w:rPr>
        <w:t>a</w:t>
      </w:r>
      <w:r w:rsidR="003B50ED" w:rsidRPr="00F16251">
        <w:rPr>
          <w:rFonts w:eastAsia="Calibri" w:cstheme="minorHAnsi"/>
        </w:rPr>
        <w:t xml:space="preserve"> </w:t>
      </w:r>
      <w:r w:rsidRPr="00F16251">
        <w:rPr>
          <w:rFonts w:eastAsia="Calibri" w:cstheme="minorHAnsi"/>
        </w:rPr>
        <w:t>co</w:t>
      </w:r>
      <w:r w:rsidR="003B50ED" w:rsidRPr="00F16251">
        <w:rPr>
          <w:rFonts w:eastAsia="Calibri" w:cstheme="minorHAnsi"/>
        </w:rPr>
        <w:t xml:space="preserve"> </w:t>
      </w:r>
      <w:r w:rsidRPr="00F16251">
        <w:rPr>
          <w:rFonts w:eastAsia="Calibri" w:cstheme="minorHAnsi"/>
        </w:rPr>
        <w:t>za</w:t>
      </w:r>
      <w:r w:rsidR="003B50ED" w:rsidRPr="00F16251">
        <w:rPr>
          <w:rFonts w:eastAsia="Calibri" w:cstheme="minorHAnsi"/>
        </w:rPr>
        <w:t xml:space="preserve"> </w:t>
      </w:r>
      <w:r w:rsidRPr="00F16251">
        <w:rPr>
          <w:rFonts w:eastAsia="Calibri" w:cstheme="minorHAnsi"/>
        </w:rPr>
        <w:t>tym</w:t>
      </w:r>
      <w:r w:rsidR="003B50ED" w:rsidRPr="00F16251">
        <w:rPr>
          <w:rFonts w:eastAsia="Calibri" w:cstheme="minorHAnsi"/>
        </w:rPr>
        <w:t xml:space="preserve"> </w:t>
      </w:r>
      <w:r w:rsidRPr="00F16251">
        <w:rPr>
          <w:rFonts w:eastAsia="Calibri" w:cstheme="minorHAnsi"/>
        </w:rPr>
        <w:t>idzie</w:t>
      </w:r>
      <w:r w:rsidR="003B50ED" w:rsidRPr="00F16251">
        <w:rPr>
          <w:rFonts w:eastAsia="Calibri" w:cstheme="minorHAnsi"/>
        </w:rPr>
        <w:t xml:space="preserve"> </w:t>
      </w:r>
      <w:r w:rsidRPr="00F16251">
        <w:rPr>
          <w:rFonts w:eastAsia="Calibri" w:cstheme="minorHAnsi"/>
        </w:rPr>
        <w:t>Planu</w:t>
      </w:r>
      <w:r w:rsidR="003B50ED" w:rsidRPr="00F16251">
        <w:rPr>
          <w:rFonts w:eastAsia="Calibri" w:cstheme="minorHAnsi"/>
        </w:rPr>
        <w:t xml:space="preserve"> </w:t>
      </w:r>
      <w:r w:rsidRPr="00F16251">
        <w:rPr>
          <w:rFonts w:eastAsia="Calibri" w:cstheme="minorHAnsi"/>
        </w:rPr>
        <w:t>działania</w:t>
      </w:r>
      <w:r w:rsidR="003B50ED" w:rsidRPr="00F16251">
        <w:rPr>
          <w:rFonts w:eastAsia="Calibri" w:cstheme="minorHAnsi"/>
        </w:rPr>
        <w:t xml:space="preserve"> </w:t>
      </w:r>
      <w:r w:rsidRPr="00F16251">
        <w:rPr>
          <w:rFonts w:eastAsia="Calibri" w:cstheme="minorHAnsi"/>
        </w:rPr>
        <w:t>jak</w:t>
      </w:r>
      <w:r w:rsidR="003B50ED" w:rsidRPr="00F16251">
        <w:rPr>
          <w:rFonts w:eastAsia="Calibri" w:cstheme="minorHAnsi"/>
        </w:rPr>
        <w:t xml:space="preserve"> </w:t>
      </w:r>
      <w:r w:rsidRPr="00F16251">
        <w:rPr>
          <w:rFonts w:eastAsia="Calibri" w:cstheme="minorHAnsi"/>
        </w:rPr>
        <w:t>również</w:t>
      </w:r>
      <w:r w:rsidR="003B50ED" w:rsidRPr="00F16251">
        <w:rPr>
          <w:rFonts w:eastAsia="Calibri" w:cstheme="minorHAnsi"/>
        </w:rPr>
        <w:t xml:space="preserve"> </w:t>
      </w:r>
      <w:r w:rsidRPr="00F16251">
        <w:rPr>
          <w:rFonts w:eastAsia="Calibri" w:cstheme="minorHAnsi"/>
        </w:rPr>
        <w:t>zasad</w:t>
      </w:r>
      <w:r w:rsidR="003B50ED" w:rsidRPr="00F16251">
        <w:rPr>
          <w:rFonts w:eastAsia="Calibri" w:cstheme="minorHAnsi"/>
        </w:rPr>
        <w:t xml:space="preserve"> </w:t>
      </w:r>
      <w:r w:rsidRPr="00F16251">
        <w:rPr>
          <w:rFonts w:eastAsia="Calibri" w:cstheme="minorHAnsi"/>
        </w:rPr>
        <w:t>wyboru</w:t>
      </w:r>
      <w:r w:rsidR="003B50ED" w:rsidRPr="00F16251">
        <w:rPr>
          <w:rFonts w:eastAsia="Calibri" w:cstheme="minorHAnsi"/>
        </w:rPr>
        <w:t xml:space="preserve"> </w:t>
      </w:r>
      <w:r w:rsidRPr="00F16251">
        <w:rPr>
          <w:rFonts w:eastAsia="Calibri" w:cstheme="minorHAnsi"/>
        </w:rPr>
        <w:t>operacji</w:t>
      </w:r>
      <w:r w:rsidR="003B50ED" w:rsidRPr="00F16251">
        <w:rPr>
          <w:rFonts w:eastAsia="Calibri" w:cstheme="minorHAnsi"/>
        </w:rPr>
        <w:t xml:space="preserve"> </w:t>
      </w:r>
      <w:r w:rsidRPr="00F16251">
        <w:rPr>
          <w:rFonts w:eastAsia="Calibri" w:cstheme="minorHAnsi"/>
        </w:rPr>
        <w:br/>
      </w:r>
      <w:r w:rsidRPr="00F16251">
        <w:rPr>
          <w:rFonts w:eastAsia="Calibri" w:cstheme="minorHAnsi"/>
        </w:rPr>
        <w:lastRenderedPageBreak/>
        <w:t>i</w:t>
      </w:r>
      <w:r w:rsidR="003B50ED" w:rsidRPr="00F16251">
        <w:rPr>
          <w:rFonts w:eastAsia="Calibri" w:cstheme="minorHAnsi"/>
        </w:rPr>
        <w:t xml:space="preserve"> </w:t>
      </w:r>
      <w:r w:rsidRPr="00F16251">
        <w:rPr>
          <w:rFonts w:eastAsia="Calibri" w:cstheme="minorHAnsi"/>
        </w:rPr>
        <w:t>sformułowania</w:t>
      </w:r>
      <w:r w:rsidR="003B50ED" w:rsidRPr="00F16251">
        <w:rPr>
          <w:rFonts w:eastAsia="Calibri" w:cstheme="minorHAnsi"/>
        </w:rPr>
        <w:t xml:space="preserve"> </w:t>
      </w:r>
      <w:r w:rsidRPr="00F16251">
        <w:rPr>
          <w:rFonts w:eastAsia="Calibri" w:cstheme="minorHAnsi"/>
        </w:rPr>
        <w:t>lokalnych</w:t>
      </w:r>
      <w:r w:rsidR="003B50ED" w:rsidRPr="00F16251">
        <w:rPr>
          <w:rFonts w:eastAsia="Calibri" w:cstheme="minorHAnsi"/>
        </w:rPr>
        <w:t xml:space="preserve"> </w:t>
      </w:r>
      <w:r w:rsidRPr="00F16251">
        <w:rPr>
          <w:rFonts w:eastAsia="Calibri" w:cstheme="minorHAnsi"/>
        </w:rPr>
        <w:t>kryteriów</w:t>
      </w:r>
      <w:r w:rsidR="003B50ED" w:rsidRPr="00F16251">
        <w:rPr>
          <w:rFonts w:eastAsia="Calibri" w:cstheme="minorHAnsi"/>
        </w:rPr>
        <w:t xml:space="preserve"> </w:t>
      </w:r>
      <w:r w:rsidRPr="00F16251">
        <w:rPr>
          <w:rFonts w:eastAsia="Calibri" w:cstheme="minorHAnsi"/>
        </w:rPr>
        <w:t>wyboru</w:t>
      </w:r>
      <w:r w:rsidR="003B50ED" w:rsidRPr="00F16251">
        <w:rPr>
          <w:rFonts w:eastAsia="Calibri" w:cstheme="minorHAnsi"/>
        </w:rPr>
        <w:t xml:space="preserve"> </w:t>
      </w:r>
      <w:r w:rsidRPr="00F16251">
        <w:rPr>
          <w:rFonts w:eastAsia="Calibri" w:cstheme="minorHAnsi"/>
        </w:rPr>
        <w:t>operacji,</w:t>
      </w:r>
      <w:r w:rsidR="003B50ED" w:rsidRPr="00F16251">
        <w:rPr>
          <w:rFonts w:eastAsia="Calibri" w:cstheme="minorHAnsi"/>
        </w:rPr>
        <w:t xml:space="preserve"> </w:t>
      </w:r>
      <w:r w:rsidRPr="00F16251">
        <w:rPr>
          <w:rFonts w:eastAsia="Calibri" w:cstheme="minorHAnsi"/>
        </w:rPr>
        <w:t>ponadto</w:t>
      </w:r>
      <w:r w:rsidR="003B50ED" w:rsidRPr="00F16251">
        <w:rPr>
          <w:rFonts w:eastAsia="Calibri" w:cstheme="minorHAnsi"/>
        </w:rPr>
        <w:t xml:space="preserve"> </w:t>
      </w:r>
      <w:r w:rsidRPr="00F16251">
        <w:rPr>
          <w:rFonts w:eastAsia="Calibri" w:cstheme="minorHAnsi"/>
        </w:rPr>
        <w:t>zasad</w:t>
      </w:r>
      <w:r w:rsidR="003B50ED" w:rsidRPr="00F16251">
        <w:rPr>
          <w:rFonts w:eastAsia="Calibri" w:cstheme="minorHAnsi"/>
        </w:rPr>
        <w:t xml:space="preserve"> </w:t>
      </w:r>
      <w:r w:rsidRPr="00F16251">
        <w:rPr>
          <w:rFonts w:eastAsia="Calibri" w:cstheme="minorHAnsi"/>
        </w:rPr>
        <w:t>monitorowania</w:t>
      </w:r>
      <w:r w:rsidR="003B50ED" w:rsidRPr="00F16251">
        <w:rPr>
          <w:rFonts w:eastAsia="Calibri" w:cstheme="minorHAnsi"/>
        </w:rPr>
        <w:t xml:space="preserve"> </w:t>
      </w:r>
      <w:r w:rsidRPr="00F16251">
        <w:rPr>
          <w:rFonts w:eastAsia="Calibri" w:cstheme="minorHAnsi"/>
        </w:rPr>
        <w:t>i</w:t>
      </w:r>
      <w:r w:rsidR="003B50ED" w:rsidRPr="00F16251">
        <w:rPr>
          <w:rFonts w:eastAsia="Calibri" w:cstheme="minorHAnsi"/>
        </w:rPr>
        <w:t xml:space="preserve"> </w:t>
      </w:r>
      <w:r w:rsidRPr="00F16251">
        <w:rPr>
          <w:rFonts w:eastAsia="Calibri" w:cstheme="minorHAnsi"/>
        </w:rPr>
        <w:t>ewaluacji</w:t>
      </w:r>
      <w:r w:rsidR="003B50ED" w:rsidRPr="00F16251">
        <w:rPr>
          <w:rFonts w:eastAsia="Calibri" w:cstheme="minorHAnsi"/>
        </w:rPr>
        <w:t xml:space="preserve"> </w:t>
      </w:r>
      <w:r w:rsidRPr="00F16251">
        <w:rPr>
          <w:rFonts w:eastAsia="Calibri" w:cstheme="minorHAnsi"/>
        </w:rPr>
        <w:t>oraz</w:t>
      </w:r>
      <w:r w:rsidR="003B50ED" w:rsidRPr="00F16251">
        <w:rPr>
          <w:rFonts w:eastAsia="Calibri" w:cstheme="minorHAnsi"/>
        </w:rPr>
        <w:t xml:space="preserve"> </w:t>
      </w:r>
      <w:r w:rsidRPr="00F16251">
        <w:rPr>
          <w:rFonts w:eastAsia="Calibri" w:cstheme="minorHAnsi"/>
        </w:rPr>
        <w:t>Planu</w:t>
      </w:r>
      <w:r w:rsidR="003B50ED" w:rsidRPr="00F16251">
        <w:rPr>
          <w:rFonts w:eastAsia="Calibri" w:cstheme="minorHAnsi"/>
        </w:rPr>
        <w:t xml:space="preserve"> </w:t>
      </w:r>
      <w:r w:rsidRPr="00F16251">
        <w:rPr>
          <w:rFonts w:eastAsia="Calibri" w:cstheme="minorHAnsi"/>
        </w:rPr>
        <w:t>komunikacji.</w:t>
      </w:r>
      <w:r w:rsidR="003B50ED" w:rsidRPr="00F16251">
        <w:rPr>
          <w:rFonts w:eastAsia="Calibri" w:cstheme="minorHAnsi"/>
        </w:rPr>
        <w:t xml:space="preserve"> </w:t>
      </w:r>
    </w:p>
    <w:bookmarkEnd w:id="29"/>
    <w:p w14:paraId="03487FC9" w14:textId="71706EDD" w:rsidR="00703ECD" w:rsidRPr="00F16251" w:rsidRDefault="00703ECD" w:rsidP="00A26C26">
      <w:pPr>
        <w:spacing w:line="276" w:lineRule="auto"/>
        <w:ind w:firstLine="284"/>
        <w:jc w:val="both"/>
        <w:rPr>
          <w:rFonts w:eastAsia="Calibri" w:cstheme="minorHAnsi"/>
        </w:rPr>
      </w:pPr>
      <w:r w:rsidRPr="00F16251">
        <w:rPr>
          <w:rFonts w:eastAsia="Calibri" w:cstheme="minorHAnsi"/>
        </w:rPr>
        <w:t>Jedną</w:t>
      </w:r>
      <w:r w:rsidR="003B50ED" w:rsidRPr="00F16251">
        <w:rPr>
          <w:rFonts w:eastAsia="Calibri" w:cstheme="minorHAnsi"/>
        </w:rPr>
        <w:t xml:space="preserve"> </w:t>
      </w:r>
      <w:r w:rsidRPr="00F16251">
        <w:rPr>
          <w:rFonts w:eastAsia="Calibri" w:cstheme="minorHAnsi"/>
        </w:rPr>
        <w:t>z</w:t>
      </w:r>
      <w:r w:rsidR="003B50ED" w:rsidRPr="00F16251">
        <w:rPr>
          <w:rFonts w:eastAsia="Calibri" w:cstheme="minorHAnsi"/>
        </w:rPr>
        <w:t xml:space="preserve"> </w:t>
      </w:r>
      <w:r w:rsidRPr="00F16251">
        <w:rPr>
          <w:rFonts w:eastAsia="Calibri" w:cstheme="minorHAnsi"/>
        </w:rPr>
        <w:t>istotniejszych</w:t>
      </w:r>
      <w:r w:rsidR="003B50ED" w:rsidRPr="00F16251">
        <w:rPr>
          <w:rFonts w:eastAsia="Calibri" w:cstheme="minorHAnsi"/>
        </w:rPr>
        <w:t xml:space="preserve"> </w:t>
      </w:r>
      <w:r w:rsidRPr="00F16251">
        <w:rPr>
          <w:rFonts w:eastAsia="Calibri" w:cstheme="minorHAnsi"/>
        </w:rPr>
        <w:t>metod</w:t>
      </w:r>
      <w:r w:rsidR="003B50ED" w:rsidRPr="00F16251">
        <w:rPr>
          <w:rFonts w:eastAsia="Calibri" w:cstheme="minorHAnsi"/>
        </w:rPr>
        <w:t xml:space="preserve"> </w:t>
      </w:r>
      <w:r w:rsidRPr="00F16251">
        <w:rPr>
          <w:rFonts w:eastAsia="Calibri" w:cstheme="minorHAnsi"/>
        </w:rPr>
        <w:t>partycypacji,</w:t>
      </w:r>
      <w:r w:rsidR="003B50ED" w:rsidRPr="00F16251">
        <w:rPr>
          <w:rFonts w:eastAsia="Calibri" w:cstheme="minorHAnsi"/>
        </w:rPr>
        <w:t xml:space="preserve"> </w:t>
      </w:r>
      <w:r w:rsidRPr="00F16251">
        <w:rPr>
          <w:rFonts w:eastAsia="Calibri" w:cstheme="minorHAnsi"/>
        </w:rPr>
        <w:t>niezbędnych</w:t>
      </w:r>
      <w:r w:rsidR="003B50ED" w:rsidRPr="00F16251">
        <w:rPr>
          <w:rFonts w:eastAsia="Calibri" w:cstheme="minorHAnsi"/>
        </w:rPr>
        <w:t xml:space="preserve"> </w:t>
      </w:r>
      <w:r w:rsidRPr="00F16251">
        <w:rPr>
          <w:rFonts w:eastAsia="Calibri" w:cstheme="minorHAnsi"/>
        </w:rPr>
        <w:t>do</w:t>
      </w:r>
      <w:r w:rsidR="003B50ED" w:rsidRPr="00F16251">
        <w:rPr>
          <w:rFonts w:eastAsia="Calibri" w:cstheme="minorHAnsi"/>
        </w:rPr>
        <w:t xml:space="preserve"> </w:t>
      </w:r>
      <w:r w:rsidRPr="00F16251">
        <w:rPr>
          <w:rFonts w:eastAsia="Calibri" w:cstheme="minorHAnsi"/>
        </w:rPr>
        <w:t>prawidłowego</w:t>
      </w:r>
      <w:r w:rsidR="003B50ED" w:rsidRPr="00F16251">
        <w:rPr>
          <w:rFonts w:eastAsia="Calibri" w:cstheme="minorHAnsi"/>
        </w:rPr>
        <w:t xml:space="preserve"> </w:t>
      </w:r>
      <w:r w:rsidRPr="00F16251">
        <w:rPr>
          <w:rFonts w:eastAsia="Calibri" w:cstheme="minorHAnsi"/>
        </w:rPr>
        <w:t>opracowania</w:t>
      </w:r>
      <w:r w:rsidR="003B50ED" w:rsidRPr="00F16251">
        <w:rPr>
          <w:rFonts w:eastAsia="Calibri" w:cstheme="minorHAnsi"/>
        </w:rPr>
        <w:t xml:space="preserve"> </w:t>
      </w:r>
      <w:r w:rsidRPr="00F16251">
        <w:rPr>
          <w:rFonts w:eastAsia="Calibri" w:cstheme="minorHAnsi"/>
        </w:rPr>
        <w:t>LSR</w:t>
      </w:r>
      <w:r w:rsidR="003B50ED" w:rsidRPr="00F16251">
        <w:rPr>
          <w:rFonts w:eastAsia="Calibri" w:cstheme="minorHAnsi"/>
        </w:rPr>
        <w:t xml:space="preserve"> </w:t>
      </w:r>
      <w:r w:rsidRPr="00F16251">
        <w:rPr>
          <w:rFonts w:eastAsia="Calibri" w:cstheme="minorHAnsi"/>
        </w:rPr>
        <w:t>był</w:t>
      </w:r>
      <w:r w:rsidR="003B50ED" w:rsidRPr="00F16251">
        <w:rPr>
          <w:rFonts w:eastAsia="Calibri" w:cstheme="minorHAnsi"/>
        </w:rPr>
        <w:t xml:space="preserve"> </w:t>
      </w:r>
      <w:r w:rsidRPr="00F16251">
        <w:rPr>
          <w:rFonts w:eastAsia="Calibri" w:cstheme="minorHAnsi"/>
          <w:b/>
          <w:bCs/>
        </w:rPr>
        <w:t>warsztat</w:t>
      </w:r>
      <w:r w:rsidR="003B50ED" w:rsidRPr="00F16251">
        <w:rPr>
          <w:rFonts w:eastAsia="Calibri" w:cstheme="minorHAnsi"/>
          <w:b/>
          <w:bCs/>
        </w:rPr>
        <w:t xml:space="preserve"> </w:t>
      </w:r>
      <w:r w:rsidRPr="00F16251">
        <w:rPr>
          <w:rFonts w:eastAsia="Calibri" w:cstheme="minorHAnsi"/>
          <w:b/>
          <w:bCs/>
        </w:rPr>
        <w:t>strategiczny</w:t>
      </w:r>
      <w:r w:rsidR="003B50ED" w:rsidRPr="00F16251">
        <w:rPr>
          <w:rFonts w:eastAsia="Calibri" w:cstheme="minorHAnsi"/>
          <w:b/>
          <w:bCs/>
        </w:rPr>
        <w:t xml:space="preserve"> </w:t>
      </w:r>
      <w:r w:rsidRPr="00F16251">
        <w:rPr>
          <w:rFonts w:eastAsia="Calibri" w:cstheme="minorHAnsi"/>
        </w:rPr>
        <w:t>z</w:t>
      </w:r>
      <w:r w:rsidR="003B50ED" w:rsidRPr="00F16251">
        <w:rPr>
          <w:rFonts w:eastAsia="Calibri" w:cstheme="minorHAnsi"/>
        </w:rPr>
        <w:t xml:space="preserve"> </w:t>
      </w:r>
      <w:r w:rsidRPr="00F16251">
        <w:rPr>
          <w:rFonts w:eastAsia="Calibri" w:cstheme="minorHAnsi"/>
        </w:rPr>
        <w:t>udziałem</w:t>
      </w:r>
      <w:r w:rsidR="003B50ED" w:rsidRPr="00F16251">
        <w:rPr>
          <w:rFonts w:eastAsia="Calibri" w:cstheme="minorHAnsi"/>
        </w:rPr>
        <w:t xml:space="preserve"> </w:t>
      </w:r>
      <w:r w:rsidRPr="00F16251">
        <w:rPr>
          <w:rFonts w:eastAsia="Calibri" w:cstheme="minorHAnsi"/>
        </w:rPr>
        <w:t>przedstawicieli</w:t>
      </w:r>
      <w:r w:rsidR="003B50ED" w:rsidRPr="00F16251">
        <w:rPr>
          <w:rFonts w:eastAsia="Calibri" w:cstheme="minorHAnsi"/>
        </w:rPr>
        <w:t xml:space="preserve"> </w:t>
      </w:r>
      <w:r w:rsidRPr="00F16251">
        <w:rPr>
          <w:rFonts w:eastAsia="Calibri" w:cstheme="minorHAnsi"/>
        </w:rPr>
        <w:t>organu</w:t>
      </w:r>
      <w:r w:rsidR="003B50ED" w:rsidRPr="00F16251">
        <w:rPr>
          <w:rFonts w:eastAsia="Calibri" w:cstheme="minorHAnsi"/>
        </w:rPr>
        <w:t xml:space="preserve"> </w:t>
      </w:r>
      <w:r w:rsidRPr="00F16251">
        <w:rPr>
          <w:rFonts w:eastAsia="Calibri" w:cstheme="minorHAnsi"/>
        </w:rPr>
        <w:t>decyzyjnego</w:t>
      </w:r>
      <w:r w:rsidR="003B50ED" w:rsidRPr="00F16251">
        <w:rPr>
          <w:rFonts w:eastAsia="Calibri" w:cstheme="minorHAnsi"/>
        </w:rPr>
        <w:t xml:space="preserve"> </w:t>
      </w:r>
      <w:r w:rsidRPr="00F16251">
        <w:rPr>
          <w:rFonts w:eastAsia="Calibri" w:cstheme="minorHAnsi"/>
        </w:rPr>
        <w:t>oraz</w:t>
      </w:r>
      <w:r w:rsidR="003B50ED" w:rsidRPr="00F16251">
        <w:rPr>
          <w:rFonts w:eastAsia="Calibri" w:cstheme="minorHAnsi"/>
        </w:rPr>
        <w:t xml:space="preserve"> </w:t>
      </w:r>
      <w:r w:rsidRPr="00F16251">
        <w:rPr>
          <w:rFonts w:eastAsia="Calibri" w:cstheme="minorHAnsi"/>
        </w:rPr>
        <w:t>aktywnych</w:t>
      </w:r>
      <w:r w:rsidR="003B50ED" w:rsidRPr="00F16251">
        <w:rPr>
          <w:rFonts w:eastAsia="Calibri" w:cstheme="minorHAnsi"/>
        </w:rPr>
        <w:t xml:space="preserve"> </w:t>
      </w:r>
      <w:r w:rsidRPr="00F16251">
        <w:rPr>
          <w:rFonts w:eastAsia="Calibri" w:cstheme="minorHAnsi"/>
        </w:rPr>
        <w:t>Członków</w:t>
      </w:r>
      <w:r w:rsidR="003B50ED" w:rsidRPr="00F16251">
        <w:rPr>
          <w:rFonts w:eastAsia="Calibri" w:cstheme="minorHAnsi"/>
        </w:rPr>
        <w:t xml:space="preserve"> </w:t>
      </w:r>
      <w:r w:rsidRPr="00F16251">
        <w:rPr>
          <w:rFonts w:eastAsia="Calibri" w:cstheme="minorHAnsi"/>
        </w:rPr>
        <w:t>LGD.</w:t>
      </w:r>
      <w:r w:rsidR="003B50ED" w:rsidRPr="00F16251">
        <w:rPr>
          <w:rFonts w:eastAsia="Calibri" w:cstheme="minorHAnsi"/>
        </w:rPr>
        <w:t xml:space="preserve"> </w:t>
      </w:r>
      <w:r w:rsidRPr="00F16251">
        <w:rPr>
          <w:rFonts w:eastAsia="Calibri" w:cstheme="minorHAnsi"/>
        </w:rPr>
        <w:t>Warsztat</w:t>
      </w:r>
      <w:r w:rsidR="003B50ED" w:rsidRPr="00F16251">
        <w:rPr>
          <w:rFonts w:eastAsia="Calibri" w:cstheme="minorHAnsi"/>
        </w:rPr>
        <w:t xml:space="preserve"> </w:t>
      </w:r>
      <w:r w:rsidRPr="00F16251">
        <w:rPr>
          <w:rFonts w:eastAsia="Calibri" w:cstheme="minorHAnsi"/>
        </w:rPr>
        <w:t>odbył</w:t>
      </w:r>
      <w:r w:rsidR="003B50ED" w:rsidRPr="00F16251">
        <w:rPr>
          <w:rFonts w:eastAsia="Calibri" w:cstheme="minorHAnsi"/>
        </w:rPr>
        <w:t xml:space="preserve"> </w:t>
      </w:r>
      <w:r w:rsidRPr="00F16251">
        <w:rPr>
          <w:rFonts w:eastAsia="Calibri" w:cstheme="minorHAnsi"/>
        </w:rPr>
        <w:t>się</w:t>
      </w:r>
      <w:r w:rsidR="003B50ED" w:rsidRPr="00F16251">
        <w:rPr>
          <w:rFonts w:eastAsia="Calibri" w:cstheme="minorHAnsi"/>
        </w:rPr>
        <w:t xml:space="preserve"> </w:t>
      </w:r>
      <w:r w:rsidRPr="00F16251">
        <w:rPr>
          <w:rFonts w:eastAsia="Calibri" w:cstheme="minorHAnsi"/>
        </w:rPr>
        <w:br/>
        <w:t>w</w:t>
      </w:r>
      <w:r w:rsidR="003B50ED" w:rsidRPr="00F16251">
        <w:rPr>
          <w:rFonts w:eastAsia="Calibri" w:cstheme="minorHAnsi"/>
        </w:rPr>
        <w:t xml:space="preserve"> </w:t>
      </w:r>
      <w:r w:rsidR="00740541" w:rsidRPr="00F16251">
        <w:rPr>
          <w:rFonts w:eastAsia="Calibri" w:cstheme="minorHAnsi"/>
        </w:rPr>
        <w:t xml:space="preserve">dniu 24.02.2023 </w:t>
      </w:r>
      <w:r w:rsidRPr="00F16251">
        <w:rPr>
          <w:rFonts w:eastAsia="Calibri" w:cstheme="minorHAnsi"/>
        </w:rPr>
        <w:t>i</w:t>
      </w:r>
      <w:r w:rsidR="003B50ED" w:rsidRPr="00F16251">
        <w:rPr>
          <w:rFonts w:eastAsia="Calibri" w:cstheme="minorHAnsi"/>
        </w:rPr>
        <w:t xml:space="preserve"> </w:t>
      </w:r>
      <w:r w:rsidRPr="00F16251">
        <w:rPr>
          <w:rFonts w:eastAsia="Calibri" w:cstheme="minorHAnsi"/>
        </w:rPr>
        <w:t>wzięło</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nim</w:t>
      </w:r>
      <w:r w:rsidR="003B50ED" w:rsidRPr="00F16251">
        <w:rPr>
          <w:rFonts w:eastAsia="Calibri" w:cstheme="minorHAnsi"/>
        </w:rPr>
        <w:t xml:space="preserve"> </w:t>
      </w:r>
      <w:r w:rsidRPr="00F16251">
        <w:rPr>
          <w:rFonts w:eastAsia="Calibri" w:cstheme="minorHAnsi"/>
        </w:rPr>
        <w:t>udział</w:t>
      </w:r>
      <w:r w:rsidR="003B50ED" w:rsidRPr="00F16251">
        <w:rPr>
          <w:rFonts w:eastAsia="Calibri" w:cstheme="minorHAnsi"/>
        </w:rPr>
        <w:t xml:space="preserve"> </w:t>
      </w:r>
      <w:r w:rsidR="00740541" w:rsidRPr="00F16251">
        <w:rPr>
          <w:rFonts w:eastAsia="Calibri" w:cstheme="minorHAnsi"/>
        </w:rPr>
        <w:t>25</w:t>
      </w:r>
      <w:r w:rsidR="003B50ED" w:rsidRPr="00F16251">
        <w:rPr>
          <w:rFonts w:eastAsia="Calibri" w:cstheme="minorHAnsi"/>
        </w:rPr>
        <w:t xml:space="preserve"> </w:t>
      </w:r>
      <w:r w:rsidRPr="00F16251">
        <w:rPr>
          <w:rFonts w:eastAsia="Calibri" w:cstheme="minorHAnsi"/>
        </w:rPr>
        <w:t>osób.</w:t>
      </w:r>
      <w:r w:rsidR="003B50ED" w:rsidRPr="00F16251">
        <w:rPr>
          <w:rFonts w:eastAsia="Calibri" w:cstheme="minorHAnsi"/>
        </w:rPr>
        <w:t xml:space="preserve"> </w:t>
      </w:r>
      <w:r w:rsidRPr="00F16251">
        <w:rPr>
          <w:rFonts w:eastAsia="Calibri" w:cstheme="minorHAnsi"/>
        </w:rPr>
        <w:t>Podsumowaniem</w:t>
      </w:r>
      <w:r w:rsidR="003B50ED" w:rsidRPr="00F16251">
        <w:rPr>
          <w:rFonts w:eastAsia="Calibri" w:cstheme="minorHAnsi"/>
        </w:rPr>
        <w:t xml:space="preserve"> </w:t>
      </w:r>
      <w:r w:rsidRPr="00F16251">
        <w:rPr>
          <w:rFonts w:eastAsia="Calibri" w:cstheme="minorHAnsi"/>
        </w:rPr>
        <w:t>spotkania</w:t>
      </w:r>
      <w:r w:rsidR="003B50ED" w:rsidRPr="00F16251">
        <w:rPr>
          <w:rFonts w:eastAsia="Calibri" w:cstheme="minorHAnsi"/>
        </w:rPr>
        <w:t xml:space="preserve"> </w:t>
      </w:r>
      <w:r w:rsidRPr="00F16251">
        <w:rPr>
          <w:rFonts w:eastAsia="Calibri" w:cstheme="minorHAnsi"/>
        </w:rPr>
        <w:t>jest</w:t>
      </w:r>
      <w:r w:rsidR="003B50ED" w:rsidRPr="00F16251">
        <w:rPr>
          <w:rFonts w:eastAsia="Calibri" w:cstheme="minorHAnsi"/>
        </w:rPr>
        <w:t xml:space="preserve"> </w:t>
      </w:r>
      <w:r w:rsidRPr="00F16251">
        <w:rPr>
          <w:rFonts w:eastAsia="Calibri" w:cstheme="minorHAnsi"/>
        </w:rPr>
        <w:t>sporządzona</w:t>
      </w:r>
      <w:r w:rsidR="003B50ED" w:rsidRPr="00F16251">
        <w:rPr>
          <w:rFonts w:eastAsia="Calibri" w:cstheme="minorHAnsi"/>
        </w:rPr>
        <w:t xml:space="preserve"> </w:t>
      </w:r>
      <w:r w:rsidRPr="00F16251">
        <w:rPr>
          <w:rFonts w:eastAsia="Calibri" w:cstheme="minorHAnsi"/>
        </w:rPr>
        <w:t>notatka</w:t>
      </w:r>
      <w:r w:rsidR="00D02820">
        <w:rPr>
          <w:rFonts w:eastAsia="Calibri" w:cstheme="minorHAnsi"/>
        </w:rPr>
        <w:t>.</w:t>
      </w:r>
    </w:p>
    <w:p w14:paraId="23B62002" w14:textId="4F123708" w:rsidR="00E2372E" w:rsidRPr="00A26C26" w:rsidRDefault="00703ECD" w:rsidP="00A26C26">
      <w:pPr>
        <w:spacing w:line="276" w:lineRule="auto"/>
        <w:ind w:firstLine="284"/>
        <w:jc w:val="both"/>
        <w:rPr>
          <w:rFonts w:eastAsia="Calibri" w:cstheme="minorHAnsi"/>
        </w:rPr>
      </w:pPr>
      <w:r w:rsidRPr="00F16251">
        <w:rPr>
          <w:rFonts w:eastAsia="Calibri" w:cstheme="minorHAnsi"/>
        </w:rPr>
        <w:t>Podczas</w:t>
      </w:r>
      <w:r w:rsidR="003B50ED" w:rsidRPr="00F16251">
        <w:rPr>
          <w:rFonts w:eastAsia="Calibri" w:cstheme="minorHAnsi"/>
        </w:rPr>
        <w:t xml:space="preserve"> </w:t>
      </w:r>
      <w:r w:rsidRPr="00F16251">
        <w:rPr>
          <w:rFonts w:eastAsia="Calibri" w:cstheme="minorHAnsi"/>
        </w:rPr>
        <w:t>warsztatu</w:t>
      </w:r>
      <w:r w:rsidR="003B50ED" w:rsidRPr="00F16251">
        <w:rPr>
          <w:rFonts w:eastAsia="Calibri" w:cstheme="minorHAnsi"/>
        </w:rPr>
        <w:t xml:space="preserve"> </w:t>
      </w:r>
      <w:r w:rsidRPr="00F16251">
        <w:rPr>
          <w:rFonts w:eastAsia="Calibri" w:cstheme="minorHAnsi"/>
        </w:rPr>
        <w:t>dokonano</w:t>
      </w:r>
      <w:r w:rsidR="003B50ED" w:rsidRPr="00F16251">
        <w:rPr>
          <w:rFonts w:eastAsia="Calibri" w:cstheme="minorHAnsi"/>
        </w:rPr>
        <w:t xml:space="preserve"> </w:t>
      </w:r>
      <w:r w:rsidRPr="00F16251">
        <w:rPr>
          <w:rFonts w:eastAsia="Calibri" w:cstheme="minorHAnsi"/>
        </w:rPr>
        <w:t>szczegółowej</w:t>
      </w:r>
      <w:r w:rsidR="003B50ED" w:rsidRPr="00F16251">
        <w:rPr>
          <w:rFonts w:eastAsia="Calibri" w:cstheme="minorHAnsi"/>
        </w:rPr>
        <w:t xml:space="preserve"> </w:t>
      </w:r>
      <w:r w:rsidRPr="00F16251">
        <w:rPr>
          <w:rFonts w:eastAsia="Calibri" w:cstheme="minorHAnsi"/>
        </w:rPr>
        <w:t>analizy</w:t>
      </w:r>
      <w:r w:rsidR="003B50ED" w:rsidRPr="00F16251">
        <w:rPr>
          <w:rFonts w:eastAsia="Calibri" w:cstheme="minorHAnsi"/>
        </w:rPr>
        <w:t xml:space="preserve"> </w:t>
      </w:r>
      <w:r w:rsidRPr="00F16251">
        <w:rPr>
          <w:rFonts w:eastAsia="Calibri" w:cstheme="minorHAnsi"/>
        </w:rPr>
        <w:t>wszystkich</w:t>
      </w:r>
      <w:r w:rsidR="003B50ED" w:rsidRPr="00F16251">
        <w:rPr>
          <w:rFonts w:eastAsia="Calibri" w:cstheme="minorHAnsi"/>
        </w:rPr>
        <w:t xml:space="preserve"> </w:t>
      </w:r>
      <w:r w:rsidRPr="00F16251">
        <w:rPr>
          <w:rFonts w:eastAsia="Calibri" w:cstheme="minorHAnsi"/>
        </w:rPr>
        <w:t>zagadnień</w:t>
      </w:r>
      <w:r w:rsidR="003B50ED" w:rsidRPr="00F16251">
        <w:rPr>
          <w:rFonts w:eastAsia="Calibri" w:cstheme="minorHAnsi"/>
        </w:rPr>
        <w:t xml:space="preserve"> </w:t>
      </w:r>
      <w:r w:rsidRPr="00F16251">
        <w:rPr>
          <w:rFonts w:eastAsia="Calibri" w:cstheme="minorHAnsi"/>
        </w:rPr>
        <w:t>omawianych</w:t>
      </w:r>
      <w:r w:rsidR="003B50ED" w:rsidRPr="00F16251">
        <w:rPr>
          <w:rFonts w:eastAsia="Calibri" w:cstheme="minorHAnsi"/>
        </w:rPr>
        <w:t xml:space="preserve"> </w:t>
      </w:r>
      <w:r w:rsidRPr="00F16251">
        <w:rPr>
          <w:rFonts w:eastAsia="Calibri" w:cstheme="minorHAnsi"/>
        </w:rPr>
        <w:t>na</w:t>
      </w:r>
      <w:r w:rsidR="003B50ED" w:rsidRPr="00F16251">
        <w:rPr>
          <w:rFonts w:eastAsia="Calibri" w:cstheme="minorHAnsi"/>
        </w:rPr>
        <w:t xml:space="preserve"> </w:t>
      </w:r>
      <w:r w:rsidRPr="00F16251">
        <w:rPr>
          <w:rFonts w:eastAsia="Calibri" w:cstheme="minorHAnsi"/>
        </w:rPr>
        <w:t>wcześniejszych</w:t>
      </w:r>
      <w:r w:rsidR="003B50ED" w:rsidRPr="00F16251">
        <w:rPr>
          <w:rFonts w:eastAsia="Calibri" w:cstheme="minorHAnsi"/>
        </w:rPr>
        <w:t xml:space="preserve"> </w:t>
      </w:r>
      <w:r w:rsidRPr="00F16251">
        <w:rPr>
          <w:rFonts w:eastAsia="Calibri" w:cstheme="minorHAnsi"/>
        </w:rPr>
        <w:t>etapach</w:t>
      </w:r>
      <w:r w:rsidR="003B50ED" w:rsidRPr="00F16251">
        <w:rPr>
          <w:rFonts w:eastAsia="Calibri" w:cstheme="minorHAnsi"/>
        </w:rPr>
        <w:t xml:space="preserve"> </w:t>
      </w:r>
      <w:r w:rsidRPr="00F16251">
        <w:rPr>
          <w:rFonts w:eastAsia="Calibri" w:cstheme="minorHAnsi"/>
        </w:rPr>
        <w:t>i</w:t>
      </w:r>
      <w:r w:rsidR="003B50ED" w:rsidRPr="00F16251">
        <w:rPr>
          <w:rFonts w:eastAsia="Calibri" w:cstheme="minorHAnsi"/>
        </w:rPr>
        <w:t xml:space="preserve"> </w:t>
      </w:r>
      <w:r w:rsidRPr="00F16251">
        <w:rPr>
          <w:rFonts w:eastAsia="Calibri" w:cstheme="minorHAnsi"/>
        </w:rPr>
        <w:t>przedstawionych</w:t>
      </w:r>
      <w:r w:rsidR="003B50ED" w:rsidRPr="00F16251">
        <w:rPr>
          <w:rFonts w:eastAsia="Calibri" w:cstheme="minorHAnsi"/>
        </w:rPr>
        <w:t xml:space="preserve"> </w:t>
      </w:r>
      <w:r w:rsidRPr="00F16251">
        <w:rPr>
          <w:rFonts w:eastAsia="Calibri" w:cstheme="minorHAnsi"/>
        </w:rPr>
        <w:t>propozycji.</w:t>
      </w:r>
      <w:r w:rsidR="003B50ED" w:rsidRPr="00F16251">
        <w:rPr>
          <w:rFonts w:eastAsia="Calibri" w:cstheme="minorHAnsi"/>
        </w:rPr>
        <w:t xml:space="preserve"> </w:t>
      </w:r>
      <w:r w:rsidRPr="00F16251">
        <w:rPr>
          <w:rFonts w:eastAsia="Calibri" w:cstheme="minorHAnsi"/>
        </w:rPr>
        <w:t>Przeanalizowano</w:t>
      </w:r>
      <w:r w:rsidR="003B50ED" w:rsidRPr="00F16251">
        <w:rPr>
          <w:rFonts w:eastAsia="Calibri" w:cstheme="minorHAnsi"/>
        </w:rPr>
        <w:t xml:space="preserve"> </w:t>
      </w:r>
      <w:r w:rsidRPr="00F16251">
        <w:rPr>
          <w:rFonts w:eastAsia="Calibri" w:cstheme="minorHAnsi"/>
        </w:rPr>
        <w:t>każdy</w:t>
      </w:r>
      <w:r w:rsidR="003B50ED" w:rsidRPr="00F16251">
        <w:rPr>
          <w:rFonts w:eastAsia="Calibri" w:cstheme="minorHAnsi"/>
        </w:rPr>
        <w:t xml:space="preserve"> </w:t>
      </w:r>
      <w:r w:rsidRPr="00F16251">
        <w:rPr>
          <w:rFonts w:eastAsia="Calibri" w:cstheme="minorHAnsi"/>
        </w:rPr>
        <w:t>element,</w:t>
      </w:r>
      <w:r w:rsidR="003B50ED" w:rsidRPr="00F16251">
        <w:rPr>
          <w:rFonts w:eastAsia="Calibri" w:cstheme="minorHAnsi"/>
        </w:rPr>
        <w:t xml:space="preserve"> </w:t>
      </w:r>
      <w:r w:rsidRPr="00F16251">
        <w:rPr>
          <w:rFonts w:eastAsia="Calibri" w:cstheme="minorHAnsi"/>
        </w:rPr>
        <w:t>który</w:t>
      </w:r>
      <w:r w:rsidR="003B50ED" w:rsidRPr="00F16251">
        <w:rPr>
          <w:rFonts w:eastAsia="Calibri" w:cstheme="minorHAnsi"/>
        </w:rPr>
        <w:t xml:space="preserve"> </w:t>
      </w:r>
      <w:r w:rsidRPr="00F16251">
        <w:rPr>
          <w:rFonts w:eastAsia="Calibri" w:cstheme="minorHAnsi"/>
        </w:rPr>
        <w:t>miał</w:t>
      </w:r>
      <w:r w:rsidR="003B50ED" w:rsidRPr="00F16251">
        <w:rPr>
          <w:rFonts w:eastAsia="Calibri" w:cstheme="minorHAnsi"/>
        </w:rPr>
        <w:t xml:space="preserve"> </w:t>
      </w:r>
      <w:r w:rsidRPr="00F16251">
        <w:rPr>
          <w:rFonts w:eastAsia="Calibri" w:cstheme="minorHAnsi"/>
        </w:rPr>
        <w:t>wpływ</w:t>
      </w:r>
      <w:r w:rsidR="003B50ED" w:rsidRPr="00F16251">
        <w:rPr>
          <w:rFonts w:eastAsia="Calibri" w:cstheme="minorHAnsi"/>
        </w:rPr>
        <w:t xml:space="preserve"> </w:t>
      </w:r>
      <w:r w:rsidRPr="00F16251">
        <w:rPr>
          <w:rFonts w:eastAsia="Calibri" w:cstheme="minorHAnsi"/>
        </w:rPr>
        <w:t>na</w:t>
      </w:r>
      <w:r w:rsidR="003B50ED" w:rsidRPr="00F16251">
        <w:rPr>
          <w:rFonts w:eastAsia="Calibri" w:cstheme="minorHAnsi"/>
        </w:rPr>
        <w:t xml:space="preserve"> </w:t>
      </w:r>
      <w:r w:rsidRPr="00F16251">
        <w:rPr>
          <w:rFonts w:eastAsia="Calibri" w:cstheme="minorHAnsi"/>
        </w:rPr>
        <w:t>strukturę</w:t>
      </w:r>
      <w:r w:rsidR="003B50ED" w:rsidRPr="00F16251">
        <w:rPr>
          <w:rFonts w:eastAsia="Calibri" w:cstheme="minorHAnsi"/>
        </w:rPr>
        <w:t xml:space="preserve"> </w:t>
      </w:r>
      <w:r w:rsidRPr="00F16251">
        <w:rPr>
          <w:rFonts w:eastAsia="Calibri" w:cstheme="minorHAnsi"/>
        </w:rPr>
        <w:t>LSR,</w:t>
      </w:r>
      <w:r w:rsidR="003B50ED" w:rsidRPr="00F16251">
        <w:rPr>
          <w:rFonts w:eastAsia="Calibri" w:cstheme="minorHAnsi"/>
        </w:rPr>
        <w:t xml:space="preserve"> </w:t>
      </w:r>
      <w:r w:rsidRPr="00F16251">
        <w:rPr>
          <w:rFonts w:eastAsia="Calibri" w:cstheme="minorHAnsi"/>
        </w:rPr>
        <w:t>brzmienie</w:t>
      </w:r>
      <w:r w:rsidR="003B50ED" w:rsidRPr="00F16251">
        <w:rPr>
          <w:rFonts w:eastAsia="Calibri" w:cstheme="minorHAnsi"/>
        </w:rPr>
        <w:t xml:space="preserve"> </w:t>
      </w:r>
      <w:r w:rsidRPr="00F16251">
        <w:rPr>
          <w:rFonts w:eastAsia="Calibri" w:cstheme="minorHAnsi"/>
        </w:rPr>
        <w:t>załączników</w:t>
      </w:r>
      <w:r w:rsidR="003B50ED" w:rsidRPr="00F16251">
        <w:rPr>
          <w:rFonts w:eastAsia="Calibri" w:cstheme="minorHAnsi"/>
        </w:rPr>
        <w:t xml:space="preserve"> </w:t>
      </w:r>
      <w:r w:rsidRPr="00F16251">
        <w:rPr>
          <w:rFonts w:eastAsia="Calibri" w:cstheme="minorHAnsi"/>
        </w:rPr>
        <w:t>czy</w:t>
      </w:r>
      <w:r w:rsidR="003B50ED" w:rsidRPr="00F16251">
        <w:rPr>
          <w:rFonts w:eastAsia="Calibri" w:cstheme="minorHAnsi"/>
        </w:rPr>
        <w:t xml:space="preserve"> </w:t>
      </w:r>
      <w:r w:rsidRPr="00F16251">
        <w:rPr>
          <w:rFonts w:eastAsia="Calibri" w:cstheme="minorHAnsi"/>
        </w:rPr>
        <w:t>spełnienie</w:t>
      </w:r>
      <w:r w:rsidR="003B50ED" w:rsidRPr="00F16251">
        <w:rPr>
          <w:rFonts w:eastAsia="Calibri" w:cstheme="minorHAnsi"/>
        </w:rPr>
        <w:t xml:space="preserve"> </w:t>
      </w:r>
      <w:r w:rsidRPr="00F16251">
        <w:rPr>
          <w:rFonts w:eastAsia="Calibri" w:cstheme="minorHAnsi"/>
        </w:rPr>
        <w:t>warunków</w:t>
      </w:r>
      <w:r w:rsidR="003B50ED" w:rsidRPr="00F16251">
        <w:rPr>
          <w:rFonts w:eastAsia="Calibri" w:cstheme="minorHAnsi"/>
        </w:rPr>
        <w:t xml:space="preserve"> </w:t>
      </w:r>
      <w:r w:rsidRPr="00F16251">
        <w:rPr>
          <w:rFonts w:eastAsia="Calibri" w:cstheme="minorHAnsi"/>
        </w:rPr>
        <w:t>formalnych</w:t>
      </w:r>
      <w:r w:rsidR="003B50ED" w:rsidRPr="00F16251">
        <w:rPr>
          <w:rFonts w:eastAsia="Calibri" w:cstheme="minorHAnsi"/>
        </w:rPr>
        <w:t xml:space="preserve"> </w:t>
      </w:r>
      <w:r w:rsidRPr="00F16251">
        <w:rPr>
          <w:rFonts w:eastAsia="Calibri" w:cstheme="minorHAnsi"/>
        </w:rPr>
        <w:t>i</w:t>
      </w:r>
      <w:r w:rsidR="003B50ED" w:rsidRPr="00F16251">
        <w:rPr>
          <w:rFonts w:eastAsia="Calibri" w:cstheme="minorHAnsi"/>
        </w:rPr>
        <w:t xml:space="preserve"> </w:t>
      </w:r>
      <w:r w:rsidRPr="00F16251">
        <w:rPr>
          <w:rFonts w:eastAsia="Calibri" w:cstheme="minorHAnsi"/>
        </w:rPr>
        <w:t>kryteriów</w:t>
      </w:r>
      <w:r w:rsidR="003B50ED" w:rsidRPr="00F16251">
        <w:rPr>
          <w:rFonts w:eastAsia="Calibri" w:cstheme="minorHAnsi"/>
        </w:rPr>
        <w:t xml:space="preserve"> </w:t>
      </w:r>
      <w:r w:rsidRPr="00F16251">
        <w:rPr>
          <w:rFonts w:eastAsia="Calibri" w:cstheme="minorHAnsi"/>
        </w:rPr>
        <w:t>wyboru</w:t>
      </w:r>
      <w:r w:rsidR="003B50ED" w:rsidRPr="00F16251">
        <w:rPr>
          <w:rFonts w:eastAsia="Calibri" w:cstheme="minorHAnsi"/>
        </w:rPr>
        <w:t xml:space="preserve"> </w:t>
      </w:r>
      <w:r w:rsidRPr="00F16251">
        <w:rPr>
          <w:rFonts w:eastAsia="Calibri" w:cstheme="minorHAnsi"/>
        </w:rPr>
        <w:t>LSR</w:t>
      </w:r>
      <w:r w:rsidR="003B50ED" w:rsidRPr="00F16251">
        <w:rPr>
          <w:rFonts w:eastAsia="Calibri" w:cstheme="minorHAnsi"/>
        </w:rPr>
        <w:t xml:space="preserve"> </w:t>
      </w:r>
      <w:r w:rsidRPr="00F16251">
        <w:rPr>
          <w:rFonts w:eastAsia="Calibri" w:cstheme="minorHAnsi"/>
        </w:rPr>
        <w:t>określonych</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dokumentacji</w:t>
      </w:r>
      <w:r w:rsidR="003B50ED" w:rsidRPr="00F16251">
        <w:rPr>
          <w:rFonts w:eastAsia="Calibri" w:cstheme="minorHAnsi"/>
        </w:rPr>
        <w:t xml:space="preserve"> </w:t>
      </w:r>
      <w:r w:rsidRPr="00F16251">
        <w:rPr>
          <w:rFonts w:eastAsia="Calibri" w:cstheme="minorHAnsi"/>
        </w:rPr>
        <w:t>konkursowej</w:t>
      </w:r>
      <w:r w:rsidRPr="00A26C26">
        <w:rPr>
          <w:rFonts w:eastAsia="Calibri" w:cstheme="minorHAnsi"/>
        </w:rPr>
        <w:t>.</w:t>
      </w:r>
      <w:r w:rsidR="003B50ED">
        <w:rPr>
          <w:rFonts w:eastAsia="Calibri" w:cstheme="minorHAnsi"/>
        </w:rPr>
        <w:t xml:space="preserve"> </w:t>
      </w:r>
    </w:p>
    <w:p w14:paraId="1CF6A2FA" w14:textId="28568314" w:rsidR="00E2372E" w:rsidRPr="00A26C26" w:rsidRDefault="00703ECD" w:rsidP="00A26C26">
      <w:pPr>
        <w:spacing w:line="276" w:lineRule="auto"/>
        <w:ind w:firstLine="284"/>
        <w:jc w:val="both"/>
        <w:rPr>
          <w:rFonts w:eastAsia="Calibri" w:cstheme="minorHAnsi"/>
        </w:rPr>
      </w:pPr>
      <w:r w:rsidRPr="00A26C26">
        <w:rPr>
          <w:rFonts w:eastAsia="Calibri" w:cstheme="minorHAnsi"/>
        </w:rPr>
        <w:t>LGD</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celu</w:t>
      </w:r>
      <w:r w:rsidR="003B50ED">
        <w:rPr>
          <w:rFonts w:eastAsia="Calibri" w:cstheme="minorHAnsi"/>
        </w:rPr>
        <w:t xml:space="preserve"> </w:t>
      </w:r>
      <w:r w:rsidRPr="00A26C26">
        <w:rPr>
          <w:rFonts w:eastAsia="Calibri" w:cstheme="minorHAnsi"/>
        </w:rPr>
        <w:t>dokonania</w:t>
      </w:r>
      <w:r w:rsidR="003B50ED">
        <w:rPr>
          <w:rFonts w:eastAsia="Calibri" w:cstheme="minorHAnsi"/>
        </w:rPr>
        <w:t xml:space="preserve"> </w:t>
      </w:r>
      <w:r w:rsidRPr="00A26C26">
        <w:rPr>
          <w:rFonts w:eastAsia="Calibri" w:cstheme="minorHAnsi"/>
        </w:rPr>
        <w:t>analizy</w:t>
      </w:r>
      <w:r w:rsidR="003B50ED">
        <w:rPr>
          <w:rFonts w:eastAsia="Calibri" w:cstheme="minorHAnsi"/>
        </w:rPr>
        <w:t xml:space="preserve"> </w:t>
      </w:r>
      <w:r w:rsidRPr="00A26C26">
        <w:rPr>
          <w:rFonts w:eastAsia="Calibri" w:cstheme="minorHAnsi"/>
        </w:rPr>
        <w:t>potrzeb</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potencjału</w:t>
      </w:r>
      <w:r w:rsidR="003B50ED">
        <w:rPr>
          <w:rFonts w:eastAsia="Calibri" w:cstheme="minorHAnsi"/>
        </w:rPr>
        <w:t xml:space="preserve"> </w:t>
      </w:r>
      <w:r w:rsidRPr="00A26C26">
        <w:rPr>
          <w:rFonts w:eastAsia="Calibri" w:cstheme="minorHAnsi"/>
        </w:rPr>
        <w:t>obszaru</w:t>
      </w:r>
      <w:r w:rsidR="003B50ED">
        <w:rPr>
          <w:rFonts w:eastAsia="Calibri" w:cstheme="minorHAnsi"/>
        </w:rPr>
        <w:t xml:space="preserve"> </w:t>
      </w:r>
      <w:r w:rsidRPr="00A26C26">
        <w:rPr>
          <w:rFonts w:eastAsia="Calibri" w:cstheme="minorHAnsi"/>
        </w:rPr>
        <w:t>LSR</w:t>
      </w:r>
      <w:r w:rsidR="003B50ED">
        <w:rPr>
          <w:rFonts w:eastAsia="Calibri" w:cstheme="minorHAnsi"/>
        </w:rPr>
        <w:t xml:space="preserve"> </w:t>
      </w:r>
      <w:r w:rsidRPr="00A26C26">
        <w:rPr>
          <w:rFonts w:eastAsia="Calibri" w:cstheme="minorHAnsi"/>
        </w:rPr>
        <w:t>wykorzystała</w:t>
      </w:r>
      <w:r w:rsidR="003B50ED">
        <w:rPr>
          <w:rFonts w:eastAsia="Calibri" w:cstheme="minorHAnsi"/>
        </w:rPr>
        <w:t xml:space="preserve"> </w:t>
      </w:r>
      <w:r w:rsidRPr="00A26C26">
        <w:rPr>
          <w:rFonts w:eastAsia="Calibri" w:cstheme="minorHAnsi"/>
        </w:rPr>
        <w:t>również</w:t>
      </w:r>
      <w:r w:rsidR="003B50ED">
        <w:rPr>
          <w:rFonts w:eastAsia="Calibri" w:cstheme="minorHAnsi"/>
        </w:rPr>
        <w:t xml:space="preserve"> </w:t>
      </w:r>
      <w:r w:rsidRPr="00A26C26">
        <w:rPr>
          <w:rFonts w:eastAsia="Calibri" w:cstheme="minorHAnsi"/>
        </w:rPr>
        <w:t>metody</w:t>
      </w:r>
      <w:r w:rsidR="003B50ED">
        <w:rPr>
          <w:rFonts w:eastAsia="Calibri" w:cstheme="minorHAnsi"/>
        </w:rPr>
        <w:t xml:space="preserve"> </w:t>
      </w:r>
      <w:r w:rsidRPr="00A26C26">
        <w:rPr>
          <w:rFonts w:eastAsia="Calibri" w:cstheme="minorHAnsi"/>
        </w:rPr>
        <w:t>jakościowe</w:t>
      </w:r>
      <w:r w:rsidR="003B50ED">
        <w:rPr>
          <w:rFonts w:eastAsia="Calibri" w:cstheme="minorHAnsi"/>
        </w:rPr>
        <w:t xml:space="preserve"> </w:t>
      </w:r>
      <w:r w:rsidRPr="00A26C26">
        <w:rPr>
          <w:rFonts w:eastAsia="Calibri" w:cstheme="minorHAnsi"/>
        </w:rPr>
        <w:t>takie</w:t>
      </w:r>
      <w:r w:rsidR="003B50ED">
        <w:rPr>
          <w:rFonts w:eastAsia="Calibri" w:cstheme="minorHAnsi"/>
        </w:rPr>
        <w:t xml:space="preserve"> </w:t>
      </w:r>
      <w:r w:rsidR="00E2372E" w:rsidRPr="00A26C26">
        <w:rPr>
          <w:rFonts w:eastAsia="Calibri" w:cstheme="minorHAnsi"/>
          <w:b/>
          <w:bCs/>
        </w:rPr>
        <w:t>wywiady</w:t>
      </w:r>
      <w:r w:rsidR="003B50ED">
        <w:rPr>
          <w:rFonts w:eastAsia="Calibri" w:cstheme="minorHAnsi"/>
          <w:b/>
          <w:bCs/>
        </w:rPr>
        <w:t xml:space="preserve"> </w:t>
      </w:r>
      <w:r w:rsidR="00E2372E" w:rsidRPr="00A26C26">
        <w:rPr>
          <w:rFonts w:eastAsia="Calibri" w:cstheme="minorHAnsi"/>
          <w:b/>
          <w:bCs/>
        </w:rPr>
        <w:t>fokusowe</w:t>
      </w:r>
      <w:r w:rsidR="003B50ED">
        <w:rPr>
          <w:rFonts w:eastAsia="Calibri" w:cstheme="minorHAnsi"/>
          <w:b/>
          <w:bCs/>
        </w:rPr>
        <w:t xml:space="preserve"> </w:t>
      </w:r>
      <w:r w:rsidR="00E2372E" w:rsidRPr="00A26C26">
        <w:rPr>
          <w:rFonts w:eastAsia="Calibri" w:cstheme="minorHAnsi"/>
          <w:b/>
          <w:bCs/>
        </w:rPr>
        <w:t>/</w:t>
      </w:r>
      <w:r w:rsidR="003B50ED">
        <w:rPr>
          <w:rFonts w:eastAsia="Calibri" w:cstheme="minorHAnsi"/>
          <w:b/>
          <w:bCs/>
        </w:rPr>
        <w:t xml:space="preserve"> </w:t>
      </w:r>
      <w:r w:rsidR="00E2372E" w:rsidRPr="00A26C26">
        <w:rPr>
          <w:rFonts w:eastAsia="Calibri" w:cstheme="minorHAnsi"/>
          <w:b/>
          <w:bCs/>
        </w:rPr>
        <w:t>wywiady</w:t>
      </w:r>
      <w:r w:rsidR="003B50ED">
        <w:rPr>
          <w:rFonts w:eastAsia="Calibri" w:cstheme="minorHAnsi"/>
          <w:b/>
          <w:bCs/>
        </w:rPr>
        <w:t xml:space="preserve"> </w:t>
      </w:r>
      <w:r w:rsidR="00E2372E" w:rsidRPr="00A26C26">
        <w:rPr>
          <w:rFonts w:eastAsia="Calibri" w:cstheme="minorHAnsi"/>
          <w:b/>
          <w:bCs/>
        </w:rPr>
        <w:t>indywidualne</w:t>
      </w:r>
      <w:r w:rsidR="003B50ED">
        <w:rPr>
          <w:rFonts w:eastAsia="Calibri" w:cstheme="minorHAnsi"/>
          <w:b/>
          <w:bCs/>
        </w:rPr>
        <w:t xml:space="preserve"> </w:t>
      </w:r>
      <w:r w:rsidR="00DC1705" w:rsidRPr="00A26C26">
        <w:rPr>
          <w:rFonts w:eastAsia="Calibri" w:cstheme="minorHAnsi"/>
          <w:b/>
          <w:bCs/>
        </w:rPr>
        <w:t>wsparte</w:t>
      </w:r>
      <w:r w:rsidR="003B50ED">
        <w:rPr>
          <w:rFonts w:eastAsia="Calibri" w:cstheme="minorHAnsi"/>
          <w:b/>
          <w:bCs/>
        </w:rPr>
        <w:t xml:space="preserve"> </w:t>
      </w:r>
      <w:r w:rsidR="00DC1705" w:rsidRPr="00A26C26">
        <w:rPr>
          <w:rFonts w:eastAsia="Calibri" w:cstheme="minorHAnsi"/>
          <w:b/>
          <w:bCs/>
        </w:rPr>
        <w:t>spotkaniami</w:t>
      </w:r>
      <w:r w:rsidR="003B50ED">
        <w:rPr>
          <w:rFonts w:eastAsia="Calibri" w:cstheme="minorHAnsi"/>
          <w:b/>
          <w:bCs/>
        </w:rPr>
        <w:t xml:space="preserve"> </w:t>
      </w:r>
      <w:r w:rsidR="00E2372E" w:rsidRPr="00A26C26">
        <w:rPr>
          <w:rFonts w:eastAsia="Calibri" w:cstheme="minorHAnsi"/>
          <w:b/>
          <w:bCs/>
        </w:rPr>
        <w:t>zespołów</w:t>
      </w:r>
      <w:r w:rsidR="003B50ED">
        <w:rPr>
          <w:rFonts w:eastAsia="Calibri" w:cstheme="minorHAnsi"/>
          <w:b/>
          <w:bCs/>
        </w:rPr>
        <w:t xml:space="preserve"> </w:t>
      </w:r>
      <w:r w:rsidR="00E2372E" w:rsidRPr="00A26C26">
        <w:rPr>
          <w:rFonts w:eastAsia="Calibri" w:cstheme="minorHAnsi"/>
          <w:b/>
          <w:bCs/>
        </w:rPr>
        <w:t>roboczych</w:t>
      </w:r>
      <w:r w:rsidR="003B50ED">
        <w:rPr>
          <w:rFonts w:eastAsia="Calibri" w:cstheme="minorHAnsi"/>
          <w:b/>
          <w:bCs/>
        </w:rPr>
        <w:t xml:space="preserve"> </w:t>
      </w:r>
      <w:r w:rsidR="00E2372E" w:rsidRPr="00A26C26">
        <w:rPr>
          <w:rFonts w:eastAsia="Calibri" w:cstheme="minorHAnsi"/>
          <w:b/>
          <w:bCs/>
        </w:rPr>
        <w:t>ds.</w:t>
      </w:r>
      <w:r w:rsidR="003B50ED">
        <w:rPr>
          <w:rFonts w:eastAsia="Calibri" w:cstheme="minorHAnsi"/>
          <w:b/>
          <w:bCs/>
        </w:rPr>
        <w:t xml:space="preserve"> </w:t>
      </w:r>
      <w:r w:rsidR="00E2372E" w:rsidRPr="00A26C26">
        <w:rPr>
          <w:rFonts w:eastAsia="Calibri" w:cstheme="minorHAnsi"/>
          <w:b/>
          <w:bCs/>
        </w:rPr>
        <w:t>LSR.</w:t>
      </w:r>
      <w:r w:rsidR="003B50ED">
        <w:rPr>
          <w:rFonts w:eastAsia="Calibri" w:cstheme="minorHAnsi"/>
          <w:b/>
          <w:bCs/>
        </w:rPr>
        <w:t xml:space="preserve"> </w:t>
      </w:r>
      <w:r w:rsidR="00DC1705" w:rsidRPr="00A26C26">
        <w:rPr>
          <w:rFonts w:eastAsia="Calibri" w:cstheme="minorHAnsi"/>
        </w:rPr>
        <w:t>Wywiady</w:t>
      </w:r>
      <w:r w:rsidR="003B50ED">
        <w:rPr>
          <w:rFonts w:eastAsia="Calibri" w:cstheme="minorHAnsi"/>
        </w:rPr>
        <w:t xml:space="preserve"> </w:t>
      </w:r>
      <w:r w:rsidR="00DC1705" w:rsidRPr="00A26C26">
        <w:rPr>
          <w:rFonts w:eastAsia="Calibri" w:cstheme="minorHAnsi"/>
        </w:rPr>
        <w:t>fokusowe</w:t>
      </w:r>
      <w:r w:rsidR="003B50ED">
        <w:rPr>
          <w:rFonts w:eastAsia="Calibri" w:cstheme="minorHAnsi"/>
        </w:rPr>
        <w:t xml:space="preserve"> </w:t>
      </w:r>
      <w:r w:rsidR="00DC1705" w:rsidRPr="00A26C26">
        <w:rPr>
          <w:rFonts w:eastAsia="Calibri" w:cstheme="minorHAnsi"/>
        </w:rPr>
        <w:t>i</w:t>
      </w:r>
      <w:r w:rsidR="003B50ED">
        <w:rPr>
          <w:rFonts w:eastAsia="Calibri" w:cstheme="minorHAnsi"/>
        </w:rPr>
        <w:t xml:space="preserve"> </w:t>
      </w:r>
      <w:r w:rsidR="00DC1705" w:rsidRPr="00A26C26">
        <w:rPr>
          <w:rFonts w:eastAsia="Calibri" w:cstheme="minorHAnsi"/>
        </w:rPr>
        <w:t>indywidualne</w:t>
      </w:r>
      <w:r w:rsidR="003B50ED">
        <w:rPr>
          <w:rFonts w:eastAsia="Calibri" w:cstheme="minorHAnsi"/>
          <w:b/>
          <w:bCs/>
        </w:rPr>
        <w:t xml:space="preserve"> </w:t>
      </w:r>
      <w:r w:rsidR="00E2372E" w:rsidRPr="00A26C26">
        <w:rPr>
          <w:rFonts w:eastAsia="Calibri" w:cstheme="minorHAnsi"/>
        </w:rPr>
        <w:t>pozwoliły</w:t>
      </w:r>
      <w:r w:rsidR="003B50ED">
        <w:rPr>
          <w:rFonts w:eastAsia="Calibri" w:cstheme="minorHAnsi"/>
        </w:rPr>
        <w:t xml:space="preserve"> </w:t>
      </w:r>
      <w:r w:rsidR="00E2372E" w:rsidRPr="00A26C26">
        <w:rPr>
          <w:rFonts w:eastAsia="Calibri" w:cstheme="minorHAnsi"/>
        </w:rPr>
        <w:t>na</w:t>
      </w:r>
      <w:r w:rsidR="003B50ED">
        <w:rPr>
          <w:rFonts w:eastAsia="Calibri" w:cstheme="minorHAnsi"/>
        </w:rPr>
        <w:t xml:space="preserve"> </w:t>
      </w:r>
      <w:r w:rsidR="00E2372E" w:rsidRPr="00A26C26">
        <w:rPr>
          <w:rFonts w:eastAsia="Calibri" w:cstheme="minorHAnsi"/>
        </w:rPr>
        <w:t>aktywne</w:t>
      </w:r>
      <w:r w:rsidR="003B50ED">
        <w:rPr>
          <w:rFonts w:eastAsia="Calibri" w:cstheme="minorHAnsi"/>
        </w:rPr>
        <w:t xml:space="preserve"> </w:t>
      </w:r>
      <w:r w:rsidR="00E2372E" w:rsidRPr="00A26C26">
        <w:rPr>
          <w:rFonts w:eastAsia="Calibri" w:cstheme="minorHAnsi"/>
        </w:rPr>
        <w:t>zaangażowanie</w:t>
      </w:r>
      <w:r w:rsidR="003B50ED">
        <w:rPr>
          <w:rFonts w:eastAsia="Calibri" w:cstheme="minorHAnsi"/>
        </w:rPr>
        <w:t xml:space="preserve"> </w:t>
      </w:r>
      <w:r w:rsidR="00E2372E" w:rsidRPr="00A26C26">
        <w:rPr>
          <w:rFonts w:eastAsia="Calibri" w:cstheme="minorHAnsi"/>
        </w:rPr>
        <w:t>osób</w:t>
      </w:r>
      <w:r w:rsidR="003B50ED">
        <w:rPr>
          <w:rFonts w:eastAsia="Calibri" w:cstheme="minorHAnsi"/>
        </w:rPr>
        <w:t xml:space="preserve"> </w:t>
      </w:r>
      <w:r w:rsidR="00E2372E" w:rsidRPr="00A26C26">
        <w:rPr>
          <w:rFonts w:eastAsia="Calibri" w:cstheme="minorHAnsi"/>
        </w:rPr>
        <w:t>merytorycznie</w:t>
      </w:r>
      <w:r w:rsidR="003B50ED">
        <w:rPr>
          <w:rFonts w:eastAsia="Calibri" w:cstheme="minorHAnsi"/>
        </w:rPr>
        <w:t xml:space="preserve"> </w:t>
      </w:r>
      <w:r w:rsidR="00E2372E" w:rsidRPr="00A26C26">
        <w:rPr>
          <w:rFonts w:eastAsia="Calibri" w:cstheme="minorHAnsi"/>
        </w:rPr>
        <w:t>przygotowanych</w:t>
      </w:r>
      <w:r w:rsidR="003B50ED">
        <w:rPr>
          <w:rFonts w:eastAsia="Calibri" w:cstheme="minorHAnsi"/>
        </w:rPr>
        <w:t xml:space="preserve"> </w:t>
      </w:r>
      <w:r w:rsidR="00E2372E" w:rsidRPr="00A26C26">
        <w:rPr>
          <w:rFonts w:eastAsia="Calibri" w:cstheme="minorHAnsi"/>
        </w:rPr>
        <w:t>w</w:t>
      </w:r>
      <w:r w:rsidR="003B50ED">
        <w:rPr>
          <w:rFonts w:eastAsia="Calibri" w:cstheme="minorHAnsi"/>
        </w:rPr>
        <w:t xml:space="preserve"> </w:t>
      </w:r>
      <w:r w:rsidR="00E2372E" w:rsidRPr="00A26C26">
        <w:rPr>
          <w:rFonts w:eastAsia="Calibri" w:cstheme="minorHAnsi"/>
        </w:rPr>
        <w:t>konkretnych</w:t>
      </w:r>
      <w:r w:rsidR="003B50ED">
        <w:rPr>
          <w:rFonts w:eastAsia="Calibri" w:cstheme="minorHAnsi"/>
        </w:rPr>
        <w:t xml:space="preserve"> </w:t>
      </w:r>
      <w:r w:rsidR="00E2372E" w:rsidRPr="00A26C26">
        <w:rPr>
          <w:rFonts w:eastAsia="Calibri" w:cstheme="minorHAnsi"/>
        </w:rPr>
        <w:t>tematach</w:t>
      </w:r>
      <w:r w:rsidR="003B50ED">
        <w:rPr>
          <w:rFonts w:eastAsia="Calibri" w:cstheme="minorHAnsi"/>
        </w:rPr>
        <w:t xml:space="preserve"> </w:t>
      </w:r>
      <w:r w:rsidR="00E2372E" w:rsidRPr="00A26C26">
        <w:rPr>
          <w:rFonts w:eastAsia="Calibri" w:cstheme="minorHAnsi"/>
        </w:rPr>
        <w:t>dotyczących</w:t>
      </w:r>
      <w:r w:rsidR="003B50ED">
        <w:rPr>
          <w:rFonts w:eastAsia="Calibri" w:cstheme="minorHAnsi"/>
        </w:rPr>
        <w:t xml:space="preserve"> </w:t>
      </w:r>
      <w:r w:rsidR="00E2372E" w:rsidRPr="00A26C26">
        <w:rPr>
          <w:rFonts w:eastAsia="Calibri" w:cstheme="minorHAnsi"/>
        </w:rPr>
        <w:t>LSR.</w:t>
      </w:r>
      <w:r w:rsidR="003B50ED">
        <w:rPr>
          <w:rFonts w:eastAsia="Calibri" w:cstheme="minorHAnsi"/>
        </w:rPr>
        <w:t xml:space="preserve"> </w:t>
      </w:r>
      <w:r w:rsidR="00E2372E" w:rsidRPr="00A26C26">
        <w:rPr>
          <w:rFonts w:eastAsia="Calibri" w:cstheme="minorHAnsi"/>
        </w:rPr>
        <w:t>Natomiast</w:t>
      </w:r>
      <w:r w:rsidR="003B50ED">
        <w:rPr>
          <w:rFonts w:eastAsia="Calibri" w:cstheme="minorHAnsi"/>
        </w:rPr>
        <w:t xml:space="preserve"> </w:t>
      </w:r>
      <w:r w:rsidR="00E2372E" w:rsidRPr="00A26C26">
        <w:rPr>
          <w:rFonts w:eastAsia="Calibri" w:cstheme="minorHAnsi"/>
        </w:rPr>
        <w:t>rozmowy</w:t>
      </w:r>
      <w:r w:rsidR="003B50ED">
        <w:rPr>
          <w:rFonts w:eastAsia="Calibri" w:cstheme="minorHAnsi"/>
        </w:rPr>
        <w:t xml:space="preserve"> </w:t>
      </w:r>
      <w:r w:rsidR="00E2372E" w:rsidRPr="00A26C26">
        <w:rPr>
          <w:rFonts w:eastAsia="Calibri" w:cstheme="minorHAnsi"/>
        </w:rPr>
        <w:t>indywidualne</w:t>
      </w:r>
      <w:r w:rsidR="003B50ED">
        <w:rPr>
          <w:rFonts w:eastAsia="Calibri" w:cstheme="minorHAnsi"/>
        </w:rPr>
        <w:t xml:space="preserve"> </w:t>
      </w:r>
      <w:r w:rsidR="00E2372E" w:rsidRPr="00A26C26">
        <w:rPr>
          <w:rFonts w:eastAsia="Calibri" w:cstheme="minorHAnsi"/>
        </w:rPr>
        <w:t>uzupełniały</w:t>
      </w:r>
      <w:r w:rsidR="003B50ED">
        <w:rPr>
          <w:rFonts w:eastAsia="Calibri" w:cstheme="minorHAnsi"/>
        </w:rPr>
        <w:t xml:space="preserve"> </w:t>
      </w:r>
      <w:r w:rsidR="00E2372E" w:rsidRPr="00A26C26">
        <w:rPr>
          <w:rFonts w:eastAsia="Calibri" w:cstheme="minorHAnsi"/>
        </w:rPr>
        <w:t>wywiady</w:t>
      </w:r>
      <w:r w:rsidR="003B50ED">
        <w:rPr>
          <w:rFonts w:eastAsia="Calibri" w:cstheme="minorHAnsi"/>
        </w:rPr>
        <w:t xml:space="preserve"> </w:t>
      </w:r>
      <w:r w:rsidR="00E2372E" w:rsidRPr="00A26C26">
        <w:rPr>
          <w:rFonts w:eastAsia="Calibri" w:cstheme="minorHAnsi"/>
        </w:rPr>
        <w:t>fokusowe,</w:t>
      </w:r>
      <w:r w:rsidR="003B50ED">
        <w:rPr>
          <w:rFonts w:eastAsia="Calibri" w:cstheme="minorHAnsi"/>
        </w:rPr>
        <w:t xml:space="preserve"> </w:t>
      </w:r>
      <w:r w:rsidR="00E2372E" w:rsidRPr="00A26C26">
        <w:rPr>
          <w:rFonts w:eastAsia="Calibri" w:cstheme="minorHAnsi"/>
        </w:rPr>
        <w:t>umożliwiając</w:t>
      </w:r>
      <w:r w:rsidR="003B50ED">
        <w:rPr>
          <w:rFonts w:eastAsia="Calibri" w:cstheme="minorHAnsi"/>
        </w:rPr>
        <w:t xml:space="preserve"> </w:t>
      </w:r>
      <w:r w:rsidR="00E2372E" w:rsidRPr="00A26C26">
        <w:rPr>
          <w:rFonts w:eastAsia="Calibri" w:cstheme="minorHAnsi"/>
        </w:rPr>
        <w:t>indywidualne</w:t>
      </w:r>
      <w:r w:rsidR="003B50ED">
        <w:rPr>
          <w:rFonts w:eastAsia="Calibri" w:cstheme="minorHAnsi"/>
        </w:rPr>
        <w:t xml:space="preserve"> </w:t>
      </w:r>
      <w:r w:rsidR="00E2372E" w:rsidRPr="00A26C26">
        <w:rPr>
          <w:rFonts w:eastAsia="Calibri" w:cstheme="minorHAnsi"/>
        </w:rPr>
        <w:t>wyrażenie</w:t>
      </w:r>
      <w:r w:rsidR="003B50ED">
        <w:rPr>
          <w:rFonts w:eastAsia="Calibri" w:cstheme="minorHAnsi"/>
        </w:rPr>
        <w:t xml:space="preserve"> </w:t>
      </w:r>
      <w:r w:rsidR="00E2372E" w:rsidRPr="00A26C26">
        <w:rPr>
          <w:rFonts w:eastAsia="Calibri" w:cstheme="minorHAnsi"/>
        </w:rPr>
        <w:t>opinii</w:t>
      </w:r>
      <w:r w:rsidR="003B50ED">
        <w:rPr>
          <w:rFonts w:eastAsia="Calibri" w:cstheme="minorHAnsi"/>
        </w:rPr>
        <w:t xml:space="preserve"> </w:t>
      </w:r>
      <w:r w:rsidR="00E2372E" w:rsidRPr="00A26C26">
        <w:rPr>
          <w:rFonts w:eastAsia="Calibri" w:cstheme="minorHAnsi"/>
        </w:rPr>
        <w:t>i</w:t>
      </w:r>
      <w:r w:rsidR="003B50ED">
        <w:rPr>
          <w:rFonts w:eastAsia="Calibri" w:cstheme="minorHAnsi"/>
        </w:rPr>
        <w:t xml:space="preserve"> </w:t>
      </w:r>
      <w:r w:rsidR="003260B4">
        <w:rPr>
          <w:rFonts w:eastAsia="Calibri" w:cstheme="minorHAnsi"/>
        </w:rPr>
        <w:t xml:space="preserve">zgłoszenie </w:t>
      </w:r>
      <w:r w:rsidR="00E2372E" w:rsidRPr="00A26C26">
        <w:rPr>
          <w:rFonts w:eastAsia="Calibri" w:cstheme="minorHAnsi"/>
        </w:rPr>
        <w:t>uwag</w:t>
      </w:r>
      <w:r w:rsidR="003B50ED">
        <w:rPr>
          <w:rFonts w:eastAsia="Calibri" w:cstheme="minorHAnsi"/>
        </w:rPr>
        <w:t xml:space="preserve"> </w:t>
      </w:r>
      <w:r w:rsidR="003260B4">
        <w:rPr>
          <w:rFonts w:eastAsia="Calibri" w:cstheme="minorHAnsi"/>
        </w:rPr>
        <w:t xml:space="preserve">przez </w:t>
      </w:r>
      <w:r w:rsidR="00E2372E" w:rsidRPr="00A26C26">
        <w:rPr>
          <w:rFonts w:eastAsia="Calibri" w:cstheme="minorHAnsi"/>
        </w:rPr>
        <w:t>uczestników.</w:t>
      </w:r>
      <w:r w:rsidR="003B50ED">
        <w:rPr>
          <w:rFonts w:eastAsia="Calibri" w:cstheme="minorHAnsi"/>
        </w:rPr>
        <w:t xml:space="preserve"> </w:t>
      </w:r>
      <w:r w:rsidR="00AA6325" w:rsidRPr="00A26C26">
        <w:rPr>
          <w:rFonts w:eastAsia="Calibri" w:cstheme="minorHAnsi"/>
        </w:rPr>
        <w:t>Z</w:t>
      </w:r>
      <w:r w:rsidR="003B50ED">
        <w:rPr>
          <w:rFonts w:eastAsia="Calibri" w:cstheme="minorHAnsi"/>
        </w:rPr>
        <w:t xml:space="preserve"> </w:t>
      </w:r>
      <w:r w:rsidR="00AA6325" w:rsidRPr="00A26C26">
        <w:rPr>
          <w:rFonts w:eastAsia="Calibri" w:cstheme="minorHAnsi"/>
        </w:rPr>
        <w:t>kolei</w:t>
      </w:r>
      <w:r w:rsidR="003B50ED">
        <w:rPr>
          <w:rFonts w:eastAsia="Calibri" w:cstheme="minorHAnsi"/>
        </w:rPr>
        <w:t xml:space="preserve"> </w:t>
      </w:r>
      <w:r w:rsidR="00AA6325" w:rsidRPr="00A26C26">
        <w:rPr>
          <w:rFonts w:eastAsia="Calibri" w:cstheme="minorHAnsi"/>
        </w:rPr>
        <w:t>uczestnicy</w:t>
      </w:r>
      <w:r w:rsidR="003B50ED">
        <w:rPr>
          <w:rFonts w:eastAsia="Calibri" w:cstheme="minorHAnsi"/>
        </w:rPr>
        <w:t xml:space="preserve"> </w:t>
      </w:r>
      <w:r w:rsidR="00DC1705" w:rsidRPr="00A26C26">
        <w:rPr>
          <w:rFonts w:eastAsia="Calibri" w:cstheme="minorHAnsi"/>
        </w:rPr>
        <w:t>spotkań</w:t>
      </w:r>
      <w:r w:rsidR="003B50ED">
        <w:rPr>
          <w:rFonts w:eastAsia="Calibri" w:cstheme="minorHAnsi"/>
        </w:rPr>
        <w:t xml:space="preserve"> </w:t>
      </w:r>
      <w:r w:rsidR="00DC1705" w:rsidRPr="00A26C26">
        <w:rPr>
          <w:rFonts w:eastAsia="Calibri" w:cstheme="minorHAnsi"/>
        </w:rPr>
        <w:t>zespołów</w:t>
      </w:r>
      <w:r w:rsidR="003B50ED">
        <w:rPr>
          <w:rFonts w:eastAsia="Calibri" w:cstheme="minorHAnsi"/>
        </w:rPr>
        <w:t xml:space="preserve"> </w:t>
      </w:r>
      <w:r w:rsidR="00DC1705" w:rsidRPr="00A26C26">
        <w:rPr>
          <w:rFonts w:eastAsia="Calibri" w:cstheme="minorHAnsi"/>
        </w:rPr>
        <w:t>roboczych,</w:t>
      </w:r>
      <w:r w:rsidR="003B50ED">
        <w:rPr>
          <w:rFonts w:eastAsia="Calibri" w:cstheme="minorHAnsi"/>
        </w:rPr>
        <w:t xml:space="preserve"> </w:t>
      </w:r>
      <w:r w:rsidR="00DC1705" w:rsidRPr="00A26C26">
        <w:rPr>
          <w:rFonts w:eastAsia="Calibri" w:cstheme="minorHAnsi"/>
        </w:rPr>
        <w:t>bazując</w:t>
      </w:r>
      <w:r w:rsidR="003B50ED">
        <w:rPr>
          <w:rFonts w:eastAsia="Calibri" w:cstheme="minorHAnsi"/>
        </w:rPr>
        <w:t xml:space="preserve"> </w:t>
      </w:r>
      <w:r w:rsidR="00DC1705" w:rsidRPr="00A26C26">
        <w:rPr>
          <w:rFonts w:eastAsia="Calibri" w:cstheme="minorHAnsi"/>
        </w:rPr>
        <w:t>na</w:t>
      </w:r>
      <w:r w:rsidR="003B50ED">
        <w:rPr>
          <w:rFonts w:eastAsia="Calibri" w:cstheme="minorHAnsi"/>
        </w:rPr>
        <w:t xml:space="preserve"> </w:t>
      </w:r>
      <w:r w:rsidR="00DC1705" w:rsidRPr="00A26C26">
        <w:rPr>
          <w:rFonts w:eastAsia="Calibri" w:cstheme="minorHAnsi"/>
        </w:rPr>
        <w:t>zebranych</w:t>
      </w:r>
      <w:r w:rsidR="003B50ED">
        <w:rPr>
          <w:rFonts w:eastAsia="Calibri" w:cstheme="minorHAnsi"/>
        </w:rPr>
        <w:t xml:space="preserve"> </w:t>
      </w:r>
      <w:r w:rsidR="00DC1705" w:rsidRPr="00A26C26">
        <w:rPr>
          <w:rFonts w:eastAsia="Calibri" w:cstheme="minorHAnsi"/>
        </w:rPr>
        <w:t>danych,</w:t>
      </w:r>
      <w:r w:rsidR="003B50ED">
        <w:rPr>
          <w:rFonts w:eastAsia="Calibri" w:cstheme="minorHAnsi"/>
        </w:rPr>
        <w:t xml:space="preserve"> </w:t>
      </w:r>
      <w:r w:rsidR="00DC1705" w:rsidRPr="00A26C26">
        <w:rPr>
          <w:rFonts w:eastAsia="Calibri" w:cstheme="minorHAnsi"/>
        </w:rPr>
        <w:t>informacjach</w:t>
      </w:r>
      <w:r w:rsidR="003B50ED">
        <w:rPr>
          <w:rFonts w:eastAsia="Calibri" w:cstheme="minorHAnsi"/>
        </w:rPr>
        <w:t xml:space="preserve"> </w:t>
      </w:r>
      <w:r w:rsidR="00DC1705" w:rsidRPr="00A26C26">
        <w:rPr>
          <w:rFonts w:eastAsia="Calibri" w:cstheme="minorHAnsi"/>
        </w:rPr>
        <w:t>i</w:t>
      </w:r>
      <w:r w:rsidR="003B50ED">
        <w:rPr>
          <w:rFonts w:eastAsia="Calibri" w:cstheme="minorHAnsi"/>
        </w:rPr>
        <w:t xml:space="preserve"> </w:t>
      </w:r>
      <w:r w:rsidR="00DC1705" w:rsidRPr="00A26C26">
        <w:rPr>
          <w:rFonts w:eastAsia="Calibri" w:cstheme="minorHAnsi"/>
        </w:rPr>
        <w:t>ustaleniach</w:t>
      </w:r>
      <w:r w:rsidR="00AA6325" w:rsidRPr="00A26C26">
        <w:rPr>
          <w:rFonts w:eastAsia="Calibri" w:cstheme="minorHAnsi"/>
        </w:rPr>
        <w:t>,</w:t>
      </w:r>
      <w:r w:rsidR="003B50ED">
        <w:rPr>
          <w:rFonts w:eastAsia="Calibri" w:cstheme="minorHAnsi"/>
        </w:rPr>
        <w:t xml:space="preserve"> </w:t>
      </w:r>
      <w:r w:rsidR="003260B4">
        <w:rPr>
          <w:rFonts w:eastAsia="Calibri" w:cstheme="minorHAnsi"/>
        </w:rPr>
        <w:t xml:space="preserve">wypracowywali </w:t>
      </w:r>
      <w:r w:rsidR="00AA6325" w:rsidRPr="00A26C26">
        <w:rPr>
          <w:rFonts w:eastAsia="Calibri" w:cstheme="minorHAnsi"/>
        </w:rPr>
        <w:t>konkretn</w:t>
      </w:r>
      <w:r w:rsidR="003260B4">
        <w:rPr>
          <w:rFonts w:eastAsia="Calibri" w:cstheme="minorHAnsi"/>
        </w:rPr>
        <w:t>e</w:t>
      </w:r>
      <w:r w:rsidR="003B50ED">
        <w:rPr>
          <w:rFonts w:eastAsia="Calibri" w:cstheme="minorHAnsi"/>
        </w:rPr>
        <w:t xml:space="preserve"> </w:t>
      </w:r>
      <w:r w:rsidR="003260B4">
        <w:rPr>
          <w:rFonts w:eastAsia="Calibri" w:cstheme="minorHAnsi"/>
        </w:rPr>
        <w:t xml:space="preserve">propozycje </w:t>
      </w:r>
      <w:r w:rsidR="00AA6325" w:rsidRPr="00A26C26">
        <w:rPr>
          <w:rFonts w:eastAsia="Calibri" w:cstheme="minorHAnsi"/>
        </w:rPr>
        <w:t>zapisów</w:t>
      </w:r>
      <w:r w:rsidR="003B50ED">
        <w:rPr>
          <w:rFonts w:eastAsia="Calibri" w:cstheme="minorHAnsi"/>
        </w:rPr>
        <w:t xml:space="preserve"> </w:t>
      </w:r>
      <w:r w:rsidR="00AA6325" w:rsidRPr="00A26C26">
        <w:rPr>
          <w:rFonts w:eastAsia="Calibri" w:cstheme="minorHAnsi"/>
        </w:rPr>
        <w:t>LSR</w:t>
      </w:r>
      <w:r w:rsidR="003B50ED">
        <w:rPr>
          <w:rFonts w:eastAsia="Calibri" w:cstheme="minorHAnsi"/>
        </w:rPr>
        <w:t xml:space="preserve"> </w:t>
      </w:r>
      <w:r w:rsidR="00AA6325" w:rsidRPr="00A26C26">
        <w:rPr>
          <w:rFonts w:eastAsia="Calibri" w:cstheme="minorHAnsi"/>
        </w:rPr>
        <w:t>uwzględniając</w:t>
      </w:r>
      <w:r w:rsidR="003B50ED">
        <w:rPr>
          <w:rFonts w:eastAsia="Calibri" w:cstheme="minorHAnsi"/>
        </w:rPr>
        <w:t xml:space="preserve"> </w:t>
      </w:r>
      <w:r w:rsidR="00AA6325" w:rsidRPr="00A26C26">
        <w:rPr>
          <w:rFonts w:eastAsia="Calibri" w:cstheme="minorHAnsi"/>
        </w:rPr>
        <w:t>rozwiązania</w:t>
      </w:r>
      <w:r w:rsidR="003B50ED">
        <w:rPr>
          <w:rFonts w:eastAsia="Calibri" w:cstheme="minorHAnsi"/>
        </w:rPr>
        <w:t xml:space="preserve"> </w:t>
      </w:r>
      <w:r w:rsidR="00AA6325" w:rsidRPr="00A26C26">
        <w:rPr>
          <w:rFonts w:eastAsia="Calibri" w:cstheme="minorHAnsi"/>
        </w:rPr>
        <w:t>adekwatne</w:t>
      </w:r>
      <w:r w:rsidR="003B50ED">
        <w:rPr>
          <w:rFonts w:eastAsia="Calibri" w:cstheme="minorHAnsi"/>
        </w:rPr>
        <w:t xml:space="preserve"> </w:t>
      </w:r>
      <w:r w:rsidR="00AA6325" w:rsidRPr="00A26C26">
        <w:rPr>
          <w:rFonts w:eastAsia="Calibri" w:cstheme="minorHAnsi"/>
        </w:rPr>
        <w:t>do</w:t>
      </w:r>
      <w:r w:rsidR="003B50ED">
        <w:rPr>
          <w:rFonts w:eastAsia="Calibri" w:cstheme="minorHAnsi"/>
        </w:rPr>
        <w:t xml:space="preserve"> </w:t>
      </w:r>
      <w:r w:rsidR="00AA6325" w:rsidRPr="00A26C26">
        <w:rPr>
          <w:rFonts w:eastAsia="Calibri" w:cstheme="minorHAnsi"/>
        </w:rPr>
        <w:t>wyrażanych</w:t>
      </w:r>
      <w:r w:rsidR="003B50ED">
        <w:rPr>
          <w:rFonts w:eastAsia="Calibri" w:cstheme="minorHAnsi"/>
        </w:rPr>
        <w:t xml:space="preserve"> </w:t>
      </w:r>
      <w:r w:rsidR="00AA6325" w:rsidRPr="00A26C26">
        <w:rPr>
          <w:rFonts w:eastAsia="Calibri" w:cstheme="minorHAnsi"/>
        </w:rPr>
        <w:t>potrzeb.</w:t>
      </w:r>
      <w:r w:rsidR="003B50ED">
        <w:rPr>
          <w:rFonts w:eastAsia="Calibri" w:cstheme="minorHAnsi"/>
        </w:rPr>
        <w:t xml:space="preserve"> </w:t>
      </w:r>
    </w:p>
    <w:p w14:paraId="22B807A9" w14:textId="1711B678" w:rsidR="00E2372E" w:rsidRPr="00A26C26" w:rsidRDefault="00A21B4C" w:rsidP="00A26C26">
      <w:pPr>
        <w:spacing w:line="276" w:lineRule="auto"/>
        <w:ind w:firstLine="284"/>
        <w:jc w:val="both"/>
        <w:rPr>
          <w:rFonts w:eastAsia="Calibri" w:cstheme="minorHAnsi"/>
          <w:kern w:val="0"/>
          <w14:ligatures w14:val="none"/>
        </w:rPr>
      </w:pPr>
      <w:bookmarkStart w:id="30" w:name="_Hlk136204968"/>
      <w:r w:rsidRPr="006E3B6D">
        <w:rPr>
          <w:rFonts w:eastAsia="Calibri" w:cstheme="minorHAnsi"/>
          <w:kern w:val="0"/>
          <w14:ligatures w14:val="none"/>
        </w:rPr>
        <w:t>Odpowiednio</w:t>
      </w:r>
      <w:r w:rsidR="003B50ED" w:rsidRPr="006E3B6D">
        <w:rPr>
          <w:rFonts w:eastAsia="Calibri" w:cstheme="minorHAnsi"/>
          <w:kern w:val="0"/>
          <w14:ligatures w14:val="none"/>
        </w:rPr>
        <w:t xml:space="preserve"> </w:t>
      </w:r>
      <w:r w:rsidRPr="006E3B6D">
        <w:rPr>
          <w:rFonts w:eastAsia="Calibri" w:cstheme="minorHAnsi"/>
          <w:kern w:val="0"/>
          <w14:ligatures w14:val="none"/>
        </w:rPr>
        <w:t>moderowane</w:t>
      </w:r>
      <w:r w:rsidR="003B50ED" w:rsidRPr="006E3B6D">
        <w:rPr>
          <w:rFonts w:eastAsia="Calibri" w:cstheme="minorHAnsi"/>
          <w:kern w:val="0"/>
          <w14:ligatures w14:val="none"/>
        </w:rPr>
        <w:t xml:space="preserve"> </w:t>
      </w:r>
      <w:r w:rsidRPr="006E3B6D">
        <w:rPr>
          <w:rFonts w:eastAsia="Calibri" w:cstheme="minorHAnsi"/>
          <w:kern w:val="0"/>
          <w14:ligatures w14:val="none"/>
        </w:rPr>
        <w:t>spotkania</w:t>
      </w:r>
      <w:r w:rsidR="003B50ED" w:rsidRPr="006E3B6D">
        <w:rPr>
          <w:rFonts w:eastAsia="Calibri" w:cstheme="minorHAnsi"/>
          <w:kern w:val="0"/>
          <w14:ligatures w14:val="none"/>
        </w:rPr>
        <w:t xml:space="preserve"> </w:t>
      </w:r>
      <w:r w:rsidR="00E2372E" w:rsidRPr="006E3B6D">
        <w:rPr>
          <w:rFonts w:eastAsia="Calibri" w:cstheme="minorHAnsi"/>
          <w:kern w:val="0"/>
          <w14:ligatures w14:val="none"/>
        </w:rPr>
        <w:t>pozwolił</w:t>
      </w:r>
      <w:r w:rsidRPr="006E3B6D">
        <w:rPr>
          <w:rFonts w:eastAsia="Calibri" w:cstheme="minorHAnsi"/>
          <w:kern w:val="0"/>
          <w14:ligatures w14:val="none"/>
        </w:rPr>
        <w:t>y</w:t>
      </w:r>
      <w:r w:rsidR="003B50ED" w:rsidRPr="006E3B6D">
        <w:rPr>
          <w:rFonts w:eastAsia="Calibri" w:cstheme="minorHAnsi"/>
          <w:kern w:val="0"/>
          <w14:ligatures w14:val="none"/>
        </w:rPr>
        <w:t xml:space="preserve"> </w:t>
      </w:r>
      <w:r w:rsidR="00E2372E" w:rsidRPr="006E3B6D">
        <w:rPr>
          <w:rFonts w:eastAsia="Calibri" w:cstheme="minorHAnsi"/>
          <w:kern w:val="0"/>
          <w14:ligatures w14:val="none"/>
        </w:rPr>
        <w:t>na</w:t>
      </w:r>
      <w:r w:rsidR="003B50ED" w:rsidRPr="006E3B6D">
        <w:rPr>
          <w:rFonts w:eastAsia="Calibri" w:cstheme="minorHAnsi"/>
          <w:kern w:val="0"/>
          <w14:ligatures w14:val="none"/>
        </w:rPr>
        <w:t xml:space="preserve"> </w:t>
      </w:r>
      <w:r w:rsidR="00E2372E" w:rsidRPr="006E3B6D">
        <w:rPr>
          <w:rFonts w:eastAsia="Calibri" w:cstheme="minorHAnsi"/>
          <w:kern w:val="0"/>
          <w14:ligatures w14:val="none"/>
        </w:rPr>
        <w:t>zebranie</w:t>
      </w:r>
      <w:r w:rsidR="003B50ED" w:rsidRPr="006E3B6D">
        <w:rPr>
          <w:rFonts w:eastAsia="Calibri" w:cstheme="minorHAnsi"/>
          <w:kern w:val="0"/>
          <w14:ligatures w14:val="none"/>
        </w:rPr>
        <w:t xml:space="preserve"> </w:t>
      </w:r>
      <w:r w:rsidR="00E2372E" w:rsidRPr="006E3B6D">
        <w:rPr>
          <w:rFonts w:eastAsia="Calibri" w:cstheme="minorHAnsi"/>
          <w:kern w:val="0"/>
          <w14:ligatures w14:val="none"/>
        </w:rPr>
        <w:t>bogatego</w:t>
      </w:r>
      <w:r w:rsidR="003B50ED" w:rsidRPr="006E3B6D">
        <w:rPr>
          <w:rFonts w:eastAsia="Calibri" w:cstheme="minorHAnsi"/>
          <w:kern w:val="0"/>
          <w14:ligatures w14:val="none"/>
        </w:rPr>
        <w:t xml:space="preserve"> </w:t>
      </w:r>
      <w:r w:rsidR="00E2372E" w:rsidRPr="006E3B6D">
        <w:rPr>
          <w:rFonts w:eastAsia="Calibri" w:cstheme="minorHAnsi"/>
          <w:kern w:val="0"/>
          <w14:ligatures w14:val="none"/>
        </w:rPr>
        <w:t>materiału</w:t>
      </w:r>
      <w:r w:rsidR="003B50ED" w:rsidRPr="006E3B6D">
        <w:rPr>
          <w:rFonts w:eastAsia="Calibri" w:cstheme="minorHAnsi"/>
          <w:kern w:val="0"/>
          <w14:ligatures w14:val="none"/>
        </w:rPr>
        <w:t xml:space="preserve"> </w:t>
      </w:r>
      <w:r w:rsidR="00E2372E" w:rsidRPr="006E3B6D">
        <w:rPr>
          <w:rFonts w:eastAsia="Calibri" w:cstheme="minorHAnsi"/>
          <w:kern w:val="0"/>
          <w14:ligatures w14:val="none"/>
        </w:rPr>
        <w:t>stanowiącego</w:t>
      </w:r>
      <w:r w:rsidR="003B50ED" w:rsidRPr="006E3B6D">
        <w:rPr>
          <w:rFonts w:eastAsia="Calibri" w:cstheme="minorHAnsi"/>
          <w:kern w:val="0"/>
          <w14:ligatures w14:val="none"/>
        </w:rPr>
        <w:t xml:space="preserve"> </w:t>
      </w:r>
      <w:r w:rsidRPr="006E3B6D">
        <w:rPr>
          <w:rFonts w:eastAsia="Calibri" w:cstheme="minorHAnsi"/>
          <w:kern w:val="0"/>
          <w14:ligatures w14:val="none"/>
        </w:rPr>
        <w:t>istotny</w:t>
      </w:r>
      <w:r w:rsidR="003B50ED" w:rsidRPr="006E3B6D">
        <w:rPr>
          <w:rFonts w:eastAsia="Calibri" w:cstheme="minorHAnsi"/>
          <w:kern w:val="0"/>
          <w14:ligatures w14:val="none"/>
        </w:rPr>
        <w:t xml:space="preserve"> </w:t>
      </w:r>
      <w:r w:rsidR="00E2372E" w:rsidRPr="006E3B6D">
        <w:rPr>
          <w:rFonts w:eastAsia="Calibri" w:cstheme="minorHAnsi"/>
          <w:kern w:val="0"/>
          <w14:ligatures w14:val="none"/>
        </w:rPr>
        <w:t>wkład</w:t>
      </w:r>
      <w:r w:rsidR="003B50ED" w:rsidRPr="006E3B6D">
        <w:rPr>
          <w:rFonts w:eastAsia="Calibri" w:cstheme="minorHAnsi"/>
          <w:kern w:val="0"/>
          <w14:ligatures w14:val="none"/>
        </w:rPr>
        <w:t xml:space="preserve"> </w:t>
      </w:r>
      <w:r w:rsidRPr="006E3B6D">
        <w:rPr>
          <w:rFonts w:eastAsia="Calibri" w:cstheme="minorHAnsi"/>
          <w:kern w:val="0"/>
          <w14:ligatures w14:val="none"/>
        </w:rPr>
        <w:br/>
      </w:r>
      <w:r w:rsidR="00E2372E" w:rsidRPr="006E3B6D">
        <w:rPr>
          <w:rFonts w:eastAsia="Calibri" w:cstheme="minorHAnsi"/>
          <w:kern w:val="0"/>
          <w14:ligatures w14:val="none"/>
        </w:rPr>
        <w:t>w</w:t>
      </w:r>
      <w:r w:rsidR="003B50ED" w:rsidRPr="006E3B6D">
        <w:rPr>
          <w:rFonts w:eastAsia="Calibri" w:cstheme="minorHAnsi"/>
          <w:kern w:val="0"/>
          <w14:ligatures w14:val="none"/>
        </w:rPr>
        <w:t xml:space="preserve"> </w:t>
      </w:r>
      <w:r w:rsidR="00E2372E" w:rsidRPr="006E3B6D">
        <w:rPr>
          <w:rFonts w:eastAsia="Calibri" w:cstheme="minorHAnsi"/>
          <w:kern w:val="0"/>
          <w14:ligatures w14:val="none"/>
        </w:rPr>
        <w:t>opracowanie</w:t>
      </w:r>
      <w:r w:rsidR="003B50ED" w:rsidRPr="006E3B6D">
        <w:rPr>
          <w:rFonts w:eastAsia="Calibri" w:cstheme="minorHAnsi"/>
          <w:kern w:val="0"/>
          <w14:ligatures w14:val="none"/>
        </w:rPr>
        <w:t xml:space="preserve"> </w:t>
      </w:r>
      <w:r w:rsidR="00E2372E" w:rsidRPr="006E3B6D">
        <w:rPr>
          <w:rFonts w:eastAsia="Calibri" w:cstheme="minorHAnsi"/>
          <w:kern w:val="0"/>
          <w14:ligatures w14:val="none"/>
        </w:rPr>
        <w:t>diagnozy</w:t>
      </w:r>
      <w:r w:rsidR="003B50ED" w:rsidRPr="006E3B6D">
        <w:rPr>
          <w:rFonts w:eastAsia="Calibri" w:cstheme="minorHAnsi"/>
          <w:kern w:val="0"/>
          <w14:ligatures w14:val="none"/>
        </w:rPr>
        <w:t xml:space="preserve"> </w:t>
      </w:r>
      <w:r w:rsidR="00E2372E" w:rsidRPr="006E3B6D">
        <w:rPr>
          <w:rFonts w:eastAsia="Calibri" w:cstheme="minorHAnsi"/>
          <w:kern w:val="0"/>
          <w14:ligatures w14:val="none"/>
        </w:rPr>
        <w:t>i</w:t>
      </w:r>
      <w:r w:rsidR="003B50ED" w:rsidRPr="006E3B6D">
        <w:rPr>
          <w:rFonts w:eastAsia="Calibri" w:cstheme="minorHAnsi"/>
          <w:kern w:val="0"/>
          <w14:ligatures w14:val="none"/>
        </w:rPr>
        <w:t xml:space="preserve"> </w:t>
      </w:r>
      <w:r w:rsidR="00E2372E" w:rsidRPr="006E3B6D">
        <w:rPr>
          <w:rFonts w:eastAsia="Calibri" w:cstheme="minorHAnsi"/>
          <w:kern w:val="0"/>
          <w14:ligatures w14:val="none"/>
        </w:rPr>
        <w:t>analizy</w:t>
      </w:r>
      <w:r w:rsidR="003B50ED" w:rsidRPr="006E3B6D">
        <w:rPr>
          <w:rFonts w:eastAsia="Calibri" w:cstheme="minorHAnsi"/>
          <w:kern w:val="0"/>
          <w14:ligatures w14:val="none"/>
        </w:rPr>
        <w:t xml:space="preserve"> </w:t>
      </w:r>
      <w:r w:rsidR="00E2372E" w:rsidRPr="006E3B6D">
        <w:rPr>
          <w:rFonts w:eastAsia="Calibri" w:cstheme="minorHAnsi"/>
          <w:kern w:val="0"/>
          <w14:ligatures w14:val="none"/>
        </w:rPr>
        <w:t>SWOT</w:t>
      </w:r>
      <w:r w:rsidR="003B50ED" w:rsidRPr="006E3B6D">
        <w:rPr>
          <w:rFonts w:eastAsia="Calibri" w:cstheme="minorHAnsi"/>
          <w:kern w:val="0"/>
          <w14:ligatures w14:val="none"/>
        </w:rPr>
        <w:t xml:space="preserve"> </w:t>
      </w:r>
      <w:r w:rsidR="00E2372E" w:rsidRPr="006E3B6D">
        <w:rPr>
          <w:rFonts w:eastAsia="Calibri" w:cstheme="minorHAnsi"/>
          <w:kern w:val="0"/>
          <w14:ligatures w14:val="none"/>
        </w:rPr>
        <w:t>obszaru</w:t>
      </w:r>
      <w:r w:rsidR="003B50ED" w:rsidRPr="006E3B6D">
        <w:rPr>
          <w:rFonts w:eastAsia="Calibri" w:cstheme="minorHAnsi"/>
          <w:kern w:val="0"/>
          <w14:ligatures w14:val="none"/>
        </w:rPr>
        <w:t xml:space="preserve"> </w:t>
      </w:r>
      <w:r w:rsidR="00E2372E" w:rsidRPr="006E3B6D">
        <w:rPr>
          <w:rFonts w:eastAsia="Calibri" w:cstheme="minorHAnsi"/>
          <w:kern w:val="0"/>
          <w14:ligatures w14:val="none"/>
        </w:rPr>
        <w:t>LSR,</w:t>
      </w:r>
      <w:r w:rsidR="003B50ED" w:rsidRPr="006E3B6D">
        <w:rPr>
          <w:rFonts w:eastAsia="Calibri" w:cstheme="minorHAnsi"/>
          <w:kern w:val="0"/>
          <w14:ligatures w14:val="none"/>
        </w:rPr>
        <w:t xml:space="preserve"> </w:t>
      </w:r>
      <w:r w:rsidR="00E2372E" w:rsidRPr="006E3B6D">
        <w:rPr>
          <w:rFonts w:eastAsia="Calibri" w:cstheme="minorHAnsi"/>
          <w:kern w:val="0"/>
          <w14:ligatures w14:val="none"/>
        </w:rPr>
        <w:t>sformułowania</w:t>
      </w:r>
      <w:r w:rsidR="003B50ED" w:rsidRPr="006E3B6D">
        <w:rPr>
          <w:rFonts w:eastAsia="Calibri" w:cstheme="minorHAnsi"/>
          <w:kern w:val="0"/>
          <w14:ligatures w14:val="none"/>
        </w:rPr>
        <w:t xml:space="preserve"> </w:t>
      </w:r>
      <w:r w:rsidR="00E2372E" w:rsidRPr="006E3B6D">
        <w:rPr>
          <w:rFonts w:eastAsia="Calibri" w:cstheme="minorHAnsi"/>
          <w:kern w:val="0"/>
          <w14:ligatures w14:val="none"/>
        </w:rPr>
        <w:t>celów</w:t>
      </w:r>
      <w:r w:rsidR="003B50ED" w:rsidRPr="006E3B6D">
        <w:rPr>
          <w:rFonts w:eastAsia="Calibri" w:cstheme="minorHAnsi"/>
          <w:kern w:val="0"/>
          <w14:ligatures w14:val="none"/>
        </w:rPr>
        <w:t xml:space="preserve"> </w:t>
      </w:r>
      <w:r w:rsidR="00E2372E" w:rsidRPr="006E3B6D">
        <w:rPr>
          <w:rFonts w:eastAsia="Calibri" w:cstheme="minorHAnsi"/>
          <w:kern w:val="0"/>
          <w14:ligatures w14:val="none"/>
        </w:rPr>
        <w:t>i</w:t>
      </w:r>
      <w:r w:rsidR="003B50ED" w:rsidRPr="006E3B6D">
        <w:rPr>
          <w:rFonts w:eastAsia="Calibri" w:cstheme="minorHAnsi"/>
          <w:kern w:val="0"/>
          <w14:ligatures w14:val="none"/>
        </w:rPr>
        <w:t xml:space="preserve"> </w:t>
      </w:r>
      <w:r w:rsidR="00E2372E" w:rsidRPr="006E3B6D">
        <w:rPr>
          <w:rFonts w:eastAsia="Calibri" w:cstheme="minorHAnsi"/>
          <w:kern w:val="0"/>
          <w14:ligatures w14:val="none"/>
        </w:rPr>
        <w:t>wskaźników</w:t>
      </w:r>
      <w:r w:rsidR="003B50ED" w:rsidRPr="006E3B6D">
        <w:rPr>
          <w:rFonts w:eastAsia="Calibri" w:cstheme="minorHAnsi"/>
          <w:kern w:val="0"/>
          <w14:ligatures w14:val="none"/>
        </w:rPr>
        <w:t xml:space="preserve"> </w:t>
      </w:r>
      <w:r w:rsidR="00E2372E" w:rsidRPr="006E3B6D">
        <w:rPr>
          <w:rFonts w:eastAsia="Calibri" w:cstheme="minorHAnsi"/>
          <w:kern w:val="0"/>
          <w14:ligatures w14:val="none"/>
        </w:rPr>
        <w:t>LSR</w:t>
      </w:r>
      <w:r w:rsidR="003B50ED" w:rsidRPr="006E3B6D">
        <w:rPr>
          <w:rFonts w:eastAsia="Calibri" w:cstheme="minorHAnsi"/>
          <w:kern w:val="0"/>
          <w14:ligatures w14:val="none"/>
        </w:rPr>
        <w:t xml:space="preserve"> </w:t>
      </w:r>
      <w:r w:rsidRPr="006E3B6D">
        <w:rPr>
          <w:rFonts w:eastAsia="Calibri" w:cstheme="minorHAnsi"/>
          <w:kern w:val="0"/>
          <w14:ligatures w14:val="none"/>
        </w:rPr>
        <w:t>i</w:t>
      </w:r>
      <w:r w:rsidR="003B50ED" w:rsidRPr="006E3B6D">
        <w:rPr>
          <w:rFonts w:eastAsia="Calibri" w:cstheme="minorHAnsi"/>
          <w:kern w:val="0"/>
          <w14:ligatures w14:val="none"/>
        </w:rPr>
        <w:t xml:space="preserve"> </w:t>
      </w:r>
      <w:r w:rsidRPr="006E3B6D">
        <w:rPr>
          <w:rFonts w:eastAsia="Calibri" w:cstheme="minorHAnsi"/>
          <w:kern w:val="0"/>
          <w14:ligatures w14:val="none"/>
        </w:rPr>
        <w:t>w</w:t>
      </w:r>
      <w:r w:rsidR="003B50ED" w:rsidRPr="006E3B6D">
        <w:rPr>
          <w:rFonts w:eastAsia="Calibri" w:cstheme="minorHAnsi"/>
          <w:kern w:val="0"/>
          <w14:ligatures w14:val="none"/>
        </w:rPr>
        <w:t xml:space="preserve"> </w:t>
      </w:r>
      <w:r w:rsidRPr="006E3B6D">
        <w:rPr>
          <w:rFonts w:eastAsia="Calibri" w:cstheme="minorHAnsi"/>
          <w:kern w:val="0"/>
          <w14:ligatures w14:val="none"/>
        </w:rPr>
        <w:t>dalszej</w:t>
      </w:r>
      <w:r w:rsidR="003B50ED" w:rsidRPr="006E3B6D">
        <w:rPr>
          <w:rFonts w:eastAsia="Calibri" w:cstheme="minorHAnsi"/>
          <w:kern w:val="0"/>
          <w14:ligatures w14:val="none"/>
        </w:rPr>
        <w:t xml:space="preserve"> </w:t>
      </w:r>
      <w:r w:rsidRPr="006E3B6D">
        <w:rPr>
          <w:rFonts w:eastAsia="Calibri" w:cstheme="minorHAnsi"/>
          <w:kern w:val="0"/>
          <w14:ligatures w14:val="none"/>
        </w:rPr>
        <w:t>konsekwencji</w:t>
      </w:r>
      <w:r w:rsidR="003B50ED" w:rsidRPr="006E3B6D">
        <w:rPr>
          <w:rFonts w:eastAsia="Calibri" w:cstheme="minorHAnsi"/>
          <w:kern w:val="0"/>
          <w14:ligatures w14:val="none"/>
        </w:rPr>
        <w:t xml:space="preserve"> </w:t>
      </w:r>
      <w:r w:rsidR="00E2372E" w:rsidRPr="006E3B6D">
        <w:rPr>
          <w:rFonts w:eastAsia="Calibri" w:cstheme="minorHAnsi"/>
          <w:kern w:val="0"/>
          <w14:ligatures w14:val="none"/>
        </w:rPr>
        <w:t>Planu</w:t>
      </w:r>
      <w:r w:rsidR="003B50ED" w:rsidRPr="006E3B6D">
        <w:rPr>
          <w:rFonts w:eastAsia="Calibri" w:cstheme="minorHAnsi"/>
          <w:kern w:val="0"/>
          <w14:ligatures w14:val="none"/>
        </w:rPr>
        <w:t xml:space="preserve"> </w:t>
      </w:r>
      <w:r w:rsidR="00E2372E" w:rsidRPr="006E3B6D">
        <w:rPr>
          <w:rFonts w:eastAsia="Calibri" w:cstheme="minorHAnsi"/>
          <w:kern w:val="0"/>
          <w14:ligatures w14:val="none"/>
        </w:rPr>
        <w:t>działania</w:t>
      </w:r>
      <w:r w:rsidR="00037899" w:rsidRPr="006E3B6D">
        <w:rPr>
          <w:rFonts w:eastAsia="Calibri" w:cstheme="minorHAnsi"/>
          <w:kern w:val="0"/>
          <w14:ligatures w14:val="none"/>
        </w:rPr>
        <w:t>,</w:t>
      </w:r>
      <w:r w:rsidR="003B50ED" w:rsidRPr="006E3B6D">
        <w:rPr>
          <w:rFonts w:eastAsia="Calibri" w:cstheme="minorHAnsi"/>
          <w:kern w:val="0"/>
          <w14:ligatures w14:val="none"/>
        </w:rPr>
        <w:t xml:space="preserve"> </w:t>
      </w:r>
      <w:r w:rsidR="00E2372E" w:rsidRPr="006E3B6D">
        <w:rPr>
          <w:rFonts w:eastAsia="Calibri" w:cstheme="minorHAnsi"/>
          <w:kern w:val="0"/>
          <w14:ligatures w14:val="none"/>
        </w:rPr>
        <w:t>jak</w:t>
      </w:r>
      <w:r w:rsidR="003B50ED" w:rsidRPr="006E3B6D">
        <w:rPr>
          <w:rFonts w:eastAsia="Calibri" w:cstheme="minorHAnsi"/>
          <w:kern w:val="0"/>
          <w14:ligatures w14:val="none"/>
        </w:rPr>
        <w:t xml:space="preserve"> </w:t>
      </w:r>
      <w:r w:rsidR="00E2372E" w:rsidRPr="006E3B6D">
        <w:rPr>
          <w:rFonts w:eastAsia="Calibri" w:cstheme="minorHAnsi"/>
          <w:kern w:val="0"/>
          <w14:ligatures w14:val="none"/>
        </w:rPr>
        <w:t>również</w:t>
      </w:r>
      <w:r w:rsidR="003B50ED" w:rsidRPr="006E3B6D">
        <w:rPr>
          <w:rFonts w:eastAsia="Calibri" w:cstheme="minorHAnsi"/>
          <w:kern w:val="0"/>
          <w14:ligatures w14:val="none"/>
        </w:rPr>
        <w:t xml:space="preserve"> </w:t>
      </w:r>
      <w:r w:rsidR="00E2372E" w:rsidRPr="006E3B6D">
        <w:rPr>
          <w:rFonts w:eastAsia="Calibri" w:cstheme="minorHAnsi"/>
          <w:kern w:val="0"/>
          <w14:ligatures w14:val="none"/>
        </w:rPr>
        <w:t>zasad</w:t>
      </w:r>
      <w:r w:rsidR="003B50ED" w:rsidRPr="006E3B6D">
        <w:rPr>
          <w:rFonts w:eastAsia="Calibri" w:cstheme="minorHAnsi"/>
          <w:kern w:val="0"/>
          <w14:ligatures w14:val="none"/>
        </w:rPr>
        <w:t xml:space="preserve"> </w:t>
      </w:r>
      <w:r w:rsidR="00E2372E" w:rsidRPr="006E3B6D">
        <w:rPr>
          <w:rFonts w:eastAsia="Calibri" w:cstheme="minorHAnsi"/>
          <w:kern w:val="0"/>
          <w14:ligatures w14:val="none"/>
        </w:rPr>
        <w:t>wyboru</w:t>
      </w:r>
      <w:r w:rsidR="003B50ED" w:rsidRPr="006E3B6D">
        <w:rPr>
          <w:rFonts w:eastAsia="Calibri" w:cstheme="minorHAnsi"/>
          <w:kern w:val="0"/>
          <w14:ligatures w14:val="none"/>
        </w:rPr>
        <w:t xml:space="preserve"> </w:t>
      </w:r>
      <w:r w:rsidR="00E2372E" w:rsidRPr="006E3B6D">
        <w:rPr>
          <w:rFonts w:eastAsia="Calibri" w:cstheme="minorHAnsi"/>
          <w:kern w:val="0"/>
          <w14:ligatures w14:val="none"/>
        </w:rPr>
        <w:t>operacji</w:t>
      </w:r>
      <w:r w:rsidR="003B50ED" w:rsidRPr="006E3B6D">
        <w:rPr>
          <w:rFonts w:eastAsia="Calibri" w:cstheme="minorHAnsi"/>
          <w:kern w:val="0"/>
          <w14:ligatures w14:val="none"/>
        </w:rPr>
        <w:t xml:space="preserve"> </w:t>
      </w:r>
      <w:r w:rsidR="00E2372E" w:rsidRPr="006E3B6D">
        <w:rPr>
          <w:rFonts w:eastAsia="Calibri" w:cstheme="minorHAnsi"/>
          <w:kern w:val="0"/>
          <w14:ligatures w14:val="none"/>
        </w:rPr>
        <w:t>i</w:t>
      </w:r>
      <w:r w:rsidR="003B50ED" w:rsidRPr="006E3B6D">
        <w:rPr>
          <w:rFonts w:eastAsia="Calibri" w:cstheme="minorHAnsi"/>
          <w:kern w:val="0"/>
          <w14:ligatures w14:val="none"/>
        </w:rPr>
        <w:t xml:space="preserve"> </w:t>
      </w:r>
      <w:r w:rsidR="00E2372E" w:rsidRPr="006E3B6D">
        <w:rPr>
          <w:rFonts w:eastAsia="Calibri" w:cstheme="minorHAnsi"/>
          <w:kern w:val="0"/>
          <w14:ligatures w14:val="none"/>
        </w:rPr>
        <w:t>sformułowania</w:t>
      </w:r>
      <w:r w:rsidR="003B50ED" w:rsidRPr="006E3B6D">
        <w:rPr>
          <w:rFonts w:eastAsia="Calibri" w:cstheme="minorHAnsi"/>
          <w:kern w:val="0"/>
          <w14:ligatures w14:val="none"/>
        </w:rPr>
        <w:t xml:space="preserve"> </w:t>
      </w:r>
      <w:r w:rsidR="00E2372E" w:rsidRPr="006E3B6D">
        <w:rPr>
          <w:rFonts w:eastAsia="Calibri" w:cstheme="minorHAnsi"/>
          <w:kern w:val="0"/>
          <w14:ligatures w14:val="none"/>
        </w:rPr>
        <w:t>lokalnych</w:t>
      </w:r>
      <w:r w:rsidR="003B50ED" w:rsidRPr="006E3B6D">
        <w:rPr>
          <w:rFonts w:eastAsia="Calibri" w:cstheme="minorHAnsi"/>
          <w:kern w:val="0"/>
          <w14:ligatures w14:val="none"/>
        </w:rPr>
        <w:t xml:space="preserve"> </w:t>
      </w:r>
      <w:r w:rsidR="00E2372E" w:rsidRPr="006E3B6D">
        <w:rPr>
          <w:rFonts w:eastAsia="Calibri" w:cstheme="minorHAnsi"/>
          <w:kern w:val="0"/>
          <w14:ligatures w14:val="none"/>
        </w:rPr>
        <w:t>kryteriów</w:t>
      </w:r>
      <w:r w:rsidR="003B50ED" w:rsidRPr="006E3B6D">
        <w:rPr>
          <w:rFonts w:eastAsia="Calibri" w:cstheme="minorHAnsi"/>
          <w:kern w:val="0"/>
          <w14:ligatures w14:val="none"/>
        </w:rPr>
        <w:t xml:space="preserve"> </w:t>
      </w:r>
      <w:r w:rsidR="00E2372E" w:rsidRPr="006E3B6D">
        <w:rPr>
          <w:rFonts w:eastAsia="Calibri" w:cstheme="minorHAnsi"/>
          <w:kern w:val="0"/>
          <w14:ligatures w14:val="none"/>
        </w:rPr>
        <w:t>wyboru</w:t>
      </w:r>
      <w:r w:rsidR="003B50ED" w:rsidRPr="006E3B6D">
        <w:rPr>
          <w:rFonts w:eastAsia="Calibri" w:cstheme="minorHAnsi"/>
          <w:kern w:val="0"/>
          <w14:ligatures w14:val="none"/>
        </w:rPr>
        <w:t xml:space="preserve"> </w:t>
      </w:r>
      <w:r w:rsidR="00E2372E" w:rsidRPr="006E3B6D">
        <w:rPr>
          <w:rFonts w:eastAsia="Calibri" w:cstheme="minorHAnsi"/>
          <w:kern w:val="0"/>
          <w14:ligatures w14:val="none"/>
        </w:rPr>
        <w:t>operacji,</w:t>
      </w:r>
      <w:r w:rsidR="003B50ED" w:rsidRPr="006E3B6D">
        <w:rPr>
          <w:rFonts w:eastAsia="Calibri" w:cstheme="minorHAnsi"/>
          <w:kern w:val="0"/>
          <w14:ligatures w14:val="none"/>
        </w:rPr>
        <w:t xml:space="preserve"> </w:t>
      </w:r>
      <w:r w:rsidR="00E2372E" w:rsidRPr="006E3B6D">
        <w:rPr>
          <w:rFonts w:eastAsia="Calibri" w:cstheme="minorHAnsi"/>
          <w:kern w:val="0"/>
          <w14:ligatures w14:val="none"/>
        </w:rPr>
        <w:t>ponadto</w:t>
      </w:r>
      <w:r w:rsidR="003B50ED" w:rsidRPr="006E3B6D">
        <w:rPr>
          <w:rFonts w:eastAsia="Calibri" w:cstheme="minorHAnsi"/>
          <w:kern w:val="0"/>
          <w14:ligatures w14:val="none"/>
        </w:rPr>
        <w:t xml:space="preserve"> </w:t>
      </w:r>
      <w:r w:rsidR="00E2372E" w:rsidRPr="006E3B6D">
        <w:rPr>
          <w:rFonts w:eastAsia="Calibri" w:cstheme="minorHAnsi"/>
          <w:kern w:val="0"/>
          <w14:ligatures w14:val="none"/>
        </w:rPr>
        <w:t>zasad</w:t>
      </w:r>
      <w:r w:rsidR="003B50ED" w:rsidRPr="006E3B6D">
        <w:rPr>
          <w:rFonts w:eastAsia="Calibri" w:cstheme="minorHAnsi"/>
          <w:kern w:val="0"/>
          <w14:ligatures w14:val="none"/>
        </w:rPr>
        <w:t xml:space="preserve"> </w:t>
      </w:r>
      <w:r w:rsidR="00E2372E" w:rsidRPr="006E3B6D">
        <w:rPr>
          <w:rFonts w:eastAsia="Calibri" w:cstheme="minorHAnsi"/>
          <w:kern w:val="0"/>
          <w14:ligatures w14:val="none"/>
        </w:rPr>
        <w:t>monitorowania</w:t>
      </w:r>
      <w:r w:rsidR="003B50ED" w:rsidRPr="006E3B6D">
        <w:rPr>
          <w:rFonts w:eastAsia="Calibri" w:cstheme="minorHAnsi"/>
          <w:kern w:val="0"/>
          <w14:ligatures w14:val="none"/>
        </w:rPr>
        <w:t xml:space="preserve"> </w:t>
      </w:r>
      <w:r w:rsidR="00E2372E" w:rsidRPr="006E3B6D">
        <w:rPr>
          <w:rFonts w:eastAsia="Calibri" w:cstheme="minorHAnsi"/>
          <w:kern w:val="0"/>
          <w14:ligatures w14:val="none"/>
        </w:rPr>
        <w:t>i</w:t>
      </w:r>
      <w:r w:rsidR="003B50ED" w:rsidRPr="006E3B6D">
        <w:rPr>
          <w:rFonts w:eastAsia="Calibri" w:cstheme="minorHAnsi"/>
          <w:kern w:val="0"/>
          <w14:ligatures w14:val="none"/>
        </w:rPr>
        <w:t xml:space="preserve"> </w:t>
      </w:r>
      <w:r w:rsidR="00E2372E" w:rsidRPr="006E3B6D">
        <w:rPr>
          <w:rFonts w:eastAsia="Calibri" w:cstheme="minorHAnsi"/>
          <w:kern w:val="0"/>
          <w14:ligatures w14:val="none"/>
        </w:rPr>
        <w:t>ewaluacji</w:t>
      </w:r>
      <w:r w:rsidR="003B50ED" w:rsidRPr="006E3B6D">
        <w:rPr>
          <w:rFonts w:eastAsia="Calibri" w:cstheme="minorHAnsi"/>
          <w:kern w:val="0"/>
          <w14:ligatures w14:val="none"/>
        </w:rPr>
        <w:t xml:space="preserve"> </w:t>
      </w:r>
      <w:r w:rsidR="00E2372E" w:rsidRPr="006E3B6D">
        <w:rPr>
          <w:rFonts w:eastAsia="Calibri" w:cstheme="minorHAnsi"/>
          <w:kern w:val="0"/>
          <w14:ligatures w14:val="none"/>
        </w:rPr>
        <w:t>oraz</w:t>
      </w:r>
      <w:r w:rsidR="003B50ED" w:rsidRPr="006E3B6D">
        <w:rPr>
          <w:rFonts w:eastAsia="Calibri" w:cstheme="minorHAnsi"/>
          <w:kern w:val="0"/>
          <w14:ligatures w14:val="none"/>
        </w:rPr>
        <w:t xml:space="preserve"> </w:t>
      </w:r>
      <w:r w:rsidR="00E2372E" w:rsidRPr="006E3B6D">
        <w:rPr>
          <w:rFonts w:eastAsia="Calibri" w:cstheme="minorHAnsi"/>
          <w:kern w:val="0"/>
          <w14:ligatures w14:val="none"/>
        </w:rPr>
        <w:t>Planu</w:t>
      </w:r>
      <w:r w:rsidR="003B50ED" w:rsidRPr="006E3B6D">
        <w:rPr>
          <w:rFonts w:eastAsia="Calibri" w:cstheme="minorHAnsi"/>
          <w:kern w:val="0"/>
          <w14:ligatures w14:val="none"/>
        </w:rPr>
        <w:t xml:space="preserve"> </w:t>
      </w:r>
      <w:r w:rsidR="00E2372E" w:rsidRPr="006E3B6D">
        <w:rPr>
          <w:rFonts w:eastAsia="Calibri" w:cstheme="minorHAnsi"/>
          <w:kern w:val="0"/>
          <w14:ligatures w14:val="none"/>
        </w:rPr>
        <w:t>komunikacji.</w:t>
      </w:r>
      <w:r w:rsidR="003B50ED">
        <w:rPr>
          <w:rFonts w:eastAsia="Calibri" w:cstheme="minorHAnsi"/>
          <w:kern w:val="0"/>
          <w14:ligatures w14:val="none"/>
        </w:rPr>
        <w:t xml:space="preserve"> </w:t>
      </w:r>
    </w:p>
    <w:bookmarkEnd w:id="30"/>
    <w:p w14:paraId="1DFB8D3A" w14:textId="73E1E988" w:rsidR="00037899" w:rsidRDefault="003017ED" w:rsidP="00A26C26">
      <w:pPr>
        <w:spacing w:line="276" w:lineRule="auto"/>
        <w:ind w:firstLine="284"/>
        <w:jc w:val="both"/>
        <w:rPr>
          <w:rFonts w:eastAsia="Calibri" w:cstheme="minorHAnsi"/>
        </w:rPr>
      </w:pPr>
      <w:r>
        <w:rPr>
          <w:rFonts w:eastAsia="Calibri" w:cstheme="minorHAnsi"/>
        </w:rPr>
        <w:t>P</w:t>
      </w:r>
      <w:r w:rsidR="00E2372E" w:rsidRPr="00A26C26">
        <w:rPr>
          <w:rFonts w:eastAsia="Calibri" w:cstheme="minorHAnsi"/>
        </w:rPr>
        <w:t>odczas</w:t>
      </w:r>
      <w:r w:rsidR="003B50ED">
        <w:rPr>
          <w:rFonts w:eastAsia="Calibri" w:cstheme="minorHAnsi"/>
        </w:rPr>
        <w:t xml:space="preserve"> </w:t>
      </w:r>
      <w:r w:rsidR="00E2372E" w:rsidRPr="00A26C26">
        <w:rPr>
          <w:rFonts w:eastAsia="Calibri" w:cstheme="minorHAnsi"/>
        </w:rPr>
        <w:t>wywiadów</w:t>
      </w:r>
      <w:r w:rsidR="003B50ED">
        <w:rPr>
          <w:rFonts w:eastAsia="Calibri" w:cstheme="minorHAnsi"/>
        </w:rPr>
        <w:t xml:space="preserve"> </w:t>
      </w:r>
      <w:r w:rsidR="00E2372E" w:rsidRPr="00A26C26">
        <w:rPr>
          <w:rFonts w:eastAsia="Calibri" w:cstheme="minorHAnsi"/>
        </w:rPr>
        <w:t>fokusowych</w:t>
      </w:r>
      <w:r w:rsidR="003B50ED">
        <w:rPr>
          <w:rFonts w:eastAsia="Calibri" w:cstheme="minorHAnsi"/>
        </w:rPr>
        <w:t xml:space="preserve"> </w:t>
      </w:r>
      <w:r w:rsidR="00E2372E" w:rsidRPr="00A26C26">
        <w:rPr>
          <w:rFonts w:eastAsia="Calibri" w:cstheme="minorHAnsi"/>
        </w:rPr>
        <w:t>i</w:t>
      </w:r>
      <w:r w:rsidR="003B50ED">
        <w:rPr>
          <w:rFonts w:eastAsia="Calibri" w:cstheme="minorHAnsi"/>
        </w:rPr>
        <w:t xml:space="preserve"> </w:t>
      </w:r>
      <w:r w:rsidR="00E2372E" w:rsidRPr="00A26C26">
        <w:rPr>
          <w:rFonts w:eastAsia="Calibri" w:cstheme="minorHAnsi"/>
        </w:rPr>
        <w:t>spotkań</w:t>
      </w:r>
      <w:r w:rsidR="003B50ED">
        <w:rPr>
          <w:rFonts w:eastAsia="Calibri" w:cstheme="minorHAnsi"/>
        </w:rPr>
        <w:t xml:space="preserve"> </w:t>
      </w:r>
      <w:r w:rsidR="00E2372E" w:rsidRPr="00A26C26">
        <w:rPr>
          <w:rFonts w:eastAsia="Calibri" w:cstheme="minorHAnsi"/>
        </w:rPr>
        <w:t>zespołów</w:t>
      </w:r>
      <w:r w:rsidR="003B50ED">
        <w:rPr>
          <w:rFonts w:eastAsia="Calibri" w:cstheme="minorHAnsi"/>
        </w:rPr>
        <w:t xml:space="preserve"> </w:t>
      </w:r>
      <w:r w:rsidR="00E2372E" w:rsidRPr="00A26C26">
        <w:rPr>
          <w:rFonts w:eastAsia="Calibri" w:cstheme="minorHAnsi"/>
        </w:rPr>
        <w:t>roboczych</w:t>
      </w:r>
      <w:r w:rsidR="003B50ED">
        <w:rPr>
          <w:rFonts w:eastAsia="Calibri" w:cstheme="minorHAnsi"/>
        </w:rPr>
        <w:t xml:space="preserve"> </w:t>
      </w:r>
      <w:r w:rsidR="00E2372E" w:rsidRPr="00A26C26">
        <w:rPr>
          <w:rFonts w:eastAsia="Calibri" w:cstheme="minorHAnsi"/>
        </w:rPr>
        <w:t>poruszano</w:t>
      </w:r>
      <w:r w:rsidR="003B50ED">
        <w:rPr>
          <w:rFonts w:eastAsia="Calibri" w:cstheme="minorHAnsi"/>
        </w:rPr>
        <w:t xml:space="preserve"> </w:t>
      </w:r>
      <w:r w:rsidR="00E2372E" w:rsidRPr="00A26C26">
        <w:rPr>
          <w:rFonts w:eastAsia="Calibri" w:cstheme="minorHAnsi"/>
        </w:rPr>
        <w:t>różnorodne</w:t>
      </w:r>
      <w:r w:rsidR="003B50ED">
        <w:rPr>
          <w:rFonts w:eastAsia="Calibri" w:cstheme="minorHAnsi"/>
        </w:rPr>
        <w:t xml:space="preserve"> </w:t>
      </w:r>
      <w:r w:rsidR="00E2372E" w:rsidRPr="00A26C26">
        <w:rPr>
          <w:rFonts w:eastAsia="Calibri" w:cstheme="minorHAnsi"/>
        </w:rPr>
        <w:t>strategiczne</w:t>
      </w:r>
      <w:r w:rsidR="003B50ED">
        <w:rPr>
          <w:rFonts w:eastAsia="Calibri" w:cstheme="minorHAnsi"/>
        </w:rPr>
        <w:t xml:space="preserve"> </w:t>
      </w:r>
      <w:r w:rsidR="00E2372E" w:rsidRPr="00A26C26">
        <w:rPr>
          <w:rFonts w:eastAsia="Calibri" w:cstheme="minorHAnsi"/>
        </w:rPr>
        <w:t>obszary</w:t>
      </w:r>
      <w:r w:rsidR="003B50ED">
        <w:rPr>
          <w:rFonts w:eastAsia="Calibri" w:cstheme="minorHAnsi"/>
        </w:rPr>
        <w:t xml:space="preserve"> </w:t>
      </w:r>
      <w:r w:rsidR="00E2372E" w:rsidRPr="00A26C26">
        <w:rPr>
          <w:rFonts w:eastAsia="Calibri" w:cstheme="minorHAnsi"/>
        </w:rPr>
        <w:t>związane</w:t>
      </w:r>
      <w:r w:rsidR="003B50ED">
        <w:rPr>
          <w:rFonts w:eastAsia="Calibri" w:cstheme="minorHAnsi"/>
        </w:rPr>
        <w:t xml:space="preserve"> </w:t>
      </w:r>
      <w:r w:rsidR="00E2372E" w:rsidRPr="00A26C26">
        <w:rPr>
          <w:rFonts w:eastAsia="Calibri" w:cstheme="minorHAnsi"/>
        </w:rPr>
        <w:t>z</w:t>
      </w:r>
      <w:r w:rsidR="003B50ED">
        <w:rPr>
          <w:rFonts w:eastAsia="Calibri" w:cstheme="minorHAnsi"/>
        </w:rPr>
        <w:t xml:space="preserve"> </w:t>
      </w:r>
      <w:r w:rsidR="00E2372E" w:rsidRPr="00A26C26">
        <w:rPr>
          <w:rFonts w:eastAsia="Calibri" w:cstheme="minorHAnsi"/>
        </w:rPr>
        <w:t>LSR</w:t>
      </w:r>
      <w:r w:rsidR="003B50ED">
        <w:rPr>
          <w:rFonts w:eastAsia="Calibri" w:cstheme="minorHAnsi"/>
        </w:rPr>
        <w:t xml:space="preserve"> </w:t>
      </w:r>
      <w:r w:rsidR="00E2372E" w:rsidRPr="00A26C26">
        <w:rPr>
          <w:rFonts w:eastAsia="Calibri" w:cstheme="minorHAnsi"/>
        </w:rPr>
        <w:t>takie</w:t>
      </w:r>
      <w:r w:rsidR="003B50ED">
        <w:rPr>
          <w:rFonts w:eastAsia="Calibri" w:cstheme="minorHAnsi"/>
        </w:rPr>
        <w:t xml:space="preserve"> </w:t>
      </w:r>
      <w:r w:rsidR="00E2372E" w:rsidRPr="00A26C26">
        <w:rPr>
          <w:rFonts w:eastAsia="Calibri" w:cstheme="minorHAnsi"/>
        </w:rPr>
        <w:t>jak:</w:t>
      </w:r>
      <w:r w:rsidR="003B50ED">
        <w:rPr>
          <w:rFonts w:eastAsia="Calibri" w:cstheme="minorHAnsi"/>
        </w:rPr>
        <w:t xml:space="preserve"> </w:t>
      </w:r>
    </w:p>
    <w:p w14:paraId="2FFB7503" w14:textId="77777777" w:rsidR="00037899" w:rsidRDefault="00037899" w:rsidP="00037899">
      <w:pPr>
        <w:spacing w:line="276" w:lineRule="auto"/>
        <w:jc w:val="both"/>
        <w:rPr>
          <w:rFonts w:eastAsia="Calibri" w:cstheme="minorHAnsi"/>
        </w:rPr>
      </w:pPr>
      <w:r>
        <w:rPr>
          <w:rFonts w:eastAsia="Calibri" w:cstheme="minorHAnsi"/>
        </w:rPr>
        <w:t xml:space="preserve">- </w:t>
      </w:r>
      <w:r w:rsidR="00E2372E" w:rsidRPr="00A26C26">
        <w:rPr>
          <w:rFonts w:eastAsia="Calibri" w:cstheme="minorHAnsi"/>
          <w:b/>
          <w:bCs/>
        </w:rPr>
        <w:t>współpraca</w:t>
      </w:r>
      <w:r w:rsidR="003B50ED">
        <w:rPr>
          <w:rFonts w:eastAsia="Calibri" w:cstheme="minorHAnsi"/>
          <w:b/>
          <w:bCs/>
        </w:rPr>
        <w:t xml:space="preserve"> </w:t>
      </w:r>
      <w:r w:rsidR="00E2372E" w:rsidRPr="00A26C26">
        <w:rPr>
          <w:rFonts w:eastAsia="Calibri" w:cstheme="minorHAnsi"/>
          <w:b/>
          <w:bCs/>
        </w:rPr>
        <w:t>z</w:t>
      </w:r>
      <w:r w:rsidR="003B50ED">
        <w:rPr>
          <w:rFonts w:eastAsia="Calibri" w:cstheme="minorHAnsi"/>
          <w:b/>
          <w:bCs/>
        </w:rPr>
        <w:t xml:space="preserve"> </w:t>
      </w:r>
      <w:r w:rsidR="00E2372E" w:rsidRPr="00A26C26">
        <w:rPr>
          <w:rFonts w:eastAsia="Calibri" w:cstheme="minorHAnsi"/>
          <w:b/>
          <w:bCs/>
        </w:rPr>
        <w:t>parterami</w:t>
      </w:r>
      <w:r w:rsidR="003B50ED">
        <w:rPr>
          <w:rFonts w:eastAsia="Calibri" w:cstheme="minorHAnsi"/>
          <w:b/>
          <w:bCs/>
        </w:rPr>
        <w:t xml:space="preserve"> </w:t>
      </w:r>
      <w:r w:rsidR="00E2372E" w:rsidRPr="00A26C26">
        <w:rPr>
          <w:rFonts w:eastAsia="Calibri" w:cstheme="minorHAnsi"/>
          <w:b/>
          <w:bCs/>
        </w:rPr>
        <w:t>spoza</w:t>
      </w:r>
      <w:r w:rsidR="003B50ED">
        <w:rPr>
          <w:rFonts w:eastAsia="Calibri" w:cstheme="minorHAnsi"/>
          <w:b/>
          <w:bCs/>
        </w:rPr>
        <w:t xml:space="preserve"> </w:t>
      </w:r>
      <w:r w:rsidR="00E2372E" w:rsidRPr="00A26C26">
        <w:rPr>
          <w:rFonts w:eastAsia="Calibri" w:cstheme="minorHAnsi"/>
          <w:b/>
          <w:bCs/>
        </w:rPr>
        <w:t>obszaru</w:t>
      </w:r>
      <w:r w:rsidR="003B50ED">
        <w:rPr>
          <w:rFonts w:eastAsia="Calibri" w:cstheme="minorHAnsi"/>
          <w:b/>
          <w:bCs/>
        </w:rPr>
        <w:t xml:space="preserve"> </w:t>
      </w:r>
      <w:r w:rsidR="00E2372E" w:rsidRPr="00A26C26">
        <w:rPr>
          <w:rFonts w:eastAsia="Calibri" w:cstheme="minorHAnsi"/>
          <w:b/>
          <w:bCs/>
        </w:rPr>
        <w:t>LSR</w:t>
      </w:r>
      <w:r w:rsidR="003B50ED">
        <w:rPr>
          <w:rFonts w:eastAsia="Calibri" w:cstheme="minorHAnsi"/>
        </w:rPr>
        <w:t xml:space="preserve"> </w:t>
      </w:r>
      <w:r w:rsidR="00E2372E" w:rsidRPr="00A26C26">
        <w:rPr>
          <w:rFonts w:eastAsia="Calibri" w:cstheme="minorHAnsi"/>
        </w:rPr>
        <w:t>(projekty</w:t>
      </w:r>
      <w:r w:rsidR="003B50ED">
        <w:rPr>
          <w:rFonts w:eastAsia="Calibri" w:cstheme="minorHAnsi"/>
        </w:rPr>
        <w:t xml:space="preserve"> </w:t>
      </w:r>
      <w:r w:rsidR="00E2372E" w:rsidRPr="00A26C26">
        <w:rPr>
          <w:rFonts w:eastAsia="Calibri" w:cstheme="minorHAnsi"/>
        </w:rPr>
        <w:t>partnerskie</w:t>
      </w:r>
      <w:r w:rsidR="003B50ED">
        <w:rPr>
          <w:rFonts w:eastAsia="Calibri" w:cstheme="minorHAnsi"/>
        </w:rPr>
        <w:t xml:space="preserve"> </w:t>
      </w:r>
      <w:r w:rsidR="00E2372E" w:rsidRPr="00A26C26">
        <w:rPr>
          <w:rFonts w:eastAsia="Calibri" w:cstheme="minorHAnsi"/>
        </w:rPr>
        <w:t>z</w:t>
      </w:r>
      <w:r w:rsidR="003B50ED">
        <w:rPr>
          <w:rFonts w:eastAsia="Calibri" w:cstheme="minorHAnsi"/>
        </w:rPr>
        <w:t xml:space="preserve"> </w:t>
      </w:r>
      <w:r w:rsidR="00E2372E" w:rsidRPr="00A26C26">
        <w:rPr>
          <w:rFonts w:eastAsia="Calibri" w:cstheme="minorHAnsi"/>
        </w:rPr>
        <w:t>udziałem</w:t>
      </w:r>
      <w:r w:rsidR="003B50ED">
        <w:rPr>
          <w:rFonts w:eastAsia="Calibri" w:cstheme="minorHAnsi"/>
        </w:rPr>
        <w:t xml:space="preserve"> </w:t>
      </w:r>
      <w:r w:rsidR="00E2372E" w:rsidRPr="00A26C26">
        <w:rPr>
          <w:rFonts w:eastAsia="Calibri" w:cstheme="minorHAnsi"/>
        </w:rPr>
        <w:t>podmiotów</w:t>
      </w:r>
      <w:r w:rsidR="003B50ED">
        <w:rPr>
          <w:rFonts w:eastAsia="Calibri" w:cstheme="minorHAnsi"/>
        </w:rPr>
        <w:t xml:space="preserve"> </w:t>
      </w:r>
      <w:r w:rsidR="00E2372E" w:rsidRPr="00A26C26">
        <w:rPr>
          <w:rFonts w:eastAsia="Calibri" w:cstheme="minorHAnsi"/>
        </w:rPr>
        <w:t>zagranicznych</w:t>
      </w:r>
      <w:r w:rsidR="003B50ED">
        <w:rPr>
          <w:rFonts w:eastAsia="Calibri" w:cstheme="minorHAnsi"/>
        </w:rPr>
        <w:t xml:space="preserve"> </w:t>
      </w:r>
      <w:r w:rsidR="00E2372E" w:rsidRPr="00A26C26">
        <w:rPr>
          <w:rFonts w:eastAsia="Calibri" w:cstheme="minorHAnsi"/>
        </w:rPr>
        <w:t>i</w:t>
      </w:r>
      <w:r w:rsidR="003B50ED">
        <w:rPr>
          <w:rFonts w:eastAsia="Calibri" w:cstheme="minorHAnsi"/>
        </w:rPr>
        <w:t xml:space="preserve"> </w:t>
      </w:r>
      <w:r w:rsidR="00E2372E" w:rsidRPr="00A26C26">
        <w:rPr>
          <w:rFonts w:eastAsia="Calibri" w:cstheme="minorHAnsi"/>
        </w:rPr>
        <w:t>krajowych</w:t>
      </w:r>
      <w:r w:rsidR="003B50ED">
        <w:rPr>
          <w:rFonts w:eastAsia="Calibri" w:cstheme="minorHAnsi"/>
        </w:rPr>
        <w:t xml:space="preserve"> </w:t>
      </w:r>
      <w:r w:rsidR="00E2372E" w:rsidRPr="00A26C26">
        <w:rPr>
          <w:rFonts w:eastAsia="Calibri" w:cstheme="minorHAnsi"/>
        </w:rPr>
        <w:t>w</w:t>
      </w:r>
      <w:r w:rsidR="003B50ED">
        <w:rPr>
          <w:rFonts w:eastAsia="Calibri" w:cstheme="minorHAnsi"/>
        </w:rPr>
        <w:t xml:space="preserve"> </w:t>
      </w:r>
      <w:r w:rsidR="00E2372E" w:rsidRPr="00A26C26">
        <w:rPr>
          <w:rFonts w:eastAsia="Calibri" w:cstheme="minorHAnsi"/>
        </w:rPr>
        <w:t>zakresie</w:t>
      </w:r>
      <w:r w:rsidR="003B50ED">
        <w:rPr>
          <w:rFonts w:eastAsia="Calibri" w:cstheme="minorHAnsi"/>
        </w:rPr>
        <w:t xml:space="preserve"> </w:t>
      </w:r>
      <w:r w:rsidR="00E2372E" w:rsidRPr="00A26C26">
        <w:rPr>
          <w:rFonts w:eastAsia="Calibri" w:cstheme="minorHAnsi"/>
        </w:rPr>
        <w:t>wymiany</w:t>
      </w:r>
      <w:r w:rsidR="003B50ED">
        <w:rPr>
          <w:rFonts w:eastAsia="Calibri" w:cstheme="minorHAnsi"/>
        </w:rPr>
        <w:t xml:space="preserve"> </w:t>
      </w:r>
      <w:r w:rsidR="00E2372E" w:rsidRPr="00A26C26">
        <w:rPr>
          <w:rFonts w:eastAsia="Calibri" w:cstheme="minorHAnsi"/>
        </w:rPr>
        <w:t>doświadczeń);</w:t>
      </w:r>
      <w:r w:rsidR="003B50ED">
        <w:rPr>
          <w:rFonts w:eastAsia="Calibri" w:cstheme="minorHAnsi"/>
        </w:rPr>
        <w:t xml:space="preserve"> </w:t>
      </w:r>
    </w:p>
    <w:p w14:paraId="339B37BD" w14:textId="77777777" w:rsidR="00037899" w:rsidRDefault="00037899" w:rsidP="00037899">
      <w:pPr>
        <w:spacing w:line="276" w:lineRule="auto"/>
        <w:jc w:val="both"/>
        <w:rPr>
          <w:rFonts w:eastAsia="Calibri" w:cstheme="minorHAnsi"/>
        </w:rPr>
      </w:pPr>
      <w:r>
        <w:rPr>
          <w:rFonts w:eastAsia="Calibri" w:cstheme="minorHAnsi"/>
        </w:rPr>
        <w:t xml:space="preserve">- </w:t>
      </w:r>
      <w:r w:rsidR="00E2372E" w:rsidRPr="00A26C26">
        <w:rPr>
          <w:rFonts w:eastAsia="Calibri" w:cstheme="minorHAnsi"/>
          <w:b/>
          <w:bCs/>
        </w:rPr>
        <w:t>oczekiwane</w:t>
      </w:r>
      <w:r w:rsidR="003B50ED">
        <w:rPr>
          <w:rFonts w:eastAsia="Calibri" w:cstheme="minorHAnsi"/>
          <w:b/>
          <w:bCs/>
        </w:rPr>
        <w:t xml:space="preserve"> </w:t>
      </w:r>
      <w:r w:rsidR="00E2372E" w:rsidRPr="00A26C26">
        <w:rPr>
          <w:rFonts w:eastAsia="Calibri" w:cstheme="minorHAnsi"/>
          <w:b/>
          <w:bCs/>
        </w:rPr>
        <w:t>standardy</w:t>
      </w:r>
      <w:r w:rsidR="003B50ED">
        <w:rPr>
          <w:rFonts w:eastAsia="Calibri" w:cstheme="minorHAnsi"/>
          <w:b/>
          <w:bCs/>
        </w:rPr>
        <w:t xml:space="preserve"> </w:t>
      </w:r>
      <w:r w:rsidR="00E2372E" w:rsidRPr="00A26C26">
        <w:rPr>
          <w:rFonts w:eastAsia="Calibri" w:cstheme="minorHAnsi"/>
          <w:b/>
          <w:bCs/>
        </w:rPr>
        <w:t>w</w:t>
      </w:r>
      <w:r w:rsidR="003B50ED">
        <w:rPr>
          <w:rFonts w:eastAsia="Calibri" w:cstheme="minorHAnsi"/>
          <w:b/>
          <w:bCs/>
        </w:rPr>
        <w:t xml:space="preserve"> </w:t>
      </w:r>
      <w:r w:rsidR="00E2372E" w:rsidRPr="00A26C26">
        <w:rPr>
          <w:rFonts w:eastAsia="Calibri" w:cstheme="minorHAnsi"/>
          <w:b/>
          <w:bCs/>
        </w:rPr>
        <w:t>działaniu</w:t>
      </w:r>
      <w:r w:rsidR="003B50ED">
        <w:rPr>
          <w:rFonts w:eastAsia="Calibri" w:cstheme="minorHAnsi"/>
          <w:b/>
          <w:bCs/>
        </w:rPr>
        <w:t xml:space="preserve"> </w:t>
      </w:r>
      <w:r w:rsidR="00E2372E" w:rsidRPr="00A26C26">
        <w:rPr>
          <w:rFonts w:eastAsia="Calibri" w:cstheme="minorHAnsi"/>
          <w:b/>
          <w:bCs/>
        </w:rPr>
        <w:t>partnerstwa</w:t>
      </w:r>
      <w:r w:rsidR="003B50ED">
        <w:rPr>
          <w:rFonts w:eastAsia="Calibri" w:cstheme="minorHAnsi"/>
        </w:rPr>
        <w:t xml:space="preserve"> </w:t>
      </w:r>
      <w:r w:rsidR="00E2372E" w:rsidRPr="00A26C26">
        <w:rPr>
          <w:rFonts w:eastAsia="Calibri" w:cstheme="minorHAnsi"/>
        </w:rPr>
        <w:t>(partnerstwo</w:t>
      </w:r>
      <w:r w:rsidR="003B50ED">
        <w:rPr>
          <w:rFonts w:eastAsia="Calibri" w:cstheme="minorHAnsi"/>
        </w:rPr>
        <w:t xml:space="preserve"> </w:t>
      </w:r>
      <w:r w:rsidR="00E2372E" w:rsidRPr="00A26C26">
        <w:rPr>
          <w:rFonts w:eastAsia="Calibri" w:cstheme="minorHAnsi"/>
        </w:rPr>
        <w:t>wewnętrzne,</w:t>
      </w:r>
      <w:r w:rsidR="003B50ED">
        <w:rPr>
          <w:rFonts w:eastAsia="Calibri" w:cstheme="minorHAnsi"/>
        </w:rPr>
        <w:t xml:space="preserve"> </w:t>
      </w:r>
      <w:r w:rsidR="00E2372E" w:rsidRPr="00A26C26">
        <w:rPr>
          <w:rFonts w:eastAsia="Calibri" w:cstheme="minorHAnsi"/>
        </w:rPr>
        <w:t>relacje</w:t>
      </w:r>
      <w:r w:rsidR="003B50ED">
        <w:rPr>
          <w:rFonts w:eastAsia="Calibri" w:cstheme="minorHAnsi"/>
        </w:rPr>
        <w:t xml:space="preserve"> </w:t>
      </w:r>
      <w:r w:rsidR="00E2372E" w:rsidRPr="00A26C26">
        <w:rPr>
          <w:rFonts w:eastAsia="Calibri" w:cstheme="minorHAnsi"/>
        </w:rPr>
        <w:t>między</w:t>
      </w:r>
      <w:r w:rsidR="003B50ED">
        <w:rPr>
          <w:rFonts w:eastAsia="Calibri" w:cstheme="minorHAnsi"/>
        </w:rPr>
        <w:t xml:space="preserve"> </w:t>
      </w:r>
      <w:r w:rsidR="00E2372E" w:rsidRPr="00A26C26">
        <w:rPr>
          <w:rFonts w:eastAsia="Calibri" w:cstheme="minorHAnsi"/>
        </w:rPr>
        <w:t>Członkami</w:t>
      </w:r>
      <w:r w:rsidR="003B50ED">
        <w:rPr>
          <w:rFonts w:eastAsia="Calibri" w:cstheme="minorHAnsi"/>
        </w:rPr>
        <w:t xml:space="preserve"> </w:t>
      </w:r>
      <w:r w:rsidR="00E2372E" w:rsidRPr="00A26C26">
        <w:rPr>
          <w:rFonts w:eastAsia="Calibri" w:cstheme="minorHAnsi"/>
        </w:rPr>
        <w:t>na</w:t>
      </w:r>
      <w:r w:rsidR="003B50ED">
        <w:rPr>
          <w:rFonts w:eastAsia="Calibri" w:cstheme="minorHAnsi"/>
        </w:rPr>
        <w:t xml:space="preserve"> </w:t>
      </w:r>
      <w:r w:rsidR="00E2372E" w:rsidRPr="00A26C26">
        <w:rPr>
          <w:rFonts w:eastAsia="Calibri" w:cstheme="minorHAnsi"/>
        </w:rPr>
        <w:t>etapie</w:t>
      </w:r>
      <w:r w:rsidR="003B50ED">
        <w:rPr>
          <w:rFonts w:eastAsia="Calibri" w:cstheme="minorHAnsi"/>
        </w:rPr>
        <w:t xml:space="preserve"> </w:t>
      </w:r>
      <w:r w:rsidR="00E2372E" w:rsidRPr="00A26C26">
        <w:rPr>
          <w:rFonts w:eastAsia="Calibri" w:cstheme="minorHAnsi"/>
        </w:rPr>
        <w:t>wdrażania</w:t>
      </w:r>
      <w:r w:rsidR="003B50ED">
        <w:rPr>
          <w:rFonts w:eastAsia="Calibri" w:cstheme="minorHAnsi"/>
        </w:rPr>
        <w:t xml:space="preserve"> </w:t>
      </w:r>
      <w:r w:rsidR="00E2372E" w:rsidRPr="00A26C26">
        <w:rPr>
          <w:rFonts w:eastAsia="Calibri" w:cstheme="minorHAnsi"/>
        </w:rPr>
        <w:t>LSR</w:t>
      </w:r>
      <w:r w:rsidR="003B50ED">
        <w:rPr>
          <w:rFonts w:eastAsia="Calibri" w:cstheme="minorHAnsi"/>
        </w:rPr>
        <w:t xml:space="preserve"> </w:t>
      </w:r>
      <w:r w:rsidR="00E2372E" w:rsidRPr="00A26C26">
        <w:rPr>
          <w:rFonts w:eastAsia="Calibri" w:cstheme="minorHAnsi"/>
        </w:rPr>
        <w:t>są</w:t>
      </w:r>
      <w:r w:rsidR="003B50ED">
        <w:rPr>
          <w:rFonts w:eastAsia="Calibri" w:cstheme="minorHAnsi"/>
        </w:rPr>
        <w:t xml:space="preserve"> </w:t>
      </w:r>
      <w:r w:rsidR="00E2372E" w:rsidRPr="00A26C26">
        <w:rPr>
          <w:rFonts w:eastAsia="Calibri" w:cstheme="minorHAnsi"/>
        </w:rPr>
        <w:t>oparte</w:t>
      </w:r>
      <w:r w:rsidR="003B50ED">
        <w:rPr>
          <w:rFonts w:eastAsia="Calibri" w:cstheme="minorHAnsi"/>
        </w:rPr>
        <w:t xml:space="preserve"> </w:t>
      </w:r>
      <w:r w:rsidR="00E2372E" w:rsidRPr="00A26C26">
        <w:rPr>
          <w:rFonts w:eastAsia="Calibri" w:cstheme="minorHAnsi"/>
        </w:rPr>
        <w:t>na</w:t>
      </w:r>
      <w:r w:rsidR="003B50ED">
        <w:rPr>
          <w:rFonts w:eastAsia="Calibri" w:cstheme="minorHAnsi"/>
        </w:rPr>
        <w:t xml:space="preserve"> </w:t>
      </w:r>
      <w:r w:rsidR="00E2372E" w:rsidRPr="00A26C26">
        <w:rPr>
          <w:rFonts w:eastAsia="Calibri" w:cstheme="minorHAnsi"/>
        </w:rPr>
        <w:t>pogłębionym</w:t>
      </w:r>
      <w:r w:rsidR="003B50ED">
        <w:rPr>
          <w:rFonts w:eastAsia="Calibri" w:cstheme="minorHAnsi"/>
        </w:rPr>
        <w:t xml:space="preserve"> </w:t>
      </w:r>
      <w:r w:rsidR="00E2372E" w:rsidRPr="00A26C26">
        <w:rPr>
          <w:rFonts w:eastAsia="Calibri" w:cstheme="minorHAnsi"/>
        </w:rPr>
        <w:t>partnerstwie</w:t>
      </w:r>
      <w:r w:rsidR="003B50ED">
        <w:rPr>
          <w:rFonts w:eastAsia="Calibri" w:cstheme="minorHAnsi"/>
        </w:rPr>
        <w:t xml:space="preserve"> </w:t>
      </w:r>
      <w:r w:rsidR="00E2372E" w:rsidRPr="00A26C26">
        <w:rPr>
          <w:rFonts w:eastAsia="Calibri" w:cstheme="minorHAnsi"/>
        </w:rPr>
        <w:t>i</w:t>
      </w:r>
      <w:r w:rsidR="003B50ED">
        <w:rPr>
          <w:rFonts w:eastAsia="Calibri" w:cstheme="minorHAnsi"/>
        </w:rPr>
        <w:t xml:space="preserve"> </w:t>
      </w:r>
      <w:r w:rsidR="00E2372E" w:rsidRPr="00A26C26">
        <w:rPr>
          <w:rFonts w:eastAsia="Calibri" w:cstheme="minorHAnsi"/>
        </w:rPr>
        <w:t>skutecznej</w:t>
      </w:r>
      <w:r w:rsidR="003B50ED">
        <w:rPr>
          <w:rFonts w:eastAsia="Calibri" w:cstheme="minorHAnsi"/>
        </w:rPr>
        <w:t xml:space="preserve"> </w:t>
      </w:r>
      <w:r w:rsidR="00E2372E" w:rsidRPr="00A26C26">
        <w:rPr>
          <w:rFonts w:eastAsia="Calibri" w:cstheme="minorHAnsi"/>
        </w:rPr>
        <w:t>komunikacji,</w:t>
      </w:r>
      <w:r w:rsidR="003B50ED">
        <w:rPr>
          <w:rFonts w:eastAsia="Calibri" w:cstheme="minorHAnsi"/>
        </w:rPr>
        <w:t xml:space="preserve"> </w:t>
      </w:r>
      <w:r w:rsidR="00E2372E" w:rsidRPr="00A26C26">
        <w:rPr>
          <w:rFonts w:eastAsia="Calibri" w:cstheme="minorHAnsi"/>
        </w:rPr>
        <w:t>częste</w:t>
      </w:r>
      <w:r w:rsidR="003B50ED">
        <w:rPr>
          <w:rFonts w:eastAsia="Calibri" w:cstheme="minorHAnsi"/>
        </w:rPr>
        <w:t xml:space="preserve"> </w:t>
      </w:r>
      <w:r w:rsidR="00E2372E" w:rsidRPr="00A26C26">
        <w:rPr>
          <w:rFonts w:eastAsia="Calibri" w:cstheme="minorHAnsi"/>
        </w:rPr>
        <w:t>korzystanie</w:t>
      </w:r>
      <w:r w:rsidR="003B50ED">
        <w:rPr>
          <w:rFonts w:eastAsia="Calibri" w:cstheme="minorHAnsi"/>
        </w:rPr>
        <w:t xml:space="preserve"> </w:t>
      </w:r>
      <w:r w:rsidR="00E2372E" w:rsidRPr="00A26C26">
        <w:rPr>
          <w:rFonts w:eastAsia="Calibri" w:cstheme="minorHAnsi"/>
        </w:rPr>
        <w:t>z</w:t>
      </w:r>
      <w:r w:rsidR="003B50ED">
        <w:rPr>
          <w:rFonts w:eastAsia="Calibri" w:cstheme="minorHAnsi"/>
        </w:rPr>
        <w:t xml:space="preserve"> </w:t>
      </w:r>
      <w:r w:rsidR="00E2372E" w:rsidRPr="00A26C26">
        <w:rPr>
          <w:rFonts w:eastAsia="Calibri" w:cstheme="minorHAnsi"/>
        </w:rPr>
        <w:t>możliwości</w:t>
      </w:r>
      <w:r w:rsidR="003B50ED">
        <w:rPr>
          <w:rFonts w:eastAsia="Calibri" w:cstheme="minorHAnsi"/>
        </w:rPr>
        <w:t xml:space="preserve"> </w:t>
      </w:r>
      <w:r w:rsidR="00E2372E" w:rsidRPr="00A26C26">
        <w:rPr>
          <w:rFonts w:eastAsia="Calibri" w:cstheme="minorHAnsi"/>
        </w:rPr>
        <w:t>kolegialnego</w:t>
      </w:r>
      <w:r w:rsidR="003B50ED">
        <w:rPr>
          <w:rFonts w:eastAsia="Calibri" w:cstheme="minorHAnsi"/>
        </w:rPr>
        <w:t xml:space="preserve"> </w:t>
      </w:r>
      <w:r w:rsidR="00E2372E" w:rsidRPr="00A26C26">
        <w:rPr>
          <w:rFonts w:eastAsia="Calibri" w:cstheme="minorHAnsi"/>
        </w:rPr>
        <w:t>podejmowania</w:t>
      </w:r>
      <w:r w:rsidR="003B50ED">
        <w:rPr>
          <w:rFonts w:eastAsia="Calibri" w:cstheme="minorHAnsi"/>
        </w:rPr>
        <w:t xml:space="preserve"> </w:t>
      </w:r>
      <w:r w:rsidR="00E2372E" w:rsidRPr="00A26C26">
        <w:rPr>
          <w:rFonts w:eastAsia="Calibri" w:cstheme="minorHAnsi"/>
        </w:rPr>
        <w:t>decyzji</w:t>
      </w:r>
      <w:r w:rsidR="003B50ED">
        <w:rPr>
          <w:rFonts w:eastAsia="Calibri" w:cstheme="minorHAnsi"/>
        </w:rPr>
        <w:t xml:space="preserve"> </w:t>
      </w:r>
      <w:r w:rsidR="00E2372E" w:rsidRPr="00A26C26">
        <w:rPr>
          <w:rFonts w:eastAsia="Calibri" w:cstheme="minorHAnsi"/>
        </w:rPr>
        <w:t>(np.</w:t>
      </w:r>
      <w:r w:rsidR="003B50ED">
        <w:rPr>
          <w:rFonts w:eastAsia="Calibri" w:cstheme="minorHAnsi"/>
        </w:rPr>
        <w:t xml:space="preserve"> </w:t>
      </w:r>
      <w:r w:rsidR="00E2372E" w:rsidRPr="00A26C26">
        <w:rPr>
          <w:rFonts w:eastAsia="Calibri" w:cstheme="minorHAnsi"/>
        </w:rPr>
        <w:t>praca</w:t>
      </w:r>
      <w:r w:rsidR="003B50ED">
        <w:rPr>
          <w:rFonts w:eastAsia="Calibri" w:cstheme="minorHAnsi"/>
        </w:rPr>
        <w:t xml:space="preserve"> </w:t>
      </w:r>
      <w:r w:rsidR="00E2372E" w:rsidRPr="00A26C26">
        <w:rPr>
          <w:rFonts w:eastAsia="Calibri" w:cstheme="minorHAnsi"/>
        </w:rPr>
        <w:t>w</w:t>
      </w:r>
      <w:r w:rsidR="003B50ED">
        <w:rPr>
          <w:rFonts w:eastAsia="Calibri" w:cstheme="minorHAnsi"/>
        </w:rPr>
        <w:t xml:space="preserve"> </w:t>
      </w:r>
      <w:r w:rsidR="00E2372E" w:rsidRPr="00A26C26">
        <w:rPr>
          <w:rFonts w:eastAsia="Calibri" w:cstheme="minorHAnsi"/>
        </w:rPr>
        <w:t>zespołach),</w:t>
      </w:r>
      <w:r w:rsidR="003B50ED">
        <w:rPr>
          <w:rFonts w:eastAsia="Calibri" w:cstheme="minorHAnsi"/>
        </w:rPr>
        <w:t xml:space="preserve"> </w:t>
      </w:r>
      <w:r w:rsidR="00E2372E" w:rsidRPr="00A26C26">
        <w:rPr>
          <w:rFonts w:eastAsia="Calibri" w:cstheme="minorHAnsi"/>
        </w:rPr>
        <w:t>inkluzyjność</w:t>
      </w:r>
      <w:r w:rsidR="003B50ED">
        <w:rPr>
          <w:rFonts w:eastAsia="Calibri" w:cstheme="minorHAnsi"/>
        </w:rPr>
        <w:t xml:space="preserve"> </w:t>
      </w:r>
      <w:r w:rsidR="00E2372E" w:rsidRPr="00A26C26">
        <w:rPr>
          <w:rFonts w:eastAsia="Calibri" w:cstheme="minorHAnsi"/>
        </w:rPr>
        <w:t>(otwartość</w:t>
      </w:r>
      <w:r w:rsidR="003B50ED">
        <w:rPr>
          <w:rFonts w:eastAsia="Calibri" w:cstheme="minorHAnsi"/>
        </w:rPr>
        <w:t xml:space="preserve"> </w:t>
      </w:r>
      <w:r w:rsidR="00E2372E" w:rsidRPr="00A26C26">
        <w:rPr>
          <w:rFonts w:eastAsia="Calibri" w:cstheme="minorHAnsi"/>
        </w:rPr>
        <w:t>na</w:t>
      </w:r>
      <w:r w:rsidR="003B50ED">
        <w:rPr>
          <w:rFonts w:eastAsia="Calibri" w:cstheme="minorHAnsi"/>
        </w:rPr>
        <w:t xml:space="preserve"> </w:t>
      </w:r>
      <w:r w:rsidR="00E2372E" w:rsidRPr="00A26C26">
        <w:rPr>
          <w:rFonts w:eastAsia="Calibri" w:cstheme="minorHAnsi"/>
        </w:rPr>
        <w:t>nowych</w:t>
      </w:r>
      <w:r w:rsidR="003B50ED">
        <w:rPr>
          <w:rFonts w:eastAsia="Calibri" w:cstheme="minorHAnsi"/>
        </w:rPr>
        <w:t xml:space="preserve"> </w:t>
      </w:r>
      <w:r w:rsidR="00E2372E" w:rsidRPr="00A26C26">
        <w:rPr>
          <w:rFonts w:eastAsia="Calibri" w:cstheme="minorHAnsi"/>
        </w:rPr>
        <w:t>Członków,</w:t>
      </w:r>
      <w:r w:rsidR="003B50ED">
        <w:rPr>
          <w:rFonts w:eastAsia="Calibri" w:cstheme="minorHAnsi"/>
        </w:rPr>
        <w:t xml:space="preserve"> </w:t>
      </w:r>
      <w:r w:rsidR="00E2372E" w:rsidRPr="00A26C26">
        <w:rPr>
          <w:rFonts w:eastAsia="Calibri" w:cstheme="minorHAnsi"/>
        </w:rPr>
        <w:t>kadencyjność</w:t>
      </w:r>
      <w:r w:rsidR="003B50ED">
        <w:rPr>
          <w:rFonts w:eastAsia="Calibri" w:cstheme="minorHAnsi"/>
        </w:rPr>
        <w:t xml:space="preserve"> </w:t>
      </w:r>
      <w:r w:rsidR="00E2372E" w:rsidRPr="00A26C26">
        <w:rPr>
          <w:rFonts w:eastAsia="Calibri" w:cstheme="minorHAnsi"/>
        </w:rPr>
        <w:t>organów</w:t>
      </w:r>
      <w:r w:rsidR="003B50ED">
        <w:rPr>
          <w:rFonts w:eastAsia="Calibri" w:cstheme="minorHAnsi"/>
        </w:rPr>
        <w:t xml:space="preserve"> </w:t>
      </w:r>
      <w:r w:rsidR="00E2372E" w:rsidRPr="00A26C26">
        <w:rPr>
          <w:rFonts w:eastAsia="Calibri" w:cstheme="minorHAnsi"/>
        </w:rPr>
        <w:t>LGD,</w:t>
      </w:r>
      <w:r w:rsidR="003B50ED">
        <w:rPr>
          <w:rFonts w:eastAsia="Calibri" w:cstheme="minorHAnsi"/>
        </w:rPr>
        <w:t xml:space="preserve"> </w:t>
      </w:r>
      <w:r w:rsidR="00E2372E" w:rsidRPr="00A26C26">
        <w:rPr>
          <w:rFonts w:eastAsia="Calibri" w:cstheme="minorHAnsi"/>
        </w:rPr>
        <w:t>otwartość</w:t>
      </w:r>
      <w:r w:rsidR="003B50ED">
        <w:rPr>
          <w:rFonts w:eastAsia="Calibri" w:cstheme="minorHAnsi"/>
        </w:rPr>
        <w:t xml:space="preserve"> </w:t>
      </w:r>
      <w:r w:rsidR="00E2372E" w:rsidRPr="00A26C26">
        <w:rPr>
          <w:rFonts w:eastAsia="Calibri" w:cstheme="minorHAnsi"/>
        </w:rPr>
        <w:t>na</w:t>
      </w:r>
      <w:r w:rsidR="003B50ED">
        <w:rPr>
          <w:rFonts w:eastAsia="Calibri" w:cstheme="minorHAnsi"/>
        </w:rPr>
        <w:t xml:space="preserve"> </w:t>
      </w:r>
      <w:r w:rsidR="00E2372E" w:rsidRPr="00A26C26">
        <w:rPr>
          <w:rFonts w:eastAsia="Calibri" w:cstheme="minorHAnsi"/>
        </w:rPr>
        <w:t>szeroko</w:t>
      </w:r>
      <w:r w:rsidR="003B50ED">
        <w:rPr>
          <w:rFonts w:eastAsia="Calibri" w:cstheme="minorHAnsi"/>
        </w:rPr>
        <w:t xml:space="preserve"> </w:t>
      </w:r>
      <w:r w:rsidR="00E2372E" w:rsidRPr="00A26C26">
        <w:rPr>
          <w:rFonts w:eastAsia="Calibri" w:cstheme="minorHAnsi"/>
        </w:rPr>
        <w:t>pojętą</w:t>
      </w:r>
      <w:r w:rsidR="003B50ED">
        <w:rPr>
          <w:rFonts w:eastAsia="Calibri" w:cstheme="minorHAnsi"/>
        </w:rPr>
        <w:t xml:space="preserve"> </w:t>
      </w:r>
      <w:r w:rsidR="00E2372E" w:rsidRPr="00A26C26">
        <w:rPr>
          <w:rFonts w:eastAsia="Calibri" w:cstheme="minorHAnsi"/>
        </w:rPr>
        <w:t>współpracę,</w:t>
      </w:r>
      <w:r w:rsidR="003B50ED">
        <w:rPr>
          <w:rFonts w:eastAsia="Calibri" w:cstheme="minorHAnsi"/>
        </w:rPr>
        <w:t xml:space="preserve"> </w:t>
      </w:r>
      <w:r w:rsidR="00E2372E" w:rsidRPr="00A26C26">
        <w:rPr>
          <w:rFonts w:eastAsia="Calibri" w:cstheme="minorHAnsi"/>
        </w:rPr>
        <w:t>możliwość</w:t>
      </w:r>
      <w:r w:rsidR="003B50ED">
        <w:rPr>
          <w:rFonts w:eastAsia="Calibri" w:cstheme="minorHAnsi"/>
        </w:rPr>
        <w:t xml:space="preserve"> </w:t>
      </w:r>
      <w:r w:rsidR="00E2372E" w:rsidRPr="00A26C26">
        <w:rPr>
          <w:rFonts w:eastAsia="Calibri" w:cstheme="minorHAnsi"/>
        </w:rPr>
        <w:t>zwołania</w:t>
      </w:r>
      <w:r w:rsidR="003B50ED">
        <w:rPr>
          <w:rFonts w:eastAsia="Calibri" w:cstheme="minorHAnsi"/>
        </w:rPr>
        <w:t xml:space="preserve"> </w:t>
      </w:r>
      <w:r w:rsidR="00E2372E" w:rsidRPr="00A26C26">
        <w:rPr>
          <w:rFonts w:eastAsia="Calibri" w:cstheme="minorHAnsi"/>
        </w:rPr>
        <w:t>WZC</w:t>
      </w:r>
      <w:r w:rsidR="003B50ED">
        <w:rPr>
          <w:rFonts w:eastAsia="Calibri" w:cstheme="minorHAnsi"/>
        </w:rPr>
        <w:t xml:space="preserve"> </w:t>
      </w:r>
      <w:r w:rsidR="00E2372E" w:rsidRPr="00A26C26">
        <w:rPr>
          <w:rFonts w:eastAsia="Calibri" w:cstheme="minorHAnsi"/>
        </w:rPr>
        <w:t>na</w:t>
      </w:r>
      <w:r w:rsidR="003B50ED">
        <w:rPr>
          <w:rFonts w:eastAsia="Calibri" w:cstheme="minorHAnsi"/>
        </w:rPr>
        <w:t xml:space="preserve"> </w:t>
      </w:r>
      <w:r w:rsidR="00E2372E" w:rsidRPr="00A26C26">
        <w:rPr>
          <w:rFonts w:eastAsia="Calibri" w:cstheme="minorHAnsi"/>
        </w:rPr>
        <w:t>wniosek</w:t>
      </w:r>
      <w:r w:rsidR="003B50ED">
        <w:rPr>
          <w:rFonts w:eastAsia="Calibri" w:cstheme="minorHAnsi"/>
        </w:rPr>
        <w:t xml:space="preserve"> </w:t>
      </w:r>
      <w:r w:rsidR="00E2372E" w:rsidRPr="00A26C26">
        <w:rPr>
          <w:rFonts w:eastAsia="Calibri" w:cstheme="minorHAnsi"/>
        </w:rPr>
        <w:t>dość</w:t>
      </w:r>
      <w:r w:rsidR="003B50ED">
        <w:rPr>
          <w:rFonts w:eastAsia="Calibri" w:cstheme="minorHAnsi"/>
        </w:rPr>
        <w:t xml:space="preserve"> </w:t>
      </w:r>
      <w:r w:rsidR="00E2372E" w:rsidRPr="00A26C26">
        <w:rPr>
          <w:rFonts w:eastAsia="Calibri" w:cstheme="minorHAnsi"/>
        </w:rPr>
        <w:t>wąskiej</w:t>
      </w:r>
      <w:r w:rsidR="003B50ED">
        <w:rPr>
          <w:rFonts w:eastAsia="Calibri" w:cstheme="minorHAnsi"/>
        </w:rPr>
        <w:t xml:space="preserve"> </w:t>
      </w:r>
      <w:r w:rsidR="00E2372E" w:rsidRPr="00A26C26">
        <w:rPr>
          <w:rFonts w:eastAsia="Calibri" w:cstheme="minorHAnsi"/>
        </w:rPr>
        <w:t>grupy</w:t>
      </w:r>
      <w:r w:rsidR="003B50ED">
        <w:rPr>
          <w:rFonts w:eastAsia="Calibri" w:cstheme="minorHAnsi"/>
        </w:rPr>
        <w:t xml:space="preserve"> </w:t>
      </w:r>
      <w:r w:rsidR="00E2372E" w:rsidRPr="00A26C26">
        <w:rPr>
          <w:rFonts w:eastAsia="Calibri" w:cstheme="minorHAnsi"/>
        </w:rPr>
        <w:t>Członków,</w:t>
      </w:r>
      <w:r w:rsidR="003B50ED">
        <w:rPr>
          <w:rFonts w:eastAsia="Calibri" w:cstheme="minorHAnsi"/>
        </w:rPr>
        <w:t xml:space="preserve"> </w:t>
      </w:r>
      <w:r w:rsidR="00E2372E" w:rsidRPr="00A26C26">
        <w:rPr>
          <w:rFonts w:eastAsia="Calibri" w:cstheme="minorHAnsi"/>
        </w:rPr>
        <w:t>otwartość</w:t>
      </w:r>
      <w:r w:rsidR="003B50ED">
        <w:rPr>
          <w:rFonts w:eastAsia="Calibri" w:cstheme="minorHAnsi"/>
        </w:rPr>
        <w:t xml:space="preserve"> </w:t>
      </w:r>
      <w:r w:rsidR="00E2372E" w:rsidRPr="00A26C26">
        <w:rPr>
          <w:rFonts w:eastAsia="Calibri" w:cstheme="minorHAnsi"/>
        </w:rPr>
        <w:t>na</w:t>
      </w:r>
      <w:r w:rsidR="003B50ED">
        <w:rPr>
          <w:rFonts w:eastAsia="Calibri" w:cstheme="minorHAnsi"/>
        </w:rPr>
        <w:t xml:space="preserve"> </w:t>
      </w:r>
      <w:r w:rsidR="00E2372E" w:rsidRPr="00A26C26">
        <w:rPr>
          <w:rFonts w:eastAsia="Calibri" w:cstheme="minorHAnsi"/>
        </w:rPr>
        <w:t>inicjatywy</w:t>
      </w:r>
      <w:r w:rsidR="003B50ED">
        <w:rPr>
          <w:rFonts w:eastAsia="Calibri" w:cstheme="minorHAnsi"/>
        </w:rPr>
        <w:t xml:space="preserve"> </w:t>
      </w:r>
      <w:r w:rsidR="00E2372E" w:rsidRPr="00A26C26">
        <w:rPr>
          <w:rFonts w:eastAsia="Calibri" w:cstheme="minorHAnsi"/>
        </w:rPr>
        <w:t>Członków</w:t>
      </w:r>
      <w:r w:rsidR="003B50ED">
        <w:rPr>
          <w:rFonts w:eastAsia="Calibri" w:cstheme="minorHAnsi"/>
        </w:rPr>
        <w:t xml:space="preserve"> </w:t>
      </w:r>
      <w:r w:rsidR="00E2372E" w:rsidRPr="00A26C26">
        <w:rPr>
          <w:rFonts w:eastAsia="Calibri" w:cstheme="minorHAnsi"/>
        </w:rPr>
        <w:t>LGD,</w:t>
      </w:r>
      <w:r w:rsidR="003B50ED">
        <w:rPr>
          <w:rFonts w:eastAsia="Calibri" w:cstheme="minorHAnsi"/>
        </w:rPr>
        <w:t xml:space="preserve"> </w:t>
      </w:r>
      <w:r w:rsidR="00E2372E" w:rsidRPr="00A26C26">
        <w:rPr>
          <w:rFonts w:eastAsia="Calibri" w:cstheme="minorHAnsi"/>
        </w:rPr>
        <w:t>stosowania</w:t>
      </w:r>
      <w:r w:rsidR="003B50ED">
        <w:rPr>
          <w:rFonts w:eastAsia="Calibri" w:cstheme="minorHAnsi"/>
        </w:rPr>
        <w:t xml:space="preserve"> </w:t>
      </w:r>
      <w:r w:rsidR="00E2372E" w:rsidRPr="00A26C26">
        <w:rPr>
          <w:rFonts w:eastAsia="Calibri" w:cstheme="minorHAnsi"/>
        </w:rPr>
        <w:t>przyjaznych</w:t>
      </w:r>
      <w:r w:rsidR="003B50ED">
        <w:rPr>
          <w:rFonts w:eastAsia="Calibri" w:cstheme="minorHAnsi"/>
        </w:rPr>
        <w:t xml:space="preserve"> </w:t>
      </w:r>
      <w:r w:rsidR="00E2372E" w:rsidRPr="00A26C26">
        <w:rPr>
          <w:rFonts w:eastAsia="Calibri" w:cstheme="minorHAnsi"/>
        </w:rPr>
        <w:t>dla</w:t>
      </w:r>
      <w:r w:rsidR="003B50ED">
        <w:rPr>
          <w:rFonts w:eastAsia="Calibri" w:cstheme="minorHAnsi"/>
        </w:rPr>
        <w:t xml:space="preserve"> </w:t>
      </w:r>
      <w:r w:rsidR="00E2372E" w:rsidRPr="00A26C26">
        <w:rPr>
          <w:rFonts w:eastAsia="Calibri" w:cstheme="minorHAnsi"/>
        </w:rPr>
        <w:t>odbiorcy</w:t>
      </w:r>
      <w:r w:rsidR="003B50ED">
        <w:rPr>
          <w:rFonts w:eastAsia="Calibri" w:cstheme="minorHAnsi"/>
        </w:rPr>
        <w:t xml:space="preserve"> </w:t>
      </w:r>
      <w:r w:rsidR="00E2372E" w:rsidRPr="00A26C26">
        <w:rPr>
          <w:rFonts w:eastAsia="Calibri" w:cstheme="minorHAnsi"/>
        </w:rPr>
        <w:t>form</w:t>
      </w:r>
      <w:r w:rsidR="003B50ED">
        <w:rPr>
          <w:rFonts w:eastAsia="Calibri" w:cstheme="minorHAnsi"/>
        </w:rPr>
        <w:t xml:space="preserve"> </w:t>
      </w:r>
      <w:r w:rsidR="00E2372E" w:rsidRPr="00A26C26">
        <w:rPr>
          <w:rFonts w:eastAsia="Calibri" w:cstheme="minorHAnsi"/>
        </w:rPr>
        <w:t>komunikacji</w:t>
      </w:r>
      <w:r w:rsidR="003B50ED">
        <w:rPr>
          <w:rFonts w:eastAsia="Calibri" w:cstheme="minorHAnsi"/>
        </w:rPr>
        <w:t xml:space="preserve"> </w:t>
      </w:r>
      <w:r w:rsidR="00E2372E" w:rsidRPr="00A26C26">
        <w:rPr>
          <w:rFonts w:eastAsia="Calibri" w:cstheme="minorHAnsi"/>
        </w:rPr>
        <w:t>(nie</w:t>
      </w:r>
      <w:r w:rsidR="003B50ED">
        <w:rPr>
          <w:rFonts w:eastAsia="Calibri" w:cstheme="minorHAnsi"/>
        </w:rPr>
        <w:t xml:space="preserve"> </w:t>
      </w:r>
      <w:r w:rsidR="00E2372E" w:rsidRPr="00A26C26">
        <w:rPr>
          <w:rFonts w:eastAsia="Calibri" w:cstheme="minorHAnsi"/>
        </w:rPr>
        <w:t>tylko</w:t>
      </w:r>
      <w:r w:rsidR="003B50ED">
        <w:rPr>
          <w:rFonts w:eastAsia="Calibri" w:cstheme="minorHAnsi"/>
        </w:rPr>
        <w:t xml:space="preserve"> </w:t>
      </w:r>
      <w:r w:rsidR="00E2372E" w:rsidRPr="00A26C26">
        <w:rPr>
          <w:rFonts w:eastAsia="Calibri" w:cstheme="minorHAnsi"/>
        </w:rPr>
        <w:t>formalnych,</w:t>
      </w:r>
      <w:r w:rsidR="003B50ED">
        <w:rPr>
          <w:rFonts w:eastAsia="Calibri" w:cstheme="minorHAnsi"/>
        </w:rPr>
        <w:t xml:space="preserve"> </w:t>
      </w:r>
      <w:r w:rsidR="00E2372E" w:rsidRPr="00A26C26">
        <w:rPr>
          <w:rFonts w:eastAsia="Calibri" w:cstheme="minorHAnsi"/>
        </w:rPr>
        <w:t>stosowanie</w:t>
      </w:r>
      <w:r w:rsidR="003B50ED">
        <w:rPr>
          <w:rFonts w:eastAsia="Calibri" w:cstheme="minorHAnsi"/>
        </w:rPr>
        <w:t xml:space="preserve"> </w:t>
      </w:r>
      <w:r w:rsidR="00E2372E" w:rsidRPr="00A26C26">
        <w:rPr>
          <w:rFonts w:eastAsia="Calibri" w:cstheme="minorHAnsi"/>
        </w:rPr>
        <w:t>zachęt</w:t>
      </w:r>
      <w:r w:rsidR="003B50ED">
        <w:rPr>
          <w:rFonts w:eastAsia="Calibri" w:cstheme="minorHAnsi"/>
        </w:rPr>
        <w:t xml:space="preserve"> </w:t>
      </w:r>
      <w:r w:rsidR="00E2372E" w:rsidRPr="00A26C26">
        <w:rPr>
          <w:rFonts w:eastAsia="Calibri" w:cstheme="minorHAnsi"/>
        </w:rPr>
        <w:t>do</w:t>
      </w:r>
      <w:r w:rsidR="003B50ED">
        <w:rPr>
          <w:rFonts w:eastAsia="Calibri" w:cstheme="minorHAnsi"/>
        </w:rPr>
        <w:t xml:space="preserve"> </w:t>
      </w:r>
      <w:r w:rsidR="00E2372E" w:rsidRPr="00A26C26">
        <w:rPr>
          <w:rFonts w:eastAsia="Calibri" w:cstheme="minorHAnsi"/>
        </w:rPr>
        <w:t>zgłaszania</w:t>
      </w:r>
      <w:r w:rsidR="003B50ED">
        <w:rPr>
          <w:rFonts w:eastAsia="Calibri" w:cstheme="minorHAnsi"/>
        </w:rPr>
        <w:t xml:space="preserve"> </w:t>
      </w:r>
      <w:r w:rsidR="00E2372E" w:rsidRPr="00A26C26">
        <w:rPr>
          <w:rFonts w:eastAsia="Calibri" w:cstheme="minorHAnsi"/>
        </w:rPr>
        <w:t>nowych</w:t>
      </w:r>
      <w:r w:rsidR="003B50ED">
        <w:rPr>
          <w:rFonts w:eastAsia="Calibri" w:cstheme="minorHAnsi"/>
        </w:rPr>
        <w:t xml:space="preserve"> </w:t>
      </w:r>
      <w:r w:rsidR="00E2372E" w:rsidRPr="00A26C26">
        <w:rPr>
          <w:rFonts w:eastAsia="Calibri" w:cstheme="minorHAnsi"/>
        </w:rPr>
        <w:t>pomysłów/inicjatyw</w:t>
      </w:r>
      <w:r w:rsidR="003B50ED">
        <w:rPr>
          <w:rFonts w:eastAsia="Calibri" w:cstheme="minorHAnsi"/>
        </w:rPr>
        <w:t xml:space="preserve"> </w:t>
      </w:r>
      <w:r w:rsidR="00E2372E" w:rsidRPr="00A26C26">
        <w:rPr>
          <w:rFonts w:eastAsia="Calibri" w:cstheme="minorHAnsi"/>
        </w:rPr>
        <w:t>dot.</w:t>
      </w:r>
      <w:r w:rsidR="003B50ED">
        <w:rPr>
          <w:rFonts w:eastAsia="Calibri" w:cstheme="minorHAnsi"/>
        </w:rPr>
        <w:t xml:space="preserve"> </w:t>
      </w:r>
      <w:r w:rsidR="00E2372E" w:rsidRPr="00A26C26">
        <w:rPr>
          <w:rFonts w:eastAsia="Calibri" w:cstheme="minorHAnsi"/>
        </w:rPr>
        <w:t>funkcjonowania</w:t>
      </w:r>
      <w:r w:rsidR="003B50ED">
        <w:rPr>
          <w:rFonts w:eastAsia="Calibri" w:cstheme="minorHAnsi"/>
        </w:rPr>
        <w:t xml:space="preserve"> </w:t>
      </w:r>
      <w:r w:rsidR="00E2372E" w:rsidRPr="00A26C26">
        <w:rPr>
          <w:rFonts w:eastAsia="Calibri" w:cstheme="minorHAnsi"/>
        </w:rPr>
        <w:t>LGD</w:t>
      </w:r>
      <w:r w:rsidR="003B50ED">
        <w:rPr>
          <w:rFonts w:eastAsia="Calibri" w:cstheme="minorHAnsi"/>
        </w:rPr>
        <w:t xml:space="preserve"> </w:t>
      </w:r>
      <w:r w:rsidR="00E2372E" w:rsidRPr="00A26C26">
        <w:rPr>
          <w:rFonts w:eastAsia="Calibri" w:cstheme="minorHAnsi"/>
        </w:rPr>
        <w:t>i</w:t>
      </w:r>
      <w:r w:rsidR="003B50ED">
        <w:rPr>
          <w:rFonts w:eastAsia="Calibri" w:cstheme="minorHAnsi"/>
        </w:rPr>
        <w:t xml:space="preserve"> </w:t>
      </w:r>
      <w:r w:rsidR="00E2372E" w:rsidRPr="00A26C26">
        <w:rPr>
          <w:rFonts w:eastAsia="Calibri" w:cstheme="minorHAnsi"/>
        </w:rPr>
        <w:t>wdrażania</w:t>
      </w:r>
      <w:r w:rsidR="003B50ED">
        <w:rPr>
          <w:rFonts w:eastAsia="Calibri" w:cstheme="minorHAnsi"/>
        </w:rPr>
        <w:t xml:space="preserve"> </w:t>
      </w:r>
      <w:r w:rsidR="00E2372E" w:rsidRPr="00A26C26">
        <w:rPr>
          <w:rFonts w:eastAsia="Calibri" w:cstheme="minorHAnsi"/>
        </w:rPr>
        <w:t>LSR,</w:t>
      </w:r>
      <w:r w:rsidR="003B50ED">
        <w:rPr>
          <w:rFonts w:eastAsia="Calibri" w:cstheme="minorHAnsi"/>
        </w:rPr>
        <w:t xml:space="preserve"> </w:t>
      </w:r>
      <w:r w:rsidR="00E2372E" w:rsidRPr="00A26C26">
        <w:rPr>
          <w:rFonts w:eastAsia="Calibri" w:cstheme="minorHAnsi"/>
        </w:rPr>
        <w:t>zasada</w:t>
      </w:r>
      <w:r w:rsidR="003B50ED">
        <w:rPr>
          <w:rFonts w:eastAsia="Calibri" w:cstheme="minorHAnsi"/>
        </w:rPr>
        <w:t xml:space="preserve"> </w:t>
      </w:r>
      <w:r w:rsidR="00E2372E" w:rsidRPr="00A26C26">
        <w:rPr>
          <w:rFonts w:eastAsia="Calibri" w:cstheme="minorHAnsi"/>
        </w:rPr>
        <w:t>informowania</w:t>
      </w:r>
      <w:r w:rsidR="003B50ED">
        <w:rPr>
          <w:rFonts w:eastAsia="Calibri" w:cstheme="minorHAnsi"/>
        </w:rPr>
        <w:t xml:space="preserve"> </w:t>
      </w:r>
      <w:r w:rsidR="00E2372E" w:rsidRPr="00A26C26">
        <w:rPr>
          <w:rFonts w:eastAsia="Calibri" w:cstheme="minorHAnsi"/>
        </w:rPr>
        <w:t>o</w:t>
      </w:r>
      <w:r w:rsidR="003B50ED">
        <w:rPr>
          <w:rFonts w:eastAsia="Calibri" w:cstheme="minorHAnsi"/>
        </w:rPr>
        <w:t xml:space="preserve"> </w:t>
      </w:r>
      <w:r w:rsidR="00E2372E" w:rsidRPr="00A26C26">
        <w:rPr>
          <w:rFonts w:eastAsia="Calibri" w:cstheme="minorHAnsi"/>
        </w:rPr>
        <w:t>wyniku</w:t>
      </w:r>
      <w:r w:rsidR="003B50ED">
        <w:rPr>
          <w:rFonts w:eastAsia="Calibri" w:cstheme="minorHAnsi"/>
        </w:rPr>
        <w:t xml:space="preserve"> </w:t>
      </w:r>
      <w:r w:rsidR="00E2372E" w:rsidRPr="00A26C26">
        <w:rPr>
          <w:rFonts w:eastAsia="Calibri" w:cstheme="minorHAnsi"/>
        </w:rPr>
        <w:t>weryfikacji</w:t>
      </w:r>
      <w:r w:rsidR="003B50ED">
        <w:rPr>
          <w:rFonts w:eastAsia="Calibri" w:cstheme="minorHAnsi"/>
        </w:rPr>
        <w:t xml:space="preserve"> </w:t>
      </w:r>
      <w:r w:rsidR="00E2372E" w:rsidRPr="00A26C26">
        <w:rPr>
          <w:rFonts w:eastAsia="Calibri" w:cstheme="minorHAnsi"/>
        </w:rPr>
        <w:t>propozycji/inicjatywy</w:t>
      </w:r>
      <w:r w:rsidR="003B50ED">
        <w:rPr>
          <w:rFonts w:eastAsia="Calibri" w:cstheme="minorHAnsi"/>
        </w:rPr>
        <w:t xml:space="preserve"> </w:t>
      </w:r>
      <w:r w:rsidR="00E2372E" w:rsidRPr="00A26C26">
        <w:rPr>
          <w:rFonts w:eastAsia="Calibri" w:cstheme="minorHAnsi"/>
        </w:rPr>
        <w:t>zgłoszonej</w:t>
      </w:r>
      <w:r w:rsidR="003B50ED">
        <w:rPr>
          <w:rFonts w:eastAsia="Calibri" w:cstheme="minorHAnsi"/>
        </w:rPr>
        <w:t xml:space="preserve"> </w:t>
      </w:r>
      <w:r w:rsidR="00E2372E" w:rsidRPr="00A26C26">
        <w:rPr>
          <w:rFonts w:eastAsia="Calibri" w:cstheme="minorHAnsi"/>
        </w:rPr>
        <w:t>przez</w:t>
      </w:r>
      <w:r w:rsidR="003B50ED">
        <w:rPr>
          <w:rFonts w:eastAsia="Calibri" w:cstheme="minorHAnsi"/>
        </w:rPr>
        <w:t xml:space="preserve"> </w:t>
      </w:r>
      <w:r w:rsidR="00E2372E" w:rsidRPr="00A26C26">
        <w:rPr>
          <w:rFonts w:eastAsia="Calibri" w:cstheme="minorHAnsi"/>
        </w:rPr>
        <w:t>Członka</w:t>
      </w:r>
      <w:r w:rsidR="003B50ED">
        <w:rPr>
          <w:rFonts w:eastAsia="Calibri" w:cstheme="minorHAnsi"/>
        </w:rPr>
        <w:t xml:space="preserve"> </w:t>
      </w:r>
      <w:r w:rsidR="00E2372E" w:rsidRPr="00A26C26">
        <w:rPr>
          <w:rFonts w:eastAsia="Calibri" w:cstheme="minorHAnsi"/>
        </w:rPr>
        <w:t>LGD</w:t>
      </w:r>
      <w:r w:rsidR="003B50ED">
        <w:rPr>
          <w:rFonts w:eastAsia="Calibri" w:cstheme="minorHAnsi"/>
        </w:rPr>
        <w:t xml:space="preserve"> </w:t>
      </w:r>
      <w:r w:rsidR="00E2372E" w:rsidRPr="00A26C26">
        <w:rPr>
          <w:rFonts w:eastAsia="Calibri" w:cstheme="minorHAnsi"/>
        </w:rPr>
        <w:t>z</w:t>
      </w:r>
      <w:r w:rsidR="003B50ED">
        <w:rPr>
          <w:rFonts w:eastAsia="Calibri" w:cstheme="minorHAnsi"/>
        </w:rPr>
        <w:t xml:space="preserve"> </w:t>
      </w:r>
      <w:r w:rsidR="00E2372E" w:rsidRPr="00A26C26">
        <w:rPr>
          <w:rFonts w:eastAsia="Calibri" w:cstheme="minorHAnsi"/>
        </w:rPr>
        <w:t>uzasadnieniem</w:t>
      </w:r>
      <w:r w:rsidR="003B50ED">
        <w:rPr>
          <w:rFonts w:eastAsia="Calibri" w:cstheme="minorHAnsi"/>
        </w:rPr>
        <w:t xml:space="preserve"> </w:t>
      </w:r>
      <w:r w:rsidR="00E2372E" w:rsidRPr="00A26C26">
        <w:rPr>
          <w:rFonts w:eastAsia="Calibri" w:cstheme="minorHAnsi"/>
        </w:rPr>
        <w:t>tego</w:t>
      </w:r>
      <w:r w:rsidR="003B50ED">
        <w:rPr>
          <w:rFonts w:eastAsia="Calibri" w:cstheme="minorHAnsi"/>
        </w:rPr>
        <w:t xml:space="preserve"> </w:t>
      </w:r>
      <w:r w:rsidR="00E2372E" w:rsidRPr="00A26C26">
        <w:rPr>
          <w:rFonts w:eastAsia="Calibri" w:cstheme="minorHAnsi"/>
        </w:rPr>
        <w:t>wyniku);</w:t>
      </w:r>
      <w:r w:rsidR="003B50ED">
        <w:rPr>
          <w:rFonts w:eastAsia="Calibri" w:cstheme="minorHAnsi"/>
        </w:rPr>
        <w:t xml:space="preserve"> </w:t>
      </w:r>
    </w:p>
    <w:p w14:paraId="48EBD0A2" w14:textId="77777777" w:rsidR="00037899" w:rsidRDefault="00037899" w:rsidP="00037899">
      <w:pPr>
        <w:spacing w:line="276" w:lineRule="auto"/>
        <w:jc w:val="both"/>
        <w:rPr>
          <w:rFonts w:eastAsia="Calibri" w:cstheme="minorHAnsi"/>
          <w:b/>
          <w:bCs/>
        </w:rPr>
      </w:pPr>
      <w:r>
        <w:rPr>
          <w:rFonts w:eastAsia="Calibri" w:cstheme="minorHAnsi"/>
        </w:rPr>
        <w:t xml:space="preserve">- </w:t>
      </w:r>
      <w:r w:rsidR="00E2372E" w:rsidRPr="00A26C26">
        <w:rPr>
          <w:rFonts w:eastAsia="Calibri" w:cstheme="minorHAnsi"/>
          <w:b/>
          <w:bCs/>
        </w:rPr>
        <w:t>partnerstwo</w:t>
      </w:r>
      <w:r w:rsidR="003B50ED">
        <w:rPr>
          <w:rFonts w:eastAsia="Calibri" w:cstheme="minorHAnsi"/>
          <w:b/>
          <w:bCs/>
        </w:rPr>
        <w:t xml:space="preserve"> </w:t>
      </w:r>
      <w:r w:rsidR="00E2372E" w:rsidRPr="00A26C26">
        <w:rPr>
          <w:rFonts w:eastAsia="Calibri" w:cstheme="minorHAnsi"/>
          <w:b/>
          <w:bCs/>
        </w:rPr>
        <w:t>na</w:t>
      </w:r>
      <w:r w:rsidR="003B50ED">
        <w:rPr>
          <w:rFonts w:eastAsia="Calibri" w:cstheme="minorHAnsi"/>
          <w:b/>
          <w:bCs/>
        </w:rPr>
        <w:t xml:space="preserve"> </w:t>
      </w:r>
      <w:r w:rsidR="00E2372E" w:rsidRPr="00A26C26">
        <w:rPr>
          <w:rFonts w:eastAsia="Calibri" w:cstheme="minorHAnsi"/>
          <w:b/>
          <w:bCs/>
        </w:rPr>
        <w:t>obszarze</w:t>
      </w:r>
      <w:r w:rsidR="003B50ED">
        <w:rPr>
          <w:rFonts w:eastAsia="Calibri" w:cstheme="minorHAnsi"/>
        </w:rPr>
        <w:t xml:space="preserve"> </w:t>
      </w:r>
      <w:r w:rsidR="00E2372E" w:rsidRPr="00A26C26">
        <w:rPr>
          <w:rFonts w:eastAsia="Calibri" w:cstheme="minorHAnsi"/>
          <w:b/>
          <w:bCs/>
        </w:rPr>
        <w:t>poprzez</w:t>
      </w:r>
      <w:r w:rsidR="003B50ED">
        <w:rPr>
          <w:rFonts w:eastAsia="Calibri" w:cstheme="minorHAnsi"/>
          <w:b/>
          <w:bCs/>
        </w:rPr>
        <w:t xml:space="preserve"> </w:t>
      </w:r>
      <w:r w:rsidR="00E2372E" w:rsidRPr="00A26C26">
        <w:rPr>
          <w:rFonts w:eastAsia="Calibri" w:cstheme="minorHAnsi"/>
          <w:b/>
          <w:bCs/>
        </w:rPr>
        <w:t>operacje</w:t>
      </w:r>
      <w:r w:rsidR="003B50ED">
        <w:rPr>
          <w:rFonts w:eastAsia="Calibri" w:cstheme="minorHAnsi"/>
          <w:b/>
          <w:bCs/>
        </w:rPr>
        <w:t xml:space="preserve"> </w:t>
      </w:r>
      <w:r w:rsidR="00E2372E" w:rsidRPr="00A26C26">
        <w:rPr>
          <w:rFonts w:eastAsia="Calibri" w:cstheme="minorHAnsi"/>
          <w:b/>
          <w:bCs/>
        </w:rPr>
        <w:t>w</w:t>
      </w:r>
      <w:r w:rsidR="003B50ED">
        <w:rPr>
          <w:rFonts w:eastAsia="Calibri" w:cstheme="minorHAnsi"/>
          <w:b/>
          <w:bCs/>
        </w:rPr>
        <w:t xml:space="preserve"> </w:t>
      </w:r>
      <w:r w:rsidR="00E2372E" w:rsidRPr="00A26C26">
        <w:rPr>
          <w:rFonts w:eastAsia="Calibri" w:cstheme="minorHAnsi"/>
          <w:b/>
          <w:bCs/>
        </w:rPr>
        <w:t>partnerstwie</w:t>
      </w:r>
      <w:r w:rsidR="003B50ED">
        <w:rPr>
          <w:rFonts w:eastAsia="Calibri" w:cstheme="minorHAnsi"/>
          <w:b/>
          <w:bCs/>
        </w:rPr>
        <w:t xml:space="preserve"> </w:t>
      </w:r>
      <w:r w:rsidR="00E2372E" w:rsidRPr="00A26C26">
        <w:rPr>
          <w:rFonts w:eastAsia="Calibri" w:cstheme="minorHAnsi"/>
        </w:rPr>
        <w:t>(wspólne</w:t>
      </w:r>
      <w:r w:rsidR="003B50ED">
        <w:rPr>
          <w:rFonts w:eastAsia="Calibri" w:cstheme="minorHAnsi"/>
        </w:rPr>
        <w:t xml:space="preserve"> </w:t>
      </w:r>
      <w:r w:rsidR="00E2372E" w:rsidRPr="00A26C26">
        <w:rPr>
          <w:rFonts w:eastAsia="Calibri" w:cstheme="minorHAnsi"/>
        </w:rPr>
        <w:t>działania</w:t>
      </w:r>
      <w:r w:rsidR="003B50ED">
        <w:rPr>
          <w:rFonts w:eastAsia="Calibri" w:cstheme="minorHAnsi"/>
        </w:rPr>
        <w:t xml:space="preserve"> </w:t>
      </w:r>
      <w:r w:rsidR="00E2372E" w:rsidRPr="00A26C26">
        <w:rPr>
          <w:rFonts w:eastAsia="Calibri" w:cstheme="minorHAnsi"/>
        </w:rPr>
        <w:t>i</w:t>
      </w:r>
      <w:r w:rsidR="003B50ED">
        <w:rPr>
          <w:rFonts w:eastAsia="Calibri" w:cstheme="minorHAnsi"/>
        </w:rPr>
        <w:t xml:space="preserve"> </w:t>
      </w:r>
      <w:r w:rsidR="00E2372E" w:rsidRPr="00A26C26">
        <w:rPr>
          <w:rFonts w:eastAsia="Calibri" w:cstheme="minorHAnsi"/>
        </w:rPr>
        <w:t>rozwiązania</w:t>
      </w:r>
      <w:r w:rsidR="003B50ED">
        <w:rPr>
          <w:rFonts w:eastAsia="Calibri" w:cstheme="minorHAnsi"/>
        </w:rPr>
        <w:t xml:space="preserve"> </w:t>
      </w:r>
      <w:r w:rsidR="00E2372E" w:rsidRPr="00A26C26">
        <w:rPr>
          <w:rFonts w:eastAsia="Calibri" w:cstheme="minorHAnsi"/>
        </w:rPr>
        <w:t>dla</w:t>
      </w:r>
      <w:r w:rsidR="003B50ED">
        <w:rPr>
          <w:rFonts w:eastAsia="Calibri" w:cstheme="minorHAnsi"/>
        </w:rPr>
        <w:t xml:space="preserve"> </w:t>
      </w:r>
      <w:r w:rsidR="00E2372E" w:rsidRPr="00A26C26">
        <w:rPr>
          <w:rFonts w:eastAsia="Calibri" w:cstheme="minorHAnsi"/>
        </w:rPr>
        <w:t>problemów</w:t>
      </w:r>
      <w:r w:rsidR="003B50ED">
        <w:rPr>
          <w:rFonts w:eastAsia="Calibri" w:cstheme="minorHAnsi"/>
        </w:rPr>
        <w:t xml:space="preserve"> </w:t>
      </w:r>
      <w:r w:rsidR="00E2372E" w:rsidRPr="00A26C26">
        <w:rPr>
          <w:rFonts w:eastAsia="Calibri" w:cstheme="minorHAnsi"/>
        </w:rPr>
        <w:t>obszaru</w:t>
      </w:r>
      <w:r w:rsidR="003B50ED">
        <w:rPr>
          <w:rFonts w:eastAsia="Calibri" w:cstheme="minorHAnsi"/>
        </w:rPr>
        <w:t xml:space="preserve"> </w:t>
      </w:r>
      <w:r w:rsidR="00E2372E" w:rsidRPr="00A26C26">
        <w:rPr>
          <w:rFonts w:eastAsia="Calibri" w:cstheme="minorHAnsi"/>
        </w:rPr>
        <w:t>LSR,</w:t>
      </w:r>
      <w:r w:rsidR="003B50ED">
        <w:rPr>
          <w:rFonts w:eastAsia="Calibri" w:cstheme="minorHAnsi"/>
        </w:rPr>
        <w:t xml:space="preserve"> </w:t>
      </w:r>
      <w:r w:rsidR="00E2372E" w:rsidRPr="00A26C26">
        <w:rPr>
          <w:rFonts w:eastAsia="Calibri" w:cstheme="minorHAnsi"/>
        </w:rPr>
        <w:t>korzyści</w:t>
      </w:r>
      <w:r w:rsidR="003B50ED">
        <w:rPr>
          <w:rFonts w:eastAsia="Calibri" w:cstheme="minorHAnsi"/>
        </w:rPr>
        <w:t xml:space="preserve"> </w:t>
      </w:r>
      <w:r w:rsidR="00E2372E" w:rsidRPr="00A26C26">
        <w:rPr>
          <w:rFonts w:eastAsia="Calibri" w:cstheme="minorHAnsi"/>
        </w:rPr>
        <w:t>ze</w:t>
      </w:r>
      <w:r w:rsidR="003B50ED">
        <w:rPr>
          <w:rFonts w:eastAsia="Calibri" w:cstheme="minorHAnsi"/>
        </w:rPr>
        <w:t xml:space="preserve"> </w:t>
      </w:r>
      <w:r w:rsidR="00E2372E" w:rsidRPr="00A26C26">
        <w:rPr>
          <w:rFonts w:eastAsia="Calibri" w:cstheme="minorHAnsi"/>
        </w:rPr>
        <w:t>współpracy)</w:t>
      </w:r>
      <w:r w:rsidR="003B50ED">
        <w:rPr>
          <w:rFonts w:eastAsia="Calibri" w:cstheme="minorHAnsi"/>
          <w:b/>
          <w:bCs/>
        </w:rPr>
        <w:t xml:space="preserve"> </w:t>
      </w:r>
    </w:p>
    <w:p w14:paraId="238DC161" w14:textId="0A439302" w:rsidR="00037899" w:rsidRDefault="00037899" w:rsidP="00037899">
      <w:pPr>
        <w:spacing w:line="276" w:lineRule="auto"/>
        <w:jc w:val="both"/>
        <w:rPr>
          <w:rFonts w:eastAsia="Calibri" w:cstheme="minorHAnsi"/>
        </w:rPr>
      </w:pPr>
      <w:r>
        <w:rPr>
          <w:rFonts w:eastAsia="Calibri" w:cstheme="minorHAnsi"/>
          <w:b/>
          <w:bCs/>
        </w:rPr>
        <w:t xml:space="preserve">- </w:t>
      </w:r>
      <w:r w:rsidR="00E2372E" w:rsidRPr="00A26C26">
        <w:rPr>
          <w:rFonts w:eastAsia="Calibri" w:cstheme="minorHAnsi"/>
          <w:b/>
          <w:bCs/>
        </w:rPr>
        <w:t>projekty</w:t>
      </w:r>
      <w:r w:rsidR="003B50ED">
        <w:rPr>
          <w:rFonts w:eastAsia="Calibri" w:cstheme="minorHAnsi"/>
          <w:b/>
          <w:bCs/>
        </w:rPr>
        <w:t xml:space="preserve"> </w:t>
      </w:r>
      <w:r w:rsidR="00E2372E" w:rsidRPr="00A26C26">
        <w:rPr>
          <w:rFonts w:eastAsia="Calibri" w:cstheme="minorHAnsi"/>
          <w:b/>
          <w:bCs/>
        </w:rPr>
        <w:t>partnerskie</w:t>
      </w:r>
      <w:r w:rsidR="003B50ED">
        <w:rPr>
          <w:rFonts w:eastAsia="Calibri" w:cstheme="minorHAnsi"/>
        </w:rPr>
        <w:t xml:space="preserve"> </w:t>
      </w:r>
      <w:r w:rsidR="00E2372E" w:rsidRPr="00A26C26">
        <w:rPr>
          <w:rFonts w:eastAsia="Calibri" w:cstheme="minorHAnsi"/>
        </w:rPr>
        <w:t>(wymiana</w:t>
      </w:r>
      <w:r w:rsidR="003B50ED">
        <w:rPr>
          <w:rFonts w:eastAsia="Calibri" w:cstheme="minorHAnsi"/>
        </w:rPr>
        <w:t xml:space="preserve"> </w:t>
      </w:r>
      <w:r w:rsidR="00E2372E" w:rsidRPr="00A26C26">
        <w:rPr>
          <w:rFonts w:eastAsia="Calibri" w:cstheme="minorHAnsi"/>
        </w:rPr>
        <w:t>doświadczeń,</w:t>
      </w:r>
      <w:r w:rsidR="003B50ED">
        <w:rPr>
          <w:rFonts w:eastAsia="Calibri" w:cstheme="minorHAnsi"/>
        </w:rPr>
        <w:t xml:space="preserve"> </w:t>
      </w:r>
      <w:r w:rsidR="00E2372E" w:rsidRPr="00A26C26">
        <w:rPr>
          <w:rFonts w:eastAsia="Calibri" w:cstheme="minorHAnsi"/>
        </w:rPr>
        <w:t>wspólne</w:t>
      </w:r>
      <w:r w:rsidR="003B50ED">
        <w:rPr>
          <w:rFonts w:eastAsia="Calibri" w:cstheme="minorHAnsi"/>
        </w:rPr>
        <w:t xml:space="preserve"> </w:t>
      </w:r>
      <w:r w:rsidR="00E2372E" w:rsidRPr="00A26C26">
        <w:rPr>
          <w:rFonts w:eastAsia="Calibri" w:cstheme="minorHAnsi"/>
        </w:rPr>
        <w:t>działania</w:t>
      </w:r>
      <w:r w:rsidR="003B50ED">
        <w:rPr>
          <w:rFonts w:eastAsia="Calibri" w:cstheme="minorHAnsi"/>
        </w:rPr>
        <w:t xml:space="preserve"> </w:t>
      </w:r>
      <w:r w:rsidR="00E2372E" w:rsidRPr="00A26C26">
        <w:rPr>
          <w:rFonts w:eastAsia="Calibri" w:cstheme="minorHAnsi"/>
        </w:rPr>
        <w:t>i</w:t>
      </w:r>
      <w:r w:rsidR="003B50ED">
        <w:rPr>
          <w:rFonts w:eastAsia="Calibri" w:cstheme="minorHAnsi"/>
        </w:rPr>
        <w:t xml:space="preserve"> </w:t>
      </w:r>
      <w:r w:rsidR="00E2372E" w:rsidRPr="00A26C26">
        <w:rPr>
          <w:rFonts w:eastAsia="Calibri" w:cstheme="minorHAnsi"/>
        </w:rPr>
        <w:t>rozwiązania</w:t>
      </w:r>
      <w:r w:rsidR="003B50ED">
        <w:rPr>
          <w:rFonts w:eastAsia="Calibri" w:cstheme="minorHAnsi"/>
        </w:rPr>
        <w:t xml:space="preserve"> </w:t>
      </w:r>
      <w:r w:rsidR="00E2372E" w:rsidRPr="00A26C26">
        <w:rPr>
          <w:rFonts w:eastAsia="Calibri" w:cstheme="minorHAnsi"/>
        </w:rPr>
        <w:t>dla</w:t>
      </w:r>
      <w:r w:rsidR="003B50ED">
        <w:rPr>
          <w:rFonts w:eastAsia="Calibri" w:cstheme="minorHAnsi"/>
        </w:rPr>
        <w:t xml:space="preserve"> </w:t>
      </w:r>
      <w:r w:rsidR="00E2372E" w:rsidRPr="00A26C26">
        <w:rPr>
          <w:rFonts w:eastAsia="Calibri" w:cstheme="minorHAnsi"/>
        </w:rPr>
        <w:t>problemów</w:t>
      </w:r>
      <w:r w:rsidR="003B50ED">
        <w:rPr>
          <w:rFonts w:eastAsia="Calibri" w:cstheme="minorHAnsi"/>
        </w:rPr>
        <w:t xml:space="preserve"> </w:t>
      </w:r>
      <w:r w:rsidR="00E2372E" w:rsidRPr="00A26C26">
        <w:rPr>
          <w:rFonts w:eastAsia="Calibri" w:cstheme="minorHAnsi"/>
        </w:rPr>
        <w:t>obszaru</w:t>
      </w:r>
      <w:r w:rsidR="003B50ED">
        <w:rPr>
          <w:rFonts w:eastAsia="Calibri" w:cstheme="minorHAnsi"/>
        </w:rPr>
        <w:t xml:space="preserve"> </w:t>
      </w:r>
      <w:r w:rsidR="00E2372E" w:rsidRPr="00A26C26">
        <w:rPr>
          <w:rFonts w:eastAsia="Calibri" w:cstheme="minorHAnsi"/>
        </w:rPr>
        <w:t>LSR,</w:t>
      </w:r>
      <w:r w:rsidR="003B50ED">
        <w:rPr>
          <w:rFonts w:eastAsia="Calibri" w:cstheme="minorHAnsi"/>
        </w:rPr>
        <w:t xml:space="preserve"> </w:t>
      </w:r>
      <w:r w:rsidR="00E2372E" w:rsidRPr="00A26C26">
        <w:rPr>
          <w:rFonts w:eastAsia="Calibri" w:cstheme="minorHAnsi"/>
        </w:rPr>
        <w:t>korzyści</w:t>
      </w:r>
      <w:r w:rsidR="003B50ED">
        <w:rPr>
          <w:rFonts w:eastAsia="Calibri" w:cstheme="minorHAnsi"/>
        </w:rPr>
        <w:t xml:space="preserve"> </w:t>
      </w:r>
      <w:r w:rsidR="00E2372E" w:rsidRPr="00A26C26">
        <w:rPr>
          <w:rFonts w:eastAsia="Calibri" w:cstheme="minorHAnsi"/>
        </w:rPr>
        <w:t>ze</w:t>
      </w:r>
      <w:r w:rsidR="003B50ED">
        <w:rPr>
          <w:rFonts w:eastAsia="Calibri" w:cstheme="minorHAnsi"/>
        </w:rPr>
        <w:t xml:space="preserve"> </w:t>
      </w:r>
      <w:r w:rsidR="00E2372E" w:rsidRPr="00A26C26">
        <w:rPr>
          <w:rFonts w:eastAsia="Calibri" w:cstheme="minorHAnsi"/>
        </w:rPr>
        <w:t>współpracy,</w:t>
      </w:r>
      <w:r w:rsidR="003B50ED">
        <w:rPr>
          <w:rFonts w:eastAsia="Calibri" w:cstheme="minorHAnsi"/>
        </w:rPr>
        <w:t xml:space="preserve"> </w:t>
      </w:r>
      <w:r w:rsidR="00E2372E" w:rsidRPr="00A26C26">
        <w:rPr>
          <w:rFonts w:eastAsia="Calibri" w:cstheme="minorHAnsi"/>
        </w:rPr>
        <w:t>zachęcanie</w:t>
      </w:r>
      <w:r w:rsidR="003B50ED">
        <w:rPr>
          <w:rFonts w:eastAsia="Calibri" w:cstheme="minorHAnsi"/>
        </w:rPr>
        <w:t xml:space="preserve"> </w:t>
      </w:r>
      <w:r w:rsidR="00E2372E" w:rsidRPr="00A26C26">
        <w:rPr>
          <w:rFonts w:eastAsia="Calibri" w:cstheme="minorHAnsi"/>
        </w:rPr>
        <w:t>do</w:t>
      </w:r>
      <w:r w:rsidR="003B50ED">
        <w:rPr>
          <w:rFonts w:eastAsia="Calibri" w:cstheme="minorHAnsi"/>
        </w:rPr>
        <w:t xml:space="preserve"> </w:t>
      </w:r>
      <w:r w:rsidR="00E2372E" w:rsidRPr="00A26C26">
        <w:rPr>
          <w:rFonts w:eastAsia="Calibri" w:cstheme="minorHAnsi"/>
        </w:rPr>
        <w:t>współpracy</w:t>
      </w:r>
      <w:r w:rsidR="003B50ED">
        <w:rPr>
          <w:rFonts w:eastAsia="Calibri" w:cstheme="minorHAnsi"/>
        </w:rPr>
        <w:t xml:space="preserve"> </w:t>
      </w:r>
      <w:r w:rsidR="00E2372E" w:rsidRPr="00A26C26">
        <w:rPr>
          <w:rFonts w:eastAsia="Calibri" w:cstheme="minorHAnsi"/>
        </w:rPr>
        <w:t>i</w:t>
      </w:r>
      <w:r w:rsidR="003B50ED">
        <w:rPr>
          <w:rFonts w:eastAsia="Calibri" w:cstheme="minorHAnsi"/>
        </w:rPr>
        <w:t xml:space="preserve"> </w:t>
      </w:r>
      <w:r w:rsidR="00E2372E" w:rsidRPr="00A26C26">
        <w:rPr>
          <w:rFonts w:eastAsia="Calibri" w:cstheme="minorHAnsi"/>
        </w:rPr>
        <w:t>zgłaszania</w:t>
      </w:r>
      <w:r w:rsidR="003B50ED">
        <w:rPr>
          <w:rFonts w:eastAsia="Calibri" w:cstheme="minorHAnsi"/>
        </w:rPr>
        <w:t xml:space="preserve"> </w:t>
      </w:r>
      <w:r w:rsidR="00E2372E" w:rsidRPr="00A26C26">
        <w:rPr>
          <w:rFonts w:eastAsia="Calibri" w:cstheme="minorHAnsi"/>
        </w:rPr>
        <w:t>nowych</w:t>
      </w:r>
      <w:r w:rsidR="003B50ED">
        <w:rPr>
          <w:rFonts w:eastAsia="Calibri" w:cstheme="minorHAnsi"/>
        </w:rPr>
        <w:t xml:space="preserve"> </w:t>
      </w:r>
      <w:r w:rsidR="00E2372E" w:rsidRPr="00A26C26">
        <w:rPr>
          <w:rFonts w:eastAsia="Calibri" w:cstheme="minorHAnsi"/>
        </w:rPr>
        <w:t>pomysłów,</w:t>
      </w:r>
      <w:r w:rsidR="003B50ED">
        <w:rPr>
          <w:rFonts w:eastAsia="Calibri" w:cstheme="minorHAnsi"/>
        </w:rPr>
        <w:t xml:space="preserve"> </w:t>
      </w:r>
      <w:r w:rsidR="00E2372E" w:rsidRPr="00A26C26">
        <w:rPr>
          <w:rFonts w:eastAsia="Calibri" w:cstheme="minorHAnsi"/>
        </w:rPr>
        <w:t>poszukiwanie</w:t>
      </w:r>
      <w:r w:rsidR="003B50ED">
        <w:rPr>
          <w:rFonts w:eastAsia="Calibri" w:cstheme="minorHAnsi"/>
        </w:rPr>
        <w:t xml:space="preserve"> </w:t>
      </w:r>
      <w:r w:rsidR="00E2372E" w:rsidRPr="00A26C26">
        <w:rPr>
          <w:rFonts w:eastAsia="Calibri" w:cstheme="minorHAnsi"/>
        </w:rPr>
        <w:t>i</w:t>
      </w:r>
      <w:r w:rsidR="003B50ED">
        <w:rPr>
          <w:rFonts w:eastAsia="Calibri" w:cstheme="minorHAnsi"/>
        </w:rPr>
        <w:t xml:space="preserve"> </w:t>
      </w:r>
      <w:r w:rsidR="00E2372E" w:rsidRPr="00A26C26">
        <w:rPr>
          <w:rFonts w:eastAsia="Calibri" w:cstheme="minorHAnsi"/>
        </w:rPr>
        <w:t>kojarzenie</w:t>
      </w:r>
      <w:r w:rsidR="003B50ED">
        <w:rPr>
          <w:rFonts w:eastAsia="Calibri" w:cstheme="minorHAnsi"/>
        </w:rPr>
        <w:t xml:space="preserve"> </w:t>
      </w:r>
      <w:r w:rsidR="00E2372E" w:rsidRPr="00A26C26">
        <w:rPr>
          <w:rFonts w:eastAsia="Calibri" w:cstheme="minorHAnsi"/>
        </w:rPr>
        <w:t>parterów</w:t>
      </w:r>
      <w:r w:rsidR="003B50ED">
        <w:rPr>
          <w:rFonts w:eastAsia="Calibri" w:cstheme="minorHAnsi"/>
        </w:rPr>
        <w:t xml:space="preserve"> </w:t>
      </w:r>
      <w:r w:rsidR="00D02820">
        <w:rPr>
          <w:rFonts w:eastAsia="Calibri" w:cstheme="minorHAnsi"/>
        </w:rPr>
        <w:t xml:space="preserve"> </w:t>
      </w:r>
      <w:r w:rsidR="00E2372E" w:rsidRPr="00A26C26">
        <w:rPr>
          <w:rFonts w:eastAsia="Calibri" w:cstheme="minorHAnsi"/>
        </w:rPr>
        <w:t>w</w:t>
      </w:r>
      <w:r w:rsidR="003B50ED">
        <w:rPr>
          <w:rFonts w:eastAsia="Calibri" w:cstheme="minorHAnsi"/>
        </w:rPr>
        <w:t xml:space="preserve"> </w:t>
      </w:r>
      <w:r w:rsidR="00E2372E" w:rsidRPr="00A26C26">
        <w:rPr>
          <w:rFonts w:eastAsia="Calibri" w:cstheme="minorHAnsi"/>
        </w:rPr>
        <w:t>ramach</w:t>
      </w:r>
      <w:r w:rsidR="003B50ED">
        <w:rPr>
          <w:rFonts w:eastAsia="Calibri" w:cstheme="minorHAnsi"/>
        </w:rPr>
        <w:t xml:space="preserve"> </w:t>
      </w:r>
      <w:r w:rsidR="00E2372E" w:rsidRPr="00A26C26">
        <w:rPr>
          <w:rFonts w:eastAsia="Calibri" w:cstheme="minorHAnsi"/>
        </w:rPr>
        <w:t>operacji</w:t>
      </w:r>
      <w:r w:rsidR="003B50ED">
        <w:rPr>
          <w:rFonts w:eastAsia="Calibri" w:cstheme="minorHAnsi"/>
        </w:rPr>
        <w:t xml:space="preserve"> </w:t>
      </w:r>
      <w:r w:rsidR="00E2372E" w:rsidRPr="00A26C26">
        <w:rPr>
          <w:rFonts w:eastAsia="Calibri" w:cstheme="minorHAnsi"/>
        </w:rPr>
        <w:t>realizowanych</w:t>
      </w:r>
      <w:r w:rsidR="003B50ED">
        <w:rPr>
          <w:rFonts w:eastAsia="Calibri" w:cstheme="minorHAnsi"/>
        </w:rPr>
        <w:t xml:space="preserve"> </w:t>
      </w:r>
      <w:r w:rsidR="00E2372E" w:rsidRPr="00A26C26">
        <w:rPr>
          <w:rFonts w:eastAsia="Calibri" w:cstheme="minorHAnsi"/>
        </w:rPr>
        <w:t>w</w:t>
      </w:r>
      <w:r w:rsidR="003B50ED">
        <w:rPr>
          <w:rFonts w:eastAsia="Calibri" w:cstheme="minorHAnsi"/>
        </w:rPr>
        <w:t xml:space="preserve"> </w:t>
      </w:r>
      <w:r w:rsidR="00E2372E" w:rsidRPr="00A26C26">
        <w:rPr>
          <w:rFonts w:eastAsia="Calibri" w:cstheme="minorHAnsi"/>
        </w:rPr>
        <w:t>partnerstwie</w:t>
      </w:r>
      <w:r w:rsidR="003B50ED">
        <w:rPr>
          <w:rFonts w:eastAsia="Calibri" w:cstheme="minorHAnsi"/>
        </w:rPr>
        <w:t xml:space="preserve"> </w:t>
      </w:r>
      <w:r w:rsidR="00E2372E" w:rsidRPr="00A26C26">
        <w:rPr>
          <w:rFonts w:eastAsia="Calibri" w:cstheme="minorHAnsi"/>
        </w:rPr>
        <w:t>poprzez</w:t>
      </w:r>
      <w:r w:rsidR="003B50ED">
        <w:rPr>
          <w:rFonts w:eastAsia="Calibri" w:cstheme="minorHAnsi"/>
        </w:rPr>
        <w:t xml:space="preserve"> </w:t>
      </w:r>
      <w:r w:rsidR="00E2372E" w:rsidRPr="00A26C26">
        <w:rPr>
          <w:rFonts w:eastAsia="Calibri" w:cstheme="minorHAnsi"/>
        </w:rPr>
        <w:t>nabór</w:t>
      </w:r>
      <w:r w:rsidR="003B50ED">
        <w:rPr>
          <w:rFonts w:eastAsia="Calibri" w:cstheme="minorHAnsi"/>
        </w:rPr>
        <w:t xml:space="preserve"> </w:t>
      </w:r>
      <w:r w:rsidR="00E2372E" w:rsidRPr="00A26C26">
        <w:rPr>
          <w:rFonts w:eastAsia="Calibri" w:cstheme="minorHAnsi"/>
        </w:rPr>
        <w:t>fiszek</w:t>
      </w:r>
      <w:r w:rsidR="003B50ED">
        <w:rPr>
          <w:rFonts w:eastAsia="Calibri" w:cstheme="minorHAnsi"/>
        </w:rPr>
        <w:t xml:space="preserve"> </w:t>
      </w:r>
      <w:r w:rsidR="00E2372E" w:rsidRPr="00A26C26">
        <w:rPr>
          <w:rFonts w:eastAsia="Calibri" w:cstheme="minorHAnsi"/>
        </w:rPr>
        <w:t>z</w:t>
      </w:r>
      <w:r w:rsidR="003B50ED">
        <w:rPr>
          <w:rFonts w:eastAsia="Calibri" w:cstheme="minorHAnsi"/>
        </w:rPr>
        <w:t xml:space="preserve"> </w:t>
      </w:r>
      <w:r w:rsidR="00E2372E" w:rsidRPr="00A26C26">
        <w:rPr>
          <w:rFonts w:eastAsia="Calibri" w:cstheme="minorHAnsi"/>
        </w:rPr>
        <w:t>pomysłami,</w:t>
      </w:r>
      <w:r w:rsidR="003B50ED">
        <w:rPr>
          <w:rFonts w:eastAsia="Calibri" w:cstheme="minorHAnsi"/>
        </w:rPr>
        <w:t xml:space="preserve"> </w:t>
      </w:r>
      <w:r w:rsidR="00E2372E" w:rsidRPr="00A26C26">
        <w:rPr>
          <w:rFonts w:eastAsia="Calibri" w:cstheme="minorHAnsi"/>
        </w:rPr>
        <w:t>formularz</w:t>
      </w:r>
      <w:r w:rsidR="003B50ED">
        <w:rPr>
          <w:rFonts w:eastAsia="Calibri" w:cstheme="minorHAnsi"/>
        </w:rPr>
        <w:t xml:space="preserve"> </w:t>
      </w:r>
      <w:r w:rsidR="00E2372E" w:rsidRPr="00A26C26">
        <w:rPr>
          <w:rFonts w:eastAsia="Calibri" w:cstheme="minorHAnsi"/>
        </w:rPr>
        <w:t>kontaktowy</w:t>
      </w:r>
      <w:r w:rsidR="003B50ED">
        <w:rPr>
          <w:rFonts w:eastAsia="Calibri" w:cstheme="minorHAnsi"/>
        </w:rPr>
        <w:t xml:space="preserve"> </w:t>
      </w:r>
      <w:r w:rsidR="00E2372E" w:rsidRPr="00A26C26">
        <w:rPr>
          <w:rFonts w:eastAsia="Calibri" w:cstheme="minorHAnsi"/>
        </w:rPr>
        <w:t>na</w:t>
      </w:r>
      <w:r w:rsidR="003B50ED">
        <w:rPr>
          <w:rFonts w:eastAsia="Calibri" w:cstheme="minorHAnsi"/>
        </w:rPr>
        <w:t xml:space="preserve"> </w:t>
      </w:r>
      <w:r w:rsidR="00E2372E" w:rsidRPr="00A26C26">
        <w:rPr>
          <w:rFonts w:eastAsia="Calibri" w:cstheme="minorHAnsi"/>
        </w:rPr>
        <w:t>stronie</w:t>
      </w:r>
      <w:r w:rsidR="003B50ED">
        <w:rPr>
          <w:rFonts w:eastAsia="Calibri" w:cstheme="minorHAnsi"/>
        </w:rPr>
        <w:t xml:space="preserve"> </w:t>
      </w:r>
      <w:r w:rsidR="00E2372E" w:rsidRPr="00A26C26">
        <w:rPr>
          <w:rFonts w:eastAsia="Calibri" w:cstheme="minorHAnsi"/>
        </w:rPr>
        <w:t>internetowej,</w:t>
      </w:r>
      <w:r w:rsidR="003B50ED">
        <w:rPr>
          <w:rFonts w:eastAsia="Calibri" w:cstheme="minorHAnsi"/>
        </w:rPr>
        <w:t xml:space="preserve"> </w:t>
      </w:r>
      <w:r w:rsidR="00E2372E" w:rsidRPr="00A26C26">
        <w:rPr>
          <w:rFonts w:eastAsia="Calibri" w:cstheme="minorHAnsi"/>
        </w:rPr>
        <w:t>szkolenia,</w:t>
      </w:r>
      <w:r w:rsidR="003B50ED">
        <w:rPr>
          <w:rFonts w:eastAsia="Calibri" w:cstheme="minorHAnsi"/>
        </w:rPr>
        <w:t xml:space="preserve"> </w:t>
      </w:r>
      <w:r w:rsidR="00E2372E" w:rsidRPr="00A26C26">
        <w:rPr>
          <w:rFonts w:eastAsia="Calibri" w:cstheme="minorHAnsi"/>
        </w:rPr>
        <w:t>spotkania</w:t>
      </w:r>
      <w:r w:rsidR="003B50ED">
        <w:rPr>
          <w:rFonts w:eastAsia="Calibri" w:cstheme="minorHAnsi"/>
        </w:rPr>
        <w:t xml:space="preserve"> </w:t>
      </w:r>
      <w:r w:rsidR="00E2372E" w:rsidRPr="00A26C26">
        <w:rPr>
          <w:rFonts w:eastAsia="Calibri" w:cstheme="minorHAnsi"/>
        </w:rPr>
        <w:t>aktywizujące,</w:t>
      </w:r>
      <w:r w:rsidR="003B50ED">
        <w:rPr>
          <w:rFonts w:eastAsia="Calibri" w:cstheme="minorHAnsi"/>
        </w:rPr>
        <w:t xml:space="preserve"> </w:t>
      </w:r>
      <w:r w:rsidR="00E2372E" w:rsidRPr="00A26C26">
        <w:rPr>
          <w:rFonts w:eastAsia="Calibri" w:cstheme="minorHAnsi"/>
        </w:rPr>
        <w:t>kojarzenie</w:t>
      </w:r>
      <w:r w:rsidR="003B50ED">
        <w:rPr>
          <w:rFonts w:eastAsia="Calibri" w:cstheme="minorHAnsi"/>
        </w:rPr>
        <w:t xml:space="preserve"> </w:t>
      </w:r>
      <w:r w:rsidR="00E2372E" w:rsidRPr="00A26C26">
        <w:rPr>
          <w:rFonts w:eastAsia="Calibri" w:cstheme="minorHAnsi"/>
        </w:rPr>
        <w:t>parterów,</w:t>
      </w:r>
      <w:r w:rsidR="003B50ED">
        <w:rPr>
          <w:rFonts w:eastAsia="Calibri" w:cstheme="minorHAnsi"/>
        </w:rPr>
        <w:t xml:space="preserve"> </w:t>
      </w:r>
      <w:r w:rsidR="00E2372E" w:rsidRPr="00A26C26">
        <w:rPr>
          <w:rFonts w:eastAsia="Calibri" w:cstheme="minorHAnsi"/>
        </w:rPr>
        <w:t>udostępnienie</w:t>
      </w:r>
      <w:r w:rsidR="003B50ED">
        <w:rPr>
          <w:rFonts w:eastAsia="Calibri" w:cstheme="minorHAnsi"/>
        </w:rPr>
        <w:t xml:space="preserve"> </w:t>
      </w:r>
      <w:r w:rsidR="00E2372E" w:rsidRPr="00A26C26">
        <w:rPr>
          <w:rFonts w:eastAsia="Calibri" w:cstheme="minorHAnsi"/>
        </w:rPr>
        <w:t>wzorów</w:t>
      </w:r>
      <w:r w:rsidR="003B50ED">
        <w:rPr>
          <w:rFonts w:eastAsia="Calibri" w:cstheme="minorHAnsi"/>
        </w:rPr>
        <w:t xml:space="preserve"> </w:t>
      </w:r>
      <w:r w:rsidR="00E2372E" w:rsidRPr="00A26C26">
        <w:rPr>
          <w:rFonts w:eastAsia="Calibri" w:cstheme="minorHAnsi"/>
        </w:rPr>
        <w:t>umów</w:t>
      </w:r>
      <w:r w:rsidR="003B50ED">
        <w:rPr>
          <w:rFonts w:eastAsia="Calibri" w:cstheme="minorHAnsi"/>
        </w:rPr>
        <w:t xml:space="preserve"> </w:t>
      </w:r>
      <w:r w:rsidR="00E2372E" w:rsidRPr="00A26C26">
        <w:rPr>
          <w:rFonts w:eastAsia="Calibri" w:cstheme="minorHAnsi"/>
        </w:rPr>
        <w:t>partnerskich);</w:t>
      </w:r>
      <w:r w:rsidR="003B50ED">
        <w:rPr>
          <w:rFonts w:eastAsia="Calibri" w:cstheme="minorHAnsi"/>
        </w:rPr>
        <w:t xml:space="preserve"> </w:t>
      </w:r>
    </w:p>
    <w:p w14:paraId="14CC18F5" w14:textId="78B10711" w:rsidR="00037899" w:rsidRDefault="00037899" w:rsidP="00037899">
      <w:pPr>
        <w:spacing w:line="276" w:lineRule="auto"/>
        <w:jc w:val="both"/>
        <w:rPr>
          <w:rFonts w:eastAsia="Calibri" w:cstheme="minorHAnsi"/>
        </w:rPr>
      </w:pPr>
      <w:r>
        <w:rPr>
          <w:rFonts w:eastAsia="Calibri" w:cstheme="minorHAnsi"/>
        </w:rPr>
        <w:t xml:space="preserve">- </w:t>
      </w:r>
      <w:r w:rsidR="00E2372E" w:rsidRPr="00A26C26">
        <w:rPr>
          <w:rFonts w:eastAsia="Calibri" w:cstheme="minorHAnsi"/>
          <w:b/>
          <w:bCs/>
        </w:rPr>
        <w:t>innowacyjność</w:t>
      </w:r>
      <w:r w:rsidR="003B50ED">
        <w:rPr>
          <w:rFonts w:eastAsia="Calibri" w:cstheme="minorHAnsi"/>
        </w:rPr>
        <w:t xml:space="preserve"> </w:t>
      </w:r>
      <w:r w:rsidR="00E2372E" w:rsidRPr="00A26C26">
        <w:rPr>
          <w:rFonts w:eastAsia="Calibri" w:cstheme="minorHAnsi"/>
        </w:rPr>
        <w:t>(definicja</w:t>
      </w:r>
      <w:r w:rsidR="003B50ED">
        <w:rPr>
          <w:rFonts w:eastAsia="Calibri" w:cstheme="minorHAnsi"/>
        </w:rPr>
        <w:t xml:space="preserve"> </w:t>
      </w:r>
      <w:r w:rsidR="00E2372E" w:rsidRPr="00A26C26">
        <w:rPr>
          <w:rFonts w:eastAsia="Calibri" w:cstheme="minorHAnsi"/>
        </w:rPr>
        <w:t>innowacyjności,</w:t>
      </w:r>
      <w:r w:rsidR="003B50ED">
        <w:rPr>
          <w:rFonts w:eastAsia="Calibri" w:cstheme="minorHAnsi"/>
        </w:rPr>
        <w:t xml:space="preserve"> </w:t>
      </w:r>
      <w:r w:rsidR="00E2372E" w:rsidRPr="00A26C26">
        <w:rPr>
          <w:rFonts w:eastAsia="Calibri" w:cstheme="minorHAnsi"/>
        </w:rPr>
        <w:t>stopniowalna</w:t>
      </w:r>
      <w:r w:rsidR="003B50ED">
        <w:rPr>
          <w:rFonts w:eastAsia="Calibri" w:cstheme="minorHAnsi"/>
        </w:rPr>
        <w:t xml:space="preserve"> </w:t>
      </w:r>
      <w:r w:rsidR="00E2372E" w:rsidRPr="00A26C26">
        <w:rPr>
          <w:rFonts w:eastAsia="Calibri" w:cstheme="minorHAnsi"/>
        </w:rPr>
        <w:t>ocena</w:t>
      </w:r>
      <w:r w:rsidR="003B50ED">
        <w:rPr>
          <w:rFonts w:eastAsia="Calibri" w:cstheme="minorHAnsi"/>
        </w:rPr>
        <w:t xml:space="preserve"> </w:t>
      </w:r>
      <w:r w:rsidR="00E2372E" w:rsidRPr="00A26C26">
        <w:rPr>
          <w:rFonts w:eastAsia="Calibri" w:cstheme="minorHAnsi"/>
        </w:rPr>
        <w:t>innowacyjności,</w:t>
      </w:r>
      <w:r w:rsidR="003B50ED">
        <w:rPr>
          <w:rFonts w:eastAsia="Calibri" w:cstheme="minorHAnsi"/>
        </w:rPr>
        <w:t xml:space="preserve"> </w:t>
      </w:r>
      <w:r w:rsidR="00E2372E" w:rsidRPr="00A26C26">
        <w:rPr>
          <w:rFonts w:eastAsia="Calibri" w:cstheme="minorHAnsi"/>
        </w:rPr>
        <w:t>kontekst</w:t>
      </w:r>
      <w:r w:rsidR="003B50ED">
        <w:rPr>
          <w:rFonts w:eastAsia="Calibri" w:cstheme="minorHAnsi"/>
        </w:rPr>
        <w:t xml:space="preserve"> </w:t>
      </w:r>
      <w:r w:rsidR="00E2372E" w:rsidRPr="00A26C26">
        <w:rPr>
          <w:rFonts w:eastAsia="Calibri" w:cstheme="minorHAnsi"/>
        </w:rPr>
        <w:t>lokalny,</w:t>
      </w:r>
      <w:r w:rsidR="003B50ED">
        <w:rPr>
          <w:rFonts w:eastAsia="Calibri" w:cstheme="minorHAnsi"/>
        </w:rPr>
        <w:t xml:space="preserve"> </w:t>
      </w:r>
      <w:r w:rsidR="00E2372E" w:rsidRPr="00A26C26">
        <w:rPr>
          <w:rFonts w:eastAsia="Calibri" w:cstheme="minorHAnsi"/>
        </w:rPr>
        <w:t>wypracowanie</w:t>
      </w:r>
      <w:r w:rsidR="003B50ED">
        <w:rPr>
          <w:rFonts w:eastAsia="Calibri" w:cstheme="minorHAnsi"/>
        </w:rPr>
        <w:t xml:space="preserve"> </w:t>
      </w:r>
      <w:r w:rsidR="00E2372E" w:rsidRPr="00A26C26">
        <w:rPr>
          <w:rFonts w:eastAsia="Calibri" w:cstheme="minorHAnsi"/>
        </w:rPr>
        <w:t>uzasadnienie</w:t>
      </w:r>
      <w:r w:rsidR="003B50ED">
        <w:rPr>
          <w:rFonts w:eastAsia="Calibri" w:cstheme="minorHAnsi"/>
        </w:rPr>
        <w:t xml:space="preserve"> </w:t>
      </w:r>
      <w:r w:rsidR="00E2372E" w:rsidRPr="00A26C26">
        <w:rPr>
          <w:rFonts w:eastAsia="Calibri" w:cstheme="minorHAnsi"/>
        </w:rPr>
        <w:t>dla</w:t>
      </w:r>
      <w:r w:rsidR="003B50ED">
        <w:rPr>
          <w:rFonts w:eastAsia="Calibri" w:cstheme="minorHAnsi"/>
        </w:rPr>
        <w:t xml:space="preserve"> </w:t>
      </w:r>
      <w:r w:rsidR="00E2372E" w:rsidRPr="00A26C26">
        <w:rPr>
          <w:rFonts w:eastAsia="Calibri" w:cstheme="minorHAnsi"/>
        </w:rPr>
        <w:t>nowej</w:t>
      </w:r>
      <w:r w:rsidR="003B50ED">
        <w:rPr>
          <w:rFonts w:eastAsia="Calibri" w:cstheme="minorHAnsi"/>
        </w:rPr>
        <w:t xml:space="preserve"> </w:t>
      </w:r>
      <w:r w:rsidR="00E2372E" w:rsidRPr="00A26C26">
        <w:rPr>
          <w:rFonts w:eastAsia="Calibri" w:cstheme="minorHAnsi"/>
        </w:rPr>
        <w:t>definicji,</w:t>
      </w:r>
      <w:r w:rsidR="003B50ED">
        <w:rPr>
          <w:rFonts w:eastAsia="Calibri" w:cstheme="minorHAnsi"/>
        </w:rPr>
        <w:t xml:space="preserve"> </w:t>
      </w:r>
      <w:r w:rsidR="00E2372E" w:rsidRPr="00A26C26">
        <w:rPr>
          <w:rFonts w:eastAsia="Calibri" w:cstheme="minorHAnsi"/>
        </w:rPr>
        <w:t>wskazanie</w:t>
      </w:r>
      <w:r w:rsidR="003B50ED">
        <w:rPr>
          <w:rFonts w:eastAsia="Calibri" w:cstheme="minorHAnsi"/>
        </w:rPr>
        <w:t xml:space="preserve"> </w:t>
      </w:r>
      <w:r w:rsidR="00E2372E" w:rsidRPr="00A26C26">
        <w:rPr>
          <w:rFonts w:eastAsia="Calibri" w:cstheme="minorHAnsi"/>
        </w:rPr>
        <w:t>przedsięwzięć</w:t>
      </w:r>
      <w:r w:rsidR="003B50ED">
        <w:rPr>
          <w:rFonts w:eastAsia="Calibri" w:cstheme="minorHAnsi"/>
        </w:rPr>
        <w:t xml:space="preserve"> </w:t>
      </w:r>
      <w:r w:rsidR="00E2372E" w:rsidRPr="00A26C26">
        <w:rPr>
          <w:rFonts w:eastAsia="Calibri" w:cstheme="minorHAnsi"/>
        </w:rPr>
        <w:t>/</w:t>
      </w:r>
      <w:r w:rsidR="003B50ED">
        <w:rPr>
          <w:rFonts w:eastAsia="Calibri" w:cstheme="minorHAnsi"/>
        </w:rPr>
        <w:t xml:space="preserve"> </w:t>
      </w:r>
      <w:r w:rsidR="00E2372E" w:rsidRPr="00A26C26">
        <w:rPr>
          <w:rFonts w:eastAsia="Calibri" w:cstheme="minorHAnsi"/>
        </w:rPr>
        <w:t>zakresów</w:t>
      </w:r>
      <w:r w:rsidR="003B50ED">
        <w:rPr>
          <w:rFonts w:eastAsia="Calibri" w:cstheme="minorHAnsi"/>
        </w:rPr>
        <w:t xml:space="preserve"> </w:t>
      </w:r>
      <w:r w:rsidR="00E2372E" w:rsidRPr="00A26C26">
        <w:rPr>
          <w:rFonts w:eastAsia="Calibri" w:cstheme="minorHAnsi"/>
        </w:rPr>
        <w:t>wsparcia,</w:t>
      </w:r>
      <w:r w:rsidR="003B50ED">
        <w:rPr>
          <w:rFonts w:eastAsia="Calibri" w:cstheme="minorHAnsi"/>
        </w:rPr>
        <w:t xml:space="preserve"> </w:t>
      </w:r>
      <w:r w:rsidR="00E2372E" w:rsidRPr="00A26C26">
        <w:rPr>
          <w:rFonts w:eastAsia="Calibri" w:cstheme="minorHAnsi"/>
        </w:rPr>
        <w:t>w</w:t>
      </w:r>
      <w:r w:rsidR="003B50ED">
        <w:rPr>
          <w:rFonts w:eastAsia="Calibri" w:cstheme="minorHAnsi"/>
        </w:rPr>
        <w:t xml:space="preserve"> </w:t>
      </w:r>
      <w:r w:rsidR="00E2372E" w:rsidRPr="00A26C26">
        <w:rPr>
          <w:rFonts w:eastAsia="Calibri" w:cstheme="minorHAnsi"/>
        </w:rPr>
        <w:t>których</w:t>
      </w:r>
      <w:r w:rsidR="003B50ED">
        <w:rPr>
          <w:rFonts w:eastAsia="Calibri" w:cstheme="minorHAnsi"/>
        </w:rPr>
        <w:t xml:space="preserve"> </w:t>
      </w:r>
      <w:r w:rsidR="00E2372E" w:rsidRPr="00A26C26">
        <w:rPr>
          <w:rFonts w:eastAsia="Calibri" w:cstheme="minorHAnsi"/>
        </w:rPr>
        <w:t>powinna</w:t>
      </w:r>
      <w:r w:rsidR="003B50ED">
        <w:rPr>
          <w:rFonts w:eastAsia="Calibri" w:cstheme="minorHAnsi"/>
        </w:rPr>
        <w:t xml:space="preserve"> </w:t>
      </w:r>
      <w:r w:rsidR="00E2372E" w:rsidRPr="00A26C26">
        <w:rPr>
          <w:rFonts w:eastAsia="Calibri" w:cstheme="minorHAnsi"/>
        </w:rPr>
        <w:t>być</w:t>
      </w:r>
      <w:r w:rsidR="003B50ED">
        <w:rPr>
          <w:rFonts w:eastAsia="Calibri" w:cstheme="minorHAnsi"/>
        </w:rPr>
        <w:t xml:space="preserve"> </w:t>
      </w:r>
      <w:r w:rsidR="00E2372E" w:rsidRPr="00A26C26">
        <w:rPr>
          <w:rFonts w:eastAsia="Calibri" w:cstheme="minorHAnsi"/>
        </w:rPr>
        <w:t>badana</w:t>
      </w:r>
      <w:r w:rsidR="003B50ED">
        <w:rPr>
          <w:rFonts w:eastAsia="Calibri" w:cstheme="minorHAnsi"/>
        </w:rPr>
        <w:t xml:space="preserve"> </w:t>
      </w:r>
      <w:r w:rsidR="00E2372E" w:rsidRPr="00A26C26">
        <w:rPr>
          <w:rFonts w:eastAsia="Calibri" w:cstheme="minorHAnsi"/>
        </w:rPr>
        <w:t>innowacyjność,</w:t>
      </w:r>
      <w:r w:rsidR="003B50ED">
        <w:rPr>
          <w:rFonts w:eastAsia="Calibri" w:cstheme="minorHAnsi"/>
        </w:rPr>
        <w:t xml:space="preserve"> </w:t>
      </w:r>
      <w:r w:rsidR="00E2372E" w:rsidRPr="00A26C26">
        <w:rPr>
          <w:rFonts w:eastAsia="Calibri" w:cstheme="minorHAnsi"/>
        </w:rPr>
        <w:t>animowanie</w:t>
      </w:r>
      <w:r w:rsidR="003B50ED">
        <w:rPr>
          <w:rFonts w:eastAsia="Calibri" w:cstheme="minorHAnsi"/>
        </w:rPr>
        <w:t xml:space="preserve"> </w:t>
      </w:r>
      <w:r w:rsidR="00E2372E" w:rsidRPr="00A26C26">
        <w:rPr>
          <w:rFonts w:eastAsia="Calibri" w:cstheme="minorHAnsi"/>
        </w:rPr>
        <w:t>do</w:t>
      </w:r>
      <w:r w:rsidR="003B50ED">
        <w:rPr>
          <w:rFonts w:eastAsia="Calibri" w:cstheme="minorHAnsi"/>
        </w:rPr>
        <w:t xml:space="preserve"> </w:t>
      </w:r>
      <w:r w:rsidR="00E2372E" w:rsidRPr="00A26C26">
        <w:rPr>
          <w:rFonts w:eastAsia="Calibri" w:cstheme="minorHAnsi"/>
        </w:rPr>
        <w:t>wdrażania</w:t>
      </w:r>
      <w:r w:rsidR="003B50ED">
        <w:rPr>
          <w:rFonts w:eastAsia="Calibri" w:cstheme="minorHAnsi"/>
        </w:rPr>
        <w:t xml:space="preserve"> </w:t>
      </w:r>
      <w:r w:rsidR="00E2372E" w:rsidRPr="00A26C26">
        <w:rPr>
          <w:rFonts w:eastAsia="Calibri" w:cstheme="minorHAnsi"/>
        </w:rPr>
        <w:t>innowacji</w:t>
      </w:r>
      <w:r w:rsidR="003B50ED">
        <w:rPr>
          <w:rFonts w:eastAsia="Calibri" w:cstheme="minorHAnsi"/>
        </w:rPr>
        <w:t xml:space="preserve"> </w:t>
      </w:r>
      <w:r w:rsidR="00E2372E" w:rsidRPr="00A26C26">
        <w:rPr>
          <w:rFonts w:eastAsia="Calibri" w:cstheme="minorHAnsi"/>
        </w:rPr>
        <w:t>–</w:t>
      </w:r>
      <w:r w:rsidR="003B50ED">
        <w:rPr>
          <w:rFonts w:eastAsia="Calibri" w:cstheme="minorHAnsi"/>
        </w:rPr>
        <w:t xml:space="preserve"> </w:t>
      </w:r>
      <w:r w:rsidR="00E2372E" w:rsidRPr="00A26C26">
        <w:rPr>
          <w:rFonts w:eastAsia="Calibri" w:cstheme="minorHAnsi"/>
        </w:rPr>
        <w:t>stosowanie</w:t>
      </w:r>
      <w:r w:rsidR="003B50ED">
        <w:rPr>
          <w:rFonts w:eastAsia="Calibri" w:cstheme="minorHAnsi"/>
        </w:rPr>
        <w:t xml:space="preserve"> </w:t>
      </w:r>
      <w:r w:rsidR="00E2372E" w:rsidRPr="00A26C26">
        <w:rPr>
          <w:rFonts w:eastAsia="Calibri" w:cstheme="minorHAnsi"/>
        </w:rPr>
        <w:t>zachęt</w:t>
      </w:r>
      <w:r w:rsidR="003B50ED">
        <w:rPr>
          <w:rFonts w:eastAsia="Calibri" w:cstheme="minorHAnsi"/>
        </w:rPr>
        <w:t xml:space="preserve"> </w:t>
      </w:r>
      <w:r w:rsidR="00E2372E" w:rsidRPr="00A26C26">
        <w:rPr>
          <w:rFonts w:eastAsia="Calibri" w:cstheme="minorHAnsi"/>
        </w:rPr>
        <w:t>do</w:t>
      </w:r>
      <w:r w:rsidR="003B50ED">
        <w:rPr>
          <w:rFonts w:eastAsia="Calibri" w:cstheme="minorHAnsi"/>
        </w:rPr>
        <w:t xml:space="preserve"> </w:t>
      </w:r>
      <w:r w:rsidR="00E2372E" w:rsidRPr="00A26C26">
        <w:rPr>
          <w:rFonts w:eastAsia="Calibri" w:cstheme="minorHAnsi"/>
        </w:rPr>
        <w:t>realizacji</w:t>
      </w:r>
      <w:r w:rsidR="003B50ED">
        <w:rPr>
          <w:rFonts w:eastAsia="Calibri" w:cstheme="minorHAnsi"/>
        </w:rPr>
        <w:t xml:space="preserve"> </w:t>
      </w:r>
      <w:r w:rsidR="00E2372E" w:rsidRPr="00A26C26">
        <w:rPr>
          <w:rFonts w:eastAsia="Calibri" w:cstheme="minorHAnsi"/>
        </w:rPr>
        <w:t>projektów</w:t>
      </w:r>
      <w:r w:rsidR="003B50ED">
        <w:rPr>
          <w:rFonts w:eastAsia="Calibri" w:cstheme="minorHAnsi"/>
        </w:rPr>
        <w:t xml:space="preserve"> </w:t>
      </w:r>
      <w:r w:rsidR="00E2372E" w:rsidRPr="00A26C26">
        <w:rPr>
          <w:rFonts w:eastAsia="Calibri" w:cstheme="minorHAnsi"/>
        </w:rPr>
        <w:t>innowacyjnych</w:t>
      </w:r>
      <w:r w:rsidR="003B50ED">
        <w:rPr>
          <w:rFonts w:eastAsia="Calibri" w:cstheme="minorHAnsi"/>
        </w:rPr>
        <w:t xml:space="preserve"> </w:t>
      </w:r>
      <w:r w:rsidR="00D02820">
        <w:rPr>
          <w:rFonts w:eastAsia="Calibri" w:cstheme="minorHAnsi"/>
        </w:rPr>
        <w:t xml:space="preserve">                  </w:t>
      </w:r>
      <w:r w:rsidR="00E2372E" w:rsidRPr="00A26C26">
        <w:rPr>
          <w:rFonts w:eastAsia="Calibri" w:cstheme="minorHAnsi"/>
        </w:rPr>
        <w:t>w</w:t>
      </w:r>
      <w:r w:rsidR="003B50ED">
        <w:rPr>
          <w:rFonts w:eastAsia="Calibri" w:cstheme="minorHAnsi"/>
        </w:rPr>
        <w:t xml:space="preserve"> </w:t>
      </w:r>
      <w:r w:rsidR="00E2372E" w:rsidRPr="00A26C26">
        <w:rPr>
          <w:rFonts w:eastAsia="Calibri" w:cstheme="minorHAnsi"/>
        </w:rPr>
        <w:t>ramach</w:t>
      </w:r>
      <w:r w:rsidR="003B50ED">
        <w:rPr>
          <w:rFonts w:eastAsia="Calibri" w:cstheme="minorHAnsi"/>
        </w:rPr>
        <w:t xml:space="preserve"> </w:t>
      </w:r>
      <w:r w:rsidR="00E2372E" w:rsidRPr="00A26C26">
        <w:rPr>
          <w:rFonts w:eastAsia="Calibri" w:cstheme="minorHAnsi"/>
        </w:rPr>
        <w:t>lokalnych</w:t>
      </w:r>
      <w:r w:rsidR="003B50ED">
        <w:rPr>
          <w:rFonts w:eastAsia="Calibri" w:cstheme="minorHAnsi"/>
        </w:rPr>
        <w:t xml:space="preserve"> </w:t>
      </w:r>
      <w:r w:rsidR="00E2372E" w:rsidRPr="00A26C26">
        <w:rPr>
          <w:rFonts w:eastAsia="Calibri" w:cstheme="minorHAnsi"/>
        </w:rPr>
        <w:t>kryteriów,</w:t>
      </w:r>
      <w:r w:rsidR="003B50ED">
        <w:rPr>
          <w:rFonts w:eastAsia="Calibri" w:cstheme="minorHAnsi"/>
        </w:rPr>
        <w:t xml:space="preserve"> </w:t>
      </w:r>
      <w:r w:rsidR="00E2372E" w:rsidRPr="00A26C26">
        <w:rPr>
          <w:rFonts w:eastAsia="Calibri" w:cstheme="minorHAnsi"/>
        </w:rPr>
        <w:t>poprzez</w:t>
      </w:r>
      <w:r w:rsidR="003B50ED">
        <w:rPr>
          <w:rFonts w:eastAsia="Calibri" w:cstheme="minorHAnsi"/>
        </w:rPr>
        <w:t xml:space="preserve"> </w:t>
      </w:r>
      <w:r w:rsidR="00E2372E" w:rsidRPr="00A26C26">
        <w:rPr>
          <w:rFonts w:eastAsia="Calibri" w:cstheme="minorHAnsi"/>
        </w:rPr>
        <w:t>stworzenie</w:t>
      </w:r>
      <w:r w:rsidR="003B50ED">
        <w:rPr>
          <w:rFonts w:eastAsia="Calibri" w:cstheme="minorHAnsi"/>
        </w:rPr>
        <w:t xml:space="preserve"> </w:t>
      </w:r>
      <w:r w:rsidR="00E2372E" w:rsidRPr="00A26C26">
        <w:rPr>
          <w:rFonts w:eastAsia="Calibri" w:cstheme="minorHAnsi"/>
        </w:rPr>
        <w:t>bazy</w:t>
      </w:r>
      <w:r w:rsidR="003B50ED">
        <w:rPr>
          <w:rFonts w:eastAsia="Calibri" w:cstheme="minorHAnsi"/>
        </w:rPr>
        <w:t xml:space="preserve"> </w:t>
      </w:r>
      <w:r w:rsidR="00E2372E" w:rsidRPr="00A26C26">
        <w:rPr>
          <w:rFonts w:eastAsia="Calibri" w:cstheme="minorHAnsi"/>
        </w:rPr>
        <w:t>innowacji,</w:t>
      </w:r>
      <w:r w:rsidR="003B50ED">
        <w:rPr>
          <w:rFonts w:eastAsia="Calibri" w:cstheme="minorHAnsi"/>
        </w:rPr>
        <w:t xml:space="preserve"> </w:t>
      </w:r>
      <w:r w:rsidR="00E2372E" w:rsidRPr="00A26C26">
        <w:rPr>
          <w:rFonts w:eastAsia="Calibri" w:cstheme="minorHAnsi"/>
        </w:rPr>
        <w:t>ujęcie</w:t>
      </w:r>
      <w:r w:rsidR="003B50ED">
        <w:rPr>
          <w:rFonts w:eastAsia="Calibri" w:cstheme="minorHAnsi"/>
        </w:rPr>
        <w:t xml:space="preserve"> </w:t>
      </w:r>
      <w:r w:rsidR="00E2372E" w:rsidRPr="00A26C26">
        <w:rPr>
          <w:rFonts w:eastAsia="Calibri" w:cstheme="minorHAnsi"/>
        </w:rPr>
        <w:t>warsztatów</w:t>
      </w:r>
      <w:r w:rsidR="003B50ED">
        <w:rPr>
          <w:rFonts w:eastAsia="Calibri" w:cstheme="minorHAnsi"/>
        </w:rPr>
        <w:t xml:space="preserve"> </w:t>
      </w:r>
      <w:r w:rsidR="00E2372E" w:rsidRPr="00A26C26">
        <w:rPr>
          <w:rFonts w:eastAsia="Calibri" w:cstheme="minorHAnsi"/>
        </w:rPr>
        <w:t>w</w:t>
      </w:r>
      <w:r w:rsidR="003B50ED">
        <w:rPr>
          <w:rFonts w:eastAsia="Calibri" w:cstheme="minorHAnsi"/>
        </w:rPr>
        <w:t xml:space="preserve"> </w:t>
      </w:r>
      <w:r w:rsidR="00E2372E" w:rsidRPr="00A26C26">
        <w:rPr>
          <w:rFonts w:eastAsia="Calibri" w:cstheme="minorHAnsi"/>
        </w:rPr>
        <w:t>Planie</w:t>
      </w:r>
      <w:r w:rsidR="003B50ED">
        <w:rPr>
          <w:rFonts w:eastAsia="Calibri" w:cstheme="minorHAnsi"/>
        </w:rPr>
        <w:t xml:space="preserve"> </w:t>
      </w:r>
      <w:r w:rsidR="00E2372E" w:rsidRPr="00A26C26">
        <w:rPr>
          <w:rFonts w:eastAsia="Calibri" w:cstheme="minorHAnsi"/>
        </w:rPr>
        <w:t>komunikacji</w:t>
      </w:r>
      <w:r w:rsidR="003B50ED">
        <w:rPr>
          <w:rFonts w:eastAsia="Calibri" w:cstheme="minorHAnsi"/>
        </w:rPr>
        <w:t xml:space="preserve"> </w:t>
      </w:r>
      <w:r w:rsidR="00E2372E" w:rsidRPr="00A26C26">
        <w:rPr>
          <w:rFonts w:eastAsia="Calibri" w:cstheme="minorHAnsi"/>
        </w:rPr>
        <w:t>itp.);</w:t>
      </w:r>
      <w:r w:rsidR="003B50ED">
        <w:rPr>
          <w:rFonts w:eastAsia="Calibri" w:cstheme="minorHAnsi"/>
        </w:rPr>
        <w:t xml:space="preserve"> </w:t>
      </w:r>
    </w:p>
    <w:p w14:paraId="5FFAC310" w14:textId="6B7F2F49" w:rsidR="00037899" w:rsidRDefault="00037899" w:rsidP="00037899">
      <w:pPr>
        <w:spacing w:line="276" w:lineRule="auto"/>
        <w:jc w:val="both"/>
        <w:rPr>
          <w:rFonts w:eastAsia="Calibri" w:cstheme="minorHAnsi"/>
        </w:rPr>
      </w:pPr>
      <w:r>
        <w:rPr>
          <w:rFonts w:eastAsia="Calibri" w:cstheme="minorHAnsi"/>
        </w:rPr>
        <w:t xml:space="preserve">- </w:t>
      </w:r>
      <w:r w:rsidR="00E2372E" w:rsidRPr="00A26C26">
        <w:rPr>
          <w:rFonts w:eastAsia="Calibri" w:cstheme="minorHAnsi"/>
          <w:b/>
          <w:bCs/>
        </w:rPr>
        <w:t>wypracowanie</w:t>
      </w:r>
      <w:r w:rsidR="003B50ED">
        <w:rPr>
          <w:rFonts w:eastAsia="Calibri" w:cstheme="minorHAnsi"/>
          <w:b/>
          <w:bCs/>
        </w:rPr>
        <w:t xml:space="preserve"> </w:t>
      </w:r>
      <w:r w:rsidR="00E2372E" w:rsidRPr="00A26C26">
        <w:rPr>
          <w:rFonts w:eastAsia="Calibri" w:cstheme="minorHAnsi"/>
          <w:b/>
          <w:bCs/>
        </w:rPr>
        <w:t>rozwiązań</w:t>
      </w:r>
      <w:r w:rsidR="003B50ED">
        <w:rPr>
          <w:rFonts w:eastAsia="Calibri" w:cstheme="minorHAnsi"/>
          <w:b/>
          <w:bCs/>
        </w:rPr>
        <w:t xml:space="preserve"> </w:t>
      </w:r>
      <w:r w:rsidR="00E2372E" w:rsidRPr="00A26C26">
        <w:rPr>
          <w:rFonts w:eastAsia="Calibri" w:cstheme="minorHAnsi"/>
          <w:b/>
          <w:bCs/>
        </w:rPr>
        <w:t>mających</w:t>
      </w:r>
      <w:r w:rsidR="003B50ED">
        <w:rPr>
          <w:rFonts w:eastAsia="Calibri" w:cstheme="minorHAnsi"/>
          <w:b/>
          <w:bCs/>
        </w:rPr>
        <w:t xml:space="preserve"> </w:t>
      </w:r>
      <w:r w:rsidR="00E2372E" w:rsidRPr="00A26C26">
        <w:rPr>
          <w:rFonts w:eastAsia="Calibri" w:cstheme="minorHAnsi"/>
          <w:b/>
          <w:bCs/>
        </w:rPr>
        <w:t>na</w:t>
      </w:r>
      <w:r w:rsidR="003B50ED">
        <w:rPr>
          <w:rFonts w:eastAsia="Calibri" w:cstheme="minorHAnsi"/>
          <w:b/>
          <w:bCs/>
        </w:rPr>
        <w:t xml:space="preserve"> </w:t>
      </w:r>
      <w:r w:rsidR="00E2372E" w:rsidRPr="00A26C26">
        <w:rPr>
          <w:rFonts w:eastAsia="Calibri" w:cstheme="minorHAnsi"/>
          <w:b/>
          <w:bCs/>
        </w:rPr>
        <w:t>celu</w:t>
      </w:r>
      <w:r w:rsidR="003B50ED">
        <w:rPr>
          <w:rFonts w:eastAsia="Calibri" w:cstheme="minorHAnsi"/>
          <w:b/>
          <w:bCs/>
        </w:rPr>
        <w:t xml:space="preserve"> </w:t>
      </w:r>
      <w:r w:rsidR="00E2372E" w:rsidRPr="00A26C26">
        <w:rPr>
          <w:rFonts w:eastAsia="Calibri" w:cstheme="minorHAnsi"/>
          <w:b/>
          <w:bCs/>
        </w:rPr>
        <w:t>integracje</w:t>
      </w:r>
      <w:r w:rsidR="003B50ED">
        <w:rPr>
          <w:rFonts w:eastAsia="Calibri" w:cstheme="minorHAnsi"/>
          <w:b/>
          <w:bCs/>
        </w:rPr>
        <w:t xml:space="preserve"> </w:t>
      </w:r>
      <w:r w:rsidR="00E2372E" w:rsidRPr="00A26C26">
        <w:rPr>
          <w:rFonts w:eastAsia="Calibri" w:cstheme="minorHAnsi"/>
          <w:b/>
          <w:bCs/>
        </w:rPr>
        <w:t>i</w:t>
      </w:r>
      <w:r w:rsidR="003B50ED">
        <w:rPr>
          <w:rFonts w:eastAsia="Calibri" w:cstheme="minorHAnsi"/>
          <w:b/>
          <w:bCs/>
        </w:rPr>
        <w:t xml:space="preserve"> </w:t>
      </w:r>
      <w:r w:rsidR="00E2372E" w:rsidRPr="00A26C26">
        <w:rPr>
          <w:rFonts w:eastAsia="Calibri" w:cstheme="minorHAnsi"/>
          <w:b/>
          <w:bCs/>
        </w:rPr>
        <w:t>aktywizację</w:t>
      </w:r>
      <w:r w:rsidR="003B50ED">
        <w:rPr>
          <w:rFonts w:eastAsia="Calibri" w:cstheme="minorHAnsi"/>
          <w:b/>
          <w:bCs/>
        </w:rPr>
        <w:t xml:space="preserve"> </w:t>
      </w:r>
      <w:r w:rsidR="00E2372E" w:rsidRPr="00A26C26">
        <w:rPr>
          <w:rFonts w:eastAsia="Calibri" w:cstheme="minorHAnsi"/>
          <w:b/>
          <w:bCs/>
        </w:rPr>
        <w:t>osób</w:t>
      </w:r>
      <w:r w:rsidR="003B50ED">
        <w:rPr>
          <w:rFonts w:eastAsia="Calibri" w:cstheme="minorHAnsi"/>
          <w:b/>
          <w:bCs/>
        </w:rPr>
        <w:t xml:space="preserve"> </w:t>
      </w:r>
      <w:r w:rsidR="00E2372E" w:rsidRPr="00A26C26">
        <w:rPr>
          <w:rFonts w:eastAsia="Calibri" w:cstheme="minorHAnsi"/>
          <w:b/>
          <w:bCs/>
        </w:rPr>
        <w:t>młodych</w:t>
      </w:r>
      <w:r w:rsidR="003B50ED">
        <w:rPr>
          <w:rFonts w:eastAsia="Calibri" w:cstheme="minorHAnsi"/>
        </w:rPr>
        <w:t xml:space="preserve"> </w:t>
      </w:r>
      <w:r w:rsidR="00E2372E" w:rsidRPr="00A26C26">
        <w:rPr>
          <w:rFonts w:eastAsia="Calibri" w:cstheme="minorHAnsi"/>
        </w:rPr>
        <w:t>(włączenie</w:t>
      </w:r>
      <w:r w:rsidR="003B50ED">
        <w:rPr>
          <w:rFonts w:eastAsia="Calibri" w:cstheme="minorHAnsi"/>
        </w:rPr>
        <w:t xml:space="preserve"> </w:t>
      </w:r>
      <w:r w:rsidR="00E2372E" w:rsidRPr="00A26C26">
        <w:rPr>
          <w:rFonts w:eastAsia="Calibri" w:cstheme="minorHAnsi"/>
        </w:rPr>
        <w:t>poprzez</w:t>
      </w:r>
      <w:r w:rsidR="003B50ED">
        <w:rPr>
          <w:rFonts w:eastAsia="Calibri" w:cstheme="minorHAnsi"/>
        </w:rPr>
        <w:t xml:space="preserve"> </w:t>
      </w:r>
      <w:r w:rsidR="00E2372E" w:rsidRPr="00A26C26">
        <w:rPr>
          <w:rFonts w:eastAsia="Calibri" w:cstheme="minorHAnsi"/>
        </w:rPr>
        <w:t>Członkowsko</w:t>
      </w:r>
      <w:r w:rsidR="003B50ED">
        <w:rPr>
          <w:rFonts w:eastAsia="Calibri" w:cstheme="minorHAnsi"/>
        </w:rPr>
        <w:t xml:space="preserve"> </w:t>
      </w:r>
      <w:r w:rsidR="00E2372E" w:rsidRPr="00A26C26">
        <w:rPr>
          <w:rFonts w:eastAsia="Calibri" w:cstheme="minorHAnsi"/>
        </w:rPr>
        <w:t>w</w:t>
      </w:r>
      <w:r w:rsidR="003B50ED">
        <w:rPr>
          <w:rFonts w:eastAsia="Calibri" w:cstheme="minorHAnsi"/>
        </w:rPr>
        <w:t xml:space="preserve"> </w:t>
      </w:r>
      <w:r w:rsidR="00E2372E" w:rsidRPr="00A26C26">
        <w:rPr>
          <w:rFonts w:eastAsia="Calibri" w:cstheme="minorHAnsi"/>
        </w:rPr>
        <w:t>Zarządzie,</w:t>
      </w:r>
      <w:r w:rsidR="003B50ED">
        <w:rPr>
          <w:rFonts w:eastAsia="Calibri" w:cstheme="minorHAnsi"/>
        </w:rPr>
        <w:t xml:space="preserve"> </w:t>
      </w:r>
      <w:r w:rsidR="00E2372E" w:rsidRPr="00A26C26">
        <w:rPr>
          <w:rFonts w:eastAsia="Calibri" w:cstheme="minorHAnsi"/>
        </w:rPr>
        <w:t>identyfikacja</w:t>
      </w:r>
      <w:r w:rsidR="003B50ED">
        <w:rPr>
          <w:rFonts w:eastAsia="Calibri" w:cstheme="minorHAnsi"/>
        </w:rPr>
        <w:t xml:space="preserve"> </w:t>
      </w:r>
      <w:r w:rsidR="00E2372E" w:rsidRPr="00A26C26">
        <w:rPr>
          <w:rFonts w:eastAsia="Calibri" w:cstheme="minorHAnsi"/>
        </w:rPr>
        <w:t>potrzeb</w:t>
      </w:r>
      <w:r w:rsidR="003B50ED">
        <w:rPr>
          <w:rFonts w:eastAsia="Calibri" w:cstheme="minorHAnsi"/>
        </w:rPr>
        <w:t xml:space="preserve"> </w:t>
      </w:r>
      <w:r w:rsidR="00E2372E" w:rsidRPr="00A26C26">
        <w:rPr>
          <w:rFonts w:eastAsia="Calibri" w:cstheme="minorHAnsi"/>
        </w:rPr>
        <w:t>na</w:t>
      </w:r>
      <w:r w:rsidR="003B50ED">
        <w:rPr>
          <w:rFonts w:eastAsia="Calibri" w:cstheme="minorHAnsi"/>
        </w:rPr>
        <w:t xml:space="preserve"> </w:t>
      </w:r>
      <w:r w:rsidR="00E2372E" w:rsidRPr="00A26C26">
        <w:rPr>
          <w:rFonts w:eastAsia="Calibri" w:cstheme="minorHAnsi"/>
        </w:rPr>
        <w:t>rzecz</w:t>
      </w:r>
      <w:r w:rsidR="003B50ED">
        <w:rPr>
          <w:rFonts w:eastAsia="Calibri" w:cstheme="minorHAnsi"/>
        </w:rPr>
        <w:t xml:space="preserve"> </w:t>
      </w:r>
      <w:r w:rsidR="00E2372E" w:rsidRPr="00A26C26">
        <w:rPr>
          <w:rFonts w:eastAsia="Calibri" w:cstheme="minorHAnsi"/>
        </w:rPr>
        <w:t>lokalnego</w:t>
      </w:r>
      <w:r w:rsidR="003B50ED">
        <w:rPr>
          <w:rFonts w:eastAsia="Calibri" w:cstheme="minorHAnsi"/>
        </w:rPr>
        <w:t xml:space="preserve"> </w:t>
      </w:r>
      <w:r w:rsidR="00E2372E" w:rsidRPr="00A26C26">
        <w:rPr>
          <w:rFonts w:eastAsia="Calibri" w:cstheme="minorHAnsi"/>
        </w:rPr>
        <w:t>środowiska</w:t>
      </w:r>
      <w:r w:rsidR="003B50ED">
        <w:rPr>
          <w:rFonts w:eastAsia="Calibri" w:cstheme="minorHAnsi"/>
        </w:rPr>
        <w:t xml:space="preserve"> </w:t>
      </w:r>
      <w:r w:rsidR="00E2372E" w:rsidRPr="00A26C26">
        <w:rPr>
          <w:rFonts w:eastAsia="Calibri" w:cstheme="minorHAnsi"/>
        </w:rPr>
        <w:t>młodzieżowego,</w:t>
      </w:r>
      <w:r w:rsidR="003B50ED">
        <w:rPr>
          <w:rFonts w:eastAsia="Calibri" w:cstheme="minorHAnsi"/>
        </w:rPr>
        <w:t xml:space="preserve"> </w:t>
      </w:r>
      <w:r w:rsidR="00E2372E" w:rsidRPr="00A26C26">
        <w:rPr>
          <w:rFonts w:eastAsia="Calibri" w:cstheme="minorHAnsi"/>
        </w:rPr>
        <w:t>w</w:t>
      </w:r>
      <w:r w:rsidR="003B50ED">
        <w:rPr>
          <w:rFonts w:eastAsia="Calibri" w:cstheme="minorHAnsi"/>
        </w:rPr>
        <w:t xml:space="preserve"> </w:t>
      </w:r>
      <w:r w:rsidR="00E2372E" w:rsidRPr="00A26C26">
        <w:rPr>
          <w:rFonts w:eastAsia="Calibri" w:cstheme="minorHAnsi"/>
        </w:rPr>
        <w:t>tym</w:t>
      </w:r>
      <w:r w:rsidR="003B50ED">
        <w:rPr>
          <w:rFonts w:eastAsia="Calibri" w:cstheme="minorHAnsi"/>
        </w:rPr>
        <w:t xml:space="preserve"> </w:t>
      </w:r>
      <w:r w:rsidR="00E2372E" w:rsidRPr="00A26C26">
        <w:rPr>
          <w:rFonts w:eastAsia="Calibri" w:cstheme="minorHAnsi"/>
        </w:rPr>
        <w:t>integrujących,</w:t>
      </w:r>
      <w:r w:rsidR="003B50ED">
        <w:rPr>
          <w:rFonts w:eastAsia="Calibri" w:cstheme="minorHAnsi"/>
        </w:rPr>
        <w:t xml:space="preserve"> </w:t>
      </w:r>
      <w:r w:rsidR="00E2372E" w:rsidRPr="00A26C26">
        <w:rPr>
          <w:rFonts w:eastAsia="Calibri" w:cstheme="minorHAnsi"/>
        </w:rPr>
        <w:t>animujących</w:t>
      </w:r>
      <w:r w:rsidR="003B50ED">
        <w:rPr>
          <w:rFonts w:eastAsia="Calibri" w:cstheme="minorHAnsi"/>
        </w:rPr>
        <w:t xml:space="preserve"> </w:t>
      </w:r>
      <w:r w:rsidR="00E2372E" w:rsidRPr="00A26C26">
        <w:rPr>
          <w:rFonts w:eastAsia="Calibri" w:cstheme="minorHAnsi"/>
        </w:rPr>
        <w:t>itp.,</w:t>
      </w:r>
      <w:r w:rsidR="003B50ED">
        <w:rPr>
          <w:rFonts w:eastAsia="Calibri" w:cstheme="minorHAnsi"/>
        </w:rPr>
        <w:t xml:space="preserve"> </w:t>
      </w:r>
      <w:r w:rsidR="00E2372E" w:rsidRPr="00A26C26">
        <w:rPr>
          <w:rFonts w:eastAsia="Calibri" w:cstheme="minorHAnsi"/>
        </w:rPr>
        <w:t>(wyniki</w:t>
      </w:r>
      <w:r w:rsidR="003B50ED">
        <w:rPr>
          <w:rFonts w:eastAsia="Calibri" w:cstheme="minorHAnsi"/>
        </w:rPr>
        <w:t xml:space="preserve"> </w:t>
      </w:r>
      <w:r w:rsidR="00E2372E" w:rsidRPr="00A26C26">
        <w:rPr>
          <w:rFonts w:eastAsia="Calibri" w:cstheme="minorHAnsi"/>
        </w:rPr>
        <w:t>ankiet,</w:t>
      </w:r>
      <w:r w:rsidR="003B50ED">
        <w:rPr>
          <w:rFonts w:eastAsia="Calibri" w:cstheme="minorHAnsi"/>
        </w:rPr>
        <w:t xml:space="preserve"> </w:t>
      </w:r>
      <w:r w:rsidR="00E2372E" w:rsidRPr="00A26C26">
        <w:rPr>
          <w:rFonts w:eastAsia="Calibri" w:cstheme="minorHAnsi"/>
        </w:rPr>
        <w:t>wywiadów,</w:t>
      </w:r>
      <w:r w:rsidR="003B50ED">
        <w:rPr>
          <w:rFonts w:eastAsia="Calibri" w:cstheme="minorHAnsi"/>
        </w:rPr>
        <w:t xml:space="preserve"> </w:t>
      </w:r>
      <w:r w:rsidR="00E2372E" w:rsidRPr="00A26C26">
        <w:rPr>
          <w:rFonts w:eastAsia="Calibri" w:cstheme="minorHAnsi"/>
        </w:rPr>
        <w:t>kart</w:t>
      </w:r>
      <w:r w:rsidR="003B50ED">
        <w:rPr>
          <w:rFonts w:eastAsia="Calibri" w:cstheme="minorHAnsi"/>
        </w:rPr>
        <w:t xml:space="preserve"> </w:t>
      </w:r>
      <w:r w:rsidR="00E2372E" w:rsidRPr="00A26C26">
        <w:rPr>
          <w:rFonts w:eastAsia="Calibri" w:cstheme="minorHAnsi"/>
        </w:rPr>
        <w:t>pomysłów),</w:t>
      </w:r>
      <w:r w:rsidR="003B50ED">
        <w:rPr>
          <w:rFonts w:eastAsia="Calibri" w:cstheme="minorHAnsi"/>
        </w:rPr>
        <w:t xml:space="preserve"> </w:t>
      </w:r>
      <w:r w:rsidR="00E2372E" w:rsidRPr="00A26C26">
        <w:rPr>
          <w:rFonts w:eastAsia="Calibri" w:cstheme="minorHAnsi"/>
        </w:rPr>
        <w:t>identyfikacja</w:t>
      </w:r>
      <w:r w:rsidR="003B50ED">
        <w:rPr>
          <w:rFonts w:eastAsia="Calibri" w:cstheme="minorHAnsi"/>
        </w:rPr>
        <w:t xml:space="preserve"> </w:t>
      </w:r>
      <w:r w:rsidR="00E2372E" w:rsidRPr="00A26C26">
        <w:rPr>
          <w:rFonts w:eastAsia="Calibri" w:cstheme="minorHAnsi"/>
        </w:rPr>
        <w:t>oferty</w:t>
      </w:r>
      <w:r w:rsidR="003B50ED">
        <w:rPr>
          <w:rFonts w:eastAsia="Calibri" w:cstheme="minorHAnsi"/>
        </w:rPr>
        <w:t xml:space="preserve"> </w:t>
      </w:r>
      <w:r w:rsidR="00E2372E" w:rsidRPr="00A26C26">
        <w:rPr>
          <w:rFonts w:eastAsia="Calibri" w:cstheme="minorHAnsi"/>
        </w:rPr>
        <w:t>istniejącej</w:t>
      </w:r>
      <w:r w:rsidR="003B50ED">
        <w:rPr>
          <w:rFonts w:eastAsia="Calibri" w:cstheme="minorHAnsi"/>
        </w:rPr>
        <w:t xml:space="preserve"> </w:t>
      </w:r>
      <w:r w:rsidR="00E2372E" w:rsidRPr="00A26C26">
        <w:rPr>
          <w:rFonts w:eastAsia="Calibri" w:cstheme="minorHAnsi"/>
        </w:rPr>
        <w:t>na</w:t>
      </w:r>
      <w:r w:rsidR="003B50ED">
        <w:rPr>
          <w:rFonts w:eastAsia="Calibri" w:cstheme="minorHAnsi"/>
        </w:rPr>
        <w:t xml:space="preserve"> </w:t>
      </w:r>
      <w:r w:rsidR="00E2372E" w:rsidRPr="00A26C26">
        <w:rPr>
          <w:rFonts w:eastAsia="Calibri" w:cstheme="minorHAnsi"/>
        </w:rPr>
        <w:t>obszarze,</w:t>
      </w:r>
      <w:r w:rsidR="003B50ED">
        <w:rPr>
          <w:rFonts w:eastAsia="Calibri" w:cstheme="minorHAnsi"/>
        </w:rPr>
        <w:t xml:space="preserve"> </w:t>
      </w:r>
      <w:r w:rsidR="00E2372E" w:rsidRPr="00A26C26">
        <w:rPr>
          <w:rFonts w:eastAsia="Calibri" w:cstheme="minorHAnsi"/>
        </w:rPr>
        <w:t>wzmocnienie</w:t>
      </w:r>
      <w:r w:rsidR="003B50ED">
        <w:rPr>
          <w:rFonts w:eastAsia="Calibri" w:cstheme="minorHAnsi"/>
        </w:rPr>
        <w:t xml:space="preserve"> </w:t>
      </w:r>
      <w:r w:rsidR="00E2372E" w:rsidRPr="00A26C26">
        <w:rPr>
          <w:rFonts w:eastAsia="Calibri" w:cstheme="minorHAnsi"/>
        </w:rPr>
        <w:t>efektu</w:t>
      </w:r>
      <w:r w:rsidR="003B50ED">
        <w:rPr>
          <w:rFonts w:eastAsia="Calibri" w:cstheme="minorHAnsi"/>
        </w:rPr>
        <w:t xml:space="preserve"> </w:t>
      </w:r>
      <w:r w:rsidR="00E2372E" w:rsidRPr="00A26C26">
        <w:rPr>
          <w:rFonts w:eastAsia="Calibri" w:cstheme="minorHAnsi"/>
        </w:rPr>
        <w:t>komplementarności</w:t>
      </w:r>
      <w:r w:rsidR="003B50ED">
        <w:rPr>
          <w:rFonts w:eastAsia="Calibri" w:cstheme="minorHAnsi"/>
        </w:rPr>
        <w:t xml:space="preserve"> </w:t>
      </w:r>
      <w:r w:rsidR="00E2372E" w:rsidRPr="00A26C26">
        <w:rPr>
          <w:rFonts w:eastAsia="Calibri" w:cstheme="minorHAnsi"/>
        </w:rPr>
        <w:t>lub</w:t>
      </w:r>
      <w:r w:rsidR="003B50ED">
        <w:rPr>
          <w:rFonts w:eastAsia="Calibri" w:cstheme="minorHAnsi"/>
        </w:rPr>
        <w:t xml:space="preserve"> </w:t>
      </w:r>
      <w:r w:rsidR="00E2372E" w:rsidRPr="00A26C26">
        <w:rPr>
          <w:rFonts w:eastAsia="Calibri" w:cstheme="minorHAnsi"/>
        </w:rPr>
        <w:t>synergii,</w:t>
      </w:r>
      <w:r w:rsidR="003B50ED">
        <w:rPr>
          <w:rFonts w:eastAsia="Calibri" w:cstheme="minorHAnsi"/>
        </w:rPr>
        <w:t xml:space="preserve"> </w:t>
      </w:r>
      <w:r w:rsidR="00E2372E" w:rsidRPr="00A26C26">
        <w:rPr>
          <w:rFonts w:eastAsia="Calibri" w:cstheme="minorHAnsi"/>
        </w:rPr>
        <w:t>wypracowanie</w:t>
      </w:r>
      <w:r w:rsidR="003B50ED">
        <w:rPr>
          <w:rFonts w:eastAsia="Calibri" w:cstheme="minorHAnsi"/>
        </w:rPr>
        <w:t xml:space="preserve"> </w:t>
      </w:r>
      <w:r w:rsidR="00E2372E" w:rsidRPr="00A26C26">
        <w:rPr>
          <w:rFonts w:eastAsia="Calibri" w:cstheme="minorHAnsi"/>
        </w:rPr>
        <w:t>wskaźników</w:t>
      </w:r>
      <w:r w:rsidR="003B50ED">
        <w:rPr>
          <w:rFonts w:eastAsia="Calibri" w:cstheme="minorHAnsi"/>
        </w:rPr>
        <w:t xml:space="preserve"> </w:t>
      </w:r>
      <w:r w:rsidR="00E2372E" w:rsidRPr="00A26C26">
        <w:rPr>
          <w:rFonts w:eastAsia="Calibri" w:cstheme="minorHAnsi"/>
        </w:rPr>
        <w:t>produktu,</w:t>
      </w:r>
      <w:r w:rsidR="003B50ED">
        <w:rPr>
          <w:rFonts w:eastAsia="Calibri" w:cstheme="minorHAnsi"/>
        </w:rPr>
        <w:t xml:space="preserve"> </w:t>
      </w:r>
      <w:r w:rsidR="00E2372E" w:rsidRPr="00A26C26">
        <w:rPr>
          <w:rFonts w:eastAsia="Calibri" w:cstheme="minorHAnsi"/>
        </w:rPr>
        <w:t>działania</w:t>
      </w:r>
      <w:r w:rsidR="003B50ED">
        <w:rPr>
          <w:rFonts w:eastAsia="Calibri" w:cstheme="minorHAnsi"/>
        </w:rPr>
        <w:t xml:space="preserve"> </w:t>
      </w:r>
      <w:r w:rsidR="00E2372E" w:rsidRPr="00A26C26">
        <w:rPr>
          <w:rFonts w:eastAsia="Calibri" w:cstheme="minorHAnsi"/>
        </w:rPr>
        <w:t>w</w:t>
      </w:r>
      <w:r w:rsidR="003B50ED">
        <w:rPr>
          <w:rFonts w:eastAsia="Calibri" w:cstheme="minorHAnsi"/>
        </w:rPr>
        <w:t xml:space="preserve"> </w:t>
      </w:r>
      <w:r w:rsidR="00E2372E" w:rsidRPr="00A26C26">
        <w:rPr>
          <w:rFonts w:eastAsia="Calibri" w:cstheme="minorHAnsi"/>
        </w:rPr>
        <w:t>Planie</w:t>
      </w:r>
      <w:r w:rsidR="003B50ED">
        <w:rPr>
          <w:rFonts w:eastAsia="Calibri" w:cstheme="minorHAnsi"/>
        </w:rPr>
        <w:t xml:space="preserve"> </w:t>
      </w:r>
      <w:r w:rsidR="00E2372E" w:rsidRPr="00A26C26">
        <w:rPr>
          <w:rFonts w:eastAsia="Calibri" w:cstheme="minorHAnsi"/>
        </w:rPr>
        <w:t>komunikacji)</w:t>
      </w:r>
      <w:r w:rsidR="003B50ED">
        <w:rPr>
          <w:rFonts w:eastAsia="Calibri" w:cstheme="minorHAnsi"/>
        </w:rPr>
        <w:t xml:space="preserve"> </w:t>
      </w:r>
      <w:r w:rsidR="00E2372E" w:rsidRPr="00A26C26">
        <w:rPr>
          <w:rFonts w:eastAsia="Calibri" w:cstheme="minorHAnsi"/>
          <w:i/>
          <w:iCs/>
        </w:rPr>
        <w:t>Także</w:t>
      </w:r>
      <w:r w:rsidR="003B50ED">
        <w:rPr>
          <w:rFonts w:eastAsia="Calibri" w:cstheme="minorHAnsi"/>
          <w:i/>
          <w:iCs/>
        </w:rPr>
        <w:t xml:space="preserve"> </w:t>
      </w:r>
      <w:r w:rsidR="00E2372E" w:rsidRPr="00A26C26">
        <w:rPr>
          <w:rFonts w:eastAsia="Calibri" w:cstheme="minorHAnsi"/>
          <w:i/>
          <w:iCs/>
        </w:rPr>
        <w:t>na</w:t>
      </w:r>
      <w:r w:rsidR="003B50ED">
        <w:rPr>
          <w:rFonts w:eastAsia="Calibri" w:cstheme="minorHAnsi"/>
          <w:i/>
          <w:iCs/>
        </w:rPr>
        <w:t xml:space="preserve"> </w:t>
      </w:r>
      <w:r w:rsidR="00E2372E" w:rsidRPr="00A26C26">
        <w:rPr>
          <w:rFonts w:eastAsia="Calibri" w:cstheme="minorHAnsi"/>
          <w:i/>
          <w:iCs/>
        </w:rPr>
        <w:t>etapie</w:t>
      </w:r>
      <w:r w:rsidR="003B50ED">
        <w:rPr>
          <w:rFonts w:eastAsia="Calibri" w:cstheme="minorHAnsi"/>
          <w:i/>
          <w:iCs/>
        </w:rPr>
        <w:t xml:space="preserve"> </w:t>
      </w:r>
      <w:r w:rsidR="00E2372E" w:rsidRPr="00A26C26">
        <w:rPr>
          <w:rFonts w:eastAsia="Calibri" w:cstheme="minorHAnsi"/>
          <w:i/>
          <w:iCs/>
        </w:rPr>
        <w:t>przygotowania</w:t>
      </w:r>
      <w:r w:rsidR="003B50ED">
        <w:rPr>
          <w:rFonts w:eastAsia="Calibri" w:cstheme="minorHAnsi"/>
          <w:i/>
          <w:iCs/>
        </w:rPr>
        <w:t xml:space="preserve"> </w:t>
      </w:r>
      <w:r w:rsidR="00E2372E" w:rsidRPr="00A26C26">
        <w:rPr>
          <w:rFonts w:eastAsia="Calibri" w:cstheme="minorHAnsi"/>
          <w:i/>
          <w:iCs/>
        </w:rPr>
        <w:t>LSR</w:t>
      </w:r>
      <w:r w:rsidR="00E2372E" w:rsidRPr="00A26C26">
        <w:rPr>
          <w:rFonts w:eastAsia="Calibri" w:cstheme="minorHAnsi"/>
        </w:rPr>
        <w:t>;</w:t>
      </w:r>
      <w:r w:rsidR="003B50ED">
        <w:rPr>
          <w:rFonts w:eastAsia="Calibri" w:cstheme="minorHAnsi"/>
        </w:rPr>
        <w:t xml:space="preserve"> </w:t>
      </w:r>
    </w:p>
    <w:p w14:paraId="4F15BEC7" w14:textId="77777777" w:rsidR="00037899" w:rsidRDefault="00037899" w:rsidP="00037899">
      <w:pPr>
        <w:spacing w:line="276" w:lineRule="auto"/>
        <w:jc w:val="both"/>
        <w:rPr>
          <w:rFonts w:eastAsia="Calibri" w:cstheme="minorHAnsi"/>
          <w:i/>
          <w:iCs/>
        </w:rPr>
      </w:pPr>
      <w:r>
        <w:rPr>
          <w:rFonts w:eastAsia="Calibri" w:cstheme="minorHAnsi"/>
        </w:rPr>
        <w:lastRenderedPageBreak/>
        <w:t xml:space="preserve">- </w:t>
      </w:r>
      <w:r w:rsidR="00E2372E" w:rsidRPr="00A26C26">
        <w:rPr>
          <w:rFonts w:eastAsia="Calibri" w:cstheme="minorHAnsi"/>
          <w:b/>
          <w:bCs/>
        </w:rPr>
        <w:t>wypracowanie</w:t>
      </w:r>
      <w:r w:rsidR="003B50ED">
        <w:rPr>
          <w:rFonts w:eastAsia="Calibri" w:cstheme="minorHAnsi"/>
          <w:b/>
          <w:bCs/>
        </w:rPr>
        <w:t xml:space="preserve"> </w:t>
      </w:r>
      <w:r w:rsidR="00E2372E" w:rsidRPr="00A26C26">
        <w:rPr>
          <w:rFonts w:eastAsia="Calibri" w:cstheme="minorHAnsi"/>
          <w:b/>
          <w:bCs/>
        </w:rPr>
        <w:t>rozwiązań</w:t>
      </w:r>
      <w:r w:rsidR="003B50ED">
        <w:rPr>
          <w:rFonts w:eastAsia="Calibri" w:cstheme="minorHAnsi"/>
          <w:b/>
          <w:bCs/>
        </w:rPr>
        <w:t xml:space="preserve"> </w:t>
      </w:r>
      <w:r w:rsidR="00E2372E" w:rsidRPr="00A26C26">
        <w:rPr>
          <w:rFonts w:eastAsia="Calibri" w:cstheme="minorHAnsi"/>
          <w:b/>
          <w:bCs/>
        </w:rPr>
        <w:t>mających</w:t>
      </w:r>
      <w:r w:rsidR="003B50ED">
        <w:rPr>
          <w:rFonts w:eastAsia="Calibri" w:cstheme="minorHAnsi"/>
          <w:b/>
          <w:bCs/>
        </w:rPr>
        <w:t xml:space="preserve"> </w:t>
      </w:r>
      <w:r w:rsidR="00E2372E" w:rsidRPr="00A26C26">
        <w:rPr>
          <w:rFonts w:eastAsia="Calibri" w:cstheme="minorHAnsi"/>
          <w:b/>
          <w:bCs/>
        </w:rPr>
        <w:t>na</w:t>
      </w:r>
      <w:r w:rsidR="003B50ED">
        <w:rPr>
          <w:rFonts w:eastAsia="Calibri" w:cstheme="minorHAnsi"/>
          <w:b/>
          <w:bCs/>
        </w:rPr>
        <w:t xml:space="preserve"> </w:t>
      </w:r>
      <w:r w:rsidR="00E2372E" w:rsidRPr="00A26C26">
        <w:rPr>
          <w:rFonts w:eastAsia="Calibri" w:cstheme="minorHAnsi"/>
          <w:b/>
          <w:bCs/>
        </w:rPr>
        <w:t>celu</w:t>
      </w:r>
      <w:r w:rsidR="003B50ED">
        <w:rPr>
          <w:rFonts w:eastAsia="Calibri" w:cstheme="minorHAnsi"/>
          <w:b/>
          <w:bCs/>
        </w:rPr>
        <w:t xml:space="preserve"> </w:t>
      </w:r>
      <w:r w:rsidR="00E2372E" w:rsidRPr="00A26C26">
        <w:rPr>
          <w:rFonts w:eastAsia="Calibri" w:cstheme="minorHAnsi"/>
          <w:b/>
          <w:bCs/>
        </w:rPr>
        <w:t>włączenie</w:t>
      </w:r>
      <w:r w:rsidR="003B50ED">
        <w:rPr>
          <w:rFonts w:eastAsia="Calibri" w:cstheme="minorHAnsi"/>
          <w:b/>
          <w:bCs/>
        </w:rPr>
        <w:t xml:space="preserve"> </w:t>
      </w:r>
      <w:r w:rsidR="00E2372E" w:rsidRPr="00A26C26">
        <w:rPr>
          <w:rFonts w:eastAsia="Calibri" w:cstheme="minorHAnsi"/>
          <w:b/>
          <w:bCs/>
        </w:rPr>
        <w:t>społeczne,</w:t>
      </w:r>
      <w:r w:rsidR="003B50ED">
        <w:rPr>
          <w:rFonts w:eastAsia="Calibri" w:cstheme="minorHAnsi"/>
          <w:b/>
          <w:bCs/>
        </w:rPr>
        <w:t xml:space="preserve"> </w:t>
      </w:r>
      <w:r w:rsidR="00E2372E" w:rsidRPr="00A26C26">
        <w:rPr>
          <w:rFonts w:eastAsia="Calibri" w:cstheme="minorHAnsi"/>
          <w:b/>
          <w:bCs/>
        </w:rPr>
        <w:t>cyfrowe</w:t>
      </w:r>
      <w:r w:rsidR="003B50ED">
        <w:rPr>
          <w:rFonts w:eastAsia="Calibri" w:cstheme="minorHAnsi"/>
          <w:b/>
          <w:bCs/>
        </w:rPr>
        <w:t xml:space="preserve"> </w:t>
      </w:r>
      <w:r w:rsidR="00E2372E" w:rsidRPr="00A26C26">
        <w:rPr>
          <w:rFonts w:eastAsia="Calibri" w:cstheme="minorHAnsi"/>
          <w:b/>
          <w:bCs/>
        </w:rPr>
        <w:t>i</w:t>
      </w:r>
      <w:r w:rsidR="003B50ED">
        <w:rPr>
          <w:rFonts w:eastAsia="Calibri" w:cstheme="minorHAnsi"/>
          <w:b/>
          <w:bCs/>
        </w:rPr>
        <w:t xml:space="preserve"> </w:t>
      </w:r>
      <w:r w:rsidR="00E2372E" w:rsidRPr="00A26C26">
        <w:rPr>
          <w:rFonts w:eastAsia="Calibri" w:cstheme="minorHAnsi"/>
          <w:b/>
          <w:bCs/>
        </w:rPr>
        <w:t>inne</w:t>
      </w:r>
      <w:r w:rsidR="003B50ED">
        <w:rPr>
          <w:rFonts w:eastAsia="Calibri" w:cstheme="minorHAnsi"/>
          <w:b/>
          <w:bCs/>
        </w:rPr>
        <w:t xml:space="preserve"> </w:t>
      </w:r>
      <w:r w:rsidR="00E2372E" w:rsidRPr="00A26C26">
        <w:rPr>
          <w:rFonts w:eastAsia="Calibri" w:cstheme="minorHAnsi"/>
          <w:b/>
          <w:bCs/>
        </w:rPr>
        <w:t>seniorów</w:t>
      </w:r>
      <w:r w:rsidR="003B50ED">
        <w:rPr>
          <w:rFonts w:eastAsia="Calibri" w:cstheme="minorHAnsi"/>
        </w:rPr>
        <w:t xml:space="preserve"> </w:t>
      </w:r>
      <w:r w:rsidR="00E2372E" w:rsidRPr="00A26C26">
        <w:rPr>
          <w:rFonts w:eastAsia="Calibri" w:cstheme="minorHAnsi"/>
        </w:rPr>
        <w:t>(włączenie</w:t>
      </w:r>
      <w:r w:rsidR="003B50ED">
        <w:rPr>
          <w:rFonts w:eastAsia="Calibri" w:cstheme="minorHAnsi"/>
        </w:rPr>
        <w:t xml:space="preserve"> </w:t>
      </w:r>
      <w:r w:rsidR="00E2372E" w:rsidRPr="00A26C26">
        <w:rPr>
          <w:rFonts w:eastAsia="Calibri" w:cstheme="minorHAnsi"/>
        </w:rPr>
        <w:t>poprzez</w:t>
      </w:r>
      <w:r w:rsidR="003B50ED">
        <w:rPr>
          <w:rFonts w:eastAsia="Calibri" w:cstheme="minorHAnsi"/>
        </w:rPr>
        <w:t xml:space="preserve"> </w:t>
      </w:r>
      <w:r w:rsidR="00E2372E" w:rsidRPr="00A26C26">
        <w:rPr>
          <w:rFonts w:eastAsia="Calibri" w:cstheme="minorHAnsi"/>
        </w:rPr>
        <w:t>Członkowsko</w:t>
      </w:r>
      <w:r w:rsidR="003B50ED">
        <w:rPr>
          <w:rFonts w:eastAsia="Calibri" w:cstheme="minorHAnsi"/>
        </w:rPr>
        <w:t xml:space="preserve"> </w:t>
      </w:r>
      <w:r w:rsidR="00E2372E" w:rsidRPr="00A26C26">
        <w:rPr>
          <w:rFonts w:eastAsia="Calibri" w:cstheme="minorHAnsi"/>
        </w:rPr>
        <w:t>w</w:t>
      </w:r>
      <w:r w:rsidR="003B50ED">
        <w:rPr>
          <w:rFonts w:eastAsia="Calibri" w:cstheme="minorHAnsi"/>
        </w:rPr>
        <w:t xml:space="preserve"> </w:t>
      </w:r>
      <w:r w:rsidR="00E2372E" w:rsidRPr="00A26C26">
        <w:rPr>
          <w:rFonts w:eastAsia="Calibri" w:cstheme="minorHAnsi"/>
        </w:rPr>
        <w:t>Zarządzie,</w:t>
      </w:r>
      <w:r w:rsidR="003B50ED">
        <w:rPr>
          <w:rFonts w:eastAsia="Calibri" w:cstheme="minorHAnsi"/>
        </w:rPr>
        <w:t xml:space="preserve"> </w:t>
      </w:r>
      <w:r w:rsidR="00E2372E" w:rsidRPr="00A26C26">
        <w:rPr>
          <w:rFonts w:eastAsia="Calibri" w:cstheme="minorHAnsi"/>
        </w:rPr>
        <w:t>Radzie,</w:t>
      </w:r>
      <w:r w:rsidR="003B50ED">
        <w:rPr>
          <w:rFonts w:eastAsia="Calibri" w:cstheme="minorHAnsi"/>
        </w:rPr>
        <w:t xml:space="preserve"> </w:t>
      </w:r>
      <w:r w:rsidR="00E2372E" w:rsidRPr="00A26C26">
        <w:rPr>
          <w:rFonts w:eastAsia="Calibri" w:cstheme="minorHAnsi"/>
        </w:rPr>
        <w:t>identyfikacja</w:t>
      </w:r>
      <w:r w:rsidR="003B50ED">
        <w:rPr>
          <w:rFonts w:eastAsia="Calibri" w:cstheme="minorHAnsi"/>
        </w:rPr>
        <w:t xml:space="preserve"> </w:t>
      </w:r>
      <w:r w:rsidR="00E2372E" w:rsidRPr="00A26C26">
        <w:rPr>
          <w:rFonts w:eastAsia="Calibri" w:cstheme="minorHAnsi"/>
        </w:rPr>
        <w:t>potrzeb</w:t>
      </w:r>
      <w:r w:rsidR="003B50ED">
        <w:rPr>
          <w:rFonts w:eastAsia="Calibri" w:cstheme="minorHAnsi"/>
        </w:rPr>
        <w:t xml:space="preserve"> </w:t>
      </w:r>
      <w:r w:rsidR="00E2372E" w:rsidRPr="00A26C26">
        <w:rPr>
          <w:rFonts w:eastAsia="Calibri" w:cstheme="minorHAnsi"/>
        </w:rPr>
        <w:t>na</w:t>
      </w:r>
      <w:r w:rsidR="003B50ED">
        <w:rPr>
          <w:rFonts w:eastAsia="Calibri" w:cstheme="minorHAnsi"/>
        </w:rPr>
        <w:t xml:space="preserve"> </w:t>
      </w:r>
      <w:r w:rsidR="00E2372E" w:rsidRPr="00A26C26">
        <w:rPr>
          <w:rFonts w:eastAsia="Calibri" w:cstheme="minorHAnsi"/>
        </w:rPr>
        <w:t>rzecz</w:t>
      </w:r>
      <w:r w:rsidR="003B50ED">
        <w:rPr>
          <w:rFonts w:eastAsia="Calibri" w:cstheme="minorHAnsi"/>
        </w:rPr>
        <w:t xml:space="preserve"> </w:t>
      </w:r>
      <w:r w:rsidR="00E2372E" w:rsidRPr="00A26C26">
        <w:rPr>
          <w:rFonts w:eastAsia="Calibri" w:cstheme="minorHAnsi"/>
        </w:rPr>
        <w:t>seniorów,</w:t>
      </w:r>
      <w:r w:rsidR="003B50ED">
        <w:rPr>
          <w:rFonts w:eastAsia="Calibri" w:cstheme="minorHAnsi"/>
        </w:rPr>
        <w:t xml:space="preserve"> </w:t>
      </w:r>
      <w:r w:rsidR="00E2372E" w:rsidRPr="00A26C26">
        <w:rPr>
          <w:rFonts w:eastAsia="Calibri" w:cstheme="minorHAnsi"/>
        </w:rPr>
        <w:t>w</w:t>
      </w:r>
      <w:r w:rsidR="003B50ED">
        <w:rPr>
          <w:rFonts w:eastAsia="Calibri" w:cstheme="minorHAnsi"/>
        </w:rPr>
        <w:t xml:space="preserve"> </w:t>
      </w:r>
      <w:r w:rsidR="00E2372E" w:rsidRPr="00A26C26">
        <w:rPr>
          <w:rFonts w:eastAsia="Calibri" w:cstheme="minorHAnsi"/>
        </w:rPr>
        <w:t>tym</w:t>
      </w:r>
      <w:r w:rsidR="003B50ED">
        <w:rPr>
          <w:rFonts w:eastAsia="Calibri" w:cstheme="minorHAnsi"/>
        </w:rPr>
        <w:t xml:space="preserve"> </w:t>
      </w:r>
      <w:r w:rsidR="00E2372E" w:rsidRPr="00A26C26">
        <w:rPr>
          <w:rFonts w:eastAsia="Calibri" w:cstheme="minorHAnsi"/>
        </w:rPr>
        <w:t>działań</w:t>
      </w:r>
      <w:r w:rsidR="003B50ED">
        <w:rPr>
          <w:rFonts w:eastAsia="Calibri" w:cstheme="minorHAnsi"/>
        </w:rPr>
        <w:t xml:space="preserve"> </w:t>
      </w:r>
      <w:r w:rsidR="00E2372E" w:rsidRPr="00A26C26">
        <w:rPr>
          <w:rFonts w:eastAsia="Calibri" w:cstheme="minorHAnsi"/>
        </w:rPr>
        <w:t>w</w:t>
      </w:r>
      <w:r w:rsidR="003B50ED">
        <w:rPr>
          <w:rFonts w:eastAsia="Calibri" w:cstheme="minorHAnsi"/>
        </w:rPr>
        <w:t xml:space="preserve"> </w:t>
      </w:r>
      <w:r w:rsidR="00E2372E" w:rsidRPr="00A26C26">
        <w:rPr>
          <w:rFonts w:eastAsia="Calibri" w:cstheme="minorHAnsi"/>
        </w:rPr>
        <w:t>zakresie</w:t>
      </w:r>
      <w:r w:rsidR="003B50ED">
        <w:rPr>
          <w:rFonts w:eastAsia="Calibri" w:cstheme="minorHAnsi"/>
        </w:rPr>
        <w:t xml:space="preserve"> </w:t>
      </w:r>
      <w:r w:rsidR="00E2372E" w:rsidRPr="00A26C26">
        <w:rPr>
          <w:rFonts w:eastAsia="Calibri" w:cstheme="minorHAnsi"/>
        </w:rPr>
        <w:t>włączenia</w:t>
      </w:r>
      <w:r w:rsidR="003B50ED">
        <w:rPr>
          <w:rFonts w:eastAsia="Calibri" w:cstheme="minorHAnsi"/>
        </w:rPr>
        <w:t xml:space="preserve"> </w:t>
      </w:r>
      <w:r w:rsidR="00E2372E" w:rsidRPr="00A26C26">
        <w:rPr>
          <w:rFonts w:eastAsia="Calibri" w:cstheme="minorHAnsi"/>
        </w:rPr>
        <w:t>społecznego,</w:t>
      </w:r>
      <w:r w:rsidR="003B50ED">
        <w:rPr>
          <w:rFonts w:eastAsia="Calibri" w:cstheme="minorHAnsi"/>
        </w:rPr>
        <w:t xml:space="preserve"> </w:t>
      </w:r>
      <w:r w:rsidR="00E2372E" w:rsidRPr="00A26C26">
        <w:rPr>
          <w:rFonts w:eastAsia="Calibri" w:cstheme="minorHAnsi"/>
        </w:rPr>
        <w:t>cyfrowego</w:t>
      </w:r>
      <w:r w:rsidR="003B50ED">
        <w:rPr>
          <w:rFonts w:eastAsia="Calibri" w:cstheme="minorHAnsi"/>
        </w:rPr>
        <w:t xml:space="preserve"> </w:t>
      </w:r>
      <w:r w:rsidR="00E2372E" w:rsidRPr="00A26C26">
        <w:rPr>
          <w:rFonts w:eastAsia="Calibri" w:cstheme="minorHAnsi"/>
        </w:rPr>
        <w:t>lub</w:t>
      </w:r>
      <w:r w:rsidR="003B50ED">
        <w:rPr>
          <w:rFonts w:eastAsia="Calibri" w:cstheme="minorHAnsi"/>
        </w:rPr>
        <w:t xml:space="preserve"> </w:t>
      </w:r>
      <w:r w:rsidR="00E2372E" w:rsidRPr="00A26C26">
        <w:rPr>
          <w:rFonts w:eastAsia="Calibri" w:cstheme="minorHAnsi"/>
        </w:rPr>
        <w:t>innego</w:t>
      </w:r>
      <w:r w:rsidR="003B50ED">
        <w:rPr>
          <w:rFonts w:eastAsia="Calibri" w:cstheme="minorHAnsi"/>
        </w:rPr>
        <w:t xml:space="preserve"> </w:t>
      </w:r>
      <w:r w:rsidR="00E2372E" w:rsidRPr="00A26C26">
        <w:rPr>
          <w:rFonts w:eastAsia="Calibri" w:cstheme="minorHAnsi"/>
        </w:rPr>
        <w:t>(wyniki</w:t>
      </w:r>
      <w:r w:rsidR="003B50ED">
        <w:rPr>
          <w:rFonts w:eastAsia="Calibri" w:cstheme="minorHAnsi"/>
        </w:rPr>
        <w:t xml:space="preserve"> </w:t>
      </w:r>
      <w:r w:rsidR="00E2372E" w:rsidRPr="00A26C26">
        <w:rPr>
          <w:rFonts w:eastAsia="Calibri" w:cstheme="minorHAnsi"/>
        </w:rPr>
        <w:t>ankiet,</w:t>
      </w:r>
      <w:r w:rsidR="003B50ED">
        <w:rPr>
          <w:rFonts w:eastAsia="Calibri" w:cstheme="minorHAnsi"/>
        </w:rPr>
        <w:t xml:space="preserve"> </w:t>
      </w:r>
      <w:r w:rsidR="00E2372E" w:rsidRPr="00A26C26">
        <w:rPr>
          <w:rFonts w:eastAsia="Calibri" w:cstheme="minorHAnsi"/>
        </w:rPr>
        <w:t>wywiadów,</w:t>
      </w:r>
      <w:r w:rsidR="003B50ED">
        <w:rPr>
          <w:rFonts w:eastAsia="Calibri" w:cstheme="minorHAnsi"/>
        </w:rPr>
        <w:t xml:space="preserve"> </w:t>
      </w:r>
      <w:r w:rsidR="00E2372E" w:rsidRPr="00A26C26">
        <w:rPr>
          <w:rFonts w:eastAsia="Calibri" w:cstheme="minorHAnsi"/>
        </w:rPr>
        <w:t>kart</w:t>
      </w:r>
      <w:r w:rsidR="003B50ED">
        <w:rPr>
          <w:rFonts w:eastAsia="Calibri" w:cstheme="minorHAnsi"/>
        </w:rPr>
        <w:t xml:space="preserve"> </w:t>
      </w:r>
      <w:r w:rsidR="00E2372E" w:rsidRPr="00A26C26">
        <w:rPr>
          <w:rFonts w:eastAsia="Calibri" w:cstheme="minorHAnsi"/>
        </w:rPr>
        <w:t>pomysłów),</w:t>
      </w:r>
      <w:r w:rsidR="003B50ED">
        <w:rPr>
          <w:rFonts w:eastAsia="Calibri" w:cstheme="minorHAnsi"/>
        </w:rPr>
        <w:t xml:space="preserve"> </w:t>
      </w:r>
      <w:r w:rsidR="00E2372E" w:rsidRPr="00A26C26">
        <w:rPr>
          <w:rFonts w:eastAsia="Calibri" w:cstheme="minorHAnsi"/>
        </w:rPr>
        <w:t>identyfikacja</w:t>
      </w:r>
      <w:r w:rsidR="003B50ED">
        <w:rPr>
          <w:rFonts w:eastAsia="Calibri" w:cstheme="minorHAnsi"/>
        </w:rPr>
        <w:t xml:space="preserve"> </w:t>
      </w:r>
      <w:r w:rsidR="00E2372E" w:rsidRPr="00A26C26">
        <w:rPr>
          <w:rFonts w:eastAsia="Calibri" w:cstheme="minorHAnsi"/>
        </w:rPr>
        <w:t>oferty</w:t>
      </w:r>
      <w:r w:rsidR="003B50ED">
        <w:rPr>
          <w:rFonts w:eastAsia="Calibri" w:cstheme="minorHAnsi"/>
        </w:rPr>
        <w:t xml:space="preserve"> </w:t>
      </w:r>
      <w:r w:rsidR="00E2372E" w:rsidRPr="00A26C26">
        <w:rPr>
          <w:rFonts w:eastAsia="Calibri" w:cstheme="minorHAnsi"/>
        </w:rPr>
        <w:t>istniejącej</w:t>
      </w:r>
      <w:r w:rsidR="003B50ED">
        <w:rPr>
          <w:rFonts w:eastAsia="Calibri" w:cstheme="minorHAnsi"/>
        </w:rPr>
        <w:t xml:space="preserve"> </w:t>
      </w:r>
      <w:r w:rsidR="00E2372E" w:rsidRPr="00A26C26">
        <w:rPr>
          <w:rFonts w:eastAsia="Calibri" w:cstheme="minorHAnsi"/>
        </w:rPr>
        <w:t>na</w:t>
      </w:r>
      <w:r w:rsidR="003B50ED">
        <w:rPr>
          <w:rFonts w:eastAsia="Calibri" w:cstheme="minorHAnsi"/>
        </w:rPr>
        <w:t xml:space="preserve"> </w:t>
      </w:r>
      <w:r w:rsidR="00E2372E" w:rsidRPr="00A26C26">
        <w:rPr>
          <w:rFonts w:eastAsia="Calibri" w:cstheme="minorHAnsi"/>
        </w:rPr>
        <w:t>obszarze,</w:t>
      </w:r>
      <w:r w:rsidR="003B50ED">
        <w:rPr>
          <w:rFonts w:eastAsia="Calibri" w:cstheme="minorHAnsi"/>
        </w:rPr>
        <w:t xml:space="preserve"> </w:t>
      </w:r>
      <w:r w:rsidR="00E2372E" w:rsidRPr="00A26C26">
        <w:rPr>
          <w:rFonts w:eastAsia="Calibri" w:cstheme="minorHAnsi"/>
        </w:rPr>
        <w:t>wzmocnienie</w:t>
      </w:r>
      <w:r w:rsidR="003B50ED">
        <w:rPr>
          <w:rFonts w:eastAsia="Calibri" w:cstheme="minorHAnsi"/>
        </w:rPr>
        <w:t xml:space="preserve"> </w:t>
      </w:r>
      <w:r w:rsidR="00E2372E" w:rsidRPr="00A26C26">
        <w:rPr>
          <w:rFonts w:eastAsia="Calibri" w:cstheme="minorHAnsi"/>
        </w:rPr>
        <w:t>efektu</w:t>
      </w:r>
      <w:r w:rsidR="003B50ED">
        <w:rPr>
          <w:rFonts w:eastAsia="Calibri" w:cstheme="minorHAnsi"/>
        </w:rPr>
        <w:t xml:space="preserve"> </w:t>
      </w:r>
      <w:r w:rsidR="00E2372E" w:rsidRPr="00A26C26">
        <w:rPr>
          <w:rFonts w:eastAsia="Calibri" w:cstheme="minorHAnsi"/>
        </w:rPr>
        <w:t>komplementarności</w:t>
      </w:r>
      <w:r w:rsidR="003B50ED">
        <w:rPr>
          <w:rFonts w:eastAsia="Calibri" w:cstheme="minorHAnsi"/>
        </w:rPr>
        <w:t xml:space="preserve"> </w:t>
      </w:r>
      <w:r w:rsidR="00E2372E" w:rsidRPr="00A26C26">
        <w:rPr>
          <w:rFonts w:eastAsia="Calibri" w:cstheme="minorHAnsi"/>
        </w:rPr>
        <w:t>lub</w:t>
      </w:r>
      <w:r w:rsidR="003B50ED">
        <w:rPr>
          <w:rFonts w:eastAsia="Calibri" w:cstheme="minorHAnsi"/>
        </w:rPr>
        <w:t xml:space="preserve"> </w:t>
      </w:r>
      <w:r w:rsidR="00E2372E" w:rsidRPr="00A26C26">
        <w:rPr>
          <w:rFonts w:eastAsia="Calibri" w:cstheme="minorHAnsi"/>
        </w:rPr>
        <w:t>synergii,</w:t>
      </w:r>
      <w:r w:rsidR="003B50ED">
        <w:rPr>
          <w:rFonts w:eastAsia="Calibri" w:cstheme="minorHAnsi"/>
        </w:rPr>
        <w:t xml:space="preserve"> </w:t>
      </w:r>
      <w:r w:rsidR="00E2372E" w:rsidRPr="00A26C26">
        <w:rPr>
          <w:rFonts w:eastAsia="Calibri" w:cstheme="minorHAnsi"/>
        </w:rPr>
        <w:t>wypracowanie</w:t>
      </w:r>
      <w:r w:rsidR="003B50ED">
        <w:rPr>
          <w:rFonts w:eastAsia="Calibri" w:cstheme="minorHAnsi"/>
        </w:rPr>
        <w:t xml:space="preserve"> </w:t>
      </w:r>
      <w:r w:rsidR="00E2372E" w:rsidRPr="00A26C26">
        <w:rPr>
          <w:rFonts w:eastAsia="Calibri" w:cstheme="minorHAnsi"/>
        </w:rPr>
        <w:t>wskaźników</w:t>
      </w:r>
      <w:r w:rsidR="003B50ED">
        <w:rPr>
          <w:rFonts w:eastAsia="Calibri" w:cstheme="minorHAnsi"/>
        </w:rPr>
        <w:t xml:space="preserve"> </w:t>
      </w:r>
      <w:r w:rsidR="00E2372E" w:rsidRPr="00A26C26">
        <w:rPr>
          <w:rFonts w:eastAsia="Calibri" w:cstheme="minorHAnsi"/>
        </w:rPr>
        <w:t>produktu,</w:t>
      </w:r>
      <w:r w:rsidR="003B50ED">
        <w:rPr>
          <w:rFonts w:eastAsia="Calibri" w:cstheme="minorHAnsi"/>
        </w:rPr>
        <w:t xml:space="preserve"> </w:t>
      </w:r>
      <w:r w:rsidR="00E2372E" w:rsidRPr="00A26C26">
        <w:rPr>
          <w:rFonts w:eastAsia="Calibri" w:cstheme="minorHAnsi"/>
        </w:rPr>
        <w:t>działania</w:t>
      </w:r>
      <w:r w:rsidR="003B50ED">
        <w:rPr>
          <w:rFonts w:eastAsia="Calibri" w:cstheme="minorHAnsi"/>
        </w:rPr>
        <w:t xml:space="preserve"> </w:t>
      </w:r>
      <w:r w:rsidR="00D615FF" w:rsidRPr="00A26C26">
        <w:rPr>
          <w:rFonts w:eastAsia="Calibri" w:cstheme="minorHAnsi"/>
        </w:rPr>
        <w:br/>
      </w:r>
      <w:r w:rsidR="00E2372E" w:rsidRPr="00A26C26">
        <w:rPr>
          <w:rFonts w:eastAsia="Calibri" w:cstheme="minorHAnsi"/>
        </w:rPr>
        <w:t>w</w:t>
      </w:r>
      <w:r w:rsidR="003B50ED">
        <w:rPr>
          <w:rFonts w:eastAsia="Calibri" w:cstheme="minorHAnsi"/>
        </w:rPr>
        <w:t xml:space="preserve"> </w:t>
      </w:r>
      <w:r w:rsidR="00E2372E" w:rsidRPr="00A26C26">
        <w:rPr>
          <w:rFonts w:eastAsia="Calibri" w:cstheme="minorHAnsi"/>
        </w:rPr>
        <w:t>Planie</w:t>
      </w:r>
      <w:r w:rsidR="003B50ED">
        <w:rPr>
          <w:rFonts w:eastAsia="Calibri" w:cstheme="minorHAnsi"/>
        </w:rPr>
        <w:t xml:space="preserve"> </w:t>
      </w:r>
      <w:r w:rsidR="00E2372E" w:rsidRPr="00A26C26">
        <w:rPr>
          <w:rFonts w:eastAsia="Calibri" w:cstheme="minorHAnsi"/>
        </w:rPr>
        <w:t>komunikacji)</w:t>
      </w:r>
      <w:r w:rsidR="003B50ED">
        <w:rPr>
          <w:rFonts w:eastAsia="Calibri" w:cstheme="minorHAnsi"/>
        </w:rPr>
        <w:t xml:space="preserve"> </w:t>
      </w:r>
      <w:r w:rsidR="00E2372E" w:rsidRPr="00A26C26">
        <w:rPr>
          <w:rFonts w:eastAsia="Calibri" w:cstheme="minorHAnsi"/>
          <w:i/>
          <w:iCs/>
        </w:rPr>
        <w:t>Także</w:t>
      </w:r>
      <w:r w:rsidR="003B50ED">
        <w:rPr>
          <w:rFonts w:eastAsia="Calibri" w:cstheme="minorHAnsi"/>
          <w:i/>
          <w:iCs/>
        </w:rPr>
        <w:t xml:space="preserve"> </w:t>
      </w:r>
      <w:r w:rsidR="00E2372E" w:rsidRPr="00A26C26">
        <w:rPr>
          <w:rFonts w:eastAsia="Calibri" w:cstheme="minorHAnsi"/>
          <w:i/>
          <w:iCs/>
        </w:rPr>
        <w:t>na</w:t>
      </w:r>
      <w:r w:rsidR="003B50ED">
        <w:rPr>
          <w:rFonts w:eastAsia="Calibri" w:cstheme="minorHAnsi"/>
          <w:i/>
          <w:iCs/>
        </w:rPr>
        <w:t xml:space="preserve"> </w:t>
      </w:r>
      <w:r w:rsidR="00E2372E" w:rsidRPr="00A26C26">
        <w:rPr>
          <w:rFonts w:eastAsia="Calibri" w:cstheme="minorHAnsi"/>
          <w:i/>
          <w:iCs/>
        </w:rPr>
        <w:t>etapie</w:t>
      </w:r>
      <w:r w:rsidR="003B50ED">
        <w:rPr>
          <w:rFonts w:eastAsia="Calibri" w:cstheme="minorHAnsi"/>
          <w:i/>
          <w:iCs/>
        </w:rPr>
        <w:t xml:space="preserve"> </w:t>
      </w:r>
      <w:r w:rsidR="00E2372E" w:rsidRPr="00A26C26">
        <w:rPr>
          <w:rFonts w:eastAsia="Calibri" w:cstheme="minorHAnsi"/>
          <w:i/>
          <w:iCs/>
        </w:rPr>
        <w:t>przygotowania</w:t>
      </w:r>
      <w:r w:rsidR="003B50ED">
        <w:rPr>
          <w:rFonts w:eastAsia="Calibri" w:cstheme="minorHAnsi"/>
          <w:i/>
          <w:iCs/>
        </w:rPr>
        <w:t xml:space="preserve"> </w:t>
      </w:r>
      <w:r w:rsidR="00E2372E" w:rsidRPr="00A26C26">
        <w:rPr>
          <w:rFonts w:eastAsia="Calibri" w:cstheme="minorHAnsi"/>
          <w:i/>
          <w:iCs/>
        </w:rPr>
        <w:t>LSR;</w:t>
      </w:r>
      <w:r w:rsidR="003B50ED">
        <w:rPr>
          <w:rFonts w:eastAsia="Calibri" w:cstheme="minorHAnsi"/>
          <w:i/>
          <w:iCs/>
        </w:rPr>
        <w:t xml:space="preserve"> </w:t>
      </w:r>
    </w:p>
    <w:p w14:paraId="49BB4E69" w14:textId="77777777" w:rsidR="00037899" w:rsidRDefault="00037899" w:rsidP="00037899">
      <w:pPr>
        <w:spacing w:line="276" w:lineRule="auto"/>
        <w:jc w:val="both"/>
        <w:rPr>
          <w:rFonts w:eastAsia="Calibri" w:cstheme="minorHAnsi"/>
        </w:rPr>
      </w:pPr>
      <w:r>
        <w:rPr>
          <w:rFonts w:eastAsia="Calibri" w:cstheme="minorHAnsi"/>
          <w:i/>
          <w:iCs/>
        </w:rPr>
        <w:t>-</w:t>
      </w:r>
      <w:r w:rsidRPr="00037899">
        <w:rPr>
          <w:rFonts w:eastAsia="Calibri" w:cstheme="minorHAnsi"/>
        </w:rPr>
        <w:t xml:space="preserve"> </w:t>
      </w:r>
      <w:r w:rsidR="00E2372E" w:rsidRPr="00A26C26">
        <w:rPr>
          <w:rFonts w:eastAsia="Calibri" w:cstheme="minorHAnsi"/>
          <w:b/>
          <w:bCs/>
        </w:rPr>
        <w:t>dobór</w:t>
      </w:r>
      <w:r w:rsidR="003B50ED">
        <w:rPr>
          <w:rFonts w:eastAsia="Calibri" w:cstheme="minorHAnsi"/>
          <w:b/>
          <w:bCs/>
        </w:rPr>
        <w:t xml:space="preserve"> </w:t>
      </w:r>
      <w:r w:rsidR="00E2372E" w:rsidRPr="00A26C26">
        <w:rPr>
          <w:rFonts w:eastAsia="Calibri" w:cstheme="minorHAnsi"/>
          <w:b/>
          <w:bCs/>
        </w:rPr>
        <w:t>metod</w:t>
      </w:r>
      <w:r w:rsidR="003B50ED">
        <w:rPr>
          <w:rFonts w:eastAsia="Calibri" w:cstheme="minorHAnsi"/>
          <w:b/>
          <w:bCs/>
        </w:rPr>
        <w:t xml:space="preserve"> </w:t>
      </w:r>
      <w:r w:rsidR="00E2372E" w:rsidRPr="00A26C26">
        <w:rPr>
          <w:rFonts w:eastAsia="Calibri" w:cstheme="minorHAnsi"/>
          <w:b/>
          <w:bCs/>
        </w:rPr>
        <w:t>aktywizujących</w:t>
      </w:r>
      <w:r w:rsidR="003B50ED">
        <w:rPr>
          <w:rFonts w:eastAsia="Calibri" w:cstheme="minorHAnsi"/>
          <w:b/>
          <w:bCs/>
        </w:rPr>
        <w:t xml:space="preserve"> </w:t>
      </w:r>
      <w:r w:rsidR="00E2372E" w:rsidRPr="00A26C26">
        <w:rPr>
          <w:rFonts w:eastAsia="Calibri" w:cstheme="minorHAnsi"/>
          <w:b/>
          <w:bCs/>
        </w:rPr>
        <w:t>(metod</w:t>
      </w:r>
      <w:r w:rsidR="003B50ED">
        <w:rPr>
          <w:rFonts w:eastAsia="Calibri" w:cstheme="minorHAnsi"/>
          <w:b/>
          <w:bCs/>
        </w:rPr>
        <w:t xml:space="preserve"> </w:t>
      </w:r>
      <w:r w:rsidR="00E2372E" w:rsidRPr="00A26C26">
        <w:rPr>
          <w:rFonts w:eastAsia="Calibri" w:cstheme="minorHAnsi"/>
          <w:b/>
          <w:bCs/>
        </w:rPr>
        <w:t>wdrażania</w:t>
      </w:r>
      <w:r w:rsidR="003B50ED">
        <w:rPr>
          <w:rFonts w:eastAsia="Calibri" w:cstheme="minorHAnsi"/>
          <w:b/>
          <w:bCs/>
        </w:rPr>
        <w:t xml:space="preserve"> </w:t>
      </w:r>
      <w:r w:rsidR="00E2372E" w:rsidRPr="00A26C26">
        <w:rPr>
          <w:rFonts w:eastAsia="Calibri" w:cstheme="minorHAnsi"/>
          <w:b/>
          <w:bCs/>
        </w:rPr>
        <w:t>LSR)</w:t>
      </w:r>
      <w:r w:rsidR="003B50ED">
        <w:rPr>
          <w:rFonts w:eastAsia="Calibri" w:cstheme="minorHAnsi"/>
          <w:b/>
          <w:bCs/>
        </w:rPr>
        <w:t xml:space="preserve"> </w:t>
      </w:r>
      <w:r w:rsidR="00E2372E" w:rsidRPr="00A26C26">
        <w:rPr>
          <w:rFonts w:eastAsia="Calibri" w:cstheme="minorHAnsi"/>
        </w:rPr>
        <w:t>–</w:t>
      </w:r>
      <w:r w:rsidR="003B50ED">
        <w:rPr>
          <w:rFonts w:eastAsia="Calibri" w:cstheme="minorHAnsi"/>
        </w:rPr>
        <w:t xml:space="preserve"> </w:t>
      </w:r>
      <w:r w:rsidR="00E2372E" w:rsidRPr="00A26C26">
        <w:rPr>
          <w:rFonts w:eastAsia="Calibri" w:cstheme="minorHAnsi"/>
        </w:rPr>
        <w:t>operacja</w:t>
      </w:r>
      <w:r w:rsidR="003B50ED">
        <w:rPr>
          <w:rFonts w:eastAsia="Calibri" w:cstheme="minorHAnsi"/>
        </w:rPr>
        <w:t xml:space="preserve"> </w:t>
      </w:r>
      <w:r w:rsidR="00E2372E" w:rsidRPr="00A26C26">
        <w:rPr>
          <w:rFonts w:eastAsia="Calibri" w:cstheme="minorHAnsi"/>
        </w:rPr>
        <w:t>klasyczna,</w:t>
      </w:r>
      <w:r w:rsidR="003B50ED">
        <w:rPr>
          <w:rFonts w:eastAsia="Calibri" w:cstheme="minorHAnsi"/>
        </w:rPr>
        <w:t xml:space="preserve"> </w:t>
      </w:r>
      <w:r w:rsidR="00E2372E" w:rsidRPr="00A26C26">
        <w:rPr>
          <w:rFonts w:eastAsia="Calibri" w:cstheme="minorHAnsi"/>
        </w:rPr>
        <w:t>operacja</w:t>
      </w:r>
      <w:r w:rsidR="003B50ED">
        <w:rPr>
          <w:rFonts w:eastAsia="Calibri" w:cstheme="minorHAnsi"/>
        </w:rPr>
        <w:t xml:space="preserve"> </w:t>
      </w:r>
      <w:r w:rsidR="00E2372E" w:rsidRPr="00A26C26">
        <w:rPr>
          <w:rFonts w:eastAsia="Calibri" w:cstheme="minorHAnsi"/>
        </w:rPr>
        <w:t>w</w:t>
      </w:r>
      <w:r w:rsidR="003B50ED">
        <w:rPr>
          <w:rFonts w:eastAsia="Calibri" w:cstheme="minorHAnsi"/>
        </w:rPr>
        <w:t xml:space="preserve"> </w:t>
      </w:r>
      <w:r w:rsidR="00E2372E" w:rsidRPr="00A26C26">
        <w:rPr>
          <w:rFonts w:eastAsia="Calibri" w:cstheme="minorHAnsi"/>
        </w:rPr>
        <w:t>partnerstwie,</w:t>
      </w:r>
      <w:r w:rsidR="003B50ED">
        <w:rPr>
          <w:rFonts w:eastAsia="Calibri" w:cstheme="minorHAnsi"/>
        </w:rPr>
        <w:t xml:space="preserve"> </w:t>
      </w:r>
      <w:r w:rsidR="00E2372E" w:rsidRPr="00A26C26">
        <w:rPr>
          <w:rFonts w:eastAsia="Calibri" w:cstheme="minorHAnsi"/>
        </w:rPr>
        <w:t>projekt</w:t>
      </w:r>
      <w:r w:rsidR="003B50ED">
        <w:rPr>
          <w:rFonts w:eastAsia="Calibri" w:cstheme="minorHAnsi"/>
        </w:rPr>
        <w:t xml:space="preserve"> </w:t>
      </w:r>
      <w:r w:rsidR="00E2372E" w:rsidRPr="00A26C26">
        <w:rPr>
          <w:rFonts w:eastAsia="Calibri" w:cstheme="minorHAnsi"/>
        </w:rPr>
        <w:t>partnerski,</w:t>
      </w:r>
      <w:r w:rsidR="003B50ED">
        <w:rPr>
          <w:rFonts w:eastAsia="Calibri" w:cstheme="minorHAnsi"/>
        </w:rPr>
        <w:t xml:space="preserve"> </w:t>
      </w:r>
      <w:r w:rsidR="00E2372E" w:rsidRPr="00A26C26">
        <w:rPr>
          <w:rFonts w:eastAsia="Calibri" w:cstheme="minorHAnsi"/>
        </w:rPr>
        <w:t>projekt</w:t>
      </w:r>
      <w:r w:rsidR="003B50ED">
        <w:rPr>
          <w:rFonts w:eastAsia="Calibri" w:cstheme="minorHAnsi"/>
        </w:rPr>
        <w:t xml:space="preserve"> </w:t>
      </w:r>
      <w:r w:rsidR="00E2372E" w:rsidRPr="00A26C26">
        <w:rPr>
          <w:rFonts w:eastAsia="Calibri" w:cstheme="minorHAnsi"/>
        </w:rPr>
        <w:t>grantowy,</w:t>
      </w:r>
      <w:r w:rsidR="003B50ED">
        <w:rPr>
          <w:rFonts w:eastAsia="Calibri" w:cstheme="minorHAnsi"/>
        </w:rPr>
        <w:t xml:space="preserve"> </w:t>
      </w:r>
      <w:r w:rsidR="00E2372E" w:rsidRPr="00A26C26">
        <w:rPr>
          <w:rFonts w:eastAsia="Calibri" w:cstheme="minorHAnsi"/>
        </w:rPr>
        <w:t>projekt</w:t>
      </w:r>
      <w:r w:rsidR="003B50ED">
        <w:rPr>
          <w:rFonts w:eastAsia="Calibri" w:cstheme="minorHAnsi"/>
        </w:rPr>
        <w:t xml:space="preserve"> </w:t>
      </w:r>
      <w:r w:rsidR="00E2372E" w:rsidRPr="00A26C26">
        <w:rPr>
          <w:rFonts w:eastAsia="Calibri" w:cstheme="minorHAnsi"/>
        </w:rPr>
        <w:t>grantowy</w:t>
      </w:r>
      <w:r w:rsidR="003B50ED">
        <w:rPr>
          <w:rFonts w:eastAsia="Calibri" w:cstheme="minorHAnsi"/>
        </w:rPr>
        <w:t xml:space="preserve"> </w:t>
      </w:r>
      <w:r w:rsidR="00E2372E" w:rsidRPr="00A26C26">
        <w:rPr>
          <w:rFonts w:eastAsia="Calibri" w:cstheme="minorHAnsi"/>
        </w:rPr>
        <w:t>na</w:t>
      </w:r>
      <w:r w:rsidR="003B50ED">
        <w:rPr>
          <w:rFonts w:eastAsia="Calibri" w:cstheme="minorHAnsi"/>
        </w:rPr>
        <w:t xml:space="preserve"> </w:t>
      </w:r>
      <w:r w:rsidR="00E2372E" w:rsidRPr="00A26C26">
        <w:rPr>
          <w:rFonts w:eastAsia="Calibri" w:cstheme="minorHAnsi"/>
        </w:rPr>
        <w:t>przygotowanie</w:t>
      </w:r>
      <w:r w:rsidR="003B50ED">
        <w:rPr>
          <w:rFonts w:eastAsia="Calibri" w:cstheme="minorHAnsi"/>
        </w:rPr>
        <w:t xml:space="preserve"> </w:t>
      </w:r>
      <w:r w:rsidR="00E2372E" w:rsidRPr="00A26C26">
        <w:rPr>
          <w:rFonts w:eastAsia="Calibri" w:cstheme="minorHAnsi"/>
        </w:rPr>
        <w:t>koncepcji</w:t>
      </w:r>
      <w:r w:rsidR="003B50ED">
        <w:rPr>
          <w:rFonts w:eastAsia="Calibri" w:cstheme="minorHAnsi"/>
        </w:rPr>
        <w:t xml:space="preserve"> </w:t>
      </w:r>
      <w:r w:rsidR="00E2372E" w:rsidRPr="00A26C26">
        <w:rPr>
          <w:rFonts w:eastAsia="Calibri" w:cstheme="minorHAnsi"/>
        </w:rPr>
        <w:t>SV</w:t>
      </w:r>
      <w:r w:rsidR="003B50ED">
        <w:rPr>
          <w:rFonts w:eastAsia="Calibri" w:cstheme="minorHAnsi"/>
        </w:rPr>
        <w:t xml:space="preserve"> </w:t>
      </w:r>
      <w:r w:rsidR="00E2372E" w:rsidRPr="00A26C26">
        <w:rPr>
          <w:rFonts w:eastAsia="Calibri" w:cstheme="minorHAnsi"/>
        </w:rPr>
        <w:t>oraz</w:t>
      </w:r>
      <w:r w:rsidR="003B50ED">
        <w:rPr>
          <w:rFonts w:eastAsia="Calibri" w:cstheme="minorHAnsi"/>
        </w:rPr>
        <w:t xml:space="preserve"> </w:t>
      </w:r>
      <w:r w:rsidR="00E2372E" w:rsidRPr="00A26C26">
        <w:rPr>
          <w:rFonts w:eastAsia="Calibri" w:cstheme="minorHAnsi"/>
        </w:rPr>
        <w:t>operacja</w:t>
      </w:r>
      <w:r w:rsidR="003B50ED">
        <w:rPr>
          <w:rFonts w:eastAsia="Calibri" w:cstheme="minorHAnsi"/>
        </w:rPr>
        <w:t xml:space="preserve"> </w:t>
      </w:r>
      <w:r w:rsidR="00E2372E" w:rsidRPr="00A26C26">
        <w:rPr>
          <w:rFonts w:eastAsia="Calibri" w:cstheme="minorHAnsi"/>
        </w:rPr>
        <w:t>własna;</w:t>
      </w:r>
      <w:r w:rsidR="003B50ED">
        <w:rPr>
          <w:rFonts w:eastAsia="Calibri" w:cstheme="minorHAnsi"/>
        </w:rPr>
        <w:t xml:space="preserve"> </w:t>
      </w:r>
    </w:p>
    <w:p w14:paraId="73AB06F7" w14:textId="77777777" w:rsidR="00037899" w:rsidRDefault="00037899" w:rsidP="00037899">
      <w:pPr>
        <w:spacing w:line="276" w:lineRule="auto"/>
        <w:jc w:val="both"/>
        <w:rPr>
          <w:rFonts w:eastAsia="Calibri" w:cstheme="minorHAnsi"/>
          <w:b/>
          <w:bCs/>
        </w:rPr>
      </w:pPr>
      <w:r>
        <w:rPr>
          <w:rFonts w:eastAsia="Calibri" w:cstheme="minorHAnsi"/>
        </w:rPr>
        <w:t xml:space="preserve">- </w:t>
      </w:r>
      <w:r w:rsidR="00E2372E" w:rsidRPr="00A26C26">
        <w:rPr>
          <w:rFonts w:eastAsia="Calibri" w:cstheme="minorHAnsi"/>
          <w:b/>
          <w:bCs/>
        </w:rPr>
        <w:t>dobór</w:t>
      </w:r>
      <w:r w:rsidR="003B50ED">
        <w:rPr>
          <w:rFonts w:eastAsia="Calibri" w:cstheme="minorHAnsi"/>
          <w:b/>
          <w:bCs/>
        </w:rPr>
        <w:t xml:space="preserve"> </w:t>
      </w:r>
      <w:r w:rsidR="00E2372E" w:rsidRPr="00A26C26">
        <w:rPr>
          <w:rFonts w:eastAsia="Calibri" w:cstheme="minorHAnsi"/>
          <w:b/>
          <w:bCs/>
        </w:rPr>
        <w:t>zakresów</w:t>
      </w:r>
      <w:r w:rsidR="003B50ED">
        <w:rPr>
          <w:rFonts w:eastAsia="Calibri" w:cstheme="minorHAnsi"/>
          <w:b/>
          <w:bCs/>
        </w:rPr>
        <w:t xml:space="preserve"> </w:t>
      </w:r>
      <w:r w:rsidR="00E2372E" w:rsidRPr="00A26C26">
        <w:rPr>
          <w:rFonts w:eastAsia="Calibri" w:cstheme="minorHAnsi"/>
          <w:b/>
          <w:bCs/>
        </w:rPr>
        <w:t>wsparcia</w:t>
      </w:r>
      <w:r w:rsidR="003B50ED">
        <w:rPr>
          <w:rFonts w:eastAsia="Calibri" w:cstheme="minorHAnsi"/>
          <w:b/>
          <w:bCs/>
        </w:rPr>
        <w:t xml:space="preserve"> </w:t>
      </w:r>
      <w:r w:rsidR="00E2372E" w:rsidRPr="00A26C26">
        <w:rPr>
          <w:rFonts w:eastAsia="Calibri" w:cstheme="minorHAnsi"/>
          <w:b/>
          <w:bCs/>
        </w:rPr>
        <w:t>i</w:t>
      </w:r>
      <w:r w:rsidR="003B50ED">
        <w:rPr>
          <w:rFonts w:eastAsia="Calibri" w:cstheme="minorHAnsi"/>
          <w:b/>
          <w:bCs/>
        </w:rPr>
        <w:t xml:space="preserve"> </w:t>
      </w:r>
      <w:r w:rsidR="00E2372E" w:rsidRPr="00A26C26">
        <w:rPr>
          <w:rFonts w:eastAsia="Calibri" w:cstheme="minorHAnsi"/>
          <w:b/>
          <w:bCs/>
        </w:rPr>
        <w:t>określenie</w:t>
      </w:r>
      <w:r w:rsidR="003B50ED">
        <w:rPr>
          <w:rFonts w:eastAsia="Calibri" w:cstheme="minorHAnsi"/>
          <w:b/>
          <w:bCs/>
        </w:rPr>
        <w:t xml:space="preserve"> </w:t>
      </w:r>
      <w:r w:rsidR="00E2372E" w:rsidRPr="00A26C26">
        <w:rPr>
          <w:rFonts w:eastAsia="Calibri" w:cstheme="minorHAnsi"/>
          <w:b/>
          <w:bCs/>
        </w:rPr>
        <w:t>ewentualnych</w:t>
      </w:r>
      <w:r w:rsidR="003B50ED">
        <w:rPr>
          <w:rFonts w:eastAsia="Calibri" w:cstheme="minorHAnsi"/>
          <w:b/>
          <w:bCs/>
        </w:rPr>
        <w:t xml:space="preserve"> </w:t>
      </w:r>
      <w:r w:rsidR="00E2372E" w:rsidRPr="00A26C26">
        <w:rPr>
          <w:rFonts w:eastAsia="Calibri" w:cstheme="minorHAnsi"/>
          <w:b/>
          <w:bCs/>
        </w:rPr>
        <w:t>limitów,</w:t>
      </w:r>
      <w:r w:rsidR="003B50ED">
        <w:rPr>
          <w:rFonts w:eastAsia="Calibri" w:cstheme="minorHAnsi"/>
          <w:b/>
          <w:bCs/>
        </w:rPr>
        <w:t xml:space="preserve"> </w:t>
      </w:r>
      <w:r w:rsidR="00E2372E" w:rsidRPr="00A26C26">
        <w:rPr>
          <w:rFonts w:eastAsia="Calibri" w:cstheme="minorHAnsi"/>
          <w:b/>
          <w:bCs/>
        </w:rPr>
        <w:t>poziomów</w:t>
      </w:r>
      <w:r w:rsidR="003B50ED">
        <w:rPr>
          <w:rFonts w:eastAsia="Calibri" w:cstheme="minorHAnsi"/>
          <w:b/>
          <w:bCs/>
        </w:rPr>
        <w:t xml:space="preserve"> </w:t>
      </w:r>
      <w:r w:rsidR="00E2372E" w:rsidRPr="00A26C26">
        <w:rPr>
          <w:rFonts w:eastAsia="Calibri" w:cstheme="minorHAnsi"/>
          <w:b/>
          <w:bCs/>
        </w:rPr>
        <w:t>dofinansowania</w:t>
      </w:r>
      <w:r w:rsidR="003B50ED">
        <w:rPr>
          <w:rFonts w:eastAsia="Calibri" w:cstheme="minorHAnsi"/>
          <w:b/>
          <w:bCs/>
        </w:rPr>
        <w:t xml:space="preserve"> </w:t>
      </w:r>
      <w:r w:rsidR="00E2372E" w:rsidRPr="00A26C26">
        <w:rPr>
          <w:rFonts w:eastAsia="Calibri" w:cstheme="minorHAnsi"/>
        </w:rPr>
        <w:t>dla</w:t>
      </w:r>
      <w:r w:rsidR="003B50ED">
        <w:rPr>
          <w:rFonts w:eastAsia="Calibri" w:cstheme="minorHAnsi"/>
        </w:rPr>
        <w:t xml:space="preserve"> </w:t>
      </w:r>
      <w:r w:rsidR="00E2372E" w:rsidRPr="00A26C26">
        <w:rPr>
          <w:rFonts w:eastAsia="Calibri" w:cstheme="minorHAnsi"/>
        </w:rPr>
        <w:t>projektów</w:t>
      </w:r>
      <w:r w:rsidR="003B50ED">
        <w:rPr>
          <w:rFonts w:eastAsia="Calibri" w:cstheme="minorHAnsi"/>
        </w:rPr>
        <w:t xml:space="preserve"> </w:t>
      </w:r>
      <w:r w:rsidR="00E2372E" w:rsidRPr="00A26C26">
        <w:rPr>
          <w:rFonts w:eastAsia="Calibri" w:cstheme="minorHAnsi"/>
        </w:rPr>
        <w:t>/</w:t>
      </w:r>
      <w:r w:rsidR="003B50ED">
        <w:rPr>
          <w:rFonts w:eastAsia="Calibri" w:cstheme="minorHAnsi"/>
        </w:rPr>
        <w:t xml:space="preserve"> </w:t>
      </w:r>
      <w:r w:rsidR="00E2372E" w:rsidRPr="00A26C26">
        <w:rPr>
          <w:rFonts w:eastAsia="Calibri" w:cstheme="minorHAnsi"/>
        </w:rPr>
        <w:t>beneficjentów</w:t>
      </w:r>
      <w:r w:rsidR="003B50ED">
        <w:rPr>
          <w:rFonts w:eastAsia="Calibri" w:cstheme="minorHAnsi"/>
        </w:rPr>
        <w:t xml:space="preserve"> </w:t>
      </w:r>
      <w:r w:rsidR="00E2372E" w:rsidRPr="00A26C26">
        <w:rPr>
          <w:rFonts w:eastAsia="Calibri" w:cstheme="minorHAnsi"/>
        </w:rPr>
        <w:t>/</w:t>
      </w:r>
      <w:r w:rsidR="003B50ED">
        <w:rPr>
          <w:rFonts w:eastAsia="Calibri" w:cstheme="minorHAnsi"/>
        </w:rPr>
        <w:t xml:space="preserve"> </w:t>
      </w:r>
      <w:proofErr w:type="spellStart"/>
      <w:r w:rsidR="00E2372E" w:rsidRPr="00A26C26">
        <w:rPr>
          <w:rFonts w:eastAsia="Calibri" w:cstheme="minorHAnsi"/>
        </w:rPr>
        <w:t>Grantobiorców</w:t>
      </w:r>
      <w:proofErr w:type="spellEnd"/>
      <w:r w:rsidR="00E2372E" w:rsidRPr="00A26C26">
        <w:rPr>
          <w:rFonts w:eastAsia="Calibri" w:cstheme="minorHAnsi"/>
        </w:rPr>
        <w:t>;</w:t>
      </w:r>
      <w:r w:rsidR="003B50ED">
        <w:rPr>
          <w:rFonts w:eastAsia="Calibri" w:cstheme="minorHAnsi"/>
          <w:b/>
          <w:bCs/>
        </w:rPr>
        <w:t xml:space="preserve"> </w:t>
      </w:r>
    </w:p>
    <w:p w14:paraId="50C7DE0D" w14:textId="77777777" w:rsidR="00037899" w:rsidRDefault="00037899" w:rsidP="00037899">
      <w:pPr>
        <w:spacing w:line="276" w:lineRule="auto"/>
        <w:jc w:val="both"/>
        <w:rPr>
          <w:rFonts w:eastAsia="Calibri" w:cstheme="minorHAnsi"/>
          <w:b/>
          <w:bCs/>
        </w:rPr>
      </w:pPr>
      <w:r>
        <w:rPr>
          <w:rFonts w:eastAsia="Calibri" w:cstheme="minorHAnsi"/>
          <w:b/>
          <w:bCs/>
        </w:rPr>
        <w:t xml:space="preserve">- </w:t>
      </w:r>
      <w:r w:rsidR="00E2372E" w:rsidRPr="00A26C26">
        <w:rPr>
          <w:rFonts w:eastAsia="Calibri" w:cstheme="minorHAnsi"/>
          <w:b/>
          <w:bCs/>
        </w:rPr>
        <w:t>wypracowanie</w:t>
      </w:r>
      <w:r w:rsidR="003B50ED">
        <w:rPr>
          <w:rFonts w:eastAsia="Calibri" w:cstheme="minorHAnsi"/>
          <w:b/>
          <w:bCs/>
        </w:rPr>
        <w:t xml:space="preserve"> </w:t>
      </w:r>
      <w:r w:rsidR="00E2372E" w:rsidRPr="00A26C26">
        <w:rPr>
          <w:rFonts w:eastAsia="Calibri" w:cstheme="minorHAnsi"/>
          <w:b/>
          <w:bCs/>
        </w:rPr>
        <w:t>rozwiązań</w:t>
      </w:r>
      <w:r w:rsidR="003B50ED">
        <w:rPr>
          <w:rFonts w:eastAsia="Calibri" w:cstheme="minorHAnsi"/>
          <w:b/>
          <w:bCs/>
        </w:rPr>
        <w:t xml:space="preserve"> </w:t>
      </w:r>
      <w:r w:rsidR="00E2372E" w:rsidRPr="00A26C26">
        <w:rPr>
          <w:rFonts w:eastAsia="Calibri" w:cstheme="minorHAnsi"/>
          <w:b/>
          <w:bCs/>
        </w:rPr>
        <w:t>do</w:t>
      </w:r>
      <w:r w:rsidR="003B50ED">
        <w:rPr>
          <w:rFonts w:eastAsia="Calibri" w:cstheme="minorHAnsi"/>
          <w:b/>
          <w:bCs/>
        </w:rPr>
        <w:t xml:space="preserve"> </w:t>
      </w:r>
      <w:r w:rsidR="00E2372E" w:rsidRPr="00A26C26">
        <w:rPr>
          <w:rFonts w:eastAsia="Calibri" w:cstheme="minorHAnsi"/>
          <w:b/>
          <w:bCs/>
        </w:rPr>
        <w:t>Planu</w:t>
      </w:r>
      <w:r w:rsidR="003B50ED">
        <w:rPr>
          <w:rFonts w:eastAsia="Calibri" w:cstheme="minorHAnsi"/>
          <w:b/>
          <w:bCs/>
        </w:rPr>
        <w:t xml:space="preserve"> </w:t>
      </w:r>
      <w:r w:rsidR="00E2372E" w:rsidRPr="00A26C26">
        <w:rPr>
          <w:rFonts w:eastAsia="Calibri" w:cstheme="minorHAnsi"/>
          <w:b/>
          <w:bCs/>
        </w:rPr>
        <w:t>finansowego</w:t>
      </w:r>
      <w:r w:rsidR="003B50ED">
        <w:rPr>
          <w:rFonts w:eastAsia="Calibri" w:cstheme="minorHAnsi"/>
          <w:b/>
          <w:bCs/>
        </w:rPr>
        <w:t xml:space="preserve"> </w:t>
      </w:r>
      <w:r w:rsidR="00E2372E" w:rsidRPr="00A26C26">
        <w:rPr>
          <w:rFonts w:eastAsia="Calibri" w:cstheme="minorHAnsi"/>
        </w:rPr>
        <w:t>w</w:t>
      </w:r>
      <w:r w:rsidR="003B50ED">
        <w:rPr>
          <w:rFonts w:eastAsia="Calibri" w:cstheme="minorHAnsi"/>
        </w:rPr>
        <w:t xml:space="preserve"> </w:t>
      </w:r>
      <w:r w:rsidR="00E2372E" w:rsidRPr="00A26C26">
        <w:rPr>
          <w:rFonts w:eastAsia="Calibri" w:cstheme="minorHAnsi"/>
        </w:rPr>
        <w:t>odniesieniu</w:t>
      </w:r>
      <w:r w:rsidR="003B50ED">
        <w:rPr>
          <w:rFonts w:eastAsia="Calibri" w:cstheme="minorHAnsi"/>
        </w:rPr>
        <w:t xml:space="preserve"> </w:t>
      </w:r>
      <w:r w:rsidR="00E2372E" w:rsidRPr="00A26C26">
        <w:rPr>
          <w:rFonts w:eastAsia="Calibri" w:cstheme="minorHAnsi"/>
        </w:rPr>
        <w:t>do</w:t>
      </w:r>
      <w:r w:rsidR="003B50ED">
        <w:rPr>
          <w:rFonts w:eastAsia="Calibri" w:cstheme="minorHAnsi"/>
        </w:rPr>
        <w:t xml:space="preserve"> </w:t>
      </w:r>
      <w:r w:rsidR="00E2372E" w:rsidRPr="00A26C26">
        <w:rPr>
          <w:rFonts w:eastAsia="Calibri" w:cstheme="minorHAnsi"/>
        </w:rPr>
        <w:t>stwierdzonych</w:t>
      </w:r>
      <w:r w:rsidR="003B50ED">
        <w:rPr>
          <w:rFonts w:eastAsia="Calibri" w:cstheme="minorHAnsi"/>
        </w:rPr>
        <w:t xml:space="preserve"> </w:t>
      </w:r>
      <w:r w:rsidR="00E2372E" w:rsidRPr="00A26C26">
        <w:rPr>
          <w:rFonts w:eastAsia="Calibri" w:cstheme="minorHAnsi"/>
        </w:rPr>
        <w:t>potrzeb</w:t>
      </w:r>
      <w:r w:rsidR="00E2372E" w:rsidRPr="00A26C26">
        <w:rPr>
          <w:rFonts w:eastAsia="Calibri" w:cstheme="minorHAnsi"/>
          <w:b/>
          <w:bCs/>
        </w:rPr>
        <w:t>,</w:t>
      </w:r>
      <w:r w:rsidR="003B50ED">
        <w:rPr>
          <w:rFonts w:eastAsia="Calibri" w:cstheme="minorHAnsi"/>
          <w:b/>
          <w:bCs/>
        </w:rPr>
        <w:t xml:space="preserve"> </w:t>
      </w:r>
      <w:r w:rsidR="00E2372E" w:rsidRPr="00A26C26">
        <w:rPr>
          <w:rFonts w:eastAsia="Calibri" w:cstheme="minorHAnsi"/>
        </w:rPr>
        <w:t>zakresów</w:t>
      </w:r>
      <w:r w:rsidR="003B50ED">
        <w:rPr>
          <w:rFonts w:eastAsia="Calibri" w:cstheme="minorHAnsi"/>
        </w:rPr>
        <w:t xml:space="preserve"> </w:t>
      </w:r>
      <w:r w:rsidR="00E2372E" w:rsidRPr="00A26C26">
        <w:rPr>
          <w:rFonts w:eastAsia="Calibri" w:cstheme="minorHAnsi"/>
        </w:rPr>
        <w:t>wsparcia,</w:t>
      </w:r>
      <w:r w:rsidR="003B50ED">
        <w:rPr>
          <w:rFonts w:eastAsia="Calibri" w:cstheme="minorHAnsi"/>
        </w:rPr>
        <w:t xml:space="preserve"> </w:t>
      </w:r>
      <w:r w:rsidR="00E2372E" w:rsidRPr="00A26C26">
        <w:rPr>
          <w:rFonts w:eastAsia="Calibri" w:cstheme="minorHAnsi"/>
        </w:rPr>
        <w:t>źródła</w:t>
      </w:r>
      <w:r w:rsidR="003B50ED">
        <w:rPr>
          <w:rFonts w:eastAsia="Calibri" w:cstheme="minorHAnsi"/>
        </w:rPr>
        <w:t xml:space="preserve"> </w:t>
      </w:r>
      <w:r w:rsidR="00E2372E" w:rsidRPr="00A26C26">
        <w:rPr>
          <w:rFonts w:eastAsia="Calibri" w:cstheme="minorHAnsi"/>
        </w:rPr>
        <w:t>finansowania;</w:t>
      </w:r>
      <w:r w:rsidR="003B50ED">
        <w:rPr>
          <w:rFonts w:eastAsia="Calibri" w:cstheme="minorHAnsi"/>
          <w:b/>
          <w:bCs/>
        </w:rPr>
        <w:t xml:space="preserve"> </w:t>
      </w:r>
    </w:p>
    <w:p w14:paraId="37BE94D2" w14:textId="77777777" w:rsidR="00037899" w:rsidRDefault="00037899" w:rsidP="00037899">
      <w:pPr>
        <w:spacing w:line="276" w:lineRule="auto"/>
        <w:jc w:val="both"/>
        <w:rPr>
          <w:rFonts w:eastAsia="Calibri" w:cstheme="minorHAnsi"/>
        </w:rPr>
      </w:pPr>
      <w:r>
        <w:rPr>
          <w:rFonts w:eastAsia="Calibri" w:cstheme="minorHAnsi"/>
          <w:b/>
          <w:bCs/>
        </w:rPr>
        <w:t xml:space="preserve">- </w:t>
      </w:r>
      <w:r w:rsidR="00E2372E" w:rsidRPr="00A26C26">
        <w:rPr>
          <w:rFonts w:eastAsia="Calibri" w:cstheme="minorHAnsi"/>
          <w:b/>
          <w:bCs/>
        </w:rPr>
        <w:t>możliwość</w:t>
      </w:r>
      <w:r w:rsidR="003B50ED">
        <w:rPr>
          <w:rFonts w:eastAsia="Calibri" w:cstheme="minorHAnsi"/>
          <w:b/>
          <w:bCs/>
        </w:rPr>
        <w:t xml:space="preserve"> </w:t>
      </w:r>
      <w:r w:rsidR="00E2372E" w:rsidRPr="00A26C26">
        <w:rPr>
          <w:rFonts w:eastAsia="Calibri" w:cstheme="minorHAnsi"/>
          <w:b/>
          <w:bCs/>
        </w:rPr>
        <w:t>synergii</w:t>
      </w:r>
      <w:r w:rsidR="003B50ED">
        <w:rPr>
          <w:rFonts w:eastAsia="Calibri" w:cstheme="minorHAnsi"/>
          <w:b/>
          <w:bCs/>
        </w:rPr>
        <w:t xml:space="preserve"> </w:t>
      </w:r>
      <w:r w:rsidR="00E2372E" w:rsidRPr="00A26C26">
        <w:rPr>
          <w:rFonts w:eastAsia="Calibri" w:cstheme="minorHAnsi"/>
          <w:b/>
          <w:bCs/>
        </w:rPr>
        <w:t>w</w:t>
      </w:r>
      <w:r w:rsidR="003B50ED">
        <w:rPr>
          <w:rFonts w:eastAsia="Calibri" w:cstheme="minorHAnsi"/>
          <w:b/>
          <w:bCs/>
        </w:rPr>
        <w:t xml:space="preserve"> </w:t>
      </w:r>
      <w:r w:rsidR="00E2372E" w:rsidRPr="00A26C26">
        <w:rPr>
          <w:rFonts w:eastAsia="Calibri" w:cstheme="minorHAnsi"/>
          <w:b/>
          <w:bCs/>
        </w:rPr>
        <w:t>zakresie</w:t>
      </w:r>
      <w:r w:rsidR="003B50ED">
        <w:rPr>
          <w:rFonts w:eastAsia="Calibri" w:cstheme="minorHAnsi"/>
          <w:b/>
          <w:bCs/>
        </w:rPr>
        <w:t xml:space="preserve"> </w:t>
      </w:r>
      <w:r w:rsidR="00E2372E" w:rsidRPr="00A26C26">
        <w:rPr>
          <w:rFonts w:eastAsia="Calibri" w:cstheme="minorHAnsi"/>
          <w:b/>
          <w:bCs/>
        </w:rPr>
        <w:t>Planu</w:t>
      </w:r>
      <w:r w:rsidR="003B50ED">
        <w:rPr>
          <w:rFonts w:eastAsia="Calibri" w:cstheme="minorHAnsi"/>
          <w:b/>
          <w:bCs/>
        </w:rPr>
        <w:t xml:space="preserve"> </w:t>
      </w:r>
      <w:r w:rsidR="00E2372E" w:rsidRPr="00A26C26">
        <w:rPr>
          <w:rFonts w:eastAsia="Calibri" w:cstheme="minorHAnsi"/>
          <w:b/>
          <w:bCs/>
        </w:rPr>
        <w:t>finansowego</w:t>
      </w:r>
      <w:r w:rsidR="003B50ED">
        <w:rPr>
          <w:rFonts w:eastAsia="Calibri" w:cstheme="minorHAnsi"/>
          <w:b/>
          <w:bCs/>
        </w:rPr>
        <w:t xml:space="preserve"> </w:t>
      </w:r>
      <w:r w:rsidR="00E2372E" w:rsidRPr="00A26C26">
        <w:rPr>
          <w:rFonts w:eastAsia="Calibri" w:cstheme="minorHAnsi"/>
        </w:rPr>
        <w:t>-</w:t>
      </w:r>
      <w:r w:rsidR="003B50ED">
        <w:rPr>
          <w:rFonts w:eastAsia="Calibri" w:cstheme="minorHAnsi"/>
        </w:rPr>
        <w:t xml:space="preserve"> </w:t>
      </w:r>
      <w:r w:rsidR="00E2372E" w:rsidRPr="00A26C26">
        <w:rPr>
          <w:rFonts w:eastAsia="Calibri" w:cstheme="minorHAnsi"/>
        </w:rPr>
        <w:t>realizacja</w:t>
      </w:r>
      <w:r w:rsidR="003B50ED">
        <w:rPr>
          <w:rFonts w:eastAsia="Calibri" w:cstheme="minorHAnsi"/>
        </w:rPr>
        <w:t xml:space="preserve"> </w:t>
      </w:r>
      <w:r w:rsidR="00E2372E" w:rsidRPr="00A26C26">
        <w:rPr>
          <w:rFonts w:eastAsia="Calibri" w:cstheme="minorHAnsi"/>
        </w:rPr>
        <w:t>wielozakresowych</w:t>
      </w:r>
      <w:r w:rsidR="003B50ED">
        <w:rPr>
          <w:rFonts w:eastAsia="Calibri" w:cstheme="minorHAnsi"/>
        </w:rPr>
        <w:t xml:space="preserve"> </w:t>
      </w:r>
      <w:r w:rsidR="00E2372E" w:rsidRPr="00A26C26">
        <w:rPr>
          <w:rFonts w:eastAsia="Calibri" w:cstheme="minorHAnsi"/>
        </w:rPr>
        <w:t>naborów</w:t>
      </w:r>
      <w:r w:rsidR="003B50ED">
        <w:rPr>
          <w:rFonts w:eastAsia="Calibri" w:cstheme="minorHAnsi"/>
        </w:rPr>
        <w:t xml:space="preserve"> </w:t>
      </w:r>
      <w:r w:rsidR="00E2372E" w:rsidRPr="00A26C26">
        <w:rPr>
          <w:rFonts w:eastAsia="Calibri" w:cstheme="minorHAnsi"/>
        </w:rPr>
        <w:t>wniosków</w:t>
      </w:r>
      <w:r w:rsidR="003B50ED">
        <w:rPr>
          <w:rFonts w:eastAsia="Calibri" w:cstheme="minorHAnsi"/>
        </w:rPr>
        <w:t xml:space="preserve"> </w:t>
      </w:r>
      <w:r w:rsidR="00E2372E" w:rsidRPr="00A26C26">
        <w:rPr>
          <w:rFonts w:eastAsia="Calibri" w:cstheme="minorHAnsi"/>
        </w:rPr>
        <w:t>o</w:t>
      </w:r>
      <w:r w:rsidR="003B50ED">
        <w:rPr>
          <w:rFonts w:eastAsia="Calibri" w:cstheme="minorHAnsi"/>
        </w:rPr>
        <w:t xml:space="preserve"> </w:t>
      </w:r>
      <w:r w:rsidR="00E2372E" w:rsidRPr="00A26C26">
        <w:rPr>
          <w:rFonts w:eastAsia="Calibri" w:cstheme="minorHAnsi"/>
        </w:rPr>
        <w:t>wsparcie</w:t>
      </w:r>
      <w:r w:rsidR="003B50ED">
        <w:rPr>
          <w:rFonts w:eastAsia="Calibri" w:cstheme="minorHAnsi"/>
        </w:rPr>
        <w:t xml:space="preserve"> </w:t>
      </w:r>
      <w:r w:rsidR="00E2372E" w:rsidRPr="00A26C26">
        <w:rPr>
          <w:rFonts w:eastAsia="Calibri" w:cstheme="minorHAnsi"/>
        </w:rPr>
        <w:t>lub</w:t>
      </w:r>
      <w:r w:rsidR="003B50ED">
        <w:rPr>
          <w:rFonts w:eastAsia="Calibri" w:cstheme="minorHAnsi"/>
        </w:rPr>
        <w:t xml:space="preserve"> </w:t>
      </w:r>
      <w:r w:rsidR="00E2372E" w:rsidRPr="00A26C26">
        <w:rPr>
          <w:rFonts w:eastAsia="Calibri" w:cstheme="minorHAnsi"/>
        </w:rPr>
        <w:t>harmonizacja</w:t>
      </w:r>
      <w:r w:rsidR="003B50ED">
        <w:rPr>
          <w:rFonts w:eastAsia="Calibri" w:cstheme="minorHAnsi"/>
        </w:rPr>
        <w:t xml:space="preserve"> </w:t>
      </w:r>
      <w:r w:rsidR="00E2372E" w:rsidRPr="00A26C26">
        <w:rPr>
          <w:rFonts w:eastAsia="Calibri" w:cstheme="minorHAnsi"/>
        </w:rPr>
        <w:t>zakresów</w:t>
      </w:r>
      <w:r w:rsidR="003B50ED">
        <w:rPr>
          <w:rFonts w:eastAsia="Calibri" w:cstheme="minorHAnsi"/>
        </w:rPr>
        <w:t xml:space="preserve"> </w:t>
      </w:r>
      <w:r w:rsidR="00E2372E" w:rsidRPr="00A26C26">
        <w:rPr>
          <w:rFonts w:eastAsia="Calibri" w:cstheme="minorHAnsi"/>
        </w:rPr>
        <w:t>tematycznych</w:t>
      </w:r>
      <w:r w:rsidR="003B50ED">
        <w:rPr>
          <w:rFonts w:eastAsia="Calibri" w:cstheme="minorHAnsi"/>
        </w:rPr>
        <w:t xml:space="preserve"> </w:t>
      </w:r>
      <w:r w:rsidR="00E2372E" w:rsidRPr="00A26C26">
        <w:rPr>
          <w:rFonts w:eastAsia="Calibri" w:cstheme="minorHAnsi"/>
        </w:rPr>
        <w:t>następujących</w:t>
      </w:r>
      <w:r w:rsidR="003B50ED">
        <w:rPr>
          <w:rFonts w:eastAsia="Calibri" w:cstheme="minorHAnsi"/>
        </w:rPr>
        <w:t xml:space="preserve"> </w:t>
      </w:r>
      <w:r w:rsidR="00E2372E" w:rsidRPr="00A26C26">
        <w:rPr>
          <w:rFonts w:eastAsia="Calibri" w:cstheme="minorHAnsi"/>
        </w:rPr>
        <w:t>po</w:t>
      </w:r>
      <w:r w:rsidR="003B50ED">
        <w:rPr>
          <w:rFonts w:eastAsia="Calibri" w:cstheme="minorHAnsi"/>
        </w:rPr>
        <w:t xml:space="preserve"> </w:t>
      </w:r>
      <w:r w:rsidR="00E2372E" w:rsidRPr="00A26C26">
        <w:rPr>
          <w:rFonts w:eastAsia="Calibri" w:cstheme="minorHAnsi"/>
        </w:rPr>
        <w:t>sobie</w:t>
      </w:r>
      <w:r w:rsidR="003B50ED">
        <w:rPr>
          <w:rFonts w:eastAsia="Calibri" w:cstheme="minorHAnsi"/>
        </w:rPr>
        <w:t xml:space="preserve"> </w:t>
      </w:r>
      <w:r w:rsidR="00E2372E" w:rsidRPr="00A26C26">
        <w:rPr>
          <w:rFonts w:eastAsia="Calibri" w:cstheme="minorHAnsi"/>
        </w:rPr>
        <w:t>naborów</w:t>
      </w:r>
      <w:r w:rsidR="003B50ED">
        <w:rPr>
          <w:rFonts w:eastAsia="Calibri" w:cstheme="minorHAnsi"/>
        </w:rPr>
        <w:t xml:space="preserve"> </w:t>
      </w:r>
      <w:r w:rsidR="00E2372E" w:rsidRPr="00A26C26">
        <w:rPr>
          <w:rFonts w:eastAsia="Calibri" w:cstheme="minorHAnsi"/>
        </w:rPr>
        <w:t>wniosków);</w:t>
      </w:r>
      <w:r w:rsidR="003B50ED">
        <w:rPr>
          <w:rFonts w:eastAsia="Calibri" w:cstheme="minorHAnsi"/>
        </w:rPr>
        <w:t xml:space="preserve"> </w:t>
      </w:r>
    </w:p>
    <w:p w14:paraId="1314FDF0" w14:textId="33C26EA1" w:rsidR="00037899" w:rsidRDefault="00037899" w:rsidP="00037899">
      <w:pPr>
        <w:spacing w:line="276" w:lineRule="auto"/>
        <w:jc w:val="both"/>
        <w:rPr>
          <w:rFonts w:eastAsia="Calibri" w:cstheme="minorHAnsi"/>
        </w:rPr>
      </w:pPr>
      <w:r>
        <w:rPr>
          <w:rFonts w:eastAsia="Calibri" w:cstheme="minorHAnsi"/>
        </w:rPr>
        <w:t xml:space="preserve">- </w:t>
      </w:r>
      <w:r w:rsidR="00E2372E" w:rsidRPr="00A26C26">
        <w:rPr>
          <w:rFonts w:eastAsia="Calibri" w:cstheme="minorHAnsi"/>
          <w:b/>
          <w:bCs/>
        </w:rPr>
        <w:t>wypracowanie</w:t>
      </w:r>
      <w:r w:rsidR="003B50ED">
        <w:rPr>
          <w:rFonts w:eastAsia="Calibri" w:cstheme="minorHAnsi"/>
          <w:b/>
          <w:bCs/>
        </w:rPr>
        <w:t xml:space="preserve"> </w:t>
      </w:r>
      <w:r w:rsidR="00E2372E" w:rsidRPr="00A26C26">
        <w:rPr>
          <w:rFonts w:eastAsia="Calibri" w:cstheme="minorHAnsi"/>
          <w:b/>
          <w:bCs/>
        </w:rPr>
        <w:t>założeń</w:t>
      </w:r>
      <w:r w:rsidR="003B50ED">
        <w:rPr>
          <w:rFonts w:eastAsia="Calibri" w:cstheme="minorHAnsi"/>
          <w:b/>
          <w:bCs/>
        </w:rPr>
        <w:t xml:space="preserve"> </w:t>
      </w:r>
      <w:r w:rsidR="00E2372E" w:rsidRPr="00A26C26">
        <w:rPr>
          <w:rFonts w:eastAsia="Calibri" w:cstheme="minorHAnsi"/>
          <w:b/>
          <w:bCs/>
        </w:rPr>
        <w:t>pod</w:t>
      </w:r>
      <w:r w:rsidR="003B50ED">
        <w:rPr>
          <w:rFonts w:eastAsia="Calibri" w:cstheme="minorHAnsi"/>
          <w:b/>
          <w:bCs/>
        </w:rPr>
        <w:t xml:space="preserve"> </w:t>
      </w:r>
      <w:r w:rsidR="00E2372E" w:rsidRPr="00A26C26">
        <w:rPr>
          <w:rFonts w:eastAsia="Calibri" w:cstheme="minorHAnsi"/>
          <w:b/>
          <w:bCs/>
        </w:rPr>
        <w:t>przyjazne</w:t>
      </w:r>
      <w:r w:rsidR="0035174A">
        <w:rPr>
          <w:rFonts w:eastAsia="Calibri" w:cstheme="minorHAnsi"/>
          <w:b/>
          <w:bCs/>
        </w:rPr>
        <w:t xml:space="preserve"> </w:t>
      </w:r>
      <w:r w:rsidR="00E2372E" w:rsidRPr="00A26C26">
        <w:rPr>
          <w:rFonts w:eastAsia="Calibri" w:cstheme="minorHAnsi"/>
          <w:b/>
          <w:bCs/>
        </w:rPr>
        <w:t>i</w:t>
      </w:r>
      <w:r w:rsidR="003B50ED">
        <w:rPr>
          <w:rFonts w:eastAsia="Calibri" w:cstheme="minorHAnsi"/>
          <w:b/>
          <w:bCs/>
        </w:rPr>
        <w:t xml:space="preserve"> </w:t>
      </w:r>
      <w:r w:rsidR="00E2372E" w:rsidRPr="00A26C26">
        <w:rPr>
          <w:rFonts w:eastAsia="Calibri" w:cstheme="minorHAnsi"/>
          <w:b/>
          <w:bCs/>
        </w:rPr>
        <w:t>efektywne</w:t>
      </w:r>
      <w:r w:rsidR="003B50ED">
        <w:rPr>
          <w:rFonts w:eastAsia="Calibri" w:cstheme="minorHAnsi"/>
          <w:b/>
          <w:bCs/>
        </w:rPr>
        <w:t xml:space="preserve"> </w:t>
      </w:r>
      <w:r w:rsidR="00E2372E" w:rsidRPr="00A26C26">
        <w:rPr>
          <w:rFonts w:eastAsia="Calibri" w:cstheme="minorHAnsi"/>
          <w:b/>
          <w:bCs/>
        </w:rPr>
        <w:t>metody</w:t>
      </w:r>
      <w:r w:rsidR="003B50ED">
        <w:rPr>
          <w:rFonts w:eastAsia="Calibri" w:cstheme="minorHAnsi"/>
          <w:b/>
          <w:bCs/>
        </w:rPr>
        <w:t xml:space="preserve"> </w:t>
      </w:r>
      <w:r w:rsidR="00E2372E" w:rsidRPr="00A26C26">
        <w:rPr>
          <w:rFonts w:eastAsia="Calibri" w:cstheme="minorHAnsi"/>
          <w:b/>
          <w:bCs/>
        </w:rPr>
        <w:t>komunikacji</w:t>
      </w:r>
      <w:r w:rsidR="003B50ED">
        <w:rPr>
          <w:rFonts w:eastAsia="Calibri" w:cstheme="minorHAnsi"/>
          <w:b/>
          <w:bCs/>
        </w:rPr>
        <w:t xml:space="preserve"> </w:t>
      </w:r>
      <w:r w:rsidR="00E2372E" w:rsidRPr="00A26C26">
        <w:rPr>
          <w:rFonts w:eastAsia="Calibri" w:cstheme="minorHAnsi"/>
        </w:rPr>
        <w:t>(przekazanie</w:t>
      </w:r>
      <w:r w:rsidR="003B50ED">
        <w:rPr>
          <w:rFonts w:eastAsia="Calibri" w:cstheme="minorHAnsi"/>
        </w:rPr>
        <w:t xml:space="preserve"> </w:t>
      </w:r>
      <w:r w:rsidR="00E2372E" w:rsidRPr="00A26C26">
        <w:rPr>
          <w:rFonts w:eastAsia="Calibri" w:cstheme="minorHAnsi"/>
        </w:rPr>
        <w:t>informacji</w:t>
      </w:r>
      <w:r w:rsidR="003B50ED">
        <w:rPr>
          <w:rFonts w:eastAsia="Calibri" w:cstheme="minorHAnsi"/>
        </w:rPr>
        <w:t xml:space="preserve"> </w:t>
      </w:r>
      <w:r w:rsidR="00E2372E" w:rsidRPr="00A26C26">
        <w:rPr>
          <w:rFonts w:eastAsia="Calibri" w:cstheme="minorHAnsi"/>
        </w:rPr>
        <w:t>w</w:t>
      </w:r>
      <w:r w:rsidR="003B50ED">
        <w:rPr>
          <w:rFonts w:eastAsia="Calibri" w:cstheme="minorHAnsi"/>
        </w:rPr>
        <w:t xml:space="preserve"> </w:t>
      </w:r>
      <w:r w:rsidR="00E2372E" w:rsidRPr="00A26C26">
        <w:rPr>
          <w:rFonts w:eastAsia="Calibri" w:cstheme="minorHAnsi"/>
        </w:rPr>
        <w:t>taki</w:t>
      </w:r>
      <w:r w:rsidR="003B50ED">
        <w:rPr>
          <w:rFonts w:eastAsia="Calibri" w:cstheme="minorHAnsi"/>
        </w:rPr>
        <w:t xml:space="preserve"> </w:t>
      </w:r>
      <w:r w:rsidR="00E2372E" w:rsidRPr="00A26C26">
        <w:rPr>
          <w:rFonts w:eastAsia="Calibri" w:cstheme="minorHAnsi"/>
        </w:rPr>
        <w:t>sposób,</w:t>
      </w:r>
      <w:r w:rsidR="003B50ED">
        <w:rPr>
          <w:rFonts w:eastAsia="Calibri" w:cstheme="minorHAnsi"/>
        </w:rPr>
        <w:t xml:space="preserve"> </w:t>
      </w:r>
      <w:r w:rsidR="00E2372E" w:rsidRPr="00A26C26">
        <w:rPr>
          <w:rFonts w:eastAsia="Calibri" w:cstheme="minorHAnsi"/>
        </w:rPr>
        <w:t>aby</w:t>
      </w:r>
      <w:r w:rsidR="003B50ED">
        <w:rPr>
          <w:rFonts w:eastAsia="Calibri" w:cstheme="minorHAnsi"/>
        </w:rPr>
        <w:t xml:space="preserve"> </w:t>
      </w:r>
      <w:r w:rsidR="00E2372E" w:rsidRPr="00A26C26">
        <w:rPr>
          <w:rFonts w:eastAsia="Calibri" w:cstheme="minorHAnsi"/>
        </w:rPr>
        <w:t>odbiorca</w:t>
      </w:r>
      <w:r w:rsidR="003B50ED">
        <w:rPr>
          <w:rFonts w:eastAsia="Calibri" w:cstheme="minorHAnsi"/>
        </w:rPr>
        <w:t xml:space="preserve"> </w:t>
      </w:r>
      <w:r w:rsidR="00E2372E" w:rsidRPr="00A26C26">
        <w:rPr>
          <w:rFonts w:eastAsia="Calibri" w:cstheme="minorHAnsi"/>
        </w:rPr>
        <w:t>zrozumiał</w:t>
      </w:r>
      <w:r w:rsidR="003B50ED">
        <w:rPr>
          <w:rFonts w:eastAsia="Calibri" w:cstheme="minorHAnsi"/>
        </w:rPr>
        <w:t xml:space="preserve"> </w:t>
      </w:r>
      <w:r w:rsidR="00E2372E" w:rsidRPr="00A26C26">
        <w:rPr>
          <w:rFonts w:eastAsia="Calibri" w:cstheme="minorHAnsi"/>
        </w:rPr>
        <w:t>intencje</w:t>
      </w:r>
      <w:r w:rsidR="003B50ED">
        <w:rPr>
          <w:rFonts w:eastAsia="Calibri" w:cstheme="minorHAnsi"/>
        </w:rPr>
        <w:t xml:space="preserve"> </w:t>
      </w:r>
      <w:r w:rsidR="00E2372E" w:rsidRPr="00A26C26">
        <w:rPr>
          <w:rFonts w:eastAsia="Calibri" w:cstheme="minorHAnsi"/>
        </w:rPr>
        <w:t>nadawcy</w:t>
      </w:r>
      <w:r>
        <w:rPr>
          <w:rFonts w:eastAsia="Calibri" w:cstheme="minorHAnsi"/>
        </w:rPr>
        <w:t xml:space="preserve"> </w:t>
      </w:r>
      <w:r w:rsidR="00E2372E" w:rsidRPr="00A26C26">
        <w:rPr>
          <w:rFonts w:eastAsia="Calibri" w:cstheme="minorHAnsi"/>
        </w:rPr>
        <w:t>i</w:t>
      </w:r>
      <w:r w:rsidR="003B50ED">
        <w:rPr>
          <w:rFonts w:eastAsia="Calibri" w:cstheme="minorHAnsi"/>
        </w:rPr>
        <w:t xml:space="preserve"> </w:t>
      </w:r>
      <w:r w:rsidR="00E2372E" w:rsidRPr="00A26C26">
        <w:rPr>
          <w:rFonts w:eastAsia="Calibri" w:cstheme="minorHAnsi"/>
        </w:rPr>
        <w:t>charakteryzujący</w:t>
      </w:r>
      <w:r w:rsidR="003B50ED">
        <w:rPr>
          <w:rFonts w:eastAsia="Calibri" w:cstheme="minorHAnsi"/>
        </w:rPr>
        <w:t xml:space="preserve"> </w:t>
      </w:r>
      <w:r w:rsidR="00E2372E" w:rsidRPr="00A26C26">
        <w:rPr>
          <w:rFonts w:eastAsia="Calibri" w:cstheme="minorHAnsi"/>
        </w:rPr>
        <w:t>się</w:t>
      </w:r>
      <w:r w:rsidR="003B50ED">
        <w:rPr>
          <w:rFonts w:eastAsia="Calibri" w:cstheme="minorHAnsi"/>
        </w:rPr>
        <w:t xml:space="preserve"> </w:t>
      </w:r>
      <w:r w:rsidR="00E2372E" w:rsidRPr="00A26C26">
        <w:rPr>
          <w:rFonts w:eastAsia="Calibri" w:cstheme="minorHAnsi"/>
        </w:rPr>
        <w:t>odpowiednim</w:t>
      </w:r>
      <w:r w:rsidR="003B50ED">
        <w:rPr>
          <w:rFonts w:eastAsia="Calibri" w:cstheme="minorHAnsi"/>
        </w:rPr>
        <w:t xml:space="preserve"> </w:t>
      </w:r>
      <w:r w:rsidR="00E2372E" w:rsidRPr="00A26C26">
        <w:rPr>
          <w:rFonts w:eastAsia="Calibri" w:cstheme="minorHAnsi"/>
        </w:rPr>
        <w:t>stosunkiem</w:t>
      </w:r>
      <w:r w:rsidR="003B50ED">
        <w:rPr>
          <w:rFonts w:eastAsia="Calibri" w:cstheme="minorHAnsi"/>
        </w:rPr>
        <w:t xml:space="preserve"> </w:t>
      </w:r>
      <w:r w:rsidR="00E2372E" w:rsidRPr="00A26C26">
        <w:rPr>
          <w:rFonts w:eastAsia="Calibri" w:cstheme="minorHAnsi"/>
        </w:rPr>
        <w:t>nakładów</w:t>
      </w:r>
      <w:r w:rsidR="003B50ED">
        <w:rPr>
          <w:rFonts w:eastAsia="Calibri" w:cstheme="minorHAnsi"/>
        </w:rPr>
        <w:t xml:space="preserve"> </w:t>
      </w:r>
      <w:r w:rsidR="00E2372E" w:rsidRPr="00A26C26">
        <w:rPr>
          <w:rFonts w:eastAsia="Calibri" w:cstheme="minorHAnsi"/>
        </w:rPr>
        <w:t>do</w:t>
      </w:r>
      <w:r w:rsidR="003B50ED">
        <w:rPr>
          <w:rFonts w:eastAsia="Calibri" w:cstheme="minorHAnsi"/>
        </w:rPr>
        <w:t xml:space="preserve"> </w:t>
      </w:r>
      <w:r w:rsidR="00E2372E" w:rsidRPr="00A26C26">
        <w:rPr>
          <w:rFonts w:eastAsia="Calibri" w:cstheme="minorHAnsi"/>
        </w:rPr>
        <w:t>korzyści)</w:t>
      </w:r>
      <w:r w:rsidR="003B50ED">
        <w:rPr>
          <w:rFonts w:eastAsia="Calibri" w:cstheme="minorHAnsi"/>
        </w:rPr>
        <w:t xml:space="preserve"> </w:t>
      </w:r>
      <w:r w:rsidR="00E2372E" w:rsidRPr="00A26C26">
        <w:rPr>
          <w:rFonts w:eastAsia="Calibri" w:cstheme="minorHAnsi"/>
        </w:rPr>
        <w:t>oraz</w:t>
      </w:r>
      <w:r w:rsidR="003B50ED">
        <w:rPr>
          <w:rFonts w:eastAsia="Calibri" w:cstheme="minorHAnsi"/>
        </w:rPr>
        <w:t xml:space="preserve"> </w:t>
      </w:r>
      <w:r w:rsidR="00E2372E" w:rsidRPr="00A26C26">
        <w:rPr>
          <w:rFonts w:eastAsia="Calibri" w:cstheme="minorHAnsi"/>
        </w:rPr>
        <w:t>adekwatny</w:t>
      </w:r>
      <w:r w:rsidR="003B50ED">
        <w:rPr>
          <w:rFonts w:eastAsia="Calibri" w:cstheme="minorHAnsi"/>
        </w:rPr>
        <w:t xml:space="preserve"> </w:t>
      </w:r>
      <w:r w:rsidR="00E2372E" w:rsidRPr="00A26C26">
        <w:rPr>
          <w:rFonts w:eastAsia="Calibri" w:cstheme="minorHAnsi"/>
        </w:rPr>
        <w:t>(przekaz</w:t>
      </w:r>
      <w:r w:rsidR="003B50ED">
        <w:rPr>
          <w:rFonts w:eastAsia="Calibri" w:cstheme="minorHAnsi"/>
        </w:rPr>
        <w:t xml:space="preserve"> </w:t>
      </w:r>
      <w:r w:rsidR="00E2372E" w:rsidRPr="00A26C26">
        <w:rPr>
          <w:rFonts w:eastAsia="Calibri" w:cstheme="minorHAnsi"/>
        </w:rPr>
        <w:t>w</w:t>
      </w:r>
      <w:r w:rsidR="003B50ED">
        <w:rPr>
          <w:rFonts w:eastAsia="Calibri" w:cstheme="minorHAnsi"/>
        </w:rPr>
        <w:t xml:space="preserve"> </w:t>
      </w:r>
      <w:r w:rsidR="00E2372E" w:rsidRPr="00A26C26">
        <w:rPr>
          <w:rFonts w:eastAsia="Calibri" w:cstheme="minorHAnsi"/>
        </w:rPr>
        <w:t>formie</w:t>
      </w:r>
      <w:r w:rsidR="003B50ED">
        <w:rPr>
          <w:rFonts w:eastAsia="Calibri" w:cstheme="minorHAnsi"/>
        </w:rPr>
        <w:t xml:space="preserve"> </w:t>
      </w:r>
      <w:r w:rsidR="00E2372E" w:rsidRPr="00A26C26">
        <w:rPr>
          <w:rFonts w:eastAsia="Calibri" w:cstheme="minorHAnsi"/>
        </w:rPr>
        <w:t>i</w:t>
      </w:r>
      <w:r w:rsidR="003B50ED">
        <w:rPr>
          <w:rFonts w:eastAsia="Calibri" w:cstheme="minorHAnsi"/>
        </w:rPr>
        <w:t xml:space="preserve"> </w:t>
      </w:r>
      <w:r w:rsidR="00E2372E" w:rsidRPr="00A26C26">
        <w:rPr>
          <w:rFonts w:eastAsia="Calibri" w:cstheme="minorHAnsi"/>
        </w:rPr>
        <w:t>treści,</w:t>
      </w:r>
      <w:r w:rsidR="003B50ED">
        <w:rPr>
          <w:rFonts w:eastAsia="Calibri" w:cstheme="minorHAnsi"/>
        </w:rPr>
        <w:t xml:space="preserve"> </w:t>
      </w:r>
      <w:r w:rsidR="00E2372E" w:rsidRPr="00A26C26">
        <w:rPr>
          <w:rFonts w:eastAsia="Calibri" w:cstheme="minorHAnsi"/>
        </w:rPr>
        <w:t>która</w:t>
      </w:r>
      <w:r w:rsidR="003B50ED">
        <w:rPr>
          <w:rFonts w:eastAsia="Calibri" w:cstheme="minorHAnsi"/>
        </w:rPr>
        <w:t xml:space="preserve"> </w:t>
      </w:r>
      <w:r w:rsidR="00E2372E" w:rsidRPr="00A26C26">
        <w:rPr>
          <w:rFonts w:eastAsia="Calibri" w:cstheme="minorHAnsi"/>
        </w:rPr>
        <w:t>dotrze</w:t>
      </w:r>
      <w:r w:rsidR="003B50ED">
        <w:rPr>
          <w:rFonts w:eastAsia="Calibri" w:cstheme="minorHAnsi"/>
        </w:rPr>
        <w:t xml:space="preserve"> </w:t>
      </w:r>
      <w:r w:rsidR="00E2372E" w:rsidRPr="00A26C26">
        <w:rPr>
          <w:rFonts w:eastAsia="Calibri" w:cstheme="minorHAnsi"/>
        </w:rPr>
        <w:t>do</w:t>
      </w:r>
      <w:r w:rsidR="003B50ED">
        <w:rPr>
          <w:rFonts w:eastAsia="Calibri" w:cstheme="minorHAnsi"/>
        </w:rPr>
        <w:t xml:space="preserve"> </w:t>
      </w:r>
      <w:r w:rsidR="00E2372E" w:rsidRPr="00A26C26">
        <w:rPr>
          <w:rFonts w:eastAsia="Calibri" w:cstheme="minorHAnsi"/>
        </w:rPr>
        <w:t>grupy</w:t>
      </w:r>
      <w:r w:rsidR="003B50ED">
        <w:rPr>
          <w:rFonts w:eastAsia="Calibri" w:cstheme="minorHAnsi"/>
        </w:rPr>
        <w:t xml:space="preserve"> </w:t>
      </w:r>
      <w:r w:rsidR="00E2372E" w:rsidRPr="00A26C26">
        <w:rPr>
          <w:rFonts w:eastAsia="Calibri" w:cstheme="minorHAnsi"/>
        </w:rPr>
        <w:t>docelowej</w:t>
      </w:r>
      <w:r w:rsidR="003B50ED">
        <w:rPr>
          <w:rFonts w:eastAsia="Calibri" w:cstheme="minorHAnsi"/>
        </w:rPr>
        <w:t xml:space="preserve"> </w:t>
      </w:r>
      <w:r w:rsidR="00E2372E" w:rsidRPr="00A26C26">
        <w:rPr>
          <w:rFonts w:eastAsia="Calibri" w:cstheme="minorHAnsi"/>
        </w:rPr>
        <w:t>i</w:t>
      </w:r>
      <w:r w:rsidR="003B50ED">
        <w:rPr>
          <w:rFonts w:eastAsia="Calibri" w:cstheme="minorHAnsi"/>
        </w:rPr>
        <w:t xml:space="preserve"> </w:t>
      </w:r>
      <w:r w:rsidR="00E2372E" w:rsidRPr="00A26C26">
        <w:rPr>
          <w:rFonts w:eastAsia="Calibri" w:cstheme="minorHAnsi"/>
        </w:rPr>
        <w:t>zakładany</w:t>
      </w:r>
      <w:r w:rsidR="003B50ED">
        <w:rPr>
          <w:rFonts w:eastAsia="Calibri" w:cstheme="minorHAnsi"/>
        </w:rPr>
        <w:t xml:space="preserve"> </w:t>
      </w:r>
      <w:r w:rsidR="00E2372E" w:rsidRPr="00A26C26">
        <w:rPr>
          <w:rFonts w:eastAsia="Calibri" w:cstheme="minorHAnsi"/>
        </w:rPr>
        <w:t>cel</w:t>
      </w:r>
      <w:r w:rsidR="003B50ED">
        <w:rPr>
          <w:rFonts w:eastAsia="Calibri" w:cstheme="minorHAnsi"/>
        </w:rPr>
        <w:t xml:space="preserve"> </w:t>
      </w:r>
      <w:r w:rsidR="00E2372E" w:rsidRPr="00A26C26">
        <w:rPr>
          <w:rFonts w:eastAsia="Calibri" w:cstheme="minorHAnsi"/>
        </w:rPr>
        <w:t>zostanie</w:t>
      </w:r>
      <w:r w:rsidR="003B50ED">
        <w:rPr>
          <w:rFonts w:eastAsia="Calibri" w:cstheme="minorHAnsi"/>
        </w:rPr>
        <w:t xml:space="preserve"> </w:t>
      </w:r>
      <w:r w:rsidR="00E2372E" w:rsidRPr="00A26C26">
        <w:rPr>
          <w:rFonts w:eastAsia="Calibri" w:cstheme="minorHAnsi"/>
        </w:rPr>
        <w:t>osiągnięty)</w:t>
      </w:r>
      <w:r w:rsidR="003B50ED">
        <w:rPr>
          <w:rFonts w:eastAsia="Calibri" w:cstheme="minorHAnsi"/>
        </w:rPr>
        <w:t xml:space="preserve"> </w:t>
      </w:r>
      <w:r w:rsidR="00E2372E" w:rsidRPr="00A26C26">
        <w:rPr>
          <w:rFonts w:eastAsia="Calibri" w:cstheme="minorHAnsi"/>
        </w:rPr>
        <w:t>sposób</w:t>
      </w:r>
      <w:r w:rsidR="003B50ED">
        <w:rPr>
          <w:rFonts w:eastAsia="Calibri" w:cstheme="minorHAnsi"/>
        </w:rPr>
        <w:t xml:space="preserve"> </w:t>
      </w:r>
      <w:r w:rsidR="00E2372E" w:rsidRPr="00A26C26">
        <w:rPr>
          <w:rFonts w:eastAsia="Calibri" w:cstheme="minorHAnsi"/>
        </w:rPr>
        <w:t>animacji,</w:t>
      </w:r>
      <w:r w:rsidR="003B50ED">
        <w:rPr>
          <w:rFonts w:eastAsia="Calibri" w:cstheme="minorHAnsi"/>
        </w:rPr>
        <w:t xml:space="preserve"> </w:t>
      </w:r>
      <w:r w:rsidR="00E2372E" w:rsidRPr="00A26C26">
        <w:rPr>
          <w:rFonts w:eastAsia="Calibri" w:cstheme="minorHAnsi"/>
        </w:rPr>
        <w:t>komunikacji</w:t>
      </w:r>
      <w:r w:rsidR="003B50ED">
        <w:rPr>
          <w:rFonts w:eastAsia="Calibri" w:cstheme="minorHAnsi"/>
        </w:rPr>
        <w:t xml:space="preserve"> </w:t>
      </w:r>
      <w:r w:rsidR="00E2372E" w:rsidRPr="00A26C26">
        <w:rPr>
          <w:rFonts w:eastAsia="Calibri" w:cstheme="minorHAnsi"/>
        </w:rPr>
        <w:t>i</w:t>
      </w:r>
      <w:r w:rsidR="003B50ED">
        <w:rPr>
          <w:rFonts w:eastAsia="Calibri" w:cstheme="minorHAnsi"/>
        </w:rPr>
        <w:t xml:space="preserve"> </w:t>
      </w:r>
      <w:r w:rsidR="00E2372E" w:rsidRPr="00A26C26">
        <w:rPr>
          <w:rFonts w:eastAsia="Calibri" w:cstheme="minorHAnsi"/>
        </w:rPr>
        <w:t>informowania</w:t>
      </w:r>
      <w:r w:rsidR="003B50ED">
        <w:rPr>
          <w:rFonts w:eastAsia="Calibri" w:cstheme="minorHAnsi"/>
        </w:rPr>
        <w:t xml:space="preserve"> </w:t>
      </w:r>
      <w:r w:rsidR="00E2372E" w:rsidRPr="00A26C26">
        <w:rPr>
          <w:rFonts w:eastAsia="Calibri" w:cstheme="minorHAnsi"/>
        </w:rPr>
        <w:t>lokalnej</w:t>
      </w:r>
      <w:r w:rsidR="003B50ED">
        <w:rPr>
          <w:rFonts w:eastAsia="Calibri" w:cstheme="minorHAnsi"/>
        </w:rPr>
        <w:t xml:space="preserve"> </w:t>
      </w:r>
      <w:r w:rsidR="00E2372E" w:rsidRPr="00A26C26">
        <w:rPr>
          <w:rFonts w:eastAsia="Calibri" w:cstheme="minorHAnsi"/>
        </w:rPr>
        <w:t>społeczności</w:t>
      </w:r>
      <w:r w:rsidR="003B50ED">
        <w:rPr>
          <w:rFonts w:eastAsia="Calibri" w:cstheme="minorHAnsi"/>
        </w:rPr>
        <w:t xml:space="preserve"> </w:t>
      </w:r>
      <w:r w:rsidR="00E2372E" w:rsidRPr="00A26C26">
        <w:rPr>
          <w:rFonts w:eastAsia="Calibri" w:cstheme="minorHAnsi"/>
        </w:rPr>
        <w:t>o</w:t>
      </w:r>
      <w:r w:rsidR="003B50ED">
        <w:rPr>
          <w:rFonts w:eastAsia="Calibri" w:cstheme="minorHAnsi"/>
        </w:rPr>
        <w:t xml:space="preserve"> </w:t>
      </w:r>
      <w:r w:rsidR="00E2372E" w:rsidRPr="00A26C26">
        <w:rPr>
          <w:rFonts w:eastAsia="Calibri" w:cstheme="minorHAnsi"/>
        </w:rPr>
        <w:t>działaniach</w:t>
      </w:r>
      <w:r w:rsidR="003B50ED">
        <w:rPr>
          <w:rFonts w:eastAsia="Calibri" w:cstheme="minorHAnsi"/>
        </w:rPr>
        <w:t xml:space="preserve"> </w:t>
      </w:r>
      <w:r w:rsidR="00E2372E" w:rsidRPr="00A26C26">
        <w:rPr>
          <w:rFonts w:eastAsia="Calibri" w:cstheme="minorHAnsi"/>
        </w:rPr>
        <w:t>na</w:t>
      </w:r>
      <w:r w:rsidR="003B50ED">
        <w:rPr>
          <w:rFonts w:eastAsia="Calibri" w:cstheme="minorHAnsi"/>
        </w:rPr>
        <w:t xml:space="preserve"> </w:t>
      </w:r>
      <w:r w:rsidR="00E2372E" w:rsidRPr="00A26C26">
        <w:rPr>
          <w:rFonts w:eastAsia="Calibri" w:cstheme="minorHAnsi"/>
        </w:rPr>
        <w:t>rzecz</w:t>
      </w:r>
      <w:r w:rsidR="003B50ED">
        <w:rPr>
          <w:rFonts w:eastAsia="Calibri" w:cstheme="minorHAnsi"/>
        </w:rPr>
        <w:t xml:space="preserve"> </w:t>
      </w:r>
      <w:r w:rsidR="00E2372E" w:rsidRPr="00A26C26">
        <w:rPr>
          <w:rFonts w:eastAsia="Calibri" w:cstheme="minorHAnsi"/>
        </w:rPr>
        <w:t>grup</w:t>
      </w:r>
      <w:r w:rsidR="003B50ED">
        <w:rPr>
          <w:rFonts w:eastAsia="Calibri" w:cstheme="minorHAnsi"/>
        </w:rPr>
        <w:t xml:space="preserve"> </w:t>
      </w:r>
      <w:r w:rsidR="00E2372E" w:rsidRPr="00A26C26">
        <w:rPr>
          <w:rFonts w:eastAsia="Calibri" w:cstheme="minorHAnsi"/>
        </w:rPr>
        <w:t>osób</w:t>
      </w:r>
      <w:r w:rsidR="003B50ED">
        <w:rPr>
          <w:rFonts w:eastAsia="Calibri" w:cstheme="minorHAnsi"/>
        </w:rPr>
        <w:t xml:space="preserve"> </w:t>
      </w:r>
      <w:r w:rsidR="00E2372E" w:rsidRPr="00A26C26">
        <w:rPr>
          <w:rFonts w:eastAsia="Calibri" w:cstheme="minorHAnsi"/>
        </w:rPr>
        <w:t>w</w:t>
      </w:r>
      <w:r w:rsidR="003B50ED">
        <w:rPr>
          <w:rFonts w:eastAsia="Calibri" w:cstheme="minorHAnsi"/>
        </w:rPr>
        <w:t xml:space="preserve"> </w:t>
      </w:r>
      <w:r w:rsidR="00E2372E" w:rsidRPr="00A26C26">
        <w:rPr>
          <w:rFonts w:eastAsia="Calibri" w:cstheme="minorHAnsi"/>
        </w:rPr>
        <w:t>niekorzystnej</w:t>
      </w:r>
      <w:r w:rsidR="003B50ED">
        <w:rPr>
          <w:rFonts w:eastAsia="Calibri" w:cstheme="minorHAnsi"/>
        </w:rPr>
        <w:t xml:space="preserve"> </w:t>
      </w:r>
      <w:r w:rsidR="00E2372E" w:rsidRPr="00A26C26">
        <w:rPr>
          <w:rFonts w:eastAsia="Calibri" w:cstheme="minorHAnsi"/>
        </w:rPr>
        <w:t>sytuacji;</w:t>
      </w:r>
      <w:r w:rsidR="003B50ED">
        <w:rPr>
          <w:rFonts w:eastAsia="Calibri" w:cstheme="minorHAnsi"/>
        </w:rPr>
        <w:t xml:space="preserve"> </w:t>
      </w:r>
    </w:p>
    <w:p w14:paraId="0A9AC9A5" w14:textId="77777777" w:rsidR="00037899" w:rsidRDefault="00037899" w:rsidP="00037899">
      <w:pPr>
        <w:spacing w:line="276" w:lineRule="auto"/>
        <w:jc w:val="both"/>
        <w:rPr>
          <w:rFonts w:eastAsia="Calibri" w:cstheme="minorHAnsi"/>
          <w:b/>
          <w:bCs/>
          <w:i/>
          <w:iCs/>
        </w:rPr>
      </w:pPr>
      <w:r>
        <w:rPr>
          <w:rFonts w:eastAsia="Calibri" w:cstheme="minorHAnsi"/>
        </w:rPr>
        <w:t xml:space="preserve">- </w:t>
      </w:r>
      <w:r w:rsidR="00E2372E" w:rsidRPr="00A26C26">
        <w:rPr>
          <w:rFonts w:eastAsia="Calibri" w:cstheme="minorHAnsi"/>
          <w:b/>
          <w:bCs/>
        </w:rPr>
        <w:t>wsparcie</w:t>
      </w:r>
      <w:r w:rsidR="003B50ED">
        <w:rPr>
          <w:rFonts w:eastAsia="Calibri" w:cstheme="minorHAnsi"/>
          <w:b/>
          <w:bCs/>
        </w:rPr>
        <w:t xml:space="preserve"> </w:t>
      </w:r>
      <w:r w:rsidR="00E2372E" w:rsidRPr="00A26C26">
        <w:rPr>
          <w:rFonts w:eastAsia="Calibri" w:cstheme="minorHAnsi"/>
          <w:b/>
          <w:bCs/>
        </w:rPr>
        <w:t>grup</w:t>
      </w:r>
      <w:r w:rsidR="003B50ED">
        <w:rPr>
          <w:rFonts w:eastAsia="Calibri" w:cstheme="minorHAnsi"/>
          <w:b/>
          <w:bCs/>
        </w:rPr>
        <w:t xml:space="preserve"> </w:t>
      </w:r>
      <w:r w:rsidR="00E2372E" w:rsidRPr="00A26C26">
        <w:rPr>
          <w:rFonts w:eastAsia="Calibri" w:cstheme="minorHAnsi"/>
          <w:b/>
          <w:bCs/>
        </w:rPr>
        <w:t>osób</w:t>
      </w:r>
      <w:r w:rsidR="003B50ED">
        <w:rPr>
          <w:rFonts w:eastAsia="Calibri" w:cstheme="minorHAnsi"/>
          <w:b/>
          <w:bCs/>
        </w:rPr>
        <w:t xml:space="preserve"> </w:t>
      </w:r>
      <w:r w:rsidR="00E2372E" w:rsidRPr="00A26C26">
        <w:rPr>
          <w:rFonts w:eastAsia="Calibri" w:cstheme="minorHAnsi"/>
          <w:b/>
          <w:bCs/>
        </w:rPr>
        <w:t>w</w:t>
      </w:r>
      <w:r w:rsidR="003B50ED">
        <w:rPr>
          <w:rFonts w:eastAsia="Calibri" w:cstheme="minorHAnsi"/>
          <w:b/>
          <w:bCs/>
        </w:rPr>
        <w:t xml:space="preserve"> </w:t>
      </w:r>
      <w:r w:rsidR="00E2372E" w:rsidRPr="00A26C26">
        <w:rPr>
          <w:rFonts w:eastAsia="Calibri" w:cstheme="minorHAnsi"/>
          <w:b/>
          <w:bCs/>
        </w:rPr>
        <w:t>niekorzystnej</w:t>
      </w:r>
      <w:r w:rsidR="003B50ED">
        <w:rPr>
          <w:rFonts w:eastAsia="Calibri" w:cstheme="minorHAnsi"/>
          <w:b/>
          <w:bCs/>
        </w:rPr>
        <w:t xml:space="preserve"> </w:t>
      </w:r>
      <w:r w:rsidR="00E2372E" w:rsidRPr="00A26C26">
        <w:rPr>
          <w:rFonts w:eastAsia="Calibri" w:cstheme="minorHAnsi"/>
          <w:b/>
          <w:bCs/>
        </w:rPr>
        <w:t>sytuacji</w:t>
      </w:r>
      <w:r w:rsidR="003B50ED">
        <w:rPr>
          <w:rFonts w:eastAsia="Calibri" w:cstheme="minorHAnsi"/>
          <w:b/>
          <w:bCs/>
        </w:rPr>
        <w:t xml:space="preserve"> </w:t>
      </w:r>
      <w:r w:rsidR="00E2372E" w:rsidRPr="00A26C26">
        <w:rPr>
          <w:rFonts w:eastAsia="Calibri" w:cstheme="minorHAnsi"/>
        </w:rPr>
        <w:t>(definicja,</w:t>
      </w:r>
      <w:r w:rsidR="003B50ED">
        <w:rPr>
          <w:rFonts w:eastAsia="Calibri" w:cstheme="minorHAnsi"/>
        </w:rPr>
        <w:t xml:space="preserve"> </w:t>
      </w:r>
      <w:r w:rsidR="00E2372E" w:rsidRPr="00A26C26">
        <w:rPr>
          <w:rFonts w:eastAsia="Calibri" w:cstheme="minorHAnsi"/>
        </w:rPr>
        <w:t>czy</w:t>
      </w:r>
      <w:r w:rsidR="003B50ED">
        <w:rPr>
          <w:rFonts w:eastAsia="Calibri" w:cstheme="minorHAnsi"/>
        </w:rPr>
        <w:t xml:space="preserve"> </w:t>
      </w:r>
      <w:r w:rsidR="00E2372E" w:rsidRPr="00A26C26">
        <w:rPr>
          <w:rFonts w:eastAsia="Calibri" w:cstheme="minorHAnsi"/>
        </w:rPr>
        <w:t>powstanie</w:t>
      </w:r>
      <w:r w:rsidR="003B50ED">
        <w:rPr>
          <w:rFonts w:eastAsia="Calibri" w:cstheme="minorHAnsi"/>
        </w:rPr>
        <w:t xml:space="preserve"> </w:t>
      </w:r>
      <w:r w:rsidR="00E2372E" w:rsidRPr="00A26C26">
        <w:rPr>
          <w:rFonts w:eastAsia="Calibri" w:cstheme="minorHAnsi"/>
        </w:rPr>
        <w:t>grupa</w:t>
      </w:r>
      <w:r w:rsidR="003B50ED">
        <w:rPr>
          <w:rFonts w:eastAsia="Calibri" w:cstheme="minorHAnsi"/>
        </w:rPr>
        <w:t xml:space="preserve"> </w:t>
      </w:r>
      <w:r w:rsidR="00E2372E" w:rsidRPr="00A26C26">
        <w:rPr>
          <w:rFonts w:eastAsia="Calibri" w:cstheme="minorHAnsi"/>
        </w:rPr>
        <w:t>interesu,</w:t>
      </w:r>
      <w:r w:rsidR="003B50ED">
        <w:rPr>
          <w:rFonts w:eastAsia="Calibri" w:cstheme="minorHAnsi"/>
        </w:rPr>
        <w:t xml:space="preserve"> </w:t>
      </w:r>
      <w:r w:rsidR="00E2372E" w:rsidRPr="00A26C26">
        <w:rPr>
          <w:rFonts w:eastAsia="Calibri" w:cstheme="minorHAnsi"/>
        </w:rPr>
        <w:t>identyfikacja</w:t>
      </w:r>
      <w:r w:rsidR="003B50ED">
        <w:rPr>
          <w:rFonts w:eastAsia="Calibri" w:cstheme="minorHAnsi"/>
        </w:rPr>
        <w:t xml:space="preserve"> </w:t>
      </w:r>
      <w:r w:rsidR="00E2372E" w:rsidRPr="00A26C26">
        <w:rPr>
          <w:rFonts w:eastAsia="Calibri" w:cstheme="minorHAnsi"/>
        </w:rPr>
        <w:t>potrzeb</w:t>
      </w:r>
      <w:r w:rsidR="003B50ED">
        <w:rPr>
          <w:rFonts w:eastAsia="Calibri" w:cstheme="minorHAnsi"/>
        </w:rPr>
        <w:t xml:space="preserve"> </w:t>
      </w:r>
      <w:r w:rsidR="00E2372E" w:rsidRPr="00A26C26">
        <w:rPr>
          <w:rFonts w:eastAsia="Calibri" w:cstheme="minorHAnsi"/>
        </w:rPr>
        <w:t>osób</w:t>
      </w:r>
      <w:r w:rsidR="003B50ED">
        <w:rPr>
          <w:rFonts w:eastAsia="Calibri" w:cstheme="minorHAnsi"/>
        </w:rPr>
        <w:t xml:space="preserve"> </w:t>
      </w:r>
      <w:r w:rsidR="00E2372E" w:rsidRPr="00A26C26">
        <w:rPr>
          <w:rFonts w:eastAsia="Calibri" w:cstheme="minorHAnsi"/>
        </w:rPr>
        <w:t>w</w:t>
      </w:r>
      <w:r w:rsidR="003B50ED">
        <w:rPr>
          <w:rFonts w:eastAsia="Calibri" w:cstheme="minorHAnsi"/>
        </w:rPr>
        <w:t xml:space="preserve"> </w:t>
      </w:r>
      <w:r w:rsidR="00E2372E" w:rsidRPr="00A26C26">
        <w:rPr>
          <w:rFonts w:eastAsia="Calibri" w:cstheme="minorHAnsi"/>
        </w:rPr>
        <w:t>niekorzystnej</w:t>
      </w:r>
      <w:r w:rsidR="003B50ED">
        <w:rPr>
          <w:rFonts w:eastAsia="Calibri" w:cstheme="minorHAnsi"/>
        </w:rPr>
        <w:t xml:space="preserve"> </w:t>
      </w:r>
      <w:r w:rsidR="00E2372E" w:rsidRPr="00A26C26">
        <w:rPr>
          <w:rFonts w:eastAsia="Calibri" w:cstheme="minorHAnsi"/>
        </w:rPr>
        <w:t>sytuacji</w:t>
      </w:r>
      <w:r w:rsidR="003B50ED">
        <w:rPr>
          <w:rFonts w:eastAsia="Calibri" w:cstheme="minorHAnsi"/>
        </w:rPr>
        <w:t xml:space="preserve"> </w:t>
      </w:r>
      <w:r w:rsidR="00E2372E" w:rsidRPr="00A26C26">
        <w:rPr>
          <w:rFonts w:eastAsia="Calibri" w:cstheme="minorHAnsi"/>
        </w:rPr>
        <w:t>(wyniki</w:t>
      </w:r>
      <w:r w:rsidR="003B50ED">
        <w:rPr>
          <w:rFonts w:eastAsia="Calibri" w:cstheme="minorHAnsi"/>
        </w:rPr>
        <w:t xml:space="preserve"> </w:t>
      </w:r>
      <w:r w:rsidR="00E2372E" w:rsidRPr="00A26C26">
        <w:rPr>
          <w:rFonts w:eastAsia="Calibri" w:cstheme="minorHAnsi"/>
        </w:rPr>
        <w:t>ankiet,</w:t>
      </w:r>
      <w:r w:rsidR="003B50ED">
        <w:rPr>
          <w:rFonts w:eastAsia="Calibri" w:cstheme="minorHAnsi"/>
        </w:rPr>
        <w:t xml:space="preserve"> </w:t>
      </w:r>
      <w:r w:rsidR="00E2372E" w:rsidRPr="00A26C26">
        <w:rPr>
          <w:rFonts w:eastAsia="Calibri" w:cstheme="minorHAnsi"/>
        </w:rPr>
        <w:t>wywiadów,</w:t>
      </w:r>
      <w:r w:rsidR="003B50ED">
        <w:rPr>
          <w:rFonts w:eastAsia="Calibri" w:cstheme="minorHAnsi"/>
        </w:rPr>
        <w:t xml:space="preserve"> </w:t>
      </w:r>
      <w:r w:rsidR="00E2372E" w:rsidRPr="00A26C26">
        <w:rPr>
          <w:rFonts w:eastAsia="Calibri" w:cstheme="minorHAnsi"/>
        </w:rPr>
        <w:t>kart</w:t>
      </w:r>
      <w:r w:rsidR="003B50ED">
        <w:rPr>
          <w:rFonts w:eastAsia="Calibri" w:cstheme="minorHAnsi"/>
        </w:rPr>
        <w:t xml:space="preserve"> </w:t>
      </w:r>
      <w:r w:rsidR="00E2372E" w:rsidRPr="00A26C26">
        <w:rPr>
          <w:rFonts w:eastAsia="Calibri" w:cstheme="minorHAnsi"/>
        </w:rPr>
        <w:t>pomysłów),</w:t>
      </w:r>
      <w:r w:rsidR="003B50ED">
        <w:rPr>
          <w:rFonts w:eastAsia="Calibri" w:cstheme="minorHAnsi"/>
        </w:rPr>
        <w:t xml:space="preserve"> </w:t>
      </w:r>
      <w:r w:rsidR="00E2372E" w:rsidRPr="00A26C26">
        <w:rPr>
          <w:rFonts w:eastAsia="Calibri" w:cstheme="minorHAnsi"/>
        </w:rPr>
        <w:t>identyfikacja</w:t>
      </w:r>
      <w:r w:rsidR="003B50ED">
        <w:rPr>
          <w:rFonts w:eastAsia="Calibri" w:cstheme="minorHAnsi"/>
        </w:rPr>
        <w:t xml:space="preserve"> </w:t>
      </w:r>
      <w:r w:rsidR="00E2372E" w:rsidRPr="00A26C26">
        <w:rPr>
          <w:rFonts w:eastAsia="Calibri" w:cstheme="minorHAnsi"/>
        </w:rPr>
        <w:t>oferty</w:t>
      </w:r>
      <w:r w:rsidR="003B50ED">
        <w:rPr>
          <w:rFonts w:eastAsia="Calibri" w:cstheme="minorHAnsi"/>
        </w:rPr>
        <w:t xml:space="preserve"> </w:t>
      </w:r>
      <w:r w:rsidR="00E2372E" w:rsidRPr="00A26C26">
        <w:rPr>
          <w:rFonts w:eastAsia="Calibri" w:cstheme="minorHAnsi"/>
        </w:rPr>
        <w:t>istniejącej</w:t>
      </w:r>
      <w:r w:rsidR="003B50ED">
        <w:rPr>
          <w:rFonts w:eastAsia="Calibri" w:cstheme="minorHAnsi"/>
        </w:rPr>
        <w:t xml:space="preserve"> </w:t>
      </w:r>
      <w:r w:rsidR="00E2372E" w:rsidRPr="00A26C26">
        <w:rPr>
          <w:rFonts w:eastAsia="Calibri" w:cstheme="minorHAnsi"/>
        </w:rPr>
        <w:t>na</w:t>
      </w:r>
      <w:r w:rsidR="003B50ED">
        <w:rPr>
          <w:rFonts w:eastAsia="Calibri" w:cstheme="minorHAnsi"/>
        </w:rPr>
        <w:t xml:space="preserve"> </w:t>
      </w:r>
      <w:r w:rsidR="00E2372E" w:rsidRPr="00A26C26">
        <w:rPr>
          <w:rFonts w:eastAsia="Calibri" w:cstheme="minorHAnsi"/>
        </w:rPr>
        <w:t>obszarze,</w:t>
      </w:r>
      <w:r w:rsidR="003B50ED">
        <w:rPr>
          <w:rFonts w:eastAsia="Calibri" w:cstheme="minorHAnsi"/>
        </w:rPr>
        <w:t xml:space="preserve"> </w:t>
      </w:r>
      <w:r w:rsidR="00E2372E" w:rsidRPr="00A26C26">
        <w:rPr>
          <w:rFonts w:eastAsia="Calibri" w:cstheme="minorHAnsi"/>
        </w:rPr>
        <w:t>wzmocnienie</w:t>
      </w:r>
      <w:r w:rsidR="003B50ED">
        <w:rPr>
          <w:rFonts w:eastAsia="Calibri" w:cstheme="minorHAnsi"/>
        </w:rPr>
        <w:t xml:space="preserve"> </w:t>
      </w:r>
      <w:r w:rsidR="00E2372E" w:rsidRPr="00A26C26">
        <w:rPr>
          <w:rFonts w:eastAsia="Calibri" w:cstheme="minorHAnsi"/>
        </w:rPr>
        <w:t>efektu</w:t>
      </w:r>
      <w:r w:rsidR="003B50ED">
        <w:rPr>
          <w:rFonts w:eastAsia="Calibri" w:cstheme="minorHAnsi"/>
        </w:rPr>
        <w:t xml:space="preserve"> </w:t>
      </w:r>
      <w:r w:rsidR="00E2372E" w:rsidRPr="00A26C26">
        <w:rPr>
          <w:rFonts w:eastAsia="Calibri" w:cstheme="minorHAnsi"/>
        </w:rPr>
        <w:t>komplementarności</w:t>
      </w:r>
      <w:r w:rsidR="003B50ED">
        <w:rPr>
          <w:rFonts w:eastAsia="Calibri" w:cstheme="minorHAnsi"/>
        </w:rPr>
        <w:t xml:space="preserve"> </w:t>
      </w:r>
      <w:r w:rsidR="00E2372E" w:rsidRPr="00A26C26">
        <w:rPr>
          <w:rFonts w:eastAsia="Calibri" w:cstheme="minorHAnsi"/>
        </w:rPr>
        <w:t>lub</w:t>
      </w:r>
      <w:r w:rsidR="003B50ED">
        <w:rPr>
          <w:rFonts w:eastAsia="Calibri" w:cstheme="minorHAnsi"/>
        </w:rPr>
        <w:t xml:space="preserve"> </w:t>
      </w:r>
      <w:r w:rsidR="00E2372E" w:rsidRPr="00A26C26">
        <w:rPr>
          <w:rFonts w:eastAsia="Calibri" w:cstheme="minorHAnsi"/>
        </w:rPr>
        <w:t>synergii,</w:t>
      </w:r>
      <w:r w:rsidR="003B50ED">
        <w:rPr>
          <w:rFonts w:eastAsia="Calibri" w:cstheme="minorHAnsi"/>
        </w:rPr>
        <w:t xml:space="preserve"> </w:t>
      </w:r>
      <w:r w:rsidR="00E2372E" w:rsidRPr="00A26C26">
        <w:rPr>
          <w:rFonts w:eastAsia="Calibri" w:cstheme="minorHAnsi"/>
        </w:rPr>
        <w:t>wypracowanie</w:t>
      </w:r>
      <w:r w:rsidR="003B50ED">
        <w:rPr>
          <w:rFonts w:eastAsia="Calibri" w:cstheme="minorHAnsi"/>
        </w:rPr>
        <w:t xml:space="preserve"> </w:t>
      </w:r>
      <w:r w:rsidR="00E2372E" w:rsidRPr="00A26C26">
        <w:rPr>
          <w:rFonts w:eastAsia="Calibri" w:cstheme="minorHAnsi"/>
        </w:rPr>
        <w:t>wskaźników</w:t>
      </w:r>
      <w:r w:rsidR="003B50ED">
        <w:rPr>
          <w:rFonts w:eastAsia="Calibri" w:cstheme="minorHAnsi"/>
        </w:rPr>
        <w:t xml:space="preserve"> </w:t>
      </w:r>
      <w:r w:rsidR="00E2372E" w:rsidRPr="00A26C26">
        <w:rPr>
          <w:rFonts w:eastAsia="Calibri" w:cstheme="minorHAnsi"/>
        </w:rPr>
        <w:t>produktu,</w:t>
      </w:r>
      <w:r w:rsidR="003B50ED">
        <w:rPr>
          <w:rFonts w:eastAsia="Calibri" w:cstheme="minorHAnsi"/>
        </w:rPr>
        <w:t xml:space="preserve"> </w:t>
      </w:r>
      <w:r w:rsidR="00E2372E" w:rsidRPr="00A26C26">
        <w:rPr>
          <w:rFonts w:eastAsia="Calibri" w:cstheme="minorHAnsi"/>
        </w:rPr>
        <w:t>działania</w:t>
      </w:r>
      <w:r w:rsidR="003B50ED">
        <w:rPr>
          <w:rFonts w:eastAsia="Calibri" w:cstheme="minorHAnsi"/>
        </w:rPr>
        <w:t xml:space="preserve"> </w:t>
      </w:r>
      <w:r w:rsidR="00E2372E" w:rsidRPr="00A26C26">
        <w:rPr>
          <w:rFonts w:eastAsia="Calibri" w:cstheme="minorHAnsi"/>
        </w:rPr>
        <w:t>w</w:t>
      </w:r>
      <w:r w:rsidR="003B50ED">
        <w:rPr>
          <w:rFonts w:eastAsia="Calibri" w:cstheme="minorHAnsi"/>
        </w:rPr>
        <w:t xml:space="preserve"> </w:t>
      </w:r>
      <w:r w:rsidR="00E2372E" w:rsidRPr="00A26C26">
        <w:rPr>
          <w:rFonts w:eastAsia="Calibri" w:cstheme="minorHAnsi"/>
        </w:rPr>
        <w:t>Planie</w:t>
      </w:r>
      <w:r w:rsidR="003B50ED">
        <w:rPr>
          <w:rFonts w:eastAsia="Calibri" w:cstheme="minorHAnsi"/>
        </w:rPr>
        <w:t xml:space="preserve"> </w:t>
      </w:r>
      <w:r w:rsidR="00E2372E" w:rsidRPr="00A26C26">
        <w:rPr>
          <w:rFonts w:eastAsia="Calibri" w:cstheme="minorHAnsi"/>
        </w:rPr>
        <w:t>komunikacji)</w:t>
      </w:r>
      <w:r w:rsidR="003B50ED">
        <w:rPr>
          <w:rFonts w:eastAsia="Calibri" w:cstheme="minorHAnsi"/>
        </w:rPr>
        <w:t xml:space="preserve"> </w:t>
      </w:r>
      <w:r w:rsidR="00E2372E" w:rsidRPr="00A26C26">
        <w:rPr>
          <w:rFonts w:eastAsia="Calibri" w:cstheme="minorHAnsi"/>
        </w:rPr>
        <w:t>-</w:t>
      </w:r>
      <w:r w:rsidR="003B50ED">
        <w:rPr>
          <w:rFonts w:eastAsia="Calibri" w:cstheme="minorHAnsi"/>
        </w:rPr>
        <w:t xml:space="preserve"> </w:t>
      </w:r>
      <w:r w:rsidR="00E2372E" w:rsidRPr="00A26C26">
        <w:rPr>
          <w:rFonts w:eastAsia="Calibri" w:cstheme="minorHAnsi"/>
        </w:rPr>
        <w:t>t</w:t>
      </w:r>
      <w:r w:rsidR="00E2372E" w:rsidRPr="00A26C26">
        <w:rPr>
          <w:rFonts w:eastAsia="Calibri" w:cstheme="minorHAnsi"/>
          <w:i/>
          <w:iCs/>
        </w:rPr>
        <w:t>akże</w:t>
      </w:r>
      <w:r w:rsidR="003B50ED">
        <w:rPr>
          <w:rFonts w:eastAsia="Calibri" w:cstheme="minorHAnsi"/>
          <w:i/>
          <w:iCs/>
        </w:rPr>
        <w:t xml:space="preserve"> </w:t>
      </w:r>
      <w:r w:rsidR="00E2372E" w:rsidRPr="00A26C26">
        <w:rPr>
          <w:rFonts w:eastAsia="Calibri" w:cstheme="minorHAnsi"/>
          <w:i/>
          <w:iCs/>
        </w:rPr>
        <w:t>na</w:t>
      </w:r>
      <w:r w:rsidR="003B50ED">
        <w:rPr>
          <w:rFonts w:eastAsia="Calibri" w:cstheme="minorHAnsi"/>
          <w:i/>
          <w:iCs/>
        </w:rPr>
        <w:t xml:space="preserve"> </w:t>
      </w:r>
      <w:r w:rsidR="00E2372E" w:rsidRPr="00A26C26">
        <w:rPr>
          <w:rFonts w:eastAsia="Calibri" w:cstheme="minorHAnsi"/>
          <w:i/>
          <w:iCs/>
        </w:rPr>
        <w:t>etapie</w:t>
      </w:r>
      <w:r w:rsidR="003B50ED">
        <w:rPr>
          <w:rFonts w:eastAsia="Calibri" w:cstheme="minorHAnsi"/>
          <w:i/>
          <w:iCs/>
        </w:rPr>
        <w:t xml:space="preserve"> </w:t>
      </w:r>
      <w:r w:rsidR="00E2372E" w:rsidRPr="00A26C26">
        <w:rPr>
          <w:rFonts w:eastAsia="Calibri" w:cstheme="minorHAnsi"/>
          <w:i/>
          <w:iCs/>
        </w:rPr>
        <w:t>przygotowania</w:t>
      </w:r>
      <w:r w:rsidR="003B50ED">
        <w:rPr>
          <w:rFonts w:eastAsia="Calibri" w:cstheme="minorHAnsi"/>
          <w:i/>
          <w:iCs/>
        </w:rPr>
        <w:t xml:space="preserve"> </w:t>
      </w:r>
      <w:r w:rsidR="00E2372E" w:rsidRPr="00A26C26">
        <w:rPr>
          <w:rFonts w:eastAsia="Calibri" w:cstheme="minorHAnsi"/>
          <w:i/>
          <w:iCs/>
        </w:rPr>
        <w:t>LSR</w:t>
      </w:r>
      <w:r w:rsidR="003B50ED">
        <w:rPr>
          <w:rFonts w:eastAsia="Calibri" w:cstheme="minorHAnsi"/>
          <w:b/>
          <w:bCs/>
          <w:i/>
          <w:iCs/>
        </w:rPr>
        <w:t xml:space="preserve"> </w:t>
      </w:r>
    </w:p>
    <w:p w14:paraId="4DF4B695" w14:textId="715D7187" w:rsidR="00037899" w:rsidRDefault="00037899" w:rsidP="00037899">
      <w:pPr>
        <w:spacing w:line="276" w:lineRule="auto"/>
        <w:jc w:val="both"/>
        <w:rPr>
          <w:rFonts w:eastAsia="Calibri" w:cstheme="minorHAnsi"/>
        </w:rPr>
      </w:pPr>
      <w:r>
        <w:rPr>
          <w:rFonts w:eastAsia="Calibri" w:cstheme="minorHAnsi"/>
          <w:b/>
          <w:bCs/>
          <w:i/>
          <w:iCs/>
        </w:rPr>
        <w:t xml:space="preserve">- </w:t>
      </w:r>
      <w:r w:rsidR="00E2372E" w:rsidRPr="00A26C26">
        <w:rPr>
          <w:rFonts w:eastAsia="Calibri" w:cstheme="minorHAnsi"/>
          <w:b/>
          <w:bCs/>
        </w:rPr>
        <w:t>wsparcie</w:t>
      </w:r>
      <w:r w:rsidR="003B50ED">
        <w:rPr>
          <w:rFonts w:eastAsia="Calibri" w:cstheme="minorHAnsi"/>
          <w:b/>
          <w:bCs/>
        </w:rPr>
        <w:t xml:space="preserve"> </w:t>
      </w:r>
      <w:r w:rsidR="00E2372E" w:rsidRPr="00A26C26">
        <w:rPr>
          <w:rFonts w:eastAsia="Calibri" w:cstheme="minorHAnsi"/>
          <w:b/>
          <w:bCs/>
        </w:rPr>
        <w:t>rolników</w:t>
      </w:r>
      <w:r w:rsidR="003B50ED">
        <w:rPr>
          <w:rFonts w:eastAsia="Calibri" w:cstheme="minorHAnsi"/>
          <w:b/>
          <w:bCs/>
        </w:rPr>
        <w:t xml:space="preserve"> </w:t>
      </w:r>
      <w:r w:rsidR="00E2372E" w:rsidRPr="00A26C26">
        <w:rPr>
          <w:rFonts w:eastAsia="Calibri" w:cstheme="minorHAnsi"/>
          <w:b/>
          <w:bCs/>
        </w:rPr>
        <w:t>prowadzących</w:t>
      </w:r>
      <w:r w:rsidR="003B50ED">
        <w:rPr>
          <w:rFonts w:eastAsia="Calibri" w:cstheme="minorHAnsi"/>
          <w:b/>
          <w:bCs/>
        </w:rPr>
        <w:t xml:space="preserve"> </w:t>
      </w:r>
      <w:r w:rsidR="00E2372E" w:rsidRPr="00A26C26">
        <w:rPr>
          <w:rFonts w:eastAsia="Calibri" w:cstheme="minorHAnsi"/>
          <w:b/>
          <w:bCs/>
        </w:rPr>
        <w:t>działalność</w:t>
      </w:r>
      <w:r w:rsidR="003B50ED">
        <w:rPr>
          <w:rFonts w:eastAsia="Calibri" w:cstheme="minorHAnsi"/>
          <w:b/>
          <w:bCs/>
        </w:rPr>
        <w:t xml:space="preserve"> </w:t>
      </w:r>
      <w:r w:rsidR="00E2372E" w:rsidRPr="00A26C26">
        <w:rPr>
          <w:rFonts w:eastAsia="Calibri" w:cstheme="minorHAnsi"/>
          <w:b/>
          <w:bCs/>
        </w:rPr>
        <w:t>rolniczą</w:t>
      </w:r>
      <w:r w:rsidR="003B50ED">
        <w:rPr>
          <w:rFonts w:eastAsia="Calibri" w:cstheme="minorHAnsi"/>
          <w:b/>
          <w:bCs/>
        </w:rPr>
        <w:t xml:space="preserve"> </w:t>
      </w:r>
      <w:r w:rsidR="00E2372E" w:rsidRPr="00A26C26">
        <w:rPr>
          <w:rFonts w:eastAsia="Calibri" w:cstheme="minorHAnsi"/>
          <w:b/>
          <w:bCs/>
        </w:rPr>
        <w:t>w</w:t>
      </w:r>
      <w:r w:rsidR="003B50ED">
        <w:rPr>
          <w:rFonts w:eastAsia="Calibri" w:cstheme="minorHAnsi"/>
          <w:b/>
          <w:bCs/>
        </w:rPr>
        <w:t xml:space="preserve"> </w:t>
      </w:r>
      <w:r w:rsidR="00E2372E" w:rsidRPr="00A26C26">
        <w:rPr>
          <w:rFonts w:eastAsia="Calibri" w:cstheme="minorHAnsi"/>
          <w:b/>
          <w:bCs/>
        </w:rPr>
        <w:t>małych</w:t>
      </w:r>
      <w:r w:rsidR="003B50ED">
        <w:rPr>
          <w:rFonts w:eastAsia="Calibri" w:cstheme="minorHAnsi"/>
          <w:b/>
          <w:bCs/>
        </w:rPr>
        <w:t xml:space="preserve"> </w:t>
      </w:r>
      <w:r w:rsidR="00E2372E" w:rsidRPr="00A26C26">
        <w:rPr>
          <w:rFonts w:eastAsia="Calibri" w:cstheme="minorHAnsi"/>
          <w:b/>
          <w:bCs/>
        </w:rPr>
        <w:t>gospodarstwach</w:t>
      </w:r>
      <w:r w:rsidR="003B50ED">
        <w:rPr>
          <w:rFonts w:eastAsia="Calibri" w:cstheme="minorHAnsi"/>
        </w:rPr>
        <w:t xml:space="preserve"> </w:t>
      </w:r>
      <w:r w:rsidR="00E2372E" w:rsidRPr="00A26C26">
        <w:rPr>
          <w:rFonts w:eastAsia="Calibri" w:cstheme="minorHAnsi"/>
        </w:rPr>
        <w:t>(zaliczanych</w:t>
      </w:r>
      <w:r w:rsidR="003B50ED">
        <w:rPr>
          <w:rFonts w:eastAsia="Calibri" w:cstheme="minorHAnsi"/>
        </w:rPr>
        <w:t xml:space="preserve"> </w:t>
      </w:r>
      <w:r w:rsidR="00E2372E" w:rsidRPr="00A26C26">
        <w:rPr>
          <w:rFonts w:eastAsia="Calibri" w:cstheme="minorHAnsi"/>
        </w:rPr>
        <w:t>do</w:t>
      </w:r>
      <w:r w:rsidR="003B50ED">
        <w:rPr>
          <w:rFonts w:eastAsia="Calibri" w:cstheme="minorHAnsi"/>
        </w:rPr>
        <w:t xml:space="preserve"> </w:t>
      </w:r>
      <w:r w:rsidR="00E2372E" w:rsidRPr="00A26C26">
        <w:rPr>
          <w:rFonts w:eastAsia="Calibri" w:cstheme="minorHAnsi"/>
        </w:rPr>
        <w:t>osób</w:t>
      </w:r>
      <w:r w:rsidR="003B50ED">
        <w:rPr>
          <w:rFonts w:eastAsia="Calibri" w:cstheme="minorHAnsi"/>
        </w:rPr>
        <w:t xml:space="preserve"> </w:t>
      </w:r>
      <w:r w:rsidR="00581749">
        <w:rPr>
          <w:rFonts w:eastAsia="Calibri" w:cstheme="minorHAnsi"/>
        </w:rPr>
        <w:t xml:space="preserve">                                   </w:t>
      </w:r>
      <w:r w:rsidR="00E2372E" w:rsidRPr="00A26C26">
        <w:rPr>
          <w:rFonts w:eastAsia="Calibri" w:cstheme="minorHAnsi"/>
        </w:rPr>
        <w:t>w</w:t>
      </w:r>
      <w:r w:rsidR="003B50ED">
        <w:rPr>
          <w:rFonts w:eastAsia="Calibri" w:cstheme="minorHAnsi"/>
        </w:rPr>
        <w:t xml:space="preserve"> </w:t>
      </w:r>
      <w:r w:rsidR="00E2372E" w:rsidRPr="00A26C26">
        <w:rPr>
          <w:rFonts w:eastAsia="Calibri" w:cstheme="minorHAnsi"/>
        </w:rPr>
        <w:t>niekorzystnej</w:t>
      </w:r>
      <w:r w:rsidR="003B50ED">
        <w:rPr>
          <w:rFonts w:eastAsia="Calibri" w:cstheme="minorHAnsi"/>
        </w:rPr>
        <w:t xml:space="preserve"> </w:t>
      </w:r>
      <w:r w:rsidR="00E2372E" w:rsidRPr="00A26C26">
        <w:rPr>
          <w:rFonts w:eastAsia="Calibri" w:cstheme="minorHAnsi"/>
        </w:rPr>
        <w:t>sytuacji)</w:t>
      </w:r>
      <w:r w:rsidR="003B50ED">
        <w:rPr>
          <w:rFonts w:eastAsia="Calibri" w:cstheme="minorHAnsi"/>
        </w:rPr>
        <w:t xml:space="preserve"> </w:t>
      </w:r>
      <w:r w:rsidR="00E2372E" w:rsidRPr="00A26C26">
        <w:rPr>
          <w:rFonts w:eastAsia="Calibri" w:cstheme="minorHAnsi"/>
        </w:rPr>
        <w:t>będzie</w:t>
      </w:r>
      <w:r w:rsidR="003B50ED">
        <w:rPr>
          <w:rFonts w:eastAsia="Calibri" w:cstheme="minorHAnsi"/>
        </w:rPr>
        <w:t xml:space="preserve"> </w:t>
      </w:r>
      <w:r w:rsidR="00E2372E" w:rsidRPr="00A26C26">
        <w:rPr>
          <w:rFonts w:eastAsia="Calibri" w:cstheme="minorHAnsi"/>
        </w:rPr>
        <w:t>mogło</w:t>
      </w:r>
      <w:r w:rsidR="003B50ED">
        <w:rPr>
          <w:rFonts w:eastAsia="Calibri" w:cstheme="minorHAnsi"/>
        </w:rPr>
        <w:t xml:space="preserve"> </w:t>
      </w:r>
      <w:r w:rsidR="00E2372E" w:rsidRPr="00A26C26">
        <w:rPr>
          <w:rFonts w:eastAsia="Calibri" w:cstheme="minorHAnsi"/>
        </w:rPr>
        <w:t>być</w:t>
      </w:r>
      <w:r w:rsidR="003B50ED">
        <w:rPr>
          <w:rFonts w:eastAsia="Calibri" w:cstheme="minorHAnsi"/>
        </w:rPr>
        <w:t xml:space="preserve"> </w:t>
      </w:r>
      <w:r w:rsidR="00E2372E" w:rsidRPr="00A26C26">
        <w:rPr>
          <w:rFonts w:eastAsia="Calibri" w:cstheme="minorHAnsi"/>
        </w:rPr>
        <w:t>wykazane,</w:t>
      </w:r>
      <w:r w:rsidR="003B50ED">
        <w:rPr>
          <w:rFonts w:eastAsia="Calibri" w:cstheme="minorHAnsi"/>
        </w:rPr>
        <w:t xml:space="preserve"> </w:t>
      </w:r>
      <w:r w:rsidR="00E2372E" w:rsidRPr="00A26C26">
        <w:rPr>
          <w:rFonts w:eastAsia="Calibri" w:cstheme="minorHAnsi"/>
        </w:rPr>
        <w:t>jeśli</w:t>
      </w:r>
      <w:r w:rsidR="003B50ED">
        <w:rPr>
          <w:rFonts w:eastAsia="Calibri" w:cstheme="minorHAnsi"/>
        </w:rPr>
        <w:t xml:space="preserve"> </w:t>
      </w:r>
      <w:r w:rsidR="00E2372E" w:rsidRPr="00A26C26">
        <w:rPr>
          <w:rFonts w:eastAsia="Calibri" w:cstheme="minorHAnsi"/>
        </w:rPr>
        <w:t>zostaną</w:t>
      </w:r>
      <w:r w:rsidR="003B50ED">
        <w:rPr>
          <w:rFonts w:eastAsia="Calibri" w:cstheme="minorHAnsi"/>
        </w:rPr>
        <w:t xml:space="preserve"> </w:t>
      </w:r>
      <w:r w:rsidR="00E2372E" w:rsidRPr="00A26C26">
        <w:rPr>
          <w:rFonts w:eastAsia="Calibri" w:cstheme="minorHAnsi"/>
        </w:rPr>
        <w:t>przewidziane</w:t>
      </w:r>
      <w:r w:rsidR="003B50ED">
        <w:rPr>
          <w:rFonts w:eastAsia="Calibri" w:cstheme="minorHAnsi"/>
        </w:rPr>
        <w:t xml:space="preserve"> </w:t>
      </w:r>
      <w:r w:rsidR="00E2372E" w:rsidRPr="00A26C26">
        <w:rPr>
          <w:rFonts w:eastAsia="Calibri" w:cstheme="minorHAnsi"/>
        </w:rPr>
        <w:t>zakresy</w:t>
      </w:r>
      <w:r w:rsidR="003B50ED">
        <w:rPr>
          <w:rFonts w:eastAsia="Calibri" w:cstheme="minorHAnsi"/>
        </w:rPr>
        <w:t xml:space="preserve"> </w:t>
      </w:r>
      <w:r w:rsidR="00E2372E" w:rsidRPr="00A26C26">
        <w:rPr>
          <w:rFonts w:eastAsia="Calibri" w:cstheme="minorHAnsi"/>
        </w:rPr>
        <w:t>wsparcia</w:t>
      </w:r>
      <w:r w:rsidR="003B50ED">
        <w:rPr>
          <w:rFonts w:eastAsia="Calibri" w:cstheme="minorHAnsi"/>
        </w:rPr>
        <w:t xml:space="preserve"> </w:t>
      </w:r>
      <w:r w:rsidR="00E2372E" w:rsidRPr="00A26C26">
        <w:rPr>
          <w:rFonts w:eastAsia="Calibri" w:cstheme="minorHAnsi"/>
        </w:rPr>
        <w:t>dotyczące</w:t>
      </w:r>
      <w:r w:rsidR="003B50ED">
        <w:rPr>
          <w:rFonts w:eastAsia="Calibri" w:cstheme="minorHAnsi"/>
        </w:rPr>
        <w:t xml:space="preserve"> </w:t>
      </w:r>
      <w:r w:rsidR="00E2372E" w:rsidRPr="00A26C26">
        <w:rPr>
          <w:rFonts w:eastAsia="Calibri" w:cstheme="minorHAnsi"/>
        </w:rPr>
        <w:t>rozwoju</w:t>
      </w:r>
      <w:r w:rsidR="003B50ED">
        <w:rPr>
          <w:rFonts w:eastAsia="Calibri" w:cstheme="minorHAnsi"/>
        </w:rPr>
        <w:t xml:space="preserve"> </w:t>
      </w:r>
      <w:r w:rsidR="00E2372E" w:rsidRPr="00A26C26">
        <w:rPr>
          <w:rFonts w:eastAsia="Calibri" w:cstheme="minorHAnsi"/>
        </w:rPr>
        <w:t>pozarolniczych</w:t>
      </w:r>
      <w:r w:rsidR="003B50ED">
        <w:rPr>
          <w:rFonts w:eastAsia="Calibri" w:cstheme="minorHAnsi"/>
        </w:rPr>
        <w:t xml:space="preserve"> </w:t>
      </w:r>
      <w:r w:rsidR="00E2372E" w:rsidRPr="00A26C26">
        <w:rPr>
          <w:rFonts w:eastAsia="Calibri" w:cstheme="minorHAnsi"/>
        </w:rPr>
        <w:t>funkcji</w:t>
      </w:r>
      <w:r w:rsidR="003B50ED">
        <w:rPr>
          <w:rFonts w:eastAsia="Calibri" w:cstheme="minorHAnsi"/>
        </w:rPr>
        <w:t xml:space="preserve"> </w:t>
      </w:r>
      <w:r w:rsidR="00E2372E" w:rsidRPr="00A26C26">
        <w:rPr>
          <w:rFonts w:eastAsia="Calibri" w:cstheme="minorHAnsi"/>
        </w:rPr>
        <w:t>małych</w:t>
      </w:r>
      <w:r w:rsidR="003B50ED">
        <w:rPr>
          <w:rFonts w:eastAsia="Calibri" w:cstheme="minorHAnsi"/>
        </w:rPr>
        <w:t xml:space="preserve"> </w:t>
      </w:r>
      <w:r w:rsidR="00E2372E" w:rsidRPr="00A26C26">
        <w:rPr>
          <w:rFonts w:eastAsia="Calibri" w:cstheme="minorHAnsi"/>
        </w:rPr>
        <w:t>gospodarstw</w:t>
      </w:r>
      <w:r w:rsidR="003B50ED">
        <w:rPr>
          <w:rFonts w:eastAsia="Calibri" w:cstheme="minorHAnsi"/>
        </w:rPr>
        <w:t xml:space="preserve"> </w:t>
      </w:r>
      <w:r w:rsidR="00E2372E" w:rsidRPr="00A26C26">
        <w:rPr>
          <w:rFonts w:eastAsia="Calibri" w:cstheme="minorHAnsi"/>
        </w:rPr>
        <w:t>rolnych</w:t>
      </w:r>
      <w:r w:rsidR="003B50ED">
        <w:rPr>
          <w:rFonts w:eastAsia="Calibri" w:cstheme="minorHAnsi"/>
          <w:b/>
          <w:bCs/>
        </w:rPr>
        <w:t xml:space="preserve"> </w:t>
      </w:r>
      <w:r w:rsidR="00E2372E" w:rsidRPr="00A26C26">
        <w:rPr>
          <w:rFonts w:eastAsia="Calibri" w:cstheme="minorHAnsi"/>
        </w:rPr>
        <w:t>(gosp.</w:t>
      </w:r>
      <w:r w:rsidR="003B50ED">
        <w:rPr>
          <w:rFonts w:eastAsia="Calibri" w:cstheme="minorHAnsi"/>
        </w:rPr>
        <w:t xml:space="preserve"> </w:t>
      </w:r>
      <w:r w:rsidR="00E2372E" w:rsidRPr="00A26C26">
        <w:rPr>
          <w:rFonts w:eastAsia="Calibri" w:cstheme="minorHAnsi"/>
        </w:rPr>
        <w:t>agroturystyczne,</w:t>
      </w:r>
      <w:r w:rsidR="003B50ED">
        <w:rPr>
          <w:rFonts w:eastAsia="Calibri" w:cstheme="minorHAnsi"/>
        </w:rPr>
        <w:t xml:space="preserve"> </w:t>
      </w:r>
      <w:r w:rsidR="00E2372E" w:rsidRPr="00A26C26">
        <w:rPr>
          <w:rFonts w:eastAsia="Calibri" w:cstheme="minorHAnsi"/>
        </w:rPr>
        <w:t>zagrody</w:t>
      </w:r>
      <w:r w:rsidR="003B50ED">
        <w:rPr>
          <w:rFonts w:eastAsia="Calibri" w:cstheme="minorHAnsi"/>
        </w:rPr>
        <w:t xml:space="preserve"> </w:t>
      </w:r>
      <w:r w:rsidR="00E2372E" w:rsidRPr="00A26C26">
        <w:rPr>
          <w:rFonts w:eastAsia="Calibri" w:cstheme="minorHAnsi"/>
        </w:rPr>
        <w:t>edukacyjne.</w:t>
      </w:r>
      <w:r w:rsidR="003B50ED">
        <w:rPr>
          <w:rFonts w:eastAsia="Calibri" w:cstheme="minorHAnsi"/>
        </w:rPr>
        <w:t xml:space="preserve"> </w:t>
      </w:r>
      <w:r w:rsidR="00E2372E" w:rsidRPr="00A26C26">
        <w:rPr>
          <w:rFonts w:eastAsia="Calibri" w:cstheme="minorHAnsi"/>
        </w:rPr>
        <w:t>gosp.</w:t>
      </w:r>
      <w:r w:rsidR="003B50ED">
        <w:rPr>
          <w:rFonts w:eastAsia="Calibri" w:cstheme="minorHAnsi"/>
        </w:rPr>
        <w:t xml:space="preserve"> </w:t>
      </w:r>
      <w:r w:rsidR="00E2372E" w:rsidRPr="00A26C26">
        <w:rPr>
          <w:rFonts w:eastAsia="Calibri" w:cstheme="minorHAnsi"/>
        </w:rPr>
        <w:t>opiekuńcze,</w:t>
      </w:r>
      <w:r w:rsidR="003B50ED">
        <w:rPr>
          <w:rFonts w:eastAsia="Calibri" w:cstheme="minorHAnsi"/>
        </w:rPr>
        <w:t xml:space="preserve"> </w:t>
      </w:r>
      <w:r w:rsidR="00E2372E" w:rsidRPr="00A26C26">
        <w:rPr>
          <w:rFonts w:eastAsia="Calibri" w:cstheme="minorHAnsi"/>
        </w:rPr>
        <w:t>rozwój</w:t>
      </w:r>
      <w:r w:rsidR="003B50ED">
        <w:rPr>
          <w:rFonts w:eastAsia="Calibri" w:cstheme="minorHAnsi"/>
        </w:rPr>
        <w:t xml:space="preserve"> </w:t>
      </w:r>
      <w:r w:rsidR="00E2372E" w:rsidRPr="00A26C26">
        <w:rPr>
          <w:rFonts w:eastAsia="Calibri" w:cstheme="minorHAnsi"/>
        </w:rPr>
        <w:t>współpracy</w:t>
      </w:r>
      <w:r w:rsidR="003B50ED">
        <w:rPr>
          <w:rFonts w:eastAsia="Calibri" w:cstheme="minorHAnsi"/>
        </w:rPr>
        <w:t xml:space="preserve"> </w:t>
      </w:r>
      <w:r w:rsidR="00E2372E" w:rsidRPr="00A26C26">
        <w:rPr>
          <w:rFonts w:eastAsia="Calibri" w:cstheme="minorHAnsi"/>
        </w:rPr>
        <w:t>poprzez</w:t>
      </w:r>
      <w:r w:rsidR="003B50ED">
        <w:rPr>
          <w:rFonts w:eastAsia="Calibri" w:cstheme="minorHAnsi"/>
        </w:rPr>
        <w:t xml:space="preserve"> </w:t>
      </w:r>
      <w:r w:rsidR="00E2372E" w:rsidRPr="00A26C26">
        <w:rPr>
          <w:rFonts w:eastAsia="Calibri" w:cstheme="minorHAnsi"/>
        </w:rPr>
        <w:t>tworzenie</w:t>
      </w:r>
      <w:r w:rsidR="003B50ED">
        <w:rPr>
          <w:rFonts w:eastAsia="Calibri" w:cstheme="minorHAnsi"/>
        </w:rPr>
        <w:t xml:space="preserve"> </w:t>
      </w:r>
      <w:r w:rsidR="00E2372E" w:rsidRPr="00A26C26">
        <w:rPr>
          <w:rFonts w:eastAsia="Calibri" w:cstheme="minorHAnsi"/>
        </w:rPr>
        <w:t>lub</w:t>
      </w:r>
      <w:r w:rsidR="003B50ED">
        <w:rPr>
          <w:rFonts w:eastAsia="Calibri" w:cstheme="minorHAnsi"/>
        </w:rPr>
        <w:t xml:space="preserve"> </w:t>
      </w:r>
      <w:r w:rsidR="00E2372E" w:rsidRPr="00A26C26">
        <w:rPr>
          <w:rFonts w:eastAsia="Calibri" w:cstheme="minorHAnsi"/>
        </w:rPr>
        <w:t>rozwijanie</w:t>
      </w:r>
      <w:r w:rsidR="003B50ED">
        <w:rPr>
          <w:rFonts w:eastAsia="Calibri" w:cstheme="minorHAnsi"/>
        </w:rPr>
        <w:t xml:space="preserve"> </w:t>
      </w:r>
      <w:r w:rsidR="00E2372E" w:rsidRPr="00A26C26">
        <w:rPr>
          <w:rFonts w:eastAsia="Calibri" w:cstheme="minorHAnsi"/>
        </w:rPr>
        <w:t>KŁŻ);</w:t>
      </w:r>
      <w:r w:rsidR="003B50ED">
        <w:rPr>
          <w:rFonts w:eastAsia="Calibri" w:cstheme="minorHAnsi"/>
        </w:rPr>
        <w:t xml:space="preserve"> </w:t>
      </w:r>
    </w:p>
    <w:p w14:paraId="559E3595" w14:textId="77777777" w:rsidR="00037899" w:rsidRDefault="00037899" w:rsidP="00037899">
      <w:pPr>
        <w:spacing w:line="276" w:lineRule="auto"/>
        <w:jc w:val="both"/>
        <w:rPr>
          <w:rFonts w:eastAsia="Calibri" w:cstheme="minorHAnsi"/>
        </w:rPr>
      </w:pPr>
      <w:r>
        <w:rPr>
          <w:rFonts w:eastAsia="Calibri" w:cstheme="minorHAnsi"/>
        </w:rPr>
        <w:t xml:space="preserve">- </w:t>
      </w:r>
      <w:r w:rsidR="00E2372E" w:rsidRPr="00A26C26">
        <w:rPr>
          <w:rFonts w:eastAsia="Calibri" w:cstheme="minorHAnsi"/>
          <w:b/>
          <w:bCs/>
        </w:rPr>
        <w:t>wartość</w:t>
      </w:r>
      <w:r w:rsidR="003B50ED">
        <w:rPr>
          <w:rFonts w:eastAsia="Calibri" w:cstheme="minorHAnsi"/>
          <w:b/>
          <w:bCs/>
        </w:rPr>
        <w:t xml:space="preserve"> </w:t>
      </w:r>
      <w:r w:rsidR="00E2372E" w:rsidRPr="00A26C26">
        <w:rPr>
          <w:rFonts w:eastAsia="Calibri" w:cstheme="minorHAnsi"/>
          <w:b/>
          <w:bCs/>
        </w:rPr>
        <w:t>dodana</w:t>
      </w:r>
      <w:r w:rsidR="003B50ED">
        <w:rPr>
          <w:rFonts w:eastAsia="Calibri" w:cstheme="minorHAnsi"/>
          <w:b/>
          <w:bCs/>
        </w:rPr>
        <w:t xml:space="preserve"> </w:t>
      </w:r>
      <w:r w:rsidR="00E2372E" w:rsidRPr="00A26C26">
        <w:rPr>
          <w:rFonts w:eastAsia="Calibri" w:cstheme="minorHAnsi"/>
          <w:b/>
          <w:bCs/>
        </w:rPr>
        <w:t>Podejścia</w:t>
      </w:r>
      <w:r w:rsidR="003B50ED">
        <w:rPr>
          <w:rFonts w:eastAsia="Calibri" w:cstheme="minorHAnsi"/>
          <w:b/>
          <w:bCs/>
        </w:rPr>
        <w:t xml:space="preserve"> </w:t>
      </w:r>
      <w:r w:rsidR="00E2372E" w:rsidRPr="00A26C26">
        <w:rPr>
          <w:rFonts w:eastAsia="Calibri" w:cstheme="minorHAnsi"/>
          <w:b/>
          <w:bCs/>
        </w:rPr>
        <w:t>LEADER</w:t>
      </w:r>
      <w:r w:rsidR="003B50ED">
        <w:rPr>
          <w:rFonts w:eastAsia="Calibri" w:cstheme="minorHAnsi"/>
          <w:b/>
          <w:bCs/>
        </w:rPr>
        <w:t xml:space="preserve"> </w:t>
      </w:r>
      <w:r w:rsidR="00E2372E" w:rsidRPr="00A26C26">
        <w:rPr>
          <w:rFonts w:eastAsia="Calibri" w:cstheme="minorHAnsi"/>
          <w:b/>
          <w:bCs/>
        </w:rPr>
        <w:t>w</w:t>
      </w:r>
      <w:r w:rsidR="003B50ED">
        <w:rPr>
          <w:rFonts w:eastAsia="Calibri" w:cstheme="minorHAnsi"/>
          <w:b/>
          <w:bCs/>
        </w:rPr>
        <w:t xml:space="preserve"> </w:t>
      </w:r>
      <w:r w:rsidR="00E2372E" w:rsidRPr="00A26C26">
        <w:rPr>
          <w:rFonts w:eastAsia="Calibri" w:cstheme="minorHAnsi"/>
          <w:b/>
          <w:bCs/>
        </w:rPr>
        <w:t>realizacji</w:t>
      </w:r>
      <w:r w:rsidR="003B50ED">
        <w:rPr>
          <w:rFonts w:eastAsia="Calibri" w:cstheme="minorHAnsi"/>
          <w:b/>
          <w:bCs/>
        </w:rPr>
        <w:t xml:space="preserve"> </w:t>
      </w:r>
      <w:r w:rsidR="00E2372E" w:rsidRPr="00A26C26">
        <w:rPr>
          <w:rFonts w:eastAsia="Calibri" w:cstheme="minorHAnsi"/>
          <w:b/>
          <w:bCs/>
        </w:rPr>
        <w:t>LSR</w:t>
      </w:r>
      <w:r w:rsidR="003B50ED">
        <w:rPr>
          <w:rFonts w:eastAsia="Calibri" w:cstheme="minorHAnsi"/>
          <w:b/>
          <w:bCs/>
        </w:rPr>
        <w:t xml:space="preserve"> </w:t>
      </w:r>
      <w:r w:rsidR="00E2372E" w:rsidRPr="00A26C26">
        <w:rPr>
          <w:rFonts w:eastAsia="Calibri" w:cstheme="minorHAnsi"/>
          <w:b/>
          <w:bCs/>
        </w:rPr>
        <w:t>(</w:t>
      </w:r>
      <w:r w:rsidR="00E2372E" w:rsidRPr="00A26C26">
        <w:rPr>
          <w:rFonts w:eastAsia="Calibri" w:cstheme="minorHAnsi"/>
        </w:rPr>
        <w:t>korzyści</w:t>
      </w:r>
      <w:r w:rsidR="003B50ED">
        <w:rPr>
          <w:rFonts w:eastAsia="Calibri" w:cstheme="minorHAnsi"/>
        </w:rPr>
        <w:t xml:space="preserve"> </w:t>
      </w:r>
      <w:r w:rsidR="00E2372E" w:rsidRPr="00A26C26">
        <w:rPr>
          <w:rFonts w:eastAsia="Calibri" w:cstheme="minorHAnsi"/>
        </w:rPr>
        <w:t>planowane</w:t>
      </w:r>
      <w:r w:rsidR="003B50ED">
        <w:rPr>
          <w:rFonts w:eastAsia="Calibri" w:cstheme="minorHAnsi"/>
        </w:rPr>
        <w:t xml:space="preserve"> </w:t>
      </w:r>
      <w:r w:rsidR="00E2372E" w:rsidRPr="00A26C26">
        <w:rPr>
          <w:rFonts w:eastAsia="Calibri" w:cstheme="minorHAnsi"/>
        </w:rPr>
        <w:t>do</w:t>
      </w:r>
      <w:r w:rsidR="003B50ED">
        <w:rPr>
          <w:rFonts w:eastAsia="Calibri" w:cstheme="minorHAnsi"/>
        </w:rPr>
        <w:t xml:space="preserve"> </w:t>
      </w:r>
      <w:r w:rsidR="00E2372E" w:rsidRPr="00A26C26">
        <w:rPr>
          <w:rFonts w:eastAsia="Calibri" w:cstheme="minorHAnsi"/>
        </w:rPr>
        <w:t>osiągniecia</w:t>
      </w:r>
      <w:r w:rsidR="003B50ED">
        <w:rPr>
          <w:rFonts w:eastAsia="Calibri" w:cstheme="minorHAnsi"/>
        </w:rPr>
        <w:t xml:space="preserve"> </w:t>
      </w:r>
      <w:r w:rsidR="00E2372E" w:rsidRPr="00A26C26">
        <w:rPr>
          <w:rFonts w:eastAsia="Calibri" w:cstheme="minorHAnsi"/>
        </w:rPr>
        <w:t>poprzez</w:t>
      </w:r>
      <w:r w:rsidR="003B50ED">
        <w:rPr>
          <w:rFonts w:eastAsia="Calibri" w:cstheme="minorHAnsi"/>
        </w:rPr>
        <w:t xml:space="preserve"> </w:t>
      </w:r>
      <w:r w:rsidR="00E2372E" w:rsidRPr="00A26C26">
        <w:rPr>
          <w:rFonts w:eastAsia="Calibri" w:cstheme="minorHAnsi"/>
        </w:rPr>
        <w:t>realizację</w:t>
      </w:r>
      <w:r w:rsidR="003B50ED">
        <w:rPr>
          <w:rFonts w:eastAsia="Calibri" w:cstheme="minorHAnsi"/>
        </w:rPr>
        <w:t xml:space="preserve"> </w:t>
      </w:r>
      <w:r w:rsidR="00E2372E" w:rsidRPr="00A26C26">
        <w:rPr>
          <w:rFonts w:eastAsia="Calibri" w:cstheme="minorHAnsi"/>
        </w:rPr>
        <w:t>LSR</w:t>
      </w:r>
      <w:r w:rsidR="003B50ED">
        <w:rPr>
          <w:rFonts w:eastAsia="Calibri" w:cstheme="minorHAnsi"/>
        </w:rPr>
        <w:t xml:space="preserve"> </w:t>
      </w:r>
      <w:r w:rsidR="00E2372E" w:rsidRPr="00A26C26">
        <w:rPr>
          <w:rFonts w:eastAsia="Calibri" w:cstheme="minorHAnsi"/>
        </w:rPr>
        <w:t>poprzez</w:t>
      </w:r>
      <w:r w:rsidR="003B50ED">
        <w:rPr>
          <w:rFonts w:eastAsia="Calibri" w:cstheme="minorHAnsi"/>
        </w:rPr>
        <w:t xml:space="preserve"> </w:t>
      </w:r>
      <w:r w:rsidR="00E2372E" w:rsidRPr="00A26C26">
        <w:rPr>
          <w:rFonts w:eastAsia="Calibri" w:cstheme="minorHAnsi"/>
        </w:rPr>
        <w:t>Podejście</w:t>
      </w:r>
      <w:r w:rsidR="003B50ED">
        <w:rPr>
          <w:rFonts w:eastAsia="Calibri" w:cstheme="minorHAnsi"/>
        </w:rPr>
        <w:t xml:space="preserve"> </w:t>
      </w:r>
      <w:r w:rsidR="00E2372E" w:rsidRPr="00A26C26">
        <w:rPr>
          <w:rFonts w:eastAsia="Calibri" w:cstheme="minorHAnsi"/>
        </w:rPr>
        <w:t>LEADER,</w:t>
      </w:r>
      <w:r w:rsidR="003B50ED">
        <w:rPr>
          <w:rFonts w:eastAsia="Calibri" w:cstheme="minorHAnsi"/>
        </w:rPr>
        <w:t xml:space="preserve"> </w:t>
      </w:r>
      <w:r w:rsidR="00E2372E" w:rsidRPr="00A26C26">
        <w:rPr>
          <w:rFonts w:eastAsia="Calibri" w:cstheme="minorHAnsi"/>
        </w:rPr>
        <w:t>wpływ</w:t>
      </w:r>
      <w:r w:rsidR="003B50ED">
        <w:rPr>
          <w:rFonts w:eastAsia="Calibri" w:cstheme="minorHAnsi"/>
        </w:rPr>
        <w:t xml:space="preserve"> </w:t>
      </w:r>
      <w:r w:rsidR="00E2372E" w:rsidRPr="00A26C26">
        <w:rPr>
          <w:rFonts w:eastAsia="Calibri" w:cstheme="minorHAnsi"/>
        </w:rPr>
        <w:t>na</w:t>
      </w:r>
      <w:r w:rsidR="003B50ED">
        <w:rPr>
          <w:rFonts w:eastAsia="Calibri" w:cstheme="minorHAnsi"/>
        </w:rPr>
        <w:t xml:space="preserve"> </w:t>
      </w:r>
      <w:r w:rsidR="00E2372E" w:rsidRPr="00A26C26">
        <w:rPr>
          <w:rFonts w:eastAsia="Calibri" w:cstheme="minorHAnsi"/>
        </w:rPr>
        <w:t>rozwój</w:t>
      </w:r>
      <w:r w:rsidR="003B50ED">
        <w:rPr>
          <w:rFonts w:eastAsia="Calibri" w:cstheme="minorHAnsi"/>
        </w:rPr>
        <w:t xml:space="preserve"> </w:t>
      </w:r>
      <w:r w:rsidR="00E2372E" w:rsidRPr="00A26C26">
        <w:rPr>
          <w:rFonts w:eastAsia="Calibri" w:cstheme="minorHAnsi"/>
        </w:rPr>
        <w:t>społeczny,</w:t>
      </w:r>
      <w:r w:rsidR="003B50ED">
        <w:rPr>
          <w:rFonts w:eastAsia="Calibri" w:cstheme="minorHAnsi"/>
        </w:rPr>
        <w:t xml:space="preserve"> </w:t>
      </w:r>
      <w:r w:rsidR="00E2372E" w:rsidRPr="00A26C26">
        <w:rPr>
          <w:rFonts w:eastAsia="Calibri" w:cstheme="minorHAnsi"/>
        </w:rPr>
        <w:t>w</w:t>
      </w:r>
      <w:r w:rsidR="003B50ED">
        <w:rPr>
          <w:rFonts w:eastAsia="Calibri" w:cstheme="minorHAnsi"/>
        </w:rPr>
        <w:t xml:space="preserve"> </w:t>
      </w:r>
      <w:r w:rsidR="00E2372E" w:rsidRPr="00A26C26">
        <w:rPr>
          <w:rFonts w:eastAsia="Calibri" w:cstheme="minorHAnsi"/>
        </w:rPr>
        <w:t>tym</w:t>
      </w:r>
      <w:r w:rsidR="003B50ED">
        <w:rPr>
          <w:rFonts w:eastAsia="Calibri" w:cstheme="minorHAnsi"/>
        </w:rPr>
        <w:t xml:space="preserve"> </w:t>
      </w:r>
      <w:r w:rsidR="00E2372E" w:rsidRPr="00A26C26">
        <w:rPr>
          <w:rFonts w:eastAsia="Calibri" w:cstheme="minorHAnsi"/>
        </w:rPr>
        <w:t>wzrost</w:t>
      </w:r>
      <w:r w:rsidR="003B50ED">
        <w:rPr>
          <w:rFonts w:eastAsia="Calibri" w:cstheme="minorHAnsi"/>
        </w:rPr>
        <w:t xml:space="preserve"> </w:t>
      </w:r>
      <w:r w:rsidR="00E2372E" w:rsidRPr="00A26C26">
        <w:rPr>
          <w:rFonts w:eastAsia="Calibri" w:cstheme="minorHAnsi"/>
        </w:rPr>
        <w:t>potencjału</w:t>
      </w:r>
      <w:r w:rsidR="003B50ED">
        <w:rPr>
          <w:rFonts w:eastAsia="Calibri" w:cstheme="minorHAnsi"/>
        </w:rPr>
        <w:t xml:space="preserve"> </w:t>
      </w:r>
      <w:r w:rsidR="00E2372E" w:rsidRPr="00A26C26">
        <w:rPr>
          <w:rFonts w:eastAsia="Calibri" w:cstheme="minorHAnsi"/>
        </w:rPr>
        <w:t>Członków</w:t>
      </w:r>
      <w:r w:rsidR="003B50ED">
        <w:rPr>
          <w:rFonts w:eastAsia="Calibri" w:cstheme="minorHAnsi"/>
        </w:rPr>
        <w:t xml:space="preserve"> </w:t>
      </w:r>
      <w:r w:rsidR="00E2372E" w:rsidRPr="00A26C26">
        <w:rPr>
          <w:rFonts w:eastAsia="Calibri" w:cstheme="minorHAnsi"/>
        </w:rPr>
        <w:t>lokalnych</w:t>
      </w:r>
      <w:r w:rsidR="003B50ED">
        <w:rPr>
          <w:rFonts w:eastAsia="Calibri" w:cstheme="minorHAnsi"/>
        </w:rPr>
        <w:t xml:space="preserve"> </w:t>
      </w:r>
      <w:r w:rsidR="00E2372E" w:rsidRPr="00A26C26">
        <w:rPr>
          <w:rFonts w:eastAsia="Calibri" w:cstheme="minorHAnsi"/>
        </w:rPr>
        <w:t>społeczności);</w:t>
      </w:r>
      <w:r w:rsidR="003B50ED">
        <w:rPr>
          <w:rFonts w:eastAsia="Calibri" w:cstheme="minorHAnsi"/>
        </w:rPr>
        <w:t xml:space="preserve"> </w:t>
      </w:r>
    </w:p>
    <w:p w14:paraId="7F85C604" w14:textId="77777777" w:rsidR="00037899" w:rsidRDefault="00037899" w:rsidP="00037899">
      <w:pPr>
        <w:spacing w:line="276" w:lineRule="auto"/>
        <w:jc w:val="both"/>
        <w:rPr>
          <w:rFonts w:eastAsia="Calibri" w:cstheme="minorHAnsi"/>
        </w:rPr>
      </w:pPr>
      <w:r>
        <w:rPr>
          <w:rFonts w:eastAsia="Calibri" w:cstheme="minorHAnsi"/>
        </w:rPr>
        <w:t xml:space="preserve">- </w:t>
      </w:r>
      <w:r w:rsidR="00E2372E" w:rsidRPr="00A26C26">
        <w:rPr>
          <w:rFonts w:eastAsia="Calibri" w:cstheme="minorHAnsi"/>
          <w:b/>
          <w:bCs/>
        </w:rPr>
        <w:t>dywersyfikacja</w:t>
      </w:r>
      <w:r w:rsidR="003B50ED">
        <w:rPr>
          <w:rFonts w:eastAsia="Calibri" w:cstheme="minorHAnsi"/>
          <w:b/>
          <w:bCs/>
        </w:rPr>
        <w:t xml:space="preserve"> </w:t>
      </w:r>
      <w:r w:rsidR="00E2372E" w:rsidRPr="00A26C26">
        <w:rPr>
          <w:rFonts w:eastAsia="Calibri" w:cstheme="minorHAnsi"/>
          <w:b/>
          <w:bCs/>
        </w:rPr>
        <w:t>źródeł</w:t>
      </w:r>
      <w:r w:rsidR="003B50ED">
        <w:rPr>
          <w:rFonts w:eastAsia="Calibri" w:cstheme="minorHAnsi"/>
          <w:b/>
          <w:bCs/>
        </w:rPr>
        <w:t xml:space="preserve"> </w:t>
      </w:r>
      <w:r w:rsidR="00E2372E" w:rsidRPr="00A26C26">
        <w:rPr>
          <w:rFonts w:eastAsia="Calibri" w:cstheme="minorHAnsi"/>
          <w:b/>
          <w:bCs/>
        </w:rPr>
        <w:t>finansowania</w:t>
      </w:r>
      <w:r w:rsidR="003B50ED">
        <w:rPr>
          <w:rFonts w:eastAsia="Calibri" w:cstheme="minorHAnsi"/>
          <w:b/>
          <w:bCs/>
        </w:rPr>
        <w:t xml:space="preserve"> </w:t>
      </w:r>
      <w:r w:rsidR="00E2372E" w:rsidRPr="00A26C26">
        <w:rPr>
          <w:rFonts w:eastAsia="Calibri" w:cstheme="minorHAnsi"/>
          <w:b/>
          <w:bCs/>
        </w:rPr>
        <w:t>LSR</w:t>
      </w:r>
      <w:r w:rsidR="003B50ED">
        <w:rPr>
          <w:rFonts w:eastAsia="Calibri" w:cstheme="minorHAnsi"/>
        </w:rPr>
        <w:t xml:space="preserve"> </w:t>
      </w:r>
      <w:r w:rsidR="00E2372E" w:rsidRPr="00A26C26">
        <w:rPr>
          <w:rFonts w:eastAsia="Calibri" w:cstheme="minorHAnsi"/>
        </w:rPr>
        <w:t>(analiza</w:t>
      </w:r>
      <w:r w:rsidR="003B50ED">
        <w:rPr>
          <w:rFonts w:eastAsia="Calibri" w:cstheme="minorHAnsi"/>
        </w:rPr>
        <w:t xml:space="preserve"> </w:t>
      </w:r>
      <w:r w:rsidR="00E2372E" w:rsidRPr="00A26C26">
        <w:rPr>
          <w:rFonts w:eastAsia="Calibri" w:cstheme="minorHAnsi"/>
        </w:rPr>
        <w:t>dostępnych</w:t>
      </w:r>
      <w:r w:rsidR="003B50ED">
        <w:rPr>
          <w:rFonts w:eastAsia="Calibri" w:cstheme="minorHAnsi"/>
        </w:rPr>
        <w:t xml:space="preserve"> </w:t>
      </w:r>
      <w:r w:rsidR="00E2372E" w:rsidRPr="00A26C26">
        <w:rPr>
          <w:rFonts w:eastAsia="Calibri" w:cstheme="minorHAnsi"/>
        </w:rPr>
        <w:t>źródeł</w:t>
      </w:r>
      <w:r w:rsidR="003B50ED">
        <w:rPr>
          <w:rFonts w:eastAsia="Calibri" w:cstheme="minorHAnsi"/>
        </w:rPr>
        <w:t xml:space="preserve"> </w:t>
      </w:r>
      <w:r w:rsidR="00E2372E" w:rsidRPr="00A26C26">
        <w:rPr>
          <w:rFonts w:eastAsia="Calibri" w:cstheme="minorHAnsi"/>
        </w:rPr>
        <w:t>finansowania);</w:t>
      </w:r>
      <w:r w:rsidR="003B50ED">
        <w:rPr>
          <w:rFonts w:eastAsia="Calibri" w:cstheme="minorHAnsi"/>
        </w:rPr>
        <w:t xml:space="preserve"> </w:t>
      </w:r>
    </w:p>
    <w:p w14:paraId="01D0ECC3" w14:textId="0473A84A" w:rsidR="00037899" w:rsidRDefault="00037899" w:rsidP="00037899">
      <w:pPr>
        <w:spacing w:line="276" w:lineRule="auto"/>
        <w:jc w:val="both"/>
        <w:rPr>
          <w:rFonts w:eastAsia="Calibri" w:cstheme="minorHAnsi"/>
        </w:rPr>
      </w:pPr>
      <w:r>
        <w:rPr>
          <w:rFonts w:eastAsia="Calibri" w:cstheme="minorHAnsi"/>
        </w:rPr>
        <w:t xml:space="preserve">- </w:t>
      </w:r>
      <w:r w:rsidR="00E2372E" w:rsidRPr="00A26C26">
        <w:rPr>
          <w:rFonts w:eastAsia="Calibri" w:cstheme="minorHAnsi"/>
          <w:b/>
          <w:bCs/>
        </w:rPr>
        <w:t>wypracowanie</w:t>
      </w:r>
      <w:r w:rsidR="003B50ED">
        <w:rPr>
          <w:rFonts w:eastAsia="Calibri" w:cstheme="minorHAnsi"/>
          <w:b/>
          <w:bCs/>
        </w:rPr>
        <w:t xml:space="preserve"> </w:t>
      </w:r>
      <w:r w:rsidR="00E2372E" w:rsidRPr="00A26C26">
        <w:rPr>
          <w:rFonts w:eastAsia="Calibri" w:cstheme="minorHAnsi"/>
          <w:b/>
          <w:bCs/>
        </w:rPr>
        <w:t>założeń</w:t>
      </w:r>
      <w:r w:rsidR="003B50ED">
        <w:rPr>
          <w:rFonts w:eastAsia="Calibri" w:cstheme="minorHAnsi"/>
          <w:b/>
          <w:bCs/>
        </w:rPr>
        <w:t xml:space="preserve"> </w:t>
      </w:r>
      <w:r w:rsidR="00E2372E" w:rsidRPr="00A26C26">
        <w:rPr>
          <w:rFonts w:eastAsia="Calibri" w:cstheme="minorHAnsi"/>
          <w:b/>
          <w:bCs/>
        </w:rPr>
        <w:t>do</w:t>
      </w:r>
      <w:r w:rsidR="003B50ED">
        <w:rPr>
          <w:rFonts w:eastAsia="Calibri" w:cstheme="minorHAnsi"/>
          <w:b/>
          <w:bCs/>
        </w:rPr>
        <w:t xml:space="preserve"> </w:t>
      </w:r>
      <w:r w:rsidR="00E2372E" w:rsidRPr="00A26C26">
        <w:rPr>
          <w:rFonts w:eastAsia="Calibri" w:cstheme="minorHAnsi"/>
          <w:b/>
          <w:bCs/>
        </w:rPr>
        <w:t>lokalnych</w:t>
      </w:r>
      <w:r w:rsidR="003B50ED">
        <w:rPr>
          <w:rFonts w:eastAsia="Calibri" w:cstheme="minorHAnsi"/>
          <w:b/>
          <w:bCs/>
        </w:rPr>
        <w:t xml:space="preserve"> </w:t>
      </w:r>
      <w:r w:rsidR="00E2372E" w:rsidRPr="00A26C26">
        <w:rPr>
          <w:rFonts w:eastAsia="Calibri" w:cstheme="minorHAnsi"/>
          <w:b/>
          <w:bCs/>
        </w:rPr>
        <w:t>kryteriów</w:t>
      </w:r>
      <w:r w:rsidR="003B50ED">
        <w:rPr>
          <w:rFonts w:eastAsia="Calibri" w:cstheme="minorHAnsi"/>
          <w:b/>
          <w:bCs/>
        </w:rPr>
        <w:t xml:space="preserve"> </w:t>
      </w:r>
      <w:r w:rsidR="00E2372E" w:rsidRPr="00A26C26">
        <w:rPr>
          <w:rFonts w:eastAsia="Calibri" w:cstheme="minorHAnsi"/>
          <w:b/>
          <w:bCs/>
        </w:rPr>
        <w:t>wyboru</w:t>
      </w:r>
      <w:r w:rsidR="003B50ED">
        <w:rPr>
          <w:rFonts w:eastAsia="Calibri" w:cstheme="minorHAnsi"/>
          <w:b/>
          <w:bCs/>
        </w:rPr>
        <w:t xml:space="preserve"> </w:t>
      </w:r>
      <w:r w:rsidR="00E2372E" w:rsidRPr="00A26C26">
        <w:rPr>
          <w:rFonts w:eastAsia="Calibri" w:cstheme="minorHAnsi"/>
          <w:b/>
          <w:bCs/>
        </w:rPr>
        <w:t>i</w:t>
      </w:r>
      <w:r w:rsidR="003B50ED">
        <w:rPr>
          <w:rFonts w:eastAsia="Calibri" w:cstheme="minorHAnsi"/>
          <w:b/>
          <w:bCs/>
        </w:rPr>
        <w:t xml:space="preserve"> </w:t>
      </w:r>
      <w:r w:rsidR="00E2372E" w:rsidRPr="00A26C26">
        <w:rPr>
          <w:rFonts w:eastAsia="Calibri" w:cstheme="minorHAnsi"/>
          <w:b/>
          <w:bCs/>
        </w:rPr>
        <w:t>aktualizacji</w:t>
      </w:r>
      <w:r w:rsidR="003B50ED">
        <w:rPr>
          <w:rFonts w:eastAsia="Calibri" w:cstheme="minorHAnsi"/>
          <w:b/>
          <w:bCs/>
        </w:rPr>
        <w:t xml:space="preserve"> </w:t>
      </w:r>
      <w:r w:rsidR="00E2372E" w:rsidRPr="00A26C26">
        <w:rPr>
          <w:rFonts w:eastAsia="Calibri" w:cstheme="minorHAnsi"/>
          <w:b/>
          <w:bCs/>
        </w:rPr>
        <w:t>procedury</w:t>
      </w:r>
      <w:r w:rsidR="003B50ED">
        <w:rPr>
          <w:rFonts w:eastAsia="Calibri" w:cstheme="minorHAnsi"/>
          <w:b/>
          <w:bCs/>
        </w:rPr>
        <w:t xml:space="preserve"> </w:t>
      </w:r>
      <w:r w:rsidR="00E2372E" w:rsidRPr="00A26C26">
        <w:rPr>
          <w:rFonts w:eastAsia="Calibri" w:cstheme="minorHAnsi"/>
          <w:b/>
          <w:bCs/>
        </w:rPr>
        <w:t>zmiany</w:t>
      </w:r>
      <w:r w:rsidR="003B50ED">
        <w:rPr>
          <w:rFonts w:eastAsia="Calibri" w:cstheme="minorHAnsi"/>
          <w:b/>
          <w:bCs/>
        </w:rPr>
        <w:t xml:space="preserve"> </w:t>
      </w:r>
      <w:r w:rsidR="00E2372E" w:rsidRPr="00A26C26">
        <w:rPr>
          <w:rFonts w:eastAsia="Calibri" w:cstheme="minorHAnsi"/>
          <w:b/>
          <w:bCs/>
        </w:rPr>
        <w:t>kryteriów</w:t>
      </w:r>
      <w:r w:rsidR="003B50ED">
        <w:rPr>
          <w:rFonts w:eastAsia="Calibri" w:cstheme="minorHAnsi"/>
          <w:b/>
          <w:bCs/>
        </w:rPr>
        <w:t xml:space="preserve"> </w:t>
      </w:r>
      <w:r w:rsidR="00E2372E" w:rsidRPr="00A26C26">
        <w:rPr>
          <w:rFonts w:eastAsia="Calibri" w:cstheme="minorHAnsi"/>
        </w:rPr>
        <w:t>(obowiązkowe</w:t>
      </w:r>
      <w:r w:rsidR="003B50ED">
        <w:rPr>
          <w:rFonts w:eastAsia="Calibri" w:cstheme="minorHAnsi"/>
        </w:rPr>
        <w:t xml:space="preserve"> </w:t>
      </w:r>
      <w:r w:rsidR="00E2372E" w:rsidRPr="00A26C26">
        <w:rPr>
          <w:rFonts w:eastAsia="Calibri" w:cstheme="minorHAnsi"/>
        </w:rPr>
        <w:t>kryteria</w:t>
      </w:r>
      <w:r w:rsidR="003B50ED">
        <w:rPr>
          <w:rFonts w:eastAsia="Calibri" w:cstheme="minorHAnsi"/>
        </w:rPr>
        <w:t xml:space="preserve"> </w:t>
      </w:r>
      <w:r w:rsidR="00E2372E" w:rsidRPr="00A26C26">
        <w:rPr>
          <w:rFonts w:eastAsia="Calibri" w:cstheme="minorHAnsi"/>
        </w:rPr>
        <w:t>wyboru</w:t>
      </w:r>
      <w:r w:rsidR="003B50ED">
        <w:rPr>
          <w:rFonts w:eastAsia="Calibri" w:cstheme="minorHAnsi"/>
        </w:rPr>
        <w:t xml:space="preserve"> </w:t>
      </w:r>
      <w:r w:rsidR="00E2372E" w:rsidRPr="00A26C26">
        <w:rPr>
          <w:rFonts w:eastAsia="Calibri" w:cstheme="minorHAnsi"/>
        </w:rPr>
        <w:t>operacji,</w:t>
      </w:r>
      <w:r w:rsidR="003B50ED">
        <w:rPr>
          <w:rFonts w:eastAsia="Calibri" w:cstheme="minorHAnsi"/>
        </w:rPr>
        <w:t xml:space="preserve"> </w:t>
      </w:r>
      <w:r w:rsidR="00E2372E" w:rsidRPr="00A26C26">
        <w:rPr>
          <w:rFonts w:eastAsia="Calibri" w:cstheme="minorHAnsi"/>
        </w:rPr>
        <w:t>inne</w:t>
      </w:r>
      <w:r w:rsidR="003B50ED">
        <w:rPr>
          <w:rFonts w:eastAsia="Calibri" w:cstheme="minorHAnsi"/>
        </w:rPr>
        <w:t xml:space="preserve"> </w:t>
      </w:r>
      <w:r w:rsidR="00E2372E" w:rsidRPr="00A26C26">
        <w:rPr>
          <w:rFonts w:eastAsia="Calibri" w:cstheme="minorHAnsi"/>
        </w:rPr>
        <w:t>kryteria</w:t>
      </w:r>
      <w:r w:rsidR="003B50ED">
        <w:rPr>
          <w:rFonts w:eastAsia="Calibri" w:cstheme="minorHAnsi"/>
        </w:rPr>
        <w:t xml:space="preserve"> </w:t>
      </w:r>
      <w:r w:rsidR="00E2372E" w:rsidRPr="00A26C26">
        <w:rPr>
          <w:rFonts w:eastAsia="Calibri" w:cstheme="minorHAnsi"/>
        </w:rPr>
        <w:t>dostępowe,</w:t>
      </w:r>
      <w:r w:rsidR="003B50ED">
        <w:rPr>
          <w:rFonts w:eastAsia="Calibri" w:cstheme="minorHAnsi"/>
        </w:rPr>
        <w:t xml:space="preserve"> </w:t>
      </w:r>
      <w:r w:rsidR="00E2372E" w:rsidRPr="00A26C26">
        <w:rPr>
          <w:rFonts w:eastAsia="Calibri" w:cstheme="minorHAnsi"/>
        </w:rPr>
        <w:t>procedura</w:t>
      </w:r>
      <w:r w:rsidR="003B50ED">
        <w:rPr>
          <w:rFonts w:eastAsia="Calibri" w:cstheme="minorHAnsi"/>
        </w:rPr>
        <w:t xml:space="preserve"> </w:t>
      </w:r>
      <w:r w:rsidR="00E2372E" w:rsidRPr="00A26C26">
        <w:rPr>
          <w:rFonts w:eastAsia="Calibri" w:cstheme="minorHAnsi"/>
        </w:rPr>
        <w:t>aktualizacji</w:t>
      </w:r>
      <w:r w:rsidR="003B50ED">
        <w:rPr>
          <w:rFonts w:eastAsia="Calibri" w:cstheme="minorHAnsi"/>
        </w:rPr>
        <w:t xml:space="preserve"> </w:t>
      </w:r>
      <w:r w:rsidR="00E2372E" w:rsidRPr="00A26C26">
        <w:rPr>
          <w:rFonts w:eastAsia="Calibri" w:cstheme="minorHAnsi"/>
        </w:rPr>
        <w:t>lokalnych</w:t>
      </w:r>
      <w:r w:rsidR="003B50ED">
        <w:rPr>
          <w:rFonts w:eastAsia="Calibri" w:cstheme="minorHAnsi"/>
        </w:rPr>
        <w:t xml:space="preserve"> </w:t>
      </w:r>
      <w:r w:rsidR="00E2372E" w:rsidRPr="00A26C26">
        <w:rPr>
          <w:rFonts w:eastAsia="Calibri" w:cstheme="minorHAnsi"/>
        </w:rPr>
        <w:t>kryteriów</w:t>
      </w:r>
      <w:r w:rsidR="003B50ED">
        <w:rPr>
          <w:rFonts w:eastAsia="Calibri" w:cstheme="minorHAnsi"/>
        </w:rPr>
        <w:t xml:space="preserve"> </w:t>
      </w:r>
      <w:r w:rsidR="00E2372E" w:rsidRPr="00A26C26">
        <w:rPr>
          <w:rFonts w:eastAsia="Calibri" w:cstheme="minorHAnsi"/>
        </w:rPr>
        <w:t>wyboru,</w:t>
      </w:r>
      <w:r w:rsidR="003B50ED">
        <w:rPr>
          <w:rFonts w:eastAsia="Calibri" w:cstheme="minorHAnsi"/>
        </w:rPr>
        <w:t xml:space="preserve"> </w:t>
      </w:r>
      <w:r w:rsidR="00E2372E" w:rsidRPr="00A26C26">
        <w:rPr>
          <w:rFonts w:eastAsia="Calibri" w:cstheme="minorHAnsi"/>
        </w:rPr>
        <w:t>mierzalność,</w:t>
      </w:r>
      <w:r w:rsidR="003B50ED">
        <w:rPr>
          <w:rFonts w:eastAsia="Calibri" w:cstheme="minorHAnsi"/>
        </w:rPr>
        <w:t xml:space="preserve"> </w:t>
      </w:r>
      <w:r w:rsidR="00E2372E" w:rsidRPr="00A26C26">
        <w:rPr>
          <w:rFonts w:eastAsia="Calibri" w:cstheme="minorHAnsi"/>
        </w:rPr>
        <w:t>przystępność</w:t>
      </w:r>
      <w:r>
        <w:rPr>
          <w:rFonts w:eastAsia="Calibri" w:cstheme="minorHAnsi"/>
        </w:rPr>
        <w:t>, itp.</w:t>
      </w:r>
      <w:r w:rsidR="00E2372E" w:rsidRPr="00A26C26">
        <w:rPr>
          <w:rFonts w:eastAsia="Calibri" w:cstheme="minorHAnsi"/>
        </w:rPr>
        <w:t>);</w:t>
      </w:r>
      <w:r w:rsidR="003B50ED">
        <w:rPr>
          <w:rFonts w:eastAsia="Calibri" w:cstheme="minorHAnsi"/>
        </w:rPr>
        <w:t xml:space="preserve"> </w:t>
      </w:r>
    </w:p>
    <w:p w14:paraId="7F3C203F" w14:textId="640BD461" w:rsidR="00E2372E" w:rsidRPr="00A26C26" w:rsidRDefault="00037899" w:rsidP="00037899">
      <w:pPr>
        <w:spacing w:line="276" w:lineRule="auto"/>
        <w:jc w:val="both"/>
        <w:rPr>
          <w:rFonts w:eastAsia="Calibri" w:cstheme="minorHAnsi"/>
        </w:rPr>
      </w:pPr>
      <w:r>
        <w:rPr>
          <w:rFonts w:eastAsia="Calibri" w:cstheme="minorHAnsi"/>
        </w:rPr>
        <w:t xml:space="preserve">- </w:t>
      </w:r>
      <w:r w:rsidR="00E2372E" w:rsidRPr="00A26C26">
        <w:rPr>
          <w:rFonts w:eastAsia="Calibri" w:cstheme="minorHAnsi"/>
          <w:b/>
          <w:bCs/>
        </w:rPr>
        <w:t>harmonogram</w:t>
      </w:r>
      <w:r w:rsidR="003B50ED">
        <w:rPr>
          <w:rFonts w:eastAsia="Calibri" w:cstheme="minorHAnsi"/>
          <w:b/>
          <w:bCs/>
        </w:rPr>
        <w:t xml:space="preserve"> </w:t>
      </w:r>
      <w:r w:rsidR="00E2372E" w:rsidRPr="00A26C26">
        <w:rPr>
          <w:rFonts w:eastAsia="Calibri" w:cstheme="minorHAnsi"/>
          <w:b/>
          <w:bCs/>
        </w:rPr>
        <w:t>naboru</w:t>
      </w:r>
      <w:r w:rsidR="003B50ED">
        <w:rPr>
          <w:rFonts w:eastAsia="Calibri" w:cstheme="minorHAnsi"/>
          <w:b/>
          <w:bCs/>
        </w:rPr>
        <w:t xml:space="preserve"> </w:t>
      </w:r>
      <w:r w:rsidR="00E2372E" w:rsidRPr="00A26C26">
        <w:rPr>
          <w:rFonts w:eastAsia="Calibri" w:cstheme="minorHAnsi"/>
          <w:b/>
          <w:bCs/>
        </w:rPr>
        <w:t>wniosków</w:t>
      </w:r>
      <w:r w:rsidR="003B50ED">
        <w:rPr>
          <w:rFonts w:eastAsia="Calibri" w:cstheme="minorHAnsi"/>
          <w:b/>
          <w:bCs/>
        </w:rPr>
        <w:t xml:space="preserve"> </w:t>
      </w:r>
      <w:r w:rsidR="00E2372E" w:rsidRPr="00A26C26">
        <w:rPr>
          <w:rFonts w:eastAsia="Calibri" w:cstheme="minorHAnsi"/>
        </w:rPr>
        <w:t>(zgodnego</w:t>
      </w:r>
      <w:r w:rsidR="003B50ED">
        <w:rPr>
          <w:rFonts w:eastAsia="Calibri" w:cstheme="minorHAnsi"/>
        </w:rPr>
        <w:t xml:space="preserve"> </w:t>
      </w:r>
      <w:r w:rsidR="00E2372E" w:rsidRPr="00A26C26">
        <w:rPr>
          <w:rFonts w:eastAsia="Calibri" w:cstheme="minorHAnsi"/>
        </w:rPr>
        <w:t>z</w:t>
      </w:r>
      <w:r w:rsidR="003B50ED">
        <w:rPr>
          <w:rFonts w:eastAsia="Calibri" w:cstheme="minorHAnsi"/>
        </w:rPr>
        <w:t xml:space="preserve"> </w:t>
      </w:r>
      <w:r w:rsidR="00E2372E" w:rsidRPr="00A26C26">
        <w:rPr>
          <w:rFonts w:eastAsia="Calibri" w:cstheme="minorHAnsi"/>
        </w:rPr>
        <w:t>obowiązującymi</w:t>
      </w:r>
      <w:r w:rsidR="003B50ED">
        <w:rPr>
          <w:rFonts w:eastAsia="Calibri" w:cstheme="minorHAnsi"/>
        </w:rPr>
        <w:t xml:space="preserve"> </w:t>
      </w:r>
      <w:r w:rsidR="00E2372E" w:rsidRPr="00A26C26">
        <w:rPr>
          <w:rFonts w:eastAsia="Calibri" w:cstheme="minorHAnsi"/>
        </w:rPr>
        <w:t>wytycznymi</w:t>
      </w:r>
      <w:r w:rsidR="003B50ED">
        <w:rPr>
          <w:rFonts w:eastAsia="Calibri" w:cstheme="minorHAnsi"/>
        </w:rPr>
        <w:t xml:space="preserve"> </w:t>
      </w:r>
      <w:r w:rsidR="00E2372E" w:rsidRPr="00A26C26">
        <w:rPr>
          <w:rFonts w:eastAsia="Calibri" w:cstheme="minorHAnsi"/>
        </w:rPr>
        <w:t>oraz</w:t>
      </w:r>
      <w:r w:rsidR="003B50ED">
        <w:rPr>
          <w:rFonts w:eastAsia="Calibri" w:cstheme="minorHAnsi"/>
        </w:rPr>
        <w:t xml:space="preserve"> </w:t>
      </w:r>
      <w:r w:rsidR="00E2372E" w:rsidRPr="00A26C26">
        <w:rPr>
          <w:rFonts w:eastAsia="Calibri" w:cstheme="minorHAnsi"/>
        </w:rPr>
        <w:t>złożonymi</w:t>
      </w:r>
      <w:r w:rsidR="003B50ED">
        <w:rPr>
          <w:rFonts w:eastAsia="Calibri" w:cstheme="minorHAnsi"/>
        </w:rPr>
        <w:t xml:space="preserve"> </w:t>
      </w:r>
      <w:r w:rsidR="00E2372E" w:rsidRPr="00A26C26">
        <w:rPr>
          <w:rFonts w:eastAsia="Calibri" w:cstheme="minorHAnsi"/>
        </w:rPr>
        <w:t>kartami</w:t>
      </w:r>
      <w:r w:rsidR="003B50ED">
        <w:rPr>
          <w:rFonts w:eastAsia="Calibri" w:cstheme="minorHAnsi"/>
        </w:rPr>
        <w:t xml:space="preserve"> </w:t>
      </w:r>
      <w:r w:rsidR="00E2372E" w:rsidRPr="00A26C26">
        <w:rPr>
          <w:rFonts w:eastAsia="Calibri" w:cstheme="minorHAnsi"/>
        </w:rPr>
        <w:t>projektów)</w:t>
      </w:r>
      <w:r w:rsidR="00FB18EA" w:rsidRPr="00A26C26">
        <w:rPr>
          <w:rFonts w:eastAsia="Calibri" w:cstheme="minorHAnsi"/>
        </w:rPr>
        <w:t>.</w:t>
      </w:r>
      <w:r w:rsidR="003B50ED">
        <w:rPr>
          <w:rFonts w:eastAsia="Calibri" w:cstheme="minorHAnsi"/>
        </w:rPr>
        <w:t xml:space="preserve"> </w:t>
      </w:r>
    </w:p>
    <w:p w14:paraId="5229A78B" w14:textId="77777777" w:rsidR="00DB7370" w:rsidRDefault="00FB18EA" w:rsidP="00DB7370">
      <w:pPr>
        <w:spacing w:line="276" w:lineRule="auto"/>
        <w:ind w:firstLine="284"/>
        <w:jc w:val="both"/>
        <w:rPr>
          <w:rFonts w:eastAsia="Calibri" w:cstheme="minorHAnsi"/>
        </w:rPr>
      </w:pPr>
      <w:r w:rsidRPr="00A26C26">
        <w:rPr>
          <w:rFonts w:eastAsia="Calibri" w:cstheme="minorHAnsi"/>
        </w:rPr>
        <w:t>Jednocześnie</w:t>
      </w:r>
      <w:r w:rsidR="003B50ED">
        <w:rPr>
          <w:rFonts w:eastAsia="Calibri" w:cstheme="minorHAnsi"/>
        </w:rPr>
        <w:t xml:space="preserve"> </w:t>
      </w:r>
      <w:r w:rsidRPr="00A26C26">
        <w:rPr>
          <w:rFonts w:eastAsia="Calibri" w:cstheme="minorHAnsi"/>
        </w:rPr>
        <w:t>szeroka</w:t>
      </w:r>
      <w:r w:rsidR="003B50ED">
        <w:rPr>
          <w:rFonts w:eastAsia="Calibri" w:cstheme="minorHAnsi"/>
        </w:rPr>
        <w:t xml:space="preserve"> </w:t>
      </w:r>
      <w:r w:rsidRPr="00A26C26">
        <w:rPr>
          <w:rFonts w:eastAsia="Calibri" w:cstheme="minorHAnsi"/>
        </w:rPr>
        <w:t>gama</w:t>
      </w:r>
      <w:r w:rsidR="003B50ED">
        <w:rPr>
          <w:rFonts w:eastAsia="Calibri" w:cstheme="minorHAnsi"/>
        </w:rPr>
        <w:t xml:space="preserve"> </w:t>
      </w:r>
      <w:r w:rsidRPr="00A26C26">
        <w:rPr>
          <w:rFonts w:eastAsia="Calibri" w:cstheme="minorHAnsi"/>
        </w:rPr>
        <w:t>podejmowanych</w:t>
      </w:r>
      <w:r w:rsidR="003B50ED">
        <w:rPr>
          <w:rFonts w:eastAsia="Calibri" w:cstheme="minorHAnsi"/>
        </w:rPr>
        <w:t xml:space="preserve"> </w:t>
      </w:r>
      <w:r w:rsidRPr="00A26C26">
        <w:rPr>
          <w:rFonts w:eastAsia="Calibri" w:cstheme="minorHAnsi"/>
        </w:rPr>
        <w:t>tematów</w:t>
      </w:r>
      <w:r w:rsidR="003B50ED">
        <w:rPr>
          <w:rFonts w:eastAsia="Calibri" w:cstheme="minorHAnsi"/>
        </w:rPr>
        <w:t xml:space="preserve"> </w:t>
      </w:r>
      <w:r w:rsidRPr="00A26C26">
        <w:rPr>
          <w:rFonts w:eastAsia="Calibri" w:cstheme="minorHAnsi"/>
        </w:rPr>
        <w:t>nie</w:t>
      </w:r>
      <w:r w:rsidR="003B50ED">
        <w:rPr>
          <w:rFonts w:eastAsia="Calibri" w:cstheme="minorHAnsi"/>
        </w:rPr>
        <w:t xml:space="preserve"> </w:t>
      </w:r>
      <w:r w:rsidRPr="00A26C26">
        <w:rPr>
          <w:rFonts w:eastAsia="Calibri" w:cstheme="minorHAnsi"/>
        </w:rPr>
        <w:t>jest</w:t>
      </w:r>
      <w:r w:rsidR="003B50ED">
        <w:rPr>
          <w:rFonts w:eastAsia="Calibri" w:cstheme="minorHAnsi"/>
        </w:rPr>
        <w:t xml:space="preserve"> </w:t>
      </w:r>
      <w:r w:rsidRPr="00A26C26">
        <w:rPr>
          <w:rFonts w:eastAsia="Calibri" w:cstheme="minorHAnsi"/>
        </w:rPr>
        <w:t>równoznaczna</w:t>
      </w:r>
      <w:r w:rsidR="003B50ED">
        <w:rPr>
          <w:rFonts w:eastAsia="Calibri" w:cstheme="minorHAnsi"/>
        </w:rPr>
        <w:t xml:space="preserve"> </w:t>
      </w:r>
      <w:r w:rsidRPr="00A26C26">
        <w:rPr>
          <w:rFonts w:eastAsia="Calibri" w:cstheme="minorHAnsi"/>
        </w:rPr>
        <w:t>z</w:t>
      </w:r>
      <w:r w:rsidR="003B50ED">
        <w:rPr>
          <w:rFonts w:eastAsia="Calibri" w:cstheme="minorHAnsi"/>
        </w:rPr>
        <w:t xml:space="preserve"> </w:t>
      </w:r>
      <w:r w:rsidRPr="00A26C26">
        <w:rPr>
          <w:rFonts w:eastAsia="Calibri" w:cstheme="minorHAnsi"/>
        </w:rPr>
        <w:t>ostatecznym</w:t>
      </w:r>
      <w:r w:rsidR="003B50ED">
        <w:rPr>
          <w:rFonts w:eastAsia="Calibri" w:cstheme="minorHAnsi"/>
        </w:rPr>
        <w:t xml:space="preserve"> </w:t>
      </w:r>
      <w:r w:rsidRPr="00A26C26">
        <w:rPr>
          <w:rFonts w:eastAsia="Calibri" w:cstheme="minorHAnsi"/>
        </w:rPr>
        <w:t>odzwierciedleniem</w:t>
      </w:r>
      <w:r w:rsidR="003B50ED">
        <w:rPr>
          <w:rFonts w:eastAsia="Calibri" w:cstheme="minorHAnsi"/>
        </w:rPr>
        <w:t xml:space="preserve"> </w:t>
      </w:r>
      <w:r w:rsidR="00E9263F" w:rsidRPr="00A26C26">
        <w:rPr>
          <w:rFonts w:eastAsia="Calibri" w:cstheme="minorHAnsi"/>
        </w:rPr>
        <w:t>ich</w:t>
      </w:r>
      <w:r w:rsidR="003B50ED">
        <w:rPr>
          <w:rFonts w:eastAsia="Calibri" w:cstheme="minorHAnsi"/>
        </w:rPr>
        <w:t xml:space="preserve"> </w:t>
      </w:r>
      <w:r w:rsidR="00E9263F" w:rsidRPr="00A26C26">
        <w:rPr>
          <w:rFonts w:eastAsia="Calibri" w:cstheme="minorHAnsi"/>
        </w:rPr>
        <w:t>w</w:t>
      </w:r>
      <w:r w:rsidR="003B50ED">
        <w:rPr>
          <w:rFonts w:eastAsia="Calibri" w:cstheme="minorHAnsi"/>
        </w:rPr>
        <w:t xml:space="preserve"> </w:t>
      </w:r>
      <w:r w:rsidR="00E9263F" w:rsidRPr="00A26C26">
        <w:rPr>
          <w:rFonts w:eastAsia="Calibri" w:cstheme="minorHAnsi"/>
        </w:rPr>
        <w:t>LSR.</w:t>
      </w:r>
      <w:r w:rsidR="003B50ED">
        <w:rPr>
          <w:rFonts w:eastAsia="Calibri" w:cstheme="minorHAnsi"/>
        </w:rPr>
        <w:t xml:space="preserve"> </w:t>
      </w:r>
      <w:r w:rsidR="00E9263F" w:rsidRPr="00A26C26">
        <w:rPr>
          <w:rFonts w:eastAsia="Calibri" w:cstheme="minorHAnsi"/>
        </w:rPr>
        <w:t>W</w:t>
      </w:r>
      <w:r w:rsidR="003B50ED">
        <w:rPr>
          <w:rFonts w:eastAsia="Calibri" w:cstheme="minorHAnsi"/>
        </w:rPr>
        <w:t xml:space="preserve"> </w:t>
      </w:r>
      <w:r w:rsidR="00E9263F" w:rsidRPr="00A26C26">
        <w:rPr>
          <w:rFonts w:eastAsia="Calibri" w:cstheme="minorHAnsi"/>
        </w:rPr>
        <w:t>wyniku</w:t>
      </w:r>
      <w:r w:rsidR="003B50ED">
        <w:rPr>
          <w:rFonts w:eastAsia="Calibri" w:cstheme="minorHAnsi"/>
        </w:rPr>
        <w:t xml:space="preserve"> </w:t>
      </w:r>
      <w:r w:rsidR="00E9263F" w:rsidRPr="00A26C26">
        <w:rPr>
          <w:rFonts w:eastAsia="Calibri" w:cstheme="minorHAnsi"/>
        </w:rPr>
        <w:t>dokonanej</w:t>
      </w:r>
      <w:r w:rsidR="003B50ED">
        <w:rPr>
          <w:rFonts w:eastAsia="Calibri" w:cstheme="minorHAnsi"/>
        </w:rPr>
        <w:t xml:space="preserve"> </w:t>
      </w:r>
      <w:r w:rsidR="00E9263F" w:rsidRPr="00A26C26">
        <w:rPr>
          <w:rFonts w:eastAsia="Calibri" w:cstheme="minorHAnsi"/>
        </w:rPr>
        <w:t>analizy</w:t>
      </w:r>
      <w:r w:rsidR="003B50ED">
        <w:rPr>
          <w:rFonts w:eastAsia="Calibri" w:cstheme="minorHAnsi"/>
        </w:rPr>
        <w:t xml:space="preserve"> </w:t>
      </w:r>
      <w:r w:rsidR="00E9263F" w:rsidRPr="00A26C26">
        <w:rPr>
          <w:rFonts w:eastAsia="Calibri" w:cstheme="minorHAnsi"/>
        </w:rPr>
        <w:t>zebranego</w:t>
      </w:r>
      <w:r w:rsidR="003B50ED">
        <w:rPr>
          <w:rFonts w:eastAsia="Calibri" w:cstheme="minorHAnsi"/>
        </w:rPr>
        <w:t xml:space="preserve"> </w:t>
      </w:r>
      <w:r w:rsidR="00E9263F" w:rsidRPr="00A26C26">
        <w:rPr>
          <w:rFonts w:eastAsia="Calibri" w:cstheme="minorHAnsi"/>
        </w:rPr>
        <w:t>materiału,</w:t>
      </w:r>
      <w:r w:rsidR="003B50ED">
        <w:rPr>
          <w:rFonts w:eastAsia="Calibri" w:cstheme="minorHAnsi"/>
        </w:rPr>
        <w:t xml:space="preserve"> </w:t>
      </w:r>
      <w:r w:rsidR="00B870C2" w:rsidRPr="00A26C26">
        <w:rPr>
          <w:rFonts w:eastAsia="Calibri" w:cstheme="minorHAnsi"/>
        </w:rPr>
        <w:t>w</w:t>
      </w:r>
      <w:r w:rsidR="003B50ED">
        <w:rPr>
          <w:rFonts w:eastAsia="Calibri" w:cstheme="minorHAnsi"/>
        </w:rPr>
        <w:t xml:space="preserve"> </w:t>
      </w:r>
      <w:r w:rsidR="00B870C2" w:rsidRPr="00A26C26">
        <w:rPr>
          <w:rFonts w:eastAsia="Calibri" w:cstheme="minorHAnsi"/>
        </w:rPr>
        <w:t>LSR</w:t>
      </w:r>
      <w:r w:rsidR="003B50ED">
        <w:rPr>
          <w:rFonts w:eastAsia="Calibri" w:cstheme="minorHAnsi"/>
        </w:rPr>
        <w:t xml:space="preserve"> </w:t>
      </w:r>
      <w:r w:rsidR="00B870C2" w:rsidRPr="00A26C26">
        <w:rPr>
          <w:rFonts w:eastAsia="Calibri" w:cstheme="minorHAnsi"/>
        </w:rPr>
        <w:t>zostały</w:t>
      </w:r>
      <w:r w:rsidR="003B50ED">
        <w:rPr>
          <w:rFonts w:eastAsia="Calibri" w:cstheme="minorHAnsi"/>
        </w:rPr>
        <w:t xml:space="preserve"> </w:t>
      </w:r>
      <w:r w:rsidR="00B870C2" w:rsidRPr="00A26C26">
        <w:rPr>
          <w:rFonts w:eastAsia="Calibri" w:cstheme="minorHAnsi"/>
        </w:rPr>
        <w:t>zawarte</w:t>
      </w:r>
      <w:r w:rsidR="003B50ED">
        <w:rPr>
          <w:rFonts w:eastAsia="Calibri" w:cstheme="minorHAnsi"/>
        </w:rPr>
        <w:t xml:space="preserve"> </w:t>
      </w:r>
      <w:r w:rsidR="00B870C2" w:rsidRPr="00A26C26">
        <w:rPr>
          <w:rFonts w:eastAsia="Calibri" w:cstheme="minorHAnsi"/>
        </w:rPr>
        <w:t>najistotniejsze</w:t>
      </w:r>
      <w:r w:rsidR="003B50ED">
        <w:rPr>
          <w:rFonts w:eastAsia="Calibri" w:cstheme="minorHAnsi"/>
        </w:rPr>
        <w:t xml:space="preserve"> </w:t>
      </w:r>
      <w:r w:rsidR="00B870C2" w:rsidRPr="00A26C26">
        <w:rPr>
          <w:rFonts w:eastAsia="Calibri" w:cstheme="minorHAnsi"/>
        </w:rPr>
        <w:t>kwestie,</w:t>
      </w:r>
      <w:r w:rsidR="003B50ED">
        <w:rPr>
          <w:rFonts w:eastAsia="Calibri" w:cstheme="minorHAnsi"/>
        </w:rPr>
        <w:t xml:space="preserve"> </w:t>
      </w:r>
      <w:r w:rsidR="00B870C2" w:rsidRPr="00A26C26">
        <w:rPr>
          <w:rFonts w:eastAsia="Calibri" w:cstheme="minorHAnsi"/>
        </w:rPr>
        <w:t>w</w:t>
      </w:r>
      <w:r w:rsidR="003B50ED">
        <w:rPr>
          <w:rFonts w:eastAsia="Calibri" w:cstheme="minorHAnsi"/>
        </w:rPr>
        <w:t xml:space="preserve"> </w:t>
      </w:r>
      <w:r w:rsidR="00B870C2" w:rsidRPr="00A26C26">
        <w:rPr>
          <w:rFonts w:eastAsia="Calibri" w:cstheme="minorHAnsi"/>
        </w:rPr>
        <w:t>tym</w:t>
      </w:r>
      <w:r w:rsidR="003B50ED">
        <w:rPr>
          <w:rFonts w:eastAsia="Calibri" w:cstheme="minorHAnsi"/>
        </w:rPr>
        <w:t xml:space="preserve"> </w:t>
      </w:r>
      <w:r w:rsidR="00B870C2" w:rsidRPr="00A26C26">
        <w:rPr>
          <w:rFonts w:eastAsia="Calibri" w:cstheme="minorHAnsi"/>
        </w:rPr>
        <w:t>obligatoryjnie</w:t>
      </w:r>
      <w:r w:rsidR="003B50ED">
        <w:rPr>
          <w:rFonts w:eastAsia="Calibri" w:cstheme="minorHAnsi"/>
        </w:rPr>
        <w:t xml:space="preserve"> </w:t>
      </w:r>
      <w:r w:rsidR="00B870C2" w:rsidRPr="00A26C26">
        <w:rPr>
          <w:rFonts w:eastAsia="Calibri" w:cstheme="minorHAnsi"/>
        </w:rPr>
        <w:t>wynikające</w:t>
      </w:r>
      <w:r w:rsidR="003B50ED">
        <w:rPr>
          <w:rFonts w:eastAsia="Calibri" w:cstheme="minorHAnsi"/>
        </w:rPr>
        <w:t xml:space="preserve"> </w:t>
      </w:r>
      <w:r w:rsidR="00B870C2" w:rsidRPr="00A26C26">
        <w:rPr>
          <w:rFonts w:eastAsia="Calibri" w:cstheme="minorHAnsi"/>
        </w:rPr>
        <w:t>z</w:t>
      </w:r>
      <w:r w:rsidR="003B50ED">
        <w:rPr>
          <w:rFonts w:eastAsia="Calibri" w:cstheme="minorHAnsi"/>
        </w:rPr>
        <w:t xml:space="preserve"> </w:t>
      </w:r>
      <w:r w:rsidR="00B870C2" w:rsidRPr="00A26C26">
        <w:rPr>
          <w:rFonts w:eastAsia="Calibri" w:cstheme="minorHAnsi"/>
        </w:rPr>
        <w:t>obowiązujących</w:t>
      </w:r>
      <w:r w:rsidR="003B50ED">
        <w:rPr>
          <w:rFonts w:eastAsia="Calibri" w:cstheme="minorHAnsi"/>
        </w:rPr>
        <w:t xml:space="preserve"> </w:t>
      </w:r>
      <w:r w:rsidR="00B870C2" w:rsidRPr="00A26C26">
        <w:rPr>
          <w:rFonts w:eastAsia="Calibri" w:cstheme="minorHAnsi"/>
        </w:rPr>
        <w:t>procedur</w:t>
      </w:r>
      <w:r w:rsidR="003B50ED">
        <w:rPr>
          <w:rFonts w:eastAsia="Calibri" w:cstheme="minorHAnsi"/>
        </w:rPr>
        <w:t xml:space="preserve"> </w:t>
      </w:r>
      <w:r w:rsidR="00833C0B" w:rsidRPr="00A26C26">
        <w:rPr>
          <w:rFonts w:eastAsia="Calibri" w:cstheme="minorHAnsi"/>
        </w:rPr>
        <w:t>i</w:t>
      </w:r>
      <w:r w:rsidR="003B50ED">
        <w:rPr>
          <w:rFonts w:eastAsia="Calibri" w:cstheme="minorHAnsi"/>
        </w:rPr>
        <w:t xml:space="preserve"> </w:t>
      </w:r>
      <w:r w:rsidR="00833C0B" w:rsidRPr="00A26C26">
        <w:rPr>
          <w:rFonts w:eastAsia="Calibri" w:cstheme="minorHAnsi"/>
        </w:rPr>
        <w:t>Wytycznych.</w:t>
      </w:r>
      <w:r w:rsidR="003B50ED">
        <w:rPr>
          <w:rFonts w:eastAsia="Calibri" w:cstheme="minorHAnsi"/>
        </w:rPr>
        <w:t xml:space="preserve"> </w:t>
      </w:r>
    </w:p>
    <w:p w14:paraId="3C6FD247" w14:textId="12CD33AB" w:rsidR="00DB7370" w:rsidRDefault="00027186" w:rsidP="00DB7370">
      <w:pPr>
        <w:spacing w:line="276" w:lineRule="auto"/>
        <w:ind w:firstLine="284"/>
        <w:jc w:val="both"/>
        <w:rPr>
          <w:rFonts w:eastAsia="Calibri" w:cstheme="minorHAnsi"/>
        </w:rPr>
      </w:pPr>
      <w:r w:rsidRPr="00A26C26">
        <w:rPr>
          <w:rFonts w:eastAsia="Calibri" w:cstheme="minorHAnsi"/>
        </w:rPr>
        <w:t>Z</w:t>
      </w:r>
      <w:r w:rsidR="003B50ED">
        <w:rPr>
          <w:rFonts w:eastAsia="Calibri" w:cstheme="minorHAnsi"/>
        </w:rPr>
        <w:t xml:space="preserve"> </w:t>
      </w:r>
      <w:r w:rsidRPr="00A26C26">
        <w:rPr>
          <w:rFonts w:eastAsia="Calibri" w:cstheme="minorHAnsi"/>
        </w:rPr>
        <w:t>kolei</w:t>
      </w:r>
      <w:r w:rsidR="003B50ED">
        <w:rPr>
          <w:rFonts w:eastAsia="Calibri" w:cstheme="minorHAnsi"/>
          <w:b/>
          <w:bCs/>
        </w:rPr>
        <w:t xml:space="preserve"> </w:t>
      </w:r>
      <w:r w:rsidRPr="00A26C26">
        <w:rPr>
          <w:rFonts w:eastAsia="Calibri" w:cstheme="minorHAnsi"/>
          <w:b/>
          <w:bCs/>
        </w:rPr>
        <w:t>karty</w:t>
      </w:r>
      <w:r w:rsidR="003B50ED">
        <w:rPr>
          <w:rFonts w:eastAsia="Calibri" w:cstheme="minorHAnsi"/>
          <w:b/>
          <w:bCs/>
        </w:rPr>
        <w:t xml:space="preserve"> </w:t>
      </w:r>
      <w:r w:rsidRPr="00A26C26">
        <w:rPr>
          <w:rFonts w:eastAsia="Calibri" w:cstheme="minorHAnsi"/>
          <w:b/>
          <w:bCs/>
        </w:rPr>
        <w:t>pomysłu</w:t>
      </w:r>
      <w:r w:rsidR="003B50ED">
        <w:rPr>
          <w:rFonts w:eastAsia="Calibri" w:cstheme="minorHAnsi"/>
          <w:b/>
          <w:bCs/>
        </w:rPr>
        <w:t xml:space="preserve"> </w:t>
      </w:r>
      <w:r w:rsidRPr="00A26C26">
        <w:rPr>
          <w:rFonts w:eastAsia="Calibri" w:cstheme="minorHAnsi"/>
          <w:b/>
          <w:bCs/>
        </w:rPr>
        <w:t>(tzw.</w:t>
      </w:r>
      <w:r w:rsidR="003B50ED">
        <w:rPr>
          <w:rFonts w:eastAsia="Calibri" w:cstheme="minorHAnsi"/>
          <w:b/>
          <w:bCs/>
        </w:rPr>
        <w:t xml:space="preserve"> </w:t>
      </w:r>
      <w:r w:rsidRPr="00A26C26">
        <w:rPr>
          <w:rFonts w:eastAsia="Calibri" w:cstheme="minorHAnsi"/>
          <w:b/>
          <w:bCs/>
        </w:rPr>
        <w:t>fiszki</w:t>
      </w:r>
      <w:r w:rsidR="003B50ED">
        <w:rPr>
          <w:rFonts w:eastAsia="Calibri" w:cstheme="minorHAnsi"/>
          <w:b/>
          <w:bCs/>
        </w:rPr>
        <w:t xml:space="preserve"> </w:t>
      </w:r>
      <w:r w:rsidRPr="00A26C26">
        <w:rPr>
          <w:rFonts w:eastAsia="Calibri" w:cstheme="minorHAnsi"/>
          <w:b/>
          <w:bCs/>
        </w:rPr>
        <w:t>projektowe)</w:t>
      </w:r>
      <w:r w:rsidR="003B50ED">
        <w:rPr>
          <w:rFonts w:eastAsia="Calibri" w:cstheme="minorHAnsi"/>
        </w:rPr>
        <w:t xml:space="preserve"> </w:t>
      </w:r>
      <w:r w:rsidRPr="00A26C26">
        <w:rPr>
          <w:rFonts w:eastAsia="Calibri" w:cstheme="minorHAnsi"/>
        </w:rPr>
        <w:t>umożliwiały</w:t>
      </w:r>
      <w:r w:rsidR="003B50ED">
        <w:rPr>
          <w:rFonts w:eastAsia="Calibri" w:cstheme="minorHAnsi"/>
        </w:rPr>
        <w:t xml:space="preserve"> </w:t>
      </w:r>
      <w:r w:rsidRPr="00A26C26">
        <w:rPr>
          <w:rFonts w:eastAsia="Calibri" w:cstheme="minorHAnsi"/>
        </w:rPr>
        <w:t>opisanie</w:t>
      </w:r>
      <w:r w:rsidR="003B50ED">
        <w:rPr>
          <w:rFonts w:eastAsia="Calibri" w:cstheme="minorHAnsi"/>
        </w:rPr>
        <w:t xml:space="preserve"> </w:t>
      </w:r>
      <w:r w:rsidRPr="00A26C26">
        <w:rPr>
          <w:rFonts w:eastAsia="Calibri" w:cstheme="minorHAnsi"/>
        </w:rPr>
        <w:t>zamierzonych</w:t>
      </w:r>
      <w:r w:rsidR="003B50ED">
        <w:rPr>
          <w:rFonts w:eastAsia="Calibri" w:cstheme="minorHAnsi"/>
        </w:rPr>
        <w:t xml:space="preserve"> </w:t>
      </w:r>
      <w:r w:rsidRPr="00A26C26">
        <w:rPr>
          <w:rFonts w:eastAsia="Calibri" w:cstheme="minorHAnsi"/>
        </w:rPr>
        <w:t>działań</w:t>
      </w:r>
      <w:r w:rsidR="003B50ED">
        <w:rPr>
          <w:rFonts w:eastAsia="Calibri" w:cstheme="minorHAnsi"/>
        </w:rPr>
        <w:t xml:space="preserve"> </w:t>
      </w:r>
      <w:r w:rsidRPr="00A26C26">
        <w:rPr>
          <w:rFonts w:eastAsia="Calibri" w:cstheme="minorHAnsi"/>
        </w:rPr>
        <w:t>na</w:t>
      </w:r>
      <w:r w:rsidR="003B50ED">
        <w:rPr>
          <w:rFonts w:eastAsia="Calibri" w:cstheme="minorHAnsi"/>
        </w:rPr>
        <w:t xml:space="preserve"> </w:t>
      </w:r>
      <w:r w:rsidRPr="00A26C26">
        <w:rPr>
          <w:rFonts w:eastAsia="Calibri" w:cstheme="minorHAnsi"/>
        </w:rPr>
        <w:t>przyszłość.</w:t>
      </w:r>
      <w:r w:rsidR="003B50ED">
        <w:rPr>
          <w:rFonts w:eastAsia="Calibri" w:cstheme="minorHAnsi"/>
        </w:rPr>
        <w:t xml:space="preserve"> </w:t>
      </w:r>
      <w:r w:rsidRPr="00A26C26">
        <w:rPr>
          <w:rFonts w:eastAsia="Calibri" w:cstheme="minorHAnsi"/>
        </w:rPr>
        <w:t>Kartę</w:t>
      </w:r>
      <w:r w:rsidR="003B50ED">
        <w:rPr>
          <w:rFonts w:eastAsia="Calibri" w:cstheme="minorHAnsi"/>
        </w:rPr>
        <w:t xml:space="preserve"> </w:t>
      </w:r>
      <w:r w:rsidRPr="00A26C26">
        <w:rPr>
          <w:rFonts w:eastAsia="Calibri" w:cstheme="minorHAnsi"/>
        </w:rPr>
        <w:t>pomysłu</w:t>
      </w:r>
      <w:r w:rsidR="003B50ED">
        <w:rPr>
          <w:rFonts w:eastAsia="Calibri" w:cstheme="minorHAnsi"/>
        </w:rPr>
        <w:t xml:space="preserve"> </w:t>
      </w:r>
      <w:r w:rsidRPr="00A26C26">
        <w:rPr>
          <w:rFonts w:eastAsia="Calibri" w:cstheme="minorHAnsi"/>
        </w:rPr>
        <w:t>mógł</w:t>
      </w:r>
      <w:r w:rsidR="003B50ED">
        <w:rPr>
          <w:rFonts w:eastAsia="Calibri" w:cstheme="minorHAnsi"/>
        </w:rPr>
        <w:t xml:space="preserve"> </w:t>
      </w:r>
      <w:r w:rsidRPr="00A26C26">
        <w:rPr>
          <w:rFonts w:eastAsia="Calibri" w:cstheme="minorHAnsi"/>
        </w:rPr>
        <w:t>złożyć</w:t>
      </w:r>
      <w:r w:rsidR="003B50ED">
        <w:rPr>
          <w:rFonts w:eastAsia="Calibri" w:cstheme="minorHAnsi"/>
        </w:rPr>
        <w:t xml:space="preserve"> </w:t>
      </w:r>
      <w:r w:rsidRPr="00A26C26">
        <w:rPr>
          <w:rFonts w:eastAsia="Calibri" w:cstheme="minorHAnsi"/>
        </w:rPr>
        <w:t>każdy</w:t>
      </w:r>
      <w:r w:rsidR="003B50ED">
        <w:rPr>
          <w:rFonts w:eastAsia="Calibri" w:cstheme="minorHAnsi"/>
        </w:rPr>
        <w:t xml:space="preserve"> </w:t>
      </w:r>
      <w:r w:rsidRPr="00A26C26">
        <w:rPr>
          <w:rFonts w:eastAsia="Calibri" w:cstheme="minorHAnsi"/>
        </w:rPr>
        <w:t>podmiot</w:t>
      </w:r>
      <w:r w:rsidR="003B50ED">
        <w:rPr>
          <w:rFonts w:eastAsia="Calibri" w:cstheme="minorHAnsi"/>
        </w:rPr>
        <w:t xml:space="preserve"> </w:t>
      </w:r>
      <w:r w:rsidRPr="00A26C26">
        <w:rPr>
          <w:rFonts w:eastAsia="Calibri" w:cstheme="minorHAnsi"/>
        </w:rPr>
        <w:t>(również</w:t>
      </w:r>
      <w:r w:rsidR="003B50ED">
        <w:rPr>
          <w:rFonts w:eastAsia="Calibri" w:cstheme="minorHAnsi"/>
        </w:rPr>
        <w:t xml:space="preserve"> </w:t>
      </w:r>
      <w:r w:rsidRPr="00A26C26">
        <w:rPr>
          <w:rFonts w:eastAsia="Calibri" w:cstheme="minorHAnsi"/>
        </w:rPr>
        <w:t>osoby</w:t>
      </w:r>
      <w:r w:rsidR="003B50ED">
        <w:rPr>
          <w:rFonts w:eastAsia="Calibri" w:cstheme="minorHAnsi"/>
        </w:rPr>
        <w:t xml:space="preserve"> </w:t>
      </w:r>
      <w:r w:rsidRPr="00A26C26">
        <w:rPr>
          <w:rFonts w:eastAsia="Calibri" w:cstheme="minorHAnsi"/>
        </w:rPr>
        <w:t>fizyczne)</w:t>
      </w:r>
      <w:r w:rsidR="003B50ED">
        <w:rPr>
          <w:rFonts w:eastAsia="Calibri" w:cstheme="minorHAnsi"/>
        </w:rPr>
        <w:t xml:space="preserve"> </w:t>
      </w:r>
      <w:r w:rsidRPr="00A26C26">
        <w:rPr>
          <w:rFonts w:eastAsia="Calibri" w:cstheme="minorHAnsi"/>
        </w:rPr>
        <w:t>zainteresowany</w:t>
      </w:r>
      <w:r w:rsidR="003B50ED">
        <w:rPr>
          <w:rFonts w:eastAsia="Calibri" w:cstheme="minorHAnsi"/>
        </w:rPr>
        <w:t xml:space="preserve"> </w:t>
      </w:r>
      <w:r w:rsidRPr="00A26C26">
        <w:rPr>
          <w:rFonts w:eastAsia="Calibri" w:cstheme="minorHAnsi"/>
        </w:rPr>
        <w:t>pozyskaniem</w:t>
      </w:r>
      <w:r w:rsidR="003B50ED">
        <w:rPr>
          <w:rFonts w:eastAsia="Calibri" w:cstheme="minorHAnsi"/>
        </w:rPr>
        <w:t xml:space="preserve"> </w:t>
      </w:r>
      <w:r w:rsidRPr="00A26C26">
        <w:rPr>
          <w:rFonts w:eastAsia="Calibri" w:cstheme="minorHAnsi"/>
        </w:rPr>
        <w:t>dofinansowania</w:t>
      </w:r>
      <w:r w:rsidR="003B50ED">
        <w:rPr>
          <w:rFonts w:eastAsia="Calibri" w:cstheme="minorHAnsi"/>
        </w:rPr>
        <w:t xml:space="preserve"> </w:t>
      </w:r>
      <w:r w:rsidRPr="00A26C26">
        <w:rPr>
          <w:rFonts w:eastAsia="Calibri" w:cstheme="minorHAnsi"/>
        </w:rPr>
        <w:br/>
        <w:t>z</w:t>
      </w:r>
      <w:r w:rsidR="003B50ED">
        <w:rPr>
          <w:rFonts w:eastAsia="Calibri" w:cstheme="minorHAnsi"/>
        </w:rPr>
        <w:t xml:space="preserve"> </w:t>
      </w:r>
      <w:r w:rsidRPr="00A26C26">
        <w:rPr>
          <w:rFonts w:eastAsia="Calibri" w:cstheme="minorHAnsi"/>
        </w:rPr>
        <w:t>budżetu</w:t>
      </w:r>
      <w:r w:rsidR="003B50ED">
        <w:rPr>
          <w:rFonts w:eastAsia="Calibri" w:cstheme="minorHAnsi"/>
        </w:rPr>
        <w:t xml:space="preserve"> </w:t>
      </w:r>
      <w:r w:rsidRPr="00A26C26">
        <w:rPr>
          <w:rFonts w:eastAsia="Calibri" w:cstheme="minorHAnsi"/>
        </w:rPr>
        <w:t>LSR</w:t>
      </w:r>
      <w:r w:rsidR="003B50ED">
        <w:rPr>
          <w:rFonts w:eastAsia="Calibri" w:cstheme="minorHAnsi"/>
        </w:rPr>
        <w:t xml:space="preserve"> </w:t>
      </w:r>
      <w:r w:rsidRPr="00A26C26">
        <w:rPr>
          <w:rFonts w:eastAsia="Calibri" w:cstheme="minorHAnsi"/>
        </w:rPr>
        <w:t>tym</w:t>
      </w:r>
      <w:r w:rsidR="003B50ED">
        <w:rPr>
          <w:rFonts w:eastAsia="Calibri" w:cstheme="minorHAnsi"/>
        </w:rPr>
        <w:t xml:space="preserve"> </w:t>
      </w:r>
      <w:r w:rsidRPr="00A26C26">
        <w:rPr>
          <w:rFonts w:eastAsia="Calibri" w:cstheme="minorHAnsi"/>
        </w:rPr>
        <w:t>osoby</w:t>
      </w:r>
      <w:r w:rsidR="003B50ED">
        <w:rPr>
          <w:rFonts w:eastAsia="Calibri" w:cstheme="minorHAnsi"/>
        </w:rPr>
        <w:t xml:space="preserve"> </w:t>
      </w:r>
      <w:r w:rsidRPr="00A26C26">
        <w:rPr>
          <w:rFonts w:eastAsia="Calibri" w:cstheme="minorHAnsi"/>
        </w:rPr>
        <w:t>młode,</w:t>
      </w:r>
      <w:r w:rsidR="003B50ED">
        <w:rPr>
          <w:rFonts w:eastAsia="Calibri" w:cstheme="minorHAnsi"/>
        </w:rPr>
        <w:t xml:space="preserve"> </w:t>
      </w:r>
      <w:r w:rsidRPr="00A26C26">
        <w:rPr>
          <w:rFonts w:eastAsia="Calibri" w:cstheme="minorHAnsi"/>
        </w:rPr>
        <w:t>seniorzy,</w:t>
      </w:r>
      <w:r w:rsidR="003B50ED">
        <w:rPr>
          <w:rFonts w:eastAsia="Calibri" w:cstheme="minorHAnsi"/>
        </w:rPr>
        <w:t xml:space="preserve"> </w:t>
      </w:r>
      <w:r w:rsidRPr="00A26C26">
        <w:rPr>
          <w:rFonts w:eastAsia="Calibri" w:cstheme="minorHAnsi"/>
        </w:rPr>
        <w:t>osoby</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00AB742D">
        <w:rPr>
          <w:rFonts w:eastAsia="Calibri" w:cstheme="minorHAnsi"/>
        </w:rPr>
        <w:t>niekorzyst</w:t>
      </w:r>
      <w:r w:rsidRPr="00A26C26">
        <w:rPr>
          <w:rFonts w:eastAsia="Calibri" w:cstheme="minorHAnsi"/>
        </w:rPr>
        <w:t>nej</w:t>
      </w:r>
      <w:r w:rsidR="003B50ED">
        <w:rPr>
          <w:rFonts w:eastAsia="Calibri" w:cstheme="minorHAnsi"/>
        </w:rPr>
        <w:t xml:space="preserve"> </w:t>
      </w:r>
      <w:r w:rsidRPr="00A26C26">
        <w:rPr>
          <w:rFonts w:eastAsia="Calibri" w:cstheme="minorHAnsi"/>
        </w:rPr>
        <w:t>sytuacji</w:t>
      </w:r>
      <w:r w:rsidR="003B50ED">
        <w:rPr>
          <w:rFonts w:eastAsia="Calibri" w:cstheme="minorHAnsi"/>
        </w:rPr>
        <w:t xml:space="preserve"> </w:t>
      </w:r>
      <w:r w:rsidRPr="00A26C26">
        <w:rPr>
          <w:rFonts w:eastAsia="Calibri" w:cstheme="minorHAnsi"/>
        </w:rPr>
        <w:t>tj.:</w:t>
      </w:r>
      <w:r w:rsidR="003B50ED">
        <w:rPr>
          <w:rFonts w:eastAsia="Calibri" w:cstheme="minorHAnsi"/>
        </w:rPr>
        <w:t xml:space="preserve"> </w:t>
      </w:r>
      <w:r w:rsidRPr="00A26C26">
        <w:rPr>
          <w:rFonts w:eastAsia="Calibri" w:cstheme="minorHAnsi"/>
        </w:rPr>
        <w:t>osoby</w:t>
      </w:r>
      <w:r w:rsidR="003B50ED">
        <w:rPr>
          <w:rFonts w:eastAsia="Calibri" w:cstheme="minorHAnsi"/>
        </w:rPr>
        <w:t xml:space="preserve"> </w:t>
      </w:r>
      <w:r w:rsidRPr="00A26C26">
        <w:rPr>
          <w:rFonts w:eastAsia="Calibri" w:cstheme="minorHAnsi"/>
        </w:rPr>
        <w:t>z</w:t>
      </w:r>
      <w:r w:rsidR="003B50ED">
        <w:rPr>
          <w:rFonts w:eastAsia="Calibri" w:cstheme="minorHAnsi"/>
        </w:rPr>
        <w:t xml:space="preserve"> </w:t>
      </w:r>
      <w:r w:rsidRPr="00A26C26">
        <w:rPr>
          <w:rFonts w:eastAsia="Calibri" w:cstheme="minorHAnsi"/>
        </w:rPr>
        <w:t>niepełnosprawnościami</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ich</w:t>
      </w:r>
      <w:r w:rsidR="003B50ED">
        <w:rPr>
          <w:rFonts w:eastAsia="Calibri" w:cstheme="minorHAnsi"/>
        </w:rPr>
        <w:t xml:space="preserve"> </w:t>
      </w:r>
      <w:r w:rsidRPr="00A26C26">
        <w:rPr>
          <w:rFonts w:eastAsia="Calibri" w:cstheme="minorHAnsi"/>
        </w:rPr>
        <w:t>opiekunowie,</w:t>
      </w:r>
      <w:r w:rsidR="003B50ED">
        <w:rPr>
          <w:rFonts w:eastAsia="Calibri" w:cstheme="minorHAnsi"/>
        </w:rPr>
        <w:t xml:space="preserve"> </w:t>
      </w:r>
      <w:r w:rsidRPr="00A26C26">
        <w:rPr>
          <w:rFonts w:eastAsia="Calibri" w:cstheme="minorHAnsi"/>
        </w:rPr>
        <w:t>kobiety,</w:t>
      </w:r>
      <w:r w:rsidR="003B50ED">
        <w:rPr>
          <w:rFonts w:eastAsia="Calibri" w:cstheme="minorHAnsi"/>
        </w:rPr>
        <w:t xml:space="preserve"> </w:t>
      </w:r>
      <w:r w:rsidRPr="00A26C26">
        <w:rPr>
          <w:rFonts w:eastAsia="Calibri" w:cstheme="minorHAnsi"/>
        </w:rPr>
        <w:t>migranci,</w:t>
      </w:r>
      <w:r w:rsidR="003B50ED">
        <w:rPr>
          <w:rFonts w:eastAsia="Calibri" w:cstheme="minorHAnsi"/>
        </w:rPr>
        <w:t xml:space="preserve"> </w:t>
      </w:r>
      <w:r w:rsidRPr="00A26C26">
        <w:rPr>
          <w:rFonts w:eastAsia="Calibri" w:cstheme="minorHAnsi"/>
        </w:rPr>
        <w:t>rolnicy</w:t>
      </w:r>
      <w:r w:rsidR="003B50ED">
        <w:rPr>
          <w:rFonts w:eastAsia="Calibri" w:cstheme="minorHAnsi"/>
        </w:rPr>
        <w:t xml:space="preserve"> </w:t>
      </w:r>
      <w:r w:rsidRPr="00A26C26">
        <w:rPr>
          <w:rFonts w:eastAsia="Calibri" w:cstheme="minorHAnsi"/>
        </w:rPr>
        <w:t>z</w:t>
      </w:r>
      <w:r w:rsidR="003B50ED">
        <w:rPr>
          <w:rFonts w:eastAsia="Calibri" w:cstheme="minorHAnsi"/>
        </w:rPr>
        <w:t xml:space="preserve"> </w:t>
      </w:r>
      <w:r w:rsidRPr="00A26C26">
        <w:rPr>
          <w:rFonts w:eastAsia="Calibri" w:cstheme="minorHAnsi"/>
        </w:rPr>
        <w:t>małych</w:t>
      </w:r>
      <w:r w:rsidR="003B50ED">
        <w:rPr>
          <w:rFonts w:eastAsia="Calibri" w:cstheme="minorHAnsi"/>
        </w:rPr>
        <w:t xml:space="preserve"> </w:t>
      </w:r>
      <w:r w:rsidRPr="00A26C26">
        <w:rPr>
          <w:rFonts w:eastAsia="Calibri" w:cstheme="minorHAnsi"/>
        </w:rPr>
        <w:t>gospodarstw</w:t>
      </w:r>
      <w:r w:rsidR="003B50ED">
        <w:rPr>
          <w:rFonts w:eastAsia="Calibri" w:cstheme="minorHAnsi"/>
        </w:rPr>
        <w:t xml:space="preserve"> </w:t>
      </w:r>
      <w:r w:rsidRPr="00A26C26">
        <w:rPr>
          <w:rFonts w:eastAsia="Calibri" w:cstheme="minorHAnsi"/>
        </w:rPr>
        <w:t>lub</w:t>
      </w:r>
      <w:r w:rsidR="003B50ED">
        <w:rPr>
          <w:rFonts w:eastAsia="Calibri" w:cstheme="minorHAnsi"/>
        </w:rPr>
        <w:t xml:space="preserve"> </w:t>
      </w:r>
      <w:r w:rsidRPr="00A26C26">
        <w:rPr>
          <w:rFonts w:eastAsia="Calibri" w:cstheme="minorHAnsi"/>
        </w:rPr>
        <w:t>osoby</w:t>
      </w:r>
      <w:r w:rsidR="003B50ED">
        <w:rPr>
          <w:rFonts w:eastAsia="Calibri" w:cstheme="minorHAnsi"/>
        </w:rPr>
        <w:t xml:space="preserve"> </w:t>
      </w:r>
      <w:r w:rsidRPr="00A26C26">
        <w:rPr>
          <w:rFonts w:eastAsia="Calibri" w:cstheme="minorHAnsi"/>
        </w:rPr>
        <w:t>poszukujące</w:t>
      </w:r>
      <w:r w:rsidR="003B50ED">
        <w:rPr>
          <w:rFonts w:eastAsia="Calibri" w:cstheme="minorHAnsi"/>
        </w:rPr>
        <w:t xml:space="preserve"> </w:t>
      </w:r>
      <w:r w:rsidRPr="00A26C26">
        <w:rPr>
          <w:rFonts w:eastAsia="Calibri" w:cstheme="minorHAnsi"/>
        </w:rPr>
        <w:t>zatrudnienia</w:t>
      </w:r>
      <w:r w:rsidR="003B50ED">
        <w:rPr>
          <w:rFonts w:eastAsia="Calibri" w:cstheme="minorHAnsi"/>
        </w:rPr>
        <w:t xml:space="preserve"> </w:t>
      </w:r>
      <w:r w:rsidRPr="00A26C26">
        <w:rPr>
          <w:rFonts w:eastAsia="Calibri" w:cstheme="minorHAnsi"/>
        </w:rPr>
        <w:t>np.</w:t>
      </w:r>
      <w:r w:rsidR="003B50ED">
        <w:rPr>
          <w:rFonts w:eastAsia="Calibri" w:cstheme="minorHAnsi"/>
        </w:rPr>
        <w:t xml:space="preserve"> </w:t>
      </w:r>
      <w:r w:rsidRPr="00A26C26">
        <w:rPr>
          <w:rFonts w:eastAsia="Calibri" w:cstheme="minorHAnsi"/>
        </w:rPr>
        <w:t>mieszkańcy</w:t>
      </w:r>
      <w:r w:rsidR="003B50ED">
        <w:rPr>
          <w:rFonts w:eastAsia="Calibri" w:cstheme="minorHAnsi"/>
        </w:rPr>
        <w:t xml:space="preserve"> </w:t>
      </w:r>
      <w:r w:rsidRPr="00A26C26">
        <w:rPr>
          <w:rFonts w:eastAsia="Calibri" w:cstheme="minorHAnsi"/>
        </w:rPr>
        <w:t>osiedli</w:t>
      </w:r>
      <w:r w:rsidR="003B50ED">
        <w:rPr>
          <w:rFonts w:eastAsia="Calibri" w:cstheme="minorHAnsi"/>
        </w:rPr>
        <w:t xml:space="preserve"> </w:t>
      </w:r>
      <w:r w:rsidRPr="00A26C26">
        <w:rPr>
          <w:rFonts w:eastAsia="Calibri" w:cstheme="minorHAnsi"/>
        </w:rPr>
        <w:t>po-PGR</w:t>
      </w:r>
      <w:r w:rsidR="003B50ED">
        <w:rPr>
          <w:rFonts w:eastAsia="Calibri" w:cstheme="minorHAnsi"/>
        </w:rPr>
        <w:t xml:space="preserve"> </w:t>
      </w:r>
      <w:r w:rsidRPr="00A26C26">
        <w:rPr>
          <w:rFonts w:eastAsia="Calibri" w:cstheme="minorHAnsi"/>
        </w:rPr>
        <w:t>ale</w:t>
      </w:r>
      <w:r w:rsidR="003B50ED">
        <w:rPr>
          <w:rFonts w:eastAsia="Calibri" w:cstheme="minorHAnsi"/>
        </w:rPr>
        <w:t xml:space="preserve"> </w:t>
      </w:r>
      <w:r w:rsidRPr="00A26C26">
        <w:rPr>
          <w:rFonts w:eastAsia="Calibri" w:cstheme="minorHAnsi"/>
        </w:rPr>
        <w:t>także</w:t>
      </w:r>
      <w:r w:rsidR="003B50ED">
        <w:rPr>
          <w:rFonts w:eastAsia="Calibri" w:cstheme="minorHAnsi"/>
        </w:rPr>
        <w:t xml:space="preserve"> </w:t>
      </w:r>
      <w:r w:rsidRPr="00A26C26">
        <w:rPr>
          <w:rFonts w:eastAsia="Calibri" w:cstheme="minorHAnsi"/>
        </w:rPr>
        <w:t>przedsiębiorcy,</w:t>
      </w:r>
      <w:r w:rsidR="003B50ED">
        <w:rPr>
          <w:rFonts w:eastAsia="Calibri" w:cstheme="minorHAnsi"/>
        </w:rPr>
        <w:t xml:space="preserve"> </w:t>
      </w:r>
      <w:r w:rsidRPr="00A26C26">
        <w:rPr>
          <w:rFonts w:eastAsia="Calibri" w:cstheme="minorHAnsi"/>
        </w:rPr>
        <w:t>organizacje</w:t>
      </w:r>
      <w:r w:rsidR="003B50ED">
        <w:rPr>
          <w:rFonts w:eastAsia="Calibri" w:cstheme="minorHAnsi"/>
        </w:rPr>
        <w:t xml:space="preserve"> </w:t>
      </w:r>
      <w:r w:rsidRPr="00A26C26">
        <w:rPr>
          <w:rFonts w:eastAsia="Calibri" w:cstheme="minorHAnsi"/>
        </w:rPr>
        <w:t>pozarządowe,</w:t>
      </w:r>
      <w:r w:rsidR="003B50ED">
        <w:rPr>
          <w:rFonts w:eastAsia="Calibri" w:cstheme="minorHAnsi"/>
        </w:rPr>
        <w:t xml:space="preserve"> </w:t>
      </w:r>
      <w:r w:rsidRPr="00A26C26">
        <w:rPr>
          <w:rFonts w:eastAsia="Calibri" w:cstheme="minorHAnsi"/>
        </w:rPr>
        <w:t>jednostki</w:t>
      </w:r>
      <w:r w:rsidR="003B50ED">
        <w:rPr>
          <w:rFonts w:eastAsia="Calibri" w:cstheme="minorHAnsi"/>
        </w:rPr>
        <w:t xml:space="preserve"> </w:t>
      </w:r>
      <w:r w:rsidRPr="00A26C26">
        <w:rPr>
          <w:rFonts w:eastAsia="Calibri" w:cstheme="minorHAnsi"/>
        </w:rPr>
        <w:t>sektora</w:t>
      </w:r>
      <w:r w:rsidR="003B50ED">
        <w:rPr>
          <w:rFonts w:eastAsia="Calibri" w:cstheme="minorHAnsi"/>
        </w:rPr>
        <w:t xml:space="preserve"> </w:t>
      </w:r>
      <w:r w:rsidRPr="00A26C26">
        <w:rPr>
          <w:rFonts w:eastAsia="Calibri" w:cstheme="minorHAnsi"/>
        </w:rPr>
        <w:t>finansów</w:t>
      </w:r>
      <w:r w:rsidR="003B50ED">
        <w:rPr>
          <w:rFonts w:eastAsia="Calibri" w:cstheme="minorHAnsi"/>
        </w:rPr>
        <w:t xml:space="preserve"> </w:t>
      </w:r>
      <w:r w:rsidRPr="00A26C26">
        <w:rPr>
          <w:rFonts w:eastAsia="Calibri" w:cstheme="minorHAnsi"/>
        </w:rPr>
        <w:t>publicznych</w:t>
      </w:r>
      <w:r w:rsidR="003B50ED">
        <w:rPr>
          <w:rFonts w:eastAsia="Calibri" w:cstheme="minorHAnsi"/>
        </w:rPr>
        <w:t xml:space="preserve"> </w:t>
      </w:r>
      <w:r w:rsidRPr="00A26C26">
        <w:rPr>
          <w:rFonts w:eastAsia="Calibri" w:cstheme="minorHAnsi"/>
        </w:rPr>
        <w:t>oraz</w:t>
      </w:r>
      <w:r w:rsidR="003B50ED">
        <w:rPr>
          <w:rFonts w:eastAsia="Calibri" w:cstheme="minorHAnsi"/>
        </w:rPr>
        <w:t xml:space="preserve"> </w:t>
      </w:r>
      <w:r w:rsidRPr="00A26C26">
        <w:rPr>
          <w:rFonts w:eastAsia="Calibri" w:cstheme="minorHAnsi"/>
        </w:rPr>
        <w:t>mieszkańcy</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tym</w:t>
      </w:r>
      <w:r w:rsidR="003B50ED">
        <w:rPr>
          <w:rFonts w:eastAsia="Calibri" w:cstheme="minorHAnsi"/>
        </w:rPr>
        <w:t xml:space="preserve"> </w:t>
      </w:r>
      <w:r w:rsidRPr="00A26C26">
        <w:rPr>
          <w:rFonts w:eastAsia="Calibri" w:cstheme="minorHAnsi"/>
        </w:rPr>
        <w:t>osoby</w:t>
      </w:r>
      <w:r w:rsidR="003B50ED">
        <w:rPr>
          <w:rFonts w:eastAsia="Calibri" w:cstheme="minorHAnsi"/>
        </w:rPr>
        <w:t xml:space="preserve"> </w:t>
      </w:r>
      <w:r w:rsidRPr="00A26C26">
        <w:rPr>
          <w:rFonts w:eastAsia="Calibri" w:cstheme="minorHAnsi"/>
        </w:rPr>
        <w:t>planujące</w:t>
      </w:r>
      <w:r w:rsidR="003B50ED">
        <w:rPr>
          <w:rFonts w:eastAsia="Calibri" w:cstheme="minorHAnsi"/>
        </w:rPr>
        <w:t xml:space="preserve"> </w:t>
      </w:r>
      <w:r w:rsidRPr="00A26C26">
        <w:rPr>
          <w:rFonts w:eastAsia="Calibri" w:cstheme="minorHAnsi"/>
        </w:rPr>
        <w:t>podjęcie</w:t>
      </w:r>
      <w:r w:rsidR="003B50ED">
        <w:rPr>
          <w:rFonts w:eastAsia="Calibri" w:cstheme="minorHAnsi"/>
        </w:rPr>
        <w:t xml:space="preserve"> </w:t>
      </w:r>
      <w:r w:rsidRPr="00A26C26">
        <w:rPr>
          <w:rFonts w:eastAsia="Calibri" w:cstheme="minorHAnsi"/>
        </w:rPr>
        <w:t>działalności</w:t>
      </w:r>
      <w:r w:rsidR="003B50ED">
        <w:rPr>
          <w:rFonts w:eastAsia="Calibri" w:cstheme="minorHAnsi"/>
        </w:rPr>
        <w:t xml:space="preserve"> </w:t>
      </w:r>
      <w:r w:rsidRPr="00A26C26">
        <w:rPr>
          <w:rFonts w:eastAsia="Calibri" w:cstheme="minorHAnsi"/>
        </w:rPr>
        <w:t>gospodarczej</w:t>
      </w:r>
      <w:r w:rsidR="00A026E0">
        <w:rPr>
          <w:rFonts w:eastAsia="Calibri" w:cstheme="minorHAnsi"/>
        </w:rPr>
        <w:t>)</w:t>
      </w:r>
      <w:r w:rsidRPr="00A26C26">
        <w:rPr>
          <w:rFonts w:eastAsia="Calibri" w:cstheme="minorHAnsi"/>
        </w:rPr>
        <w:t>.</w:t>
      </w:r>
      <w:r w:rsidR="003B50ED">
        <w:rPr>
          <w:rFonts w:eastAsia="Calibri" w:cstheme="minorHAnsi"/>
        </w:rPr>
        <w:t xml:space="preserve"> </w:t>
      </w:r>
    </w:p>
    <w:p w14:paraId="141EB42F" w14:textId="77777777" w:rsidR="00DB7370" w:rsidRDefault="00027186" w:rsidP="00DB7370">
      <w:pPr>
        <w:spacing w:line="276" w:lineRule="auto"/>
        <w:ind w:firstLine="284"/>
        <w:jc w:val="both"/>
        <w:rPr>
          <w:rFonts w:eastAsia="Calibri" w:cstheme="minorHAnsi"/>
        </w:rPr>
      </w:pPr>
      <w:r w:rsidRPr="00A26C26">
        <w:rPr>
          <w:rFonts w:eastAsia="Calibri" w:cstheme="minorHAnsi"/>
        </w:rPr>
        <w:t>Zgłoszone</w:t>
      </w:r>
      <w:r w:rsidR="003B50ED">
        <w:rPr>
          <w:rFonts w:eastAsia="Calibri" w:cstheme="minorHAnsi"/>
        </w:rPr>
        <w:t xml:space="preserve"> </w:t>
      </w:r>
      <w:r w:rsidRPr="00A26C26">
        <w:rPr>
          <w:rFonts w:eastAsia="Calibri" w:cstheme="minorHAnsi"/>
        </w:rPr>
        <w:t>karty</w:t>
      </w:r>
      <w:r w:rsidR="003B50ED">
        <w:rPr>
          <w:rFonts w:eastAsia="Calibri" w:cstheme="minorHAnsi"/>
        </w:rPr>
        <w:t xml:space="preserve"> </w:t>
      </w:r>
      <w:r w:rsidRPr="00A26C26">
        <w:rPr>
          <w:rFonts w:eastAsia="Calibri" w:cstheme="minorHAnsi"/>
        </w:rPr>
        <w:t>pomysłu</w:t>
      </w:r>
      <w:r w:rsidR="003B50ED">
        <w:rPr>
          <w:rFonts w:eastAsia="Calibri" w:cstheme="minorHAnsi"/>
        </w:rPr>
        <w:t xml:space="preserve"> </w:t>
      </w:r>
      <w:r w:rsidRPr="00A26C26">
        <w:rPr>
          <w:rFonts w:eastAsia="Calibri" w:cstheme="minorHAnsi"/>
        </w:rPr>
        <w:t>przyczyniły</w:t>
      </w:r>
      <w:r w:rsidR="003B50ED">
        <w:rPr>
          <w:rFonts w:eastAsia="Calibri" w:cstheme="minorHAnsi"/>
        </w:rPr>
        <w:t xml:space="preserve"> </w:t>
      </w:r>
      <w:r w:rsidRPr="00A26C26">
        <w:rPr>
          <w:rFonts w:eastAsia="Calibri" w:cstheme="minorHAnsi"/>
        </w:rPr>
        <w:t>się</w:t>
      </w:r>
      <w:r w:rsidR="003B50ED">
        <w:rPr>
          <w:rFonts w:eastAsia="Calibri" w:cstheme="minorHAnsi"/>
        </w:rPr>
        <w:t xml:space="preserve"> </w:t>
      </w:r>
      <w:r w:rsidRPr="00A26C26">
        <w:rPr>
          <w:rFonts w:eastAsia="Calibri" w:cstheme="minorHAnsi"/>
        </w:rPr>
        <w:t>do</w:t>
      </w:r>
      <w:r w:rsidR="003B50ED">
        <w:rPr>
          <w:rFonts w:eastAsia="Calibri" w:cstheme="minorHAnsi"/>
        </w:rPr>
        <w:t xml:space="preserve"> </w:t>
      </w:r>
      <w:r w:rsidRPr="00A26C26">
        <w:rPr>
          <w:rFonts w:eastAsia="Calibri" w:cstheme="minorHAnsi"/>
        </w:rPr>
        <w:t>uzyskania</w:t>
      </w:r>
      <w:r w:rsidR="003B50ED">
        <w:rPr>
          <w:rFonts w:eastAsia="Calibri" w:cstheme="minorHAnsi"/>
        </w:rPr>
        <w:t xml:space="preserve"> </w:t>
      </w:r>
      <w:r w:rsidRPr="00A26C26">
        <w:rPr>
          <w:rFonts w:eastAsia="Calibri" w:cstheme="minorHAnsi"/>
        </w:rPr>
        <w:t>cennych</w:t>
      </w:r>
      <w:r w:rsidR="003B50ED">
        <w:rPr>
          <w:rFonts w:eastAsia="Calibri" w:cstheme="minorHAnsi"/>
        </w:rPr>
        <w:t xml:space="preserve"> </w:t>
      </w:r>
      <w:r w:rsidRPr="00A26C26">
        <w:rPr>
          <w:rFonts w:eastAsia="Calibri" w:cstheme="minorHAnsi"/>
        </w:rPr>
        <w:t>informacji,</w:t>
      </w:r>
      <w:r w:rsidR="003B50ED">
        <w:rPr>
          <w:rFonts w:eastAsia="Calibri" w:cstheme="minorHAnsi"/>
        </w:rPr>
        <w:t xml:space="preserve"> </w:t>
      </w:r>
      <w:r w:rsidRPr="00A26C26">
        <w:rPr>
          <w:rFonts w:eastAsia="Calibri" w:cstheme="minorHAnsi"/>
        </w:rPr>
        <w:t>zwłaszcza</w:t>
      </w:r>
      <w:r w:rsidR="003B50ED">
        <w:rPr>
          <w:rFonts w:eastAsia="Calibri" w:cstheme="minorHAnsi"/>
        </w:rPr>
        <w:t xml:space="preserve"> </w:t>
      </w:r>
      <w:r w:rsidRPr="00A26C26">
        <w:rPr>
          <w:rFonts w:eastAsia="Calibri" w:cstheme="minorHAnsi"/>
        </w:rPr>
        <w:t>dotyczących</w:t>
      </w:r>
      <w:r w:rsidR="003B50ED">
        <w:rPr>
          <w:rFonts w:eastAsia="Calibri" w:cstheme="minorHAnsi"/>
        </w:rPr>
        <w:t xml:space="preserve"> </w:t>
      </w:r>
      <w:r w:rsidRPr="00A26C26">
        <w:rPr>
          <w:rFonts w:eastAsia="Calibri" w:cstheme="minorHAnsi"/>
        </w:rPr>
        <w:t>zakresu</w:t>
      </w:r>
      <w:r w:rsidR="003B50ED">
        <w:rPr>
          <w:rFonts w:eastAsia="Calibri" w:cstheme="minorHAnsi"/>
        </w:rPr>
        <w:t xml:space="preserve"> </w:t>
      </w:r>
      <w:r w:rsidRPr="00A26C26">
        <w:rPr>
          <w:rFonts w:eastAsia="Calibri" w:cstheme="minorHAnsi"/>
        </w:rPr>
        <w:t>wsparcia,</w:t>
      </w:r>
      <w:r w:rsidR="003B50ED">
        <w:rPr>
          <w:rFonts w:eastAsia="Calibri" w:cstheme="minorHAnsi"/>
        </w:rPr>
        <w:t xml:space="preserve"> </w:t>
      </w:r>
      <w:r w:rsidRPr="00A26C26">
        <w:rPr>
          <w:rFonts w:eastAsia="Calibri" w:cstheme="minorHAnsi"/>
        </w:rPr>
        <w:t>poziomów</w:t>
      </w:r>
      <w:r w:rsidR="003B50ED">
        <w:rPr>
          <w:rFonts w:eastAsia="Calibri" w:cstheme="minorHAnsi"/>
        </w:rPr>
        <w:t xml:space="preserve"> </w:t>
      </w:r>
      <w:r w:rsidRPr="00A26C26">
        <w:rPr>
          <w:rFonts w:eastAsia="Calibri" w:cstheme="minorHAnsi"/>
        </w:rPr>
        <w:t>finansowania</w:t>
      </w:r>
      <w:r w:rsidR="003B50ED">
        <w:rPr>
          <w:rFonts w:eastAsia="Calibri" w:cstheme="minorHAnsi"/>
        </w:rPr>
        <w:t xml:space="preserve"> </w:t>
      </w:r>
      <w:r w:rsidRPr="00A26C26">
        <w:rPr>
          <w:rFonts w:eastAsia="Calibri" w:cstheme="minorHAnsi"/>
        </w:rPr>
        <w:t>oraz</w:t>
      </w:r>
      <w:r w:rsidR="003B50ED">
        <w:rPr>
          <w:rFonts w:eastAsia="Calibri" w:cstheme="minorHAnsi"/>
        </w:rPr>
        <w:t xml:space="preserve"> </w:t>
      </w:r>
      <w:r w:rsidRPr="00A26C26">
        <w:rPr>
          <w:rFonts w:eastAsia="Calibri" w:cstheme="minorHAnsi"/>
        </w:rPr>
        <w:t>obszarów,</w:t>
      </w:r>
      <w:r w:rsidR="003B50ED">
        <w:rPr>
          <w:rFonts w:eastAsia="Calibri" w:cstheme="minorHAnsi"/>
        </w:rPr>
        <w:t xml:space="preserve"> </w:t>
      </w:r>
      <w:r w:rsidRPr="00A26C26">
        <w:rPr>
          <w:rFonts w:eastAsia="Calibri" w:cstheme="minorHAnsi"/>
        </w:rPr>
        <w:t>które</w:t>
      </w:r>
      <w:r w:rsidR="003B50ED">
        <w:rPr>
          <w:rFonts w:eastAsia="Calibri" w:cstheme="minorHAnsi"/>
        </w:rPr>
        <w:t xml:space="preserve"> </w:t>
      </w:r>
      <w:r w:rsidRPr="00A26C26">
        <w:rPr>
          <w:rFonts w:eastAsia="Calibri" w:cstheme="minorHAnsi"/>
        </w:rPr>
        <w:t>wzbudziły</w:t>
      </w:r>
      <w:r w:rsidR="003B50ED">
        <w:rPr>
          <w:rFonts w:eastAsia="Calibri" w:cstheme="minorHAnsi"/>
        </w:rPr>
        <w:t xml:space="preserve"> </w:t>
      </w:r>
      <w:r w:rsidRPr="00A26C26">
        <w:rPr>
          <w:rFonts w:eastAsia="Calibri" w:cstheme="minorHAnsi"/>
        </w:rPr>
        <w:t>największe</w:t>
      </w:r>
      <w:r w:rsidR="003B50ED">
        <w:rPr>
          <w:rFonts w:eastAsia="Calibri" w:cstheme="minorHAnsi"/>
        </w:rPr>
        <w:t xml:space="preserve"> </w:t>
      </w:r>
      <w:r w:rsidRPr="00A26C26">
        <w:rPr>
          <w:rFonts w:eastAsia="Calibri" w:cstheme="minorHAnsi"/>
        </w:rPr>
        <w:t>zainteresowanie</w:t>
      </w:r>
      <w:r w:rsidR="003B50ED">
        <w:rPr>
          <w:rFonts w:eastAsia="Calibri" w:cstheme="minorHAnsi"/>
        </w:rPr>
        <w:t xml:space="preserve"> </w:t>
      </w:r>
      <w:r w:rsidRPr="00A26C26">
        <w:rPr>
          <w:rFonts w:eastAsia="Calibri" w:cstheme="minorHAnsi"/>
        </w:rPr>
        <w:t>potencjalnych</w:t>
      </w:r>
      <w:r w:rsidR="003B50ED">
        <w:rPr>
          <w:rFonts w:eastAsia="Calibri" w:cstheme="minorHAnsi"/>
        </w:rPr>
        <w:t xml:space="preserve"> </w:t>
      </w:r>
      <w:r w:rsidRPr="00A26C26">
        <w:rPr>
          <w:rFonts w:eastAsia="Calibri" w:cstheme="minorHAnsi"/>
        </w:rPr>
        <w:t>beneficjentów.</w:t>
      </w:r>
      <w:r w:rsidR="003B50ED">
        <w:rPr>
          <w:rFonts w:eastAsia="Calibri" w:cstheme="minorHAnsi"/>
        </w:rPr>
        <w:t xml:space="preserve"> </w:t>
      </w:r>
      <w:r w:rsidRPr="00A26C26">
        <w:rPr>
          <w:rFonts w:eastAsia="Calibri" w:cstheme="minorHAnsi"/>
        </w:rPr>
        <w:t>Te</w:t>
      </w:r>
      <w:r w:rsidR="003B50ED">
        <w:rPr>
          <w:rFonts w:eastAsia="Calibri" w:cstheme="minorHAnsi"/>
        </w:rPr>
        <w:t xml:space="preserve"> </w:t>
      </w:r>
      <w:r w:rsidRPr="00A26C26">
        <w:rPr>
          <w:rFonts w:eastAsia="Calibri" w:cstheme="minorHAnsi"/>
        </w:rPr>
        <w:t>dane</w:t>
      </w:r>
      <w:r w:rsidR="003B50ED">
        <w:rPr>
          <w:rFonts w:eastAsia="Calibri" w:cstheme="minorHAnsi"/>
        </w:rPr>
        <w:t xml:space="preserve"> </w:t>
      </w:r>
      <w:r w:rsidRPr="00A26C26">
        <w:rPr>
          <w:rFonts w:eastAsia="Calibri" w:cstheme="minorHAnsi"/>
        </w:rPr>
        <w:t>okazały</w:t>
      </w:r>
      <w:r w:rsidR="003B50ED">
        <w:rPr>
          <w:rFonts w:eastAsia="Calibri" w:cstheme="minorHAnsi"/>
        </w:rPr>
        <w:t xml:space="preserve"> </w:t>
      </w:r>
      <w:r w:rsidRPr="00A26C26">
        <w:rPr>
          <w:rFonts w:eastAsia="Calibri" w:cstheme="minorHAnsi"/>
        </w:rPr>
        <w:t>się</w:t>
      </w:r>
      <w:r w:rsidR="003B50ED">
        <w:rPr>
          <w:rFonts w:eastAsia="Calibri" w:cstheme="minorHAnsi"/>
        </w:rPr>
        <w:t xml:space="preserve"> </w:t>
      </w:r>
      <w:r w:rsidRPr="00A26C26">
        <w:rPr>
          <w:rFonts w:eastAsia="Calibri" w:cstheme="minorHAnsi"/>
        </w:rPr>
        <w:t>niezwykle</w:t>
      </w:r>
      <w:r w:rsidR="003B50ED">
        <w:rPr>
          <w:rFonts w:eastAsia="Calibri" w:cstheme="minorHAnsi"/>
        </w:rPr>
        <w:t xml:space="preserve"> </w:t>
      </w:r>
      <w:r w:rsidRPr="00A26C26">
        <w:rPr>
          <w:rFonts w:eastAsia="Calibri" w:cstheme="minorHAnsi"/>
        </w:rPr>
        <w:t>pomocne</w:t>
      </w:r>
      <w:r w:rsidR="003B50ED">
        <w:rPr>
          <w:rFonts w:eastAsia="Calibri" w:cstheme="minorHAnsi"/>
        </w:rPr>
        <w:t xml:space="preserve"> </w:t>
      </w:r>
      <w:r w:rsidRPr="00A26C26">
        <w:rPr>
          <w:rFonts w:eastAsia="Calibri" w:cstheme="minorHAnsi"/>
        </w:rPr>
        <w:t>podczas</w:t>
      </w:r>
      <w:r w:rsidR="003B50ED">
        <w:rPr>
          <w:rFonts w:eastAsia="Calibri" w:cstheme="minorHAnsi"/>
        </w:rPr>
        <w:t xml:space="preserve"> </w:t>
      </w:r>
      <w:r w:rsidRPr="00A26C26">
        <w:rPr>
          <w:rFonts w:eastAsia="Calibri" w:cstheme="minorHAnsi"/>
        </w:rPr>
        <w:t>tworzenia</w:t>
      </w:r>
      <w:r w:rsidR="003B50ED">
        <w:rPr>
          <w:rFonts w:eastAsia="Calibri" w:cstheme="minorHAnsi"/>
        </w:rPr>
        <w:t xml:space="preserve"> </w:t>
      </w:r>
      <w:r w:rsidRPr="00A26C26">
        <w:rPr>
          <w:rFonts w:eastAsia="Calibri" w:cstheme="minorHAnsi"/>
        </w:rPr>
        <w:t>budżetu</w:t>
      </w:r>
      <w:r w:rsidR="003B50ED">
        <w:rPr>
          <w:rFonts w:eastAsia="Calibri" w:cstheme="minorHAnsi"/>
        </w:rPr>
        <w:t xml:space="preserve"> </w:t>
      </w:r>
      <w:r w:rsidRPr="00A26C26">
        <w:rPr>
          <w:rFonts w:eastAsia="Calibri" w:cstheme="minorHAnsi"/>
        </w:rPr>
        <w:t>LSR,</w:t>
      </w:r>
      <w:r w:rsidR="003B50ED">
        <w:rPr>
          <w:rFonts w:eastAsia="Calibri" w:cstheme="minorHAnsi"/>
        </w:rPr>
        <w:t xml:space="preserve"> </w:t>
      </w:r>
      <w:r w:rsidRPr="00A26C26">
        <w:rPr>
          <w:rFonts w:eastAsia="Calibri" w:cstheme="minorHAnsi"/>
        </w:rPr>
        <w:t>umożliwiając</w:t>
      </w:r>
      <w:r w:rsidR="003B50ED">
        <w:rPr>
          <w:rFonts w:eastAsia="Calibri" w:cstheme="minorHAnsi"/>
        </w:rPr>
        <w:t xml:space="preserve"> </w:t>
      </w:r>
      <w:r w:rsidRPr="00A26C26">
        <w:rPr>
          <w:rFonts w:eastAsia="Calibri" w:cstheme="minorHAnsi"/>
        </w:rPr>
        <w:t>trafniejsze</w:t>
      </w:r>
      <w:r w:rsidR="003B50ED">
        <w:rPr>
          <w:rFonts w:eastAsia="Calibri" w:cstheme="minorHAnsi"/>
        </w:rPr>
        <w:t xml:space="preserve"> </w:t>
      </w:r>
      <w:r w:rsidRPr="00A26C26">
        <w:rPr>
          <w:rFonts w:eastAsia="Calibri" w:cstheme="minorHAnsi"/>
        </w:rPr>
        <w:t>planowanie</w:t>
      </w:r>
      <w:r w:rsidR="003B50ED">
        <w:rPr>
          <w:rFonts w:eastAsia="Calibri" w:cstheme="minorHAnsi"/>
        </w:rPr>
        <w:t xml:space="preserve"> </w:t>
      </w:r>
      <w:r w:rsidRPr="00A26C26">
        <w:rPr>
          <w:rFonts w:eastAsia="Calibri" w:cstheme="minorHAnsi"/>
        </w:rPr>
        <w:t>środków.</w:t>
      </w:r>
      <w:r w:rsidR="00DB7370">
        <w:rPr>
          <w:rFonts w:eastAsia="Calibri" w:cstheme="minorHAnsi"/>
        </w:rPr>
        <w:t xml:space="preserve"> </w:t>
      </w:r>
    </w:p>
    <w:p w14:paraId="7BDC7CA8" w14:textId="5F3EAED8" w:rsidR="00027186" w:rsidRPr="00A26C26" w:rsidRDefault="00027186" w:rsidP="00DB7370">
      <w:pPr>
        <w:spacing w:line="276" w:lineRule="auto"/>
        <w:ind w:firstLine="284"/>
        <w:jc w:val="both"/>
        <w:rPr>
          <w:rFonts w:eastAsia="Calibri" w:cstheme="minorHAnsi"/>
        </w:rPr>
      </w:pPr>
      <w:r w:rsidRPr="00A26C26">
        <w:rPr>
          <w:rFonts w:eastAsia="Calibri" w:cstheme="minorHAnsi"/>
        </w:rPr>
        <w:lastRenderedPageBreak/>
        <w:t>Analogicznie,</w:t>
      </w:r>
      <w:r w:rsidR="003B50ED">
        <w:rPr>
          <w:rFonts w:eastAsia="Calibri" w:cstheme="minorHAnsi"/>
        </w:rPr>
        <w:t xml:space="preserve"> </w:t>
      </w:r>
      <w:r w:rsidRPr="00A26C26">
        <w:rPr>
          <w:rFonts w:eastAsia="Calibri" w:cstheme="minorHAnsi"/>
        </w:rPr>
        <w:t>jak</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przypadku</w:t>
      </w:r>
      <w:r w:rsidR="003B50ED">
        <w:rPr>
          <w:rFonts w:eastAsia="Calibri" w:cstheme="minorHAnsi"/>
        </w:rPr>
        <w:t xml:space="preserve"> </w:t>
      </w:r>
      <w:r w:rsidRPr="00A26C26">
        <w:rPr>
          <w:rFonts w:eastAsia="Calibri" w:cstheme="minorHAnsi"/>
        </w:rPr>
        <w:t>ankiet,</w:t>
      </w:r>
      <w:r w:rsidR="003B50ED">
        <w:rPr>
          <w:rFonts w:eastAsia="Calibri" w:cstheme="minorHAnsi"/>
        </w:rPr>
        <w:t xml:space="preserve"> </w:t>
      </w:r>
      <w:r w:rsidRPr="00A26C26">
        <w:rPr>
          <w:rFonts w:eastAsia="Calibri" w:cstheme="minorHAnsi"/>
        </w:rPr>
        <w:t>karty</w:t>
      </w:r>
      <w:r w:rsidR="003B50ED">
        <w:rPr>
          <w:rFonts w:eastAsia="Calibri" w:cstheme="minorHAnsi"/>
        </w:rPr>
        <w:t xml:space="preserve"> </w:t>
      </w:r>
      <w:r w:rsidRPr="00A26C26">
        <w:rPr>
          <w:rFonts w:eastAsia="Calibri" w:cstheme="minorHAnsi"/>
        </w:rPr>
        <w:t>pomysłu</w:t>
      </w:r>
      <w:r w:rsidR="003B50ED">
        <w:rPr>
          <w:rFonts w:eastAsia="Calibri" w:cstheme="minorHAnsi"/>
        </w:rPr>
        <w:t xml:space="preserve"> </w:t>
      </w:r>
      <w:r w:rsidRPr="00A26C26">
        <w:rPr>
          <w:rFonts w:eastAsia="Calibri" w:cstheme="minorHAnsi"/>
        </w:rPr>
        <w:t>były</w:t>
      </w:r>
      <w:r w:rsidR="003B50ED">
        <w:rPr>
          <w:rFonts w:eastAsia="Calibri" w:cstheme="minorHAnsi"/>
        </w:rPr>
        <w:t xml:space="preserve"> </w:t>
      </w:r>
      <w:r w:rsidRPr="00A26C26">
        <w:rPr>
          <w:rFonts w:eastAsia="Calibri" w:cstheme="minorHAnsi"/>
        </w:rPr>
        <w:t>dostępne</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różnych</w:t>
      </w:r>
      <w:r w:rsidR="003B50ED">
        <w:rPr>
          <w:rFonts w:eastAsia="Calibri" w:cstheme="minorHAnsi"/>
        </w:rPr>
        <w:t xml:space="preserve"> </w:t>
      </w:r>
      <w:r w:rsidRPr="00A26C26">
        <w:rPr>
          <w:rFonts w:eastAsia="Calibri" w:cstheme="minorHAnsi"/>
        </w:rPr>
        <w:t>miejscach</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formach</w:t>
      </w:r>
      <w:r w:rsidR="003B50ED">
        <w:rPr>
          <w:rFonts w:eastAsia="Calibri" w:cstheme="minorHAnsi"/>
        </w:rPr>
        <w:t xml:space="preserve"> </w:t>
      </w:r>
      <w:r w:rsidRPr="00A26C26">
        <w:rPr>
          <w:rFonts w:eastAsia="Calibri" w:cstheme="minorHAnsi"/>
        </w:rPr>
        <w:t>(online</w:t>
      </w:r>
      <w:r w:rsidR="003B50ED">
        <w:rPr>
          <w:rFonts w:eastAsia="Calibri" w:cstheme="minorHAnsi"/>
        </w:rPr>
        <w:t xml:space="preserve"> </w:t>
      </w:r>
      <w:r w:rsidRPr="00A26C26">
        <w:rPr>
          <w:rFonts w:eastAsia="Calibri" w:cstheme="minorHAnsi"/>
        </w:rPr>
        <w:br/>
        <w:t>i</w:t>
      </w:r>
      <w:r w:rsidR="003B50ED">
        <w:rPr>
          <w:rFonts w:eastAsia="Calibri" w:cstheme="minorHAnsi"/>
        </w:rPr>
        <w:t xml:space="preserve"> </w:t>
      </w:r>
      <w:r w:rsidRPr="00A26C26">
        <w:rPr>
          <w:rFonts w:eastAsia="Calibri" w:cstheme="minorHAnsi"/>
        </w:rPr>
        <w:t>papierowo),</w:t>
      </w:r>
      <w:r w:rsidR="003B50ED">
        <w:rPr>
          <w:rFonts w:eastAsia="Calibri" w:cstheme="minorHAnsi"/>
        </w:rPr>
        <w:t xml:space="preserve"> </w:t>
      </w:r>
      <w:r w:rsidRPr="00A26C26">
        <w:rPr>
          <w:rFonts w:eastAsia="Calibri" w:cstheme="minorHAnsi"/>
        </w:rPr>
        <w:t>aby</w:t>
      </w:r>
      <w:r w:rsidR="003B50ED">
        <w:rPr>
          <w:rFonts w:eastAsia="Calibri" w:cstheme="minorHAnsi"/>
        </w:rPr>
        <w:t xml:space="preserve"> </w:t>
      </w:r>
      <w:r w:rsidRPr="00A26C26">
        <w:rPr>
          <w:rFonts w:eastAsia="Calibri" w:cstheme="minorHAnsi"/>
        </w:rPr>
        <w:t>zapewnić</w:t>
      </w:r>
      <w:r w:rsidR="003B50ED">
        <w:rPr>
          <w:rFonts w:eastAsia="Calibri" w:cstheme="minorHAnsi"/>
        </w:rPr>
        <w:t xml:space="preserve"> </w:t>
      </w:r>
      <w:r w:rsidRPr="00A26C26">
        <w:rPr>
          <w:rFonts w:eastAsia="Calibri" w:cstheme="minorHAnsi"/>
        </w:rPr>
        <w:t>szeroki</w:t>
      </w:r>
      <w:r w:rsidR="003B50ED">
        <w:rPr>
          <w:rFonts w:eastAsia="Calibri" w:cstheme="minorHAnsi"/>
        </w:rPr>
        <w:t xml:space="preserve"> </w:t>
      </w:r>
      <w:r w:rsidRPr="00A26C26">
        <w:rPr>
          <w:rFonts w:eastAsia="Calibri" w:cstheme="minorHAnsi"/>
        </w:rPr>
        <w:t>dostęp</w:t>
      </w:r>
      <w:r w:rsidR="003B50ED">
        <w:rPr>
          <w:rFonts w:eastAsia="Calibri" w:cstheme="minorHAnsi"/>
        </w:rPr>
        <w:t xml:space="preserve"> </w:t>
      </w:r>
      <w:r w:rsidRPr="00A26C26">
        <w:rPr>
          <w:rFonts w:eastAsia="Calibri" w:cstheme="minorHAnsi"/>
        </w:rPr>
        <w:t>dla</w:t>
      </w:r>
      <w:r w:rsidR="003B50ED">
        <w:rPr>
          <w:rFonts w:eastAsia="Calibri" w:cstheme="minorHAnsi"/>
        </w:rPr>
        <w:t xml:space="preserve"> </w:t>
      </w:r>
      <w:r w:rsidRPr="00A26C26">
        <w:rPr>
          <w:rFonts w:eastAsia="Calibri" w:cstheme="minorHAnsi"/>
        </w:rPr>
        <w:t>uczestników.</w:t>
      </w:r>
      <w:r w:rsidR="00A026E0">
        <w:rPr>
          <w:rFonts w:eastAsia="Calibri" w:cstheme="minorHAnsi"/>
        </w:rPr>
        <w:t xml:space="preserve"> </w:t>
      </w:r>
    </w:p>
    <w:p w14:paraId="54A72740" w14:textId="1AAEC0CB" w:rsidR="00027186" w:rsidRPr="00581749" w:rsidRDefault="00027186" w:rsidP="00DB7370">
      <w:pPr>
        <w:spacing w:line="276" w:lineRule="auto"/>
        <w:ind w:firstLine="284"/>
        <w:jc w:val="both"/>
        <w:rPr>
          <w:rFonts w:eastAsia="Calibri" w:cstheme="minorHAnsi"/>
        </w:rPr>
      </w:pPr>
      <w:bookmarkStart w:id="31" w:name="_Hlk136205501"/>
      <w:r w:rsidRPr="00581749">
        <w:rPr>
          <w:rFonts w:eastAsia="Calibri" w:cstheme="minorHAnsi"/>
        </w:rPr>
        <w:t>Łącznie</w:t>
      </w:r>
      <w:r w:rsidR="003B50ED" w:rsidRPr="00581749">
        <w:rPr>
          <w:rFonts w:eastAsia="Calibri" w:cstheme="minorHAnsi"/>
        </w:rPr>
        <w:t xml:space="preserve"> </w:t>
      </w:r>
      <w:r w:rsidRPr="00581749">
        <w:rPr>
          <w:rFonts w:eastAsia="Calibri" w:cstheme="minorHAnsi"/>
        </w:rPr>
        <w:t>złożono</w:t>
      </w:r>
      <w:r w:rsidR="003B50ED" w:rsidRPr="00581749">
        <w:rPr>
          <w:rFonts w:eastAsia="Calibri" w:cstheme="minorHAnsi"/>
        </w:rPr>
        <w:t xml:space="preserve"> </w:t>
      </w:r>
      <w:r w:rsidR="00581749" w:rsidRPr="00581749">
        <w:rPr>
          <w:rFonts w:eastAsia="Calibri" w:cstheme="minorHAnsi"/>
        </w:rPr>
        <w:t>47</w:t>
      </w:r>
      <w:r w:rsidR="003B50ED" w:rsidRPr="00581749">
        <w:rPr>
          <w:rFonts w:eastAsia="Calibri" w:cstheme="minorHAnsi"/>
        </w:rPr>
        <w:t xml:space="preserve"> </w:t>
      </w:r>
      <w:r w:rsidRPr="00581749">
        <w:rPr>
          <w:rFonts w:eastAsia="Calibri" w:cstheme="minorHAnsi"/>
        </w:rPr>
        <w:t>kart</w:t>
      </w:r>
      <w:r w:rsidR="003B50ED" w:rsidRPr="00581749">
        <w:rPr>
          <w:rFonts w:eastAsia="Calibri" w:cstheme="minorHAnsi"/>
        </w:rPr>
        <w:t xml:space="preserve"> </w:t>
      </w:r>
      <w:r w:rsidRPr="00581749">
        <w:rPr>
          <w:rFonts w:eastAsia="Calibri" w:cstheme="minorHAnsi"/>
        </w:rPr>
        <w:t>pomysłu.</w:t>
      </w:r>
      <w:r w:rsidR="003B50ED" w:rsidRPr="00581749">
        <w:rPr>
          <w:rFonts w:eastAsia="Calibri" w:cstheme="minorHAnsi"/>
        </w:rPr>
        <w:t xml:space="preserve"> </w:t>
      </w:r>
      <w:r w:rsidRPr="00581749">
        <w:rPr>
          <w:rFonts w:eastAsia="Calibri" w:cstheme="minorHAnsi"/>
        </w:rPr>
        <w:t>Wszystkie</w:t>
      </w:r>
      <w:r w:rsidR="003B50ED" w:rsidRPr="00581749">
        <w:rPr>
          <w:rFonts w:eastAsia="Calibri" w:cstheme="minorHAnsi"/>
        </w:rPr>
        <w:t xml:space="preserve"> </w:t>
      </w:r>
      <w:r w:rsidRPr="00581749">
        <w:rPr>
          <w:rFonts w:eastAsia="Calibri" w:cstheme="minorHAnsi"/>
        </w:rPr>
        <w:t>formularze</w:t>
      </w:r>
      <w:r w:rsidR="003B50ED" w:rsidRPr="00581749">
        <w:rPr>
          <w:rFonts w:eastAsia="Calibri" w:cstheme="minorHAnsi"/>
        </w:rPr>
        <w:t xml:space="preserve"> </w:t>
      </w:r>
      <w:r w:rsidRPr="00581749">
        <w:rPr>
          <w:rFonts w:eastAsia="Calibri" w:cstheme="minorHAnsi"/>
        </w:rPr>
        <w:t>zostały</w:t>
      </w:r>
      <w:r w:rsidR="003B50ED" w:rsidRPr="00581749">
        <w:rPr>
          <w:rFonts w:eastAsia="Calibri" w:cstheme="minorHAnsi"/>
        </w:rPr>
        <w:t xml:space="preserve"> </w:t>
      </w:r>
      <w:r w:rsidRPr="00581749">
        <w:rPr>
          <w:rFonts w:eastAsia="Calibri" w:cstheme="minorHAnsi"/>
        </w:rPr>
        <w:t>zaewidencjonowane</w:t>
      </w:r>
      <w:r w:rsidR="003B50ED" w:rsidRPr="00581749">
        <w:rPr>
          <w:rFonts w:eastAsia="Calibri" w:cstheme="minorHAnsi"/>
        </w:rPr>
        <w:t xml:space="preserve"> </w:t>
      </w:r>
      <w:r w:rsidRPr="00581749">
        <w:rPr>
          <w:rFonts w:eastAsia="Calibri" w:cstheme="minorHAnsi"/>
        </w:rPr>
        <w:t>i</w:t>
      </w:r>
      <w:r w:rsidR="003B50ED" w:rsidRPr="00581749">
        <w:rPr>
          <w:rFonts w:eastAsia="Calibri" w:cstheme="minorHAnsi"/>
        </w:rPr>
        <w:t xml:space="preserve"> </w:t>
      </w:r>
      <w:r w:rsidRPr="00581749">
        <w:rPr>
          <w:rFonts w:eastAsia="Calibri" w:cstheme="minorHAnsi"/>
        </w:rPr>
        <w:t>sporządzono</w:t>
      </w:r>
      <w:r w:rsidR="003B50ED" w:rsidRPr="00581749">
        <w:rPr>
          <w:rFonts w:eastAsia="Calibri" w:cstheme="minorHAnsi"/>
        </w:rPr>
        <w:t xml:space="preserve"> </w:t>
      </w:r>
      <w:r w:rsidRPr="00581749">
        <w:rPr>
          <w:rFonts w:eastAsia="Calibri" w:cstheme="minorHAnsi"/>
        </w:rPr>
        <w:t>stosowne</w:t>
      </w:r>
      <w:r w:rsidR="003B50ED" w:rsidRPr="00581749">
        <w:rPr>
          <w:rFonts w:eastAsia="Calibri" w:cstheme="minorHAnsi"/>
        </w:rPr>
        <w:t xml:space="preserve"> </w:t>
      </w:r>
      <w:r w:rsidRPr="00581749">
        <w:rPr>
          <w:rFonts w:eastAsia="Calibri" w:cstheme="minorHAnsi"/>
        </w:rPr>
        <w:t>zestawienie,</w:t>
      </w:r>
      <w:r w:rsidR="003B50ED" w:rsidRPr="00581749">
        <w:rPr>
          <w:rFonts w:eastAsia="Calibri" w:cstheme="minorHAnsi"/>
        </w:rPr>
        <w:t xml:space="preserve"> </w:t>
      </w:r>
      <w:r w:rsidRPr="00581749">
        <w:rPr>
          <w:rFonts w:eastAsia="Calibri" w:cstheme="minorHAnsi"/>
        </w:rPr>
        <w:t>które</w:t>
      </w:r>
      <w:r w:rsidR="003B50ED" w:rsidRPr="00581749">
        <w:rPr>
          <w:rFonts w:eastAsia="Calibri" w:cstheme="minorHAnsi"/>
        </w:rPr>
        <w:t xml:space="preserve"> </w:t>
      </w:r>
      <w:r w:rsidRPr="00581749">
        <w:rPr>
          <w:rFonts w:eastAsia="Calibri" w:cstheme="minorHAnsi"/>
        </w:rPr>
        <w:t>było</w:t>
      </w:r>
      <w:r w:rsidR="003B50ED" w:rsidRPr="00581749">
        <w:rPr>
          <w:rFonts w:eastAsia="Calibri" w:cstheme="minorHAnsi"/>
        </w:rPr>
        <w:t xml:space="preserve"> </w:t>
      </w:r>
      <w:r w:rsidRPr="00581749">
        <w:rPr>
          <w:rFonts w:eastAsia="Calibri" w:cstheme="minorHAnsi"/>
        </w:rPr>
        <w:t>bardzo</w:t>
      </w:r>
      <w:r w:rsidR="003B50ED" w:rsidRPr="00581749">
        <w:rPr>
          <w:rFonts w:eastAsia="Calibri" w:cstheme="minorHAnsi"/>
        </w:rPr>
        <w:t xml:space="preserve"> </w:t>
      </w:r>
      <w:r w:rsidRPr="00581749">
        <w:rPr>
          <w:rFonts w:eastAsia="Calibri" w:cstheme="minorHAnsi"/>
        </w:rPr>
        <w:t>pomocne</w:t>
      </w:r>
      <w:r w:rsidR="003B50ED" w:rsidRPr="00581749">
        <w:rPr>
          <w:rFonts w:eastAsia="Calibri" w:cstheme="minorHAnsi"/>
        </w:rPr>
        <w:t xml:space="preserve"> </w:t>
      </w:r>
      <w:r w:rsidRPr="00581749">
        <w:rPr>
          <w:rFonts w:eastAsia="Calibri" w:cstheme="minorHAnsi"/>
        </w:rPr>
        <w:t>w</w:t>
      </w:r>
      <w:r w:rsidR="003B50ED" w:rsidRPr="00581749">
        <w:rPr>
          <w:rFonts w:eastAsia="Calibri" w:cstheme="minorHAnsi"/>
        </w:rPr>
        <w:t xml:space="preserve"> </w:t>
      </w:r>
      <w:r w:rsidRPr="00581749">
        <w:rPr>
          <w:rFonts w:eastAsia="Calibri" w:cstheme="minorHAnsi"/>
        </w:rPr>
        <w:t>pracach</w:t>
      </w:r>
      <w:r w:rsidR="003B50ED" w:rsidRPr="00581749">
        <w:rPr>
          <w:rFonts w:eastAsia="Calibri" w:cstheme="minorHAnsi"/>
        </w:rPr>
        <w:t xml:space="preserve"> </w:t>
      </w:r>
      <w:r w:rsidRPr="00581749">
        <w:rPr>
          <w:rFonts w:eastAsia="Calibri" w:cstheme="minorHAnsi"/>
        </w:rPr>
        <w:t>nad</w:t>
      </w:r>
      <w:r w:rsidR="003B50ED" w:rsidRPr="00581749">
        <w:rPr>
          <w:rFonts w:eastAsia="Calibri" w:cstheme="minorHAnsi"/>
        </w:rPr>
        <w:t xml:space="preserve"> </w:t>
      </w:r>
      <w:r w:rsidRPr="00581749">
        <w:rPr>
          <w:rFonts w:eastAsia="Calibri" w:cstheme="minorHAnsi"/>
        </w:rPr>
        <w:t>poszczególnymi</w:t>
      </w:r>
      <w:r w:rsidR="003B50ED" w:rsidRPr="00581749">
        <w:rPr>
          <w:rFonts w:eastAsia="Calibri" w:cstheme="minorHAnsi"/>
        </w:rPr>
        <w:t xml:space="preserve"> </w:t>
      </w:r>
      <w:r w:rsidRPr="00581749">
        <w:rPr>
          <w:rFonts w:eastAsia="Calibri" w:cstheme="minorHAnsi"/>
        </w:rPr>
        <w:t>rozdziałami</w:t>
      </w:r>
      <w:r w:rsidR="003B50ED" w:rsidRPr="00581749">
        <w:rPr>
          <w:rFonts w:eastAsia="Calibri" w:cstheme="minorHAnsi"/>
        </w:rPr>
        <w:t xml:space="preserve"> </w:t>
      </w:r>
      <w:r w:rsidRPr="00581749">
        <w:rPr>
          <w:rFonts w:eastAsia="Calibri" w:cstheme="minorHAnsi"/>
        </w:rPr>
        <w:t>LSR.</w:t>
      </w:r>
      <w:r w:rsidR="003B50ED" w:rsidRPr="00581749">
        <w:rPr>
          <w:rFonts w:eastAsia="Calibri" w:cstheme="minorHAnsi"/>
        </w:rPr>
        <w:t xml:space="preserve"> </w:t>
      </w:r>
    </w:p>
    <w:p w14:paraId="742FC1B0" w14:textId="64D6350F" w:rsidR="00027186" w:rsidRPr="00A26C26" w:rsidRDefault="00027186" w:rsidP="00A26C26">
      <w:pPr>
        <w:spacing w:line="276" w:lineRule="auto"/>
        <w:jc w:val="both"/>
        <w:rPr>
          <w:rFonts w:eastAsia="Calibri" w:cstheme="minorHAnsi"/>
        </w:rPr>
      </w:pPr>
      <w:r w:rsidRPr="00581749">
        <w:rPr>
          <w:rFonts w:eastAsia="Calibri" w:cstheme="minorHAnsi"/>
        </w:rPr>
        <w:t>Zgłoszone</w:t>
      </w:r>
      <w:r w:rsidR="003B50ED" w:rsidRPr="00581749">
        <w:rPr>
          <w:rFonts w:eastAsia="Calibri" w:cstheme="minorHAnsi"/>
        </w:rPr>
        <w:t xml:space="preserve"> </w:t>
      </w:r>
      <w:r w:rsidRPr="00581749">
        <w:rPr>
          <w:rFonts w:eastAsia="Calibri" w:cstheme="minorHAnsi"/>
        </w:rPr>
        <w:t>karty</w:t>
      </w:r>
      <w:r w:rsidR="003B50ED" w:rsidRPr="00581749">
        <w:rPr>
          <w:rFonts w:eastAsia="Calibri" w:cstheme="minorHAnsi"/>
        </w:rPr>
        <w:t xml:space="preserve"> </w:t>
      </w:r>
      <w:r w:rsidRPr="00581749">
        <w:rPr>
          <w:rFonts w:eastAsia="Calibri" w:cstheme="minorHAnsi"/>
        </w:rPr>
        <w:t>pomysłu</w:t>
      </w:r>
      <w:r w:rsidR="003B50ED" w:rsidRPr="00581749">
        <w:rPr>
          <w:rFonts w:eastAsia="Calibri" w:cstheme="minorHAnsi"/>
        </w:rPr>
        <w:t xml:space="preserve"> </w:t>
      </w:r>
      <w:r w:rsidRPr="00581749">
        <w:rPr>
          <w:rFonts w:eastAsia="Calibri" w:cstheme="minorHAnsi"/>
        </w:rPr>
        <w:t>okazały</w:t>
      </w:r>
      <w:r w:rsidR="003B50ED" w:rsidRPr="00581749">
        <w:rPr>
          <w:rFonts w:eastAsia="Calibri" w:cstheme="minorHAnsi"/>
        </w:rPr>
        <w:t xml:space="preserve"> </w:t>
      </w:r>
      <w:r w:rsidRPr="00581749">
        <w:rPr>
          <w:rFonts w:eastAsia="Calibri" w:cstheme="minorHAnsi"/>
        </w:rPr>
        <w:t>się</w:t>
      </w:r>
      <w:r w:rsidR="003B50ED" w:rsidRPr="00581749">
        <w:rPr>
          <w:rFonts w:eastAsia="Calibri" w:cstheme="minorHAnsi"/>
        </w:rPr>
        <w:t xml:space="preserve"> </w:t>
      </w:r>
      <w:r w:rsidRPr="00581749">
        <w:rPr>
          <w:rFonts w:eastAsia="Calibri" w:cstheme="minorHAnsi"/>
        </w:rPr>
        <w:t>cenną</w:t>
      </w:r>
      <w:r w:rsidR="003B50ED" w:rsidRPr="00581749">
        <w:rPr>
          <w:rFonts w:eastAsia="Calibri" w:cstheme="minorHAnsi"/>
        </w:rPr>
        <w:t xml:space="preserve"> </w:t>
      </w:r>
      <w:r w:rsidRPr="00581749">
        <w:rPr>
          <w:rFonts w:eastAsia="Calibri" w:cstheme="minorHAnsi"/>
        </w:rPr>
        <w:t>pomocą</w:t>
      </w:r>
      <w:r w:rsidR="003B50ED" w:rsidRPr="00581749">
        <w:rPr>
          <w:rFonts w:eastAsia="Calibri" w:cstheme="minorHAnsi"/>
        </w:rPr>
        <w:t xml:space="preserve"> </w:t>
      </w:r>
      <w:r w:rsidRPr="00581749">
        <w:rPr>
          <w:rFonts w:eastAsia="Calibri" w:cstheme="minorHAnsi"/>
        </w:rPr>
        <w:t>dla</w:t>
      </w:r>
      <w:r w:rsidR="003B50ED" w:rsidRPr="00581749">
        <w:rPr>
          <w:rFonts w:eastAsia="Calibri" w:cstheme="minorHAnsi"/>
        </w:rPr>
        <w:t xml:space="preserve"> </w:t>
      </w:r>
      <w:r w:rsidRPr="00581749">
        <w:rPr>
          <w:rFonts w:eastAsia="Calibri" w:cstheme="minorHAnsi"/>
        </w:rPr>
        <w:t>sporządzenia</w:t>
      </w:r>
      <w:r w:rsidR="003B50ED" w:rsidRPr="00581749">
        <w:rPr>
          <w:rFonts w:eastAsia="Calibri" w:cstheme="minorHAnsi"/>
        </w:rPr>
        <w:t xml:space="preserve"> </w:t>
      </w:r>
      <w:r w:rsidRPr="00581749">
        <w:rPr>
          <w:rFonts w:eastAsia="Calibri" w:cstheme="minorHAnsi"/>
        </w:rPr>
        <w:t>diagnozy</w:t>
      </w:r>
      <w:r w:rsidR="003B50ED" w:rsidRPr="00581749">
        <w:rPr>
          <w:rFonts w:eastAsia="Calibri" w:cstheme="minorHAnsi"/>
        </w:rPr>
        <w:t xml:space="preserve"> </w:t>
      </w:r>
      <w:r w:rsidRPr="00581749">
        <w:rPr>
          <w:rFonts w:eastAsia="Calibri" w:cstheme="minorHAnsi"/>
        </w:rPr>
        <w:t>i</w:t>
      </w:r>
      <w:r w:rsidR="003B50ED" w:rsidRPr="00581749">
        <w:rPr>
          <w:rFonts w:eastAsia="Calibri" w:cstheme="minorHAnsi"/>
        </w:rPr>
        <w:t xml:space="preserve"> </w:t>
      </w:r>
      <w:r w:rsidRPr="00581749">
        <w:rPr>
          <w:rFonts w:eastAsia="Calibri" w:cstheme="minorHAnsi"/>
        </w:rPr>
        <w:t>analizy</w:t>
      </w:r>
      <w:r w:rsidR="003B50ED" w:rsidRPr="00581749">
        <w:rPr>
          <w:rFonts w:eastAsia="Calibri" w:cstheme="minorHAnsi"/>
        </w:rPr>
        <w:t xml:space="preserve"> </w:t>
      </w:r>
      <w:r w:rsidRPr="00581749">
        <w:rPr>
          <w:rFonts w:eastAsia="Calibri" w:cstheme="minorHAnsi"/>
        </w:rPr>
        <w:t>SWOT</w:t>
      </w:r>
      <w:r w:rsidR="003B50ED" w:rsidRPr="00581749">
        <w:rPr>
          <w:rFonts w:eastAsia="Calibri" w:cstheme="minorHAnsi"/>
        </w:rPr>
        <w:t xml:space="preserve"> </w:t>
      </w:r>
      <w:r w:rsidRPr="00581749">
        <w:rPr>
          <w:rFonts w:eastAsia="Calibri" w:cstheme="minorHAnsi"/>
        </w:rPr>
        <w:t>obszaru</w:t>
      </w:r>
      <w:r w:rsidR="003B50ED" w:rsidRPr="00581749">
        <w:rPr>
          <w:rFonts w:eastAsia="Calibri" w:cstheme="minorHAnsi"/>
        </w:rPr>
        <w:t xml:space="preserve"> </w:t>
      </w:r>
      <w:r w:rsidRPr="00581749">
        <w:rPr>
          <w:rFonts w:eastAsia="Calibri" w:cstheme="minorHAnsi"/>
        </w:rPr>
        <w:t>LSR,</w:t>
      </w:r>
      <w:r w:rsidR="003B50ED" w:rsidRPr="00581749">
        <w:rPr>
          <w:rFonts w:eastAsia="Calibri" w:cstheme="minorHAnsi"/>
        </w:rPr>
        <w:t xml:space="preserve"> </w:t>
      </w:r>
      <w:r w:rsidRPr="00581749">
        <w:rPr>
          <w:rFonts w:eastAsia="Calibri" w:cstheme="minorHAnsi"/>
        </w:rPr>
        <w:t>opracowania</w:t>
      </w:r>
      <w:r w:rsidR="003B50ED" w:rsidRPr="00581749">
        <w:rPr>
          <w:rFonts w:eastAsia="Calibri" w:cstheme="minorHAnsi"/>
        </w:rPr>
        <w:t xml:space="preserve"> </w:t>
      </w:r>
      <w:r w:rsidRPr="00581749">
        <w:rPr>
          <w:rFonts w:eastAsia="Calibri" w:cstheme="minorHAnsi"/>
        </w:rPr>
        <w:t>celów</w:t>
      </w:r>
      <w:r w:rsidR="003B50ED" w:rsidRPr="00581749">
        <w:rPr>
          <w:rFonts w:eastAsia="Calibri" w:cstheme="minorHAnsi"/>
        </w:rPr>
        <w:t xml:space="preserve"> </w:t>
      </w:r>
      <w:r w:rsidRPr="00581749">
        <w:rPr>
          <w:rFonts w:eastAsia="Calibri" w:cstheme="minorHAnsi"/>
        </w:rPr>
        <w:t>i</w:t>
      </w:r>
      <w:r w:rsidR="003B50ED" w:rsidRPr="00581749">
        <w:rPr>
          <w:rFonts w:eastAsia="Calibri" w:cstheme="minorHAnsi"/>
        </w:rPr>
        <w:t xml:space="preserve"> </w:t>
      </w:r>
      <w:r w:rsidRPr="00581749">
        <w:rPr>
          <w:rFonts w:eastAsia="Calibri" w:cstheme="minorHAnsi"/>
        </w:rPr>
        <w:t>wskaźników</w:t>
      </w:r>
      <w:r w:rsidR="003B50ED" w:rsidRPr="00581749">
        <w:rPr>
          <w:rFonts w:eastAsia="Calibri" w:cstheme="minorHAnsi"/>
        </w:rPr>
        <w:t xml:space="preserve"> </w:t>
      </w:r>
      <w:r w:rsidRPr="00581749">
        <w:rPr>
          <w:rFonts w:eastAsia="Calibri" w:cstheme="minorHAnsi"/>
        </w:rPr>
        <w:t>LSR</w:t>
      </w:r>
      <w:r w:rsidR="003B50ED" w:rsidRPr="00581749">
        <w:rPr>
          <w:rFonts w:eastAsia="Calibri" w:cstheme="minorHAnsi"/>
        </w:rPr>
        <w:t xml:space="preserve"> </w:t>
      </w:r>
      <w:r w:rsidRPr="00581749">
        <w:rPr>
          <w:rFonts w:eastAsia="Calibri" w:cstheme="minorHAnsi"/>
        </w:rPr>
        <w:t>i</w:t>
      </w:r>
      <w:r w:rsidR="003B50ED" w:rsidRPr="00581749">
        <w:rPr>
          <w:rFonts w:eastAsia="Calibri" w:cstheme="minorHAnsi"/>
        </w:rPr>
        <w:t xml:space="preserve"> </w:t>
      </w:r>
      <w:r w:rsidRPr="00581749">
        <w:rPr>
          <w:rFonts w:eastAsia="Calibri" w:cstheme="minorHAnsi"/>
        </w:rPr>
        <w:t>tym</w:t>
      </w:r>
      <w:r w:rsidR="003B50ED" w:rsidRPr="00581749">
        <w:rPr>
          <w:rFonts w:eastAsia="Calibri" w:cstheme="minorHAnsi"/>
        </w:rPr>
        <w:t xml:space="preserve"> </w:t>
      </w:r>
      <w:r w:rsidRPr="00581749">
        <w:rPr>
          <w:rFonts w:eastAsia="Calibri" w:cstheme="minorHAnsi"/>
        </w:rPr>
        <w:t>samym</w:t>
      </w:r>
      <w:r w:rsidR="003B50ED" w:rsidRPr="00581749">
        <w:rPr>
          <w:rFonts w:eastAsia="Calibri" w:cstheme="minorHAnsi"/>
        </w:rPr>
        <w:t xml:space="preserve"> </w:t>
      </w:r>
      <w:r w:rsidRPr="00581749">
        <w:rPr>
          <w:rFonts w:eastAsia="Calibri" w:cstheme="minorHAnsi"/>
        </w:rPr>
        <w:t>planu</w:t>
      </w:r>
      <w:r w:rsidR="003B50ED" w:rsidRPr="00581749">
        <w:rPr>
          <w:rFonts w:eastAsia="Calibri" w:cstheme="minorHAnsi"/>
        </w:rPr>
        <w:t xml:space="preserve"> </w:t>
      </w:r>
      <w:r w:rsidRPr="00581749">
        <w:rPr>
          <w:rFonts w:eastAsia="Calibri" w:cstheme="minorHAnsi"/>
        </w:rPr>
        <w:t>działania</w:t>
      </w:r>
      <w:r w:rsidR="003B50ED" w:rsidRPr="00581749">
        <w:rPr>
          <w:rFonts w:eastAsia="Calibri" w:cstheme="minorHAnsi"/>
        </w:rPr>
        <w:t xml:space="preserve"> </w:t>
      </w:r>
      <w:r w:rsidRPr="00581749">
        <w:rPr>
          <w:rFonts w:eastAsia="Calibri" w:cstheme="minorHAnsi"/>
        </w:rPr>
        <w:t>jak</w:t>
      </w:r>
      <w:r w:rsidR="003B50ED" w:rsidRPr="00581749">
        <w:rPr>
          <w:rFonts w:eastAsia="Calibri" w:cstheme="minorHAnsi"/>
        </w:rPr>
        <w:t xml:space="preserve"> </w:t>
      </w:r>
      <w:r w:rsidRPr="00581749">
        <w:rPr>
          <w:rFonts w:eastAsia="Calibri" w:cstheme="minorHAnsi"/>
        </w:rPr>
        <w:t>również</w:t>
      </w:r>
      <w:r w:rsidR="003B50ED" w:rsidRPr="00581749">
        <w:rPr>
          <w:rFonts w:eastAsia="Calibri" w:cstheme="minorHAnsi"/>
        </w:rPr>
        <w:t xml:space="preserve"> </w:t>
      </w:r>
      <w:r w:rsidRPr="00581749">
        <w:rPr>
          <w:rFonts w:eastAsia="Calibri" w:cstheme="minorHAnsi"/>
        </w:rPr>
        <w:t>fundamentalnego</w:t>
      </w:r>
      <w:r w:rsidR="003B50ED" w:rsidRPr="00581749">
        <w:rPr>
          <w:rFonts w:eastAsia="Calibri" w:cstheme="minorHAnsi"/>
        </w:rPr>
        <w:t xml:space="preserve"> </w:t>
      </w:r>
      <w:r w:rsidRPr="00581749">
        <w:rPr>
          <w:rFonts w:eastAsia="Calibri" w:cstheme="minorHAnsi"/>
        </w:rPr>
        <w:t>dokumentu</w:t>
      </w:r>
      <w:r w:rsidR="003B50ED" w:rsidRPr="00581749">
        <w:rPr>
          <w:rFonts w:eastAsia="Calibri" w:cstheme="minorHAnsi"/>
        </w:rPr>
        <w:t xml:space="preserve"> </w:t>
      </w:r>
      <w:r w:rsidRPr="00581749">
        <w:rPr>
          <w:rFonts w:eastAsia="Calibri" w:cstheme="minorHAnsi"/>
        </w:rPr>
        <w:br/>
        <w:t>w</w:t>
      </w:r>
      <w:r w:rsidR="003B50ED" w:rsidRPr="00581749">
        <w:rPr>
          <w:rFonts w:eastAsia="Calibri" w:cstheme="minorHAnsi"/>
        </w:rPr>
        <w:t xml:space="preserve"> </w:t>
      </w:r>
      <w:r w:rsidRPr="00581749">
        <w:rPr>
          <w:rFonts w:eastAsia="Calibri" w:cstheme="minorHAnsi"/>
        </w:rPr>
        <w:t>zakresie</w:t>
      </w:r>
      <w:r w:rsidR="003B50ED" w:rsidRPr="00581749">
        <w:rPr>
          <w:rFonts w:eastAsia="Calibri" w:cstheme="minorHAnsi"/>
        </w:rPr>
        <w:t xml:space="preserve"> </w:t>
      </w:r>
      <w:r w:rsidRPr="00581749">
        <w:rPr>
          <w:rFonts w:eastAsia="Calibri" w:cstheme="minorHAnsi"/>
        </w:rPr>
        <w:t>angażowania</w:t>
      </w:r>
      <w:r w:rsidR="003B50ED" w:rsidRPr="00581749">
        <w:rPr>
          <w:rFonts w:eastAsia="Calibri" w:cstheme="minorHAnsi"/>
        </w:rPr>
        <w:t xml:space="preserve"> </w:t>
      </w:r>
      <w:r w:rsidRPr="00581749">
        <w:rPr>
          <w:rFonts w:eastAsia="Calibri" w:cstheme="minorHAnsi"/>
        </w:rPr>
        <w:t>lokalnej</w:t>
      </w:r>
      <w:r w:rsidR="003B50ED" w:rsidRPr="00581749">
        <w:rPr>
          <w:rFonts w:eastAsia="Calibri" w:cstheme="minorHAnsi"/>
        </w:rPr>
        <w:t xml:space="preserve"> </w:t>
      </w:r>
      <w:r w:rsidRPr="00581749">
        <w:rPr>
          <w:rFonts w:eastAsia="Calibri" w:cstheme="minorHAnsi"/>
        </w:rPr>
        <w:t>społeczności</w:t>
      </w:r>
      <w:r w:rsidR="003B50ED" w:rsidRPr="00581749">
        <w:rPr>
          <w:rFonts w:eastAsia="Calibri" w:cstheme="minorHAnsi"/>
        </w:rPr>
        <w:t xml:space="preserve"> </w:t>
      </w:r>
      <w:r w:rsidRPr="00581749">
        <w:rPr>
          <w:rFonts w:eastAsia="Calibri" w:cstheme="minorHAnsi"/>
        </w:rPr>
        <w:t>–</w:t>
      </w:r>
      <w:r w:rsidR="003B50ED" w:rsidRPr="00581749">
        <w:rPr>
          <w:rFonts w:eastAsia="Calibri" w:cstheme="minorHAnsi"/>
        </w:rPr>
        <w:t xml:space="preserve"> </w:t>
      </w:r>
      <w:r w:rsidRPr="00581749">
        <w:rPr>
          <w:rFonts w:eastAsia="Calibri" w:cstheme="minorHAnsi"/>
        </w:rPr>
        <w:t>Planu</w:t>
      </w:r>
      <w:r w:rsidR="003B50ED" w:rsidRPr="00581749">
        <w:rPr>
          <w:rFonts w:eastAsia="Calibri" w:cstheme="minorHAnsi"/>
        </w:rPr>
        <w:t xml:space="preserve"> </w:t>
      </w:r>
      <w:r w:rsidRPr="00581749">
        <w:rPr>
          <w:rFonts w:eastAsia="Calibri" w:cstheme="minorHAnsi"/>
        </w:rPr>
        <w:t>komunikacji.</w:t>
      </w:r>
      <w:r w:rsidR="003B50ED">
        <w:rPr>
          <w:rFonts w:eastAsia="Calibri" w:cstheme="minorHAnsi"/>
        </w:rPr>
        <w:t xml:space="preserve"> </w:t>
      </w:r>
      <w:bookmarkEnd w:id="31"/>
    </w:p>
    <w:p w14:paraId="40AE1DE7" w14:textId="554C0F87" w:rsidR="00E2372E" w:rsidRPr="00A26C26" w:rsidRDefault="00E2372E" w:rsidP="00A26C26">
      <w:pPr>
        <w:spacing w:line="276" w:lineRule="auto"/>
        <w:ind w:firstLine="360"/>
        <w:jc w:val="both"/>
        <w:rPr>
          <w:rFonts w:eastAsia="Calibri" w:cstheme="minorHAnsi"/>
        </w:rPr>
      </w:pPr>
      <w:r w:rsidRPr="00A26C26">
        <w:rPr>
          <w:rFonts w:eastAsia="Calibri" w:cstheme="minorHAnsi"/>
        </w:rPr>
        <w:t>Ponadto,</w:t>
      </w:r>
      <w:r w:rsidR="003B50ED">
        <w:rPr>
          <w:rFonts w:eastAsia="Calibri" w:cstheme="minorHAnsi"/>
        </w:rPr>
        <w:t xml:space="preserve"> </w:t>
      </w:r>
      <w:r w:rsidRPr="00A26C26">
        <w:rPr>
          <w:rFonts w:eastAsia="Calibri" w:cstheme="minorHAnsi"/>
        </w:rPr>
        <w:t>należy</w:t>
      </w:r>
      <w:r w:rsidR="003B50ED">
        <w:rPr>
          <w:rFonts w:eastAsia="Calibri" w:cstheme="minorHAnsi"/>
        </w:rPr>
        <w:t xml:space="preserve"> </w:t>
      </w:r>
      <w:r w:rsidRPr="00A26C26">
        <w:rPr>
          <w:rFonts w:eastAsia="Calibri" w:cstheme="minorHAnsi"/>
        </w:rPr>
        <w:t>podkreślić,</w:t>
      </w:r>
      <w:r w:rsidR="003B50ED">
        <w:rPr>
          <w:rFonts w:eastAsia="Calibri" w:cstheme="minorHAnsi"/>
        </w:rPr>
        <w:t xml:space="preserve"> </w:t>
      </w:r>
      <w:r w:rsidRPr="00A26C26">
        <w:rPr>
          <w:rFonts w:eastAsia="Calibri" w:cstheme="minorHAnsi"/>
        </w:rPr>
        <w:t>iż</w:t>
      </w:r>
      <w:r w:rsidR="003B50ED">
        <w:rPr>
          <w:rFonts w:eastAsia="Calibri" w:cstheme="minorHAnsi"/>
        </w:rPr>
        <w:t xml:space="preserve"> </w:t>
      </w:r>
      <w:r w:rsidR="00027186" w:rsidRPr="00A26C26">
        <w:rPr>
          <w:rFonts w:eastAsia="Calibri" w:cstheme="minorHAnsi"/>
        </w:rPr>
        <w:t>na</w:t>
      </w:r>
      <w:r w:rsidR="003B50ED">
        <w:rPr>
          <w:rFonts w:eastAsia="Calibri" w:cstheme="minorHAnsi"/>
        </w:rPr>
        <w:t xml:space="preserve"> </w:t>
      </w:r>
      <w:r w:rsidR="00027186" w:rsidRPr="00A26C26">
        <w:rPr>
          <w:rFonts w:eastAsia="Calibri" w:cstheme="minorHAnsi"/>
        </w:rPr>
        <w:t>przestrzeni</w:t>
      </w:r>
      <w:r w:rsidR="003B50ED">
        <w:rPr>
          <w:rFonts w:eastAsia="Calibri" w:cstheme="minorHAnsi"/>
        </w:rPr>
        <w:t xml:space="preserve"> </w:t>
      </w:r>
      <w:r w:rsidR="00027186" w:rsidRPr="00A26C26">
        <w:rPr>
          <w:rFonts w:eastAsia="Calibri" w:cstheme="minorHAnsi"/>
        </w:rPr>
        <w:t>całego</w:t>
      </w:r>
      <w:r w:rsidR="003B50ED">
        <w:rPr>
          <w:rFonts w:eastAsia="Calibri" w:cstheme="minorHAnsi"/>
        </w:rPr>
        <w:t xml:space="preserve"> </w:t>
      </w:r>
      <w:r w:rsidR="00027186" w:rsidRPr="00A26C26">
        <w:rPr>
          <w:rFonts w:eastAsia="Calibri" w:cstheme="minorHAnsi"/>
        </w:rPr>
        <w:t>okresu</w:t>
      </w:r>
      <w:r w:rsidR="003B50ED">
        <w:rPr>
          <w:rFonts w:eastAsia="Calibri" w:cstheme="minorHAnsi"/>
        </w:rPr>
        <w:t xml:space="preserve"> </w:t>
      </w:r>
      <w:r w:rsidR="00027186" w:rsidRPr="00A26C26">
        <w:rPr>
          <w:rFonts w:eastAsia="Calibri" w:cstheme="minorHAnsi"/>
        </w:rPr>
        <w:t>konturowania</w:t>
      </w:r>
      <w:r w:rsidR="003B50ED">
        <w:rPr>
          <w:rFonts w:eastAsia="Calibri" w:cstheme="minorHAnsi"/>
        </w:rPr>
        <w:t xml:space="preserve"> </w:t>
      </w:r>
      <w:r w:rsidRPr="00A26C26">
        <w:rPr>
          <w:rFonts w:eastAsia="Calibri" w:cstheme="minorHAnsi"/>
        </w:rPr>
        <w:t>LSR</w:t>
      </w:r>
      <w:r w:rsidR="003B50ED">
        <w:rPr>
          <w:rFonts w:eastAsia="Calibri" w:cstheme="minorHAnsi"/>
        </w:rPr>
        <w:t xml:space="preserve"> </w:t>
      </w:r>
      <w:r w:rsidRPr="00A26C26">
        <w:rPr>
          <w:rFonts w:eastAsia="Calibri" w:cstheme="minorHAnsi"/>
        </w:rPr>
        <w:t>stosowano</w:t>
      </w:r>
      <w:r w:rsidR="003B50ED">
        <w:rPr>
          <w:rFonts w:eastAsia="Calibri" w:cstheme="minorHAnsi"/>
        </w:rPr>
        <w:t xml:space="preserve"> </w:t>
      </w:r>
      <w:r w:rsidR="003B6567" w:rsidRPr="00A26C26">
        <w:rPr>
          <w:rFonts w:eastAsia="Calibri" w:cstheme="minorHAnsi"/>
        </w:rPr>
        <w:t>bardzo</w:t>
      </w:r>
      <w:r w:rsidR="003B50ED">
        <w:rPr>
          <w:rFonts w:eastAsia="Calibri" w:cstheme="minorHAnsi"/>
        </w:rPr>
        <w:t xml:space="preserve"> </w:t>
      </w:r>
      <w:r w:rsidR="003B6567" w:rsidRPr="00A26C26">
        <w:rPr>
          <w:rFonts w:eastAsia="Calibri" w:cstheme="minorHAnsi"/>
        </w:rPr>
        <w:t>szeroki</w:t>
      </w:r>
      <w:r w:rsidR="003B50ED">
        <w:rPr>
          <w:rFonts w:eastAsia="Calibri" w:cstheme="minorHAnsi"/>
        </w:rPr>
        <w:t xml:space="preserve"> </w:t>
      </w:r>
      <w:r w:rsidR="00CD43FD" w:rsidRPr="00A26C26">
        <w:rPr>
          <w:rFonts w:eastAsia="Calibri" w:cstheme="minorHAnsi"/>
        </w:rPr>
        <w:t>wachlarz</w:t>
      </w:r>
      <w:r w:rsidR="003B50ED">
        <w:rPr>
          <w:rFonts w:eastAsia="Calibri" w:cstheme="minorHAnsi"/>
        </w:rPr>
        <w:t xml:space="preserve"> </w:t>
      </w:r>
      <w:r w:rsidRPr="00A26C26">
        <w:rPr>
          <w:rFonts w:eastAsia="Calibri" w:cstheme="minorHAnsi"/>
        </w:rPr>
        <w:t>zachęt</w:t>
      </w:r>
      <w:r w:rsidR="003B50ED">
        <w:rPr>
          <w:rFonts w:eastAsia="Calibri" w:cstheme="minorHAnsi"/>
        </w:rPr>
        <w:t xml:space="preserve"> </w:t>
      </w:r>
      <w:r w:rsidRPr="00A26C26">
        <w:rPr>
          <w:rFonts w:eastAsia="Calibri" w:cstheme="minorHAnsi"/>
        </w:rPr>
        <w:t>do</w:t>
      </w:r>
      <w:r w:rsidR="003B50ED">
        <w:rPr>
          <w:rFonts w:eastAsia="Calibri" w:cstheme="minorHAnsi"/>
        </w:rPr>
        <w:t xml:space="preserve"> </w:t>
      </w:r>
      <w:r w:rsidRPr="00A26C26">
        <w:rPr>
          <w:rFonts w:eastAsia="Calibri" w:cstheme="minorHAnsi"/>
        </w:rPr>
        <w:t>włączenia</w:t>
      </w:r>
      <w:r w:rsidR="003B50ED">
        <w:rPr>
          <w:rFonts w:eastAsia="Calibri" w:cstheme="minorHAnsi"/>
        </w:rPr>
        <w:t xml:space="preserve"> </w:t>
      </w:r>
      <w:r w:rsidRPr="00A26C26">
        <w:rPr>
          <w:rFonts w:eastAsia="Calibri" w:cstheme="minorHAnsi"/>
        </w:rPr>
        <w:t>się</w:t>
      </w:r>
      <w:r w:rsidR="003B50ED">
        <w:rPr>
          <w:rFonts w:eastAsia="Calibri" w:cstheme="minorHAnsi"/>
        </w:rPr>
        <w:t xml:space="preserve"> </w:t>
      </w:r>
      <w:r w:rsidR="00CD43FD" w:rsidRPr="00A26C26">
        <w:rPr>
          <w:rFonts w:eastAsia="Calibri" w:cstheme="minorHAnsi"/>
        </w:rPr>
        <w:t>lokalnej</w:t>
      </w:r>
      <w:r w:rsidR="003B50ED">
        <w:rPr>
          <w:rFonts w:eastAsia="Calibri" w:cstheme="minorHAnsi"/>
        </w:rPr>
        <w:t xml:space="preserve"> </w:t>
      </w:r>
      <w:r w:rsidR="00CD43FD" w:rsidRPr="00A26C26">
        <w:rPr>
          <w:rFonts w:eastAsia="Calibri" w:cstheme="minorHAnsi"/>
        </w:rPr>
        <w:t>społeczności</w:t>
      </w:r>
      <w:r w:rsidRPr="00A26C26">
        <w:rPr>
          <w:rFonts w:eastAsia="Calibri" w:cstheme="minorHAnsi"/>
        </w:rPr>
        <w:t>.</w:t>
      </w:r>
      <w:r w:rsidR="003B50ED">
        <w:rPr>
          <w:rFonts w:eastAsia="Calibri" w:cstheme="minorHAnsi"/>
        </w:rPr>
        <w:t xml:space="preserve"> </w:t>
      </w:r>
      <w:r w:rsidRPr="00A26C26">
        <w:rPr>
          <w:rFonts w:eastAsia="Calibri" w:cstheme="minorHAnsi"/>
        </w:rPr>
        <w:t>Na</w:t>
      </w:r>
      <w:r w:rsidR="003B50ED">
        <w:rPr>
          <w:rFonts w:eastAsia="Calibri" w:cstheme="minorHAnsi"/>
        </w:rPr>
        <w:t xml:space="preserve"> </w:t>
      </w:r>
      <w:r w:rsidRPr="00A26C26">
        <w:rPr>
          <w:rFonts w:eastAsia="Calibri" w:cstheme="minorHAnsi"/>
        </w:rPr>
        <w:t>uwagę</w:t>
      </w:r>
      <w:r w:rsidR="003B50ED">
        <w:rPr>
          <w:rFonts w:eastAsia="Calibri" w:cstheme="minorHAnsi"/>
        </w:rPr>
        <w:t xml:space="preserve"> </w:t>
      </w:r>
      <w:r w:rsidRPr="00A26C26">
        <w:rPr>
          <w:rFonts w:eastAsia="Calibri" w:cstheme="minorHAnsi"/>
        </w:rPr>
        <w:t>zasługują</w:t>
      </w:r>
      <w:r w:rsidR="003B50ED">
        <w:rPr>
          <w:rFonts w:eastAsia="Calibri" w:cstheme="minorHAnsi"/>
          <w:b/>
          <w:bCs/>
        </w:rPr>
        <w:t xml:space="preserve"> </w:t>
      </w:r>
      <w:r w:rsidRPr="00A26C26">
        <w:rPr>
          <w:rFonts w:eastAsia="Calibri" w:cstheme="minorHAnsi"/>
        </w:rPr>
        <w:t>następujące</w:t>
      </w:r>
      <w:r w:rsidR="003B50ED">
        <w:rPr>
          <w:rFonts w:eastAsia="Calibri" w:cstheme="minorHAnsi"/>
        </w:rPr>
        <w:t xml:space="preserve"> </w:t>
      </w:r>
      <w:r w:rsidRPr="00A26C26">
        <w:rPr>
          <w:rFonts w:eastAsia="Calibri" w:cstheme="minorHAnsi"/>
        </w:rPr>
        <w:t>strategie:</w:t>
      </w:r>
    </w:p>
    <w:p w14:paraId="75F41298" w14:textId="1553FD0C" w:rsidR="00CD43FD" w:rsidRPr="00A26C26" w:rsidRDefault="00CD43FD" w:rsidP="008A412F">
      <w:pPr>
        <w:numPr>
          <w:ilvl w:val="0"/>
          <w:numId w:val="6"/>
        </w:numPr>
        <w:spacing w:line="276" w:lineRule="auto"/>
        <w:jc w:val="both"/>
        <w:rPr>
          <w:rFonts w:eastAsia="Calibri" w:cstheme="minorHAnsi"/>
        </w:rPr>
      </w:pPr>
      <w:r w:rsidRPr="00A26C26">
        <w:rPr>
          <w:rFonts w:eastAsia="Calibri" w:cstheme="minorHAnsi"/>
        </w:rPr>
        <w:t>Komunikacja</w:t>
      </w:r>
      <w:r w:rsidR="003B50ED">
        <w:rPr>
          <w:rFonts w:eastAsia="Calibri" w:cstheme="minorHAnsi"/>
        </w:rPr>
        <w:t xml:space="preserve"> </w:t>
      </w:r>
      <w:r w:rsidRPr="00A26C26">
        <w:rPr>
          <w:rFonts w:eastAsia="Calibri" w:cstheme="minorHAnsi"/>
        </w:rPr>
        <w:t>przyjazna</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dostosowana</w:t>
      </w:r>
      <w:r w:rsidR="003B50ED">
        <w:rPr>
          <w:rFonts w:eastAsia="Calibri" w:cstheme="minorHAnsi"/>
        </w:rPr>
        <w:t xml:space="preserve"> </w:t>
      </w:r>
      <w:r w:rsidRPr="00A26C26">
        <w:rPr>
          <w:rFonts w:eastAsia="Calibri" w:cstheme="minorHAnsi"/>
        </w:rPr>
        <w:t>do</w:t>
      </w:r>
      <w:r w:rsidR="003B50ED">
        <w:rPr>
          <w:rFonts w:eastAsia="Calibri" w:cstheme="minorHAnsi"/>
        </w:rPr>
        <w:t xml:space="preserve"> </w:t>
      </w:r>
      <w:r w:rsidRPr="00A26C26">
        <w:rPr>
          <w:rFonts w:eastAsia="Calibri" w:cstheme="minorHAnsi"/>
        </w:rPr>
        <w:t>indywidualnych</w:t>
      </w:r>
      <w:r w:rsidR="003B50ED">
        <w:rPr>
          <w:rFonts w:eastAsia="Calibri" w:cstheme="minorHAnsi"/>
        </w:rPr>
        <w:t xml:space="preserve"> </w:t>
      </w:r>
      <w:r w:rsidRPr="00A26C26">
        <w:rPr>
          <w:rFonts w:eastAsia="Calibri" w:cstheme="minorHAnsi"/>
        </w:rPr>
        <w:t>potrzeb</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możliwości</w:t>
      </w:r>
      <w:r w:rsidR="003B50ED">
        <w:rPr>
          <w:rFonts w:eastAsia="Calibri" w:cstheme="minorHAnsi"/>
        </w:rPr>
        <w:t xml:space="preserve"> </w:t>
      </w:r>
      <w:r w:rsidRPr="00A26C26">
        <w:rPr>
          <w:rFonts w:eastAsia="Calibri" w:cstheme="minorHAnsi"/>
        </w:rPr>
        <w:t>odbiorców,</w:t>
      </w:r>
      <w:r w:rsidR="003B50ED">
        <w:rPr>
          <w:rFonts w:eastAsia="Calibri" w:cstheme="minorHAnsi"/>
        </w:rPr>
        <w:t xml:space="preserve"> </w:t>
      </w:r>
      <w:r w:rsidRPr="00A26C26">
        <w:rPr>
          <w:rFonts w:eastAsia="Calibri" w:cstheme="minorHAnsi"/>
        </w:rPr>
        <w:t>aby</w:t>
      </w:r>
      <w:r w:rsidR="003B50ED">
        <w:rPr>
          <w:rFonts w:eastAsia="Calibri" w:cstheme="minorHAnsi"/>
        </w:rPr>
        <w:t xml:space="preserve"> </w:t>
      </w:r>
      <w:r w:rsidRPr="00A26C26">
        <w:rPr>
          <w:rFonts w:eastAsia="Calibri" w:cstheme="minorHAnsi"/>
        </w:rPr>
        <w:t>zapewnić</w:t>
      </w:r>
      <w:r w:rsidR="003B50ED">
        <w:rPr>
          <w:rFonts w:eastAsia="Calibri" w:cstheme="minorHAnsi"/>
        </w:rPr>
        <w:t xml:space="preserve"> </w:t>
      </w:r>
      <w:r w:rsidRPr="00A26C26">
        <w:rPr>
          <w:rFonts w:eastAsia="Calibri" w:cstheme="minorHAnsi"/>
        </w:rPr>
        <w:t>jej</w:t>
      </w:r>
      <w:r w:rsidR="003B50ED">
        <w:rPr>
          <w:rFonts w:eastAsia="Calibri" w:cstheme="minorHAnsi"/>
        </w:rPr>
        <w:t xml:space="preserve"> </w:t>
      </w:r>
      <w:r w:rsidRPr="00A26C26">
        <w:rPr>
          <w:rFonts w:eastAsia="Calibri" w:cstheme="minorHAnsi"/>
        </w:rPr>
        <w:t>większą</w:t>
      </w:r>
      <w:r w:rsidR="003B50ED">
        <w:rPr>
          <w:rFonts w:eastAsia="Calibri" w:cstheme="minorHAnsi"/>
        </w:rPr>
        <w:t xml:space="preserve"> </w:t>
      </w:r>
      <w:r w:rsidRPr="00A26C26">
        <w:rPr>
          <w:rFonts w:eastAsia="Calibri" w:cstheme="minorHAnsi"/>
        </w:rPr>
        <w:t>skuteczność;</w:t>
      </w:r>
    </w:p>
    <w:p w14:paraId="17C814C4" w14:textId="0FE30E09" w:rsidR="00CD43FD" w:rsidRPr="00A26C26" w:rsidRDefault="00CD43FD" w:rsidP="008A412F">
      <w:pPr>
        <w:numPr>
          <w:ilvl w:val="0"/>
          <w:numId w:val="6"/>
        </w:numPr>
        <w:spacing w:line="276" w:lineRule="auto"/>
        <w:jc w:val="both"/>
        <w:rPr>
          <w:rFonts w:eastAsia="Calibri" w:cstheme="minorHAnsi"/>
        </w:rPr>
      </w:pPr>
      <w:r w:rsidRPr="00A26C26">
        <w:rPr>
          <w:rFonts w:eastAsia="Calibri" w:cstheme="minorHAnsi"/>
        </w:rPr>
        <w:t>Pełne</w:t>
      </w:r>
      <w:r w:rsidR="003B50ED">
        <w:rPr>
          <w:rFonts w:eastAsia="Calibri" w:cstheme="minorHAnsi"/>
        </w:rPr>
        <w:t xml:space="preserve"> </w:t>
      </w:r>
      <w:r w:rsidRPr="00A26C26">
        <w:rPr>
          <w:rFonts w:eastAsia="Calibri" w:cstheme="minorHAnsi"/>
        </w:rPr>
        <w:t>otwarcie</w:t>
      </w:r>
      <w:r w:rsidR="003B50ED">
        <w:rPr>
          <w:rFonts w:eastAsia="Calibri" w:cstheme="minorHAnsi"/>
        </w:rPr>
        <w:t xml:space="preserve"> </w:t>
      </w:r>
      <w:r w:rsidRPr="00A26C26">
        <w:rPr>
          <w:rFonts w:eastAsia="Calibri" w:cstheme="minorHAnsi"/>
        </w:rPr>
        <w:t>się</w:t>
      </w:r>
      <w:r w:rsidR="003B50ED">
        <w:rPr>
          <w:rFonts w:eastAsia="Calibri" w:cstheme="minorHAnsi"/>
        </w:rPr>
        <w:t xml:space="preserve"> </w:t>
      </w:r>
      <w:r w:rsidRPr="00A26C26">
        <w:rPr>
          <w:rFonts w:eastAsia="Calibri" w:cstheme="minorHAnsi"/>
        </w:rPr>
        <w:t>na</w:t>
      </w:r>
      <w:r w:rsidR="003B50ED">
        <w:rPr>
          <w:rFonts w:eastAsia="Calibri" w:cstheme="minorHAnsi"/>
        </w:rPr>
        <w:t xml:space="preserve"> </w:t>
      </w:r>
      <w:r w:rsidRPr="00A26C26">
        <w:rPr>
          <w:rFonts w:eastAsia="Calibri" w:cstheme="minorHAnsi"/>
        </w:rPr>
        <w:t>propozycje</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uwzględnianie</w:t>
      </w:r>
      <w:r w:rsidR="003B50ED">
        <w:rPr>
          <w:rFonts w:eastAsia="Calibri" w:cstheme="minorHAnsi"/>
        </w:rPr>
        <w:t xml:space="preserve"> </w:t>
      </w:r>
      <w:r w:rsidRPr="00A26C26">
        <w:rPr>
          <w:rFonts w:eastAsia="Calibri" w:cstheme="minorHAnsi"/>
        </w:rPr>
        <w:t>opinii</w:t>
      </w:r>
      <w:r w:rsidR="003B50ED">
        <w:rPr>
          <w:rFonts w:eastAsia="Calibri" w:cstheme="minorHAnsi"/>
        </w:rPr>
        <w:t xml:space="preserve"> </w:t>
      </w:r>
      <w:r w:rsidRPr="00A26C26">
        <w:rPr>
          <w:rFonts w:eastAsia="Calibri" w:cstheme="minorHAnsi"/>
        </w:rPr>
        <w:t>respondentów,</w:t>
      </w:r>
      <w:r w:rsidR="003B50ED">
        <w:rPr>
          <w:rFonts w:eastAsia="Calibri" w:cstheme="minorHAnsi"/>
        </w:rPr>
        <w:t xml:space="preserve"> </w:t>
      </w:r>
      <w:r w:rsidRPr="00A26C26">
        <w:rPr>
          <w:rFonts w:eastAsia="Calibri" w:cstheme="minorHAnsi"/>
        </w:rPr>
        <w:t>zapewnienie</w:t>
      </w:r>
      <w:r w:rsidR="003B50ED">
        <w:rPr>
          <w:rFonts w:eastAsia="Calibri" w:cstheme="minorHAnsi"/>
        </w:rPr>
        <w:t xml:space="preserve"> </w:t>
      </w:r>
      <w:r w:rsidRPr="00A26C26">
        <w:rPr>
          <w:rFonts w:eastAsia="Calibri" w:cstheme="minorHAnsi"/>
        </w:rPr>
        <w:t>wszechstronnych</w:t>
      </w:r>
      <w:r w:rsidR="003B50ED">
        <w:rPr>
          <w:rFonts w:eastAsia="Calibri" w:cstheme="minorHAnsi"/>
        </w:rPr>
        <w:t xml:space="preserve"> </w:t>
      </w:r>
      <w:r w:rsidR="00DB7370">
        <w:rPr>
          <w:rFonts w:eastAsia="Calibri" w:cstheme="minorHAnsi"/>
        </w:rPr>
        <w:br/>
      </w:r>
      <w:r w:rsidRPr="00A26C26">
        <w:rPr>
          <w:rFonts w:eastAsia="Calibri" w:cstheme="minorHAnsi"/>
        </w:rPr>
        <w:t>i</w:t>
      </w:r>
      <w:r w:rsidR="003B50ED">
        <w:rPr>
          <w:rFonts w:eastAsia="Calibri" w:cstheme="minorHAnsi"/>
        </w:rPr>
        <w:t xml:space="preserve"> </w:t>
      </w:r>
      <w:r w:rsidRPr="00A26C26">
        <w:rPr>
          <w:rFonts w:eastAsia="Calibri" w:cstheme="minorHAnsi"/>
        </w:rPr>
        <w:t>kompleksowych</w:t>
      </w:r>
      <w:r w:rsidR="003B50ED">
        <w:rPr>
          <w:rFonts w:eastAsia="Calibri" w:cstheme="minorHAnsi"/>
        </w:rPr>
        <w:t xml:space="preserve"> </w:t>
      </w:r>
      <w:r w:rsidRPr="00A26C26">
        <w:rPr>
          <w:rFonts w:eastAsia="Calibri" w:cstheme="minorHAnsi"/>
        </w:rPr>
        <w:t>informacji</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wyjaśnień</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odpowiedzi</w:t>
      </w:r>
      <w:r w:rsidR="003B50ED">
        <w:rPr>
          <w:rFonts w:eastAsia="Calibri" w:cstheme="minorHAnsi"/>
        </w:rPr>
        <w:t xml:space="preserve"> </w:t>
      </w:r>
      <w:r w:rsidRPr="00A26C26">
        <w:rPr>
          <w:rFonts w:eastAsia="Calibri" w:cstheme="minorHAnsi"/>
        </w:rPr>
        <w:t>na</w:t>
      </w:r>
      <w:r w:rsidR="003B50ED">
        <w:rPr>
          <w:rFonts w:eastAsia="Calibri" w:cstheme="minorHAnsi"/>
        </w:rPr>
        <w:t xml:space="preserve"> </w:t>
      </w:r>
      <w:r w:rsidRPr="00A26C26">
        <w:rPr>
          <w:rFonts w:eastAsia="Calibri" w:cstheme="minorHAnsi"/>
        </w:rPr>
        <w:t>zgłaszane</w:t>
      </w:r>
      <w:r w:rsidR="003B50ED">
        <w:rPr>
          <w:rFonts w:eastAsia="Calibri" w:cstheme="minorHAnsi"/>
        </w:rPr>
        <w:t xml:space="preserve"> </w:t>
      </w:r>
      <w:r w:rsidRPr="00A26C26">
        <w:rPr>
          <w:rFonts w:eastAsia="Calibri" w:cstheme="minorHAnsi"/>
        </w:rPr>
        <w:t>wątpliwości;</w:t>
      </w:r>
    </w:p>
    <w:p w14:paraId="1DD4DF4B" w14:textId="2F1A1908" w:rsidR="00CD43FD" w:rsidRPr="00A26C26" w:rsidRDefault="00CD43FD" w:rsidP="008A412F">
      <w:pPr>
        <w:numPr>
          <w:ilvl w:val="0"/>
          <w:numId w:val="6"/>
        </w:numPr>
        <w:spacing w:line="276" w:lineRule="auto"/>
        <w:jc w:val="both"/>
        <w:rPr>
          <w:rFonts w:eastAsia="Calibri" w:cstheme="minorHAnsi"/>
        </w:rPr>
      </w:pPr>
      <w:r w:rsidRPr="00A26C26">
        <w:rPr>
          <w:rFonts w:eastAsia="Calibri" w:cstheme="minorHAnsi"/>
        </w:rPr>
        <w:t>Aktywne</w:t>
      </w:r>
      <w:r w:rsidR="003B50ED">
        <w:rPr>
          <w:rFonts w:eastAsia="Calibri" w:cstheme="minorHAnsi"/>
        </w:rPr>
        <w:t xml:space="preserve"> </w:t>
      </w:r>
      <w:r w:rsidRPr="00A26C26">
        <w:rPr>
          <w:rFonts w:eastAsia="Calibri" w:cstheme="minorHAnsi"/>
        </w:rPr>
        <w:t>promowanie</w:t>
      </w:r>
      <w:r w:rsidR="003B50ED">
        <w:rPr>
          <w:rFonts w:eastAsia="Calibri" w:cstheme="minorHAnsi"/>
        </w:rPr>
        <w:t xml:space="preserve"> </w:t>
      </w:r>
      <w:r w:rsidRPr="00A26C26">
        <w:rPr>
          <w:rFonts w:eastAsia="Calibri" w:cstheme="minorHAnsi"/>
        </w:rPr>
        <w:t>udziału</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opracowaniu</w:t>
      </w:r>
      <w:r w:rsidR="003B50ED">
        <w:rPr>
          <w:rFonts w:eastAsia="Calibri" w:cstheme="minorHAnsi"/>
        </w:rPr>
        <w:t xml:space="preserve"> </w:t>
      </w:r>
      <w:r w:rsidRPr="00A26C26">
        <w:rPr>
          <w:rFonts w:eastAsia="Calibri" w:cstheme="minorHAnsi"/>
        </w:rPr>
        <w:t>LSR</w:t>
      </w:r>
      <w:r w:rsidR="003B50ED">
        <w:rPr>
          <w:rFonts w:eastAsia="Calibri" w:cstheme="minorHAnsi"/>
        </w:rPr>
        <w:t xml:space="preserve"> </w:t>
      </w:r>
      <w:r w:rsidRPr="00A26C26">
        <w:rPr>
          <w:rFonts w:eastAsia="Calibri" w:cstheme="minorHAnsi"/>
        </w:rPr>
        <w:t>poprzez</w:t>
      </w:r>
      <w:r w:rsidR="003B50ED">
        <w:rPr>
          <w:rFonts w:eastAsia="Calibri" w:cstheme="minorHAnsi"/>
        </w:rPr>
        <w:t xml:space="preserve"> </w:t>
      </w:r>
      <w:r w:rsidRPr="00A26C26">
        <w:rPr>
          <w:rFonts w:eastAsia="Calibri" w:cstheme="minorHAnsi"/>
        </w:rPr>
        <w:t>szerokie</w:t>
      </w:r>
      <w:r w:rsidR="003B50ED">
        <w:rPr>
          <w:rFonts w:eastAsia="Calibri" w:cstheme="minorHAnsi"/>
        </w:rPr>
        <w:t xml:space="preserve"> </w:t>
      </w:r>
      <w:r w:rsidRPr="00A26C26">
        <w:rPr>
          <w:rFonts w:eastAsia="Calibri" w:cstheme="minorHAnsi"/>
        </w:rPr>
        <w:t>rozpowszechnianie</w:t>
      </w:r>
      <w:r w:rsidR="003B50ED">
        <w:rPr>
          <w:rFonts w:eastAsia="Calibri" w:cstheme="minorHAnsi"/>
        </w:rPr>
        <w:t xml:space="preserve"> </w:t>
      </w:r>
      <w:r w:rsidRPr="00A26C26">
        <w:rPr>
          <w:rFonts w:eastAsia="Calibri" w:cstheme="minorHAnsi"/>
        </w:rPr>
        <w:t>informacji</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zachęty</w:t>
      </w:r>
      <w:r w:rsidR="003B50ED">
        <w:rPr>
          <w:rFonts w:eastAsia="Calibri" w:cstheme="minorHAnsi"/>
        </w:rPr>
        <w:t xml:space="preserve"> </w:t>
      </w:r>
      <w:r w:rsidRPr="00A26C26">
        <w:rPr>
          <w:rFonts w:eastAsia="Calibri" w:cstheme="minorHAnsi"/>
        </w:rPr>
        <w:t>na</w:t>
      </w:r>
      <w:r w:rsidR="003B50ED">
        <w:rPr>
          <w:rFonts w:eastAsia="Calibri" w:cstheme="minorHAnsi"/>
        </w:rPr>
        <w:t xml:space="preserve"> </w:t>
      </w:r>
      <w:r w:rsidRPr="00A26C26">
        <w:rPr>
          <w:rFonts w:eastAsia="Calibri" w:cstheme="minorHAnsi"/>
        </w:rPr>
        <w:t>stronach</w:t>
      </w:r>
      <w:r w:rsidR="003B50ED">
        <w:rPr>
          <w:rFonts w:eastAsia="Calibri" w:cstheme="minorHAnsi"/>
        </w:rPr>
        <w:t xml:space="preserve"> </w:t>
      </w:r>
      <w:r w:rsidRPr="00A26C26">
        <w:rPr>
          <w:rFonts w:eastAsia="Calibri" w:cstheme="minorHAnsi"/>
        </w:rPr>
        <w:t>internetowych,</w:t>
      </w:r>
      <w:r w:rsidR="003B50ED">
        <w:rPr>
          <w:rFonts w:eastAsia="Calibri" w:cstheme="minorHAnsi"/>
        </w:rPr>
        <w:t xml:space="preserve"> </w:t>
      </w:r>
      <w:r w:rsidRPr="00A26C26">
        <w:rPr>
          <w:rFonts w:eastAsia="Calibri" w:cstheme="minorHAnsi"/>
        </w:rPr>
        <w:t>tablicach</w:t>
      </w:r>
      <w:r w:rsidR="003B50ED">
        <w:rPr>
          <w:rFonts w:eastAsia="Calibri" w:cstheme="minorHAnsi"/>
        </w:rPr>
        <w:t xml:space="preserve"> </w:t>
      </w:r>
      <w:r w:rsidRPr="00A26C26">
        <w:rPr>
          <w:rFonts w:eastAsia="Calibri" w:cstheme="minorHAnsi"/>
        </w:rPr>
        <w:t>ogłoszeń</w:t>
      </w:r>
      <w:r w:rsidR="003B50ED">
        <w:rPr>
          <w:rFonts w:eastAsia="Calibri" w:cstheme="minorHAnsi"/>
        </w:rPr>
        <w:t xml:space="preserve"> </w:t>
      </w:r>
      <w:r w:rsidRPr="00A26C26">
        <w:rPr>
          <w:rFonts w:eastAsia="Calibri" w:cstheme="minorHAnsi"/>
        </w:rPr>
        <w:t>oraz</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mediach</w:t>
      </w:r>
      <w:r w:rsidR="003B50ED">
        <w:rPr>
          <w:rFonts w:eastAsia="Calibri" w:cstheme="minorHAnsi"/>
        </w:rPr>
        <w:t xml:space="preserve"> </w:t>
      </w:r>
      <w:r w:rsidRPr="00A26C26">
        <w:rPr>
          <w:rFonts w:eastAsia="Calibri" w:cstheme="minorHAnsi"/>
        </w:rPr>
        <w:t>społecznościowych;</w:t>
      </w:r>
    </w:p>
    <w:p w14:paraId="4F12ED34" w14:textId="1611216A" w:rsidR="00CD43FD" w:rsidRPr="00A26C26" w:rsidRDefault="00CD43FD" w:rsidP="008A412F">
      <w:pPr>
        <w:numPr>
          <w:ilvl w:val="0"/>
          <w:numId w:val="6"/>
        </w:numPr>
        <w:spacing w:line="276" w:lineRule="auto"/>
        <w:jc w:val="both"/>
        <w:rPr>
          <w:rFonts w:eastAsia="Calibri" w:cstheme="minorHAnsi"/>
        </w:rPr>
      </w:pPr>
      <w:r w:rsidRPr="00A26C26">
        <w:rPr>
          <w:rFonts w:eastAsia="Calibri" w:cstheme="minorHAnsi"/>
        </w:rPr>
        <w:t>Zachęta</w:t>
      </w:r>
      <w:r w:rsidR="003B50ED">
        <w:rPr>
          <w:rFonts w:eastAsia="Calibri" w:cstheme="minorHAnsi"/>
        </w:rPr>
        <w:t xml:space="preserve"> </w:t>
      </w:r>
      <w:r w:rsidRPr="00A26C26">
        <w:rPr>
          <w:rFonts w:eastAsia="Calibri" w:cstheme="minorHAnsi"/>
        </w:rPr>
        <w:t>do</w:t>
      </w:r>
      <w:r w:rsidR="003B50ED">
        <w:rPr>
          <w:rFonts w:eastAsia="Calibri" w:cstheme="minorHAnsi"/>
        </w:rPr>
        <w:t xml:space="preserve"> </w:t>
      </w:r>
      <w:r w:rsidRPr="00A26C26">
        <w:rPr>
          <w:rFonts w:eastAsia="Calibri" w:cstheme="minorHAnsi"/>
        </w:rPr>
        <w:t>zdobycia</w:t>
      </w:r>
      <w:r w:rsidR="003B50ED">
        <w:rPr>
          <w:rFonts w:eastAsia="Calibri" w:cstheme="minorHAnsi"/>
        </w:rPr>
        <w:t xml:space="preserve"> </w:t>
      </w:r>
      <w:r w:rsidRPr="00A26C26">
        <w:rPr>
          <w:rFonts w:eastAsia="Calibri" w:cstheme="minorHAnsi"/>
        </w:rPr>
        <w:t>wiedzy</w:t>
      </w:r>
      <w:r w:rsidR="003B50ED">
        <w:rPr>
          <w:rFonts w:eastAsia="Calibri" w:cstheme="minorHAnsi"/>
        </w:rPr>
        <w:t xml:space="preserve"> </w:t>
      </w:r>
      <w:r w:rsidRPr="00A26C26">
        <w:rPr>
          <w:rFonts w:eastAsia="Calibri" w:cstheme="minorHAnsi"/>
        </w:rPr>
        <w:t>na</w:t>
      </w:r>
      <w:r w:rsidR="003B50ED">
        <w:rPr>
          <w:rFonts w:eastAsia="Calibri" w:cstheme="minorHAnsi"/>
        </w:rPr>
        <w:t xml:space="preserve"> </w:t>
      </w:r>
      <w:r w:rsidRPr="00A26C26">
        <w:rPr>
          <w:rFonts w:eastAsia="Calibri" w:cstheme="minorHAnsi"/>
        </w:rPr>
        <w:t>temat</w:t>
      </w:r>
      <w:r w:rsidR="003B50ED">
        <w:rPr>
          <w:rFonts w:eastAsia="Calibri" w:cstheme="minorHAnsi"/>
        </w:rPr>
        <w:t xml:space="preserve"> </w:t>
      </w:r>
      <w:r w:rsidRPr="00A26C26">
        <w:rPr>
          <w:rFonts w:eastAsia="Calibri" w:cstheme="minorHAnsi"/>
        </w:rPr>
        <w:t>zasad</w:t>
      </w:r>
      <w:r w:rsidR="003B50ED">
        <w:rPr>
          <w:rFonts w:eastAsia="Calibri" w:cstheme="minorHAnsi"/>
        </w:rPr>
        <w:t xml:space="preserve"> </w:t>
      </w:r>
      <w:r w:rsidRPr="00A26C26">
        <w:rPr>
          <w:rFonts w:eastAsia="Calibri" w:cstheme="minorHAnsi"/>
        </w:rPr>
        <w:t>wdrażania</w:t>
      </w:r>
      <w:r w:rsidR="003B50ED">
        <w:rPr>
          <w:rFonts w:eastAsia="Calibri" w:cstheme="minorHAnsi"/>
        </w:rPr>
        <w:t xml:space="preserve"> </w:t>
      </w:r>
      <w:r w:rsidRPr="00A26C26">
        <w:rPr>
          <w:rFonts w:eastAsia="Calibri" w:cstheme="minorHAnsi"/>
        </w:rPr>
        <w:t>projektów</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nowej</w:t>
      </w:r>
      <w:r w:rsidR="003B50ED">
        <w:rPr>
          <w:rFonts w:eastAsia="Calibri" w:cstheme="minorHAnsi"/>
        </w:rPr>
        <w:t xml:space="preserve"> </w:t>
      </w:r>
      <w:r w:rsidRPr="00A26C26">
        <w:rPr>
          <w:rFonts w:eastAsia="Calibri" w:cstheme="minorHAnsi"/>
        </w:rPr>
        <w:t>perspektywie</w:t>
      </w:r>
      <w:r w:rsidR="003B50ED">
        <w:rPr>
          <w:rFonts w:eastAsia="Calibri" w:cstheme="minorHAnsi"/>
        </w:rPr>
        <w:t xml:space="preserve"> </w:t>
      </w:r>
      <w:r w:rsidRPr="00A26C26">
        <w:rPr>
          <w:rFonts w:eastAsia="Calibri" w:cstheme="minorHAnsi"/>
        </w:rPr>
        <w:t>poprzez</w:t>
      </w:r>
      <w:r w:rsidR="003B50ED">
        <w:rPr>
          <w:rFonts w:eastAsia="Calibri" w:cstheme="minorHAnsi"/>
        </w:rPr>
        <w:t xml:space="preserve"> </w:t>
      </w:r>
      <w:r w:rsidRPr="00A26C26">
        <w:rPr>
          <w:rFonts w:eastAsia="Calibri" w:cstheme="minorHAnsi"/>
        </w:rPr>
        <w:t>udział</w:t>
      </w:r>
      <w:r w:rsidR="003B50ED">
        <w:rPr>
          <w:rFonts w:eastAsia="Calibri" w:cstheme="minorHAnsi"/>
        </w:rPr>
        <w:t xml:space="preserve"> </w:t>
      </w:r>
      <w:r w:rsidRPr="00A26C26">
        <w:rPr>
          <w:rFonts w:eastAsia="Calibri" w:cstheme="minorHAnsi"/>
        </w:rPr>
        <w:t>ekspertów,</w:t>
      </w:r>
      <w:r w:rsidR="003B50ED">
        <w:rPr>
          <w:rFonts w:eastAsia="Calibri" w:cstheme="minorHAnsi"/>
        </w:rPr>
        <w:t xml:space="preserve"> </w:t>
      </w:r>
      <w:r w:rsidRPr="00A26C26">
        <w:rPr>
          <w:rFonts w:eastAsia="Calibri" w:cstheme="minorHAnsi"/>
        </w:rPr>
        <w:t>którzy</w:t>
      </w:r>
      <w:r w:rsidR="003B50ED">
        <w:rPr>
          <w:rFonts w:eastAsia="Calibri" w:cstheme="minorHAnsi"/>
        </w:rPr>
        <w:t xml:space="preserve"> </w:t>
      </w:r>
      <w:r w:rsidRPr="00A26C26">
        <w:rPr>
          <w:rFonts w:eastAsia="Calibri" w:cstheme="minorHAnsi"/>
        </w:rPr>
        <w:t>mogą</w:t>
      </w:r>
      <w:r w:rsidR="003B50ED">
        <w:rPr>
          <w:rFonts w:eastAsia="Calibri" w:cstheme="minorHAnsi"/>
        </w:rPr>
        <w:t xml:space="preserve"> </w:t>
      </w:r>
      <w:r w:rsidRPr="00A26C26">
        <w:rPr>
          <w:rFonts w:eastAsia="Calibri" w:cstheme="minorHAnsi"/>
        </w:rPr>
        <w:t>dostarczyć</w:t>
      </w:r>
      <w:r w:rsidR="003B50ED">
        <w:rPr>
          <w:rFonts w:eastAsia="Calibri" w:cstheme="minorHAnsi"/>
        </w:rPr>
        <w:t xml:space="preserve"> </w:t>
      </w:r>
      <w:r w:rsidRPr="00A26C26">
        <w:rPr>
          <w:rFonts w:eastAsia="Calibri" w:cstheme="minorHAnsi"/>
        </w:rPr>
        <w:t>niezbędne</w:t>
      </w:r>
      <w:r w:rsidR="003B50ED">
        <w:rPr>
          <w:rFonts w:eastAsia="Calibri" w:cstheme="minorHAnsi"/>
        </w:rPr>
        <w:t xml:space="preserve"> </w:t>
      </w:r>
      <w:r w:rsidRPr="00A26C26">
        <w:rPr>
          <w:rFonts w:eastAsia="Calibri" w:cstheme="minorHAnsi"/>
        </w:rPr>
        <w:t>informacje</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udzielić</w:t>
      </w:r>
      <w:r w:rsidR="003B50ED">
        <w:rPr>
          <w:rFonts w:eastAsia="Calibri" w:cstheme="minorHAnsi"/>
        </w:rPr>
        <w:t xml:space="preserve"> </w:t>
      </w:r>
      <w:r w:rsidRPr="00A26C26">
        <w:rPr>
          <w:rFonts w:eastAsia="Calibri" w:cstheme="minorHAnsi"/>
        </w:rPr>
        <w:t>wyjaśnień;</w:t>
      </w:r>
    </w:p>
    <w:p w14:paraId="72BDFB0F" w14:textId="459A2DF8" w:rsidR="00E2372E" w:rsidRPr="00A26C26" w:rsidRDefault="00CD43FD" w:rsidP="008A412F">
      <w:pPr>
        <w:numPr>
          <w:ilvl w:val="0"/>
          <w:numId w:val="6"/>
        </w:numPr>
        <w:spacing w:line="276" w:lineRule="auto"/>
        <w:jc w:val="both"/>
        <w:rPr>
          <w:rFonts w:eastAsia="Calibri" w:cstheme="minorHAnsi"/>
          <w:kern w:val="0"/>
          <w:lang w:eastAsia="pl-PL"/>
          <w14:ligatures w14:val="none"/>
        </w:rPr>
      </w:pPr>
      <w:r w:rsidRPr="00A26C26">
        <w:rPr>
          <w:rFonts w:eastAsia="Calibri" w:cstheme="minorHAnsi"/>
          <w:kern w:val="0"/>
          <w:lang w:eastAsia="pl-PL"/>
          <w14:ligatures w14:val="none"/>
        </w:rPr>
        <w:t>Uważne</w:t>
      </w:r>
      <w:r w:rsidR="003B50ED">
        <w:rPr>
          <w:rFonts w:eastAsia="Calibri" w:cstheme="minorHAnsi"/>
          <w:kern w:val="0"/>
          <w:lang w:eastAsia="pl-PL"/>
          <w14:ligatures w14:val="none"/>
        </w:rPr>
        <w:t xml:space="preserve"> </w:t>
      </w:r>
      <w:r w:rsidR="00E2372E" w:rsidRPr="00A26C26">
        <w:rPr>
          <w:rFonts w:eastAsia="Calibri" w:cstheme="minorHAnsi"/>
          <w:kern w:val="0"/>
          <w:lang w:eastAsia="pl-PL"/>
          <w14:ligatures w14:val="none"/>
        </w:rPr>
        <w:t>dobieranie</w:t>
      </w:r>
      <w:r w:rsidR="003B50ED">
        <w:rPr>
          <w:rFonts w:eastAsia="Calibri" w:cstheme="minorHAnsi"/>
          <w:kern w:val="0"/>
          <w:lang w:eastAsia="pl-PL"/>
          <w14:ligatures w14:val="none"/>
        </w:rPr>
        <w:t xml:space="preserve"> </w:t>
      </w:r>
      <w:r w:rsidR="00E2372E" w:rsidRPr="00A26C26">
        <w:rPr>
          <w:rFonts w:eastAsia="Calibri" w:cstheme="minorHAnsi"/>
          <w:kern w:val="0"/>
          <w:lang w:eastAsia="pl-PL"/>
          <w14:ligatures w14:val="none"/>
        </w:rPr>
        <w:t>tematyki</w:t>
      </w:r>
      <w:r w:rsidR="003B50ED">
        <w:rPr>
          <w:rFonts w:eastAsia="Calibri" w:cstheme="minorHAnsi"/>
          <w:kern w:val="0"/>
          <w:lang w:eastAsia="pl-PL"/>
          <w14:ligatures w14:val="none"/>
        </w:rPr>
        <w:t xml:space="preserve"> </w:t>
      </w:r>
      <w:r w:rsidR="00E2372E" w:rsidRPr="00A26C26">
        <w:rPr>
          <w:rFonts w:eastAsia="Calibri" w:cstheme="minorHAnsi"/>
          <w:kern w:val="0"/>
          <w:lang w:eastAsia="pl-PL"/>
          <w14:ligatures w14:val="none"/>
        </w:rPr>
        <w:t>i</w:t>
      </w:r>
      <w:r w:rsidR="003B50ED">
        <w:rPr>
          <w:rFonts w:eastAsia="Calibri" w:cstheme="minorHAnsi"/>
          <w:kern w:val="0"/>
          <w:lang w:eastAsia="pl-PL"/>
          <w14:ligatures w14:val="none"/>
        </w:rPr>
        <w:t xml:space="preserve"> </w:t>
      </w:r>
      <w:r w:rsidR="00E2372E" w:rsidRPr="00A26C26">
        <w:rPr>
          <w:rFonts w:eastAsia="Calibri" w:cstheme="minorHAnsi"/>
          <w:kern w:val="0"/>
          <w:lang w:eastAsia="pl-PL"/>
          <w14:ligatures w14:val="none"/>
        </w:rPr>
        <w:t>formy</w:t>
      </w:r>
      <w:r w:rsidR="003B50ED">
        <w:rPr>
          <w:rFonts w:eastAsia="Calibri" w:cstheme="minorHAnsi"/>
          <w:kern w:val="0"/>
          <w:lang w:eastAsia="pl-PL"/>
          <w14:ligatures w14:val="none"/>
        </w:rPr>
        <w:t xml:space="preserve"> </w:t>
      </w:r>
      <w:r w:rsidR="00E2372E" w:rsidRPr="00A26C26">
        <w:rPr>
          <w:rFonts w:eastAsia="Calibri" w:cstheme="minorHAnsi"/>
          <w:kern w:val="0"/>
          <w:lang w:eastAsia="pl-PL"/>
          <w14:ligatures w14:val="none"/>
        </w:rPr>
        <w:t>przekazu,</w:t>
      </w:r>
      <w:r w:rsidR="003B50ED">
        <w:rPr>
          <w:rFonts w:eastAsia="Calibri" w:cstheme="minorHAnsi"/>
          <w:kern w:val="0"/>
          <w:lang w:eastAsia="pl-PL"/>
          <w14:ligatures w14:val="none"/>
        </w:rPr>
        <w:t xml:space="preserve"> </w:t>
      </w:r>
      <w:r w:rsidR="00E2372E" w:rsidRPr="00A26C26">
        <w:rPr>
          <w:rFonts w:eastAsia="Calibri" w:cstheme="minorHAnsi"/>
          <w:kern w:val="0"/>
          <w:lang w:eastAsia="pl-PL"/>
          <w14:ligatures w14:val="none"/>
        </w:rPr>
        <w:t>aby</w:t>
      </w:r>
      <w:r w:rsidR="003B50ED">
        <w:rPr>
          <w:rFonts w:eastAsia="Calibri" w:cstheme="minorHAnsi"/>
          <w:kern w:val="0"/>
          <w:lang w:eastAsia="pl-PL"/>
          <w14:ligatures w14:val="none"/>
        </w:rPr>
        <w:t xml:space="preserve"> </w:t>
      </w:r>
      <w:r w:rsidR="00E2372E" w:rsidRPr="00A26C26">
        <w:rPr>
          <w:rFonts w:eastAsia="Calibri" w:cstheme="minorHAnsi"/>
          <w:kern w:val="0"/>
          <w:lang w:eastAsia="pl-PL"/>
          <w14:ligatures w14:val="none"/>
        </w:rPr>
        <w:t>informacje</w:t>
      </w:r>
      <w:r w:rsidR="003B50ED">
        <w:rPr>
          <w:rFonts w:eastAsia="Calibri" w:cstheme="minorHAnsi"/>
          <w:kern w:val="0"/>
          <w:lang w:eastAsia="pl-PL"/>
          <w14:ligatures w14:val="none"/>
        </w:rPr>
        <w:t xml:space="preserve"> </w:t>
      </w:r>
      <w:r w:rsidR="00E2372E" w:rsidRPr="00A26C26">
        <w:rPr>
          <w:rFonts w:eastAsia="Calibri" w:cstheme="minorHAnsi"/>
          <w:kern w:val="0"/>
          <w:lang w:eastAsia="pl-PL"/>
          <w14:ligatures w14:val="none"/>
        </w:rPr>
        <w:t>były</w:t>
      </w:r>
      <w:r w:rsidR="003B50ED">
        <w:rPr>
          <w:rFonts w:eastAsia="Calibri" w:cstheme="minorHAnsi"/>
          <w:kern w:val="0"/>
          <w:lang w:eastAsia="pl-PL"/>
          <w14:ligatures w14:val="none"/>
        </w:rPr>
        <w:t xml:space="preserve"> </w:t>
      </w:r>
      <w:r w:rsidR="00E2372E" w:rsidRPr="00A26C26">
        <w:rPr>
          <w:rFonts w:eastAsia="Calibri" w:cstheme="minorHAnsi"/>
          <w:kern w:val="0"/>
          <w:lang w:eastAsia="pl-PL"/>
          <w14:ligatures w14:val="none"/>
        </w:rPr>
        <w:t>zrozumiałe</w:t>
      </w:r>
      <w:r w:rsidR="003B50ED">
        <w:rPr>
          <w:rFonts w:eastAsia="Calibri" w:cstheme="minorHAnsi"/>
          <w:kern w:val="0"/>
          <w:lang w:eastAsia="pl-PL"/>
          <w14:ligatures w14:val="none"/>
        </w:rPr>
        <w:t xml:space="preserve"> </w:t>
      </w:r>
      <w:r w:rsidR="00E2372E" w:rsidRPr="00A26C26">
        <w:rPr>
          <w:rFonts w:eastAsia="Calibri" w:cstheme="minorHAnsi"/>
          <w:kern w:val="0"/>
          <w:lang w:eastAsia="pl-PL"/>
          <w14:ligatures w14:val="none"/>
        </w:rPr>
        <w:t>dla</w:t>
      </w:r>
      <w:r w:rsidR="003B50ED">
        <w:rPr>
          <w:rFonts w:eastAsia="Calibri" w:cstheme="minorHAnsi"/>
          <w:kern w:val="0"/>
          <w:lang w:eastAsia="pl-PL"/>
          <w14:ligatures w14:val="none"/>
        </w:rPr>
        <w:t xml:space="preserve"> </w:t>
      </w:r>
      <w:r w:rsidR="00E2372E" w:rsidRPr="00A26C26">
        <w:rPr>
          <w:rFonts w:eastAsia="Calibri" w:cstheme="minorHAnsi"/>
          <w:kern w:val="0"/>
          <w:lang w:eastAsia="pl-PL"/>
          <w14:ligatures w14:val="none"/>
        </w:rPr>
        <w:t>wszystkich</w:t>
      </w:r>
      <w:r w:rsidR="003B50ED">
        <w:rPr>
          <w:rFonts w:eastAsia="Calibri" w:cstheme="minorHAnsi"/>
          <w:kern w:val="0"/>
          <w:lang w:eastAsia="pl-PL"/>
          <w14:ligatures w14:val="none"/>
        </w:rPr>
        <w:t xml:space="preserve"> </w:t>
      </w:r>
      <w:r w:rsidR="00E2372E" w:rsidRPr="00A26C26">
        <w:rPr>
          <w:rFonts w:eastAsia="Calibri" w:cstheme="minorHAnsi"/>
          <w:kern w:val="0"/>
          <w:lang w:eastAsia="pl-PL"/>
          <w14:ligatures w14:val="none"/>
        </w:rPr>
        <w:t>odbiorców,</w:t>
      </w:r>
      <w:r w:rsidR="003B50ED">
        <w:rPr>
          <w:rFonts w:eastAsia="Calibri" w:cstheme="minorHAnsi"/>
          <w:kern w:val="0"/>
          <w:lang w:eastAsia="pl-PL"/>
          <w14:ligatures w14:val="none"/>
        </w:rPr>
        <w:t xml:space="preserve"> </w:t>
      </w:r>
      <w:r w:rsidR="00E2372E" w:rsidRPr="00A26C26">
        <w:rPr>
          <w:rFonts w:eastAsia="Calibri" w:cstheme="minorHAnsi"/>
          <w:kern w:val="0"/>
          <w:lang w:eastAsia="pl-PL"/>
          <w14:ligatures w14:val="none"/>
        </w:rPr>
        <w:t>rezygnacja</w:t>
      </w:r>
      <w:r w:rsidR="003B50ED">
        <w:rPr>
          <w:rFonts w:eastAsia="Calibri" w:cstheme="minorHAnsi"/>
          <w:kern w:val="0"/>
          <w:lang w:eastAsia="pl-PL"/>
          <w14:ligatures w14:val="none"/>
        </w:rPr>
        <w:t xml:space="preserve"> </w:t>
      </w:r>
      <w:r w:rsidR="00E2372E" w:rsidRPr="00A26C26">
        <w:rPr>
          <w:rFonts w:eastAsia="Calibri" w:cstheme="minorHAnsi"/>
          <w:kern w:val="0"/>
          <w:lang w:eastAsia="pl-PL"/>
          <w14:ligatures w14:val="none"/>
        </w:rPr>
        <w:t>z</w:t>
      </w:r>
      <w:r w:rsidR="003B50ED">
        <w:rPr>
          <w:rFonts w:eastAsia="Calibri" w:cstheme="minorHAnsi"/>
          <w:kern w:val="0"/>
          <w:lang w:eastAsia="pl-PL"/>
          <w14:ligatures w14:val="none"/>
        </w:rPr>
        <w:t xml:space="preserve"> </w:t>
      </w:r>
      <w:r w:rsidR="00E2372E" w:rsidRPr="00A26C26">
        <w:rPr>
          <w:rFonts w:eastAsia="Calibri" w:cstheme="minorHAnsi"/>
          <w:kern w:val="0"/>
          <w:lang w:eastAsia="pl-PL"/>
          <w14:ligatures w14:val="none"/>
        </w:rPr>
        <w:t>trudnego</w:t>
      </w:r>
      <w:r w:rsidR="003B50ED">
        <w:rPr>
          <w:rFonts w:eastAsia="Calibri" w:cstheme="minorHAnsi"/>
          <w:kern w:val="0"/>
          <w:lang w:eastAsia="pl-PL"/>
          <w14:ligatures w14:val="none"/>
        </w:rPr>
        <w:t xml:space="preserve"> </w:t>
      </w:r>
      <w:r w:rsidR="00E2372E" w:rsidRPr="00A26C26">
        <w:rPr>
          <w:rFonts w:eastAsia="Calibri" w:cstheme="minorHAnsi"/>
          <w:kern w:val="0"/>
          <w:lang w:eastAsia="pl-PL"/>
          <w14:ligatures w14:val="none"/>
        </w:rPr>
        <w:t>języka</w:t>
      </w:r>
      <w:r w:rsidR="003B50ED">
        <w:rPr>
          <w:rFonts w:eastAsia="Calibri" w:cstheme="minorHAnsi"/>
          <w:kern w:val="0"/>
          <w:lang w:eastAsia="pl-PL"/>
          <w14:ligatures w14:val="none"/>
        </w:rPr>
        <w:t xml:space="preserve"> </w:t>
      </w:r>
      <w:r w:rsidR="00E2372E" w:rsidRPr="00A26C26">
        <w:rPr>
          <w:rFonts w:eastAsia="Calibri" w:cstheme="minorHAnsi"/>
          <w:kern w:val="0"/>
          <w:lang w:eastAsia="pl-PL"/>
          <w14:ligatures w14:val="none"/>
        </w:rPr>
        <w:t>branżowego,</w:t>
      </w:r>
      <w:r w:rsidR="003B50ED">
        <w:rPr>
          <w:rFonts w:eastAsia="Calibri" w:cstheme="minorHAnsi"/>
          <w:kern w:val="0"/>
          <w:lang w:eastAsia="pl-PL"/>
          <w14:ligatures w14:val="none"/>
        </w:rPr>
        <w:t xml:space="preserve"> </w:t>
      </w:r>
      <w:r w:rsidR="00E2372E" w:rsidRPr="00A26C26">
        <w:rPr>
          <w:rFonts w:eastAsia="Calibri" w:cstheme="minorHAnsi"/>
          <w:kern w:val="0"/>
          <w:lang w:eastAsia="pl-PL"/>
          <w14:ligatures w14:val="none"/>
        </w:rPr>
        <w:t>który</w:t>
      </w:r>
      <w:r w:rsidR="003B50ED">
        <w:rPr>
          <w:rFonts w:eastAsia="Calibri" w:cstheme="minorHAnsi"/>
          <w:kern w:val="0"/>
          <w:lang w:eastAsia="pl-PL"/>
          <w14:ligatures w14:val="none"/>
        </w:rPr>
        <w:t xml:space="preserve"> </w:t>
      </w:r>
      <w:r w:rsidR="00E2372E" w:rsidRPr="00A26C26">
        <w:rPr>
          <w:rFonts w:eastAsia="Calibri" w:cstheme="minorHAnsi"/>
          <w:kern w:val="0"/>
          <w:lang w:eastAsia="pl-PL"/>
          <w14:ligatures w14:val="none"/>
        </w:rPr>
        <w:t>może</w:t>
      </w:r>
      <w:r w:rsidR="003B50ED">
        <w:rPr>
          <w:rFonts w:eastAsia="Calibri" w:cstheme="minorHAnsi"/>
          <w:kern w:val="0"/>
          <w:lang w:eastAsia="pl-PL"/>
          <w14:ligatures w14:val="none"/>
        </w:rPr>
        <w:t xml:space="preserve"> </w:t>
      </w:r>
      <w:r w:rsidR="00E2372E" w:rsidRPr="00A26C26">
        <w:rPr>
          <w:rFonts w:eastAsia="Calibri" w:cstheme="minorHAnsi"/>
          <w:kern w:val="0"/>
          <w:lang w:eastAsia="pl-PL"/>
          <w14:ligatures w14:val="none"/>
        </w:rPr>
        <w:t>być</w:t>
      </w:r>
      <w:r w:rsidR="003B50ED">
        <w:rPr>
          <w:rFonts w:eastAsia="Calibri" w:cstheme="minorHAnsi"/>
          <w:kern w:val="0"/>
          <w:lang w:eastAsia="pl-PL"/>
          <w14:ligatures w14:val="none"/>
        </w:rPr>
        <w:t xml:space="preserve"> </w:t>
      </w:r>
      <w:r w:rsidR="00E2372E" w:rsidRPr="00A26C26">
        <w:rPr>
          <w:rFonts w:eastAsia="Calibri" w:cstheme="minorHAnsi"/>
          <w:kern w:val="0"/>
          <w:lang w:eastAsia="pl-PL"/>
          <w14:ligatures w14:val="none"/>
        </w:rPr>
        <w:t>niejasny</w:t>
      </w:r>
      <w:r w:rsidR="003B50ED">
        <w:rPr>
          <w:rFonts w:eastAsia="Calibri" w:cstheme="minorHAnsi"/>
          <w:kern w:val="0"/>
          <w:lang w:eastAsia="pl-PL"/>
          <w14:ligatures w14:val="none"/>
        </w:rPr>
        <w:t xml:space="preserve"> </w:t>
      </w:r>
      <w:r w:rsidR="00E2372E" w:rsidRPr="00A26C26">
        <w:rPr>
          <w:rFonts w:eastAsia="Calibri" w:cstheme="minorHAnsi"/>
          <w:kern w:val="0"/>
          <w:lang w:eastAsia="pl-PL"/>
          <w14:ligatures w14:val="none"/>
        </w:rPr>
        <w:t>dla</w:t>
      </w:r>
      <w:r w:rsidR="003B50ED">
        <w:rPr>
          <w:rFonts w:eastAsia="Calibri" w:cstheme="minorHAnsi"/>
          <w:kern w:val="0"/>
          <w:lang w:eastAsia="pl-PL"/>
          <w14:ligatures w14:val="none"/>
        </w:rPr>
        <w:t xml:space="preserve"> </w:t>
      </w:r>
      <w:r w:rsidR="00E2372E" w:rsidRPr="00A26C26">
        <w:rPr>
          <w:rFonts w:eastAsia="Calibri" w:cstheme="minorHAnsi"/>
          <w:kern w:val="0"/>
          <w:lang w:eastAsia="pl-PL"/>
          <w14:ligatures w14:val="none"/>
        </w:rPr>
        <w:t>odbiorców;</w:t>
      </w:r>
    </w:p>
    <w:p w14:paraId="4DD0BEB0" w14:textId="63A044D3" w:rsidR="00E2372E" w:rsidRPr="00A26C26" w:rsidRDefault="00E2372E" w:rsidP="00A26C26">
      <w:pPr>
        <w:spacing w:line="276" w:lineRule="auto"/>
        <w:ind w:left="360"/>
        <w:jc w:val="both"/>
        <w:rPr>
          <w:rFonts w:eastAsia="Calibri" w:cstheme="minorHAnsi"/>
          <w:kern w:val="0"/>
          <w:lang w:eastAsia="pl-PL"/>
          <w14:ligatures w14:val="none"/>
        </w:rPr>
      </w:pPr>
    </w:p>
    <w:p w14:paraId="2C9A7904" w14:textId="56FC151A" w:rsidR="00E2372E" w:rsidRPr="00A26C26" w:rsidRDefault="00CD43FD" w:rsidP="00A26C26">
      <w:pPr>
        <w:spacing w:line="276" w:lineRule="auto"/>
        <w:jc w:val="both"/>
        <w:rPr>
          <w:rFonts w:eastAsia="Calibri" w:cstheme="minorHAnsi"/>
          <w:lang w:eastAsia="pl-PL"/>
        </w:rPr>
      </w:pPr>
      <w:r w:rsidRPr="00A26C26">
        <w:rPr>
          <w:rFonts w:eastAsia="Calibri" w:cstheme="minorHAnsi"/>
          <w:lang w:eastAsia="pl-PL"/>
        </w:rPr>
        <w:t>Tabela</w:t>
      </w:r>
      <w:r w:rsidR="003B50ED">
        <w:rPr>
          <w:rFonts w:eastAsia="Calibri" w:cstheme="minorHAnsi"/>
          <w:lang w:eastAsia="pl-PL"/>
        </w:rPr>
        <w:t xml:space="preserve"> </w:t>
      </w:r>
      <w:r w:rsidRPr="00A26C26">
        <w:rPr>
          <w:rFonts w:eastAsia="Calibri" w:cstheme="minorHAnsi"/>
          <w:lang w:eastAsia="pl-PL"/>
        </w:rPr>
        <w:t>nr</w:t>
      </w:r>
      <w:r w:rsidR="003B50ED">
        <w:rPr>
          <w:rFonts w:eastAsia="Calibri" w:cstheme="minorHAnsi"/>
          <w:lang w:eastAsia="pl-PL"/>
        </w:rPr>
        <w:t xml:space="preserve"> </w:t>
      </w:r>
      <w:r w:rsidR="00203429">
        <w:rPr>
          <w:rFonts w:eastAsia="Calibri" w:cstheme="minorHAnsi"/>
          <w:lang w:eastAsia="pl-PL"/>
        </w:rPr>
        <w:t>6</w:t>
      </w:r>
      <w:r w:rsidR="003B50ED">
        <w:rPr>
          <w:rFonts w:eastAsia="Calibri" w:cstheme="minorHAnsi"/>
          <w:lang w:eastAsia="pl-PL"/>
        </w:rPr>
        <w:t xml:space="preserve"> </w:t>
      </w:r>
      <w:r w:rsidR="00E2372E" w:rsidRPr="00A26C26">
        <w:rPr>
          <w:rFonts w:eastAsia="Calibri" w:cstheme="minorHAnsi"/>
          <w:lang w:eastAsia="pl-PL"/>
        </w:rPr>
        <w:t>Syntetyczny</w:t>
      </w:r>
      <w:r w:rsidR="003B50ED">
        <w:rPr>
          <w:rFonts w:eastAsia="Calibri" w:cstheme="minorHAnsi"/>
          <w:lang w:eastAsia="pl-PL"/>
        </w:rPr>
        <w:t xml:space="preserve"> </w:t>
      </w:r>
      <w:r w:rsidR="00E2372E" w:rsidRPr="00A26C26">
        <w:rPr>
          <w:rFonts w:eastAsia="Calibri" w:cstheme="minorHAnsi"/>
          <w:lang w:eastAsia="pl-PL"/>
        </w:rPr>
        <w:t>opis</w:t>
      </w:r>
      <w:r w:rsidR="003B50ED">
        <w:rPr>
          <w:rFonts w:eastAsia="Calibri" w:cstheme="minorHAnsi"/>
          <w:lang w:eastAsia="pl-PL"/>
        </w:rPr>
        <w:t xml:space="preserve"> </w:t>
      </w:r>
      <w:r w:rsidR="00E2372E" w:rsidRPr="00A26C26">
        <w:rPr>
          <w:rFonts w:eastAsia="Calibri" w:cstheme="minorHAnsi"/>
          <w:lang w:eastAsia="pl-PL"/>
        </w:rPr>
        <w:t>poszczególnych</w:t>
      </w:r>
      <w:r w:rsidR="003B50ED">
        <w:rPr>
          <w:rFonts w:eastAsia="Calibri" w:cstheme="minorHAnsi"/>
          <w:lang w:eastAsia="pl-PL"/>
        </w:rPr>
        <w:t xml:space="preserve"> </w:t>
      </w:r>
      <w:r w:rsidR="00E2372E" w:rsidRPr="00A26C26">
        <w:rPr>
          <w:rFonts w:eastAsia="Calibri" w:cstheme="minorHAnsi"/>
          <w:lang w:eastAsia="pl-PL"/>
        </w:rPr>
        <w:t>etapów</w:t>
      </w:r>
      <w:r w:rsidR="003B50ED">
        <w:rPr>
          <w:rFonts w:eastAsia="Calibri" w:cstheme="minorHAnsi"/>
          <w:lang w:eastAsia="pl-PL"/>
        </w:rPr>
        <w:t xml:space="preserve"> </w:t>
      </w:r>
      <w:r w:rsidR="00E2372E" w:rsidRPr="00A26C26">
        <w:rPr>
          <w:rFonts w:eastAsia="Calibri" w:cstheme="minorHAnsi"/>
          <w:lang w:eastAsia="pl-PL"/>
        </w:rPr>
        <w:t>budowy</w:t>
      </w:r>
      <w:r w:rsidR="003B50ED">
        <w:rPr>
          <w:rFonts w:eastAsia="Calibri" w:cstheme="minorHAnsi"/>
          <w:lang w:eastAsia="pl-PL"/>
        </w:rPr>
        <w:t xml:space="preserve"> </w:t>
      </w:r>
      <w:r w:rsidR="00E2372E" w:rsidRPr="00A26C26">
        <w:rPr>
          <w:rFonts w:eastAsia="Calibri" w:cstheme="minorHAnsi"/>
          <w:lang w:eastAsia="pl-PL"/>
        </w:rPr>
        <w:t>LSR.</w:t>
      </w:r>
      <w:r w:rsidR="003B50ED">
        <w:rPr>
          <w:rFonts w:eastAsia="Calibri" w:cstheme="minorHAnsi"/>
          <w:lang w:eastAsia="pl-PL"/>
        </w:rPr>
        <w:t xml:space="preserve"> </w:t>
      </w:r>
    </w:p>
    <w:tbl>
      <w:tblPr>
        <w:tblStyle w:val="Tabela-Siatka"/>
        <w:tblW w:w="10201" w:type="dxa"/>
        <w:tblLook w:val="04A0" w:firstRow="1" w:lastRow="0" w:firstColumn="1" w:lastColumn="0" w:noHBand="0" w:noVBand="1"/>
      </w:tblPr>
      <w:tblGrid>
        <w:gridCol w:w="1838"/>
        <w:gridCol w:w="8363"/>
      </w:tblGrid>
      <w:tr w:rsidR="00E2372E" w:rsidRPr="00A26C26" w14:paraId="45B6291F" w14:textId="77777777" w:rsidTr="00DB7370">
        <w:tc>
          <w:tcPr>
            <w:tcW w:w="1838" w:type="dxa"/>
          </w:tcPr>
          <w:p w14:paraId="3D214946" w14:textId="5AA17FB7" w:rsidR="00E2372E" w:rsidRPr="00A26C26" w:rsidRDefault="00E2372E" w:rsidP="00A26C26">
            <w:pPr>
              <w:spacing w:line="276" w:lineRule="auto"/>
              <w:rPr>
                <w:rFonts w:eastAsia="Calibri" w:cstheme="minorHAnsi"/>
                <w:b/>
                <w:bCs/>
              </w:rPr>
            </w:pPr>
            <w:r w:rsidRPr="00A26C26">
              <w:rPr>
                <w:rFonts w:eastAsia="Calibri" w:cstheme="minorHAnsi"/>
                <w:b/>
                <w:bCs/>
              </w:rPr>
              <w:t>Etap</w:t>
            </w:r>
            <w:r w:rsidR="003B50ED">
              <w:rPr>
                <w:rFonts w:eastAsia="Calibri" w:cstheme="minorHAnsi"/>
                <w:b/>
                <w:bCs/>
              </w:rPr>
              <w:t xml:space="preserve"> </w:t>
            </w:r>
            <w:r w:rsidRPr="00A26C26">
              <w:rPr>
                <w:rFonts w:eastAsia="Calibri" w:cstheme="minorHAnsi"/>
                <w:b/>
                <w:bCs/>
              </w:rPr>
              <w:t>I</w:t>
            </w:r>
            <w:r w:rsidR="003B50ED">
              <w:rPr>
                <w:rFonts w:eastAsia="Calibri" w:cstheme="minorHAnsi"/>
                <w:b/>
                <w:bCs/>
              </w:rPr>
              <w:t xml:space="preserve"> </w:t>
            </w:r>
            <w:r w:rsidRPr="00A26C26">
              <w:rPr>
                <w:rFonts w:eastAsia="Calibri" w:cstheme="minorHAnsi"/>
                <w:b/>
                <w:bCs/>
              </w:rPr>
              <w:t>Diagnoza</w:t>
            </w:r>
            <w:r w:rsidR="003B50ED">
              <w:rPr>
                <w:rFonts w:eastAsia="Calibri" w:cstheme="minorHAnsi"/>
                <w:b/>
                <w:bCs/>
              </w:rPr>
              <w:t xml:space="preserve"> </w:t>
            </w:r>
            <w:r w:rsidRPr="00A26C26">
              <w:rPr>
                <w:rFonts w:eastAsia="Calibri" w:cstheme="minorHAnsi"/>
                <w:b/>
                <w:bCs/>
              </w:rPr>
              <w:t>i</w:t>
            </w:r>
            <w:r w:rsidR="003B50ED">
              <w:rPr>
                <w:rFonts w:eastAsia="Calibri" w:cstheme="minorHAnsi"/>
                <w:b/>
                <w:bCs/>
              </w:rPr>
              <w:t xml:space="preserve"> </w:t>
            </w:r>
            <w:r w:rsidRPr="00A26C26">
              <w:rPr>
                <w:rFonts w:eastAsia="Calibri" w:cstheme="minorHAnsi"/>
                <w:b/>
                <w:bCs/>
              </w:rPr>
              <w:t>analiza</w:t>
            </w:r>
            <w:r w:rsidR="003B50ED">
              <w:rPr>
                <w:rFonts w:eastAsia="Calibri" w:cstheme="minorHAnsi"/>
                <w:b/>
                <w:bCs/>
              </w:rPr>
              <w:t xml:space="preserve"> </w:t>
            </w:r>
            <w:r w:rsidRPr="00A26C26">
              <w:rPr>
                <w:rFonts w:eastAsia="Calibri" w:cstheme="minorHAnsi"/>
                <w:b/>
                <w:bCs/>
              </w:rPr>
              <w:t>SWOT</w:t>
            </w:r>
          </w:p>
          <w:p w14:paraId="4104CC76" w14:textId="77777777" w:rsidR="00E2372E" w:rsidRPr="00A26C26" w:rsidRDefault="00E2372E" w:rsidP="00A26C26">
            <w:pPr>
              <w:spacing w:line="276" w:lineRule="auto"/>
              <w:rPr>
                <w:rFonts w:eastAsia="Calibri" w:cstheme="minorHAnsi"/>
                <w:b/>
                <w:bCs/>
              </w:rPr>
            </w:pPr>
          </w:p>
        </w:tc>
        <w:tc>
          <w:tcPr>
            <w:tcW w:w="8363" w:type="dxa"/>
          </w:tcPr>
          <w:p w14:paraId="70249006" w14:textId="12DB649B" w:rsidR="00E2372E" w:rsidRPr="00A26C26" w:rsidRDefault="00E2372E" w:rsidP="00581749">
            <w:pPr>
              <w:tabs>
                <w:tab w:val="left" w:pos="10206"/>
              </w:tabs>
              <w:spacing w:line="276" w:lineRule="auto"/>
              <w:jc w:val="both"/>
              <w:rPr>
                <w:rFonts w:eastAsia="Calibri" w:cstheme="minorHAnsi"/>
              </w:rPr>
            </w:pPr>
            <w:r w:rsidRPr="00A26C26">
              <w:rPr>
                <w:rFonts w:eastAsia="Calibri" w:cstheme="minorHAnsi"/>
              </w:rPr>
              <w:t>W</w:t>
            </w:r>
            <w:r w:rsidR="003B50ED">
              <w:rPr>
                <w:rFonts w:eastAsia="Calibri" w:cstheme="minorHAnsi"/>
              </w:rPr>
              <w:t xml:space="preserve"> </w:t>
            </w:r>
            <w:r w:rsidRPr="00A26C26">
              <w:rPr>
                <w:rFonts w:eastAsia="Calibri" w:cstheme="minorHAnsi"/>
              </w:rPr>
              <w:t>pierwszym</w:t>
            </w:r>
            <w:r w:rsidR="003B50ED">
              <w:rPr>
                <w:rFonts w:eastAsia="Calibri" w:cstheme="minorHAnsi"/>
              </w:rPr>
              <w:t xml:space="preserve"> </w:t>
            </w:r>
            <w:r w:rsidRPr="00A26C26">
              <w:rPr>
                <w:rFonts w:eastAsia="Calibri" w:cstheme="minorHAnsi"/>
              </w:rPr>
              <w:t>etapie</w:t>
            </w:r>
            <w:r w:rsidR="003B50ED">
              <w:rPr>
                <w:rFonts w:eastAsia="Calibri" w:cstheme="minorHAnsi"/>
              </w:rPr>
              <w:t xml:space="preserve"> </w:t>
            </w:r>
            <w:r w:rsidRPr="00A26C26">
              <w:rPr>
                <w:rFonts w:eastAsia="Calibri" w:cstheme="minorHAnsi"/>
              </w:rPr>
              <w:t>prac</w:t>
            </w:r>
            <w:r w:rsidR="003B50ED">
              <w:rPr>
                <w:rFonts w:eastAsia="Calibri" w:cstheme="minorHAnsi"/>
              </w:rPr>
              <w:t xml:space="preserve"> </w:t>
            </w:r>
            <w:r w:rsidRPr="00A26C26">
              <w:rPr>
                <w:rFonts w:eastAsia="Calibri" w:cstheme="minorHAnsi"/>
              </w:rPr>
              <w:t>nad</w:t>
            </w:r>
            <w:r w:rsidR="003B50ED">
              <w:rPr>
                <w:rFonts w:eastAsia="Calibri" w:cstheme="minorHAnsi"/>
              </w:rPr>
              <w:t xml:space="preserve"> </w:t>
            </w:r>
            <w:r w:rsidRPr="00A26C26">
              <w:rPr>
                <w:rFonts w:eastAsia="Calibri" w:cstheme="minorHAnsi"/>
              </w:rPr>
              <w:t>strategią</w:t>
            </w:r>
            <w:r w:rsidR="003B50ED">
              <w:rPr>
                <w:rFonts w:eastAsia="Calibri" w:cstheme="minorHAnsi"/>
              </w:rPr>
              <w:t xml:space="preserve"> </w:t>
            </w:r>
            <w:r w:rsidRPr="00A26C26">
              <w:rPr>
                <w:rFonts w:eastAsia="Calibri" w:cstheme="minorHAnsi"/>
              </w:rPr>
              <w:t>została</w:t>
            </w:r>
            <w:r w:rsidR="003B50ED">
              <w:rPr>
                <w:rFonts w:eastAsia="Calibri" w:cstheme="minorHAnsi"/>
              </w:rPr>
              <w:t xml:space="preserve"> </w:t>
            </w:r>
            <w:r w:rsidRPr="00A26C26">
              <w:rPr>
                <w:rFonts w:eastAsia="Calibri" w:cstheme="minorHAnsi"/>
              </w:rPr>
              <w:t>przeprowadzona</w:t>
            </w:r>
            <w:r w:rsidR="003B50ED">
              <w:rPr>
                <w:rFonts w:eastAsia="Calibri" w:cstheme="minorHAnsi"/>
              </w:rPr>
              <w:t xml:space="preserve"> </w:t>
            </w:r>
            <w:r w:rsidRPr="00A26C26">
              <w:rPr>
                <w:rFonts w:eastAsia="Calibri" w:cstheme="minorHAnsi"/>
              </w:rPr>
              <w:t>szczegółowa</w:t>
            </w:r>
            <w:r w:rsidR="003B50ED">
              <w:rPr>
                <w:rFonts w:eastAsia="Calibri" w:cstheme="minorHAnsi"/>
              </w:rPr>
              <w:t xml:space="preserve"> </w:t>
            </w:r>
            <w:r w:rsidRPr="00A26C26">
              <w:rPr>
                <w:rFonts w:eastAsia="Calibri" w:cstheme="minorHAnsi"/>
              </w:rPr>
              <w:t>diagnoza</w:t>
            </w:r>
            <w:r w:rsidR="003B50ED">
              <w:rPr>
                <w:rFonts w:eastAsia="Calibri" w:cstheme="minorHAnsi"/>
              </w:rPr>
              <w:t xml:space="preserve"> </w:t>
            </w:r>
            <w:r w:rsidRPr="00A26C26">
              <w:rPr>
                <w:rFonts w:eastAsia="Calibri" w:cstheme="minorHAnsi"/>
              </w:rPr>
              <w:t>obszaru</w:t>
            </w:r>
            <w:r w:rsidR="003B50ED">
              <w:rPr>
                <w:rFonts w:eastAsia="Calibri" w:cstheme="minorHAnsi"/>
              </w:rPr>
              <w:t xml:space="preserve"> </w:t>
            </w:r>
            <w:r w:rsidRPr="00A26C26">
              <w:rPr>
                <w:rFonts w:eastAsia="Calibri" w:cstheme="minorHAnsi"/>
              </w:rPr>
              <w:t>uwzgledniająca</w:t>
            </w:r>
            <w:r w:rsidR="003B50ED">
              <w:rPr>
                <w:rFonts w:eastAsia="Calibri" w:cstheme="minorHAnsi"/>
              </w:rPr>
              <w:t xml:space="preserve"> </w:t>
            </w:r>
            <w:r w:rsidRPr="00A26C26">
              <w:rPr>
                <w:rFonts w:eastAsia="Calibri" w:cstheme="minorHAnsi"/>
              </w:rPr>
              <w:t>niezbędne</w:t>
            </w:r>
            <w:r w:rsidR="003B50ED">
              <w:rPr>
                <w:rFonts w:eastAsia="Calibri" w:cstheme="minorHAnsi"/>
              </w:rPr>
              <w:t xml:space="preserve"> </w:t>
            </w:r>
            <w:r w:rsidRPr="00A26C26">
              <w:rPr>
                <w:rFonts w:eastAsia="Calibri" w:cstheme="minorHAnsi"/>
              </w:rPr>
              <w:t>obszary</w:t>
            </w:r>
            <w:r w:rsidR="003B50ED">
              <w:rPr>
                <w:rFonts w:eastAsia="Calibri" w:cstheme="minorHAnsi"/>
              </w:rPr>
              <w:t xml:space="preserve"> </w:t>
            </w:r>
            <w:r w:rsidRPr="00A26C26">
              <w:rPr>
                <w:rFonts w:eastAsia="Calibri" w:cstheme="minorHAnsi"/>
              </w:rPr>
              <w:t>strategiczne,</w:t>
            </w:r>
            <w:r w:rsidR="003B50ED">
              <w:rPr>
                <w:rFonts w:eastAsia="Calibri" w:cstheme="minorHAnsi"/>
              </w:rPr>
              <w:t xml:space="preserve"> </w:t>
            </w:r>
            <w:r w:rsidRPr="00A26C26">
              <w:rPr>
                <w:rFonts w:eastAsia="Calibri" w:cstheme="minorHAnsi"/>
              </w:rPr>
              <w:t>tj.</w:t>
            </w:r>
            <w:r w:rsidR="003B50ED">
              <w:rPr>
                <w:rFonts w:eastAsia="Calibri" w:cstheme="minorHAnsi"/>
              </w:rPr>
              <w:t xml:space="preserve"> </w:t>
            </w:r>
            <w:r w:rsidRPr="00A26C26">
              <w:rPr>
                <w:rFonts w:eastAsia="Calibri" w:cstheme="minorHAnsi"/>
              </w:rPr>
              <w:t>innowacyjność,</w:t>
            </w:r>
            <w:r w:rsidR="003B50ED">
              <w:rPr>
                <w:rFonts w:eastAsia="Calibri" w:cstheme="minorHAnsi"/>
              </w:rPr>
              <w:t xml:space="preserve"> </w:t>
            </w:r>
            <w:r w:rsidRPr="00A26C26">
              <w:rPr>
                <w:rFonts w:eastAsia="Calibri" w:cstheme="minorHAnsi"/>
              </w:rPr>
              <w:t>cyfryzację,</w:t>
            </w:r>
            <w:r w:rsidR="003B50ED">
              <w:rPr>
                <w:rFonts w:eastAsia="Calibri" w:cstheme="minorHAnsi"/>
              </w:rPr>
              <w:t xml:space="preserve"> </w:t>
            </w:r>
            <w:r w:rsidRPr="00A26C26">
              <w:rPr>
                <w:rFonts w:eastAsia="Calibri" w:cstheme="minorHAnsi"/>
              </w:rPr>
              <w:t>środowisko</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klimat,</w:t>
            </w:r>
            <w:r w:rsidR="003B50ED">
              <w:rPr>
                <w:rFonts w:eastAsia="Calibri" w:cstheme="minorHAnsi"/>
              </w:rPr>
              <w:t xml:space="preserve"> </w:t>
            </w:r>
            <w:r w:rsidRPr="00A26C26">
              <w:rPr>
                <w:rFonts w:eastAsia="Calibri" w:cstheme="minorHAnsi"/>
              </w:rPr>
              <w:t>zmiany</w:t>
            </w:r>
            <w:r w:rsidR="003B50ED">
              <w:rPr>
                <w:rFonts w:eastAsia="Calibri" w:cstheme="minorHAnsi"/>
              </w:rPr>
              <w:t xml:space="preserve"> </w:t>
            </w:r>
            <w:r w:rsidRPr="00A26C26">
              <w:rPr>
                <w:rFonts w:eastAsia="Calibri" w:cstheme="minorHAnsi"/>
              </w:rPr>
              <w:t>demograficzne</w:t>
            </w:r>
            <w:r w:rsidR="003B50ED">
              <w:rPr>
                <w:rFonts w:eastAsia="Calibri" w:cstheme="minorHAnsi"/>
              </w:rPr>
              <w:t xml:space="preserve"> </w:t>
            </w:r>
            <w:r w:rsidRPr="00A26C26">
              <w:rPr>
                <w:rFonts w:eastAsia="Calibri" w:cstheme="minorHAnsi"/>
              </w:rPr>
              <w:t>z</w:t>
            </w:r>
            <w:r w:rsidR="003B50ED">
              <w:rPr>
                <w:rFonts w:eastAsia="Calibri" w:cstheme="minorHAnsi"/>
              </w:rPr>
              <w:t xml:space="preserve"> </w:t>
            </w:r>
            <w:r w:rsidRPr="00A26C26">
              <w:rPr>
                <w:rFonts w:eastAsia="Calibri" w:cstheme="minorHAnsi"/>
              </w:rPr>
              <w:t>uwzględnieniem</w:t>
            </w:r>
            <w:r w:rsidR="003B50ED">
              <w:rPr>
                <w:rFonts w:eastAsia="Calibri" w:cstheme="minorHAnsi"/>
              </w:rPr>
              <w:t xml:space="preserve"> </w:t>
            </w:r>
            <w:r w:rsidRPr="00A26C26">
              <w:rPr>
                <w:rFonts w:eastAsia="Calibri" w:cstheme="minorHAnsi"/>
              </w:rPr>
              <w:t>starzenia</w:t>
            </w:r>
            <w:r w:rsidR="003B50ED">
              <w:rPr>
                <w:rFonts w:eastAsia="Calibri" w:cstheme="minorHAnsi"/>
              </w:rPr>
              <w:t xml:space="preserve"> </w:t>
            </w:r>
            <w:r w:rsidRPr="00A26C26">
              <w:rPr>
                <w:rFonts w:eastAsia="Calibri" w:cstheme="minorHAnsi"/>
              </w:rPr>
              <w:t>się</w:t>
            </w:r>
            <w:r w:rsidR="003B50ED">
              <w:rPr>
                <w:rFonts w:eastAsia="Calibri" w:cstheme="minorHAnsi"/>
              </w:rPr>
              <w:t xml:space="preserve"> </w:t>
            </w:r>
            <w:r w:rsidRPr="00A26C26">
              <w:rPr>
                <w:rFonts w:eastAsia="Calibri" w:cstheme="minorHAnsi"/>
              </w:rPr>
              <w:t>społeczeństwa</w:t>
            </w:r>
            <w:r w:rsidR="003B50ED">
              <w:rPr>
                <w:rFonts w:eastAsia="Calibri" w:cstheme="minorHAnsi"/>
              </w:rPr>
              <w:t xml:space="preserve"> </w:t>
            </w:r>
            <w:r w:rsidRPr="00A26C26">
              <w:rPr>
                <w:rFonts w:eastAsia="Calibri" w:cstheme="minorHAnsi"/>
              </w:rPr>
              <w:t>oraz</w:t>
            </w:r>
            <w:r w:rsidR="003B50ED">
              <w:rPr>
                <w:rFonts w:eastAsia="Calibri" w:cstheme="minorHAnsi"/>
              </w:rPr>
              <w:t xml:space="preserve"> </w:t>
            </w:r>
            <w:r w:rsidRPr="00A26C26">
              <w:rPr>
                <w:rFonts w:eastAsia="Calibri" w:cstheme="minorHAnsi"/>
              </w:rPr>
              <w:t>wyludnienia</w:t>
            </w:r>
            <w:r w:rsidR="003B50ED">
              <w:rPr>
                <w:rFonts w:eastAsia="Calibri" w:cstheme="minorHAnsi"/>
              </w:rPr>
              <w:t xml:space="preserve"> </w:t>
            </w:r>
            <w:r w:rsidRPr="00A26C26">
              <w:rPr>
                <w:rFonts w:eastAsia="Calibri" w:cstheme="minorHAnsi"/>
              </w:rPr>
              <w:t>oraz</w:t>
            </w:r>
            <w:r w:rsidR="003B50ED">
              <w:rPr>
                <w:rFonts w:eastAsia="Calibri" w:cstheme="minorHAnsi"/>
              </w:rPr>
              <w:t xml:space="preserve"> </w:t>
            </w:r>
            <w:r w:rsidRPr="00A26C26">
              <w:rPr>
                <w:rFonts w:eastAsia="Calibri" w:cstheme="minorHAnsi"/>
              </w:rPr>
              <w:t>partnerstwo</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realizacji</w:t>
            </w:r>
            <w:r w:rsidR="003B50ED">
              <w:rPr>
                <w:rFonts w:eastAsia="Calibri" w:cstheme="minorHAnsi"/>
              </w:rPr>
              <w:t xml:space="preserve"> </w:t>
            </w:r>
            <w:r w:rsidRPr="00A26C26">
              <w:rPr>
                <w:rFonts w:eastAsia="Calibri" w:cstheme="minorHAnsi"/>
              </w:rPr>
              <w:t>LSR</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szczególności</w:t>
            </w:r>
            <w:r w:rsidR="003B50ED">
              <w:rPr>
                <w:rFonts w:eastAsia="Calibri" w:cstheme="minorHAnsi"/>
              </w:rPr>
              <w:t xml:space="preserve"> </w:t>
            </w:r>
            <w:r w:rsidRPr="00A26C26">
              <w:rPr>
                <w:rFonts w:eastAsia="Calibri" w:cstheme="minorHAnsi"/>
              </w:rPr>
              <w:t>poprzez</w:t>
            </w:r>
            <w:r w:rsidR="003B50ED">
              <w:rPr>
                <w:rFonts w:eastAsia="Calibri" w:cstheme="minorHAnsi"/>
              </w:rPr>
              <w:t xml:space="preserve"> </w:t>
            </w:r>
            <w:r w:rsidRPr="00A26C26">
              <w:rPr>
                <w:rFonts w:eastAsia="Calibri" w:cstheme="minorHAnsi"/>
              </w:rPr>
              <w:t>wspólną</w:t>
            </w:r>
            <w:r w:rsidR="003B50ED">
              <w:rPr>
                <w:rFonts w:eastAsia="Calibri" w:cstheme="minorHAnsi"/>
              </w:rPr>
              <w:t xml:space="preserve"> </w:t>
            </w:r>
            <w:r w:rsidRPr="00A26C26">
              <w:rPr>
                <w:rFonts w:eastAsia="Calibri" w:cstheme="minorHAnsi"/>
              </w:rPr>
              <w:t>realizację</w:t>
            </w:r>
            <w:r w:rsidR="003B50ED">
              <w:rPr>
                <w:rFonts w:eastAsia="Calibri" w:cstheme="minorHAnsi"/>
              </w:rPr>
              <w:t xml:space="preserve"> </w:t>
            </w:r>
            <w:r w:rsidRPr="00A26C26">
              <w:rPr>
                <w:rFonts w:eastAsia="Calibri" w:cstheme="minorHAnsi"/>
              </w:rPr>
              <w:t>przedsięwzięć</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projektów.</w:t>
            </w:r>
          </w:p>
        </w:tc>
      </w:tr>
      <w:tr w:rsidR="00E2372E" w:rsidRPr="00A26C26" w14:paraId="78A19A8A" w14:textId="77777777" w:rsidTr="00DB7370">
        <w:tc>
          <w:tcPr>
            <w:tcW w:w="1838" w:type="dxa"/>
          </w:tcPr>
          <w:p w14:paraId="78545650" w14:textId="161212A0" w:rsidR="00E2372E" w:rsidRPr="00A26C26" w:rsidRDefault="00E2372E" w:rsidP="00A26C26">
            <w:pPr>
              <w:tabs>
                <w:tab w:val="left" w:pos="10206"/>
              </w:tabs>
              <w:spacing w:line="276" w:lineRule="auto"/>
              <w:rPr>
                <w:rFonts w:eastAsia="Calibri" w:cstheme="minorHAnsi"/>
                <w:b/>
                <w:bCs/>
              </w:rPr>
            </w:pPr>
            <w:r w:rsidRPr="00A26C26">
              <w:rPr>
                <w:rFonts w:eastAsia="Calibri" w:cstheme="minorHAnsi"/>
                <w:b/>
                <w:bCs/>
              </w:rPr>
              <w:t>Etap</w:t>
            </w:r>
            <w:r w:rsidR="003B50ED">
              <w:rPr>
                <w:rFonts w:eastAsia="Calibri" w:cstheme="minorHAnsi"/>
                <w:b/>
                <w:bCs/>
              </w:rPr>
              <w:t xml:space="preserve"> </w:t>
            </w:r>
            <w:r w:rsidRPr="00A26C26">
              <w:rPr>
                <w:rFonts w:eastAsia="Calibri" w:cstheme="minorHAnsi"/>
                <w:b/>
                <w:bCs/>
              </w:rPr>
              <w:t>II</w:t>
            </w:r>
            <w:r w:rsidR="003B50ED">
              <w:rPr>
                <w:rFonts w:eastAsia="Calibri" w:cstheme="minorHAnsi"/>
                <w:b/>
                <w:bCs/>
              </w:rPr>
              <w:t xml:space="preserve"> </w:t>
            </w:r>
            <w:r w:rsidRPr="00A26C26">
              <w:rPr>
                <w:rFonts w:eastAsia="Calibri" w:cstheme="minorHAnsi"/>
                <w:b/>
                <w:bCs/>
              </w:rPr>
              <w:t>Określenie</w:t>
            </w:r>
            <w:r w:rsidR="003B50ED">
              <w:rPr>
                <w:rFonts w:eastAsia="Calibri" w:cstheme="minorHAnsi"/>
                <w:b/>
                <w:bCs/>
              </w:rPr>
              <w:t xml:space="preserve"> </w:t>
            </w:r>
            <w:r w:rsidRPr="00A26C26">
              <w:rPr>
                <w:rFonts w:eastAsia="Calibri" w:cstheme="minorHAnsi"/>
                <w:b/>
                <w:bCs/>
              </w:rPr>
              <w:t>/</w:t>
            </w:r>
            <w:r w:rsidR="003B50ED">
              <w:rPr>
                <w:rFonts w:eastAsia="Calibri" w:cstheme="minorHAnsi"/>
                <w:b/>
                <w:bCs/>
              </w:rPr>
              <w:t xml:space="preserve"> </w:t>
            </w:r>
            <w:r w:rsidRPr="00A26C26">
              <w:rPr>
                <w:rFonts w:eastAsia="Calibri" w:cstheme="minorHAnsi"/>
                <w:b/>
                <w:bCs/>
              </w:rPr>
              <w:t>konsultacje</w:t>
            </w:r>
            <w:r w:rsidR="003B50ED">
              <w:rPr>
                <w:rFonts w:eastAsia="Calibri" w:cstheme="minorHAnsi"/>
                <w:b/>
                <w:bCs/>
              </w:rPr>
              <w:t xml:space="preserve"> </w:t>
            </w:r>
            <w:r w:rsidRPr="00A26C26">
              <w:rPr>
                <w:rFonts w:eastAsia="Calibri" w:cstheme="minorHAnsi"/>
                <w:b/>
                <w:bCs/>
              </w:rPr>
              <w:t>celów</w:t>
            </w:r>
            <w:r w:rsidR="003B50ED">
              <w:rPr>
                <w:rFonts w:eastAsia="Calibri" w:cstheme="minorHAnsi"/>
                <w:b/>
                <w:bCs/>
              </w:rPr>
              <w:t xml:space="preserve"> </w:t>
            </w:r>
            <w:r w:rsidRPr="00A26C26">
              <w:rPr>
                <w:rFonts w:eastAsia="Calibri" w:cstheme="minorHAnsi"/>
                <w:b/>
                <w:bCs/>
              </w:rPr>
              <w:br/>
              <w:t>i</w:t>
            </w:r>
            <w:r w:rsidR="003B50ED">
              <w:rPr>
                <w:rFonts w:eastAsia="Calibri" w:cstheme="minorHAnsi"/>
                <w:b/>
                <w:bCs/>
              </w:rPr>
              <w:t xml:space="preserve"> </w:t>
            </w:r>
            <w:r w:rsidRPr="00A26C26">
              <w:rPr>
                <w:rFonts w:eastAsia="Calibri" w:cstheme="minorHAnsi"/>
                <w:b/>
                <w:bCs/>
              </w:rPr>
              <w:t>wskaźników</w:t>
            </w:r>
            <w:r w:rsidR="003B50ED">
              <w:rPr>
                <w:rFonts w:eastAsia="Calibri" w:cstheme="minorHAnsi"/>
                <w:b/>
                <w:bCs/>
              </w:rPr>
              <w:t xml:space="preserve"> </w:t>
            </w:r>
            <w:r w:rsidRPr="00A26C26">
              <w:rPr>
                <w:rFonts w:eastAsia="Calibri" w:cstheme="minorHAnsi"/>
                <w:b/>
                <w:bCs/>
              </w:rPr>
              <w:t>oraz</w:t>
            </w:r>
            <w:r w:rsidR="003B50ED">
              <w:rPr>
                <w:rFonts w:eastAsia="Calibri" w:cstheme="minorHAnsi"/>
                <w:b/>
                <w:bCs/>
              </w:rPr>
              <w:t xml:space="preserve"> </w:t>
            </w:r>
            <w:r w:rsidRPr="00A26C26">
              <w:rPr>
                <w:rFonts w:eastAsia="Calibri" w:cstheme="minorHAnsi"/>
                <w:b/>
                <w:bCs/>
              </w:rPr>
              <w:t>Planu</w:t>
            </w:r>
            <w:r w:rsidR="003B50ED">
              <w:rPr>
                <w:rFonts w:eastAsia="Calibri" w:cstheme="minorHAnsi"/>
                <w:b/>
                <w:bCs/>
              </w:rPr>
              <w:t xml:space="preserve"> </w:t>
            </w:r>
            <w:r w:rsidRPr="00A26C26">
              <w:rPr>
                <w:rFonts w:eastAsia="Calibri" w:cstheme="minorHAnsi"/>
                <w:b/>
                <w:bCs/>
              </w:rPr>
              <w:t>działania</w:t>
            </w:r>
          </w:p>
          <w:p w14:paraId="568022E9" w14:textId="77777777" w:rsidR="00E2372E" w:rsidRPr="00A26C26" w:rsidRDefault="00E2372E" w:rsidP="00A26C26">
            <w:pPr>
              <w:spacing w:line="276" w:lineRule="auto"/>
              <w:rPr>
                <w:rFonts w:eastAsia="Calibri" w:cstheme="minorHAnsi"/>
                <w:b/>
                <w:bCs/>
              </w:rPr>
            </w:pPr>
          </w:p>
        </w:tc>
        <w:tc>
          <w:tcPr>
            <w:tcW w:w="8363" w:type="dxa"/>
          </w:tcPr>
          <w:p w14:paraId="380A6B7F" w14:textId="71595252" w:rsidR="003470D9" w:rsidRPr="00F16251" w:rsidRDefault="00E2372E" w:rsidP="00581749">
            <w:pPr>
              <w:ind w:firstLine="360"/>
              <w:jc w:val="both"/>
              <w:rPr>
                <w:rFonts w:eastAsia="Calibri" w:cstheme="minorHAnsi"/>
                <w:kern w:val="2"/>
              </w:rPr>
            </w:pPr>
            <w:r w:rsidRPr="00F16251">
              <w:rPr>
                <w:rFonts w:eastAsia="Calibri" w:cstheme="minorHAnsi"/>
              </w:rPr>
              <w:t>Istotnym</w:t>
            </w:r>
            <w:r w:rsidR="003B50ED" w:rsidRPr="00F16251">
              <w:rPr>
                <w:rFonts w:eastAsia="Calibri" w:cstheme="minorHAnsi"/>
              </w:rPr>
              <w:t xml:space="preserve"> </w:t>
            </w:r>
            <w:r w:rsidRPr="00F16251">
              <w:rPr>
                <w:rFonts w:eastAsia="Calibri" w:cstheme="minorHAnsi"/>
              </w:rPr>
              <w:t>narzędziem</w:t>
            </w:r>
            <w:r w:rsidR="003B50ED" w:rsidRPr="00F16251">
              <w:rPr>
                <w:rFonts w:eastAsia="Calibri" w:cstheme="minorHAnsi"/>
              </w:rPr>
              <w:t xml:space="preserve"> </w:t>
            </w:r>
            <w:r w:rsidRPr="00F16251">
              <w:rPr>
                <w:rFonts w:eastAsia="Calibri" w:cstheme="minorHAnsi"/>
              </w:rPr>
              <w:t>na</w:t>
            </w:r>
            <w:r w:rsidR="003B50ED" w:rsidRPr="00F16251">
              <w:rPr>
                <w:rFonts w:eastAsia="Calibri" w:cstheme="minorHAnsi"/>
              </w:rPr>
              <w:t xml:space="preserve"> </w:t>
            </w:r>
            <w:r w:rsidRPr="00F16251">
              <w:rPr>
                <w:rFonts w:eastAsia="Calibri" w:cstheme="minorHAnsi"/>
              </w:rPr>
              <w:t>tym</w:t>
            </w:r>
            <w:r w:rsidR="003B50ED" w:rsidRPr="00F16251">
              <w:rPr>
                <w:rFonts w:eastAsia="Calibri" w:cstheme="minorHAnsi"/>
              </w:rPr>
              <w:t xml:space="preserve"> </w:t>
            </w:r>
            <w:r w:rsidRPr="00F16251">
              <w:rPr>
                <w:rFonts w:eastAsia="Calibri" w:cstheme="minorHAnsi"/>
              </w:rPr>
              <w:t>etapie</w:t>
            </w:r>
            <w:r w:rsidR="003B50ED" w:rsidRPr="00F16251">
              <w:rPr>
                <w:rFonts w:eastAsia="Calibri" w:cstheme="minorHAnsi"/>
              </w:rPr>
              <w:t xml:space="preserve"> </w:t>
            </w:r>
            <w:r w:rsidRPr="00F16251">
              <w:rPr>
                <w:rFonts w:eastAsia="Calibri" w:cstheme="minorHAnsi"/>
              </w:rPr>
              <w:t>było</w:t>
            </w:r>
            <w:r w:rsidR="003B50ED" w:rsidRPr="00F16251">
              <w:rPr>
                <w:rFonts w:eastAsia="Calibri" w:cstheme="minorHAnsi"/>
              </w:rPr>
              <w:t xml:space="preserve"> </w:t>
            </w:r>
            <w:r w:rsidRPr="00F16251">
              <w:rPr>
                <w:rFonts w:eastAsia="Calibri" w:cstheme="minorHAnsi"/>
              </w:rPr>
              <w:t>wykorzystanie</w:t>
            </w:r>
            <w:r w:rsidR="003B50ED" w:rsidRPr="00F16251">
              <w:rPr>
                <w:rFonts w:eastAsia="Calibri" w:cstheme="minorHAnsi"/>
              </w:rPr>
              <w:t xml:space="preserve"> </w:t>
            </w:r>
            <w:r w:rsidRPr="00F16251">
              <w:rPr>
                <w:rFonts w:eastAsia="Calibri" w:cstheme="minorHAnsi"/>
              </w:rPr>
              <w:t>Matrycy</w:t>
            </w:r>
            <w:r w:rsidR="003B50ED" w:rsidRPr="00F16251">
              <w:rPr>
                <w:rFonts w:eastAsia="Calibri" w:cstheme="minorHAnsi"/>
              </w:rPr>
              <w:t xml:space="preserve"> </w:t>
            </w:r>
            <w:r w:rsidRPr="00F16251">
              <w:rPr>
                <w:rFonts w:eastAsia="Calibri" w:cstheme="minorHAnsi"/>
              </w:rPr>
              <w:t>celów,</w:t>
            </w:r>
            <w:r w:rsidR="003B50ED" w:rsidRPr="00F16251">
              <w:rPr>
                <w:rFonts w:eastAsia="Calibri" w:cstheme="minorHAnsi"/>
              </w:rPr>
              <w:t xml:space="preserve"> </w:t>
            </w:r>
            <w:r w:rsidRPr="00F16251">
              <w:rPr>
                <w:rFonts w:eastAsia="Calibri" w:cstheme="minorHAnsi"/>
              </w:rPr>
              <w:t>która</w:t>
            </w:r>
            <w:r w:rsidR="003B50ED" w:rsidRPr="00F16251">
              <w:rPr>
                <w:rFonts w:eastAsia="Calibri" w:cstheme="minorHAnsi"/>
              </w:rPr>
              <w:t xml:space="preserve"> </w:t>
            </w:r>
            <w:r w:rsidRPr="00F16251">
              <w:rPr>
                <w:rFonts w:eastAsia="Calibri" w:cstheme="minorHAnsi"/>
              </w:rPr>
              <w:t>była</w:t>
            </w:r>
            <w:r w:rsidR="003B50ED" w:rsidRPr="00F16251">
              <w:rPr>
                <w:rFonts w:eastAsia="Calibri" w:cstheme="minorHAnsi"/>
              </w:rPr>
              <w:t xml:space="preserve"> </w:t>
            </w:r>
            <w:r w:rsidRPr="00F16251">
              <w:rPr>
                <w:rFonts w:eastAsia="Calibri" w:cstheme="minorHAnsi"/>
              </w:rPr>
              <w:t>podstawowym</w:t>
            </w:r>
            <w:r w:rsidR="003B50ED" w:rsidRPr="00F16251">
              <w:rPr>
                <w:rFonts w:eastAsia="Calibri" w:cstheme="minorHAnsi"/>
              </w:rPr>
              <w:t xml:space="preserve"> </w:t>
            </w:r>
            <w:r w:rsidRPr="00F16251">
              <w:rPr>
                <w:rFonts w:eastAsia="Calibri" w:cstheme="minorHAnsi"/>
              </w:rPr>
              <w:t>elementem</w:t>
            </w:r>
            <w:r w:rsidR="003B50ED" w:rsidRPr="00F16251">
              <w:rPr>
                <w:rFonts w:eastAsia="Calibri" w:cstheme="minorHAnsi"/>
              </w:rPr>
              <w:t xml:space="preserve"> </w:t>
            </w:r>
            <w:r w:rsidRPr="00F16251">
              <w:rPr>
                <w:rFonts w:eastAsia="Calibri" w:cstheme="minorHAnsi"/>
              </w:rPr>
              <w:t>konsultacji,</w:t>
            </w:r>
            <w:r w:rsidR="003B50ED" w:rsidRPr="00F16251">
              <w:rPr>
                <w:rFonts w:eastAsia="Calibri" w:cstheme="minorHAnsi"/>
              </w:rPr>
              <w:t xml:space="preserve"> </w:t>
            </w:r>
            <w:r w:rsidRPr="00F16251">
              <w:rPr>
                <w:rFonts w:eastAsia="Calibri" w:cstheme="minorHAnsi"/>
              </w:rPr>
              <w:t>zapewniającym</w:t>
            </w:r>
            <w:r w:rsidR="003B50ED" w:rsidRPr="00F16251">
              <w:rPr>
                <w:rFonts w:eastAsia="Calibri" w:cstheme="minorHAnsi"/>
              </w:rPr>
              <w:t xml:space="preserve"> </w:t>
            </w:r>
            <w:r w:rsidRPr="00F16251">
              <w:rPr>
                <w:rFonts w:eastAsia="Calibri" w:cstheme="minorHAnsi"/>
              </w:rPr>
              <w:t>skompletowanie</w:t>
            </w:r>
            <w:r w:rsidR="003B50ED" w:rsidRPr="00F16251">
              <w:rPr>
                <w:rFonts w:eastAsia="Calibri" w:cstheme="minorHAnsi"/>
              </w:rPr>
              <w:t xml:space="preserve"> </w:t>
            </w:r>
            <w:r w:rsidRPr="00F16251">
              <w:rPr>
                <w:rFonts w:eastAsia="Calibri" w:cstheme="minorHAnsi"/>
              </w:rPr>
              <w:t>informacji</w:t>
            </w:r>
            <w:r w:rsidR="003B50ED" w:rsidRPr="00F16251">
              <w:rPr>
                <w:rFonts w:eastAsia="Calibri" w:cstheme="minorHAnsi"/>
              </w:rPr>
              <w:t xml:space="preserve"> </w:t>
            </w:r>
            <w:r w:rsidRPr="00F16251">
              <w:rPr>
                <w:rFonts w:eastAsia="Calibri" w:cstheme="minorHAnsi"/>
              </w:rPr>
              <w:t>do</w:t>
            </w:r>
            <w:r w:rsidR="003B50ED" w:rsidRPr="00F16251">
              <w:rPr>
                <w:rFonts w:eastAsia="Calibri" w:cstheme="minorHAnsi"/>
              </w:rPr>
              <w:t xml:space="preserve"> </w:t>
            </w:r>
            <w:r w:rsidRPr="00F16251">
              <w:rPr>
                <w:rFonts w:eastAsia="Calibri" w:cstheme="minorHAnsi"/>
              </w:rPr>
              <w:t>wielkości</w:t>
            </w:r>
            <w:r w:rsidR="003B50ED" w:rsidRPr="00F16251">
              <w:rPr>
                <w:rFonts w:eastAsia="Calibri" w:cstheme="minorHAnsi"/>
              </w:rPr>
              <w:t xml:space="preserve"> </w:t>
            </w:r>
            <w:r w:rsidRPr="00F16251">
              <w:rPr>
                <w:rFonts w:eastAsia="Calibri" w:cstheme="minorHAnsi"/>
              </w:rPr>
              <w:t>rozdziałów</w:t>
            </w:r>
            <w:r w:rsidR="003B50ED" w:rsidRPr="00F16251">
              <w:rPr>
                <w:rFonts w:eastAsia="Calibri" w:cstheme="minorHAnsi"/>
              </w:rPr>
              <w:t xml:space="preserve"> </w:t>
            </w:r>
            <w:r w:rsidRPr="00F16251">
              <w:rPr>
                <w:rFonts w:eastAsia="Calibri" w:cstheme="minorHAnsi"/>
              </w:rPr>
              <w:t>LSR.</w:t>
            </w:r>
            <w:r w:rsidR="003B50ED" w:rsidRPr="00F16251">
              <w:rPr>
                <w:rFonts w:eastAsia="Calibri" w:cstheme="minorHAnsi"/>
              </w:rPr>
              <w:t xml:space="preserve"> </w:t>
            </w:r>
            <w:r w:rsidRPr="00F16251">
              <w:rPr>
                <w:rFonts w:eastAsia="Calibri" w:cstheme="minorHAnsi"/>
              </w:rPr>
              <w:t>Podjęto</w:t>
            </w:r>
            <w:r w:rsidR="003B50ED" w:rsidRPr="00F16251">
              <w:rPr>
                <w:rFonts w:eastAsia="Calibri" w:cstheme="minorHAnsi"/>
              </w:rPr>
              <w:t xml:space="preserve"> </w:t>
            </w:r>
            <w:r w:rsidRPr="00F16251">
              <w:rPr>
                <w:rFonts w:eastAsia="Calibri" w:cstheme="minorHAnsi"/>
              </w:rPr>
              <w:t>próbę</w:t>
            </w:r>
            <w:r w:rsidR="003B50ED" w:rsidRPr="00F16251">
              <w:rPr>
                <w:rFonts w:eastAsia="Calibri" w:cstheme="minorHAnsi"/>
              </w:rPr>
              <w:t xml:space="preserve"> </w:t>
            </w:r>
            <w:r w:rsidRPr="00F16251">
              <w:rPr>
                <w:rFonts w:eastAsia="Calibri" w:cstheme="minorHAnsi"/>
              </w:rPr>
              <w:t>zapewnienia</w:t>
            </w:r>
            <w:r w:rsidR="003B50ED" w:rsidRPr="00F16251">
              <w:rPr>
                <w:rFonts w:eastAsia="Calibri" w:cstheme="minorHAnsi"/>
              </w:rPr>
              <w:t xml:space="preserve"> </w:t>
            </w:r>
            <w:r w:rsidRPr="00F16251">
              <w:rPr>
                <w:rFonts w:eastAsia="Calibri" w:cstheme="minorHAnsi"/>
              </w:rPr>
              <w:t>zgodności</w:t>
            </w:r>
            <w:r w:rsidR="003B50ED" w:rsidRPr="00F16251">
              <w:rPr>
                <w:rFonts w:eastAsia="Calibri" w:cstheme="minorHAnsi"/>
              </w:rPr>
              <w:t xml:space="preserve"> </w:t>
            </w:r>
            <w:r w:rsidRPr="00F16251">
              <w:rPr>
                <w:rFonts w:eastAsia="Calibri" w:cstheme="minorHAnsi"/>
              </w:rPr>
              <w:t>propozycji</w:t>
            </w:r>
            <w:r w:rsidR="003B50ED" w:rsidRPr="00F16251">
              <w:rPr>
                <w:rFonts w:eastAsia="Calibri" w:cstheme="minorHAnsi"/>
              </w:rPr>
              <w:t xml:space="preserve"> </w:t>
            </w:r>
            <w:r w:rsidR="00DB7370" w:rsidRPr="00F16251">
              <w:rPr>
                <w:rFonts w:eastAsia="Calibri" w:cstheme="minorHAnsi"/>
              </w:rPr>
              <w:br/>
            </w:r>
            <w:r w:rsidRPr="00F16251">
              <w:rPr>
                <w:rFonts w:eastAsia="Calibri" w:cstheme="minorHAnsi"/>
              </w:rPr>
              <w:t>z</w:t>
            </w:r>
            <w:r w:rsidR="003B50ED" w:rsidRPr="00F16251">
              <w:rPr>
                <w:rFonts w:eastAsia="Calibri" w:cstheme="minorHAnsi"/>
              </w:rPr>
              <w:t xml:space="preserve"> </w:t>
            </w:r>
            <w:r w:rsidRPr="00F16251">
              <w:rPr>
                <w:rFonts w:eastAsia="Calibri" w:cstheme="minorHAnsi"/>
              </w:rPr>
              <w:t>obowiązującymi</w:t>
            </w:r>
            <w:r w:rsidR="003B50ED" w:rsidRPr="00F16251">
              <w:rPr>
                <w:rFonts w:eastAsia="Calibri" w:cstheme="minorHAnsi"/>
              </w:rPr>
              <w:t xml:space="preserve"> </w:t>
            </w:r>
            <w:r w:rsidRPr="00F16251">
              <w:rPr>
                <w:rFonts w:eastAsia="Calibri" w:cstheme="minorHAnsi"/>
              </w:rPr>
              <w:t>przepisami</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szczególności</w:t>
            </w:r>
            <w:r w:rsidR="003B50ED" w:rsidRPr="00F16251">
              <w:rPr>
                <w:rFonts w:eastAsia="Calibri" w:cstheme="minorHAnsi"/>
              </w:rPr>
              <w:t xml:space="preserve"> </w:t>
            </w:r>
            <w:r w:rsidRPr="00F16251">
              <w:rPr>
                <w:rFonts w:eastAsia="Calibri" w:cstheme="minorHAnsi"/>
              </w:rPr>
              <w:t>z</w:t>
            </w:r>
            <w:r w:rsidR="003B50ED" w:rsidRPr="00F16251">
              <w:rPr>
                <w:rFonts w:eastAsia="Calibri" w:cstheme="minorHAnsi"/>
              </w:rPr>
              <w:t xml:space="preserve"> </w:t>
            </w:r>
            <w:r w:rsidRPr="00F16251">
              <w:rPr>
                <w:rFonts w:eastAsia="Calibri" w:cstheme="minorHAnsi"/>
              </w:rPr>
              <w:t>ustawą</w:t>
            </w:r>
            <w:r w:rsidR="003B50ED" w:rsidRPr="00F16251">
              <w:rPr>
                <w:rFonts w:eastAsia="Calibri" w:cstheme="minorHAnsi"/>
              </w:rPr>
              <w:t xml:space="preserve"> </w:t>
            </w:r>
            <w:r w:rsidRPr="00F16251">
              <w:rPr>
                <w:rFonts w:eastAsia="Calibri" w:cstheme="minorHAnsi"/>
              </w:rPr>
              <w:t>o</w:t>
            </w:r>
            <w:r w:rsidR="003B50ED" w:rsidRPr="00F16251">
              <w:rPr>
                <w:rFonts w:eastAsia="Calibri" w:cstheme="minorHAnsi"/>
              </w:rPr>
              <w:t xml:space="preserve"> </w:t>
            </w:r>
            <w:r w:rsidRPr="00F16251">
              <w:rPr>
                <w:rFonts w:eastAsia="Calibri" w:cstheme="minorHAnsi"/>
              </w:rPr>
              <w:t>RLKS),</w:t>
            </w:r>
            <w:r w:rsidR="003B50ED" w:rsidRPr="00F16251">
              <w:rPr>
                <w:rFonts w:eastAsia="Calibri" w:cstheme="minorHAnsi"/>
              </w:rPr>
              <w:t xml:space="preserve"> </w:t>
            </w:r>
            <w:r w:rsidRPr="00F16251">
              <w:rPr>
                <w:rFonts w:eastAsia="Calibri" w:cstheme="minorHAnsi"/>
              </w:rPr>
              <w:t>Wytycznymi</w:t>
            </w:r>
            <w:r w:rsidR="003B50ED" w:rsidRPr="00F16251">
              <w:rPr>
                <w:rFonts w:eastAsia="Calibri" w:cstheme="minorHAnsi"/>
              </w:rPr>
              <w:t xml:space="preserve"> </w:t>
            </w:r>
            <w:r w:rsidRPr="00F16251">
              <w:rPr>
                <w:rFonts w:eastAsia="Calibri" w:cstheme="minorHAnsi"/>
              </w:rPr>
              <w:t>horyzontalnymi</w:t>
            </w:r>
            <w:r w:rsidR="003B50ED" w:rsidRPr="00F16251">
              <w:rPr>
                <w:rFonts w:eastAsia="Calibri" w:cstheme="minorHAnsi"/>
              </w:rPr>
              <w:t xml:space="preserve"> </w:t>
            </w:r>
            <w:r w:rsidRPr="00F16251">
              <w:rPr>
                <w:rFonts w:eastAsia="Calibri" w:cstheme="minorHAnsi"/>
              </w:rPr>
              <w:t>i</w:t>
            </w:r>
            <w:r w:rsidR="003B50ED" w:rsidRPr="00F16251">
              <w:rPr>
                <w:rFonts w:eastAsia="Calibri" w:cstheme="minorHAnsi"/>
              </w:rPr>
              <w:t xml:space="preserve"> </w:t>
            </w:r>
            <w:r w:rsidRPr="00F16251">
              <w:rPr>
                <w:rFonts w:eastAsia="Calibri" w:cstheme="minorHAnsi"/>
              </w:rPr>
              <w:t>Wytycznymi</w:t>
            </w:r>
            <w:r w:rsidR="003B50ED" w:rsidRPr="00F16251">
              <w:rPr>
                <w:rFonts w:eastAsia="Calibri" w:cstheme="minorHAnsi"/>
              </w:rPr>
              <w:t xml:space="preserve"> </w:t>
            </w:r>
            <w:r w:rsidRPr="00F16251">
              <w:rPr>
                <w:rFonts w:eastAsia="Calibri" w:cstheme="minorHAnsi"/>
              </w:rPr>
              <w:t>szczególnymi</w:t>
            </w:r>
            <w:r w:rsidR="003B50ED" w:rsidRPr="00F16251">
              <w:rPr>
                <w:rFonts w:eastAsia="Calibri" w:cstheme="minorHAnsi"/>
              </w:rPr>
              <w:t xml:space="preserve"> </w:t>
            </w:r>
            <w:r w:rsidRPr="00F16251">
              <w:rPr>
                <w:rFonts w:eastAsia="Calibri" w:cstheme="minorHAnsi"/>
              </w:rPr>
              <w:t>dla</w:t>
            </w:r>
            <w:r w:rsidR="003B50ED" w:rsidRPr="00F16251">
              <w:rPr>
                <w:rFonts w:eastAsia="Calibri" w:cstheme="minorHAnsi"/>
              </w:rPr>
              <w:t xml:space="preserve"> </w:t>
            </w:r>
            <w:r w:rsidRPr="00F16251">
              <w:rPr>
                <w:rFonts w:eastAsia="Calibri" w:cstheme="minorHAnsi"/>
              </w:rPr>
              <w:t>interwencji</w:t>
            </w:r>
            <w:r w:rsidR="003B50ED" w:rsidRPr="00F16251">
              <w:rPr>
                <w:rFonts w:eastAsia="Calibri" w:cstheme="minorHAnsi"/>
              </w:rPr>
              <w:t xml:space="preserve"> </w:t>
            </w:r>
            <w:r w:rsidRPr="00F16251">
              <w:rPr>
                <w:rFonts w:eastAsia="Calibri" w:cstheme="minorHAnsi"/>
              </w:rPr>
              <w:t>I.13.1</w:t>
            </w:r>
            <w:r w:rsidR="003B50ED" w:rsidRPr="00F16251">
              <w:rPr>
                <w:rFonts w:eastAsia="Calibri" w:cstheme="minorHAnsi"/>
              </w:rPr>
              <w:t xml:space="preserve"> </w:t>
            </w:r>
            <w:r w:rsidRPr="00F16251">
              <w:rPr>
                <w:rFonts w:eastAsia="Calibri" w:cstheme="minorHAnsi"/>
              </w:rPr>
              <w:t>LEADER/Rozwój</w:t>
            </w:r>
            <w:r w:rsidR="003B50ED" w:rsidRPr="00F16251">
              <w:rPr>
                <w:rFonts w:eastAsia="Calibri" w:cstheme="minorHAnsi"/>
              </w:rPr>
              <w:t xml:space="preserve"> </w:t>
            </w:r>
            <w:r w:rsidRPr="00F16251">
              <w:rPr>
                <w:rFonts w:eastAsia="Calibri" w:cstheme="minorHAnsi"/>
              </w:rPr>
              <w:t>Lokalny</w:t>
            </w:r>
            <w:r w:rsidR="003B50ED" w:rsidRPr="00F16251">
              <w:rPr>
                <w:rFonts w:eastAsia="Calibri" w:cstheme="minorHAnsi"/>
              </w:rPr>
              <w:t xml:space="preserve"> </w:t>
            </w:r>
            <w:r w:rsidRPr="00F16251">
              <w:rPr>
                <w:rFonts w:eastAsia="Calibri" w:cstheme="minorHAnsi"/>
              </w:rPr>
              <w:t>Kierowany</w:t>
            </w:r>
            <w:r w:rsidR="003B50ED" w:rsidRPr="00F16251">
              <w:rPr>
                <w:rFonts w:eastAsia="Calibri" w:cstheme="minorHAnsi"/>
              </w:rPr>
              <w:t xml:space="preserve"> </w:t>
            </w:r>
            <w:r w:rsidRPr="00F16251">
              <w:rPr>
                <w:rFonts w:eastAsia="Calibri" w:cstheme="minorHAnsi"/>
              </w:rPr>
              <w:t>przez</w:t>
            </w:r>
            <w:r w:rsidR="003B50ED" w:rsidRPr="00F16251">
              <w:rPr>
                <w:rFonts w:eastAsia="Calibri" w:cstheme="minorHAnsi"/>
              </w:rPr>
              <w:t xml:space="preserve"> </w:t>
            </w:r>
            <w:r w:rsidRPr="00F16251">
              <w:rPr>
                <w:rFonts w:eastAsia="Calibri" w:cstheme="minorHAnsi"/>
              </w:rPr>
              <w:t>Społeczność</w:t>
            </w:r>
            <w:r w:rsidR="003B50ED" w:rsidRPr="00F16251">
              <w:rPr>
                <w:rFonts w:eastAsia="Calibri" w:cstheme="minorHAnsi"/>
              </w:rPr>
              <w:t xml:space="preserve"> </w:t>
            </w:r>
            <w:r w:rsidRPr="00F16251">
              <w:rPr>
                <w:rFonts w:eastAsia="Calibri" w:cstheme="minorHAnsi"/>
              </w:rPr>
              <w:t>(RLKS)</w:t>
            </w:r>
            <w:r w:rsidR="003B50ED" w:rsidRPr="00F16251">
              <w:rPr>
                <w:rFonts w:eastAsia="Calibri" w:cstheme="minorHAnsi"/>
              </w:rPr>
              <w:t xml:space="preserve"> </w:t>
            </w:r>
            <w:r w:rsidRPr="00F16251">
              <w:rPr>
                <w:rFonts w:eastAsia="Calibri" w:cstheme="minorHAnsi"/>
              </w:rPr>
              <w:t>–</w:t>
            </w:r>
            <w:r w:rsidR="003B50ED" w:rsidRPr="00F16251">
              <w:rPr>
                <w:rFonts w:eastAsia="Calibri" w:cstheme="minorHAnsi"/>
              </w:rPr>
              <w:t xml:space="preserve"> </w:t>
            </w:r>
            <w:r w:rsidRPr="00F16251">
              <w:rPr>
                <w:rFonts w:eastAsia="Calibri" w:cstheme="minorHAnsi"/>
              </w:rPr>
              <w:t>komponent</w:t>
            </w:r>
            <w:r w:rsidR="003B50ED" w:rsidRPr="00F16251">
              <w:rPr>
                <w:rFonts w:eastAsia="Calibri" w:cstheme="minorHAnsi"/>
              </w:rPr>
              <w:t xml:space="preserve"> </w:t>
            </w:r>
            <w:r w:rsidRPr="00F16251">
              <w:rPr>
                <w:rFonts w:eastAsia="Calibri" w:cstheme="minorHAnsi"/>
                <w:i/>
                <w:iCs/>
              </w:rPr>
              <w:t>Wdrażanie</w:t>
            </w:r>
            <w:r w:rsidR="003B50ED" w:rsidRPr="00F16251">
              <w:rPr>
                <w:rFonts w:eastAsia="Calibri" w:cstheme="minorHAnsi"/>
                <w:i/>
                <w:iCs/>
              </w:rPr>
              <w:t xml:space="preserve"> </w:t>
            </w:r>
            <w:r w:rsidRPr="00F16251">
              <w:rPr>
                <w:rFonts w:eastAsia="Calibri" w:cstheme="minorHAnsi"/>
                <w:i/>
                <w:iCs/>
              </w:rPr>
              <w:t>lokalnych</w:t>
            </w:r>
            <w:r w:rsidR="003B50ED" w:rsidRPr="00F16251">
              <w:rPr>
                <w:rFonts w:eastAsia="Calibri" w:cstheme="minorHAnsi"/>
                <w:i/>
                <w:iCs/>
              </w:rPr>
              <w:t xml:space="preserve"> </w:t>
            </w:r>
            <w:r w:rsidRPr="00F16251">
              <w:rPr>
                <w:rFonts w:eastAsia="Calibri" w:cstheme="minorHAnsi"/>
                <w:i/>
                <w:iCs/>
              </w:rPr>
              <w:t>strategii</w:t>
            </w:r>
            <w:r w:rsidR="003B50ED" w:rsidRPr="00F16251">
              <w:rPr>
                <w:rFonts w:eastAsia="Calibri" w:cstheme="minorHAnsi"/>
                <w:i/>
                <w:iCs/>
              </w:rPr>
              <w:t xml:space="preserve"> </w:t>
            </w:r>
            <w:r w:rsidRPr="00F16251">
              <w:rPr>
                <w:rFonts w:eastAsia="Calibri" w:cstheme="minorHAnsi"/>
                <w:i/>
                <w:iCs/>
              </w:rPr>
              <w:t>rozwoju</w:t>
            </w:r>
            <w:r w:rsidR="003B50ED" w:rsidRPr="00F16251">
              <w:rPr>
                <w:rFonts w:eastAsia="Calibri" w:cstheme="minorHAnsi"/>
              </w:rPr>
              <w:t xml:space="preserve"> </w:t>
            </w:r>
            <w:r w:rsidRPr="00F16251">
              <w:rPr>
                <w:rFonts w:eastAsia="Calibri" w:cstheme="minorHAnsi"/>
              </w:rPr>
              <w:t>oraz</w:t>
            </w:r>
            <w:r w:rsidR="003B50ED" w:rsidRPr="00F16251">
              <w:rPr>
                <w:rFonts w:eastAsia="Calibri" w:cstheme="minorHAnsi"/>
              </w:rPr>
              <w:t xml:space="preserve"> </w:t>
            </w:r>
            <w:r w:rsidRPr="00F16251">
              <w:rPr>
                <w:rFonts w:eastAsia="Calibri" w:cstheme="minorHAnsi"/>
              </w:rPr>
              <w:t>komponent</w:t>
            </w:r>
            <w:r w:rsidR="003B50ED" w:rsidRPr="00F16251">
              <w:rPr>
                <w:rFonts w:eastAsia="Calibri" w:cstheme="minorHAnsi"/>
              </w:rPr>
              <w:t xml:space="preserve"> </w:t>
            </w:r>
            <w:r w:rsidRPr="00F16251">
              <w:rPr>
                <w:rFonts w:eastAsia="Calibri" w:cstheme="minorHAnsi"/>
                <w:i/>
                <w:iCs/>
              </w:rPr>
              <w:t>Zarządzanie</w:t>
            </w:r>
            <w:r w:rsidR="003B50ED" w:rsidRPr="00F16251">
              <w:rPr>
                <w:rFonts w:eastAsia="Calibri" w:cstheme="minorHAnsi"/>
                <w:i/>
                <w:iCs/>
              </w:rPr>
              <w:t xml:space="preserve"> </w:t>
            </w:r>
            <w:r w:rsidRPr="00F16251">
              <w:rPr>
                <w:rFonts w:eastAsia="Calibri" w:cstheme="minorHAnsi"/>
                <w:i/>
                <w:iCs/>
              </w:rPr>
              <w:t>lokalnymi</w:t>
            </w:r>
            <w:r w:rsidR="003B50ED" w:rsidRPr="00F16251">
              <w:rPr>
                <w:rFonts w:eastAsia="Calibri" w:cstheme="minorHAnsi"/>
                <w:i/>
                <w:iCs/>
              </w:rPr>
              <w:t xml:space="preserve"> </w:t>
            </w:r>
            <w:r w:rsidRPr="00F16251">
              <w:rPr>
                <w:rFonts w:eastAsia="Calibri" w:cstheme="minorHAnsi"/>
                <w:i/>
                <w:iCs/>
              </w:rPr>
              <w:t>strategiami</w:t>
            </w:r>
            <w:r w:rsidR="003B50ED" w:rsidRPr="00F16251">
              <w:rPr>
                <w:rFonts w:eastAsia="Calibri" w:cstheme="minorHAnsi"/>
                <w:i/>
                <w:iCs/>
              </w:rPr>
              <w:t xml:space="preserve"> </w:t>
            </w:r>
            <w:r w:rsidRPr="00F16251">
              <w:rPr>
                <w:rFonts w:eastAsia="Calibri" w:cstheme="minorHAnsi"/>
                <w:i/>
                <w:iCs/>
              </w:rPr>
              <w:t>rozwoju</w:t>
            </w:r>
            <w:r w:rsidR="003470D9" w:rsidRPr="00F16251">
              <w:rPr>
                <w:rFonts w:eastAsia="Calibri" w:cstheme="minorHAnsi"/>
                <w:kern w:val="2"/>
              </w:rPr>
              <w:t xml:space="preserve">, Wytycznymi horyzontalnymi </w:t>
            </w:r>
            <w:r w:rsidR="00873CD8" w:rsidRPr="00F16251">
              <w:rPr>
                <w:rFonts w:eastAsia="Calibri" w:cstheme="minorHAnsi"/>
                <w:kern w:val="2"/>
              </w:rPr>
              <w:br/>
            </w:r>
            <w:r w:rsidR="003470D9" w:rsidRPr="00F16251">
              <w:rPr>
                <w:rFonts w:eastAsia="Calibri" w:cstheme="minorHAnsi"/>
                <w:kern w:val="2"/>
              </w:rPr>
              <w:t xml:space="preserve">i szczegółowymi </w:t>
            </w:r>
            <w:r w:rsidR="003470D9" w:rsidRPr="00F16251">
              <w:rPr>
                <w:rFonts w:cstheme="minorHAnsi"/>
                <w:color w:val="000000"/>
              </w:rPr>
              <w:t xml:space="preserve">w ramach funduszy unijnych na lata 2021-2027. </w:t>
            </w:r>
          </w:p>
          <w:p w14:paraId="4650ED79" w14:textId="77777777" w:rsidR="00E2372E" w:rsidRPr="00F16251" w:rsidRDefault="00E2372E" w:rsidP="00581749">
            <w:pPr>
              <w:spacing w:line="276" w:lineRule="auto"/>
              <w:jc w:val="both"/>
              <w:rPr>
                <w:rFonts w:eastAsia="Calibri" w:cstheme="minorHAnsi"/>
              </w:rPr>
            </w:pPr>
            <w:r w:rsidRPr="00F16251">
              <w:rPr>
                <w:rFonts w:eastAsia="Calibri" w:cstheme="minorHAnsi"/>
              </w:rPr>
              <w:t>Z</w:t>
            </w:r>
            <w:r w:rsidR="003B50ED" w:rsidRPr="00F16251">
              <w:rPr>
                <w:rFonts w:eastAsia="Calibri" w:cstheme="minorHAnsi"/>
              </w:rPr>
              <w:t xml:space="preserve"> </w:t>
            </w:r>
            <w:r w:rsidRPr="00F16251">
              <w:rPr>
                <w:rFonts w:eastAsia="Calibri" w:cstheme="minorHAnsi"/>
              </w:rPr>
              <w:t>uwagi</w:t>
            </w:r>
            <w:r w:rsidR="003B50ED" w:rsidRPr="00F16251">
              <w:rPr>
                <w:rFonts w:eastAsia="Calibri" w:cstheme="minorHAnsi"/>
              </w:rPr>
              <w:t xml:space="preserve"> </w:t>
            </w:r>
            <w:r w:rsidRPr="00F16251">
              <w:rPr>
                <w:rFonts w:eastAsia="Calibri" w:cstheme="minorHAnsi"/>
              </w:rPr>
              <w:t>na</w:t>
            </w:r>
            <w:r w:rsidR="003B50ED" w:rsidRPr="00F16251">
              <w:rPr>
                <w:rFonts w:eastAsia="Calibri" w:cstheme="minorHAnsi"/>
              </w:rPr>
              <w:t xml:space="preserve"> </w:t>
            </w:r>
            <w:r w:rsidRPr="00F16251">
              <w:rPr>
                <w:rFonts w:eastAsia="Calibri" w:cstheme="minorHAnsi"/>
              </w:rPr>
              <w:t>fakt,</w:t>
            </w:r>
            <w:r w:rsidR="003B50ED" w:rsidRPr="00F16251">
              <w:rPr>
                <w:rFonts w:eastAsia="Calibri" w:cstheme="minorHAnsi"/>
              </w:rPr>
              <w:t xml:space="preserve"> </w:t>
            </w:r>
            <w:r w:rsidRPr="00F16251">
              <w:rPr>
                <w:rFonts w:eastAsia="Calibri" w:cstheme="minorHAnsi"/>
              </w:rPr>
              <w:t>iż</w:t>
            </w:r>
            <w:r w:rsidR="003B50ED" w:rsidRPr="00F16251">
              <w:rPr>
                <w:rFonts w:eastAsia="Calibri" w:cstheme="minorHAnsi"/>
              </w:rPr>
              <w:t xml:space="preserve"> </w:t>
            </w:r>
            <w:r w:rsidRPr="00F16251">
              <w:rPr>
                <w:rFonts w:eastAsia="Calibri" w:cstheme="minorHAnsi"/>
              </w:rPr>
              <w:t>szczegółowe</w:t>
            </w:r>
            <w:r w:rsidR="003B50ED" w:rsidRPr="00F16251">
              <w:rPr>
                <w:rFonts w:eastAsia="Calibri" w:cstheme="minorHAnsi"/>
              </w:rPr>
              <w:t xml:space="preserve"> </w:t>
            </w:r>
            <w:r w:rsidRPr="00F16251">
              <w:rPr>
                <w:rFonts w:eastAsia="Calibri" w:cstheme="minorHAnsi"/>
              </w:rPr>
              <w:t>Wytyczne</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ww.</w:t>
            </w:r>
            <w:r w:rsidR="003B50ED" w:rsidRPr="00F16251">
              <w:rPr>
                <w:rFonts w:eastAsia="Calibri" w:cstheme="minorHAnsi"/>
              </w:rPr>
              <w:t xml:space="preserve"> </w:t>
            </w:r>
            <w:r w:rsidRPr="00F16251">
              <w:rPr>
                <w:rFonts w:eastAsia="Calibri" w:cstheme="minorHAnsi"/>
              </w:rPr>
              <w:t>zakresach</w:t>
            </w:r>
            <w:r w:rsidR="003B50ED" w:rsidRPr="00F16251">
              <w:rPr>
                <w:rFonts w:eastAsia="Calibri" w:cstheme="minorHAnsi"/>
              </w:rPr>
              <w:t xml:space="preserve"> </w:t>
            </w:r>
            <w:r w:rsidRPr="00F16251">
              <w:rPr>
                <w:rFonts w:eastAsia="Calibri" w:cstheme="minorHAnsi"/>
              </w:rPr>
              <w:t>znajdowały</w:t>
            </w:r>
            <w:r w:rsidR="003B50ED" w:rsidRPr="00F16251">
              <w:rPr>
                <w:rFonts w:eastAsia="Calibri" w:cstheme="minorHAnsi"/>
              </w:rPr>
              <w:t xml:space="preserve"> </w:t>
            </w:r>
            <w:r w:rsidRPr="00F16251">
              <w:rPr>
                <w:rFonts w:eastAsia="Calibri" w:cstheme="minorHAnsi"/>
              </w:rPr>
              <w:t>się</w:t>
            </w:r>
            <w:r w:rsidR="003B50ED" w:rsidRPr="00F16251">
              <w:rPr>
                <w:rFonts w:eastAsia="Calibri" w:cstheme="minorHAnsi"/>
              </w:rPr>
              <w:t xml:space="preserve"> </w:t>
            </w:r>
            <w:r w:rsidRPr="00F16251">
              <w:rPr>
                <w:rFonts w:eastAsia="Calibri" w:cstheme="minorHAnsi"/>
              </w:rPr>
              <w:t>na</w:t>
            </w:r>
            <w:r w:rsidR="003B50ED" w:rsidRPr="00F16251">
              <w:rPr>
                <w:rFonts w:eastAsia="Calibri" w:cstheme="minorHAnsi"/>
              </w:rPr>
              <w:t xml:space="preserve"> </w:t>
            </w:r>
            <w:r w:rsidRPr="00F16251">
              <w:rPr>
                <w:rFonts w:eastAsia="Calibri" w:cstheme="minorHAnsi"/>
              </w:rPr>
              <w:t>etapie</w:t>
            </w:r>
            <w:r w:rsidR="003B50ED" w:rsidRPr="00F16251">
              <w:rPr>
                <w:rFonts w:eastAsia="Calibri" w:cstheme="minorHAnsi"/>
              </w:rPr>
              <w:t xml:space="preserve"> </w:t>
            </w:r>
            <w:proofErr w:type="spellStart"/>
            <w:r w:rsidRPr="00F16251">
              <w:rPr>
                <w:rFonts w:eastAsia="Calibri" w:cstheme="minorHAnsi"/>
              </w:rPr>
              <w:t>pre</w:t>
            </w:r>
            <w:proofErr w:type="spellEnd"/>
            <w:r w:rsidRPr="00F16251">
              <w:rPr>
                <w:rFonts w:eastAsia="Calibri" w:cstheme="minorHAnsi"/>
              </w:rPr>
              <w:t>-konsultacji,</w:t>
            </w:r>
            <w:r w:rsidR="003B50ED" w:rsidRPr="00F16251">
              <w:rPr>
                <w:rFonts w:eastAsia="Calibri" w:cstheme="minorHAnsi"/>
              </w:rPr>
              <w:t xml:space="preserve"> </w:t>
            </w:r>
            <w:r w:rsidRPr="00F16251">
              <w:rPr>
                <w:rFonts w:eastAsia="Calibri" w:cstheme="minorHAnsi"/>
              </w:rPr>
              <w:t>propozycje</w:t>
            </w:r>
            <w:r w:rsidR="003B50ED" w:rsidRPr="00F16251">
              <w:rPr>
                <w:rFonts w:eastAsia="Calibri" w:cstheme="minorHAnsi"/>
              </w:rPr>
              <w:t xml:space="preserve"> </w:t>
            </w:r>
            <w:r w:rsidRPr="00F16251">
              <w:rPr>
                <w:rFonts w:eastAsia="Calibri" w:cstheme="minorHAnsi"/>
              </w:rPr>
              <w:t>zostały</w:t>
            </w:r>
            <w:r w:rsidR="003B50ED" w:rsidRPr="00F16251">
              <w:rPr>
                <w:rFonts w:eastAsia="Calibri" w:cstheme="minorHAnsi"/>
              </w:rPr>
              <w:t xml:space="preserve"> </w:t>
            </w:r>
            <w:r w:rsidRPr="00F16251">
              <w:rPr>
                <w:rFonts w:eastAsia="Calibri" w:cstheme="minorHAnsi"/>
              </w:rPr>
              <w:t>oparte</w:t>
            </w:r>
            <w:r w:rsidR="003B50ED" w:rsidRPr="00F16251">
              <w:rPr>
                <w:rFonts w:eastAsia="Calibri" w:cstheme="minorHAnsi"/>
              </w:rPr>
              <w:t xml:space="preserve"> </w:t>
            </w:r>
            <w:r w:rsidRPr="00F16251">
              <w:rPr>
                <w:rFonts w:eastAsia="Calibri" w:cstheme="minorHAnsi"/>
              </w:rPr>
              <w:t>o</w:t>
            </w:r>
            <w:r w:rsidR="003B50ED" w:rsidRPr="00F16251">
              <w:rPr>
                <w:rFonts w:eastAsia="Calibri" w:cstheme="minorHAnsi"/>
              </w:rPr>
              <w:t xml:space="preserve"> </w:t>
            </w:r>
            <w:r w:rsidRPr="00F16251">
              <w:rPr>
                <w:rFonts w:eastAsia="Calibri" w:cstheme="minorHAnsi"/>
              </w:rPr>
              <w:t>wypracowane</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oparciu</w:t>
            </w:r>
            <w:r w:rsidR="003B50ED" w:rsidRPr="00F16251">
              <w:rPr>
                <w:rFonts w:eastAsia="Calibri" w:cstheme="minorHAnsi"/>
              </w:rPr>
              <w:t xml:space="preserve"> </w:t>
            </w:r>
            <w:r w:rsidRPr="00F16251">
              <w:rPr>
                <w:rFonts w:eastAsia="Calibri" w:cstheme="minorHAnsi"/>
              </w:rPr>
              <w:t>o</w:t>
            </w:r>
            <w:r w:rsidR="003B50ED" w:rsidRPr="00F16251">
              <w:rPr>
                <w:rFonts w:eastAsia="Calibri" w:cstheme="minorHAnsi"/>
              </w:rPr>
              <w:t xml:space="preserve"> </w:t>
            </w:r>
            <w:r w:rsidRPr="00F16251">
              <w:rPr>
                <w:rFonts w:eastAsia="Calibri" w:cstheme="minorHAnsi"/>
              </w:rPr>
              <w:t>wspólne</w:t>
            </w:r>
            <w:r w:rsidR="003B50ED" w:rsidRPr="00F16251">
              <w:rPr>
                <w:rFonts w:eastAsia="Calibri" w:cstheme="minorHAnsi"/>
              </w:rPr>
              <w:t xml:space="preserve"> </w:t>
            </w:r>
            <w:r w:rsidRPr="00F16251">
              <w:rPr>
                <w:rFonts w:eastAsia="Calibri" w:cstheme="minorHAnsi"/>
              </w:rPr>
              <w:t>doświadczenia</w:t>
            </w:r>
            <w:r w:rsidR="003B50ED" w:rsidRPr="00F16251">
              <w:rPr>
                <w:rFonts w:eastAsia="Calibri" w:cstheme="minorHAnsi"/>
              </w:rPr>
              <w:t xml:space="preserve"> </w:t>
            </w:r>
            <w:r w:rsidRPr="00F16251">
              <w:rPr>
                <w:rFonts w:eastAsia="Calibri" w:cstheme="minorHAnsi"/>
              </w:rPr>
              <w:t>sieci</w:t>
            </w:r>
            <w:r w:rsidR="003B50ED" w:rsidRPr="00F16251">
              <w:rPr>
                <w:rFonts w:eastAsia="Calibri" w:cstheme="minorHAnsi"/>
              </w:rPr>
              <w:t xml:space="preserve"> </w:t>
            </w:r>
            <w:r w:rsidRPr="00F16251">
              <w:rPr>
                <w:rFonts w:eastAsia="Calibri" w:cstheme="minorHAnsi"/>
              </w:rPr>
              <w:t>LGD</w:t>
            </w:r>
            <w:r w:rsidR="003B50ED" w:rsidRPr="00F16251">
              <w:rPr>
                <w:rFonts w:eastAsia="Calibri" w:cstheme="minorHAnsi"/>
              </w:rPr>
              <w:t xml:space="preserve"> </w:t>
            </w:r>
            <w:r w:rsidRPr="00F16251">
              <w:rPr>
                <w:rFonts w:eastAsia="Calibri" w:cstheme="minorHAnsi"/>
              </w:rPr>
              <w:t>z</w:t>
            </w:r>
            <w:r w:rsidR="003B50ED" w:rsidRPr="00F16251">
              <w:rPr>
                <w:rFonts w:eastAsia="Calibri" w:cstheme="minorHAnsi"/>
              </w:rPr>
              <w:t xml:space="preserve"> </w:t>
            </w:r>
            <w:r w:rsidRPr="00F16251">
              <w:rPr>
                <w:rFonts w:eastAsia="Calibri" w:cstheme="minorHAnsi"/>
              </w:rPr>
              <w:t>obecnej</w:t>
            </w:r>
            <w:r w:rsidR="003B50ED" w:rsidRPr="00F16251">
              <w:rPr>
                <w:rFonts w:eastAsia="Calibri" w:cstheme="minorHAnsi"/>
              </w:rPr>
              <w:t xml:space="preserve"> </w:t>
            </w:r>
            <w:r w:rsidRPr="00F16251">
              <w:rPr>
                <w:rFonts w:eastAsia="Calibri" w:cstheme="minorHAnsi"/>
              </w:rPr>
              <w:t>perspektywy</w:t>
            </w:r>
            <w:r w:rsidR="003B50ED" w:rsidRPr="00F16251">
              <w:rPr>
                <w:rFonts w:eastAsia="Calibri" w:cstheme="minorHAnsi"/>
              </w:rPr>
              <w:t xml:space="preserve"> </w:t>
            </w:r>
            <w:r w:rsidRPr="00F16251">
              <w:rPr>
                <w:rFonts w:eastAsia="Calibri" w:cstheme="minorHAnsi"/>
              </w:rPr>
              <w:t>programowej</w:t>
            </w:r>
            <w:r w:rsidR="003B50ED" w:rsidRPr="00F16251">
              <w:rPr>
                <w:rFonts w:eastAsia="Calibri" w:cstheme="minorHAnsi"/>
              </w:rPr>
              <w:t xml:space="preserve"> </w:t>
            </w:r>
            <w:r w:rsidRPr="00F16251">
              <w:rPr>
                <w:rFonts w:eastAsia="Calibri" w:cstheme="minorHAnsi"/>
              </w:rPr>
              <w:t>UE</w:t>
            </w:r>
            <w:r w:rsidR="003B50ED" w:rsidRPr="00F16251">
              <w:rPr>
                <w:rFonts w:eastAsia="Calibri" w:cstheme="minorHAnsi"/>
              </w:rPr>
              <w:t xml:space="preserve"> </w:t>
            </w:r>
            <w:r w:rsidRPr="00F16251">
              <w:rPr>
                <w:rFonts w:eastAsia="Calibri" w:cstheme="minorHAnsi"/>
              </w:rPr>
              <w:t>2014-2020.</w:t>
            </w:r>
          </w:p>
          <w:p w14:paraId="0CC83B8F" w14:textId="05AF598A" w:rsidR="00CD1159" w:rsidRPr="00F16251" w:rsidRDefault="00CD1159" w:rsidP="00581749">
            <w:pPr>
              <w:jc w:val="both"/>
              <w:rPr>
                <w:kern w:val="2"/>
                <w:lang w:eastAsia="pl-PL"/>
                <w14:ligatures w14:val="standardContextual"/>
              </w:rPr>
            </w:pPr>
            <w:bookmarkStart w:id="32" w:name="_Hlk136641884"/>
            <w:r w:rsidRPr="00F16251">
              <w:rPr>
                <w:rFonts w:eastAsia="Calibri" w:cstheme="minorHAnsi"/>
              </w:rPr>
              <w:t xml:space="preserve">Wskaźniki rezultatu zostały określone w oparciu o Katalog obowiązkowych wskaźników rezultatu PS WPR (do wyboru) z załącznika nr I do rozporządzenia 2021/2115 </w:t>
            </w:r>
            <w:r w:rsidRPr="00F16251">
              <w:rPr>
                <w:rFonts w:eastAsia="Calibri" w:cstheme="minorHAnsi"/>
              </w:rPr>
              <w:br/>
              <w:t>z wyjaśnieniami co do sposobu ich opracowania (informacja dodatkowa do dokumentacji w ramach konkursu na wybór LSR)</w:t>
            </w:r>
            <w:bookmarkEnd w:id="32"/>
            <w:r w:rsidRPr="00F16251">
              <w:rPr>
                <w:rFonts w:eastAsia="Calibri" w:cstheme="minorHAnsi"/>
              </w:rPr>
              <w:t xml:space="preserve"> oraz obowiązujący na dzień opracowania LSR </w:t>
            </w:r>
            <w:r w:rsidRPr="00F16251">
              <w:rPr>
                <w:lang w:eastAsia="pl-PL"/>
              </w:rPr>
              <w:t>Szczegółowy Opis Priorytetów Programu Fundusze Europejskie dla Wielkopolski 2021-2027</w:t>
            </w:r>
            <w:r w:rsidR="00581749">
              <w:rPr>
                <w:lang w:eastAsia="pl-PL"/>
              </w:rPr>
              <w:t>.</w:t>
            </w:r>
          </w:p>
        </w:tc>
      </w:tr>
      <w:tr w:rsidR="00E2372E" w:rsidRPr="00A26C26" w14:paraId="068F0F65" w14:textId="77777777" w:rsidTr="00DB7370">
        <w:tc>
          <w:tcPr>
            <w:tcW w:w="1838" w:type="dxa"/>
          </w:tcPr>
          <w:p w14:paraId="5DC442C5" w14:textId="4706CBB3" w:rsidR="00E2372E" w:rsidRPr="00A26C26" w:rsidRDefault="00E2372E" w:rsidP="00A26C26">
            <w:pPr>
              <w:spacing w:line="276" w:lineRule="auto"/>
              <w:rPr>
                <w:rFonts w:eastAsia="Calibri" w:cstheme="minorHAnsi"/>
                <w:b/>
                <w:bCs/>
              </w:rPr>
            </w:pPr>
            <w:r w:rsidRPr="00A26C26">
              <w:rPr>
                <w:rFonts w:eastAsia="Calibri" w:cstheme="minorHAnsi"/>
                <w:b/>
                <w:bCs/>
              </w:rPr>
              <w:t>Etap</w:t>
            </w:r>
            <w:r w:rsidR="003B50ED">
              <w:rPr>
                <w:rFonts w:eastAsia="Calibri" w:cstheme="minorHAnsi"/>
                <w:b/>
                <w:bCs/>
              </w:rPr>
              <w:t xml:space="preserve"> </w:t>
            </w:r>
            <w:r w:rsidRPr="00A26C26">
              <w:rPr>
                <w:rFonts w:eastAsia="Calibri" w:cstheme="minorHAnsi"/>
                <w:b/>
                <w:bCs/>
              </w:rPr>
              <w:t>III</w:t>
            </w:r>
            <w:r w:rsidR="003B50ED">
              <w:rPr>
                <w:rFonts w:eastAsia="Calibri" w:cstheme="minorHAnsi"/>
                <w:b/>
                <w:bCs/>
              </w:rPr>
              <w:t xml:space="preserve"> </w:t>
            </w:r>
            <w:r w:rsidRPr="00A26C26">
              <w:rPr>
                <w:rFonts w:eastAsia="Calibri" w:cstheme="minorHAnsi"/>
                <w:b/>
                <w:bCs/>
              </w:rPr>
              <w:t>Opracowanie</w:t>
            </w:r>
            <w:r w:rsidR="003B50ED">
              <w:rPr>
                <w:rFonts w:eastAsia="Calibri" w:cstheme="minorHAnsi"/>
                <w:b/>
                <w:bCs/>
              </w:rPr>
              <w:t xml:space="preserve"> </w:t>
            </w:r>
            <w:r w:rsidRPr="00A26C26">
              <w:rPr>
                <w:rFonts w:eastAsia="Calibri" w:cstheme="minorHAnsi"/>
                <w:b/>
                <w:bCs/>
              </w:rPr>
              <w:t>/</w:t>
            </w:r>
            <w:r w:rsidR="003B50ED">
              <w:rPr>
                <w:rFonts w:eastAsia="Calibri" w:cstheme="minorHAnsi"/>
                <w:b/>
                <w:bCs/>
              </w:rPr>
              <w:t xml:space="preserve"> </w:t>
            </w:r>
            <w:r w:rsidRPr="00A26C26">
              <w:rPr>
                <w:rFonts w:eastAsia="Calibri" w:cstheme="minorHAnsi"/>
                <w:b/>
                <w:bCs/>
              </w:rPr>
              <w:t>konsultacje</w:t>
            </w:r>
            <w:r w:rsidR="003B50ED">
              <w:rPr>
                <w:rFonts w:eastAsia="Calibri" w:cstheme="minorHAnsi"/>
                <w:b/>
                <w:bCs/>
              </w:rPr>
              <w:t xml:space="preserve"> </w:t>
            </w:r>
            <w:r w:rsidRPr="00A26C26">
              <w:rPr>
                <w:rFonts w:eastAsia="Calibri" w:cstheme="minorHAnsi"/>
                <w:b/>
                <w:bCs/>
              </w:rPr>
              <w:t>zasad</w:t>
            </w:r>
            <w:r w:rsidR="003B50ED">
              <w:rPr>
                <w:rFonts w:eastAsia="Calibri" w:cstheme="minorHAnsi"/>
                <w:b/>
                <w:bCs/>
              </w:rPr>
              <w:t xml:space="preserve"> </w:t>
            </w:r>
            <w:r w:rsidRPr="00A26C26">
              <w:rPr>
                <w:rFonts w:eastAsia="Calibri" w:cstheme="minorHAnsi"/>
                <w:b/>
                <w:bCs/>
              </w:rPr>
              <w:t>wyboru</w:t>
            </w:r>
            <w:r w:rsidR="003B50ED">
              <w:rPr>
                <w:rFonts w:eastAsia="Calibri" w:cstheme="minorHAnsi"/>
                <w:b/>
                <w:bCs/>
              </w:rPr>
              <w:t xml:space="preserve"> </w:t>
            </w:r>
            <w:r w:rsidRPr="00A26C26">
              <w:rPr>
                <w:rFonts w:eastAsia="Calibri" w:cstheme="minorHAnsi"/>
                <w:b/>
                <w:bCs/>
              </w:rPr>
              <w:t>operacji</w:t>
            </w:r>
            <w:r w:rsidR="003B50ED">
              <w:rPr>
                <w:rFonts w:eastAsia="Calibri" w:cstheme="minorHAnsi"/>
                <w:b/>
                <w:bCs/>
              </w:rPr>
              <w:t xml:space="preserve"> </w:t>
            </w:r>
            <w:r w:rsidRPr="00A26C26">
              <w:rPr>
                <w:rFonts w:eastAsia="Calibri" w:cstheme="minorHAnsi"/>
                <w:b/>
                <w:bCs/>
              </w:rPr>
              <w:br/>
              <w:t>i</w:t>
            </w:r>
            <w:r w:rsidR="003B50ED">
              <w:rPr>
                <w:rFonts w:eastAsia="Calibri" w:cstheme="minorHAnsi"/>
                <w:b/>
                <w:bCs/>
              </w:rPr>
              <w:t xml:space="preserve"> </w:t>
            </w:r>
            <w:r w:rsidRPr="00A26C26">
              <w:rPr>
                <w:rFonts w:eastAsia="Calibri" w:cstheme="minorHAnsi"/>
                <w:b/>
                <w:bCs/>
              </w:rPr>
              <w:t>lokalnych</w:t>
            </w:r>
            <w:r w:rsidR="003B50ED">
              <w:rPr>
                <w:rFonts w:eastAsia="Calibri" w:cstheme="minorHAnsi"/>
                <w:b/>
                <w:bCs/>
              </w:rPr>
              <w:t xml:space="preserve"> </w:t>
            </w:r>
            <w:r w:rsidRPr="00A26C26">
              <w:rPr>
                <w:rFonts w:eastAsia="Calibri" w:cstheme="minorHAnsi"/>
                <w:b/>
                <w:bCs/>
              </w:rPr>
              <w:t>kryteriów</w:t>
            </w:r>
          </w:p>
        </w:tc>
        <w:tc>
          <w:tcPr>
            <w:tcW w:w="8363" w:type="dxa"/>
          </w:tcPr>
          <w:p w14:paraId="4D4260F9" w14:textId="7A05D025" w:rsidR="00E2372E" w:rsidRPr="00F16251" w:rsidRDefault="00E2372E" w:rsidP="00581749">
            <w:pPr>
              <w:spacing w:line="276" w:lineRule="auto"/>
              <w:jc w:val="both"/>
              <w:rPr>
                <w:rFonts w:eastAsia="Calibri" w:cstheme="minorHAnsi"/>
              </w:rPr>
            </w:pPr>
            <w:r w:rsidRPr="00F16251">
              <w:rPr>
                <w:rFonts w:eastAsia="Calibri" w:cstheme="minorHAnsi"/>
              </w:rPr>
              <w:t>Zasady</w:t>
            </w:r>
            <w:r w:rsidR="003B50ED" w:rsidRPr="00F16251">
              <w:rPr>
                <w:rFonts w:eastAsia="Calibri" w:cstheme="minorHAnsi"/>
              </w:rPr>
              <w:t xml:space="preserve"> </w:t>
            </w:r>
            <w:r w:rsidRPr="00F16251">
              <w:rPr>
                <w:rFonts w:eastAsia="Calibri" w:cstheme="minorHAnsi"/>
              </w:rPr>
              <w:t>wyboru</w:t>
            </w:r>
            <w:r w:rsidR="003B50ED" w:rsidRPr="00F16251">
              <w:rPr>
                <w:rFonts w:eastAsia="Calibri" w:cstheme="minorHAnsi"/>
              </w:rPr>
              <w:t xml:space="preserve"> </w:t>
            </w:r>
            <w:r w:rsidRPr="00F16251">
              <w:rPr>
                <w:rFonts w:eastAsia="Calibri" w:cstheme="minorHAnsi"/>
              </w:rPr>
              <w:t>operacji</w:t>
            </w:r>
            <w:r w:rsidR="003B50ED" w:rsidRPr="00F16251">
              <w:rPr>
                <w:rFonts w:eastAsia="Calibri" w:cstheme="minorHAnsi"/>
              </w:rPr>
              <w:t xml:space="preserve"> </w:t>
            </w:r>
            <w:r w:rsidRPr="00F16251">
              <w:rPr>
                <w:rFonts w:eastAsia="Calibri" w:cstheme="minorHAnsi"/>
              </w:rPr>
              <w:t>oraz</w:t>
            </w:r>
            <w:r w:rsidR="003B50ED" w:rsidRPr="00F16251">
              <w:rPr>
                <w:rFonts w:eastAsia="Calibri" w:cstheme="minorHAnsi"/>
              </w:rPr>
              <w:t xml:space="preserve"> </w:t>
            </w:r>
            <w:r w:rsidRPr="00F16251">
              <w:rPr>
                <w:rFonts w:eastAsia="Calibri" w:cstheme="minorHAnsi"/>
              </w:rPr>
              <w:t>sformułowanie</w:t>
            </w:r>
            <w:r w:rsidR="003B50ED" w:rsidRPr="00F16251">
              <w:rPr>
                <w:rFonts w:eastAsia="Calibri" w:cstheme="minorHAnsi"/>
              </w:rPr>
              <w:t xml:space="preserve"> </w:t>
            </w:r>
            <w:r w:rsidRPr="00F16251">
              <w:rPr>
                <w:rFonts w:eastAsia="Calibri" w:cstheme="minorHAnsi"/>
              </w:rPr>
              <w:t>lokalnych</w:t>
            </w:r>
            <w:r w:rsidR="003B50ED" w:rsidRPr="00F16251">
              <w:rPr>
                <w:rFonts w:eastAsia="Calibri" w:cstheme="minorHAnsi"/>
              </w:rPr>
              <w:t xml:space="preserve"> </w:t>
            </w:r>
            <w:r w:rsidRPr="00F16251">
              <w:rPr>
                <w:rFonts w:eastAsia="Calibri" w:cstheme="minorHAnsi"/>
              </w:rPr>
              <w:t>kryteriów</w:t>
            </w:r>
            <w:r w:rsidR="003B50ED" w:rsidRPr="00F16251">
              <w:rPr>
                <w:rFonts w:eastAsia="Calibri" w:cstheme="minorHAnsi"/>
              </w:rPr>
              <w:t xml:space="preserve"> </w:t>
            </w:r>
            <w:r w:rsidRPr="00F16251">
              <w:rPr>
                <w:rFonts w:eastAsia="Calibri" w:cstheme="minorHAnsi"/>
              </w:rPr>
              <w:t>muszą</w:t>
            </w:r>
            <w:r w:rsidR="003B50ED" w:rsidRPr="00F16251">
              <w:rPr>
                <w:rFonts w:eastAsia="Calibri" w:cstheme="minorHAnsi"/>
              </w:rPr>
              <w:t xml:space="preserve"> </w:t>
            </w:r>
            <w:r w:rsidRPr="00F16251">
              <w:rPr>
                <w:rFonts w:eastAsia="Calibri" w:cstheme="minorHAnsi"/>
              </w:rPr>
              <w:t>być</w:t>
            </w:r>
            <w:r w:rsidR="003B50ED" w:rsidRPr="00F16251">
              <w:rPr>
                <w:rFonts w:eastAsia="Calibri" w:cstheme="minorHAnsi"/>
              </w:rPr>
              <w:t xml:space="preserve"> </w:t>
            </w:r>
            <w:r w:rsidRPr="00F16251">
              <w:rPr>
                <w:rFonts w:eastAsia="Calibri" w:cstheme="minorHAnsi"/>
              </w:rPr>
              <w:t>wyraźnie</w:t>
            </w:r>
            <w:r w:rsidR="003B50ED" w:rsidRPr="00F16251">
              <w:rPr>
                <w:rFonts w:eastAsia="Calibri" w:cstheme="minorHAnsi"/>
              </w:rPr>
              <w:t xml:space="preserve"> </w:t>
            </w:r>
            <w:r w:rsidRPr="00F16251">
              <w:rPr>
                <w:rFonts w:eastAsia="Calibri" w:cstheme="minorHAnsi"/>
              </w:rPr>
              <w:br/>
              <w:t>i</w:t>
            </w:r>
            <w:r w:rsidR="003B50ED" w:rsidRPr="00F16251">
              <w:rPr>
                <w:rFonts w:eastAsia="Calibri" w:cstheme="minorHAnsi"/>
              </w:rPr>
              <w:t xml:space="preserve"> </w:t>
            </w:r>
            <w:r w:rsidRPr="00F16251">
              <w:rPr>
                <w:rFonts w:eastAsia="Calibri" w:cstheme="minorHAnsi"/>
              </w:rPr>
              <w:t>precyzyjnie</w:t>
            </w:r>
            <w:r w:rsidR="003B50ED" w:rsidRPr="00F16251">
              <w:rPr>
                <w:rFonts w:eastAsia="Calibri" w:cstheme="minorHAnsi"/>
              </w:rPr>
              <w:t xml:space="preserve"> </w:t>
            </w:r>
            <w:r w:rsidRPr="00F16251">
              <w:rPr>
                <w:rFonts w:eastAsia="Calibri" w:cstheme="minorHAnsi"/>
              </w:rPr>
              <w:t>określone,</w:t>
            </w:r>
            <w:r w:rsidR="003B50ED" w:rsidRPr="00F16251">
              <w:rPr>
                <w:rFonts w:eastAsia="Calibri" w:cstheme="minorHAnsi"/>
              </w:rPr>
              <w:t xml:space="preserve"> </w:t>
            </w:r>
            <w:r w:rsidRPr="00F16251">
              <w:rPr>
                <w:rFonts w:eastAsia="Calibri" w:cstheme="minorHAnsi"/>
              </w:rPr>
              <w:t>aby</w:t>
            </w:r>
            <w:r w:rsidR="003B50ED" w:rsidRPr="00F16251">
              <w:rPr>
                <w:rFonts w:eastAsia="Calibri" w:cstheme="minorHAnsi"/>
              </w:rPr>
              <w:t xml:space="preserve"> </w:t>
            </w:r>
            <w:r w:rsidRPr="00F16251">
              <w:rPr>
                <w:rFonts w:eastAsia="Calibri" w:cstheme="minorHAnsi"/>
              </w:rPr>
              <w:t>były</w:t>
            </w:r>
            <w:r w:rsidR="003B50ED" w:rsidRPr="00F16251">
              <w:rPr>
                <w:rFonts w:eastAsia="Calibri" w:cstheme="minorHAnsi"/>
              </w:rPr>
              <w:t xml:space="preserve"> </w:t>
            </w:r>
            <w:r w:rsidRPr="00F16251">
              <w:rPr>
                <w:rFonts w:eastAsia="Calibri" w:cstheme="minorHAnsi"/>
              </w:rPr>
              <w:t>zrozumiałe</w:t>
            </w:r>
            <w:r w:rsidR="003B50ED" w:rsidRPr="00F16251">
              <w:rPr>
                <w:rFonts w:eastAsia="Calibri" w:cstheme="minorHAnsi"/>
              </w:rPr>
              <w:t xml:space="preserve"> </w:t>
            </w:r>
            <w:r w:rsidRPr="00F16251">
              <w:rPr>
                <w:rFonts w:eastAsia="Calibri" w:cstheme="minorHAnsi"/>
              </w:rPr>
              <w:t>dla</w:t>
            </w:r>
            <w:r w:rsidR="003B50ED" w:rsidRPr="00F16251">
              <w:rPr>
                <w:rFonts w:eastAsia="Calibri" w:cstheme="minorHAnsi"/>
              </w:rPr>
              <w:t xml:space="preserve"> </w:t>
            </w:r>
            <w:r w:rsidRPr="00F16251">
              <w:rPr>
                <w:rFonts w:eastAsia="Calibri" w:cstheme="minorHAnsi"/>
              </w:rPr>
              <w:t>wszystkich</w:t>
            </w:r>
            <w:r w:rsidR="003B50ED" w:rsidRPr="00F16251">
              <w:rPr>
                <w:rFonts w:eastAsia="Calibri" w:cstheme="minorHAnsi"/>
              </w:rPr>
              <w:t xml:space="preserve"> </w:t>
            </w:r>
            <w:r w:rsidRPr="00F16251">
              <w:rPr>
                <w:rFonts w:eastAsia="Calibri" w:cstheme="minorHAnsi"/>
              </w:rPr>
              <w:t>beneficjentów</w:t>
            </w:r>
            <w:r w:rsidR="003B50ED" w:rsidRPr="00F16251">
              <w:rPr>
                <w:rFonts w:eastAsia="Calibri" w:cstheme="minorHAnsi"/>
              </w:rPr>
              <w:t xml:space="preserve"> </w:t>
            </w:r>
            <w:r w:rsidRPr="00F16251">
              <w:rPr>
                <w:rFonts w:eastAsia="Calibri" w:cstheme="minorHAnsi"/>
              </w:rPr>
              <w:t>i</w:t>
            </w:r>
            <w:r w:rsidR="003B50ED" w:rsidRPr="00F16251">
              <w:rPr>
                <w:rFonts w:eastAsia="Calibri" w:cstheme="minorHAnsi"/>
              </w:rPr>
              <w:t xml:space="preserve"> </w:t>
            </w:r>
            <w:r w:rsidRPr="00F16251">
              <w:rPr>
                <w:rFonts w:eastAsia="Calibri" w:cstheme="minorHAnsi"/>
              </w:rPr>
              <w:t>nie</w:t>
            </w:r>
            <w:r w:rsidR="003B50ED" w:rsidRPr="00F16251">
              <w:rPr>
                <w:rFonts w:eastAsia="Calibri" w:cstheme="minorHAnsi"/>
              </w:rPr>
              <w:t xml:space="preserve"> </w:t>
            </w:r>
            <w:r w:rsidRPr="00F16251">
              <w:rPr>
                <w:rFonts w:eastAsia="Calibri" w:cstheme="minorHAnsi"/>
              </w:rPr>
              <w:t>budziły</w:t>
            </w:r>
            <w:r w:rsidR="003B50ED" w:rsidRPr="00F16251">
              <w:rPr>
                <w:rFonts w:eastAsia="Calibri" w:cstheme="minorHAnsi"/>
              </w:rPr>
              <w:t xml:space="preserve"> </w:t>
            </w:r>
            <w:r w:rsidRPr="00F16251">
              <w:rPr>
                <w:rFonts w:eastAsia="Calibri" w:cstheme="minorHAnsi"/>
              </w:rPr>
              <w:t>wątpliwości</w:t>
            </w:r>
            <w:r w:rsidR="003B50ED" w:rsidRPr="00F16251">
              <w:rPr>
                <w:rFonts w:eastAsia="Calibri" w:cstheme="minorHAnsi"/>
              </w:rPr>
              <w:t xml:space="preserve"> </w:t>
            </w:r>
            <w:r w:rsidRPr="00F16251">
              <w:rPr>
                <w:rFonts w:eastAsia="Calibri" w:cstheme="minorHAnsi"/>
              </w:rPr>
              <w:t>co</w:t>
            </w:r>
            <w:r w:rsidR="003B50ED" w:rsidRPr="00F16251">
              <w:rPr>
                <w:rFonts w:eastAsia="Calibri" w:cstheme="minorHAnsi"/>
              </w:rPr>
              <w:t xml:space="preserve"> </w:t>
            </w:r>
            <w:r w:rsidRPr="00F16251">
              <w:rPr>
                <w:rFonts w:eastAsia="Calibri" w:cstheme="minorHAnsi"/>
              </w:rPr>
              <w:t>do</w:t>
            </w:r>
            <w:r w:rsidR="003B50ED" w:rsidRPr="00F16251">
              <w:rPr>
                <w:rFonts w:eastAsia="Calibri" w:cstheme="minorHAnsi"/>
              </w:rPr>
              <w:t xml:space="preserve"> </w:t>
            </w:r>
            <w:r w:rsidRPr="00F16251">
              <w:rPr>
                <w:rFonts w:eastAsia="Calibri" w:cstheme="minorHAnsi"/>
              </w:rPr>
              <w:t>ich</w:t>
            </w:r>
            <w:r w:rsidR="003B50ED" w:rsidRPr="00F16251">
              <w:rPr>
                <w:rFonts w:eastAsia="Calibri" w:cstheme="minorHAnsi"/>
              </w:rPr>
              <w:t xml:space="preserve"> </w:t>
            </w:r>
            <w:r w:rsidRPr="00F16251">
              <w:rPr>
                <w:rFonts w:eastAsia="Calibri" w:cstheme="minorHAnsi"/>
              </w:rPr>
              <w:t>interpretacji.</w:t>
            </w:r>
            <w:r w:rsidR="003B50ED" w:rsidRPr="00F16251">
              <w:rPr>
                <w:rFonts w:eastAsia="Calibri" w:cstheme="minorHAnsi"/>
              </w:rPr>
              <w:t xml:space="preserve"> </w:t>
            </w:r>
            <w:r w:rsidRPr="00F16251">
              <w:rPr>
                <w:rFonts w:eastAsia="Calibri" w:cstheme="minorHAnsi"/>
              </w:rPr>
              <w:t>Istotną</w:t>
            </w:r>
            <w:r w:rsidR="003B50ED" w:rsidRPr="00F16251">
              <w:rPr>
                <w:rFonts w:eastAsia="Calibri" w:cstheme="minorHAnsi"/>
              </w:rPr>
              <w:t xml:space="preserve"> </w:t>
            </w:r>
            <w:r w:rsidRPr="00F16251">
              <w:rPr>
                <w:rFonts w:eastAsia="Calibri" w:cstheme="minorHAnsi"/>
              </w:rPr>
              <w:t>kwestią</w:t>
            </w:r>
            <w:r w:rsidR="003B50ED" w:rsidRPr="00F16251">
              <w:rPr>
                <w:rFonts w:eastAsia="Calibri" w:cstheme="minorHAnsi"/>
              </w:rPr>
              <w:t xml:space="preserve"> </w:t>
            </w:r>
            <w:r w:rsidRPr="00F16251">
              <w:rPr>
                <w:rFonts w:eastAsia="Calibri" w:cstheme="minorHAnsi"/>
              </w:rPr>
              <w:t>jest</w:t>
            </w:r>
            <w:r w:rsidR="003B50ED" w:rsidRPr="00F16251">
              <w:rPr>
                <w:rFonts w:eastAsia="Calibri" w:cstheme="minorHAnsi"/>
              </w:rPr>
              <w:t xml:space="preserve"> </w:t>
            </w:r>
            <w:r w:rsidRPr="00F16251">
              <w:rPr>
                <w:rFonts w:eastAsia="Calibri" w:cstheme="minorHAnsi"/>
              </w:rPr>
              <w:t>również</w:t>
            </w:r>
            <w:r w:rsidR="003B50ED" w:rsidRPr="00F16251">
              <w:rPr>
                <w:rFonts w:eastAsia="Calibri" w:cstheme="minorHAnsi"/>
              </w:rPr>
              <w:t xml:space="preserve"> </w:t>
            </w:r>
            <w:r w:rsidRPr="00F16251">
              <w:rPr>
                <w:rFonts w:eastAsia="Calibri" w:cstheme="minorHAnsi"/>
              </w:rPr>
              <w:t>ich</w:t>
            </w:r>
            <w:r w:rsidR="003B50ED" w:rsidRPr="00F16251">
              <w:rPr>
                <w:rFonts w:eastAsia="Calibri" w:cstheme="minorHAnsi"/>
              </w:rPr>
              <w:t xml:space="preserve"> </w:t>
            </w:r>
            <w:r w:rsidRPr="00F16251">
              <w:rPr>
                <w:rFonts w:eastAsia="Calibri" w:cstheme="minorHAnsi"/>
              </w:rPr>
              <w:t>zgodność</w:t>
            </w:r>
            <w:r w:rsidR="003B50ED" w:rsidRPr="00F16251">
              <w:rPr>
                <w:rFonts w:eastAsia="Calibri" w:cstheme="minorHAnsi"/>
              </w:rPr>
              <w:t xml:space="preserve"> </w:t>
            </w:r>
            <w:r w:rsidRPr="00F16251">
              <w:rPr>
                <w:rFonts w:eastAsia="Calibri" w:cstheme="minorHAnsi"/>
              </w:rPr>
              <w:br/>
              <w:t>z</w:t>
            </w:r>
            <w:r w:rsidR="003B50ED" w:rsidRPr="00F16251">
              <w:rPr>
                <w:rFonts w:eastAsia="Calibri" w:cstheme="minorHAnsi"/>
              </w:rPr>
              <w:t xml:space="preserve"> </w:t>
            </w:r>
            <w:r w:rsidRPr="00F16251">
              <w:rPr>
                <w:rFonts w:eastAsia="Calibri" w:cstheme="minorHAnsi"/>
              </w:rPr>
              <w:t>obowiązującymi</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tym</w:t>
            </w:r>
            <w:r w:rsidR="003B50ED" w:rsidRPr="00F16251">
              <w:rPr>
                <w:rFonts w:eastAsia="Calibri" w:cstheme="minorHAnsi"/>
              </w:rPr>
              <w:t xml:space="preserve"> </w:t>
            </w:r>
            <w:r w:rsidRPr="00F16251">
              <w:rPr>
                <w:rFonts w:eastAsia="Calibri" w:cstheme="minorHAnsi"/>
              </w:rPr>
              <w:t>zakresie</w:t>
            </w:r>
            <w:r w:rsidR="00A026E0" w:rsidRPr="00F16251">
              <w:rPr>
                <w:rFonts w:eastAsia="Calibri" w:cstheme="minorHAnsi"/>
              </w:rPr>
              <w:t xml:space="preserve"> przepisami</w:t>
            </w:r>
            <w:r w:rsidRPr="00F16251">
              <w:rPr>
                <w:rFonts w:eastAsia="Calibri" w:cstheme="minorHAnsi"/>
              </w:rPr>
              <w:t>.</w:t>
            </w:r>
            <w:r w:rsidR="003B50ED" w:rsidRPr="00F16251">
              <w:rPr>
                <w:rFonts w:eastAsia="Calibri" w:cstheme="minorHAnsi"/>
              </w:rPr>
              <w:t xml:space="preserve"> </w:t>
            </w:r>
            <w:r w:rsidRPr="00F16251">
              <w:rPr>
                <w:rFonts w:eastAsia="Calibri" w:cstheme="minorHAnsi"/>
              </w:rPr>
              <w:t>Oprócz</w:t>
            </w:r>
            <w:r w:rsidR="003B50ED" w:rsidRPr="00F16251">
              <w:rPr>
                <w:rFonts w:eastAsia="Calibri" w:cstheme="minorHAnsi"/>
              </w:rPr>
              <w:t xml:space="preserve"> </w:t>
            </w:r>
            <w:r w:rsidRPr="00F16251">
              <w:rPr>
                <w:rFonts w:eastAsia="Calibri" w:cstheme="minorHAnsi"/>
              </w:rPr>
              <w:t>wskazanych</w:t>
            </w:r>
            <w:r w:rsidR="003B50ED" w:rsidRPr="00F16251">
              <w:rPr>
                <w:rFonts w:eastAsia="Calibri" w:cstheme="minorHAnsi"/>
              </w:rPr>
              <w:t xml:space="preserve"> </w:t>
            </w:r>
            <w:r w:rsidRPr="00F16251">
              <w:rPr>
                <w:rFonts w:eastAsia="Calibri" w:cstheme="minorHAnsi"/>
              </w:rPr>
              <w:t>metod</w:t>
            </w:r>
            <w:r w:rsidR="003B50ED" w:rsidRPr="00F16251">
              <w:rPr>
                <w:rFonts w:eastAsia="Calibri" w:cstheme="minorHAnsi"/>
              </w:rPr>
              <w:t xml:space="preserve"> </w:t>
            </w:r>
            <w:r w:rsidRPr="00F16251">
              <w:rPr>
                <w:rFonts w:eastAsia="Calibri" w:cstheme="minorHAnsi"/>
              </w:rPr>
              <w:t>partycypacji</w:t>
            </w:r>
            <w:r w:rsidR="003B50ED" w:rsidRPr="00F16251">
              <w:rPr>
                <w:rFonts w:eastAsia="Calibri" w:cstheme="minorHAnsi"/>
              </w:rPr>
              <w:t xml:space="preserve"> </w:t>
            </w:r>
            <w:r w:rsidRPr="00F16251">
              <w:rPr>
                <w:rFonts w:eastAsia="Calibri" w:cstheme="minorHAnsi"/>
              </w:rPr>
              <w:t>LGD</w:t>
            </w:r>
            <w:r w:rsidR="003B50ED" w:rsidRPr="00F16251">
              <w:rPr>
                <w:rFonts w:eastAsia="Calibri" w:cstheme="minorHAnsi"/>
              </w:rPr>
              <w:t xml:space="preserve"> </w:t>
            </w:r>
            <w:r w:rsidRPr="00F16251">
              <w:rPr>
                <w:rFonts w:eastAsia="Calibri" w:cstheme="minorHAnsi"/>
              </w:rPr>
              <w:t>wykorzystała</w:t>
            </w:r>
            <w:r w:rsidR="003B50ED" w:rsidRPr="00F16251">
              <w:rPr>
                <w:rFonts w:eastAsia="Calibri" w:cstheme="minorHAnsi"/>
              </w:rPr>
              <w:t xml:space="preserve"> </w:t>
            </w:r>
            <w:r w:rsidRPr="00F16251">
              <w:rPr>
                <w:rFonts w:eastAsia="Calibri" w:cstheme="minorHAnsi"/>
              </w:rPr>
              <w:t>również</w:t>
            </w:r>
            <w:r w:rsidR="003B50ED" w:rsidRPr="00F16251">
              <w:rPr>
                <w:rFonts w:eastAsia="Calibri" w:cstheme="minorHAnsi"/>
              </w:rPr>
              <w:t xml:space="preserve"> </w:t>
            </w:r>
            <w:r w:rsidRPr="00F16251">
              <w:rPr>
                <w:rFonts w:eastAsia="Calibri" w:cstheme="minorHAnsi"/>
              </w:rPr>
              <w:t>doświadczenia</w:t>
            </w:r>
            <w:r w:rsidR="003B50ED" w:rsidRPr="00F16251">
              <w:rPr>
                <w:rFonts w:eastAsia="Calibri" w:cstheme="minorHAnsi"/>
              </w:rPr>
              <w:t xml:space="preserve"> </w:t>
            </w:r>
            <w:r w:rsidRPr="00F16251">
              <w:rPr>
                <w:rFonts w:eastAsia="Calibri" w:cstheme="minorHAnsi"/>
              </w:rPr>
              <w:t>z</w:t>
            </w:r>
            <w:r w:rsidR="003B50ED" w:rsidRPr="00F16251">
              <w:rPr>
                <w:rFonts w:eastAsia="Calibri" w:cstheme="minorHAnsi"/>
              </w:rPr>
              <w:t xml:space="preserve"> </w:t>
            </w:r>
            <w:r w:rsidRPr="00F16251">
              <w:rPr>
                <w:rFonts w:eastAsia="Calibri" w:cstheme="minorHAnsi"/>
              </w:rPr>
              <w:t>okresu</w:t>
            </w:r>
            <w:r w:rsidR="003B50ED" w:rsidRPr="00F16251">
              <w:rPr>
                <w:rFonts w:eastAsia="Calibri" w:cstheme="minorHAnsi"/>
              </w:rPr>
              <w:t xml:space="preserve"> </w:t>
            </w:r>
            <w:r w:rsidRPr="00F16251">
              <w:rPr>
                <w:rFonts w:eastAsia="Calibri" w:cstheme="minorHAnsi"/>
              </w:rPr>
              <w:t>programowania</w:t>
            </w:r>
            <w:r w:rsidR="003B50ED" w:rsidRPr="00F16251">
              <w:rPr>
                <w:rFonts w:eastAsia="Calibri" w:cstheme="minorHAnsi"/>
              </w:rPr>
              <w:t xml:space="preserve"> </w:t>
            </w:r>
            <w:r w:rsidRPr="00F16251">
              <w:rPr>
                <w:rFonts w:eastAsia="Calibri" w:cstheme="minorHAnsi"/>
              </w:rPr>
              <w:t>2014-2020</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tym</w:t>
            </w:r>
            <w:r w:rsidR="003B50ED" w:rsidRPr="00F16251">
              <w:rPr>
                <w:rFonts w:eastAsia="Calibri" w:cstheme="minorHAnsi"/>
              </w:rPr>
              <w:t xml:space="preserve"> </w:t>
            </w:r>
            <w:r w:rsidRPr="00F16251">
              <w:rPr>
                <w:rFonts w:eastAsia="Calibri" w:cstheme="minorHAnsi"/>
              </w:rPr>
              <w:t>wyniki</w:t>
            </w:r>
            <w:r w:rsidR="003B50ED" w:rsidRPr="00F16251">
              <w:rPr>
                <w:rFonts w:eastAsia="Calibri" w:cstheme="minorHAnsi"/>
              </w:rPr>
              <w:t xml:space="preserve"> </w:t>
            </w:r>
            <w:r w:rsidRPr="00F16251">
              <w:rPr>
                <w:rFonts w:eastAsia="Calibri" w:cstheme="minorHAnsi"/>
              </w:rPr>
              <w:t>ewaluacji</w:t>
            </w:r>
            <w:r w:rsidR="003B50ED" w:rsidRPr="00F16251">
              <w:rPr>
                <w:rFonts w:eastAsia="Calibri" w:cstheme="minorHAnsi"/>
              </w:rPr>
              <w:t xml:space="preserve"> </w:t>
            </w:r>
            <w:r w:rsidRPr="00F16251">
              <w:rPr>
                <w:rFonts w:eastAsia="Calibri" w:cstheme="minorHAnsi"/>
              </w:rPr>
              <w:t>ex-post.</w:t>
            </w:r>
          </w:p>
        </w:tc>
      </w:tr>
      <w:tr w:rsidR="00E2372E" w:rsidRPr="00A26C26" w14:paraId="022A1302" w14:textId="77777777" w:rsidTr="00DB7370">
        <w:tc>
          <w:tcPr>
            <w:tcW w:w="1838" w:type="dxa"/>
          </w:tcPr>
          <w:p w14:paraId="394E4E7D" w14:textId="0D3C34B4" w:rsidR="00E2372E" w:rsidRPr="00A26C26" w:rsidRDefault="00E2372E" w:rsidP="00A26C26">
            <w:pPr>
              <w:tabs>
                <w:tab w:val="left" w:pos="10206"/>
              </w:tabs>
              <w:spacing w:line="276" w:lineRule="auto"/>
              <w:rPr>
                <w:rFonts w:eastAsia="Calibri" w:cstheme="minorHAnsi"/>
                <w:b/>
                <w:bCs/>
              </w:rPr>
            </w:pPr>
            <w:r w:rsidRPr="00A26C26">
              <w:rPr>
                <w:rFonts w:eastAsia="Calibri" w:cstheme="minorHAnsi"/>
                <w:b/>
                <w:bCs/>
              </w:rPr>
              <w:t>Etap</w:t>
            </w:r>
            <w:r w:rsidR="003B50ED">
              <w:rPr>
                <w:rFonts w:eastAsia="Calibri" w:cstheme="minorHAnsi"/>
                <w:b/>
                <w:bCs/>
              </w:rPr>
              <w:t xml:space="preserve"> </w:t>
            </w:r>
            <w:r w:rsidRPr="00A26C26">
              <w:rPr>
                <w:rFonts w:eastAsia="Calibri" w:cstheme="minorHAnsi"/>
                <w:b/>
                <w:bCs/>
              </w:rPr>
              <w:t>IV</w:t>
            </w:r>
            <w:r w:rsidR="003B50ED">
              <w:rPr>
                <w:rFonts w:eastAsia="Calibri" w:cstheme="minorHAnsi"/>
                <w:b/>
                <w:bCs/>
              </w:rPr>
              <w:t xml:space="preserve"> </w:t>
            </w:r>
            <w:r w:rsidRPr="00A26C26">
              <w:rPr>
                <w:rFonts w:eastAsia="Calibri" w:cstheme="minorHAnsi"/>
                <w:b/>
                <w:bCs/>
              </w:rPr>
              <w:lastRenderedPageBreak/>
              <w:t>Opracowanie</w:t>
            </w:r>
            <w:r w:rsidR="003B50ED">
              <w:rPr>
                <w:rFonts w:eastAsia="Calibri" w:cstheme="minorHAnsi"/>
                <w:b/>
                <w:bCs/>
              </w:rPr>
              <w:t xml:space="preserve"> </w:t>
            </w:r>
            <w:r w:rsidRPr="00A26C26">
              <w:rPr>
                <w:rFonts w:eastAsia="Calibri" w:cstheme="minorHAnsi"/>
                <w:b/>
                <w:bCs/>
              </w:rPr>
              <w:t>/</w:t>
            </w:r>
            <w:r w:rsidR="003B50ED">
              <w:rPr>
                <w:rFonts w:eastAsia="Calibri" w:cstheme="minorHAnsi"/>
                <w:b/>
                <w:bCs/>
              </w:rPr>
              <w:t xml:space="preserve"> </w:t>
            </w:r>
            <w:r w:rsidRPr="00A26C26">
              <w:rPr>
                <w:rFonts w:eastAsia="Calibri" w:cstheme="minorHAnsi"/>
                <w:b/>
                <w:bCs/>
              </w:rPr>
              <w:t>konsultacje</w:t>
            </w:r>
            <w:r w:rsidR="003B50ED">
              <w:rPr>
                <w:rFonts w:eastAsia="Calibri" w:cstheme="minorHAnsi"/>
                <w:b/>
                <w:bCs/>
              </w:rPr>
              <w:t xml:space="preserve"> </w:t>
            </w:r>
            <w:r w:rsidRPr="00A26C26">
              <w:rPr>
                <w:rFonts w:eastAsia="Calibri" w:cstheme="minorHAnsi"/>
                <w:b/>
                <w:bCs/>
              </w:rPr>
              <w:t>zasad</w:t>
            </w:r>
            <w:r w:rsidR="003B50ED">
              <w:rPr>
                <w:rFonts w:eastAsia="Calibri" w:cstheme="minorHAnsi"/>
                <w:b/>
                <w:bCs/>
              </w:rPr>
              <w:t xml:space="preserve"> </w:t>
            </w:r>
            <w:r w:rsidRPr="00A26C26">
              <w:rPr>
                <w:rFonts w:eastAsia="Calibri" w:cstheme="minorHAnsi"/>
                <w:b/>
                <w:bCs/>
              </w:rPr>
              <w:t>monitorowania</w:t>
            </w:r>
            <w:r w:rsidR="003B50ED">
              <w:rPr>
                <w:rFonts w:eastAsia="Calibri" w:cstheme="minorHAnsi"/>
                <w:b/>
                <w:bCs/>
              </w:rPr>
              <w:t xml:space="preserve"> </w:t>
            </w:r>
            <w:r w:rsidRPr="00A26C26">
              <w:rPr>
                <w:rFonts w:eastAsia="Calibri" w:cstheme="minorHAnsi"/>
                <w:b/>
                <w:bCs/>
              </w:rPr>
              <w:t>i</w:t>
            </w:r>
            <w:r w:rsidR="003B50ED">
              <w:rPr>
                <w:rFonts w:eastAsia="Calibri" w:cstheme="minorHAnsi"/>
                <w:b/>
                <w:bCs/>
              </w:rPr>
              <w:t xml:space="preserve"> </w:t>
            </w:r>
            <w:r w:rsidRPr="00A26C26">
              <w:rPr>
                <w:rFonts w:eastAsia="Calibri" w:cstheme="minorHAnsi"/>
                <w:b/>
                <w:bCs/>
              </w:rPr>
              <w:t>ewaluacji</w:t>
            </w:r>
          </w:p>
          <w:p w14:paraId="0C25DF1D" w14:textId="77777777" w:rsidR="00E2372E" w:rsidRPr="00A26C26" w:rsidRDefault="00E2372E" w:rsidP="00A26C26">
            <w:pPr>
              <w:spacing w:line="276" w:lineRule="auto"/>
              <w:rPr>
                <w:rFonts w:eastAsia="Calibri" w:cstheme="minorHAnsi"/>
                <w:b/>
                <w:bCs/>
              </w:rPr>
            </w:pPr>
          </w:p>
        </w:tc>
        <w:tc>
          <w:tcPr>
            <w:tcW w:w="8363" w:type="dxa"/>
          </w:tcPr>
          <w:p w14:paraId="23ED1CE0" w14:textId="648CE60C" w:rsidR="00E2372E" w:rsidRPr="00A26C26" w:rsidRDefault="00E2372E" w:rsidP="00581749">
            <w:pPr>
              <w:spacing w:line="276" w:lineRule="auto"/>
              <w:jc w:val="both"/>
              <w:rPr>
                <w:rFonts w:eastAsia="Calibri" w:cstheme="minorHAnsi"/>
              </w:rPr>
            </w:pPr>
            <w:r w:rsidRPr="00A26C26">
              <w:rPr>
                <w:rFonts w:eastAsia="Calibri" w:cstheme="minorHAnsi"/>
              </w:rPr>
              <w:lastRenderedPageBreak/>
              <w:t>Proces</w:t>
            </w:r>
            <w:r w:rsidR="003B50ED">
              <w:rPr>
                <w:rFonts w:eastAsia="Calibri" w:cstheme="minorHAnsi"/>
              </w:rPr>
              <w:t xml:space="preserve"> </w:t>
            </w:r>
            <w:r w:rsidRPr="00A26C26">
              <w:rPr>
                <w:rFonts w:eastAsia="Calibri" w:cstheme="minorHAnsi"/>
              </w:rPr>
              <w:t>monitoringu</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ewaluacji</w:t>
            </w:r>
            <w:r w:rsidR="003B50ED">
              <w:rPr>
                <w:rFonts w:eastAsia="Calibri" w:cstheme="minorHAnsi"/>
              </w:rPr>
              <w:t xml:space="preserve"> </w:t>
            </w:r>
            <w:r w:rsidRPr="00A26C26">
              <w:rPr>
                <w:rFonts w:eastAsia="Calibri" w:cstheme="minorHAnsi"/>
              </w:rPr>
              <w:t>są</w:t>
            </w:r>
            <w:r w:rsidR="003B50ED">
              <w:rPr>
                <w:rFonts w:eastAsia="Calibri" w:cstheme="minorHAnsi"/>
              </w:rPr>
              <w:t xml:space="preserve"> </w:t>
            </w:r>
            <w:r w:rsidRPr="00A26C26">
              <w:rPr>
                <w:rFonts w:eastAsia="Calibri" w:cstheme="minorHAnsi"/>
              </w:rPr>
              <w:t>względem</w:t>
            </w:r>
            <w:r w:rsidR="003B50ED">
              <w:rPr>
                <w:rFonts w:eastAsia="Calibri" w:cstheme="minorHAnsi"/>
              </w:rPr>
              <w:t xml:space="preserve"> </w:t>
            </w:r>
            <w:r w:rsidRPr="00A26C26">
              <w:rPr>
                <w:rFonts w:eastAsia="Calibri" w:cstheme="minorHAnsi"/>
              </w:rPr>
              <w:t>siebie</w:t>
            </w:r>
            <w:r w:rsidR="003B50ED">
              <w:rPr>
                <w:rFonts w:eastAsia="Calibri" w:cstheme="minorHAnsi"/>
              </w:rPr>
              <w:t xml:space="preserve"> </w:t>
            </w:r>
            <w:r w:rsidRPr="00A26C26">
              <w:rPr>
                <w:rFonts w:eastAsia="Calibri" w:cstheme="minorHAnsi"/>
              </w:rPr>
              <w:t>niezależne,</w:t>
            </w:r>
            <w:r w:rsidR="003B50ED">
              <w:rPr>
                <w:rFonts w:eastAsia="Calibri" w:cstheme="minorHAnsi"/>
              </w:rPr>
              <w:t xml:space="preserve"> </w:t>
            </w:r>
            <w:r w:rsidRPr="00A26C26">
              <w:rPr>
                <w:rFonts w:eastAsia="Calibri" w:cstheme="minorHAnsi"/>
              </w:rPr>
              <w:t>choć</w:t>
            </w:r>
            <w:r w:rsidR="003B50ED">
              <w:rPr>
                <w:rFonts w:eastAsia="Calibri" w:cstheme="minorHAnsi"/>
              </w:rPr>
              <w:t xml:space="preserve"> </w:t>
            </w:r>
            <w:r w:rsidRPr="00A26C26">
              <w:rPr>
                <w:rFonts w:eastAsia="Calibri" w:cstheme="minorHAnsi"/>
              </w:rPr>
              <w:t>pozostają</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ścisłym</w:t>
            </w:r>
            <w:r w:rsidR="003B50ED">
              <w:rPr>
                <w:rFonts w:eastAsia="Calibri" w:cstheme="minorHAnsi"/>
              </w:rPr>
              <w:t xml:space="preserve"> </w:t>
            </w:r>
            <w:r w:rsidRPr="00A26C26">
              <w:rPr>
                <w:rFonts w:eastAsia="Calibri" w:cstheme="minorHAnsi"/>
              </w:rPr>
              <w:lastRenderedPageBreak/>
              <w:t>związku,</w:t>
            </w:r>
            <w:r w:rsidR="003B50ED">
              <w:rPr>
                <w:rFonts w:eastAsia="Calibri" w:cstheme="minorHAnsi"/>
              </w:rPr>
              <w:t xml:space="preserve"> </w:t>
            </w:r>
            <w:r w:rsidRPr="00A26C26">
              <w:rPr>
                <w:rFonts w:eastAsia="Calibri" w:cstheme="minorHAnsi"/>
              </w:rPr>
              <w:t>gdyż</w:t>
            </w:r>
            <w:r w:rsidR="003B50ED">
              <w:rPr>
                <w:rFonts w:eastAsia="Calibri" w:cstheme="minorHAnsi"/>
              </w:rPr>
              <w:t xml:space="preserve"> </w:t>
            </w:r>
            <w:r w:rsidRPr="00A26C26">
              <w:rPr>
                <w:rFonts w:eastAsia="Calibri" w:cstheme="minorHAnsi"/>
              </w:rPr>
              <w:t>dotyczą</w:t>
            </w:r>
            <w:r w:rsidR="003B50ED">
              <w:rPr>
                <w:rFonts w:eastAsia="Calibri" w:cstheme="minorHAnsi"/>
              </w:rPr>
              <w:t xml:space="preserve"> </w:t>
            </w:r>
            <w:r w:rsidRPr="00A26C26">
              <w:rPr>
                <w:rFonts w:eastAsia="Calibri" w:cstheme="minorHAnsi"/>
              </w:rPr>
              <w:t>tych</w:t>
            </w:r>
            <w:r w:rsidR="003B50ED">
              <w:rPr>
                <w:rFonts w:eastAsia="Calibri" w:cstheme="minorHAnsi"/>
              </w:rPr>
              <w:t xml:space="preserve"> </w:t>
            </w:r>
            <w:r w:rsidRPr="00A26C26">
              <w:rPr>
                <w:rFonts w:eastAsia="Calibri" w:cstheme="minorHAnsi"/>
              </w:rPr>
              <w:t>samych</w:t>
            </w:r>
            <w:r w:rsidR="003B50ED">
              <w:rPr>
                <w:rFonts w:eastAsia="Calibri" w:cstheme="minorHAnsi"/>
              </w:rPr>
              <w:t xml:space="preserve"> </w:t>
            </w:r>
            <w:r w:rsidRPr="00A26C26">
              <w:rPr>
                <w:rFonts w:eastAsia="Calibri" w:cstheme="minorHAnsi"/>
              </w:rPr>
              <w:t>zagadnień.</w:t>
            </w:r>
            <w:r w:rsidR="003B50ED">
              <w:rPr>
                <w:rFonts w:eastAsia="Calibri" w:cstheme="minorHAnsi"/>
              </w:rPr>
              <w:t xml:space="preserve"> </w:t>
            </w:r>
            <w:r w:rsidRPr="00A26C26">
              <w:rPr>
                <w:rFonts w:eastAsia="Calibri" w:cstheme="minorHAnsi"/>
              </w:rPr>
              <w:t>Monitoring</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ewaluacja</w:t>
            </w:r>
            <w:r w:rsidR="003B50ED">
              <w:rPr>
                <w:rFonts w:eastAsia="Calibri" w:cstheme="minorHAnsi"/>
              </w:rPr>
              <w:t xml:space="preserve"> </w:t>
            </w:r>
            <w:r w:rsidRPr="00A26C26">
              <w:rPr>
                <w:rFonts w:eastAsia="Calibri" w:cstheme="minorHAnsi"/>
              </w:rPr>
              <w:t>Lokalnej</w:t>
            </w:r>
            <w:r w:rsidR="003B50ED">
              <w:rPr>
                <w:rFonts w:eastAsia="Calibri" w:cstheme="minorHAnsi"/>
              </w:rPr>
              <w:t xml:space="preserve"> </w:t>
            </w:r>
            <w:r w:rsidRPr="00A26C26">
              <w:rPr>
                <w:rFonts w:eastAsia="Calibri" w:cstheme="minorHAnsi"/>
              </w:rPr>
              <w:t>Strategii</w:t>
            </w:r>
            <w:r w:rsidR="003B50ED">
              <w:rPr>
                <w:rFonts w:eastAsia="Calibri" w:cstheme="minorHAnsi"/>
              </w:rPr>
              <w:t xml:space="preserve"> </w:t>
            </w:r>
            <w:r w:rsidRPr="00A26C26">
              <w:rPr>
                <w:rFonts w:eastAsia="Calibri" w:cstheme="minorHAnsi"/>
              </w:rPr>
              <w:t>Rozwoju</w:t>
            </w:r>
            <w:r w:rsidR="003B50ED">
              <w:rPr>
                <w:rFonts w:eastAsia="Calibri" w:cstheme="minorHAnsi"/>
              </w:rPr>
              <w:t xml:space="preserve"> </w:t>
            </w:r>
            <w:r w:rsidRPr="00A26C26">
              <w:rPr>
                <w:rFonts w:eastAsia="Calibri" w:cstheme="minorHAnsi"/>
              </w:rPr>
              <w:t>są</w:t>
            </w:r>
            <w:r w:rsidR="003B50ED">
              <w:rPr>
                <w:rFonts w:eastAsia="Calibri" w:cstheme="minorHAnsi"/>
              </w:rPr>
              <w:t xml:space="preserve"> </w:t>
            </w:r>
            <w:r w:rsidRPr="00A26C26">
              <w:rPr>
                <w:rFonts w:eastAsia="Calibri" w:cstheme="minorHAnsi"/>
              </w:rPr>
              <w:t>kluczowymi</w:t>
            </w:r>
            <w:r w:rsidR="003B50ED">
              <w:rPr>
                <w:rFonts w:eastAsia="Calibri" w:cstheme="minorHAnsi"/>
              </w:rPr>
              <w:t xml:space="preserve"> </w:t>
            </w:r>
            <w:r w:rsidRPr="00A26C26">
              <w:rPr>
                <w:rFonts w:eastAsia="Calibri" w:cstheme="minorHAnsi"/>
              </w:rPr>
              <w:t>elementami</w:t>
            </w:r>
            <w:r w:rsidR="003B50ED">
              <w:rPr>
                <w:rFonts w:eastAsia="Calibri" w:cstheme="minorHAnsi"/>
              </w:rPr>
              <w:t xml:space="preserve"> </w:t>
            </w:r>
            <w:r w:rsidRPr="00A26C26">
              <w:rPr>
                <w:rFonts w:eastAsia="Calibri" w:cstheme="minorHAnsi"/>
              </w:rPr>
              <w:t>skutecznego</w:t>
            </w:r>
            <w:r w:rsidR="003B50ED">
              <w:rPr>
                <w:rFonts w:eastAsia="Calibri" w:cstheme="minorHAnsi"/>
              </w:rPr>
              <w:t xml:space="preserve"> </w:t>
            </w:r>
            <w:r w:rsidRPr="00A26C26">
              <w:rPr>
                <w:rFonts w:eastAsia="Calibri" w:cstheme="minorHAnsi"/>
              </w:rPr>
              <w:t>procesu</w:t>
            </w:r>
            <w:r w:rsidR="003B50ED">
              <w:rPr>
                <w:rFonts w:eastAsia="Calibri" w:cstheme="minorHAnsi"/>
              </w:rPr>
              <w:t xml:space="preserve"> </w:t>
            </w:r>
            <w:r w:rsidRPr="00A26C26">
              <w:rPr>
                <w:rFonts w:eastAsia="Calibri" w:cstheme="minorHAnsi"/>
              </w:rPr>
              <w:t>jej</w:t>
            </w:r>
            <w:r w:rsidR="003B50ED">
              <w:rPr>
                <w:rFonts w:eastAsia="Calibri" w:cstheme="minorHAnsi"/>
              </w:rPr>
              <w:t xml:space="preserve"> </w:t>
            </w:r>
            <w:r w:rsidRPr="00A26C26">
              <w:rPr>
                <w:rFonts w:eastAsia="Calibri" w:cstheme="minorHAnsi"/>
              </w:rPr>
              <w:t>wdrażania,</w:t>
            </w:r>
            <w:r w:rsidR="003B50ED">
              <w:rPr>
                <w:rFonts w:eastAsia="Calibri" w:cstheme="minorHAnsi"/>
              </w:rPr>
              <w:t xml:space="preserve"> </w:t>
            </w:r>
            <w:r w:rsidRPr="00A26C26">
              <w:rPr>
                <w:rFonts w:eastAsia="Calibri" w:cstheme="minorHAnsi"/>
              </w:rPr>
              <w:t>zapewniającymi</w:t>
            </w:r>
            <w:r w:rsidR="003B50ED">
              <w:rPr>
                <w:rFonts w:eastAsia="Calibri" w:cstheme="minorHAnsi"/>
              </w:rPr>
              <w:t xml:space="preserve"> </w:t>
            </w:r>
            <w:r w:rsidRPr="00A26C26">
              <w:rPr>
                <w:rFonts w:eastAsia="Calibri" w:cstheme="minorHAnsi"/>
              </w:rPr>
              <w:t>pozyskanie</w:t>
            </w:r>
            <w:r w:rsidR="003B50ED">
              <w:rPr>
                <w:rFonts w:eastAsia="Calibri" w:cstheme="minorHAnsi"/>
              </w:rPr>
              <w:t xml:space="preserve"> </w:t>
            </w:r>
            <w:r w:rsidRPr="00A26C26">
              <w:rPr>
                <w:rFonts w:eastAsia="Calibri" w:cstheme="minorHAnsi"/>
              </w:rPr>
              <w:t>informacji</w:t>
            </w:r>
            <w:r w:rsidR="003B50ED">
              <w:rPr>
                <w:rFonts w:eastAsia="Calibri" w:cstheme="minorHAnsi"/>
              </w:rPr>
              <w:t xml:space="preserve"> </w:t>
            </w:r>
            <w:r w:rsidRPr="00A26C26">
              <w:rPr>
                <w:rFonts w:eastAsia="Calibri" w:cstheme="minorHAnsi"/>
              </w:rPr>
              <w:t>na</w:t>
            </w:r>
            <w:r w:rsidR="003B50ED">
              <w:rPr>
                <w:rFonts w:eastAsia="Calibri" w:cstheme="minorHAnsi"/>
              </w:rPr>
              <w:t xml:space="preserve"> </w:t>
            </w:r>
            <w:r w:rsidRPr="00A26C26">
              <w:rPr>
                <w:rFonts w:eastAsia="Calibri" w:cstheme="minorHAnsi"/>
              </w:rPr>
              <w:t>temat</w:t>
            </w:r>
            <w:r w:rsidR="003B50ED">
              <w:rPr>
                <w:rFonts w:eastAsia="Calibri" w:cstheme="minorHAnsi"/>
              </w:rPr>
              <w:t xml:space="preserve"> </w:t>
            </w:r>
            <w:r w:rsidRPr="00A26C26">
              <w:rPr>
                <w:rFonts w:eastAsia="Calibri" w:cstheme="minorHAnsi"/>
              </w:rPr>
              <w:t>postępów</w:t>
            </w:r>
            <w:r w:rsidR="003B50ED">
              <w:rPr>
                <w:rFonts w:eastAsia="Calibri" w:cstheme="minorHAnsi"/>
              </w:rPr>
              <w:t xml:space="preserve"> </w:t>
            </w:r>
            <w:r w:rsidRPr="00A26C26">
              <w:rPr>
                <w:rFonts w:eastAsia="Calibri" w:cstheme="minorHAnsi"/>
              </w:rPr>
              <w:t>prowadzonych</w:t>
            </w:r>
            <w:r w:rsidR="003B50ED">
              <w:rPr>
                <w:rFonts w:eastAsia="Calibri" w:cstheme="minorHAnsi"/>
              </w:rPr>
              <w:t xml:space="preserve"> </w:t>
            </w:r>
            <w:r w:rsidRPr="00A26C26">
              <w:rPr>
                <w:rFonts w:eastAsia="Calibri" w:cstheme="minorHAnsi"/>
              </w:rPr>
              <w:t>działań,</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głównej</w:t>
            </w:r>
            <w:r w:rsidR="003B50ED">
              <w:rPr>
                <w:rFonts w:eastAsia="Calibri" w:cstheme="minorHAnsi"/>
              </w:rPr>
              <w:t xml:space="preserve"> </w:t>
            </w:r>
            <w:r w:rsidRPr="00A26C26">
              <w:rPr>
                <w:rFonts w:eastAsia="Calibri" w:cstheme="minorHAnsi"/>
              </w:rPr>
              <w:t>mierze</w:t>
            </w:r>
            <w:r w:rsidR="003B50ED">
              <w:rPr>
                <w:rFonts w:eastAsia="Calibri" w:cstheme="minorHAnsi"/>
              </w:rPr>
              <w:t xml:space="preserve"> </w:t>
            </w:r>
            <w:r w:rsidR="00581749">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kontekście</w:t>
            </w:r>
            <w:r w:rsidR="003B50ED">
              <w:rPr>
                <w:rFonts w:eastAsia="Calibri" w:cstheme="minorHAnsi"/>
              </w:rPr>
              <w:t xml:space="preserve"> </w:t>
            </w:r>
            <w:r w:rsidRPr="00A26C26">
              <w:rPr>
                <w:rFonts w:eastAsia="Calibri" w:cstheme="minorHAnsi"/>
              </w:rPr>
              <w:t>realizacji</w:t>
            </w:r>
            <w:r w:rsidR="003B50ED">
              <w:rPr>
                <w:rFonts w:eastAsia="Calibri" w:cstheme="minorHAnsi"/>
              </w:rPr>
              <w:t xml:space="preserve"> </w:t>
            </w:r>
            <w:r w:rsidRPr="00A26C26">
              <w:rPr>
                <w:rFonts w:eastAsia="Calibri" w:cstheme="minorHAnsi"/>
              </w:rPr>
              <w:t>przyjętych</w:t>
            </w:r>
            <w:r w:rsidR="003B50ED">
              <w:rPr>
                <w:rFonts w:eastAsia="Calibri" w:cstheme="minorHAnsi"/>
              </w:rPr>
              <w:t xml:space="preserve"> </w:t>
            </w:r>
            <w:r w:rsidRPr="00A26C26">
              <w:rPr>
                <w:rFonts w:eastAsia="Calibri" w:cstheme="minorHAnsi"/>
              </w:rPr>
              <w:t>celów</w:t>
            </w:r>
            <w:r w:rsidR="003B50ED">
              <w:rPr>
                <w:rFonts w:eastAsia="Calibri" w:cstheme="minorHAnsi"/>
              </w:rPr>
              <w:t xml:space="preserve"> </w:t>
            </w:r>
            <w:r w:rsidRPr="00A26C26">
              <w:rPr>
                <w:rFonts w:eastAsia="Calibri" w:cstheme="minorHAnsi"/>
              </w:rPr>
              <w:t>strategicznych</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operacyjnych.</w:t>
            </w:r>
            <w:r w:rsidR="003B50ED">
              <w:rPr>
                <w:rFonts w:eastAsia="Calibri" w:cstheme="minorHAnsi"/>
              </w:rPr>
              <w:t xml:space="preserve"> </w:t>
            </w:r>
            <w:r w:rsidRPr="00A26C26">
              <w:rPr>
                <w:rFonts w:eastAsia="Calibri" w:cstheme="minorHAnsi"/>
              </w:rPr>
              <w:t>Stanowią</w:t>
            </w:r>
            <w:r w:rsidR="003B50ED">
              <w:rPr>
                <w:rFonts w:eastAsia="Calibri" w:cstheme="minorHAnsi"/>
              </w:rPr>
              <w:t xml:space="preserve"> </w:t>
            </w:r>
            <w:r w:rsidRPr="00A26C26">
              <w:rPr>
                <w:rFonts w:eastAsia="Calibri" w:cstheme="minorHAnsi"/>
              </w:rPr>
              <w:t>równocześnie</w:t>
            </w:r>
            <w:r w:rsidR="003B50ED">
              <w:rPr>
                <w:rFonts w:eastAsia="Calibri" w:cstheme="minorHAnsi"/>
              </w:rPr>
              <w:t xml:space="preserve"> </w:t>
            </w:r>
            <w:r w:rsidRPr="00A26C26">
              <w:rPr>
                <w:rFonts w:eastAsia="Calibri" w:cstheme="minorHAnsi"/>
              </w:rPr>
              <w:t>narzędzia</w:t>
            </w:r>
            <w:r w:rsidR="003B50ED">
              <w:rPr>
                <w:rFonts w:eastAsia="Calibri" w:cstheme="minorHAnsi"/>
              </w:rPr>
              <w:t xml:space="preserve"> </w:t>
            </w:r>
            <w:r w:rsidRPr="00A26C26">
              <w:rPr>
                <w:rFonts w:eastAsia="Calibri" w:cstheme="minorHAnsi"/>
              </w:rPr>
              <w:t>kontroli</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oceny</w:t>
            </w:r>
            <w:r w:rsidR="003B50ED">
              <w:rPr>
                <w:rFonts w:eastAsia="Calibri" w:cstheme="minorHAnsi"/>
              </w:rPr>
              <w:t xml:space="preserve"> </w:t>
            </w:r>
            <w:r w:rsidRPr="00A26C26">
              <w:rPr>
                <w:rFonts w:eastAsia="Calibri" w:cstheme="minorHAnsi"/>
              </w:rPr>
              <w:t>umożliwiające</w:t>
            </w:r>
            <w:r w:rsidR="003B50ED">
              <w:rPr>
                <w:rFonts w:eastAsia="Calibri" w:cstheme="minorHAnsi"/>
              </w:rPr>
              <w:t xml:space="preserve"> </w:t>
            </w:r>
            <w:r w:rsidRPr="00A26C26">
              <w:rPr>
                <w:rFonts w:eastAsia="Calibri" w:cstheme="minorHAnsi"/>
              </w:rPr>
              <w:t>korektę</w:t>
            </w:r>
            <w:r w:rsidR="003B50ED">
              <w:rPr>
                <w:rFonts w:eastAsia="Calibri" w:cstheme="minorHAnsi"/>
              </w:rPr>
              <w:t xml:space="preserve"> </w:t>
            </w:r>
            <w:r w:rsidRPr="00A26C26">
              <w:rPr>
                <w:rFonts w:eastAsia="Calibri" w:cstheme="minorHAnsi"/>
              </w:rPr>
              <w:t>nieprawidłowości</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procesie</w:t>
            </w:r>
            <w:r w:rsidR="003B50ED">
              <w:rPr>
                <w:rFonts w:eastAsia="Calibri" w:cstheme="minorHAnsi"/>
              </w:rPr>
              <w:t xml:space="preserve"> </w:t>
            </w:r>
            <w:r w:rsidRPr="00A26C26">
              <w:rPr>
                <w:rFonts w:eastAsia="Calibri" w:cstheme="minorHAnsi"/>
              </w:rPr>
              <w:t>wdrażania</w:t>
            </w:r>
            <w:r w:rsidR="003B50ED">
              <w:rPr>
                <w:rFonts w:eastAsia="Calibri" w:cstheme="minorHAnsi"/>
              </w:rPr>
              <w:t xml:space="preserve"> </w:t>
            </w:r>
            <w:r w:rsidRPr="00A26C26">
              <w:rPr>
                <w:rFonts w:eastAsia="Calibri" w:cstheme="minorHAnsi"/>
              </w:rPr>
              <w:t>LSR</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funkcjonowania</w:t>
            </w:r>
            <w:r w:rsidR="003B50ED">
              <w:rPr>
                <w:rFonts w:eastAsia="Calibri" w:cstheme="minorHAnsi"/>
              </w:rPr>
              <w:t xml:space="preserve"> </w:t>
            </w:r>
            <w:r w:rsidRPr="00A26C26">
              <w:rPr>
                <w:rFonts w:eastAsia="Calibri" w:cstheme="minorHAnsi"/>
              </w:rPr>
              <w:t>LGD,</w:t>
            </w:r>
            <w:r w:rsidR="003B50ED">
              <w:rPr>
                <w:rFonts w:eastAsia="Calibri" w:cstheme="minorHAnsi"/>
              </w:rPr>
              <w:t xml:space="preserve"> </w:t>
            </w:r>
            <w:r w:rsidRPr="00A26C26">
              <w:rPr>
                <w:rFonts w:eastAsia="Calibri" w:cstheme="minorHAnsi"/>
              </w:rPr>
              <w:t>poprzez</w:t>
            </w:r>
            <w:r w:rsidR="003B50ED">
              <w:rPr>
                <w:rFonts w:eastAsia="Calibri" w:cstheme="minorHAnsi"/>
              </w:rPr>
              <w:t xml:space="preserve"> </w:t>
            </w:r>
            <w:r w:rsidRPr="00A26C26">
              <w:rPr>
                <w:rFonts w:eastAsia="Calibri" w:cstheme="minorHAnsi"/>
              </w:rPr>
              <w:t>wprowadzenie</w:t>
            </w:r>
            <w:r w:rsidR="003B50ED">
              <w:rPr>
                <w:rFonts w:eastAsia="Calibri" w:cstheme="minorHAnsi"/>
              </w:rPr>
              <w:t xml:space="preserve"> </w:t>
            </w:r>
            <w:r w:rsidRPr="00A26C26">
              <w:rPr>
                <w:rFonts w:eastAsia="Calibri" w:cstheme="minorHAnsi"/>
              </w:rPr>
              <w:t>niezbędnych</w:t>
            </w:r>
            <w:r w:rsidR="003B50ED">
              <w:rPr>
                <w:rFonts w:eastAsia="Calibri" w:cstheme="minorHAnsi"/>
              </w:rPr>
              <w:t xml:space="preserve"> </w:t>
            </w:r>
            <w:r w:rsidRPr="00A26C26">
              <w:rPr>
                <w:rFonts w:eastAsia="Calibri" w:cstheme="minorHAnsi"/>
              </w:rPr>
              <w:t>modyfikacji</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uaktualnień</w:t>
            </w:r>
            <w:r w:rsidR="003B50ED">
              <w:rPr>
                <w:rFonts w:eastAsia="Calibri" w:cstheme="minorHAnsi"/>
              </w:rPr>
              <w:t xml:space="preserve"> </w:t>
            </w:r>
            <w:r w:rsidRPr="00A26C26">
              <w:rPr>
                <w:rFonts w:eastAsia="Calibri" w:cstheme="minorHAnsi"/>
              </w:rPr>
              <w:t>przy</w:t>
            </w:r>
            <w:r w:rsidR="003B50ED">
              <w:rPr>
                <w:rFonts w:eastAsia="Calibri" w:cstheme="minorHAnsi"/>
              </w:rPr>
              <w:t xml:space="preserve"> </w:t>
            </w:r>
            <w:r w:rsidRPr="00A26C26">
              <w:rPr>
                <w:rFonts w:eastAsia="Calibri" w:cstheme="minorHAnsi"/>
              </w:rPr>
              <w:t>realizacji</w:t>
            </w:r>
            <w:r w:rsidR="003B50ED">
              <w:rPr>
                <w:rFonts w:eastAsia="Calibri" w:cstheme="minorHAnsi"/>
              </w:rPr>
              <w:t xml:space="preserve"> </w:t>
            </w:r>
            <w:r w:rsidRPr="00A26C26">
              <w:rPr>
                <w:rFonts w:eastAsia="Calibri" w:cstheme="minorHAnsi"/>
              </w:rPr>
              <w:t>opracowanej</w:t>
            </w:r>
            <w:r w:rsidR="003B50ED">
              <w:rPr>
                <w:rFonts w:eastAsia="Calibri" w:cstheme="minorHAnsi"/>
              </w:rPr>
              <w:t xml:space="preserve"> </w:t>
            </w:r>
            <w:r w:rsidRPr="00A26C26">
              <w:rPr>
                <w:rFonts w:eastAsia="Calibri" w:cstheme="minorHAnsi"/>
              </w:rPr>
              <w:t>strategii.</w:t>
            </w:r>
          </w:p>
          <w:p w14:paraId="5A797FD6" w14:textId="4E594F1A" w:rsidR="00E2372E" w:rsidRPr="00A26C26" w:rsidRDefault="00E2372E" w:rsidP="00581749">
            <w:pPr>
              <w:spacing w:line="276" w:lineRule="auto"/>
              <w:jc w:val="both"/>
              <w:rPr>
                <w:rFonts w:eastAsia="Calibri" w:cstheme="minorHAnsi"/>
              </w:rPr>
            </w:pPr>
            <w:r w:rsidRPr="00A26C26">
              <w:rPr>
                <w:rFonts w:eastAsia="Calibri" w:cstheme="minorHAnsi"/>
              </w:rPr>
              <w:t>W</w:t>
            </w:r>
            <w:r w:rsidR="003B50ED">
              <w:rPr>
                <w:rFonts w:eastAsia="Calibri" w:cstheme="minorHAnsi"/>
              </w:rPr>
              <w:t xml:space="preserve"> </w:t>
            </w:r>
            <w:r w:rsidRPr="00A26C26">
              <w:rPr>
                <w:rFonts w:eastAsia="Calibri" w:cstheme="minorHAnsi"/>
              </w:rPr>
              <w:t>tym</w:t>
            </w:r>
            <w:r w:rsidR="003B50ED">
              <w:rPr>
                <w:rFonts w:eastAsia="Calibri" w:cstheme="minorHAnsi"/>
              </w:rPr>
              <w:t xml:space="preserve"> </w:t>
            </w:r>
            <w:r w:rsidRPr="00A26C26">
              <w:rPr>
                <w:rFonts w:eastAsia="Calibri" w:cstheme="minorHAnsi"/>
              </w:rPr>
              <w:t>zakresie,</w:t>
            </w:r>
            <w:r w:rsidR="003B50ED">
              <w:rPr>
                <w:rFonts w:eastAsia="Calibri" w:cstheme="minorHAnsi"/>
              </w:rPr>
              <w:t xml:space="preserve"> </w:t>
            </w:r>
            <w:r w:rsidRPr="00A26C26">
              <w:rPr>
                <w:rFonts w:eastAsia="Calibri" w:cstheme="minorHAnsi"/>
              </w:rPr>
              <w:t>oprócz</w:t>
            </w:r>
            <w:r w:rsidR="003B50ED">
              <w:rPr>
                <w:rFonts w:eastAsia="Calibri" w:cstheme="minorHAnsi"/>
              </w:rPr>
              <w:t xml:space="preserve"> </w:t>
            </w:r>
            <w:r w:rsidRPr="00A26C26">
              <w:rPr>
                <w:rFonts w:eastAsia="Calibri" w:cstheme="minorHAnsi"/>
              </w:rPr>
              <w:t>wyników</w:t>
            </w:r>
            <w:r w:rsidR="003B50ED">
              <w:rPr>
                <w:rFonts w:eastAsia="Calibri" w:cstheme="minorHAnsi"/>
              </w:rPr>
              <w:t xml:space="preserve"> </w:t>
            </w:r>
            <w:r w:rsidRPr="00A26C26">
              <w:rPr>
                <w:rFonts w:eastAsia="Calibri" w:cstheme="minorHAnsi"/>
              </w:rPr>
              <w:t>konsultacji</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własnych</w:t>
            </w:r>
            <w:r w:rsidR="003B50ED">
              <w:rPr>
                <w:rFonts w:eastAsia="Calibri" w:cstheme="minorHAnsi"/>
              </w:rPr>
              <w:t xml:space="preserve"> </w:t>
            </w:r>
            <w:r w:rsidRPr="00A26C26">
              <w:rPr>
                <w:rFonts w:eastAsia="Calibri" w:cstheme="minorHAnsi"/>
              </w:rPr>
              <w:t>doświadczeń,</w:t>
            </w:r>
            <w:r w:rsidR="003B50ED">
              <w:rPr>
                <w:rFonts w:eastAsia="Calibri" w:cstheme="minorHAnsi"/>
              </w:rPr>
              <w:t xml:space="preserve"> </w:t>
            </w:r>
            <w:r w:rsidRPr="00A26C26">
              <w:rPr>
                <w:rFonts w:eastAsia="Calibri" w:cstheme="minorHAnsi"/>
              </w:rPr>
              <w:t>LGD</w:t>
            </w:r>
            <w:r w:rsidR="003B50ED">
              <w:rPr>
                <w:rFonts w:eastAsia="Calibri" w:cstheme="minorHAnsi"/>
              </w:rPr>
              <w:t xml:space="preserve"> </w:t>
            </w:r>
            <w:r w:rsidRPr="00A26C26">
              <w:rPr>
                <w:rFonts w:eastAsia="Calibri" w:cstheme="minorHAnsi"/>
              </w:rPr>
              <w:t>przyłożyła</w:t>
            </w:r>
            <w:r w:rsidR="003B50ED">
              <w:rPr>
                <w:rFonts w:eastAsia="Calibri" w:cstheme="minorHAnsi"/>
              </w:rPr>
              <w:t xml:space="preserve"> </w:t>
            </w:r>
            <w:r w:rsidRPr="00A26C26">
              <w:rPr>
                <w:rFonts w:eastAsia="Calibri" w:cstheme="minorHAnsi"/>
              </w:rPr>
              <w:t>szczególną</w:t>
            </w:r>
            <w:r w:rsidR="003B50ED">
              <w:rPr>
                <w:rFonts w:eastAsia="Calibri" w:cstheme="minorHAnsi"/>
              </w:rPr>
              <w:t xml:space="preserve"> </w:t>
            </w:r>
            <w:r w:rsidRPr="00A26C26">
              <w:rPr>
                <w:rFonts w:eastAsia="Calibri" w:cstheme="minorHAnsi"/>
              </w:rPr>
              <w:t>uwagę</w:t>
            </w:r>
            <w:r w:rsidR="003B50ED">
              <w:rPr>
                <w:rFonts w:eastAsia="Calibri" w:cstheme="minorHAnsi"/>
              </w:rPr>
              <w:t xml:space="preserve"> </w:t>
            </w:r>
            <w:r w:rsidRPr="00A26C26">
              <w:rPr>
                <w:rFonts w:eastAsia="Calibri" w:cstheme="minorHAnsi"/>
              </w:rPr>
              <w:t>do</w:t>
            </w:r>
            <w:r w:rsidR="003B50ED">
              <w:rPr>
                <w:rFonts w:eastAsia="Calibri" w:cstheme="minorHAnsi"/>
              </w:rPr>
              <w:t xml:space="preserve"> </w:t>
            </w:r>
            <w:r w:rsidRPr="00A26C26">
              <w:rPr>
                <w:rFonts w:eastAsia="Calibri" w:cstheme="minorHAnsi"/>
              </w:rPr>
              <w:t>zgodności</w:t>
            </w:r>
            <w:r w:rsidR="003B50ED">
              <w:rPr>
                <w:rFonts w:eastAsia="Calibri" w:cstheme="minorHAnsi"/>
              </w:rPr>
              <w:t xml:space="preserve"> </w:t>
            </w:r>
            <w:r w:rsidRPr="00A26C26">
              <w:rPr>
                <w:rFonts w:eastAsia="Calibri" w:cstheme="minorHAnsi"/>
              </w:rPr>
              <w:t>z</w:t>
            </w:r>
            <w:r w:rsidR="003B50ED">
              <w:rPr>
                <w:rFonts w:eastAsia="Calibri" w:cstheme="minorHAnsi"/>
              </w:rPr>
              <w:t xml:space="preserve"> </w:t>
            </w:r>
            <w:r w:rsidRPr="00A26C26">
              <w:rPr>
                <w:rFonts w:eastAsia="Calibri" w:cstheme="minorHAnsi"/>
              </w:rPr>
              <w:t>obowiązującymi</w:t>
            </w:r>
            <w:r w:rsidR="003B50ED">
              <w:rPr>
                <w:rFonts w:eastAsia="Calibri" w:cstheme="minorHAnsi"/>
              </w:rPr>
              <w:t xml:space="preserve"> </w:t>
            </w:r>
            <w:r w:rsidRPr="00A26C26">
              <w:rPr>
                <w:rFonts w:eastAsia="Calibri" w:cstheme="minorHAnsi"/>
              </w:rPr>
              <w:t>Wytycznymi</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tym</w:t>
            </w:r>
            <w:r w:rsidR="003B50ED">
              <w:rPr>
                <w:rFonts w:eastAsia="Calibri" w:cstheme="minorHAnsi"/>
              </w:rPr>
              <w:t xml:space="preserve"> </w:t>
            </w:r>
            <w:r w:rsidRPr="00A26C26">
              <w:rPr>
                <w:rFonts w:eastAsia="Calibri" w:cstheme="minorHAnsi"/>
              </w:rPr>
              <w:t>zakresie.</w:t>
            </w:r>
            <w:r w:rsidR="003B50ED">
              <w:rPr>
                <w:rFonts w:eastAsia="Calibri" w:cstheme="minorHAnsi"/>
              </w:rPr>
              <w:t xml:space="preserve"> </w:t>
            </w:r>
          </w:p>
        </w:tc>
      </w:tr>
      <w:tr w:rsidR="00E2372E" w:rsidRPr="00A26C26" w14:paraId="2F7FDC1B" w14:textId="77777777" w:rsidTr="00DB7370">
        <w:tc>
          <w:tcPr>
            <w:tcW w:w="1838" w:type="dxa"/>
          </w:tcPr>
          <w:p w14:paraId="2327D42C" w14:textId="5B83308E" w:rsidR="00E2372E" w:rsidRPr="00A26C26" w:rsidRDefault="00E2372E" w:rsidP="00A26C26">
            <w:pPr>
              <w:tabs>
                <w:tab w:val="left" w:pos="10206"/>
              </w:tabs>
              <w:spacing w:line="276" w:lineRule="auto"/>
              <w:rPr>
                <w:rFonts w:eastAsia="Calibri" w:cstheme="minorHAnsi"/>
                <w:b/>
                <w:bCs/>
              </w:rPr>
            </w:pPr>
            <w:r w:rsidRPr="00A26C26">
              <w:rPr>
                <w:rFonts w:eastAsia="Calibri" w:cstheme="minorHAnsi"/>
                <w:b/>
                <w:bCs/>
              </w:rPr>
              <w:lastRenderedPageBreak/>
              <w:t>Etap</w:t>
            </w:r>
            <w:r w:rsidR="003B50ED">
              <w:rPr>
                <w:rFonts w:eastAsia="Calibri" w:cstheme="minorHAnsi"/>
                <w:b/>
                <w:bCs/>
              </w:rPr>
              <w:t xml:space="preserve"> </w:t>
            </w:r>
            <w:r w:rsidRPr="00A26C26">
              <w:rPr>
                <w:rFonts w:eastAsia="Calibri" w:cstheme="minorHAnsi"/>
                <w:b/>
                <w:bCs/>
              </w:rPr>
              <w:t>V</w:t>
            </w:r>
            <w:r w:rsidR="003B50ED">
              <w:rPr>
                <w:rFonts w:eastAsia="Calibri" w:cstheme="minorHAnsi"/>
                <w:b/>
                <w:bCs/>
              </w:rPr>
              <w:t xml:space="preserve"> </w:t>
            </w:r>
            <w:r w:rsidRPr="00A26C26">
              <w:rPr>
                <w:rFonts w:eastAsia="Calibri" w:cstheme="minorHAnsi"/>
                <w:b/>
                <w:bCs/>
              </w:rPr>
              <w:t>Opracowanie</w:t>
            </w:r>
            <w:r w:rsidR="003B50ED">
              <w:rPr>
                <w:rFonts w:eastAsia="Calibri" w:cstheme="minorHAnsi"/>
                <w:b/>
                <w:bCs/>
              </w:rPr>
              <w:t xml:space="preserve"> </w:t>
            </w:r>
            <w:r w:rsidRPr="00A26C26">
              <w:rPr>
                <w:rFonts w:eastAsia="Calibri" w:cstheme="minorHAnsi"/>
                <w:b/>
                <w:bCs/>
              </w:rPr>
              <w:t>/</w:t>
            </w:r>
            <w:r w:rsidR="003B50ED">
              <w:rPr>
                <w:rFonts w:eastAsia="Calibri" w:cstheme="minorHAnsi"/>
                <w:b/>
                <w:bCs/>
              </w:rPr>
              <w:t xml:space="preserve"> </w:t>
            </w:r>
            <w:r w:rsidRPr="00A26C26">
              <w:rPr>
                <w:rFonts w:eastAsia="Calibri" w:cstheme="minorHAnsi"/>
                <w:b/>
                <w:bCs/>
              </w:rPr>
              <w:t>konsultacje</w:t>
            </w:r>
            <w:r w:rsidR="003B50ED">
              <w:rPr>
                <w:rFonts w:eastAsia="Calibri" w:cstheme="minorHAnsi"/>
                <w:b/>
                <w:bCs/>
              </w:rPr>
              <w:t xml:space="preserve"> </w:t>
            </w:r>
            <w:r w:rsidRPr="00A26C26">
              <w:rPr>
                <w:rFonts w:eastAsia="Calibri" w:cstheme="minorHAnsi"/>
                <w:b/>
                <w:bCs/>
              </w:rPr>
              <w:t>planu</w:t>
            </w:r>
            <w:r w:rsidR="003B50ED">
              <w:rPr>
                <w:rFonts w:eastAsia="Calibri" w:cstheme="minorHAnsi"/>
              </w:rPr>
              <w:t xml:space="preserve"> </w:t>
            </w:r>
            <w:r w:rsidRPr="00A26C26">
              <w:rPr>
                <w:rFonts w:eastAsia="Calibri" w:cstheme="minorHAnsi"/>
                <w:b/>
                <w:bCs/>
              </w:rPr>
              <w:t>komunikacji</w:t>
            </w:r>
          </w:p>
          <w:p w14:paraId="4A03686A" w14:textId="77777777" w:rsidR="00E2372E" w:rsidRPr="00A26C26" w:rsidRDefault="00E2372E" w:rsidP="00A26C26">
            <w:pPr>
              <w:spacing w:line="276" w:lineRule="auto"/>
              <w:rPr>
                <w:rFonts w:eastAsia="Calibri" w:cstheme="minorHAnsi"/>
                <w:b/>
                <w:bCs/>
              </w:rPr>
            </w:pPr>
          </w:p>
        </w:tc>
        <w:tc>
          <w:tcPr>
            <w:tcW w:w="8363" w:type="dxa"/>
          </w:tcPr>
          <w:p w14:paraId="7FC97F79" w14:textId="0CE97FBD" w:rsidR="00E2372E" w:rsidRPr="00A26C26" w:rsidRDefault="00E2372E" w:rsidP="00581749">
            <w:pPr>
              <w:spacing w:line="276" w:lineRule="auto"/>
              <w:jc w:val="both"/>
              <w:rPr>
                <w:rFonts w:eastAsia="Calibri" w:cstheme="minorHAnsi"/>
              </w:rPr>
            </w:pPr>
            <w:r w:rsidRPr="00A26C26">
              <w:rPr>
                <w:rFonts w:eastAsia="Calibri" w:cstheme="minorHAnsi"/>
              </w:rPr>
              <w:t>Głównym</w:t>
            </w:r>
            <w:r w:rsidR="003B50ED">
              <w:rPr>
                <w:rFonts w:eastAsia="Calibri" w:cstheme="minorHAnsi"/>
              </w:rPr>
              <w:t xml:space="preserve"> </w:t>
            </w:r>
            <w:r w:rsidRPr="00A26C26">
              <w:rPr>
                <w:rFonts w:eastAsia="Calibri" w:cstheme="minorHAnsi"/>
              </w:rPr>
              <w:t>celem</w:t>
            </w:r>
            <w:r w:rsidR="003B50ED">
              <w:rPr>
                <w:rFonts w:eastAsia="Calibri" w:cstheme="minorHAnsi"/>
              </w:rPr>
              <w:t xml:space="preserve"> </w:t>
            </w:r>
            <w:r w:rsidRPr="00A26C26">
              <w:rPr>
                <w:rFonts w:eastAsia="Calibri" w:cstheme="minorHAnsi"/>
              </w:rPr>
              <w:t>Planu</w:t>
            </w:r>
            <w:r w:rsidR="003B50ED">
              <w:rPr>
                <w:rFonts w:eastAsia="Calibri" w:cstheme="minorHAnsi"/>
              </w:rPr>
              <w:t xml:space="preserve"> </w:t>
            </w:r>
            <w:r w:rsidRPr="00A26C26">
              <w:rPr>
                <w:rFonts w:eastAsia="Calibri" w:cstheme="minorHAnsi"/>
              </w:rPr>
              <w:t>komunikacji</w:t>
            </w:r>
            <w:r w:rsidR="003B50ED">
              <w:rPr>
                <w:rFonts w:eastAsia="Calibri" w:cstheme="minorHAnsi"/>
              </w:rPr>
              <w:t xml:space="preserve"> </w:t>
            </w:r>
            <w:r w:rsidRPr="00A26C26">
              <w:rPr>
                <w:rFonts w:eastAsia="Calibri" w:cstheme="minorHAnsi"/>
              </w:rPr>
              <w:t>z</w:t>
            </w:r>
            <w:r w:rsidR="003B50ED">
              <w:rPr>
                <w:rFonts w:eastAsia="Calibri" w:cstheme="minorHAnsi"/>
              </w:rPr>
              <w:t xml:space="preserve"> </w:t>
            </w:r>
            <w:r w:rsidRPr="00A26C26">
              <w:rPr>
                <w:rFonts w:eastAsia="Calibri" w:cstheme="minorHAnsi"/>
              </w:rPr>
              <w:t>lokalną</w:t>
            </w:r>
            <w:r w:rsidR="003B50ED">
              <w:rPr>
                <w:rFonts w:eastAsia="Calibri" w:cstheme="minorHAnsi"/>
              </w:rPr>
              <w:t xml:space="preserve"> </w:t>
            </w:r>
            <w:r w:rsidRPr="00A26C26">
              <w:rPr>
                <w:rFonts w:eastAsia="Calibri" w:cstheme="minorHAnsi"/>
              </w:rPr>
              <w:t>społecznością</w:t>
            </w:r>
            <w:r w:rsidR="003B50ED">
              <w:rPr>
                <w:rFonts w:eastAsia="Calibri" w:cstheme="minorHAnsi"/>
              </w:rPr>
              <w:t xml:space="preserve"> </w:t>
            </w:r>
            <w:r w:rsidRPr="00A26C26">
              <w:rPr>
                <w:rFonts w:eastAsia="Calibri" w:cstheme="minorHAnsi"/>
              </w:rPr>
              <w:t>jest</w:t>
            </w:r>
            <w:r w:rsidR="003B50ED">
              <w:rPr>
                <w:rFonts w:eastAsia="Calibri" w:cstheme="minorHAnsi"/>
              </w:rPr>
              <w:t xml:space="preserve"> </w:t>
            </w:r>
            <w:r w:rsidRPr="00A26C26">
              <w:rPr>
                <w:rFonts w:eastAsia="Calibri" w:cstheme="minorHAnsi"/>
              </w:rPr>
              <w:t>stworzenie</w:t>
            </w:r>
            <w:r w:rsidR="003B50ED">
              <w:rPr>
                <w:rFonts w:eastAsia="Calibri" w:cstheme="minorHAnsi"/>
              </w:rPr>
              <w:t xml:space="preserve"> </w:t>
            </w:r>
            <w:r w:rsidRPr="00A26C26">
              <w:rPr>
                <w:rFonts w:eastAsia="Calibri" w:cstheme="minorHAnsi"/>
              </w:rPr>
              <w:t>warunków</w:t>
            </w:r>
            <w:r w:rsidR="003B50ED">
              <w:rPr>
                <w:rFonts w:eastAsia="Calibri" w:cstheme="minorHAnsi"/>
              </w:rPr>
              <w:t xml:space="preserve"> </w:t>
            </w:r>
            <w:r w:rsidRPr="00A26C26">
              <w:rPr>
                <w:rFonts w:eastAsia="Calibri" w:cstheme="minorHAnsi"/>
              </w:rPr>
              <w:br/>
              <w:t>i</w:t>
            </w:r>
            <w:r w:rsidR="003B50ED">
              <w:rPr>
                <w:rFonts w:eastAsia="Calibri" w:cstheme="minorHAnsi"/>
              </w:rPr>
              <w:t xml:space="preserve"> </w:t>
            </w:r>
            <w:r w:rsidRPr="00A26C26">
              <w:rPr>
                <w:rFonts w:eastAsia="Calibri" w:cstheme="minorHAnsi"/>
              </w:rPr>
              <w:t>możliwości,</w:t>
            </w:r>
            <w:r w:rsidR="003B50ED">
              <w:rPr>
                <w:rFonts w:eastAsia="Calibri" w:cstheme="minorHAnsi"/>
              </w:rPr>
              <w:t xml:space="preserve"> </w:t>
            </w:r>
            <w:r w:rsidRPr="00A26C26">
              <w:rPr>
                <w:rFonts w:eastAsia="Calibri" w:cstheme="minorHAnsi"/>
              </w:rPr>
              <w:t>które</w:t>
            </w:r>
            <w:r w:rsidR="003B50ED">
              <w:rPr>
                <w:rFonts w:eastAsia="Calibri" w:cstheme="minorHAnsi"/>
              </w:rPr>
              <w:t xml:space="preserve"> </w:t>
            </w:r>
            <w:r w:rsidRPr="00A26C26">
              <w:rPr>
                <w:rFonts w:eastAsia="Calibri" w:cstheme="minorHAnsi"/>
              </w:rPr>
              <w:t>umożliwią</w:t>
            </w:r>
            <w:r w:rsidR="003B50ED">
              <w:rPr>
                <w:rFonts w:eastAsia="Calibri" w:cstheme="minorHAnsi"/>
              </w:rPr>
              <w:t xml:space="preserve"> </w:t>
            </w:r>
            <w:r w:rsidRPr="00A26C26">
              <w:rPr>
                <w:rFonts w:eastAsia="Calibri" w:cstheme="minorHAnsi"/>
              </w:rPr>
              <w:t>aktywne</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ciągłe</w:t>
            </w:r>
            <w:r w:rsidR="003B50ED">
              <w:rPr>
                <w:rFonts w:eastAsia="Calibri" w:cstheme="minorHAnsi"/>
              </w:rPr>
              <w:t xml:space="preserve"> </w:t>
            </w:r>
            <w:r w:rsidRPr="00A26C26">
              <w:rPr>
                <w:rFonts w:eastAsia="Calibri" w:cstheme="minorHAnsi"/>
              </w:rPr>
              <w:t>zaangażowanie</w:t>
            </w:r>
            <w:r w:rsidR="003B50ED">
              <w:rPr>
                <w:rFonts w:eastAsia="Calibri" w:cstheme="minorHAnsi"/>
              </w:rPr>
              <w:t xml:space="preserve"> </w:t>
            </w:r>
            <w:r w:rsidRPr="00A26C26">
              <w:rPr>
                <w:rFonts w:eastAsia="Calibri" w:cstheme="minorHAnsi"/>
              </w:rPr>
              <w:t>lokalnej</w:t>
            </w:r>
            <w:r w:rsidR="003B50ED">
              <w:rPr>
                <w:rFonts w:eastAsia="Calibri" w:cstheme="minorHAnsi"/>
              </w:rPr>
              <w:t xml:space="preserve"> </w:t>
            </w:r>
            <w:r w:rsidRPr="00A26C26">
              <w:rPr>
                <w:rFonts w:eastAsia="Calibri" w:cstheme="minorHAnsi"/>
              </w:rPr>
              <w:t>społeczności</w:t>
            </w:r>
            <w:r w:rsidR="003B50ED">
              <w:rPr>
                <w:rFonts w:eastAsia="Calibri" w:cstheme="minorHAnsi"/>
              </w:rPr>
              <w:t xml:space="preserve"> </w:t>
            </w:r>
            <w:r w:rsidRPr="00A26C26">
              <w:rPr>
                <w:rFonts w:eastAsia="Calibri" w:cstheme="minorHAnsi"/>
              </w:rPr>
              <w:br/>
              <w:t>w</w:t>
            </w:r>
            <w:r w:rsidR="003B50ED">
              <w:rPr>
                <w:rFonts w:eastAsia="Calibri" w:cstheme="minorHAnsi"/>
              </w:rPr>
              <w:t xml:space="preserve"> </w:t>
            </w:r>
            <w:r w:rsidRPr="00A26C26">
              <w:rPr>
                <w:rFonts w:eastAsia="Calibri" w:cstheme="minorHAnsi"/>
              </w:rPr>
              <w:t>bieżący</w:t>
            </w:r>
            <w:r w:rsidR="003B50ED">
              <w:rPr>
                <w:rFonts w:eastAsia="Calibri" w:cstheme="minorHAnsi"/>
              </w:rPr>
              <w:t xml:space="preserve"> </w:t>
            </w:r>
            <w:r w:rsidRPr="00A26C26">
              <w:rPr>
                <w:rFonts w:eastAsia="Calibri" w:cstheme="minorHAnsi"/>
              </w:rPr>
              <w:t>proces</w:t>
            </w:r>
            <w:r w:rsidR="003B50ED">
              <w:rPr>
                <w:rFonts w:eastAsia="Calibri" w:cstheme="minorHAnsi"/>
              </w:rPr>
              <w:t xml:space="preserve"> </w:t>
            </w:r>
            <w:r w:rsidRPr="00A26C26">
              <w:rPr>
                <w:rFonts w:eastAsia="Calibri" w:cstheme="minorHAnsi"/>
              </w:rPr>
              <w:t>wdrażania</w:t>
            </w:r>
            <w:r w:rsidR="003B50ED">
              <w:rPr>
                <w:rFonts w:eastAsia="Calibri" w:cstheme="minorHAnsi"/>
              </w:rPr>
              <w:t xml:space="preserve"> </w:t>
            </w:r>
            <w:r w:rsidRPr="00A26C26">
              <w:rPr>
                <w:rFonts w:eastAsia="Calibri" w:cstheme="minorHAnsi"/>
              </w:rPr>
              <w:t>LSR,</w:t>
            </w:r>
            <w:r w:rsidR="003B50ED">
              <w:rPr>
                <w:rFonts w:eastAsia="Calibri" w:cstheme="minorHAnsi"/>
              </w:rPr>
              <w:t xml:space="preserve"> </w:t>
            </w:r>
            <w:r w:rsidRPr="00A26C26">
              <w:rPr>
                <w:rFonts w:eastAsia="Calibri" w:cstheme="minorHAnsi"/>
              </w:rPr>
              <w:t>nie</w:t>
            </w:r>
            <w:r w:rsidR="003B50ED">
              <w:rPr>
                <w:rFonts w:eastAsia="Calibri" w:cstheme="minorHAnsi"/>
              </w:rPr>
              <w:t xml:space="preserve"> </w:t>
            </w:r>
            <w:r w:rsidRPr="00A26C26">
              <w:rPr>
                <w:rFonts w:eastAsia="Calibri" w:cstheme="minorHAnsi"/>
              </w:rPr>
              <w:t>tylko</w:t>
            </w:r>
            <w:r w:rsidR="003B50ED">
              <w:rPr>
                <w:rFonts w:eastAsia="Calibri" w:cstheme="minorHAnsi"/>
              </w:rPr>
              <w:t xml:space="preserve"> </w:t>
            </w:r>
            <w:r w:rsidRPr="00A26C26">
              <w:rPr>
                <w:rFonts w:eastAsia="Calibri" w:cstheme="minorHAnsi"/>
              </w:rPr>
              <w:t>na</w:t>
            </w:r>
            <w:r w:rsidR="003B50ED">
              <w:rPr>
                <w:rFonts w:eastAsia="Calibri" w:cstheme="minorHAnsi"/>
              </w:rPr>
              <w:t xml:space="preserve"> </w:t>
            </w:r>
            <w:r w:rsidRPr="00A26C26">
              <w:rPr>
                <w:rFonts w:eastAsia="Calibri" w:cstheme="minorHAnsi"/>
              </w:rPr>
              <w:t>etapie</w:t>
            </w:r>
            <w:r w:rsidR="003B50ED">
              <w:rPr>
                <w:rFonts w:eastAsia="Calibri" w:cstheme="minorHAnsi"/>
              </w:rPr>
              <w:t xml:space="preserve"> </w:t>
            </w:r>
            <w:r w:rsidRPr="00A26C26">
              <w:rPr>
                <w:rFonts w:eastAsia="Calibri" w:cstheme="minorHAnsi"/>
              </w:rPr>
              <w:t>opracowania</w:t>
            </w:r>
            <w:r w:rsidR="003B50ED">
              <w:rPr>
                <w:rFonts w:eastAsia="Calibri" w:cstheme="minorHAnsi"/>
              </w:rPr>
              <w:t xml:space="preserve"> </w:t>
            </w:r>
            <w:r w:rsidRPr="00A26C26">
              <w:rPr>
                <w:rFonts w:eastAsia="Calibri" w:cstheme="minorHAnsi"/>
              </w:rPr>
              <w:t>dokumentu.</w:t>
            </w:r>
            <w:r w:rsidR="003B50ED">
              <w:rPr>
                <w:rFonts w:eastAsia="Calibri" w:cstheme="minorHAnsi"/>
              </w:rPr>
              <w:t xml:space="preserve"> </w:t>
            </w:r>
            <w:r w:rsidRPr="00A26C26">
              <w:rPr>
                <w:rFonts w:eastAsia="Calibri" w:cstheme="minorHAnsi"/>
              </w:rPr>
              <w:t>Działania</w:t>
            </w:r>
            <w:r w:rsidR="003B50ED">
              <w:rPr>
                <w:rFonts w:eastAsia="Calibri" w:cstheme="minorHAnsi"/>
              </w:rPr>
              <w:t xml:space="preserve"> </w:t>
            </w:r>
            <w:r w:rsidRPr="00A26C26">
              <w:rPr>
                <w:rFonts w:eastAsia="Calibri" w:cstheme="minorHAnsi"/>
              </w:rPr>
              <w:t>komunikacyjne</w:t>
            </w:r>
            <w:r w:rsidR="003B50ED">
              <w:rPr>
                <w:rFonts w:eastAsia="Calibri" w:cstheme="minorHAnsi"/>
              </w:rPr>
              <w:t xml:space="preserve"> </w:t>
            </w:r>
            <w:r w:rsidRPr="00A26C26">
              <w:rPr>
                <w:rFonts w:eastAsia="Calibri" w:cstheme="minorHAnsi"/>
              </w:rPr>
              <w:t>muszą</w:t>
            </w:r>
            <w:r w:rsidR="003B50ED">
              <w:rPr>
                <w:rFonts w:eastAsia="Calibri" w:cstheme="minorHAnsi"/>
              </w:rPr>
              <w:t xml:space="preserve"> </w:t>
            </w:r>
            <w:r w:rsidRPr="00A26C26">
              <w:rPr>
                <w:rFonts w:eastAsia="Calibri" w:cstheme="minorHAnsi"/>
              </w:rPr>
              <w:t>być</w:t>
            </w:r>
            <w:r w:rsidR="003B50ED">
              <w:rPr>
                <w:rFonts w:eastAsia="Calibri" w:cstheme="minorHAnsi"/>
              </w:rPr>
              <w:t xml:space="preserve"> </w:t>
            </w:r>
            <w:r w:rsidRPr="00A26C26">
              <w:rPr>
                <w:rFonts w:eastAsia="Calibri" w:cstheme="minorHAnsi"/>
              </w:rPr>
              <w:t>dostosowane</w:t>
            </w:r>
            <w:r w:rsidR="003B50ED">
              <w:rPr>
                <w:rFonts w:eastAsia="Calibri" w:cstheme="minorHAnsi"/>
              </w:rPr>
              <w:t xml:space="preserve"> </w:t>
            </w:r>
            <w:r w:rsidRPr="00A26C26">
              <w:rPr>
                <w:rFonts w:eastAsia="Calibri" w:cstheme="minorHAnsi"/>
              </w:rPr>
              <w:t>do</w:t>
            </w:r>
            <w:r w:rsidR="003B50ED">
              <w:rPr>
                <w:rFonts w:eastAsia="Calibri" w:cstheme="minorHAnsi"/>
              </w:rPr>
              <w:t xml:space="preserve"> </w:t>
            </w:r>
            <w:r w:rsidRPr="00A26C26">
              <w:rPr>
                <w:rFonts w:eastAsia="Calibri" w:cstheme="minorHAnsi"/>
              </w:rPr>
              <w:t>wszystkich</w:t>
            </w:r>
            <w:r w:rsidR="003B50ED">
              <w:rPr>
                <w:rFonts w:eastAsia="Calibri" w:cstheme="minorHAnsi"/>
              </w:rPr>
              <w:t xml:space="preserve"> </w:t>
            </w:r>
            <w:r w:rsidRPr="00A26C26">
              <w:rPr>
                <w:rFonts w:eastAsia="Calibri" w:cstheme="minorHAnsi"/>
              </w:rPr>
              <w:t>grup</w:t>
            </w:r>
            <w:r w:rsidR="003B50ED">
              <w:rPr>
                <w:rFonts w:eastAsia="Calibri" w:cstheme="minorHAnsi"/>
              </w:rPr>
              <w:t xml:space="preserve"> </w:t>
            </w:r>
            <w:r w:rsidRPr="00A26C26">
              <w:rPr>
                <w:rFonts w:eastAsia="Calibri" w:cstheme="minorHAnsi"/>
              </w:rPr>
              <w:t>docelowych,</w:t>
            </w:r>
            <w:r w:rsidR="003B50ED">
              <w:rPr>
                <w:rFonts w:eastAsia="Calibri" w:cstheme="minorHAnsi"/>
              </w:rPr>
              <w:t xml:space="preserve"> </w:t>
            </w:r>
            <w:r w:rsidRPr="00A26C26">
              <w:rPr>
                <w:rFonts w:eastAsia="Calibri" w:cstheme="minorHAnsi"/>
              </w:rPr>
              <w:t>zwłaszcza</w:t>
            </w:r>
            <w:r w:rsidR="003B50ED">
              <w:rPr>
                <w:rFonts w:eastAsia="Calibri" w:cstheme="minorHAnsi"/>
              </w:rPr>
              <w:t xml:space="preserve"> </w:t>
            </w:r>
            <w:r w:rsidRPr="00A26C26">
              <w:rPr>
                <w:rFonts w:eastAsia="Calibri" w:cstheme="minorHAnsi"/>
              </w:rPr>
              <w:t>tych</w:t>
            </w:r>
            <w:r w:rsidR="003B50ED">
              <w:rPr>
                <w:rFonts w:eastAsia="Calibri" w:cstheme="minorHAnsi"/>
              </w:rPr>
              <w:t xml:space="preserve"> </w:t>
            </w:r>
            <w:r w:rsidRPr="00A26C26">
              <w:rPr>
                <w:rFonts w:eastAsia="Calibri" w:cstheme="minorHAnsi"/>
              </w:rPr>
              <w:t>istotnych</w:t>
            </w:r>
            <w:r w:rsidR="003B50ED">
              <w:rPr>
                <w:rFonts w:eastAsia="Calibri" w:cstheme="minorHAnsi"/>
              </w:rPr>
              <w:t xml:space="preserve"> </w:t>
            </w:r>
            <w:r w:rsidRPr="00A26C26">
              <w:rPr>
                <w:rFonts w:eastAsia="Calibri" w:cstheme="minorHAnsi"/>
              </w:rPr>
              <w:t>z</w:t>
            </w:r>
            <w:r w:rsidR="003B50ED">
              <w:rPr>
                <w:rFonts w:eastAsia="Calibri" w:cstheme="minorHAnsi"/>
              </w:rPr>
              <w:t xml:space="preserve"> </w:t>
            </w:r>
            <w:r w:rsidRPr="00A26C26">
              <w:rPr>
                <w:rFonts w:eastAsia="Calibri" w:cstheme="minorHAnsi"/>
              </w:rPr>
              <w:t>perspektywy</w:t>
            </w:r>
            <w:r w:rsidR="003B50ED">
              <w:rPr>
                <w:rFonts w:eastAsia="Calibri" w:cstheme="minorHAnsi"/>
              </w:rPr>
              <w:t xml:space="preserve"> </w:t>
            </w:r>
            <w:r w:rsidRPr="00A26C26">
              <w:rPr>
                <w:rFonts w:eastAsia="Calibri" w:cstheme="minorHAnsi"/>
              </w:rPr>
              <w:t>realizacji</w:t>
            </w:r>
            <w:r w:rsidR="003B50ED">
              <w:rPr>
                <w:rFonts w:eastAsia="Calibri" w:cstheme="minorHAnsi"/>
              </w:rPr>
              <w:t xml:space="preserve"> </w:t>
            </w:r>
            <w:r w:rsidRPr="00A26C26">
              <w:rPr>
                <w:rFonts w:eastAsia="Calibri" w:cstheme="minorHAnsi"/>
              </w:rPr>
              <w:t>LSR</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muszą</w:t>
            </w:r>
            <w:r w:rsidR="003B50ED">
              <w:rPr>
                <w:rFonts w:eastAsia="Calibri" w:cstheme="minorHAnsi"/>
              </w:rPr>
              <w:t xml:space="preserve"> </w:t>
            </w:r>
            <w:r w:rsidRPr="00A26C26">
              <w:rPr>
                <w:rFonts w:eastAsia="Calibri" w:cstheme="minorHAnsi"/>
              </w:rPr>
              <w:t>zapewniać</w:t>
            </w:r>
            <w:r w:rsidR="003B50ED">
              <w:rPr>
                <w:rFonts w:eastAsia="Calibri" w:cstheme="minorHAnsi"/>
              </w:rPr>
              <w:t xml:space="preserve"> </w:t>
            </w:r>
            <w:r w:rsidRPr="00A26C26">
              <w:rPr>
                <w:rFonts w:eastAsia="Calibri" w:cstheme="minorHAnsi"/>
              </w:rPr>
              <w:t>stosowanie</w:t>
            </w:r>
            <w:r w:rsidR="003B50ED">
              <w:rPr>
                <w:rFonts w:eastAsia="Calibri" w:cstheme="minorHAnsi"/>
              </w:rPr>
              <w:t xml:space="preserve"> </w:t>
            </w:r>
            <w:r w:rsidRPr="00A26C26">
              <w:rPr>
                <w:rFonts w:eastAsia="Calibri" w:cstheme="minorHAnsi"/>
              </w:rPr>
              <w:t>przyjaznych</w:t>
            </w:r>
            <w:r w:rsidR="003B50ED">
              <w:rPr>
                <w:rFonts w:eastAsia="Calibri" w:cstheme="minorHAnsi"/>
              </w:rPr>
              <w:t xml:space="preserve"> </w:t>
            </w:r>
            <w:r w:rsidRPr="00A26C26">
              <w:rPr>
                <w:rFonts w:eastAsia="Calibri" w:cstheme="minorHAnsi"/>
              </w:rPr>
              <w:t>metod</w:t>
            </w:r>
            <w:r w:rsidR="003B50ED">
              <w:rPr>
                <w:rFonts w:eastAsia="Calibri" w:cstheme="minorHAnsi"/>
              </w:rPr>
              <w:t xml:space="preserve"> </w:t>
            </w:r>
            <w:r w:rsidRPr="00A26C26">
              <w:rPr>
                <w:rFonts w:eastAsia="Calibri" w:cstheme="minorHAnsi"/>
              </w:rPr>
              <w:t>komunikacji.</w:t>
            </w:r>
            <w:r w:rsidR="003B50ED">
              <w:rPr>
                <w:rFonts w:eastAsia="Calibri" w:cstheme="minorHAnsi"/>
              </w:rPr>
              <w:t xml:space="preserve"> </w:t>
            </w:r>
            <w:r w:rsidRPr="00A26C26">
              <w:rPr>
                <w:rFonts w:eastAsia="Calibri" w:cstheme="minorHAnsi"/>
              </w:rPr>
              <w:t>Ten</w:t>
            </w:r>
            <w:r w:rsidR="003B50ED">
              <w:rPr>
                <w:rFonts w:eastAsia="Calibri" w:cstheme="minorHAnsi"/>
              </w:rPr>
              <w:t xml:space="preserve"> </w:t>
            </w:r>
            <w:r w:rsidRPr="00A26C26">
              <w:rPr>
                <w:rFonts w:eastAsia="Calibri" w:cstheme="minorHAnsi"/>
              </w:rPr>
              <w:t>etap</w:t>
            </w:r>
            <w:r w:rsidR="003B50ED">
              <w:rPr>
                <w:rFonts w:eastAsia="Calibri" w:cstheme="minorHAnsi"/>
              </w:rPr>
              <w:t xml:space="preserve"> </w:t>
            </w:r>
            <w:r w:rsidRPr="00A26C26">
              <w:rPr>
                <w:rFonts w:eastAsia="Calibri" w:cstheme="minorHAnsi"/>
              </w:rPr>
              <w:t>budowy</w:t>
            </w:r>
            <w:r w:rsidR="003B50ED">
              <w:rPr>
                <w:rFonts w:eastAsia="Calibri" w:cstheme="minorHAnsi"/>
              </w:rPr>
              <w:t xml:space="preserve"> </w:t>
            </w:r>
            <w:r w:rsidRPr="00A26C26">
              <w:rPr>
                <w:rFonts w:eastAsia="Calibri" w:cstheme="minorHAnsi"/>
              </w:rPr>
              <w:t>LSR</w:t>
            </w:r>
            <w:r w:rsidR="003B50ED">
              <w:rPr>
                <w:rFonts w:eastAsia="Calibri" w:cstheme="minorHAnsi"/>
              </w:rPr>
              <w:t xml:space="preserve"> </w:t>
            </w:r>
            <w:r w:rsidRPr="00A26C26">
              <w:rPr>
                <w:rFonts w:eastAsia="Calibri" w:cstheme="minorHAnsi"/>
              </w:rPr>
              <w:t>pozwolił</w:t>
            </w:r>
            <w:r w:rsidR="003B50ED">
              <w:rPr>
                <w:rFonts w:eastAsia="Calibri" w:cstheme="minorHAnsi"/>
              </w:rPr>
              <w:t xml:space="preserve"> </w:t>
            </w:r>
            <w:r w:rsidRPr="00A26C26">
              <w:rPr>
                <w:rFonts w:eastAsia="Calibri" w:cstheme="minorHAnsi"/>
              </w:rPr>
              <w:t>na</w:t>
            </w:r>
            <w:r w:rsidR="003B50ED">
              <w:rPr>
                <w:rFonts w:eastAsia="Calibri" w:cstheme="minorHAnsi"/>
              </w:rPr>
              <w:t xml:space="preserve"> </w:t>
            </w:r>
            <w:r w:rsidRPr="00A26C26">
              <w:rPr>
                <w:rFonts w:eastAsia="Calibri" w:cstheme="minorHAnsi"/>
              </w:rPr>
              <w:t>pozyskanie</w:t>
            </w:r>
            <w:r w:rsidR="003B50ED">
              <w:rPr>
                <w:rFonts w:eastAsia="Calibri" w:cstheme="minorHAnsi"/>
              </w:rPr>
              <w:t xml:space="preserve"> </w:t>
            </w:r>
            <w:r w:rsidRPr="00A26C26">
              <w:rPr>
                <w:rFonts w:eastAsia="Calibri" w:cstheme="minorHAnsi"/>
              </w:rPr>
              <w:t>informacji</w:t>
            </w:r>
            <w:r w:rsidR="003B50ED">
              <w:rPr>
                <w:rFonts w:eastAsia="Calibri" w:cstheme="minorHAnsi"/>
              </w:rPr>
              <w:t xml:space="preserve"> </w:t>
            </w:r>
            <w:r w:rsidRPr="00A26C26">
              <w:rPr>
                <w:rFonts w:eastAsia="Calibri" w:cstheme="minorHAnsi"/>
              </w:rPr>
              <w:t>dotyczących</w:t>
            </w:r>
            <w:r w:rsidR="003B50ED">
              <w:rPr>
                <w:rFonts w:eastAsia="Calibri" w:cstheme="minorHAnsi"/>
              </w:rPr>
              <w:t xml:space="preserve"> </w:t>
            </w:r>
            <w:r w:rsidRPr="00A26C26">
              <w:rPr>
                <w:rFonts w:eastAsia="Calibri" w:cstheme="minorHAnsi"/>
              </w:rPr>
              <w:t>najdogodniejszych</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najbardziej</w:t>
            </w:r>
            <w:r w:rsidR="003B50ED">
              <w:rPr>
                <w:rFonts w:eastAsia="Calibri" w:cstheme="minorHAnsi"/>
              </w:rPr>
              <w:t xml:space="preserve"> </w:t>
            </w:r>
            <w:r w:rsidRPr="00A26C26">
              <w:rPr>
                <w:rFonts w:eastAsia="Calibri" w:cstheme="minorHAnsi"/>
              </w:rPr>
              <w:t>skutecznych</w:t>
            </w:r>
            <w:r w:rsidR="003B50ED">
              <w:rPr>
                <w:rFonts w:eastAsia="Calibri" w:cstheme="minorHAnsi"/>
              </w:rPr>
              <w:t xml:space="preserve"> </w:t>
            </w:r>
            <w:r w:rsidRPr="00A26C26">
              <w:rPr>
                <w:rFonts w:eastAsia="Calibri" w:cstheme="minorHAnsi"/>
              </w:rPr>
              <w:t>form</w:t>
            </w:r>
            <w:r w:rsidR="003B50ED">
              <w:rPr>
                <w:rFonts w:eastAsia="Calibri" w:cstheme="minorHAnsi"/>
              </w:rPr>
              <w:t xml:space="preserve"> </w:t>
            </w:r>
            <w:r w:rsidRPr="00A26C26">
              <w:rPr>
                <w:rFonts w:eastAsia="Calibri" w:cstheme="minorHAnsi"/>
              </w:rPr>
              <w:t>komunikacji.</w:t>
            </w:r>
          </w:p>
          <w:p w14:paraId="702C4468" w14:textId="70370971" w:rsidR="00E2372E" w:rsidRPr="00A26C26" w:rsidRDefault="00E2372E" w:rsidP="00581749">
            <w:pPr>
              <w:spacing w:line="276" w:lineRule="auto"/>
              <w:jc w:val="both"/>
              <w:rPr>
                <w:rFonts w:eastAsia="Calibri" w:cstheme="minorHAnsi"/>
              </w:rPr>
            </w:pPr>
            <w:r w:rsidRPr="00A26C26">
              <w:rPr>
                <w:rFonts w:eastAsia="Calibri" w:cstheme="minorHAnsi"/>
              </w:rPr>
              <w:t>Opracowany</w:t>
            </w:r>
            <w:r w:rsidR="003B50ED">
              <w:rPr>
                <w:rFonts w:eastAsia="Calibri" w:cstheme="minorHAnsi"/>
              </w:rPr>
              <w:t xml:space="preserve"> </w:t>
            </w:r>
            <w:r w:rsidRPr="00A26C26">
              <w:rPr>
                <w:rFonts w:eastAsia="Calibri" w:cstheme="minorHAnsi"/>
              </w:rPr>
              <w:t>Plan</w:t>
            </w:r>
            <w:r w:rsidR="003B50ED">
              <w:rPr>
                <w:rFonts w:eastAsia="Calibri" w:cstheme="minorHAnsi"/>
              </w:rPr>
              <w:t xml:space="preserve"> </w:t>
            </w:r>
            <w:r w:rsidRPr="00A26C26">
              <w:rPr>
                <w:rFonts w:eastAsia="Calibri" w:cstheme="minorHAnsi"/>
              </w:rPr>
              <w:t>komunikacji</w:t>
            </w:r>
            <w:r w:rsidR="003B50ED">
              <w:rPr>
                <w:rFonts w:eastAsia="Calibri" w:cstheme="minorHAnsi"/>
              </w:rPr>
              <w:t xml:space="preserve"> </w:t>
            </w:r>
            <w:r w:rsidRPr="00A26C26">
              <w:rPr>
                <w:rFonts w:eastAsia="Calibri" w:cstheme="minorHAnsi"/>
              </w:rPr>
              <w:t>zawiera</w:t>
            </w:r>
            <w:r w:rsidR="003B50ED">
              <w:rPr>
                <w:rFonts w:eastAsia="Calibri" w:cstheme="minorHAnsi"/>
              </w:rPr>
              <w:t xml:space="preserve"> </w:t>
            </w:r>
            <w:r w:rsidRPr="00A26C26">
              <w:rPr>
                <w:rFonts w:eastAsia="Calibri" w:cstheme="minorHAnsi"/>
              </w:rPr>
              <w:t>niezbędne</w:t>
            </w:r>
            <w:r w:rsidR="003B50ED">
              <w:rPr>
                <w:rFonts w:eastAsia="Calibri" w:cstheme="minorHAnsi"/>
              </w:rPr>
              <w:t xml:space="preserve"> </w:t>
            </w:r>
            <w:r w:rsidRPr="00A26C26">
              <w:rPr>
                <w:rFonts w:eastAsia="Calibri" w:cstheme="minorHAnsi"/>
              </w:rPr>
              <w:t>elementy</w:t>
            </w:r>
            <w:r w:rsidR="003B50ED">
              <w:rPr>
                <w:rFonts w:eastAsia="Calibri" w:cstheme="minorHAnsi"/>
              </w:rPr>
              <w:t xml:space="preserve"> </w:t>
            </w:r>
            <w:r w:rsidRPr="00A26C26">
              <w:rPr>
                <w:rFonts w:eastAsia="Calibri" w:cstheme="minorHAnsi"/>
              </w:rPr>
              <w:t>wynikające</w:t>
            </w:r>
            <w:r w:rsidR="003B50ED">
              <w:rPr>
                <w:rFonts w:eastAsia="Calibri" w:cstheme="minorHAnsi"/>
              </w:rPr>
              <w:t xml:space="preserve"> </w:t>
            </w:r>
            <w:r w:rsidRPr="00A26C26">
              <w:rPr>
                <w:rFonts w:eastAsia="Calibri" w:cstheme="minorHAnsi"/>
              </w:rPr>
              <w:t>z</w:t>
            </w:r>
            <w:r w:rsidR="003B50ED">
              <w:rPr>
                <w:rFonts w:eastAsia="Calibri" w:cstheme="minorHAnsi"/>
              </w:rPr>
              <w:t xml:space="preserve"> </w:t>
            </w:r>
            <w:r w:rsidRPr="00A26C26">
              <w:rPr>
                <w:rFonts w:eastAsia="Calibri" w:cstheme="minorHAnsi"/>
              </w:rPr>
              <w:t>obowiązujących</w:t>
            </w:r>
            <w:r w:rsidR="003B50ED">
              <w:rPr>
                <w:rFonts w:eastAsia="Calibri" w:cstheme="minorHAnsi"/>
              </w:rPr>
              <w:t xml:space="preserve"> </w:t>
            </w:r>
            <w:r w:rsidRPr="00A26C26">
              <w:rPr>
                <w:rFonts w:eastAsia="Calibri" w:cstheme="minorHAnsi"/>
              </w:rPr>
              <w:t>Wytycznych</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tym</w:t>
            </w:r>
            <w:r w:rsidR="003B50ED">
              <w:rPr>
                <w:rFonts w:eastAsia="Calibri" w:cstheme="minorHAnsi"/>
              </w:rPr>
              <w:t xml:space="preserve"> </w:t>
            </w:r>
            <w:r w:rsidRPr="00A26C26">
              <w:rPr>
                <w:rFonts w:eastAsia="Calibri" w:cstheme="minorHAnsi"/>
              </w:rPr>
              <w:t>m.in.:</w:t>
            </w:r>
            <w:r w:rsidR="003B50ED">
              <w:rPr>
                <w:rFonts w:eastAsia="Calibri" w:cstheme="minorHAnsi"/>
              </w:rPr>
              <w:t xml:space="preserve"> </w:t>
            </w:r>
            <w:r w:rsidRPr="00A26C26">
              <w:rPr>
                <w:rFonts w:eastAsia="Calibri" w:cstheme="minorHAnsi"/>
              </w:rPr>
              <w:t>propozycje</w:t>
            </w:r>
            <w:r w:rsidR="003B50ED">
              <w:rPr>
                <w:rFonts w:eastAsia="Calibri" w:cstheme="minorHAnsi"/>
              </w:rPr>
              <w:t xml:space="preserve"> </w:t>
            </w:r>
            <w:r w:rsidRPr="00A26C26">
              <w:rPr>
                <w:rFonts w:eastAsia="Calibri" w:cstheme="minorHAnsi"/>
              </w:rPr>
              <w:t>działań,</w:t>
            </w:r>
            <w:r w:rsidR="003B50ED">
              <w:rPr>
                <w:rFonts w:eastAsia="Calibri" w:cstheme="minorHAnsi"/>
              </w:rPr>
              <w:t xml:space="preserve"> </w:t>
            </w:r>
            <w:r w:rsidRPr="00A26C26">
              <w:rPr>
                <w:rFonts w:eastAsia="Calibri" w:cstheme="minorHAnsi"/>
              </w:rPr>
              <w:t>które</w:t>
            </w:r>
            <w:r w:rsidR="003B50ED">
              <w:rPr>
                <w:rFonts w:eastAsia="Calibri" w:cstheme="minorHAnsi"/>
              </w:rPr>
              <w:t xml:space="preserve"> </w:t>
            </w:r>
            <w:r w:rsidRPr="00A26C26">
              <w:rPr>
                <w:rFonts w:eastAsia="Calibri" w:cstheme="minorHAnsi"/>
              </w:rPr>
              <w:t>zapewnią</w:t>
            </w:r>
            <w:r w:rsidR="003B50ED">
              <w:rPr>
                <w:rFonts w:eastAsia="Calibri" w:cstheme="minorHAnsi"/>
              </w:rPr>
              <w:t xml:space="preserve"> </w:t>
            </w:r>
            <w:r w:rsidRPr="00A26C26">
              <w:rPr>
                <w:rFonts w:eastAsia="Calibri" w:cstheme="minorHAnsi"/>
              </w:rPr>
              <w:t>skuteczne</w:t>
            </w:r>
            <w:r w:rsidR="003B50ED">
              <w:rPr>
                <w:rFonts w:eastAsia="Calibri" w:cstheme="minorHAnsi"/>
              </w:rPr>
              <w:t xml:space="preserve"> </w:t>
            </w:r>
            <w:r w:rsidRPr="00A26C26">
              <w:rPr>
                <w:rFonts w:eastAsia="Calibri" w:cstheme="minorHAnsi"/>
              </w:rPr>
              <w:t>zaangażowanie</w:t>
            </w:r>
            <w:r w:rsidR="003B50ED">
              <w:rPr>
                <w:rFonts w:eastAsia="Calibri" w:cstheme="minorHAnsi"/>
              </w:rPr>
              <w:t xml:space="preserve"> </w:t>
            </w:r>
            <w:r w:rsidRPr="00A26C26">
              <w:rPr>
                <w:rFonts w:eastAsia="Calibri" w:cstheme="minorHAnsi"/>
              </w:rPr>
              <w:t>lokalnej</w:t>
            </w:r>
            <w:r w:rsidR="003B50ED">
              <w:rPr>
                <w:rFonts w:eastAsia="Calibri" w:cstheme="minorHAnsi"/>
              </w:rPr>
              <w:t xml:space="preserve"> </w:t>
            </w:r>
            <w:r w:rsidRPr="00A26C26">
              <w:rPr>
                <w:rFonts w:eastAsia="Calibri" w:cstheme="minorHAnsi"/>
              </w:rPr>
              <w:t>społeczności;</w:t>
            </w:r>
            <w:r w:rsidR="003B50ED">
              <w:rPr>
                <w:rFonts w:eastAsia="Calibri" w:cstheme="minorHAnsi"/>
              </w:rPr>
              <w:t xml:space="preserve"> </w:t>
            </w:r>
            <w:r w:rsidRPr="00A26C26">
              <w:rPr>
                <w:rFonts w:eastAsia="Calibri" w:cstheme="minorHAnsi"/>
              </w:rPr>
              <w:t>przedstawienie</w:t>
            </w:r>
            <w:r w:rsidR="003B50ED">
              <w:rPr>
                <w:rFonts w:eastAsia="Calibri" w:cstheme="minorHAnsi"/>
              </w:rPr>
              <w:t xml:space="preserve"> </w:t>
            </w:r>
            <w:r w:rsidRPr="00A26C26">
              <w:rPr>
                <w:rFonts w:eastAsia="Calibri" w:cstheme="minorHAnsi"/>
              </w:rPr>
              <w:t>głównych</w:t>
            </w:r>
            <w:r w:rsidR="003B50ED">
              <w:rPr>
                <w:rFonts w:eastAsia="Calibri" w:cstheme="minorHAnsi"/>
              </w:rPr>
              <w:t xml:space="preserve"> </w:t>
            </w:r>
            <w:r w:rsidRPr="00A26C26">
              <w:rPr>
                <w:rFonts w:eastAsia="Calibri" w:cstheme="minorHAnsi"/>
              </w:rPr>
              <w:t>celów</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motywacji</w:t>
            </w:r>
            <w:r w:rsidR="003B50ED">
              <w:rPr>
                <w:rFonts w:eastAsia="Calibri" w:cstheme="minorHAnsi"/>
              </w:rPr>
              <w:t xml:space="preserve"> </w:t>
            </w:r>
            <w:r w:rsidRPr="00A26C26">
              <w:rPr>
                <w:rFonts w:eastAsia="Calibri" w:cstheme="minorHAnsi"/>
              </w:rPr>
              <w:t>jakie</w:t>
            </w:r>
            <w:r w:rsidR="003B50ED">
              <w:rPr>
                <w:rFonts w:eastAsia="Calibri" w:cstheme="minorHAnsi"/>
              </w:rPr>
              <w:t xml:space="preserve"> </w:t>
            </w:r>
            <w:r w:rsidRPr="00A26C26">
              <w:rPr>
                <w:rFonts w:eastAsia="Calibri" w:cstheme="minorHAnsi"/>
              </w:rPr>
              <w:t>legły</w:t>
            </w:r>
            <w:r w:rsidR="003B50ED">
              <w:rPr>
                <w:rFonts w:eastAsia="Calibri" w:cstheme="minorHAnsi"/>
              </w:rPr>
              <w:t xml:space="preserve"> </w:t>
            </w:r>
            <w:r w:rsidRPr="00A26C26">
              <w:rPr>
                <w:rFonts w:eastAsia="Calibri" w:cstheme="minorHAnsi"/>
              </w:rPr>
              <w:t>u</w:t>
            </w:r>
            <w:r w:rsidR="003B50ED">
              <w:rPr>
                <w:rFonts w:eastAsia="Calibri" w:cstheme="minorHAnsi"/>
              </w:rPr>
              <w:t xml:space="preserve"> </w:t>
            </w:r>
            <w:r w:rsidRPr="00A26C26">
              <w:rPr>
                <w:rFonts w:eastAsia="Calibri" w:cstheme="minorHAnsi"/>
              </w:rPr>
              <w:t>podstaw</w:t>
            </w:r>
            <w:r w:rsidR="003B50ED">
              <w:rPr>
                <w:rFonts w:eastAsia="Calibri" w:cstheme="minorHAnsi"/>
              </w:rPr>
              <w:t xml:space="preserve"> </w:t>
            </w:r>
            <w:r w:rsidRPr="00A26C26">
              <w:rPr>
                <w:rFonts w:eastAsia="Calibri" w:cstheme="minorHAnsi"/>
              </w:rPr>
              <w:t>jego</w:t>
            </w:r>
            <w:r w:rsidR="003B50ED">
              <w:rPr>
                <w:rFonts w:eastAsia="Calibri" w:cstheme="minorHAnsi"/>
              </w:rPr>
              <w:t xml:space="preserve"> </w:t>
            </w:r>
            <w:r w:rsidRPr="00A26C26">
              <w:rPr>
                <w:rFonts w:eastAsia="Calibri" w:cstheme="minorHAnsi"/>
              </w:rPr>
              <w:t>opracowania;</w:t>
            </w:r>
            <w:r w:rsidR="003B50ED">
              <w:rPr>
                <w:rFonts w:eastAsia="Calibri" w:cstheme="minorHAnsi"/>
              </w:rPr>
              <w:t xml:space="preserve"> </w:t>
            </w:r>
            <w:r w:rsidRPr="00A26C26">
              <w:rPr>
                <w:rFonts w:eastAsia="Calibri" w:cstheme="minorHAnsi"/>
              </w:rPr>
              <w:t>identyfikację</w:t>
            </w:r>
            <w:r w:rsidR="003B50ED">
              <w:rPr>
                <w:rFonts w:eastAsia="Calibri" w:cstheme="minorHAnsi"/>
              </w:rPr>
              <w:t xml:space="preserve"> </w:t>
            </w:r>
            <w:r w:rsidRPr="00A26C26">
              <w:rPr>
                <w:rFonts w:eastAsia="Calibri" w:cstheme="minorHAnsi"/>
              </w:rPr>
              <w:t>grup</w:t>
            </w:r>
            <w:r w:rsidR="003B50ED">
              <w:rPr>
                <w:rFonts w:eastAsia="Calibri" w:cstheme="minorHAnsi"/>
              </w:rPr>
              <w:t xml:space="preserve"> </w:t>
            </w:r>
            <w:r w:rsidRPr="00A26C26">
              <w:rPr>
                <w:rFonts w:eastAsia="Calibri" w:cstheme="minorHAnsi"/>
              </w:rPr>
              <w:t>docelowych,</w:t>
            </w:r>
            <w:r w:rsidR="003B50ED">
              <w:rPr>
                <w:rFonts w:eastAsia="Calibri" w:cstheme="minorHAnsi"/>
              </w:rPr>
              <w:t xml:space="preserve"> </w:t>
            </w:r>
            <w:r w:rsidRPr="00A26C26">
              <w:rPr>
                <w:rFonts w:eastAsia="Calibri" w:cstheme="minorHAnsi"/>
              </w:rPr>
              <w:t>planowane</w:t>
            </w:r>
            <w:r w:rsidR="003B50ED">
              <w:rPr>
                <w:rFonts w:eastAsia="Calibri" w:cstheme="minorHAnsi"/>
              </w:rPr>
              <w:t xml:space="preserve"> </w:t>
            </w:r>
            <w:r w:rsidRPr="00A26C26">
              <w:rPr>
                <w:rFonts w:eastAsia="Calibri" w:cstheme="minorHAnsi"/>
              </w:rPr>
              <w:t>środki</w:t>
            </w:r>
            <w:r w:rsidR="003B50ED">
              <w:rPr>
                <w:rFonts w:eastAsia="Calibri" w:cstheme="minorHAnsi"/>
              </w:rPr>
              <w:t xml:space="preserve"> </w:t>
            </w:r>
            <w:r w:rsidRPr="00A26C26">
              <w:rPr>
                <w:rFonts w:eastAsia="Calibri" w:cstheme="minorHAnsi"/>
              </w:rPr>
              <w:t>przekazu;</w:t>
            </w:r>
            <w:r w:rsidR="003B50ED">
              <w:rPr>
                <w:rFonts w:eastAsia="Calibri" w:cstheme="minorHAnsi"/>
              </w:rPr>
              <w:t xml:space="preserve"> </w:t>
            </w:r>
            <w:r w:rsidRPr="00A26C26">
              <w:rPr>
                <w:rFonts w:eastAsia="Calibri" w:cstheme="minorHAnsi"/>
              </w:rPr>
              <w:t>konkretne</w:t>
            </w:r>
            <w:r w:rsidR="003B50ED">
              <w:rPr>
                <w:rFonts w:eastAsia="Calibri" w:cstheme="minorHAnsi"/>
              </w:rPr>
              <w:t xml:space="preserve"> </w:t>
            </w:r>
            <w:r w:rsidRPr="00A26C26">
              <w:rPr>
                <w:rFonts w:eastAsia="Calibri" w:cstheme="minorHAnsi"/>
              </w:rPr>
              <w:t>działania</w:t>
            </w:r>
            <w:r w:rsidR="003B50ED">
              <w:rPr>
                <w:rFonts w:eastAsia="Calibri" w:cstheme="minorHAnsi"/>
              </w:rPr>
              <w:t xml:space="preserve"> </w:t>
            </w:r>
            <w:r w:rsidRPr="00A26C26">
              <w:rPr>
                <w:rFonts w:eastAsia="Calibri" w:cstheme="minorHAnsi"/>
              </w:rPr>
              <w:t>komunikacyjne;</w:t>
            </w:r>
            <w:r w:rsidR="003B50ED">
              <w:rPr>
                <w:rFonts w:eastAsia="Calibri" w:cstheme="minorHAnsi"/>
              </w:rPr>
              <w:t xml:space="preserve"> </w:t>
            </w:r>
            <w:r w:rsidRPr="00A26C26">
              <w:rPr>
                <w:rFonts w:eastAsia="Calibri" w:cstheme="minorHAnsi"/>
              </w:rPr>
              <w:t>przykłady</w:t>
            </w:r>
            <w:r w:rsidR="003B50ED">
              <w:rPr>
                <w:rFonts w:eastAsia="Calibri" w:cstheme="minorHAnsi"/>
              </w:rPr>
              <w:t xml:space="preserve"> </w:t>
            </w:r>
            <w:r w:rsidRPr="00A26C26">
              <w:rPr>
                <w:rFonts w:eastAsia="Calibri" w:cstheme="minorHAnsi"/>
              </w:rPr>
              <w:t>działań</w:t>
            </w:r>
            <w:r w:rsidR="003B50ED">
              <w:rPr>
                <w:rFonts w:eastAsia="Calibri" w:cstheme="minorHAnsi"/>
              </w:rPr>
              <w:t xml:space="preserve"> </w:t>
            </w:r>
            <w:r w:rsidRPr="00A26C26">
              <w:rPr>
                <w:rFonts w:eastAsia="Calibri" w:cstheme="minorHAnsi"/>
              </w:rPr>
              <w:t>jakie</w:t>
            </w:r>
            <w:r w:rsidR="003B50ED">
              <w:rPr>
                <w:rFonts w:eastAsia="Calibri" w:cstheme="minorHAnsi"/>
              </w:rPr>
              <w:t xml:space="preserve"> </w:t>
            </w:r>
            <w:r w:rsidRPr="00A26C26">
              <w:rPr>
                <w:rFonts w:eastAsia="Calibri" w:cstheme="minorHAnsi"/>
              </w:rPr>
              <w:t>zostaną</w:t>
            </w:r>
            <w:r w:rsidR="003B50ED">
              <w:rPr>
                <w:rFonts w:eastAsia="Calibri" w:cstheme="minorHAnsi"/>
              </w:rPr>
              <w:t xml:space="preserve"> </w:t>
            </w:r>
            <w:r w:rsidRPr="00A26C26">
              <w:rPr>
                <w:rFonts w:eastAsia="Calibri" w:cstheme="minorHAnsi"/>
              </w:rPr>
              <w:t>podjęte</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przypadku</w:t>
            </w:r>
            <w:r w:rsidR="003B50ED">
              <w:rPr>
                <w:rFonts w:eastAsia="Calibri" w:cstheme="minorHAnsi"/>
              </w:rPr>
              <w:t xml:space="preserve"> </w:t>
            </w:r>
            <w:r w:rsidRPr="00A26C26">
              <w:rPr>
                <w:rFonts w:eastAsia="Calibri" w:cstheme="minorHAnsi"/>
              </w:rPr>
              <w:t>problemów</w:t>
            </w:r>
            <w:r w:rsidR="003B50ED">
              <w:rPr>
                <w:rFonts w:eastAsia="Calibri" w:cstheme="minorHAnsi"/>
              </w:rPr>
              <w:t xml:space="preserve"> </w:t>
            </w:r>
            <w:r w:rsidR="00581749">
              <w:rPr>
                <w:rFonts w:eastAsia="Calibri" w:cstheme="minorHAnsi"/>
              </w:rPr>
              <w:t xml:space="preserve">   </w:t>
            </w:r>
            <w:r w:rsidRPr="00A26C26">
              <w:rPr>
                <w:rFonts w:eastAsia="Calibri" w:cstheme="minorHAnsi"/>
              </w:rPr>
              <w:t>z</w:t>
            </w:r>
            <w:r w:rsidR="003B50ED">
              <w:rPr>
                <w:rFonts w:eastAsia="Calibri" w:cstheme="minorHAnsi"/>
              </w:rPr>
              <w:t xml:space="preserve"> </w:t>
            </w:r>
            <w:r w:rsidRPr="00A26C26">
              <w:rPr>
                <w:rFonts w:eastAsia="Calibri" w:cstheme="minorHAnsi"/>
              </w:rPr>
              <w:t>realizacją</w:t>
            </w:r>
            <w:r w:rsidR="003B50ED">
              <w:rPr>
                <w:rFonts w:eastAsia="Calibri" w:cstheme="minorHAnsi"/>
              </w:rPr>
              <w:t xml:space="preserve"> </w:t>
            </w:r>
            <w:r w:rsidRPr="00A26C26">
              <w:rPr>
                <w:rFonts w:eastAsia="Calibri" w:cstheme="minorHAnsi"/>
              </w:rPr>
              <w:t>LSR</w:t>
            </w:r>
            <w:r w:rsidR="003B50ED">
              <w:rPr>
                <w:rFonts w:eastAsia="Calibri" w:cstheme="minorHAnsi"/>
              </w:rPr>
              <w:t xml:space="preserve"> </w:t>
            </w:r>
            <w:r w:rsidRPr="00A26C26">
              <w:rPr>
                <w:rFonts w:eastAsia="Calibri" w:cstheme="minorHAnsi"/>
              </w:rPr>
              <w:t>lub</w:t>
            </w:r>
            <w:r w:rsidR="003B50ED">
              <w:rPr>
                <w:rFonts w:eastAsia="Calibri" w:cstheme="minorHAnsi"/>
              </w:rPr>
              <w:t xml:space="preserve"> </w:t>
            </w:r>
            <w:r w:rsidRPr="00A26C26">
              <w:rPr>
                <w:rFonts w:eastAsia="Calibri" w:cstheme="minorHAnsi"/>
              </w:rPr>
              <w:t>braku</w:t>
            </w:r>
            <w:r w:rsidR="003B50ED">
              <w:rPr>
                <w:rFonts w:eastAsia="Calibri" w:cstheme="minorHAnsi"/>
              </w:rPr>
              <w:t xml:space="preserve"> </w:t>
            </w:r>
            <w:r w:rsidRPr="00A26C26">
              <w:rPr>
                <w:rFonts w:eastAsia="Calibri" w:cstheme="minorHAnsi"/>
              </w:rPr>
              <w:t>wsparcia</w:t>
            </w:r>
            <w:r w:rsidR="003B50ED">
              <w:rPr>
                <w:rFonts w:eastAsia="Calibri" w:cstheme="minorHAnsi"/>
              </w:rPr>
              <w:t xml:space="preserve"> </w:t>
            </w:r>
            <w:r w:rsidRPr="00A26C26">
              <w:rPr>
                <w:rFonts w:eastAsia="Calibri" w:cstheme="minorHAnsi"/>
              </w:rPr>
              <w:t>społecznego</w:t>
            </w:r>
            <w:r w:rsidR="003B50ED">
              <w:rPr>
                <w:rFonts w:eastAsia="Calibri" w:cstheme="minorHAnsi"/>
              </w:rPr>
              <w:t xml:space="preserve"> </w:t>
            </w:r>
            <w:r w:rsidRPr="00A26C26">
              <w:rPr>
                <w:rFonts w:eastAsia="Calibri" w:cstheme="minorHAnsi"/>
              </w:rPr>
              <w:t>dla</w:t>
            </w:r>
            <w:r w:rsidR="003B50ED">
              <w:rPr>
                <w:rFonts w:eastAsia="Calibri" w:cstheme="minorHAnsi"/>
              </w:rPr>
              <w:t xml:space="preserve"> </w:t>
            </w:r>
            <w:r w:rsidRPr="00A26C26">
              <w:rPr>
                <w:rFonts w:eastAsia="Calibri" w:cstheme="minorHAnsi"/>
              </w:rPr>
              <w:t>działań</w:t>
            </w:r>
            <w:r w:rsidR="003B50ED">
              <w:rPr>
                <w:rFonts w:eastAsia="Calibri" w:cstheme="minorHAnsi"/>
              </w:rPr>
              <w:t xml:space="preserve"> </w:t>
            </w:r>
            <w:r w:rsidRPr="00A26C26">
              <w:rPr>
                <w:rFonts w:eastAsia="Calibri" w:cstheme="minorHAnsi"/>
              </w:rPr>
              <w:t>LGD;</w:t>
            </w:r>
            <w:r w:rsidR="003B50ED">
              <w:rPr>
                <w:rFonts w:eastAsia="Calibri" w:cstheme="minorHAnsi"/>
              </w:rPr>
              <w:t xml:space="preserve"> </w:t>
            </w:r>
            <w:r w:rsidRPr="00A26C26">
              <w:rPr>
                <w:rFonts w:eastAsia="Calibri" w:cstheme="minorHAnsi"/>
              </w:rPr>
              <w:t>wskaźniki</w:t>
            </w:r>
            <w:r w:rsidR="003B50ED">
              <w:rPr>
                <w:rFonts w:eastAsia="Calibri" w:cstheme="minorHAnsi"/>
              </w:rPr>
              <w:t xml:space="preserve"> </w:t>
            </w:r>
            <w:r w:rsidRPr="00A26C26">
              <w:rPr>
                <w:rFonts w:eastAsia="Calibri" w:cstheme="minorHAnsi"/>
              </w:rPr>
              <w:t>rezultatów</w:t>
            </w:r>
            <w:r w:rsidR="003B50ED">
              <w:rPr>
                <w:rFonts w:eastAsia="Calibri" w:cstheme="minorHAnsi"/>
              </w:rPr>
              <w:t xml:space="preserve"> </w:t>
            </w:r>
            <w:r w:rsidR="00581749">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oczekiwane</w:t>
            </w:r>
            <w:r w:rsidR="003B50ED">
              <w:rPr>
                <w:rFonts w:eastAsia="Calibri" w:cstheme="minorHAnsi"/>
              </w:rPr>
              <w:t xml:space="preserve"> </w:t>
            </w:r>
            <w:r w:rsidRPr="00A26C26">
              <w:rPr>
                <w:rFonts w:eastAsia="Calibri" w:cstheme="minorHAnsi"/>
              </w:rPr>
              <w:t>efekty</w:t>
            </w:r>
            <w:r w:rsidR="003B50ED">
              <w:rPr>
                <w:rFonts w:eastAsia="Calibri" w:cstheme="minorHAnsi"/>
              </w:rPr>
              <w:t xml:space="preserve"> </w:t>
            </w:r>
            <w:r w:rsidRPr="00A26C26">
              <w:rPr>
                <w:rFonts w:eastAsia="Calibri" w:cstheme="minorHAnsi"/>
              </w:rPr>
              <w:t>działań</w:t>
            </w:r>
            <w:r w:rsidR="003B50ED">
              <w:rPr>
                <w:rFonts w:eastAsia="Calibri" w:cstheme="minorHAnsi"/>
              </w:rPr>
              <w:t xml:space="preserve"> </w:t>
            </w:r>
            <w:r w:rsidRPr="00A26C26">
              <w:rPr>
                <w:rFonts w:eastAsia="Calibri" w:cstheme="minorHAnsi"/>
              </w:rPr>
              <w:t>komunikacyjnych;</w:t>
            </w:r>
            <w:r w:rsidR="003B50ED">
              <w:rPr>
                <w:rFonts w:eastAsia="Calibri" w:cstheme="minorHAnsi"/>
              </w:rPr>
              <w:t xml:space="preserve"> </w:t>
            </w:r>
            <w:r w:rsidRPr="00A26C26">
              <w:rPr>
                <w:rFonts w:eastAsia="Calibri" w:cstheme="minorHAnsi"/>
              </w:rPr>
              <w:t>sposób</w:t>
            </w:r>
            <w:r w:rsidR="003B50ED">
              <w:rPr>
                <w:rFonts w:eastAsia="Calibri" w:cstheme="minorHAnsi"/>
              </w:rPr>
              <w:t xml:space="preserve"> </w:t>
            </w:r>
            <w:r w:rsidRPr="00A26C26">
              <w:rPr>
                <w:rFonts w:eastAsia="Calibri" w:cstheme="minorHAnsi"/>
              </w:rPr>
              <w:t>oceny</w:t>
            </w:r>
            <w:r w:rsidR="003B50ED">
              <w:rPr>
                <w:rFonts w:eastAsia="Calibri" w:cstheme="minorHAnsi"/>
              </w:rPr>
              <w:t xml:space="preserve"> </w:t>
            </w:r>
            <w:r w:rsidRPr="00A26C26">
              <w:rPr>
                <w:rFonts w:eastAsia="Calibri" w:cstheme="minorHAnsi"/>
              </w:rPr>
              <w:t>skuteczności</w:t>
            </w:r>
            <w:r w:rsidR="003B50ED">
              <w:rPr>
                <w:rFonts w:eastAsia="Calibri" w:cstheme="minorHAnsi"/>
              </w:rPr>
              <w:t xml:space="preserve"> </w:t>
            </w:r>
            <w:r w:rsidRPr="00A26C26">
              <w:rPr>
                <w:rFonts w:eastAsia="Calibri" w:cstheme="minorHAnsi"/>
              </w:rPr>
              <w:t>działań</w:t>
            </w:r>
            <w:r w:rsidR="003B50ED">
              <w:rPr>
                <w:rFonts w:eastAsia="Calibri" w:cstheme="minorHAnsi"/>
              </w:rPr>
              <w:t xml:space="preserve"> </w:t>
            </w:r>
            <w:r w:rsidRPr="00A26C26">
              <w:rPr>
                <w:rFonts w:eastAsia="Calibri" w:cstheme="minorHAnsi"/>
              </w:rPr>
              <w:t>komunikacyjnych;</w:t>
            </w:r>
            <w:r w:rsidR="003B50ED">
              <w:rPr>
                <w:rFonts w:eastAsia="Calibri" w:cstheme="minorHAnsi"/>
              </w:rPr>
              <w:t xml:space="preserve"> </w:t>
            </w:r>
            <w:r w:rsidRPr="00A26C26">
              <w:rPr>
                <w:rFonts w:eastAsia="Calibri" w:cstheme="minorHAnsi"/>
              </w:rPr>
              <w:t>zasady</w:t>
            </w:r>
            <w:r w:rsidR="003B50ED">
              <w:rPr>
                <w:rFonts w:eastAsia="Calibri" w:cstheme="minorHAnsi"/>
              </w:rPr>
              <w:t xml:space="preserve"> </w:t>
            </w:r>
            <w:r w:rsidRPr="00A26C26">
              <w:rPr>
                <w:rFonts w:eastAsia="Calibri" w:cstheme="minorHAnsi"/>
              </w:rPr>
              <w:t>ewentualnej</w:t>
            </w:r>
            <w:r w:rsidR="003B50ED">
              <w:rPr>
                <w:rFonts w:eastAsia="Calibri" w:cstheme="minorHAnsi"/>
              </w:rPr>
              <w:t xml:space="preserve"> </w:t>
            </w:r>
            <w:r w:rsidRPr="00A26C26">
              <w:rPr>
                <w:rFonts w:eastAsia="Calibri" w:cstheme="minorHAnsi"/>
              </w:rPr>
              <w:t>aktualizacji</w:t>
            </w:r>
            <w:r w:rsidR="003B50ED">
              <w:rPr>
                <w:rFonts w:eastAsia="Calibri" w:cstheme="minorHAnsi"/>
              </w:rPr>
              <w:t xml:space="preserve"> </w:t>
            </w:r>
            <w:r w:rsidRPr="00A26C26">
              <w:rPr>
                <w:rFonts w:eastAsia="Calibri" w:cstheme="minorHAnsi"/>
              </w:rPr>
              <w:t>Planu</w:t>
            </w:r>
            <w:r w:rsidR="003B50ED">
              <w:rPr>
                <w:rFonts w:eastAsia="Calibri" w:cstheme="minorHAnsi"/>
              </w:rPr>
              <w:t xml:space="preserve"> </w:t>
            </w:r>
            <w:r w:rsidRPr="00A26C26">
              <w:rPr>
                <w:rFonts w:eastAsia="Calibri" w:cstheme="minorHAnsi"/>
              </w:rPr>
              <w:t>komunikacji;</w:t>
            </w:r>
            <w:r w:rsidR="003B50ED">
              <w:rPr>
                <w:rFonts w:eastAsia="Calibri" w:cstheme="minorHAnsi"/>
              </w:rPr>
              <w:t xml:space="preserve"> </w:t>
            </w:r>
            <w:r w:rsidRPr="00A26C26">
              <w:rPr>
                <w:rFonts w:eastAsia="Calibri" w:cstheme="minorHAnsi"/>
              </w:rPr>
              <w:t>obowiązki</w:t>
            </w:r>
            <w:r w:rsidR="003B50ED">
              <w:rPr>
                <w:rFonts w:eastAsia="Calibri" w:cstheme="minorHAnsi"/>
              </w:rPr>
              <w:t xml:space="preserve"> </w:t>
            </w:r>
            <w:r w:rsidRPr="00A26C26">
              <w:rPr>
                <w:rFonts w:eastAsia="Calibri" w:cstheme="minorHAnsi"/>
              </w:rPr>
              <w:t>komunikacyjne</w:t>
            </w:r>
            <w:r w:rsidR="003B50ED">
              <w:rPr>
                <w:rFonts w:eastAsia="Calibri" w:cstheme="minorHAnsi"/>
              </w:rPr>
              <w:t xml:space="preserve"> </w:t>
            </w:r>
            <w:r w:rsidRPr="00A26C26">
              <w:rPr>
                <w:rFonts w:eastAsia="Calibri" w:cstheme="minorHAnsi"/>
              </w:rPr>
              <w:t>beneficjentów,</w:t>
            </w:r>
            <w:r w:rsidR="003B50ED">
              <w:rPr>
                <w:rFonts w:eastAsia="Calibri" w:cstheme="minorHAnsi"/>
              </w:rPr>
              <w:t xml:space="preserve"> </w:t>
            </w:r>
            <w:r w:rsidRPr="00A26C26">
              <w:rPr>
                <w:rFonts w:eastAsia="Calibri" w:cstheme="minorHAnsi"/>
              </w:rPr>
              <w:t>wynikające</w:t>
            </w:r>
            <w:r w:rsidR="003B50ED">
              <w:rPr>
                <w:rFonts w:eastAsia="Calibri" w:cstheme="minorHAnsi"/>
              </w:rPr>
              <w:t xml:space="preserve"> </w:t>
            </w:r>
            <w:r w:rsidRPr="00A26C26">
              <w:rPr>
                <w:rFonts w:eastAsia="Calibri" w:cstheme="minorHAnsi"/>
              </w:rPr>
              <w:t>z</w:t>
            </w:r>
            <w:r w:rsidR="003B50ED">
              <w:rPr>
                <w:rFonts w:eastAsia="Calibri" w:cstheme="minorHAnsi"/>
              </w:rPr>
              <w:t xml:space="preserve"> </w:t>
            </w:r>
            <w:r w:rsidRPr="00A26C26">
              <w:rPr>
                <w:rFonts w:eastAsia="Calibri" w:cstheme="minorHAnsi"/>
              </w:rPr>
              <w:t>odpowiednich</w:t>
            </w:r>
            <w:r w:rsidR="003B50ED">
              <w:rPr>
                <w:rFonts w:eastAsia="Calibri" w:cstheme="minorHAnsi"/>
              </w:rPr>
              <w:t xml:space="preserve"> </w:t>
            </w:r>
            <w:r w:rsidRPr="00A26C26">
              <w:rPr>
                <w:rFonts w:eastAsia="Calibri" w:cstheme="minorHAnsi"/>
              </w:rPr>
              <w:t>przepisów,</w:t>
            </w:r>
            <w:r w:rsidR="003B50ED">
              <w:rPr>
                <w:rFonts w:eastAsia="Calibri" w:cstheme="minorHAnsi"/>
              </w:rPr>
              <w:t xml:space="preserve"> </w:t>
            </w:r>
            <w:r w:rsidRPr="00A26C26">
              <w:rPr>
                <w:rFonts w:eastAsia="Calibri" w:cstheme="minorHAnsi"/>
              </w:rPr>
              <w:t>oraz</w:t>
            </w:r>
            <w:r w:rsidR="003B50ED">
              <w:rPr>
                <w:rFonts w:eastAsia="Calibri" w:cstheme="minorHAnsi"/>
              </w:rPr>
              <w:t xml:space="preserve"> </w:t>
            </w:r>
            <w:r w:rsidRPr="00A26C26">
              <w:rPr>
                <w:rFonts w:eastAsia="Calibri" w:cstheme="minorHAnsi"/>
              </w:rPr>
              <w:t>wymogi</w:t>
            </w:r>
            <w:r w:rsidR="003B50ED">
              <w:rPr>
                <w:rFonts w:eastAsia="Calibri" w:cstheme="minorHAnsi"/>
              </w:rPr>
              <w:t xml:space="preserve"> </w:t>
            </w:r>
            <w:r w:rsidRPr="00A26C26">
              <w:rPr>
                <w:rFonts w:eastAsia="Calibri" w:cstheme="minorHAnsi"/>
              </w:rPr>
              <w:t>dotyczące</w:t>
            </w:r>
            <w:r w:rsidR="003B50ED">
              <w:rPr>
                <w:rFonts w:eastAsia="Calibri" w:cstheme="minorHAnsi"/>
              </w:rPr>
              <w:t xml:space="preserve"> </w:t>
            </w:r>
            <w:r w:rsidRPr="00A26C26">
              <w:rPr>
                <w:rFonts w:eastAsia="Calibri" w:cstheme="minorHAnsi"/>
              </w:rPr>
              <w:t>wizualizacji</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zakresie</w:t>
            </w:r>
            <w:r w:rsidR="003B50ED">
              <w:rPr>
                <w:rFonts w:eastAsia="Calibri" w:cstheme="minorHAnsi"/>
              </w:rPr>
              <w:t xml:space="preserve"> </w:t>
            </w:r>
            <w:r w:rsidRPr="00A26C26">
              <w:rPr>
                <w:rFonts w:eastAsia="Calibri" w:cstheme="minorHAnsi"/>
              </w:rPr>
              <w:t>PS</w:t>
            </w:r>
            <w:r w:rsidR="003B50ED">
              <w:rPr>
                <w:rFonts w:eastAsia="Calibri" w:cstheme="minorHAnsi"/>
              </w:rPr>
              <w:t xml:space="preserve"> </w:t>
            </w:r>
            <w:r w:rsidRPr="00A26C26">
              <w:rPr>
                <w:rFonts w:eastAsia="Calibri" w:cstheme="minorHAnsi"/>
              </w:rPr>
              <w:t>dla</w:t>
            </w:r>
            <w:r w:rsidR="003B50ED">
              <w:rPr>
                <w:rFonts w:eastAsia="Calibri" w:cstheme="minorHAnsi"/>
              </w:rPr>
              <w:t xml:space="preserve"> </w:t>
            </w:r>
            <w:r w:rsidRPr="00A26C26">
              <w:rPr>
                <w:rFonts w:eastAsia="Calibri" w:cstheme="minorHAnsi"/>
              </w:rPr>
              <w:t>WPR</w:t>
            </w:r>
            <w:r w:rsidR="003B50ED">
              <w:rPr>
                <w:rFonts w:eastAsia="Calibri" w:cstheme="minorHAnsi"/>
              </w:rPr>
              <w:t xml:space="preserve"> </w:t>
            </w:r>
            <w:r w:rsidRPr="00A26C26">
              <w:rPr>
                <w:rFonts w:eastAsia="Calibri" w:cstheme="minorHAnsi"/>
              </w:rPr>
              <w:t>na</w:t>
            </w:r>
            <w:r w:rsidR="003B50ED">
              <w:rPr>
                <w:rFonts w:eastAsia="Calibri" w:cstheme="minorHAnsi"/>
              </w:rPr>
              <w:t xml:space="preserve"> </w:t>
            </w:r>
            <w:r w:rsidRPr="00A26C26">
              <w:rPr>
                <w:rFonts w:eastAsia="Calibri" w:cstheme="minorHAnsi"/>
              </w:rPr>
              <w:t>lata</w:t>
            </w:r>
            <w:r w:rsidR="003B50ED">
              <w:rPr>
                <w:rFonts w:eastAsia="Calibri" w:cstheme="minorHAnsi"/>
              </w:rPr>
              <w:t xml:space="preserve"> </w:t>
            </w:r>
            <w:r w:rsidRPr="00A26C26">
              <w:rPr>
                <w:rFonts w:eastAsia="Calibri" w:cstheme="minorHAnsi"/>
              </w:rPr>
              <w:t>2023-2027;</w:t>
            </w:r>
            <w:r w:rsidR="003B50ED">
              <w:rPr>
                <w:rFonts w:eastAsia="Calibri" w:cstheme="minorHAnsi"/>
              </w:rPr>
              <w:t xml:space="preserve"> </w:t>
            </w:r>
            <w:r w:rsidRPr="00A26C26">
              <w:rPr>
                <w:rFonts w:eastAsia="Calibri" w:cstheme="minorHAnsi"/>
              </w:rPr>
              <w:t>planowany</w:t>
            </w:r>
            <w:r w:rsidR="003B50ED">
              <w:rPr>
                <w:rFonts w:eastAsia="Calibri" w:cstheme="minorHAnsi"/>
              </w:rPr>
              <w:t xml:space="preserve"> </w:t>
            </w:r>
            <w:r w:rsidRPr="00A26C26">
              <w:rPr>
                <w:rFonts w:eastAsia="Calibri" w:cstheme="minorHAnsi"/>
              </w:rPr>
              <w:t>budżet,</w:t>
            </w:r>
            <w:r w:rsidR="003B50ED">
              <w:rPr>
                <w:rFonts w:eastAsia="Calibri" w:cstheme="minorHAnsi"/>
              </w:rPr>
              <w:t xml:space="preserve"> </w:t>
            </w:r>
            <w:r w:rsidR="00581749">
              <w:rPr>
                <w:rFonts w:eastAsia="Calibri" w:cstheme="minorHAnsi"/>
              </w:rPr>
              <w:t xml:space="preserve">                               </w:t>
            </w:r>
            <w:r w:rsidRPr="00A26C26">
              <w:rPr>
                <w:rFonts w:eastAsia="Calibri" w:cstheme="minorHAnsi"/>
              </w:rPr>
              <w:t>z</w:t>
            </w:r>
            <w:r w:rsidR="003B50ED">
              <w:rPr>
                <w:rFonts w:eastAsia="Calibri" w:cstheme="minorHAnsi"/>
              </w:rPr>
              <w:t xml:space="preserve"> </w:t>
            </w:r>
            <w:r w:rsidRPr="00A26C26">
              <w:rPr>
                <w:rFonts w:eastAsia="Calibri" w:cstheme="minorHAnsi"/>
              </w:rPr>
              <w:t>uwzględnieniem</w:t>
            </w:r>
            <w:r w:rsidR="003B50ED">
              <w:rPr>
                <w:rFonts w:eastAsia="Calibri" w:cstheme="minorHAnsi"/>
              </w:rPr>
              <w:t xml:space="preserve"> </w:t>
            </w:r>
            <w:r w:rsidRPr="00A26C26">
              <w:rPr>
                <w:rFonts w:eastAsia="Calibri" w:cstheme="minorHAnsi"/>
              </w:rPr>
              <w:t>głównych</w:t>
            </w:r>
            <w:r w:rsidR="003B50ED">
              <w:rPr>
                <w:rFonts w:eastAsia="Calibri" w:cstheme="minorHAnsi"/>
              </w:rPr>
              <w:t xml:space="preserve"> </w:t>
            </w:r>
            <w:r w:rsidRPr="00A26C26">
              <w:rPr>
                <w:rFonts w:eastAsia="Calibri" w:cstheme="minorHAnsi"/>
              </w:rPr>
              <w:t>kategorii</w:t>
            </w:r>
            <w:r w:rsidR="003B50ED">
              <w:rPr>
                <w:rFonts w:eastAsia="Calibri" w:cstheme="minorHAnsi"/>
              </w:rPr>
              <w:t xml:space="preserve"> </w:t>
            </w:r>
            <w:r w:rsidRPr="00A26C26">
              <w:rPr>
                <w:rFonts w:eastAsia="Calibri" w:cstheme="minorHAnsi"/>
              </w:rPr>
              <w:t>wydatków,</w:t>
            </w:r>
            <w:r w:rsidR="003B50ED">
              <w:rPr>
                <w:rFonts w:eastAsia="Calibri" w:cstheme="minorHAnsi"/>
              </w:rPr>
              <w:t xml:space="preserve"> </w:t>
            </w:r>
            <w:r w:rsidRPr="00A26C26">
              <w:rPr>
                <w:rFonts w:eastAsia="Calibri" w:cstheme="minorHAnsi"/>
              </w:rPr>
              <w:t>przy</w:t>
            </w:r>
            <w:r w:rsidR="003B50ED">
              <w:rPr>
                <w:rFonts w:eastAsia="Calibri" w:cstheme="minorHAnsi"/>
              </w:rPr>
              <w:t xml:space="preserve"> </w:t>
            </w:r>
            <w:r w:rsidRPr="00A26C26">
              <w:rPr>
                <w:rFonts w:eastAsia="Calibri" w:cstheme="minorHAnsi"/>
              </w:rPr>
              <w:t>jednoczesnej</w:t>
            </w:r>
            <w:r w:rsidR="003B50ED">
              <w:rPr>
                <w:rFonts w:eastAsia="Calibri" w:cstheme="minorHAnsi"/>
              </w:rPr>
              <w:t xml:space="preserve"> </w:t>
            </w:r>
            <w:r w:rsidRPr="00A26C26">
              <w:rPr>
                <w:rFonts w:eastAsia="Calibri" w:cstheme="minorHAnsi"/>
              </w:rPr>
              <w:t>minimalizacji</w:t>
            </w:r>
            <w:r w:rsidR="003B50ED">
              <w:rPr>
                <w:rFonts w:eastAsia="Calibri" w:cstheme="minorHAnsi"/>
              </w:rPr>
              <w:t xml:space="preserve"> </w:t>
            </w:r>
            <w:r w:rsidRPr="00A26C26">
              <w:rPr>
                <w:rFonts w:eastAsia="Calibri" w:cstheme="minorHAnsi"/>
              </w:rPr>
              <w:t>kosztów</w:t>
            </w:r>
            <w:r w:rsidR="003B50ED">
              <w:rPr>
                <w:rFonts w:eastAsia="Calibri" w:cstheme="minorHAnsi"/>
              </w:rPr>
              <w:t xml:space="preserve"> </w:t>
            </w:r>
            <w:r w:rsidRPr="00A26C26">
              <w:rPr>
                <w:rFonts w:eastAsia="Calibri" w:cstheme="minorHAnsi"/>
              </w:rPr>
              <w:t>związanych</w:t>
            </w:r>
            <w:r w:rsidR="003B50ED">
              <w:rPr>
                <w:rFonts w:eastAsia="Calibri" w:cstheme="minorHAnsi"/>
              </w:rPr>
              <w:t xml:space="preserve"> </w:t>
            </w:r>
            <w:r w:rsidRPr="00A26C26">
              <w:rPr>
                <w:rFonts w:eastAsia="Calibri" w:cstheme="minorHAnsi"/>
              </w:rPr>
              <w:t>z</w:t>
            </w:r>
            <w:r w:rsidR="003B50ED">
              <w:rPr>
                <w:rFonts w:eastAsia="Calibri" w:cstheme="minorHAnsi"/>
              </w:rPr>
              <w:t xml:space="preserve"> </w:t>
            </w:r>
            <w:r w:rsidRPr="00A26C26">
              <w:rPr>
                <w:rFonts w:eastAsia="Calibri" w:cstheme="minorHAnsi"/>
              </w:rPr>
              <w:t>drukowanymi</w:t>
            </w:r>
            <w:r w:rsidR="003B50ED">
              <w:rPr>
                <w:rFonts w:eastAsia="Calibri" w:cstheme="minorHAnsi"/>
              </w:rPr>
              <w:t xml:space="preserve"> </w:t>
            </w:r>
            <w:r w:rsidRPr="00A26C26">
              <w:rPr>
                <w:rFonts w:eastAsia="Calibri" w:cstheme="minorHAnsi"/>
              </w:rPr>
              <w:t>materiałami</w:t>
            </w:r>
            <w:r w:rsidR="003B50ED">
              <w:rPr>
                <w:rFonts w:eastAsia="Calibri" w:cstheme="minorHAnsi"/>
              </w:rPr>
              <w:t xml:space="preserve"> </w:t>
            </w:r>
            <w:r w:rsidRPr="00A26C26">
              <w:rPr>
                <w:rFonts w:eastAsia="Calibri" w:cstheme="minorHAnsi"/>
              </w:rPr>
              <w:t>promocyjnymi</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reklamowymi.</w:t>
            </w:r>
            <w:r w:rsidR="003B50ED">
              <w:rPr>
                <w:rFonts w:eastAsia="Calibri" w:cstheme="minorHAnsi"/>
              </w:rPr>
              <w:t xml:space="preserve"> </w:t>
            </w:r>
          </w:p>
          <w:p w14:paraId="6D4948EF" w14:textId="7E570338" w:rsidR="00E2372E" w:rsidRPr="00A26C26" w:rsidRDefault="00E2372E" w:rsidP="00581749">
            <w:pPr>
              <w:spacing w:line="276" w:lineRule="auto"/>
              <w:jc w:val="both"/>
              <w:rPr>
                <w:rFonts w:eastAsia="Calibri" w:cstheme="minorHAnsi"/>
              </w:rPr>
            </w:pPr>
            <w:r w:rsidRPr="00A26C26">
              <w:rPr>
                <w:rFonts w:eastAsia="Calibri" w:cstheme="minorHAnsi"/>
              </w:rPr>
              <w:t>Plan</w:t>
            </w:r>
            <w:r w:rsidR="003B50ED">
              <w:rPr>
                <w:rFonts w:eastAsia="Calibri" w:cstheme="minorHAnsi"/>
              </w:rPr>
              <w:t xml:space="preserve"> </w:t>
            </w:r>
            <w:r w:rsidRPr="00A26C26">
              <w:rPr>
                <w:rFonts w:eastAsia="Calibri" w:cstheme="minorHAnsi"/>
              </w:rPr>
              <w:t>komunikacji</w:t>
            </w:r>
            <w:r w:rsidR="003B50ED">
              <w:rPr>
                <w:rFonts w:eastAsia="Calibri" w:cstheme="minorHAnsi"/>
              </w:rPr>
              <w:t xml:space="preserve"> </w:t>
            </w:r>
            <w:r w:rsidRPr="00A26C26">
              <w:rPr>
                <w:rFonts w:eastAsia="Calibri" w:cstheme="minorHAnsi"/>
              </w:rPr>
              <w:t>stanowi</w:t>
            </w:r>
            <w:r w:rsidR="003B50ED">
              <w:rPr>
                <w:rFonts w:eastAsia="Calibri" w:cstheme="minorHAnsi"/>
              </w:rPr>
              <w:t xml:space="preserve"> </w:t>
            </w:r>
            <w:r w:rsidRPr="00A26C26">
              <w:rPr>
                <w:rFonts w:eastAsia="Calibri" w:cstheme="minorHAnsi"/>
              </w:rPr>
              <w:t>załącznik</w:t>
            </w:r>
            <w:r w:rsidR="003B50ED">
              <w:rPr>
                <w:rFonts w:eastAsia="Calibri" w:cstheme="minorHAnsi"/>
              </w:rPr>
              <w:t xml:space="preserve"> </w:t>
            </w:r>
            <w:r w:rsidRPr="00A26C26">
              <w:rPr>
                <w:rFonts w:eastAsia="Calibri" w:cstheme="minorHAnsi"/>
              </w:rPr>
              <w:t>do</w:t>
            </w:r>
            <w:r w:rsidR="003B50ED">
              <w:rPr>
                <w:rFonts w:eastAsia="Calibri" w:cstheme="minorHAnsi"/>
              </w:rPr>
              <w:t xml:space="preserve"> </w:t>
            </w:r>
            <w:r w:rsidRPr="00A26C26">
              <w:rPr>
                <w:rFonts w:eastAsia="Calibri" w:cstheme="minorHAnsi"/>
              </w:rPr>
              <w:t>wniosku</w:t>
            </w:r>
            <w:r w:rsidR="003B50ED">
              <w:rPr>
                <w:rFonts w:eastAsia="Calibri" w:cstheme="minorHAnsi"/>
              </w:rPr>
              <w:t xml:space="preserve"> </w:t>
            </w:r>
            <w:r w:rsidRPr="00A26C26">
              <w:rPr>
                <w:rFonts w:eastAsia="Calibri" w:cstheme="minorHAnsi"/>
              </w:rPr>
              <w:t>dotyczącego</w:t>
            </w:r>
            <w:r w:rsidR="003B50ED">
              <w:rPr>
                <w:rFonts w:eastAsia="Calibri" w:cstheme="minorHAnsi"/>
              </w:rPr>
              <w:t xml:space="preserve"> </w:t>
            </w:r>
            <w:r w:rsidRPr="00A26C26">
              <w:rPr>
                <w:rFonts w:eastAsia="Calibri" w:cstheme="minorHAnsi"/>
              </w:rPr>
              <w:t>wyboru</w:t>
            </w:r>
            <w:r w:rsidR="003B50ED">
              <w:rPr>
                <w:rFonts w:eastAsia="Calibri" w:cstheme="minorHAnsi"/>
              </w:rPr>
              <w:t xml:space="preserve"> </w:t>
            </w:r>
            <w:r w:rsidRPr="00A26C26">
              <w:rPr>
                <w:rFonts w:eastAsia="Calibri" w:cstheme="minorHAnsi"/>
              </w:rPr>
              <w:t>LSR.</w:t>
            </w:r>
          </w:p>
        </w:tc>
      </w:tr>
    </w:tbl>
    <w:p w14:paraId="06FA3335" w14:textId="77777777" w:rsidR="00A7385A" w:rsidRPr="00A26C26" w:rsidRDefault="00A7385A" w:rsidP="00A7385A">
      <w:pPr>
        <w:spacing w:line="276" w:lineRule="auto"/>
        <w:jc w:val="both"/>
        <w:rPr>
          <w:rFonts w:eastAsia="Calibri" w:cstheme="minorHAnsi"/>
        </w:rPr>
      </w:pPr>
      <w:r>
        <w:rPr>
          <w:rFonts w:eastAsia="Calibri" w:cstheme="minorHAnsi"/>
        </w:rPr>
        <w:t xml:space="preserve">Źródło: Opracowanie własne </w:t>
      </w:r>
    </w:p>
    <w:p w14:paraId="45397472" w14:textId="77777777" w:rsidR="00E2372E" w:rsidRPr="00A26C26" w:rsidRDefault="00E2372E" w:rsidP="00A26C26">
      <w:pPr>
        <w:spacing w:line="276" w:lineRule="auto"/>
        <w:jc w:val="both"/>
        <w:rPr>
          <w:rFonts w:eastAsia="Calibri" w:cstheme="minorHAnsi"/>
        </w:rPr>
      </w:pPr>
    </w:p>
    <w:p w14:paraId="48350C5C" w14:textId="045B601A" w:rsidR="00E2372E" w:rsidRPr="00A26C26" w:rsidRDefault="00A7385A" w:rsidP="00A26C26">
      <w:pPr>
        <w:spacing w:line="276" w:lineRule="auto"/>
        <w:ind w:firstLine="284"/>
        <w:jc w:val="both"/>
        <w:rPr>
          <w:rFonts w:eastAsia="Calibri" w:cstheme="minorHAnsi"/>
        </w:rPr>
      </w:pPr>
      <w:r>
        <w:rPr>
          <w:rFonts w:eastAsia="Calibri" w:cstheme="minorHAnsi"/>
        </w:rPr>
        <w:t>P</w:t>
      </w:r>
      <w:r w:rsidR="00E2372E" w:rsidRPr="00A26C26">
        <w:rPr>
          <w:rFonts w:eastAsia="Calibri" w:cstheme="minorHAnsi"/>
        </w:rPr>
        <w:t>o</w:t>
      </w:r>
      <w:r w:rsidR="003B50ED">
        <w:rPr>
          <w:rFonts w:eastAsia="Calibri" w:cstheme="minorHAnsi"/>
        </w:rPr>
        <w:t xml:space="preserve"> </w:t>
      </w:r>
      <w:r w:rsidR="00E2372E" w:rsidRPr="00A26C26">
        <w:rPr>
          <w:rFonts w:eastAsia="Calibri" w:cstheme="minorHAnsi"/>
        </w:rPr>
        <w:t>zakończeniu</w:t>
      </w:r>
      <w:r w:rsidR="003B50ED">
        <w:rPr>
          <w:rFonts w:eastAsia="Calibri" w:cstheme="minorHAnsi"/>
        </w:rPr>
        <w:t xml:space="preserve"> </w:t>
      </w:r>
      <w:r w:rsidR="00E2372E" w:rsidRPr="00A26C26">
        <w:rPr>
          <w:rFonts w:eastAsia="Calibri" w:cstheme="minorHAnsi"/>
        </w:rPr>
        <w:t>zaplanowanego</w:t>
      </w:r>
      <w:r w:rsidR="003B50ED">
        <w:rPr>
          <w:rFonts w:eastAsia="Calibri" w:cstheme="minorHAnsi"/>
        </w:rPr>
        <w:t xml:space="preserve"> </w:t>
      </w:r>
      <w:r w:rsidR="00E2372E" w:rsidRPr="00A26C26">
        <w:rPr>
          <w:rFonts w:eastAsia="Calibri" w:cstheme="minorHAnsi"/>
        </w:rPr>
        <w:t>cyklu</w:t>
      </w:r>
      <w:r w:rsidR="003B50ED">
        <w:rPr>
          <w:rFonts w:eastAsia="Calibri" w:cstheme="minorHAnsi"/>
        </w:rPr>
        <w:t xml:space="preserve"> </w:t>
      </w:r>
      <w:r w:rsidR="00E2372E" w:rsidRPr="00A26C26">
        <w:rPr>
          <w:rFonts w:eastAsia="Calibri" w:cstheme="minorHAnsi"/>
        </w:rPr>
        <w:t>spotkań</w:t>
      </w:r>
      <w:r w:rsidR="003B50ED">
        <w:rPr>
          <w:rFonts w:eastAsia="Calibri" w:cstheme="minorHAnsi"/>
        </w:rPr>
        <w:t xml:space="preserve"> </w:t>
      </w:r>
      <w:r w:rsidR="00E2372E" w:rsidRPr="00A26C26">
        <w:rPr>
          <w:rFonts w:eastAsia="Calibri" w:cstheme="minorHAnsi"/>
        </w:rPr>
        <w:t>i</w:t>
      </w:r>
      <w:r w:rsidR="003B50ED">
        <w:rPr>
          <w:rFonts w:eastAsia="Calibri" w:cstheme="minorHAnsi"/>
        </w:rPr>
        <w:t xml:space="preserve"> </w:t>
      </w:r>
      <w:r w:rsidR="00E2372E" w:rsidRPr="00A26C26">
        <w:rPr>
          <w:rFonts w:eastAsia="Calibri" w:cstheme="minorHAnsi"/>
        </w:rPr>
        <w:t>udostępnieniu</w:t>
      </w:r>
      <w:r w:rsidR="003B50ED">
        <w:rPr>
          <w:rFonts w:eastAsia="Calibri" w:cstheme="minorHAnsi"/>
        </w:rPr>
        <w:t xml:space="preserve"> </w:t>
      </w:r>
      <w:r w:rsidR="00E2372E" w:rsidRPr="00A26C26">
        <w:rPr>
          <w:rFonts w:eastAsia="Calibri" w:cstheme="minorHAnsi"/>
        </w:rPr>
        <w:t>projektów</w:t>
      </w:r>
      <w:r w:rsidR="003B50ED">
        <w:rPr>
          <w:rFonts w:eastAsia="Calibri" w:cstheme="minorHAnsi"/>
        </w:rPr>
        <w:t xml:space="preserve"> </w:t>
      </w:r>
      <w:r w:rsidR="00E2372E" w:rsidRPr="00A26C26">
        <w:rPr>
          <w:rFonts w:eastAsia="Calibri" w:cstheme="minorHAnsi"/>
        </w:rPr>
        <w:t>dokumentów</w:t>
      </w:r>
      <w:r w:rsidR="003B50ED">
        <w:rPr>
          <w:rFonts w:eastAsia="Calibri" w:cstheme="minorHAnsi"/>
        </w:rPr>
        <w:t xml:space="preserve"> </w:t>
      </w:r>
      <w:r w:rsidR="00E2372E" w:rsidRPr="00A26C26">
        <w:rPr>
          <w:rFonts w:eastAsia="Calibri" w:cstheme="minorHAnsi"/>
        </w:rPr>
        <w:t>konkursowych</w:t>
      </w:r>
      <w:r w:rsidR="003B50ED">
        <w:rPr>
          <w:rFonts w:eastAsia="Calibri" w:cstheme="minorHAnsi"/>
        </w:rPr>
        <w:t xml:space="preserve"> </w:t>
      </w:r>
      <w:r w:rsidR="00E2372E" w:rsidRPr="00A26C26">
        <w:rPr>
          <w:rFonts w:eastAsia="Calibri" w:cstheme="minorHAnsi"/>
        </w:rPr>
        <w:t>przez</w:t>
      </w:r>
      <w:r w:rsidR="003B50ED">
        <w:rPr>
          <w:rFonts w:eastAsia="Calibri" w:cstheme="minorHAnsi"/>
        </w:rPr>
        <w:t xml:space="preserve"> </w:t>
      </w:r>
      <w:proofErr w:type="spellStart"/>
      <w:r w:rsidR="00E2372E" w:rsidRPr="00A26C26">
        <w:rPr>
          <w:rFonts w:eastAsia="Calibri" w:cstheme="minorHAnsi"/>
        </w:rPr>
        <w:t>MRiRW</w:t>
      </w:r>
      <w:proofErr w:type="spellEnd"/>
      <w:r>
        <w:rPr>
          <w:rFonts w:eastAsia="Calibri" w:cstheme="minorHAnsi"/>
        </w:rPr>
        <w:t>,</w:t>
      </w:r>
      <w:r w:rsidR="003B50ED">
        <w:rPr>
          <w:rFonts w:eastAsia="Calibri" w:cstheme="minorHAnsi"/>
        </w:rPr>
        <w:t xml:space="preserve"> </w:t>
      </w:r>
      <w:r w:rsidR="00E2372E" w:rsidRPr="00A26C26">
        <w:rPr>
          <w:rFonts w:eastAsia="Calibri" w:cstheme="minorHAnsi"/>
        </w:rPr>
        <w:t>pracownicy</w:t>
      </w:r>
      <w:r w:rsidR="003B50ED">
        <w:rPr>
          <w:rFonts w:eastAsia="Calibri" w:cstheme="minorHAnsi"/>
        </w:rPr>
        <w:t xml:space="preserve"> </w:t>
      </w:r>
      <w:r>
        <w:rPr>
          <w:rFonts w:eastAsia="Calibri" w:cstheme="minorHAnsi"/>
        </w:rPr>
        <w:t xml:space="preserve">biura </w:t>
      </w:r>
      <w:r w:rsidR="00E2372E" w:rsidRPr="00A26C26">
        <w:rPr>
          <w:rFonts w:eastAsia="Calibri" w:cstheme="minorHAnsi"/>
        </w:rPr>
        <w:t>LGD</w:t>
      </w:r>
      <w:r w:rsidR="003B50ED">
        <w:rPr>
          <w:rFonts w:eastAsia="Calibri" w:cstheme="minorHAnsi"/>
        </w:rPr>
        <w:t xml:space="preserve"> </w:t>
      </w:r>
      <w:r w:rsidR="00E2372E" w:rsidRPr="00A26C26">
        <w:rPr>
          <w:rFonts w:eastAsia="Calibri" w:cstheme="minorHAnsi"/>
        </w:rPr>
        <w:t>przystąpili</w:t>
      </w:r>
      <w:r w:rsidR="003B50ED">
        <w:rPr>
          <w:rFonts w:eastAsia="Calibri" w:cstheme="minorHAnsi"/>
        </w:rPr>
        <w:t xml:space="preserve"> </w:t>
      </w:r>
      <w:r w:rsidR="00E2372E" w:rsidRPr="00A26C26">
        <w:rPr>
          <w:rFonts w:eastAsia="Calibri" w:cstheme="minorHAnsi"/>
        </w:rPr>
        <w:t>do</w:t>
      </w:r>
      <w:r w:rsidR="003B50ED">
        <w:rPr>
          <w:rFonts w:eastAsia="Calibri" w:cstheme="minorHAnsi"/>
        </w:rPr>
        <w:t xml:space="preserve"> </w:t>
      </w:r>
      <w:r w:rsidR="00E2372E" w:rsidRPr="00A26C26">
        <w:rPr>
          <w:rFonts w:eastAsia="Calibri" w:cstheme="minorHAnsi"/>
        </w:rPr>
        <w:t>wypracowania</w:t>
      </w:r>
      <w:r w:rsidR="003B50ED">
        <w:rPr>
          <w:rFonts w:eastAsia="Calibri" w:cstheme="minorHAnsi"/>
        </w:rPr>
        <w:t xml:space="preserve"> </w:t>
      </w:r>
      <w:r w:rsidR="00E2372E" w:rsidRPr="00A26C26">
        <w:rPr>
          <w:rFonts w:eastAsia="Calibri" w:cstheme="minorHAnsi"/>
        </w:rPr>
        <w:t>propozycji</w:t>
      </w:r>
      <w:r w:rsidR="003B50ED">
        <w:rPr>
          <w:rFonts w:eastAsia="Calibri" w:cstheme="minorHAnsi"/>
        </w:rPr>
        <w:t xml:space="preserve"> </w:t>
      </w:r>
      <w:r w:rsidR="00E2372E" w:rsidRPr="00A26C26">
        <w:rPr>
          <w:rFonts w:eastAsia="Calibri" w:cstheme="minorHAnsi"/>
        </w:rPr>
        <w:t>zapisów</w:t>
      </w:r>
      <w:r w:rsidR="003B50ED">
        <w:rPr>
          <w:rFonts w:eastAsia="Calibri" w:cstheme="minorHAnsi"/>
        </w:rPr>
        <w:t xml:space="preserve"> </w:t>
      </w:r>
      <w:r>
        <w:rPr>
          <w:rFonts w:eastAsia="Calibri" w:cstheme="minorHAnsi"/>
        </w:rPr>
        <w:t xml:space="preserve">LSR. Kluczowe było odzwierciedlenie potrzeb i oczekiwań niż pozyskanie najwyższej liczby punktów w </w:t>
      </w:r>
      <w:r w:rsidR="004F5C1E">
        <w:rPr>
          <w:rFonts w:eastAsia="Calibri" w:cstheme="minorHAnsi"/>
        </w:rPr>
        <w:t>ramach</w:t>
      </w:r>
      <w:r>
        <w:rPr>
          <w:rFonts w:eastAsia="Calibri" w:cstheme="minorHAnsi"/>
        </w:rPr>
        <w:t xml:space="preserve"> konkursu na wybór LSR.</w:t>
      </w:r>
    </w:p>
    <w:p w14:paraId="3628022F" w14:textId="374AC1AA" w:rsidR="00E2372E" w:rsidRPr="00A26C26" w:rsidRDefault="00E2372E" w:rsidP="00A26C26">
      <w:pPr>
        <w:spacing w:line="276" w:lineRule="auto"/>
        <w:ind w:firstLine="284"/>
        <w:jc w:val="both"/>
        <w:rPr>
          <w:rFonts w:eastAsia="Calibri" w:cstheme="minorHAnsi"/>
        </w:rPr>
      </w:pPr>
      <w:r w:rsidRPr="00A26C26">
        <w:rPr>
          <w:rFonts w:eastAsia="Calibri" w:cstheme="minorHAnsi"/>
        </w:rPr>
        <w:t>Należy</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tym</w:t>
      </w:r>
      <w:r w:rsidR="003B50ED">
        <w:rPr>
          <w:rFonts w:eastAsia="Calibri" w:cstheme="minorHAnsi"/>
        </w:rPr>
        <w:t xml:space="preserve"> </w:t>
      </w:r>
      <w:r w:rsidRPr="00A26C26">
        <w:rPr>
          <w:rFonts w:eastAsia="Calibri" w:cstheme="minorHAnsi"/>
        </w:rPr>
        <w:t>miejscu</w:t>
      </w:r>
      <w:r w:rsidR="003B50ED">
        <w:rPr>
          <w:rFonts w:eastAsia="Calibri" w:cstheme="minorHAnsi"/>
        </w:rPr>
        <w:t xml:space="preserve"> </w:t>
      </w:r>
      <w:r w:rsidRPr="00A26C26">
        <w:rPr>
          <w:rFonts w:eastAsia="Calibri" w:cstheme="minorHAnsi"/>
        </w:rPr>
        <w:t>zaznaczyć,</w:t>
      </w:r>
      <w:r w:rsidR="003B50ED">
        <w:rPr>
          <w:rFonts w:eastAsia="Calibri" w:cstheme="minorHAnsi"/>
        </w:rPr>
        <w:t xml:space="preserve"> </w:t>
      </w:r>
      <w:r w:rsidRPr="00A26C26">
        <w:rPr>
          <w:rFonts w:eastAsia="Calibri" w:cstheme="minorHAnsi"/>
        </w:rPr>
        <w:t>iż</w:t>
      </w:r>
      <w:r w:rsidR="003B50ED">
        <w:rPr>
          <w:rFonts w:eastAsia="Calibri" w:cstheme="minorHAnsi"/>
        </w:rPr>
        <w:t xml:space="preserve"> </w:t>
      </w:r>
      <w:r w:rsidRPr="00A26C26">
        <w:rPr>
          <w:rFonts w:eastAsia="Calibri" w:cstheme="minorHAnsi"/>
        </w:rPr>
        <w:t>pracownicy</w:t>
      </w:r>
      <w:r w:rsidR="003B50ED">
        <w:rPr>
          <w:rFonts w:eastAsia="Calibri" w:cstheme="minorHAnsi"/>
        </w:rPr>
        <w:t xml:space="preserve"> </w:t>
      </w:r>
      <w:r w:rsidR="004F5C1E">
        <w:rPr>
          <w:rFonts w:eastAsia="Calibri" w:cstheme="minorHAnsi"/>
        </w:rPr>
        <w:t xml:space="preserve">biura </w:t>
      </w:r>
      <w:r w:rsidRPr="00A26C26">
        <w:rPr>
          <w:rFonts w:eastAsia="Calibri" w:cstheme="minorHAnsi"/>
        </w:rPr>
        <w:t>LGD</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przedstawiciele</w:t>
      </w:r>
      <w:r w:rsidR="003B50ED">
        <w:rPr>
          <w:rFonts w:eastAsia="Calibri" w:cstheme="minorHAnsi"/>
        </w:rPr>
        <w:t xml:space="preserve"> </w:t>
      </w:r>
      <w:r w:rsidRPr="00A26C26">
        <w:rPr>
          <w:rFonts w:eastAsia="Calibri" w:cstheme="minorHAnsi"/>
        </w:rPr>
        <w:t>Zarządu</w:t>
      </w:r>
      <w:r w:rsidR="004F5C1E">
        <w:rPr>
          <w:rFonts w:eastAsia="Calibri" w:cstheme="minorHAnsi"/>
        </w:rPr>
        <w:t>,</w:t>
      </w:r>
      <w:r w:rsidR="003B50ED">
        <w:rPr>
          <w:rFonts w:eastAsia="Calibri" w:cstheme="minorHAnsi"/>
        </w:rPr>
        <w:t xml:space="preserve"> </w:t>
      </w:r>
      <w:r w:rsidRPr="00A26C26">
        <w:rPr>
          <w:rFonts w:eastAsia="Calibri" w:cstheme="minorHAnsi"/>
        </w:rPr>
        <w:t>aby</w:t>
      </w:r>
      <w:r w:rsidR="003B50ED">
        <w:rPr>
          <w:rFonts w:eastAsia="Calibri" w:cstheme="minorHAnsi"/>
        </w:rPr>
        <w:t xml:space="preserve"> </w:t>
      </w:r>
      <w:r w:rsidRPr="00A26C26">
        <w:rPr>
          <w:rFonts w:eastAsia="Calibri" w:cstheme="minorHAnsi"/>
        </w:rPr>
        <w:t>jak</w:t>
      </w:r>
      <w:r w:rsidR="003B50ED">
        <w:rPr>
          <w:rFonts w:eastAsia="Calibri" w:cstheme="minorHAnsi"/>
        </w:rPr>
        <w:t xml:space="preserve"> </w:t>
      </w:r>
      <w:r w:rsidRPr="00A26C26">
        <w:rPr>
          <w:rFonts w:eastAsia="Calibri" w:cstheme="minorHAnsi"/>
        </w:rPr>
        <w:t>najlepiej</w:t>
      </w:r>
      <w:r w:rsidR="003B50ED">
        <w:rPr>
          <w:rFonts w:eastAsia="Calibri" w:cstheme="minorHAnsi"/>
        </w:rPr>
        <w:t xml:space="preserve"> </w:t>
      </w:r>
      <w:r w:rsidRPr="00A26C26">
        <w:rPr>
          <w:rFonts w:eastAsia="Calibri" w:cstheme="minorHAnsi"/>
        </w:rPr>
        <w:t>przygotować</w:t>
      </w:r>
      <w:r w:rsidR="003B50ED">
        <w:rPr>
          <w:rFonts w:eastAsia="Calibri" w:cstheme="minorHAnsi"/>
        </w:rPr>
        <w:t xml:space="preserve"> </w:t>
      </w:r>
      <w:r w:rsidRPr="00A26C26">
        <w:rPr>
          <w:rFonts w:eastAsia="Calibri" w:cstheme="minorHAnsi"/>
        </w:rPr>
        <w:t>się</w:t>
      </w:r>
      <w:r w:rsidR="003B50ED">
        <w:rPr>
          <w:rFonts w:eastAsia="Calibri" w:cstheme="minorHAnsi"/>
        </w:rPr>
        <w:t xml:space="preserve"> </w:t>
      </w:r>
      <w:r w:rsidRPr="00A26C26">
        <w:rPr>
          <w:rFonts w:eastAsia="Calibri" w:cstheme="minorHAnsi"/>
        </w:rPr>
        <w:t>do</w:t>
      </w:r>
      <w:r w:rsidR="003B50ED">
        <w:rPr>
          <w:rFonts w:eastAsia="Calibri" w:cstheme="minorHAnsi"/>
        </w:rPr>
        <w:t xml:space="preserve"> </w:t>
      </w:r>
      <w:r w:rsidRPr="00A26C26">
        <w:rPr>
          <w:rFonts w:eastAsia="Calibri" w:cstheme="minorHAnsi"/>
        </w:rPr>
        <w:t>procesu</w:t>
      </w:r>
      <w:r w:rsidR="003B50ED">
        <w:rPr>
          <w:rFonts w:eastAsia="Calibri" w:cstheme="minorHAnsi"/>
        </w:rPr>
        <w:t xml:space="preserve"> </w:t>
      </w:r>
      <w:r w:rsidRPr="00A26C26">
        <w:rPr>
          <w:rFonts w:eastAsia="Calibri" w:cstheme="minorHAnsi"/>
        </w:rPr>
        <w:t>konstruowania</w:t>
      </w:r>
      <w:r w:rsidR="003B50ED">
        <w:rPr>
          <w:rFonts w:eastAsia="Calibri" w:cstheme="minorHAnsi"/>
        </w:rPr>
        <w:t xml:space="preserve"> </w:t>
      </w:r>
      <w:r w:rsidRPr="00A26C26">
        <w:rPr>
          <w:rFonts w:eastAsia="Calibri" w:cstheme="minorHAnsi"/>
        </w:rPr>
        <w:t>LSR</w:t>
      </w:r>
      <w:r w:rsidR="004F5C1E">
        <w:rPr>
          <w:rFonts w:eastAsia="Calibri" w:cstheme="minorHAnsi"/>
        </w:rPr>
        <w:t>,</w:t>
      </w:r>
      <w:r w:rsidR="003B50ED">
        <w:rPr>
          <w:rFonts w:eastAsia="Calibri" w:cstheme="minorHAnsi"/>
        </w:rPr>
        <w:t xml:space="preserve"> </w:t>
      </w:r>
      <w:r w:rsidRPr="00A26C26">
        <w:rPr>
          <w:rFonts w:eastAsia="Calibri" w:cstheme="minorHAnsi"/>
        </w:rPr>
        <w:t>wzięli</w:t>
      </w:r>
      <w:r w:rsidR="003B50ED">
        <w:rPr>
          <w:rFonts w:eastAsia="Calibri" w:cstheme="minorHAnsi"/>
        </w:rPr>
        <w:t xml:space="preserve"> </w:t>
      </w:r>
      <w:r w:rsidRPr="00A26C26">
        <w:rPr>
          <w:rFonts w:eastAsia="Calibri" w:cstheme="minorHAnsi"/>
        </w:rPr>
        <w:t>udział</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szeregu</w:t>
      </w:r>
      <w:r w:rsidR="003B50ED">
        <w:rPr>
          <w:rFonts w:eastAsia="Calibri" w:cstheme="minorHAnsi"/>
        </w:rPr>
        <w:t xml:space="preserve"> </w:t>
      </w:r>
      <w:r w:rsidRPr="00A26C26">
        <w:rPr>
          <w:rFonts w:eastAsia="Calibri" w:cstheme="minorHAnsi"/>
        </w:rPr>
        <w:t>warsztatów</w:t>
      </w:r>
      <w:r w:rsidR="003B50ED">
        <w:rPr>
          <w:rFonts w:eastAsia="Calibri" w:cstheme="minorHAnsi"/>
        </w:rPr>
        <w:t xml:space="preserve"> </w:t>
      </w:r>
      <w:r w:rsidRPr="00A26C26">
        <w:rPr>
          <w:rFonts w:eastAsia="Calibri" w:cstheme="minorHAnsi"/>
        </w:rPr>
        <w:t>organizowanych</w:t>
      </w:r>
      <w:r w:rsidR="003B50ED">
        <w:rPr>
          <w:rFonts w:eastAsia="Calibri" w:cstheme="minorHAnsi"/>
        </w:rPr>
        <w:t xml:space="preserve"> </w:t>
      </w:r>
      <w:r w:rsidRPr="00A26C26">
        <w:rPr>
          <w:rFonts w:eastAsia="Calibri" w:cstheme="minorHAnsi"/>
        </w:rPr>
        <w:t>przez</w:t>
      </w:r>
      <w:r w:rsidR="003B50ED">
        <w:rPr>
          <w:rFonts w:eastAsia="Calibri" w:cstheme="minorHAnsi"/>
        </w:rPr>
        <w:t xml:space="preserve"> </w:t>
      </w:r>
      <w:r w:rsidRPr="00A26C26">
        <w:rPr>
          <w:rFonts w:eastAsia="Calibri" w:cstheme="minorHAnsi"/>
        </w:rPr>
        <w:t>Urząd</w:t>
      </w:r>
      <w:r w:rsidR="003B50ED">
        <w:rPr>
          <w:rFonts w:eastAsia="Calibri" w:cstheme="minorHAnsi"/>
        </w:rPr>
        <w:t xml:space="preserve"> </w:t>
      </w:r>
      <w:r w:rsidRPr="00A26C26">
        <w:rPr>
          <w:rFonts w:eastAsia="Calibri" w:cstheme="minorHAnsi"/>
        </w:rPr>
        <w:t>Marszałkowski</w:t>
      </w:r>
      <w:r w:rsidR="003B50ED">
        <w:rPr>
          <w:rFonts w:eastAsia="Calibri" w:cstheme="minorHAnsi"/>
        </w:rPr>
        <w:t xml:space="preserve"> </w:t>
      </w:r>
      <w:r w:rsidRPr="00A26C26">
        <w:rPr>
          <w:rFonts w:eastAsia="Calibri" w:cstheme="minorHAnsi"/>
        </w:rPr>
        <w:t>oraz</w:t>
      </w:r>
      <w:r w:rsidR="003B50ED">
        <w:rPr>
          <w:rFonts w:eastAsia="Calibri" w:cstheme="minorHAnsi"/>
        </w:rPr>
        <w:t xml:space="preserve"> </w:t>
      </w:r>
      <w:r w:rsidRPr="00A26C26">
        <w:rPr>
          <w:rFonts w:eastAsia="Calibri" w:cstheme="minorHAnsi"/>
        </w:rPr>
        <w:t>KSOW.</w:t>
      </w:r>
      <w:r w:rsidR="003B50ED">
        <w:rPr>
          <w:rFonts w:eastAsia="Calibri" w:cstheme="minorHAnsi"/>
        </w:rPr>
        <w:t xml:space="preserve"> </w:t>
      </w:r>
      <w:r w:rsidRPr="00A26C26">
        <w:rPr>
          <w:rFonts w:eastAsia="Calibri" w:cstheme="minorHAnsi"/>
        </w:rPr>
        <w:t>Ponadto,</w:t>
      </w:r>
      <w:r w:rsidR="003B50ED">
        <w:rPr>
          <w:rFonts w:eastAsia="Calibri" w:cstheme="minorHAnsi"/>
        </w:rPr>
        <w:t xml:space="preserve"> </w:t>
      </w:r>
      <w:r w:rsidRPr="00A26C26">
        <w:rPr>
          <w:rFonts w:eastAsia="Calibri" w:cstheme="minorHAnsi"/>
        </w:rPr>
        <w:t>uczestniczyli</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konsultacjach</w:t>
      </w:r>
      <w:r w:rsidR="003B50ED">
        <w:rPr>
          <w:rFonts w:eastAsia="Calibri" w:cstheme="minorHAnsi"/>
        </w:rPr>
        <w:t xml:space="preserve"> </w:t>
      </w:r>
      <w:r w:rsidRPr="00A26C26">
        <w:rPr>
          <w:rFonts w:eastAsia="Calibri" w:cstheme="minorHAnsi"/>
        </w:rPr>
        <w:t>indywidualnych</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grupowych</w:t>
      </w:r>
      <w:r w:rsidR="003B50ED">
        <w:rPr>
          <w:rFonts w:eastAsia="Calibri" w:cstheme="minorHAnsi"/>
        </w:rPr>
        <w:t xml:space="preserve"> </w:t>
      </w:r>
      <w:r w:rsidRPr="00A26C26">
        <w:rPr>
          <w:rFonts w:eastAsia="Calibri" w:cstheme="minorHAnsi"/>
        </w:rPr>
        <w:t>z</w:t>
      </w:r>
      <w:r w:rsidR="003B50ED">
        <w:rPr>
          <w:rFonts w:eastAsia="Calibri" w:cstheme="minorHAnsi"/>
        </w:rPr>
        <w:t xml:space="preserve"> </w:t>
      </w:r>
      <w:r w:rsidRPr="00A26C26">
        <w:rPr>
          <w:rFonts w:eastAsia="Calibri" w:cstheme="minorHAnsi"/>
        </w:rPr>
        <w:t>ekspertem</w:t>
      </w:r>
      <w:r w:rsidR="003B50ED">
        <w:rPr>
          <w:rFonts w:eastAsia="Calibri" w:cstheme="minorHAnsi"/>
        </w:rPr>
        <w:t xml:space="preserve"> </w:t>
      </w:r>
      <w:r w:rsidRPr="00A26C26">
        <w:rPr>
          <w:rFonts w:eastAsia="Calibri" w:cstheme="minorHAnsi"/>
        </w:rPr>
        <w:t>zewnętrznym,</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trakcie</w:t>
      </w:r>
      <w:r w:rsidR="003B50ED">
        <w:rPr>
          <w:rFonts w:eastAsia="Calibri" w:cstheme="minorHAnsi"/>
        </w:rPr>
        <w:t xml:space="preserve"> </w:t>
      </w:r>
      <w:r w:rsidRPr="00A26C26">
        <w:rPr>
          <w:rFonts w:eastAsia="Calibri" w:cstheme="minorHAnsi"/>
        </w:rPr>
        <w:t>których</w:t>
      </w:r>
      <w:r w:rsidR="003B50ED">
        <w:rPr>
          <w:rFonts w:eastAsia="Calibri" w:cstheme="minorHAnsi"/>
        </w:rPr>
        <w:t xml:space="preserve"> </w:t>
      </w:r>
      <w:r w:rsidRPr="00A26C26">
        <w:rPr>
          <w:rFonts w:eastAsia="Calibri" w:cstheme="minorHAnsi"/>
        </w:rPr>
        <w:t>prezentowane</w:t>
      </w:r>
      <w:r w:rsidR="003B50ED">
        <w:rPr>
          <w:rFonts w:eastAsia="Calibri" w:cstheme="minorHAnsi"/>
        </w:rPr>
        <w:t xml:space="preserve"> </w:t>
      </w:r>
      <w:r w:rsidRPr="00A26C26">
        <w:rPr>
          <w:rFonts w:eastAsia="Calibri" w:cstheme="minorHAnsi"/>
        </w:rPr>
        <w:t>były</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omawiane</w:t>
      </w:r>
      <w:r w:rsidR="003B50ED">
        <w:rPr>
          <w:rFonts w:eastAsia="Calibri" w:cstheme="minorHAnsi"/>
        </w:rPr>
        <w:t xml:space="preserve"> </w:t>
      </w:r>
      <w:r w:rsidRPr="00A26C26">
        <w:rPr>
          <w:rFonts w:eastAsia="Calibri" w:cstheme="minorHAnsi"/>
        </w:rPr>
        <w:t>propozycje</w:t>
      </w:r>
      <w:r w:rsidR="003B50ED">
        <w:rPr>
          <w:rFonts w:eastAsia="Calibri" w:cstheme="minorHAnsi"/>
        </w:rPr>
        <w:t xml:space="preserve"> </w:t>
      </w:r>
      <w:r w:rsidRPr="00A26C26">
        <w:rPr>
          <w:rFonts w:eastAsia="Calibri" w:cstheme="minorHAnsi"/>
        </w:rPr>
        <w:t>zapisów</w:t>
      </w:r>
      <w:r w:rsidR="003B50ED">
        <w:rPr>
          <w:rFonts w:eastAsia="Calibri" w:cstheme="minorHAnsi"/>
        </w:rPr>
        <w:t xml:space="preserve"> </w:t>
      </w:r>
      <w:r w:rsidRPr="00A26C26">
        <w:rPr>
          <w:rFonts w:eastAsia="Calibri" w:cstheme="minorHAnsi"/>
        </w:rPr>
        <w:t>do</w:t>
      </w:r>
      <w:r w:rsidR="003B50ED">
        <w:rPr>
          <w:rFonts w:eastAsia="Calibri" w:cstheme="minorHAnsi"/>
        </w:rPr>
        <w:t xml:space="preserve"> </w:t>
      </w:r>
      <w:r w:rsidRPr="00A26C26">
        <w:rPr>
          <w:rFonts w:eastAsia="Calibri" w:cstheme="minorHAnsi"/>
        </w:rPr>
        <w:t>poszczególnych</w:t>
      </w:r>
      <w:r w:rsidR="003B50ED">
        <w:rPr>
          <w:rFonts w:eastAsia="Calibri" w:cstheme="minorHAnsi"/>
        </w:rPr>
        <w:t xml:space="preserve"> </w:t>
      </w:r>
      <w:r w:rsidRPr="00A26C26">
        <w:rPr>
          <w:rFonts w:eastAsia="Calibri" w:cstheme="minorHAnsi"/>
        </w:rPr>
        <w:t>części</w:t>
      </w:r>
      <w:r w:rsidR="003B50ED">
        <w:rPr>
          <w:rFonts w:eastAsia="Calibri" w:cstheme="minorHAnsi"/>
        </w:rPr>
        <w:t xml:space="preserve"> </w:t>
      </w:r>
      <w:r w:rsidRPr="00A26C26">
        <w:rPr>
          <w:rFonts w:eastAsia="Calibri" w:cstheme="minorHAnsi"/>
        </w:rPr>
        <w:t>LSR,</w:t>
      </w:r>
      <w:r w:rsidR="003B50ED">
        <w:rPr>
          <w:rFonts w:eastAsia="Calibri" w:cstheme="minorHAnsi"/>
        </w:rPr>
        <w:t xml:space="preserve"> </w:t>
      </w:r>
      <w:r w:rsidRPr="00A26C26">
        <w:rPr>
          <w:rFonts w:eastAsia="Calibri" w:cstheme="minorHAnsi"/>
        </w:rPr>
        <w:t>sporządzane</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zgodności</w:t>
      </w:r>
      <w:r w:rsidR="003B50ED">
        <w:rPr>
          <w:rFonts w:eastAsia="Calibri" w:cstheme="minorHAnsi"/>
        </w:rPr>
        <w:t xml:space="preserve"> </w:t>
      </w:r>
      <w:r w:rsidRPr="00A26C26">
        <w:rPr>
          <w:rFonts w:eastAsia="Calibri" w:cstheme="minorHAnsi"/>
        </w:rPr>
        <w:t>z</w:t>
      </w:r>
      <w:r w:rsidR="003B50ED">
        <w:rPr>
          <w:rFonts w:eastAsia="Calibri" w:cstheme="minorHAnsi"/>
        </w:rPr>
        <w:t xml:space="preserve"> </w:t>
      </w:r>
      <w:r w:rsidRPr="00A26C26">
        <w:rPr>
          <w:rFonts w:eastAsia="Calibri" w:cstheme="minorHAnsi"/>
        </w:rPr>
        <w:t>obowiązującymi</w:t>
      </w:r>
      <w:r w:rsidR="003B50ED">
        <w:rPr>
          <w:rFonts w:eastAsia="Calibri" w:cstheme="minorHAnsi"/>
        </w:rPr>
        <w:t xml:space="preserve"> </w:t>
      </w:r>
      <w:r w:rsidRPr="00A26C26">
        <w:rPr>
          <w:rFonts w:eastAsia="Calibri" w:cstheme="minorHAnsi"/>
        </w:rPr>
        <w:t>przepisami,</w:t>
      </w:r>
      <w:r w:rsidR="003B50ED">
        <w:rPr>
          <w:rFonts w:eastAsia="Calibri" w:cstheme="minorHAnsi"/>
        </w:rPr>
        <w:t xml:space="preserve"> </w:t>
      </w:r>
      <w:r w:rsidRPr="00A26C26">
        <w:rPr>
          <w:rFonts w:eastAsia="Calibri" w:cstheme="minorHAnsi"/>
        </w:rPr>
        <w:t>Wytycznymi</w:t>
      </w:r>
      <w:r w:rsidR="003B50ED">
        <w:rPr>
          <w:rFonts w:eastAsia="Calibri" w:cstheme="minorHAnsi"/>
        </w:rPr>
        <w:t xml:space="preserve"> </w:t>
      </w:r>
      <w:proofErr w:type="spellStart"/>
      <w:r w:rsidRPr="00A26C26">
        <w:rPr>
          <w:rFonts w:eastAsia="Calibri" w:cstheme="minorHAnsi"/>
        </w:rPr>
        <w:t>MRiRW</w:t>
      </w:r>
      <w:proofErr w:type="spellEnd"/>
      <w:r w:rsidR="003B50ED">
        <w:rPr>
          <w:rFonts w:eastAsia="Calibri" w:cstheme="minorHAnsi"/>
        </w:rPr>
        <w:t xml:space="preserve"> </w:t>
      </w:r>
      <w:r w:rsidRPr="00A26C26">
        <w:rPr>
          <w:rFonts w:eastAsia="Calibri" w:cstheme="minorHAnsi"/>
        </w:rPr>
        <w:t>oraz</w:t>
      </w:r>
      <w:r w:rsidR="003B50ED">
        <w:rPr>
          <w:rFonts w:eastAsia="Calibri" w:cstheme="minorHAnsi"/>
        </w:rPr>
        <w:t xml:space="preserve"> </w:t>
      </w:r>
      <w:r w:rsidRPr="00A26C26">
        <w:rPr>
          <w:rFonts w:eastAsia="Calibri" w:cstheme="minorHAnsi"/>
        </w:rPr>
        <w:t>uwzględniające</w:t>
      </w:r>
      <w:r w:rsidR="003B50ED">
        <w:rPr>
          <w:rFonts w:eastAsia="Calibri" w:cstheme="minorHAnsi"/>
        </w:rPr>
        <w:t xml:space="preserve"> </w:t>
      </w:r>
      <w:r w:rsidRPr="00A26C26">
        <w:rPr>
          <w:rFonts w:eastAsia="Calibri" w:cstheme="minorHAnsi"/>
        </w:rPr>
        <w:t>dobre</w:t>
      </w:r>
      <w:r w:rsidR="003B50ED">
        <w:rPr>
          <w:rFonts w:eastAsia="Calibri" w:cstheme="minorHAnsi"/>
        </w:rPr>
        <w:t xml:space="preserve"> </w:t>
      </w:r>
      <w:r w:rsidRPr="00A26C26">
        <w:rPr>
          <w:rFonts w:eastAsia="Calibri" w:cstheme="minorHAnsi"/>
        </w:rPr>
        <w:t>praktyki</w:t>
      </w:r>
      <w:r w:rsidR="003B50ED">
        <w:rPr>
          <w:rFonts w:eastAsia="Calibri" w:cstheme="minorHAnsi"/>
        </w:rPr>
        <w:t xml:space="preserve"> </w:t>
      </w:r>
      <w:r w:rsidRPr="00A26C26">
        <w:rPr>
          <w:rFonts w:eastAsia="Calibri" w:cstheme="minorHAnsi"/>
        </w:rPr>
        <w:t>wypracowane</w:t>
      </w:r>
      <w:r w:rsidR="00EA6EBF">
        <w:rPr>
          <w:rFonts w:eastAsia="Calibri" w:cstheme="minorHAnsi"/>
        </w:rPr>
        <w:t xml:space="preserve"> </w:t>
      </w:r>
      <w:r w:rsidR="004F5C1E" w:rsidRPr="00A26C26">
        <w:rPr>
          <w:rFonts w:eastAsia="Calibri" w:cstheme="minorHAnsi"/>
        </w:rPr>
        <w:t>zarówno</w:t>
      </w:r>
      <w:r w:rsidR="00EA6EBF">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poprzednich</w:t>
      </w:r>
      <w:r w:rsidR="003B50ED">
        <w:rPr>
          <w:rFonts w:eastAsia="Calibri" w:cstheme="minorHAnsi"/>
        </w:rPr>
        <w:t xml:space="preserve"> </w:t>
      </w:r>
      <w:r w:rsidRPr="00A26C26">
        <w:rPr>
          <w:rFonts w:eastAsia="Calibri" w:cstheme="minorHAnsi"/>
        </w:rPr>
        <w:t>okresach</w:t>
      </w:r>
      <w:r w:rsidR="003B50ED">
        <w:rPr>
          <w:rFonts w:eastAsia="Calibri" w:cstheme="minorHAnsi"/>
        </w:rPr>
        <w:t xml:space="preserve"> </w:t>
      </w:r>
      <w:r w:rsidRPr="00A26C26">
        <w:rPr>
          <w:rFonts w:eastAsia="Calibri" w:cstheme="minorHAnsi"/>
        </w:rPr>
        <w:t>programowania</w:t>
      </w:r>
      <w:r w:rsidR="003B50ED">
        <w:rPr>
          <w:rFonts w:eastAsia="Calibri" w:cstheme="minorHAnsi"/>
        </w:rPr>
        <w:t xml:space="preserve"> </w:t>
      </w:r>
      <w:r w:rsidRPr="00A26C26">
        <w:rPr>
          <w:rFonts w:eastAsia="Calibri" w:cstheme="minorHAnsi"/>
        </w:rPr>
        <w:t>z</w:t>
      </w:r>
      <w:r w:rsidR="003B50ED">
        <w:rPr>
          <w:rFonts w:eastAsia="Calibri" w:cstheme="minorHAnsi"/>
        </w:rPr>
        <w:t xml:space="preserve"> </w:t>
      </w:r>
      <w:r w:rsidRPr="00A26C26">
        <w:rPr>
          <w:rFonts w:eastAsia="Calibri" w:cstheme="minorHAnsi"/>
        </w:rPr>
        <w:t>obszaru</w:t>
      </w:r>
      <w:r w:rsidR="003B50ED">
        <w:rPr>
          <w:rFonts w:eastAsia="Calibri" w:cstheme="minorHAnsi"/>
        </w:rPr>
        <w:t xml:space="preserve"> </w:t>
      </w:r>
      <w:r w:rsidRPr="00A26C26">
        <w:rPr>
          <w:rFonts w:eastAsia="Calibri" w:cstheme="minorHAnsi"/>
        </w:rPr>
        <w:t>różnych</w:t>
      </w:r>
      <w:r w:rsidR="003B50ED">
        <w:rPr>
          <w:rFonts w:eastAsia="Calibri" w:cstheme="minorHAnsi"/>
        </w:rPr>
        <w:t xml:space="preserve"> </w:t>
      </w:r>
      <w:r w:rsidRPr="00A26C26">
        <w:rPr>
          <w:rFonts w:eastAsia="Calibri" w:cstheme="minorHAnsi"/>
        </w:rPr>
        <w:t>województw.</w:t>
      </w:r>
      <w:r w:rsidR="003B50ED">
        <w:rPr>
          <w:rFonts w:eastAsia="Calibri" w:cstheme="minorHAnsi"/>
        </w:rPr>
        <w:t xml:space="preserve"> </w:t>
      </w:r>
    </w:p>
    <w:p w14:paraId="37E899F8" w14:textId="7602026B" w:rsidR="00E2372E" w:rsidRPr="00A26C26" w:rsidRDefault="00E2372E" w:rsidP="00A26C26">
      <w:pPr>
        <w:spacing w:line="276" w:lineRule="auto"/>
        <w:ind w:firstLine="284"/>
        <w:jc w:val="both"/>
        <w:rPr>
          <w:rFonts w:eastAsia="Calibri" w:cstheme="minorHAnsi"/>
        </w:rPr>
      </w:pPr>
      <w:r w:rsidRPr="00A26C26">
        <w:rPr>
          <w:rFonts w:eastAsia="Calibri" w:cstheme="minorHAnsi"/>
        </w:rPr>
        <w:t>Jednocześnie</w:t>
      </w:r>
      <w:r w:rsidR="003B50ED">
        <w:rPr>
          <w:rFonts w:eastAsia="Calibri" w:cstheme="minorHAnsi"/>
        </w:rPr>
        <w:t xml:space="preserve"> </w:t>
      </w:r>
      <w:r w:rsidRPr="00A26C26">
        <w:rPr>
          <w:rFonts w:eastAsia="Calibri" w:cstheme="minorHAnsi"/>
        </w:rPr>
        <w:t>z</w:t>
      </w:r>
      <w:r w:rsidR="003B50ED">
        <w:rPr>
          <w:rFonts w:eastAsia="Calibri" w:cstheme="minorHAnsi"/>
        </w:rPr>
        <w:t xml:space="preserve"> </w:t>
      </w:r>
      <w:r w:rsidRPr="00A26C26">
        <w:rPr>
          <w:rFonts w:eastAsia="Calibri" w:cstheme="minorHAnsi"/>
        </w:rPr>
        <w:t>uwagi</w:t>
      </w:r>
      <w:r w:rsidR="003B50ED">
        <w:rPr>
          <w:rFonts w:eastAsia="Calibri" w:cstheme="minorHAnsi"/>
        </w:rPr>
        <w:t xml:space="preserve"> </w:t>
      </w:r>
      <w:r w:rsidRPr="00A26C26">
        <w:rPr>
          <w:rFonts w:eastAsia="Calibri" w:cstheme="minorHAnsi"/>
        </w:rPr>
        <w:t>na</w:t>
      </w:r>
      <w:r w:rsidR="003B50ED">
        <w:rPr>
          <w:rFonts w:eastAsia="Calibri" w:cstheme="minorHAnsi"/>
        </w:rPr>
        <w:t xml:space="preserve"> </w:t>
      </w:r>
      <w:r w:rsidRPr="00A26C26">
        <w:rPr>
          <w:rFonts w:eastAsia="Calibri" w:cstheme="minorHAnsi"/>
        </w:rPr>
        <w:t>brak</w:t>
      </w:r>
      <w:r w:rsidR="003B50ED">
        <w:rPr>
          <w:rFonts w:eastAsia="Calibri" w:cstheme="minorHAnsi"/>
        </w:rPr>
        <w:t xml:space="preserve"> </w:t>
      </w:r>
      <w:r w:rsidRPr="00A26C26">
        <w:rPr>
          <w:rFonts w:eastAsia="Calibri" w:cstheme="minorHAnsi"/>
        </w:rPr>
        <w:t>dostępu</w:t>
      </w:r>
      <w:r w:rsidR="003B50ED">
        <w:rPr>
          <w:rFonts w:eastAsia="Calibri" w:cstheme="minorHAnsi"/>
        </w:rPr>
        <w:t xml:space="preserve"> </w:t>
      </w:r>
      <w:r w:rsidRPr="00A26C26">
        <w:rPr>
          <w:rFonts w:eastAsia="Calibri" w:cstheme="minorHAnsi"/>
        </w:rPr>
        <w:t>do</w:t>
      </w:r>
      <w:r w:rsidR="003B50ED">
        <w:rPr>
          <w:rFonts w:eastAsia="Calibri" w:cstheme="minorHAnsi"/>
        </w:rPr>
        <w:t xml:space="preserve"> </w:t>
      </w:r>
      <w:r w:rsidRPr="00A26C26">
        <w:rPr>
          <w:rFonts w:eastAsia="Calibri" w:cstheme="minorHAnsi"/>
        </w:rPr>
        <w:t>szczegółowych</w:t>
      </w:r>
      <w:r w:rsidR="003B50ED">
        <w:rPr>
          <w:rFonts w:eastAsia="Calibri" w:cstheme="minorHAnsi"/>
        </w:rPr>
        <w:t xml:space="preserve"> </w:t>
      </w:r>
      <w:r w:rsidRPr="00A26C26">
        <w:rPr>
          <w:rFonts w:eastAsia="Calibri" w:cstheme="minorHAnsi"/>
        </w:rPr>
        <w:t>wytycznych,</w:t>
      </w:r>
      <w:r w:rsidR="003B50ED">
        <w:rPr>
          <w:rFonts w:eastAsia="Calibri" w:cstheme="minorHAnsi"/>
        </w:rPr>
        <w:t xml:space="preserve"> </w:t>
      </w:r>
      <w:r w:rsidRPr="00A26C26">
        <w:rPr>
          <w:rFonts w:eastAsia="Calibri" w:cstheme="minorHAnsi"/>
        </w:rPr>
        <w:t>wiele</w:t>
      </w:r>
      <w:r w:rsidR="003B50ED">
        <w:rPr>
          <w:rFonts w:eastAsia="Calibri" w:cstheme="minorHAnsi"/>
        </w:rPr>
        <w:t xml:space="preserve"> </w:t>
      </w:r>
      <w:r w:rsidRPr="00A26C26">
        <w:rPr>
          <w:rFonts w:eastAsia="Calibri" w:cstheme="minorHAnsi"/>
        </w:rPr>
        <w:t>rozwiązań,</w:t>
      </w:r>
      <w:r w:rsidR="003B50ED">
        <w:rPr>
          <w:rFonts w:eastAsia="Calibri" w:cstheme="minorHAnsi"/>
        </w:rPr>
        <w:t xml:space="preserve"> </w:t>
      </w:r>
      <w:r w:rsidRPr="00A26C26">
        <w:rPr>
          <w:rFonts w:eastAsia="Calibri" w:cstheme="minorHAnsi"/>
        </w:rPr>
        <w:t>m.in.</w:t>
      </w:r>
      <w:r w:rsidR="003B50ED">
        <w:rPr>
          <w:rFonts w:eastAsia="Calibri" w:cstheme="minorHAnsi"/>
        </w:rPr>
        <w:t xml:space="preserve"> </w:t>
      </w:r>
      <w:r w:rsidRPr="00A26C26">
        <w:rPr>
          <w:rFonts w:eastAsia="Calibri" w:cstheme="minorHAnsi"/>
        </w:rPr>
        <w:t>proces</w:t>
      </w:r>
      <w:r w:rsidR="003B50ED">
        <w:rPr>
          <w:rFonts w:eastAsia="Calibri" w:cstheme="minorHAnsi"/>
        </w:rPr>
        <w:t xml:space="preserve"> </w:t>
      </w:r>
      <w:r w:rsidRPr="00A26C26">
        <w:rPr>
          <w:rFonts w:eastAsia="Calibri" w:cstheme="minorHAnsi"/>
        </w:rPr>
        <w:t>monitoringu</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ewaluacji,</w:t>
      </w:r>
      <w:r w:rsidR="003B50ED">
        <w:rPr>
          <w:rFonts w:eastAsia="Calibri" w:cstheme="minorHAnsi"/>
        </w:rPr>
        <w:t xml:space="preserve"> </w:t>
      </w:r>
      <w:r w:rsidRPr="00A26C26">
        <w:rPr>
          <w:rFonts w:eastAsia="Calibri" w:cstheme="minorHAnsi"/>
        </w:rPr>
        <w:t>zasady</w:t>
      </w:r>
      <w:r w:rsidR="003B50ED">
        <w:rPr>
          <w:rFonts w:eastAsia="Calibri" w:cstheme="minorHAnsi"/>
        </w:rPr>
        <w:t xml:space="preserve"> </w:t>
      </w:r>
      <w:r w:rsidRPr="00A26C26">
        <w:rPr>
          <w:rFonts w:eastAsia="Calibri" w:cstheme="minorHAnsi"/>
        </w:rPr>
        <w:t>wyboru</w:t>
      </w:r>
      <w:r w:rsidR="003B50ED">
        <w:rPr>
          <w:rFonts w:eastAsia="Calibri" w:cstheme="minorHAnsi"/>
        </w:rPr>
        <w:t xml:space="preserve"> </w:t>
      </w:r>
      <w:r w:rsidRPr="00A26C26">
        <w:rPr>
          <w:rFonts w:eastAsia="Calibri" w:cstheme="minorHAnsi"/>
        </w:rPr>
        <w:t>projektów</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proofErr w:type="spellStart"/>
      <w:r w:rsidRPr="00A26C26">
        <w:rPr>
          <w:rFonts w:eastAsia="Calibri" w:cstheme="minorHAnsi"/>
        </w:rPr>
        <w:t>Grantobiorców</w:t>
      </w:r>
      <w:proofErr w:type="spellEnd"/>
      <w:r w:rsidRPr="00A26C26">
        <w:rPr>
          <w:rFonts w:eastAsia="Calibri" w:cstheme="minorHAnsi"/>
        </w:rPr>
        <w:t>,</w:t>
      </w:r>
      <w:r w:rsidR="003B50ED">
        <w:rPr>
          <w:rFonts w:eastAsia="Calibri" w:cstheme="minorHAnsi"/>
        </w:rPr>
        <w:t xml:space="preserve"> </w:t>
      </w:r>
      <w:r w:rsidRPr="00A26C26">
        <w:rPr>
          <w:rFonts w:eastAsia="Calibri" w:cstheme="minorHAnsi"/>
        </w:rPr>
        <w:t>zasady</w:t>
      </w:r>
      <w:r w:rsidR="003B50ED">
        <w:rPr>
          <w:rFonts w:eastAsia="Calibri" w:cstheme="minorHAnsi"/>
        </w:rPr>
        <w:t xml:space="preserve"> </w:t>
      </w:r>
      <w:r w:rsidRPr="00A26C26">
        <w:rPr>
          <w:rFonts w:eastAsia="Calibri" w:cstheme="minorHAnsi"/>
        </w:rPr>
        <w:t>zatwierdzania</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aktualizacji</w:t>
      </w:r>
      <w:r w:rsidR="003B50ED">
        <w:rPr>
          <w:rFonts w:eastAsia="Calibri" w:cstheme="minorHAnsi"/>
        </w:rPr>
        <w:t xml:space="preserve"> </w:t>
      </w:r>
      <w:r w:rsidRPr="00A26C26">
        <w:rPr>
          <w:rFonts w:eastAsia="Calibri" w:cstheme="minorHAnsi"/>
        </w:rPr>
        <w:t>lokalnych</w:t>
      </w:r>
      <w:r w:rsidR="003B50ED">
        <w:rPr>
          <w:rFonts w:eastAsia="Calibri" w:cstheme="minorHAnsi"/>
        </w:rPr>
        <w:t xml:space="preserve"> </w:t>
      </w:r>
      <w:r w:rsidRPr="00A26C26">
        <w:rPr>
          <w:rFonts w:eastAsia="Calibri" w:cstheme="minorHAnsi"/>
        </w:rPr>
        <w:t>kryteriów</w:t>
      </w:r>
      <w:r w:rsidR="003B50ED">
        <w:rPr>
          <w:rFonts w:eastAsia="Calibri" w:cstheme="minorHAnsi"/>
        </w:rPr>
        <w:t xml:space="preserve"> </w:t>
      </w:r>
      <w:r w:rsidRPr="00A26C26">
        <w:rPr>
          <w:rFonts w:eastAsia="Calibri" w:cstheme="minorHAnsi"/>
        </w:rPr>
        <w:t>wyboru,</w:t>
      </w:r>
      <w:r w:rsidR="003B50ED">
        <w:rPr>
          <w:rFonts w:eastAsia="Calibri" w:cstheme="minorHAnsi"/>
        </w:rPr>
        <w:t xml:space="preserve"> </w:t>
      </w:r>
      <w:r w:rsidRPr="00A26C26">
        <w:rPr>
          <w:rFonts w:eastAsia="Calibri" w:cstheme="minorHAnsi"/>
        </w:rPr>
        <w:t>zasady</w:t>
      </w:r>
      <w:r w:rsidR="003B50ED">
        <w:rPr>
          <w:rFonts w:eastAsia="Calibri" w:cstheme="minorHAnsi"/>
        </w:rPr>
        <w:t xml:space="preserve"> </w:t>
      </w:r>
      <w:r w:rsidRPr="00A26C26">
        <w:rPr>
          <w:rFonts w:eastAsia="Calibri" w:cstheme="minorHAnsi"/>
        </w:rPr>
        <w:t>podziału</w:t>
      </w:r>
      <w:r w:rsidR="003B50ED">
        <w:rPr>
          <w:rFonts w:eastAsia="Calibri" w:cstheme="minorHAnsi"/>
        </w:rPr>
        <w:t xml:space="preserve"> </w:t>
      </w:r>
      <w:r w:rsidRPr="00A26C26">
        <w:rPr>
          <w:rFonts w:eastAsia="Calibri" w:cstheme="minorHAnsi"/>
        </w:rPr>
        <w:t>środków</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ramach</w:t>
      </w:r>
      <w:r w:rsidR="003B50ED">
        <w:rPr>
          <w:rFonts w:eastAsia="Calibri" w:cstheme="minorHAnsi"/>
        </w:rPr>
        <w:t xml:space="preserve"> </w:t>
      </w:r>
      <w:r w:rsidRPr="00A26C26">
        <w:rPr>
          <w:rFonts w:eastAsia="Calibri" w:cstheme="minorHAnsi"/>
        </w:rPr>
        <w:t>Planu</w:t>
      </w:r>
      <w:r w:rsidR="003B50ED">
        <w:rPr>
          <w:rFonts w:eastAsia="Calibri" w:cstheme="minorHAnsi"/>
        </w:rPr>
        <w:t xml:space="preserve"> </w:t>
      </w:r>
      <w:r w:rsidRPr="00A26C26">
        <w:rPr>
          <w:rFonts w:eastAsia="Calibri" w:cstheme="minorHAnsi"/>
        </w:rPr>
        <w:t>finansowego</w:t>
      </w:r>
      <w:r w:rsidR="003B50ED">
        <w:rPr>
          <w:rFonts w:eastAsia="Calibri" w:cstheme="minorHAnsi"/>
        </w:rPr>
        <w:t xml:space="preserve"> </w:t>
      </w:r>
      <w:r w:rsidRPr="00A26C26">
        <w:rPr>
          <w:rFonts w:eastAsia="Calibri" w:cstheme="minorHAnsi"/>
        </w:rPr>
        <w:t>uwzględniające</w:t>
      </w:r>
      <w:r w:rsidR="003B50ED">
        <w:rPr>
          <w:rFonts w:eastAsia="Calibri" w:cstheme="minorHAnsi"/>
        </w:rPr>
        <w:t xml:space="preserve"> </w:t>
      </w:r>
      <w:r w:rsidRPr="00A26C26">
        <w:rPr>
          <w:rFonts w:eastAsia="Calibri" w:cstheme="minorHAnsi"/>
        </w:rPr>
        <w:t>kamienie</w:t>
      </w:r>
      <w:r w:rsidR="003B50ED">
        <w:rPr>
          <w:rFonts w:eastAsia="Calibri" w:cstheme="minorHAnsi"/>
        </w:rPr>
        <w:t xml:space="preserve"> </w:t>
      </w:r>
      <w:r w:rsidRPr="00A26C26">
        <w:rPr>
          <w:rFonts w:eastAsia="Calibri" w:cstheme="minorHAnsi"/>
        </w:rPr>
        <w:t>milowe</w:t>
      </w:r>
      <w:r w:rsidR="0014638C">
        <w:rPr>
          <w:rFonts w:eastAsia="Calibri" w:cstheme="minorHAnsi"/>
        </w:rPr>
        <w:t>,</w:t>
      </w:r>
      <w:r w:rsidR="003B50ED">
        <w:rPr>
          <w:rFonts w:eastAsia="Calibri" w:cstheme="minorHAnsi"/>
        </w:rPr>
        <w:t xml:space="preserve"> </w:t>
      </w:r>
      <w:r w:rsidRPr="00A26C26">
        <w:rPr>
          <w:rFonts w:eastAsia="Calibri" w:cstheme="minorHAnsi"/>
        </w:rPr>
        <w:t>czy</w:t>
      </w:r>
      <w:r w:rsidR="003B50ED">
        <w:rPr>
          <w:rFonts w:eastAsia="Calibri" w:cstheme="minorHAnsi"/>
        </w:rPr>
        <w:t xml:space="preserve"> </w:t>
      </w:r>
      <w:r w:rsidRPr="00A26C26">
        <w:rPr>
          <w:rFonts w:eastAsia="Calibri" w:cstheme="minorHAnsi"/>
        </w:rPr>
        <w:t>skład</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zasady</w:t>
      </w:r>
      <w:r w:rsidR="003B50ED">
        <w:rPr>
          <w:rFonts w:eastAsia="Calibri" w:cstheme="minorHAnsi"/>
        </w:rPr>
        <w:t xml:space="preserve"> </w:t>
      </w:r>
      <w:r w:rsidRPr="00A26C26">
        <w:rPr>
          <w:rFonts w:eastAsia="Calibri" w:cstheme="minorHAnsi"/>
        </w:rPr>
        <w:t>pracy</w:t>
      </w:r>
      <w:r w:rsidR="003B50ED">
        <w:rPr>
          <w:rFonts w:eastAsia="Calibri" w:cstheme="minorHAnsi"/>
        </w:rPr>
        <w:t xml:space="preserve"> </w:t>
      </w:r>
      <w:r w:rsidRPr="00A26C26">
        <w:rPr>
          <w:rFonts w:eastAsia="Calibri" w:cstheme="minorHAnsi"/>
        </w:rPr>
        <w:t>organu</w:t>
      </w:r>
      <w:r w:rsidR="003B50ED">
        <w:rPr>
          <w:rFonts w:eastAsia="Calibri" w:cstheme="minorHAnsi"/>
        </w:rPr>
        <w:t xml:space="preserve"> </w:t>
      </w:r>
      <w:r w:rsidRPr="00A26C26">
        <w:rPr>
          <w:rFonts w:eastAsia="Calibri" w:cstheme="minorHAnsi"/>
        </w:rPr>
        <w:t>decyzyjnego</w:t>
      </w:r>
      <w:r w:rsidR="003B50ED">
        <w:rPr>
          <w:rFonts w:eastAsia="Calibri" w:cstheme="minorHAnsi"/>
        </w:rPr>
        <w:t xml:space="preserve"> </w:t>
      </w:r>
      <w:r w:rsidRPr="00A26C26">
        <w:rPr>
          <w:rFonts w:eastAsia="Calibri" w:cstheme="minorHAnsi"/>
        </w:rPr>
        <w:t>zostały</w:t>
      </w:r>
      <w:r w:rsidR="003B50ED">
        <w:rPr>
          <w:rFonts w:eastAsia="Calibri" w:cstheme="minorHAnsi"/>
        </w:rPr>
        <w:t xml:space="preserve"> </w:t>
      </w:r>
      <w:r w:rsidRPr="00A26C26">
        <w:rPr>
          <w:rFonts w:eastAsia="Calibri" w:cstheme="minorHAnsi"/>
        </w:rPr>
        <w:t>wypracowane</w:t>
      </w:r>
      <w:r w:rsidR="003B50ED">
        <w:rPr>
          <w:rFonts w:eastAsia="Calibri" w:cstheme="minorHAnsi"/>
        </w:rPr>
        <w:t xml:space="preserve"> </w:t>
      </w:r>
      <w:r w:rsidRPr="00A26C26">
        <w:rPr>
          <w:rFonts w:eastAsia="Calibri" w:cstheme="minorHAnsi"/>
        </w:rPr>
        <w:t>we</w:t>
      </w:r>
      <w:r w:rsidR="003B50ED">
        <w:rPr>
          <w:rFonts w:eastAsia="Calibri" w:cstheme="minorHAnsi"/>
        </w:rPr>
        <w:t xml:space="preserve"> </w:t>
      </w:r>
      <w:r w:rsidRPr="00A26C26">
        <w:rPr>
          <w:rFonts w:eastAsia="Calibri" w:cstheme="minorHAnsi"/>
        </w:rPr>
        <w:t>współpracy</w:t>
      </w:r>
      <w:r w:rsidR="003B50ED">
        <w:rPr>
          <w:rFonts w:eastAsia="Calibri" w:cstheme="minorHAnsi"/>
        </w:rPr>
        <w:t xml:space="preserve"> </w:t>
      </w:r>
      <w:r w:rsidRPr="00A26C26">
        <w:rPr>
          <w:rFonts w:eastAsia="Calibri" w:cstheme="minorHAnsi"/>
        </w:rPr>
        <w:t>z</w:t>
      </w:r>
      <w:r w:rsidR="003B50ED">
        <w:rPr>
          <w:rFonts w:eastAsia="Calibri" w:cstheme="minorHAnsi"/>
        </w:rPr>
        <w:t xml:space="preserve"> </w:t>
      </w:r>
      <w:r w:rsidRPr="00A26C26">
        <w:rPr>
          <w:rFonts w:eastAsia="Calibri" w:cstheme="minorHAnsi"/>
        </w:rPr>
        <w:t>LGD</w:t>
      </w:r>
      <w:r w:rsidR="003B50ED">
        <w:rPr>
          <w:rFonts w:eastAsia="Calibri" w:cstheme="minorHAnsi"/>
        </w:rPr>
        <w:t xml:space="preserve"> </w:t>
      </w:r>
      <w:r w:rsidRPr="00A26C26">
        <w:rPr>
          <w:rFonts w:eastAsia="Calibri" w:cstheme="minorHAnsi"/>
        </w:rPr>
        <w:t>zarówno</w:t>
      </w:r>
      <w:r w:rsidR="003B50ED">
        <w:rPr>
          <w:rFonts w:eastAsia="Calibri" w:cstheme="minorHAnsi"/>
        </w:rPr>
        <w:t xml:space="preserve"> </w:t>
      </w:r>
      <w:r w:rsidRPr="00A26C26">
        <w:rPr>
          <w:rFonts w:eastAsia="Calibri" w:cstheme="minorHAnsi"/>
        </w:rPr>
        <w:t>z</w:t>
      </w:r>
      <w:r w:rsidR="003B50ED">
        <w:rPr>
          <w:rFonts w:eastAsia="Calibri" w:cstheme="minorHAnsi"/>
        </w:rPr>
        <w:t xml:space="preserve"> </w:t>
      </w:r>
      <w:r w:rsidRPr="00A26C26">
        <w:rPr>
          <w:rFonts w:eastAsia="Calibri" w:cstheme="minorHAnsi"/>
        </w:rPr>
        <w:t>obszaru</w:t>
      </w:r>
      <w:r w:rsidR="003B50ED">
        <w:rPr>
          <w:rFonts w:eastAsia="Calibri" w:cstheme="minorHAnsi"/>
        </w:rPr>
        <w:t xml:space="preserve"> </w:t>
      </w:r>
      <w:r w:rsidRPr="00A26C26">
        <w:rPr>
          <w:rFonts w:eastAsia="Calibri" w:cstheme="minorHAnsi"/>
        </w:rPr>
        <w:t>województwa</w:t>
      </w:r>
      <w:r w:rsidR="003B50ED">
        <w:rPr>
          <w:rFonts w:eastAsia="Calibri" w:cstheme="minorHAnsi"/>
        </w:rPr>
        <w:t xml:space="preserve"> </w:t>
      </w:r>
      <w:r w:rsidRPr="00A26C26">
        <w:rPr>
          <w:rFonts w:eastAsia="Calibri" w:cstheme="minorHAnsi"/>
        </w:rPr>
        <w:t>jak</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całego</w:t>
      </w:r>
      <w:r w:rsidR="003B50ED">
        <w:rPr>
          <w:rFonts w:eastAsia="Calibri" w:cstheme="minorHAnsi"/>
        </w:rPr>
        <w:t xml:space="preserve"> </w:t>
      </w:r>
      <w:r w:rsidRPr="00A26C26">
        <w:rPr>
          <w:rFonts w:eastAsia="Calibri" w:cstheme="minorHAnsi"/>
        </w:rPr>
        <w:t>kraju</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ramach</w:t>
      </w:r>
      <w:r w:rsidR="003B50ED">
        <w:rPr>
          <w:rFonts w:eastAsia="Calibri" w:cstheme="minorHAnsi"/>
        </w:rPr>
        <w:t xml:space="preserve"> </w:t>
      </w:r>
      <w:r w:rsidRPr="00A26C26">
        <w:rPr>
          <w:rFonts w:eastAsia="Calibri" w:cstheme="minorHAnsi"/>
        </w:rPr>
        <w:t>Polskiej</w:t>
      </w:r>
      <w:r w:rsidR="003B50ED">
        <w:rPr>
          <w:rFonts w:eastAsia="Calibri" w:cstheme="minorHAnsi"/>
        </w:rPr>
        <w:t xml:space="preserve"> </w:t>
      </w:r>
      <w:r w:rsidRPr="00A26C26">
        <w:rPr>
          <w:rFonts w:eastAsia="Calibri" w:cstheme="minorHAnsi"/>
        </w:rPr>
        <w:t>Sieci</w:t>
      </w:r>
      <w:r w:rsidR="003B50ED">
        <w:rPr>
          <w:rFonts w:eastAsia="Calibri" w:cstheme="minorHAnsi"/>
        </w:rPr>
        <w:t xml:space="preserve"> </w:t>
      </w:r>
      <w:r w:rsidRPr="00A26C26">
        <w:rPr>
          <w:rFonts w:eastAsia="Calibri" w:cstheme="minorHAnsi"/>
        </w:rPr>
        <w:t>LGD</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opierają</w:t>
      </w:r>
      <w:r w:rsidR="003B50ED">
        <w:rPr>
          <w:rFonts w:eastAsia="Calibri" w:cstheme="minorHAnsi"/>
        </w:rPr>
        <w:t xml:space="preserve"> </w:t>
      </w:r>
      <w:r w:rsidRPr="00A26C26">
        <w:rPr>
          <w:rFonts w:eastAsia="Calibri" w:cstheme="minorHAnsi"/>
        </w:rPr>
        <w:t>się</w:t>
      </w:r>
      <w:r w:rsidR="003B50ED">
        <w:rPr>
          <w:rFonts w:eastAsia="Calibri" w:cstheme="minorHAnsi"/>
        </w:rPr>
        <w:t xml:space="preserve"> </w:t>
      </w:r>
      <w:r w:rsidRPr="00A26C26">
        <w:rPr>
          <w:rFonts w:eastAsia="Calibri" w:cstheme="minorHAnsi"/>
        </w:rPr>
        <w:t>na</w:t>
      </w:r>
      <w:r w:rsidR="003B50ED">
        <w:rPr>
          <w:rFonts w:eastAsia="Calibri" w:cstheme="minorHAnsi"/>
        </w:rPr>
        <w:t xml:space="preserve"> </w:t>
      </w:r>
      <w:r w:rsidRPr="00A26C26">
        <w:rPr>
          <w:rFonts w:eastAsia="Calibri" w:cstheme="minorHAnsi"/>
        </w:rPr>
        <w:t>tych</w:t>
      </w:r>
      <w:r w:rsidR="003B50ED">
        <w:rPr>
          <w:rFonts w:eastAsia="Calibri" w:cstheme="minorHAnsi"/>
        </w:rPr>
        <w:t xml:space="preserve"> </w:t>
      </w:r>
      <w:r w:rsidRPr="00A26C26">
        <w:rPr>
          <w:rFonts w:eastAsia="Calibri" w:cstheme="minorHAnsi"/>
        </w:rPr>
        <w:t>samych</w:t>
      </w:r>
      <w:r w:rsidR="003B50ED">
        <w:rPr>
          <w:rFonts w:eastAsia="Calibri" w:cstheme="minorHAnsi"/>
        </w:rPr>
        <w:t xml:space="preserve"> </w:t>
      </w:r>
      <w:r w:rsidRPr="00A26C26">
        <w:rPr>
          <w:rFonts w:eastAsia="Calibri" w:cstheme="minorHAnsi"/>
        </w:rPr>
        <w:t>podstawach</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tym</w:t>
      </w:r>
      <w:r w:rsidR="003B50ED">
        <w:rPr>
          <w:rFonts w:eastAsia="Calibri" w:cstheme="minorHAnsi"/>
        </w:rPr>
        <w:t xml:space="preserve"> </w:t>
      </w:r>
      <w:r w:rsidRPr="00A26C26">
        <w:rPr>
          <w:rFonts w:eastAsia="Calibri" w:cstheme="minorHAnsi"/>
        </w:rPr>
        <w:t>samym</w:t>
      </w:r>
      <w:r w:rsidR="003B50ED">
        <w:rPr>
          <w:rFonts w:eastAsia="Calibri" w:cstheme="minorHAnsi"/>
        </w:rPr>
        <w:t xml:space="preserve"> </w:t>
      </w:r>
      <w:r w:rsidRPr="00A26C26">
        <w:rPr>
          <w:rFonts w:eastAsia="Calibri" w:cstheme="minorHAnsi"/>
        </w:rPr>
        <w:t>na</w:t>
      </w:r>
      <w:r w:rsidR="003B50ED">
        <w:rPr>
          <w:rFonts w:eastAsia="Calibri" w:cstheme="minorHAnsi"/>
        </w:rPr>
        <w:t xml:space="preserve"> </w:t>
      </w:r>
      <w:r w:rsidRPr="00A26C26">
        <w:rPr>
          <w:rFonts w:eastAsia="Calibri" w:cstheme="minorHAnsi"/>
        </w:rPr>
        <w:t>wspólnych</w:t>
      </w:r>
      <w:r w:rsidR="003B50ED">
        <w:rPr>
          <w:rFonts w:eastAsia="Calibri" w:cstheme="minorHAnsi"/>
        </w:rPr>
        <w:t xml:space="preserve"> </w:t>
      </w:r>
      <w:r w:rsidRPr="00A26C26">
        <w:rPr>
          <w:rFonts w:eastAsia="Calibri" w:cstheme="minorHAnsi"/>
        </w:rPr>
        <w:t>założeniach.</w:t>
      </w:r>
      <w:r w:rsidR="003B50ED">
        <w:rPr>
          <w:rFonts w:eastAsia="Calibri" w:cstheme="minorHAnsi"/>
        </w:rPr>
        <w:t xml:space="preserve"> </w:t>
      </w:r>
      <w:r w:rsidRPr="00A26C26">
        <w:rPr>
          <w:rFonts w:eastAsia="Calibri" w:cstheme="minorHAnsi"/>
        </w:rPr>
        <w:t>Z</w:t>
      </w:r>
      <w:r w:rsidR="003B50ED">
        <w:rPr>
          <w:rFonts w:eastAsia="Calibri" w:cstheme="minorHAnsi"/>
        </w:rPr>
        <w:t xml:space="preserve"> </w:t>
      </w:r>
      <w:r w:rsidRPr="00A26C26">
        <w:rPr>
          <w:rFonts w:eastAsia="Calibri" w:cstheme="minorHAnsi"/>
        </w:rPr>
        <w:t>kolei</w:t>
      </w:r>
      <w:r w:rsidR="003B50ED">
        <w:rPr>
          <w:rFonts w:eastAsia="Calibri" w:cstheme="minorHAnsi"/>
        </w:rPr>
        <w:t xml:space="preserve"> </w:t>
      </w:r>
      <w:r w:rsidRPr="00A26C26">
        <w:rPr>
          <w:rFonts w:eastAsia="Calibri" w:cstheme="minorHAnsi"/>
        </w:rPr>
        <w:t>dokumentacja</w:t>
      </w:r>
      <w:r w:rsidR="003B50ED">
        <w:rPr>
          <w:rFonts w:eastAsia="Calibri" w:cstheme="minorHAnsi"/>
        </w:rPr>
        <w:t xml:space="preserve"> </w:t>
      </w:r>
      <w:r w:rsidRPr="00A26C26">
        <w:rPr>
          <w:rFonts w:eastAsia="Calibri" w:cstheme="minorHAnsi"/>
        </w:rPr>
        <w:t>konkursowa</w:t>
      </w:r>
      <w:r w:rsidR="003B50ED">
        <w:rPr>
          <w:rFonts w:eastAsia="Calibri" w:cstheme="minorHAnsi"/>
        </w:rPr>
        <w:t xml:space="preserve"> </w:t>
      </w:r>
      <w:r w:rsidRPr="00A26C26">
        <w:rPr>
          <w:rFonts w:eastAsia="Calibri" w:cstheme="minorHAnsi"/>
        </w:rPr>
        <w:t>dostarczyła</w:t>
      </w:r>
      <w:r w:rsidR="003B50ED">
        <w:rPr>
          <w:rFonts w:eastAsia="Calibri" w:cstheme="minorHAnsi"/>
        </w:rPr>
        <w:t xml:space="preserve"> </w:t>
      </w:r>
      <w:r w:rsidRPr="00A26C26">
        <w:rPr>
          <w:rFonts w:eastAsia="Calibri" w:cstheme="minorHAnsi"/>
        </w:rPr>
        <w:t>cennych</w:t>
      </w:r>
      <w:r w:rsidR="003B50ED">
        <w:rPr>
          <w:rFonts w:eastAsia="Calibri" w:cstheme="minorHAnsi"/>
        </w:rPr>
        <w:t xml:space="preserve"> </w:t>
      </w:r>
      <w:r w:rsidRPr="00A26C26">
        <w:rPr>
          <w:rFonts w:eastAsia="Calibri" w:cstheme="minorHAnsi"/>
        </w:rPr>
        <w:t>wskazówek</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zakresie</w:t>
      </w:r>
      <w:r w:rsidR="003B50ED">
        <w:rPr>
          <w:rFonts w:eastAsia="Calibri" w:cstheme="minorHAnsi"/>
        </w:rPr>
        <w:t xml:space="preserve"> </w:t>
      </w:r>
      <w:r w:rsidRPr="00A26C26">
        <w:rPr>
          <w:rFonts w:eastAsia="Calibri" w:cstheme="minorHAnsi"/>
        </w:rPr>
        <w:t>aspektów,</w:t>
      </w:r>
      <w:r w:rsidR="003B50ED">
        <w:rPr>
          <w:rFonts w:eastAsia="Calibri" w:cstheme="minorHAnsi"/>
        </w:rPr>
        <w:t xml:space="preserve"> </w:t>
      </w:r>
      <w:r w:rsidRPr="00A26C26">
        <w:rPr>
          <w:rFonts w:eastAsia="Calibri" w:cstheme="minorHAnsi"/>
        </w:rPr>
        <w:t>na</w:t>
      </w:r>
      <w:r w:rsidR="003B50ED">
        <w:rPr>
          <w:rFonts w:eastAsia="Calibri" w:cstheme="minorHAnsi"/>
        </w:rPr>
        <w:t xml:space="preserve"> </w:t>
      </w:r>
      <w:r w:rsidRPr="00A26C26">
        <w:rPr>
          <w:rFonts w:eastAsia="Calibri" w:cstheme="minorHAnsi"/>
        </w:rPr>
        <w:t>jakich</w:t>
      </w:r>
      <w:r w:rsidR="003B50ED">
        <w:rPr>
          <w:rFonts w:eastAsia="Calibri" w:cstheme="minorHAnsi"/>
        </w:rPr>
        <w:t xml:space="preserve"> </w:t>
      </w:r>
      <w:r w:rsidRPr="00A26C26">
        <w:rPr>
          <w:rFonts w:eastAsia="Calibri" w:cstheme="minorHAnsi"/>
        </w:rPr>
        <w:t>należało</w:t>
      </w:r>
      <w:r w:rsidR="003B50ED">
        <w:rPr>
          <w:rFonts w:eastAsia="Calibri" w:cstheme="minorHAnsi"/>
        </w:rPr>
        <w:t xml:space="preserve"> </w:t>
      </w:r>
      <w:r w:rsidRPr="00A26C26">
        <w:rPr>
          <w:rFonts w:eastAsia="Calibri" w:cstheme="minorHAnsi"/>
        </w:rPr>
        <w:t>się</w:t>
      </w:r>
      <w:r w:rsidR="003B50ED">
        <w:rPr>
          <w:rFonts w:eastAsia="Calibri" w:cstheme="minorHAnsi"/>
        </w:rPr>
        <w:t xml:space="preserve"> </w:t>
      </w:r>
      <w:r w:rsidRPr="00A26C26">
        <w:rPr>
          <w:rFonts w:eastAsia="Calibri" w:cstheme="minorHAnsi"/>
        </w:rPr>
        <w:t>koncentrować,</w:t>
      </w:r>
      <w:r w:rsidR="003B50ED">
        <w:rPr>
          <w:rFonts w:eastAsia="Calibri" w:cstheme="minorHAnsi"/>
        </w:rPr>
        <w:t xml:space="preserve"> </w:t>
      </w:r>
      <w:r w:rsidRPr="00A26C26">
        <w:rPr>
          <w:rFonts w:eastAsia="Calibri" w:cstheme="minorHAnsi"/>
        </w:rPr>
        <w:t>żeby</w:t>
      </w:r>
      <w:r w:rsidR="003B50ED">
        <w:rPr>
          <w:rFonts w:eastAsia="Calibri" w:cstheme="minorHAnsi"/>
        </w:rPr>
        <w:t xml:space="preserve"> </w:t>
      </w:r>
      <w:r w:rsidRPr="00A26C26">
        <w:rPr>
          <w:rFonts w:eastAsia="Calibri" w:cstheme="minorHAnsi"/>
        </w:rPr>
        <w:t>spełnić</w:t>
      </w:r>
      <w:r w:rsidR="003B50ED">
        <w:rPr>
          <w:rFonts w:eastAsia="Calibri" w:cstheme="minorHAnsi"/>
        </w:rPr>
        <w:t xml:space="preserve"> </w:t>
      </w:r>
      <w:r w:rsidRPr="00A26C26">
        <w:rPr>
          <w:rFonts w:eastAsia="Calibri" w:cstheme="minorHAnsi"/>
        </w:rPr>
        <w:t>wymogi</w:t>
      </w:r>
      <w:r w:rsidR="003B50ED">
        <w:rPr>
          <w:rFonts w:eastAsia="Calibri" w:cstheme="minorHAnsi"/>
        </w:rPr>
        <w:t xml:space="preserve"> </w:t>
      </w:r>
      <w:r w:rsidRPr="00A26C26">
        <w:rPr>
          <w:rFonts w:eastAsia="Calibri" w:cstheme="minorHAnsi"/>
        </w:rPr>
        <w:t>określone</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dokumentacji</w:t>
      </w:r>
      <w:r w:rsidR="003B50ED">
        <w:rPr>
          <w:rFonts w:eastAsia="Calibri" w:cstheme="minorHAnsi"/>
        </w:rPr>
        <w:t xml:space="preserve"> </w:t>
      </w:r>
      <w:r w:rsidRPr="00A26C26">
        <w:rPr>
          <w:rFonts w:eastAsia="Calibri" w:cstheme="minorHAnsi"/>
        </w:rPr>
        <w:t>konkursowej.</w:t>
      </w:r>
    </w:p>
    <w:p w14:paraId="71679136" w14:textId="487D8B75" w:rsidR="00E2372E" w:rsidRPr="00A26C26" w:rsidRDefault="00E2372E" w:rsidP="00A26C26">
      <w:pPr>
        <w:spacing w:line="276" w:lineRule="auto"/>
        <w:ind w:firstLine="284"/>
        <w:jc w:val="both"/>
        <w:rPr>
          <w:rFonts w:eastAsia="Calibri" w:cstheme="minorHAnsi"/>
        </w:rPr>
      </w:pPr>
      <w:r w:rsidRPr="00A26C26">
        <w:rPr>
          <w:rFonts w:eastAsia="Calibri" w:cstheme="minorHAnsi"/>
        </w:rPr>
        <w:lastRenderedPageBreak/>
        <w:t>Mając</w:t>
      </w:r>
      <w:r w:rsidR="003B50ED">
        <w:rPr>
          <w:rFonts w:eastAsia="Calibri" w:cstheme="minorHAnsi"/>
        </w:rPr>
        <w:t xml:space="preserve"> </w:t>
      </w:r>
      <w:r w:rsidRPr="00A26C26">
        <w:rPr>
          <w:rFonts w:eastAsia="Calibri" w:cstheme="minorHAnsi"/>
        </w:rPr>
        <w:t>powyższe</w:t>
      </w:r>
      <w:r w:rsidR="003B50ED">
        <w:rPr>
          <w:rFonts w:eastAsia="Calibri" w:cstheme="minorHAnsi"/>
        </w:rPr>
        <w:t xml:space="preserve"> </w:t>
      </w:r>
      <w:r w:rsidRPr="00A26C26">
        <w:rPr>
          <w:rFonts w:eastAsia="Calibri" w:cstheme="minorHAnsi"/>
        </w:rPr>
        <w:t>na</w:t>
      </w:r>
      <w:r w:rsidR="003B50ED">
        <w:rPr>
          <w:rFonts w:eastAsia="Calibri" w:cstheme="minorHAnsi"/>
        </w:rPr>
        <w:t xml:space="preserve"> </w:t>
      </w:r>
      <w:r w:rsidRPr="00A26C26">
        <w:rPr>
          <w:rFonts w:eastAsia="Calibri" w:cstheme="minorHAnsi"/>
        </w:rPr>
        <w:t>uwadze,</w:t>
      </w:r>
      <w:r w:rsidR="003B50ED">
        <w:rPr>
          <w:rFonts w:eastAsia="Calibri" w:cstheme="minorHAnsi"/>
        </w:rPr>
        <w:t xml:space="preserve"> </w:t>
      </w:r>
      <w:r w:rsidRPr="00A26C26">
        <w:rPr>
          <w:rFonts w:eastAsia="Calibri" w:cstheme="minorHAnsi"/>
        </w:rPr>
        <w:t>uprawnione</w:t>
      </w:r>
      <w:r w:rsidR="003B50ED">
        <w:rPr>
          <w:rFonts w:eastAsia="Calibri" w:cstheme="minorHAnsi"/>
        </w:rPr>
        <w:t xml:space="preserve"> </w:t>
      </w:r>
      <w:r w:rsidRPr="00A26C26">
        <w:rPr>
          <w:rFonts w:eastAsia="Calibri" w:cstheme="minorHAnsi"/>
        </w:rPr>
        <w:t>jest</w:t>
      </w:r>
      <w:r w:rsidR="003B50ED">
        <w:rPr>
          <w:rFonts w:eastAsia="Calibri" w:cstheme="minorHAnsi"/>
        </w:rPr>
        <w:t xml:space="preserve"> </w:t>
      </w:r>
      <w:r w:rsidRPr="00A26C26">
        <w:rPr>
          <w:rFonts w:eastAsia="Calibri" w:cstheme="minorHAnsi"/>
        </w:rPr>
        <w:t>stwierdzenie,</w:t>
      </w:r>
      <w:r w:rsidR="003B50ED">
        <w:rPr>
          <w:rFonts w:eastAsia="Calibri" w:cstheme="minorHAnsi"/>
        </w:rPr>
        <w:t xml:space="preserve"> </w:t>
      </w:r>
      <w:r w:rsidRPr="00A26C26">
        <w:rPr>
          <w:rFonts w:eastAsia="Calibri" w:cstheme="minorHAnsi"/>
        </w:rPr>
        <w:t>że</w:t>
      </w:r>
      <w:r w:rsidR="003B50ED">
        <w:rPr>
          <w:rFonts w:eastAsia="Calibri" w:cstheme="minorHAnsi"/>
        </w:rPr>
        <w:t xml:space="preserve"> </w:t>
      </w:r>
      <w:r w:rsidRPr="00A26C26">
        <w:rPr>
          <w:rFonts w:eastAsia="Calibri" w:cstheme="minorHAnsi"/>
        </w:rPr>
        <w:t>niniejszy</w:t>
      </w:r>
      <w:r w:rsidR="003B50ED">
        <w:rPr>
          <w:rFonts w:eastAsia="Calibri" w:cstheme="minorHAnsi"/>
        </w:rPr>
        <w:t xml:space="preserve"> </w:t>
      </w:r>
      <w:r w:rsidRPr="00A26C26">
        <w:rPr>
          <w:rFonts w:eastAsia="Calibri" w:cstheme="minorHAnsi"/>
        </w:rPr>
        <w:t>dokument</w:t>
      </w:r>
      <w:r w:rsidR="003B50ED">
        <w:rPr>
          <w:rFonts w:eastAsia="Calibri" w:cstheme="minorHAnsi"/>
        </w:rPr>
        <w:t xml:space="preserve"> </w:t>
      </w:r>
      <w:r w:rsidRPr="00A26C26">
        <w:rPr>
          <w:rFonts w:eastAsia="Calibri" w:cstheme="minorHAnsi"/>
        </w:rPr>
        <w:t>to</w:t>
      </w:r>
      <w:r w:rsidR="003B50ED">
        <w:rPr>
          <w:rFonts w:eastAsia="Calibri" w:cstheme="minorHAnsi"/>
        </w:rPr>
        <w:t xml:space="preserve"> </w:t>
      </w:r>
      <w:r w:rsidRPr="00A26C26">
        <w:rPr>
          <w:rFonts w:eastAsia="Calibri" w:cstheme="minorHAnsi"/>
        </w:rPr>
        <w:t>efekt</w:t>
      </w:r>
      <w:r w:rsidR="003B50ED">
        <w:rPr>
          <w:rFonts w:eastAsia="Calibri" w:cstheme="minorHAnsi"/>
        </w:rPr>
        <w:t xml:space="preserve"> </w:t>
      </w:r>
      <w:r w:rsidRPr="00A26C26">
        <w:rPr>
          <w:rFonts w:eastAsia="Calibri" w:cstheme="minorHAnsi"/>
        </w:rPr>
        <w:t>pracy</w:t>
      </w:r>
      <w:r w:rsidR="003B50ED">
        <w:rPr>
          <w:rFonts w:eastAsia="Calibri" w:cstheme="minorHAnsi"/>
        </w:rPr>
        <w:t xml:space="preserve"> </w:t>
      </w:r>
      <w:r w:rsidRPr="00A26C26">
        <w:rPr>
          <w:rFonts w:eastAsia="Calibri" w:cstheme="minorHAnsi"/>
        </w:rPr>
        <w:t>wielu</w:t>
      </w:r>
      <w:r w:rsidR="003B50ED">
        <w:rPr>
          <w:rFonts w:eastAsia="Calibri" w:cstheme="minorHAnsi"/>
        </w:rPr>
        <w:t xml:space="preserve"> </w:t>
      </w:r>
      <w:r w:rsidRPr="00A26C26">
        <w:rPr>
          <w:rFonts w:eastAsia="Calibri" w:cstheme="minorHAnsi"/>
        </w:rPr>
        <w:t>osób,</w:t>
      </w:r>
      <w:r w:rsidR="003B50ED">
        <w:rPr>
          <w:rFonts w:eastAsia="Calibri" w:cstheme="minorHAnsi"/>
        </w:rPr>
        <w:t xml:space="preserve"> </w:t>
      </w:r>
      <w:r w:rsidRPr="00A26C26">
        <w:rPr>
          <w:rFonts w:eastAsia="Calibri" w:cstheme="minorHAnsi"/>
        </w:rPr>
        <w:t>które</w:t>
      </w:r>
      <w:r w:rsidR="003B50ED">
        <w:rPr>
          <w:rFonts w:eastAsia="Calibri" w:cstheme="minorHAnsi"/>
        </w:rPr>
        <w:t xml:space="preserve"> </w:t>
      </w:r>
      <w:r w:rsidRPr="00A26C26">
        <w:rPr>
          <w:rFonts w:eastAsia="Calibri" w:cstheme="minorHAnsi"/>
        </w:rPr>
        <w:t>zgłaszały</w:t>
      </w:r>
      <w:r w:rsidR="003B50ED">
        <w:rPr>
          <w:rFonts w:eastAsia="Calibri" w:cstheme="minorHAnsi"/>
        </w:rPr>
        <w:t xml:space="preserve"> </w:t>
      </w:r>
      <w:r w:rsidRPr="00A26C26">
        <w:rPr>
          <w:rFonts w:eastAsia="Calibri" w:cstheme="minorHAnsi"/>
        </w:rPr>
        <w:t>propozycje</w:t>
      </w:r>
      <w:r w:rsidR="003B50ED">
        <w:rPr>
          <w:rFonts w:eastAsia="Calibri" w:cstheme="minorHAnsi"/>
        </w:rPr>
        <w:t xml:space="preserve"> </w:t>
      </w:r>
      <w:r w:rsidRPr="00A26C26">
        <w:rPr>
          <w:rFonts w:eastAsia="Calibri" w:cstheme="minorHAnsi"/>
        </w:rPr>
        <w:t>rozwiązań</w:t>
      </w:r>
      <w:r w:rsidR="003B50ED">
        <w:rPr>
          <w:rFonts w:eastAsia="Calibri" w:cstheme="minorHAnsi"/>
        </w:rPr>
        <w:t xml:space="preserve"> </w:t>
      </w:r>
      <w:r w:rsidRPr="00A26C26">
        <w:rPr>
          <w:rFonts w:eastAsia="Calibri" w:cstheme="minorHAnsi"/>
        </w:rPr>
        <w:t>lub</w:t>
      </w:r>
      <w:r w:rsidR="003B50ED">
        <w:rPr>
          <w:rFonts w:eastAsia="Calibri" w:cstheme="minorHAnsi"/>
        </w:rPr>
        <w:t xml:space="preserve"> </w:t>
      </w:r>
      <w:r w:rsidRPr="00A26C26">
        <w:rPr>
          <w:rFonts w:eastAsia="Calibri" w:cstheme="minorHAnsi"/>
        </w:rPr>
        <w:t>wnosiły</w:t>
      </w:r>
      <w:r w:rsidR="003B50ED">
        <w:rPr>
          <w:rFonts w:eastAsia="Calibri" w:cstheme="minorHAnsi"/>
        </w:rPr>
        <w:t xml:space="preserve"> </w:t>
      </w:r>
      <w:r w:rsidRPr="00A26C26">
        <w:rPr>
          <w:rFonts w:eastAsia="Calibri" w:cstheme="minorHAnsi"/>
        </w:rPr>
        <w:t>swoje</w:t>
      </w:r>
      <w:r w:rsidR="003B50ED">
        <w:rPr>
          <w:rFonts w:eastAsia="Calibri" w:cstheme="minorHAnsi"/>
        </w:rPr>
        <w:t xml:space="preserve"> </w:t>
      </w:r>
      <w:r w:rsidRPr="00A26C26">
        <w:rPr>
          <w:rFonts w:eastAsia="Calibri" w:cstheme="minorHAnsi"/>
        </w:rPr>
        <w:t>uwagi</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trakcie</w:t>
      </w:r>
      <w:r w:rsidR="003B50ED">
        <w:rPr>
          <w:rFonts w:eastAsia="Calibri" w:cstheme="minorHAnsi"/>
        </w:rPr>
        <w:t xml:space="preserve"> </w:t>
      </w:r>
      <w:r w:rsidRPr="00A26C26">
        <w:rPr>
          <w:rFonts w:eastAsia="Calibri" w:cstheme="minorHAnsi"/>
        </w:rPr>
        <w:t>różnorodnych</w:t>
      </w:r>
      <w:r w:rsidR="003B50ED">
        <w:rPr>
          <w:rFonts w:eastAsia="Calibri" w:cstheme="minorHAnsi"/>
        </w:rPr>
        <w:t xml:space="preserve"> </w:t>
      </w:r>
      <w:r w:rsidRPr="00A26C26">
        <w:rPr>
          <w:rFonts w:eastAsia="Calibri" w:cstheme="minorHAnsi"/>
        </w:rPr>
        <w:t>form</w:t>
      </w:r>
      <w:r w:rsidR="003B50ED">
        <w:rPr>
          <w:rFonts w:eastAsia="Calibri" w:cstheme="minorHAnsi"/>
        </w:rPr>
        <w:t xml:space="preserve"> </w:t>
      </w:r>
      <w:r w:rsidRPr="00A26C26">
        <w:rPr>
          <w:rFonts w:eastAsia="Calibri" w:cstheme="minorHAnsi"/>
        </w:rPr>
        <w:t>konsultacji</w:t>
      </w:r>
      <w:r w:rsidR="003B50ED">
        <w:rPr>
          <w:rFonts w:eastAsia="Calibri" w:cstheme="minorHAnsi"/>
        </w:rPr>
        <w:t xml:space="preserve"> </w:t>
      </w:r>
      <w:r w:rsidRPr="00A26C26">
        <w:rPr>
          <w:rFonts w:eastAsia="Calibri" w:cstheme="minorHAnsi"/>
        </w:rPr>
        <w:t>społecznych.</w:t>
      </w:r>
      <w:r w:rsidR="003B50ED">
        <w:rPr>
          <w:rFonts w:eastAsia="Calibri" w:cstheme="minorHAnsi"/>
        </w:rPr>
        <w:t xml:space="preserve"> </w:t>
      </w:r>
      <w:r w:rsidRPr="00A26C26">
        <w:rPr>
          <w:rFonts w:eastAsia="Calibri" w:cstheme="minorHAnsi"/>
        </w:rPr>
        <w:t>Zapewniliśmy,</w:t>
      </w:r>
      <w:r w:rsidR="003B50ED">
        <w:rPr>
          <w:rFonts w:eastAsia="Calibri" w:cstheme="minorHAnsi"/>
        </w:rPr>
        <w:t xml:space="preserve"> </w:t>
      </w:r>
      <w:r w:rsidRPr="00A26C26">
        <w:rPr>
          <w:rFonts w:eastAsia="Calibri" w:cstheme="minorHAnsi"/>
        </w:rPr>
        <w:t>żeby</w:t>
      </w:r>
      <w:r w:rsidR="003B50ED">
        <w:rPr>
          <w:rFonts w:eastAsia="Calibri" w:cstheme="minorHAnsi"/>
        </w:rPr>
        <w:t xml:space="preserve"> </w:t>
      </w:r>
      <w:r w:rsidRPr="00A26C26">
        <w:rPr>
          <w:rFonts w:eastAsia="Calibri" w:cstheme="minorHAnsi"/>
        </w:rPr>
        <w:t>odbywały</w:t>
      </w:r>
      <w:r w:rsidR="003B50ED">
        <w:rPr>
          <w:rFonts w:eastAsia="Calibri" w:cstheme="minorHAnsi"/>
        </w:rPr>
        <w:t xml:space="preserve"> </w:t>
      </w:r>
      <w:r w:rsidRPr="00A26C26">
        <w:rPr>
          <w:rFonts w:eastAsia="Calibri" w:cstheme="minorHAnsi"/>
        </w:rPr>
        <w:t>się</w:t>
      </w:r>
      <w:r w:rsidR="003B50ED">
        <w:rPr>
          <w:rFonts w:eastAsia="Calibri" w:cstheme="minorHAnsi"/>
        </w:rPr>
        <w:t xml:space="preserve"> </w:t>
      </w:r>
      <w:r w:rsidRPr="00A26C26">
        <w:rPr>
          <w:rFonts w:eastAsia="Calibri" w:cstheme="minorHAnsi"/>
        </w:rPr>
        <w:t>na</w:t>
      </w:r>
      <w:r w:rsidR="003B50ED">
        <w:rPr>
          <w:rFonts w:eastAsia="Calibri" w:cstheme="minorHAnsi"/>
        </w:rPr>
        <w:t xml:space="preserve"> </w:t>
      </w:r>
      <w:r w:rsidRPr="00A26C26">
        <w:rPr>
          <w:rFonts w:eastAsia="Calibri" w:cstheme="minorHAnsi"/>
        </w:rPr>
        <w:t>przestrzeni</w:t>
      </w:r>
      <w:r w:rsidR="003B50ED">
        <w:rPr>
          <w:rFonts w:eastAsia="Calibri" w:cstheme="minorHAnsi"/>
        </w:rPr>
        <w:t xml:space="preserve"> </w:t>
      </w:r>
      <w:r w:rsidRPr="00A26C26">
        <w:rPr>
          <w:rFonts w:eastAsia="Calibri" w:cstheme="minorHAnsi"/>
        </w:rPr>
        <w:t>całego</w:t>
      </w:r>
      <w:r w:rsidR="003B50ED">
        <w:rPr>
          <w:rFonts w:eastAsia="Calibri" w:cstheme="minorHAnsi"/>
        </w:rPr>
        <w:t xml:space="preserve"> </w:t>
      </w:r>
      <w:r w:rsidRPr="00A26C26">
        <w:rPr>
          <w:rFonts w:eastAsia="Calibri" w:cstheme="minorHAnsi"/>
        </w:rPr>
        <w:t>procesu</w:t>
      </w:r>
      <w:r w:rsidR="003B50ED">
        <w:rPr>
          <w:rFonts w:eastAsia="Calibri" w:cstheme="minorHAnsi"/>
        </w:rPr>
        <w:t xml:space="preserve"> </w:t>
      </w:r>
      <w:r w:rsidRPr="00A26C26">
        <w:rPr>
          <w:rFonts w:eastAsia="Calibri" w:cstheme="minorHAnsi"/>
        </w:rPr>
        <w:t>tworzenia</w:t>
      </w:r>
      <w:r w:rsidR="003B50ED">
        <w:rPr>
          <w:rFonts w:eastAsia="Calibri" w:cstheme="minorHAnsi"/>
        </w:rPr>
        <w:t xml:space="preserve"> </w:t>
      </w:r>
      <w:r w:rsidRPr="00A26C26">
        <w:rPr>
          <w:rFonts w:eastAsia="Calibri" w:cstheme="minorHAnsi"/>
        </w:rPr>
        <w:t>LSR</w:t>
      </w:r>
      <w:r w:rsidR="003B50ED">
        <w:rPr>
          <w:rFonts w:eastAsia="Calibri" w:cstheme="minorHAnsi"/>
        </w:rPr>
        <w:t xml:space="preserve"> </w:t>
      </w:r>
      <w:r w:rsidRPr="00A26C26">
        <w:rPr>
          <w:rFonts w:eastAsia="Calibri" w:cstheme="minorHAnsi"/>
        </w:rPr>
        <w:t>z</w:t>
      </w:r>
      <w:r w:rsidR="003B50ED">
        <w:rPr>
          <w:rFonts w:eastAsia="Calibri" w:cstheme="minorHAnsi"/>
        </w:rPr>
        <w:t xml:space="preserve"> </w:t>
      </w:r>
      <w:r w:rsidR="00CD1159">
        <w:rPr>
          <w:rFonts w:eastAsia="Calibri" w:cstheme="minorHAnsi"/>
        </w:rPr>
        <w:t>równą</w:t>
      </w:r>
      <w:r w:rsidR="003B50ED">
        <w:rPr>
          <w:rFonts w:eastAsia="Calibri" w:cstheme="minorHAnsi"/>
        </w:rPr>
        <w:t xml:space="preserve"> </w:t>
      </w:r>
      <w:r w:rsidRPr="00A26C26">
        <w:rPr>
          <w:rFonts w:eastAsia="Calibri" w:cstheme="minorHAnsi"/>
        </w:rPr>
        <w:t>intensywnością</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otwartością.</w:t>
      </w:r>
      <w:r w:rsidR="003B50ED">
        <w:rPr>
          <w:rFonts w:eastAsia="Calibri" w:cstheme="minorHAnsi"/>
        </w:rPr>
        <w:t xml:space="preserve"> </w:t>
      </w:r>
      <w:r w:rsidRPr="00A26C26">
        <w:rPr>
          <w:rFonts w:eastAsia="Calibri" w:cstheme="minorHAnsi"/>
        </w:rPr>
        <w:t>Ostateczny</w:t>
      </w:r>
      <w:r w:rsidR="003B50ED">
        <w:rPr>
          <w:rFonts w:eastAsia="Calibri" w:cstheme="minorHAnsi"/>
        </w:rPr>
        <w:t xml:space="preserve"> </w:t>
      </w:r>
      <w:r w:rsidRPr="00A26C26">
        <w:rPr>
          <w:rFonts w:eastAsia="Calibri" w:cstheme="minorHAnsi"/>
        </w:rPr>
        <w:t>kształt</w:t>
      </w:r>
      <w:r w:rsidR="003B50ED">
        <w:rPr>
          <w:rFonts w:eastAsia="Calibri" w:cstheme="minorHAnsi"/>
        </w:rPr>
        <w:t xml:space="preserve"> </w:t>
      </w:r>
      <w:r w:rsidRPr="00A26C26">
        <w:rPr>
          <w:rFonts w:eastAsia="Calibri" w:cstheme="minorHAnsi"/>
        </w:rPr>
        <w:t>dokumentu</w:t>
      </w:r>
      <w:r w:rsidR="003B50ED">
        <w:rPr>
          <w:rFonts w:eastAsia="Calibri" w:cstheme="minorHAnsi"/>
        </w:rPr>
        <w:t xml:space="preserve"> </w:t>
      </w:r>
      <w:r w:rsidRPr="00A26C26">
        <w:rPr>
          <w:rFonts w:eastAsia="Calibri" w:cstheme="minorHAnsi"/>
        </w:rPr>
        <w:t>powstał</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ramach</w:t>
      </w:r>
      <w:r w:rsidR="003B50ED">
        <w:rPr>
          <w:rFonts w:eastAsia="Calibri" w:cstheme="minorHAnsi"/>
        </w:rPr>
        <w:t xml:space="preserve"> </w:t>
      </w:r>
      <w:r w:rsidRPr="00A26C26">
        <w:rPr>
          <w:rFonts w:eastAsia="Calibri" w:cstheme="minorHAnsi"/>
        </w:rPr>
        <w:t>prac</w:t>
      </w:r>
      <w:r w:rsidR="003B50ED">
        <w:rPr>
          <w:rFonts w:eastAsia="Calibri" w:cstheme="minorHAnsi"/>
        </w:rPr>
        <w:t xml:space="preserve"> </w:t>
      </w:r>
      <w:r w:rsidRPr="00A26C26">
        <w:rPr>
          <w:rFonts w:eastAsia="Calibri" w:cstheme="minorHAnsi"/>
        </w:rPr>
        <w:t>Zespołu</w:t>
      </w:r>
      <w:r w:rsidR="003B50ED">
        <w:rPr>
          <w:rFonts w:eastAsia="Calibri" w:cstheme="minorHAnsi"/>
        </w:rPr>
        <w:t xml:space="preserve"> </w:t>
      </w:r>
      <w:r w:rsidRPr="00A26C26">
        <w:rPr>
          <w:rFonts w:eastAsia="Calibri" w:cstheme="minorHAnsi"/>
        </w:rPr>
        <w:t>ds.</w:t>
      </w:r>
      <w:r w:rsidR="003B50ED">
        <w:rPr>
          <w:rFonts w:eastAsia="Calibri" w:cstheme="minorHAnsi"/>
        </w:rPr>
        <w:t xml:space="preserve"> </w:t>
      </w:r>
      <w:r w:rsidRPr="00A26C26">
        <w:rPr>
          <w:rFonts w:eastAsia="Calibri" w:cstheme="minorHAnsi"/>
        </w:rPr>
        <w:t>LSR.</w:t>
      </w:r>
      <w:r w:rsidR="003B50ED">
        <w:rPr>
          <w:rFonts w:eastAsia="Calibri" w:cstheme="minorHAnsi"/>
        </w:rPr>
        <w:t xml:space="preserve"> </w:t>
      </w:r>
      <w:r w:rsidRPr="00A26C26">
        <w:rPr>
          <w:rFonts w:eastAsia="Calibri" w:cstheme="minorHAnsi"/>
        </w:rPr>
        <w:t>Wszelkie</w:t>
      </w:r>
      <w:r w:rsidR="003B50ED">
        <w:rPr>
          <w:rFonts w:eastAsia="Calibri" w:cstheme="minorHAnsi"/>
        </w:rPr>
        <w:t xml:space="preserve"> </w:t>
      </w:r>
      <w:r w:rsidRPr="00A26C26">
        <w:rPr>
          <w:rFonts w:eastAsia="Calibri" w:cstheme="minorHAnsi"/>
        </w:rPr>
        <w:t>dodatkowe</w:t>
      </w:r>
      <w:r w:rsidR="003B50ED">
        <w:rPr>
          <w:rFonts w:eastAsia="Calibri" w:cstheme="minorHAnsi"/>
        </w:rPr>
        <w:t xml:space="preserve"> </w:t>
      </w:r>
      <w:r w:rsidRPr="00A26C26">
        <w:rPr>
          <w:rFonts w:eastAsia="Calibri" w:cstheme="minorHAnsi"/>
        </w:rPr>
        <w:t>konsultacje</w:t>
      </w:r>
      <w:r w:rsidR="003B50ED">
        <w:rPr>
          <w:rFonts w:eastAsia="Calibri" w:cstheme="minorHAnsi"/>
        </w:rPr>
        <w:t xml:space="preserve"> </w:t>
      </w:r>
      <w:r w:rsidRPr="00A26C26">
        <w:rPr>
          <w:rFonts w:eastAsia="Calibri" w:cstheme="minorHAnsi"/>
        </w:rPr>
        <w:t>z</w:t>
      </w:r>
      <w:r w:rsidR="003B50ED">
        <w:rPr>
          <w:rFonts w:eastAsia="Calibri" w:cstheme="minorHAnsi"/>
        </w:rPr>
        <w:t xml:space="preserve"> </w:t>
      </w:r>
      <w:r w:rsidRPr="00A26C26">
        <w:rPr>
          <w:rFonts w:eastAsia="Calibri" w:cstheme="minorHAnsi"/>
        </w:rPr>
        <w:t>innymi</w:t>
      </w:r>
      <w:r w:rsidR="003B50ED">
        <w:rPr>
          <w:rFonts w:eastAsia="Calibri" w:cstheme="minorHAnsi"/>
        </w:rPr>
        <w:t xml:space="preserve"> </w:t>
      </w:r>
      <w:r w:rsidRPr="00A26C26">
        <w:rPr>
          <w:rFonts w:eastAsia="Calibri" w:cstheme="minorHAnsi"/>
        </w:rPr>
        <w:t>grupami</w:t>
      </w:r>
      <w:r w:rsidR="003B50ED">
        <w:rPr>
          <w:rFonts w:eastAsia="Calibri" w:cstheme="minorHAnsi"/>
        </w:rPr>
        <w:t xml:space="preserve"> </w:t>
      </w:r>
      <w:r w:rsidRPr="00A26C26">
        <w:rPr>
          <w:rFonts w:eastAsia="Calibri" w:cstheme="minorHAnsi"/>
        </w:rPr>
        <w:t>lub</w:t>
      </w:r>
      <w:r w:rsidR="003B50ED">
        <w:rPr>
          <w:rFonts w:eastAsia="Calibri" w:cstheme="minorHAnsi"/>
        </w:rPr>
        <w:t xml:space="preserve"> </w:t>
      </w:r>
      <w:r w:rsidRPr="00A26C26">
        <w:rPr>
          <w:rFonts w:eastAsia="Calibri" w:cstheme="minorHAnsi"/>
        </w:rPr>
        <w:t>zespołami</w:t>
      </w:r>
      <w:r w:rsidR="003B50ED">
        <w:rPr>
          <w:rFonts w:eastAsia="Calibri" w:cstheme="minorHAnsi"/>
        </w:rPr>
        <w:t xml:space="preserve"> </w:t>
      </w:r>
      <w:r w:rsidRPr="00A26C26">
        <w:rPr>
          <w:rFonts w:eastAsia="Calibri" w:cstheme="minorHAnsi"/>
        </w:rPr>
        <w:t>roboczymi</w:t>
      </w:r>
      <w:r w:rsidR="003B50ED">
        <w:rPr>
          <w:rFonts w:eastAsia="Calibri" w:cstheme="minorHAnsi"/>
        </w:rPr>
        <w:t xml:space="preserve"> </w:t>
      </w:r>
      <w:r w:rsidRPr="00A26C26">
        <w:rPr>
          <w:rFonts w:eastAsia="Calibri" w:cstheme="minorHAnsi"/>
        </w:rPr>
        <w:t>miały</w:t>
      </w:r>
      <w:r w:rsidR="003B50ED">
        <w:rPr>
          <w:rFonts w:eastAsia="Calibri" w:cstheme="minorHAnsi"/>
        </w:rPr>
        <w:t xml:space="preserve"> </w:t>
      </w:r>
      <w:r w:rsidRPr="00A26C26">
        <w:rPr>
          <w:rFonts w:eastAsia="Calibri" w:cstheme="minorHAnsi"/>
        </w:rPr>
        <w:t>z</w:t>
      </w:r>
      <w:r w:rsidR="003B50ED">
        <w:rPr>
          <w:rFonts w:eastAsia="Calibri" w:cstheme="minorHAnsi"/>
        </w:rPr>
        <w:t xml:space="preserve"> </w:t>
      </w:r>
      <w:r w:rsidRPr="00A26C26">
        <w:rPr>
          <w:rFonts w:eastAsia="Calibri" w:cstheme="minorHAnsi"/>
        </w:rPr>
        <w:t>jednej</w:t>
      </w:r>
      <w:r w:rsidR="003B50ED">
        <w:rPr>
          <w:rFonts w:eastAsia="Calibri" w:cstheme="minorHAnsi"/>
        </w:rPr>
        <w:t xml:space="preserve"> </w:t>
      </w:r>
      <w:r w:rsidRPr="00A26C26">
        <w:rPr>
          <w:rFonts w:eastAsia="Calibri" w:cstheme="minorHAnsi"/>
        </w:rPr>
        <w:t>strony</w:t>
      </w:r>
      <w:r w:rsidR="003B50ED">
        <w:rPr>
          <w:rFonts w:eastAsia="Calibri" w:cstheme="minorHAnsi"/>
        </w:rPr>
        <w:t xml:space="preserve"> </w:t>
      </w:r>
      <w:r w:rsidRPr="00A26C26">
        <w:rPr>
          <w:rFonts w:eastAsia="Calibri" w:cstheme="minorHAnsi"/>
        </w:rPr>
        <w:t>na</w:t>
      </w:r>
      <w:r w:rsidR="003B50ED">
        <w:rPr>
          <w:rFonts w:eastAsia="Calibri" w:cstheme="minorHAnsi"/>
        </w:rPr>
        <w:t xml:space="preserve"> </w:t>
      </w:r>
      <w:r w:rsidRPr="00A26C26">
        <w:rPr>
          <w:rFonts w:eastAsia="Calibri" w:cstheme="minorHAnsi"/>
        </w:rPr>
        <w:t>celu</w:t>
      </w:r>
      <w:r w:rsidR="003B50ED">
        <w:rPr>
          <w:rFonts w:eastAsia="Calibri" w:cstheme="minorHAnsi"/>
        </w:rPr>
        <w:t xml:space="preserve"> </w:t>
      </w:r>
      <w:r w:rsidRPr="00A26C26">
        <w:rPr>
          <w:rFonts w:eastAsia="Calibri" w:cstheme="minorHAnsi"/>
        </w:rPr>
        <w:t>wypracowanie</w:t>
      </w:r>
      <w:r w:rsidR="003B50ED">
        <w:rPr>
          <w:rFonts w:eastAsia="Calibri" w:cstheme="minorHAnsi"/>
        </w:rPr>
        <w:t xml:space="preserve"> </w:t>
      </w:r>
      <w:r w:rsidRPr="00A26C26">
        <w:rPr>
          <w:rFonts w:eastAsia="Calibri" w:cstheme="minorHAnsi"/>
        </w:rPr>
        <w:t>pewnych</w:t>
      </w:r>
      <w:r w:rsidR="003B50ED">
        <w:rPr>
          <w:rFonts w:eastAsia="Calibri" w:cstheme="minorHAnsi"/>
        </w:rPr>
        <w:t xml:space="preserve"> </w:t>
      </w:r>
      <w:r w:rsidRPr="00A26C26">
        <w:rPr>
          <w:rFonts w:eastAsia="Calibri" w:cstheme="minorHAnsi"/>
        </w:rPr>
        <w:t>standardów,</w:t>
      </w:r>
      <w:r w:rsidR="003B50ED">
        <w:rPr>
          <w:rFonts w:eastAsia="Calibri" w:cstheme="minorHAnsi"/>
        </w:rPr>
        <w:t xml:space="preserve"> </w:t>
      </w:r>
      <w:r w:rsidRPr="00A26C26">
        <w:rPr>
          <w:rFonts w:eastAsia="Calibri" w:cstheme="minorHAnsi"/>
        </w:rPr>
        <w:t>które</w:t>
      </w:r>
      <w:r w:rsidR="003B50ED">
        <w:rPr>
          <w:rFonts w:eastAsia="Calibri" w:cstheme="minorHAnsi"/>
        </w:rPr>
        <w:t xml:space="preserve"> </w:t>
      </w:r>
      <w:r w:rsidRPr="00A26C26">
        <w:rPr>
          <w:rFonts w:eastAsia="Calibri" w:cstheme="minorHAnsi"/>
        </w:rPr>
        <w:t>zapewnią</w:t>
      </w:r>
      <w:r w:rsidR="003B50ED">
        <w:rPr>
          <w:rFonts w:eastAsia="Calibri" w:cstheme="minorHAnsi"/>
        </w:rPr>
        <w:t xml:space="preserve"> </w:t>
      </w:r>
      <w:r w:rsidRPr="00A26C26">
        <w:rPr>
          <w:rFonts w:eastAsia="Calibri" w:cstheme="minorHAnsi"/>
        </w:rPr>
        <w:t>jak</w:t>
      </w:r>
      <w:r w:rsidR="003B50ED">
        <w:rPr>
          <w:rFonts w:eastAsia="Calibri" w:cstheme="minorHAnsi"/>
        </w:rPr>
        <w:t xml:space="preserve"> </w:t>
      </w:r>
      <w:r w:rsidRPr="00A26C26">
        <w:rPr>
          <w:rFonts w:eastAsia="Calibri" w:cstheme="minorHAnsi"/>
        </w:rPr>
        <w:t>najpełniejsze</w:t>
      </w:r>
      <w:r w:rsidR="003B50ED">
        <w:rPr>
          <w:rFonts w:eastAsia="Calibri" w:cstheme="minorHAnsi"/>
        </w:rPr>
        <w:t xml:space="preserve"> </w:t>
      </w:r>
      <w:r w:rsidRPr="00A26C26">
        <w:rPr>
          <w:rFonts w:eastAsia="Calibri" w:cstheme="minorHAnsi"/>
        </w:rPr>
        <w:t>spełnienie</w:t>
      </w:r>
      <w:r w:rsidR="003B50ED">
        <w:rPr>
          <w:rFonts w:eastAsia="Calibri" w:cstheme="minorHAnsi"/>
        </w:rPr>
        <w:t xml:space="preserve"> </w:t>
      </w:r>
      <w:r w:rsidRPr="00A26C26">
        <w:rPr>
          <w:rFonts w:eastAsia="Calibri" w:cstheme="minorHAnsi"/>
        </w:rPr>
        <w:t>wymogów</w:t>
      </w:r>
      <w:r w:rsidR="003B50ED">
        <w:rPr>
          <w:rFonts w:eastAsia="Calibri" w:cstheme="minorHAnsi"/>
        </w:rPr>
        <w:t xml:space="preserve"> </w:t>
      </w:r>
      <w:r w:rsidRPr="00A26C26">
        <w:rPr>
          <w:rFonts w:eastAsia="Calibri" w:cstheme="minorHAnsi"/>
        </w:rPr>
        <w:t>określonych</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dokumentacji</w:t>
      </w:r>
      <w:r w:rsidR="003B50ED">
        <w:rPr>
          <w:rFonts w:eastAsia="Calibri" w:cstheme="minorHAnsi"/>
        </w:rPr>
        <w:t xml:space="preserve"> </w:t>
      </w:r>
      <w:r w:rsidRPr="00A26C26">
        <w:rPr>
          <w:rFonts w:eastAsia="Calibri" w:cstheme="minorHAnsi"/>
        </w:rPr>
        <w:t>konkursowej,</w:t>
      </w:r>
      <w:r w:rsidR="003B50ED">
        <w:rPr>
          <w:rFonts w:eastAsia="Calibri" w:cstheme="minorHAnsi"/>
        </w:rPr>
        <w:t xml:space="preserve"> </w:t>
      </w:r>
      <w:r w:rsidRPr="00A26C26">
        <w:rPr>
          <w:rFonts w:eastAsia="Calibri" w:cstheme="minorHAnsi"/>
        </w:rPr>
        <w:t>a</w:t>
      </w:r>
      <w:r w:rsidR="003B50ED">
        <w:rPr>
          <w:rFonts w:eastAsia="Calibri" w:cstheme="minorHAnsi"/>
        </w:rPr>
        <w:t xml:space="preserve"> </w:t>
      </w:r>
      <w:r w:rsidRPr="00A26C26">
        <w:rPr>
          <w:rFonts w:eastAsia="Calibri" w:cstheme="minorHAnsi"/>
        </w:rPr>
        <w:t>z</w:t>
      </w:r>
      <w:r w:rsidR="003B50ED">
        <w:rPr>
          <w:rFonts w:eastAsia="Calibri" w:cstheme="minorHAnsi"/>
        </w:rPr>
        <w:t xml:space="preserve"> </w:t>
      </w:r>
      <w:r w:rsidRPr="00A26C26">
        <w:rPr>
          <w:rFonts w:eastAsia="Calibri" w:cstheme="minorHAnsi"/>
        </w:rPr>
        <w:t>drugiej</w:t>
      </w:r>
      <w:r w:rsidR="003B50ED">
        <w:rPr>
          <w:rFonts w:eastAsia="Calibri" w:cstheme="minorHAnsi"/>
        </w:rPr>
        <w:t xml:space="preserve"> </w:t>
      </w:r>
      <w:r w:rsidRPr="00A26C26">
        <w:rPr>
          <w:rFonts w:eastAsia="Calibri" w:cstheme="minorHAnsi"/>
        </w:rPr>
        <w:t>stworzenie</w:t>
      </w:r>
      <w:r w:rsidR="003B50ED">
        <w:rPr>
          <w:rFonts w:eastAsia="Calibri" w:cstheme="minorHAnsi"/>
        </w:rPr>
        <w:t xml:space="preserve"> </w:t>
      </w:r>
      <w:r w:rsidRPr="00A26C26">
        <w:rPr>
          <w:rFonts w:eastAsia="Calibri" w:cstheme="minorHAnsi"/>
        </w:rPr>
        <w:t>spójnego</w:t>
      </w:r>
      <w:r w:rsidR="003B50ED">
        <w:rPr>
          <w:rFonts w:eastAsia="Calibri" w:cstheme="minorHAnsi"/>
        </w:rPr>
        <w:t xml:space="preserve"> </w:t>
      </w:r>
      <w:r w:rsidRPr="00A26C26">
        <w:rPr>
          <w:rFonts w:eastAsia="Calibri" w:cstheme="minorHAnsi"/>
        </w:rPr>
        <w:t>dokumentu,</w:t>
      </w:r>
      <w:r w:rsidR="003B50ED">
        <w:rPr>
          <w:rFonts w:eastAsia="Calibri" w:cstheme="minorHAnsi"/>
        </w:rPr>
        <w:t xml:space="preserve"> </w:t>
      </w:r>
      <w:r w:rsidRPr="00A26C26">
        <w:rPr>
          <w:rFonts w:eastAsia="Calibri" w:cstheme="minorHAnsi"/>
        </w:rPr>
        <w:t>który</w:t>
      </w:r>
      <w:r w:rsidR="003B50ED">
        <w:rPr>
          <w:rFonts w:eastAsia="Calibri" w:cstheme="minorHAnsi"/>
        </w:rPr>
        <w:t xml:space="preserve"> </w:t>
      </w:r>
      <w:r w:rsidRPr="00A26C26">
        <w:rPr>
          <w:rFonts w:eastAsia="Calibri" w:cstheme="minorHAnsi"/>
        </w:rPr>
        <w:t>będzie</w:t>
      </w:r>
      <w:r w:rsidR="003B50ED">
        <w:rPr>
          <w:rFonts w:eastAsia="Calibri" w:cstheme="minorHAnsi"/>
        </w:rPr>
        <w:t xml:space="preserve"> </w:t>
      </w:r>
      <w:r w:rsidRPr="00A26C26">
        <w:rPr>
          <w:rFonts w:eastAsia="Calibri" w:cstheme="minorHAnsi"/>
        </w:rPr>
        <w:t>można</w:t>
      </w:r>
      <w:r w:rsidR="003B50ED">
        <w:rPr>
          <w:rFonts w:eastAsia="Calibri" w:cstheme="minorHAnsi"/>
        </w:rPr>
        <w:t xml:space="preserve"> </w:t>
      </w:r>
      <w:r w:rsidRPr="00A26C26">
        <w:rPr>
          <w:rFonts w:eastAsia="Calibri" w:cstheme="minorHAnsi"/>
        </w:rPr>
        <w:t>wdrożyć</w:t>
      </w:r>
      <w:r w:rsidR="003B50ED">
        <w:rPr>
          <w:rFonts w:eastAsia="Calibri" w:cstheme="minorHAnsi"/>
        </w:rPr>
        <w:t xml:space="preserve"> </w:t>
      </w:r>
      <w:r w:rsidRPr="00A26C26">
        <w:rPr>
          <w:rFonts w:eastAsia="Calibri" w:cstheme="minorHAnsi"/>
        </w:rPr>
        <w:t>zgodnie</w:t>
      </w:r>
      <w:r w:rsidR="003B50ED">
        <w:rPr>
          <w:rFonts w:eastAsia="Calibri" w:cstheme="minorHAnsi"/>
        </w:rPr>
        <w:t xml:space="preserve"> </w:t>
      </w:r>
      <w:r w:rsidRPr="00A26C26">
        <w:rPr>
          <w:rFonts w:eastAsia="Calibri" w:cstheme="minorHAnsi"/>
        </w:rPr>
        <w:t>z</w:t>
      </w:r>
      <w:r w:rsidR="003B50ED">
        <w:rPr>
          <w:rFonts w:eastAsia="Calibri" w:cstheme="minorHAnsi"/>
        </w:rPr>
        <w:t xml:space="preserve"> </w:t>
      </w:r>
      <w:r w:rsidRPr="00A26C26">
        <w:rPr>
          <w:rFonts w:eastAsia="Calibri" w:cstheme="minorHAnsi"/>
        </w:rPr>
        <w:t>oczekiwaniami</w:t>
      </w:r>
      <w:r w:rsidR="003B50ED">
        <w:rPr>
          <w:rFonts w:eastAsia="Calibri" w:cstheme="minorHAnsi"/>
        </w:rPr>
        <w:t xml:space="preserve"> </w:t>
      </w:r>
      <w:r w:rsidRPr="00A26C26">
        <w:rPr>
          <w:rFonts w:eastAsia="Calibri" w:cstheme="minorHAnsi"/>
        </w:rPr>
        <w:t>wszystkich</w:t>
      </w:r>
      <w:r w:rsidR="003B50ED">
        <w:rPr>
          <w:rFonts w:eastAsia="Calibri" w:cstheme="minorHAnsi"/>
        </w:rPr>
        <w:t xml:space="preserve"> </w:t>
      </w:r>
      <w:r w:rsidRPr="00A26C26">
        <w:rPr>
          <w:rFonts w:eastAsia="Calibri" w:cstheme="minorHAnsi"/>
        </w:rPr>
        <w:t>grup</w:t>
      </w:r>
      <w:r w:rsidR="003B50ED">
        <w:rPr>
          <w:rFonts w:eastAsia="Calibri" w:cstheme="minorHAnsi"/>
        </w:rPr>
        <w:t xml:space="preserve"> </w:t>
      </w:r>
      <w:r w:rsidRPr="00A26C26">
        <w:rPr>
          <w:rFonts w:eastAsia="Calibri" w:cstheme="minorHAnsi"/>
        </w:rPr>
        <w:t>interesariuszy,</w:t>
      </w:r>
      <w:r w:rsidR="003B50ED">
        <w:rPr>
          <w:rFonts w:eastAsia="Calibri" w:cstheme="minorHAnsi"/>
        </w:rPr>
        <w:t xml:space="preserve"> </w:t>
      </w:r>
      <w:r w:rsidRPr="00A26C26">
        <w:rPr>
          <w:rFonts w:eastAsia="Calibri" w:cstheme="minorHAnsi"/>
        </w:rPr>
        <w:t>uwzględniając</w:t>
      </w:r>
      <w:r w:rsidR="003B50ED">
        <w:rPr>
          <w:rFonts w:eastAsia="Calibri" w:cstheme="minorHAnsi"/>
        </w:rPr>
        <w:t xml:space="preserve"> </w:t>
      </w:r>
      <w:r w:rsidRPr="00A26C26">
        <w:rPr>
          <w:rFonts w:eastAsia="Calibri" w:cstheme="minorHAnsi"/>
        </w:rPr>
        <w:t>zdiagnozowane</w:t>
      </w:r>
      <w:r w:rsidR="003B50ED">
        <w:rPr>
          <w:rFonts w:eastAsia="Calibri" w:cstheme="minorHAnsi"/>
        </w:rPr>
        <w:t xml:space="preserve"> </w:t>
      </w:r>
      <w:r w:rsidRPr="00A26C26">
        <w:rPr>
          <w:rFonts w:eastAsia="Calibri" w:cstheme="minorHAnsi"/>
        </w:rPr>
        <w:t>potrzeby</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potencjał</w:t>
      </w:r>
      <w:r w:rsidR="003B50ED">
        <w:rPr>
          <w:rFonts w:eastAsia="Calibri" w:cstheme="minorHAnsi"/>
        </w:rPr>
        <w:t xml:space="preserve"> </w:t>
      </w:r>
      <w:r w:rsidRPr="00A26C26">
        <w:rPr>
          <w:rFonts w:eastAsia="Calibri" w:cstheme="minorHAnsi"/>
        </w:rPr>
        <w:t>obszaru.</w:t>
      </w:r>
      <w:r w:rsidR="003B50ED">
        <w:rPr>
          <w:rFonts w:eastAsia="Calibri" w:cstheme="minorHAnsi"/>
        </w:rPr>
        <w:t xml:space="preserve"> </w:t>
      </w:r>
    </w:p>
    <w:p w14:paraId="6F683A47" w14:textId="77777777" w:rsidR="0035174A" w:rsidRDefault="0035174A" w:rsidP="00A26C26">
      <w:pPr>
        <w:spacing w:line="276" w:lineRule="auto"/>
        <w:jc w:val="both"/>
        <w:rPr>
          <w:rFonts w:eastAsia="Calibri" w:cstheme="minorHAnsi"/>
          <w:b/>
          <w:bCs/>
          <w:kern w:val="0"/>
          <w14:ligatures w14:val="none"/>
        </w:rPr>
      </w:pPr>
    </w:p>
    <w:p w14:paraId="2D3AC7D1" w14:textId="44BF0679" w:rsidR="00E2372E" w:rsidRPr="00A26C26" w:rsidRDefault="00E2372E" w:rsidP="00A26C26">
      <w:pPr>
        <w:spacing w:line="276" w:lineRule="auto"/>
        <w:jc w:val="both"/>
        <w:rPr>
          <w:rFonts w:eastAsia="Calibri" w:cstheme="minorHAnsi"/>
          <w:b/>
          <w:bCs/>
          <w:kern w:val="0"/>
          <w14:ligatures w14:val="none"/>
        </w:rPr>
      </w:pPr>
      <w:r w:rsidRPr="00A26C26">
        <w:rPr>
          <w:rFonts w:eastAsia="Calibri" w:cstheme="minorHAnsi"/>
          <w:b/>
          <w:bCs/>
          <w:kern w:val="0"/>
          <w14:ligatures w14:val="none"/>
        </w:rPr>
        <w:t>Aktualizacja</w:t>
      </w:r>
      <w:r w:rsidR="003B50ED">
        <w:rPr>
          <w:rFonts w:eastAsia="Calibri" w:cstheme="minorHAnsi"/>
          <w:b/>
          <w:bCs/>
          <w:kern w:val="0"/>
          <w14:ligatures w14:val="none"/>
        </w:rPr>
        <w:t xml:space="preserve"> </w:t>
      </w:r>
      <w:r w:rsidRPr="00A26C26">
        <w:rPr>
          <w:rFonts w:eastAsia="Calibri" w:cstheme="minorHAnsi"/>
          <w:b/>
          <w:bCs/>
          <w:kern w:val="0"/>
          <w14:ligatures w14:val="none"/>
        </w:rPr>
        <w:t>LSR</w:t>
      </w:r>
    </w:p>
    <w:p w14:paraId="431078DD" w14:textId="7BDABB8D" w:rsidR="00E2372E" w:rsidRPr="00A26C26" w:rsidRDefault="00E2372E" w:rsidP="00A26C26">
      <w:pPr>
        <w:spacing w:line="276" w:lineRule="auto"/>
        <w:ind w:firstLine="284"/>
        <w:jc w:val="both"/>
        <w:rPr>
          <w:rFonts w:eastAsia="Calibri" w:cstheme="minorHAnsi"/>
        </w:rPr>
      </w:pPr>
      <w:r w:rsidRPr="00A26C26">
        <w:rPr>
          <w:rFonts w:eastAsia="Calibri" w:cstheme="minorHAnsi"/>
        </w:rPr>
        <w:t>LSR,</w:t>
      </w:r>
      <w:r w:rsidR="003B50ED">
        <w:rPr>
          <w:rFonts w:eastAsia="Calibri" w:cstheme="minorHAnsi"/>
        </w:rPr>
        <w:t xml:space="preserve"> </w:t>
      </w:r>
      <w:r w:rsidRPr="00A26C26">
        <w:rPr>
          <w:rFonts w:eastAsia="Calibri" w:cstheme="minorHAnsi"/>
        </w:rPr>
        <w:t>jest</w:t>
      </w:r>
      <w:r w:rsidR="003B50ED">
        <w:rPr>
          <w:rFonts w:eastAsia="Calibri" w:cstheme="minorHAnsi"/>
        </w:rPr>
        <w:t xml:space="preserve"> </w:t>
      </w:r>
      <w:r w:rsidRPr="00A26C26">
        <w:rPr>
          <w:rFonts w:eastAsia="Calibri" w:cstheme="minorHAnsi"/>
        </w:rPr>
        <w:t>dokumentem</w:t>
      </w:r>
      <w:r w:rsidR="003B50ED">
        <w:rPr>
          <w:rFonts w:eastAsia="Calibri" w:cstheme="minorHAnsi"/>
        </w:rPr>
        <w:t xml:space="preserve"> </w:t>
      </w:r>
      <w:r w:rsidRPr="00A26C26">
        <w:rPr>
          <w:rFonts w:eastAsia="Calibri" w:cstheme="minorHAnsi"/>
        </w:rPr>
        <w:t>planistycznym</w:t>
      </w:r>
      <w:r w:rsidR="003B50ED">
        <w:rPr>
          <w:rFonts w:eastAsia="Calibri" w:cstheme="minorHAnsi"/>
        </w:rPr>
        <w:t xml:space="preserve"> </w:t>
      </w:r>
      <w:r w:rsidRPr="00A26C26">
        <w:rPr>
          <w:rFonts w:eastAsia="Calibri" w:cstheme="minorHAnsi"/>
        </w:rPr>
        <w:t>obejmującym</w:t>
      </w:r>
      <w:r w:rsidR="003B50ED">
        <w:rPr>
          <w:rFonts w:eastAsia="Calibri" w:cstheme="minorHAnsi"/>
        </w:rPr>
        <w:t xml:space="preserve"> </w:t>
      </w:r>
      <w:r w:rsidRPr="00A26C26">
        <w:rPr>
          <w:rFonts w:eastAsia="Calibri" w:cstheme="minorHAnsi"/>
        </w:rPr>
        <w:t>kilkuletnią</w:t>
      </w:r>
      <w:r w:rsidR="003B50ED">
        <w:rPr>
          <w:rFonts w:eastAsia="Calibri" w:cstheme="minorHAnsi"/>
        </w:rPr>
        <w:t xml:space="preserve"> </w:t>
      </w:r>
      <w:r w:rsidRPr="00A26C26">
        <w:rPr>
          <w:rFonts w:eastAsia="Calibri" w:cstheme="minorHAnsi"/>
        </w:rPr>
        <w:t>perspektywę</w:t>
      </w:r>
      <w:r w:rsidR="003B50ED">
        <w:rPr>
          <w:rFonts w:eastAsia="Calibri" w:cstheme="minorHAnsi"/>
        </w:rPr>
        <w:t xml:space="preserve"> </w:t>
      </w:r>
      <w:r w:rsidRPr="00A26C26">
        <w:rPr>
          <w:rFonts w:eastAsia="Calibri" w:cstheme="minorHAnsi"/>
        </w:rPr>
        <w:t>czasową</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analogicznie</w:t>
      </w:r>
      <w:r w:rsidR="003B50ED">
        <w:rPr>
          <w:rFonts w:eastAsia="Calibri" w:cstheme="minorHAnsi"/>
        </w:rPr>
        <w:t xml:space="preserve"> </w:t>
      </w:r>
      <w:r w:rsidRPr="00A26C26">
        <w:rPr>
          <w:rFonts w:eastAsia="Calibri" w:cstheme="minorHAnsi"/>
        </w:rPr>
        <w:t>jak</w:t>
      </w:r>
      <w:r w:rsidR="003B50ED">
        <w:rPr>
          <w:rFonts w:eastAsia="Calibri" w:cstheme="minorHAnsi"/>
        </w:rPr>
        <w:t xml:space="preserve"> </w:t>
      </w:r>
      <w:r w:rsidRPr="00A26C26">
        <w:rPr>
          <w:rFonts w:eastAsia="Calibri" w:cstheme="minorHAnsi"/>
        </w:rPr>
        <w:t>inne</w:t>
      </w:r>
      <w:r w:rsidR="003B50ED">
        <w:rPr>
          <w:rFonts w:eastAsia="Calibri" w:cstheme="minorHAnsi"/>
        </w:rPr>
        <w:t xml:space="preserve"> </w:t>
      </w:r>
      <w:r w:rsidRPr="00A26C26">
        <w:rPr>
          <w:rFonts w:eastAsia="Calibri" w:cstheme="minorHAnsi"/>
        </w:rPr>
        <w:t>plany</w:t>
      </w:r>
      <w:r w:rsidR="003B50ED">
        <w:rPr>
          <w:rFonts w:eastAsia="Calibri" w:cstheme="minorHAnsi"/>
        </w:rPr>
        <w:t xml:space="preserve"> </w:t>
      </w:r>
      <w:r w:rsidRPr="00A26C26">
        <w:rPr>
          <w:rFonts w:eastAsia="Calibri" w:cstheme="minorHAnsi"/>
        </w:rPr>
        <w:t>rozwoju</w:t>
      </w:r>
      <w:r w:rsidR="003B50ED">
        <w:rPr>
          <w:rFonts w:eastAsia="Calibri" w:cstheme="minorHAnsi"/>
        </w:rPr>
        <w:t xml:space="preserve"> </w:t>
      </w:r>
      <w:r w:rsidRPr="00A26C26">
        <w:rPr>
          <w:rFonts w:eastAsia="Calibri" w:cstheme="minorHAnsi"/>
        </w:rPr>
        <w:t>musi</w:t>
      </w:r>
      <w:r w:rsidR="003B50ED">
        <w:rPr>
          <w:rFonts w:eastAsia="Calibri" w:cstheme="minorHAnsi"/>
        </w:rPr>
        <w:t xml:space="preserve"> </w:t>
      </w:r>
      <w:r w:rsidRPr="00A26C26">
        <w:rPr>
          <w:rFonts w:eastAsia="Calibri" w:cstheme="minorHAnsi"/>
        </w:rPr>
        <w:t>być</w:t>
      </w:r>
      <w:r w:rsidR="003B50ED">
        <w:rPr>
          <w:rFonts w:eastAsia="Calibri" w:cstheme="minorHAnsi"/>
        </w:rPr>
        <w:t xml:space="preserve"> </w:t>
      </w:r>
      <w:r w:rsidRPr="00A26C26">
        <w:rPr>
          <w:rFonts w:eastAsia="Calibri" w:cstheme="minorHAnsi"/>
        </w:rPr>
        <w:t>regularnie</w:t>
      </w:r>
      <w:r w:rsidR="003B50ED">
        <w:rPr>
          <w:rFonts w:eastAsia="Calibri" w:cstheme="minorHAnsi"/>
        </w:rPr>
        <w:t xml:space="preserve"> </w:t>
      </w:r>
      <w:r w:rsidRPr="00A26C26">
        <w:rPr>
          <w:rFonts w:eastAsia="Calibri" w:cstheme="minorHAnsi"/>
        </w:rPr>
        <w:t>aktualizowany,</w:t>
      </w:r>
      <w:r w:rsidR="003B50ED">
        <w:rPr>
          <w:rFonts w:eastAsia="Calibri" w:cstheme="minorHAnsi"/>
        </w:rPr>
        <w:t xml:space="preserve"> </w:t>
      </w:r>
      <w:r w:rsidRPr="00A26C26">
        <w:rPr>
          <w:rFonts w:eastAsia="Calibri" w:cstheme="minorHAnsi"/>
        </w:rPr>
        <w:t>aby</w:t>
      </w:r>
      <w:r w:rsidR="003B50ED">
        <w:rPr>
          <w:rFonts w:eastAsia="Calibri" w:cstheme="minorHAnsi"/>
        </w:rPr>
        <w:t xml:space="preserve"> </w:t>
      </w:r>
      <w:r w:rsidRPr="00A26C26">
        <w:rPr>
          <w:rFonts w:eastAsia="Calibri" w:cstheme="minorHAnsi"/>
        </w:rPr>
        <w:t>najpełniej</w:t>
      </w:r>
      <w:r w:rsidR="003B50ED">
        <w:rPr>
          <w:rFonts w:eastAsia="Calibri" w:cstheme="minorHAnsi"/>
        </w:rPr>
        <w:t xml:space="preserve"> </w:t>
      </w:r>
      <w:r w:rsidRPr="00A26C26">
        <w:rPr>
          <w:rFonts w:eastAsia="Calibri" w:cstheme="minorHAnsi"/>
        </w:rPr>
        <w:t>odpowiadać</w:t>
      </w:r>
      <w:r w:rsidR="003B50ED">
        <w:rPr>
          <w:rFonts w:eastAsia="Calibri" w:cstheme="minorHAnsi"/>
        </w:rPr>
        <w:t xml:space="preserve"> </w:t>
      </w:r>
      <w:r w:rsidR="00E25EBB" w:rsidRPr="00CD1159">
        <w:rPr>
          <w:rFonts w:eastAsia="Calibri" w:cstheme="minorHAnsi"/>
        </w:rPr>
        <w:t xml:space="preserve">na </w:t>
      </w:r>
      <w:r w:rsidRPr="00CD1159">
        <w:rPr>
          <w:rFonts w:eastAsia="Calibri" w:cstheme="minorHAnsi"/>
        </w:rPr>
        <w:t>a</w:t>
      </w:r>
      <w:r w:rsidRPr="00A26C26">
        <w:rPr>
          <w:rFonts w:eastAsia="Calibri" w:cstheme="minorHAnsi"/>
        </w:rPr>
        <w:t>ktualne</w:t>
      </w:r>
      <w:r w:rsidR="003B50ED">
        <w:rPr>
          <w:rFonts w:eastAsia="Calibri" w:cstheme="minorHAnsi"/>
        </w:rPr>
        <w:t xml:space="preserve"> </w:t>
      </w:r>
      <w:r w:rsidRPr="00A26C26">
        <w:rPr>
          <w:rFonts w:eastAsia="Calibri" w:cstheme="minorHAnsi"/>
        </w:rPr>
        <w:t>wyzwania</w:t>
      </w:r>
      <w:r w:rsidR="003B50ED">
        <w:rPr>
          <w:rFonts w:eastAsia="Calibri" w:cstheme="minorHAnsi"/>
        </w:rPr>
        <w:t xml:space="preserve"> </w:t>
      </w:r>
      <w:r w:rsidRPr="00A26C26">
        <w:rPr>
          <w:rFonts w:eastAsia="Calibri" w:cstheme="minorHAnsi"/>
        </w:rPr>
        <w:t>obszaru,</w:t>
      </w:r>
      <w:r w:rsidR="003B50ED">
        <w:rPr>
          <w:rFonts w:eastAsia="Calibri" w:cstheme="minorHAnsi"/>
        </w:rPr>
        <w:t xml:space="preserve"> </w:t>
      </w:r>
      <w:r w:rsidRPr="00A26C26">
        <w:rPr>
          <w:rFonts w:eastAsia="Calibri" w:cstheme="minorHAnsi"/>
        </w:rPr>
        <w:t>który</w:t>
      </w:r>
      <w:r w:rsidR="003B50ED">
        <w:rPr>
          <w:rFonts w:eastAsia="Calibri" w:cstheme="minorHAnsi"/>
        </w:rPr>
        <w:t xml:space="preserve"> </w:t>
      </w:r>
      <w:r w:rsidRPr="00A26C26">
        <w:rPr>
          <w:rFonts w:eastAsia="Calibri" w:cstheme="minorHAnsi"/>
        </w:rPr>
        <w:t>jest</w:t>
      </w:r>
      <w:r w:rsidR="003B50ED">
        <w:rPr>
          <w:rFonts w:eastAsia="Calibri" w:cstheme="minorHAnsi"/>
        </w:rPr>
        <w:t xml:space="preserve"> </w:t>
      </w:r>
      <w:r w:rsidRPr="00A26C26">
        <w:rPr>
          <w:rFonts w:eastAsia="Calibri" w:cstheme="minorHAnsi"/>
        </w:rPr>
        <w:t>objęty</w:t>
      </w:r>
      <w:r w:rsidR="003B50ED">
        <w:rPr>
          <w:rFonts w:eastAsia="Calibri" w:cstheme="minorHAnsi"/>
        </w:rPr>
        <w:t xml:space="preserve"> </w:t>
      </w:r>
      <w:r w:rsidRPr="00A26C26">
        <w:rPr>
          <w:rFonts w:eastAsia="Calibri" w:cstheme="minorHAnsi"/>
        </w:rPr>
        <w:t>LSR.</w:t>
      </w:r>
      <w:r w:rsidR="003B50ED">
        <w:rPr>
          <w:rFonts w:eastAsia="Calibri" w:cstheme="minorHAnsi"/>
        </w:rPr>
        <w:t xml:space="preserve"> </w:t>
      </w:r>
    </w:p>
    <w:p w14:paraId="69F98B40" w14:textId="5EDAA43B" w:rsidR="00E2372E" w:rsidRPr="00A26C26" w:rsidRDefault="00E2372E" w:rsidP="00A26C26">
      <w:pPr>
        <w:spacing w:line="276" w:lineRule="auto"/>
        <w:ind w:firstLine="284"/>
        <w:jc w:val="both"/>
        <w:rPr>
          <w:rFonts w:eastAsia="Calibri" w:cstheme="minorHAnsi"/>
        </w:rPr>
      </w:pPr>
      <w:r w:rsidRPr="00A26C26">
        <w:rPr>
          <w:rFonts w:eastAsia="Calibri" w:cstheme="minorHAnsi"/>
        </w:rPr>
        <w:t>Należy</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tym</w:t>
      </w:r>
      <w:r w:rsidR="003B50ED">
        <w:rPr>
          <w:rFonts w:eastAsia="Calibri" w:cstheme="minorHAnsi"/>
        </w:rPr>
        <w:t xml:space="preserve"> </w:t>
      </w:r>
      <w:r w:rsidRPr="00A26C26">
        <w:rPr>
          <w:rFonts w:eastAsia="Calibri" w:cstheme="minorHAnsi"/>
        </w:rPr>
        <w:t>miejscu</w:t>
      </w:r>
      <w:r w:rsidR="003B50ED">
        <w:rPr>
          <w:rFonts w:eastAsia="Calibri" w:cstheme="minorHAnsi"/>
        </w:rPr>
        <w:t xml:space="preserve"> </w:t>
      </w:r>
      <w:r w:rsidRPr="00A26C26">
        <w:rPr>
          <w:rFonts w:eastAsia="Calibri" w:cstheme="minorHAnsi"/>
        </w:rPr>
        <w:t>podkreślić,</w:t>
      </w:r>
      <w:r w:rsidR="003B50ED">
        <w:rPr>
          <w:rFonts w:eastAsia="Calibri" w:cstheme="minorHAnsi"/>
        </w:rPr>
        <w:t xml:space="preserve"> </w:t>
      </w:r>
      <w:r w:rsidRPr="00A26C26">
        <w:rPr>
          <w:rFonts w:eastAsia="Calibri" w:cstheme="minorHAnsi"/>
        </w:rPr>
        <w:t>że</w:t>
      </w:r>
      <w:r w:rsidR="003B50ED">
        <w:rPr>
          <w:rFonts w:eastAsia="Calibri" w:cstheme="minorHAnsi"/>
        </w:rPr>
        <w:t xml:space="preserve"> </w:t>
      </w:r>
      <w:r w:rsidRPr="00A26C26">
        <w:rPr>
          <w:rFonts w:eastAsia="Calibri" w:cstheme="minorHAnsi"/>
        </w:rPr>
        <w:t>również</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tym</w:t>
      </w:r>
      <w:r w:rsidR="003B50ED">
        <w:rPr>
          <w:rFonts w:eastAsia="Calibri" w:cstheme="minorHAnsi"/>
        </w:rPr>
        <w:t xml:space="preserve"> </w:t>
      </w:r>
      <w:r w:rsidRPr="00A26C26">
        <w:rPr>
          <w:rFonts w:eastAsia="Calibri" w:cstheme="minorHAnsi"/>
        </w:rPr>
        <w:t>celu</w:t>
      </w:r>
      <w:r w:rsidR="003B50ED">
        <w:rPr>
          <w:rFonts w:eastAsia="Calibri" w:cstheme="minorHAnsi"/>
        </w:rPr>
        <w:t xml:space="preserve"> </w:t>
      </w:r>
      <w:r w:rsidRPr="00A26C26">
        <w:rPr>
          <w:rFonts w:eastAsia="Calibri" w:cstheme="minorHAnsi"/>
        </w:rPr>
        <w:t>LGD</w:t>
      </w:r>
      <w:r w:rsidR="003B50ED">
        <w:rPr>
          <w:rFonts w:eastAsia="Calibri" w:cstheme="minorHAnsi"/>
        </w:rPr>
        <w:t xml:space="preserve"> </w:t>
      </w:r>
      <w:r w:rsidRPr="00A26C26">
        <w:rPr>
          <w:rFonts w:eastAsia="Calibri" w:cstheme="minorHAnsi"/>
        </w:rPr>
        <w:t>wprowadziła</w:t>
      </w:r>
      <w:r w:rsidR="003B50ED">
        <w:rPr>
          <w:rFonts w:eastAsia="Calibri" w:cstheme="minorHAnsi"/>
        </w:rPr>
        <w:t xml:space="preserve"> </w:t>
      </w:r>
      <w:r w:rsidRPr="00A26C26">
        <w:rPr>
          <w:rFonts w:eastAsia="Calibri" w:cstheme="minorHAnsi"/>
        </w:rPr>
        <w:t>procedury</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zachęty</w:t>
      </w:r>
      <w:r w:rsidR="003B50ED">
        <w:rPr>
          <w:rFonts w:eastAsia="Calibri" w:cstheme="minorHAnsi"/>
        </w:rPr>
        <w:t xml:space="preserve"> </w:t>
      </w:r>
      <w:r w:rsidRPr="00A26C26">
        <w:rPr>
          <w:rFonts w:eastAsia="Calibri" w:cstheme="minorHAnsi"/>
        </w:rPr>
        <w:t>dotyczące</w:t>
      </w:r>
      <w:r w:rsidR="003B50ED">
        <w:rPr>
          <w:rFonts w:eastAsia="Calibri" w:cstheme="minorHAnsi"/>
        </w:rPr>
        <w:t xml:space="preserve"> </w:t>
      </w:r>
      <w:r w:rsidRPr="00A26C26">
        <w:rPr>
          <w:rFonts w:eastAsia="Calibri" w:cstheme="minorHAnsi"/>
        </w:rPr>
        <w:t>zgłaszania</w:t>
      </w:r>
      <w:r w:rsidR="003B50ED">
        <w:rPr>
          <w:rFonts w:eastAsia="Calibri" w:cstheme="minorHAnsi"/>
        </w:rPr>
        <w:t xml:space="preserve"> </w:t>
      </w:r>
      <w:r w:rsidRPr="00A26C26">
        <w:rPr>
          <w:rFonts w:eastAsia="Calibri" w:cstheme="minorHAnsi"/>
        </w:rPr>
        <w:t>propozycji</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inicjatyw</w:t>
      </w:r>
      <w:r w:rsidR="003B50ED">
        <w:rPr>
          <w:rFonts w:eastAsia="Calibri" w:cstheme="minorHAnsi"/>
        </w:rPr>
        <w:t xml:space="preserve"> </w:t>
      </w:r>
      <w:r w:rsidRPr="00A26C26">
        <w:rPr>
          <w:rFonts w:eastAsia="Calibri" w:cstheme="minorHAnsi"/>
        </w:rPr>
        <w:t>dotyczących</w:t>
      </w:r>
      <w:r w:rsidR="003B50ED">
        <w:rPr>
          <w:rFonts w:eastAsia="Calibri" w:cstheme="minorHAnsi"/>
        </w:rPr>
        <w:t xml:space="preserve"> </w:t>
      </w:r>
      <w:r w:rsidRPr="00A26C26">
        <w:rPr>
          <w:rFonts w:eastAsia="Calibri" w:cstheme="minorHAnsi"/>
        </w:rPr>
        <w:t>zarówno</w:t>
      </w:r>
      <w:r w:rsidR="003B50ED">
        <w:rPr>
          <w:rFonts w:eastAsia="Calibri" w:cstheme="minorHAnsi"/>
        </w:rPr>
        <w:t xml:space="preserve"> </w:t>
      </w:r>
      <w:r w:rsidRPr="00A26C26">
        <w:rPr>
          <w:rFonts w:eastAsia="Calibri" w:cstheme="minorHAnsi"/>
        </w:rPr>
        <w:t>funkcjonowania</w:t>
      </w:r>
      <w:r w:rsidR="003B50ED">
        <w:rPr>
          <w:rFonts w:eastAsia="Calibri" w:cstheme="minorHAnsi"/>
        </w:rPr>
        <w:t xml:space="preserve"> </w:t>
      </w:r>
      <w:r w:rsidRPr="00A26C26">
        <w:rPr>
          <w:rFonts w:eastAsia="Calibri" w:cstheme="minorHAnsi"/>
        </w:rPr>
        <w:t>LGD,</w:t>
      </w:r>
      <w:r w:rsidR="003B50ED">
        <w:rPr>
          <w:rFonts w:eastAsia="Calibri" w:cstheme="minorHAnsi"/>
        </w:rPr>
        <w:t xml:space="preserve"> </w:t>
      </w:r>
      <w:r w:rsidRPr="00A26C26">
        <w:rPr>
          <w:rFonts w:eastAsia="Calibri" w:cstheme="minorHAnsi"/>
        </w:rPr>
        <w:t>jak</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wdrażania</w:t>
      </w:r>
      <w:r w:rsidR="003B50ED">
        <w:rPr>
          <w:rFonts w:eastAsia="Calibri" w:cstheme="minorHAnsi"/>
        </w:rPr>
        <w:t xml:space="preserve"> </w:t>
      </w:r>
      <w:r w:rsidRPr="00A26C26">
        <w:rPr>
          <w:rFonts w:eastAsia="Calibri" w:cstheme="minorHAnsi"/>
        </w:rPr>
        <w:t>LSR</w:t>
      </w:r>
      <w:r w:rsidR="003B50ED">
        <w:rPr>
          <w:rFonts w:eastAsia="Calibri" w:cstheme="minorHAnsi"/>
        </w:rPr>
        <w:t xml:space="preserve"> </w:t>
      </w:r>
      <w:r w:rsidRPr="00A26C26">
        <w:rPr>
          <w:rFonts w:eastAsia="Calibri" w:cstheme="minorHAnsi"/>
        </w:rPr>
        <w:t>(informacje</w:t>
      </w:r>
      <w:r w:rsidR="003B50ED">
        <w:rPr>
          <w:rFonts w:eastAsia="Calibri" w:cstheme="minorHAnsi"/>
        </w:rPr>
        <w:t xml:space="preserve"> </w:t>
      </w:r>
      <w:r w:rsidRPr="00A26C26">
        <w:rPr>
          <w:rFonts w:eastAsia="Calibri" w:cstheme="minorHAnsi"/>
        </w:rPr>
        <w:t>dotyczące</w:t>
      </w:r>
      <w:r w:rsidR="003B50ED">
        <w:rPr>
          <w:rFonts w:eastAsia="Calibri" w:cstheme="minorHAnsi"/>
        </w:rPr>
        <w:t xml:space="preserve"> </w:t>
      </w:r>
      <w:r w:rsidRPr="00A26C26">
        <w:rPr>
          <w:rFonts w:eastAsia="Calibri" w:cstheme="minorHAnsi"/>
        </w:rPr>
        <w:t>możliwości</w:t>
      </w:r>
      <w:r w:rsidR="003B50ED">
        <w:rPr>
          <w:rFonts w:eastAsia="Calibri" w:cstheme="minorHAnsi"/>
        </w:rPr>
        <w:t xml:space="preserve"> </w:t>
      </w:r>
      <w:r w:rsidRPr="00A26C26">
        <w:rPr>
          <w:rFonts w:eastAsia="Calibri" w:cstheme="minorHAnsi"/>
        </w:rPr>
        <w:t>zgłaszania</w:t>
      </w:r>
      <w:r w:rsidR="003B50ED">
        <w:rPr>
          <w:rFonts w:eastAsia="Calibri" w:cstheme="minorHAnsi"/>
        </w:rPr>
        <w:t xml:space="preserve"> </w:t>
      </w:r>
      <w:r w:rsidRPr="00A26C26">
        <w:rPr>
          <w:rFonts w:eastAsia="Calibri" w:cstheme="minorHAnsi"/>
        </w:rPr>
        <w:t>takich</w:t>
      </w:r>
      <w:r w:rsidR="003B50ED">
        <w:rPr>
          <w:rFonts w:eastAsia="Calibri" w:cstheme="minorHAnsi"/>
        </w:rPr>
        <w:t xml:space="preserve"> </w:t>
      </w:r>
      <w:r w:rsidRPr="00A26C26">
        <w:rPr>
          <w:rFonts w:eastAsia="Calibri" w:cstheme="minorHAnsi"/>
        </w:rPr>
        <w:t>uwag</w:t>
      </w:r>
      <w:r w:rsidR="003B50ED">
        <w:rPr>
          <w:rFonts w:eastAsia="Calibri" w:cstheme="minorHAnsi"/>
        </w:rPr>
        <w:t xml:space="preserve"> </w:t>
      </w:r>
      <w:r w:rsidRPr="00A26C26">
        <w:rPr>
          <w:rFonts w:eastAsia="Calibri" w:cstheme="minorHAnsi"/>
        </w:rPr>
        <w:t>będą</w:t>
      </w:r>
      <w:r w:rsidR="003B50ED">
        <w:rPr>
          <w:rFonts w:eastAsia="Calibri" w:cstheme="minorHAnsi"/>
        </w:rPr>
        <w:t xml:space="preserve"> </w:t>
      </w:r>
      <w:r w:rsidRPr="00A26C26">
        <w:rPr>
          <w:rFonts w:eastAsia="Calibri" w:cstheme="minorHAnsi"/>
        </w:rPr>
        <w:t>dostępne</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materiałach</w:t>
      </w:r>
      <w:r w:rsidR="003B50ED">
        <w:rPr>
          <w:rFonts w:eastAsia="Calibri" w:cstheme="minorHAnsi"/>
        </w:rPr>
        <w:t xml:space="preserve"> </w:t>
      </w:r>
      <w:r w:rsidRPr="00A26C26">
        <w:rPr>
          <w:rFonts w:eastAsia="Calibri" w:cstheme="minorHAnsi"/>
        </w:rPr>
        <w:t>informacyjnych,</w:t>
      </w:r>
      <w:r w:rsidR="003B50ED">
        <w:rPr>
          <w:rFonts w:eastAsia="Calibri" w:cstheme="minorHAnsi"/>
        </w:rPr>
        <w:t xml:space="preserve"> </w:t>
      </w:r>
      <w:r w:rsidRPr="00A26C26">
        <w:rPr>
          <w:rFonts w:eastAsia="Calibri" w:cstheme="minorHAnsi"/>
        </w:rPr>
        <w:t>na</w:t>
      </w:r>
      <w:r w:rsidR="003B50ED">
        <w:rPr>
          <w:rFonts w:eastAsia="Calibri" w:cstheme="minorHAnsi"/>
        </w:rPr>
        <w:t xml:space="preserve"> </w:t>
      </w:r>
      <w:r w:rsidRPr="00A26C26">
        <w:rPr>
          <w:rFonts w:eastAsia="Calibri" w:cstheme="minorHAnsi"/>
        </w:rPr>
        <w:t>stronie</w:t>
      </w:r>
      <w:r w:rsidR="003B50ED">
        <w:rPr>
          <w:rFonts w:eastAsia="Calibri" w:cstheme="minorHAnsi"/>
        </w:rPr>
        <w:t xml:space="preserve"> </w:t>
      </w:r>
      <w:r w:rsidRPr="00A26C26">
        <w:rPr>
          <w:rFonts w:eastAsia="Calibri" w:cstheme="minorHAnsi"/>
        </w:rPr>
        <w:t>internetowej</w:t>
      </w:r>
      <w:r w:rsidR="003B50ED">
        <w:rPr>
          <w:rFonts w:eastAsia="Calibri" w:cstheme="minorHAnsi"/>
        </w:rPr>
        <w:t xml:space="preserve"> </w:t>
      </w:r>
      <w:r w:rsidRPr="00A26C26">
        <w:rPr>
          <w:rFonts w:eastAsia="Calibri" w:cstheme="minorHAnsi"/>
        </w:rPr>
        <w:t>oraz</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ankietach</w:t>
      </w:r>
      <w:r w:rsidR="003B50ED">
        <w:rPr>
          <w:rFonts w:eastAsia="Calibri" w:cstheme="minorHAnsi"/>
        </w:rPr>
        <w:t xml:space="preserve"> </w:t>
      </w:r>
      <w:r w:rsidRPr="00A26C26">
        <w:rPr>
          <w:rFonts w:eastAsia="Calibri" w:cstheme="minorHAnsi"/>
        </w:rPr>
        <w:t>ewaluacyjnych).</w:t>
      </w:r>
      <w:r w:rsidR="003B50ED">
        <w:rPr>
          <w:rFonts w:eastAsia="Calibri" w:cstheme="minorHAnsi"/>
        </w:rPr>
        <w:t xml:space="preserve"> </w:t>
      </w:r>
      <w:r w:rsidRPr="00A26C26">
        <w:rPr>
          <w:rFonts w:eastAsia="Calibri" w:cstheme="minorHAnsi"/>
        </w:rPr>
        <w:t>Dodatkowo,</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celu</w:t>
      </w:r>
      <w:r w:rsidR="003B50ED">
        <w:rPr>
          <w:rFonts w:eastAsia="Calibri" w:cstheme="minorHAnsi"/>
        </w:rPr>
        <w:t xml:space="preserve"> </w:t>
      </w:r>
      <w:r w:rsidRPr="00A26C26">
        <w:rPr>
          <w:rFonts w:eastAsia="Calibri" w:cstheme="minorHAnsi"/>
        </w:rPr>
        <w:t>zapewnienia</w:t>
      </w:r>
      <w:r w:rsidR="003B50ED">
        <w:rPr>
          <w:rFonts w:eastAsia="Calibri" w:cstheme="minorHAnsi"/>
        </w:rPr>
        <w:t xml:space="preserve"> </w:t>
      </w:r>
      <w:r w:rsidRPr="00A26C26">
        <w:rPr>
          <w:rFonts w:eastAsia="Calibri" w:cstheme="minorHAnsi"/>
        </w:rPr>
        <w:t>przejrzystości</w:t>
      </w:r>
      <w:r w:rsidR="003B50ED">
        <w:rPr>
          <w:rFonts w:eastAsia="Calibri" w:cstheme="minorHAnsi"/>
        </w:rPr>
        <w:t xml:space="preserve"> </w:t>
      </w:r>
      <w:r w:rsidRPr="00A26C26">
        <w:rPr>
          <w:rFonts w:eastAsia="Calibri" w:cstheme="minorHAnsi"/>
        </w:rPr>
        <w:t>działań</w:t>
      </w:r>
      <w:r w:rsidR="003B50ED">
        <w:rPr>
          <w:rFonts w:eastAsia="Calibri" w:cstheme="minorHAnsi"/>
        </w:rPr>
        <w:t xml:space="preserve"> </w:t>
      </w:r>
      <w:r w:rsidRPr="00A26C26">
        <w:rPr>
          <w:rFonts w:eastAsia="Calibri" w:cstheme="minorHAnsi"/>
        </w:rPr>
        <w:t>LGD,</w:t>
      </w:r>
      <w:r w:rsidR="003B50ED">
        <w:rPr>
          <w:rFonts w:eastAsia="Calibri" w:cstheme="minorHAnsi"/>
        </w:rPr>
        <w:t xml:space="preserve"> </w:t>
      </w:r>
      <w:r w:rsidRPr="00A26C26">
        <w:rPr>
          <w:rFonts w:eastAsia="Calibri" w:cstheme="minorHAnsi"/>
        </w:rPr>
        <w:t>wyniki</w:t>
      </w:r>
      <w:r w:rsidR="003B50ED">
        <w:rPr>
          <w:rFonts w:eastAsia="Calibri" w:cstheme="minorHAnsi"/>
        </w:rPr>
        <w:t xml:space="preserve"> </w:t>
      </w:r>
      <w:r w:rsidRPr="00A26C26">
        <w:rPr>
          <w:rFonts w:eastAsia="Calibri" w:cstheme="minorHAnsi"/>
        </w:rPr>
        <w:t>weryfikacji</w:t>
      </w:r>
      <w:r w:rsidR="003B50ED">
        <w:rPr>
          <w:rFonts w:eastAsia="Calibri" w:cstheme="minorHAnsi"/>
        </w:rPr>
        <w:t xml:space="preserve"> </w:t>
      </w:r>
      <w:r w:rsidRPr="00A26C26">
        <w:rPr>
          <w:rFonts w:eastAsia="Calibri" w:cstheme="minorHAnsi"/>
        </w:rPr>
        <w:t>zgłoszonych</w:t>
      </w:r>
      <w:r w:rsidR="003B50ED">
        <w:rPr>
          <w:rFonts w:eastAsia="Calibri" w:cstheme="minorHAnsi"/>
        </w:rPr>
        <w:t xml:space="preserve"> </w:t>
      </w:r>
      <w:r w:rsidRPr="00A26C26">
        <w:rPr>
          <w:rFonts w:eastAsia="Calibri" w:cstheme="minorHAnsi"/>
        </w:rPr>
        <w:t>propozycji</w:t>
      </w:r>
      <w:r w:rsidR="003B50ED">
        <w:rPr>
          <w:rFonts w:eastAsia="Calibri" w:cstheme="minorHAnsi"/>
        </w:rPr>
        <w:t xml:space="preserve"> </w:t>
      </w:r>
      <w:r w:rsidRPr="00A26C26">
        <w:rPr>
          <w:rFonts w:eastAsia="Calibri" w:cstheme="minorHAnsi"/>
        </w:rPr>
        <w:t>lub</w:t>
      </w:r>
      <w:r w:rsidR="003B50ED">
        <w:rPr>
          <w:rFonts w:eastAsia="Calibri" w:cstheme="minorHAnsi"/>
        </w:rPr>
        <w:t xml:space="preserve"> </w:t>
      </w:r>
      <w:r w:rsidRPr="00A26C26">
        <w:rPr>
          <w:rFonts w:eastAsia="Calibri" w:cstheme="minorHAnsi"/>
        </w:rPr>
        <w:t>inicjatyw</w:t>
      </w:r>
      <w:r w:rsidR="003B50ED">
        <w:rPr>
          <w:rFonts w:eastAsia="Calibri" w:cstheme="minorHAnsi"/>
        </w:rPr>
        <w:t xml:space="preserve"> </w:t>
      </w:r>
      <w:r w:rsidRPr="00A26C26">
        <w:rPr>
          <w:rFonts w:eastAsia="Calibri" w:cstheme="minorHAnsi"/>
        </w:rPr>
        <w:t>będą</w:t>
      </w:r>
      <w:r w:rsidR="003B50ED">
        <w:rPr>
          <w:rFonts w:eastAsia="Calibri" w:cstheme="minorHAnsi"/>
        </w:rPr>
        <w:t xml:space="preserve"> </w:t>
      </w:r>
      <w:r w:rsidRPr="00A26C26">
        <w:rPr>
          <w:rFonts w:eastAsia="Calibri" w:cstheme="minorHAnsi"/>
        </w:rPr>
        <w:t>udostępniane</w:t>
      </w:r>
      <w:r w:rsidR="003B50ED">
        <w:rPr>
          <w:rFonts w:eastAsia="Calibri" w:cstheme="minorHAnsi"/>
        </w:rPr>
        <w:t xml:space="preserve"> </w:t>
      </w:r>
      <w:r w:rsidRPr="00A26C26">
        <w:rPr>
          <w:rFonts w:eastAsia="Calibri" w:cstheme="minorHAnsi"/>
        </w:rPr>
        <w:t>na</w:t>
      </w:r>
      <w:r w:rsidR="003B50ED">
        <w:rPr>
          <w:rFonts w:eastAsia="Calibri" w:cstheme="minorHAnsi"/>
        </w:rPr>
        <w:t xml:space="preserve"> </w:t>
      </w:r>
      <w:r w:rsidRPr="00A26C26">
        <w:rPr>
          <w:rFonts w:eastAsia="Calibri" w:cstheme="minorHAnsi"/>
        </w:rPr>
        <w:t>stronie</w:t>
      </w:r>
      <w:r w:rsidR="003B50ED">
        <w:rPr>
          <w:rFonts w:eastAsia="Calibri" w:cstheme="minorHAnsi"/>
        </w:rPr>
        <w:t xml:space="preserve"> </w:t>
      </w:r>
      <w:r w:rsidRPr="00A26C26">
        <w:rPr>
          <w:rFonts w:eastAsia="Calibri" w:cstheme="minorHAnsi"/>
        </w:rPr>
        <w:t>internetowej</w:t>
      </w:r>
      <w:r w:rsidR="003B50ED">
        <w:rPr>
          <w:rFonts w:eastAsia="Calibri" w:cstheme="minorHAnsi"/>
        </w:rPr>
        <w:t xml:space="preserve"> </w:t>
      </w:r>
      <w:r w:rsidRPr="00A26C26">
        <w:rPr>
          <w:rFonts w:eastAsia="Calibri" w:cstheme="minorHAnsi"/>
        </w:rPr>
        <w:t>LGD,</w:t>
      </w:r>
      <w:r w:rsidR="003B50ED">
        <w:rPr>
          <w:rFonts w:eastAsia="Calibri" w:cstheme="minorHAnsi"/>
        </w:rPr>
        <w:t xml:space="preserve"> </w:t>
      </w:r>
      <w:r w:rsidRPr="00A26C26">
        <w:rPr>
          <w:rFonts w:eastAsia="Calibri" w:cstheme="minorHAnsi"/>
        </w:rPr>
        <w:t>z</w:t>
      </w:r>
      <w:r w:rsidR="003B50ED">
        <w:rPr>
          <w:rFonts w:eastAsia="Calibri" w:cstheme="minorHAnsi"/>
        </w:rPr>
        <w:t xml:space="preserve"> </w:t>
      </w:r>
      <w:r w:rsidRPr="00A26C26">
        <w:rPr>
          <w:rFonts w:eastAsia="Calibri" w:cstheme="minorHAnsi"/>
        </w:rPr>
        <w:t>poszanowaniem</w:t>
      </w:r>
      <w:r w:rsidR="003B50ED">
        <w:rPr>
          <w:rFonts w:eastAsia="Calibri" w:cstheme="minorHAnsi"/>
        </w:rPr>
        <w:t xml:space="preserve"> </w:t>
      </w:r>
      <w:r w:rsidRPr="00A26C26">
        <w:rPr>
          <w:rFonts w:eastAsia="Calibri" w:cstheme="minorHAnsi"/>
        </w:rPr>
        <w:t>przepisów</w:t>
      </w:r>
      <w:r w:rsidR="003B50ED">
        <w:rPr>
          <w:rFonts w:eastAsia="Calibri" w:cstheme="minorHAnsi"/>
        </w:rPr>
        <w:t xml:space="preserve"> </w:t>
      </w:r>
      <w:r w:rsidRPr="00A26C26">
        <w:rPr>
          <w:rFonts w:eastAsia="Calibri" w:cstheme="minorHAnsi"/>
        </w:rPr>
        <w:t>dotyczących</w:t>
      </w:r>
      <w:r w:rsidR="003B50ED">
        <w:rPr>
          <w:rFonts w:eastAsia="Calibri" w:cstheme="minorHAnsi"/>
        </w:rPr>
        <w:t xml:space="preserve"> </w:t>
      </w:r>
      <w:r w:rsidRPr="00A26C26">
        <w:rPr>
          <w:rFonts w:eastAsia="Calibri" w:cstheme="minorHAnsi"/>
        </w:rPr>
        <w:t>ochrony</w:t>
      </w:r>
      <w:r w:rsidR="003B50ED">
        <w:rPr>
          <w:rFonts w:eastAsia="Calibri" w:cstheme="minorHAnsi"/>
        </w:rPr>
        <w:t xml:space="preserve"> </w:t>
      </w:r>
      <w:r w:rsidRPr="00A26C26">
        <w:rPr>
          <w:rFonts w:eastAsia="Calibri" w:cstheme="minorHAnsi"/>
        </w:rPr>
        <w:t>danych</w:t>
      </w:r>
      <w:r w:rsidR="003B50ED">
        <w:rPr>
          <w:rFonts w:eastAsia="Calibri" w:cstheme="minorHAnsi"/>
        </w:rPr>
        <w:t xml:space="preserve"> </w:t>
      </w:r>
      <w:r w:rsidRPr="00A26C26">
        <w:rPr>
          <w:rFonts w:eastAsia="Calibri" w:cstheme="minorHAnsi"/>
        </w:rPr>
        <w:t>osobowych.</w:t>
      </w:r>
      <w:r w:rsidR="003B50ED">
        <w:rPr>
          <w:rFonts w:eastAsia="Calibri" w:cstheme="minorHAnsi"/>
        </w:rPr>
        <w:t xml:space="preserve"> </w:t>
      </w:r>
      <w:r w:rsidRPr="00A26C26">
        <w:rPr>
          <w:rFonts w:eastAsia="Calibri" w:cstheme="minorHAnsi"/>
        </w:rPr>
        <w:t>Jeśli</w:t>
      </w:r>
      <w:r w:rsidR="003B50ED">
        <w:rPr>
          <w:rFonts w:eastAsia="Calibri" w:cstheme="minorHAnsi"/>
        </w:rPr>
        <w:t xml:space="preserve"> </w:t>
      </w:r>
      <w:r w:rsidRPr="00A26C26">
        <w:rPr>
          <w:rFonts w:eastAsia="Calibri" w:cstheme="minorHAnsi"/>
        </w:rPr>
        <w:t>zmiany</w:t>
      </w:r>
      <w:r w:rsidR="003B50ED">
        <w:rPr>
          <w:rFonts w:eastAsia="Calibri" w:cstheme="minorHAnsi"/>
        </w:rPr>
        <w:t xml:space="preserve"> </w:t>
      </w:r>
      <w:r w:rsidRPr="00A26C26">
        <w:rPr>
          <w:rFonts w:eastAsia="Calibri" w:cstheme="minorHAnsi"/>
        </w:rPr>
        <w:t>zostaną</w:t>
      </w:r>
      <w:r w:rsidR="003B50ED">
        <w:rPr>
          <w:rFonts w:eastAsia="Calibri" w:cstheme="minorHAnsi"/>
        </w:rPr>
        <w:t xml:space="preserve"> </w:t>
      </w:r>
      <w:r w:rsidRPr="00A26C26">
        <w:rPr>
          <w:rFonts w:eastAsia="Calibri" w:cstheme="minorHAnsi"/>
        </w:rPr>
        <w:t>zaakceptowane,</w:t>
      </w:r>
      <w:r w:rsidR="003B50ED">
        <w:rPr>
          <w:rFonts w:eastAsia="Calibri" w:cstheme="minorHAnsi"/>
        </w:rPr>
        <w:t xml:space="preserve"> </w:t>
      </w:r>
      <w:r w:rsidRPr="00A26C26">
        <w:rPr>
          <w:rFonts w:eastAsia="Calibri" w:cstheme="minorHAnsi"/>
        </w:rPr>
        <w:t>będą</w:t>
      </w:r>
      <w:r w:rsidR="003B50ED">
        <w:rPr>
          <w:rFonts w:eastAsia="Calibri" w:cstheme="minorHAnsi"/>
        </w:rPr>
        <w:t xml:space="preserve"> </w:t>
      </w:r>
      <w:r w:rsidRPr="00A26C26">
        <w:rPr>
          <w:rFonts w:eastAsia="Calibri" w:cstheme="minorHAnsi"/>
        </w:rPr>
        <w:t>one</w:t>
      </w:r>
      <w:r w:rsidR="003B50ED">
        <w:rPr>
          <w:rFonts w:eastAsia="Calibri" w:cstheme="minorHAnsi"/>
        </w:rPr>
        <w:t xml:space="preserve"> </w:t>
      </w:r>
      <w:r w:rsidRPr="00A26C26">
        <w:rPr>
          <w:rFonts w:eastAsia="Calibri" w:cstheme="minorHAnsi"/>
        </w:rPr>
        <w:t>poddane</w:t>
      </w:r>
      <w:r w:rsidR="003B50ED">
        <w:rPr>
          <w:rFonts w:eastAsia="Calibri" w:cstheme="minorHAnsi"/>
        </w:rPr>
        <w:t xml:space="preserve"> </w:t>
      </w:r>
      <w:r w:rsidRPr="00A26C26">
        <w:rPr>
          <w:rFonts w:eastAsia="Calibri" w:cstheme="minorHAnsi"/>
        </w:rPr>
        <w:t>dalszym</w:t>
      </w:r>
      <w:r w:rsidR="003B50ED">
        <w:rPr>
          <w:rFonts w:eastAsia="Calibri" w:cstheme="minorHAnsi"/>
        </w:rPr>
        <w:t xml:space="preserve"> </w:t>
      </w:r>
      <w:r w:rsidRPr="00A26C26">
        <w:rPr>
          <w:rFonts w:eastAsia="Calibri" w:cstheme="minorHAnsi"/>
        </w:rPr>
        <w:t>konsultacjom</w:t>
      </w:r>
      <w:r w:rsidR="003B50ED">
        <w:rPr>
          <w:rFonts w:eastAsia="Calibri" w:cstheme="minorHAnsi"/>
        </w:rPr>
        <w:t xml:space="preserve"> </w:t>
      </w:r>
      <w:r w:rsidRPr="00A26C26">
        <w:rPr>
          <w:rFonts w:eastAsia="Calibri" w:cstheme="minorHAnsi"/>
        </w:rPr>
        <w:t>społecznym</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ostatecznie</w:t>
      </w:r>
      <w:r w:rsidR="003B50ED">
        <w:rPr>
          <w:rFonts w:eastAsia="Calibri" w:cstheme="minorHAnsi"/>
        </w:rPr>
        <w:t xml:space="preserve"> </w:t>
      </w:r>
      <w:r w:rsidRPr="00A26C26">
        <w:rPr>
          <w:rFonts w:eastAsia="Calibri" w:cstheme="minorHAnsi"/>
        </w:rPr>
        <w:t>zatwierdzone</w:t>
      </w:r>
      <w:r w:rsidR="003B50ED">
        <w:rPr>
          <w:rFonts w:eastAsia="Calibri" w:cstheme="minorHAnsi"/>
        </w:rPr>
        <w:t xml:space="preserve"> </w:t>
      </w:r>
      <w:r w:rsidRPr="00A26C26">
        <w:rPr>
          <w:rFonts w:eastAsia="Calibri" w:cstheme="minorHAnsi"/>
        </w:rPr>
        <w:t>przez</w:t>
      </w:r>
      <w:r w:rsidR="003B50ED">
        <w:rPr>
          <w:rFonts w:eastAsia="Calibri" w:cstheme="minorHAnsi"/>
        </w:rPr>
        <w:t xml:space="preserve"> </w:t>
      </w:r>
      <w:r w:rsidRPr="00A26C26">
        <w:rPr>
          <w:rFonts w:eastAsia="Calibri" w:cstheme="minorHAnsi"/>
        </w:rPr>
        <w:t>Walne</w:t>
      </w:r>
      <w:r w:rsidR="003B50ED">
        <w:rPr>
          <w:rFonts w:eastAsia="Calibri" w:cstheme="minorHAnsi"/>
        </w:rPr>
        <w:t xml:space="preserve"> </w:t>
      </w:r>
      <w:r w:rsidRPr="00A26C26">
        <w:rPr>
          <w:rFonts w:eastAsia="Calibri" w:cstheme="minorHAnsi"/>
        </w:rPr>
        <w:t>Zebranie</w:t>
      </w:r>
      <w:r w:rsidR="003B50ED">
        <w:rPr>
          <w:rFonts w:eastAsia="Calibri" w:cstheme="minorHAnsi"/>
        </w:rPr>
        <w:t xml:space="preserve"> </w:t>
      </w:r>
      <w:r w:rsidRPr="00A26C26">
        <w:rPr>
          <w:rFonts w:eastAsia="Calibri" w:cstheme="minorHAnsi"/>
        </w:rPr>
        <w:t>Członków</w:t>
      </w:r>
      <w:r w:rsidR="003B50ED">
        <w:rPr>
          <w:rFonts w:eastAsia="Calibri" w:cstheme="minorHAnsi"/>
        </w:rPr>
        <w:t xml:space="preserve"> </w:t>
      </w:r>
      <w:r w:rsidRPr="00A26C26">
        <w:rPr>
          <w:rFonts w:eastAsia="Calibri" w:cstheme="minorHAnsi"/>
        </w:rPr>
        <w:t>lub</w:t>
      </w:r>
      <w:r w:rsidR="003B50ED">
        <w:rPr>
          <w:rFonts w:eastAsia="Calibri" w:cstheme="minorHAnsi"/>
        </w:rPr>
        <w:t xml:space="preserve"> </w:t>
      </w:r>
      <w:r w:rsidRPr="00A26C26">
        <w:rPr>
          <w:rFonts w:eastAsia="Calibri" w:cstheme="minorHAnsi"/>
        </w:rPr>
        <w:t>Zarząd.</w:t>
      </w:r>
    </w:p>
    <w:p w14:paraId="256015B4" w14:textId="355CEE4D" w:rsidR="00E2372E" w:rsidRPr="00A26C26" w:rsidRDefault="00E2372E" w:rsidP="00A26C26">
      <w:pPr>
        <w:spacing w:line="276" w:lineRule="auto"/>
        <w:ind w:firstLine="284"/>
        <w:jc w:val="both"/>
        <w:rPr>
          <w:rFonts w:eastAsia="Calibri" w:cstheme="minorHAnsi"/>
        </w:rPr>
      </w:pPr>
      <w:r w:rsidRPr="00A26C26">
        <w:rPr>
          <w:rFonts w:eastAsia="Calibri" w:cstheme="minorHAnsi"/>
        </w:rPr>
        <w:t>Należy</w:t>
      </w:r>
      <w:r w:rsidR="003B50ED">
        <w:rPr>
          <w:rFonts w:eastAsia="Calibri" w:cstheme="minorHAnsi"/>
        </w:rPr>
        <w:t xml:space="preserve"> </w:t>
      </w:r>
      <w:r w:rsidRPr="00A26C26">
        <w:rPr>
          <w:rFonts w:eastAsia="Calibri" w:cstheme="minorHAnsi"/>
        </w:rPr>
        <w:t>zauważyć,</w:t>
      </w:r>
      <w:r w:rsidR="003B50ED">
        <w:rPr>
          <w:rFonts w:eastAsia="Calibri" w:cstheme="minorHAnsi"/>
        </w:rPr>
        <w:t xml:space="preserve"> </w:t>
      </w:r>
      <w:r w:rsidRPr="00A26C26">
        <w:rPr>
          <w:rFonts w:eastAsia="Calibri" w:cstheme="minorHAnsi"/>
        </w:rPr>
        <w:t>że</w:t>
      </w:r>
      <w:r w:rsidR="003B50ED">
        <w:rPr>
          <w:rFonts w:eastAsia="Calibri" w:cstheme="minorHAnsi"/>
        </w:rPr>
        <w:t xml:space="preserve"> </w:t>
      </w:r>
      <w:r w:rsidRPr="00A26C26">
        <w:rPr>
          <w:rFonts w:eastAsia="Calibri" w:cstheme="minorHAnsi"/>
        </w:rPr>
        <w:t>konieczność</w:t>
      </w:r>
      <w:r w:rsidR="003B50ED">
        <w:rPr>
          <w:rFonts w:eastAsia="Calibri" w:cstheme="minorHAnsi"/>
        </w:rPr>
        <w:t xml:space="preserve"> </w:t>
      </w:r>
      <w:r w:rsidRPr="00A26C26">
        <w:rPr>
          <w:rFonts w:eastAsia="Calibri" w:cstheme="minorHAnsi"/>
        </w:rPr>
        <w:t>zmian</w:t>
      </w:r>
      <w:r w:rsidR="003B50ED">
        <w:rPr>
          <w:rFonts w:eastAsia="Calibri" w:cstheme="minorHAnsi"/>
        </w:rPr>
        <w:t xml:space="preserve"> </w:t>
      </w:r>
      <w:r w:rsidRPr="00A26C26">
        <w:rPr>
          <w:rFonts w:eastAsia="Calibri" w:cstheme="minorHAnsi"/>
        </w:rPr>
        <w:t>może</w:t>
      </w:r>
      <w:r w:rsidR="003B50ED">
        <w:rPr>
          <w:rFonts w:eastAsia="Calibri" w:cstheme="minorHAnsi"/>
        </w:rPr>
        <w:t xml:space="preserve"> </w:t>
      </w:r>
      <w:r w:rsidRPr="00A26C26">
        <w:rPr>
          <w:rFonts w:eastAsia="Calibri" w:cstheme="minorHAnsi"/>
        </w:rPr>
        <w:t>wynikać</w:t>
      </w:r>
      <w:r w:rsidR="003B50ED">
        <w:rPr>
          <w:rFonts w:eastAsia="Calibri" w:cstheme="minorHAnsi"/>
        </w:rPr>
        <w:t xml:space="preserve"> </w:t>
      </w:r>
      <w:r w:rsidRPr="00A26C26">
        <w:rPr>
          <w:rFonts w:eastAsia="Calibri" w:cstheme="minorHAnsi"/>
        </w:rPr>
        <w:t>również</w:t>
      </w:r>
      <w:r w:rsidR="003B50ED">
        <w:rPr>
          <w:rFonts w:eastAsia="Calibri" w:cstheme="minorHAnsi"/>
        </w:rPr>
        <w:t xml:space="preserve"> </w:t>
      </w:r>
      <w:r w:rsidRPr="00A26C26">
        <w:rPr>
          <w:rFonts w:eastAsia="Calibri" w:cstheme="minorHAnsi"/>
        </w:rPr>
        <w:t>z</w:t>
      </w:r>
      <w:r w:rsidR="003B50ED">
        <w:rPr>
          <w:rFonts w:eastAsia="Calibri" w:cstheme="minorHAnsi"/>
        </w:rPr>
        <w:t xml:space="preserve"> </w:t>
      </w:r>
      <w:r w:rsidRPr="00A26C26">
        <w:rPr>
          <w:rFonts w:eastAsia="Calibri" w:cstheme="minorHAnsi"/>
        </w:rPr>
        <w:t>dostosowania</w:t>
      </w:r>
      <w:r w:rsidR="003B50ED">
        <w:rPr>
          <w:rFonts w:eastAsia="Calibri" w:cstheme="minorHAnsi"/>
        </w:rPr>
        <w:t xml:space="preserve"> </w:t>
      </w:r>
      <w:r w:rsidRPr="00A26C26">
        <w:rPr>
          <w:rFonts w:eastAsia="Calibri" w:cstheme="minorHAnsi"/>
        </w:rPr>
        <w:t>LSR</w:t>
      </w:r>
      <w:r w:rsidR="003B50ED">
        <w:rPr>
          <w:rFonts w:eastAsia="Calibri" w:cstheme="minorHAnsi"/>
        </w:rPr>
        <w:t xml:space="preserve"> </w:t>
      </w:r>
      <w:r w:rsidRPr="00A26C26">
        <w:rPr>
          <w:rFonts w:eastAsia="Calibri" w:cstheme="minorHAnsi"/>
        </w:rPr>
        <w:t>do</w:t>
      </w:r>
      <w:r w:rsidR="003B50ED">
        <w:rPr>
          <w:rFonts w:eastAsia="Calibri" w:cstheme="minorHAnsi"/>
        </w:rPr>
        <w:t xml:space="preserve"> </w:t>
      </w:r>
      <w:r w:rsidRPr="00A26C26">
        <w:rPr>
          <w:rFonts w:eastAsia="Calibri" w:cstheme="minorHAnsi"/>
        </w:rPr>
        <w:t>nowych</w:t>
      </w:r>
      <w:r w:rsidR="003B50ED">
        <w:rPr>
          <w:rFonts w:eastAsia="Calibri" w:cstheme="minorHAnsi"/>
        </w:rPr>
        <w:t xml:space="preserve"> </w:t>
      </w:r>
      <w:r w:rsidRPr="00A26C26">
        <w:rPr>
          <w:rFonts w:eastAsia="Calibri" w:cstheme="minorHAnsi"/>
        </w:rPr>
        <w:t>przepisów,</w:t>
      </w:r>
      <w:r w:rsidR="003B50ED">
        <w:rPr>
          <w:rFonts w:eastAsia="Calibri" w:cstheme="minorHAnsi"/>
        </w:rPr>
        <w:t xml:space="preserve"> </w:t>
      </w:r>
      <w:r w:rsidRPr="00A26C26">
        <w:rPr>
          <w:rFonts w:eastAsia="Calibri" w:cstheme="minorHAnsi"/>
        </w:rPr>
        <w:t>Wytycznych</w:t>
      </w:r>
      <w:r w:rsidR="003B50ED">
        <w:rPr>
          <w:rFonts w:eastAsia="Calibri" w:cstheme="minorHAnsi"/>
        </w:rPr>
        <w:t xml:space="preserve"> </w:t>
      </w:r>
      <w:r w:rsidRPr="00A26C26">
        <w:rPr>
          <w:rFonts w:eastAsia="Calibri" w:cstheme="minorHAnsi"/>
        </w:rPr>
        <w:t>lub</w:t>
      </w:r>
      <w:r w:rsidR="003B50ED">
        <w:rPr>
          <w:rFonts w:eastAsia="Calibri" w:cstheme="minorHAnsi"/>
        </w:rPr>
        <w:t xml:space="preserve"> </w:t>
      </w:r>
      <w:r w:rsidRPr="00A26C26">
        <w:rPr>
          <w:rFonts w:eastAsia="Calibri" w:cstheme="minorHAnsi"/>
        </w:rPr>
        <w:t>zaleceń</w:t>
      </w:r>
      <w:r w:rsidR="003B50ED">
        <w:rPr>
          <w:rFonts w:eastAsia="Calibri" w:cstheme="minorHAnsi"/>
        </w:rPr>
        <w:t xml:space="preserve"> </w:t>
      </w:r>
      <w:r w:rsidRPr="00A26C26">
        <w:rPr>
          <w:rFonts w:eastAsia="Calibri" w:cstheme="minorHAnsi"/>
        </w:rPr>
        <w:t>organów</w:t>
      </w:r>
      <w:r w:rsidR="003B50ED">
        <w:rPr>
          <w:rFonts w:eastAsia="Calibri" w:cstheme="minorHAnsi"/>
        </w:rPr>
        <w:t xml:space="preserve"> </w:t>
      </w:r>
      <w:r w:rsidRPr="00A26C26">
        <w:rPr>
          <w:rFonts w:eastAsia="Calibri" w:cstheme="minorHAnsi"/>
        </w:rPr>
        <w:t>kontroli.</w:t>
      </w:r>
      <w:r w:rsidR="003B50ED">
        <w:rPr>
          <w:rFonts w:eastAsia="Calibri" w:cstheme="minorHAnsi"/>
        </w:rPr>
        <w:t xml:space="preserve"> </w:t>
      </w:r>
    </w:p>
    <w:p w14:paraId="722D731A" w14:textId="3EDB6F73" w:rsidR="00E2372E" w:rsidRPr="00A26C26" w:rsidRDefault="00E2372E" w:rsidP="00A26C26">
      <w:pPr>
        <w:spacing w:line="276" w:lineRule="auto"/>
        <w:ind w:firstLine="284"/>
        <w:jc w:val="both"/>
        <w:rPr>
          <w:rFonts w:eastAsia="Calibri" w:cstheme="minorHAnsi"/>
        </w:rPr>
      </w:pPr>
      <w:r w:rsidRPr="00A26C26">
        <w:rPr>
          <w:rFonts w:eastAsia="Calibri" w:cstheme="minorHAnsi"/>
        </w:rPr>
        <w:t>Podsumowując,</w:t>
      </w:r>
      <w:r w:rsidR="003B50ED">
        <w:rPr>
          <w:rFonts w:eastAsia="Calibri" w:cstheme="minorHAnsi"/>
        </w:rPr>
        <w:t xml:space="preserve"> </w:t>
      </w:r>
      <w:r w:rsidRPr="00A26C26">
        <w:rPr>
          <w:rFonts w:eastAsia="Calibri" w:cstheme="minorHAnsi"/>
        </w:rPr>
        <w:t>można</w:t>
      </w:r>
      <w:r w:rsidR="003B50ED">
        <w:rPr>
          <w:rFonts w:eastAsia="Calibri" w:cstheme="minorHAnsi"/>
        </w:rPr>
        <w:t xml:space="preserve"> </w:t>
      </w:r>
      <w:r w:rsidRPr="00A26C26">
        <w:rPr>
          <w:rFonts w:eastAsia="Calibri" w:cstheme="minorHAnsi"/>
        </w:rPr>
        <w:t>wskazać</w:t>
      </w:r>
      <w:r w:rsidR="003B50ED">
        <w:rPr>
          <w:rFonts w:eastAsia="Calibri" w:cstheme="minorHAnsi"/>
        </w:rPr>
        <w:t xml:space="preserve"> </w:t>
      </w:r>
      <w:r w:rsidRPr="00A26C26">
        <w:rPr>
          <w:rFonts w:eastAsia="Calibri" w:cstheme="minorHAnsi"/>
        </w:rPr>
        <w:t>kilka</w:t>
      </w:r>
      <w:r w:rsidR="003B50ED">
        <w:rPr>
          <w:rFonts w:eastAsia="Calibri" w:cstheme="minorHAnsi"/>
        </w:rPr>
        <w:t xml:space="preserve"> </w:t>
      </w:r>
      <w:r w:rsidRPr="00A26C26">
        <w:rPr>
          <w:rFonts w:eastAsia="Calibri" w:cstheme="minorHAnsi"/>
        </w:rPr>
        <w:t>czynników,</w:t>
      </w:r>
      <w:r w:rsidR="003B50ED">
        <w:rPr>
          <w:rFonts w:eastAsia="Calibri" w:cstheme="minorHAnsi"/>
        </w:rPr>
        <w:t xml:space="preserve"> </w:t>
      </w:r>
      <w:r w:rsidRPr="00A26C26">
        <w:rPr>
          <w:rFonts w:eastAsia="Calibri" w:cstheme="minorHAnsi"/>
        </w:rPr>
        <w:t>które</w:t>
      </w:r>
      <w:r w:rsidR="003B50ED">
        <w:rPr>
          <w:rFonts w:eastAsia="Calibri" w:cstheme="minorHAnsi"/>
        </w:rPr>
        <w:t xml:space="preserve"> </w:t>
      </w:r>
      <w:r w:rsidRPr="00A26C26">
        <w:rPr>
          <w:rFonts w:eastAsia="Calibri" w:cstheme="minorHAnsi"/>
        </w:rPr>
        <w:t>wymagają</w:t>
      </w:r>
      <w:r w:rsidR="003B50ED">
        <w:rPr>
          <w:rFonts w:eastAsia="Calibri" w:cstheme="minorHAnsi"/>
        </w:rPr>
        <w:t xml:space="preserve"> </w:t>
      </w:r>
      <w:r w:rsidRPr="00A26C26">
        <w:rPr>
          <w:rFonts w:eastAsia="Calibri" w:cstheme="minorHAnsi"/>
        </w:rPr>
        <w:t>aktualizacji</w:t>
      </w:r>
      <w:r w:rsidR="003B50ED">
        <w:rPr>
          <w:rFonts w:eastAsia="Calibri" w:cstheme="minorHAnsi"/>
        </w:rPr>
        <w:t xml:space="preserve"> </w:t>
      </w:r>
      <w:r w:rsidRPr="00A26C26">
        <w:rPr>
          <w:rFonts w:eastAsia="Calibri" w:cstheme="minorHAnsi"/>
        </w:rPr>
        <w:t>LSR</w:t>
      </w:r>
      <w:r w:rsidR="003B50ED">
        <w:rPr>
          <w:rFonts w:eastAsia="Calibri" w:cstheme="minorHAnsi"/>
        </w:rPr>
        <w:t xml:space="preserve"> </w:t>
      </w:r>
      <w:r w:rsidRPr="00A26C26">
        <w:rPr>
          <w:rFonts w:eastAsia="Calibri" w:cstheme="minorHAnsi"/>
        </w:rPr>
        <w:t>:</w:t>
      </w:r>
    </w:p>
    <w:p w14:paraId="54A5AF0B" w14:textId="57B628B5" w:rsidR="00E2372E" w:rsidRPr="00A26C26" w:rsidRDefault="00E2372E" w:rsidP="008A412F">
      <w:pPr>
        <w:numPr>
          <w:ilvl w:val="0"/>
          <w:numId w:val="7"/>
        </w:numPr>
        <w:spacing w:line="276" w:lineRule="auto"/>
        <w:jc w:val="both"/>
        <w:rPr>
          <w:rFonts w:eastAsia="Calibri" w:cstheme="minorHAnsi"/>
        </w:rPr>
      </w:pPr>
      <w:r w:rsidRPr="00A26C26">
        <w:rPr>
          <w:rFonts w:eastAsia="Calibri" w:cstheme="minorHAnsi"/>
        </w:rPr>
        <w:t>wyniki</w:t>
      </w:r>
      <w:r w:rsidR="003B50ED">
        <w:rPr>
          <w:rFonts w:eastAsia="Calibri" w:cstheme="minorHAnsi"/>
        </w:rPr>
        <w:t xml:space="preserve"> </w:t>
      </w:r>
      <w:r w:rsidRPr="00A26C26">
        <w:rPr>
          <w:rFonts w:eastAsia="Calibri" w:cstheme="minorHAnsi"/>
        </w:rPr>
        <w:t>monitoringu</w:t>
      </w:r>
      <w:r w:rsidR="003B50ED">
        <w:rPr>
          <w:rFonts w:eastAsia="Calibri" w:cstheme="minorHAnsi"/>
        </w:rPr>
        <w:t xml:space="preserve"> </w:t>
      </w:r>
      <w:r w:rsidRPr="00A26C26">
        <w:rPr>
          <w:rFonts w:eastAsia="Calibri" w:cstheme="minorHAnsi"/>
        </w:rPr>
        <w:t>lub</w:t>
      </w:r>
      <w:r w:rsidR="003B50ED">
        <w:rPr>
          <w:rFonts w:eastAsia="Calibri" w:cstheme="minorHAnsi"/>
        </w:rPr>
        <w:t xml:space="preserve"> </w:t>
      </w:r>
      <w:r w:rsidRPr="00A26C26">
        <w:rPr>
          <w:rFonts w:eastAsia="Calibri" w:cstheme="minorHAnsi"/>
        </w:rPr>
        <w:t>ewaluacji,</w:t>
      </w:r>
      <w:r w:rsidR="003B50ED">
        <w:rPr>
          <w:rFonts w:eastAsia="Calibri" w:cstheme="minorHAnsi"/>
        </w:rPr>
        <w:t xml:space="preserve"> </w:t>
      </w:r>
      <w:r w:rsidRPr="00A26C26">
        <w:rPr>
          <w:rFonts w:eastAsia="Calibri" w:cstheme="minorHAnsi"/>
        </w:rPr>
        <w:t>które</w:t>
      </w:r>
      <w:r w:rsidR="003B50ED">
        <w:rPr>
          <w:rFonts w:eastAsia="Calibri" w:cstheme="minorHAnsi"/>
        </w:rPr>
        <w:t xml:space="preserve"> </w:t>
      </w:r>
      <w:r w:rsidRPr="00A26C26">
        <w:rPr>
          <w:rFonts w:eastAsia="Calibri" w:cstheme="minorHAnsi"/>
        </w:rPr>
        <w:t>wskazują</w:t>
      </w:r>
      <w:r w:rsidR="003B50ED">
        <w:rPr>
          <w:rFonts w:eastAsia="Calibri" w:cstheme="minorHAnsi"/>
        </w:rPr>
        <w:t xml:space="preserve"> </w:t>
      </w:r>
      <w:r w:rsidRPr="00A26C26">
        <w:rPr>
          <w:rFonts w:eastAsia="Calibri" w:cstheme="minorHAnsi"/>
        </w:rPr>
        <w:t>konieczność</w:t>
      </w:r>
      <w:r w:rsidR="003B50ED">
        <w:rPr>
          <w:rFonts w:eastAsia="Calibri" w:cstheme="minorHAnsi"/>
        </w:rPr>
        <w:t xml:space="preserve"> </w:t>
      </w:r>
      <w:r w:rsidRPr="00A26C26">
        <w:rPr>
          <w:rFonts w:eastAsia="Calibri" w:cstheme="minorHAnsi"/>
        </w:rPr>
        <w:t>dostosowania</w:t>
      </w:r>
      <w:r w:rsidR="003B50ED">
        <w:rPr>
          <w:rFonts w:eastAsia="Calibri" w:cstheme="minorHAnsi"/>
        </w:rPr>
        <w:t xml:space="preserve"> </w:t>
      </w:r>
      <w:r w:rsidRPr="00A26C26">
        <w:rPr>
          <w:rFonts w:eastAsia="Calibri" w:cstheme="minorHAnsi"/>
        </w:rPr>
        <w:t>LSR,</w:t>
      </w:r>
    </w:p>
    <w:p w14:paraId="733929E9" w14:textId="629F77E1" w:rsidR="00E2372E" w:rsidRPr="00A26C26" w:rsidRDefault="00E2372E" w:rsidP="008A412F">
      <w:pPr>
        <w:numPr>
          <w:ilvl w:val="0"/>
          <w:numId w:val="7"/>
        </w:numPr>
        <w:spacing w:line="276" w:lineRule="auto"/>
        <w:jc w:val="both"/>
        <w:rPr>
          <w:rFonts w:eastAsia="Calibri" w:cstheme="minorHAnsi"/>
        </w:rPr>
      </w:pPr>
      <w:r w:rsidRPr="00A26C26">
        <w:rPr>
          <w:rFonts w:eastAsia="Calibri" w:cstheme="minorHAnsi"/>
        </w:rPr>
        <w:t>aktualizacja</w:t>
      </w:r>
      <w:r w:rsidR="003B50ED">
        <w:rPr>
          <w:rFonts w:eastAsia="Calibri" w:cstheme="minorHAnsi"/>
        </w:rPr>
        <w:t xml:space="preserve"> </w:t>
      </w:r>
      <w:r w:rsidRPr="00A26C26">
        <w:rPr>
          <w:rFonts w:eastAsia="Calibri" w:cstheme="minorHAnsi"/>
        </w:rPr>
        <w:t>Wytycznych</w:t>
      </w:r>
      <w:r w:rsidR="003B50ED">
        <w:rPr>
          <w:rFonts w:eastAsia="Calibri" w:cstheme="minorHAnsi"/>
        </w:rPr>
        <w:t xml:space="preserve"> </w:t>
      </w:r>
      <w:r w:rsidRPr="00A26C26">
        <w:rPr>
          <w:rFonts w:eastAsia="Calibri" w:cstheme="minorHAnsi"/>
        </w:rPr>
        <w:t>horyzontalnych</w:t>
      </w:r>
      <w:r w:rsidR="003B50ED">
        <w:rPr>
          <w:rFonts w:eastAsia="Calibri" w:cstheme="minorHAnsi"/>
        </w:rPr>
        <w:t xml:space="preserve"> </w:t>
      </w:r>
      <w:r w:rsidRPr="00A26C26">
        <w:rPr>
          <w:rFonts w:eastAsia="Calibri" w:cstheme="minorHAnsi"/>
        </w:rPr>
        <w:t>lub</w:t>
      </w:r>
      <w:r w:rsidR="003B50ED">
        <w:rPr>
          <w:rFonts w:eastAsia="Calibri" w:cstheme="minorHAnsi"/>
        </w:rPr>
        <w:t xml:space="preserve"> </w:t>
      </w:r>
      <w:r w:rsidRPr="00A26C26">
        <w:rPr>
          <w:rFonts w:eastAsia="Calibri" w:cstheme="minorHAnsi"/>
        </w:rPr>
        <w:t>szczegółowych,</w:t>
      </w:r>
      <w:r w:rsidR="003B50ED">
        <w:rPr>
          <w:rFonts w:eastAsia="Calibri" w:cstheme="minorHAnsi"/>
        </w:rPr>
        <w:t xml:space="preserve"> </w:t>
      </w:r>
      <w:r w:rsidRPr="00A26C26">
        <w:rPr>
          <w:rFonts w:eastAsia="Calibri" w:cstheme="minorHAnsi"/>
        </w:rPr>
        <w:t>wpływających</w:t>
      </w:r>
      <w:r w:rsidR="003B50ED">
        <w:rPr>
          <w:rFonts w:eastAsia="Calibri" w:cstheme="minorHAnsi"/>
        </w:rPr>
        <w:t xml:space="preserve"> </w:t>
      </w:r>
      <w:r w:rsidRPr="00A26C26">
        <w:rPr>
          <w:rFonts w:eastAsia="Calibri" w:cstheme="minorHAnsi"/>
        </w:rPr>
        <w:t>na</w:t>
      </w:r>
      <w:r w:rsidR="003B50ED">
        <w:rPr>
          <w:rFonts w:eastAsia="Calibri" w:cstheme="minorHAnsi"/>
        </w:rPr>
        <w:t xml:space="preserve"> </w:t>
      </w:r>
      <w:r w:rsidRPr="00A26C26">
        <w:rPr>
          <w:rFonts w:eastAsia="Calibri" w:cstheme="minorHAnsi"/>
        </w:rPr>
        <w:t>LSR,</w:t>
      </w:r>
    </w:p>
    <w:p w14:paraId="7309C594" w14:textId="2E67DF2D" w:rsidR="00E2372E" w:rsidRPr="00A26C26" w:rsidRDefault="00E2372E" w:rsidP="008A412F">
      <w:pPr>
        <w:numPr>
          <w:ilvl w:val="0"/>
          <w:numId w:val="7"/>
        </w:numPr>
        <w:spacing w:line="276" w:lineRule="auto"/>
        <w:jc w:val="both"/>
        <w:rPr>
          <w:rFonts w:eastAsia="Calibri" w:cstheme="minorHAnsi"/>
        </w:rPr>
      </w:pPr>
      <w:r w:rsidRPr="00A26C26">
        <w:rPr>
          <w:rFonts w:eastAsia="Calibri" w:cstheme="minorHAnsi"/>
        </w:rPr>
        <w:t>inicjatywy,</w:t>
      </w:r>
      <w:r w:rsidR="003B50ED">
        <w:rPr>
          <w:rFonts w:eastAsia="Calibri" w:cstheme="minorHAnsi"/>
        </w:rPr>
        <w:t xml:space="preserve"> </w:t>
      </w:r>
      <w:r w:rsidRPr="00A26C26">
        <w:rPr>
          <w:rFonts w:eastAsia="Calibri" w:cstheme="minorHAnsi"/>
        </w:rPr>
        <w:t>wnioski</w:t>
      </w:r>
      <w:r w:rsidR="003B50ED">
        <w:rPr>
          <w:rFonts w:eastAsia="Calibri" w:cstheme="minorHAnsi"/>
        </w:rPr>
        <w:t xml:space="preserve"> </w:t>
      </w:r>
      <w:r w:rsidRPr="00A26C26">
        <w:rPr>
          <w:rFonts w:eastAsia="Calibri" w:cstheme="minorHAnsi"/>
        </w:rPr>
        <w:t>lub</w:t>
      </w:r>
      <w:r w:rsidR="003B50ED">
        <w:rPr>
          <w:rFonts w:eastAsia="Calibri" w:cstheme="minorHAnsi"/>
        </w:rPr>
        <w:t xml:space="preserve"> </w:t>
      </w:r>
      <w:r w:rsidRPr="00A26C26">
        <w:rPr>
          <w:rFonts w:eastAsia="Calibri" w:cstheme="minorHAnsi"/>
        </w:rPr>
        <w:t>zastrzeżenia</w:t>
      </w:r>
      <w:r w:rsidR="003B50ED">
        <w:rPr>
          <w:rFonts w:eastAsia="Calibri" w:cstheme="minorHAnsi"/>
        </w:rPr>
        <w:t xml:space="preserve"> </w:t>
      </w:r>
      <w:r w:rsidRPr="00A26C26">
        <w:rPr>
          <w:rFonts w:eastAsia="Calibri" w:cstheme="minorHAnsi"/>
        </w:rPr>
        <w:t>zgłaszane</w:t>
      </w:r>
      <w:r w:rsidR="003B50ED">
        <w:rPr>
          <w:rFonts w:eastAsia="Calibri" w:cstheme="minorHAnsi"/>
        </w:rPr>
        <w:t xml:space="preserve"> </w:t>
      </w:r>
      <w:r w:rsidRPr="00A26C26">
        <w:rPr>
          <w:rFonts w:eastAsia="Calibri" w:cstheme="minorHAnsi"/>
        </w:rPr>
        <w:t>przez</w:t>
      </w:r>
      <w:r w:rsidR="003B50ED">
        <w:rPr>
          <w:rFonts w:eastAsia="Calibri" w:cstheme="minorHAnsi"/>
        </w:rPr>
        <w:t xml:space="preserve"> </w:t>
      </w:r>
      <w:r w:rsidRPr="00A26C26">
        <w:rPr>
          <w:rFonts w:eastAsia="Calibri" w:cstheme="minorHAnsi"/>
        </w:rPr>
        <w:t>społeczność</w:t>
      </w:r>
      <w:r w:rsidR="003B50ED">
        <w:rPr>
          <w:rFonts w:eastAsia="Calibri" w:cstheme="minorHAnsi"/>
        </w:rPr>
        <w:t xml:space="preserve"> </w:t>
      </w:r>
      <w:r w:rsidRPr="00A26C26">
        <w:rPr>
          <w:rFonts w:eastAsia="Calibri" w:cstheme="minorHAnsi"/>
        </w:rPr>
        <w:t>za</w:t>
      </w:r>
      <w:r w:rsidR="003B50ED">
        <w:rPr>
          <w:rFonts w:eastAsia="Calibri" w:cstheme="minorHAnsi"/>
        </w:rPr>
        <w:t xml:space="preserve"> </w:t>
      </w:r>
      <w:r w:rsidRPr="00A26C26">
        <w:rPr>
          <w:rFonts w:eastAsia="Calibri" w:cstheme="minorHAnsi"/>
        </w:rPr>
        <w:t>pośrednictwem</w:t>
      </w:r>
      <w:r w:rsidR="003B50ED">
        <w:rPr>
          <w:rFonts w:eastAsia="Calibri" w:cstheme="minorHAnsi"/>
        </w:rPr>
        <w:t xml:space="preserve"> </w:t>
      </w:r>
      <w:r w:rsidRPr="00A26C26">
        <w:rPr>
          <w:rFonts w:eastAsia="Calibri" w:cstheme="minorHAnsi"/>
        </w:rPr>
        <w:t>formularzy</w:t>
      </w:r>
      <w:r w:rsidR="003B50ED">
        <w:rPr>
          <w:rFonts w:eastAsia="Calibri" w:cstheme="minorHAnsi"/>
        </w:rPr>
        <w:t xml:space="preserve"> </w:t>
      </w:r>
      <w:r w:rsidRPr="00A26C26">
        <w:rPr>
          <w:rFonts w:eastAsia="Calibri" w:cstheme="minorHAnsi"/>
        </w:rPr>
        <w:t>lub</w:t>
      </w:r>
      <w:r w:rsidR="003B50ED">
        <w:rPr>
          <w:rFonts w:eastAsia="Calibri" w:cstheme="minorHAnsi"/>
        </w:rPr>
        <w:t xml:space="preserve"> </w:t>
      </w:r>
      <w:r w:rsidRPr="00A26C26">
        <w:rPr>
          <w:rFonts w:eastAsia="Calibri" w:cstheme="minorHAnsi"/>
        </w:rPr>
        <w:t>kart</w:t>
      </w:r>
      <w:r w:rsidR="003B50ED">
        <w:rPr>
          <w:rFonts w:eastAsia="Calibri" w:cstheme="minorHAnsi"/>
        </w:rPr>
        <w:t xml:space="preserve"> </w:t>
      </w:r>
      <w:r w:rsidRPr="00A26C26">
        <w:rPr>
          <w:rFonts w:eastAsia="Calibri" w:cstheme="minorHAnsi"/>
        </w:rPr>
        <w:t>pomysłów</w:t>
      </w:r>
      <w:r w:rsidR="003B50ED">
        <w:rPr>
          <w:rFonts w:eastAsia="Calibri" w:cstheme="minorHAnsi"/>
        </w:rPr>
        <w:t xml:space="preserve"> </w:t>
      </w:r>
      <w:r w:rsidRPr="00A26C26">
        <w:rPr>
          <w:rFonts w:eastAsia="Calibri" w:cstheme="minorHAnsi"/>
        </w:rPr>
        <w:t>dostępnych</w:t>
      </w:r>
      <w:r w:rsidR="003B50ED">
        <w:rPr>
          <w:rFonts w:eastAsia="Calibri" w:cstheme="minorHAnsi"/>
        </w:rPr>
        <w:t xml:space="preserve"> </w:t>
      </w:r>
      <w:r w:rsidRPr="00A26C26">
        <w:rPr>
          <w:rFonts w:eastAsia="Calibri" w:cstheme="minorHAnsi"/>
        </w:rPr>
        <w:t>na</w:t>
      </w:r>
      <w:r w:rsidR="003B50ED">
        <w:rPr>
          <w:rFonts w:eastAsia="Calibri" w:cstheme="minorHAnsi"/>
        </w:rPr>
        <w:t xml:space="preserve"> </w:t>
      </w:r>
      <w:r w:rsidRPr="00A26C26">
        <w:rPr>
          <w:rFonts w:eastAsia="Calibri" w:cstheme="minorHAnsi"/>
        </w:rPr>
        <w:t>stronie</w:t>
      </w:r>
      <w:r w:rsidR="003B50ED">
        <w:rPr>
          <w:rFonts w:eastAsia="Calibri" w:cstheme="minorHAnsi"/>
        </w:rPr>
        <w:t xml:space="preserve"> </w:t>
      </w:r>
      <w:r w:rsidRPr="00A26C26">
        <w:rPr>
          <w:rFonts w:eastAsia="Calibri" w:cstheme="minorHAnsi"/>
        </w:rPr>
        <w:t>internetowej</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biurze</w:t>
      </w:r>
      <w:r w:rsidR="003B50ED">
        <w:rPr>
          <w:rFonts w:eastAsia="Calibri" w:cstheme="minorHAnsi"/>
        </w:rPr>
        <w:t xml:space="preserve"> </w:t>
      </w:r>
      <w:r w:rsidRPr="00A26C26">
        <w:rPr>
          <w:rFonts w:eastAsia="Calibri" w:cstheme="minorHAnsi"/>
        </w:rPr>
        <w:t>LGD,</w:t>
      </w:r>
    </w:p>
    <w:p w14:paraId="58EDBB5F" w14:textId="3DE4B4A8" w:rsidR="00E2372E" w:rsidRPr="00A26C26" w:rsidRDefault="00E2372E" w:rsidP="008A412F">
      <w:pPr>
        <w:numPr>
          <w:ilvl w:val="0"/>
          <w:numId w:val="7"/>
        </w:numPr>
        <w:spacing w:line="276" w:lineRule="auto"/>
        <w:jc w:val="both"/>
        <w:rPr>
          <w:rFonts w:eastAsia="Calibri" w:cstheme="minorHAnsi"/>
        </w:rPr>
      </w:pPr>
      <w:r w:rsidRPr="00A26C26">
        <w:rPr>
          <w:rFonts w:eastAsia="Calibri" w:cstheme="minorHAnsi"/>
        </w:rPr>
        <w:t>konieczność</w:t>
      </w:r>
      <w:r w:rsidR="003B50ED">
        <w:rPr>
          <w:rFonts w:eastAsia="Calibri" w:cstheme="minorHAnsi"/>
        </w:rPr>
        <w:t xml:space="preserve"> </w:t>
      </w:r>
      <w:r w:rsidRPr="00A26C26">
        <w:rPr>
          <w:rFonts w:eastAsia="Calibri" w:cstheme="minorHAnsi"/>
        </w:rPr>
        <w:t>dostosowania</w:t>
      </w:r>
      <w:r w:rsidR="003B50ED">
        <w:rPr>
          <w:rFonts w:eastAsia="Calibri" w:cstheme="minorHAnsi"/>
        </w:rPr>
        <w:t xml:space="preserve"> </w:t>
      </w:r>
      <w:r w:rsidRPr="00A26C26">
        <w:rPr>
          <w:rFonts w:eastAsia="Calibri" w:cstheme="minorHAnsi"/>
        </w:rPr>
        <w:t>LSR</w:t>
      </w:r>
      <w:r w:rsidR="003B50ED">
        <w:rPr>
          <w:rFonts w:eastAsia="Calibri" w:cstheme="minorHAnsi"/>
        </w:rPr>
        <w:t xml:space="preserve"> </w:t>
      </w:r>
      <w:r w:rsidRPr="00A26C26">
        <w:rPr>
          <w:rFonts w:eastAsia="Calibri" w:cstheme="minorHAnsi"/>
        </w:rPr>
        <w:t>do</w:t>
      </w:r>
      <w:r w:rsidR="003B50ED">
        <w:rPr>
          <w:rFonts w:eastAsia="Calibri" w:cstheme="minorHAnsi"/>
        </w:rPr>
        <w:t xml:space="preserve"> </w:t>
      </w:r>
      <w:r w:rsidRPr="00A26C26">
        <w:rPr>
          <w:rFonts w:eastAsia="Calibri" w:cstheme="minorHAnsi"/>
        </w:rPr>
        <w:t>zmieniających</w:t>
      </w:r>
      <w:r w:rsidR="003B50ED">
        <w:rPr>
          <w:rFonts w:eastAsia="Calibri" w:cstheme="minorHAnsi"/>
        </w:rPr>
        <w:t xml:space="preserve"> </w:t>
      </w:r>
      <w:r w:rsidRPr="00A26C26">
        <w:rPr>
          <w:rFonts w:eastAsia="Calibri" w:cstheme="minorHAnsi"/>
        </w:rPr>
        <w:t>się</w:t>
      </w:r>
      <w:r w:rsidR="003B50ED">
        <w:rPr>
          <w:rFonts w:eastAsia="Calibri" w:cstheme="minorHAnsi"/>
        </w:rPr>
        <w:t xml:space="preserve"> </w:t>
      </w:r>
      <w:r w:rsidRPr="00A26C26">
        <w:rPr>
          <w:rFonts w:eastAsia="Calibri" w:cstheme="minorHAnsi"/>
        </w:rPr>
        <w:t>warunków,</w:t>
      </w:r>
      <w:r w:rsidR="003B50ED">
        <w:rPr>
          <w:rFonts w:eastAsia="Calibri" w:cstheme="minorHAnsi"/>
        </w:rPr>
        <w:t xml:space="preserve"> </w:t>
      </w:r>
      <w:r w:rsidRPr="00A26C26">
        <w:rPr>
          <w:rFonts w:eastAsia="Calibri" w:cstheme="minorHAnsi"/>
        </w:rPr>
        <w:t>takich</w:t>
      </w:r>
      <w:r w:rsidR="003B50ED">
        <w:rPr>
          <w:rFonts w:eastAsia="Calibri" w:cstheme="minorHAnsi"/>
        </w:rPr>
        <w:t xml:space="preserve"> </w:t>
      </w:r>
      <w:r w:rsidRPr="00A26C26">
        <w:rPr>
          <w:rFonts w:eastAsia="Calibri" w:cstheme="minorHAnsi"/>
        </w:rPr>
        <w:t>jak</w:t>
      </w:r>
      <w:r w:rsidR="003B50ED">
        <w:rPr>
          <w:rFonts w:eastAsia="Calibri" w:cstheme="minorHAnsi"/>
        </w:rPr>
        <w:t xml:space="preserve"> </w:t>
      </w:r>
      <w:r w:rsidRPr="00A26C26">
        <w:rPr>
          <w:rFonts w:eastAsia="Calibri" w:cstheme="minorHAnsi"/>
        </w:rPr>
        <w:t>czynniki</w:t>
      </w:r>
      <w:r w:rsidR="003B50ED">
        <w:rPr>
          <w:rFonts w:eastAsia="Calibri" w:cstheme="minorHAnsi"/>
        </w:rPr>
        <w:t xml:space="preserve"> </w:t>
      </w:r>
      <w:r w:rsidRPr="00A26C26">
        <w:rPr>
          <w:rFonts w:eastAsia="Calibri" w:cstheme="minorHAnsi"/>
        </w:rPr>
        <w:t>zakłócające,</w:t>
      </w:r>
      <w:r w:rsidR="003B50ED">
        <w:rPr>
          <w:rFonts w:eastAsia="Calibri" w:cstheme="minorHAnsi"/>
        </w:rPr>
        <w:t xml:space="preserve"> </w:t>
      </w:r>
      <w:r w:rsidRPr="00A26C26">
        <w:rPr>
          <w:rFonts w:eastAsia="Calibri" w:cstheme="minorHAnsi"/>
        </w:rPr>
        <w:t>zmiany</w:t>
      </w:r>
      <w:r w:rsidR="003B50ED">
        <w:rPr>
          <w:rFonts w:eastAsia="Calibri" w:cstheme="minorHAnsi"/>
        </w:rPr>
        <w:t xml:space="preserve"> </w:t>
      </w:r>
      <w:r w:rsidRPr="00A26C26">
        <w:rPr>
          <w:rFonts w:eastAsia="Calibri" w:cstheme="minorHAnsi"/>
        </w:rPr>
        <w:t>sytuacji</w:t>
      </w:r>
      <w:r w:rsidR="003B50ED">
        <w:rPr>
          <w:rFonts w:eastAsia="Calibri" w:cstheme="minorHAnsi"/>
        </w:rPr>
        <w:t xml:space="preserve"> </w:t>
      </w:r>
      <w:r w:rsidRPr="00A26C26">
        <w:rPr>
          <w:rFonts w:eastAsia="Calibri" w:cstheme="minorHAnsi"/>
        </w:rPr>
        <w:t>gospodarczej</w:t>
      </w:r>
      <w:r w:rsidR="003B50ED">
        <w:rPr>
          <w:rFonts w:eastAsia="Calibri" w:cstheme="minorHAnsi"/>
        </w:rPr>
        <w:t xml:space="preserve"> </w:t>
      </w:r>
      <w:r w:rsidRPr="00A26C26">
        <w:rPr>
          <w:rFonts w:eastAsia="Calibri" w:cstheme="minorHAnsi"/>
        </w:rPr>
        <w:t>lub</w:t>
      </w:r>
      <w:r w:rsidR="003B50ED">
        <w:rPr>
          <w:rFonts w:eastAsia="Calibri" w:cstheme="minorHAnsi"/>
        </w:rPr>
        <w:t xml:space="preserve"> </w:t>
      </w:r>
      <w:r w:rsidRPr="00A26C26">
        <w:rPr>
          <w:rFonts w:eastAsia="Calibri" w:cstheme="minorHAnsi"/>
        </w:rPr>
        <w:t>ograniczenia</w:t>
      </w:r>
      <w:r w:rsidR="003B50ED">
        <w:rPr>
          <w:rFonts w:eastAsia="Calibri" w:cstheme="minorHAnsi"/>
        </w:rPr>
        <w:t xml:space="preserve"> </w:t>
      </w:r>
      <w:r w:rsidRPr="00A26C26">
        <w:rPr>
          <w:rFonts w:eastAsia="Calibri" w:cstheme="minorHAnsi"/>
        </w:rPr>
        <w:t>wynikające</w:t>
      </w:r>
      <w:r w:rsidR="003B50ED">
        <w:rPr>
          <w:rFonts w:eastAsia="Calibri" w:cstheme="minorHAnsi"/>
        </w:rPr>
        <w:t xml:space="preserve"> </w:t>
      </w:r>
      <w:r w:rsidRPr="00A26C26">
        <w:rPr>
          <w:rFonts w:eastAsia="Calibri" w:cstheme="minorHAnsi"/>
        </w:rPr>
        <w:t>z</w:t>
      </w:r>
      <w:r w:rsidR="003B50ED">
        <w:rPr>
          <w:rFonts w:eastAsia="Calibri" w:cstheme="minorHAnsi"/>
        </w:rPr>
        <w:t xml:space="preserve"> </w:t>
      </w:r>
      <w:r w:rsidRPr="00A26C26">
        <w:rPr>
          <w:rFonts w:eastAsia="Calibri" w:cstheme="minorHAnsi"/>
        </w:rPr>
        <w:t>pandemii,</w:t>
      </w:r>
    </w:p>
    <w:p w14:paraId="333A080D" w14:textId="2F0E6E4B" w:rsidR="00E2372E" w:rsidRPr="00A26C26" w:rsidRDefault="00E2372E" w:rsidP="008A412F">
      <w:pPr>
        <w:numPr>
          <w:ilvl w:val="0"/>
          <w:numId w:val="7"/>
        </w:numPr>
        <w:spacing w:line="276" w:lineRule="auto"/>
        <w:jc w:val="both"/>
        <w:rPr>
          <w:rFonts w:eastAsia="Calibri" w:cstheme="minorHAnsi"/>
        </w:rPr>
      </w:pPr>
      <w:r w:rsidRPr="00A26C26">
        <w:rPr>
          <w:rFonts w:eastAsia="Calibri" w:cstheme="minorHAnsi"/>
        </w:rPr>
        <w:t>inicjatywy</w:t>
      </w:r>
      <w:r w:rsidR="003B50ED">
        <w:rPr>
          <w:rFonts w:eastAsia="Calibri" w:cstheme="minorHAnsi"/>
        </w:rPr>
        <w:t xml:space="preserve"> </w:t>
      </w:r>
      <w:r w:rsidRPr="00A26C26">
        <w:rPr>
          <w:rFonts w:eastAsia="Calibri" w:cstheme="minorHAnsi"/>
        </w:rPr>
        <w:t>grupy</w:t>
      </w:r>
      <w:r w:rsidR="003B50ED">
        <w:rPr>
          <w:rFonts w:eastAsia="Calibri" w:cstheme="minorHAnsi"/>
        </w:rPr>
        <w:t xml:space="preserve"> </w:t>
      </w:r>
      <w:r w:rsidRPr="00A26C26">
        <w:rPr>
          <w:rFonts w:eastAsia="Calibri" w:cstheme="minorHAnsi"/>
        </w:rPr>
        <w:t>członków</w:t>
      </w:r>
      <w:r w:rsidR="003B50ED">
        <w:rPr>
          <w:rFonts w:eastAsia="Calibri" w:cstheme="minorHAnsi"/>
        </w:rPr>
        <w:t xml:space="preserve"> </w:t>
      </w:r>
      <w:r w:rsidRPr="00A26C26">
        <w:rPr>
          <w:rFonts w:eastAsia="Calibri" w:cstheme="minorHAnsi"/>
        </w:rPr>
        <w:t>LGD,</w:t>
      </w:r>
      <w:r w:rsidR="003B50ED">
        <w:rPr>
          <w:rFonts w:eastAsia="Calibri" w:cstheme="minorHAnsi"/>
        </w:rPr>
        <w:t xml:space="preserve"> </w:t>
      </w:r>
      <w:r w:rsidRPr="00A26C26">
        <w:rPr>
          <w:rFonts w:eastAsia="Calibri" w:cstheme="minorHAnsi"/>
        </w:rPr>
        <w:t>Walnego</w:t>
      </w:r>
      <w:r w:rsidR="003B50ED">
        <w:rPr>
          <w:rFonts w:eastAsia="Calibri" w:cstheme="minorHAnsi"/>
        </w:rPr>
        <w:t xml:space="preserve"> </w:t>
      </w:r>
      <w:r w:rsidRPr="00A26C26">
        <w:rPr>
          <w:rFonts w:eastAsia="Calibri" w:cstheme="minorHAnsi"/>
        </w:rPr>
        <w:t>Zebrania</w:t>
      </w:r>
      <w:r w:rsidR="003B50ED">
        <w:rPr>
          <w:rFonts w:eastAsia="Calibri" w:cstheme="minorHAnsi"/>
        </w:rPr>
        <w:t xml:space="preserve"> </w:t>
      </w:r>
      <w:r w:rsidRPr="00A26C26">
        <w:rPr>
          <w:rFonts w:eastAsia="Calibri" w:cstheme="minorHAnsi"/>
        </w:rPr>
        <w:t>Członków</w:t>
      </w:r>
      <w:r w:rsidR="003B50ED">
        <w:rPr>
          <w:rFonts w:eastAsia="Calibri" w:cstheme="minorHAnsi"/>
        </w:rPr>
        <w:t xml:space="preserve"> </w:t>
      </w:r>
      <w:r w:rsidRPr="00A26C26">
        <w:rPr>
          <w:rFonts w:eastAsia="Calibri" w:cstheme="minorHAnsi"/>
        </w:rPr>
        <w:t>lub</w:t>
      </w:r>
      <w:r w:rsidR="003B50ED">
        <w:rPr>
          <w:rFonts w:eastAsia="Calibri" w:cstheme="minorHAnsi"/>
        </w:rPr>
        <w:t xml:space="preserve"> </w:t>
      </w:r>
      <w:r w:rsidRPr="00A26C26">
        <w:rPr>
          <w:rFonts w:eastAsia="Calibri" w:cstheme="minorHAnsi"/>
        </w:rPr>
        <w:t>innych</w:t>
      </w:r>
      <w:r w:rsidR="003B50ED">
        <w:rPr>
          <w:rFonts w:eastAsia="Calibri" w:cstheme="minorHAnsi"/>
        </w:rPr>
        <w:t xml:space="preserve"> </w:t>
      </w:r>
      <w:r w:rsidRPr="00A26C26">
        <w:rPr>
          <w:rFonts w:eastAsia="Calibri" w:cstheme="minorHAnsi"/>
        </w:rPr>
        <w:t>organów</w:t>
      </w:r>
      <w:r w:rsidR="003B50ED">
        <w:rPr>
          <w:rFonts w:eastAsia="Calibri" w:cstheme="minorHAnsi"/>
        </w:rPr>
        <w:t xml:space="preserve"> </w:t>
      </w:r>
      <w:r w:rsidRPr="00A26C26">
        <w:rPr>
          <w:rFonts w:eastAsia="Calibri" w:cstheme="minorHAnsi"/>
        </w:rPr>
        <w:t>LGD</w:t>
      </w:r>
      <w:r w:rsidR="003B50ED">
        <w:rPr>
          <w:rFonts w:eastAsia="Calibri" w:cstheme="minorHAnsi"/>
        </w:rPr>
        <w:t xml:space="preserve"> </w:t>
      </w:r>
      <w:r w:rsidRPr="00A26C26">
        <w:rPr>
          <w:rFonts w:eastAsia="Calibri" w:cstheme="minorHAnsi"/>
        </w:rPr>
        <w:t>oraz</w:t>
      </w:r>
      <w:r w:rsidR="003B50ED">
        <w:rPr>
          <w:rFonts w:eastAsia="Calibri" w:cstheme="minorHAnsi"/>
        </w:rPr>
        <w:t xml:space="preserve"> </w:t>
      </w:r>
      <w:r w:rsidRPr="00A26C26">
        <w:rPr>
          <w:rFonts w:eastAsia="Calibri" w:cstheme="minorHAnsi"/>
        </w:rPr>
        <w:t>mieszkańców,</w:t>
      </w:r>
      <w:r w:rsidR="003B50ED">
        <w:rPr>
          <w:rFonts w:eastAsia="Calibri" w:cstheme="minorHAnsi"/>
        </w:rPr>
        <w:t xml:space="preserve"> </w:t>
      </w:r>
      <w:r w:rsidRPr="00A26C26">
        <w:rPr>
          <w:rFonts w:eastAsia="Calibri" w:cstheme="minorHAnsi"/>
        </w:rPr>
        <w:t>które</w:t>
      </w:r>
      <w:r w:rsidR="003B50ED">
        <w:rPr>
          <w:rFonts w:eastAsia="Calibri" w:cstheme="minorHAnsi"/>
        </w:rPr>
        <w:t xml:space="preserve"> </w:t>
      </w:r>
      <w:r w:rsidRPr="00A26C26">
        <w:rPr>
          <w:rFonts w:eastAsia="Calibri" w:cstheme="minorHAnsi"/>
        </w:rPr>
        <w:t>wymagają</w:t>
      </w:r>
      <w:r w:rsidR="003B50ED">
        <w:rPr>
          <w:rFonts w:eastAsia="Calibri" w:cstheme="minorHAnsi"/>
        </w:rPr>
        <w:t xml:space="preserve"> </w:t>
      </w:r>
      <w:r w:rsidRPr="00A26C26">
        <w:rPr>
          <w:rFonts w:eastAsia="Calibri" w:cstheme="minorHAnsi"/>
        </w:rPr>
        <w:t>dostosowania</w:t>
      </w:r>
      <w:r w:rsidR="003B50ED">
        <w:rPr>
          <w:rFonts w:eastAsia="Calibri" w:cstheme="minorHAnsi"/>
        </w:rPr>
        <w:t xml:space="preserve"> </w:t>
      </w:r>
      <w:r w:rsidRPr="00A26C26">
        <w:rPr>
          <w:rFonts w:eastAsia="Calibri" w:cstheme="minorHAnsi"/>
        </w:rPr>
        <w:t>LSR</w:t>
      </w:r>
      <w:r w:rsidR="003B50ED">
        <w:rPr>
          <w:rFonts w:eastAsia="Calibri" w:cstheme="minorHAnsi"/>
        </w:rPr>
        <w:t xml:space="preserve"> </w:t>
      </w:r>
      <w:r w:rsidRPr="00A26C26">
        <w:rPr>
          <w:rFonts w:eastAsia="Calibri" w:cstheme="minorHAnsi"/>
        </w:rPr>
        <w:t>do</w:t>
      </w:r>
      <w:r w:rsidR="003B50ED">
        <w:rPr>
          <w:rFonts w:eastAsia="Calibri" w:cstheme="minorHAnsi"/>
        </w:rPr>
        <w:t xml:space="preserve"> </w:t>
      </w:r>
      <w:r w:rsidRPr="00A26C26">
        <w:rPr>
          <w:rFonts w:eastAsia="Calibri" w:cstheme="minorHAnsi"/>
        </w:rPr>
        <w:t>nowych</w:t>
      </w:r>
      <w:r w:rsidR="003B50ED">
        <w:rPr>
          <w:rFonts w:eastAsia="Calibri" w:cstheme="minorHAnsi"/>
        </w:rPr>
        <w:t xml:space="preserve"> </w:t>
      </w:r>
      <w:r w:rsidRPr="00A26C26">
        <w:rPr>
          <w:rFonts w:eastAsia="Calibri" w:cstheme="minorHAnsi"/>
        </w:rPr>
        <w:t>potrzeb</w:t>
      </w:r>
      <w:r w:rsidR="003B50ED">
        <w:rPr>
          <w:rFonts w:eastAsia="Calibri" w:cstheme="minorHAnsi"/>
        </w:rPr>
        <w:t xml:space="preserve"> </w:t>
      </w:r>
      <w:r w:rsidRPr="00A26C26">
        <w:rPr>
          <w:rFonts w:eastAsia="Calibri" w:cstheme="minorHAnsi"/>
        </w:rPr>
        <w:t>lub</w:t>
      </w:r>
      <w:r w:rsidR="003B50ED">
        <w:rPr>
          <w:rFonts w:eastAsia="Calibri" w:cstheme="minorHAnsi"/>
        </w:rPr>
        <w:t xml:space="preserve"> </w:t>
      </w:r>
      <w:r w:rsidRPr="00A26C26">
        <w:rPr>
          <w:rFonts w:eastAsia="Calibri" w:cstheme="minorHAnsi"/>
        </w:rPr>
        <w:t>problemów</w:t>
      </w:r>
      <w:r w:rsidR="003B50ED">
        <w:rPr>
          <w:rFonts w:eastAsia="Calibri" w:cstheme="minorHAnsi"/>
        </w:rPr>
        <w:t xml:space="preserve"> </w:t>
      </w:r>
      <w:r w:rsidRPr="00A26C26">
        <w:rPr>
          <w:rFonts w:eastAsia="Calibri" w:cstheme="minorHAnsi"/>
        </w:rPr>
        <w:t>na</w:t>
      </w:r>
      <w:r w:rsidR="003B50ED">
        <w:rPr>
          <w:rFonts w:eastAsia="Calibri" w:cstheme="minorHAnsi"/>
        </w:rPr>
        <w:t xml:space="preserve"> </w:t>
      </w:r>
      <w:r w:rsidRPr="00A26C26">
        <w:rPr>
          <w:rFonts w:eastAsia="Calibri" w:cstheme="minorHAnsi"/>
        </w:rPr>
        <w:t>obszarze,</w:t>
      </w:r>
    </w:p>
    <w:p w14:paraId="54539AB6" w14:textId="1DD9F81D" w:rsidR="00E2372E" w:rsidRPr="00A26C26" w:rsidRDefault="00E2372E" w:rsidP="008A412F">
      <w:pPr>
        <w:numPr>
          <w:ilvl w:val="0"/>
          <w:numId w:val="7"/>
        </w:numPr>
        <w:spacing w:line="276" w:lineRule="auto"/>
        <w:jc w:val="both"/>
        <w:rPr>
          <w:rFonts w:eastAsia="Calibri" w:cstheme="minorHAnsi"/>
        </w:rPr>
      </w:pPr>
      <w:r w:rsidRPr="00A26C26">
        <w:rPr>
          <w:rFonts w:eastAsia="Calibri" w:cstheme="minorHAnsi"/>
        </w:rPr>
        <w:t>zmiany</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obszarze</w:t>
      </w:r>
      <w:r w:rsidR="003B50ED">
        <w:rPr>
          <w:rFonts w:eastAsia="Calibri" w:cstheme="minorHAnsi"/>
        </w:rPr>
        <w:t xml:space="preserve"> </w:t>
      </w:r>
      <w:r w:rsidRPr="00A26C26">
        <w:rPr>
          <w:rFonts w:eastAsia="Calibri" w:cstheme="minorHAnsi"/>
        </w:rPr>
        <w:t>LSR,</w:t>
      </w:r>
      <w:r w:rsidR="003B50ED">
        <w:rPr>
          <w:rFonts w:eastAsia="Calibri" w:cstheme="minorHAnsi"/>
        </w:rPr>
        <w:t xml:space="preserve"> </w:t>
      </w:r>
      <w:r w:rsidRPr="00A26C26">
        <w:rPr>
          <w:rFonts w:eastAsia="Calibri" w:cstheme="minorHAnsi"/>
        </w:rPr>
        <w:t>celach,</w:t>
      </w:r>
      <w:r w:rsidR="003B50ED">
        <w:rPr>
          <w:rFonts w:eastAsia="Calibri" w:cstheme="minorHAnsi"/>
        </w:rPr>
        <w:t xml:space="preserve"> </w:t>
      </w:r>
      <w:r w:rsidRPr="00A26C26">
        <w:rPr>
          <w:rFonts w:eastAsia="Calibri" w:cstheme="minorHAnsi"/>
        </w:rPr>
        <w:t>przedsięwzięciach,</w:t>
      </w:r>
      <w:r w:rsidR="003B50ED">
        <w:rPr>
          <w:rFonts w:eastAsia="Calibri" w:cstheme="minorHAnsi"/>
        </w:rPr>
        <w:t xml:space="preserve"> </w:t>
      </w:r>
      <w:r w:rsidRPr="00A26C26">
        <w:rPr>
          <w:rFonts w:eastAsia="Calibri" w:cstheme="minorHAnsi"/>
        </w:rPr>
        <w:t>wskaźnikach,</w:t>
      </w:r>
      <w:r w:rsidR="003B50ED">
        <w:rPr>
          <w:rFonts w:eastAsia="Calibri" w:cstheme="minorHAnsi"/>
        </w:rPr>
        <w:t xml:space="preserve"> </w:t>
      </w:r>
      <w:r w:rsidRPr="00A26C26">
        <w:rPr>
          <w:rFonts w:eastAsia="Calibri" w:cstheme="minorHAnsi"/>
        </w:rPr>
        <w:t>budżecie</w:t>
      </w:r>
      <w:r w:rsidR="003B50ED">
        <w:rPr>
          <w:rFonts w:eastAsia="Calibri" w:cstheme="minorHAnsi"/>
        </w:rPr>
        <w:t xml:space="preserve"> </w:t>
      </w:r>
      <w:r w:rsidRPr="00A26C26">
        <w:rPr>
          <w:rFonts w:eastAsia="Calibri" w:cstheme="minorHAnsi"/>
        </w:rPr>
        <w:t>lub</w:t>
      </w:r>
      <w:r w:rsidR="003B50ED">
        <w:rPr>
          <w:rFonts w:eastAsia="Calibri" w:cstheme="minorHAnsi"/>
        </w:rPr>
        <w:t xml:space="preserve"> </w:t>
      </w:r>
      <w:r w:rsidRPr="00A26C26">
        <w:rPr>
          <w:rFonts w:eastAsia="Calibri" w:cstheme="minorHAnsi"/>
        </w:rPr>
        <w:t>innych</w:t>
      </w:r>
      <w:r w:rsidR="003B50ED">
        <w:rPr>
          <w:rFonts w:eastAsia="Calibri" w:cstheme="minorHAnsi"/>
        </w:rPr>
        <w:t xml:space="preserve"> </w:t>
      </w:r>
      <w:r w:rsidRPr="00A26C26">
        <w:rPr>
          <w:rFonts w:eastAsia="Calibri" w:cstheme="minorHAnsi"/>
        </w:rPr>
        <w:t>elementach</w:t>
      </w:r>
      <w:r w:rsidR="003B50ED">
        <w:rPr>
          <w:rFonts w:eastAsia="Calibri" w:cstheme="minorHAnsi"/>
        </w:rPr>
        <w:t xml:space="preserve"> </w:t>
      </w:r>
      <w:r w:rsidRPr="00A26C26">
        <w:rPr>
          <w:rFonts w:eastAsia="Calibri" w:cstheme="minorHAnsi"/>
        </w:rPr>
        <w:t>LSR,</w:t>
      </w:r>
      <w:r w:rsidR="003B50ED">
        <w:rPr>
          <w:rFonts w:eastAsia="Calibri" w:cstheme="minorHAnsi"/>
        </w:rPr>
        <w:t xml:space="preserve"> </w:t>
      </w:r>
      <w:r w:rsidRPr="00A26C26">
        <w:rPr>
          <w:rFonts w:eastAsia="Calibri" w:cstheme="minorHAnsi"/>
        </w:rPr>
        <w:t>które</w:t>
      </w:r>
      <w:r w:rsidR="003B50ED">
        <w:rPr>
          <w:rFonts w:eastAsia="Calibri" w:cstheme="minorHAnsi"/>
        </w:rPr>
        <w:t xml:space="preserve"> </w:t>
      </w:r>
      <w:r w:rsidRPr="00A26C26">
        <w:rPr>
          <w:rFonts w:eastAsia="Calibri" w:cstheme="minorHAnsi"/>
        </w:rPr>
        <w:t>mają</w:t>
      </w:r>
      <w:r w:rsidR="003B50ED">
        <w:rPr>
          <w:rFonts w:eastAsia="Calibri" w:cstheme="minorHAnsi"/>
        </w:rPr>
        <w:t xml:space="preserve"> </w:t>
      </w:r>
      <w:r w:rsidRPr="00A26C26">
        <w:rPr>
          <w:rFonts w:eastAsia="Calibri" w:cstheme="minorHAnsi"/>
        </w:rPr>
        <w:t>istotny</w:t>
      </w:r>
      <w:r w:rsidR="003B50ED">
        <w:rPr>
          <w:rFonts w:eastAsia="Calibri" w:cstheme="minorHAnsi"/>
        </w:rPr>
        <w:t xml:space="preserve"> </w:t>
      </w:r>
      <w:r w:rsidRPr="00A26C26">
        <w:rPr>
          <w:rFonts w:eastAsia="Calibri" w:cstheme="minorHAnsi"/>
        </w:rPr>
        <w:t>wpływ</w:t>
      </w:r>
      <w:r w:rsidR="003B50ED">
        <w:rPr>
          <w:rFonts w:eastAsia="Calibri" w:cstheme="minorHAnsi"/>
        </w:rPr>
        <w:t xml:space="preserve"> </w:t>
      </w:r>
      <w:r w:rsidRPr="00A26C26">
        <w:rPr>
          <w:rFonts w:eastAsia="Calibri" w:cstheme="minorHAnsi"/>
        </w:rPr>
        <w:t>na</w:t>
      </w:r>
      <w:r w:rsidR="003B50ED">
        <w:rPr>
          <w:rFonts w:eastAsia="Calibri" w:cstheme="minorHAnsi"/>
        </w:rPr>
        <w:t xml:space="preserve"> </w:t>
      </w:r>
      <w:r w:rsidRPr="00A26C26">
        <w:rPr>
          <w:rFonts w:eastAsia="Calibri" w:cstheme="minorHAnsi"/>
        </w:rPr>
        <w:t>osiągnięcie</w:t>
      </w:r>
      <w:r w:rsidR="003B50ED">
        <w:rPr>
          <w:rFonts w:eastAsia="Calibri" w:cstheme="minorHAnsi"/>
        </w:rPr>
        <w:t xml:space="preserve"> </w:t>
      </w:r>
      <w:r w:rsidRPr="00A26C26">
        <w:rPr>
          <w:rFonts w:eastAsia="Calibri" w:cstheme="minorHAnsi"/>
        </w:rPr>
        <w:t>założeń,</w:t>
      </w:r>
    </w:p>
    <w:p w14:paraId="2663169B" w14:textId="39875987" w:rsidR="00E2372E" w:rsidRPr="00A26C26" w:rsidRDefault="00E2372E" w:rsidP="008A412F">
      <w:pPr>
        <w:numPr>
          <w:ilvl w:val="0"/>
          <w:numId w:val="7"/>
        </w:numPr>
        <w:spacing w:line="276" w:lineRule="auto"/>
        <w:jc w:val="both"/>
        <w:rPr>
          <w:rFonts w:eastAsia="Calibri" w:cstheme="minorHAnsi"/>
        </w:rPr>
      </w:pPr>
      <w:r w:rsidRPr="00A26C26">
        <w:rPr>
          <w:rFonts w:eastAsia="Calibri" w:cstheme="minorHAnsi"/>
        </w:rPr>
        <w:t>inne</w:t>
      </w:r>
      <w:r w:rsidR="003B50ED">
        <w:rPr>
          <w:rFonts w:eastAsia="Calibri" w:cstheme="minorHAnsi"/>
        </w:rPr>
        <w:t xml:space="preserve"> </w:t>
      </w:r>
      <w:r w:rsidRPr="00A26C26">
        <w:rPr>
          <w:rFonts w:eastAsia="Calibri" w:cstheme="minorHAnsi"/>
        </w:rPr>
        <w:t>zmiany</w:t>
      </w:r>
      <w:r w:rsidR="003B50ED">
        <w:rPr>
          <w:rFonts w:eastAsia="Calibri" w:cstheme="minorHAnsi"/>
        </w:rPr>
        <w:t xml:space="preserve"> </w:t>
      </w:r>
      <w:r w:rsidRPr="00A26C26">
        <w:rPr>
          <w:rFonts w:eastAsia="Calibri" w:cstheme="minorHAnsi"/>
        </w:rPr>
        <w:t>istotnie</w:t>
      </w:r>
      <w:r w:rsidR="003B50ED">
        <w:rPr>
          <w:rFonts w:eastAsia="Calibri" w:cstheme="minorHAnsi"/>
        </w:rPr>
        <w:t xml:space="preserve"> </w:t>
      </w:r>
      <w:r w:rsidRPr="00A26C26">
        <w:rPr>
          <w:rFonts w:eastAsia="Calibri" w:cstheme="minorHAnsi"/>
        </w:rPr>
        <w:t>wpływające</w:t>
      </w:r>
      <w:r w:rsidR="003B50ED">
        <w:rPr>
          <w:rFonts w:eastAsia="Calibri" w:cstheme="minorHAnsi"/>
        </w:rPr>
        <w:t xml:space="preserve"> </w:t>
      </w:r>
      <w:r w:rsidRPr="00A26C26">
        <w:rPr>
          <w:rFonts w:eastAsia="Calibri" w:cstheme="minorHAnsi"/>
        </w:rPr>
        <w:t>na</w:t>
      </w:r>
      <w:r w:rsidR="003B50ED">
        <w:rPr>
          <w:rFonts w:eastAsia="Calibri" w:cstheme="minorHAnsi"/>
        </w:rPr>
        <w:t xml:space="preserve"> </w:t>
      </w:r>
      <w:r w:rsidRPr="00A26C26">
        <w:rPr>
          <w:rFonts w:eastAsia="Calibri" w:cstheme="minorHAnsi"/>
        </w:rPr>
        <w:t>możliwość</w:t>
      </w:r>
      <w:r w:rsidR="003B50ED">
        <w:rPr>
          <w:rFonts w:eastAsia="Calibri" w:cstheme="minorHAnsi"/>
        </w:rPr>
        <w:t xml:space="preserve"> </w:t>
      </w:r>
      <w:r w:rsidRPr="00A26C26">
        <w:rPr>
          <w:rFonts w:eastAsia="Calibri" w:cstheme="minorHAnsi"/>
        </w:rPr>
        <w:t>realizacji</w:t>
      </w:r>
      <w:r w:rsidR="003B50ED">
        <w:rPr>
          <w:rFonts w:eastAsia="Calibri" w:cstheme="minorHAnsi"/>
        </w:rPr>
        <w:t xml:space="preserve"> </w:t>
      </w:r>
      <w:r w:rsidRPr="00A26C26">
        <w:rPr>
          <w:rFonts w:eastAsia="Calibri" w:cstheme="minorHAnsi"/>
        </w:rPr>
        <w:t>celów,</w:t>
      </w:r>
      <w:r w:rsidR="003B50ED">
        <w:rPr>
          <w:rFonts w:eastAsia="Calibri" w:cstheme="minorHAnsi"/>
        </w:rPr>
        <w:t xml:space="preserve"> </w:t>
      </w:r>
      <w:r w:rsidRPr="00A26C26">
        <w:rPr>
          <w:rFonts w:eastAsia="Calibri" w:cstheme="minorHAnsi"/>
        </w:rPr>
        <w:t>wskaźników</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kamieni</w:t>
      </w:r>
      <w:r w:rsidR="003B50ED">
        <w:rPr>
          <w:rFonts w:eastAsia="Calibri" w:cstheme="minorHAnsi"/>
        </w:rPr>
        <w:t xml:space="preserve"> </w:t>
      </w:r>
      <w:r w:rsidRPr="00A26C26">
        <w:rPr>
          <w:rFonts w:eastAsia="Calibri" w:cstheme="minorHAnsi"/>
        </w:rPr>
        <w:t>milowych</w:t>
      </w:r>
      <w:r w:rsidR="003B50ED">
        <w:rPr>
          <w:rFonts w:eastAsia="Calibri" w:cstheme="minorHAnsi"/>
        </w:rPr>
        <w:t xml:space="preserve"> </w:t>
      </w:r>
      <w:r w:rsidRPr="00A26C26">
        <w:rPr>
          <w:rFonts w:eastAsia="Calibri" w:cstheme="minorHAnsi"/>
        </w:rPr>
        <w:t>LSR.</w:t>
      </w:r>
    </w:p>
    <w:p w14:paraId="4266EDA8" w14:textId="7E668707" w:rsidR="00E2372E" w:rsidRPr="00A26C26" w:rsidRDefault="00E2372E" w:rsidP="00A26C26">
      <w:pPr>
        <w:spacing w:line="276" w:lineRule="auto"/>
        <w:ind w:firstLine="284"/>
        <w:jc w:val="both"/>
        <w:rPr>
          <w:rFonts w:eastAsia="Calibri" w:cstheme="minorHAnsi"/>
        </w:rPr>
      </w:pPr>
      <w:r w:rsidRPr="00A26C26">
        <w:rPr>
          <w:rFonts w:eastAsia="Calibri" w:cstheme="minorHAnsi"/>
        </w:rPr>
        <w:t>W</w:t>
      </w:r>
      <w:r w:rsidR="003B50ED">
        <w:rPr>
          <w:rFonts w:eastAsia="Calibri" w:cstheme="minorHAnsi"/>
        </w:rPr>
        <w:t xml:space="preserve"> </w:t>
      </w:r>
      <w:r w:rsidRPr="00A26C26">
        <w:rPr>
          <w:rFonts w:eastAsia="Calibri" w:cstheme="minorHAnsi"/>
        </w:rPr>
        <w:t>przypadku</w:t>
      </w:r>
      <w:r w:rsidR="003B50ED">
        <w:rPr>
          <w:rFonts w:eastAsia="Calibri" w:cstheme="minorHAnsi"/>
        </w:rPr>
        <w:t xml:space="preserve"> </w:t>
      </w:r>
      <w:r w:rsidRPr="00A26C26">
        <w:rPr>
          <w:rFonts w:eastAsia="Calibri" w:cstheme="minorHAnsi"/>
        </w:rPr>
        <w:t>zmian</w:t>
      </w:r>
      <w:r w:rsidR="003B50ED">
        <w:rPr>
          <w:rFonts w:eastAsia="Calibri" w:cstheme="minorHAnsi"/>
        </w:rPr>
        <w:t xml:space="preserve"> </w:t>
      </w:r>
      <w:r w:rsidRPr="00A26C26">
        <w:rPr>
          <w:rFonts w:eastAsia="Calibri" w:cstheme="minorHAnsi"/>
        </w:rPr>
        <w:t>wynikających</w:t>
      </w:r>
      <w:r w:rsidR="003B50ED">
        <w:rPr>
          <w:rFonts w:eastAsia="Calibri" w:cstheme="minorHAnsi"/>
        </w:rPr>
        <w:t xml:space="preserve"> </w:t>
      </w:r>
      <w:r w:rsidRPr="00A26C26">
        <w:rPr>
          <w:rFonts w:eastAsia="Calibri" w:cstheme="minorHAnsi"/>
        </w:rPr>
        <w:t>z</w:t>
      </w:r>
      <w:r w:rsidR="003B50ED">
        <w:rPr>
          <w:rFonts w:eastAsia="Calibri" w:cstheme="minorHAnsi"/>
        </w:rPr>
        <w:t xml:space="preserve"> </w:t>
      </w:r>
      <w:proofErr w:type="spellStart"/>
      <w:r w:rsidRPr="00A26C26">
        <w:rPr>
          <w:rFonts w:eastAsia="Calibri" w:cstheme="minorHAnsi"/>
        </w:rPr>
        <w:t>ppkt</w:t>
      </w:r>
      <w:proofErr w:type="spellEnd"/>
      <w:r w:rsidRPr="00A26C26">
        <w:rPr>
          <w:rFonts w:eastAsia="Calibri" w:cstheme="minorHAnsi"/>
        </w:rPr>
        <w:t>.</w:t>
      </w:r>
      <w:r w:rsidR="003B50ED">
        <w:rPr>
          <w:rFonts w:eastAsia="Calibri" w:cstheme="minorHAnsi"/>
        </w:rPr>
        <w:t xml:space="preserve"> </w:t>
      </w:r>
      <w:r w:rsidRPr="00A26C26">
        <w:rPr>
          <w:rFonts w:eastAsia="Calibri" w:cstheme="minorHAnsi"/>
        </w:rPr>
        <w:t>a)</w:t>
      </w:r>
      <w:r w:rsidR="003B50ED">
        <w:rPr>
          <w:rFonts w:eastAsia="Calibri" w:cstheme="minorHAnsi"/>
        </w:rPr>
        <w:t xml:space="preserve"> </w:t>
      </w:r>
      <w:r w:rsidRPr="00A26C26">
        <w:rPr>
          <w:rFonts w:eastAsia="Calibri" w:cstheme="minorHAnsi"/>
        </w:rPr>
        <w:t>–</w:t>
      </w:r>
      <w:r w:rsidR="003B50ED">
        <w:rPr>
          <w:rFonts w:eastAsia="Calibri" w:cstheme="minorHAnsi"/>
        </w:rPr>
        <w:t xml:space="preserve"> </w:t>
      </w:r>
      <w:r w:rsidRPr="00A26C26">
        <w:rPr>
          <w:rFonts w:eastAsia="Calibri" w:cstheme="minorHAnsi"/>
        </w:rPr>
        <w:t>b)</w:t>
      </w:r>
      <w:r w:rsidR="003B50ED">
        <w:rPr>
          <w:rFonts w:eastAsia="Calibri" w:cstheme="minorHAnsi"/>
        </w:rPr>
        <w:t xml:space="preserve"> </w:t>
      </w:r>
      <w:r w:rsidRPr="00A26C26">
        <w:rPr>
          <w:rFonts w:eastAsia="Calibri" w:cstheme="minorHAnsi"/>
        </w:rPr>
        <w:t>konieczne</w:t>
      </w:r>
      <w:r w:rsidR="003B50ED">
        <w:rPr>
          <w:rFonts w:eastAsia="Calibri" w:cstheme="minorHAnsi"/>
        </w:rPr>
        <w:t xml:space="preserve"> </w:t>
      </w:r>
      <w:r w:rsidRPr="00A26C26">
        <w:rPr>
          <w:rFonts w:eastAsia="Calibri" w:cstheme="minorHAnsi"/>
        </w:rPr>
        <w:t>będzie</w:t>
      </w:r>
      <w:r w:rsidR="003B50ED">
        <w:rPr>
          <w:rFonts w:eastAsia="Calibri" w:cstheme="minorHAnsi"/>
        </w:rPr>
        <w:t xml:space="preserve"> </w:t>
      </w:r>
      <w:r w:rsidRPr="00A26C26">
        <w:rPr>
          <w:rFonts w:eastAsia="Calibri" w:cstheme="minorHAnsi"/>
        </w:rPr>
        <w:t>skorzystanie</w:t>
      </w:r>
      <w:r w:rsidR="003B50ED">
        <w:rPr>
          <w:rFonts w:eastAsia="Calibri" w:cstheme="minorHAnsi"/>
        </w:rPr>
        <w:t xml:space="preserve"> </w:t>
      </w:r>
      <w:r w:rsidRPr="00A26C26">
        <w:rPr>
          <w:rFonts w:eastAsia="Calibri" w:cstheme="minorHAnsi"/>
        </w:rPr>
        <w:t>z</w:t>
      </w:r>
      <w:r w:rsidR="003B50ED">
        <w:rPr>
          <w:rFonts w:eastAsia="Calibri" w:cstheme="minorHAnsi"/>
        </w:rPr>
        <w:t xml:space="preserve"> </w:t>
      </w:r>
      <w:r w:rsidRPr="00A26C26">
        <w:rPr>
          <w:rFonts w:eastAsia="Calibri" w:cstheme="minorHAnsi"/>
        </w:rPr>
        <w:t>co</w:t>
      </w:r>
      <w:r w:rsidR="003B50ED">
        <w:rPr>
          <w:rFonts w:eastAsia="Calibri" w:cstheme="minorHAnsi"/>
        </w:rPr>
        <w:t xml:space="preserve"> </w:t>
      </w:r>
      <w:r w:rsidRPr="00A26C26">
        <w:rPr>
          <w:rFonts w:eastAsia="Calibri" w:cstheme="minorHAnsi"/>
        </w:rPr>
        <w:t>najmniej</w:t>
      </w:r>
      <w:r w:rsidR="003B50ED">
        <w:rPr>
          <w:rFonts w:eastAsia="Calibri" w:cstheme="minorHAnsi"/>
        </w:rPr>
        <w:t xml:space="preserve"> </w:t>
      </w:r>
      <w:r w:rsidRPr="00A26C26">
        <w:rPr>
          <w:rFonts w:eastAsia="Calibri" w:cstheme="minorHAnsi"/>
        </w:rPr>
        <w:t>jednej</w:t>
      </w:r>
      <w:r w:rsidR="003B50ED">
        <w:rPr>
          <w:rFonts w:eastAsia="Calibri" w:cstheme="minorHAnsi"/>
        </w:rPr>
        <w:t xml:space="preserve"> </w:t>
      </w:r>
      <w:r w:rsidRPr="00A26C26">
        <w:rPr>
          <w:rFonts w:eastAsia="Calibri" w:cstheme="minorHAnsi"/>
        </w:rPr>
        <w:t>metody</w:t>
      </w:r>
      <w:r w:rsidR="003B50ED">
        <w:rPr>
          <w:rFonts w:eastAsia="Calibri" w:cstheme="minorHAnsi"/>
        </w:rPr>
        <w:t xml:space="preserve"> </w:t>
      </w:r>
      <w:r w:rsidRPr="00A26C26">
        <w:rPr>
          <w:rFonts w:eastAsia="Calibri" w:cstheme="minorHAnsi"/>
        </w:rPr>
        <w:t>konsultacji.</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przypadku</w:t>
      </w:r>
      <w:r w:rsidR="003B50ED">
        <w:rPr>
          <w:rFonts w:eastAsia="Calibri" w:cstheme="minorHAnsi"/>
        </w:rPr>
        <w:t xml:space="preserve"> </w:t>
      </w:r>
      <w:r w:rsidRPr="00A26C26">
        <w:rPr>
          <w:rFonts w:eastAsia="Calibri" w:cstheme="minorHAnsi"/>
        </w:rPr>
        <w:t>LGD</w:t>
      </w:r>
      <w:r w:rsidR="003B50ED">
        <w:rPr>
          <w:rFonts w:eastAsia="Calibri" w:cstheme="minorHAnsi"/>
        </w:rPr>
        <w:t xml:space="preserve"> </w:t>
      </w:r>
      <w:r w:rsidRPr="00A26C26">
        <w:rPr>
          <w:rFonts w:eastAsia="Calibri" w:cstheme="minorHAnsi"/>
        </w:rPr>
        <w:t>preferowaną</w:t>
      </w:r>
      <w:r w:rsidR="003B50ED">
        <w:rPr>
          <w:rFonts w:eastAsia="Calibri" w:cstheme="minorHAnsi"/>
        </w:rPr>
        <w:t xml:space="preserve"> </w:t>
      </w:r>
      <w:r w:rsidRPr="00A26C26">
        <w:rPr>
          <w:rFonts w:eastAsia="Calibri" w:cstheme="minorHAnsi"/>
        </w:rPr>
        <w:t>formą</w:t>
      </w:r>
      <w:r w:rsidR="003B50ED">
        <w:rPr>
          <w:rFonts w:eastAsia="Calibri" w:cstheme="minorHAnsi"/>
        </w:rPr>
        <w:t xml:space="preserve"> </w:t>
      </w:r>
      <w:r w:rsidRPr="00A26C26">
        <w:rPr>
          <w:rFonts w:eastAsia="Calibri" w:cstheme="minorHAnsi"/>
        </w:rPr>
        <w:t>będzie</w:t>
      </w:r>
      <w:r w:rsidR="003B50ED">
        <w:rPr>
          <w:rFonts w:eastAsia="Calibri" w:cstheme="minorHAnsi"/>
        </w:rPr>
        <w:t xml:space="preserve"> </w:t>
      </w:r>
      <w:r w:rsidRPr="00A26C26">
        <w:rPr>
          <w:rFonts w:eastAsia="Calibri" w:cstheme="minorHAnsi"/>
        </w:rPr>
        <w:t>udostępnienie</w:t>
      </w:r>
      <w:r w:rsidR="003B50ED">
        <w:rPr>
          <w:rFonts w:eastAsia="Calibri" w:cstheme="minorHAnsi"/>
        </w:rPr>
        <w:t xml:space="preserve"> </w:t>
      </w:r>
      <w:r w:rsidRPr="00A26C26">
        <w:rPr>
          <w:rFonts w:eastAsia="Calibri" w:cstheme="minorHAnsi"/>
        </w:rPr>
        <w:t>informacji</w:t>
      </w:r>
      <w:r w:rsidR="003B50ED">
        <w:rPr>
          <w:rFonts w:eastAsia="Calibri" w:cstheme="minorHAnsi"/>
        </w:rPr>
        <w:t xml:space="preserve"> </w:t>
      </w:r>
      <w:r w:rsidRPr="00A26C26">
        <w:rPr>
          <w:rFonts w:eastAsia="Calibri" w:cstheme="minorHAnsi"/>
        </w:rPr>
        <w:t>na</w:t>
      </w:r>
      <w:r w:rsidR="003B50ED">
        <w:rPr>
          <w:rFonts w:eastAsia="Calibri" w:cstheme="minorHAnsi"/>
        </w:rPr>
        <w:t xml:space="preserve"> </w:t>
      </w:r>
      <w:r w:rsidRPr="00A26C26">
        <w:rPr>
          <w:rFonts w:eastAsia="Calibri" w:cstheme="minorHAnsi"/>
        </w:rPr>
        <w:t>stronie</w:t>
      </w:r>
      <w:r w:rsidR="003B50ED">
        <w:rPr>
          <w:rFonts w:eastAsia="Calibri" w:cstheme="minorHAnsi"/>
        </w:rPr>
        <w:t xml:space="preserve"> </w:t>
      </w:r>
      <w:r w:rsidRPr="00A26C26">
        <w:rPr>
          <w:rFonts w:eastAsia="Calibri" w:cstheme="minorHAnsi"/>
        </w:rPr>
        <w:t>internetowej.</w:t>
      </w:r>
      <w:r w:rsidR="003B50ED">
        <w:rPr>
          <w:rFonts w:eastAsia="Calibri" w:cstheme="minorHAnsi"/>
        </w:rPr>
        <w:t xml:space="preserve"> </w:t>
      </w:r>
      <w:r w:rsidRPr="00A26C26">
        <w:rPr>
          <w:rFonts w:eastAsia="Calibri" w:cstheme="minorHAnsi"/>
        </w:rPr>
        <w:t>Natomiast</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przypadku</w:t>
      </w:r>
      <w:r w:rsidR="003B50ED">
        <w:rPr>
          <w:rFonts w:eastAsia="Calibri" w:cstheme="minorHAnsi"/>
        </w:rPr>
        <w:t xml:space="preserve"> </w:t>
      </w:r>
      <w:r w:rsidRPr="00A26C26">
        <w:rPr>
          <w:rFonts w:eastAsia="Calibri" w:cstheme="minorHAnsi"/>
        </w:rPr>
        <w:t>zmian</w:t>
      </w:r>
      <w:r w:rsidR="003B50ED">
        <w:rPr>
          <w:rFonts w:eastAsia="Calibri" w:cstheme="minorHAnsi"/>
        </w:rPr>
        <w:t xml:space="preserve"> </w:t>
      </w:r>
      <w:r w:rsidRPr="00A26C26">
        <w:rPr>
          <w:rFonts w:eastAsia="Calibri" w:cstheme="minorHAnsi"/>
        </w:rPr>
        <w:t>dotyczących</w:t>
      </w:r>
      <w:r w:rsidR="003B50ED">
        <w:rPr>
          <w:rFonts w:eastAsia="Calibri" w:cstheme="minorHAnsi"/>
        </w:rPr>
        <w:t xml:space="preserve"> </w:t>
      </w:r>
      <w:r w:rsidRPr="00A26C26">
        <w:rPr>
          <w:rFonts w:eastAsia="Calibri" w:cstheme="minorHAnsi"/>
        </w:rPr>
        <w:t>zakresów</w:t>
      </w:r>
      <w:r w:rsidR="003B50ED">
        <w:rPr>
          <w:rFonts w:eastAsia="Calibri" w:cstheme="minorHAnsi"/>
        </w:rPr>
        <w:t xml:space="preserve"> </w:t>
      </w:r>
      <w:r w:rsidRPr="00A26C26">
        <w:rPr>
          <w:rFonts w:eastAsia="Calibri" w:cstheme="minorHAnsi"/>
        </w:rPr>
        <w:t>wskazanych</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proofErr w:type="spellStart"/>
      <w:r w:rsidRPr="00A26C26">
        <w:rPr>
          <w:rFonts w:eastAsia="Calibri" w:cstheme="minorHAnsi"/>
        </w:rPr>
        <w:t>ppkt</w:t>
      </w:r>
      <w:proofErr w:type="spellEnd"/>
      <w:r w:rsidRPr="00A26C26">
        <w:rPr>
          <w:rFonts w:eastAsia="Calibri" w:cstheme="minorHAnsi"/>
        </w:rPr>
        <w:t>.</w:t>
      </w:r>
      <w:r w:rsidR="003B50ED">
        <w:rPr>
          <w:rFonts w:eastAsia="Calibri" w:cstheme="minorHAnsi"/>
        </w:rPr>
        <w:t xml:space="preserve"> </w:t>
      </w:r>
      <w:r w:rsidRPr="00A26C26">
        <w:rPr>
          <w:rFonts w:eastAsia="Calibri" w:cstheme="minorHAnsi"/>
        </w:rPr>
        <w:t>c)</w:t>
      </w:r>
      <w:r w:rsidR="003B50ED">
        <w:rPr>
          <w:rFonts w:eastAsia="Calibri" w:cstheme="minorHAnsi"/>
        </w:rPr>
        <w:t xml:space="preserve"> </w:t>
      </w:r>
      <w:r w:rsidRPr="00A26C26">
        <w:rPr>
          <w:rFonts w:eastAsia="Calibri" w:cstheme="minorHAnsi"/>
        </w:rPr>
        <w:t>-</w:t>
      </w:r>
      <w:r w:rsidR="003B50ED">
        <w:rPr>
          <w:rFonts w:eastAsia="Calibri" w:cstheme="minorHAnsi"/>
        </w:rPr>
        <w:t xml:space="preserve"> </w:t>
      </w:r>
      <w:r w:rsidRPr="00A26C26">
        <w:rPr>
          <w:rFonts w:eastAsia="Calibri" w:cstheme="minorHAnsi"/>
        </w:rPr>
        <w:t>g)</w:t>
      </w:r>
      <w:r w:rsidR="003B50ED">
        <w:rPr>
          <w:rFonts w:eastAsia="Calibri" w:cstheme="minorHAnsi"/>
        </w:rPr>
        <w:t xml:space="preserve"> </w:t>
      </w:r>
      <w:r w:rsidRPr="00A26C26">
        <w:rPr>
          <w:rFonts w:eastAsia="Calibri" w:cstheme="minorHAnsi"/>
        </w:rPr>
        <w:t>zastosowane</w:t>
      </w:r>
      <w:r w:rsidR="003B50ED">
        <w:rPr>
          <w:rFonts w:eastAsia="Calibri" w:cstheme="minorHAnsi"/>
        </w:rPr>
        <w:t xml:space="preserve"> </w:t>
      </w:r>
      <w:r w:rsidRPr="00A26C26">
        <w:rPr>
          <w:rFonts w:eastAsia="Calibri" w:cstheme="minorHAnsi"/>
        </w:rPr>
        <w:t>zostaną</w:t>
      </w:r>
      <w:r w:rsidR="003B50ED">
        <w:rPr>
          <w:rFonts w:eastAsia="Calibri" w:cstheme="minorHAnsi"/>
        </w:rPr>
        <w:t xml:space="preserve"> </w:t>
      </w:r>
      <w:r w:rsidRPr="00A26C26">
        <w:rPr>
          <w:rFonts w:eastAsia="Calibri" w:cstheme="minorHAnsi"/>
        </w:rPr>
        <w:t>różnorodne</w:t>
      </w:r>
      <w:r w:rsidR="003B50ED">
        <w:rPr>
          <w:rFonts w:eastAsia="Calibri" w:cstheme="minorHAnsi"/>
        </w:rPr>
        <w:t xml:space="preserve"> </w:t>
      </w:r>
      <w:r w:rsidRPr="00A26C26">
        <w:rPr>
          <w:rFonts w:eastAsia="Calibri" w:cstheme="minorHAnsi"/>
        </w:rPr>
        <w:t>metody</w:t>
      </w:r>
      <w:r w:rsidR="003B50ED">
        <w:rPr>
          <w:rFonts w:eastAsia="Calibri" w:cstheme="minorHAnsi"/>
        </w:rPr>
        <w:t xml:space="preserve"> </w:t>
      </w:r>
      <w:r w:rsidRPr="00A26C26">
        <w:rPr>
          <w:rFonts w:eastAsia="Calibri" w:cstheme="minorHAnsi"/>
        </w:rPr>
        <w:t>partycypacji,</w:t>
      </w:r>
      <w:r w:rsidR="003B50ED">
        <w:rPr>
          <w:rFonts w:eastAsia="Calibri" w:cstheme="minorHAnsi"/>
        </w:rPr>
        <w:t xml:space="preserve"> </w:t>
      </w:r>
      <w:r w:rsidRPr="00A26C26">
        <w:rPr>
          <w:rFonts w:eastAsia="Calibri" w:cstheme="minorHAnsi"/>
        </w:rPr>
        <w:t>opisane</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niniejszym</w:t>
      </w:r>
      <w:r w:rsidR="003B50ED">
        <w:rPr>
          <w:rFonts w:eastAsia="Calibri" w:cstheme="minorHAnsi"/>
        </w:rPr>
        <w:t xml:space="preserve"> </w:t>
      </w:r>
      <w:r w:rsidRPr="00A26C26">
        <w:rPr>
          <w:rFonts w:eastAsia="Calibri" w:cstheme="minorHAnsi"/>
        </w:rPr>
        <w:t>Rozdziale,</w:t>
      </w:r>
      <w:r w:rsidR="003B50ED">
        <w:rPr>
          <w:rFonts w:eastAsia="Calibri" w:cstheme="minorHAnsi"/>
        </w:rPr>
        <w:t xml:space="preserve"> </w:t>
      </w:r>
      <w:r w:rsidRPr="00A26C26">
        <w:rPr>
          <w:rFonts w:eastAsia="Calibri" w:cstheme="minorHAnsi"/>
        </w:rPr>
        <w:t>aby</w:t>
      </w:r>
      <w:r w:rsidR="003B50ED">
        <w:rPr>
          <w:rFonts w:eastAsia="Calibri" w:cstheme="minorHAnsi"/>
        </w:rPr>
        <w:t xml:space="preserve"> </w:t>
      </w:r>
      <w:r w:rsidRPr="00A26C26">
        <w:rPr>
          <w:rFonts w:eastAsia="Calibri" w:cstheme="minorHAnsi"/>
        </w:rPr>
        <w:t>zapewnić</w:t>
      </w:r>
      <w:r w:rsidR="003B50ED">
        <w:rPr>
          <w:rFonts w:eastAsia="Calibri" w:cstheme="minorHAnsi"/>
        </w:rPr>
        <w:t xml:space="preserve"> </w:t>
      </w:r>
      <w:r w:rsidRPr="00A26C26">
        <w:rPr>
          <w:rFonts w:eastAsia="Calibri" w:cstheme="minorHAnsi"/>
        </w:rPr>
        <w:t>udział</w:t>
      </w:r>
      <w:r w:rsidR="003B50ED">
        <w:rPr>
          <w:rFonts w:eastAsia="Calibri" w:cstheme="minorHAnsi"/>
        </w:rPr>
        <w:t xml:space="preserve"> </w:t>
      </w:r>
      <w:r w:rsidRPr="00A26C26">
        <w:rPr>
          <w:rFonts w:eastAsia="Calibri" w:cstheme="minorHAnsi"/>
        </w:rPr>
        <w:t>wszystkich</w:t>
      </w:r>
      <w:r w:rsidR="003B50ED">
        <w:rPr>
          <w:rFonts w:eastAsia="Calibri" w:cstheme="minorHAnsi"/>
        </w:rPr>
        <w:t xml:space="preserve"> </w:t>
      </w:r>
      <w:r w:rsidRPr="00A26C26">
        <w:rPr>
          <w:rFonts w:eastAsia="Calibri" w:cstheme="minorHAnsi"/>
        </w:rPr>
        <w:t>interesariuszy,</w:t>
      </w:r>
      <w:r w:rsidR="003B50ED">
        <w:rPr>
          <w:rFonts w:eastAsia="Calibri" w:cstheme="minorHAnsi"/>
        </w:rPr>
        <w:t xml:space="preserve"> </w:t>
      </w:r>
      <w:r w:rsidRPr="00A26C26">
        <w:rPr>
          <w:rFonts w:eastAsia="Calibri" w:cstheme="minorHAnsi"/>
        </w:rPr>
        <w:t>zwłaszcza</w:t>
      </w:r>
      <w:r w:rsidR="003B50ED">
        <w:rPr>
          <w:rFonts w:eastAsia="Calibri" w:cstheme="minorHAnsi"/>
        </w:rPr>
        <w:t xml:space="preserve"> </w:t>
      </w:r>
      <w:r w:rsidRPr="00A26C26">
        <w:rPr>
          <w:rFonts w:eastAsia="Calibri" w:cstheme="minorHAnsi"/>
        </w:rPr>
        <w:t>młodych</w:t>
      </w:r>
      <w:r w:rsidR="003B50ED">
        <w:rPr>
          <w:rFonts w:eastAsia="Calibri" w:cstheme="minorHAnsi"/>
        </w:rPr>
        <w:t xml:space="preserve"> </w:t>
      </w:r>
      <w:r w:rsidRPr="00A26C26">
        <w:rPr>
          <w:rFonts w:eastAsia="Calibri" w:cstheme="minorHAnsi"/>
        </w:rPr>
        <w:t>osób,</w:t>
      </w:r>
      <w:r w:rsidR="003B50ED">
        <w:rPr>
          <w:rFonts w:eastAsia="Calibri" w:cstheme="minorHAnsi"/>
        </w:rPr>
        <w:t xml:space="preserve"> </w:t>
      </w:r>
      <w:r w:rsidRPr="00A26C26">
        <w:rPr>
          <w:rFonts w:eastAsia="Calibri" w:cstheme="minorHAnsi"/>
        </w:rPr>
        <w:t>seniorów</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osób</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trudnej</w:t>
      </w:r>
      <w:r w:rsidR="003B50ED">
        <w:rPr>
          <w:rFonts w:eastAsia="Calibri" w:cstheme="minorHAnsi"/>
        </w:rPr>
        <w:t xml:space="preserve"> </w:t>
      </w:r>
      <w:r w:rsidRPr="00A26C26">
        <w:rPr>
          <w:rFonts w:eastAsia="Calibri" w:cstheme="minorHAnsi"/>
        </w:rPr>
        <w:t>sytuacji,</w:t>
      </w:r>
      <w:r w:rsidR="003B50ED">
        <w:rPr>
          <w:rFonts w:eastAsia="Calibri" w:cstheme="minorHAnsi"/>
        </w:rPr>
        <w:t xml:space="preserve"> </w:t>
      </w:r>
      <w:r w:rsidRPr="00A26C26">
        <w:rPr>
          <w:rFonts w:eastAsia="Calibri" w:cstheme="minorHAnsi"/>
        </w:rPr>
        <w:t>podobnie</w:t>
      </w:r>
      <w:r w:rsidR="003B50ED">
        <w:rPr>
          <w:rFonts w:eastAsia="Calibri" w:cstheme="minorHAnsi"/>
        </w:rPr>
        <w:t xml:space="preserve"> </w:t>
      </w:r>
      <w:r w:rsidRPr="00A26C26">
        <w:rPr>
          <w:rFonts w:eastAsia="Calibri" w:cstheme="minorHAnsi"/>
        </w:rPr>
        <w:t>jak</w:t>
      </w:r>
      <w:r w:rsidR="003B50ED">
        <w:rPr>
          <w:rFonts w:eastAsia="Calibri" w:cstheme="minorHAnsi"/>
        </w:rPr>
        <w:t xml:space="preserve"> </w:t>
      </w:r>
      <w:r w:rsidRPr="00A26C26">
        <w:rPr>
          <w:rFonts w:eastAsia="Calibri" w:cstheme="minorHAnsi"/>
        </w:rPr>
        <w:t>na</w:t>
      </w:r>
      <w:r w:rsidR="003B50ED">
        <w:rPr>
          <w:rFonts w:eastAsia="Calibri" w:cstheme="minorHAnsi"/>
        </w:rPr>
        <w:t xml:space="preserve"> </w:t>
      </w:r>
      <w:r w:rsidRPr="00A26C26">
        <w:rPr>
          <w:rFonts w:eastAsia="Calibri" w:cstheme="minorHAnsi"/>
        </w:rPr>
        <w:t>etapie</w:t>
      </w:r>
      <w:r w:rsidR="003B50ED">
        <w:rPr>
          <w:rFonts w:eastAsia="Calibri" w:cstheme="minorHAnsi"/>
        </w:rPr>
        <w:t xml:space="preserve"> </w:t>
      </w:r>
      <w:r w:rsidRPr="00A26C26">
        <w:rPr>
          <w:rFonts w:eastAsia="Calibri" w:cstheme="minorHAnsi"/>
        </w:rPr>
        <w:t>przygotowania</w:t>
      </w:r>
      <w:r w:rsidR="003B50ED">
        <w:rPr>
          <w:rFonts w:eastAsia="Calibri" w:cstheme="minorHAnsi"/>
        </w:rPr>
        <w:t xml:space="preserve"> </w:t>
      </w:r>
      <w:r w:rsidRPr="00A26C26">
        <w:rPr>
          <w:rFonts w:eastAsia="Calibri" w:cstheme="minorHAnsi"/>
        </w:rPr>
        <w:t>LSR.</w:t>
      </w:r>
    </w:p>
    <w:p w14:paraId="01B82C76" w14:textId="65753440" w:rsidR="00E2372E" w:rsidRPr="00A26C26" w:rsidRDefault="00E2372E" w:rsidP="00A26C26">
      <w:pPr>
        <w:spacing w:line="276" w:lineRule="auto"/>
        <w:ind w:firstLine="284"/>
        <w:jc w:val="both"/>
        <w:rPr>
          <w:rFonts w:eastAsia="Calibri" w:cstheme="minorHAnsi"/>
        </w:rPr>
      </w:pPr>
      <w:r w:rsidRPr="00A26C26">
        <w:rPr>
          <w:rFonts w:eastAsia="Calibri" w:cstheme="minorHAnsi"/>
        </w:rPr>
        <w:t>Ponadto,</w:t>
      </w:r>
      <w:r w:rsidR="003B50ED">
        <w:rPr>
          <w:rFonts w:eastAsia="Calibri" w:cstheme="minorHAnsi"/>
        </w:rPr>
        <w:t xml:space="preserve"> </w:t>
      </w:r>
      <w:r w:rsidRPr="00A26C26">
        <w:rPr>
          <w:rFonts w:eastAsia="Calibri" w:cstheme="minorHAnsi"/>
        </w:rPr>
        <w:t>należy</w:t>
      </w:r>
      <w:r w:rsidR="003B50ED">
        <w:rPr>
          <w:rFonts w:eastAsia="Calibri" w:cstheme="minorHAnsi"/>
        </w:rPr>
        <w:t xml:space="preserve"> </w:t>
      </w:r>
      <w:r w:rsidRPr="00A26C26">
        <w:rPr>
          <w:rFonts w:eastAsia="Calibri" w:cstheme="minorHAnsi"/>
        </w:rPr>
        <w:t>mieć</w:t>
      </w:r>
      <w:r w:rsidR="003B50ED">
        <w:rPr>
          <w:rFonts w:eastAsia="Calibri" w:cstheme="minorHAnsi"/>
        </w:rPr>
        <w:t xml:space="preserve"> </w:t>
      </w:r>
      <w:r w:rsidRPr="00A26C26">
        <w:rPr>
          <w:rFonts w:eastAsia="Calibri" w:cstheme="minorHAnsi"/>
        </w:rPr>
        <w:t>na</w:t>
      </w:r>
      <w:r w:rsidR="003B50ED">
        <w:rPr>
          <w:rFonts w:eastAsia="Calibri" w:cstheme="minorHAnsi"/>
        </w:rPr>
        <w:t xml:space="preserve"> </w:t>
      </w:r>
      <w:r w:rsidRPr="00A26C26">
        <w:rPr>
          <w:rFonts w:eastAsia="Calibri" w:cstheme="minorHAnsi"/>
        </w:rPr>
        <w:t>uwadze,</w:t>
      </w:r>
      <w:r w:rsidR="003B50ED">
        <w:rPr>
          <w:rFonts w:eastAsia="Calibri" w:cstheme="minorHAnsi"/>
        </w:rPr>
        <w:t xml:space="preserve"> </w:t>
      </w:r>
      <w:r w:rsidRPr="00A26C26">
        <w:rPr>
          <w:rFonts w:eastAsia="Calibri" w:cstheme="minorHAnsi"/>
        </w:rPr>
        <w:t>że</w:t>
      </w:r>
      <w:r w:rsidR="003B50ED">
        <w:rPr>
          <w:rFonts w:eastAsia="Calibri" w:cstheme="minorHAnsi"/>
        </w:rPr>
        <w:t xml:space="preserve"> </w:t>
      </w:r>
      <w:r w:rsidRPr="00A26C26">
        <w:rPr>
          <w:rFonts w:eastAsia="Calibri" w:cstheme="minorHAnsi"/>
        </w:rPr>
        <w:t>wszystkie</w:t>
      </w:r>
      <w:r w:rsidR="003B50ED">
        <w:rPr>
          <w:rFonts w:eastAsia="Calibri" w:cstheme="minorHAnsi"/>
        </w:rPr>
        <w:t xml:space="preserve"> </w:t>
      </w:r>
      <w:r w:rsidRPr="00A26C26">
        <w:rPr>
          <w:rFonts w:eastAsia="Calibri" w:cstheme="minorHAnsi"/>
        </w:rPr>
        <w:t>działania</w:t>
      </w:r>
      <w:r w:rsidR="003B50ED">
        <w:rPr>
          <w:rFonts w:eastAsia="Calibri" w:cstheme="minorHAnsi"/>
        </w:rPr>
        <w:t xml:space="preserve"> </w:t>
      </w:r>
      <w:r w:rsidRPr="00A26C26">
        <w:rPr>
          <w:rFonts w:eastAsia="Calibri" w:cstheme="minorHAnsi"/>
        </w:rPr>
        <w:t>związane</w:t>
      </w:r>
      <w:r w:rsidR="003B50ED">
        <w:rPr>
          <w:rFonts w:eastAsia="Calibri" w:cstheme="minorHAnsi"/>
        </w:rPr>
        <w:t xml:space="preserve"> </w:t>
      </w:r>
      <w:r w:rsidRPr="00A26C26">
        <w:rPr>
          <w:rFonts w:eastAsia="Calibri" w:cstheme="minorHAnsi"/>
        </w:rPr>
        <w:t>z</w:t>
      </w:r>
      <w:r w:rsidR="003B50ED">
        <w:rPr>
          <w:rFonts w:eastAsia="Calibri" w:cstheme="minorHAnsi"/>
        </w:rPr>
        <w:t xml:space="preserve"> </w:t>
      </w:r>
      <w:r w:rsidRPr="00A26C26">
        <w:rPr>
          <w:rFonts w:eastAsia="Calibri" w:cstheme="minorHAnsi"/>
        </w:rPr>
        <w:t>wdrażaniem</w:t>
      </w:r>
      <w:r w:rsidR="003B50ED">
        <w:rPr>
          <w:rFonts w:eastAsia="Calibri" w:cstheme="minorHAnsi"/>
        </w:rPr>
        <w:t xml:space="preserve"> </w:t>
      </w:r>
      <w:r w:rsidRPr="00A26C26">
        <w:rPr>
          <w:rFonts w:eastAsia="Calibri" w:cstheme="minorHAnsi"/>
        </w:rPr>
        <w:t>LSR</w:t>
      </w:r>
      <w:r w:rsidR="003B50ED">
        <w:rPr>
          <w:rFonts w:eastAsia="Calibri" w:cstheme="minorHAnsi"/>
        </w:rPr>
        <w:t xml:space="preserve"> </w:t>
      </w:r>
      <w:r w:rsidRPr="00A26C26">
        <w:rPr>
          <w:rFonts w:eastAsia="Calibri" w:cstheme="minorHAnsi"/>
        </w:rPr>
        <w:t>są</w:t>
      </w:r>
      <w:r w:rsidR="003B50ED">
        <w:rPr>
          <w:rFonts w:eastAsia="Calibri" w:cstheme="minorHAnsi"/>
        </w:rPr>
        <w:t xml:space="preserve"> </w:t>
      </w:r>
      <w:r w:rsidRPr="00A26C26">
        <w:rPr>
          <w:rFonts w:eastAsia="Calibri" w:cstheme="minorHAnsi"/>
        </w:rPr>
        <w:t>jawne</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podlegają</w:t>
      </w:r>
      <w:r w:rsidR="003B50ED">
        <w:rPr>
          <w:rFonts w:eastAsia="Calibri" w:cstheme="minorHAnsi"/>
        </w:rPr>
        <w:t xml:space="preserve"> </w:t>
      </w:r>
      <w:r w:rsidRPr="00A26C26">
        <w:rPr>
          <w:rFonts w:eastAsia="Calibri" w:cstheme="minorHAnsi"/>
        </w:rPr>
        <w:t>zatwierdzeniu</w:t>
      </w:r>
      <w:r w:rsidR="003B50ED">
        <w:rPr>
          <w:rFonts w:eastAsia="Calibri" w:cstheme="minorHAnsi"/>
        </w:rPr>
        <w:t xml:space="preserve"> </w:t>
      </w:r>
      <w:r w:rsidRPr="00A26C26">
        <w:rPr>
          <w:rFonts w:eastAsia="Calibri" w:cstheme="minorHAnsi"/>
        </w:rPr>
        <w:t>przez</w:t>
      </w:r>
      <w:r w:rsidR="003B50ED">
        <w:rPr>
          <w:rFonts w:eastAsia="Calibri" w:cstheme="minorHAnsi"/>
        </w:rPr>
        <w:t xml:space="preserve"> </w:t>
      </w:r>
      <w:r w:rsidRPr="00A26C26">
        <w:rPr>
          <w:rFonts w:eastAsia="Calibri" w:cstheme="minorHAnsi"/>
        </w:rPr>
        <w:t>Zarząd</w:t>
      </w:r>
      <w:r w:rsidR="003B50ED">
        <w:rPr>
          <w:rFonts w:eastAsia="Calibri" w:cstheme="minorHAnsi"/>
        </w:rPr>
        <w:t xml:space="preserve"> </w:t>
      </w:r>
      <w:r w:rsidRPr="00A26C26">
        <w:rPr>
          <w:rFonts w:eastAsia="Calibri" w:cstheme="minorHAnsi"/>
        </w:rPr>
        <w:t>Województwa.</w:t>
      </w:r>
      <w:r w:rsidR="003B50ED">
        <w:rPr>
          <w:rFonts w:eastAsia="Calibri" w:cstheme="minorHAnsi"/>
        </w:rPr>
        <w:t xml:space="preserve"> </w:t>
      </w:r>
      <w:r w:rsidRPr="00A26C26">
        <w:rPr>
          <w:rFonts w:eastAsia="Calibri" w:cstheme="minorHAnsi"/>
        </w:rPr>
        <w:t>Biuro</w:t>
      </w:r>
      <w:r w:rsidR="003B50ED">
        <w:rPr>
          <w:rFonts w:eastAsia="Calibri" w:cstheme="minorHAnsi"/>
        </w:rPr>
        <w:t xml:space="preserve"> </w:t>
      </w:r>
      <w:r w:rsidRPr="00A26C26">
        <w:rPr>
          <w:rFonts w:eastAsia="Calibri" w:cstheme="minorHAnsi"/>
        </w:rPr>
        <w:t>LGD</w:t>
      </w:r>
      <w:r w:rsidR="003B50ED">
        <w:rPr>
          <w:rFonts w:eastAsia="Calibri" w:cstheme="minorHAnsi"/>
        </w:rPr>
        <w:t xml:space="preserve"> </w:t>
      </w:r>
      <w:r w:rsidRPr="00A26C26">
        <w:rPr>
          <w:rFonts w:eastAsia="Calibri" w:cstheme="minorHAnsi"/>
        </w:rPr>
        <w:t>przeprowadza</w:t>
      </w:r>
      <w:r w:rsidR="003B50ED">
        <w:rPr>
          <w:rFonts w:eastAsia="Calibri" w:cstheme="minorHAnsi"/>
        </w:rPr>
        <w:t xml:space="preserve"> </w:t>
      </w:r>
      <w:r w:rsidRPr="00A26C26">
        <w:rPr>
          <w:rFonts w:eastAsia="Calibri" w:cstheme="minorHAnsi"/>
        </w:rPr>
        <w:t>weryfikację</w:t>
      </w:r>
      <w:r w:rsidR="003B50ED">
        <w:rPr>
          <w:rFonts w:eastAsia="Calibri" w:cstheme="minorHAnsi"/>
        </w:rPr>
        <w:t xml:space="preserve"> </w:t>
      </w:r>
      <w:r w:rsidRPr="00A26C26">
        <w:rPr>
          <w:rFonts w:eastAsia="Calibri" w:cstheme="minorHAnsi"/>
        </w:rPr>
        <w:t>formalną</w:t>
      </w:r>
      <w:r w:rsidR="003B50ED">
        <w:rPr>
          <w:rFonts w:eastAsia="Calibri" w:cstheme="minorHAnsi"/>
        </w:rPr>
        <w:t xml:space="preserve"> </w:t>
      </w:r>
      <w:r w:rsidRPr="00A26C26">
        <w:rPr>
          <w:rFonts w:eastAsia="Calibri" w:cstheme="minorHAnsi"/>
        </w:rPr>
        <w:t>dokumentacji,</w:t>
      </w:r>
      <w:r w:rsidR="003B50ED">
        <w:rPr>
          <w:rFonts w:eastAsia="Calibri" w:cstheme="minorHAnsi"/>
        </w:rPr>
        <w:t xml:space="preserve"> </w:t>
      </w:r>
      <w:r w:rsidRPr="00A26C26">
        <w:rPr>
          <w:rFonts w:eastAsia="Calibri" w:cstheme="minorHAnsi"/>
        </w:rPr>
        <w:t>a</w:t>
      </w:r>
      <w:r w:rsidR="003B50ED">
        <w:rPr>
          <w:rFonts w:eastAsia="Calibri" w:cstheme="minorHAnsi"/>
        </w:rPr>
        <w:t xml:space="preserve"> </w:t>
      </w:r>
      <w:r w:rsidRPr="00A26C26">
        <w:rPr>
          <w:rFonts w:eastAsia="Calibri" w:cstheme="minorHAnsi"/>
        </w:rPr>
        <w:t>następnie</w:t>
      </w:r>
      <w:r w:rsidR="003B50ED">
        <w:rPr>
          <w:rFonts w:eastAsia="Calibri" w:cstheme="minorHAnsi"/>
        </w:rPr>
        <w:t xml:space="preserve"> </w:t>
      </w:r>
      <w:r w:rsidRPr="00A26C26">
        <w:rPr>
          <w:rFonts w:eastAsia="Calibri" w:cstheme="minorHAnsi"/>
        </w:rPr>
        <w:t>Zarząd</w:t>
      </w:r>
      <w:r w:rsidR="003B50ED">
        <w:rPr>
          <w:rFonts w:eastAsia="Calibri" w:cstheme="minorHAnsi"/>
        </w:rPr>
        <w:t xml:space="preserve"> </w:t>
      </w:r>
      <w:r w:rsidRPr="00A26C26">
        <w:rPr>
          <w:rFonts w:eastAsia="Calibri" w:cstheme="minorHAnsi"/>
        </w:rPr>
        <w:t>lub</w:t>
      </w:r>
      <w:r w:rsidR="003B50ED">
        <w:rPr>
          <w:rFonts w:eastAsia="Calibri" w:cstheme="minorHAnsi"/>
        </w:rPr>
        <w:t xml:space="preserve"> </w:t>
      </w:r>
      <w:r w:rsidRPr="00A26C26">
        <w:rPr>
          <w:rFonts w:eastAsia="Calibri" w:cstheme="minorHAnsi"/>
        </w:rPr>
        <w:t>dedykowana</w:t>
      </w:r>
      <w:r w:rsidR="003B50ED">
        <w:rPr>
          <w:rFonts w:eastAsia="Calibri" w:cstheme="minorHAnsi"/>
        </w:rPr>
        <w:t xml:space="preserve"> </w:t>
      </w:r>
      <w:r w:rsidRPr="00A26C26">
        <w:rPr>
          <w:rFonts w:eastAsia="Calibri" w:cstheme="minorHAnsi"/>
        </w:rPr>
        <w:t>grupa</w:t>
      </w:r>
      <w:r w:rsidR="003B50ED">
        <w:rPr>
          <w:rFonts w:eastAsia="Calibri" w:cstheme="minorHAnsi"/>
        </w:rPr>
        <w:t xml:space="preserve"> </w:t>
      </w:r>
      <w:r w:rsidRPr="00A26C26">
        <w:rPr>
          <w:rFonts w:eastAsia="Calibri" w:cstheme="minorHAnsi"/>
        </w:rPr>
        <w:t>robocza</w:t>
      </w:r>
      <w:r w:rsidR="003B50ED">
        <w:rPr>
          <w:rFonts w:eastAsia="Calibri" w:cstheme="minorHAnsi"/>
        </w:rPr>
        <w:t xml:space="preserve"> </w:t>
      </w:r>
      <w:r w:rsidRPr="00A26C26">
        <w:rPr>
          <w:rFonts w:eastAsia="Calibri" w:cstheme="minorHAnsi"/>
        </w:rPr>
        <w:t>ds.</w:t>
      </w:r>
      <w:r w:rsidR="003B50ED">
        <w:rPr>
          <w:rFonts w:eastAsia="Calibri" w:cstheme="minorHAnsi"/>
        </w:rPr>
        <w:t xml:space="preserve"> </w:t>
      </w:r>
      <w:r w:rsidRPr="00A26C26">
        <w:rPr>
          <w:rFonts w:eastAsia="Calibri" w:cstheme="minorHAnsi"/>
        </w:rPr>
        <w:t>LSR</w:t>
      </w:r>
      <w:r w:rsidR="003B50ED">
        <w:rPr>
          <w:rFonts w:eastAsia="Calibri" w:cstheme="minorHAnsi"/>
        </w:rPr>
        <w:t xml:space="preserve"> </w:t>
      </w:r>
      <w:r w:rsidRPr="00A26C26">
        <w:rPr>
          <w:rFonts w:eastAsia="Calibri" w:cstheme="minorHAnsi"/>
        </w:rPr>
        <w:t>przeprowadza</w:t>
      </w:r>
      <w:r w:rsidR="003B50ED">
        <w:rPr>
          <w:rFonts w:eastAsia="Calibri" w:cstheme="minorHAnsi"/>
        </w:rPr>
        <w:t xml:space="preserve"> </w:t>
      </w:r>
      <w:r w:rsidRPr="00A26C26">
        <w:rPr>
          <w:rFonts w:eastAsia="Calibri" w:cstheme="minorHAnsi"/>
        </w:rPr>
        <w:t>wstępną</w:t>
      </w:r>
      <w:r w:rsidR="003B50ED">
        <w:rPr>
          <w:rFonts w:eastAsia="Calibri" w:cstheme="minorHAnsi"/>
        </w:rPr>
        <w:t xml:space="preserve"> </w:t>
      </w:r>
      <w:r w:rsidRPr="00A26C26">
        <w:rPr>
          <w:rFonts w:eastAsia="Calibri" w:cstheme="minorHAnsi"/>
        </w:rPr>
        <w:t>analizę</w:t>
      </w:r>
      <w:r w:rsidR="003B50ED">
        <w:rPr>
          <w:rFonts w:eastAsia="Calibri" w:cstheme="minorHAnsi"/>
        </w:rPr>
        <w:t xml:space="preserve"> </w:t>
      </w:r>
      <w:r w:rsidRPr="00A26C26">
        <w:rPr>
          <w:rFonts w:eastAsia="Calibri" w:cstheme="minorHAnsi"/>
        </w:rPr>
        <w:t>merytoryczną</w:t>
      </w:r>
      <w:r w:rsidR="003B50ED">
        <w:rPr>
          <w:rFonts w:eastAsia="Calibri" w:cstheme="minorHAnsi"/>
        </w:rPr>
        <w:t xml:space="preserve"> </w:t>
      </w:r>
      <w:r w:rsidRPr="00A26C26">
        <w:rPr>
          <w:rFonts w:eastAsia="Calibri" w:cstheme="minorHAnsi"/>
        </w:rPr>
        <w:t>zgłoszonych</w:t>
      </w:r>
      <w:r w:rsidR="003B50ED">
        <w:rPr>
          <w:rFonts w:eastAsia="Calibri" w:cstheme="minorHAnsi"/>
        </w:rPr>
        <w:t xml:space="preserve"> </w:t>
      </w:r>
      <w:r w:rsidRPr="00A26C26">
        <w:rPr>
          <w:rFonts w:eastAsia="Calibri" w:cstheme="minorHAnsi"/>
        </w:rPr>
        <w:t>propozycji</w:t>
      </w:r>
      <w:r w:rsidR="005E1831">
        <w:rPr>
          <w:rFonts w:eastAsia="Calibri" w:cstheme="minorHAnsi"/>
        </w:rPr>
        <w:t>.</w:t>
      </w:r>
    </w:p>
    <w:p w14:paraId="118E69F6" w14:textId="5C627322" w:rsidR="00E2372E" w:rsidRPr="00A26C26" w:rsidRDefault="00E2372E" w:rsidP="00A26C26">
      <w:pPr>
        <w:spacing w:line="276" w:lineRule="auto"/>
        <w:ind w:firstLine="284"/>
        <w:jc w:val="both"/>
        <w:rPr>
          <w:rFonts w:eastAsia="Calibri" w:cstheme="minorHAnsi"/>
        </w:rPr>
      </w:pPr>
      <w:r w:rsidRPr="00A26C26">
        <w:rPr>
          <w:rFonts w:eastAsia="Calibri" w:cstheme="minorHAnsi"/>
        </w:rPr>
        <w:t>W</w:t>
      </w:r>
      <w:r w:rsidR="003B50ED">
        <w:rPr>
          <w:rFonts w:eastAsia="Calibri" w:cstheme="minorHAnsi"/>
        </w:rPr>
        <w:t xml:space="preserve"> </w:t>
      </w:r>
      <w:r w:rsidRPr="00A26C26">
        <w:rPr>
          <w:rFonts w:eastAsia="Calibri" w:cstheme="minorHAnsi"/>
        </w:rPr>
        <w:t>tym</w:t>
      </w:r>
      <w:r w:rsidR="003B50ED">
        <w:rPr>
          <w:rFonts w:eastAsia="Calibri" w:cstheme="minorHAnsi"/>
        </w:rPr>
        <w:t xml:space="preserve"> </w:t>
      </w:r>
      <w:r w:rsidRPr="00A26C26">
        <w:rPr>
          <w:rFonts w:eastAsia="Calibri" w:cstheme="minorHAnsi"/>
        </w:rPr>
        <w:t>miejscu</w:t>
      </w:r>
      <w:r w:rsidR="003B50ED">
        <w:rPr>
          <w:rFonts w:eastAsia="Calibri" w:cstheme="minorHAnsi"/>
        </w:rPr>
        <w:t xml:space="preserve"> </w:t>
      </w:r>
      <w:r w:rsidRPr="00A26C26">
        <w:rPr>
          <w:rFonts w:eastAsia="Calibri" w:cstheme="minorHAnsi"/>
        </w:rPr>
        <w:t>należy</w:t>
      </w:r>
      <w:r w:rsidR="003B50ED">
        <w:rPr>
          <w:rFonts w:eastAsia="Calibri" w:cstheme="minorHAnsi"/>
        </w:rPr>
        <w:t xml:space="preserve"> </w:t>
      </w:r>
      <w:r w:rsidRPr="00A26C26">
        <w:rPr>
          <w:rFonts w:eastAsia="Calibri" w:cstheme="minorHAnsi"/>
        </w:rPr>
        <w:t>jasno</w:t>
      </w:r>
      <w:r w:rsidR="003B50ED">
        <w:rPr>
          <w:rFonts w:eastAsia="Calibri" w:cstheme="minorHAnsi"/>
        </w:rPr>
        <w:t xml:space="preserve"> </w:t>
      </w:r>
      <w:r w:rsidRPr="00A26C26">
        <w:rPr>
          <w:rFonts w:eastAsia="Calibri" w:cstheme="minorHAnsi"/>
        </w:rPr>
        <w:t>podkreślić,</w:t>
      </w:r>
      <w:r w:rsidR="003B50ED">
        <w:rPr>
          <w:rFonts w:eastAsia="Calibri" w:cstheme="minorHAnsi"/>
        </w:rPr>
        <w:t xml:space="preserve"> </w:t>
      </w:r>
      <w:r w:rsidRPr="00A26C26">
        <w:rPr>
          <w:rFonts w:eastAsia="Calibri" w:cstheme="minorHAnsi"/>
        </w:rPr>
        <w:t>że</w:t>
      </w:r>
      <w:r w:rsidR="003B50ED">
        <w:rPr>
          <w:rFonts w:eastAsia="Calibri" w:cstheme="minorHAnsi"/>
        </w:rPr>
        <w:t xml:space="preserve"> </w:t>
      </w:r>
      <w:r w:rsidRPr="00A26C26">
        <w:rPr>
          <w:rFonts w:eastAsia="Calibri" w:cstheme="minorHAnsi"/>
        </w:rPr>
        <w:t>aktualizacja</w:t>
      </w:r>
      <w:r w:rsidR="003B50ED">
        <w:rPr>
          <w:rFonts w:eastAsia="Calibri" w:cstheme="minorHAnsi"/>
        </w:rPr>
        <w:t xml:space="preserve"> </w:t>
      </w:r>
      <w:r w:rsidRPr="00A26C26">
        <w:rPr>
          <w:rFonts w:eastAsia="Calibri" w:cstheme="minorHAnsi"/>
        </w:rPr>
        <w:t>LSR</w:t>
      </w:r>
      <w:r w:rsidR="003B50ED">
        <w:rPr>
          <w:rFonts w:eastAsia="Calibri" w:cstheme="minorHAnsi"/>
        </w:rPr>
        <w:t xml:space="preserve"> </w:t>
      </w:r>
      <w:r w:rsidRPr="00A26C26">
        <w:rPr>
          <w:rFonts w:eastAsia="Calibri" w:cstheme="minorHAnsi"/>
        </w:rPr>
        <w:t>zawsze</w:t>
      </w:r>
      <w:r w:rsidR="003B50ED">
        <w:rPr>
          <w:rFonts w:eastAsia="Calibri" w:cstheme="minorHAnsi"/>
        </w:rPr>
        <w:t xml:space="preserve"> </w:t>
      </w:r>
      <w:r w:rsidRPr="00A26C26">
        <w:rPr>
          <w:rFonts w:eastAsia="Calibri" w:cstheme="minorHAnsi"/>
        </w:rPr>
        <w:t>będzie</w:t>
      </w:r>
      <w:r w:rsidR="003B50ED">
        <w:rPr>
          <w:rFonts w:eastAsia="Calibri" w:cstheme="minorHAnsi"/>
        </w:rPr>
        <w:t xml:space="preserve"> </w:t>
      </w:r>
      <w:r w:rsidRPr="00A26C26">
        <w:rPr>
          <w:rFonts w:eastAsia="Calibri" w:cstheme="minorHAnsi"/>
        </w:rPr>
        <w:t>przeprowadzana</w:t>
      </w:r>
      <w:r w:rsidR="003B50ED">
        <w:rPr>
          <w:rFonts w:eastAsia="Calibri" w:cstheme="minorHAnsi"/>
        </w:rPr>
        <w:t xml:space="preserve"> </w:t>
      </w:r>
      <w:r w:rsidRPr="00A26C26">
        <w:rPr>
          <w:rFonts w:eastAsia="Calibri" w:cstheme="minorHAnsi"/>
        </w:rPr>
        <w:t>zgodnie</w:t>
      </w:r>
      <w:r w:rsidR="003B50ED">
        <w:rPr>
          <w:rFonts w:eastAsia="Calibri" w:cstheme="minorHAnsi"/>
        </w:rPr>
        <w:t xml:space="preserve"> </w:t>
      </w:r>
      <w:r w:rsidRPr="00A26C26">
        <w:rPr>
          <w:rFonts w:eastAsia="Calibri" w:cstheme="minorHAnsi"/>
        </w:rPr>
        <w:t>z</w:t>
      </w:r>
      <w:r w:rsidR="003B50ED">
        <w:rPr>
          <w:rFonts w:eastAsia="Calibri" w:cstheme="minorHAnsi"/>
        </w:rPr>
        <w:t xml:space="preserve"> </w:t>
      </w:r>
      <w:r w:rsidRPr="00A26C26">
        <w:rPr>
          <w:rFonts w:eastAsia="Calibri" w:cstheme="minorHAnsi"/>
        </w:rPr>
        <w:t>precyzyjnie</w:t>
      </w:r>
      <w:r w:rsidR="003B50ED">
        <w:rPr>
          <w:rFonts w:eastAsia="Calibri" w:cstheme="minorHAnsi"/>
        </w:rPr>
        <w:t xml:space="preserve"> </w:t>
      </w:r>
      <w:r w:rsidRPr="00A26C26">
        <w:rPr>
          <w:rFonts w:eastAsia="Calibri" w:cstheme="minorHAnsi"/>
        </w:rPr>
        <w:t>określonymi</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publicznie</w:t>
      </w:r>
      <w:r w:rsidR="003B50ED">
        <w:rPr>
          <w:rFonts w:eastAsia="Calibri" w:cstheme="minorHAnsi"/>
        </w:rPr>
        <w:t xml:space="preserve"> </w:t>
      </w:r>
      <w:r w:rsidRPr="00A26C26">
        <w:rPr>
          <w:rFonts w:eastAsia="Calibri" w:cstheme="minorHAnsi"/>
        </w:rPr>
        <w:t>dostępnymi</w:t>
      </w:r>
      <w:r w:rsidR="003B50ED">
        <w:rPr>
          <w:rFonts w:eastAsia="Calibri" w:cstheme="minorHAnsi"/>
        </w:rPr>
        <w:t xml:space="preserve"> </w:t>
      </w:r>
      <w:r w:rsidRPr="00A26C26">
        <w:rPr>
          <w:rFonts w:eastAsia="Calibri" w:cstheme="minorHAnsi"/>
        </w:rPr>
        <w:t>procedurami,</w:t>
      </w:r>
      <w:r w:rsidR="003B50ED">
        <w:rPr>
          <w:rFonts w:eastAsia="Calibri" w:cstheme="minorHAnsi"/>
        </w:rPr>
        <w:t xml:space="preserve"> </w:t>
      </w:r>
      <w:r w:rsidRPr="00A26C26">
        <w:rPr>
          <w:rFonts w:eastAsia="Calibri" w:cstheme="minorHAnsi"/>
        </w:rPr>
        <w:t>zapewniając</w:t>
      </w:r>
      <w:r w:rsidR="003B50ED">
        <w:rPr>
          <w:rFonts w:eastAsia="Calibri" w:cstheme="minorHAnsi"/>
        </w:rPr>
        <w:t xml:space="preserve"> </w:t>
      </w:r>
      <w:r w:rsidRPr="00A26C26">
        <w:rPr>
          <w:rFonts w:eastAsia="Calibri" w:cstheme="minorHAnsi"/>
        </w:rPr>
        <w:t>szerokie</w:t>
      </w:r>
      <w:r w:rsidR="003B50ED">
        <w:rPr>
          <w:rFonts w:eastAsia="Calibri" w:cstheme="minorHAnsi"/>
        </w:rPr>
        <w:t xml:space="preserve"> </w:t>
      </w:r>
      <w:r w:rsidRPr="00A26C26">
        <w:rPr>
          <w:rFonts w:eastAsia="Calibri" w:cstheme="minorHAnsi"/>
        </w:rPr>
        <w:t>zaangażowanie</w:t>
      </w:r>
      <w:r w:rsidR="003B50ED">
        <w:rPr>
          <w:rFonts w:eastAsia="Calibri" w:cstheme="minorHAnsi"/>
        </w:rPr>
        <w:t xml:space="preserve"> </w:t>
      </w:r>
      <w:r w:rsidRPr="00A26C26">
        <w:rPr>
          <w:rFonts w:eastAsia="Calibri" w:cstheme="minorHAnsi"/>
        </w:rPr>
        <w:t>lokalnej</w:t>
      </w:r>
      <w:r w:rsidR="003B50ED">
        <w:rPr>
          <w:rFonts w:eastAsia="Calibri" w:cstheme="minorHAnsi"/>
        </w:rPr>
        <w:t xml:space="preserve"> </w:t>
      </w:r>
      <w:r w:rsidRPr="00A26C26">
        <w:rPr>
          <w:rFonts w:eastAsia="Calibri" w:cstheme="minorHAnsi"/>
        </w:rPr>
        <w:t>społeczności,</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tym</w:t>
      </w:r>
      <w:r w:rsidR="003B50ED">
        <w:rPr>
          <w:rFonts w:eastAsia="Calibri" w:cstheme="minorHAnsi"/>
        </w:rPr>
        <w:t xml:space="preserve"> </w:t>
      </w:r>
      <w:r w:rsidRPr="00A26C26">
        <w:rPr>
          <w:rFonts w:eastAsia="Calibri" w:cstheme="minorHAnsi"/>
        </w:rPr>
        <w:t>zidentyfikowanych</w:t>
      </w:r>
      <w:r w:rsidR="003B50ED">
        <w:rPr>
          <w:rFonts w:eastAsia="Calibri" w:cstheme="minorHAnsi"/>
        </w:rPr>
        <w:t xml:space="preserve"> </w:t>
      </w:r>
      <w:r w:rsidRPr="00A26C26">
        <w:rPr>
          <w:rFonts w:eastAsia="Calibri" w:cstheme="minorHAnsi"/>
        </w:rPr>
        <w:t>na</w:t>
      </w:r>
      <w:r w:rsidR="003B50ED">
        <w:rPr>
          <w:rFonts w:eastAsia="Calibri" w:cstheme="minorHAnsi"/>
        </w:rPr>
        <w:t xml:space="preserve"> </w:t>
      </w:r>
      <w:r w:rsidRPr="00A26C26">
        <w:rPr>
          <w:rFonts w:eastAsia="Calibri" w:cstheme="minorHAnsi"/>
        </w:rPr>
        <w:t>obszarze</w:t>
      </w:r>
      <w:r w:rsidR="003B50ED">
        <w:rPr>
          <w:rFonts w:eastAsia="Calibri" w:cstheme="minorHAnsi"/>
        </w:rPr>
        <w:t xml:space="preserve"> </w:t>
      </w:r>
      <w:r w:rsidRPr="00A26C26">
        <w:rPr>
          <w:rFonts w:eastAsia="Calibri" w:cstheme="minorHAnsi"/>
        </w:rPr>
        <w:t>LSR</w:t>
      </w:r>
      <w:r w:rsidR="003B50ED">
        <w:rPr>
          <w:rFonts w:eastAsia="Calibri" w:cstheme="minorHAnsi"/>
        </w:rPr>
        <w:t xml:space="preserve"> </w:t>
      </w:r>
      <w:r w:rsidRPr="00A26C26">
        <w:rPr>
          <w:rFonts w:eastAsia="Calibri" w:cstheme="minorHAnsi"/>
        </w:rPr>
        <w:t>grup</w:t>
      </w:r>
      <w:r w:rsidR="003B50ED">
        <w:rPr>
          <w:rFonts w:eastAsia="Calibri" w:cstheme="minorHAnsi"/>
        </w:rPr>
        <w:t xml:space="preserve"> </w:t>
      </w:r>
      <w:r w:rsidRPr="00A26C26">
        <w:rPr>
          <w:rFonts w:eastAsia="Calibri" w:cstheme="minorHAnsi"/>
        </w:rPr>
        <w:t>interesu</w:t>
      </w:r>
      <w:r w:rsidR="003B50ED">
        <w:rPr>
          <w:rFonts w:eastAsia="Calibri" w:cstheme="minorHAnsi"/>
        </w:rPr>
        <w:t xml:space="preserve"> </w:t>
      </w:r>
      <w:r w:rsidRPr="00A26C26">
        <w:rPr>
          <w:rFonts w:eastAsia="Calibri" w:cstheme="minorHAnsi"/>
        </w:rPr>
        <w:t>sektorów</w:t>
      </w:r>
      <w:r w:rsidR="003B50ED">
        <w:rPr>
          <w:rFonts w:eastAsia="Calibri" w:cstheme="minorHAnsi"/>
        </w:rPr>
        <w:t xml:space="preserve"> </w:t>
      </w:r>
      <w:r w:rsidRPr="00A26C26">
        <w:rPr>
          <w:rFonts w:eastAsia="Calibri" w:cstheme="minorHAnsi"/>
        </w:rPr>
        <w:t>oraz</w:t>
      </w:r>
      <w:r w:rsidR="003B50ED">
        <w:rPr>
          <w:rFonts w:eastAsia="Calibri" w:cstheme="minorHAnsi"/>
        </w:rPr>
        <w:t xml:space="preserve"> </w:t>
      </w:r>
      <w:r w:rsidRPr="00A26C26">
        <w:rPr>
          <w:rFonts w:eastAsia="Calibri" w:cstheme="minorHAnsi"/>
        </w:rPr>
        <w:t>mieszkańców,</w:t>
      </w:r>
      <w:r w:rsidR="003B50ED">
        <w:rPr>
          <w:rFonts w:eastAsia="Calibri" w:cstheme="minorHAnsi"/>
        </w:rPr>
        <w:t xml:space="preserve"> </w:t>
      </w:r>
      <w:r w:rsidRPr="00A26C26">
        <w:rPr>
          <w:rFonts w:eastAsia="Calibri" w:cstheme="minorHAnsi"/>
        </w:rPr>
        <w:t>a</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szczególności</w:t>
      </w:r>
      <w:r w:rsidR="003B50ED">
        <w:rPr>
          <w:rFonts w:eastAsia="Calibri" w:cstheme="minorHAnsi"/>
        </w:rPr>
        <w:t xml:space="preserve"> </w:t>
      </w:r>
      <w:r w:rsidRPr="00A26C26">
        <w:rPr>
          <w:rFonts w:eastAsia="Calibri" w:cstheme="minorHAnsi"/>
        </w:rPr>
        <w:t>młodych</w:t>
      </w:r>
      <w:r w:rsidR="003B50ED">
        <w:rPr>
          <w:rFonts w:eastAsia="Calibri" w:cstheme="minorHAnsi"/>
        </w:rPr>
        <w:t xml:space="preserve"> </w:t>
      </w:r>
      <w:r w:rsidRPr="00A26C26">
        <w:rPr>
          <w:rFonts w:eastAsia="Calibri" w:cstheme="minorHAnsi"/>
        </w:rPr>
        <w:t>osób,</w:t>
      </w:r>
      <w:r w:rsidR="003B50ED">
        <w:rPr>
          <w:rFonts w:eastAsia="Calibri" w:cstheme="minorHAnsi"/>
        </w:rPr>
        <w:t xml:space="preserve"> </w:t>
      </w:r>
      <w:r w:rsidRPr="00A26C26">
        <w:rPr>
          <w:rFonts w:eastAsia="Calibri" w:cstheme="minorHAnsi"/>
        </w:rPr>
        <w:t>seniorów</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osób</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niekorzystnej</w:t>
      </w:r>
      <w:r w:rsidR="003B50ED">
        <w:rPr>
          <w:rFonts w:eastAsia="Calibri" w:cstheme="minorHAnsi"/>
        </w:rPr>
        <w:t xml:space="preserve"> </w:t>
      </w:r>
      <w:r w:rsidRPr="00A26C26">
        <w:rPr>
          <w:rFonts w:eastAsia="Calibri" w:cstheme="minorHAnsi"/>
        </w:rPr>
        <w:t>sytuacji.</w:t>
      </w:r>
      <w:r w:rsidR="003B50ED">
        <w:rPr>
          <w:rFonts w:eastAsia="Calibri" w:cstheme="minorHAnsi"/>
        </w:rPr>
        <w:t xml:space="preserve"> </w:t>
      </w:r>
      <w:r w:rsidRPr="00A26C26">
        <w:rPr>
          <w:rFonts w:eastAsia="Calibri" w:cstheme="minorHAnsi"/>
        </w:rPr>
        <w:t>Ponadto,</w:t>
      </w:r>
      <w:r w:rsidR="003B50ED">
        <w:rPr>
          <w:rFonts w:eastAsia="Calibri" w:cstheme="minorHAnsi"/>
        </w:rPr>
        <w:t xml:space="preserve"> </w:t>
      </w:r>
      <w:r w:rsidRPr="00A26C26">
        <w:rPr>
          <w:rFonts w:eastAsia="Calibri" w:cstheme="minorHAnsi"/>
        </w:rPr>
        <w:t>proces</w:t>
      </w:r>
      <w:r w:rsidR="003B50ED">
        <w:rPr>
          <w:rFonts w:eastAsia="Calibri" w:cstheme="minorHAnsi"/>
        </w:rPr>
        <w:t xml:space="preserve"> </w:t>
      </w:r>
      <w:r w:rsidRPr="00A26C26">
        <w:rPr>
          <w:rFonts w:eastAsia="Calibri" w:cstheme="minorHAnsi"/>
        </w:rPr>
        <w:t>aktualizacji</w:t>
      </w:r>
      <w:r w:rsidR="003B50ED">
        <w:rPr>
          <w:rFonts w:eastAsia="Calibri" w:cstheme="minorHAnsi"/>
        </w:rPr>
        <w:t xml:space="preserve"> </w:t>
      </w:r>
      <w:r w:rsidRPr="00A26C26">
        <w:rPr>
          <w:rFonts w:eastAsia="Calibri" w:cstheme="minorHAnsi"/>
        </w:rPr>
        <w:t>LSR</w:t>
      </w:r>
      <w:r w:rsidR="003B50ED">
        <w:rPr>
          <w:rFonts w:eastAsia="Calibri" w:cstheme="minorHAnsi"/>
        </w:rPr>
        <w:t xml:space="preserve"> </w:t>
      </w:r>
      <w:r w:rsidRPr="00A26C26">
        <w:rPr>
          <w:rFonts w:eastAsia="Calibri" w:cstheme="minorHAnsi"/>
        </w:rPr>
        <w:t>będzie</w:t>
      </w:r>
      <w:r w:rsidR="003B50ED">
        <w:rPr>
          <w:rFonts w:eastAsia="Calibri" w:cstheme="minorHAnsi"/>
        </w:rPr>
        <w:t xml:space="preserve"> </w:t>
      </w:r>
      <w:r w:rsidRPr="00A26C26">
        <w:rPr>
          <w:rFonts w:eastAsia="Calibri" w:cstheme="minorHAnsi"/>
        </w:rPr>
        <w:lastRenderedPageBreak/>
        <w:t>ściśle</w:t>
      </w:r>
      <w:r w:rsidR="003B50ED">
        <w:rPr>
          <w:rFonts w:eastAsia="Calibri" w:cstheme="minorHAnsi"/>
        </w:rPr>
        <w:t xml:space="preserve"> </w:t>
      </w:r>
      <w:r w:rsidRPr="00A26C26">
        <w:rPr>
          <w:rFonts w:eastAsia="Calibri" w:cstheme="minorHAnsi"/>
        </w:rPr>
        <w:t>powiązany</w:t>
      </w:r>
      <w:r w:rsidR="003B50ED">
        <w:rPr>
          <w:rFonts w:eastAsia="Calibri" w:cstheme="minorHAnsi"/>
        </w:rPr>
        <w:t xml:space="preserve"> </w:t>
      </w:r>
      <w:r w:rsidRPr="00A26C26">
        <w:rPr>
          <w:rFonts w:eastAsia="Calibri" w:cstheme="minorHAnsi"/>
        </w:rPr>
        <w:t>z</w:t>
      </w:r>
      <w:r w:rsidR="003B50ED">
        <w:rPr>
          <w:rFonts w:eastAsia="Calibri" w:cstheme="minorHAnsi"/>
        </w:rPr>
        <w:t xml:space="preserve"> </w:t>
      </w:r>
      <w:r w:rsidRPr="00A26C26">
        <w:rPr>
          <w:rFonts w:eastAsia="Calibri" w:cstheme="minorHAnsi"/>
        </w:rPr>
        <w:t>procesem</w:t>
      </w:r>
      <w:r w:rsidR="003B50ED">
        <w:rPr>
          <w:rFonts w:eastAsia="Calibri" w:cstheme="minorHAnsi"/>
        </w:rPr>
        <w:t xml:space="preserve"> </w:t>
      </w:r>
      <w:r w:rsidRPr="00A26C26">
        <w:rPr>
          <w:rFonts w:eastAsia="Calibri" w:cstheme="minorHAnsi"/>
        </w:rPr>
        <w:t>informowania</w:t>
      </w:r>
      <w:r w:rsidR="003B50ED">
        <w:rPr>
          <w:rFonts w:eastAsia="Calibri" w:cstheme="minorHAnsi"/>
        </w:rPr>
        <w:t xml:space="preserve"> </w:t>
      </w:r>
      <w:r w:rsidRPr="00A26C26">
        <w:rPr>
          <w:rFonts w:eastAsia="Calibri" w:cstheme="minorHAnsi"/>
        </w:rPr>
        <w:t>o</w:t>
      </w:r>
      <w:r w:rsidR="003B50ED">
        <w:rPr>
          <w:rFonts w:eastAsia="Calibri" w:cstheme="minorHAnsi"/>
        </w:rPr>
        <w:t xml:space="preserve"> </w:t>
      </w:r>
      <w:r w:rsidRPr="00A26C26">
        <w:rPr>
          <w:rFonts w:eastAsia="Calibri" w:cstheme="minorHAnsi"/>
        </w:rPr>
        <w:t>postępach</w:t>
      </w:r>
      <w:r w:rsidR="003B50ED">
        <w:rPr>
          <w:rFonts w:eastAsia="Calibri" w:cstheme="minorHAnsi"/>
        </w:rPr>
        <w:t xml:space="preserve"> </w:t>
      </w:r>
      <w:r w:rsidRPr="00A26C26">
        <w:rPr>
          <w:rFonts w:eastAsia="Calibri" w:cstheme="minorHAnsi"/>
        </w:rPr>
        <w:t>wdrażania</w:t>
      </w:r>
      <w:r w:rsidR="003B50ED">
        <w:rPr>
          <w:rFonts w:eastAsia="Calibri" w:cstheme="minorHAnsi"/>
        </w:rPr>
        <w:t xml:space="preserve"> </w:t>
      </w:r>
      <w:r w:rsidRPr="00A26C26">
        <w:rPr>
          <w:rFonts w:eastAsia="Calibri" w:cstheme="minorHAnsi"/>
        </w:rPr>
        <w:t>LSR.</w:t>
      </w:r>
      <w:r w:rsidR="003B50ED">
        <w:rPr>
          <w:rFonts w:eastAsia="Calibri" w:cstheme="minorHAnsi"/>
        </w:rPr>
        <w:t xml:space="preserve"> </w:t>
      </w:r>
      <w:r w:rsidRPr="00A26C26">
        <w:rPr>
          <w:rFonts w:eastAsia="Calibri" w:cstheme="minorHAnsi"/>
        </w:rPr>
        <w:t>Nawet</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przypadku</w:t>
      </w:r>
      <w:r w:rsidR="003B50ED">
        <w:rPr>
          <w:rFonts w:eastAsia="Calibri" w:cstheme="minorHAnsi"/>
        </w:rPr>
        <w:t xml:space="preserve"> </w:t>
      </w:r>
      <w:r w:rsidRPr="00A26C26">
        <w:rPr>
          <w:rFonts w:eastAsia="Calibri" w:cstheme="minorHAnsi"/>
        </w:rPr>
        <w:t>braku</w:t>
      </w:r>
      <w:r w:rsidR="003B50ED">
        <w:rPr>
          <w:rFonts w:eastAsia="Calibri" w:cstheme="minorHAnsi"/>
        </w:rPr>
        <w:t xml:space="preserve"> </w:t>
      </w:r>
      <w:r w:rsidRPr="00A26C26">
        <w:rPr>
          <w:rFonts w:eastAsia="Calibri" w:cstheme="minorHAnsi"/>
        </w:rPr>
        <w:t>inicjatyw</w:t>
      </w:r>
      <w:r w:rsidR="003B50ED">
        <w:rPr>
          <w:rFonts w:eastAsia="Calibri" w:cstheme="minorHAnsi"/>
        </w:rPr>
        <w:t xml:space="preserve"> </w:t>
      </w:r>
      <w:r w:rsidRPr="00A26C26">
        <w:rPr>
          <w:rFonts w:eastAsia="Calibri" w:cstheme="minorHAnsi"/>
        </w:rPr>
        <w:t>zewnętrznych,</w:t>
      </w:r>
      <w:r w:rsidR="003B50ED">
        <w:rPr>
          <w:rFonts w:eastAsia="Calibri" w:cstheme="minorHAnsi"/>
        </w:rPr>
        <w:t xml:space="preserve"> </w:t>
      </w:r>
      <w:r w:rsidRPr="00A26C26">
        <w:rPr>
          <w:rFonts w:eastAsia="Calibri" w:cstheme="minorHAnsi"/>
        </w:rPr>
        <w:t>analiza</w:t>
      </w:r>
      <w:r w:rsidR="003B50ED">
        <w:rPr>
          <w:rFonts w:eastAsia="Calibri" w:cstheme="minorHAnsi"/>
        </w:rPr>
        <w:t xml:space="preserve"> </w:t>
      </w:r>
      <w:r w:rsidRPr="00A26C26">
        <w:rPr>
          <w:rFonts w:eastAsia="Calibri" w:cstheme="minorHAnsi"/>
        </w:rPr>
        <w:t>potrzeby</w:t>
      </w:r>
      <w:r w:rsidR="003B50ED">
        <w:rPr>
          <w:rFonts w:eastAsia="Calibri" w:cstheme="minorHAnsi"/>
        </w:rPr>
        <w:t xml:space="preserve"> </w:t>
      </w:r>
      <w:r w:rsidRPr="00A26C26">
        <w:rPr>
          <w:rFonts w:eastAsia="Calibri" w:cstheme="minorHAnsi"/>
        </w:rPr>
        <w:t>zmiany</w:t>
      </w:r>
      <w:r w:rsidR="003B50ED">
        <w:rPr>
          <w:rFonts w:eastAsia="Calibri" w:cstheme="minorHAnsi"/>
        </w:rPr>
        <w:t xml:space="preserve"> </w:t>
      </w:r>
      <w:r w:rsidRPr="00A26C26">
        <w:rPr>
          <w:rFonts w:eastAsia="Calibri" w:cstheme="minorHAnsi"/>
        </w:rPr>
        <w:t>LSR</w:t>
      </w:r>
      <w:r w:rsidR="003B50ED">
        <w:rPr>
          <w:rFonts w:eastAsia="Calibri" w:cstheme="minorHAnsi"/>
        </w:rPr>
        <w:t xml:space="preserve"> </w:t>
      </w:r>
      <w:r w:rsidRPr="00A26C26">
        <w:rPr>
          <w:rFonts w:eastAsia="Calibri" w:cstheme="minorHAnsi"/>
        </w:rPr>
        <w:t>będzie</w:t>
      </w:r>
      <w:r w:rsidR="003B50ED">
        <w:rPr>
          <w:rFonts w:eastAsia="Calibri" w:cstheme="minorHAnsi"/>
        </w:rPr>
        <w:t xml:space="preserve"> </w:t>
      </w:r>
      <w:r w:rsidRPr="00A26C26">
        <w:rPr>
          <w:rFonts w:eastAsia="Calibri" w:cstheme="minorHAnsi"/>
        </w:rPr>
        <w:t>przeprowadzana</w:t>
      </w:r>
      <w:r w:rsidR="003B50ED">
        <w:rPr>
          <w:rFonts w:eastAsia="Calibri" w:cstheme="minorHAnsi"/>
        </w:rPr>
        <w:t xml:space="preserve"> </w:t>
      </w:r>
      <w:r w:rsidRPr="00A26C26">
        <w:rPr>
          <w:rFonts w:eastAsia="Calibri" w:cstheme="minorHAnsi"/>
        </w:rPr>
        <w:t>co</w:t>
      </w:r>
      <w:r w:rsidR="003B50ED">
        <w:rPr>
          <w:rFonts w:eastAsia="Calibri" w:cstheme="minorHAnsi"/>
        </w:rPr>
        <w:t xml:space="preserve"> </w:t>
      </w:r>
      <w:r w:rsidRPr="00A26C26">
        <w:rPr>
          <w:rFonts w:eastAsia="Calibri" w:cstheme="minorHAnsi"/>
        </w:rPr>
        <w:t>najmniej</w:t>
      </w:r>
      <w:r w:rsidR="003B50ED">
        <w:rPr>
          <w:rFonts w:eastAsia="Calibri" w:cstheme="minorHAnsi"/>
        </w:rPr>
        <w:t xml:space="preserve"> </w:t>
      </w:r>
      <w:r w:rsidRPr="00A26C26">
        <w:rPr>
          <w:rFonts w:eastAsia="Calibri" w:cstheme="minorHAnsi"/>
        </w:rPr>
        <w:t>raz</w:t>
      </w:r>
      <w:r w:rsidR="003B50ED">
        <w:rPr>
          <w:rFonts w:eastAsia="Calibri" w:cstheme="minorHAnsi"/>
        </w:rPr>
        <w:t xml:space="preserve"> </w:t>
      </w:r>
      <w:r w:rsidRPr="00A26C26">
        <w:rPr>
          <w:rFonts w:eastAsia="Calibri" w:cstheme="minorHAnsi"/>
        </w:rPr>
        <w:t>na</w:t>
      </w:r>
      <w:r w:rsidR="003B50ED">
        <w:rPr>
          <w:rFonts w:eastAsia="Calibri" w:cstheme="minorHAnsi"/>
        </w:rPr>
        <w:t xml:space="preserve"> </w:t>
      </w:r>
      <w:r w:rsidRPr="00A26C26">
        <w:rPr>
          <w:rFonts w:eastAsia="Calibri" w:cstheme="minorHAnsi"/>
        </w:rPr>
        <w:t>dwa</w:t>
      </w:r>
      <w:r w:rsidR="003B50ED">
        <w:rPr>
          <w:rFonts w:eastAsia="Calibri" w:cstheme="minorHAnsi"/>
        </w:rPr>
        <w:t xml:space="preserve"> </w:t>
      </w:r>
      <w:r w:rsidRPr="00A26C26">
        <w:rPr>
          <w:rFonts w:eastAsia="Calibri" w:cstheme="minorHAnsi"/>
        </w:rPr>
        <w:t>lata</w:t>
      </w:r>
      <w:r w:rsidR="00581749">
        <w:rPr>
          <w:rFonts w:eastAsia="Calibri" w:cstheme="minorHAnsi"/>
        </w:rPr>
        <w:t>.</w:t>
      </w:r>
    </w:p>
    <w:p w14:paraId="2C9FAB36" w14:textId="77777777" w:rsidR="0035174A" w:rsidRDefault="0035174A" w:rsidP="00A26C26">
      <w:pPr>
        <w:spacing w:line="276" w:lineRule="auto"/>
        <w:jc w:val="both"/>
        <w:rPr>
          <w:rFonts w:eastAsia="Calibri" w:cstheme="minorHAnsi"/>
          <w:b/>
          <w:bCs/>
        </w:rPr>
      </w:pPr>
    </w:p>
    <w:p w14:paraId="1F83B39A" w14:textId="653C07C3" w:rsidR="00E2372E" w:rsidRPr="00A26C26" w:rsidRDefault="00E2372E" w:rsidP="00A26C26">
      <w:pPr>
        <w:spacing w:line="276" w:lineRule="auto"/>
        <w:jc w:val="both"/>
        <w:rPr>
          <w:rFonts w:eastAsia="Calibri" w:cstheme="minorHAnsi"/>
          <w:b/>
          <w:bCs/>
        </w:rPr>
      </w:pPr>
      <w:r w:rsidRPr="00A26C26">
        <w:rPr>
          <w:rFonts w:eastAsia="Calibri" w:cstheme="minorHAnsi"/>
          <w:b/>
          <w:bCs/>
        </w:rPr>
        <w:t>Wdrażanie</w:t>
      </w:r>
      <w:r w:rsidR="003B50ED">
        <w:rPr>
          <w:rFonts w:eastAsia="Calibri" w:cstheme="minorHAnsi"/>
          <w:b/>
          <w:bCs/>
        </w:rPr>
        <w:t xml:space="preserve"> </w:t>
      </w:r>
      <w:r w:rsidRPr="00A26C26">
        <w:rPr>
          <w:rFonts w:eastAsia="Calibri" w:cstheme="minorHAnsi"/>
          <w:b/>
          <w:bCs/>
        </w:rPr>
        <w:t>LSR</w:t>
      </w:r>
      <w:r w:rsidR="0035174A">
        <w:rPr>
          <w:rFonts w:eastAsia="Calibri" w:cstheme="minorHAnsi"/>
          <w:b/>
          <w:bCs/>
        </w:rPr>
        <w:t xml:space="preserve"> - </w:t>
      </w:r>
      <w:r w:rsidR="0035174A" w:rsidRPr="0035174A">
        <w:rPr>
          <w:rFonts w:eastAsia="Calibri" w:cstheme="minorHAnsi"/>
          <w:b/>
          <w:bCs/>
        </w:rPr>
        <w:t xml:space="preserve">Partycypacja w </w:t>
      </w:r>
      <w:r w:rsidR="0035174A">
        <w:rPr>
          <w:rFonts w:eastAsia="Calibri" w:cstheme="minorHAnsi"/>
          <w:b/>
          <w:bCs/>
        </w:rPr>
        <w:t xml:space="preserve">procesie </w:t>
      </w:r>
    </w:p>
    <w:p w14:paraId="01F0F1F0" w14:textId="49F45BFE" w:rsidR="00C71928" w:rsidRPr="00A26C26" w:rsidRDefault="00C71928" w:rsidP="00A26C26">
      <w:pPr>
        <w:spacing w:line="276" w:lineRule="auto"/>
        <w:ind w:firstLine="284"/>
        <w:jc w:val="both"/>
        <w:rPr>
          <w:rFonts w:cstheme="minorHAnsi"/>
        </w:rPr>
      </w:pPr>
      <w:r w:rsidRPr="00CD1159">
        <w:rPr>
          <w:rFonts w:cstheme="minorHAnsi"/>
        </w:rPr>
        <w:t>Moment</w:t>
      </w:r>
      <w:r w:rsidR="003B50ED" w:rsidRPr="00CD1159">
        <w:rPr>
          <w:rFonts w:cstheme="minorHAnsi"/>
        </w:rPr>
        <w:t xml:space="preserve"> </w:t>
      </w:r>
      <w:r w:rsidRPr="00CD1159">
        <w:rPr>
          <w:rFonts w:cstheme="minorHAnsi"/>
        </w:rPr>
        <w:t>podjęcia</w:t>
      </w:r>
      <w:r w:rsidR="003B50ED" w:rsidRPr="00CD1159">
        <w:rPr>
          <w:rFonts w:cstheme="minorHAnsi"/>
        </w:rPr>
        <w:t xml:space="preserve"> </w:t>
      </w:r>
      <w:r w:rsidRPr="00CD1159">
        <w:rPr>
          <w:rFonts w:cstheme="minorHAnsi"/>
        </w:rPr>
        <w:t>przez</w:t>
      </w:r>
      <w:r w:rsidR="003B50ED" w:rsidRPr="00CD1159">
        <w:rPr>
          <w:rFonts w:cstheme="minorHAnsi"/>
        </w:rPr>
        <w:t xml:space="preserve"> </w:t>
      </w:r>
      <w:r w:rsidRPr="00CD1159">
        <w:rPr>
          <w:rFonts w:cstheme="minorHAnsi"/>
        </w:rPr>
        <w:t>Walne</w:t>
      </w:r>
      <w:r w:rsidR="003B50ED" w:rsidRPr="00CD1159">
        <w:rPr>
          <w:rFonts w:cstheme="minorHAnsi"/>
        </w:rPr>
        <w:t xml:space="preserve"> </w:t>
      </w:r>
      <w:r w:rsidRPr="00CD1159">
        <w:rPr>
          <w:rFonts w:cstheme="minorHAnsi"/>
        </w:rPr>
        <w:t>Zebranie</w:t>
      </w:r>
      <w:r w:rsidR="003B50ED" w:rsidRPr="00CD1159">
        <w:rPr>
          <w:rFonts w:cstheme="minorHAnsi"/>
        </w:rPr>
        <w:t xml:space="preserve"> </w:t>
      </w:r>
      <w:r w:rsidRPr="00CD1159">
        <w:rPr>
          <w:rFonts w:cstheme="minorHAnsi"/>
        </w:rPr>
        <w:t>Członków</w:t>
      </w:r>
      <w:r w:rsidR="003B50ED" w:rsidRPr="00CD1159">
        <w:rPr>
          <w:rFonts w:cstheme="minorHAnsi"/>
        </w:rPr>
        <w:t xml:space="preserve"> </w:t>
      </w:r>
      <w:r w:rsidRPr="00CD1159">
        <w:rPr>
          <w:rFonts w:cstheme="minorHAnsi"/>
        </w:rPr>
        <w:t>uchwały</w:t>
      </w:r>
      <w:r w:rsidR="003B50ED" w:rsidRPr="00CD1159">
        <w:rPr>
          <w:rFonts w:cstheme="minorHAnsi"/>
        </w:rPr>
        <w:t xml:space="preserve"> </w:t>
      </w:r>
      <w:r w:rsidRPr="00CD1159">
        <w:rPr>
          <w:rFonts w:cstheme="minorHAnsi"/>
        </w:rPr>
        <w:t>o</w:t>
      </w:r>
      <w:r w:rsidR="003B50ED" w:rsidRPr="00CD1159">
        <w:rPr>
          <w:rFonts w:cstheme="minorHAnsi"/>
        </w:rPr>
        <w:t xml:space="preserve"> </w:t>
      </w:r>
      <w:r w:rsidRPr="00CD1159">
        <w:rPr>
          <w:rFonts w:cstheme="minorHAnsi"/>
        </w:rPr>
        <w:t>przyjęciu</w:t>
      </w:r>
      <w:r w:rsidR="003B50ED" w:rsidRPr="00CD1159">
        <w:rPr>
          <w:rFonts w:cstheme="minorHAnsi"/>
        </w:rPr>
        <w:t xml:space="preserve"> </w:t>
      </w:r>
      <w:r w:rsidR="00AB742D" w:rsidRPr="00CD1159">
        <w:rPr>
          <w:rFonts w:cstheme="minorHAnsi"/>
        </w:rPr>
        <w:t xml:space="preserve">LSR </w:t>
      </w:r>
      <w:r w:rsidRPr="00CD1159">
        <w:rPr>
          <w:rFonts w:cstheme="minorHAnsi"/>
        </w:rPr>
        <w:t>nie</w:t>
      </w:r>
      <w:r w:rsidR="003B50ED" w:rsidRPr="00CD1159">
        <w:rPr>
          <w:rFonts w:cstheme="minorHAnsi"/>
        </w:rPr>
        <w:t xml:space="preserve"> </w:t>
      </w:r>
      <w:r w:rsidRPr="00CD1159">
        <w:rPr>
          <w:rFonts w:cstheme="minorHAnsi"/>
        </w:rPr>
        <w:t>jest</w:t>
      </w:r>
      <w:r w:rsidR="003B50ED" w:rsidRPr="00CD1159">
        <w:rPr>
          <w:rFonts w:cstheme="minorHAnsi"/>
        </w:rPr>
        <w:t xml:space="preserve"> </w:t>
      </w:r>
      <w:r w:rsidRPr="00CD1159">
        <w:rPr>
          <w:rFonts w:cstheme="minorHAnsi"/>
        </w:rPr>
        <w:t>równoznaczny</w:t>
      </w:r>
      <w:r w:rsidR="003B50ED" w:rsidRPr="00CD1159">
        <w:rPr>
          <w:rFonts w:cstheme="minorHAnsi"/>
        </w:rPr>
        <w:t xml:space="preserve"> </w:t>
      </w:r>
      <w:r w:rsidRPr="00CD1159">
        <w:rPr>
          <w:rFonts w:cstheme="minorHAnsi"/>
        </w:rPr>
        <w:t>z</w:t>
      </w:r>
      <w:r w:rsidR="003B50ED" w:rsidRPr="00CD1159">
        <w:rPr>
          <w:rFonts w:cstheme="minorHAnsi"/>
        </w:rPr>
        <w:t xml:space="preserve"> </w:t>
      </w:r>
      <w:r w:rsidRPr="00CD1159">
        <w:rPr>
          <w:rFonts w:cstheme="minorHAnsi"/>
        </w:rPr>
        <w:t>zakończeniem</w:t>
      </w:r>
      <w:r w:rsidR="003B50ED" w:rsidRPr="00CD1159">
        <w:rPr>
          <w:rFonts w:cstheme="minorHAnsi"/>
        </w:rPr>
        <w:t xml:space="preserve"> </w:t>
      </w:r>
      <w:r w:rsidRPr="00CD1159">
        <w:rPr>
          <w:rFonts w:cstheme="minorHAnsi"/>
        </w:rPr>
        <w:t>współpracy</w:t>
      </w:r>
      <w:r w:rsidR="003B50ED" w:rsidRPr="00CD1159">
        <w:rPr>
          <w:rFonts w:cstheme="minorHAnsi"/>
        </w:rPr>
        <w:t xml:space="preserve"> </w:t>
      </w:r>
      <w:r w:rsidRPr="00CD1159">
        <w:rPr>
          <w:rFonts w:cstheme="minorHAnsi"/>
        </w:rPr>
        <w:t>z</w:t>
      </w:r>
      <w:r w:rsidR="003B50ED" w:rsidRPr="00CD1159">
        <w:rPr>
          <w:rFonts w:cstheme="minorHAnsi"/>
        </w:rPr>
        <w:t xml:space="preserve"> </w:t>
      </w:r>
      <w:r w:rsidRPr="00CD1159">
        <w:rPr>
          <w:rFonts w:cstheme="minorHAnsi"/>
        </w:rPr>
        <w:t>członkami</w:t>
      </w:r>
      <w:r w:rsidR="003B50ED" w:rsidRPr="00CD1159">
        <w:rPr>
          <w:rFonts w:cstheme="minorHAnsi"/>
        </w:rPr>
        <w:t xml:space="preserve"> </w:t>
      </w:r>
      <w:r w:rsidRPr="00CD1159">
        <w:rPr>
          <w:rFonts w:cstheme="minorHAnsi"/>
        </w:rPr>
        <w:t>LGD</w:t>
      </w:r>
      <w:r w:rsidR="003B50ED" w:rsidRPr="00CD1159">
        <w:rPr>
          <w:rFonts w:cstheme="minorHAnsi"/>
        </w:rPr>
        <w:t xml:space="preserve"> </w:t>
      </w:r>
      <w:r w:rsidRPr="00CD1159">
        <w:rPr>
          <w:rFonts w:cstheme="minorHAnsi"/>
        </w:rPr>
        <w:t>oraz</w:t>
      </w:r>
      <w:r w:rsidR="003B50ED" w:rsidRPr="00CD1159">
        <w:rPr>
          <w:rFonts w:cstheme="minorHAnsi"/>
        </w:rPr>
        <w:t xml:space="preserve"> </w:t>
      </w:r>
      <w:r w:rsidRPr="00CD1159">
        <w:rPr>
          <w:rFonts w:cstheme="minorHAnsi"/>
        </w:rPr>
        <w:t>lokalną</w:t>
      </w:r>
      <w:r w:rsidR="003B50ED" w:rsidRPr="00CD1159">
        <w:rPr>
          <w:rFonts w:cstheme="minorHAnsi"/>
        </w:rPr>
        <w:t xml:space="preserve"> </w:t>
      </w:r>
      <w:r w:rsidRPr="00CD1159">
        <w:rPr>
          <w:rFonts w:cstheme="minorHAnsi"/>
        </w:rPr>
        <w:t>społecznością.</w:t>
      </w:r>
      <w:r w:rsidR="003B50ED" w:rsidRPr="00CD1159">
        <w:rPr>
          <w:rFonts w:cstheme="minorHAnsi"/>
        </w:rPr>
        <w:t xml:space="preserve"> </w:t>
      </w:r>
      <w:r w:rsidRPr="00CD1159">
        <w:rPr>
          <w:rFonts w:cstheme="minorHAnsi"/>
        </w:rPr>
        <w:t>Funkcjonowanie</w:t>
      </w:r>
      <w:r w:rsidR="003B50ED" w:rsidRPr="00CD1159">
        <w:rPr>
          <w:rFonts w:cstheme="minorHAnsi"/>
        </w:rPr>
        <w:t xml:space="preserve"> </w:t>
      </w:r>
      <w:r w:rsidR="00AB742D" w:rsidRPr="00CD1159">
        <w:rPr>
          <w:rFonts w:cstheme="minorHAnsi"/>
        </w:rPr>
        <w:t xml:space="preserve">Stowarzyszenia „Solidarni w Partnerstwie” </w:t>
      </w:r>
      <w:r w:rsidRPr="00CD1159">
        <w:rPr>
          <w:rFonts w:cstheme="minorHAnsi"/>
        </w:rPr>
        <w:t>na</w:t>
      </w:r>
      <w:r w:rsidR="003B50ED" w:rsidRPr="00CD1159">
        <w:rPr>
          <w:rFonts w:cstheme="minorHAnsi"/>
        </w:rPr>
        <w:t xml:space="preserve"> </w:t>
      </w:r>
      <w:r w:rsidRPr="00CD1159">
        <w:rPr>
          <w:rFonts w:cstheme="minorHAnsi"/>
        </w:rPr>
        <w:t>każdym</w:t>
      </w:r>
      <w:r w:rsidR="003B50ED" w:rsidRPr="00CD1159">
        <w:rPr>
          <w:rFonts w:cstheme="minorHAnsi"/>
        </w:rPr>
        <w:t xml:space="preserve"> </w:t>
      </w:r>
      <w:r w:rsidRPr="00CD1159">
        <w:rPr>
          <w:rFonts w:cstheme="minorHAnsi"/>
        </w:rPr>
        <w:t>etapie</w:t>
      </w:r>
      <w:r w:rsidR="003B50ED" w:rsidRPr="00CD1159">
        <w:rPr>
          <w:rFonts w:cstheme="minorHAnsi"/>
        </w:rPr>
        <w:t xml:space="preserve"> </w:t>
      </w:r>
      <w:r w:rsidRPr="00CD1159">
        <w:rPr>
          <w:rFonts w:cstheme="minorHAnsi"/>
        </w:rPr>
        <w:t>realizacji</w:t>
      </w:r>
      <w:r w:rsidR="003B50ED" w:rsidRPr="00CD1159">
        <w:rPr>
          <w:rFonts w:cstheme="minorHAnsi"/>
        </w:rPr>
        <w:t xml:space="preserve"> </w:t>
      </w:r>
      <w:r w:rsidRPr="00CD1159">
        <w:rPr>
          <w:rFonts w:cstheme="minorHAnsi"/>
        </w:rPr>
        <w:t>działań</w:t>
      </w:r>
      <w:r w:rsidR="003B50ED" w:rsidRPr="00CD1159">
        <w:rPr>
          <w:rFonts w:cstheme="minorHAnsi"/>
        </w:rPr>
        <w:t xml:space="preserve"> </w:t>
      </w:r>
      <w:r w:rsidRPr="00CD1159">
        <w:rPr>
          <w:rFonts w:cstheme="minorHAnsi"/>
        </w:rPr>
        <w:t>statutowych</w:t>
      </w:r>
      <w:r w:rsidR="00AB742D" w:rsidRPr="00CD1159">
        <w:rPr>
          <w:rFonts w:cstheme="minorHAnsi"/>
        </w:rPr>
        <w:t>,</w:t>
      </w:r>
      <w:r w:rsidR="003B50ED" w:rsidRPr="00CD1159">
        <w:rPr>
          <w:rFonts w:cstheme="minorHAnsi"/>
        </w:rPr>
        <w:t xml:space="preserve"> </w:t>
      </w:r>
      <w:r w:rsidRPr="00CD1159">
        <w:rPr>
          <w:rFonts w:cstheme="minorHAnsi"/>
        </w:rPr>
        <w:t>jak</w:t>
      </w:r>
      <w:r w:rsidR="003B50ED" w:rsidRPr="00CD1159">
        <w:rPr>
          <w:rFonts w:cstheme="minorHAnsi"/>
        </w:rPr>
        <w:t xml:space="preserve"> </w:t>
      </w:r>
      <w:r w:rsidR="00AB742D" w:rsidRPr="00CD1159">
        <w:rPr>
          <w:rFonts w:cstheme="minorHAnsi"/>
        </w:rPr>
        <w:t xml:space="preserve">również </w:t>
      </w:r>
      <w:r w:rsidRPr="00CD1159">
        <w:rPr>
          <w:rFonts w:cstheme="minorHAnsi"/>
        </w:rPr>
        <w:t>wdrażania</w:t>
      </w:r>
      <w:r w:rsidR="003B50ED" w:rsidRPr="00CD1159">
        <w:rPr>
          <w:rFonts w:cstheme="minorHAnsi"/>
        </w:rPr>
        <w:t xml:space="preserve"> </w:t>
      </w:r>
      <w:r w:rsidRPr="00CD1159">
        <w:rPr>
          <w:rFonts w:cstheme="minorHAnsi"/>
        </w:rPr>
        <w:t>LSR</w:t>
      </w:r>
      <w:r w:rsidR="003B50ED" w:rsidRPr="00CD1159">
        <w:rPr>
          <w:rFonts w:cstheme="minorHAnsi"/>
        </w:rPr>
        <w:t xml:space="preserve"> </w:t>
      </w:r>
      <w:r w:rsidRPr="00CD1159">
        <w:rPr>
          <w:rFonts w:cstheme="minorHAnsi"/>
        </w:rPr>
        <w:t>jest</w:t>
      </w:r>
      <w:r w:rsidR="003B50ED" w:rsidRPr="00CD1159">
        <w:rPr>
          <w:rFonts w:cstheme="minorHAnsi"/>
        </w:rPr>
        <w:t xml:space="preserve"> </w:t>
      </w:r>
      <w:r w:rsidRPr="00CD1159">
        <w:rPr>
          <w:rFonts w:cstheme="minorHAnsi"/>
        </w:rPr>
        <w:t>oparte</w:t>
      </w:r>
      <w:r w:rsidR="003B50ED" w:rsidRPr="00CD1159">
        <w:rPr>
          <w:rFonts w:cstheme="minorHAnsi"/>
        </w:rPr>
        <w:t xml:space="preserve"> </w:t>
      </w:r>
      <w:r w:rsidRPr="00CD1159">
        <w:rPr>
          <w:rFonts w:cstheme="minorHAnsi"/>
        </w:rPr>
        <w:t>na</w:t>
      </w:r>
      <w:r w:rsidR="003B50ED" w:rsidRPr="00CD1159">
        <w:rPr>
          <w:rFonts w:cstheme="minorHAnsi"/>
        </w:rPr>
        <w:t xml:space="preserve"> </w:t>
      </w:r>
      <w:r w:rsidRPr="00CD1159">
        <w:rPr>
          <w:rFonts w:cstheme="minorHAnsi"/>
        </w:rPr>
        <w:t>pogłębionym</w:t>
      </w:r>
      <w:r w:rsidR="003B50ED" w:rsidRPr="00CD1159">
        <w:rPr>
          <w:rFonts w:cstheme="minorHAnsi"/>
        </w:rPr>
        <w:t xml:space="preserve"> </w:t>
      </w:r>
      <w:r w:rsidRPr="00CD1159">
        <w:rPr>
          <w:rFonts w:cstheme="minorHAnsi"/>
        </w:rPr>
        <w:t>partnerstwie</w:t>
      </w:r>
      <w:r w:rsidR="003B50ED" w:rsidRPr="00CD1159">
        <w:rPr>
          <w:rFonts w:cstheme="minorHAnsi"/>
        </w:rPr>
        <w:t xml:space="preserve"> </w:t>
      </w:r>
      <w:r w:rsidRPr="00CD1159">
        <w:rPr>
          <w:rFonts w:cstheme="minorHAnsi"/>
        </w:rPr>
        <w:t>i</w:t>
      </w:r>
      <w:r w:rsidR="003B50ED" w:rsidRPr="00CD1159">
        <w:rPr>
          <w:rFonts w:cstheme="minorHAnsi"/>
        </w:rPr>
        <w:t xml:space="preserve"> </w:t>
      </w:r>
      <w:r w:rsidRPr="00CD1159">
        <w:rPr>
          <w:rFonts w:cstheme="minorHAnsi"/>
        </w:rPr>
        <w:t>skutecznej</w:t>
      </w:r>
      <w:r w:rsidR="003B50ED" w:rsidRPr="00CD1159">
        <w:rPr>
          <w:rFonts w:cstheme="minorHAnsi"/>
        </w:rPr>
        <w:t xml:space="preserve"> </w:t>
      </w:r>
      <w:r w:rsidRPr="00CD1159">
        <w:rPr>
          <w:rFonts w:cstheme="minorHAnsi"/>
        </w:rPr>
        <w:t>ale</w:t>
      </w:r>
      <w:r w:rsidR="003B50ED" w:rsidRPr="00CD1159">
        <w:rPr>
          <w:rFonts w:cstheme="minorHAnsi"/>
        </w:rPr>
        <w:t xml:space="preserve"> </w:t>
      </w:r>
      <w:r w:rsidRPr="00CD1159">
        <w:rPr>
          <w:rFonts w:cstheme="minorHAnsi"/>
        </w:rPr>
        <w:t>przyjaznej</w:t>
      </w:r>
      <w:r w:rsidR="003B50ED" w:rsidRPr="00CD1159">
        <w:rPr>
          <w:rFonts w:cstheme="minorHAnsi"/>
        </w:rPr>
        <w:t xml:space="preserve"> </w:t>
      </w:r>
      <w:r w:rsidRPr="00CD1159">
        <w:rPr>
          <w:rFonts w:cstheme="minorHAnsi"/>
        </w:rPr>
        <w:t>komunikacji.</w:t>
      </w:r>
      <w:r w:rsidR="003B50ED" w:rsidRPr="00CD1159">
        <w:rPr>
          <w:rFonts w:cstheme="minorHAnsi"/>
        </w:rPr>
        <w:t xml:space="preserve"> </w:t>
      </w:r>
      <w:r w:rsidRPr="00CD1159">
        <w:rPr>
          <w:rFonts w:cstheme="minorHAnsi"/>
        </w:rPr>
        <w:t>Wyraża</w:t>
      </w:r>
      <w:r w:rsidR="003B50ED" w:rsidRPr="00CD1159">
        <w:rPr>
          <w:rFonts w:cstheme="minorHAnsi"/>
        </w:rPr>
        <w:t xml:space="preserve"> </w:t>
      </w:r>
      <w:r w:rsidRPr="00CD1159">
        <w:rPr>
          <w:rFonts w:cstheme="minorHAnsi"/>
        </w:rPr>
        <w:t>się</w:t>
      </w:r>
      <w:r w:rsidR="003B50ED" w:rsidRPr="00CD1159">
        <w:rPr>
          <w:rFonts w:cstheme="minorHAnsi"/>
        </w:rPr>
        <w:t xml:space="preserve"> </w:t>
      </w:r>
      <w:r w:rsidRPr="00CD1159">
        <w:rPr>
          <w:rFonts w:cstheme="minorHAnsi"/>
        </w:rPr>
        <w:t>to</w:t>
      </w:r>
      <w:r w:rsidR="003B50ED" w:rsidRPr="00CD1159">
        <w:rPr>
          <w:rFonts w:cstheme="minorHAnsi"/>
        </w:rPr>
        <w:t xml:space="preserve"> </w:t>
      </w:r>
      <w:r w:rsidRPr="00CD1159">
        <w:rPr>
          <w:rFonts w:cstheme="minorHAnsi"/>
        </w:rPr>
        <w:t>przede</w:t>
      </w:r>
      <w:r w:rsidR="003B50ED" w:rsidRPr="00CD1159">
        <w:rPr>
          <w:rFonts w:cstheme="minorHAnsi"/>
        </w:rPr>
        <w:t xml:space="preserve"> </w:t>
      </w:r>
      <w:r w:rsidRPr="00CD1159">
        <w:rPr>
          <w:rFonts w:cstheme="minorHAnsi"/>
        </w:rPr>
        <w:t>wszystkim</w:t>
      </w:r>
      <w:r w:rsidR="003B50ED" w:rsidRPr="00CD1159">
        <w:rPr>
          <w:rFonts w:cstheme="minorHAnsi"/>
        </w:rPr>
        <w:t xml:space="preserve"> </w:t>
      </w:r>
      <w:r w:rsidRPr="00CD1159">
        <w:rPr>
          <w:rFonts w:cstheme="minorHAnsi"/>
        </w:rPr>
        <w:t>w</w:t>
      </w:r>
      <w:r w:rsidR="003B50ED" w:rsidRPr="00CD1159">
        <w:rPr>
          <w:rFonts w:cstheme="minorHAnsi"/>
        </w:rPr>
        <w:t xml:space="preserve"> </w:t>
      </w:r>
      <w:r w:rsidRPr="00CD1159">
        <w:rPr>
          <w:rFonts w:cstheme="minorHAnsi"/>
        </w:rPr>
        <w:t>stosowaniu</w:t>
      </w:r>
      <w:r w:rsidR="003B50ED" w:rsidRPr="00CD1159">
        <w:rPr>
          <w:rFonts w:cstheme="minorHAnsi"/>
        </w:rPr>
        <w:t xml:space="preserve"> </w:t>
      </w:r>
      <w:r w:rsidRPr="00CD1159">
        <w:rPr>
          <w:rFonts w:cstheme="minorHAnsi"/>
        </w:rPr>
        <w:t>różnorodnych</w:t>
      </w:r>
      <w:r w:rsidR="003B50ED" w:rsidRPr="00CD1159">
        <w:rPr>
          <w:rFonts w:cstheme="minorHAnsi"/>
        </w:rPr>
        <w:t xml:space="preserve"> </w:t>
      </w:r>
      <w:r w:rsidRPr="00CD1159">
        <w:rPr>
          <w:rFonts w:cstheme="minorHAnsi"/>
        </w:rPr>
        <w:t>form</w:t>
      </w:r>
      <w:r w:rsidR="003B50ED" w:rsidRPr="00CD1159">
        <w:rPr>
          <w:rFonts w:cstheme="minorHAnsi"/>
        </w:rPr>
        <w:t xml:space="preserve"> </w:t>
      </w:r>
      <w:r w:rsidRPr="00CD1159">
        <w:rPr>
          <w:rFonts w:cstheme="minorHAnsi"/>
        </w:rPr>
        <w:t>komunikacji</w:t>
      </w:r>
      <w:r w:rsidR="003B50ED" w:rsidRPr="00CD1159">
        <w:rPr>
          <w:rFonts w:cstheme="minorHAnsi"/>
        </w:rPr>
        <w:t xml:space="preserve"> </w:t>
      </w:r>
      <w:r w:rsidRPr="00CD1159">
        <w:rPr>
          <w:rFonts w:cstheme="minorHAnsi"/>
        </w:rPr>
        <w:t>(nie</w:t>
      </w:r>
      <w:r w:rsidR="003B50ED" w:rsidRPr="00CD1159">
        <w:rPr>
          <w:rFonts w:cstheme="minorHAnsi"/>
        </w:rPr>
        <w:t xml:space="preserve"> </w:t>
      </w:r>
      <w:r w:rsidRPr="00CD1159">
        <w:rPr>
          <w:rFonts w:cstheme="minorHAnsi"/>
        </w:rPr>
        <w:t>tylko</w:t>
      </w:r>
      <w:r w:rsidR="003B50ED" w:rsidRPr="00CD1159">
        <w:rPr>
          <w:rFonts w:cstheme="minorHAnsi"/>
        </w:rPr>
        <w:t xml:space="preserve"> </w:t>
      </w:r>
      <w:r w:rsidRPr="00CD1159">
        <w:rPr>
          <w:rFonts w:cstheme="minorHAnsi"/>
        </w:rPr>
        <w:t>formalnych),</w:t>
      </w:r>
      <w:r w:rsidR="003B50ED" w:rsidRPr="00CD1159">
        <w:rPr>
          <w:rFonts w:cstheme="minorHAnsi"/>
        </w:rPr>
        <w:t xml:space="preserve"> </w:t>
      </w:r>
      <w:r w:rsidRPr="00CD1159">
        <w:rPr>
          <w:rFonts w:cstheme="minorHAnsi"/>
        </w:rPr>
        <w:t>kolegialnym</w:t>
      </w:r>
      <w:r w:rsidR="003B50ED" w:rsidRPr="00CD1159">
        <w:rPr>
          <w:rFonts w:cstheme="minorHAnsi"/>
        </w:rPr>
        <w:t xml:space="preserve"> </w:t>
      </w:r>
      <w:r w:rsidRPr="00CD1159">
        <w:rPr>
          <w:rFonts w:cstheme="minorHAnsi"/>
        </w:rPr>
        <w:t>sposobie</w:t>
      </w:r>
      <w:r w:rsidR="003B50ED" w:rsidRPr="00CD1159">
        <w:rPr>
          <w:rFonts w:cstheme="minorHAnsi"/>
        </w:rPr>
        <w:t xml:space="preserve"> </w:t>
      </w:r>
      <w:r w:rsidRPr="00CD1159">
        <w:rPr>
          <w:rFonts w:cstheme="minorHAnsi"/>
        </w:rPr>
        <w:t>podejmowania</w:t>
      </w:r>
      <w:r w:rsidR="003B50ED" w:rsidRPr="00CD1159">
        <w:rPr>
          <w:rFonts w:cstheme="minorHAnsi"/>
        </w:rPr>
        <w:t xml:space="preserve"> </w:t>
      </w:r>
      <w:r w:rsidRPr="00CD1159">
        <w:rPr>
          <w:rFonts w:cstheme="minorHAnsi"/>
        </w:rPr>
        <w:t>decyzji</w:t>
      </w:r>
      <w:r w:rsidR="003B50ED" w:rsidRPr="00CD1159">
        <w:rPr>
          <w:rFonts w:cstheme="minorHAnsi"/>
        </w:rPr>
        <w:t xml:space="preserve"> </w:t>
      </w:r>
      <w:r w:rsidRPr="00CD1159">
        <w:rPr>
          <w:rFonts w:cstheme="minorHAnsi"/>
        </w:rPr>
        <w:t>(od</w:t>
      </w:r>
      <w:r w:rsidR="003B50ED" w:rsidRPr="00CD1159">
        <w:rPr>
          <w:rFonts w:cstheme="minorHAnsi"/>
        </w:rPr>
        <w:t xml:space="preserve"> </w:t>
      </w:r>
      <w:r w:rsidRPr="00CD1159">
        <w:rPr>
          <w:rFonts w:cstheme="minorHAnsi"/>
        </w:rPr>
        <w:t>nowego</w:t>
      </w:r>
      <w:r w:rsidR="003B50ED" w:rsidRPr="00CD1159">
        <w:rPr>
          <w:rFonts w:cstheme="minorHAnsi"/>
        </w:rPr>
        <w:t xml:space="preserve"> </w:t>
      </w:r>
      <w:r w:rsidRPr="00CD1159">
        <w:rPr>
          <w:rFonts w:cstheme="minorHAnsi"/>
        </w:rPr>
        <w:t>okresu</w:t>
      </w:r>
      <w:r w:rsidR="003B50ED" w:rsidRPr="00CD1159">
        <w:rPr>
          <w:rFonts w:cstheme="minorHAnsi"/>
        </w:rPr>
        <w:t xml:space="preserve"> </w:t>
      </w:r>
      <w:r w:rsidRPr="00CD1159">
        <w:rPr>
          <w:rFonts w:cstheme="minorHAnsi"/>
        </w:rPr>
        <w:t>programowania</w:t>
      </w:r>
      <w:r w:rsidR="003B50ED" w:rsidRPr="00CD1159">
        <w:rPr>
          <w:rFonts w:cstheme="minorHAnsi"/>
        </w:rPr>
        <w:t xml:space="preserve"> </w:t>
      </w:r>
      <w:r w:rsidRPr="00CD1159">
        <w:rPr>
          <w:rFonts w:cstheme="minorHAnsi"/>
        </w:rPr>
        <w:t>nowością</w:t>
      </w:r>
      <w:r w:rsidR="003B50ED" w:rsidRPr="00CD1159">
        <w:rPr>
          <w:rFonts w:cstheme="minorHAnsi"/>
        </w:rPr>
        <w:t xml:space="preserve"> </w:t>
      </w:r>
      <w:r w:rsidRPr="00CD1159">
        <w:rPr>
          <w:rFonts w:cstheme="minorHAnsi"/>
        </w:rPr>
        <w:t>na</w:t>
      </w:r>
      <w:r w:rsidR="003B50ED" w:rsidRPr="00CD1159">
        <w:rPr>
          <w:rFonts w:cstheme="minorHAnsi"/>
        </w:rPr>
        <w:t xml:space="preserve"> </w:t>
      </w:r>
      <w:r w:rsidRPr="00CD1159">
        <w:rPr>
          <w:rFonts w:cstheme="minorHAnsi"/>
        </w:rPr>
        <w:t>miarę</w:t>
      </w:r>
      <w:r w:rsidR="003B50ED" w:rsidRPr="00CD1159">
        <w:rPr>
          <w:rFonts w:cstheme="minorHAnsi"/>
        </w:rPr>
        <w:t xml:space="preserve"> </w:t>
      </w:r>
      <w:r w:rsidRPr="00CD1159">
        <w:rPr>
          <w:rFonts w:cstheme="minorHAnsi"/>
        </w:rPr>
        <w:t>LGD</w:t>
      </w:r>
      <w:r w:rsidR="003B50ED" w:rsidRPr="00CD1159">
        <w:rPr>
          <w:rFonts w:cstheme="minorHAnsi"/>
        </w:rPr>
        <w:t xml:space="preserve"> </w:t>
      </w:r>
      <w:r w:rsidRPr="00CD1159">
        <w:rPr>
          <w:rFonts w:cstheme="minorHAnsi"/>
        </w:rPr>
        <w:t>jest</w:t>
      </w:r>
      <w:r w:rsidR="003B50ED" w:rsidRPr="00CD1159">
        <w:rPr>
          <w:rFonts w:cstheme="minorHAnsi"/>
        </w:rPr>
        <w:t xml:space="preserve"> </w:t>
      </w:r>
      <w:r w:rsidRPr="00CD1159">
        <w:rPr>
          <w:rFonts w:cstheme="minorHAnsi"/>
        </w:rPr>
        <w:t>formuła</w:t>
      </w:r>
      <w:r w:rsidR="003B50ED" w:rsidRPr="00CD1159">
        <w:rPr>
          <w:rFonts w:cstheme="minorHAnsi"/>
        </w:rPr>
        <w:t xml:space="preserve"> </w:t>
      </w:r>
      <w:r w:rsidRPr="00CD1159">
        <w:rPr>
          <w:rFonts w:cstheme="minorHAnsi"/>
        </w:rPr>
        <w:t>zespołów</w:t>
      </w:r>
      <w:r w:rsidR="003B50ED" w:rsidRPr="00CD1159">
        <w:rPr>
          <w:rFonts w:cstheme="minorHAnsi"/>
        </w:rPr>
        <w:t xml:space="preserve"> </w:t>
      </w:r>
      <w:r w:rsidRPr="00CD1159">
        <w:rPr>
          <w:rFonts w:cstheme="minorHAnsi"/>
        </w:rPr>
        <w:t>i</w:t>
      </w:r>
      <w:r w:rsidR="003B50ED" w:rsidRPr="00CD1159">
        <w:rPr>
          <w:rFonts w:cstheme="minorHAnsi"/>
        </w:rPr>
        <w:t xml:space="preserve"> </w:t>
      </w:r>
      <w:r w:rsidRPr="00CD1159">
        <w:rPr>
          <w:rFonts w:cstheme="minorHAnsi"/>
        </w:rPr>
        <w:t>grup</w:t>
      </w:r>
      <w:r w:rsidR="003B50ED" w:rsidRPr="00CD1159">
        <w:rPr>
          <w:rFonts w:cstheme="minorHAnsi"/>
        </w:rPr>
        <w:t xml:space="preserve"> </w:t>
      </w:r>
      <w:r w:rsidRPr="00CD1159">
        <w:rPr>
          <w:rFonts w:cstheme="minorHAnsi"/>
        </w:rPr>
        <w:t>roboczych,</w:t>
      </w:r>
      <w:r w:rsidR="003B50ED" w:rsidRPr="00CD1159">
        <w:rPr>
          <w:rFonts w:cstheme="minorHAnsi"/>
        </w:rPr>
        <w:t xml:space="preserve"> </w:t>
      </w:r>
      <w:r w:rsidRPr="00CD1159">
        <w:rPr>
          <w:rFonts w:cstheme="minorHAnsi"/>
        </w:rPr>
        <w:t>których</w:t>
      </w:r>
      <w:r w:rsidR="003B50ED" w:rsidRPr="00CD1159">
        <w:rPr>
          <w:rFonts w:cstheme="minorHAnsi"/>
        </w:rPr>
        <w:t xml:space="preserve"> </w:t>
      </w:r>
      <w:r w:rsidRPr="00CD1159">
        <w:rPr>
          <w:rFonts w:cstheme="minorHAnsi"/>
        </w:rPr>
        <w:t>zadaniem</w:t>
      </w:r>
      <w:r w:rsidR="003B50ED" w:rsidRPr="00CD1159">
        <w:rPr>
          <w:rFonts w:cstheme="minorHAnsi"/>
        </w:rPr>
        <w:t xml:space="preserve"> </w:t>
      </w:r>
      <w:r w:rsidRPr="00CD1159">
        <w:rPr>
          <w:rFonts w:cstheme="minorHAnsi"/>
        </w:rPr>
        <w:t>będzie</w:t>
      </w:r>
      <w:r w:rsidR="003B50ED" w:rsidRPr="00CD1159">
        <w:rPr>
          <w:rFonts w:cstheme="minorHAnsi"/>
        </w:rPr>
        <w:t xml:space="preserve"> </w:t>
      </w:r>
      <w:r w:rsidRPr="00CD1159">
        <w:rPr>
          <w:rFonts w:cstheme="minorHAnsi"/>
        </w:rPr>
        <w:t>opiniowanie</w:t>
      </w:r>
      <w:r w:rsidR="003B50ED" w:rsidRPr="00CD1159">
        <w:rPr>
          <w:rFonts w:cstheme="minorHAnsi"/>
        </w:rPr>
        <w:t xml:space="preserve"> </w:t>
      </w:r>
      <w:r w:rsidRPr="00CD1159">
        <w:rPr>
          <w:rFonts w:cstheme="minorHAnsi"/>
        </w:rPr>
        <w:t>propozycji</w:t>
      </w:r>
      <w:r w:rsidR="003B50ED" w:rsidRPr="00CD1159">
        <w:rPr>
          <w:rFonts w:cstheme="minorHAnsi"/>
        </w:rPr>
        <w:t xml:space="preserve"> </w:t>
      </w:r>
      <w:r w:rsidRPr="00CD1159">
        <w:rPr>
          <w:rFonts w:cstheme="minorHAnsi"/>
        </w:rPr>
        <w:t>Zarządu</w:t>
      </w:r>
      <w:r w:rsidR="003B50ED" w:rsidRPr="00CD1159">
        <w:rPr>
          <w:rFonts w:cstheme="minorHAnsi"/>
        </w:rPr>
        <w:t xml:space="preserve"> </w:t>
      </w:r>
      <w:r w:rsidRPr="00CD1159">
        <w:rPr>
          <w:rFonts w:cstheme="minorHAnsi"/>
        </w:rPr>
        <w:t>i</w:t>
      </w:r>
      <w:r w:rsidR="003B50ED" w:rsidRPr="00CD1159">
        <w:rPr>
          <w:rFonts w:cstheme="minorHAnsi"/>
        </w:rPr>
        <w:t xml:space="preserve"> </w:t>
      </w:r>
      <w:r w:rsidRPr="00CD1159">
        <w:rPr>
          <w:rFonts w:cstheme="minorHAnsi"/>
        </w:rPr>
        <w:t>przedstawianie</w:t>
      </w:r>
      <w:r w:rsidR="003B50ED" w:rsidRPr="00CD1159">
        <w:rPr>
          <w:rFonts w:cstheme="minorHAnsi"/>
        </w:rPr>
        <w:t xml:space="preserve"> </w:t>
      </w:r>
      <w:r w:rsidRPr="00CD1159">
        <w:rPr>
          <w:rFonts w:cstheme="minorHAnsi"/>
        </w:rPr>
        <w:t>wypracowanych</w:t>
      </w:r>
      <w:r w:rsidR="003B50ED" w:rsidRPr="00CD1159">
        <w:rPr>
          <w:rFonts w:cstheme="minorHAnsi"/>
        </w:rPr>
        <w:t xml:space="preserve"> </w:t>
      </w:r>
      <w:r w:rsidRPr="00CD1159">
        <w:rPr>
          <w:rFonts w:cstheme="minorHAnsi"/>
        </w:rPr>
        <w:t>rozwiązań</w:t>
      </w:r>
      <w:r w:rsidR="003B50ED" w:rsidRPr="00CD1159">
        <w:rPr>
          <w:rFonts w:cstheme="minorHAnsi"/>
        </w:rPr>
        <w:t xml:space="preserve"> </w:t>
      </w:r>
      <w:r w:rsidRPr="00CD1159">
        <w:rPr>
          <w:rFonts w:cstheme="minorHAnsi"/>
        </w:rPr>
        <w:t>na</w:t>
      </w:r>
      <w:r w:rsidR="003B50ED" w:rsidRPr="00CD1159">
        <w:rPr>
          <w:rFonts w:cstheme="minorHAnsi"/>
        </w:rPr>
        <w:t xml:space="preserve"> </w:t>
      </w:r>
      <w:r w:rsidRPr="00CD1159">
        <w:rPr>
          <w:rFonts w:cstheme="minorHAnsi"/>
        </w:rPr>
        <w:t>forum</w:t>
      </w:r>
      <w:r w:rsidR="003B50ED" w:rsidRPr="00CD1159">
        <w:rPr>
          <w:rFonts w:cstheme="minorHAnsi"/>
        </w:rPr>
        <w:t xml:space="preserve"> </w:t>
      </w:r>
      <w:r w:rsidRPr="00CD1159">
        <w:rPr>
          <w:rFonts w:cstheme="minorHAnsi"/>
        </w:rPr>
        <w:t>Walnego</w:t>
      </w:r>
      <w:r w:rsidR="003B50ED" w:rsidRPr="00CD1159">
        <w:rPr>
          <w:rFonts w:cstheme="minorHAnsi"/>
        </w:rPr>
        <w:t xml:space="preserve"> </w:t>
      </w:r>
      <w:r w:rsidRPr="00CD1159">
        <w:rPr>
          <w:rFonts w:cstheme="minorHAnsi"/>
        </w:rPr>
        <w:t>Zebrania</w:t>
      </w:r>
      <w:r w:rsidR="003B50ED" w:rsidRPr="00CD1159">
        <w:rPr>
          <w:rFonts w:cstheme="minorHAnsi"/>
        </w:rPr>
        <w:t xml:space="preserve"> </w:t>
      </w:r>
      <w:r w:rsidRPr="00CD1159">
        <w:rPr>
          <w:rFonts w:cstheme="minorHAnsi"/>
        </w:rPr>
        <w:t>Członków).</w:t>
      </w:r>
      <w:r w:rsidR="003B50ED" w:rsidRPr="00CD1159">
        <w:rPr>
          <w:rFonts w:cstheme="minorHAnsi"/>
        </w:rPr>
        <w:t xml:space="preserve"> </w:t>
      </w:r>
      <w:r w:rsidRPr="00CD1159">
        <w:rPr>
          <w:rFonts w:cstheme="minorHAnsi"/>
        </w:rPr>
        <w:t>Kolejną</w:t>
      </w:r>
      <w:r w:rsidR="003B50ED" w:rsidRPr="00CD1159">
        <w:rPr>
          <w:rFonts w:cstheme="minorHAnsi"/>
        </w:rPr>
        <w:t xml:space="preserve"> </w:t>
      </w:r>
      <w:r w:rsidRPr="00CD1159">
        <w:rPr>
          <w:rFonts w:cstheme="minorHAnsi"/>
        </w:rPr>
        <w:t>metodą</w:t>
      </w:r>
      <w:r w:rsidR="003B50ED" w:rsidRPr="00CD1159">
        <w:rPr>
          <w:rFonts w:cstheme="minorHAnsi"/>
        </w:rPr>
        <w:t xml:space="preserve"> </w:t>
      </w:r>
      <w:r w:rsidRPr="00CD1159">
        <w:rPr>
          <w:rFonts w:cstheme="minorHAnsi"/>
        </w:rPr>
        <w:t>zapewniającą</w:t>
      </w:r>
      <w:r w:rsidR="003B50ED" w:rsidRPr="00CD1159">
        <w:rPr>
          <w:rFonts w:cstheme="minorHAnsi"/>
        </w:rPr>
        <w:t xml:space="preserve"> </w:t>
      </w:r>
      <w:r w:rsidRPr="00CD1159">
        <w:rPr>
          <w:rFonts w:cstheme="minorHAnsi"/>
        </w:rPr>
        <w:t>budowanie</w:t>
      </w:r>
      <w:r w:rsidR="003B50ED" w:rsidRPr="00CD1159">
        <w:rPr>
          <w:rFonts w:cstheme="minorHAnsi"/>
        </w:rPr>
        <w:t xml:space="preserve"> </w:t>
      </w:r>
      <w:r w:rsidRPr="00CD1159">
        <w:rPr>
          <w:rFonts w:cstheme="minorHAnsi"/>
        </w:rPr>
        <w:t>pogłębionego</w:t>
      </w:r>
      <w:r w:rsidR="003B50ED" w:rsidRPr="00CD1159">
        <w:rPr>
          <w:rFonts w:cstheme="minorHAnsi"/>
        </w:rPr>
        <w:t xml:space="preserve"> </w:t>
      </w:r>
      <w:r w:rsidRPr="00CD1159">
        <w:rPr>
          <w:rFonts w:cstheme="minorHAnsi"/>
        </w:rPr>
        <w:t>partnerstwa</w:t>
      </w:r>
      <w:r w:rsidR="003B50ED" w:rsidRPr="00CD1159">
        <w:rPr>
          <w:rFonts w:cstheme="minorHAnsi"/>
        </w:rPr>
        <w:t xml:space="preserve"> </w:t>
      </w:r>
      <w:r w:rsidRPr="00CD1159">
        <w:rPr>
          <w:rFonts w:cstheme="minorHAnsi"/>
        </w:rPr>
        <w:t>jest</w:t>
      </w:r>
      <w:r w:rsidR="003B50ED" w:rsidRPr="00CD1159">
        <w:rPr>
          <w:rFonts w:cstheme="minorHAnsi"/>
        </w:rPr>
        <w:t xml:space="preserve"> </w:t>
      </w:r>
      <w:r w:rsidRPr="00CD1159">
        <w:rPr>
          <w:rFonts w:cstheme="minorHAnsi"/>
        </w:rPr>
        <w:t>wprowadzenie</w:t>
      </w:r>
      <w:r w:rsidR="003B50ED" w:rsidRPr="00CD1159">
        <w:rPr>
          <w:rFonts w:cstheme="minorHAnsi"/>
        </w:rPr>
        <w:t xml:space="preserve"> </w:t>
      </w:r>
      <w:r w:rsidRPr="00CD1159">
        <w:rPr>
          <w:rFonts w:cstheme="minorHAnsi"/>
        </w:rPr>
        <w:t>zapisu</w:t>
      </w:r>
      <w:r w:rsidR="003B50ED" w:rsidRPr="00CD1159">
        <w:rPr>
          <w:rFonts w:cstheme="minorHAnsi"/>
        </w:rPr>
        <w:t xml:space="preserve"> </w:t>
      </w:r>
      <w:r w:rsidRPr="00CD1159">
        <w:rPr>
          <w:rFonts w:cstheme="minorHAnsi"/>
        </w:rPr>
        <w:t>do</w:t>
      </w:r>
      <w:r w:rsidR="003B50ED" w:rsidRPr="00CD1159">
        <w:rPr>
          <w:rFonts w:cstheme="minorHAnsi"/>
        </w:rPr>
        <w:t xml:space="preserve"> </w:t>
      </w:r>
      <w:r w:rsidRPr="00CD1159">
        <w:rPr>
          <w:rFonts w:cstheme="minorHAnsi"/>
        </w:rPr>
        <w:t>Statutu,</w:t>
      </w:r>
      <w:r w:rsidR="003B50ED" w:rsidRPr="00CD1159">
        <w:rPr>
          <w:rFonts w:cstheme="minorHAnsi"/>
        </w:rPr>
        <w:t xml:space="preserve"> </w:t>
      </w:r>
      <w:r w:rsidRPr="00CD1159">
        <w:rPr>
          <w:rFonts w:cstheme="minorHAnsi"/>
        </w:rPr>
        <w:t>ze</w:t>
      </w:r>
      <w:r w:rsidR="003B50ED" w:rsidRPr="00CD1159">
        <w:rPr>
          <w:rFonts w:cstheme="minorHAnsi"/>
        </w:rPr>
        <w:t xml:space="preserve"> </w:t>
      </w:r>
      <w:r w:rsidRPr="00CD1159">
        <w:rPr>
          <w:rFonts w:cstheme="minorHAnsi"/>
        </w:rPr>
        <w:t>Walne</w:t>
      </w:r>
      <w:r w:rsidR="003B50ED" w:rsidRPr="00CD1159">
        <w:rPr>
          <w:rFonts w:cstheme="minorHAnsi"/>
        </w:rPr>
        <w:t xml:space="preserve"> </w:t>
      </w:r>
      <w:r w:rsidRPr="00CD1159">
        <w:rPr>
          <w:rFonts w:cstheme="minorHAnsi"/>
        </w:rPr>
        <w:t>Zebranie</w:t>
      </w:r>
      <w:r w:rsidR="003B50ED" w:rsidRPr="00CD1159">
        <w:rPr>
          <w:rFonts w:cstheme="minorHAnsi"/>
        </w:rPr>
        <w:t xml:space="preserve"> </w:t>
      </w:r>
      <w:r w:rsidRPr="00CD1159">
        <w:rPr>
          <w:rFonts w:cstheme="minorHAnsi"/>
        </w:rPr>
        <w:t>może</w:t>
      </w:r>
      <w:r w:rsidR="003B50ED" w:rsidRPr="00CD1159">
        <w:rPr>
          <w:rFonts w:cstheme="minorHAnsi"/>
        </w:rPr>
        <w:t xml:space="preserve"> </w:t>
      </w:r>
      <w:r w:rsidRPr="00CD1159">
        <w:rPr>
          <w:rFonts w:cstheme="minorHAnsi"/>
        </w:rPr>
        <w:t>być</w:t>
      </w:r>
      <w:r w:rsidR="003B50ED" w:rsidRPr="00CD1159">
        <w:rPr>
          <w:rFonts w:cstheme="minorHAnsi"/>
        </w:rPr>
        <w:t xml:space="preserve"> </w:t>
      </w:r>
      <w:r w:rsidRPr="00CD1159">
        <w:rPr>
          <w:rFonts w:cstheme="minorHAnsi"/>
        </w:rPr>
        <w:t>zwołane</w:t>
      </w:r>
      <w:r w:rsidR="003B50ED" w:rsidRPr="00CD1159">
        <w:rPr>
          <w:rFonts w:cstheme="minorHAnsi"/>
        </w:rPr>
        <w:t xml:space="preserve"> </w:t>
      </w:r>
      <w:r w:rsidRPr="00CD1159">
        <w:rPr>
          <w:rFonts w:cstheme="minorHAnsi"/>
        </w:rPr>
        <w:t>przez</w:t>
      </w:r>
      <w:r w:rsidR="003B50ED" w:rsidRPr="00CD1159">
        <w:rPr>
          <w:rFonts w:cstheme="minorHAnsi"/>
        </w:rPr>
        <w:t xml:space="preserve"> </w:t>
      </w:r>
      <w:r w:rsidRPr="00CD1159">
        <w:rPr>
          <w:rFonts w:cstheme="minorHAnsi"/>
        </w:rPr>
        <w:t>wąską</w:t>
      </w:r>
      <w:r w:rsidR="003B50ED" w:rsidRPr="00CD1159">
        <w:rPr>
          <w:rFonts w:cstheme="minorHAnsi"/>
        </w:rPr>
        <w:t xml:space="preserve"> </w:t>
      </w:r>
      <w:r w:rsidRPr="00CD1159">
        <w:rPr>
          <w:rFonts w:cstheme="minorHAnsi"/>
        </w:rPr>
        <w:t>grupę</w:t>
      </w:r>
      <w:r w:rsidR="003B50ED" w:rsidRPr="00CD1159">
        <w:rPr>
          <w:rFonts w:cstheme="minorHAnsi"/>
        </w:rPr>
        <w:t xml:space="preserve"> </w:t>
      </w:r>
      <w:r w:rsidRPr="00CD1159">
        <w:rPr>
          <w:rFonts w:cstheme="minorHAnsi"/>
        </w:rPr>
        <w:t>członków</w:t>
      </w:r>
      <w:r w:rsidR="003B50ED" w:rsidRPr="00CD1159">
        <w:rPr>
          <w:rFonts w:cstheme="minorHAnsi"/>
        </w:rPr>
        <w:t xml:space="preserve"> </w:t>
      </w:r>
      <w:r w:rsidRPr="00CD1159">
        <w:rPr>
          <w:rFonts w:cstheme="minorHAnsi"/>
        </w:rPr>
        <w:t>LGD</w:t>
      </w:r>
      <w:r w:rsidR="003B50ED" w:rsidRPr="00CD1159">
        <w:rPr>
          <w:rFonts w:cstheme="minorHAnsi"/>
        </w:rPr>
        <w:t xml:space="preserve"> </w:t>
      </w:r>
      <w:r w:rsidRPr="00CD1159">
        <w:rPr>
          <w:rFonts w:cstheme="minorHAnsi"/>
        </w:rPr>
        <w:t>oraz</w:t>
      </w:r>
      <w:r w:rsidR="003B50ED" w:rsidRPr="00CD1159">
        <w:rPr>
          <w:rFonts w:cstheme="minorHAnsi"/>
        </w:rPr>
        <w:t xml:space="preserve"> </w:t>
      </w:r>
      <w:r w:rsidRPr="00CD1159">
        <w:rPr>
          <w:rFonts w:cstheme="minorHAnsi"/>
        </w:rPr>
        <w:t>ograniczenie</w:t>
      </w:r>
      <w:r w:rsidR="003B50ED" w:rsidRPr="00CD1159">
        <w:rPr>
          <w:rFonts w:cstheme="minorHAnsi"/>
        </w:rPr>
        <w:t xml:space="preserve"> </w:t>
      </w:r>
      <w:r w:rsidRPr="00CD1159">
        <w:rPr>
          <w:rFonts w:cstheme="minorHAnsi"/>
        </w:rPr>
        <w:t>zakresu</w:t>
      </w:r>
      <w:r w:rsidR="003B50ED" w:rsidRPr="00CD1159">
        <w:rPr>
          <w:rFonts w:cstheme="minorHAnsi"/>
        </w:rPr>
        <w:t xml:space="preserve"> </w:t>
      </w:r>
      <w:r w:rsidRPr="00CD1159">
        <w:rPr>
          <w:rFonts w:cstheme="minorHAnsi"/>
        </w:rPr>
        <w:t>czynności,</w:t>
      </w:r>
      <w:r w:rsidR="003B50ED" w:rsidRPr="00CD1159">
        <w:rPr>
          <w:rFonts w:cstheme="minorHAnsi"/>
        </w:rPr>
        <w:t xml:space="preserve"> </w:t>
      </w:r>
      <w:r w:rsidRPr="00CD1159">
        <w:rPr>
          <w:rFonts w:cstheme="minorHAnsi"/>
        </w:rPr>
        <w:t>co</w:t>
      </w:r>
      <w:r w:rsidR="003B50ED" w:rsidRPr="00CD1159">
        <w:rPr>
          <w:rFonts w:cstheme="minorHAnsi"/>
        </w:rPr>
        <w:t xml:space="preserve"> </w:t>
      </w:r>
      <w:r w:rsidRPr="00CD1159">
        <w:rPr>
          <w:rFonts w:cstheme="minorHAnsi"/>
        </w:rPr>
        <w:t>do</w:t>
      </w:r>
      <w:r w:rsidR="003B50ED" w:rsidRPr="00CD1159">
        <w:rPr>
          <w:rFonts w:cstheme="minorHAnsi"/>
        </w:rPr>
        <w:t xml:space="preserve"> </w:t>
      </w:r>
      <w:r w:rsidRPr="00CD1159">
        <w:rPr>
          <w:rFonts w:cstheme="minorHAnsi"/>
        </w:rPr>
        <w:t>których</w:t>
      </w:r>
      <w:r w:rsidR="003B50ED" w:rsidRPr="00CD1159">
        <w:rPr>
          <w:rFonts w:cstheme="minorHAnsi"/>
        </w:rPr>
        <w:t xml:space="preserve"> </w:t>
      </w:r>
      <w:r w:rsidRPr="00CD1159">
        <w:rPr>
          <w:rFonts w:cstheme="minorHAnsi"/>
        </w:rPr>
        <w:t>zarząd</w:t>
      </w:r>
      <w:r w:rsidR="003B50ED" w:rsidRPr="00CD1159">
        <w:rPr>
          <w:rFonts w:cstheme="minorHAnsi"/>
        </w:rPr>
        <w:t xml:space="preserve"> </w:t>
      </w:r>
      <w:r w:rsidRPr="00CD1159">
        <w:rPr>
          <w:rFonts w:cstheme="minorHAnsi"/>
        </w:rPr>
        <w:t>podejmuje</w:t>
      </w:r>
      <w:r w:rsidR="003B50ED" w:rsidRPr="00CD1159">
        <w:rPr>
          <w:rFonts w:cstheme="minorHAnsi"/>
        </w:rPr>
        <w:t xml:space="preserve"> </w:t>
      </w:r>
      <w:r w:rsidRPr="00CD1159">
        <w:rPr>
          <w:rFonts w:cstheme="minorHAnsi"/>
        </w:rPr>
        <w:t>decyzje</w:t>
      </w:r>
      <w:r w:rsidR="003B50ED" w:rsidRPr="00CD1159">
        <w:rPr>
          <w:rFonts w:cstheme="minorHAnsi"/>
        </w:rPr>
        <w:t xml:space="preserve"> </w:t>
      </w:r>
      <w:r w:rsidRPr="00CD1159">
        <w:rPr>
          <w:rFonts w:cstheme="minorHAnsi"/>
        </w:rPr>
        <w:t>bez</w:t>
      </w:r>
      <w:r w:rsidR="003B50ED" w:rsidRPr="00CD1159">
        <w:rPr>
          <w:rFonts w:cstheme="minorHAnsi"/>
        </w:rPr>
        <w:t xml:space="preserve"> </w:t>
      </w:r>
      <w:r w:rsidRPr="00CD1159">
        <w:rPr>
          <w:rFonts w:cstheme="minorHAnsi"/>
        </w:rPr>
        <w:t>konsultacji</w:t>
      </w:r>
      <w:r w:rsidR="003B50ED" w:rsidRPr="00CD1159">
        <w:rPr>
          <w:rFonts w:cstheme="minorHAnsi"/>
        </w:rPr>
        <w:t xml:space="preserve"> </w:t>
      </w:r>
      <w:r w:rsidRPr="00CD1159">
        <w:rPr>
          <w:rFonts w:cstheme="minorHAnsi"/>
        </w:rPr>
        <w:t>lub</w:t>
      </w:r>
      <w:r w:rsidR="003B50ED" w:rsidRPr="00CD1159">
        <w:rPr>
          <w:rFonts w:cstheme="minorHAnsi"/>
        </w:rPr>
        <w:t xml:space="preserve"> </w:t>
      </w:r>
      <w:r w:rsidRPr="00CD1159">
        <w:rPr>
          <w:rFonts w:cstheme="minorHAnsi"/>
        </w:rPr>
        <w:t>uzgodnienia</w:t>
      </w:r>
      <w:r w:rsidR="003B50ED" w:rsidRPr="00CD1159">
        <w:rPr>
          <w:rFonts w:cstheme="minorHAnsi"/>
        </w:rPr>
        <w:t xml:space="preserve"> </w:t>
      </w:r>
      <w:r w:rsidRPr="00CD1159">
        <w:rPr>
          <w:rFonts w:cstheme="minorHAnsi"/>
        </w:rPr>
        <w:t>z</w:t>
      </w:r>
      <w:r w:rsidR="003B50ED" w:rsidRPr="00CD1159">
        <w:rPr>
          <w:rFonts w:cstheme="minorHAnsi"/>
        </w:rPr>
        <w:t xml:space="preserve"> </w:t>
      </w:r>
      <w:r w:rsidRPr="00CD1159">
        <w:rPr>
          <w:rFonts w:cstheme="minorHAnsi"/>
        </w:rPr>
        <w:t>pozostałymi</w:t>
      </w:r>
      <w:r w:rsidR="003B50ED" w:rsidRPr="00CD1159">
        <w:rPr>
          <w:rFonts w:cstheme="minorHAnsi"/>
        </w:rPr>
        <w:t xml:space="preserve"> </w:t>
      </w:r>
      <w:r w:rsidRPr="00CD1159">
        <w:rPr>
          <w:rFonts w:cstheme="minorHAnsi"/>
        </w:rPr>
        <w:t>członkami</w:t>
      </w:r>
      <w:r w:rsidR="003B50ED" w:rsidRPr="00CD1159">
        <w:rPr>
          <w:rFonts w:cstheme="minorHAnsi"/>
        </w:rPr>
        <w:t xml:space="preserve"> </w:t>
      </w:r>
      <w:r w:rsidRPr="00CD1159">
        <w:rPr>
          <w:rFonts w:cstheme="minorHAnsi"/>
        </w:rPr>
        <w:t>LGD</w:t>
      </w:r>
      <w:r w:rsidR="003B50ED" w:rsidRPr="00CD1159">
        <w:rPr>
          <w:rFonts w:cstheme="minorHAnsi"/>
        </w:rPr>
        <w:t xml:space="preserve"> </w:t>
      </w:r>
      <w:r w:rsidRPr="00CD1159">
        <w:rPr>
          <w:rFonts w:cstheme="minorHAnsi"/>
        </w:rPr>
        <w:t>np.</w:t>
      </w:r>
      <w:r w:rsidR="003B50ED" w:rsidRPr="00CD1159">
        <w:rPr>
          <w:rFonts w:cstheme="minorHAnsi"/>
        </w:rPr>
        <w:t xml:space="preserve"> </w:t>
      </w:r>
      <w:r w:rsidRPr="00CD1159">
        <w:rPr>
          <w:rFonts w:cstheme="minorHAnsi"/>
        </w:rPr>
        <w:t>zatwierdzanie</w:t>
      </w:r>
      <w:r w:rsidR="003B50ED" w:rsidRPr="00CD1159">
        <w:rPr>
          <w:rFonts w:cstheme="minorHAnsi"/>
        </w:rPr>
        <w:t xml:space="preserve"> </w:t>
      </w:r>
      <w:r w:rsidRPr="00CD1159">
        <w:rPr>
          <w:rFonts w:cstheme="minorHAnsi"/>
        </w:rPr>
        <w:t>zmian</w:t>
      </w:r>
      <w:r w:rsidR="003B50ED" w:rsidRPr="00CD1159">
        <w:rPr>
          <w:rFonts w:cstheme="minorHAnsi"/>
        </w:rPr>
        <w:t xml:space="preserve"> </w:t>
      </w:r>
      <w:r w:rsidRPr="00CD1159">
        <w:rPr>
          <w:rFonts w:cstheme="minorHAnsi"/>
        </w:rPr>
        <w:t>w</w:t>
      </w:r>
      <w:r w:rsidR="003B50ED" w:rsidRPr="00CD1159">
        <w:rPr>
          <w:rFonts w:cstheme="minorHAnsi"/>
        </w:rPr>
        <w:t xml:space="preserve"> </w:t>
      </w:r>
      <w:r w:rsidRPr="00CD1159">
        <w:rPr>
          <w:rFonts w:cstheme="minorHAnsi"/>
        </w:rPr>
        <w:t>LSR</w:t>
      </w:r>
      <w:r w:rsidR="003B50ED" w:rsidRPr="00CD1159">
        <w:rPr>
          <w:rFonts w:cstheme="minorHAnsi"/>
        </w:rPr>
        <w:t xml:space="preserve"> </w:t>
      </w:r>
      <w:r w:rsidRPr="00CD1159">
        <w:rPr>
          <w:rFonts w:cstheme="minorHAnsi"/>
        </w:rPr>
        <w:t>tylko</w:t>
      </w:r>
      <w:r w:rsidR="003B50ED" w:rsidRPr="00CD1159">
        <w:rPr>
          <w:rFonts w:cstheme="minorHAnsi"/>
        </w:rPr>
        <w:t xml:space="preserve"> </w:t>
      </w:r>
      <w:r w:rsidR="00581749">
        <w:rPr>
          <w:rFonts w:cstheme="minorHAnsi"/>
        </w:rPr>
        <w:t xml:space="preserve">  </w:t>
      </w:r>
      <w:r w:rsidRPr="00CD1159">
        <w:rPr>
          <w:rFonts w:cstheme="minorHAnsi"/>
        </w:rPr>
        <w:t>w</w:t>
      </w:r>
      <w:r w:rsidR="003B50ED" w:rsidRPr="00CD1159">
        <w:rPr>
          <w:rFonts w:cstheme="minorHAnsi"/>
        </w:rPr>
        <w:t xml:space="preserve"> </w:t>
      </w:r>
      <w:r w:rsidRPr="00CD1159">
        <w:rPr>
          <w:rFonts w:cstheme="minorHAnsi"/>
        </w:rPr>
        <w:t>określonych</w:t>
      </w:r>
      <w:r w:rsidR="003B50ED" w:rsidRPr="00CD1159">
        <w:rPr>
          <w:rFonts w:cstheme="minorHAnsi"/>
        </w:rPr>
        <w:t xml:space="preserve"> </w:t>
      </w:r>
      <w:r w:rsidRPr="00CD1159">
        <w:rPr>
          <w:rFonts w:cstheme="minorHAnsi"/>
        </w:rPr>
        <w:t>przypadkach.</w:t>
      </w:r>
      <w:r w:rsidR="003B50ED">
        <w:rPr>
          <w:rFonts w:cstheme="minorHAnsi"/>
        </w:rPr>
        <w:t xml:space="preserve"> </w:t>
      </w:r>
    </w:p>
    <w:p w14:paraId="137E2CF4" w14:textId="2818FDF4" w:rsidR="00C71928" w:rsidRPr="00A26C26" w:rsidRDefault="00AB742D" w:rsidP="00A26C26">
      <w:pPr>
        <w:spacing w:line="276" w:lineRule="auto"/>
        <w:ind w:firstLine="284"/>
        <w:jc w:val="both"/>
        <w:rPr>
          <w:rFonts w:cstheme="minorHAnsi"/>
        </w:rPr>
      </w:pPr>
      <w:r>
        <w:rPr>
          <w:rFonts w:cstheme="minorHAnsi"/>
        </w:rPr>
        <w:t xml:space="preserve">Stowarzyszenia </w:t>
      </w:r>
      <w:r w:rsidRPr="00A26C26">
        <w:rPr>
          <w:rFonts w:cstheme="minorHAnsi"/>
        </w:rPr>
        <w:t>„Solidarni</w:t>
      </w:r>
      <w:r>
        <w:rPr>
          <w:rFonts w:cstheme="minorHAnsi"/>
        </w:rPr>
        <w:t xml:space="preserve"> </w:t>
      </w:r>
      <w:r w:rsidRPr="00A26C26">
        <w:rPr>
          <w:rFonts w:cstheme="minorHAnsi"/>
        </w:rPr>
        <w:t>w</w:t>
      </w:r>
      <w:r>
        <w:rPr>
          <w:rFonts w:cstheme="minorHAnsi"/>
        </w:rPr>
        <w:t xml:space="preserve"> </w:t>
      </w:r>
      <w:r w:rsidRPr="00A26C26">
        <w:rPr>
          <w:rFonts w:cstheme="minorHAnsi"/>
        </w:rPr>
        <w:t>Partnerstwie”</w:t>
      </w:r>
      <w:r w:rsidR="00C71928" w:rsidRPr="00A26C26">
        <w:rPr>
          <w:rFonts w:cstheme="minorHAnsi"/>
        </w:rPr>
        <w:t>,</w:t>
      </w:r>
      <w:r w:rsidR="003B50ED">
        <w:rPr>
          <w:rFonts w:cstheme="minorHAnsi"/>
        </w:rPr>
        <w:t xml:space="preserve"> </w:t>
      </w:r>
      <w:r w:rsidR="00C71928" w:rsidRPr="00A26C26">
        <w:rPr>
          <w:rFonts w:cstheme="minorHAnsi"/>
        </w:rPr>
        <w:t>bazując</w:t>
      </w:r>
      <w:r w:rsidR="003B50ED">
        <w:rPr>
          <w:rFonts w:cstheme="minorHAnsi"/>
        </w:rPr>
        <w:t xml:space="preserve"> </w:t>
      </w:r>
      <w:r w:rsidR="00C71928" w:rsidRPr="00A26C26">
        <w:rPr>
          <w:rFonts w:cstheme="minorHAnsi"/>
        </w:rPr>
        <w:t>na</w:t>
      </w:r>
      <w:r w:rsidR="003B50ED">
        <w:rPr>
          <w:rFonts w:cstheme="minorHAnsi"/>
        </w:rPr>
        <w:t xml:space="preserve"> </w:t>
      </w:r>
      <w:r w:rsidR="00C71928" w:rsidRPr="00A26C26">
        <w:rPr>
          <w:rFonts w:cstheme="minorHAnsi"/>
        </w:rPr>
        <w:t>bogatych</w:t>
      </w:r>
      <w:r w:rsidR="003B50ED">
        <w:rPr>
          <w:rFonts w:cstheme="minorHAnsi"/>
        </w:rPr>
        <w:t xml:space="preserve"> </w:t>
      </w:r>
      <w:r w:rsidR="00C71928" w:rsidRPr="00A26C26">
        <w:rPr>
          <w:rFonts w:cstheme="minorHAnsi"/>
        </w:rPr>
        <w:t>doświadczeniach</w:t>
      </w:r>
      <w:r w:rsidR="003B50ED">
        <w:rPr>
          <w:rFonts w:cstheme="minorHAnsi"/>
        </w:rPr>
        <w:t xml:space="preserve"> </w:t>
      </w:r>
      <w:r w:rsidR="00C71928" w:rsidRPr="00A26C26">
        <w:rPr>
          <w:rFonts w:cstheme="minorHAnsi"/>
        </w:rPr>
        <w:t>wcześniejszych</w:t>
      </w:r>
      <w:r w:rsidR="003B50ED">
        <w:rPr>
          <w:rFonts w:cstheme="minorHAnsi"/>
        </w:rPr>
        <w:t xml:space="preserve"> </w:t>
      </w:r>
      <w:r w:rsidR="00C71928" w:rsidRPr="00A26C26">
        <w:rPr>
          <w:rFonts w:cstheme="minorHAnsi"/>
        </w:rPr>
        <w:t>lat,</w:t>
      </w:r>
      <w:r w:rsidR="003B50ED">
        <w:rPr>
          <w:rFonts w:cstheme="minorHAnsi"/>
        </w:rPr>
        <w:t xml:space="preserve"> </w:t>
      </w:r>
      <w:r w:rsidR="00C71928" w:rsidRPr="0035174A">
        <w:rPr>
          <w:rFonts w:cstheme="minorHAnsi"/>
          <w:b/>
          <w:bCs/>
        </w:rPr>
        <w:t>zaplanował</w:t>
      </w:r>
      <w:r w:rsidRPr="0035174A">
        <w:rPr>
          <w:rFonts w:cstheme="minorHAnsi"/>
          <w:b/>
          <w:bCs/>
        </w:rPr>
        <w:t>o</w:t>
      </w:r>
      <w:r w:rsidR="003B50ED" w:rsidRPr="0035174A">
        <w:rPr>
          <w:rFonts w:cstheme="minorHAnsi"/>
          <w:b/>
          <w:bCs/>
        </w:rPr>
        <w:t xml:space="preserve"> </w:t>
      </w:r>
      <w:r w:rsidR="00C71928" w:rsidRPr="0035174A">
        <w:rPr>
          <w:rFonts w:cstheme="minorHAnsi"/>
          <w:b/>
          <w:bCs/>
        </w:rPr>
        <w:t>szereg</w:t>
      </w:r>
      <w:r w:rsidR="003B50ED" w:rsidRPr="0035174A">
        <w:rPr>
          <w:rFonts w:cstheme="minorHAnsi"/>
          <w:b/>
          <w:bCs/>
        </w:rPr>
        <w:t xml:space="preserve"> </w:t>
      </w:r>
      <w:r w:rsidR="00C71928" w:rsidRPr="0035174A">
        <w:rPr>
          <w:rFonts w:cstheme="minorHAnsi"/>
          <w:b/>
          <w:bCs/>
        </w:rPr>
        <w:t>działań</w:t>
      </w:r>
      <w:r w:rsidR="003B50ED" w:rsidRPr="0035174A">
        <w:rPr>
          <w:rFonts w:cstheme="minorHAnsi"/>
          <w:b/>
          <w:bCs/>
        </w:rPr>
        <w:t xml:space="preserve"> </w:t>
      </w:r>
      <w:r w:rsidR="00C71928" w:rsidRPr="0035174A">
        <w:rPr>
          <w:rFonts w:cstheme="minorHAnsi"/>
          <w:b/>
          <w:bCs/>
        </w:rPr>
        <w:t>związanych</w:t>
      </w:r>
      <w:r w:rsidR="003B50ED" w:rsidRPr="0035174A">
        <w:rPr>
          <w:rFonts w:cstheme="minorHAnsi"/>
          <w:b/>
          <w:bCs/>
        </w:rPr>
        <w:t xml:space="preserve"> </w:t>
      </w:r>
      <w:r w:rsidR="00C71928" w:rsidRPr="0035174A">
        <w:rPr>
          <w:rFonts w:cstheme="minorHAnsi"/>
          <w:b/>
          <w:bCs/>
        </w:rPr>
        <w:t>z</w:t>
      </w:r>
      <w:r w:rsidR="003B50ED" w:rsidRPr="0035174A">
        <w:rPr>
          <w:rFonts w:cstheme="minorHAnsi"/>
          <w:b/>
          <w:bCs/>
        </w:rPr>
        <w:t xml:space="preserve"> </w:t>
      </w:r>
      <w:r w:rsidR="00C71928" w:rsidRPr="0035174A">
        <w:rPr>
          <w:rFonts w:cstheme="minorHAnsi"/>
          <w:b/>
          <w:bCs/>
        </w:rPr>
        <w:t>animacją</w:t>
      </w:r>
      <w:r w:rsidR="003B50ED" w:rsidRPr="0035174A">
        <w:rPr>
          <w:rFonts w:cstheme="minorHAnsi"/>
          <w:b/>
          <w:bCs/>
        </w:rPr>
        <w:t xml:space="preserve"> </w:t>
      </w:r>
      <w:r w:rsidR="00C71928" w:rsidRPr="0035174A">
        <w:rPr>
          <w:rFonts w:cstheme="minorHAnsi"/>
          <w:b/>
          <w:bCs/>
        </w:rPr>
        <w:t>społeczności</w:t>
      </w:r>
      <w:r w:rsidR="003B50ED" w:rsidRPr="0035174A">
        <w:rPr>
          <w:rFonts w:cstheme="minorHAnsi"/>
          <w:b/>
          <w:bCs/>
        </w:rPr>
        <w:t xml:space="preserve"> </w:t>
      </w:r>
      <w:r w:rsidR="00C71928" w:rsidRPr="0035174A">
        <w:rPr>
          <w:rFonts w:cstheme="minorHAnsi"/>
          <w:b/>
          <w:bCs/>
        </w:rPr>
        <w:t>na</w:t>
      </w:r>
      <w:r w:rsidR="003B50ED" w:rsidRPr="0035174A">
        <w:rPr>
          <w:rFonts w:cstheme="minorHAnsi"/>
          <w:b/>
          <w:bCs/>
        </w:rPr>
        <w:t xml:space="preserve"> </w:t>
      </w:r>
      <w:r w:rsidR="00C71928" w:rsidRPr="0035174A">
        <w:rPr>
          <w:rFonts w:cstheme="minorHAnsi"/>
          <w:b/>
          <w:bCs/>
        </w:rPr>
        <w:t>rzecz</w:t>
      </w:r>
      <w:r w:rsidR="003B50ED" w:rsidRPr="0035174A">
        <w:rPr>
          <w:rFonts w:cstheme="minorHAnsi"/>
          <w:b/>
          <w:bCs/>
        </w:rPr>
        <w:t xml:space="preserve"> </w:t>
      </w:r>
      <w:r w:rsidR="00C71928" w:rsidRPr="0035174A">
        <w:rPr>
          <w:rFonts w:cstheme="minorHAnsi"/>
          <w:b/>
          <w:bCs/>
        </w:rPr>
        <w:t>projektów</w:t>
      </w:r>
      <w:r w:rsidR="003B50ED" w:rsidRPr="0035174A">
        <w:rPr>
          <w:rFonts w:cstheme="minorHAnsi"/>
          <w:b/>
          <w:bCs/>
        </w:rPr>
        <w:t xml:space="preserve"> </w:t>
      </w:r>
      <w:r w:rsidR="00C71928" w:rsidRPr="0035174A">
        <w:rPr>
          <w:rFonts w:cstheme="minorHAnsi"/>
          <w:b/>
          <w:bCs/>
        </w:rPr>
        <w:t>innowacyjnych</w:t>
      </w:r>
      <w:r w:rsidR="00D615FF" w:rsidRPr="0035174A">
        <w:rPr>
          <w:rFonts w:cstheme="minorHAnsi"/>
          <w:b/>
          <w:bCs/>
        </w:rPr>
        <w:t>.</w:t>
      </w:r>
    </w:p>
    <w:p w14:paraId="6A8F38EC" w14:textId="10721ECA" w:rsidR="00C71928" w:rsidRPr="00A26C26" w:rsidRDefault="00C71928" w:rsidP="00A26C26">
      <w:pPr>
        <w:spacing w:line="276" w:lineRule="auto"/>
        <w:ind w:firstLine="284"/>
        <w:jc w:val="both"/>
        <w:rPr>
          <w:rFonts w:cstheme="minorHAnsi"/>
        </w:rPr>
      </w:pPr>
      <w:r w:rsidRPr="00A26C26">
        <w:rPr>
          <w:rFonts w:cstheme="minorHAnsi"/>
        </w:rPr>
        <w:t>Przy</w:t>
      </w:r>
      <w:r w:rsidR="003B50ED">
        <w:rPr>
          <w:rFonts w:cstheme="minorHAnsi"/>
        </w:rPr>
        <w:t xml:space="preserve"> </w:t>
      </w:r>
      <w:r w:rsidRPr="00A26C26">
        <w:rPr>
          <w:rFonts w:cstheme="minorHAnsi"/>
        </w:rPr>
        <w:t>czym</w:t>
      </w:r>
      <w:r w:rsidR="003B50ED">
        <w:rPr>
          <w:rFonts w:cstheme="minorHAnsi"/>
        </w:rPr>
        <w:t xml:space="preserve"> </w:t>
      </w:r>
      <w:r w:rsidRPr="00A26C26">
        <w:rPr>
          <w:rFonts w:cstheme="minorHAnsi"/>
        </w:rPr>
        <w:t>innowacyjność</w:t>
      </w:r>
      <w:r w:rsidR="003B50ED">
        <w:rPr>
          <w:rFonts w:cstheme="minorHAnsi"/>
        </w:rPr>
        <w:t xml:space="preserve"> </w:t>
      </w:r>
      <w:r w:rsidRPr="00A26C26">
        <w:rPr>
          <w:rFonts w:cstheme="minorHAnsi"/>
        </w:rPr>
        <w:t>zarówno</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LSR</w:t>
      </w:r>
      <w:r w:rsidR="003B50ED">
        <w:rPr>
          <w:rFonts w:cstheme="minorHAnsi"/>
        </w:rPr>
        <w:t xml:space="preserve"> </w:t>
      </w:r>
      <w:r w:rsidRPr="00A26C26">
        <w:rPr>
          <w:rFonts w:cstheme="minorHAnsi"/>
        </w:rPr>
        <w:t>jak</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kryteriach</w:t>
      </w:r>
      <w:r w:rsidR="003B50ED">
        <w:rPr>
          <w:rFonts w:cstheme="minorHAnsi"/>
        </w:rPr>
        <w:t xml:space="preserve"> </w:t>
      </w:r>
      <w:r w:rsidRPr="00A26C26">
        <w:rPr>
          <w:rFonts w:cstheme="minorHAnsi"/>
        </w:rPr>
        <w:t>wyboru</w:t>
      </w:r>
      <w:r w:rsidR="003B50ED">
        <w:rPr>
          <w:rFonts w:cstheme="minorHAnsi"/>
        </w:rPr>
        <w:t xml:space="preserve"> </w:t>
      </w:r>
      <w:r w:rsidRPr="00A26C26">
        <w:rPr>
          <w:rFonts w:cstheme="minorHAnsi"/>
        </w:rPr>
        <w:t>operacji</w:t>
      </w:r>
      <w:r w:rsidR="003B50ED">
        <w:rPr>
          <w:rFonts w:cstheme="minorHAnsi"/>
        </w:rPr>
        <w:t xml:space="preserve"> </w:t>
      </w:r>
      <w:r w:rsidRPr="00A26C26">
        <w:rPr>
          <w:rFonts w:cstheme="minorHAnsi"/>
        </w:rPr>
        <w:t>jest</w:t>
      </w:r>
      <w:r w:rsidR="003B50ED">
        <w:rPr>
          <w:rFonts w:cstheme="minorHAnsi"/>
        </w:rPr>
        <w:t xml:space="preserve"> </w:t>
      </w:r>
      <w:r w:rsidRPr="00A26C26">
        <w:rPr>
          <w:rFonts w:cstheme="minorHAnsi"/>
        </w:rPr>
        <w:t>rozumiana</w:t>
      </w:r>
      <w:r w:rsidR="003B50ED">
        <w:rPr>
          <w:rFonts w:cstheme="minorHAnsi"/>
        </w:rPr>
        <w:t xml:space="preserve"> </w:t>
      </w:r>
      <w:r w:rsidRPr="00A26C26">
        <w:rPr>
          <w:rFonts w:cstheme="minorHAnsi"/>
        </w:rPr>
        <w:t>jako</w:t>
      </w:r>
      <w:r w:rsidR="003B50ED">
        <w:rPr>
          <w:rFonts w:cstheme="minorHAnsi"/>
        </w:rPr>
        <w:t xml:space="preserve"> </w:t>
      </w:r>
      <w:r w:rsidRPr="00A26C26">
        <w:rPr>
          <w:rFonts w:cstheme="minorHAnsi"/>
        </w:rPr>
        <w:t>zmiana</w:t>
      </w:r>
      <w:r w:rsidR="003B50ED">
        <w:rPr>
          <w:rFonts w:cstheme="minorHAnsi"/>
        </w:rPr>
        <w:t xml:space="preserve"> </w:t>
      </w:r>
      <w:r w:rsidRPr="00A26C26">
        <w:rPr>
          <w:rFonts w:cstheme="minorHAnsi"/>
        </w:rPr>
        <w:t>mająca</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celu</w:t>
      </w:r>
      <w:r w:rsidR="003B50ED">
        <w:rPr>
          <w:rFonts w:cstheme="minorHAnsi"/>
        </w:rPr>
        <w:t xml:space="preserve"> </w:t>
      </w:r>
      <w:r w:rsidRPr="00A26C26">
        <w:rPr>
          <w:rFonts w:cstheme="minorHAnsi"/>
        </w:rPr>
        <w:t>wdrożenie</w:t>
      </w:r>
      <w:r w:rsidR="003B50ED">
        <w:rPr>
          <w:rFonts w:cstheme="minorHAnsi"/>
        </w:rPr>
        <w:t xml:space="preserve"> </w:t>
      </w:r>
      <w:r w:rsidRPr="00A26C26">
        <w:rPr>
          <w:rFonts w:cstheme="minorHAnsi"/>
        </w:rPr>
        <w:t>nowego</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obszarze</w:t>
      </w:r>
      <w:r w:rsidR="003B50ED">
        <w:rPr>
          <w:rFonts w:cstheme="minorHAnsi"/>
        </w:rPr>
        <w:t xml:space="preserve"> </w:t>
      </w:r>
      <w:r w:rsidRPr="00A26C26">
        <w:rPr>
          <w:rFonts w:cstheme="minorHAnsi"/>
        </w:rPr>
        <w:t>objętym</w:t>
      </w:r>
      <w:r w:rsidR="003B50ED">
        <w:rPr>
          <w:rFonts w:cstheme="minorHAnsi"/>
        </w:rPr>
        <w:t xml:space="preserve"> </w:t>
      </w:r>
      <w:r w:rsidRPr="00A26C26">
        <w:rPr>
          <w:rFonts w:cstheme="minorHAnsi"/>
        </w:rPr>
        <w:t>LSR</w:t>
      </w:r>
      <w:r w:rsidR="003B50ED">
        <w:rPr>
          <w:rFonts w:cstheme="minorHAnsi"/>
        </w:rPr>
        <w:t xml:space="preserve"> </w:t>
      </w:r>
      <w:r w:rsidRPr="00A26C26">
        <w:rPr>
          <w:rFonts w:cstheme="minorHAnsi"/>
        </w:rPr>
        <w:t>lub</w:t>
      </w:r>
      <w:r w:rsidR="003B50ED">
        <w:rPr>
          <w:rFonts w:cstheme="minorHAnsi"/>
        </w:rPr>
        <w:t xml:space="preserve"> </w:t>
      </w:r>
      <w:r w:rsidRPr="00A26C26">
        <w:rPr>
          <w:rFonts w:cstheme="minorHAnsi"/>
        </w:rPr>
        <w:t>znacząco</w:t>
      </w:r>
      <w:r w:rsidR="003B50ED">
        <w:rPr>
          <w:rFonts w:cstheme="minorHAnsi"/>
        </w:rPr>
        <w:t xml:space="preserve"> </w:t>
      </w:r>
      <w:r w:rsidRPr="00A26C26">
        <w:rPr>
          <w:rFonts w:cstheme="minorHAnsi"/>
        </w:rPr>
        <w:t>udoskonalonego</w:t>
      </w:r>
      <w:r w:rsidR="003B50ED">
        <w:rPr>
          <w:rFonts w:cstheme="minorHAnsi"/>
        </w:rPr>
        <w:t xml:space="preserve"> </w:t>
      </w:r>
      <w:r w:rsidRPr="00A26C26">
        <w:rPr>
          <w:rFonts w:cstheme="minorHAnsi"/>
        </w:rPr>
        <w:t>produktu,</w:t>
      </w:r>
      <w:r w:rsidR="003B50ED">
        <w:rPr>
          <w:rFonts w:cstheme="minorHAnsi"/>
        </w:rPr>
        <w:t xml:space="preserve"> </w:t>
      </w:r>
      <w:r w:rsidRPr="00A26C26">
        <w:rPr>
          <w:rFonts w:cstheme="minorHAnsi"/>
        </w:rPr>
        <w:t>usługi,</w:t>
      </w:r>
      <w:r w:rsidR="003B50ED">
        <w:rPr>
          <w:rFonts w:cstheme="minorHAnsi"/>
        </w:rPr>
        <w:t xml:space="preserve"> </w:t>
      </w:r>
      <w:r w:rsidRPr="00A26C26">
        <w:rPr>
          <w:rFonts w:cstheme="minorHAnsi"/>
        </w:rPr>
        <w:t>procesu,</w:t>
      </w:r>
      <w:r w:rsidR="003B50ED">
        <w:rPr>
          <w:rFonts w:cstheme="minorHAnsi"/>
        </w:rPr>
        <w:t xml:space="preserve"> </w:t>
      </w:r>
      <w:r w:rsidRPr="00A26C26">
        <w:rPr>
          <w:rFonts w:cstheme="minorHAnsi"/>
        </w:rPr>
        <w:t>organizacji</w:t>
      </w:r>
      <w:r w:rsidR="003B50ED">
        <w:rPr>
          <w:rFonts w:cstheme="minorHAnsi"/>
        </w:rPr>
        <w:t xml:space="preserve"> </w:t>
      </w:r>
      <w:r w:rsidRPr="00A26C26">
        <w:rPr>
          <w:rFonts w:cstheme="minorHAnsi"/>
        </w:rPr>
        <w:t>lub</w:t>
      </w:r>
      <w:r w:rsidR="003B50ED">
        <w:rPr>
          <w:rFonts w:cstheme="minorHAnsi"/>
        </w:rPr>
        <w:t xml:space="preserve"> </w:t>
      </w:r>
      <w:r w:rsidRPr="00A26C26">
        <w:rPr>
          <w:rFonts w:cstheme="minorHAnsi"/>
        </w:rPr>
        <w:t>nowego</w:t>
      </w:r>
      <w:r w:rsidR="003B50ED">
        <w:rPr>
          <w:rFonts w:cstheme="minorHAnsi"/>
        </w:rPr>
        <w:t xml:space="preserve"> </w:t>
      </w:r>
      <w:r w:rsidRPr="00A26C26">
        <w:rPr>
          <w:rFonts w:cstheme="minorHAnsi"/>
        </w:rPr>
        <w:t>sposobu</w:t>
      </w:r>
      <w:r w:rsidR="003B50ED">
        <w:rPr>
          <w:rFonts w:cstheme="minorHAnsi"/>
        </w:rPr>
        <w:t xml:space="preserve"> </w:t>
      </w:r>
      <w:r w:rsidRPr="00A26C26">
        <w:rPr>
          <w:rFonts w:cstheme="minorHAnsi"/>
        </w:rPr>
        <w:t>wykorzystania</w:t>
      </w:r>
      <w:r w:rsidR="003B50ED">
        <w:rPr>
          <w:rFonts w:cstheme="minorHAnsi"/>
        </w:rPr>
        <w:t xml:space="preserve"> </w:t>
      </w:r>
      <w:r w:rsidRPr="00A26C26">
        <w:rPr>
          <w:rFonts w:cstheme="minorHAnsi"/>
        </w:rPr>
        <w:t>lub</w:t>
      </w:r>
      <w:r w:rsidR="003B50ED">
        <w:rPr>
          <w:rFonts w:cstheme="minorHAnsi"/>
        </w:rPr>
        <w:t xml:space="preserve"> </w:t>
      </w:r>
      <w:r w:rsidRPr="00A26C26">
        <w:rPr>
          <w:rFonts w:cstheme="minorHAnsi"/>
        </w:rPr>
        <w:t>zmobilizowania</w:t>
      </w:r>
      <w:r w:rsidR="003B50ED">
        <w:rPr>
          <w:rFonts w:cstheme="minorHAnsi"/>
        </w:rPr>
        <w:t xml:space="preserve"> </w:t>
      </w:r>
      <w:r w:rsidRPr="00A26C26">
        <w:rPr>
          <w:rFonts w:cstheme="minorHAnsi"/>
        </w:rPr>
        <w:t>istniejących</w:t>
      </w:r>
      <w:r w:rsidR="003B50ED">
        <w:rPr>
          <w:rFonts w:cstheme="minorHAnsi"/>
        </w:rPr>
        <w:t xml:space="preserve"> </w:t>
      </w:r>
      <w:r w:rsidRPr="00A26C26">
        <w:rPr>
          <w:rFonts w:cstheme="minorHAnsi"/>
        </w:rPr>
        <w:t>lokalnych</w:t>
      </w:r>
      <w:r w:rsidR="003B50ED">
        <w:rPr>
          <w:rFonts w:cstheme="minorHAnsi"/>
        </w:rPr>
        <w:t xml:space="preserve"> </w:t>
      </w:r>
      <w:r w:rsidRPr="00A26C26">
        <w:rPr>
          <w:rFonts w:cstheme="minorHAnsi"/>
        </w:rPr>
        <w:t>zasobów</w:t>
      </w:r>
      <w:r w:rsidR="003B50ED">
        <w:rPr>
          <w:rFonts w:cstheme="minorHAnsi"/>
        </w:rPr>
        <w:t xml:space="preserve"> </w:t>
      </w:r>
      <w:r w:rsidRPr="00A26C26">
        <w:rPr>
          <w:rFonts w:cstheme="minorHAnsi"/>
        </w:rPr>
        <w:t>przyrodniczych,</w:t>
      </w:r>
      <w:r w:rsidR="003B50ED">
        <w:rPr>
          <w:rFonts w:cstheme="minorHAnsi"/>
        </w:rPr>
        <w:t xml:space="preserve"> </w:t>
      </w:r>
      <w:r w:rsidRPr="00A26C26">
        <w:rPr>
          <w:rFonts w:cstheme="minorHAnsi"/>
        </w:rPr>
        <w:t>historycznych,</w:t>
      </w:r>
      <w:r w:rsidR="003B50ED">
        <w:rPr>
          <w:rFonts w:cstheme="minorHAnsi"/>
        </w:rPr>
        <w:t xml:space="preserve"> </w:t>
      </w:r>
      <w:r w:rsidRPr="00A26C26">
        <w:rPr>
          <w:rFonts w:cstheme="minorHAnsi"/>
        </w:rPr>
        <w:t>kulturowych</w:t>
      </w:r>
      <w:r w:rsidR="003B50ED">
        <w:rPr>
          <w:rFonts w:cstheme="minorHAnsi"/>
        </w:rPr>
        <w:t xml:space="preserve"> </w:t>
      </w:r>
      <w:r w:rsidRPr="00A26C26">
        <w:rPr>
          <w:rFonts w:cstheme="minorHAnsi"/>
        </w:rPr>
        <w:t>czy</w:t>
      </w:r>
      <w:r w:rsidR="003B50ED">
        <w:rPr>
          <w:rFonts w:cstheme="minorHAnsi"/>
        </w:rPr>
        <w:t xml:space="preserve"> </w:t>
      </w:r>
      <w:r w:rsidRPr="00A26C26">
        <w:rPr>
          <w:rFonts w:cstheme="minorHAnsi"/>
        </w:rPr>
        <w:t>społecznych.</w:t>
      </w:r>
      <w:r w:rsidR="003B50ED">
        <w:rPr>
          <w:rFonts w:cstheme="minorHAnsi"/>
        </w:rPr>
        <w:t xml:space="preserve"> </w:t>
      </w:r>
      <w:r w:rsidRPr="00A26C26">
        <w:rPr>
          <w:rFonts w:cstheme="minorHAnsi"/>
        </w:rPr>
        <w:t>Innowacyjność</w:t>
      </w:r>
      <w:r w:rsidR="003B50ED">
        <w:rPr>
          <w:rFonts w:cstheme="minorHAnsi"/>
        </w:rPr>
        <w:t xml:space="preserve"> </w:t>
      </w:r>
      <w:r w:rsidRPr="00A26C26">
        <w:rPr>
          <w:rFonts w:cstheme="minorHAnsi"/>
        </w:rPr>
        <w:t>pomysłu,</w:t>
      </w:r>
      <w:r w:rsidR="003B50ED">
        <w:rPr>
          <w:rFonts w:cstheme="minorHAnsi"/>
        </w:rPr>
        <w:t xml:space="preserve"> </w:t>
      </w:r>
      <w:r w:rsidRPr="00A26C26">
        <w:rPr>
          <w:rFonts w:cstheme="minorHAnsi"/>
        </w:rPr>
        <w:t>rozwiązania</w:t>
      </w:r>
      <w:r w:rsidR="003B50ED">
        <w:rPr>
          <w:rFonts w:cstheme="minorHAnsi"/>
        </w:rPr>
        <w:t xml:space="preserve"> </w:t>
      </w:r>
      <w:r w:rsidRPr="00A26C26">
        <w:rPr>
          <w:rFonts w:cstheme="minorHAnsi"/>
        </w:rPr>
        <w:t>czy</w:t>
      </w:r>
      <w:r w:rsidR="003B50ED">
        <w:rPr>
          <w:rFonts w:cstheme="minorHAnsi"/>
        </w:rPr>
        <w:t xml:space="preserve"> </w:t>
      </w:r>
      <w:r w:rsidRPr="00A26C26">
        <w:rPr>
          <w:rFonts w:cstheme="minorHAnsi"/>
        </w:rPr>
        <w:t>usługi</w:t>
      </w:r>
      <w:r w:rsidR="003B50ED">
        <w:rPr>
          <w:rFonts w:cstheme="minorHAnsi"/>
        </w:rPr>
        <w:t xml:space="preserve"> </w:t>
      </w:r>
      <w:r w:rsidRPr="00A26C26">
        <w:rPr>
          <w:rFonts w:cstheme="minorHAnsi"/>
        </w:rPr>
        <w:t>zawsze</w:t>
      </w:r>
      <w:r w:rsidR="003B50ED">
        <w:rPr>
          <w:rFonts w:cstheme="minorHAnsi"/>
        </w:rPr>
        <w:t xml:space="preserve"> </w:t>
      </w:r>
      <w:r w:rsidRPr="00A26C26">
        <w:rPr>
          <w:rFonts w:cstheme="minorHAnsi"/>
        </w:rPr>
        <w:t>należy</w:t>
      </w:r>
      <w:r w:rsidR="003B50ED">
        <w:rPr>
          <w:rFonts w:cstheme="minorHAnsi"/>
        </w:rPr>
        <w:t xml:space="preserve"> </w:t>
      </w:r>
      <w:r w:rsidRPr="00A26C26">
        <w:rPr>
          <w:rFonts w:cstheme="minorHAnsi"/>
        </w:rPr>
        <w:t>odnosić</w:t>
      </w:r>
      <w:r w:rsidR="003B50ED">
        <w:rPr>
          <w:rFonts w:cstheme="minorHAnsi"/>
        </w:rPr>
        <w:t xml:space="preserve"> </w:t>
      </w:r>
      <w:r w:rsidRPr="00A26C26">
        <w:rPr>
          <w:rFonts w:cstheme="minorHAnsi"/>
        </w:rPr>
        <w:t>do</w:t>
      </w:r>
      <w:r w:rsidR="003B50ED">
        <w:rPr>
          <w:rFonts w:cstheme="minorHAnsi"/>
        </w:rPr>
        <w:t xml:space="preserve"> </w:t>
      </w:r>
      <w:r w:rsidRPr="00A26C26">
        <w:rPr>
          <w:rFonts w:cstheme="minorHAnsi"/>
        </w:rPr>
        <w:t>kontekstu</w:t>
      </w:r>
      <w:r w:rsidR="003B50ED">
        <w:rPr>
          <w:rFonts w:cstheme="minorHAnsi"/>
        </w:rPr>
        <w:t xml:space="preserve"> </w:t>
      </w:r>
      <w:r w:rsidRPr="00A26C26">
        <w:rPr>
          <w:rFonts w:cstheme="minorHAnsi"/>
        </w:rPr>
        <w:t>lokalnego</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tym</w:t>
      </w:r>
      <w:r w:rsidR="003B50ED">
        <w:rPr>
          <w:rFonts w:cstheme="minorHAnsi"/>
        </w:rPr>
        <w:t xml:space="preserve"> </w:t>
      </w:r>
      <w:r w:rsidRPr="00A26C26">
        <w:rPr>
          <w:rFonts w:cstheme="minorHAnsi"/>
        </w:rPr>
        <w:t>wymiarze</w:t>
      </w:r>
      <w:r w:rsidR="003B50ED">
        <w:rPr>
          <w:rFonts w:cstheme="minorHAnsi"/>
        </w:rPr>
        <w:t xml:space="preserve"> </w:t>
      </w:r>
      <w:r w:rsidRPr="00A26C26">
        <w:rPr>
          <w:rFonts w:cstheme="minorHAnsi"/>
        </w:rPr>
        <w:t>oceniać</w:t>
      </w:r>
      <w:r w:rsidR="003B50ED">
        <w:rPr>
          <w:rFonts w:cstheme="minorHAnsi"/>
        </w:rPr>
        <w:t xml:space="preserve"> </w:t>
      </w:r>
      <w:r w:rsidRPr="00A26C26">
        <w:rPr>
          <w:rFonts w:cstheme="minorHAnsi"/>
        </w:rPr>
        <w:t>jej</w:t>
      </w:r>
      <w:r w:rsidR="003B50ED">
        <w:rPr>
          <w:rFonts w:cstheme="minorHAnsi"/>
        </w:rPr>
        <w:t xml:space="preserve"> </w:t>
      </w:r>
      <w:r w:rsidRPr="00A26C26">
        <w:rPr>
          <w:rFonts w:cstheme="minorHAnsi"/>
        </w:rPr>
        <w:t>stopień</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poziom.</w:t>
      </w:r>
    </w:p>
    <w:p w14:paraId="1387B3FE" w14:textId="12F13CD5" w:rsidR="00C71928" w:rsidRPr="00A26C26" w:rsidRDefault="00C71928" w:rsidP="00A26C26">
      <w:pPr>
        <w:spacing w:line="276" w:lineRule="auto"/>
        <w:ind w:firstLine="284"/>
        <w:jc w:val="both"/>
        <w:rPr>
          <w:rFonts w:cstheme="minorHAnsi"/>
        </w:rPr>
      </w:pPr>
      <w:r w:rsidRPr="00A26C26">
        <w:rPr>
          <w:rFonts w:cstheme="minorHAnsi"/>
        </w:rPr>
        <w:t>Dobiegający</w:t>
      </w:r>
      <w:r w:rsidR="003B50ED">
        <w:rPr>
          <w:rFonts w:cstheme="minorHAnsi"/>
        </w:rPr>
        <w:t xml:space="preserve"> </w:t>
      </w:r>
      <w:r w:rsidRPr="00A26C26">
        <w:rPr>
          <w:rFonts w:cstheme="minorHAnsi"/>
        </w:rPr>
        <w:t>końca</w:t>
      </w:r>
      <w:r w:rsidR="003B50ED">
        <w:rPr>
          <w:rFonts w:cstheme="minorHAnsi"/>
        </w:rPr>
        <w:t xml:space="preserve"> </w:t>
      </w:r>
      <w:r w:rsidRPr="00A26C26">
        <w:rPr>
          <w:rFonts w:cstheme="minorHAnsi"/>
        </w:rPr>
        <w:t>okres</w:t>
      </w:r>
      <w:r w:rsidR="003B50ED">
        <w:rPr>
          <w:rFonts w:cstheme="minorHAnsi"/>
        </w:rPr>
        <w:t xml:space="preserve"> </w:t>
      </w:r>
      <w:r w:rsidRPr="00A26C26">
        <w:rPr>
          <w:rFonts w:cstheme="minorHAnsi"/>
        </w:rPr>
        <w:t>programowania</w:t>
      </w:r>
      <w:r w:rsidR="003B50ED">
        <w:rPr>
          <w:rFonts w:cstheme="minorHAnsi"/>
        </w:rPr>
        <w:t xml:space="preserve"> </w:t>
      </w:r>
      <w:r w:rsidRPr="00A26C26">
        <w:rPr>
          <w:rFonts w:cstheme="minorHAnsi"/>
        </w:rPr>
        <w:t>wyraźnie</w:t>
      </w:r>
      <w:r w:rsidR="003B50ED">
        <w:rPr>
          <w:rFonts w:cstheme="minorHAnsi"/>
        </w:rPr>
        <w:t xml:space="preserve"> </w:t>
      </w:r>
      <w:r w:rsidRPr="00A26C26">
        <w:rPr>
          <w:rFonts w:cstheme="minorHAnsi"/>
        </w:rPr>
        <w:t>pokazał,</w:t>
      </w:r>
      <w:r w:rsidR="003B50ED">
        <w:rPr>
          <w:rFonts w:cstheme="minorHAnsi"/>
        </w:rPr>
        <w:t xml:space="preserve"> </w:t>
      </w:r>
      <w:r w:rsidRPr="00A26C26">
        <w:rPr>
          <w:rFonts w:cstheme="minorHAnsi"/>
        </w:rPr>
        <w:t>że</w:t>
      </w:r>
      <w:r w:rsidR="003B50ED">
        <w:rPr>
          <w:rFonts w:cstheme="minorHAnsi"/>
        </w:rPr>
        <w:t xml:space="preserve"> </w:t>
      </w:r>
      <w:r w:rsidRPr="00A26C26">
        <w:rPr>
          <w:rFonts w:cstheme="minorHAnsi"/>
        </w:rPr>
        <w:t>definicja</w:t>
      </w:r>
      <w:r w:rsidR="003B50ED">
        <w:rPr>
          <w:rFonts w:cstheme="minorHAnsi"/>
        </w:rPr>
        <w:t xml:space="preserve"> </w:t>
      </w:r>
      <w:r w:rsidRPr="00A26C26">
        <w:rPr>
          <w:rFonts w:cstheme="minorHAnsi"/>
        </w:rPr>
        <w:t>jak</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kryteria</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zakresie</w:t>
      </w:r>
      <w:r w:rsidR="003B50ED">
        <w:rPr>
          <w:rFonts w:cstheme="minorHAnsi"/>
        </w:rPr>
        <w:t xml:space="preserve"> </w:t>
      </w:r>
      <w:r w:rsidRPr="00A26C26">
        <w:rPr>
          <w:rFonts w:cstheme="minorHAnsi"/>
        </w:rPr>
        <w:t>innowacyjności</w:t>
      </w:r>
      <w:r w:rsidR="003B50ED">
        <w:rPr>
          <w:rFonts w:cstheme="minorHAnsi"/>
        </w:rPr>
        <w:t xml:space="preserve"> </w:t>
      </w:r>
      <w:r w:rsidRPr="00A26C26">
        <w:rPr>
          <w:rFonts w:cstheme="minorHAnsi"/>
        </w:rPr>
        <w:t>mogły</w:t>
      </w:r>
      <w:r w:rsidR="003B50ED">
        <w:rPr>
          <w:rFonts w:cstheme="minorHAnsi"/>
        </w:rPr>
        <w:t xml:space="preserve"> </w:t>
      </w:r>
      <w:r w:rsidRPr="00A26C26">
        <w:rPr>
          <w:rFonts w:cstheme="minorHAnsi"/>
        </w:rPr>
        <w:t>być</w:t>
      </w:r>
      <w:r w:rsidR="003B50ED">
        <w:rPr>
          <w:rFonts w:cstheme="minorHAnsi"/>
        </w:rPr>
        <w:t xml:space="preserve"> </w:t>
      </w:r>
      <w:r w:rsidRPr="00A26C26">
        <w:rPr>
          <w:rFonts w:cstheme="minorHAnsi"/>
        </w:rPr>
        <w:t>lepiej</w:t>
      </w:r>
      <w:r w:rsidR="003B50ED">
        <w:rPr>
          <w:rFonts w:cstheme="minorHAnsi"/>
        </w:rPr>
        <w:t xml:space="preserve"> </w:t>
      </w:r>
      <w:r w:rsidRPr="00A26C26">
        <w:rPr>
          <w:rFonts w:cstheme="minorHAnsi"/>
        </w:rPr>
        <w:t>doprecyzowane,</w:t>
      </w:r>
      <w:r w:rsidR="003B50ED">
        <w:rPr>
          <w:rFonts w:cstheme="minorHAnsi"/>
        </w:rPr>
        <w:t xml:space="preserve"> </w:t>
      </w:r>
      <w:r w:rsidRPr="00A26C26">
        <w:rPr>
          <w:rFonts w:cstheme="minorHAnsi"/>
        </w:rPr>
        <w:t>dzięki</w:t>
      </w:r>
      <w:r w:rsidR="003B50ED">
        <w:rPr>
          <w:rFonts w:cstheme="minorHAnsi"/>
        </w:rPr>
        <w:t xml:space="preserve"> </w:t>
      </w:r>
      <w:r w:rsidRPr="00A26C26">
        <w:rPr>
          <w:rFonts w:cstheme="minorHAnsi"/>
        </w:rPr>
        <w:t>czemu</w:t>
      </w:r>
      <w:r w:rsidR="003B50ED">
        <w:rPr>
          <w:rFonts w:cstheme="minorHAnsi"/>
        </w:rPr>
        <w:t xml:space="preserve"> </w:t>
      </w:r>
      <w:r w:rsidRPr="00EE6F0C">
        <w:rPr>
          <w:rFonts w:cstheme="minorHAnsi"/>
        </w:rPr>
        <w:t>udałoby</w:t>
      </w:r>
      <w:r w:rsidR="003B50ED" w:rsidRPr="00EE6F0C">
        <w:rPr>
          <w:rFonts w:cstheme="minorHAnsi"/>
        </w:rPr>
        <w:t xml:space="preserve"> </w:t>
      </w:r>
      <w:r w:rsidR="00601F4A" w:rsidRPr="00EE6F0C">
        <w:rPr>
          <w:rFonts w:cstheme="minorHAnsi"/>
        </w:rPr>
        <w:t xml:space="preserve">się </w:t>
      </w:r>
      <w:r w:rsidRPr="00EE6F0C">
        <w:rPr>
          <w:rFonts w:cstheme="minorHAnsi"/>
        </w:rPr>
        <w:t>wyb</w:t>
      </w:r>
      <w:r w:rsidRPr="00A26C26">
        <w:rPr>
          <w:rFonts w:cstheme="minorHAnsi"/>
        </w:rPr>
        <w:t>rać</w:t>
      </w:r>
      <w:r w:rsidR="003B50ED">
        <w:rPr>
          <w:rFonts w:cstheme="minorHAnsi"/>
        </w:rPr>
        <w:t xml:space="preserve"> </w:t>
      </w:r>
      <w:r w:rsidRPr="00A26C26">
        <w:rPr>
          <w:rFonts w:cstheme="minorHAnsi"/>
        </w:rPr>
        <w:t>operacje</w:t>
      </w:r>
      <w:r w:rsidR="003B50ED">
        <w:rPr>
          <w:rFonts w:cstheme="minorHAnsi"/>
        </w:rPr>
        <w:t xml:space="preserve"> </w:t>
      </w:r>
      <w:r w:rsidRPr="00A26C26">
        <w:rPr>
          <w:rFonts w:cstheme="minorHAnsi"/>
        </w:rPr>
        <w:t>innowacyjne</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poziomie</w:t>
      </w:r>
      <w:r w:rsidR="003B50ED">
        <w:rPr>
          <w:rFonts w:cstheme="minorHAnsi"/>
        </w:rPr>
        <w:t xml:space="preserve"> </w:t>
      </w:r>
      <w:r w:rsidRPr="00A26C26">
        <w:rPr>
          <w:rFonts w:cstheme="minorHAnsi"/>
        </w:rPr>
        <w:t>najwyższym</w:t>
      </w:r>
      <w:r w:rsidR="003B50ED">
        <w:rPr>
          <w:rFonts w:cstheme="minorHAnsi"/>
        </w:rPr>
        <w:t xml:space="preserve"> </w:t>
      </w:r>
      <w:r w:rsidRPr="00A26C26">
        <w:rPr>
          <w:rFonts w:cstheme="minorHAnsi"/>
        </w:rPr>
        <w:t>-</w:t>
      </w:r>
      <w:r w:rsidR="003B50ED">
        <w:rPr>
          <w:rFonts w:cstheme="minorHAnsi"/>
        </w:rPr>
        <w:t xml:space="preserve"> </w:t>
      </w:r>
      <w:r w:rsidRPr="00A26C26">
        <w:rPr>
          <w:rFonts w:cstheme="minorHAnsi"/>
        </w:rPr>
        <w:t>kreatywnym</w:t>
      </w:r>
      <w:r w:rsidR="003B50ED">
        <w:rPr>
          <w:rFonts w:cstheme="minorHAnsi"/>
        </w:rPr>
        <w:t xml:space="preserve"> </w:t>
      </w:r>
      <w:r w:rsidRPr="00A26C26">
        <w:rPr>
          <w:rFonts w:cstheme="minorHAnsi"/>
        </w:rPr>
        <w:t>czyli</w:t>
      </w:r>
      <w:r w:rsidR="003B50ED">
        <w:rPr>
          <w:rFonts w:cstheme="minorHAnsi"/>
        </w:rPr>
        <w:t xml:space="preserve"> </w:t>
      </w:r>
      <w:r w:rsidRPr="00A26C26">
        <w:rPr>
          <w:rFonts w:cstheme="minorHAnsi"/>
        </w:rPr>
        <w:t>takie,</w:t>
      </w:r>
      <w:r w:rsidR="003B50ED">
        <w:rPr>
          <w:rFonts w:cstheme="minorHAnsi"/>
        </w:rPr>
        <w:t xml:space="preserve"> </w:t>
      </w:r>
      <w:r w:rsidRPr="00A26C26">
        <w:rPr>
          <w:rFonts w:cstheme="minorHAnsi"/>
        </w:rPr>
        <w:t>które</w:t>
      </w:r>
      <w:r w:rsidR="003B50ED">
        <w:rPr>
          <w:rFonts w:cstheme="minorHAnsi"/>
        </w:rPr>
        <w:t xml:space="preserve"> </w:t>
      </w:r>
      <w:r w:rsidRPr="00A26C26">
        <w:rPr>
          <w:rFonts w:cstheme="minorHAnsi"/>
        </w:rPr>
        <w:t>powstały</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wyniku</w:t>
      </w:r>
      <w:r w:rsidR="003B50ED">
        <w:rPr>
          <w:rFonts w:cstheme="minorHAnsi"/>
        </w:rPr>
        <w:t xml:space="preserve"> </w:t>
      </w:r>
      <w:r w:rsidRPr="00A26C26">
        <w:rPr>
          <w:rFonts w:cstheme="minorHAnsi"/>
        </w:rPr>
        <w:t>autorskiego</w:t>
      </w:r>
      <w:r w:rsidR="003B50ED">
        <w:rPr>
          <w:rFonts w:cstheme="minorHAnsi"/>
        </w:rPr>
        <w:t xml:space="preserve"> </w:t>
      </w:r>
      <w:r w:rsidRPr="00A26C26">
        <w:rPr>
          <w:rFonts w:cstheme="minorHAnsi"/>
        </w:rPr>
        <w:t>pomysłu,</w:t>
      </w:r>
      <w:r w:rsidR="003B50ED">
        <w:rPr>
          <w:rFonts w:cstheme="minorHAnsi"/>
        </w:rPr>
        <w:t xml:space="preserve"> </w:t>
      </w:r>
      <w:r w:rsidRPr="00A26C26">
        <w:rPr>
          <w:rFonts w:cstheme="minorHAnsi"/>
        </w:rPr>
        <w:t>dotyczą</w:t>
      </w:r>
      <w:r w:rsidR="003B50ED">
        <w:rPr>
          <w:rFonts w:cstheme="minorHAnsi"/>
        </w:rPr>
        <w:t xml:space="preserve"> </w:t>
      </w:r>
      <w:r w:rsidRPr="00A26C26">
        <w:rPr>
          <w:rFonts w:cstheme="minorHAnsi"/>
        </w:rPr>
        <w:t>nowych</w:t>
      </w:r>
      <w:r w:rsidR="003B50ED">
        <w:rPr>
          <w:rFonts w:cstheme="minorHAnsi"/>
        </w:rPr>
        <w:t xml:space="preserve"> </w:t>
      </w:r>
      <w:r w:rsidRPr="00A26C26">
        <w:rPr>
          <w:rFonts w:cstheme="minorHAnsi"/>
        </w:rPr>
        <w:t>produktów,</w:t>
      </w:r>
      <w:r w:rsidR="003B50ED">
        <w:rPr>
          <w:rFonts w:cstheme="minorHAnsi"/>
        </w:rPr>
        <w:t xml:space="preserve"> </w:t>
      </w:r>
      <w:r w:rsidRPr="00A26C26">
        <w:rPr>
          <w:rFonts w:cstheme="minorHAnsi"/>
        </w:rPr>
        <w:t>usług,</w:t>
      </w:r>
      <w:r w:rsidR="003B50ED">
        <w:rPr>
          <w:rFonts w:cstheme="minorHAnsi"/>
        </w:rPr>
        <w:t xml:space="preserve"> </w:t>
      </w:r>
      <w:r w:rsidRPr="00A26C26">
        <w:rPr>
          <w:rFonts w:cstheme="minorHAnsi"/>
        </w:rPr>
        <w:t>procesów</w:t>
      </w:r>
      <w:r w:rsidR="003B50ED">
        <w:rPr>
          <w:rFonts w:cstheme="minorHAnsi"/>
        </w:rPr>
        <w:t xml:space="preserve"> </w:t>
      </w:r>
      <w:r w:rsidRPr="00A26C26">
        <w:rPr>
          <w:rFonts w:cstheme="minorHAnsi"/>
        </w:rPr>
        <w:t>lub</w:t>
      </w:r>
      <w:r w:rsidR="003B50ED">
        <w:rPr>
          <w:rFonts w:cstheme="minorHAnsi"/>
        </w:rPr>
        <w:t xml:space="preserve"> </w:t>
      </w:r>
      <w:r w:rsidRPr="00A26C26">
        <w:rPr>
          <w:rFonts w:cstheme="minorHAnsi"/>
        </w:rPr>
        <w:t>organizacji.</w:t>
      </w:r>
      <w:r w:rsidR="003B50ED">
        <w:rPr>
          <w:rFonts w:cstheme="minorHAnsi"/>
        </w:rPr>
        <w:t xml:space="preserve"> </w:t>
      </w:r>
      <w:r w:rsidRPr="00A26C26">
        <w:rPr>
          <w:rFonts w:cstheme="minorHAnsi"/>
        </w:rPr>
        <w:t>To</w:t>
      </w:r>
      <w:r w:rsidR="003B50ED">
        <w:rPr>
          <w:rFonts w:cstheme="minorHAnsi"/>
        </w:rPr>
        <w:t xml:space="preserve"> </w:t>
      </w:r>
      <w:r w:rsidRPr="00A26C26">
        <w:rPr>
          <w:rFonts w:cstheme="minorHAnsi"/>
        </w:rPr>
        <w:t>właśnie</w:t>
      </w:r>
      <w:r w:rsidR="003B50ED">
        <w:rPr>
          <w:rFonts w:cstheme="minorHAnsi"/>
        </w:rPr>
        <w:t xml:space="preserve"> </w:t>
      </w:r>
      <w:r w:rsidRPr="00A26C26">
        <w:rPr>
          <w:rFonts w:cstheme="minorHAnsi"/>
        </w:rPr>
        <w:t>takie</w:t>
      </w:r>
      <w:r w:rsidR="003B50ED">
        <w:rPr>
          <w:rFonts w:cstheme="minorHAnsi"/>
        </w:rPr>
        <w:t xml:space="preserve"> </w:t>
      </w:r>
      <w:r w:rsidRPr="00A26C26">
        <w:rPr>
          <w:rFonts w:cstheme="minorHAnsi"/>
        </w:rPr>
        <w:t>operacje</w:t>
      </w:r>
      <w:r w:rsidR="003B50ED">
        <w:rPr>
          <w:rFonts w:cstheme="minorHAnsi"/>
        </w:rPr>
        <w:t xml:space="preserve"> </w:t>
      </w:r>
      <w:r w:rsidRPr="00A26C26">
        <w:rPr>
          <w:rFonts w:cstheme="minorHAnsi"/>
        </w:rPr>
        <w:t>mają</w:t>
      </w:r>
      <w:r w:rsidR="003B50ED">
        <w:rPr>
          <w:rFonts w:cstheme="minorHAnsi"/>
        </w:rPr>
        <w:t xml:space="preserve"> </w:t>
      </w:r>
      <w:r w:rsidRPr="00A26C26">
        <w:rPr>
          <w:rFonts w:cstheme="minorHAnsi"/>
        </w:rPr>
        <w:t>największy</w:t>
      </w:r>
      <w:r w:rsidR="003B50ED">
        <w:rPr>
          <w:rFonts w:cstheme="minorHAnsi"/>
        </w:rPr>
        <w:t xml:space="preserve"> </w:t>
      </w:r>
      <w:r w:rsidRPr="00A26C26">
        <w:rPr>
          <w:rFonts w:cstheme="minorHAnsi"/>
        </w:rPr>
        <w:t>wpływ</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rozwój</w:t>
      </w:r>
      <w:r w:rsidR="003B50ED">
        <w:rPr>
          <w:rFonts w:cstheme="minorHAnsi"/>
        </w:rPr>
        <w:t xml:space="preserve"> </w:t>
      </w:r>
      <w:r w:rsidRPr="00A26C26">
        <w:rPr>
          <w:rFonts w:cstheme="minorHAnsi"/>
        </w:rPr>
        <w:t>obszaru,</w:t>
      </w:r>
      <w:r w:rsidR="003B50ED">
        <w:rPr>
          <w:rFonts w:cstheme="minorHAnsi"/>
        </w:rPr>
        <w:t xml:space="preserve"> </w:t>
      </w:r>
      <w:r w:rsidRPr="00A26C26">
        <w:rPr>
          <w:rFonts w:cstheme="minorHAnsi"/>
        </w:rPr>
        <w:t>wdrożenia</w:t>
      </w:r>
      <w:r w:rsidR="003B50ED">
        <w:rPr>
          <w:rFonts w:cstheme="minorHAnsi"/>
        </w:rPr>
        <w:t xml:space="preserve"> </w:t>
      </w:r>
      <w:r w:rsidRPr="00A26C26">
        <w:rPr>
          <w:rFonts w:cstheme="minorHAnsi"/>
        </w:rPr>
        <w:t>nowych</w:t>
      </w:r>
      <w:r w:rsidR="003B50ED">
        <w:rPr>
          <w:rFonts w:cstheme="minorHAnsi"/>
        </w:rPr>
        <w:t xml:space="preserve"> </w:t>
      </w:r>
      <w:r w:rsidRPr="00A26C26">
        <w:rPr>
          <w:rFonts w:cstheme="minorHAnsi"/>
        </w:rPr>
        <w:t>usług</w:t>
      </w:r>
      <w:r w:rsidR="003B50ED">
        <w:rPr>
          <w:rFonts w:cstheme="minorHAnsi"/>
        </w:rPr>
        <w:t xml:space="preserve"> </w:t>
      </w:r>
      <w:r w:rsidRPr="00A26C26">
        <w:rPr>
          <w:rFonts w:cstheme="minorHAnsi"/>
        </w:rPr>
        <w:t>technologii</w:t>
      </w:r>
      <w:r w:rsidR="003B50ED">
        <w:rPr>
          <w:rFonts w:cstheme="minorHAnsi"/>
        </w:rPr>
        <w:t xml:space="preserve"> </w:t>
      </w:r>
      <w:r w:rsidRPr="00A26C26">
        <w:rPr>
          <w:rFonts w:cstheme="minorHAnsi"/>
        </w:rPr>
        <w:t>a</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konsekwencji</w:t>
      </w:r>
      <w:r w:rsidR="003B50ED">
        <w:rPr>
          <w:rFonts w:cstheme="minorHAnsi"/>
        </w:rPr>
        <w:t xml:space="preserve"> </w:t>
      </w:r>
      <w:r w:rsidRPr="00A26C26">
        <w:rPr>
          <w:rFonts w:cstheme="minorHAnsi"/>
        </w:rPr>
        <w:t>poprawy</w:t>
      </w:r>
      <w:r w:rsidR="003B50ED">
        <w:rPr>
          <w:rFonts w:cstheme="minorHAnsi"/>
        </w:rPr>
        <w:t xml:space="preserve"> </w:t>
      </w:r>
      <w:r w:rsidRPr="00A26C26">
        <w:rPr>
          <w:rFonts w:cstheme="minorHAnsi"/>
        </w:rPr>
        <w:t>jakości</w:t>
      </w:r>
      <w:r w:rsidR="003B50ED">
        <w:rPr>
          <w:rFonts w:cstheme="minorHAnsi"/>
        </w:rPr>
        <w:t xml:space="preserve"> </w:t>
      </w:r>
      <w:r w:rsidRPr="00A26C26">
        <w:rPr>
          <w:rFonts w:cstheme="minorHAnsi"/>
        </w:rPr>
        <w:t>życia</w:t>
      </w:r>
      <w:r w:rsidR="003B50ED">
        <w:rPr>
          <w:rFonts w:cstheme="minorHAnsi"/>
        </w:rPr>
        <w:t xml:space="preserve"> </w:t>
      </w:r>
      <w:r w:rsidRPr="00A26C26">
        <w:rPr>
          <w:rFonts w:cstheme="minorHAnsi"/>
        </w:rPr>
        <w:t>mieszkańców.</w:t>
      </w:r>
      <w:r w:rsidR="003B50ED">
        <w:rPr>
          <w:rFonts w:cstheme="minorHAnsi"/>
        </w:rPr>
        <w:t xml:space="preserve"> </w:t>
      </w:r>
    </w:p>
    <w:p w14:paraId="5810CD38" w14:textId="29E96040" w:rsidR="00C71928" w:rsidRPr="00A26C26" w:rsidRDefault="00C71928" w:rsidP="00A26C26">
      <w:pPr>
        <w:spacing w:line="276" w:lineRule="auto"/>
        <w:ind w:firstLine="284"/>
        <w:jc w:val="both"/>
        <w:rPr>
          <w:rFonts w:cstheme="minorHAnsi"/>
        </w:rPr>
      </w:pPr>
      <w:r w:rsidRPr="00A26C26">
        <w:rPr>
          <w:rFonts w:cstheme="minorHAnsi"/>
        </w:rPr>
        <w:t>Okres</w:t>
      </w:r>
      <w:r w:rsidR="003B50ED">
        <w:rPr>
          <w:rFonts w:cstheme="minorHAnsi"/>
        </w:rPr>
        <w:t xml:space="preserve"> </w:t>
      </w:r>
      <w:r w:rsidRPr="00A26C26">
        <w:rPr>
          <w:rFonts w:cstheme="minorHAnsi"/>
        </w:rPr>
        <w:t>2014-2020</w:t>
      </w:r>
      <w:r w:rsidR="003B50ED">
        <w:rPr>
          <w:rFonts w:cstheme="minorHAnsi"/>
        </w:rPr>
        <w:t xml:space="preserve"> </w:t>
      </w:r>
      <w:r w:rsidRPr="00A26C26">
        <w:rPr>
          <w:rFonts w:cstheme="minorHAnsi"/>
        </w:rPr>
        <w:t>dotyczył</w:t>
      </w:r>
      <w:r w:rsidR="003B50ED">
        <w:rPr>
          <w:rFonts w:cstheme="minorHAnsi"/>
        </w:rPr>
        <w:t xml:space="preserve"> </w:t>
      </w:r>
      <w:r w:rsidRPr="00A26C26">
        <w:rPr>
          <w:rFonts w:cstheme="minorHAnsi"/>
        </w:rPr>
        <w:t>wdrożenia</w:t>
      </w:r>
      <w:r w:rsidR="003B50ED">
        <w:rPr>
          <w:rFonts w:cstheme="minorHAnsi"/>
        </w:rPr>
        <w:t xml:space="preserve"> </w:t>
      </w:r>
      <w:r w:rsidRPr="00A26C26">
        <w:rPr>
          <w:rFonts w:cstheme="minorHAnsi"/>
        </w:rPr>
        <w:t>innowacji</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poziomie</w:t>
      </w:r>
      <w:r w:rsidR="003B50ED">
        <w:rPr>
          <w:rFonts w:cstheme="minorHAnsi"/>
        </w:rPr>
        <w:t xml:space="preserve"> </w:t>
      </w:r>
      <w:r w:rsidRPr="00A26C26">
        <w:rPr>
          <w:rFonts w:cstheme="minorHAnsi"/>
        </w:rPr>
        <w:t>imitacji</w:t>
      </w:r>
      <w:r w:rsidR="003B50ED">
        <w:rPr>
          <w:rFonts w:cstheme="minorHAnsi"/>
        </w:rPr>
        <w:t xml:space="preserve"> </w:t>
      </w:r>
      <w:r w:rsidRPr="00A26C26">
        <w:rPr>
          <w:rFonts w:cstheme="minorHAnsi"/>
        </w:rPr>
        <w:t>czyli</w:t>
      </w:r>
      <w:r w:rsidR="003B50ED">
        <w:rPr>
          <w:rFonts w:cstheme="minorHAnsi"/>
        </w:rPr>
        <w:t xml:space="preserve"> </w:t>
      </w:r>
      <w:r w:rsidRPr="00A26C26">
        <w:rPr>
          <w:rFonts w:cstheme="minorHAnsi"/>
        </w:rPr>
        <w:t>wzorowania</w:t>
      </w:r>
      <w:r w:rsidR="003B50ED">
        <w:rPr>
          <w:rFonts w:cstheme="minorHAnsi"/>
        </w:rPr>
        <w:t xml:space="preserve"> </w:t>
      </w:r>
      <w:r w:rsidRPr="00A26C26">
        <w:rPr>
          <w:rFonts w:cstheme="minorHAnsi"/>
        </w:rPr>
        <w:t>usług,</w:t>
      </w:r>
      <w:r w:rsidR="003B50ED">
        <w:rPr>
          <w:rFonts w:cstheme="minorHAnsi"/>
        </w:rPr>
        <w:t xml:space="preserve"> </w:t>
      </w:r>
      <w:r w:rsidRPr="00A26C26">
        <w:rPr>
          <w:rFonts w:cstheme="minorHAnsi"/>
        </w:rPr>
        <w:t>produktów</w:t>
      </w:r>
      <w:r w:rsidR="003B50ED">
        <w:rPr>
          <w:rFonts w:cstheme="minorHAnsi"/>
        </w:rPr>
        <w:t xml:space="preserve"> </w:t>
      </w:r>
      <w:r w:rsidR="00D615FF" w:rsidRPr="00A26C26">
        <w:rPr>
          <w:rFonts w:cstheme="minorHAnsi"/>
        </w:rPr>
        <w:br/>
      </w:r>
      <w:r w:rsidRPr="00A26C26">
        <w:rPr>
          <w:rFonts w:cstheme="minorHAnsi"/>
        </w:rPr>
        <w:t>i</w:t>
      </w:r>
      <w:r w:rsidR="003B50ED">
        <w:rPr>
          <w:rFonts w:cstheme="minorHAnsi"/>
        </w:rPr>
        <w:t xml:space="preserve"> </w:t>
      </w:r>
      <w:r w:rsidRPr="00A26C26">
        <w:rPr>
          <w:rFonts w:cstheme="minorHAnsi"/>
        </w:rPr>
        <w:t>rozwiązań</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wcześniej</w:t>
      </w:r>
      <w:r w:rsidR="003B50ED">
        <w:rPr>
          <w:rFonts w:cstheme="minorHAnsi"/>
        </w:rPr>
        <w:t xml:space="preserve"> </w:t>
      </w:r>
      <w:r w:rsidRPr="00A26C26">
        <w:rPr>
          <w:rFonts w:cstheme="minorHAnsi"/>
        </w:rPr>
        <w:t>powstałych</w:t>
      </w:r>
      <w:r w:rsidR="003B50ED">
        <w:rPr>
          <w:rFonts w:cstheme="minorHAnsi"/>
        </w:rPr>
        <w:t xml:space="preserve"> </w:t>
      </w:r>
      <w:r w:rsidRPr="00A26C26">
        <w:rPr>
          <w:rFonts w:cstheme="minorHAnsi"/>
        </w:rPr>
        <w:t>produktach</w:t>
      </w:r>
      <w:r w:rsidR="003B50ED">
        <w:rPr>
          <w:rFonts w:cstheme="minorHAnsi"/>
        </w:rPr>
        <w:t xml:space="preserve"> </w:t>
      </w:r>
      <w:r w:rsidRPr="00A26C26">
        <w:rPr>
          <w:rFonts w:cstheme="minorHAnsi"/>
        </w:rPr>
        <w:t>czy</w:t>
      </w:r>
      <w:r w:rsidR="003B50ED">
        <w:rPr>
          <w:rFonts w:cstheme="minorHAnsi"/>
        </w:rPr>
        <w:t xml:space="preserve"> </w:t>
      </w:r>
      <w:r w:rsidRPr="00A26C26">
        <w:rPr>
          <w:rFonts w:cstheme="minorHAnsi"/>
        </w:rPr>
        <w:t>usługach</w:t>
      </w:r>
      <w:r w:rsidR="003B50ED">
        <w:rPr>
          <w:rFonts w:cstheme="minorHAnsi"/>
        </w:rPr>
        <w:t xml:space="preserve"> </w:t>
      </w:r>
      <w:r w:rsidRPr="00A26C26">
        <w:rPr>
          <w:rFonts w:cstheme="minorHAnsi"/>
        </w:rPr>
        <w:t>a</w:t>
      </w:r>
      <w:r w:rsidR="003B50ED">
        <w:rPr>
          <w:rFonts w:cstheme="minorHAnsi"/>
        </w:rPr>
        <w:t xml:space="preserve"> </w:t>
      </w:r>
      <w:r w:rsidRPr="00A26C26">
        <w:rPr>
          <w:rFonts w:cstheme="minorHAnsi"/>
        </w:rPr>
        <w:t>dotyczących</w:t>
      </w:r>
      <w:r w:rsidR="003B50ED">
        <w:rPr>
          <w:rFonts w:cstheme="minorHAnsi"/>
        </w:rPr>
        <w:t xml:space="preserve"> </w:t>
      </w:r>
      <w:r w:rsidRPr="00A26C26">
        <w:rPr>
          <w:rFonts w:cstheme="minorHAnsi"/>
        </w:rPr>
        <w:t>nowego</w:t>
      </w:r>
      <w:r w:rsidR="003B50ED">
        <w:rPr>
          <w:rFonts w:cstheme="minorHAnsi"/>
        </w:rPr>
        <w:t xml:space="preserve"> </w:t>
      </w:r>
      <w:r w:rsidRPr="00A26C26">
        <w:rPr>
          <w:rFonts w:cstheme="minorHAnsi"/>
        </w:rPr>
        <w:t>sposobu</w:t>
      </w:r>
      <w:r w:rsidR="003B50ED">
        <w:rPr>
          <w:rFonts w:cstheme="minorHAnsi"/>
        </w:rPr>
        <w:t xml:space="preserve"> </w:t>
      </w:r>
      <w:r w:rsidRPr="00A26C26">
        <w:rPr>
          <w:rFonts w:cstheme="minorHAnsi"/>
        </w:rPr>
        <w:t>wykorzystania</w:t>
      </w:r>
      <w:r w:rsidR="003B50ED">
        <w:rPr>
          <w:rFonts w:cstheme="minorHAnsi"/>
        </w:rPr>
        <w:t xml:space="preserve"> </w:t>
      </w:r>
      <w:r w:rsidRPr="00A26C26">
        <w:rPr>
          <w:rFonts w:cstheme="minorHAnsi"/>
        </w:rPr>
        <w:t>lub</w:t>
      </w:r>
      <w:r w:rsidR="003B50ED">
        <w:rPr>
          <w:rFonts w:cstheme="minorHAnsi"/>
        </w:rPr>
        <w:t xml:space="preserve"> </w:t>
      </w:r>
      <w:r w:rsidRPr="00A26C26">
        <w:rPr>
          <w:rFonts w:cstheme="minorHAnsi"/>
        </w:rPr>
        <w:t>zmobilizowania</w:t>
      </w:r>
      <w:r w:rsidR="003B50ED">
        <w:rPr>
          <w:rFonts w:cstheme="minorHAnsi"/>
        </w:rPr>
        <w:t xml:space="preserve"> </w:t>
      </w:r>
      <w:r w:rsidRPr="00A26C26">
        <w:rPr>
          <w:rFonts w:cstheme="minorHAnsi"/>
        </w:rPr>
        <w:t>istniejących</w:t>
      </w:r>
      <w:r w:rsidR="003B50ED">
        <w:rPr>
          <w:rFonts w:cstheme="minorHAnsi"/>
        </w:rPr>
        <w:t xml:space="preserve"> </w:t>
      </w:r>
      <w:r w:rsidRPr="00A26C26">
        <w:rPr>
          <w:rFonts w:cstheme="minorHAnsi"/>
        </w:rPr>
        <w:t>lokalnych</w:t>
      </w:r>
      <w:r w:rsidR="003B50ED">
        <w:rPr>
          <w:rFonts w:cstheme="minorHAnsi"/>
        </w:rPr>
        <w:t xml:space="preserve"> </w:t>
      </w:r>
      <w:r w:rsidRPr="00A26C26">
        <w:rPr>
          <w:rFonts w:cstheme="minorHAnsi"/>
        </w:rPr>
        <w:t>zasobów</w:t>
      </w:r>
      <w:r w:rsidR="003B50ED">
        <w:rPr>
          <w:rFonts w:cstheme="minorHAnsi"/>
        </w:rPr>
        <w:t xml:space="preserve"> </w:t>
      </w:r>
      <w:r w:rsidRPr="00A26C26">
        <w:rPr>
          <w:rFonts w:cstheme="minorHAnsi"/>
        </w:rPr>
        <w:t>przyrodniczych,</w:t>
      </w:r>
      <w:r w:rsidR="003B50ED">
        <w:rPr>
          <w:rFonts w:cstheme="minorHAnsi"/>
        </w:rPr>
        <w:t xml:space="preserve"> </w:t>
      </w:r>
      <w:r w:rsidRPr="00A26C26">
        <w:rPr>
          <w:rFonts w:cstheme="minorHAnsi"/>
        </w:rPr>
        <w:t>historycznych,</w:t>
      </w:r>
      <w:r w:rsidR="003B50ED">
        <w:rPr>
          <w:rFonts w:cstheme="minorHAnsi"/>
        </w:rPr>
        <w:t xml:space="preserve"> </w:t>
      </w:r>
      <w:r w:rsidRPr="00A26C26">
        <w:rPr>
          <w:rFonts w:cstheme="minorHAnsi"/>
        </w:rPr>
        <w:t>kulturowych</w:t>
      </w:r>
      <w:r w:rsidR="003B50ED">
        <w:rPr>
          <w:rFonts w:cstheme="minorHAnsi"/>
        </w:rPr>
        <w:t xml:space="preserve"> </w:t>
      </w:r>
      <w:r w:rsidRPr="00A26C26">
        <w:rPr>
          <w:rFonts w:cstheme="minorHAnsi"/>
        </w:rPr>
        <w:t>czy</w:t>
      </w:r>
      <w:r w:rsidR="003B50ED">
        <w:rPr>
          <w:rFonts w:cstheme="minorHAnsi"/>
        </w:rPr>
        <w:t xml:space="preserve"> </w:t>
      </w:r>
      <w:r w:rsidRPr="00A26C26">
        <w:rPr>
          <w:rFonts w:cstheme="minorHAnsi"/>
        </w:rPr>
        <w:t>społecznych.</w:t>
      </w:r>
      <w:r w:rsidR="003B50ED">
        <w:rPr>
          <w:rFonts w:cstheme="minorHAnsi"/>
        </w:rPr>
        <w:t xml:space="preserve"> </w:t>
      </w:r>
      <w:r w:rsidRPr="00A26C26">
        <w:rPr>
          <w:rFonts w:cstheme="minorHAnsi"/>
        </w:rPr>
        <w:t>Dlatego</w:t>
      </w:r>
      <w:r w:rsidR="003B50ED">
        <w:rPr>
          <w:rFonts w:cstheme="minorHAnsi"/>
        </w:rPr>
        <w:t xml:space="preserve"> </w:t>
      </w:r>
      <w:r w:rsidRPr="00A26C26">
        <w:rPr>
          <w:rFonts w:cstheme="minorHAnsi"/>
        </w:rPr>
        <w:t>też,</w:t>
      </w:r>
      <w:r w:rsidR="003B50ED">
        <w:rPr>
          <w:rFonts w:cstheme="minorHAnsi"/>
        </w:rPr>
        <w:t xml:space="preserve"> </w:t>
      </w:r>
      <w:r w:rsidRPr="00A26C26">
        <w:rPr>
          <w:rFonts w:cstheme="minorHAnsi"/>
        </w:rPr>
        <w:t>jednym</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założeń</w:t>
      </w:r>
      <w:r w:rsidR="003B50ED">
        <w:rPr>
          <w:rFonts w:cstheme="minorHAnsi"/>
        </w:rPr>
        <w:t xml:space="preserve"> </w:t>
      </w:r>
      <w:r w:rsidRPr="00A26C26">
        <w:rPr>
          <w:rFonts w:cstheme="minorHAnsi"/>
        </w:rPr>
        <w:t>niniejszej</w:t>
      </w:r>
      <w:r w:rsidR="003B50ED">
        <w:rPr>
          <w:rFonts w:cstheme="minorHAnsi"/>
        </w:rPr>
        <w:t xml:space="preserve"> </w:t>
      </w:r>
      <w:r w:rsidRPr="00A26C26">
        <w:rPr>
          <w:rFonts w:cstheme="minorHAnsi"/>
        </w:rPr>
        <w:t>LSR</w:t>
      </w:r>
      <w:r w:rsidR="003B50ED">
        <w:rPr>
          <w:rFonts w:cstheme="minorHAnsi"/>
        </w:rPr>
        <w:t xml:space="preserve"> </w:t>
      </w:r>
      <w:r w:rsidRPr="00A26C26">
        <w:rPr>
          <w:rFonts w:cstheme="minorHAnsi"/>
        </w:rPr>
        <w:t>jest</w:t>
      </w:r>
      <w:r w:rsidR="003B50ED">
        <w:rPr>
          <w:rFonts w:cstheme="minorHAnsi"/>
        </w:rPr>
        <w:t xml:space="preserve"> </w:t>
      </w:r>
      <w:r w:rsidRPr="00A26C26">
        <w:rPr>
          <w:rFonts w:cstheme="minorHAnsi"/>
        </w:rPr>
        <w:t>realizacja</w:t>
      </w:r>
      <w:r w:rsidR="003B50ED">
        <w:rPr>
          <w:rFonts w:cstheme="minorHAnsi"/>
        </w:rPr>
        <w:t xml:space="preserve"> </w:t>
      </w:r>
      <w:r w:rsidRPr="00A26C26">
        <w:rPr>
          <w:rFonts w:cstheme="minorHAnsi"/>
        </w:rPr>
        <w:t>operacji</w:t>
      </w:r>
      <w:r w:rsidR="003B50ED">
        <w:rPr>
          <w:rFonts w:cstheme="minorHAnsi"/>
        </w:rPr>
        <w:t xml:space="preserve"> </w:t>
      </w:r>
      <w:r w:rsidRPr="00A26C26">
        <w:rPr>
          <w:rFonts w:cstheme="minorHAnsi"/>
        </w:rPr>
        <w:t>innowacyjnych</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poziomie</w:t>
      </w:r>
      <w:r w:rsidR="003B50ED">
        <w:rPr>
          <w:rFonts w:cstheme="minorHAnsi"/>
        </w:rPr>
        <w:t xml:space="preserve"> </w:t>
      </w:r>
      <w:r w:rsidRPr="00A26C26">
        <w:rPr>
          <w:rFonts w:cstheme="minorHAnsi"/>
        </w:rPr>
        <w:t>kreatywnym.</w:t>
      </w:r>
      <w:r w:rsidR="003B50ED">
        <w:rPr>
          <w:rFonts w:cstheme="minorHAnsi"/>
        </w:rPr>
        <w:t xml:space="preserve"> </w:t>
      </w:r>
    </w:p>
    <w:p w14:paraId="179DD528" w14:textId="45051885" w:rsidR="00C71928" w:rsidRPr="00A26C26" w:rsidRDefault="00C71928" w:rsidP="00A26C26">
      <w:pPr>
        <w:spacing w:line="276" w:lineRule="auto"/>
        <w:ind w:firstLine="284"/>
        <w:jc w:val="both"/>
        <w:rPr>
          <w:rFonts w:cstheme="minorHAnsi"/>
        </w:rPr>
      </w:pPr>
      <w:r w:rsidRPr="00A26C26">
        <w:rPr>
          <w:rFonts w:cstheme="minorHAnsi"/>
        </w:rPr>
        <w:t>Realizacja</w:t>
      </w:r>
      <w:r w:rsidR="003B50ED">
        <w:rPr>
          <w:rFonts w:cstheme="minorHAnsi"/>
        </w:rPr>
        <w:t xml:space="preserve"> </w:t>
      </w:r>
      <w:r w:rsidRPr="00A26C26">
        <w:rPr>
          <w:rFonts w:cstheme="minorHAnsi"/>
        </w:rPr>
        <w:t>strategii</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latach</w:t>
      </w:r>
      <w:r w:rsidR="003B50ED">
        <w:rPr>
          <w:rFonts w:cstheme="minorHAnsi"/>
        </w:rPr>
        <w:t xml:space="preserve"> </w:t>
      </w:r>
      <w:r w:rsidRPr="00A26C26">
        <w:rPr>
          <w:rFonts w:cstheme="minorHAnsi"/>
        </w:rPr>
        <w:t>2007-2013</w:t>
      </w:r>
      <w:r w:rsidR="003B50ED">
        <w:rPr>
          <w:rFonts w:cstheme="minorHAnsi"/>
        </w:rPr>
        <w:t xml:space="preserve"> </w:t>
      </w:r>
      <w:r w:rsidRPr="00A26C26">
        <w:rPr>
          <w:rFonts w:cstheme="minorHAnsi"/>
        </w:rPr>
        <w:t>oraz</w:t>
      </w:r>
      <w:r w:rsidR="003B50ED">
        <w:rPr>
          <w:rFonts w:cstheme="minorHAnsi"/>
        </w:rPr>
        <w:t xml:space="preserve"> </w:t>
      </w:r>
      <w:r w:rsidRPr="00A26C26">
        <w:rPr>
          <w:rFonts w:cstheme="minorHAnsi"/>
        </w:rPr>
        <w:t>2014-2020</w:t>
      </w:r>
      <w:r w:rsidR="003B50ED">
        <w:rPr>
          <w:rFonts w:cstheme="minorHAnsi"/>
        </w:rPr>
        <w:t xml:space="preserve"> </w:t>
      </w:r>
      <w:r w:rsidRPr="00A26C26">
        <w:rPr>
          <w:rFonts w:cstheme="minorHAnsi"/>
        </w:rPr>
        <w:t>oraz</w:t>
      </w:r>
      <w:r w:rsidR="003B50ED">
        <w:rPr>
          <w:rFonts w:cstheme="minorHAnsi"/>
        </w:rPr>
        <w:t xml:space="preserve"> </w:t>
      </w:r>
      <w:r w:rsidRPr="00A26C26">
        <w:rPr>
          <w:rFonts w:cstheme="minorHAnsi"/>
        </w:rPr>
        <w:t>ich</w:t>
      </w:r>
      <w:r w:rsidR="003B50ED">
        <w:rPr>
          <w:rFonts w:cstheme="minorHAnsi"/>
        </w:rPr>
        <w:t xml:space="preserve"> </w:t>
      </w:r>
      <w:r w:rsidRPr="00A26C26">
        <w:rPr>
          <w:rFonts w:cstheme="minorHAnsi"/>
        </w:rPr>
        <w:t>monitoring</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ewaluacja</w:t>
      </w:r>
      <w:r w:rsidR="003B50ED">
        <w:rPr>
          <w:rFonts w:cstheme="minorHAnsi"/>
        </w:rPr>
        <w:t xml:space="preserve"> </w:t>
      </w:r>
      <w:r w:rsidRPr="00A26C26">
        <w:rPr>
          <w:rFonts w:cstheme="minorHAnsi"/>
        </w:rPr>
        <w:t>dostarczyły</w:t>
      </w:r>
      <w:r w:rsidR="003B50ED">
        <w:rPr>
          <w:rFonts w:cstheme="minorHAnsi"/>
        </w:rPr>
        <w:t xml:space="preserve"> </w:t>
      </w:r>
      <w:r w:rsidRPr="00A26C26">
        <w:rPr>
          <w:rFonts w:cstheme="minorHAnsi"/>
        </w:rPr>
        <w:t>LGD</w:t>
      </w:r>
      <w:r w:rsidR="003B50ED">
        <w:rPr>
          <w:rFonts w:cstheme="minorHAnsi"/>
        </w:rPr>
        <w:t xml:space="preserve"> </w:t>
      </w:r>
      <w:r w:rsidRPr="00A26C26">
        <w:rPr>
          <w:rFonts w:cstheme="minorHAnsi"/>
        </w:rPr>
        <w:t>bezcennej</w:t>
      </w:r>
      <w:r w:rsidR="003B50ED">
        <w:rPr>
          <w:rFonts w:cstheme="minorHAnsi"/>
        </w:rPr>
        <w:t xml:space="preserve"> </w:t>
      </w:r>
      <w:r w:rsidRPr="00A26C26">
        <w:rPr>
          <w:rFonts w:cstheme="minorHAnsi"/>
        </w:rPr>
        <w:t>wiedzy</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zakresie</w:t>
      </w:r>
      <w:r w:rsidR="003B50ED">
        <w:rPr>
          <w:rFonts w:cstheme="minorHAnsi"/>
        </w:rPr>
        <w:t xml:space="preserve"> </w:t>
      </w:r>
      <w:r w:rsidRPr="00A26C26">
        <w:rPr>
          <w:rFonts w:cstheme="minorHAnsi"/>
        </w:rPr>
        <w:t>skutecznej</w:t>
      </w:r>
      <w:r w:rsidR="003B50ED">
        <w:rPr>
          <w:rFonts w:cstheme="minorHAnsi"/>
        </w:rPr>
        <w:t xml:space="preserve"> </w:t>
      </w:r>
      <w:r w:rsidRPr="00A26C26">
        <w:rPr>
          <w:rFonts w:cstheme="minorHAnsi"/>
        </w:rPr>
        <w:t>komunikacji</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mieszkańcami.</w:t>
      </w:r>
      <w:r w:rsidR="003B50ED">
        <w:rPr>
          <w:rFonts w:cstheme="minorHAnsi"/>
        </w:rPr>
        <w:t xml:space="preserve"> </w:t>
      </w:r>
      <w:r w:rsidRPr="00A26C26">
        <w:rPr>
          <w:rFonts w:cstheme="minorHAnsi"/>
        </w:rPr>
        <w:t>Społeczność</w:t>
      </w:r>
      <w:r w:rsidR="003B50ED">
        <w:rPr>
          <w:rFonts w:cstheme="minorHAnsi"/>
        </w:rPr>
        <w:t xml:space="preserve"> </w:t>
      </w:r>
      <w:r w:rsidRPr="00A26C26">
        <w:rPr>
          <w:rFonts w:cstheme="minorHAnsi"/>
        </w:rPr>
        <w:t>lokalna</w:t>
      </w:r>
      <w:r w:rsidR="003B50ED">
        <w:rPr>
          <w:rFonts w:cstheme="minorHAnsi"/>
        </w:rPr>
        <w:t xml:space="preserve"> </w:t>
      </w:r>
      <w:r w:rsidRPr="00A26C26">
        <w:rPr>
          <w:rFonts w:cstheme="minorHAnsi"/>
        </w:rPr>
        <w:t>chce</w:t>
      </w:r>
      <w:r w:rsidR="003B50ED">
        <w:rPr>
          <w:rFonts w:cstheme="minorHAnsi"/>
        </w:rPr>
        <w:t xml:space="preserve"> </w:t>
      </w:r>
      <w:r w:rsidRPr="00A26C26">
        <w:rPr>
          <w:rFonts w:cstheme="minorHAnsi"/>
        </w:rPr>
        <w:t>mieć</w:t>
      </w:r>
      <w:r w:rsidR="003B50ED">
        <w:rPr>
          <w:rFonts w:cstheme="minorHAnsi"/>
        </w:rPr>
        <w:t xml:space="preserve"> </w:t>
      </w:r>
      <w:r w:rsidRPr="00A26C26">
        <w:rPr>
          <w:rFonts w:cstheme="minorHAnsi"/>
        </w:rPr>
        <w:t>realny</w:t>
      </w:r>
      <w:r w:rsidR="003B50ED">
        <w:rPr>
          <w:rFonts w:cstheme="minorHAnsi"/>
        </w:rPr>
        <w:t xml:space="preserve"> </w:t>
      </w:r>
      <w:r w:rsidRPr="00A26C26">
        <w:rPr>
          <w:rFonts w:cstheme="minorHAnsi"/>
        </w:rPr>
        <w:t>wpływ</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to,</w:t>
      </w:r>
      <w:r w:rsidR="003B50ED">
        <w:rPr>
          <w:rFonts w:cstheme="minorHAnsi"/>
        </w:rPr>
        <w:t xml:space="preserve"> </w:t>
      </w:r>
      <w:r w:rsidRPr="00A26C26">
        <w:rPr>
          <w:rFonts w:cstheme="minorHAnsi"/>
        </w:rPr>
        <w:t>co</w:t>
      </w:r>
      <w:r w:rsidR="003B50ED">
        <w:rPr>
          <w:rFonts w:cstheme="minorHAnsi"/>
        </w:rPr>
        <w:t xml:space="preserve"> </w:t>
      </w:r>
      <w:r w:rsidRPr="00A26C26">
        <w:rPr>
          <w:rFonts w:cstheme="minorHAnsi"/>
        </w:rPr>
        <w:t>dzieje</w:t>
      </w:r>
      <w:r w:rsidR="003B50ED">
        <w:rPr>
          <w:rFonts w:cstheme="minorHAnsi"/>
        </w:rPr>
        <w:t xml:space="preserve"> </w:t>
      </w:r>
      <w:r w:rsidRPr="00A26C26">
        <w:rPr>
          <w:rFonts w:cstheme="minorHAnsi"/>
        </w:rPr>
        <w:t>się</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„jej”</w:t>
      </w:r>
      <w:r w:rsidR="003B50ED">
        <w:rPr>
          <w:rFonts w:cstheme="minorHAnsi"/>
        </w:rPr>
        <w:t xml:space="preserve"> </w:t>
      </w:r>
      <w:r w:rsidRPr="00A26C26">
        <w:rPr>
          <w:rFonts w:cstheme="minorHAnsi"/>
        </w:rPr>
        <w:t>obszarze</w:t>
      </w:r>
      <w:r w:rsidR="003B50ED">
        <w:rPr>
          <w:rFonts w:cstheme="minorHAnsi"/>
        </w:rPr>
        <w:t xml:space="preserve"> </w:t>
      </w:r>
      <w:r w:rsidRPr="00A26C26">
        <w:rPr>
          <w:rFonts w:cstheme="minorHAnsi"/>
        </w:rPr>
        <w:t>zatem</w:t>
      </w:r>
      <w:r w:rsidR="003B50ED">
        <w:rPr>
          <w:rFonts w:cstheme="minorHAnsi"/>
        </w:rPr>
        <w:t xml:space="preserve"> </w:t>
      </w:r>
      <w:r w:rsidRPr="00A26C26">
        <w:rPr>
          <w:rFonts w:cstheme="minorHAnsi"/>
        </w:rPr>
        <w:t>plan</w:t>
      </w:r>
      <w:r w:rsidR="003B50ED">
        <w:rPr>
          <w:rFonts w:cstheme="minorHAnsi"/>
        </w:rPr>
        <w:t xml:space="preserve"> </w:t>
      </w:r>
      <w:r w:rsidRPr="00A26C26">
        <w:rPr>
          <w:rFonts w:cstheme="minorHAnsi"/>
        </w:rPr>
        <w:t>komunikacji</w:t>
      </w:r>
      <w:r w:rsidR="003B50ED">
        <w:rPr>
          <w:rFonts w:cstheme="minorHAnsi"/>
        </w:rPr>
        <w:t xml:space="preserve"> </w:t>
      </w:r>
      <w:r w:rsidRPr="00A26C26">
        <w:rPr>
          <w:rFonts w:cstheme="minorHAnsi"/>
        </w:rPr>
        <w:t>został</w:t>
      </w:r>
      <w:r w:rsidR="003B50ED">
        <w:rPr>
          <w:rFonts w:cstheme="minorHAnsi"/>
        </w:rPr>
        <w:t xml:space="preserve"> </w:t>
      </w:r>
      <w:r w:rsidRPr="00A26C26">
        <w:rPr>
          <w:rFonts w:cstheme="minorHAnsi"/>
        </w:rPr>
        <w:t>dostosowany</w:t>
      </w:r>
      <w:r w:rsidR="003B50ED">
        <w:rPr>
          <w:rFonts w:cstheme="minorHAnsi"/>
        </w:rPr>
        <w:t xml:space="preserve"> </w:t>
      </w:r>
      <w:r w:rsidRPr="00A26C26">
        <w:rPr>
          <w:rFonts w:cstheme="minorHAnsi"/>
        </w:rPr>
        <w:t>do</w:t>
      </w:r>
      <w:r w:rsidR="003B50ED">
        <w:rPr>
          <w:rFonts w:cstheme="minorHAnsi"/>
        </w:rPr>
        <w:t xml:space="preserve"> </w:t>
      </w:r>
      <w:r w:rsidRPr="00A26C26">
        <w:rPr>
          <w:rFonts w:cstheme="minorHAnsi"/>
        </w:rPr>
        <w:t>wyrażanych</w:t>
      </w:r>
      <w:r w:rsidR="003B50ED">
        <w:rPr>
          <w:rFonts w:cstheme="minorHAnsi"/>
        </w:rPr>
        <w:t xml:space="preserve"> </w:t>
      </w:r>
      <w:r w:rsidRPr="00A26C26">
        <w:rPr>
          <w:rFonts w:cstheme="minorHAnsi"/>
        </w:rPr>
        <w:t>potrzeb</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preferencji</w:t>
      </w:r>
      <w:r w:rsidR="003B50ED">
        <w:rPr>
          <w:rFonts w:cstheme="minorHAnsi"/>
        </w:rPr>
        <w:t xml:space="preserve"> </w:t>
      </w:r>
      <w:r w:rsidRPr="00A26C26">
        <w:rPr>
          <w:rFonts w:cstheme="minorHAnsi"/>
        </w:rPr>
        <w:t>mieszkańców</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tym</w:t>
      </w:r>
      <w:r w:rsidR="003B50ED">
        <w:rPr>
          <w:rFonts w:cstheme="minorHAnsi"/>
        </w:rPr>
        <w:t xml:space="preserve"> </w:t>
      </w:r>
      <w:r w:rsidRPr="00A26C26">
        <w:rPr>
          <w:rFonts w:cstheme="minorHAnsi"/>
        </w:rPr>
        <w:t>potrzeb</w:t>
      </w:r>
      <w:r w:rsidR="003B50ED">
        <w:rPr>
          <w:rFonts w:cstheme="minorHAnsi"/>
        </w:rPr>
        <w:t xml:space="preserve"> </w:t>
      </w:r>
      <w:r w:rsidRPr="00A26C26">
        <w:rPr>
          <w:rFonts w:cstheme="minorHAnsi"/>
        </w:rPr>
        <w:t>seniorów</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osób</w:t>
      </w:r>
      <w:r w:rsidR="003B50ED">
        <w:rPr>
          <w:rFonts w:cstheme="minorHAnsi"/>
        </w:rPr>
        <w:t xml:space="preserve"> </w:t>
      </w:r>
      <w:r w:rsidRPr="00A26C26">
        <w:rPr>
          <w:rFonts w:cstheme="minorHAnsi"/>
        </w:rPr>
        <w:t>młodych</w:t>
      </w:r>
      <w:r w:rsidR="003B50ED">
        <w:rPr>
          <w:rFonts w:cstheme="minorHAnsi"/>
        </w:rPr>
        <w:t xml:space="preserve"> </w:t>
      </w:r>
      <w:r w:rsidRPr="00A26C26">
        <w:rPr>
          <w:rFonts w:cstheme="minorHAnsi"/>
        </w:rPr>
        <w:t>oraz</w:t>
      </w:r>
      <w:r w:rsidR="003B50ED">
        <w:rPr>
          <w:rFonts w:cstheme="minorHAnsi"/>
        </w:rPr>
        <w:t xml:space="preserve"> </w:t>
      </w:r>
      <w:r w:rsidRPr="00A26C26">
        <w:rPr>
          <w:rFonts w:cstheme="minorHAnsi"/>
        </w:rPr>
        <w:t>osób</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niekorzystnej</w:t>
      </w:r>
      <w:r w:rsidR="003B50ED">
        <w:rPr>
          <w:rFonts w:cstheme="minorHAnsi"/>
        </w:rPr>
        <w:t xml:space="preserve"> </w:t>
      </w:r>
      <w:r w:rsidRPr="00A26C26">
        <w:rPr>
          <w:rFonts w:cstheme="minorHAnsi"/>
        </w:rPr>
        <w:t>sytuacji.</w:t>
      </w:r>
    </w:p>
    <w:p w14:paraId="1D072405" w14:textId="4BB77B57" w:rsidR="00C71928" w:rsidRPr="00A26C26" w:rsidRDefault="00C71928" w:rsidP="00A26C26">
      <w:pPr>
        <w:spacing w:line="276" w:lineRule="auto"/>
        <w:ind w:firstLine="284"/>
        <w:jc w:val="both"/>
        <w:rPr>
          <w:rFonts w:cstheme="minorHAnsi"/>
        </w:rPr>
      </w:pPr>
      <w:r w:rsidRPr="00A26C26">
        <w:rPr>
          <w:rFonts w:cstheme="minorHAnsi"/>
        </w:rPr>
        <w:t>Sposób</w:t>
      </w:r>
      <w:r w:rsidR="003B50ED">
        <w:rPr>
          <w:rFonts w:cstheme="minorHAnsi"/>
        </w:rPr>
        <w:t xml:space="preserve"> </w:t>
      </w:r>
      <w:r w:rsidRPr="00A26C26">
        <w:rPr>
          <w:rFonts w:cstheme="minorHAnsi"/>
        </w:rPr>
        <w:t>komunikacji</w:t>
      </w:r>
      <w:r w:rsidR="003B50ED">
        <w:rPr>
          <w:rFonts w:cstheme="minorHAnsi"/>
        </w:rPr>
        <w:t xml:space="preserve"> </w:t>
      </w:r>
      <w:r w:rsidRPr="00A26C26">
        <w:rPr>
          <w:rFonts w:cstheme="minorHAnsi"/>
        </w:rPr>
        <w:t>został</w:t>
      </w:r>
      <w:r w:rsidR="003B50ED">
        <w:rPr>
          <w:rFonts w:cstheme="minorHAnsi"/>
        </w:rPr>
        <w:t xml:space="preserve"> </w:t>
      </w:r>
      <w:r w:rsidRPr="00A26C26">
        <w:rPr>
          <w:rFonts w:cstheme="minorHAnsi"/>
        </w:rPr>
        <w:t>tak</w:t>
      </w:r>
      <w:r w:rsidR="003B50ED">
        <w:rPr>
          <w:rFonts w:cstheme="minorHAnsi"/>
        </w:rPr>
        <w:t xml:space="preserve"> </w:t>
      </w:r>
      <w:r w:rsidRPr="00A26C26">
        <w:rPr>
          <w:rFonts w:cstheme="minorHAnsi"/>
        </w:rPr>
        <w:t>zaplanowany</w:t>
      </w:r>
      <w:r w:rsidR="003B50ED">
        <w:rPr>
          <w:rFonts w:cstheme="minorHAnsi"/>
        </w:rPr>
        <w:t xml:space="preserve"> </w:t>
      </w:r>
      <w:r w:rsidRPr="00A26C26">
        <w:rPr>
          <w:rFonts w:cstheme="minorHAnsi"/>
        </w:rPr>
        <w:t>aby</w:t>
      </w:r>
      <w:r w:rsidR="003B50ED">
        <w:rPr>
          <w:rFonts w:cstheme="minorHAnsi"/>
        </w:rPr>
        <w:t xml:space="preserve"> </w:t>
      </w:r>
      <w:r w:rsidRPr="00A26C26">
        <w:rPr>
          <w:rFonts w:cstheme="minorHAnsi"/>
        </w:rPr>
        <w:t>przekaz</w:t>
      </w:r>
      <w:r w:rsidR="003B50ED">
        <w:rPr>
          <w:rFonts w:cstheme="minorHAnsi"/>
        </w:rPr>
        <w:t xml:space="preserve"> </w:t>
      </w:r>
      <w:r w:rsidRPr="00A26C26">
        <w:rPr>
          <w:rFonts w:cstheme="minorHAnsi"/>
        </w:rPr>
        <w:t>był</w:t>
      </w:r>
      <w:r w:rsidR="003B50ED">
        <w:rPr>
          <w:rFonts w:cstheme="minorHAnsi"/>
        </w:rPr>
        <w:t xml:space="preserve"> </w:t>
      </w:r>
      <w:r w:rsidRPr="00A26C26">
        <w:rPr>
          <w:rFonts w:cstheme="minorHAnsi"/>
        </w:rPr>
        <w:t>czytelny</w:t>
      </w:r>
      <w:r w:rsidR="003B50ED">
        <w:rPr>
          <w:rFonts w:cstheme="minorHAnsi"/>
        </w:rPr>
        <w:t xml:space="preserve"> </w:t>
      </w:r>
      <w:r w:rsidRPr="00A26C26">
        <w:rPr>
          <w:rFonts w:cstheme="minorHAnsi"/>
        </w:rPr>
        <w:t>dla</w:t>
      </w:r>
      <w:r w:rsidR="003B50ED">
        <w:rPr>
          <w:rFonts w:cstheme="minorHAnsi"/>
        </w:rPr>
        <w:t xml:space="preserve"> </w:t>
      </w:r>
      <w:r w:rsidRPr="00A26C26">
        <w:rPr>
          <w:rFonts w:cstheme="minorHAnsi"/>
        </w:rPr>
        <w:t>każdego</w:t>
      </w:r>
      <w:r w:rsidR="003B50ED">
        <w:rPr>
          <w:rFonts w:cstheme="minorHAnsi"/>
        </w:rPr>
        <w:t xml:space="preserve"> </w:t>
      </w:r>
      <w:r w:rsidRPr="00A26C26">
        <w:rPr>
          <w:rFonts w:cstheme="minorHAnsi"/>
        </w:rPr>
        <w:t>odbiorcy.</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przypadku</w:t>
      </w:r>
      <w:r w:rsidR="003B50ED">
        <w:rPr>
          <w:rFonts w:cstheme="minorHAnsi"/>
        </w:rPr>
        <w:t xml:space="preserve"> </w:t>
      </w:r>
      <w:r w:rsidRPr="00A26C26">
        <w:rPr>
          <w:rFonts w:cstheme="minorHAnsi"/>
        </w:rPr>
        <w:t>seniorów</w:t>
      </w:r>
      <w:r w:rsidR="003B50ED">
        <w:rPr>
          <w:rFonts w:cstheme="minorHAnsi"/>
        </w:rPr>
        <w:t xml:space="preserve"> </w:t>
      </w:r>
      <w:r w:rsidRPr="00A26C26">
        <w:rPr>
          <w:rFonts w:cstheme="minorHAnsi"/>
        </w:rPr>
        <w:t>oraz</w:t>
      </w:r>
      <w:r w:rsidR="003B50ED">
        <w:rPr>
          <w:rFonts w:cstheme="minorHAnsi"/>
        </w:rPr>
        <w:t xml:space="preserve"> </w:t>
      </w:r>
      <w:r w:rsidRPr="00A26C26">
        <w:rPr>
          <w:rFonts w:cstheme="minorHAnsi"/>
        </w:rPr>
        <w:t>mieszkańców</w:t>
      </w:r>
      <w:r w:rsidR="003B50ED">
        <w:rPr>
          <w:rFonts w:cstheme="minorHAnsi"/>
        </w:rPr>
        <w:t xml:space="preserve"> </w:t>
      </w:r>
      <w:r w:rsidRPr="00A26C26">
        <w:rPr>
          <w:rFonts w:cstheme="minorHAnsi"/>
        </w:rPr>
        <w:t>obszarów</w:t>
      </w:r>
      <w:r w:rsidR="003B50ED">
        <w:rPr>
          <w:rFonts w:cstheme="minorHAnsi"/>
        </w:rPr>
        <w:t xml:space="preserve"> </w:t>
      </w:r>
      <w:r w:rsidRPr="00A26C26">
        <w:rPr>
          <w:rFonts w:cstheme="minorHAnsi"/>
        </w:rPr>
        <w:t>po-PGR,</w:t>
      </w:r>
      <w:r w:rsidR="003B50ED">
        <w:rPr>
          <w:rFonts w:cstheme="minorHAnsi"/>
        </w:rPr>
        <w:t xml:space="preserve"> </w:t>
      </w:r>
      <w:r w:rsidRPr="00A26C26">
        <w:rPr>
          <w:rFonts w:cstheme="minorHAnsi"/>
        </w:rPr>
        <w:t>które</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pewnym</w:t>
      </w:r>
      <w:r w:rsidR="003B50ED">
        <w:rPr>
          <w:rFonts w:cstheme="minorHAnsi"/>
        </w:rPr>
        <w:t xml:space="preserve"> </w:t>
      </w:r>
      <w:r w:rsidRPr="00A26C26">
        <w:rPr>
          <w:rFonts w:cstheme="minorHAnsi"/>
        </w:rPr>
        <w:t>zakresie</w:t>
      </w:r>
      <w:r w:rsidR="003B50ED">
        <w:rPr>
          <w:rFonts w:cstheme="minorHAnsi"/>
        </w:rPr>
        <w:t xml:space="preserve"> </w:t>
      </w:r>
      <w:r w:rsidRPr="00A26C26">
        <w:rPr>
          <w:rFonts w:cstheme="minorHAnsi"/>
        </w:rPr>
        <w:t>mogą</w:t>
      </w:r>
      <w:r w:rsidR="003B50ED">
        <w:rPr>
          <w:rFonts w:cstheme="minorHAnsi"/>
        </w:rPr>
        <w:t xml:space="preserve"> </w:t>
      </w:r>
      <w:r w:rsidRPr="00A26C26">
        <w:rPr>
          <w:rFonts w:cstheme="minorHAnsi"/>
        </w:rPr>
        <w:t>być</w:t>
      </w:r>
      <w:r w:rsidR="003B50ED">
        <w:rPr>
          <w:rFonts w:cstheme="minorHAnsi"/>
        </w:rPr>
        <w:t xml:space="preserve"> </w:t>
      </w:r>
      <w:r w:rsidRPr="00A26C26">
        <w:rPr>
          <w:rFonts w:cstheme="minorHAnsi"/>
        </w:rPr>
        <w:t>wykluczone</w:t>
      </w:r>
      <w:r w:rsidR="003B50ED">
        <w:rPr>
          <w:rFonts w:cstheme="minorHAnsi"/>
        </w:rPr>
        <w:t xml:space="preserve"> </w:t>
      </w:r>
      <w:r w:rsidRPr="00A26C26">
        <w:rPr>
          <w:rFonts w:cstheme="minorHAnsi"/>
        </w:rPr>
        <w:t>cyfrowo</w:t>
      </w:r>
      <w:r w:rsidR="003B50ED">
        <w:rPr>
          <w:rFonts w:cstheme="minorHAnsi"/>
        </w:rPr>
        <w:t xml:space="preserve"> </w:t>
      </w:r>
      <w:r w:rsidR="00D615FF" w:rsidRPr="00A26C26">
        <w:rPr>
          <w:rFonts w:cstheme="minorHAnsi"/>
        </w:rPr>
        <w:br/>
      </w:r>
      <w:r w:rsidRPr="00A26C26">
        <w:rPr>
          <w:rFonts w:cstheme="minorHAnsi"/>
        </w:rPr>
        <w:t>i</w:t>
      </w:r>
      <w:r w:rsidR="003B50ED">
        <w:rPr>
          <w:rFonts w:cstheme="minorHAnsi"/>
        </w:rPr>
        <w:t xml:space="preserve"> </w:t>
      </w:r>
      <w:r w:rsidRPr="00A26C26">
        <w:rPr>
          <w:rFonts w:cstheme="minorHAnsi"/>
        </w:rPr>
        <w:t>komunikacyjnie,</w:t>
      </w:r>
      <w:r w:rsidR="003B50ED">
        <w:rPr>
          <w:rFonts w:cstheme="minorHAnsi"/>
        </w:rPr>
        <w:t xml:space="preserve"> </w:t>
      </w:r>
      <w:r w:rsidRPr="00A26C26">
        <w:rPr>
          <w:rFonts w:cstheme="minorHAnsi"/>
        </w:rPr>
        <w:t>dostępna</w:t>
      </w:r>
      <w:r w:rsidR="003B50ED">
        <w:rPr>
          <w:rFonts w:cstheme="minorHAnsi"/>
        </w:rPr>
        <w:t xml:space="preserve"> </w:t>
      </w:r>
      <w:r w:rsidRPr="00EE6F0C">
        <w:rPr>
          <w:rFonts w:cstheme="minorHAnsi"/>
        </w:rPr>
        <w:t>będzie</w:t>
      </w:r>
      <w:r w:rsidR="003B50ED" w:rsidRPr="00EE6F0C">
        <w:rPr>
          <w:rFonts w:cstheme="minorHAnsi"/>
        </w:rPr>
        <w:t xml:space="preserve"> </w:t>
      </w:r>
      <w:r w:rsidRPr="00EE6F0C">
        <w:rPr>
          <w:rFonts w:cstheme="minorHAnsi"/>
        </w:rPr>
        <w:t>papierowa</w:t>
      </w:r>
      <w:r w:rsidR="003B50ED" w:rsidRPr="00EE6F0C">
        <w:rPr>
          <w:rFonts w:cstheme="minorHAnsi"/>
        </w:rPr>
        <w:t xml:space="preserve"> </w:t>
      </w:r>
      <w:r w:rsidR="00601F4A" w:rsidRPr="00EE6F0C">
        <w:rPr>
          <w:rFonts w:cstheme="minorHAnsi"/>
        </w:rPr>
        <w:t xml:space="preserve">wersja </w:t>
      </w:r>
      <w:r w:rsidRPr="00EE6F0C">
        <w:rPr>
          <w:rFonts w:cstheme="minorHAnsi"/>
        </w:rPr>
        <w:t>formu</w:t>
      </w:r>
      <w:r w:rsidRPr="00A26C26">
        <w:rPr>
          <w:rFonts w:cstheme="minorHAnsi"/>
        </w:rPr>
        <w:t>larzy,</w:t>
      </w:r>
      <w:r w:rsidR="003B50ED">
        <w:rPr>
          <w:rFonts w:cstheme="minorHAnsi"/>
        </w:rPr>
        <w:t xml:space="preserve"> </w:t>
      </w:r>
      <w:r w:rsidRPr="00A26C26">
        <w:rPr>
          <w:rFonts w:cstheme="minorHAnsi"/>
        </w:rPr>
        <w:t>która</w:t>
      </w:r>
      <w:r w:rsidR="003B50ED">
        <w:rPr>
          <w:rFonts w:cstheme="minorHAnsi"/>
        </w:rPr>
        <w:t xml:space="preserve"> </w:t>
      </w:r>
      <w:r w:rsidRPr="00A26C26">
        <w:rPr>
          <w:rFonts w:cstheme="minorHAnsi"/>
        </w:rPr>
        <w:t>będzie</w:t>
      </w:r>
      <w:r w:rsidR="003B50ED">
        <w:rPr>
          <w:rFonts w:cstheme="minorHAnsi"/>
        </w:rPr>
        <w:t xml:space="preserve"> </w:t>
      </w:r>
      <w:r w:rsidRPr="00A26C26">
        <w:rPr>
          <w:rFonts w:cstheme="minorHAnsi"/>
        </w:rPr>
        <w:t>dostarczona</w:t>
      </w:r>
      <w:r w:rsidR="003B50ED">
        <w:rPr>
          <w:rFonts w:cstheme="minorHAnsi"/>
        </w:rPr>
        <w:t xml:space="preserve"> </w:t>
      </w:r>
      <w:r w:rsidRPr="00A26C26">
        <w:rPr>
          <w:rFonts w:cstheme="minorHAnsi"/>
        </w:rPr>
        <w:t>do</w:t>
      </w:r>
      <w:r w:rsidR="003B50ED">
        <w:rPr>
          <w:rFonts w:cstheme="minorHAnsi"/>
        </w:rPr>
        <w:t xml:space="preserve"> </w:t>
      </w:r>
      <w:r w:rsidRPr="00A26C26">
        <w:rPr>
          <w:rFonts w:cstheme="minorHAnsi"/>
        </w:rPr>
        <w:t>miejsc</w:t>
      </w:r>
      <w:r w:rsidR="003B50ED">
        <w:rPr>
          <w:rFonts w:cstheme="minorHAnsi"/>
        </w:rPr>
        <w:t xml:space="preserve"> </w:t>
      </w:r>
      <w:r w:rsidRPr="00A26C26">
        <w:rPr>
          <w:rFonts w:cstheme="minorHAnsi"/>
        </w:rPr>
        <w:t>publicznych</w:t>
      </w:r>
      <w:r w:rsidR="003B50ED">
        <w:rPr>
          <w:rFonts w:cstheme="minorHAnsi"/>
        </w:rPr>
        <w:t xml:space="preserve"> </w:t>
      </w:r>
      <w:r w:rsidRPr="00A26C26">
        <w:rPr>
          <w:rFonts w:cstheme="minorHAnsi"/>
        </w:rPr>
        <w:t>znajdujących</w:t>
      </w:r>
      <w:r w:rsidR="003B50ED">
        <w:rPr>
          <w:rFonts w:cstheme="minorHAnsi"/>
        </w:rPr>
        <w:t xml:space="preserve"> </w:t>
      </w:r>
      <w:r w:rsidRPr="00A26C26">
        <w:rPr>
          <w:rFonts w:cstheme="minorHAnsi"/>
        </w:rPr>
        <w:t>się</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najbliższej</w:t>
      </w:r>
      <w:r w:rsidR="003B50ED">
        <w:rPr>
          <w:rFonts w:cstheme="minorHAnsi"/>
        </w:rPr>
        <w:t xml:space="preserve"> </w:t>
      </w:r>
      <w:r w:rsidRPr="00A26C26">
        <w:rPr>
          <w:rFonts w:cstheme="minorHAnsi"/>
        </w:rPr>
        <w:t>odległości</w:t>
      </w:r>
      <w:r w:rsidR="003B50ED">
        <w:rPr>
          <w:rFonts w:cstheme="minorHAnsi"/>
        </w:rPr>
        <w:t xml:space="preserve"> </w:t>
      </w:r>
      <w:r w:rsidRPr="00A26C26">
        <w:rPr>
          <w:rFonts w:cstheme="minorHAnsi"/>
        </w:rPr>
        <w:t>od</w:t>
      </w:r>
      <w:r w:rsidR="003B50ED">
        <w:rPr>
          <w:rFonts w:cstheme="minorHAnsi"/>
        </w:rPr>
        <w:t xml:space="preserve"> </w:t>
      </w:r>
      <w:r w:rsidRPr="00A26C26">
        <w:rPr>
          <w:rFonts w:cstheme="minorHAnsi"/>
        </w:rPr>
        <w:t>miejsca</w:t>
      </w:r>
      <w:r w:rsidR="003B50ED">
        <w:rPr>
          <w:rFonts w:cstheme="minorHAnsi"/>
        </w:rPr>
        <w:t xml:space="preserve"> </w:t>
      </w:r>
      <w:r w:rsidRPr="00A26C26">
        <w:rPr>
          <w:rFonts w:cstheme="minorHAnsi"/>
        </w:rPr>
        <w:t>zamieszkania.</w:t>
      </w:r>
      <w:r w:rsidR="003B50ED">
        <w:rPr>
          <w:rFonts w:cstheme="minorHAnsi"/>
        </w:rPr>
        <w:t xml:space="preserve"> </w:t>
      </w:r>
      <w:r w:rsidRPr="00A26C26">
        <w:rPr>
          <w:rFonts w:cstheme="minorHAnsi"/>
        </w:rPr>
        <w:t>Osoby</w:t>
      </w:r>
      <w:r w:rsidR="003B50ED">
        <w:rPr>
          <w:rFonts w:cstheme="minorHAnsi"/>
        </w:rPr>
        <w:t xml:space="preserve"> </w:t>
      </w:r>
      <w:r w:rsidRPr="00A26C26">
        <w:rPr>
          <w:rFonts w:cstheme="minorHAnsi"/>
        </w:rPr>
        <w:t>te</w:t>
      </w:r>
      <w:r w:rsidR="003B50ED">
        <w:rPr>
          <w:rFonts w:cstheme="minorHAnsi"/>
        </w:rPr>
        <w:t xml:space="preserve"> </w:t>
      </w:r>
      <w:r w:rsidRPr="00A26C26">
        <w:rPr>
          <w:rFonts w:cstheme="minorHAnsi"/>
        </w:rPr>
        <w:t>będą</w:t>
      </w:r>
      <w:r w:rsidR="003B50ED">
        <w:rPr>
          <w:rFonts w:cstheme="minorHAnsi"/>
        </w:rPr>
        <w:t xml:space="preserve"> </w:t>
      </w:r>
      <w:r w:rsidRPr="00A26C26">
        <w:rPr>
          <w:rFonts w:cstheme="minorHAnsi"/>
        </w:rPr>
        <w:t>mogły</w:t>
      </w:r>
      <w:r w:rsidR="003B50ED">
        <w:rPr>
          <w:rFonts w:cstheme="minorHAnsi"/>
        </w:rPr>
        <w:t xml:space="preserve"> </w:t>
      </w:r>
      <w:r w:rsidRPr="00A26C26">
        <w:rPr>
          <w:rFonts w:cstheme="minorHAnsi"/>
        </w:rPr>
        <w:t>wyrazić</w:t>
      </w:r>
      <w:r w:rsidR="003B50ED">
        <w:rPr>
          <w:rFonts w:cstheme="minorHAnsi"/>
        </w:rPr>
        <w:t xml:space="preserve"> </w:t>
      </w:r>
      <w:r w:rsidRPr="00A26C26">
        <w:rPr>
          <w:rFonts w:cstheme="minorHAnsi"/>
        </w:rPr>
        <w:t>swoją</w:t>
      </w:r>
      <w:r w:rsidR="003B50ED">
        <w:rPr>
          <w:rFonts w:cstheme="minorHAnsi"/>
        </w:rPr>
        <w:t xml:space="preserve"> </w:t>
      </w:r>
      <w:r w:rsidRPr="00A26C26">
        <w:rPr>
          <w:rFonts w:cstheme="minorHAnsi"/>
        </w:rPr>
        <w:t>opinię</w:t>
      </w:r>
      <w:r w:rsidR="003B50ED">
        <w:rPr>
          <w:rFonts w:cstheme="minorHAnsi"/>
        </w:rPr>
        <w:t xml:space="preserve"> </w:t>
      </w:r>
      <w:r w:rsidRPr="00A26C26">
        <w:rPr>
          <w:rFonts w:cstheme="minorHAnsi"/>
        </w:rPr>
        <w:t>podczas</w:t>
      </w:r>
      <w:r w:rsidR="003B50ED">
        <w:rPr>
          <w:rFonts w:cstheme="minorHAnsi"/>
        </w:rPr>
        <w:t xml:space="preserve"> </w:t>
      </w:r>
      <w:r w:rsidRPr="00A26C26">
        <w:rPr>
          <w:rFonts w:cstheme="minorHAnsi"/>
        </w:rPr>
        <w:t>konsultacji</w:t>
      </w:r>
      <w:r w:rsidR="003B50ED">
        <w:rPr>
          <w:rFonts w:cstheme="minorHAnsi"/>
        </w:rPr>
        <w:t xml:space="preserve"> </w:t>
      </w:r>
      <w:r w:rsidRPr="00A26C26">
        <w:rPr>
          <w:rFonts w:cstheme="minorHAnsi"/>
        </w:rPr>
        <w:t>telefonicznej</w:t>
      </w:r>
      <w:r w:rsidR="003B50ED">
        <w:rPr>
          <w:rFonts w:cstheme="minorHAnsi"/>
        </w:rPr>
        <w:t xml:space="preserve"> </w:t>
      </w:r>
      <w:r w:rsidRPr="00A26C26">
        <w:rPr>
          <w:rFonts w:cstheme="minorHAnsi"/>
        </w:rPr>
        <w:t>czy</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mobilnym</w:t>
      </w:r>
      <w:r w:rsidR="003B50ED">
        <w:rPr>
          <w:rFonts w:cstheme="minorHAnsi"/>
        </w:rPr>
        <w:t xml:space="preserve"> </w:t>
      </w:r>
      <w:r w:rsidRPr="00A26C26">
        <w:rPr>
          <w:rFonts w:cstheme="minorHAnsi"/>
        </w:rPr>
        <w:t>punkcie</w:t>
      </w:r>
      <w:r w:rsidR="003B50ED">
        <w:rPr>
          <w:rFonts w:cstheme="minorHAnsi"/>
        </w:rPr>
        <w:t xml:space="preserve"> </w:t>
      </w:r>
      <w:r w:rsidRPr="00A26C26">
        <w:rPr>
          <w:rFonts w:cstheme="minorHAnsi"/>
        </w:rPr>
        <w:t>konsultacyjnym.</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kolei</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przypadku</w:t>
      </w:r>
      <w:r w:rsidR="003B50ED">
        <w:rPr>
          <w:rFonts w:cstheme="minorHAnsi"/>
        </w:rPr>
        <w:t xml:space="preserve"> </w:t>
      </w:r>
      <w:r w:rsidRPr="00A26C26">
        <w:rPr>
          <w:rFonts w:cstheme="minorHAnsi"/>
        </w:rPr>
        <w:t>osób</w:t>
      </w:r>
      <w:r w:rsidR="003B50ED">
        <w:rPr>
          <w:rFonts w:cstheme="minorHAnsi"/>
        </w:rPr>
        <w:t xml:space="preserve"> </w:t>
      </w:r>
      <w:r w:rsidRPr="00A26C26">
        <w:rPr>
          <w:rFonts w:cstheme="minorHAnsi"/>
        </w:rPr>
        <w:t>młodych</w:t>
      </w:r>
      <w:r w:rsidR="003B50ED">
        <w:rPr>
          <w:rFonts w:cstheme="minorHAnsi"/>
        </w:rPr>
        <w:t xml:space="preserve"> </w:t>
      </w:r>
      <w:r w:rsidRPr="00A26C26">
        <w:rPr>
          <w:rFonts w:cstheme="minorHAnsi"/>
        </w:rPr>
        <w:t>najdogodniejszą</w:t>
      </w:r>
      <w:r w:rsidR="003B50ED">
        <w:rPr>
          <w:rFonts w:cstheme="minorHAnsi"/>
        </w:rPr>
        <w:t xml:space="preserve"> </w:t>
      </w:r>
      <w:r w:rsidRPr="00A26C26">
        <w:rPr>
          <w:rFonts w:cstheme="minorHAnsi"/>
        </w:rPr>
        <w:t>formą</w:t>
      </w:r>
      <w:r w:rsidR="003B50ED">
        <w:rPr>
          <w:rFonts w:cstheme="minorHAnsi"/>
        </w:rPr>
        <w:t xml:space="preserve"> </w:t>
      </w:r>
      <w:r w:rsidRPr="00A26C26">
        <w:rPr>
          <w:rFonts w:cstheme="minorHAnsi"/>
        </w:rPr>
        <w:t>wyrażenia</w:t>
      </w:r>
      <w:r w:rsidR="003B50ED">
        <w:rPr>
          <w:rFonts w:cstheme="minorHAnsi"/>
        </w:rPr>
        <w:t xml:space="preserve"> </w:t>
      </w:r>
      <w:r w:rsidRPr="00A26C26">
        <w:rPr>
          <w:rFonts w:cstheme="minorHAnsi"/>
        </w:rPr>
        <w:t>opinii</w:t>
      </w:r>
      <w:r w:rsidR="003B50ED">
        <w:rPr>
          <w:rFonts w:cstheme="minorHAnsi"/>
        </w:rPr>
        <w:t xml:space="preserve"> </w:t>
      </w:r>
      <w:r w:rsidRPr="00A26C26">
        <w:rPr>
          <w:rFonts w:cstheme="minorHAnsi"/>
        </w:rPr>
        <w:t>będzie</w:t>
      </w:r>
      <w:r w:rsidR="003B50ED">
        <w:rPr>
          <w:rFonts w:cstheme="minorHAnsi"/>
        </w:rPr>
        <w:t xml:space="preserve"> </w:t>
      </w:r>
      <w:r w:rsidRPr="00A26C26">
        <w:rPr>
          <w:rFonts w:cstheme="minorHAnsi"/>
        </w:rPr>
        <w:t>strona</w:t>
      </w:r>
      <w:r w:rsidR="003B50ED">
        <w:rPr>
          <w:rFonts w:cstheme="minorHAnsi"/>
        </w:rPr>
        <w:t xml:space="preserve"> </w:t>
      </w:r>
      <w:r w:rsidRPr="00A26C26">
        <w:rPr>
          <w:rFonts w:cstheme="minorHAnsi"/>
        </w:rPr>
        <w:t>internetowa</w:t>
      </w:r>
      <w:r w:rsidR="003B50ED">
        <w:rPr>
          <w:rFonts w:cstheme="minorHAnsi"/>
        </w:rPr>
        <w:t xml:space="preserve"> </w:t>
      </w:r>
      <w:r w:rsidRPr="00A26C26">
        <w:rPr>
          <w:rFonts w:cstheme="minorHAnsi"/>
        </w:rPr>
        <w:t>czy</w:t>
      </w:r>
      <w:r w:rsidR="003B50ED">
        <w:rPr>
          <w:rFonts w:cstheme="minorHAnsi"/>
        </w:rPr>
        <w:t xml:space="preserve"> </w:t>
      </w:r>
      <w:r w:rsidRPr="00A26C26">
        <w:rPr>
          <w:rFonts w:cstheme="minorHAnsi"/>
        </w:rPr>
        <w:t>portal</w:t>
      </w:r>
      <w:r w:rsidR="003B50ED">
        <w:rPr>
          <w:rFonts w:cstheme="minorHAnsi"/>
        </w:rPr>
        <w:t xml:space="preserve"> </w:t>
      </w:r>
      <w:r w:rsidRPr="00A26C26">
        <w:rPr>
          <w:rFonts w:cstheme="minorHAnsi"/>
        </w:rPr>
        <w:t>społecznościowy.</w:t>
      </w:r>
      <w:r w:rsidR="003B50ED">
        <w:rPr>
          <w:rFonts w:cstheme="minorHAnsi"/>
        </w:rPr>
        <w:t xml:space="preserve"> </w:t>
      </w:r>
    </w:p>
    <w:p w14:paraId="35FD880B" w14:textId="40A8601C" w:rsidR="00C71928" w:rsidRPr="00A26C26" w:rsidRDefault="00C71928" w:rsidP="00A26C26">
      <w:pPr>
        <w:spacing w:line="276" w:lineRule="auto"/>
        <w:ind w:firstLine="284"/>
        <w:jc w:val="both"/>
        <w:rPr>
          <w:rFonts w:cstheme="minorHAnsi"/>
        </w:rPr>
      </w:pPr>
      <w:r w:rsidRPr="00A26C26">
        <w:rPr>
          <w:rFonts w:cstheme="minorHAnsi"/>
        </w:rPr>
        <w:t>LGD</w:t>
      </w:r>
      <w:r w:rsidR="003B50ED">
        <w:rPr>
          <w:rFonts w:cstheme="minorHAnsi"/>
        </w:rPr>
        <w:t xml:space="preserve"> </w:t>
      </w:r>
      <w:r w:rsidRPr="00A26C26">
        <w:rPr>
          <w:rFonts w:cstheme="minorHAnsi"/>
        </w:rPr>
        <w:t>jest</w:t>
      </w:r>
      <w:r w:rsidR="003B50ED">
        <w:rPr>
          <w:rFonts w:cstheme="minorHAnsi"/>
        </w:rPr>
        <w:t xml:space="preserve"> </w:t>
      </w:r>
      <w:r w:rsidRPr="00A26C26">
        <w:rPr>
          <w:rFonts w:cstheme="minorHAnsi"/>
        </w:rPr>
        <w:t>otwarta</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wdrożenie</w:t>
      </w:r>
      <w:r w:rsidR="003B50ED">
        <w:rPr>
          <w:rFonts w:cstheme="minorHAnsi"/>
        </w:rPr>
        <w:t xml:space="preserve"> </w:t>
      </w:r>
      <w:r w:rsidRPr="00A26C26">
        <w:rPr>
          <w:rFonts w:cstheme="minorHAnsi"/>
        </w:rPr>
        <w:t>nowych</w:t>
      </w:r>
      <w:r w:rsidR="003B50ED">
        <w:rPr>
          <w:rFonts w:cstheme="minorHAnsi"/>
        </w:rPr>
        <w:t xml:space="preserve"> </w:t>
      </w:r>
      <w:r w:rsidRPr="00A26C26">
        <w:rPr>
          <w:rFonts w:cstheme="minorHAnsi"/>
        </w:rPr>
        <w:t>form</w:t>
      </w:r>
      <w:r w:rsidR="003B50ED">
        <w:rPr>
          <w:rFonts w:cstheme="minorHAnsi"/>
        </w:rPr>
        <w:t xml:space="preserve"> </w:t>
      </w:r>
      <w:r w:rsidRPr="00A26C26">
        <w:rPr>
          <w:rFonts w:cstheme="minorHAnsi"/>
        </w:rPr>
        <w:t>komunikacji</w:t>
      </w:r>
      <w:r w:rsidR="003B50ED">
        <w:rPr>
          <w:rFonts w:cstheme="minorHAnsi"/>
        </w:rPr>
        <w:t xml:space="preserve"> </w:t>
      </w:r>
      <w:r w:rsidRPr="00A26C26">
        <w:rPr>
          <w:rFonts w:cstheme="minorHAnsi"/>
        </w:rPr>
        <w:t>jeżeli</w:t>
      </w:r>
      <w:r w:rsidR="003B50ED">
        <w:rPr>
          <w:rFonts w:cstheme="minorHAnsi"/>
        </w:rPr>
        <w:t xml:space="preserve"> </w:t>
      </w:r>
      <w:r w:rsidRPr="00A26C26">
        <w:rPr>
          <w:rFonts w:cstheme="minorHAnsi"/>
        </w:rPr>
        <w:t>pojawi</w:t>
      </w:r>
      <w:r w:rsidR="003B50ED">
        <w:rPr>
          <w:rFonts w:cstheme="minorHAnsi"/>
        </w:rPr>
        <w:t xml:space="preserve"> </w:t>
      </w:r>
      <w:r w:rsidRPr="00A26C26">
        <w:rPr>
          <w:rFonts w:cstheme="minorHAnsi"/>
        </w:rPr>
        <w:t>się</w:t>
      </w:r>
      <w:r w:rsidR="003B50ED">
        <w:rPr>
          <w:rFonts w:cstheme="minorHAnsi"/>
        </w:rPr>
        <w:t xml:space="preserve"> </w:t>
      </w:r>
      <w:r w:rsidRPr="00A26C26">
        <w:rPr>
          <w:rFonts w:cstheme="minorHAnsi"/>
        </w:rPr>
        <w:t>taka</w:t>
      </w:r>
      <w:r w:rsidR="003B50ED">
        <w:rPr>
          <w:rFonts w:cstheme="minorHAnsi"/>
        </w:rPr>
        <w:t xml:space="preserve"> </w:t>
      </w:r>
      <w:r w:rsidRPr="00A26C26">
        <w:rPr>
          <w:rFonts w:cstheme="minorHAnsi"/>
        </w:rPr>
        <w:t>potrzeba</w:t>
      </w:r>
      <w:r w:rsidR="003B50ED">
        <w:rPr>
          <w:rFonts w:cstheme="minorHAnsi"/>
        </w:rPr>
        <w:t xml:space="preserve"> </w:t>
      </w:r>
      <w:r w:rsidRPr="00A26C26">
        <w:rPr>
          <w:rFonts w:cstheme="minorHAnsi"/>
        </w:rPr>
        <w:t>chociażby</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przypadku</w:t>
      </w:r>
      <w:r w:rsidR="003B50ED">
        <w:rPr>
          <w:rFonts w:cstheme="minorHAnsi"/>
        </w:rPr>
        <w:t xml:space="preserve"> </w:t>
      </w:r>
      <w:r w:rsidRPr="00A26C26">
        <w:rPr>
          <w:rFonts w:cstheme="minorHAnsi"/>
        </w:rPr>
        <w:t>migrantów.</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dzień</w:t>
      </w:r>
      <w:r w:rsidR="003B50ED">
        <w:rPr>
          <w:rFonts w:cstheme="minorHAnsi"/>
        </w:rPr>
        <w:t xml:space="preserve"> </w:t>
      </w:r>
      <w:r w:rsidRPr="00A26C26">
        <w:rPr>
          <w:rFonts w:cstheme="minorHAnsi"/>
        </w:rPr>
        <w:t>konstruowania</w:t>
      </w:r>
      <w:r w:rsidR="003B50ED">
        <w:rPr>
          <w:rFonts w:cstheme="minorHAnsi"/>
        </w:rPr>
        <w:t xml:space="preserve"> </w:t>
      </w:r>
      <w:r w:rsidRPr="00A26C26">
        <w:rPr>
          <w:rFonts w:cstheme="minorHAnsi"/>
        </w:rPr>
        <w:t>niniejszej</w:t>
      </w:r>
      <w:r w:rsidR="003B50ED">
        <w:rPr>
          <w:rFonts w:cstheme="minorHAnsi"/>
        </w:rPr>
        <w:t xml:space="preserve"> </w:t>
      </w:r>
      <w:r w:rsidRPr="00A26C26">
        <w:rPr>
          <w:rFonts w:cstheme="minorHAnsi"/>
        </w:rPr>
        <w:t>strategii</w:t>
      </w:r>
      <w:r w:rsidR="003B50ED">
        <w:rPr>
          <w:rFonts w:cstheme="minorHAnsi"/>
        </w:rPr>
        <w:t xml:space="preserve"> </w:t>
      </w:r>
      <w:r w:rsidRPr="00A26C26">
        <w:rPr>
          <w:rFonts w:cstheme="minorHAnsi"/>
        </w:rPr>
        <w:t>potrzeby</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tym</w:t>
      </w:r>
      <w:r w:rsidR="003B50ED">
        <w:rPr>
          <w:rFonts w:cstheme="minorHAnsi"/>
        </w:rPr>
        <w:t xml:space="preserve"> </w:t>
      </w:r>
      <w:r w:rsidRPr="00A26C26">
        <w:rPr>
          <w:rFonts w:cstheme="minorHAnsi"/>
        </w:rPr>
        <w:t>zakresie</w:t>
      </w:r>
      <w:r w:rsidR="003B50ED">
        <w:rPr>
          <w:rFonts w:cstheme="minorHAnsi"/>
        </w:rPr>
        <w:t xml:space="preserve"> </w:t>
      </w:r>
      <w:r w:rsidRPr="00A26C26">
        <w:rPr>
          <w:rFonts w:cstheme="minorHAnsi"/>
        </w:rPr>
        <w:t>nie</w:t>
      </w:r>
      <w:r w:rsidR="003B50ED">
        <w:rPr>
          <w:rFonts w:cstheme="minorHAnsi"/>
        </w:rPr>
        <w:t xml:space="preserve"> </w:t>
      </w:r>
      <w:r w:rsidRPr="00A26C26">
        <w:rPr>
          <w:rFonts w:cstheme="minorHAnsi"/>
        </w:rPr>
        <w:t>były</w:t>
      </w:r>
      <w:r w:rsidR="003B50ED">
        <w:rPr>
          <w:rFonts w:cstheme="minorHAnsi"/>
        </w:rPr>
        <w:t xml:space="preserve"> </w:t>
      </w:r>
      <w:r w:rsidRPr="00A26C26">
        <w:rPr>
          <w:rFonts w:cstheme="minorHAnsi"/>
        </w:rPr>
        <w:t>zgłaszane,</w:t>
      </w:r>
      <w:r w:rsidR="003B50ED">
        <w:rPr>
          <w:rFonts w:cstheme="minorHAnsi"/>
        </w:rPr>
        <w:t xml:space="preserve"> </w:t>
      </w:r>
      <w:r w:rsidRPr="00A26C26">
        <w:rPr>
          <w:rFonts w:cstheme="minorHAnsi"/>
        </w:rPr>
        <w:t>jednakże</w:t>
      </w:r>
      <w:r w:rsidR="003B50ED">
        <w:rPr>
          <w:rFonts w:cstheme="minorHAnsi"/>
        </w:rPr>
        <w:t xml:space="preserve"> </w:t>
      </w:r>
      <w:r w:rsidR="00D615FF" w:rsidRPr="00A26C26">
        <w:rPr>
          <w:rFonts w:cstheme="minorHAnsi"/>
        </w:rPr>
        <w:br/>
      </w:r>
      <w:r w:rsidRPr="00A26C26">
        <w:rPr>
          <w:rFonts w:cstheme="minorHAnsi"/>
        </w:rPr>
        <w:t>w</w:t>
      </w:r>
      <w:r w:rsidR="003B50ED">
        <w:rPr>
          <w:rFonts w:cstheme="minorHAnsi"/>
        </w:rPr>
        <w:t xml:space="preserve"> </w:t>
      </w:r>
      <w:r w:rsidRPr="00A26C26">
        <w:rPr>
          <w:rFonts w:cstheme="minorHAnsi"/>
        </w:rPr>
        <w:t>momencie</w:t>
      </w:r>
      <w:r w:rsidR="003B50ED">
        <w:rPr>
          <w:rFonts w:cstheme="minorHAnsi"/>
        </w:rPr>
        <w:t xml:space="preserve"> </w:t>
      </w:r>
      <w:r w:rsidRPr="00A26C26">
        <w:rPr>
          <w:rFonts w:cstheme="minorHAnsi"/>
        </w:rPr>
        <w:t>pozyskania</w:t>
      </w:r>
      <w:r w:rsidR="003B50ED">
        <w:rPr>
          <w:rFonts w:cstheme="minorHAnsi"/>
        </w:rPr>
        <w:t xml:space="preserve"> </w:t>
      </w:r>
      <w:r w:rsidRPr="00A26C26">
        <w:rPr>
          <w:rFonts w:cstheme="minorHAnsi"/>
        </w:rPr>
        <w:t>takiej</w:t>
      </w:r>
      <w:r w:rsidR="003B50ED">
        <w:rPr>
          <w:rFonts w:cstheme="minorHAnsi"/>
        </w:rPr>
        <w:t xml:space="preserve"> </w:t>
      </w:r>
      <w:r w:rsidRPr="00A26C26">
        <w:rPr>
          <w:rFonts w:cstheme="minorHAnsi"/>
        </w:rPr>
        <w:t>informacji,</w:t>
      </w:r>
      <w:r w:rsidR="003B50ED">
        <w:rPr>
          <w:rFonts w:cstheme="minorHAnsi"/>
        </w:rPr>
        <w:t xml:space="preserve"> </w:t>
      </w:r>
      <w:r w:rsidRPr="00A26C26">
        <w:rPr>
          <w:rFonts w:cstheme="minorHAnsi"/>
        </w:rPr>
        <w:t>zostanie</w:t>
      </w:r>
      <w:r w:rsidR="003B50ED">
        <w:rPr>
          <w:rFonts w:cstheme="minorHAnsi"/>
        </w:rPr>
        <w:t xml:space="preserve"> </w:t>
      </w:r>
      <w:r w:rsidRPr="00A26C26">
        <w:rPr>
          <w:rFonts w:cstheme="minorHAnsi"/>
        </w:rPr>
        <w:t>ona</w:t>
      </w:r>
      <w:r w:rsidR="003B50ED">
        <w:rPr>
          <w:rFonts w:cstheme="minorHAnsi"/>
        </w:rPr>
        <w:t xml:space="preserve"> </w:t>
      </w:r>
      <w:r w:rsidRPr="00A26C26">
        <w:rPr>
          <w:rFonts w:cstheme="minorHAnsi"/>
        </w:rPr>
        <w:t>poddana</w:t>
      </w:r>
      <w:r w:rsidR="003B50ED">
        <w:rPr>
          <w:rFonts w:cstheme="minorHAnsi"/>
        </w:rPr>
        <w:t xml:space="preserve"> </w:t>
      </w:r>
      <w:r w:rsidRPr="00A26C26">
        <w:rPr>
          <w:rFonts w:cstheme="minorHAnsi"/>
        </w:rPr>
        <w:t>pod</w:t>
      </w:r>
      <w:r w:rsidR="003B50ED">
        <w:rPr>
          <w:rFonts w:cstheme="minorHAnsi"/>
        </w:rPr>
        <w:t xml:space="preserve"> </w:t>
      </w:r>
      <w:r w:rsidRPr="00A26C26">
        <w:rPr>
          <w:rFonts w:cstheme="minorHAnsi"/>
        </w:rPr>
        <w:t>konsultacje.</w:t>
      </w:r>
      <w:r w:rsidR="003B50ED">
        <w:rPr>
          <w:rFonts w:cstheme="minorHAnsi"/>
        </w:rPr>
        <w:t xml:space="preserve"> </w:t>
      </w:r>
    </w:p>
    <w:p w14:paraId="5A58D8A0" w14:textId="2955342A" w:rsidR="00C71928" w:rsidRPr="00A26C26" w:rsidRDefault="00C71928" w:rsidP="00A26C26">
      <w:pPr>
        <w:spacing w:line="276" w:lineRule="auto"/>
        <w:ind w:firstLine="284"/>
        <w:jc w:val="both"/>
        <w:rPr>
          <w:rFonts w:cstheme="minorHAnsi"/>
        </w:rPr>
      </w:pPr>
      <w:r w:rsidRPr="00A26C26">
        <w:rPr>
          <w:rFonts w:cstheme="minorHAnsi"/>
        </w:rPr>
        <w:t>Zaufanie</w:t>
      </w:r>
      <w:r w:rsidR="003B50ED">
        <w:rPr>
          <w:rFonts w:cstheme="minorHAnsi"/>
        </w:rPr>
        <w:t xml:space="preserve"> </w:t>
      </w:r>
      <w:r w:rsidRPr="00A26C26">
        <w:rPr>
          <w:rFonts w:cstheme="minorHAnsi"/>
        </w:rPr>
        <w:t>jakim</w:t>
      </w:r>
      <w:r w:rsidR="003B50ED">
        <w:rPr>
          <w:rFonts w:cstheme="minorHAnsi"/>
        </w:rPr>
        <w:t xml:space="preserve"> </w:t>
      </w:r>
      <w:r w:rsidRPr="00A26C26">
        <w:rPr>
          <w:rFonts w:cstheme="minorHAnsi"/>
        </w:rPr>
        <w:t>jest</w:t>
      </w:r>
      <w:r w:rsidR="003B50ED">
        <w:rPr>
          <w:rFonts w:cstheme="minorHAnsi"/>
        </w:rPr>
        <w:t xml:space="preserve"> </w:t>
      </w:r>
      <w:r w:rsidRPr="00A26C26">
        <w:rPr>
          <w:rFonts w:cstheme="minorHAnsi"/>
        </w:rPr>
        <w:t>obecnie</w:t>
      </w:r>
      <w:r w:rsidR="003B50ED">
        <w:rPr>
          <w:rFonts w:cstheme="minorHAnsi"/>
        </w:rPr>
        <w:t xml:space="preserve"> </w:t>
      </w:r>
      <w:r w:rsidRPr="00A26C26">
        <w:rPr>
          <w:rFonts w:cstheme="minorHAnsi"/>
        </w:rPr>
        <w:t>darzon</w:t>
      </w:r>
      <w:r w:rsidR="00AB742D">
        <w:rPr>
          <w:rFonts w:cstheme="minorHAnsi"/>
        </w:rPr>
        <w:t>e</w:t>
      </w:r>
      <w:r w:rsidR="003B50ED">
        <w:rPr>
          <w:rFonts w:cstheme="minorHAnsi"/>
        </w:rPr>
        <w:t xml:space="preserve"> </w:t>
      </w:r>
      <w:r w:rsidR="00AB742D">
        <w:rPr>
          <w:rFonts w:cstheme="minorHAnsi"/>
        </w:rPr>
        <w:t xml:space="preserve">Stowarzyszenia </w:t>
      </w:r>
      <w:r w:rsidR="00AB742D" w:rsidRPr="00A26C26">
        <w:rPr>
          <w:rFonts w:cstheme="minorHAnsi"/>
        </w:rPr>
        <w:t>„Solidarni</w:t>
      </w:r>
      <w:r w:rsidR="00AB742D">
        <w:rPr>
          <w:rFonts w:cstheme="minorHAnsi"/>
        </w:rPr>
        <w:t xml:space="preserve"> </w:t>
      </w:r>
      <w:r w:rsidR="00AB742D" w:rsidRPr="00A26C26">
        <w:rPr>
          <w:rFonts w:cstheme="minorHAnsi"/>
        </w:rPr>
        <w:t>w</w:t>
      </w:r>
      <w:r w:rsidR="00AB742D">
        <w:rPr>
          <w:rFonts w:cstheme="minorHAnsi"/>
        </w:rPr>
        <w:t xml:space="preserve"> </w:t>
      </w:r>
      <w:r w:rsidR="00AB742D" w:rsidRPr="00A26C26">
        <w:rPr>
          <w:rFonts w:cstheme="minorHAnsi"/>
        </w:rPr>
        <w:t>Partnerstwie”</w:t>
      </w:r>
      <w:r w:rsidR="0035174A">
        <w:rPr>
          <w:rFonts w:cstheme="minorHAnsi"/>
        </w:rPr>
        <w:t xml:space="preserve"> </w:t>
      </w:r>
      <w:r w:rsidRPr="00A26C26">
        <w:rPr>
          <w:rFonts w:cstheme="minorHAnsi"/>
        </w:rPr>
        <w:t>jest</w:t>
      </w:r>
      <w:r w:rsidR="003B50ED">
        <w:rPr>
          <w:rFonts w:cstheme="minorHAnsi"/>
        </w:rPr>
        <w:t xml:space="preserve"> </w:t>
      </w:r>
      <w:r w:rsidRPr="00A26C26">
        <w:rPr>
          <w:rFonts w:cstheme="minorHAnsi"/>
        </w:rPr>
        <w:t>również</w:t>
      </w:r>
      <w:r w:rsidR="003B50ED">
        <w:rPr>
          <w:rFonts w:cstheme="minorHAnsi"/>
        </w:rPr>
        <w:t xml:space="preserve"> </w:t>
      </w:r>
      <w:r w:rsidRPr="00A26C26">
        <w:rPr>
          <w:rFonts w:cstheme="minorHAnsi"/>
        </w:rPr>
        <w:t>zasługą</w:t>
      </w:r>
      <w:r w:rsidR="003B50ED">
        <w:rPr>
          <w:rFonts w:cstheme="minorHAnsi"/>
        </w:rPr>
        <w:t xml:space="preserve"> </w:t>
      </w:r>
      <w:r w:rsidRPr="00A26C26">
        <w:rPr>
          <w:rFonts w:cstheme="minorHAnsi"/>
        </w:rPr>
        <w:t>skutecznej,</w:t>
      </w:r>
      <w:r w:rsidR="003B50ED">
        <w:rPr>
          <w:rFonts w:cstheme="minorHAnsi"/>
        </w:rPr>
        <w:t xml:space="preserve"> </w:t>
      </w:r>
      <w:r w:rsidRPr="00A26C26">
        <w:rPr>
          <w:rFonts w:cstheme="minorHAnsi"/>
        </w:rPr>
        <w:t>przejrzystej</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uczciwej</w:t>
      </w:r>
      <w:r w:rsidR="003B50ED">
        <w:rPr>
          <w:rFonts w:cstheme="minorHAnsi"/>
        </w:rPr>
        <w:t xml:space="preserve"> </w:t>
      </w:r>
      <w:r w:rsidRPr="00A26C26">
        <w:rPr>
          <w:rFonts w:cstheme="minorHAnsi"/>
        </w:rPr>
        <w:t>komunikacji.</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nowym</w:t>
      </w:r>
      <w:r w:rsidR="003B50ED">
        <w:rPr>
          <w:rFonts w:cstheme="minorHAnsi"/>
        </w:rPr>
        <w:t xml:space="preserve"> </w:t>
      </w:r>
      <w:r w:rsidRPr="00A26C26">
        <w:rPr>
          <w:rFonts w:cstheme="minorHAnsi"/>
        </w:rPr>
        <w:t>okresie</w:t>
      </w:r>
      <w:r w:rsidR="003B50ED">
        <w:rPr>
          <w:rFonts w:cstheme="minorHAnsi"/>
        </w:rPr>
        <w:t xml:space="preserve"> </w:t>
      </w:r>
      <w:r w:rsidRPr="00A26C26">
        <w:rPr>
          <w:rFonts w:cstheme="minorHAnsi"/>
        </w:rPr>
        <w:t>programowania</w:t>
      </w:r>
      <w:r w:rsidR="003B50ED">
        <w:rPr>
          <w:rFonts w:cstheme="minorHAnsi"/>
        </w:rPr>
        <w:t xml:space="preserve"> </w:t>
      </w:r>
      <w:r w:rsidRPr="00A26C26">
        <w:rPr>
          <w:rFonts w:cstheme="minorHAnsi"/>
        </w:rPr>
        <w:t>zasady</w:t>
      </w:r>
      <w:r w:rsidR="003B50ED">
        <w:rPr>
          <w:rFonts w:cstheme="minorHAnsi"/>
        </w:rPr>
        <w:t xml:space="preserve"> </w:t>
      </w:r>
      <w:r w:rsidRPr="00A26C26">
        <w:rPr>
          <w:rFonts w:cstheme="minorHAnsi"/>
        </w:rPr>
        <w:t>te</w:t>
      </w:r>
      <w:r w:rsidR="003B50ED">
        <w:rPr>
          <w:rFonts w:cstheme="minorHAnsi"/>
        </w:rPr>
        <w:t xml:space="preserve"> </w:t>
      </w:r>
      <w:r w:rsidRPr="00A26C26">
        <w:rPr>
          <w:rFonts w:cstheme="minorHAnsi"/>
        </w:rPr>
        <w:t>również</w:t>
      </w:r>
      <w:r w:rsidR="003B50ED">
        <w:rPr>
          <w:rFonts w:cstheme="minorHAnsi"/>
        </w:rPr>
        <w:t xml:space="preserve"> </w:t>
      </w:r>
      <w:r w:rsidRPr="00A26C26">
        <w:rPr>
          <w:rFonts w:cstheme="minorHAnsi"/>
        </w:rPr>
        <w:t>zostaną</w:t>
      </w:r>
      <w:r w:rsidR="003B50ED">
        <w:rPr>
          <w:rFonts w:cstheme="minorHAnsi"/>
        </w:rPr>
        <w:t xml:space="preserve"> </w:t>
      </w:r>
      <w:r w:rsidRPr="00A26C26">
        <w:rPr>
          <w:rFonts w:cstheme="minorHAnsi"/>
        </w:rPr>
        <w:t>podtrzymane</w:t>
      </w:r>
      <w:r w:rsidR="003B50ED">
        <w:rPr>
          <w:rFonts w:cstheme="minorHAnsi"/>
        </w:rPr>
        <w:t xml:space="preserve"> </w:t>
      </w:r>
      <w:r w:rsidRPr="00A26C26">
        <w:rPr>
          <w:rFonts w:cstheme="minorHAnsi"/>
        </w:rPr>
        <w:t>oraz</w:t>
      </w:r>
      <w:r w:rsidR="003B50ED">
        <w:rPr>
          <w:rFonts w:cstheme="minorHAnsi"/>
        </w:rPr>
        <w:t xml:space="preserve"> </w:t>
      </w:r>
      <w:r w:rsidRPr="00A26C26">
        <w:rPr>
          <w:rFonts w:cstheme="minorHAnsi"/>
        </w:rPr>
        <w:t>rozszerzone.</w:t>
      </w:r>
      <w:r w:rsidR="003B50ED">
        <w:rPr>
          <w:rFonts w:cstheme="minorHAnsi"/>
        </w:rPr>
        <w:t xml:space="preserve"> </w:t>
      </w:r>
    </w:p>
    <w:p w14:paraId="1D7B48AB" w14:textId="47B2CF96" w:rsidR="00C71928" w:rsidRPr="00BF27BE" w:rsidRDefault="00C71928" w:rsidP="00A26C26">
      <w:pPr>
        <w:spacing w:line="276" w:lineRule="auto"/>
        <w:ind w:firstLine="284"/>
        <w:jc w:val="both"/>
        <w:rPr>
          <w:rFonts w:cstheme="minorHAnsi"/>
          <w:strike/>
          <w:color w:val="FF0000"/>
        </w:rPr>
      </w:pPr>
      <w:r w:rsidRPr="00A26C26">
        <w:rPr>
          <w:rFonts w:cstheme="minorHAnsi"/>
        </w:rPr>
        <w:lastRenderedPageBreak/>
        <w:t>Biuro</w:t>
      </w:r>
      <w:r w:rsidR="003B50ED">
        <w:rPr>
          <w:rFonts w:cstheme="minorHAnsi"/>
        </w:rPr>
        <w:t xml:space="preserve"> </w:t>
      </w:r>
      <w:r w:rsidRPr="00A26C26">
        <w:rPr>
          <w:rFonts w:cstheme="minorHAnsi"/>
        </w:rPr>
        <w:t>LGD</w:t>
      </w:r>
      <w:r w:rsidR="003B50ED">
        <w:rPr>
          <w:rFonts w:cstheme="minorHAnsi"/>
        </w:rPr>
        <w:t xml:space="preserve"> </w:t>
      </w:r>
      <w:r w:rsidRPr="00A26C26">
        <w:rPr>
          <w:rFonts w:cstheme="minorHAnsi"/>
        </w:rPr>
        <w:t>stanowi</w:t>
      </w:r>
      <w:r w:rsidR="003B50ED">
        <w:rPr>
          <w:rFonts w:cstheme="minorHAnsi"/>
        </w:rPr>
        <w:t xml:space="preserve"> </w:t>
      </w:r>
      <w:r w:rsidRPr="00A26C26">
        <w:rPr>
          <w:rFonts w:cstheme="minorHAnsi"/>
        </w:rPr>
        <w:t>podstawowe</w:t>
      </w:r>
      <w:r w:rsidR="003B50ED">
        <w:rPr>
          <w:rFonts w:cstheme="minorHAnsi"/>
        </w:rPr>
        <w:t xml:space="preserve"> </w:t>
      </w:r>
      <w:r w:rsidRPr="00A26C26">
        <w:rPr>
          <w:rFonts w:cstheme="minorHAnsi"/>
        </w:rPr>
        <w:t>źródło</w:t>
      </w:r>
      <w:r w:rsidR="003B50ED">
        <w:rPr>
          <w:rFonts w:cstheme="minorHAnsi"/>
        </w:rPr>
        <w:t xml:space="preserve"> </w:t>
      </w:r>
      <w:r w:rsidRPr="00A26C26">
        <w:rPr>
          <w:rFonts w:cstheme="minorHAnsi"/>
        </w:rPr>
        <w:t>informacji</w:t>
      </w:r>
      <w:r w:rsidR="003B50ED">
        <w:rPr>
          <w:rFonts w:cstheme="minorHAnsi"/>
        </w:rPr>
        <w:t xml:space="preserve"> </w:t>
      </w:r>
      <w:r w:rsidRPr="00A26C26">
        <w:rPr>
          <w:rFonts w:cstheme="minorHAnsi"/>
        </w:rPr>
        <w:t>o</w:t>
      </w:r>
      <w:r w:rsidR="003B50ED">
        <w:rPr>
          <w:rFonts w:cstheme="minorHAnsi"/>
        </w:rPr>
        <w:t xml:space="preserve"> </w:t>
      </w:r>
      <w:r w:rsidRPr="00A26C26">
        <w:rPr>
          <w:rFonts w:cstheme="minorHAnsi"/>
        </w:rPr>
        <w:t>działaniach</w:t>
      </w:r>
      <w:r w:rsidR="003B50ED">
        <w:rPr>
          <w:rFonts w:cstheme="minorHAnsi"/>
        </w:rPr>
        <w:t xml:space="preserve"> </w:t>
      </w:r>
      <w:r w:rsidRPr="00A26C26">
        <w:rPr>
          <w:rFonts w:cstheme="minorHAnsi"/>
        </w:rPr>
        <w:t>realizowanych</w:t>
      </w:r>
      <w:r w:rsidR="003B50ED">
        <w:rPr>
          <w:rFonts w:cstheme="minorHAnsi"/>
        </w:rPr>
        <w:t xml:space="preserve"> </w:t>
      </w:r>
      <w:r w:rsidRPr="00A26C26">
        <w:rPr>
          <w:rFonts w:cstheme="minorHAnsi"/>
        </w:rPr>
        <w:t>zarówno</w:t>
      </w:r>
      <w:r w:rsidR="003B50ED">
        <w:rPr>
          <w:rFonts w:cstheme="minorHAnsi"/>
        </w:rPr>
        <w:t xml:space="preserve"> </w:t>
      </w:r>
      <w:r w:rsidRPr="00A26C26">
        <w:rPr>
          <w:rFonts w:cstheme="minorHAnsi"/>
        </w:rPr>
        <w:t>przez</w:t>
      </w:r>
      <w:r w:rsidR="003B50ED">
        <w:rPr>
          <w:rFonts w:cstheme="minorHAnsi"/>
        </w:rPr>
        <w:t xml:space="preserve"> </w:t>
      </w:r>
      <w:r w:rsidRPr="00A26C26">
        <w:rPr>
          <w:rFonts w:cstheme="minorHAnsi"/>
        </w:rPr>
        <w:t>LGD</w:t>
      </w:r>
      <w:r w:rsidR="003B50ED">
        <w:rPr>
          <w:rFonts w:cstheme="minorHAnsi"/>
        </w:rPr>
        <w:t xml:space="preserve"> </w:t>
      </w:r>
      <w:r w:rsidRPr="00A26C26">
        <w:rPr>
          <w:rFonts w:cstheme="minorHAnsi"/>
        </w:rPr>
        <w:t>jak</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beneficjentów</w:t>
      </w:r>
      <w:r w:rsidR="003B50ED">
        <w:rPr>
          <w:rFonts w:cstheme="minorHAnsi"/>
        </w:rPr>
        <w:t xml:space="preserve"> </w:t>
      </w:r>
      <w:r w:rsidRPr="00A26C26">
        <w:rPr>
          <w:rFonts w:cstheme="minorHAnsi"/>
        </w:rPr>
        <w:t>tym</w:t>
      </w:r>
      <w:r w:rsidR="003B50ED">
        <w:rPr>
          <w:rFonts w:cstheme="minorHAnsi"/>
        </w:rPr>
        <w:t xml:space="preserve"> </w:t>
      </w:r>
      <w:r w:rsidRPr="00A26C26">
        <w:rPr>
          <w:rFonts w:cstheme="minorHAnsi"/>
        </w:rPr>
        <w:t>bardziej,</w:t>
      </w:r>
      <w:r w:rsidR="003B50ED">
        <w:rPr>
          <w:rFonts w:cstheme="minorHAnsi"/>
        </w:rPr>
        <w:t xml:space="preserve"> </w:t>
      </w:r>
      <w:r w:rsidR="006534BA">
        <w:rPr>
          <w:rFonts w:cstheme="minorHAnsi"/>
        </w:rPr>
        <w:t>ż</w:t>
      </w:r>
      <w:r w:rsidRPr="00A26C26">
        <w:rPr>
          <w:rFonts w:cstheme="minorHAnsi"/>
        </w:rPr>
        <w:t>e</w:t>
      </w:r>
      <w:r w:rsidR="003B50ED">
        <w:rPr>
          <w:rFonts w:cstheme="minorHAnsi"/>
        </w:rPr>
        <w:t xml:space="preserve"> </w:t>
      </w:r>
      <w:r w:rsidRPr="00A26C26">
        <w:rPr>
          <w:rFonts w:cstheme="minorHAnsi"/>
        </w:rPr>
        <w:t>jak</w:t>
      </w:r>
      <w:r w:rsidR="003B50ED">
        <w:rPr>
          <w:rFonts w:cstheme="minorHAnsi"/>
        </w:rPr>
        <w:t xml:space="preserve"> </w:t>
      </w:r>
      <w:r w:rsidRPr="00A26C26">
        <w:rPr>
          <w:rFonts w:cstheme="minorHAnsi"/>
        </w:rPr>
        <w:t>pokazują</w:t>
      </w:r>
      <w:r w:rsidR="003B50ED">
        <w:rPr>
          <w:rFonts w:cstheme="minorHAnsi"/>
        </w:rPr>
        <w:t xml:space="preserve"> </w:t>
      </w:r>
      <w:r w:rsidRPr="00A26C26">
        <w:rPr>
          <w:rFonts w:cstheme="minorHAnsi"/>
        </w:rPr>
        <w:t>wyniki</w:t>
      </w:r>
      <w:r w:rsidR="003B50ED">
        <w:rPr>
          <w:rFonts w:cstheme="minorHAnsi"/>
        </w:rPr>
        <w:t xml:space="preserve"> </w:t>
      </w:r>
      <w:r w:rsidRPr="00A26C26">
        <w:rPr>
          <w:rFonts w:cstheme="minorHAnsi"/>
        </w:rPr>
        <w:t>badania</w:t>
      </w:r>
      <w:r w:rsidR="003B50ED">
        <w:rPr>
          <w:rFonts w:cstheme="minorHAnsi"/>
        </w:rPr>
        <w:t xml:space="preserve"> </w:t>
      </w:r>
      <w:r w:rsidRPr="00A26C26">
        <w:rPr>
          <w:rFonts w:cstheme="minorHAnsi"/>
        </w:rPr>
        <w:t>ewaluacyjnego</w:t>
      </w:r>
      <w:r w:rsidR="003B50ED">
        <w:rPr>
          <w:rFonts w:cstheme="minorHAnsi"/>
        </w:rPr>
        <w:t xml:space="preserve"> </w:t>
      </w:r>
      <w:r w:rsidRPr="00A26C26">
        <w:rPr>
          <w:rFonts w:cstheme="minorHAnsi"/>
        </w:rPr>
        <w:t>ponad</w:t>
      </w:r>
      <w:r w:rsidR="003B50ED">
        <w:rPr>
          <w:rFonts w:cstheme="minorHAnsi"/>
        </w:rPr>
        <w:t xml:space="preserve"> </w:t>
      </w:r>
      <w:r w:rsidRPr="00A26C26">
        <w:rPr>
          <w:rFonts w:cstheme="minorHAnsi"/>
        </w:rPr>
        <w:t>85%</w:t>
      </w:r>
      <w:r w:rsidR="003B50ED">
        <w:rPr>
          <w:rFonts w:cstheme="minorHAnsi"/>
        </w:rPr>
        <w:t xml:space="preserve"> </w:t>
      </w:r>
      <w:r w:rsidRPr="00A26C26">
        <w:rPr>
          <w:rFonts w:cstheme="minorHAnsi"/>
        </w:rPr>
        <w:t>respondentów</w:t>
      </w:r>
      <w:r w:rsidR="003B50ED">
        <w:rPr>
          <w:rFonts w:cstheme="minorHAnsi"/>
        </w:rPr>
        <w:t xml:space="preserve"> </w:t>
      </w:r>
      <w:r w:rsidRPr="00A26C26">
        <w:rPr>
          <w:rFonts w:cstheme="minorHAnsi"/>
        </w:rPr>
        <w:t>o</w:t>
      </w:r>
      <w:r w:rsidR="003B50ED">
        <w:rPr>
          <w:rFonts w:cstheme="minorHAnsi"/>
        </w:rPr>
        <w:t xml:space="preserve"> </w:t>
      </w:r>
      <w:r w:rsidRPr="00A26C26">
        <w:rPr>
          <w:rFonts w:cstheme="minorHAnsi"/>
        </w:rPr>
        <w:t>działaniach</w:t>
      </w:r>
      <w:r w:rsidR="003B50ED">
        <w:rPr>
          <w:rFonts w:cstheme="minorHAnsi"/>
        </w:rPr>
        <w:t xml:space="preserve"> </w:t>
      </w:r>
      <w:r w:rsidRPr="00A26C26">
        <w:rPr>
          <w:rFonts w:cstheme="minorHAnsi"/>
        </w:rPr>
        <w:t>LGD</w:t>
      </w:r>
      <w:r w:rsidR="003B50ED">
        <w:rPr>
          <w:rFonts w:cstheme="minorHAnsi"/>
        </w:rPr>
        <w:t xml:space="preserve"> </w:t>
      </w:r>
      <w:r w:rsidRPr="00A26C26">
        <w:rPr>
          <w:rFonts w:cstheme="minorHAnsi"/>
        </w:rPr>
        <w:t>dowiaduje</w:t>
      </w:r>
      <w:r w:rsidR="003B50ED">
        <w:rPr>
          <w:rFonts w:cstheme="minorHAnsi"/>
        </w:rPr>
        <w:t xml:space="preserve"> </w:t>
      </w:r>
      <w:r w:rsidRPr="00A26C26">
        <w:rPr>
          <w:rFonts w:cstheme="minorHAnsi"/>
        </w:rPr>
        <w:t>się</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wyniku</w:t>
      </w:r>
      <w:r w:rsidR="003B50ED">
        <w:rPr>
          <w:rFonts w:cstheme="minorHAnsi"/>
        </w:rPr>
        <w:t xml:space="preserve"> </w:t>
      </w:r>
      <w:r w:rsidRPr="00A26C26">
        <w:rPr>
          <w:rFonts w:cstheme="minorHAnsi"/>
        </w:rPr>
        <w:t>bezpośredniego</w:t>
      </w:r>
      <w:r w:rsidR="003B50ED">
        <w:rPr>
          <w:rFonts w:cstheme="minorHAnsi"/>
        </w:rPr>
        <w:t xml:space="preserve"> </w:t>
      </w:r>
      <w:r w:rsidRPr="00A26C26">
        <w:rPr>
          <w:rFonts w:cstheme="minorHAnsi"/>
        </w:rPr>
        <w:t>kontaktu</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pracownikami</w:t>
      </w:r>
      <w:r w:rsidR="003B50ED">
        <w:rPr>
          <w:rFonts w:cstheme="minorHAnsi"/>
        </w:rPr>
        <w:t xml:space="preserve"> </w:t>
      </w:r>
      <w:r w:rsidRPr="00A26C26">
        <w:rPr>
          <w:rFonts w:cstheme="minorHAnsi"/>
        </w:rPr>
        <w:t>biura.</w:t>
      </w:r>
      <w:r w:rsidR="003B50ED">
        <w:rPr>
          <w:rFonts w:cstheme="minorHAnsi"/>
        </w:rPr>
        <w:t xml:space="preserve"> </w:t>
      </w:r>
    </w:p>
    <w:p w14:paraId="1D9F9A18" w14:textId="714B4F09" w:rsidR="00C71928" w:rsidRPr="00A26C26" w:rsidRDefault="00C71928" w:rsidP="00A26C26">
      <w:pPr>
        <w:spacing w:line="276" w:lineRule="auto"/>
        <w:ind w:firstLine="284"/>
        <w:jc w:val="both"/>
        <w:rPr>
          <w:rFonts w:cstheme="minorHAnsi"/>
        </w:rPr>
      </w:pPr>
      <w:r w:rsidRPr="00A26C26">
        <w:rPr>
          <w:rFonts w:cstheme="minorHAnsi"/>
        </w:rPr>
        <w:t>Strona</w:t>
      </w:r>
      <w:r w:rsidR="003B50ED">
        <w:rPr>
          <w:rFonts w:cstheme="minorHAnsi"/>
        </w:rPr>
        <w:t xml:space="preserve"> </w:t>
      </w:r>
      <w:r w:rsidRPr="00A26C26">
        <w:rPr>
          <w:rFonts w:cstheme="minorHAnsi"/>
        </w:rPr>
        <w:t>internetowa</w:t>
      </w:r>
      <w:r w:rsidR="003B50ED">
        <w:rPr>
          <w:rFonts w:cstheme="minorHAnsi"/>
        </w:rPr>
        <w:t xml:space="preserve"> </w:t>
      </w:r>
      <w:r w:rsidRPr="00A26C26">
        <w:rPr>
          <w:rFonts w:cstheme="minorHAnsi"/>
        </w:rPr>
        <w:t>oraz</w:t>
      </w:r>
      <w:r w:rsidR="003B50ED">
        <w:rPr>
          <w:rFonts w:cstheme="minorHAnsi"/>
        </w:rPr>
        <w:t xml:space="preserve"> </w:t>
      </w:r>
      <w:r w:rsidRPr="00A26C26">
        <w:rPr>
          <w:rFonts w:cstheme="minorHAnsi"/>
        </w:rPr>
        <w:t>coraz</w:t>
      </w:r>
      <w:r w:rsidR="003B50ED">
        <w:rPr>
          <w:rFonts w:cstheme="minorHAnsi"/>
        </w:rPr>
        <w:t xml:space="preserve"> </w:t>
      </w:r>
      <w:r w:rsidRPr="00A26C26">
        <w:rPr>
          <w:rFonts w:cstheme="minorHAnsi"/>
        </w:rPr>
        <w:t>popularniejsze</w:t>
      </w:r>
      <w:r w:rsidR="003B50ED">
        <w:rPr>
          <w:rFonts w:cstheme="minorHAnsi"/>
        </w:rPr>
        <w:t xml:space="preserve"> </w:t>
      </w:r>
      <w:r w:rsidRPr="00A26C26">
        <w:rPr>
          <w:rFonts w:cstheme="minorHAnsi"/>
        </w:rPr>
        <w:t>profile</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portalach</w:t>
      </w:r>
      <w:r w:rsidR="003B50ED">
        <w:rPr>
          <w:rFonts w:cstheme="minorHAnsi"/>
        </w:rPr>
        <w:t xml:space="preserve"> </w:t>
      </w:r>
      <w:r w:rsidRPr="00A26C26">
        <w:rPr>
          <w:rFonts w:cstheme="minorHAnsi"/>
        </w:rPr>
        <w:t>społecznościowych</w:t>
      </w:r>
      <w:r w:rsidR="003B50ED">
        <w:rPr>
          <w:rFonts w:cstheme="minorHAnsi"/>
        </w:rPr>
        <w:t xml:space="preserve"> </w:t>
      </w:r>
      <w:r w:rsidRPr="00A26C26">
        <w:rPr>
          <w:rFonts w:cstheme="minorHAnsi"/>
        </w:rPr>
        <w:t>nadal</w:t>
      </w:r>
      <w:r w:rsidR="003B50ED">
        <w:rPr>
          <w:rFonts w:cstheme="minorHAnsi"/>
        </w:rPr>
        <w:t xml:space="preserve"> </w:t>
      </w:r>
      <w:r w:rsidRPr="00A26C26">
        <w:rPr>
          <w:rFonts w:cstheme="minorHAnsi"/>
        </w:rPr>
        <w:t>pozostaną</w:t>
      </w:r>
      <w:r w:rsidR="003B50ED">
        <w:rPr>
          <w:rFonts w:cstheme="minorHAnsi"/>
        </w:rPr>
        <w:t xml:space="preserve"> </w:t>
      </w:r>
      <w:r w:rsidRPr="00A26C26">
        <w:rPr>
          <w:rFonts w:cstheme="minorHAnsi"/>
        </w:rPr>
        <w:t>jednym</w:t>
      </w:r>
      <w:r w:rsidR="003B50ED">
        <w:rPr>
          <w:rFonts w:cstheme="minorHAnsi"/>
        </w:rPr>
        <w:t xml:space="preserve"> </w:t>
      </w:r>
      <w:r w:rsidR="00D615FF" w:rsidRPr="00A26C26">
        <w:rPr>
          <w:rFonts w:cstheme="minorHAnsi"/>
        </w:rPr>
        <w:br/>
      </w:r>
      <w:r w:rsidRPr="00A26C26">
        <w:rPr>
          <w:rFonts w:cstheme="minorHAnsi"/>
        </w:rPr>
        <w:t>z</w:t>
      </w:r>
      <w:r w:rsidR="003B50ED">
        <w:rPr>
          <w:rFonts w:cstheme="minorHAnsi"/>
        </w:rPr>
        <w:t xml:space="preserve"> </w:t>
      </w:r>
      <w:r w:rsidRPr="00A26C26">
        <w:rPr>
          <w:rFonts w:cstheme="minorHAnsi"/>
        </w:rPr>
        <w:t>głównych</w:t>
      </w:r>
      <w:r w:rsidR="003B50ED">
        <w:rPr>
          <w:rFonts w:cstheme="minorHAnsi"/>
        </w:rPr>
        <w:t xml:space="preserve"> </w:t>
      </w:r>
      <w:r w:rsidRPr="00A26C26">
        <w:rPr>
          <w:rFonts w:cstheme="minorHAnsi"/>
        </w:rPr>
        <w:t>źródeł</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kanałów</w:t>
      </w:r>
      <w:r w:rsidR="003B50ED">
        <w:rPr>
          <w:rFonts w:cstheme="minorHAnsi"/>
        </w:rPr>
        <w:t xml:space="preserve"> </w:t>
      </w:r>
      <w:r w:rsidRPr="00A26C26">
        <w:rPr>
          <w:rFonts w:cstheme="minorHAnsi"/>
        </w:rPr>
        <w:t>komunikacji</w:t>
      </w:r>
      <w:r w:rsidR="003B50ED">
        <w:rPr>
          <w:rFonts w:cstheme="minorHAnsi"/>
        </w:rPr>
        <w:t xml:space="preserve"> </w:t>
      </w:r>
      <w:r w:rsidRPr="00A26C26">
        <w:rPr>
          <w:rFonts w:cstheme="minorHAnsi"/>
        </w:rPr>
        <w:t>(strona</w:t>
      </w:r>
      <w:r w:rsidR="003B50ED">
        <w:rPr>
          <w:rFonts w:cstheme="minorHAnsi"/>
        </w:rPr>
        <w:t xml:space="preserve"> </w:t>
      </w:r>
      <w:r w:rsidRPr="00A26C26">
        <w:rPr>
          <w:rFonts w:cstheme="minorHAnsi"/>
        </w:rPr>
        <w:t>www</w:t>
      </w:r>
      <w:r w:rsidR="003B50ED">
        <w:rPr>
          <w:rFonts w:cstheme="minorHAnsi"/>
        </w:rPr>
        <w:t xml:space="preserve"> </w:t>
      </w:r>
      <w:r w:rsidRPr="00A26C26">
        <w:rPr>
          <w:rFonts w:cstheme="minorHAnsi"/>
        </w:rPr>
        <w:t>jest</w:t>
      </w:r>
      <w:r w:rsidR="003B50ED">
        <w:rPr>
          <w:rFonts w:cstheme="minorHAnsi"/>
        </w:rPr>
        <w:t xml:space="preserve"> </w:t>
      </w:r>
      <w:r w:rsidRPr="00A26C26">
        <w:rPr>
          <w:rFonts w:cstheme="minorHAnsi"/>
        </w:rPr>
        <w:t>dobrym</w:t>
      </w:r>
      <w:r w:rsidR="003B50ED">
        <w:rPr>
          <w:rFonts w:cstheme="minorHAnsi"/>
        </w:rPr>
        <w:t xml:space="preserve"> </w:t>
      </w:r>
      <w:r w:rsidRPr="00A26C26">
        <w:rPr>
          <w:rFonts w:cstheme="minorHAnsi"/>
        </w:rPr>
        <w:t>narzędziem</w:t>
      </w:r>
      <w:r w:rsidR="003B50ED">
        <w:rPr>
          <w:rFonts w:cstheme="minorHAnsi"/>
        </w:rPr>
        <w:t xml:space="preserve"> </w:t>
      </w:r>
      <w:r w:rsidRPr="00A26C26">
        <w:rPr>
          <w:rFonts w:cstheme="minorHAnsi"/>
        </w:rPr>
        <w:t>zarówno</w:t>
      </w:r>
      <w:r w:rsidR="003B50ED">
        <w:rPr>
          <w:rFonts w:cstheme="minorHAnsi"/>
        </w:rPr>
        <w:t xml:space="preserve"> </w:t>
      </w:r>
      <w:r w:rsidRPr="00A26C26">
        <w:rPr>
          <w:rFonts w:cstheme="minorHAnsi"/>
        </w:rPr>
        <w:t>dla</w:t>
      </w:r>
      <w:r w:rsidR="003B50ED">
        <w:rPr>
          <w:rFonts w:cstheme="minorHAnsi"/>
        </w:rPr>
        <w:t xml:space="preserve"> </w:t>
      </w:r>
      <w:r w:rsidRPr="00A26C26">
        <w:rPr>
          <w:rFonts w:cstheme="minorHAnsi"/>
        </w:rPr>
        <w:t>młodych</w:t>
      </w:r>
      <w:r w:rsidR="003B50ED">
        <w:rPr>
          <w:rFonts w:cstheme="minorHAnsi"/>
        </w:rPr>
        <w:t xml:space="preserve"> </w:t>
      </w:r>
      <w:r w:rsidRPr="00A26C26">
        <w:rPr>
          <w:rFonts w:cstheme="minorHAnsi"/>
        </w:rPr>
        <w:t>osób</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uwagi</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szybki</w:t>
      </w:r>
      <w:r w:rsidR="003B50ED">
        <w:rPr>
          <w:rFonts w:cstheme="minorHAnsi"/>
        </w:rPr>
        <w:t xml:space="preserve"> </w:t>
      </w:r>
      <w:r w:rsidRPr="00A26C26">
        <w:rPr>
          <w:rFonts w:cstheme="minorHAnsi"/>
        </w:rPr>
        <w:t>dostęp</w:t>
      </w:r>
      <w:r w:rsidR="003B50ED">
        <w:rPr>
          <w:rFonts w:cstheme="minorHAnsi"/>
        </w:rPr>
        <w:t xml:space="preserve"> </w:t>
      </w:r>
      <w:r w:rsidRPr="00A26C26">
        <w:rPr>
          <w:rFonts w:cstheme="minorHAnsi"/>
        </w:rPr>
        <w:t>do</w:t>
      </w:r>
      <w:r w:rsidR="003B50ED">
        <w:rPr>
          <w:rFonts w:cstheme="minorHAnsi"/>
        </w:rPr>
        <w:t xml:space="preserve"> </w:t>
      </w:r>
      <w:r w:rsidRPr="00A26C26">
        <w:rPr>
          <w:rFonts w:cstheme="minorHAnsi"/>
        </w:rPr>
        <w:t>Internetu,</w:t>
      </w:r>
      <w:r w:rsidR="003B50ED">
        <w:rPr>
          <w:rFonts w:cstheme="minorHAnsi"/>
        </w:rPr>
        <w:t xml:space="preserve"> </w:t>
      </w:r>
      <w:r w:rsidRPr="00A26C26">
        <w:rPr>
          <w:rFonts w:cstheme="minorHAnsi"/>
        </w:rPr>
        <w:t>ale</w:t>
      </w:r>
      <w:r w:rsidR="003B50ED">
        <w:rPr>
          <w:rFonts w:cstheme="minorHAnsi"/>
        </w:rPr>
        <w:t xml:space="preserve"> </w:t>
      </w:r>
      <w:r w:rsidRPr="00A26C26">
        <w:rPr>
          <w:rFonts w:cstheme="minorHAnsi"/>
        </w:rPr>
        <w:t>również</w:t>
      </w:r>
      <w:r w:rsidR="003B50ED">
        <w:rPr>
          <w:rFonts w:cstheme="minorHAnsi"/>
        </w:rPr>
        <w:t xml:space="preserve"> </w:t>
      </w:r>
      <w:r w:rsidRPr="00A26C26">
        <w:rPr>
          <w:rFonts w:cstheme="minorHAnsi"/>
        </w:rPr>
        <w:t>nie</w:t>
      </w:r>
      <w:r w:rsidR="003B50ED">
        <w:rPr>
          <w:rFonts w:cstheme="minorHAnsi"/>
        </w:rPr>
        <w:t xml:space="preserve"> </w:t>
      </w:r>
      <w:r w:rsidRPr="00A26C26">
        <w:rPr>
          <w:rFonts w:cstheme="minorHAnsi"/>
        </w:rPr>
        <w:t>wyklucza</w:t>
      </w:r>
      <w:r w:rsidR="003B50ED">
        <w:rPr>
          <w:rFonts w:cstheme="minorHAnsi"/>
        </w:rPr>
        <w:t xml:space="preserve"> </w:t>
      </w:r>
      <w:r w:rsidRPr="00A26C26">
        <w:rPr>
          <w:rFonts w:cstheme="minorHAnsi"/>
        </w:rPr>
        <w:t>seniorów,</w:t>
      </w:r>
      <w:r w:rsidR="003B50ED">
        <w:rPr>
          <w:rFonts w:cstheme="minorHAnsi"/>
        </w:rPr>
        <w:t xml:space="preserve"> </w:t>
      </w:r>
      <w:r w:rsidRPr="00A26C26">
        <w:rPr>
          <w:rFonts w:cstheme="minorHAnsi"/>
        </w:rPr>
        <w:t>którzy</w:t>
      </w:r>
      <w:r w:rsidR="003B50ED">
        <w:rPr>
          <w:rFonts w:cstheme="minorHAnsi"/>
        </w:rPr>
        <w:t xml:space="preserve"> </w:t>
      </w:r>
      <w:r w:rsidRPr="00A26C26">
        <w:rPr>
          <w:rFonts w:cstheme="minorHAnsi"/>
        </w:rPr>
        <w:t>nauczyli</w:t>
      </w:r>
      <w:r w:rsidR="003B50ED">
        <w:rPr>
          <w:rFonts w:cstheme="minorHAnsi"/>
        </w:rPr>
        <w:t xml:space="preserve"> </w:t>
      </w:r>
      <w:r w:rsidRPr="00A26C26">
        <w:rPr>
          <w:rFonts w:cstheme="minorHAnsi"/>
        </w:rPr>
        <w:t>się</w:t>
      </w:r>
      <w:r w:rsidR="003B50ED">
        <w:rPr>
          <w:rFonts w:cstheme="minorHAnsi"/>
        </w:rPr>
        <w:t xml:space="preserve"> </w:t>
      </w:r>
      <w:r w:rsidRPr="00A26C26">
        <w:rPr>
          <w:rFonts w:cstheme="minorHAnsi"/>
        </w:rPr>
        <w:t>obsługi</w:t>
      </w:r>
      <w:r w:rsidR="003B50ED">
        <w:rPr>
          <w:rFonts w:cstheme="minorHAnsi"/>
        </w:rPr>
        <w:t xml:space="preserve"> </w:t>
      </w:r>
      <w:r w:rsidRPr="00A26C26">
        <w:rPr>
          <w:rFonts w:cstheme="minorHAnsi"/>
        </w:rPr>
        <w:t>Internetu,</w:t>
      </w:r>
      <w:r w:rsidR="003B50ED">
        <w:rPr>
          <w:rFonts w:cstheme="minorHAnsi"/>
        </w:rPr>
        <w:t xml:space="preserve"> </w:t>
      </w:r>
      <w:r w:rsidRPr="00A26C26">
        <w:rPr>
          <w:rFonts w:cstheme="minorHAnsi"/>
        </w:rPr>
        <w:t>poprzez</w:t>
      </w:r>
      <w:r w:rsidR="003B50ED">
        <w:rPr>
          <w:rFonts w:cstheme="minorHAnsi"/>
        </w:rPr>
        <w:t xml:space="preserve"> </w:t>
      </w:r>
      <w:r w:rsidRPr="00A26C26">
        <w:rPr>
          <w:rFonts w:cstheme="minorHAnsi"/>
        </w:rPr>
        <w:t>dostosowanie</w:t>
      </w:r>
      <w:r w:rsidR="003B50ED">
        <w:rPr>
          <w:rFonts w:cstheme="minorHAnsi"/>
        </w:rPr>
        <w:t xml:space="preserve"> </w:t>
      </w:r>
      <w:r w:rsidRPr="00A26C26">
        <w:rPr>
          <w:rFonts w:cstheme="minorHAnsi"/>
        </w:rPr>
        <w:t>strony</w:t>
      </w:r>
      <w:r w:rsidR="003B50ED">
        <w:rPr>
          <w:rFonts w:cstheme="minorHAnsi"/>
        </w:rPr>
        <w:t xml:space="preserve"> </w:t>
      </w:r>
      <w:r w:rsidRPr="00A26C26">
        <w:rPr>
          <w:rFonts w:cstheme="minorHAnsi"/>
        </w:rPr>
        <w:t>www</w:t>
      </w:r>
      <w:r w:rsidR="003B50ED">
        <w:rPr>
          <w:rFonts w:cstheme="minorHAnsi"/>
        </w:rPr>
        <w:t xml:space="preserve"> </w:t>
      </w:r>
      <w:r w:rsidRPr="00A26C26">
        <w:rPr>
          <w:rFonts w:cstheme="minorHAnsi"/>
        </w:rPr>
        <w:t>do</w:t>
      </w:r>
      <w:r w:rsidR="003B50ED">
        <w:rPr>
          <w:rFonts w:cstheme="minorHAnsi"/>
        </w:rPr>
        <w:t xml:space="preserve"> </w:t>
      </w:r>
      <w:r w:rsidRPr="00A26C26">
        <w:rPr>
          <w:rFonts w:cstheme="minorHAnsi"/>
        </w:rPr>
        <w:t>wymagań</w:t>
      </w:r>
      <w:r w:rsidR="003B50ED">
        <w:rPr>
          <w:rFonts w:cstheme="minorHAnsi"/>
        </w:rPr>
        <w:t xml:space="preserve"> </w:t>
      </w:r>
      <w:r w:rsidRPr="00A26C26">
        <w:rPr>
          <w:rFonts w:cstheme="minorHAnsi"/>
        </w:rPr>
        <w:t>WCAG.</w:t>
      </w:r>
      <w:r w:rsidR="003B50ED">
        <w:rPr>
          <w:rFonts w:cstheme="minorHAnsi"/>
        </w:rPr>
        <w:t xml:space="preserve"> </w:t>
      </w:r>
    </w:p>
    <w:p w14:paraId="0EE7599F" w14:textId="1B9BA8BF" w:rsidR="00C71928" w:rsidRPr="00A26C26" w:rsidRDefault="00C71928" w:rsidP="00A26C26">
      <w:pPr>
        <w:spacing w:line="276" w:lineRule="auto"/>
        <w:ind w:firstLine="284"/>
        <w:jc w:val="both"/>
        <w:rPr>
          <w:rFonts w:cstheme="minorHAnsi"/>
        </w:rPr>
      </w:pPr>
      <w:r w:rsidRPr="00A26C26">
        <w:rPr>
          <w:rFonts w:cstheme="minorHAnsi"/>
        </w:rPr>
        <w:t>Jak</w:t>
      </w:r>
      <w:r w:rsidR="003B50ED">
        <w:rPr>
          <w:rFonts w:cstheme="minorHAnsi"/>
        </w:rPr>
        <w:t xml:space="preserve"> </w:t>
      </w:r>
      <w:r w:rsidRPr="00A26C26">
        <w:rPr>
          <w:rFonts w:cstheme="minorHAnsi"/>
        </w:rPr>
        <w:t>wykazują</w:t>
      </w:r>
      <w:r w:rsidR="003B50ED">
        <w:rPr>
          <w:rFonts w:cstheme="minorHAnsi"/>
        </w:rPr>
        <w:t xml:space="preserve"> </w:t>
      </w:r>
      <w:r w:rsidRPr="00A26C26">
        <w:rPr>
          <w:rFonts w:cstheme="minorHAnsi"/>
        </w:rPr>
        <w:t>badania</w:t>
      </w:r>
      <w:r w:rsidR="003B50ED">
        <w:rPr>
          <w:rFonts w:cstheme="minorHAnsi"/>
        </w:rPr>
        <w:t xml:space="preserve"> </w:t>
      </w:r>
      <w:r w:rsidRPr="00A26C26">
        <w:rPr>
          <w:rFonts w:cstheme="minorHAnsi"/>
        </w:rPr>
        <w:t>CBOS</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2022</w:t>
      </w:r>
      <w:r w:rsidR="003B50ED">
        <w:rPr>
          <w:rFonts w:cstheme="minorHAnsi"/>
        </w:rPr>
        <w:t xml:space="preserve"> </w:t>
      </w:r>
      <w:r w:rsidR="00210334">
        <w:rPr>
          <w:rFonts w:cstheme="minorHAnsi"/>
        </w:rPr>
        <w:t>r.</w:t>
      </w:r>
      <w:r w:rsidRPr="00A26C26">
        <w:rPr>
          <w:rFonts w:cstheme="minorHAnsi"/>
        </w:rPr>
        <w:t>,</w:t>
      </w:r>
      <w:r w:rsidR="003B50ED">
        <w:rPr>
          <w:rFonts w:cstheme="minorHAnsi"/>
        </w:rPr>
        <w:t xml:space="preserve"> </w:t>
      </w:r>
      <w:r w:rsidRPr="00A26C26">
        <w:rPr>
          <w:rFonts w:cstheme="minorHAnsi"/>
        </w:rPr>
        <w:t>obecność</w:t>
      </w:r>
      <w:r w:rsidR="003B50ED">
        <w:rPr>
          <w:rFonts w:cstheme="minorHAnsi"/>
        </w:rPr>
        <w:t xml:space="preserve"> </w:t>
      </w:r>
      <w:r w:rsidRPr="00A26C26">
        <w:rPr>
          <w:rFonts w:cstheme="minorHAnsi"/>
        </w:rPr>
        <w:t>online</w:t>
      </w:r>
      <w:r w:rsidR="003B50ED">
        <w:rPr>
          <w:rFonts w:cstheme="minorHAnsi"/>
        </w:rPr>
        <w:t xml:space="preserve"> </w:t>
      </w:r>
      <w:r w:rsidRPr="00A26C26">
        <w:rPr>
          <w:rFonts w:cstheme="minorHAnsi"/>
        </w:rPr>
        <w:t>zależy</w:t>
      </w:r>
      <w:r w:rsidR="003B50ED">
        <w:rPr>
          <w:rFonts w:cstheme="minorHAnsi"/>
        </w:rPr>
        <w:t xml:space="preserve"> </w:t>
      </w:r>
      <w:r w:rsidRPr="00A26C26">
        <w:rPr>
          <w:rFonts w:cstheme="minorHAnsi"/>
        </w:rPr>
        <w:t>przede</w:t>
      </w:r>
      <w:r w:rsidR="003B50ED">
        <w:rPr>
          <w:rFonts w:cstheme="minorHAnsi"/>
        </w:rPr>
        <w:t xml:space="preserve"> </w:t>
      </w:r>
      <w:r w:rsidRPr="00A26C26">
        <w:rPr>
          <w:rFonts w:cstheme="minorHAnsi"/>
        </w:rPr>
        <w:t>wszystkim</w:t>
      </w:r>
      <w:r w:rsidR="003B50ED">
        <w:rPr>
          <w:rFonts w:cstheme="minorHAnsi"/>
        </w:rPr>
        <w:t xml:space="preserve"> </w:t>
      </w:r>
      <w:r w:rsidRPr="00A26C26">
        <w:rPr>
          <w:rFonts w:cstheme="minorHAnsi"/>
        </w:rPr>
        <w:t>od</w:t>
      </w:r>
      <w:r w:rsidR="003B50ED">
        <w:rPr>
          <w:rFonts w:cstheme="minorHAnsi"/>
        </w:rPr>
        <w:t xml:space="preserve"> </w:t>
      </w:r>
      <w:r w:rsidRPr="00A26C26">
        <w:rPr>
          <w:rFonts w:cstheme="minorHAnsi"/>
        </w:rPr>
        <w:t>wieku,</w:t>
      </w:r>
      <w:r w:rsidR="003B50ED">
        <w:rPr>
          <w:rFonts w:cstheme="minorHAnsi"/>
        </w:rPr>
        <w:t xml:space="preserve"> </w:t>
      </w:r>
      <w:r w:rsidRPr="00A26C26">
        <w:rPr>
          <w:rFonts w:cstheme="minorHAnsi"/>
        </w:rPr>
        <w:t>a</w:t>
      </w:r>
      <w:r w:rsidR="003B50ED">
        <w:rPr>
          <w:rFonts w:cstheme="minorHAnsi"/>
        </w:rPr>
        <w:t xml:space="preserve"> </w:t>
      </w:r>
      <w:r w:rsidRPr="00A26C26">
        <w:rPr>
          <w:rFonts w:cstheme="minorHAnsi"/>
        </w:rPr>
        <w:t>wśród</w:t>
      </w:r>
      <w:r w:rsidR="003B50ED">
        <w:rPr>
          <w:rFonts w:cstheme="minorHAnsi"/>
        </w:rPr>
        <w:t xml:space="preserve"> </w:t>
      </w:r>
      <w:r w:rsidRPr="00A26C26">
        <w:rPr>
          <w:rFonts w:cstheme="minorHAnsi"/>
        </w:rPr>
        <w:t>starszych</w:t>
      </w:r>
      <w:r w:rsidR="003B50ED">
        <w:rPr>
          <w:rFonts w:cstheme="minorHAnsi"/>
        </w:rPr>
        <w:t xml:space="preserve"> </w:t>
      </w:r>
      <w:r w:rsidRPr="00A26C26">
        <w:rPr>
          <w:rFonts w:cstheme="minorHAnsi"/>
        </w:rPr>
        <w:t>respondentów</w:t>
      </w:r>
      <w:r w:rsidR="003B50ED">
        <w:rPr>
          <w:rFonts w:cstheme="minorHAnsi"/>
        </w:rPr>
        <w:t xml:space="preserve"> </w:t>
      </w:r>
      <w:r w:rsidRPr="00A26C26">
        <w:rPr>
          <w:rFonts w:cstheme="minorHAnsi"/>
        </w:rPr>
        <w:t>również</w:t>
      </w:r>
      <w:r w:rsidR="003B50ED">
        <w:rPr>
          <w:rFonts w:cstheme="minorHAnsi"/>
        </w:rPr>
        <w:t xml:space="preserve"> </w:t>
      </w:r>
      <w:r w:rsidRPr="00A26C26">
        <w:rPr>
          <w:rFonts w:cstheme="minorHAnsi"/>
        </w:rPr>
        <w:t>od</w:t>
      </w:r>
      <w:r w:rsidR="003B50ED">
        <w:rPr>
          <w:rFonts w:cstheme="minorHAnsi"/>
        </w:rPr>
        <w:t xml:space="preserve"> </w:t>
      </w:r>
      <w:r w:rsidRPr="00A26C26">
        <w:rPr>
          <w:rFonts w:cstheme="minorHAnsi"/>
        </w:rPr>
        <w:t>poziomu</w:t>
      </w:r>
      <w:r w:rsidR="003B50ED">
        <w:rPr>
          <w:rFonts w:cstheme="minorHAnsi"/>
        </w:rPr>
        <w:t xml:space="preserve"> </w:t>
      </w:r>
      <w:r w:rsidRPr="00A26C26">
        <w:rPr>
          <w:rFonts w:cstheme="minorHAnsi"/>
        </w:rPr>
        <w:t>wykształcenia.</w:t>
      </w:r>
      <w:r w:rsidR="003B50ED">
        <w:rPr>
          <w:rFonts w:cstheme="minorHAnsi"/>
        </w:rPr>
        <w:t xml:space="preserve"> </w:t>
      </w:r>
      <w:r w:rsidRPr="00A26C26">
        <w:rPr>
          <w:rFonts w:cstheme="minorHAnsi"/>
        </w:rPr>
        <w:t>Korzystanie</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Internetu</w:t>
      </w:r>
      <w:r w:rsidR="003B50ED">
        <w:rPr>
          <w:rFonts w:cstheme="minorHAnsi"/>
        </w:rPr>
        <w:t xml:space="preserve"> </w:t>
      </w:r>
      <w:r w:rsidRPr="00A26C26">
        <w:rPr>
          <w:rFonts w:cstheme="minorHAnsi"/>
        </w:rPr>
        <w:t>jest</w:t>
      </w:r>
      <w:r w:rsidR="003B50ED">
        <w:rPr>
          <w:rFonts w:cstheme="minorHAnsi"/>
        </w:rPr>
        <w:t xml:space="preserve"> </w:t>
      </w:r>
      <w:r w:rsidRPr="00A26C26">
        <w:rPr>
          <w:rFonts w:cstheme="minorHAnsi"/>
        </w:rPr>
        <w:t>powszechne</w:t>
      </w:r>
      <w:r w:rsidR="003B50ED">
        <w:rPr>
          <w:rFonts w:cstheme="minorHAnsi"/>
        </w:rPr>
        <w:t xml:space="preserve"> </w:t>
      </w:r>
      <w:r w:rsidRPr="00A26C26">
        <w:rPr>
          <w:rFonts w:cstheme="minorHAnsi"/>
        </w:rPr>
        <w:t>wśród</w:t>
      </w:r>
      <w:r w:rsidR="003B50ED">
        <w:rPr>
          <w:rFonts w:cstheme="minorHAnsi"/>
        </w:rPr>
        <w:t xml:space="preserve"> </w:t>
      </w:r>
      <w:r w:rsidRPr="00A26C26">
        <w:rPr>
          <w:rFonts w:cstheme="minorHAnsi"/>
        </w:rPr>
        <w:t>osób</w:t>
      </w:r>
      <w:r w:rsidR="003B50ED">
        <w:rPr>
          <w:rFonts w:cstheme="minorHAnsi"/>
        </w:rPr>
        <w:t xml:space="preserve"> </w:t>
      </w:r>
      <w:r w:rsidRPr="00A26C26">
        <w:rPr>
          <w:rFonts w:cstheme="minorHAnsi"/>
        </w:rPr>
        <w:t>poniżej</w:t>
      </w:r>
      <w:r w:rsidR="003B50ED">
        <w:rPr>
          <w:rFonts w:cstheme="minorHAnsi"/>
        </w:rPr>
        <w:t xml:space="preserve"> </w:t>
      </w:r>
      <w:r w:rsidR="00D615FF" w:rsidRPr="00A26C26">
        <w:rPr>
          <w:rFonts w:cstheme="minorHAnsi"/>
        </w:rPr>
        <w:br/>
      </w:r>
      <w:r w:rsidRPr="00A26C26">
        <w:rPr>
          <w:rFonts w:cstheme="minorHAnsi"/>
        </w:rPr>
        <w:t>35</w:t>
      </w:r>
      <w:r w:rsidR="003B50ED">
        <w:rPr>
          <w:rFonts w:cstheme="minorHAnsi"/>
        </w:rPr>
        <w:t xml:space="preserve"> </w:t>
      </w:r>
      <w:r w:rsidRPr="00A26C26">
        <w:rPr>
          <w:rFonts w:cstheme="minorHAnsi"/>
        </w:rPr>
        <w:t>roku</w:t>
      </w:r>
      <w:r w:rsidR="003B50ED">
        <w:rPr>
          <w:rFonts w:cstheme="minorHAnsi"/>
        </w:rPr>
        <w:t xml:space="preserve"> </w:t>
      </w:r>
      <w:r w:rsidRPr="00A26C26">
        <w:rPr>
          <w:rFonts w:cstheme="minorHAnsi"/>
        </w:rPr>
        <w:t>życia,</w:t>
      </w:r>
      <w:r w:rsidR="003B50ED">
        <w:rPr>
          <w:rFonts w:cstheme="minorHAnsi"/>
        </w:rPr>
        <w:t xml:space="preserve"> </w:t>
      </w:r>
      <w:r w:rsidRPr="00A26C26">
        <w:rPr>
          <w:rFonts w:cstheme="minorHAnsi"/>
        </w:rPr>
        <w:t>a</w:t>
      </w:r>
      <w:r w:rsidR="003B50ED">
        <w:rPr>
          <w:rFonts w:cstheme="minorHAnsi"/>
        </w:rPr>
        <w:t xml:space="preserve"> </w:t>
      </w:r>
      <w:r w:rsidRPr="00A26C26">
        <w:rPr>
          <w:rFonts w:cstheme="minorHAnsi"/>
        </w:rPr>
        <w:t>także</w:t>
      </w:r>
      <w:r w:rsidR="003B50ED">
        <w:rPr>
          <w:rFonts w:cstheme="minorHAnsi"/>
        </w:rPr>
        <w:t xml:space="preserve"> </w:t>
      </w:r>
      <w:r w:rsidRPr="00A26C26">
        <w:rPr>
          <w:rFonts w:cstheme="minorHAnsi"/>
        </w:rPr>
        <w:t>niemal</w:t>
      </w:r>
      <w:r w:rsidR="003B50ED">
        <w:rPr>
          <w:rFonts w:cstheme="minorHAnsi"/>
        </w:rPr>
        <w:t xml:space="preserve"> </w:t>
      </w:r>
      <w:r w:rsidRPr="00A26C26">
        <w:rPr>
          <w:rFonts w:cstheme="minorHAnsi"/>
        </w:rPr>
        <w:t>powszechne</w:t>
      </w:r>
      <w:r w:rsidR="003B50ED">
        <w:rPr>
          <w:rFonts w:cstheme="minorHAnsi"/>
        </w:rPr>
        <w:t xml:space="preserve"> </w:t>
      </w:r>
      <w:r w:rsidRPr="00A26C26">
        <w:rPr>
          <w:rFonts w:cstheme="minorHAnsi"/>
        </w:rPr>
        <w:t>wśród</w:t>
      </w:r>
      <w:r w:rsidR="003B50ED">
        <w:rPr>
          <w:rFonts w:cstheme="minorHAnsi"/>
        </w:rPr>
        <w:t xml:space="preserve"> </w:t>
      </w:r>
      <w:r w:rsidRPr="00A26C26">
        <w:rPr>
          <w:rFonts w:cstheme="minorHAnsi"/>
        </w:rPr>
        <w:t>badanych</w:t>
      </w:r>
      <w:r w:rsidR="003B50ED">
        <w:rPr>
          <w:rFonts w:cstheme="minorHAnsi"/>
        </w:rPr>
        <w:t xml:space="preserve"> </w:t>
      </w:r>
      <w:r w:rsidRPr="00A26C26">
        <w:rPr>
          <w:rFonts w:cstheme="minorHAnsi"/>
        </w:rPr>
        <w:t>mających</w:t>
      </w:r>
      <w:r w:rsidR="003B50ED">
        <w:rPr>
          <w:rFonts w:cstheme="minorHAnsi"/>
        </w:rPr>
        <w:t xml:space="preserve"> </w:t>
      </w:r>
      <w:r w:rsidRPr="00A26C26">
        <w:rPr>
          <w:rFonts w:cstheme="minorHAnsi"/>
        </w:rPr>
        <w:t>od</w:t>
      </w:r>
      <w:r w:rsidR="003B50ED">
        <w:rPr>
          <w:rFonts w:cstheme="minorHAnsi"/>
        </w:rPr>
        <w:t xml:space="preserve"> </w:t>
      </w:r>
      <w:r w:rsidRPr="00A26C26">
        <w:rPr>
          <w:rFonts w:cstheme="minorHAnsi"/>
        </w:rPr>
        <w:t>35</w:t>
      </w:r>
      <w:r w:rsidR="003B50ED">
        <w:rPr>
          <w:rFonts w:cstheme="minorHAnsi"/>
        </w:rPr>
        <w:t xml:space="preserve"> </w:t>
      </w:r>
      <w:r w:rsidRPr="00A26C26">
        <w:rPr>
          <w:rFonts w:cstheme="minorHAnsi"/>
        </w:rPr>
        <w:t>do</w:t>
      </w:r>
      <w:r w:rsidR="003B50ED">
        <w:rPr>
          <w:rFonts w:cstheme="minorHAnsi"/>
        </w:rPr>
        <w:t xml:space="preserve"> </w:t>
      </w:r>
      <w:r w:rsidRPr="00A26C26">
        <w:rPr>
          <w:rFonts w:cstheme="minorHAnsi"/>
        </w:rPr>
        <w:t>44</w:t>
      </w:r>
      <w:r w:rsidR="003B50ED">
        <w:rPr>
          <w:rFonts w:cstheme="minorHAnsi"/>
        </w:rPr>
        <w:t xml:space="preserve"> </w:t>
      </w:r>
      <w:r w:rsidRPr="00A26C26">
        <w:rPr>
          <w:rFonts w:cstheme="minorHAnsi"/>
        </w:rPr>
        <w:t>lat.</w:t>
      </w:r>
      <w:r w:rsidR="003B50ED">
        <w:rPr>
          <w:rFonts w:cstheme="minorHAnsi"/>
        </w:rPr>
        <w:t xml:space="preserve"> </w:t>
      </w:r>
      <w:r w:rsidRPr="00A26C26">
        <w:rPr>
          <w:rFonts w:cstheme="minorHAnsi"/>
        </w:rPr>
        <w:t>Do</w:t>
      </w:r>
      <w:r w:rsidR="003B50ED">
        <w:rPr>
          <w:rFonts w:cstheme="minorHAnsi"/>
        </w:rPr>
        <w:t xml:space="preserve"> </w:t>
      </w:r>
      <w:r w:rsidRPr="00A26C26">
        <w:rPr>
          <w:rFonts w:cstheme="minorHAnsi"/>
        </w:rPr>
        <w:t>grona</w:t>
      </w:r>
      <w:r w:rsidR="003B50ED">
        <w:rPr>
          <w:rFonts w:cstheme="minorHAnsi"/>
        </w:rPr>
        <w:t xml:space="preserve"> </w:t>
      </w:r>
      <w:r w:rsidRPr="00A26C26">
        <w:rPr>
          <w:rFonts w:cstheme="minorHAnsi"/>
        </w:rPr>
        <w:t>internautów</w:t>
      </w:r>
      <w:r w:rsidR="003B50ED">
        <w:rPr>
          <w:rFonts w:cstheme="minorHAnsi"/>
        </w:rPr>
        <w:t xml:space="preserve"> </w:t>
      </w:r>
      <w:r w:rsidRPr="00A26C26">
        <w:rPr>
          <w:rFonts w:cstheme="minorHAnsi"/>
        </w:rPr>
        <w:t>zalicza</w:t>
      </w:r>
      <w:r w:rsidR="003B50ED">
        <w:rPr>
          <w:rFonts w:cstheme="minorHAnsi"/>
        </w:rPr>
        <w:t xml:space="preserve"> </w:t>
      </w:r>
      <w:r w:rsidRPr="00A26C26">
        <w:rPr>
          <w:rFonts w:cstheme="minorHAnsi"/>
        </w:rPr>
        <w:t>się</w:t>
      </w:r>
      <w:r w:rsidR="003B50ED">
        <w:rPr>
          <w:rFonts w:cstheme="minorHAnsi"/>
        </w:rPr>
        <w:t xml:space="preserve"> </w:t>
      </w:r>
      <w:r w:rsidRPr="00A26C26">
        <w:rPr>
          <w:rFonts w:cstheme="minorHAnsi"/>
        </w:rPr>
        <w:t>ogromna</w:t>
      </w:r>
      <w:r w:rsidR="003B50ED">
        <w:rPr>
          <w:rFonts w:cstheme="minorHAnsi"/>
        </w:rPr>
        <w:t xml:space="preserve"> </w:t>
      </w:r>
      <w:r w:rsidRPr="00A26C26">
        <w:rPr>
          <w:rFonts w:cstheme="minorHAnsi"/>
        </w:rPr>
        <w:t>większość</w:t>
      </w:r>
      <w:r w:rsidR="003B50ED">
        <w:rPr>
          <w:rFonts w:cstheme="minorHAnsi"/>
        </w:rPr>
        <w:t xml:space="preserve"> </w:t>
      </w:r>
      <w:r w:rsidRPr="00A26C26">
        <w:rPr>
          <w:rFonts w:cstheme="minorHAnsi"/>
        </w:rPr>
        <w:t>ankietowanych</w:t>
      </w:r>
      <w:r w:rsidR="003B50ED">
        <w:rPr>
          <w:rFonts w:cstheme="minorHAnsi"/>
        </w:rPr>
        <w:t xml:space="preserve"> </w:t>
      </w:r>
      <w:r w:rsidRPr="00A26C26">
        <w:rPr>
          <w:rFonts w:cstheme="minorHAnsi"/>
        </w:rPr>
        <w:t>mających</w:t>
      </w:r>
      <w:r w:rsidR="003B50ED">
        <w:rPr>
          <w:rFonts w:cstheme="minorHAnsi"/>
        </w:rPr>
        <w:t xml:space="preserve"> </w:t>
      </w:r>
      <w:r w:rsidRPr="00A26C26">
        <w:rPr>
          <w:rFonts w:cstheme="minorHAnsi"/>
        </w:rPr>
        <w:t>od</w:t>
      </w:r>
      <w:r w:rsidR="003B50ED">
        <w:rPr>
          <w:rFonts w:cstheme="minorHAnsi"/>
        </w:rPr>
        <w:t xml:space="preserve"> </w:t>
      </w:r>
      <w:r w:rsidRPr="00A26C26">
        <w:rPr>
          <w:rFonts w:cstheme="minorHAnsi"/>
        </w:rPr>
        <w:t>45</w:t>
      </w:r>
      <w:r w:rsidR="003B50ED">
        <w:rPr>
          <w:rFonts w:cstheme="minorHAnsi"/>
        </w:rPr>
        <w:t xml:space="preserve"> </w:t>
      </w:r>
      <w:r w:rsidRPr="00A26C26">
        <w:rPr>
          <w:rFonts w:cstheme="minorHAnsi"/>
        </w:rPr>
        <w:t>do</w:t>
      </w:r>
      <w:r w:rsidR="003B50ED">
        <w:rPr>
          <w:rFonts w:cstheme="minorHAnsi"/>
        </w:rPr>
        <w:t xml:space="preserve"> </w:t>
      </w:r>
      <w:r w:rsidRPr="00A26C26">
        <w:rPr>
          <w:rFonts w:cstheme="minorHAnsi"/>
        </w:rPr>
        <w:t>54</w:t>
      </w:r>
      <w:r w:rsidR="003B50ED">
        <w:rPr>
          <w:rFonts w:cstheme="minorHAnsi"/>
        </w:rPr>
        <w:t xml:space="preserve"> </w:t>
      </w:r>
      <w:r w:rsidRPr="00A26C26">
        <w:rPr>
          <w:rFonts w:cstheme="minorHAnsi"/>
        </w:rPr>
        <w:t>lat</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dwie</w:t>
      </w:r>
      <w:r w:rsidR="003B50ED">
        <w:rPr>
          <w:rFonts w:cstheme="minorHAnsi"/>
        </w:rPr>
        <w:t xml:space="preserve"> </w:t>
      </w:r>
      <w:r w:rsidRPr="00A26C26">
        <w:rPr>
          <w:rFonts w:cstheme="minorHAnsi"/>
        </w:rPr>
        <w:t>trzecie</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wieku</w:t>
      </w:r>
      <w:r w:rsidR="003B50ED">
        <w:rPr>
          <w:rFonts w:cstheme="minorHAnsi"/>
        </w:rPr>
        <w:t xml:space="preserve"> </w:t>
      </w:r>
      <w:r w:rsidRPr="00A26C26">
        <w:rPr>
          <w:rFonts w:cstheme="minorHAnsi"/>
        </w:rPr>
        <w:t>55-64</w:t>
      </w:r>
      <w:r w:rsidR="003B50ED">
        <w:rPr>
          <w:rFonts w:cstheme="minorHAnsi"/>
        </w:rPr>
        <w:t xml:space="preserve"> </w:t>
      </w:r>
      <w:r w:rsidRPr="00A26C26">
        <w:rPr>
          <w:rFonts w:cstheme="minorHAnsi"/>
        </w:rPr>
        <w:t>lata.</w:t>
      </w:r>
      <w:r w:rsidR="003B50ED">
        <w:rPr>
          <w:rFonts w:cstheme="minorHAnsi"/>
        </w:rPr>
        <w:t xml:space="preserve"> </w:t>
      </w:r>
      <w:r w:rsidRPr="00A26C26">
        <w:rPr>
          <w:rFonts w:cstheme="minorHAnsi"/>
        </w:rPr>
        <w:t>Wśród</w:t>
      </w:r>
      <w:r w:rsidR="003B50ED">
        <w:rPr>
          <w:rFonts w:cstheme="minorHAnsi"/>
        </w:rPr>
        <w:t xml:space="preserve"> </w:t>
      </w:r>
      <w:r w:rsidRPr="00A26C26">
        <w:rPr>
          <w:rFonts w:cstheme="minorHAnsi"/>
        </w:rPr>
        <w:t>osób</w:t>
      </w:r>
      <w:r w:rsidR="003B50ED">
        <w:rPr>
          <w:rFonts w:cstheme="minorHAnsi"/>
        </w:rPr>
        <w:t xml:space="preserve"> </w:t>
      </w:r>
      <w:r w:rsidRPr="00A26C26">
        <w:rPr>
          <w:rFonts w:cstheme="minorHAnsi"/>
        </w:rPr>
        <w:t>starszych</w:t>
      </w:r>
      <w:r w:rsidR="003B50ED">
        <w:rPr>
          <w:rFonts w:cstheme="minorHAnsi"/>
        </w:rPr>
        <w:t xml:space="preserve"> </w:t>
      </w:r>
      <w:r w:rsidRPr="00A26C26">
        <w:rPr>
          <w:rFonts w:cstheme="minorHAnsi"/>
        </w:rPr>
        <w:t>użytkownicy</w:t>
      </w:r>
      <w:r w:rsidR="003B50ED">
        <w:rPr>
          <w:rFonts w:cstheme="minorHAnsi"/>
        </w:rPr>
        <w:t xml:space="preserve"> </w:t>
      </w:r>
      <w:r w:rsidRPr="00A26C26">
        <w:rPr>
          <w:rFonts w:cstheme="minorHAnsi"/>
        </w:rPr>
        <w:t>Internetu</w:t>
      </w:r>
      <w:r w:rsidR="003B50ED">
        <w:rPr>
          <w:rFonts w:cstheme="minorHAnsi"/>
        </w:rPr>
        <w:t xml:space="preserve"> </w:t>
      </w:r>
      <w:r w:rsidRPr="00A26C26">
        <w:rPr>
          <w:rFonts w:cstheme="minorHAnsi"/>
        </w:rPr>
        <w:t>stanowią</w:t>
      </w:r>
      <w:r w:rsidR="003B50ED">
        <w:rPr>
          <w:rFonts w:cstheme="minorHAnsi"/>
        </w:rPr>
        <w:t xml:space="preserve"> </w:t>
      </w:r>
      <w:r w:rsidRPr="00A26C26">
        <w:rPr>
          <w:rFonts w:cstheme="minorHAnsi"/>
        </w:rPr>
        <w:t>mniejszość:</w:t>
      </w:r>
      <w:r w:rsidR="003B50ED">
        <w:rPr>
          <w:rFonts w:cstheme="minorHAnsi"/>
        </w:rPr>
        <w:t xml:space="preserve"> </w:t>
      </w:r>
      <w:r w:rsidRPr="00A26C26">
        <w:rPr>
          <w:rFonts w:cstheme="minorHAnsi"/>
        </w:rPr>
        <w:t>dwie</w:t>
      </w:r>
      <w:r w:rsidR="003B50ED">
        <w:rPr>
          <w:rFonts w:cstheme="minorHAnsi"/>
        </w:rPr>
        <w:t xml:space="preserve"> </w:t>
      </w:r>
      <w:r w:rsidRPr="00A26C26">
        <w:rPr>
          <w:rFonts w:cstheme="minorHAnsi"/>
        </w:rPr>
        <w:t>piąte</w:t>
      </w:r>
      <w:r w:rsidR="003B50ED">
        <w:rPr>
          <w:rFonts w:cstheme="minorHAnsi"/>
        </w:rPr>
        <w:t xml:space="preserve"> </w:t>
      </w:r>
      <w:r w:rsidRPr="00A26C26">
        <w:rPr>
          <w:rFonts w:cstheme="minorHAnsi"/>
        </w:rPr>
        <w:t>wśród</w:t>
      </w:r>
      <w:r w:rsidR="003B50ED">
        <w:rPr>
          <w:rFonts w:cstheme="minorHAnsi"/>
        </w:rPr>
        <w:t xml:space="preserve"> </w:t>
      </w:r>
      <w:r w:rsidRPr="00A26C26">
        <w:rPr>
          <w:rFonts w:cstheme="minorHAnsi"/>
        </w:rPr>
        <w:t>mających</w:t>
      </w:r>
      <w:r w:rsidR="003B50ED">
        <w:rPr>
          <w:rFonts w:cstheme="minorHAnsi"/>
        </w:rPr>
        <w:t xml:space="preserve"> </w:t>
      </w:r>
      <w:r w:rsidRPr="00A26C26">
        <w:rPr>
          <w:rFonts w:cstheme="minorHAnsi"/>
        </w:rPr>
        <w:t>od</w:t>
      </w:r>
      <w:r w:rsidR="003B50ED">
        <w:rPr>
          <w:rFonts w:cstheme="minorHAnsi"/>
        </w:rPr>
        <w:t xml:space="preserve"> </w:t>
      </w:r>
      <w:r w:rsidRPr="00A26C26">
        <w:rPr>
          <w:rFonts w:cstheme="minorHAnsi"/>
        </w:rPr>
        <w:t>65</w:t>
      </w:r>
      <w:r w:rsidR="003B50ED">
        <w:rPr>
          <w:rFonts w:cstheme="minorHAnsi"/>
        </w:rPr>
        <w:t xml:space="preserve"> </w:t>
      </w:r>
      <w:r w:rsidRPr="00A26C26">
        <w:rPr>
          <w:rFonts w:cstheme="minorHAnsi"/>
        </w:rPr>
        <w:t>do</w:t>
      </w:r>
      <w:r w:rsidR="003B50ED">
        <w:rPr>
          <w:rFonts w:cstheme="minorHAnsi"/>
        </w:rPr>
        <w:t xml:space="preserve"> </w:t>
      </w:r>
      <w:r w:rsidRPr="00A26C26">
        <w:rPr>
          <w:rFonts w:cstheme="minorHAnsi"/>
        </w:rPr>
        <w:t>74</w:t>
      </w:r>
      <w:r w:rsidR="003B50ED">
        <w:rPr>
          <w:rFonts w:cstheme="minorHAnsi"/>
        </w:rPr>
        <w:t xml:space="preserve"> </w:t>
      </w:r>
      <w:r w:rsidRPr="00A26C26">
        <w:rPr>
          <w:rFonts w:cstheme="minorHAnsi"/>
        </w:rPr>
        <w:t>lat</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około</w:t>
      </w:r>
      <w:r w:rsidR="003B50ED">
        <w:rPr>
          <w:rFonts w:cstheme="minorHAnsi"/>
        </w:rPr>
        <w:t xml:space="preserve"> </w:t>
      </w:r>
      <w:r w:rsidRPr="00A26C26">
        <w:rPr>
          <w:rFonts w:cstheme="minorHAnsi"/>
        </w:rPr>
        <w:t>jednej</w:t>
      </w:r>
      <w:r w:rsidR="003B50ED">
        <w:rPr>
          <w:rFonts w:cstheme="minorHAnsi"/>
        </w:rPr>
        <w:t xml:space="preserve"> </w:t>
      </w:r>
      <w:r w:rsidRPr="00A26C26">
        <w:rPr>
          <w:rFonts w:cstheme="minorHAnsi"/>
        </w:rPr>
        <w:t>piątej</w:t>
      </w:r>
      <w:r w:rsidR="003B50ED">
        <w:rPr>
          <w:rFonts w:cstheme="minorHAnsi"/>
        </w:rPr>
        <w:t xml:space="preserve"> </w:t>
      </w:r>
      <w:r w:rsidRPr="00A26C26">
        <w:rPr>
          <w:rFonts w:cstheme="minorHAnsi"/>
        </w:rPr>
        <w:t>wśród</w:t>
      </w:r>
      <w:r w:rsidR="003B50ED">
        <w:rPr>
          <w:rFonts w:cstheme="minorHAnsi"/>
        </w:rPr>
        <w:t xml:space="preserve"> </w:t>
      </w:r>
      <w:r w:rsidRPr="00A26C26">
        <w:rPr>
          <w:rFonts w:cstheme="minorHAnsi"/>
        </w:rPr>
        <w:t>najstarszych.</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porównaniu</w:t>
      </w:r>
      <w:r w:rsidR="003B50ED">
        <w:rPr>
          <w:rFonts w:cstheme="minorHAnsi"/>
        </w:rPr>
        <w:t xml:space="preserve"> </w:t>
      </w:r>
      <w:r w:rsidRPr="00A26C26">
        <w:rPr>
          <w:rFonts w:cstheme="minorHAnsi"/>
        </w:rPr>
        <w:t>do</w:t>
      </w:r>
      <w:r w:rsidR="003B50ED">
        <w:rPr>
          <w:rFonts w:cstheme="minorHAnsi"/>
        </w:rPr>
        <w:t xml:space="preserve"> </w:t>
      </w:r>
      <w:r w:rsidRPr="00A26C26">
        <w:rPr>
          <w:rFonts w:cstheme="minorHAnsi"/>
        </w:rPr>
        <w:t>poprzedniego</w:t>
      </w:r>
      <w:r w:rsidR="003B50ED">
        <w:rPr>
          <w:rFonts w:cstheme="minorHAnsi"/>
        </w:rPr>
        <w:t xml:space="preserve"> </w:t>
      </w:r>
      <w:r w:rsidRPr="00A26C26">
        <w:rPr>
          <w:rFonts w:cstheme="minorHAnsi"/>
        </w:rPr>
        <w:t>pomiaru</w:t>
      </w:r>
      <w:r w:rsidR="003B50ED">
        <w:rPr>
          <w:rFonts w:cstheme="minorHAnsi"/>
        </w:rPr>
        <w:t xml:space="preserve"> </w:t>
      </w:r>
      <w:r w:rsidRPr="00A26C26">
        <w:rPr>
          <w:rFonts w:cstheme="minorHAnsi"/>
        </w:rPr>
        <w:t>sprzed</w:t>
      </w:r>
      <w:r w:rsidR="003B50ED">
        <w:rPr>
          <w:rFonts w:cstheme="minorHAnsi"/>
        </w:rPr>
        <w:t xml:space="preserve"> </w:t>
      </w:r>
      <w:r w:rsidRPr="00A26C26">
        <w:rPr>
          <w:rFonts w:cstheme="minorHAnsi"/>
        </w:rPr>
        <w:t>roku</w:t>
      </w:r>
      <w:r w:rsidR="003B50ED">
        <w:rPr>
          <w:rFonts w:cstheme="minorHAnsi"/>
        </w:rPr>
        <w:t xml:space="preserve"> </w:t>
      </w:r>
      <w:r w:rsidRPr="00A26C26">
        <w:rPr>
          <w:rFonts w:cstheme="minorHAnsi"/>
        </w:rPr>
        <w:t>największy</w:t>
      </w:r>
      <w:r w:rsidR="003B50ED">
        <w:rPr>
          <w:rFonts w:cstheme="minorHAnsi"/>
        </w:rPr>
        <w:t xml:space="preserve"> </w:t>
      </w:r>
      <w:r w:rsidRPr="00A26C26">
        <w:rPr>
          <w:rFonts w:cstheme="minorHAnsi"/>
        </w:rPr>
        <w:t>wzrost</w:t>
      </w:r>
      <w:r w:rsidR="003B50ED">
        <w:rPr>
          <w:rFonts w:cstheme="minorHAnsi"/>
        </w:rPr>
        <w:t xml:space="preserve"> </w:t>
      </w:r>
      <w:r w:rsidRPr="00A26C26">
        <w:rPr>
          <w:rFonts w:cstheme="minorHAnsi"/>
        </w:rPr>
        <w:t>odsetka</w:t>
      </w:r>
      <w:r w:rsidR="003B50ED">
        <w:rPr>
          <w:rFonts w:cstheme="minorHAnsi"/>
        </w:rPr>
        <w:t xml:space="preserve"> </w:t>
      </w:r>
      <w:r w:rsidRPr="00A26C26">
        <w:rPr>
          <w:rFonts w:cstheme="minorHAnsi"/>
        </w:rPr>
        <w:t>będących</w:t>
      </w:r>
      <w:r w:rsidR="003B50ED">
        <w:rPr>
          <w:rFonts w:cstheme="minorHAnsi"/>
        </w:rPr>
        <w:t xml:space="preserve"> </w:t>
      </w:r>
      <w:r w:rsidRPr="00A26C26">
        <w:rPr>
          <w:rFonts w:cstheme="minorHAnsi"/>
        </w:rPr>
        <w:t>online</w:t>
      </w:r>
      <w:r w:rsidR="003B50ED">
        <w:rPr>
          <w:rFonts w:cstheme="minorHAnsi"/>
        </w:rPr>
        <w:t xml:space="preserve"> </w:t>
      </w:r>
      <w:r w:rsidRPr="00A26C26">
        <w:rPr>
          <w:rFonts w:cstheme="minorHAnsi"/>
        </w:rPr>
        <w:t>nastąpił</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grupach:</w:t>
      </w:r>
      <w:r w:rsidR="003B50ED">
        <w:rPr>
          <w:rFonts w:cstheme="minorHAnsi"/>
        </w:rPr>
        <w:t xml:space="preserve"> </w:t>
      </w:r>
      <w:r w:rsidRPr="00A26C26">
        <w:rPr>
          <w:rFonts w:cstheme="minorHAnsi"/>
        </w:rPr>
        <w:t>45-54</w:t>
      </w:r>
      <w:r w:rsidR="003B50ED">
        <w:rPr>
          <w:rFonts w:cstheme="minorHAnsi"/>
        </w:rPr>
        <w:t xml:space="preserve"> </w:t>
      </w:r>
      <w:r w:rsidRPr="00A26C26">
        <w:rPr>
          <w:rFonts w:cstheme="minorHAnsi"/>
        </w:rPr>
        <w:t>lata</w:t>
      </w:r>
      <w:r w:rsidR="003B50ED">
        <w:rPr>
          <w:rFonts w:cstheme="minorHAnsi"/>
        </w:rPr>
        <w:t xml:space="preserve"> </w:t>
      </w:r>
      <w:r w:rsidRPr="00A26C26">
        <w:rPr>
          <w:rFonts w:cstheme="minorHAnsi"/>
        </w:rPr>
        <w:t>(o</w:t>
      </w:r>
      <w:r w:rsidR="003B50ED">
        <w:rPr>
          <w:rFonts w:cstheme="minorHAnsi"/>
        </w:rPr>
        <w:t xml:space="preserve"> </w:t>
      </w:r>
      <w:r w:rsidRPr="00A26C26">
        <w:rPr>
          <w:rFonts w:cstheme="minorHAnsi"/>
        </w:rPr>
        <w:t>10</w:t>
      </w:r>
      <w:r w:rsidR="003B50ED">
        <w:rPr>
          <w:rFonts w:cstheme="minorHAnsi"/>
        </w:rPr>
        <w:t xml:space="preserve"> </w:t>
      </w:r>
      <w:r w:rsidRPr="00A26C26">
        <w:rPr>
          <w:rFonts w:cstheme="minorHAnsi"/>
        </w:rPr>
        <w:t>punktów</w:t>
      </w:r>
      <w:r w:rsidR="003B50ED">
        <w:rPr>
          <w:rFonts w:cstheme="minorHAnsi"/>
        </w:rPr>
        <w:t xml:space="preserve"> </w:t>
      </w:r>
      <w:r w:rsidRPr="00A26C26">
        <w:rPr>
          <w:rFonts w:cstheme="minorHAnsi"/>
        </w:rPr>
        <w:t>procentowych)</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75+</w:t>
      </w:r>
      <w:r w:rsidR="003B50ED">
        <w:rPr>
          <w:rFonts w:cstheme="minorHAnsi"/>
        </w:rPr>
        <w:t xml:space="preserve"> </w:t>
      </w:r>
      <w:r w:rsidRPr="00A26C26">
        <w:rPr>
          <w:rFonts w:cstheme="minorHAnsi"/>
        </w:rPr>
        <w:t>(o</w:t>
      </w:r>
      <w:r w:rsidR="003B50ED">
        <w:rPr>
          <w:rFonts w:cstheme="minorHAnsi"/>
        </w:rPr>
        <w:t xml:space="preserve"> </w:t>
      </w:r>
      <w:r w:rsidRPr="00A26C26">
        <w:rPr>
          <w:rFonts w:cstheme="minorHAnsi"/>
        </w:rPr>
        <w:t>9</w:t>
      </w:r>
      <w:r w:rsidR="003B50ED">
        <w:rPr>
          <w:rFonts w:cstheme="minorHAnsi"/>
        </w:rPr>
        <w:t xml:space="preserve"> </w:t>
      </w:r>
      <w:r w:rsidRPr="00A26C26">
        <w:rPr>
          <w:rFonts w:cstheme="minorHAnsi"/>
        </w:rPr>
        <w:t>punktów).</w:t>
      </w:r>
    </w:p>
    <w:p w14:paraId="5C65E680" w14:textId="01E96B60" w:rsidR="00C71928" w:rsidRPr="00A26C26" w:rsidRDefault="00C71928" w:rsidP="00A26C26">
      <w:pPr>
        <w:spacing w:line="276" w:lineRule="auto"/>
        <w:ind w:firstLine="284"/>
        <w:jc w:val="both"/>
        <w:rPr>
          <w:rFonts w:cstheme="minorHAnsi"/>
        </w:rPr>
      </w:pPr>
      <w:r w:rsidRPr="00A26C26">
        <w:rPr>
          <w:rFonts w:cstheme="minorHAnsi"/>
        </w:rPr>
        <w:t>Profil</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portalu</w:t>
      </w:r>
      <w:r w:rsidR="003B50ED">
        <w:rPr>
          <w:rFonts w:cstheme="minorHAnsi"/>
        </w:rPr>
        <w:t xml:space="preserve"> </w:t>
      </w:r>
      <w:r w:rsidRPr="00A26C26">
        <w:rPr>
          <w:rFonts w:cstheme="minorHAnsi"/>
        </w:rPr>
        <w:t>społecznościowym</w:t>
      </w:r>
      <w:r w:rsidR="003B50ED">
        <w:rPr>
          <w:rFonts w:cstheme="minorHAnsi"/>
        </w:rPr>
        <w:t xml:space="preserve"> </w:t>
      </w:r>
      <w:r w:rsidRPr="00A26C26">
        <w:rPr>
          <w:rFonts w:cstheme="minorHAnsi"/>
        </w:rPr>
        <w:t>będzie</w:t>
      </w:r>
      <w:r w:rsidR="003B50ED">
        <w:rPr>
          <w:rFonts w:cstheme="minorHAnsi"/>
        </w:rPr>
        <w:t xml:space="preserve"> </w:t>
      </w:r>
      <w:r w:rsidRPr="00A26C26">
        <w:rPr>
          <w:rFonts w:cstheme="minorHAnsi"/>
        </w:rPr>
        <w:t>pełnił</w:t>
      </w:r>
      <w:r w:rsidR="003B50ED">
        <w:rPr>
          <w:rFonts w:cstheme="minorHAnsi"/>
        </w:rPr>
        <w:t xml:space="preserve"> </w:t>
      </w:r>
      <w:r w:rsidRPr="00A26C26">
        <w:rPr>
          <w:rFonts w:cstheme="minorHAnsi"/>
        </w:rPr>
        <w:t>nie</w:t>
      </w:r>
      <w:r w:rsidR="003B50ED">
        <w:rPr>
          <w:rFonts w:cstheme="minorHAnsi"/>
        </w:rPr>
        <w:t xml:space="preserve"> </w:t>
      </w:r>
      <w:r w:rsidRPr="00A26C26">
        <w:rPr>
          <w:rFonts w:cstheme="minorHAnsi"/>
        </w:rPr>
        <w:t>tylko</w:t>
      </w:r>
      <w:r w:rsidR="003B50ED">
        <w:rPr>
          <w:rFonts w:cstheme="minorHAnsi"/>
        </w:rPr>
        <w:t xml:space="preserve"> </w:t>
      </w:r>
      <w:r w:rsidRPr="00A26C26">
        <w:rPr>
          <w:rFonts w:cstheme="minorHAnsi"/>
        </w:rPr>
        <w:t>funkcję</w:t>
      </w:r>
      <w:r w:rsidR="003B50ED">
        <w:rPr>
          <w:rFonts w:cstheme="minorHAnsi"/>
        </w:rPr>
        <w:t xml:space="preserve"> </w:t>
      </w:r>
      <w:r w:rsidRPr="00A26C26">
        <w:rPr>
          <w:rFonts w:cstheme="minorHAnsi"/>
        </w:rPr>
        <w:t>informacyjną</w:t>
      </w:r>
      <w:r w:rsidR="003B50ED">
        <w:rPr>
          <w:rFonts w:cstheme="minorHAnsi"/>
        </w:rPr>
        <w:t xml:space="preserve"> </w:t>
      </w:r>
      <w:r w:rsidRPr="00A26C26">
        <w:rPr>
          <w:rFonts w:cstheme="minorHAnsi"/>
        </w:rPr>
        <w:t>ale</w:t>
      </w:r>
      <w:r w:rsidR="003B50ED">
        <w:rPr>
          <w:rFonts w:cstheme="minorHAnsi"/>
        </w:rPr>
        <w:t xml:space="preserve"> </w:t>
      </w:r>
      <w:r w:rsidRPr="00A26C26">
        <w:rPr>
          <w:rFonts w:cstheme="minorHAnsi"/>
        </w:rPr>
        <w:t>też</w:t>
      </w:r>
      <w:r w:rsidR="003B50ED">
        <w:rPr>
          <w:rFonts w:cstheme="minorHAnsi"/>
        </w:rPr>
        <w:t xml:space="preserve"> </w:t>
      </w:r>
      <w:r w:rsidRPr="00A26C26">
        <w:rPr>
          <w:rFonts w:cstheme="minorHAnsi"/>
        </w:rPr>
        <w:t>swoistego</w:t>
      </w:r>
      <w:r w:rsidR="003B50ED">
        <w:rPr>
          <w:rFonts w:cstheme="minorHAnsi"/>
        </w:rPr>
        <w:t xml:space="preserve"> </w:t>
      </w:r>
      <w:r w:rsidRPr="00A26C26">
        <w:rPr>
          <w:rFonts w:cstheme="minorHAnsi"/>
        </w:rPr>
        <w:t>bloga.</w:t>
      </w:r>
      <w:r w:rsidR="003B50ED">
        <w:rPr>
          <w:rFonts w:cstheme="minorHAnsi"/>
        </w:rPr>
        <w:t xml:space="preserve"> </w:t>
      </w:r>
      <w:r w:rsidRPr="00A26C26">
        <w:rPr>
          <w:rFonts w:cstheme="minorHAnsi"/>
        </w:rPr>
        <w:t>Komentarze</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takich</w:t>
      </w:r>
      <w:r w:rsidR="003B50ED">
        <w:rPr>
          <w:rFonts w:cstheme="minorHAnsi"/>
        </w:rPr>
        <w:t xml:space="preserve"> </w:t>
      </w:r>
      <w:r w:rsidRPr="00A26C26">
        <w:rPr>
          <w:rFonts w:cstheme="minorHAnsi"/>
        </w:rPr>
        <w:t>portalach</w:t>
      </w:r>
      <w:r w:rsidR="003B50ED">
        <w:rPr>
          <w:rFonts w:cstheme="minorHAnsi"/>
        </w:rPr>
        <w:t xml:space="preserve"> </w:t>
      </w:r>
      <w:r w:rsidRPr="00A26C26">
        <w:rPr>
          <w:rFonts w:cstheme="minorHAnsi"/>
        </w:rPr>
        <w:t>to</w:t>
      </w:r>
      <w:r w:rsidR="003B50ED">
        <w:rPr>
          <w:rFonts w:cstheme="minorHAnsi"/>
        </w:rPr>
        <w:t xml:space="preserve"> </w:t>
      </w:r>
      <w:r w:rsidRPr="00A26C26">
        <w:rPr>
          <w:rFonts w:cstheme="minorHAnsi"/>
        </w:rPr>
        <w:t>również</w:t>
      </w:r>
      <w:r w:rsidR="003B50ED">
        <w:rPr>
          <w:rFonts w:cstheme="minorHAnsi"/>
        </w:rPr>
        <w:t xml:space="preserve"> </w:t>
      </w:r>
      <w:r w:rsidRPr="00A26C26">
        <w:rPr>
          <w:rFonts w:cstheme="minorHAnsi"/>
        </w:rPr>
        <w:t>cenne</w:t>
      </w:r>
      <w:r w:rsidR="003B50ED">
        <w:rPr>
          <w:rFonts w:cstheme="minorHAnsi"/>
        </w:rPr>
        <w:t xml:space="preserve"> </w:t>
      </w:r>
      <w:r w:rsidRPr="00A26C26">
        <w:rPr>
          <w:rFonts w:cstheme="minorHAnsi"/>
        </w:rPr>
        <w:t>źródło</w:t>
      </w:r>
      <w:r w:rsidR="003B50ED">
        <w:rPr>
          <w:rFonts w:cstheme="minorHAnsi"/>
        </w:rPr>
        <w:t xml:space="preserve"> </w:t>
      </w:r>
      <w:r w:rsidRPr="00A26C26">
        <w:rPr>
          <w:rFonts w:cstheme="minorHAnsi"/>
        </w:rPr>
        <w:t>informacji</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temat</w:t>
      </w:r>
      <w:r w:rsidR="003B50ED">
        <w:rPr>
          <w:rFonts w:cstheme="minorHAnsi"/>
        </w:rPr>
        <w:t xml:space="preserve"> </w:t>
      </w:r>
      <w:r w:rsidRPr="00A26C26">
        <w:rPr>
          <w:rFonts w:cstheme="minorHAnsi"/>
        </w:rPr>
        <w:t>problemów</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potrzeb</w:t>
      </w:r>
      <w:r w:rsidR="003B50ED">
        <w:rPr>
          <w:rFonts w:cstheme="minorHAnsi"/>
        </w:rPr>
        <w:t xml:space="preserve"> </w:t>
      </w:r>
      <w:r w:rsidRPr="00A26C26">
        <w:rPr>
          <w:rFonts w:cstheme="minorHAnsi"/>
        </w:rPr>
        <w:t>lokalnej</w:t>
      </w:r>
      <w:r w:rsidR="003B50ED">
        <w:rPr>
          <w:rFonts w:cstheme="minorHAnsi"/>
        </w:rPr>
        <w:t xml:space="preserve"> </w:t>
      </w:r>
      <w:r w:rsidRPr="00A26C26">
        <w:rPr>
          <w:rFonts w:cstheme="minorHAnsi"/>
        </w:rPr>
        <w:t>społeczności.</w:t>
      </w:r>
      <w:r w:rsidR="003B50ED">
        <w:rPr>
          <w:rFonts w:cstheme="minorHAnsi"/>
        </w:rPr>
        <w:t xml:space="preserve"> </w:t>
      </w:r>
    </w:p>
    <w:p w14:paraId="4C48B01D" w14:textId="2796404F" w:rsidR="00C71928" w:rsidRPr="00A26C26" w:rsidRDefault="00C71928" w:rsidP="00CC67E2">
      <w:pPr>
        <w:spacing w:line="276" w:lineRule="auto"/>
        <w:ind w:firstLine="284"/>
        <w:jc w:val="both"/>
        <w:rPr>
          <w:rFonts w:cstheme="minorHAnsi"/>
        </w:rPr>
      </w:pPr>
      <w:r w:rsidRPr="00A26C26">
        <w:rPr>
          <w:rFonts w:cstheme="minorHAnsi"/>
        </w:rPr>
        <w:t>Portal</w:t>
      </w:r>
      <w:r w:rsidR="003B50ED">
        <w:rPr>
          <w:rFonts w:cstheme="minorHAnsi"/>
        </w:rPr>
        <w:t xml:space="preserve"> </w:t>
      </w:r>
      <w:r w:rsidRPr="00A26C26">
        <w:rPr>
          <w:rFonts w:cstheme="minorHAnsi"/>
        </w:rPr>
        <w:t>społecznościowy</w:t>
      </w:r>
      <w:r w:rsidR="003B50ED">
        <w:rPr>
          <w:rFonts w:cstheme="minorHAnsi"/>
        </w:rPr>
        <w:t xml:space="preserve"> </w:t>
      </w:r>
      <w:r w:rsidRPr="00A26C26">
        <w:rPr>
          <w:rFonts w:cstheme="minorHAnsi"/>
        </w:rPr>
        <w:t>jest</w:t>
      </w:r>
      <w:r w:rsidR="003B50ED">
        <w:rPr>
          <w:rFonts w:cstheme="minorHAnsi"/>
        </w:rPr>
        <w:t xml:space="preserve"> </w:t>
      </w:r>
      <w:r w:rsidRPr="00A26C26">
        <w:rPr>
          <w:rFonts w:cstheme="minorHAnsi"/>
        </w:rPr>
        <w:t>potężnym</w:t>
      </w:r>
      <w:r w:rsidR="003B50ED">
        <w:rPr>
          <w:rFonts w:cstheme="minorHAnsi"/>
        </w:rPr>
        <w:t xml:space="preserve"> </w:t>
      </w:r>
      <w:r w:rsidRPr="00A26C26">
        <w:rPr>
          <w:rFonts w:cstheme="minorHAnsi"/>
        </w:rPr>
        <w:t>narzędziem,</w:t>
      </w:r>
      <w:r w:rsidR="003B50ED">
        <w:rPr>
          <w:rFonts w:cstheme="minorHAnsi"/>
        </w:rPr>
        <w:t xml:space="preserve"> </w:t>
      </w:r>
      <w:r w:rsidRPr="00A26C26">
        <w:rPr>
          <w:rFonts w:cstheme="minorHAnsi"/>
        </w:rPr>
        <w:t>które</w:t>
      </w:r>
      <w:r w:rsidR="003B50ED">
        <w:rPr>
          <w:rFonts w:cstheme="minorHAnsi"/>
        </w:rPr>
        <w:t xml:space="preserve"> </w:t>
      </w:r>
      <w:r w:rsidRPr="00A26C26">
        <w:rPr>
          <w:rFonts w:cstheme="minorHAnsi"/>
        </w:rPr>
        <w:t>odpowiednio</w:t>
      </w:r>
      <w:r w:rsidR="003B50ED">
        <w:rPr>
          <w:rFonts w:cstheme="minorHAnsi"/>
        </w:rPr>
        <w:t xml:space="preserve"> </w:t>
      </w:r>
      <w:r w:rsidRPr="00A26C26">
        <w:rPr>
          <w:rFonts w:cstheme="minorHAnsi"/>
        </w:rPr>
        <w:t>wykorzystane</w:t>
      </w:r>
      <w:r w:rsidR="003B50ED">
        <w:rPr>
          <w:rFonts w:cstheme="minorHAnsi"/>
        </w:rPr>
        <w:t xml:space="preserve"> </w:t>
      </w:r>
      <w:r w:rsidRPr="00A26C26">
        <w:rPr>
          <w:rFonts w:cstheme="minorHAnsi"/>
        </w:rPr>
        <w:t>stwarza</w:t>
      </w:r>
      <w:r w:rsidR="003B50ED">
        <w:rPr>
          <w:rFonts w:cstheme="minorHAnsi"/>
        </w:rPr>
        <w:t xml:space="preserve"> </w:t>
      </w:r>
      <w:r w:rsidRPr="00A26C26">
        <w:rPr>
          <w:rFonts w:cstheme="minorHAnsi"/>
        </w:rPr>
        <w:t>nieograniczone</w:t>
      </w:r>
      <w:r w:rsidR="003B50ED">
        <w:rPr>
          <w:rFonts w:cstheme="minorHAnsi"/>
        </w:rPr>
        <w:t xml:space="preserve"> </w:t>
      </w:r>
      <w:r w:rsidRPr="00A26C26">
        <w:rPr>
          <w:rFonts w:cstheme="minorHAnsi"/>
        </w:rPr>
        <w:t>możliwości</w:t>
      </w:r>
      <w:r w:rsidR="003B50ED">
        <w:rPr>
          <w:rFonts w:cstheme="minorHAnsi"/>
        </w:rPr>
        <w:t xml:space="preserve"> </w:t>
      </w:r>
      <w:r w:rsidRPr="00A26C26">
        <w:rPr>
          <w:rFonts w:cstheme="minorHAnsi"/>
        </w:rPr>
        <w:t>promocji,</w:t>
      </w:r>
      <w:r w:rsidR="003B50ED">
        <w:rPr>
          <w:rFonts w:cstheme="minorHAnsi"/>
        </w:rPr>
        <w:t xml:space="preserve"> </w:t>
      </w:r>
      <w:r w:rsidRPr="00A26C26">
        <w:rPr>
          <w:rFonts w:cstheme="minorHAnsi"/>
        </w:rPr>
        <w:t>budowania</w:t>
      </w:r>
      <w:r w:rsidR="003B50ED">
        <w:rPr>
          <w:rFonts w:cstheme="minorHAnsi"/>
        </w:rPr>
        <w:t xml:space="preserve"> </w:t>
      </w:r>
      <w:r w:rsidRPr="00A26C26">
        <w:rPr>
          <w:rFonts w:cstheme="minorHAnsi"/>
        </w:rPr>
        <w:t>relacji</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partnerami</w:t>
      </w:r>
      <w:r w:rsidR="003B50ED">
        <w:rPr>
          <w:rFonts w:cstheme="minorHAnsi"/>
        </w:rPr>
        <w:t xml:space="preserve"> </w:t>
      </w:r>
      <w:r w:rsidRPr="00A26C26">
        <w:rPr>
          <w:rFonts w:cstheme="minorHAnsi"/>
        </w:rPr>
        <w:t>oraz</w:t>
      </w:r>
      <w:r w:rsidR="003B50ED">
        <w:rPr>
          <w:rFonts w:cstheme="minorHAnsi"/>
        </w:rPr>
        <w:t xml:space="preserve"> </w:t>
      </w:r>
      <w:r w:rsidRPr="00A26C26">
        <w:rPr>
          <w:rFonts w:cstheme="minorHAnsi"/>
        </w:rPr>
        <w:t>pozyskiwanie</w:t>
      </w:r>
      <w:r w:rsidR="003B50ED">
        <w:rPr>
          <w:rFonts w:cstheme="minorHAnsi"/>
        </w:rPr>
        <w:t xml:space="preserve"> </w:t>
      </w:r>
      <w:r w:rsidRPr="00A26C26">
        <w:rPr>
          <w:rFonts w:cstheme="minorHAnsi"/>
        </w:rPr>
        <w:t>nowych.</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danych</w:t>
      </w:r>
      <w:r w:rsidR="003B50ED">
        <w:rPr>
          <w:rFonts w:cstheme="minorHAnsi"/>
        </w:rPr>
        <w:t xml:space="preserve"> </w:t>
      </w:r>
      <w:r w:rsidRPr="00A26C26">
        <w:rPr>
          <w:rFonts w:cstheme="minorHAnsi"/>
        </w:rPr>
        <w:t>statystycznych</w:t>
      </w:r>
      <w:r w:rsidR="003B50ED">
        <w:rPr>
          <w:rFonts w:cstheme="minorHAnsi"/>
        </w:rPr>
        <w:t xml:space="preserve"> </w:t>
      </w:r>
      <w:r w:rsidRPr="00A26C26">
        <w:rPr>
          <w:rFonts w:cstheme="minorHAnsi"/>
        </w:rPr>
        <w:t>udostępnianych</w:t>
      </w:r>
      <w:r w:rsidR="003B50ED">
        <w:rPr>
          <w:rFonts w:cstheme="minorHAnsi"/>
        </w:rPr>
        <w:t xml:space="preserve"> </w:t>
      </w:r>
      <w:r w:rsidRPr="00A26C26">
        <w:rPr>
          <w:rFonts w:cstheme="minorHAnsi"/>
        </w:rPr>
        <w:t>przez</w:t>
      </w:r>
      <w:r w:rsidR="003B50ED">
        <w:rPr>
          <w:rFonts w:cstheme="minorHAnsi"/>
        </w:rPr>
        <w:t xml:space="preserve"> </w:t>
      </w:r>
      <w:r w:rsidRPr="00A26C26">
        <w:rPr>
          <w:rFonts w:cstheme="minorHAnsi"/>
        </w:rPr>
        <w:t>Facebook</w:t>
      </w:r>
      <w:r w:rsidR="003B50ED">
        <w:rPr>
          <w:rFonts w:cstheme="minorHAnsi"/>
        </w:rPr>
        <w:t xml:space="preserve"> </w:t>
      </w:r>
      <w:r w:rsidRPr="00A26C26">
        <w:rPr>
          <w:rFonts w:cstheme="minorHAnsi"/>
        </w:rPr>
        <w:t>LGD</w:t>
      </w:r>
      <w:r w:rsidR="003B50ED">
        <w:rPr>
          <w:rFonts w:cstheme="minorHAnsi"/>
        </w:rPr>
        <w:t xml:space="preserve"> </w:t>
      </w:r>
      <w:r w:rsidRPr="00A26C26">
        <w:rPr>
          <w:rFonts w:cstheme="minorHAnsi"/>
        </w:rPr>
        <w:t>pozyska</w:t>
      </w:r>
      <w:r w:rsidR="003B50ED">
        <w:rPr>
          <w:rFonts w:cstheme="minorHAnsi"/>
        </w:rPr>
        <w:t xml:space="preserve"> </w:t>
      </w:r>
      <w:r w:rsidRPr="00A26C26">
        <w:rPr>
          <w:rFonts w:cstheme="minorHAnsi"/>
        </w:rPr>
        <w:t>informację</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jakich</w:t>
      </w:r>
      <w:r w:rsidR="003B50ED">
        <w:rPr>
          <w:rFonts w:cstheme="minorHAnsi"/>
        </w:rPr>
        <w:t xml:space="preserve"> </w:t>
      </w:r>
      <w:r w:rsidRPr="00A26C26">
        <w:rPr>
          <w:rFonts w:cstheme="minorHAnsi"/>
        </w:rPr>
        <w:t>godzinach</w:t>
      </w:r>
      <w:r w:rsidR="003B50ED">
        <w:rPr>
          <w:rFonts w:cstheme="minorHAnsi"/>
        </w:rPr>
        <w:t xml:space="preserve"> </w:t>
      </w:r>
      <w:r w:rsidR="00EE6F0C">
        <w:rPr>
          <w:rFonts w:cstheme="minorHAnsi"/>
        </w:rPr>
        <w:t>obserwujący</w:t>
      </w:r>
      <w:r w:rsidR="003B50ED">
        <w:rPr>
          <w:rFonts w:cstheme="minorHAnsi"/>
        </w:rPr>
        <w:t xml:space="preserve"> </w:t>
      </w:r>
      <w:r w:rsidRPr="00A26C26">
        <w:rPr>
          <w:rFonts w:cstheme="minorHAnsi"/>
        </w:rPr>
        <w:t>odwiedzają</w:t>
      </w:r>
      <w:r w:rsidR="003B50ED">
        <w:rPr>
          <w:rFonts w:cstheme="minorHAnsi"/>
        </w:rPr>
        <w:t xml:space="preserve"> </w:t>
      </w:r>
      <w:r w:rsidRPr="00A26C26">
        <w:rPr>
          <w:rFonts w:cstheme="minorHAnsi"/>
        </w:rPr>
        <w:t>profil,</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jakie</w:t>
      </w:r>
      <w:r w:rsidR="003B50ED">
        <w:rPr>
          <w:rFonts w:cstheme="minorHAnsi"/>
        </w:rPr>
        <w:t xml:space="preserve"> </w:t>
      </w:r>
      <w:r w:rsidRPr="00A26C26">
        <w:rPr>
          <w:rFonts w:cstheme="minorHAnsi"/>
        </w:rPr>
        <w:t>artykuły</w:t>
      </w:r>
      <w:r w:rsidR="003B50ED">
        <w:rPr>
          <w:rFonts w:cstheme="minorHAnsi"/>
        </w:rPr>
        <w:t xml:space="preserve"> </w:t>
      </w:r>
      <w:r w:rsidRPr="00135142">
        <w:rPr>
          <w:rFonts w:cstheme="minorHAnsi"/>
        </w:rPr>
        <w:t>reagują</w:t>
      </w:r>
      <w:r w:rsidR="003B50ED" w:rsidRPr="00135142">
        <w:rPr>
          <w:rFonts w:cstheme="minorHAnsi"/>
        </w:rPr>
        <w:t xml:space="preserve"> </w:t>
      </w:r>
      <w:r w:rsidRPr="00135142">
        <w:rPr>
          <w:rFonts w:cstheme="minorHAnsi"/>
        </w:rPr>
        <w:t>najczęściej</w:t>
      </w:r>
      <w:r w:rsidR="003B50ED" w:rsidRPr="00135142">
        <w:rPr>
          <w:rFonts w:cstheme="minorHAnsi"/>
        </w:rPr>
        <w:t xml:space="preserve"> </w:t>
      </w:r>
      <w:r w:rsidRPr="00135142">
        <w:rPr>
          <w:rFonts w:cstheme="minorHAnsi"/>
        </w:rPr>
        <w:t>oraz</w:t>
      </w:r>
      <w:r w:rsidR="003B50ED" w:rsidRPr="00135142">
        <w:rPr>
          <w:rFonts w:cstheme="minorHAnsi"/>
        </w:rPr>
        <w:t xml:space="preserve"> </w:t>
      </w:r>
      <w:r w:rsidRPr="00135142">
        <w:rPr>
          <w:rFonts w:cstheme="minorHAnsi"/>
        </w:rPr>
        <w:t>jakie</w:t>
      </w:r>
      <w:r w:rsidR="003B50ED" w:rsidRPr="00135142">
        <w:rPr>
          <w:rFonts w:cstheme="minorHAnsi"/>
        </w:rPr>
        <w:t xml:space="preserve"> </w:t>
      </w:r>
      <w:r w:rsidRPr="00135142">
        <w:rPr>
          <w:rFonts w:cstheme="minorHAnsi"/>
        </w:rPr>
        <w:t>tematy</w:t>
      </w:r>
      <w:r w:rsidR="003B50ED" w:rsidRPr="00135142">
        <w:rPr>
          <w:rFonts w:cstheme="minorHAnsi"/>
        </w:rPr>
        <w:t xml:space="preserve"> </w:t>
      </w:r>
      <w:r w:rsidRPr="00135142">
        <w:rPr>
          <w:rFonts w:cstheme="minorHAnsi"/>
        </w:rPr>
        <w:t>komentują.</w:t>
      </w:r>
      <w:r w:rsidR="003B50ED" w:rsidRPr="00135142">
        <w:rPr>
          <w:rFonts w:cstheme="minorHAnsi"/>
        </w:rPr>
        <w:t xml:space="preserve"> </w:t>
      </w:r>
      <w:r w:rsidRPr="00135142">
        <w:rPr>
          <w:rFonts w:cstheme="minorHAnsi"/>
        </w:rPr>
        <w:t>Pozwoli</w:t>
      </w:r>
      <w:r w:rsidR="003B50ED" w:rsidRPr="00135142">
        <w:rPr>
          <w:rFonts w:cstheme="minorHAnsi"/>
        </w:rPr>
        <w:t xml:space="preserve"> </w:t>
      </w:r>
      <w:r w:rsidRPr="00135142">
        <w:rPr>
          <w:rFonts w:cstheme="minorHAnsi"/>
        </w:rPr>
        <w:t>to</w:t>
      </w:r>
      <w:r w:rsidR="003B50ED" w:rsidRPr="00135142">
        <w:rPr>
          <w:rFonts w:cstheme="minorHAnsi"/>
        </w:rPr>
        <w:t xml:space="preserve"> </w:t>
      </w:r>
      <w:r w:rsidRPr="00135142">
        <w:rPr>
          <w:rFonts w:cstheme="minorHAnsi"/>
        </w:rPr>
        <w:t>na</w:t>
      </w:r>
      <w:r w:rsidR="003B50ED" w:rsidRPr="00135142">
        <w:rPr>
          <w:rFonts w:cstheme="minorHAnsi"/>
        </w:rPr>
        <w:t xml:space="preserve"> </w:t>
      </w:r>
      <w:r w:rsidRPr="00135142">
        <w:rPr>
          <w:rFonts w:cstheme="minorHAnsi"/>
        </w:rPr>
        <w:t>dostosowanie</w:t>
      </w:r>
      <w:r w:rsidR="003B50ED" w:rsidRPr="00135142">
        <w:rPr>
          <w:rFonts w:cstheme="minorHAnsi"/>
        </w:rPr>
        <w:t xml:space="preserve"> </w:t>
      </w:r>
      <w:r w:rsidRPr="00135142">
        <w:rPr>
          <w:rFonts w:cstheme="minorHAnsi"/>
        </w:rPr>
        <w:t>treści</w:t>
      </w:r>
      <w:r w:rsidR="003B50ED" w:rsidRPr="00135142">
        <w:rPr>
          <w:rFonts w:cstheme="minorHAnsi"/>
        </w:rPr>
        <w:t xml:space="preserve"> </w:t>
      </w:r>
      <w:r w:rsidRPr="00135142">
        <w:rPr>
          <w:rFonts w:cstheme="minorHAnsi"/>
        </w:rPr>
        <w:t>postów</w:t>
      </w:r>
      <w:r w:rsidR="003B50ED" w:rsidRPr="00135142">
        <w:rPr>
          <w:rFonts w:cstheme="minorHAnsi"/>
        </w:rPr>
        <w:t xml:space="preserve"> </w:t>
      </w:r>
      <w:r w:rsidRPr="00135142">
        <w:rPr>
          <w:rFonts w:cstheme="minorHAnsi"/>
        </w:rPr>
        <w:t>oraz</w:t>
      </w:r>
      <w:r w:rsidR="003B50ED" w:rsidRPr="00135142">
        <w:rPr>
          <w:rFonts w:cstheme="minorHAnsi"/>
        </w:rPr>
        <w:t xml:space="preserve"> </w:t>
      </w:r>
      <w:r w:rsidRPr="00135142">
        <w:rPr>
          <w:rFonts w:cstheme="minorHAnsi"/>
        </w:rPr>
        <w:t>czasu</w:t>
      </w:r>
      <w:r w:rsidR="003B50ED" w:rsidRPr="00135142">
        <w:rPr>
          <w:rFonts w:cstheme="minorHAnsi"/>
        </w:rPr>
        <w:t xml:space="preserve"> </w:t>
      </w:r>
      <w:r w:rsidRPr="00135142">
        <w:rPr>
          <w:rFonts w:cstheme="minorHAnsi"/>
        </w:rPr>
        <w:t>publikacji</w:t>
      </w:r>
      <w:r w:rsidR="003B50ED" w:rsidRPr="00135142">
        <w:rPr>
          <w:rFonts w:cstheme="minorHAnsi"/>
        </w:rPr>
        <w:t xml:space="preserve"> </w:t>
      </w:r>
      <w:r w:rsidRPr="00135142">
        <w:rPr>
          <w:rFonts w:cstheme="minorHAnsi"/>
        </w:rPr>
        <w:t>adekwatnie</w:t>
      </w:r>
      <w:r w:rsidR="003B50ED" w:rsidRPr="00135142">
        <w:rPr>
          <w:rFonts w:cstheme="minorHAnsi"/>
        </w:rPr>
        <w:t xml:space="preserve"> </w:t>
      </w:r>
      <w:r w:rsidRPr="00135142">
        <w:rPr>
          <w:rFonts w:cstheme="minorHAnsi"/>
        </w:rPr>
        <w:t>do</w:t>
      </w:r>
      <w:r w:rsidR="003B50ED" w:rsidRPr="00135142">
        <w:rPr>
          <w:rFonts w:cstheme="minorHAnsi"/>
        </w:rPr>
        <w:t xml:space="preserve"> </w:t>
      </w:r>
      <w:r w:rsidRPr="00135142">
        <w:rPr>
          <w:rFonts w:cstheme="minorHAnsi"/>
        </w:rPr>
        <w:t>potrzeb</w:t>
      </w:r>
      <w:r w:rsidR="003B50ED" w:rsidRPr="00135142">
        <w:rPr>
          <w:rFonts w:cstheme="minorHAnsi"/>
        </w:rPr>
        <w:t xml:space="preserve"> </w:t>
      </w:r>
      <w:r w:rsidRPr="00135142">
        <w:rPr>
          <w:rFonts w:cstheme="minorHAnsi"/>
        </w:rPr>
        <w:t>obecnych</w:t>
      </w:r>
      <w:r w:rsidR="003B50ED" w:rsidRPr="00135142">
        <w:rPr>
          <w:rFonts w:cstheme="minorHAnsi"/>
        </w:rPr>
        <w:t xml:space="preserve"> </w:t>
      </w:r>
      <w:r w:rsidRPr="00135142">
        <w:rPr>
          <w:rFonts w:cstheme="minorHAnsi"/>
        </w:rPr>
        <w:t>i</w:t>
      </w:r>
      <w:r w:rsidR="003B50ED" w:rsidRPr="00135142">
        <w:rPr>
          <w:rFonts w:cstheme="minorHAnsi"/>
        </w:rPr>
        <w:t xml:space="preserve"> </w:t>
      </w:r>
      <w:r w:rsidRPr="00135142">
        <w:rPr>
          <w:rFonts w:cstheme="minorHAnsi"/>
        </w:rPr>
        <w:t>potencjalnych</w:t>
      </w:r>
      <w:r w:rsidR="003B50ED" w:rsidRPr="00135142">
        <w:rPr>
          <w:rFonts w:cstheme="minorHAnsi"/>
        </w:rPr>
        <w:t xml:space="preserve"> </w:t>
      </w:r>
      <w:r w:rsidRPr="00135142">
        <w:rPr>
          <w:rFonts w:cstheme="minorHAnsi"/>
        </w:rPr>
        <w:t>partnerów</w:t>
      </w:r>
      <w:r w:rsidR="003B50ED" w:rsidRPr="00135142">
        <w:rPr>
          <w:rFonts w:cstheme="minorHAnsi"/>
        </w:rPr>
        <w:t xml:space="preserve"> </w:t>
      </w:r>
      <w:r w:rsidRPr="00135142">
        <w:rPr>
          <w:rFonts w:cstheme="minorHAnsi"/>
        </w:rPr>
        <w:t>i</w:t>
      </w:r>
      <w:r w:rsidR="003B50ED" w:rsidRPr="00135142">
        <w:rPr>
          <w:rFonts w:cstheme="minorHAnsi"/>
        </w:rPr>
        <w:t xml:space="preserve"> </w:t>
      </w:r>
      <w:r w:rsidRPr="00135142">
        <w:rPr>
          <w:rFonts w:cstheme="minorHAnsi"/>
        </w:rPr>
        <w:t>beneficjentów</w:t>
      </w:r>
      <w:r w:rsidR="003B50ED" w:rsidRPr="00135142">
        <w:rPr>
          <w:rFonts w:cstheme="minorHAnsi"/>
        </w:rPr>
        <w:t xml:space="preserve"> </w:t>
      </w:r>
      <w:r w:rsidRPr="00135142">
        <w:rPr>
          <w:rFonts w:cstheme="minorHAnsi"/>
        </w:rPr>
        <w:t>aby</w:t>
      </w:r>
      <w:r w:rsidR="003B50ED" w:rsidRPr="00135142">
        <w:rPr>
          <w:rFonts w:cstheme="minorHAnsi"/>
        </w:rPr>
        <w:t xml:space="preserve"> </w:t>
      </w:r>
      <w:r w:rsidRPr="00135142">
        <w:rPr>
          <w:rFonts w:cstheme="minorHAnsi"/>
        </w:rPr>
        <w:t>posty</w:t>
      </w:r>
      <w:r w:rsidR="003B50ED" w:rsidRPr="00135142">
        <w:rPr>
          <w:rFonts w:cstheme="minorHAnsi"/>
        </w:rPr>
        <w:t xml:space="preserve"> </w:t>
      </w:r>
      <w:r w:rsidRPr="00135142">
        <w:rPr>
          <w:rFonts w:cstheme="minorHAnsi"/>
        </w:rPr>
        <w:t>zyskały</w:t>
      </w:r>
      <w:r w:rsidR="003B50ED" w:rsidRPr="00135142">
        <w:rPr>
          <w:rFonts w:cstheme="minorHAnsi"/>
        </w:rPr>
        <w:t xml:space="preserve"> </w:t>
      </w:r>
      <w:r w:rsidRPr="00135142">
        <w:rPr>
          <w:rFonts w:cstheme="minorHAnsi"/>
        </w:rPr>
        <w:t>jak</w:t>
      </w:r>
      <w:r w:rsidR="003B50ED" w:rsidRPr="00135142">
        <w:rPr>
          <w:rFonts w:cstheme="minorHAnsi"/>
        </w:rPr>
        <w:t xml:space="preserve"> </w:t>
      </w:r>
      <w:r w:rsidRPr="00135142">
        <w:rPr>
          <w:rFonts w:cstheme="minorHAnsi"/>
        </w:rPr>
        <w:t>największy</w:t>
      </w:r>
      <w:r w:rsidR="003B50ED" w:rsidRPr="00135142">
        <w:rPr>
          <w:rFonts w:cstheme="minorHAnsi"/>
        </w:rPr>
        <w:t xml:space="preserve"> </w:t>
      </w:r>
      <w:r w:rsidRPr="00135142">
        <w:rPr>
          <w:rFonts w:cstheme="minorHAnsi"/>
        </w:rPr>
        <w:t>zasięg.</w:t>
      </w:r>
      <w:r w:rsidR="003B50ED" w:rsidRPr="00135142">
        <w:rPr>
          <w:rFonts w:cstheme="minorHAnsi"/>
        </w:rPr>
        <w:t xml:space="preserve"> </w:t>
      </w:r>
      <w:r w:rsidRPr="00135142">
        <w:rPr>
          <w:rFonts w:cstheme="minorHAnsi"/>
        </w:rPr>
        <w:t>Strategią</w:t>
      </w:r>
      <w:r w:rsidR="003B50ED" w:rsidRPr="00135142">
        <w:rPr>
          <w:rFonts w:cstheme="minorHAnsi"/>
        </w:rPr>
        <w:t xml:space="preserve"> </w:t>
      </w:r>
      <w:r w:rsidRPr="00135142">
        <w:rPr>
          <w:rFonts w:cstheme="minorHAnsi"/>
        </w:rPr>
        <w:t>komunikacji</w:t>
      </w:r>
      <w:r w:rsidR="003B50ED" w:rsidRPr="00135142">
        <w:rPr>
          <w:rFonts w:cstheme="minorHAnsi"/>
        </w:rPr>
        <w:t xml:space="preserve"> </w:t>
      </w:r>
      <w:r w:rsidRPr="00135142">
        <w:rPr>
          <w:rFonts w:cstheme="minorHAnsi"/>
        </w:rPr>
        <w:t>za</w:t>
      </w:r>
      <w:r w:rsidR="003B50ED" w:rsidRPr="00135142">
        <w:rPr>
          <w:rFonts w:cstheme="minorHAnsi"/>
        </w:rPr>
        <w:t xml:space="preserve"> </w:t>
      </w:r>
      <w:r w:rsidRPr="00135142">
        <w:rPr>
          <w:rFonts w:cstheme="minorHAnsi"/>
        </w:rPr>
        <w:t>pomocą</w:t>
      </w:r>
      <w:r w:rsidR="003B50ED" w:rsidRPr="00135142">
        <w:rPr>
          <w:rFonts w:cstheme="minorHAnsi"/>
        </w:rPr>
        <w:t xml:space="preserve"> </w:t>
      </w:r>
      <w:r w:rsidRPr="00135142">
        <w:rPr>
          <w:rFonts w:cstheme="minorHAnsi"/>
        </w:rPr>
        <w:t>tego</w:t>
      </w:r>
      <w:r w:rsidR="003B50ED" w:rsidRPr="00135142">
        <w:rPr>
          <w:rFonts w:cstheme="minorHAnsi"/>
        </w:rPr>
        <w:t xml:space="preserve"> </w:t>
      </w:r>
      <w:r w:rsidRPr="00135142">
        <w:rPr>
          <w:rFonts w:cstheme="minorHAnsi"/>
        </w:rPr>
        <w:t>narzędzia</w:t>
      </w:r>
      <w:r w:rsidR="003B50ED" w:rsidRPr="00135142">
        <w:rPr>
          <w:rFonts w:cstheme="minorHAnsi"/>
        </w:rPr>
        <w:t xml:space="preserve"> </w:t>
      </w:r>
      <w:r w:rsidRPr="00135142">
        <w:rPr>
          <w:rFonts w:cstheme="minorHAnsi"/>
        </w:rPr>
        <w:t>jest</w:t>
      </w:r>
      <w:r w:rsidR="003B50ED" w:rsidRPr="00135142">
        <w:rPr>
          <w:rFonts w:cstheme="minorHAnsi"/>
        </w:rPr>
        <w:t xml:space="preserve"> </w:t>
      </w:r>
      <w:r w:rsidRPr="00135142">
        <w:rPr>
          <w:rFonts w:cstheme="minorHAnsi"/>
        </w:rPr>
        <w:t>podtrzymywanie</w:t>
      </w:r>
      <w:r w:rsidR="003B50ED" w:rsidRPr="00135142">
        <w:rPr>
          <w:rFonts w:cstheme="minorHAnsi"/>
        </w:rPr>
        <w:t xml:space="preserve"> </w:t>
      </w:r>
      <w:r w:rsidRPr="00135142">
        <w:rPr>
          <w:rFonts w:cstheme="minorHAnsi"/>
        </w:rPr>
        <w:t>pozytywnych</w:t>
      </w:r>
      <w:r w:rsidR="003B50ED" w:rsidRPr="00135142">
        <w:rPr>
          <w:rFonts w:cstheme="minorHAnsi"/>
        </w:rPr>
        <w:t xml:space="preserve"> </w:t>
      </w:r>
      <w:r w:rsidRPr="00135142">
        <w:rPr>
          <w:rFonts w:cstheme="minorHAnsi"/>
        </w:rPr>
        <w:t>relacji</w:t>
      </w:r>
      <w:r w:rsidR="003B50ED" w:rsidRPr="00135142">
        <w:rPr>
          <w:rFonts w:cstheme="minorHAnsi"/>
        </w:rPr>
        <w:t xml:space="preserve"> </w:t>
      </w:r>
      <w:r w:rsidRPr="00135142">
        <w:rPr>
          <w:rFonts w:cstheme="minorHAnsi"/>
        </w:rPr>
        <w:t>poprzez</w:t>
      </w:r>
      <w:r w:rsidR="003B50ED" w:rsidRPr="00135142">
        <w:rPr>
          <w:rFonts w:cstheme="minorHAnsi"/>
        </w:rPr>
        <w:t xml:space="preserve"> </w:t>
      </w:r>
      <w:r w:rsidRPr="00135142">
        <w:rPr>
          <w:rFonts w:cstheme="minorHAnsi"/>
        </w:rPr>
        <w:t>umożliwienie</w:t>
      </w:r>
      <w:r w:rsidR="003B50ED" w:rsidRPr="00135142">
        <w:rPr>
          <w:rFonts w:cstheme="minorHAnsi"/>
        </w:rPr>
        <w:t xml:space="preserve"> </w:t>
      </w:r>
      <w:r w:rsidRPr="00135142">
        <w:rPr>
          <w:rFonts w:cstheme="minorHAnsi"/>
        </w:rPr>
        <w:t>obserwatorom</w:t>
      </w:r>
      <w:r w:rsidR="003B50ED" w:rsidRPr="00135142">
        <w:rPr>
          <w:rFonts w:cstheme="minorHAnsi"/>
        </w:rPr>
        <w:t xml:space="preserve"> </w:t>
      </w:r>
      <w:r w:rsidRPr="00135142">
        <w:rPr>
          <w:rFonts w:cstheme="minorHAnsi"/>
        </w:rPr>
        <w:t>wpływania</w:t>
      </w:r>
      <w:r w:rsidR="003B50ED" w:rsidRPr="00135142">
        <w:rPr>
          <w:rFonts w:cstheme="minorHAnsi"/>
        </w:rPr>
        <w:t xml:space="preserve"> </w:t>
      </w:r>
      <w:r w:rsidRPr="00135142">
        <w:rPr>
          <w:rFonts w:cstheme="minorHAnsi"/>
        </w:rPr>
        <w:t>na</w:t>
      </w:r>
      <w:r w:rsidR="003B50ED" w:rsidRPr="00135142">
        <w:rPr>
          <w:rFonts w:cstheme="minorHAnsi"/>
        </w:rPr>
        <w:t xml:space="preserve"> </w:t>
      </w:r>
      <w:r w:rsidRPr="00135142">
        <w:rPr>
          <w:rFonts w:cstheme="minorHAnsi"/>
        </w:rPr>
        <w:t>treść</w:t>
      </w:r>
      <w:r w:rsidR="003B50ED" w:rsidRPr="00135142">
        <w:rPr>
          <w:rFonts w:cstheme="minorHAnsi"/>
        </w:rPr>
        <w:t xml:space="preserve"> </w:t>
      </w:r>
      <w:r w:rsidRPr="00135142">
        <w:rPr>
          <w:rFonts w:cstheme="minorHAnsi"/>
        </w:rPr>
        <w:t>i</w:t>
      </w:r>
      <w:r w:rsidR="003B50ED" w:rsidRPr="00135142">
        <w:rPr>
          <w:rFonts w:cstheme="minorHAnsi"/>
        </w:rPr>
        <w:t xml:space="preserve"> </w:t>
      </w:r>
      <w:r w:rsidRPr="00135142">
        <w:rPr>
          <w:rFonts w:cstheme="minorHAnsi"/>
        </w:rPr>
        <w:t>wygląd</w:t>
      </w:r>
      <w:r w:rsidR="003B50ED" w:rsidRPr="00135142">
        <w:rPr>
          <w:rFonts w:cstheme="minorHAnsi"/>
        </w:rPr>
        <w:t xml:space="preserve"> </w:t>
      </w:r>
      <w:r w:rsidRPr="00135142">
        <w:rPr>
          <w:rFonts w:cstheme="minorHAnsi"/>
        </w:rPr>
        <w:t>profilu.</w:t>
      </w:r>
      <w:r w:rsidR="003B50ED" w:rsidRPr="00135142">
        <w:rPr>
          <w:rFonts w:cstheme="minorHAnsi"/>
        </w:rPr>
        <w:t xml:space="preserve"> </w:t>
      </w:r>
      <w:r w:rsidRPr="00135142">
        <w:rPr>
          <w:rFonts w:cstheme="minorHAnsi"/>
        </w:rPr>
        <w:t>To</w:t>
      </w:r>
      <w:r w:rsidR="003B50ED" w:rsidRPr="00135142">
        <w:rPr>
          <w:rFonts w:cstheme="minorHAnsi"/>
        </w:rPr>
        <w:t xml:space="preserve"> </w:t>
      </w:r>
      <w:r w:rsidRPr="00135142">
        <w:rPr>
          <w:rFonts w:cstheme="minorHAnsi"/>
        </w:rPr>
        <w:t>sprawi,</w:t>
      </w:r>
      <w:r w:rsidR="003B50ED" w:rsidRPr="00135142">
        <w:rPr>
          <w:rFonts w:cstheme="minorHAnsi"/>
        </w:rPr>
        <w:t xml:space="preserve"> </w:t>
      </w:r>
      <w:r w:rsidRPr="00135142">
        <w:rPr>
          <w:rFonts w:cstheme="minorHAnsi"/>
        </w:rPr>
        <w:t>że</w:t>
      </w:r>
      <w:r w:rsidR="003B50ED" w:rsidRPr="00135142">
        <w:rPr>
          <w:rFonts w:cstheme="minorHAnsi"/>
        </w:rPr>
        <w:t xml:space="preserve"> </w:t>
      </w:r>
      <w:r w:rsidRPr="00135142">
        <w:rPr>
          <w:rFonts w:cstheme="minorHAnsi"/>
        </w:rPr>
        <w:t>poczują</w:t>
      </w:r>
      <w:r w:rsidR="003B50ED" w:rsidRPr="00135142">
        <w:rPr>
          <w:rFonts w:cstheme="minorHAnsi"/>
        </w:rPr>
        <w:t xml:space="preserve"> </w:t>
      </w:r>
      <w:r w:rsidRPr="00135142">
        <w:rPr>
          <w:rFonts w:cstheme="minorHAnsi"/>
        </w:rPr>
        <w:t>się</w:t>
      </w:r>
      <w:r w:rsidR="003B50ED" w:rsidRPr="00135142">
        <w:rPr>
          <w:rFonts w:cstheme="minorHAnsi"/>
        </w:rPr>
        <w:t xml:space="preserve"> </w:t>
      </w:r>
      <w:r w:rsidRPr="00135142">
        <w:rPr>
          <w:rFonts w:cstheme="minorHAnsi"/>
        </w:rPr>
        <w:t>związani</w:t>
      </w:r>
      <w:r w:rsidR="003B50ED" w:rsidRPr="00135142">
        <w:rPr>
          <w:rFonts w:cstheme="minorHAnsi"/>
        </w:rPr>
        <w:t xml:space="preserve"> </w:t>
      </w:r>
      <w:r w:rsidRPr="00135142">
        <w:rPr>
          <w:rFonts w:cstheme="minorHAnsi"/>
        </w:rPr>
        <w:t>z</w:t>
      </w:r>
      <w:r w:rsidR="003B50ED" w:rsidRPr="00135142">
        <w:rPr>
          <w:rFonts w:cstheme="minorHAnsi"/>
        </w:rPr>
        <w:t xml:space="preserve"> </w:t>
      </w:r>
      <w:r w:rsidRPr="00135142">
        <w:rPr>
          <w:rFonts w:cstheme="minorHAnsi"/>
        </w:rPr>
        <w:t>LGD</w:t>
      </w:r>
      <w:r w:rsidR="003B50ED" w:rsidRPr="00135142">
        <w:rPr>
          <w:rFonts w:cstheme="minorHAnsi"/>
        </w:rPr>
        <w:t xml:space="preserve"> </w:t>
      </w:r>
      <w:r w:rsidR="00CC67E2" w:rsidRPr="00135142">
        <w:rPr>
          <w:rFonts w:cstheme="minorHAnsi"/>
        </w:rPr>
        <w:br/>
      </w:r>
      <w:r w:rsidRPr="00135142">
        <w:rPr>
          <w:rFonts w:cstheme="minorHAnsi"/>
        </w:rPr>
        <w:t>i</w:t>
      </w:r>
      <w:r w:rsidR="003B50ED" w:rsidRPr="00135142">
        <w:rPr>
          <w:rFonts w:cstheme="minorHAnsi"/>
        </w:rPr>
        <w:t xml:space="preserve"> </w:t>
      </w:r>
      <w:r w:rsidRPr="00135142">
        <w:rPr>
          <w:rFonts w:cstheme="minorHAnsi"/>
        </w:rPr>
        <w:t>zaangażują</w:t>
      </w:r>
      <w:r w:rsidR="003B50ED" w:rsidRPr="00135142">
        <w:rPr>
          <w:rFonts w:cstheme="minorHAnsi"/>
        </w:rPr>
        <w:t xml:space="preserve"> </w:t>
      </w:r>
      <w:r w:rsidRPr="00135142">
        <w:rPr>
          <w:rFonts w:cstheme="minorHAnsi"/>
        </w:rPr>
        <w:t>się</w:t>
      </w:r>
      <w:r w:rsidR="003B50ED" w:rsidRPr="00135142">
        <w:rPr>
          <w:rFonts w:cstheme="minorHAnsi"/>
        </w:rPr>
        <w:t xml:space="preserve"> </w:t>
      </w:r>
      <w:r w:rsidRPr="00135142">
        <w:rPr>
          <w:rFonts w:cstheme="minorHAnsi"/>
        </w:rPr>
        <w:t>we</w:t>
      </w:r>
      <w:r w:rsidR="003B50ED" w:rsidRPr="00135142">
        <w:rPr>
          <w:rFonts w:cstheme="minorHAnsi"/>
        </w:rPr>
        <w:t xml:space="preserve"> </w:t>
      </w:r>
      <w:r w:rsidRPr="00135142">
        <w:rPr>
          <w:rFonts w:cstheme="minorHAnsi"/>
        </w:rPr>
        <w:t>wspólne</w:t>
      </w:r>
      <w:r w:rsidR="003B50ED" w:rsidRPr="00135142">
        <w:rPr>
          <w:rFonts w:cstheme="minorHAnsi"/>
        </w:rPr>
        <w:t xml:space="preserve"> </w:t>
      </w:r>
      <w:r w:rsidRPr="00135142">
        <w:rPr>
          <w:rFonts w:cstheme="minorHAnsi"/>
        </w:rPr>
        <w:t>budowanie</w:t>
      </w:r>
      <w:r w:rsidR="003B50ED" w:rsidRPr="00135142">
        <w:rPr>
          <w:rFonts w:cstheme="minorHAnsi"/>
        </w:rPr>
        <w:t xml:space="preserve"> </w:t>
      </w:r>
      <w:r w:rsidRPr="00135142">
        <w:rPr>
          <w:rFonts w:cstheme="minorHAnsi"/>
        </w:rPr>
        <w:t>społeczności.</w:t>
      </w:r>
      <w:r w:rsidR="003B50ED" w:rsidRPr="00135142">
        <w:rPr>
          <w:rFonts w:cstheme="minorHAnsi"/>
        </w:rPr>
        <w:t xml:space="preserve"> </w:t>
      </w:r>
      <w:r w:rsidRPr="00135142">
        <w:rPr>
          <w:rFonts w:cstheme="minorHAnsi"/>
        </w:rPr>
        <w:t>Kolejnym</w:t>
      </w:r>
      <w:r w:rsidR="003B50ED" w:rsidRPr="00135142">
        <w:rPr>
          <w:rFonts w:cstheme="minorHAnsi"/>
        </w:rPr>
        <w:t xml:space="preserve"> </w:t>
      </w:r>
      <w:r w:rsidRPr="00135142">
        <w:rPr>
          <w:rFonts w:cstheme="minorHAnsi"/>
        </w:rPr>
        <w:t>działaniem</w:t>
      </w:r>
      <w:r w:rsidR="003B50ED" w:rsidRPr="00135142">
        <w:rPr>
          <w:rFonts w:cstheme="minorHAnsi"/>
        </w:rPr>
        <w:t xml:space="preserve"> </w:t>
      </w:r>
      <w:r w:rsidRPr="00135142">
        <w:rPr>
          <w:rFonts w:cstheme="minorHAnsi"/>
        </w:rPr>
        <w:t>jest</w:t>
      </w:r>
      <w:r w:rsidR="003B50ED" w:rsidRPr="00135142">
        <w:rPr>
          <w:rFonts w:cstheme="minorHAnsi"/>
        </w:rPr>
        <w:t xml:space="preserve"> </w:t>
      </w:r>
      <w:r w:rsidRPr="00135142">
        <w:rPr>
          <w:rFonts w:cstheme="minorHAnsi"/>
        </w:rPr>
        <w:t>organizacja</w:t>
      </w:r>
      <w:r w:rsidR="003B50ED" w:rsidRPr="00135142">
        <w:rPr>
          <w:rFonts w:cstheme="minorHAnsi"/>
        </w:rPr>
        <w:t xml:space="preserve"> </w:t>
      </w:r>
      <w:r w:rsidRPr="00135142">
        <w:rPr>
          <w:rFonts w:cstheme="minorHAnsi"/>
        </w:rPr>
        <w:t>konkursów.</w:t>
      </w:r>
      <w:r w:rsidR="003B50ED" w:rsidRPr="00135142">
        <w:rPr>
          <w:rFonts w:cstheme="minorHAnsi"/>
        </w:rPr>
        <w:t xml:space="preserve"> </w:t>
      </w:r>
      <w:r w:rsidRPr="00135142">
        <w:rPr>
          <w:rFonts w:cstheme="minorHAnsi"/>
        </w:rPr>
        <w:t>Bardzo</w:t>
      </w:r>
      <w:r w:rsidR="003B50ED" w:rsidRPr="00135142">
        <w:rPr>
          <w:rFonts w:cstheme="minorHAnsi"/>
        </w:rPr>
        <w:t xml:space="preserve"> </w:t>
      </w:r>
      <w:r w:rsidRPr="00135142">
        <w:rPr>
          <w:rFonts w:cstheme="minorHAnsi"/>
        </w:rPr>
        <w:t>łatwo</w:t>
      </w:r>
      <w:r w:rsidR="003B50ED" w:rsidRPr="00135142">
        <w:rPr>
          <w:rFonts w:cstheme="minorHAnsi"/>
        </w:rPr>
        <w:t xml:space="preserve"> </w:t>
      </w:r>
      <w:r w:rsidRPr="00135142">
        <w:rPr>
          <w:rFonts w:cstheme="minorHAnsi"/>
        </w:rPr>
        <w:t>jest</w:t>
      </w:r>
      <w:r w:rsidR="003B50ED" w:rsidRPr="00135142">
        <w:rPr>
          <w:rFonts w:cstheme="minorHAnsi"/>
        </w:rPr>
        <w:t xml:space="preserve"> </w:t>
      </w:r>
      <w:r w:rsidRPr="00135142">
        <w:rPr>
          <w:rFonts w:cstheme="minorHAnsi"/>
        </w:rPr>
        <w:t>przyciągnąć</w:t>
      </w:r>
      <w:r w:rsidR="003B50ED" w:rsidRPr="00135142">
        <w:rPr>
          <w:rFonts w:cstheme="minorHAnsi"/>
        </w:rPr>
        <w:t xml:space="preserve"> </w:t>
      </w:r>
      <w:r w:rsidRPr="00135142">
        <w:rPr>
          <w:rFonts w:cstheme="minorHAnsi"/>
        </w:rPr>
        <w:t>ludzi</w:t>
      </w:r>
      <w:r w:rsidR="003B50ED" w:rsidRPr="00135142">
        <w:rPr>
          <w:rFonts w:cstheme="minorHAnsi"/>
        </w:rPr>
        <w:t xml:space="preserve"> </w:t>
      </w:r>
      <w:r w:rsidRPr="00135142">
        <w:rPr>
          <w:rFonts w:cstheme="minorHAnsi"/>
        </w:rPr>
        <w:t>za</w:t>
      </w:r>
      <w:r w:rsidR="003B50ED" w:rsidRPr="00135142">
        <w:rPr>
          <w:rFonts w:cstheme="minorHAnsi"/>
        </w:rPr>
        <w:t xml:space="preserve"> </w:t>
      </w:r>
      <w:r w:rsidRPr="00135142">
        <w:rPr>
          <w:rFonts w:cstheme="minorHAnsi"/>
        </w:rPr>
        <w:t>pomocą</w:t>
      </w:r>
      <w:r w:rsidR="003B50ED" w:rsidRPr="00135142">
        <w:rPr>
          <w:rFonts w:cstheme="minorHAnsi"/>
        </w:rPr>
        <w:t xml:space="preserve"> </w:t>
      </w:r>
      <w:r w:rsidRPr="00135142">
        <w:rPr>
          <w:rFonts w:cstheme="minorHAnsi"/>
        </w:rPr>
        <w:t>konkursu,</w:t>
      </w:r>
      <w:r w:rsidR="003B50ED" w:rsidRPr="00135142">
        <w:rPr>
          <w:rFonts w:cstheme="minorHAnsi"/>
        </w:rPr>
        <w:t xml:space="preserve"> </w:t>
      </w:r>
      <w:r w:rsidRPr="00135142">
        <w:rPr>
          <w:rFonts w:cstheme="minorHAnsi"/>
        </w:rPr>
        <w:t>który</w:t>
      </w:r>
      <w:r w:rsidR="003B50ED" w:rsidRPr="00135142">
        <w:rPr>
          <w:rFonts w:cstheme="minorHAnsi"/>
        </w:rPr>
        <w:t xml:space="preserve"> </w:t>
      </w:r>
      <w:r w:rsidRPr="00135142">
        <w:rPr>
          <w:rFonts w:cstheme="minorHAnsi"/>
        </w:rPr>
        <w:t>wcale</w:t>
      </w:r>
      <w:r w:rsidR="003B50ED" w:rsidRPr="00135142">
        <w:rPr>
          <w:rFonts w:cstheme="minorHAnsi"/>
        </w:rPr>
        <w:t xml:space="preserve"> </w:t>
      </w:r>
      <w:r w:rsidRPr="00135142">
        <w:rPr>
          <w:rFonts w:cstheme="minorHAnsi"/>
        </w:rPr>
        <w:t>nie</w:t>
      </w:r>
      <w:r w:rsidR="003B50ED" w:rsidRPr="00135142">
        <w:rPr>
          <w:rFonts w:cstheme="minorHAnsi"/>
        </w:rPr>
        <w:t xml:space="preserve"> </w:t>
      </w:r>
      <w:r w:rsidRPr="00135142">
        <w:rPr>
          <w:rFonts w:cstheme="minorHAnsi"/>
        </w:rPr>
        <w:t>wymaga</w:t>
      </w:r>
      <w:r w:rsidR="003B50ED" w:rsidRPr="00135142">
        <w:rPr>
          <w:rFonts w:cstheme="minorHAnsi"/>
        </w:rPr>
        <w:t xml:space="preserve"> </w:t>
      </w:r>
      <w:r w:rsidRPr="00135142">
        <w:rPr>
          <w:rFonts w:cstheme="minorHAnsi"/>
        </w:rPr>
        <w:t>od</w:t>
      </w:r>
      <w:r w:rsidR="003B50ED" w:rsidRPr="00135142">
        <w:rPr>
          <w:rFonts w:cstheme="minorHAnsi"/>
        </w:rPr>
        <w:t xml:space="preserve"> </w:t>
      </w:r>
      <w:r w:rsidRPr="00135142">
        <w:rPr>
          <w:rFonts w:cstheme="minorHAnsi"/>
        </w:rPr>
        <w:t>obserwujących</w:t>
      </w:r>
      <w:r w:rsidR="003B50ED" w:rsidRPr="00135142">
        <w:rPr>
          <w:rFonts w:cstheme="minorHAnsi"/>
        </w:rPr>
        <w:t xml:space="preserve"> </w:t>
      </w:r>
      <w:r w:rsidRPr="00135142">
        <w:rPr>
          <w:rFonts w:cstheme="minorHAnsi"/>
        </w:rPr>
        <w:t>dużego</w:t>
      </w:r>
      <w:r w:rsidR="003B50ED" w:rsidRPr="00135142">
        <w:rPr>
          <w:rFonts w:cstheme="minorHAnsi"/>
        </w:rPr>
        <w:t xml:space="preserve"> </w:t>
      </w:r>
      <w:r w:rsidRPr="00135142">
        <w:rPr>
          <w:rFonts w:cstheme="minorHAnsi"/>
        </w:rPr>
        <w:t>wysiłku</w:t>
      </w:r>
      <w:r w:rsidR="003B50ED" w:rsidRPr="00135142">
        <w:rPr>
          <w:rFonts w:cstheme="minorHAnsi"/>
        </w:rPr>
        <w:t xml:space="preserve"> </w:t>
      </w:r>
      <w:r w:rsidRPr="00135142">
        <w:rPr>
          <w:rFonts w:cstheme="minorHAnsi"/>
        </w:rPr>
        <w:t>z</w:t>
      </w:r>
      <w:r w:rsidR="003B50ED" w:rsidRPr="00135142">
        <w:rPr>
          <w:rFonts w:cstheme="minorHAnsi"/>
        </w:rPr>
        <w:t xml:space="preserve"> </w:t>
      </w:r>
      <w:r w:rsidRPr="00135142">
        <w:rPr>
          <w:rFonts w:cstheme="minorHAnsi"/>
        </w:rPr>
        <w:t>jednej</w:t>
      </w:r>
      <w:r w:rsidR="003B50ED" w:rsidRPr="00135142">
        <w:rPr>
          <w:rFonts w:cstheme="minorHAnsi"/>
        </w:rPr>
        <w:t xml:space="preserve"> </w:t>
      </w:r>
      <w:r w:rsidRPr="00135142">
        <w:rPr>
          <w:rFonts w:cstheme="minorHAnsi"/>
        </w:rPr>
        <w:t>strony,</w:t>
      </w:r>
      <w:r w:rsidR="003B50ED" w:rsidRPr="00135142">
        <w:rPr>
          <w:rFonts w:cstheme="minorHAnsi"/>
        </w:rPr>
        <w:t xml:space="preserve"> </w:t>
      </w:r>
      <w:r w:rsidRPr="00135142">
        <w:rPr>
          <w:rFonts w:cstheme="minorHAnsi"/>
        </w:rPr>
        <w:t>i</w:t>
      </w:r>
      <w:r w:rsidR="003B50ED" w:rsidRPr="00135142">
        <w:rPr>
          <w:rFonts w:cstheme="minorHAnsi"/>
        </w:rPr>
        <w:t xml:space="preserve"> </w:t>
      </w:r>
      <w:r w:rsidRPr="00135142">
        <w:rPr>
          <w:rFonts w:cstheme="minorHAnsi"/>
        </w:rPr>
        <w:t>wysokich</w:t>
      </w:r>
      <w:r w:rsidR="003B50ED" w:rsidRPr="00135142">
        <w:rPr>
          <w:rFonts w:cstheme="minorHAnsi"/>
        </w:rPr>
        <w:t xml:space="preserve"> </w:t>
      </w:r>
      <w:r w:rsidRPr="00135142">
        <w:rPr>
          <w:rFonts w:cstheme="minorHAnsi"/>
        </w:rPr>
        <w:t>nakładów</w:t>
      </w:r>
      <w:r w:rsidR="003B50ED" w:rsidRPr="00135142">
        <w:rPr>
          <w:rFonts w:cstheme="minorHAnsi"/>
        </w:rPr>
        <w:t xml:space="preserve"> </w:t>
      </w:r>
      <w:r w:rsidRPr="00135142">
        <w:rPr>
          <w:rFonts w:cstheme="minorHAnsi"/>
        </w:rPr>
        <w:t>finansowych</w:t>
      </w:r>
      <w:r w:rsidR="003B50ED" w:rsidRPr="00135142">
        <w:rPr>
          <w:rFonts w:cstheme="minorHAnsi"/>
        </w:rPr>
        <w:t xml:space="preserve"> </w:t>
      </w:r>
      <w:r w:rsidRPr="00135142">
        <w:rPr>
          <w:rFonts w:cstheme="minorHAnsi"/>
        </w:rPr>
        <w:t>przeznaczonych</w:t>
      </w:r>
      <w:r w:rsidR="003B50ED" w:rsidRPr="00135142">
        <w:rPr>
          <w:rFonts w:cstheme="minorHAnsi"/>
        </w:rPr>
        <w:t xml:space="preserve"> </w:t>
      </w:r>
      <w:r w:rsidRPr="00135142">
        <w:rPr>
          <w:rFonts w:cstheme="minorHAnsi"/>
        </w:rPr>
        <w:t>na</w:t>
      </w:r>
      <w:r w:rsidR="003B50ED" w:rsidRPr="00135142">
        <w:rPr>
          <w:rFonts w:cstheme="minorHAnsi"/>
        </w:rPr>
        <w:t xml:space="preserve"> </w:t>
      </w:r>
      <w:r w:rsidRPr="00135142">
        <w:rPr>
          <w:rFonts w:cstheme="minorHAnsi"/>
        </w:rPr>
        <w:t>nagrody,</w:t>
      </w:r>
      <w:r w:rsidR="003B50ED" w:rsidRPr="00135142">
        <w:rPr>
          <w:rFonts w:cstheme="minorHAnsi"/>
        </w:rPr>
        <w:t xml:space="preserve"> </w:t>
      </w:r>
      <w:r w:rsidRPr="00135142">
        <w:rPr>
          <w:rFonts w:cstheme="minorHAnsi"/>
        </w:rPr>
        <w:t>z</w:t>
      </w:r>
      <w:r w:rsidR="003B50ED" w:rsidRPr="00135142">
        <w:rPr>
          <w:rFonts w:cstheme="minorHAnsi"/>
        </w:rPr>
        <w:t xml:space="preserve"> </w:t>
      </w:r>
      <w:r w:rsidRPr="00135142">
        <w:rPr>
          <w:rFonts w:cstheme="minorHAnsi"/>
        </w:rPr>
        <w:t>drugiej.</w:t>
      </w:r>
      <w:r w:rsidR="003B50ED" w:rsidRPr="00135142">
        <w:rPr>
          <w:rFonts w:cstheme="minorHAnsi"/>
        </w:rPr>
        <w:t xml:space="preserve"> </w:t>
      </w:r>
      <w:r w:rsidRPr="00135142">
        <w:rPr>
          <w:rFonts w:cstheme="minorHAnsi"/>
        </w:rPr>
        <w:t>Nagrodą</w:t>
      </w:r>
      <w:r w:rsidR="003B50ED" w:rsidRPr="00135142">
        <w:rPr>
          <w:rFonts w:cstheme="minorHAnsi"/>
        </w:rPr>
        <w:t xml:space="preserve"> </w:t>
      </w:r>
      <w:r w:rsidRPr="00135142">
        <w:rPr>
          <w:rFonts w:cstheme="minorHAnsi"/>
        </w:rPr>
        <w:t>będzie</w:t>
      </w:r>
      <w:r w:rsidR="003B50ED" w:rsidRPr="00135142">
        <w:rPr>
          <w:rFonts w:cstheme="minorHAnsi"/>
        </w:rPr>
        <w:t xml:space="preserve"> </w:t>
      </w:r>
      <w:r w:rsidRPr="00135142">
        <w:rPr>
          <w:rFonts w:cstheme="minorHAnsi"/>
        </w:rPr>
        <w:t>np.</w:t>
      </w:r>
      <w:r w:rsidR="003B50ED" w:rsidRPr="00135142">
        <w:rPr>
          <w:rFonts w:cstheme="minorHAnsi"/>
        </w:rPr>
        <w:t xml:space="preserve"> </w:t>
      </w:r>
      <w:r w:rsidRPr="00135142">
        <w:rPr>
          <w:rFonts w:cstheme="minorHAnsi"/>
        </w:rPr>
        <w:t>gadżet</w:t>
      </w:r>
      <w:r w:rsidR="003B50ED" w:rsidRPr="00135142">
        <w:rPr>
          <w:rFonts w:cstheme="minorHAnsi"/>
        </w:rPr>
        <w:t xml:space="preserve"> </w:t>
      </w:r>
      <w:r w:rsidRPr="00135142">
        <w:rPr>
          <w:rFonts w:cstheme="minorHAnsi"/>
        </w:rPr>
        <w:t>LGD</w:t>
      </w:r>
      <w:r w:rsidR="003B50ED" w:rsidRPr="00135142">
        <w:rPr>
          <w:rFonts w:cstheme="minorHAnsi"/>
        </w:rPr>
        <w:t xml:space="preserve"> </w:t>
      </w:r>
      <w:r w:rsidRPr="00135142">
        <w:rPr>
          <w:rFonts w:cstheme="minorHAnsi"/>
        </w:rPr>
        <w:t>lub</w:t>
      </w:r>
      <w:r w:rsidR="003B50ED" w:rsidRPr="00135142">
        <w:rPr>
          <w:rFonts w:cstheme="minorHAnsi"/>
        </w:rPr>
        <w:t xml:space="preserve"> </w:t>
      </w:r>
      <w:r w:rsidRPr="00135142">
        <w:rPr>
          <w:rFonts w:cstheme="minorHAnsi"/>
        </w:rPr>
        <w:t>publikacja</w:t>
      </w:r>
      <w:r w:rsidR="003B50ED" w:rsidRPr="00135142">
        <w:rPr>
          <w:rFonts w:cstheme="minorHAnsi"/>
        </w:rPr>
        <w:t xml:space="preserve"> </w:t>
      </w:r>
      <w:r w:rsidRPr="00135142">
        <w:rPr>
          <w:rFonts w:cstheme="minorHAnsi"/>
        </w:rPr>
        <w:t>promująca</w:t>
      </w:r>
      <w:r w:rsidR="003B50ED" w:rsidRPr="00135142">
        <w:rPr>
          <w:rFonts w:cstheme="minorHAnsi"/>
        </w:rPr>
        <w:t xml:space="preserve"> </w:t>
      </w:r>
      <w:r w:rsidRPr="00135142">
        <w:rPr>
          <w:rFonts w:cstheme="minorHAnsi"/>
        </w:rPr>
        <w:t>działania</w:t>
      </w:r>
      <w:r w:rsidR="003B50ED" w:rsidRPr="00135142">
        <w:rPr>
          <w:rFonts w:cstheme="minorHAnsi"/>
        </w:rPr>
        <w:t xml:space="preserve"> </w:t>
      </w:r>
      <w:r w:rsidRPr="00135142">
        <w:rPr>
          <w:rFonts w:cstheme="minorHAnsi"/>
        </w:rPr>
        <w:t>LGD</w:t>
      </w:r>
      <w:r w:rsidR="003B50ED" w:rsidRPr="00135142">
        <w:rPr>
          <w:rFonts w:cstheme="minorHAnsi"/>
        </w:rPr>
        <w:t xml:space="preserve"> </w:t>
      </w:r>
      <w:r w:rsidRPr="00135142">
        <w:rPr>
          <w:rFonts w:cstheme="minorHAnsi"/>
        </w:rPr>
        <w:t>lub</w:t>
      </w:r>
      <w:r w:rsidR="003B50ED" w:rsidRPr="00135142">
        <w:rPr>
          <w:rFonts w:cstheme="minorHAnsi"/>
        </w:rPr>
        <w:t xml:space="preserve"> </w:t>
      </w:r>
      <w:r w:rsidRPr="00135142">
        <w:rPr>
          <w:rFonts w:cstheme="minorHAnsi"/>
        </w:rPr>
        <w:t>skorzystanie</w:t>
      </w:r>
      <w:r w:rsidR="003B50ED" w:rsidRPr="00135142">
        <w:rPr>
          <w:rFonts w:cstheme="minorHAnsi"/>
        </w:rPr>
        <w:t xml:space="preserve"> </w:t>
      </w:r>
      <w:r w:rsidRPr="00135142">
        <w:rPr>
          <w:rFonts w:cstheme="minorHAnsi"/>
        </w:rPr>
        <w:t>(nieodpłatne</w:t>
      </w:r>
      <w:r w:rsidR="003B50ED" w:rsidRPr="00135142">
        <w:rPr>
          <w:rFonts w:cstheme="minorHAnsi"/>
        </w:rPr>
        <w:t xml:space="preserve"> </w:t>
      </w:r>
      <w:r w:rsidRPr="00135142">
        <w:rPr>
          <w:rFonts w:cstheme="minorHAnsi"/>
        </w:rPr>
        <w:t>lub</w:t>
      </w:r>
      <w:r w:rsidR="003B50ED" w:rsidRPr="00135142">
        <w:rPr>
          <w:rFonts w:cstheme="minorHAnsi"/>
        </w:rPr>
        <w:t xml:space="preserve"> </w:t>
      </w:r>
      <w:r w:rsidRPr="00135142">
        <w:rPr>
          <w:rFonts w:cstheme="minorHAnsi"/>
        </w:rPr>
        <w:t>z</w:t>
      </w:r>
      <w:r w:rsidR="003B50ED" w:rsidRPr="00135142">
        <w:rPr>
          <w:rFonts w:cstheme="minorHAnsi"/>
        </w:rPr>
        <w:t xml:space="preserve"> </w:t>
      </w:r>
      <w:r w:rsidRPr="00135142">
        <w:rPr>
          <w:rFonts w:cstheme="minorHAnsi"/>
        </w:rPr>
        <w:t>rabatem)</w:t>
      </w:r>
      <w:r w:rsidR="003B50ED" w:rsidRPr="00135142">
        <w:rPr>
          <w:rFonts w:cstheme="minorHAnsi"/>
        </w:rPr>
        <w:t xml:space="preserve"> </w:t>
      </w:r>
      <w:r w:rsidRPr="00135142">
        <w:rPr>
          <w:rFonts w:cstheme="minorHAnsi"/>
        </w:rPr>
        <w:t>z</w:t>
      </w:r>
      <w:r w:rsidR="003B50ED" w:rsidRPr="00135142">
        <w:rPr>
          <w:rFonts w:cstheme="minorHAnsi"/>
        </w:rPr>
        <w:t xml:space="preserve"> </w:t>
      </w:r>
      <w:r w:rsidRPr="00135142">
        <w:rPr>
          <w:rFonts w:cstheme="minorHAnsi"/>
        </w:rPr>
        <w:t>usług</w:t>
      </w:r>
      <w:r w:rsidR="003B50ED">
        <w:rPr>
          <w:rFonts w:cstheme="minorHAnsi"/>
        </w:rPr>
        <w:t xml:space="preserve"> </w:t>
      </w:r>
      <w:r w:rsidRPr="00A26C26">
        <w:rPr>
          <w:rFonts w:cstheme="minorHAnsi"/>
        </w:rPr>
        <w:t>przedsiębiorcy,</w:t>
      </w:r>
      <w:r w:rsidR="003B50ED">
        <w:rPr>
          <w:rFonts w:cstheme="minorHAnsi"/>
        </w:rPr>
        <w:t xml:space="preserve"> </w:t>
      </w:r>
      <w:r w:rsidRPr="00A26C26">
        <w:rPr>
          <w:rFonts w:cstheme="minorHAnsi"/>
        </w:rPr>
        <w:t>który</w:t>
      </w:r>
      <w:r w:rsidR="003B50ED">
        <w:rPr>
          <w:rFonts w:cstheme="minorHAnsi"/>
        </w:rPr>
        <w:t xml:space="preserve"> </w:t>
      </w:r>
      <w:r w:rsidRPr="00A26C26">
        <w:rPr>
          <w:rFonts w:cstheme="minorHAnsi"/>
        </w:rPr>
        <w:t>skorzystał</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pomocy</w:t>
      </w:r>
      <w:r w:rsidR="003B50ED">
        <w:rPr>
          <w:rFonts w:cstheme="minorHAnsi"/>
        </w:rPr>
        <w:t xml:space="preserve"> </w:t>
      </w:r>
      <w:r w:rsidRPr="00A26C26">
        <w:rPr>
          <w:rFonts w:cstheme="minorHAnsi"/>
        </w:rPr>
        <w:t>finansowej</w:t>
      </w:r>
      <w:r w:rsidR="003B50ED">
        <w:rPr>
          <w:rFonts w:cstheme="minorHAnsi"/>
        </w:rPr>
        <w:t xml:space="preserve"> </w:t>
      </w:r>
      <w:r w:rsidRPr="00A26C26">
        <w:rPr>
          <w:rFonts w:cstheme="minorHAnsi"/>
        </w:rPr>
        <w:t>LGD</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np.</w:t>
      </w:r>
      <w:r w:rsidR="003B50ED">
        <w:rPr>
          <w:rFonts w:cstheme="minorHAnsi"/>
        </w:rPr>
        <w:t xml:space="preserve"> </w:t>
      </w:r>
      <w:r w:rsidRPr="00A26C26">
        <w:rPr>
          <w:rFonts w:cstheme="minorHAnsi"/>
        </w:rPr>
        <w:t>uzyskał</w:t>
      </w:r>
      <w:r w:rsidR="003B50ED">
        <w:rPr>
          <w:rFonts w:cstheme="minorHAnsi"/>
        </w:rPr>
        <w:t xml:space="preserve"> </w:t>
      </w:r>
      <w:r w:rsidRPr="00A26C26">
        <w:rPr>
          <w:rFonts w:cstheme="minorHAnsi"/>
        </w:rPr>
        <w:t>najwięcej</w:t>
      </w:r>
      <w:r w:rsidR="003B50ED">
        <w:rPr>
          <w:rFonts w:cstheme="minorHAnsi"/>
        </w:rPr>
        <w:t xml:space="preserve"> </w:t>
      </w:r>
      <w:r w:rsidRPr="00A26C26">
        <w:rPr>
          <w:rFonts w:cstheme="minorHAnsi"/>
        </w:rPr>
        <w:t>punktów</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zakresie</w:t>
      </w:r>
      <w:r w:rsidR="003B50ED">
        <w:rPr>
          <w:rFonts w:cstheme="minorHAnsi"/>
        </w:rPr>
        <w:t xml:space="preserve"> </w:t>
      </w:r>
      <w:r w:rsidRPr="00A26C26">
        <w:rPr>
          <w:rFonts w:cstheme="minorHAnsi"/>
        </w:rPr>
        <w:t>innowacyjności.</w:t>
      </w:r>
      <w:r w:rsidR="003B50ED">
        <w:rPr>
          <w:rFonts w:cstheme="minorHAnsi"/>
        </w:rPr>
        <w:t xml:space="preserve"> </w:t>
      </w:r>
      <w:r w:rsidRPr="00A26C26">
        <w:rPr>
          <w:rFonts w:cstheme="minorHAnsi"/>
        </w:rPr>
        <w:t>Będzie</w:t>
      </w:r>
      <w:r w:rsidR="003B50ED">
        <w:rPr>
          <w:rFonts w:cstheme="minorHAnsi"/>
        </w:rPr>
        <w:t xml:space="preserve"> </w:t>
      </w:r>
      <w:r w:rsidRPr="00A26C26">
        <w:rPr>
          <w:rFonts w:cstheme="minorHAnsi"/>
        </w:rPr>
        <w:t>to</w:t>
      </w:r>
      <w:r w:rsidR="003B50ED">
        <w:rPr>
          <w:rFonts w:cstheme="minorHAnsi"/>
        </w:rPr>
        <w:t xml:space="preserve"> </w:t>
      </w:r>
      <w:r w:rsidRPr="00A26C26">
        <w:rPr>
          <w:rFonts w:cstheme="minorHAnsi"/>
        </w:rPr>
        <w:t>promocja</w:t>
      </w:r>
      <w:r w:rsidR="003B50ED">
        <w:rPr>
          <w:rFonts w:cstheme="minorHAnsi"/>
        </w:rPr>
        <w:t xml:space="preserve"> </w:t>
      </w:r>
      <w:r w:rsidRPr="00A26C26">
        <w:rPr>
          <w:rFonts w:cstheme="minorHAnsi"/>
        </w:rPr>
        <w:t>zarówno</w:t>
      </w:r>
      <w:r w:rsidR="003B50ED">
        <w:rPr>
          <w:rFonts w:cstheme="minorHAnsi"/>
        </w:rPr>
        <w:t xml:space="preserve"> </w:t>
      </w:r>
      <w:r w:rsidRPr="00A26C26">
        <w:rPr>
          <w:rFonts w:cstheme="minorHAnsi"/>
        </w:rPr>
        <w:t>działań</w:t>
      </w:r>
      <w:r w:rsidR="003B50ED">
        <w:rPr>
          <w:rFonts w:cstheme="minorHAnsi"/>
        </w:rPr>
        <w:t xml:space="preserve"> </w:t>
      </w:r>
      <w:r w:rsidRPr="00A26C26">
        <w:rPr>
          <w:rFonts w:cstheme="minorHAnsi"/>
        </w:rPr>
        <w:t>LGD</w:t>
      </w:r>
      <w:r w:rsidR="003B50ED">
        <w:rPr>
          <w:rFonts w:cstheme="minorHAnsi"/>
        </w:rPr>
        <w:t xml:space="preserve"> </w:t>
      </w:r>
      <w:r w:rsidRPr="00A26C26">
        <w:rPr>
          <w:rFonts w:cstheme="minorHAnsi"/>
        </w:rPr>
        <w:t>jak</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dobrych</w:t>
      </w:r>
      <w:r w:rsidR="003B50ED">
        <w:rPr>
          <w:rFonts w:cstheme="minorHAnsi"/>
        </w:rPr>
        <w:t xml:space="preserve"> </w:t>
      </w:r>
      <w:r w:rsidRPr="00A26C26">
        <w:rPr>
          <w:rFonts w:cstheme="minorHAnsi"/>
        </w:rPr>
        <w:t>praktyk,</w:t>
      </w:r>
      <w:r w:rsidR="003B50ED">
        <w:rPr>
          <w:rFonts w:cstheme="minorHAnsi"/>
        </w:rPr>
        <w:t xml:space="preserve"> </w:t>
      </w:r>
      <w:r w:rsidRPr="00A26C26">
        <w:rPr>
          <w:rFonts w:cstheme="minorHAnsi"/>
        </w:rPr>
        <w:t>innowacyjnych,</w:t>
      </w:r>
      <w:r w:rsidR="003B50ED">
        <w:rPr>
          <w:rFonts w:cstheme="minorHAnsi"/>
        </w:rPr>
        <w:t xml:space="preserve"> </w:t>
      </w:r>
      <w:r w:rsidRPr="00A26C26">
        <w:rPr>
          <w:rFonts w:cstheme="minorHAnsi"/>
        </w:rPr>
        <w:t>autorskich</w:t>
      </w:r>
      <w:r w:rsidR="003B50ED">
        <w:rPr>
          <w:rFonts w:cstheme="minorHAnsi"/>
        </w:rPr>
        <w:t xml:space="preserve"> </w:t>
      </w:r>
      <w:r w:rsidRPr="00A26C26">
        <w:rPr>
          <w:rFonts w:cstheme="minorHAnsi"/>
        </w:rPr>
        <w:t>pomysłów.</w:t>
      </w:r>
      <w:r w:rsidR="003B50ED">
        <w:rPr>
          <w:rFonts w:cstheme="minorHAnsi"/>
        </w:rPr>
        <w:t xml:space="preserve"> </w:t>
      </w:r>
    </w:p>
    <w:p w14:paraId="1B992CCB" w14:textId="33305F78" w:rsidR="00C71928" w:rsidRPr="00A26C26" w:rsidRDefault="00C71928" w:rsidP="00A26C26">
      <w:pPr>
        <w:spacing w:line="276" w:lineRule="auto"/>
        <w:ind w:firstLine="284"/>
        <w:jc w:val="both"/>
        <w:rPr>
          <w:rFonts w:cstheme="minorHAnsi"/>
        </w:rPr>
      </w:pPr>
      <w:r w:rsidRPr="00A26C26">
        <w:rPr>
          <w:rFonts w:cstheme="minorHAnsi"/>
        </w:rPr>
        <w:t>Na</w:t>
      </w:r>
      <w:r w:rsidR="003B50ED">
        <w:rPr>
          <w:rFonts w:cstheme="minorHAnsi"/>
        </w:rPr>
        <w:t xml:space="preserve"> </w:t>
      </w:r>
      <w:r w:rsidRPr="00A26C26">
        <w:rPr>
          <w:rFonts w:cstheme="minorHAnsi"/>
        </w:rPr>
        <w:t>stronie</w:t>
      </w:r>
      <w:r w:rsidR="003B50ED">
        <w:rPr>
          <w:rFonts w:cstheme="minorHAnsi"/>
        </w:rPr>
        <w:t xml:space="preserve"> </w:t>
      </w:r>
      <w:r w:rsidRPr="00A26C26">
        <w:rPr>
          <w:rFonts w:cstheme="minorHAnsi"/>
        </w:rPr>
        <w:t>internetowej</w:t>
      </w:r>
      <w:r w:rsidR="003B50ED">
        <w:rPr>
          <w:rFonts w:cstheme="minorHAnsi"/>
        </w:rPr>
        <w:t xml:space="preserve"> </w:t>
      </w:r>
      <w:r w:rsidRPr="00A26C26">
        <w:rPr>
          <w:rFonts w:cstheme="minorHAnsi"/>
        </w:rPr>
        <w:t>zamieszczane</w:t>
      </w:r>
      <w:r w:rsidR="003B50ED">
        <w:rPr>
          <w:rFonts w:cstheme="minorHAnsi"/>
        </w:rPr>
        <w:t xml:space="preserve"> </w:t>
      </w:r>
      <w:r w:rsidRPr="00A26C26">
        <w:rPr>
          <w:rFonts w:cstheme="minorHAnsi"/>
        </w:rPr>
        <w:t>będą</w:t>
      </w:r>
      <w:r w:rsidR="003B50ED">
        <w:rPr>
          <w:rFonts w:cstheme="minorHAnsi"/>
        </w:rPr>
        <w:t xml:space="preserve"> </w:t>
      </w:r>
      <w:r w:rsidRPr="00A26C26">
        <w:rPr>
          <w:rFonts w:cstheme="minorHAnsi"/>
        </w:rPr>
        <w:t>podstawowe</w:t>
      </w:r>
      <w:r w:rsidR="003B50ED">
        <w:rPr>
          <w:rFonts w:cstheme="minorHAnsi"/>
        </w:rPr>
        <w:t xml:space="preserve"> </w:t>
      </w:r>
      <w:r w:rsidRPr="00A26C26">
        <w:rPr>
          <w:rFonts w:cstheme="minorHAnsi"/>
        </w:rPr>
        <w:t>dokumenty</w:t>
      </w:r>
      <w:r w:rsidR="003B50ED">
        <w:rPr>
          <w:rFonts w:cstheme="minorHAnsi"/>
        </w:rPr>
        <w:t xml:space="preserve"> </w:t>
      </w:r>
      <w:r w:rsidRPr="00A26C26">
        <w:rPr>
          <w:rFonts w:cstheme="minorHAnsi"/>
        </w:rPr>
        <w:t>dotyczące</w:t>
      </w:r>
      <w:r w:rsidR="003B50ED">
        <w:rPr>
          <w:rFonts w:cstheme="minorHAnsi"/>
        </w:rPr>
        <w:t xml:space="preserve"> </w:t>
      </w:r>
      <w:r w:rsidRPr="00A26C26">
        <w:rPr>
          <w:rFonts w:cstheme="minorHAnsi"/>
        </w:rPr>
        <w:t>funkcjonowania</w:t>
      </w:r>
      <w:r w:rsidR="003B50ED">
        <w:rPr>
          <w:rFonts w:cstheme="minorHAnsi"/>
        </w:rPr>
        <w:t xml:space="preserve"> </w:t>
      </w:r>
      <w:r w:rsidRPr="00A26C26">
        <w:rPr>
          <w:rFonts w:cstheme="minorHAnsi"/>
        </w:rPr>
        <w:t>LGD,</w:t>
      </w:r>
      <w:r w:rsidR="003B50ED">
        <w:rPr>
          <w:rFonts w:cstheme="minorHAnsi"/>
        </w:rPr>
        <w:t xml:space="preserve"> </w:t>
      </w:r>
      <w:r w:rsidRPr="00A26C26">
        <w:rPr>
          <w:rFonts w:cstheme="minorHAnsi"/>
        </w:rPr>
        <w:t>informacje</w:t>
      </w:r>
      <w:r w:rsidR="003B50ED">
        <w:rPr>
          <w:rFonts w:cstheme="minorHAnsi"/>
        </w:rPr>
        <w:t xml:space="preserve"> </w:t>
      </w:r>
      <w:r w:rsidRPr="00A26C26">
        <w:rPr>
          <w:rFonts w:cstheme="minorHAnsi"/>
        </w:rPr>
        <w:t>dotyczące</w:t>
      </w:r>
      <w:r w:rsidR="003B50ED">
        <w:rPr>
          <w:rFonts w:cstheme="minorHAnsi"/>
        </w:rPr>
        <w:t xml:space="preserve"> </w:t>
      </w:r>
      <w:r w:rsidRPr="00A26C26">
        <w:rPr>
          <w:rFonts w:cstheme="minorHAnsi"/>
        </w:rPr>
        <w:t>naborów</w:t>
      </w:r>
      <w:r w:rsidR="003B50ED">
        <w:rPr>
          <w:rFonts w:cstheme="minorHAnsi"/>
        </w:rPr>
        <w:t xml:space="preserve"> </w:t>
      </w:r>
      <w:r w:rsidRPr="00A26C26">
        <w:rPr>
          <w:rFonts w:cstheme="minorHAnsi"/>
        </w:rPr>
        <w:t>wniosków,</w:t>
      </w:r>
      <w:r w:rsidR="003B50ED">
        <w:rPr>
          <w:rFonts w:cstheme="minorHAnsi"/>
        </w:rPr>
        <w:t xml:space="preserve"> </w:t>
      </w:r>
      <w:r w:rsidRPr="00A26C26">
        <w:rPr>
          <w:rFonts w:cstheme="minorHAnsi"/>
        </w:rPr>
        <w:t>planu</w:t>
      </w:r>
      <w:r w:rsidR="003B50ED">
        <w:rPr>
          <w:rFonts w:cstheme="minorHAnsi"/>
        </w:rPr>
        <w:t xml:space="preserve"> </w:t>
      </w:r>
      <w:r w:rsidRPr="00A26C26">
        <w:rPr>
          <w:rFonts w:cstheme="minorHAnsi"/>
        </w:rPr>
        <w:t>komunikacji</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planu</w:t>
      </w:r>
      <w:r w:rsidR="003B50ED">
        <w:rPr>
          <w:rFonts w:cstheme="minorHAnsi"/>
        </w:rPr>
        <w:t xml:space="preserve"> </w:t>
      </w:r>
      <w:r w:rsidRPr="00A26C26">
        <w:rPr>
          <w:rFonts w:cstheme="minorHAnsi"/>
        </w:rPr>
        <w:t>szkoleń</w:t>
      </w:r>
      <w:r w:rsidR="003B50ED">
        <w:rPr>
          <w:rFonts w:cstheme="minorHAnsi"/>
        </w:rPr>
        <w:t xml:space="preserve"> </w:t>
      </w:r>
      <w:r w:rsidRPr="00A26C26">
        <w:rPr>
          <w:rFonts w:cstheme="minorHAnsi"/>
        </w:rPr>
        <w:t>ale,</w:t>
      </w:r>
      <w:r w:rsidR="003B50ED">
        <w:rPr>
          <w:rFonts w:cstheme="minorHAnsi"/>
        </w:rPr>
        <w:t xml:space="preserve"> </w:t>
      </w:r>
      <w:r w:rsidRPr="00A26C26">
        <w:rPr>
          <w:rFonts w:cstheme="minorHAnsi"/>
        </w:rPr>
        <w:t>co</w:t>
      </w:r>
      <w:r w:rsidR="003B50ED">
        <w:rPr>
          <w:rFonts w:cstheme="minorHAnsi"/>
        </w:rPr>
        <w:t xml:space="preserve"> </w:t>
      </w:r>
      <w:r w:rsidRPr="00A26C26">
        <w:rPr>
          <w:rFonts w:cstheme="minorHAnsi"/>
        </w:rPr>
        <w:t>jest</w:t>
      </w:r>
      <w:r w:rsidR="003B50ED">
        <w:rPr>
          <w:rFonts w:cstheme="minorHAnsi"/>
        </w:rPr>
        <w:t xml:space="preserve"> </w:t>
      </w:r>
      <w:r w:rsidRPr="00A26C26">
        <w:rPr>
          <w:rFonts w:cstheme="minorHAnsi"/>
        </w:rPr>
        <w:t>nowością</w:t>
      </w:r>
      <w:r w:rsidR="003B50ED">
        <w:rPr>
          <w:rFonts w:cstheme="minorHAnsi"/>
        </w:rPr>
        <w:t xml:space="preserve"> </w:t>
      </w:r>
      <w:r w:rsidRPr="00A26C26">
        <w:rPr>
          <w:rFonts w:cstheme="minorHAnsi"/>
        </w:rPr>
        <w:t>–</w:t>
      </w:r>
      <w:r w:rsidR="003B50ED">
        <w:rPr>
          <w:rFonts w:cstheme="minorHAnsi"/>
        </w:rPr>
        <w:t xml:space="preserve"> </w:t>
      </w:r>
      <w:r w:rsidRPr="00A26C26">
        <w:rPr>
          <w:rFonts w:cstheme="minorHAnsi"/>
        </w:rPr>
        <w:t>zostanie</w:t>
      </w:r>
      <w:r w:rsidR="003B50ED">
        <w:rPr>
          <w:rFonts w:cstheme="minorHAnsi"/>
        </w:rPr>
        <w:t xml:space="preserve"> </w:t>
      </w:r>
      <w:r w:rsidRPr="00A26C26">
        <w:rPr>
          <w:rFonts w:cstheme="minorHAnsi"/>
        </w:rPr>
        <w:t>stworzona</w:t>
      </w:r>
      <w:r w:rsidR="003B50ED">
        <w:rPr>
          <w:rFonts w:cstheme="minorHAnsi"/>
        </w:rPr>
        <w:t xml:space="preserve"> </w:t>
      </w:r>
      <w:r w:rsidRPr="00A26C26">
        <w:rPr>
          <w:rFonts w:cstheme="minorHAnsi"/>
        </w:rPr>
        <w:t>baza</w:t>
      </w:r>
      <w:r w:rsidR="003B50ED">
        <w:rPr>
          <w:rFonts w:cstheme="minorHAnsi"/>
        </w:rPr>
        <w:t xml:space="preserve"> </w:t>
      </w:r>
      <w:r w:rsidRPr="00A26C26">
        <w:rPr>
          <w:rFonts w:cstheme="minorHAnsi"/>
        </w:rPr>
        <w:t>dobrych</w:t>
      </w:r>
      <w:r w:rsidR="003B50ED">
        <w:rPr>
          <w:rFonts w:cstheme="minorHAnsi"/>
        </w:rPr>
        <w:t xml:space="preserve"> </w:t>
      </w:r>
      <w:r w:rsidRPr="00A26C26">
        <w:rPr>
          <w:rFonts w:cstheme="minorHAnsi"/>
        </w:rPr>
        <w:t>praktyk</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zakresie</w:t>
      </w:r>
      <w:r w:rsidR="003B50ED">
        <w:rPr>
          <w:rFonts w:cstheme="minorHAnsi"/>
        </w:rPr>
        <w:t xml:space="preserve"> </w:t>
      </w:r>
      <w:r w:rsidRPr="00A26C26">
        <w:rPr>
          <w:rFonts w:cstheme="minorHAnsi"/>
        </w:rPr>
        <w:t>innowacji</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poziomie</w:t>
      </w:r>
      <w:r w:rsidR="003B50ED">
        <w:rPr>
          <w:rFonts w:cstheme="minorHAnsi"/>
        </w:rPr>
        <w:t xml:space="preserve"> </w:t>
      </w:r>
      <w:r w:rsidRPr="00A26C26">
        <w:rPr>
          <w:rFonts w:cstheme="minorHAnsi"/>
        </w:rPr>
        <w:t>kreatywnym,</w:t>
      </w:r>
      <w:r w:rsidR="003B50ED">
        <w:rPr>
          <w:rFonts w:cstheme="minorHAnsi"/>
        </w:rPr>
        <w:t xml:space="preserve"> </w:t>
      </w:r>
      <w:r w:rsidRPr="00A26C26">
        <w:rPr>
          <w:rFonts w:cstheme="minorHAnsi"/>
        </w:rPr>
        <w:t>tj.</w:t>
      </w:r>
      <w:r w:rsidR="003B50ED">
        <w:rPr>
          <w:rFonts w:cstheme="minorHAnsi"/>
        </w:rPr>
        <w:t xml:space="preserve"> </w:t>
      </w:r>
      <w:r w:rsidRPr="00A26C26">
        <w:rPr>
          <w:rFonts w:cstheme="minorHAnsi"/>
        </w:rPr>
        <w:t>autorskim.</w:t>
      </w:r>
      <w:r w:rsidR="003B50ED">
        <w:rPr>
          <w:rFonts w:cstheme="minorHAnsi"/>
        </w:rPr>
        <w:t xml:space="preserve"> </w:t>
      </w:r>
      <w:r w:rsidRPr="00A26C26">
        <w:rPr>
          <w:rFonts w:cstheme="minorHAnsi"/>
        </w:rPr>
        <w:t>Będzie</w:t>
      </w:r>
      <w:r w:rsidR="003B50ED">
        <w:rPr>
          <w:rFonts w:cstheme="minorHAnsi"/>
        </w:rPr>
        <w:t xml:space="preserve"> </w:t>
      </w:r>
      <w:r w:rsidRPr="00A26C26">
        <w:rPr>
          <w:rFonts w:cstheme="minorHAnsi"/>
        </w:rPr>
        <w:t>to</w:t>
      </w:r>
      <w:r w:rsidR="003B50ED">
        <w:rPr>
          <w:rFonts w:cstheme="minorHAnsi"/>
        </w:rPr>
        <w:t xml:space="preserve"> </w:t>
      </w:r>
      <w:r w:rsidRPr="00A26C26">
        <w:rPr>
          <w:rFonts w:cstheme="minorHAnsi"/>
        </w:rPr>
        <w:t>jednocześnie</w:t>
      </w:r>
      <w:r w:rsidR="003B50ED">
        <w:rPr>
          <w:rFonts w:cstheme="minorHAnsi"/>
        </w:rPr>
        <w:t xml:space="preserve"> </w:t>
      </w:r>
      <w:r w:rsidRPr="00A26C26">
        <w:rPr>
          <w:rFonts w:cstheme="minorHAnsi"/>
        </w:rPr>
        <w:t>promocja</w:t>
      </w:r>
      <w:r w:rsidR="003B50ED">
        <w:rPr>
          <w:rFonts w:cstheme="minorHAnsi"/>
        </w:rPr>
        <w:t xml:space="preserve"> </w:t>
      </w:r>
      <w:r w:rsidRPr="00A26C26">
        <w:rPr>
          <w:rFonts w:cstheme="minorHAnsi"/>
        </w:rPr>
        <w:t>ciekawych</w:t>
      </w:r>
      <w:r w:rsidR="003B50ED">
        <w:rPr>
          <w:rFonts w:cstheme="minorHAnsi"/>
        </w:rPr>
        <w:t xml:space="preserve"> </w:t>
      </w:r>
      <w:r w:rsidRPr="00A26C26">
        <w:rPr>
          <w:rFonts w:cstheme="minorHAnsi"/>
        </w:rPr>
        <w:t>rozwiązań,</w:t>
      </w:r>
      <w:r w:rsidR="003B50ED">
        <w:rPr>
          <w:rFonts w:cstheme="minorHAnsi"/>
        </w:rPr>
        <w:t xml:space="preserve"> </w:t>
      </w:r>
      <w:r w:rsidRPr="00A26C26">
        <w:rPr>
          <w:rFonts w:cstheme="minorHAnsi"/>
        </w:rPr>
        <w:t>które</w:t>
      </w:r>
      <w:r w:rsidR="003B50ED">
        <w:rPr>
          <w:rFonts w:cstheme="minorHAnsi"/>
        </w:rPr>
        <w:t xml:space="preserve"> </w:t>
      </w:r>
      <w:r w:rsidRPr="00A26C26">
        <w:rPr>
          <w:rFonts w:cstheme="minorHAnsi"/>
        </w:rPr>
        <w:t>mają</w:t>
      </w:r>
      <w:r w:rsidR="003B50ED">
        <w:rPr>
          <w:rFonts w:cstheme="minorHAnsi"/>
        </w:rPr>
        <w:t xml:space="preserve"> </w:t>
      </w:r>
      <w:r w:rsidRPr="00A26C26">
        <w:rPr>
          <w:rFonts w:cstheme="minorHAnsi"/>
        </w:rPr>
        <w:t>realny</w:t>
      </w:r>
      <w:r w:rsidR="003B50ED">
        <w:rPr>
          <w:rFonts w:cstheme="minorHAnsi"/>
        </w:rPr>
        <w:t xml:space="preserve"> </w:t>
      </w:r>
      <w:r w:rsidRPr="00A26C26">
        <w:rPr>
          <w:rFonts w:cstheme="minorHAnsi"/>
        </w:rPr>
        <w:t>wpływ</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rozwój</w:t>
      </w:r>
      <w:r w:rsidR="003B50ED">
        <w:rPr>
          <w:rFonts w:cstheme="minorHAnsi"/>
        </w:rPr>
        <w:t xml:space="preserve"> </w:t>
      </w:r>
      <w:r w:rsidRPr="00A26C26">
        <w:rPr>
          <w:rFonts w:cstheme="minorHAnsi"/>
        </w:rPr>
        <w:t>obszaru</w:t>
      </w:r>
      <w:r w:rsidR="003B50ED">
        <w:rPr>
          <w:rFonts w:cstheme="minorHAnsi"/>
        </w:rPr>
        <w:t xml:space="preserve"> </w:t>
      </w:r>
      <w:r w:rsidRPr="00A26C26">
        <w:rPr>
          <w:rFonts w:cstheme="minorHAnsi"/>
        </w:rPr>
        <w:t>ale</w:t>
      </w:r>
      <w:r w:rsidR="003B50ED">
        <w:rPr>
          <w:rFonts w:cstheme="minorHAnsi"/>
        </w:rPr>
        <w:t xml:space="preserve"> </w:t>
      </w:r>
      <w:r w:rsidRPr="00A26C26">
        <w:rPr>
          <w:rFonts w:cstheme="minorHAnsi"/>
        </w:rPr>
        <w:t>również</w:t>
      </w:r>
      <w:r w:rsidR="003B50ED">
        <w:rPr>
          <w:rFonts w:cstheme="minorHAnsi"/>
        </w:rPr>
        <w:t xml:space="preserve"> </w:t>
      </w:r>
      <w:r w:rsidRPr="00A26C26">
        <w:rPr>
          <w:rFonts w:cstheme="minorHAnsi"/>
        </w:rPr>
        <w:t>zachęta</w:t>
      </w:r>
      <w:r w:rsidR="003B50ED">
        <w:rPr>
          <w:rFonts w:cstheme="minorHAnsi"/>
        </w:rPr>
        <w:t xml:space="preserve"> </w:t>
      </w:r>
      <w:r w:rsidRPr="00A26C26">
        <w:rPr>
          <w:rFonts w:cstheme="minorHAnsi"/>
        </w:rPr>
        <w:t>dla</w:t>
      </w:r>
      <w:r w:rsidR="003B50ED">
        <w:rPr>
          <w:rFonts w:cstheme="minorHAnsi"/>
        </w:rPr>
        <w:t xml:space="preserve"> </w:t>
      </w:r>
      <w:r w:rsidRPr="00A26C26">
        <w:rPr>
          <w:rFonts w:cstheme="minorHAnsi"/>
        </w:rPr>
        <w:t>potencjalnych</w:t>
      </w:r>
      <w:r w:rsidR="003B50ED">
        <w:rPr>
          <w:rFonts w:cstheme="minorHAnsi"/>
        </w:rPr>
        <w:t xml:space="preserve"> </w:t>
      </w:r>
      <w:r w:rsidRPr="00A26C26">
        <w:rPr>
          <w:rFonts w:cstheme="minorHAnsi"/>
        </w:rPr>
        <w:t>beneficjentów</w:t>
      </w:r>
      <w:r w:rsidR="003B50ED">
        <w:rPr>
          <w:rFonts w:cstheme="minorHAnsi"/>
        </w:rPr>
        <w:t xml:space="preserve"> </w:t>
      </w:r>
      <w:r w:rsidRPr="00A26C26">
        <w:rPr>
          <w:rFonts w:cstheme="minorHAnsi"/>
        </w:rPr>
        <w:t>do</w:t>
      </w:r>
      <w:r w:rsidR="003B50ED">
        <w:rPr>
          <w:rFonts w:cstheme="minorHAnsi"/>
        </w:rPr>
        <w:t xml:space="preserve"> </w:t>
      </w:r>
      <w:r w:rsidRPr="00A26C26">
        <w:rPr>
          <w:rFonts w:cstheme="minorHAnsi"/>
        </w:rPr>
        <w:t>tworzenia</w:t>
      </w:r>
      <w:r w:rsidR="003B50ED">
        <w:rPr>
          <w:rFonts w:cstheme="minorHAnsi"/>
        </w:rPr>
        <w:t xml:space="preserve"> </w:t>
      </w:r>
      <w:r w:rsidRPr="00A26C26">
        <w:rPr>
          <w:rFonts w:cstheme="minorHAnsi"/>
        </w:rPr>
        <w:t>nowych</w:t>
      </w:r>
      <w:r w:rsidR="003B50ED">
        <w:rPr>
          <w:rFonts w:cstheme="minorHAnsi"/>
        </w:rPr>
        <w:t xml:space="preserve"> </w:t>
      </w:r>
      <w:r w:rsidRPr="00A26C26">
        <w:rPr>
          <w:rFonts w:cstheme="minorHAnsi"/>
        </w:rPr>
        <w:t>produktów,</w:t>
      </w:r>
      <w:r w:rsidR="003B50ED">
        <w:rPr>
          <w:rFonts w:cstheme="minorHAnsi"/>
        </w:rPr>
        <w:t xml:space="preserve"> </w:t>
      </w:r>
      <w:r w:rsidRPr="00A26C26">
        <w:rPr>
          <w:rFonts w:cstheme="minorHAnsi"/>
        </w:rPr>
        <w:t>usług,</w:t>
      </w:r>
      <w:r w:rsidR="003B50ED">
        <w:rPr>
          <w:rFonts w:cstheme="minorHAnsi"/>
        </w:rPr>
        <w:t xml:space="preserve"> </w:t>
      </w:r>
      <w:r w:rsidRPr="00A26C26">
        <w:rPr>
          <w:rFonts w:cstheme="minorHAnsi"/>
        </w:rPr>
        <w:t>procesów</w:t>
      </w:r>
      <w:r w:rsidR="003B50ED">
        <w:rPr>
          <w:rFonts w:cstheme="minorHAnsi"/>
        </w:rPr>
        <w:t xml:space="preserve"> </w:t>
      </w:r>
      <w:r w:rsidRPr="00A26C26">
        <w:rPr>
          <w:rFonts w:cstheme="minorHAnsi"/>
        </w:rPr>
        <w:t>lub</w:t>
      </w:r>
      <w:r w:rsidR="003B50ED">
        <w:rPr>
          <w:rFonts w:cstheme="minorHAnsi"/>
        </w:rPr>
        <w:t xml:space="preserve"> </w:t>
      </w:r>
      <w:r w:rsidRPr="00A26C26">
        <w:rPr>
          <w:rFonts w:cstheme="minorHAnsi"/>
        </w:rPr>
        <w:t>organizacji.</w:t>
      </w:r>
    </w:p>
    <w:p w14:paraId="5E581C92" w14:textId="4706CBB3" w:rsidR="00C71928" w:rsidRPr="00A26C26" w:rsidRDefault="00C71928" w:rsidP="00A26C26">
      <w:pPr>
        <w:spacing w:line="276" w:lineRule="auto"/>
        <w:ind w:firstLine="284"/>
        <w:jc w:val="both"/>
        <w:rPr>
          <w:rFonts w:cstheme="minorHAnsi"/>
        </w:rPr>
      </w:pPr>
      <w:r w:rsidRPr="00A26C26">
        <w:rPr>
          <w:rFonts w:cstheme="minorHAnsi"/>
        </w:rPr>
        <w:t>Ponadto,</w:t>
      </w:r>
      <w:r w:rsidR="003B50ED">
        <w:rPr>
          <w:rFonts w:cstheme="minorHAnsi"/>
        </w:rPr>
        <w:t xml:space="preserve"> </w:t>
      </w:r>
      <w:r w:rsidRPr="00A26C26">
        <w:rPr>
          <w:rFonts w:cstheme="minorHAnsi"/>
        </w:rPr>
        <w:t>przed</w:t>
      </w:r>
      <w:r w:rsidR="003B50ED">
        <w:rPr>
          <w:rFonts w:cstheme="minorHAnsi"/>
        </w:rPr>
        <w:t xml:space="preserve"> </w:t>
      </w:r>
      <w:r w:rsidRPr="00A26C26">
        <w:rPr>
          <w:rFonts w:cstheme="minorHAnsi"/>
        </w:rPr>
        <w:t>każdym</w:t>
      </w:r>
      <w:r w:rsidR="003B50ED">
        <w:rPr>
          <w:rFonts w:cstheme="minorHAnsi"/>
        </w:rPr>
        <w:t xml:space="preserve"> </w:t>
      </w:r>
      <w:r w:rsidRPr="00A26C26">
        <w:rPr>
          <w:rFonts w:cstheme="minorHAnsi"/>
        </w:rPr>
        <w:t>naborem</w:t>
      </w:r>
      <w:r w:rsidR="003B50ED">
        <w:rPr>
          <w:rFonts w:cstheme="minorHAnsi"/>
        </w:rPr>
        <w:t xml:space="preserve"> </w:t>
      </w:r>
      <w:r w:rsidRPr="00A26C26">
        <w:rPr>
          <w:rFonts w:cstheme="minorHAnsi"/>
        </w:rPr>
        <w:t>będą</w:t>
      </w:r>
      <w:r w:rsidR="003B50ED">
        <w:rPr>
          <w:rFonts w:cstheme="minorHAnsi"/>
        </w:rPr>
        <w:t xml:space="preserve"> </w:t>
      </w:r>
      <w:r w:rsidRPr="00A26C26">
        <w:rPr>
          <w:rFonts w:cstheme="minorHAnsi"/>
        </w:rPr>
        <w:t>organizowane</w:t>
      </w:r>
      <w:r w:rsidR="003B50ED">
        <w:rPr>
          <w:rFonts w:cstheme="minorHAnsi"/>
        </w:rPr>
        <w:t xml:space="preserve"> </w:t>
      </w:r>
      <w:r w:rsidRPr="00A26C26">
        <w:rPr>
          <w:rFonts w:cstheme="minorHAnsi"/>
        </w:rPr>
        <w:t>spotkania</w:t>
      </w:r>
      <w:r w:rsidR="003B50ED">
        <w:rPr>
          <w:rFonts w:cstheme="minorHAnsi"/>
        </w:rPr>
        <w:t xml:space="preserve"> </w:t>
      </w:r>
      <w:r w:rsidRPr="00A26C26">
        <w:rPr>
          <w:rFonts w:cstheme="minorHAnsi"/>
        </w:rPr>
        <w:t>informacyjne</w:t>
      </w:r>
      <w:r w:rsidR="003B50ED">
        <w:rPr>
          <w:rFonts w:cstheme="minorHAnsi"/>
        </w:rPr>
        <w:t xml:space="preserve"> </w:t>
      </w:r>
      <w:r w:rsidRPr="00A26C26">
        <w:rPr>
          <w:rFonts w:cstheme="minorHAnsi"/>
        </w:rPr>
        <w:t>mające</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celu</w:t>
      </w:r>
      <w:r w:rsidR="003B50ED">
        <w:rPr>
          <w:rFonts w:cstheme="minorHAnsi"/>
        </w:rPr>
        <w:t xml:space="preserve"> </w:t>
      </w:r>
      <w:r w:rsidRPr="00A26C26">
        <w:rPr>
          <w:rFonts w:cstheme="minorHAnsi"/>
        </w:rPr>
        <w:t>omówienie</w:t>
      </w:r>
      <w:r w:rsidR="003B50ED">
        <w:rPr>
          <w:rFonts w:cstheme="minorHAnsi"/>
        </w:rPr>
        <w:t xml:space="preserve"> </w:t>
      </w:r>
      <w:r w:rsidRPr="00A26C26">
        <w:rPr>
          <w:rFonts w:cstheme="minorHAnsi"/>
        </w:rPr>
        <w:t>problematyki</w:t>
      </w:r>
      <w:r w:rsidR="003B50ED">
        <w:rPr>
          <w:rFonts w:cstheme="minorHAnsi"/>
        </w:rPr>
        <w:t xml:space="preserve"> </w:t>
      </w:r>
      <w:r w:rsidRPr="00A26C26">
        <w:rPr>
          <w:rFonts w:cstheme="minorHAnsi"/>
        </w:rPr>
        <w:t>innowacji</w:t>
      </w:r>
      <w:r w:rsidR="003B50ED">
        <w:rPr>
          <w:rFonts w:cstheme="minorHAnsi"/>
        </w:rPr>
        <w:t xml:space="preserve"> </w:t>
      </w:r>
      <w:r w:rsidRPr="00A26C26">
        <w:rPr>
          <w:rFonts w:cstheme="minorHAnsi"/>
        </w:rPr>
        <w:t>m.in.</w:t>
      </w:r>
      <w:r w:rsidR="003B50ED">
        <w:rPr>
          <w:rFonts w:cstheme="minorHAnsi"/>
        </w:rPr>
        <w:t xml:space="preserve"> </w:t>
      </w:r>
      <w:r w:rsidRPr="00A26C26">
        <w:rPr>
          <w:rFonts w:cstheme="minorHAnsi"/>
        </w:rPr>
        <w:t>poprzez</w:t>
      </w:r>
      <w:r w:rsidR="003B50ED">
        <w:rPr>
          <w:rFonts w:cstheme="minorHAnsi"/>
        </w:rPr>
        <w:t xml:space="preserve"> </w:t>
      </w:r>
      <w:r w:rsidRPr="00A26C26">
        <w:rPr>
          <w:rFonts w:cstheme="minorHAnsi"/>
        </w:rPr>
        <w:t>pokazanie</w:t>
      </w:r>
      <w:r w:rsidR="003B50ED">
        <w:rPr>
          <w:rFonts w:cstheme="minorHAnsi"/>
        </w:rPr>
        <w:t xml:space="preserve"> </w:t>
      </w:r>
      <w:r w:rsidRPr="00A26C26">
        <w:rPr>
          <w:rFonts w:cstheme="minorHAnsi"/>
        </w:rPr>
        <w:t>konkretnych</w:t>
      </w:r>
      <w:r w:rsidR="003B50ED">
        <w:rPr>
          <w:rFonts w:cstheme="minorHAnsi"/>
        </w:rPr>
        <w:t xml:space="preserve"> </w:t>
      </w:r>
      <w:r w:rsidRPr="00A26C26">
        <w:rPr>
          <w:rFonts w:cstheme="minorHAnsi"/>
        </w:rPr>
        <w:t>przykładów</w:t>
      </w:r>
      <w:r w:rsidR="003B50ED">
        <w:rPr>
          <w:rFonts w:cstheme="minorHAnsi"/>
        </w:rPr>
        <w:t xml:space="preserve"> </w:t>
      </w:r>
      <w:r w:rsidRPr="00A26C26">
        <w:rPr>
          <w:rFonts w:cstheme="minorHAnsi"/>
        </w:rPr>
        <w:t>działań</w:t>
      </w:r>
      <w:r w:rsidR="003B50ED">
        <w:rPr>
          <w:rFonts w:cstheme="minorHAnsi"/>
        </w:rPr>
        <w:t xml:space="preserve"> </w:t>
      </w:r>
      <w:r w:rsidRPr="00A26C26">
        <w:rPr>
          <w:rFonts w:cstheme="minorHAnsi"/>
        </w:rPr>
        <w:t>już</w:t>
      </w:r>
      <w:r w:rsidR="003B50ED">
        <w:rPr>
          <w:rFonts w:cstheme="minorHAnsi"/>
        </w:rPr>
        <w:t xml:space="preserve"> </w:t>
      </w:r>
      <w:r w:rsidRPr="00A26C26">
        <w:rPr>
          <w:rFonts w:cstheme="minorHAnsi"/>
        </w:rPr>
        <w:t>zrealizowanych</w:t>
      </w:r>
      <w:r w:rsidR="003B50ED">
        <w:rPr>
          <w:rFonts w:cstheme="minorHAnsi"/>
        </w:rPr>
        <w:t xml:space="preserve"> </w:t>
      </w:r>
      <w:r w:rsidRPr="00A26C26">
        <w:rPr>
          <w:rFonts w:cstheme="minorHAnsi"/>
        </w:rPr>
        <w:t>zarówno</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obszarze</w:t>
      </w:r>
      <w:r w:rsidR="003B50ED">
        <w:rPr>
          <w:rFonts w:cstheme="minorHAnsi"/>
        </w:rPr>
        <w:t xml:space="preserve"> </w:t>
      </w:r>
      <w:r w:rsidRPr="00A26C26">
        <w:rPr>
          <w:rFonts w:cstheme="minorHAnsi"/>
        </w:rPr>
        <w:t>LGD</w:t>
      </w:r>
      <w:r w:rsidR="003B50ED">
        <w:rPr>
          <w:rFonts w:cstheme="minorHAnsi"/>
        </w:rPr>
        <w:t xml:space="preserve"> </w:t>
      </w:r>
      <w:r w:rsidRPr="00A26C26">
        <w:rPr>
          <w:rFonts w:cstheme="minorHAnsi"/>
        </w:rPr>
        <w:t>jak</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Polsce</w:t>
      </w:r>
      <w:r w:rsidR="003B50ED">
        <w:rPr>
          <w:rFonts w:cstheme="minorHAnsi"/>
        </w:rPr>
        <w:t xml:space="preserve"> </w:t>
      </w:r>
      <w:r w:rsidRPr="00A26C26">
        <w:rPr>
          <w:rFonts w:cstheme="minorHAnsi"/>
        </w:rPr>
        <w:t>lub</w:t>
      </w:r>
      <w:r w:rsidR="003B50ED">
        <w:rPr>
          <w:rFonts w:cstheme="minorHAnsi"/>
        </w:rPr>
        <w:t xml:space="preserve"> </w:t>
      </w:r>
      <w:r w:rsidRPr="00A26C26">
        <w:rPr>
          <w:rFonts w:cstheme="minorHAnsi"/>
        </w:rPr>
        <w:t>Europie</w:t>
      </w:r>
      <w:r w:rsidR="003B50ED">
        <w:rPr>
          <w:rFonts w:cstheme="minorHAnsi"/>
        </w:rPr>
        <w:t xml:space="preserve"> </w:t>
      </w:r>
      <w:r w:rsidRPr="00A26C26">
        <w:rPr>
          <w:rFonts w:cstheme="minorHAnsi"/>
        </w:rPr>
        <w:t>oraz</w:t>
      </w:r>
      <w:r w:rsidR="003B50ED">
        <w:rPr>
          <w:rFonts w:cstheme="minorHAnsi"/>
        </w:rPr>
        <w:t xml:space="preserve"> </w:t>
      </w:r>
      <w:r w:rsidRPr="00A26C26">
        <w:rPr>
          <w:rFonts w:cstheme="minorHAnsi"/>
        </w:rPr>
        <w:t>pokazania</w:t>
      </w:r>
      <w:r w:rsidR="003B50ED">
        <w:rPr>
          <w:rFonts w:cstheme="minorHAnsi"/>
        </w:rPr>
        <w:t xml:space="preserve"> </w:t>
      </w:r>
      <w:r w:rsidRPr="00A26C26">
        <w:rPr>
          <w:rFonts w:cstheme="minorHAnsi"/>
        </w:rPr>
        <w:t>wymiernych</w:t>
      </w:r>
      <w:r w:rsidR="003B50ED">
        <w:rPr>
          <w:rFonts w:cstheme="minorHAnsi"/>
        </w:rPr>
        <w:t xml:space="preserve"> </w:t>
      </w:r>
      <w:r w:rsidRPr="00A26C26">
        <w:rPr>
          <w:rFonts w:cstheme="minorHAnsi"/>
        </w:rPr>
        <w:t>korzyści</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wdrożenia</w:t>
      </w:r>
      <w:r w:rsidR="003B50ED">
        <w:rPr>
          <w:rFonts w:cstheme="minorHAnsi"/>
        </w:rPr>
        <w:t xml:space="preserve"> </w:t>
      </w:r>
      <w:r w:rsidRPr="00A26C26">
        <w:rPr>
          <w:rFonts w:cstheme="minorHAnsi"/>
        </w:rPr>
        <w:t>innowacji.</w:t>
      </w:r>
      <w:r w:rsidR="003B50ED">
        <w:rPr>
          <w:rFonts w:cstheme="minorHAnsi"/>
        </w:rPr>
        <w:t xml:space="preserve"> </w:t>
      </w:r>
    </w:p>
    <w:p w14:paraId="754CE90C" w14:textId="5A3BEBD0" w:rsidR="00C71928" w:rsidRPr="00A26C26" w:rsidRDefault="00C71928" w:rsidP="00A26C26">
      <w:pPr>
        <w:spacing w:line="276" w:lineRule="auto"/>
        <w:ind w:firstLine="284"/>
        <w:jc w:val="both"/>
        <w:rPr>
          <w:rFonts w:cstheme="minorHAnsi"/>
        </w:rPr>
      </w:pPr>
      <w:r w:rsidRPr="00A26C26">
        <w:rPr>
          <w:rFonts w:cstheme="minorHAnsi"/>
        </w:rPr>
        <w:t>Pozytywnym</w:t>
      </w:r>
      <w:r w:rsidR="003B50ED">
        <w:rPr>
          <w:rFonts w:cstheme="minorHAnsi"/>
        </w:rPr>
        <w:t xml:space="preserve"> </w:t>
      </w:r>
      <w:r w:rsidRPr="00A26C26">
        <w:rPr>
          <w:rFonts w:cstheme="minorHAnsi"/>
        </w:rPr>
        <w:t>odbiorem</w:t>
      </w:r>
      <w:r w:rsidR="003B50ED">
        <w:rPr>
          <w:rFonts w:cstheme="minorHAnsi"/>
        </w:rPr>
        <w:t xml:space="preserve"> </w:t>
      </w:r>
      <w:r w:rsidRPr="00A26C26">
        <w:rPr>
          <w:rFonts w:cstheme="minorHAnsi"/>
        </w:rPr>
        <w:t>wśród</w:t>
      </w:r>
      <w:r w:rsidR="003B50ED">
        <w:rPr>
          <w:rFonts w:cstheme="minorHAnsi"/>
        </w:rPr>
        <w:t xml:space="preserve"> </w:t>
      </w:r>
      <w:r w:rsidRPr="00A26C26">
        <w:rPr>
          <w:rFonts w:cstheme="minorHAnsi"/>
        </w:rPr>
        <w:t>mieszkańców</w:t>
      </w:r>
      <w:r w:rsidR="003B50ED">
        <w:rPr>
          <w:rFonts w:cstheme="minorHAnsi"/>
        </w:rPr>
        <w:t xml:space="preserve"> </w:t>
      </w:r>
      <w:r w:rsidRPr="00A26C26">
        <w:rPr>
          <w:rFonts w:cstheme="minorHAnsi"/>
        </w:rPr>
        <w:t>obszaru</w:t>
      </w:r>
      <w:r w:rsidR="003B50ED">
        <w:rPr>
          <w:rFonts w:cstheme="minorHAnsi"/>
        </w:rPr>
        <w:t xml:space="preserve"> </w:t>
      </w:r>
      <w:r w:rsidRPr="00A26C26">
        <w:rPr>
          <w:rFonts w:cstheme="minorHAnsi"/>
        </w:rPr>
        <w:t>cieszyły</w:t>
      </w:r>
      <w:r w:rsidR="003B50ED">
        <w:rPr>
          <w:rFonts w:cstheme="minorHAnsi"/>
        </w:rPr>
        <w:t xml:space="preserve"> </w:t>
      </w:r>
      <w:r w:rsidRPr="00A26C26">
        <w:rPr>
          <w:rFonts w:cstheme="minorHAnsi"/>
        </w:rPr>
        <w:t>się</w:t>
      </w:r>
      <w:r w:rsidR="003B50ED">
        <w:rPr>
          <w:rFonts w:cstheme="minorHAnsi"/>
        </w:rPr>
        <w:t xml:space="preserve"> </w:t>
      </w:r>
      <w:r w:rsidRPr="00A26C26">
        <w:rPr>
          <w:rFonts w:cstheme="minorHAnsi"/>
        </w:rPr>
        <w:t>stoiska</w:t>
      </w:r>
      <w:r w:rsidR="003B50ED">
        <w:rPr>
          <w:rFonts w:cstheme="minorHAnsi"/>
        </w:rPr>
        <w:t xml:space="preserve"> </w:t>
      </w:r>
      <w:r w:rsidRPr="00A26C26">
        <w:rPr>
          <w:rFonts w:cstheme="minorHAnsi"/>
        </w:rPr>
        <w:t>LGD</w:t>
      </w:r>
      <w:r w:rsidR="003B50ED">
        <w:rPr>
          <w:rFonts w:cstheme="minorHAnsi"/>
        </w:rPr>
        <w:t xml:space="preserve"> </w:t>
      </w:r>
      <w:r w:rsidRPr="00A26C26">
        <w:rPr>
          <w:rFonts w:cstheme="minorHAnsi"/>
        </w:rPr>
        <w:t>zarówno</w:t>
      </w:r>
      <w:r w:rsidR="003B50ED">
        <w:rPr>
          <w:rFonts w:cstheme="minorHAnsi"/>
        </w:rPr>
        <w:t xml:space="preserve"> </w:t>
      </w:r>
      <w:r w:rsidRPr="00A26C26">
        <w:rPr>
          <w:rFonts w:cstheme="minorHAnsi"/>
        </w:rPr>
        <w:t>podczas</w:t>
      </w:r>
      <w:r w:rsidR="003B50ED">
        <w:rPr>
          <w:rFonts w:cstheme="minorHAnsi"/>
        </w:rPr>
        <w:t xml:space="preserve"> </w:t>
      </w:r>
      <w:r w:rsidRPr="00A26C26">
        <w:rPr>
          <w:rFonts w:cstheme="minorHAnsi"/>
        </w:rPr>
        <w:t>wydarzeń,</w:t>
      </w:r>
      <w:r w:rsidR="003B50ED">
        <w:rPr>
          <w:rFonts w:cstheme="minorHAnsi"/>
        </w:rPr>
        <w:t xml:space="preserve"> </w:t>
      </w:r>
      <w:r w:rsidRPr="00A26C26">
        <w:rPr>
          <w:rFonts w:cstheme="minorHAnsi"/>
        </w:rPr>
        <w:t>których</w:t>
      </w:r>
      <w:r w:rsidR="003B50ED">
        <w:rPr>
          <w:rFonts w:cstheme="minorHAnsi"/>
        </w:rPr>
        <w:t xml:space="preserve"> </w:t>
      </w:r>
      <w:r w:rsidRPr="00A26C26">
        <w:rPr>
          <w:rFonts w:cstheme="minorHAnsi"/>
        </w:rPr>
        <w:t>organizatorem</w:t>
      </w:r>
      <w:r w:rsidR="003B50ED">
        <w:rPr>
          <w:rFonts w:cstheme="minorHAnsi"/>
        </w:rPr>
        <w:t xml:space="preserve"> </w:t>
      </w:r>
      <w:r w:rsidRPr="00A26C26">
        <w:rPr>
          <w:rFonts w:cstheme="minorHAnsi"/>
        </w:rPr>
        <w:t>był</w:t>
      </w:r>
      <w:r w:rsidR="00AB742D">
        <w:rPr>
          <w:rFonts w:cstheme="minorHAnsi"/>
        </w:rPr>
        <w:t>o Stowarzyszeni</w:t>
      </w:r>
      <w:r w:rsidR="00135142">
        <w:rPr>
          <w:rFonts w:cstheme="minorHAnsi"/>
        </w:rPr>
        <w:t>e</w:t>
      </w:r>
      <w:r w:rsidR="00AB742D">
        <w:rPr>
          <w:rFonts w:cstheme="minorHAnsi"/>
        </w:rPr>
        <w:t xml:space="preserve"> </w:t>
      </w:r>
      <w:r w:rsidR="00AB742D" w:rsidRPr="00A26C26">
        <w:rPr>
          <w:rFonts w:cstheme="minorHAnsi"/>
        </w:rPr>
        <w:t>„Solidarni</w:t>
      </w:r>
      <w:r w:rsidR="00AB742D">
        <w:rPr>
          <w:rFonts w:cstheme="minorHAnsi"/>
        </w:rPr>
        <w:t xml:space="preserve"> </w:t>
      </w:r>
      <w:r w:rsidR="00AB742D" w:rsidRPr="00A26C26">
        <w:rPr>
          <w:rFonts w:cstheme="minorHAnsi"/>
        </w:rPr>
        <w:t>w</w:t>
      </w:r>
      <w:r w:rsidR="00AB742D">
        <w:rPr>
          <w:rFonts w:cstheme="minorHAnsi"/>
        </w:rPr>
        <w:t xml:space="preserve"> </w:t>
      </w:r>
      <w:r w:rsidR="00AB742D" w:rsidRPr="00A26C26">
        <w:rPr>
          <w:rFonts w:cstheme="minorHAnsi"/>
        </w:rPr>
        <w:t>Partnerstwie”</w:t>
      </w:r>
      <w:r w:rsidR="00D615FF" w:rsidRPr="00A26C26">
        <w:rPr>
          <w:rFonts w:cstheme="minorHAnsi"/>
        </w:rPr>
        <w:t>.</w:t>
      </w:r>
      <w:r w:rsidR="003B50ED">
        <w:rPr>
          <w:rFonts w:cstheme="minorHAnsi"/>
        </w:rPr>
        <w:t xml:space="preserve"> </w:t>
      </w:r>
      <w:r w:rsidRPr="00A26C26">
        <w:rPr>
          <w:rFonts w:cstheme="minorHAnsi"/>
        </w:rPr>
        <w:t>Stoiska</w:t>
      </w:r>
      <w:r w:rsidR="003B50ED">
        <w:rPr>
          <w:rFonts w:cstheme="minorHAnsi"/>
        </w:rPr>
        <w:t xml:space="preserve"> </w:t>
      </w:r>
      <w:r w:rsidRPr="00A26C26">
        <w:rPr>
          <w:rFonts w:cstheme="minorHAnsi"/>
        </w:rPr>
        <w:t>te</w:t>
      </w:r>
      <w:r w:rsidR="003B50ED">
        <w:rPr>
          <w:rFonts w:cstheme="minorHAnsi"/>
        </w:rPr>
        <w:t xml:space="preserve"> </w:t>
      </w:r>
      <w:r w:rsidRPr="00A26C26">
        <w:rPr>
          <w:rFonts w:cstheme="minorHAnsi"/>
        </w:rPr>
        <w:t>były</w:t>
      </w:r>
      <w:r w:rsidR="003B50ED">
        <w:rPr>
          <w:rFonts w:cstheme="minorHAnsi"/>
        </w:rPr>
        <w:t xml:space="preserve"> </w:t>
      </w:r>
      <w:r w:rsidRPr="00A26C26">
        <w:rPr>
          <w:rFonts w:cstheme="minorHAnsi"/>
        </w:rPr>
        <w:t>obsługiwane</w:t>
      </w:r>
      <w:r w:rsidR="003B50ED">
        <w:rPr>
          <w:rFonts w:cstheme="minorHAnsi"/>
        </w:rPr>
        <w:t xml:space="preserve"> </w:t>
      </w:r>
      <w:r w:rsidRPr="00A26C26">
        <w:rPr>
          <w:rFonts w:cstheme="minorHAnsi"/>
        </w:rPr>
        <w:t>przez</w:t>
      </w:r>
      <w:r w:rsidR="003B50ED">
        <w:rPr>
          <w:rFonts w:cstheme="minorHAnsi"/>
        </w:rPr>
        <w:t xml:space="preserve"> </w:t>
      </w:r>
      <w:r w:rsidRPr="00A26C26">
        <w:rPr>
          <w:rFonts w:cstheme="minorHAnsi"/>
        </w:rPr>
        <w:t>pracowników</w:t>
      </w:r>
      <w:r w:rsidR="003B50ED">
        <w:rPr>
          <w:rFonts w:cstheme="minorHAnsi"/>
        </w:rPr>
        <w:t xml:space="preserve"> </w:t>
      </w:r>
      <w:r w:rsidRPr="00A26C26">
        <w:rPr>
          <w:rFonts w:cstheme="minorHAnsi"/>
        </w:rPr>
        <w:t>biura,</w:t>
      </w:r>
      <w:r w:rsidR="003B50ED">
        <w:rPr>
          <w:rFonts w:cstheme="minorHAnsi"/>
        </w:rPr>
        <w:t xml:space="preserve"> </w:t>
      </w:r>
      <w:r w:rsidRPr="00A26C26">
        <w:rPr>
          <w:rFonts w:cstheme="minorHAnsi"/>
        </w:rPr>
        <w:t>którzy</w:t>
      </w:r>
      <w:r w:rsidR="003B50ED">
        <w:rPr>
          <w:rFonts w:cstheme="minorHAnsi"/>
        </w:rPr>
        <w:t xml:space="preserve"> </w:t>
      </w:r>
      <w:r w:rsidRPr="00A26C26">
        <w:rPr>
          <w:rFonts w:cstheme="minorHAnsi"/>
        </w:rPr>
        <w:t>udzielali</w:t>
      </w:r>
      <w:r w:rsidR="003B50ED">
        <w:rPr>
          <w:rFonts w:cstheme="minorHAnsi"/>
        </w:rPr>
        <w:t xml:space="preserve"> </w:t>
      </w:r>
      <w:r w:rsidRPr="00A26C26">
        <w:rPr>
          <w:rFonts w:cstheme="minorHAnsi"/>
        </w:rPr>
        <w:t>merytorycznych</w:t>
      </w:r>
      <w:r w:rsidR="003B50ED">
        <w:rPr>
          <w:rFonts w:cstheme="minorHAnsi"/>
        </w:rPr>
        <w:t xml:space="preserve"> </w:t>
      </w:r>
      <w:r w:rsidRPr="00A26C26">
        <w:rPr>
          <w:rFonts w:cstheme="minorHAnsi"/>
        </w:rPr>
        <w:t>odpowiedzi</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zakresie</w:t>
      </w:r>
      <w:r w:rsidR="003B50ED">
        <w:rPr>
          <w:rFonts w:cstheme="minorHAnsi"/>
        </w:rPr>
        <w:t xml:space="preserve"> </w:t>
      </w:r>
      <w:r w:rsidRPr="00A26C26">
        <w:rPr>
          <w:rFonts w:cstheme="minorHAnsi"/>
        </w:rPr>
        <w:t>możliwości</w:t>
      </w:r>
      <w:r w:rsidR="003B50ED">
        <w:rPr>
          <w:rFonts w:cstheme="minorHAnsi"/>
        </w:rPr>
        <w:t xml:space="preserve"> </w:t>
      </w:r>
      <w:r w:rsidRPr="00A26C26">
        <w:rPr>
          <w:rFonts w:cstheme="minorHAnsi"/>
        </w:rPr>
        <w:t>pozyskania</w:t>
      </w:r>
      <w:r w:rsidR="003B50ED">
        <w:rPr>
          <w:rFonts w:cstheme="minorHAnsi"/>
        </w:rPr>
        <w:t xml:space="preserve"> </w:t>
      </w:r>
      <w:r w:rsidRPr="00A26C26">
        <w:rPr>
          <w:rFonts w:cstheme="minorHAnsi"/>
        </w:rPr>
        <w:t>dofinansowania</w:t>
      </w:r>
      <w:r w:rsidR="003B50ED">
        <w:rPr>
          <w:rFonts w:cstheme="minorHAnsi"/>
        </w:rPr>
        <w:t xml:space="preserve"> </w:t>
      </w:r>
      <w:r w:rsidRPr="00A26C26">
        <w:rPr>
          <w:rFonts w:cstheme="minorHAnsi"/>
        </w:rPr>
        <w:t>oraz</w:t>
      </w:r>
      <w:r w:rsidR="003B50ED">
        <w:rPr>
          <w:rFonts w:cstheme="minorHAnsi"/>
        </w:rPr>
        <w:t xml:space="preserve"> </w:t>
      </w:r>
      <w:r w:rsidRPr="00A26C26">
        <w:rPr>
          <w:rFonts w:cstheme="minorHAnsi"/>
        </w:rPr>
        <w:t>prowadzili</w:t>
      </w:r>
      <w:r w:rsidR="003B50ED">
        <w:rPr>
          <w:rFonts w:cstheme="minorHAnsi"/>
        </w:rPr>
        <w:t xml:space="preserve"> </w:t>
      </w:r>
      <w:r w:rsidRPr="00A26C26">
        <w:rPr>
          <w:rFonts w:cstheme="minorHAnsi"/>
        </w:rPr>
        <w:t>badania</w:t>
      </w:r>
      <w:r w:rsidR="003B50ED">
        <w:rPr>
          <w:rFonts w:cstheme="minorHAnsi"/>
        </w:rPr>
        <w:t xml:space="preserve"> </w:t>
      </w:r>
      <w:r w:rsidRPr="00A26C26">
        <w:rPr>
          <w:rFonts w:cstheme="minorHAnsi"/>
        </w:rPr>
        <w:t>ankietowe</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temat</w:t>
      </w:r>
      <w:r w:rsidR="003B50ED">
        <w:rPr>
          <w:rFonts w:cstheme="minorHAnsi"/>
        </w:rPr>
        <w:t xml:space="preserve"> </w:t>
      </w:r>
      <w:r w:rsidRPr="00A26C26">
        <w:rPr>
          <w:rFonts w:cstheme="minorHAnsi"/>
        </w:rPr>
        <w:t>już</w:t>
      </w:r>
      <w:r w:rsidR="003B50ED">
        <w:rPr>
          <w:rFonts w:cstheme="minorHAnsi"/>
        </w:rPr>
        <w:t xml:space="preserve"> </w:t>
      </w:r>
      <w:r w:rsidRPr="00A26C26">
        <w:rPr>
          <w:rFonts w:cstheme="minorHAnsi"/>
        </w:rPr>
        <w:t>zrealizowanych</w:t>
      </w:r>
      <w:r w:rsidR="003B50ED">
        <w:rPr>
          <w:rFonts w:cstheme="minorHAnsi"/>
        </w:rPr>
        <w:t xml:space="preserve"> </w:t>
      </w:r>
      <w:r w:rsidRPr="00A26C26">
        <w:rPr>
          <w:rFonts w:cstheme="minorHAnsi"/>
        </w:rPr>
        <w:t>operacji</w:t>
      </w:r>
      <w:r w:rsidR="003B50ED">
        <w:rPr>
          <w:rFonts w:cstheme="minorHAnsi"/>
        </w:rPr>
        <w:t xml:space="preserve"> </w:t>
      </w:r>
      <w:r w:rsidRPr="00A26C26">
        <w:rPr>
          <w:rFonts w:cstheme="minorHAnsi"/>
        </w:rPr>
        <w:t>oraz</w:t>
      </w:r>
      <w:r w:rsidR="003B50ED">
        <w:rPr>
          <w:rFonts w:cstheme="minorHAnsi"/>
        </w:rPr>
        <w:t xml:space="preserve"> </w:t>
      </w:r>
      <w:r w:rsidRPr="00A26C26">
        <w:rPr>
          <w:rFonts w:cstheme="minorHAnsi"/>
        </w:rPr>
        <w:t>najważniejszych</w:t>
      </w:r>
      <w:r w:rsidR="003B50ED">
        <w:rPr>
          <w:rFonts w:cstheme="minorHAnsi"/>
        </w:rPr>
        <w:t xml:space="preserve"> </w:t>
      </w:r>
      <w:r w:rsidRPr="00A26C26">
        <w:rPr>
          <w:rFonts w:cstheme="minorHAnsi"/>
        </w:rPr>
        <w:t>problemów</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potrzeb,</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którymi</w:t>
      </w:r>
      <w:r w:rsidR="003B50ED">
        <w:rPr>
          <w:rFonts w:cstheme="minorHAnsi"/>
        </w:rPr>
        <w:t xml:space="preserve"> </w:t>
      </w:r>
      <w:r w:rsidRPr="00A26C26">
        <w:rPr>
          <w:rFonts w:cstheme="minorHAnsi"/>
        </w:rPr>
        <w:t>mierzą</w:t>
      </w:r>
      <w:r w:rsidR="003B50ED">
        <w:rPr>
          <w:rFonts w:cstheme="minorHAnsi"/>
        </w:rPr>
        <w:t xml:space="preserve"> </w:t>
      </w:r>
      <w:r w:rsidRPr="00A26C26">
        <w:rPr>
          <w:rFonts w:cstheme="minorHAnsi"/>
        </w:rPr>
        <w:t>się</w:t>
      </w:r>
      <w:r w:rsidR="003B50ED">
        <w:rPr>
          <w:rFonts w:cstheme="minorHAnsi"/>
        </w:rPr>
        <w:t xml:space="preserve"> </w:t>
      </w:r>
      <w:r w:rsidRPr="00A26C26">
        <w:rPr>
          <w:rFonts w:cstheme="minorHAnsi"/>
        </w:rPr>
        <w:t>mieszkańcy</w:t>
      </w:r>
      <w:r w:rsidR="003B50ED">
        <w:rPr>
          <w:rFonts w:cstheme="minorHAnsi"/>
        </w:rPr>
        <w:t xml:space="preserve"> </w:t>
      </w:r>
      <w:r w:rsidRPr="00A26C26">
        <w:rPr>
          <w:rFonts w:cstheme="minorHAnsi"/>
        </w:rPr>
        <w:t>obszaru</w:t>
      </w:r>
      <w:r w:rsidR="003B50ED">
        <w:rPr>
          <w:rFonts w:cstheme="minorHAnsi"/>
        </w:rPr>
        <w:t xml:space="preserve"> </w:t>
      </w:r>
      <w:r w:rsidRPr="00A26C26">
        <w:rPr>
          <w:rFonts w:cstheme="minorHAnsi"/>
        </w:rPr>
        <w:t>działania</w:t>
      </w:r>
      <w:r w:rsidR="003B50ED">
        <w:rPr>
          <w:rFonts w:cstheme="minorHAnsi"/>
        </w:rPr>
        <w:t xml:space="preserve"> </w:t>
      </w:r>
      <w:r w:rsidRPr="00A26C26">
        <w:rPr>
          <w:rFonts w:cstheme="minorHAnsi"/>
        </w:rPr>
        <w:t>LGD.</w:t>
      </w:r>
      <w:r w:rsidR="003B50ED">
        <w:rPr>
          <w:rFonts w:cstheme="minorHAnsi"/>
        </w:rPr>
        <w:t xml:space="preserve"> </w:t>
      </w:r>
    </w:p>
    <w:p w14:paraId="229573A9" w14:textId="7A5E7876" w:rsidR="00C71928" w:rsidRPr="00A26C26" w:rsidRDefault="00C71928" w:rsidP="00A26C26">
      <w:pPr>
        <w:spacing w:line="276" w:lineRule="auto"/>
        <w:ind w:firstLine="284"/>
        <w:jc w:val="both"/>
        <w:rPr>
          <w:rFonts w:cstheme="minorHAnsi"/>
        </w:rPr>
      </w:pPr>
      <w:r w:rsidRPr="00A26C26">
        <w:rPr>
          <w:rFonts w:cstheme="minorHAnsi"/>
        </w:rPr>
        <w:t>Nowy</w:t>
      </w:r>
      <w:r w:rsidR="003B50ED">
        <w:rPr>
          <w:rFonts w:cstheme="minorHAnsi"/>
        </w:rPr>
        <w:t xml:space="preserve"> </w:t>
      </w:r>
      <w:r w:rsidRPr="00A26C26">
        <w:rPr>
          <w:rFonts w:cstheme="minorHAnsi"/>
        </w:rPr>
        <w:t>okres</w:t>
      </w:r>
      <w:r w:rsidR="003B50ED">
        <w:rPr>
          <w:rFonts w:cstheme="minorHAnsi"/>
        </w:rPr>
        <w:t xml:space="preserve"> </w:t>
      </w:r>
      <w:r w:rsidRPr="00A26C26">
        <w:rPr>
          <w:rFonts w:cstheme="minorHAnsi"/>
        </w:rPr>
        <w:t>programowania</w:t>
      </w:r>
      <w:r w:rsidR="003B50ED">
        <w:rPr>
          <w:rFonts w:cstheme="minorHAnsi"/>
        </w:rPr>
        <w:t xml:space="preserve"> </w:t>
      </w:r>
      <w:r w:rsidRPr="00A26C26">
        <w:rPr>
          <w:rFonts w:cstheme="minorHAnsi"/>
        </w:rPr>
        <w:t>to</w:t>
      </w:r>
      <w:r w:rsidR="003B50ED">
        <w:rPr>
          <w:rFonts w:cstheme="minorHAnsi"/>
        </w:rPr>
        <w:t xml:space="preserve"> </w:t>
      </w:r>
      <w:r w:rsidRPr="00A26C26">
        <w:rPr>
          <w:rFonts w:cstheme="minorHAnsi"/>
        </w:rPr>
        <w:t>też</w:t>
      </w:r>
      <w:r w:rsidR="003B50ED">
        <w:rPr>
          <w:rFonts w:cstheme="minorHAnsi"/>
        </w:rPr>
        <w:t xml:space="preserve"> </w:t>
      </w:r>
      <w:r w:rsidRPr="00A26C26">
        <w:rPr>
          <w:rFonts w:cstheme="minorHAnsi"/>
        </w:rPr>
        <w:t>nowe</w:t>
      </w:r>
      <w:r w:rsidR="003B50ED">
        <w:rPr>
          <w:rFonts w:cstheme="minorHAnsi"/>
        </w:rPr>
        <w:t xml:space="preserve"> </w:t>
      </w:r>
      <w:r w:rsidRPr="00A26C26">
        <w:rPr>
          <w:rFonts w:cstheme="minorHAnsi"/>
        </w:rPr>
        <w:t>wyzwania</w:t>
      </w:r>
      <w:r w:rsidR="003B50ED">
        <w:rPr>
          <w:rFonts w:cstheme="minorHAnsi"/>
        </w:rPr>
        <w:t xml:space="preserve"> </w:t>
      </w:r>
      <w:r w:rsidRPr="00A26C26">
        <w:rPr>
          <w:rFonts w:cstheme="minorHAnsi"/>
        </w:rPr>
        <w:t>komunikacyjne,</w:t>
      </w:r>
      <w:r w:rsidR="003B50ED">
        <w:rPr>
          <w:rFonts w:cstheme="minorHAnsi"/>
        </w:rPr>
        <w:t xml:space="preserve"> </w:t>
      </w:r>
      <w:r w:rsidRPr="00A26C26">
        <w:rPr>
          <w:rFonts w:cstheme="minorHAnsi"/>
        </w:rPr>
        <w:t>szczególnie</w:t>
      </w:r>
      <w:r w:rsidR="003B50ED">
        <w:rPr>
          <w:rFonts w:cstheme="minorHAnsi"/>
        </w:rPr>
        <w:t xml:space="preserve"> </w:t>
      </w:r>
      <w:r w:rsidRPr="00A26C26">
        <w:rPr>
          <w:rFonts w:cstheme="minorHAnsi"/>
        </w:rPr>
        <w:t>po</w:t>
      </w:r>
      <w:r w:rsidR="003B50ED">
        <w:rPr>
          <w:rFonts w:cstheme="minorHAnsi"/>
        </w:rPr>
        <w:t xml:space="preserve"> </w:t>
      </w:r>
      <w:r w:rsidRPr="00A26C26">
        <w:rPr>
          <w:rFonts w:cstheme="minorHAnsi"/>
        </w:rPr>
        <w:t>okresie</w:t>
      </w:r>
      <w:r w:rsidR="003B50ED">
        <w:rPr>
          <w:rFonts w:cstheme="minorHAnsi"/>
        </w:rPr>
        <w:t xml:space="preserve"> </w:t>
      </w:r>
      <w:r w:rsidRPr="00A26C26">
        <w:rPr>
          <w:rFonts w:cstheme="minorHAnsi"/>
        </w:rPr>
        <w:t>pandemii</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izolacji,</w:t>
      </w:r>
      <w:r w:rsidR="003B50ED">
        <w:rPr>
          <w:rFonts w:cstheme="minorHAnsi"/>
        </w:rPr>
        <w:t xml:space="preserve"> </w:t>
      </w:r>
      <w:r w:rsidRPr="00A26C26">
        <w:rPr>
          <w:rFonts w:cstheme="minorHAnsi"/>
        </w:rPr>
        <w:t>która</w:t>
      </w:r>
      <w:r w:rsidR="003B50ED">
        <w:rPr>
          <w:rFonts w:cstheme="minorHAnsi"/>
        </w:rPr>
        <w:t xml:space="preserve"> </w:t>
      </w:r>
      <w:r w:rsidRPr="00A26C26">
        <w:rPr>
          <w:rFonts w:cstheme="minorHAnsi"/>
        </w:rPr>
        <w:t>spowodowała</w:t>
      </w:r>
      <w:r w:rsidR="003B50ED">
        <w:rPr>
          <w:rFonts w:cstheme="minorHAnsi"/>
        </w:rPr>
        <w:t xml:space="preserve"> </w:t>
      </w:r>
      <w:r w:rsidRPr="00A26C26">
        <w:rPr>
          <w:rFonts w:cstheme="minorHAnsi"/>
        </w:rPr>
        <w:t>częściowe</w:t>
      </w:r>
      <w:r w:rsidR="003B50ED">
        <w:rPr>
          <w:rFonts w:cstheme="minorHAnsi"/>
        </w:rPr>
        <w:t xml:space="preserve"> </w:t>
      </w:r>
      <w:r w:rsidRPr="00A26C26">
        <w:rPr>
          <w:rFonts w:cstheme="minorHAnsi"/>
        </w:rPr>
        <w:t>wycofanie</w:t>
      </w:r>
      <w:r w:rsidR="003B50ED">
        <w:rPr>
          <w:rFonts w:cstheme="minorHAnsi"/>
        </w:rPr>
        <w:t xml:space="preserve"> </w:t>
      </w:r>
      <w:r w:rsidRPr="00A26C26">
        <w:rPr>
          <w:rFonts w:cstheme="minorHAnsi"/>
        </w:rPr>
        <w:t>się</w:t>
      </w:r>
      <w:r w:rsidR="003B50ED">
        <w:rPr>
          <w:rFonts w:cstheme="minorHAnsi"/>
        </w:rPr>
        <w:t xml:space="preserve"> </w:t>
      </w:r>
      <w:r w:rsidRPr="00A26C26">
        <w:rPr>
          <w:rFonts w:cstheme="minorHAnsi"/>
        </w:rPr>
        <w:t>części</w:t>
      </w:r>
      <w:r w:rsidR="003B50ED">
        <w:rPr>
          <w:rFonts w:cstheme="minorHAnsi"/>
        </w:rPr>
        <w:t xml:space="preserve"> </w:t>
      </w:r>
      <w:r w:rsidRPr="00A26C26">
        <w:rPr>
          <w:rFonts w:cstheme="minorHAnsi"/>
        </w:rPr>
        <w:t>liderów</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aktywności</w:t>
      </w:r>
      <w:r w:rsidR="003B50ED">
        <w:rPr>
          <w:rFonts w:cstheme="minorHAnsi"/>
        </w:rPr>
        <w:t xml:space="preserve"> </w:t>
      </w:r>
      <w:r w:rsidRPr="00A26C26">
        <w:rPr>
          <w:rFonts w:cstheme="minorHAnsi"/>
        </w:rPr>
        <w:t>społecznej</w:t>
      </w:r>
      <w:r w:rsidR="003B50ED">
        <w:rPr>
          <w:rFonts w:cstheme="minorHAnsi"/>
        </w:rPr>
        <w:t xml:space="preserve"> </w:t>
      </w:r>
      <w:r w:rsidRPr="00A26C26">
        <w:rPr>
          <w:rFonts w:cstheme="minorHAnsi"/>
        </w:rPr>
        <w:t>(pomimo</w:t>
      </w:r>
      <w:r w:rsidR="003B50ED">
        <w:rPr>
          <w:rFonts w:cstheme="minorHAnsi"/>
        </w:rPr>
        <w:t xml:space="preserve"> </w:t>
      </w:r>
      <w:r w:rsidRPr="00A26C26">
        <w:rPr>
          <w:rFonts w:cstheme="minorHAnsi"/>
        </w:rPr>
        <w:t>formalnie</w:t>
      </w:r>
      <w:r w:rsidR="003B50ED">
        <w:rPr>
          <w:rFonts w:cstheme="minorHAnsi"/>
        </w:rPr>
        <w:t xml:space="preserve"> </w:t>
      </w:r>
      <w:r w:rsidRPr="00A26C26">
        <w:rPr>
          <w:rFonts w:cstheme="minorHAnsi"/>
        </w:rPr>
        <w:t>liczebnego</w:t>
      </w:r>
      <w:r w:rsidR="003B50ED">
        <w:rPr>
          <w:rFonts w:cstheme="minorHAnsi"/>
        </w:rPr>
        <w:t xml:space="preserve"> </w:t>
      </w:r>
      <w:r w:rsidRPr="00A26C26">
        <w:rPr>
          <w:rFonts w:cstheme="minorHAnsi"/>
        </w:rPr>
        <w:t>wzrostu</w:t>
      </w:r>
      <w:r w:rsidR="003B50ED">
        <w:rPr>
          <w:rFonts w:cstheme="minorHAnsi"/>
        </w:rPr>
        <w:t xml:space="preserve"> </w:t>
      </w:r>
      <w:r w:rsidRPr="00A26C26">
        <w:rPr>
          <w:rFonts w:cstheme="minorHAnsi"/>
        </w:rPr>
        <w:t>organizacji</w:t>
      </w:r>
      <w:r w:rsidR="003B50ED">
        <w:rPr>
          <w:rFonts w:cstheme="minorHAnsi"/>
        </w:rPr>
        <w:t xml:space="preserve"> </w:t>
      </w:r>
      <w:r w:rsidRPr="00A26C26">
        <w:rPr>
          <w:rFonts w:cstheme="minorHAnsi"/>
        </w:rPr>
        <w:t>pozarządowych).</w:t>
      </w:r>
      <w:r w:rsidR="003B50ED">
        <w:rPr>
          <w:rFonts w:cstheme="minorHAnsi"/>
        </w:rPr>
        <w:t xml:space="preserve"> </w:t>
      </w:r>
    </w:p>
    <w:p w14:paraId="5A82EF70" w14:textId="33364735" w:rsidR="00C71928" w:rsidRPr="00A26C26" w:rsidRDefault="00C71928" w:rsidP="00A26C26">
      <w:pPr>
        <w:spacing w:line="276" w:lineRule="auto"/>
        <w:ind w:firstLine="284"/>
        <w:jc w:val="both"/>
        <w:rPr>
          <w:rFonts w:cstheme="minorHAnsi"/>
        </w:rPr>
      </w:pPr>
      <w:r w:rsidRPr="00A26C26">
        <w:rPr>
          <w:rFonts w:cstheme="minorHAnsi"/>
        </w:rPr>
        <w:t>LGD</w:t>
      </w:r>
      <w:r w:rsidR="003B50ED">
        <w:rPr>
          <w:rFonts w:cstheme="minorHAnsi"/>
        </w:rPr>
        <w:t xml:space="preserve"> </w:t>
      </w:r>
      <w:r w:rsidRPr="00A26C26">
        <w:rPr>
          <w:rFonts w:cstheme="minorHAnsi"/>
        </w:rPr>
        <w:t>korzystając</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doświadczeń</w:t>
      </w:r>
      <w:r w:rsidR="003B50ED">
        <w:rPr>
          <w:rFonts w:cstheme="minorHAnsi"/>
        </w:rPr>
        <w:t xml:space="preserve"> </w:t>
      </w:r>
      <w:r w:rsidRPr="00A26C26">
        <w:rPr>
          <w:rFonts w:cstheme="minorHAnsi"/>
        </w:rPr>
        <w:t>minionych</w:t>
      </w:r>
      <w:r w:rsidR="003B50ED">
        <w:rPr>
          <w:rFonts w:cstheme="minorHAnsi"/>
        </w:rPr>
        <w:t xml:space="preserve"> </w:t>
      </w:r>
      <w:r w:rsidRPr="00A26C26">
        <w:rPr>
          <w:rFonts w:cstheme="minorHAnsi"/>
        </w:rPr>
        <w:t>okresów</w:t>
      </w:r>
      <w:r w:rsidR="003B50ED">
        <w:rPr>
          <w:rFonts w:cstheme="minorHAnsi"/>
        </w:rPr>
        <w:t xml:space="preserve"> </w:t>
      </w:r>
      <w:r w:rsidRPr="00A26C26">
        <w:rPr>
          <w:rFonts w:cstheme="minorHAnsi"/>
        </w:rPr>
        <w:t>programowania,</w:t>
      </w:r>
      <w:r w:rsidR="003B50ED">
        <w:rPr>
          <w:rFonts w:cstheme="minorHAnsi"/>
        </w:rPr>
        <w:t xml:space="preserve"> </w:t>
      </w:r>
      <w:r w:rsidRPr="00A26C26">
        <w:rPr>
          <w:rFonts w:cstheme="minorHAnsi"/>
        </w:rPr>
        <w:t>wsłuchując</w:t>
      </w:r>
      <w:r w:rsidR="003B50ED">
        <w:rPr>
          <w:rFonts w:cstheme="minorHAnsi"/>
        </w:rPr>
        <w:t xml:space="preserve"> </w:t>
      </w:r>
      <w:r w:rsidRPr="00A26C26">
        <w:rPr>
          <w:rFonts w:cstheme="minorHAnsi"/>
        </w:rPr>
        <w:t>się</w:t>
      </w:r>
      <w:r w:rsidR="003B50ED">
        <w:rPr>
          <w:rFonts w:cstheme="minorHAnsi"/>
        </w:rPr>
        <w:t xml:space="preserve"> </w:t>
      </w:r>
      <w:r w:rsidRPr="00A26C26">
        <w:rPr>
          <w:rFonts w:cstheme="minorHAnsi"/>
        </w:rPr>
        <w:t>jednocześnie</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potrzeby</w:t>
      </w:r>
      <w:r w:rsidR="003B50ED">
        <w:rPr>
          <w:rFonts w:cstheme="minorHAnsi"/>
        </w:rPr>
        <w:t xml:space="preserve"> </w:t>
      </w:r>
      <w:r w:rsidRPr="00A26C26">
        <w:rPr>
          <w:rFonts w:cstheme="minorHAnsi"/>
        </w:rPr>
        <w:t>zgłaszane</w:t>
      </w:r>
      <w:r w:rsidR="003B50ED">
        <w:rPr>
          <w:rFonts w:cstheme="minorHAnsi"/>
        </w:rPr>
        <w:t xml:space="preserve"> </w:t>
      </w:r>
      <w:r w:rsidRPr="00A26C26">
        <w:rPr>
          <w:rFonts w:cstheme="minorHAnsi"/>
        </w:rPr>
        <w:t>przez</w:t>
      </w:r>
      <w:r w:rsidR="003B50ED">
        <w:rPr>
          <w:rFonts w:cstheme="minorHAnsi"/>
        </w:rPr>
        <w:t xml:space="preserve"> </w:t>
      </w:r>
      <w:r w:rsidRPr="00A26C26">
        <w:rPr>
          <w:rFonts w:cstheme="minorHAnsi"/>
        </w:rPr>
        <w:t>mieszkańców</w:t>
      </w:r>
      <w:r w:rsidR="003B50ED">
        <w:rPr>
          <w:rFonts w:cstheme="minorHAnsi"/>
        </w:rPr>
        <w:t xml:space="preserve"> </w:t>
      </w:r>
      <w:r w:rsidRPr="00A26C26">
        <w:rPr>
          <w:rFonts w:cstheme="minorHAnsi"/>
        </w:rPr>
        <w:t>zamierza</w:t>
      </w:r>
      <w:r w:rsidR="003B50ED">
        <w:rPr>
          <w:rFonts w:cstheme="minorHAnsi"/>
        </w:rPr>
        <w:t xml:space="preserve"> </w:t>
      </w:r>
      <w:r w:rsidRPr="00A26C26">
        <w:rPr>
          <w:rFonts w:cstheme="minorHAnsi"/>
        </w:rPr>
        <w:t>pogłębić</w:t>
      </w:r>
      <w:r w:rsidR="003B50ED">
        <w:rPr>
          <w:rFonts w:cstheme="minorHAnsi"/>
        </w:rPr>
        <w:t xml:space="preserve"> </w:t>
      </w:r>
      <w:r w:rsidRPr="00A26C26">
        <w:rPr>
          <w:rFonts w:cstheme="minorHAnsi"/>
        </w:rPr>
        <w:t>możliwość</w:t>
      </w:r>
      <w:r w:rsidR="003B50ED">
        <w:rPr>
          <w:rFonts w:cstheme="minorHAnsi"/>
        </w:rPr>
        <w:t xml:space="preserve"> </w:t>
      </w:r>
      <w:r w:rsidRPr="00A26C26">
        <w:rPr>
          <w:rFonts w:cstheme="minorHAnsi"/>
        </w:rPr>
        <w:t>wpływu</w:t>
      </w:r>
      <w:r w:rsidR="003B50ED">
        <w:rPr>
          <w:rFonts w:cstheme="minorHAnsi"/>
        </w:rPr>
        <w:t xml:space="preserve"> </w:t>
      </w:r>
      <w:r w:rsidRPr="00A26C26">
        <w:rPr>
          <w:rFonts w:cstheme="minorHAnsi"/>
        </w:rPr>
        <w:t>mieszkańców</w:t>
      </w:r>
      <w:r w:rsidR="003B50ED">
        <w:rPr>
          <w:rFonts w:cstheme="minorHAnsi"/>
        </w:rPr>
        <w:t xml:space="preserve"> </w:t>
      </w:r>
      <w:r w:rsidRPr="00A26C26">
        <w:rPr>
          <w:rFonts w:cstheme="minorHAnsi"/>
        </w:rPr>
        <w:t>(szczególnie</w:t>
      </w:r>
      <w:r w:rsidR="003B50ED">
        <w:rPr>
          <w:rFonts w:cstheme="minorHAnsi"/>
        </w:rPr>
        <w:t xml:space="preserve"> </w:t>
      </w:r>
      <w:r w:rsidRPr="00A26C26">
        <w:rPr>
          <w:rFonts w:cstheme="minorHAnsi"/>
        </w:rPr>
        <w:t>członków</w:t>
      </w:r>
      <w:r w:rsidR="003B50ED">
        <w:rPr>
          <w:rFonts w:cstheme="minorHAnsi"/>
        </w:rPr>
        <w:t xml:space="preserve"> </w:t>
      </w:r>
      <w:r w:rsidRPr="00A26C26">
        <w:rPr>
          <w:rFonts w:cstheme="minorHAnsi"/>
        </w:rPr>
        <w:t>LGD)</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lastRenderedPageBreak/>
        <w:t>funkcjonowanie</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realizację</w:t>
      </w:r>
      <w:r w:rsidR="003B50ED">
        <w:rPr>
          <w:rFonts w:cstheme="minorHAnsi"/>
        </w:rPr>
        <w:t xml:space="preserve"> </w:t>
      </w:r>
      <w:r w:rsidRPr="00A26C26">
        <w:rPr>
          <w:rFonts w:cstheme="minorHAnsi"/>
        </w:rPr>
        <w:t>LSR.</w:t>
      </w:r>
      <w:r w:rsidR="003B50ED">
        <w:rPr>
          <w:rFonts w:cstheme="minorHAnsi"/>
        </w:rPr>
        <w:t xml:space="preserve"> </w:t>
      </w:r>
      <w:r w:rsidRPr="00A26C26">
        <w:rPr>
          <w:rFonts w:cstheme="minorHAnsi"/>
        </w:rPr>
        <w:t>Działania</w:t>
      </w:r>
      <w:r w:rsidR="003B50ED">
        <w:rPr>
          <w:rFonts w:cstheme="minorHAnsi"/>
        </w:rPr>
        <w:t xml:space="preserve"> </w:t>
      </w:r>
      <w:r w:rsidRPr="00A26C26">
        <w:rPr>
          <w:rFonts w:cstheme="minorHAnsi"/>
        </w:rPr>
        <w:t>te</w:t>
      </w:r>
      <w:r w:rsidR="003B50ED">
        <w:rPr>
          <w:rFonts w:cstheme="minorHAnsi"/>
        </w:rPr>
        <w:t xml:space="preserve"> </w:t>
      </w:r>
      <w:r w:rsidRPr="00A26C26">
        <w:rPr>
          <w:rFonts w:cstheme="minorHAnsi"/>
        </w:rPr>
        <w:t>będą</w:t>
      </w:r>
      <w:r w:rsidR="003B50ED">
        <w:rPr>
          <w:rFonts w:cstheme="minorHAnsi"/>
        </w:rPr>
        <w:t xml:space="preserve"> </w:t>
      </w:r>
      <w:r w:rsidRPr="00A26C26">
        <w:rPr>
          <w:rFonts w:cstheme="minorHAnsi"/>
        </w:rPr>
        <w:t>miały</w:t>
      </w:r>
      <w:r w:rsidR="003B50ED">
        <w:rPr>
          <w:rFonts w:cstheme="minorHAnsi"/>
        </w:rPr>
        <w:t xml:space="preserve"> </w:t>
      </w:r>
      <w:r w:rsidRPr="00A26C26">
        <w:rPr>
          <w:rFonts w:cstheme="minorHAnsi"/>
        </w:rPr>
        <w:t>dodatkowy</w:t>
      </w:r>
      <w:r w:rsidR="003B50ED">
        <w:rPr>
          <w:rFonts w:cstheme="minorHAnsi"/>
        </w:rPr>
        <w:t xml:space="preserve"> </w:t>
      </w:r>
      <w:r w:rsidRPr="00A26C26">
        <w:rPr>
          <w:rFonts w:cstheme="minorHAnsi"/>
        </w:rPr>
        <w:t>cel</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postaci</w:t>
      </w:r>
      <w:r w:rsidR="003B50ED">
        <w:rPr>
          <w:rFonts w:cstheme="minorHAnsi"/>
        </w:rPr>
        <w:t xml:space="preserve"> </w:t>
      </w:r>
      <w:r w:rsidRPr="00A26C26">
        <w:rPr>
          <w:rFonts w:cstheme="minorHAnsi"/>
        </w:rPr>
        <w:t>zaangażowania</w:t>
      </w:r>
      <w:r w:rsidR="003B50ED">
        <w:rPr>
          <w:rFonts w:cstheme="minorHAnsi"/>
        </w:rPr>
        <w:t xml:space="preserve"> </w:t>
      </w:r>
      <w:r w:rsidRPr="00A26C26">
        <w:rPr>
          <w:rFonts w:cstheme="minorHAnsi"/>
        </w:rPr>
        <w:t>ludzi</w:t>
      </w:r>
      <w:r w:rsidR="003B50ED">
        <w:rPr>
          <w:rFonts w:cstheme="minorHAnsi"/>
        </w:rPr>
        <w:t xml:space="preserve"> </w:t>
      </w:r>
      <w:r w:rsidRPr="00A26C26">
        <w:rPr>
          <w:rFonts w:cstheme="minorHAnsi"/>
        </w:rPr>
        <w:t>młodych,</w:t>
      </w:r>
      <w:r w:rsidR="003B50ED">
        <w:rPr>
          <w:rFonts w:cstheme="minorHAnsi"/>
        </w:rPr>
        <w:t xml:space="preserve"> </w:t>
      </w:r>
      <w:r w:rsidRPr="00A26C26">
        <w:rPr>
          <w:rFonts w:cstheme="minorHAnsi"/>
        </w:rPr>
        <w:t>seniorów</w:t>
      </w:r>
      <w:r w:rsidR="003B50ED">
        <w:rPr>
          <w:rFonts w:cstheme="minorHAnsi"/>
        </w:rPr>
        <w:t xml:space="preserve"> </w:t>
      </w:r>
      <w:r w:rsidRPr="00A26C26">
        <w:rPr>
          <w:rFonts w:cstheme="minorHAnsi"/>
        </w:rPr>
        <w:t>oraz</w:t>
      </w:r>
      <w:r w:rsidR="003B50ED">
        <w:rPr>
          <w:rFonts w:cstheme="minorHAnsi"/>
        </w:rPr>
        <w:t xml:space="preserve"> </w:t>
      </w:r>
      <w:r w:rsidRPr="00A26C26">
        <w:rPr>
          <w:rFonts w:cstheme="minorHAnsi"/>
        </w:rPr>
        <w:t>osób</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niekorzystnej</w:t>
      </w:r>
      <w:r w:rsidR="003B50ED">
        <w:rPr>
          <w:rFonts w:cstheme="minorHAnsi"/>
        </w:rPr>
        <w:t xml:space="preserve"> </w:t>
      </w:r>
      <w:r w:rsidRPr="00A26C26">
        <w:rPr>
          <w:rFonts w:cstheme="minorHAnsi"/>
        </w:rPr>
        <w:t>sytuacji</w:t>
      </w:r>
      <w:r w:rsidR="003B50ED">
        <w:rPr>
          <w:rFonts w:cstheme="minorHAnsi"/>
        </w:rPr>
        <w:t xml:space="preserve"> </w:t>
      </w:r>
      <w:r w:rsidRPr="00A26C26">
        <w:rPr>
          <w:rFonts w:cstheme="minorHAnsi"/>
        </w:rPr>
        <w:t>do</w:t>
      </w:r>
      <w:r w:rsidR="003B50ED">
        <w:rPr>
          <w:rFonts w:cstheme="minorHAnsi"/>
        </w:rPr>
        <w:t xml:space="preserve"> </w:t>
      </w:r>
      <w:r w:rsidRPr="00A26C26">
        <w:rPr>
          <w:rFonts w:cstheme="minorHAnsi"/>
        </w:rPr>
        <w:t>realnego</w:t>
      </w:r>
      <w:r w:rsidR="003B50ED">
        <w:rPr>
          <w:rFonts w:cstheme="minorHAnsi"/>
        </w:rPr>
        <w:t xml:space="preserve"> </w:t>
      </w:r>
      <w:r w:rsidRPr="00A26C26">
        <w:rPr>
          <w:rFonts w:cstheme="minorHAnsi"/>
        </w:rPr>
        <w:t>działania</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rzecz</w:t>
      </w:r>
      <w:r w:rsidR="003B50ED">
        <w:rPr>
          <w:rFonts w:cstheme="minorHAnsi"/>
        </w:rPr>
        <w:t xml:space="preserve"> </w:t>
      </w:r>
      <w:r w:rsidRPr="00A26C26">
        <w:rPr>
          <w:rFonts w:cstheme="minorHAnsi"/>
        </w:rPr>
        <w:t>swojej</w:t>
      </w:r>
      <w:r w:rsidR="003B50ED">
        <w:rPr>
          <w:rFonts w:cstheme="minorHAnsi"/>
        </w:rPr>
        <w:t xml:space="preserve"> </w:t>
      </w:r>
      <w:r w:rsidRPr="00A26C26">
        <w:rPr>
          <w:rFonts w:cstheme="minorHAnsi"/>
        </w:rPr>
        <w:t>Małej</w:t>
      </w:r>
      <w:r w:rsidR="003B50ED">
        <w:rPr>
          <w:rFonts w:cstheme="minorHAnsi"/>
        </w:rPr>
        <w:t xml:space="preserve"> </w:t>
      </w:r>
      <w:r w:rsidRPr="00A26C26">
        <w:rPr>
          <w:rFonts w:cstheme="minorHAnsi"/>
        </w:rPr>
        <w:t>Ojczyzny.</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przypadku</w:t>
      </w:r>
      <w:r w:rsidR="003B50ED">
        <w:rPr>
          <w:rFonts w:cstheme="minorHAnsi"/>
        </w:rPr>
        <w:t xml:space="preserve"> </w:t>
      </w:r>
      <w:r w:rsidRPr="00A26C26">
        <w:rPr>
          <w:rFonts w:cstheme="minorHAnsi"/>
        </w:rPr>
        <w:t>ludzi</w:t>
      </w:r>
      <w:r w:rsidR="003B50ED">
        <w:rPr>
          <w:rFonts w:cstheme="minorHAnsi"/>
        </w:rPr>
        <w:t xml:space="preserve"> </w:t>
      </w:r>
      <w:r w:rsidRPr="00A26C26">
        <w:rPr>
          <w:rFonts w:cstheme="minorHAnsi"/>
        </w:rPr>
        <w:t>młodych</w:t>
      </w:r>
      <w:r w:rsidR="003B50ED">
        <w:rPr>
          <w:rFonts w:cstheme="minorHAnsi"/>
        </w:rPr>
        <w:t xml:space="preserve"> </w:t>
      </w:r>
      <w:r w:rsidRPr="00A26C26">
        <w:rPr>
          <w:rFonts w:cstheme="minorHAnsi"/>
        </w:rPr>
        <w:t>daje</w:t>
      </w:r>
      <w:r w:rsidR="003B50ED">
        <w:rPr>
          <w:rFonts w:cstheme="minorHAnsi"/>
        </w:rPr>
        <w:t xml:space="preserve"> </w:t>
      </w:r>
      <w:r w:rsidRPr="00A26C26">
        <w:rPr>
          <w:rFonts w:cstheme="minorHAnsi"/>
        </w:rPr>
        <w:t>to</w:t>
      </w:r>
      <w:r w:rsidR="003B50ED">
        <w:rPr>
          <w:rFonts w:cstheme="minorHAnsi"/>
        </w:rPr>
        <w:t xml:space="preserve"> </w:t>
      </w:r>
      <w:r w:rsidRPr="00A26C26">
        <w:rPr>
          <w:rFonts w:cstheme="minorHAnsi"/>
        </w:rPr>
        <w:t>nadzieję</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zmniejszenie</w:t>
      </w:r>
      <w:r w:rsidR="003B50ED">
        <w:rPr>
          <w:rFonts w:cstheme="minorHAnsi"/>
        </w:rPr>
        <w:t xml:space="preserve"> </w:t>
      </w:r>
      <w:r w:rsidRPr="00A26C26">
        <w:rPr>
          <w:rFonts w:cstheme="minorHAnsi"/>
        </w:rPr>
        <w:t>–</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dalszej</w:t>
      </w:r>
      <w:r w:rsidR="003B50ED">
        <w:rPr>
          <w:rFonts w:cstheme="minorHAnsi"/>
        </w:rPr>
        <w:t xml:space="preserve"> </w:t>
      </w:r>
      <w:r w:rsidRPr="00A26C26">
        <w:rPr>
          <w:rFonts w:cstheme="minorHAnsi"/>
        </w:rPr>
        <w:t>perspektywie</w:t>
      </w:r>
      <w:r w:rsidR="003B50ED">
        <w:rPr>
          <w:rFonts w:cstheme="minorHAnsi"/>
        </w:rPr>
        <w:t xml:space="preserve"> </w:t>
      </w:r>
      <w:r w:rsidRPr="00A26C26">
        <w:rPr>
          <w:rFonts w:cstheme="minorHAnsi"/>
        </w:rPr>
        <w:t>-</w:t>
      </w:r>
      <w:r w:rsidR="003B50ED">
        <w:rPr>
          <w:rFonts w:cstheme="minorHAnsi"/>
        </w:rPr>
        <w:t xml:space="preserve"> </w:t>
      </w:r>
      <w:r w:rsidRPr="00A26C26">
        <w:rPr>
          <w:rFonts w:cstheme="minorHAnsi"/>
        </w:rPr>
        <w:t>poziomu</w:t>
      </w:r>
      <w:r w:rsidR="003B50ED">
        <w:rPr>
          <w:rFonts w:cstheme="minorHAnsi"/>
        </w:rPr>
        <w:t xml:space="preserve"> </w:t>
      </w:r>
      <w:r w:rsidRPr="00A26C26">
        <w:rPr>
          <w:rFonts w:cstheme="minorHAnsi"/>
        </w:rPr>
        <w:t>migracji</w:t>
      </w:r>
      <w:r w:rsidR="003B50ED">
        <w:rPr>
          <w:rFonts w:cstheme="minorHAnsi"/>
        </w:rPr>
        <w:t xml:space="preserve"> </w:t>
      </w:r>
      <w:r w:rsidRPr="00A26C26">
        <w:rPr>
          <w:rFonts w:cstheme="minorHAnsi"/>
        </w:rPr>
        <w:t>do</w:t>
      </w:r>
      <w:r w:rsidR="003B50ED">
        <w:rPr>
          <w:rFonts w:cstheme="minorHAnsi"/>
        </w:rPr>
        <w:t xml:space="preserve"> </w:t>
      </w:r>
      <w:r w:rsidRPr="00A26C26">
        <w:rPr>
          <w:rFonts w:cstheme="minorHAnsi"/>
        </w:rPr>
        <w:t>dużych</w:t>
      </w:r>
      <w:r w:rsidR="003B50ED">
        <w:rPr>
          <w:rFonts w:cstheme="minorHAnsi"/>
        </w:rPr>
        <w:t xml:space="preserve"> </w:t>
      </w:r>
      <w:r w:rsidRPr="00A26C26">
        <w:rPr>
          <w:rFonts w:cstheme="minorHAnsi"/>
        </w:rPr>
        <w:t>ośrodków</w:t>
      </w:r>
      <w:r w:rsidR="003B50ED">
        <w:rPr>
          <w:rFonts w:cstheme="minorHAnsi"/>
        </w:rPr>
        <w:t xml:space="preserve"> </w:t>
      </w:r>
      <w:r w:rsidRPr="00A26C26">
        <w:rPr>
          <w:rFonts w:cstheme="minorHAnsi"/>
        </w:rPr>
        <w:t>miejskich.</w:t>
      </w:r>
      <w:r w:rsidR="003B50ED">
        <w:rPr>
          <w:rFonts w:cstheme="minorHAnsi"/>
        </w:rPr>
        <w:t xml:space="preserve"> </w:t>
      </w:r>
    </w:p>
    <w:p w14:paraId="6C287BBE" w14:textId="4A3F70D4" w:rsidR="00C71928" w:rsidRPr="00F16251" w:rsidRDefault="00D85DCE" w:rsidP="00A26C26">
      <w:pPr>
        <w:spacing w:line="276" w:lineRule="auto"/>
        <w:ind w:firstLine="284"/>
        <w:jc w:val="both"/>
        <w:rPr>
          <w:rFonts w:eastAsia="Times New Roman" w:cstheme="minorHAnsi"/>
          <w:kern w:val="0"/>
          <w:lang w:eastAsia="pl-PL"/>
          <w14:ligatures w14:val="none"/>
        </w:rPr>
      </w:pPr>
      <w:r>
        <w:rPr>
          <w:rFonts w:eastAsia="Times New Roman" w:cstheme="minorHAnsi"/>
          <w:kern w:val="0"/>
          <w:lang w:eastAsia="pl-PL"/>
          <w14:ligatures w14:val="none"/>
        </w:rPr>
        <w:t>U</w:t>
      </w:r>
      <w:r w:rsidR="00C71928" w:rsidRPr="00A26C26">
        <w:rPr>
          <w:rFonts w:eastAsia="Times New Roman" w:cstheme="minorHAnsi"/>
          <w:kern w:val="0"/>
          <w:lang w:eastAsia="pl-PL"/>
          <w14:ligatures w14:val="none"/>
        </w:rPr>
        <w:t>zyskan</w:t>
      </w:r>
      <w:r>
        <w:rPr>
          <w:rFonts w:eastAsia="Times New Roman" w:cstheme="minorHAnsi"/>
          <w:kern w:val="0"/>
          <w:lang w:eastAsia="pl-PL"/>
          <w14:ligatures w14:val="none"/>
        </w:rPr>
        <w:t>a</w:t>
      </w:r>
      <w:r w:rsidR="003B50ED">
        <w:rPr>
          <w:rFonts w:eastAsia="Times New Roman" w:cstheme="minorHAnsi"/>
          <w:kern w:val="0"/>
          <w:lang w:eastAsia="pl-PL"/>
          <w14:ligatures w14:val="none"/>
        </w:rPr>
        <w:t xml:space="preserve"> </w:t>
      </w:r>
      <w:r w:rsidR="00C71928" w:rsidRPr="00A26C26">
        <w:rPr>
          <w:rFonts w:eastAsia="Times New Roman" w:cstheme="minorHAnsi"/>
          <w:kern w:val="0"/>
          <w:lang w:eastAsia="pl-PL"/>
          <w14:ligatures w14:val="none"/>
        </w:rPr>
        <w:t>po</w:t>
      </w:r>
      <w:r w:rsidR="003B50ED">
        <w:rPr>
          <w:rFonts w:eastAsia="Times New Roman" w:cstheme="minorHAnsi"/>
          <w:kern w:val="0"/>
          <w:lang w:eastAsia="pl-PL"/>
          <w14:ligatures w14:val="none"/>
        </w:rPr>
        <w:t xml:space="preserve"> </w:t>
      </w:r>
      <w:r w:rsidR="00C71928" w:rsidRPr="00A26C26">
        <w:rPr>
          <w:rFonts w:eastAsia="Times New Roman" w:cstheme="minorHAnsi"/>
          <w:kern w:val="0"/>
          <w:lang w:eastAsia="pl-PL"/>
          <w14:ligatures w14:val="none"/>
        </w:rPr>
        <w:t>zawarciu</w:t>
      </w:r>
      <w:r w:rsidR="003B50ED">
        <w:rPr>
          <w:rFonts w:eastAsia="Times New Roman" w:cstheme="minorHAnsi"/>
          <w:kern w:val="0"/>
          <w:lang w:eastAsia="pl-PL"/>
          <w14:ligatures w14:val="none"/>
        </w:rPr>
        <w:t xml:space="preserve"> </w:t>
      </w:r>
      <w:r w:rsidR="00C71928" w:rsidRPr="00A26C26">
        <w:rPr>
          <w:rFonts w:eastAsia="Times New Roman" w:cstheme="minorHAnsi"/>
          <w:kern w:val="0"/>
          <w:lang w:eastAsia="pl-PL"/>
          <w14:ligatures w14:val="none"/>
        </w:rPr>
        <w:t>umowy</w:t>
      </w:r>
      <w:r w:rsidR="003B50ED">
        <w:rPr>
          <w:rFonts w:eastAsia="Times New Roman" w:cstheme="minorHAnsi"/>
          <w:kern w:val="0"/>
          <w:lang w:eastAsia="pl-PL"/>
          <w14:ligatures w14:val="none"/>
        </w:rPr>
        <w:t xml:space="preserve"> </w:t>
      </w:r>
      <w:r w:rsidR="00C71928" w:rsidRPr="00A26C26">
        <w:rPr>
          <w:rFonts w:eastAsia="Times New Roman" w:cstheme="minorHAnsi"/>
          <w:kern w:val="0"/>
          <w:lang w:eastAsia="pl-PL"/>
          <w14:ligatures w14:val="none"/>
        </w:rPr>
        <w:t>w</w:t>
      </w:r>
      <w:r w:rsidR="003B50ED">
        <w:rPr>
          <w:rFonts w:eastAsia="Times New Roman" w:cstheme="minorHAnsi"/>
          <w:kern w:val="0"/>
          <w:lang w:eastAsia="pl-PL"/>
          <w14:ligatures w14:val="none"/>
        </w:rPr>
        <w:t xml:space="preserve"> </w:t>
      </w:r>
      <w:r w:rsidR="00C71928" w:rsidRPr="00A26C26">
        <w:rPr>
          <w:rFonts w:eastAsia="Times New Roman" w:cstheme="minorHAnsi"/>
          <w:kern w:val="0"/>
          <w:lang w:eastAsia="pl-PL"/>
          <w14:ligatures w14:val="none"/>
        </w:rPr>
        <w:t>ramach</w:t>
      </w:r>
      <w:r w:rsidR="003B50ED">
        <w:rPr>
          <w:rFonts w:eastAsia="Times New Roman" w:cstheme="minorHAnsi"/>
          <w:kern w:val="0"/>
          <w:lang w:eastAsia="pl-PL"/>
          <w14:ligatures w14:val="none"/>
        </w:rPr>
        <w:t xml:space="preserve"> </w:t>
      </w:r>
      <w:r w:rsidR="00C71928" w:rsidRPr="00A26C26">
        <w:rPr>
          <w:rFonts w:eastAsia="Times New Roman" w:cstheme="minorHAnsi"/>
          <w:kern w:val="0"/>
          <w:lang w:eastAsia="pl-PL"/>
          <w14:ligatures w14:val="none"/>
        </w:rPr>
        <w:t>komponentu</w:t>
      </w:r>
      <w:r w:rsidR="003B50ED">
        <w:rPr>
          <w:rFonts w:eastAsia="Times New Roman" w:cstheme="minorHAnsi"/>
          <w:kern w:val="0"/>
          <w:lang w:eastAsia="pl-PL"/>
          <w14:ligatures w14:val="none"/>
        </w:rPr>
        <w:t xml:space="preserve"> </w:t>
      </w:r>
      <w:r w:rsidR="00C71928" w:rsidRPr="00A26C26">
        <w:rPr>
          <w:rFonts w:eastAsia="Times New Roman" w:cstheme="minorHAnsi"/>
          <w:kern w:val="0"/>
          <w:lang w:eastAsia="pl-PL"/>
          <w14:ligatures w14:val="none"/>
        </w:rPr>
        <w:t>Zarządzanie</w:t>
      </w:r>
      <w:r w:rsidR="003B50ED">
        <w:rPr>
          <w:rFonts w:eastAsia="Times New Roman" w:cstheme="minorHAnsi"/>
          <w:kern w:val="0"/>
          <w:lang w:eastAsia="pl-PL"/>
          <w14:ligatures w14:val="none"/>
        </w:rPr>
        <w:t xml:space="preserve"> </w:t>
      </w:r>
      <w:r w:rsidR="00C71928" w:rsidRPr="00A26C26">
        <w:rPr>
          <w:rFonts w:eastAsia="Times New Roman" w:cstheme="minorHAnsi"/>
          <w:kern w:val="0"/>
          <w:lang w:eastAsia="pl-PL"/>
          <w14:ligatures w14:val="none"/>
        </w:rPr>
        <w:t>LSR,</w:t>
      </w:r>
      <w:r w:rsidR="003B50ED">
        <w:rPr>
          <w:rFonts w:eastAsia="Times New Roman" w:cstheme="minorHAnsi"/>
          <w:kern w:val="0"/>
          <w:lang w:eastAsia="pl-PL"/>
          <w14:ligatures w14:val="none"/>
        </w:rPr>
        <w:t xml:space="preserve"> </w:t>
      </w:r>
      <w:r>
        <w:rPr>
          <w:rFonts w:eastAsia="Times New Roman" w:cstheme="minorHAnsi"/>
          <w:kern w:val="0"/>
          <w:lang w:eastAsia="pl-PL"/>
          <w14:ligatures w14:val="none"/>
        </w:rPr>
        <w:t xml:space="preserve">zaliczka finansowa, </w:t>
      </w:r>
      <w:r w:rsidR="00C71928" w:rsidRPr="00A26C26">
        <w:rPr>
          <w:rFonts w:eastAsia="Times New Roman" w:cstheme="minorHAnsi"/>
          <w:kern w:val="0"/>
          <w:lang w:eastAsia="pl-PL"/>
          <w14:ligatures w14:val="none"/>
        </w:rPr>
        <w:t>zapewni</w:t>
      </w:r>
      <w:r>
        <w:rPr>
          <w:rFonts w:eastAsia="Times New Roman" w:cstheme="minorHAnsi"/>
          <w:kern w:val="0"/>
          <w:lang w:eastAsia="pl-PL"/>
          <w14:ligatures w14:val="none"/>
        </w:rPr>
        <w:t xml:space="preserve"> </w:t>
      </w:r>
      <w:r w:rsidR="00C71928" w:rsidRPr="00A26C26">
        <w:rPr>
          <w:rFonts w:eastAsia="Times New Roman" w:cstheme="minorHAnsi"/>
          <w:kern w:val="0"/>
          <w:lang w:eastAsia="pl-PL"/>
          <w14:ligatures w14:val="none"/>
        </w:rPr>
        <w:t>LGD</w:t>
      </w:r>
      <w:r w:rsidR="003B50ED">
        <w:rPr>
          <w:rFonts w:eastAsia="Times New Roman" w:cstheme="minorHAnsi"/>
          <w:kern w:val="0"/>
          <w:lang w:eastAsia="pl-PL"/>
          <w14:ligatures w14:val="none"/>
        </w:rPr>
        <w:t xml:space="preserve"> </w:t>
      </w:r>
      <w:r w:rsidR="00C71928" w:rsidRPr="00A26C26">
        <w:rPr>
          <w:rFonts w:eastAsia="Times New Roman" w:cstheme="minorHAnsi"/>
          <w:kern w:val="0"/>
          <w:lang w:eastAsia="pl-PL"/>
          <w14:ligatures w14:val="none"/>
        </w:rPr>
        <w:t>możliwość</w:t>
      </w:r>
      <w:r w:rsidR="003B50ED">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niezwłocznego</w:t>
      </w:r>
      <w:r w:rsidR="003B50ED" w:rsidRPr="00F16251">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przystąpienia</w:t>
      </w:r>
      <w:r w:rsidR="003B50ED" w:rsidRPr="00F16251">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do</w:t>
      </w:r>
      <w:r w:rsidR="003B50ED" w:rsidRPr="00F16251">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realizacji</w:t>
      </w:r>
      <w:r w:rsidR="003B50ED" w:rsidRPr="00F16251">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zadań</w:t>
      </w:r>
      <w:r w:rsidR="003B50ED" w:rsidRPr="00F16251">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związanych</w:t>
      </w:r>
      <w:r w:rsidR="003B50ED" w:rsidRPr="00F16251">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z</w:t>
      </w:r>
      <w:r w:rsidR="003B50ED" w:rsidRPr="00F16251">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ogłaszaniem</w:t>
      </w:r>
      <w:r w:rsidR="003B50ED" w:rsidRPr="00F16251">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naborów</w:t>
      </w:r>
      <w:r w:rsidR="003B50ED" w:rsidRPr="00F16251">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wniosków,</w:t>
      </w:r>
      <w:r w:rsidR="003B50ED" w:rsidRPr="00F16251">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doradztwem</w:t>
      </w:r>
      <w:r w:rsidR="003B50ED" w:rsidRPr="00F16251">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i</w:t>
      </w:r>
      <w:r w:rsidR="003B50ED" w:rsidRPr="00F16251">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animowaniem.</w:t>
      </w:r>
      <w:r w:rsidR="003B50ED" w:rsidRPr="00F16251">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Będą</w:t>
      </w:r>
      <w:r w:rsidR="003B50ED" w:rsidRPr="00F16251">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one</w:t>
      </w:r>
      <w:r w:rsidR="003B50ED" w:rsidRPr="00F16251">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poprzedzone</w:t>
      </w:r>
      <w:r w:rsidR="003B50ED" w:rsidRPr="00F16251">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działaniami</w:t>
      </w:r>
      <w:r w:rsidR="003B50ED" w:rsidRPr="00F16251">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aktywizującymi</w:t>
      </w:r>
      <w:r w:rsidR="003B50ED" w:rsidRPr="00F16251">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i</w:t>
      </w:r>
      <w:r w:rsidR="003B50ED" w:rsidRPr="00F16251">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animującymi</w:t>
      </w:r>
      <w:r w:rsidR="003B50ED" w:rsidRPr="00F16251">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skierowanymi</w:t>
      </w:r>
      <w:r w:rsidR="003B50ED" w:rsidRPr="00F16251">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do</w:t>
      </w:r>
      <w:r w:rsidR="003B50ED" w:rsidRPr="00F16251">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potencjalnych</w:t>
      </w:r>
      <w:r w:rsidR="003B50ED" w:rsidRPr="00F16251">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beneficjentów</w:t>
      </w:r>
      <w:r w:rsidR="003B50ED" w:rsidRPr="00F16251">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oraz</w:t>
      </w:r>
      <w:r w:rsidR="003B50ED" w:rsidRPr="00F16251">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mieszkańców</w:t>
      </w:r>
      <w:r w:rsidR="003B50ED" w:rsidRPr="00F16251">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obszaru</w:t>
      </w:r>
      <w:r w:rsidR="003B50ED" w:rsidRPr="00F16251">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LSR.</w:t>
      </w:r>
      <w:r w:rsidR="003B50ED" w:rsidRPr="00F16251">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Działania</w:t>
      </w:r>
      <w:r w:rsidR="003B50ED" w:rsidRPr="00F16251">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te</w:t>
      </w:r>
      <w:r w:rsidR="003B50ED" w:rsidRPr="00F16251">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będą</w:t>
      </w:r>
      <w:r w:rsidR="003B50ED" w:rsidRPr="00F16251">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mieć</w:t>
      </w:r>
      <w:r w:rsidR="003B50ED" w:rsidRPr="00F16251">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charakter</w:t>
      </w:r>
      <w:r w:rsidR="003B50ED" w:rsidRPr="00F16251">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niekomercyjny</w:t>
      </w:r>
      <w:r w:rsidR="003B50ED" w:rsidRPr="00F16251">
        <w:rPr>
          <w:rFonts w:eastAsia="Times New Roman" w:cstheme="minorHAnsi"/>
          <w:kern w:val="0"/>
          <w:lang w:eastAsia="pl-PL"/>
          <w14:ligatures w14:val="none"/>
        </w:rPr>
        <w:t xml:space="preserve"> </w:t>
      </w:r>
      <w:r w:rsidR="001B19FE">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i</w:t>
      </w:r>
      <w:r w:rsidR="003B50ED" w:rsidRPr="00F16251">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otwarty.</w:t>
      </w:r>
      <w:r w:rsidR="003B50ED" w:rsidRPr="00F16251">
        <w:rPr>
          <w:rFonts w:eastAsia="Times New Roman" w:cstheme="minorHAnsi"/>
          <w:kern w:val="0"/>
          <w:lang w:eastAsia="pl-PL"/>
          <w14:ligatures w14:val="none"/>
        </w:rPr>
        <w:t xml:space="preserve"> </w:t>
      </w:r>
    </w:p>
    <w:p w14:paraId="682022FB" w14:textId="42F3BE2D" w:rsidR="00C71928" w:rsidRPr="00A26C26" w:rsidRDefault="00D85DCE" w:rsidP="00F16251">
      <w:pPr>
        <w:spacing w:line="276" w:lineRule="auto"/>
        <w:ind w:firstLine="284"/>
        <w:jc w:val="both"/>
        <w:rPr>
          <w:rFonts w:cstheme="minorHAnsi"/>
        </w:rPr>
      </w:pPr>
      <w:r w:rsidRPr="00F16251">
        <w:rPr>
          <w:rFonts w:eastAsia="Times New Roman" w:cstheme="minorHAnsi"/>
          <w:kern w:val="0"/>
          <w:lang w:eastAsia="pl-PL"/>
          <w14:ligatures w14:val="none"/>
        </w:rPr>
        <w:t>Nowy okres programowania</w:t>
      </w:r>
      <w:r w:rsidR="0035174A" w:rsidRPr="00F16251">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to</w:t>
      </w:r>
      <w:r w:rsidR="003B50ED" w:rsidRPr="00F16251">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nowe</w:t>
      </w:r>
      <w:r w:rsidR="003B50ED" w:rsidRPr="00F16251">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wyzwania</w:t>
      </w:r>
      <w:r w:rsidR="003B50ED" w:rsidRPr="00F16251">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w</w:t>
      </w:r>
      <w:r w:rsidR="003B50ED" w:rsidRPr="00F16251">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szczególności</w:t>
      </w:r>
      <w:r w:rsidR="003B50ED" w:rsidRPr="00F16251">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dla</w:t>
      </w:r>
      <w:r w:rsidR="003B50ED" w:rsidRPr="00F16251">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poszczególnych</w:t>
      </w:r>
      <w:r w:rsidR="003B50ED" w:rsidRPr="00F16251">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grup</w:t>
      </w:r>
      <w:r w:rsidR="003B50ED" w:rsidRPr="00F16251">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odbiorców.</w:t>
      </w:r>
      <w:r w:rsidR="003B50ED" w:rsidRPr="00F16251">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Dlatego</w:t>
      </w:r>
      <w:r w:rsidR="003B50ED" w:rsidRPr="00F16251">
        <w:rPr>
          <w:rFonts w:eastAsia="Times New Roman" w:cstheme="minorHAnsi"/>
          <w:kern w:val="0"/>
          <w:lang w:eastAsia="pl-PL"/>
          <w14:ligatures w14:val="none"/>
        </w:rPr>
        <w:t xml:space="preserve"> </w:t>
      </w:r>
      <w:r w:rsidR="0035174A" w:rsidRPr="00F16251">
        <w:rPr>
          <w:rFonts w:eastAsia="Times New Roman" w:cstheme="minorHAnsi"/>
          <w:kern w:val="0"/>
          <w:lang w:eastAsia="pl-PL"/>
          <w14:ligatures w14:val="none"/>
        </w:rPr>
        <w:br/>
      </w:r>
      <w:r w:rsidR="00C71928" w:rsidRPr="00F16251">
        <w:rPr>
          <w:rFonts w:eastAsia="Times New Roman" w:cstheme="minorHAnsi"/>
          <w:kern w:val="0"/>
          <w:lang w:eastAsia="pl-PL"/>
          <w14:ligatures w14:val="none"/>
        </w:rPr>
        <w:t>w</w:t>
      </w:r>
      <w:r w:rsidR="003B50ED" w:rsidRPr="00F16251">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początkowym</w:t>
      </w:r>
      <w:r w:rsidR="003B50ED" w:rsidRPr="00F16251">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etapie</w:t>
      </w:r>
      <w:r w:rsidR="003B50ED" w:rsidRPr="00F16251">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LGD</w:t>
      </w:r>
      <w:r w:rsidR="003B50ED" w:rsidRPr="00F16251">
        <w:rPr>
          <w:rFonts w:eastAsia="Times New Roman" w:cstheme="minorHAnsi"/>
          <w:kern w:val="0"/>
          <w:lang w:eastAsia="pl-PL"/>
          <w14:ligatures w14:val="none"/>
        </w:rPr>
        <w:t xml:space="preserve"> </w:t>
      </w:r>
      <w:r w:rsidR="00C71928" w:rsidRPr="00F16251">
        <w:rPr>
          <w:rFonts w:eastAsia="Times New Roman" w:cstheme="minorHAnsi"/>
          <w:kern w:val="0"/>
          <w:lang w:eastAsia="pl-PL"/>
          <w14:ligatures w14:val="none"/>
        </w:rPr>
        <w:t>przewiduje</w:t>
      </w:r>
      <w:r w:rsidR="003B50ED">
        <w:rPr>
          <w:rFonts w:eastAsia="Times New Roman" w:cstheme="minorHAnsi"/>
          <w:kern w:val="0"/>
          <w:lang w:eastAsia="pl-PL"/>
          <w14:ligatures w14:val="none"/>
        </w:rPr>
        <w:t xml:space="preserve"> </w:t>
      </w:r>
      <w:r w:rsidR="00C71928" w:rsidRPr="00A26C26">
        <w:rPr>
          <w:rFonts w:eastAsia="Times New Roman" w:cstheme="minorHAnsi"/>
          <w:kern w:val="0"/>
          <w:lang w:eastAsia="pl-PL"/>
          <w14:ligatures w14:val="none"/>
        </w:rPr>
        <w:t>uruchomienie</w:t>
      </w:r>
      <w:r w:rsidR="003B50ED">
        <w:rPr>
          <w:rFonts w:eastAsia="Times New Roman" w:cstheme="minorHAnsi"/>
          <w:kern w:val="0"/>
          <w:lang w:eastAsia="pl-PL"/>
          <w14:ligatures w14:val="none"/>
        </w:rPr>
        <w:t xml:space="preserve"> </w:t>
      </w:r>
      <w:r w:rsidR="00C71928" w:rsidRPr="00A26C26">
        <w:rPr>
          <w:rFonts w:eastAsia="Times New Roman" w:cstheme="minorHAnsi"/>
          <w:kern w:val="0"/>
          <w:lang w:eastAsia="pl-PL"/>
          <w14:ligatures w14:val="none"/>
        </w:rPr>
        <w:t>szeregu</w:t>
      </w:r>
      <w:r w:rsidR="003B50ED">
        <w:rPr>
          <w:rFonts w:eastAsia="Times New Roman" w:cstheme="minorHAnsi"/>
          <w:kern w:val="0"/>
          <w:lang w:eastAsia="pl-PL"/>
          <w14:ligatures w14:val="none"/>
        </w:rPr>
        <w:t xml:space="preserve"> </w:t>
      </w:r>
      <w:r w:rsidR="00C71928" w:rsidRPr="00A26C26">
        <w:rPr>
          <w:rFonts w:eastAsia="Times New Roman" w:cstheme="minorHAnsi"/>
          <w:kern w:val="0"/>
          <w:lang w:eastAsia="pl-PL"/>
          <w14:ligatures w14:val="none"/>
        </w:rPr>
        <w:t>mechanizmów</w:t>
      </w:r>
      <w:r w:rsidR="003B50ED">
        <w:rPr>
          <w:rFonts w:eastAsia="Times New Roman" w:cstheme="minorHAnsi"/>
          <w:kern w:val="0"/>
          <w:lang w:eastAsia="pl-PL"/>
          <w14:ligatures w14:val="none"/>
        </w:rPr>
        <w:t xml:space="preserve"> </w:t>
      </w:r>
      <w:r w:rsidR="00C71928" w:rsidRPr="00A26C26">
        <w:rPr>
          <w:rFonts w:eastAsia="Times New Roman" w:cstheme="minorHAnsi"/>
          <w:kern w:val="0"/>
          <w:lang w:eastAsia="pl-PL"/>
          <w14:ligatures w14:val="none"/>
        </w:rPr>
        <w:t>informacyjno-edukacyjnych</w:t>
      </w:r>
      <w:r w:rsidR="003B50ED">
        <w:rPr>
          <w:rFonts w:eastAsia="Times New Roman" w:cstheme="minorHAnsi"/>
          <w:kern w:val="0"/>
          <w:lang w:eastAsia="pl-PL"/>
          <w14:ligatures w14:val="none"/>
        </w:rPr>
        <w:t xml:space="preserve"> </w:t>
      </w:r>
      <w:r w:rsidR="00C71928" w:rsidRPr="00A26C26">
        <w:rPr>
          <w:rFonts w:eastAsia="Times New Roman" w:cstheme="minorHAnsi"/>
          <w:kern w:val="0"/>
          <w:lang w:eastAsia="pl-PL"/>
          <w14:ligatures w14:val="none"/>
        </w:rPr>
        <w:t>dla</w:t>
      </w:r>
      <w:r w:rsidR="003B50ED">
        <w:rPr>
          <w:rFonts w:eastAsia="Times New Roman" w:cstheme="minorHAnsi"/>
          <w:kern w:val="0"/>
          <w:lang w:eastAsia="pl-PL"/>
          <w14:ligatures w14:val="none"/>
        </w:rPr>
        <w:t xml:space="preserve"> </w:t>
      </w:r>
      <w:r w:rsidR="00C71928" w:rsidRPr="00A26C26">
        <w:rPr>
          <w:rFonts w:eastAsia="Times New Roman" w:cstheme="minorHAnsi"/>
          <w:kern w:val="0"/>
          <w:lang w:eastAsia="pl-PL"/>
          <w14:ligatures w14:val="none"/>
        </w:rPr>
        <w:t>naszych</w:t>
      </w:r>
      <w:r w:rsidR="003B50ED">
        <w:rPr>
          <w:rFonts w:eastAsia="Times New Roman" w:cstheme="minorHAnsi"/>
          <w:kern w:val="0"/>
          <w:lang w:eastAsia="pl-PL"/>
          <w14:ligatures w14:val="none"/>
        </w:rPr>
        <w:t xml:space="preserve"> </w:t>
      </w:r>
      <w:r w:rsidR="00C71928" w:rsidRPr="00A26C26">
        <w:rPr>
          <w:rFonts w:eastAsia="Times New Roman" w:cstheme="minorHAnsi"/>
          <w:kern w:val="0"/>
          <w:lang w:eastAsia="pl-PL"/>
          <w14:ligatures w14:val="none"/>
        </w:rPr>
        <w:t>partnerów</w:t>
      </w:r>
      <w:r w:rsidR="003B50ED">
        <w:rPr>
          <w:rFonts w:eastAsia="Times New Roman" w:cstheme="minorHAnsi"/>
          <w:kern w:val="0"/>
          <w:lang w:eastAsia="pl-PL"/>
          <w14:ligatures w14:val="none"/>
        </w:rPr>
        <w:t xml:space="preserve"> </w:t>
      </w:r>
      <w:r w:rsidR="00C71928" w:rsidRPr="00A26C26">
        <w:rPr>
          <w:rFonts w:eastAsia="Times New Roman" w:cstheme="minorHAnsi"/>
          <w:kern w:val="0"/>
          <w:lang w:eastAsia="pl-PL"/>
          <w14:ligatures w14:val="none"/>
        </w:rPr>
        <w:t>i</w:t>
      </w:r>
      <w:r w:rsidR="003B50ED">
        <w:rPr>
          <w:rFonts w:eastAsia="Times New Roman" w:cstheme="minorHAnsi"/>
          <w:kern w:val="0"/>
          <w:lang w:eastAsia="pl-PL"/>
          <w14:ligatures w14:val="none"/>
        </w:rPr>
        <w:t xml:space="preserve"> </w:t>
      </w:r>
      <w:r w:rsidR="00C71928" w:rsidRPr="00A26C26">
        <w:rPr>
          <w:rFonts w:eastAsia="Times New Roman" w:cstheme="minorHAnsi"/>
          <w:kern w:val="0"/>
          <w:lang w:eastAsia="pl-PL"/>
          <w14:ligatures w14:val="none"/>
        </w:rPr>
        <w:t>potencjalnych</w:t>
      </w:r>
      <w:r w:rsidR="003B50ED">
        <w:rPr>
          <w:rFonts w:eastAsia="Times New Roman" w:cstheme="minorHAnsi"/>
          <w:kern w:val="0"/>
          <w:lang w:eastAsia="pl-PL"/>
          <w14:ligatures w14:val="none"/>
        </w:rPr>
        <w:t xml:space="preserve"> </w:t>
      </w:r>
      <w:r w:rsidR="00C71928" w:rsidRPr="00A26C26">
        <w:rPr>
          <w:rFonts w:eastAsia="Times New Roman" w:cstheme="minorHAnsi"/>
          <w:kern w:val="0"/>
          <w:lang w:eastAsia="pl-PL"/>
          <w14:ligatures w14:val="none"/>
        </w:rPr>
        <w:t>beneficjentów.</w:t>
      </w:r>
      <w:r w:rsidR="003B50ED">
        <w:rPr>
          <w:rFonts w:eastAsia="Times New Roman" w:cstheme="minorHAnsi"/>
          <w:kern w:val="0"/>
          <w:lang w:eastAsia="pl-PL"/>
          <w14:ligatures w14:val="none"/>
        </w:rPr>
        <w:t xml:space="preserve"> </w:t>
      </w:r>
      <w:r w:rsidR="00C71928" w:rsidRPr="00A26C26">
        <w:rPr>
          <w:rFonts w:eastAsia="Times New Roman" w:cstheme="minorHAnsi"/>
          <w:kern w:val="0"/>
          <w:lang w:eastAsia="pl-PL"/>
          <w14:ligatures w14:val="none"/>
        </w:rPr>
        <w:t>Przed</w:t>
      </w:r>
      <w:r w:rsidR="003B50ED">
        <w:rPr>
          <w:rFonts w:eastAsia="Times New Roman" w:cstheme="minorHAnsi"/>
          <w:kern w:val="0"/>
          <w:lang w:eastAsia="pl-PL"/>
          <w14:ligatures w14:val="none"/>
        </w:rPr>
        <w:t xml:space="preserve"> </w:t>
      </w:r>
      <w:r w:rsidR="00C71928" w:rsidRPr="00A26C26">
        <w:rPr>
          <w:rFonts w:eastAsia="Times New Roman" w:cstheme="minorHAnsi"/>
          <w:kern w:val="0"/>
          <w:lang w:eastAsia="pl-PL"/>
          <w14:ligatures w14:val="none"/>
        </w:rPr>
        <w:t>przystąpieniem</w:t>
      </w:r>
      <w:r w:rsidR="003B50ED">
        <w:rPr>
          <w:rFonts w:eastAsia="Times New Roman" w:cstheme="minorHAnsi"/>
          <w:kern w:val="0"/>
          <w:lang w:eastAsia="pl-PL"/>
          <w14:ligatures w14:val="none"/>
        </w:rPr>
        <w:t xml:space="preserve"> </w:t>
      </w:r>
      <w:r w:rsidR="00C71928" w:rsidRPr="00A26C26">
        <w:rPr>
          <w:rFonts w:eastAsia="Times New Roman" w:cstheme="minorHAnsi"/>
          <w:kern w:val="0"/>
          <w:lang w:eastAsia="pl-PL"/>
          <w14:ligatures w14:val="none"/>
        </w:rPr>
        <w:t>do</w:t>
      </w:r>
      <w:r w:rsidR="003B50ED">
        <w:rPr>
          <w:rFonts w:eastAsia="Times New Roman" w:cstheme="minorHAnsi"/>
          <w:kern w:val="0"/>
          <w:lang w:eastAsia="pl-PL"/>
          <w14:ligatures w14:val="none"/>
        </w:rPr>
        <w:t xml:space="preserve"> </w:t>
      </w:r>
      <w:r w:rsidR="00C71928" w:rsidRPr="00A26C26">
        <w:rPr>
          <w:rFonts w:eastAsia="Times New Roman" w:cstheme="minorHAnsi"/>
          <w:kern w:val="0"/>
          <w:lang w:eastAsia="pl-PL"/>
          <w14:ligatures w14:val="none"/>
        </w:rPr>
        <w:t>naborów</w:t>
      </w:r>
      <w:r w:rsidR="003B50ED">
        <w:rPr>
          <w:rFonts w:eastAsia="Times New Roman" w:cstheme="minorHAnsi"/>
          <w:kern w:val="0"/>
          <w:lang w:eastAsia="pl-PL"/>
          <w14:ligatures w14:val="none"/>
        </w:rPr>
        <w:t xml:space="preserve"> </w:t>
      </w:r>
      <w:r w:rsidR="00C71928" w:rsidRPr="00A26C26">
        <w:rPr>
          <w:rFonts w:eastAsia="Times New Roman" w:cstheme="minorHAnsi"/>
          <w:kern w:val="0"/>
          <w:lang w:eastAsia="pl-PL"/>
          <w14:ligatures w14:val="none"/>
        </w:rPr>
        <w:t>wniosków</w:t>
      </w:r>
      <w:r w:rsidR="003B50ED">
        <w:rPr>
          <w:rFonts w:eastAsia="Times New Roman" w:cstheme="minorHAnsi"/>
          <w:kern w:val="0"/>
          <w:lang w:eastAsia="pl-PL"/>
          <w14:ligatures w14:val="none"/>
        </w:rPr>
        <w:t xml:space="preserve"> </w:t>
      </w:r>
      <w:r w:rsidR="00C71928" w:rsidRPr="00A26C26">
        <w:rPr>
          <w:rFonts w:eastAsia="Times New Roman" w:cstheme="minorHAnsi"/>
          <w:kern w:val="0"/>
          <w:lang w:eastAsia="pl-PL"/>
          <w14:ligatures w14:val="none"/>
        </w:rPr>
        <w:t>zostanie</w:t>
      </w:r>
      <w:r w:rsidR="003B50ED">
        <w:rPr>
          <w:rFonts w:eastAsia="Times New Roman" w:cstheme="minorHAnsi"/>
          <w:kern w:val="0"/>
          <w:lang w:eastAsia="pl-PL"/>
          <w14:ligatures w14:val="none"/>
        </w:rPr>
        <w:t xml:space="preserve"> </w:t>
      </w:r>
      <w:r w:rsidR="00C71928" w:rsidRPr="00A26C26">
        <w:rPr>
          <w:rFonts w:eastAsia="Times New Roman" w:cstheme="minorHAnsi"/>
          <w:kern w:val="0"/>
          <w:lang w:eastAsia="pl-PL"/>
          <w14:ligatures w14:val="none"/>
        </w:rPr>
        <w:t>przeprowadzona</w:t>
      </w:r>
      <w:r w:rsidR="003B50ED">
        <w:rPr>
          <w:rFonts w:eastAsia="Times New Roman" w:cstheme="minorHAnsi"/>
          <w:kern w:val="0"/>
          <w:lang w:eastAsia="pl-PL"/>
          <w14:ligatures w14:val="none"/>
        </w:rPr>
        <w:t xml:space="preserve"> </w:t>
      </w:r>
      <w:r w:rsidR="00C71928" w:rsidRPr="00A26C26">
        <w:rPr>
          <w:rFonts w:eastAsia="Times New Roman" w:cstheme="minorHAnsi"/>
          <w:kern w:val="0"/>
          <w:lang w:eastAsia="pl-PL"/>
          <w14:ligatures w14:val="none"/>
        </w:rPr>
        <w:t>kampania</w:t>
      </w:r>
      <w:r w:rsidR="003B50ED">
        <w:rPr>
          <w:rFonts w:eastAsia="Times New Roman" w:cstheme="minorHAnsi"/>
          <w:kern w:val="0"/>
          <w:lang w:eastAsia="pl-PL"/>
          <w14:ligatures w14:val="none"/>
        </w:rPr>
        <w:t xml:space="preserve"> </w:t>
      </w:r>
      <w:r w:rsidR="00C71928" w:rsidRPr="00A26C26">
        <w:rPr>
          <w:rFonts w:eastAsia="Times New Roman" w:cstheme="minorHAnsi"/>
          <w:kern w:val="0"/>
          <w:lang w:eastAsia="pl-PL"/>
          <w14:ligatures w14:val="none"/>
        </w:rPr>
        <w:t>informacyjna</w:t>
      </w:r>
      <w:r w:rsidR="003B50ED">
        <w:rPr>
          <w:rFonts w:eastAsia="Times New Roman" w:cstheme="minorHAnsi"/>
          <w:kern w:val="0"/>
          <w:lang w:eastAsia="pl-PL"/>
          <w14:ligatures w14:val="none"/>
        </w:rPr>
        <w:t xml:space="preserve"> </w:t>
      </w:r>
      <w:r w:rsidR="00C71928" w:rsidRPr="00A26C26">
        <w:rPr>
          <w:rFonts w:eastAsia="Times New Roman" w:cstheme="minorHAnsi"/>
          <w:kern w:val="0"/>
          <w:lang w:eastAsia="pl-PL"/>
          <w14:ligatures w14:val="none"/>
        </w:rPr>
        <w:t>z</w:t>
      </w:r>
      <w:r w:rsidR="003B50ED">
        <w:rPr>
          <w:rFonts w:eastAsia="Times New Roman" w:cstheme="minorHAnsi"/>
          <w:kern w:val="0"/>
          <w:lang w:eastAsia="pl-PL"/>
          <w14:ligatures w14:val="none"/>
        </w:rPr>
        <w:t xml:space="preserve"> </w:t>
      </w:r>
      <w:r w:rsidR="00C71928" w:rsidRPr="00A26C26">
        <w:rPr>
          <w:rFonts w:eastAsia="Times New Roman" w:cstheme="minorHAnsi"/>
          <w:kern w:val="0"/>
          <w:lang w:eastAsia="pl-PL"/>
          <w14:ligatures w14:val="none"/>
        </w:rPr>
        <w:t>wykorzystaniem</w:t>
      </w:r>
      <w:r w:rsidR="003B50ED">
        <w:rPr>
          <w:rFonts w:eastAsia="Times New Roman" w:cstheme="minorHAnsi"/>
          <w:kern w:val="0"/>
          <w:lang w:eastAsia="pl-PL"/>
          <w14:ligatures w14:val="none"/>
        </w:rPr>
        <w:t xml:space="preserve"> </w:t>
      </w:r>
      <w:r w:rsidR="00C71928" w:rsidRPr="00A26C26">
        <w:rPr>
          <w:rFonts w:eastAsia="Times New Roman" w:cstheme="minorHAnsi"/>
          <w:kern w:val="0"/>
          <w:lang w:eastAsia="pl-PL"/>
          <w14:ligatures w14:val="none"/>
        </w:rPr>
        <w:t>adekwatnych</w:t>
      </w:r>
      <w:r w:rsidR="003B50ED">
        <w:rPr>
          <w:rFonts w:eastAsia="Times New Roman" w:cstheme="minorHAnsi"/>
          <w:kern w:val="0"/>
          <w:lang w:eastAsia="pl-PL"/>
          <w14:ligatures w14:val="none"/>
        </w:rPr>
        <w:t xml:space="preserve"> </w:t>
      </w:r>
      <w:r w:rsidR="00C71928" w:rsidRPr="00A26C26">
        <w:rPr>
          <w:rFonts w:eastAsia="Times New Roman" w:cstheme="minorHAnsi"/>
          <w:kern w:val="0"/>
          <w:lang w:eastAsia="pl-PL"/>
          <w14:ligatures w14:val="none"/>
        </w:rPr>
        <w:t>środków</w:t>
      </w:r>
      <w:r w:rsidR="003B50ED">
        <w:rPr>
          <w:rFonts w:eastAsia="Times New Roman" w:cstheme="minorHAnsi"/>
          <w:kern w:val="0"/>
          <w:lang w:eastAsia="pl-PL"/>
          <w14:ligatures w14:val="none"/>
        </w:rPr>
        <w:t xml:space="preserve"> </w:t>
      </w:r>
      <w:r w:rsidR="00C71928" w:rsidRPr="00A26C26">
        <w:rPr>
          <w:rFonts w:eastAsia="Times New Roman" w:cstheme="minorHAnsi"/>
          <w:kern w:val="0"/>
          <w:lang w:eastAsia="pl-PL"/>
          <w14:ligatures w14:val="none"/>
        </w:rPr>
        <w:t>przekazu,</w:t>
      </w:r>
      <w:r w:rsidR="003B50ED">
        <w:rPr>
          <w:rFonts w:eastAsia="Times New Roman" w:cstheme="minorHAnsi"/>
          <w:kern w:val="0"/>
          <w:lang w:eastAsia="pl-PL"/>
          <w14:ligatures w14:val="none"/>
        </w:rPr>
        <w:t xml:space="preserve"> </w:t>
      </w:r>
      <w:r w:rsidR="00C71928" w:rsidRPr="00A26C26">
        <w:rPr>
          <w:rFonts w:eastAsia="Times New Roman" w:cstheme="minorHAnsi"/>
          <w:kern w:val="0"/>
          <w:lang w:eastAsia="pl-PL"/>
          <w14:ligatures w14:val="none"/>
        </w:rPr>
        <w:t>zapewniająca</w:t>
      </w:r>
      <w:r w:rsidR="003B50ED">
        <w:rPr>
          <w:rFonts w:eastAsia="Times New Roman" w:cstheme="minorHAnsi"/>
          <w:kern w:val="0"/>
          <w:lang w:eastAsia="pl-PL"/>
          <w14:ligatures w14:val="none"/>
        </w:rPr>
        <w:t xml:space="preserve"> </w:t>
      </w:r>
      <w:r w:rsidR="00C71928" w:rsidRPr="00A26C26">
        <w:rPr>
          <w:rFonts w:eastAsia="Times New Roman" w:cstheme="minorHAnsi"/>
          <w:kern w:val="0"/>
          <w:lang w:eastAsia="pl-PL"/>
          <w14:ligatures w14:val="none"/>
        </w:rPr>
        <w:t>dotarcie</w:t>
      </w:r>
      <w:r w:rsidR="003B50ED">
        <w:rPr>
          <w:rFonts w:eastAsia="Times New Roman" w:cstheme="minorHAnsi"/>
          <w:kern w:val="0"/>
          <w:lang w:eastAsia="pl-PL"/>
          <w14:ligatures w14:val="none"/>
        </w:rPr>
        <w:t xml:space="preserve"> </w:t>
      </w:r>
      <w:r w:rsidR="00C71928" w:rsidRPr="00A26C26">
        <w:rPr>
          <w:rFonts w:eastAsia="Times New Roman" w:cstheme="minorHAnsi"/>
          <w:kern w:val="0"/>
          <w:lang w:eastAsia="pl-PL"/>
          <w14:ligatures w14:val="none"/>
        </w:rPr>
        <w:t>do</w:t>
      </w:r>
      <w:r w:rsidR="003B50ED">
        <w:rPr>
          <w:rFonts w:eastAsia="Times New Roman" w:cstheme="minorHAnsi"/>
          <w:kern w:val="0"/>
          <w:lang w:eastAsia="pl-PL"/>
          <w14:ligatures w14:val="none"/>
        </w:rPr>
        <w:t xml:space="preserve"> </w:t>
      </w:r>
      <w:r w:rsidR="00C71928" w:rsidRPr="00A26C26">
        <w:rPr>
          <w:rFonts w:eastAsia="Times New Roman" w:cstheme="minorHAnsi"/>
          <w:kern w:val="0"/>
          <w:lang w:eastAsia="pl-PL"/>
          <w14:ligatures w14:val="none"/>
        </w:rPr>
        <w:t>wszystkich</w:t>
      </w:r>
      <w:r w:rsidR="003B50ED">
        <w:rPr>
          <w:rFonts w:eastAsia="Times New Roman" w:cstheme="minorHAnsi"/>
          <w:kern w:val="0"/>
          <w:lang w:eastAsia="pl-PL"/>
          <w14:ligatures w14:val="none"/>
        </w:rPr>
        <w:t xml:space="preserve"> </w:t>
      </w:r>
      <w:r w:rsidR="00C71928" w:rsidRPr="00A26C26">
        <w:rPr>
          <w:rFonts w:eastAsia="Times New Roman" w:cstheme="minorHAnsi"/>
          <w:kern w:val="0"/>
          <w:lang w:eastAsia="pl-PL"/>
          <w14:ligatures w14:val="none"/>
        </w:rPr>
        <w:t>interesariuszy</w:t>
      </w:r>
      <w:r w:rsidR="003B50ED">
        <w:rPr>
          <w:rFonts w:eastAsia="Times New Roman" w:cstheme="minorHAnsi"/>
          <w:kern w:val="0"/>
          <w:lang w:eastAsia="pl-PL"/>
          <w14:ligatures w14:val="none"/>
        </w:rPr>
        <w:t xml:space="preserve"> </w:t>
      </w:r>
      <w:r w:rsidR="00C71928" w:rsidRPr="00A26C26">
        <w:rPr>
          <w:rFonts w:eastAsia="Times New Roman" w:cstheme="minorHAnsi"/>
          <w:kern w:val="0"/>
          <w:lang w:eastAsia="pl-PL"/>
          <w14:ligatures w14:val="none"/>
        </w:rPr>
        <w:t>z</w:t>
      </w:r>
      <w:r w:rsidR="003B50ED">
        <w:rPr>
          <w:rFonts w:eastAsia="Times New Roman" w:cstheme="minorHAnsi"/>
          <w:kern w:val="0"/>
          <w:lang w:eastAsia="pl-PL"/>
          <w14:ligatures w14:val="none"/>
        </w:rPr>
        <w:t xml:space="preserve"> </w:t>
      </w:r>
      <w:r w:rsidR="00C71928" w:rsidRPr="00A26C26">
        <w:rPr>
          <w:rFonts w:eastAsia="Times New Roman" w:cstheme="minorHAnsi"/>
          <w:kern w:val="0"/>
          <w:lang w:eastAsia="pl-PL"/>
          <w14:ligatures w14:val="none"/>
        </w:rPr>
        <w:t>obszaru</w:t>
      </w:r>
      <w:r w:rsidR="003B50ED">
        <w:rPr>
          <w:rFonts w:eastAsia="Times New Roman" w:cstheme="minorHAnsi"/>
          <w:kern w:val="0"/>
          <w:lang w:eastAsia="pl-PL"/>
          <w14:ligatures w14:val="none"/>
        </w:rPr>
        <w:t xml:space="preserve"> </w:t>
      </w:r>
      <w:r w:rsidR="00C71928" w:rsidRPr="00A26C26">
        <w:rPr>
          <w:rFonts w:eastAsia="Times New Roman" w:cstheme="minorHAnsi"/>
          <w:kern w:val="0"/>
          <w:lang w:eastAsia="pl-PL"/>
          <w14:ligatures w14:val="none"/>
        </w:rPr>
        <w:t>LSR.</w:t>
      </w:r>
      <w:r w:rsidR="003B50ED">
        <w:rPr>
          <w:rFonts w:eastAsia="Times New Roman" w:cstheme="minorHAnsi"/>
          <w:kern w:val="0"/>
          <w:lang w:eastAsia="pl-PL"/>
          <w14:ligatures w14:val="none"/>
        </w:rPr>
        <w:t xml:space="preserve"> </w:t>
      </w:r>
      <w:r w:rsidR="00C71928" w:rsidRPr="00A26C26">
        <w:rPr>
          <w:rFonts w:eastAsia="Times New Roman" w:cstheme="minorHAnsi"/>
          <w:kern w:val="0"/>
          <w:lang w:eastAsia="pl-PL"/>
          <w14:ligatures w14:val="none"/>
        </w:rPr>
        <w:t>W</w:t>
      </w:r>
      <w:r w:rsidR="003B50ED">
        <w:rPr>
          <w:rFonts w:eastAsia="Times New Roman" w:cstheme="minorHAnsi"/>
          <w:kern w:val="0"/>
          <w:lang w:eastAsia="pl-PL"/>
          <w14:ligatures w14:val="none"/>
        </w:rPr>
        <w:t xml:space="preserve"> </w:t>
      </w:r>
      <w:r w:rsidR="00C71928" w:rsidRPr="00A26C26">
        <w:rPr>
          <w:rFonts w:eastAsia="Times New Roman" w:cstheme="minorHAnsi"/>
          <w:kern w:val="0"/>
          <w:lang w:eastAsia="pl-PL"/>
          <w14:ligatures w14:val="none"/>
        </w:rPr>
        <w:t>tym</w:t>
      </w:r>
      <w:r w:rsidR="003B50ED">
        <w:rPr>
          <w:rFonts w:eastAsia="Times New Roman" w:cstheme="minorHAnsi"/>
          <w:kern w:val="0"/>
          <w:lang w:eastAsia="pl-PL"/>
          <w14:ligatures w14:val="none"/>
        </w:rPr>
        <w:t xml:space="preserve"> </w:t>
      </w:r>
      <w:r w:rsidR="00C71928" w:rsidRPr="00A26C26">
        <w:rPr>
          <w:rFonts w:eastAsia="Times New Roman" w:cstheme="minorHAnsi"/>
          <w:kern w:val="0"/>
          <w:lang w:eastAsia="pl-PL"/>
          <w14:ligatures w14:val="none"/>
        </w:rPr>
        <w:t>celu</w:t>
      </w:r>
      <w:r w:rsidR="003B50ED">
        <w:rPr>
          <w:rFonts w:eastAsia="Times New Roman" w:cstheme="minorHAnsi"/>
          <w:kern w:val="0"/>
          <w:lang w:eastAsia="pl-PL"/>
          <w14:ligatures w14:val="none"/>
        </w:rPr>
        <w:t xml:space="preserve"> </w:t>
      </w:r>
      <w:r w:rsidR="00C71928" w:rsidRPr="00A26C26">
        <w:rPr>
          <w:rFonts w:eastAsia="Times New Roman" w:cstheme="minorHAnsi"/>
          <w:kern w:val="0"/>
          <w:lang w:eastAsia="pl-PL"/>
          <w14:ligatures w14:val="none"/>
        </w:rPr>
        <w:t>zostaną</w:t>
      </w:r>
      <w:r w:rsidR="003B50ED">
        <w:rPr>
          <w:rFonts w:eastAsia="Times New Roman" w:cstheme="minorHAnsi"/>
          <w:kern w:val="0"/>
          <w:lang w:eastAsia="pl-PL"/>
          <w14:ligatures w14:val="none"/>
        </w:rPr>
        <w:t xml:space="preserve"> </w:t>
      </w:r>
      <w:r w:rsidR="00C71928" w:rsidRPr="00A26C26">
        <w:rPr>
          <w:rFonts w:eastAsia="Times New Roman" w:cstheme="minorHAnsi"/>
          <w:kern w:val="0"/>
          <w:lang w:eastAsia="pl-PL"/>
          <w14:ligatures w14:val="none"/>
        </w:rPr>
        <w:t>uruchomione</w:t>
      </w:r>
      <w:r w:rsidR="003B50ED">
        <w:rPr>
          <w:rFonts w:eastAsia="Times New Roman" w:cstheme="minorHAnsi"/>
          <w:kern w:val="0"/>
          <w:lang w:eastAsia="pl-PL"/>
          <w14:ligatures w14:val="none"/>
        </w:rPr>
        <w:t xml:space="preserve"> </w:t>
      </w:r>
      <w:r w:rsidR="00C71928" w:rsidRPr="00A26C26">
        <w:rPr>
          <w:rFonts w:cstheme="minorHAnsi"/>
        </w:rPr>
        <w:t>mechanizmy</w:t>
      </w:r>
      <w:r w:rsidR="003B50ED">
        <w:rPr>
          <w:rFonts w:cstheme="minorHAnsi"/>
        </w:rPr>
        <w:t xml:space="preserve"> </w:t>
      </w:r>
      <w:r w:rsidR="00C71928" w:rsidRPr="00A26C26">
        <w:rPr>
          <w:rFonts w:cstheme="minorHAnsi"/>
        </w:rPr>
        <w:t>stosowane</w:t>
      </w:r>
      <w:r w:rsidR="003B50ED">
        <w:rPr>
          <w:rFonts w:cstheme="minorHAnsi"/>
        </w:rPr>
        <w:t xml:space="preserve"> </w:t>
      </w:r>
      <w:r w:rsidR="00C71928" w:rsidRPr="00A26C26">
        <w:rPr>
          <w:rFonts w:cstheme="minorHAnsi"/>
        </w:rPr>
        <w:t>w</w:t>
      </w:r>
      <w:r w:rsidR="003B50ED">
        <w:rPr>
          <w:rFonts w:cstheme="minorHAnsi"/>
        </w:rPr>
        <w:t xml:space="preserve"> </w:t>
      </w:r>
      <w:r w:rsidR="00C71928" w:rsidRPr="00A26C26">
        <w:rPr>
          <w:rFonts w:cstheme="minorHAnsi"/>
        </w:rPr>
        <w:t>ramach</w:t>
      </w:r>
      <w:r w:rsidR="003B50ED">
        <w:rPr>
          <w:rFonts w:cstheme="minorHAnsi"/>
        </w:rPr>
        <w:t xml:space="preserve"> </w:t>
      </w:r>
      <w:r w:rsidR="00C71928" w:rsidRPr="00A26C26">
        <w:rPr>
          <w:rFonts w:cstheme="minorHAnsi"/>
        </w:rPr>
        <w:t>partycypacyjnych</w:t>
      </w:r>
      <w:r w:rsidR="003B50ED">
        <w:rPr>
          <w:rFonts w:cstheme="minorHAnsi"/>
        </w:rPr>
        <w:t xml:space="preserve"> </w:t>
      </w:r>
      <w:r w:rsidR="00C71928" w:rsidRPr="00A26C26">
        <w:rPr>
          <w:rFonts w:cstheme="minorHAnsi"/>
        </w:rPr>
        <w:t>metod</w:t>
      </w:r>
      <w:r w:rsidR="003B50ED">
        <w:rPr>
          <w:rFonts w:cstheme="minorHAnsi"/>
        </w:rPr>
        <w:t xml:space="preserve"> </w:t>
      </w:r>
      <w:r w:rsidR="00C71928" w:rsidRPr="00A26C26">
        <w:rPr>
          <w:rFonts w:cstheme="minorHAnsi"/>
        </w:rPr>
        <w:t>przygotowania</w:t>
      </w:r>
      <w:r w:rsidR="003B50ED">
        <w:rPr>
          <w:rFonts w:cstheme="minorHAnsi"/>
        </w:rPr>
        <w:t xml:space="preserve"> </w:t>
      </w:r>
      <w:r w:rsidR="00C71928" w:rsidRPr="00A26C26">
        <w:rPr>
          <w:rFonts w:cstheme="minorHAnsi"/>
        </w:rPr>
        <w:t>LSR.</w:t>
      </w:r>
      <w:r w:rsidR="003B50ED">
        <w:rPr>
          <w:rFonts w:cstheme="minorHAnsi"/>
        </w:rPr>
        <w:t xml:space="preserve"> </w:t>
      </w:r>
      <w:r w:rsidR="00C71928" w:rsidRPr="00A26C26">
        <w:rPr>
          <w:rFonts w:cstheme="minorHAnsi"/>
        </w:rPr>
        <w:t>Istotnym</w:t>
      </w:r>
      <w:r w:rsidR="003B50ED">
        <w:rPr>
          <w:rFonts w:cstheme="minorHAnsi"/>
        </w:rPr>
        <w:t xml:space="preserve"> </w:t>
      </w:r>
      <w:r w:rsidR="00C71928" w:rsidRPr="00A26C26">
        <w:rPr>
          <w:rFonts w:cstheme="minorHAnsi"/>
        </w:rPr>
        <w:t>elementem</w:t>
      </w:r>
      <w:r w:rsidR="003B50ED">
        <w:rPr>
          <w:rFonts w:cstheme="minorHAnsi"/>
        </w:rPr>
        <w:t xml:space="preserve"> </w:t>
      </w:r>
      <w:r w:rsidR="00C71928" w:rsidRPr="00A26C26">
        <w:rPr>
          <w:rFonts w:cstheme="minorHAnsi"/>
        </w:rPr>
        <w:t>tego</w:t>
      </w:r>
      <w:r w:rsidR="003B50ED">
        <w:rPr>
          <w:rFonts w:cstheme="minorHAnsi"/>
        </w:rPr>
        <w:t xml:space="preserve"> </w:t>
      </w:r>
      <w:r w:rsidR="00C71928" w:rsidRPr="00A26C26">
        <w:rPr>
          <w:rFonts w:cstheme="minorHAnsi"/>
        </w:rPr>
        <w:t>procesu</w:t>
      </w:r>
      <w:r w:rsidR="003B50ED">
        <w:rPr>
          <w:rFonts w:cstheme="minorHAnsi"/>
        </w:rPr>
        <w:t xml:space="preserve"> </w:t>
      </w:r>
      <w:r w:rsidR="00C71928" w:rsidRPr="00A26C26">
        <w:rPr>
          <w:rFonts w:cstheme="minorHAnsi"/>
        </w:rPr>
        <w:t>będą</w:t>
      </w:r>
      <w:r w:rsidR="003B50ED">
        <w:rPr>
          <w:rFonts w:cstheme="minorHAnsi"/>
        </w:rPr>
        <w:t xml:space="preserve"> </w:t>
      </w:r>
      <w:r w:rsidR="00C71928" w:rsidRPr="00A26C26">
        <w:rPr>
          <w:rFonts w:cstheme="minorHAnsi"/>
        </w:rPr>
        <w:t>spotkania</w:t>
      </w:r>
      <w:r w:rsidR="003B50ED">
        <w:rPr>
          <w:rFonts w:cstheme="minorHAnsi"/>
        </w:rPr>
        <w:t xml:space="preserve"> </w:t>
      </w:r>
      <w:r w:rsidR="00C71928" w:rsidRPr="00A26C26">
        <w:rPr>
          <w:rFonts w:cstheme="minorHAnsi"/>
        </w:rPr>
        <w:t>informacyjne</w:t>
      </w:r>
      <w:r w:rsidR="003B50ED">
        <w:rPr>
          <w:rFonts w:cstheme="minorHAnsi"/>
        </w:rPr>
        <w:t xml:space="preserve"> </w:t>
      </w:r>
      <w:r w:rsidR="00C71928" w:rsidRPr="00A26C26">
        <w:rPr>
          <w:rFonts w:cstheme="minorHAnsi"/>
        </w:rPr>
        <w:t>mające</w:t>
      </w:r>
      <w:r w:rsidR="003B50ED">
        <w:rPr>
          <w:rFonts w:cstheme="minorHAnsi"/>
        </w:rPr>
        <w:t xml:space="preserve"> </w:t>
      </w:r>
      <w:r w:rsidR="00C71928" w:rsidRPr="00A26C26">
        <w:rPr>
          <w:rFonts w:cstheme="minorHAnsi"/>
        </w:rPr>
        <w:t>na</w:t>
      </w:r>
      <w:r w:rsidR="003B50ED">
        <w:rPr>
          <w:rFonts w:cstheme="minorHAnsi"/>
        </w:rPr>
        <w:t xml:space="preserve"> </w:t>
      </w:r>
      <w:r w:rsidR="00C71928" w:rsidRPr="00A26C26">
        <w:rPr>
          <w:rFonts w:cstheme="minorHAnsi"/>
        </w:rPr>
        <w:t>celu</w:t>
      </w:r>
      <w:r w:rsidR="003B50ED">
        <w:rPr>
          <w:rFonts w:cstheme="minorHAnsi"/>
        </w:rPr>
        <w:t xml:space="preserve"> </w:t>
      </w:r>
      <w:r w:rsidR="00C71928" w:rsidRPr="00A26C26">
        <w:rPr>
          <w:rFonts w:cstheme="minorHAnsi"/>
        </w:rPr>
        <w:t>nabycia</w:t>
      </w:r>
      <w:r w:rsidR="003B50ED">
        <w:rPr>
          <w:rFonts w:cstheme="minorHAnsi"/>
        </w:rPr>
        <w:t xml:space="preserve"> </w:t>
      </w:r>
      <w:r w:rsidR="00C71928" w:rsidRPr="00A26C26">
        <w:rPr>
          <w:rFonts w:cstheme="minorHAnsi"/>
        </w:rPr>
        <w:t>lub</w:t>
      </w:r>
      <w:r w:rsidR="003B50ED">
        <w:rPr>
          <w:rFonts w:cstheme="minorHAnsi"/>
        </w:rPr>
        <w:t xml:space="preserve"> </w:t>
      </w:r>
      <w:r w:rsidR="00C71928" w:rsidRPr="00A26C26">
        <w:rPr>
          <w:rFonts w:cstheme="minorHAnsi"/>
        </w:rPr>
        <w:t>ugruntowania</w:t>
      </w:r>
      <w:r w:rsidR="003B50ED">
        <w:rPr>
          <w:rFonts w:cstheme="minorHAnsi"/>
        </w:rPr>
        <w:t xml:space="preserve"> </w:t>
      </w:r>
      <w:r w:rsidR="00C71928" w:rsidRPr="00A26C26">
        <w:rPr>
          <w:rFonts w:cstheme="minorHAnsi"/>
        </w:rPr>
        <w:t>wiedzy</w:t>
      </w:r>
      <w:r w:rsidR="003B50ED">
        <w:rPr>
          <w:rFonts w:cstheme="minorHAnsi"/>
        </w:rPr>
        <w:t xml:space="preserve"> </w:t>
      </w:r>
      <w:r w:rsidR="00C71928" w:rsidRPr="00A26C26">
        <w:rPr>
          <w:rFonts w:cstheme="minorHAnsi"/>
        </w:rPr>
        <w:t>o</w:t>
      </w:r>
      <w:r w:rsidR="003B50ED">
        <w:rPr>
          <w:rFonts w:cstheme="minorHAnsi"/>
        </w:rPr>
        <w:t xml:space="preserve"> </w:t>
      </w:r>
      <w:r w:rsidR="00C71928" w:rsidRPr="00A26C26">
        <w:rPr>
          <w:rFonts w:cstheme="minorHAnsi"/>
        </w:rPr>
        <w:t>zasadach</w:t>
      </w:r>
      <w:r w:rsidR="003B50ED">
        <w:rPr>
          <w:rFonts w:cstheme="minorHAnsi"/>
        </w:rPr>
        <w:t xml:space="preserve"> </w:t>
      </w:r>
      <w:r w:rsidR="00C71928" w:rsidRPr="00A26C26">
        <w:rPr>
          <w:rFonts w:cstheme="minorHAnsi"/>
        </w:rPr>
        <w:t>ubiegania</w:t>
      </w:r>
      <w:r w:rsidR="003B50ED">
        <w:rPr>
          <w:rFonts w:cstheme="minorHAnsi"/>
        </w:rPr>
        <w:t xml:space="preserve"> </w:t>
      </w:r>
      <w:r w:rsidR="00C71928" w:rsidRPr="00A26C26">
        <w:rPr>
          <w:rFonts w:cstheme="minorHAnsi"/>
        </w:rPr>
        <w:t>się</w:t>
      </w:r>
      <w:r w:rsidR="003B50ED">
        <w:rPr>
          <w:rFonts w:cstheme="minorHAnsi"/>
        </w:rPr>
        <w:t xml:space="preserve"> </w:t>
      </w:r>
      <w:r w:rsidR="00C71928" w:rsidRPr="00A26C26">
        <w:rPr>
          <w:rFonts w:cstheme="minorHAnsi"/>
        </w:rPr>
        <w:t>o</w:t>
      </w:r>
      <w:r w:rsidR="003B50ED">
        <w:rPr>
          <w:rFonts w:cstheme="minorHAnsi"/>
        </w:rPr>
        <w:t xml:space="preserve"> </w:t>
      </w:r>
      <w:r w:rsidR="00C71928" w:rsidRPr="00A26C26">
        <w:rPr>
          <w:rFonts w:cstheme="minorHAnsi"/>
        </w:rPr>
        <w:t>wsparcie,</w:t>
      </w:r>
      <w:r w:rsidR="003B50ED">
        <w:rPr>
          <w:rFonts w:cstheme="minorHAnsi"/>
        </w:rPr>
        <w:t xml:space="preserve"> </w:t>
      </w:r>
      <w:r w:rsidR="00C71928" w:rsidRPr="00A26C26">
        <w:rPr>
          <w:rFonts w:cstheme="minorHAnsi"/>
        </w:rPr>
        <w:t>procesie</w:t>
      </w:r>
      <w:r w:rsidR="003B50ED">
        <w:rPr>
          <w:rFonts w:cstheme="minorHAnsi"/>
        </w:rPr>
        <w:t xml:space="preserve"> </w:t>
      </w:r>
      <w:r w:rsidR="00C71928" w:rsidRPr="00A26C26">
        <w:rPr>
          <w:rFonts w:cstheme="minorHAnsi"/>
        </w:rPr>
        <w:t>oceny</w:t>
      </w:r>
      <w:r w:rsidR="003B50ED">
        <w:rPr>
          <w:rFonts w:cstheme="minorHAnsi"/>
        </w:rPr>
        <w:t xml:space="preserve"> </w:t>
      </w:r>
      <w:r w:rsidR="00C71928" w:rsidRPr="00A26C26">
        <w:rPr>
          <w:rFonts w:cstheme="minorHAnsi"/>
        </w:rPr>
        <w:t>wniosków</w:t>
      </w:r>
      <w:r w:rsidR="003B50ED">
        <w:rPr>
          <w:rFonts w:cstheme="minorHAnsi"/>
        </w:rPr>
        <w:t xml:space="preserve"> </w:t>
      </w:r>
      <w:r w:rsidR="00C71928" w:rsidRPr="00A26C26">
        <w:rPr>
          <w:rFonts w:cstheme="minorHAnsi"/>
        </w:rPr>
        <w:t>w</w:t>
      </w:r>
      <w:r w:rsidR="003B50ED">
        <w:rPr>
          <w:rFonts w:cstheme="minorHAnsi"/>
        </w:rPr>
        <w:t xml:space="preserve"> </w:t>
      </w:r>
      <w:r w:rsidR="00C71928" w:rsidRPr="00A26C26">
        <w:rPr>
          <w:rFonts w:cstheme="minorHAnsi"/>
        </w:rPr>
        <w:t>zakresie</w:t>
      </w:r>
      <w:r w:rsidR="003B50ED">
        <w:rPr>
          <w:rFonts w:cstheme="minorHAnsi"/>
        </w:rPr>
        <w:t xml:space="preserve"> </w:t>
      </w:r>
      <w:r w:rsidR="00C71928" w:rsidRPr="00A26C26">
        <w:rPr>
          <w:rFonts w:cstheme="minorHAnsi"/>
        </w:rPr>
        <w:t>zgodności</w:t>
      </w:r>
      <w:r w:rsidR="003B50ED">
        <w:rPr>
          <w:rFonts w:cstheme="minorHAnsi"/>
        </w:rPr>
        <w:t xml:space="preserve"> </w:t>
      </w:r>
      <w:r w:rsidR="00C71928" w:rsidRPr="00A26C26">
        <w:rPr>
          <w:rFonts w:cstheme="minorHAnsi"/>
        </w:rPr>
        <w:t>z</w:t>
      </w:r>
      <w:r w:rsidR="003B50ED">
        <w:rPr>
          <w:rFonts w:cstheme="minorHAnsi"/>
        </w:rPr>
        <w:t xml:space="preserve"> </w:t>
      </w:r>
      <w:r w:rsidR="00C71928" w:rsidRPr="00A26C26">
        <w:rPr>
          <w:rFonts w:cstheme="minorHAnsi"/>
        </w:rPr>
        <w:t>LSR</w:t>
      </w:r>
      <w:r w:rsidR="003B50ED">
        <w:rPr>
          <w:rFonts w:cstheme="minorHAnsi"/>
        </w:rPr>
        <w:t xml:space="preserve"> </w:t>
      </w:r>
      <w:r w:rsidR="00C71928" w:rsidRPr="00A26C26">
        <w:rPr>
          <w:rFonts w:cstheme="minorHAnsi"/>
        </w:rPr>
        <w:t>oraz</w:t>
      </w:r>
      <w:r w:rsidR="003B50ED">
        <w:rPr>
          <w:rFonts w:cstheme="minorHAnsi"/>
        </w:rPr>
        <w:t xml:space="preserve"> </w:t>
      </w:r>
      <w:r w:rsidR="00C71928" w:rsidRPr="00A26C26">
        <w:rPr>
          <w:rFonts w:cstheme="minorHAnsi"/>
        </w:rPr>
        <w:t>według</w:t>
      </w:r>
      <w:r w:rsidR="003B50ED">
        <w:rPr>
          <w:rFonts w:cstheme="minorHAnsi"/>
        </w:rPr>
        <w:t xml:space="preserve"> </w:t>
      </w:r>
      <w:r w:rsidR="00C71928" w:rsidRPr="00A26C26">
        <w:rPr>
          <w:rFonts w:cstheme="minorHAnsi"/>
        </w:rPr>
        <w:t>lokalnych</w:t>
      </w:r>
      <w:r w:rsidR="003B50ED">
        <w:rPr>
          <w:rFonts w:cstheme="minorHAnsi"/>
        </w:rPr>
        <w:t xml:space="preserve"> </w:t>
      </w:r>
      <w:r w:rsidR="00C71928" w:rsidRPr="00A26C26">
        <w:rPr>
          <w:rFonts w:cstheme="minorHAnsi"/>
        </w:rPr>
        <w:t>kryteriów</w:t>
      </w:r>
      <w:r w:rsidR="003B50ED">
        <w:rPr>
          <w:rFonts w:cstheme="minorHAnsi"/>
        </w:rPr>
        <w:t xml:space="preserve"> </w:t>
      </w:r>
      <w:r w:rsidR="00C71928" w:rsidRPr="00A26C26">
        <w:rPr>
          <w:rFonts w:cstheme="minorHAnsi"/>
        </w:rPr>
        <w:t>wyboru,</w:t>
      </w:r>
      <w:r w:rsidR="003B50ED">
        <w:rPr>
          <w:rFonts w:cstheme="minorHAnsi"/>
        </w:rPr>
        <w:t xml:space="preserve"> </w:t>
      </w:r>
      <w:r w:rsidR="00C71928" w:rsidRPr="00A26C26">
        <w:rPr>
          <w:rFonts w:cstheme="minorHAnsi"/>
        </w:rPr>
        <w:t>ze</w:t>
      </w:r>
      <w:r w:rsidR="003B50ED">
        <w:rPr>
          <w:rFonts w:cstheme="minorHAnsi"/>
        </w:rPr>
        <w:t xml:space="preserve"> </w:t>
      </w:r>
      <w:r w:rsidR="00C71928" w:rsidRPr="00A26C26">
        <w:rPr>
          <w:rFonts w:cstheme="minorHAnsi"/>
        </w:rPr>
        <w:t>szczególnym</w:t>
      </w:r>
      <w:r w:rsidR="003B50ED">
        <w:rPr>
          <w:rFonts w:cstheme="minorHAnsi"/>
        </w:rPr>
        <w:t xml:space="preserve"> </w:t>
      </w:r>
      <w:r w:rsidR="00C71928" w:rsidRPr="00A26C26">
        <w:rPr>
          <w:rFonts w:cstheme="minorHAnsi"/>
        </w:rPr>
        <w:t>uwzględnieniem</w:t>
      </w:r>
      <w:r w:rsidR="003B50ED">
        <w:rPr>
          <w:rFonts w:cstheme="minorHAnsi"/>
        </w:rPr>
        <w:t xml:space="preserve"> </w:t>
      </w:r>
      <w:r w:rsidR="00C71928" w:rsidRPr="00A26C26">
        <w:rPr>
          <w:rFonts w:cstheme="minorHAnsi"/>
        </w:rPr>
        <w:t>innowacyjności</w:t>
      </w:r>
      <w:r w:rsidR="00D615FF" w:rsidRPr="00A26C26">
        <w:rPr>
          <w:rFonts w:cstheme="minorHAnsi"/>
        </w:rPr>
        <w:t>.</w:t>
      </w:r>
    </w:p>
    <w:p w14:paraId="33EAD3DF" w14:textId="112C663E" w:rsidR="00C71928" w:rsidRPr="00A26C26" w:rsidRDefault="00C71928" w:rsidP="00A26C26">
      <w:pPr>
        <w:spacing w:line="276" w:lineRule="auto"/>
        <w:ind w:firstLine="284"/>
        <w:jc w:val="both"/>
        <w:rPr>
          <w:rFonts w:cstheme="minorHAnsi"/>
        </w:rPr>
      </w:pPr>
      <w:r w:rsidRPr="00A26C26">
        <w:rPr>
          <w:rFonts w:cstheme="minorHAnsi"/>
        </w:rPr>
        <w:t>Pracownicy</w:t>
      </w:r>
      <w:r w:rsidR="003B50ED">
        <w:rPr>
          <w:rFonts w:cstheme="minorHAnsi"/>
        </w:rPr>
        <w:t xml:space="preserve"> </w:t>
      </w:r>
      <w:r w:rsidRPr="00A26C26">
        <w:rPr>
          <w:rFonts w:cstheme="minorHAnsi"/>
        </w:rPr>
        <w:t>LGD</w:t>
      </w:r>
      <w:r w:rsidR="003B50ED">
        <w:rPr>
          <w:rFonts w:cstheme="minorHAnsi"/>
        </w:rPr>
        <w:t xml:space="preserve"> </w:t>
      </w:r>
      <w:r w:rsidRPr="00A26C26">
        <w:rPr>
          <w:rFonts w:cstheme="minorHAnsi"/>
        </w:rPr>
        <w:t>będą</w:t>
      </w:r>
      <w:r w:rsidR="003B50ED">
        <w:rPr>
          <w:rFonts w:cstheme="minorHAnsi"/>
        </w:rPr>
        <w:t xml:space="preserve"> </w:t>
      </w:r>
      <w:r w:rsidRPr="00A26C26">
        <w:rPr>
          <w:rFonts w:cstheme="minorHAnsi"/>
        </w:rPr>
        <w:t>nadal</w:t>
      </w:r>
      <w:r w:rsidR="003B50ED">
        <w:rPr>
          <w:rFonts w:cstheme="minorHAnsi"/>
        </w:rPr>
        <w:t xml:space="preserve"> </w:t>
      </w:r>
      <w:r w:rsidRPr="00A26C26">
        <w:rPr>
          <w:rFonts w:cstheme="minorHAnsi"/>
        </w:rPr>
        <w:t>świadczyć</w:t>
      </w:r>
      <w:r w:rsidR="003B50ED">
        <w:rPr>
          <w:rFonts w:cstheme="minorHAnsi"/>
        </w:rPr>
        <w:t xml:space="preserve"> </w:t>
      </w:r>
      <w:r w:rsidRPr="00A26C26">
        <w:rPr>
          <w:rFonts w:cstheme="minorHAnsi"/>
        </w:rPr>
        <w:t>bezpłatne</w:t>
      </w:r>
      <w:r w:rsidR="003B50ED">
        <w:rPr>
          <w:rFonts w:cstheme="minorHAnsi"/>
        </w:rPr>
        <w:t xml:space="preserve"> </w:t>
      </w:r>
      <w:r w:rsidRPr="00A26C26">
        <w:rPr>
          <w:rFonts w:cstheme="minorHAnsi"/>
        </w:rPr>
        <w:t>doradztwo,</w:t>
      </w:r>
      <w:r w:rsidR="003B50ED">
        <w:rPr>
          <w:rFonts w:cstheme="minorHAnsi"/>
        </w:rPr>
        <w:t xml:space="preserve"> </w:t>
      </w:r>
      <w:r w:rsidRPr="00A26C26">
        <w:rPr>
          <w:rFonts w:cstheme="minorHAnsi"/>
        </w:rPr>
        <w:t>zgodnie</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Regulaminem</w:t>
      </w:r>
      <w:r w:rsidR="003B50ED">
        <w:rPr>
          <w:rFonts w:cstheme="minorHAnsi"/>
        </w:rPr>
        <w:t xml:space="preserve"> </w:t>
      </w:r>
      <w:r w:rsidRPr="00A26C26">
        <w:rPr>
          <w:rFonts w:cstheme="minorHAnsi"/>
        </w:rPr>
        <w:t>lub</w:t>
      </w:r>
      <w:r w:rsidR="003B50ED">
        <w:rPr>
          <w:rFonts w:cstheme="minorHAnsi"/>
        </w:rPr>
        <w:t xml:space="preserve"> </w:t>
      </w:r>
      <w:r w:rsidRPr="00A26C26">
        <w:rPr>
          <w:rFonts w:cstheme="minorHAnsi"/>
        </w:rPr>
        <w:t>upublicznionymi</w:t>
      </w:r>
      <w:r w:rsidR="003B50ED">
        <w:rPr>
          <w:rFonts w:eastAsia="Times New Roman" w:cstheme="minorHAnsi"/>
          <w:kern w:val="0"/>
          <w:shd w:val="clear" w:color="auto" w:fill="00FFFF"/>
          <w:lang w:eastAsia="pl-PL"/>
          <w14:ligatures w14:val="none"/>
        </w:rPr>
        <w:t xml:space="preserve"> </w:t>
      </w:r>
      <w:r w:rsidRPr="00A26C26">
        <w:rPr>
          <w:rFonts w:cstheme="minorHAnsi"/>
        </w:rPr>
        <w:t>zasadami</w:t>
      </w:r>
      <w:r w:rsidR="003B50ED">
        <w:rPr>
          <w:rFonts w:cstheme="minorHAnsi"/>
        </w:rPr>
        <w:t xml:space="preserve"> </w:t>
      </w:r>
      <w:r w:rsidRPr="00A26C26">
        <w:rPr>
          <w:rFonts w:cstheme="minorHAnsi"/>
        </w:rPr>
        <w:t>doradztwa.</w:t>
      </w:r>
      <w:r w:rsidR="003B50ED">
        <w:rPr>
          <w:rFonts w:cstheme="minorHAnsi"/>
        </w:rPr>
        <w:t xml:space="preserve"> </w:t>
      </w:r>
      <w:r w:rsidRPr="00A26C26">
        <w:rPr>
          <w:rFonts w:cstheme="minorHAnsi"/>
        </w:rPr>
        <w:t>Było</w:t>
      </w:r>
      <w:r w:rsidR="003B50ED">
        <w:rPr>
          <w:rFonts w:cstheme="minorHAnsi"/>
        </w:rPr>
        <w:t xml:space="preserve"> </w:t>
      </w:r>
      <w:r w:rsidRPr="00A26C26">
        <w:rPr>
          <w:rFonts w:cstheme="minorHAnsi"/>
        </w:rPr>
        <w:t>ono</w:t>
      </w:r>
      <w:r w:rsidR="003B50ED">
        <w:rPr>
          <w:rFonts w:cstheme="minorHAnsi"/>
        </w:rPr>
        <w:t xml:space="preserve"> </w:t>
      </w:r>
      <w:r w:rsidRPr="00A26C26">
        <w:rPr>
          <w:rFonts w:cstheme="minorHAnsi"/>
        </w:rPr>
        <w:t>wysoko</w:t>
      </w:r>
      <w:r w:rsidR="003B50ED">
        <w:rPr>
          <w:rFonts w:cstheme="minorHAnsi"/>
        </w:rPr>
        <w:t xml:space="preserve"> </w:t>
      </w:r>
      <w:r w:rsidRPr="00A26C26">
        <w:rPr>
          <w:rFonts w:cstheme="minorHAnsi"/>
        </w:rPr>
        <w:t>oceniane</w:t>
      </w:r>
      <w:r w:rsidR="003B50ED">
        <w:rPr>
          <w:rFonts w:cstheme="minorHAnsi"/>
        </w:rPr>
        <w:t xml:space="preserve"> </w:t>
      </w:r>
      <w:r w:rsidRPr="00A26C26">
        <w:rPr>
          <w:rFonts w:cstheme="minorHAnsi"/>
        </w:rPr>
        <w:t>przez</w:t>
      </w:r>
      <w:r w:rsidR="003B50ED">
        <w:rPr>
          <w:rFonts w:cstheme="minorHAnsi"/>
        </w:rPr>
        <w:t xml:space="preserve"> </w:t>
      </w:r>
      <w:r w:rsidRPr="00A26C26">
        <w:rPr>
          <w:rFonts w:cstheme="minorHAnsi"/>
        </w:rPr>
        <w:t>beneficjentów</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poprzedniej</w:t>
      </w:r>
      <w:r w:rsidR="003B50ED">
        <w:rPr>
          <w:rFonts w:cstheme="minorHAnsi"/>
        </w:rPr>
        <w:t xml:space="preserve"> </w:t>
      </w:r>
      <w:r w:rsidRPr="00A26C26">
        <w:rPr>
          <w:rFonts w:cstheme="minorHAnsi"/>
        </w:rPr>
        <w:t>perspektywie</w:t>
      </w:r>
      <w:r w:rsidR="003B50ED">
        <w:rPr>
          <w:rFonts w:cstheme="minorHAnsi"/>
        </w:rPr>
        <w:t xml:space="preserve"> </w:t>
      </w:r>
      <w:r w:rsidRPr="00A26C26">
        <w:rPr>
          <w:rFonts w:cstheme="minorHAnsi"/>
        </w:rPr>
        <w:t>programowej</w:t>
      </w:r>
      <w:r w:rsidR="003B50ED">
        <w:rPr>
          <w:rFonts w:cstheme="minorHAnsi"/>
        </w:rPr>
        <w:t xml:space="preserve"> </w:t>
      </w:r>
      <w:r w:rsidR="008D675F" w:rsidRPr="00A26C26">
        <w:rPr>
          <w:rFonts w:cstheme="minorHAnsi"/>
        </w:rPr>
        <w:br/>
      </w:r>
      <w:r w:rsidRPr="00A26C26">
        <w:rPr>
          <w:rFonts w:cstheme="minorHAnsi"/>
        </w:rPr>
        <w:t>i</w:t>
      </w:r>
      <w:r w:rsidR="003B50ED">
        <w:rPr>
          <w:rFonts w:cstheme="minorHAnsi"/>
        </w:rPr>
        <w:t xml:space="preserve"> </w:t>
      </w:r>
      <w:r w:rsidRPr="00A26C26">
        <w:rPr>
          <w:rFonts w:cstheme="minorHAnsi"/>
        </w:rPr>
        <w:t>dawało</w:t>
      </w:r>
      <w:r w:rsidR="003B50ED">
        <w:rPr>
          <w:rFonts w:cstheme="minorHAnsi"/>
        </w:rPr>
        <w:t xml:space="preserve"> </w:t>
      </w:r>
      <w:r w:rsidRPr="00A26C26">
        <w:rPr>
          <w:rFonts w:cstheme="minorHAnsi"/>
        </w:rPr>
        <w:t>wymierne</w:t>
      </w:r>
      <w:r w:rsidR="003B50ED">
        <w:rPr>
          <w:rFonts w:cstheme="minorHAnsi"/>
        </w:rPr>
        <w:t xml:space="preserve"> </w:t>
      </w:r>
      <w:r w:rsidRPr="00A26C26">
        <w:rPr>
          <w:rFonts w:cstheme="minorHAnsi"/>
        </w:rPr>
        <w:t>efekty</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postaci</w:t>
      </w:r>
      <w:r w:rsidR="003B50ED">
        <w:rPr>
          <w:rFonts w:cstheme="minorHAnsi"/>
        </w:rPr>
        <w:t xml:space="preserve"> </w:t>
      </w:r>
      <w:r w:rsidRPr="00A26C26">
        <w:rPr>
          <w:rFonts w:cstheme="minorHAnsi"/>
        </w:rPr>
        <w:t>lepszej</w:t>
      </w:r>
      <w:r w:rsidR="003B50ED">
        <w:rPr>
          <w:rFonts w:cstheme="minorHAnsi"/>
        </w:rPr>
        <w:t xml:space="preserve"> </w:t>
      </w:r>
      <w:r w:rsidRPr="00A26C26">
        <w:rPr>
          <w:rFonts w:cstheme="minorHAnsi"/>
        </w:rPr>
        <w:t>jakości</w:t>
      </w:r>
      <w:r w:rsidR="003B50ED">
        <w:rPr>
          <w:rFonts w:cstheme="minorHAnsi"/>
        </w:rPr>
        <w:t xml:space="preserve"> </w:t>
      </w:r>
      <w:r w:rsidRPr="00A26C26">
        <w:rPr>
          <w:rFonts w:cstheme="minorHAnsi"/>
        </w:rPr>
        <w:t>dokumentacji</w:t>
      </w:r>
      <w:r w:rsidR="003B50ED">
        <w:rPr>
          <w:rFonts w:cstheme="minorHAnsi"/>
        </w:rPr>
        <w:t xml:space="preserve"> </w:t>
      </w:r>
      <w:r w:rsidRPr="00A26C26">
        <w:rPr>
          <w:rFonts w:cstheme="minorHAnsi"/>
        </w:rPr>
        <w:t>aplikacyjnej,</w:t>
      </w:r>
      <w:r w:rsidR="003B50ED">
        <w:rPr>
          <w:rFonts w:cstheme="minorHAnsi"/>
        </w:rPr>
        <w:t xml:space="preserve"> </w:t>
      </w:r>
      <w:r w:rsidRPr="00A26C26">
        <w:rPr>
          <w:rFonts w:cstheme="minorHAnsi"/>
        </w:rPr>
        <w:t>dlatego</w:t>
      </w:r>
      <w:r w:rsidR="003B50ED">
        <w:rPr>
          <w:rFonts w:cstheme="minorHAnsi"/>
        </w:rPr>
        <w:t xml:space="preserve"> </w:t>
      </w:r>
      <w:r w:rsidRPr="00A26C26">
        <w:rPr>
          <w:rFonts w:cstheme="minorHAnsi"/>
        </w:rPr>
        <w:t>od</w:t>
      </w:r>
      <w:r w:rsidR="003B50ED">
        <w:rPr>
          <w:rFonts w:cstheme="minorHAnsi"/>
        </w:rPr>
        <w:t xml:space="preserve"> </w:t>
      </w:r>
      <w:r w:rsidRPr="00A26C26">
        <w:rPr>
          <w:rFonts w:cstheme="minorHAnsi"/>
        </w:rPr>
        <w:t>początku</w:t>
      </w:r>
      <w:r w:rsidR="003B50ED">
        <w:rPr>
          <w:rFonts w:cstheme="minorHAnsi"/>
        </w:rPr>
        <w:t xml:space="preserve"> </w:t>
      </w:r>
      <w:r w:rsidRPr="00A26C26">
        <w:rPr>
          <w:rFonts w:cstheme="minorHAnsi"/>
        </w:rPr>
        <w:t>wdrażania</w:t>
      </w:r>
      <w:r w:rsidR="003B50ED">
        <w:rPr>
          <w:rFonts w:cstheme="minorHAnsi"/>
        </w:rPr>
        <w:t xml:space="preserve"> </w:t>
      </w:r>
      <w:r w:rsidRPr="00A26C26">
        <w:rPr>
          <w:rFonts w:cstheme="minorHAnsi"/>
        </w:rPr>
        <w:t>nowej</w:t>
      </w:r>
      <w:r w:rsidR="003B50ED">
        <w:rPr>
          <w:rFonts w:cstheme="minorHAnsi"/>
        </w:rPr>
        <w:t xml:space="preserve"> </w:t>
      </w:r>
      <w:r w:rsidRPr="00A26C26">
        <w:rPr>
          <w:rFonts w:cstheme="minorHAnsi"/>
        </w:rPr>
        <w:t>LSR</w:t>
      </w:r>
      <w:r w:rsidR="003B50ED">
        <w:rPr>
          <w:rFonts w:cstheme="minorHAnsi"/>
        </w:rPr>
        <w:t xml:space="preserve"> </w:t>
      </w:r>
      <w:r w:rsidRPr="00A26C26">
        <w:rPr>
          <w:rFonts w:cstheme="minorHAnsi"/>
        </w:rPr>
        <w:t>będzie</w:t>
      </w:r>
      <w:r w:rsidR="003B50ED">
        <w:rPr>
          <w:rFonts w:cstheme="minorHAnsi"/>
        </w:rPr>
        <w:t xml:space="preserve"> </w:t>
      </w:r>
      <w:r w:rsidRPr="00A26C26">
        <w:rPr>
          <w:rFonts w:cstheme="minorHAnsi"/>
        </w:rPr>
        <w:t>możliwe</w:t>
      </w:r>
      <w:r w:rsidR="003B50ED">
        <w:rPr>
          <w:rFonts w:cstheme="minorHAnsi"/>
        </w:rPr>
        <w:t xml:space="preserve"> </w:t>
      </w:r>
      <w:r w:rsidRPr="00A26C26">
        <w:rPr>
          <w:rFonts w:cstheme="minorHAnsi"/>
        </w:rPr>
        <w:t>korzystanie</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tej</w:t>
      </w:r>
      <w:r w:rsidR="003B50ED">
        <w:rPr>
          <w:rFonts w:cstheme="minorHAnsi"/>
        </w:rPr>
        <w:t xml:space="preserve"> </w:t>
      </w:r>
      <w:r w:rsidRPr="00A26C26">
        <w:rPr>
          <w:rFonts w:cstheme="minorHAnsi"/>
        </w:rPr>
        <w:t>formy</w:t>
      </w:r>
      <w:r w:rsidR="003B50ED">
        <w:rPr>
          <w:rFonts w:cstheme="minorHAnsi"/>
        </w:rPr>
        <w:t xml:space="preserve"> </w:t>
      </w:r>
      <w:r w:rsidRPr="00A26C26">
        <w:rPr>
          <w:rFonts w:cstheme="minorHAnsi"/>
        </w:rPr>
        <w:t>pomocy.</w:t>
      </w:r>
    </w:p>
    <w:p w14:paraId="52CEDFF0" w14:textId="060E5033" w:rsidR="00C71928" w:rsidRPr="00A26C26" w:rsidRDefault="00C71928" w:rsidP="00A26C26">
      <w:pPr>
        <w:spacing w:line="276" w:lineRule="auto"/>
        <w:ind w:firstLine="284"/>
        <w:jc w:val="both"/>
        <w:rPr>
          <w:rFonts w:cstheme="minorHAnsi"/>
        </w:rPr>
      </w:pPr>
      <w:r w:rsidRPr="00A26C26">
        <w:rPr>
          <w:rFonts w:cstheme="minorHAnsi"/>
        </w:rPr>
        <w:t>Strona</w:t>
      </w:r>
      <w:r w:rsidR="003B50ED">
        <w:rPr>
          <w:rFonts w:cstheme="minorHAnsi"/>
        </w:rPr>
        <w:t xml:space="preserve"> </w:t>
      </w:r>
      <w:r w:rsidRPr="00A26C26">
        <w:rPr>
          <w:rFonts w:cstheme="minorHAnsi"/>
        </w:rPr>
        <w:t>internetowa</w:t>
      </w:r>
      <w:r w:rsidR="003B50ED">
        <w:rPr>
          <w:rFonts w:cstheme="minorHAnsi"/>
        </w:rPr>
        <w:t xml:space="preserve"> </w:t>
      </w:r>
      <w:r w:rsidRPr="00A26C26">
        <w:rPr>
          <w:rFonts w:cstheme="minorHAnsi"/>
        </w:rPr>
        <w:t>będzie</w:t>
      </w:r>
      <w:r w:rsidR="003B50ED">
        <w:rPr>
          <w:rFonts w:cstheme="minorHAnsi"/>
        </w:rPr>
        <w:t xml:space="preserve"> </w:t>
      </w:r>
      <w:r w:rsidRPr="00A26C26">
        <w:rPr>
          <w:rFonts w:cstheme="minorHAnsi"/>
        </w:rPr>
        <w:t>źródłem</w:t>
      </w:r>
      <w:r w:rsidR="003B50ED">
        <w:rPr>
          <w:rFonts w:cstheme="minorHAnsi"/>
        </w:rPr>
        <w:t xml:space="preserve"> </w:t>
      </w:r>
      <w:r w:rsidRPr="00A26C26">
        <w:rPr>
          <w:rFonts w:cstheme="minorHAnsi"/>
        </w:rPr>
        <w:t>informacji</w:t>
      </w:r>
      <w:r w:rsidR="003B50ED">
        <w:rPr>
          <w:rFonts w:cstheme="minorHAnsi"/>
        </w:rPr>
        <w:t xml:space="preserve"> </w:t>
      </w:r>
      <w:r w:rsidRPr="00A26C26">
        <w:rPr>
          <w:rFonts w:cstheme="minorHAnsi"/>
        </w:rPr>
        <w:t>o</w:t>
      </w:r>
      <w:r w:rsidR="003B50ED">
        <w:rPr>
          <w:rFonts w:cstheme="minorHAnsi"/>
        </w:rPr>
        <w:t xml:space="preserve"> </w:t>
      </w:r>
      <w:r w:rsidRPr="00A26C26">
        <w:rPr>
          <w:rFonts w:cstheme="minorHAnsi"/>
        </w:rPr>
        <w:t>planowanych</w:t>
      </w:r>
      <w:r w:rsidR="003B50ED">
        <w:rPr>
          <w:rFonts w:cstheme="minorHAnsi"/>
        </w:rPr>
        <w:t xml:space="preserve"> </w:t>
      </w:r>
      <w:r w:rsidRPr="00A26C26">
        <w:rPr>
          <w:rFonts w:cstheme="minorHAnsi"/>
        </w:rPr>
        <w:t>naborach</w:t>
      </w:r>
      <w:r w:rsidR="003B50ED">
        <w:rPr>
          <w:rFonts w:cstheme="minorHAnsi"/>
        </w:rPr>
        <w:t xml:space="preserve"> </w:t>
      </w:r>
      <w:r w:rsidRPr="00A26C26">
        <w:rPr>
          <w:rFonts w:cstheme="minorHAnsi"/>
        </w:rPr>
        <w:t>wniosków,</w:t>
      </w:r>
      <w:r w:rsidR="003B50ED">
        <w:rPr>
          <w:rFonts w:cstheme="minorHAnsi"/>
        </w:rPr>
        <w:t xml:space="preserve"> </w:t>
      </w:r>
      <w:r w:rsidRPr="00A26C26">
        <w:rPr>
          <w:rFonts w:cstheme="minorHAnsi"/>
        </w:rPr>
        <w:t>obowiązujących</w:t>
      </w:r>
      <w:r w:rsidR="003B50ED">
        <w:rPr>
          <w:rFonts w:cstheme="minorHAnsi"/>
        </w:rPr>
        <w:t xml:space="preserve"> </w:t>
      </w:r>
      <w:r w:rsidRPr="00A26C26">
        <w:rPr>
          <w:rFonts w:cstheme="minorHAnsi"/>
        </w:rPr>
        <w:t>lokalnych</w:t>
      </w:r>
      <w:r w:rsidR="003B50ED">
        <w:rPr>
          <w:rFonts w:cstheme="minorHAnsi"/>
        </w:rPr>
        <w:t xml:space="preserve"> </w:t>
      </w:r>
      <w:r w:rsidRPr="00A26C26">
        <w:rPr>
          <w:rFonts w:cstheme="minorHAnsi"/>
        </w:rPr>
        <w:t>kryteriach</w:t>
      </w:r>
      <w:r w:rsidR="003B50ED">
        <w:rPr>
          <w:rFonts w:cstheme="minorHAnsi"/>
        </w:rPr>
        <w:t xml:space="preserve"> </w:t>
      </w:r>
      <w:r w:rsidRPr="00A26C26">
        <w:rPr>
          <w:rFonts w:cstheme="minorHAnsi"/>
        </w:rPr>
        <w:t>wyboru,</w:t>
      </w:r>
      <w:r w:rsidR="003B50ED">
        <w:rPr>
          <w:rFonts w:cstheme="minorHAnsi"/>
        </w:rPr>
        <w:t xml:space="preserve"> </w:t>
      </w:r>
      <w:r w:rsidRPr="00A26C26">
        <w:rPr>
          <w:rFonts w:cstheme="minorHAnsi"/>
        </w:rPr>
        <w:t>Regulaminach</w:t>
      </w:r>
      <w:r w:rsidR="003B50ED">
        <w:rPr>
          <w:rFonts w:cstheme="minorHAnsi"/>
        </w:rPr>
        <w:t xml:space="preserve"> </w:t>
      </w:r>
      <w:r w:rsidRPr="00A26C26">
        <w:rPr>
          <w:rFonts w:cstheme="minorHAnsi"/>
        </w:rPr>
        <w:t>organu</w:t>
      </w:r>
      <w:r w:rsidR="003B50ED">
        <w:rPr>
          <w:rFonts w:cstheme="minorHAnsi"/>
        </w:rPr>
        <w:t xml:space="preserve"> </w:t>
      </w:r>
      <w:r w:rsidRPr="00A26C26">
        <w:rPr>
          <w:rFonts w:cstheme="minorHAnsi"/>
        </w:rPr>
        <w:t>decyzyjnego,</w:t>
      </w:r>
      <w:r w:rsidR="003B50ED">
        <w:rPr>
          <w:rFonts w:cstheme="minorHAnsi"/>
        </w:rPr>
        <w:t xml:space="preserve"> </w:t>
      </w:r>
      <w:r w:rsidRPr="00A26C26">
        <w:rPr>
          <w:rFonts w:cstheme="minorHAnsi"/>
        </w:rPr>
        <w:t>stosowanych</w:t>
      </w:r>
      <w:r w:rsidR="003B50ED">
        <w:rPr>
          <w:rFonts w:cstheme="minorHAnsi"/>
        </w:rPr>
        <w:t xml:space="preserve"> </w:t>
      </w:r>
      <w:r w:rsidRPr="00A26C26">
        <w:rPr>
          <w:rFonts w:cstheme="minorHAnsi"/>
        </w:rPr>
        <w:t>procedurach</w:t>
      </w:r>
      <w:r w:rsidR="003B50ED">
        <w:rPr>
          <w:rFonts w:cstheme="minorHAnsi"/>
        </w:rPr>
        <w:t xml:space="preserve"> </w:t>
      </w:r>
      <w:r w:rsidRPr="00A26C26">
        <w:rPr>
          <w:rFonts w:cstheme="minorHAnsi"/>
        </w:rPr>
        <w:t>oceny</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wyboru</w:t>
      </w:r>
      <w:r w:rsidR="003B50ED">
        <w:rPr>
          <w:rFonts w:cstheme="minorHAnsi"/>
        </w:rPr>
        <w:t xml:space="preserve"> </w:t>
      </w:r>
      <w:r w:rsidRPr="00A26C26">
        <w:rPr>
          <w:rFonts w:cstheme="minorHAnsi"/>
        </w:rPr>
        <w:t>operacji</w:t>
      </w:r>
      <w:r w:rsidR="003B50ED">
        <w:rPr>
          <w:rFonts w:cstheme="minorHAnsi"/>
        </w:rPr>
        <w:t xml:space="preserve"> </w:t>
      </w:r>
      <w:r w:rsidRPr="00A26C26">
        <w:rPr>
          <w:rFonts w:cstheme="minorHAnsi"/>
        </w:rPr>
        <w:t>/</w:t>
      </w:r>
      <w:r w:rsidR="003B50ED">
        <w:rPr>
          <w:rFonts w:cstheme="minorHAnsi"/>
        </w:rPr>
        <w:t xml:space="preserve"> </w:t>
      </w:r>
      <w:proofErr w:type="spellStart"/>
      <w:r w:rsidRPr="00A26C26">
        <w:rPr>
          <w:rFonts w:cstheme="minorHAnsi"/>
        </w:rPr>
        <w:t>Grantobiorców</w:t>
      </w:r>
      <w:proofErr w:type="spellEnd"/>
      <w:r w:rsidRPr="00A26C26">
        <w:rPr>
          <w:rFonts w:cstheme="minorHAnsi"/>
        </w:rPr>
        <w:t>,</w:t>
      </w:r>
      <w:r w:rsidR="003B50ED">
        <w:rPr>
          <w:rFonts w:cstheme="minorHAnsi"/>
        </w:rPr>
        <w:t xml:space="preserve"> </w:t>
      </w:r>
      <w:r w:rsidRPr="00A26C26">
        <w:rPr>
          <w:rFonts w:cstheme="minorHAnsi"/>
        </w:rPr>
        <w:t>ogłaszanych</w:t>
      </w:r>
      <w:r w:rsidR="003B50ED">
        <w:rPr>
          <w:rFonts w:cstheme="minorHAnsi"/>
        </w:rPr>
        <w:t xml:space="preserve"> </w:t>
      </w:r>
      <w:r w:rsidRPr="00A26C26">
        <w:rPr>
          <w:rFonts w:cstheme="minorHAnsi"/>
        </w:rPr>
        <w:t>konkursach,</w:t>
      </w:r>
      <w:r w:rsidR="003B50ED">
        <w:rPr>
          <w:rFonts w:cstheme="minorHAnsi"/>
        </w:rPr>
        <w:t xml:space="preserve"> </w:t>
      </w:r>
      <w:r w:rsidRPr="00A26C26">
        <w:rPr>
          <w:rFonts w:cstheme="minorHAnsi"/>
        </w:rPr>
        <w:t>czy</w:t>
      </w:r>
      <w:r w:rsidR="003B50ED">
        <w:rPr>
          <w:rFonts w:cstheme="minorHAnsi"/>
        </w:rPr>
        <w:t xml:space="preserve"> </w:t>
      </w:r>
      <w:r w:rsidRPr="00A26C26">
        <w:rPr>
          <w:rFonts w:cstheme="minorHAnsi"/>
        </w:rPr>
        <w:t>wynikach</w:t>
      </w:r>
      <w:r w:rsidR="003B50ED">
        <w:rPr>
          <w:rFonts w:cstheme="minorHAnsi"/>
        </w:rPr>
        <w:t xml:space="preserve"> </w:t>
      </w:r>
      <w:r w:rsidRPr="00A26C26">
        <w:rPr>
          <w:rFonts w:cstheme="minorHAnsi"/>
        </w:rPr>
        <w:t>dokonywanych</w:t>
      </w:r>
      <w:r w:rsidR="003B50ED">
        <w:rPr>
          <w:rFonts w:cstheme="minorHAnsi"/>
        </w:rPr>
        <w:t xml:space="preserve"> </w:t>
      </w:r>
      <w:r w:rsidRPr="00A26C26">
        <w:rPr>
          <w:rFonts w:cstheme="minorHAnsi"/>
        </w:rPr>
        <w:t>wyborów.</w:t>
      </w:r>
      <w:r w:rsidR="003B50ED">
        <w:rPr>
          <w:rFonts w:cstheme="minorHAnsi"/>
        </w:rPr>
        <w:t xml:space="preserve"> </w:t>
      </w:r>
      <w:r w:rsidRPr="00A26C26">
        <w:rPr>
          <w:rFonts w:cstheme="minorHAnsi"/>
        </w:rPr>
        <w:t>Dokumenty</w:t>
      </w:r>
      <w:r w:rsidR="003B50ED">
        <w:rPr>
          <w:rFonts w:cstheme="minorHAnsi"/>
        </w:rPr>
        <w:t xml:space="preserve"> </w:t>
      </w:r>
      <w:r w:rsidRPr="00A26C26">
        <w:rPr>
          <w:rFonts w:cstheme="minorHAnsi"/>
        </w:rPr>
        <w:t>będą</w:t>
      </w:r>
      <w:r w:rsidR="003B50ED">
        <w:rPr>
          <w:rFonts w:cstheme="minorHAnsi"/>
        </w:rPr>
        <w:t xml:space="preserve"> </w:t>
      </w:r>
      <w:r w:rsidRPr="00A26C26">
        <w:rPr>
          <w:rFonts w:cstheme="minorHAnsi"/>
        </w:rPr>
        <w:t>również</w:t>
      </w:r>
      <w:r w:rsidR="003B50ED">
        <w:rPr>
          <w:rFonts w:cstheme="minorHAnsi"/>
        </w:rPr>
        <w:t xml:space="preserve"> </w:t>
      </w:r>
      <w:r w:rsidRPr="00A26C26">
        <w:rPr>
          <w:rFonts w:cstheme="minorHAnsi"/>
        </w:rPr>
        <w:t>dostępne</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Biurze</w:t>
      </w:r>
      <w:r w:rsidR="003B50ED">
        <w:rPr>
          <w:rFonts w:cstheme="minorHAnsi"/>
        </w:rPr>
        <w:t xml:space="preserve"> </w:t>
      </w:r>
      <w:r w:rsidRPr="00A26C26">
        <w:rPr>
          <w:rFonts w:cstheme="minorHAnsi"/>
        </w:rPr>
        <w:t>LGD</w:t>
      </w:r>
      <w:r w:rsidR="00D615FF" w:rsidRPr="00A26C26">
        <w:rPr>
          <w:rFonts w:cstheme="minorHAnsi"/>
        </w:rPr>
        <w:t>.</w:t>
      </w:r>
      <w:r w:rsidR="003B50ED">
        <w:rPr>
          <w:rFonts w:cstheme="minorHAnsi"/>
        </w:rPr>
        <w:t xml:space="preserve"> </w:t>
      </w:r>
    </w:p>
    <w:p w14:paraId="6571D06E" w14:textId="416969B9" w:rsidR="00C71928" w:rsidRPr="00A26C26" w:rsidRDefault="00C71928" w:rsidP="00A26C26">
      <w:pPr>
        <w:spacing w:line="276" w:lineRule="auto"/>
        <w:ind w:firstLine="284"/>
        <w:jc w:val="both"/>
        <w:rPr>
          <w:rFonts w:cstheme="minorHAnsi"/>
        </w:rPr>
      </w:pPr>
      <w:r w:rsidRPr="00860118">
        <w:rPr>
          <w:rFonts w:cstheme="minorHAnsi"/>
        </w:rPr>
        <w:t>Należy</w:t>
      </w:r>
      <w:r w:rsidR="003B50ED" w:rsidRPr="00860118">
        <w:rPr>
          <w:rFonts w:cstheme="minorHAnsi"/>
        </w:rPr>
        <w:t xml:space="preserve"> </w:t>
      </w:r>
      <w:r w:rsidRPr="00860118">
        <w:rPr>
          <w:rFonts w:cstheme="minorHAnsi"/>
        </w:rPr>
        <w:t>podkreślić,</w:t>
      </w:r>
      <w:r w:rsidR="003B50ED" w:rsidRPr="00860118">
        <w:rPr>
          <w:rFonts w:cstheme="minorHAnsi"/>
        </w:rPr>
        <w:t xml:space="preserve"> </w:t>
      </w:r>
      <w:r w:rsidRPr="00860118">
        <w:rPr>
          <w:rFonts w:cstheme="minorHAnsi"/>
        </w:rPr>
        <w:t>iż</w:t>
      </w:r>
      <w:r w:rsidR="003B50ED" w:rsidRPr="00860118">
        <w:rPr>
          <w:rFonts w:cstheme="minorHAnsi"/>
        </w:rPr>
        <w:t xml:space="preserve"> </w:t>
      </w:r>
      <w:r w:rsidRPr="00860118">
        <w:rPr>
          <w:rFonts w:cstheme="minorHAnsi"/>
        </w:rPr>
        <w:t>jedną</w:t>
      </w:r>
      <w:r w:rsidR="003B50ED" w:rsidRPr="00860118">
        <w:rPr>
          <w:rFonts w:cstheme="minorHAnsi"/>
        </w:rPr>
        <w:t xml:space="preserve"> </w:t>
      </w:r>
      <w:r w:rsidRPr="00860118">
        <w:rPr>
          <w:rFonts w:cstheme="minorHAnsi"/>
        </w:rPr>
        <w:t>z</w:t>
      </w:r>
      <w:r w:rsidR="003B50ED" w:rsidRPr="00860118">
        <w:rPr>
          <w:rFonts w:cstheme="minorHAnsi"/>
        </w:rPr>
        <w:t xml:space="preserve"> </w:t>
      </w:r>
      <w:r w:rsidRPr="00860118">
        <w:rPr>
          <w:rFonts w:cstheme="minorHAnsi"/>
        </w:rPr>
        <w:t>ważniejszych</w:t>
      </w:r>
      <w:r w:rsidR="003B50ED" w:rsidRPr="00860118">
        <w:rPr>
          <w:rFonts w:cstheme="minorHAnsi"/>
        </w:rPr>
        <w:t xml:space="preserve"> </w:t>
      </w:r>
      <w:r w:rsidRPr="00860118">
        <w:rPr>
          <w:rFonts w:cstheme="minorHAnsi"/>
        </w:rPr>
        <w:t>innowacji</w:t>
      </w:r>
      <w:r w:rsidR="003B50ED" w:rsidRPr="00860118">
        <w:rPr>
          <w:rFonts w:cstheme="minorHAnsi"/>
        </w:rPr>
        <w:t xml:space="preserve"> </w:t>
      </w:r>
      <w:r w:rsidRPr="00860118">
        <w:rPr>
          <w:rFonts w:cstheme="minorHAnsi"/>
        </w:rPr>
        <w:t>jakie</w:t>
      </w:r>
      <w:r w:rsidR="003B50ED" w:rsidRPr="00860118">
        <w:rPr>
          <w:rFonts w:cstheme="minorHAnsi"/>
        </w:rPr>
        <w:t xml:space="preserve"> </w:t>
      </w:r>
      <w:r w:rsidRPr="00860118">
        <w:rPr>
          <w:rFonts w:cstheme="minorHAnsi"/>
        </w:rPr>
        <w:t>zostaną</w:t>
      </w:r>
      <w:r w:rsidR="003B50ED" w:rsidRPr="00860118">
        <w:rPr>
          <w:rFonts w:cstheme="minorHAnsi"/>
        </w:rPr>
        <w:t xml:space="preserve"> </w:t>
      </w:r>
      <w:r w:rsidRPr="00860118">
        <w:rPr>
          <w:rFonts w:cstheme="minorHAnsi"/>
        </w:rPr>
        <w:t>wdrożone</w:t>
      </w:r>
      <w:r w:rsidR="003B50ED" w:rsidRPr="00860118">
        <w:rPr>
          <w:rFonts w:cstheme="minorHAnsi"/>
        </w:rPr>
        <w:t xml:space="preserve"> </w:t>
      </w:r>
      <w:r w:rsidRPr="00860118">
        <w:rPr>
          <w:rFonts w:cstheme="minorHAnsi"/>
        </w:rPr>
        <w:t>w</w:t>
      </w:r>
      <w:r w:rsidR="003B50ED" w:rsidRPr="00860118">
        <w:rPr>
          <w:rFonts w:cstheme="minorHAnsi"/>
        </w:rPr>
        <w:t xml:space="preserve"> </w:t>
      </w:r>
      <w:r w:rsidRPr="00860118">
        <w:rPr>
          <w:rFonts w:cstheme="minorHAnsi"/>
        </w:rPr>
        <w:t>okresie</w:t>
      </w:r>
      <w:r w:rsidR="003B50ED" w:rsidRPr="00860118">
        <w:rPr>
          <w:rFonts w:cstheme="minorHAnsi"/>
        </w:rPr>
        <w:t xml:space="preserve"> </w:t>
      </w:r>
      <w:r w:rsidRPr="00860118">
        <w:rPr>
          <w:rFonts w:cstheme="minorHAnsi"/>
        </w:rPr>
        <w:t>programowania</w:t>
      </w:r>
      <w:r w:rsidR="003B50ED" w:rsidRPr="00860118">
        <w:rPr>
          <w:rFonts w:cstheme="minorHAnsi"/>
        </w:rPr>
        <w:t xml:space="preserve"> </w:t>
      </w:r>
      <w:r w:rsidR="008D675F" w:rsidRPr="00860118">
        <w:rPr>
          <w:rFonts w:cstheme="minorHAnsi"/>
        </w:rPr>
        <w:t>2023-2027</w:t>
      </w:r>
      <w:r w:rsidR="003B50ED" w:rsidRPr="00860118">
        <w:rPr>
          <w:rFonts w:cstheme="minorHAnsi"/>
        </w:rPr>
        <w:t xml:space="preserve"> </w:t>
      </w:r>
      <w:r w:rsidRPr="00860118">
        <w:rPr>
          <w:rFonts w:cstheme="minorHAnsi"/>
        </w:rPr>
        <w:t>będzie</w:t>
      </w:r>
      <w:r w:rsidR="003B50ED" w:rsidRPr="00860118">
        <w:rPr>
          <w:rFonts w:cstheme="minorHAnsi"/>
        </w:rPr>
        <w:t xml:space="preserve"> </w:t>
      </w:r>
      <w:r w:rsidRPr="00860118">
        <w:rPr>
          <w:rFonts w:cstheme="minorHAnsi"/>
        </w:rPr>
        <w:t>wieloetapowy,</w:t>
      </w:r>
      <w:r w:rsidR="003B50ED" w:rsidRPr="00860118">
        <w:rPr>
          <w:rFonts w:cstheme="minorHAnsi"/>
        </w:rPr>
        <w:t xml:space="preserve"> </w:t>
      </w:r>
      <w:r w:rsidRPr="00860118">
        <w:rPr>
          <w:rFonts w:cstheme="minorHAnsi"/>
        </w:rPr>
        <w:t>kolegialny</w:t>
      </w:r>
      <w:r w:rsidR="003B50ED" w:rsidRPr="00860118">
        <w:rPr>
          <w:rFonts w:cstheme="minorHAnsi"/>
        </w:rPr>
        <w:t xml:space="preserve"> </w:t>
      </w:r>
      <w:r w:rsidRPr="00860118">
        <w:rPr>
          <w:rFonts w:cstheme="minorHAnsi"/>
        </w:rPr>
        <w:t>sposób</w:t>
      </w:r>
      <w:r w:rsidR="003B50ED" w:rsidRPr="00860118">
        <w:rPr>
          <w:rFonts w:cstheme="minorHAnsi"/>
        </w:rPr>
        <w:t xml:space="preserve"> </w:t>
      </w:r>
      <w:r w:rsidRPr="00860118">
        <w:rPr>
          <w:rFonts w:cstheme="minorHAnsi"/>
        </w:rPr>
        <w:t>podejmowania</w:t>
      </w:r>
      <w:r w:rsidR="003B50ED" w:rsidRPr="00860118">
        <w:rPr>
          <w:rFonts w:cstheme="minorHAnsi"/>
        </w:rPr>
        <w:t xml:space="preserve"> </w:t>
      </w:r>
      <w:r w:rsidRPr="00860118">
        <w:rPr>
          <w:rFonts w:cstheme="minorHAnsi"/>
        </w:rPr>
        <w:t>decyzji,</w:t>
      </w:r>
      <w:r w:rsidR="003B50ED" w:rsidRPr="00860118">
        <w:rPr>
          <w:rFonts w:cstheme="minorHAnsi"/>
        </w:rPr>
        <w:t xml:space="preserve"> </w:t>
      </w:r>
      <w:r w:rsidRPr="00860118">
        <w:rPr>
          <w:rFonts w:cstheme="minorHAnsi"/>
        </w:rPr>
        <w:t>który</w:t>
      </w:r>
      <w:r w:rsidR="003B50ED" w:rsidRPr="00860118">
        <w:rPr>
          <w:rFonts w:cstheme="minorHAnsi"/>
        </w:rPr>
        <w:t xml:space="preserve"> </w:t>
      </w:r>
      <w:r w:rsidRPr="00860118">
        <w:rPr>
          <w:rFonts w:cstheme="minorHAnsi"/>
        </w:rPr>
        <w:t>będzie</w:t>
      </w:r>
      <w:r w:rsidR="003B50ED" w:rsidRPr="00860118">
        <w:rPr>
          <w:rFonts w:cstheme="minorHAnsi"/>
        </w:rPr>
        <w:t xml:space="preserve"> </w:t>
      </w:r>
      <w:r w:rsidRPr="00860118">
        <w:rPr>
          <w:rFonts w:cstheme="minorHAnsi"/>
        </w:rPr>
        <w:t>wyrażał</w:t>
      </w:r>
      <w:r w:rsidR="003B50ED" w:rsidRPr="00860118">
        <w:rPr>
          <w:rFonts w:cstheme="minorHAnsi"/>
        </w:rPr>
        <w:t xml:space="preserve"> </w:t>
      </w:r>
      <w:r w:rsidRPr="00860118">
        <w:rPr>
          <w:rFonts w:cstheme="minorHAnsi"/>
        </w:rPr>
        <w:t>się</w:t>
      </w:r>
      <w:r w:rsidR="003B50ED" w:rsidRPr="00860118">
        <w:rPr>
          <w:rFonts w:cstheme="minorHAnsi"/>
        </w:rPr>
        <w:t xml:space="preserve"> </w:t>
      </w:r>
      <w:r w:rsidRPr="00860118">
        <w:rPr>
          <w:rFonts w:cstheme="minorHAnsi"/>
        </w:rPr>
        <w:t>w</w:t>
      </w:r>
      <w:r w:rsidR="003B50ED" w:rsidRPr="00860118">
        <w:rPr>
          <w:rFonts w:cstheme="minorHAnsi"/>
        </w:rPr>
        <w:t xml:space="preserve"> </w:t>
      </w:r>
      <w:r w:rsidRPr="00860118">
        <w:rPr>
          <w:rFonts w:cstheme="minorHAnsi"/>
        </w:rPr>
        <w:t>tym,</w:t>
      </w:r>
      <w:r w:rsidR="003B50ED" w:rsidRPr="00860118">
        <w:rPr>
          <w:rFonts w:cstheme="minorHAnsi"/>
        </w:rPr>
        <w:t xml:space="preserve"> </w:t>
      </w:r>
      <w:r w:rsidRPr="00860118">
        <w:rPr>
          <w:rFonts w:cstheme="minorHAnsi"/>
        </w:rPr>
        <w:t>że</w:t>
      </w:r>
      <w:r w:rsidR="003B50ED" w:rsidRPr="00860118">
        <w:rPr>
          <w:rFonts w:cstheme="minorHAnsi"/>
        </w:rPr>
        <w:t xml:space="preserve"> </w:t>
      </w:r>
      <w:r w:rsidRPr="00860118">
        <w:rPr>
          <w:rFonts w:cstheme="minorHAnsi"/>
        </w:rPr>
        <w:t>zarówno</w:t>
      </w:r>
      <w:r w:rsidR="003B50ED" w:rsidRPr="00860118">
        <w:rPr>
          <w:rFonts w:cstheme="minorHAnsi"/>
        </w:rPr>
        <w:t xml:space="preserve"> </w:t>
      </w:r>
      <w:r w:rsidRPr="00860118">
        <w:rPr>
          <w:rFonts w:cstheme="minorHAnsi"/>
        </w:rPr>
        <w:t>przed</w:t>
      </w:r>
      <w:r w:rsidR="003B50ED" w:rsidRPr="00860118">
        <w:rPr>
          <w:rFonts w:cstheme="minorHAnsi"/>
        </w:rPr>
        <w:t xml:space="preserve"> </w:t>
      </w:r>
      <w:r w:rsidRPr="00860118">
        <w:rPr>
          <w:rFonts w:cstheme="minorHAnsi"/>
        </w:rPr>
        <w:t>poddaniem</w:t>
      </w:r>
      <w:r w:rsidR="003B50ED" w:rsidRPr="00860118">
        <w:rPr>
          <w:rFonts w:cstheme="minorHAnsi"/>
        </w:rPr>
        <w:t xml:space="preserve"> </w:t>
      </w:r>
      <w:r w:rsidRPr="00860118">
        <w:rPr>
          <w:rFonts w:cstheme="minorHAnsi"/>
        </w:rPr>
        <w:t>pod</w:t>
      </w:r>
      <w:r w:rsidR="003B50ED" w:rsidRPr="00860118">
        <w:rPr>
          <w:rFonts w:cstheme="minorHAnsi"/>
        </w:rPr>
        <w:t xml:space="preserve"> </w:t>
      </w:r>
      <w:r w:rsidRPr="00860118">
        <w:rPr>
          <w:rFonts w:cstheme="minorHAnsi"/>
        </w:rPr>
        <w:t>obrady</w:t>
      </w:r>
      <w:r w:rsidR="003B50ED" w:rsidRPr="00860118">
        <w:rPr>
          <w:rFonts w:cstheme="minorHAnsi"/>
        </w:rPr>
        <w:t xml:space="preserve"> </w:t>
      </w:r>
      <w:r w:rsidRPr="00860118">
        <w:rPr>
          <w:rFonts w:cstheme="minorHAnsi"/>
        </w:rPr>
        <w:t>Zarządu</w:t>
      </w:r>
      <w:r w:rsidR="003B50ED" w:rsidRPr="00860118">
        <w:rPr>
          <w:rFonts w:cstheme="minorHAnsi"/>
        </w:rPr>
        <w:t xml:space="preserve"> </w:t>
      </w:r>
      <w:r w:rsidRPr="00860118">
        <w:rPr>
          <w:rFonts w:cstheme="minorHAnsi"/>
        </w:rPr>
        <w:t>jak</w:t>
      </w:r>
      <w:r w:rsidR="003B50ED" w:rsidRPr="00860118">
        <w:rPr>
          <w:rFonts w:cstheme="minorHAnsi"/>
        </w:rPr>
        <w:t xml:space="preserve"> </w:t>
      </w:r>
      <w:r w:rsidRPr="00860118">
        <w:rPr>
          <w:rFonts w:cstheme="minorHAnsi"/>
        </w:rPr>
        <w:t>i</w:t>
      </w:r>
      <w:r w:rsidR="003B50ED" w:rsidRPr="00860118">
        <w:rPr>
          <w:rFonts w:cstheme="minorHAnsi"/>
        </w:rPr>
        <w:t xml:space="preserve"> </w:t>
      </w:r>
      <w:r w:rsidRPr="00860118">
        <w:rPr>
          <w:rFonts w:cstheme="minorHAnsi"/>
        </w:rPr>
        <w:t>Walnego</w:t>
      </w:r>
      <w:r w:rsidR="003B50ED" w:rsidRPr="00860118">
        <w:rPr>
          <w:rFonts w:cstheme="minorHAnsi"/>
        </w:rPr>
        <w:t xml:space="preserve"> </w:t>
      </w:r>
      <w:r w:rsidRPr="00860118">
        <w:rPr>
          <w:rFonts w:cstheme="minorHAnsi"/>
        </w:rPr>
        <w:t>Zebrania</w:t>
      </w:r>
      <w:r w:rsidR="003B50ED" w:rsidRPr="00860118">
        <w:rPr>
          <w:rFonts w:cstheme="minorHAnsi"/>
        </w:rPr>
        <w:t xml:space="preserve"> </w:t>
      </w:r>
      <w:r w:rsidRPr="00860118">
        <w:rPr>
          <w:rFonts w:cstheme="minorHAnsi"/>
        </w:rPr>
        <w:t>konkretnej</w:t>
      </w:r>
      <w:r w:rsidR="003B50ED" w:rsidRPr="00860118">
        <w:rPr>
          <w:rFonts w:cstheme="minorHAnsi"/>
        </w:rPr>
        <w:t xml:space="preserve"> </w:t>
      </w:r>
      <w:r w:rsidRPr="00860118">
        <w:rPr>
          <w:rFonts w:cstheme="minorHAnsi"/>
        </w:rPr>
        <w:t>propozycji</w:t>
      </w:r>
      <w:r w:rsidR="003B50ED" w:rsidRPr="00860118">
        <w:rPr>
          <w:rFonts w:cstheme="minorHAnsi"/>
        </w:rPr>
        <w:t xml:space="preserve"> </w:t>
      </w:r>
      <w:r w:rsidRPr="00860118">
        <w:rPr>
          <w:rFonts w:cstheme="minorHAnsi"/>
        </w:rPr>
        <w:t>zmiany</w:t>
      </w:r>
      <w:r w:rsidR="003B50ED" w:rsidRPr="00860118">
        <w:rPr>
          <w:rFonts w:cstheme="minorHAnsi"/>
        </w:rPr>
        <w:t xml:space="preserve"> </w:t>
      </w:r>
      <w:r w:rsidRPr="00860118">
        <w:rPr>
          <w:rFonts w:cstheme="minorHAnsi"/>
        </w:rPr>
        <w:t>np.</w:t>
      </w:r>
      <w:r w:rsidR="003B50ED" w:rsidRPr="00860118">
        <w:rPr>
          <w:rFonts w:cstheme="minorHAnsi"/>
        </w:rPr>
        <w:t xml:space="preserve"> </w:t>
      </w:r>
      <w:r w:rsidRPr="00860118">
        <w:rPr>
          <w:rFonts w:cstheme="minorHAnsi"/>
        </w:rPr>
        <w:t>LSR</w:t>
      </w:r>
      <w:r w:rsidR="003B50ED" w:rsidRPr="00860118">
        <w:rPr>
          <w:rFonts w:cstheme="minorHAnsi"/>
        </w:rPr>
        <w:t xml:space="preserve"> </w:t>
      </w:r>
      <w:r w:rsidRPr="00860118">
        <w:rPr>
          <w:rFonts w:cstheme="minorHAnsi"/>
        </w:rPr>
        <w:t>czy</w:t>
      </w:r>
      <w:r w:rsidR="003B50ED" w:rsidRPr="00860118">
        <w:rPr>
          <w:rFonts w:cstheme="minorHAnsi"/>
        </w:rPr>
        <w:t xml:space="preserve"> </w:t>
      </w:r>
      <w:r w:rsidRPr="00860118">
        <w:rPr>
          <w:rFonts w:cstheme="minorHAnsi"/>
        </w:rPr>
        <w:t>pomysłu</w:t>
      </w:r>
      <w:r w:rsidR="003B50ED" w:rsidRPr="00860118">
        <w:rPr>
          <w:rFonts w:cstheme="minorHAnsi"/>
        </w:rPr>
        <w:t xml:space="preserve"> </w:t>
      </w:r>
      <w:r w:rsidRPr="00860118">
        <w:rPr>
          <w:rFonts w:cstheme="minorHAnsi"/>
        </w:rPr>
        <w:t>do</w:t>
      </w:r>
      <w:r w:rsidR="003B50ED" w:rsidRPr="00860118">
        <w:rPr>
          <w:rFonts w:cstheme="minorHAnsi"/>
        </w:rPr>
        <w:t xml:space="preserve"> </w:t>
      </w:r>
      <w:r w:rsidRPr="00860118">
        <w:rPr>
          <w:rFonts w:cstheme="minorHAnsi"/>
        </w:rPr>
        <w:t>realizacji</w:t>
      </w:r>
      <w:r w:rsidR="003B50ED" w:rsidRPr="00860118">
        <w:rPr>
          <w:rFonts w:cstheme="minorHAnsi"/>
        </w:rPr>
        <w:t xml:space="preserve"> </w:t>
      </w:r>
      <w:r w:rsidRPr="00860118">
        <w:rPr>
          <w:rFonts w:cstheme="minorHAnsi"/>
        </w:rPr>
        <w:t>zostanie</w:t>
      </w:r>
      <w:r w:rsidR="003B50ED" w:rsidRPr="00860118">
        <w:rPr>
          <w:rFonts w:cstheme="minorHAnsi"/>
        </w:rPr>
        <w:t xml:space="preserve"> </w:t>
      </w:r>
      <w:r w:rsidRPr="00860118">
        <w:rPr>
          <w:rFonts w:cstheme="minorHAnsi"/>
        </w:rPr>
        <w:t>on</w:t>
      </w:r>
      <w:r w:rsidR="003B50ED" w:rsidRPr="00860118">
        <w:rPr>
          <w:rFonts w:cstheme="minorHAnsi"/>
        </w:rPr>
        <w:t xml:space="preserve"> </w:t>
      </w:r>
      <w:r w:rsidRPr="00860118">
        <w:rPr>
          <w:rFonts w:cstheme="minorHAnsi"/>
        </w:rPr>
        <w:t>przedyskutowany</w:t>
      </w:r>
      <w:r w:rsidR="003B50ED" w:rsidRPr="00860118">
        <w:rPr>
          <w:rFonts w:cstheme="minorHAnsi"/>
        </w:rPr>
        <w:t xml:space="preserve"> </w:t>
      </w:r>
      <w:r w:rsidRPr="00860118">
        <w:rPr>
          <w:rFonts w:cstheme="minorHAnsi"/>
        </w:rPr>
        <w:t>i</w:t>
      </w:r>
      <w:r w:rsidR="003B50ED" w:rsidRPr="00860118">
        <w:rPr>
          <w:rFonts w:cstheme="minorHAnsi"/>
        </w:rPr>
        <w:t xml:space="preserve"> </w:t>
      </w:r>
      <w:r w:rsidRPr="00860118">
        <w:rPr>
          <w:rFonts w:cstheme="minorHAnsi"/>
        </w:rPr>
        <w:t>zaopiniowany</w:t>
      </w:r>
      <w:r w:rsidR="003B50ED" w:rsidRPr="00860118">
        <w:rPr>
          <w:rFonts w:cstheme="minorHAnsi"/>
        </w:rPr>
        <w:t xml:space="preserve"> </w:t>
      </w:r>
      <w:r w:rsidRPr="00860118">
        <w:rPr>
          <w:rFonts w:cstheme="minorHAnsi"/>
        </w:rPr>
        <w:t>przez</w:t>
      </w:r>
      <w:r w:rsidR="003B50ED" w:rsidRPr="00860118">
        <w:rPr>
          <w:rFonts w:cstheme="minorHAnsi"/>
        </w:rPr>
        <w:t xml:space="preserve"> </w:t>
      </w:r>
      <w:r w:rsidRPr="00860118">
        <w:rPr>
          <w:rFonts w:cstheme="minorHAnsi"/>
        </w:rPr>
        <w:t>zespół</w:t>
      </w:r>
      <w:r w:rsidR="003B50ED" w:rsidRPr="00860118">
        <w:rPr>
          <w:rFonts w:cstheme="minorHAnsi"/>
        </w:rPr>
        <w:t xml:space="preserve"> </w:t>
      </w:r>
      <w:r w:rsidRPr="00860118">
        <w:rPr>
          <w:rFonts w:cstheme="minorHAnsi"/>
        </w:rPr>
        <w:t>roboczy</w:t>
      </w:r>
      <w:r w:rsidR="003B50ED" w:rsidRPr="00860118">
        <w:rPr>
          <w:rFonts w:cstheme="minorHAnsi"/>
        </w:rPr>
        <w:t xml:space="preserve"> </w:t>
      </w:r>
      <w:r w:rsidRPr="00860118">
        <w:rPr>
          <w:rFonts w:cstheme="minorHAnsi"/>
        </w:rPr>
        <w:t>składający</w:t>
      </w:r>
      <w:r w:rsidR="003B50ED" w:rsidRPr="00860118">
        <w:rPr>
          <w:rFonts w:cstheme="minorHAnsi"/>
        </w:rPr>
        <w:t xml:space="preserve"> </w:t>
      </w:r>
      <w:r w:rsidRPr="00860118">
        <w:rPr>
          <w:rFonts w:cstheme="minorHAnsi"/>
        </w:rPr>
        <w:t>się</w:t>
      </w:r>
      <w:r w:rsidR="003B50ED" w:rsidRPr="00860118">
        <w:rPr>
          <w:rFonts w:cstheme="minorHAnsi"/>
        </w:rPr>
        <w:t xml:space="preserve"> </w:t>
      </w:r>
      <w:r w:rsidRPr="00860118">
        <w:rPr>
          <w:rFonts w:cstheme="minorHAnsi"/>
        </w:rPr>
        <w:t>zarówno</w:t>
      </w:r>
      <w:r w:rsidR="003B50ED" w:rsidRPr="00860118">
        <w:rPr>
          <w:rFonts w:cstheme="minorHAnsi"/>
        </w:rPr>
        <w:t xml:space="preserve"> </w:t>
      </w:r>
      <w:r w:rsidRPr="00860118">
        <w:rPr>
          <w:rFonts w:cstheme="minorHAnsi"/>
        </w:rPr>
        <w:t>z</w:t>
      </w:r>
      <w:r w:rsidR="003B50ED" w:rsidRPr="00860118">
        <w:rPr>
          <w:rFonts w:cstheme="minorHAnsi"/>
        </w:rPr>
        <w:t xml:space="preserve"> </w:t>
      </w:r>
      <w:r w:rsidRPr="00860118">
        <w:rPr>
          <w:rFonts w:cstheme="minorHAnsi"/>
        </w:rPr>
        <w:t>pracowników</w:t>
      </w:r>
      <w:r w:rsidR="003B50ED" w:rsidRPr="00860118">
        <w:rPr>
          <w:rFonts w:cstheme="minorHAnsi"/>
        </w:rPr>
        <w:t xml:space="preserve"> </w:t>
      </w:r>
      <w:r w:rsidRPr="00860118">
        <w:rPr>
          <w:rFonts w:cstheme="minorHAnsi"/>
        </w:rPr>
        <w:t>biura,</w:t>
      </w:r>
      <w:r w:rsidR="003B50ED" w:rsidRPr="00860118">
        <w:rPr>
          <w:rFonts w:cstheme="minorHAnsi"/>
        </w:rPr>
        <w:t xml:space="preserve"> </w:t>
      </w:r>
      <w:r w:rsidRPr="00860118">
        <w:rPr>
          <w:rFonts w:cstheme="minorHAnsi"/>
        </w:rPr>
        <w:t>przedstawicieli</w:t>
      </w:r>
      <w:r w:rsidR="003B50ED" w:rsidRPr="00860118">
        <w:rPr>
          <w:rFonts w:cstheme="minorHAnsi"/>
        </w:rPr>
        <w:t xml:space="preserve"> </w:t>
      </w:r>
      <w:r w:rsidRPr="00860118">
        <w:rPr>
          <w:rFonts w:cstheme="minorHAnsi"/>
        </w:rPr>
        <w:t>Zarządu,</w:t>
      </w:r>
      <w:r w:rsidR="003B50ED" w:rsidRPr="00860118">
        <w:rPr>
          <w:rFonts w:cstheme="minorHAnsi"/>
        </w:rPr>
        <w:t xml:space="preserve"> </w:t>
      </w:r>
      <w:r w:rsidRPr="00860118">
        <w:rPr>
          <w:rFonts w:cstheme="minorHAnsi"/>
        </w:rPr>
        <w:t>Rady,</w:t>
      </w:r>
      <w:r w:rsidR="003B50ED" w:rsidRPr="00860118">
        <w:rPr>
          <w:rFonts w:cstheme="minorHAnsi"/>
        </w:rPr>
        <w:t xml:space="preserve"> </w:t>
      </w:r>
      <w:r w:rsidRPr="00860118">
        <w:rPr>
          <w:rFonts w:cstheme="minorHAnsi"/>
        </w:rPr>
        <w:t>Komisji</w:t>
      </w:r>
      <w:r w:rsidR="003B50ED" w:rsidRPr="00860118">
        <w:rPr>
          <w:rFonts w:cstheme="minorHAnsi"/>
        </w:rPr>
        <w:t xml:space="preserve"> </w:t>
      </w:r>
      <w:r w:rsidRPr="00860118">
        <w:rPr>
          <w:rFonts w:cstheme="minorHAnsi"/>
        </w:rPr>
        <w:t>Rewizyjnej</w:t>
      </w:r>
      <w:r w:rsidR="003B50ED" w:rsidRPr="00860118">
        <w:rPr>
          <w:rFonts w:cstheme="minorHAnsi"/>
        </w:rPr>
        <w:t xml:space="preserve"> </w:t>
      </w:r>
      <w:r w:rsidRPr="00860118">
        <w:rPr>
          <w:rFonts w:cstheme="minorHAnsi"/>
        </w:rPr>
        <w:t>oraz</w:t>
      </w:r>
      <w:r w:rsidR="003B50ED" w:rsidRPr="00860118">
        <w:rPr>
          <w:rFonts w:cstheme="minorHAnsi"/>
        </w:rPr>
        <w:t xml:space="preserve"> </w:t>
      </w:r>
      <w:r w:rsidRPr="00860118">
        <w:rPr>
          <w:rFonts w:cstheme="minorHAnsi"/>
        </w:rPr>
        <w:t>pozostałych</w:t>
      </w:r>
      <w:r w:rsidR="003B50ED" w:rsidRPr="00860118">
        <w:rPr>
          <w:rFonts w:cstheme="minorHAnsi"/>
        </w:rPr>
        <w:t xml:space="preserve"> </w:t>
      </w:r>
      <w:r w:rsidRPr="00860118">
        <w:rPr>
          <w:rFonts w:cstheme="minorHAnsi"/>
        </w:rPr>
        <w:t>członków</w:t>
      </w:r>
      <w:r w:rsidR="003B50ED" w:rsidRPr="00860118">
        <w:rPr>
          <w:rFonts w:cstheme="minorHAnsi"/>
        </w:rPr>
        <w:t xml:space="preserve"> </w:t>
      </w:r>
      <w:r w:rsidRPr="00860118">
        <w:rPr>
          <w:rFonts w:cstheme="minorHAnsi"/>
        </w:rPr>
        <w:t>LGD.</w:t>
      </w:r>
      <w:r w:rsidR="003B50ED" w:rsidRPr="00860118">
        <w:rPr>
          <w:rFonts w:cstheme="minorHAnsi"/>
        </w:rPr>
        <w:t xml:space="preserve"> </w:t>
      </w:r>
      <w:r w:rsidRPr="00860118">
        <w:rPr>
          <w:rFonts w:cstheme="minorHAnsi"/>
        </w:rPr>
        <w:t>Zapewni</w:t>
      </w:r>
      <w:r w:rsidR="003B50ED" w:rsidRPr="00860118">
        <w:rPr>
          <w:rFonts w:cstheme="minorHAnsi"/>
        </w:rPr>
        <w:t xml:space="preserve"> </w:t>
      </w:r>
      <w:r w:rsidRPr="00860118">
        <w:rPr>
          <w:rFonts w:cstheme="minorHAnsi"/>
        </w:rPr>
        <w:t>to</w:t>
      </w:r>
      <w:r w:rsidR="003B50ED" w:rsidRPr="00860118">
        <w:rPr>
          <w:rFonts w:cstheme="minorHAnsi"/>
        </w:rPr>
        <w:t xml:space="preserve"> </w:t>
      </w:r>
      <w:r w:rsidRPr="00860118">
        <w:rPr>
          <w:rFonts w:cstheme="minorHAnsi"/>
        </w:rPr>
        <w:t>zwiększenie</w:t>
      </w:r>
      <w:r w:rsidR="003B50ED" w:rsidRPr="00860118">
        <w:rPr>
          <w:rFonts w:cstheme="minorHAnsi"/>
        </w:rPr>
        <w:t xml:space="preserve"> </w:t>
      </w:r>
      <w:r w:rsidRPr="00860118">
        <w:rPr>
          <w:rFonts w:cstheme="minorHAnsi"/>
        </w:rPr>
        <w:t>partycypacji</w:t>
      </w:r>
      <w:r w:rsidR="003B50ED" w:rsidRPr="00860118">
        <w:rPr>
          <w:rFonts w:cstheme="minorHAnsi"/>
        </w:rPr>
        <w:t xml:space="preserve"> </w:t>
      </w:r>
      <w:r w:rsidRPr="00860118">
        <w:rPr>
          <w:rFonts w:cstheme="minorHAnsi"/>
        </w:rPr>
        <w:t>lokalnej</w:t>
      </w:r>
      <w:r w:rsidR="003B50ED" w:rsidRPr="00860118">
        <w:rPr>
          <w:rFonts w:cstheme="minorHAnsi"/>
        </w:rPr>
        <w:t xml:space="preserve"> </w:t>
      </w:r>
      <w:r w:rsidRPr="00860118">
        <w:rPr>
          <w:rFonts w:cstheme="minorHAnsi"/>
        </w:rPr>
        <w:t>społeczności</w:t>
      </w:r>
      <w:r w:rsidR="003B50ED" w:rsidRPr="00860118">
        <w:rPr>
          <w:rFonts w:cstheme="minorHAnsi"/>
        </w:rPr>
        <w:t xml:space="preserve"> </w:t>
      </w:r>
      <w:r w:rsidRPr="00860118">
        <w:rPr>
          <w:rFonts w:cstheme="minorHAnsi"/>
        </w:rPr>
        <w:t>a</w:t>
      </w:r>
      <w:r w:rsidR="003B50ED" w:rsidRPr="00860118">
        <w:rPr>
          <w:rFonts w:cstheme="minorHAnsi"/>
        </w:rPr>
        <w:t xml:space="preserve"> </w:t>
      </w:r>
      <w:r w:rsidRPr="00860118">
        <w:rPr>
          <w:rFonts w:cstheme="minorHAnsi"/>
        </w:rPr>
        <w:t>jednocześnie</w:t>
      </w:r>
      <w:r w:rsidR="003B50ED" w:rsidRPr="00860118">
        <w:rPr>
          <w:rFonts w:cstheme="minorHAnsi"/>
        </w:rPr>
        <w:t xml:space="preserve"> </w:t>
      </w:r>
      <w:r w:rsidRPr="00860118">
        <w:rPr>
          <w:rFonts w:cstheme="minorHAnsi"/>
        </w:rPr>
        <w:t>ograniczy</w:t>
      </w:r>
      <w:r w:rsidR="003B50ED" w:rsidRPr="00860118">
        <w:rPr>
          <w:rFonts w:cstheme="minorHAnsi"/>
        </w:rPr>
        <w:t xml:space="preserve"> </w:t>
      </w:r>
      <w:r w:rsidRPr="00860118">
        <w:rPr>
          <w:rFonts w:cstheme="minorHAnsi"/>
        </w:rPr>
        <w:t>zakres</w:t>
      </w:r>
      <w:r w:rsidR="003B50ED" w:rsidRPr="00860118">
        <w:rPr>
          <w:rFonts w:cstheme="minorHAnsi"/>
        </w:rPr>
        <w:t xml:space="preserve"> </w:t>
      </w:r>
      <w:r w:rsidRPr="00860118">
        <w:rPr>
          <w:rFonts w:cstheme="minorHAnsi"/>
        </w:rPr>
        <w:t>zadań</w:t>
      </w:r>
      <w:r w:rsidR="003B50ED" w:rsidRPr="00860118">
        <w:rPr>
          <w:rFonts w:cstheme="minorHAnsi"/>
        </w:rPr>
        <w:t xml:space="preserve"> </w:t>
      </w:r>
      <w:r w:rsidRPr="00860118">
        <w:rPr>
          <w:rFonts w:cstheme="minorHAnsi"/>
        </w:rPr>
        <w:t>co</w:t>
      </w:r>
      <w:r w:rsidR="003B50ED" w:rsidRPr="00860118">
        <w:rPr>
          <w:rFonts w:cstheme="minorHAnsi"/>
        </w:rPr>
        <w:t xml:space="preserve"> </w:t>
      </w:r>
      <w:r w:rsidRPr="00860118">
        <w:rPr>
          <w:rFonts w:cstheme="minorHAnsi"/>
        </w:rPr>
        <w:t>do</w:t>
      </w:r>
      <w:r w:rsidR="003B50ED" w:rsidRPr="00860118">
        <w:rPr>
          <w:rFonts w:cstheme="minorHAnsi"/>
        </w:rPr>
        <w:t xml:space="preserve"> </w:t>
      </w:r>
      <w:r w:rsidRPr="00860118">
        <w:rPr>
          <w:rFonts w:cstheme="minorHAnsi"/>
        </w:rPr>
        <w:t>których</w:t>
      </w:r>
      <w:r w:rsidR="003B50ED" w:rsidRPr="00860118">
        <w:rPr>
          <w:rFonts w:cstheme="minorHAnsi"/>
        </w:rPr>
        <w:t xml:space="preserve"> </w:t>
      </w:r>
      <w:r w:rsidRPr="00860118">
        <w:rPr>
          <w:rFonts w:cstheme="minorHAnsi"/>
        </w:rPr>
        <w:t>Zarząd</w:t>
      </w:r>
      <w:r w:rsidR="003B50ED" w:rsidRPr="00860118">
        <w:rPr>
          <w:rFonts w:cstheme="minorHAnsi"/>
        </w:rPr>
        <w:t xml:space="preserve"> </w:t>
      </w:r>
      <w:r w:rsidRPr="00860118">
        <w:rPr>
          <w:rFonts w:cstheme="minorHAnsi"/>
        </w:rPr>
        <w:t>podejmuje</w:t>
      </w:r>
      <w:r w:rsidR="003B50ED" w:rsidRPr="00860118">
        <w:rPr>
          <w:rFonts w:cstheme="minorHAnsi"/>
        </w:rPr>
        <w:t xml:space="preserve"> </w:t>
      </w:r>
      <w:r w:rsidRPr="00860118">
        <w:rPr>
          <w:rFonts w:cstheme="minorHAnsi"/>
        </w:rPr>
        <w:t>decyzje</w:t>
      </w:r>
      <w:r w:rsidR="003B50ED" w:rsidRPr="00860118">
        <w:rPr>
          <w:rFonts w:cstheme="minorHAnsi"/>
        </w:rPr>
        <w:t xml:space="preserve"> </w:t>
      </w:r>
      <w:r w:rsidRPr="00860118">
        <w:rPr>
          <w:rFonts w:cstheme="minorHAnsi"/>
        </w:rPr>
        <w:t>bez</w:t>
      </w:r>
      <w:r w:rsidR="003B50ED" w:rsidRPr="00860118">
        <w:rPr>
          <w:rFonts w:cstheme="minorHAnsi"/>
        </w:rPr>
        <w:t xml:space="preserve"> </w:t>
      </w:r>
      <w:r w:rsidRPr="00860118">
        <w:rPr>
          <w:rFonts w:cstheme="minorHAnsi"/>
        </w:rPr>
        <w:t>konsultacji/</w:t>
      </w:r>
      <w:r w:rsidR="003B50ED" w:rsidRPr="00860118">
        <w:rPr>
          <w:rFonts w:cstheme="minorHAnsi"/>
        </w:rPr>
        <w:t xml:space="preserve"> </w:t>
      </w:r>
      <w:r w:rsidRPr="00860118">
        <w:rPr>
          <w:rFonts w:cstheme="minorHAnsi"/>
        </w:rPr>
        <w:t>uzgodnienia</w:t>
      </w:r>
      <w:r w:rsidR="003B50ED" w:rsidRPr="00860118">
        <w:rPr>
          <w:rFonts w:cstheme="minorHAnsi"/>
        </w:rPr>
        <w:t xml:space="preserve"> </w:t>
      </w:r>
      <w:r w:rsidRPr="00860118">
        <w:rPr>
          <w:rFonts w:cstheme="minorHAnsi"/>
        </w:rPr>
        <w:t>z</w:t>
      </w:r>
      <w:r w:rsidR="003B50ED" w:rsidRPr="00860118">
        <w:rPr>
          <w:rFonts w:cstheme="minorHAnsi"/>
        </w:rPr>
        <w:t xml:space="preserve"> </w:t>
      </w:r>
      <w:r w:rsidRPr="00860118">
        <w:rPr>
          <w:rFonts w:cstheme="minorHAnsi"/>
        </w:rPr>
        <w:t>pozostałymi</w:t>
      </w:r>
      <w:r w:rsidR="003B50ED" w:rsidRPr="00860118">
        <w:rPr>
          <w:rFonts w:cstheme="minorHAnsi"/>
        </w:rPr>
        <w:t xml:space="preserve"> </w:t>
      </w:r>
      <w:r w:rsidRPr="00860118">
        <w:rPr>
          <w:rFonts w:cstheme="minorHAnsi"/>
        </w:rPr>
        <w:t>członkami</w:t>
      </w:r>
      <w:r w:rsidR="003B50ED" w:rsidRPr="00860118">
        <w:rPr>
          <w:rFonts w:cstheme="minorHAnsi"/>
        </w:rPr>
        <w:t xml:space="preserve"> </w:t>
      </w:r>
      <w:r w:rsidRPr="00860118">
        <w:rPr>
          <w:rFonts w:cstheme="minorHAnsi"/>
        </w:rPr>
        <w:t>LGD.</w:t>
      </w:r>
      <w:r w:rsidR="003B50ED">
        <w:rPr>
          <w:rFonts w:cstheme="minorHAnsi"/>
        </w:rPr>
        <w:t xml:space="preserve"> </w:t>
      </w:r>
      <w:r w:rsidRPr="00A26C26">
        <w:rPr>
          <w:rFonts w:cstheme="minorHAnsi"/>
        </w:rPr>
        <w:t>Ponadto,</w:t>
      </w:r>
      <w:r w:rsidR="003B50ED">
        <w:rPr>
          <w:rFonts w:cstheme="minorHAnsi"/>
        </w:rPr>
        <w:t xml:space="preserve"> </w:t>
      </w:r>
      <w:r w:rsidRPr="00A26C26">
        <w:rPr>
          <w:rFonts w:cstheme="minorHAnsi"/>
        </w:rPr>
        <w:t>należy</w:t>
      </w:r>
      <w:r w:rsidR="003B50ED">
        <w:rPr>
          <w:rFonts w:cstheme="minorHAnsi"/>
        </w:rPr>
        <w:t xml:space="preserve"> </w:t>
      </w:r>
      <w:r w:rsidRPr="00A26C26">
        <w:rPr>
          <w:rFonts w:cstheme="minorHAnsi"/>
        </w:rPr>
        <w:t>podkreślić,</w:t>
      </w:r>
      <w:r w:rsidR="003B50ED">
        <w:rPr>
          <w:rFonts w:cstheme="minorHAnsi"/>
        </w:rPr>
        <w:t xml:space="preserve"> </w:t>
      </w:r>
      <w:r w:rsidRPr="00A26C26">
        <w:rPr>
          <w:rFonts w:cstheme="minorHAnsi"/>
        </w:rPr>
        <w:t>iż</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okresie</w:t>
      </w:r>
      <w:r w:rsidR="003B50ED">
        <w:rPr>
          <w:rFonts w:cstheme="minorHAnsi"/>
        </w:rPr>
        <w:t xml:space="preserve"> </w:t>
      </w:r>
      <w:r w:rsidRPr="00A26C26">
        <w:rPr>
          <w:rFonts w:cstheme="minorHAnsi"/>
        </w:rPr>
        <w:t>programowania</w:t>
      </w:r>
      <w:r w:rsidR="003B50ED">
        <w:rPr>
          <w:rFonts w:cstheme="minorHAnsi"/>
        </w:rPr>
        <w:t xml:space="preserve"> </w:t>
      </w:r>
      <w:r w:rsidRPr="00A26C26">
        <w:rPr>
          <w:rFonts w:cstheme="minorHAnsi"/>
        </w:rPr>
        <w:t>2023-2027,</w:t>
      </w:r>
      <w:r w:rsidR="003B50ED">
        <w:rPr>
          <w:rFonts w:cstheme="minorHAnsi"/>
        </w:rPr>
        <w:t xml:space="preserve"> </w:t>
      </w:r>
      <w:r w:rsidRPr="00A26C26">
        <w:rPr>
          <w:rFonts w:cstheme="minorHAnsi"/>
        </w:rPr>
        <w:t>Walne</w:t>
      </w:r>
      <w:r w:rsidR="003B50ED">
        <w:rPr>
          <w:rFonts w:cstheme="minorHAnsi"/>
        </w:rPr>
        <w:t xml:space="preserve"> </w:t>
      </w:r>
      <w:r w:rsidRPr="00A26C26">
        <w:rPr>
          <w:rFonts w:cstheme="minorHAnsi"/>
        </w:rPr>
        <w:t>Zebranie</w:t>
      </w:r>
      <w:r w:rsidR="003B50ED">
        <w:rPr>
          <w:rFonts w:cstheme="minorHAnsi"/>
        </w:rPr>
        <w:t xml:space="preserve"> </w:t>
      </w:r>
      <w:r w:rsidRPr="00A26C26">
        <w:rPr>
          <w:rFonts w:cstheme="minorHAnsi"/>
        </w:rPr>
        <w:t>Członków</w:t>
      </w:r>
      <w:r w:rsidR="003B50ED">
        <w:rPr>
          <w:rFonts w:cstheme="minorHAnsi"/>
        </w:rPr>
        <w:t xml:space="preserve"> </w:t>
      </w:r>
      <w:r w:rsidRPr="00A26C26">
        <w:rPr>
          <w:rFonts w:cstheme="minorHAnsi"/>
        </w:rPr>
        <w:t>będzie</w:t>
      </w:r>
      <w:r w:rsidR="003B50ED">
        <w:rPr>
          <w:rFonts w:cstheme="minorHAnsi"/>
        </w:rPr>
        <w:t xml:space="preserve"> </w:t>
      </w:r>
      <w:r w:rsidRPr="00A26C26">
        <w:rPr>
          <w:rFonts w:cstheme="minorHAnsi"/>
        </w:rPr>
        <w:t>mogło</w:t>
      </w:r>
      <w:r w:rsidR="003B50ED">
        <w:rPr>
          <w:rFonts w:cstheme="minorHAnsi"/>
        </w:rPr>
        <w:t xml:space="preserve"> </w:t>
      </w:r>
      <w:r w:rsidRPr="00A26C26">
        <w:rPr>
          <w:rFonts w:cstheme="minorHAnsi"/>
        </w:rPr>
        <w:t>zostać</w:t>
      </w:r>
      <w:r w:rsidR="003B50ED">
        <w:rPr>
          <w:rFonts w:cstheme="minorHAnsi"/>
        </w:rPr>
        <w:t xml:space="preserve"> </w:t>
      </w:r>
      <w:r w:rsidRPr="00A26C26">
        <w:rPr>
          <w:rFonts w:cstheme="minorHAnsi"/>
        </w:rPr>
        <w:t>zwołane</w:t>
      </w:r>
      <w:r w:rsidR="003B50ED">
        <w:rPr>
          <w:rFonts w:cstheme="minorHAnsi"/>
        </w:rPr>
        <w:t xml:space="preserve"> </w:t>
      </w:r>
      <w:r w:rsidRPr="00A26C26">
        <w:rPr>
          <w:rFonts w:cstheme="minorHAnsi"/>
        </w:rPr>
        <w:t>przez</w:t>
      </w:r>
      <w:r w:rsidR="003B50ED">
        <w:rPr>
          <w:rFonts w:cstheme="minorHAnsi"/>
        </w:rPr>
        <w:t xml:space="preserve"> </w:t>
      </w:r>
      <w:r w:rsidRPr="00A26C26">
        <w:rPr>
          <w:rFonts w:cstheme="minorHAnsi"/>
        </w:rPr>
        <w:t>wąską</w:t>
      </w:r>
      <w:r w:rsidR="003B50ED">
        <w:rPr>
          <w:rFonts w:cstheme="minorHAnsi"/>
        </w:rPr>
        <w:t xml:space="preserve"> </w:t>
      </w:r>
      <w:r w:rsidRPr="00A26C26">
        <w:rPr>
          <w:rFonts w:cstheme="minorHAnsi"/>
        </w:rPr>
        <w:t>grupę</w:t>
      </w:r>
      <w:r w:rsidR="003B50ED">
        <w:rPr>
          <w:rFonts w:cstheme="minorHAnsi"/>
        </w:rPr>
        <w:t xml:space="preserve"> </w:t>
      </w:r>
      <w:r w:rsidRPr="00A26C26">
        <w:rPr>
          <w:rFonts w:cstheme="minorHAnsi"/>
        </w:rPr>
        <w:t>członków,</w:t>
      </w:r>
      <w:r w:rsidR="003B50ED">
        <w:rPr>
          <w:rFonts w:cstheme="minorHAnsi"/>
        </w:rPr>
        <w:t xml:space="preserve"> </w:t>
      </w:r>
      <w:r w:rsidRPr="00A26C26">
        <w:rPr>
          <w:rFonts w:cstheme="minorHAnsi"/>
        </w:rPr>
        <w:t>co</w:t>
      </w:r>
      <w:r w:rsidR="003B50ED">
        <w:rPr>
          <w:rFonts w:cstheme="minorHAnsi"/>
        </w:rPr>
        <w:t xml:space="preserve"> </w:t>
      </w:r>
      <w:r w:rsidRPr="00A26C26">
        <w:rPr>
          <w:rFonts w:cstheme="minorHAnsi"/>
        </w:rPr>
        <w:t>będzie</w:t>
      </w:r>
      <w:r w:rsidR="003B50ED">
        <w:rPr>
          <w:rFonts w:cstheme="minorHAnsi"/>
        </w:rPr>
        <w:t xml:space="preserve"> </w:t>
      </w:r>
      <w:r w:rsidRPr="00A26C26">
        <w:rPr>
          <w:rFonts w:cstheme="minorHAnsi"/>
        </w:rPr>
        <w:t>miało</w:t>
      </w:r>
      <w:r w:rsidR="003B50ED">
        <w:rPr>
          <w:rFonts w:cstheme="minorHAnsi"/>
        </w:rPr>
        <w:t xml:space="preserve"> </w:t>
      </w:r>
      <w:r w:rsidRPr="00A26C26">
        <w:rPr>
          <w:rFonts w:cstheme="minorHAnsi"/>
        </w:rPr>
        <w:t>dodatkowy,</w:t>
      </w:r>
      <w:r w:rsidR="003B50ED">
        <w:rPr>
          <w:rFonts w:cstheme="minorHAnsi"/>
        </w:rPr>
        <w:t xml:space="preserve"> </w:t>
      </w:r>
      <w:r w:rsidRPr="00A26C26">
        <w:rPr>
          <w:rFonts w:cstheme="minorHAnsi"/>
        </w:rPr>
        <w:t>pozytywny</w:t>
      </w:r>
      <w:r w:rsidR="003B50ED">
        <w:rPr>
          <w:rFonts w:cstheme="minorHAnsi"/>
        </w:rPr>
        <w:t xml:space="preserve"> </w:t>
      </w:r>
      <w:r w:rsidRPr="00A26C26">
        <w:rPr>
          <w:rFonts w:cstheme="minorHAnsi"/>
        </w:rPr>
        <w:t>wpływ</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zwiększenie</w:t>
      </w:r>
      <w:r w:rsidR="003B50ED">
        <w:rPr>
          <w:rFonts w:cstheme="minorHAnsi"/>
        </w:rPr>
        <w:t xml:space="preserve"> </w:t>
      </w:r>
      <w:r w:rsidRPr="00A26C26">
        <w:rPr>
          <w:rFonts w:cstheme="minorHAnsi"/>
        </w:rPr>
        <w:t>udziału</w:t>
      </w:r>
      <w:r w:rsidR="003B50ED">
        <w:rPr>
          <w:rFonts w:cstheme="minorHAnsi"/>
        </w:rPr>
        <w:t xml:space="preserve"> </w:t>
      </w:r>
      <w:r w:rsidRPr="00A26C26">
        <w:rPr>
          <w:rFonts w:cstheme="minorHAnsi"/>
        </w:rPr>
        <w:t>społeczności</w:t>
      </w:r>
      <w:r w:rsidR="003B50ED">
        <w:rPr>
          <w:rFonts w:cstheme="minorHAnsi"/>
        </w:rPr>
        <w:t xml:space="preserve"> </w:t>
      </w:r>
      <w:r w:rsidRPr="00A26C26">
        <w:rPr>
          <w:rFonts w:cstheme="minorHAnsi"/>
        </w:rPr>
        <w:t>lokalnej</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funkcjonowaniu</w:t>
      </w:r>
      <w:r w:rsidR="003B50ED">
        <w:rPr>
          <w:rFonts w:cstheme="minorHAnsi"/>
        </w:rPr>
        <w:t xml:space="preserve"> </w:t>
      </w:r>
      <w:r w:rsidR="00AB742D">
        <w:rPr>
          <w:rFonts w:cstheme="minorHAnsi"/>
        </w:rPr>
        <w:t xml:space="preserve">Stowarzyszenia </w:t>
      </w:r>
      <w:r w:rsidR="00AB742D" w:rsidRPr="00A26C26">
        <w:rPr>
          <w:rFonts w:cstheme="minorHAnsi"/>
        </w:rPr>
        <w:t>„Solidarni</w:t>
      </w:r>
      <w:r w:rsidR="00AB742D">
        <w:rPr>
          <w:rFonts w:cstheme="minorHAnsi"/>
        </w:rPr>
        <w:t xml:space="preserve"> </w:t>
      </w:r>
      <w:r w:rsidR="00AB742D" w:rsidRPr="00A26C26">
        <w:rPr>
          <w:rFonts w:cstheme="minorHAnsi"/>
        </w:rPr>
        <w:t>w</w:t>
      </w:r>
      <w:r w:rsidR="00AB742D">
        <w:rPr>
          <w:rFonts w:cstheme="minorHAnsi"/>
        </w:rPr>
        <w:t xml:space="preserve"> </w:t>
      </w:r>
      <w:r w:rsidR="00AB742D" w:rsidRPr="00A26C26">
        <w:rPr>
          <w:rFonts w:cstheme="minorHAnsi"/>
        </w:rPr>
        <w:t>Partnerstwie”</w:t>
      </w:r>
      <w:r w:rsidR="00AB742D">
        <w:rPr>
          <w:rFonts w:cstheme="minorHAnsi"/>
        </w:rPr>
        <w:t xml:space="preserve"> </w:t>
      </w:r>
      <w:r w:rsidRPr="00A26C26">
        <w:rPr>
          <w:rFonts w:cstheme="minorHAnsi"/>
        </w:rPr>
        <w:t>oraz</w:t>
      </w:r>
      <w:r w:rsidR="003B50ED">
        <w:rPr>
          <w:rFonts w:cstheme="minorHAnsi"/>
        </w:rPr>
        <w:t xml:space="preserve"> </w:t>
      </w:r>
      <w:r w:rsidRPr="00A26C26">
        <w:rPr>
          <w:rFonts w:cstheme="minorHAnsi"/>
        </w:rPr>
        <w:t>wdrażaniu</w:t>
      </w:r>
      <w:r w:rsidR="003B50ED">
        <w:rPr>
          <w:rFonts w:cstheme="minorHAnsi"/>
        </w:rPr>
        <w:t xml:space="preserve"> </w:t>
      </w:r>
      <w:r w:rsidRPr="00A26C26">
        <w:rPr>
          <w:rFonts w:cstheme="minorHAnsi"/>
        </w:rPr>
        <w:t>LSR.</w:t>
      </w:r>
      <w:r w:rsidR="003B50ED">
        <w:rPr>
          <w:rFonts w:cstheme="minorHAnsi"/>
        </w:rPr>
        <w:t xml:space="preserve"> </w:t>
      </w:r>
    </w:p>
    <w:p w14:paraId="3681CE01" w14:textId="7AC9126C" w:rsidR="00C71928" w:rsidRPr="00A26C26" w:rsidRDefault="00C71928" w:rsidP="00A26C26">
      <w:pPr>
        <w:spacing w:line="276" w:lineRule="auto"/>
        <w:ind w:firstLine="284"/>
        <w:jc w:val="both"/>
        <w:rPr>
          <w:rFonts w:cstheme="minorHAnsi"/>
        </w:rPr>
      </w:pPr>
      <w:r w:rsidRPr="00A26C26">
        <w:rPr>
          <w:rFonts w:cstheme="minorHAnsi"/>
        </w:rPr>
        <w:t>LGD</w:t>
      </w:r>
      <w:r w:rsidR="003B50ED">
        <w:rPr>
          <w:rFonts w:cstheme="minorHAnsi"/>
        </w:rPr>
        <w:t xml:space="preserve"> </w:t>
      </w:r>
      <w:r w:rsidRPr="00A26C26">
        <w:rPr>
          <w:rFonts w:cstheme="minorHAnsi"/>
        </w:rPr>
        <w:t>będąc</w:t>
      </w:r>
      <w:r w:rsidR="003B50ED">
        <w:rPr>
          <w:rFonts w:cstheme="minorHAnsi"/>
        </w:rPr>
        <w:t xml:space="preserve"> </w:t>
      </w:r>
      <w:r w:rsidRPr="00A26C26">
        <w:rPr>
          <w:rFonts w:cstheme="minorHAnsi"/>
        </w:rPr>
        <w:t>liderem</w:t>
      </w:r>
      <w:r w:rsidR="003B50ED">
        <w:rPr>
          <w:rFonts w:cstheme="minorHAnsi"/>
        </w:rPr>
        <w:t xml:space="preserve"> </w:t>
      </w:r>
      <w:r w:rsidRPr="00A26C26">
        <w:rPr>
          <w:rFonts w:cstheme="minorHAnsi"/>
        </w:rPr>
        <w:t>partnerskiego</w:t>
      </w:r>
      <w:r w:rsidR="003B50ED">
        <w:rPr>
          <w:rFonts w:cstheme="minorHAnsi"/>
        </w:rPr>
        <w:t xml:space="preserve"> </w:t>
      </w:r>
      <w:r w:rsidRPr="00A26C26">
        <w:rPr>
          <w:rFonts w:cstheme="minorHAnsi"/>
        </w:rPr>
        <w:t>podejścia</w:t>
      </w:r>
      <w:r w:rsidR="003B50ED">
        <w:rPr>
          <w:rFonts w:cstheme="minorHAnsi"/>
        </w:rPr>
        <w:t xml:space="preserve"> </w:t>
      </w:r>
      <w:r w:rsidRPr="00A26C26">
        <w:rPr>
          <w:rFonts w:cstheme="minorHAnsi"/>
        </w:rPr>
        <w:t>do</w:t>
      </w:r>
      <w:r w:rsidR="003B50ED">
        <w:rPr>
          <w:rFonts w:cstheme="minorHAnsi"/>
        </w:rPr>
        <w:t xml:space="preserve"> </w:t>
      </w:r>
      <w:r w:rsidRPr="00A26C26">
        <w:rPr>
          <w:rFonts w:cstheme="minorHAnsi"/>
        </w:rPr>
        <w:t>podmiotów</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obszaru</w:t>
      </w:r>
      <w:r w:rsidR="003B50ED">
        <w:rPr>
          <w:rFonts w:cstheme="minorHAnsi"/>
        </w:rPr>
        <w:t xml:space="preserve"> </w:t>
      </w:r>
      <w:r w:rsidRPr="00A26C26">
        <w:rPr>
          <w:rFonts w:cstheme="minorHAnsi"/>
        </w:rPr>
        <w:t>objętego</w:t>
      </w:r>
      <w:r w:rsidR="003B50ED">
        <w:rPr>
          <w:rFonts w:cstheme="minorHAnsi"/>
        </w:rPr>
        <w:t xml:space="preserve"> </w:t>
      </w:r>
      <w:r w:rsidRPr="00A26C26">
        <w:rPr>
          <w:rFonts w:cstheme="minorHAnsi"/>
        </w:rPr>
        <w:t>LSR</w:t>
      </w:r>
      <w:r w:rsidR="003B50ED">
        <w:rPr>
          <w:rFonts w:cstheme="minorHAnsi"/>
        </w:rPr>
        <w:t xml:space="preserve"> </w:t>
      </w:r>
      <w:r w:rsidRPr="00A26C26">
        <w:rPr>
          <w:rFonts w:cstheme="minorHAnsi"/>
        </w:rPr>
        <w:t>przewidziała</w:t>
      </w:r>
      <w:r w:rsidR="003B50ED">
        <w:rPr>
          <w:rFonts w:cstheme="minorHAnsi"/>
        </w:rPr>
        <w:t xml:space="preserve"> </w:t>
      </w:r>
      <w:r w:rsidRPr="00A26C26">
        <w:rPr>
          <w:rFonts w:cstheme="minorHAnsi"/>
        </w:rPr>
        <w:t>ciągły</w:t>
      </w:r>
      <w:r w:rsidR="003B50ED">
        <w:rPr>
          <w:rFonts w:cstheme="minorHAnsi"/>
        </w:rPr>
        <w:t xml:space="preserve"> </w:t>
      </w:r>
      <w:r w:rsidRPr="00A26C26">
        <w:rPr>
          <w:rFonts w:cstheme="minorHAnsi"/>
        </w:rPr>
        <w:t>nabór</w:t>
      </w:r>
      <w:r w:rsidR="003B50ED">
        <w:rPr>
          <w:rFonts w:cstheme="minorHAnsi"/>
        </w:rPr>
        <w:t xml:space="preserve"> </w:t>
      </w:r>
      <w:r w:rsidRPr="00A26C26">
        <w:rPr>
          <w:rFonts w:cstheme="minorHAnsi"/>
        </w:rPr>
        <w:t>pomysłów</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realizację</w:t>
      </w:r>
      <w:r w:rsidR="003B50ED">
        <w:rPr>
          <w:rFonts w:cstheme="minorHAnsi"/>
        </w:rPr>
        <w:t xml:space="preserve"> </w:t>
      </w:r>
      <w:r w:rsidRPr="00A26C26">
        <w:rPr>
          <w:rFonts w:cstheme="minorHAnsi"/>
        </w:rPr>
        <w:t>nowych</w:t>
      </w:r>
      <w:r w:rsidR="003B50ED">
        <w:rPr>
          <w:rFonts w:cstheme="minorHAnsi"/>
        </w:rPr>
        <w:t xml:space="preserve"> </w:t>
      </w:r>
      <w:r w:rsidRPr="00A26C26">
        <w:rPr>
          <w:rFonts w:cstheme="minorHAnsi"/>
        </w:rPr>
        <w:t>projektów</w:t>
      </w:r>
      <w:r w:rsidR="003B50ED">
        <w:rPr>
          <w:rFonts w:cstheme="minorHAnsi"/>
        </w:rPr>
        <w:t xml:space="preserve"> </w:t>
      </w:r>
      <w:r w:rsidRPr="00A26C26">
        <w:rPr>
          <w:rFonts w:cstheme="minorHAnsi"/>
        </w:rPr>
        <w:t>przez</w:t>
      </w:r>
      <w:r w:rsidR="003B50ED">
        <w:rPr>
          <w:rFonts w:cstheme="minorHAnsi"/>
        </w:rPr>
        <w:t xml:space="preserve"> </w:t>
      </w:r>
      <w:r w:rsidRPr="00A26C26">
        <w:rPr>
          <w:rFonts w:cstheme="minorHAnsi"/>
        </w:rPr>
        <w:t>LGD</w:t>
      </w:r>
      <w:r w:rsidR="003B50ED">
        <w:rPr>
          <w:rFonts w:cstheme="minorHAnsi"/>
        </w:rPr>
        <w:t xml:space="preserve"> </w:t>
      </w:r>
      <w:r w:rsidRPr="00A26C26">
        <w:rPr>
          <w:rFonts w:cstheme="minorHAnsi"/>
        </w:rPr>
        <w:t>lub</w:t>
      </w:r>
      <w:r w:rsidR="003B50ED">
        <w:rPr>
          <w:rFonts w:cstheme="minorHAnsi"/>
        </w:rPr>
        <w:t xml:space="preserve"> </w:t>
      </w:r>
      <w:r w:rsidRPr="00A26C26">
        <w:rPr>
          <w:rFonts w:cstheme="minorHAnsi"/>
        </w:rPr>
        <w:t>podmioty</w:t>
      </w:r>
      <w:r w:rsidR="003B50ED">
        <w:rPr>
          <w:rFonts w:cstheme="minorHAnsi"/>
        </w:rPr>
        <w:t xml:space="preserve"> </w:t>
      </w:r>
      <w:r w:rsidRPr="00A26C26">
        <w:rPr>
          <w:rFonts w:cstheme="minorHAnsi"/>
        </w:rPr>
        <w:t>inne</w:t>
      </w:r>
      <w:r w:rsidR="003B50ED">
        <w:rPr>
          <w:rFonts w:cstheme="minorHAnsi"/>
        </w:rPr>
        <w:t xml:space="preserve"> </w:t>
      </w:r>
      <w:r w:rsidRPr="00A26C26">
        <w:rPr>
          <w:rFonts w:cstheme="minorHAnsi"/>
        </w:rPr>
        <w:t>niż</w:t>
      </w:r>
      <w:r w:rsidR="003B50ED">
        <w:rPr>
          <w:rFonts w:cstheme="minorHAnsi"/>
        </w:rPr>
        <w:t xml:space="preserve"> </w:t>
      </w:r>
      <w:r w:rsidRPr="00A26C26">
        <w:rPr>
          <w:rFonts w:cstheme="minorHAnsi"/>
        </w:rPr>
        <w:t>LGD</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ramach</w:t>
      </w:r>
      <w:r w:rsidR="003B50ED">
        <w:rPr>
          <w:rFonts w:cstheme="minorHAnsi"/>
        </w:rPr>
        <w:t xml:space="preserve"> </w:t>
      </w:r>
      <w:r w:rsidRPr="00A26C26">
        <w:rPr>
          <w:rFonts w:cstheme="minorHAnsi"/>
        </w:rPr>
        <w:t>LSR</w:t>
      </w:r>
      <w:r w:rsidR="003B50ED">
        <w:rPr>
          <w:rFonts w:cstheme="minorHAnsi"/>
        </w:rPr>
        <w:t xml:space="preserve"> </w:t>
      </w:r>
      <w:r w:rsidRPr="00A26C26">
        <w:rPr>
          <w:rFonts w:cstheme="minorHAnsi"/>
        </w:rPr>
        <w:t>(także</w:t>
      </w:r>
      <w:r w:rsidR="003B50ED">
        <w:rPr>
          <w:rFonts w:cstheme="minorHAnsi"/>
        </w:rPr>
        <w:t xml:space="preserve"> </w:t>
      </w:r>
      <w:r w:rsidR="008D675F" w:rsidRPr="00A26C26">
        <w:rPr>
          <w:rFonts w:cstheme="minorHAnsi"/>
        </w:rPr>
        <w:br/>
      </w:r>
      <w:r w:rsidRPr="00A26C26">
        <w:rPr>
          <w:rFonts w:cstheme="minorHAnsi"/>
        </w:rPr>
        <w:t>w</w:t>
      </w:r>
      <w:r w:rsidR="003B50ED">
        <w:rPr>
          <w:rFonts w:cstheme="minorHAnsi"/>
        </w:rPr>
        <w:t xml:space="preserve"> </w:t>
      </w:r>
      <w:r w:rsidRPr="00A26C26">
        <w:rPr>
          <w:rFonts w:cstheme="minorHAnsi"/>
        </w:rPr>
        <w:t>partnerstwie)</w:t>
      </w:r>
      <w:r w:rsidR="003B50ED">
        <w:rPr>
          <w:rFonts w:cstheme="minorHAnsi"/>
        </w:rPr>
        <w:t xml:space="preserve"> </w:t>
      </w:r>
      <w:r w:rsidRPr="00A26C26">
        <w:rPr>
          <w:rFonts w:cstheme="minorHAnsi"/>
        </w:rPr>
        <w:t>oraz</w:t>
      </w:r>
      <w:r w:rsidR="003B50ED">
        <w:rPr>
          <w:rFonts w:cstheme="minorHAnsi"/>
        </w:rPr>
        <w:t xml:space="preserve"> </w:t>
      </w:r>
      <w:r w:rsidRPr="00A26C26">
        <w:rPr>
          <w:rFonts w:cstheme="minorHAnsi"/>
        </w:rPr>
        <w:t>zgłaszania</w:t>
      </w:r>
      <w:r w:rsidR="003B50ED">
        <w:rPr>
          <w:rFonts w:cstheme="minorHAnsi"/>
        </w:rPr>
        <w:t xml:space="preserve"> </w:t>
      </w:r>
      <w:r w:rsidRPr="00A26C26">
        <w:rPr>
          <w:rFonts w:cstheme="minorHAnsi"/>
        </w:rPr>
        <w:t>pomysłów/inicjatyw</w:t>
      </w:r>
      <w:r w:rsidR="003B50ED">
        <w:rPr>
          <w:rFonts w:cstheme="minorHAnsi"/>
        </w:rPr>
        <w:t xml:space="preserve"> </w:t>
      </w:r>
      <w:r w:rsidRPr="00A26C26">
        <w:rPr>
          <w:rFonts w:cstheme="minorHAnsi"/>
        </w:rPr>
        <w:t>realizacji</w:t>
      </w:r>
      <w:r w:rsidR="003B50ED">
        <w:rPr>
          <w:rFonts w:cstheme="minorHAnsi"/>
        </w:rPr>
        <w:t xml:space="preserve"> </w:t>
      </w:r>
      <w:r w:rsidRPr="00A26C26">
        <w:rPr>
          <w:rFonts w:cstheme="minorHAnsi"/>
        </w:rPr>
        <w:t>projektów</w:t>
      </w:r>
      <w:r w:rsidR="003B50ED">
        <w:rPr>
          <w:rFonts w:cstheme="minorHAnsi"/>
        </w:rPr>
        <w:t xml:space="preserve"> </w:t>
      </w:r>
      <w:r w:rsidRPr="00A26C26">
        <w:rPr>
          <w:rFonts w:cstheme="minorHAnsi"/>
        </w:rPr>
        <w:t>wykraczających</w:t>
      </w:r>
      <w:r w:rsidR="003B50ED">
        <w:rPr>
          <w:rFonts w:cstheme="minorHAnsi"/>
        </w:rPr>
        <w:t xml:space="preserve"> </w:t>
      </w:r>
      <w:r w:rsidRPr="00A26C26">
        <w:rPr>
          <w:rFonts w:cstheme="minorHAnsi"/>
        </w:rPr>
        <w:t>poza</w:t>
      </w:r>
      <w:r w:rsidR="003B50ED">
        <w:rPr>
          <w:rFonts w:cstheme="minorHAnsi"/>
        </w:rPr>
        <w:t xml:space="preserve"> </w:t>
      </w:r>
      <w:r w:rsidRPr="00A26C26">
        <w:rPr>
          <w:rFonts w:cstheme="minorHAnsi"/>
        </w:rPr>
        <w:t>LSR</w:t>
      </w:r>
      <w:r w:rsidR="003B50ED">
        <w:rPr>
          <w:rFonts w:cstheme="minorHAnsi"/>
        </w:rPr>
        <w:t xml:space="preserve"> </w:t>
      </w:r>
      <w:r w:rsidRPr="00A26C26">
        <w:rPr>
          <w:rFonts w:cstheme="minorHAnsi"/>
        </w:rPr>
        <w:t>(nawet</w:t>
      </w:r>
      <w:r w:rsidR="003B50ED">
        <w:rPr>
          <w:rFonts w:cstheme="minorHAnsi"/>
        </w:rPr>
        <w:t xml:space="preserve"> </w:t>
      </w:r>
      <w:r w:rsidRPr="00A26C26">
        <w:rPr>
          <w:rFonts w:cstheme="minorHAnsi"/>
        </w:rPr>
        <w:t>jeżeli</w:t>
      </w:r>
      <w:r w:rsidR="003B50ED">
        <w:rPr>
          <w:rFonts w:cstheme="minorHAnsi"/>
        </w:rPr>
        <w:t xml:space="preserve"> </w:t>
      </w:r>
      <w:r w:rsidRPr="00A26C26">
        <w:rPr>
          <w:rFonts w:cstheme="minorHAnsi"/>
        </w:rPr>
        <w:t>będzie</w:t>
      </w:r>
      <w:r w:rsidR="003B50ED">
        <w:rPr>
          <w:rFonts w:cstheme="minorHAnsi"/>
        </w:rPr>
        <w:t xml:space="preserve"> </w:t>
      </w:r>
      <w:r w:rsidRPr="00A26C26">
        <w:rPr>
          <w:rFonts w:cstheme="minorHAnsi"/>
        </w:rPr>
        <w:t>to</w:t>
      </w:r>
      <w:r w:rsidR="003B50ED">
        <w:rPr>
          <w:rFonts w:cstheme="minorHAnsi"/>
        </w:rPr>
        <w:t xml:space="preserve"> </w:t>
      </w:r>
      <w:r w:rsidRPr="00A26C26">
        <w:rPr>
          <w:rFonts w:cstheme="minorHAnsi"/>
        </w:rPr>
        <w:t>wymagało</w:t>
      </w:r>
      <w:r w:rsidR="003B50ED">
        <w:rPr>
          <w:rFonts w:cstheme="minorHAnsi"/>
        </w:rPr>
        <w:t xml:space="preserve"> </w:t>
      </w:r>
      <w:r w:rsidRPr="00A26C26">
        <w:rPr>
          <w:rFonts w:cstheme="minorHAnsi"/>
        </w:rPr>
        <w:t>zmiany</w:t>
      </w:r>
      <w:r w:rsidR="003B50ED">
        <w:rPr>
          <w:rFonts w:cstheme="minorHAnsi"/>
        </w:rPr>
        <w:t xml:space="preserve"> </w:t>
      </w:r>
      <w:r w:rsidRPr="00A26C26">
        <w:rPr>
          <w:rFonts w:cstheme="minorHAnsi"/>
        </w:rPr>
        <w:t>LSR).</w:t>
      </w:r>
      <w:r w:rsidR="003B50ED">
        <w:rPr>
          <w:rFonts w:cstheme="minorHAnsi"/>
        </w:rPr>
        <w:t xml:space="preserve"> </w:t>
      </w:r>
    </w:p>
    <w:p w14:paraId="2CC8D7B4" w14:textId="2361A8FA" w:rsidR="00C71928" w:rsidRPr="00A26C26" w:rsidRDefault="00C71928" w:rsidP="00A26C26">
      <w:pPr>
        <w:spacing w:line="276" w:lineRule="auto"/>
        <w:ind w:firstLine="284"/>
        <w:jc w:val="both"/>
        <w:rPr>
          <w:rFonts w:cstheme="minorHAnsi"/>
        </w:rPr>
      </w:pPr>
      <w:r w:rsidRPr="00A26C26">
        <w:rPr>
          <w:rFonts w:cstheme="minorHAnsi"/>
        </w:rPr>
        <w:t>LGD</w:t>
      </w:r>
      <w:r w:rsidR="003B50ED">
        <w:rPr>
          <w:rFonts w:cstheme="minorHAnsi"/>
        </w:rPr>
        <w:t xml:space="preserve"> </w:t>
      </w:r>
      <w:r w:rsidRPr="00A26C26">
        <w:rPr>
          <w:rFonts w:cstheme="minorHAnsi"/>
        </w:rPr>
        <w:t>wspierając</w:t>
      </w:r>
      <w:r w:rsidR="003B50ED">
        <w:rPr>
          <w:rFonts w:cstheme="minorHAnsi"/>
        </w:rPr>
        <w:t xml:space="preserve"> </w:t>
      </w:r>
      <w:r w:rsidRPr="00A26C26">
        <w:rPr>
          <w:rFonts w:cstheme="minorHAnsi"/>
        </w:rPr>
        <w:t>realizację</w:t>
      </w:r>
      <w:r w:rsidR="003B50ED">
        <w:rPr>
          <w:rFonts w:cstheme="minorHAnsi"/>
        </w:rPr>
        <w:t xml:space="preserve"> </w:t>
      </w:r>
      <w:r w:rsidRPr="00A26C26">
        <w:rPr>
          <w:rFonts w:cstheme="minorHAnsi"/>
        </w:rPr>
        <w:t>działań</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partnerstwie</w:t>
      </w:r>
      <w:r w:rsidR="003B50ED">
        <w:rPr>
          <w:rFonts w:cstheme="minorHAnsi"/>
        </w:rPr>
        <w:t xml:space="preserve"> </w:t>
      </w:r>
      <w:r w:rsidRPr="00A26C26">
        <w:rPr>
          <w:rFonts w:cstheme="minorHAnsi"/>
        </w:rPr>
        <w:t>będzie</w:t>
      </w:r>
      <w:r w:rsidR="003B50ED">
        <w:rPr>
          <w:rFonts w:cstheme="minorHAnsi"/>
        </w:rPr>
        <w:t xml:space="preserve"> </w:t>
      </w:r>
      <w:r w:rsidRPr="00A26C26">
        <w:rPr>
          <w:rFonts w:cstheme="minorHAnsi"/>
        </w:rPr>
        <w:t>prowadzić</w:t>
      </w:r>
      <w:r w:rsidR="003B50ED">
        <w:rPr>
          <w:rFonts w:cstheme="minorHAnsi"/>
        </w:rPr>
        <w:t xml:space="preserve"> </w:t>
      </w:r>
      <w:r w:rsidRPr="00A26C26">
        <w:rPr>
          <w:rFonts w:cstheme="minorHAnsi"/>
        </w:rPr>
        <w:t>działania</w:t>
      </w:r>
      <w:r w:rsidR="003B50ED">
        <w:rPr>
          <w:rFonts w:cstheme="minorHAnsi"/>
        </w:rPr>
        <w:t xml:space="preserve"> </w:t>
      </w:r>
      <w:r w:rsidRPr="00A26C26">
        <w:rPr>
          <w:rFonts w:cstheme="minorHAnsi"/>
        </w:rPr>
        <w:t>mające</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celu</w:t>
      </w:r>
      <w:r w:rsidR="003B50ED">
        <w:rPr>
          <w:rFonts w:cstheme="minorHAnsi"/>
        </w:rPr>
        <w:t xml:space="preserve"> </w:t>
      </w:r>
      <w:r w:rsidRPr="00A26C26">
        <w:rPr>
          <w:rFonts w:cstheme="minorHAnsi"/>
        </w:rPr>
        <w:t>animowanie</w:t>
      </w:r>
      <w:r w:rsidR="003B50ED">
        <w:rPr>
          <w:rFonts w:cstheme="minorHAnsi"/>
        </w:rPr>
        <w:t xml:space="preserve"> </w:t>
      </w:r>
      <w:r w:rsidRPr="00A26C26">
        <w:rPr>
          <w:rFonts w:cstheme="minorHAnsi"/>
        </w:rPr>
        <w:t>podmiotów</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obszaru</w:t>
      </w:r>
      <w:r w:rsidR="003B50ED">
        <w:rPr>
          <w:rFonts w:cstheme="minorHAnsi"/>
        </w:rPr>
        <w:t xml:space="preserve"> </w:t>
      </w:r>
      <w:r w:rsidRPr="00A26C26">
        <w:rPr>
          <w:rFonts w:cstheme="minorHAnsi"/>
        </w:rPr>
        <w:t>objętego</w:t>
      </w:r>
      <w:r w:rsidR="003B50ED">
        <w:rPr>
          <w:rFonts w:cstheme="minorHAnsi"/>
        </w:rPr>
        <w:t xml:space="preserve"> </w:t>
      </w:r>
      <w:r w:rsidRPr="00A26C26">
        <w:rPr>
          <w:rFonts w:cstheme="minorHAnsi"/>
        </w:rPr>
        <w:t>LSR</w:t>
      </w:r>
      <w:r w:rsidR="003B50ED">
        <w:rPr>
          <w:rFonts w:cstheme="minorHAnsi"/>
        </w:rPr>
        <w:t xml:space="preserve"> </w:t>
      </w:r>
      <w:r w:rsidRPr="00A26C26">
        <w:rPr>
          <w:rFonts w:cstheme="minorHAnsi"/>
        </w:rPr>
        <w:t>do</w:t>
      </w:r>
      <w:r w:rsidR="003B50ED">
        <w:rPr>
          <w:rFonts w:cstheme="minorHAnsi"/>
        </w:rPr>
        <w:t xml:space="preserve"> </w:t>
      </w:r>
      <w:r w:rsidRPr="00A26C26">
        <w:rPr>
          <w:rFonts w:cstheme="minorHAnsi"/>
        </w:rPr>
        <w:t>współpracy</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innymi</w:t>
      </w:r>
      <w:r w:rsidR="003B50ED">
        <w:rPr>
          <w:rFonts w:cstheme="minorHAnsi"/>
        </w:rPr>
        <w:t xml:space="preserve"> </w:t>
      </w:r>
      <w:r w:rsidRPr="00A26C26">
        <w:rPr>
          <w:rFonts w:cstheme="minorHAnsi"/>
        </w:rPr>
        <w:t>podmiotami</w:t>
      </w:r>
      <w:r w:rsidR="003B50ED">
        <w:rPr>
          <w:rFonts w:cstheme="minorHAnsi"/>
        </w:rPr>
        <w:t xml:space="preserve"> </w:t>
      </w:r>
      <w:r w:rsidRPr="00A26C26">
        <w:rPr>
          <w:rFonts w:cstheme="minorHAnsi"/>
        </w:rPr>
        <w:t>(nie</w:t>
      </w:r>
      <w:r w:rsidR="003B50ED">
        <w:rPr>
          <w:rFonts w:cstheme="minorHAnsi"/>
        </w:rPr>
        <w:t xml:space="preserve"> </w:t>
      </w:r>
      <w:r w:rsidRPr="00A26C26">
        <w:rPr>
          <w:rFonts w:cstheme="minorHAnsi"/>
        </w:rPr>
        <w:t>tylko</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LGD)</w:t>
      </w:r>
      <w:r w:rsidR="003B50ED">
        <w:rPr>
          <w:rFonts w:cstheme="minorHAnsi"/>
        </w:rPr>
        <w:t xml:space="preserve"> </w:t>
      </w:r>
      <w:r w:rsidRPr="00A26C26">
        <w:rPr>
          <w:rFonts w:cstheme="minorHAnsi"/>
        </w:rPr>
        <w:t>poprzez</w:t>
      </w:r>
      <w:r w:rsidR="003B50ED">
        <w:rPr>
          <w:rFonts w:cstheme="minorHAnsi"/>
        </w:rPr>
        <w:t xml:space="preserve"> </w:t>
      </w:r>
      <w:r w:rsidRPr="00A26C26">
        <w:rPr>
          <w:rFonts w:cstheme="minorHAnsi"/>
        </w:rPr>
        <w:t>szkolenia,</w:t>
      </w:r>
      <w:r w:rsidR="003B50ED">
        <w:rPr>
          <w:rFonts w:cstheme="minorHAnsi"/>
        </w:rPr>
        <w:t xml:space="preserve"> </w:t>
      </w:r>
      <w:r w:rsidRPr="00A26C26">
        <w:rPr>
          <w:rFonts w:cstheme="minorHAnsi"/>
        </w:rPr>
        <w:t>spotkania</w:t>
      </w:r>
      <w:r w:rsidR="003B50ED">
        <w:rPr>
          <w:rFonts w:cstheme="minorHAnsi"/>
        </w:rPr>
        <w:t xml:space="preserve"> </w:t>
      </w:r>
      <w:r w:rsidRPr="00A26C26">
        <w:rPr>
          <w:rFonts w:cstheme="minorHAnsi"/>
        </w:rPr>
        <w:t>aktywizacyjne</w:t>
      </w:r>
      <w:r w:rsidR="003B50ED">
        <w:rPr>
          <w:rFonts w:cstheme="minorHAnsi"/>
        </w:rPr>
        <w:t xml:space="preserve"> </w:t>
      </w:r>
      <w:r w:rsidRPr="00A26C26">
        <w:rPr>
          <w:rFonts w:cstheme="minorHAnsi"/>
        </w:rPr>
        <w:t>itp.</w:t>
      </w:r>
      <w:r w:rsidR="003B50ED">
        <w:rPr>
          <w:rFonts w:cstheme="minorHAnsi"/>
        </w:rPr>
        <w:t xml:space="preserve"> </w:t>
      </w:r>
      <w:r w:rsidRPr="00A26C26">
        <w:rPr>
          <w:rFonts w:cstheme="minorHAnsi"/>
        </w:rPr>
        <w:t>oraz</w:t>
      </w:r>
      <w:r w:rsidR="003B50ED">
        <w:rPr>
          <w:rFonts w:cstheme="minorHAnsi"/>
        </w:rPr>
        <w:t xml:space="preserve"> </w:t>
      </w:r>
      <w:r w:rsidRPr="00A26C26">
        <w:rPr>
          <w:rFonts w:cstheme="minorHAnsi"/>
        </w:rPr>
        <w:t>preferowanie</w:t>
      </w:r>
      <w:r w:rsidR="003B50ED">
        <w:rPr>
          <w:rFonts w:cstheme="minorHAnsi"/>
        </w:rPr>
        <w:t xml:space="preserve"> </w:t>
      </w:r>
      <w:r w:rsidRPr="00A26C26">
        <w:rPr>
          <w:rFonts w:cstheme="minorHAnsi"/>
        </w:rPr>
        <w:t>operacji</w:t>
      </w:r>
      <w:r w:rsidR="003B50ED">
        <w:rPr>
          <w:rFonts w:cstheme="minorHAnsi"/>
        </w:rPr>
        <w:t xml:space="preserve"> </w:t>
      </w:r>
      <w:r w:rsidRPr="00A26C26">
        <w:rPr>
          <w:rFonts w:cstheme="minorHAnsi"/>
        </w:rPr>
        <w:t>realizowanych</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partnerstwie</w:t>
      </w:r>
      <w:r w:rsidR="003B50ED">
        <w:rPr>
          <w:rFonts w:cstheme="minorHAnsi"/>
        </w:rPr>
        <w:t xml:space="preserve"> </w:t>
      </w:r>
      <w:r w:rsidRPr="00A26C26">
        <w:rPr>
          <w:rFonts w:cstheme="minorHAnsi"/>
        </w:rPr>
        <w:t>przy</w:t>
      </w:r>
      <w:r w:rsidR="003B50ED">
        <w:rPr>
          <w:rFonts w:cstheme="minorHAnsi"/>
        </w:rPr>
        <w:t xml:space="preserve"> </w:t>
      </w:r>
      <w:r w:rsidRPr="00A26C26">
        <w:rPr>
          <w:rFonts w:cstheme="minorHAnsi"/>
        </w:rPr>
        <w:t>czym</w:t>
      </w:r>
      <w:r w:rsidR="003B50ED">
        <w:rPr>
          <w:rFonts w:cstheme="minorHAnsi"/>
        </w:rPr>
        <w:t xml:space="preserve"> </w:t>
      </w:r>
      <w:r w:rsidRPr="00A26C26">
        <w:rPr>
          <w:rFonts w:cstheme="minorHAnsi"/>
        </w:rPr>
        <w:t>operacja</w:t>
      </w:r>
      <w:r w:rsidR="003B50ED">
        <w:rPr>
          <w:rFonts w:cstheme="minorHAnsi"/>
        </w:rPr>
        <w:t xml:space="preserve"> </w:t>
      </w:r>
      <w:r w:rsidRPr="00A26C26">
        <w:rPr>
          <w:rFonts w:cstheme="minorHAnsi"/>
        </w:rPr>
        <w:t>realizowana</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partnerstwie</w:t>
      </w:r>
      <w:r w:rsidR="003B50ED">
        <w:rPr>
          <w:rFonts w:cstheme="minorHAnsi"/>
        </w:rPr>
        <w:t xml:space="preserve"> </w:t>
      </w:r>
      <w:r w:rsidRPr="00A26C26">
        <w:rPr>
          <w:rFonts w:cstheme="minorHAnsi"/>
        </w:rPr>
        <w:t>(co</w:t>
      </w:r>
      <w:r w:rsidR="003B50ED">
        <w:rPr>
          <w:rFonts w:cstheme="minorHAnsi"/>
        </w:rPr>
        <w:t xml:space="preserve"> </w:t>
      </w:r>
      <w:r w:rsidRPr="00A26C26">
        <w:rPr>
          <w:rFonts w:cstheme="minorHAnsi"/>
        </w:rPr>
        <w:t>najmniej</w:t>
      </w:r>
      <w:r w:rsidR="003B50ED">
        <w:rPr>
          <w:rFonts w:cstheme="minorHAnsi"/>
        </w:rPr>
        <w:t xml:space="preserve"> </w:t>
      </w:r>
      <w:r w:rsidRPr="00A26C26">
        <w:rPr>
          <w:rFonts w:cstheme="minorHAnsi"/>
        </w:rPr>
        <w:t>2</w:t>
      </w:r>
      <w:r w:rsidR="003B50ED">
        <w:rPr>
          <w:rFonts w:cstheme="minorHAnsi"/>
        </w:rPr>
        <w:t xml:space="preserve"> </w:t>
      </w:r>
      <w:r w:rsidRPr="00A26C26">
        <w:rPr>
          <w:rFonts w:cstheme="minorHAnsi"/>
        </w:rPr>
        <w:t>partnerów),</w:t>
      </w:r>
      <w:r w:rsidR="003B50ED">
        <w:rPr>
          <w:rFonts w:cstheme="minorHAnsi"/>
        </w:rPr>
        <w:t xml:space="preserve"> </w:t>
      </w:r>
      <w:r w:rsidRPr="00A26C26">
        <w:rPr>
          <w:rFonts w:cstheme="minorHAnsi"/>
        </w:rPr>
        <w:t>powinna</w:t>
      </w:r>
      <w:r w:rsidR="003B50ED">
        <w:rPr>
          <w:rFonts w:cstheme="minorHAnsi"/>
        </w:rPr>
        <w:t xml:space="preserve"> </w:t>
      </w:r>
      <w:r w:rsidRPr="00A26C26">
        <w:rPr>
          <w:rFonts w:cstheme="minorHAnsi"/>
        </w:rPr>
        <w:t>obejmować</w:t>
      </w:r>
      <w:r w:rsidR="003B50ED">
        <w:rPr>
          <w:rFonts w:cstheme="minorHAnsi"/>
        </w:rPr>
        <w:t xml:space="preserve"> </w:t>
      </w:r>
      <w:r w:rsidRPr="00A26C26">
        <w:rPr>
          <w:rFonts w:cstheme="minorHAnsi"/>
        </w:rPr>
        <w:t>projektowanie</w:t>
      </w:r>
      <w:r w:rsidR="003B50ED">
        <w:rPr>
          <w:rFonts w:cstheme="minorHAnsi"/>
        </w:rPr>
        <w:t xml:space="preserve"> </w:t>
      </w:r>
      <w:r w:rsidRPr="00A26C26">
        <w:rPr>
          <w:rFonts w:cstheme="minorHAnsi"/>
        </w:rPr>
        <w:t>wspólnych</w:t>
      </w:r>
      <w:r w:rsidR="003B50ED">
        <w:rPr>
          <w:rFonts w:cstheme="minorHAnsi"/>
        </w:rPr>
        <w:t xml:space="preserve"> </w:t>
      </w:r>
      <w:r w:rsidRPr="00A26C26">
        <w:rPr>
          <w:rFonts w:cstheme="minorHAnsi"/>
        </w:rPr>
        <w:t>działań</w:t>
      </w:r>
      <w:r w:rsidR="003B50ED">
        <w:rPr>
          <w:rFonts w:cstheme="minorHAnsi"/>
        </w:rPr>
        <w:t xml:space="preserve"> </w:t>
      </w:r>
      <w:r w:rsidR="008D675F" w:rsidRPr="00A26C26">
        <w:rPr>
          <w:rFonts w:cstheme="minorHAnsi"/>
        </w:rPr>
        <w:br/>
      </w:r>
      <w:r w:rsidRPr="00A26C26">
        <w:rPr>
          <w:rFonts w:cstheme="minorHAnsi"/>
        </w:rPr>
        <w:t>i</w:t>
      </w:r>
      <w:r w:rsidR="003B50ED">
        <w:rPr>
          <w:rFonts w:cstheme="minorHAnsi"/>
        </w:rPr>
        <w:t xml:space="preserve"> </w:t>
      </w:r>
      <w:r w:rsidRPr="00A26C26">
        <w:rPr>
          <w:rFonts w:cstheme="minorHAnsi"/>
        </w:rPr>
        <w:t>znajdowanie</w:t>
      </w:r>
      <w:r w:rsidR="003B50ED">
        <w:rPr>
          <w:rFonts w:cstheme="minorHAnsi"/>
        </w:rPr>
        <w:t xml:space="preserve"> </w:t>
      </w:r>
      <w:r w:rsidRPr="00A26C26">
        <w:rPr>
          <w:rFonts w:cstheme="minorHAnsi"/>
        </w:rPr>
        <w:t>wspólnych</w:t>
      </w:r>
      <w:r w:rsidR="003B50ED">
        <w:rPr>
          <w:rFonts w:cstheme="minorHAnsi"/>
        </w:rPr>
        <w:t xml:space="preserve"> </w:t>
      </w:r>
      <w:r w:rsidRPr="00A26C26">
        <w:rPr>
          <w:rFonts w:cstheme="minorHAnsi"/>
        </w:rPr>
        <w:t>rozwiązań</w:t>
      </w:r>
      <w:r w:rsidR="003B50ED">
        <w:rPr>
          <w:rFonts w:cstheme="minorHAnsi"/>
        </w:rPr>
        <w:t xml:space="preserve"> </w:t>
      </w:r>
      <w:r w:rsidRPr="00A26C26">
        <w:rPr>
          <w:rFonts w:cstheme="minorHAnsi"/>
        </w:rPr>
        <w:t>problemów</w:t>
      </w:r>
      <w:r w:rsidR="003B50ED">
        <w:rPr>
          <w:rFonts w:cstheme="minorHAnsi"/>
        </w:rPr>
        <w:t xml:space="preserve"> </w:t>
      </w:r>
      <w:r w:rsidRPr="00A26C26">
        <w:rPr>
          <w:rFonts w:cstheme="minorHAnsi"/>
        </w:rPr>
        <w:t>zidentyfikowanych</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obszarze</w:t>
      </w:r>
      <w:r w:rsidR="003B50ED">
        <w:rPr>
          <w:rFonts w:cstheme="minorHAnsi"/>
        </w:rPr>
        <w:t xml:space="preserve"> </w:t>
      </w:r>
      <w:r w:rsidRPr="00A26C26">
        <w:rPr>
          <w:rFonts w:cstheme="minorHAnsi"/>
        </w:rPr>
        <w:t>objętym</w:t>
      </w:r>
      <w:r w:rsidR="003B50ED">
        <w:rPr>
          <w:rFonts w:cstheme="minorHAnsi"/>
        </w:rPr>
        <w:t xml:space="preserve"> </w:t>
      </w:r>
      <w:r w:rsidRPr="00A26C26">
        <w:rPr>
          <w:rFonts w:cstheme="minorHAnsi"/>
        </w:rPr>
        <w:t>LSR.</w:t>
      </w:r>
    </w:p>
    <w:p w14:paraId="3007D7FA" w14:textId="7B748BDC" w:rsidR="00C71928" w:rsidRPr="00A26C26" w:rsidRDefault="003B50ED" w:rsidP="00A26C26">
      <w:pPr>
        <w:spacing w:line="276" w:lineRule="auto"/>
        <w:ind w:firstLine="284"/>
        <w:jc w:val="both"/>
        <w:rPr>
          <w:rFonts w:cstheme="minorHAnsi"/>
        </w:rPr>
      </w:pPr>
      <w:r>
        <w:rPr>
          <w:rFonts w:cstheme="minorHAnsi"/>
        </w:rPr>
        <w:t xml:space="preserve"> </w:t>
      </w:r>
      <w:r w:rsidR="00C71928" w:rsidRPr="00A26C26">
        <w:rPr>
          <w:rFonts w:cstheme="minorHAnsi"/>
        </w:rPr>
        <w:t>Jednym</w:t>
      </w:r>
      <w:r>
        <w:rPr>
          <w:rFonts w:cstheme="minorHAnsi"/>
        </w:rPr>
        <w:t xml:space="preserve"> </w:t>
      </w:r>
      <w:r w:rsidR="00C71928" w:rsidRPr="00A26C26">
        <w:rPr>
          <w:rFonts w:cstheme="minorHAnsi"/>
        </w:rPr>
        <w:t>z</w:t>
      </w:r>
      <w:r>
        <w:rPr>
          <w:rFonts w:cstheme="minorHAnsi"/>
        </w:rPr>
        <w:t xml:space="preserve"> </w:t>
      </w:r>
      <w:r w:rsidR="00C71928" w:rsidRPr="00A26C26">
        <w:rPr>
          <w:rFonts w:cstheme="minorHAnsi"/>
        </w:rPr>
        <w:t>ciekawych</w:t>
      </w:r>
      <w:r>
        <w:rPr>
          <w:rFonts w:cstheme="minorHAnsi"/>
        </w:rPr>
        <w:t xml:space="preserve"> </w:t>
      </w:r>
      <w:r w:rsidR="00C71928" w:rsidRPr="00A26C26">
        <w:rPr>
          <w:rFonts w:cstheme="minorHAnsi"/>
        </w:rPr>
        <w:t>i</w:t>
      </w:r>
      <w:r>
        <w:rPr>
          <w:rFonts w:cstheme="minorHAnsi"/>
        </w:rPr>
        <w:t xml:space="preserve"> </w:t>
      </w:r>
      <w:r w:rsidR="00C71928" w:rsidRPr="00A26C26">
        <w:rPr>
          <w:rFonts w:cstheme="minorHAnsi"/>
        </w:rPr>
        <w:t>innowacyjnych</w:t>
      </w:r>
      <w:r>
        <w:rPr>
          <w:rFonts w:cstheme="minorHAnsi"/>
        </w:rPr>
        <w:t xml:space="preserve"> </w:t>
      </w:r>
      <w:r w:rsidR="00C71928" w:rsidRPr="00A26C26">
        <w:rPr>
          <w:rFonts w:cstheme="minorHAnsi"/>
        </w:rPr>
        <w:t>działań</w:t>
      </w:r>
      <w:r>
        <w:rPr>
          <w:rFonts w:cstheme="minorHAnsi"/>
        </w:rPr>
        <w:t xml:space="preserve"> </w:t>
      </w:r>
      <w:r w:rsidR="00C71928" w:rsidRPr="00A26C26">
        <w:rPr>
          <w:rFonts w:cstheme="minorHAnsi"/>
        </w:rPr>
        <w:t>na</w:t>
      </w:r>
      <w:r>
        <w:rPr>
          <w:rFonts w:cstheme="minorHAnsi"/>
        </w:rPr>
        <w:t xml:space="preserve"> </w:t>
      </w:r>
      <w:r w:rsidR="00C71928" w:rsidRPr="00A26C26">
        <w:rPr>
          <w:rFonts w:cstheme="minorHAnsi"/>
        </w:rPr>
        <w:t>rzecz</w:t>
      </w:r>
      <w:r>
        <w:rPr>
          <w:rFonts w:cstheme="minorHAnsi"/>
        </w:rPr>
        <w:t xml:space="preserve"> </w:t>
      </w:r>
      <w:r w:rsidR="00C71928" w:rsidRPr="00A26C26">
        <w:rPr>
          <w:rFonts w:cstheme="minorHAnsi"/>
        </w:rPr>
        <w:t>kojarzenia</w:t>
      </w:r>
      <w:r>
        <w:rPr>
          <w:rFonts w:cstheme="minorHAnsi"/>
        </w:rPr>
        <w:t xml:space="preserve"> </w:t>
      </w:r>
      <w:r w:rsidR="00C71928" w:rsidRPr="00A26C26">
        <w:rPr>
          <w:rFonts w:cstheme="minorHAnsi"/>
        </w:rPr>
        <w:t>partnerów</w:t>
      </w:r>
      <w:r>
        <w:rPr>
          <w:rFonts w:cstheme="minorHAnsi"/>
        </w:rPr>
        <w:t xml:space="preserve"> </w:t>
      </w:r>
      <w:r w:rsidR="00C71928" w:rsidRPr="00A26C26">
        <w:rPr>
          <w:rFonts w:cstheme="minorHAnsi"/>
        </w:rPr>
        <w:t>będzie</w:t>
      </w:r>
      <w:r>
        <w:rPr>
          <w:rFonts w:cstheme="minorHAnsi"/>
        </w:rPr>
        <w:t xml:space="preserve"> </w:t>
      </w:r>
      <w:r w:rsidR="00C71928" w:rsidRPr="00A26C26">
        <w:rPr>
          <w:rFonts w:cstheme="minorHAnsi"/>
        </w:rPr>
        <w:t>utworzenie</w:t>
      </w:r>
      <w:r>
        <w:rPr>
          <w:rFonts w:cstheme="minorHAnsi"/>
        </w:rPr>
        <w:t xml:space="preserve"> </w:t>
      </w:r>
      <w:r w:rsidR="00C71928" w:rsidRPr="00A26C26">
        <w:rPr>
          <w:rFonts w:cstheme="minorHAnsi"/>
        </w:rPr>
        <w:t>wirtualnej</w:t>
      </w:r>
      <w:r>
        <w:rPr>
          <w:rFonts w:cstheme="minorHAnsi"/>
        </w:rPr>
        <w:t xml:space="preserve"> </w:t>
      </w:r>
      <w:r w:rsidR="00C71928" w:rsidRPr="00A26C26">
        <w:rPr>
          <w:rFonts w:cstheme="minorHAnsi"/>
        </w:rPr>
        <w:t>bazy</w:t>
      </w:r>
      <w:r>
        <w:rPr>
          <w:rFonts w:cstheme="minorHAnsi"/>
        </w:rPr>
        <w:t xml:space="preserve"> </w:t>
      </w:r>
      <w:r w:rsidR="00C71928" w:rsidRPr="00A26C26">
        <w:rPr>
          <w:rFonts w:cstheme="minorHAnsi"/>
        </w:rPr>
        <w:t>partnerów.</w:t>
      </w:r>
      <w:r>
        <w:rPr>
          <w:rFonts w:cstheme="minorHAnsi"/>
        </w:rPr>
        <w:t xml:space="preserve"> </w:t>
      </w:r>
      <w:r w:rsidR="00C71928" w:rsidRPr="00A26C26">
        <w:rPr>
          <w:rFonts w:cstheme="minorHAnsi"/>
        </w:rPr>
        <w:t>Na</w:t>
      </w:r>
      <w:r>
        <w:rPr>
          <w:rFonts w:cstheme="minorHAnsi"/>
        </w:rPr>
        <w:t xml:space="preserve"> </w:t>
      </w:r>
      <w:r w:rsidR="00C71928" w:rsidRPr="00A26C26">
        <w:rPr>
          <w:rFonts w:cstheme="minorHAnsi"/>
        </w:rPr>
        <w:t>stronie</w:t>
      </w:r>
      <w:r>
        <w:rPr>
          <w:rFonts w:cstheme="minorHAnsi"/>
        </w:rPr>
        <w:t xml:space="preserve"> </w:t>
      </w:r>
      <w:r w:rsidR="00C71928" w:rsidRPr="00A26C26">
        <w:rPr>
          <w:rFonts w:cstheme="minorHAnsi"/>
        </w:rPr>
        <w:t>internetowej</w:t>
      </w:r>
      <w:r>
        <w:rPr>
          <w:rFonts w:cstheme="minorHAnsi"/>
        </w:rPr>
        <w:t xml:space="preserve"> </w:t>
      </w:r>
      <w:r w:rsidR="00C71928" w:rsidRPr="00A26C26">
        <w:rPr>
          <w:rFonts w:cstheme="minorHAnsi"/>
        </w:rPr>
        <w:t>zostanie</w:t>
      </w:r>
      <w:r>
        <w:rPr>
          <w:rFonts w:cstheme="minorHAnsi"/>
        </w:rPr>
        <w:t xml:space="preserve"> </w:t>
      </w:r>
      <w:r w:rsidR="00C71928" w:rsidRPr="00A26C26">
        <w:rPr>
          <w:rFonts w:cstheme="minorHAnsi"/>
        </w:rPr>
        <w:t>zamieszczona</w:t>
      </w:r>
      <w:r>
        <w:rPr>
          <w:rFonts w:cstheme="minorHAnsi"/>
        </w:rPr>
        <w:t xml:space="preserve"> </w:t>
      </w:r>
      <w:r w:rsidR="00C71928" w:rsidRPr="00A26C26">
        <w:rPr>
          <w:rFonts w:cstheme="minorHAnsi"/>
        </w:rPr>
        <w:t>baza</w:t>
      </w:r>
      <w:r>
        <w:rPr>
          <w:rFonts w:cstheme="minorHAnsi"/>
        </w:rPr>
        <w:t xml:space="preserve"> </w:t>
      </w:r>
      <w:r w:rsidR="00C71928" w:rsidRPr="00A26C26">
        <w:rPr>
          <w:rFonts w:cstheme="minorHAnsi"/>
        </w:rPr>
        <w:t>podmiotów</w:t>
      </w:r>
      <w:r>
        <w:rPr>
          <w:rFonts w:cstheme="minorHAnsi"/>
        </w:rPr>
        <w:t xml:space="preserve"> </w:t>
      </w:r>
      <w:r w:rsidR="00C71928" w:rsidRPr="00A26C26">
        <w:rPr>
          <w:rFonts w:cstheme="minorHAnsi"/>
        </w:rPr>
        <w:t>wraz</w:t>
      </w:r>
      <w:r>
        <w:rPr>
          <w:rFonts w:cstheme="minorHAnsi"/>
        </w:rPr>
        <w:t xml:space="preserve"> </w:t>
      </w:r>
      <w:r w:rsidR="00C71928" w:rsidRPr="00A26C26">
        <w:rPr>
          <w:rFonts w:cstheme="minorHAnsi"/>
        </w:rPr>
        <w:t>z</w:t>
      </w:r>
      <w:r>
        <w:rPr>
          <w:rFonts w:cstheme="minorHAnsi"/>
        </w:rPr>
        <w:t xml:space="preserve"> </w:t>
      </w:r>
      <w:r w:rsidR="00C71928" w:rsidRPr="00A26C26">
        <w:rPr>
          <w:rFonts w:cstheme="minorHAnsi"/>
        </w:rPr>
        <w:t>krótkim</w:t>
      </w:r>
      <w:r>
        <w:rPr>
          <w:rFonts w:cstheme="minorHAnsi"/>
        </w:rPr>
        <w:t xml:space="preserve"> </w:t>
      </w:r>
      <w:r w:rsidR="00C71928" w:rsidRPr="00A26C26">
        <w:rPr>
          <w:rFonts w:cstheme="minorHAnsi"/>
        </w:rPr>
        <w:t>opisem</w:t>
      </w:r>
      <w:r>
        <w:rPr>
          <w:rFonts w:cstheme="minorHAnsi"/>
        </w:rPr>
        <w:t xml:space="preserve"> </w:t>
      </w:r>
      <w:r w:rsidR="00C71928" w:rsidRPr="00A26C26">
        <w:rPr>
          <w:rFonts w:cstheme="minorHAnsi"/>
        </w:rPr>
        <w:t>zakresu</w:t>
      </w:r>
      <w:r>
        <w:rPr>
          <w:rFonts w:cstheme="minorHAnsi"/>
        </w:rPr>
        <w:t xml:space="preserve"> </w:t>
      </w:r>
      <w:r w:rsidR="00C71928" w:rsidRPr="00A26C26">
        <w:rPr>
          <w:rFonts w:cstheme="minorHAnsi"/>
        </w:rPr>
        <w:t>działania</w:t>
      </w:r>
      <w:r>
        <w:rPr>
          <w:rFonts w:cstheme="minorHAnsi"/>
        </w:rPr>
        <w:t xml:space="preserve"> </w:t>
      </w:r>
      <w:r w:rsidR="00C71928" w:rsidRPr="00A26C26">
        <w:rPr>
          <w:rFonts w:cstheme="minorHAnsi"/>
        </w:rPr>
        <w:t>danego</w:t>
      </w:r>
      <w:r>
        <w:rPr>
          <w:rFonts w:cstheme="minorHAnsi"/>
        </w:rPr>
        <w:t xml:space="preserve"> </w:t>
      </w:r>
      <w:r w:rsidR="00C71928" w:rsidRPr="00A26C26">
        <w:rPr>
          <w:rFonts w:cstheme="minorHAnsi"/>
        </w:rPr>
        <w:t>partnera</w:t>
      </w:r>
      <w:r>
        <w:rPr>
          <w:rFonts w:cstheme="minorHAnsi"/>
        </w:rPr>
        <w:t xml:space="preserve"> </w:t>
      </w:r>
      <w:r w:rsidR="00C71928" w:rsidRPr="00A26C26">
        <w:rPr>
          <w:rFonts w:cstheme="minorHAnsi"/>
        </w:rPr>
        <w:t>zainteresowanych</w:t>
      </w:r>
      <w:r>
        <w:rPr>
          <w:rFonts w:cstheme="minorHAnsi"/>
        </w:rPr>
        <w:t xml:space="preserve"> </w:t>
      </w:r>
      <w:r w:rsidR="00C71928" w:rsidRPr="00A26C26">
        <w:rPr>
          <w:rFonts w:cstheme="minorHAnsi"/>
        </w:rPr>
        <w:t>realizacją</w:t>
      </w:r>
      <w:r>
        <w:rPr>
          <w:rFonts w:cstheme="minorHAnsi"/>
        </w:rPr>
        <w:t xml:space="preserve"> </w:t>
      </w:r>
      <w:r w:rsidR="00C71928" w:rsidRPr="00A26C26">
        <w:rPr>
          <w:rFonts w:cstheme="minorHAnsi"/>
        </w:rPr>
        <w:t>wspólnego</w:t>
      </w:r>
      <w:r>
        <w:rPr>
          <w:rFonts w:cstheme="minorHAnsi"/>
        </w:rPr>
        <w:t xml:space="preserve"> </w:t>
      </w:r>
      <w:r w:rsidR="00C71928" w:rsidRPr="00A26C26">
        <w:rPr>
          <w:rFonts w:cstheme="minorHAnsi"/>
        </w:rPr>
        <w:t>projektu</w:t>
      </w:r>
      <w:r>
        <w:rPr>
          <w:rFonts w:cstheme="minorHAnsi"/>
        </w:rPr>
        <w:t xml:space="preserve"> </w:t>
      </w:r>
      <w:r w:rsidR="00C71928" w:rsidRPr="00A26C26">
        <w:rPr>
          <w:rFonts w:cstheme="minorHAnsi"/>
        </w:rPr>
        <w:t>(należy</w:t>
      </w:r>
      <w:r>
        <w:rPr>
          <w:rFonts w:cstheme="minorHAnsi"/>
        </w:rPr>
        <w:t xml:space="preserve"> </w:t>
      </w:r>
      <w:r w:rsidR="00C71928" w:rsidRPr="00A26C26">
        <w:rPr>
          <w:rFonts w:cstheme="minorHAnsi"/>
        </w:rPr>
        <w:t>zauważyć,</w:t>
      </w:r>
      <w:r>
        <w:rPr>
          <w:rFonts w:cstheme="minorHAnsi"/>
        </w:rPr>
        <w:t xml:space="preserve"> </w:t>
      </w:r>
      <w:r w:rsidR="00C71928" w:rsidRPr="00A26C26">
        <w:rPr>
          <w:rFonts w:cstheme="minorHAnsi"/>
        </w:rPr>
        <w:t>że</w:t>
      </w:r>
      <w:r>
        <w:rPr>
          <w:rFonts w:cstheme="minorHAnsi"/>
        </w:rPr>
        <w:t xml:space="preserve"> </w:t>
      </w:r>
      <w:r w:rsidR="00C71928" w:rsidRPr="00A26C26">
        <w:rPr>
          <w:rFonts w:cstheme="minorHAnsi"/>
        </w:rPr>
        <w:t>sam</w:t>
      </w:r>
      <w:r>
        <w:rPr>
          <w:rFonts w:cstheme="minorHAnsi"/>
        </w:rPr>
        <w:t xml:space="preserve"> </w:t>
      </w:r>
      <w:r w:rsidR="00C71928" w:rsidRPr="00A26C26">
        <w:rPr>
          <w:rFonts w:cstheme="minorHAnsi"/>
        </w:rPr>
        <w:t>proces</w:t>
      </w:r>
      <w:r>
        <w:rPr>
          <w:rFonts w:cstheme="minorHAnsi"/>
        </w:rPr>
        <w:t xml:space="preserve"> </w:t>
      </w:r>
      <w:r w:rsidR="00C71928" w:rsidRPr="00A26C26">
        <w:rPr>
          <w:rFonts w:cstheme="minorHAnsi"/>
        </w:rPr>
        <w:lastRenderedPageBreak/>
        <w:t>zbierania</w:t>
      </w:r>
      <w:r>
        <w:rPr>
          <w:rFonts w:cstheme="minorHAnsi"/>
        </w:rPr>
        <w:t xml:space="preserve"> </w:t>
      </w:r>
      <w:r w:rsidR="00C71928" w:rsidRPr="00A26C26">
        <w:rPr>
          <w:rFonts w:cstheme="minorHAnsi"/>
        </w:rPr>
        <w:t>danych</w:t>
      </w:r>
      <w:r>
        <w:rPr>
          <w:rFonts w:cstheme="minorHAnsi"/>
        </w:rPr>
        <w:t xml:space="preserve"> </w:t>
      </w:r>
      <w:r w:rsidR="00C71928" w:rsidRPr="00A26C26">
        <w:rPr>
          <w:rFonts w:cstheme="minorHAnsi"/>
        </w:rPr>
        <w:t>będzie</w:t>
      </w:r>
      <w:r>
        <w:rPr>
          <w:rFonts w:cstheme="minorHAnsi"/>
        </w:rPr>
        <w:t xml:space="preserve"> </w:t>
      </w:r>
      <w:r w:rsidR="00C71928" w:rsidRPr="00A26C26">
        <w:rPr>
          <w:rFonts w:cstheme="minorHAnsi"/>
        </w:rPr>
        <w:t>doskonałą</w:t>
      </w:r>
      <w:r>
        <w:rPr>
          <w:rFonts w:cstheme="minorHAnsi"/>
        </w:rPr>
        <w:t xml:space="preserve"> </w:t>
      </w:r>
      <w:r w:rsidR="00C71928" w:rsidRPr="00A26C26">
        <w:rPr>
          <w:rFonts w:cstheme="minorHAnsi"/>
        </w:rPr>
        <w:t>promocją</w:t>
      </w:r>
      <w:r>
        <w:rPr>
          <w:rFonts w:cstheme="minorHAnsi"/>
        </w:rPr>
        <w:t xml:space="preserve"> </w:t>
      </w:r>
      <w:r w:rsidR="00C71928" w:rsidRPr="00A26C26">
        <w:rPr>
          <w:rFonts w:cstheme="minorHAnsi"/>
        </w:rPr>
        <w:t>możliwości</w:t>
      </w:r>
      <w:r>
        <w:rPr>
          <w:rFonts w:cstheme="minorHAnsi"/>
        </w:rPr>
        <w:t xml:space="preserve"> </w:t>
      </w:r>
      <w:r w:rsidR="00C71928" w:rsidRPr="00A26C26">
        <w:rPr>
          <w:rFonts w:cstheme="minorHAnsi"/>
        </w:rPr>
        <w:t>zgłaszania</w:t>
      </w:r>
      <w:r>
        <w:rPr>
          <w:rFonts w:cstheme="minorHAnsi"/>
        </w:rPr>
        <w:t xml:space="preserve"> </w:t>
      </w:r>
      <w:r w:rsidR="00C71928" w:rsidRPr="00A26C26">
        <w:rPr>
          <w:rFonts w:cstheme="minorHAnsi"/>
        </w:rPr>
        <w:t>takich</w:t>
      </w:r>
      <w:r>
        <w:rPr>
          <w:rFonts w:cstheme="minorHAnsi"/>
        </w:rPr>
        <w:t xml:space="preserve"> </w:t>
      </w:r>
      <w:r w:rsidR="00C71928" w:rsidRPr="00A26C26">
        <w:rPr>
          <w:rFonts w:cstheme="minorHAnsi"/>
        </w:rPr>
        <w:t>inicjatyw</w:t>
      </w:r>
      <w:r>
        <w:rPr>
          <w:rFonts w:cstheme="minorHAnsi"/>
        </w:rPr>
        <w:t xml:space="preserve"> </w:t>
      </w:r>
      <w:r w:rsidR="00C71928" w:rsidRPr="00A26C26">
        <w:rPr>
          <w:rFonts w:cstheme="minorHAnsi"/>
        </w:rPr>
        <w:t>i</w:t>
      </w:r>
      <w:r>
        <w:rPr>
          <w:rFonts w:cstheme="minorHAnsi"/>
        </w:rPr>
        <w:t xml:space="preserve"> </w:t>
      </w:r>
      <w:r w:rsidR="00C71928" w:rsidRPr="00A26C26">
        <w:rPr>
          <w:rFonts w:cstheme="minorHAnsi"/>
        </w:rPr>
        <w:t>projektów).</w:t>
      </w:r>
      <w:r>
        <w:rPr>
          <w:rFonts w:cstheme="minorHAnsi"/>
        </w:rPr>
        <w:t xml:space="preserve"> </w:t>
      </w:r>
      <w:r w:rsidR="00C71928" w:rsidRPr="00A26C26">
        <w:rPr>
          <w:rFonts w:cstheme="minorHAnsi"/>
        </w:rPr>
        <w:t>Na</w:t>
      </w:r>
      <w:r>
        <w:rPr>
          <w:rFonts w:cstheme="minorHAnsi"/>
        </w:rPr>
        <w:t xml:space="preserve"> </w:t>
      </w:r>
      <w:r w:rsidR="00C71928" w:rsidRPr="00A26C26">
        <w:rPr>
          <w:rFonts w:cstheme="minorHAnsi"/>
        </w:rPr>
        <w:t>stronie</w:t>
      </w:r>
      <w:r>
        <w:rPr>
          <w:rFonts w:cstheme="minorHAnsi"/>
        </w:rPr>
        <w:t xml:space="preserve"> </w:t>
      </w:r>
      <w:r w:rsidR="00C71928" w:rsidRPr="00A26C26">
        <w:rPr>
          <w:rFonts w:cstheme="minorHAnsi"/>
        </w:rPr>
        <w:t>internetowej</w:t>
      </w:r>
      <w:r>
        <w:rPr>
          <w:rFonts w:cstheme="minorHAnsi"/>
        </w:rPr>
        <w:t xml:space="preserve"> </w:t>
      </w:r>
      <w:r w:rsidR="00C71928" w:rsidRPr="00A26C26">
        <w:rPr>
          <w:rFonts w:cstheme="minorHAnsi"/>
        </w:rPr>
        <w:t>zostaną</w:t>
      </w:r>
      <w:r>
        <w:rPr>
          <w:rFonts w:cstheme="minorHAnsi"/>
        </w:rPr>
        <w:t xml:space="preserve"> </w:t>
      </w:r>
      <w:r w:rsidR="00C71928" w:rsidRPr="00A26C26">
        <w:rPr>
          <w:rFonts w:cstheme="minorHAnsi"/>
        </w:rPr>
        <w:t>również</w:t>
      </w:r>
      <w:r>
        <w:rPr>
          <w:rFonts w:cstheme="minorHAnsi"/>
        </w:rPr>
        <w:t xml:space="preserve"> </w:t>
      </w:r>
      <w:r w:rsidR="00C71928" w:rsidRPr="00A26C26">
        <w:rPr>
          <w:rFonts w:cstheme="minorHAnsi"/>
        </w:rPr>
        <w:t>zamieszczone</w:t>
      </w:r>
      <w:r>
        <w:rPr>
          <w:rFonts w:cstheme="minorHAnsi"/>
        </w:rPr>
        <w:t xml:space="preserve"> </w:t>
      </w:r>
      <w:r w:rsidR="00C71928" w:rsidRPr="00A26C26">
        <w:rPr>
          <w:rFonts w:cstheme="minorHAnsi"/>
        </w:rPr>
        <w:t>przejrzyste</w:t>
      </w:r>
      <w:r>
        <w:rPr>
          <w:rFonts w:cstheme="minorHAnsi"/>
        </w:rPr>
        <w:t xml:space="preserve"> </w:t>
      </w:r>
      <w:r w:rsidR="00C71928" w:rsidRPr="00A26C26">
        <w:rPr>
          <w:rFonts w:cstheme="minorHAnsi"/>
        </w:rPr>
        <w:t>tj.</w:t>
      </w:r>
      <w:r>
        <w:rPr>
          <w:rFonts w:cstheme="minorHAnsi"/>
        </w:rPr>
        <w:t xml:space="preserve"> </w:t>
      </w:r>
      <w:r w:rsidR="00C71928" w:rsidRPr="00A26C26">
        <w:rPr>
          <w:rFonts w:cstheme="minorHAnsi"/>
        </w:rPr>
        <w:t>sformułowane</w:t>
      </w:r>
      <w:r>
        <w:rPr>
          <w:rFonts w:cstheme="minorHAnsi"/>
        </w:rPr>
        <w:t xml:space="preserve"> </w:t>
      </w:r>
      <w:r w:rsidR="00C71928" w:rsidRPr="00A26C26">
        <w:rPr>
          <w:rFonts w:cstheme="minorHAnsi"/>
        </w:rPr>
        <w:t>w</w:t>
      </w:r>
      <w:r>
        <w:rPr>
          <w:rFonts w:cstheme="minorHAnsi"/>
        </w:rPr>
        <w:t xml:space="preserve"> </w:t>
      </w:r>
      <w:r w:rsidR="00C71928" w:rsidRPr="00A26C26">
        <w:rPr>
          <w:rFonts w:cstheme="minorHAnsi"/>
        </w:rPr>
        <w:t>czytelny</w:t>
      </w:r>
      <w:r>
        <w:rPr>
          <w:rFonts w:cstheme="minorHAnsi"/>
        </w:rPr>
        <w:t xml:space="preserve"> </w:t>
      </w:r>
      <w:r w:rsidR="00C71928" w:rsidRPr="00A26C26">
        <w:rPr>
          <w:rFonts w:cstheme="minorHAnsi"/>
        </w:rPr>
        <w:t>sposób</w:t>
      </w:r>
      <w:r>
        <w:rPr>
          <w:rFonts w:cstheme="minorHAnsi"/>
        </w:rPr>
        <w:t xml:space="preserve"> </w:t>
      </w:r>
      <w:r w:rsidR="00C71928" w:rsidRPr="00A26C26">
        <w:rPr>
          <w:rFonts w:cstheme="minorHAnsi"/>
        </w:rPr>
        <w:t>zasady</w:t>
      </w:r>
      <w:r>
        <w:rPr>
          <w:rFonts w:cstheme="minorHAnsi"/>
        </w:rPr>
        <w:t xml:space="preserve"> </w:t>
      </w:r>
      <w:r w:rsidR="00C71928" w:rsidRPr="00A26C26">
        <w:rPr>
          <w:rFonts w:cstheme="minorHAnsi"/>
        </w:rPr>
        <w:t>i</w:t>
      </w:r>
      <w:r>
        <w:rPr>
          <w:rFonts w:cstheme="minorHAnsi"/>
        </w:rPr>
        <w:t xml:space="preserve"> </w:t>
      </w:r>
      <w:r w:rsidR="00C71928" w:rsidRPr="00A26C26">
        <w:rPr>
          <w:rFonts w:cstheme="minorHAnsi"/>
        </w:rPr>
        <w:t>procedura</w:t>
      </w:r>
      <w:r>
        <w:rPr>
          <w:rFonts w:cstheme="minorHAnsi"/>
        </w:rPr>
        <w:t xml:space="preserve"> </w:t>
      </w:r>
      <w:r w:rsidR="00C71928" w:rsidRPr="00A26C26">
        <w:rPr>
          <w:rFonts w:cstheme="minorHAnsi"/>
        </w:rPr>
        <w:t>oceny</w:t>
      </w:r>
      <w:r>
        <w:rPr>
          <w:rFonts w:cstheme="minorHAnsi"/>
        </w:rPr>
        <w:t xml:space="preserve"> </w:t>
      </w:r>
      <w:r w:rsidR="00C71928" w:rsidRPr="00A26C26">
        <w:rPr>
          <w:rFonts w:cstheme="minorHAnsi"/>
        </w:rPr>
        <w:t>i</w:t>
      </w:r>
      <w:r>
        <w:rPr>
          <w:rFonts w:cstheme="minorHAnsi"/>
        </w:rPr>
        <w:t xml:space="preserve"> </w:t>
      </w:r>
      <w:r w:rsidR="00C71928" w:rsidRPr="00A26C26">
        <w:rPr>
          <w:rFonts w:cstheme="minorHAnsi"/>
        </w:rPr>
        <w:t>wyboru</w:t>
      </w:r>
      <w:r>
        <w:rPr>
          <w:rFonts w:cstheme="minorHAnsi"/>
        </w:rPr>
        <w:t xml:space="preserve"> </w:t>
      </w:r>
      <w:r w:rsidR="00C71928" w:rsidRPr="00A26C26">
        <w:rPr>
          <w:rFonts w:cstheme="minorHAnsi"/>
        </w:rPr>
        <w:t>konkretnych</w:t>
      </w:r>
      <w:r>
        <w:rPr>
          <w:rFonts w:cstheme="minorHAnsi"/>
        </w:rPr>
        <w:t xml:space="preserve"> </w:t>
      </w:r>
      <w:r w:rsidR="00C71928" w:rsidRPr="00A26C26">
        <w:rPr>
          <w:rFonts w:cstheme="minorHAnsi"/>
        </w:rPr>
        <w:t>operacji.</w:t>
      </w:r>
      <w:r>
        <w:rPr>
          <w:rFonts w:cstheme="minorHAnsi"/>
        </w:rPr>
        <w:t xml:space="preserve"> </w:t>
      </w:r>
    </w:p>
    <w:p w14:paraId="37F56584" w14:textId="3B2534DB" w:rsidR="00C71928" w:rsidRPr="00A26C26" w:rsidRDefault="00C71928" w:rsidP="00A26C26">
      <w:pPr>
        <w:spacing w:line="276" w:lineRule="auto"/>
        <w:ind w:firstLine="284"/>
        <w:jc w:val="both"/>
        <w:rPr>
          <w:rFonts w:cstheme="minorHAnsi"/>
        </w:rPr>
      </w:pPr>
      <w:r w:rsidRPr="00A26C26">
        <w:rPr>
          <w:rFonts w:cstheme="minorHAnsi"/>
        </w:rPr>
        <w:t>Dodatkowo,</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celu</w:t>
      </w:r>
      <w:r w:rsidR="003B50ED">
        <w:rPr>
          <w:rFonts w:cstheme="minorHAnsi"/>
        </w:rPr>
        <w:t xml:space="preserve"> </w:t>
      </w:r>
      <w:r w:rsidRPr="00A26C26">
        <w:rPr>
          <w:rFonts w:cstheme="minorHAnsi"/>
        </w:rPr>
        <w:t>utrzymania</w:t>
      </w:r>
      <w:r w:rsidR="003B50ED">
        <w:rPr>
          <w:rFonts w:cstheme="minorHAnsi"/>
        </w:rPr>
        <w:t xml:space="preserve"> </w:t>
      </w:r>
      <w:r w:rsidRPr="00A26C26">
        <w:rPr>
          <w:rFonts w:cstheme="minorHAnsi"/>
        </w:rPr>
        <w:t>wizerunku</w:t>
      </w:r>
      <w:r w:rsidR="003B50ED">
        <w:rPr>
          <w:rFonts w:cstheme="minorHAnsi"/>
        </w:rPr>
        <w:t xml:space="preserve"> </w:t>
      </w:r>
      <w:r w:rsidRPr="00A26C26">
        <w:rPr>
          <w:rFonts w:cstheme="minorHAnsi"/>
        </w:rPr>
        <w:t>LGD</w:t>
      </w:r>
      <w:r w:rsidR="003B50ED">
        <w:rPr>
          <w:rFonts w:cstheme="minorHAnsi"/>
        </w:rPr>
        <w:t xml:space="preserve"> </w:t>
      </w:r>
      <w:r w:rsidRPr="00A26C26">
        <w:rPr>
          <w:rFonts w:cstheme="minorHAnsi"/>
        </w:rPr>
        <w:t>jako</w:t>
      </w:r>
      <w:r w:rsidR="003B50ED">
        <w:rPr>
          <w:rFonts w:cstheme="minorHAnsi"/>
        </w:rPr>
        <w:t xml:space="preserve"> </w:t>
      </w:r>
      <w:r w:rsidRPr="00A26C26">
        <w:rPr>
          <w:rFonts w:cstheme="minorHAnsi"/>
        </w:rPr>
        <w:t>rzetelnego</w:t>
      </w:r>
      <w:r w:rsidR="003B50ED">
        <w:rPr>
          <w:rFonts w:cstheme="minorHAnsi"/>
        </w:rPr>
        <w:t xml:space="preserve"> </w:t>
      </w:r>
      <w:r w:rsidRPr="00A26C26">
        <w:rPr>
          <w:rFonts w:cstheme="minorHAnsi"/>
        </w:rPr>
        <w:t>partnera,</w:t>
      </w:r>
      <w:r w:rsidR="003B50ED">
        <w:rPr>
          <w:rFonts w:cstheme="minorHAnsi"/>
        </w:rPr>
        <w:t xml:space="preserve"> </w:t>
      </w:r>
      <w:r w:rsidRPr="00A26C26">
        <w:rPr>
          <w:rFonts w:cstheme="minorHAnsi"/>
        </w:rPr>
        <w:t>każda</w:t>
      </w:r>
      <w:r w:rsidR="003B50ED">
        <w:rPr>
          <w:rFonts w:cstheme="minorHAnsi"/>
        </w:rPr>
        <w:t xml:space="preserve"> </w:t>
      </w:r>
      <w:r w:rsidRPr="00A26C26">
        <w:rPr>
          <w:rFonts w:cstheme="minorHAnsi"/>
        </w:rPr>
        <w:t>osoba,</w:t>
      </w:r>
      <w:r w:rsidR="003B50ED">
        <w:rPr>
          <w:rFonts w:cstheme="minorHAnsi"/>
        </w:rPr>
        <w:t xml:space="preserve"> </w:t>
      </w:r>
      <w:r w:rsidRPr="00A26C26">
        <w:rPr>
          <w:rFonts w:cstheme="minorHAnsi"/>
        </w:rPr>
        <w:t>która</w:t>
      </w:r>
      <w:r w:rsidR="003B50ED">
        <w:rPr>
          <w:rFonts w:cstheme="minorHAnsi"/>
        </w:rPr>
        <w:t xml:space="preserve"> </w:t>
      </w:r>
      <w:r w:rsidRPr="00A26C26">
        <w:rPr>
          <w:rFonts w:cstheme="minorHAnsi"/>
        </w:rPr>
        <w:t>zgłosi</w:t>
      </w:r>
      <w:r w:rsidR="003B50ED">
        <w:rPr>
          <w:rFonts w:cstheme="minorHAnsi"/>
        </w:rPr>
        <w:t xml:space="preserve"> </w:t>
      </w:r>
      <w:r w:rsidRPr="00A26C26">
        <w:rPr>
          <w:rFonts w:cstheme="minorHAnsi"/>
        </w:rPr>
        <w:t>pomysł/inicjatywę</w:t>
      </w:r>
      <w:r w:rsidR="003B50ED">
        <w:rPr>
          <w:rFonts w:cstheme="minorHAnsi"/>
        </w:rPr>
        <w:t xml:space="preserve"> </w:t>
      </w:r>
      <w:r w:rsidRPr="00A26C26">
        <w:rPr>
          <w:rFonts w:cstheme="minorHAnsi"/>
        </w:rPr>
        <w:t>otrzyma</w:t>
      </w:r>
      <w:r w:rsidR="003B50ED">
        <w:rPr>
          <w:rFonts w:cstheme="minorHAnsi"/>
        </w:rPr>
        <w:t xml:space="preserve"> </w:t>
      </w:r>
      <w:r w:rsidRPr="00A26C26">
        <w:rPr>
          <w:rFonts w:cstheme="minorHAnsi"/>
        </w:rPr>
        <w:t>odpowiedź</w:t>
      </w:r>
      <w:r w:rsidR="003B50ED">
        <w:rPr>
          <w:rFonts w:cstheme="minorHAnsi"/>
        </w:rPr>
        <w:t xml:space="preserve"> </w:t>
      </w:r>
      <w:r w:rsidRPr="00A26C26">
        <w:rPr>
          <w:rFonts w:cstheme="minorHAnsi"/>
        </w:rPr>
        <w:t>zwrotną</w:t>
      </w:r>
      <w:r w:rsidR="003B50ED">
        <w:rPr>
          <w:rFonts w:cstheme="minorHAnsi"/>
        </w:rPr>
        <w:t xml:space="preserve"> </w:t>
      </w:r>
      <w:r w:rsidRPr="00A26C26">
        <w:rPr>
          <w:rFonts w:cstheme="minorHAnsi"/>
        </w:rPr>
        <w:t>wraz</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uzasadnieniem.</w:t>
      </w:r>
      <w:r w:rsidR="003B50ED">
        <w:rPr>
          <w:rFonts w:cstheme="minorHAnsi"/>
        </w:rPr>
        <w:t xml:space="preserve"> </w:t>
      </w:r>
      <w:r w:rsidRPr="00A26C26">
        <w:rPr>
          <w:rFonts w:cstheme="minorHAnsi"/>
        </w:rPr>
        <w:t>Dodatkowo</w:t>
      </w:r>
      <w:r w:rsidR="003B50ED">
        <w:rPr>
          <w:rFonts w:cstheme="minorHAnsi"/>
        </w:rPr>
        <w:t xml:space="preserve"> </w:t>
      </w:r>
      <w:r w:rsidRPr="00A26C26">
        <w:rPr>
          <w:rFonts w:cstheme="minorHAnsi"/>
        </w:rPr>
        <w:t>wdrożenie</w:t>
      </w:r>
      <w:r w:rsidR="003B50ED">
        <w:rPr>
          <w:rFonts w:cstheme="minorHAnsi"/>
        </w:rPr>
        <w:t xml:space="preserve"> </w:t>
      </w:r>
      <w:r w:rsidRPr="00A26C26">
        <w:rPr>
          <w:rFonts w:cstheme="minorHAnsi"/>
        </w:rPr>
        <w:t>inicjatywy</w:t>
      </w:r>
      <w:r w:rsidR="003B50ED">
        <w:rPr>
          <w:rFonts w:cstheme="minorHAnsi"/>
        </w:rPr>
        <w:t xml:space="preserve"> </w:t>
      </w:r>
      <w:r w:rsidRPr="00A26C26">
        <w:rPr>
          <w:rFonts w:cstheme="minorHAnsi"/>
        </w:rPr>
        <w:t>będzie</w:t>
      </w:r>
      <w:r w:rsidR="003B50ED">
        <w:rPr>
          <w:rFonts w:cstheme="minorHAnsi"/>
        </w:rPr>
        <w:t xml:space="preserve"> </w:t>
      </w:r>
      <w:r w:rsidRPr="00A26C26">
        <w:rPr>
          <w:rFonts w:cstheme="minorHAnsi"/>
        </w:rPr>
        <w:t>uzależnione</w:t>
      </w:r>
      <w:r w:rsidR="003B50ED">
        <w:rPr>
          <w:rFonts w:cstheme="minorHAnsi"/>
        </w:rPr>
        <w:t xml:space="preserve"> </w:t>
      </w:r>
      <w:r w:rsidRPr="00A26C26">
        <w:rPr>
          <w:rFonts w:cstheme="minorHAnsi"/>
        </w:rPr>
        <w:t>od</w:t>
      </w:r>
      <w:r w:rsidR="003B50ED">
        <w:rPr>
          <w:rFonts w:cstheme="minorHAnsi"/>
        </w:rPr>
        <w:t xml:space="preserve"> </w:t>
      </w:r>
      <w:r w:rsidRPr="00A26C26">
        <w:rPr>
          <w:rFonts w:cstheme="minorHAnsi"/>
        </w:rPr>
        <w:t>wyniku</w:t>
      </w:r>
      <w:r w:rsidR="003B50ED">
        <w:rPr>
          <w:rFonts w:cstheme="minorHAnsi"/>
        </w:rPr>
        <w:t xml:space="preserve"> </w:t>
      </w:r>
      <w:r w:rsidRPr="00A26C26">
        <w:rPr>
          <w:rFonts w:cstheme="minorHAnsi"/>
        </w:rPr>
        <w:t>otwartych</w:t>
      </w:r>
      <w:r w:rsidR="003B50ED">
        <w:rPr>
          <w:rFonts w:cstheme="minorHAnsi"/>
        </w:rPr>
        <w:t xml:space="preserve"> </w:t>
      </w:r>
      <w:r w:rsidRPr="00A26C26">
        <w:rPr>
          <w:rFonts w:cstheme="minorHAnsi"/>
        </w:rPr>
        <w:t>konsultacji</w:t>
      </w:r>
      <w:r w:rsidR="003B50ED">
        <w:rPr>
          <w:rFonts w:cstheme="minorHAnsi"/>
        </w:rPr>
        <w:t xml:space="preserve"> </w:t>
      </w:r>
      <w:r w:rsidRPr="006534BA">
        <w:rPr>
          <w:rFonts w:cstheme="minorHAnsi"/>
        </w:rPr>
        <w:t>i</w:t>
      </w:r>
      <w:r w:rsidR="003B50ED" w:rsidRPr="006534BA">
        <w:rPr>
          <w:rFonts w:cstheme="minorHAnsi"/>
        </w:rPr>
        <w:t xml:space="preserve"> </w:t>
      </w:r>
      <w:r w:rsidRPr="006534BA">
        <w:rPr>
          <w:rFonts w:cstheme="minorHAnsi"/>
        </w:rPr>
        <w:t>opinii</w:t>
      </w:r>
      <w:r w:rsidR="003B50ED" w:rsidRPr="006534BA">
        <w:rPr>
          <w:rFonts w:cstheme="minorHAnsi"/>
        </w:rPr>
        <w:t xml:space="preserve"> </w:t>
      </w:r>
      <w:r w:rsidRPr="006534BA">
        <w:rPr>
          <w:rFonts w:cstheme="minorHAnsi"/>
        </w:rPr>
        <w:t>zespołu</w:t>
      </w:r>
      <w:r w:rsidR="003B50ED" w:rsidRPr="006534BA">
        <w:rPr>
          <w:rFonts w:cstheme="minorHAnsi"/>
        </w:rPr>
        <w:t xml:space="preserve"> </w:t>
      </w:r>
      <w:r w:rsidRPr="006534BA">
        <w:rPr>
          <w:rFonts w:cstheme="minorHAnsi"/>
        </w:rPr>
        <w:t>roboczego.</w:t>
      </w:r>
      <w:r w:rsidR="003B50ED" w:rsidRPr="006534BA">
        <w:rPr>
          <w:rFonts w:cstheme="minorHAnsi"/>
        </w:rPr>
        <w:t xml:space="preserve"> </w:t>
      </w:r>
    </w:p>
    <w:p w14:paraId="5C444EAB" w14:textId="129AC263" w:rsidR="00C71928" w:rsidRPr="00A26C26" w:rsidRDefault="00C71928" w:rsidP="00A26C26">
      <w:pPr>
        <w:spacing w:line="276" w:lineRule="auto"/>
        <w:ind w:firstLine="284"/>
        <w:jc w:val="both"/>
        <w:rPr>
          <w:rFonts w:cstheme="minorHAnsi"/>
        </w:rPr>
      </w:pPr>
      <w:r w:rsidRPr="00A26C26">
        <w:rPr>
          <w:rFonts w:cstheme="minorHAnsi"/>
        </w:rPr>
        <w:t>Formą</w:t>
      </w:r>
      <w:r w:rsidR="003B50ED">
        <w:rPr>
          <w:rFonts w:cstheme="minorHAnsi"/>
        </w:rPr>
        <w:t xml:space="preserve"> </w:t>
      </w:r>
      <w:r w:rsidRPr="00A26C26">
        <w:rPr>
          <w:rFonts w:cstheme="minorHAnsi"/>
        </w:rPr>
        <w:t>partnerstwa</w:t>
      </w:r>
      <w:r w:rsidR="003B50ED">
        <w:rPr>
          <w:rFonts w:cstheme="minorHAnsi"/>
        </w:rPr>
        <w:t xml:space="preserve"> </w:t>
      </w:r>
      <w:r w:rsidRPr="00A26C26">
        <w:rPr>
          <w:rFonts w:cstheme="minorHAnsi"/>
        </w:rPr>
        <w:t>jest</w:t>
      </w:r>
      <w:r w:rsidR="003B50ED">
        <w:rPr>
          <w:rFonts w:cstheme="minorHAnsi"/>
        </w:rPr>
        <w:t xml:space="preserve"> </w:t>
      </w:r>
      <w:r w:rsidRPr="00A26C26">
        <w:rPr>
          <w:rFonts w:cstheme="minorHAnsi"/>
        </w:rPr>
        <w:t>wspieranie</w:t>
      </w:r>
      <w:r w:rsidR="003B50ED">
        <w:rPr>
          <w:rFonts w:cstheme="minorHAnsi"/>
        </w:rPr>
        <w:t xml:space="preserve"> </w:t>
      </w:r>
      <w:r w:rsidRPr="00A26C26">
        <w:rPr>
          <w:rFonts w:cstheme="minorHAnsi"/>
        </w:rPr>
        <w:t>współpracy</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innymi</w:t>
      </w:r>
      <w:r w:rsidR="003B50ED">
        <w:rPr>
          <w:rFonts w:cstheme="minorHAnsi"/>
        </w:rPr>
        <w:t xml:space="preserve"> </w:t>
      </w:r>
      <w:r w:rsidRPr="00A26C26">
        <w:rPr>
          <w:rFonts w:cstheme="minorHAnsi"/>
        </w:rPr>
        <w:t>podmiotami</w:t>
      </w:r>
      <w:r w:rsidR="003B50ED">
        <w:rPr>
          <w:rFonts w:cstheme="minorHAnsi"/>
        </w:rPr>
        <w:t xml:space="preserve"> </w:t>
      </w:r>
      <w:r w:rsidRPr="00A26C26">
        <w:rPr>
          <w:rFonts w:cstheme="minorHAnsi"/>
        </w:rPr>
        <w:t>tj.</w:t>
      </w:r>
      <w:r w:rsidR="003B50ED">
        <w:rPr>
          <w:rFonts w:cstheme="minorHAnsi"/>
        </w:rPr>
        <w:t xml:space="preserve"> </w:t>
      </w:r>
      <w:r w:rsidRPr="00A26C26">
        <w:rPr>
          <w:rFonts w:cstheme="minorHAnsi"/>
        </w:rPr>
        <w:t>LGD</w:t>
      </w:r>
      <w:r w:rsidR="003B50ED">
        <w:rPr>
          <w:rFonts w:cstheme="minorHAnsi"/>
        </w:rPr>
        <w:t xml:space="preserve"> </w:t>
      </w:r>
      <w:r w:rsidRPr="00A26C26">
        <w:rPr>
          <w:rFonts w:cstheme="minorHAnsi"/>
        </w:rPr>
        <w:t>powinna</w:t>
      </w:r>
      <w:r w:rsidR="003B50ED">
        <w:rPr>
          <w:rFonts w:cstheme="minorHAnsi"/>
        </w:rPr>
        <w:t xml:space="preserve"> </w:t>
      </w:r>
      <w:r w:rsidRPr="00A26C26">
        <w:rPr>
          <w:rFonts w:cstheme="minorHAnsi"/>
        </w:rPr>
        <w:t>wspierać</w:t>
      </w:r>
      <w:r w:rsidR="003B50ED">
        <w:rPr>
          <w:rFonts w:cstheme="minorHAnsi"/>
        </w:rPr>
        <w:t xml:space="preserve"> </w:t>
      </w:r>
      <w:r w:rsidRPr="00A26C26">
        <w:rPr>
          <w:rFonts w:cstheme="minorHAnsi"/>
        </w:rPr>
        <w:t>realizację</w:t>
      </w:r>
      <w:r w:rsidR="003B50ED">
        <w:rPr>
          <w:rFonts w:cstheme="minorHAnsi"/>
        </w:rPr>
        <w:t xml:space="preserve"> </w:t>
      </w:r>
      <w:r w:rsidRPr="00A26C26">
        <w:rPr>
          <w:rFonts w:cstheme="minorHAnsi"/>
        </w:rPr>
        <w:t>operacji</w:t>
      </w:r>
      <w:r w:rsidR="003B50ED">
        <w:rPr>
          <w:rFonts w:cstheme="minorHAnsi"/>
        </w:rPr>
        <w:t xml:space="preserve"> </w:t>
      </w:r>
      <w:r w:rsidRPr="00A26C26">
        <w:rPr>
          <w:rFonts w:cstheme="minorHAnsi"/>
        </w:rPr>
        <w:t>realizowanych</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partnerstwie,</w:t>
      </w:r>
      <w:r w:rsidR="003B50ED">
        <w:rPr>
          <w:rFonts w:cstheme="minorHAnsi"/>
        </w:rPr>
        <w:t xml:space="preserve"> </w:t>
      </w:r>
      <w:r w:rsidRPr="00A26C26">
        <w:rPr>
          <w:rFonts w:cstheme="minorHAnsi"/>
        </w:rPr>
        <w:t>czego</w:t>
      </w:r>
      <w:r w:rsidR="003B50ED">
        <w:rPr>
          <w:rFonts w:cstheme="minorHAnsi"/>
        </w:rPr>
        <w:t xml:space="preserve"> </w:t>
      </w:r>
      <w:r w:rsidRPr="00A26C26">
        <w:rPr>
          <w:rFonts w:cstheme="minorHAnsi"/>
        </w:rPr>
        <w:t>istotnym</w:t>
      </w:r>
      <w:r w:rsidR="003B50ED">
        <w:rPr>
          <w:rFonts w:cstheme="minorHAnsi"/>
        </w:rPr>
        <w:t xml:space="preserve"> </w:t>
      </w:r>
      <w:r w:rsidRPr="00A26C26">
        <w:rPr>
          <w:rFonts w:cstheme="minorHAnsi"/>
        </w:rPr>
        <w:t>elementem</w:t>
      </w:r>
      <w:r w:rsidR="003B50ED">
        <w:rPr>
          <w:rFonts w:cstheme="minorHAnsi"/>
        </w:rPr>
        <w:t xml:space="preserve"> </w:t>
      </w:r>
      <w:r w:rsidRPr="00A26C26">
        <w:rPr>
          <w:rFonts w:cstheme="minorHAnsi"/>
        </w:rPr>
        <w:t>jest</w:t>
      </w:r>
      <w:r w:rsidR="003B50ED">
        <w:rPr>
          <w:rFonts w:cstheme="minorHAnsi"/>
        </w:rPr>
        <w:t xml:space="preserve"> </w:t>
      </w:r>
      <w:r w:rsidRPr="00A26C26">
        <w:rPr>
          <w:rFonts w:cstheme="minorHAnsi"/>
        </w:rPr>
        <w:t>kojarzenie</w:t>
      </w:r>
      <w:r w:rsidR="003B50ED">
        <w:rPr>
          <w:rFonts w:cstheme="minorHAnsi"/>
        </w:rPr>
        <w:t xml:space="preserve"> </w:t>
      </w:r>
      <w:r w:rsidRPr="00A26C26">
        <w:rPr>
          <w:rFonts w:cstheme="minorHAnsi"/>
        </w:rPr>
        <w:t>partnerów.</w:t>
      </w:r>
      <w:r w:rsidR="003B50ED">
        <w:rPr>
          <w:rFonts w:cstheme="minorHAnsi"/>
        </w:rPr>
        <w:t xml:space="preserve"> </w:t>
      </w:r>
    </w:p>
    <w:p w14:paraId="438AEE88" w14:textId="6C977031" w:rsidR="00C71928" w:rsidRPr="00A26C26" w:rsidRDefault="00C46FB5" w:rsidP="00A26C26">
      <w:pPr>
        <w:spacing w:line="276" w:lineRule="auto"/>
        <w:ind w:firstLine="284"/>
        <w:jc w:val="both"/>
        <w:rPr>
          <w:rFonts w:cstheme="minorHAnsi"/>
          <w:strike/>
        </w:rPr>
      </w:pPr>
      <w:r w:rsidRPr="00A26C26">
        <w:rPr>
          <w:rFonts w:cstheme="minorHAnsi"/>
        </w:rPr>
        <w:t>Z</w:t>
      </w:r>
      <w:r w:rsidR="003B50ED">
        <w:rPr>
          <w:rFonts w:cstheme="minorHAnsi"/>
        </w:rPr>
        <w:t xml:space="preserve"> </w:t>
      </w:r>
      <w:r w:rsidRPr="00A26C26">
        <w:rPr>
          <w:rFonts w:cstheme="minorHAnsi"/>
        </w:rPr>
        <w:t>kolei,</w:t>
      </w:r>
      <w:r w:rsidR="003B50ED">
        <w:rPr>
          <w:rFonts w:cstheme="minorHAnsi"/>
        </w:rPr>
        <w:t xml:space="preserve"> </w:t>
      </w:r>
      <w:r w:rsidRPr="00A26C26">
        <w:rPr>
          <w:rFonts w:cstheme="minorHAnsi"/>
        </w:rPr>
        <w:t>dla</w:t>
      </w:r>
      <w:r w:rsidR="003B50ED">
        <w:rPr>
          <w:rFonts w:cstheme="minorHAnsi"/>
        </w:rPr>
        <w:t xml:space="preserve"> </w:t>
      </w:r>
      <w:r w:rsidRPr="00A26C26">
        <w:rPr>
          <w:rFonts w:cstheme="minorHAnsi"/>
        </w:rPr>
        <w:t>zachowania</w:t>
      </w:r>
      <w:r w:rsidR="003B50ED">
        <w:rPr>
          <w:rFonts w:cstheme="minorHAnsi"/>
        </w:rPr>
        <w:t xml:space="preserve"> </w:t>
      </w:r>
      <w:r w:rsidRPr="00A26C26">
        <w:rPr>
          <w:rFonts w:cstheme="minorHAnsi"/>
        </w:rPr>
        <w:t>transparentności</w:t>
      </w:r>
      <w:r w:rsidR="003B50ED">
        <w:rPr>
          <w:rFonts w:cstheme="minorHAnsi"/>
        </w:rPr>
        <w:t xml:space="preserve"> </w:t>
      </w:r>
      <w:r w:rsidRPr="00A26C26">
        <w:rPr>
          <w:rFonts w:cstheme="minorHAnsi"/>
        </w:rPr>
        <w:t>działania</w:t>
      </w:r>
      <w:r w:rsidR="003B50ED">
        <w:rPr>
          <w:rFonts w:cstheme="minorHAnsi"/>
        </w:rPr>
        <w:t xml:space="preserve"> </w:t>
      </w:r>
      <w:r w:rsidRPr="00A26C26">
        <w:rPr>
          <w:rFonts w:cstheme="minorHAnsi"/>
        </w:rPr>
        <w:t>LGD,</w:t>
      </w:r>
      <w:r w:rsidR="003B50ED">
        <w:rPr>
          <w:rFonts w:cstheme="minorHAnsi"/>
        </w:rPr>
        <w:t xml:space="preserve"> </w:t>
      </w:r>
      <w:r w:rsidRPr="00A26C26">
        <w:rPr>
          <w:rFonts w:cstheme="minorHAnsi"/>
        </w:rPr>
        <w:t>p</w:t>
      </w:r>
      <w:r w:rsidR="00C71928" w:rsidRPr="00A26C26">
        <w:rPr>
          <w:rFonts w:cstheme="minorHAnsi"/>
        </w:rPr>
        <w:t>unktacji</w:t>
      </w:r>
      <w:r w:rsidR="003B50ED">
        <w:rPr>
          <w:rFonts w:cstheme="minorHAnsi"/>
        </w:rPr>
        <w:t xml:space="preserve"> </w:t>
      </w:r>
      <w:r w:rsidRPr="00A26C26">
        <w:rPr>
          <w:rFonts w:cstheme="minorHAnsi"/>
        </w:rPr>
        <w:t>nie</w:t>
      </w:r>
      <w:r w:rsidR="003B50ED">
        <w:rPr>
          <w:rFonts w:cstheme="minorHAnsi"/>
        </w:rPr>
        <w:t xml:space="preserve"> </w:t>
      </w:r>
      <w:r w:rsidRPr="00A26C26">
        <w:rPr>
          <w:rFonts w:cstheme="minorHAnsi"/>
        </w:rPr>
        <w:t>będą</w:t>
      </w:r>
      <w:r w:rsidR="003B50ED">
        <w:rPr>
          <w:rFonts w:cstheme="minorHAnsi"/>
        </w:rPr>
        <w:t xml:space="preserve"> </w:t>
      </w:r>
      <w:r w:rsidR="00C71928" w:rsidRPr="00A26C26">
        <w:rPr>
          <w:rFonts w:cstheme="minorHAnsi"/>
        </w:rPr>
        <w:t>podlegać</w:t>
      </w:r>
      <w:r w:rsidR="003B50ED">
        <w:rPr>
          <w:rFonts w:cstheme="minorHAnsi"/>
        </w:rPr>
        <w:t xml:space="preserve"> </w:t>
      </w:r>
      <w:r w:rsidR="00C71928" w:rsidRPr="00A26C26">
        <w:rPr>
          <w:rFonts w:cstheme="minorHAnsi"/>
        </w:rPr>
        <w:t>premiowanie</w:t>
      </w:r>
      <w:r w:rsidR="003B50ED">
        <w:rPr>
          <w:rFonts w:cstheme="minorHAnsi"/>
        </w:rPr>
        <w:t xml:space="preserve"> </w:t>
      </w:r>
      <w:r w:rsidR="00C71928" w:rsidRPr="00A26C26">
        <w:rPr>
          <w:rFonts w:cstheme="minorHAnsi"/>
        </w:rPr>
        <w:t>przez</w:t>
      </w:r>
      <w:r w:rsidR="003B50ED">
        <w:rPr>
          <w:rFonts w:cstheme="minorHAnsi"/>
        </w:rPr>
        <w:t xml:space="preserve"> </w:t>
      </w:r>
      <w:r w:rsidR="00C71928" w:rsidRPr="00A26C26">
        <w:rPr>
          <w:rFonts w:cstheme="minorHAnsi"/>
        </w:rPr>
        <w:t>LGD</w:t>
      </w:r>
      <w:r w:rsidR="003B50ED">
        <w:rPr>
          <w:rFonts w:cstheme="minorHAnsi"/>
        </w:rPr>
        <w:t xml:space="preserve"> </w:t>
      </w:r>
      <w:r w:rsidR="00C71928" w:rsidRPr="00A26C26">
        <w:rPr>
          <w:rFonts w:cstheme="minorHAnsi"/>
        </w:rPr>
        <w:t>projektów</w:t>
      </w:r>
      <w:r w:rsidR="003B50ED">
        <w:rPr>
          <w:rFonts w:cstheme="minorHAnsi"/>
        </w:rPr>
        <w:t xml:space="preserve"> </w:t>
      </w:r>
      <w:r w:rsidR="00C71928" w:rsidRPr="00A26C26">
        <w:rPr>
          <w:rFonts w:cstheme="minorHAnsi"/>
        </w:rPr>
        <w:t>z</w:t>
      </w:r>
      <w:r w:rsidR="003B50ED">
        <w:rPr>
          <w:rFonts w:cstheme="minorHAnsi"/>
        </w:rPr>
        <w:t xml:space="preserve"> </w:t>
      </w:r>
      <w:r w:rsidR="00C71928" w:rsidRPr="00A26C26">
        <w:rPr>
          <w:rFonts w:cstheme="minorHAnsi"/>
        </w:rPr>
        <w:t>których</w:t>
      </w:r>
      <w:r w:rsidR="003B50ED">
        <w:rPr>
          <w:rFonts w:cstheme="minorHAnsi"/>
        </w:rPr>
        <w:t xml:space="preserve"> </w:t>
      </w:r>
      <w:r w:rsidR="00C71928" w:rsidRPr="00A26C26">
        <w:rPr>
          <w:rFonts w:cstheme="minorHAnsi"/>
        </w:rPr>
        <w:t>specyfiki</w:t>
      </w:r>
      <w:r w:rsidR="003B50ED">
        <w:rPr>
          <w:rFonts w:cstheme="minorHAnsi"/>
        </w:rPr>
        <w:t xml:space="preserve"> </w:t>
      </w:r>
      <w:r w:rsidR="00C71928" w:rsidRPr="00A26C26">
        <w:rPr>
          <w:rFonts w:cstheme="minorHAnsi"/>
        </w:rPr>
        <w:t>wynika,</w:t>
      </w:r>
      <w:r w:rsidR="003B50ED">
        <w:rPr>
          <w:rFonts w:cstheme="minorHAnsi"/>
        </w:rPr>
        <w:t xml:space="preserve"> </w:t>
      </w:r>
      <w:r w:rsidR="00C71928" w:rsidRPr="00A26C26">
        <w:rPr>
          <w:rFonts w:cstheme="minorHAnsi"/>
        </w:rPr>
        <w:t>że</w:t>
      </w:r>
      <w:r w:rsidR="003B50ED">
        <w:rPr>
          <w:rFonts w:cstheme="minorHAnsi"/>
        </w:rPr>
        <w:t xml:space="preserve"> </w:t>
      </w:r>
      <w:r w:rsidR="00C71928" w:rsidRPr="00A26C26">
        <w:rPr>
          <w:rFonts w:cstheme="minorHAnsi"/>
        </w:rPr>
        <w:t>jedyną</w:t>
      </w:r>
      <w:r w:rsidR="003B50ED">
        <w:rPr>
          <w:rFonts w:cstheme="minorHAnsi"/>
        </w:rPr>
        <w:t xml:space="preserve"> </w:t>
      </w:r>
      <w:r w:rsidR="00C71928" w:rsidRPr="00A26C26">
        <w:rPr>
          <w:rFonts w:cstheme="minorHAnsi"/>
        </w:rPr>
        <w:t>ich</w:t>
      </w:r>
      <w:r w:rsidR="003B50ED">
        <w:rPr>
          <w:rFonts w:cstheme="minorHAnsi"/>
        </w:rPr>
        <w:t xml:space="preserve"> </w:t>
      </w:r>
      <w:r w:rsidR="00C71928" w:rsidRPr="00A26C26">
        <w:rPr>
          <w:rFonts w:cstheme="minorHAnsi"/>
        </w:rPr>
        <w:t>formą</w:t>
      </w:r>
      <w:r w:rsidR="003B50ED">
        <w:rPr>
          <w:rFonts w:cstheme="minorHAnsi"/>
        </w:rPr>
        <w:t xml:space="preserve"> </w:t>
      </w:r>
      <w:r w:rsidR="00C71928" w:rsidRPr="00A26C26">
        <w:rPr>
          <w:rFonts w:cstheme="minorHAnsi"/>
        </w:rPr>
        <w:t>realizacji</w:t>
      </w:r>
      <w:r w:rsidR="003B50ED">
        <w:rPr>
          <w:rFonts w:cstheme="minorHAnsi"/>
        </w:rPr>
        <w:t xml:space="preserve"> </w:t>
      </w:r>
      <w:r w:rsidR="00C71928" w:rsidRPr="00A26C26">
        <w:rPr>
          <w:rFonts w:cstheme="minorHAnsi"/>
        </w:rPr>
        <w:t>jest</w:t>
      </w:r>
      <w:r w:rsidR="003B50ED">
        <w:rPr>
          <w:rFonts w:cstheme="minorHAnsi"/>
        </w:rPr>
        <w:t xml:space="preserve"> </w:t>
      </w:r>
      <w:r w:rsidR="00C71928" w:rsidRPr="00A26C26">
        <w:rPr>
          <w:rFonts w:cstheme="minorHAnsi"/>
        </w:rPr>
        <w:t>partnerstwo</w:t>
      </w:r>
      <w:r w:rsidR="008D675F" w:rsidRPr="00A26C26">
        <w:rPr>
          <w:rFonts w:cstheme="minorHAnsi"/>
        </w:rPr>
        <w:t>.</w:t>
      </w:r>
      <w:r w:rsidR="003B50ED">
        <w:rPr>
          <w:rFonts w:cstheme="minorHAnsi"/>
          <w:strike/>
        </w:rPr>
        <w:t xml:space="preserve"> </w:t>
      </w:r>
    </w:p>
    <w:p w14:paraId="43EDAD46" w14:textId="4635FCC3" w:rsidR="00224658" w:rsidRPr="00A26C26" w:rsidRDefault="00C71928" w:rsidP="00A26C26">
      <w:pPr>
        <w:spacing w:line="276" w:lineRule="auto"/>
        <w:ind w:firstLine="284"/>
        <w:jc w:val="both"/>
        <w:rPr>
          <w:rFonts w:cstheme="minorHAnsi"/>
        </w:rPr>
      </w:pPr>
      <w:r w:rsidRPr="00A26C26">
        <w:rPr>
          <w:rFonts w:cstheme="minorHAnsi"/>
        </w:rPr>
        <w:t>Zarówno</w:t>
      </w:r>
      <w:r w:rsidR="003B50ED">
        <w:rPr>
          <w:rFonts w:cstheme="minorHAnsi"/>
        </w:rPr>
        <w:t xml:space="preserve"> </w:t>
      </w:r>
      <w:r w:rsidRPr="00A26C26">
        <w:rPr>
          <w:rFonts w:cstheme="minorHAnsi"/>
        </w:rPr>
        <w:t>plan</w:t>
      </w:r>
      <w:r w:rsidR="003B50ED">
        <w:rPr>
          <w:rFonts w:cstheme="minorHAnsi"/>
        </w:rPr>
        <w:t xml:space="preserve"> </w:t>
      </w:r>
      <w:r w:rsidRPr="00A26C26">
        <w:rPr>
          <w:rFonts w:cstheme="minorHAnsi"/>
        </w:rPr>
        <w:t>komunikacji</w:t>
      </w:r>
      <w:r w:rsidR="003B50ED">
        <w:rPr>
          <w:rFonts w:cstheme="minorHAnsi"/>
        </w:rPr>
        <w:t xml:space="preserve"> </w:t>
      </w:r>
      <w:r w:rsidRPr="00A26C26">
        <w:rPr>
          <w:rFonts w:cstheme="minorHAnsi"/>
        </w:rPr>
        <w:t>jaki</w:t>
      </w:r>
      <w:r w:rsidR="003B50ED">
        <w:rPr>
          <w:rFonts w:cstheme="minorHAnsi"/>
        </w:rPr>
        <w:t xml:space="preserve"> </w:t>
      </w:r>
      <w:r w:rsidRPr="00A26C26">
        <w:rPr>
          <w:rFonts w:cstheme="minorHAnsi"/>
        </w:rPr>
        <w:t>plan</w:t>
      </w:r>
      <w:r w:rsidR="003B50ED">
        <w:rPr>
          <w:rFonts w:cstheme="minorHAnsi"/>
        </w:rPr>
        <w:t xml:space="preserve"> </w:t>
      </w:r>
      <w:r w:rsidRPr="00A26C26">
        <w:rPr>
          <w:rFonts w:cstheme="minorHAnsi"/>
        </w:rPr>
        <w:t>dodatkowych</w:t>
      </w:r>
      <w:r w:rsidR="003B50ED">
        <w:rPr>
          <w:rFonts w:cstheme="minorHAnsi"/>
        </w:rPr>
        <w:t xml:space="preserve"> </w:t>
      </w:r>
      <w:r w:rsidRPr="00A26C26">
        <w:rPr>
          <w:rFonts w:cstheme="minorHAnsi"/>
        </w:rPr>
        <w:t>działań</w:t>
      </w:r>
      <w:r w:rsidR="003B50ED">
        <w:rPr>
          <w:rFonts w:cstheme="minorHAnsi"/>
        </w:rPr>
        <w:t xml:space="preserve"> </w:t>
      </w:r>
      <w:r w:rsidRPr="00A26C26">
        <w:rPr>
          <w:rFonts w:cstheme="minorHAnsi"/>
        </w:rPr>
        <w:t>związanych</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animacją</w:t>
      </w:r>
      <w:r w:rsidR="003B50ED">
        <w:rPr>
          <w:rFonts w:cstheme="minorHAnsi"/>
        </w:rPr>
        <w:t xml:space="preserve"> </w:t>
      </w:r>
      <w:r w:rsidRPr="00A26C26">
        <w:rPr>
          <w:rFonts w:cstheme="minorHAnsi"/>
        </w:rPr>
        <w:t>społeczną</w:t>
      </w:r>
      <w:r w:rsidR="003B50ED">
        <w:rPr>
          <w:rFonts w:cstheme="minorHAnsi"/>
        </w:rPr>
        <w:t xml:space="preserve"> </w:t>
      </w:r>
      <w:r w:rsidRPr="00A26C26">
        <w:rPr>
          <w:rFonts w:cstheme="minorHAnsi"/>
        </w:rPr>
        <w:t>będzie</w:t>
      </w:r>
      <w:r w:rsidR="003B50ED">
        <w:rPr>
          <w:rFonts w:cstheme="minorHAnsi"/>
        </w:rPr>
        <w:t xml:space="preserve"> </w:t>
      </w:r>
      <w:r w:rsidRPr="00A26C26">
        <w:rPr>
          <w:rFonts w:cstheme="minorHAnsi"/>
        </w:rPr>
        <w:t>podlegał</w:t>
      </w:r>
      <w:r w:rsidR="003B50ED">
        <w:rPr>
          <w:rFonts w:cstheme="minorHAnsi"/>
        </w:rPr>
        <w:t xml:space="preserve"> </w:t>
      </w:r>
      <w:r w:rsidRPr="00A26C26">
        <w:rPr>
          <w:rFonts w:cstheme="minorHAnsi"/>
        </w:rPr>
        <w:t>monitoringowi</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ewaluacji.</w:t>
      </w:r>
      <w:r w:rsidR="003B50ED">
        <w:rPr>
          <w:rFonts w:cstheme="minorHAnsi"/>
        </w:rPr>
        <w:t xml:space="preserve"> </w:t>
      </w:r>
      <w:r w:rsidRPr="00A26C26">
        <w:rPr>
          <w:rFonts w:cstheme="minorHAnsi"/>
        </w:rPr>
        <w:t>Każdorazowo</w:t>
      </w:r>
      <w:r w:rsidR="003B50ED">
        <w:rPr>
          <w:rFonts w:cstheme="minorHAnsi"/>
        </w:rPr>
        <w:t xml:space="preserve"> </w:t>
      </w:r>
      <w:r w:rsidRPr="00A26C26">
        <w:rPr>
          <w:rFonts w:cstheme="minorHAnsi"/>
        </w:rPr>
        <w:t>będzie</w:t>
      </w:r>
      <w:r w:rsidR="003B50ED">
        <w:rPr>
          <w:rFonts w:cstheme="minorHAnsi"/>
        </w:rPr>
        <w:t xml:space="preserve"> </w:t>
      </w:r>
      <w:r w:rsidRPr="00A26C26">
        <w:rPr>
          <w:rFonts w:cstheme="minorHAnsi"/>
        </w:rPr>
        <w:t>dokonywana</w:t>
      </w:r>
      <w:r w:rsidR="003B50ED">
        <w:rPr>
          <w:rFonts w:cstheme="minorHAnsi"/>
        </w:rPr>
        <w:t xml:space="preserve"> </w:t>
      </w:r>
      <w:r w:rsidRPr="00A26C26">
        <w:rPr>
          <w:rFonts w:cstheme="minorHAnsi"/>
        </w:rPr>
        <w:t>ocena</w:t>
      </w:r>
      <w:r w:rsidR="003B50ED">
        <w:rPr>
          <w:rFonts w:cstheme="minorHAnsi"/>
        </w:rPr>
        <w:t xml:space="preserve"> </w:t>
      </w:r>
      <w:r w:rsidRPr="00A26C26">
        <w:rPr>
          <w:rFonts w:cstheme="minorHAnsi"/>
        </w:rPr>
        <w:t>skuteczności</w:t>
      </w:r>
      <w:r w:rsidR="003B50ED">
        <w:rPr>
          <w:rFonts w:cstheme="minorHAnsi"/>
        </w:rPr>
        <w:t xml:space="preserve"> </w:t>
      </w:r>
      <w:r w:rsidRPr="00A26C26">
        <w:rPr>
          <w:rFonts w:cstheme="minorHAnsi"/>
        </w:rPr>
        <w:t>podejmowanych</w:t>
      </w:r>
      <w:r w:rsidR="003B50ED">
        <w:rPr>
          <w:rFonts w:cstheme="minorHAnsi"/>
        </w:rPr>
        <w:t xml:space="preserve"> </w:t>
      </w:r>
      <w:r w:rsidRPr="00A26C26">
        <w:rPr>
          <w:rFonts w:cstheme="minorHAnsi"/>
        </w:rPr>
        <w:t>działań</w:t>
      </w:r>
      <w:r w:rsidR="003B50ED">
        <w:rPr>
          <w:rFonts w:cstheme="minorHAnsi"/>
        </w:rPr>
        <w:t xml:space="preserve"> </w:t>
      </w:r>
      <w:r w:rsidRPr="00A26C26">
        <w:rPr>
          <w:rFonts w:cstheme="minorHAnsi"/>
        </w:rPr>
        <w:t>tj.</w:t>
      </w:r>
      <w:r w:rsidR="003B50ED">
        <w:rPr>
          <w:rFonts w:cstheme="minorHAnsi"/>
        </w:rPr>
        <w:t xml:space="preserve"> </w:t>
      </w:r>
      <w:r w:rsidRPr="00A26C26">
        <w:rPr>
          <w:rFonts w:cstheme="minorHAnsi"/>
        </w:rPr>
        <w:t>czy</w:t>
      </w:r>
      <w:r w:rsidR="003B50ED">
        <w:rPr>
          <w:rFonts w:cstheme="minorHAnsi"/>
        </w:rPr>
        <w:t xml:space="preserve"> </w:t>
      </w:r>
      <w:r w:rsidRPr="00A26C26">
        <w:rPr>
          <w:rFonts w:cstheme="minorHAnsi"/>
        </w:rPr>
        <w:t>zakładany</w:t>
      </w:r>
      <w:r w:rsidR="003B50ED">
        <w:rPr>
          <w:rFonts w:cstheme="minorHAnsi"/>
        </w:rPr>
        <w:t xml:space="preserve"> </w:t>
      </w:r>
      <w:r w:rsidRPr="00A26C26">
        <w:rPr>
          <w:rFonts w:cstheme="minorHAnsi"/>
        </w:rPr>
        <w:t>cel</w:t>
      </w:r>
      <w:r w:rsidR="003B50ED">
        <w:rPr>
          <w:rFonts w:cstheme="minorHAnsi"/>
        </w:rPr>
        <w:t xml:space="preserve"> </w:t>
      </w:r>
      <w:r w:rsidRPr="00A26C26">
        <w:rPr>
          <w:rFonts w:cstheme="minorHAnsi"/>
        </w:rPr>
        <w:t>komunikacji</w:t>
      </w:r>
      <w:r w:rsidR="003B50ED">
        <w:rPr>
          <w:rFonts w:cstheme="minorHAnsi"/>
        </w:rPr>
        <w:t xml:space="preserve"> </w:t>
      </w:r>
      <w:r w:rsidRPr="00A26C26">
        <w:rPr>
          <w:rFonts w:cstheme="minorHAnsi"/>
        </w:rPr>
        <w:t>został</w:t>
      </w:r>
      <w:r w:rsidR="003B50ED">
        <w:rPr>
          <w:rFonts w:cstheme="minorHAnsi"/>
        </w:rPr>
        <w:t xml:space="preserve"> </w:t>
      </w:r>
      <w:r w:rsidRPr="00A26C26">
        <w:rPr>
          <w:rFonts w:cstheme="minorHAnsi"/>
        </w:rPr>
        <w:t>osiągnięty</w:t>
      </w:r>
      <w:r w:rsidR="003B50ED">
        <w:rPr>
          <w:rFonts w:cstheme="minorHAnsi"/>
        </w:rPr>
        <w:t xml:space="preserve"> </w:t>
      </w:r>
      <w:r w:rsidRPr="00A26C26">
        <w:rPr>
          <w:rFonts w:cstheme="minorHAnsi"/>
        </w:rPr>
        <w:t>czy</w:t>
      </w:r>
      <w:r w:rsidR="003B50ED">
        <w:rPr>
          <w:rFonts w:cstheme="minorHAnsi"/>
        </w:rPr>
        <w:t xml:space="preserve"> </w:t>
      </w:r>
      <w:r w:rsidRPr="00A26C26">
        <w:rPr>
          <w:rFonts w:cstheme="minorHAnsi"/>
        </w:rPr>
        <w:t>została</w:t>
      </w:r>
      <w:r w:rsidR="003B50ED">
        <w:rPr>
          <w:rFonts w:cstheme="minorHAnsi"/>
        </w:rPr>
        <w:t xml:space="preserve"> </w:t>
      </w:r>
      <w:r w:rsidRPr="00A26C26">
        <w:rPr>
          <w:rFonts w:cstheme="minorHAnsi"/>
        </w:rPr>
        <w:t>wywołana</w:t>
      </w:r>
      <w:r w:rsidR="003B50ED">
        <w:rPr>
          <w:rFonts w:cstheme="minorHAnsi"/>
        </w:rPr>
        <w:t xml:space="preserve"> </w:t>
      </w:r>
      <w:r w:rsidRPr="00A26C26">
        <w:rPr>
          <w:rFonts w:cstheme="minorHAnsi"/>
        </w:rPr>
        <w:t>zakładana</w:t>
      </w:r>
      <w:r w:rsidR="003B50ED">
        <w:rPr>
          <w:rFonts w:cstheme="minorHAnsi"/>
        </w:rPr>
        <w:t xml:space="preserve"> </w:t>
      </w:r>
      <w:r w:rsidRPr="00A26C26">
        <w:rPr>
          <w:rFonts w:cstheme="minorHAnsi"/>
        </w:rPr>
        <w:t>zmiana</w:t>
      </w:r>
      <w:r w:rsidR="003B50ED">
        <w:rPr>
          <w:rFonts w:cstheme="minorHAnsi"/>
        </w:rPr>
        <w:t xml:space="preserve"> </w:t>
      </w:r>
      <w:r w:rsidRPr="00A26C26">
        <w:rPr>
          <w:rFonts w:cstheme="minorHAnsi"/>
        </w:rPr>
        <w:t>oraz</w:t>
      </w:r>
      <w:r w:rsidR="003B50ED">
        <w:rPr>
          <w:rFonts w:cstheme="minorHAnsi"/>
        </w:rPr>
        <w:t xml:space="preserve"> </w:t>
      </w:r>
      <w:r w:rsidRPr="00A26C26">
        <w:rPr>
          <w:rFonts w:cstheme="minorHAnsi"/>
        </w:rPr>
        <w:t>zostaną</w:t>
      </w:r>
      <w:r w:rsidR="003B50ED">
        <w:rPr>
          <w:rFonts w:cstheme="minorHAnsi"/>
        </w:rPr>
        <w:t xml:space="preserve"> </w:t>
      </w:r>
      <w:r w:rsidRPr="00A26C26">
        <w:rPr>
          <w:rFonts w:cstheme="minorHAnsi"/>
        </w:rPr>
        <w:t>zaproponowane</w:t>
      </w:r>
      <w:r w:rsidR="003B50ED">
        <w:rPr>
          <w:rFonts w:cstheme="minorHAnsi"/>
        </w:rPr>
        <w:t xml:space="preserve"> </w:t>
      </w:r>
      <w:r w:rsidRPr="00A26C26">
        <w:rPr>
          <w:rFonts w:cstheme="minorHAnsi"/>
        </w:rPr>
        <w:t>środki</w:t>
      </w:r>
      <w:r w:rsidR="003B50ED">
        <w:rPr>
          <w:rFonts w:cstheme="minorHAnsi"/>
        </w:rPr>
        <w:t xml:space="preserve"> </w:t>
      </w:r>
      <w:r w:rsidRPr="00A26C26">
        <w:rPr>
          <w:rFonts w:cstheme="minorHAnsi"/>
        </w:rPr>
        <w:t>zaradcze</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przypadku</w:t>
      </w:r>
      <w:r w:rsidR="003B50ED">
        <w:rPr>
          <w:rFonts w:cstheme="minorHAnsi"/>
        </w:rPr>
        <w:t xml:space="preserve"> </w:t>
      </w:r>
      <w:r w:rsidRPr="00A26C26">
        <w:rPr>
          <w:rFonts w:cstheme="minorHAnsi"/>
        </w:rPr>
        <w:t>gdy</w:t>
      </w:r>
      <w:r w:rsidR="003B50ED">
        <w:rPr>
          <w:rFonts w:cstheme="minorHAnsi"/>
        </w:rPr>
        <w:t xml:space="preserve"> </w:t>
      </w:r>
      <w:r w:rsidRPr="00A26C26">
        <w:rPr>
          <w:rFonts w:cstheme="minorHAnsi"/>
        </w:rPr>
        <w:t>działania</w:t>
      </w:r>
      <w:r w:rsidR="003B50ED">
        <w:rPr>
          <w:rFonts w:cstheme="minorHAnsi"/>
        </w:rPr>
        <w:t xml:space="preserve"> </w:t>
      </w:r>
      <w:r w:rsidRPr="00A26C26">
        <w:rPr>
          <w:rFonts w:cstheme="minorHAnsi"/>
        </w:rPr>
        <w:t>okażą</w:t>
      </w:r>
      <w:r w:rsidR="003B50ED">
        <w:rPr>
          <w:rFonts w:cstheme="minorHAnsi"/>
        </w:rPr>
        <w:t xml:space="preserve"> </w:t>
      </w:r>
      <w:r w:rsidRPr="00A26C26">
        <w:rPr>
          <w:rFonts w:cstheme="minorHAnsi"/>
        </w:rPr>
        <w:t>się</w:t>
      </w:r>
      <w:r w:rsidR="003B50ED">
        <w:rPr>
          <w:rFonts w:cstheme="minorHAnsi"/>
        </w:rPr>
        <w:t xml:space="preserve"> </w:t>
      </w:r>
      <w:r w:rsidRPr="00A26C26">
        <w:rPr>
          <w:rFonts w:cstheme="minorHAnsi"/>
        </w:rPr>
        <w:t>nieskuteczne.</w:t>
      </w:r>
      <w:r w:rsidR="003B50ED">
        <w:rPr>
          <w:rFonts w:cstheme="minorHAnsi"/>
        </w:rPr>
        <w:t xml:space="preserve"> </w:t>
      </w:r>
    </w:p>
    <w:p w14:paraId="0708D8F3" w14:textId="77777777" w:rsidR="0035174A" w:rsidRPr="00F16251" w:rsidRDefault="0035174A" w:rsidP="00A26C26">
      <w:pPr>
        <w:spacing w:line="276" w:lineRule="auto"/>
        <w:rPr>
          <w:rFonts w:cstheme="minorHAnsi"/>
        </w:rPr>
      </w:pPr>
    </w:p>
    <w:p w14:paraId="53B8A63C" w14:textId="47F25957" w:rsidR="0035174A" w:rsidRPr="00F16251" w:rsidRDefault="00467397" w:rsidP="00467397">
      <w:pPr>
        <w:spacing w:line="276" w:lineRule="auto"/>
        <w:ind w:firstLine="284"/>
        <w:jc w:val="both"/>
        <w:rPr>
          <w:rFonts w:eastAsia="Calibri" w:cstheme="minorHAnsi"/>
          <w:lang w:eastAsia="pl-PL"/>
        </w:rPr>
      </w:pPr>
      <w:bookmarkStart w:id="33" w:name="_Hlk136198548"/>
      <w:r w:rsidRPr="00F16251">
        <w:rPr>
          <w:rFonts w:eastAsia="Calibri" w:cstheme="minorHAnsi"/>
          <w:u w:val="single"/>
          <w:lang w:eastAsia="pl-PL"/>
        </w:rPr>
        <w:t>Specjalną forma komunikacji będzie również a</w:t>
      </w:r>
      <w:r w:rsidR="0035174A" w:rsidRPr="00F16251">
        <w:rPr>
          <w:rFonts w:eastAsia="Calibri" w:cstheme="minorHAnsi"/>
          <w:u w:val="single"/>
          <w:lang w:eastAsia="pl-PL"/>
        </w:rPr>
        <w:t>nimowanie do wdrażania innowacji</w:t>
      </w:r>
      <w:r w:rsidRPr="00F16251">
        <w:rPr>
          <w:rFonts w:eastAsia="Calibri" w:cstheme="minorHAnsi"/>
          <w:u w:val="single"/>
          <w:lang w:eastAsia="pl-PL"/>
        </w:rPr>
        <w:t xml:space="preserve">. </w:t>
      </w:r>
      <w:r w:rsidRPr="00F16251">
        <w:rPr>
          <w:rFonts w:eastAsia="Calibri" w:cstheme="minorHAnsi"/>
          <w:lang w:eastAsia="pl-PL"/>
        </w:rPr>
        <w:t xml:space="preserve">Będą </w:t>
      </w:r>
      <w:r w:rsidR="0035174A" w:rsidRPr="00F16251">
        <w:rPr>
          <w:rFonts w:eastAsia="Calibri" w:cstheme="minorHAnsi"/>
          <w:lang w:eastAsia="pl-PL"/>
        </w:rPr>
        <w:t>podejmow</w:t>
      </w:r>
      <w:r w:rsidRPr="00F16251">
        <w:rPr>
          <w:rFonts w:eastAsia="Calibri" w:cstheme="minorHAnsi"/>
          <w:lang w:eastAsia="pl-PL"/>
        </w:rPr>
        <w:t xml:space="preserve">ane w tym zakresie </w:t>
      </w:r>
      <w:r w:rsidR="0035174A" w:rsidRPr="00F16251">
        <w:rPr>
          <w:rFonts w:eastAsia="Calibri" w:cstheme="minorHAnsi"/>
          <w:lang w:eastAsia="pl-PL"/>
        </w:rPr>
        <w:t xml:space="preserve">działania </w:t>
      </w:r>
      <w:r w:rsidRPr="00F16251">
        <w:rPr>
          <w:rFonts w:eastAsia="Calibri" w:cstheme="minorHAnsi"/>
          <w:lang w:eastAsia="pl-PL"/>
        </w:rPr>
        <w:t xml:space="preserve">zachęcające lokalną </w:t>
      </w:r>
      <w:r w:rsidR="0035174A" w:rsidRPr="00F16251">
        <w:rPr>
          <w:rFonts w:eastAsia="Calibri" w:cstheme="minorHAnsi"/>
          <w:lang w:eastAsia="pl-PL"/>
        </w:rPr>
        <w:t>społecznoś</w:t>
      </w:r>
      <w:r w:rsidRPr="00F16251">
        <w:rPr>
          <w:rFonts w:eastAsia="Calibri" w:cstheme="minorHAnsi"/>
          <w:lang w:eastAsia="pl-PL"/>
        </w:rPr>
        <w:t xml:space="preserve">ć i potencjalnych beneficjentów </w:t>
      </w:r>
      <w:r w:rsidR="0035174A" w:rsidRPr="00F16251">
        <w:rPr>
          <w:rFonts w:eastAsia="Calibri" w:cstheme="minorHAnsi"/>
          <w:lang w:eastAsia="pl-PL"/>
        </w:rPr>
        <w:t>na rzecz wdrażania projektów innowacyjnych poprzez:</w:t>
      </w:r>
    </w:p>
    <w:p w14:paraId="6DCE25DC" w14:textId="1B30054F" w:rsidR="0035174A" w:rsidRPr="00F16251" w:rsidRDefault="0035174A" w:rsidP="008A412F">
      <w:pPr>
        <w:numPr>
          <w:ilvl w:val="0"/>
          <w:numId w:val="29"/>
        </w:numPr>
        <w:spacing w:line="276" w:lineRule="auto"/>
        <w:jc w:val="both"/>
        <w:rPr>
          <w:rFonts w:eastAsia="Calibri" w:cstheme="minorHAnsi"/>
          <w:lang w:eastAsia="pl-PL"/>
        </w:rPr>
      </w:pPr>
      <w:r w:rsidRPr="00F16251">
        <w:rPr>
          <w:rFonts w:eastAsia="Calibri" w:cstheme="minorHAnsi"/>
          <w:lang w:eastAsia="pl-PL"/>
        </w:rPr>
        <w:t>organizację warsztatów</w:t>
      </w:r>
      <w:r w:rsidR="003B7294">
        <w:rPr>
          <w:rFonts w:eastAsia="Calibri" w:cstheme="minorHAnsi"/>
          <w:lang w:eastAsia="pl-PL"/>
        </w:rPr>
        <w:t xml:space="preserve">/spotkań </w:t>
      </w:r>
      <w:r w:rsidRPr="00F16251">
        <w:rPr>
          <w:rFonts w:eastAsia="Calibri" w:cstheme="minorHAnsi"/>
          <w:lang w:eastAsia="pl-PL"/>
        </w:rPr>
        <w:t xml:space="preserve"> z zasad przygotowania i realizacji projektów obejmujących również kwestie zastosowania kryterium innowacyjności, co znalazło swoje </w:t>
      </w:r>
      <w:r w:rsidRPr="003B7294">
        <w:rPr>
          <w:rFonts w:eastAsia="Calibri" w:cstheme="minorHAnsi"/>
          <w:lang w:eastAsia="pl-PL"/>
        </w:rPr>
        <w:t>odzwierciedlenie w Planie Komunikacji</w:t>
      </w:r>
      <w:r w:rsidR="00467397" w:rsidRPr="003B7294">
        <w:rPr>
          <w:rFonts w:eastAsia="Calibri" w:cstheme="minorHAnsi"/>
          <w:lang w:eastAsia="pl-PL"/>
        </w:rPr>
        <w:t>,</w:t>
      </w:r>
    </w:p>
    <w:p w14:paraId="188F4F80" w14:textId="77777777" w:rsidR="0035174A" w:rsidRPr="00F16251" w:rsidRDefault="0035174A" w:rsidP="008A412F">
      <w:pPr>
        <w:numPr>
          <w:ilvl w:val="0"/>
          <w:numId w:val="29"/>
        </w:numPr>
        <w:spacing w:line="276" w:lineRule="auto"/>
        <w:jc w:val="both"/>
        <w:rPr>
          <w:rFonts w:eastAsia="Calibri" w:cstheme="minorHAnsi"/>
          <w:lang w:eastAsia="pl-PL"/>
        </w:rPr>
      </w:pPr>
      <w:r w:rsidRPr="00F16251">
        <w:rPr>
          <w:rFonts w:eastAsia="Calibri" w:cstheme="minorHAnsi"/>
          <w:lang w:eastAsia="pl-PL"/>
        </w:rPr>
        <w:t>zamieszczenie na stronie internetowej dodatkowego katalogu dobrych praktyk ze wskazaniem innowacji kreatywnych lub imitujących - będzie to jednocześnie promocja ciekawych rozwiązań, które mają realny wpływ na rozwój obszaru i będą zachęta dla potencjalnych beneficjentów do tworzenia nowych produktów, usług, procesów lub zmian w organizacji,</w:t>
      </w:r>
    </w:p>
    <w:p w14:paraId="4CE9AE9A" w14:textId="77777777" w:rsidR="0035174A" w:rsidRPr="00F16251" w:rsidRDefault="0035174A" w:rsidP="008A412F">
      <w:pPr>
        <w:numPr>
          <w:ilvl w:val="0"/>
          <w:numId w:val="29"/>
        </w:numPr>
        <w:spacing w:line="276" w:lineRule="auto"/>
        <w:jc w:val="both"/>
        <w:rPr>
          <w:rFonts w:eastAsia="Calibri" w:cstheme="minorHAnsi"/>
          <w:lang w:eastAsia="pl-PL"/>
        </w:rPr>
      </w:pPr>
      <w:r w:rsidRPr="00F16251">
        <w:rPr>
          <w:rFonts w:eastAsia="Calibri" w:cstheme="minorHAnsi"/>
          <w:lang w:eastAsia="pl-PL"/>
        </w:rPr>
        <w:t>premiowanie operacji innowacyjnych poprzez przyznawanie dodatkowych punktów w kryteriach,</w:t>
      </w:r>
    </w:p>
    <w:p w14:paraId="3BDC2043" w14:textId="38184F42" w:rsidR="0035174A" w:rsidRPr="00F16251" w:rsidRDefault="0035174A" w:rsidP="008A412F">
      <w:pPr>
        <w:numPr>
          <w:ilvl w:val="0"/>
          <w:numId w:val="29"/>
        </w:numPr>
        <w:spacing w:line="276" w:lineRule="auto"/>
        <w:jc w:val="both"/>
        <w:rPr>
          <w:rFonts w:eastAsia="Calibri" w:cstheme="minorHAnsi"/>
          <w:lang w:eastAsia="pl-PL"/>
        </w:rPr>
      </w:pPr>
      <w:r w:rsidRPr="00F16251">
        <w:rPr>
          <w:rFonts w:eastAsia="Calibri" w:cstheme="minorHAnsi"/>
          <w:lang w:eastAsia="pl-PL"/>
        </w:rPr>
        <w:t>promocję działań innowacyjnych na stoiskach LGD organizowa</w:t>
      </w:r>
      <w:r w:rsidR="003B7294">
        <w:rPr>
          <w:rFonts w:eastAsia="Calibri" w:cstheme="minorHAnsi"/>
          <w:lang w:eastAsia="pl-PL"/>
        </w:rPr>
        <w:t>nych podczas lokalnych wydarzeń.</w:t>
      </w:r>
    </w:p>
    <w:p w14:paraId="24826023" w14:textId="77777777" w:rsidR="007F5673" w:rsidRPr="00F16251" w:rsidRDefault="007F5673" w:rsidP="0035174A">
      <w:pPr>
        <w:spacing w:line="276" w:lineRule="auto"/>
        <w:rPr>
          <w:rFonts w:eastAsia="Calibri" w:cstheme="minorHAnsi"/>
          <w:u w:val="single"/>
          <w:lang w:eastAsia="pl-PL"/>
        </w:rPr>
      </w:pPr>
    </w:p>
    <w:p w14:paraId="0F8BDA75" w14:textId="3E1733EE" w:rsidR="0035174A" w:rsidRPr="00F16251" w:rsidRDefault="007F5673" w:rsidP="007F5673">
      <w:pPr>
        <w:spacing w:line="276" w:lineRule="auto"/>
        <w:ind w:firstLine="360"/>
        <w:jc w:val="both"/>
        <w:rPr>
          <w:rFonts w:eastAsia="Calibri" w:cstheme="minorHAnsi"/>
          <w:lang w:eastAsia="pl-PL"/>
        </w:rPr>
      </w:pPr>
      <w:r w:rsidRPr="00F16251">
        <w:rPr>
          <w:rFonts w:eastAsia="Calibri" w:cstheme="minorHAnsi"/>
          <w:b/>
          <w:bCs/>
          <w:lang w:eastAsia="pl-PL"/>
        </w:rPr>
        <w:t xml:space="preserve">Dodatkowym </w:t>
      </w:r>
      <w:r w:rsidR="00467397" w:rsidRPr="00F16251">
        <w:rPr>
          <w:rFonts w:eastAsia="Calibri" w:cstheme="minorHAnsi"/>
          <w:b/>
          <w:bCs/>
          <w:lang w:eastAsia="pl-PL"/>
        </w:rPr>
        <w:t xml:space="preserve">elementem </w:t>
      </w:r>
      <w:r w:rsidRPr="00F16251">
        <w:rPr>
          <w:rFonts w:eastAsia="Calibri" w:cstheme="minorHAnsi"/>
          <w:b/>
          <w:bCs/>
          <w:lang w:eastAsia="pl-PL"/>
        </w:rPr>
        <w:t>partycypacji będzie również a</w:t>
      </w:r>
      <w:r w:rsidR="0035174A" w:rsidRPr="00F16251">
        <w:rPr>
          <w:rFonts w:eastAsia="Calibri" w:cstheme="minorHAnsi"/>
          <w:b/>
          <w:bCs/>
          <w:lang w:eastAsia="pl-PL"/>
        </w:rPr>
        <w:t xml:space="preserve">ktywizacja ludzi młodych, seniorów i osób </w:t>
      </w:r>
      <w:r w:rsidRPr="00F16251">
        <w:rPr>
          <w:rFonts w:eastAsia="Calibri" w:cstheme="minorHAnsi"/>
          <w:b/>
          <w:bCs/>
          <w:lang w:eastAsia="pl-PL"/>
        </w:rPr>
        <w:br/>
      </w:r>
      <w:r w:rsidR="0035174A" w:rsidRPr="00F16251">
        <w:rPr>
          <w:rFonts w:eastAsia="Calibri" w:cstheme="minorHAnsi"/>
          <w:b/>
          <w:bCs/>
          <w:lang w:eastAsia="pl-PL"/>
        </w:rPr>
        <w:t>w niekorzystnej sytuacji</w:t>
      </w:r>
      <w:r w:rsidRPr="00F16251">
        <w:rPr>
          <w:rFonts w:eastAsia="Calibri" w:cstheme="minorHAnsi"/>
          <w:b/>
          <w:bCs/>
          <w:lang w:eastAsia="pl-PL"/>
        </w:rPr>
        <w:t xml:space="preserve">. </w:t>
      </w:r>
      <w:r w:rsidR="0035174A" w:rsidRPr="00F16251">
        <w:rPr>
          <w:rFonts w:eastAsia="Calibri" w:cstheme="minorHAnsi"/>
          <w:lang w:eastAsia="pl-PL"/>
        </w:rPr>
        <w:t xml:space="preserve">Planując do realizacji działania dedykowane ludziom młodym oraz seniorom </w:t>
      </w:r>
      <w:r w:rsidR="0047446E" w:rsidRPr="00F16251">
        <w:rPr>
          <w:rFonts w:eastAsia="Calibri" w:cstheme="minorHAnsi"/>
          <w:lang w:eastAsia="pl-PL"/>
        </w:rPr>
        <w:t xml:space="preserve">przeanalizowano </w:t>
      </w:r>
      <w:r w:rsidR="0035174A" w:rsidRPr="00F16251">
        <w:rPr>
          <w:rFonts w:eastAsia="Calibri" w:cstheme="minorHAnsi"/>
          <w:lang w:eastAsia="pl-PL"/>
        </w:rPr>
        <w:t xml:space="preserve">obecną ofertę jaka jest dostępna na obszarze LSR. </w:t>
      </w:r>
      <w:r w:rsidRPr="00F16251">
        <w:rPr>
          <w:rFonts w:eastAsia="Calibri" w:cstheme="minorHAnsi"/>
          <w:lang w:eastAsia="pl-PL"/>
        </w:rPr>
        <w:t xml:space="preserve">Oferta na obszarze nie jest wystarczająca. </w:t>
      </w:r>
      <w:r w:rsidR="003B7294">
        <w:rPr>
          <w:rFonts w:eastAsia="Calibri" w:cstheme="minorHAnsi"/>
          <w:lang w:eastAsia="pl-PL"/>
        </w:rPr>
        <w:t xml:space="preserve">                       </w:t>
      </w:r>
      <w:r w:rsidR="0035174A" w:rsidRPr="00F16251">
        <w:rPr>
          <w:rFonts w:eastAsia="Calibri" w:cstheme="minorHAnsi"/>
          <w:lang w:eastAsia="pl-PL"/>
        </w:rPr>
        <w:t xml:space="preserve">W związku z powyższym zdecydowano się na </w:t>
      </w:r>
      <w:r w:rsidRPr="00F16251">
        <w:rPr>
          <w:rFonts w:eastAsia="Calibri" w:cstheme="minorHAnsi"/>
          <w:lang w:eastAsia="pl-PL"/>
        </w:rPr>
        <w:t xml:space="preserve">ujęcie </w:t>
      </w:r>
      <w:r w:rsidR="0035174A" w:rsidRPr="00F16251">
        <w:rPr>
          <w:rFonts w:eastAsia="Calibri" w:cstheme="minorHAnsi"/>
          <w:lang w:eastAsia="pl-PL"/>
        </w:rPr>
        <w:t xml:space="preserve">w Planie </w:t>
      </w:r>
      <w:r w:rsidRPr="00F16251">
        <w:rPr>
          <w:rFonts w:eastAsia="Calibri" w:cstheme="minorHAnsi"/>
          <w:lang w:eastAsia="pl-PL"/>
        </w:rPr>
        <w:t xml:space="preserve">komunikacji oraz w Planie </w:t>
      </w:r>
      <w:r w:rsidR="0035174A" w:rsidRPr="00F16251">
        <w:rPr>
          <w:rFonts w:eastAsia="Calibri" w:cstheme="minorHAnsi"/>
          <w:lang w:eastAsia="pl-PL"/>
        </w:rPr>
        <w:t xml:space="preserve">działania </w:t>
      </w:r>
      <w:r w:rsidRPr="00F16251">
        <w:rPr>
          <w:rFonts w:eastAsia="Calibri" w:cstheme="minorHAnsi"/>
          <w:lang w:eastAsia="pl-PL"/>
        </w:rPr>
        <w:t xml:space="preserve">projektów </w:t>
      </w:r>
      <w:r w:rsidR="003B7294">
        <w:rPr>
          <w:rFonts w:eastAsia="Calibri" w:cstheme="minorHAnsi"/>
          <w:lang w:eastAsia="pl-PL"/>
        </w:rPr>
        <w:t xml:space="preserve">                                </w:t>
      </w:r>
      <w:r w:rsidRPr="00F16251">
        <w:rPr>
          <w:rFonts w:eastAsia="Calibri" w:cstheme="minorHAnsi"/>
          <w:lang w:eastAsia="pl-PL"/>
        </w:rPr>
        <w:t>i inicjatyw dotyczących:</w:t>
      </w:r>
    </w:p>
    <w:p w14:paraId="0348697D" w14:textId="46121F50" w:rsidR="0035174A" w:rsidRPr="00F16251" w:rsidRDefault="0035174A" w:rsidP="008A412F">
      <w:pPr>
        <w:pStyle w:val="Akapitzlist"/>
        <w:numPr>
          <w:ilvl w:val="0"/>
          <w:numId w:val="30"/>
        </w:numPr>
        <w:spacing w:line="276" w:lineRule="auto"/>
        <w:contextualSpacing w:val="0"/>
        <w:jc w:val="both"/>
        <w:rPr>
          <w:rFonts w:eastAsia="Calibri" w:cstheme="minorHAnsi"/>
          <w:lang w:eastAsia="pl-PL"/>
        </w:rPr>
      </w:pPr>
      <w:r w:rsidRPr="00F16251">
        <w:rPr>
          <w:rFonts w:eastAsia="Calibri" w:cstheme="minorHAnsi"/>
          <w:lang w:eastAsia="pl-PL"/>
        </w:rPr>
        <w:t xml:space="preserve">lokalnego środowiska młodzieżowego, w tym integrujących, animujących, </w:t>
      </w:r>
    </w:p>
    <w:p w14:paraId="0C038F9E" w14:textId="40480F1D" w:rsidR="0035174A" w:rsidRPr="00F16251" w:rsidRDefault="0035174A" w:rsidP="008A412F">
      <w:pPr>
        <w:pStyle w:val="Akapitzlist"/>
        <w:numPr>
          <w:ilvl w:val="0"/>
          <w:numId w:val="30"/>
        </w:numPr>
        <w:spacing w:line="276" w:lineRule="auto"/>
        <w:contextualSpacing w:val="0"/>
        <w:jc w:val="both"/>
        <w:rPr>
          <w:rFonts w:eastAsia="Calibri" w:cstheme="minorHAnsi"/>
          <w:lang w:eastAsia="pl-PL"/>
        </w:rPr>
      </w:pPr>
      <w:r w:rsidRPr="00F16251">
        <w:rPr>
          <w:rFonts w:eastAsia="Calibri" w:cstheme="minorHAnsi"/>
          <w:lang w:eastAsia="pl-PL"/>
        </w:rPr>
        <w:t>seniorów w zakresie: włączenia społecznego, cyfrowego itp.,</w:t>
      </w:r>
    </w:p>
    <w:p w14:paraId="7FA96482" w14:textId="4B07ADD1" w:rsidR="0035174A" w:rsidRPr="00F16251" w:rsidRDefault="007F5673" w:rsidP="008A412F">
      <w:pPr>
        <w:pStyle w:val="Akapitzlist"/>
        <w:numPr>
          <w:ilvl w:val="0"/>
          <w:numId w:val="30"/>
        </w:numPr>
        <w:spacing w:line="276" w:lineRule="auto"/>
        <w:contextualSpacing w:val="0"/>
        <w:jc w:val="both"/>
        <w:rPr>
          <w:rFonts w:eastAsia="Calibri" w:cstheme="minorHAnsi"/>
          <w:lang w:eastAsia="pl-PL"/>
        </w:rPr>
      </w:pPr>
      <w:r w:rsidRPr="00F16251">
        <w:rPr>
          <w:rFonts w:eastAsia="Calibri" w:cstheme="minorHAnsi"/>
          <w:lang w:eastAsia="pl-PL"/>
        </w:rPr>
        <w:t xml:space="preserve">osób </w:t>
      </w:r>
      <w:r w:rsidR="0035174A" w:rsidRPr="00F16251">
        <w:rPr>
          <w:rFonts w:eastAsia="Calibri" w:cstheme="minorHAnsi"/>
          <w:lang w:eastAsia="pl-PL"/>
        </w:rPr>
        <w:t>w niekorzystnej sytuacji</w:t>
      </w:r>
      <w:r w:rsidRPr="00F16251">
        <w:rPr>
          <w:rFonts w:eastAsia="Calibri" w:cstheme="minorHAnsi"/>
          <w:lang w:eastAsia="pl-PL"/>
        </w:rPr>
        <w:t>.</w:t>
      </w:r>
    </w:p>
    <w:p w14:paraId="2E3E1E03" w14:textId="77777777" w:rsidR="007F5673" w:rsidRPr="00F16251" w:rsidRDefault="007F5673" w:rsidP="007F5673">
      <w:pPr>
        <w:spacing w:line="276" w:lineRule="auto"/>
        <w:ind w:firstLine="360"/>
        <w:jc w:val="both"/>
        <w:rPr>
          <w:rFonts w:eastAsia="Calibri" w:cstheme="minorHAnsi"/>
          <w:lang w:eastAsia="pl-PL"/>
        </w:rPr>
      </w:pPr>
    </w:p>
    <w:p w14:paraId="2D55B7D6" w14:textId="6C840EC6" w:rsidR="0035174A" w:rsidRPr="00F16251" w:rsidRDefault="0035174A" w:rsidP="007F5673">
      <w:pPr>
        <w:spacing w:line="276" w:lineRule="auto"/>
        <w:ind w:firstLine="360"/>
        <w:jc w:val="both"/>
        <w:rPr>
          <w:rFonts w:eastAsia="Calibri" w:cstheme="minorHAnsi"/>
          <w:lang w:eastAsia="pl-PL"/>
        </w:rPr>
      </w:pPr>
      <w:r w:rsidRPr="00F16251">
        <w:rPr>
          <w:rFonts w:eastAsia="Calibri" w:cstheme="minorHAnsi"/>
          <w:b/>
          <w:bCs/>
          <w:lang w:eastAsia="pl-PL"/>
        </w:rPr>
        <w:t xml:space="preserve">LGD zamierza również w sposób racjonalny i adekwatny animować, komunikować się i informować lokalną społeczność o możliwości udziału w działaniach dla seniorów, ludzi młodych oraz na rzecz grup osób </w:t>
      </w:r>
      <w:r w:rsidR="003B7294">
        <w:rPr>
          <w:rFonts w:eastAsia="Calibri" w:cstheme="minorHAnsi"/>
          <w:b/>
          <w:bCs/>
          <w:lang w:eastAsia="pl-PL"/>
        </w:rPr>
        <w:t xml:space="preserve">                                       </w:t>
      </w:r>
      <w:r w:rsidRPr="00F16251">
        <w:rPr>
          <w:rFonts w:eastAsia="Calibri" w:cstheme="minorHAnsi"/>
          <w:b/>
          <w:bCs/>
          <w:lang w:eastAsia="pl-PL"/>
        </w:rPr>
        <w:t>w niekorzystnej sytuacji</w:t>
      </w:r>
      <w:r w:rsidR="003B76CD" w:rsidRPr="00F16251">
        <w:rPr>
          <w:rFonts w:eastAsia="Calibri" w:cstheme="minorHAnsi"/>
          <w:b/>
          <w:bCs/>
          <w:lang w:eastAsia="pl-PL"/>
        </w:rPr>
        <w:t>,</w:t>
      </w:r>
      <w:r w:rsidRPr="00F16251">
        <w:rPr>
          <w:rFonts w:eastAsia="Calibri" w:cstheme="minorHAnsi"/>
          <w:lang w:eastAsia="pl-PL"/>
        </w:rPr>
        <w:t xml:space="preserve"> co znalazło odzwierciedlenie w Planie Komunikacji. Analiza wyników ankiety pozwala stwierdzić, że mieszkańcy oczekują różnorodnych źródeł informacji. Zdecydowanie najwięcej wskazań uzyskały media społecznościowe oraz strona internetowa LGD. Za bardzo istotne źródło uznane zostały informacje zamieszczane na stronach internetowych, w tym zarówno gmin, jak i samej Lokalnej Grupy Działania. Całkiem sporo wskazań uzyskały także spotkania informacyjno-konsultacyjne. Dlatego LGD ma zamiar wykorzystać wiele kanałów informacyjnych, tak aby móc dotrzeć do jak najszerszej grupy odbiorców. Zaplanowano dla nich działania takie jak m.in. szkolenia tematyczne</w:t>
      </w:r>
      <w:r w:rsidR="003B7294">
        <w:rPr>
          <w:rFonts w:eastAsia="Calibri" w:cstheme="minorHAnsi"/>
          <w:lang w:eastAsia="pl-PL"/>
        </w:rPr>
        <w:t>.</w:t>
      </w:r>
      <w:r w:rsidRPr="00F16251">
        <w:rPr>
          <w:rFonts w:eastAsia="Calibri" w:cstheme="minorHAnsi"/>
          <w:lang w:eastAsia="pl-PL"/>
        </w:rPr>
        <w:t xml:space="preserve"> </w:t>
      </w:r>
    </w:p>
    <w:p w14:paraId="2362F034" w14:textId="77777777" w:rsidR="00AD362D" w:rsidRPr="00F16251" w:rsidRDefault="00AD362D" w:rsidP="00AD362D">
      <w:pPr>
        <w:spacing w:line="276" w:lineRule="auto"/>
        <w:ind w:firstLine="360"/>
        <w:rPr>
          <w:rFonts w:eastAsia="Calibri" w:cstheme="minorHAnsi"/>
          <w:lang w:eastAsia="pl-PL"/>
        </w:rPr>
      </w:pPr>
    </w:p>
    <w:p w14:paraId="4C7A671B" w14:textId="4493093C" w:rsidR="0035174A" w:rsidRPr="00F16251" w:rsidRDefault="0035174A" w:rsidP="00AD362D">
      <w:pPr>
        <w:spacing w:line="276" w:lineRule="auto"/>
        <w:ind w:firstLine="360"/>
        <w:jc w:val="both"/>
        <w:rPr>
          <w:rFonts w:eastAsia="Calibri" w:cstheme="minorHAnsi"/>
          <w:lang w:eastAsia="pl-PL"/>
        </w:rPr>
      </w:pPr>
      <w:r w:rsidRPr="00F16251">
        <w:rPr>
          <w:rFonts w:eastAsia="Calibri" w:cstheme="minorHAnsi"/>
          <w:lang w:eastAsia="pl-PL"/>
        </w:rPr>
        <w:lastRenderedPageBreak/>
        <w:t>Ponadto LGD będzie premiowała w kryteriach operacje dedykowane dla mieszkańców obszarów wiejskich, wykluczonych społecznie ze względu na przynależność do grup zdiagnozowanych jako grupy w niekorzystnej sytuacji</w:t>
      </w:r>
      <w:r w:rsidR="004E530E" w:rsidRPr="00F16251">
        <w:rPr>
          <w:rFonts w:eastAsia="Calibri" w:cstheme="minorHAnsi"/>
          <w:lang w:eastAsia="pl-PL"/>
        </w:rPr>
        <w:t>, przede wszystkim kobiet</w:t>
      </w:r>
      <w:r w:rsidRPr="00F16251">
        <w:rPr>
          <w:rFonts w:eastAsia="Calibri" w:cstheme="minorHAnsi"/>
          <w:lang w:eastAsia="pl-PL"/>
        </w:rPr>
        <w:t>.</w:t>
      </w:r>
    </w:p>
    <w:bookmarkEnd w:id="33"/>
    <w:p w14:paraId="4DB599B6" w14:textId="77777777" w:rsidR="0035174A" w:rsidRDefault="0035174A" w:rsidP="00A26C26">
      <w:pPr>
        <w:spacing w:line="276" w:lineRule="auto"/>
        <w:rPr>
          <w:rFonts w:cstheme="minorHAnsi"/>
        </w:rPr>
      </w:pPr>
    </w:p>
    <w:p w14:paraId="4DAD3B74" w14:textId="74EFC176" w:rsidR="00224658" w:rsidRPr="00860118" w:rsidRDefault="00224658" w:rsidP="00860118">
      <w:pPr>
        <w:rPr>
          <w:rFonts w:eastAsiaTheme="majorEastAsia" w:cstheme="minorHAnsi"/>
          <w:b/>
          <w:bCs/>
          <w:color w:val="2F5496" w:themeColor="accent1" w:themeShade="BF"/>
        </w:rPr>
      </w:pPr>
      <w:bookmarkStart w:id="34" w:name="_Toc136260191"/>
      <w:bookmarkStart w:id="35" w:name="_Toc136944401"/>
      <w:r w:rsidRPr="00860118">
        <w:rPr>
          <w:rFonts w:cstheme="minorHAnsi"/>
          <w:b/>
          <w:bCs/>
          <w:color w:val="2F5496" w:themeColor="accent1" w:themeShade="BF"/>
        </w:rPr>
        <w:t>ROZDZIAŁ</w:t>
      </w:r>
      <w:r w:rsidR="003B50ED" w:rsidRPr="00860118">
        <w:rPr>
          <w:rFonts w:cstheme="minorHAnsi"/>
          <w:b/>
          <w:bCs/>
          <w:color w:val="2F5496" w:themeColor="accent1" w:themeShade="BF"/>
        </w:rPr>
        <w:t xml:space="preserve"> </w:t>
      </w:r>
      <w:r w:rsidRPr="00860118">
        <w:rPr>
          <w:rFonts w:cstheme="minorHAnsi"/>
          <w:b/>
          <w:bCs/>
          <w:color w:val="2F5496" w:themeColor="accent1" w:themeShade="BF"/>
        </w:rPr>
        <w:t>IV.</w:t>
      </w:r>
      <w:r w:rsidR="003B50ED" w:rsidRPr="00860118">
        <w:rPr>
          <w:rFonts w:cstheme="minorHAnsi"/>
          <w:b/>
          <w:bCs/>
          <w:color w:val="2F5496" w:themeColor="accent1" w:themeShade="BF"/>
        </w:rPr>
        <w:t xml:space="preserve"> </w:t>
      </w:r>
      <w:r w:rsidRPr="00860118">
        <w:rPr>
          <w:rFonts w:cstheme="minorHAnsi"/>
          <w:b/>
          <w:bCs/>
          <w:color w:val="2F5496" w:themeColor="accent1" w:themeShade="BF"/>
        </w:rPr>
        <w:t>ANALIZA</w:t>
      </w:r>
      <w:r w:rsidR="003B50ED" w:rsidRPr="00860118">
        <w:rPr>
          <w:rFonts w:cstheme="minorHAnsi"/>
          <w:b/>
          <w:bCs/>
          <w:color w:val="2F5496" w:themeColor="accent1" w:themeShade="BF"/>
        </w:rPr>
        <w:t xml:space="preserve"> </w:t>
      </w:r>
      <w:r w:rsidRPr="00860118">
        <w:rPr>
          <w:rFonts w:cstheme="minorHAnsi"/>
          <w:b/>
          <w:bCs/>
          <w:color w:val="2F5496" w:themeColor="accent1" w:themeShade="BF"/>
        </w:rPr>
        <w:t>POTRZEB</w:t>
      </w:r>
      <w:r w:rsidR="003B50ED" w:rsidRPr="00860118">
        <w:rPr>
          <w:rFonts w:cstheme="minorHAnsi"/>
          <w:b/>
          <w:bCs/>
          <w:color w:val="2F5496" w:themeColor="accent1" w:themeShade="BF"/>
        </w:rPr>
        <w:t xml:space="preserve"> </w:t>
      </w:r>
      <w:r w:rsidRPr="00860118">
        <w:rPr>
          <w:rFonts w:cstheme="minorHAnsi"/>
          <w:b/>
          <w:bCs/>
          <w:color w:val="2F5496" w:themeColor="accent1" w:themeShade="BF"/>
        </w:rPr>
        <w:t>I</w:t>
      </w:r>
      <w:r w:rsidR="003B50ED" w:rsidRPr="00860118">
        <w:rPr>
          <w:rFonts w:cstheme="minorHAnsi"/>
          <w:b/>
          <w:bCs/>
          <w:color w:val="2F5496" w:themeColor="accent1" w:themeShade="BF"/>
        </w:rPr>
        <w:t xml:space="preserve"> </w:t>
      </w:r>
      <w:r w:rsidRPr="00860118">
        <w:rPr>
          <w:rFonts w:cstheme="minorHAnsi"/>
          <w:b/>
          <w:bCs/>
          <w:color w:val="2F5496" w:themeColor="accent1" w:themeShade="BF"/>
        </w:rPr>
        <w:t>POTENCJAŁU</w:t>
      </w:r>
      <w:r w:rsidR="003B50ED" w:rsidRPr="00860118">
        <w:rPr>
          <w:rFonts w:cstheme="minorHAnsi"/>
          <w:b/>
          <w:bCs/>
          <w:color w:val="2F5496" w:themeColor="accent1" w:themeShade="BF"/>
        </w:rPr>
        <w:t xml:space="preserve"> </w:t>
      </w:r>
      <w:r w:rsidRPr="00860118">
        <w:rPr>
          <w:rFonts w:cstheme="minorHAnsi"/>
          <w:b/>
          <w:bCs/>
          <w:color w:val="2F5496" w:themeColor="accent1" w:themeShade="BF"/>
        </w:rPr>
        <w:t>LSR</w:t>
      </w:r>
      <w:bookmarkEnd w:id="34"/>
      <w:bookmarkEnd w:id="35"/>
    </w:p>
    <w:p w14:paraId="5E812829" w14:textId="77777777" w:rsidR="003017ED" w:rsidRDefault="003017ED" w:rsidP="00A26C26">
      <w:pPr>
        <w:spacing w:line="276" w:lineRule="auto"/>
        <w:ind w:firstLine="284"/>
        <w:jc w:val="both"/>
        <w:rPr>
          <w:rFonts w:cstheme="minorHAnsi"/>
        </w:rPr>
      </w:pPr>
    </w:p>
    <w:p w14:paraId="17038A96" w14:textId="6626185A" w:rsidR="00224658" w:rsidRPr="00F16251" w:rsidRDefault="00224658" w:rsidP="00A26C26">
      <w:pPr>
        <w:spacing w:line="276" w:lineRule="auto"/>
        <w:ind w:firstLine="284"/>
        <w:jc w:val="both"/>
        <w:rPr>
          <w:rFonts w:cstheme="minorHAnsi"/>
        </w:rPr>
      </w:pPr>
      <w:r w:rsidRPr="00A26C26">
        <w:rPr>
          <w:rFonts w:cstheme="minorHAnsi"/>
        </w:rPr>
        <w:t>Ocena</w:t>
      </w:r>
      <w:r w:rsidR="003B50ED">
        <w:rPr>
          <w:rFonts w:cstheme="minorHAnsi"/>
        </w:rPr>
        <w:t xml:space="preserve"> </w:t>
      </w:r>
      <w:r w:rsidRPr="00A26C26">
        <w:rPr>
          <w:rFonts w:cstheme="minorHAnsi"/>
        </w:rPr>
        <w:t>możliwości</w:t>
      </w:r>
      <w:r w:rsidR="003B50ED">
        <w:rPr>
          <w:rFonts w:cstheme="minorHAnsi"/>
        </w:rPr>
        <w:t xml:space="preserve"> </w:t>
      </w:r>
      <w:r w:rsidRPr="00A26C26">
        <w:rPr>
          <w:rFonts w:cstheme="minorHAnsi"/>
        </w:rPr>
        <w:t>rozwoju</w:t>
      </w:r>
      <w:r w:rsidR="003B50ED">
        <w:rPr>
          <w:rFonts w:cstheme="minorHAnsi"/>
        </w:rPr>
        <w:t xml:space="preserve"> </w:t>
      </w:r>
      <w:r w:rsidRPr="00A26C26">
        <w:rPr>
          <w:rFonts w:cstheme="minorHAnsi"/>
        </w:rPr>
        <w:t>obszaru</w:t>
      </w:r>
      <w:r w:rsidR="003B50ED">
        <w:rPr>
          <w:rFonts w:cstheme="minorHAnsi"/>
        </w:rPr>
        <w:t xml:space="preserve"> </w:t>
      </w:r>
      <w:r w:rsidRPr="00A26C26">
        <w:rPr>
          <w:rFonts w:cstheme="minorHAnsi"/>
        </w:rPr>
        <w:t>LGD</w:t>
      </w:r>
      <w:r w:rsidR="003B50ED">
        <w:rPr>
          <w:rFonts w:cstheme="minorHAnsi"/>
        </w:rPr>
        <w:t xml:space="preserve"> </w:t>
      </w:r>
      <w:r w:rsidRPr="00A26C26">
        <w:rPr>
          <w:rFonts w:cstheme="minorHAnsi"/>
        </w:rPr>
        <w:t>„Solidarni</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Partnerstwie”</w:t>
      </w:r>
      <w:r w:rsidR="003B50ED">
        <w:rPr>
          <w:rFonts w:cstheme="minorHAnsi"/>
        </w:rPr>
        <w:t xml:space="preserve"> </w:t>
      </w:r>
      <w:r w:rsidRPr="00A26C26">
        <w:rPr>
          <w:rFonts w:cstheme="minorHAnsi"/>
        </w:rPr>
        <w:t>została</w:t>
      </w:r>
      <w:r w:rsidR="003B50ED">
        <w:rPr>
          <w:rFonts w:cstheme="minorHAnsi"/>
        </w:rPr>
        <w:t xml:space="preserve"> </w:t>
      </w:r>
      <w:r w:rsidRPr="00A26C26">
        <w:rPr>
          <w:rFonts w:cstheme="minorHAnsi"/>
        </w:rPr>
        <w:t>dokonana</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kilku</w:t>
      </w:r>
      <w:r w:rsidR="003B50ED">
        <w:rPr>
          <w:rFonts w:cstheme="minorHAnsi"/>
        </w:rPr>
        <w:t xml:space="preserve"> </w:t>
      </w:r>
      <w:r w:rsidRPr="00A26C26">
        <w:rPr>
          <w:rFonts w:cstheme="minorHAnsi"/>
        </w:rPr>
        <w:t>poziomach</w:t>
      </w:r>
      <w:r w:rsidR="003B50ED">
        <w:rPr>
          <w:rFonts w:cstheme="minorHAnsi"/>
        </w:rPr>
        <w:t xml:space="preserve"> </w:t>
      </w:r>
      <w:r w:rsidRPr="00A26C26">
        <w:rPr>
          <w:rFonts w:cstheme="minorHAnsi"/>
        </w:rPr>
        <w:t>partycypacji</w:t>
      </w:r>
      <w:r w:rsidR="003B50ED">
        <w:rPr>
          <w:rFonts w:cstheme="minorHAnsi"/>
        </w:rPr>
        <w:t xml:space="preserve"> </w:t>
      </w:r>
      <w:r w:rsidRPr="00A26C26">
        <w:rPr>
          <w:rFonts w:cstheme="minorHAnsi"/>
        </w:rPr>
        <w:t>społecznej</w:t>
      </w:r>
      <w:r w:rsidR="003B50ED">
        <w:rPr>
          <w:rFonts w:cstheme="minorHAnsi"/>
        </w:rPr>
        <w:t xml:space="preserve"> </w:t>
      </w:r>
      <w:r w:rsidRPr="00A26C26">
        <w:rPr>
          <w:rFonts w:cstheme="minorHAnsi"/>
        </w:rPr>
        <w:t>z</w:t>
      </w:r>
      <w:r w:rsidR="003B50ED">
        <w:rPr>
          <w:rFonts w:cstheme="minorHAnsi"/>
        </w:rPr>
        <w:t xml:space="preserve"> </w:t>
      </w:r>
      <w:r w:rsidRPr="00F16251">
        <w:rPr>
          <w:rFonts w:cstheme="minorHAnsi"/>
        </w:rPr>
        <w:t>udziałem</w:t>
      </w:r>
      <w:r w:rsidR="003B50ED" w:rsidRPr="00F16251">
        <w:rPr>
          <w:rFonts w:cstheme="minorHAnsi"/>
        </w:rPr>
        <w:t xml:space="preserve"> </w:t>
      </w:r>
      <w:r w:rsidRPr="00F16251">
        <w:rPr>
          <w:rFonts w:cstheme="minorHAnsi"/>
        </w:rPr>
        <w:t>przedstawicieli</w:t>
      </w:r>
      <w:r w:rsidR="003B50ED" w:rsidRPr="00F16251">
        <w:rPr>
          <w:rFonts w:cstheme="minorHAnsi"/>
        </w:rPr>
        <w:t xml:space="preserve"> </w:t>
      </w:r>
      <w:r w:rsidRPr="00F16251">
        <w:rPr>
          <w:rFonts w:cstheme="minorHAnsi"/>
        </w:rPr>
        <w:t>wszystkich</w:t>
      </w:r>
      <w:r w:rsidR="00DC55C3" w:rsidRPr="00F16251">
        <w:rPr>
          <w:rFonts w:cstheme="minorHAnsi"/>
        </w:rPr>
        <w:t xml:space="preserve"> grup interesu</w:t>
      </w:r>
      <w:r w:rsidR="003B50ED" w:rsidRPr="00F16251">
        <w:rPr>
          <w:rFonts w:cstheme="minorHAnsi"/>
        </w:rPr>
        <w:t xml:space="preserve"> </w:t>
      </w:r>
      <w:r w:rsidRPr="00F16251">
        <w:rPr>
          <w:rFonts w:cstheme="minorHAnsi"/>
        </w:rPr>
        <w:t>sektorów,</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których</w:t>
      </w:r>
      <w:r w:rsidR="003B50ED" w:rsidRPr="00F16251">
        <w:rPr>
          <w:rFonts w:cstheme="minorHAnsi"/>
        </w:rPr>
        <w:t xml:space="preserve"> </w:t>
      </w:r>
      <w:r w:rsidRPr="00F16251">
        <w:rPr>
          <w:rFonts w:cstheme="minorHAnsi"/>
        </w:rPr>
        <w:t>oparte</w:t>
      </w:r>
      <w:r w:rsidR="003B50ED" w:rsidRPr="00F16251">
        <w:rPr>
          <w:rFonts w:cstheme="minorHAnsi"/>
        </w:rPr>
        <w:t xml:space="preserve"> </w:t>
      </w:r>
      <w:r w:rsidRPr="00F16251">
        <w:rPr>
          <w:rFonts w:cstheme="minorHAnsi"/>
        </w:rPr>
        <w:t>jest</w:t>
      </w:r>
      <w:r w:rsidR="003B50ED" w:rsidRPr="00F16251">
        <w:rPr>
          <w:rFonts w:cstheme="minorHAnsi"/>
        </w:rPr>
        <w:t xml:space="preserve"> </w:t>
      </w:r>
      <w:r w:rsidRPr="00F16251">
        <w:rPr>
          <w:rFonts w:cstheme="minorHAnsi"/>
        </w:rPr>
        <w:t>działanie</w:t>
      </w:r>
      <w:r w:rsidR="003B50ED" w:rsidRPr="00F16251">
        <w:rPr>
          <w:rFonts w:cstheme="minorHAnsi"/>
        </w:rPr>
        <w:t xml:space="preserve"> </w:t>
      </w:r>
      <w:r w:rsidRPr="00F16251">
        <w:rPr>
          <w:rFonts w:cstheme="minorHAnsi"/>
        </w:rPr>
        <w:t>LGD:</w:t>
      </w:r>
      <w:r w:rsidR="003B50ED" w:rsidRPr="00F16251">
        <w:rPr>
          <w:rFonts w:cstheme="minorHAnsi"/>
        </w:rPr>
        <w:t xml:space="preserve"> </w:t>
      </w:r>
      <w:r w:rsidRPr="00F16251">
        <w:rPr>
          <w:rFonts w:cstheme="minorHAnsi"/>
        </w:rPr>
        <w:t>społecznego,</w:t>
      </w:r>
      <w:r w:rsidR="003B50ED" w:rsidRPr="00F16251">
        <w:rPr>
          <w:rFonts w:cstheme="minorHAnsi"/>
        </w:rPr>
        <w:t xml:space="preserve"> </w:t>
      </w:r>
      <w:r w:rsidRPr="00F16251">
        <w:rPr>
          <w:rFonts w:cstheme="minorHAnsi"/>
        </w:rPr>
        <w:t>publicznego,</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gospodarczego.</w:t>
      </w:r>
      <w:r w:rsidR="003B50ED" w:rsidRPr="00F16251">
        <w:rPr>
          <w:rFonts w:cstheme="minorHAnsi"/>
        </w:rPr>
        <w:t xml:space="preserve"> </w:t>
      </w:r>
    </w:p>
    <w:p w14:paraId="3184EC39" w14:textId="6A8A6921" w:rsidR="00580D3E" w:rsidRPr="00F16251" w:rsidRDefault="00224658" w:rsidP="00A26C26">
      <w:pPr>
        <w:spacing w:line="276" w:lineRule="auto"/>
        <w:ind w:firstLine="284"/>
        <w:jc w:val="both"/>
        <w:rPr>
          <w:rFonts w:cstheme="minorHAnsi"/>
        </w:rPr>
      </w:pPr>
      <w:r w:rsidRPr="00F16251">
        <w:rPr>
          <w:rFonts w:cstheme="minorHAnsi"/>
        </w:rPr>
        <w:t>Wieloetapowy</w:t>
      </w:r>
      <w:r w:rsidR="003B50ED" w:rsidRPr="00F16251">
        <w:rPr>
          <w:rFonts w:cstheme="minorHAnsi"/>
        </w:rPr>
        <w:t xml:space="preserve"> </w:t>
      </w:r>
      <w:r w:rsidRPr="00F16251">
        <w:rPr>
          <w:rFonts w:cstheme="minorHAnsi"/>
        </w:rPr>
        <w:t>proces</w:t>
      </w:r>
      <w:r w:rsidR="003B50ED" w:rsidRPr="00F16251">
        <w:rPr>
          <w:rFonts w:cstheme="minorHAnsi"/>
        </w:rPr>
        <w:t xml:space="preserve"> </w:t>
      </w:r>
      <w:r w:rsidRPr="00F16251">
        <w:rPr>
          <w:rFonts w:cstheme="minorHAnsi"/>
        </w:rPr>
        <w:t>opracowywania</w:t>
      </w:r>
      <w:r w:rsidR="003B50ED" w:rsidRPr="00F16251">
        <w:rPr>
          <w:rFonts w:cstheme="minorHAnsi"/>
        </w:rPr>
        <w:t xml:space="preserve"> </w:t>
      </w:r>
      <w:r w:rsidRPr="00F16251">
        <w:rPr>
          <w:rFonts w:cstheme="minorHAnsi"/>
        </w:rPr>
        <w:t>analizy</w:t>
      </w:r>
      <w:r w:rsidR="003B50ED" w:rsidRPr="00F16251">
        <w:rPr>
          <w:rFonts w:cstheme="minorHAnsi"/>
        </w:rPr>
        <w:t xml:space="preserve"> </w:t>
      </w:r>
      <w:r w:rsidRPr="00F16251">
        <w:rPr>
          <w:rFonts w:cstheme="minorHAnsi"/>
        </w:rPr>
        <w:t>pomógł</w:t>
      </w:r>
      <w:r w:rsidR="003B50ED" w:rsidRPr="00F16251">
        <w:rPr>
          <w:rFonts w:cstheme="minorHAnsi"/>
        </w:rPr>
        <w:t xml:space="preserve"> </w:t>
      </w:r>
      <w:r w:rsidRPr="00F16251">
        <w:rPr>
          <w:rFonts w:cstheme="minorHAnsi"/>
        </w:rPr>
        <w:t>zidentyfikować</w:t>
      </w:r>
      <w:r w:rsidR="003B50ED" w:rsidRPr="00F16251">
        <w:rPr>
          <w:rFonts w:cstheme="minorHAnsi"/>
        </w:rPr>
        <w:t xml:space="preserve"> </w:t>
      </w:r>
      <w:r w:rsidRPr="00F16251">
        <w:rPr>
          <w:rFonts w:cstheme="minorHAnsi"/>
        </w:rPr>
        <w:t>mocne</w:t>
      </w:r>
      <w:r w:rsidR="003B50ED" w:rsidRPr="00F16251">
        <w:rPr>
          <w:rFonts w:cstheme="minorHAnsi"/>
        </w:rPr>
        <w:t xml:space="preserve"> </w:t>
      </w:r>
      <w:r w:rsidRPr="00F16251">
        <w:rPr>
          <w:rFonts w:cstheme="minorHAnsi"/>
        </w:rPr>
        <w:t>strony</w:t>
      </w:r>
      <w:r w:rsidR="003B50ED" w:rsidRPr="00F16251">
        <w:rPr>
          <w:rFonts w:cstheme="minorHAnsi"/>
        </w:rPr>
        <w:t xml:space="preserve"> </w:t>
      </w:r>
      <w:r w:rsidRPr="00F16251">
        <w:rPr>
          <w:rFonts w:cstheme="minorHAnsi"/>
        </w:rPr>
        <w:t>determinujące</w:t>
      </w:r>
      <w:r w:rsidR="003B50ED" w:rsidRPr="00F16251">
        <w:rPr>
          <w:rFonts w:cstheme="minorHAnsi"/>
        </w:rPr>
        <w:t xml:space="preserve"> </w:t>
      </w:r>
      <w:r w:rsidRPr="00F16251">
        <w:rPr>
          <w:rFonts w:cstheme="minorHAnsi"/>
        </w:rPr>
        <w:t>rozwój</w:t>
      </w:r>
      <w:r w:rsidR="003B50ED" w:rsidRPr="00F16251">
        <w:rPr>
          <w:rFonts w:cstheme="minorHAnsi"/>
        </w:rPr>
        <w:t xml:space="preserve"> </w:t>
      </w:r>
      <w:r w:rsidR="00E33680" w:rsidRPr="00F16251">
        <w:rPr>
          <w:rFonts w:cstheme="minorHAnsi"/>
        </w:rPr>
        <w:br/>
      </w:r>
      <w:r w:rsidRPr="00F16251">
        <w:rPr>
          <w:rFonts w:cstheme="minorHAnsi"/>
        </w:rPr>
        <w:t>i</w:t>
      </w:r>
      <w:r w:rsidR="003B50ED" w:rsidRPr="00F16251">
        <w:rPr>
          <w:rFonts w:cstheme="minorHAnsi"/>
        </w:rPr>
        <w:t xml:space="preserve"> </w:t>
      </w:r>
      <w:r w:rsidRPr="00F16251">
        <w:rPr>
          <w:rFonts w:cstheme="minorHAnsi"/>
        </w:rPr>
        <w:t>ocenę</w:t>
      </w:r>
      <w:r w:rsidR="003B50ED" w:rsidRPr="00F16251">
        <w:rPr>
          <w:rFonts w:cstheme="minorHAnsi"/>
        </w:rPr>
        <w:t xml:space="preserve"> </w:t>
      </w:r>
      <w:r w:rsidRPr="00F16251">
        <w:rPr>
          <w:rFonts w:cstheme="minorHAnsi"/>
        </w:rPr>
        <w:t>zagrożeń,</w:t>
      </w:r>
      <w:r w:rsidR="003B50ED" w:rsidRPr="00F16251">
        <w:rPr>
          <w:rFonts w:cstheme="minorHAnsi"/>
        </w:rPr>
        <w:t xml:space="preserve"> </w:t>
      </w:r>
      <w:r w:rsidRPr="00F16251">
        <w:rPr>
          <w:rFonts w:cstheme="minorHAnsi"/>
        </w:rPr>
        <w:t>które</w:t>
      </w:r>
      <w:r w:rsidR="003B50ED" w:rsidRPr="00F16251">
        <w:rPr>
          <w:rFonts w:cstheme="minorHAnsi"/>
        </w:rPr>
        <w:t xml:space="preserve"> </w:t>
      </w:r>
      <w:r w:rsidRPr="00F16251">
        <w:rPr>
          <w:rFonts w:cstheme="minorHAnsi"/>
        </w:rPr>
        <w:t>mogą</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przyszłości</w:t>
      </w:r>
      <w:r w:rsidR="003B50ED" w:rsidRPr="00F16251">
        <w:rPr>
          <w:rFonts w:cstheme="minorHAnsi"/>
        </w:rPr>
        <w:t xml:space="preserve"> </w:t>
      </w:r>
      <w:r w:rsidRPr="00F16251">
        <w:rPr>
          <w:rFonts w:cstheme="minorHAnsi"/>
        </w:rPr>
        <w:t>mieć</w:t>
      </w:r>
      <w:r w:rsidR="003B50ED" w:rsidRPr="00F16251">
        <w:rPr>
          <w:rFonts w:cstheme="minorHAnsi"/>
        </w:rPr>
        <w:t xml:space="preserve"> </w:t>
      </w:r>
      <w:r w:rsidRPr="00F16251">
        <w:rPr>
          <w:rFonts w:cstheme="minorHAnsi"/>
        </w:rPr>
        <w:t>wpływ</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realizację</w:t>
      </w:r>
      <w:r w:rsidR="003B50ED" w:rsidRPr="00F16251">
        <w:rPr>
          <w:rFonts w:cstheme="minorHAnsi"/>
        </w:rPr>
        <w:t xml:space="preserve"> </w:t>
      </w:r>
      <w:r w:rsidRPr="00F16251">
        <w:rPr>
          <w:rFonts w:cstheme="minorHAnsi"/>
        </w:rPr>
        <w:t>założonych</w:t>
      </w:r>
      <w:r w:rsidR="003B50ED" w:rsidRPr="00F16251">
        <w:rPr>
          <w:rFonts w:cstheme="minorHAnsi"/>
        </w:rPr>
        <w:t xml:space="preserve"> </w:t>
      </w:r>
      <w:r w:rsidRPr="00F16251">
        <w:rPr>
          <w:rFonts w:cstheme="minorHAnsi"/>
        </w:rPr>
        <w:t>celów.</w:t>
      </w:r>
      <w:r w:rsidR="003B50ED" w:rsidRPr="00F16251">
        <w:rPr>
          <w:rFonts w:cstheme="minorHAnsi"/>
        </w:rPr>
        <w:t xml:space="preserve"> </w:t>
      </w:r>
      <w:r w:rsidRPr="00F16251">
        <w:rPr>
          <w:rFonts w:cstheme="minorHAnsi"/>
        </w:rPr>
        <w:t>Zidentyfikowano</w:t>
      </w:r>
      <w:r w:rsidR="003B50ED" w:rsidRPr="00F16251">
        <w:rPr>
          <w:rFonts w:cstheme="minorHAnsi"/>
        </w:rPr>
        <w:t xml:space="preserve"> </w:t>
      </w:r>
      <w:r w:rsidRPr="00F16251">
        <w:rPr>
          <w:rFonts w:cstheme="minorHAnsi"/>
        </w:rPr>
        <w:t>czynniki</w:t>
      </w:r>
      <w:r w:rsidR="003B50ED" w:rsidRPr="00F16251">
        <w:rPr>
          <w:rFonts w:cstheme="minorHAnsi"/>
        </w:rPr>
        <w:t xml:space="preserve"> </w:t>
      </w:r>
      <w:r w:rsidRPr="00F16251">
        <w:rPr>
          <w:rFonts w:cstheme="minorHAnsi"/>
        </w:rPr>
        <w:t>wewnętrzne</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zewnętrzne</w:t>
      </w:r>
      <w:r w:rsidR="003B50ED" w:rsidRPr="00F16251">
        <w:rPr>
          <w:rFonts w:cstheme="minorHAnsi"/>
        </w:rPr>
        <w:t xml:space="preserve"> </w:t>
      </w:r>
      <w:r w:rsidRPr="00F16251">
        <w:rPr>
          <w:rFonts w:cstheme="minorHAnsi"/>
        </w:rPr>
        <w:t>mające</w:t>
      </w:r>
      <w:r w:rsidR="003B50ED" w:rsidRPr="00F16251">
        <w:rPr>
          <w:rFonts w:cstheme="minorHAnsi"/>
        </w:rPr>
        <w:t xml:space="preserve"> </w:t>
      </w:r>
      <w:r w:rsidRPr="00F16251">
        <w:rPr>
          <w:rFonts w:cstheme="minorHAnsi"/>
        </w:rPr>
        <w:t>wpływ</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obszar</w:t>
      </w:r>
      <w:r w:rsidR="003B50ED" w:rsidRPr="00F16251">
        <w:rPr>
          <w:rFonts w:cstheme="minorHAnsi"/>
        </w:rPr>
        <w:t xml:space="preserve"> </w:t>
      </w:r>
      <w:r w:rsidR="00AB742D" w:rsidRPr="00F16251">
        <w:rPr>
          <w:rFonts w:cstheme="minorHAnsi"/>
        </w:rPr>
        <w:t xml:space="preserve">Stowarzyszenia „Solidarni w Partnerstwie” </w:t>
      </w:r>
      <w:r w:rsidRPr="00F16251">
        <w:rPr>
          <w:rFonts w:cstheme="minorHAnsi"/>
        </w:rPr>
        <w:t>i</w:t>
      </w:r>
      <w:r w:rsidR="003B50ED" w:rsidRPr="00F16251">
        <w:rPr>
          <w:rFonts w:cstheme="minorHAnsi"/>
        </w:rPr>
        <w:t xml:space="preserve"> </w:t>
      </w:r>
      <w:r w:rsidRPr="00F16251">
        <w:rPr>
          <w:rFonts w:cstheme="minorHAnsi"/>
        </w:rPr>
        <w:t>jej</w:t>
      </w:r>
      <w:r w:rsidR="003B50ED" w:rsidRPr="00F16251">
        <w:rPr>
          <w:rFonts w:cstheme="minorHAnsi"/>
        </w:rPr>
        <w:t xml:space="preserve"> </w:t>
      </w:r>
      <w:r w:rsidRPr="00F16251">
        <w:rPr>
          <w:rFonts w:cstheme="minorHAnsi"/>
        </w:rPr>
        <w:t>mieszkańców.</w:t>
      </w:r>
      <w:r w:rsidR="003B50ED" w:rsidRPr="00F16251">
        <w:rPr>
          <w:rFonts w:cstheme="minorHAnsi"/>
        </w:rPr>
        <w:t xml:space="preserve"> </w:t>
      </w:r>
      <w:r w:rsidRPr="00F16251">
        <w:rPr>
          <w:rFonts w:cstheme="minorHAnsi"/>
        </w:rPr>
        <w:t>Wzięto</w:t>
      </w:r>
      <w:r w:rsidR="003B50ED" w:rsidRPr="00F16251">
        <w:rPr>
          <w:rFonts w:cstheme="minorHAnsi"/>
        </w:rPr>
        <w:t xml:space="preserve"> </w:t>
      </w:r>
      <w:r w:rsidRPr="00F16251">
        <w:rPr>
          <w:rFonts w:cstheme="minorHAnsi"/>
        </w:rPr>
        <w:t>również</w:t>
      </w:r>
      <w:r w:rsidR="003B50ED" w:rsidRPr="00F16251">
        <w:rPr>
          <w:rFonts w:cstheme="minorHAnsi"/>
        </w:rPr>
        <w:t xml:space="preserve"> </w:t>
      </w:r>
      <w:r w:rsidRPr="00F16251">
        <w:rPr>
          <w:rFonts w:cstheme="minorHAnsi"/>
        </w:rPr>
        <w:t>pod</w:t>
      </w:r>
      <w:r w:rsidR="003B50ED" w:rsidRPr="00F16251">
        <w:rPr>
          <w:rFonts w:cstheme="minorHAnsi"/>
        </w:rPr>
        <w:t xml:space="preserve"> </w:t>
      </w:r>
      <w:r w:rsidRPr="00F16251">
        <w:rPr>
          <w:rFonts w:cstheme="minorHAnsi"/>
        </w:rPr>
        <w:t>uwagę</w:t>
      </w:r>
      <w:r w:rsidR="003B50ED" w:rsidRPr="00F16251">
        <w:rPr>
          <w:rFonts w:cstheme="minorHAnsi"/>
        </w:rPr>
        <w:t xml:space="preserve"> </w:t>
      </w:r>
      <w:r w:rsidRPr="00F16251">
        <w:rPr>
          <w:rFonts w:cstheme="minorHAnsi"/>
        </w:rPr>
        <w:t>uwarunkowania</w:t>
      </w:r>
      <w:r w:rsidR="003B50ED" w:rsidRPr="00F16251">
        <w:rPr>
          <w:rFonts w:cstheme="minorHAnsi"/>
        </w:rPr>
        <w:t xml:space="preserve"> </w:t>
      </w:r>
      <w:r w:rsidRPr="00F16251">
        <w:rPr>
          <w:rFonts w:cstheme="minorHAnsi"/>
        </w:rPr>
        <w:t>charakterystyczne</w:t>
      </w:r>
      <w:r w:rsidR="003B50ED" w:rsidRPr="00F16251">
        <w:rPr>
          <w:rFonts w:cstheme="minorHAnsi"/>
        </w:rPr>
        <w:t xml:space="preserve"> </w:t>
      </w:r>
      <w:r w:rsidRPr="00F16251">
        <w:rPr>
          <w:rFonts w:cstheme="minorHAnsi"/>
        </w:rPr>
        <w:t>dla</w:t>
      </w:r>
      <w:r w:rsidR="003B50ED" w:rsidRPr="00F16251">
        <w:rPr>
          <w:rFonts w:cstheme="minorHAnsi"/>
        </w:rPr>
        <w:t xml:space="preserve"> </w:t>
      </w:r>
      <w:r w:rsidRPr="00F16251">
        <w:rPr>
          <w:rFonts w:cstheme="minorHAnsi"/>
        </w:rPr>
        <w:t>obszaru</w:t>
      </w:r>
      <w:r w:rsidR="003B50ED" w:rsidRPr="00F16251">
        <w:rPr>
          <w:rFonts w:cstheme="minorHAnsi"/>
        </w:rPr>
        <w:t xml:space="preserve"> </w:t>
      </w:r>
      <w:r w:rsidR="00AB742D" w:rsidRPr="00F16251">
        <w:rPr>
          <w:rFonts w:cstheme="minorHAnsi"/>
        </w:rPr>
        <w:t xml:space="preserve">objętego LSR </w:t>
      </w:r>
      <w:r w:rsidRPr="00F16251">
        <w:rPr>
          <w:rFonts w:cstheme="minorHAnsi"/>
        </w:rPr>
        <w:t>oraz</w:t>
      </w:r>
      <w:r w:rsidR="003B50ED" w:rsidRPr="00F16251">
        <w:rPr>
          <w:rFonts w:cstheme="minorHAnsi"/>
        </w:rPr>
        <w:t xml:space="preserve"> </w:t>
      </w:r>
      <w:r w:rsidRPr="00F16251">
        <w:rPr>
          <w:rFonts w:cstheme="minorHAnsi"/>
        </w:rPr>
        <w:t>potencjał</w:t>
      </w:r>
      <w:r w:rsidR="003B50ED" w:rsidRPr="00F16251">
        <w:rPr>
          <w:rFonts w:cstheme="minorHAnsi"/>
        </w:rPr>
        <w:t xml:space="preserve"> </w:t>
      </w:r>
      <w:r w:rsidR="00AB742D" w:rsidRPr="00F16251">
        <w:rPr>
          <w:rFonts w:cstheme="minorHAnsi"/>
        </w:rPr>
        <w:t xml:space="preserve">w zakresie </w:t>
      </w:r>
      <w:r w:rsidRPr="00F16251">
        <w:rPr>
          <w:rFonts w:cstheme="minorHAnsi"/>
        </w:rPr>
        <w:t>kapitału</w:t>
      </w:r>
      <w:r w:rsidR="003B50ED" w:rsidRPr="00F16251">
        <w:rPr>
          <w:rFonts w:cstheme="minorHAnsi"/>
        </w:rPr>
        <w:t xml:space="preserve"> </w:t>
      </w:r>
      <w:r w:rsidRPr="00F16251">
        <w:rPr>
          <w:rFonts w:cstheme="minorHAnsi"/>
        </w:rPr>
        <w:t>finansowego,</w:t>
      </w:r>
      <w:r w:rsidR="003B50ED" w:rsidRPr="00F16251">
        <w:rPr>
          <w:rFonts w:cstheme="minorHAnsi"/>
        </w:rPr>
        <w:t xml:space="preserve"> </w:t>
      </w:r>
      <w:r w:rsidRPr="00F16251">
        <w:rPr>
          <w:rFonts w:cstheme="minorHAnsi"/>
        </w:rPr>
        <w:t>ludzkiego</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informacyjnego.</w:t>
      </w:r>
      <w:r w:rsidR="003B50ED" w:rsidRPr="00F16251">
        <w:rPr>
          <w:rFonts w:cstheme="minorHAnsi"/>
        </w:rPr>
        <w:t xml:space="preserve"> </w:t>
      </w:r>
      <w:r w:rsidRPr="00F16251">
        <w:rPr>
          <w:rFonts w:cstheme="minorHAnsi"/>
        </w:rPr>
        <w:t>Dodatkowe</w:t>
      </w:r>
      <w:r w:rsidR="003B50ED" w:rsidRPr="00F16251">
        <w:rPr>
          <w:rFonts w:cstheme="minorHAnsi"/>
        </w:rPr>
        <w:t xml:space="preserve"> </w:t>
      </w:r>
      <w:r w:rsidRPr="00F16251">
        <w:rPr>
          <w:rFonts w:cstheme="minorHAnsi"/>
        </w:rPr>
        <w:t>źródło</w:t>
      </w:r>
      <w:r w:rsidR="003B50ED" w:rsidRPr="00F16251">
        <w:rPr>
          <w:rFonts w:cstheme="minorHAnsi"/>
        </w:rPr>
        <w:t xml:space="preserve"> </w:t>
      </w:r>
      <w:r w:rsidRPr="00F16251">
        <w:rPr>
          <w:rFonts w:cstheme="minorHAnsi"/>
        </w:rPr>
        <w:t>danych</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tym</w:t>
      </w:r>
      <w:r w:rsidR="003B50ED" w:rsidRPr="00F16251">
        <w:rPr>
          <w:rFonts w:cstheme="minorHAnsi"/>
        </w:rPr>
        <w:t xml:space="preserve"> </w:t>
      </w:r>
      <w:r w:rsidRPr="00F16251">
        <w:rPr>
          <w:rFonts w:cstheme="minorHAnsi"/>
        </w:rPr>
        <w:t>zakresie</w:t>
      </w:r>
      <w:r w:rsidR="003B50ED" w:rsidRPr="00F16251">
        <w:rPr>
          <w:rFonts w:cstheme="minorHAnsi"/>
        </w:rPr>
        <w:t xml:space="preserve"> </w:t>
      </w:r>
      <w:r w:rsidRPr="00F16251">
        <w:rPr>
          <w:rFonts w:cstheme="minorHAnsi"/>
        </w:rPr>
        <w:t>stanowiła</w:t>
      </w:r>
      <w:r w:rsidR="003B50ED" w:rsidRPr="00F16251">
        <w:rPr>
          <w:rFonts w:cstheme="minorHAnsi"/>
        </w:rPr>
        <w:t xml:space="preserve"> </w:t>
      </w:r>
      <w:r w:rsidRPr="00F16251">
        <w:rPr>
          <w:rFonts w:cstheme="minorHAnsi"/>
        </w:rPr>
        <w:t>ewaluacja</w:t>
      </w:r>
      <w:r w:rsidR="00396A11">
        <w:rPr>
          <w:rFonts w:cstheme="minorHAnsi"/>
        </w:rPr>
        <w:t xml:space="preserve"> </w:t>
      </w:r>
      <w:r w:rsidR="0016405D" w:rsidRPr="00F16251">
        <w:rPr>
          <w:rFonts w:cstheme="minorHAnsi"/>
        </w:rPr>
        <w:t xml:space="preserve">ex-post </w:t>
      </w:r>
      <w:r w:rsidRPr="00F16251">
        <w:rPr>
          <w:rFonts w:cstheme="minorHAnsi"/>
        </w:rPr>
        <w:t>realizacji</w:t>
      </w:r>
      <w:r w:rsidR="003B50ED" w:rsidRPr="00F16251">
        <w:rPr>
          <w:rFonts w:cstheme="minorHAnsi"/>
        </w:rPr>
        <w:t xml:space="preserve"> </w:t>
      </w:r>
      <w:r w:rsidR="00AB742D" w:rsidRPr="00F16251">
        <w:rPr>
          <w:rFonts w:cstheme="minorHAnsi"/>
        </w:rPr>
        <w:t xml:space="preserve">LSR </w:t>
      </w:r>
      <w:r w:rsidRPr="00F16251">
        <w:rPr>
          <w:rFonts w:cstheme="minorHAnsi"/>
        </w:rPr>
        <w:t>przeprowadzonej</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LGD</w:t>
      </w:r>
      <w:r w:rsidR="003B50ED" w:rsidRPr="00F16251">
        <w:rPr>
          <w:rFonts w:cstheme="minorHAnsi"/>
        </w:rPr>
        <w:t xml:space="preserve"> </w:t>
      </w:r>
      <w:r w:rsidRPr="00F16251">
        <w:rPr>
          <w:rFonts w:cstheme="minorHAnsi"/>
        </w:rPr>
        <w:t>pomiędzy</w:t>
      </w:r>
      <w:r w:rsidR="003B50ED" w:rsidRPr="00F16251">
        <w:rPr>
          <w:rFonts w:cstheme="minorHAnsi"/>
        </w:rPr>
        <w:t xml:space="preserve"> </w:t>
      </w:r>
      <w:r w:rsidRPr="00F16251">
        <w:rPr>
          <w:rFonts w:cstheme="minorHAnsi"/>
        </w:rPr>
        <w:t>kwietniem</w:t>
      </w:r>
      <w:r w:rsidR="003B50ED" w:rsidRPr="00F16251">
        <w:rPr>
          <w:rFonts w:cstheme="minorHAnsi"/>
        </w:rPr>
        <w:t xml:space="preserve"> </w:t>
      </w:r>
      <w:r w:rsidRPr="00F16251">
        <w:rPr>
          <w:rFonts w:cstheme="minorHAnsi"/>
        </w:rPr>
        <w:t>a</w:t>
      </w:r>
      <w:r w:rsidR="003B50ED" w:rsidRPr="00F16251">
        <w:rPr>
          <w:rFonts w:cstheme="minorHAnsi"/>
        </w:rPr>
        <w:t xml:space="preserve"> </w:t>
      </w:r>
      <w:r w:rsidRPr="00F16251">
        <w:rPr>
          <w:rFonts w:cstheme="minorHAnsi"/>
        </w:rPr>
        <w:t>październikiem</w:t>
      </w:r>
      <w:r w:rsidR="003B50ED" w:rsidRPr="00F16251">
        <w:rPr>
          <w:rFonts w:cstheme="minorHAnsi"/>
        </w:rPr>
        <w:t xml:space="preserve"> </w:t>
      </w:r>
      <w:r w:rsidRPr="00F16251">
        <w:rPr>
          <w:rFonts w:cstheme="minorHAnsi"/>
        </w:rPr>
        <w:t>2022</w:t>
      </w:r>
      <w:r w:rsidR="003B50ED" w:rsidRPr="00F16251">
        <w:rPr>
          <w:rFonts w:cstheme="minorHAnsi"/>
        </w:rPr>
        <w:t xml:space="preserve"> r. </w:t>
      </w:r>
    </w:p>
    <w:p w14:paraId="648FBD9B" w14:textId="525A6648" w:rsidR="00580D3E" w:rsidRPr="00F16251" w:rsidRDefault="00580D3E" w:rsidP="00A26C26">
      <w:pPr>
        <w:spacing w:line="276" w:lineRule="auto"/>
        <w:ind w:firstLine="284"/>
        <w:jc w:val="both"/>
        <w:rPr>
          <w:rFonts w:cstheme="minorHAnsi"/>
        </w:rPr>
      </w:pPr>
      <w:r w:rsidRPr="00F16251">
        <w:rPr>
          <w:rFonts w:cstheme="minorHAnsi"/>
        </w:rPr>
        <w:t>W</w:t>
      </w:r>
      <w:r w:rsidR="003B50ED" w:rsidRPr="00F16251">
        <w:rPr>
          <w:rFonts w:cstheme="minorHAnsi"/>
        </w:rPr>
        <w:t xml:space="preserve"> </w:t>
      </w:r>
      <w:r w:rsidRPr="00F16251">
        <w:rPr>
          <w:rFonts w:cstheme="minorHAnsi"/>
        </w:rPr>
        <w:t>niniejszym</w:t>
      </w:r>
      <w:r w:rsidR="003B50ED" w:rsidRPr="00F16251">
        <w:rPr>
          <w:rFonts w:cstheme="minorHAnsi"/>
        </w:rPr>
        <w:t xml:space="preserve"> </w:t>
      </w:r>
      <w:r w:rsidRPr="00F16251">
        <w:rPr>
          <w:rFonts w:cstheme="minorHAnsi"/>
        </w:rPr>
        <w:t>rozdziale</w:t>
      </w:r>
      <w:r w:rsidR="003B50ED" w:rsidRPr="00F16251">
        <w:rPr>
          <w:rFonts w:cstheme="minorHAnsi"/>
        </w:rPr>
        <w:t xml:space="preserve"> </w:t>
      </w:r>
      <w:r w:rsidRPr="00F16251">
        <w:rPr>
          <w:rFonts w:cstheme="minorHAnsi"/>
        </w:rPr>
        <w:t>najpierw</w:t>
      </w:r>
      <w:r w:rsidR="003B50ED" w:rsidRPr="00F16251">
        <w:rPr>
          <w:rFonts w:cstheme="minorHAnsi"/>
        </w:rPr>
        <w:t xml:space="preserve"> </w:t>
      </w:r>
      <w:r w:rsidRPr="00F16251">
        <w:rPr>
          <w:rFonts w:cstheme="minorHAnsi"/>
        </w:rPr>
        <w:t>przeprowadzono</w:t>
      </w:r>
      <w:r w:rsidR="003B50ED" w:rsidRPr="00F16251">
        <w:rPr>
          <w:rFonts w:cstheme="minorHAnsi"/>
        </w:rPr>
        <w:t xml:space="preserve"> </w:t>
      </w:r>
      <w:r w:rsidRPr="00F16251">
        <w:rPr>
          <w:rFonts w:cstheme="minorHAnsi"/>
        </w:rPr>
        <w:t>analizę</w:t>
      </w:r>
      <w:r w:rsidR="003B50ED" w:rsidRPr="00F16251">
        <w:rPr>
          <w:rFonts w:cstheme="minorHAnsi"/>
        </w:rPr>
        <w:t xml:space="preserve"> </w:t>
      </w:r>
      <w:r w:rsidRPr="00F16251">
        <w:rPr>
          <w:rFonts w:cstheme="minorHAnsi"/>
        </w:rPr>
        <w:t>SWOT</w:t>
      </w:r>
      <w:r w:rsidR="003B50ED" w:rsidRPr="00F16251">
        <w:rPr>
          <w:rFonts w:cstheme="minorHAnsi"/>
        </w:rPr>
        <w:t xml:space="preserve"> </w:t>
      </w:r>
      <w:r w:rsidRPr="00F16251">
        <w:rPr>
          <w:rFonts w:cstheme="minorHAnsi"/>
        </w:rPr>
        <w:t>obszaru,</w:t>
      </w:r>
      <w:r w:rsidR="003B50ED" w:rsidRPr="00F16251">
        <w:rPr>
          <w:rFonts w:cstheme="minorHAnsi"/>
        </w:rPr>
        <w:t xml:space="preserve"> </w:t>
      </w:r>
      <w:r w:rsidRPr="00F16251">
        <w:rPr>
          <w:rFonts w:cstheme="minorHAnsi"/>
        </w:rPr>
        <w:t>opartą</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wypowiedziach</w:t>
      </w:r>
      <w:r w:rsidR="003B50ED" w:rsidRPr="00F16251">
        <w:rPr>
          <w:rFonts w:cstheme="minorHAnsi"/>
        </w:rPr>
        <w:t xml:space="preserve"> </w:t>
      </w:r>
      <w:r w:rsidRPr="00F16251">
        <w:rPr>
          <w:rFonts w:cstheme="minorHAnsi"/>
        </w:rPr>
        <w:t>uczestników</w:t>
      </w:r>
      <w:r w:rsidR="003B50ED" w:rsidRPr="00F16251">
        <w:rPr>
          <w:rFonts w:cstheme="minorHAnsi"/>
        </w:rPr>
        <w:t xml:space="preserve"> </w:t>
      </w:r>
      <w:r w:rsidRPr="00F16251">
        <w:rPr>
          <w:rFonts w:cstheme="minorHAnsi"/>
        </w:rPr>
        <w:t>spotkań</w:t>
      </w:r>
      <w:r w:rsidR="003B50ED" w:rsidRPr="00F16251">
        <w:rPr>
          <w:rFonts w:cstheme="minorHAnsi"/>
        </w:rPr>
        <w:t xml:space="preserve"> </w:t>
      </w:r>
      <w:r w:rsidRPr="00F16251">
        <w:rPr>
          <w:rFonts w:cstheme="minorHAnsi"/>
        </w:rPr>
        <w:t>konsultacyjnych,</w:t>
      </w:r>
      <w:r w:rsidR="003B50ED" w:rsidRPr="00F16251">
        <w:rPr>
          <w:rFonts w:cstheme="minorHAnsi"/>
        </w:rPr>
        <w:t xml:space="preserve"> </w:t>
      </w:r>
      <w:r w:rsidRPr="00F16251">
        <w:rPr>
          <w:rFonts w:cstheme="minorHAnsi"/>
        </w:rPr>
        <w:t>wywiadach</w:t>
      </w:r>
      <w:r w:rsidR="003B50ED" w:rsidRPr="00F16251">
        <w:rPr>
          <w:rFonts w:cstheme="minorHAnsi"/>
        </w:rPr>
        <w:t xml:space="preserve"> </w:t>
      </w:r>
      <w:r w:rsidRPr="00F16251">
        <w:rPr>
          <w:rFonts w:cstheme="minorHAnsi"/>
        </w:rPr>
        <w:t>fokusowych</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ankietach.</w:t>
      </w:r>
      <w:r w:rsidR="003B50ED" w:rsidRPr="00F16251">
        <w:rPr>
          <w:rFonts w:cstheme="minorHAnsi"/>
        </w:rPr>
        <w:t xml:space="preserve"> </w:t>
      </w:r>
      <w:r w:rsidRPr="00F16251">
        <w:rPr>
          <w:rFonts w:cstheme="minorHAnsi"/>
        </w:rPr>
        <w:t>Następnie,</w:t>
      </w:r>
      <w:r w:rsidR="003B50ED" w:rsidRPr="00F16251">
        <w:rPr>
          <w:rFonts w:cstheme="minorHAnsi"/>
        </w:rPr>
        <w:t xml:space="preserve"> </w:t>
      </w:r>
      <w:r w:rsidRPr="00F16251">
        <w:rPr>
          <w:rFonts w:cstheme="minorHAnsi"/>
        </w:rPr>
        <w:t>korzystając</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danych</w:t>
      </w:r>
      <w:r w:rsidR="003B50ED" w:rsidRPr="00F16251">
        <w:rPr>
          <w:rFonts w:cstheme="minorHAnsi"/>
        </w:rPr>
        <w:t xml:space="preserve"> </w:t>
      </w:r>
      <w:r w:rsidRPr="00F16251">
        <w:rPr>
          <w:rFonts w:cstheme="minorHAnsi"/>
        </w:rPr>
        <w:t>GUS,</w:t>
      </w:r>
      <w:r w:rsidR="003B50ED" w:rsidRPr="00F16251">
        <w:rPr>
          <w:rFonts w:cstheme="minorHAnsi"/>
        </w:rPr>
        <w:t xml:space="preserve"> </w:t>
      </w:r>
      <w:r w:rsidRPr="00F16251">
        <w:rPr>
          <w:rFonts w:cstheme="minorHAnsi"/>
        </w:rPr>
        <w:t>pokrótce</w:t>
      </w:r>
      <w:r w:rsidR="003B50ED" w:rsidRPr="00F16251">
        <w:rPr>
          <w:rFonts w:cstheme="minorHAnsi"/>
        </w:rPr>
        <w:t xml:space="preserve"> </w:t>
      </w:r>
      <w:r w:rsidRPr="00F16251">
        <w:rPr>
          <w:rFonts w:cstheme="minorHAnsi"/>
        </w:rPr>
        <w:t>omówiono</w:t>
      </w:r>
      <w:r w:rsidR="003B50ED" w:rsidRPr="00F16251">
        <w:rPr>
          <w:rFonts w:cstheme="minorHAnsi"/>
        </w:rPr>
        <w:t xml:space="preserve"> </w:t>
      </w:r>
      <w:r w:rsidRPr="00F16251">
        <w:rPr>
          <w:rFonts w:cstheme="minorHAnsi"/>
        </w:rPr>
        <w:t>kluczowe</w:t>
      </w:r>
      <w:r w:rsidR="003B50ED" w:rsidRPr="00F16251">
        <w:rPr>
          <w:rFonts w:cstheme="minorHAnsi"/>
        </w:rPr>
        <w:t xml:space="preserve"> </w:t>
      </w:r>
      <w:r w:rsidRPr="00F16251">
        <w:rPr>
          <w:rFonts w:cstheme="minorHAnsi"/>
        </w:rPr>
        <w:t>zagadnienia</w:t>
      </w:r>
      <w:r w:rsidR="003B50ED" w:rsidRPr="00F16251">
        <w:rPr>
          <w:rFonts w:cstheme="minorHAnsi"/>
        </w:rPr>
        <w:t xml:space="preserve"> </w:t>
      </w:r>
      <w:r w:rsidRPr="00F16251">
        <w:rPr>
          <w:rFonts w:cstheme="minorHAnsi"/>
        </w:rPr>
        <w:t>istotne</w:t>
      </w:r>
      <w:r w:rsidR="003B50ED" w:rsidRPr="00F16251">
        <w:rPr>
          <w:rFonts w:cstheme="minorHAnsi"/>
        </w:rPr>
        <w:t xml:space="preserve"> </w:t>
      </w:r>
      <w:r w:rsidRPr="00F16251">
        <w:rPr>
          <w:rFonts w:cstheme="minorHAnsi"/>
        </w:rPr>
        <w:t>dla</w:t>
      </w:r>
      <w:r w:rsidR="003B50ED" w:rsidRPr="00F16251">
        <w:rPr>
          <w:rFonts w:cstheme="minorHAnsi"/>
        </w:rPr>
        <w:t xml:space="preserve"> </w:t>
      </w:r>
      <w:r w:rsidRPr="00F16251">
        <w:rPr>
          <w:rFonts w:cstheme="minorHAnsi"/>
        </w:rPr>
        <w:t>rozwoju</w:t>
      </w:r>
      <w:r w:rsidR="003B50ED" w:rsidRPr="00F16251">
        <w:rPr>
          <w:rFonts w:cstheme="minorHAnsi"/>
        </w:rPr>
        <w:t xml:space="preserve"> </w:t>
      </w:r>
      <w:r w:rsidRPr="00F16251">
        <w:rPr>
          <w:rFonts w:cstheme="minorHAnsi"/>
        </w:rPr>
        <w:t>obszaru.</w:t>
      </w:r>
      <w:r w:rsidR="003B50ED" w:rsidRPr="00F16251">
        <w:rPr>
          <w:rFonts w:cstheme="minorHAnsi"/>
        </w:rPr>
        <w:t xml:space="preserve"> </w:t>
      </w:r>
      <w:r w:rsidRPr="00F16251">
        <w:rPr>
          <w:rFonts w:cstheme="minorHAnsi"/>
        </w:rPr>
        <w:t>Takie</w:t>
      </w:r>
      <w:r w:rsidR="003B50ED" w:rsidRPr="00F16251">
        <w:rPr>
          <w:rFonts w:cstheme="minorHAnsi"/>
        </w:rPr>
        <w:t xml:space="preserve"> </w:t>
      </w:r>
      <w:r w:rsidRPr="00F16251">
        <w:rPr>
          <w:rFonts w:cstheme="minorHAnsi"/>
        </w:rPr>
        <w:t>podejście</w:t>
      </w:r>
      <w:r w:rsidR="003B50ED" w:rsidRPr="00F16251">
        <w:rPr>
          <w:rFonts w:cstheme="minorHAnsi"/>
        </w:rPr>
        <w:t xml:space="preserve"> </w:t>
      </w:r>
      <w:r w:rsidRPr="00F16251">
        <w:rPr>
          <w:rFonts w:cstheme="minorHAnsi"/>
        </w:rPr>
        <w:t>pozwoliło</w:t>
      </w:r>
      <w:r w:rsidR="003B50ED" w:rsidRPr="00F16251">
        <w:rPr>
          <w:rFonts w:cstheme="minorHAnsi"/>
        </w:rPr>
        <w:t xml:space="preserve"> </w:t>
      </w:r>
      <w:r w:rsidRPr="00F16251">
        <w:rPr>
          <w:rFonts w:cstheme="minorHAnsi"/>
        </w:rPr>
        <w:t>uzyskać</w:t>
      </w:r>
      <w:r w:rsidR="003B50ED" w:rsidRPr="00F16251">
        <w:rPr>
          <w:rFonts w:cstheme="minorHAnsi"/>
        </w:rPr>
        <w:t xml:space="preserve"> </w:t>
      </w:r>
      <w:r w:rsidRPr="00F16251">
        <w:rPr>
          <w:rFonts w:cstheme="minorHAnsi"/>
        </w:rPr>
        <w:t>pełen</w:t>
      </w:r>
      <w:r w:rsidR="003B50ED" w:rsidRPr="00F16251">
        <w:rPr>
          <w:rFonts w:cstheme="minorHAnsi"/>
        </w:rPr>
        <w:t xml:space="preserve"> </w:t>
      </w:r>
      <w:r w:rsidRPr="00F16251">
        <w:rPr>
          <w:rFonts w:cstheme="minorHAnsi"/>
        </w:rPr>
        <w:t>obraz</w:t>
      </w:r>
      <w:r w:rsidR="003B50ED" w:rsidRPr="00F16251">
        <w:rPr>
          <w:rFonts w:cstheme="minorHAnsi"/>
        </w:rPr>
        <w:t xml:space="preserve"> </w:t>
      </w:r>
      <w:r w:rsidRPr="00F16251">
        <w:rPr>
          <w:rFonts w:cstheme="minorHAnsi"/>
        </w:rPr>
        <w:t>obszaru</w:t>
      </w:r>
      <w:r w:rsidR="003B50ED" w:rsidRPr="00F16251">
        <w:rPr>
          <w:rFonts w:cstheme="minorHAnsi"/>
        </w:rPr>
        <w:t xml:space="preserve"> </w:t>
      </w:r>
      <w:r w:rsidRPr="00F16251">
        <w:rPr>
          <w:rFonts w:cstheme="minorHAnsi"/>
        </w:rPr>
        <w:t>objętego</w:t>
      </w:r>
      <w:r w:rsidR="003B50ED" w:rsidRPr="00F16251">
        <w:rPr>
          <w:rFonts w:cstheme="minorHAnsi"/>
        </w:rPr>
        <w:t xml:space="preserve"> </w:t>
      </w:r>
      <w:r w:rsidRPr="00F16251">
        <w:rPr>
          <w:rFonts w:cstheme="minorHAnsi"/>
        </w:rPr>
        <w:t>LSR.</w:t>
      </w:r>
      <w:r w:rsidR="003B50ED" w:rsidRPr="00F16251">
        <w:rPr>
          <w:rFonts w:cstheme="minorHAnsi"/>
        </w:rPr>
        <w:t xml:space="preserve"> </w:t>
      </w:r>
    </w:p>
    <w:p w14:paraId="7969D618" w14:textId="214A7C9B" w:rsidR="00580D3E" w:rsidRPr="00A26C26" w:rsidRDefault="00580D3E" w:rsidP="00A26C26">
      <w:pPr>
        <w:spacing w:line="276" w:lineRule="auto"/>
        <w:ind w:firstLine="284"/>
        <w:jc w:val="both"/>
        <w:rPr>
          <w:rFonts w:cstheme="minorHAnsi"/>
        </w:rPr>
      </w:pPr>
      <w:r w:rsidRPr="00F16251">
        <w:rPr>
          <w:rFonts w:cstheme="minorHAnsi"/>
        </w:rPr>
        <w:t>Okres</w:t>
      </w:r>
      <w:r w:rsidR="003B50ED" w:rsidRPr="00F16251">
        <w:rPr>
          <w:rFonts w:cstheme="minorHAnsi"/>
        </w:rPr>
        <w:t xml:space="preserve"> </w:t>
      </w:r>
      <w:r w:rsidRPr="00F16251">
        <w:rPr>
          <w:rFonts w:cstheme="minorHAnsi"/>
        </w:rPr>
        <w:t>od</w:t>
      </w:r>
      <w:r w:rsidR="003B50ED" w:rsidRPr="00F16251">
        <w:rPr>
          <w:rFonts w:cstheme="minorHAnsi"/>
        </w:rPr>
        <w:t xml:space="preserve"> </w:t>
      </w:r>
      <w:r w:rsidRPr="00F16251">
        <w:rPr>
          <w:rFonts w:cstheme="minorHAnsi"/>
        </w:rPr>
        <w:t>2017</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2021</w:t>
      </w:r>
      <w:r w:rsidR="003B50ED" w:rsidRPr="00F16251">
        <w:rPr>
          <w:rFonts w:cstheme="minorHAnsi"/>
        </w:rPr>
        <w:t xml:space="preserve"> r. </w:t>
      </w:r>
      <w:r w:rsidRPr="00F16251">
        <w:rPr>
          <w:rFonts w:cstheme="minorHAnsi"/>
        </w:rPr>
        <w:t>został</w:t>
      </w:r>
      <w:r w:rsidR="003B50ED" w:rsidRPr="00F16251">
        <w:rPr>
          <w:rFonts w:cstheme="minorHAnsi"/>
        </w:rPr>
        <w:t xml:space="preserve"> </w:t>
      </w:r>
      <w:r w:rsidRPr="00F16251">
        <w:rPr>
          <w:rFonts w:cstheme="minorHAnsi"/>
        </w:rPr>
        <w:t>przyjęty</w:t>
      </w:r>
      <w:r w:rsidR="003B50ED" w:rsidRPr="00F16251">
        <w:rPr>
          <w:rFonts w:cstheme="minorHAnsi"/>
        </w:rPr>
        <w:t xml:space="preserve"> </w:t>
      </w:r>
      <w:r w:rsidRPr="00F16251">
        <w:rPr>
          <w:rFonts w:cstheme="minorHAnsi"/>
        </w:rPr>
        <w:t>jako</w:t>
      </w:r>
      <w:r w:rsidR="003B50ED" w:rsidRPr="00F16251">
        <w:rPr>
          <w:rFonts w:cstheme="minorHAnsi"/>
        </w:rPr>
        <w:t xml:space="preserve"> </w:t>
      </w:r>
      <w:r w:rsidRPr="00F16251">
        <w:rPr>
          <w:rFonts w:cstheme="minorHAnsi"/>
        </w:rPr>
        <w:t>ramy</w:t>
      </w:r>
      <w:r w:rsidR="003B50ED" w:rsidRPr="00F16251">
        <w:rPr>
          <w:rFonts w:cstheme="minorHAnsi"/>
        </w:rPr>
        <w:t xml:space="preserve"> </w:t>
      </w:r>
      <w:r w:rsidRPr="00F16251">
        <w:rPr>
          <w:rFonts w:cstheme="minorHAnsi"/>
        </w:rPr>
        <w:t>czasowe</w:t>
      </w:r>
      <w:r w:rsidR="003B50ED">
        <w:rPr>
          <w:rFonts w:cstheme="minorHAnsi"/>
        </w:rPr>
        <w:t xml:space="preserve"> </w:t>
      </w:r>
      <w:r w:rsidRPr="00A26C26">
        <w:rPr>
          <w:rFonts w:cstheme="minorHAnsi"/>
        </w:rPr>
        <w:t>analizy,</w:t>
      </w:r>
      <w:r w:rsidR="003B50ED">
        <w:rPr>
          <w:rFonts w:cstheme="minorHAnsi"/>
        </w:rPr>
        <w:t xml:space="preserve"> </w:t>
      </w:r>
      <w:r w:rsidRPr="00A26C26">
        <w:rPr>
          <w:rFonts w:cstheme="minorHAnsi"/>
        </w:rPr>
        <w:t>ponieważ</w:t>
      </w:r>
      <w:r w:rsidR="003B50ED">
        <w:rPr>
          <w:rFonts w:cstheme="minorHAnsi"/>
        </w:rPr>
        <w:t xml:space="preserve"> </w:t>
      </w:r>
      <w:r w:rsidRPr="00A26C26">
        <w:rPr>
          <w:rFonts w:cstheme="minorHAnsi"/>
        </w:rPr>
        <w:t>diagnoza</w:t>
      </w:r>
      <w:r w:rsidR="003B50ED">
        <w:rPr>
          <w:rFonts w:cstheme="minorHAnsi"/>
        </w:rPr>
        <w:t xml:space="preserve"> </w:t>
      </w:r>
      <w:r w:rsidRPr="00A26C26">
        <w:rPr>
          <w:rFonts w:cstheme="minorHAnsi"/>
        </w:rPr>
        <w:t>kilkuletniego</w:t>
      </w:r>
      <w:r w:rsidR="003B50ED">
        <w:rPr>
          <w:rFonts w:cstheme="minorHAnsi"/>
        </w:rPr>
        <w:t xml:space="preserve"> </w:t>
      </w:r>
      <w:r w:rsidRPr="00A26C26">
        <w:rPr>
          <w:rFonts w:cstheme="minorHAnsi"/>
        </w:rPr>
        <w:t>okresu</w:t>
      </w:r>
      <w:r w:rsidR="003B50ED">
        <w:rPr>
          <w:rFonts w:cstheme="minorHAnsi"/>
        </w:rPr>
        <w:t xml:space="preserve"> </w:t>
      </w:r>
      <w:r w:rsidRPr="00A26C26">
        <w:rPr>
          <w:rFonts w:cstheme="minorHAnsi"/>
        </w:rPr>
        <w:t>pozwoliła</w:t>
      </w:r>
      <w:r w:rsidR="003B50ED">
        <w:rPr>
          <w:rFonts w:cstheme="minorHAnsi"/>
        </w:rPr>
        <w:t xml:space="preserve"> </w:t>
      </w:r>
      <w:r w:rsidRPr="00A26C26">
        <w:rPr>
          <w:rFonts w:cstheme="minorHAnsi"/>
        </w:rPr>
        <w:t>określić</w:t>
      </w:r>
      <w:r w:rsidR="003B50ED">
        <w:rPr>
          <w:rFonts w:cstheme="minorHAnsi"/>
        </w:rPr>
        <w:t xml:space="preserve"> </w:t>
      </w:r>
      <w:r w:rsidRPr="00A26C26">
        <w:rPr>
          <w:rFonts w:cstheme="minorHAnsi"/>
        </w:rPr>
        <w:t>kierunek</w:t>
      </w:r>
      <w:r w:rsidR="003B50ED">
        <w:rPr>
          <w:rFonts w:cstheme="minorHAnsi"/>
        </w:rPr>
        <w:t xml:space="preserve"> </w:t>
      </w:r>
      <w:r w:rsidRPr="00A26C26">
        <w:rPr>
          <w:rFonts w:cstheme="minorHAnsi"/>
        </w:rPr>
        <w:t>zmian,</w:t>
      </w:r>
      <w:r w:rsidR="003B50ED">
        <w:rPr>
          <w:rFonts w:cstheme="minorHAnsi"/>
        </w:rPr>
        <w:t xml:space="preserve"> </w:t>
      </w:r>
      <w:r w:rsidRPr="00A26C26">
        <w:rPr>
          <w:rFonts w:cstheme="minorHAnsi"/>
        </w:rPr>
        <w:t>ich</w:t>
      </w:r>
      <w:r w:rsidR="003B50ED">
        <w:rPr>
          <w:rFonts w:cstheme="minorHAnsi"/>
        </w:rPr>
        <w:t xml:space="preserve"> </w:t>
      </w:r>
      <w:r w:rsidRPr="00A26C26">
        <w:rPr>
          <w:rFonts w:cstheme="minorHAnsi"/>
        </w:rPr>
        <w:t>dynamikę</w:t>
      </w:r>
      <w:r w:rsidR="003B50ED">
        <w:rPr>
          <w:rFonts w:cstheme="minorHAnsi"/>
        </w:rPr>
        <w:t xml:space="preserve"> </w:t>
      </w:r>
      <w:r w:rsidRPr="00A26C26">
        <w:rPr>
          <w:rFonts w:cstheme="minorHAnsi"/>
        </w:rPr>
        <w:t>oraz</w:t>
      </w:r>
      <w:r w:rsidR="003B50ED">
        <w:rPr>
          <w:rFonts w:cstheme="minorHAnsi"/>
        </w:rPr>
        <w:t xml:space="preserve"> </w:t>
      </w:r>
      <w:r w:rsidRPr="00A26C26">
        <w:rPr>
          <w:rFonts w:cstheme="minorHAnsi"/>
        </w:rPr>
        <w:t>identyfikację</w:t>
      </w:r>
      <w:r w:rsidR="003B50ED">
        <w:rPr>
          <w:rFonts w:cstheme="minorHAnsi"/>
        </w:rPr>
        <w:t xml:space="preserve"> </w:t>
      </w:r>
      <w:r w:rsidRPr="00A26C26">
        <w:rPr>
          <w:rFonts w:cstheme="minorHAnsi"/>
        </w:rPr>
        <w:t>kluczowych</w:t>
      </w:r>
      <w:r w:rsidR="003B50ED">
        <w:rPr>
          <w:rFonts w:cstheme="minorHAnsi"/>
        </w:rPr>
        <w:t xml:space="preserve"> </w:t>
      </w:r>
      <w:r w:rsidRPr="00A26C26">
        <w:rPr>
          <w:rFonts w:cstheme="minorHAnsi"/>
        </w:rPr>
        <w:t>punktów</w:t>
      </w:r>
      <w:r w:rsidR="003B50ED">
        <w:rPr>
          <w:rFonts w:cstheme="minorHAnsi"/>
        </w:rPr>
        <w:t xml:space="preserve"> </w:t>
      </w:r>
      <w:r w:rsidRPr="00A26C26">
        <w:rPr>
          <w:rFonts w:cstheme="minorHAnsi"/>
        </w:rPr>
        <w:t>zwrotnych</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trendów</w:t>
      </w:r>
      <w:r w:rsidR="003B50ED">
        <w:rPr>
          <w:rFonts w:cstheme="minorHAnsi"/>
        </w:rPr>
        <w:t xml:space="preserve"> </w:t>
      </w:r>
      <w:r w:rsidRPr="00A26C26">
        <w:rPr>
          <w:rFonts w:cstheme="minorHAnsi"/>
        </w:rPr>
        <w:t>przyszłego</w:t>
      </w:r>
      <w:r w:rsidR="003B50ED">
        <w:rPr>
          <w:rFonts w:cstheme="minorHAnsi"/>
        </w:rPr>
        <w:t xml:space="preserve"> </w:t>
      </w:r>
      <w:r w:rsidRPr="00A26C26">
        <w:rPr>
          <w:rFonts w:cstheme="minorHAnsi"/>
        </w:rPr>
        <w:t>rozwoju.</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ostatniej</w:t>
      </w:r>
      <w:r w:rsidR="003B50ED">
        <w:rPr>
          <w:rFonts w:cstheme="minorHAnsi"/>
        </w:rPr>
        <w:t xml:space="preserve"> </w:t>
      </w:r>
      <w:r w:rsidRPr="00A26C26">
        <w:rPr>
          <w:rFonts w:cstheme="minorHAnsi"/>
        </w:rPr>
        <w:t>części</w:t>
      </w:r>
      <w:r w:rsidR="003B50ED">
        <w:rPr>
          <w:rFonts w:cstheme="minorHAnsi"/>
        </w:rPr>
        <w:t xml:space="preserve"> </w:t>
      </w:r>
      <w:r w:rsidRPr="00A26C26">
        <w:rPr>
          <w:rFonts w:cstheme="minorHAnsi"/>
        </w:rPr>
        <w:t>rozdziału,</w:t>
      </w:r>
      <w:r w:rsidR="003B50ED">
        <w:rPr>
          <w:rFonts w:cstheme="minorHAnsi"/>
        </w:rPr>
        <w:t xml:space="preserve"> </w:t>
      </w:r>
      <w:r w:rsidRPr="00A26C26">
        <w:rPr>
          <w:rFonts w:cstheme="minorHAnsi"/>
        </w:rPr>
        <w:t>podsumowującej</w:t>
      </w:r>
      <w:r w:rsidR="003B50ED">
        <w:rPr>
          <w:rFonts w:cstheme="minorHAnsi"/>
        </w:rPr>
        <w:t xml:space="preserve"> </w:t>
      </w:r>
      <w:r w:rsidRPr="00A26C26">
        <w:rPr>
          <w:rFonts w:cstheme="minorHAnsi"/>
        </w:rPr>
        <w:t>analizę</w:t>
      </w:r>
      <w:r w:rsidR="003B50ED">
        <w:rPr>
          <w:rFonts w:cstheme="minorHAnsi"/>
        </w:rPr>
        <w:t xml:space="preserve"> </w:t>
      </w:r>
      <w:r w:rsidRPr="00A26C26">
        <w:rPr>
          <w:rFonts w:cstheme="minorHAnsi"/>
        </w:rPr>
        <w:t>potrzeb</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potencjału</w:t>
      </w:r>
      <w:r w:rsidR="003B50ED">
        <w:rPr>
          <w:rFonts w:cstheme="minorHAnsi"/>
        </w:rPr>
        <w:t xml:space="preserve"> </w:t>
      </w:r>
      <w:r w:rsidRPr="00A26C26">
        <w:rPr>
          <w:rFonts w:cstheme="minorHAnsi"/>
        </w:rPr>
        <w:t>LGD</w:t>
      </w:r>
      <w:r w:rsidR="003B50ED">
        <w:rPr>
          <w:rFonts w:cstheme="minorHAnsi"/>
        </w:rPr>
        <w:t xml:space="preserve"> </w:t>
      </w:r>
      <w:r w:rsidRPr="00A26C26">
        <w:rPr>
          <w:rFonts w:cstheme="minorHAnsi"/>
        </w:rPr>
        <w:t>oraz</w:t>
      </w:r>
      <w:r w:rsidR="003B50ED">
        <w:rPr>
          <w:rFonts w:cstheme="minorHAnsi"/>
        </w:rPr>
        <w:t xml:space="preserve"> </w:t>
      </w:r>
      <w:r w:rsidRPr="00A26C26">
        <w:rPr>
          <w:rFonts w:cstheme="minorHAnsi"/>
        </w:rPr>
        <w:t>LSR,</w:t>
      </w:r>
      <w:r w:rsidR="003B50ED">
        <w:rPr>
          <w:rFonts w:cstheme="minorHAnsi"/>
        </w:rPr>
        <w:t xml:space="preserve"> </w:t>
      </w:r>
      <w:r w:rsidRPr="00A26C26">
        <w:rPr>
          <w:rFonts w:cstheme="minorHAnsi"/>
        </w:rPr>
        <w:t>przedstawiono</w:t>
      </w:r>
      <w:r w:rsidR="003B50ED">
        <w:rPr>
          <w:rFonts w:cstheme="minorHAnsi"/>
        </w:rPr>
        <w:t xml:space="preserve"> </w:t>
      </w:r>
      <w:r w:rsidRPr="00A26C26">
        <w:rPr>
          <w:rFonts w:cstheme="minorHAnsi"/>
        </w:rPr>
        <w:t>matrycę</w:t>
      </w:r>
      <w:r w:rsidR="003B50ED">
        <w:rPr>
          <w:rFonts w:cstheme="minorHAnsi"/>
        </w:rPr>
        <w:t xml:space="preserve"> </w:t>
      </w:r>
      <w:r w:rsidRPr="00A26C26">
        <w:rPr>
          <w:rFonts w:cstheme="minorHAnsi"/>
        </w:rPr>
        <w:t>ukazującą</w:t>
      </w:r>
      <w:r w:rsidR="003B50ED">
        <w:rPr>
          <w:rFonts w:cstheme="minorHAnsi"/>
        </w:rPr>
        <w:t xml:space="preserve"> </w:t>
      </w:r>
      <w:r w:rsidRPr="00A26C26">
        <w:rPr>
          <w:rFonts w:cstheme="minorHAnsi"/>
        </w:rPr>
        <w:t>główne</w:t>
      </w:r>
      <w:r w:rsidR="003B50ED">
        <w:rPr>
          <w:rFonts w:cstheme="minorHAnsi"/>
        </w:rPr>
        <w:t xml:space="preserve"> </w:t>
      </w:r>
      <w:r w:rsidRPr="00A26C26">
        <w:rPr>
          <w:rFonts w:cstheme="minorHAnsi"/>
        </w:rPr>
        <w:t>problemy</w:t>
      </w:r>
      <w:r w:rsidR="003B50ED">
        <w:rPr>
          <w:rFonts w:cstheme="minorHAnsi"/>
        </w:rPr>
        <w:t xml:space="preserve"> </w:t>
      </w:r>
      <w:r w:rsidRPr="00A26C26">
        <w:rPr>
          <w:rFonts w:cstheme="minorHAnsi"/>
        </w:rPr>
        <w:t>obszaru</w:t>
      </w:r>
      <w:r w:rsidR="003B50ED">
        <w:rPr>
          <w:rFonts w:cstheme="minorHAnsi"/>
        </w:rPr>
        <w:t xml:space="preserve"> </w:t>
      </w:r>
      <w:r w:rsidRPr="00A26C26">
        <w:rPr>
          <w:rFonts w:cstheme="minorHAnsi"/>
        </w:rPr>
        <w:t>LGD,</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których</w:t>
      </w:r>
      <w:r w:rsidR="003B50ED">
        <w:rPr>
          <w:rFonts w:cstheme="minorHAnsi"/>
        </w:rPr>
        <w:t xml:space="preserve"> </w:t>
      </w:r>
      <w:r w:rsidRPr="00A26C26">
        <w:rPr>
          <w:rFonts w:cstheme="minorHAnsi"/>
        </w:rPr>
        <w:t>wynikają</w:t>
      </w:r>
      <w:r w:rsidR="003B50ED">
        <w:rPr>
          <w:rFonts w:cstheme="minorHAnsi"/>
        </w:rPr>
        <w:t xml:space="preserve"> </w:t>
      </w:r>
      <w:r w:rsidRPr="00A26C26">
        <w:rPr>
          <w:rFonts w:cstheme="minorHAnsi"/>
        </w:rPr>
        <w:t>potrzeby</w:t>
      </w:r>
      <w:r w:rsidR="003B50ED">
        <w:rPr>
          <w:rFonts w:cstheme="minorHAnsi"/>
        </w:rPr>
        <w:t xml:space="preserve"> </w:t>
      </w:r>
      <w:r w:rsidRPr="00A26C26">
        <w:rPr>
          <w:rFonts w:cstheme="minorHAnsi"/>
        </w:rPr>
        <w:t>rozwojowe</w:t>
      </w:r>
      <w:r w:rsidR="003B50ED">
        <w:rPr>
          <w:rFonts w:cstheme="minorHAnsi"/>
        </w:rPr>
        <w:t xml:space="preserve"> </w:t>
      </w:r>
      <w:r w:rsidRPr="00A26C26">
        <w:rPr>
          <w:rFonts w:cstheme="minorHAnsi"/>
        </w:rPr>
        <w:t>oraz</w:t>
      </w:r>
      <w:r w:rsidR="003B50ED">
        <w:rPr>
          <w:rFonts w:cstheme="minorHAnsi"/>
        </w:rPr>
        <w:t xml:space="preserve"> </w:t>
      </w:r>
      <w:r w:rsidRPr="00A26C26">
        <w:rPr>
          <w:rFonts w:cstheme="minorHAnsi"/>
        </w:rPr>
        <w:t>zasoby,</w:t>
      </w:r>
      <w:r w:rsidR="003B50ED">
        <w:rPr>
          <w:rFonts w:cstheme="minorHAnsi"/>
        </w:rPr>
        <w:t xml:space="preserve"> </w:t>
      </w:r>
      <w:r w:rsidRPr="00A26C26">
        <w:rPr>
          <w:rFonts w:cstheme="minorHAnsi"/>
        </w:rPr>
        <w:t>które</w:t>
      </w:r>
      <w:r w:rsidR="003B50ED">
        <w:rPr>
          <w:rFonts w:cstheme="minorHAnsi"/>
        </w:rPr>
        <w:t xml:space="preserve"> </w:t>
      </w:r>
      <w:r w:rsidRPr="00A26C26">
        <w:rPr>
          <w:rFonts w:cstheme="minorHAnsi"/>
        </w:rPr>
        <w:t>można</w:t>
      </w:r>
      <w:r w:rsidR="003B50ED">
        <w:rPr>
          <w:rFonts w:cstheme="minorHAnsi"/>
        </w:rPr>
        <w:t xml:space="preserve"> </w:t>
      </w:r>
      <w:r w:rsidRPr="00A26C26">
        <w:rPr>
          <w:rFonts w:cstheme="minorHAnsi"/>
        </w:rPr>
        <w:t>wykorzystać</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celu</w:t>
      </w:r>
      <w:r w:rsidR="003B50ED">
        <w:rPr>
          <w:rFonts w:cstheme="minorHAnsi"/>
        </w:rPr>
        <w:t xml:space="preserve"> </w:t>
      </w:r>
      <w:r w:rsidRPr="00A26C26">
        <w:rPr>
          <w:rFonts w:cstheme="minorHAnsi"/>
        </w:rPr>
        <w:t>pokonania</w:t>
      </w:r>
      <w:r w:rsidR="003B50ED">
        <w:rPr>
          <w:rFonts w:cstheme="minorHAnsi"/>
        </w:rPr>
        <w:t xml:space="preserve"> </w:t>
      </w:r>
      <w:r w:rsidRPr="00A26C26">
        <w:rPr>
          <w:rFonts w:cstheme="minorHAnsi"/>
        </w:rPr>
        <w:t>trudności.</w:t>
      </w:r>
      <w:r w:rsidR="003B50ED">
        <w:rPr>
          <w:rFonts w:cstheme="minorHAnsi"/>
        </w:rPr>
        <w:t xml:space="preserve"> </w:t>
      </w:r>
      <w:r w:rsidRPr="00A26C26">
        <w:rPr>
          <w:rFonts w:cstheme="minorHAnsi"/>
        </w:rPr>
        <w:t>Matryca</w:t>
      </w:r>
      <w:r w:rsidR="003B50ED">
        <w:rPr>
          <w:rFonts w:cstheme="minorHAnsi"/>
        </w:rPr>
        <w:t xml:space="preserve"> </w:t>
      </w:r>
      <w:r w:rsidRPr="00A26C26">
        <w:rPr>
          <w:rFonts w:cstheme="minorHAnsi"/>
        </w:rPr>
        <w:t>zawiera</w:t>
      </w:r>
      <w:r w:rsidR="003B50ED">
        <w:rPr>
          <w:rFonts w:cstheme="minorHAnsi"/>
        </w:rPr>
        <w:t xml:space="preserve"> </w:t>
      </w:r>
      <w:r w:rsidRPr="00A26C26">
        <w:rPr>
          <w:rFonts w:cstheme="minorHAnsi"/>
        </w:rPr>
        <w:t>również</w:t>
      </w:r>
      <w:r w:rsidR="003B50ED">
        <w:rPr>
          <w:rFonts w:cstheme="minorHAnsi"/>
        </w:rPr>
        <w:t xml:space="preserve"> </w:t>
      </w:r>
      <w:r w:rsidRPr="00A26C26">
        <w:rPr>
          <w:rFonts w:cstheme="minorHAnsi"/>
        </w:rPr>
        <w:t>obszary,</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które</w:t>
      </w:r>
      <w:r w:rsidR="003B50ED">
        <w:rPr>
          <w:rFonts w:cstheme="minorHAnsi"/>
        </w:rPr>
        <w:t xml:space="preserve"> </w:t>
      </w:r>
      <w:r w:rsidRPr="00A26C26">
        <w:rPr>
          <w:rFonts w:cstheme="minorHAnsi"/>
        </w:rPr>
        <w:t>LSR</w:t>
      </w:r>
      <w:r w:rsidR="003B50ED">
        <w:rPr>
          <w:rFonts w:cstheme="minorHAnsi"/>
        </w:rPr>
        <w:t xml:space="preserve"> </w:t>
      </w:r>
      <w:r w:rsidRPr="00A26C26">
        <w:rPr>
          <w:rFonts w:cstheme="minorHAnsi"/>
        </w:rPr>
        <w:t>może</w:t>
      </w:r>
      <w:r w:rsidR="003B50ED">
        <w:rPr>
          <w:rFonts w:cstheme="minorHAnsi"/>
        </w:rPr>
        <w:t xml:space="preserve"> </w:t>
      </w:r>
      <w:r w:rsidRPr="00A26C26">
        <w:rPr>
          <w:rFonts w:cstheme="minorHAnsi"/>
        </w:rPr>
        <w:t>mieć</w:t>
      </w:r>
      <w:r w:rsidR="003B50ED">
        <w:rPr>
          <w:rFonts w:cstheme="minorHAnsi"/>
        </w:rPr>
        <w:t xml:space="preserve"> </w:t>
      </w:r>
      <w:r w:rsidRPr="00A26C26">
        <w:rPr>
          <w:rFonts w:cstheme="minorHAnsi"/>
        </w:rPr>
        <w:t>wpływ</w:t>
      </w:r>
      <w:r w:rsidR="003B50ED">
        <w:rPr>
          <w:rFonts w:cstheme="minorHAnsi"/>
        </w:rPr>
        <w:t xml:space="preserve"> </w:t>
      </w:r>
      <w:r w:rsidRPr="00A26C26">
        <w:rPr>
          <w:rFonts w:cstheme="minorHAnsi"/>
        </w:rPr>
        <w:t>oraz</w:t>
      </w:r>
      <w:r w:rsidR="003B50ED">
        <w:rPr>
          <w:rFonts w:cstheme="minorHAnsi"/>
        </w:rPr>
        <w:t xml:space="preserve"> </w:t>
      </w:r>
      <w:r w:rsidRPr="00A26C26">
        <w:rPr>
          <w:rFonts w:cstheme="minorHAnsi"/>
        </w:rPr>
        <w:t>grupy</w:t>
      </w:r>
      <w:r w:rsidR="003B50ED">
        <w:rPr>
          <w:rFonts w:cstheme="minorHAnsi"/>
        </w:rPr>
        <w:t xml:space="preserve"> </w:t>
      </w:r>
      <w:r w:rsidRPr="00A26C26">
        <w:rPr>
          <w:rFonts w:cstheme="minorHAnsi"/>
        </w:rPr>
        <w:t>docelowe,</w:t>
      </w:r>
      <w:r w:rsidR="003B50ED">
        <w:rPr>
          <w:rFonts w:cstheme="minorHAnsi"/>
        </w:rPr>
        <w:t xml:space="preserve"> </w:t>
      </w:r>
      <w:r w:rsidRPr="00A26C26">
        <w:rPr>
          <w:rFonts w:cstheme="minorHAnsi"/>
        </w:rPr>
        <w:t>do</w:t>
      </w:r>
      <w:r w:rsidR="003B50ED">
        <w:rPr>
          <w:rFonts w:cstheme="minorHAnsi"/>
        </w:rPr>
        <w:t xml:space="preserve"> </w:t>
      </w:r>
      <w:r w:rsidRPr="00A26C26">
        <w:rPr>
          <w:rFonts w:cstheme="minorHAnsi"/>
        </w:rPr>
        <w:t>których</w:t>
      </w:r>
      <w:r w:rsidR="003B50ED">
        <w:rPr>
          <w:rFonts w:cstheme="minorHAnsi"/>
        </w:rPr>
        <w:t xml:space="preserve"> </w:t>
      </w:r>
      <w:r w:rsidRPr="00A26C26">
        <w:rPr>
          <w:rFonts w:cstheme="minorHAnsi"/>
        </w:rPr>
        <w:t>będą</w:t>
      </w:r>
      <w:r w:rsidR="003B50ED">
        <w:rPr>
          <w:rFonts w:cstheme="minorHAnsi"/>
        </w:rPr>
        <w:t xml:space="preserve"> </w:t>
      </w:r>
      <w:r w:rsidRPr="00A26C26">
        <w:rPr>
          <w:rFonts w:cstheme="minorHAnsi"/>
        </w:rPr>
        <w:t>skierowane</w:t>
      </w:r>
      <w:r w:rsidR="003B50ED">
        <w:rPr>
          <w:rFonts w:cstheme="minorHAnsi"/>
        </w:rPr>
        <w:t xml:space="preserve"> </w:t>
      </w:r>
      <w:r w:rsidRPr="00A26C26">
        <w:rPr>
          <w:rFonts w:cstheme="minorHAnsi"/>
        </w:rPr>
        <w:t>nabory</w:t>
      </w:r>
      <w:r w:rsidR="003B50ED">
        <w:rPr>
          <w:rFonts w:cstheme="minorHAnsi"/>
        </w:rPr>
        <w:t xml:space="preserve"> </w:t>
      </w:r>
      <w:r w:rsidRPr="00A26C26">
        <w:rPr>
          <w:rFonts w:cstheme="minorHAnsi"/>
        </w:rPr>
        <w:t>wniosków.</w:t>
      </w:r>
    </w:p>
    <w:p w14:paraId="346A02C7" w14:textId="77777777" w:rsidR="00580D3E" w:rsidRPr="00A26C26" w:rsidRDefault="00580D3E" w:rsidP="00A26C26">
      <w:pPr>
        <w:spacing w:line="276" w:lineRule="auto"/>
        <w:ind w:firstLine="284"/>
        <w:jc w:val="both"/>
        <w:rPr>
          <w:rFonts w:cstheme="minorHAnsi"/>
        </w:rPr>
      </w:pPr>
    </w:p>
    <w:p w14:paraId="455E063F" w14:textId="763BAE56" w:rsidR="00580D3E" w:rsidRPr="00A26C26" w:rsidRDefault="00580D3E" w:rsidP="008A412F">
      <w:pPr>
        <w:pStyle w:val="Nagwek2"/>
        <w:numPr>
          <w:ilvl w:val="0"/>
          <w:numId w:val="11"/>
        </w:numPr>
        <w:spacing w:before="0" w:line="276" w:lineRule="auto"/>
        <w:rPr>
          <w:rFonts w:asciiTheme="minorHAnsi" w:hAnsiTheme="minorHAnsi" w:cstheme="minorHAnsi"/>
          <w:b/>
          <w:bCs/>
          <w:sz w:val="22"/>
          <w:szCs w:val="22"/>
        </w:rPr>
      </w:pPr>
      <w:bookmarkStart w:id="36" w:name="_Toc136260192"/>
      <w:bookmarkStart w:id="37" w:name="_Toc136944402"/>
      <w:r w:rsidRPr="00A26C26">
        <w:rPr>
          <w:rFonts w:asciiTheme="minorHAnsi" w:hAnsiTheme="minorHAnsi" w:cstheme="minorHAnsi"/>
          <w:b/>
          <w:bCs/>
          <w:sz w:val="22"/>
          <w:szCs w:val="22"/>
        </w:rPr>
        <w:t>Analiza</w:t>
      </w:r>
      <w:r w:rsidR="003B50ED">
        <w:rPr>
          <w:rFonts w:asciiTheme="minorHAnsi" w:hAnsiTheme="minorHAnsi" w:cstheme="minorHAnsi"/>
          <w:b/>
          <w:bCs/>
          <w:sz w:val="22"/>
          <w:szCs w:val="22"/>
        </w:rPr>
        <w:t xml:space="preserve"> </w:t>
      </w:r>
      <w:r w:rsidRPr="00A26C26">
        <w:rPr>
          <w:rFonts w:asciiTheme="minorHAnsi" w:hAnsiTheme="minorHAnsi" w:cstheme="minorHAnsi"/>
          <w:b/>
          <w:bCs/>
          <w:sz w:val="22"/>
          <w:szCs w:val="22"/>
        </w:rPr>
        <w:t>SWOT</w:t>
      </w:r>
      <w:bookmarkEnd w:id="36"/>
      <w:bookmarkEnd w:id="37"/>
    </w:p>
    <w:p w14:paraId="1631D8E6" w14:textId="77777777" w:rsidR="00580D3E" w:rsidRPr="00A26C26" w:rsidRDefault="00580D3E" w:rsidP="00A26C26">
      <w:pPr>
        <w:spacing w:line="276" w:lineRule="auto"/>
        <w:rPr>
          <w:rFonts w:cstheme="minorHAnsi"/>
        </w:rPr>
      </w:pPr>
    </w:p>
    <w:p w14:paraId="57B1E7D6" w14:textId="4FF18138" w:rsidR="00224658" w:rsidRPr="00A26C26" w:rsidRDefault="00224658" w:rsidP="00A26C26">
      <w:pPr>
        <w:spacing w:line="276" w:lineRule="auto"/>
        <w:ind w:firstLine="284"/>
        <w:jc w:val="both"/>
        <w:rPr>
          <w:rFonts w:cstheme="minorHAnsi"/>
        </w:rPr>
      </w:pPr>
      <w:r w:rsidRPr="00A26C26">
        <w:rPr>
          <w:rFonts w:cstheme="minorHAnsi"/>
        </w:rPr>
        <w:t>Skrócona</w:t>
      </w:r>
      <w:r w:rsidR="003B50ED">
        <w:rPr>
          <w:rFonts w:cstheme="minorHAnsi"/>
        </w:rPr>
        <w:t xml:space="preserve"> </w:t>
      </w:r>
      <w:r w:rsidRPr="00A26C26">
        <w:rPr>
          <w:rFonts w:cstheme="minorHAnsi"/>
        </w:rPr>
        <w:t>analiza</w:t>
      </w:r>
      <w:r w:rsidR="003B50ED">
        <w:rPr>
          <w:rFonts w:cstheme="minorHAnsi"/>
        </w:rPr>
        <w:t xml:space="preserve"> </w:t>
      </w:r>
      <w:r w:rsidRPr="00A26C26">
        <w:rPr>
          <w:rFonts w:cstheme="minorHAnsi"/>
        </w:rPr>
        <w:t>SWOT</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ogólnym</w:t>
      </w:r>
      <w:r w:rsidR="003B50ED">
        <w:rPr>
          <w:rFonts w:cstheme="minorHAnsi"/>
        </w:rPr>
        <w:t xml:space="preserve"> </w:t>
      </w:r>
      <w:r w:rsidRPr="00A26C26">
        <w:rPr>
          <w:rFonts w:cstheme="minorHAnsi"/>
        </w:rPr>
        <w:t>zarysie</w:t>
      </w:r>
      <w:r w:rsidR="003B50ED">
        <w:rPr>
          <w:rFonts w:cstheme="minorHAnsi"/>
        </w:rPr>
        <w:t xml:space="preserve"> </w:t>
      </w:r>
      <w:r w:rsidRPr="00A26C26">
        <w:rPr>
          <w:rFonts w:cstheme="minorHAnsi"/>
        </w:rPr>
        <w:t>pokazuje</w:t>
      </w:r>
      <w:r w:rsidR="003B50ED">
        <w:rPr>
          <w:rFonts w:cstheme="minorHAnsi"/>
        </w:rPr>
        <w:t xml:space="preserve"> </w:t>
      </w:r>
      <w:r w:rsidRPr="00A26C26">
        <w:rPr>
          <w:rFonts w:cstheme="minorHAnsi"/>
        </w:rPr>
        <w:t>kluczowe</w:t>
      </w:r>
      <w:r w:rsidR="003B50ED">
        <w:rPr>
          <w:rFonts w:cstheme="minorHAnsi"/>
        </w:rPr>
        <w:t xml:space="preserve"> </w:t>
      </w:r>
      <w:r w:rsidRPr="00A26C26">
        <w:rPr>
          <w:rFonts w:cstheme="minorHAnsi"/>
        </w:rPr>
        <w:t>aspekty,</w:t>
      </w:r>
      <w:r w:rsidR="003B50ED">
        <w:rPr>
          <w:rFonts w:cstheme="minorHAnsi"/>
        </w:rPr>
        <w:t xml:space="preserve"> </w:t>
      </w:r>
      <w:r w:rsidRPr="00A26C26">
        <w:rPr>
          <w:rFonts w:cstheme="minorHAnsi"/>
        </w:rPr>
        <w:t>które</w:t>
      </w:r>
      <w:r w:rsidR="003B50ED">
        <w:rPr>
          <w:rFonts w:cstheme="minorHAnsi"/>
        </w:rPr>
        <w:t xml:space="preserve"> </w:t>
      </w:r>
      <w:r w:rsidRPr="00A26C26">
        <w:rPr>
          <w:rFonts w:cstheme="minorHAnsi"/>
        </w:rPr>
        <w:t>należy</w:t>
      </w:r>
      <w:r w:rsidR="003B50ED">
        <w:rPr>
          <w:rFonts w:cstheme="minorHAnsi"/>
        </w:rPr>
        <w:t xml:space="preserve"> </w:t>
      </w:r>
      <w:r w:rsidRPr="00A26C26">
        <w:rPr>
          <w:rFonts w:cstheme="minorHAnsi"/>
        </w:rPr>
        <w:t>uwzględnić</w:t>
      </w:r>
      <w:r w:rsidR="003B50ED">
        <w:rPr>
          <w:rFonts w:cstheme="minorHAnsi"/>
        </w:rPr>
        <w:t xml:space="preserve"> </w:t>
      </w:r>
      <w:r w:rsidRPr="00A26C26">
        <w:rPr>
          <w:rFonts w:cstheme="minorHAnsi"/>
        </w:rPr>
        <w:t>planując</w:t>
      </w:r>
      <w:r w:rsidR="003B50ED">
        <w:rPr>
          <w:rFonts w:cstheme="minorHAnsi"/>
        </w:rPr>
        <w:t xml:space="preserve"> </w:t>
      </w:r>
      <w:r w:rsidRPr="00A26C26">
        <w:rPr>
          <w:rFonts w:cstheme="minorHAnsi"/>
        </w:rPr>
        <w:t>długofalowy</w:t>
      </w:r>
      <w:r w:rsidR="003B50ED">
        <w:rPr>
          <w:rFonts w:cstheme="minorHAnsi"/>
        </w:rPr>
        <w:t xml:space="preserve"> </w:t>
      </w:r>
      <w:r w:rsidRPr="00A26C26">
        <w:rPr>
          <w:rFonts w:cstheme="minorHAnsi"/>
        </w:rPr>
        <w:t>rozwój</w:t>
      </w:r>
      <w:r w:rsidR="003B50ED">
        <w:rPr>
          <w:rFonts w:cstheme="minorHAnsi"/>
        </w:rPr>
        <w:t xml:space="preserve"> </w:t>
      </w:r>
      <w:r w:rsidRPr="00A26C26">
        <w:rPr>
          <w:rFonts w:cstheme="minorHAnsi"/>
        </w:rPr>
        <w:t>obszaru</w:t>
      </w:r>
      <w:r w:rsidR="003B50ED">
        <w:rPr>
          <w:rFonts w:cstheme="minorHAnsi"/>
        </w:rPr>
        <w:t xml:space="preserve"> </w:t>
      </w:r>
      <w:r w:rsidRPr="00A26C26">
        <w:rPr>
          <w:rFonts w:cstheme="minorHAnsi"/>
        </w:rPr>
        <w:t>LGD</w:t>
      </w:r>
      <w:r w:rsidR="003B50ED">
        <w:rPr>
          <w:rFonts w:cstheme="minorHAnsi"/>
        </w:rPr>
        <w:t xml:space="preserve"> </w:t>
      </w:r>
      <w:r w:rsidRPr="00A26C26">
        <w:rPr>
          <w:rFonts w:cstheme="minorHAnsi"/>
        </w:rPr>
        <w:t>„Solidarni</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Partnerstwie”.</w:t>
      </w:r>
    </w:p>
    <w:p w14:paraId="0A4928D0" w14:textId="77777777" w:rsidR="00580D3E" w:rsidRPr="00A26C26" w:rsidRDefault="00580D3E" w:rsidP="00A26C26">
      <w:pPr>
        <w:spacing w:line="276" w:lineRule="auto"/>
        <w:ind w:firstLine="284"/>
        <w:jc w:val="both"/>
        <w:rPr>
          <w:rFonts w:cstheme="minorHAnsi"/>
        </w:rPr>
      </w:pPr>
    </w:p>
    <w:p w14:paraId="5F17EFC1" w14:textId="69526DB0" w:rsidR="00224658" w:rsidRPr="00A26C26" w:rsidRDefault="00580D3E" w:rsidP="0080076F">
      <w:pPr>
        <w:spacing w:line="276" w:lineRule="auto"/>
        <w:jc w:val="both"/>
        <w:rPr>
          <w:rFonts w:cstheme="minorHAnsi"/>
        </w:rPr>
      </w:pPr>
      <w:r w:rsidRPr="00A26C26">
        <w:rPr>
          <w:rFonts w:cstheme="minorHAnsi"/>
        </w:rPr>
        <w:t>Tabela</w:t>
      </w:r>
      <w:r w:rsidR="003B50ED">
        <w:rPr>
          <w:rFonts w:cstheme="minorHAnsi"/>
        </w:rPr>
        <w:t xml:space="preserve"> </w:t>
      </w:r>
      <w:r w:rsidRPr="00A26C26">
        <w:rPr>
          <w:rFonts w:cstheme="minorHAnsi"/>
        </w:rPr>
        <w:t>nr</w:t>
      </w:r>
      <w:r w:rsidR="003B50ED">
        <w:rPr>
          <w:rFonts w:cstheme="minorHAnsi"/>
        </w:rPr>
        <w:t xml:space="preserve"> </w:t>
      </w:r>
      <w:r w:rsidR="00203429">
        <w:rPr>
          <w:rFonts w:cstheme="minorHAnsi"/>
        </w:rPr>
        <w:t>7</w:t>
      </w:r>
      <w:r w:rsidR="003B50ED">
        <w:rPr>
          <w:rFonts w:cstheme="minorHAnsi"/>
        </w:rPr>
        <w:t xml:space="preserve"> </w:t>
      </w:r>
      <w:r w:rsidRPr="00A26C26">
        <w:rPr>
          <w:rFonts w:cstheme="minorHAnsi"/>
        </w:rPr>
        <w:t>Analiza</w:t>
      </w:r>
      <w:r w:rsidR="003B50ED">
        <w:rPr>
          <w:rFonts w:cstheme="minorHAnsi"/>
        </w:rPr>
        <w:t xml:space="preserve"> </w:t>
      </w:r>
      <w:r w:rsidRPr="00A26C26">
        <w:rPr>
          <w:rFonts w:cstheme="minorHAnsi"/>
        </w:rPr>
        <w:t>SWOT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5101"/>
      </w:tblGrid>
      <w:tr w:rsidR="00224658" w:rsidRPr="00A26C26" w14:paraId="7E4118A3" w14:textId="77777777" w:rsidTr="007F1E76">
        <w:trPr>
          <w:trHeight w:val="249"/>
        </w:trPr>
        <w:tc>
          <w:tcPr>
            <w:tcW w:w="5100" w:type="dxa"/>
            <w:shd w:val="clear" w:color="auto" w:fill="DEEAF6" w:themeFill="accent5" w:themeFillTint="33"/>
          </w:tcPr>
          <w:p w14:paraId="3455B859" w14:textId="6DFE99FB" w:rsidR="00224658" w:rsidRPr="00A26C26" w:rsidRDefault="00224658" w:rsidP="00A26C26">
            <w:pPr>
              <w:spacing w:line="276" w:lineRule="auto"/>
              <w:rPr>
                <w:rFonts w:cstheme="minorHAnsi"/>
              </w:rPr>
            </w:pPr>
            <w:r w:rsidRPr="00A26C26">
              <w:rPr>
                <w:rFonts w:cstheme="minorHAnsi"/>
              </w:rPr>
              <w:br w:type="page"/>
              <w:t>MOCNE</w:t>
            </w:r>
            <w:r w:rsidR="003B50ED">
              <w:rPr>
                <w:rFonts w:cstheme="minorHAnsi"/>
              </w:rPr>
              <w:t xml:space="preserve"> </w:t>
            </w:r>
            <w:r w:rsidRPr="00A26C26">
              <w:rPr>
                <w:rFonts w:cstheme="minorHAnsi"/>
              </w:rPr>
              <w:t>STRONY</w:t>
            </w:r>
          </w:p>
        </w:tc>
        <w:tc>
          <w:tcPr>
            <w:tcW w:w="5101" w:type="dxa"/>
            <w:shd w:val="clear" w:color="auto" w:fill="DEEAF6" w:themeFill="accent5" w:themeFillTint="33"/>
          </w:tcPr>
          <w:p w14:paraId="578E0420" w14:textId="7A2DA73E" w:rsidR="00224658" w:rsidRPr="00A26C26" w:rsidRDefault="00224658" w:rsidP="00A26C26">
            <w:pPr>
              <w:spacing w:line="276" w:lineRule="auto"/>
              <w:rPr>
                <w:rFonts w:cstheme="minorHAnsi"/>
              </w:rPr>
            </w:pPr>
            <w:r w:rsidRPr="00A26C26">
              <w:rPr>
                <w:rFonts w:cstheme="minorHAnsi"/>
              </w:rPr>
              <w:t>SŁABE</w:t>
            </w:r>
            <w:r w:rsidR="003B50ED">
              <w:rPr>
                <w:rFonts w:cstheme="minorHAnsi"/>
              </w:rPr>
              <w:t xml:space="preserve"> </w:t>
            </w:r>
            <w:r w:rsidRPr="00A26C26">
              <w:rPr>
                <w:rFonts w:cstheme="minorHAnsi"/>
              </w:rPr>
              <w:t>STRONY</w:t>
            </w:r>
          </w:p>
        </w:tc>
      </w:tr>
      <w:tr w:rsidR="00224658" w:rsidRPr="00A26C26" w14:paraId="16282091" w14:textId="77777777" w:rsidTr="007F1E76">
        <w:trPr>
          <w:trHeight w:val="249"/>
        </w:trPr>
        <w:tc>
          <w:tcPr>
            <w:tcW w:w="5100" w:type="dxa"/>
          </w:tcPr>
          <w:p w14:paraId="225B1D54" w14:textId="30F3E1DE" w:rsidR="00224658" w:rsidRPr="00A26C26" w:rsidRDefault="00224658" w:rsidP="00A26C26">
            <w:pPr>
              <w:spacing w:line="276" w:lineRule="auto"/>
              <w:rPr>
                <w:rFonts w:cstheme="minorHAnsi"/>
              </w:rPr>
            </w:pPr>
            <w:r w:rsidRPr="00A26C26">
              <w:rPr>
                <w:rFonts w:cstheme="minorHAnsi"/>
              </w:rPr>
              <w:t>Bliskość</w:t>
            </w:r>
            <w:r w:rsidR="003B50ED">
              <w:rPr>
                <w:rFonts w:cstheme="minorHAnsi"/>
              </w:rPr>
              <w:t xml:space="preserve"> </w:t>
            </w:r>
            <w:r w:rsidRPr="00A26C26">
              <w:rPr>
                <w:rFonts w:cstheme="minorHAnsi"/>
              </w:rPr>
              <w:t>dużych</w:t>
            </w:r>
            <w:r w:rsidR="003B50ED">
              <w:rPr>
                <w:rFonts w:cstheme="minorHAnsi"/>
              </w:rPr>
              <w:t xml:space="preserve"> </w:t>
            </w:r>
            <w:r w:rsidRPr="00A26C26">
              <w:rPr>
                <w:rFonts w:cstheme="minorHAnsi"/>
              </w:rPr>
              <w:t>miast</w:t>
            </w:r>
            <w:r w:rsidR="003B50ED">
              <w:rPr>
                <w:rFonts w:cstheme="minorHAnsi"/>
              </w:rPr>
              <w:t xml:space="preserve"> </w:t>
            </w:r>
            <w:r w:rsidRPr="00A26C26">
              <w:rPr>
                <w:rFonts w:cstheme="minorHAnsi"/>
              </w:rPr>
              <w:t>(Konin,</w:t>
            </w:r>
            <w:r w:rsidR="003B50ED">
              <w:rPr>
                <w:rFonts w:cstheme="minorHAnsi"/>
              </w:rPr>
              <w:t xml:space="preserve"> </w:t>
            </w:r>
            <w:r w:rsidRPr="00A26C26">
              <w:rPr>
                <w:rFonts w:cstheme="minorHAnsi"/>
              </w:rPr>
              <w:t>Turek,</w:t>
            </w:r>
            <w:r w:rsidR="003B50ED">
              <w:rPr>
                <w:rFonts w:cstheme="minorHAnsi"/>
              </w:rPr>
              <w:t xml:space="preserve"> </w:t>
            </w:r>
            <w:r w:rsidRPr="00A26C26">
              <w:rPr>
                <w:rFonts w:cstheme="minorHAnsi"/>
              </w:rPr>
              <w:t>Kalisz,</w:t>
            </w:r>
            <w:r w:rsidR="003B50ED">
              <w:rPr>
                <w:rFonts w:cstheme="minorHAnsi"/>
              </w:rPr>
              <w:t xml:space="preserve"> </w:t>
            </w:r>
            <w:r w:rsidRPr="00A26C26">
              <w:rPr>
                <w:rFonts w:cstheme="minorHAnsi"/>
              </w:rPr>
              <w:t>Gniezno,</w:t>
            </w:r>
            <w:r w:rsidR="003B50ED">
              <w:rPr>
                <w:rFonts w:cstheme="minorHAnsi"/>
              </w:rPr>
              <w:t xml:space="preserve"> </w:t>
            </w:r>
            <w:r w:rsidRPr="00A26C26">
              <w:rPr>
                <w:rFonts w:cstheme="minorHAnsi"/>
              </w:rPr>
              <w:t>Poznań)</w:t>
            </w:r>
          </w:p>
        </w:tc>
        <w:tc>
          <w:tcPr>
            <w:tcW w:w="5101" w:type="dxa"/>
          </w:tcPr>
          <w:p w14:paraId="1C80D996" w14:textId="76122B61" w:rsidR="00224658" w:rsidRPr="00A26C26" w:rsidRDefault="00224658" w:rsidP="00A26C26">
            <w:pPr>
              <w:spacing w:line="276" w:lineRule="auto"/>
              <w:rPr>
                <w:rFonts w:cstheme="minorHAnsi"/>
              </w:rPr>
            </w:pPr>
            <w:r w:rsidRPr="00A26C26">
              <w:rPr>
                <w:rFonts w:cstheme="minorHAnsi"/>
              </w:rPr>
              <w:t>Niewystarczająca</w:t>
            </w:r>
            <w:r w:rsidR="003B50ED">
              <w:rPr>
                <w:rFonts w:cstheme="minorHAnsi"/>
              </w:rPr>
              <w:t xml:space="preserve"> </w:t>
            </w:r>
            <w:r w:rsidRPr="00A26C26">
              <w:rPr>
                <w:rFonts w:cstheme="minorHAnsi"/>
              </w:rPr>
              <w:t>baza</w:t>
            </w:r>
            <w:r w:rsidR="003B50ED">
              <w:rPr>
                <w:rFonts w:cstheme="minorHAnsi"/>
              </w:rPr>
              <w:t xml:space="preserve"> </w:t>
            </w:r>
            <w:r w:rsidRPr="00A26C26">
              <w:rPr>
                <w:rFonts w:cstheme="minorHAnsi"/>
              </w:rPr>
              <w:t>noclegowa</w:t>
            </w:r>
          </w:p>
        </w:tc>
      </w:tr>
      <w:tr w:rsidR="00224658" w:rsidRPr="00A26C26" w14:paraId="306ECA8A" w14:textId="77777777" w:rsidTr="007F1E76">
        <w:trPr>
          <w:trHeight w:val="249"/>
        </w:trPr>
        <w:tc>
          <w:tcPr>
            <w:tcW w:w="5100" w:type="dxa"/>
          </w:tcPr>
          <w:p w14:paraId="1C7622AF" w14:textId="2F5E7F42" w:rsidR="00224658" w:rsidRPr="00A26C26" w:rsidRDefault="003B50ED" w:rsidP="00A26C26">
            <w:pPr>
              <w:spacing w:line="276" w:lineRule="auto"/>
              <w:rPr>
                <w:rFonts w:cstheme="minorHAnsi"/>
              </w:rPr>
            </w:pPr>
            <w:r>
              <w:rPr>
                <w:rFonts w:cstheme="minorHAnsi"/>
              </w:rPr>
              <w:t xml:space="preserve"> </w:t>
            </w:r>
            <w:r w:rsidR="00224658" w:rsidRPr="00A26C26">
              <w:rPr>
                <w:rFonts w:cstheme="minorHAnsi"/>
              </w:rPr>
              <w:t>Komunikacja</w:t>
            </w:r>
            <w:r>
              <w:rPr>
                <w:rFonts w:cstheme="minorHAnsi"/>
              </w:rPr>
              <w:t xml:space="preserve"> </w:t>
            </w:r>
            <w:r w:rsidR="00224658" w:rsidRPr="00A26C26">
              <w:rPr>
                <w:rFonts w:cstheme="minorHAnsi"/>
              </w:rPr>
              <w:t>-</w:t>
            </w:r>
            <w:r>
              <w:rPr>
                <w:rFonts w:cstheme="minorHAnsi"/>
              </w:rPr>
              <w:t xml:space="preserve"> </w:t>
            </w:r>
            <w:r w:rsidR="00224658" w:rsidRPr="00A26C26">
              <w:rPr>
                <w:rFonts w:cstheme="minorHAnsi"/>
              </w:rPr>
              <w:t>samochodowa</w:t>
            </w:r>
            <w:r>
              <w:rPr>
                <w:rFonts w:cstheme="minorHAnsi"/>
              </w:rPr>
              <w:t xml:space="preserve"> </w:t>
            </w:r>
            <w:r w:rsidR="00224658" w:rsidRPr="00A26C26">
              <w:rPr>
                <w:rFonts w:cstheme="minorHAnsi"/>
              </w:rPr>
              <w:t>(autostrada</w:t>
            </w:r>
            <w:r>
              <w:rPr>
                <w:rFonts w:cstheme="minorHAnsi"/>
              </w:rPr>
              <w:t xml:space="preserve"> </w:t>
            </w:r>
            <w:r w:rsidR="00224658" w:rsidRPr="00A26C26">
              <w:rPr>
                <w:rFonts w:cstheme="minorHAnsi"/>
              </w:rPr>
              <w:t>Berlin-Warszawa,</w:t>
            </w:r>
            <w:r>
              <w:rPr>
                <w:rFonts w:cstheme="minorHAnsi"/>
              </w:rPr>
              <w:t xml:space="preserve"> </w:t>
            </w:r>
            <w:r w:rsidR="00224658" w:rsidRPr="00A26C26">
              <w:rPr>
                <w:rFonts w:cstheme="minorHAnsi"/>
              </w:rPr>
              <w:t>droga</w:t>
            </w:r>
            <w:r>
              <w:rPr>
                <w:rFonts w:cstheme="minorHAnsi"/>
              </w:rPr>
              <w:t xml:space="preserve"> </w:t>
            </w:r>
            <w:r w:rsidR="00224658" w:rsidRPr="00A26C26">
              <w:rPr>
                <w:rFonts w:cstheme="minorHAnsi"/>
              </w:rPr>
              <w:t>krajowa</w:t>
            </w:r>
            <w:r>
              <w:rPr>
                <w:rFonts w:cstheme="minorHAnsi"/>
              </w:rPr>
              <w:t xml:space="preserve"> </w:t>
            </w:r>
            <w:r w:rsidR="00224658" w:rsidRPr="00A26C26">
              <w:rPr>
                <w:rFonts w:cstheme="minorHAnsi"/>
              </w:rPr>
              <w:t>Kalisz-Bydgoszcz</w:t>
            </w:r>
            <w:r>
              <w:rPr>
                <w:rFonts w:cstheme="minorHAnsi"/>
              </w:rPr>
              <w:t xml:space="preserve"> </w:t>
            </w:r>
            <w:r w:rsidR="00224658" w:rsidRPr="00A26C26">
              <w:rPr>
                <w:rFonts w:cstheme="minorHAnsi"/>
              </w:rPr>
              <w:t>i</w:t>
            </w:r>
            <w:r>
              <w:rPr>
                <w:rFonts w:cstheme="minorHAnsi"/>
              </w:rPr>
              <w:t xml:space="preserve"> </w:t>
            </w:r>
            <w:r w:rsidR="00224658" w:rsidRPr="00A26C26">
              <w:rPr>
                <w:rFonts w:cstheme="minorHAnsi"/>
              </w:rPr>
              <w:t>droga</w:t>
            </w:r>
            <w:r>
              <w:rPr>
                <w:rFonts w:cstheme="minorHAnsi"/>
              </w:rPr>
              <w:t xml:space="preserve"> </w:t>
            </w:r>
            <w:r w:rsidR="00224658" w:rsidRPr="00A26C26">
              <w:rPr>
                <w:rFonts w:cstheme="minorHAnsi"/>
              </w:rPr>
              <w:t>krajowa</w:t>
            </w:r>
            <w:r>
              <w:rPr>
                <w:rFonts w:cstheme="minorHAnsi"/>
              </w:rPr>
              <w:t xml:space="preserve"> </w:t>
            </w:r>
            <w:r w:rsidR="00224658" w:rsidRPr="00A26C26">
              <w:rPr>
                <w:rFonts w:cstheme="minorHAnsi"/>
              </w:rPr>
              <w:t>Łódź-Konin)</w:t>
            </w:r>
            <w:r>
              <w:rPr>
                <w:rFonts w:cstheme="minorHAnsi"/>
              </w:rPr>
              <w:t xml:space="preserve"> </w:t>
            </w:r>
            <w:r w:rsidR="00224658" w:rsidRPr="00A26C26">
              <w:rPr>
                <w:rFonts w:cstheme="minorHAnsi"/>
              </w:rPr>
              <w:t>i</w:t>
            </w:r>
            <w:r>
              <w:rPr>
                <w:rFonts w:cstheme="minorHAnsi"/>
              </w:rPr>
              <w:t xml:space="preserve"> </w:t>
            </w:r>
            <w:r w:rsidR="00224658" w:rsidRPr="00A26C26">
              <w:rPr>
                <w:rFonts w:cstheme="minorHAnsi"/>
              </w:rPr>
              <w:t>kolejowa</w:t>
            </w:r>
            <w:r>
              <w:rPr>
                <w:rFonts w:cstheme="minorHAnsi"/>
              </w:rPr>
              <w:t xml:space="preserve"> </w:t>
            </w:r>
            <w:r w:rsidR="00224658" w:rsidRPr="00A26C26">
              <w:rPr>
                <w:rFonts w:cstheme="minorHAnsi"/>
              </w:rPr>
              <w:t>(Berlin/Poznań</w:t>
            </w:r>
            <w:r>
              <w:rPr>
                <w:rFonts w:cstheme="minorHAnsi"/>
              </w:rPr>
              <w:t xml:space="preserve"> </w:t>
            </w:r>
            <w:r w:rsidR="00224658" w:rsidRPr="00A26C26">
              <w:rPr>
                <w:rFonts w:cstheme="minorHAnsi"/>
              </w:rPr>
              <w:t>-W-</w:t>
            </w:r>
            <w:proofErr w:type="spellStart"/>
            <w:r w:rsidR="00224658" w:rsidRPr="00A26C26">
              <w:rPr>
                <w:rFonts w:cstheme="minorHAnsi"/>
              </w:rPr>
              <w:t>wa</w:t>
            </w:r>
            <w:proofErr w:type="spellEnd"/>
            <w:r w:rsidR="00224658" w:rsidRPr="00A26C26">
              <w:rPr>
                <w:rFonts w:cstheme="minorHAnsi"/>
              </w:rPr>
              <w:t>)</w:t>
            </w:r>
          </w:p>
        </w:tc>
        <w:tc>
          <w:tcPr>
            <w:tcW w:w="5101" w:type="dxa"/>
          </w:tcPr>
          <w:p w14:paraId="7B1D5C67" w14:textId="518149E4" w:rsidR="00224658" w:rsidRPr="00A26C26" w:rsidRDefault="00224658" w:rsidP="00A26C26">
            <w:pPr>
              <w:spacing w:line="276" w:lineRule="auto"/>
              <w:rPr>
                <w:rFonts w:cstheme="minorHAnsi"/>
              </w:rPr>
            </w:pPr>
            <w:r w:rsidRPr="00A26C26">
              <w:rPr>
                <w:rFonts w:cstheme="minorHAnsi"/>
              </w:rPr>
              <w:t>Niewielka</w:t>
            </w:r>
            <w:r w:rsidR="003B50ED">
              <w:rPr>
                <w:rFonts w:cstheme="minorHAnsi"/>
              </w:rPr>
              <w:t xml:space="preserve"> </w:t>
            </w:r>
            <w:r w:rsidRPr="00A26C26">
              <w:rPr>
                <w:rFonts w:cstheme="minorHAnsi"/>
              </w:rPr>
              <w:t>ilość</w:t>
            </w:r>
            <w:r w:rsidR="003B50ED">
              <w:rPr>
                <w:rFonts w:cstheme="minorHAnsi"/>
              </w:rPr>
              <w:t xml:space="preserve"> </w:t>
            </w:r>
            <w:r w:rsidRPr="00A26C26">
              <w:rPr>
                <w:rFonts w:cstheme="minorHAnsi"/>
              </w:rPr>
              <w:t>podmiotów</w:t>
            </w:r>
            <w:r w:rsidR="003B50ED">
              <w:rPr>
                <w:rFonts w:cstheme="minorHAnsi"/>
              </w:rPr>
              <w:t xml:space="preserve"> </w:t>
            </w:r>
            <w:r w:rsidRPr="00A26C26">
              <w:rPr>
                <w:rFonts w:cstheme="minorHAnsi"/>
              </w:rPr>
              <w:t>turystycznych</w:t>
            </w:r>
          </w:p>
        </w:tc>
      </w:tr>
      <w:tr w:rsidR="00224658" w:rsidRPr="00A26C26" w14:paraId="5A47B95D" w14:textId="77777777" w:rsidTr="007F1E76">
        <w:trPr>
          <w:trHeight w:val="249"/>
        </w:trPr>
        <w:tc>
          <w:tcPr>
            <w:tcW w:w="5100" w:type="dxa"/>
          </w:tcPr>
          <w:p w14:paraId="255CD1FF" w14:textId="1C91F0D6" w:rsidR="00224658" w:rsidRPr="00A26C26" w:rsidRDefault="00224658" w:rsidP="00A26C26">
            <w:pPr>
              <w:spacing w:line="276" w:lineRule="auto"/>
              <w:rPr>
                <w:rFonts w:cstheme="minorHAnsi"/>
              </w:rPr>
            </w:pPr>
            <w:r w:rsidRPr="00A26C26">
              <w:rPr>
                <w:rFonts w:cstheme="minorHAnsi"/>
              </w:rPr>
              <w:t>Szlaki</w:t>
            </w:r>
            <w:r w:rsidR="003B50ED">
              <w:rPr>
                <w:rFonts w:cstheme="minorHAnsi"/>
              </w:rPr>
              <w:t xml:space="preserve"> </w:t>
            </w:r>
            <w:r w:rsidRPr="00A26C26">
              <w:rPr>
                <w:rFonts w:cstheme="minorHAnsi"/>
              </w:rPr>
              <w:t>turystyczne,</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tym</w:t>
            </w:r>
            <w:r w:rsidR="003B50ED">
              <w:rPr>
                <w:rFonts w:cstheme="minorHAnsi"/>
              </w:rPr>
              <w:t xml:space="preserve"> </w:t>
            </w:r>
            <w:r w:rsidRPr="00A26C26">
              <w:rPr>
                <w:rFonts w:cstheme="minorHAnsi"/>
              </w:rPr>
              <w:t>markowe:</w:t>
            </w:r>
            <w:r w:rsidR="003B50ED">
              <w:rPr>
                <w:rFonts w:cstheme="minorHAnsi"/>
              </w:rPr>
              <w:t xml:space="preserve"> </w:t>
            </w:r>
            <w:r w:rsidRPr="00A26C26">
              <w:rPr>
                <w:rFonts w:cstheme="minorHAnsi"/>
              </w:rPr>
              <w:t>Bursztynowy,</w:t>
            </w:r>
            <w:r w:rsidR="003B50ED">
              <w:rPr>
                <w:rFonts w:cstheme="minorHAnsi"/>
              </w:rPr>
              <w:t xml:space="preserve"> </w:t>
            </w:r>
            <w:r w:rsidRPr="00A26C26">
              <w:rPr>
                <w:rFonts w:cstheme="minorHAnsi"/>
              </w:rPr>
              <w:t>Romański,</w:t>
            </w:r>
            <w:r w:rsidR="003B50ED">
              <w:rPr>
                <w:rFonts w:cstheme="minorHAnsi"/>
              </w:rPr>
              <w:t xml:space="preserve"> </w:t>
            </w:r>
            <w:r w:rsidRPr="00A26C26">
              <w:rPr>
                <w:rFonts w:cstheme="minorHAnsi"/>
              </w:rPr>
              <w:t>Ułański</w:t>
            </w:r>
          </w:p>
        </w:tc>
        <w:tc>
          <w:tcPr>
            <w:tcW w:w="5101" w:type="dxa"/>
          </w:tcPr>
          <w:p w14:paraId="74F0F083" w14:textId="5C8A1EA6" w:rsidR="00224658" w:rsidRPr="00A26C26" w:rsidRDefault="00224658" w:rsidP="00A26C26">
            <w:pPr>
              <w:spacing w:line="276" w:lineRule="auto"/>
              <w:rPr>
                <w:rFonts w:cstheme="minorHAnsi"/>
              </w:rPr>
            </w:pPr>
            <w:r w:rsidRPr="00A26C26">
              <w:rPr>
                <w:rFonts w:cstheme="minorHAnsi"/>
              </w:rPr>
              <w:t>Ucieczka</w:t>
            </w:r>
            <w:r w:rsidR="003B50ED">
              <w:rPr>
                <w:rFonts w:cstheme="minorHAnsi"/>
              </w:rPr>
              <w:t xml:space="preserve"> </w:t>
            </w:r>
            <w:r w:rsidRPr="00A26C26">
              <w:rPr>
                <w:rFonts w:cstheme="minorHAnsi"/>
              </w:rPr>
              <w:t>ze</w:t>
            </w:r>
            <w:r w:rsidR="003B50ED">
              <w:rPr>
                <w:rFonts w:cstheme="minorHAnsi"/>
              </w:rPr>
              <w:t xml:space="preserve"> </w:t>
            </w:r>
            <w:r w:rsidRPr="00A26C26">
              <w:rPr>
                <w:rFonts w:cstheme="minorHAnsi"/>
              </w:rPr>
              <w:t>wsi</w:t>
            </w:r>
            <w:r w:rsidR="003B50ED">
              <w:rPr>
                <w:rFonts w:cstheme="minorHAnsi"/>
              </w:rPr>
              <w:t xml:space="preserve"> </w:t>
            </w:r>
            <w:r w:rsidRPr="00A26C26">
              <w:rPr>
                <w:rFonts w:cstheme="minorHAnsi"/>
              </w:rPr>
              <w:t>młodych,</w:t>
            </w:r>
            <w:r w:rsidR="003B50ED">
              <w:rPr>
                <w:rFonts w:cstheme="minorHAnsi"/>
              </w:rPr>
              <w:t xml:space="preserve"> </w:t>
            </w:r>
            <w:r w:rsidRPr="00A26C26">
              <w:rPr>
                <w:rFonts w:cstheme="minorHAnsi"/>
              </w:rPr>
              <w:t>wykształconych</w:t>
            </w:r>
            <w:r w:rsidR="003B50ED">
              <w:rPr>
                <w:rFonts w:cstheme="minorHAnsi"/>
              </w:rPr>
              <w:t xml:space="preserve"> </w:t>
            </w:r>
            <w:r w:rsidRPr="00A26C26">
              <w:rPr>
                <w:rFonts w:cstheme="minorHAnsi"/>
              </w:rPr>
              <w:t>osób</w:t>
            </w:r>
          </w:p>
        </w:tc>
      </w:tr>
      <w:tr w:rsidR="00224658" w:rsidRPr="00A26C26" w14:paraId="5EE4345A" w14:textId="77777777" w:rsidTr="007F1E76">
        <w:trPr>
          <w:trHeight w:val="249"/>
        </w:trPr>
        <w:tc>
          <w:tcPr>
            <w:tcW w:w="5100" w:type="dxa"/>
          </w:tcPr>
          <w:p w14:paraId="0C9F14A8" w14:textId="07459E91" w:rsidR="00224658" w:rsidRPr="00A26C26" w:rsidRDefault="00224658" w:rsidP="00A26C26">
            <w:pPr>
              <w:spacing w:line="276" w:lineRule="auto"/>
              <w:rPr>
                <w:rFonts w:cstheme="minorHAnsi"/>
              </w:rPr>
            </w:pPr>
            <w:r w:rsidRPr="00A26C26">
              <w:rPr>
                <w:rFonts w:cstheme="minorHAnsi"/>
              </w:rPr>
              <w:t>Położenie</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trasie</w:t>
            </w:r>
            <w:r w:rsidR="003B50ED">
              <w:rPr>
                <w:rFonts w:cstheme="minorHAnsi"/>
              </w:rPr>
              <w:t xml:space="preserve"> </w:t>
            </w:r>
            <w:r w:rsidRPr="00A26C26">
              <w:rPr>
                <w:rFonts w:cstheme="minorHAnsi"/>
              </w:rPr>
              <w:t>Wielkiej</w:t>
            </w:r>
            <w:r w:rsidR="003B50ED">
              <w:rPr>
                <w:rFonts w:cstheme="minorHAnsi"/>
              </w:rPr>
              <w:t xml:space="preserve"> </w:t>
            </w:r>
            <w:r w:rsidRPr="00A26C26">
              <w:rPr>
                <w:rFonts w:cstheme="minorHAnsi"/>
              </w:rPr>
              <w:t>Pętli</w:t>
            </w:r>
            <w:r w:rsidR="003B50ED">
              <w:rPr>
                <w:rFonts w:cstheme="minorHAnsi"/>
              </w:rPr>
              <w:t xml:space="preserve"> </w:t>
            </w:r>
            <w:r w:rsidRPr="00A26C26">
              <w:rPr>
                <w:rFonts w:cstheme="minorHAnsi"/>
              </w:rPr>
              <w:t>Wielkopolski</w:t>
            </w:r>
          </w:p>
        </w:tc>
        <w:tc>
          <w:tcPr>
            <w:tcW w:w="5101" w:type="dxa"/>
          </w:tcPr>
          <w:p w14:paraId="4DE82BC6" w14:textId="27DC68B0" w:rsidR="00224658" w:rsidRPr="00A26C26" w:rsidRDefault="00224658" w:rsidP="00A26C26">
            <w:pPr>
              <w:spacing w:line="276" w:lineRule="auto"/>
              <w:rPr>
                <w:rFonts w:cstheme="minorHAnsi"/>
              </w:rPr>
            </w:pPr>
            <w:r w:rsidRPr="00A26C26">
              <w:rPr>
                <w:rFonts w:cstheme="minorHAnsi"/>
              </w:rPr>
              <w:t>Niedostateczne</w:t>
            </w:r>
            <w:r w:rsidR="003B50ED">
              <w:rPr>
                <w:rFonts w:cstheme="minorHAnsi"/>
              </w:rPr>
              <w:t xml:space="preserve"> </w:t>
            </w:r>
            <w:r w:rsidRPr="00A26C26">
              <w:rPr>
                <w:rFonts w:cstheme="minorHAnsi"/>
              </w:rPr>
              <w:t>zróżnicowanie</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infrastrukturze</w:t>
            </w:r>
            <w:r w:rsidR="003B50ED">
              <w:rPr>
                <w:rFonts w:cstheme="minorHAnsi"/>
              </w:rPr>
              <w:t xml:space="preserve"> </w:t>
            </w:r>
            <w:r w:rsidRPr="00A26C26">
              <w:rPr>
                <w:rFonts w:cstheme="minorHAnsi"/>
              </w:rPr>
              <w:t>turystycznej</w:t>
            </w:r>
          </w:p>
        </w:tc>
      </w:tr>
      <w:tr w:rsidR="00224658" w:rsidRPr="00A26C26" w14:paraId="25BC05B3" w14:textId="77777777" w:rsidTr="007F1E76">
        <w:trPr>
          <w:trHeight w:val="249"/>
        </w:trPr>
        <w:tc>
          <w:tcPr>
            <w:tcW w:w="5100" w:type="dxa"/>
          </w:tcPr>
          <w:p w14:paraId="73B95056" w14:textId="17CF10C9" w:rsidR="00224658" w:rsidRPr="00A26C26" w:rsidRDefault="00224658" w:rsidP="00A26C26">
            <w:pPr>
              <w:spacing w:line="276" w:lineRule="auto"/>
              <w:rPr>
                <w:rFonts w:cstheme="minorHAnsi"/>
              </w:rPr>
            </w:pPr>
            <w:r w:rsidRPr="00A26C26">
              <w:rPr>
                <w:rFonts w:cstheme="minorHAnsi"/>
              </w:rPr>
              <w:t>Dobry</w:t>
            </w:r>
            <w:r w:rsidR="003B50ED">
              <w:rPr>
                <w:rFonts w:cstheme="minorHAnsi"/>
              </w:rPr>
              <w:t xml:space="preserve"> </w:t>
            </w:r>
            <w:r w:rsidRPr="00A26C26">
              <w:rPr>
                <w:rFonts w:cstheme="minorHAnsi"/>
              </w:rPr>
              <w:t>stan</w:t>
            </w:r>
            <w:r w:rsidR="003B50ED">
              <w:rPr>
                <w:rFonts w:cstheme="minorHAnsi"/>
              </w:rPr>
              <w:t xml:space="preserve"> </w:t>
            </w:r>
            <w:r w:rsidRPr="00A26C26">
              <w:rPr>
                <w:rFonts w:cstheme="minorHAnsi"/>
              </w:rPr>
              <w:t>środowiska</w:t>
            </w:r>
            <w:r w:rsidR="003B50ED">
              <w:rPr>
                <w:rFonts w:cstheme="minorHAnsi"/>
              </w:rPr>
              <w:t xml:space="preserve"> </w:t>
            </w:r>
            <w:r w:rsidRPr="00A26C26">
              <w:rPr>
                <w:rFonts w:cstheme="minorHAnsi"/>
              </w:rPr>
              <w:t>naturalnego</w:t>
            </w:r>
          </w:p>
        </w:tc>
        <w:tc>
          <w:tcPr>
            <w:tcW w:w="5101" w:type="dxa"/>
          </w:tcPr>
          <w:p w14:paraId="274BE5CF" w14:textId="74C246F9" w:rsidR="00224658" w:rsidRPr="00A26C26" w:rsidRDefault="00224658" w:rsidP="00A26C26">
            <w:pPr>
              <w:spacing w:line="276" w:lineRule="auto"/>
              <w:rPr>
                <w:rFonts w:cstheme="minorHAnsi"/>
              </w:rPr>
            </w:pPr>
            <w:r w:rsidRPr="00A26C26">
              <w:rPr>
                <w:rFonts w:cstheme="minorHAnsi"/>
              </w:rPr>
              <w:t>Zaniedbane</w:t>
            </w:r>
            <w:r w:rsidR="003B50ED">
              <w:rPr>
                <w:rFonts w:cstheme="minorHAnsi"/>
              </w:rPr>
              <w:t xml:space="preserve"> </w:t>
            </w:r>
            <w:r w:rsidRPr="00A26C26">
              <w:rPr>
                <w:rFonts w:cstheme="minorHAnsi"/>
              </w:rPr>
              <w:t>obiekty</w:t>
            </w:r>
            <w:r w:rsidR="003B50ED">
              <w:rPr>
                <w:rFonts w:cstheme="minorHAnsi"/>
              </w:rPr>
              <w:t xml:space="preserve"> </w:t>
            </w:r>
            <w:r w:rsidRPr="00A26C26">
              <w:rPr>
                <w:rFonts w:cstheme="minorHAnsi"/>
              </w:rPr>
              <w:t>zabytkowe</w:t>
            </w:r>
          </w:p>
        </w:tc>
      </w:tr>
      <w:tr w:rsidR="00224658" w:rsidRPr="00A26C26" w14:paraId="687C1FD0" w14:textId="77777777" w:rsidTr="007F1E76">
        <w:trPr>
          <w:trHeight w:val="249"/>
        </w:trPr>
        <w:tc>
          <w:tcPr>
            <w:tcW w:w="5100" w:type="dxa"/>
          </w:tcPr>
          <w:p w14:paraId="39337327" w14:textId="06FD141B" w:rsidR="00224658" w:rsidRPr="00A26C26" w:rsidRDefault="00224658" w:rsidP="00A26C26">
            <w:pPr>
              <w:spacing w:line="276" w:lineRule="auto"/>
              <w:rPr>
                <w:rFonts w:cstheme="minorHAnsi"/>
              </w:rPr>
            </w:pPr>
            <w:r w:rsidRPr="00A26C26">
              <w:rPr>
                <w:rFonts w:cstheme="minorHAnsi"/>
              </w:rPr>
              <w:t>Zachowany</w:t>
            </w:r>
            <w:r w:rsidR="003B50ED">
              <w:rPr>
                <w:rFonts w:cstheme="minorHAnsi"/>
              </w:rPr>
              <w:t xml:space="preserve"> </w:t>
            </w:r>
            <w:r w:rsidRPr="00A26C26">
              <w:rPr>
                <w:rFonts w:cstheme="minorHAnsi"/>
              </w:rPr>
              <w:t>krajobraz</w:t>
            </w:r>
            <w:r w:rsidR="003B50ED">
              <w:rPr>
                <w:rFonts w:cstheme="minorHAnsi"/>
              </w:rPr>
              <w:t xml:space="preserve"> </w:t>
            </w:r>
            <w:r w:rsidRPr="00A26C26">
              <w:rPr>
                <w:rFonts w:cstheme="minorHAnsi"/>
              </w:rPr>
              <w:t>wiejski</w:t>
            </w:r>
          </w:p>
        </w:tc>
        <w:tc>
          <w:tcPr>
            <w:tcW w:w="5101" w:type="dxa"/>
          </w:tcPr>
          <w:p w14:paraId="05D571D1" w14:textId="2D14CC78" w:rsidR="00224658" w:rsidRPr="00A26C26" w:rsidRDefault="00224658" w:rsidP="00A26C26">
            <w:pPr>
              <w:spacing w:line="276" w:lineRule="auto"/>
              <w:rPr>
                <w:rFonts w:cstheme="minorHAnsi"/>
              </w:rPr>
            </w:pPr>
            <w:r w:rsidRPr="00A26C26">
              <w:rPr>
                <w:rFonts w:cstheme="minorHAnsi"/>
              </w:rPr>
              <w:t>Mała</w:t>
            </w:r>
            <w:r w:rsidR="003B50ED">
              <w:rPr>
                <w:rFonts w:cstheme="minorHAnsi"/>
              </w:rPr>
              <w:t xml:space="preserve"> </w:t>
            </w:r>
            <w:r w:rsidRPr="00A26C26">
              <w:rPr>
                <w:rFonts w:cstheme="minorHAnsi"/>
              </w:rPr>
              <w:t>ilość</w:t>
            </w:r>
            <w:r w:rsidR="003B50ED">
              <w:rPr>
                <w:rFonts w:cstheme="minorHAnsi"/>
              </w:rPr>
              <w:t xml:space="preserve"> </w:t>
            </w:r>
            <w:r w:rsidRPr="00A26C26">
              <w:rPr>
                <w:rFonts w:cstheme="minorHAnsi"/>
              </w:rPr>
              <w:t>obiektów</w:t>
            </w:r>
            <w:r w:rsidR="003B50ED">
              <w:rPr>
                <w:rFonts w:cstheme="minorHAnsi"/>
              </w:rPr>
              <w:t xml:space="preserve"> </w:t>
            </w:r>
            <w:r w:rsidRPr="00A26C26">
              <w:rPr>
                <w:rFonts w:cstheme="minorHAnsi"/>
              </w:rPr>
              <w:t>sportowo-</w:t>
            </w:r>
            <w:r w:rsidR="003B50ED">
              <w:rPr>
                <w:rFonts w:cstheme="minorHAnsi"/>
              </w:rPr>
              <w:t xml:space="preserve"> </w:t>
            </w:r>
            <w:r w:rsidRPr="00A26C26">
              <w:rPr>
                <w:rFonts w:cstheme="minorHAnsi"/>
              </w:rPr>
              <w:t>rekreacyjnych</w:t>
            </w:r>
          </w:p>
        </w:tc>
      </w:tr>
      <w:tr w:rsidR="00224658" w:rsidRPr="00A26C26" w14:paraId="1C3B23E9" w14:textId="77777777" w:rsidTr="007F1E76">
        <w:trPr>
          <w:trHeight w:val="249"/>
        </w:trPr>
        <w:tc>
          <w:tcPr>
            <w:tcW w:w="5100" w:type="dxa"/>
          </w:tcPr>
          <w:p w14:paraId="7CDD53F0" w14:textId="7730022C" w:rsidR="00224658" w:rsidRPr="00A26C26" w:rsidRDefault="00224658" w:rsidP="00A26C26">
            <w:pPr>
              <w:spacing w:line="276" w:lineRule="auto"/>
              <w:rPr>
                <w:rFonts w:cstheme="minorHAnsi"/>
              </w:rPr>
            </w:pPr>
            <w:r w:rsidRPr="00A26C26">
              <w:rPr>
                <w:rFonts w:cstheme="minorHAnsi"/>
              </w:rPr>
              <w:t>Walory</w:t>
            </w:r>
            <w:r w:rsidR="003B50ED">
              <w:rPr>
                <w:rFonts w:cstheme="minorHAnsi"/>
              </w:rPr>
              <w:t xml:space="preserve"> </w:t>
            </w:r>
            <w:r w:rsidRPr="00A26C26">
              <w:rPr>
                <w:rFonts w:cstheme="minorHAnsi"/>
              </w:rPr>
              <w:t>naturalne:</w:t>
            </w:r>
            <w:r w:rsidR="003B50ED">
              <w:rPr>
                <w:rFonts w:cstheme="minorHAnsi"/>
              </w:rPr>
              <w:t xml:space="preserve"> </w:t>
            </w:r>
            <w:r w:rsidRPr="00A26C26">
              <w:rPr>
                <w:rFonts w:cstheme="minorHAnsi"/>
              </w:rPr>
              <w:t>Rzeka</w:t>
            </w:r>
            <w:r w:rsidR="003B50ED">
              <w:rPr>
                <w:rFonts w:cstheme="minorHAnsi"/>
              </w:rPr>
              <w:t xml:space="preserve"> </w:t>
            </w:r>
            <w:r w:rsidRPr="00A26C26">
              <w:rPr>
                <w:rFonts w:cstheme="minorHAnsi"/>
              </w:rPr>
              <w:t>Warta,</w:t>
            </w:r>
            <w:r w:rsidR="003B50ED">
              <w:rPr>
                <w:rFonts w:cstheme="minorHAnsi"/>
              </w:rPr>
              <w:t xml:space="preserve"> </w:t>
            </w:r>
            <w:r w:rsidRPr="00A26C26">
              <w:rPr>
                <w:rFonts w:cstheme="minorHAnsi"/>
              </w:rPr>
              <w:t>zbiornik</w:t>
            </w:r>
            <w:r w:rsidR="003B50ED">
              <w:rPr>
                <w:rFonts w:cstheme="minorHAnsi"/>
              </w:rPr>
              <w:t xml:space="preserve"> </w:t>
            </w:r>
            <w:r w:rsidRPr="00A26C26">
              <w:rPr>
                <w:rFonts w:cstheme="minorHAnsi"/>
              </w:rPr>
              <w:t>retencyjno-rekreacyjny</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rzece</w:t>
            </w:r>
            <w:r w:rsidR="003B50ED">
              <w:rPr>
                <w:rFonts w:cstheme="minorHAnsi"/>
              </w:rPr>
              <w:t xml:space="preserve"> </w:t>
            </w:r>
            <w:r w:rsidRPr="00A26C26">
              <w:rPr>
                <w:rFonts w:cstheme="minorHAnsi"/>
              </w:rPr>
              <w:t>Powie;</w:t>
            </w:r>
            <w:r w:rsidR="003B50ED">
              <w:rPr>
                <w:rFonts w:cstheme="minorHAnsi"/>
              </w:rPr>
              <w:t xml:space="preserve"> </w:t>
            </w:r>
            <w:r w:rsidRPr="00A26C26">
              <w:rPr>
                <w:rFonts w:cstheme="minorHAnsi"/>
              </w:rPr>
              <w:t>liczne</w:t>
            </w:r>
            <w:r w:rsidR="003B50ED">
              <w:rPr>
                <w:rFonts w:cstheme="minorHAnsi"/>
              </w:rPr>
              <w:t xml:space="preserve"> </w:t>
            </w:r>
            <w:r w:rsidRPr="00A26C26">
              <w:rPr>
                <w:rFonts w:cstheme="minorHAnsi"/>
              </w:rPr>
              <w:t>obszary</w:t>
            </w:r>
            <w:r w:rsidR="003B50ED">
              <w:rPr>
                <w:rFonts w:cstheme="minorHAnsi"/>
              </w:rPr>
              <w:t xml:space="preserve"> </w:t>
            </w:r>
            <w:r w:rsidRPr="00A26C26">
              <w:rPr>
                <w:rFonts w:cstheme="minorHAnsi"/>
              </w:rPr>
              <w:t>przyrodniczo</w:t>
            </w:r>
            <w:r w:rsidR="003B50ED">
              <w:rPr>
                <w:rFonts w:cstheme="minorHAnsi"/>
              </w:rPr>
              <w:t xml:space="preserve"> </w:t>
            </w:r>
            <w:r w:rsidRPr="00A26C26">
              <w:rPr>
                <w:rFonts w:cstheme="minorHAnsi"/>
              </w:rPr>
              <w:t>cenne</w:t>
            </w:r>
            <w:r w:rsidR="003B50ED">
              <w:rPr>
                <w:rFonts w:cstheme="minorHAnsi"/>
              </w:rPr>
              <w:t xml:space="preserve"> </w:t>
            </w:r>
            <w:r w:rsidRPr="00A26C26">
              <w:rPr>
                <w:rFonts w:cstheme="minorHAnsi"/>
              </w:rPr>
              <w:t>(np.</w:t>
            </w:r>
            <w:r w:rsidR="003B50ED">
              <w:rPr>
                <w:rFonts w:cstheme="minorHAnsi"/>
              </w:rPr>
              <w:t xml:space="preserve"> </w:t>
            </w:r>
            <w:r w:rsidRPr="00A26C26">
              <w:rPr>
                <w:rFonts w:cstheme="minorHAnsi"/>
              </w:rPr>
              <w:t>NATURA</w:t>
            </w:r>
            <w:r w:rsidR="003B50ED">
              <w:rPr>
                <w:rFonts w:cstheme="minorHAnsi"/>
              </w:rPr>
              <w:t xml:space="preserve"> </w:t>
            </w:r>
            <w:r w:rsidRPr="00A26C26">
              <w:rPr>
                <w:rFonts w:cstheme="minorHAnsi"/>
              </w:rPr>
              <w:t>2000,</w:t>
            </w:r>
            <w:r w:rsidR="003B50ED">
              <w:rPr>
                <w:rFonts w:cstheme="minorHAnsi"/>
              </w:rPr>
              <w:t xml:space="preserve"> </w:t>
            </w:r>
            <w:r w:rsidRPr="00A26C26">
              <w:rPr>
                <w:rFonts w:cstheme="minorHAnsi"/>
              </w:rPr>
              <w:t>Nadwarciański</w:t>
            </w:r>
            <w:r w:rsidR="003B50ED">
              <w:rPr>
                <w:rFonts w:cstheme="minorHAnsi"/>
              </w:rPr>
              <w:t xml:space="preserve"> </w:t>
            </w:r>
            <w:r w:rsidRPr="00A26C26">
              <w:rPr>
                <w:rFonts w:cstheme="minorHAnsi"/>
              </w:rPr>
              <w:t>Park</w:t>
            </w:r>
            <w:r w:rsidR="003B50ED">
              <w:rPr>
                <w:rFonts w:cstheme="minorHAnsi"/>
              </w:rPr>
              <w:t xml:space="preserve"> </w:t>
            </w:r>
            <w:r w:rsidRPr="00A26C26">
              <w:rPr>
                <w:rFonts w:cstheme="minorHAnsi"/>
              </w:rPr>
              <w:t>Krajobrazowy),</w:t>
            </w:r>
            <w:r w:rsidR="003B50ED">
              <w:rPr>
                <w:rFonts w:cstheme="minorHAnsi"/>
              </w:rPr>
              <w:t xml:space="preserve"> </w:t>
            </w:r>
            <w:r w:rsidRPr="00A26C26">
              <w:rPr>
                <w:rFonts w:cstheme="minorHAnsi"/>
              </w:rPr>
              <w:t>wysoka</w:t>
            </w:r>
            <w:r w:rsidR="003B50ED">
              <w:rPr>
                <w:rFonts w:cstheme="minorHAnsi"/>
              </w:rPr>
              <w:t xml:space="preserve"> </w:t>
            </w:r>
            <w:r w:rsidRPr="00A26C26">
              <w:rPr>
                <w:rFonts w:cstheme="minorHAnsi"/>
              </w:rPr>
              <w:t>lesistość;</w:t>
            </w:r>
            <w:r w:rsidR="003B50ED">
              <w:rPr>
                <w:rFonts w:cstheme="minorHAnsi"/>
              </w:rPr>
              <w:t xml:space="preserve"> </w:t>
            </w:r>
            <w:r w:rsidRPr="00A26C26">
              <w:rPr>
                <w:rFonts w:cstheme="minorHAnsi"/>
              </w:rPr>
              <w:t>Siedliska</w:t>
            </w:r>
            <w:r w:rsidR="003B50ED">
              <w:rPr>
                <w:rFonts w:cstheme="minorHAnsi"/>
              </w:rPr>
              <w:t xml:space="preserve"> </w:t>
            </w:r>
            <w:r w:rsidRPr="00A26C26">
              <w:rPr>
                <w:rFonts w:cstheme="minorHAnsi"/>
              </w:rPr>
              <w:lastRenderedPageBreak/>
              <w:t>ptactwa</w:t>
            </w:r>
            <w:r w:rsidR="003B50ED">
              <w:rPr>
                <w:rFonts w:cstheme="minorHAnsi"/>
              </w:rPr>
              <w:t xml:space="preserve"> </w:t>
            </w:r>
            <w:r w:rsidRPr="00A26C26">
              <w:rPr>
                <w:rFonts w:cstheme="minorHAnsi"/>
              </w:rPr>
              <w:t>(krzyk)</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innej</w:t>
            </w:r>
            <w:r w:rsidR="003B50ED">
              <w:rPr>
                <w:rFonts w:cstheme="minorHAnsi"/>
              </w:rPr>
              <w:t xml:space="preserve"> </w:t>
            </w:r>
            <w:r w:rsidRPr="00A26C26">
              <w:rPr>
                <w:rFonts w:cstheme="minorHAnsi"/>
              </w:rPr>
              <w:t>zwierzyny</w:t>
            </w:r>
            <w:r w:rsidR="003B50ED">
              <w:rPr>
                <w:rFonts w:cstheme="minorHAnsi"/>
              </w:rPr>
              <w:t xml:space="preserve"> </w:t>
            </w:r>
            <w:r w:rsidRPr="00A26C26">
              <w:rPr>
                <w:rFonts w:cstheme="minorHAnsi"/>
              </w:rPr>
              <w:t>(jelenie,</w:t>
            </w:r>
            <w:r w:rsidR="003B50ED">
              <w:rPr>
                <w:rFonts w:cstheme="minorHAnsi"/>
              </w:rPr>
              <w:t xml:space="preserve"> </w:t>
            </w:r>
            <w:r w:rsidRPr="00A26C26">
              <w:rPr>
                <w:rFonts w:cstheme="minorHAnsi"/>
              </w:rPr>
              <w:t>łosie)</w:t>
            </w:r>
          </w:p>
        </w:tc>
        <w:tc>
          <w:tcPr>
            <w:tcW w:w="5101" w:type="dxa"/>
          </w:tcPr>
          <w:p w14:paraId="51EA152C" w14:textId="7761EB5A" w:rsidR="00224658" w:rsidRPr="00A26C26" w:rsidRDefault="00224658" w:rsidP="00A26C26">
            <w:pPr>
              <w:spacing w:line="276" w:lineRule="auto"/>
              <w:rPr>
                <w:rFonts w:cstheme="minorHAnsi"/>
              </w:rPr>
            </w:pPr>
            <w:r w:rsidRPr="00A26C26">
              <w:rPr>
                <w:rFonts w:cstheme="minorHAnsi"/>
              </w:rPr>
              <w:lastRenderedPageBreak/>
              <w:t>Słabo</w:t>
            </w:r>
            <w:r w:rsidR="003B50ED">
              <w:rPr>
                <w:rFonts w:cstheme="minorHAnsi"/>
              </w:rPr>
              <w:t xml:space="preserve"> </w:t>
            </w:r>
            <w:r w:rsidRPr="00A26C26">
              <w:rPr>
                <w:rFonts w:cstheme="minorHAnsi"/>
              </w:rPr>
              <w:t>wyposażone</w:t>
            </w:r>
            <w:r w:rsidR="003B50ED">
              <w:rPr>
                <w:rFonts w:cstheme="minorHAnsi"/>
              </w:rPr>
              <w:t xml:space="preserve"> </w:t>
            </w:r>
            <w:r w:rsidRPr="00A26C26">
              <w:rPr>
                <w:rFonts w:cstheme="minorHAnsi"/>
              </w:rPr>
              <w:t>obiekty</w:t>
            </w:r>
            <w:r w:rsidR="003B50ED">
              <w:rPr>
                <w:rFonts w:cstheme="minorHAnsi"/>
              </w:rPr>
              <w:t xml:space="preserve"> </w:t>
            </w:r>
            <w:r w:rsidRPr="00A26C26">
              <w:rPr>
                <w:rFonts w:cstheme="minorHAnsi"/>
              </w:rPr>
              <w:t>edukacyjne</w:t>
            </w:r>
          </w:p>
        </w:tc>
      </w:tr>
      <w:tr w:rsidR="00224658" w:rsidRPr="00A26C26" w14:paraId="61E9DFF3" w14:textId="77777777" w:rsidTr="007F1E76">
        <w:trPr>
          <w:trHeight w:val="249"/>
        </w:trPr>
        <w:tc>
          <w:tcPr>
            <w:tcW w:w="5100" w:type="dxa"/>
          </w:tcPr>
          <w:p w14:paraId="23DD5CD7" w14:textId="1EEE6310" w:rsidR="00224658" w:rsidRPr="00A26C26" w:rsidRDefault="00224658" w:rsidP="00A26C26">
            <w:pPr>
              <w:spacing w:line="276" w:lineRule="auto"/>
              <w:rPr>
                <w:rFonts w:cstheme="minorHAnsi"/>
              </w:rPr>
            </w:pPr>
            <w:r w:rsidRPr="00A26C26">
              <w:rPr>
                <w:rFonts w:cstheme="minorHAnsi"/>
              </w:rPr>
              <w:lastRenderedPageBreak/>
              <w:t>Ośrodek</w:t>
            </w:r>
            <w:r w:rsidR="003B50ED">
              <w:rPr>
                <w:rFonts w:cstheme="minorHAnsi"/>
              </w:rPr>
              <w:t xml:space="preserve"> </w:t>
            </w:r>
            <w:r w:rsidRPr="00A26C26">
              <w:rPr>
                <w:rFonts w:cstheme="minorHAnsi"/>
              </w:rPr>
              <w:t>Edukacji</w:t>
            </w:r>
            <w:r w:rsidR="003B50ED">
              <w:rPr>
                <w:rFonts w:cstheme="minorHAnsi"/>
              </w:rPr>
              <w:t xml:space="preserve"> </w:t>
            </w:r>
            <w:r w:rsidRPr="00A26C26">
              <w:rPr>
                <w:rFonts w:cstheme="minorHAnsi"/>
              </w:rPr>
              <w:t>Leśnej</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Grodźcu</w:t>
            </w:r>
            <w:r w:rsidR="003B50ED">
              <w:rPr>
                <w:rFonts w:cstheme="minorHAnsi"/>
              </w:rPr>
              <w:t xml:space="preserve"> </w:t>
            </w:r>
            <w:r w:rsidRPr="00A26C26">
              <w:rPr>
                <w:rFonts w:cstheme="minorHAnsi"/>
              </w:rPr>
              <w:t>-</w:t>
            </w:r>
            <w:r w:rsidR="003B50ED">
              <w:rPr>
                <w:rFonts w:cstheme="minorHAnsi"/>
              </w:rPr>
              <w:t xml:space="preserve"> </w:t>
            </w:r>
            <w:r w:rsidRPr="00A26C26">
              <w:rPr>
                <w:rFonts w:cstheme="minorHAnsi"/>
              </w:rPr>
              <w:t>baza</w:t>
            </w:r>
            <w:r w:rsidR="003B50ED">
              <w:rPr>
                <w:rFonts w:cstheme="minorHAnsi"/>
              </w:rPr>
              <w:t xml:space="preserve"> </w:t>
            </w:r>
            <w:r w:rsidRPr="00A26C26">
              <w:rPr>
                <w:rFonts w:cstheme="minorHAnsi"/>
              </w:rPr>
              <w:t>edukacyjna</w:t>
            </w:r>
          </w:p>
        </w:tc>
        <w:tc>
          <w:tcPr>
            <w:tcW w:w="5101" w:type="dxa"/>
          </w:tcPr>
          <w:p w14:paraId="7E3F6A9C" w14:textId="6FBDEC8E" w:rsidR="00224658" w:rsidRPr="00A26C26" w:rsidRDefault="003B50ED" w:rsidP="00A26C26">
            <w:pPr>
              <w:spacing w:line="276" w:lineRule="auto"/>
              <w:rPr>
                <w:rFonts w:cstheme="minorHAnsi"/>
              </w:rPr>
            </w:pPr>
            <w:r>
              <w:rPr>
                <w:rFonts w:cstheme="minorHAnsi"/>
              </w:rPr>
              <w:t xml:space="preserve"> </w:t>
            </w:r>
            <w:r w:rsidR="00224658" w:rsidRPr="00A26C26">
              <w:rPr>
                <w:rFonts w:cstheme="minorHAnsi"/>
              </w:rPr>
              <w:t>Obiekty</w:t>
            </w:r>
            <w:r>
              <w:rPr>
                <w:rFonts w:cstheme="minorHAnsi"/>
              </w:rPr>
              <w:t xml:space="preserve"> </w:t>
            </w:r>
            <w:r w:rsidR="00224658" w:rsidRPr="00A26C26">
              <w:rPr>
                <w:rFonts w:cstheme="minorHAnsi"/>
              </w:rPr>
              <w:t>społeczno-kulturalne</w:t>
            </w:r>
            <w:r>
              <w:rPr>
                <w:rFonts w:cstheme="minorHAnsi"/>
              </w:rPr>
              <w:t xml:space="preserve"> </w:t>
            </w:r>
            <w:r w:rsidR="00224658" w:rsidRPr="00A26C26">
              <w:rPr>
                <w:rFonts w:cstheme="minorHAnsi"/>
              </w:rPr>
              <w:t>wymagające</w:t>
            </w:r>
            <w:r>
              <w:rPr>
                <w:rFonts w:cstheme="minorHAnsi"/>
              </w:rPr>
              <w:t xml:space="preserve"> </w:t>
            </w:r>
            <w:r w:rsidR="00224658" w:rsidRPr="00A26C26">
              <w:rPr>
                <w:rFonts w:cstheme="minorHAnsi"/>
              </w:rPr>
              <w:t>modernizacji</w:t>
            </w:r>
          </w:p>
        </w:tc>
      </w:tr>
      <w:tr w:rsidR="00224658" w:rsidRPr="00A26C26" w14:paraId="76FD7210" w14:textId="77777777" w:rsidTr="007F1E76">
        <w:trPr>
          <w:trHeight w:val="249"/>
        </w:trPr>
        <w:tc>
          <w:tcPr>
            <w:tcW w:w="5100" w:type="dxa"/>
          </w:tcPr>
          <w:p w14:paraId="64416217" w14:textId="6C7B2E7A" w:rsidR="00224658" w:rsidRPr="00A26C26" w:rsidRDefault="00224658" w:rsidP="00A26C26">
            <w:pPr>
              <w:spacing w:line="276" w:lineRule="auto"/>
              <w:rPr>
                <w:rFonts w:cstheme="minorHAnsi"/>
              </w:rPr>
            </w:pPr>
            <w:r w:rsidRPr="00A26C26">
              <w:rPr>
                <w:rFonts w:cstheme="minorHAnsi"/>
              </w:rPr>
              <w:t>Liczne</w:t>
            </w:r>
            <w:r w:rsidR="003B50ED">
              <w:rPr>
                <w:rFonts w:cstheme="minorHAnsi"/>
              </w:rPr>
              <w:t xml:space="preserve"> </w:t>
            </w:r>
            <w:r w:rsidRPr="00A26C26">
              <w:rPr>
                <w:rFonts w:cstheme="minorHAnsi"/>
              </w:rPr>
              <w:t>zabytki</w:t>
            </w:r>
            <w:r w:rsidR="003B50ED">
              <w:rPr>
                <w:rFonts w:cstheme="minorHAnsi"/>
              </w:rPr>
              <w:t xml:space="preserve"> </w:t>
            </w:r>
            <w:r w:rsidRPr="00A26C26">
              <w:rPr>
                <w:rFonts w:cstheme="minorHAnsi"/>
              </w:rPr>
              <w:t>historyczne</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miejsca</w:t>
            </w:r>
            <w:r w:rsidR="003B50ED">
              <w:rPr>
                <w:rFonts w:cstheme="minorHAnsi"/>
              </w:rPr>
              <w:t xml:space="preserve"> </w:t>
            </w:r>
            <w:r w:rsidRPr="00A26C26">
              <w:rPr>
                <w:rFonts w:cstheme="minorHAnsi"/>
              </w:rPr>
              <w:t>pamięci</w:t>
            </w:r>
          </w:p>
        </w:tc>
        <w:tc>
          <w:tcPr>
            <w:tcW w:w="5101" w:type="dxa"/>
          </w:tcPr>
          <w:p w14:paraId="3B5CED03" w14:textId="30E87773" w:rsidR="00224658" w:rsidRPr="00A26C26" w:rsidRDefault="00224658" w:rsidP="00A26C26">
            <w:pPr>
              <w:spacing w:line="276" w:lineRule="auto"/>
              <w:rPr>
                <w:rFonts w:cstheme="minorHAnsi"/>
              </w:rPr>
            </w:pPr>
            <w:r w:rsidRPr="00A26C26">
              <w:rPr>
                <w:rFonts w:cstheme="minorHAnsi"/>
              </w:rPr>
              <w:t>Ograniczona</w:t>
            </w:r>
            <w:r w:rsidR="003B50ED">
              <w:rPr>
                <w:rFonts w:cstheme="minorHAnsi"/>
              </w:rPr>
              <w:t xml:space="preserve"> </w:t>
            </w:r>
            <w:r w:rsidRPr="00A26C26">
              <w:rPr>
                <w:rFonts w:cstheme="minorHAnsi"/>
              </w:rPr>
              <w:t>oferta</w:t>
            </w:r>
            <w:r w:rsidR="003B50ED">
              <w:rPr>
                <w:rFonts w:cstheme="minorHAnsi"/>
              </w:rPr>
              <w:t xml:space="preserve"> </w:t>
            </w:r>
            <w:r w:rsidRPr="00A26C26">
              <w:rPr>
                <w:rFonts w:cstheme="minorHAnsi"/>
              </w:rPr>
              <w:t>zajęć</w:t>
            </w:r>
            <w:r w:rsidR="003B50ED">
              <w:rPr>
                <w:rFonts w:cstheme="minorHAnsi"/>
              </w:rPr>
              <w:t xml:space="preserve"> </w:t>
            </w:r>
            <w:r w:rsidRPr="00A26C26">
              <w:rPr>
                <w:rFonts w:cstheme="minorHAnsi"/>
              </w:rPr>
              <w:t>pozalekcyjnych</w:t>
            </w:r>
          </w:p>
        </w:tc>
      </w:tr>
      <w:tr w:rsidR="00224658" w:rsidRPr="00A26C26" w14:paraId="6236EA2B" w14:textId="77777777" w:rsidTr="007F1E76">
        <w:trPr>
          <w:trHeight w:val="249"/>
        </w:trPr>
        <w:tc>
          <w:tcPr>
            <w:tcW w:w="5100" w:type="dxa"/>
          </w:tcPr>
          <w:p w14:paraId="740DD82E" w14:textId="3EFE917C" w:rsidR="00224658" w:rsidRPr="00A26C26" w:rsidRDefault="00224658" w:rsidP="00A26C26">
            <w:pPr>
              <w:spacing w:line="276" w:lineRule="auto"/>
              <w:rPr>
                <w:rFonts w:cstheme="minorHAnsi"/>
              </w:rPr>
            </w:pPr>
            <w:r w:rsidRPr="00A26C26">
              <w:rPr>
                <w:rFonts w:cstheme="minorHAnsi"/>
              </w:rPr>
              <w:t>Zachowane</w:t>
            </w:r>
            <w:r w:rsidR="003B50ED">
              <w:rPr>
                <w:rFonts w:cstheme="minorHAnsi"/>
              </w:rPr>
              <w:t xml:space="preserve"> </w:t>
            </w:r>
            <w:r w:rsidRPr="00A26C26">
              <w:rPr>
                <w:rFonts w:cstheme="minorHAnsi"/>
              </w:rPr>
              <w:t>tradycje</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zakresie</w:t>
            </w:r>
            <w:r w:rsidR="003B50ED">
              <w:rPr>
                <w:rFonts w:cstheme="minorHAnsi"/>
              </w:rPr>
              <w:t xml:space="preserve"> </w:t>
            </w:r>
            <w:r w:rsidRPr="00A26C26">
              <w:rPr>
                <w:rFonts w:cstheme="minorHAnsi"/>
              </w:rPr>
              <w:t>rzemiosła</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rękodzieła</w:t>
            </w:r>
          </w:p>
        </w:tc>
        <w:tc>
          <w:tcPr>
            <w:tcW w:w="5101" w:type="dxa"/>
          </w:tcPr>
          <w:p w14:paraId="522B4D07" w14:textId="5FEB1A68" w:rsidR="00224658" w:rsidRPr="00A26C26" w:rsidRDefault="00224658" w:rsidP="00A26C26">
            <w:pPr>
              <w:spacing w:line="276" w:lineRule="auto"/>
              <w:rPr>
                <w:rFonts w:cstheme="minorHAnsi"/>
              </w:rPr>
            </w:pPr>
            <w:r w:rsidRPr="00A26C26">
              <w:rPr>
                <w:rFonts w:cstheme="minorHAnsi"/>
              </w:rPr>
              <w:t>Słaba</w:t>
            </w:r>
            <w:r w:rsidR="003B50ED">
              <w:rPr>
                <w:rFonts w:cstheme="minorHAnsi"/>
              </w:rPr>
              <w:t xml:space="preserve"> </w:t>
            </w:r>
            <w:r w:rsidRPr="00A26C26">
              <w:rPr>
                <w:rFonts w:cstheme="minorHAnsi"/>
              </w:rPr>
              <w:t>koordynacja</w:t>
            </w:r>
            <w:r w:rsidR="003B50ED">
              <w:rPr>
                <w:rFonts w:cstheme="minorHAnsi"/>
              </w:rPr>
              <w:t xml:space="preserve"> </w:t>
            </w:r>
            <w:r w:rsidRPr="00A26C26">
              <w:rPr>
                <w:rFonts w:cstheme="minorHAnsi"/>
              </w:rPr>
              <w:t>działań</w:t>
            </w:r>
            <w:r w:rsidR="003B50ED">
              <w:rPr>
                <w:rFonts w:cstheme="minorHAnsi"/>
              </w:rPr>
              <w:t xml:space="preserve"> </w:t>
            </w:r>
            <w:r w:rsidRPr="00A26C26">
              <w:rPr>
                <w:rFonts w:cstheme="minorHAnsi"/>
              </w:rPr>
              <w:t>różnych</w:t>
            </w:r>
            <w:r w:rsidR="003B50ED">
              <w:rPr>
                <w:rFonts w:cstheme="minorHAnsi"/>
              </w:rPr>
              <w:t xml:space="preserve"> </w:t>
            </w:r>
            <w:r w:rsidRPr="00A26C26">
              <w:rPr>
                <w:rFonts w:cstheme="minorHAnsi"/>
              </w:rPr>
              <w:t>sektorów</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podmiotów</w:t>
            </w:r>
            <w:r w:rsidR="003B50ED">
              <w:rPr>
                <w:rFonts w:cstheme="minorHAnsi"/>
              </w:rPr>
              <w:t xml:space="preserve"> </w:t>
            </w:r>
            <w:r w:rsidRPr="00A26C26">
              <w:rPr>
                <w:rFonts w:cstheme="minorHAnsi"/>
              </w:rPr>
              <w:t>(np.</w:t>
            </w:r>
            <w:r w:rsidR="003B50ED">
              <w:rPr>
                <w:rFonts w:cstheme="minorHAnsi"/>
              </w:rPr>
              <w:t xml:space="preserve"> </w:t>
            </w:r>
            <w:r w:rsidRPr="00A26C26">
              <w:rPr>
                <w:rFonts w:cstheme="minorHAnsi"/>
              </w:rPr>
              <w:t>gmin</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organizacjami</w:t>
            </w:r>
            <w:r w:rsidR="003B50ED">
              <w:rPr>
                <w:rFonts w:cstheme="minorHAnsi"/>
              </w:rPr>
              <w:t xml:space="preserve"> </w:t>
            </w:r>
            <w:r w:rsidRPr="00A26C26">
              <w:rPr>
                <w:rFonts w:cstheme="minorHAnsi"/>
              </w:rPr>
              <w:t>pozarządowymi)</w:t>
            </w:r>
          </w:p>
        </w:tc>
      </w:tr>
      <w:tr w:rsidR="00224658" w:rsidRPr="00A26C26" w14:paraId="307745CA" w14:textId="77777777" w:rsidTr="007F1E76">
        <w:trPr>
          <w:trHeight w:val="249"/>
        </w:trPr>
        <w:tc>
          <w:tcPr>
            <w:tcW w:w="5100" w:type="dxa"/>
          </w:tcPr>
          <w:p w14:paraId="6FC271A6" w14:textId="0D7B7FF0" w:rsidR="00224658" w:rsidRPr="00A26C26" w:rsidRDefault="00224658" w:rsidP="00A26C26">
            <w:pPr>
              <w:spacing w:line="276" w:lineRule="auto"/>
              <w:rPr>
                <w:rFonts w:cstheme="minorHAnsi"/>
              </w:rPr>
            </w:pPr>
            <w:r w:rsidRPr="00A26C26">
              <w:rPr>
                <w:rFonts w:cstheme="minorHAnsi"/>
              </w:rPr>
              <w:t>Postacie</w:t>
            </w:r>
            <w:r w:rsidR="003B50ED">
              <w:rPr>
                <w:rFonts w:cstheme="minorHAnsi"/>
              </w:rPr>
              <w:t xml:space="preserve"> </w:t>
            </w:r>
            <w:r w:rsidRPr="00A26C26">
              <w:rPr>
                <w:rFonts w:cstheme="minorHAnsi"/>
              </w:rPr>
              <w:t>historyczne</w:t>
            </w:r>
            <w:r w:rsidR="003B50ED">
              <w:rPr>
                <w:rFonts w:cstheme="minorHAnsi"/>
              </w:rPr>
              <w:t xml:space="preserve"> </w:t>
            </w:r>
            <w:r w:rsidRPr="00A26C26">
              <w:rPr>
                <w:rFonts w:cstheme="minorHAnsi"/>
              </w:rPr>
              <w:t>związane</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obszarem</w:t>
            </w:r>
          </w:p>
        </w:tc>
        <w:tc>
          <w:tcPr>
            <w:tcW w:w="5101" w:type="dxa"/>
          </w:tcPr>
          <w:p w14:paraId="118EDB14" w14:textId="3B6173FC" w:rsidR="00224658" w:rsidRPr="00A26C26" w:rsidRDefault="00224658" w:rsidP="00A26C26">
            <w:pPr>
              <w:spacing w:line="276" w:lineRule="auto"/>
              <w:rPr>
                <w:rFonts w:cstheme="minorHAnsi"/>
              </w:rPr>
            </w:pPr>
            <w:r w:rsidRPr="00A26C26">
              <w:rPr>
                <w:rFonts w:cstheme="minorHAnsi"/>
              </w:rPr>
              <w:t>Niechęć</w:t>
            </w:r>
            <w:r w:rsidR="003B50ED">
              <w:rPr>
                <w:rFonts w:cstheme="minorHAnsi"/>
              </w:rPr>
              <w:t xml:space="preserve"> </w:t>
            </w:r>
            <w:r w:rsidRPr="00A26C26">
              <w:rPr>
                <w:rFonts w:cstheme="minorHAnsi"/>
              </w:rPr>
              <w:t>do</w:t>
            </w:r>
            <w:r w:rsidR="003B50ED">
              <w:rPr>
                <w:rFonts w:cstheme="minorHAnsi"/>
              </w:rPr>
              <w:t xml:space="preserve"> </w:t>
            </w:r>
            <w:r w:rsidRPr="00A26C26">
              <w:rPr>
                <w:rFonts w:cstheme="minorHAnsi"/>
              </w:rPr>
              <w:t>działań</w:t>
            </w:r>
            <w:r w:rsidR="003B50ED">
              <w:rPr>
                <w:rFonts w:cstheme="minorHAnsi"/>
              </w:rPr>
              <w:t xml:space="preserve"> </w:t>
            </w:r>
            <w:r w:rsidRPr="00A26C26">
              <w:rPr>
                <w:rFonts w:cstheme="minorHAnsi"/>
              </w:rPr>
              <w:t>zespołowych</w:t>
            </w:r>
            <w:r w:rsidR="003B50ED">
              <w:rPr>
                <w:rFonts w:cstheme="minorHAnsi"/>
              </w:rPr>
              <w:t xml:space="preserve"> </w:t>
            </w:r>
            <w:r w:rsidRPr="00A26C26">
              <w:rPr>
                <w:rFonts w:cstheme="minorHAnsi"/>
              </w:rPr>
              <w:t>/współpracy</w:t>
            </w:r>
            <w:r w:rsidR="003B50ED">
              <w:rPr>
                <w:rFonts w:cstheme="minorHAnsi"/>
              </w:rPr>
              <w:t xml:space="preserve"> </w:t>
            </w:r>
            <w:r w:rsidRPr="00A26C26">
              <w:rPr>
                <w:rFonts w:cstheme="minorHAnsi"/>
              </w:rPr>
              <w:t>będąca</w:t>
            </w:r>
            <w:r w:rsidR="003B50ED">
              <w:rPr>
                <w:rFonts w:cstheme="minorHAnsi"/>
              </w:rPr>
              <w:t xml:space="preserve"> </w:t>
            </w:r>
            <w:r w:rsidRPr="00A26C26">
              <w:rPr>
                <w:rFonts w:cstheme="minorHAnsi"/>
              </w:rPr>
              <w:t>konsekwencją</w:t>
            </w:r>
            <w:r w:rsidR="003B50ED">
              <w:rPr>
                <w:rFonts w:cstheme="minorHAnsi"/>
              </w:rPr>
              <w:t xml:space="preserve"> </w:t>
            </w:r>
            <w:r w:rsidRPr="00A26C26">
              <w:rPr>
                <w:rFonts w:cstheme="minorHAnsi"/>
              </w:rPr>
              <w:t>pandemii</w:t>
            </w:r>
            <w:r w:rsidR="003B50ED">
              <w:rPr>
                <w:rFonts w:cstheme="minorHAnsi"/>
              </w:rPr>
              <w:t xml:space="preserve"> </w:t>
            </w:r>
          </w:p>
        </w:tc>
      </w:tr>
      <w:tr w:rsidR="00224658" w:rsidRPr="00A26C26" w14:paraId="3D90DF43" w14:textId="77777777" w:rsidTr="007F1E76">
        <w:trPr>
          <w:trHeight w:val="249"/>
        </w:trPr>
        <w:tc>
          <w:tcPr>
            <w:tcW w:w="5100" w:type="dxa"/>
          </w:tcPr>
          <w:p w14:paraId="6ABD20B6" w14:textId="600935CB" w:rsidR="00224658" w:rsidRPr="00A26C26" w:rsidRDefault="00224658" w:rsidP="00A26C26">
            <w:pPr>
              <w:spacing w:line="276" w:lineRule="auto"/>
              <w:rPr>
                <w:rFonts w:cstheme="minorHAnsi"/>
              </w:rPr>
            </w:pPr>
            <w:r w:rsidRPr="00A26C26">
              <w:rPr>
                <w:rFonts w:cstheme="minorHAnsi"/>
              </w:rPr>
              <w:t>Orkiestry</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zespoły</w:t>
            </w:r>
            <w:r w:rsidR="003B50ED">
              <w:rPr>
                <w:rFonts w:cstheme="minorHAnsi"/>
              </w:rPr>
              <w:t xml:space="preserve"> </w:t>
            </w:r>
            <w:r w:rsidRPr="00A26C26">
              <w:rPr>
                <w:rFonts w:cstheme="minorHAnsi"/>
              </w:rPr>
              <w:t>ludowe</w:t>
            </w:r>
          </w:p>
        </w:tc>
        <w:tc>
          <w:tcPr>
            <w:tcW w:w="5101" w:type="dxa"/>
          </w:tcPr>
          <w:p w14:paraId="749CC725" w14:textId="19854C7D" w:rsidR="00224658" w:rsidRPr="00A26C26" w:rsidRDefault="00224658" w:rsidP="00A26C26">
            <w:pPr>
              <w:spacing w:line="276" w:lineRule="auto"/>
              <w:rPr>
                <w:rFonts w:cstheme="minorHAnsi"/>
              </w:rPr>
            </w:pPr>
            <w:r w:rsidRPr="00A26C26">
              <w:rPr>
                <w:rFonts w:cstheme="minorHAnsi"/>
              </w:rPr>
              <w:t>Niski</w:t>
            </w:r>
            <w:r w:rsidR="003B50ED">
              <w:rPr>
                <w:rFonts w:cstheme="minorHAnsi"/>
              </w:rPr>
              <w:t xml:space="preserve"> </w:t>
            </w:r>
            <w:r w:rsidRPr="00A26C26">
              <w:rPr>
                <w:rFonts w:cstheme="minorHAnsi"/>
              </w:rPr>
              <w:t>poziom</w:t>
            </w:r>
            <w:r w:rsidR="003B50ED">
              <w:rPr>
                <w:rFonts w:cstheme="minorHAnsi"/>
              </w:rPr>
              <w:t xml:space="preserve"> </w:t>
            </w:r>
            <w:r w:rsidRPr="00A26C26">
              <w:rPr>
                <w:rFonts w:cstheme="minorHAnsi"/>
              </w:rPr>
              <w:t>integracji</w:t>
            </w:r>
            <w:r w:rsidR="003B50ED">
              <w:rPr>
                <w:rFonts w:cstheme="minorHAnsi"/>
              </w:rPr>
              <w:t xml:space="preserve"> </w:t>
            </w:r>
            <w:r w:rsidRPr="00A26C26">
              <w:rPr>
                <w:rFonts w:cstheme="minorHAnsi"/>
              </w:rPr>
              <w:t>społeczności</w:t>
            </w:r>
            <w:r w:rsidR="003B50ED">
              <w:rPr>
                <w:rFonts w:cstheme="minorHAnsi"/>
              </w:rPr>
              <w:t xml:space="preserve"> </w:t>
            </w:r>
            <w:r w:rsidRPr="00A26C26">
              <w:rPr>
                <w:rFonts w:cstheme="minorHAnsi"/>
              </w:rPr>
              <w:t>lokalnej</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bierna</w:t>
            </w:r>
            <w:r w:rsidR="003B50ED">
              <w:rPr>
                <w:rFonts w:cstheme="minorHAnsi"/>
              </w:rPr>
              <w:t xml:space="preserve"> </w:t>
            </w:r>
            <w:r w:rsidRPr="00A26C26">
              <w:rPr>
                <w:rFonts w:cstheme="minorHAnsi"/>
              </w:rPr>
              <w:t>postawa</w:t>
            </w:r>
            <w:r w:rsidR="003B50ED">
              <w:rPr>
                <w:rFonts w:cstheme="minorHAnsi"/>
              </w:rPr>
              <w:t xml:space="preserve"> </w:t>
            </w:r>
            <w:r w:rsidRPr="00A26C26">
              <w:rPr>
                <w:rFonts w:cstheme="minorHAnsi"/>
              </w:rPr>
              <w:t>społeczna</w:t>
            </w:r>
            <w:r w:rsidR="003B50ED">
              <w:rPr>
                <w:rFonts w:cstheme="minorHAnsi"/>
              </w:rPr>
              <w:t xml:space="preserve"> </w:t>
            </w:r>
            <w:r w:rsidRPr="00A26C26">
              <w:rPr>
                <w:rFonts w:cstheme="minorHAnsi"/>
              </w:rPr>
              <w:t>części</w:t>
            </w:r>
            <w:r w:rsidR="003B50ED">
              <w:rPr>
                <w:rFonts w:cstheme="minorHAnsi"/>
              </w:rPr>
              <w:t xml:space="preserve"> </w:t>
            </w:r>
            <w:r w:rsidRPr="00A26C26">
              <w:rPr>
                <w:rFonts w:cstheme="minorHAnsi"/>
              </w:rPr>
              <w:t>mieszkańców</w:t>
            </w:r>
          </w:p>
        </w:tc>
      </w:tr>
      <w:tr w:rsidR="00224658" w:rsidRPr="00A26C26" w14:paraId="72F87F85" w14:textId="77777777" w:rsidTr="007F1E76">
        <w:trPr>
          <w:trHeight w:val="249"/>
        </w:trPr>
        <w:tc>
          <w:tcPr>
            <w:tcW w:w="5100" w:type="dxa"/>
          </w:tcPr>
          <w:p w14:paraId="79D1DAE3" w14:textId="45DC43D0" w:rsidR="00224658" w:rsidRPr="00A26C26" w:rsidRDefault="00224658" w:rsidP="00A26C26">
            <w:pPr>
              <w:spacing w:line="276" w:lineRule="auto"/>
              <w:rPr>
                <w:rFonts w:cstheme="minorHAnsi"/>
              </w:rPr>
            </w:pPr>
            <w:r w:rsidRPr="00A26C26">
              <w:rPr>
                <w:rFonts w:cstheme="minorHAnsi"/>
              </w:rPr>
              <w:t>Święta</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wydarzenia</w:t>
            </w:r>
            <w:r w:rsidR="003B50ED">
              <w:rPr>
                <w:rFonts w:cstheme="minorHAnsi"/>
              </w:rPr>
              <w:t xml:space="preserve"> </w:t>
            </w:r>
            <w:r w:rsidRPr="00A26C26">
              <w:rPr>
                <w:rFonts w:cstheme="minorHAnsi"/>
              </w:rPr>
              <w:t>lokalne</w:t>
            </w:r>
            <w:r w:rsidR="003B50ED">
              <w:rPr>
                <w:rFonts w:cstheme="minorHAnsi"/>
              </w:rPr>
              <w:t xml:space="preserve"> </w:t>
            </w:r>
            <w:r w:rsidRPr="00A26C26">
              <w:rPr>
                <w:rFonts w:cstheme="minorHAnsi"/>
              </w:rPr>
              <w:t>(Święto</w:t>
            </w:r>
            <w:r w:rsidR="003B50ED">
              <w:rPr>
                <w:rFonts w:cstheme="minorHAnsi"/>
              </w:rPr>
              <w:t xml:space="preserve"> </w:t>
            </w:r>
            <w:r w:rsidRPr="00A26C26">
              <w:rPr>
                <w:rFonts w:cstheme="minorHAnsi"/>
              </w:rPr>
              <w:t>Kwitnącej</w:t>
            </w:r>
            <w:r w:rsidR="003B50ED">
              <w:rPr>
                <w:rFonts w:cstheme="minorHAnsi"/>
              </w:rPr>
              <w:t xml:space="preserve"> </w:t>
            </w:r>
            <w:r w:rsidRPr="00A26C26">
              <w:rPr>
                <w:rFonts w:cstheme="minorHAnsi"/>
              </w:rPr>
              <w:t>Jabłoni,</w:t>
            </w:r>
          </w:p>
          <w:p w14:paraId="2F863013" w14:textId="356F3AFF" w:rsidR="00224658" w:rsidRPr="00A26C26" w:rsidRDefault="00CE0EAE" w:rsidP="00A26C26">
            <w:pPr>
              <w:spacing w:line="276" w:lineRule="auto"/>
              <w:rPr>
                <w:rFonts w:cstheme="minorHAnsi"/>
              </w:rPr>
            </w:pPr>
            <w:r>
              <w:rPr>
                <w:rFonts w:cstheme="minorHAnsi"/>
              </w:rPr>
              <w:t>Impresje muzyczne -</w:t>
            </w:r>
            <w:r w:rsidR="003B50ED">
              <w:rPr>
                <w:rFonts w:cstheme="minorHAnsi"/>
              </w:rPr>
              <w:t xml:space="preserve"> </w:t>
            </w:r>
            <w:r w:rsidR="00224658" w:rsidRPr="00A26C26">
              <w:rPr>
                <w:rFonts w:cstheme="minorHAnsi"/>
              </w:rPr>
              <w:t>Piknik</w:t>
            </w:r>
            <w:r w:rsidR="003B50ED">
              <w:rPr>
                <w:rFonts w:cstheme="minorHAnsi"/>
              </w:rPr>
              <w:t xml:space="preserve"> </w:t>
            </w:r>
            <w:r w:rsidR="00224658" w:rsidRPr="00A26C26">
              <w:rPr>
                <w:rFonts w:cstheme="minorHAnsi"/>
              </w:rPr>
              <w:t>Orkiestr</w:t>
            </w:r>
            <w:r w:rsidR="003B50ED">
              <w:rPr>
                <w:rFonts w:cstheme="minorHAnsi"/>
              </w:rPr>
              <w:t xml:space="preserve"> </w:t>
            </w:r>
            <w:r w:rsidR="00224658" w:rsidRPr="00A26C26">
              <w:rPr>
                <w:rFonts w:cstheme="minorHAnsi"/>
              </w:rPr>
              <w:t>Dętych</w:t>
            </w:r>
            <w:r w:rsidR="003B50ED">
              <w:rPr>
                <w:rFonts w:cstheme="minorHAnsi"/>
              </w:rPr>
              <w:t xml:space="preserve"> </w:t>
            </w:r>
            <w:r>
              <w:rPr>
                <w:rFonts w:cstheme="minorHAnsi"/>
              </w:rPr>
              <w:t xml:space="preserve">                    </w:t>
            </w:r>
            <w:r w:rsidR="00224658" w:rsidRPr="00A26C26">
              <w:rPr>
                <w:rFonts w:cstheme="minorHAnsi"/>
              </w:rPr>
              <w:t>w</w:t>
            </w:r>
            <w:r w:rsidR="003B50ED">
              <w:rPr>
                <w:rFonts w:cstheme="minorHAnsi"/>
              </w:rPr>
              <w:t xml:space="preserve"> </w:t>
            </w:r>
            <w:r w:rsidR="00224658" w:rsidRPr="00A26C26">
              <w:rPr>
                <w:rFonts w:cstheme="minorHAnsi"/>
              </w:rPr>
              <w:t>Rychwale,</w:t>
            </w:r>
            <w:r w:rsidR="003B50ED">
              <w:rPr>
                <w:rFonts w:cstheme="minorHAnsi"/>
              </w:rPr>
              <w:t xml:space="preserve"> </w:t>
            </w:r>
            <w:r w:rsidR="00224658" w:rsidRPr="00A26C26">
              <w:rPr>
                <w:rFonts w:cstheme="minorHAnsi"/>
              </w:rPr>
              <w:t>Jarmarki</w:t>
            </w:r>
            <w:r w:rsidR="003B50ED">
              <w:rPr>
                <w:rFonts w:cstheme="minorHAnsi"/>
              </w:rPr>
              <w:t xml:space="preserve"> </w:t>
            </w:r>
            <w:r w:rsidR="00224658" w:rsidRPr="00A26C26">
              <w:rPr>
                <w:rFonts w:cstheme="minorHAnsi"/>
              </w:rPr>
              <w:t>produktu</w:t>
            </w:r>
            <w:r w:rsidR="003B50ED">
              <w:rPr>
                <w:rFonts w:cstheme="minorHAnsi"/>
              </w:rPr>
              <w:t xml:space="preserve"> </w:t>
            </w:r>
            <w:r w:rsidR="00224658" w:rsidRPr="00A26C26">
              <w:rPr>
                <w:rFonts w:cstheme="minorHAnsi"/>
              </w:rPr>
              <w:t>lokalnego,</w:t>
            </w:r>
            <w:r w:rsidR="003B50ED">
              <w:rPr>
                <w:rFonts w:cstheme="minorHAnsi"/>
              </w:rPr>
              <w:t xml:space="preserve"> </w:t>
            </w:r>
            <w:proofErr w:type="spellStart"/>
            <w:r w:rsidR="00224658" w:rsidRPr="00A26C26">
              <w:rPr>
                <w:rFonts w:cstheme="minorHAnsi"/>
              </w:rPr>
              <w:t>Pyrczok</w:t>
            </w:r>
            <w:proofErr w:type="spellEnd"/>
            <w:r w:rsidR="003B50ED">
              <w:rPr>
                <w:rFonts w:cstheme="minorHAnsi"/>
              </w:rPr>
              <w:t xml:space="preserve"> </w:t>
            </w:r>
            <w:r w:rsidR="00224658" w:rsidRPr="00A26C26">
              <w:rPr>
                <w:rFonts w:cstheme="minorHAnsi"/>
              </w:rPr>
              <w:t>–</w:t>
            </w:r>
            <w:r w:rsidR="003B50ED">
              <w:rPr>
                <w:rFonts w:cstheme="minorHAnsi"/>
              </w:rPr>
              <w:t xml:space="preserve"> </w:t>
            </w:r>
            <w:r w:rsidR="00224658" w:rsidRPr="00A26C26">
              <w:rPr>
                <w:rFonts w:cstheme="minorHAnsi"/>
              </w:rPr>
              <w:t>święto</w:t>
            </w:r>
            <w:r w:rsidR="003B50ED">
              <w:rPr>
                <w:rFonts w:cstheme="minorHAnsi"/>
              </w:rPr>
              <w:t xml:space="preserve"> </w:t>
            </w:r>
            <w:r w:rsidR="00224658" w:rsidRPr="00A26C26">
              <w:rPr>
                <w:rFonts w:cstheme="minorHAnsi"/>
              </w:rPr>
              <w:t>pieczonego</w:t>
            </w:r>
            <w:r w:rsidR="003B50ED">
              <w:rPr>
                <w:rFonts w:cstheme="minorHAnsi"/>
              </w:rPr>
              <w:t xml:space="preserve"> </w:t>
            </w:r>
            <w:r w:rsidR="00224658" w:rsidRPr="00A26C26">
              <w:rPr>
                <w:rFonts w:cstheme="minorHAnsi"/>
              </w:rPr>
              <w:t>ziemniaka,</w:t>
            </w:r>
            <w:r w:rsidR="003B50ED">
              <w:rPr>
                <w:rFonts w:cstheme="minorHAnsi"/>
              </w:rPr>
              <w:t xml:space="preserve"> </w:t>
            </w:r>
            <w:r w:rsidR="00224658" w:rsidRPr="00A26C26">
              <w:rPr>
                <w:rFonts w:cstheme="minorHAnsi"/>
              </w:rPr>
              <w:t>Festiwal</w:t>
            </w:r>
            <w:r w:rsidR="003B50ED">
              <w:rPr>
                <w:rFonts w:cstheme="minorHAnsi"/>
              </w:rPr>
              <w:t xml:space="preserve"> </w:t>
            </w:r>
            <w:r w:rsidR="00224658" w:rsidRPr="00A26C26">
              <w:rPr>
                <w:rFonts w:cstheme="minorHAnsi"/>
              </w:rPr>
              <w:t>Historii</w:t>
            </w:r>
            <w:r>
              <w:rPr>
                <w:rFonts w:cstheme="minorHAnsi"/>
              </w:rPr>
              <w:t xml:space="preserve">                        </w:t>
            </w:r>
            <w:r w:rsidR="003B50ED">
              <w:rPr>
                <w:rFonts w:cstheme="minorHAnsi"/>
              </w:rPr>
              <w:t xml:space="preserve"> </w:t>
            </w:r>
            <w:r w:rsidR="00224658" w:rsidRPr="00A26C26">
              <w:rPr>
                <w:rFonts w:cstheme="minorHAnsi"/>
              </w:rPr>
              <w:t>i</w:t>
            </w:r>
            <w:r w:rsidR="003B50ED">
              <w:rPr>
                <w:rFonts w:cstheme="minorHAnsi"/>
              </w:rPr>
              <w:t xml:space="preserve"> </w:t>
            </w:r>
            <w:r w:rsidR="00224658" w:rsidRPr="00A26C26">
              <w:rPr>
                <w:rFonts w:cstheme="minorHAnsi"/>
              </w:rPr>
              <w:t>Kultury</w:t>
            </w:r>
            <w:r w:rsidR="003B50ED">
              <w:rPr>
                <w:rFonts w:cstheme="minorHAnsi"/>
              </w:rPr>
              <w:t xml:space="preserve"> </w:t>
            </w:r>
            <w:r>
              <w:rPr>
                <w:rFonts w:cstheme="minorHAnsi"/>
              </w:rPr>
              <w:t xml:space="preserve">im. </w:t>
            </w:r>
            <w:r w:rsidR="00224658" w:rsidRPr="00A26C26">
              <w:rPr>
                <w:rFonts w:cstheme="minorHAnsi"/>
              </w:rPr>
              <w:t>Marcina</w:t>
            </w:r>
            <w:r w:rsidR="003B50ED">
              <w:rPr>
                <w:rFonts w:cstheme="minorHAnsi"/>
              </w:rPr>
              <w:t xml:space="preserve"> </w:t>
            </w:r>
            <w:r w:rsidR="00224658" w:rsidRPr="00A26C26">
              <w:rPr>
                <w:rFonts w:cstheme="minorHAnsi"/>
              </w:rPr>
              <w:t>ze</w:t>
            </w:r>
            <w:r w:rsidR="003B50ED">
              <w:rPr>
                <w:rFonts w:cstheme="minorHAnsi"/>
              </w:rPr>
              <w:t xml:space="preserve"> </w:t>
            </w:r>
            <w:r w:rsidR="00224658" w:rsidRPr="00A26C26">
              <w:rPr>
                <w:rFonts w:cstheme="minorHAnsi"/>
              </w:rPr>
              <w:t>Sławska)</w:t>
            </w:r>
          </w:p>
        </w:tc>
        <w:tc>
          <w:tcPr>
            <w:tcW w:w="5101" w:type="dxa"/>
          </w:tcPr>
          <w:p w14:paraId="49EF0DFD" w14:textId="53C9836B" w:rsidR="00224658" w:rsidRPr="00A26C26" w:rsidRDefault="00224658" w:rsidP="00A26C26">
            <w:pPr>
              <w:spacing w:line="276" w:lineRule="auto"/>
              <w:rPr>
                <w:rFonts w:cstheme="minorHAnsi"/>
              </w:rPr>
            </w:pPr>
            <w:r w:rsidRPr="00A26C26">
              <w:rPr>
                <w:rFonts w:cstheme="minorHAnsi"/>
              </w:rPr>
              <w:t>Słabość</w:t>
            </w:r>
            <w:r w:rsidR="003B50ED">
              <w:rPr>
                <w:rFonts w:cstheme="minorHAnsi"/>
              </w:rPr>
              <w:t xml:space="preserve"> </w:t>
            </w:r>
            <w:r w:rsidRPr="00A26C26">
              <w:rPr>
                <w:rFonts w:cstheme="minorHAnsi"/>
              </w:rPr>
              <w:t>finansowa</w:t>
            </w:r>
            <w:r w:rsidR="003B50ED">
              <w:rPr>
                <w:rFonts w:cstheme="minorHAnsi"/>
              </w:rPr>
              <w:t xml:space="preserve"> </w:t>
            </w:r>
            <w:r w:rsidRPr="00A26C26">
              <w:rPr>
                <w:rFonts w:cstheme="minorHAnsi"/>
              </w:rPr>
              <w:t>organizacji</w:t>
            </w:r>
            <w:r w:rsidR="003B50ED">
              <w:rPr>
                <w:rFonts w:cstheme="minorHAnsi"/>
              </w:rPr>
              <w:t xml:space="preserve"> </w:t>
            </w:r>
            <w:r w:rsidRPr="00A26C26">
              <w:rPr>
                <w:rFonts w:cstheme="minorHAnsi"/>
              </w:rPr>
              <w:t>pozarządowych</w:t>
            </w:r>
          </w:p>
        </w:tc>
      </w:tr>
      <w:tr w:rsidR="00224658" w:rsidRPr="00A26C26" w14:paraId="02C822BA" w14:textId="77777777" w:rsidTr="007F1E76">
        <w:trPr>
          <w:trHeight w:val="249"/>
        </w:trPr>
        <w:tc>
          <w:tcPr>
            <w:tcW w:w="5100" w:type="dxa"/>
          </w:tcPr>
          <w:p w14:paraId="4240FEA3" w14:textId="4DD1D270" w:rsidR="00224658" w:rsidRPr="00A26C26" w:rsidRDefault="00224658" w:rsidP="00A26C26">
            <w:pPr>
              <w:spacing w:line="276" w:lineRule="auto"/>
              <w:rPr>
                <w:rFonts w:cstheme="minorHAnsi"/>
              </w:rPr>
            </w:pPr>
            <w:r w:rsidRPr="00A26C26">
              <w:rPr>
                <w:rFonts w:cstheme="minorHAnsi"/>
              </w:rPr>
              <w:t>Produkty</w:t>
            </w:r>
            <w:r w:rsidR="003B50ED">
              <w:rPr>
                <w:rFonts w:cstheme="minorHAnsi"/>
              </w:rPr>
              <w:t xml:space="preserve"> </w:t>
            </w:r>
            <w:r w:rsidRPr="00A26C26">
              <w:rPr>
                <w:rFonts w:cstheme="minorHAnsi"/>
              </w:rPr>
              <w:t>lokalne:</w:t>
            </w:r>
            <w:r w:rsidR="003B50ED">
              <w:rPr>
                <w:rFonts w:cstheme="minorHAnsi"/>
              </w:rPr>
              <w:t xml:space="preserve"> </w:t>
            </w:r>
            <w:r w:rsidRPr="00A26C26">
              <w:rPr>
                <w:rFonts w:cstheme="minorHAnsi"/>
              </w:rPr>
              <w:t>rogal</w:t>
            </w:r>
            <w:r w:rsidR="003B50ED">
              <w:rPr>
                <w:rFonts w:cstheme="minorHAnsi"/>
              </w:rPr>
              <w:t xml:space="preserve"> </w:t>
            </w:r>
            <w:r w:rsidRPr="00A26C26">
              <w:rPr>
                <w:rFonts w:cstheme="minorHAnsi"/>
              </w:rPr>
              <w:t>kasztelański,</w:t>
            </w:r>
            <w:r w:rsidR="003B50ED">
              <w:rPr>
                <w:rFonts w:cstheme="minorHAnsi"/>
              </w:rPr>
              <w:t xml:space="preserve"> </w:t>
            </w:r>
            <w:r w:rsidRPr="00A26C26">
              <w:rPr>
                <w:rFonts w:cstheme="minorHAnsi"/>
              </w:rPr>
              <w:t>krówka</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Goliny,</w:t>
            </w:r>
            <w:r w:rsidR="003B50ED">
              <w:rPr>
                <w:rFonts w:cstheme="minorHAnsi"/>
              </w:rPr>
              <w:t xml:space="preserve"> </w:t>
            </w:r>
            <w:r w:rsidRPr="00A26C26">
              <w:rPr>
                <w:rFonts w:cstheme="minorHAnsi"/>
              </w:rPr>
              <w:t>miody,</w:t>
            </w:r>
            <w:r w:rsidR="003B50ED">
              <w:rPr>
                <w:rFonts w:cstheme="minorHAnsi"/>
              </w:rPr>
              <w:t xml:space="preserve"> </w:t>
            </w:r>
            <w:r w:rsidRPr="00A26C26">
              <w:rPr>
                <w:rFonts w:cstheme="minorHAnsi"/>
              </w:rPr>
              <w:t>sery,</w:t>
            </w:r>
            <w:r w:rsidR="003B50ED">
              <w:rPr>
                <w:rFonts w:cstheme="minorHAnsi"/>
              </w:rPr>
              <w:t xml:space="preserve"> </w:t>
            </w:r>
            <w:r w:rsidRPr="00A26C26">
              <w:rPr>
                <w:rFonts w:cstheme="minorHAnsi"/>
              </w:rPr>
              <w:t>pieczywo,</w:t>
            </w:r>
            <w:r w:rsidR="003B50ED">
              <w:rPr>
                <w:rFonts w:cstheme="minorHAnsi"/>
              </w:rPr>
              <w:t xml:space="preserve"> </w:t>
            </w:r>
            <w:r w:rsidRPr="00A26C26">
              <w:rPr>
                <w:rFonts w:cstheme="minorHAnsi"/>
              </w:rPr>
              <w:t>tradycyjne</w:t>
            </w:r>
            <w:r w:rsidR="003B50ED">
              <w:rPr>
                <w:rFonts w:cstheme="minorHAnsi"/>
              </w:rPr>
              <w:t xml:space="preserve"> </w:t>
            </w:r>
            <w:r w:rsidRPr="00A26C26">
              <w:rPr>
                <w:rFonts w:cstheme="minorHAnsi"/>
              </w:rPr>
              <w:t>wiejskie</w:t>
            </w:r>
            <w:r w:rsidR="003B50ED">
              <w:rPr>
                <w:rFonts w:cstheme="minorHAnsi"/>
              </w:rPr>
              <w:t xml:space="preserve"> </w:t>
            </w:r>
            <w:r w:rsidRPr="00A26C26">
              <w:rPr>
                <w:rFonts w:cstheme="minorHAnsi"/>
              </w:rPr>
              <w:t>wędliny,</w:t>
            </w:r>
            <w:r w:rsidR="003B50ED">
              <w:rPr>
                <w:rFonts w:cstheme="minorHAnsi"/>
              </w:rPr>
              <w:t xml:space="preserve"> </w:t>
            </w:r>
            <w:r w:rsidRPr="00A26C26">
              <w:rPr>
                <w:rFonts w:cstheme="minorHAnsi"/>
              </w:rPr>
              <w:t>naturalne</w:t>
            </w:r>
            <w:r w:rsidR="003B50ED">
              <w:rPr>
                <w:rFonts w:cstheme="minorHAnsi"/>
              </w:rPr>
              <w:t xml:space="preserve"> </w:t>
            </w:r>
            <w:r w:rsidRPr="00A26C26">
              <w:rPr>
                <w:rFonts w:cstheme="minorHAnsi"/>
              </w:rPr>
              <w:t>przetwory</w:t>
            </w:r>
            <w:r w:rsidR="003B50ED">
              <w:rPr>
                <w:rFonts w:cstheme="minorHAnsi"/>
              </w:rPr>
              <w:t xml:space="preserve"> </w:t>
            </w:r>
            <w:r w:rsidRPr="00A26C26">
              <w:rPr>
                <w:rFonts w:cstheme="minorHAnsi"/>
              </w:rPr>
              <w:t>owocowe.</w:t>
            </w:r>
          </w:p>
        </w:tc>
        <w:tc>
          <w:tcPr>
            <w:tcW w:w="5101" w:type="dxa"/>
          </w:tcPr>
          <w:p w14:paraId="52758DA7" w14:textId="7D10816C" w:rsidR="00224658" w:rsidRPr="00A26C26" w:rsidRDefault="00224658" w:rsidP="00A26C26">
            <w:pPr>
              <w:spacing w:line="276" w:lineRule="auto"/>
              <w:rPr>
                <w:rFonts w:cstheme="minorHAnsi"/>
              </w:rPr>
            </w:pPr>
            <w:r w:rsidRPr="00A26C26">
              <w:rPr>
                <w:rFonts w:cstheme="minorHAnsi"/>
              </w:rPr>
              <w:t>Brak</w:t>
            </w:r>
            <w:r w:rsidR="003B50ED">
              <w:rPr>
                <w:rFonts w:cstheme="minorHAnsi"/>
              </w:rPr>
              <w:t xml:space="preserve"> </w:t>
            </w:r>
            <w:r w:rsidRPr="00A26C26">
              <w:rPr>
                <w:rFonts w:cstheme="minorHAnsi"/>
              </w:rPr>
              <w:t>animatorów</w:t>
            </w:r>
            <w:r w:rsidR="003B50ED">
              <w:rPr>
                <w:rFonts w:cstheme="minorHAnsi"/>
              </w:rPr>
              <w:t xml:space="preserve"> </w:t>
            </w:r>
            <w:r w:rsidRPr="00A26C26">
              <w:rPr>
                <w:rFonts w:cstheme="minorHAnsi"/>
              </w:rPr>
              <w:t>działań</w:t>
            </w:r>
            <w:r w:rsidR="003B50ED">
              <w:rPr>
                <w:rFonts w:cstheme="minorHAnsi"/>
              </w:rPr>
              <w:t xml:space="preserve"> </w:t>
            </w:r>
            <w:r w:rsidRPr="00A26C26">
              <w:rPr>
                <w:rFonts w:cstheme="minorHAnsi"/>
              </w:rPr>
              <w:t>lokalnych</w:t>
            </w:r>
            <w:r w:rsidR="003B50ED">
              <w:rPr>
                <w:rFonts w:cstheme="minorHAnsi"/>
              </w:rPr>
              <w:t xml:space="preserve"> </w:t>
            </w:r>
            <w:r w:rsidRPr="00A26C26">
              <w:rPr>
                <w:rFonts w:cstheme="minorHAnsi"/>
              </w:rPr>
              <w:t>(opiekunów</w:t>
            </w:r>
            <w:r w:rsidR="003B50ED">
              <w:rPr>
                <w:rFonts w:cstheme="minorHAnsi"/>
              </w:rPr>
              <w:t xml:space="preserve"> </w:t>
            </w:r>
            <w:proofErr w:type="spellStart"/>
            <w:r w:rsidRPr="00A26C26">
              <w:rPr>
                <w:rFonts w:cstheme="minorHAnsi"/>
              </w:rPr>
              <w:t>sal</w:t>
            </w:r>
            <w:proofErr w:type="spellEnd"/>
            <w:r w:rsidR="003B50ED">
              <w:rPr>
                <w:rFonts w:cstheme="minorHAnsi"/>
              </w:rPr>
              <w:t xml:space="preserve"> </w:t>
            </w:r>
            <w:r w:rsidRPr="00A26C26">
              <w:rPr>
                <w:rFonts w:cstheme="minorHAnsi"/>
              </w:rPr>
              <w:t>wiejskich),</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tym</w:t>
            </w:r>
            <w:r w:rsidR="003B50ED">
              <w:rPr>
                <w:rFonts w:cstheme="minorHAnsi"/>
              </w:rPr>
              <w:t xml:space="preserve"> </w:t>
            </w:r>
            <w:r w:rsidRPr="00A26C26">
              <w:rPr>
                <w:rFonts w:cstheme="minorHAnsi"/>
              </w:rPr>
              <w:t>dla</w:t>
            </w:r>
            <w:r w:rsidR="003B50ED">
              <w:rPr>
                <w:rFonts w:cstheme="minorHAnsi"/>
              </w:rPr>
              <w:t xml:space="preserve"> </w:t>
            </w:r>
            <w:r w:rsidRPr="00A26C26">
              <w:rPr>
                <w:rFonts w:cstheme="minorHAnsi"/>
              </w:rPr>
              <w:t>grup</w:t>
            </w:r>
            <w:r w:rsidR="003B50ED">
              <w:rPr>
                <w:rFonts w:cstheme="minorHAnsi"/>
              </w:rPr>
              <w:t xml:space="preserve"> </w:t>
            </w:r>
            <w:r w:rsidRPr="00A26C26">
              <w:rPr>
                <w:rFonts w:cstheme="minorHAnsi"/>
              </w:rPr>
              <w:t>osób</w:t>
            </w:r>
            <w:r w:rsidR="003B50ED">
              <w:rPr>
                <w:rFonts w:cstheme="minorHAnsi"/>
              </w:rPr>
              <w:t xml:space="preserve"> </w:t>
            </w:r>
            <w:r w:rsidRPr="00A26C26">
              <w:rPr>
                <w:rFonts w:cstheme="minorHAnsi"/>
              </w:rPr>
              <w:t>zagrożonych</w:t>
            </w:r>
            <w:r w:rsidR="003B50ED">
              <w:rPr>
                <w:rFonts w:cstheme="minorHAnsi"/>
              </w:rPr>
              <w:t xml:space="preserve"> </w:t>
            </w:r>
            <w:r w:rsidRPr="00A26C26">
              <w:rPr>
                <w:rFonts w:cstheme="minorHAnsi"/>
              </w:rPr>
              <w:t>wykluczeniem</w:t>
            </w:r>
            <w:r w:rsidR="003B50ED">
              <w:rPr>
                <w:rFonts w:cstheme="minorHAnsi"/>
              </w:rPr>
              <w:t xml:space="preserve"> </w:t>
            </w:r>
            <w:r w:rsidRPr="00A26C26">
              <w:rPr>
                <w:rFonts w:cstheme="minorHAnsi"/>
              </w:rPr>
              <w:t>społecznym</w:t>
            </w:r>
          </w:p>
        </w:tc>
      </w:tr>
      <w:tr w:rsidR="00224658" w:rsidRPr="00A26C26" w14:paraId="3BEE6284" w14:textId="77777777" w:rsidTr="007F1E76">
        <w:trPr>
          <w:trHeight w:val="249"/>
        </w:trPr>
        <w:tc>
          <w:tcPr>
            <w:tcW w:w="5100" w:type="dxa"/>
          </w:tcPr>
          <w:p w14:paraId="52E8F1FE" w14:textId="01BC127F" w:rsidR="00224658" w:rsidRPr="00A26C26" w:rsidRDefault="00224658" w:rsidP="00A26C26">
            <w:pPr>
              <w:spacing w:line="276" w:lineRule="auto"/>
              <w:rPr>
                <w:rFonts w:cstheme="minorHAnsi"/>
              </w:rPr>
            </w:pPr>
            <w:r w:rsidRPr="00A26C26">
              <w:rPr>
                <w:rFonts w:cstheme="minorHAnsi"/>
              </w:rPr>
              <w:t>Lokalne</w:t>
            </w:r>
            <w:r w:rsidR="003B50ED">
              <w:rPr>
                <w:rFonts w:cstheme="minorHAnsi"/>
              </w:rPr>
              <w:t xml:space="preserve"> </w:t>
            </w:r>
            <w:r w:rsidRPr="00A26C26">
              <w:rPr>
                <w:rFonts w:cstheme="minorHAnsi"/>
              </w:rPr>
              <w:t>tradycje</w:t>
            </w:r>
            <w:r w:rsidR="003B50ED">
              <w:rPr>
                <w:rFonts w:cstheme="minorHAnsi"/>
              </w:rPr>
              <w:t xml:space="preserve"> </w:t>
            </w:r>
            <w:r w:rsidRPr="00A26C26">
              <w:rPr>
                <w:rFonts w:cstheme="minorHAnsi"/>
              </w:rPr>
              <w:t>kulinarne</w:t>
            </w:r>
            <w:r w:rsidR="003B50ED">
              <w:rPr>
                <w:rFonts w:cstheme="minorHAnsi"/>
              </w:rPr>
              <w:t xml:space="preserve"> </w:t>
            </w:r>
            <w:r w:rsidRPr="00A26C26">
              <w:rPr>
                <w:rFonts w:cstheme="minorHAnsi"/>
              </w:rPr>
              <w:t>(kaczka,</w:t>
            </w:r>
            <w:r w:rsidR="003B50ED">
              <w:rPr>
                <w:rFonts w:cstheme="minorHAnsi"/>
              </w:rPr>
              <w:t xml:space="preserve"> </w:t>
            </w:r>
            <w:proofErr w:type="spellStart"/>
            <w:r w:rsidRPr="00A26C26">
              <w:rPr>
                <w:rFonts w:cstheme="minorHAnsi"/>
              </w:rPr>
              <w:t>Pyrczok</w:t>
            </w:r>
            <w:proofErr w:type="spellEnd"/>
            <w:r w:rsidRPr="00A26C26">
              <w:rPr>
                <w:rFonts w:cstheme="minorHAnsi"/>
              </w:rPr>
              <w:t>)</w:t>
            </w:r>
          </w:p>
        </w:tc>
        <w:tc>
          <w:tcPr>
            <w:tcW w:w="5101" w:type="dxa"/>
          </w:tcPr>
          <w:p w14:paraId="4D986E7F" w14:textId="77777777" w:rsidR="00224658" w:rsidRPr="00A26C26" w:rsidRDefault="00224658" w:rsidP="00A26C26">
            <w:pPr>
              <w:spacing w:line="276" w:lineRule="auto"/>
              <w:rPr>
                <w:rFonts w:cstheme="minorHAnsi"/>
              </w:rPr>
            </w:pPr>
            <w:r w:rsidRPr="00A26C26">
              <w:rPr>
                <w:rFonts w:cstheme="minorHAnsi"/>
              </w:rPr>
              <w:t>Bezrobocie</w:t>
            </w:r>
          </w:p>
          <w:p w14:paraId="6BD3EB15" w14:textId="77777777" w:rsidR="00224658" w:rsidRPr="00A26C26" w:rsidRDefault="00224658" w:rsidP="00A26C26">
            <w:pPr>
              <w:spacing w:line="276" w:lineRule="auto"/>
              <w:rPr>
                <w:rFonts w:cstheme="minorHAnsi"/>
              </w:rPr>
            </w:pPr>
          </w:p>
        </w:tc>
      </w:tr>
      <w:tr w:rsidR="00224658" w:rsidRPr="00A26C26" w14:paraId="58EA28C8" w14:textId="77777777" w:rsidTr="007F1E76">
        <w:trPr>
          <w:trHeight w:val="249"/>
        </w:trPr>
        <w:tc>
          <w:tcPr>
            <w:tcW w:w="5100" w:type="dxa"/>
          </w:tcPr>
          <w:p w14:paraId="43462C5B" w14:textId="47D2C20A" w:rsidR="00224658" w:rsidRPr="00A26C26" w:rsidRDefault="00224658" w:rsidP="00A26C26">
            <w:pPr>
              <w:spacing w:line="276" w:lineRule="auto"/>
              <w:rPr>
                <w:rFonts w:cstheme="minorHAnsi"/>
              </w:rPr>
            </w:pPr>
            <w:r w:rsidRPr="00A26C26">
              <w:rPr>
                <w:rFonts w:cstheme="minorHAnsi"/>
              </w:rPr>
              <w:t>Rozwinięte</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zróżnicowane</w:t>
            </w:r>
            <w:r w:rsidR="003B50ED">
              <w:rPr>
                <w:rFonts w:cstheme="minorHAnsi"/>
              </w:rPr>
              <w:t xml:space="preserve"> </w:t>
            </w:r>
            <w:r w:rsidRPr="00A26C26">
              <w:rPr>
                <w:rFonts w:cstheme="minorHAnsi"/>
              </w:rPr>
              <w:t>sadownictwo</w:t>
            </w:r>
          </w:p>
        </w:tc>
        <w:tc>
          <w:tcPr>
            <w:tcW w:w="5101" w:type="dxa"/>
          </w:tcPr>
          <w:p w14:paraId="7620870E" w14:textId="2ADF6B4B" w:rsidR="00224658" w:rsidRPr="00A26C26" w:rsidRDefault="00224658" w:rsidP="00A26C26">
            <w:pPr>
              <w:spacing w:line="276" w:lineRule="auto"/>
              <w:rPr>
                <w:rFonts w:cstheme="minorHAnsi"/>
              </w:rPr>
            </w:pPr>
            <w:r w:rsidRPr="00A26C26">
              <w:rPr>
                <w:rFonts w:cstheme="minorHAnsi"/>
              </w:rPr>
              <w:t>Duża</w:t>
            </w:r>
            <w:r w:rsidR="003B50ED">
              <w:rPr>
                <w:rFonts w:cstheme="minorHAnsi"/>
              </w:rPr>
              <w:t xml:space="preserve"> </w:t>
            </w:r>
            <w:r w:rsidRPr="00A26C26">
              <w:rPr>
                <w:rFonts w:cstheme="minorHAnsi"/>
              </w:rPr>
              <w:t>liczba</w:t>
            </w:r>
            <w:r w:rsidR="003B50ED">
              <w:rPr>
                <w:rFonts w:cstheme="minorHAnsi"/>
              </w:rPr>
              <w:t xml:space="preserve"> </w:t>
            </w:r>
            <w:r w:rsidRPr="00A26C26">
              <w:rPr>
                <w:rFonts w:cstheme="minorHAnsi"/>
              </w:rPr>
              <w:t>małych,</w:t>
            </w:r>
            <w:r w:rsidR="003B50ED">
              <w:rPr>
                <w:rFonts w:cstheme="minorHAnsi"/>
              </w:rPr>
              <w:t xml:space="preserve"> </w:t>
            </w:r>
            <w:r w:rsidRPr="00A26C26">
              <w:rPr>
                <w:rFonts w:cstheme="minorHAnsi"/>
              </w:rPr>
              <w:t>niedochodowych</w:t>
            </w:r>
            <w:r w:rsidR="003B50ED">
              <w:rPr>
                <w:rFonts w:cstheme="minorHAnsi"/>
              </w:rPr>
              <w:t xml:space="preserve"> </w:t>
            </w:r>
            <w:r w:rsidRPr="00A26C26">
              <w:rPr>
                <w:rFonts w:cstheme="minorHAnsi"/>
              </w:rPr>
              <w:t>gospodarstw</w:t>
            </w:r>
            <w:r w:rsidR="003B50ED">
              <w:rPr>
                <w:rFonts w:cstheme="minorHAnsi"/>
              </w:rPr>
              <w:t xml:space="preserve"> </w:t>
            </w:r>
            <w:r w:rsidRPr="00A26C26">
              <w:rPr>
                <w:rFonts w:cstheme="minorHAnsi"/>
              </w:rPr>
              <w:t>rolnych</w:t>
            </w:r>
          </w:p>
        </w:tc>
      </w:tr>
      <w:tr w:rsidR="00224658" w:rsidRPr="00A26C26" w14:paraId="1440F71B" w14:textId="77777777" w:rsidTr="007F1E76">
        <w:trPr>
          <w:trHeight w:val="249"/>
        </w:trPr>
        <w:tc>
          <w:tcPr>
            <w:tcW w:w="5100" w:type="dxa"/>
          </w:tcPr>
          <w:p w14:paraId="2A2B74DF" w14:textId="605FB4F2" w:rsidR="00224658" w:rsidRPr="00A26C26" w:rsidRDefault="00224658" w:rsidP="00A26C26">
            <w:pPr>
              <w:spacing w:line="276" w:lineRule="auto"/>
              <w:rPr>
                <w:rFonts w:cstheme="minorHAnsi"/>
              </w:rPr>
            </w:pPr>
            <w:r w:rsidRPr="00A26C26">
              <w:rPr>
                <w:rFonts w:cstheme="minorHAnsi"/>
              </w:rPr>
              <w:t>Dobra</w:t>
            </w:r>
            <w:r w:rsidR="003B50ED">
              <w:rPr>
                <w:rFonts w:cstheme="minorHAnsi"/>
              </w:rPr>
              <w:t xml:space="preserve"> </w:t>
            </w:r>
            <w:r w:rsidRPr="00A26C26">
              <w:rPr>
                <w:rFonts w:cstheme="minorHAnsi"/>
              </w:rPr>
              <w:t>baza</w:t>
            </w:r>
            <w:r w:rsidR="003B50ED">
              <w:rPr>
                <w:rFonts w:cstheme="minorHAnsi"/>
              </w:rPr>
              <w:t xml:space="preserve"> </w:t>
            </w:r>
            <w:r w:rsidRPr="00A26C26">
              <w:rPr>
                <w:rFonts w:cstheme="minorHAnsi"/>
              </w:rPr>
              <w:t>oświatowa</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sportowa;</w:t>
            </w:r>
            <w:r w:rsidR="003B50ED">
              <w:rPr>
                <w:rFonts w:cstheme="minorHAnsi"/>
              </w:rPr>
              <w:t xml:space="preserve"> </w:t>
            </w:r>
            <w:r w:rsidRPr="00A26C26">
              <w:rPr>
                <w:rFonts w:cstheme="minorHAnsi"/>
              </w:rPr>
              <w:t>wykwalifikowana</w:t>
            </w:r>
            <w:r w:rsidR="003B50ED">
              <w:rPr>
                <w:rFonts w:cstheme="minorHAnsi"/>
              </w:rPr>
              <w:t xml:space="preserve"> </w:t>
            </w:r>
            <w:r w:rsidRPr="00A26C26">
              <w:rPr>
                <w:rFonts w:cstheme="minorHAnsi"/>
              </w:rPr>
              <w:t>kadra</w:t>
            </w:r>
            <w:r w:rsidR="003B50ED">
              <w:rPr>
                <w:rFonts w:cstheme="minorHAnsi"/>
              </w:rPr>
              <w:t xml:space="preserve"> </w:t>
            </w:r>
            <w:r w:rsidRPr="00A26C26">
              <w:rPr>
                <w:rFonts w:cstheme="minorHAnsi"/>
              </w:rPr>
              <w:t>pedagogiczna)</w:t>
            </w:r>
          </w:p>
        </w:tc>
        <w:tc>
          <w:tcPr>
            <w:tcW w:w="5101" w:type="dxa"/>
          </w:tcPr>
          <w:p w14:paraId="602F5E49" w14:textId="3E217F78" w:rsidR="00224658" w:rsidRPr="00A26C26" w:rsidRDefault="00224658" w:rsidP="00A26C26">
            <w:pPr>
              <w:spacing w:line="276" w:lineRule="auto"/>
              <w:rPr>
                <w:rFonts w:cstheme="minorHAnsi"/>
              </w:rPr>
            </w:pPr>
            <w:r w:rsidRPr="00A26C26">
              <w:rPr>
                <w:rFonts w:cstheme="minorHAnsi"/>
              </w:rPr>
              <w:t>Niskie</w:t>
            </w:r>
            <w:r w:rsidR="003B50ED">
              <w:rPr>
                <w:rFonts w:cstheme="minorHAnsi"/>
              </w:rPr>
              <w:t xml:space="preserve"> </w:t>
            </w:r>
            <w:r w:rsidRPr="00A26C26">
              <w:rPr>
                <w:rFonts w:cstheme="minorHAnsi"/>
              </w:rPr>
              <w:t>dochody</w:t>
            </w:r>
            <w:r w:rsidR="003B50ED">
              <w:rPr>
                <w:rFonts w:cstheme="minorHAnsi"/>
              </w:rPr>
              <w:t xml:space="preserve"> </w:t>
            </w:r>
            <w:r w:rsidRPr="00A26C26">
              <w:rPr>
                <w:rFonts w:cstheme="minorHAnsi"/>
              </w:rPr>
              <w:t>mieszkańców</w:t>
            </w:r>
          </w:p>
        </w:tc>
      </w:tr>
      <w:tr w:rsidR="00224658" w:rsidRPr="00A26C26" w14:paraId="0BE1FFA6" w14:textId="77777777" w:rsidTr="007F1E76">
        <w:trPr>
          <w:trHeight w:val="249"/>
        </w:trPr>
        <w:tc>
          <w:tcPr>
            <w:tcW w:w="5100" w:type="dxa"/>
          </w:tcPr>
          <w:p w14:paraId="1B547F75" w14:textId="7D4A9A37" w:rsidR="00224658" w:rsidRPr="00A26C26" w:rsidRDefault="00224658" w:rsidP="00A26C26">
            <w:pPr>
              <w:spacing w:line="276" w:lineRule="auto"/>
              <w:rPr>
                <w:rFonts w:cstheme="minorHAnsi"/>
              </w:rPr>
            </w:pPr>
            <w:r w:rsidRPr="00A26C26">
              <w:rPr>
                <w:rFonts w:cstheme="minorHAnsi"/>
              </w:rPr>
              <w:t>Duży</w:t>
            </w:r>
            <w:r w:rsidR="003B50ED">
              <w:rPr>
                <w:rFonts w:cstheme="minorHAnsi"/>
              </w:rPr>
              <w:t xml:space="preserve"> </w:t>
            </w:r>
            <w:r w:rsidRPr="00A26C26">
              <w:rPr>
                <w:rFonts w:cstheme="minorHAnsi"/>
              </w:rPr>
              <w:t>potencjał</w:t>
            </w:r>
            <w:r w:rsidR="003B50ED">
              <w:rPr>
                <w:rFonts w:cstheme="minorHAnsi"/>
              </w:rPr>
              <w:t xml:space="preserve"> </w:t>
            </w:r>
            <w:r w:rsidRPr="00A26C26">
              <w:rPr>
                <w:rFonts w:cstheme="minorHAnsi"/>
              </w:rPr>
              <w:t>lokalnych</w:t>
            </w:r>
            <w:r w:rsidR="003B50ED">
              <w:rPr>
                <w:rFonts w:cstheme="minorHAnsi"/>
              </w:rPr>
              <w:t xml:space="preserve"> </w:t>
            </w:r>
            <w:r w:rsidRPr="00A26C26">
              <w:rPr>
                <w:rFonts w:cstheme="minorHAnsi"/>
              </w:rPr>
              <w:t>organizacji</w:t>
            </w:r>
            <w:r w:rsidR="003B50ED">
              <w:rPr>
                <w:rFonts w:cstheme="minorHAnsi"/>
              </w:rPr>
              <w:t xml:space="preserve"> </w:t>
            </w:r>
            <w:r w:rsidRPr="00A26C26">
              <w:rPr>
                <w:rFonts w:cstheme="minorHAnsi"/>
              </w:rPr>
              <w:t>pozarządowych</w:t>
            </w:r>
            <w:r w:rsidR="003B50ED">
              <w:rPr>
                <w:rFonts w:cstheme="minorHAnsi"/>
              </w:rPr>
              <w:t xml:space="preserve"> </w:t>
            </w:r>
            <w:r w:rsidRPr="00A26C26">
              <w:rPr>
                <w:rFonts w:cstheme="minorHAnsi"/>
              </w:rPr>
              <w:t>oraz</w:t>
            </w:r>
            <w:r w:rsidR="003B50ED">
              <w:rPr>
                <w:rFonts w:cstheme="minorHAnsi"/>
              </w:rPr>
              <w:t xml:space="preserve"> </w:t>
            </w:r>
            <w:r w:rsidRPr="00A26C26">
              <w:rPr>
                <w:rFonts w:cstheme="minorHAnsi"/>
              </w:rPr>
              <w:t>grup</w:t>
            </w:r>
            <w:r w:rsidR="003B50ED">
              <w:rPr>
                <w:rFonts w:cstheme="minorHAnsi"/>
              </w:rPr>
              <w:t xml:space="preserve"> </w:t>
            </w:r>
            <w:r w:rsidRPr="00A26C26">
              <w:rPr>
                <w:rFonts w:cstheme="minorHAnsi"/>
              </w:rPr>
              <w:t>nieformalnych</w:t>
            </w:r>
          </w:p>
        </w:tc>
        <w:tc>
          <w:tcPr>
            <w:tcW w:w="5101" w:type="dxa"/>
          </w:tcPr>
          <w:p w14:paraId="13AA6B45" w14:textId="114D2924" w:rsidR="00224658" w:rsidRPr="00A26C26" w:rsidRDefault="00224658" w:rsidP="00A26C26">
            <w:pPr>
              <w:spacing w:line="276" w:lineRule="auto"/>
              <w:rPr>
                <w:rFonts w:cstheme="minorHAnsi"/>
              </w:rPr>
            </w:pPr>
            <w:r w:rsidRPr="00A26C26">
              <w:rPr>
                <w:rFonts w:cstheme="minorHAnsi"/>
              </w:rPr>
              <w:t>Słaba</w:t>
            </w:r>
            <w:r w:rsidR="003B50ED">
              <w:rPr>
                <w:rFonts w:cstheme="minorHAnsi"/>
              </w:rPr>
              <w:t xml:space="preserve"> </w:t>
            </w:r>
            <w:r w:rsidRPr="00A26C26">
              <w:rPr>
                <w:rFonts w:cstheme="minorHAnsi"/>
              </w:rPr>
              <w:t>komunikacja</w:t>
            </w:r>
            <w:r w:rsidR="003B50ED">
              <w:rPr>
                <w:rFonts w:cstheme="minorHAnsi"/>
              </w:rPr>
              <w:t xml:space="preserve"> </w:t>
            </w:r>
            <w:r w:rsidRPr="00A26C26">
              <w:rPr>
                <w:rFonts w:cstheme="minorHAnsi"/>
              </w:rPr>
              <w:t>lokalna</w:t>
            </w:r>
          </w:p>
        </w:tc>
      </w:tr>
      <w:tr w:rsidR="00224658" w:rsidRPr="00A26C26" w14:paraId="5E8CCF21" w14:textId="77777777" w:rsidTr="007F1E76">
        <w:trPr>
          <w:trHeight w:val="249"/>
        </w:trPr>
        <w:tc>
          <w:tcPr>
            <w:tcW w:w="5100" w:type="dxa"/>
          </w:tcPr>
          <w:p w14:paraId="78194504" w14:textId="4BFC3F8C" w:rsidR="00224658" w:rsidRPr="00A26C26" w:rsidRDefault="00224658" w:rsidP="00A26C26">
            <w:pPr>
              <w:spacing w:line="276" w:lineRule="auto"/>
              <w:rPr>
                <w:rFonts w:cstheme="minorHAnsi"/>
              </w:rPr>
            </w:pPr>
            <w:r w:rsidRPr="00A26C26">
              <w:rPr>
                <w:rFonts w:cstheme="minorHAnsi"/>
              </w:rPr>
              <w:t>Współpraca</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doświadczenie</w:t>
            </w:r>
            <w:r w:rsidR="003B50ED">
              <w:rPr>
                <w:rFonts w:cstheme="minorHAnsi"/>
              </w:rPr>
              <w:t xml:space="preserve"> </w:t>
            </w:r>
            <w:r w:rsidRPr="00A26C26">
              <w:rPr>
                <w:rFonts w:cstheme="minorHAnsi"/>
              </w:rPr>
              <w:t>organizacji</w:t>
            </w:r>
            <w:r w:rsidR="003B50ED">
              <w:rPr>
                <w:rFonts w:cstheme="minorHAnsi"/>
              </w:rPr>
              <w:t xml:space="preserve"> </w:t>
            </w:r>
            <w:r w:rsidRPr="00A26C26">
              <w:rPr>
                <w:rFonts w:cstheme="minorHAnsi"/>
              </w:rPr>
              <w:t>społecznych,</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tym</w:t>
            </w:r>
            <w:r w:rsidR="003B50ED">
              <w:rPr>
                <w:rFonts w:cstheme="minorHAnsi"/>
              </w:rPr>
              <w:t xml:space="preserve"> </w:t>
            </w:r>
            <w:r w:rsidRPr="00A26C26">
              <w:rPr>
                <w:rFonts w:cstheme="minorHAnsi"/>
              </w:rPr>
              <w:t>PUP,</w:t>
            </w:r>
            <w:r w:rsidR="003B50ED">
              <w:rPr>
                <w:rFonts w:cstheme="minorHAnsi"/>
              </w:rPr>
              <w:t xml:space="preserve"> </w:t>
            </w:r>
            <w:r w:rsidRPr="00A26C26">
              <w:rPr>
                <w:rFonts w:cstheme="minorHAnsi"/>
              </w:rPr>
              <w:t>GOPS,</w:t>
            </w:r>
            <w:r w:rsidR="003B50ED">
              <w:rPr>
                <w:rFonts w:cstheme="minorHAnsi"/>
              </w:rPr>
              <w:t xml:space="preserve"> </w:t>
            </w:r>
            <w:r w:rsidRPr="00A26C26">
              <w:rPr>
                <w:rFonts w:cstheme="minorHAnsi"/>
              </w:rPr>
              <w:t>MGOPS</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rozwiązywaniu</w:t>
            </w:r>
            <w:r w:rsidR="003B50ED">
              <w:rPr>
                <w:rFonts w:cstheme="minorHAnsi"/>
              </w:rPr>
              <w:t xml:space="preserve"> </w:t>
            </w:r>
            <w:r w:rsidRPr="00A26C26">
              <w:rPr>
                <w:rFonts w:cstheme="minorHAnsi"/>
              </w:rPr>
              <w:t>problemów</w:t>
            </w:r>
            <w:r w:rsidR="003B50ED">
              <w:rPr>
                <w:rFonts w:cstheme="minorHAnsi"/>
              </w:rPr>
              <w:t xml:space="preserve"> </w:t>
            </w:r>
            <w:r w:rsidRPr="00A26C26">
              <w:rPr>
                <w:rFonts w:cstheme="minorHAnsi"/>
              </w:rPr>
              <w:t>osób</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niekorzystnej</w:t>
            </w:r>
            <w:r w:rsidR="003B50ED">
              <w:rPr>
                <w:rFonts w:cstheme="minorHAnsi"/>
              </w:rPr>
              <w:t xml:space="preserve"> </w:t>
            </w:r>
            <w:r w:rsidRPr="00A26C26">
              <w:rPr>
                <w:rFonts w:cstheme="minorHAnsi"/>
              </w:rPr>
              <w:t>sytuacji</w:t>
            </w:r>
          </w:p>
        </w:tc>
        <w:tc>
          <w:tcPr>
            <w:tcW w:w="5101" w:type="dxa"/>
          </w:tcPr>
          <w:p w14:paraId="7C798FC1" w14:textId="48B235B4" w:rsidR="00224658" w:rsidRPr="00A26C26" w:rsidRDefault="00224658" w:rsidP="00A26C26">
            <w:pPr>
              <w:spacing w:line="276" w:lineRule="auto"/>
              <w:rPr>
                <w:rFonts w:cstheme="minorHAnsi"/>
              </w:rPr>
            </w:pPr>
            <w:r w:rsidRPr="00A26C26">
              <w:rPr>
                <w:rFonts w:cstheme="minorHAnsi"/>
              </w:rPr>
              <w:t>Ograniczenia</w:t>
            </w:r>
            <w:r w:rsidR="003B50ED">
              <w:rPr>
                <w:rFonts w:cstheme="minorHAnsi"/>
              </w:rPr>
              <w:t xml:space="preserve"> </w:t>
            </w:r>
            <w:r w:rsidRPr="00A26C26">
              <w:rPr>
                <w:rFonts w:cstheme="minorHAnsi"/>
              </w:rPr>
              <w:t>wynikające</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NATURY</w:t>
            </w:r>
            <w:r w:rsidR="003B50ED">
              <w:rPr>
                <w:rFonts w:cstheme="minorHAnsi"/>
              </w:rPr>
              <w:t xml:space="preserve"> </w:t>
            </w:r>
            <w:r w:rsidRPr="00A26C26">
              <w:rPr>
                <w:rFonts w:cstheme="minorHAnsi"/>
              </w:rPr>
              <w:t>2000</w:t>
            </w:r>
          </w:p>
        </w:tc>
      </w:tr>
      <w:tr w:rsidR="00224658" w:rsidRPr="00A26C26" w14:paraId="3F0A9E47" w14:textId="77777777" w:rsidTr="007F1E76">
        <w:trPr>
          <w:trHeight w:val="249"/>
        </w:trPr>
        <w:tc>
          <w:tcPr>
            <w:tcW w:w="5100" w:type="dxa"/>
          </w:tcPr>
          <w:p w14:paraId="5AF3141B" w14:textId="77777777" w:rsidR="00224658" w:rsidRPr="00A26C26" w:rsidRDefault="00224658" w:rsidP="00A26C26">
            <w:pPr>
              <w:spacing w:line="276" w:lineRule="auto"/>
              <w:rPr>
                <w:rFonts w:cstheme="minorHAnsi"/>
              </w:rPr>
            </w:pPr>
          </w:p>
        </w:tc>
        <w:tc>
          <w:tcPr>
            <w:tcW w:w="5101" w:type="dxa"/>
          </w:tcPr>
          <w:p w14:paraId="3A5737F6" w14:textId="328078F0" w:rsidR="00224658" w:rsidRPr="00A26C26" w:rsidRDefault="00224658" w:rsidP="00A26C26">
            <w:pPr>
              <w:spacing w:line="276" w:lineRule="auto"/>
              <w:rPr>
                <w:rFonts w:cstheme="minorHAnsi"/>
              </w:rPr>
            </w:pPr>
            <w:r w:rsidRPr="00A26C26">
              <w:rPr>
                <w:rFonts w:cstheme="minorHAnsi"/>
              </w:rPr>
              <w:t>Niewielka</w:t>
            </w:r>
            <w:r w:rsidR="003B50ED">
              <w:rPr>
                <w:rFonts w:cstheme="minorHAnsi"/>
              </w:rPr>
              <w:t xml:space="preserve"> </w:t>
            </w:r>
            <w:r w:rsidRPr="00A26C26">
              <w:rPr>
                <w:rFonts w:cstheme="minorHAnsi"/>
              </w:rPr>
              <w:t>liczba</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słaba</w:t>
            </w:r>
            <w:r w:rsidR="003B50ED">
              <w:rPr>
                <w:rFonts w:cstheme="minorHAnsi"/>
              </w:rPr>
              <w:t xml:space="preserve"> </w:t>
            </w:r>
            <w:r w:rsidRPr="00A26C26">
              <w:rPr>
                <w:rFonts w:cstheme="minorHAnsi"/>
              </w:rPr>
              <w:t>promocja</w:t>
            </w:r>
            <w:r w:rsidR="003B50ED">
              <w:rPr>
                <w:rFonts w:cstheme="minorHAnsi"/>
              </w:rPr>
              <w:t xml:space="preserve"> </w:t>
            </w:r>
            <w:r w:rsidRPr="00A26C26">
              <w:rPr>
                <w:rFonts w:cstheme="minorHAnsi"/>
              </w:rPr>
              <w:t>produktów</w:t>
            </w:r>
            <w:r w:rsidR="003B50ED">
              <w:rPr>
                <w:rFonts w:cstheme="minorHAnsi"/>
              </w:rPr>
              <w:t xml:space="preserve"> </w:t>
            </w:r>
            <w:r w:rsidRPr="00A26C26">
              <w:rPr>
                <w:rFonts w:cstheme="minorHAnsi"/>
              </w:rPr>
              <w:t>lokalnych</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terenu</w:t>
            </w:r>
            <w:r w:rsidR="003B50ED">
              <w:rPr>
                <w:rFonts w:cstheme="minorHAnsi"/>
              </w:rPr>
              <w:t xml:space="preserve"> </w:t>
            </w:r>
            <w:r w:rsidRPr="00A26C26">
              <w:rPr>
                <w:rFonts w:cstheme="minorHAnsi"/>
              </w:rPr>
              <w:t>LGD;</w:t>
            </w:r>
            <w:r w:rsidR="003B50ED">
              <w:rPr>
                <w:rFonts w:cstheme="minorHAnsi"/>
              </w:rPr>
              <w:t xml:space="preserve"> </w:t>
            </w:r>
            <w:r w:rsidRPr="00A26C26">
              <w:rPr>
                <w:rFonts w:cstheme="minorHAnsi"/>
              </w:rPr>
              <w:t>Słaba</w:t>
            </w:r>
            <w:r w:rsidR="003B50ED">
              <w:rPr>
                <w:rFonts w:cstheme="minorHAnsi"/>
              </w:rPr>
              <w:t xml:space="preserve"> </w:t>
            </w:r>
            <w:r w:rsidRPr="00A26C26">
              <w:rPr>
                <w:rFonts w:cstheme="minorHAnsi"/>
              </w:rPr>
              <w:t>rozpoznawalność</w:t>
            </w:r>
            <w:r w:rsidR="003B50ED">
              <w:rPr>
                <w:rFonts w:cstheme="minorHAnsi"/>
              </w:rPr>
              <w:t xml:space="preserve"> </w:t>
            </w:r>
            <w:r w:rsidRPr="00A26C26">
              <w:rPr>
                <w:rFonts w:cstheme="minorHAnsi"/>
              </w:rPr>
              <w:t>produktów</w:t>
            </w:r>
            <w:r w:rsidR="003B50ED">
              <w:rPr>
                <w:rFonts w:cstheme="minorHAnsi"/>
              </w:rPr>
              <w:t xml:space="preserve"> </w:t>
            </w:r>
            <w:r w:rsidRPr="00A26C26">
              <w:rPr>
                <w:rFonts w:cstheme="minorHAnsi"/>
              </w:rPr>
              <w:t>lokalnych</w:t>
            </w:r>
          </w:p>
        </w:tc>
      </w:tr>
      <w:tr w:rsidR="00224658" w:rsidRPr="00A26C26" w14:paraId="5CFFC8B3" w14:textId="77777777" w:rsidTr="007F1E76">
        <w:trPr>
          <w:trHeight w:val="249"/>
        </w:trPr>
        <w:tc>
          <w:tcPr>
            <w:tcW w:w="5100" w:type="dxa"/>
          </w:tcPr>
          <w:p w14:paraId="1566CF54" w14:textId="77777777" w:rsidR="00224658" w:rsidRPr="00A26C26" w:rsidRDefault="00224658" w:rsidP="00A26C26">
            <w:pPr>
              <w:spacing w:line="276" w:lineRule="auto"/>
              <w:rPr>
                <w:rFonts w:cstheme="minorHAnsi"/>
              </w:rPr>
            </w:pPr>
          </w:p>
        </w:tc>
        <w:tc>
          <w:tcPr>
            <w:tcW w:w="5101" w:type="dxa"/>
          </w:tcPr>
          <w:p w14:paraId="242C9293" w14:textId="18C0C255" w:rsidR="00224658" w:rsidRPr="00A26C26" w:rsidRDefault="00224658" w:rsidP="00A26C26">
            <w:pPr>
              <w:spacing w:line="276" w:lineRule="auto"/>
              <w:rPr>
                <w:rFonts w:cstheme="minorHAnsi"/>
              </w:rPr>
            </w:pPr>
            <w:r w:rsidRPr="00A26C26">
              <w:rPr>
                <w:rFonts w:cstheme="minorHAnsi"/>
              </w:rPr>
              <w:t>Brak</w:t>
            </w:r>
            <w:r w:rsidR="003B50ED">
              <w:rPr>
                <w:rFonts w:cstheme="minorHAnsi"/>
              </w:rPr>
              <w:t xml:space="preserve"> </w:t>
            </w:r>
            <w:r w:rsidRPr="00A26C26">
              <w:rPr>
                <w:rFonts w:cstheme="minorHAnsi"/>
              </w:rPr>
              <w:t>ogólnego</w:t>
            </w:r>
            <w:r w:rsidR="003B50ED">
              <w:rPr>
                <w:rFonts w:cstheme="minorHAnsi"/>
              </w:rPr>
              <w:t xml:space="preserve"> </w:t>
            </w:r>
            <w:r w:rsidRPr="00A26C26">
              <w:rPr>
                <w:rFonts w:cstheme="minorHAnsi"/>
              </w:rPr>
              <w:t>rozpoznania</w:t>
            </w:r>
            <w:r w:rsidR="003B50ED">
              <w:rPr>
                <w:rFonts w:cstheme="minorHAnsi"/>
              </w:rPr>
              <w:t xml:space="preserve"> </w:t>
            </w:r>
            <w:r w:rsidRPr="00A26C26">
              <w:rPr>
                <w:rFonts w:cstheme="minorHAnsi"/>
              </w:rPr>
              <w:t>rynku</w:t>
            </w:r>
            <w:r w:rsidR="003B50ED">
              <w:rPr>
                <w:rFonts w:cstheme="minorHAnsi"/>
              </w:rPr>
              <w:t xml:space="preserve"> </w:t>
            </w:r>
            <w:r w:rsidRPr="00A26C26">
              <w:rPr>
                <w:rFonts w:cstheme="minorHAnsi"/>
              </w:rPr>
              <w:t>pracy</w:t>
            </w:r>
            <w:r w:rsidR="003B50ED">
              <w:rPr>
                <w:rFonts w:cstheme="minorHAnsi"/>
              </w:rPr>
              <w:t xml:space="preserve"> </w:t>
            </w:r>
            <w:r w:rsidRPr="00A26C26">
              <w:rPr>
                <w:rFonts w:cstheme="minorHAnsi"/>
              </w:rPr>
              <w:t>(prawdziwych</w:t>
            </w:r>
            <w:r w:rsidR="003B50ED">
              <w:rPr>
                <w:rFonts w:cstheme="minorHAnsi"/>
              </w:rPr>
              <w:t xml:space="preserve"> </w:t>
            </w:r>
            <w:r w:rsidRPr="00A26C26">
              <w:rPr>
                <w:rFonts w:cstheme="minorHAnsi"/>
              </w:rPr>
              <w:t>potrzeb</w:t>
            </w:r>
            <w:r w:rsidR="003B50ED">
              <w:rPr>
                <w:rFonts w:cstheme="minorHAnsi"/>
              </w:rPr>
              <w:t xml:space="preserve"> </w:t>
            </w:r>
            <w:r w:rsidRPr="00A26C26">
              <w:rPr>
                <w:rFonts w:cstheme="minorHAnsi"/>
              </w:rPr>
              <w:t>rynku</w:t>
            </w:r>
            <w:r w:rsidR="003B50ED">
              <w:rPr>
                <w:rFonts w:cstheme="minorHAnsi"/>
              </w:rPr>
              <w:t xml:space="preserve"> </w:t>
            </w:r>
            <w:r w:rsidRPr="00A26C26">
              <w:rPr>
                <w:rFonts w:cstheme="minorHAnsi"/>
              </w:rPr>
              <w:t>pracy)</w:t>
            </w:r>
          </w:p>
        </w:tc>
      </w:tr>
      <w:tr w:rsidR="00224658" w:rsidRPr="00A26C26" w14:paraId="72A2D655" w14:textId="77777777" w:rsidTr="007F1E76">
        <w:trPr>
          <w:trHeight w:val="249"/>
        </w:trPr>
        <w:tc>
          <w:tcPr>
            <w:tcW w:w="5100" w:type="dxa"/>
            <w:shd w:val="clear" w:color="auto" w:fill="DEEAF6" w:themeFill="accent5" w:themeFillTint="33"/>
          </w:tcPr>
          <w:p w14:paraId="5BC356D0" w14:textId="77777777" w:rsidR="00224658" w:rsidRPr="00A26C26" w:rsidRDefault="00224658" w:rsidP="00A26C26">
            <w:pPr>
              <w:spacing w:line="276" w:lineRule="auto"/>
              <w:rPr>
                <w:rFonts w:cstheme="minorHAnsi"/>
              </w:rPr>
            </w:pPr>
            <w:r w:rsidRPr="00A26C26">
              <w:rPr>
                <w:rFonts w:cstheme="minorHAnsi"/>
              </w:rPr>
              <w:t>SZANSE</w:t>
            </w:r>
          </w:p>
        </w:tc>
        <w:tc>
          <w:tcPr>
            <w:tcW w:w="5101" w:type="dxa"/>
            <w:shd w:val="clear" w:color="auto" w:fill="DEEAF6" w:themeFill="accent5" w:themeFillTint="33"/>
          </w:tcPr>
          <w:p w14:paraId="6FE656F5" w14:textId="77777777" w:rsidR="00224658" w:rsidRPr="00A26C26" w:rsidRDefault="00224658" w:rsidP="00A26C26">
            <w:pPr>
              <w:spacing w:line="276" w:lineRule="auto"/>
              <w:rPr>
                <w:rFonts w:cstheme="minorHAnsi"/>
              </w:rPr>
            </w:pPr>
            <w:r w:rsidRPr="00A26C26">
              <w:rPr>
                <w:rFonts w:cstheme="minorHAnsi"/>
              </w:rPr>
              <w:t>ZAGROŻENIA</w:t>
            </w:r>
          </w:p>
        </w:tc>
      </w:tr>
      <w:tr w:rsidR="00224658" w:rsidRPr="00A26C26" w14:paraId="1914A3EF" w14:textId="77777777" w:rsidTr="007F1E76">
        <w:trPr>
          <w:trHeight w:val="249"/>
        </w:trPr>
        <w:tc>
          <w:tcPr>
            <w:tcW w:w="5100" w:type="dxa"/>
          </w:tcPr>
          <w:p w14:paraId="6C057948" w14:textId="765975A5" w:rsidR="00224658" w:rsidRPr="00A26C26" w:rsidRDefault="00224658" w:rsidP="00A26C26">
            <w:pPr>
              <w:spacing w:line="276" w:lineRule="auto"/>
              <w:rPr>
                <w:rFonts w:cstheme="minorHAnsi"/>
              </w:rPr>
            </w:pPr>
            <w:r w:rsidRPr="00A26C26">
              <w:rPr>
                <w:rFonts w:cstheme="minorHAnsi"/>
              </w:rPr>
              <w:t>Fundusze</w:t>
            </w:r>
            <w:r w:rsidR="003B50ED">
              <w:rPr>
                <w:rFonts w:cstheme="minorHAnsi"/>
              </w:rPr>
              <w:t xml:space="preserve"> </w:t>
            </w:r>
            <w:r w:rsidRPr="00A26C26">
              <w:rPr>
                <w:rFonts w:cstheme="minorHAnsi"/>
              </w:rPr>
              <w:t>unijne</w:t>
            </w:r>
            <w:r w:rsidR="003B50ED">
              <w:rPr>
                <w:rFonts w:cstheme="minorHAnsi"/>
              </w:rPr>
              <w:t xml:space="preserve"> </w:t>
            </w:r>
            <w:r w:rsidRPr="00A26C26">
              <w:rPr>
                <w:rFonts w:cstheme="minorHAnsi"/>
              </w:rPr>
              <w:t>przeznaczone</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rozwój</w:t>
            </w:r>
            <w:r w:rsidR="003B50ED">
              <w:rPr>
                <w:rFonts w:cstheme="minorHAnsi"/>
              </w:rPr>
              <w:t xml:space="preserve"> </w:t>
            </w:r>
            <w:r w:rsidRPr="00A26C26">
              <w:rPr>
                <w:rFonts w:cstheme="minorHAnsi"/>
              </w:rPr>
              <w:t>obszarów</w:t>
            </w:r>
            <w:r w:rsidR="003B50ED">
              <w:rPr>
                <w:rFonts w:cstheme="minorHAnsi"/>
              </w:rPr>
              <w:t xml:space="preserve"> </w:t>
            </w:r>
            <w:r w:rsidRPr="00A26C26">
              <w:rPr>
                <w:rFonts w:cstheme="minorHAnsi"/>
              </w:rPr>
              <w:t>wiejskich,</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tym</w:t>
            </w:r>
            <w:r w:rsidR="003B50ED">
              <w:rPr>
                <w:rFonts w:cstheme="minorHAnsi"/>
              </w:rPr>
              <w:t xml:space="preserve"> </w:t>
            </w:r>
            <w:r w:rsidRPr="00A26C26">
              <w:rPr>
                <w:rFonts w:cstheme="minorHAnsi"/>
              </w:rPr>
              <w:t>umożliwiające</w:t>
            </w:r>
            <w:r w:rsidR="003B50ED">
              <w:rPr>
                <w:rFonts w:cstheme="minorHAnsi"/>
              </w:rPr>
              <w:t xml:space="preserve"> </w:t>
            </w:r>
            <w:r w:rsidRPr="00A26C26">
              <w:rPr>
                <w:rFonts w:cstheme="minorHAnsi"/>
              </w:rPr>
              <w:t>zatrudnianie</w:t>
            </w:r>
            <w:r w:rsidR="003B50ED">
              <w:rPr>
                <w:rFonts w:cstheme="minorHAnsi"/>
              </w:rPr>
              <w:t xml:space="preserve"> </w:t>
            </w:r>
            <w:r w:rsidRPr="00A26C26">
              <w:rPr>
                <w:rFonts w:cstheme="minorHAnsi"/>
              </w:rPr>
              <w:t>osobom</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niekorzystnej</w:t>
            </w:r>
            <w:r w:rsidR="003B50ED">
              <w:rPr>
                <w:rFonts w:cstheme="minorHAnsi"/>
              </w:rPr>
              <w:t xml:space="preserve"> </w:t>
            </w:r>
            <w:r w:rsidRPr="00A26C26">
              <w:rPr>
                <w:rFonts w:cstheme="minorHAnsi"/>
              </w:rPr>
              <w:t>sytuacji</w:t>
            </w:r>
          </w:p>
        </w:tc>
        <w:tc>
          <w:tcPr>
            <w:tcW w:w="5101" w:type="dxa"/>
          </w:tcPr>
          <w:p w14:paraId="290AA97B" w14:textId="33B90260" w:rsidR="00224658" w:rsidRPr="00A26C26" w:rsidRDefault="00224658" w:rsidP="00A26C26">
            <w:pPr>
              <w:spacing w:line="276" w:lineRule="auto"/>
              <w:rPr>
                <w:rFonts w:cstheme="minorHAnsi"/>
              </w:rPr>
            </w:pPr>
            <w:r w:rsidRPr="00A26C26">
              <w:rPr>
                <w:rFonts w:cstheme="minorHAnsi"/>
              </w:rPr>
              <w:t>Ogólnopolska</w:t>
            </w:r>
            <w:r w:rsidR="003B50ED">
              <w:rPr>
                <w:rFonts w:cstheme="minorHAnsi"/>
              </w:rPr>
              <w:t xml:space="preserve"> </w:t>
            </w:r>
            <w:r w:rsidRPr="00A26C26">
              <w:rPr>
                <w:rFonts w:cstheme="minorHAnsi"/>
              </w:rPr>
              <w:t>tendencja</w:t>
            </w:r>
            <w:r w:rsidR="003B50ED">
              <w:rPr>
                <w:rFonts w:cstheme="minorHAnsi"/>
              </w:rPr>
              <w:t xml:space="preserve"> </w:t>
            </w:r>
            <w:r w:rsidRPr="00A26C26">
              <w:rPr>
                <w:rFonts w:cstheme="minorHAnsi"/>
              </w:rPr>
              <w:t>migracji</w:t>
            </w:r>
            <w:r w:rsidR="003B50ED">
              <w:rPr>
                <w:rFonts w:cstheme="minorHAnsi"/>
              </w:rPr>
              <w:t xml:space="preserve"> </w:t>
            </w:r>
            <w:r w:rsidRPr="00A26C26">
              <w:rPr>
                <w:rFonts w:cstheme="minorHAnsi"/>
              </w:rPr>
              <w:t>ludności,</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tym</w:t>
            </w:r>
            <w:r w:rsidR="003B50ED">
              <w:rPr>
                <w:rFonts w:cstheme="minorHAnsi"/>
              </w:rPr>
              <w:t xml:space="preserve"> </w:t>
            </w:r>
            <w:r w:rsidRPr="00A26C26">
              <w:rPr>
                <w:rFonts w:cstheme="minorHAnsi"/>
              </w:rPr>
              <w:t>wyjazdy</w:t>
            </w:r>
            <w:r w:rsidR="003B50ED">
              <w:rPr>
                <w:rFonts w:cstheme="minorHAnsi"/>
              </w:rPr>
              <w:t xml:space="preserve"> </w:t>
            </w:r>
            <w:r w:rsidRPr="00A26C26">
              <w:rPr>
                <w:rFonts w:cstheme="minorHAnsi"/>
              </w:rPr>
              <w:t>do</w:t>
            </w:r>
            <w:r w:rsidR="003B50ED">
              <w:rPr>
                <w:rFonts w:cstheme="minorHAnsi"/>
              </w:rPr>
              <w:t xml:space="preserve"> </w:t>
            </w:r>
            <w:r w:rsidRPr="00A26C26">
              <w:rPr>
                <w:rFonts w:cstheme="minorHAnsi"/>
              </w:rPr>
              <w:t>pracy</w:t>
            </w:r>
            <w:r w:rsidR="003B50ED">
              <w:rPr>
                <w:rFonts w:cstheme="minorHAnsi"/>
              </w:rPr>
              <w:t xml:space="preserve"> </w:t>
            </w:r>
            <w:r w:rsidRPr="00A26C26">
              <w:rPr>
                <w:rFonts w:cstheme="minorHAnsi"/>
              </w:rPr>
              <w:t>za</w:t>
            </w:r>
            <w:r w:rsidR="003B50ED">
              <w:rPr>
                <w:rFonts w:cstheme="minorHAnsi"/>
              </w:rPr>
              <w:t xml:space="preserve"> </w:t>
            </w:r>
            <w:r w:rsidRPr="00A26C26">
              <w:rPr>
                <w:rFonts w:cstheme="minorHAnsi"/>
              </w:rPr>
              <w:t>granicę</w:t>
            </w:r>
            <w:r w:rsidR="003B50ED">
              <w:rPr>
                <w:rFonts w:cstheme="minorHAnsi"/>
              </w:rPr>
              <w:t xml:space="preserve"> </w:t>
            </w:r>
            <w:r w:rsidRPr="00A26C26">
              <w:rPr>
                <w:rFonts w:cstheme="minorHAnsi"/>
              </w:rPr>
              <w:t>(odpływ</w:t>
            </w:r>
            <w:r w:rsidR="003B50ED">
              <w:rPr>
                <w:rFonts w:cstheme="minorHAnsi"/>
              </w:rPr>
              <w:t xml:space="preserve"> </w:t>
            </w:r>
            <w:r w:rsidRPr="00A26C26">
              <w:rPr>
                <w:rFonts w:cstheme="minorHAnsi"/>
              </w:rPr>
              <w:t>siły</w:t>
            </w:r>
            <w:r w:rsidR="003B50ED">
              <w:rPr>
                <w:rFonts w:cstheme="minorHAnsi"/>
              </w:rPr>
              <w:t xml:space="preserve"> </w:t>
            </w:r>
            <w:r w:rsidRPr="00A26C26">
              <w:rPr>
                <w:rFonts w:cstheme="minorHAnsi"/>
              </w:rPr>
              <w:t>roboczej)</w:t>
            </w:r>
          </w:p>
        </w:tc>
      </w:tr>
      <w:tr w:rsidR="00224658" w:rsidRPr="00A26C26" w14:paraId="226F3544" w14:textId="77777777" w:rsidTr="007F1E76">
        <w:trPr>
          <w:trHeight w:val="249"/>
        </w:trPr>
        <w:tc>
          <w:tcPr>
            <w:tcW w:w="5100" w:type="dxa"/>
          </w:tcPr>
          <w:p w14:paraId="47E1CFE8" w14:textId="4B2FFBF9" w:rsidR="00224658" w:rsidRPr="00A26C26" w:rsidRDefault="00224658" w:rsidP="00A26C26">
            <w:pPr>
              <w:spacing w:line="276" w:lineRule="auto"/>
              <w:rPr>
                <w:rFonts w:cstheme="minorHAnsi"/>
              </w:rPr>
            </w:pPr>
            <w:r w:rsidRPr="00A26C26">
              <w:rPr>
                <w:rFonts w:cstheme="minorHAnsi"/>
              </w:rPr>
              <w:t>Rosnące</w:t>
            </w:r>
            <w:r w:rsidR="003B50ED">
              <w:rPr>
                <w:rFonts w:cstheme="minorHAnsi"/>
              </w:rPr>
              <w:t xml:space="preserve"> </w:t>
            </w:r>
            <w:r w:rsidRPr="00A26C26">
              <w:rPr>
                <w:rFonts w:cstheme="minorHAnsi"/>
              </w:rPr>
              <w:t>zainteresowanie</w:t>
            </w:r>
            <w:r w:rsidR="003B50ED">
              <w:rPr>
                <w:rFonts w:cstheme="minorHAnsi"/>
              </w:rPr>
              <w:t xml:space="preserve"> </w:t>
            </w:r>
            <w:r w:rsidRPr="00A26C26">
              <w:rPr>
                <w:rFonts w:cstheme="minorHAnsi"/>
              </w:rPr>
              <w:t>turystyką</w:t>
            </w:r>
            <w:r w:rsidR="003B50ED">
              <w:rPr>
                <w:rFonts w:cstheme="minorHAnsi"/>
              </w:rPr>
              <w:t xml:space="preserve"> </w:t>
            </w:r>
            <w:r w:rsidRPr="00A26C26">
              <w:rPr>
                <w:rFonts w:cstheme="minorHAnsi"/>
              </w:rPr>
              <w:t>specjalistyczną</w:t>
            </w:r>
            <w:r w:rsidR="003B50ED">
              <w:rPr>
                <w:rFonts w:cstheme="minorHAnsi"/>
              </w:rPr>
              <w:t xml:space="preserve"> </w:t>
            </w:r>
            <w:r w:rsidRPr="00A26C26">
              <w:rPr>
                <w:rFonts w:cstheme="minorHAnsi"/>
              </w:rPr>
              <w:t>(historyczną,</w:t>
            </w:r>
            <w:r w:rsidR="003B50ED">
              <w:rPr>
                <w:rFonts w:cstheme="minorHAnsi"/>
              </w:rPr>
              <w:t xml:space="preserve"> </w:t>
            </w:r>
            <w:r w:rsidRPr="00A26C26">
              <w:rPr>
                <w:rFonts w:cstheme="minorHAnsi"/>
              </w:rPr>
              <w:t>kulturową,</w:t>
            </w:r>
            <w:r w:rsidR="003B50ED">
              <w:rPr>
                <w:rFonts w:cstheme="minorHAnsi"/>
              </w:rPr>
              <w:t xml:space="preserve"> </w:t>
            </w:r>
            <w:r w:rsidRPr="00A26C26">
              <w:rPr>
                <w:rFonts w:cstheme="minorHAnsi"/>
              </w:rPr>
              <w:t>przyrodniczą)</w:t>
            </w:r>
          </w:p>
        </w:tc>
        <w:tc>
          <w:tcPr>
            <w:tcW w:w="5101" w:type="dxa"/>
          </w:tcPr>
          <w:p w14:paraId="3CF1C715" w14:textId="34B777F9" w:rsidR="00224658" w:rsidRPr="00A26C26" w:rsidRDefault="00224658" w:rsidP="00A26C26">
            <w:pPr>
              <w:spacing w:line="276" w:lineRule="auto"/>
              <w:rPr>
                <w:rFonts w:cstheme="minorHAnsi"/>
              </w:rPr>
            </w:pPr>
            <w:r w:rsidRPr="00A26C26">
              <w:rPr>
                <w:rFonts w:cstheme="minorHAnsi"/>
              </w:rPr>
              <w:t>Globalizacja</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wynikający</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niej</w:t>
            </w:r>
            <w:r w:rsidR="003B50ED">
              <w:rPr>
                <w:rFonts w:cstheme="minorHAnsi"/>
              </w:rPr>
              <w:t xml:space="preserve"> </w:t>
            </w:r>
            <w:r w:rsidRPr="00A26C26">
              <w:rPr>
                <w:rFonts w:cstheme="minorHAnsi"/>
              </w:rPr>
              <w:t>wzrost</w:t>
            </w:r>
            <w:r w:rsidR="003B50ED">
              <w:rPr>
                <w:rFonts w:cstheme="minorHAnsi"/>
              </w:rPr>
              <w:t xml:space="preserve"> </w:t>
            </w:r>
            <w:r w:rsidRPr="00A26C26">
              <w:rPr>
                <w:rFonts w:cstheme="minorHAnsi"/>
              </w:rPr>
              <w:t>konkurencji</w:t>
            </w:r>
            <w:r w:rsidR="003B50ED">
              <w:rPr>
                <w:rFonts w:cstheme="minorHAnsi"/>
                <w:spacing w:val="-2"/>
              </w:rPr>
              <w:t xml:space="preserve"> </w:t>
            </w:r>
            <w:r w:rsidRPr="00A26C26">
              <w:rPr>
                <w:rFonts w:cstheme="minorHAnsi"/>
              </w:rPr>
              <w:t>światowej</w:t>
            </w:r>
          </w:p>
        </w:tc>
      </w:tr>
      <w:tr w:rsidR="00224658" w:rsidRPr="00A26C26" w14:paraId="5012C68F" w14:textId="77777777" w:rsidTr="007F1E76">
        <w:trPr>
          <w:trHeight w:val="249"/>
        </w:trPr>
        <w:tc>
          <w:tcPr>
            <w:tcW w:w="5100" w:type="dxa"/>
          </w:tcPr>
          <w:p w14:paraId="1F5B33DE" w14:textId="2262DDB5" w:rsidR="00224658" w:rsidRPr="00A26C26" w:rsidRDefault="00224658" w:rsidP="00A26C26">
            <w:pPr>
              <w:spacing w:line="276" w:lineRule="auto"/>
              <w:rPr>
                <w:rFonts w:cstheme="minorHAnsi"/>
              </w:rPr>
            </w:pPr>
            <w:r w:rsidRPr="00A26C26">
              <w:rPr>
                <w:rFonts w:cstheme="minorHAnsi"/>
              </w:rPr>
              <w:t>Tendencje</w:t>
            </w:r>
            <w:r w:rsidR="003B50ED">
              <w:rPr>
                <w:rFonts w:cstheme="minorHAnsi"/>
              </w:rPr>
              <w:t xml:space="preserve"> </w:t>
            </w:r>
            <w:r w:rsidRPr="00A26C26">
              <w:rPr>
                <w:rFonts w:cstheme="minorHAnsi"/>
              </w:rPr>
              <w:t>rozwojowe</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sferze</w:t>
            </w:r>
            <w:r w:rsidR="003B50ED">
              <w:rPr>
                <w:rFonts w:cstheme="minorHAnsi"/>
              </w:rPr>
              <w:t xml:space="preserve"> </w:t>
            </w:r>
            <w:r w:rsidRPr="00A26C26">
              <w:rPr>
                <w:rFonts w:cstheme="minorHAnsi"/>
              </w:rPr>
              <w:t>odnawialnych</w:t>
            </w:r>
            <w:r w:rsidR="003B50ED">
              <w:rPr>
                <w:rFonts w:cstheme="minorHAnsi"/>
              </w:rPr>
              <w:t xml:space="preserve"> </w:t>
            </w:r>
            <w:r w:rsidRPr="00A26C26">
              <w:rPr>
                <w:rFonts w:cstheme="minorHAnsi"/>
              </w:rPr>
              <w:t>źródeł</w:t>
            </w:r>
            <w:r w:rsidR="003B50ED">
              <w:rPr>
                <w:rFonts w:cstheme="minorHAnsi"/>
              </w:rPr>
              <w:t xml:space="preserve"> </w:t>
            </w:r>
            <w:r w:rsidRPr="00A26C26">
              <w:rPr>
                <w:rFonts w:cstheme="minorHAnsi"/>
              </w:rPr>
              <w:t>energii</w:t>
            </w:r>
          </w:p>
        </w:tc>
        <w:tc>
          <w:tcPr>
            <w:tcW w:w="5101" w:type="dxa"/>
          </w:tcPr>
          <w:p w14:paraId="08E18E0A" w14:textId="0E511F52" w:rsidR="00224658" w:rsidRPr="00A26C26" w:rsidRDefault="00224658" w:rsidP="00A26C26">
            <w:pPr>
              <w:spacing w:line="276" w:lineRule="auto"/>
              <w:rPr>
                <w:rFonts w:cstheme="minorHAnsi"/>
              </w:rPr>
            </w:pPr>
            <w:r w:rsidRPr="00A26C26">
              <w:rPr>
                <w:rFonts w:cstheme="minorHAnsi"/>
              </w:rPr>
              <w:t>Spadek</w:t>
            </w:r>
            <w:r w:rsidR="003B50ED">
              <w:rPr>
                <w:rFonts w:cstheme="minorHAnsi"/>
              </w:rPr>
              <w:t xml:space="preserve"> </w:t>
            </w:r>
            <w:r w:rsidRPr="00A26C26">
              <w:rPr>
                <w:rFonts w:cstheme="minorHAnsi"/>
              </w:rPr>
              <w:t>gospodarczego</w:t>
            </w:r>
            <w:r w:rsidR="003B50ED">
              <w:rPr>
                <w:rFonts w:cstheme="minorHAnsi"/>
              </w:rPr>
              <w:t xml:space="preserve"> </w:t>
            </w:r>
            <w:r w:rsidRPr="00A26C26">
              <w:rPr>
                <w:rFonts w:cstheme="minorHAnsi"/>
              </w:rPr>
              <w:t>znaczenia</w:t>
            </w:r>
            <w:r w:rsidR="003B50ED">
              <w:rPr>
                <w:rFonts w:cstheme="minorHAnsi"/>
              </w:rPr>
              <w:t xml:space="preserve"> </w:t>
            </w:r>
            <w:r w:rsidRPr="00A26C26">
              <w:rPr>
                <w:rFonts w:cstheme="minorHAnsi"/>
              </w:rPr>
              <w:t>rolnictwa</w:t>
            </w:r>
          </w:p>
        </w:tc>
      </w:tr>
      <w:tr w:rsidR="00224658" w:rsidRPr="00A26C26" w14:paraId="7EBB07E1" w14:textId="77777777" w:rsidTr="007F1E76">
        <w:trPr>
          <w:trHeight w:val="249"/>
        </w:trPr>
        <w:tc>
          <w:tcPr>
            <w:tcW w:w="5100" w:type="dxa"/>
          </w:tcPr>
          <w:p w14:paraId="7B584D3D" w14:textId="20B8B2FE" w:rsidR="00224658" w:rsidRPr="00A26C26" w:rsidRDefault="00224658" w:rsidP="00A26C26">
            <w:pPr>
              <w:spacing w:line="276" w:lineRule="auto"/>
              <w:rPr>
                <w:rFonts w:cstheme="minorHAnsi"/>
              </w:rPr>
            </w:pPr>
            <w:r w:rsidRPr="00A26C26">
              <w:rPr>
                <w:rFonts w:cstheme="minorHAnsi"/>
              </w:rPr>
              <w:t>Moda</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zdrowy,</w:t>
            </w:r>
            <w:r w:rsidR="003B50ED">
              <w:rPr>
                <w:rFonts w:cstheme="minorHAnsi"/>
              </w:rPr>
              <w:t xml:space="preserve"> </w:t>
            </w:r>
            <w:r w:rsidRPr="00A26C26">
              <w:rPr>
                <w:rFonts w:cstheme="minorHAnsi"/>
              </w:rPr>
              <w:t>aktywny</w:t>
            </w:r>
            <w:r w:rsidR="003B50ED">
              <w:rPr>
                <w:rFonts w:cstheme="minorHAnsi"/>
              </w:rPr>
              <w:t xml:space="preserve"> </w:t>
            </w:r>
            <w:r w:rsidRPr="00A26C26">
              <w:rPr>
                <w:rFonts w:cstheme="minorHAnsi"/>
              </w:rPr>
              <w:t>tryb</w:t>
            </w:r>
            <w:r w:rsidR="003B50ED">
              <w:rPr>
                <w:rFonts w:cstheme="minorHAnsi"/>
              </w:rPr>
              <w:t xml:space="preserve"> </w:t>
            </w:r>
            <w:r w:rsidRPr="00A26C26">
              <w:rPr>
                <w:rFonts w:cstheme="minorHAnsi"/>
              </w:rPr>
              <w:t>życia</w:t>
            </w:r>
          </w:p>
        </w:tc>
        <w:tc>
          <w:tcPr>
            <w:tcW w:w="5101" w:type="dxa"/>
          </w:tcPr>
          <w:p w14:paraId="05980F94" w14:textId="7ADE2E7A" w:rsidR="00224658" w:rsidRPr="00A26C26" w:rsidRDefault="00224658" w:rsidP="00A26C26">
            <w:pPr>
              <w:spacing w:line="276" w:lineRule="auto"/>
              <w:rPr>
                <w:rFonts w:cstheme="minorHAnsi"/>
              </w:rPr>
            </w:pPr>
            <w:r w:rsidRPr="00A26C26">
              <w:rPr>
                <w:rFonts w:cstheme="minorHAnsi"/>
              </w:rPr>
              <w:t>Ogólne</w:t>
            </w:r>
            <w:r w:rsidR="003B50ED">
              <w:rPr>
                <w:rFonts w:cstheme="minorHAnsi"/>
              </w:rPr>
              <w:t xml:space="preserve"> </w:t>
            </w:r>
            <w:r w:rsidRPr="00A26C26">
              <w:rPr>
                <w:rFonts w:cstheme="minorHAnsi"/>
              </w:rPr>
              <w:t>tendencje</w:t>
            </w:r>
            <w:r w:rsidR="003B50ED">
              <w:rPr>
                <w:rFonts w:cstheme="minorHAnsi"/>
              </w:rPr>
              <w:t xml:space="preserve"> </w:t>
            </w:r>
            <w:r w:rsidRPr="00A26C26">
              <w:rPr>
                <w:rFonts w:cstheme="minorHAnsi"/>
              </w:rPr>
              <w:t>zanikania</w:t>
            </w:r>
            <w:r w:rsidR="003B50ED">
              <w:rPr>
                <w:rFonts w:cstheme="minorHAnsi"/>
              </w:rPr>
              <w:t xml:space="preserve"> </w:t>
            </w:r>
            <w:r w:rsidRPr="00A26C26">
              <w:rPr>
                <w:rFonts w:cstheme="minorHAnsi"/>
              </w:rPr>
              <w:t>tożsamości</w:t>
            </w:r>
          </w:p>
          <w:p w14:paraId="359A6254" w14:textId="788A72D3" w:rsidR="00224658" w:rsidRPr="00A26C26" w:rsidRDefault="00224658" w:rsidP="00A26C26">
            <w:pPr>
              <w:spacing w:line="276" w:lineRule="auto"/>
              <w:rPr>
                <w:rFonts w:cstheme="minorHAnsi"/>
              </w:rPr>
            </w:pPr>
            <w:r w:rsidRPr="00A26C26">
              <w:rPr>
                <w:rFonts w:cstheme="minorHAnsi"/>
              </w:rPr>
              <w:t>lokalnej</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osłabiania</w:t>
            </w:r>
            <w:r w:rsidR="003B50ED">
              <w:rPr>
                <w:rFonts w:cstheme="minorHAnsi"/>
              </w:rPr>
              <w:t xml:space="preserve"> </w:t>
            </w:r>
            <w:r w:rsidRPr="00A26C26">
              <w:rPr>
                <w:rFonts w:cstheme="minorHAnsi"/>
              </w:rPr>
              <w:t>więzi</w:t>
            </w:r>
            <w:r w:rsidR="003B50ED">
              <w:rPr>
                <w:rFonts w:cstheme="minorHAnsi"/>
              </w:rPr>
              <w:t xml:space="preserve"> </w:t>
            </w:r>
            <w:r w:rsidRPr="00A26C26">
              <w:rPr>
                <w:rFonts w:cstheme="minorHAnsi"/>
              </w:rPr>
              <w:t>społecznych</w:t>
            </w:r>
          </w:p>
        </w:tc>
      </w:tr>
      <w:tr w:rsidR="00224658" w:rsidRPr="00A26C26" w14:paraId="5019108E" w14:textId="77777777" w:rsidTr="007F1E76">
        <w:trPr>
          <w:trHeight w:val="249"/>
        </w:trPr>
        <w:tc>
          <w:tcPr>
            <w:tcW w:w="5100" w:type="dxa"/>
          </w:tcPr>
          <w:p w14:paraId="682A3AFF" w14:textId="1C79AA49" w:rsidR="00224658" w:rsidRPr="00A26C26" w:rsidRDefault="00224658" w:rsidP="00A26C26">
            <w:pPr>
              <w:spacing w:line="276" w:lineRule="auto"/>
              <w:rPr>
                <w:rFonts w:cstheme="minorHAnsi"/>
              </w:rPr>
            </w:pPr>
            <w:r w:rsidRPr="00A26C26">
              <w:rPr>
                <w:rFonts w:cstheme="minorHAnsi"/>
              </w:rPr>
              <w:t>Wzrost</w:t>
            </w:r>
            <w:r w:rsidR="003B50ED">
              <w:rPr>
                <w:rFonts w:cstheme="minorHAnsi"/>
              </w:rPr>
              <w:t xml:space="preserve"> </w:t>
            </w:r>
            <w:r w:rsidRPr="00A26C26">
              <w:rPr>
                <w:rFonts w:cstheme="minorHAnsi"/>
              </w:rPr>
              <w:t>zapotrzebowania</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żywność</w:t>
            </w:r>
            <w:r w:rsidR="003B50ED">
              <w:rPr>
                <w:rFonts w:cstheme="minorHAnsi"/>
              </w:rPr>
              <w:t xml:space="preserve"> </w:t>
            </w:r>
            <w:r w:rsidRPr="00A26C26">
              <w:rPr>
                <w:rFonts w:cstheme="minorHAnsi"/>
              </w:rPr>
              <w:t>wysokiej</w:t>
            </w:r>
            <w:r w:rsidR="003B50ED">
              <w:rPr>
                <w:rFonts w:cstheme="minorHAnsi"/>
              </w:rPr>
              <w:t xml:space="preserve"> </w:t>
            </w:r>
            <w:r w:rsidRPr="00A26C26">
              <w:rPr>
                <w:rFonts w:cstheme="minorHAnsi"/>
              </w:rPr>
              <w:t>jakości</w:t>
            </w:r>
            <w:r w:rsidR="003B50ED">
              <w:rPr>
                <w:rFonts w:cstheme="minorHAnsi"/>
              </w:rPr>
              <w:t xml:space="preserve"> </w:t>
            </w:r>
            <w:r w:rsidRPr="00A26C26">
              <w:rPr>
                <w:rFonts w:cstheme="minorHAnsi"/>
              </w:rPr>
              <w:t>(„zdrową”,</w:t>
            </w:r>
            <w:r w:rsidR="003B50ED">
              <w:rPr>
                <w:rFonts w:cstheme="minorHAnsi"/>
              </w:rPr>
              <w:t xml:space="preserve"> </w:t>
            </w:r>
            <w:r w:rsidRPr="00A26C26">
              <w:rPr>
                <w:rFonts w:cstheme="minorHAnsi"/>
              </w:rPr>
              <w:t>„ekologiczną”,</w:t>
            </w:r>
            <w:r w:rsidR="003B50ED">
              <w:rPr>
                <w:rFonts w:cstheme="minorHAnsi"/>
              </w:rPr>
              <w:t xml:space="preserve"> </w:t>
            </w:r>
            <w:r w:rsidRPr="00A26C26">
              <w:rPr>
                <w:rFonts w:cstheme="minorHAnsi"/>
              </w:rPr>
              <w:t>„tradycyjną”)</w:t>
            </w:r>
          </w:p>
        </w:tc>
        <w:tc>
          <w:tcPr>
            <w:tcW w:w="5101" w:type="dxa"/>
          </w:tcPr>
          <w:p w14:paraId="37263702" w14:textId="2D040D43" w:rsidR="00224658" w:rsidRPr="00A26C26" w:rsidRDefault="00224658" w:rsidP="00A26C26">
            <w:pPr>
              <w:spacing w:line="276" w:lineRule="auto"/>
              <w:rPr>
                <w:rFonts w:cstheme="minorHAnsi"/>
              </w:rPr>
            </w:pPr>
            <w:r w:rsidRPr="00A26C26">
              <w:rPr>
                <w:rFonts w:cstheme="minorHAnsi"/>
              </w:rPr>
              <w:t>Utrudnienia</w:t>
            </w:r>
            <w:r w:rsidR="003B50ED">
              <w:rPr>
                <w:rFonts w:cstheme="minorHAnsi"/>
              </w:rPr>
              <w:t xml:space="preserve"> </w:t>
            </w:r>
            <w:r w:rsidRPr="00A26C26">
              <w:rPr>
                <w:rFonts w:cstheme="minorHAnsi"/>
              </w:rPr>
              <w:t>prawne</w:t>
            </w:r>
            <w:r w:rsidR="003B50ED">
              <w:rPr>
                <w:rFonts w:cstheme="minorHAnsi"/>
              </w:rPr>
              <w:t xml:space="preserve"> </w:t>
            </w:r>
            <w:r w:rsidRPr="00A26C26">
              <w:rPr>
                <w:rFonts w:cstheme="minorHAnsi"/>
              </w:rPr>
              <w:t>dotyczące</w:t>
            </w:r>
            <w:r w:rsidR="003B50ED">
              <w:rPr>
                <w:rFonts w:cstheme="minorHAnsi"/>
              </w:rPr>
              <w:t xml:space="preserve"> </w:t>
            </w:r>
            <w:r w:rsidRPr="00A26C26">
              <w:rPr>
                <w:rFonts w:cstheme="minorHAnsi"/>
              </w:rPr>
              <w:t>sprzedaży</w:t>
            </w:r>
            <w:r w:rsidR="003B50ED">
              <w:rPr>
                <w:rFonts w:cstheme="minorHAnsi"/>
              </w:rPr>
              <w:t xml:space="preserve"> </w:t>
            </w:r>
            <w:r w:rsidRPr="00A26C26">
              <w:rPr>
                <w:rFonts w:cstheme="minorHAnsi"/>
              </w:rPr>
              <w:t>bezpośredniej</w:t>
            </w:r>
          </w:p>
        </w:tc>
      </w:tr>
      <w:tr w:rsidR="00224658" w:rsidRPr="00A26C26" w14:paraId="12BC0D8F" w14:textId="77777777" w:rsidTr="007F1E76">
        <w:trPr>
          <w:trHeight w:val="249"/>
        </w:trPr>
        <w:tc>
          <w:tcPr>
            <w:tcW w:w="5100" w:type="dxa"/>
          </w:tcPr>
          <w:p w14:paraId="6C9D06B4" w14:textId="5D0BA3FE" w:rsidR="00224658" w:rsidRPr="00A26C26" w:rsidRDefault="00224658" w:rsidP="00A26C26">
            <w:pPr>
              <w:spacing w:line="276" w:lineRule="auto"/>
              <w:rPr>
                <w:rFonts w:cstheme="minorHAnsi"/>
              </w:rPr>
            </w:pPr>
            <w:r w:rsidRPr="00A26C26">
              <w:rPr>
                <w:rFonts w:cstheme="minorHAnsi"/>
              </w:rPr>
              <w:t>Zainteresowanie</w:t>
            </w:r>
            <w:r w:rsidR="003B50ED">
              <w:rPr>
                <w:rFonts w:cstheme="minorHAnsi"/>
              </w:rPr>
              <w:t xml:space="preserve"> </w:t>
            </w:r>
            <w:r w:rsidRPr="00A26C26">
              <w:rPr>
                <w:rFonts w:cstheme="minorHAnsi"/>
              </w:rPr>
              <w:t>społeczeństwa</w:t>
            </w:r>
            <w:r w:rsidR="003B50ED">
              <w:rPr>
                <w:rFonts w:cstheme="minorHAnsi"/>
              </w:rPr>
              <w:t xml:space="preserve"> </w:t>
            </w:r>
            <w:r w:rsidRPr="00A26C26">
              <w:rPr>
                <w:rFonts w:cstheme="minorHAnsi"/>
              </w:rPr>
              <w:t>produktami</w:t>
            </w:r>
            <w:r w:rsidR="003B50ED">
              <w:rPr>
                <w:rFonts w:cstheme="minorHAnsi"/>
              </w:rPr>
              <w:t xml:space="preserve"> </w:t>
            </w:r>
            <w:r w:rsidRPr="00A26C26">
              <w:rPr>
                <w:rFonts w:cstheme="minorHAnsi"/>
              </w:rPr>
              <w:t>lokalnymi</w:t>
            </w:r>
          </w:p>
        </w:tc>
        <w:tc>
          <w:tcPr>
            <w:tcW w:w="5101" w:type="dxa"/>
          </w:tcPr>
          <w:p w14:paraId="5F170F8A" w14:textId="678BC7F1" w:rsidR="00224658" w:rsidRPr="00A26C26" w:rsidRDefault="00224658" w:rsidP="00A26C26">
            <w:pPr>
              <w:spacing w:line="276" w:lineRule="auto"/>
              <w:rPr>
                <w:rFonts w:cstheme="minorHAnsi"/>
              </w:rPr>
            </w:pPr>
            <w:r w:rsidRPr="00A26C26">
              <w:rPr>
                <w:rFonts w:cstheme="minorHAnsi"/>
              </w:rPr>
              <w:t>Bariery</w:t>
            </w:r>
            <w:r w:rsidR="003B50ED">
              <w:rPr>
                <w:rFonts w:cstheme="minorHAnsi"/>
              </w:rPr>
              <w:t xml:space="preserve"> </w:t>
            </w:r>
            <w:r w:rsidRPr="00A26C26">
              <w:rPr>
                <w:rFonts w:cstheme="minorHAnsi"/>
              </w:rPr>
              <w:t>biurokratyczne</w:t>
            </w:r>
            <w:r w:rsidR="003B50ED">
              <w:rPr>
                <w:rFonts w:cstheme="minorHAnsi"/>
              </w:rPr>
              <w:t xml:space="preserve"> </w:t>
            </w:r>
            <w:r w:rsidRPr="00A26C26">
              <w:rPr>
                <w:rFonts w:cstheme="minorHAnsi"/>
              </w:rPr>
              <w:t>utrudniające</w:t>
            </w:r>
            <w:r w:rsidR="003B50ED">
              <w:rPr>
                <w:rFonts w:cstheme="minorHAnsi"/>
              </w:rPr>
              <w:t xml:space="preserve"> </w:t>
            </w:r>
            <w:r w:rsidRPr="00A26C26">
              <w:rPr>
                <w:rFonts w:cstheme="minorHAnsi"/>
              </w:rPr>
              <w:t>uzyskanie</w:t>
            </w:r>
            <w:r w:rsidR="003B50ED">
              <w:rPr>
                <w:rFonts w:cstheme="minorHAnsi"/>
              </w:rPr>
              <w:t xml:space="preserve"> </w:t>
            </w:r>
            <w:r w:rsidRPr="00A26C26">
              <w:rPr>
                <w:rFonts w:cstheme="minorHAnsi"/>
              </w:rPr>
              <w:lastRenderedPageBreak/>
              <w:t>wsparcia</w:t>
            </w:r>
            <w:r w:rsidR="003B50ED">
              <w:rPr>
                <w:rFonts w:cstheme="minorHAnsi"/>
              </w:rPr>
              <w:t xml:space="preserve"> </w:t>
            </w:r>
            <w:r w:rsidRPr="00A26C26">
              <w:rPr>
                <w:rFonts w:cstheme="minorHAnsi"/>
              </w:rPr>
              <w:t>ze</w:t>
            </w:r>
            <w:r w:rsidR="003B50ED">
              <w:rPr>
                <w:rFonts w:cstheme="minorHAnsi"/>
              </w:rPr>
              <w:t xml:space="preserve"> </w:t>
            </w:r>
            <w:r w:rsidRPr="00A26C26">
              <w:rPr>
                <w:rFonts w:cstheme="minorHAnsi"/>
              </w:rPr>
              <w:t>środków</w:t>
            </w:r>
            <w:r w:rsidR="003B50ED">
              <w:rPr>
                <w:rFonts w:cstheme="minorHAnsi"/>
              </w:rPr>
              <w:t xml:space="preserve"> </w:t>
            </w:r>
            <w:r w:rsidRPr="00A26C26">
              <w:rPr>
                <w:rFonts w:cstheme="minorHAnsi"/>
              </w:rPr>
              <w:t>publicznych</w:t>
            </w:r>
            <w:r w:rsidR="003B50ED">
              <w:rPr>
                <w:rFonts w:cstheme="minorHAnsi"/>
              </w:rPr>
              <w:t xml:space="preserve"> </w:t>
            </w:r>
            <w:r w:rsidRPr="00A26C26">
              <w:rPr>
                <w:rFonts w:cstheme="minorHAnsi"/>
              </w:rPr>
              <w:t>przez</w:t>
            </w:r>
            <w:r w:rsidR="003B50ED">
              <w:rPr>
                <w:rFonts w:cstheme="minorHAnsi"/>
              </w:rPr>
              <w:t xml:space="preserve"> </w:t>
            </w:r>
            <w:r w:rsidRPr="00A26C26">
              <w:rPr>
                <w:rFonts w:cstheme="minorHAnsi"/>
              </w:rPr>
              <w:t>przedsiębiorców</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organizacje</w:t>
            </w:r>
            <w:r w:rsidR="003B50ED">
              <w:rPr>
                <w:rFonts w:cstheme="minorHAnsi"/>
              </w:rPr>
              <w:t xml:space="preserve"> </w:t>
            </w:r>
            <w:r w:rsidRPr="00A26C26">
              <w:rPr>
                <w:rFonts w:cstheme="minorHAnsi"/>
              </w:rPr>
              <w:t>pozarządowe</w:t>
            </w:r>
          </w:p>
        </w:tc>
      </w:tr>
      <w:tr w:rsidR="00224658" w:rsidRPr="00A26C26" w14:paraId="3300FA53" w14:textId="77777777" w:rsidTr="007F1E76">
        <w:trPr>
          <w:trHeight w:val="249"/>
        </w:trPr>
        <w:tc>
          <w:tcPr>
            <w:tcW w:w="5100" w:type="dxa"/>
          </w:tcPr>
          <w:p w14:paraId="5360D40E" w14:textId="2E519156" w:rsidR="00224658" w:rsidRPr="00A26C26" w:rsidRDefault="00224658" w:rsidP="00A26C26">
            <w:pPr>
              <w:spacing w:line="276" w:lineRule="auto"/>
              <w:rPr>
                <w:rFonts w:cstheme="minorHAnsi"/>
              </w:rPr>
            </w:pPr>
            <w:r w:rsidRPr="00A26C26">
              <w:rPr>
                <w:rFonts w:cstheme="minorHAnsi"/>
              </w:rPr>
              <w:lastRenderedPageBreak/>
              <w:t>Ośrodki</w:t>
            </w:r>
            <w:r w:rsidR="003B50ED">
              <w:rPr>
                <w:rFonts w:cstheme="minorHAnsi"/>
              </w:rPr>
              <w:t xml:space="preserve"> </w:t>
            </w:r>
            <w:r w:rsidRPr="00A26C26">
              <w:rPr>
                <w:rFonts w:cstheme="minorHAnsi"/>
              </w:rPr>
              <w:t>miejskie</w:t>
            </w:r>
            <w:r w:rsidR="003B50ED">
              <w:rPr>
                <w:rFonts w:cstheme="minorHAnsi"/>
              </w:rPr>
              <w:t xml:space="preserve"> </w:t>
            </w:r>
            <w:r w:rsidRPr="00A26C26">
              <w:rPr>
                <w:rFonts w:cstheme="minorHAnsi"/>
              </w:rPr>
              <w:t>(Konin,</w:t>
            </w:r>
            <w:r w:rsidR="003B50ED">
              <w:rPr>
                <w:rFonts w:cstheme="minorHAnsi"/>
              </w:rPr>
              <w:t xml:space="preserve"> </w:t>
            </w:r>
            <w:r w:rsidRPr="00A26C26">
              <w:rPr>
                <w:rFonts w:cstheme="minorHAnsi"/>
              </w:rPr>
              <w:t>Kalisz)</w:t>
            </w:r>
          </w:p>
          <w:p w14:paraId="44B40443" w14:textId="01002EA4" w:rsidR="00224658" w:rsidRPr="00A26C26" w:rsidRDefault="00224658" w:rsidP="00A26C26">
            <w:pPr>
              <w:spacing w:line="276" w:lineRule="auto"/>
              <w:rPr>
                <w:rFonts w:cstheme="minorHAnsi"/>
              </w:rPr>
            </w:pPr>
            <w:r w:rsidRPr="00A26C26">
              <w:rPr>
                <w:rFonts w:cstheme="minorHAnsi"/>
              </w:rPr>
              <w:t>jako</w:t>
            </w:r>
            <w:r w:rsidR="003B50ED">
              <w:rPr>
                <w:rFonts w:cstheme="minorHAnsi"/>
              </w:rPr>
              <w:t xml:space="preserve"> </w:t>
            </w:r>
            <w:r w:rsidRPr="00A26C26">
              <w:rPr>
                <w:rFonts w:cstheme="minorHAnsi"/>
              </w:rPr>
              <w:t>rynki</w:t>
            </w:r>
            <w:r w:rsidR="003B50ED">
              <w:rPr>
                <w:rFonts w:cstheme="minorHAnsi"/>
              </w:rPr>
              <w:t xml:space="preserve"> </w:t>
            </w:r>
            <w:r w:rsidRPr="00A26C26">
              <w:rPr>
                <w:rFonts w:cstheme="minorHAnsi"/>
              </w:rPr>
              <w:t>pracy,</w:t>
            </w:r>
            <w:r w:rsidR="003B50ED">
              <w:rPr>
                <w:rFonts w:cstheme="minorHAnsi"/>
              </w:rPr>
              <w:t xml:space="preserve"> </w:t>
            </w:r>
            <w:r w:rsidRPr="00A26C26">
              <w:rPr>
                <w:rFonts w:cstheme="minorHAnsi"/>
              </w:rPr>
              <w:t>edukacji,</w:t>
            </w:r>
            <w:r w:rsidR="003B50ED">
              <w:rPr>
                <w:rFonts w:cstheme="minorHAnsi"/>
              </w:rPr>
              <w:t xml:space="preserve"> </w:t>
            </w:r>
            <w:r w:rsidRPr="00A26C26">
              <w:rPr>
                <w:rFonts w:cstheme="minorHAnsi"/>
              </w:rPr>
              <w:t>promocji</w:t>
            </w:r>
            <w:r w:rsidR="003B50ED">
              <w:rPr>
                <w:rFonts w:cstheme="minorHAnsi"/>
              </w:rPr>
              <w:t xml:space="preserve"> </w:t>
            </w:r>
            <w:r w:rsidRPr="00A26C26">
              <w:rPr>
                <w:rFonts w:cstheme="minorHAnsi"/>
              </w:rPr>
              <w:t>obszaru</w:t>
            </w:r>
          </w:p>
        </w:tc>
        <w:tc>
          <w:tcPr>
            <w:tcW w:w="5101" w:type="dxa"/>
          </w:tcPr>
          <w:p w14:paraId="49145CC0" w14:textId="3E19E04A" w:rsidR="00224658" w:rsidRPr="00A26C26" w:rsidRDefault="00224658" w:rsidP="00A26C26">
            <w:pPr>
              <w:spacing w:line="276" w:lineRule="auto"/>
              <w:rPr>
                <w:rFonts w:cstheme="minorHAnsi"/>
              </w:rPr>
            </w:pPr>
            <w:r w:rsidRPr="00A26C26">
              <w:rPr>
                <w:rFonts w:cstheme="minorHAnsi"/>
              </w:rPr>
              <w:t>Zła</w:t>
            </w:r>
            <w:r w:rsidR="003B50ED">
              <w:rPr>
                <w:rFonts w:cstheme="minorHAnsi"/>
              </w:rPr>
              <w:t xml:space="preserve"> </w:t>
            </w:r>
            <w:r w:rsidRPr="00A26C26">
              <w:rPr>
                <w:rFonts w:cstheme="minorHAnsi"/>
              </w:rPr>
              <w:t>sytuacja</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rynku</w:t>
            </w:r>
            <w:r w:rsidR="003B50ED">
              <w:rPr>
                <w:rFonts w:cstheme="minorHAnsi"/>
              </w:rPr>
              <w:t xml:space="preserve"> </w:t>
            </w:r>
            <w:r w:rsidRPr="00A26C26">
              <w:rPr>
                <w:rFonts w:cstheme="minorHAnsi"/>
              </w:rPr>
              <w:t>pracy,</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tym</w:t>
            </w:r>
          </w:p>
          <w:p w14:paraId="2D37067F" w14:textId="01459AD0" w:rsidR="00224658" w:rsidRPr="00A26C26" w:rsidRDefault="00224658" w:rsidP="00A26C26">
            <w:pPr>
              <w:spacing w:line="276" w:lineRule="auto"/>
              <w:rPr>
                <w:rFonts w:cstheme="minorHAnsi"/>
              </w:rPr>
            </w:pPr>
            <w:r w:rsidRPr="00A26C26">
              <w:rPr>
                <w:rFonts w:cstheme="minorHAnsi"/>
              </w:rPr>
              <w:t>likwidacja</w:t>
            </w:r>
            <w:r w:rsidR="003B50ED">
              <w:rPr>
                <w:rFonts w:cstheme="minorHAnsi"/>
              </w:rPr>
              <w:t xml:space="preserve"> </w:t>
            </w:r>
            <w:r w:rsidRPr="00A26C26">
              <w:rPr>
                <w:rFonts w:cstheme="minorHAnsi"/>
              </w:rPr>
              <w:t>Elektrowni</w:t>
            </w:r>
            <w:r w:rsidR="003B50ED">
              <w:rPr>
                <w:rFonts w:cstheme="minorHAnsi"/>
              </w:rPr>
              <w:t xml:space="preserve"> </w:t>
            </w:r>
            <w:r w:rsidRPr="00A26C26">
              <w:rPr>
                <w:rFonts w:cstheme="minorHAnsi"/>
              </w:rPr>
              <w:t>Turek</w:t>
            </w:r>
          </w:p>
        </w:tc>
      </w:tr>
      <w:tr w:rsidR="00224658" w:rsidRPr="00A26C26" w14:paraId="539550E2" w14:textId="77777777" w:rsidTr="007F1E76">
        <w:trPr>
          <w:trHeight w:val="249"/>
        </w:trPr>
        <w:tc>
          <w:tcPr>
            <w:tcW w:w="5100" w:type="dxa"/>
          </w:tcPr>
          <w:p w14:paraId="479000DE" w14:textId="2E9F3375" w:rsidR="00224658" w:rsidRPr="00A26C26" w:rsidRDefault="00224658" w:rsidP="00A26C26">
            <w:pPr>
              <w:spacing w:line="276" w:lineRule="auto"/>
              <w:rPr>
                <w:rFonts w:cstheme="minorHAnsi"/>
              </w:rPr>
            </w:pPr>
            <w:r w:rsidRPr="00A26C26">
              <w:rPr>
                <w:rFonts w:cstheme="minorHAnsi"/>
              </w:rPr>
              <w:t>Tendencje</w:t>
            </w:r>
            <w:r w:rsidR="003B50ED">
              <w:rPr>
                <w:rFonts w:cstheme="minorHAnsi"/>
              </w:rPr>
              <w:t xml:space="preserve"> </w:t>
            </w:r>
            <w:r w:rsidRPr="00A26C26">
              <w:rPr>
                <w:rFonts w:cstheme="minorHAnsi"/>
              </w:rPr>
              <w:t>wielofunkcyjnego</w:t>
            </w:r>
            <w:r w:rsidR="003B50ED">
              <w:rPr>
                <w:rFonts w:cstheme="minorHAnsi"/>
              </w:rPr>
              <w:t xml:space="preserve"> </w:t>
            </w:r>
            <w:r w:rsidRPr="00A26C26">
              <w:rPr>
                <w:rFonts w:cstheme="minorHAnsi"/>
              </w:rPr>
              <w:t>rozwoju</w:t>
            </w:r>
            <w:r w:rsidR="003B50ED">
              <w:rPr>
                <w:rFonts w:cstheme="minorHAnsi"/>
              </w:rPr>
              <w:t xml:space="preserve"> </w:t>
            </w:r>
            <w:r w:rsidRPr="00A26C26">
              <w:rPr>
                <w:rFonts w:cstheme="minorHAnsi"/>
              </w:rPr>
              <w:t>wsi,</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tym</w:t>
            </w:r>
            <w:r w:rsidR="003B50ED">
              <w:rPr>
                <w:rFonts w:cstheme="minorHAnsi"/>
              </w:rPr>
              <w:t xml:space="preserve"> </w:t>
            </w:r>
            <w:r w:rsidRPr="00A26C26">
              <w:rPr>
                <w:rFonts w:cstheme="minorHAnsi"/>
              </w:rPr>
              <w:t>drobnej</w:t>
            </w:r>
            <w:r w:rsidR="003B50ED">
              <w:rPr>
                <w:rFonts w:cstheme="minorHAnsi"/>
              </w:rPr>
              <w:t xml:space="preserve"> </w:t>
            </w:r>
            <w:r w:rsidRPr="00A26C26">
              <w:rPr>
                <w:rFonts w:cstheme="minorHAnsi"/>
              </w:rPr>
              <w:t>przedsiębiorczości,</w:t>
            </w:r>
            <w:r w:rsidR="003B50ED">
              <w:rPr>
                <w:rFonts w:cstheme="minorHAnsi"/>
              </w:rPr>
              <w:t xml:space="preserve"> </w:t>
            </w:r>
            <w:r w:rsidRPr="00A26C26">
              <w:rPr>
                <w:rFonts w:cstheme="minorHAnsi"/>
              </w:rPr>
              <w:t>agroturystyki</w:t>
            </w:r>
            <w:r w:rsidR="003B50ED">
              <w:rPr>
                <w:rFonts w:cstheme="minorHAnsi"/>
              </w:rPr>
              <w:t xml:space="preserve"> </w:t>
            </w:r>
            <w:r w:rsidRPr="00A26C26">
              <w:rPr>
                <w:rFonts w:cstheme="minorHAnsi"/>
              </w:rPr>
              <w:t>itp.</w:t>
            </w:r>
          </w:p>
        </w:tc>
        <w:tc>
          <w:tcPr>
            <w:tcW w:w="5101" w:type="dxa"/>
          </w:tcPr>
          <w:p w14:paraId="7A7E1FC2" w14:textId="6BAB287B" w:rsidR="00224658" w:rsidRPr="00A26C26" w:rsidRDefault="00224658" w:rsidP="00A26C26">
            <w:pPr>
              <w:spacing w:line="276" w:lineRule="auto"/>
              <w:rPr>
                <w:rFonts w:cstheme="minorHAnsi"/>
              </w:rPr>
            </w:pPr>
            <w:r w:rsidRPr="00A26C26">
              <w:rPr>
                <w:rFonts w:cstheme="minorHAnsi"/>
              </w:rPr>
              <w:t>Konkurencyjne</w:t>
            </w:r>
            <w:r w:rsidR="003B50ED">
              <w:rPr>
                <w:rFonts w:cstheme="minorHAnsi"/>
              </w:rPr>
              <w:t xml:space="preserve"> </w:t>
            </w:r>
            <w:r w:rsidRPr="00A26C26">
              <w:rPr>
                <w:rFonts w:cstheme="minorHAnsi"/>
              </w:rPr>
              <w:t>wydarzenia</w:t>
            </w:r>
            <w:r w:rsidR="003B50ED">
              <w:rPr>
                <w:rFonts w:cstheme="minorHAnsi"/>
              </w:rPr>
              <w:t xml:space="preserve"> </w:t>
            </w:r>
            <w:r w:rsidRPr="00A26C26">
              <w:rPr>
                <w:rFonts w:cstheme="minorHAnsi"/>
              </w:rPr>
              <w:t>kulturalne</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ośrodkach</w:t>
            </w:r>
            <w:r w:rsidR="003B50ED">
              <w:rPr>
                <w:rFonts w:cstheme="minorHAnsi"/>
              </w:rPr>
              <w:t xml:space="preserve"> </w:t>
            </w:r>
            <w:r w:rsidRPr="00A26C26">
              <w:rPr>
                <w:rFonts w:cstheme="minorHAnsi"/>
              </w:rPr>
              <w:t>miejskich</w:t>
            </w:r>
            <w:r w:rsidR="003B50ED">
              <w:rPr>
                <w:rFonts w:cstheme="minorHAnsi"/>
              </w:rPr>
              <w:t xml:space="preserve"> </w:t>
            </w:r>
            <w:r w:rsidRPr="00A26C26">
              <w:rPr>
                <w:rFonts w:cstheme="minorHAnsi"/>
              </w:rPr>
              <w:t>(Konin,</w:t>
            </w:r>
            <w:r w:rsidR="003B50ED">
              <w:rPr>
                <w:rFonts w:cstheme="minorHAnsi"/>
              </w:rPr>
              <w:t xml:space="preserve"> </w:t>
            </w:r>
            <w:r w:rsidRPr="00A26C26">
              <w:rPr>
                <w:rFonts w:cstheme="minorHAnsi"/>
              </w:rPr>
              <w:t>Kalisz)</w:t>
            </w:r>
          </w:p>
        </w:tc>
      </w:tr>
      <w:tr w:rsidR="00224658" w:rsidRPr="00A26C26" w14:paraId="04A434EB" w14:textId="77777777" w:rsidTr="007F1E76">
        <w:trPr>
          <w:trHeight w:val="249"/>
        </w:trPr>
        <w:tc>
          <w:tcPr>
            <w:tcW w:w="5100" w:type="dxa"/>
          </w:tcPr>
          <w:p w14:paraId="224CCE3D" w14:textId="649708FD" w:rsidR="00224658" w:rsidRPr="00A26C26" w:rsidRDefault="00224658" w:rsidP="00A26C26">
            <w:pPr>
              <w:spacing w:line="276" w:lineRule="auto"/>
              <w:rPr>
                <w:rFonts w:cstheme="minorHAnsi"/>
              </w:rPr>
            </w:pPr>
            <w:r w:rsidRPr="00A26C26">
              <w:rPr>
                <w:rFonts w:cstheme="minorHAnsi"/>
              </w:rPr>
              <w:t>Tendencje</w:t>
            </w:r>
            <w:r w:rsidR="003B50ED">
              <w:rPr>
                <w:rFonts w:cstheme="minorHAnsi"/>
              </w:rPr>
              <w:t xml:space="preserve"> </w:t>
            </w:r>
            <w:r w:rsidRPr="00A26C26">
              <w:rPr>
                <w:rFonts w:cstheme="minorHAnsi"/>
              </w:rPr>
              <w:t>związane</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osiedlaniem</w:t>
            </w:r>
            <w:r w:rsidR="003B50ED">
              <w:rPr>
                <w:rFonts w:cstheme="minorHAnsi"/>
              </w:rPr>
              <w:t xml:space="preserve"> </w:t>
            </w:r>
            <w:r w:rsidRPr="00A26C26">
              <w:rPr>
                <w:rFonts w:cstheme="minorHAnsi"/>
              </w:rPr>
              <w:t>się</w:t>
            </w:r>
            <w:r w:rsidR="003B50ED">
              <w:rPr>
                <w:rFonts w:cstheme="minorHAnsi"/>
              </w:rPr>
              <w:t xml:space="preserve"> </w:t>
            </w:r>
            <w:r w:rsidRPr="00A26C26">
              <w:rPr>
                <w:rFonts w:cstheme="minorHAnsi"/>
              </w:rPr>
              <w:t>mieszkańców</w:t>
            </w:r>
            <w:r w:rsidR="003B50ED">
              <w:rPr>
                <w:rFonts w:cstheme="minorHAnsi"/>
              </w:rPr>
              <w:t xml:space="preserve"> </w:t>
            </w:r>
            <w:r w:rsidRPr="00A26C26">
              <w:rPr>
                <w:rFonts w:cstheme="minorHAnsi"/>
              </w:rPr>
              <w:t>miast</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wsi,</w:t>
            </w:r>
            <w:r w:rsidR="003B50ED">
              <w:rPr>
                <w:rFonts w:cstheme="minorHAnsi"/>
              </w:rPr>
              <w:t xml:space="preserve"> </w:t>
            </w:r>
            <w:r w:rsidRPr="00A26C26">
              <w:rPr>
                <w:rFonts w:cstheme="minorHAnsi"/>
              </w:rPr>
              <w:t>moda</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wieś</w:t>
            </w:r>
          </w:p>
        </w:tc>
        <w:tc>
          <w:tcPr>
            <w:tcW w:w="5101" w:type="dxa"/>
          </w:tcPr>
          <w:p w14:paraId="7790AF5B" w14:textId="77777777" w:rsidR="00224658" w:rsidRPr="00A26C26" w:rsidRDefault="00224658" w:rsidP="00A26C26">
            <w:pPr>
              <w:spacing w:line="276" w:lineRule="auto"/>
              <w:rPr>
                <w:rFonts w:cstheme="minorHAnsi"/>
              </w:rPr>
            </w:pPr>
          </w:p>
        </w:tc>
      </w:tr>
    </w:tbl>
    <w:p w14:paraId="29F5887D" w14:textId="61D14917" w:rsidR="0080076F" w:rsidRDefault="0080076F" w:rsidP="00AA737D">
      <w:pPr>
        <w:spacing w:line="276" w:lineRule="auto"/>
        <w:rPr>
          <w:rFonts w:cstheme="minorHAnsi"/>
        </w:rPr>
      </w:pPr>
      <w:r w:rsidRPr="00A26C26">
        <w:rPr>
          <w:rFonts w:cstheme="minorHAnsi"/>
        </w:rPr>
        <w:t>Źródło:</w:t>
      </w:r>
      <w:r>
        <w:rPr>
          <w:rFonts w:cstheme="minorHAnsi"/>
        </w:rPr>
        <w:t xml:space="preserve"> opracowanie własne </w:t>
      </w:r>
    </w:p>
    <w:p w14:paraId="2A8EBC6B" w14:textId="620ECBF3" w:rsidR="00224658" w:rsidRPr="00A26C26" w:rsidRDefault="00224658" w:rsidP="00A26C26">
      <w:pPr>
        <w:spacing w:line="276" w:lineRule="auto"/>
        <w:ind w:firstLine="284"/>
        <w:jc w:val="both"/>
        <w:rPr>
          <w:rFonts w:cstheme="minorHAnsi"/>
        </w:rPr>
      </w:pPr>
      <w:r w:rsidRPr="00A26C26">
        <w:rPr>
          <w:rFonts w:cstheme="minorHAnsi"/>
        </w:rPr>
        <w:t>Kwestie</w:t>
      </w:r>
      <w:r w:rsidR="003B50ED">
        <w:rPr>
          <w:rFonts w:cstheme="minorHAnsi"/>
        </w:rPr>
        <w:t xml:space="preserve"> </w:t>
      </w:r>
      <w:r w:rsidRPr="00A26C26">
        <w:rPr>
          <w:rFonts w:cstheme="minorHAnsi"/>
        </w:rPr>
        <w:t>wskazane</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powyższej</w:t>
      </w:r>
      <w:r w:rsidR="003B50ED">
        <w:rPr>
          <w:rFonts w:cstheme="minorHAnsi"/>
        </w:rPr>
        <w:t xml:space="preserve"> </w:t>
      </w:r>
      <w:r w:rsidRPr="00A26C26">
        <w:rPr>
          <w:rFonts w:cstheme="minorHAnsi"/>
        </w:rPr>
        <w:t>analizie</w:t>
      </w:r>
      <w:r w:rsidR="003B50ED">
        <w:rPr>
          <w:rFonts w:cstheme="minorHAnsi"/>
        </w:rPr>
        <w:t xml:space="preserve"> </w:t>
      </w:r>
      <w:r w:rsidRPr="00A26C26">
        <w:rPr>
          <w:rFonts w:cstheme="minorHAnsi"/>
        </w:rPr>
        <w:t>SWOT</w:t>
      </w:r>
      <w:r w:rsidR="003B50ED">
        <w:rPr>
          <w:rFonts w:cstheme="minorHAnsi"/>
        </w:rPr>
        <w:t xml:space="preserve"> </w:t>
      </w:r>
      <w:r w:rsidRPr="00A26C26">
        <w:rPr>
          <w:rFonts w:cstheme="minorHAnsi"/>
        </w:rPr>
        <w:t>zostaną</w:t>
      </w:r>
      <w:r w:rsidR="003B50ED">
        <w:rPr>
          <w:rFonts w:cstheme="minorHAnsi"/>
        </w:rPr>
        <w:t xml:space="preserve"> </w:t>
      </w:r>
      <w:r w:rsidRPr="00A26C26">
        <w:rPr>
          <w:rFonts w:cstheme="minorHAnsi"/>
        </w:rPr>
        <w:t>szczegółowo</w:t>
      </w:r>
      <w:r w:rsidR="003B50ED">
        <w:rPr>
          <w:rFonts w:cstheme="minorHAnsi"/>
        </w:rPr>
        <w:t xml:space="preserve"> </w:t>
      </w:r>
      <w:r w:rsidRPr="00A26C26">
        <w:rPr>
          <w:rFonts w:cstheme="minorHAnsi"/>
        </w:rPr>
        <w:t>omówione</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ramach</w:t>
      </w:r>
      <w:r w:rsidR="003B50ED">
        <w:rPr>
          <w:rFonts w:cstheme="minorHAnsi"/>
        </w:rPr>
        <w:t xml:space="preserve"> </w:t>
      </w:r>
      <w:r w:rsidRPr="00A26C26">
        <w:rPr>
          <w:rFonts w:cstheme="minorHAnsi"/>
        </w:rPr>
        <w:t>kluczowych</w:t>
      </w:r>
      <w:r w:rsidR="003B50ED">
        <w:rPr>
          <w:rFonts w:cstheme="minorHAnsi"/>
        </w:rPr>
        <w:t xml:space="preserve"> </w:t>
      </w:r>
      <w:r w:rsidRPr="00A26C26">
        <w:rPr>
          <w:rFonts w:cstheme="minorHAnsi"/>
        </w:rPr>
        <w:t>problemów</w:t>
      </w:r>
      <w:r w:rsidR="003B50ED">
        <w:rPr>
          <w:rFonts w:cstheme="minorHAnsi"/>
        </w:rPr>
        <w:t xml:space="preserve"> </w:t>
      </w:r>
      <w:r w:rsidRPr="00A26C26">
        <w:rPr>
          <w:rFonts w:cstheme="minorHAnsi"/>
        </w:rPr>
        <w:t>społeczno-gospodarczych,</w:t>
      </w:r>
      <w:r w:rsidR="003B50ED">
        <w:rPr>
          <w:rFonts w:cstheme="minorHAnsi"/>
        </w:rPr>
        <w:t xml:space="preserve"> </w:t>
      </w:r>
      <w:r w:rsidRPr="00A26C26">
        <w:rPr>
          <w:rFonts w:cstheme="minorHAnsi"/>
        </w:rPr>
        <w:t>jakie</w:t>
      </w:r>
      <w:r w:rsidR="003B50ED">
        <w:rPr>
          <w:rFonts w:cstheme="minorHAnsi"/>
        </w:rPr>
        <w:t xml:space="preserve"> </w:t>
      </w:r>
      <w:r w:rsidRPr="00A26C26">
        <w:rPr>
          <w:rFonts w:cstheme="minorHAnsi"/>
        </w:rPr>
        <w:t>zostały</w:t>
      </w:r>
      <w:r w:rsidR="003B50ED">
        <w:rPr>
          <w:rFonts w:cstheme="minorHAnsi"/>
        </w:rPr>
        <w:t xml:space="preserve"> </w:t>
      </w:r>
      <w:r w:rsidRPr="00A26C26">
        <w:rPr>
          <w:rFonts w:cstheme="minorHAnsi"/>
        </w:rPr>
        <w:t>objęte</w:t>
      </w:r>
      <w:r w:rsidR="003B50ED">
        <w:rPr>
          <w:rFonts w:cstheme="minorHAnsi"/>
        </w:rPr>
        <w:t xml:space="preserve"> </w:t>
      </w:r>
      <w:r w:rsidRPr="00A26C26">
        <w:rPr>
          <w:rFonts w:cstheme="minorHAnsi"/>
        </w:rPr>
        <w:t>diagnozą</w:t>
      </w:r>
      <w:r w:rsidR="004550A5">
        <w:rPr>
          <w:rFonts w:cstheme="minorHAnsi"/>
        </w:rPr>
        <w:t xml:space="preserve"> w poszczególnych rozdziałach</w:t>
      </w:r>
      <w:r w:rsidR="00B11425">
        <w:rPr>
          <w:rFonts w:cstheme="minorHAnsi"/>
        </w:rPr>
        <w:t xml:space="preserve"> LSR</w:t>
      </w:r>
      <w:r w:rsidRPr="00A26C26">
        <w:rPr>
          <w:rFonts w:cstheme="minorHAnsi"/>
        </w:rPr>
        <w:t>.</w:t>
      </w:r>
      <w:r w:rsidR="003B50ED">
        <w:rPr>
          <w:rFonts w:cstheme="minorHAnsi"/>
        </w:rPr>
        <w:t xml:space="preserve"> </w:t>
      </w:r>
    </w:p>
    <w:p w14:paraId="095D1019" w14:textId="77777777" w:rsidR="00C92EBB" w:rsidRPr="00A26C26" w:rsidRDefault="00C92EBB" w:rsidP="00A26C26">
      <w:pPr>
        <w:spacing w:line="276" w:lineRule="auto"/>
        <w:ind w:firstLine="284"/>
        <w:jc w:val="both"/>
        <w:rPr>
          <w:rFonts w:cstheme="minorHAnsi"/>
        </w:rPr>
      </w:pPr>
    </w:p>
    <w:p w14:paraId="3A16BBF5" w14:textId="5FEF2CA3" w:rsidR="00224658" w:rsidRPr="00AA737D" w:rsidRDefault="00224658" w:rsidP="00AA737D">
      <w:pPr>
        <w:pStyle w:val="Nagwek2"/>
        <w:numPr>
          <w:ilvl w:val="0"/>
          <w:numId w:val="11"/>
        </w:numPr>
        <w:spacing w:before="0" w:line="276" w:lineRule="auto"/>
        <w:rPr>
          <w:rFonts w:asciiTheme="minorHAnsi" w:hAnsiTheme="minorHAnsi" w:cstheme="minorHAnsi"/>
          <w:b/>
          <w:bCs/>
          <w:sz w:val="22"/>
          <w:szCs w:val="22"/>
        </w:rPr>
      </w:pPr>
      <w:bookmarkStart w:id="38" w:name="_Toc136260193"/>
      <w:bookmarkStart w:id="39" w:name="_Toc136944403"/>
      <w:r w:rsidRPr="00A26C26">
        <w:rPr>
          <w:rFonts w:asciiTheme="minorHAnsi" w:hAnsiTheme="minorHAnsi" w:cstheme="minorHAnsi"/>
          <w:b/>
          <w:bCs/>
          <w:sz w:val="22"/>
          <w:szCs w:val="22"/>
        </w:rPr>
        <w:t>Grupy</w:t>
      </w:r>
      <w:r w:rsidR="003B50ED">
        <w:rPr>
          <w:rFonts w:asciiTheme="minorHAnsi" w:hAnsiTheme="minorHAnsi" w:cstheme="minorHAnsi"/>
          <w:b/>
          <w:bCs/>
          <w:sz w:val="22"/>
          <w:szCs w:val="22"/>
        </w:rPr>
        <w:t xml:space="preserve"> </w:t>
      </w:r>
      <w:r w:rsidRPr="00A26C26">
        <w:rPr>
          <w:rFonts w:asciiTheme="minorHAnsi" w:hAnsiTheme="minorHAnsi" w:cstheme="minorHAnsi"/>
          <w:b/>
          <w:bCs/>
          <w:sz w:val="22"/>
          <w:szCs w:val="22"/>
        </w:rPr>
        <w:t>docelowe</w:t>
      </w:r>
      <w:r w:rsidR="003B50ED">
        <w:rPr>
          <w:rFonts w:asciiTheme="minorHAnsi" w:hAnsiTheme="minorHAnsi" w:cstheme="minorHAnsi"/>
          <w:b/>
          <w:bCs/>
          <w:sz w:val="22"/>
          <w:szCs w:val="22"/>
        </w:rPr>
        <w:t xml:space="preserve"> </w:t>
      </w:r>
      <w:r w:rsidRPr="00A26C26">
        <w:rPr>
          <w:rFonts w:asciiTheme="minorHAnsi" w:hAnsiTheme="minorHAnsi" w:cstheme="minorHAnsi"/>
          <w:b/>
          <w:bCs/>
          <w:sz w:val="22"/>
          <w:szCs w:val="22"/>
        </w:rPr>
        <w:t>szczególnie</w:t>
      </w:r>
      <w:r w:rsidR="003B50ED">
        <w:rPr>
          <w:rFonts w:asciiTheme="minorHAnsi" w:hAnsiTheme="minorHAnsi" w:cstheme="minorHAnsi"/>
          <w:b/>
          <w:bCs/>
          <w:sz w:val="22"/>
          <w:szCs w:val="22"/>
        </w:rPr>
        <w:t xml:space="preserve"> </w:t>
      </w:r>
      <w:r w:rsidRPr="00A26C26">
        <w:rPr>
          <w:rFonts w:asciiTheme="minorHAnsi" w:hAnsiTheme="minorHAnsi" w:cstheme="minorHAnsi"/>
          <w:b/>
          <w:bCs/>
          <w:sz w:val="22"/>
          <w:szCs w:val="22"/>
        </w:rPr>
        <w:t>istotne</w:t>
      </w:r>
      <w:r w:rsidR="003B50ED">
        <w:rPr>
          <w:rFonts w:asciiTheme="minorHAnsi" w:hAnsiTheme="minorHAnsi" w:cstheme="minorHAnsi"/>
          <w:b/>
          <w:bCs/>
          <w:sz w:val="22"/>
          <w:szCs w:val="22"/>
        </w:rPr>
        <w:t xml:space="preserve"> </w:t>
      </w:r>
      <w:r w:rsidRPr="00A26C26">
        <w:rPr>
          <w:rFonts w:asciiTheme="minorHAnsi" w:hAnsiTheme="minorHAnsi" w:cstheme="minorHAnsi"/>
          <w:b/>
          <w:bCs/>
          <w:sz w:val="22"/>
          <w:szCs w:val="22"/>
        </w:rPr>
        <w:t>z</w:t>
      </w:r>
      <w:r w:rsidR="003B50ED">
        <w:rPr>
          <w:rFonts w:asciiTheme="minorHAnsi" w:hAnsiTheme="minorHAnsi" w:cstheme="minorHAnsi"/>
          <w:b/>
          <w:bCs/>
          <w:sz w:val="22"/>
          <w:szCs w:val="22"/>
        </w:rPr>
        <w:t xml:space="preserve"> </w:t>
      </w:r>
      <w:r w:rsidRPr="00A26C26">
        <w:rPr>
          <w:rFonts w:asciiTheme="minorHAnsi" w:hAnsiTheme="minorHAnsi" w:cstheme="minorHAnsi"/>
          <w:b/>
          <w:bCs/>
          <w:sz w:val="22"/>
          <w:szCs w:val="22"/>
        </w:rPr>
        <w:t>punktu</w:t>
      </w:r>
      <w:r w:rsidR="003B50ED">
        <w:rPr>
          <w:rFonts w:asciiTheme="minorHAnsi" w:hAnsiTheme="minorHAnsi" w:cstheme="minorHAnsi"/>
          <w:b/>
          <w:bCs/>
          <w:sz w:val="22"/>
          <w:szCs w:val="22"/>
        </w:rPr>
        <w:t xml:space="preserve"> </w:t>
      </w:r>
      <w:r w:rsidRPr="00A26C26">
        <w:rPr>
          <w:rFonts w:asciiTheme="minorHAnsi" w:hAnsiTheme="minorHAnsi" w:cstheme="minorHAnsi"/>
          <w:b/>
          <w:bCs/>
          <w:sz w:val="22"/>
          <w:szCs w:val="22"/>
        </w:rPr>
        <w:t>widzenia</w:t>
      </w:r>
      <w:r w:rsidR="003B50ED">
        <w:rPr>
          <w:rFonts w:asciiTheme="minorHAnsi" w:hAnsiTheme="minorHAnsi" w:cstheme="minorHAnsi"/>
          <w:b/>
          <w:bCs/>
          <w:sz w:val="22"/>
          <w:szCs w:val="22"/>
        </w:rPr>
        <w:t xml:space="preserve"> </w:t>
      </w:r>
      <w:r w:rsidRPr="00A26C26">
        <w:rPr>
          <w:rFonts w:asciiTheme="minorHAnsi" w:hAnsiTheme="minorHAnsi" w:cstheme="minorHAnsi"/>
          <w:b/>
          <w:bCs/>
          <w:sz w:val="22"/>
          <w:szCs w:val="22"/>
        </w:rPr>
        <w:t>realizacji</w:t>
      </w:r>
      <w:r w:rsidR="003B50ED">
        <w:rPr>
          <w:rFonts w:asciiTheme="minorHAnsi" w:hAnsiTheme="minorHAnsi" w:cstheme="minorHAnsi"/>
          <w:b/>
          <w:bCs/>
          <w:sz w:val="22"/>
          <w:szCs w:val="22"/>
        </w:rPr>
        <w:t xml:space="preserve"> </w:t>
      </w:r>
      <w:r w:rsidRPr="00A26C26">
        <w:rPr>
          <w:rFonts w:asciiTheme="minorHAnsi" w:hAnsiTheme="minorHAnsi" w:cstheme="minorHAnsi"/>
          <w:b/>
          <w:bCs/>
          <w:sz w:val="22"/>
          <w:szCs w:val="22"/>
        </w:rPr>
        <w:t>LSR</w:t>
      </w:r>
      <w:bookmarkEnd w:id="38"/>
      <w:bookmarkEnd w:id="39"/>
    </w:p>
    <w:p w14:paraId="57050FCE" w14:textId="3B3F530A" w:rsidR="00C20F06" w:rsidRDefault="00C20F06" w:rsidP="00A26C26">
      <w:pPr>
        <w:spacing w:line="276" w:lineRule="auto"/>
        <w:ind w:firstLine="284"/>
        <w:jc w:val="both"/>
        <w:rPr>
          <w:rFonts w:eastAsia="Calibri" w:cstheme="minorHAnsi"/>
          <w:kern w:val="0"/>
          <w:lang w:eastAsia="pl-PL"/>
          <w14:ligatures w14:val="none"/>
        </w:rPr>
      </w:pPr>
      <w:r w:rsidRPr="00A26C26">
        <w:rPr>
          <w:rFonts w:eastAsia="Calibri" w:cstheme="minorHAnsi"/>
          <w:kern w:val="0"/>
          <w:lang w:eastAsia="pl-PL"/>
          <w14:ligatures w14:val="none"/>
        </w:rPr>
        <w:t>Przeprowadzone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badania,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spotkania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konsultacyjne,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wywiady</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rozmowy</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przyczyniły</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się</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do</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identyfikacji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istotnych</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grup</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docelowych,</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które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mają</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kluczowe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znaczenie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dla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założeń,</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możliwości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potencjału</w:t>
      </w:r>
      <w:r w:rsidR="003B50ED">
        <w:rPr>
          <w:rFonts w:eastAsia="Calibri" w:cstheme="minorHAnsi"/>
          <w:kern w:val="0"/>
          <w:lang w:eastAsia="pl-PL"/>
          <w14:ligatures w14:val="none"/>
        </w:rPr>
        <w:t xml:space="preserve"> </w:t>
      </w:r>
      <w:r w:rsidR="00AB742D">
        <w:rPr>
          <w:rFonts w:eastAsia="Calibri" w:cstheme="minorHAnsi"/>
          <w:kern w:val="0"/>
          <w:lang w:eastAsia="pl-PL"/>
          <w14:ligatures w14:val="none"/>
        </w:rPr>
        <w:t>LSR</w:t>
      </w:r>
      <w:r w:rsidRPr="00A26C26">
        <w:rPr>
          <w:rFonts w:eastAsia="Calibri" w:cstheme="minorHAnsi"/>
          <w:kern w:val="0"/>
          <w:lang w:eastAsia="pl-PL"/>
          <w14:ligatures w14:val="none"/>
        </w:rPr>
        <w:t>.</w:t>
      </w:r>
      <w:r w:rsidR="003B50ED">
        <w:rPr>
          <w:rFonts w:eastAsia="Calibri" w:cstheme="minorHAnsi"/>
          <w:kern w:val="0"/>
          <w:lang w:eastAsia="pl-PL"/>
          <w14:ligatures w14:val="none"/>
        </w:rPr>
        <w:t xml:space="preserve"> </w:t>
      </w:r>
    </w:p>
    <w:p w14:paraId="746A1478" w14:textId="77777777" w:rsidR="009C33D3" w:rsidRPr="00A26C26" w:rsidRDefault="009C33D3" w:rsidP="00A26C26">
      <w:pPr>
        <w:spacing w:line="276" w:lineRule="auto"/>
        <w:ind w:firstLine="284"/>
        <w:jc w:val="both"/>
        <w:rPr>
          <w:rFonts w:eastAsia="Calibri" w:cstheme="minorHAnsi"/>
          <w:kern w:val="0"/>
          <w:lang w:eastAsia="pl-PL"/>
          <w14:ligatures w14:val="none"/>
        </w:rPr>
      </w:pPr>
    </w:p>
    <w:p w14:paraId="783C491E" w14:textId="2BC01A91" w:rsidR="00C20F06" w:rsidRPr="00A26C26" w:rsidRDefault="00C20F06" w:rsidP="00A26C26">
      <w:pPr>
        <w:spacing w:line="276" w:lineRule="auto"/>
        <w:jc w:val="both"/>
        <w:rPr>
          <w:rFonts w:eastAsia="Calibri" w:cstheme="minorHAnsi"/>
          <w:kern w:val="0"/>
          <w:lang w:eastAsia="pl-PL"/>
          <w14:ligatures w14:val="none"/>
        </w:rPr>
      </w:pPr>
      <w:r w:rsidRPr="00A26C26">
        <w:rPr>
          <w:rFonts w:eastAsia="Calibri" w:cstheme="minorHAnsi"/>
          <w:kern w:val="0"/>
          <w:lang w:eastAsia="pl-PL"/>
          <w14:ligatures w14:val="none"/>
        </w:rPr>
        <w:t>Tabela</w:t>
      </w:r>
      <w:r w:rsidR="00396A11">
        <w:rPr>
          <w:rFonts w:eastAsia="Calibri" w:cstheme="minorHAnsi"/>
          <w:kern w:val="0"/>
          <w:lang w:eastAsia="pl-PL"/>
          <w14:ligatures w14:val="none"/>
        </w:rPr>
        <w:t xml:space="preserve"> </w:t>
      </w:r>
      <w:r w:rsidR="00203429">
        <w:rPr>
          <w:rFonts w:eastAsia="Calibri" w:cstheme="minorHAnsi"/>
          <w:kern w:val="0"/>
          <w:lang w:eastAsia="pl-PL"/>
          <w14:ligatures w14:val="none"/>
        </w:rPr>
        <w:t>8</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Grupy</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docelowe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szczególnie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istotne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z</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punktu</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widzenia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LSR</w:t>
      </w:r>
    </w:p>
    <w:tbl>
      <w:tblPr>
        <w:tblStyle w:val="Tabela-Siatka"/>
        <w:tblW w:w="0" w:type="auto"/>
        <w:tblLook w:val="04A0" w:firstRow="1" w:lastRow="0" w:firstColumn="1" w:lastColumn="0" w:noHBand="0" w:noVBand="1"/>
      </w:tblPr>
      <w:tblGrid>
        <w:gridCol w:w="1555"/>
        <w:gridCol w:w="8639"/>
      </w:tblGrid>
      <w:tr w:rsidR="00C20F06" w:rsidRPr="00A26C26" w14:paraId="1E579BD8" w14:textId="77777777" w:rsidTr="007F1E76">
        <w:tc>
          <w:tcPr>
            <w:tcW w:w="1555" w:type="dxa"/>
          </w:tcPr>
          <w:p w14:paraId="3BCE0AB2" w14:textId="77777777" w:rsidR="00C20F06" w:rsidRPr="00A26C26" w:rsidRDefault="00C20F06" w:rsidP="00F06E84">
            <w:pPr>
              <w:spacing w:line="276" w:lineRule="auto"/>
              <w:rPr>
                <w:rFonts w:eastAsia="Times New Roman" w:cstheme="minorHAnsi"/>
                <w:lang w:eastAsia="pl-PL"/>
              </w:rPr>
            </w:pPr>
            <w:r w:rsidRPr="00A26C26">
              <w:rPr>
                <w:rFonts w:eastAsia="Times New Roman" w:cstheme="minorHAnsi"/>
                <w:lang w:eastAsia="pl-PL"/>
              </w:rPr>
              <w:t>Przedsiębiorcy</w:t>
            </w:r>
          </w:p>
        </w:tc>
        <w:tc>
          <w:tcPr>
            <w:tcW w:w="8639" w:type="dxa"/>
          </w:tcPr>
          <w:p w14:paraId="5D3A3D89" w14:textId="6BEFCCD4" w:rsidR="00C20F06" w:rsidRPr="00A26C26" w:rsidRDefault="00C20F06" w:rsidP="00E07BED">
            <w:pPr>
              <w:spacing w:line="276" w:lineRule="auto"/>
              <w:jc w:val="both"/>
              <w:rPr>
                <w:rFonts w:eastAsia="Times New Roman" w:cstheme="minorHAnsi"/>
                <w:lang w:eastAsia="pl-PL"/>
              </w:rPr>
            </w:pPr>
            <w:r w:rsidRPr="00A26C26">
              <w:rPr>
                <w:rFonts w:eastAsia="Times New Roman" w:cstheme="minorHAnsi"/>
                <w:lang w:eastAsia="pl-PL"/>
              </w:rPr>
              <w:t>Sektor</w:t>
            </w:r>
            <w:r w:rsidR="003B50ED">
              <w:rPr>
                <w:rFonts w:eastAsia="Times New Roman" w:cstheme="minorHAnsi"/>
                <w:lang w:eastAsia="pl-PL"/>
              </w:rPr>
              <w:t xml:space="preserve"> </w:t>
            </w:r>
            <w:r w:rsidRPr="00A26C26">
              <w:rPr>
                <w:rFonts w:eastAsia="Times New Roman" w:cstheme="minorHAnsi"/>
                <w:lang w:eastAsia="pl-PL"/>
              </w:rPr>
              <w:t>małych</w:t>
            </w:r>
            <w:r w:rsidR="003B50ED">
              <w:rPr>
                <w:rFonts w:eastAsia="Times New Roman" w:cstheme="minorHAnsi"/>
                <w:lang w:eastAsia="pl-PL"/>
              </w:rPr>
              <w:t xml:space="preserve"> </w:t>
            </w:r>
            <w:r w:rsidRPr="00A26C26">
              <w:rPr>
                <w:rFonts w:eastAsia="Times New Roman" w:cstheme="minorHAnsi"/>
                <w:lang w:eastAsia="pl-PL"/>
              </w:rPr>
              <w:t>i</w:t>
            </w:r>
            <w:r w:rsidR="003B50ED">
              <w:rPr>
                <w:rFonts w:eastAsia="Times New Roman" w:cstheme="minorHAnsi"/>
                <w:lang w:eastAsia="pl-PL"/>
              </w:rPr>
              <w:t xml:space="preserve"> </w:t>
            </w:r>
            <w:r w:rsidRPr="00A26C26">
              <w:rPr>
                <w:rFonts w:eastAsia="Times New Roman" w:cstheme="minorHAnsi"/>
                <w:lang w:eastAsia="pl-PL"/>
              </w:rPr>
              <w:t>średnich</w:t>
            </w:r>
            <w:r w:rsidR="003B50ED">
              <w:rPr>
                <w:rFonts w:eastAsia="Times New Roman" w:cstheme="minorHAnsi"/>
                <w:lang w:eastAsia="pl-PL"/>
              </w:rPr>
              <w:t xml:space="preserve"> </w:t>
            </w:r>
            <w:r w:rsidRPr="00A26C26">
              <w:rPr>
                <w:rFonts w:eastAsia="Times New Roman" w:cstheme="minorHAnsi"/>
                <w:lang w:eastAsia="pl-PL"/>
              </w:rPr>
              <w:t>przedsiębiorstw</w:t>
            </w:r>
            <w:r w:rsidR="003B50ED">
              <w:rPr>
                <w:rFonts w:eastAsia="Times New Roman" w:cstheme="minorHAnsi"/>
                <w:lang w:eastAsia="pl-PL"/>
              </w:rPr>
              <w:t xml:space="preserve"> </w:t>
            </w:r>
            <w:r w:rsidRPr="00A26C26">
              <w:rPr>
                <w:rFonts w:eastAsia="Times New Roman" w:cstheme="minorHAnsi"/>
                <w:lang w:eastAsia="pl-PL"/>
              </w:rPr>
              <w:t>odgrywa</w:t>
            </w:r>
            <w:r w:rsidR="003B50ED">
              <w:rPr>
                <w:rFonts w:eastAsia="Times New Roman" w:cstheme="minorHAnsi"/>
                <w:lang w:eastAsia="pl-PL"/>
              </w:rPr>
              <w:t xml:space="preserve"> </w:t>
            </w:r>
            <w:r w:rsidRPr="00A26C26">
              <w:rPr>
                <w:rFonts w:eastAsia="Times New Roman" w:cstheme="minorHAnsi"/>
                <w:lang w:eastAsia="pl-PL"/>
              </w:rPr>
              <w:t>kluczową</w:t>
            </w:r>
            <w:r w:rsidR="003B50ED">
              <w:rPr>
                <w:rFonts w:eastAsia="Times New Roman" w:cstheme="minorHAnsi"/>
                <w:lang w:eastAsia="pl-PL"/>
              </w:rPr>
              <w:t xml:space="preserve"> </w:t>
            </w:r>
            <w:r w:rsidRPr="00A26C26">
              <w:rPr>
                <w:rFonts w:eastAsia="Times New Roman" w:cstheme="minorHAnsi"/>
                <w:lang w:eastAsia="pl-PL"/>
              </w:rPr>
              <w:t>rolę</w:t>
            </w:r>
            <w:r w:rsidR="003B50ED">
              <w:rPr>
                <w:rFonts w:eastAsia="Times New Roman" w:cstheme="minorHAnsi"/>
                <w:lang w:eastAsia="pl-PL"/>
              </w:rPr>
              <w:t xml:space="preserve"> </w:t>
            </w:r>
            <w:r w:rsidRPr="00A26C26">
              <w:rPr>
                <w:rFonts w:eastAsia="Times New Roman" w:cstheme="minorHAnsi"/>
                <w:lang w:eastAsia="pl-PL"/>
              </w:rPr>
              <w:t>w</w:t>
            </w:r>
            <w:r w:rsidR="003B50ED">
              <w:rPr>
                <w:rFonts w:eastAsia="Times New Roman" w:cstheme="minorHAnsi"/>
                <w:lang w:eastAsia="pl-PL"/>
              </w:rPr>
              <w:t xml:space="preserve"> </w:t>
            </w:r>
            <w:r w:rsidRPr="00A26C26">
              <w:rPr>
                <w:rFonts w:eastAsia="Times New Roman" w:cstheme="minorHAnsi"/>
                <w:lang w:eastAsia="pl-PL"/>
              </w:rPr>
              <w:t>tworzeniu</w:t>
            </w:r>
            <w:r w:rsidR="003B50ED">
              <w:rPr>
                <w:rFonts w:eastAsia="Times New Roman" w:cstheme="minorHAnsi"/>
                <w:lang w:eastAsia="pl-PL"/>
              </w:rPr>
              <w:t xml:space="preserve"> </w:t>
            </w:r>
            <w:r w:rsidRPr="00A26C26">
              <w:rPr>
                <w:rFonts w:eastAsia="Times New Roman" w:cstheme="minorHAnsi"/>
                <w:lang w:eastAsia="pl-PL"/>
              </w:rPr>
              <w:t>nowych</w:t>
            </w:r>
            <w:r w:rsidR="003B50ED">
              <w:rPr>
                <w:rFonts w:eastAsia="Times New Roman" w:cstheme="minorHAnsi"/>
                <w:lang w:eastAsia="pl-PL"/>
              </w:rPr>
              <w:t xml:space="preserve"> </w:t>
            </w:r>
            <w:r w:rsidRPr="00A26C26">
              <w:rPr>
                <w:rFonts w:eastAsia="Times New Roman" w:cstheme="minorHAnsi"/>
                <w:lang w:eastAsia="pl-PL"/>
              </w:rPr>
              <w:t>miejsc</w:t>
            </w:r>
            <w:r w:rsidR="003B50ED">
              <w:rPr>
                <w:rFonts w:eastAsia="Times New Roman" w:cstheme="minorHAnsi"/>
                <w:lang w:eastAsia="pl-PL"/>
              </w:rPr>
              <w:t xml:space="preserve"> </w:t>
            </w:r>
            <w:r w:rsidRPr="00A26C26">
              <w:rPr>
                <w:rFonts w:eastAsia="Times New Roman" w:cstheme="minorHAnsi"/>
                <w:lang w:eastAsia="pl-PL"/>
              </w:rPr>
              <w:t>pracy</w:t>
            </w:r>
            <w:r w:rsidR="003B50ED">
              <w:rPr>
                <w:rFonts w:eastAsia="Times New Roman" w:cstheme="minorHAnsi"/>
                <w:lang w:eastAsia="pl-PL"/>
              </w:rPr>
              <w:t xml:space="preserve"> </w:t>
            </w:r>
            <w:r w:rsidRPr="00A26C26">
              <w:rPr>
                <w:rFonts w:eastAsia="Times New Roman" w:cstheme="minorHAnsi"/>
                <w:lang w:eastAsia="pl-PL"/>
              </w:rPr>
              <w:t>i</w:t>
            </w:r>
            <w:r w:rsidR="003B50ED">
              <w:rPr>
                <w:rFonts w:eastAsia="Times New Roman" w:cstheme="minorHAnsi"/>
                <w:lang w:eastAsia="pl-PL"/>
              </w:rPr>
              <w:t xml:space="preserve"> </w:t>
            </w:r>
            <w:r w:rsidRPr="00A26C26">
              <w:rPr>
                <w:rFonts w:eastAsia="Times New Roman" w:cstheme="minorHAnsi"/>
                <w:lang w:eastAsia="pl-PL"/>
              </w:rPr>
              <w:t>przeciwdziałaniu</w:t>
            </w:r>
            <w:r w:rsidR="003B50ED">
              <w:rPr>
                <w:rFonts w:eastAsia="Times New Roman" w:cstheme="minorHAnsi"/>
                <w:lang w:eastAsia="pl-PL"/>
              </w:rPr>
              <w:t xml:space="preserve"> </w:t>
            </w:r>
            <w:r w:rsidRPr="00A26C26">
              <w:rPr>
                <w:rFonts w:eastAsia="Times New Roman" w:cstheme="minorHAnsi"/>
                <w:lang w:eastAsia="pl-PL"/>
              </w:rPr>
              <w:t>migracji</w:t>
            </w:r>
            <w:r w:rsidR="003B50ED">
              <w:rPr>
                <w:rFonts w:eastAsia="Times New Roman" w:cstheme="minorHAnsi"/>
                <w:lang w:eastAsia="pl-PL"/>
              </w:rPr>
              <w:t xml:space="preserve"> </w:t>
            </w:r>
            <w:r w:rsidRPr="00A26C26">
              <w:rPr>
                <w:rFonts w:eastAsia="Times New Roman" w:cstheme="minorHAnsi"/>
                <w:lang w:eastAsia="pl-PL"/>
              </w:rPr>
              <w:t>młodych</w:t>
            </w:r>
            <w:r w:rsidR="003B50ED">
              <w:rPr>
                <w:rFonts w:eastAsia="Times New Roman" w:cstheme="minorHAnsi"/>
                <w:lang w:eastAsia="pl-PL"/>
              </w:rPr>
              <w:t xml:space="preserve"> </w:t>
            </w:r>
            <w:r w:rsidRPr="00A26C26">
              <w:rPr>
                <w:rFonts w:eastAsia="Times New Roman" w:cstheme="minorHAnsi"/>
                <w:lang w:eastAsia="pl-PL"/>
              </w:rPr>
              <w:t>ludzi</w:t>
            </w:r>
            <w:r w:rsidR="003B50ED">
              <w:rPr>
                <w:rFonts w:eastAsia="Times New Roman" w:cstheme="minorHAnsi"/>
                <w:lang w:eastAsia="pl-PL"/>
              </w:rPr>
              <w:t xml:space="preserve"> </w:t>
            </w:r>
            <w:r w:rsidRPr="00A26C26">
              <w:rPr>
                <w:rFonts w:eastAsia="Times New Roman" w:cstheme="minorHAnsi"/>
                <w:lang w:eastAsia="pl-PL"/>
              </w:rPr>
              <w:t>do</w:t>
            </w:r>
            <w:r w:rsidR="003B50ED">
              <w:rPr>
                <w:rFonts w:eastAsia="Times New Roman" w:cstheme="minorHAnsi"/>
                <w:lang w:eastAsia="pl-PL"/>
              </w:rPr>
              <w:t xml:space="preserve"> </w:t>
            </w:r>
            <w:r w:rsidRPr="00A26C26">
              <w:rPr>
                <w:rFonts w:eastAsia="Times New Roman" w:cstheme="minorHAnsi"/>
                <w:lang w:eastAsia="pl-PL"/>
              </w:rPr>
              <w:t>miast</w:t>
            </w:r>
            <w:r w:rsidR="003B50ED">
              <w:rPr>
                <w:rFonts w:eastAsia="Times New Roman" w:cstheme="minorHAnsi"/>
                <w:lang w:eastAsia="pl-PL"/>
              </w:rPr>
              <w:t xml:space="preserve"> </w:t>
            </w:r>
            <w:r w:rsidRPr="00A26C26">
              <w:rPr>
                <w:rFonts w:eastAsia="Times New Roman" w:cstheme="minorHAnsi"/>
                <w:lang w:eastAsia="pl-PL"/>
              </w:rPr>
              <w:t>zatem</w:t>
            </w:r>
            <w:r w:rsidR="003B50ED">
              <w:rPr>
                <w:rFonts w:eastAsia="Times New Roman" w:cstheme="minorHAnsi"/>
                <w:lang w:eastAsia="pl-PL"/>
              </w:rPr>
              <w:t xml:space="preserve"> </w:t>
            </w:r>
            <w:r w:rsidRPr="00A26C26">
              <w:rPr>
                <w:rFonts w:eastAsia="Times New Roman" w:cstheme="minorHAnsi"/>
                <w:lang w:eastAsia="pl-PL"/>
              </w:rPr>
              <w:t>wymaga</w:t>
            </w:r>
            <w:r w:rsidR="003B50ED">
              <w:rPr>
                <w:rFonts w:eastAsia="Times New Roman" w:cstheme="minorHAnsi"/>
                <w:lang w:eastAsia="pl-PL"/>
              </w:rPr>
              <w:t xml:space="preserve"> </w:t>
            </w:r>
            <w:r w:rsidRPr="00A26C26">
              <w:rPr>
                <w:rFonts w:eastAsia="Times New Roman" w:cstheme="minorHAnsi"/>
                <w:lang w:eastAsia="pl-PL"/>
              </w:rPr>
              <w:t>szczególnego</w:t>
            </w:r>
            <w:r w:rsidR="003B50ED">
              <w:rPr>
                <w:rFonts w:eastAsia="Times New Roman" w:cstheme="minorHAnsi"/>
                <w:lang w:eastAsia="pl-PL"/>
              </w:rPr>
              <w:t xml:space="preserve"> </w:t>
            </w:r>
            <w:r w:rsidRPr="00A26C26">
              <w:rPr>
                <w:rFonts w:eastAsia="Times New Roman" w:cstheme="minorHAnsi"/>
                <w:lang w:eastAsia="pl-PL"/>
              </w:rPr>
              <w:t>wsparcia</w:t>
            </w:r>
            <w:r w:rsidR="003B50ED">
              <w:rPr>
                <w:rFonts w:eastAsia="Times New Roman" w:cstheme="minorHAnsi"/>
                <w:lang w:eastAsia="pl-PL"/>
              </w:rPr>
              <w:t xml:space="preserve"> </w:t>
            </w:r>
            <w:r w:rsidRPr="00A26C26">
              <w:rPr>
                <w:rFonts w:eastAsia="Times New Roman" w:cstheme="minorHAnsi"/>
                <w:lang w:eastAsia="pl-PL"/>
              </w:rPr>
              <w:t>szczególnie</w:t>
            </w:r>
            <w:r w:rsidR="003B50ED">
              <w:rPr>
                <w:rFonts w:eastAsia="Times New Roman" w:cstheme="minorHAnsi"/>
                <w:lang w:eastAsia="pl-PL"/>
              </w:rPr>
              <w:t xml:space="preserve"> </w:t>
            </w:r>
            <w:r w:rsidRPr="00A26C26">
              <w:rPr>
                <w:rFonts w:eastAsia="Times New Roman" w:cstheme="minorHAnsi"/>
                <w:lang w:eastAsia="pl-PL"/>
              </w:rPr>
              <w:t>mając</w:t>
            </w:r>
            <w:r w:rsidR="003B50ED">
              <w:rPr>
                <w:rFonts w:eastAsia="Times New Roman" w:cstheme="minorHAnsi"/>
                <w:lang w:eastAsia="pl-PL"/>
              </w:rPr>
              <w:t xml:space="preserve"> </w:t>
            </w:r>
            <w:r w:rsidRPr="00A26C26">
              <w:rPr>
                <w:rFonts w:eastAsia="Times New Roman" w:cstheme="minorHAnsi"/>
                <w:lang w:eastAsia="pl-PL"/>
              </w:rPr>
              <w:t>na</w:t>
            </w:r>
            <w:r w:rsidR="003B50ED">
              <w:rPr>
                <w:rFonts w:eastAsia="Times New Roman" w:cstheme="minorHAnsi"/>
                <w:lang w:eastAsia="pl-PL"/>
              </w:rPr>
              <w:t xml:space="preserve"> </w:t>
            </w:r>
            <w:r w:rsidRPr="00A26C26">
              <w:rPr>
                <w:rFonts w:eastAsia="Times New Roman" w:cstheme="minorHAnsi"/>
                <w:lang w:eastAsia="pl-PL"/>
              </w:rPr>
              <w:t>uwadze</w:t>
            </w:r>
            <w:r w:rsidR="003B50ED">
              <w:rPr>
                <w:rFonts w:eastAsia="Times New Roman" w:cstheme="minorHAnsi"/>
                <w:lang w:eastAsia="pl-PL"/>
              </w:rPr>
              <w:t xml:space="preserve"> </w:t>
            </w:r>
            <w:r w:rsidRPr="00A26C26">
              <w:rPr>
                <w:rFonts w:eastAsia="Times New Roman" w:cstheme="minorHAnsi"/>
                <w:lang w:eastAsia="pl-PL"/>
              </w:rPr>
              <w:t>kluczowe</w:t>
            </w:r>
            <w:r w:rsidR="003B50ED">
              <w:rPr>
                <w:rFonts w:eastAsia="Times New Roman" w:cstheme="minorHAnsi"/>
                <w:lang w:eastAsia="pl-PL"/>
              </w:rPr>
              <w:t xml:space="preserve"> </w:t>
            </w:r>
            <w:r w:rsidRPr="00A26C26">
              <w:rPr>
                <w:rFonts w:eastAsia="Times New Roman" w:cstheme="minorHAnsi"/>
                <w:lang w:eastAsia="pl-PL"/>
              </w:rPr>
              <w:t>problemy</w:t>
            </w:r>
            <w:r w:rsidR="003B50ED">
              <w:rPr>
                <w:rFonts w:eastAsia="Times New Roman" w:cstheme="minorHAnsi"/>
                <w:lang w:eastAsia="pl-PL"/>
              </w:rPr>
              <w:t xml:space="preserve"> </w:t>
            </w:r>
            <w:r w:rsidRPr="00A26C26">
              <w:rPr>
                <w:rFonts w:eastAsia="Times New Roman" w:cstheme="minorHAnsi"/>
                <w:lang w:eastAsia="pl-PL"/>
              </w:rPr>
              <w:t>obszaru</w:t>
            </w:r>
            <w:r w:rsidR="003B50ED">
              <w:rPr>
                <w:rFonts w:eastAsia="Times New Roman" w:cstheme="minorHAnsi"/>
                <w:lang w:eastAsia="pl-PL"/>
              </w:rPr>
              <w:t xml:space="preserve"> </w:t>
            </w:r>
            <w:r w:rsidRPr="00A26C26">
              <w:rPr>
                <w:rFonts w:eastAsia="Times New Roman" w:cstheme="minorHAnsi"/>
                <w:lang w:eastAsia="pl-PL"/>
              </w:rPr>
              <w:t>LSR.</w:t>
            </w:r>
          </w:p>
        </w:tc>
      </w:tr>
      <w:tr w:rsidR="00C20F06" w:rsidRPr="00A26C26" w14:paraId="5492BAED" w14:textId="77777777" w:rsidTr="007F1E76">
        <w:tc>
          <w:tcPr>
            <w:tcW w:w="1555" w:type="dxa"/>
          </w:tcPr>
          <w:p w14:paraId="538CB036" w14:textId="24A03C34" w:rsidR="00C20F06" w:rsidRPr="00A26C26" w:rsidRDefault="00C20F06" w:rsidP="00F06E84">
            <w:pPr>
              <w:spacing w:line="276" w:lineRule="auto"/>
              <w:rPr>
                <w:rFonts w:eastAsia="Times New Roman" w:cstheme="minorHAnsi"/>
                <w:lang w:eastAsia="pl-PL"/>
              </w:rPr>
            </w:pPr>
            <w:r w:rsidRPr="00A26C26">
              <w:rPr>
                <w:rFonts w:eastAsia="Times New Roman" w:cstheme="minorHAnsi"/>
                <w:lang w:eastAsia="pl-PL"/>
              </w:rPr>
              <w:t>Organizacje</w:t>
            </w:r>
            <w:r w:rsidR="003B50ED">
              <w:rPr>
                <w:rFonts w:eastAsia="Times New Roman" w:cstheme="minorHAnsi"/>
                <w:lang w:eastAsia="pl-PL"/>
              </w:rPr>
              <w:t xml:space="preserve"> </w:t>
            </w:r>
            <w:r w:rsidRPr="00A26C26">
              <w:rPr>
                <w:rFonts w:eastAsia="Times New Roman" w:cstheme="minorHAnsi"/>
                <w:lang w:eastAsia="pl-PL"/>
              </w:rPr>
              <w:t>pozarządowe</w:t>
            </w:r>
          </w:p>
        </w:tc>
        <w:tc>
          <w:tcPr>
            <w:tcW w:w="8639" w:type="dxa"/>
          </w:tcPr>
          <w:p w14:paraId="5750DF48" w14:textId="10AB631E" w:rsidR="00C20F06" w:rsidRPr="00A26C26" w:rsidRDefault="00C20F06" w:rsidP="00E07BED">
            <w:pPr>
              <w:spacing w:line="276" w:lineRule="auto"/>
              <w:jc w:val="both"/>
              <w:rPr>
                <w:rFonts w:eastAsia="Times New Roman" w:cstheme="minorHAnsi"/>
                <w:lang w:eastAsia="pl-PL"/>
              </w:rPr>
            </w:pPr>
            <w:r w:rsidRPr="00A26C26">
              <w:rPr>
                <w:rFonts w:eastAsia="Times New Roman" w:cstheme="minorHAnsi"/>
                <w:lang w:eastAsia="pl-PL"/>
              </w:rPr>
              <w:t>Jednym</w:t>
            </w:r>
            <w:r w:rsidR="003B50ED">
              <w:rPr>
                <w:rFonts w:eastAsia="Times New Roman" w:cstheme="minorHAnsi"/>
                <w:lang w:eastAsia="pl-PL"/>
              </w:rPr>
              <w:t xml:space="preserve"> </w:t>
            </w:r>
            <w:r w:rsidRPr="00A26C26">
              <w:rPr>
                <w:rFonts w:eastAsia="Times New Roman" w:cstheme="minorHAnsi"/>
                <w:lang w:eastAsia="pl-PL"/>
              </w:rPr>
              <w:t>z</w:t>
            </w:r>
            <w:r w:rsidR="003B50ED">
              <w:rPr>
                <w:rFonts w:eastAsia="Times New Roman" w:cstheme="minorHAnsi"/>
                <w:lang w:eastAsia="pl-PL"/>
              </w:rPr>
              <w:t xml:space="preserve"> </w:t>
            </w:r>
            <w:r w:rsidRPr="00A26C26">
              <w:rPr>
                <w:rFonts w:eastAsia="Times New Roman" w:cstheme="minorHAnsi"/>
                <w:lang w:eastAsia="pl-PL"/>
              </w:rPr>
              <w:t>głównych</w:t>
            </w:r>
            <w:r w:rsidR="003B50ED">
              <w:rPr>
                <w:rFonts w:eastAsia="Times New Roman" w:cstheme="minorHAnsi"/>
                <w:lang w:eastAsia="pl-PL"/>
              </w:rPr>
              <w:t xml:space="preserve"> </w:t>
            </w:r>
            <w:r w:rsidRPr="00A26C26">
              <w:rPr>
                <w:rFonts w:eastAsia="Times New Roman" w:cstheme="minorHAnsi"/>
                <w:lang w:eastAsia="pl-PL"/>
              </w:rPr>
              <w:t>wyzwań,</w:t>
            </w:r>
            <w:r w:rsidR="003B50ED">
              <w:rPr>
                <w:rFonts w:eastAsia="Times New Roman" w:cstheme="minorHAnsi"/>
                <w:lang w:eastAsia="pl-PL"/>
              </w:rPr>
              <w:t xml:space="preserve"> </w:t>
            </w:r>
            <w:r w:rsidRPr="00A26C26">
              <w:rPr>
                <w:rFonts w:eastAsia="Times New Roman" w:cstheme="minorHAnsi"/>
                <w:lang w:eastAsia="pl-PL"/>
              </w:rPr>
              <w:t>przed</w:t>
            </w:r>
            <w:r w:rsidR="003B50ED">
              <w:rPr>
                <w:rFonts w:eastAsia="Times New Roman" w:cstheme="minorHAnsi"/>
                <w:lang w:eastAsia="pl-PL"/>
              </w:rPr>
              <w:t xml:space="preserve"> </w:t>
            </w:r>
            <w:r w:rsidRPr="00A26C26">
              <w:rPr>
                <w:rFonts w:eastAsia="Times New Roman" w:cstheme="minorHAnsi"/>
                <w:lang w:eastAsia="pl-PL"/>
              </w:rPr>
              <w:t>którym</w:t>
            </w:r>
            <w:r w:rsidR="003B50ED">
              <w:rPr>
                <w:rFonts w:eastAsia="Times New Roman" w:cstheme="minorHAnsi"/>
                <w:lang w:eastAsia="pl-PL"/>
              </w:rPr>
              <w:t xml:space="preserve"> </w:t>
            </w:r>
            <w:r w:rsidRPr="00A26C26">
              <w:rPr>
                <w:rFonts w:eastAsia="Times New Roman" w:cstheme="minorHAnsi"/>
                <w:lang w:eastAsia="pl-PL"/>
              </w:rPr>
              <w:t>stają</w:t>
            </w:r>
            <w:r w:rsidR="003B50ED">
              <w:rPr>
                <w:rFonts w:eastAsia="Times New Roman" w:cstheme="minorHAnsi"/>
                <w:lang w:eastAsia="pl-PL"/>
              </w:rPr>
              <w:t xml:space="preserve"> </w:t>
            </w:r>
            <w:r w:rsidRPr="00A26C26">
              <w:rPr>
                <w:rFonts w:eastAsia="Times New Roman" w:cstheme="minorHAnsi"/>
                <w:lang w:eastAsia="pl-PL"/>
              </w:rPr>
              <w:t>organizacje</w:t>
            </w:r>
            <w:r w:rsidR="003B50ED">
              <w:rPr>
                <w:rFonts w:eastAsia="Times New Roman" w:cstheme="minorHAnsi"/>
                <w:lang w:eastAsia="pl-PL"/>
              </w:rPr>
              <w:t xml:space="preserve"> </w:t>
            </w:r>
            <w:r w:rsidRPr="00A26C26">
              <w:rPr>
                <w:rFonts w:eastAsia="Times New Roman" w:cstheme="minorHAnsi"/>
                <w:lang w:eastAsia="pl-PL"/>
              </w:rPr>
              <w:t>społeczne,</w:t>
            </w:r>
            <w:r w:rsidR="003B50ED">
              <w:rPr>
                <w:rFonts w:eastAsia="Times New Roman" w:cstheme="minorHAnsi"/>
                <w:lang w:eastAsia="pl-PL"/>
              </w:rPr>
              <w:t xml:space="preserve"> </w:t>
            </w:r>
            <w:r w:rsidRPr="00A26C26">
              <w:rPr>
                <w:rFonts w:eastAsia="Times New Roman" w:cstheme="minorHAnsi"/>
                <w:lang w:eastAsia="pl-PL"/>
              </w:rPr>
              <w:t>jest</w:t>
            </w:r>
            <w:r w:rsidR="003B50ED">
              <w:rPr>
                <w:rFonts w:eastAsia="Times New Roman" w:cstheme="minorHAnsi"/>
                <w:lang w:eastAsia="pl-PL"/>
              </w:rPr>
              <w:t xml:space="preserve"> </w:t>
            </w:r>
            <w:r w:rsidRPr="00A26C26">
              <w:rPr>
                <w:rFonts w:eastAsia="Times New Roman" w:cstheme="minorHAnsi"/>
                <w:lang w:eastAsia="pl-PL"/>
              </w:rPr>
              <w:t>brak</w:t>
            </w:r>
            <w:r w:rsidR="003B50ED">
              <w:rPr>
                <w:rFonts w:eastAsia="Times New Roman" w:cstheme="minorHAnsi"/>
                <w:lang w:eastAsia="pl-PL"/>
              </w:rPr>
              <w:t xml:space="preserve"> </w:t>
            </w:r>
            <w:r w:rsidRPr="00A26C26">
              <w:rPr>
                <w:rFonts w:eastAsia="Times New Roman" w:cstheme="minorHAnsi"/>
                <w:lang w:eastAsia="pl-PL"/>
              </w:rPr>
              <w:t>odpowiedniego</w:t>
            </w:r>
            <w:r w:rsidR="003B50ED">
              <w:rPr>
                <w:rFonts w:eastAsia="Times New Roman" w:cstheme="minorHAnsi"/>
                <w:lang w:eastAsia="pl-PL"/>
              </w:rPr>
              <w:t xml:space="preserve"> </w:t>
            </w:r>
            <w:r w:rsidRPr="00A26C26">
              <w:rPr>
                <w:rFonts w:eastAsia="Times New Roman" w:cstheme="minorHAnsi"/>
                <w:lang w:eastAsia="pl-PL"/>
              </w:rPr>
              <w:t>wyposażenia</w:t>
            </w:r>
            <w:r w:rsidR="003B50ED">
              <w:rPr>
                <w:rFonts w:eastAsia="Times New Roman" w:cstheme="minorHAnsi"/>
                <w:lang w:eastAsia="pl-PL"/>
              </w:rPr>
              <w:t xml:space="preserve"> </w:t>
            </w:r>
            <w:r w:rsidRPr="00A26C26">
              <w:rPr>
                <w:rFonts w:eastAsia="Times New Roman" w:cstheme="minorHAnsi"/>
                <w:lang w:eastAsia="pl-PL"/>
              </w:rPr>
              <w:t>i</w:t>
            </w:r>
            <w:r w:rsidR="003B50ED">
              <w:rPr>
                <w:rFonts w:eastAsia="Times New Roman" w:cstheme="minorHAnsi"/>
                <w:lang w:eastAsia="pl-PL"/>
              </w:rPr>
              <w:t xml:space="preserve"> </w:t>
            </w:r>
            <w:r w:rsidRPr="00A26C26">
              <w:rPr>
                <w:rFonts w:eastAsia="Times New Roman" w:cstheme="minorHAnsi"/>
                <w:lang w:eastAsia="pl-PL"/>
              </w:rPr>
              <w:t>ograniczone</w:t>
            </w:r>
            <w:r w:rsidR="003B50ED">
              <w:rPr>
                <w:rFonts w:eastAsia="Times New Roman" w:cstheme="minorHAnsi"/>
                <w:lang w:eastAsia="pl-PL"/>
              </w:rPr>
              <w:t xml:space="preserve"> </w:t>
            </w:r>
            <w:r w:rsidRPr="00A26C26">
              <w:rPr>
                <w:rFonts w:eastAsia="Times New Roman" w:cstheme="minorHAnsi"/>
                <w:lang w:eastAsia="pl-PL"/>
              </w:rPr>
              <w:t>możliwości</w:t>
            </w:r>
            <w:r w:rsidR="003B50ED">
              <w:rPr>
                <w:rFonts w:eastAsia="Times New Roman" w:cstheme="minorHAnsi"/>
                <w:lang w:eastAsia="pl-PL"/>
              </w:rPr>
              <w:t xml:space="preserve"> </w:t>
            </w:r>
            <w:r w:rsidRPr="00A26C26">
              <w:rPr>
                <w:rFonts w:eastAsia="Times New Roman" w:cstheme="minorHAnsi"/>
                <w:lang w:eastAsia="pl-PL"/>
              </w:rPr>
              <w:t>pozyskiwania</w:t>
            </w:r>
            <w:r w:rsidR="003B50ED">
              <w:rPr>
                <w:rFonts w:eastAsia="Times New Roman" w:cstheme="minorHAnsi"/>
                <w:lang w:eastAsia="pl-PL"/>
              </w:rPr>
              <w:t xml:space="preserve"> </w:t>
            </w:r>
            <w:r w:rsidRPr="00A26C26">
              <w:rPr>
                <w:rFonts w:eastAsia="Times New Roman" w:cstheme="minorHAnsi"/>
                <w:lang w:eastAsia="pl-PL"/>
              </w:rPr>
              <w:t>finansowania</w:t>
            </w:r>
            <w:r w:rsidR="003B50ED">
              <w:rPr>
                <w:rFonts w:eastAsia="Times New Roman" w:cstheme="minorHAnsi"/>
                <w:lang w:eastAsia="pl-PL"/>
              </w:rPr>
              <w:t xml:space="preserve"> </w:t>
            </w:r>
            <w:r w:rsidRPr="00A26C26">
              <w:rPr>
                <w:rFonts w:eastAsia="Times New Roman" w:cstheme="minorHAnsi"/>
                <w:lang w:eastAsia="pl-PL"/>
              </w:rPr>
              <w:t>na</w:t>
            </w:r>
            <w:r w:rsidR="003B50ED">
              <w:rPr>
                <w:rFonts w:eastAsia="Times New Roman" w:cstheme="minorHAnsi"/>
                <w:lang w:eastAsia="pl-PL"/>
              </w:rPr>
              <w:t xml:space="preserve"> </w:t>
            </w:r>
            <w:r w:rsidRPr="00A26C26">
              <w:rPr>
                <w:rFonts w:eastAsia="Times New Roman" w:cstheme="minorHAnsi"/>
                <w:lang w:eastAsia="pl-PL"/>
              </w:rPr>
              <w:t>swoje</w:t>
            </w:r>
            <w:r w:rsidR="003B50ED">
              <w:rPr>
                <w:rFonts w:eastAsia="Times New Roman" w:cstheme="minorHAnsi"/>
                <w:lang w:eastAsia="pl-PL"/>
              </w:rPr>
              <w:t xml:space="preserve"> </w:t>
            </w:r>
            <w:r w:rsidRPr="00A26C26">
              <w:rPr>
                <w:rFonts w:eastAsia="Times New Roman" w:cstheme="minorHAnsi"/>
                <w:lang w:eastAsia="pl-PL"/>
              </w:rPr>
              <w:t>planowane</w:t>
            </w:r>
            <w:r w:rsidR="003B50ED">
              <w:rPr>
                <w:rFonts w:eastAsia="Times New Roman" w:cstheme="minorHAnsi"/>
                <w:lang w:eastAsia="pl-PL"/>
              </w:rPr>
              <w:t xml:space="preserve"> </w:t>
            </w:r>
            <w:r w:rsidRPr="00A26C26">
              <w:rPr>
                <w:rFonts w:eastAsia="Times New Roman" w:cstheme="minorHAnsi"/>
                <w:lang w:eastAsia="pl-PL"/>
              </w:rPr>
              <w:t>projekty</w:t>
            </w:r>
            <w:r w:rsidR="003B50ED">
              <w:rPr>
                <w:rFonts w:eastAsia="Times New Roman" w:cstheme="minorHAnsi"/>
                <w:lang w:eastAsia="pl-PL"/>
              </w:rPr>
              <w:t xml:space="preserve"> </w:t>
            </w:r>
            <w:r w:rsidRPr="00A26C26">
              <w:rPr>
                <w:rFonts w:eastAsia="Times New Roman" w:cstheme="minorHAnsi"/>
                <w:lang w:eastAsia="pl-PL"/>
              </w:rPr>
              <w:t>oraz</w:t>
            </w:r>
            <w:r w:rsidR="003B50ED">
              <w:rPr>
                <w:rFonts w:eastAsia="Times New Roman" w:cstheme="minorHAnsi"/>
                <w:lang w:eastAsia="pl-PL"/>
              </w:rPr>
              <w:t xml:space="preserve"> </w:t>
            </w:r>
            <w:r w:rsidRPr="00A26C26">
              <w:rPr>
                <w:rFonts w:eastAsia="Times New Roman" w:cstheme="minorHAnsi"/>
                <w:lang w:eastAsia="pl-PL"/>
              </w:rPr>
              <w:t>brak</w:t>
            </w:r>
            <w:r w:rsidR="003B50ED">
              <w:rPr>
                <w:rFonts w:eastAsia="Times New Roman" w:cstheme="minorHAnsi"/>
                <w:lang w:eastAsia="pl-PL"/>
              </w:rPr>
              <w:t xml:space="preserve"> </w:t>
            </w:r>
            <w:r w:rsidRPr="00A26C26">
              <w:rPr>
                <w:rFonts w:eastAsia="Times New Roman" w:cstheme="minorHAnsi"/>
                <w:lang w:eastAsia="pl-PL"/>
              </w:rPr>
              <w:t>możliwości</w:t>
            </w:r>
            <w:r w:rsidR="003B50ED">
              <w:rPr>
                <w:rFonts w:eastAsia="Times New Roman" w:cstheme="minorHAnsi"/>
                <w:lang w:eastAsia="pl-PL"/>
              </w:rPr>
              <w:t xml:space="preserve"> </w:t>
            </w:r>
            <w:r w:rsidRPr="00A26C26">
              <w:rPr>
                <w:rFonts w:eastAsia="Times New Roman" w:cstheme="minorHAnsi"/>
                <w:lang w:eastAsia="pl-PL"/>
              </w:rPr>
              <w:t>stworzenia</w:t>
            </w:r>
            <w:r w:rsidR="003B50ED">
              <w:rPr>
                <w:rFonts w:eastAsia="Times New Roman" w:cstheme="minorHAnsi"/>
                <w:lang w:eastAsia="pl-PL"/>
              </w:rPr>
              <w:t xml:space="preserve"> </w:t>
            </w:r>
            <w:r w:rsidRPr="00A26C26">
              <w:rPr>
                <w:rFonts w:eastAsia="Times New Roman" w:cstheme="minorHAnsi"/>
                <w:lang w:eastAsia="pl-PL"/>
              </w:rPr>
              <w:t>stałych</w:t>
            </w:r>
            <w:r w:rsidR="003B50ED">
              <w:rPr>
                <w:rFonts w:eastAsia="Times New Roman" w:cstheme="minorHAnsi"/>
                <w:lang w:eastAsia="pl-PL"/>
              </w:rPr>
              <w:t xml:space="preserve"> </w:t>
            </w:r>
            <w:r w:rsidRPr="00A26C26">
              <w:rPr>
                <w:rFonts w:eastAsia="Times New Roman" w:cstheme="minorHAnsi"/>
                <w:lang w:eastAsia="pl-PL"/>
              </w:rPr>
              <w:t>kadr</w:t>
            </w:r>
            <w:r w:rsidR="003B50ED">
              <w:rPr>
                <w:rFonts w:eastAsia="Times New Roman" w:cstheme="minorHAnsi"/>
                <w:lang w:eastAsia="pl-PL"/>
              </w:rPr>
              <w:t xml:space="preserve"> </w:t>
            </w:r>
            <w:r w:rsidRPr="00A26C26">
              <w:rPr>
                <w:rFonts w:eastAsia="Times New Roman" w:cstheme="minorHAnsi"/>
                <w:lang w:eastAsia="pl-PL"/>
              </w:rPr>
              <w:t>–</w:t>
            </w:r>
            <w:r w:rsidR="003B50ED">
              <w:rPr>
                <w:rFonts w:eastAsia="Times New Roman" w:cstheme="minorHAnsi"/>
                <w:lang w:eastAsia="pl-PL"/>
              </w:rPr>
              <w:t xml:space="preserve"> </w:t>
            </w:r>
            <w:r w:rsidRPr="00A26C26">
              <w:rPr>
                <w:rFonts w:eastAsia="Times New Roman" w:cstheme="minorHAnsi"/>
                <w:lang w:eastAsia="pl-PL"/>
              </w:rPr>
              <w:t>zatrudnienia</w:t>
            </w:r>
            <w:r w:rsidR="003B50ED">
              <w:rPr>
                <w:rFonts w:eastAsia="Times New Roman" w:cstheme="minorHAnsi"/>
                <w:lang w:eastAsia="pl-PL"/>
              </w:rPr>
              <w:t xml:space="preserve"> </w:t>
            </w:r>
            <w:r w:rsidRPr="00A26C26">
              <w:rPr>
                <w:rFonts w:eastAsia="Times New Roman" w:cstheme="minorHAnsi"/>
                <w:lang w:eastAsia="pl-PL"/>
              </w:rPr>
              <w:t>merytorycznie</w:t>
            </w:r>
            <w:r w:rsidR="003B50ED">
              <w:rPr>
                <w:rFonts w:eastAsia="Times New Roman" w:cstheme="minorHAnsi"/>
                <w:lang w:eastAsia="pl-PL"/>
              </w:rPr>
              <w:t xml:space="preserve"> </w:t>
            </w:r>
            <w:r w:rsidRPr="00A26C26">
              <w:rPr>
                <w:rFonts w:eastAsia="Times New Roman" w:cstheme="minorHAnsi"/>
                <w:lang w:eastAsia="pl-PL"/>
              </w:rPr>
              <w:t>przygotowanych</w:t>
            </w:r>
            <w:r w:rsidR="003B50ED">
              <w:rPr>
                <w:rFonts w:eastAsia="Times New Roman" w:cstheme="minorHAnsi"/>
                <w:lang w:eastAsia="pl-PL"/>
              </w:rPr>
              <w:t xml:space="preserve"> </w:t>
            </w:r>
            <w:r w:rsidRPr="00A26C26">
              <w:rPr>
                <w:rFonts w:eastAsia="Times New Roman" w:cstheme="minorHAnsi"/>
                <w:lang w:eastAsia="pl-PL"/>
              </w:rPr>
              <w:t>osób.</w:t>
            </w:r>
            <w:r w:rsidR="003B50ED">
              <w:rPr>
                <w:rFonts w:eastAsia="Times New Roman" w:cstheme="minorHAnsi"/>
                <w:lang w:eastAsia="pl-PL"/>
              </w:rPr>
              <w:t xml:space="preserve"> </w:t>
            </w:r>
            <w:r w:rsidRPr="00A26C26">
              <w:rPr>
                <w:rFonts w:eastAsia="Times New Roman" w:cstheme="minorHAnsi"/>
                <w:lang w:eastAsia="pl-PL"/>
              </w:rPr>
              <w:t>Mimo</w:t>
            </w:r>
            <w:r w:rsidR="003B50ED">
              <w:rPr>
                <w:rFonts w:eastAsia="Times New Roman" w:cstheme="minorHAnsi"/>
                <w:lang w:eastAsia="pl-PL"/>
              </w:rPr>
              <w:t xml:space="preserve"> </w:t>
            </w:r>
            <w:r w:rsidRPr="00A26C26">
              <w:rPr>
                <w:rFonts w:eastAsia="Times New Roman" w:cstheme="minorHAnsi"/>
                <w:lang w:eastAsia="pl-PL"/>
              </w:rPr>
              <w:t>to,</w:t>
            </w:r>
            <w:r w:rsidR="003B50ED">
              <w:rPr>
                <w:rFonts w:eastAsia="Times New Roman" w:cstheme="minorHAnsi"/>
                <w:lang w:eastAsia="pl-PL"/>
              </w:rPr>
              <w:t xml:space="preserve"> </w:t>
            </w:r>
            <w:r w:rsidRPr="00A26C26">
              <w:rPr>
                <w:rFonts w:eastAsia="Times New Roman" w:cstheme="minorHAnsi"/>
                <w:lang w:eastAsia="pl-PL"/>
              </w:rPr>
              <w:t>te</w:t>
            </w:r>
            <w:r w:rsidR="003B50ED">
              <w:rPr>
                <w:rFonts w:eastAsia="Times New Roman" w:cstheme="minorHAnsi"/>
                <w:lang w:eastAsia="pl-PL"/>
              </w:rPr>
              <w:t xml:space="preserve"> </w:t>
            </w:r>
            <w:r w:rsidRPr="00A26C26">
              <w:rPr>
                <w:rFonts w:eastAsia="Times New Roman" w:cstheme="minorHAnsi"/>
                <w:lang w:eastAsia="pl-PL"/>
              </w:rPr>
              <w:t>organizacje</w:t>
            </w:r>
            <w:r w:rsidR="003B50ED">
              <w:rPr>
                <w:rFonts w:eastAsia="Times New Roman" w:cstheme="minorHAnsi"/>
                <w:lang w:eastAsia="pl-PL"/>
              </w:rPr>
              <w:t xml:space="preserve"> </w:t>
            </w:r>
            <w:r w:rsidRPr="00A26C26">
              <w:rPr>
                <w:rFonts w:eastAsia="Times New Roman" w:cstheme="minorHAnsi"/>
                <w:lang w:eastAsia="pl-PL"/>
              </w:rPr>
              <w:t>posiadają</w:t>
            </w:r>
            <w:r w:rsidR="003B50ED">
              <w:rPr>
                <w:rFonts w:eastAsia="Times New Roman" w:cstheme="minorHAnsi"/>
                <w:lang w:eastAsia="pl-PL"/>
              </w:rPr>
              <w:t xml:space="preserve"> </w:t>
            </w:r>
            <w:r w:rsidRPr="00A26C26">
              <w:rPr>
                <w:rFonts w:eastAsia="Times New Roman" w:cstheme="minorHAnsi"/>
                <w:lang w:eastAsia="pl-PL"/>
              </w:rPr>
              <w:t>ogromny</w:t>
            </w:r>
            <w:r w:rsidR="003B50ED">
              <w:rPr>
                <w:rFonts w:eastAsia="Times New Roman" w:cstheme="minorHAnsi"/>
                <w:lang w:eastAsia="pl-PL"/>
              </w:rPr>
              <w:t xml:space="preserve"> </w:t>
            </w:r>
            <w:r w:rsidRPr="00A26C26">
              <w:rPr>
                <w:rFonts w:eastAsia="Times New Roman" w:cstheme="minorHAnsi"/>
                <w:lang w:eastAsia="pl-PL"/>
              </w:rPr>
              <w:t>potencjał</w:t>
            </w:r>
            <w:r w:rsidR="003B50ED">
              <w:rPr>
                <w:rFonts w:eastAsia="Times New Roman" w:cstheme="minorHAnsi"/>
                <w:lang w:eastAsia="pl-PL"/>
              </w:rPr>
              <w:t xml:space="preserve"> </w:t>
            </w:r>
            <w:r w:rsidRPr="00A26C26">
              <w:rPr>
                <w:rFonts w:eastAsia="Times New Roman" w:cstheme="minorHAnsi"/>
                <w:lang w:eastAsia="pl-PL"/>
              </w:rPr>
              <w:t>oraz</w:t>
            </w:r>
            <w:r w:rsidR="003B50ED">
              <w:rPr>
                <w:rFonts w:eastAsia="Times New Roman" w:cstheme="minorHAnsi"/>
                <w:lang w:eastAsia="pl-PL"/>
              </w:rPr>
              <w:t xml:space="preserve"> </w:t>
            </w:r>
            <w:r w:rsidRPr="00A26C26">
              <w:rPr>
                <w:rFonts w:eastAsia="Times New Roman" w:cstheme="minorHAnsi"/>
                <w:lang w:eastAsia="pl-PL"/>
              </w:rPr>
              <w:t>kreatywne</w:t>
            </w:r>
            <w:r w:rsidR="003B50ED">
              <w:rPr>
                <w:rFonts w:eastAsia="Times New Roman" w:cstheme="minorHAnsi"/>
                <w:lang w:eastAsia="pl-PL"/>
              </w:rPr>
              <w:t xml:space="preserve"> </w:t>
            </w:r>
            <w:r w:rsidRPr="00A26C26">
              <w:rPr>
                <w:rFonts w:eastAsia="Times New Roman" w:cstheme="minorHAnsi"/>
                <w:lang w:eastAsia="pl-PL"/>
              </w:rPr>
              <w:t>pomysły</w:t>
            </w:r>
            <w:r w:rsidR="003B50ED">
              <w:rPr>
                <w:rFonts w:eastAsia="Times New Roman" w:cstheme="minorHAnsi"/>
                <w:lang w:eastAsia="pl-PL"/>
              </w:rPr>
              <w:t xml:space="preserve"> </w:t>
            </w:r>
            <w:r w:rsidRPr="00A26C26">
              <w:rPr>
                <w:rFonts w:eastAsia="Times New Roman" w:cstheme="minorHAnsi"/>
                <w:lang w:eastAsia="pl-PL"/>
              </w:rPr>
              <w:t>na</w:t>
            </w:r>
            <w:r w:rsidR="003B50ED">
              <w:rPr>
                <w:rFonts w:eastAsia="Times New Roman" w:cstheme="minorHAnsi"/>
                <w:lang w:eastAsia="pl-PL"/>
              </w:rPr>
              <w:t xml:space="preserve"> </w:t>
            </w:r>
            <w:r w:rsidRPr="00A26C26">
              <w:rPr>
                <w:rFonts w:eastAsia="Times New Roman" w:cstheme="minorHAnsi"/>
                <w:lang w:eastAsia="pl-PL"/>
              </w:rPr>
              <w:t>współpracę</w:t>
            </w:r>
            <w:r w:rsidR="003B50ED">
              <w:rPr>
                <w:rFonts w:eastAsia="Times New Roman" w:cstheme="minorHAnsi"/>
                <w:lang w:eastAsia="pl-PL"/>
              </w:rPr>
              <w:t xml:space="preserve"> </w:t>
            </w:r>
            <w:r w:rsidRPr="00A26C26">
              <w:rPr>
                <w:rFonts w:eastAsia="Times New Roman" w:cstheme="minorHAnsi"/>
                <w:lang w:eastAsia="pl-PL"/>
              </w:rPr>
              <w:t>z</w:t>
            </w:r>
            <w:r w:rsidR="003B50ED">
              <w:rPr>
                <w:rFonts w:eastAsia="Times New Roman" w:cstheme="minorHAnsi"/>
                <w:lang w:eastAsia="pl-PL"/>
              </w:rPr>
              <w:t xml:space="preserve"> </w:t>
            </w:r>
            <w:r w:rsidRPr="00A26C26">
              <w:rPr>
                <w:rFonts w:eastAsia="Times New Roman" w:cstheme="minorHAnsi"/>
                <w:lang w:eastAsia="pl-PL"/>
              </w:rPr>
              <w:t>innymi</w:t>
            </w:r>
            <w:r w:rsidR="003B50ED">
              <w:rPr>
                <w:rFonts w:eastAsia="Times New Roman" w:cstheme="minorHAnsi"/>
                <w:lang w:eastAsia="pl-PL"/>
              </w:rPr>
              <w:t xml:space="preserve"> </w:t>
            </w:r>
            <w:r w:rsidRPr="00A26C26">
              <w:rPr>
                <w:rFonts w:eastAsia="Times New Roman" w:cstheme="minorHAnsi"/>
                <w:lang w:eastAsia="pl-PL"/>
              </w:rPr>
              <w:t>podmiotami.</w:t>
            </w:r>
            <w:r w:rsidR="003B50ED">
              <w:rPr>
                <w:rFonts w:eastAsia="Times New Roman" w:cstheme="minorHAnsi"/>
                <w:lang w:eastAsia="pl-PL"/>
              </w:rPr>
              <w:t xml:space="preserve"> </w:t>
            </w:r>
            <w:r w:rsidRPr="00A26C26">
              <w:rPr>
                <w:rFonts w:eastAsia="Times New Roman" w:cstheme="minorHAnsi"/>
                <w:lang w:eastAsia="pl-PL"/>
              </w:rPr>
              <w:t>Niestabilne</w:t>
            </w:r>
            <w:r w:rsidR="003B50ED">
              <w:rPr>
                <w:rFonts w:eastAsia="Times New Roman" w:cstheme="minorHAnsi"/>
                <w:lang w:eastAsia="pl-PL"/>
              </w:rPr>
              <w:t xml:space="preserve"> </w:t>
            </w:r>
            <w:r w:rsidRPr="00A26C26">
              <w:rPr>
                <w:rFonts w:eastAsia="Times New Roman" w:cstheme="minorHAnsi"/>
                <w:lang w:eastAsia="pl-PL"/>
              </w:rPr>
              <w:t>wsparcie</w:t>
            </w:r>
            <w:r w:rsidR="003B50ED">
              <w:rPr>
                <w:rFonts w:eastAsia="Times New Roman" w:cstheme="minorHAnsi"/>
                <w:lang w:eastAsia="pl-PL"/>
              </w:rPr>
              <w:t xml:space="preserve"> </w:t>
            </w:r>
            <w:r w:rsidRPr="00A26C26">
              <w:rPr>
                <w:rFonts w:eastAsia="Times New Roman" w:cstheme="minorHAnsi"/>
                <w:lang w:eastAsia="pl-PL"/>
              </w:rPr>
              <w:t>finansowe</w:t>
            </w:r>
            <w:r w:rsidR="003B50ED">
              <w:rPr>
                <w:rFonts w:eastAsia="Times New Roman" w:cstheme="minorHAnsi"/>
                <w:lang w:eastAsia="pl-PL"/>
              </w:rPr>
              <w:t xml:space="preserve"> </w:t>
            </w:r>
            <w:r w:rsidRPr="00A26C26">
              <w:rPr>
                <w:rFonts w:eastAsia="Times New Roman" w:cstheme="minorHAnsi"/>
                <w:lang w:eastAsia="pl-PL"/>
              </w:rPr>
              <w:t>często</w:t>
            </w:r>
            <w:r w:rsidR="003B50ED">
              <w:rPr>
                <w:rFonts w:eastAsia="Times New Roman" w:cstheme="minorHAnsi"/>
                <w:lang w:eastAsia="pl-PL"/>
              </w:rPr>
              <w:t xml:space="preserve"> </w:t>
            </w:r>
            <w:r w:rsidRPr="00A26C26">
              <w:rPr>
                <w:rFonts w:eastAsia="Times New Roman" w:cstheme="minorHAnsi"/>
                <w:lang w:eastAsia="pl-PL"/>
              </w:rPr>
              <w:t>staje</w:t>
            </w:r>
            <w:r w:rsidR="003B50ED">
              <w:rPr>
                <w:rFonts w:eastAsia="Times New Roman" w:cstheme="minorHAnsi"/>
                <w:lang w:eastAsia="pl-PL"/>
              </w:rPr>
              <w:t xml:space="preserve"> </w:t>
            </w:r>
            <w:r w:rsidRPr="00A26C26">
              <w:rPr>
                <w:rFonts w:eastAsia="Times New Roman" w:cstheme="minorHAnsi"/>
                <w:lang w:eastAsia="pl-PL"/>
              </w:rPr>
              <w:t>im</w:t>
            </w:r>
            <w:r w:rsidR="003B50ED">
              <w:rPr>
                <w:rFonts w:eastAsia="Times New Roman" w:cstheme="minorHAnsi"/>
                <w:lang w:eastAsia="pl-PL"/>
              </w:rPr>
              <w:t xml:space="preserve"> </w:t>
            </w:r>
            <w:r w:rsidRPr="00A26C26">
              <w:rPr>
                <w:rFonts w:eastAsia="Times New Roman" w:cstheme="minorHAnsi"/>
                <w:lang w:eastAsia="pl-PL"/>
              </w:rPr>
              <w:t>jednak</w:t>
            </w:r>
            <w:r w:rsidR="003B50ED">
              <w:rPr>
                <w:rFonts w:eastAsia="Times New Roman" w:cstheme="minorHAnsi"/>
                <w:lang w:eastAsia="pl-PL"/>
              </w:rPr>
              <w:t xml:space="preserve"> </w:t>
            </w:r>
            <w:r w:rsidRPr="00A26C26">
              <w:rPr>
                <w:rFonts w:eastAsia="Times New Roman" w:cstheme="minorHAnsi"/>
                <w:lang w:eastAsia="pl-PL"/>
              </w:rPr>
              <w:t>na</w:t>
            </w:r>
            <w:r w:rsidR="003B50ED">
              <w:rPr>
                <w:rFonts w:eastAsia="Times New Roman" w:cstheme="minorHAnsi"/>
                <w:lang w:eastAsia="pl-PL"/>
              </w:rPr>
              <w:t xml:space="preserve"> </w:t>
            </w:r>
            <w:r w:rsidRPr="00A26C26">
              <w:rPr>
                <w:rFonts w:eastAsia="Times New Roman" w:cstheme="minorHAnsi"/>
                <w:lang w:eastAsia="pl-PL"/>
              </w:rPr>
              <w:t>drodze,</w:t>
            </w:r>
            <w:r w:rsidR="003B50ED">
              <w:rPr>
                <w:rFonts w:eastAsia="Times New Roman" w:cstheme="minorHAnsi"/>
                <w:lang w:eastAsia="pl-PL"/>
              </w:rPr>
              <w:t xml:space="preserve"> </w:t>
            </w:r>
            <w:r w:rsidRPr="00A26C26">
              <w:rPr>
                <w:rFonts w:eastAsia="Times New Roman" w:cstheme="minorHAnsi"/>
                <w:lang w:eastAsia="pl-PL"/>
              </w:rPr>
              <w:t>uniemożliwiając</w:t>
            </w:r>
            <w:r w:rsidR="003B50ED">
              <w:rPr>
                <w:rFonts w:eastAsia="Times New Roman" w:cstheme="minorHAnsi"/>
                <w:lang w:eastAsia="pl-PL"/>
              </w:rPr>
              <w:t xml:space="preserve"> </w:t>
            </w:r>
            <w:r w:rsidRPr="00A26C26">
              <w:rPr>
                <w:rFonts w:eastAsia="Times New Roman" w:cstheme="minorHAnsi"/>
                <w:lang w:eastAsia="pl-PL"/>
              </w:rPr>
              <w:t>realizację</w:t>
            </w:r>
            <w:r w:rsidR="003B50ED">
              <w:rPr>
                <w:rFonts w:eastAsia="Times New Roman" w:cstheme="minorHAnsi"/>
                <w:lang w:eastAsia="pl-PL"/>
              </w:rPr>
              <w:t xml:space="preserve"> </w:t>
            </w:r>
            <w:r w:rsidRPr="00A26C26">
              <w:rPr>
                <w:rFonts w:eastAsia="Times New Roman" w:cstheme="minorHAnsi"/>
                <w:lang w:eastAsia="pl-PL"/>
              </w:rPr>
              <w:t>tych</w:t>
            </w:r>
            <w:r w:rsidR="003B50ED">
              <w:rPr>
                <w:rFonts w:eastAsia="Times New Roman" w:cstheme="minorHAnsi"/>
                <w:lang w:eastAsia="pl-PL"/>
              </w:rPr>
              <w:t xml:space="preserve"> </w:t>
            </w:r>
            <w:r w:rsidRPr="00A26C26">
              <w:rPr>
                <w:rFonts w:eastAsia="Times New Roman" w:cstheme="minorHAnsi"/>
                <w:lang w:eastAsia="pl-PL"/>
              </w:rPr>
              <w:t>wartościowych</w:t>
            </w:r>
            <w:r w:rsidR="003B50ED">
              <w:rPr>
                <w:rFonts w:eastAsia="Times New Roman" w:cstheme="minorHAnsi"/>
                <w:lang w:eastAsia="pl-PL"/>
              </w:rPr>
              <w:t xml:space="preserve"> </w:t>
            </w:r>
            <w:r w:rsidRPr="00A26C26">
              <w:rPr>
                <w:rFonts w:eastAsia="Times New Roman" w:cstheme="minorHAnsi"/>
                <w:lang w:eastAsia="pl-PL"/>
              </w:rPr>
              <w:t>inicjatyw.</w:t>
            </w:r>
          </w:p>
        </w:tc>
      </w:tr>
      <w:tr w:rsidR="00C20F06" w:rsidRPr="00A26C26" w14:paraId="14FA0C85" w14:textId="77777777" w:rsidTr="007F1E76">
        <w:tc>
          <w:tcPr>
            <w:tcW w:w="1555" w:type="dxa"/>
          </w:tcPr>
          <w:p w14:paraId="1C19F3E9" w14:textId="77777777" w:rsidR="00C20F06" w:rsidRPr="00A26C26" w:rsidRDefault="00C20F06" w:rsidP="00F06E84">
            <w:pPr>
              <w:spacing w:line="276" w:lineRule="auto"/>
              <w:rPr>
                <w:rFonts w:eastAsia="Times New Roman" w:cstheme="minorHAnsi"/>
                <w:lang w:eastAsia="pl-PL"/>
              </w:rPr>
            </w:pPr>
            <w:r w:rsidRPr="00A26C26">
              <w:rPr>
                <w:rFonts w:eastAsia="Times New Roman" w:cstheme="minorHAnsi"/>
                <w:lang w:eastAsia="pl-PL"/>
              </w:rPr>
              <w:t>Mieszkańcy</w:t>
            </w:r>
          </w:p>
        </w:tc>
        <w:tc>
          <w:tcPr>
            <w:tcW w:w="8639" w:type="dxa"/>
          </w:tcPr>
          <w:p w14:paraId="2AAEF502" w14:textId="44012320" w:rsidR="00C20F06" w:rsidRPr="00A26C26" w:rsidRDefault="00C20F06" w:rsidP="00E07BED">
            <w:pPr>
              <w:spacing w:line="276" w:lineRule="auto"/>
              <w:jc w:val="both"/>
              <w:rPr>
                <w:rFonts w:eastAsia="Times New Roman" w:cstheme="minorHAnsi"/>
                <w:lang w:eastAsia="pl-PL"/>
              </w:rPr>
            </w:pPr>
            <w:r w:rsidRPr="00A26C26">
              <w:rPr>
                <w:rFonts w:eastAsia="Times New Roman" w:cstheme="minorHAnsi"/>
                <w:lang w:eastAsia="pl-PL"/>
              </w:rPr>
              <w:t>W</w:t>
            </w:r>
            <w:r w:rsidR="003B50ED">
              <w:rPr>
                <w:rFonts w:eastAsia="Times New Roman" w:cstheme="minorHAnsi"/>
                <w:lang w:eastAsia="pl-PL"/>
              </w:rPr>
              <w:t xml:space="preserve"> </w:t>
            </w:r>
            <w:r w:rsidRPr="00A26C26">
              <w:rPr>
                <w:rFonts w:eastAsia="Times New Roman" w:cstheme="minorHAnsi"/>
                <w:lang w:eastAsia="pl-PL"/>
              </w:rPr>
              <w:t>każdym</w:t>
            </w:r>
            <w:r w:rsidR="003B50ED">
              <w:rPr>
                <w:rFonts w:eastAsia="Times New Roman" w:cstheme="minorHAnsi"/>
                <w:lang w:eastAsia="pl-PL"/>
              </w:rPr>
              <w:t xml:space="preserve"> </w:t>
            </w:r>
            <w:r w:rsidRPr="00A26C26">
              <w:rPr>
                <w:rFonts w:eastAsia="Times New Roman" w:cstheme="minorHAnsi"/>
                <w:lang w:eastAsia="pl-PL"/>
              </w:rPr>
              <w:t>działaniu</w:t>
            </w:r>
            <w:r w:rsidR="003B50ED">
              <w:rPr>
                <w:rFonts w:eastAsia="Times New Roman" w:cstheme="minorHAnsi"/>
                <w:lang w:eastAsia="pl-PL"/>
              </w:rPr>
              <w:t xml:space="preserve"> </w:t>
            </w:r>
            <w:r w:rsidRPr="00A26C26">
              <w:rPr>
                <w:rFonts w:eastAsia="Times New Roman" w:cstheme="minorHAnsi"/>
                <w:lang w:eastAsia="pl-PL"/>
              </w:rPr>
              <w:t>realizowanym</w:t>
            </w:r>
            <w:r w:rsidR="003B50ED">
              <w:rPr>
                <w:rFonts w:eastAsia="Times New Roman" w:cstheme="minorHAnsi"/>
                <w:lang w:eastAsia="pl-PL"/>
              </w:rPr>
              <w:t xml:space="preserve"> </w:t>
            </w:r>
            <w:r w:rsidRPr="00A26C26">
              <w:rPr>
                <w:rFonts w:eastAsia="Times New Roman" w:cstheme="minorHAnsi"/>
                <w:lang w:eastAsia="pl-PL"/>
              </w:rPr>
              <w:t>zarówno</w:t>
            </w:r>
            <w:r w:rsidR="003B50ED">
              <w:rPr>
                <w:rFonts w:eastAsia="Times New Roman" w:cstheme="minorHAnsi"/>
                <w:lang w:eastAsia="pl-PL"/>
              </w:rPr>
              <w:t xml:space="preserve"> </w:t>
            </w:r>
            <w:r w:rsidRPr="00A26C26">
              <w:rPr>
                <w:rFonts w:eastAsia="Times New Roman" w:cstheme="minorHAnsi"/>
                <w:lang w:eastAsia="pl-PL"/>
              </w:rPr>
              <w:t>przez</w:t>
            </w:r>
            <w:r w:rsidR="003B50ED">
              <w:rPr>
                <w:rFonts w:eastAsia="Times New Roman" w:cstheme="minorHAnsi"/>
                <w:lang w:eastAsia="pl-PL"/>
              </w:rPr>
              <w:t xml:space="preserve"> </w:t>
            </w:r>
            <w:r w:rsidRPr="00A26C26">
              <w:rPr>
                <w:rFonts w:eastAsia="Times New Roman" w:cstheme="minorHAnsi"/>
                <w:lang w:eastAsia="pl-PL"/>
              </w:rPr>
              <w:t>LGD</w:t>
            </w:r>
            <w:r w:rsidR="003B50ED">
              <w:rPr>
                <w:rFonts w:eastAsia="Times New Roman" w:cstheme="minorHAnsi"/>
                <w:lang w:eastAsia="pl-PL"/>
              </w:rPr>
              <w:t xml:space="preserve"> </w:t>
            </w:r>
            <w:r w:rsidRPr="00A26C26">
              <w:rPr>
                <w:rFonts w:eastAsia="Times New Roman" w:cstheme="minorHAnsi"/>
                <w:lang w:eastAsia="pl-PL"/>
              </w:rPr>
              <w:t>jak</w:t>
            </w:r>
            <w:r w:rsidR="003B50ED">
              <w:rPr>
                <w:rFonts w:eastAsia="Times New Roman" w:cstheme="minorHAnsi"/>
                <w:lang w:eastAsia="pl-PL"/>
              </w:rPr>
              <w:t xml:space="preserve"> </w:t>
            </w:r>
            <w:r w:rsidRPr="00A26C26">
              <w:rPr>
                <w:rFonts w:eastAsia="Times New Roman" w:cstheme="minorHAnsi"/>
                <w:lang w:eastAsia="pl-PL"/>
              </w:rPr>
              <w:t>i</w:t>
            </w:r>
            <w:r w:rsidR="003B50ED">
              <w:rPr>
                <w:rFonts w:eastAsia="Times New Roman" w:cstheme="minorHAnsi"/>
                <w:lang w:eastAsia="pl-PL"/>
              </w:rPr>
              <w:t xml:space="preserve"> </w:t>
            </w:r>
            <w:r w:rsidRPr="00A26C26">
              <w:rPr>
                <w:rFonts w:eastAsia="Times New Roman" w:cstheme="minorHAnsi"/>
                <w:lang w:eastAsia="pl-PL"/>
              </w:rPr>
              <w:t>poszczególnych</w:t>
            </w:r>
            <w:r w:rsidR="003B50ED">
              <w:rPr>
                <w:rFonts w:eastAsia="Times New Roman" w:cstheme="minorHAnsi"/>
                <w:lang w:eastAsia="pl-PL"/>
              </w:rPr>
              <w:t xml:space="preserve"> </w:t>
            </w:r>
            <w:r w:rsidRPr="00A26C26">
              <w:rPr>
                <w:rFonts w:eastAsia="Times New Roman" w:cstheme="minorHAnsi"/>
                <w:lang w:eastAsia="pl-PL"/>
              </w:rPr>
              <w:t>wnioskodawców,</w:t>
            </w:r>
            <w:r w:rsidR="003B50ED">
              <w:rPr>
                <w:rFonts w:eastAsia="Times New Roman" w:cstheme="minorHAnsi"/>
                <w:lang w:eastAsia="pl-PL"/>
              </w:rPr>
              <w:t xml:space="preserve"> </w:t>
            </w:r>
            <w:r w:rsidRPr="00A26C26">
              <w:rPr>
                <w:rFonts w:eastAsia="Times New Roman" w:cstheme="minorHAnsi"/>
                <w:lang w:eastAsia="pl-PL"/>
              </w:rPr>
              <w:t>to</w:t>
            </w:r>
            <w:r w:rsidR="003B50ED">
              <w:rPr>
                <w:rFonts w:eastAsia="Times New Roman" w:cstheme="minorHAnsi"/>
                <w:lang w:eastAsia="pl-PL"/>
              </w:rPr>
              <w:t xml:space="preserve"> </w:t>
            </w:r>
            <w:r w:rsidRPr="00A26C26">
              <w:rPr>
                <w:rFonts w:eastAsia="Times New Roman" w:cstheme="minorHAnsi"/>
                <w:lang w:eastAsia="pl-PL"/>
              </w:rPr>
              <w:t>właśnie</w:t>
            </w:r>
            <w:r w:rsidR="003B50ED">
              <w:rPr>
                <w:rFonts w:eastAsia="Times New Roman" w:cstheme="minorHAnsi"/>
                <w:lang w:eastAsia="pl-PL"/>
              </w:rPr>
              <w:t xml:space="preserve"> </w:t>
            </w:r>
            <w:r w:rsidRPr="00A26C26">
              <w:rPr>
                <w:rFonts w:eastAsia="Times New Roman" w:cstheme="minorHAnsi"/>
                <w:lang w:eastAsia="pl-PL"/>
              </w:rPr>
              <w:t>mieszkańcy</w:t>
            </w:r>
            <w:r w:rsidR="003B50ED">
              <w:rPr>
                <w:rFonts w:eastAsia="Times New Roman" w:cstheme="minorHAnsi"/>
                <w:lang w:eastAsia="pl-PL"/>
              </w:rPr>
              <w:t xml:space="preserve"> </w:t>
            </w:r>
            <w:r w:rsidRPr="00A26C26">
              <w:rPr>
                <w:rFonts w:eastAsia="Times New Roman" w:cstheme="minorHAnsi"/>
                <w:lang w:eastAsia="pl-PL"/>
              </w:rPr>
              <w:t>są</w:t>
            </w:r>
            <w:r w:rsidR="003B50ED">
              <w:rPr>
                <w:rFonts w:eastAsia="Times New Roman" w:cstheme="minorHAnsi"/>
                <w:lang w:eastAsia="pl-PL"/>
              </w:rPr>
              <w:t xml:space="preserve"> </w:t>
            </w:r>
            <w:r w:rsidRPr="00A26C26">
              <w:rPr>
                <w:rFonts w:eastAsia="Times New Roman" w:cstheme="minorHAnsi"/>
                <w:lang w:eastAsia="pl-PL"/>
              </w:rPr>
              <w:t>ostatecznymi</w:t>
            </w:r>
            <w:r w:rsidR="003B50ED">
              <w:rPr>
                <w:rFonts w:eastAsia="Times New Roman" w:cstheme="minorHAnsi"/>
                <w:lang w:eastAsia="pl-PL"/>
              </w:rPr>
              <w:t xml:space="preserve"> </w:t>
            </w:r>
            <w:r w:rsidRPr="00A26C26">
              <w:rPr>
                <w:rFonts w:eastAsia="Times New Roman" w:cstheme="minorHAnsi"/>
                <w:lang w:eastAsia="pl-PL"/>
              </w:rPr>
              <w:t>beneficjentami.</w:t>
            </w:r>
            <w:r w:rsidR="003B50ED">
              <w:rPr>
                <w:rFonts w:eastAsia="Times New Roman" w:cstheme="minorHAnsi"/>
                <w:lang w:eastAsia="pl-PL"/>
              </w:rPr>
              <w:t xml:space="preserve"> </w:t>
            </w:r>
            <w:r w:rsidRPr="00A26C26">
              <w:rPr>
                <w:rFonts w:eastAsia="Times New Roman" w:cstheme="minorHAnsi"/>
                <w:lang w:eastAsia="pl-PL"/>
              </w:rPr>
              <w:t>Dlatego,</w:t>
            </w:r>
            <w:r w:rsidR="003B50ED">
              <w:rPr>
                <w:rFonts w:eastAsia="Times New Roman" w:cstheme="minorHAnsi"/>
                <w:lang w:eastAsia="pl-PL"/>
              </w:rPr>
              <w:t xml:space="preserve"> </w:t>
            </w:r>
            <w:r w:rsidRPr="00A26C26">
              <w:rPr>
                <w:rFonts w:eastAsia="Times New Roman" w:cstheme="minorHAnsi"/>
                <w:lang w:eastAsia="pl-PL"/>
              </w:rPr>
              <w:t>uwzględniając</w:t>
            </w:r>
            <w:r w:rsidR="003B50ED">
              <w:rPr>
                <w:rFonts w:eastAsia="Times New Roman" w:cstheme="minorHAnsi"/>
                <w:lang w:eastAsia="pl-PL"/>
              </w:rPr>
              <w:t xml:space="preserve"> </w:t>
            </w:r>
            <w:r w:rsidRPr="00A26C26">
              <w:rPr>
                <w:rFonts w:eastAsia="Times New Roman" w:cstheme="minorHAnsi"/>
                <w:lang w:eastAsia="pl-PL"/>
              </w:rPr>
              <w:t>wyniki</w:t>
            </w:r>
            <w:r w:rsidR="003B50ED">
              <w:rPr>
                <w:rFonts w:eastAsia="Times New Roman" w:cstheme="minorHAnsi"/>
                <w:lang w:eastAsia="pl-PL"/>
              </w:rPr>
              <w:t xml:space="preserve"> </w:t>
            </w:r>
            <w:r w:rsidRPr="00A26C26">
              <w:rPr>
                <w:rFonts w:eastAsia="Times New Roman" w:cstheme="minorHAnsi"/>
                <w:lang w:eastAsia="pl-PL"/>
              </w:rPr>
              <w:t>spotkań</w:t>
            </w:r>
            <w:r w:rsidR="003B50ED">
              <w:rPr>
                <w:rFonts w:eastAsia="Times New Roman" w:cstheme="minorHAnsi"/>
                <w:lang w:eastAsia="pl-PL"/>
              </w:rPr>
              <w:t xml:space="preserve"> </w:t>
            </w:r>
            <w:r w:rsidRPr="00A26C26">
              <w:rPr>
                <w:rFonts w:eastAsia="Times New Roman" w:cstheme="minorHAnsi"/>
                <w:lang w:eastAsia="pl-PL"/>
              </w:rPr>
              <w:t>konsultacyjnych,</w:t>
            </w:r>
            <w:r w:rsidR="003B50ED">
              <w:rPr>
                <w:rFonts w:eastAsia="Times New Roman" w:cstheme="minorHAnsi"/>
                <w:lang w:eastAsia="pl-PL"/>
              </w:rPr>
              <w:t xml:space="preserve"> </w:t>
            </w:r>
            <w:r w:rsidRPr="00A26C26">
              <w:rPr>
                <w:rFonts w:eastAsia="Times New Roman" w:cstheme="minorHAnsi"/>
                <w:lang w:eastAsia="pl-PL"/>
              </w:rPr>
              <w:t>szczególnie</w:t>
            </w:r>
            <w:r w:rsidR="003B50ED">
              <w:rPr>
                <w:rFonts w:eastAsia="Times New Roman" w:cstheme="minorHAnsi"/>
                <w:lang w:eastAsia="pl-PL"/>
              </w:rPr>
              <w:t xml:space="preserve"> </w:t>
            </w:r>
            <w:r w:rsidRPr="00A26C26">
              <w:rPr>
                <w:rFonts w:eastAsia="Times New Roman" w:cstheme="minorHAnsi"/>
                <w:lang w:eastAsia="pl-PL"/>
              </w:rPr>
              <w:t>pod</w:t>
            </w:r>
            <w:r w:rsidR="003B50ED">
              <w:rPr>
                <w:rFonts w:eastAsia="Times New Roman" w:cstheme="minorHAnsi"/>
                <w:lang w:eastAsia="pl-PL"/>
              </w:rPr>
              <w:t xml:space="preserve"> </w:t>
            </w:r>
            <w:r w:rsidRPr="00A26C26">
              <w:rPr>
                <w:rFonts w:eastAsia="Times New Roman" w:cstheme="minorHAnsi"/>
                <w:lang w:eastAsia="pl-PL"/>
              </w:rPr>
              <w:t>kątem</w:t>
            </w:r>
            <w:r w:rsidR="003B50ED">
              <w:rPr>
                <w:rFonts w:eastAsia="Times New Roman" w:cstheme="minorHAnsi"/>
                <w:lang w:eastAsia="pl-PL"/>
              </w:rPr>
              <w:t xml:space="preserve"> </w:t>
            </w:r>
            <w:r w:rsidRPr="00A26C26">
              <w:rPr>
                <w:rFonts w:eastAsia="Times New Roman" w:cstheme="minorHAnsi"/>
                <w:lang w:eastAsia="pl-PL"/>
              </w:rPr>
              <w:t>wzmocnienia</w:t>
            </w:r>
            <w:r w:rsidR="003B50ED">
              <w:rPr>
                <w:rFonts w:eastAsia="Times New Roman" w:cstheme="minorHAnsi"/>
                <w:lang w:eastAsia="pl-PL"/>
              </w:rPr>
              <w:t xml:space="preserve"> </w:t>
            </w:r>
            <w:r w:rsidRPr="00A26C26">
              <w:rPr>
                <w:rFonts w:eastAsia="Times New Roman" w:cstheme="minorHAnsi"/>
                <w:lang w:eastAsia="pl-PL"/>
              </w:rPr>
              <w:t>kapitału</w:t>
            </w:r>
            <w:r w:rsidR="003B50ED">
              <w:rPr>
                <w:rFonts w:eastAsia="Times New Roman" w:cstheme="minorHAnsi"/>
                <w:lang w:eastAsia="pl-PL"/>
              </w:rPr>
              <w:t xml:space="preserve"> </w:t>
            </w:r>
            <w:r w:rsidRPr="00A26C26">
              <w:rPr>
                <w:rFonts w:eastAsia="Times New Roman" w:cstheme="minorHAnsi"/>
                <w:lang w:eastAsia="pl-PL"/>
              </w:rPr>
              <w:t>społecznego,</w:t>
            </w:r>
            <w:r w:rsidR="003B50ED">
              <w:rPr>
                <w:rFonts w:eastAsia="Times New Roman" w:cstheme="minorHAnsi"/>
                <w:lang w:eastAsia="pl-PL"/>
              </w:rPr>
              <w:t xml:space="preserve"> </w:t>
            </w:r>
            <w:r w:rsidRPr="00A26C26">
              <w:rPr>
                <w:rFonts w:eastAsia="Times New Roman" w:cstheme="minorHAnsi"/>
                <w:lang w:eastAsia="pl-PL"/>
              </w:rPr>
              <w:t>zwiększenia</w:t>
            </w:r>
            <w:r w:rsidR="003B50ED">
              <w:rPr>
                <w:rFonts w:eastAsia="Times New Roman" w:cstheme="minorHAnsi"/>
                <w:lang w:eastAsia="pl-PL"/>
              </w:rPr>
              <w:t xml:space="preserve"> </w:t>
            </w:r>
            <w:r w:rsidRPr="00A26C26">
              <w:rPr>
                <w:rFonts w:eastAsia="Times New Roman" w:cstheme="minorHAnsi"/>
                <w:lang w:eastAsia="pl-PL"/>
              </w:rPr>
              <w:t>aktywizacji</w:t>
            </w:r>
            <w:r w:rsidR="003B50ED">
              <w:rPr>
                <w:rFonts w:eastAsia="Times New Roman" w:cstheme="minorHAnsi"/>
                <w:lang w:eastAsia="pl-PL"/>
              </w:rPr>
              <w:t xml:space="preserve"> </w:t>
            </w:r>
            <w:r w:rsidRPr="00A26C26">
              <w:rPr>
                <w:rFonts w:eastAsia="Times New Roman" w:cstheme="minorHAnsi"/>
                <w:lang w:eastAsia="pl-PL"/>
              </w:rPr>
              <w:t>i</w:t>
            </w:r>
            <w:r w:rsidR="003B50ED">
              <w:rPr>
                <w:rFonts w:eastAsia="Times New Roman" w:cstheme="minorHAnsi"/>
                <w:lang w:eastAsia="pl-PL"/>
              </w:rPr>
              <w:t xml:space="preserve"> </w:t>
            </w:r>
            <w:r w:rsidRPr="00A26C26">
              <w:rPr>
                <w:rFonts w:eastAsia="Times New Roman" w:cstheme="minorHAnsi"/>
                <w:lang w:eastAsia="pl-PL"/>
              </w:rPr>
              <w:t>włączenia</w:t>
            </w:r>
            <w:r w:rsidR="003B50ED">
              <w:rPr>
                <w:rFonts w:eastAsia="Times New Roman" w:cstheme="minorHAnsi"/>
                <w:lang w:eastAsia="pl-PL"/>
              </w:rPr>
              <w:t xml:space="preserve"> </w:t>
            </w:r>
            <w:r w:rsidRPr="00A26C26">
              <w:rPr>
                <w:rFonts w:eastAsia="Times New Roman" w:cstheme="minorHAnsi"/>
                <w:lang w:eastAsia="pl-PL"/>
              </w:rPr>
              <w:t>szczególnie</w:t>
            </w:r>
            <w:r w:rsidR="003B50ED">
              <w:rPr>
                <w:rFonts w:eastAsia="Times New Roman" w:cstheme="minorHAnsi"/>
                <w:lang w:eastAsia="pl-PL"/>
              </w:rPr>
              <w:t xml:space="preserve"> </w:t>
            </w:r>
            <w:r w:rsidRPr="00A26C26">
              <w:rPr>
                <w:rFonts w:eastAsia="Times New Roman" w:cstheme="minorHAnsi"/>
                <w:lang w:eastAsia="pl-PL"/>
              </w:rPr>
              <w:t>osób</w:t>
            </w:r>
            <w:r w:rsidR="003B50ED">
              <w:rPr>
                <w:rFonts w:eastAsia="Times New Roman" w:cstheme="minorHAnsi"/>
                <w:lang w:eastAsia="pl-PL"/>
              </w:rPr>
              <w:t xml:space="preserve"> </w:t>
            </w:r>
            <w:r w:rsidRPr="00A26C26">
              <w:rPr>
                <w:rFonts w:eastAsia="Times New Roman" w:cstheme="minorHAnsi"/>
                <w:lang w:eastAsia="pl-PL"/>
              </w:rPr>
              <w:t>w</w:t>
            </w:r>
            <w:r w:rsidR="003B50ED">
              <w:rPr>
                <w:rFonts w:eastAsia="Times New Roman" w:cstheme="minorHAnsi"/>
                <w:lang w:eastAsia="pl-PL"/>
              </w:rPr>
              <w:t xml:space="preserve"> </w:t>
            </w:r>
            <w:r w:rsidRPr="00A26C26">
              <w:rPr>
                <w:rFonts w:eastAsia="Times New Roman" w:cstheme="minorHAnsi"/>
                <w:lang w:eastAsia="pl-PL"/>
              </w:rPr>
              <w:t>niekorzystnej</w:t>
            </w:r>
            <w:r w:rsidR="003B50ED">
              <w:rPr>
                <w:rFonts w:eastAsia="Times New Roman" w:cstheme="minorHAnsi"/>
                <w:lang w:eastAsia="pl-PL"/>
              </w:rPr>
              <w:t xml:space="preserve"> </w:t>
            </w:r>
            <w:r w:rsidRPr="00A26C26">
              <w:rPr>
                <w:rFonts w:eastAsia="Times New Roman" w:cstheme="minorHAnsi"/>
                <w:lang w:eastAsia="pl-PL"/>
              </w:rPr>
              <w:t>sytuacji,</w:t>
            </w:r>
            <w:r w:rsidR="003B50ED">
              <w:rPr>
                <w:rFonts w:eastAsia="Times New Roman" w:cstheme="minorHAnsi"/>
                <w:lang w:eastAsia="pl-PL"/>
              </w:rPr>
              <w:t xml:space="preserve"> </w:t>
            </w:r>
            <w:r w:rsidRPr="00A26C26">
              <w:rPr>
                <w:rFonts w:eastAsia="Times New Roman" w:cstheme="minorHAnsi"/>
                <w:lang w:eastAsia="pl-PL"/>
              </w:rPr>
              <w:t>mieszkańcy</w:t>
            </w:r>
            <w:r w:rsidR="003B50ED">
              <w:rPr>
                <w:rFonts w:eastAsia="Times New Roman" w:cstheme="minorHAnsi"/>
                <w:lang w:eastAsia="pl-PL"/>
              </w:rPr>
              <w:t xml:space="preserve"> </w:t>
            </w:r>
            <w:r w:rsidRPr="00A26C26">
              <w:rPr>
                <w:rFonts w:eastAsia="Times New Roman" w:cstheme="minorHAnsi"/>
                <w:lang w:eastAsia="pl-PL"/>
              </w:rPr>
              <w:t>zostali</w:t>
            </w:r>
            <w:r w:rsidR="003B50ED">
              <w:rPr>
                <w:rFonts w:eastAsia="Times New Roman" w:cstheme="minorHAnsi"/>
                <w:lang w:eastAsia="pl-PL"/>
              </w:rPr>
              <w:t xml:space="preserve"> </w:t>
            </w:r>
            <w:r w:rsidRPr="00A26C26">
              <w:rPr>
                <w:rFonts w:eastAsia="Times New Roman" w:cstheme="minorHAnsi"/>
                <w:lang w:eastAsia="pl-PL"/>
              </w:rPr>
              <w:t>wyodrębnieni</w:t>
            </w:r>
            <w:r w:rsidR="003B50ED">
              <w:rPr>
                <w:rFonts w:eastAsia="Times New Roman" w:cstheme="minorHAnsi"/>
                <w:lang w:eastAsia="pl-PL"/>
              </w:rPr>
              <w:t xml:space="preserve"> </w:t>
            </w:r>
            <w:r w:rsidRPr="00A26C26">
              <w:rPr>
                <w:rFonts w:eastAsia="Times New Roman" w:cstheme="minorHAnsi"/>
                <w:lang w:eastAsia="pl-PL"/>
              </w:rPr>
              <w:t>jako</w:t>
            </w:r>
            <w:r w:rsidR="003B50ED">
              <w:rPr>
                <w:rFonts w:eastAsia="Times New Roman" w:cstheme="minorHAnsi"/>
                <w:lang w:eastAsia="pl-PL"/>
              </w:rPr>
              <w:t xml:space="preserve"> </w:t>
            </w:r>
            <w:r w:rsidRPr="00A26C26">
              <w:rPr>
                <w:rFonts w:eastAsia="Times New Roman" w:cstheme="minorHAnsi"/>
                <w:lang w:eastAsia="pl-PL"/>
              </w:rPr>
              <w:t>główna</w:t>
            </w:r>
            <w:r w:rsidR="003B50ED">
              <w:rPr>
                <w:rFonts w:eastAsia="Times New Roman" w:cstheme="minorHAnsi"/>
                <w:lang w:eastAsia="pl-PL"/>
              </w:rPr>
              <w:t xml:space="preserve"> </w:t>
            </w:r>
            <w:r w:rsidRPr="00A26C26">
              <w:rPr>
                <w:rFonts w:eastAsia="Times New Roman" w:cstheme="minorHAnsi"/>
                <w:lang w:eastAsia="pl-PL"/>
              </w:rPr>
              <w:t>grupa</w:t>
            </w:r>
            <w:r w:rsidR="003B50ED">
              <w:rPr>
                <w:rFonts w:eastAsia="Times New Roman" w:cstheme="minorHAnsi"/>
                <w:lang w:eastAsia="pl-PL"/>
              </w:rPr>
              <w:t xml:space="preserve"> </w:t>
            </w:r>
            <w:r w:rsidRPr="00A26C26">
              <w:rPr>
                <w:rFonts w:eastAsia="Times New Roman" w:cstheme="minorHAnsi"/>
                <w:lang w:eastAsia="pl-PL"/>
              </w:rPr>
              <w:t>docelowa.</w:t>
            </w:r>
          </w:p>
        </w:tc>
      </w:tr>
      <w:tr w:rsidR="00C20F06" w:rsidRPr="00A26C26" w14:paraId="604A3EDE" w14:textId="77777777" w:rsidTr="007F1E76">
        <w:tc>
          <w:tcPr>
            <w:tcW w:w="1555" w:type="dxa"/>
          </w:tcPr>
          <w:p w14:paraId="56575831" w14:textId="32324D11" w:rsidR="00C20F06" w:rsidRPr="00A26C26" w:rsidRDefault="00C20F06" w:rsidP="00F06E84">
            <w:pPr>
              <w:spacing w:line="276" w:lineRule="auto"/>
              <w:rPr>
                <w:rFonts w:eastAsia="Times New Roman" w:cstheme="minorHAnsi"/>
                <w:lang w:eastAsia="pl-PL"/>
              </w:rPr>
            </w:pPr>
            <w:r w:rsidRPr="00A26C26">
              <w:rPr>
                <w:rFonts w:eastAsia="Times New Roman" w:cstheme="minorHAnsi"/>
                <w:lang w:eastAsia="pl-PL"/>
              </w:rPr>
              <w:t>Jednostki</w:t>
            </w:r>
            <w:r w:rsidR="003B50ED">
              <w:rPr>
                <w:rFonts w:eastAsia="Times New Roman" w:cstheme="minorHAnsi"/>
                <w:lang w:eastAsia="pl-PL"/>
              </w:rPr>
              <w:t xml:space="preserve"> </w:t>
            </w:r>
            <w:r w:rsidRPr="00A26C26">
              <w:rPr>
                <w:rFonts w:eastAsia="Times New Roman" w:cstheme="minorHAnsi"/>
                <w:lang w:eastAsia="pl-PL"/>
              </w:rPr>
              <w:t>sektora</w:t>
            </w:r>
            <w:r w:rsidR="003B50ED">
              <w:rPr>
                <w:rFonts w:eastAsia="Times New Roman" w:cstheme="minorHAnsi"/>
                <w:lang w:eastAsia="pl-PL"/>
              </w:rPr>
              <w:t xml:space="preserve"> </w:t>
            </w:r>
            <w:r w:rsidRPr="00A26C26">
              <w:rPr>
                <w:rFonts w:eastAsia="Times New Roman" w:cstheme="minorHAnsi"/>
                <w:lang w:eastAsia="pl-PL"/>
              </w:rPr>
              <w:t>finansów</w:t>
            </w:r>
            <w:r w:rsidR="003B50ED">
              <w:rPr>
                <w:rFonts w:eastAsia="Times New Roman" w:cstheme="minorHAnsi"/>
                <w:lang w:eastAsia="pl-PL"/>
              </w:rPr>
              <w:t xml:space="preserve"> </w:t>
            </w:r>
            <w:r w:rsidRPr="00A26C26">
              <w:rPr>
                <w:rFonts w:eastAsia="Times New Roman" w:cstheme="minorHAnsi"/>
                <w:lang w:eastAsia="pl-PL"/>
              </w:rPr>
              <w:t>publicznych</w:t>
            </w:r>
          </w:p>
        </w:tc>
        <w:tc>
          <w:tcPr>
            <w:tcW w:w="8639" w:type="dxa"/>
          </w:tcPr>
          <w:p w14:paraId="6FDF303B" w14:textId="2C11974B" w:rsidR="00C20F06" w:rsidRPr="00F16251" w:rsidRDefault="00C20F06" w:rsidP="00E07BED">
            <w:pPr>
              <w:spacing w:line="276" w:lineRule="auto"/>
              <w:jc w:val="both"/>
              <w:rPr>
                <w:rFonts w:eastAsia="Times New Roman" w:cstheme="minorHAnsi"/>
                <w:lang w:eastAsia="pl-PL"/>
              </w:rPr>
            </w:pPr>
            <w:r w:rsidRPr="00F16251">
              <w:rPr>
                <w:rFonts w:eastAsia="Times New Roman" w:cstheme="minorHAnsi"/>
                <w:lang w:eastAsia="pl-PL"/>
              </w:rPr>
              <w:t>Konsekwencją</w:t>
            </w:r>
            <w:r w:rsidR="003B50ED" w:rsidRPr="00F16251">
              <w:rPr>
                <w:rFonts w:eastAsia="Times New Roman" w:cstheme="minorHAnsi"/>
                <w:lang w:eastAsia="pl-PL"/>
              </w:rPr>
              <w:t xml:space="preserve"> </w:t>
            </w:r>
            <w:r w:rsidRPr="00F16251">
              <w:rPr>
                <w:rFonts w:eastAsia="Times New Roman" w:cstheme="minorHAnsi"/>
                <w:lang w:eastAsia="pl-PL"/>
              </w:rPr>
              <w:t>trwającego</w:t>
            </w:r>
            <w:r w:rsidR="003B50ED" w:rsidRPr="00F16251">
              <w:rPr>
                <w:rFonts w:eastAsia="Times New Roman" w:cstheme="minorHAnsi"/>
                <w:lang w:eastAsia="pl-PL"/>
              </w:rPr>
              <w:t xml:space="preserve"> </w:t>
            </w:r>
            <w:r w:rsidRPr="00F16251">
              <w:rPr>
                <w:rFonts w:eastAsia="Times New Roman" w:cstheme="minorHAnsi"/>
                <w:lang w:eastAsia="pl-PL"/>
              </w:rPr>
              <w:t>od</w:t>
            </w:r>
            <w:r w:rsidR="003B50ED" w:rsidRPr="00F16251">
              <w:rPr>
                <w:rFonts w:eastAsia="Times New Roman" w:cstheme="minorHAnsi"/>
                <w:lang w:eastAsia="pl-PL"/>
              </w:rPr>
              <w:t xml:space="preserve"> </w:t>
            </w:r>
            <w:r w:rsidRPr="00F16251">
              <w:rPr>
                <w:rFonts w:eastAsia="Times New Roman" w:cstheme="minorHAnsi"/>
                <w:lang w:eastAsia="pl-PL"/>
              </w:rPr>
              <w:t>czasu</w:t>
            </w:r>
            <w:r w:rsidR="003B50ED" w:rsidRPr="00F16251">
              <w:rPr>
                <w:rFonts w:eastAsia="Times New Roman" w:cstheme="minorHAnsi"/>
                <w:lang w:eastAsia="pl-PL"/>
              </w:rPr>
              <w:t xml:space="preserve"> </w:t>
            </w:r>
            <w:r w:rsidRPr="00F16251">
              <w:rPr>
                <w:rFonts w:eastAsia="Times New Roman" w:cstheme="minorHAnsi"/>
                <w:lang w:eastAsia="pl-PL"/>
              </w:rPr>
              <w:t>pandemii</w:t>
            </w:r>
            <w:r w:rsidR="003B50ED" w:rsidRPr="00F16251">
              <w:rPr>
                <w:rFonts w:eastAsia="Times New Roman" w:cstheme="minorHAnsi"/>
                <w:lang w:eastAsia="pl-PL"/>
              </w:rPr>
              <w:t xml:space="preserve"> </w:t>
            </w:r>
            <w:r w:rsidRPr="00F16251">
              <w:rPr>
                <w:rFonts w:eastAsia="Times New Roman" w:cstheme="minorHAnsi"/>
                <w:lang w:eastAsia="pl-PL"/>
              </w:rPr>
              <w:t>Covid-19</w:t>
            </w:r>
            <w:r w:rsidR="003B50ED" w:rsidRPr="00F16251">
              <w:rPr>
                <w:rFonts w:eastAsia="Times New Roman" w:cstheme="minorHAnsi"/>
                <w:lang w:eastAsia="pl-PL"/>
              </w:rPr>
              <w:t xml:space="preserve"> </w:t>
            </w:r>
            <w:r w:rsidRPr="00F16251">
              <w:rPr>
                <w:rFonts w:eastAsia="Times New Roman" w:cstheme="minorHAnsi"/>
                <w:lang w:eastAsia="pl-PL"/>
              </w:rPr>
              <w:t>spowolnienia</w:t>
            </w:r>
            <w:r w:rsidR="003B50ED" w:rsidRPr="00F16251">
              <w:rPr>
                <w:rFonts w:eastAsia="Times New Roman" w:cstheme="minorHAnsi"/>
                <w:lang w:eastAsia="pl-PL"/>
              </w:rPr>
              <w:t xml:space="preserve"> </w:t>
            </w:r>
            <w:r w:rsidRPr="00F16251">
              <w:rPr>
                <w:rFonts w:eastAsia="Times New Roman" w:cstheme="minorHAnsi"/>
                <w:lang w:eastAsia="pl-PL"/>
              </w:rPr>
              <w:t>gospodarczego,</w:t>
            </w:r>
            <w:r w:rsidR="003B50ED" w:rsidRPr="00F16251">
              <w:rPr>
                <w:rFonts w:eastAsia="Times New Roman" w:cstheme="minorHAnsi"/>
                <w:lang w:eastAsia="pl-PL"/>
              </w:rPr>
              <w:t xml:space="preserve"> </w:t>
            </w:r>
            <w:r w:rsidRPr="00F16251">
              <w:rPr>
                <w:rFonts w:eastAsia="Times New Roman" w:cstheme="minorHAnsi"/>
                <w:lang w:eastAsia="pl-PL"/>
              </w:rPr>
              <w:t>wzrostu</w:t>
            </w:r>
            <w:r w:rsidR="003B50ED" w:rsidRPr="00F16251">
              <w:rPr>
                <w:rFonts w:eastAsia="Times New Roman" w:cstheme="minorHAnsi"/>
                <w:lang w:eastAsia="pl-PL"/>
              </w:rPr>
              <w:t xml:space="preserve"> </w:t>
            </w:r>
            <w:r w:rsidRPr="00F16251">
              <w:rPr>
                <w:rFonts w:eastAsia="Times New Roman" w:cstheme="minorHAnsi"/>
                <w:lang w:eastAsia="pl-PL"/>
              </w:rPr>
              <w:t>inflacji</w:t>
            </w:r>
            <w:r w:rsidR="003B50ED" w:rsidRPr="00F16251">
              <w:rPr>
                <w:rFonts w:eastAsia="Times New Roman" w:cstheme="minorHAnsi"/>
                <w:lang w:eastAsia="pl-PL"/>
              </w:rPr>
              <w:t xml:space="preserve"> </w:t>
            </w:r>
            <w:r w:rsidRPr="00F16251">
              <w:rPr>
                <w:rFonts w:eastAsia="Times New Roman" w:cstheme="minorHAnsi"/>
                <w:lang w:eastAsia="pl-PL"/>
              </w:rPr>
              <w:t>i</w:t>
            </w:r>
            <w:r w:rsidR="003B50ED" w:rsidRPr="00F16251">
              <w:rPr>
                <w:rFonts w:eastAsia="Times New Roman" w:cstheme="minorHAnsi"/>
                <w:lang w:eastAsia="pl-PL"/>
              </w:rPr>
              <w:t xml:space="preserve"> </w:t>
            </w:r>
            <w:r w:rsidRPr="00F16251">
              <w:rPr>
                <w:rFonts w:eastAsia="Times New Roman" w:cstheme="minorHAnsi"/>
                <w:lang w:eastAsia="pl-PL"/>
              </w:rPr>
              <w:t>malejących</w:t>
            </w:r>
            <w:r w:rsidR="003B50ED" w:rsidRPr="00F16251">
              <w:rPr>
                <w:rFonts w:eastAsia="Times New Roman" w:cstheme="minorHAnsi"/>
                <w:lang w:eastAsia="pl-PL"/>
              </w:rPr>
              <w:t xml:space="preserve"> </w:t>
            </w:r>
            <w:r w:rsidRPr="00F16251">
              <w:rPr>
                <w:rFonts w:eastAsia="Times New Roman" w:cstheme="minorHAnsi"/>
                <w:lang w:eastAsia="pl-PL"/>
              </w:rPr>
              <w:t>dochodów</w:t>
            </w:r>
            <w:r w:rsidR="003B50ED" w:rsidRPr="00F16251">
              <w:rPr>
                <w:rFonts w:eastAsia="Times New Roman" w:cstheme="minorHAnsi"/>
                <w:lang w:eastAsia="pl-PL"/>
              </w:rPr>
              <w:t xml:space="preserve"> </w:t>
            </w:r>
            <w:r w:rsidRPr="00F16251">
              <w:rPr>
                <w:rFonts w:eastAsia="Times New Roman" w:cstheme="minorHAnsi"/>
                <w:lang w:eastAsia="pl-PL"/>
              </w:rPr>
              <w:t>mieszkańców,</w:t>
            </w:r>
            <w:r w:rsidR="003B50ED" w:rsidRPr="00F16251">
              <w:rPr>
                <w:rFonts w:eastAsia="Times New Roman" w:cstheme="minorHAnsi"/>
                <w:lang w:eastAsia="pl-PL"/>
              </w:rPr>
              <w:t xml:space="preserve"> </w:t>
            </w:r>
            <w:r w:rsidRPr="00F16251">
              <w:rPr>
                <w:rFonts w:eastAsia="Times New Roman" w:cstheme="minorHAnsi"/>
                <w:lang w:eastAsia="pl-PL"/>
              </w:rPr>
              <w:t>jest</w:t>
            </w:r>
            <w:r w:rsidR="003B50ED" w:rsidRPr="00F16251">
              <w:rPr>
                <w:rFonts w:eastAsia="Times New Roman" w:cstheme="minorHAnsi"/>
                <w:lang w:eastAsia="pl-PL"/>
              </w:rPr>
              <w:t xml:space="preserve"> </w:t>
            </w:r>
            <w:r w:rsidRPr="00F16251">
              <w:rPr>
                <w:rFonts w:eastAsia="Times New Roman" w:cstheme="minorHAnsi"/>
                <w:lang w:eastAsia="pl-PL"/>
              </w:rPr>
              <w:t>zmniejszający</w:t>
            </w:r>
            <w:r w:rsidR="003B50ED" w:rsidRPr="00F16251">
              <w:rPr>
                <w:rFonts w:eastAsia="Times New Roman" w:cstheme="minorHAnsi"/>
                <w:lang w:eastAsia="pl-PL"/>
              </w:rPr>
              <w:t xml:space="preserve"> </w:t>
            </w:r>
            <w:r w:rsidRPr="00F16251">
              <w:rPr>
                <w:rFonts w:eastAsia="Times New Roman" w:cstheme="minorHAnsi"/>
                <w:lang w:eastAsia="pl-PL"/>
              </w:rPr>
              <w:t>się</w:t>
            </w:r>
            <w:r w:rsidR="003B50ED" w:rsidRPr="00F16251">
              <w:rPr>
                <w:rFonts w:eastAsia="Times New Roman" w:cstheme="minorHAnsi"/>
                <w:lang w:eastAsia="pl-PL"/>
              </w:rPr>
              <w:t xml:space="preserve"> </w:t>
            </w:r>
            <w:r w:rsidR="00086355" w:rsidRPr="00F16251">
              <w:rPr>
                <w:rFonts w:eastAsia="Times New Roman" w:cstheme="minorHAnsi"/>
                <w:lang w:eastAsia="pl-PL"/>
              </w:rPr>
              <w:t xml:space="preserve">potencjał </w:t>
            </w:r>
            <w:r w:rsidRPr="00F16251">
              <w:rPr>
                <w:rFonts w:eastAsia="Times New Roman" w:cstheme="minorHAnsi"/>
                <w:lang w:eastAsia="pl-PL"/>
              </w:rPr>
              <w:t>tych</w:t>
            </w:r>
            <w:r w:rsidR="003B50ED" w:rsidRPr="00F16251">
              <w:rPr>
                <w:rFonts w:eastAsia="Times New Roman" w:cstheme="minorHAnsi"/>
                <w:lang w:eastAsia="pl-PL"/>
              </w:rPr>
              <w:t xml:space="preserve"> </w:t>
            </w:r>
            <w:r w:rsidRPr="00F16251">
              <w:rPr>
                <w:rFonts w:eastAsia="Times New Roman" w:cstheme="minorHAnsi"/>
                <w:lang w:eastAsia="pl-PL"/>
              </w:rPr>
              <w:t>jednostek.</w:t>
            </w:r>
            <w:r w:rsidR="003B50ED" w:rsidRPr="00F16251">
              <w:rPr>
                <w:rFonts w:eastAsia="Times New Roman" w:cstheme="minorHAnsi"/>
                <w:lang w:eastAsia="pl-PL"/>
              </w:rPr>
              <w:t xml:space="preserve"> </w:t>
            </w:r>
            <w:r w:rsidRPr="00F16251">
              <w:rPr>
                <w:rFonts w:eastAsia="Times New Roman" w:cstheme="minorHAnsi"/>
                <w:lang w:eastAsia="pl-PL"/>
              </w:rPr>
              <w:t>Jednocześnie,</w:t>
            </w:r>
            <w:r w:rsidR="003B50ED" w:rsidRPr="00F16251">
              <w:rPr>
                <w:rFonts w:eastAsia="Times New Roman" w:cstheme="minorHAnsi"/>
                <w:lang w:eastAsia="pl-PL"/>
              </w:rPr>
              <w:t xml:space="preserve"> </w:t>
            </w:r>
            <w:r w:rsidRPr="00F16251">
              <w:rPr>
                <w:rFonts w:eastAsia="Times New Roman" w:cstheme="minorHAnsi"/>
                <w:lang w:eastAsia="pl-PL"/>
              </w:rPr>
              <w:t>rosną</w:t>
            </w:r>
            <w:r w:rsidR="003B50ED" w:rsidRPr="00F16251">
              <w:rPr>
                <w:rFonts w:eastAsia="Times New Roman" w:cstheme="minorHAnsi"/>
                <w:lang w:eastAsia="pl-PL"/>
              </w:rPr>
              <w:t xml:space="preserve"> </w:t>
            </w:r>
            <w:r w:rsidRPr="00F16251">
              <w:rPr>
                <w:rFonts w:eastAsia="Times New Roman" w:cstheme="minorHAnsi"/>
                <w:lang w:eastAsia="pl-PL"/>
              </w:rPr>
              <w:t>oczekiwania</w:t>
            </w:r>
            <w:r w:rsidR="003B50ED" w:rsidRPr="00F16251">
              <w:rPr>
                <w:rFonts w:eastAsia="Times New Roman" w:cstheme="minorHAnsi"/>
                <w:lang w:eastAsia="pl-PL"/>
              </w:rPr>
              <w:t xml:space="preserve"> </w:t>
            </w:r>
            <w:r w:rsidRPr="00F16251">
              <w:rPr>
                <w:rFonts w:eastAsia="Times New Roman" w:cstheme="minorHAnsi"/>
                <w:lang w:eastAsia="pl-PL"/>
              </w:rPr>
              <w:t>społeczności</w:t>
            </w:r>
            <w:r w:rsidR="003B50ED" w:rsidRPr="00F16251">
              <w:rPr>
                <w:rFonts w:eastAsia="Times New Roman" w:cstheme="minorHAnsi"/>
                <w:lang w:eastAsia="pl-PL"/>
              </w:rPr>
              <w:t xml:space="preserve"> </w:t>
            </w:r>
            <w:r w:rsidRPr="00F16251">
              <w:rPr>
                <w:rFonts w:eastAsia="Times New Roman" w:cstheme="minorHAnsi"/>
                <w:lang w:eastAsia="pl-PL"/>
              </w:rPr>
              <w:t>wobec</w:t>
            </w:r>
            <w:r w:rsidR="003B50ED" w:rsidRPr="00F16251">
              <w:rPr>
                <w:rFonts w:eastAsia="Times New Roman" w:cstheme="minorHAnsi"/>
                <w:lang w:eastAsia="pl-PL"/>
              </w:rPr>
              <w:t xml:space="preserve"> </w:t>
            </w:r>
            <w:r w:rsidRPr="00F16251">
              <w:rPr>
                <w:rFonts w:eastAsia="Times New Roman" w:cstheme="minorHAnsi"/>
                <w:lang w:eastAsia="pl-PL"/>
              </w:rPr>
              <w:t>tworzenia</w:t>
            </w:r>
            <w:r w:rsidR="003B50ED" w:rsidRPr="00F16251">
              <w:rPr>
                <w:rFonts w:eastAsia="Times New Roman" w:cstheme="minorHAnsi"/>
                <w:lang w:eastAsia="pl-PL"/>
              </w:rPr>
              <w:t xml:space="preserve"> </w:t>
            </w:r>
            <w:r w:rsidRPr="00F16251">
              <w:rPr>
                <w:rFonts w:eastAsia="Times New Roman" w:cstheme="minorHAnsi"/>
                <w:lang w:eastAsia="pl-PL"/>
              </w:rPr>
              <w:t>usług</w:t>
            </w:r>
            <w:r w:rsidR="003B50ED" w:rsidRPr="00F16251">
              <w:rPr>
                <w:rFonts w:eastAsia="Times New Roman" w:cstheme="minorHAnsi"/>
                <w:lang w:eastAsia="pl-PL"/>
              </w:rPr>
              <w:t xml:space="preserve"> </w:t>
            </w:r>
            <w:r w:rsidRPr="00F16251">
              <w:rPr>
                <w:rFonts w:eastAsia="Times New Roman" w:cstheme="minorHAnsi"/>
                <w:lang w:eastAsia="pl-PL"/>
              </w:rPr>
              <w:t>o</w:t>
            </w:r>
            <w:r w:rsidR="003B50ED" w:rsidRPr="00F16251">
              <w:rPr>
                <w:rFonts w:eastAsia="Times New Roman" w:cstheme="minorHAnsi"/>
                <w:lang w:eastAsia="pl-PL"/>
              </w:rPr>
              <w:t xml:space="preserve"> </w:t>
            </w:r>
            <w:r w:rsidRPr="00F16251">
              <w:rPr>
                <w:rFonts w:eastAsia="Times New Roman" w:cstheme="minorHAnsi"/>
                <w:lang w:eastAsia="pl-PL"/>
              </w:rPr>
              <w:t>charakterze</w:t>
            </w:r>
            <w:r w:rsidR="003B50ED" w:rsidRPr="00F16251">
              <w:rPr>
                <w:rFonts w:eastAsia="Times New Roman" w:cstheme="minorHAnsi"/>
                <w:lang w:eastAsia="pl-PL"/>
              </w:rPr>
              <w:t xml:space="preserve"> </w:t>
            </w:r>
            <w:r w:rsidRPr="00F16251">
              <w:rPr>
                <w:rFonts w:eastAsia="Times New Roman" w:cstheme="minorHAnsi"/>
                <w:lang w:eastAsia="pl-PL"/>
              </w:rPr>
              <w:t>niekomercyjnym,</w:t>
            </w:r>
            <w:r w:rsidR="003B50ED" w:rsidRPr="00F16251">
              <w:rPr>
                <w:rFonts w:eastAsia="Times New Roman" w:cstheme="minorHAnsi"/>
                <w:lang w:eastAsia="pl-PL"/>
              </w:rPr>
              <w:t xml:space="preserve"> </w:t>
            </w:r>
            <w:r w:rsidRPr="00F16251">
              <w:rPr>
                <w:rFonts w:eastAsia="Times New Roman" w:cstheme="minorHAnsi"/>
                <w:lang w:eastAsia="pl-PL"/>
              </w:rPr>
              <w:t>mających</w:t>
            </w:r>
            <w:r w:rsidR="003B50ED" w:rsidRPr="00F16251">
              <w:rPr>
                <w:rFonts w:eastAsia="Times New Roman" w:cstheme="minorHAnsi"/>
                <w:lang w:eastAsia="pl-PL"/>
              </w:rPr>
              <w:t xml:space="preserve"> </w:t>
            </w:r>
            <w:r w:rsidRPr="00F16251">
              <w:rPr>
                <w:rFonts w:eastAsia="Times New Roman" w:cstheme="minorHAnsi"/>
                <w:lang w:eastAsia="pl-PL"/>
              </w:rPr>
              <w:t>na</w:t>
            </w:r>
            <w:r w:rsidR="003B50ED" w:rsidRPr="00F16251">
              <w:rPr>
                <w:rFonts w:eastAsia="Times New Roman" w:cstheme="minorHAnsi"/>
                <w:lang w:eastAsia="pl-PL"/>
              </w:rPr>
              <w:t xml:space="preserve"> </w:t>
            </w:r>
            <w:r w:rsidRPr="00F16251">
              <w:rPr>
                <w:rFonts w:eastAsia="Times New Roman" w:cstheme="minorHAnsi"/>
                <w:lang w:eastAsia="pl-PL"/>
              </w:rPr>
              <w:t>celu</w:t>
            </w:r>
            <w:r w:rsidR="003B50ED" w:rsidRPr="00F16251">
              <w:rPr>
                <w:rFonts w:eastAsia="Times New Roman" w:cstheme="minorHAnsi"/>
                <w:lang w:eastAsia="pl-PL"/>
              </w:rPr>
              <w:t xml:space="preserve"> </w:t>
            </w:r>
            <w:r w:rsidRPr="00F16251">
              <w:rPr>
                <w:rFonts w:eastAsia="Times New Roman" w:cstheme="minorHAnsi"/>
                <w:lang w:eastAsia="pl-PL"/>
              </w:rPr>
              <w:t>poprawę</w:t>
            </w:r>
            <w:r w:rsidR="003B50ED" w:rsidRPr="00F16251">
              <w:rPr>
                <w:rFonts w:eastAsia="Times New Roman" w:cstheme="minorHAnsi"/>
                <w:lang w:eastAsia="pl-PL"/>
              </w:rPr>
              <w:t xml:space="preserve"> </w:t>
            </w:r>
            <w:r w:rsidRPr="00F16251">
              <w:rPr>
                <w:rFonts w:eastAsia="Times New Roman" w:cstheme="minorHAnsi"/>
                <w:lang w:eastAsia="pl-PL"/>
              </w:rPr>
              <w:t>jakości</w:t>
            </w:r>
            <w:r w:rsidR="003B50ED" w:rsidRPr="00F16251">
              <w:rPr>
                <w:rFonts w:eastAsia="Times New Roman" w:cstheme="minorHAnsi"/>
                <w:lang w:eastAsia="pl-PL"/>
              </w:rPr>
              <w:t xml:space="preserve"> </w:t>
            </w:r>
            <w:r w:rsidRPr="00F16251">
              <w:rPr>
                <w:rFonts w:eastAsia="Times New Roman" w:cstheme="minorHAnsi"/>
                <w:lang w:eastAsia="pl-PL"/>
              </w:rPr>
              <w:t>życia</w:t>
            </w:r>
            <w:r w:rsidR="003B50ED" w:rsidRPr="00F16251">
              <w:rPr>
                <w:rFonts w:eastAsia="Times New Roman" w:cstheme="minorHAnsi"/>
                <w:lang w:eastAsia="pl-PL"/>
              </w:rPr>
              <w:t xml:space="preserve"> </w:t>
            </w:r>
            <w:r w:rsidRPr="00F16251">
              <w:rPr>
                <w:rFonts w:eastAsia="Times New Roman" w:cstheme="minorHAnsi"/>
                <w:lang w:eastAsia="pl-PL"/>
              </w:rPr>
              <w:t>w</w:t>
            </w:r>
            <w:r w:rsidR="003B50ED" w:rsidRPr="00F16251">
              <w:rPr>
                <w:rFonts w:eastAsia="Times New Roman" w:cstheme="minorHAnsi"/>
                <w:lang w:eastAsia="pl-PL"/>
              </w:rPr>
              <w:t xml:space="preserve"> </w:t>
            </w:r>
            <w:r w:rsidRPr="00F16251">
              <w:rPr>
                <w:rFonts w:eastAsia="Times New Roman" w:cstheme="minorHAnsi"/>
                <w:lang w:eastAsia="pl-PL"/>
              </w:rPr>
              <w:t>tym</w:t>
            </w:r>
            <w:r w:rsidR="003B50ED" w:rsidRPr="00F16251">
              <w:rPr>
                <w:rFonts w:eastAsia="Times New Roman" w:cstheme="minorHAnsi"/>
                <w:lang w:eastAsia="pl-PL"/>
              </w:rPr>
              <w:t xml:space="preserve"> </w:t>
            </w:r>
            <w:r w:rsidRPr="00F16251">
              <w:rPr>
                <w:rFonts w:eastAsia="Times New Roman" w:cstheme="minorHAnsi"/>
                <w:lang w:eastAsia="pl-PL"/>
              </w:rPr>
              <w:t>zapewnienie</w:t>
            </w:r>
            <w:r w:rsidR="003B50ED" w:rsidRPr="00F16251">
              <w:rPr>
                <w:rFonts w:eastAsia="Times New Roman" w:cstheme="minorHAnsi"/>
                <w:lang w:eastAsia="pl-PL"/>
              </w:rPr>
              <w:t xml:space="preserve"> </w:t>
            </w:r>
            <w:r w:rsidRPr="00F16251">
              <w:rPr>
                <w:rFonts w:eastAsia="Times New Roman" w:cstheme="minorHAnsi"/>
                <w:lang w:eastAsia="pl-PL"/>
              </w:rPr>
              <w:t>możliwości</w:t>
            </w:r>
            <w:r w:rsidR="003B50ED" w:rsidRPr="00F16251">
              <w:rPr>
                <w:rFonts w:eastAsia="Times New Roman" w:cstheme="minorHAnsi"/>
                <w:lang w:eastAsia="pl-PL"/>
              </w:rPr>
              <w:t xml:space="preserve"> </w:t>
            </w:r>
            <w:r w:rsidRPr="00F16251">
              <w:rPr>
                <w:rFonts w:eastAsia="Times New Roman" w:cstheme="minorHAnsi"/>
                <w:lang w:eastAsia="pl-PL"/>
              </w:rPr>
              <w:t>spędzania</w:t>
            </w:r>
            <w:r w:rsidR="003B50ED" w:rsidRPr="00F16251">
              <w:rPr>
                <w:rFonts w:eastAsia="Times New Roman" w:cstheme="minorHAnsi"/>
                <w:lang w:eastAsia="pl-PL"/>
              </w:rPr>
              <w:t xml:space="preserve"> </w:t>
            </w:r>
            <w:r w:rsidRPr="00F16251">
              <w:rPr>
                <w:rFonts w:eastAsia="Times New Roman" w:cstheme="minorHAnsi"/>
                <w:lang w:eastAsia="pl-PL"/>
              </w:rPr>
              <w:t>wolnego</w:t>
            </w:r>
            <w:r w:rsidR="003B50ED" w:rsidRPr="00F16251">
              <w:rPr>
                <w:rFonts w:eastAsia="Times New Roman" w:cstheme="minorHAnsi"/>
                <w:lang w:eastAsia="pl-PL"/>
              </w:rPr>
              <w:t xml:space="preserve"> </w:t>
            </w:r>
            <w:r w:rsidRPr="00F16251">
              <w:rPr>
                <w:rFonts w:eastAsia="Times New Roman" w:cstheme="minorHAnsi"/>
                <w:lang w:eastAsia="pl-PL"/>
              </w:rPr>
              <w:t>czasu</w:t>
            </w:r>
            <w:r w:rsidR="003B50ED" w:rsidRPr="00F16251">
              <w:rPr>
                <w:rFonts w:eastAsia="Times New Roman" w:cstheme="minorHAnsi"/>
                <w:lang w:eastAsia="pl-PL"/>
              </w:rPr>
              <w:t xml:space="preserve">. </w:t>
            </w:r>
            <w:r w:rsidRPr="00F16251">
              <w:rPr>
                <w:rFonts w:eastAsia="Times New Roman" w:cstheme="minorHAnsi"/>
                <w:lang w:eastAsia="pl-PL"/>
              </w:rPr>
              <w:t>Z</w:t>
            </w:r>
            <w:r w:rsidR="003B50ED" w:rsidRPr="00F16251">
              <w:rPr>
                <w:rFonts w:eastAsia="Times New Roman" w:cstheme="minorHAnsi"/>
                <w:lang w:eastAsia="pl-PL"/>
              </w:rPr>
              <w:t xml:space="preserve"> </w:t>
            </w:r>
            <w:r w:rsidRPr="00F16251">
              <w:rPr>
                <w:rFonts w:eastAsia="Times New Roman" w:cstheme="minorHAnsi"/>
                <w:lang w:eastAsia="pl-PL"/>
              </w:rPr>
              <w:t>tego</w:t>
            </w:r>
            <w:r w:rsidR="003B50ED" w:rsidRPr="00F16251">
              <w:rPr>
                <w:rFonts w:eastAsia="Times New Roman" w:cstheme="minorHAnsi"/>
                <w:lang w:eastAsia="pl-PL"/>
              </w:rPr>
              <w:t xml:space="preserve"> </w:t>
            </w:r>
            <w:r w:rsidRPr="00F16251">
              <w:rPr>
                <w:rFonts w:eastAsia="Times New Roman" w:cstheme="minorHAnsi"/>
                <w:lang w:eastAsia="pl-PL"/>
              </w:rPr>
              <w:t>powodu</w:t>
            </w:r>
            <w:r w:rsidR="003B50ED" w:rsidRPr="00F16251">
              <w:rPr>
                <w:rFonts w:eastAsia="Times New Roman" w:cstheme="minorHAnsi"/>
                <w:lang w:eastAsia="pl-PL"/>
              </w:rPr>
              <w:t xml:space="preserve"> </w:t>
            </w:r>
            <w:r w:rsidRPr="00F16251">
              <w:rPr>
                <w:rFonts w:eastAsia="Times New Roman" w:cstheme="minorHAnsi"/>
                <w:lang w:eastAsia="pl-PL"/>
              </w:rPr>
              <w:t>zdecydowano</w:t>
            </w:r>
            <w:r w:rsidR="003B50ED" w:rsidRPr="00F16251">
              <w:rPr>
                <w:rFonts w:eastAsia="Times New Roman" w:cstheme="minorHAnsi"/>
                <w:lang w:eastAsia="pl-PL"/>
              </w:rPr>
              <w:t xml:space="preserve"> </w:t>
            </w:r>
            <w:r w:rsidRPr="00F16251">
              <w:rPr>
                <w:rFonts w:eastAsia="Times New Roman" w:cstheme="minorHAnsi"/>
                <w:lang w:eastAsia="pl-PL"/>
              </w:rPr>
              <w:t>o</w:t>
            </w:r>
            <w:r w:rsidR="003B50ED" w:rsidRPr="00F16251">
              <w:rPr>
                <w:rFonts w:eastAsia="Times New Roman" w:cstheme="minorHAnsi"/>
                <w:lang w:eastAsia="pl-PL"/>
              </w:rPr>
              <w:t xml:space="preserve"> </w:t>
            </w:r>
            <w:r w:rsidRPr="00F16251">
              <w:rPr>
                <w:rFonts w:eastAsia="Times New Roman" w:cstheme="minorHAnsi"/>
                <w:lang w:eastAsia="pl-PL"/>
              </w:rPr>
              <w:t>wyróżnieniu</w:t>
            </w:r>
            <w:r w:rsidR="003B50ED" w:rsidRPr="00F16251">
              <w:rPr>
                <w:rFonts w:eastAsia="Times New Roman" w:cstheme="minorHAnsi"/>
                <w:lang w:eastAsia="pl-PL"/>
              </w:rPr>
              <w:t xml:space="preserve"> </w:t>
            </w:r>
            <w:r w:rsidRPr="00F16251">
              <w:rPr>
                <w:rFonts w:eastAsia="Times New Roman" w:cstheme="minorHAnsi"/>
                <w:lang w:eastAsia="pl-PL"/>
              </w:rPr>
              <w:t>JSFP</w:t>
            </w:r>
            <w:r w:rsidR="003B50ED" w:rsidRPr="00F16251">
              <w:rPr>
                <w:rFonts w:eastAsia="Times New Roman" w:cstheme="minorHAnsi"/>
                <w:lang w:eastAsia="pl-PL"/>
              </w:rPr>
              <w:t xml:space="preserve"> </w:t>
            </w:r>
            <w:r w:rsidR="000E24D7" w:rsidRPr="00F16251">
              <w:rPr>
                <w:rFonts w:eastAsia="Times New Roman" w:cstheme="minorHAnsi"/>
                <w:lang w:eastAsia="pl-PL"/>
              </w:rPr>
              <w:t>j</w:t>
            </w:r>
            <w:r w:rsidRPr="00F16251">
              <w:rPr>
                <w:rFonts w:eastAsia="Times New Roman" w:cstheme="minorHAnsi"/>
                <w:lang w:eastAsia="pl-PL"/>
              </w:rPr>
              <w:t>ako</w:t>
            </w:r>
            <w:r w:rsidR="003B50ED" w:rsidRPr="00F16251">
              <w:rPr>
                <w:rFonts w:eastAsia="Times New Roman" w:cstheme="minorHAnsi"/>
                <w:lang w:eastAsia="pl-PL"/>
              </w:rPr>
              <w:t xml:space="preserve"> </w:t>
            </w:r>
            <w:r w:rsidRPr="00F16251">
              <w:rPr>
                <w:rFonts w:eastAsia="Times New Roman" w:cstheme="minorHAnsi"/>
                <w:lang w:eastAsia="pl-PL"/>
              </w:rPr>
              <w:t>oddzielnej</w:t>
            </w:r>
            <w:r w:rsidR="003B50ED" w:rsidRPr="00F16251">
              <w:rPr>
                <w:rFonts w:eastAsia="Times New Roman" w:cstheme="minorHAnsi"/>
                <w:lang w:eastAsia="pl-PL"/>
              </w:rPr>
              <w:t xml:space="preserve"> </w:t>
            </w:r>
            <w:r w:rsidRPr="00F16251">
              <w:rPr>
                <w:rFonts w:eastAsia="Times New Roman" w:cstheme="minorHAnsi"/>
                <w:lang w:eastAsia="pl-PL"/>
              </w:rPr>
              <w:t>grupy</w:t>
            </w:r>
            <w:r w:rsidR="003B50ED" w:rsidRPr="00F16251">
              <w:rPr>
                <w:rFonts w:eastAsia="Times New Roman" w:cstheme="minorHAnsi"/>
                <w:lang w:eastAsia="pl-PL"/>
              </w:rPr>
              <w:t xml:space="preserve"> </w:t>
            </w:r>
            <w:r w:rsidRPr="00F16251">
              <w:rPr>
                <w:rFonts w:eastAsia="Times New Roman" w:cstheme="minorHAnsi"/>
                <w:lang w:eastAsia="pl-PL"/>
              </w:rPr>
              <w:t>docelowej</w:t>
            </w:r>
          </w:p>
        </w:tc>
      </w:tr>
      <w:tr w:rsidR="00C20F06" w:rsidRPr="00A26C26" w14:paraId="499D25D7" w14:textId="77777777" w:rsidTr="007F1E76">
        <w:tc>
          <w:tcPr>
            <w:tcW w:w="1555" w:type="dxa"/>
          </w:tcPr>
          <w:p w14:paraId="1B5AB92C" w14:textId="34413ABE" w:rsidR="00C20F06" w:rsidRPr="00A26C26" w:rsidRDefault="00C20F06" w:rsidP="00F06E84">
            <w:pPr>
              <w:spacing w:line="276" w:lineRule="auto"/>
              <w:rPr>
                <w:rFonts w:eastAsia="Times New Roman" w:cstheme="minorHAnsi"/>
                <w:lang w:eastAsia="pl-PL"/>
              </w:rPr>
            </w:pPr>
            <w:r w:rsidRPr="00A26C26">
              <w:rPr>
                <w:rFonts w:eastAsia="Times New Roman" w:cstheme="minorHAnsi"/>
                <w:lang w:eastAsia="pl-PL"/>
              </w:rPr>
              <w:t>Osoby</w:t>
            </w:r>
            <w:r w:rsidR="003B50ED">
              <w:rPr>
                <w:rFonts w:eastAsia="Times New Roman" w:cstheme="minorHAnsi"/>
                <w:lang w:eastAsia="pl-PL"/>
              </w:rPr>
              <w:t xml:space="preserve"> </w:t>
            </w:r>
            <w:r w:rsidRPr="00A26C26">
              <w:rPr>
                <w:rFonts w:eastAsia="Times New Roman" w:cstheme="minorHAnsi"/>
                <w:lang w:eastAsia="pl-PL"/>
              </w:rPr>
              <w:t>młode.</w:t>
            </w:r>
          </w:p>
        </w:tc>
        <w:tc>
          <w:tcPr>
            <w:tcW w:w="8639" w:type="dxa"/>
          </w:tcPr>
          <w:p w14:paraId="149DCB6B" w14:textId="77777777" w:rsidR="00C20F06" w:rsidRPr="00F16251" w:rsidRDefault="00C20F06" w:rsidP="00E07BED">
            <w:pPr>
              <w:spacing w:line="276" w:lineRule="auto"/>
              <w:jc w:val="both"/>
              <w:rPr>
                <w:rFonts w:eastAsia="Times New Roman" w:cstheme="minorHAnsi"/>
                <w:lang w:eastAsia="pl-PL"/>
              </w:rPr>
            </w:pPr>
            <w:r w:rsidRPr="00F16251">
              <w:rPr>
                <w:rFonts w:eastAsia="Times New Roman" w:cstheme="minorHAnsi"/>
                <w:lang w:eastAsia="pl-PL"/>
              </w:rPr>
              <w:t>Jak</w:t>
            </w:r>
            <w:r w:rsidR="003B50ED" w:rsidRPr="00F16251">
              <w:rPr>
                <w:rFonts w:eastAsia="Times New Roman" w:cstheme="minorHAnsi"/>
                <w:lang w:eastAsia="pl-PL"/>
              </w:rPr>
              <w:t xml:space="preserve"> </w:t>
            </w:r>
            <w:r w:rsidRPr="00F16251">
              <w:rPr>
                <w:rFonts w:eastAsia="Times New Roman" w:cstheme="minorHAnsi"/>
                <w:lang w:eastAsia="pl-PL"/>
              </w:rPr>
              <w:t>pokazały</w:t>
            </w:r>
            <w:r w:rsidR="003B50ED" w:rsidRPr="00F16251">
              <w:rPr>
                <w:rFonts w:eastAsia="Times New Roman" w:cstheme="minorHAnsi"/>
                <w:lang w:eastAsia="pl-PL"/>
              </w:rPr>
              <w:t xml:space="preserve"> </w:t>
            </w:r>
            <w:r w:rsidRPr="00F16251">
              <w:rPr>
                <w:rFonts w:eastAsia="Times New Roman" w:cstheme="minorHAnsi"/>
                <w:lang w:eastAsia="pl-PL"/>
              </w:rPr>
              <w:t>badania</w:t>
            </w:r>
            <w:r w:rsidR="003B50ED" w:rsidRPr="00F16251">
              <w:rPr>
                <w:rFonts w:eastAsia="Times New Roman" w:cstheme="minorHAnsi"/>
                <w:lang w:eastAsia="pl-PL"/>
              </w:rPr>
              <w:t xml:space="preserve"> </w:t>
            </w:r>
            <w:r w:rsidRPr="00F16251">
              <w:rPr>
                <w:rFonts w:eastAsia="Times New Roman" w:cstheme="minorHAnsi"/>
                <w:lang w:eastAsia="pl-PL"/>
              </w:rPr>
              <w:t>prowadzone</w:t>
            </w:r>
            <w:r w:rsidR="003B50ED" w:rsidRPr="00F16251">
              <w:rPr>
                <w:rFonts w:eastAsia="Times New Roman" w:cstheme="minorHAnsi"/>
                <w:lang w:eastAsia="pl-PL"/>
              </w:rPr>
              <w:t xml:space="preserve"> </w:t>
            </w:r>
            <w:r w:rsidRPr="00F16251">
              <w:rPr>
                <w:rFonts w:eastAsia="Times New Roman" w:cstheme="minorHAnsi"/>
                <w:lang w:eastAsia="pl-PL"/>
              </w:rPr>
              <w:t>na</w:t>
            </w:r>
            <w:r w:rsidR="003B50ED" w:rsidRPr="00F16251">
              <w:rPr>
                <w:rFonts w:eastAsia="Times New Roman" w:cstheme="minorHAnsi"/>
                <w:lang w:eastAsia="pl-PL"/>
              </w:rPr>
              <w:t xml:space="preserve"> </w:t>
            </w:r>
            <w:r w:rsidRPr="00F16251">
              <w:rPr>
                <w:rFonts w:eastAsia="Times New Roman" w:cstheme="minorHAnsi"/>
                <w:lang w:eastAsia="pl-PL"/>
              </w:rPr>
              <w:t>etapie</w:t>
            </w:r>
            <w:r w:rsidR="003B50ED" w:rsidRPr="00F16251">
              <w:rPr>
                <w:rFonts w:eastAsia="Times New Roman" w:cstheme="minorHAnsi"/>
                <w:lang w:eastAsia="pl-PL"/>
              </w:rPr>
              <w:t xml:space="preserve"> </w:t>
            </w:r>
            <w:r w:rsidRPr="00F16251">
              <w:rPr>
                <w:rFonts w:eastAsia="Times New Roman" w:cstheme="minorHAnsi"/>
                <w:lang w:eastAsia="pl-PL"/>
              </w:rPr>
              <w:t>opracowania</w:t>
            </w:r>
            <w:r w:rsidR="003B50ED" w:rsidRPr="00F16251">
              <w:rPr>
                <w:rFonts w:eastAsia="Times New Roman" w:cstheme="minorHAnsi"/>
                <w:lang w:eastAsia="pl-PL"/>
              </w:rPr>
              <w:t xml:space="preserve"> </w:t>
            </w:r>
            <w:r w:rsidRPr="00F16251">
              <w:rPr>
                <w:rFonts w:eastAsia="Times New Roman" w:cstheme="minorHAnsi"/>
                <w:lang w:eastAsia="pl-PL"/>
              </w:rPr>
              <w:t>LSR,</w:t>
            </w:r>
            <w:r w:rsidR="003B50ED" w:rsidRPr="00F16251">
              <w:rPr>
                <w:rFonts w:eastAsia="Times New Roman" w:cstheme="minorHAnsi"/>
                <w:lang w:eastAsia="pl-PL"/>
              </w:rPr>
              <w:t xml:space="preserve"> </w:t>
            </w:r>
            <w:r w:rsidRPr="00F16251">
              <w:rPr>
                <w:rFonts w:eastAsia="Times New Roman" w:cstheme="minorHAnsi"/>
                <w:lang w:eastAsia="pl-PL"/>
              </w:rPr>
              <w:t>młodzi</w:t>
            </w:r>
            <w:r w:rsidR="003B50ED" w:rsidRPr="00F16251">
              <w:rPr>
                <w:rFonts w:eastAsia="Times New Roman" w:cstheme="minorHAnsi"/>
                <w:lang w:eastAsia="pl-PL"/>
              </w:rPr>
              <w:t xml:space="preserve"> </w:t>
            </w:r>
            <w:r w:rsidRPr="00F16251">
              <w:rPr>
                <w:rFonts w:eastAsia="Times New Roman" w:cstheme="minorHAnsi"/>
                <w:lang w:eastAsia="pl-PL"/>
              </w:rPr>
              <w:t>ludzie</w:t>
            </w:r>
            <w:r w:rsidR="003B50ED" w:rsidRPr="00F16251">
              <w:rPr>
                <w:rFonts w:eastAsia="Times New Roman" w:cstheme="minorHAnsi"/>
                <w:lang w:eastAsia="pl-PL"/>
              </w:rPr>
              <w:t xml:space="preserve"> </w:t>
            </w:r>
            <w:r w:rsidRPr="00F16251">
              <w:rPr>
                <w:rFonts w:eastAsia="Times New Roman" w:cstheme="minorHAnsi"/>
                <w:lang w:eastAsia="pl-PL"/>
              </w:rPr>
              <w:t>nie</w:t>
            </w:r>
            <w:r w:rsidR="003B50ED" w:rsidRPr="00F16251">
              <w:rPr>
                <w:rFonts w:eastAsia="Times New Roman" w:cstheme="minorHAnsi"/>
                <w:lang w:eastAsia="pl-PL"/>
              </w:rPr>
              <w:t xml:space="preserve"> </w:t>
            </w:r>
            <w:r w:rsidRPr="00F16251">
              <w:rPr>
                <w:rFonts w:eastAsia="Times New Roman" w:cstheme="minorHAnsi"/>
                <w:lang w:eastAsia="pl-PL"/>
              </w:rPr>
              <w:t>widzą</w:t>
            </w:r>
            <w:r w:rsidR="003B50ED" w:rsidRPr="00F16251">
              <w:rPr>
                <w:rFonts w:eastAsia="Times New Roman" w:cstheme="minorHAnsi"/>
                <w:lang w:eastAsia="pl-PL"/>
              </w:rPr>
              <w:t xml:space="preserve"> </w:t>
            </w:r>
            <w:r w:rsidRPr="00F16251">
              <w:rPr>
                <w:rFonts w:eastAsia="Times New Roman" w:cstheme="minorHAnsi"/>
                <w:lang w:eastAsia="pl-PL"/>
              </w:rPr>
              <w:t>przyszłości</w:t>
            </w:r>
            <w:r w:rsidR="003B50ED" w:rsidRPr="00F16251">
              <w:rPr>
                <w:rFonts w:eastAsia="Times New Roman" w:cstheme="minorHAnsi"/>
                <w:lang w:eastAsia="pl-PL"/>
              </w:rPr>
              <w:t xml:space="preserve"> </w:t>
            </w:r>
            <w:r w:rsidRPr="00F16251">
              <w:rPr>
                <w:rFonts w:eastAsia="Times New Roman" w:cstheme="minorHAnsi"/>
                <w:lang w:eastAsia="pl-PL"/>
              </w:rPr>
              <w:t>w</w:t>
            </w:r>
            <w:r w:rsidR="003B50ED" w:rsidRPr="00F16251">
              <w:rPr>
                <w:rFonts w:eastAsia="Times New Roman" w:cstheme="minorHAnsi"/>
                <w:lang w:eastAsia="pl-PL"/>
              </w:rPr>
              <w:t xml:space="preserve"> </w:t>
            </w:r>
            <w:r w:rsidRPr="00F16251">
              <w:rPr>
                <w:rFonts w:eastAsia="Times New Roman" w:cstheme="minorHAnsi"/>
                <w:lang w:eastAsia="pl-PL"/>
              </w:rPr>
              <w:t>swoim</w:t>
            </w:r>
            <w:r w:rsidR="003B50ED" w:rsidRPr="00F16251">
              <w:rPr>
                <w:rFonts w:eastAsia="Times New Roman" w:cstheme="minorHAnsi"/>
                <w:lang w:eastAsia="pl-PL"/>
              </w:rPr>
              <w:t xml:space="preserve"> </w:t>
            </w:r>
            <w:r w:rsidRPr="00F16251">
              <w:rPr>
                <w:rFonts w:eastAsia="Times New Roman" w:cstheme="minorHAnsi"/>
                <w:lang w:eastAsia="pl-PL"/>
              </w:rPr>
              <w:t>miejscu</w:t>
            </w:r>
            <w:r w:rsidR="003B50ED" w:rsidRPr="00F16251">
              <w:rPr>
                <w:rFonts w:eastAsia="Times New Roman" w:cstheme="minorHAnsi"/>
                <w:lang w:eastAsia="pl-PL"/>
              </w:rPr>
              <w:t xml:space="preserve"> </w:t>
            </w:r>
            <w:r w:rsidRPr="00F16251">
              <w:rPr>
                <w:rFonts w:eastAsia="Times New Roman" w:cstheme="minorHAnsi"/>
                <w:lang w:eastAsia="pl-PL"/>
              </w:rPr>
              <w:t>zamieszkania.</w:t>
            </w:r>
            <w:r w:rsidR="003B50ED" w:rsidRPr="00F16251">
              <w:rPr>
                <w:rFonts w:eastAsia="Times New Roman" w:cstheme="minorHAnsi"/>
                <w:lang w:eastAsia="pl-PL"/>
              </w:rPr>
              <w:t xml:space="preserve"> </w:t>
            </w:r>
            <w:r w:rsidRPr="00F16251">
              <w:rPr>
                <w:rFonts w:eastAsia="Times New Roman" w:cstheme="minorHAnsi"/>
                <w:lang w:eastAsia="pl-PL"/>
              </w:rPr>
              <w:t>Brak</w:t>
            </w:r>
            <w:r w:rsidR="003B50ED" w:rsidRPr="00F16251">
              <w:rPr>
                <w:rFonts w:eastAsia="Times New Roman" w:cstheme="minorHAnsi"/>
                <w:lang w:eastAsia="pl-PL"/>
              </w:rPr>
              <w:t xml:space="preserve"> </w:t>
            </w:r>
            <w:r w:rsidRPr="00F16251">
              <w:rPr>
                <w:rFonts w:eastAsia="Times New Roman" w:cstheme="minorHAnsi"/>
                <w:lang w:eastAsia="pl-PL"/>
              </w:rPr>
              <w:t>możliwości</w:t>
            </w:r>
            <w:r w:rsidR="003B50ED" w:rsidRPr="00F16251">
              <w:rPr>
                <w:rFonts w:eastAsia="Times New Roman" w:cstheme="minorHAnsi"/>
                <w:lang w:eastAsia="pl-PL"/>
              </w:rPr>
              <w:t xml:space="preserve"> </w:t>
            </w:r>
            <w:r w:rsidRPr="00F16251">
              <w:rPr>
                <w:rFonts w:eastAsia="Times New Roman" w:cstheme="minorHAnsi"/>
                <w:lang w:eastAsia="pl-PL"/>
              </w:rPr>
              <w:t>znalezienia</w:t>
            </w:r>
            <w:r w:rsidR="003B50ED" w:rsidRPr="00F16251">
              <w:rPr>
                <w:rFonts w:eastAsia="Times New Roman" w:cstheme="minorHAnsi"/>
                <w:lang w:eastAsia="pl-PL"/>
              </w:rPr>
              <w:t xml:space="preserve"> </w:t>
            </w:r>
            <w:r w:rsidRPr="00F16251">
              <w:rPr>
                <w:rFonts w:eastAsia="Times New Roman" w:cstheme="minorHAnsi"/>
                <w:lang w:eastAsia="pl-PL"/>
              </w:rPr>
              <w:t>pracy</w:t>
            </w:r>
            <w:r w:rsidR="003B50ED" w:rsidRPr="00F16251">
              <w:rPr>
                <w:rFonts w:eastAsia="Times New Roman" w:cstheme="minorHAnsi"/>
                <w:lang w:eastAsia="pl-PL"/>
              </w:rPr>
              <w:t xml:space="preserve"> </w:t>
            </w:r>
            <w:r w:rsidRPr="00F16251">
              <w:rPr>
                <w:rFonts w:eastAsia="Times New Roman" w:cstheme="minorHAnsi"/>
                <w:lang w:eastAsia="pl-PL"/>
              </w:rPr>
              <w:t>poza</w:t>
            </w:r>
            <w:r w:rsidR="003B50ED" w:rsidRPr="00F16251">
              <w:rPr>
                <w:rFonts w:eastAsia="Times New Roman" w:cstheme="minorHAnsi"/>
                <w:lang w:eastAsia="pl-PL"/>
              </w:rPr>
              <w:t xml:space="preserve"> </w:t>
            </w:r>
            <w:r w:rsidRPr="00F16251">
              <w:rPr>
                <w:rFonts w:eastAsia="Times New Roman" w:cstheme="minorHAnsi"/>
                <w:lang w:eastAsia="pl-PL"/>
              </w:rPr>
              <w:t>sektorem</w:t>
            </w:r>
            <w:r w:rsidR="003B50ED" w:rsidRPr="00F16251">
              <w:rPr>
                <w:rFonts w:eastAsia="Times New Roman" w:cstheme="minorHAnsi"/>
                <w:lang w:eastAsia="pl-PL"/>
              </w:rPr>
              <w:t xml:space="preserve"> </w:t>
            </w:r>
            <w:r w:rsidRPr="00F16251">
              <w:rPr>
                <w:rFonts w:eastAsia="Times New Roman" w:cstheme="minorHAnsi"/>
                <w:lang w:eastAsia="pl-PL"/>
              </w:rPr>
              <w:t>rolnictwa,</w:t>
            </w:r>
            <w:r w:rsidR="003B50ED" w:rsidRPr="00F16251">
              <w:rPr>
                <w:rFonts w:eastAsia="Times New Roman" w:cstheme="minorHAnsi"/>
                <w:lang w:eastAsia="pl-PL"/>
              </w:rPr>
              <w:t xml:space="preserve"> </w:t>
            </w:r>
            <w:r w:rsidRPr="00F16251">
              <w:rPr>
                <w:rFonts w:eastAsia="Times New Roman" w:cstheme="minorHAnsi"/>
                <w:lang w:eastAsia="pl-PL"/>
              </w:rPr>
              <w:t>niska</w:t>
            </w:r>
            <w:r w:rsidR="003B50ED" w:rsidRPr="00F16251">
              <w:rPr>
                <w:rFonts w:eastAsia="Times New Roman" w:cstheme="minorHAnsi"/>
                <w:lang w:eastAsia="pl-PL"/>
              </w:rPr>
              <w:t xml:space="preserve"> </w:t>
            </w:r>
            <w:r w:rsidRPr="00F16251">
              <w:rPr>
                <w:rFonts w:eastAsia="Times New Roman" w:cstheme="minorHAnsi"/>
                <w:lang w:eastAsia="pl-PL"/>
              </w:rPr>
              <w:t>rentowność</w:t>
            </w:r>
            <w:r w:rsidR="003B50ED" w:rsidRPr="00F16251">
              <w:rPr>
                <w:rFonts w:eastAsia="Times New Roman" w:cstheme="minorHAnsi"/>
                <w:lang w:eastAsia="pl-PL"/>
              </w:rPr>
              <w:t xml:space="preserve"> </w:t>
            </w:r>
            <w:r w:rsidRPr="00F16251">
              <w:rPr>
                <w:rFonts w:eastAsia="Times New Roman" w:cstheme="minorHAnsi"/>
                <w:lang w:eastAsia="pl-PL"/>
              </w:rPr>
              <w:t>małych</w:t>
            </w:r>
            <w:r w:rsidR="003B50ED" w:rsidRPr="00F16251">
              <w:rPr>
                <w:rFonts w:eastAsia="Times New Roman" w:cstheme="minorHAnsi"/>
                <w:lang w:eastAsia="pl-PL"/>
              </w:rPr>
              <w:t xml:space="preserve"> </w:t>
            </w:r>
            <w:r w:rsidRPr="00F16251">
              <w:rPr>
                <w:rFonts w:eastAsia="Times New Roman" w:cstheme="minorHAnsi"/>
                <w:lang w:eastAsia="pl-PL"/>
              </w:rPr>
              <w:t>gospodarstw</w:t>
            </w:r>
            <w:r w:rsidR="003B50ED" w:rsidRPr="00F16251">
              <w:rPr>
                <w:rFonts w:eastAsia="Times New Roman" w:cstheme="minorHAnsi"/>
                <w:lang w:eastAsia="pl-PL"/>
              </w:rPr>
              <w:t xml:space="preserve"> </w:t>
            </w:r>
            <w:r w:rsidRPr="00F16251">
              <w:rPr>
                <w:rFonts w:eastAsia="Times New Roman" w:cstheme="minorHAnsi"/>
                <w:lang w:eastAsia="pl-PL"/>
              </w:rPr>
              <w:t>rolnych,</w:t>
            </w:r>
            <w:r w:rsidR="003B50ED" w:rsidRPr="00F16251">
              <w:rPr>
                <w:rFonts w:eastAsia="Times New Roman" w:cstheme="minorHAnsi"/>
                <w:lang w:eastAsia="pl-PL"/>
              </w:rPr>
              <w:t xml:space="preserve"> </w:t>
            </w:r>
            <w:r w:rsidRPr="00F16251">
              <w:rPr>
                <w:rFonts w:eastAsia="Times New Roman" w:cstheme="minorHAnsi"/>
                <w:lang w:eastAsia="pl-PL"/>
              </w:rPr>
              <w:t>ograniczony</w:t>
            </w:r>
            <w:r w:rsidR="003B50ED" w:rsidRPr="00F16251">
              <w:rPr>
                <w:rFonts w:eastAsia="Times New Roman" w:cstheme="minorHAnsi"/>
                <w:lang w:eastAsia="pl-PL"/>
              </w:rPr>
              <w:t xml:space="preserve"> </w:t>
            </w:r>
            <w:r w:rsidRPr="00F16251">
              <w:rPr>
                <w:rFonts w:eastAsia="Times New Roman" w:cstheme="minorHAnsi"/>
                <w:lang w:eastAsia="pl-PL"/>
              </w:rPr>
              <w:t>dostęp</w:t>
            </w:r>
            <w:r w:rsidR="003B50ED" w:rsidRPr="00F16251">
              <w:rPr>
                <w:rFonts w:eastAsia="Times New Roman" w:cstheme="minorHAnsi"/>
                <w:lang w:eastAsia="pl-PL"/>
              </w:rPr>
              <w:t xml:space="preserve"> </w:t>
            </w:r>
            <w:r w:rsidRPr="00F16251">
              <w:rPr>
                <w:rFonts w:eastAsia="Times New Roman" w:cstheme="minorHAnsi"/>
                <w:lang w:eastAsia="pl-PL"/>
              </w:rPr>
              <w:t>do</w:t>
            </w:r>
            <w:r w:rsidR="003B50ED" w:rsidRPr="00F16251">
              <w:rPr>
                <w:rFonts w:eastAsia="Times New Roman" w:cstheme="minorHAnsi"/>
                <w:lang w:eastAsia="pl-PL"/>
              </w:rPr>
              <w:t xml:space="preserve"> </w:t>
            </w:r>
            <w:r w:rsidRPr="00F16251">
              <w:rPr>
                <w:rFonts w:eastAsia="Times New Roman" w:cstheme="minorHAnsi"/>
                <w:lang w:eastAsia="pl-PL"/>
              </w:rPr>
              <w:t>infrastruktury</w:t>
            </w:r>
            <w:r w:rsidR="003B50ED" w:rsidRPr="00F16251">
              <w:rPr>
                <w:rFonts w:eastAsia="Times New Roman" w:cstheme="minorHAnsi"/>
                <w:lang w:eastAsia="pl-PL"/>
              </w:rPr>
              <w:t xml:space="preserve"> </w:t>
            </w:r>
            <w:r w:rsidRPr="00F16251">
              <w:rPr>
                <w:rFonts w:eastAsia="Times New Roman" w:cstheme="minorHAnsi"/>
                <w:lang w:eastAsia="pl-PL"/>
              </w:rPr>
              <w:t>publicznej</w:t>
            </w:r>
            <w:r w:rsidR="003B50ED" w:rsidRPr="00F16251">
              <w:rPr>
                <w:rFonts w:eastAsia="Times New Roman" w:cstheme="minorHAnsi"/>
                <w:lang w:eastAsia="pl-PL"/>
              </w:rPr>
              <w:t xml:space="preserve"> </w:t>
            </w:r>
            <w:r w:rsidRPr="00F16251">
              <w:rPr>
                <w:rFonts w:eastAsia="Times New Roman" w:cstheme="minorHAnsi"/>
                <w:lang w:eastAsia="pl-PL"/>
              </w:rPr>
              <w:t>i</w:t>
            </w:r>
            <w:r w:rsidR="003B50ED" w:rsidRPr="00F16251">
              <w:rPr>
                <w:rFonts w:eastAsia="Times New Roman" w:cstheme="minorHAnsi"/>
                <w:lang w:eastAsia="pl-PL"/>
              </w:rPr>
              <w:t xml:space="preserve"> </w:t>
            </w:r>
            <w:r w:rsidRPr="00F16251">
              <w:rPr>
                <w:rFonts w:eastAsia="Times New Roman" w:cstheme="minorHAnsi"/>
                <w:lang w:eastAsia="pl-PL"/>
              </w:rPr>
              <w:t>niedostateczna</w:t>
            </w:r>
            <w:r w:rsidR="003B50ED" w:rsidRPr="00F16251">
              <w:rPr>
                <w:rFonts w:eastAsia="Times New Roman" w:cstheme="minorHAnsi"/>
                <w:lang w:eastAsia="pl-PL"/>
              </w:rPr>
              <w:t xml:space="preserve"> </w:t>
            </w:r>
            <w:r w:rsidRPr="00F16251">
              <w:rPr>
                <w:rFonts w:eastAsia="Times New Roman" w:cstheme="minorHAnsi"/>
                <w:lang w:eastAsia="pl-PL"/>
              </w:rPr>
              <w:t>oferta</w:t>
            </w:r>
            <w:r w:rsidR="003B50ED" w:rsidRPr="00F16251">
              <w:rPr>
                <w:rFonts w:eastAsia="Times New Roman" w:cstheme="minorHAnsi"/>
                <w:lang w:eastAsia="pl-PL"/>
              </w:rPr>
              <w:t xml:space="preserve"> </w:t>
            </w:r>
            <w:r w:rsidRPr="00F16251">
              <w:rPr>
                <w:rFonts w:eastAsia="Times New Roman" w:cstheme="minorHAnsi"/>
                <w:lang w:eastAsia="pl-PL"/>
              </w:rPr>
              <w:t>aktywnego</w:t>
            </w:r>
            <w:r w:rsidR="003B50ED" w:rsidRPr="00F16251">
              <w:rPr>
                <w:rFonts w:eastAsia="Times New Roman" w:cstheme="minorHAnsi"/>
                <w:lang w:eastAsia="pl-PL"/>
              </w:rPr>
              <w:t xml:space="preserve"> </w:t>
            </w:r>
            <w:r w:rsidRPr="00F16251">
              <w:rPr>
                <w:rFonts w:eastAsia="Times New Roman" w:cstheme="minorHAnsi"/>
                <w:lang w:eastAsia="pl-PL"/>
              </w:rPr>
              <w:t>spędzania</w:t>
            </w:r>
            <w:r w:rsidR="003B50ED" w:rsidRPr="00F16251">
              <w:rPr>
                <w:rFonts w:eastAsia="Times New Roman" w:cstheme="minorHAnsi"/>
                <w:lang w:eastAsia="pl-PL"/>
              </w:rPr>
              <w:t xml:space="preserve"> </w:t>
            </w:r>
            <w:r w:rsidRPr="00F16251">
              <w:rPr>
                <w:rFonts w:eastAsia="Times New Roman" w:cstheme="minorHAnsi"/>
                <w:lang w:eastAsia="pl-PL"/>
              </w:rPr>
              <w:t>czasu</w:t>
            </w:r>
            <w:r w:rsidR="003B50ED" w:rsidRPr="00F16251">
              <w:rPr>
                <w:rFonts w:eastAsia="Times New Roman" w:cstheme="minorHAnsi"/>
                <w:lang w:eastAsia="pl-PL"/>
              </w:rPr>
              <w:t xml:space="preserve"> </w:t>
            </w:r>
            <w:r w:rsidRPr="00F16251">
              <w:rPr>
                <w:rFonts w:eastAsia="Times New Roman" w:cstheme="minorHAnsi"/>
                <w:lang w:eastAsia="pl-PL"/>
              </w:rPr>
              <w:t>to</w:t>
            </w:r>
            <w:r w:rsidR="003B50ED" w:rsidRPr="00F16251">
              <w:rPr>
                <w:rFonts w:eastAsia="Times New Roman" w:cstheme="minorHAnsi"/>
                <w:lang w:eastAsia="pl-PL"/>
              </w:rPr>
              <w:t xml:space="preserve"> </w:t>
            </w:r>
            <w:r w:rsidRPr="00F16251">
              <w:rPr>
                <w:rFonts w:eastAsia="Times New Roman" w:cstheme="minorHAnsi"/>
                <w:lang w:eastAsia="pl-PL"/>
              </w:rPr>
              <w:t>niektóre</w:t>
            </w:r>
            <w:r w:rsidR="003B50ED" w:rsidRPr="00F16251">
              <w:rPr>
                <w:rFonts w:eastAsia="Times New Roman" w:cstheme="minorHAnsi"/>
                <w:lang w:eastAsia="pl-PL"/>
              </w:rPr>
              <w:t xml:space="preserve"> </w:t>
            </w:r>
            <w:r w:rsidRPr="00F16251">
              <w:rPr>
                <w:rFonts w:eastAsia="Times New Roman" w:cstheme="minorHAnsi"/>
                <w:lang w:eastAsia="pl-PL"/>
              </w:rPr>
              <w:t>ze</w:t>
            </w:r>
            <w:r w:rsidR="003B50ED" w:rsidRPr="00F16251">
              <w:rPr>
                <w:rFonts w:eastAsia="Times New Roman" w:cstheme="minorHAnsi"/>
                <w:lang w:eastAsia="pl-PL"/>
              </w:rPr>
              <w:t xml:space="preserve"> </w:t>
            </w:r>
            <w:r w:rsidRPr="00F16251">
              <w:rPr>
                <w:rFonts w:eastAsia="Times New Roman" w:cstheme="minorHAnsi"/>
                <w:lang w:eastAsia="pl-PL"/>
              </w:rPr>
              <w:t>wskazywanych</w:t>
            </w:r>
            <w:r w:rsidR="003B50ED" w:rsidRPr="00F16251">
              <w:rPr>
                <w:rFonts w:eastAsia="Times New Roman" w:cstheme="minorHAnsi"/>
                <w:lang w:eastAsia="pl-PL"/>
              </w:rPr>
              <w:t xml:space="preserve"> </w:t>
            </w:r>
            <w:r w:rsidRPr="00F16251">
              <w:rPr>
                <w:rFonts w:eastAsia="Times New Roman" w:cstheme="minorHAnsi"/>
                <w:lang w:eastAsia="pl-PL"/>
              </w:rPr>
              <w:t>problemów.</w:t>
            </w:r>
            <w:r w:rsidR="003B50ED" w:rsidRPr="00F16251">
              <w:rPr>
                <w:rFonts w:eastAsia="Times New Roman" w:cstheme="minorHAnsi"/>
                <w:lang w:eastAsia="pl-PL"/>
              </w:rPr>
              <w:t xml:space="preserve"> </w:t>
            </w:r>
          </w:p>
          <w:p w14:paraId="027E7D64" w14:textId="16C92D91" w:rsidR="002A0A9E" w:rsidRPr="00F16251" w:rsidRDefault="002A0A9E" w:rsidP="00E07BED">
            <w:pPr>
              <w:spacing w:line="276" w:lineRule="auto"/>
              <w:jc w:val="both"/>
              <w:rPr>
                <w:rFonts w:eastAsia="Times New Roman" w:cstheme="minorHAnsi"/>
                <w:lang w:eastAsia="pl-PL"/>
              </w:rPr>
            </w:pPr>
            <w:r w:rsidRPr="00F16251">
              <w:rPr>
                <w:rFonts w:cstheme="minorHAnsi"/>
              </w:rPr>
              <w:t xml:space="preserve">W przypadku osób młodych oferta spędzania wolnego czasu jest najczęściej dostępna na etapie uczęszczania do szkoły podstawowej (tj. ok 14 r.ż.). Z reguły są to zajęcia pozalekcyjne, kółka zainteresowań, zajęcia sportowe. W tym czasie zarówno szkoły jak i gminy pozyskują dotacje na organizację tego typu zajęć. Natomiast osoby młode w wieku 14 – 25 lat jeżeli chce skorzystać z oferty zajęć zarówno edukacyjnych czy sportowych, rekreacyjnych to z reguły są to oferty komercyjne zlokalizowane w najbliższych miastach / miasteczkach. Brakuje </w:t>
            </w:r>
            <w:r w:rsidRPr="00F16251">
              <w:rPr>
                <w:rFonts w:cstheme="minorHAnsi"/>
              </w:rPr>
              <w:lastRenderedPageBreak/>
              <w:t xml:space="preserve">ogólnodostępnych, niekomercyjnych ofert spędzania czasu wolnego w miejscu zamieszkania. Ofert, które nie obciążałyby dodatkowo domowego budżetu i były na tyle atrakcyjne, że osoby młode chciałyby z nich korzystać. Istniejąca infrastruktura w postaci np. boisk czy </w:t>
            </w:r>
            <w:proofErr w:type="spellStart"/>
            <w:r w:rsidRPr="00F16251">
              <w:rPr>
                <w:rFonts w:cstheme="minorHAnsi"/>
              </w:rPr>
              <w:t>sal</w:t>
            </w:r>
            <w:proofErr w:type="spellEnd"/>
            <w:r w:rsidRPr="00F16251">
              <w:rPr>
                <w:rFonts w:cstheme="minorHAnsi"/>
              </w:rPr>
              <w:t xml:space="preserve"> gimnastycznych jest dostępna w określonych godzinach i dla zorganizowanej grupy co nie zawsze jest możliwe do spełnienia przez co, w praktyce oferta staje się niedostępna.</w:t>
            </w:r>
          </w:p>
        </w:tc>
      </w:tr>
      <w:tr w:rsidR="00C20F06" w:rsidRPr="00A26C26" w14:paraId="7F13CF83" w14:textId="77777777" w:rsidTr="007F1E76">
        <w:tc>
          <w:tcPr>
            <w:tcW w:w="1555" w:type="dxa"/>
          </w:tcPr>
          <w:p w14:paraId="190B2C99" w14:textId="457766BC" w:rsidR="00C20F06" w:rsidRPr="00A26C26" w:rsidRDefault="00C20F06" w:rsidP="00F06E84">
            <w:pPr>
              <w:spacing w:line="276" w:lineRule="auto"/>
              <w:rPr>
                <w:rFonts w:eastAsia="Times New Roman" w:cstheme="minorHAnsi"/>
                <w:lang w:eastAsia="pl-PL"/>
              </w:rPr>
            </w:pPr>
            <w:r w:rsidRPr="00A26C26">
              <w:rPr>
                <w:rFonts w:eastAsia="Times New Roman" w:cstheme="minorHAnsi"/>
                <w:lang w:eastAsia="pl-PL"/>
              </w:rPr>
              <w:lastRenderedPageBreak/>
              <w:t>Seniorzy</w:t>
            </w:r>
          </w:p>
        </w:tc>
        <w:tc>
          <w:tcPr>
            <w:tcW w:w="8639" w:type="dxa"/>
          </w:tcPr>
          <w:p w14:paraId="360E90F3" w14:textId="77777777" w:rsidR="00C20F06" w:rsidRPr="00F16251" w:rsidRDefault="00C20F06" w:rsidP="00E07BED">
            <w:pPr>
              <w:spacing w:line="276" w:lineRule="auto"/>
              <w:jc w:val="both"/>
              <w:rPr>
                <w:rFonts w:eastAsia="Times New Roman" w:cstheme="minorHAnsi"/>
                <w:lang w:eastAsia="pl-PL"/>
              </w:rPr>
            </w:pPr>
            <w:r w:rsidRPr="00F16251">
              <w:rPr>
                <w:rFonts w:eastAsia="Times New Roman" w:cstheme="minorHAnsi"/>
                <w:lang w:eastAsia="pl-PL"/>
              </w:rPr>
              <w:t>Starzenie</w:t>
            </w:r>
            <w:r w:rsidR="003B50ED" w:rsidRPr="00F16251">
              <w:rPr>
                <w:rFonts w:eastAsia="Times New Roman" w:cstheme="minorHAnsi"/>
                <w:lang w:eastAsia="pl-PL"/>
              </w:rPr>
              <w:t xml:space="preserve"> </w:t>
            </w:r>
            <w:r w:rsidRPr="00F16251">
              <w:rPr>
                <w:rFonts w:eastAsia="Times New Roman" w:cstheme="minorHAnsi"/>
                <w:lang w:eastAsia="pl-PL"/>
              </w:rPr>
              <w:t>się</w:t>
            </w:r>
            <w:r w:rsidR="003B50ED" w:rsidRPr="00F16251">
              <w:rPr>
                <w:rFonts w:eastAsia="Times New Roman" w:cstheme="minorHAnsi"/>
                <w:lang w:eastAsia="pl-PL"/>
              </w:rPr>
              <w:t xml:space="preserve"> </w:t>
            </w:r>
            <w:r w:rsidRPr="00F16251">
              <w:rPr>
                <w:rFonts w:eastAsia="Times New Roman" w:cstheme="minorHAnsi"/>
                <w:lang w:eastAsia="pl-PL"/>
              </w:rPr>
              <w:t>społeczeństw</w:t>
            </w:r>
            <w:r w:rsidR="003B50ED" w:rsidRPr="00F16251">
              <w:rPr>
                <w:rFonts w:eastAsia="Times New Roman" w:cstheme="minorHAnsi"/>
                <w:lang w:eastAsia="pl-PL"/>
              </w:rPr>
              <w:t xml:space="preserve"> </w:t>
            </w:r>
            <w:r w:rsidRPr="00F16251">
              <w:rPr>
                <w:rFonts w:eastAsia="Times New Roman" w:cstheme="minorHAnsi"/>
                <w:lang w:eastAsia="pl-PL"/>
              </w:rPr>
              <w:t>to</w:t>
            </w:r>
            <w:r w:rsidR="003B50ED" w:rsidRPr="00F16251">
              <w:rPr>
                <w:rFonts w:eastAsia="Times New Roman" w:cstheme="minorHAnsi"/>
                <w:lang w:eastAsia="pl-PL"/>
              </w:rPr>
              <w:t xml:space="preserve"> </w:t>
            </w:r>
            <w:r w:rsidRPr="00F16251">
              <w:rPr>
                <w:rFonts w:eastAsia="Times New Roman" w:cstheme="minorHAnsi"/>
                <w:lang w:eastAsia="pl-PL"/>
              </w:rPr>
              <w:t>niestety</w:t>
            </w:r>
            <w:r w:rsidR="003B50ED" w:rsidRPr="00F16251">
              <w:rPr>
                <w:rFonts w:eastAsia="Times New Roman" w:cstheme="minorHAnsi"/>
                <w:lang w:eastAsia="pl-PL"/>
              </w:rPr>
              <w:t xml:space="preserve"> </w:t>
            </w:r>
            <w:r w:rsidRPr="00F16251">
              <w:rPr>
                <w:rFonts w:eastAsia="Times New Roman" w:cstheme="minorHAnsi"/>
                <w:lang w:eastAsia="pl-PL"/>
              </w:rPr>
              <w:t>globalny</w:t>
            </w:r>
            <w:r w:rsidR="003B50ED" w:rsidRPr="00F16251">
              <w:rPr>
                <w:rFonts w:eastAsia="Times New Roman" w:cstheme="minorHAnsi"/>
                <w:lang w:eastAsia="pl-PL"/>
              </w:rPr>
              <w:t xml:space="preserve"> </w:t>
            </w:r>
            <w:r w:rsidRPr="00F16251">
              <w:rPr>
                <w:rFonts w:eastAsia="Times New Roman" w:cstheme="minorHAnsi"/>
                <w:lang w:eastAsia="pl-PL"/>
              </w:rPr>
              <w:t>trend,</w:t>
            </w:r>
            <w:r w:rsidR="003B50ED" w:rsidRPr="00F16251">
              <w:rPr>
                <w:rFonts w:eastAsia="Times New Roman" w:cstheme="minorHAnsi"/>
                <w:lang w:eastAsia="pl-PL"/>
              </w:rPr>
              <w:t xml:space="preserve"> </w:t>
            </w:r>
            <w:r w:rsidRPr="00F16251">
              <w:rPr>
                <w:rFonts w:eastAsia="Times New Roman" w:cstheme="minorHAnsi"/>
                <w:lang w:eastAsia="pl-PL"/>
              </w:rPr>
              <w:t>z</w:t>
            </w:r>
            <w:r w:rsidR="003B50ED" w:rsidRPr="00F16251">
              <w:rPr>
                <w:rFonts w:eastAsia="Times New Roman" w:cstheme="minorHAnsi"/>
                <w:lang w:eastAsia="pl-PL"/>
              </w:rPr>
              <w:t xml:space="preserve"> </w:t>
            </w:r>
            <w:r w:rsidRPr="00F16251">
              <w:rPr>
                <w:rFonts w:eastAsia="Times New Roman" w:cstheme="minorHAnsi"/>
                <w:lang w:eastAsia="pl-PL"/>
              </w:rPr>
              <w:t>którym</w:t>
            </w:r>
            <w:r w:rsidR="003B50ED" w:rsidRPr="00F16251">
              <w:rPr>
                <w:rFonts w:eastAsia="Times New Roman" w:cstheme="minorHAnsi"/>
                <w:lang w:eastAsia="pl-PL"/>
              </w:rPr>
              <w:t xml:space="preserve"> </w:t>
            </w:r>
            <w:r w:rsidRPr="00F16251">
              <w:rPr>
                <w:rFonts w:eastAsia="Times New Roman" w:cstheme="minorHAnsi"/>
                <w:lang w:eastAsia="pl-PL"/>
              </w:rPr>
              <w:t>mierzą</w:t>
            </w:r>
            <w:r w:rsidR="003B50ED" w:rsidRPr="00F16251">
              <w:rPr>
                <w:rFonts w:eastAsia="Times New Roman" w:cstheme="minorHAnsi"/>
                <w:lang w:eastAsia="pl-PL"/>
              </w:rPr>
              <w:t xml:space="preserve"> </w:t>
            </w:r>
            <w:r w:rsidRPr="00F16251">
              <w:rPr>
                <w:rFonts w:eastAsia="Times New Roman" w:cstheme="minorHAnsi"/>
                <w:lang w:eastAsia="pl-PL"/>
              </w:rPr>
              <w:t>się</w:t>
            </w:r>
            <w:r w:rsidR="003B50ED" w:rsidRPr="00F16251">
              <w:rPr>
                <w:rFonts w:eastAsia="Times New Roman" w:cstheme="minorHAnsi"/>
                <w:lang w:eastAsia="pl-PL"/>
              </w:rPr>
              <w:t xml:space="preserve"> </w:t>
            </w:r>
            <w:r w:rsidRPr="00F16251">
              <w:rPr>
                <w:rFonts w:eastAsia="Times New Roman" w:cstheme="minorHAnsi"/>
                <w:lang w:eastAsia="pl-PL"/>
              </w:rPr>
              <w:t>społeczności</w:t>
            </w:r>
            <w:r w:rsidR="003B50ED" w:rsidRPr="00F16251">
              <w:rPr>
                <w:rFonts w:eastAsia="Times New Roman" w:cstheme="minorHAnsi"/>
                <w:lang w:eastAsia="pl-PL"/>
              </w:rPr>
              <w:t xml:space="preserve"> </w:t>
            </w:r>
            <w:r w:rsidRPr="00F16251">
              <w:rPr>
                <w:rFonts w:eastAsia="Times New Roman" w:cstheme="minorHAnsi"/>
                <w:lang w:eastAsia="pl-PL"/>
              </w:rPr>
              <w:t>na</w:t>
            </w:r>
            <w:r w:rsidR="003B50ED" w:rsidRPr="00F16251">
              <w:rPr>
                <w:rFonts w:eastAsia="Times New Roman" w:cstheme="minorHAnsi"/>
                <w:lang w:eastAsia="pl-PL"/>
              </w:rPr>
              <w:t xml:space="preserve"> </w:t>
            </w:r>
            <w:r w:rsidRPr="00F16251">
              <w:rPr>
                <w:rFonts w:eastAsia="Times New Roman" w:cstheme="minorHAnsi"/>
                <w:lang w:eastAsia="pl-PL"/>
              </w:rPr>
              <w:t>całym</w:t>
            </w:r>
            <w:r w:rsidR="003B50ED" w:rsidRPr="00F16251">
              <w:rPr>
                <w:rFonts w:eastAsia="Times New Roman" w:cstheme="minorHAnsi"/>
                <w:lang w:eastAsia="pl-PL"/>
              </w:rPr>
              <w:t xml:space="preserve"> </w:t>
            </w:r>
            <w:r w:rsidRPr="00F16251">
              <w:rPr>
                <w:rFonts w:eastAsia="Times New Roman" w:cstheme="minorHAnsi"/>
                <w:lang w:eastAsia="pl-PL"/>
              </w:rPr>
              <w:t>świecie.</w:t>
            </w:r>
            <w:r w:rsidR="003B50ED" w:rsidRPr="00F16251">
              <w:rPr>
                <w:rFonts w:eastAsia="Times New Roman" w:cstheme="minorHAnsi"/>
                <w:lang w:eastAsia="pl-PL"/>
              </w:rPr>
              <w:t xml:space="preserve"> </w:t>
            </w:r>
            <w:r w:rsidRPr="00F16251">
              <w:rPr>
                <w:rFonts w:eastAsia="Times New Roman" w:cstheme="minorHAnsi"/>
                <w:lang w:eastAsia="pl-PL"/>
              </w:rPr>
              <w:t>Wyzwaniem</w:t>
            </w:r>
            <w:r w:rsidR="003B50ED" w:rsidRPr="00F16251">
              <w:rPr>
                <w:rFonts w:eastAsia="Times New Roman" w:cstheme="minorHAnsi"/>
                <w:lang w:eastAsia="pl-PL"/>
              </w:rPr>
              <w:t xml:space="preserve"> </w:t>
            </w:r>
            <w:r w:rsidRPr="00F16251">
              <w:rPr>
                <w:rFonts w:eastAsia="Times New Roman" w:cstheme="minorHAnsi"/>
                <w:lang w:eastAsia="pl-PL"/>
              </w:rPr>
              <w:t>jest</w:t>
            </w:r>
            <w:r w:rsidR="003B50ED" w:rsidRPr="00F16251">
              <w:rPr>
                <w:rFonts w:eastAsia="Times New Roman" w:cstheme="minorHAnsi"/>
                <w:lang w:eastAsia="pl-PL"/>
              </w:rPr>
              <w:t xml:space="preserve"> </w:t>
            </w:r>
            <w:r w:rsidRPr="00F16251">
              <w:rPr>
                <w:rFonts w:eastAsia="Times New Roman" w:cstheme="minorHAnsi"/>
                <w:lang w:eastAsia="pl-PL"/>
              </w:rPr>
              <w:t>stworzenie</w:t>
            </w:r>
            <w:r w:rsidR="003B50ED" w:rsidRPr="00F16251">
              <w:rPr>
                <w:rFonts w:eastAsia="Times New Roman" w:cstheme="minorHAnsi"/>
                <w:lang w:eastAsia="pl-PL"/>
              </w:rPr>
              <w:t xml:space="preserve"> </w:t>
            </w:r>
            <w:r w:rsidRPr="00F16251">
              <w:rPr>
                <w:rFonts w:eastAsia="Times New Roman" w:cstheme="minorHAnsi"/>
                <w:lang w:eastAsia="pl-PL"/>
              </w:rPr>
              <w:t>atrakcyjnej</w:t>
            </w:r>
            <w:r w:rsidR="003B50ED" w:rsidRPr="00F16251">
              <w:rPr>
                <w:rFonts w:eastAsia="Times New Roman" w:cstheme="minorHAnsi"/>
                <w:lang w:eastAsia="pl-PL"/>
              </w:rPr>
              <w:t xml:space="preserve"> </w:t>
            </w:r>
            <w:r w:rsidRPr="00F16251">
              <w:rPr>
                <w:rFonts w:eastAsia="Times New Roman" w:cstheme="minorHAnsi"/>
                <w:lang w:eastAsia="pl-PL"/>
              </w:rPr>
              <w:t>oferty</w:t>
            </w:r>
            <w:r w:rsidR="003B50ED" w:rsidRPr="00F16251">
              <w:rPr>
                <w:rFonts w:eastAsia="Times New Roman" w:cstheme="minorHAnsi"/>
                <w:lang w:eastAsia="pl-PL"/>
              </w:rPr>
              <w:t xml:space="preserve"> </w:t>
            </w:r>
            <w:r w:rsidRPr="00F16251">
              <w:rPr>
                <w:rFonts w:eastAsia="Times New Roman" w:cstheme="minorHAnsi"/>
                <w:lang w:eastAsia="pl-PL"/>
              </w:rPr>
              <w:t>aktywności</w:t>
            </w:r>
            <w:r w:rsidR="003B50ED" w:rsidRPr="00F16251">
              <w:rPr>
                <w:rFonts w:eastAsia="Times New Roman" w:cstheme="minorHAnsi"/>
                <w:lang w:eastAsia="pl-PL"/>
              </w:rPr>
              <w:t xml:space="preserve"> </w:t>
            </w:r>
            <w:r w:rsidRPr="00F16251">
              <w:rPr>
                <w:rFonts w:eastAsia="Times New Roman" w:cstheme="minorHAnsi"/>
                <w:lang w:eastAsia="pl-PL"/>
              </w:rPr>
              <w:t>i</w:t>
            </w:r>
            <w:r w:rsidR="003B50ED" w:rsidRPr="00F16251">
              <w:rPr>
                <w:rFonts w:eastAsia="Times New Roman" w:cstheme="minorHAnsi"/>
                <w:lang w:eastAsia="pl-PL"/>
              </w:rPr>
              <w:t xml:space="preserve"> </w:t>
            </w:r>
            <w:r w:rsidRPr="00F16251">
              <w:rPr>
                <w:rFonts w:eastAsia="Times New Roman" w:cstheme="minorHAnsi"/>
                <w:lang w:eastAsia="pl-PL"/>
              </w:rPr>
              <w:t>integracji</w:t>
            </w:r>
            <w:r w:rsidR="003B50ED" w:rsidRPr="00F16251">
              <w:rPr>
                <w:rFonts w:eastAsia="Times New Roman" w:cstheme="minorHAnsi"/>
                <w:lang w:eastAsia="pl-PL"/>
              </w:rPr>
              <w:t xml:space="preserve"> </w:t>
            </w:r>
            <w:r w:rsidRPr="00F16251">
              <w:rPr>
                <w:rFonts w:eastAsia="Times New Roman" w:cstheme="minorHAnsi"/>
                <w:lang w:eastAsia="pl-PL"/>
              </w:rPr>
              <w:t>społecznej,</w:t>
            </w:r>
            <w:r w:rsidR="003B50ED" w:rsidRPr="00F16251">
              <w:rPr>
                <w:rFonts w:eastAsia="Times New Roman" w:cstheme="minorHAnsi"/>
                <w:lang w:eastAsia="pl-PL"/>
              </w:rPr>
              <w:t xml:space="preserve"> </w:t>
            </w:r>
            <w:r w:rsidRPr="00F16251">
              <w:rPr>
                <w:rFonts w:eastAsia="Times New Roman" w:cstheme="minorHAnsi"/>
                <w:lang w:eastAsia="pl-PL"/>
              </w:rPr>
              <w:t>aby</w:t>
            </w:r>
            <w:r w:rsidR="003B50ED" w:rsidRPr="00F16251">
              <w:rPr>
                <w:rFonts w:eastAsia="Times New Roman" w:cstheme="minorHAnsi"/>
                <w:lang w:eastAsia="pl-PL"/>
              </w:rPr>
              <w:t xml:space="preserve"> </w:t>
            </w:r>
            <w:r w:rsidRPr="00F16251">
              <w:rPr>
                <w:rFonts w:eastAsia="Times New Roman" w:cstheme="minorHAnsi"/>
                <w:lang w:eastAsia="pl-PL"/>
              </w:rPr>
              <w:t>osoby</w:t>
            </w:r>
            <w:r w:rsidR="003B50ED" w:rsidRPr="00F16251">
              <w:rPr>
                <w:rFonts w:eastAsia="Times New Roman" w:cstheme="minorHAnsi"/>
                <w:lang w:eastAsia="pl-PL"/>
              </w:rPr>
              <w:t xml:space="preserve"> </w:t>
            </w:r>
            <w:r w:rsidRPr="00F16251">
              <w:rPr>
                <w:rFonts w:eastAsia="Times New Roman" w:cstheme="minorHAnsi"/>
                <w:lang w:eastAsia="pl-PL"/>
              </w:rPr>
              <w:t>starsze</w:t>
            </w:r>
            <w:r w:rsidR="003B50ED" w:rsidRPr="00F16251">
              <w:rPr>
                <w:rFonts w:eastAsia="Times New Roman" w:cstheme="minorHAnsi"/>
                <w:lang w:eastAsia="pl-PL"/>
              </w:rPr>
              <w:t xml:space="preserve"> </w:t>
            </w:r>
            <w:r w:rsidRPr="00F16251">
              <w:rPr>
                <w:rFonts w:eastAsia="Times New Roman" w:cstheme="minorHAnsi"/>
                <w:lang w:eastAsia="pl-PL"/>
              </w:rPr>
              <w:t>mogły</w:t>
            </w:r>
            <w:r w:rsidR="003B50ED" w:rsidRPr="00F16251">
              <w:rPr>
                <w:rFonts w:eastAsia="Times New Roman" w:cstheme="minorHAnsi"/>
                <w:lang w:eastAsia="pl-PL"/>
              </w:rPr>
              <w:t xml:space="preserve"> </w:t>
            </w:r>
            <w:r w:rsidRPr="00F16251">
              <w:rPr>
                <w:rFonts w:eastAsia="Times New Roman" w:cstheme="minorHAnsi"/>
                <w:lang w:eastAsia="pl-PL"/>
              </w:rPr>
              <w:t>w</w:t>
            </w:r>
            <w:r w:rsidR="003B50ED" w:rsidRPr="00F16251">
              <w:rPr>
                <w:rFonts w:eastAsia="Times New Roman" w:cstheme="minorHAnsi"/>
                <w:lang w:eastAsia="pl-PL"/>
              </w:rPr>
              <w:t xml:space="preserve"> </w:t>
            </w:r>
            <w:r w:rsidRPr="00F16251">
              <w:rPr>
                <w:rFonts w:eastAsia="Times New Roman" w:cstheme="minorHAnsi"/>
                <w:lang w:eastAsia="pl-PL"/>
              </w:rPr>
              <w:t>pełni</w:t>
            </w:r>
            <w:r w:rsidR="003B50ED" w:rsidRPr="00F16251">
              <w:rPr>
                <w:rFonts w:eastAsia="Times New Roman" w:cstheme="minorHAnsi"/>
                <w:lang w:eastAsia="pl-PL"/>
              </w:rPr>
              <w:t xml:space="preserve"> </w:t>
            </w:r>
            <w:r w:rsidRPr="00F16251">
              <w:rPr>
                <w:rFonts w:eastAsia="Times New Roman" w:cstheme="minorHAnsi"/>
                <w:lang w:eastAsia="pl-PL"/>
              </w:rPr>
              <w:t>wykorzystać</w:t>
            </w:r>
            <w:r w:rsidR="003B50ED" w:rsidRPr="00F16251">
              <w:rPr>
                <w:rFonts w:eastAsia="Times New Roman" w:cstheme="minorHAnsi"/>
                <w:lang w:eastAsia="pl-PL"/>
              </w:rPr>
              <w:t xml:space="preserve"> </w:t>
            </w:r>
            <w:r w:rsidRPr="00F16251">
              <w:rPr>
                <w:rFonts w:eastAsia="Times New Roman" w:cstheme="minorHAnsi"/>
                <w:lang w:eastAsia="pl-PL"/>
              </w:rPr>
              <w:t>swój</w:t>
            </w:r>
            <w:r w:rsidR="003B50ED" w:rsidRPr="00F16251">
              <w:rPr>
                <w:rFonts w:eastAsia="Times New Roman" w:cstheme="minorHAnsi"/>
                <w:lang w:eastAsia="pl-PL"/>
              </w:rPr>
              <w:t xml:space="preserve"> </w:t>
            </w:r>
            <w:r w:rsidRPr="00F16251">
              <w:rPr>
                <w:rFonts w:eastAsia="Times New Roman" w:cstheme="minorHAnsi"/>
                <w:lang w:eastAsia="pl-PL"/>
              </w:rPr>
              <w:t>potencjał,</w:t>
            </w:r>
            <w:r w:rsidR="003B50ED" w:rsidRPr="00F16251">
              <w:rPr>
                <w:rFonts w:eastAsia="Times New Roman" w:cstheme="minorHAnsi"/>
                <w:lang w:eastAsia="pl-PL"/>
              </w:rPr>
              <w:t xml:space="preserve"> </w:t>
            </w:r>
            <w:r w:rsidRPr="00F16251">
              <w:rPr>
                <w:rFonts w:eastAsia="Times New Roman" w:cstheme="minorHAnsi"/>
                <w:lang w:eastAsia="pl-PL"/>
              </w:rPr>
              <w:t>wiedzę</w:t>
            </w:r>
            <w:r w:rsidR="003B50ED" w:rsidRPr="00F16251">
              <w:rPr>
                <w:rFonts w:eastAsia="Times New Roman" w:cstheme="minorHAnsi"/>
                <w:lang w:eastAsia="pl-PL"/>
              </w:rPr>
              <w:t xml:space="preserve"> </w:t>
            </w:r>
            <w:r w:rsidRPr="00F16251">
              <w:rPr>
                <w:rFonts w:eastAsia="Times New Roman" w:cstheme="minorHAnsi"/>
                <w:lang w:eastAsia="pl-PL"/>
              </w:rPr>
              <w:t>i</w:t>
            </w:r>
            <w:r w:rsidR="003B50ED" w:rsidRPr="00F16251">
              <w:rPr>
                <w:rFonts w:eastAsia="Times New Roman" w:cstheme="minorHAnsi"/>
                <w:lang w:eastAsia="pl-PL"/>
              </w:rPr>
              <w:t xml:space="preserve"> </w:t>
            </w:r>
            <w:r w:rsidRPr="00F16251">
              <w:rPr>
                <w:rFonts w:eastAsia="Times New Roman" w:cstheme="minorHAnsi"/>
                <w:lang w:eastAsia="pl-PL"/>
              </w:rPr>
              <w:t>doświadczenie</w:t>
            </w:r>
            <w:r w:rsidR="003B50ED" w:rsidRPr="00F16251">
              <w:rPr>
                <w:rFonts w:eastAsia="Times New Roman" w:cstheme="minorHAnsi"/>
                <w:lang w:eastAsia="pl-PL"/>
              </w:rPr>
              <w:t xml:space="preserve"> </w:t>
            </w:r>
            <w:r w:rsidRPr="00F16251">
              <w:rPr>
                <w:rFonts w:eastAsia="Times New Roman" w:cstheme="minorHAnsi"/>
                <w:lang w:eastAsia="pl-PL"/>
              </w:rPr>
              <w:t>dla</w:t>
            </w:r>
            <w:r w:rsidR="003B50ED" w:rsidRPr="00F16251">
              <w:rPr>
                <w:rFonts w:eastAsia="Times New Roman" w:cstheme="minorHAnsi"/>
                <w:lang w:eastAsia="pl-PL"/>
              </w:rPr>
              <w:t xml:space="preserve"> </w:t>
            </w:r>
            <w:r w:rsidRPr="00F16251">
              <w:rPr>
                <w:rFonts w:eastAsia="Times New Roman" w:cstheme="minorHAnsi"/>
                <w:lang w:eastAsia="pl-PL"/>
              </w:rPr>
              <w:t>rozwoju</w:t>
            </w:r>
            <w:r w:rsidR="003B50ED" w:rsidRPr="00F16251">
              <w:rPr>
                <w:rFonts w:eastAsia="Times New Roman" w:cstheme="minorHAnsi"/>
                <w:lang w:eastAsia="pl-PL"/>
              </w:rPr>
              <w:t xml:space="preserve"> </w:t>
            </w:r>
            <w:r w:rsidRPr="00F16251">
              <w:rPr>
                <w:rFonts w:eastAsia="Times New Roman" w:cstheme="minorHAnsi"/>
                <w:lang w:eastAsia="pl-PL"/>
              </w:rPr>
              <w:t>obszaru</w:t>
            </w:r>
            <w:r w:rsidR="003B50ED" w:rsidRPr="00F16251">
              <w:rPr>
                <w:rFonts w:eastAsia="Times New Roman" w:cstheme="minorHAnsi"/>
                <w:lang w:eastAsia="pl-PL"/>
              </w:rPr>
              <w:t xml:space="preserve"> </w:t>
            </w:r>
            <w:r w:rsidRPr="00F16251">
              <w:rPr>
                <w:rFonts w:eastAsia="Times New Roman" w:cstheme="minorHAnsi"/>
                <w:lang w:eastAsia="pl-PL"/>
              </w:rPr>
              <w:t>LGD</w:t>
            </w:r>
            <w:r w:rsidR="003B50ED" w:rsidRPr="00F16251">
              <w:rPr>
                <w:rFonts w:eastAsia="Times New Roman" w:cstheme="minorHAnsi"/>
                <w:lang w:eastAsia="pl-PL"/>
              </w:rPr>
              <w:t xml:space="preserve"> </w:t>
            </w:r>
            <w:r w:rsidRPr="00F16251">
              <w:rPr>
                <w:rFonts w:eastAsia="Times New Roman" w:cstheme="minorHAnsi"/>
                <w:lang w:eastAsia="pl-PL"/>
              </w:rPr>
              <w:t>oraz</w:t>
            </w:r>
            <w:r w:rsidR="003B50ED" w:rsidRPr="00F16251">
              <w:rPr>
                <w:rFonts w:eastAsia="Times New Roman" w:cstheme="minorHAnsi"/>
                <w:lang w:eastAsia="pl-PL"/>
              </w:rPr>
              <w:t xml:space="preserve"> </w:t>
            </w:r>
            <w:r w:rsidRPr="00F16251">
              <w:rPr>
                <w:rFonts w:eastAsia="Times New Roman" w:cstheme="minorHAnsi"/>
                <w:lang w:eastAsia="pl-PL"/>
              </w:rPr>
              <w:t>wzmocnienia</w:t>
            </w:r>
            <w:r w:rsidR="003B50ED" w:rsidRPr="00F16251">
              <w:rPr>
                <w:rFonts w:eastAsia="Times New Roman" w:cstheme="minorHAnsi"/>
                <w:lang w:eastAsia="pl-PL"/>
              </w:rPr>
              <w:t xml:space="preserve"> </w:t>
            </w:r>
            <w:r w:rsidRPr="00F16251">
              <w:rPr>
                <w:rFonts w:eastAsia="Times New Roman" w:cstheme="minorHAnsi"/>
                <w:lang w:eastAsia="pl-PL"/>
              </w:rPr>
              <w:t>kapitału</w:t>
            </w:r>
            <w:r w:rsidR="003B50ED" w:rsidRPr="00F16251">
              <w:rPr>
                <w:rFonts w:eastAsia="Times New Roman" w:cstheme="minorHAnsi"/>
                <w:lang w:eastAsia="pl-PL"/>
              </w:rPr>
              <w:t xml:space="preserve"> </w:t>
            </w:r>
            <w:r w:rsidRPr="00F16251">
              <w:rPr>
                <w:rFonts w:eastAsia="Times New Roman" w:cstheme="minorHAnsi"/>
                <w:lang w:eastAsia="pl-PL"/>
              </w:rPr>
              <w:t>społecznego.</w:t>
            </w:r>
            <w:r w:rsidR="003B50ED" w:rsidRPr="00F16251">
              <w:rPr>
                <w:rFonts w:eastAsia="Times New Roman" w:cstheme="minorHAnsi"/>
                <w:lang w:eastAsia="pl-PL"/>
              </w:rPr>
              <w:t xml:space="preserve"> </w:t>
            </w:r>
          </w:p>
          <w:p w14:paraId="5CBAA333" w14:textId="47E7D12B" w:rsidR="002A0A9E" w:rsidRPr="00F16251" w:rsidRDefault="002A0A9E" w:rsidP="005E1831">
            <w:pPr>
              <w:spacing w:line="276" w:lineRule="auto"/>
              <w:jc w:val="both"/>
              <w:rPr>
                <w:rFonts w:eastAsia="Times New Roman" w:cstheme="minorHAnsi"/>
                <w:lang w:eastAsia="pl-PL"/>
              </w:rPr>
            </w:pPr>
            <w:r w:rsidRPr="00F16251">
              <w:rPr>
                <w:rFonts w:cstheme="minorHAnsi"/>
              </w:rPr>
              <w:t xml:space="preserve">W ostatnich latach w przestrzeni publicznej coraz częściej zaczęły powstawać inicjatywy na rzecz seniorów w tym np. kluby seniora, jednakże z uwagi na ograniczone środki finansowe ich oferta jest niewystarczająca w stosunku do potrzeb i problemu starzejącego się społeczeństwa. Ponadto, kluby seniora organizują z reguły zajęcia manualne takie jak rękodzieło czy wyjazdy do teatrów. Mając na uwadze ogromny potencjał tej grupy społecznej oraz wyrażane przez nich potrzeby brakuje oferty wzmacniającej ich kompetencje w kontekście zmian otaczającego świata i wyzwań w tym technologicznych i ekologicznych. Aby utrzymać na wysokim poziomie szeroko rozumianą aktywność tej grupy docelowej należy zaproponować działania, które będą na tyle ważne, atrakcyjne, że znów uwierzą w siebie, w swoją wiedzę, wagę życiowej mądrości i doświadczenia i jednocześnie zmotywują do wyjścia z domu oraz zaangażowania się </w:t>
            </w:r>
            <w:r w:rsidR="00E07BED">
              <w:rPr>
                <w:rFonts w:cstheme="minorHAnsi"/>
              </w:rPr>
              <w:t xml:space="preserve">  </w:t>
            </w:r>
            <w:r w:rsidRPr="00F16251">
              <w:rPr>
                <w:rFonts w:cstheme="minorHAnsi"/>
              </w:rPr>
              <w:t>w działania sprzyjające rozwojowi miejsca, w którym mieszkają.</w:t>
            </w:r>
          </w:p>
        </w:tc>
      </w:tr>
      <w:tr w:rsidR="00C20F06" w:rsidRPr="00A26C26" w14:paraId="0BDCEBB4" w14:textId="77777777" w:rsidTr="007F1E76">
        <w:tc>
          <w:tcPr>
            <w:tcW w:w="1555" w:type="dxa"/>
          </w:tcPr>
          <w:p w14:paraId="360CDBB0" w14:textId="198D2FE4" w:rsidR="00C20F06" w:rsidRPr="00A26C26" w:rsidRDefault="00C20F06" w:rsidP="00F06E84">
            <w:pPr>
              <w:spacing w:line="276" w:lineRule="auto"/>
              <w:rPr>
                <w:rFonts w:eastAsia="Times New Roman" w:cstheme="minorHAnsi"/>
                <w:lang w:eastAsia="pl-PL"/>
              </w:rPr>
            </w:pPr>
            <w:r w:rsidRPr="00A26C26">
              <w:rPr>
                <w:rFonts w:eastAsia="Times New Roman" w:cstheme="minorHAnsi"/>
                <w:lang w:eastAsia="pl-PL"/>
              </w:rPr>
              <w:t>Osoby</w:t>
            </w:r>
            <w:r w:rsidR="003B50ED">
              <w:rPr>
                <w:rFonts w:eastAsia="Times New Roman" w:cstheme="minorHAnsi"/>
                <w:lang w:eastAsia="pl-PL"/>
              </w:rPr>
              <w:t xml:space="preserve"> </w:t>
            </w:r>
            <w:r w:rsidRPr="00A26C26">
              <w:rPr>
                <w:rFonts w:eastAsia="Times New Roman" w:cstheme="minorHAnsi"/>
                <w:lang w:eastAsia="pl-PL"/>
              </w:rPr>
              <w:t>w</w:t>
            </w:r>
            <w:r w:rsidR="003B50ED">
              <w:rPr>
                <w:rFonts w:eastAsia="Times New Roman" w:cstheme="minorHAnsi"/>
                <w:lang w:eastAsia="pl-PL"/>
              </w:rPr>
              <w:t xml:space="preserve"> </w:t>
            </w:r>
            <w:r w:rsidRPr="00A26C26">
              <w:rPr>
                <w:rFonts w:eastAsia="Times New Roman" w:cstheme="minorHAnsi"/>
                <w:lang w:eastAsia="pl-PL"/>
              </w:rPr>
              <w:t>niekorzystnej</w:t>
            </w:r>
            <w:r w:rsidR="003B50ED">
              <w:rPr>
                <w:rFonts w:eastAsia="Times New Roman" w:cstheme="minorHAnsi"/>
                <w:lang w:eastAsia="pl-PL"/>
              </w:rPr>
              <w:t xml:space="preserve"> </w:t>
            </w:r>
            <w:r w:rsidRPr="00A26C26">
              <w:rPr>
                <w:rFonts w:eastAsia="Times New Roman" w:cstheme="minorHAnsi"/>
                <w:lang w:eastAsia="pl-PL"/>
              </w:rPr>
              <w:t>sytuacji</w:t>
            </w:r>
          </w:p>
        </w:tc>
        <w:tc>
          <w:tcPr>
            <w:tcW w:w="8639" w:type="dxa"/>
          </w:tcPr>
          <w:p w14:paraId="2654B599" w14:textId="6D2F2F49" w:rsidR="00C20F06" w:rsidRPr="00F16251" w:rsidRDefault="00C20F06" w:rsidP="00E07BED">
            <w:pPr>
              <w:spacing w:line="276" w:lineRule="auto"/>
              <w:jc w:val="both"/>
              <w:rPr>
                <w:rFonts w:eastAsia="Times New Roman" w:cstheme="minorHAnsi"/>
                <w:lang w:eastAsia="pl-PL"/>
              </w:rPr>
            </w:pPr>
            <w:r w:rsidRPr="00F16251">
              <w:rPr>
                <w:rFonts w:eastAsia="Times New Roman" w:cstheme="minorHAnsi"/>
                <w:lang w:eastAsia="pl-PL"/>
              </w:rPr>
              <w:t>Mimo</w:t>
            </w:r>
            <w:r w:rsidR="003B50ED" w:rsidRPr="00F16251">
              <w:rPr>
                <w:rFonts w:eastAsia="Times New Roman" w:cstheme="minorHAnsi"/>
                <w:lang w:eastAsia="pl-PL"/>
              </w:rPr>
              <w:t xml:space="preserve"> </w:t>
            </w:r>
            <w:r w:rsidRPr="00F16251">
              <w:rPr>
                <w:rFonts w:eastAsia="Times New Roman" w:cstheme="minorHAnsi"/>
                <w:lang w:eastAsia="pl-PL"/>
              </w:rPr>
              <w:t>postępu</w:t>
            </w:r>
            <w:r w:rsidR="003B50ED" w:rsidRPr="00F16251">
              <w:rPr>
                <w:rFonts w:eastAsia="Times New Roman" w:cstheme="minorHAnsi"/>
                <w:lang w:eastAsia="pl-PL"/>
              </w:rPr>
              <w:t xml:space="preserve"> </w:t>
            </w:r>
            <w:r w:rsidRPr="00F16251">
              <w:rPr>
                <w:rFonts w:eastAsia="Times New Roman" w:cstheme="minorHAnsi"/>
                <w:lang w:eastAsia="pl-PL"/>
              </w:rPr>
              <w:t>społecznej</w:t>
            </w:r>
            <w:r w:rsidR="003B50ED" w:rsidRPr="00F16251">
              <w:rPr>
                <w:rFonts w:eastAsia="Times New Roman" w:cstheme="minorHAnsi"/>
                <w:lang w:eastAsia="pl-PL"/>
              </w:rPr>
              <w:t xml:space="preserve"> </w:t>
            </w:r>
            <w:r w:rsidRPr="00F16251">
              <w:rPr>
                <w:rFonts w:eastAsia="Times New Roman" w:cstheme="minorHAnsi"/>
                <w:lang w:eastAsia="pl-PL"/>
              </w:rPr>
              <w:t>świadomości</w:t>
            </w:r>
            <w:r w:rsidR="003B50ED" w:rsidRPr="00F16251">
              <w:rPr>
                <w:rFonts w:eastAsia="Times New Roman" w:cstheme="minorHAnsi"/>
                <w:lang w:eastAsia="pl-PL"/>
              </w:rPr>
              <w:t xml:space="preserve"> </w:t>
            </w:r>
            <w:r w:rsidRPr="00F16251">
              <w:rPr>
                <w:rFonts w:eastAsia="Times New Roman" w:cstheme="minorHAnsi"/>
                <w:lang w:eastAsia="pl-PL"/>
              </w:rPr>
              <w:t>i</w:t>
            </w:r>
            <w:r w:rsidR="003B50ED" w:rsidRPr="00F16251">
              <w:rPr>
                <w:rFonts w:eastAsia="Times New Roman" w:cstheme="minorHAnsi"/>
                <w:lang w:eastAsia="pl-PL"/>
              </w:rPr>
              <w:t xml:space="preserve"> </w:t>
            </w:r>
            <w:r w:rsidRPr="00F16251">
              <w:rPr>
                <w:rFonts w:eastAsia="Times New Roman" w:cstheme="minorHAnsi"/>
                <w:lang w:eastAsia="pl-PL"/>
              </w:rPr>
              <w:t>istnienia</w:t>
            </w:r>
            <w:r w:rsidR="003B50ED" w:rsidRPr="00F16251">
              <w:rPr>
                <w:rFonts w:eastAsia="Times New Roman" w:cstheme="minorHAnsi"/>
                <w:lang w:eastAsia="pl-PL"/>
              </w:rPr>
              <w:t xml:space="preserve"> </w:t>
            </w:r>
            <w:r w:rsidRPr="00F16251">
              <w:rPr>
                <w:rFonts w:eastAsia="Times New Roman" w:cstheme="minorHAnsi"/>
                <w:lang w:eastAsia="pl-PL"/>
              </w:rPr>
              <w:t>dedykowanych</w:t>
            </w:r>
            <w:r w:rsidR="003B50ED" w:rsidRPr="00F16251">
              <w:rPr>
                <w:rFonts w:eastAsia="Times New Roman" w:cstheme="minorHAnsi"/>
                <w:lang w:eastAsia="pl-PL"/>
              </w:rPr>
              <w:t xml:space="preserve"> </w:t>
            </w:r>
            <w:r w:rsidRPr="00F16251">
              <w:rPr>
                <w:rFonts w:eastAsia="Times New Roman" w:cstheme="minorHAnsi"/>
                <w:lang w:eastAsia="pl-PL"/>
              </w:rPr>
              <w:t>programów</w:t>
            </w:r>
            <w:r w:rsidR="003B50ED" w:rsidRPr="00F16251">
              <w:rPr>
                <w:rFonts w:eastAsia="Times New Roman" w:cstheme="minorHAnsi"/>
                <w:lang w:eastAsia="pl-PL"/>
              </w:rPr>
              <w:t xml:space="preserve"> </w:t>
            </w:r>
            <w:r w:rsidRPr="00F16251">
              <w:rPr>
                <w:rFonts w:eastAsia="Times New Roman" w:cstheme="minorHAnsi"/>
                <w:lang w:eastAsia="pl-PL"/>
              </w:rPr>
              <w:t>wsparcia,</w:t>
            </w:r>
            <w:r w:rsidR="003B50ED" w:rsidRPr="00F16251">
              <w:rPr>
                <w:rFonts w:eastAsia="Times New Roman" w:cstheme="minorHAnsi"/>
                <w:lang w:eastAsia="pl-PL"/>
              </w:rPr>
              <w:t xml:space="preserve"> </w:t>
            </w:r>
            <w:r w:rsidRPr="00F16251">
              <w:rPr>
                <w:rFonts w:eastAsia="Times New Roman" w:cstheme="minorHAnsi"/>
                <w:b/>
                <w:bCs/>
                <w:lang w:eastAsia="pl-PL"/>
              </w:rPr>
              <w:t>osoby</w:t>
            </w:r>
            <w:r w:rsidR="003B50ED" w:rsidRPr="00F16251">
              <w:rPr>
                <w:rFonts w:eastAsia="Times New Roman" w:cstheme="minorHAnsi"/>
                <w:b/>
                <w:bCs/>
                <w:lang w:eastAsia="pl-PL"/>
              </w:rPr>
              <w:t xml:space="preserve"> </w:t>
            </w:r>
            <w:r w:rsidRPr="00F16251">
              <w:rPr>
                <w:rFonts w:eastAsia="Times New Roman" w:cstheme="minorHAnsi"/>
                <w:b/>
                <w:bCs/>
                <w:lang w:eastAsia="pl-PL"/>
              </w:rPr>
              <w:t>z</w:t>
            </w:r>
            <w:r w:rsidR="003B50ED" w:rsidRPr="00F16251">
              <w:rPr>
                <w:rFonts w:eastAsia="Times New Roman" w:cstheme="minorHAnsi"/>
                <w:b/>
                <w:bCs/>
                <w:lang w:eastAsia="pl-PL"/>
              </w:rPr>
              <w:t xml:space="preserve"> </w:t>
            </w:r>
            <w:r w:rsidRPr="00F16251">
              <w:rPr>
                <w:rFonts w:eastAsia="Times New Roman" w:cstheme="minorHAnsi"/>
                <w:b/>
                <w:bCs/>
                <w:lang w:eastAsia="pl-PL"/>
              </w:rPr>
              <w:t>niepełnosprawnościami</w:t>
            </w:r>
            <w:r w:rsidR="003B50ED" w:rsidRPr="00F16251">
              <w:rPr>
                <w:rFonts w:eastAsia="Times New Roman" w:cstheme="minorHAnsi"/>
                <w:b/>
                <w:bCs/>
                <w:lang w:eastAsia="pl-PL"/>
              </w:rPr>
              <w:t xml:space="preserve"> </w:t>
            </w:r>
            <w:r w:rsidRPr="00F16251">
              <w:rPr>
                <w:rFonts w:eastAsia="Times New Roman" w:cstheme="minorHAnsi"/>
                <w:lang w:eastAsia="pl-PL"/>
              </w:rPr>
              <w:t>wciąż</w:t>
            </w:r>
            <w:r w:rsidR="003B50ED" w:rsidRPr="00F16251">
              <w:rPr>
                <w:rFonts w:eastAsia="Times New Roman" w:cstheme="minorHAnsi"/>
                <w:lang w:eastAsia="pl-PL"/>
              </w:rPr>
              <w:t xml:space="preserve"> </w:t>
            </w:r>
            <w:r w:rsidRPr="00F16251">
              <w:rPr>
                <w:rFonts w:eastAsia="Times New Roman" w:cstheme="minorHAnsi"/>
                <w:lang w:eastAsia="pl-PL"/>
              </w:rPr>
              <w:t>doświadczają</w:t>
            </w:r>
            <w:r w:rsidR="003B50ED" w:rsidRPr="00F16251">
              <w:rPr>
                <w:rFonts w:eastAsia="Times New Roman" w:cstheme="minorHAnsi"/>
                <w:lang w:eastAsia="pl-PL"/>
              </w:rPr>
              <w:t xml:space="preserve"> </w:t>
            </w:r>
            <w:r w:rsidRPr="00F16251">
              <w:rPr>
                <w:rFonts w:eastAsia="Times New Roman" w:cstheme="minorHAnsi"/>
                <w:lang w:eastAsia="pl-PL"/>
              </w:rPr>
              <w:t>wykluczenia</w:t>
            </w:r>
            <w:r w:rsidR="003B50ED" w:rsidRPr="00F16251">
              <w:rPr>
                <w:rFonts w:eastAsia="Times New Roman" w:cstheme="minorHAnsi"/>
                <w:lang w:eastAsia="pl-PL"/>
              </w:rPr>
              <w:t xml:space="preserve"> </w:t>
            </w:r>
            <w:r w:rsidRPr="00F16251">
              <w:rPr>
                <w:rFonts w:eastAsia="Times New Roman" w:cstheme="minorHAnsi"/>
                <w:lang w:eastAsia="pl-PL"/>
              </w:rPr>
              <w:t>społecznego.</w:t>
            </w:r>
            <w:r w:rsidR="003B50ED" w:rsidRPr="00F16251">
              <w:rPr>
                <w:rFonts w:eastAsia="Times New Roman" w:cstheme="minorHAnsi"/>
                <w:lang w:eastAsia="pl-PL"/>
              </w:rPr>
              <w:t xml:space="preserve"> </w:t>
            </w:r>
            <w:r w:rsidRPr="00F16251">
              <w:rPr>
                <w:rFonts w:eastAsia="Times New Roman" w:cstheme="minorHAnsi"/>
                <w:lang w:eastAsia="pl-PL"/>
              </w:rPr>
              <w:t>Borykają</w:t>
            </w:r>
            <w:r w:rsidR="003B50ED" w:rsidRPr="00F16251">
              <w:rPr>
                <w:rFonts w:eastAsia="Times New Roman" w:cstheme="minorHAnsi"/>
                <w:lang w:eastAsia="pl-PL"/>
              </w:rPr>
              <w:t xml:space="preserve"> </w:t>
            </w:r>
            <w:r w:rsidRPr="00F16251">
              <w:rPr>
                <w:rFonts w:eastAsia="Times New Roman" w:cstheme="minorHAnsi"/>
                <w:lang w:eastAsia="pl-PL"/>
              </w:rPr>
              <w:t>się</w:t>
            </w:r>
            <w:r w:rsidR="003B50ED" w:rsidRPr="00F16251">
              <w:rPr>
                <w:rFonts w:eastAsia="Times New Roman" w:cstheme="minorHAnsi"/>
                <w:lang w:eastAsia="pl-PL"/>
              </w:rPr>
              <w:t xml:space="preserve"> </w:t>
            </w:r>
            <w:r w:rsidRPr="00F16251">
              <w:rPr>
                <w:rFonts w:eastAsia="Times New Roman" w:cstheme="minorHAnsi"/>
                <w:lang w:eastAsia="pl-PL"/>
              </w:rPr>
              <w:br/>
              <w:t>z</w:t>
            </w:r>
            <w:r w:rsidR="003B50ED" w:rsidRPr="00F16251">
              <w:rPr>
                <w:rFonts w:eastAsia="Times New Roman" w:cstheme="minorHAnsi"/>
                <w:lang w:eastAsia="pl-PL"/>
              </w:rPr>
              <w:t xml:space="preserve"> </w:t>
            </w:r>
            <w:r w:rsidRPr="00F16251">
              <w:rPr>
                <w:rFonts w:eastAsia="Times New Roman" w:cstheme="minorHAnsi"/>
                <w:lang w:eastAsia="pl-PL"/>
              </w:rPr>
              <w:t>trudnościami</w:t>
            </w:r>
            <w:r w:rsidR="003B50ED" w:rsidRPr="00F16251">
              <w:rPr>
                <w:rFonts w:eastAsia="Times New Roman" w:cstheme="minorHAnsi"/>
                <w:lang w:eastAsia="pl-PL"/>
              </w:rPr>
              <w:t xml:space="preserve"> </w:t>
            </w:r>
            <w:r w:rsidRPr="00F16251">
              <w:rPr>
                <w:rFonts w:eastAsia="Times New Roman" w:cstheme="minorHAnsi"/>
                <w:lang w:eastAsia="pl-PL"/>
              </w:rPr>
              <w:t>w</w:t>
            </w:r>
            <w:r w:rsidR="003B50ED" w:rsidRPr="00F16251">
              <w:rPr>
                <w:rFonts w:eastAsia="Times New Roman" w:cstheme="minorHAnsi"/>
                <w:lang w:eastAsia="pl-PL"/>
              </w:rPr>
              <w:t xml:space="preserve"> </w:t>
            </w:r>
            <w:r w:rsidRPr="00F16251">
              <w:rPr>
                <w:rFonts w:eastAsia="Times New Roman" w:cstheme="minorHAnsi"/>
                <w:lang w:eastAsia="pl-PL"/>
              </w:rPr>
              <w:t>integracji</w:t>
            </w:r>
            <w:r w:rsidR="003B50ED" w:rsidRPr="00F16251">
              <w:rPr>
                <w:rFonts w:eastAsia="Times New Roman" w:cstheme="minorHAnsi"/>
                <w:lang w:eastAsia="pl-PL"/>
              </w:rPr>
              <w:t xml:space="preserve"> </w:t>
            </w:r>
            <w:r w:rsidRPr="00F16251">
              <w:rPr>
                <w:rFonts w:eastAsia="Times New Roman" w:cstheme="minorHAnsi"/>
                <w:lang w:eastAsia="pl-PL"/>
              </w:rPr>
              <w:t>społecznej,</w:t>
            </w:r>
            <w:r w:rsidR="003B50ED" w:rsidRPr="00F16251">
              <w:rPr>
                <w:rFonts w:eastAsia="Times New Roman" w:cstheme="minorHAnsi"/>
                <w:lang w:eastAsia="pl-PL"/>
              </w:rPr>
              <w:t xml:space="preserve"> </w:t>
            </w:r>
            <w:r w:rsidRPr="00F16251">
              <w:rPr>
                <w:rFonts w:eastAsia="Times New Roman" w:cstheme="minorHAnsi"/>
                <w:lang w:eastAsia="pl-PL"/>
              </w:rPr>
              <w:t>znalezieniu</w:t>
            </w:r>
            <w:r w:rsidR="003B50ED" w:rsidRPr="00F16251">
              <w:rPr>
                <w:rFonts w:eastAsia="Times New Roman" w:cstheme="minorHAnsi"/>
                <w:lang w:eastAsia="pl-PL"/>
              </w:rPr>
              <w:t xml:space="preserve"> </w:t>
            </w:r>
            <w:r w:rsidRPr="00F16251">
              <w:rPr>
                <w:rFonts w:eastAsia="Times New Roman" w:cstheme="minorHAnsi"/>
                <w:lang w:eastAsia="pl-PL"/>
              </w:rPr>
              <w:t>pracy</w:t>
            </w:r>
            <w:r w:rsidR="003B50ED" w:rsidRPr="00F16251">
              <w:rPr>
                <w:rFonts w:eastAsia="Times New Roman" w:cstheme="minorHAnsi"/>
                <w:lang w:eastAsia="pl-PL"/>
              </w:rPr>
              <w:t xml:space="preserve"> </w:t>
            </w:r>
            <w:r w:rsidRPr="00F16251">
              <w:rPr>
                <w:rFonts w:eastAsia="Times New Roman" w:cstheme="minorHAnsi"/>
                <w:lang w:eastAsia="pl-PL"/>
              </w:rPr>
              <w:t>oraz</w:t>
            </w:r>
            <w:r w:rsidR="003B50ED" w:rsidRPr="00F16251">
              <w:rPr>
                <w:rFonts w:eastAsia="Times New Roman" w:cstheme="minorHAnsi"/>
                <w:lang w:eastAsia="pl-PL"/>
              </w:rPr>
              <w:t xml:space="preserve"> </w:t>
            </w:r>
            <w:r w:rsidRPr="00F16251">
              <w:rPr>
                <w:rFonts w:eastAsia="Times New Roman" w:cstheme="minorHAnsi"/>
                <w:lang w:eastAsia="pl-PL"/>
              </w:rPr>
              <w:t>dostępie</w:t>
            </w:r>
            <w:r w:rsidR="003B50ED" w:rsidRPr="00F16251">
              <w:rPr>
                <w:rFonts w:eastAsia="Times New Roman" w:cstheme="minorHAnsi"/>
                <w:lang w:eastAsia="pl-PL"/>
              </w:rPr>
              <w:t xml:space="preserve"> </w:t>
            </w:r>
            <w:r w:rsidRPr="00F16251">
              <w:rPr>
                <w:rFonts w:eastAsia="Times New Roman" w:cstheme="minorHAnsi"/>
                <w:lang w:eastAsia="pl-PL"/>
              </w:rPr>
              <w:t>do</w:t>
            </w:r>
            <w:r w:rsidR="003B50ED" w:rsidRPr="00F16251">
              <w:rPr>
                <w:rFonts w:eastAsia="Times New Roman" w:cstheme="minorHAnsi"/>
                <w:lang w:eastAsia="pl-PL"/>
              </w:rPr>
              <w:t xml:space="preserve"> </w:t>
            </w:r>
            <w:r w:rsidRPr="00F16251">
              <w:rPr>
                <w:rFonts w:eastAsia="Times New Roman" w:cstheme="minorHAnsi"/>
                <w:lang w:eastAsia="pl-PL"/>
              </w:rPr>
              <w:t>publicznej</w:t>
            </w:r>
            <w:r w:rsidR="003B50ED" w:rsidRPr="00F16251">
              <w:rPr>
                <w:rFonts w:eastAsia="Times New Roman" w:cstheme="minorHAnsi"/>
                <w:lang w:eastAsia="pl-PL"/>
              </w:rPr>
              <w:t xml:space="preserve"> </w:t>
            </w:r>
            <w:r w:rsidRPr="00F16251">
              <w:rPr>
                <w:rFonts w:eastAsia="Times New Roman" w:cstheme="minorHAnsi"/>
                <w:lang w:eastAsia="pl-PL"/>
              </w:rPr>
              <w:t>infrastruktury,</w:t>
            </w:r>
            <w:r w:rsidR="003B50ED" w:rsidRPr="00F16251">
              <w:rPr>
                <w:rFonts w:eastAsia="Times New Roman" w:cstheme="minorHAnsi"/>
                <w:lang w:eastAsia="pl-PL"/>
              </w:rPr>
              <w:t xml:space="preserve"> </w:t>
            </w:r>
            <w:r w:rsidRPr="00F16251">
              <w:rPr>
                <w:rFonts w:eastAsia="Times New Roman" w:cstheme="minorHAnsi"/>
                <w:lang w:eastAsia="pl-PL"/>
              </w:rPr>
              <w:t>która</w:t>
            </w:r>
            <w:r w:rsidR="003B50ED" w:rsidRPr="00F16251">
              <w:rPr>
                <w:rFonts w:eastAsia="Times New Roman" w:cstheme="minorHAnsi"/>
                <w:lang w:eastAsia="pl-PL"/>
              </w:rPr>
              <w:t xml:space="preserve"> </w:t>
            </w:r>
            <w:r w:rsidRPr="00F16251">
              <w:rPr>
                <w:rFonts w:eastAsia="Times New Roman" w:cstheme="minorHAnsi"/>
                <w:lang w:eastAsia="pl-PL"/>
              </w:rPr>
              <w:t>często</w:t>
            </w:r>
            <w:r w:rsidR="003B50ED" w:rsidRPr="00F16251">
              <w:rPr>
                <w:rFonts w:eastAsia="Times New Roman" w:cstheme="minorHAnsi"/>
                <w:lang w:eastAsia="pl-PL"/>
              </w:rPr>
              <w:t xml:space="preserve"> </w:t>
            </w:r>
            <w:r w:rsidRPr="00F16251">
              <w:rPr>
                <w:rFonts w:eastAsia="Times New Roman" w:cstheme="minorHAnsi"/>
                <w:lang w:eastAsia="pl-PL"/>
              </w:rPr>
              <w:t>pozostaje</w:t>
            </w:r>
            <w:r w:rsidR="003B50ED" w:rsidRPr="00F16251">
              <w:rPr>
                <w:rFonts w:eastAsia="Times New Roman" w:cstheme="minorHAnsi"/>
                <w:lang w:eastAsia="pl-PL"/>
              </w:rPr>
              <w:t xml:space="preserve"> </w:t>
            </w:r>
            <w:r w:rsidRPr="00F16251">
              <w:rPr>
                <w:rFonts w:eastAsia="Times New Roman" w:cstheme="minorHAnsi"/>
                <w:lang w:eastAsia="pl-PL"/>
              </w:rPr>
              <w:t>niedostępna</w:t>
            </w:r>
            <w:r w:rsidR="003B50ED" w:rsidRPr="00F16251">
              <w:rPr>
                <w:rFonts w:eastAsia="Times New Roman" w:cstheme="minorHAnsi"/>
                <w:lang w:eastAsia="pl-PL"/>
              </w:rPr>
              <w:t xml:space="preserve"> </w:t>
            </w:r>
            <w:r w:rsidRPr="00F16251">
              <w:rPr>
                <w:rFonts w:eastAsia="Times New Roman" w:cstheme="minorHAnsi"/>
                <w:lang w:eastAsia="pl-PL"/>
              </w:rPr>
              <w:t>z</w:t>
            </w:r>
            <w:r w:rsidR="003B50ED" w:rsidRPr="00F16251">
              <w:rPr>
                <w:rFonts w:eastAsia="Times New Roman" w:cstheme="minorHAnsi"/>
                <w:lang w:eastAsia="pl-PL"/>
              </w:rPr>
              <w:t xml:space="preserve"> </w:t>
            </w:r>
            <w:r w:rsidRPr="00F16251">
              <w:rPr>
                <w:rFonts w:eastAsia="Times New Roman" w:cstheme="minorHAnsi"/>
                <w:lang w:eastAsia="pl-PL"/>
              </w:rPr>
              <w:t>powodu</w:t>
            </w:r>
            <w:r w:rsidR="003B50ED" w:rsidRPr="00F16251">
              <w:rPr>
                <w:rFonts w:eastAsia="Times New Roman" w:cstheme="minorHAnsi"/>
                <w:lang w:eastAsia="pl-PL"/>
              </w:rPr>
              <w:t xml:space="preserve"> </w:t>
            </w:r>
            <w:r w:rsidRPr="00F16251">
              <w:rPr>
                <w:rFonts w:eastAsia="Times New Roman" w:cstheme="minorHAnsi"/>
                <w:lang w:eastAsia="pl-PL"/>
              </w:rPr>
              <w:t>barier</w:t>
            </w:r>
            <w:r w:rsidR="003B50ED" w:rsidRPr="00F16251">
              <w:rPr>
                <w:rFonts w:eastAsia="Times New Roman" w:cstheme="minorHAnsi"/>
                <w:lang w:eastAsia="pl-PL"/>
              </w:rPr>
              <w:t xml:space="preserve"> </w:t>
            </w:r>
            <w:r w:rsidRPr="00F16251">
              <w:rPr>
                <w:rFonts w:eastAsia="Times New Roman" w:cstheme="minorHAnsi"/>
                <w:lang w:eastAsia="pl-PL"/>
              </w:rPr>
              <w:t>architektonicznych.</w:t>
            </w:r>
            <w:r w:rsidR="003B50ED" w:rsidRPr="00F16251">
              <w:rPr>
                <w:rFonts w:eastAsia="Times New Roman" w:cstheme="minorHAnsi"/>
                <w:lang w:eastAsia="pl-PL"/>
              </w:rPr>
              <w:t xml:space="preserve"> </w:t>
            </w:r>
            <w:r w:rsidRPr="00F16251">
              <w:rPr>
                <w:rFonts w:eastAsia="Times New Roman" w:cstheme="minorHAnsi"/>
                <w:lang w:eastAsia="pl-PL"/>
              </w:rPr>
              <w:t>Również</w:t>
            </w:r>
            <w:r w:rsidR="003B50ED" w:rsidRPr="00F16251">
              <w:rPr>
                <w:rFonts w:eastAsia="Times New Roman" w:cstheme="minorHAnsi"/>
                <w:lang w:eastAsia="pl-PL"/>
              </w:rPr>
              <w:t xml:space="preserve"> </w:t>
            </w:r>
            <w:r w:rsidRPr="00F16251">
              <w:rPr>
                <w:rFonts w:eastAsia="Times New Roman" w:cstheme="minorHAnsi"/>
                <w:lang w:eastAsia="pl-PL"/>
              </w:rPr>
              <w:t>ich</w:t>
            </w:r>
            <w:r w:rsidR="003B50ED" w:rsidRPr="00F16251">
              <w:rPr>
                <w:rFonts w:eastAsia="Times New Roman" w:cstheme="minorHAnsi"/>
                <w:lang w:eastAsia="pl-PL"/>
              </w:rPr>
              <w:t xml:space="preserve"> </w:t>
            </w:r>
            <w:r w:rsidRPr="00F16251">
              <w:rPr>
                <w:rFonts w:eastAsia="Times New Roman" w:cstheme="minorHAnsi"/>
                <w:b/>
                <w:bCs/>
                <w:lang w:eastAsia="pl-PL"/>
              </w:rPr>
              <w:t>opiekunowie</w:t>
            </w:r>
            <w:r w:rsidRPr="00F16251">
              <w:rPr>
                <w:rFonts w:eastAsia="Times New Roman" w:cstheme="minorHAnsi"/>
                <w:lang w:eastAsia="pl-PL"/>
              </w:rPr>
              <w:t>,</w:t>
            </w:r>
            <w:r w:rsidR="003B50ED" w:rsidRPr="00F16251">
              <w:rPr>
                <w:rFonts w:eastAsia="Times New Roman" w:cstheme="minorHAnsi"/>
                <w:lang w:eastAsia="pl-PL"/>
              </w:rPr>
              <w:t xml:space="preserve"> </w:t>
            </w:r>
            <w:r w:rsidRPr="00F16251">
              <w:rPr>
                <w:rFonts w:eastAsia="Times New Roman" w:cstheme="minorHAnsi"/>
                <w:lang w:eastAsia="pl-PL"/>
              </w:rPr>
              <w:t>z</w:t>
            </w:r>
            <w:r w:rsidR="003B50ED" w:rsidRPr="00F16251">
              <w:rPr>
                <w:rFonts w:eastAsia="Times New Roman" w:cstheme="minorHAnsi"/>
                <w:lang w:eastAsia="pl-PL"/>
              </w:rPr>
              <w:t xml:space="preserve"> </w:t>
            </w:r>
            <w:r w:rsidRPr="00F16251">
              <w:rPr>
                <w:rFonts w:eastAsia="Times New Roman" w:cstheme="minorHAnsi"/>
                <w:lang w:eastAsia="pl-PL"/>
              </w:rPr>
              <w:t>uwagi</w:t>
            </w:r>
            <w:r w:rsidR="003B50ED" w:rsidRPr="00F16251">
              <w:rPr>
                <w:rFonts w:eastAsia="Times New Roman" w:cstheme="minorHAnsi"/>
                <w:lang w:eastAsia="pl-PL"/>
              </w:rPr>
              <w:t xml:space="preserve"> </w:t>
            </w:r>
            <w:r w:rsidRPr="00F16251">
              <w:rPr>
                <w:rFonts w:eastAsia="Times New Roman" w:cstheme="minorHAnsi"/>
                <w:lang w:eastAsia="pl-PL"/>
              </w:rPr>
              <w:t>na</w:t>
            </w:r>
            <w:r w:rsidR="003B50ED" w:rsidRPr="00F16251">
              <w:rPr>
                <w:rFonts w:eastAsia="Times New Roman" w:cstheme="minorHAnsi"/>
                <w:lang w:eastAsia="pl-PL"/>
              </w:rPr>
              <w:t xml:space="preserve"> </w:t>
            </w:r>
            <w:r w:rsidRPr="00F16251">
              <w:rPr>
                <w:rFonts w:eastAsia="Times New Roman" w:cstheme="minorHAnsi"/>
                <w:lang w:eastAsia="pl-PL"/>
              </w:rPr>
              <w:t>niemalże</w:t>
            </w:r>
            <w:r w:rsidR="003B50ED" w:rsidRPr="00F16251">
              <w:rPr>
                <w:rFonts w:eastAsia="Times New Roman" w:cstheme="minorHAnsi"/>
                <w:lang w:eastAsia="pl-PL"/>
              </w:rPr>
              <w:t xml:space="preserve"> </w:t>
            </w:r>
            <w:r w:rsidRPr="00F16251">
              <w:rPr>
                <w:rFonts w:eastAsia="Times New Roman" w:cstheme="minorHAnsi"/>
                <w:lang w:eastAsia="pl-PL"/>
              </w:rPr>
              <w:t>całodobowe</w:t>
            </w:r>
            <w:r w:rsidR="003B50ED" w:rsidRPr="00F16251">
              <w:rPr>
                <w:rFonts w:eastAsia="Times New Roman" w:cstheme="minorHAnsi"/>
                <w:lang w:eastAsia="pl-PL"/>
              </w:rPr>
              <w:t xml:space="preserve"> </w:t>
            </w:r>
            <w:r w:rsidRPr="00F16251">
              <w:rPr>
                <w:rFonts w:eastAsia="Times New Roman" w:cstheme="minorHAnsi"/>
                <w:lang w:eastAsia="pl-PL"/>
              </w:rPr>
              <w:t>zaangażowanie</w:t>
            </w:r>
            <w:r w:rsidR="003B50ED" w:rsidRPr="00F16251">
              <w:rPr>
                <w:rFonts w:eastAsia="Times New Roman" w:cstheme="minorHAnsi"/>
                <w:lang w:eastAsia="pl-PL"/>
              </w:rPr>
              <w:t xml:space="preserve"> </w:t>
            </w:r>
            <w:r w:rsidRPr="00F16251">
              <w:rPr>
                <w:rFonts w:eastAsia="Times New Roman" w:cstheme="minorHAnsi"/>
                <w:lang w:eastAsia="pl-PL"/>
              </w:rPr>
              <w:t>związane</w:t>
            </w:r>
            <w:r w:rsidR="003B50ED" w:rsidRPr="00F16251">
              <w:rPr>
                <w:rFonts w:eastAsia="Times New Roman" w:cstheme="minorHAnsi"/>
                <w:lang w:eastAsia="pl-PL"/>
              </w:rPr>
              <w:t xml:space="preserve"> </w:t>
            </w:r>
            <w:r w:rsidRPr="00F16251">
              <w:rPr>
                <w:rFonts w:eastAsia="Times New Roman" w:cstheme="minorHAnsi"/>
                <w:lang w:eastAsia="pl-PL"/>
              </w:rPr>
              <w:t>z</w:t>
            </w:r>
            <w:r w:rsidR="003B50ED" w:rsidRPr="00F16251">
              <w:rPr>
                <w:rFonts w:eastAsia="Times New Roman" w:cstheme="minorHAnsi"/>
                <w:lang w:eastAsia="pl-PL"/>
              </w:rPr>
              <w:t xml:space="preserve"> </w:t>
            </w:r>
            <w:r w:rsidRPr="00F16251">
              <w:rPr>
                <w:rFonts w:eastAsia="Times New Roman" w:cstheme="minorHAnsi"/>
                <w:lang w:eastAsia="pl-PL"/>
              </w:rPr>
              <w:t>opieką</w:t>
            </w:r>
            <w:r w:rsidR="003B50ED" w:rsidRPr="00F16251">
              <w:rPr>
                <w:rFonts w:eastAsia="Times New Roman" w:cstheme="minorHAnsi"/>
                <w:lang w:eastAsia="pl-PL"/>
              </w:rPr>
              <w:t xml:space="preserve"> </w:t>
            </w:r>
            <w:r w:rsidRPr="00F16251">
              <w:rPr>
                <w:rFonts w:eastAsia="Times New Roman" w:cstheme="minorHAnsi"/>
                <w:lang w:eastAsia="pl-PL"/>
              </w:rPr>
              <w:t>nad</w:t>
            </w:r>
            <w:r w:rsidR="003B50ED" w:rsidRPr="00F16251">
              <w:rPr>
                <w:rFonts w:eastAsia="Times New Roman" w:cstheme="minorHAnsi"/>
                <w:lang w:eastAsia="pl-PL"/>
              </w:rPr>
              <w:t xml:space="preserve"> </w:t>
            </w:r>
            <w:r w:rsidRPr="00F16251">
              <w:rPr>
                <w:rFonts w:eastAsia="Times New Roman" w:cstheme="minorHAnsi"/>
                <w:lang w:eastAsia="pl-PL"/>
              </w:rPr>
              <w:t>osoba</w:t>
            </w:r>
            <w:r w:rsidR="003B50ED" w:rsidRPr="00F16251">
              <w:rPr>
                <w:rFonts w:eastAsia="Times New Roman" w:cstheme="minorHAnsi"/>
                <w:lang w:eastAsia="pl-PL"/>
              </w:rPr>
              <w:t xml:space="preserve"> </w:t>
            </w:r>
            <w:r w:rsidRPr="00F16251">
              <w:rPr>
                <w:rFonts w:eastAsia="Times New Roman" w:cstheme="minorHAnsi"/>
                <w:lang w:eastAsia="pl-PL"/>
              </w:rPr>
              <w:t>niepełnosprawną,</w:t>
            </w:r>
            <w:r w:rsidR="003B50ED" w:rsidRPr="00F16251">
              <w:rPr>
                <w:rFonts w:eastAsia="Times New Roman" w:cstheme="minorHAnsi"/>
                <w:lang w:eastAsia="pl-PL"/>
              </w:rPr>
              <w:t xml:space="preserve"> </w:t>
            </w:r>
            <w:r w:rsidRPr="00F16251">
              <w:rPr>
                <w:rFonts w:eastAsia="Times New Roman" w:cstheme="minorHAnsi"/>
                <w:lang w:eastAsia="pl-PL"/>
              </w:rPr>
              <w:t>są</w:t>
            </w:r>
            <w:r w:rsidR="003B50ED" w:rsidRPr="00F16251">
              <w:rPr>
                <w:rFonts w:eastAsia="Times New Roman" w:cstheme="minorHAnsi"/>
                <w:lang w:eastAsia="pl-PL"/>
              </w:rPr>
              <w:t xml:space="preserve"> </w:t>
            </w:r>
            <w:r w:rsidRPr="00F16251">
              <w:rPr>
                <w:rFonts w:eastAsia="Times New Roman" w:cstheme="minorHAnsi"/>
                <w:lang w:eastAsia="pl-PL"/>
              </w:rPr>
              <w:t>w</w:t>
            </w:r>
            <w:r w:rsidR="003B50ED" w:rsidRPr="00F16251">
              <w:rPr>
                <w:rFonts w:eastAsia="Times New Roman" w:cstheme="minorHAnsi"/>
                <w:lang w:eastAsia="pl-PL"/>
              </w:rPr>
              <w:t xml:space="preserve"> </w:t>
            </w:r>
            <w:r w:rsidRPr="00F16251">
              <w:rPr>
                <w:rFonts w:eastAsia="Times New Roman" w:cstheme="minorHAnsi"/>
                <w:lang w:eastAsia="pl-PL"/>
              </w:rPr>
              <w:t>pewien</w:t>
            </w:r>
            <w:r w:rsidR="003B50ED" w:rsidRPr="00F16251">
              <w:rPr>
                <w:rFonts w:eastAsia="Times New Roman" w:cstheme="minorHAnsi"/>
                <w:lang w:eastAsia="pl-PL"/>
              </w:rPr>
              <w:t xml:space="preserve"> </w:t>
            </w:r>
            <w:r w:rsidRPr="00F16251">
              <w:rPr>
                <w:rFonts w:eastAsia="Times New Roman" w:cstheme="minorHAnsi"/>
                <w:lang w:eastAsia="pl-PL"/>
              </w:rPr>
              <w:t>sposób</w:t>
            </w:r>
            <w:r w:rsidR="003B50ED" w:rsidRPr="00F16251">
              <w:rPr>
                <w:rFonts w:eastAsia="Times New Roman" w:cstheme="minorHAnsi"/>
                <w:lang w:eastAsia="pl-PL"/>
              </w:rPr>
              <w:t xml:space="preserve"> </w:t>
            </w:r>
            <w:r w:rsidRPr="00F16251">
              <w:rPr>
                <w:rFonts w:eastAsia="Times New Roman" w:cstheme="minorHAnsi"/>
                <w:lang w:eastAsia="pl-PL"/>
              </w:rPr>
              <w:t>wykluczeni</w:t>
            </w:r>
            <w:r w:rsidR="003B50ED" w:rsidRPr="00F16251">
              <w:rPr>
                <w:rFonts w:eastAsia="Times New Roman" w:cstheme="minorHAnsi"/>
                <w:lang w:eastAsia="pl-PL"/>
              </w:rPr>
              <w:t xml:space="preserve"> </w:t>
            </w:r>
            <w:r w:rsidRPr="00F16251">
              <w:rPr>
                <w:rFonts w:eastAsia="Times New Roman" w:cstheme="minorHAnsi"/>
                <w:lang w:eastAsia="pl-PL"/>
              </w:rPr>
              <w:t>z</w:t>
            </w:r>
            <w:r w:rsidR="003B50ED" w:rsidRPr="00F16251">
              <w:rPr>
                <w:rFonts w:eastAsia="Times New Roman" w:cstheme="minorHAnsi"/>
                <w:lang w:eastAsia="pl-PL"/>
              </w:rPr>
              <w:t xml:space="preserve"> </w:t>
            </w:r>
            <w:r w:rsidRPr="00F16251">
              <w:rPr>
                <w:rFonts w:eastAsia="Times New Roman" w:cstheme="minorHAnsi"/>
                <w:lang w:eastAsia="pl-PL"/>
              </w:rPr>
              <w:t>aktywności</w:t>
            </w:r>
            <w:r w:rsidR="003B50ED" w:rsidRPr="00F16251">
              <w:rPr>
                <w:rFonts w:eastAsia="Times New Roman" w:cstheme="minorHAnsi"/>
                <w:lang w:eastAsia="pl-PL"/>
              </w:rPr>
              <w:t xml:space="preserve"> </w:t>
            </w:r>
            <w:r w:rsidRPr="00F16251">
              <w:rPr>
                <w:rFonts w:eastAsia="Times New Roman" w:cstheme="minorHAnsi"/>
                <w:lang w:eastAsia="pl-PL"/>
              </w:rPr>
              <w:t>społecznej</w:t>
            </w:r>
            <w:r w:rsidR="003B50ED" w:rsidRPr="00F16251">
              <w:rPr>
                <w:rFonts w:eastAsia="Times New Roman" w:cstheme="minorHAnsi"/>
                <w:lang w:eastAsia="pl-PL"/>
              </w:rPr>
              <w:t xml:space="preserve"> </w:t>
            </w:r>
            <w:r w:rsidRPr="00F16251">
              <w:rPr>
                <w:rFonts w:eastAsia="Times New Roman" w:cstheme="minorHAnsi"/>
                <w:lang w:eastAsia="pl-PL"/>
              </w:rPr>
              <w:br/>
              <w:t>a</w:t>
            </w:r>
            <w:r w:rsidR="003B50ED" w:rsidRPr="00F16251">
              <w:rPr>
                <w:rFonts w:eastAsia="Times New Roman" w:cstheme="minorHAnsi"/>
                <w:lang w:eastAsia="pl-PL"/>
              </w:rPr>
              <w:t xml:space="preserve"> </w:t>
            </w:r>
            <w:r w:rsidRPr="00F16251">
              <w:rPr>
                <w:rFonts w:eastAsia="Times New Roman" w:cstheme="minorHAnsi"/>
                <w:lang w:eastAsia="pl-PL"/>
              </w:rPr>
              <w:t>niekiedy</w:t>
            </w:r>
            <w:r w:rsidR="003B50ED" w:rsidRPr="00F16251">
              <w:rPr>
                <w:rFonts w:eastAsia="Times New Roman" w:cstheme="minorHAnsi"/>
                <w:lang w:eastAsia="pl-PL"/>
              </w:rPr>
              <w:t xml:space="preserve"> </w:t>
            </w:r>
            <w:r w:rsidRPr="00F16251">
              <w:rPr>
                <w:rFonts w:eastAsia="Times New Roman" w:cstheme="minorHAnsi"/>
                <w:lang w:eastAsia="pl-PL"/>
              </w:rPr>
              <w:t>również</w:t>
            </w:r>
            <w:r w:rsidR="003B50ED" w:rsidRPr="00F16251">
              <w:rPr>
                <w:rFonts w:eastAsia="Times New Roman" w:cstheme="minorHAnsi"/>
                <w:lang w:eastAsia="pl-PL"/>
              </w:rPr>
              <w:t xml:space="preserve"> </w:t>
            </w:r>
            <w:r w:rsidRPr="00F16251">
              <w:rPr>
                <w:rFonts w:eastAsia="Times New Roman" w:cstheme="minorHAnsi"/>
                <w:lang w:eastAsia="pl-PL"/>
              </w:rPr>
              <w:t>zawodowej.</w:t>
            </w:r>
            <w:r w:rsidR="003B50ED" w:rsidRPr="00F16251">
              <w:rPr>
                <w:rFonts w:eastAsia="Times New Roman" w:cstheme="minorHAnsi"/>
                <w:lang w:eastAsia="pl-PL"/>
              </w:rPr>
              <w:t xml:space="preserve"> </w:t>
            </w:r>
          </w:p>
          <w:p w14:paraId="675E457F" w14:textId="77777777" w:rsidR="00F06E84" w:rsidRPr="00F16251" w:rsidRDefault="00C20F06" w:rsidP="00E07BED">
            <w:pPr>
              <w:spacing w:line="276" w:lineRule="auto"/>
              <w:jc w:val="both"/>
              <w:rPr>
                <w:rFonts w:eastAsia="Times New Roman" w:cstheme="minorHAnsi"/>
                <w:lang w:eastAsia="pl-PL"/>
              </w:rPr>
            </w:pPr>
            <w:r w:rsidRPr="00F16251">
              <w:rPr>
                <w:rFonts w:eastAsia="Times New Roman" w:cstheme="minorHAnsi"/>
                <w:b/>
                <w:bCs/>
                <w:lang w:eastAsia="pl-PL"/>
              </w:rPr>
              <w:t>Kobiety</w:t>
            </w:r>
            <w:r w:rsidRPr="00F16251">
              <w:rPr>
                <w:rFonts w:eastAsia="Times New Roman" w:cstheme="minorHAnsi"/>
                <w:lang w:eastAsia="pl-PL"/>
              </w:rPr>
              <w:t>,</w:t>
            </w:r>
            <w:r w:rsidR="003B50ED" w:rsidRPr="00F16251">
              <w:rPr>
                <w:rFonts w:eastAsia="Times New Roman" w:cstheme="minorHAnsi"/>
                <w:lang w:eastAsia="pl-PL"/>
              </w:rPr>
              <w:t xml:space="preserve"> </w:t>
            </w:r>
            <w:r w:rsidRPr="00F16251">
              <w:rPr>
                <w:rFonts w:eastAsia="Times New Roman" w:cstheme="minorHAnsi"/>
                <w:lang w:eastAsia="pl-PL"/>
              </w:rPr>
              <w:t>odgrywają</w:t>
            </w:r>
            <w:r w:rsidR="003B50ED" w:rsidRPr="00F16251">
              <w:rPr>
                <w:rFonts w:eastAsia="Times New Roman" w:cstheme="minorHAnsi"/>
                <w:lang w:eastAsia="pl-PL"/>
              </w:rPr>
              <w:t xml:space="preserve"> </w:t>
            </w:r>
            <w:r w:rsidRPr="00F16251">
              <w:rPr>
                <w:rFonts w:eastAsia="Times New Roman" w:cstheme="minorHAnsi"/>
                <w:lang w:eastAsia="pl-PL"/>
              </w:rPr>
              <w:t>kluczową</w:t>
            </w:r>
            <w:r w:rsidR="003B50ED" w:rsidRPr="00F16251">
              <w:rPr>
                <w:rFonts w:eastAsia="Times New Roman" w:cstheme="minorHAnsi"/>
                <w:lang w:eastAsia="pl-PL"/>
              </w:rPr>
              <w:t xml:space="preserve"> </w:t>
            </w:r>
            <w:r w:rsidRPr="00F16251">
              <w:rPr>
                <w:rFonts w:eastAsia="Times New Roman" w:cstheme="minorHAnsi"/>
                <w:lang w:eastAsia="pl-PL"/>
              </w:rPr>
              <w:t>rolę</w:t>
            </w:r>
            <w:r w:rsidR="003B50ED" w:rsidRPr="00F16251">
              <w:rPr>
                <w:rFonts w:eastAsia="Times New Roman" w:cstheme="minorHAnsi"/>
                <w:lang w:eastAsia="pl-PL"/>
              </w:rPr>
              <w:t xml:space="preserve"> </w:t>
            </w:r>
            <w:r w:rsidRPr="00F16251">
              <w:rPr>
                <w:rFonts w:eastAsia="Times New Roman" w:cstheme="minorHAnsi"/>
                <w:lang w:eastAsia="pl-PL"/>
              </w:rPr>
              <w:t>w</w:t>
            </w:r>
            <w:r w:rsidR="003B50ED" w:rsidRPr="00F16251">
              <w:rPr>
                <w:rFonts w:eastAsia="Times New Roman" w:cstheme="minorHAnsi"/>
                <w:lang w:eastAsia="pl-PL"/>
              </w:rPr>
              <w:t xml:space="preserve"> </w:t>
            </w:r>
            <w:r w:rsidRPr="00F16251">
              <w:rPr>
                <w:rFonts w:eastAsia="Times New Roman" w:cstheme="minorHAnsi"/>
                <w:lang w:eastAsia="pl-PL"/>
              </w:rPr>
              <w:t>organizacjach</w:t>
            </w:r>
            <w:r w:rsidR="003B50ED" w:rsidRPr="00F16251">
              <w:rPr>
                <w:rFonts w:eastAsia="Times New Roman" w:cstheme="minorHAnsi"/>
                <w:lang w:eastAsia="pl-PL"/>
              </w:rPr>
              <w:t xml:space="preserve"> </w:t>
            </w:r>
            <w:r w:rsidRPr="00F16251">
              <w:rPr>
                <w:rFonts w:eastAsia="Times New Roman" w:cstheme="minorHAnsi"/>
                <w:lang w:eastAsia="pl-PL"/>
              </w:rPr>
              <w:t>pozarządowych,</w:t>
            </w:r>
            <w:r w:rsidR="003B50ED" w:rsidRPr="00F16251">
              <w:rPr>
                <w:rFonts w:eastAsia="Times New Roman" w:cstheme="minorHAnsi"/>
                <w:lang w:eastAsia="pl-PL"/>
              </w:rPr>
              <w:t xml:space="preserve"> </w:t>
            </w:r>
            <w:r w:rsidRPr="00F16251">
              <w:rPr>
                <w:rFonts w:eastAsia="Times New Roman" w:cstheme="minorHAnsi"/>
                <w:lang w:eastAsia="pl-PL"/>
              </w:rPr>
              <w:t>angażując</w:t>
            </w:r>
            <w:r w:rsidR="003B50ED" w:rsidRPr="00F16251">
              <w:rPr>
                <w:rFonts w:eastAsia="Times New Roman" w:cstheme="minorHAnsi"/>
                <w:lang w:eastAsia="pl-PL"/>
              </w:rPr>
              <w:t xml:space="preserve"> </w:t>
            </w:r>
            <w:r w:rsidRPr="00F16251">
              <w:rPr>
                <w:rFonts w:eastAsia="Times New Roman" w:cstheme="minorHAnsi"/>
                <w:lang w:eastAsia="pl-PL"/>
              </w:rPr>
              <w:t>się</w:t>
            </w:r>
            <w:r w:rsidR="003B50ED" w:rsidRPr="00F16251">
              <w:rPr>
                <w:rFonts w:eastAsia="Times New Roman" w:cstheme="minorHAnsi"/>
                <w:lang w:eastAsia="pl-PL"/>
              </w:rPr>
              <w:t xml:space="preserve"> </w:t>
            </w:r>
            <w:r w:rsidR="00F06E84" w:rsidRPr="00F16251">
              <w:rPr>
                <w:rFonts w:eastAsia="Times New Roman" w:cstheme="minorHAnsi"/>
                <w:lang w:eastAsia="pl-PL"/>
              </w:rPr>
              <w:br/>
            </w:r>
            <w:r w:rsidRPr="00F16251">
              <w:rPr>
                <w:rFonts w:eastAsia="Times New Roman" w:cstheme="minorHAnsi"/>
                <w:lang w:eastAsia="pl-PL"/>
              </w:rPr>
              <w:t>w</w:t>
            </w:r>
            <w:r w:rsidR="003B50ED" w:rsidRPr="00F16251">
              <w:rPr>
                <w:rFonts w:eastAsia="Times New Roman" w:cstheme="minorHAnsi"/>
                <w:lang w:eastAsia="pl-PL"/>
              </w:rPr>
              <w:t xml:space="preserve"> </w:t>
            </w:r>
            <w:r w:rsidRPr="00F16251">
              <w:rPr>
                <w:rFonts w:eastAsia="Times New Roman" w:cstheme="minorHAnsi"/>
                <w:lang w:eastAsia="pl-PL"/>
              </w:rPr>
              <w:t>organizację</w:t>
            </w:r>
            <w:r w:rsidR="003B50ED" w:rsidRPr="00F16251">
              <w:rPr>
                <w:rFonts w:eastAsia="Times New Roman" w:cstheme="minorHAnsi"/>
                <w:lang w:eastAsia="pl-PL"/>
              </w:rPr>
              <w:t xml:space="preserve"> </w:t>
            </w:r>
            <w:r w:rsidRPr="00F16251">
              <w:rPr>
                <w:rFonts w:eastAsia="Times New Roman" w:cstheme="minorHAnsi"/>
                <w:lang w:eastAsia="pl-PL"/>
              </w:rPr>
              <w:t>różnorodnych</w:t>
            </w:r>
            <w:r w:rsidR="003B50ED" w:rsidRPr="00F16251">
              <w:rPr>
                <w:rFonts w:eastAsia="Times New Roman" w:cstheme="minorHAnsi"/>
                <w:lang w:eastAsia="pl-PL"/>
              </w:rPr>
              <w:t xml:space="preserve"> </w:t>
            </w:r>
            <w:r w:rsidRPr="00F16251">
              <w:rPr>
                <w:rFonts w:eastAsia="Times New Roman" w:cstheme="minorHAnsi"/>
                <w:lang w:eastAsia="pl-PL"/>
              </w:rPr>
              <w:t>wydarzeń</w:t>
            </w:r>
            <w:r w:rsidR="003B50ED" w:rsidRPr="00F16251">
              <w:rPr>
                <w:rFonts w:eastAsia="Times New Roman" w:cstheme="minorHAnsi"/>
                <w:lang w:eastAsia="pl-PL"/>
              </w:rPr>
              <w:t xml:space="preserve"> </w:t>
            </w:r>
            <w:r w:rsidRPr="00F16251">
              <w:rPr>
                <w:rFonts w:eastAsia="Times New Roman" w:cstheme="minorHAnsi"/>
                <w:lang w:eastAsia="pl-PL"/>
              </w:rPr>
              <w:t>i</w:t>
            </w:r>
            <w:r w:rsidR="003B50ED" w:rsidRPr="00F16251">
              <w:rPr>
                <w:rFonts w:eastAsia="Times New Roman" w:cstheme="minorHAnsi"/>
                <w:lang w:eastAsia="pl-PL"/>
              </w:rPr>
              <w:t xml:space="preserve"> </w:t>
            </w:r>
            <w:r w:rsidRPr="00F16251">
              <w:rPr>
                <w:rFonts w:eastAsia="Times New Roman" w:cstheme="minorHAnsi"/>
                <w:lang w:eastAsia="pl-PL"/>
              </w:rPr>
              <w:t>podejmując</w:t>
            </w:r>
            <w:r w:rsidR="003B50ED" w:rsidRPr="00F16251">
              <w:rPr>
                <w:rFonts w:eastAsia="Times New Roman" w:cstheme="minorHAnsi"/>
                <w:lang w:eastAsia="pl-PL"/>
              </w:rPr>
              <w:t xml:space="preserve"> </w:t>
            </w:r>
            <w:r w:rsidRPr="00F16251">
              <w:rPr>
                <w:rFonts w:eastAsia="Times New Roman" w:cstheme="minorHAnsi"/>
                <w:lang w:eastAsia="pl-PL"/>
              </w:rPr>
              <w:t>formalne</w:t>
            </w:r>
            <w:r w:rsidR="003B50ED" w:rsidRPr="00F16251">
              <w:rPr>
                <w:rFonts w:eastAsia="Times New Roman" w:cstheme="minorHAnsi"/>
                <w:lang w:eastAsia="pl-PL"/>
              </w:rPr>
              <w:t xml:space="preserve"> </w:t>
            </w:r>
            <w:r w:rsidRPr="00F16251">
              <w:rPr>
                <w:rFonts w:eastAsia="Times New Roman" w:cstheme="minorHAnsi"/>
                <w:lang w:eastAsia="pl-PL"/>
              </w:rPr>
              <w:t>sprawy.</w:t>
            </w:r>
            <w:r w:rsidR="003B50ED" w:rsidRPr="00F16251">
              <w:rPr>
                <w:rFonts w:eastAsia="Times New Roman" w:cstheme="minorHAnsi"/>
                <w:lang w:eastAsia="pl-PL"/>
              </w:rPr>
              <w:t xml:space="preserve"> </w:t>
            </w:r>
            <w:r w:rsidRPr="00F16251">
              <w:rPr>
                <w:rFonts w:eastAsia="Times New Roman" w:cstheme="minorHAnsi"/>
                <w:lang w:eastAsia="pl-PL"/>
              </w:rPr>
              <w:t>Warto</w:t>
            </w:r>
            <w:r w:rsidR="003B50ED" w:rsidRPr="00F16251">
              <w:rPr>
                <w:rFonts w:eastAsia="Times New Roman" w:cstheme="minorHAnsi"/>
                <w:lang w:eastAsia="pl-PL"/>
              </w:rPr>
              <w:t xml:space="preserve"> </w:t>
            </w:r>
            <w:r w:rsidRPr="00F16251">
              <w:rPr>
                <w:rFonts w:eastAsia="Times New Roman" w:cstheme="minorHAnsi"/>
                <w:lang w:eastAsia="pl-PL"/>
              </w:rPr>
              <w:t>również</w:t>
            </w:r>
            <w:r w:rsidR="003B50ED" w:rsidRPr="00F16251">
              <w:rPr>
                <w:rFonts w:eastAsia="Times New Roman" w:cstheme="minorHAnsi"/>
                <w:lang w:eastAsia="pl-PL"/>
              </w:rPr>
              <w:t xml:space="preserve"> </w:t>
            </w:r>
            <w:r w:rsidRPr="00F16251">
              <w:rPr>
                <w:rFonts w:eastAsia="Times New Roman" w:cstheme="minorHAnsi"/>
                <w:lang w:eastAsia="pl-PL"/>
              </w:rPr>
              <w:t>zauważyć,</w:t>
            </w:r>
            <w:r w:rsidR="003B50ED" w:rsidRPr="00F16251">
              <w:rPr>
                <w:rFonts w:eastAsia="Times New Roman" w:cstheme="minorHAnsi"/>
                <w:lang w:eastAsia="pl-PL"/>
              </w:rPr>
              <w:t xml:space="preserve"> </w:t>
            </w:r>
            <w:r w:rsidRPr="00F16251">
              <w:rPr>
                <w:rFonts w:eastAsia="Times New Roman" w:cstheme="minorHAnsi"/>
                <w:lang w:eastAsia="pl-PL"/>
              </w:rPr>
              <w:t>że</w:t>
            </w:r>
            <w:r w:rsidR="003B50ED" w:rsidRPr="00F16251">
              <w:rPr>
                <w:rFonts w:eastAsia="Times New Roman" w:cstheme="minorHAnsi"/>
                <w:lang w:eastAsia="pl-PL"/>
              </w:rPr>
              <w:t xml:space="preserve"> </w:t>
            </w:r>
            <w:r w:rsidRPr="00F16251">
              <w:rPr>
                <w:rFonts w:eastAsia="Times New Roman" w:cstheme="minorHAnsi"/>
                <w:lang w:eastAsia="pl-PL"/>
              </w:rPr>
              <w:t>większość</w:t>
            </w:r>
            <w:r w:rsidR="003B50ED" w:rsidRPr="00F16251">
              <w:rPr>
                <w:rFonts w:eastAsia="Times New Roman" w:cstheme="minorHAnsi"/>
                <w:lang w:eastAsia="pl-PL"/>
              </w:rPr>
              <w:t xml:space="preserve"> </w:t>
            </w:r>
            <w:r w:rsidRPr="00F16251">
              <w:rPr>
                <w:rFonts w:eastAsia="Times New Roman" w:cstheme="minorHAnsi"/>
                <w:lang w:eastAsia="pl-PL"/>
              </w:rPr>
              <w:t>kobiet</w:t>
            </w:r>
            <w:r w:rsidR="003B50ED" w:rsidRPr="00F16251">
              <w:rPr>
                <w:rFonts w:eastAsia="Times New Roman" w:cstheme="minorHAnsi"/>
                <w:lang w:eastAsia="pl-PL"/>
              </w:rPr>
              <w:t xml:space="preserve"> </w:t>
            </w:r>
            <w:r w:rsidRPr="00F16251">
              <w:rPr>
                <w:rFonts w:eastAsia="Times New Roman" w:cstheme="minorHAnsi"/>
                <w:lang w:eastAsia="pl-PL"/>
              </w:rPr>
              <w:t>równocześnie</w:t>
            </w:r>
            <w:r w:rsidR="003B50ED" w:rsidRPr="00F16251">
              <w:rPr>
                <w:rFonts w:eastAsia="Times New Roman" w:cstheme="minorHAnsi"/>
                <w:lang w:eastAsia="pl-PL"/>
              </w:rPr>
              <w:t xml:space="preserve"> </w:t>
            </w:r>
            <w:r w:rsidRPr="00F16251">
              <w:rPr>
                <w:rFonts w:eastAsia="Times New Roman" w:cstheme="minorHAnsi"/>
                <w:lang w:eastAsia="pl-PL"/>
              </w:rPr>
              <w:t>zajmuje</w:t>
            </w:r>
            <w:r w:rsidR="003B50ED" w:rsidRPr="00F16251">
              <w:rPr>
                <w:rFonts w:eastAsia="Times New Roman" w:cstheme="minorHAnsi"/>
                <w:lang w:eastAsia="pl-PL"/>
              </w:rPr>
              <w:t xml:space="preserve"> </w:t>
            </w:r>
            <w:r w:rsidRPr="00F16251">
              <w:rPr>
                <w:rFonts w:eastAsia="Times New Roman" w:cstheme="minorHAnsi"/>
                <w:lang w:eastAsia="pl-PL"/>
              </w:rPr>
              <w:t>się</w:t>
            </w:r>
            <w:r w:rsidR="003B50ED" w:rsidRPr="00F16251">
              <w:rPr>
                <w:rFonts w:eastAsia="Times New Roman" w:cstheme="minorHAnsi"/>
                <w:lang w:eastAsia="pl-PL"/>
              </w:rPr>
              <w:t xml:space="preserve"> </w:t>
            </w:r>
            <w:r w:rsidRPr="00F16251">
              <w:rPr>
                <w:rFonts w:eastAsia="Times New Roman" w:cstheme="minorHAnsi"/>
                <w:lang w:eastAsia="pl-PL"/>
              </w:rPr>
              <w:t>wychowywaniem</w:t>
            </w:r>
            <w:r w:rsidR="003B50ED" w:rsidRPr="00F16251">
              <w:rPr>
                <w:rFonts w:eastAsia="Times New Roman" w:cstheme="minorHAnsi"/>
                <w:lang w:eastAsia="pl-PL"/>
              </w:rPr>
              <w:t xml:space="preserve"> </w:t>
            </w:r>
            <w:r w:rsidRPr="00F16251">
              <w:rPr>
                <w:rFonts w:eastAsia="Times New Roman" w:cstheme="minorHAnsi"/>
                <w:lang w:eastAsia="pl-PL"/>
              </w:rPr>
              <w:t>dzieci,</w:t>
            </w:r>
            <w:r w:rsidR="003B50ED" w:rsidRPr="00F16251">
              <w:rPr>
                <w:rFonts w:eastAsia="Times New Roman" w:cstheme="minorHAnsi"/>
                <w:lang w:eastAsia="pl-PL"/>
              </w:rPr>
              <w:t xml:space="preserve"> </w:t>
            </w:r>
            <w:r w:rsidRPr="00F16251">
              <w:rPr>
                <w:rFonts w:eastAsia="Times New Roman" w:cstheme="minorHAnsi"/>
                <w:lang w:eastAsia="pl-PL"/>
              </w:rPr>
              <w:t>prowadzeniem</w:t>
            </w:r>
            <w:r w:rsidR="003B50ED" w:rsidRPr="00F16251">
              <w:rPr>
                <w:rFonts w:eastAsia="Times New Roman" w:cstheme="minorHAnsi"/>
                <w:lang w:eastAsia="pl-PL"/>
              </w:rPr>
              <w:t xml:space="preserve"> </w:t>
            </w:r>
            <w:r w:rsidRPr="00F16251">
              <w:rPr>
                <w:rFonts w:eastAsia="Times New Roman" w:cstheme="minorHAnsi"/>
                <w:lang w:eastAsia="pl-PL"/>
              </w:rPr>
              <w:t>gospodarstwa</w:t>
            </w:r>
            <w:r w:rsidR="003B50ED" w:rsidRPr="00F16251">
              <w:rPr>
                <w:rFonts w:eastAsia="Times New Roman" w:cstheme="minorHAnsi"/>
                <w:lang w:eastAsia="pl-PL"/>
              </w:rPr>
              <w:t xml:space="preserve"> </w:t>
            </w:r>
            <w:r w:rsidRPr="00F16251">
              <w:rPr>
                <w:rFonts w:eastAsia="Times New Roman" w:cstheme="minorHAnsi"/>
                <w:lang w:eastAsia="pl-PL"/>
              </w:rPr>
              <w:t>domowego</w:t>
            </w:r>
            <w:r w:rsidR="003B50ED" w:rsidRPr="00F16251">
              <w:rPr>
                <w:rFonts w:eastAsia="Times New Roman" w:cstheme="minorHAnsi"/>
                <w:lang w:eastAsia="pl-PL"/>
              </w:rPr>
              <w:t xml:space="preserve"> </w:t>
            </w:r>
            <w:r w:rsidRPr="00F16251">
              <w:rPr>
                <w:rFonts w:eastAsia="Times New Roman" w:cstheme="minorHAnsi"/>
                <w:lang w:eastAsia="pl-PL"/>
              </w:rPr>
              <w:t>i</w:t>
            </w:r>
            <w:r w:rsidR="003B50ED" w:rsidRPr="00F16251">
              <w:rPr>
                <w:rFonts w:eastAsia="Times New Roman" w:cstheme="minorHAnsi"/>
                <w:lang w:eastAsia="pl-PL"/>
              </w:rPr>
              <w:t xml:space="preserve"> </w:t>
            </w:r>
            <w:r w:rsidRPr="00F16251">
              <w:rPr>
                <w:rFonts w:eastAsia="Times New Roman" w:cstheme="minorHAnsi"/>
                <w:lang w:eastAsia="pl-PL"/>
              </w:rPr>
              <w:t>zaangażowaniem</w:t>
            </w:r>
            <w:r w:rsidR="003B50ED" w:rsidRPr="00F16251">
              <w:rPr>
                <w:rFonts w:eastAsia="Times New Roman" w:cstheme="minorHAnsi"/>
                <w:lang w:eastAsia="pl-PL"/>
              </w:rPr>
              <w:t xml:space="preserve"> </w:t>
            </w:r>
            <w:r w:rsidRPr="00F16251">
              <w:rPr>
                <w:rFonts w:eastAsia="Times New Roman" w:cstheme="minorHAnsi"/>
                <w:lang w:eastAsia="pl-PL"/>
              </w:rPr>
              <w:t>w</w:t>
            </w:r>
            <w:r w:rsidR="003B50ED" w:rsidRPr="00F16251">
              <w:rPr>
                <w:rFonts w:eastAsia="Times New Roman" w:cstheme="minorHAnsi"/>
                <w:lang w:eastAsia="pl-PL"/>
              </w:rPr>
              <w:t xml:space="preserve"> </w:t>
            </w:r>
            <w:r w:rsidRPr="00F16251">
              <w:rPr>
                <w:rFonts w:eastAsia="Times New Roman" w:cstheme="minorHAnsi"/>
                <w:lang w:eastAsia="pl-PL"/>
              </w:rPr>
              <w:t>pracę</w:t>
            </w:r>
            <w:r w:rsidR="003B50ED" w:rsidRPr="00F16251">
              <w:rPr>
                <w:rFonts w:eastAsia="Times New Roman" w:cstheme="minorHAnsi"/>
                <w:lang w:eastAsia="pl-PL"/>
              </w:rPr>
              <w:t xml:space="preserve"> </w:t>
            </w:r>
            <w:r w:rsidRPr="00F16251">
              <w:rPr>
                <w:rFonts w:eastAsia="Times New Roman" w:cstheme="minorHAnsi"/>
                <w:lang w:eastAsia="pl-PL"/>
              </w:rPr>
              <w:t>w</w:t>
            </w:r>
            <w:r w:rsidR="003B50ED" w:rsidRPr="00F16251">
              <w:rPr>
                <w:rFonts w:eastAsia="Times New Roman" w:cstheme="minorHAnsi"/>
                <w:lang w:eastAsia="pl-PL"/>
              </w:rPr>
              <w:t xml:space="preserve"> </w:t>
            </w:r>
            <w:r w:rsidRPr="00F16251">
              <w:rPr>
                <w:rFonts w:eastAsia="Times New Roman" w:cstheme="minorHAnsi"/>
                <w:lang w:eastAsia="pl-PL"/>
              </w:rPr>
              <w:t>gospodarstwie</w:t>
            </w:r>
            <w:r w:rsidR="003B50ED" w:rsidRPr="00F16251">
              <w:rPr>
                <w:rFonts w:eastAsia="Times New Roman" w:cstheme="minorHAnsi"/>
                <w:lang w:eastAsia="pl-PL"/>
              </w:rPr>
              <w:t xml:space="preserve"> </w:t>
            </w:r>
            <w:r w:rsidRPr="00F16251">
              <w:rPr>
                <w:rFonts w:eastAsia="Times New Roman" w:cstheme="minorHAnsi"/>
                <w:lang w:eastAsia="pl-PL"/>
              </w:rPr>
              <w:t>rolnym,</w:t>
            </w:r>
            <w:r w:rsidR="003B50ED" w:rsidRPr="00F16251">
              <w:rPr>
                <w:rFonts w:eastAsia="Times New Roman" w:cstheme="minorHAnsi"/>
                <w:lang w:eastAsia="pl-PL"/>
              </w:rPr>
              <w:t xml:space="preserve"> </w:t>
            </w:r>
            <w:r w:rsidRPr="00F16251">
              <w:rPr>
                <w:rFonts w:eastAsia="Times New Roman" w:cstheme="minorHAnsi"/>
                <w:lang w:eastAsia="pl-PL"/>
              </w:rPr>
              <w:t>które</w:t>
            </w:r>
            <w:r w:rsidR="003B50ED" w:rsidRPr="00F16251">
              <w:rPr>
                <w:rFonts w:eastAsia="Times New Roman" w:cstheme="minorHAnsi"/>
                <w:lang w:eastAsia="pl-PL"/>
              </w:rPr>
              <w:t xml:space="preserve"> </w:t>
            </w:r>
            <w:r w:rsidRPr="00F16251">
              <w:rPr>
                <w:rFonts w:eastAsia="Times New Roman" w:cstheme="minorHAnsi"/>
                <w:lang w:eastAsia="pl-PL"/>
              </w:rPr>
              <w:t>w</w:t>
            </w:r>
            <w:r w:rsidR="003B50ED" w:rsidRPr="00F16251">
              <w:rPr>
                <w:rFonts w:eastAsia="Times New Roman" w:cstheme="minorHAnsi"/>
                <w:lang w:eastAsia="pl-PL"/>
              </w:rPr>
              <w:t xml:space="preserve"> </w:t>
            </w:r>
            <w:r w:rsidRPr="00F16251">
              <w:rPr>
                <w:rFonts w:eastAsia="Times New Roman" w:cstheme="minorHAnsi"/>
                <w:lang w:eastAsia="pl-PL"/>
              </w:rPr>
              <w:t>dużej</w:t>
            </w:r>
            <w:r w:rsidR="003B50ED" w:rsidRPr="00F16251">
              <w:rPr>
                <w:rFonts w:eastAsia="Times New Roman" w:cstheme="minorHAnsi"/>
                <w:lang w:eastAsia="pl-PL"/>
              </w:rPr>
              <w:t xml:space="preserve"> </w:t>
            </w:r>
            <w:r w:rsidRPr="00F16251">
              <w:rPr>
                <w:rFonts w:eastAsia="Times New Roman" w:cstheme="minorHAnsi"/>
                <w:lang w:eastAsia="pl-PL"/>
              </w:rPr>
              <w:t>części</w:t>
            </w:r>
            <w:r w:rsidR="003B50ED" w:rsidRPr="00F16251">
              <w:rPr>
                <w:rFonts w:eastAsia="Times New Roman" w:cstheme="minorHAnsi"/>
                <w:lang w:eastAsia="pl-PL"/>
              </w:rPr>
              <w:t xml:space="preserve"> </w:t>
            </w:r>
            <w:r w:rsidRPr="00F16251">
              <w:rPr>
                <w:rFonts w:eastAsia="Times New Roman" w:cstheme="minorHAnsi"/>
                <w:lang w:eastAsia="pl-PL"/>
              </w:rPr>
              <w:t>przypadków</w:t>
            </w:r>
            <w:r w:rsidR="003B50ED" w:rsidRPr="00F16251">
              <w:rPr>
                <w:rFonts w:eastAsia="Times New Roman" w:cstheme="minorHAnsi"/>
                <w:lang w:eastAsia="pl-PL"/>
              </w:rPr>
              <w:t xml:space="preserve"> </w:t>
            </w:r>
            <w:r w:rsidRPr="00F16251">
              <w:rPr>
                <w:rFonts w:eastAsia="Times New Roman" w:cstheme="minorHAnsi"/>
                <w:lang w:eastAsia="pl-PL"/>
              </w:rPr>
              <w:t>nie</w:t>
            </w:r>
            <w:r w:rsidR="003B50ED" w:rsidRPr="00F16251">
              <w:rPr>
                <w:rFonts w:eastAsia="Times New Roman" w:cstheme="minorHAnsi"/>
                <w:lang w:eastAsia="pl-PL"/>
              </w:rPr>
              <w:t xml:space="preserve"> </w:t>
            </w:r>
            <w:r w:rsidRPr="00F16251">
              <w:rPr>
                <w:rFonts w:eastAsia="Times New Roman" w:cstheme="minorHAnsi"/>
                <w:lang w:eastAsia="pl-PL"/>
              </w:rPr>
              <w:t>przynosi</w:t>
            </w:r>
            <w:r w:rsidR="003B50ED" w:rsidRPr="00F16251">
              <w:rPr>
                <w:rFonts w:eastAsia="Times New Roman" w:cstheme="minorHAnsi"/>
                <w:lang w:eastAsia="pl-PL"/>
              </w:rPr>
              <w:t xml:space="preserve"> </w:t>
            </w:r>
            <w:r w:rsidRPr="00F16251">
              <w:rPr>
                <w:rFonts w:eastAsia="Times New Roman" w:cstheme="minorHAnsi"/>
                <w:lang w:eastAsia="pl-PL"/>
              </w:rPr>
              <w:t>oczekiwanych</w:t>
            </w:r>
            <w:r w:rsidR="003B50ED" w:rsidRPr="00F16251">
              <w:rPr>
                <w:rFonts w:eastAsia="Times New Roman" w:cstheme="minorHAnsi"/>
                <w:lang w:eastAsia="pl-PL"/>
              </w:rPr>
              <w:t xml:space="preserve"> </w:t>
            </w:r>
            <w:r w:rsidRPr="00F16251">
              <w:rPr>
                <w:rFonts w:eastAsia="Times New Roman" w:cstheme="minorHAnsi"/>
                <w:lang w:eastAsia="pl-PL"/>
              </w:rPr>
              <w:t>zysków.</w:t>
            </w:r>
            <w:r w:rsidR="003B50ED" w:rsidRPr="00F16251">
              <w:rPr>
                <w:rFonts w:eastAsia="Times New Roman" w:cstheme="minorHAnsi"/>
                <w:lang w:eastAsia="pl-PL"/>
              </w:rPr>
              <w:t xml:space="preserve"> </w:t>
            </w:r>
          </w:p>
          <w:p w14:paraId="7249C2A4" w14:textId="77777777" w:rsidR="00F06E84" w:rsidRPr="00F16251" w:rsidRDefault="00C20F06" w:rsidP="00E07BED">
            <w:pPr>
              <w:spacing w:line="276" w:lineRule="auto"/>
              <w:jc w:val="both"/>
              <w:rPr>
                <w:rFonts w:eastAsia="Times New Roman" w:cstheme="minorHAnsi"/>
                <w:lang w:eastAsia="pl-PL"/>
              </w:rPr>
            </w:pPr>
            <w:r w:rsidRPr="00F16251">
              <w:rPr>
                <w:rFonts w:eastAsia="Times New Roman" w:cstheme="minorHAnsi"/>
                <w:lang w:eastAsia="pl-PL"/>
              </w:rPr>
              <w:t>Ponadto,</w:t>
            </w:r>
            <w:r w:rsidR="003B50ED" w:rsidRPr="00F16251">
              <w:rPr>
                <w:rFonts w:eastAsia="Times New Roman" w:cstheme="minorHAnsi"/>
                <w:lang w:eastAsia="pl-PL"/>
              </w:rPr>
              <w:t xml:space="preserve"> </w:t>
            </w:r>
            <w:r w:rsidRPr="00F16251">
              <w:rPr>
                <w:rFonts w:eastAsia="Times New Roman" w:cstheme="minorHAnsi"/>
                <w:lang w:eastAsia="pl-PL"/>
              </w:rPr>
              <w:t>z</w:t>
            </w:r>
            <w:r w:rsidR="003B50ED" w:rsidRPr="00F16251">
              <w:rPr>
                <w:rFonts w:eastAsia="Times New Roman" w:cstheme="minorHAnsi"/>
                <w:lang w:eastAsia="pl-PL"/>
              </w:rPr>
              <w:t xml:space="preserve"> </w:t>
            </w:r>
            <w:r w:rsidRPr="00F16251">
              <w:rPr>
                <w:rFonts w:eastAsia="Times New Roman" w:cstheme="minorHAnsi"/>
                <w:lang w:eastAsia="pl-PL"/>
              </w:rPr>
              <w:t>uwagi</w:t>
            </w:r>
            <w:r w:rsidR="003B50ED" w:rsidRPr="00F16251">
              <w:rPr>
                <w:rFonts w:eastAsia="Times New Roman" w:cstheme="minorHAnsi"/>
                <w:lang w:eastAsia="pl-PL"/>
              </w:rPr>
              <w:t xml:space="preserve"> </w:t>
            </w:r>
            <w:r w:rsidRPr="00F16251">
              <w:rPr>
                <w:rFonts w:eastAsia="Times New Roman" w:cstheme="minorHAnsi"/>
                <w:lang w:eastAsia="pl-PL"/>
              </w:rPr>
              <w:t>na</w:t>
            </w:r>
            <w:r w:rsidR="003B50ED" w:rsidRPr="00F16251">
              <w:rPr>
                <w:rFonts w:eastAsia="Times New Roman" w:cstheme="minorHAnsi"/>
                <w:lang w:eastAsia="pl-PL"/>
              </w:rPr>
              <w:t xml:space="preserve"> </w:t>
            </w:r>
            <w:r w:rsidRPr="00F16251">
              <w:rPr>
                <w:rFonts w:eastAsia="Times New Roman" w:cstheme="minorHAnsi"/>
                <w:lang w:eastAsia="pl-PL"/>
              </w:rPr>
              <w:t>obowiązki</w:t>
            </w:r>
            <w:r w:rsidR="003B50ED" w:rsidRPr="00F16251">
              <w:rPr>
                <w:rFonts w:eastAsia="Times New Roman" w:cstheme="minorHAnsi"/>
                <w:lang w:eastAsia="pl-PL"/>
              </w:rPr>
              <w:t xml:space="preserve"> </w:t>
            </w:r>
            <w:r w:rsidRPr="00F16251">
              <w:rPr>
                <w:rFonts w:eastAsia="Times New Roman" w:cstheme="minorHAnsi"/>
                <w:lang w:eastAsia="pl-PL"/>
              </w:rPr>
              <w:t>bardzo</w:t>
            </w:r>
            <w:r w:rsidR="003B50ED" w:rsidRPr="00F16251">
              <w:rPr>
                <w:rFonts w:eastAsia="Times New Roman" w:cstheme="minorHAnsi"/>
                <w:lang w:eastAsia="pl-PL"/>
              </w:rPr>
              <w:t xml:space="preserve"> </w:t>
            </w:r>
            <w:r w:rsidRPr="00F16251">
              <w:rPr>
                <w:rFonts w:eastAsia="Times New Roman" w:cstheme="minorHAnsi"/>
                <w:lang w:eastAsia="pl-PL"/>
              </w:rPr>
              <w:t>często</w:t>
            </w:r>
            <w:r w:rsidR="003B50ED" w:rsidRPr="00F16251">
              <w:rPr>
                <w:rFonts w:eastAsia="Times New Roman" w:cstheme="minorHAnsi"/>
                <w:lang w:eastAsia="pl-PL"/>
              </w:rPr>
              <w:t xml:space="preserve"> </w:t>
            </w:r>
            <w:r w:rsidRPr="00F16251">
              <w:rPr>
                <w:rFonts w:eastAsia="Times New Roman" w:cstheme="minorHAnsi"/>
                <w:lang w:eastAsia="pl-PL"/>
              </w:rPr>
              <w:t>nie</w:t>
            </w:r>
            <w:r w:rsidR="003B50ED" w:rsidRPr="00F16251">
              <w:rPr>
                <w:rFonts w:eastAsia="Times New Roman" w:cstheme="minorHAnsi"/>
                <w:lang w:eastAsia="pl-PL"/>
              </w:rPr>
              <w:t xml:space="preserve"> </w:t>
            </w:r>
            <w:r w:rsidRPr="00F16251">
              <w:rPr>
                <w:rFonts w:eastAsia="Times New Roman" w:cstheme="minorHAnsi"/>
                <w:lang w:eastAsia="pl-PL"/>
              </w:rPr>
              <w:t>mogą</w:t>
            </w:r>
            <w:r w:rsidR="003B50ED" w:rsidRPr="00F16251">
              <w:rPr>
                <w:rFonts w:eastAsia="Times New Roman" w:cstheme="minorHAnsi"/>
                <w:lang w:eastAsia="pl-PL"/>
              </w:rPr>
              <w:t xml:space="preserve"> </w:t>
            </w:r>
            <w:r w:rsidRPr="00F16251">
              <w:rPr>
                <w:rFonts w:eastAsia="Times New Roman" w:cstheme="minorHAnsi"/>
                <w:lang w:eastAsia="pl-PL"/>
              </w:rPr>
              <w:t>podjąć</w:t>
            </w:r>
            <w:r w:rsidR="003B50ED" w:rsidRPr="00F16251">
              <w:rPr>
                <w:rFonts w:eastAsia="Times New Roman" w:cstheme="minorHAnsi"/>
                <w:lang w:eastAsia="pl-PL"/>
              </w:rPr>
              <w:t xml:space="preserve"> </w:t>
            </w:r>
            <w:r w:rsidRPr="00F16251">
              <w:rPr>
                <w:rFonts w:eastAsia="Times New Roman" w:cstheme="minorHAnsi"/>
                <w:lang w:eastAsia="pl-PL"/>
              </w:rPr>
              <w:t>pracy</w:t>
            </w:r>
            <w:r w:rsidR="003B50ED" w:rsidRPr="00F16251">
              <w:rPr>
                <w:rFonts w:eastAsia="Times New Roman" w:cstheme="minorHAnsi"/>
                <w:lang w:eastAsia="pl-PL"/>
              </w:rPr>
              <w:t xml:space="preserve"> </w:t>
            </w:r>
            <w:r w:rsidRPr="00F16251">
              <w:rPr>
                <w:rFonts w:eastAsia="Times New Roman" w:cstheme="minorHAnsi"/>
                <w:lang w:eastAsia="pl-PL"/>
              </w:rPr>
              <w:t>zawodowej.</w:t>
            </w:r>
            <w:r w:rsidR="003B50ED" w:rsidRPr="00F16251">
              <w:rPr>
                <w:rFonts w:eastAsia="Times New Roman" w:cstheme="minorHAnsi"/>
                <w:lang w:eastAsia="pl-PL"/>
              </w:rPr>
              <w:t xml:space="preserve"> </w:t>
            </w:r>
          </w:p>
          <w:p w14:paraId="1AC76D13" w14:textId="269D0EB3" w:rsidR="00C20F06" w:rsidRPr="00F16251" w:rsidRDefault="00C20F06" w:rsidP="00E07BED">
            <w:pPr>
              <w:spacing w:line="276" w:lineRule="auto"/>
              <w:jc w:val="both"/>
              <w:rPr>
                <w:rFonts w:eastAsia="Times New Roman" w:cstheme="minorHAnsi"/>
                <w:lang w:eastAsia="pl-PL"/>
              </w:rPr>
            </w:pPr>
            <w:r w:rsidRPr="00F16251">
              <w:rPr>
                <w:rFonts w:eastAsia="Times New Roman" w:cstheme="minorHAnsi"/>
                <w:lang w:eastAsia="pl-PL"/>
              </w:rPr>
              <w:t>Ze</w:t>
            </w:r>
            <w:r w:rsidR="003B50ED" w:rsidRPr="00F16251">
              <w:rPr>
                <w:rFonts w:eastAsia="Times New Roman" w:cstheme="minorHAnsi"/>
                <w:lang w:eastAsia="pl-PL"/>
              </w:rPr>
              <w:t xml:space="preserve"> </w:t>
            </w:r>
            <w:r w:rsidRPr="00F16251">
              <w:rPr>
                <w:rFonts w:eastAsia="Times New Roman" w:cstheme="minorHAnsi"/>
                <w:lang w:eastAsia="pl-PL"/>
              </w:rPr>
              <w:t>względu</w:t>
            </w:r>
            <w:r w:rsidR="003B50ED" w:rsidRPr="00F16251">
              <w:rPr>
                <w:rFonts w:eastAsia="Times New Roman" w:cstheme="minorHAnsi"/>
                <w:lang w:eastAsia="pl-PL"/>
              </w:rPr>
              <w:t xml:space="preserve"> </w:t>
            </w:r>
            <w:r w:rsidRPr="00F16251">
              <w:rPr>
                <w:rFonts w:eastAsia="Times New Roman" w:cstheme="minorHAnsi"/>
                <w:lang w:eastAsia="pl-PL"/>
              </w:rPr>
              <w:t>na</w:t>
            </w:r>
            <w:r w:rsidR="003B50ED" w:rsidRPr="00F16251">
              <w:rPr>
                <w:rFonts w:eastAsia="Times New Roman" w:cstheme="minorHAnsi"/>
                <w:lang w:eastAsia="pl-PL"/>
              </w:rPr>
              <w:t xml:space="preserve"> </w:t>
            </w:r>
            <w:r w:rsidRPr="00F16251">
              <w:rPr>
                <w:rFonts w:eastAsia="Times New Roman" w:cstheme="minorHAnsi"/>
                <w:lang w:eastAsia="pl-PL"/>
              </w:rPr>
              <w:t>to</w:t>
            </w:r>
            <w:r w:rsidR="003B50ED" w:rsidRPr="00F16251">
              <w:rPr>
                <w:rFonts w:eastAsia="Times New Roman" w:cstheme="minorHAnsi"/>
                <w:lang w:eastAsia="pl-PL"/>
              </w:rPr>
              <w:t xml:space="preserve"> </w:t>
            </w:r>
            <w:r w:rsidRPr="00F16251">
              <w:rPr>
                <w:rFonts w:eastAsia="Times New Roman" w:cstheme="minorHAnsi"/>
                <w:lang w:eastAsia="pl-PL"/>
              </w:rPr>
              <w:t>wielkie</w:t>
            </w:r>
            <w:r w:rsidR="003B50ED" w:rsidRPr="00F16251">
              <w:rPr>
                <w:rFonts w:eastAsia="Times New Roman" w:cstheme="minorHAnsi"/>
                <w:lang w:eastAsia="pl-PL"/>
              </w:rPr>
              <w:t xml:space="preserve"> </w:t>
            </w:r>
            <w:r w:rsidRPr="00F16251">
              <w:rPr>
                <w:rFonts w:eastAsia="Times New Roman" w:cstheme="minorHAnsi"/>
                <w:lang w:eastAsia="pl-PL"/>
              </w:rPr>
              <w:t>obciążenie,</w:t>
            </w:r>
            <w:r w:rsidR="003B50ED" w:rsidRPr="00F16251">
              <w:rPr>
                <w:rFonts w:eastAsia="Times New Roman" w:cstheme="minorHAnsi"/>
                <w:lang w:eastAsia="pl-PL"/>
              </w:rPr>
              <w:t xml:space="preserve"> </w:t>
            </w:r>
            <w:r w:rsidRPr="00F16251">
              <w:rPr>
                <w:rFonts w:eastAsia="Times New Roman" w:cstheme="minorHAnsi"/>
                <w:lang w:eastAsia="pl-PL"/>
              </w:rPr>
              <w:t>wymagają</w:t>
            </w:r>
            <w:r w:rsidR="003B50ED" w:rsidRPr="00F16251">
              <w:rPr>
                <w:rFonts w:eastAsia="Times New Roman" w:cstheme="minorHAnsi"/>
                <w:lang w:eastAsia="pl-PL"/>
              </w:rPr>
              <w:t xml:space="preserve"> </w:t>
            </w:r>
            <w:r w:rsidRPr="00F16251">
              <w:rPr>
                <w:rFonts w:eastAsia="Times New Roman" w:cstheme="minorHAnsi"/>
                <w:lang w:eastAsia="pl-PL"/>
              </w:rPr>
              <w:t>szczególnego</w:t>
            </w:r>
            <w:r w:rsidR="003B50ED" w:rsidRPr="00F16251">
              <w:rPr>
                <w:rFonts w:eastAsia="Times New Roman" w:cstheme="minorHAnsi"/>
                <w:lang w:eastAsia="pl-PL"/>
              </w:rPr>
              <w:t xml:space="preserve"> </w:t>
            </w:r>
            <w:r w:rsidRPr="00F16251">
              <w:rPr>
                <w:rFonts w:eastAsia="Times New Roman" w:cstheme="minorHAnsi"/>
                <w:lang w:eastAsia="pl-PL"/>
              </w:rPr>
              <w:t>wsparcia.</w:t>
            </w:r>
          </w:p>
          <w:p w14:paraId="6FB0381C" w14:textId="58668BCB" w:rsidR="00C20F06" w:rsidRPr="00F16251" w:rsidRDefault="00C20F06" w:rsidP="00E07BED">
            <w:pPr>
              <w:spacing w:line="276" w:lineRule="auto"/>
              <w:jc w:val="both"/>
              <w:rPr>
                <w:rFonts w:eastAsia="Times New Roman" w:cstheme="minorHAnsi"/>
                <w:lang w:eastAsia="pl-PL"/>
              </w:rPr>
            </w:pPr>
            <w:r w:rsidRPr="00F16251">
              <w:rPr>
                <w:rFonts w:eastAsia="Times New Roman" w:cstheme="minorHAnsi"/>
                <w:lang w:eastAsia="pl-PL"/>
              </w:rPr>
              <w:t>Rolnictwo</w:t>
            </w:r>
            <w:r w:rsidR="003B50ED" w:rsidRPr="00F16251">
              <w:rPr>
                <w:rFonts w:eastAsia="Times New Roman" w:cstheme="minorHAnsi"/>
                <w:lang w:eastAsia="pl-PL"/>
              </w:rPr>
              <w:t xml:space="preserve"> </w:t>
            </w:r>
            <w:r w:rsidRPr="00F16251">
              <w:rPr>
                <w:rFonts w:eastAsia="Times New Roman" w:cstheme="minorHAnsi"/>
                <w:lang w:eastAsia="pl-PL"/>
              </w:rPr>
              <w:t>na</w:t>
            </w:r>
            <w:r w:rsidR="003B50ED" w:rsidRPr="00F16251">
              <w:rPr>
                <w:rFonts w:eastAsia="Times New Roman" w:cstheme="minorHAnsi"/>
                <w:lang w:eastAsia="pl-PL"/>
              </w:rPr>
              <w:t xml:space="preserve"> </w:t>
            </w:r>
            <w:r w:rsidRPr="00F16251">
              <w:rPr>
                <w:rFonts w:eastAsia="Times New Roman" w:cstheme="minorHAnsi"/>
                <w:lang w:eastAsia="pl-PL"/>
              </w:rPr>
              <w:t>obszarze</w:t>
            </w:r>
            <w:r w:rsidR="003B50ED" w:rsidRPr="00F16251">
              <w:rPr>
                <w:rFonts w:eastAsia="Times New Roman" w:cstheme="minorHAnsi"/>
                <w:lang w:eastAsia="pl-PL"/>
              </w:rPr>
              <w:t xml:space="preserve"> </w:t>
            </w:r>
            <w:r w:rsidRPr="00F16251">
              <w:rPr>
                <w:rFonts w:eastAsia="Times New Roman" w:cstheme="minorHAnsi"/>
                <w:lang w:eastAsia="pl-PL"/>
              </w:rPr>
              <w:t>LGD</w:t>
            </w:r>
            <w:r w:rsidR="003B50ED" w:rsidRPr="00F16251">
              <w:rPr>
                <w:rFonts w:eastAsia="Times New Roman" w:cstheme="minorHAnsi"/>
                <w:lang w:eastAsia="pl-PL"/>
              </w:rPr>
              <w:t xml:space="preserve"> </w:t>
            </w:r>
            <w:r w:rsidRPr="00F16251">
              <w:rPr>
                <w:rFonts w:eastAsia="Times New Roman" w:cstheme="minorHAnsi"/>
                <w:lang w:eastAsia="pl-PL"/>
              </w:rPr>
              <w:t>ma</w:t>
            </w:r>
            <w:r w:rsidR="003B50ED" w:rsidRPr="00F16251">
              <w:rPr>
                <w:rFonts w:eastAsia="Times New Roman" w:cstheme="minorHAnsi"/>
                <w:lang w:eastAsia="pl-PL"/>
              </w:rPr>
              <w:t xml:space="preserve"> </w:t>
            </w:r>
            <w:r w:rsidRPr="00F16251">
              <w:rPr>
                <w:rFonts w:eastAsia="Times New Roman" w:cstheme="minorHAnsi"/>
                <w:lang w:eastAsia="pl-PL"/>
              </w:rPr>
              <w:t>często</w:t>
            </w:r>
            <w:r w:rsidR="003B50ED" w:rsidRPr="00F16251">
              <w:rPr>
                <w:rFonts w:eastAsia="Times New Roman" w:cstheme="minorHAnsi"/>
                <w:lang w:eastAsia="pl-PL"/>
              </w:rPr>
              <w:t xml:space="preserve"> </w:t>
            </w:r>
            <w:r w:rsidRPr="00F16251">
              <w:rPr>
                <w:rFonts w:eastAsia="Times New Roman" w:cstheme="minorHAnsi"/>
                <w:lang w:eastAsia="pl-PL"/>
              </w:rPr>
              <w:t>postać</w:t>
            </w:r>
            <w:r w:rsidR="003B50ED" w:rsidRPr="00F16251">
              <w:rPr>
                <w:rFonts w:eastAsia="Times New Roman" w:cstheme="minorHAnsi"/>
                <w:lang w:eastAsia="pl-PL"/>
              </w:rPr>
              <w:t xml:space="preserve"> </w:t>
            </w:r>
            <w:r w:rsidRPr="00F16251">
              <w:rPr>
                <w:rFonts w:eastAsia="Times New Roman" w:cstheme="minorHAnsi"/>
                <w:lang w:eastAsia="pl-PL"/>
              </w:rPr>
              <w:t>niewielkich,</w:t>
            </w:r>
            <w:r w:rsidR="003B50ED" w:rsidRPr="00F16251">
              <w:rPr>
                <w:rFonts w:eastAsia="Times New Roman" w:cstheme="minorHAnsi"/>
                <w:lang w:eastAsia="pl-PL"/>
              </w:rPr>
              <w:t xml:space="preserve"> </w:t>
            </w:r>
            <w:r w:rsidRPr="00F16251">
              <w:rPr>
                <w:rFonts w:eastAsia="Times New Roman" w:cstheme="minorHAnsi"/>
                <w:lang w:eastAsia="pl-PL"/>
              </w:rPr>
              <w:t>rodzinnych</w:t>
            </w:r>
            <w:r w:rsidR="003B50ED" w:rsidRPr="00F16251">
              <w:rPr>
                <w:rFonts w:eastAsia="Times New Roman" w:cstheme="minorHAnsi"/>
                <w:lang w:eastAsia="pl-PL"/>
              </w:rPr>
              <w:t xml:space="preserve"> </w:t>
            </w:r>
            <w:r w:rsidRPr="00F16251">
              <w:rPr>
                <w:rFonts w:eastAsia="Times New Roman" w:cstheme="minorHAnsi"/>
                <w:lang w:eastAsia="pl-PL"/>
              </w:rPr>
              <w:t>gospodarstw,</w:t>
            </w:r>
            <w:r w:rsidR="003B50ED" w:rsidRPr="00F16251">
              <w:rPr>
                <w:rFonts w:eastAsia="Times New Roman" w:cstheme="minorHAnsi"/>
                <w:lang w:eastAsia="pl-PL"/>
              </w:rPr>
              <w:t xml:space="preserve"> </w:t>
            </w:r>
            <w:r w:rsidRPr="00F16251">
              <w:rPr>
                <w:rFonts w:eastAsia="Times New Roman" w:cstheme="minorHAnsi"/>
                <w:lang w:eastAsia="pl-PL"/>
              </w:rPr>
              <w:t>które</w:t>
            </w:r>
            <w:r w:rsidR="003B50ED" w:rsidRPr="00F16251">
              <w:rPr>
                <w:rFonts w:eastAsia="Times New Roman" w:cstheme="minorHAnsi"/>
                <w:lang w:eastAsia="pl-PL"/>
              </w:rPr>
              <w:t xml:space="preserve"> </w:t>
            </w:r>
            <w:r w:rsidRPr="00F16251">
              <w:rPr>
                <w:rFonts w:eastAsia="Times New Roman" w:cstheme="minorHAnsi"/>
                <w:lang w:eastAsia="pl-PL"/>
              </w:rPr>
              <w:br/>
            </w:r>
            <w:r w:rsidR="00086355" w:rsidRPr="00F16251">
              <w:rPr>
                <w:rFonts w:eastAsia="Times New Roman" w:cstheme="minorHAnsi"/>
                <w:lang w:eastAsia="pl-PL"/>
              </w:rPr>
              <w:t xml:space="preserve">często dziedziczone są </w:t>
            </w:r>
            <w:r w:rsidRPr="00F16251">
              <w:rPr>
                <w:rFonts w:eastAsia="Times New Roman" w:cstheme="minorHAnsi"/>
                <w:lang w:eastAsia="pl-PL"/>
              </w:rPr>
              <w:t>z</w:t>
            </w:r>
            <w:r w:rsidR="003B50ED" w:rsidRPr="00F16251">
              <w:rPr>
                <w:rFonts w:eastAsia="Times New Roman" w:cstheme="minorHAnsi"/>
                <w:lang w:eastAsia="pl-PL"/>
              </w:rPr>
              <w:t xml:space="preserve"> </w:t>
            </w:r>
            <w:r w:rsidRPr="00F16251">
              <w:rPr>
                <w:rFonts w:eastAsia="Times New Roman" w:cstheme="minorHAnsi"/>
                <w:lang w:eastAsia="pl-PL"/>
              </w:rPr>
              <w:t>pokolenia</w:t>
            </w:r>
            <w:r w:rsidR="003B50ED" w:rsidRPr="00F16251">
              <w:rPr>
                <w:rFonts w:eastAsia="Times New Roman" w:cstheme="minorHAnsi"/>
                <w:lang w:eastAsia="pl-PL"/>
              </w:rPr>
              <w:t xml:space="preserve"> </w:t>
            </w:r>
            <w:r w:rsidRPr="00F16251">
              <w:rPr>
                <w:rFonts w:eastAsia="Times New Roman" w:cstheme="minorHAnsi"/>
                <w:lang w:eastAsia="pl-PL"/>
              </w:rPr>
              <w:t>na</w:t>
            </w:r>
            <w:r w:rsidR="003B50ED" w:rsidRPr="00F16251">
              <w:rPr>
                <w:rFonts w:eastAsia="Times New Roman" w:cstheme="minorHAnsi"/>
                <w:lang w:eastAsia="pl-PL"/>
              </w:rPr>
              <w:t xml:space="preserve"> </w:t>
            </w:r>
            <w:r w:rsidRPr="00F16251">
              <w:rPr>
                <w:rFonts w:eastAsia="Times New Roman" w:cstheme="minorHAnsi"/>
                <w:lang w:eastAsia="pl-PL"/>
              </w:rPr>
              <w:t>pokolenie.</w:t>
            </w:r>
            <w:r w:rsidR="003B50ED" w:rsidRPr="00F16251">
              <w:rPr>
                <w:rFonts w:eastAsia="Times New Roman" w:cstheme="minorHAnsi"/>
                <w:lang w:eastAsia="pl-PL"/>
              </w:rPr>
              <w:t xml:space="preserve"> </w:t>
            </w:r>
            <w:r w:rsidRPr="00F16251">
              <w:rPr>
                <w:rFonts w:eastAsia="Times New Roman" w:cstheme="minorHAnsi"/>
                <w:lang w:eastAsia="pl-PL"/>
              </w:rPr>
              <w:t>Niestety,</w:t>
            </w:r>
            <w:r w:rsidR="003B50ED" w:rsidRPr="00F16251">
              <w:rPr>
                <w:rFonts w:eastAsia="Times New Roman" w:cstheme="minorHAnsi"/>
                <w:lang w:eastAsia="pl-PL"/>
              </w:rPr>
              <w:t xml:space="preserve"> </w:t>
            </w:r>
            <w:r w:rsidRPr="00F16251">
              <w:rPr>
                <w:rFonts w:eastAsia="Times New Roman" w:cstheme="minorHAnsi"/>
                <w:lang w:eastAsia="pl-PL"/>
              </w:rPr>
              <w:t>malejąca</w:t>
            </w:r>
            <w:r w:rsidR="003B50ED" w:rsidRPr="00F16251">
              <w:rPr>
                <w:rFonts w:eastAsia="Times New Roman" w:cstheme="minorHAnsi"/>
                <w:lang w:eastAsia="pl-PL"/>
              </w:rPr>
              <w:t xml:space="preserve"> </w:t>
            </w:r>
            <w:r w:rsidRPr="00F16251">
              <w:rPr>
                <w:rFonts w:eastAsia="Times New Roman" w:cstheme="minorHAnsi"/>
                <w:lang w:eastAsia="pl-PL"/>
              </w:rPr>
              <w:t>opłacalność</w:t>
            </w:r>
            <w:r w:rsidR="003B50ED" w:rsidRPr="00F16251">
              <w:rPr>
                <w:rFonts w:eastAsia="Times New Roman" w:cstheme="minorHAnsi"/>
                <w:lang w:eastAsia="pl-PL"/>
              </w:rPr>
              <w:t xml:space="preserve"> </w:t>
            </w:r>
            <w:r w:rsidRPr="00F16251">
              <w:rPr>
                <w:rFonts w:eastAsia="Times New Roman" w:cstheme="minorHAnsi"/>
                <w:lang w:eastAsia="pl-PL"/>
              </w:rPr>
              <w:t>produkcji</w:t>
            </w:r>
            <w:r w:rsidR="003B50ED" w:rsidRPr="00F16251">
              <w:rPr>
                <w:rFonts w:eastAsia="Times New Roman" w:cstheme="minorHAnsi"/>
                <w:lang w:eastAsia="pl-PL"/>
              </w:rPr>
              <w:t xml:space="preserve"> </w:t>
            </w:r>
            <w:r w:rsidRPr="00F16251">
              <w:rPr>
                <w:rFonts w:eastAsia="Times New Roman" w:cstheme="minorHAnsi"/>
                <w:lang w:eastAsia="pl-PL"/>
              </w:rPr>
              <w:t>rolnej</w:t>
            </w:r>
            <w:r w:rsidR="003B50ED" w:rsidRPr="00F16251">
              <w:rPr>
                <w:rFonts w:eastAsia="Times New Roman" w:cstheme="minorHAnsi"/>
                <w:lang w:eastAsia="pl-PL"/>
              </w:rPr>
              <w:t xml:space="preserve"> </w:t>
            </w:r>
            <w:r w:rsidRPr="00F16251">
              <w:rPr>
                <w:rFonts w:eastAsia="Times New Roman" w:cstheme="minorHAnsi"/>
                <w:lang w:eastAsia="pl-PL"/>
              </w:rPr>
              <w:t>stwarza</w:t>
            </w:r>
            <w:r w:rsidR="003B50ED" w:rsidRPr="00F16251">
              <w:rPr>
                <w:rFonts w:eastAsia="Times New Roman" w:cstheme="minorHAnsi"/>
                <w:lang w:eastAsia="pl-PL"/>
              </w:rPr>
              <w:t xml:space="preserve"> </w:t>
            </w:r>
            <w:r w:rsidRPr="00F16251">
              <w:rPr>
                <w:rFonts w:eastAsia="Times New Roman" w:cstheme="minorHAnsi"/>
                <w:lang w:eastAsia="pl-PL"/>
              </w:rPr>
              <w:t>liczne</w:t>
            </w:r>
            <w:r w:rsidR="003B50ED" w:rsidRPr="00F16251">
              <w:rPr>
                <w:rFonts w:eastAsia="Times New Roman" w:cstheme="minorHAnsi"/>
                <w:lang w:eastAsia="pl-PL"/>
              </w:rPr>
              <w:t xml:space="preserve"> </w:t>
            </w:r>
            <w:r w:rsidRPr="00F16251">
              <w:rPr>
                <w:rFonts w:eastAsia="Times New Roman" w:cstheme="minorHAnsi"/>
                <w:lang w:eastAsia="pl-PL"/>
              </w:rPr>
              <w:t>wyzwania</w:t>
            </w:r>
            <w:r w:rsidR="003B50ED" w:rsidRPr="00F16251">
              <w:rPr>
                <w:rFonts w:eastAsia="Times New Roman" w:cstheme="minorHAnsi"/>
                <w:lang w:eastAsia="pl-PL"/>
              </w:rPr>
              <w:t xml:space="preserve"> </w:t>
            </w:r>
            <w:r w:rsidRPr="00F16251">
              <w:rPr>
                <w:rFonts w:eastAsia="Times New Roman" w:cstheme="minorHAnsi"/>
                <w:lang w:eastAsia="pl-PL"/>
              </w:rPr>
              <w:t>finansowe</w:t>
            </w:r>
            <w:r w:rsidR="003B50ED" w:rsidRPr="00F16251">
              <w:rPr>
                <w:rFonts w:eastAsia="Times New Roman" w:cstheme="minorHAnsi"/>
                <w:lang w:eastAsia="pl-PL"/>
              </w:rPr>
              <w:t xml:space="preserve"> </w:t>
            </w:r>
            <w:r w:rsidRPr="00F16251">
              <w:rPr>
                <w:rFonts w:eastAsia="Times New Roman" w:cstheme="minorHAnsi"/>
                <w:lang w:eastAsia="pl-PL"/>
              </w:rPr>
              <w:t>dla</w:t>
            </w:r>
            <w:r w:rsidR="003B50ED" w:rsidRPr="00F16251">
              <w:rPr>
                <w:rFonts w:eastAsia="Times New Roman" w:cstheme="minorHAnsi"/>
                <w:lang w:eastAsia="pl-PL"/>
              </w:rPr>
              <w:t xml:space="preserve"> </w:t>
            </w:r>
            <w:r w:rsidRPr="00F16251">
              <w:rPr>
                <w:rFonts w:eastAsia="Times New Roman" w:cstheme="minorHAnsi"/>
                <w:b/>
                <w:bCs/>
                <w:lang w:eastAsia="pl-PL"/>
              </w:rPr>
              <w:t>rolników</w:t>
            </w:r>
            <w:r w:rsidR="003B50ED" w:rsidRPr="00F16251">
              <w:rPr>
                <w:rFonts w:eastAsia="Times New Roman" w:cstheme="minorHAnsi"/>
                <w:b/>
                <w:bCs/>
                <w:lang w:eastAsia="pl-PL"/>
              </w:rPr>
              <w:t xml:space="preserve"> </w:t>
            </w:r>
            <w:r w:rsidRPr="00F16251">
              <w:rPr>
                <w:rFonts w:eastAsia="Times New Roman" w:cstheme="minorHAnsi"/>
                <w:b/>
                <w:bCs/>
                <w:lang w:eastAsia="pl-PL"/>
              </w:rPr>
              <w:t>z</w:t>
            </w:r>
            <w:r w:rsidR="003B50ED" w:rsidRPr="00F16251">
              <w:rPr>
                <w:rFonts w:eastAsia="Times New Roman" w:cstheme="minorHAnsi"/>
                <w:b/>
                <w:bCs/>
                <w:lang w:eastAsia="pl-PL"/>
              </w:rPr>
              <w:t xml:space="preserve"> </w:t>
            </w:r>
            <w:r w:rsidRPr="00F16251">
              <w:rPr>
                <w:rFonts w:eastAsia="Times New Roman" w:cstheme="minorHAnsi"/>
                <w:b/>
                <w:bCs/>
                <w:lang w:eastAsia="pl-PL"/>
              </w:rPr>
              <w:t>małych</w:t>
            </w:r>
            <w:r w:rsidR="003B50ED" w:rsidRPr="00F16251">
              <w:rPr>
                <w:rFonts w:eastAsia="Times New Roman" w:cstheme="minorHAnsi"/>
                <w:b/>
                <w:bCs/>
                <w:lang w:eastAsia="pl-PL"/>
              </w:rPr>
              <w:t xml:space="preserve"> </w:t>
            </w:r>
            <w:r w:rsidRPr="00F16251">
              <w:rPr>
                <w:rFonts w:eastAsia="Times New Roman" w:cstheme="minorHAnsi"/>
                <w:b/>
                <w:bCs/>
                <w:lang w:eastAsia="pl-PL"/>
              </w:rPr>
              <w:t>gospodarstw</w:t>
            </w:r>
            <w:r w:rsidR="003B50ED" w:rsidRPr="00F16251">
              <w:rPr>
                <w:rFonts w:eastAsia="Times New Roman" w:cstheme="minorHAnsi"/>
                <w:b/>
                <w:bCs/>
                <w:lang w:eastAsia="pl-PL"/>
              </w:rPr>
              <w:t xml:space="preserve"> </w:t>
            </w:r>
            <w:r w:rsidRPr="00F16251">
              <w:rPr>
                <w:rFonts w:eastAsia="Times New Roman" w:cstheme="minorHAnsi"/>
                <w:b/>
                <w:bCs/>
                <w:lang w:eastAsia="pl-PL"/>
              </w:rPr>
              <w:t>rolnych</w:t>
            </w:r>
            <w:r w:rsidRPr="00F16251">
              <w:rPr>
                <w:rFonts w:eastAsia="Times New Roman" w:cstheme="minorHAnsi"/>
                <w:lang w:eastAsia="pl-PL"/>
              </w:rPr>
              <w:t>.</w:t>
            </w:r>
            <w:r w:rsidR="003B50ED" w:rsidRPr="00F16251">
              <w:rPr>
                <w:rFonts w:eastAsia="Times New Roman" w:cstheme="minorHAnsi"/>
                <w:lang w:eastAsia="pl-PL"/>
              </w:rPr>
              <w:t xml:space="preserve"> </w:t>
            </w:r>
            <w:r w:rsidRPr="00F16251">
              <w:rPr>
                <w:rFonts w:eastAsia="Times New Roman" w:cstheme="minorHAnsi"/>
                <w:lang w:eastAsia="pl-PL"/>
              </w:rPr>
              <w:t>Ponadto,</w:t>
            </w:r>
            <w:r w:rsidR="003B50ED" w:rsidRPr="00F16251">
              <w:rPr>
                <w:rFonts w:eastAsia="Times New Roman" w:cstheme="minorHAnsi"/>
                <w:lang w:eastAsia="pl-PL"/>
              </w:rPr>
              <w:t xml:space="preserve"> </w:t>
            </w:r>
            <w:r w:rsidRPr="00F16251">
              <w:rPr>
                <w:rFonts w:eastAsia="Times New Roman" w:cstheme="minorHAnsi"/>
                <w:lang w:eastAsia="pl-PL"/>
              </w:rPr>
              <w:t>brak</w:t>
            </w:r>
            <w:r w:rsidR="003B50ED" w:rsidRPr="00F16251">
              <w:rPr>
                <w:rFonts w:eastAsia="Times New Roman" w:cstheme="minorHAnsi"/>
                <w:lang w:eastAsia="pl-PL"/>
              </w:rPr>
              <w:t xml:space="preserve"> </w:t>
            </w:r>
            <w:r w:rsidRPr="00F16251">
              <w:rPr>
                <w:rFonts w:eastAsia="Times New Roman" w:cstheme="minorHAnsi"/>
                <w:lang w:eastAsia="pl-PL"/>
              </w:rPr>
              <w:t>dostępu</w:t>
            </w:r>
            <w:r w:rsidR="003B50ED" w:rsidRPr="00F16251">
              <w:rPr>
                <w:rFonts w:eastAsia="Times New Roman" w:cstheme="minorHAnsi"/>
                <w:lang w:eastAsia="pl-PL"/>
              </w:rPr>
              <w:t xml:space="preserve"> </w:t>
            </w:r>
            <w:r w:rsidRPr="00F16251">
              <w:rPr>
                <w:rFonts w:eastAsia="Times New Roman" w:cstheme="minorHAnsi"/>
                <w:lang w:eastAsia="pl-PL"/>
              </w:rPr>
              <w:t>do</w:t>
            </w:r>
            <w:r w:rsidR="003B50ED" w:rsidRPr="00F16251">
              <w:rPr>
                <w:rFonts w:eastAsia="Times New Roman" w:cstheme="minorHAnsi"/>
                <w:lang w:eastAsia="pl-PL"/>
              </w:rPr>
              <w:t xml:space="preserve"> </w:t>
            </w:r>
            <w:r w:rsidRPr="00F16251">
              <w:rPr>
                <w:rFonts w:eastAsia="Times New Roman" w:cstheme="minorHAnsi"/>
                <w:lang w:eastAsia="pl-PL"/>
              </w:rPr>
              <w:t>fachowej</w:t>
            </w:r>
            <w:r w:rsidR="003B50ED" w:rsidRPr="00F16251">
              <w:rPr>
                <w:rFonts w:eastAsia="Times New Roman" w:cstheme="minorHAnsi"/>
                <w:lang w:eastAsia="pl-PL"/>
              </w:rPr>
              <w:t xml:space="preserve"> </w:t>
            </w:r>
            <w:r w:rsidRPr="00F16251">
              <w:rPr>
                <w:rFonts w:eastAsia="Times New Roman" w:cstheme="minorHAnsi"/>
                <w:lang w:eastAsia="pl-PL"/>
              </w:rPr>
              <w:t>wiedzy</w:t>
            </w:r>
            <w:r w:rsidR="003B50ED" w:rsidRPr="00F16251">
              <w:rPr>
                <w:rFonts w:eastAsia="Times New Roman" w:cstheme="minorHAnsi"/>
                <w:lang w:eastAsia="pl-PL"/>
              </w:rPr>
              <w:t xml:space="preserve"> </w:t>
            </w:r>
            <w:r w:rsidRPr="00F16251">
              <w:rPr>
                <w:rFonts w:eastAsia="Times New Roman" w:cstheme="minorHAnsi"/>
                <w:lang w:eastAsia="pl-PL"/>
              </w:rPr>
              <w:t>i</w:t>
            </w:r>
            <w:r w:rsidR="003B50ED" w:rsidRPr="00F16251">
              <w:rPr>
                <w:rFonts w:eastAsia="Times New Roman" w:cstheme="minorHAnsi"/>
                <w:lang w:eastAsia="pl-PL"/>
              </w:rPr>
              <w:t xml:space="preserve"> </w:t>
            </w:r>
            <w:r w:rsidRPr="00F16251">
              <w:rPr>
                <w:rFonts w:eastAsia="Times New Roman" w:cstheme="minorHAnsi"/>
                <w:lang w:eastAsia="pl-PL"/>
              </w:rPr>
              <w:t>doradztwa</w:t>
            </w:r>
            <w:r w:rsidR="003B50ED" w:rsidRPr="00F16251">
              <w:rPr>
                <w:rFonts w:eastAsia="Times New Roman" w:cstheme="minorHAnsi"/>
                <w:lang w:eastAsia="pl-PL"/>
              </w:rPr>
              <w:t xml:space="preserve"> </w:t>
            </w:r>
            <w:r w:rsidRPr="00F16251">
              <w:rPr>
                <w:rFonts w:eastAsia="Times New Roman" w:cstheme="minorHAnsi"/>
                <w:lang w:eastAsia="pl-PL"/>
              </w:rPr>
              <w:t>utrudnia</w:t>
            </w:r>
            <w:r w:rsidR="003B50ED" w:rsidRPr="00F16251">
              <w:rPr>
                <w:rFonts w:eastAsia="Times New Roman" w:cstheme="minorHAnsi"/>
                <w:lang w:eastAsia="pl-PL"/>
              </w:rPr>
              <w:t xml:space="preserve"> </w:t>
            </w:r>
            <w:r w:rsidRPr="00F16251">
              <w:rPr>
                <w:rFonts w:eastAsia="Times New Roman" w:cstheme="minorHAnsi"/>
                <w:lang w:eastAsia="pl-PL"/>
              </w:rPr>
              <w:t>znalezienie</w:t>
            </w:r>
            <w:r w:rsidR="003B50ED" w:rsidRPr="00F16251">
              <w:rPr>
                <w:rFonts w:eastAsia="Times New Roman" w:cstheme="minorHAnsi"/>
                <w:lang w:eastAsia="pl-PL"/>
              </w:rPr>
              <w:t xml:space="preserve"> </w:t>
            </w:r>
            <w:r w:rsidRPr="00F16251">
              <w:rPr>
                <w:rFonts w:eastAsia="Times New Roman" w:cstheme="minorHAnsi"/>
                <w:lang w:eastAsia="pl-PL"/>
              </w:rPr>
              <w:t>skutecznych</w:t>
            </w:r>
            <w:r w:rsidR="003B50ED" w:rsidRPr="00F16251">
              <w:rPr>
                <w:rFonts w:eastAsia="Times New Roman" w:cstheme="minorHAnsi"/>
                <w:lang w:eastAsia="pl-PL"/>
              </w:rPr>
              <w:t xml:space="preserve"> </w:t>
            </w:r>
            <w:r w:rsidRPr="00F16251">
              <w:rPr>
                <w:rFonts w:eastAsia="Times New Roman" w:cstheme="minorHAnsi"/>
                <w:lang w:eastAsia="pl-PL"/>
              </w:rPr>
              <w:t>rozwiązań,</w:t>
            </w:r>
            <w:r w:rsidR="003B50ED" w:rsidRPr="00F16251">
              <w:rPr>
                <w:rFonts w:eastAsia="Times New Roman" w:cstheme="minorHAnsi"/>
                <w:lang w:eastAsia="pl-PL"/>
              </w:rPr>
              <w:t xml:space="preserve"> </w:t>
            </w:r>
            <w:r w:rsidRPr="00F16251">
              <w:rPr>
                <w:rFonts w:eastAsia="Times New Roman" w:cstheme="minorHAnsi"/>
                <w:lang w:eastAsia="pl-PL"/>
              </w:rPr>
              <w:t>które</w:t>
            </w:r>
            <w:r w:rsidR="003B50ED" w:rsidRPr="00F16251">
              <w:rPr>
                <w:rFonts w:eastAsia="Times New Roman" w:cstheme="minorHAnsi"/>
                <w:lang w:eastAsia="pl-PL"/>
              </w:rPr>
              <w:t xml:space="preserve"> </w:t>
            </w:r>
            <w:r w:rsidRPr="00F16251">
              <w:rPr>
                <w:rFonts w:eastAsia="Times New Roman" w:cstheme="minorHAnsi"/>
                <w:lang w:eastAsia="pl-PL"/>
              </w:rPr>
              <w:t>pozwoliłyby</w:t>
            </w:r>
            <w:r w:rsidR="003B50ED" w:rsidRPr="00F16251">
              <w:rPr>
                <w:rFonts w:eastAsia="Times New Roman" w:cstheme="minorHAnsi"/>
                <w:lang w:eastAsia="pl-PL"/>
              </w:rPr>
              <w:t xml:space="preserve"> </w:t>
            </w:r>
            <w:r w:rsidRPr="00F16251">
              <w:rPr>
                <w:rFonts w:eastAsia="Times New Roman" w:cstheme="minorHAnsi"/>
                <w:lang w:eastAsia="pl-PL"/>
              </w:rPr>
              <w:t>zwiększyć</w:t>
            </w:r>
            <w:r w:rsidR="003B50ED" w:rsidRPr="00F16251">
              <w:rPr>
                <w:rFonts w:eastAsia="Times New Roman" w:cstheme="minorHAnsi"/>
                <w:lang w:eastAsia="pl-PL"/>
              </w:rPr>
              <w:t xml:space="preserve"> </w:t>
            </w:r>
            <w:r w:rsidRPr="00F16251">
              <w:rPr>
                <w:rFonts w:eastAsia="Times New Roman" w:cstheme="minorHAnsi"/>
                <w:lang w:eastAsia="pl-PL"/>
              </w:rPr>
              <w:t>dochody</w:t>
            </w:r>
            <w:r w:rsidR="003B50ED" w:rsidRPr="00F16251">
              <w:rPr>
                <w:rFonts w:eastAsia="Times New Roman" w:cstheme="minorHAnsi"/>
                <w:lang w:eastAsia="pl-PL"/>
              </w:rPr>
              <w:t xml:space="preserve"> </w:t>
            </w:r>
            <w:r w:rsidRPr="00F16251">
              <w:rPr>
                <w:rFonts w:eastAsia="Times New Roman" w:cstheme="minorHAnsi"/>
                <w:lang w:eastAsia="pl-PL"/>
              </w:rPr>
              <w:t>bez</w:t>
            </w:r>
            <w:r w:rsidR="003B50ED" w:rsidRPr="00F16251">
              <w:rPr>
                <w:rFonts w:eastAsia="Times New Roman" w:cstheme="minorHAnsi"/>
                <w:lang w:eastAsia="pl-PL"/>
              </w:rPr>
              <w:t xml:space="preserve"> </w:t>
            </w:r>
            <w:r w:rsidRPr="00F16251">
              <w:rPr>
                <w:rFonts w:eastAsia="Times New Roman" w:cstheme="minorHAnsi"/>
                <w:lang w:eastAsia="pl-PL"/>
              </w:rPr>
              <w:t>konieczności</w:t>
            </w:r>
            <w:r w:rsidR="003B50ED" w:rsidRPr="00F16251">
              <w:rPr>
                <w:rFonts w:eastAsia="Times New Roman" w:cstheme="minorHAnsi"/>
                <w:lang w:eastAsia="pl-PL"/>
              </w:rPr>
              <w:t xml:space="preserve"> </w:t>
            </w:r>
            <w:r w:rsidRPr="00F16251">
              <w:rPr>
                <w:rFonts w:eastAsia="Times New Roman" w:cstheme="minorHAnsi"/>
                <w:lang w:eastAsia="pl-PL"/>
              </w:rPr>
              <w:t>rezygnacji</w:t>
            </w:r>
            <w:r w:rsidR="003B50ED" w:rsidRPr="00F16251">
              <w:rPr>
                <w:rFonts w:eastAsia="Times New Roman" w:cstheme="minorHAnsi"/>
                <w:lang w:eastAsia="pl-PL"/>
              </w:rPr>
              <w:t xml:space="preserve"> </w:t>
            </w:r>
            <w:r w:rsidRPr="00F16251">
              <w:rPr>
                <w:rFonts w:eastAsia="Times New Roman" w:cstheme="minorHAnsi"/>
                <w:lang w:eastAsia="pl-PL"/>
              </w:rPr>
              <w:t>z</w:t>
            </w:r>
            <w:r w:rsidR="003B50ED" w:rsidRPr="00F16251">
              <w:rPr>
                <w:rFonts w:eastAsia="Times New Roman" w:cstheme="minorHAnsi"/>
                <w:lang w:eastAsia="pl-PL"/>
              </w:rPr>
              <w:t xml:space="preserve"> </w:t>
            </w:r>
            <w:r w:rsidRPr="00F16251">
              <w:rPr>
                <w:rFonts w:eastAsia="Times New Roman" w:cstheme="minorHAnsi"/>
                <w:lang w:eastAsia="pl-PL"/>
              </w:rPr>
              <w:t>prowadzenia</w:t>
            </w:r>
            <w:r w:rsidR="003B50ED" w:rsidRPr="00F16251">
              <w:rPr>
                <w:rFonts w:eastAsia="Times New Roman" w:cstheme="minorHAnsi"/>
                <w:lang w:eastAsia="pl-PL"/>
              </w:rPr>
              <w:t xml:space="preserve"> </w:t>
            </w:r>
            <w:r w:rsidRPr="00F16251">
              <w:rPr>
                <w:rFonts w:eastAsia="Times New Roman" w:cstheme="minorHAnsi"/>
                <w:lang w:eastAsia="pl-PL"/>
              </w:rPr>
              <w:t>gospodarstwa.</w:t>
            </w:r>
            <w:r w:rsidR="003B50ED" w:rsidRPr="00F16251">
              <w:rPr>
                <w:rFonts w:eastAsia="Times New Roman" w:cstheme="minorHAnsi"/>
                <w:lang w:eastAsia="pl-PL"/>
              </w:rPr>
              <w:t xml:space="preserve"> </w:t>
            </w:r>
            <w:r w:rsidRPr="00F16251">
              <w:rPr>
                <w:rFonts w:eastAsia="Times New Roman" w:cstheme="minorHAnsi"/>
                <w:lang w:eastAsia="pl-PL"/>
              </w:rPr>
              <w:t>Dodatkowo,</w:t>
            </w:r>
            <w:r w:rsidR="003B50ED" w:rsidRPr="00F16251">
              <w:rPr>
                <w:rFonts w:eastAsia="Times New Roman" w:cstheme="minorHAnsi"/>
                <w:lang w:eastAsia="pl-PL"/>
              </w:rPr>
              <w:t xml:space="preserve"> </w:t>
            </w:r>
            <w:r w:rsidRPr="00F16251">
              <w:rPr>
                <w:rFonts w:eastAsia="Times New Roman" w:cstheme="minorHAnsi"/>
                <w:lang w:eastAsia="pl-PL"/>
              </w:rPr>
              <w:t>mimo</w:t>
            </w:r>
            <w:r w:rsidR="003B50ED" w:rsidRPr="00F16251">
              <w:rPr>
                <w:rFonts w:eastAsia="Times New Roman" w:cstheme="minorHAnsi"/>
                <w:lang w:eastAsia="pl-PL"/>
              </w:rPr>
              <w:t xml:space="preserve"> </w:t>
            </w:r>
            <w:r w:rsidRPr="00F16251">
              <w:rPr>
                <w:rFonts w:eastAsia="Times New Roman" w:cstheme="minorHAnsi"/>
                <w:lang w:eastAsia="pl-PL"/>
              </w:rPr>
              <w:t>ogólnego</w:t>
            </w:r>
            <w:r w:rsidR="003B50ED" w:rsidRPr="00F16251">
              <w:rPr>
                <w:rFonts w:eastAsia="Times New Roman" w:cstheme="minorHAnsi"/>
                <w:lang w:eastAsia="pl-PL"/>
              </w:rPr>
              <w:t xml:space="preserve"> </w:t>
            </w:r>
            <w:r w:rsidRPr="00F16251">
              <w:rPr>
                <w:rFonts w:eastAsia="Times New Roman" w:cstheme="minorHAnsi"/>
                <w:lang w:eastAsia="pl-PL"/>
              </w:rPr>
              <w:t>spadku</w:t>
            </w:r>
            <w:r w:rsidR="003B50ED" w:rsidRPr="00F16251">
              <w:rPr>
                <w:rFonts w:eastAsia="Times New Roman" w:cstheme="minorHAnsi"/>
                <w:lang w:eastAsia="pl-PL"/>
              </w:rPr>
              <w:t xml:space="preserve"> </w:t>
            </w:r>
            <w:r w:rsidRPr="00F16251">
              <w:rPr>
                <w:rFonts w:eastAsia="Times New Roman" w:cstheme="minorHAnsi"/>
                <w:lang w:eastAsia="pl-PL"/>
              </w:rPr>
              <w:t>bezrobocia,</w:t>
            </w:r>
            <w:r w:rsidR="003B50ED" w:rsidRPr="00F16251">
              <w:rPr>
                <w:rFonts w:eastAsia="Times New Roman" w:cstheme="minorHAnsi"/>
                <w:lang w:eastAsia="pl-PL"/>
              </w:rPr>
              <w:t xml:space="preserve"> </w:t>
            </w:r>
            <w:r w:rsidRPr="00F16251">
              <w:rPr>
                <w:rFonts w:eastAsia="Times New Roman" w:cstheme="minorHAnsi"/>
                <w:lang w:eastAsia="pl-PL"/>
              </w:rPr>
              <w:t>jak</w:t>
            </w:r>
            <w:r w:rsidR="003B50ED" w:rsidRPr="00F16251">
              <w:rPr>
                <w:rFonts w:eastAsia="Times New Roman" w:cstheme="minorHAnsi"/>
                <w:lang w:eastAsia="pl-PL"/>
              </w:rPr>
              <w:t xml:space="preserve"> </w:t>
            </w:r>
            <w:r w:rsidRPr="00F16251">
              <w:rPr>
                <w:rFonts w:eastAsia="Times New Roman" w:cstheme="minorHAnsi"/>
                <w:lang w:eastAsia="pl-PL"/>
              </w:rPr>
              <w:t>pokazują</w:t>
            </w:r>
            <w:r w:rsidR="003B50ED" w:rsidRPr="00F16251">
              <w:rPr>
                <w:rFonts w:eastAsia="Times New Roman" w:cstheme="minorHAnsi"/>
                <w:lang w:eastAsia="pl-PL"/>
              </w:rPr>
              <w:t xml:space="preserve"> </w:t>
            </w:r>
            <w:r w:rsidRPr="00F16251">
              <w:rPr>
                <w:rFonts w:eastAsia="Times New Roman" w:cstheme="minorHAnsi"/>
                <w:lang w:eastAsia="pl-PL"/>
              </w:rPr>
              <w:t>dane</w:t>
            </w:r>
            <w:r w:rsidR="003B50ED" w:rsidRPr="00F16251">
              <w:rPr>
                <w:rFonts w:eastAsia="Times New Roman" w:cstheme="minorHAnsi"/>
                <w:lang w:eastAsia="pl-PL"/>
              </w:rPr>
              <w:t xml:space="preserve"> </w:t>
            </w:r>
            <w:r w:rsidRPr="00F16251">
              <w:rPr>
                <w:rFonts w:eastAsia="Times New Roman" w:cstheme="minorHAnsi"/>
                <w:lang w:eastAsia="pl-PL"/>
              </w:rPr>
              <w:t>statystyczne</w:t>
            </w:r>
            <w:r w:rsidR="003B50ED" w:rsidRPr="00F16251">
              <w:rPr>
                <w:rFonts w:eastAsia="Times New Roman" w:cstheme="minorHAnsi"/>
                <w:lang w:eastAsia="pl-PL"/>
              </w:rPr>
              <w:t xml:space="preserve"> </w:t>
            </w:r>
            <w:r w:rsidRPr="00F16251">
              <w:rPr>
                <w:rFonts w:eastAsia="Times New Roman" w:cstheme="minorHAnsi"/>
                <w:lang w:eastAsia="pl-PL"/>
              </w:rPr>
              <w:t>GUS,</w:t>
            </w:r>
            <w:r w:rsidR="003B50ED" w:rsidRPr="00F16251">
              <w:rPr>
                <w:rFonts w:eastAsia="Times New Roman" w:cstheme="minorHAnsi"/>
                <w:lang w:eastAsia="pl-PL"/>
              </w:rPr>
              <w:t xml:space="preserve"> </w:t>
            </w:r>
            <w:r w:rsidRPr="00F16251">
              <w:rPr>
                <w:rFonts w:eastAsia="Times New Roman" w:cstheme="minorHAnsi"/>
                <w:lang w:eastAsia="pl-PL"/>
              </w:rPr>
              <w:t>często</w:t>
            </w:r>
            <w:r w:rsidR="003B50ED" w:rsidRPr="00F16251">
              <w:rPr>
                <w:rFonts w:eastAsia="Times New Roman" w:cstheme="minorHAnsi"/>
                <w:lang w:eastAsia="pl-PL"/>
              </w:rPr>
              <w:t xml:space="preserve"> </w:t>
            </w:r>
            <w:r w:rsidRPr="00F16251">
              <w:rPr>
                <w:rFonts w:eastAsia="Times New Roman" w:cstheme="minorHAnsi"/>
                <w:lang w:eastAsia="pl-PL"/>
              </w:rPr>
              <w:t>członkowie</w:t>
            </w:r>
            <w:r w:rsidR="003B50ED" w:rsidRPr="00F16251">
              <w:rPr>
                <w:rFonts w:eastAsia="Times New Roman" w:cstheme="minorHAnsi"/>
                <w:lang w:eastAsia="pl-PL"/>
              </w:rPr>
              <w:t xml:space="preserve"> </w:t>
            </w:r>
            <w:r w:rsidRPr="00F16251">
              <w:rPr>
                <w:rFonts w:eastAsia="Times New Roman" w:cstheme="minorHAnsi"/>
                <w:lang w:eastAsia="pl-PL"/>
              </w:rPr>
              <w:t>gospodarstw</w:t>
            </w:r>
            <w:r w:rsidR="003B50ED" w:rsidRPr="00F16251">
              <w:rPr>
                <w:rFonts w:eastAsia="Times New Roman" w:cstheme="minorHAnsi"/>
                <w:lang w:eastAsia="pl-PL"/>
              </w:rPr>
              <w:t xml:space="preserve"> </w:t>
            </w:r>
            <w:r w:rsidRPr="00F16251">
              <w:rPr>
                <w:rFonts w:eastAsia="Times New Roman" w:cstheme="minorHAnsi"/>
                <w:lang w:eastAsia="pl-PL"/>
              </w:rPr>
              <w:t>rolnych,</w:t>
            </w:r>
            <w:r w:rsidR="003B50ED" w:rsidRPr="00F16251">
              <w:rPr>
                <w:rFonts w:eastAsia="Times New Roman" w:cstheme="minorHAnsi"/>
                <w:lang w:eastAsia="pl-PL"/>
              </w:rPr>
              <w:t xml:space="preserve"> </w:t>
            </w:r>
            <w:r w:rsidRPr="00F16251">
              <w:rPr>
                <w:rFonts w:eastAsia="Times New Roman" w:cstheme="minorHAnsi"/>
                <w:lang w:eastAsia="pl-PL"/>
              </w:rPr>
              <w:t>choć</w:t>
            </w:r>
            <w:r w:rsidR="003B50ED" w:rsidRPr="00F16251">
              <w:rPr>
                <w:rFonts w:eastAsia="Times New Roman" w:cstheme="minorHAnsi"/>
                <w:lang w:eastAsia="pl-PL"/>
              </w:rPr>
              <w:t xml:space="preserve"> </w:t>
            </w:r>
            <w:r w:rsidRPr="00F16251">
              <w:rPr>
                <w:rFonts w:eastAsia="Times New Roman" w:cstheme="minorHAnsi"/>
                <w:lang w:eastAsia="pl-PL"/>
              </w:rPr>
              <w:t>nieformalnie</w:t>
            </w:r>
            <w:r w:rsidR="003B50ED" w:rsidRPr="00F16251">
              <w:rPr>
                <w:rFonts w:eastAsia="Times New Roman" w:cstheme="minorHAnsi"/>
                <w:lang w:eastAsia="pl-PL"/>
              </w:rPr>
              <w:t xml:space="preserve"> </w:t>
            </w:r>
            <w:r w:rsidRPr="00F16251">
              <w:rPr>
                <w:rFonts w:eastAsia="Times New Roman" w:cstheme="minorHAnsi"/>
                <w:lang w:eastAsia="pl-PL"/>
              </w:rPr>
              <w:t>zatrudnieni,</w:t>
            </w:r>
            <w:r w:rsidR="003B50ED" w:rsidRPr="00F16251">
              <w:rPr>
                <w:rFonts w:eastAsia="Times New Roman" w:cstheme="minorHAnsi"/>
                <w:lang w:eastAsia="pl-PL"/>
              </w:rPr>
              <w:t xml:space="preserve"> </w:t>
            </w:r>
            <w:r w:rsidRPr="00F16251">
              <w:rPr>
                <w:rFonts w:eastAsia="Times New Roman" w:cstheme="minorHAnsi"/>
                <w:lang w:eastAsia="pl-PL"/>
              </w:rPr>
              <w:t>nie</w:t>
            </w:r>
            <w:r w:rsidR="003B50ED" w:rsidRPr="00F16251">
              <w:rPr>
                <w:rFonts w:eastAsia="Times New Roman" w:cstheme="minorHAnsi"/>
                <w:lang w:eastAsia="pl-PL"/>
              </w:rPr>
              <w:t xml:space="preserve"> </w:t>
            </w:r>
            <w:r w:rsidRPr="00F16251">
              <w:rPr>
                <w:rFonts w:eastAsia="Times New Roman" w:cstheme="minorHAnsi"/>
                <w:lang w:eastAsia="pl-PL"/>
              </w:rPr>
              <w:t>są</w:t>
            </w:r>
            <w:r w:rsidR="003B50ED" w:rsidRPr="00F16251">
              <w:rPr>
                <w:rFonts w:eastAsia="Times New Roman" w:cstheme="minorHAnsi"/>
                <w:lang w:eastAsia="pl-PL"/>
              </w:rPr>
              <w:t xml:space="preserve"> </w:t>
            </w:r>
            <w:r w:rsidRPr="00F16251">
              <w:rPr>
                <w:rFonts w:eastAsia="Times New Roman" w:cstheme="minorHAnsi"/>
                <w:lang w:eastAsia="pl-PL"/>
              </w:rPr>
              <w:t>zarejestrowani</w:t>
            </w:r>
            <w:r w:rsidR="003B50ED" w:rsidRPr="00F16251">
              <w:rPr>
                <w:rFonts w:eastAsia="Times New Roman" w:cstheme="minorHAnsi"/>
                <w:lang w:eastAsia="pl-PL"/>
              </w:rPr>
              <w:t xml:space="preserve"> </w:t>
            </w:r>
            <w:r w:rsidRPr="00F16251">
              <w:rPr>
                <w:rFonts w:eastAsia="Times New Roman" w:cstheme="minorHAnsi"/>
                <w:lang w:eastAsia="pl-PL"/>
              </w:rPr>
              <w:t>w</w:t>
            </w:r>
            <w:r w:rsidR="003B50ED" w:rsidRPr="00F16251">
              <w:rPr>
                <w:rFonts w:eastAsia="Times New Roman" w:cstheme="minorHAnsi"/>
                <w:lang w:eastAsia="pl-PL"/>
              </w:rPr>
              <w:t xml:space="preserve"> </w:t>
            </w:r>
            <w:r w:rsidRPr="00F16251">
              <w:rPr>
                <w:rFonts w:eastAsia="Times New Roman" w:cstheme="minorHAnsi"/>
                <w:lang w:eastAsia="pl-PL"/>
              </w:rPr>
              <w:t>Urzędach</w:t>
            </w:r>
            <w:r w:rsidR="003B50ED" w:rsidRPr="00F16251">
              <w:rPr>
                <w:rFonts w:eastAsia="Times New Roman" w:cstheme="minorHAnsi"/>
                <w:lang w:eastAsia="pl-PL"/>
              </w:rPr>
              <w:t xml:space="preserve"> </w:t>
            </w:r>
            <w:r w:rsidRPr="00F16251">
              <w:rPr>
                <w:rFonts w:eastAsia="Times New Roman" w:cstheme="minorHAnsi"/>
                <w:lang w:eastAsia="pl-PL"/>
              </w:rPr>
              <w:t>Pracy</w:t>
            </w:r>
            <w:r w:rsidR="003B50ED" w:rsidRPr="00F16251">
              <w:rPr>
                <w:rFonts w:eastAsia="Times New Roman" w:cstheme="minorHAnsi"/>
                <w:lang w:eastAsia="pl-PL"/>
              </w:rPr>
              <w:t xml:space="preserve"> </w:t>
            </w:r>
            <w:r w:rsidRPr="00F16251">
              <w:rPr>
                <w:rFonts w:eastAsia="Times New Roman" w:cstheme="minorHAnsi"/>
                <w:lang w:eastAsia="pl-PL"/>
              </w:rPr>
              <w:t>jako</w:t>
            </w:r>
            <w:r w:rsidR="003B50ED" w:rsidRPr="00F16251">
              <w:rPr>
                <w:rFonts w:eastAsia="Times New Roman" w:cstheme="minorHAnsi"/>
                <w:lang w:eastAsia="pl-PL"/>
              </w:rPr>
              <w:t xml:space="preserve"> </w:t>
            </w:r>
            <w:r w:rsidRPr="00F16251">
              <w:rPr>
                <w:rFonts w:eastAsia="Times New Roman" w:cstheme="minorHAnsi"/>
                <w:lang w:eastAsia="pl-PL"/>
              </w:rPr>
              <w:t>osoby</w:t>
            </w:r>
            <w:r w:rsidR="003B50ED" w:rsidRPr="00F16251">
              <w:rPr>
                <w:rFonts w:eastAsia="Times New Roman" w:cstheme="minorHAnsi"/>
                <w:lang w:eastAsia="pl-PL"/>
              </w:rPr>
              <w:t xml:space="preserve"> </w:t>
            </w:r>
            <w:r w:rsidRPr="00F16251">
              <w:rPr>
                <w:rFonts w:eastAsia="Times New Roman" w:cstheme="minorHAnsi"/>
                <w:lang w:eastAsia="pl-PL"/>
              </w:rPr>
              <w:t>bezrobotne,</w:t>
            </w:r>
            <w:r w:rsidR="003B50ED" w:rsidRPr="00F16251">
              <w:rPr>
                <w:rFonts w:eastAsia="Times New Roman" w:cstheme="minorHAnsi"/>
                <w:lang w:eastAsia="pl-PL"/>
              </w:rPr>
              <w:t xml:space="preserve"> </w:t>
            </w:r>
            <w:r w:rsidRPr="00F16251">
              <w:rPr>
                <w:rFonts w:eastAsia="Times New Roman" w:cstheme="minorHAnsi"/>
                <w:lang w:eastAsia="pl-PL"/>
              </w:rPr>
              <w:t>stanowiąc</w:t>
            </w:r>
            <w:r w:rsidR="003B50ED" w:rsidRPr="00F16251">
              <w:rPr>
                <w:rFonts w:eastAsia="Times New Roman" w:cstheme="minorHAnsi"/>
                <w:lang w:eastAsia="pl-PL"/>
              </w:rPr>
              <w:t xml:space="preserve"> </w:t>
            </w:r>
            <w:r w:rsidRPr="00F16251">
              <w:rPr>
                <w:rFonts w:eastAsia="Times New Roman" w:cstheme="minorHAnsi"/>
                <w:lang w:eastAsia="pl-PL"/>
              </w:rPr>
              <w:t>tym</w:t>
            </w:r>
            <w:r w:rsidR="003B50ED" w:rsidRPr="00F16251">
              <w:rPr>
                <w:rFonts w:eastAsia="Times New Roman" w:cstheme="minorHAnsi"/>
                <w:lang w:eastAsia="pl-PL"/>
              </w:rPr>
              <w:t xml:space="preserve"> </w:t>
            </w:r>
            <w:r w:rsidRPr="00F16251">
              <w:rPr>
                <w:rFonts w:eastAsia="Times New Roman" w:cstheme="minorHAnsi"/>
                <w:lang w:eastAsia="pl-PL"/>
              </w:rPr>
              <w:t>samym</w:t>
            </w:r>
            <w:r w:rsidR="003B50ED" w:rsidRPr="00F16251">
              <w:rPr>
                <w:rFonts w:eastAsia="Times New Roman" w:cstheme="minorHAnsi"/>
                <w:lang w:eastAsia="pl-PL"/>
              </w:rPr>
              <w:t xml:space="preserve"> </w:t>
            </w:r>
            <w:r w:rsidRPr="00F16251">
              <w:rPr>
                <w:rFonts w:eastAsia="Times New Roman" w:cstheme="minorHAnsi"/>
                <w:lang w:eastAsia="pl-PL"/>
              </w:rPr>
              <w:t>znaczną</w:t>
            </w:r>
            <w:r w:rsidR="003B50ED" w:rsidRPr="00F16251">
              <w:rPr>
                <w:rFonts w:eastAsia="Times New Roman" w:cstheme="minorHAnsi"/>
                <w:lang w:eastAsia="pl-PL"/>
              </w:rPr>
              <w:t xml:space="preserve"> </w:t>
            </w:r>
            <w:r w:rsidRPr="00F16251">
              <w:rPr>
                <w:rFonts w:eastAsia="Times New Roman" w:cstheme="minorHAnsi"/>
                <w:lang w:eastAsia="pl-PL"/>
              </w:rPr>
              <w:t>grupę,</w:t>
            </w:r>
            <w:r w:rsidR="003B50ED" w:rsidRPr="00F16251">
              <w:rPr>
                <w:rFonts w:eastAsia="Times New Roman" w:cstheme="minorHAnsi"/>
                <w:lang w:eastAsia="pl-PL"/>
              </w:rPr>
              <w:t xml:space="preserve"> </w:t>
            </w:r>
            <w:r w:rsidRPr="00F16251">
              <w:rPr>
                <w:rFonts w:eastAsia="Times New Roman" w:cstheme="minorHAnsi"/>
                <w:lang w:eastAsia="pl-PL"/>
              </w:rPr>
              <w:t>która</w:t>
            </w:r>
            <w:r w:rsidR="003B50ED" w:rsidRPr="00F16251">
              <w:rPr>
                <w:rFonts w:eastAsia="Times New Roman" w:cstheme="minorHAnsi"/>
                <w:lang w:eastAsia="pl-PL"/>
              </w:rPr>
              <w:t xml:space="preserve"> </w:t>
            </w:r>
            <w:r w:rsidRPr="00F16251">
              <w:rPr>
                <w:rFonts w:eastAsia="Times New Roman" w:cstheme="minorHAnsi"/>
                <w:lang w:eastAsia="pl-PL"/>
              </w:rPr>
              <w:t>znajduje</w:t>
            </w:r>
            <w:r w:rsidR="003B50ED" w:rsidRPr="00F16251">
              <w:rPr>
                <w:rFonts w:eastAsia="Times New Roman" w:cstheme="minorHAnsi"/>
                <w:lang w:eastAsia="pl-PL"/>
              </w:rPr>
              <w:t xml:space="preserve"> </w:t>
            </w:r>
            <w:r w:rsidRPr="00F16251">
              <w:rPr>
                <w:rFonts w:eastAsia="Times New Roman" w:cstheme="minorHAnsi"/>
                <w:lang w:eastAsia="pl-PL"/>
              </w:rPr>
              <w:t>się</w:t>
            </w:r>
            <w:r w:rsidR="003B50ED" w:rsidRPr="00F16251">
              <w:rPr>
                <w:rFonts w:eastAsia="Times New Roman" w:cstheme="minorHAnsi"/>
                <w:lang w:eastAsia="pl-PL"/>
              </w:rPr>
              <w:t xml:space="preserve"> </w:t>
            </w:r>
            <w:r w:rsidRPr="00F16251">
              <w:rPr>
                <w:rFonts w:eastAsia="Times New Roman" w:cstheme="minorHAnsi"/>
                <w:lang w:eastAsia="pl-PL"/>
              </w:rPr>
              <w:t>w</w:t>
            </w:r>
            <w:r w:rsidR="003B50ED" w:rsidRPr="00F16251">
              <w:rPr>
                <w:rFonts w:eastAsia="Times New Roman" w:cstheme="minorHAnsi"/>
                <w:lang w:eastAsia="pl-PL"/>
              </w:rPr>
              <w:t xml:space="preserve"> </w:t>
            </w:r>
            <w:r w:rsidRPr="00F16251">
              <w:rPr>
                <w:rFonts w:eastAsia="Times New Roman" w:cstheme="minorHAnsi"/>
                <w:lang w:eastAsia="pl-PL"/>
              </w:rPr>
              <w:t>sferze</w:t>
            </w:r>
            <w:r w:rsidR="003B50ED" w:rsidRPr="00F16251">
              <w:rPr>
                <w:rFonts w:eastAsia="Times New Roman" w:cstheme="minorHAnsi"/>
                <w:lang w:eastAsia="pl-PL"/>
              </w:rPr>
              <w:t xml:space="preserve"> </w:t>
            </w:r>
            <w:r w:rsidRPr="00F16251">
              <w:rPr>
                <w:rFonts w:eastAsia="Times New Roman" w:cstheme="minorHAnsi"/>
                <w:lang w:eastAsia="pl-PL"/>
              </w:rPr>
              <w:t>tzw.</w:t>
            </w:r>
            <w:r w:rsidR="003B50ED" w:rsidRPr="00F16251">
              <w:rPr>
                <w:rFonts w:eastAsia="Times New Roman" w:cstheme="minorHAnsi"/>
                <w:lang w:eastAsia="pl-PL"/>
              </w:rPr>
              <w:t xml:space="preserve"> </w:t>
            </w:r>
            <w:r w:rsidRPr="00F16251">
              <w:rPr>
                <w:rFonts w:eastAsia="Times New Roman" w:cstheme="minorHAnsi"/>
                <w:lang w:eastAsia="pl-PL"/>
              </w:rPr>
              <w:t>ukrytego</w:t>
            </w:r>
            <w:r w:rsidR="003B50ED" w:rsidRPr="00F16251">
              <w:rPr>
                <w:rFonts w:eastAsia="Times New Roman" w:cstheme="minorHAnsi"/>
                <w:lang w:eastAsia="pl-PL"/>
              </w:rPr>
              <w:t xml:space="preserve"> </w:t>
            </w:r>
            <w:r w:rsidRPr="00F16251">
              <w:rPr>
                <w:rFonts w:eastAsia="Times New Roman" w:cstheme="minorHAnsi"/>
                <w:lang w:eastAsia="pl-PL"/>
              </w:rPr>
              <w:t>bezrobocia.</w:t>
            </w:r>
          </w:p>
          <w:p w14:paraId="21993877" w14:textId="69E3ACBF" w:rsidR="00C536B1" w:rsidRPr="00F16251" w:rsidRDefault="00C536B1" w:rsidP="00E07BED">
            <w:pPr>
              <w:spacing w:line="276" w:lineRule="auto"/>
              <w:jc w:val="both"/>
              <w:rPr>
                <w:rFonts w:cstheme="minorHAnsi"/>
              </w:rPr>
            </w:pPr>
            <w:r w:rsidRPr="00F16251">
              <w:rPr>
                <w:rFonts w:cstheme="minorHAnsi"/>
              </w:rPr>
              <w:t xml:space="preserve">Na terenie województwa wielkopolskiego, jak wynika z obserwacji, </w:t>
            </w:r>
            <w:r w:rsidRPr="00F16251">
              <w:rPr>
                <w:rFonts w:cstheme="minorHAnsi"/>
                <w:b/>
                <w:bCs/>
              </w:rPr>
              <w:t>migranci</w:t>
            </w:r>
            <w:r w:rsidRPr="00F16251">
              <w:rPr>
                <w:rFonts w:cstheme="minorHAnsi"/>
              </w:rPr>
              <w:t xml:space="preserve"> nie angażują się aktywnie w lokalne życie społeczności, skupiając się na rozwiązywaniu własnych problemów.</w:t>
            </w:r>
          </w:p>
          <w:p w14:paraId="6BF30866" w14:textId="77777777" w:rsidR="00C536B1" w:rsidRPr="00F16251" w:rsidRDefault="00C536B1" w:rsidP="00E07BED">
            <w:pPr>
              <w:spacing w:line="276" w:lineRule="auto"/>
              <w:jc w:val="both"/>
              <w:rPr>
                <w:rFonts w:cstheme="minorHAnsi"/>
              </w:rPr>
            </w:pPr>
            <w:r w:rsidRPr="00F16251">
              <w:rPr>
                <w:rFonts w:cstheme="minorHAnsi"/>
              </w:rPr>
              <w:t xml:space="preserve">Kolejną grupą osób w niekorzystnej sytuacji, pomimo obserwowanego spadku wskaźników </w:t>
            </w:r>
            <w:r w:rsidRPr="00F16251">
              <w:rPr>
                <w:rFonts w:cstheme="minorHAnsi"/>
              </w:rPr>
              <w:br/>
              <w:t xml:space="preserve">w tym zakresie są </w:t>
            </w:r>
            <w:r w:rsidRPr="00F16251">
              <w:rPr>
                <w:rFonts w:cstheme="minorHAnsi"/>
                <w:b/>
                <w:bCs/>
              </w:rPr>
              <w:t>osoby bezrobotne/szukające pracy</w:t>
            </w:r>
            <w:r w:rsidRPr="00F16251">
              <w:rPr>
                <w:rFonts w:cstheme="minorHAnsi"/>
              </w:rPr>
              <w:t xml:space="preserve">. Zmniejszenie liczby osób bezrobotnych </w:t>
            </w:r>
            <w:r w:rsidRPr="00F16251">
              <w:rPr>
                <w:rFonts w:cstheme="minorHAnsi"/>
              </w:rPr>
              <w:lastRenderedPageBreak/>
              <w:t xml:space="preserve">może z jednej strony być kojarzone z rozwojem obszaru ale z drugiej jedną z przyczyn są migracje młodych osób do dużych ośrodków miejskich. Obszar LSR, jeżeli ma się rozwijać i być konkurencyjny nie może pozwolić sobie na odpływ tak cennego kapitału dlatego też działania </w:t>
            </w:r>
            <w:r w:rsidRPr="00F16251">
              <w:rPr>
                <w:rFonts w:cstheme="minorHAnsi"/>
              </w:rPr>
              <w:br/>
              <w:t xml:space="preserve">z zakresu przedsiębiorczości będą w dużej mierze kierowane do osób pozostających bez pracy, aby przywrócić im godność i motywację do pozostania w miejscu zamieszkania. </w:t>
            </w:r>
          </w:p>
          <w:p w14:paraId="56656B94" w14:textId="65961408" w:rsidR="00C20F06" w:rsidRPr="00F16251" w:rsidRDefault="00C536B1" w:rsidP="00E07BED">
            <w:pPr>
              <w:spacing w:line="276" w:lineRule="auto"/>
              <w:jc w:val="both"/>
              <w:rPr>
                <w:rFonts w:eastAsia="Calibri" w:cstheme="minorHAnsi"/>
              </w:rPr>
            </w:pPr>
            <w:r w:rsidRPr="00F16251">
              <w:rPr>
                <w:rFonts w:cstheme="minorHAnsi"/>
                <w:b/>
                <w:bCs/>
              </w:rPr>
              <w:t>Mieszkańcy obszarów po-PGR</w:t>
            </w:r>
            <w:r w:rsidRPr="00F16251">
              <w:rPr>
                <w:rFonts w:cstheme="minorHAnsi"/>
              </w:rPr>
              <w:t>. Wprawdzie, dla tej grupy nie wyszczególniono oddzielnych przedsięwzięć, ale mając na uwadze, że na obszarze LSR znajdują się miejscowości, w których funkcjonowały PGR-y, planując konkretne operacje w ramach poszczególnych przedsięwzięć, należy mieć również na uwadze tę grupę społeczności.</w:t>
            </w:r>
          </w:p>
        </w:tc>
      </w:tr>
    </w:tbl>
    <w:p w14:paraId="52FA67A6" w14:textId="20DA64F8" w:rsidR="0080076F" w:rsidRPr="00A26C26" w:rsidRDefault="0080076F" w:rsidP="0080076F">
      <w:pPr>
        <w:spacing w:line="276" w:lineRule="auto"/>
        <w:rPr>
          <w:rFonts w:cstheme="minorHAnsi"/>
        </w:rPr>
      </w:pPr>
      <w:r w:rsidRPr="00A26C26">
        <w:rPr>
          <w:rFonts w:cstheme="minorHAnsi"/>
        </w:rPr>
        <w:lastRenderedPageBreak/>
        <w:t>Źródło:</w:t>
      </w:r>
      <w:r>
        <w:rPr>
          <w:rFonts w:cstheme="minorHAnsi"/>
        </w:rPr>
        <w:t xml:space="preserve"> opracowanie własne </w:t>
      </w:r>
    </w:p>
    <w:p w14:paraId="778E20C7" w14:textId="77777777" w:rsidR="00224658" w:rsidRPr="00A26C26" w:rsidRDefault="00224658" w:rsidP="00A26C26">
      <w:pPr>
        <w:spacing w:line="276" w:lineRule="auto"/>
        <w:ind w:firstLine="360"/>
        <w:jc w:val="both"/>
        <w:rPr>
          <w:rFonts w:cstheme="minorHAnsi"/>
        </w:rPr>
      </w:pPr>
    </w:p>
    <w:p w14:paraId="228C6F80" w14:textId="21B6FAFE" w:rsidR="00224658" w:rsidRPr="00A26C26" w:rsidRDefault="00224658" w:rsidP="008A412F">
      <w:pPr>
        <w:pStyle w:val="Nagwek2"/>
        <w:numPr>
          <w:ilvl w:val="0"/>
          <w:numId w:val="11"/>
        </w:numPr>
        <w:spacing w:before="0" w:line="276" w:lineRule="auto"/>
        <w:rPr>
          <w:rFonts w:asciiTheme="minorHAnsi" w:hAnsiTheme="minorHAnsi" w:cstheme="minorHAnsi"/>
          <w:b/>
          <w:bCs/>
          <w:sz w:val="22"/>
          <w:szCs w:val="22"/>
        </w:rPr>
      </w:pPr>
      <w:bookmarkStart w:id="40" w:name="_Toc136260194"/>
      <w:bookmarkStart w:id="41" w:name="_Toc136944404"/>
      <w:r w:rsidRPr="00A26C26">
        <w:rPr>
          <w:rFonts w:asciiTheme="minorHAnsi" w:hAnsiTheme="minorHAnsi" w:cstheme="minorHAnsi"/>
          <w:b/>
          <w:bCs/>
          <w:sz w:val="22"/>
          <w:szCs w:val="22"/>
        </w:rPr>
        <w:t>Zagospodarowanie</w:t>
      </w:r>
      <w:r w:rsidR="003B50ED">
        <w:rPr>
          <w:rFonts w:asciiTheme="minorHAnsi" w:hAnsiTheme="minorHAnsi" w:cstheme="minorHAnsi"/>
          <w:b/>
          <w:bCs/>
          <w:sz w:val="22"/>
          <w:szCs w:val="22"/>
        </w:rPr>
        <w:t xml:space="preserve"> </w:t>
      </w:r>
      <w:r w:rsidRPr="00A26C26">
        <w:rPr>
          <w:rFonts w:asciiTheme="minorHAnsi" w:hAnsiTheme="minorHAnsi" w:cstheme="minorHAnsi"/>
          <w:b/>
          <w:bCs/>
          <w:sz w:val="22"/>
          <w:szCs w:val="22"/>
        </w:rPr>
        <w:t>przestrzenne/układ</w:t>
      </w:r>
      <w:r w:rsidR="003B50ED">
        <w:rPr>
          <w:rFonts w:asciiTheme="minorHAnsi" w:hAnsiTheme="minorHAnsi" w:cstheme="minorHAnsi"/>
          <w:b/>
          <w:bCs/>
          <w:sz w:val="22"/>
          <w:szCs w:val="22"/>
        </w:rPr>
        <w:t xml:space="preserve"> </w:t>
      </w:r>
      <w:r w:rsidRPr="00A26C26">
        <w:rPr>
          <w:rFonts w:asciiTheme="minorHAnsi" w:hAnsiTheme="minorHAnsi" w:cstheme="minorHAnsi"/>
          <w:b/>
          <w:bCs/>
          <w:sz w:val="22"/>
          <w:szCs w:val="22"/>
        </w:rPr>
        <w:t>osadniczy</w:t>
      </w:r>
      <w:bookmarkEnd w:id="40"/>
      <w:bookmarkEnd w:id="41"/>
      <w:r w:rsidR="003B50ED">
        <w:rPr>
          <w:rFonts w:asciiTheme="minorHAnsi" w:hAnsiTheme="minorHAnsi" w:cstheme="minorHAnsi"/>
          <w:b/>
          <w:bCs/>
          <w:sz w:val="22"/>
          <w:szCs w:val="22"/>
        </w:rPr>
        <w:t xml:space="preserve"> </w:t>
      </w:r>
    </w:p>
    <w:p w14:paraId="796591DC" w14:textId="70E3A3D7" w:rsidR="00224658" w:rsidRPr="00A26C26" w:rsidRDefault="00224658" w:rsidP="00A26C26">
      <w:pPr>
        <w:spacing w:line="276" w:lineRule="auto"/>
        <w:ind w:firstLine="284"/>
        <w:jc w:val="both"/>
        <w:rPr>
          <w:rFonts w:cstheme="minorHAnsi"/>
        </w:rPr>
      </w:pPr>
      <w:r w:rsidRPr="00A26C26">
        <w:rPr>
          <w:rFonts w:cstheme="minorHAnsi"/>
        </w:rPr>
        <w:t>Podstawowym</w:t>
      </w:r>
      <w:r w:rsidR="003B50ED">
        <w:rPr>
          <w:rFonts w:cstheme="minorHAnsi"/>
        </w:rPr>
        <w:t xml:space="preserve"> </w:t>
      </w:r>
      <w:r w:rsidRPr="00A26C26">
        <w:rPr>
          <w:rFonts w:cstheme="minorHAnsi"/>
        </w:rPr>
        <w:t>narzędziem</w:t>
      </w:r>
      <w:r w:rsidR="003B50ED">
        <w:rPr>
          <w:rFonts w:cstheme="minorHAnsi"/>
        </w:rPr>
        <w:t xml:space="preserve"> </w:t>
      </w:r>
      <w:r w:rsidRPr="00A26C26">
        <w:rPr>
          <w:rFonts w:cstheme="minorHAnsi"/>
        </w:rPr>
        <w:t>kształtowania</w:t>
      </w:r>
      <w:r w:rsidR="003B50ED">
        <w:rPr>
          <w:rFonts w:cstheme="minorHAnsi"/>
        </w:rPr>
        <w:t xml:space="preserve"> </w:t>
      </w:r>
      <w:r w:rsidRPr="00A26C26">
        <w:rPr>
          <w:rFonts w:cstheme="minorHAnsi"/>
        </w:rPr>
        <w:t>polityki</w:t>
      </w:r>
      <w:r w:rsidR="003B50ED">
        <w:rPr>
          <w:rFonts w:cstheme="minorHAnsi"/>
        </w:rPr>
        <w:t xml:space="preserve"> </w:t>
      </w:r>
      <w:r w:rsidRPr="00A26C26">
        <w:rPr>
          <w:rFonts w:cstheme="minorHAnsi"/>
        </w:rPr>
        <w:t>przestrzennej</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Polsce</w:t>
      </w:r>
      <w:r w:rsidR="003B50ED">
        <w:rPr>
          <w:rFonts w:cstheme="minorHAnsi"/>
        </w:rPr>
        <w:t xml:space="preserve"> </w:t>
      </w:r>
      <w:r w:rsidRPr="00A26C26">
        <w:rPr>
          <w:rFonts w:cstheme="minorHAnsi"/>
        </w:rPr>
        <w:t>są</w:t>
      </w:r>
      <w:r w:rsidR="003B50ED">
        <w:rPr>
          <w:rFonts w:cstheme="minorHAnsi"/>
        </w:rPr>
        <w:t xml:space="preserve"> </w:t>
      </w:r>
      <w:r w:rsidRPr="00A26C26">
        <w:rPr>
          <w:rFonts w:cstheme="minorHAnsi"/>
        </w:rPr>
        <w:t>studia</w:t>
      </w:r>
      <w:r w:rsidR="003B50ED">
        <w:rPr>
          <w:rFonts w:cstheme="minorHAnsi"/>
        </w:rPr>
        <w:t xml:space="preserve"> </w:t>
      </w:r>
      <w:r w:rsidRPr="00A26C26">
        <w:rPr>
          <w:rFonts w:cstheme="minorHAnsi"/>
        </w:rPr>
        <w:t>uwarunkowań</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kierunków</w:t>
      </w:r>
      <w:r w:rsidR="003B50ED">
        <w:rPr>
          <w:rFonts w:cstheme="minorHAnsi"/>
        </w:rPr>
        <w:t xml:space="preserve"> </w:t>
      </w:r>
      <w:r w:rsidRPr="00A26C26">
        <w:rPr>
          <w:rFonts w:cstheme="minorHAnsi"/>
        </w:rPr>
        <w:t>zagospodarowania</w:t>
      </w:r>
      <w:r w:rsidR="003B50ED">
        <w:rPr>
          <w:rFonts w:cstheme="minorHAnsi"/>
        </w:rPr>
        <w:t xml:space="preserve"> </w:t>
      </w:r>
      <w:r w:rsidRPr="00A26C26">
        <w:rPr>
          <w:rFonts w:cstheme="minorHAnsi"/>
        </w:rPr>
        <w:t>przestrzennego</w:t>
      </w:r>
      <w:r w:rsidR="003B50ED">
        <w:rPr>
          <w:rFonts w:cstheme="minorHAnsi"/>
        </w:rPr>
        <w:t xml:space="preserve"> </w:t>
      </w:r>
      <w:r w:rsidRPr="00A26C26">
        <w:rPr>
          <w:rFonts w:cstheme="minorHAnsi"/>
        </w:rPr>
        <w:t>oraz</w:t>
      </w:r>
      <w:r w:rsidR="003B50ED">
        <w:rPr>
          <w:rFonts w:cstheme="minorHAnsi"/>
        </w:rPr>
        <w:t xml:space="preserve"> </w:t>
      </w:r>
      <w:r w:rsidRPr="00A26C26">
        <w:rPr>
          <w:rFonts w:cstheme="minorHAnsi"/>
        </w:rPr>
        <w:t>sporządzone</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ich</w:t>
      </w:r>
      <w:r w:rsidR="003B50ED">
        <w:rPr>
          <w:rFonts w:cstheme="minorHAnsi"/>
        </w:rPr>
        <w:t xml:space="preserve"> </w:t>
      </w:r>
      <w:r w:rsidRPr="00A26C26">
        <w:rPr>
          <w:rFonts w:cstheme="minorHAnsi"/>
        </w:rPr>
        <w:t>podstawie</w:t>
      </w:r>
      <w:r w:rsidR="003B50ED">
        <w:rPr>
          <w:rFonts w:cstheme="minorHAnsi"/>
        </w:rPr>
        <w:t xml:space="preserve"> </w:t>
      </w:r>
      <w:r w:rsidRPr="00A26C26">
        <w:rPr>
          <w:rFonts w:cstheme="minorHAnsi"/>
        </w:rPr>
        <w:t>miejscowe</w:t>
      </w:r>
      <w:r w:rsidR="003B50ED">
        <w:rPr>
          <w:rFonts w:cstheme="minorHAnsi"/>
        </w:rPr>
        <w:t xml:space="preserve"> </w:t>
      </w:r>
      <w:r w:rsidRPr="00A26C26">
        <w:rPr>
          <w:rFonts w:cstheme="minorHAnsi"/>
        </w:rPr>
        <w:t>plany</w:t>
      </w:r>
      <w:r w:rsidR="003B50ED">
        <w:rPr>
          <w:rFonts w:cstheme="minorHAnsi"/>
        </w:rPr>
        <w:t xml:space="preserve"> </w:t>
      </w:r>
      <w:r w:rsidRPr="00A26C26">
        <w:rPr>
          <w:rFonts w:cstheme="minorHAnsi"/>
        </w:rPr>
        <w:t>zagospodarowania</w:t>
      </w:r>
      <w:r w:rsidR="003B50ED">
        <w:rPr>
          <w:rFonts w:cstheme="minorHAnsi"/>
        </w:rPr>
        <w:t xml:space="preserve"> </w:t>
      </w:r>
      <w:r w:rsidRPr="00A26C26">
        <w:rPr>
          <w:rFonts w:cstheme="minorHAnsi"/>
        </w:rPr>
        <w:t>przestrzennego.</w:t>
      </w:r>
      <w:r w:rsidR="003B50ED">
        <w:rPr>
          <w:rFonts w:cstheme="minorHAnsi"/>
        </w:rPr>
        <w:t xml:space="preserve"> </w:t>
      </w:r>
    </w:p>
    <w:p w14:paraId="75548E93" w14:textId="22E39DE7" w:rsidR="00224658" w:rsidRPr="00A26C26" w:rsidRDefault="00224658" w:rsidP="00A26C26">
      <w:pPr>
        <w:spacing w:line="276" w:lineRule="auto"/>
        <w:ind w:firstLine="284"/>
        <w:jc w:val="both"/>
        <w:rPr>
          <w:rFonts w:cstheme="minorHAnsi"/>
        </w:rPr>
      </w:pPr>
      <w:r w:rsidRPr="00A26C26">
        <w:rPr>
          <w:rFonts w:cstheme="minorHAnsi"/>
        </w:rPr>
        <w:t>Zgodnie</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art.</w:t>
      </w:r>
      <w:r w:rsidR="003B50ED">
        <w:rPr>
          <w:rFonts w:cstheme="minorHAnsi"/>
        </w:rPr>
        <w:t xml:space="preserve"> </w:t>
      </w:r>
      <w:r w:rsidRPr="00A26C26">
        <w:rPr>
          <w:rFonts w:cstheme="minorHAnsi"/>
        </w:rPr>
        <w:t>4</w:t>
      </w:r>
      <w:r w:rsidR="003B50ED">
        <w:rPr>
          <w:rFonts w:cstheme="minorHAnsi"/>
        </w:rPr>
        <w:t xml:space="preserve"> </w:t>
      </w:r>
      <w:r w:rsidRPr="00A26C26">
        <w:rPr>
          <w:rFonts w:cstheme="minorHAnsi"/>
        </w:rPr>
        <w:t>ust</w:t>
      </w:r>
      <w:r w:rsidR="003B50ED">
        <w:rPr>
          <w:rFonts w:cstheme="minorHAnsi"/>
        </w:rPr>
        <w:t xml:space="preserve"> </w:t>
      </w:r>
      <w:r w:rsidRPr="00A26C26">
        <w:rPr>
          <w:rFonts w:cstheme="minorHAnsi"/>
        </w:rPr>
        <w:t>1</w:t>
      </w:r>
      <w:r w:rsidR="003B50ED">
        <w:rPr>
          <w:rFonts w:cstheme="minorHAnsi"/>
        </w:rPr>
        <w:t xml:space="preserve"> </w:t>
      </w:r>
      <w:r w:rsidRPr="00A26C26">
        <w:rPr>
          <w:rFonts w:cstheme="minorHAnsi"/>
        </w:rPr>
        <w:t>ustawy</w:t>
      </w:r>
      <w:r w:rsidR="003B50ED">
        <w:rPr>
          <w:rFonts w:cstheme="minorHAnsi"/>
        </w:rPr>
        <w:t xml:space="preserve"> </w:t>
      </w:r>
      <w:r w:rsidRPr="00A26C26">
        <w:rPr>
          <w:rFonts w:cstheme="minorHAnsi"/>
        </w:rPr>
        <w:t>o</w:t>
      </w:r>
      <w:r w:rsidR="003B50ED">
        <w:rPr>
          <w:rFonts w:cstheme="minorHAnsi"/>
        </w:rPr>
        <w:t xml:space="preserve"> </w:t>
      </w:r>
      <w:r w:rsidRPr="00A26C26">
        <w:rPr>
          <w:rFonts w:cstheme="minorHAnsi"/>
        </w:rPr>
        <w:t>planowaniu</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zagospodarowaniu</w:t>
      </w:r>
      <w:r w:rsidR="003B50ED">
        <w:rPr>
          <w:rFonts w:cstheme="minorHAnsi"/>
        </w:rPr>
        <w:t xml:space="preserve"> </w:t>
      </w:r>
      <w:r w:rsidRPr="00A26C26">
        <w:rPr>
          <w:rFonts w:cstheme="minorHAnsi"/>
        </w:rPr>
        <w:t>przestrzennym,</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miejscowym</w:t>
      </w:r>
      <w:r w:rsidR="003B50ED">
        <w:rPr>
          <w:rFonts w:cstheme="minorHAnsi"/>
        </w:rPr>
        <w:t xml:space="preserve"> </w:t>
      </w:r>
      <w:r w:rsidRPr="00A26C26">
        <w:rPr>
          <w:rFonts w:cstheme="minorHAnsi"/>
        </w:rPr>
        <w:t>planie</w:t>
      </w:r>
      <w:r w:rsidR="003B50ED">
        <w:rPr>
          <w:rFonts w:cstheme="minorHAnsi"/>
        </w:rPr>
        <w:t xml:space="preserve"> </w:t>
      </w:r>
      <w:r w:rsidRPr="00A26C26">
        <w:rPr>
          <w:rFonts w:cstheme="minorHAnsi"/>
        </w:rPr>
        <w:t>zagospodarowania</w:t>
      </w:r>
      <w:r w:rsidR="003B50ED">
        <w:rPr>
          <w:rFonts w:cstheme="minorHAnsi"/>
        </w:rPr>
        <w:t xml:space="preserve"> </w:t>
      </w:r>
      <w:r w:rsidRPr="00A26C26">
        <w:rPr>
          <w:rFonts w:cstheme="minorHAnsi"/>
        </w:rPr>
        <w:t>przestrzennego</w:t>
      </w:r>
      <w:r w:rsidR="003B50ED">
        <w:rPr>
          <w:rFonts w:cstheme="minorHAnsi"/>
        </w:rPr>
        <w:t xml:space="preserve"> </w:t>
      </w:r>
      <w:r w:rsidRPr="00A26C26">
        <w:rPr>
          <w:rFonts w:cstheme="minorHAnsi"/>
        </w:rPr>
        <w:t>następuje</w:t>
      </w:r>
      <w:r w:rsidR="003B50ED">
        <w:rPr>
          <w:rFonts w:cstheme="minorHAnsi"/>
        </w:rPr>
        <w:t xml:space="preserve"> </w:t>
      </w:r>
      <w:r w:rsidRPr="00A26C26">
        <w:rPr>
          <w:rFonts w:cstheme="minorHAnsi"/>
        </w:rPr>
        <w:t>ustalenie</w:t>
      </w:r>
      <w:r w:rsidR="003B50ED">
        <w:rPr>
          <w:rFonts w:cstheme="minorHAnsi"/>
        </w:rPr>
        <w:t xml:space="preserve"> </w:t>
      </w:r>
      <w:r w:rsidRPr="00A26C26">
        <w:rPr>
          <w:rFonts w:cstheme="minorHAnsi"/>
        </w:rPr>
        <w:t>przeznaczenia</w:t>
      </w:r>
      <w:r w:rsidR="003B50ED">
        <w:rPr>
          <w:rFonts w:cstheme="minorHAnsi"/>
        </w:rPr>
        <w:t xml:space="preserve"> </w:t>
      </w:r>
      <w:r w:rsidRPr="00A26C26">
        <w:rPr>
          <w:rFonts w:cstheme="minorHAnsi"/>
        </w:rPr>
        <w:t>terenu,</w:t>
      </w:r>
      <w:r w:rsidR="003B50ED">
        <w:rPr>
          <w:rFonts w:cstheme="minorHAnsi"/>
        </w:rPr>
        <w:t xml:space="preserve"> </w:t>
      </w:r>
      <w:r w:rsidRPr="00A26C26">
        <w:rPr>
          <w:rFonts w:cstheme="minorHAnsi"/>
        </w:rPr>
        <w:t>rozmieszczenie</w:t>
      </w:r>
      <w:r w:rsidR="003B50ED">
        <w:rPr>
          <w:rFonts w:cstheme="minorHAnsi"/>
        </w:rPr>
        <w:t xml:space="preserve"> </w:t>
      </w:r>
      <w:r w:rsidRPr="00A26C26">
        <w:rPr>
          <w:rFonts w:cstheme="minorHAnsi"/>
        </w:rPr>
        <w:t>inwestycji</w:t>
      </w:r>
      <w:r w:rsidR="003B50ED">
        <w:rPr>
          <w:rFonts w:cstheme="minorHAnsi"/>
        </w:rPr>
        <w:t xml:space="preserve"> </w:t>
      </w:r>
      <w:r w:rsidRPr="00A26C26">
        <w:rPr>
          <w:rFonts w:cstheme="minorHAnsi"/>
        </w:rPr>
        <w:t>celu</w:t>
      </w:r>
      <w:r w:rsidR="003B50ED">
        <w:rPr>
          <w:rFonts w:cstheme="minorHAnsi"/>
        </w:rPr>
        <w:t xml:space="preserve"> </w:t>
      </w:r>
      <w:r w:rsidRPr="00A26C26">
        <w:rPr>
          <w:rFonts w:cstheme="minorHAnsi"/>
        </w:rPr>
        <w:t>publicznego</w:t>
      </w:r>
      <w:r w:rsidR="003B50ED">
        <w:rPr>
          <w:rFonts w:cstheme="minorHAnsi"/>
        </w:rPr>
        <w:t xml:space="preserve"> </w:t>
      </w:r>
      <w:r w:rsidRPr="00A26C26">
        <w:rPr>
          <w:rFonts w:cstheme="minorHAnsi"/>
        </w:rPr>
        <w:t>oraz</w:t>
      </w:r>
      <w:r w:rsidR="003B50ED">
        <w:rPr>
          <w:rFonts w:cstheme="minorHAnsi"/>
        </w:rPr>
        <w:t xml:space="preserve"> </w:t>
      </w:r>
      <w:r w:rsidRPr="00A26C26">
        <w:rPr>
          <w:rFonts w:cstheme="minorHAnsi"/>
        </w:rPr>
        <w:t>określenie</w:t>
      </w:r>
      <w:r w:rsidR="003B50ED">
        <w:rPr>
          <w:rFonts w:cstheme="minorHAnsi"/>
        </w:rPr>
        <w:t xml:space="preserve"> </w:t>
      </w:r>
      <w:r w:rsidRPr="00A26C26">
        <w:rPr>
          <w:rFonts w:cstheme="minorHAnsi"/>
        </w:rPr>
        <w:t>sposobów</w:t>
      </w:r>
      <w:r w:rsidR="003B50ED">
        <w:rPr>
          <w:rFonts w:cstheme="minorHAnsi"/>
        </w:rPr>
        <w:t xml:space="preserve"> </w:t>
      </w:r>
      <w:r w:rsidRPr="00A26C26">
        <w:rPr>
          <w:rFonts w:cstheme="minorHAnsi"/>
        </w:rPr>
        <w:t>zagospodarowania</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warunków</w:t>
      </w:r>
      <w:r w:rsidR="003B50ED">
        <w:rPr>
          <w:rFonts w:cstheme="minorHAnsi"/>
        </w:rPr>
        <w:t xml:space="preserve"> </w:t>
      </w:r>
      <w:r w:rsidRPr="00A26C26">
        <w:rPr>
          <w:rFonts w:cstheme="minorHAnsi"/>
        </w:rPr>
        <w:t>zabudowy</w:t>
      </w:r>
      <w:r w:rsidR="003B50ED">
        <w:rPr>
          <w:rFonts w:cstheme="minorHAnsi"/>
        </w:rPr>
        <w:t xml:space="preserve"> </w:t>
      </w:r>
      <w:r w:rsidRPr="00A26C26">
        <w:rPr>
          <w:rFonts w:cstheme="minorHAnsi"/>
        </w:rPr>
        <w:t>danego</w:t>
      </w:r>
      <w:r w:rsidR="003B50ED">
        <w:rPr>
          <w:rFonts w:cstheme="minorHAnsi"/>
        </w:rPr>
        <w:t xml:space="preserve"> </w:t>
      </w:r>
      <w:r w:rsidRPr="00A26C26">
        <w:rPr>
          <w:rFonts w:cstheme="minorHAnsi"/>
        </w:rPr>
        <w:t>terenu.</w:t>
      </w:r>
      <w:r w:rsidR="003B50ED">
        <w:rPr>
          <w:rFonts w:cstheme="minorHAnsi"/>
        </w:rPr>
        <w:t xml:space="preserve"> </w:t>
      </w:r>
    </w:p>
    <w:p w14:paraId="26D0C443" w14:textId="2FC83598" w:rsidR="00224658" w:rsidRPr="00A26C26" w:rsidRDefault="00224658" w:rsidP="00A26C26">
      <w:pPr>
        <w:spacing w:line="276" w:lineRule="auto"/>
        <w:ind w:firstLine="284"/>
        <w:jc w:val="both"/>
        <w:rPr>
          <w:rFonts w:cstheme="minorHAnsi"/>
        </w:rPr>
      </w:pPr>
      <w:r w:rsidRPr="00A26C26">
        <w:rPr>
          <w:rFonts w:cstheme="minorHAnsi"/>
        </w:rPr>
        <w:t>Plany</w:t>
      </w:r>
      <w:r w:rsidR="003B50ED">
        <w:rPr>
          <w:rFonts w:cstheme="minorHAnsi"/>
        </w:rPr>
        <w:t xml:space="preserve"> </w:t>
      </w:r>
      <w:r w:rsidRPr="00A26C26">
        <w:rPr>
          <w:rFonts w:cstheme="minorHAnsi"/>
        </w:rPr>
        <w:t>miejscowe</w:t>
      </w:r>
      <w:r w:rsidR="003B50ED">
        <w:rPr>
          <w:rFonts w:cstheme="minorHAnsi"/>
        </w:rPr>
        <w:t xml:space="preserve"> </w:t>
      </w:r>
      <w:r w:rsidRPr="00A26C26">
        <w:rPr>
          <w:rFonts w:cstheme="minorHAnsi"/>
        </w:rPr>
        <w:t>obejmują</w:t>
      </w:r>
      <w:r w:rsidR="003B50ED">
        <w:rPr>
          <w:rFonts w:cstheme="minorHAnsi"/>
        </w:rPr>
        <w:t xml:space="preserve"> </w:t>
      </w:r>
      <w:r w:rsidRPr="00A26C26">
        <w:rPr>
          <w:rFonts w:cstheme="minorHAnsi"/>
        </w:rPr>
        <w:t>znaczną</w:t>
      </w:r>
      <w:r w:rsidR="003B50ED">
        <w:rPr>
          <w:rFonts w:cstheme="minorHAnsi"/>
        </w:rPr>
        <w:t xml:space="preserve"> </w:t>
      </w:r>
      <w:r w:rsidRPr="00A26C26">
        <w:rPr>
          <w:rFonts w:cstheme="minorHAnsi"/>
        </w:rPr>
        <w:t>część</w:t>
      </w:r>
      <w:r w:rsidR="003B50ED">
        <w:rPr>
          <w:rFonts w:cstheme="minorHAnsi"/>
        </w:rPr>
        <w:t xml:space="preserve"> </w:t>
      </w:r>
      <w:r w:rsidRPr="00A26C26">
        <w:rPr>
          <w:rFonts w:cstheme="minorHAnsi"/>
        </w:rPr>
        <w:t>obszaru</w:t>
      </w:r>
      <w:r w:rsidR="003B50ED">
        <w:rPr>
          <w:rFonts w:cstheme="minorHAnsi"/>
        </w:rPr>
        <w:t xml:space="preserve"> </w:t>
      </w:r>
      <w:r w:rsidRPr="00A26C26">
        <w:rPr>
          <w:rFonts w:cstheme="minorHAnsi"/>
        </w:rPr>
        <w:t>gmin</w:t>
      </w:r>
      <w:r w:rsidR="003B50ED">
        <w:rPr>
          <w:rFonts w:cstheme="minorHAnsi"/>
        </w:rPr>
        <w:t xml:space="preserve"> </w:t>
      </w:r>
      <w:r w:rsidRPr="00A26C26">
        <w:rPr>
          <w:rFonts w:cstheme="minorHAnsi"/>
        </w:rPr>
        <w:t>członkowskich</w:t>
      </w:r>
      <w:r w:rsidR="003B50ED">
        <w:rPr>
          <w:rFonts w:cstheme="minorHAnsi"/>
        </w:rPr>
        <w:t xml:space="preserve"> </w:t>
      </w:r>
      <w:r w:rsidRPr="00A26C26">
        <w:rPr>
          <w:rFonts w:cstheme="minorHAnsi"/>
        </w:rPr>
        <w:t>LGD</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ich</w:t>
      </w:r>
      <w:r w:rsidR="003B50ED">
        <w:rPr>
          <w:rFonts w:cstheme="minorHAnsi"/>
        </w:rPr>
        <w:t xml:space="preserve"> </w:t>
      </w:r>
      <w:r w:rsidRPr="00A26C26">
        <w:rPr>
          <w:rFonts w:cstheme="minorHAnsi"/>
        </w:rPr>
        <w:t>granicach</w:t>
      </w:r>
      <w:r w:rsidR="003B50ED">
        <w:rPr>
          <w:rFonts w:cstheme="minorHAnsi"/>
        </w:rPr>
        <w:t xml:space="preserve"> </w:t>
      </w:r>
      <w:r w:rsidRPr="00A26C26">
        <w:rPr>
          <w:rFonts w:cstheme="minorHAnsi"/>
        </w:rPr>
        <w:t>administracyjnych</w:t>
      </w:r>
      <w:r w:rsidR="00E33680" w:rsidRPr="00A26C26">
        <w:rPr>
          <w:rFonts w:cstheme="minorHAnsi"/>
        </w:rPr>
        <w:br/>
      </w:r>
      <w:r w:rsidRPr="00A26C26">
        <w:rPr>
          <w:rFonts w:cstheme="minorHAnsi"/>
        </w:rPr>
        <w:t>i</w:t>
      </w:r>
      <w:r w:rsidR="003B50ED">
        <w:rPr>
          <w:rFonts w:cstheme="minorHAnsi"/>
        </w:rPr>
        <w:t xml:space="preserve"> </w:t>
      </w:r>
      <w:r w:rsidRPr="00A26C26">
        <w:rPr>
          <w:rFonts w:cstheme="minorHAnsi"/>
        </w:rPr>
        <w:t>są</w:t>
      </w:r>
      <w:r w:rsidR="003B50ED">
        <w:rPr>
          <w:rFonts w:cstheme="minorHAnsi"/>
        </w:rPr>
        <w:t xml:space="preserve"> </w:t>
      </w:r>
      <w:r w:rsidRPr="00A26C26">
        <w:rPr>
          <w:rFonts w:cstheme="minorHAnsi"/>
        </w:rPr>
        <w:t>spójne</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przyjętymi</w:t>
      </w:r>
      <w:r w:rsidR="003B50ED">
        <w:rPr>
          <w:rFonts w:cstheme="minorHAnsi"/>
        </w:rPr>
        <w:t xml:space="preserve"> </w:t>
      </w:r>
      <w:r w:rsidRPr="00A26C26">
        <w:rPr>
          <w:rFonts w:cstheme="minorHAnsi"/>
        </w:rPr>
        <w:t>celami</w:t>
      </w:r>
      <w:r w:rsidR="003B50ED">
        <w:rPr>
          <w:rFonts w:cstheme="minorHAnsi"/>
        </w:rPr>
        <w:t xml:space="preserve"> </w:t>
      </w:r>
      <w:r w:rsidRPr="00A26C26">
        <w:rPr>
          <w:rFonts w:cstheme="minorHAnsi"/>
        </w:rPr>
        <w:t>zarówno</w:t>
      </w:r>
      <w:r w:rsidR="003B50ED">
        <w:rPr>
          <w:rFonts w:cstheme="minorHAnsi"/>
        </w:rPr>
        <w:t xml:space="preserve"> </w:t>
      </w:r>
      <w:r w:rsidRPr="00A26C26">
        <w:rPr>
          <w:rFonts w:cstheme="minorHAnsi"/>
        </w:rPr>
        <w:t>konkretnych</w:t>
      </w:r>
      <w:r w:rsidR="003B50ED">
        <w:rPr>
          <w:rFonts w:cstheme="minorHAnsi"/>
        </w:rPr>
        <w:t xml:space="preserve"> </w:t>
      </w:r>
      <w:r w:rsidRPr="00A26C26">
        <w:rPr>
          <w:rFonts w:cstheme="minorHAnsi"/>
        </w:rPr>
        <w:t>gmin</w:t>
      </w:r>
      <w:r w:rsidR="003B50ED">
        <w:rPr>
          <w:rFonts w:cstheme="minorHAnsi"/>
        </w:rPr>
        <w:t xml:space="preserve"> </w:t>
      </w:r>
      <w:r w:rsidRPr="00A26C26">
        <w:rPr>
          <w:rFonts w:cstheme="minorHAnsi"/>
        </w:rPr>
        <w:t>jak</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województwa.</w:t>
      </w:r>
    </w:p>
    <w:p w14:paraId="3206151C" w14:textId="17822E01" w:rsidR="00224658" w:rsidRPr="00A26C26" w:rsidRDefault="00224658" w:rsidP="00A26C26">
      <w:pPr>
        <w:spacing w:line="276" w:lineRule="auto"/>
        <w:ind w:firstLine="284"/>
        <w:jc w:val="both"/>
        <w:rPr>
          <w:rFonts w:cstheme="minorHAnsi"/>
        </w:rPr>
      </w:pPr>
      <w:r w:rsidRPr="00A26C26">
        <w:rPr>
          <w:rFonts w:cstheme="minorHAnsi"/>
        </w:rPr>
        <w:t>W</w:t>
      </w:r>
      <w:r w:rsidR="003B50ED">
        <w:rPr>
          <w:rFonts w:cstheme="minorHAnsi"/>
        </w:rPr>
        <w:t xml:space="preserve"> </w:t>
      </w:r>
      <w:r w:rsidRPr="00A26C26">
        <w:rPr>
          <w:rFonts w:cstheme="minorHAnsi"/>
        </w:rPr>
        <w:t>ramach</w:t>
      </w:r>
      <w:r w:rsidR="003B50ED">
        <w:rPr>
          <w:rFonts w:cstheme="minorHAnsi"/>
        </w:rPr>
        <w:t xml:space="preserve"> </w:t>
      </w:r>
      <w:r w:rsidR="00AB742D">
        <w:rPr>
          <w:rFonts w:cstheme="minorHAnsi"/>
        </w:rPr>
        <w:t xml:space="preserve">LSR </w:t>
      </w:r>
      <w:r w:rsidRPr="00A26C26">
        <w:rPr>
          <w:rFonts w:cstheme="minorHAnsi"/>
        </w:rPr>
        <w:t>na</w:t>
      </w:r>
      <w:r w:rsidR="003B50ED">
        <w:rPr>
          <w:rFonts w:cstheme="minorHAnsi"/>
        </w:rPr>
        <w:t xml:space="preserve"> </w:t>
      </w:r>
      <w:r w:rsidRPr="00A26C26">
        <w:rPr>
          <w:rFonts w:cstheme="minorHAnsi"/>
        </w:rPr>
        <w:t>lata</w:t>
      </w:r>
      <w:r w:rsidR="003B50ED">
        <w:rPr>
          <w:rFonts w:cstheme="minorHAnsi"/>
        </w:rPr>
        <w:t xml:space="preserve"> </w:t>
      </w:r>
      <w:r w:rsidRPr="00A26C26">
        <w:rPr>
          <w:rFonts w:cstheme="minorHAnsi"/>
        </w:rPr>
        <w:t>2023-2027</w:t>
      </w:r>
      <w:r w:rsidR="003B50ED">
        <w:rPr>
          <w:rFonts w:cstheme="minorHAnsi"/>
        </w:rPr>
        <w:t xml:space="preserve"> </w:t>
      </w:r>
      <w:r w:rsidRPr="00A26C26">
        <w:rPr>
          <w:rFonts w:cstheme="minorHAnsi"/>
        </w:rPr>
        <w:t>planuje</w:t>
      </w:r>
      <w:r w:rsidR="003B50ED">
        <w:rPr>
          <w:rFonts w:cstheme="minorHAnsi"/>
        </w:rPr>
        <w:t xml:space="preserve"> </w:t>
      </w:r>
      <w:r w:rsidRPr="00A26C26">
        <w:rPr>
          <w:rFonts w:cstheme="minorHAnsi"/>
        </w:rPr>
        <w:t>się</w:t>
      </w:r>
      <w:r w:rsidR="003B50ED">
        <w:rPr>
          <w:rFonts w:cstheme="minorHAnsi"/>
        </w:rPr>
        <w:t xml:space="preserve"> </w:t>
      </w:r>
      <w:r w:rsidRPr="00A26C26">
        <w:rPr>
          <w:rFonts w:cstheme="minorHAnsi"/>
        </w:rPr>
        <w:t>realizacje</w:t>
      </w:r>
      <w:r w:rsidR="003B50ED">
        <w:rPr>
          <w:rFonts w:cstheme="minorHAnsi"/>
        </w:rPr>
        <w:t xml:space="preserve"> </w:t>
      </w:r>
      <w:r w:rsidRPr="00A26C26">
        <w:rPr>
          <w:rFonts w:cstheme="minorHAnsi"/>
        </w:rPr>
        <w:t>szeregu</w:t>
      </w:r>
      <w:r w:rsidR="003B50ED">
        <w:rPr>
          <w:rFonts w:cstheme="minorHAnsi"/>
        </w:rPr>
        <w:t xml:space="preserve"> </w:t>
      </w:r>
      <w:r w:rsidRPr="00A26C26">
        <w:rPr>
          <w:rFonts w:cstheme="minorHAnsi"/>
        </w:rPr>
        <w:t>indywidualnych</w:t>
      </w:r>
      <w:r w:rsidR="003B50ED">
        <w:rPr>
          <w:rFonts w:cstheme="minorHAnsi"/>
        </w:rPr>
        <w:t xml:space="preserve"> </w:t>
      </w:r>
      <w:r w:rsidRPr="00A26C26">
        <w:rPr>
          <w:rFonts w:cstheme="minorHAnsi"/>
        </w:rPr>
        <w:t>przedsięwzięć</w:t>
      </w:r>
      <w:r w:rsidR="003B50ED">
        <w:rPr>
          <w:rFonts w:cstheme="minorHAnsi"/>
        </w:rPr>
        <w:t xml:space="preserve"> </w:t>
      </w:r>
      <w:r w:rsidRPr="00A26C26">
        <w:rPr>
          <w:rFonts w:cstheme="minorHAnsi"/>
        </w:rPr>
        <w:t>zarówno</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zakresu</w:t>
      </w:r>
      <w:r w:rsidR="003B50ED">
        <w:rPr>
          <w:rFonts w:cstheme="minorHAnsi"/>
        </w:rPr>
        <w:t xml:space="preserve"> </w:t>
      </w:r>
      <w:r w:rsidRPr="00A26C26">
        <w:rPr>
          <w:rFonts w:cstheme="minorHAnsi"/>
        </w:rPr>
        <w:t>przedsiębiorczości</w:t>
      </w:r>
      <w:r w:rsidR="003B50ED">
        <w:rPr>
          <w:rFonts w:cstheme="minorHAnsi"/>
        </w:rPr>
        <w:t xml:space="preserve"> </w:t>
      </w:r>
      <w:r w:rsidRPr="00A26C26">
        <w:rPr>
          <w:rFonts w:cstheme="minorHAnsi"/>
        </w:rPr>
        <w:t>jak</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infrastruktury</w:t>
      </w:r>
      <w:r w:rsidR="003B50ED">
        <w:rPr>
          <w:rFonts w:cstheme="minorHAnsi"/>
        </w:rPr>
        <w:t xml:space="preserve"> </w:t>
      </w:r>
      <w:r w:rsidRPr="00A26C26">
        <w:rPr>
          <w:rFonts w:cstheme="minorHAnsi"/>
        </w:rPr>
        <w:t>rekreacyjnej</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turystycznej.</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obszarze</w:t>
      </w:r>
      <w:r w:rsidR="003B50ED">
        <w:rPr>
          <w:rFonts w:cstheme="minorHAnsi"/>
        </w:rPr>
        <w:t xml:space="preserve"> </w:t>
      </w:r>
      <w:r w:rsidRPr="00A26C26">
        <w:rPr>
          <w:rFonts w:cstheme="minorHAnsi"/>
        </w:rPr>
        <w:t>LGD</w:t>
      </w:r>
      <w:r w:rsidR="003B50ED">
        <w:rPr>
          <w:rFonts w:cstheme="minorHAnsi"/>
        </w:rPr>
        <w:t xml:space="preserve"> </w:t>
      </w:r>
      <w:r w:rsidRPr="00A26C26">
        <w:rPr>
          <w:rFonts w:cstheme="minorHAnsi"/>
        </w:rPr>
        <w:t>„Solidarni</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Partnerstwie”</w:t>
      </w:r>
      <w:r w:rsidR="003B50ED">
        <w:rPr>
          <w:rFonts w:cstheme="minorHAnsi"/>
        </w:rPr>
        <w:t xml:space="preserve"> </w:t>
      </w:r>
      <w:r w:rsidRPr="00A26C26">
        <w:rPr>
          <w:rFonts w:cstheme="minorHAnsi"/>
        </w:rPr>
        <w:t>każda</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gmin</w:t>
      </w:r>
      <w:r w:rsidR="003B50ED">
        <w:rPr>
          <w:rFonts w:cstheme="minorHAnsi"/>
        </w:rPr>
        <w:t xml:space="preserve"> </w:t>
      </w:r>
      <w:r w:rsidRPr="00A26C26">
        <w:rPr>
          <w:rFonts w:cstheme="minorHAnsi"/>
        </w:rPr>
        <w:t>członkowskich</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bieżąco</w:t>
      </w:r>
      <w:r w:rsidR="003B50ED">
        <w:rPr>
          <w:rFonts w:cstheme="minorHAnsi"/>
        </w:rPr>
        <w:t xml:space="preserve"> </w:t>
      </w:r>
      <w:r w:rsidRPr="00A26C26">
        <w:rPr>
          <w:rFonts w:cstheme="minorHAnsi"/>
        </w:rPr>
        <w:t>aktualizuje</w:t>
      </w:r>
      <w:r w:rsidR="003B50ED">
        <w:rPr>
          <w:rFonts w:cstheme="minorHAnsi"/>
        </w:rPr>
        <w:t xml:space="preserve"> </w:t>
      </w:r>
      <w:r w:rsidRPr="00A26C26">
        <w:rPr>
          <w:rFonts w:cstheme="minorHAnsi"/>
        </w:rPr>
        <w:t>Miejscowe</w:t>
      </w:r>
      <w:r w:rsidR="003B50ED">
        <w:rPr>
          <w:rFonts w:cstheme="minorHAnsi"/>
        </w:rPr>
        <w:t xml:space="preserve"> </w:t>
      </w:r>
      <w:r w:rsidRPr="00A26C26">
        <w:rPr>
          <w:rFonts w:cstheme="minorHAnsi"/>
        </w:rPr>
        <w:t>Plany</w:t>
      </w:r>
      <w:r w:rsidR="003B50ED">
        <w:rPr>
          <w:rFonts w:cstheme="minorHAnsi"/>
        </w:rPr>
        <w:t xml:space="preserve"> </w:t>
      </w:r>
      <w:r w:rsidRPr="00A26C26">
        <w:rPr>
          <w:rFonts w:cstheme="minorHAnsi"/>
        </w:rPr>
        <w:t>Zagospodarowania</w:t>
      </w:r>
      <w:r w:rsidR="003B50ED">
        <w:rPr>
          <w:rFonts w:cstheme="minorHAnsi"/>
        </w:rPr>
        <w:t xml:space="preserve"> </w:t>
      </w:r>
      <w:r w:rsidRPr="00A26C26">
        <w:rPr>
          <w:rFonts w:cstheme="minorHAnsi"/>
        </w:rPr>
        <w:t>Przestrzennego,</w:t>
      </w:r>
      <w:r w:rsidR="003B50ED">
        <w:rPr>
          <w:rFonts w:cstheme="minorHAnsi"/>
        </w:rPr>
        <w:t xml:space="preserve"> </w:t>
      </w:r>
      <w:r w:rsidRPr="00A26C26">
        <w:rPr>
          <w:rFonts w:cstheme="minorHAnsi"/>
        </w:rPr>
        <w:t>które</w:t>
      </w:r>
      <w:r w:rsidR="003B50ED">
        <w:rPr>
          <w:rFonts w:cstheme="minorHAnsi"/>
        </w:rPr>
        <w:t xml:space="preserve"> </w:t>
      </w:r>
      <w:r w:rsidRPr="00A26C26">
        <w:rPr>
          <w:rFonts w:cstheme="minorHAnsi"/>
        </w:rPr>
        <w:t>dodatkowo</w:t>
      </w:r>
      <w:r w:rsidR="003B50ED">
        <w:rPr>
          <w:rFonts w:cstheme="minorHAnsi"/>
        </w:rPr>
        <w:t xml:space="preserve"> </w:t>
      </w:r>
      <w:r w:rsidRPr="00A26C26">
        <w:rPr>
          <w:rFonts w:cstheme="minorHAnsi"/>
        </w:rPr>
        <w:t>widoczne</w:t>
      </w:r>
      <w:r w:rsidR="003B50ED">
        <w:rPr>
          <w:rFonts w:cstheme="minorHAnsi"/>
        </w:rPr>
        <w:t xml:space="preserve"> </w:t>
      </w:r>
      <w:r w:rsidRPr="00A26C26">
        <w:rPr>
          <w:rFonts w:cstheme="minorHAnsi"/>
        </w:rPr>
        <w:t>są</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Systemie</w:t>
      </w:r>
      <w:r w:rsidR="003B50ED">
        <w:rPr>
          <w:rFonts w:cstheme="minorHAnsi"/>
        </w:rPr>
        <w:t xml:space="preserve"> </w:t>
      </w:r>
      <w:r w:rsidRPr="00A26C26">
        <w:rPr>
          <w:rFonts w:cstheme="minorHAnsi"/>
        </w:rPr>
        <w:t>Informacji</w:t>
      </w:r>
      <w:r w:rsidR="003B50ED">
        <w:rPr>
          <w:rFonts w:cstheme="minorHAnsi"/>
        </w:rPr>
        <w:t xml:space="preserve"> </w:t>
      </w:r>
      <w:r w:rsidRPr="00A26C26">
        <w:rPr>
          <w:rFonts w:cstheme="minorHAnsi"/>
        </w:rPr>
        <w:t>Przestrzennej</w:t>
      </w:r>
      <w:r w:rsidR="003B50ED">
        <w:rPr>
          <w:rFonts w:cstheme="minorHAnsi"/>
        </w:rPr>
        <w:t xml:space="preserve"> </w:t>
      </w:r>
      <w:r w:rsidRPr="00A26C26">
        <w:rPr>
          <w:rFonts w:cstheme="minorHAnsi"/>
        </w:rPr>
        <w:t>dostępnej</w:t>
      </w:r>
      <w:r w:rsidR="003B50ED">
        <w:rPr>
          <w:rFonts w:cstheme="minorHAnsi"/>
        </w:rPr>
        <w:t xml:space="preserve"> </w:t>
      </w:r>
      <w:r w:rsidRPr="00A26C26">
        <w:rPr>
          <w:rFonts w:cstheme="minorHAnsi"/>
        </w:rPr>
        <w:t>online.</w:t>
      </w:r>
      <w:r w:rsidR="003B50ED">
        <w:rPr>
          <w:rFonts w:cstheme="minorHAnsi"/>
        </w:rPr>
        <w:t xml:space="preserve"> </w:t>
      </w:r>
      <w:r w:rsidRPr="00A26C26">
        <w:rPr>
          <w:rFonts w:cstheme="minorHAnsi"/>
        </w:rPr>
        <w:t>Dlatego</w:t>
      </w:r>
      <w:r w:rsidR="003B50ED">
        <w:rPr>
          <w:rFonts w:cstheme="minorHAnsi"/>
        </w:rPr>
        <w:t xml:space="preserve"> </w:t>
      </w:r>
      <w:r w:rsidRPr="00A26C26">
        <w:rPr>
          <w:rFonts w:cstheme="minorHAnsi"/>
        </w:rPr>
        <w:t>też,</w:t>
      </w:r>
      <w:r w:rsidR="003B50ED">
        <w:rPr>
          <w:rFonts w:cstheme="minorHAnsi"/>
        </w:rPr>
        <w:t xml:space="preserve"> </w:t>
      </w:r>
      <w:r w:rsidRPr="00A26C26">
        <w:rPr>
          <w:rFonts w:cstheme="minorHAnsi"/>
        </w:rPr>
        <w:t>wzorem</w:t>
      </w:r>
      <w:r w:rsidR="003B50ED">
        <w:rPr>
          <w:rFonts w:cstheme="minorHAnsi"/>
        </w:rPr>
        <w:t xml:space="preserve"> </w:t>
      </w:r>
      <w:r w:rsidRPr="00A26C26">
        <w:rPr>
          <w:rFonts w:cstheme="minorHAnsi"/>
        </w:rPr>
        <w:t>lat</w:t>
      </w:r>
      <w:r w:rsidR="003B50ED">
        <w:rPr>
          <w:rFonts w:cstheme="minorHAnsi"/>
        </w:rPr>
        <w:t xml:space="preserve"> </w:t>
      </w:r>
      <w:r w:rsidRPr="00A26C26">
        <w:rPr>
          <w:rFonts w:cstheme="minorHAnsi"/>
        </w:rPr>
        <w:t>ubiegłych</w:t>
      </w:r>
      <w:r w:rsidR="003B50ED">
        <w:rPr>
          <w:rFonts w:cstheme="minorHAnsi"/>
        </w:rPr>
        <w:t xml:space="preserve"> </w:t>
      </w:r>
      <w:r w:rsidRPr="00A26C26">
        <w:rPr>
          <w:rFonts w:cstheme="minorHAnsi"/>
        </w:rPr>
        <w:t>każdy</w:t>
      </w:r>
      <w:r w:rsidR="003B50ED">
        <w:rPr>
          <w:rFonts w:cstheme="minorHAnsi"/>
        </w:rPr>
        <w:t xml:space="preserve"> </w:t>
      </w:r>
      <w:r w:rsidRPr="00A26C26">
        <w:rPr>
          <w:rFonts w:cstheme="minorHAnsi"/>
        </w:rPr>
        <w:t>beneficjent,</w:t>
      </w:r>
      <w:r w:rsidR="003B50ED">
        <w:rPr>
          <w:rFonts w:cstheme="minorHAnsi"/>
        </w:rPr>
        <w:t xml:space="preserve"> </w:t>
      </w:r>
      <w:r w:rsidRPr="00A26C26">
        <w:rPr>
          <w:rFonts w:cstheme="minorHAnsi"/>
        </w:rPr>
        <w:t>który</w:t>
      </w:r>
      <w:r w:rsidR="003B50ED">
        <w:rPr>
          <w:rFonts w:cstheme="minorHAnsi"/>
        </w:rPr>
        <w:t xml:space="preserve"> </w:t>
      </w:r>
      <w:r w:rsidRPr="00A26C26">
        <w:rPr>
          <w:rFonts w:cstheme="minorHAnsi"/>
        </w:rPr>
        <w:t>będzie</w:t>
      </w:r>
      <w:r w:rsidR="003B50ED">
        <w:rPr>
          <w:rFonts w:cstheme="minorHAnsi"/>
        </w:rPr>
        <w:t xml:space="preserve"> </w:t>
      </w:r>
      <w:r w:rsidRPr="00A26C26">
        <w:rPr>
          <w:rFonts w:cstheme="minorHAnsi"/>
        </w:rPr>
        <w:t>zamierzał</w:t>
      </w:r>
      <w:r w:rsidR="003B50ED">
        <w:rPr>
          <w:rFonts w:cstheme="minorHAnsi"/>
        </w:rPr>
        <w:t xml:space="preserve"> </w:t>
      </w:r>
      <w:r w:rsidRPr="00A26C26">
        <w:rPr>
          <w:rFonts w:cstheme="minorHAnsi"/>
        </w:rPr>
        <w:t>realizować</w:t>
      </w:r>
      <w:r w:rsidR="003B50ED">
        <w:rPr>
          <w:rFonts w:cstheme="minorHAnsi"/>
        </w:rPr>
        <w:t xml:space="preserve"> </w:t>
      </w:r>
      <w:r w:rsidRPr="00A26C26">
        <w:rPr>
          <w:rFonts w:cstheme="minorHAnsi"/>
        </w:rPr>
        <w:t>operację</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zakresie</w:t>
      </w:r>
      <w:r w:rsidR="003B50ED">
        <w:rPr>
          <w:rFonts w:cstheme="minorHAnsi"/>
        </w:rPr>
        <w:t xml:space="preserve"> </w:t>
      </w:r>
      <w:r w:rsidRPr="00A26C26">
        <w:rPr>
          <w:rFonts w:cstheme="minorHAnsi"/>
        </w:rPr>
        <w:t>infrastruktury</w:t>
      </w:r>
      <w:r w:rsidR="003B50ED">
        <w:rPr>
          <w:rFonts w:cstheme="minorHAnsi"/>
        </w:rPr>
        <w:t xml:space="preserve"> </w:t>
      </w:r>
      <w:r w:rsidRPr="00A26C26">
        <w:rPr>
          <w:rFonts w:cstheme="minorHAnsi"/>
        </w:rPr>
        <w:t>będzie</w:t>
      </w:r>
      <w:r w:rsidR="003B50ED">
        <w:rPr>
          <w:rFonts w:cstheme="minorHAnsi"/>
        </w:rPr>
        <w:t xml:space="preserve"> </w:t>
      </w:r>
      <w:r w:rsidRPr="00A26C26">
        <w:rPr>
          <w:rFonts w:cstheme="minorHAnsi"/>
        </w:rPr>
        <w:t>zobowiązany</w:t>
      </w:r>
      <w:r w:rsidR="003B50ED">
        <w:rPr>
          <w:rFonts w:cstheme="minorHAnsi"/>
        </w:rPr>
        <w:t xml:space="preserve"> </w:t>
      </w:r>
      <w:r w:rsidRPr="00A26C26">
        <w:rPr>
          <w:rFonts w:cstheme="minorHAnsi"/>
        </w:rPr>
        <w:t>do</w:t>
      </w:r>
      <w:r w:rsidR="003B50ED">
        <w:rPr>
          <w:rFonts w:cstheme="minorHAnsi"/>
        </w:rPr>
        <w:t xml:space="preserve"> </w:t>
      </w:r>
      <w:r w:rsidRPr="00A26C26">
        <w:rPr>
          <w:rFonts w:cstheme="minorHAnsi"/>
        </w:rPr>
        <w:t>przestrzegania</w:t>
      </w:r>
      <w:r w:rsidR="003B50ED">
        <w:rPr>
          <w:rFonts w:cstheme="minorHAnsi"/>
        </w:rPr>
        <w:t xml:space="preserve"> </w:t>
      </w:r>
      <w:r w:rsidRPr="00A26C26">
        <w:rPr>
          <w:rFonts w:cstheme="minorHAnsi"/>
        </w:rPr>
        <w:t>obowiązujących</w:t>
      </w:r>
      <w:r w:rsidR="003B50ED">
        <w:rPr>
          <w:rFonts w:cstheme="minorHAnsi"/>
        </w:rPr>
        <w:t xml:space="preserve"> </w:t>
      </w:r>
      <w:r w:rsidRPr="00A26C26">
        <w:rPr>
          <w:rFonts w:cstheme="minorHAnsi"/>
        </w:rPr>
        <w:t>zapisów</w:t>
      </w:r>
      <w:r w:rsidR="003B50ED">
        <w:rPr>
          <w:rFonts w:cstheme="minorHAnsi"/>
        </w:rPr>
        <w:t xml:space="preserve"> </w:t>
      </w:r>
      <w:r w:rsidRPr="00A26C26">
        <w:rPr>
          <w:rFonts w:cstheme="minorHAnsi"/>
        </w:rPr>
        <w:t>MPZP.</w:t>
      </w:r>
    </w:p>
    <w:p w14:paraId="63828979" w14:textId="31D28D8D" w:rsidR="00224658" w:rsidRPr="00F16251" w:rsidRDefault="00224658" w:rsidP="00AA737D">
      <w:pPr>
        <w:spacing w:line="276" w:lineRule="auto"/>
        <w:ind w:firstLine="284"/>
        <w:jc w:val="both"/>
        <w:rPr>
          <w:rFonts w:cstheme="minorHAnsi"/>
        </w:rPr>
      </w:pPr>
      <w:r w:rsidRPr="00A26C26">
        <w:rPr>
          <w:rFonts w:cstheme="minorHAnsi"/>
        </w:rPr>
        <w:t>Ponadto,</w:t>
      </w:r>
      <w:r w:rsidR="003B50ED">
        <w:rPr>
          <w:rFonts w:cstheme="minorHAnsi"/>
        </w:rPr>
        <w:t xml:space="preserve"> </w:t>
      </w:r>
      <w:r w:rsidRPr="00A26C26">
        <w:rPr>
          <w:rFonts w:cstheme="minorHAnsi"/>
        </w:rPr>
        <w:t>w</w:t>
      </w:r>
      <w:r w:rsidR="003B50ED">
        <w:rPr>
          <w:rFonts w:cstheme="minorHAnsi"/>
        </w:rPr>
        <w:t xml:space="preserve"> </w:t>
      </w:r>
      <w:r w:rsidRPr="00F16251">
        <w:rPr>
          <w:rFonts w:cstheme="minorHAnsi"/>
        </w:rPr>
        <w:t>Strategii</w:t>
      </w:r>
      <w:r w:rsidR="003B50ED" w:rsidRPr="00F16251">
        <w:rPr>
          <w:rFonts w:cstheme="minorHAnsi"/>
        </w:rPr>
        <w:t xml:space="preserve"> </w:t>
      </w:r>
      <w:r w:rsidRPr="00F16251">
        <w:rPr>
          <w:rFonts w:cstheme="minorHAnsi"/>
        </w:rPr>
        <w:t>Województwa</w:t>
      </w:r>
      <w:r w:rsidR="003B50ED" w:rsidRPr="00F16251">
        <w:rPr>
          <w:rFonts w:cstheme="minorHAnsi"/>
        </w:rPr>
        <w:t xml:space="preserve"> </w:t>
      </w:r>
      <w:r w:rsidRPr="00F16251">
        <w:rPr>
          <w:rFonts w:cstheme="minorHAnsi"/>
        </w:rPr>
        <w:t>Wielkopolskiego</w:t>
      </w:r>
      <w:r w:rsidR="003B50ED" w:rsidRPr="00F16251">
        <w:rPr>
          <w:rFonts w:cstheme="minorHAnsi"/>
        </w:rPr>
        <w:t xml:space="preserve"> </w:t>
      </w:r>
      <w:r w:rsidRPr="00F16251">
        <w:rPr>
          <w:rFonts w:cstheme="minorHAnsi"/>
        </w:rPr>
        <w:t>2030</w:t>
      </w:r>
      <w:r w:rsidR="003B50ED" w:rsidRPr="00F16251">
        <w:rPr>
          <w:rFonts w:cstheme="minorHAnsi"/>
        </w:rPr>
        <w:t xml:space="preserve"> </w:t>
      </w:r>
      <w:r w:rsidRPr="00F16251">
        <w:rPr>
          <w:rFonts w:cstheme="minorHAnsi"/>
        </w:rPr>
        <w:t>podkreślono,</w:t>
      </w:r>
      <w:r w:rsidR="003B50ED" w:rsidRPr="00F16251">
        <w:rPr>
          <w:rFonts w:cstheme="minorHAnsi"/>
        </w:rPr>
        <w:t xml:space="preserve"> </w:t>
      </w:r>
      <w:r w:rsidRPr="00F16251">
        <w:rPr>
          <w:rFonts w:cstheme="minorHAnsi"/>
        </w:rPr>
        <w:t>że</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ostatnich</w:t>
      </w:r>
      <w:r w:rsidR="003B50ED" w:rsidRPr="00F16251">
        <w:rPr>
          <w:rFonts w:cstheme="minorHAnsi"/>
        </w:rPr>
        <w:t xml:space="preserve"> </w:t>
      </w:r>
      <w:r w:rsidRPr="00F16251">
        <w:rPr>
          <w:rFonts w:cstheme="minorHAnsi"/>
        </w:rPr>
        <w:t>latach</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województwie</w:t>
      </w:r>
      <w:r w:rsidR="003B50ED" w:rsidRPr="00F16251">
        <w:rPr>
          <w:rFonts w:cstheme="minorHAnsi"/>
        </w:rPr>
        <w:t xml:space="preserve"> </w:t>
      </w:r>
      <w:r w:rsidRPr="00F16251">
        <w:rPr>
          <w:rFonts w:cstheme="minorHAnsi"/>
        </w:rPr>
        <w:t>wielkopolskim</w:t>
      </w:r>
      <w:r w:rsidR="003B50ED" w:rsidRPr="00F16251">
        <w:rPr>
          <w:rFonts w:cstheme="minorHAnsi"/>
        </w:rPr>
        <w:t xml:space="preserve"> </w:t>
      </w:r>
      <w:r w:rsidRPr="00F16251">
        <w:rPr>
          <w:rFonts w:cstheme="minorHAnsi"/>
        </w:rPr>
        <w:t>zaobserwować</w:t>
      </w:r>
      <w:r w:rsidR="003B50ED" w:rsidRPr="00F16251">
        <w:rPr>
          <w:rFonts w:cstheme="minorHAnsi"/>
        </w:rPr>
        <w:t xml:space="preserve"> </w:t>
      </w:r>
      <w:r w:rsidRPr="00F16251">
        <w:rPr>
          <w:rFonts w:cstheme="minorHAnsi"/>
        </w:rPr>
        <w:t>można</w:t>
      </w:r>
      <w:r w:rsidR="003B50ED" w:rsidRPr="00F16251">
        <w:rPr>
          <w:rFonts w:cstheme="minorHAnsi"/>
        </w:rPr>
        <w:t xml:space="preserve"> </w:t>
      </w:r>
      <w:r w:rsidRPr="00F16251">
        <w:rPr>
          <w:rFonts w:cstheme="minorHAnsi"/>
        </w:rPr>
        <w:t>wzrost</w:t>
      </w:r>
      <w:r w:rsidR="003B50ED" w:rsidRPr="00F16251">
        <w:rPr>
          <w:rFonts w:cstheme="minorHAnsi"/>
        </w:rPr>
        <w:t xml:space="preserve"> </w:t>
      </w:r>
      <w:r w:rsidRPr="00F16251">
        <w:rPr>
          <w:rFonts w:cstheme="minorHAnsi"/>
        </w:rPr>
        <w:t>wielofunkcyjności</w:t>
      </w:r>
      <w:r w:rsidR="003B50ED" w:rsidRPr="00F16251">
        <w:rPr>
          <w:rFonts w:cstheme="minorHAnsi"/>
        </w:rPr>
        <w:t xml:space="preserve"> </w:t>
      </w:r>
      <w:r w:rsidRPr="00F16251">
        <w:rPr>
          <w:rFonts w:cstheme="minorHAnsi"/>
        </w:rPr>
        <w:t>gospodarczej</w:t>
      </w:r>
      <w:r w:rsidR="003B50ED" w:rsidRPr="00F16251">
        <w:rPr>
          <w:rFonts w:cstheme="minorHAnsi"/>
        </w:rPr>
        <w:t xml:space="preserve"> </w:t>
      </w:r>
      <w:r w:rsidRPr="00F16251">
        <w:rPr>
          <w:rFonts w:cstheme="minorHAnsi"/>
        </w:rPr>
        <w:t>obszarów</w:t>
      </w:r>
      <w:r w:rsidR="003B50ED" w:rsidRPr="00F16251">
        <w:rPr>
          <w:rFonts w:cstheme="minorHAnsi"/>
        </w:rPr>
        <w:t xml:space="preserve"> </w:t>
      </w:r>
      <w:r w:rsidRPr="00F16251">
        <w:rPr>
          <w:rFonts w:cstheme="minorHAnsi"/>
        </w:rPr>
        <w:t>wiejskich,</w:t>
      </w:r>
      <w:r w:rsidR="003B50ED" w:rsidRPr="00F16251">
        <w:rPr>
          <w:rFonts w:cstheme="minorHAnsi"/>
        </w:rPr>
        <w:t xml:space="preserve"> </w:t>
      </w:r>
      <w:r w:rsidRPr="00F16251">
        <w:rPr>
          <w:rFonts w:cstheme="minorHAnsi"/>
        </w:rPr>
        <w:t>a</w:t>
      </w:r>
      <w:r w:rsidR="003B50ED" w:rsidRPr="00F16251">
        <w:rPr>
          <w:rFonts w:cstheme="minorHAnsi"/>
        </w:rPr>
        <w:t xml:space="preserve"> </w:t>
      </w:r>
      <w:r w:rsidRPr="00F16251">
        <w:rPr>
          <w:rFonts w:cstheme="minorHAnsi"/>
        </w:rPr>
        <w:t>dynamika</w:t>
      </w:r>
      <w:r w:rsidR="003B50ED" w:rsidRPr="00F16251">
        <w:rPr>
          <w:rFonts w:cstheme="minorHAnsi"/>
        </w:rPr>
        <w:t xml:space="preserve"> </w:t>
      </w:r>
      <w:r w:rsidRPr="00F16251">
        <w:rPr>
          <w:rFonts w:cstheme="minorHAnsi"/>
        </w:rPr>
        <w:t>rozwoju</w:t>
      </w:r>
      <w:r w:rsidR="003B50ED" w:rsidRPr="00F16251">
        <w:rPr>
          <w:rFonts w:cstheme="minorHAnsi"/>
        </w:rPr>
        <w:t xml:space="preserve"> </w:t>
      </w:r>
      <w:r w:rsidRPr="00F16251">
        <w:rPr>
          <w:rFonts w:cstheme="minorHAnsi"/>
        </w:rPr>
        <w:t>funkcji</w:t>
      </w:r>
      <w:r w:rsidR="003B50ED" w:rsidRPr="00F16251">
        <w:rPr>
          <w:rFonts w:cstheme="minorHAnsi"/>
        </w:rPr>
        <w:t xml:space="preserve"> </w:t>
      </w:r>
      <w:r w:rsidRPr="00F16251">
        <w:rPr>
          <w:rFonts w:cstheme="minorHAnsi"/>
        </w:rPr>
        <w:t>pozarolniczych</w:t>
      </w:r>
      <w:r w:rsidR="003B50ED" w:rsidRPr="00F16251">
        <w:rPr>
          <w:rFonts w:cstheme="minorHAnsi"/>
        </w:rPr>
        <w:t xml:space="preserve"> </w:t>
      </w:r>
      <w:r w:rsidRPr="00F16251">
        <w:rPr>
          <w:rFonts w:cstheme="minorHAnsi"/>
        </w:rPr>
        <w:t>wyróżnia</w:t>
      </w:r>
      <w:r w:rsidR="003B50ED" w:rsidRPr="00F16251">
        <w:rPr>
          <w:rFonts w:cstheme="minorHAnsi"/>
        </w:rPr>
        <w:t xml:space="preserve"> </w:t>
      </w:r>
      <w:r w:rsidRPr="00F16251">
        <w:rPr>
          <w:rFonts w:cstheme="minorHAnsi"/>
        </w:rPr>
        <w:t>region</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tle</w:t>
      </w:r>
      <w:r w:rsidR="003B50ED" w:rsidRPr="00F16251">
        <w:rPr>
          <w:rFonts w:cstheme="minorHAnsi"/>
        </w:rPr>
        <w:t xml:space="preserve"> </w:t>
      </w:r>
      <w:r w:rsidRPr="00F16251">
        <w:rPr>
          <w:rFonts w:cstheme="minorHAnsi"/>
        </w:rPr>
        <w:t>kraju.</w:t>
      </w:r>
    </w:p>
    <w:p w14:paraId="21E0CC30" w14:textId="1D80505B" w:rsidR="00224658" w:rsidRPr="00F16251" w:rsidRDefault="00224658" w:rsidP="008A412F">
      <w:pPr>
        <w:pStyle w:val="Nagwek2"/>
        <w:numPr>
          <w:ilvl w:val="0"/>
          <w:numId w:val="11"/>
        </w:numPr>
        <w:spacing w:before="0" w:line="276" w:lineRule="auto"/>
        <w:rPr>
          <w:rFonts w:asciiTheme="minorHAnsi" w:hAnsiTheme="minorHAnsi" w:cstheme="minorHAnsi"/>
          <w:b/>
          <w:bCs/>
          <w:sz w:val="22"/>
          <w:szCs w:val="22"/>
        </w:rPr>
      </w:pPr>
      <w:bookmarkStart w:id="42" w:name="_Toc136260195"/>
      <w:bookmarkStart w:id="43" w:name="_Toc136944405"/>
      <w:r w:rsidRPr="00F16251">
        <w:rPr>
          <w:rFonts w:asciiTheme="minorHAnsi" w:hAnsiTheme="minorHAnsi" w:cstheme="minorHAnsi"/>
          <w:b/>
          <w:bCs/>
          <w:sz w:val="22"/>
          <w:szCs w:val="22"/>
        </w:rPr>
        <w:t>Stan</w:t>
      </w:r>
      <w:r w:rsidR="003B50ED" w:rsidRPr="00F16251">
        <w:rPr>
          <w:rFonts w:asciiTheme="minorHAnsi" w:hAnsiTheme="minorHAnsi" w:cstheme="minorHAnsi"/>
          <w:b/>
          <w:bCs/>
          <w:sz w:val="22"/>
          <w:szCs w:val="22"/>
        </w:rPr>
        <w:t xml:space="preserve"> </w:t>
      </w:r>
      <w:r w:rsidRPr="00F16251">
        <w:rPr>
          <w:rFonts w:asciiTheme="minorHAnsi" w:hAnsiTheme="minorHAnsi" w:cstheme="minorHAnsi"/>
          <w:b/>
          <w:bCs/>
          <w:sz w:val="22"/>
          <w:szCs w:val="22"/>
        </w:rPr>
        <w:t>infrastruktury</w:t>
      </w:r>
      <w:r w:rsidR="003B50ED" w:rsidRPr="00F16251">
        <w:rPr>
          <w:rFonts w:asciiTheme="minorHAnsi" w:hAnsiTheme="minorHAnsi" w:cstheme="minorHAnsi"/>
          <w:b/>
          <w:bCs/>
          <w:sz w:val="22"/>
          <w:szCs w:val="22"/>
        </w:rPr>
        <w:t xml:space="preserve"> </w:t>
      </w:r>
      <w:r w:rsidRPr="00F16251">
        <w:rPr>
          <w:rFonts w:asciiTheme="minorHAnsi" w:hAnsiTheme="minorHAnsi" w:cstheme="minorHAnsi"/>
          <w:b/>
          <w:bCs/>
          <w:sz w:val="22"/>
          <w:szCs w:val="22"/>
        </w:rPr>
        <w:t>w</w:t>
      </w:r>
      <w:r w:rsidR="003B50ED" w:rsidRPr="00F16251">
        <w:rPr>
          <w:rFonts w:asciiTheme="minorHAnsi" w:hAnsiTheme="minorHAnsi" w:cstheme="minorHAnsi"/>
          <w:b/>
          <w:bCs/>
          <w:sz w:val="22"/>
          <w:szCs w:val="22"/>
        </w:rPr>
        <w:t xml:space="preserve"> </w:t>
      </w:r>
      <w:r w:rsidRPr="00F16251">
        <w:rPr>
          <w:rFonts w:asciiTheme="minorHAnsi" w:hAnsiTheme="minorHAnsi" w:cstheme="minorHAnsi"/>
          <w:b/>
          <w:bCs/>
          <w:sz w:val="22"/>
          <w:szCs w:val="22"/>
        </w:rPr>
        <w:t>kontekście</w:t>
      </w:r>
      <w:r w:rsidR="003B50ED" w:rsidRPr="00F16251">
        <w:rPr>
          <w:rFonts w:asciiTheme="minorHAnsi" w:hAnsiTheme="minorHAnsi" w:cstheme="minorHAnsi"/>
          <w:b/>
          <w:bCs/>
          <w:sz w:val="22"/>
          <w:szCs w:val="22"/>
        </w:rPr>
        <w:t xml:space="preserve"> </w:t>
      </w:r>
      <w:r w:rsidRPr="00F16251">
        <w:rPr>
          <w:rFonts w:asciiTheme="minorHAnsi" w:hAnsiTheme="minorHAnsi" w:cstheme="minorHAnsi"/>
          <w:b/>
          <w:bCs/>
          <w:sz w:val="22"/>
          <w:szCs w:val="22"/>
        </w:rPr>
        <w:t>potrzeb</w:t>
      </w:r>
      <w:r w:rsidR="003B50ED" w:rsidRPr="00F16251">
        <w:rPr>
          <w:rFonts w:asciiTheme="minorHAnsi" w:hAnsiTheme="minorHAnsi" w:cstheme="minorHAnsi"/>
          <w:b/>
          <w:bCs/>
          <w:sz w:val="22"/>
          <w:szCs w:val="22"/>
        </w:rPr>
        <w:t xml:space="preserve"> </w:t>
      </w:r>
      <w:r w:rsidRPr="00F16251">
        <w:rPr>
          <w:rFonts w:asciiTheme="minorHAnsi" w:hAnsiTheme="minorHAnsi" w:cstheme="minorHAnsi"/>
          <w:b/>
          <w:bCs/>
          <w:sz w:val="22"/>
          <w:szCs w:val="22"/>
        </w:rPr>
        <w:t>rewitalizacji</w:t>
      </w:r>
      <w:bookmarkEnd w:id="42"/>
      <w:bookmarkEnd w:id="43"/>
    </w:p>
    <w:p w14:paraId="03A3FE69" w14:textId="758D2ED0" w:rsidR="00224658" w:rsidRPr="00AA737D" w:rsidRDefault="00A372F4" w:rsidP="00AA737D">
      <w:pPr>
        <w:spacing w:line="276" w:lineRule="auto"/>
        <w:ind w:firstLine="360"/>
        <w:jc w:val="both"/>
        <w:rPr>
          <w:rFonts w:eastAsia="Calibri" w:cstheme="minorHAnsi"/>
        </w:rPr>
      </w:pPr>
      <w:r w:rsidRPr="00F16251">
        <w:rPr>
          <w:rFonts w:eastAsia="Calibri" w:cstheme="minorHAnsi"/>
        </w:rPr>
        <w:t>Zgodnie z zapisami PS dla WPR na lata 2023-2027, w ramach LSR nie będzie można realizować zadań z zakresu rewitalizacji. Dlatego zagadnienie to nie było poruszane w trakcie spotkań i konsultacji z mieszkańcami obszaru działania LGD „Solidarni w Partnerstwie”.</w:t>
      </w:r>
    </w:p>
    <w:p w14:paraId="4563A955" w14:textId="54A5B002" w:rsidR="00224658" w:rsidRPr="00F16251" w:rsidRDefault="00224658" w:rsidP="008A412F">
      <w:pPr>
        <w:pStyle w:val="Nagwek2"/>
        <w:numPr>
          <w:ilvl w:val="0"/>
          <w:numId w:val="11"/>
        </w:numPr>
        <w:spacing w:before="0" w:line="276" w:lineRule="auto"/>
        <w:rPr>
          <w:rFonts w:asciiTheme="minorHAnsi" w:hAnsiTheme="minorHAnsi" w:cstheme="minorHAnsi"/>
          <w:b/>
          <w:bCs/>
          <w:sz w:val="22"/>
          <w:szCs w:val="22"/>
        </w:rPr>
      </w:pPr>
      <w:bookmarkStart w:id="44" w:name="_Toc136260196"/>
      <w:bookmarkStart w:id="45" w:name="_Toc136944406"/>
      <w:r w:rsidRPr="00F16251">
        <w:rPr>
          <w:rFonts w:asciiTheme="minorHAnsi" w:hAnsiTheme="minorHAnsi" w:cstheme="minorHAnsi"/>
          <w:b/>
          <w:bCs/>
          <w:sz w:val="22"/>
          <w:szCs w:val="22"/>
        </w:rPr>
        <w:t>Charakterystyka</w:t>
      </w:r>
      <w:r w:rsidR="003B50ED" w:rsidRPr="00F16251">
        <w:rPr>
          <w:rFonts w:asciiTheme="minorHAnsi" w:hAnsiTheme="minorHAnsi" w:cstheme="minorHAnsi"/>
          <w:b/>
          <w:bCs/>
          <w:sz w:val="22"/>
          <w:szCs w:val="22"/>
        </w:rPr>
        <w:t xml:space="preserve"> </w:t>
      </w:r>
      <w:r w:rsidRPr="00F16251">
        <w:rPr>
          <w:rFonts w:asciiTheme="minorHAnsi" w:hAnsiTheme="minorHAnsi" w:cstheme="minorHAnsi"/>
          <w:b/>
          <w:bCs/>
          <w:sz w:val="22"/>
          <w:szCs w:val="22"/>
        </w:rPr>
        <w:t>gospodarki/przedsiębiorczości</w:t>
      </w:r>
      <w:bookmarkEnd w:id="44"/>
      <w:bookmarkEnd w:id="45"/>
    </w:p>
    <w:p w14:paraId="5D4A085B" w14:textId="75905735" w:rsidR="00860118" w:rsidRPr="00A26C26" w:rsidRDefault="00224658" w:rsidP="00AA737D">
      <w:pPr>
        <w:spacing w:line="276" w:lineRule="auto"/>
        <w:ind w:firstLine="360"/>
        <w:jc w:val="both"/>
        <w:rPr>
          <w:rFonts w:cstheme="minorHAnsi"/>
        </w:rPr>
      </w:pPr>
      <w:r w:rsidRPr="00F16251">
        <w:rPr>
          <w:rFonts w:cstheme="minorHAnsi"/>
        </w:rPr>
        <w:t>Wszystkie</w:t>
      </w:r>
      <w:r w:rsidR="003B50ED" w:rsidRPr="00F16251">
        <w:rPr>
          <w:rFonts w:cstheme="minorHAnsi"/>
        </w:rPr>
        <w:t xml:space="preserve"> </w:t>
      </w:r>
      <w:r w:rsidRPr="00F16251">
        <w:rPr>
          <w:rFonts w:cstheme="minorHAnsi"/>
        </w:rPr>
        <w:t>gminy</w:t>
      </w:r>
      <w:r w:rsidR="003B50ED" w:rsidRPr="00F16251">
        <w:rPr>
          <w:rFonts w:cstheme="minorHAnsi"/>
        </w:rPr>
        <w:t xml:space="preserve"> </w:t>
      </w:r>
      <w:r w:rsidRPr="00F16251">
        <w:rPr>
          <w:rFonts w:cstheme="minorHAnsi"/>
        </w:rPr>
        <w:t>należące</w:t>
      </w:r>
      <w:r w:rsidR="003B50ED" w:rsidRPr="00F16251">
        <w:rPr>
          <w:rFonts w:cstheme="minorHAnsi"/>
        </w:rPr>
        <w:t xml:space="preserve"> </w:t>
      </w:r>
      <w:r w:rsidRPr="00F16251">
        <w:rPr>
          <w:rFonts w:cstheme="minorHAnsi"/>
        </w:rPr>
        <w:t>do</w:t>
      </w:r>
      <w:r w:rsidR="003B50ED" w:rsidRPr="00F16251">
        <w:rPr>
          <w:rFonts w:cstheme="minorHAnsi"/>
        </w:rPr>
        <w:t xml:space="preserve"> </w:t>
      </w:r>
      <w:r w:rsidR="00AB742D" w:rsidRPr="00F16251">
        <w:rPr>
          <w:rFonts w:cstheme="minorHAnsi"/>
        </w:rPr>
        <w:t xml:space="preserve">Stowarzyszenia „Solidarni w Partnerstwie” </w:t>
      </w:r>
      <w:r w:rsidRPr="00F16251">
        <w:rPr>
          <w:rFonts w:cstheme="minorHAnsi"/>
        </w:rPr>
        <w:t>odnotowują</w:t>
      </w:r>
      <w:r w:rsidR="003B50ED" w:rsidRPr="00F16251">
        <w:rPr>
          <w:rFonts w:cstheme="minorHAnsi"/>
        </w:rPr>
        <w:t xml:space="preserve"> </w:t>
      </w:r>
      <w:r w:rsidRPr="00F16251">
        <w:rPr>
          <w:rFonts w:cstheme="minorHAnsi"/>
        </w:rPr>
        <w:t>wzrost</w:t>
      </w:r>
      <w:r w:rsidR="003B50ED" w:rsidRPr="00F16251">
        <w:rPr>
          <w:rFonts w:cstheme="minorHAnsi"/>
        </w:rPr>
        <w:t xml:space="preserve"> </w:t>
      </w:r>
      <w:r w:rsidR="00AB742D" w:rsidRPr="00F16251">
        <w:rPr>
          <w:rFonts w:cstheme="minorHAnsi"/>
        </w:rPr>
        <w:t xml:space="preserve">liczby </w:t>
      </w:r>
      <w:r w:rsidRPr="00F16251">
        <w:rPr>
          <w:rFonts w:cstheme="minorHAnsi"/>
        </w:rPr>
        <w:t>podmiotów</w:t>
      </w:r>
      <w:r w:rsidR="003B50ED" w:rsidRPr="00F16251">
        <w:rPr>
          <w:rFonts w:cstheme="minorHAnsi"/>
        </w:rPr>
        <w:t xml:space="preserve"> </w:t>
      </w:r>
      <w:r w:rsidRPr="00F16251">
        <w:rPr>
          <w:rFonts w:cstheme="minorHAnsi"/>
        </w:rPr>
        <w:t>gospodarki</w:t>
      </w:r>
      <w:r w:rsidR="003B50ED" w:rsidRPr="00F16251">
        <w:rPr>
          <w:rFonts w:cstheme="minorHAnsi"/>
        </w:rPr>
        <w:t xml:space="preserve"> </w:t>
      </w:r>
      <w:r w:rsidRPr="00F16251">
        <w:rPr>
          <w:rFonts w:cstheme="minorHAnsi"/>
        </w:rPr>
        <w:t>narodowej</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swoim</w:t>
      </w:r>
      <w:r w:rsidR="003B50ED" w:rsidRPr="00F16251">
        <w:rPr>
          <w:rFonts w:cstheme="minorHAnsi"/>
        </w:rPr>
        <w:t xml:space="preserve"> </w:t>
      </w:r>
      <w:r w:rsidRPr="00F16251">
        <w:rPr>
          <w:rFonts w:cstheme="minorHAnsi"/>
        </w:rPr>
        <w:t>terenie</w:t>
      </w:r>
      <w:r w:rsidRPr="00A26C26">
        <w:rPr>
          <w:rFonts w:cstheme="minorHAnsi"/>
        </w:rPr>
        <w:t>.</w:t>
      </w:r>
      <w:r w:rsidR="003B50ED">
        <w:rPr>
          <w:rFonts w:cstheme="minorHAnsi"/>
        </w:rPr>
        <w:t xml:space="preserve"> </w:t>
      </w:r>
      <w:r w:rsidRPr="00A26C26">
        <w:rPr>
          <w:rFonts w:cstheme="minorHAnsi"/>
        </w:rPr>
        <w:t>Od</w:t>
      </w:r>
      <w:r w:rsidR="003B50ED">
        <w:rPr>
          <w:rFonts w:cstheme="minorHAnsi"/>
        </w:rPr>
        <w:t xml:space="preserve"> </w:t>
      </w:r>
      <w:r w:rsidRPr="00A26C26">
        <w:rPr>
          <w:rFonts w:cstheme="minorHAnsi"/>
        </w:rPr>
        <w:t>2017</w:t>
      </w:r>
      <w:r w:rsidR="003B50ED">
        <w:rPr>
          <w:rFonts w:cstheme="minorHAnsi"/>
        </w:rPr>
        <w:t xml:space="preserve"> r. </w:t>
      </w:r>
      <w:r w:rsidRPr="00A26C26">
        <w:rPr>
          <w:rFonts w:cstheme="minorHAnsi"/>
        </w:rPr>
        <w:t>liczba</w:t>
      </w:r>
      <w:r w:rsidR="003B50ED">
        <w:rPr>
          <w:rFonts w:cstheme="minorHAnsi"/>
        </w:rPr>
        <w:t xml:space="preserve"> </w:t>
      </w:r>
      <w:r w:rsidRPr="00A26C26">
        <w:rPr>
          <w:rFonts w:cstheme="minorHAnsi"/>
        </w:rPr>
        <w:t>ta</w:t>
      </w:r>
      <w:r w:rsidR="003B50ED">
        <w:rPr>
          <w:rFonts w:cstheme="minorHAnsi"/>
        </w:rPr>
        <w:t xml:space="preserve"> </w:t>
      </w:r>
      <w:r w:rsidRPr="00A26C26">
        <w:rPr>
          <w:rFonts w:cstheme="minorHAnsi"/>
        </w:rPr>
        <w:t>wzrosła</w:t>
      </w:r>
      <w:r w:rsidR="003B50ED">
        <w:rPr>
          <w:rFonts w:cstheme="minorHAnsi"/>
        </w:rPr>
        <w:t xml:space="preserve"> </w:t>
      </w:r>
      <w:r w:rsidRPr="00A26C26">
        <w:rPr>
          <w:rFonts w:cstheme="minorHAnsi"/>
        </w:rPr>
        <w:t>średnio</w:t>
      </w:r>
      <w:r w:rsidR="003B50ED">
        <w:rPr>
          <w:rFonts w:cstheme="minorHAnsi"/>
        </w:rPr>
        <w:t xml:space="preserve"> </w:t>
      </w:r>
      <w:r w:rsidRPr="00A26C26">
        <w:rPr>
          <w:rFonts w:cstheme="minorHAnsi"/>
        </w:rPr>
        <w:t>o</w:t>
      </w:r>
      <w:r w:rsidR="003B50ED">
        <w:rPr>
          <w:rFonts w:cstheme="minorHAnsi"/>
        </w:rPr>
        <w:t xml:space="preserve"> </w:t>
      </w:r>
      <w:r w:rsidRPr="00A26C26">
        <w:rPr>
          <w:rFonts w:cstheme="minorHAnsi"/>
        </w:rPr>
        <w:t>28%,</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2021</w:t>
      </w:r>
      <w:r w:rsidR="003B50ED">
        <w:rPr>
          <w:rFonts w:cstheme="minorHAnsi"/>
        </w:rPr>
        <w:t xml:space="preserve"> r. </w:t>
      </w:r>
      <w:r w:rsidRPr="00A26C26">
        <w:rPr>
          <w:rFonts w:cstheme="minorHAnsi"/>
        </w:rPr>
        <w:t>łącznie</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obszarze</w:t>
      </w:r>
      <w:r w:rsidR="003B50ED">
        <w:rPr>
          <w:rFonts w:cstheme="minorHAnsi"/>
        </w:rPr>
        <w:t xml:space="preserve"> </w:t>
      </w:r>
      <w:r w:rsidRPr="00A26C26">
        <w:rPr>
          <w:rFonts w:cstheme="minorHAnsi"/>
        </w:rPr>
        <w:t>LGD</w:t>
      </w:r>
      <w:r w:rsidR="003B50ED">
        <w:rPr>
          <w:rFonts w:cstheme="minorHAnsi"/>
        </w:rPr>
        <w:t xml:space="preserve"> </w:t>
      </w:r>
      <w:r w:rsidRPr="00A26C26">
        <w:rPr>
          <w:rFonts w:cstheme="minorHAnsi"/>
        </w:rPr>
        <w:t>było</w:t>
      </w:r>
      <w:r w:rsidR="003B50ED">
        <w:rPr>
          <w:rFonts w:cstheme="minorHAnsi"/>
        </w:rPr>
        <w:t xml:space="preserve"> </w:t>
      </w:r>
      <w:r w:rsidRPr="00A26C26">
        <w:rPr>
          <w:rFonts w:cstheme="minorHAnsi"/>
        </w:rPr>
        <w:t>ich</w:t>
      </w:r>
      <w:r w:rsidR="003B50ED">
        <w:rPr>
          <w:rFonts w:cstheme="minorHAnsi"/>
        </w:rPr>
        <w:t xml:space="preserve"> </w:t>
      </w:r>
      <w:r w:rsidRPr="00A26C26">
        <w:rPr>
          <w:rFonts w:cstheme="minorHAnsi"/>
        </w:rPr>
        <w:t>średnio</w:t>
      </w:r>
      <w:r w:rsidR="003B50ED">
        <w:rPr>
          <w:rFonts w:cstheme="minorHAnsi"/>
        </w:rPr>
        <w:t xml:space="preserve"> </w:t>
      </w:r>
      <w:r w:rsidRPr="00A26C26">
        <w:rPr>
          <w:rFonts w:cstheme="minorHAnsi"/>
        </w:rPr>
        <w:t>5974.</w:t>
      </w:r>
      <w:r w:rsidR="003B50ED">
        <w:rPr>
          <w:rFonts w:cstheme="minorHAnsi"/>
        </w:rPr>
        <w:t xml:space="preserve"> </w:t>
      </w:r>
      <w:r w:rsidRPr="00A26C26">
        <w:rPr>
          <w:rFonts w:cstheme="minorHAnsi"/>
        </w:rPr>
        <w:t>Najwięcej</w:t>
      </w:r>
      <w:r w:rsidR="003B50ED">
        <w:rPr>
          <w:rFonts w:cstheme="minorHAnsi"/>
        </w:rPr>
        <w:t xml:space="preserve"> </w:t>
      </w:r>
      <w:r w:rsidRPr="00A26C26">
        <w:rPr>
          <w:rFonts w:cstheme="minorHAnsi"/>
        </w:rPr>
        <w:t>od</w:t>
      </w:r>
      <w:r w:rsidR="003B50ED">
        <w:rPr>
          <w:rFonts w:cstheme="minorHAnsi"/>
        </w:rPr>
        <w:t xml:space="preserve"> </w:t>
      </w:r>
      <w:r w:rsidRPr="00A26C26">
        <w:rPr>
          <w:rFonts w:cstheme="minorHAnsi"/>
        </w:rPr>
        <w:t>2017</w:t>
      </w:r>
      <w:r w:rsidR="003B50ED">
        <w:rPr>
          <w:rFonts w:cstheme="minorHAnsi"/>
        </w:rPr>
        <w:t xml:space="preserve"> r. </w:t>
      </w:r>
      <w:r w:rsidRPr="00A26C26">
        <w:rPr>
          <w:rFonts w:cstheme="minorHAnsi"/>
        </w:rPr>
        <w:t>przybyło</w:t>
      </w:r>
      <w:r w:rsidR="003B50ED">
        <w:rPr>
          <w:rFonts w:cstheme="minorHAnsi"/>
        </w:rPr>
        <w:t xml:space="preserve"> </w:t>
      </w:r>
      <w:r w:rsidRPr="00A26C26">
        <w:rPr>
          <w:rFonts w:cstheme="minorHAnsi"/>
        </w:rPr>
        <w:t>ich</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gminach</w:t>
      </w:r>
      <w:r w:rsidR="003B50ED">
        <w:rPr>
          <w:rFonts w:cstheme="minorHAnsi"/>
        </w:rPr>
        <w:t xml:space="preserve"> </w:t>
      </w:r>
      <w:r w:rsidRPr="00A26C26">
        <w:rPr>
          <w:rFonts w:cstheme="minorHAnsi"/>
        </w:rPr>
        <w:t>Stare</w:t>
      </w:r>
      <w:r w:rsidR="003B50ED">
        <w:rPr>
          <w:rFonts w:cstheme="minorHAnsi"/>
        </w:rPr>
        <w:t xml:space="preserve"> </w:t>
      </w:r>
      <w:r w:rsidRPr="00A26C26">
        <w:rPr>
          <w:rFonts w:cstheme="minorHAnsi"/>
        </w:rPr>
        <w:t>Miasto</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Golina,</w:t>
      </w:r>
      <w:r w:rsidR="003B50ED">
        <w:rPr>
          <w:rFonts w:cstheme="minorHAnsi"/>
        </w:rPr>
        <w:t xml:space="preserve"> </w:t>
      </w:r>
      <w:r w:rsidRPr="00A26C26">
        <w:rPr>
          <w:rFonts w:cstheme="minorHAnsi"/>
        </w:rPr>
        <w:t>odpowiednio</w:t>
      </w:r>
      <w:r w:rsidR="003B50ED">
        <w:rPr>
          <w:rFonts w:cstheme="minorHAnsi"/>
        </w:rPr>
        <w:t xml:space="preserve"> </w:t>
      </w:r>
      <w:r w:rsidRPr="00A26C26">
        <w:rPr>
          <w:rFonts w:cstheme="minorHAnsi"/>
        </w:rPr>
        <w:t>-</w:t>
      </w:r>
      <w:r w:rsidR="003B50ED">
        <w:rPr>
          <w:rFonts w:cstheme="minorHAnsi"/>
        </w:rPr>
        <w:t xml:space="preserve"> </w:t>
      </w:r>
      <w:r w:rsidRPr="00A26C26">
        <w:rPr>
          <w:rFonts w:cstheme="minorHAnsi"/>
        </w:rPr>
        <w:t>353</w:t>
      </w:r>
      <w:r w:rsidR="003B50ED">
        <w:rPr>
          <w:rFonts w:cstheme="minorHAnsi"/>
        </w:rPr>
        <w:t xml:space="preserve"> </w:t>
      </w:r>
      <w:r w:rsidR="00AB742D">
        <w:rPr>
          <w:rFonts w:cstheme="minorHAnsi"/>
        </w:rPr>
        <w:br/>
      </w:r>
      <w:r w:rsidRPr="00A26C26">
        <w:rPr>
          <w:rFonts w:cstheme="minorHAnsi"/>
        </w:rPr>
        <w:t>i</w:t>
      </w:r>
      <w:r w:rsidR="003B50ED">
        <w:rPr>
          <w:rFonts w:cstheme="minorHAnsi"/>
        </w:rPr>
        <w:t xml:space="preserve"> </w:t>
      </w:r>
      <w:r w:rsidRPr="00A26C26">
        <w:rPr>
          <w:rFonts w:cstheme="minorHAnsi"/>
        </w:rPr>
        <w:t>310</w:t>
      </w:r>
      <w:r w:rsidR="003B50ED">
        <w:rPr>
          <w:rFonts w:cstheme="minorHAnsi"/>
        </w:rPr>
        <w:t xml:space="preserve"> </w:t>
      </w:r>
      <w:r w:rsidRPr="00A26C26">
        <w:rPr>
          <w:rFonts w:cstheme="minorHAnsi"/>
        </w:rPr>
        <w:t>podmiotów.</w:t>
      </w:r>
    </w:p>
    <w:p w14:paraId="112495FF" w14:textId="5992A583" w:rsidR="00224658" w:rsidRPr="00A26C26" w:rsidRDefault="00224658" w:rsidP="00A26C26">
      <w:pPr>
        <w:spacing w:line="276" w:lineRule="auto"/>
        <w:jc w:val="both"/>
        <w:rPr>
          <w:rFonts w:cstheme="minorHAnsi"/>
        </w:rPr>
      </w:pPr>
      <w:r w:rsidRPr="00A26C26">
        <w:rPr>
          <w:rFonts w:cstheme="minorHAnsi"/>
        </w:rPr>
        <w:t>Tabela</w:t>
      </w:r>
      <w:r w:rsidR="00396A11">
        <w:rPr>
          <w:rFonts w:cstheme="minorHAnsi"/>
        </w:rPr>
        <w:t xml:space="preserve"> nr </w:t>
      </w:r>
      <w:r w:rsidR="00203429">
        <w:rPr>
          <w:rFonts w:cstheme="minorHAnsi"/>
        </w:rPr>
        <w:t>9</w:t>
      </w:r>
      <w:r w:rsidR="003B50ED">
        <w:rPr>
          <w:rFonts w:cstheme="minorHAnsi"/>
        </w:rPr>
        <w:t xml:space="preserve"> </w:t>
      </w:r>
      <w:r w:rsidRPr="00A26C26">
        <w:rPr>
          <w:rFonts w:cstheme="minorHAnsi"/>
        </w:rPr>
        <w:t>Podmioty</w:t>
      </w:r>
      <w:r w:rsidR="003B50ED">
        <w:rPr>
          <w:rFonts w:cstheme="minorHAnsi"/>
        </w:rPr>
        <w:t xml:space="preserve"> </w:t>
      </w:r>
      <w:r w:rsidRPr="00A26C26">
        <w:rPr>
          <w:rFonts w:cstheme="minorHAnsi"/>
        </w:rPr>
        <w:t>gospodarki</w:t>
      </w:r>
      <w:r w:rsidR="003B50ED">
        <w:rPr>
          <w:rFonts w:cstheme="minorHAnsi"/>
        </w:rPr>
        <w:t xml:space="preserve"> </w:t>
      </w:r>
      <w:r w:rsidRPr="00A26C26">
        <w:rPr>
          <w:rFonts w:cstheme="minorHAnsi"/>
        </w:rPr>
        <w:t>narodowej</w:t>
      </w:r>
      <w:r w:rsidR="003B50ED">
        <w:rPr>
          <w:rFonts w:cstheme="minorHAnsi"/>
        </w:rPr>
        <w:t xml:space="preserve"> </w:t>
      </w:r>
      <w:r w:rsidRPr="00A26C26">
        <w:rPr>
          <w:rFonts w:cstheme="minorHAnsi"/>
        </w:rPr>
        <w:t>ogółem</w:t>
      </w:r>
    </w:p>
    <w:tbl>
      <w:tblPr>
        <w:tblW w:w="10201" w:type="dxa"/>
        <w:tblLayout w:type="fixed"/>
        <w:tblCellMar>
          <w:left w:w="0" w:type="dxa"/>
          <w:right w:w="0" w:type="dxa"/>
        </w:tblCellMar>
        <w:tblLook w:val="04A0" w:firstRow="1" w:lastRow="0" w:firstColumn="1" w:lastColumn="0" w:noHBand="0" w:noVBand="1"/>
      </w:tblPr>
      <w:tblGrid>
        <w:gridCol w:w="1980"/>
        <w:gridCol w:w="1644"/>
        <w:gridCol w:w="1644"/>
        <w:gridCol w:w="1644"/>
        <w:gridCol w:w="1644"/>
        <w:gridCol w:w="1645"/>
      </w:tblGrid>
      <w:tr w:rsidR="00224658" w:rsidRPr="00A26C26" w14:paraId="585C8462" w14:textId="77777777" w:rsidTr="007F1E76">
        <w:trPr>
          <w:trHeight w:val="249"/>
        </w:trPr>
        <w:tc>
          <w:tcPr>
            <w:tcW w:w="198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439B008C" w14:textId="1E1A7B14" w:rsidR="00224658" w:rsidRPr="00A26C26" w:rsidRDefault="00224658" w:rsidP="00A26C26">
            <w:pPr>
              <w:spacing w:line="276" w:lineRule="auto"/>
              <w:rPr>
                <w:rFonts w:cstheme="minorHAnsi"/>
                <w:color w:val="000000"/>
              </w:rPr>
            </w:pPr>
            <w:r w:rsidRPr="00A26C26">
              <w:rPr>
                <w:rFonts w:cstheme="minorHAnsi"/>
                <w:color w:val="000000"/>
              </w:rPr>
              <w:t>Nazwa</w:t>
            </w:r>
            <w:r w:rsidR="003B50ED">
              <w:rPr>
                <w:rFonts w:cstheme="minorHAnsi"/>
                <w:color w:val="000000"/>
              </w:rPr>
              <w:t xml:space="preserve"> </w:t>
            </w:r>
            <w:r w:rsidRPr="00A26C26">
              <w:rPr>
                <w:rFonts w:cstheme="minorHAnsi"/>
                <w:color w:val="000000"/>
              </w:rPr>
              <w:t>gminy</w:t>
            </w:r>
            <w:r w:rsidR="003B50ED">
              <w:rPr>
                <w:rFonts w:cstheme="minorHAnsi"/>
                <w:color w:val="000000"/>
              </w:rPr>
              <w:t xml:space="preserve"> </w:t>
            </w:r>
          </w:p>
        </w:tc>
        <w:tc>
          <w:tcPr>
            <w:tcW w:w="1644" w:type="dxa"/>
            <w:tcBorders>
              <w:top w:val="single" w:sz="4" w:space="0" w:color="auto"/>
              <w:left w:val="nil"/>
              <w:bottom w:val="single" w:sz="4" w:space="0" w:color="auto"/>
              <w:right w:val="single" w:sz="4" w:space="0" w:color="auto"/>
            </w:tcBorders>
            <w:shd w:val="clear" w:color="000000" w:fill="DDEBF7"/>
            <w:noWrap/>
            <w:vAlign w:val="bottom"/>
            <w:hideMark/>
          </w:tcPr>
          <w:p w14:paraId="2C70DB72" w14:textId="77777777" w:rsidR="00224658" w:rsidRPr="00A26C26" w:rsidRDefault="00224658" w:rsidP="00A26C26">
            <w:pPr>
              <w:spacing w:line="276" w:lineRule="auto"/>
              <w:jc w:val="right"/>
              <w:rPr>
                <w:rFonts w:cstheme="minorHAnsi"/>
                <w:color w:val="000000"/>
              </w:rPr>
            </w:pPr>
            <w:r w:rsidRPr="00A26C26">
              <w:rPr>
                <w:rFonts w:cstheme="minorHAnsi"/>
                <w:color w:val="000000"/>
              </w:rPr>
              <w:t>2017</w:t>
            </w:r>
          </w:p>
        </w:tc>
        <w:tc>
          <w:tcPr>
            <w:tcW w:w="1644" w:type="dxa"/>
            <w:tcBorders>
              <w:top w:val="single" w:sz="4" w:space="0" w:color="auto"/>
              <w:left w:val="nil"/>
              <w:bottom w:val="single" w:sz="4" w:space="0" w:color="auto"/>
              <w:right w:val="single" w:sz="4" w:space="0" w:color="auto"/>
            </w:tcBorders>
            <w:shd w:val="clear" w:color="000000" w:fill="DDEBF7"/>
            <w:noWrap/>
            <w:vAlign w:val="bottom"/>
            <w:hideMark/>
          </w:tcPr>
          <w:p w14:paraId="009F5D10" w14:textId="77777777" w:rsidR="00224658" w:rsidRPr="00A26C26" w:rsidRDefault="00224658" w:rsidP="00A26C26">
            <w:pPr>
              <w:spacing w:line="276" w:lineRule="auto"/>
              <w:jc w:val="right"/>
              <w:rPr>
                <w:rFonts w:cstheme="minorHAnsi"/>
                <w:color w:val="000000"/>
              </w:rPr>
            </w:pPr>
            <w:r w:rsidRPr="00A26C26">
              <w:rPr>
                <w:rFonts w:cstheme="minorHAnsi"/>
                <w:color w:val="000000"/>
              </w:rPr>
              <w:t>2018</w:t>
            </w:r>
          </w:p>
        </w:tc>
        <w:tc>
          <w:tcPr>
            <w:tcW w:w="1644" w:type="dxa"/>
            <w:tcBorders>
              <w:top w:val="single" w:sz="4" w:space="0" w:color="auto"/>
              <w:left w:val="nil"/>
              <w:bottom w:val="single" w:sz="4" w:space="0" w:color="auto"/>
              <w:right w:val="single" w:sz="4" w:space="0" w:color="auto"/>
            </w:tcBorders>
            <w:shd w:val="clear" w:color="000000" w:fill="DDEBF7"/>
            <w:noWrap/>
            <w:vAlign w:val="bottom"/>
            <w:hideMark/>
          </w:tcPr>
          <w:p w14:paraId="7CC1EE93" w14:textId="77777777" w:rsidR="00224658" w:rsidRPr="00A26C26" w:rsidRDefault="00224658" w:rsidP="00A26C26">
            <w:pPr>
              <w:spacing w:line="276" w:lineRule="auto"/>
              <w:jc w:val="right"/>
              <w:rPr>
                <w:rFonts w:cstheme="minorHAnsi"/>
                <w:color w:val="000000"/>
              </w:rPr>
            </w:pPr>
            <w:r w:rsidRPr="00A26C26">
              <w:rPr>
                <w:rFonts w:cstheme="minorHAnsi"/>
                <w:color w:val="000000"/>
              </w:rPr>
              <w:t>2019</w:t>
            </w:r>
          </w:p>
        </w:tc>
        <w:tc>
          <w:tcPr>
            <w:tcW w:w="1644" w:type="dxa"/>
            <w:tcBorders>
              <w:top w:val="single" w:sz="4" w:space="0" w:color="auto"/>
              <w:left w:val="nil"/>
              <w:bottom w:val="single" w:sz="4" w:space="0" w:color="auto"/>
              <w:right w:val="single" w:sz="4" w:space="0" w:color="auto"/>
            </w:tcBorders>
            <w:shd w:val="clear" w:color="000000" w:fill="DDEBF7"/>
            <w:noWrap/>
            <w:vAlign w:val="bottom"/>
            <w:hideMark/>
          </w:tcPr>
          <w:p w14:paraId="36EA6D59" w14:textId="77777777" w:rsidR="00224658" w:rsidRPr="00A26C26" w:rsidRDefault="00224658" w:rsidP="00A26C26">
            <w:pPr>
              <w:spacing w:line="276" w:lineRule="auto"/>
              <w:jc w:val="right"/>
              <w:rPr>
                <w:rFonts w:cstheme="minorHAnsi"/>
                <w:color w:val="000000"/>
              </w:rPr>
            </w:pPr>
            <w:r w:rsidRPr="00A26C26">
              <w:rPr>
                <w:rFonts w:cstheme="minorHAnsi"/>
                <w:color w:val="000000"/>
              </w:rPr>
              <w:t>2020</w:t>
            </w:r>
          </w:p>
        </w:tc>
        <w:tc>
          <w:tcPr>
            <w:tcW w:w="1645" w:type="dxa"/>
            <w:tcBorders>
              <w:top w:val="single" w:sz="4" w:space="0" w:color="auto"/>
              <w:left w:val="nil"/>
              <w:bottom w:val="single" w:sz="4" w:space="0" w:color="auto"/>
              <w:right w:val="single" w:sz="4" w:space="0" w:color="auto"/>
            </w:tcBorders>
            <w:shd w:val="clear" w:color="000000" w:fill="DDEBF7"/>
            <w:noWrap/>
            <w:vAlign w:val="bottom"/>
            <w:hideMark/>
          </w:tcPr>
          <w:p w14:paraId="5A71BC95" w14:textId="77777777" w:rsidR="00224658" w:rsidRPr="00A26C26" w:rsidRDefault="00224658" w:rsidP="00A26C26">
            <w:pPr>
              <w:spacing w:line="276" w:lineRule="auto"/>
              <w:jc w:val="right"/>
              <w:rPr>
                <w:rFonts w:cstheme="minorHAnsi"/>
                <w:color w:val="000000"/>
              </w:rPr>
            </w:pPr>
            <w:r w:rsidRPr="00A26C26">
              <w:rPr>
                <w:rFonts w:cstheme="minorHAnsi"/>
                <w:color w:val="000000"/>
              </w:rPr>
              <w:t>2021</w:t>
            </w:r>
          </w:p>
        </w:tc>
      </w:tr>
      <w:tr w:rsidR="00224658" w:rsidRPr="00A26C26" w14:paraId="18AC9B10"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04F7EC9" w14:textId="77777777" w:rsidR="00224658" w:rsidRPr="00A26C26" w:rsidRDefault="00224658" w:rsidP="00A26C26">
            <w:pPr>
              <w:spacing w:line="276" w:lineRule="auto"/>
              <w:rPr>
                <w:rFonts w:cstheme="minorHAnsi"/>
                <w:color w:val="000000"/>
              </w:rPr>
            </w:pPr>
            <w:r w:rsidRPr="00A26C26">
              <w:rPr>
                <w:rFonts w:cstheme="minorHAnsi"/>
                <w:color w:val="000000"/>
              </w:rPr>
              <w:t>Golina</w:t>
            </w:r>
          </w:p>
        </w:tc>
        <w:tc>
          <w:tcPr>
            <w:tcW w:w="1644" w:type="dxa"/>
            <w:tcBorders>
              <w:top w:val="nil"/>
              <w:left w:val="nil"/>
              <w:bottom w:val="single" w:sz="4" w:space="0" w:color="auto"/>
              <w:right w:val="single" w:sz="4" w:space="0" w:color="auto"/>
            </w:tcBorders>
            <w:shd w:val="clear" w:color="auto" w:fill="auto"/>
            <w:noWrap/>
            <w:vAlign w:val="bottom"/>
            <w:hideMark/>
          </w:tcPr>
          <w:p w14:paraId="34BFE765" w14:textId="384D0E6C" w:rsidR="00224658" w:rsidRPr="00A26C26" w:rsidRDefault="00224658" w:rsidP="00A26C26">
            <w:pPr>
              <w:spacing w:line="276" w:lineRule="auto"/>
              <w:jc w:val="right"/>
              <w:rPr>
                <w:rFonts w:cstheme="minorHAnsi"/>
                <w:color w:val="000000"/>
              </w:rPr>
            </w:pPr>
            <w:r w:rsidRPr="00A26C26">
              <w:rPr>
                <w:rFonts w:cstheme="minorHAnsi"/>
                <w:color w:val="000000"/>
              </w:rPr>
              <w:t>1</w:t>
            </w:r>
            <w:r w:rsidR="003B50ED">
              <w:rPr>
                <w:rFonts w:cstheme="minorHAnsi"/>
                <w:color w:val="000000"/>
              </w:rPr>
              <w:t xml:space="preserve"> </w:t>
            </w:r>
            <w:r w:rsidRPr="00A26C26">
              <w:rPr>
                <w:rFonts w:cstheme="minorHAnsi"/>
                <w:color w:val="000000"/>
              </w:rPr>
              <w:t>064</w:t>
            </w:r>
          </w:p>
        </w:tc>
        <w:tc>
          <w:tcPr>
            <w:tcW w:w="1644" w:type="dxa"/>
            <w:tcBorders>
              <w:top w:val="nil"/>
              <w:left w:val="nil"/>
              <w:bottom w:val="single" w:sz="4" w:space="0" w:color="auto"/>
              <w:right w:val="single" w:sz="4" w:space="0" w:color="auto"/>
            </w:tcBorders>
            <w:shd w:val="clear" w:color="auto" w:fill="auto"/>
            <w:noWrap/>
            <w:vAlign w:val="bottom"/>
            <w:hideMark/>
          </w:tcPr>
          <w:p w14:paraId="411CE9A1" w14:textId="4B5B0982" w:rsidR="00224658" w:rsidRPr="00A26C26" w:rsidRDefault="00224658" w:rsidP="00A26C26">
            <w:pPr>
              <w:spacing w:line="276" w:lineRule="auto"/>
              <w:jc w:val="right"/>
              <w:rPr>
                <w:rFonts w:cstheme="minorHAnsi"/>
                <w:color w:val="000000"/>
              </w:rPr>
            </w:pPr>
            <w:r w:rsidRPr="00A26C26">
              <w:rPr>
                <w:rFonts w:cstheme="minorHAnsi"/>
                <w:color w:val="000000"/>
              </w:rPr>
              <w:t>1</w:t>
            </w:r>
            <w:r w:rsidR="003B50ED">
              <w:rPr>
                <w:rFonts w:cstheme="minorHAnsi"/>
                <w:color w:val="000000"/>
              </w:rPr>
              <w:t xml:space="preserve"> </w:t>
            </w:r>
            <w:r w:rsidRPr="00A26C26">
              <w:rPr>
                <w:rFonts w:cstheme="minorHAnsi"/>
                <w:color w:val="000000"/>
              </w:rPr>
              <w:t>142</w:t>
            </w:r>
          </w:p>
        </w:tc>
        <w:tc>
          <w:tcPr>
            <w:tcW w:w="1644" w:type="dxa"/>
            <w:tcBorders>
              <w:top w:val="nil"/>
              <w:left w:val="nil"/>
              <w:bottom w:val="single" w:sz="4" w:space="0" w:color="auto"/>
              <w:right w:val="single" w:sz="4" w:space="0" w:color="auto"/>
            </w:tcBorders>
            <w:shd w:val="clear" w:color="auto" w:fill="auto"/>
            <w:noWrap/>
            <w:vAlign w:val="bottom"/>
            <w:hideMark/>
          </w:tcPr>
          <w:p w14:paraId="0D3B9A76" w14:textId="5AAAC2EA" w:rsidR="00224658" w:rsidRPr="00A26C26" w:rsidRDefault="00224658" w:rsidP="00A26C26">
            <w:pPr>
              <w:spacing w:line="276" w:lineRule="auto"/>
              <w:jc w:val="right"/>
              <w:rPr>
                <w:rFonts w:cstheme="minorHAnsi"/>
                <w:color w:val="000000"/>
              </w:rPr>
            </w:pPr>
            <w:r w:rsidRPr="00A26C26">
              <w:rPr>
                <w:rFonts w:cstheme="minorHAnsi"/>
                <w:color w:val="000000"/>
              </w:rPr>
              <w:t>1</w:t>
            </w:r>
            <w:r w:rsidR="003B50ED">
              <w:rPr>
                <w:rFonts w:cstheme="minorHAnsi"/>
                <w:color w:val="000000"/>
              </w:rPr>
              <w:t xml:space="preserve"> </w:t>
            </w:r>
            <w:r w:rsidRPr="00A26C26">
              <w:rPr>
                <w:rFonts w:cstheme="minorHAnsi"/>
                <w:color w:val="000000"/>
              </w:rPr>
              <w:t>220</w:t>
            </w:r>
          </w:p>
        </w:tc>
        <w:tc>
          <w:tcPr>
            <w:tcW w:w="1644" w:type="dxa"/>
            <w:tcBorders>
              <w:top w:val="nil"/>
              <w:left w:val="nil"/>
              <w:bottom w:val="single" w:sz="4" w:space="0" w:color="auto"/>
              <w:right w:val="single" w:sz="4" w:space="0" w:color="auto"/>
            </w:tcBorders>
            <w:shd w:val="clear" w:color="auto" w:fill="auto"/>
            <w:noWrap/>
            <w:vAlign w:val="bottom"/>
            <w:hideMark/>
          </w:tcPr>
          <w:p w14:paraId="42A15398" w14:textId="190D99F4" w:rsidR="00224658" w:rsidRPr="00A26C26" w:rsidRDefault="00224658" w:rsidP="00A26C26">
            <w:pPr>
              <w:spacing w:line="276" w:lineRule="auto"/>
              <w:jc w:val="right"/>
              <w:rPr>
                <w:rFonts w:cstheme="minorHAnsi"/>
                <w:color w:val="000000"/>
              </w:rPr>
            </w:pPr>
            <w:r w:rsidRPr="00A26C26">
              <w:rPr>
                <w:rFonts w:cstheme="minorHAnsi"/>
                <w:color w:val="000000"/>
              </w:rPr>
              <w:t>1</w:t>
            </w:r>
            <w:r w:rsidR="003B50ED">
              <w:rPr>
                <w:rFonts w:cstheme="minorHAnsi"/>
                <w:color w:val="000000"/>
              </w:rPr>
              <w:t xml:space="preserve"> </w:t>
            </w:r>
            <w:r w:rsidRPr="00A26C26">
              <w:rPr>
                <w:rFonts w:cstheme="minorHAnsi"/>
                <w:color w:val="000000"/>
              </w:rPr>
              <w:t>296</w:t>
            </w:r>
          </w:p>
        </w:tc>
        <w:tc>
          <w:tcPr>
            <w:tcW w:w="1645" w:type="dxa"/>
            <w:tcBorders>
              <w:top w:val="nil"/>
              <w:left w:val="nil"/>
              <w:bottom w:val="single" w:sz="4" w:space="0" w:color="auto"/>
              <w:right w:val="single" w:sz="4" w:space="0" w:color="auto"/>
            </w:tcBorders>
            <w:shd w:val="clear" w:color="auto" w:fill="auto"/>
            <w:noWrap/>
            <w:vAlign w:val="bottom"/>
            <w:hideMark/>
          </w:tcPr>
          <w:p w14:paraId="4210C6EF" w14:textId="2A0FD5CB" w:rsidR="00224658" w:rsidRPr="00A26C26" w:rsidRDefault="00224658" w:rsidP="00A26C26">
            <w:pPr>
              <w:spacing w:line="276" w:lineRule="auto"/>
              <w:jc w:val="right"/>
              <w:rPr>
                <w:rFonts w:cstheme="minorHAnsi"/>
                <w:color w:val="000000"/>
              </w:rPr>
            </w:pPr>
            <w:r w:rsidRPr="00A26C26">
              <w:rPr>
                <w:rFonts w:cstheme="minorHAnsi"/>
                <w:color w:val="000000"/>
              </w:rPr>
              <w:t>1</w:t>
            </w:r>
            <w:r w:rsidR="003B50ED">
              <w:rPr>
                <w:rFonts w:cstheme="minorHAnsi"/>
                <w:color w:val="000000"/>
              </w:rPr>
              <w:t xml:space="preserve"> </w:t>
            </w:r>
            <w:r w:rsidRPr="00A26C26">
              <w:rPr>
                <w:rFonts w:cstheme="minorHAnsi"/>
                <w:color w:val="000000"/>
              </w:rPr>
              <w:t>374</w:t>
            </w:r>
          </w:p>
        </w:tc>
      </w:tr>
      <w:tr w:rsidR="00224658" w:rsidRPr="00A26C26" w14:paraId="142AC6F8"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0C57F4B" w14:textId="77777777" w:rsidR="00224658" w:rsidRPr="00A26C26" w:rsidRDefault="00224658" w:rsidP="00A26C26">
            <w:pPr>
              <w:spacing w:line="276" w:lineRule="auto"/>
              <w:rPr>
                <w:rFonts w:cstheme="minorHAnsi"/>
                <w:color w:val="000000"/>
              </w:rPr>
            </w:pPr>
            <w:r w:rsidRPr="00A26C26">
              <w:rPr>
                <w:rFonts w:cstheme="minorHAnsi"/>
                <w:color w:val="000000"/>
              </w:rPr>
              <w:t>Grodziec</w:t>
            </w:r>
          </w:p>
        </w:tc>
        <w:tc>
          <w:tcPr>
            <w:tcW w:w="1644" w:type="dxa"/>
            <w:tcBorders>
              <w:top w:val="nil"/>
              <w:left w:val="nil"/>
              <w:bottom w:val="single" w:sz="4" w:space="0" w:color="auto"/>
              <w:right w:val="single" w:sz="4" w:space="0" w:color="auto"/>
            </w:tcBorders>
            <w:shd w:val="clear" w:color="auto" w:fill="auto"/>
            <w:noWrap/>
            <w:vAlign w:val="bottom"/>
            <w:hideMark/>
          </w:tcPr>
          <w:p w14:paraId="23B128DB" w14:textId="77777777" w:rsidR="00224658" w:rsidRPr="00A26C26" w:rsidRDefault="00224658" w:rsidP="00A26C26">
            <w:pPr>
              <w:spacing w:line="276" w:lineRule="auto"/>
              <w:jc w:val="right"/>
              <w:rPr>
                <w:rFonts w:cstheme="minorHAnsi"/>
                <w:color w:val="000000"/>
              </w:rPr>
            </w:pPr>
            <w:r w:rsidRPr="00A26C26">
              <w:rPr>
                <w:rFonts w:cstheme="minorHAnsi"/>
                <w:color w:val="000000"/>
              </w:rPr>
              <w:t>367</w:t>
            </w:r>
          </w:p>
        </w:tc>
        <w:tc>
          <w:tcPr>
            <w:tcW w:w="1644" w:type="dxa"/>
            <w:tcBorders>
              <w:top w:val="nil"/>
              <w:left w:val="nil"/>
              <w:bottom w:val="single" w:sz="4" w:space="0" w:color="auto"/>
              <w:right w:val="single" w:sz="4" w:space="0" w:color="auto"/>
            </w:tcBorders>
            <w:shd w:val="clear" w:color="auto" w:fill="auto"/>
            <w:noWrap/>
            <w:vAlign w:val="bottom"/>
            <w:hideMark/>
          </w:tcPr>
          <w:p w14:paraId="5E790D68" w14:textId="77777777" w:rsidR="00224658" w:rsidRPr="00A26C26" w:rsidRDefault="00224658" w:rsidP="00A26C26">
            <w:pPr>
              <w:spacing w:line="276" w:lineRule="auto"/>
              <w:jc w:val="right"/>
              <w:rPr>
                <w:rFonts w:cstheme="minorHAnsi"/>
                <w:color w:val="000000"/>
              </w:rPr>
            </w:pPr>
            <w:r w:rsidRPr="00A26C26">
              <w:rPr>
                <w:rFonts w:cstheme="minorHAnsi"/>
                <w:color w:val="000000"/>
              </w:rPr>
              <w:t>398</w:t>
            </w:r>
          </w:p>
        </w:tc>
        <w:tc>
          <w:tcPr>
            <w:tcW w:w="1644" w:type="dxa"/>
            <w:tcBorders>
              <w:top w:val="nil"/>
              <w:left w:val="nil"/>
              <w:bottom w:val="single" w:sz="4" w:space="0" w:color="auto"/>
              <w:right w:val="single" w:sz="4" w:space="0" w:color="auto"/>
            </w:tcBorders>
            <w:shd w:val="clear" w:color="auto" w:fill="auto"/>
            <w:noWrap/>
            <w:vAlign w:val="bottom"/>
            <w:hideMark/>
          </w:tcPr>
          <w:p w14:paraId="6504434B" w14:textId="77777777" w:rsidR="00224658" w:rsidRPr="00A26C26" w:rsidRDefault="00224658" w:rsidP="00A26C26">
            <w:pPr>
              <w:spacing w:line="276" w:lineRule="auto"/>
              <w:jc w:val="right"/>
              <w:rPr>
                <w:rFonts w:cstheme="minorHAnsi"/>
                <w:color w:val="000000"/>
              </w:rPr>
            </w:pPr>
            <w:r w:rsidRPr="00A26C26">
              <w:rPr>
                <w:rFonts w:cstheme="minorHAnsi"/>
                <w:color w:val="000000"/>
              </w:rPr>
              <w:t>425</w:t>
            </w:r>
          </w:p>
        </w:tc>
        <w:tc>
          <w:tcPr>
            <w:tcW w:w="1644" w:type="dxa"/>
            <w:tcBorders>
              <w:top w:val="nil"/>
              <w:left w:val="nil"/>
              <w:bottom w:val="single" w:sz="4" w:space="0" w:color="auto"/>
              <w:right w:val="single" w:sz="4" w:space="0" w:color="auto"/>
            </w:tcBorders>
            <w:shd w:val="clear" w:color="auto" w:fill="auto"/>
            <w:noWrap/>
            <w:vAlign w:val="bottom"/>
            <w:hideMark/>
          </w:tcPr>
          <w:p w14:paraId="6F967F64" w14:textId="77777777" w:rsidR="00224658" w:rsidRPr="00A26C26" w:rsidRDefault="00224658" w:rsidP="00A26C26">
            <w:pPr>
              <w:spacing w:line="276" w:lineRule="auto"/>
              <w:jc w:val="right"/>
              <w:rPr>
                <w:rFonts w:cstheme="minorHAnsi"/>
                <w:color w:val="000000"/>
              </w:rPr>
            </w:pPr>
            <w:r w:rsidRPr="00A26C26">
              <w:rPr>
                <w:rFonts w:cstheme="minorHAnsi"/>
                <w:color w:val="000000"/>
              </w:rPr>
              <w:t>466</w:t>
            </w:r>
          </w:p>
        </w:tc>
        <w:tc>
          <w:tcPr>
            <w:tcW w:w="1645" w:type="dxa"/>
            <w:tcBorders>
              <w:top w:val="nil"/>
              <w:left w:val="nil"/>
              <w:bottom w:val="single" w:sz="4" w:space="0" w:color="auto"/>
              <w:right w:val="single" w:sz="4" w:space="0" w:color="auto"/>
            </w:tcBorders>
            <w:shd w:val="clear" w:color="auto" w:fill="auto"/>
            <w:noWrap/>
            <w:vAlign w:val="bottom"/>
            <w:hideMark/>
          </w:tcPr>
          <w:p w14:paraId="7BA215C9" w14:textId="77777777" w:rsidR="00224658" w:rsidRPr="00A26C26" w:rsidRDefault="00224658" w:rsidP="00A26C26">
            <w:pPr>
              <w:spacing w:line="276" w:lineRule="auto"/>
              <w:jc w:val="right"/>
              <w:rPr>
                <w:rFonts w:cstheme="minorHAnsi"/>
                <w:color w:val="000000"/>
              </w:rPr>
            </w:pPr>
            <w:r w:rsidRPr="00A26C26">
              <w:rPr>
                <w:rFonts w:cstheme="minorHAnsi"/>
                <w:color w:val="000000"/>
              </w:rPr>
              <w:t>474</w:t>
            </w:r>
          </w:p>
        </w:tc>
      </w:tr>
      <w:tr w:rsidR="00224658" w:rsidRPr="00A26C26" w14:paraId="4EDB1451"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81FD0D0" w14:textId="77777777" w:rsidR="00224658" w:rsidRPr="00A26C26" w:rsidRDefault="00224658" w:rsidP="00A26C26">
            <w:pPr>
              <w:spacing w:line="276" w:lineRule="auto"/>
              <w:rPr>
                <w:rFonts w:cstheme="minorHAnsi"/>
                <w:color w:val="000000"/>
              </w:rPr>
            </w:pPr>
            <w:r w:rsidRPr="00A26C26">
              <w:rPr>
                <w:rFonts w:cstheme="minorHAnsi"/>
                <w:color w:val="000000"/>
              </w:rPr>
              <w:t>Rychwał</w:t>
            </w:r>
          </w:p>
        </w:tc>
        <w:tc>
          <w:tcPr>
            <w:tcW w:w="1644" w:type="dxa"/>
            <w:tcBorders>
              <w:top w:val="nil"/>
              <w:left w:val="nil"/>
              <w:bottom w:val="single" w:sz="4" w:space="0" w:color="auto"/>
              <w:right w:val="single" w:sz="4" w:space="0" w:color="auto"/>
            </w:tcBorders>
            <w:shd w:val="clear" w:color="auto" w:fill="auto"/>
            <w:noWrap/>
            <w:vAlign w:val="bottom"/>
            <w:hideMark/>
          </w:tcPr>
          <w:p w14:paraId="079AA8A9" w14:textId="77777777" w:rsidR="00224658" w:rsidRPr="00A26C26" w:rsidRDefault="00224658" w:rsidP="00A26C26">
            <w:pPr>
              <w:spacing w:line="276" w:lineRule="auto"/>
              <w:jc w:val="right"/>
              <w:rPr>
                <w:rFonts w:cstheme="minorHAnsi"/>
                <w:color w:val="000000"/>
              </w:rPr>
            </w:pPr>
            <w:r w:rsidRPr="00A26C26">
              <w:rPr>
                <w:rFonts w:cstheme="minorHAnsi"/>
                <w:color w:val="000000"/>
              </w:rPr>
              <w:t>677</w:t>
            </w:r>
          </w:p>
        </w:tc>
        <w:tc>
          <w:tcPr>
            <w:tcW w:w="1644" w:type="dxa"/>
            <w:tcBorders>
              <w:top w:val="nil"/>
              <w:left w:val="nil"/>
              <w:bottom w:val="single" w:sz="4" w:space="0" w:color="auto"/>
              <w:right w:val="single" w:sz="4" w:space="0" w:color="auto"/>
            </w:tcBorders>
            <w:shd w:val="clear" w:color="auto" w:fill="auto"/>
            <w:noWrap/>
            <w:vAlign w:val="bottom"/>
            <w:hideMark/>
          </w:tcPr>
          <w:p w14:paraId="534520DA" w14:textId="77777777" w:rsidR="00224658" w:rsidRPr="00A26C26" w:rsidRDefault="00224658" w:rsidP="00A26C26">
            <w:pPr>
              <w:spacing w:line="276" w:lineRule="auto"/>
              <w:jc w:val="right"/>
              <w:rPr>
                <w:rFonts w:cstheme="minorHAnsi"/>
                <w:color w:val="000000"/>
              </w:rPr>
            </w:pPr>
            <w:r w:rsidRPr="00A26C26">
              <w:rPr>
                <w:rFonts w:cstheme="minorHAnsi"/>
                <w:color w:val="000000"/>
              </w:rPr>
              <w:t>726</w:t>
            </w:r>
          </w:p>
        </w:tc>
        <w:tc>
          <w:tcPr>
            <w:tcW w:w="1644" w:type="dxa"/>
            <w:tcBorders>
              <w:top w:val="nil"/>
              <w:left w:val="nil"/>
              <w:bottom w:val="single" w:sz="4" w:space="0" w:color="auto"/>
              <w:right w:val="single" w:sz="4" w:space="0" w:color="auto"/>
            </w:tcBorders>
            <w:shd w:val="clear" w:color="auto" w:fill="auto"/>
            <w:noWrap/>
            <w:vAlign w:val="bottom"/>
            <w:hideMark/>
          </w:tcPr>
          <w:p w14:paraId="1E0A33A6" w14:textId="77777777" w:rsidR="00224658" w:rsidRPr="00A26C26" w:rsidRDefault="00224658" w:rsidP="00A26C26">
            <w:pPr>
              <w:spacing w:line="276" w:lineRule="auto"/>
              <w:jc w:val="right"/>
              <w:rPr>
                <w:rFonts w:cstheme="minorHAnsi"/>
                <w:color w:val="000000"/>
              </w:rPr>
            </w:pPr>
            <w:r w:rsidRPr="00A26C26">
              <w:rPr>
                <w:rFonts w:cstheme="minorHAnsi"/>
                <w:color w:val="000000"/>
              </w:rPr>
              <w:t>758</w:t>
            </w:r>
          </w:p>
        </w:tc>
        <w:tc>
          <w:tcPr>
            <w:tcW w:w="1644" w:type="dxa"/>
            <w:tcBorders>
              <w:top w:val="nil"/>
              <w:left w:val="nil"/>
              <w:bottom w:val="single" w:sz="4" w:space="0" w:color="auto"/>
              <w:right w:val="single" w:sz="4" w:space="0" w:color="auto"/>
            </w:tcBorders>
            <w:shd w:val="clear" w:color="auto" w:fill="auto"/>
            <w:noWrap/>
            <w:vAlign w:val="bottom"/>
            <w:hideMark/>
          </w:tcPr>
          <w:p w14:paraId="086C22BA" w14:textId="77777777" w:rsidR="00224658" w:rsidRPr="00A26C26" w:rsidRDefault="00224658" w:rsidP="00A26C26">
            <w:pPr>
              <w:spacing w:line="276" w:lineRule="auto"/>
              <w:jc w:val="right"/>
              <w:rPr>
                <w:rFonts w:cstheme="minorHAnsi"/>
                <w:color w:val="000000"/>
              </w:rPr>
            </w:pPr>
            <w:r w:rsidRPr="00A26C26">
              <w:rPr>
                <w:rFonts w:cstheme="minorHAnsi"/>
                <w:color w:val="000000"/>
              </w:rPr>
              <w:t>818</w:t>
            </w:r>
          </w:p>
        </w:tc>
        <w:tc>
          <w:tcPr>
            <w:tcW w:w="1645" w:type="dxa"/>
            <w:tcBorders>
              <w:top w:val="nil"/>
              <w:left w:val="nil"/>
              <w:bottom w:val="single" w:sz="4" w:space="0" w:color="auto"/>
              <w:right w:val="single" w:sz="4" w:space="0" w:color="auto"/>
            </w:tcBorders>
            <w:shd w:val="clear" w:color="auto" w:fill="auto"/>
            <w:noWrap/>
            <w:vAlign w:val="bottom"/>
            <w:hideMark/>
          </w:tcPr>
          <w:p w14:paraId="377CEE9F" w14:textId="77777777" w:rsidR="00224658" w:rsidRPr="00A26C26" w:rsidRDefault="00224658" w:rsidP="00A26C26">
            <w:pPr>
              <w:spacing w:line="276" w:lineRule="auto"/>
              <w:jc w:val="right"/>
              <w:rPr>
                <w:rFonts w:cstheme="minorHAnsi"/>
                <w:color w:val="000000"/>
              </w:rPr>
            </w:pPr>
            <w:r w:rsidRPr="00A26C26">
              <w:rPr>
                <w:rFonts w:cstheme="minorHAnsi"/>
                <w:color w:val="000000"/>
              </w:rPr>
              <w:t>857</w:t>
            </w:r>
          </w:p>
        </w:tc>
      </w:tr>
      <w:tr w:rsidR="00224658" w:rsidRPr="00A26C26" w14:paraId="1868D2BA"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5A73700" w14:textId="77777777" w:rsidR="00224658" w:rsidRPr="00A26C26" w:rsidRDefault="00224658" w:rsidP="00A26C26">
            <w:pPr>
              <w:spacing w:line="276" w:lineRule="auto"/>
              <w:rPr>
                <w:rFonts w:cstheme="minorHAnsi"/>
                <w:color w:val="000000"/>
              </w:rPr>
            </w:pPr>
            <w:r w:rsidRPr="00A26C26">
              <w:rPr>
                <w:rFonts w:cstheme="minorHAnsi"/>
                <w:color w:val="000000"/>
              </w:rPr>
              <w:t>Rzgów</w:t>
            </w:r>
          </w:p>
        </w:tc>
        <w:tc>
          <w:tcPr>
            <w:tcW w:w="1644" w:type="dxa"/>
            <w:tcBorders>
              <w:top w:val="nil"/>
              <w:left w:val="nil"/>
              <w:bottom w:val="single" w:sz="4" w:space="0" w:color="auto"/>
              <w:right w:val="single" w:sz="4" w:space="0" w:color="auto"/>
            </w:tcBorders>
            <w:shd w:val="clear" w:color="auto" w:fill="auto"/>
            <w:noWrap/>
            <w:vAlign w:val="bottom"/>
            <w:hideMark/>
          </w:tcPr>
          <w:p w14:paraId="3AF5D118" w14:textId="77777777" w:rsidR="00224658" w:rsidRPr="00A26C26" w:rsidRDefault="00224658" w:rsidP="00A26C26">
            <w:pPr>
              <w:spacing w:line="276" w:lineRule="auto"/>
              <w:jc w:val="right"/>
              <w:rPr>
                <w:rFonts w:cstheme="minorHAnsi"/>
                <w:color w:val="000000"/>
              </w:rPr>
            </w:pPr>
            <w:r w:rsidRPr="00A26C26">
              <w:rPr>
                <w:rFonts w:cstheme="minorHAnsi"/>
                <w:color w:val="000000"/>
              </w:rPr>
              <w:t>508</w:t>
            </w:r>
          </w:p>
        </w:tc>
        <w:tc>
          <w:tcPr>
            <w:tcW w:w="1644" w:type="dxa"/>
            <w:tcBorders>
              <w:top w:val="nil"/>
              <w:left w:val="nil"/>
              <w:bottom w:val="single" w:sz="4" w:space="0" w:color="auto"/>
              <w:right w:val="single" w:sz="4" w:space="0" w:color="auto"/>
            </w:tcBorders>
            <w:shd w:val="clear" w:color="auto" w:fill="auto"/>
            <w:noWrap/>
            <w:vAlign w:val="bottom"/>
            <w:hideMark/>
          </w:tcPr>
          <w:p w14:paraId="0363543F" w14:textId="77777777" w:rsidR="00224658" w:rsidRPr="00A26C26" w:rsidRDefault="00224658" w:rsidP="00A26C26">
            <w:pPr>
              <w:spacing w:line="276" w:lineRule="auto"/>
              <w:jc w:val="right"/>
              <w:rPr>
                <w:rFonts w:cstheme="minorHAnsi"/>
                <w:color w:val="000000"/>
              </w:rPr>
            </w:pPr>
            <w:r w:rsidRPr="00A26C26">
              <w:rPr>
                <w:rFonts w:cstheme="minorHAnsi"/>
                <w:color w:val="000000"/>
              </w:rPr>
              <w:t>550</w:t>
            </w:r>
          </w:p>
        </w:tc>
        <w:tc>
          <w:tcPr>
            <w:tcW w:w="1644" w:type="dxa"/>
            <w:tcBorders>
              <w:top w:val="nil"/>
              <w:left w:val="nil"/>
              <w:bottom w:val="single" w:sz="4" w:space="0" w:color="auto"/>
              <w:right w:val="single" w:sz="4" w:space="0" w:color="auto"/>
            </w:tcBorders>
            <w:shd w:val="clear" w:color="auto" w:fill="auto"/>
            <w:noWrap/>
            <w:vAlign w:val="bottom"/>
            <w:hideMark/>
          </w:tcPr>
          <w:p w14:paraId="14A3B627" w14:textId="77777777" w:rsidR="00224658" w:rsidRPr="00A26C26" w:rsidRDefault="00224658" w:rsidP="00A26C26">
            <w:pPr>
              <w:spacing w:line="276" w:lineRule="auto"/>
              <w:jc w:val="right"/>
              <w:rPr>
                <w:rFonts w:cstheme="minorHAnsi"/>
                <w:color w:val="000000"/>
              </w:rPr>
            </w:pPr>
            <w:r w:rsidRPr="00A26C26">
              <w:rPr>
                <w:rFonts w:cstheme="minorHAnsi"/>
                <w:color w:val="000000"/>
              </w:rPr>
              <w:t>602</w:t>
            </w:r>
          </w:p>
        </w:tc>
        <w:tc>
          <w:tcPr>
            <w:tcW w:w="1644" w:type="dxa"/>
            <w:tcBorders>
              <w:top w:val="nil"/>
              <w:left w:val="nil"/>
              <w:bottom w:val="single" w:sz="4" w:space="0" w:color="auto"/>
              <w:right w:val="single" w:sz="4" w:space="0" w:color="auto"/>
            </w:tcBorders>
            <w:shd w:val="clear" w:color="auto" w:fill="auto"/>
            <w:noWrap/>
            <w:vAlign w:val="bottom"/>
            <w:hideMark/>
          </w:tcPr>
          <w:p w14:paraId="678FB1A9" w14:textId="77777777" w:rsidR="00224658" w:rsidRPr="00A26C26" w:rsidRDefault="00224658" w:rsidP="00A26C26">
            <w:pPr>
              <w:spacing w:line="276" w:lineRule="auto"/>
              <w:jc w:val="right"/>
              <w:rPr>
                <w:rFonts w:cstheme="minorHAnsi"/>
                <w:color w:val="000000"/>
              </w:rPr>
            </w:pPr>
            <w:r w:rsidRPr="00A26C26">
              <w:rPr>
                <w:rFonts w:cstheme="minorHAnsi"/>
                <w:color w:val="000000"/>
              </w:rPr>
              <w:t>658</w:t>
            </w:r>
          </w:p>
        </w:tc>
        <w:tc>
          <w:tcPr>
            <w:tcW w:w="1645" w:type="dxa"/>
            <w:tcBorders>
              <w:top w:val="nil"/>
              <w:left w:val="nil"/>
              <w:bottom w:val="single" w:sz="4" w:space="0" w:color="auto"/>
              <w:right w:val="single" w:sz="4" w:space="0" w:color="auto"/>
            </w:tcBorders>
            <w:shd w:val="clear" w:color="auto" w:fill="auto"/>
            <w:noWrap/>
            <w:vAlign w:val="bottom"/>
            <w:hideMark/>
          </w:tcPr>
          <w:p w14:paraId="0E9F82C7" w14:textId="77777777" w:rsidR="00224658" w:rsidRPr="00A26C26" w:rsidRDefault="00224658" w:rsidP="00A26C26">
            <w:pPr>
              <w:spacing w:line="276" w:lineRule="auto"/>
              <w:jc w:val="right"/>
              <w:rPr>
                <w:rFonts w:cstheme="minorHAnsi"/>
                <w:color w:val="000000"/>
              </w:rPr>
            </w:pPr>
            <w:r w:rsidRPr="00A26C26">
              <w:rPr>
                <w:rFonts w:cstheme="minorHAnsi"/>
                <w:color w:val="000000"/>
              </w:rPr>
              <w:t>689</w:t>
            </w:r>
          </w:p>
        </w:tc>
      </w:tr>
      <w:tr w:rsidR="00224658" w:rsidRPr="00A26C26" w14:paraId="4BB3991C"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868F986" w14:textId="071C21ED" w:rsidR="00224658" w:rsidRPr="00A26C26" w:rsidRDefault="00224658" w:rsidP="00A26C26">
            <w:pPr>
              <w:spacing w:line="276" w:lineRule="auto"/>
              <w:rPr>
                <w:rFonts w:cstheme="minorHAnsi"/>
                <w:color w:val="000000"/>
              </w:rPr>
            </w:pPr>
            <w:r w:rsidRPr="00A26C26">
              <w:rPr>
                <w:rFonts w:cstheme="minorHAnsi"/>
                <w:color w:val="000000"/>
              </w:rPr>
              <w:t>Stare</w:t>
            </w:r>
            <w:r w:rsidR="003B50ED">
              <w:rPr>
                <w:rFonts w:cstheme="minorHAnsi"/>
                <w:color w:val="000000"/>
              </w:rPr>
              <w:t xml:space="preserve"> </w:t>
            </w:r>
            <w:r w:rsidRPr="00A26C26">
              <w:rPr>
                <w:rFonts w:cstheme="minorHAnsi"/>
                <w:color w:val="000000"/>
              </w:rPr>
              <w:t>Miasto</w:t>
            </w:r>
          </w:p>
        </w:tc>
        <w:tc>
          <w:tcPr>
            <w:tcW w:w="1644" w:type="dxa"/>
            <w:tcBorders>
              <w:top w:val="nil"/>
              <w:left w:val="nil"/>
              <w:bottom w:val="single" w:sz="4" w:space="0" w:color="auto"/>
              <w:right w:val="single" w:sz="4" w:space="0" w:color="auto"/>
            </w:tcBorders>
            <w:shd w:val="clear" w:color="auto" w:fill="auto"/>
            <w:noWrap/>
            <w:vAlign w:val="bottom"/>
            <w:hideMark/>
          </w:tcPr>
          <w:p w14:paraId="3E3935E3" w14:textId="1EC1E05E" w:rsidR="00224658" w:rsidRPr="00A26C26" w:rsidRDefault="00224658" w:rsidP="00A26C26">
            <w:pPr>
              <w:spacing w:line="276" w:lineRule="auto"/>
              <w:jc w:val="right"/>
              <w:rPr>
                <w:rFonts w:cstheme="minorHAnsi"/>
                <w:color w:val="000000"/>
              </w:rPr>
            </w:pPr>
            <w:r w:rsidRPr="00A26C26">
              <w:rPr>
                <w:rFonts w:cstheme="minorHAnsi"/>
                <w:color w:val="000000"/>
              </w:rPr>
              <w:t>1</w:t>
            </w:r>
            <w:r w:rsidR="003B50ED">
              <w:rPr>
                <w:rFonts w:cstheme="minorHAnsi"/>
                <w:color w:val="000000"/>
              </w:rPr>
              <w:t xml:space="preserve"> </w:t>
            </w:r>
            <w:r w:rsidRPr="00A26C26">
              <w:rPr>
                <w:rFonts w:cstheme="minorHAnsi"/>
                <w:color w:val="000000"/>
              </w:rPr>
              <w:t>388</w:t>
            </w:r>
          </w:p>
        </w:tc>
        <w:tc>
          <w:tcPr>
            <w:tcW w:w="1644" w:type="dxa"/>
            <w:tcBorders>
              <w:top w:val="nil"/>
              <w:left w:val="nil"/>
              <w:bottom w:val="single" w:sz="4" w:space="0" w:color="auto"/>
              <w:right w:val="single" w:sz="4" w:space="0" w:color="auto"/>
            </w:tcBorders>
            <w:shd w:val="clear" w:color="auto" w:fill="auto"/>
            <w:noWrap/>
            <w:vAlign w:val="bottom"/>
            <w:hideMark/>
          </w:tcPr>
          <w:p w14:paraId="33D525C0" w14:textId="571DA77C" w:rsidR="00224658" w:rsidRPr="00A26C26" w:rsidRDefault="00224658" w:rsidP="00A26C26">
            <w:pPr>
              <w:spacing w:line="276" w:lineRule="auto"/>
              <w:jc w:val="right"/>
              <w:rPr>
                <w:rFonts w:cstheme="minorHAnsi"/>
                <w:color w:val="000000"/>
              </w:rPr>
            </w:pPr>
            <w:r w:rsidRPr="00A26C26">
              <w:rPr>
                <w:rFonts w:cstheme="minorHAnsi"/>
                <w:color w:val="000000"/>
              </w:rPr>
              <w:t>1</w:t>
            </w:r>
            <w:r w:rsidR="003B50ED">
              <w:rPr>
                <w:rFonts w:cstheme="minorHAnsi"/>
                <w:color w:val="000000"/>
              </w:rPr>
              <w:t xml:space="preserve"> </w:t>
            </w:r>
            <w:r w:rsidRPr="00A26C26">
              <w:rPr>
                <w:rFonts w:cstheme="minorHAnsi"/>
                <w:color w:val="000000"/>
              </w:rPr>
              <w:t>497</w:t>
            </w:r>
          </w:p>
        </w:tc>
        <w:tc>
          <w:tcPr>
            <w:tcW w:w="1644" w:type="dxa"/>
            <w:tcBorders>
              <w:top w:val="nil"/>
              <w:left w:val="nil"/>
              <w:bottom w:val="single" w:sz="4" w:space="0" w:color="auto"/>
              <w:right w:val="single" w:sz="4" w:space="0" w:color="auto"/>
            </w:tcBorders>
            <w:shd w:val="clear" w:color="auto" w:fill="auto"/>
            <w:noWrap/>
            <w:vAlign w:val="bottom"/>
            <w:hideMark/>
          </w:tcPr>
          <w:p w14:paraId="1315F9E4" w14:textId="04F69A54" w:rsidR="00224658" w:rsidRPr="00A26C26" w:rsidRDefault="00224658" w:rsidP="00A26C26">
            <w:pPr>
              <w:spacing w:line="276" w:lineRule="auto"/>
              <w:jc w:val="right"/>
              <w:rPr>
                <w:rFonts w:cstheme="minorHAnsi"/>
                <w:color w:val="000000"/>
              </w:rPr>
            </w:pPr>
            <w:r w:rsidRPr="00A26C26">
              <w:rPr>
                <w:rFonts w:cstheme="minorHAnsi"/>
                <w:color w:val="000000"/>
              </w:rPr>
              <w:t>1</w:t>
            </w:r>
            <w:r w:rsidR="003B50ED">
              <w:rPr>
                <w:rFonts w:cstheme="minorHAnsi"/>
                <w:color w:val="000000"/>
              </w:rPr>
              <w:t xml:space="preserve"> </w:t>
            </w:r>
            <w:r w:rsidRPr="00A26C26">
              <w:rPr>
                <w:rFonts w:cstheme="minorHAnsi"/>
                <w:color w:val="000000"/>
              </w:rPr>
              <w:t>592</w:t>
            </w:r>
          </w:p>
        </w:tc>
        <w:tc>
          <w:tcPr>
            <w:tcW w:w="1644" w:type="dxa"/>
            <w:tcBorders>
              <w:top w:val="nil"/>
              <w:left w:val="nil"/>
              <w:bottom w:val="single" w:sz="4" w:space="0" w:color="auto"/>
              <w:right w:val="single" w:sz="4" w:space="0" w:color="auto"/>
            </w:tcBorders>
            <w:shd w:val="clear" w:color="auto" w:fill="auto"/>
            <w:noWrap/>
            <w:vAlign w:val="bottom"/>
            <w:hideMark/>
          </w:tcPr>
          <w:p w14:paraId="4D2049B6" w14:textId="0FABCF66" w:rsidR="00224658" w:rsidRPr="00A26C26" w:rsidRDefault="00224658" w:rsidP="00A26C26">
            <w:pPr>
              <w:spacing w:line="276" w:lineRule="auto"/>
              <w:jc w:val="right"/>
              <w:rPr>
                <w:rFonts w:cstheme="minorHAnsi"/>
                <w:color w:val="000000"/>
              </w:rPr>
            </w:pPr>
            <w:r w:rsidRPr="00A26C26">
              <w:rPr>
                <w:rFonts w:cstheme="minorHAnsi"/>
                <w:color w:val="000000"/>
              </w:rPr>
              <w:t>1</w:t>
            </w:r>
            <w:r w:rsidR="003B50ED">
              <w:rPr>
                <w:rFonts w:cstheme="minorHAnsi"/>
                <w:color w:val="000000"/>
              </w:rPr>
              <w:t xml:space="preserve"> </w:t>
            </w:r>
            <w:r w:rsidRPr="00A26C26">
              <w:rPr>
                <w:rFonts w:cstheme="minorHAnsi"/>
                <w:color w:val="000000"/>
              </w:rPr>
              <w:t>660</w:t>
            </w:r>
          </w:p>
        </w:tc>
        <w:tc>
          <w:tcPr>
            <w:tcW w:w="1645" w:type="dxa"/>
            <w:tcBorders>
              <w:top w:val="nil"/>
              <w:left w:val="nil"/>
              <w:bottom w:val="single" w:sz="4" w:space="0" w:color="auto"/>
              <w:right w:val="single" w:sz="4" w:space="0" w:color="auto"/>
            </w:tcBorders>
            <w:shd w:val="clear" w:color="auto" w:fill="auto"/>
            <w:noWrap/>
            <w:vAlign w:val="bottom"/>
            <w:hideMark/>
          </w:tcPr>
          <w:p w14:paraId="6AB8B98F" w14:textId="30B199FF" w:rsidR="00224658" w:rsidRPr="00A26C26" w:rsidRDefault="00224658" w:rsidP="00A26C26">
            <w:pPr>
              <w:spacing w:line="276" w:lineRule="auto"/>
              <w:jc w:val="right"/>
              <w:rPr>
                <w:rFonts w:cstheme="minorHAnsi"/>
                <w:color w:val="000000"/>
              </w:rPr>
            </w:pPr>
            <w:r w:rsidRPr="00A26C26">
              <w:rPr>
                <w:rFonts w:cstheme="minorHAnsi"/>
                <w:color w:val="000000"/>
              </w:rPr>
              <w:t>1</w:t>
            </w:r>
            <w:r w:rsidR="003B50ED">
              <w:rPr>
                <w:rFonts w:cstheme="minorHAnsi"/>
                <w:color w:val="000000"/>
              </w:rPr>
              <w:t xml:space="preserve"> </w:t>
            </w:r>
            <w:r w:rsidRPr="00A26C26">
              <w:rPr>
                <w:rFonts w:cstheme="minorHAnsi"/>
                <w:color w:val="000000"/>
              </w:rPr>
              <w:t>741</w:t>
            </w:r>
          </w:p>
        </w:tc>
      </w:tr>
      <w:tr w:rsidR="00224658" w:rsidRPr="00A26C26" w14:paraId="075114EA"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405B22B" w14:textId="77777777" w:rsidR="00224658" w:rsidRPr="00A26C26" w:rsidRDefault="00224658" w:rsidP="00A26C26">
            <w:pPr>
              <w:spacing w:line="276" w:lineRule="auto"/>
              <w:rPr>
                <w:rFonts w:cstheme="minorHAnsi"/>
                <w:color w:val="000000"/>
              </w:rPr>
            </w:pPr>
            <w:r w:rsidRPr="00A26C26">
              <w:rPr>
                <w:rFonts w:cstheme="minorHAnsi"/>
                <w:color w:val="000000"/>
              </w:rPr>
              <w:t>Tuliszków</w:t>
            </w:r>
          </w:p>
        </w:tc>
        <w:tc>
          <w:tcPr>
            <w:tcW w:w="1644" w:type="dxa"/>
            <w:tcBorders>
              <w:top w:val="nil"/>
              <w:left w:val="nil"/>
              <w:bottom w:val="single" w:sz="4" w:space="0" w:color="auto"/>
              <w:right w:val="single" w:sz="4" w:space="0" w:color="auto"/>
            </w:tcBorders>
            <w:shd w:val="clear" w:color="auto" w:fill="auto"/>
            <w:noWrap/>
            <w:vAlign w:val="bottom"/>
            <w:hideMark/>
          </w:tcPr>
          <w:p w14:paraId="29910426" w14:textId="77777777" w:rsidR="00224658" w:rsidRPr="00A26C26" w:rsidRDefault="00224658" w:rsidP="00A26C26">
            <w:pPr>
              <w:spacing w:line="276" w:lineRule="auto"/>
              <w:jc w:val="right"/>
              <w:rPr>
                <w:rFonts w:cstheme="minorHAnsi"/>
                <w:color w:val="000000"/>
              </w:rPr>
            </w:pPr>
            <w:r w:rsidRPr="00A26C26">
              <w:rPr>
                <w:rFonts w:cstheme="minorHAnsi"/>
                <w:color w:val="000000"/>
              </w:rPr>
              <w:t>651</w:t>
            </w:r>
          </w:p>
        </w:tc>
        <w:tc>
          <w:tcPr>
            <w:tcW w:w="1644" w:type="dxa"/>
            <w:tcBorders>
              <w:top w:val="nil"/>
              <w:left w:val="nil"/>
              <w:bottom w:val="single" w:sz="4" w:space="0" w:color="auto"/>
              <w:right w:val="single" w:sz="4" w:space="0" w:color="auto"/>
            </w:tcBorders>
            <w:shd w:val="clear" w:color="auto" w:fill="auto"/>
            <w:noWrap/>
            <w:vAlign w:val="bottom"/>
            <w:hideMark/>
          </w:tcPr>
          <w:p w14:paraId="3B58E831" w14:textId="77777777" w:rsidR="00224658" w:rsidRPr="00A26C26" w:rsidRDefault="00224658" w:rsidP="00A26C26">
            <w:pPr>
              <w:spacing w:line="276" w:lineRule="auto"/>
              <w:jc w:val="right"/>
              <w:rPr>
                <w:rFonts w:cstheme="minorHAnsi"/>
                <w:color w:val="000000"/>
              </w:rPr>
            </w:pPr>
            <w:r w:rsidRPr="00A26C26">
              <w:rPr>
                <w:rFonts w:cstheme="minorHAnsi"/>
                <w:color w:val="000000"/>
              </w:rPr>
              <w:t>709</w:t>
            </w:r>
          </w:p>
        </w:tc>
        <w:tc>
          <w:tcPr>
            <w:tcW w:w="1644" w:type="dxa"/>
            <w:tcBorders>
              <w:top w:val="nil"/>
              <w:left w:val="nil"/>
              <w:bottom w:val="single" w:sz="4" w:space="0" w:color="auto"/>
              <w:right w:val="single" w:sz="4" w:space="0" w:color="auto"/>
            </w:tcBorders>
            <w:shd w:val="clear" w:color="auto" w:fill="auto"/>
            <w:noWrap/>
            <w:vAlign w:val="bottom"/>
            <w:hideMark/>
          </w:tcPr>
          <w:p w14:paraId="5CD07717" w14:textId="77777777" w:rsidR="00224658" w:rsidRPr="00A26C26" w:rsidRDefault="00224658" w:rsidP="00A26C26">
            <w:pPr>
              <w:spacing w:line="276" w:lineRule="auto"/>
              <w:jc w:val="right"/>
              <w:rPr>
                <w:rFonts w:cstheme="minorHAnsi"/>
                <w:color w:val="000000"/>
              </w:rPr>
            </w:pPr>
            <w:r w:rsidRPr="00A26C26">
              <w:rPr>
                <w:rFonts w:cstheme="minorHAnsi"/>
                <w:color w:val="000000"/>
              </w:rPr>
              <w:t>763</w:t>
            </w:r>
          </w:p>
        </w:tc>
        <w:tc>
          <w:tcPr>
            <w:tcW w:w="1644" w:type="dxa"/>
            <w:tcBorders>
              <w:top w:val="nil"/>
              <w:left w:val="nil"/>
              <w:bottom w:val="single" w:sz="4" w:space="0" w:color="auto"/>
              <w:right w:val="single" w:sz="4" w:space="0" w:color="auto"/>
            </w:tcBorders>
            <w:shd w:val="clear" w:color="auto" w:fill="auto"/>
            <w:noWrap/>
            <w:vAlign w:val="bottom"/>
            <w:hideMark/>
          </w:tcPr>
          <w:p w14:paraId="44759EA6" w14:textId="77777777" w:rsidR="00224658" w:rsidRPr="00A26C26" w:rsidRDefault="00224658" w:rsidP="00A26C26">
            <w:pPr>
              <w:spacing w:line="276" w:lineRule="auto"/>
              <w:jc w:val="right"/>
              <w:rPr>
                <w:rFonts w:cstheme="minorHAnsi"/>
                <w:color w:val="000000"/>
              </w:rPr>
            </w:pPr>
            <w:r w:rsidRPr="00A26C26">
              <w:rPr>
                <w:rFonts w:cstheme="minorHAnsi"/>
                <w:color w:val="000000"/>
              </w:rPr>
              <w:t>814</w:t>
            </w:r>
          </w:p>
        </w:tc>
        <w:tc>
          <w:tcPr>
            <w:tcW w:w="1645" w:type="dxa"/>
            <w:tcBorders>
              <w:top w:val="nil"/>
              <w:left w:val="nil"/>
              <w:bottom w:val="single" w:sz="4" w:space="0" w:color="auto"/>
              <w:right w:val="single" w:sz="4" w:space="0" w:color="auto"/>
            </w:tcBorders>
            <w:shd w:val="clear" w:color="auto" w:fill="auto"/>
            <w:noWrap/>
            <w:vAlign w:val="bottom"/>
            <w:hideMark/>
          </w:tcPr>
          <w:p w14:paraId="6F54125B" w14:textId="77777777" w:rsidR="00224658" w:rsidRPr="00A26C26" w:rsidRDefault="00224658" w:rsidP="00A26C26">
            <w:pPr>
              <w:spacing w:line="276" w:lineRule="auto"/>
              <w:jc w:val="right"/>
              <w:rPr>
                <w:rFonts w:cstheme="minorHAnsi"/>
                <w:color w:val="000000"/>
              </w:rPr>
            </w:pPr>
            <w:r w:rsidRPr="00A26C26">
              <w:rPr>
                <w:rFonts w:cstheme="minorHAnsi"/>
                <w:color w:val="000000"/>
              </w:rPr>
              <w:t>839</w:t>
            </w:r>
          </w:p>
        </w:tc>
      </w:tr>
      <w:tr w:rsidR="00224658" w:rsidRPr="00A26C26" w14:paraId="08566914" w14:textId="77777777" w:rsidTr="007F1E76">
        <w:trPr>
          <w:trHeight w:val="249"/>
        </w:trPr>
        <w:tc>
          <w:tcPr>
            <w:tcW w:w="1980" w:type="dxa"/>
            <w:tcBorders>
              <w:top w:val="nil"/>
              <w:left w:val="single" w:sz="4" w:space="0" w:color="auto"/>
              <w:bottom w:val="single" w:sz="4" w:space="0" w:color="auto"/>
              <w:right w:val="single" w:sz="4" w:space="0" w:color="auto"/>
            </w:tcBorders>
            <w:shd w:val="clear" w:color="000000" w:fill="DDEBF7"/>
            <w:vAlign w:val="bottom"/>
            <w:hideMark/>
          </w:tcPr>
          <w:p w14:paraId="4C9BFF31" w14:textId="0EC02A09" w:rsidR="00224658" w:rsidRPr="00A26C26" w:rsidRDefault="00224658" w:rsidP="00A26C26">
            <w:pPr>
              <w:spacing w:line="276" w:lineRule="auto"/>
              <w:rPr>
                <w:rFonts w:cstheme="minorHAnsi"/>
                <w:color w:val="000000"/>
              </w:rPr>
            </w:pPr>
            <w:r w:rsidRPr="00A26C26">
              <w:rPr>
                <w:rFonts w:cstheme="minorHAnsi"/>
                <w:color w:val="000000"/>
              </w:rPr>
              <w:t>Razem</w:t>
            </w:r>
            <w:r w:rsidR="003B50ED">
              <w:rPr>
                <w:rFonts w:cstheme="minorHAnsi"/>
                <w:color w:val="000000"/>
              </w:rPr>
              <w:t xml:space="preserve"> </w:t>
            </w:r>
            <w:r w:rsidRPr="00A26C26">
              <w:rPr>
                <w:rFonts w:cstheme="minorHAnsi"/>
                <w:color w:val="000000"/>
              </w:rPr>
              <w:t>LGD</w:t>
            </w:r>
          </w:p>
        </w:tc>
        <w:tc>
          <w:tcPr>
            <w:tcW w:w="1644" w:type="dxa"/>
            <w:tcBorders>
              <w:top w:val="nil"/>
              <w:left w:val="nil"/>
              <w:bottom w:val="single" w:sz="4" w:space="0" w:color="auto"/>
              <w:right w:val="single" w:sz="4" w:space="0" w:color="auto"/>
            </w:tcBorders>
            <w:shd w:val="clear" w:color="000000" w:fill="DDEBF7"/>
            <w:noWrap/>
            <w:vAlign w:val="bottom"/>
            <w:hideMark/>
          </w:tcPr>
          <w:p w14:paraId="1799DEC2" w14:textId="77777777" w:rsidR="00224658" w:rsidRPr="00A26C26" w:rsidRDefault="00224658" w:rsidP="00A26C26">
            <w:pPr>
              <w:spacing w:line="276" w:lineRule="auto"/>
              <w:jc w:val="right"/>
              <w:rPr>
                <w:rFonts w:cstheme="minorHAnsi"/>
                <w:color w:val="000000"/>
              </w:rPr>
            </w:pPr>
            <w:r w:rsidRPr="00A26C26">
              <w:rPr>
                <w:rFonts w:cstheme="minorHAnsi"/>
                <w:color w:val="000000"/>
              </w:rPr>
              <w:t>4655</w:t>
            </w:r>
          </w:p>
        </w:tc>
        <w:tc>
          <w:tcPr>
            <w:tcW w:w="1644" w:type="dxa"/>
            <w:tcBorders>
              <w:top w:val="nil"/>
              <w:left w:val="nil"/>
              <w:bottom w:val="single" w:sz="4" w:space="0" w:color="auto"/>
              <w:right w:val="single" w:sz="4" w:space="0" w:color="auto"/>
            </w:tcBorders>
            <w:shd w:val="clear" w:color="000000" w:fill="DDEBF7"/>
            <w:noWrap/>
            <w:vAlign w:val="bottom"/>
            <w:hideMark/>
          </w:tcPr>
          <w:p w14:paraId="050377CB" w14:textId="77777777" w:rsidR="00224658" w:rsidRPr="00A26C26" w:rsidRDefault="00224658" w:rsidP="00A26C26">
            <w:pPr>
              <w:spacing w:line="276" w:lineRule="auto"/>
              <w:jc w:val="right"/>
              <w:rPr>
                <w:rFonts w:cstheme="minorHAnsi"/>
                <w:color w:val="000000"/>
              </w:rPr>
            </w:pPr>
            <w:r w:rsidRPr="00A26C26">
              <w:rPr>
                <w:rFonts w:cstheme="minorHAnsi"/>
                <w:color w:val="000000"/>
              </w:rPr>
              <w:t>5022</w:t>
            </w:r>
          </w:p>
        </w:tc>
        <w:tc>
          <w:tcPr>
            <w:tcW w:w="1644" w:type="dxa"/>
            <w:tcBorders>
              <w:top w:val="nil"/>
              <w:left w:val="nil"/>
              <w:bottom w:val="single" w:sz="4" w:space="0" w:color="auto"/>
              <w:right w:val="single" w:sz="4" w:space="0" w:color="auto"/>
            </w:tcBorders>
            <w:shd w:val="clear" w:color="000000" w:fill="DDEBF7"/>
            <w:noWrap/>
            <w:vAlign w:val="bottom"/>
            <w:hideMark/>
          </w:tcPr>
          <w:p w14:paraId="71176CE0" w14:textId="77777777" w:rsidR="00224658" w:rsidRPr="00A26C26" w:rsidRDefault="00224658" w:rsidP="00A26C26">
            <w:pPr>
              <w:spacing w:line="276" w:lineRule="auto"/>
              <w:jc w:val="right"/>
              <w:rPr>
                <w:rFonts w:cstheme="minorHAnsi"/>
                <w:color w:val="000000"/>
              </w:rPr>
            </w:pPr>
            <w:r w:rsidRPr="00A26C26">
              <w:rPr>
                <w:rFonts w:cstheme="minorHAnsi"/>
                <w:color w:val="000000"/>
              </w:rPr>
              <w:t>5360</w:t>
            </w:r>
          </w:p>
        </w:tc>
        <w:tc>
          <w:tcPr>
            <w:tcW w:w="1644" w:type="dxa"/>
            <w:tcBorders>
              <w:top w:val="nil"/>
              <w:left w:val="nil"/>
              <w:bottom w:val="single" w:sz="4" w:space="0" w:color="auto"/>
              <w:right w:val="single" w:sz="4" w:space="0" w:color="auto"/>
            </w:tcBorders>
            <w:shd w:val="clear" w:color="000000" w:fill="DDEBF7"/>
            <w:noWrap/>
            <w:vAlign w:val="bottom"/>
            <w:hideMark/>
          </w:tcPr>
          <w:p w14:paraId="2AB8CE2E" w14:textId="77777777" w:rsidR="00224658" w:rsidRPr="00A26C26" w:rsidRDefault="00224658" w:rsidP="00A26C26">
            <w:pPr>
              <w:spacing w:line="276" w:lineRule="auto"/>
              <w:jc w:val="right"/>
              <w:rPr>
                <w:rFonts w:cstheme="minorHAnsi"/>
                <w:color w:val="000000"/>
              </w:rPr>
            </w:pPr>
            <w:r w:rsidRPr="00A26C26">
              <w:rPr>
                <w:rFonts w:cstheme="minorHAnsi"/>
                <w:color w:val="000000"/>
              </w:rPr>
              <w:t>5712</w:t>
            </w:r>
          </w:p>
        </w:tc>
        <w:tc>
          <w:tcPr>
            <w:tcW w:w="1645" w:type="dxa"/>
            <w:tcBorders>
              <w:top w:val="nil"/>
              <w:left w:val="nil"/>
              <w:bottom w:val="single" w:sz="4" w:space="0" w:color="auto"/>
              <w:right w:val="single" w:sz="4" w:space="0" w:color="auto"/>
            </w:tcBorders>
            <w:shd w:val="clear" w:color="000000" w:fill="DDEBF7"/>
            <w:noWrap/>
            <w:vAlign w:val="bottom"/>
            <w:hideMark/>
          </w:tcPr>
          <w:p w14:paraId="0ECA777B" w14:textId="77777777" w:rsidR="00224658" w:rsidRPr="00A26C26" w:rsidRDefault="00224658" w:rsidP="00A26C26">
            <w:pPr>
              <w:spacing w:line="276" w:lineRule="auto"/>
              <w:jc w:val="right"/>
              <w:rPr>
                <w:rFonts w:cstheme="minorHAnsi"/>
                <w:color w:val="000000"/>
              </w:rPr>
            </w:pPr>
            <w:r w:rsidRPr="00A26C26">
              <w:rPr>
                <w:rFonts w:cstheme="minorHAnsi"/>
                <w:color w:val="000000"/>
              </w:rPr>
              <w:t>5974</w:t>
            </w:r>
          </w:p>
        </w:tc>
      </w:tr>
    </w:tbl>
    <w:p w14:paraId="7609CB00" w14:textId="79D0EC45" w:rsidR="00224658" w:rsidRPr="00A26C26" w:rsidRDefault="003B50ED" w:rsidP="00A26C26">
      <w:pPr>
        <w:spacing w:line="276" w:lineRule="auto"/>
        <w:rPr>
          <w:rFonts w:cstheme="minorHAnsi"/>
        </w:rPr>
      </w:pPr>
      <w:r>
        <w:rPr>
          <w:rFonts w:cstheme="minorHAnsi"/>
          <w:i/>
          <w:iCs/>
        </w:rPr>
        <w:t xml:space="preserve"> </w:t>
      </w:r>
      <w:r w:rsidR="00224658" w:rsidRPr="00A26C26">
        <w:rPr>
          <w:rFonts w:cstheme="minorHAnsi"/>
        </w:rPr>
        <w:t>Źródło:</w:t>
      </w:r>
      <w:r>
        <w:rPr>
          <w:rFonts w:cstheme="minorHAnsi"/>
        </w:rPr>
        <w:t xml:space="preserve"> </w:t>
      </w:r>
      <w:r w:rsidR="00224658" w:rsidRPr="00A26C26">
        <w:rPr>
          <w:rFonts w:cstheme="minorHAnsi"/>
        </w:rPr>
        <w:t>GUS,</w:t>
      </w:r>
      <w:r>
        <w:rPr>
          <w:rFonts w:cstheme="minorHAnsi"/>
        </w:rPr>
        <w:t xml:space="preserve"> </w:t>
      </w:r>
      <w:r w:rsidR="00224658" w:rsidRPr="00A26C26">
        <w:rPr>
          <w:rFonts w:cstheme="minorHAnsi"/>
        </w:rPr>
        <w:t>Bank</w:t>
      </w:r>
      <w:r>
        <w:rPr>
          <w:rFonts w:cstheme="minorHAnsi"/>
        </w:rPr>
        <w:t xml:space="preserve"> </w:t>
      </w:r>
      <w:r w:rsidR="00224658" w:rsidRPr="00A26C26">
        <w:rPr>
          <w:rFonts w:cstheme="minorHAnsi"/>
        </w:rPr>
        <w:t>Danych</w:t>
      </w:r>
      <w:r>
        <w:rPr>
          <w:rFonts w:cstheme="minorHAnsi"/>
        </w:rPr>
        <w:t xml:space="preserve"> </w:t>
      </w:r>
      <w:r w:rsidR="00224658" w:rsidRPr="00A26C26">
        <w:rPr>
          <w:rFonts w:cstheme="minorHAnsi"/>
        </w:rPr>
        <w:t>Lokalnych</w:t>
      </w:r>
    </w:p>
    <w:p w14:paraId="39D5E5A4" w14:textId="77777777" w:rsidR="00224658" w:rsidRPr="00A26C26" w:rsidRDefault="00224658" w:rsidP="00A26C26">
      <w:pPr>
        <w:spacing w:line="276" w:lineRule="auto"/>
        <w:rPr>
          <w:rFonts w:cstheme="minorHAnsi"/>
        </w:rPr>
      </w:pPr>
    </w:p>
    <w:p w14:paraId="71A54391" w14:textId="58894262" w:rsidR="001D0163" w:rsidRPr="00A26C26" w:rsidRDefault="00224658" w:rsidP="00E07BED">
      <w:pPr>
        <w:spacing w:line="276" w:lineRule="auto"/>
        <w:ind w:firstLine="284"/>
        <w:jc w:val="both"/>
        <w:rPr>
          <w:rFonts w:cstheme="minorHAnsi"/>
        </w:rPr>
      </w:pPr>
      <w:r w:rsidRPr="00A26C26">
        <w:rPr>
          <w:rFonts w:cstheme="minorHAnsi"/>
        </w:rPr>
        <w:t>Na</w:t>
      </w:r>
      <w:r w:rsidR="003B50ED">
        <w:rPr>
          <w:rFonts w:cstheme="minorHAnsi"/>
        </w:rPr>
        <w:t xml:space="preserve"> </w:t>
      </w:r>
      <w:r w:rsidRPr="00A26C26">
        <w:rPr>
          <w:rFonts w:cstheme="minorHAnsi"/>
        </w:rPr>
        <w:t>terenie</w:t>
      </w:r>
      <w:r w:rsidR="003B50ED">
        <w:rPr>
          <w:rFonts w:cstheme="minorHAnsi"/>
        </w:rPr>
        <w:t xml:space="preserve"> </w:t>
      </w:r>
      <w:r w:rsidRPr="00A26C26">
        <w:rPr>
          <w:rFonts w:cstheme="minorHAnsi"/>
        </w:rPr>
        <w:t>gmin</w:t>
      </w:r>
      <w:r w:rsidR="003B50ED">
        <w:rPr>
          <w:rFonts w:cstheme="minorHAnsi"/>
        </w:rPr>
        <w:t xml:space="preserve"> </w:t>
      </w:r>
      <w:r w:rsidRPr="00A26C26">
        <w:rPr>
          <w:rFonts w:cstheme="minorHAnsi"/>
        </w:rPr>
        <w:t>wchodzących</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skład</w:t>
      </w:r>
      <w:r w:rsidR="003B50ED">
        <w:rPr>
          <w:rFonts w:cstheme="minorHAnsi"/>
        </w:rPr>
        <w:t xml:space="preserve"> </w:t>
      </w:r>
      <w:r w:rsidRPr="00A26C26">
        <w:rPr>
          <w:rFonts w:cstheme="minorHAnsi"/>
        </w:rPr>
        <w:t>LGD</w:t>
      </w:r>
      <w:r w:rsidR="003B50ED">
        <w:rPr>
          <w:rFonts w:cstheme="minorHAnsi"/>
        </w:rPr>
        <w:t xml:space="preserve"> </w:t>
      </w:r>
      <w:r w:rsidRPr="00A26C26">
        <w:rPr>
          <w:rFonts w:cstheme="minorHAnsi"/>
        </w:rPr>
        <w:t>odnotowujemy</w:t>
      </w:r>
      <w:r w:rsidR="003B50ED">
        <w:rPr>
          <w:rFonts w:cstheme="minorHAnsi"/>
        </w:rPr>
        <w:t xml:space="preserve"> </w:t>
      </w:r>
      <w:r w:rsidRPr="00A26C26">
        <w:rPr>
          <w:rFonts w:cstheme="minorHAnsi"/>
        </w:rPr>
        <w:t>również</w:t>
      </w:r>
      <w:r w:rsidR="003B50ED">
        <w:rPr>
          <w:rFonts w:cstheme="minorHAnsi"/>
        </w:rPr>
        <w:t xml:space="preserve"> </w:t>
      </w:r>
      <w:r w:rsidRPr="00A26C26">
        <w:rPr>
          <w:rFonts w:cstheme="minorHAnsi"/>
        </w:rPr>
        <w:t>zwiększanie</w:t>
      </w:r>
      <w:r w:rsidR="003B50ED">
        <w:rPr>
          <w:rFonts w:cstheme="minorHAnsi"/>
        </w:rPr>
        <w:t xml:space="preserve"> </w:t>
      </w:r>
      <w:r w:rsidRPr="00A26C26">
        <w:rPr>
          <w:rFonts w:cstheme="minorHAnsi"/>
        </w:rPr>
        <w:t>się</w:t>
      </w:r>
      <w:r w:rsidR="003B50ED">
        <w:rPr>
          <w:rFonts w:cstheme="minorHAnsi"/>
        </w:rPr>
        <w:t xml:space="preserve"> </w:t>
      </w:r>
      <w:r w:rsidRPr="00A26C26">
        <w:rPr>
          <w:rFonts w:cstheme="minorHAnsi"/>
        </w:rPr>
        <w:t>liczby</w:t>
      </w:r>
      <w:r w:rsidR="003B50ED">
        <w:rPr>
          <w:rFonts w:cstheme="minorHAnsi"/>
        </w:rPr>
        <w:t xml:space="preserve"> </w:t>
      </w:r>
      <w:r w:rsidRPr="00A26C26">
        <w:rPr>
          <w:rFonts w:cstheme="minorHAnsi"/>
        </w:rPr>
        <w:t>podmiotów</w:t>
      </w:r>
      <w:r w:rsidR="003B50ED">
        <w:rPr>
          <w:rFonts w:cstheme="minorHAnsi"/>
        </w:rPr>
        <w:t xml:space="preserve"> </w:t>
      </w:r>
      <w:r w:rsidRPr="00A26C26">
        <w:rPr>
          <w:rFonts w:cstheme="minorHAnsi"/>
        </w:rPr>
        <w:t>wpisanych</w:t>
      </w:r>
      <w:r w:rsidR="003B50ED">
        <w:rPr>
          <w:rFonts w:cstheme="minorHAnsi"/>
        </w:rPr>
        <w:t xml:space="preserve"> </w:t>
      </w:r>
      <w:r w:rsidRPr="00A26C26">
        <w:rPr>
          <w:rFonts w:cstheme="minorHAnsi"/>
        </w:rPr>
        <w:t>do</w:t>
      </w:r>
      <w:r w:rsidR="003B50ED">
        <w:rPr>
          <w:rFonts w:cstheme="minorHAnsi"/>
        </w:rPr>
        <w:t xml:space="preserve"> </w:t>
      </w:r>
      <w:r w:rsidRPr="00A26C26">
        <w:rPr>
          <w:rFonts w:cstheme="minorHAnsi"/>
        </w:rPr>
        <w:t>systemu</w:t>
      </w:r>
      <w:r w:rsidR="003B50ED">
        <w:rPr>
          <w:rFonts w:cstheme="minorHAnsi"/>
        </w:rPr>
        <w:t xml:space="preserve"> </w:t>
      </w:r>
      <w:r w:rsidRPr="00A26C26">
        <w:rPr>
          <w:rFonts w:cstheme="minorHAnsi"/>
        </w:rPr>
        <w:t>REGON,</w:t>
      </w:r>
      <w:r w:rsidR="003B50ED">
        <w:rPr>
          <w:rFonts w:cstheme="minorHAnsi"/>
        </w:rPr>
        <w:t xml:space="preserve"> </w:t>
      </w:r>
      <w:r w:rsidRPr="00A26C26">
        <w:rPr>
          <w:rFonts w:cstheme="minorHAnsi"/>
        </w:rPr>
        <w:t>średnio</w:t>
      </w:r>
      <w:r w:rsidR="003B50ED">
        <w:rPr>
          <w:rFonts w:cstheme="minorHAnsi"/>
        </w:rPr>
        <w:t xml:space="preserve"> </w:t>
      </w:r>
      <w:r w:rsidRPr="00A26C26">
        <w:rPr>
          <w:rFonts w:cstheme="minorHAnsi"/>
        </w:rPr>
        <w:t>o</w:t>
      </w:r>
      <w:r w:rsidR="003B50ED">
        <w:rPr>
          <w:rFonts w:cstheme="minorHAnsi"/>
        </w:rPr>
        <w:t xml:space="preserve"> </w:t>
      </w:r>
      <w:r w:rsidRPr="00A26C26">
        <w:rPr>
          <w:rFonts w:cstheme="minorHAnsi"/>
        </w:rPr>
        <w:t>30%</w:t>
      </w:r>
      <w:r w:rsidR="003B50ED">
        <w:rPr>
          <w:rFonts w:cstheme="minorHAnsi"/>
        </w:rPr>
        <w:t xml:space="preserve"> </w:t>
      </w:r>
      <w:r w:rsidRPr="00A26C26">
        <w:rPr>
          <w:rFonts w:cstheme="minorHAnsi"/>
        </w:rPr>
        <w:t>od</w:t>
      </w:r>
      <w:r w:rsidR="003B50ED">
        <w:rPr>
          <w:rFonts w:cstheme="minorHAnsi"/>
        </w:rPr>
        <w:t xml:space="preserve"> </w:t>
      </w:r>
      <w:r w:rsidRPr="00A26C26">
        <w:rPr>
          <w:rFonts w:cstheme="minorHAnsi"/>
        </w:rPr>
        <w:t>2017</w:t>
      </w:r>
      <w:r w:rsidR="003B50ED">
        <w:rPr>
          <w:rFonts w:cstheme="minorHAnsi"/>
        </w:rPr>
        <w:t xml:space="preserve"> r</w:t>
      </w:r>
      <w:r w:rsidRPr="00A26C26">
        <w:rPr>
          <w:rFonts w:cstheme="minorHAnsi"/>
        </w:rPr>
        <w:t>.</w:t>
      </w:r>
      <w:r w:rsidR="003B50ED">
        <w:rPr>
          <w:rFonts w:cstheme="minorHAnsi"/>
        </w:rPr>
        <w:t xml:space="preserve"> </w:t>
      </w:r>
      <w:r w:rsidRPr="00A26C26">
        <w:rPr>
          <w:rFonts w:cstheme="minorHAnsi"/>
        </w:rPr>
        <w:t>Najwięcej</w:t>
      </w:r>
      <w:r w:rsidR="003B50ED">
        <w:rPr>
          <w:rFonts w:cstheme="minorHAnsi"/>
        </w:rPr>
        <w:t xml:space="preserve"> </w:t>
      </w:r>
      <w:r w:rsidRPr="00A26C26">
        <w:rPr>
          <w:rFonts w:cstheme="minorHAnsi"/>
        </w:rPr>
        <w:t>podmiotów</w:t>
      </w:r>
      <w:r w:rsidR="003B50ED">
        <w:rPr>
          <w:rFonts w:cstheme="minorHAnsi"/>
        </w:rPr>
        <w:t xml:space="preserve"> </w:t>
      </w:r>
      <w:r w:rsidRPr="00A26C26">
        <w:rPr>
          <w:rFonts w:cstheme="minorHAnsi"/>
        </w:rPr>
        <w:t>wpisanych</w:t>
      </w:r>
      <w:r w:rsidR="003B50ED">
        <w:rPr>
          <w:rFonts w:cstheme="minorHAnsi"/>
        </w:rPr>
        <w:t xml:space="preserve"> </w:t>
      </w:r>
      <w:r w:rsidRPr="00A26C26">
        <w:rPr>
          <w:rFonts w:cstheme="minorHAnsi"/>
        </w:rPr>
        <w:t>do</w:t>
      </w:r>
      <w:r w:rsidR="003B50ED">
        <w:rPr>
          <w:rFonts w:cstheme="minorHAnsi"/>
        </w:rPr>
        <w:t xml:space="preserve"> </w:t>
      </w:r>
      <w:r w:rsidRPr="00A26C26">
        <w:rPr>
          <w:rFonts w:cstheme="minorHAnsi"/>
        </w:rPr>
        <w:t>REGON</w:t>
      </w:r>
      <w:r w:rsidR="003B50ED">
        <w:rPr>
          <w:rFonts w:cstheme="minorHAnsi"/>
        </w:rPr>
        <w:t xml:space="preserve"> </w:t>
      </w:r>
      <w:r w:rsidRPr="00A26C26">
        <w:rPr>
          <w:rFonts w:cstheme="minorHAnsi"/>
        </w:rPr>
        <w:t>przybyło</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gminach</w:t>
      </w:r>
      <w:r w:rsidR="003B50ED">
        <w:rPr>
          <w:rFonts w:cstheme="minorHAnsi"/>
        </w:rPr>
        <w:t xml:space="preserve"> </w:t>
      </w:r>
      <w:r w:rsidRPr="00BD5E29">
        <w:rPr>
          <w:rFonts w:cstheme="minorHAnsi"/>
        </w:rPr>
        <w:t>Rzgów</w:t>
      </w:r>
      <w:r w:rsidR="00396A11">
        <w:rPr>
          <w:rFonts w:cstheme="minorHAnsi"/>
        </w:rPr>
        <w:t xml:space="preserve"> </w:t>
      </w:r>
      <w:r w:rsidRPr="00A26C26">
        <w:rPr>
          <w:rFonts w:cstheme="minorHAnsi"/>
        </w:rPr>
        <w:t>i</w:t>
      </w:r>
      <w:r w:rsidR="003B50ED">
        <w:rPr>
          <w:rFonts w:cstheme="minorHAnsi"/>
        </w:rPr>
        <w:t xml:space="preserve"> </w:t>
      </w:r>
      <w:r w:rsidRPr="00A26C26">
        <w:rPr>
          <w:rFonts w:cstheme="minorHAnsi"/>
        </w:rPr>
        <w:t>Rychwał,</w:t>
      </w:r>
      <w:r w:rsidR="003B50ED">
        <w:rPr>
          <w:rFonts w:cstheme="minorHAnsi"/>
        </w:rPr>
        <w:t xml:space="preserve"> </w:t>
      </w:r>
      <w:r w:rsidRPr="00A26C26">
        <w:rPr>
          <w:rFonts w:cstheme="minorHAnsi"/>
        </w:rPr>
        <w:t>odpowiednio</w:t>
      </w:r>
      <w:r w:rsidR="003B50ED">
        <w:rPr>
          <w:rFonts w:cstheme="minorHAnsi"/>
        </w:rPr>
        <w:t xml:space="preserve"> </w:t>
      </w:r>
      <w:r w:rsidRPr="00A26C26">
        <w:rPr>
          <w:rFonts w:cstheme="minorHAnsi"/>
        </w:rPr>
        <w:t>265</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253.</w:t>
      </w:r>
      <w:r w:rsidR="003B50ED">
        <w:rPr>
          <w:rFonts w:cstheme="minorHAnsi"/>
        </w:rPr>
        <w:t xml:space="preserve"> </w:t>
      </w:r>
      <w:r w:rsidRPr="00A26C26">
        <w:rPr>
          <w:rFonts w:cstheme="minorHAnsi"/>
        </w:rPr>
        <w:t>Średnio</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2021</w:t>
      </w:r>
      <w:r w:rsidR="003B50ED">
        <w:rPr>
          <w:rFonts w:cstheme="minorHAnsi"/>
        </w:rPr>
        <w:t xml:space="preserve"> r. </w:t>
      </w:r>
      <w:r w:rsidRPr="00A26C26">
        <w:rPr>
          <w:rFonts w:cstheme="minorHAnsi"/>
        </w:rPr>
        <w:t>łącznie</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obszarze</w:t>
      </w:r>
      <w:r w:rsidR="003B50ED">
        <w:rPr>
          <w:rFonts w:cstheme="minorHAnsi"/>
        </w:rPr>
        <w:t xml:space="preserve"> </w:t>
      </w:r>
      <w:r w:rsidRPr="00A26C26">
        <w:rPr>
          <w:rFonts w:cstheme="minorHAnsi"/>
        </w:rPr>
        <w:t>LGD</w:t>
      </w:r>
      <w:r w:rsidR="003B50ED">
        <w:rPr>
          <w:rFonts w:cstheme="minorHAnsi"/>
        </w:rPr>
        <w:t xml:space="preserve"> </w:t>
      </w:r>
      <w:r w:rsidRPr="00A26C26">
        <w:rPr>
          <w:rFonts w:cstheme="minorHAnsi"/>
        </w:rPr>
        <w:t>było</w:t>
      </w:r>
      <w:r w:rsidR="003B50ED">
        <w:rPr>
          <w:rFonts w:cstheme="minorHAnsi"/>
        </w:rPr>
        <w:t xml:space="preserve"> </w:t>
      </w:r>
      <w:r w:rsidRPr="00A26C26">
        <w:rPr>
          <w:rFonts w:cstheme="minorHAnsi"/>
        </w:rPr>
        <w:t>6287</w:t>
      </w:r>
      <w:r w:rsidR="003B50ED">
        <w:rPr>
          <w:rFonts w:cstheme="minorHAnsi"/>
        </w:rPr>
        <w:t xml:space="preserve"> </w:t>
      </w:r>
      <w:r w:rsidRPr="00A26C26">
        <w:rPr>
          <w:rFonts w:cstheme="minorHAnsi"/>
        </w:rPr>
        <w:t>podmiotów</w:t>
      </w:r>
      <w:r w:rsidR="003B50ED">
        <w:rPr>
          <w:rFonts w:cstheme="minorHAnsi"/>
        </w:rPr>
        <w:t xml:space="preserve"> </w:t>
      </w:r>
      <w:r w:rsidRPr="00A26C26">
        <w:rPr>
          <w:rFonts w:cstheme="minorHAnsi"/>
        </w:rPr>
        <w:t>wpisanych</w:t>
      </w:r>
      <w:r w:rsidR="003B50ED">
        <w:rPr>
          <w:rFonts w:cstheme="minorHAnsi"/>
        </w:rPr>
        <w:t xml:space="preserve"> </w:t>
      </w:r>
      <w:r w:rsidRPr="00A26C26">
        <w:rPr>
          <w:rFonts w:cstheme="minorHAnsi"/>
        </w:rPr>
        <w:t>do</w:t>
      </w:r>
      <w:r w:rsidR="003B50ED">
        <w:rPr>
          <w:rFonts w:cstheme="minorHAnsi"/>
        </w:rPr>
        <w:t xml:space="preserve"> </w:t>
      </w:r>
      <w:r w:rsidRPr="00A26C26">
        <w:rPr>
          <w:rFonts w:cstheme="minorHAnsi"/>
        </w:rPr>
        <w:t>REGON</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przeliczeniu</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10</w:t>
      </w:r>
      <w:r w:rsidR="003B50ED">
        <w:rPr>
          <w:rFonts w:cstheme="minorHAnsi"/>
        </w:rPr>
        <w:t xml:space="preserve"> </w:t>
      </w:r>
      <w:r w:rsidRPr="00A26C26">
        <w:rPr>
          <w:rFonts w:cstheme="minorHAnsi"/>
        </w:rPr>
        <w:t>tys.</w:t>
      </w:r>
      <w:r w:rsidR="003B50ED">
        <w:rPr>
          <w:rFonts w:cstheme="minorHAnsi"/>
        </w:rPr>
        <w:t xml:space="preserve"> </w:t>
      </w:r>
      <w:r w:rsidRPr="00A26C26">
        <w:rPr>
          <w:rFonts w:cstheme="minorHAnsi"/>
        </w:rPr>
        <w:t>mieszkańców.</w:t>
      </w:r>
      <w:r w:rsidR="003B50ED">
        <w:rPr>
          <w:rFonts w:cstheme="minorHAnsi"/>
        </w:rPr>
        <w:t xml:space="preserve"> </w:t>
      </w:r>
    </w:p>
    <w:p w14:paraId="16076C45" w14:textId="7B8AE4D8" w:rsidR="00224658" w:rsidRPr="00A26C26" w:rsidRDefault="00224658" w:rsidP="00A26C26">
      <w:pPr>
        <w:spacing w:line="276" w:lineRule="auto"/>
        <w:jc w:val="both"/>
        <w:rPr>
          <w:rFonts w:cstheme="minorHAnsi"/>
        </w:rPr>
      </w:pPr>
      <w:r w:rsidRPr="00A26C26">
        <w:rPr>
          <w:rFonts w:cstheme="minorHAnsi"/>
        </w:rPr>
        <w:t>Tabela</w:t>
      </w:r>
      <w:r w:rsidR="00396A11">
        <w:rPr>
          <w:rFonts w:cstheme="minorHAnsi"/>
        </w:rPr>
        <w:t xml:space="preserve"> nr 1</w:t>
      </w:r>
      <w:r w:rsidR="00203429">
        <w:rPr>
          <w:rFonts w:cstheme="minorHAnsi"/>
        </w:rPr>
        <w:t>0</w:t>
      </w:r>
      <w:r w:rsidR="003B50ED">
        <w:rPr>
          <w:rFonts w:cstheme="minorHAnsi"/>
        </w:rPr>
        <w:t xml:space="preserve"> </w:t>
      </w:r>
      <w:r w:rsidRPr="00A26C26">
        <w:rPr>
          <w:rFonts w:cstheme="minorHAnsi"/>
        </w:rPr>
        <w:t>Podmioty</w:t>
      </w:r>
      <w:r w:rsidR="003B50ED">
        <w:rPr>
          <w:rFonts w:cstheme="minorHAnsi"/>
        </w:rPr>
        <w:t xml:space="preserve"> </w:t>
      </w:r>
      <w:r w:rsidRPr="00A26C26">
        <w:rPr>
          <w:rFonts w:cstheme="minorHAnsi"/>
        </w:rPr>
        <w:t>wpisane</w:t>
      </w:r>
      <w:r w:rsidR="003B50ED">
        <w:rPr>
          <w:rFonts w:cstheme="minorHAnsi"/>
        </w:rPr>
        <w:t xml:space="preserve"> </w:t>
      </w:r>
      <w:r w:rsidRPr="00A26C26">
        <w:rPr>
          <w:rFonts w:cstheme="minorHAnsi"/>
        </w:rPr>
        <w:t>do</w:t>
      </w:r>
      <w:r w:rsidR="003B50ED">
        <w:rPr>
          <w:rFonts w:cstheme="minorHAnsi"/>
        </w:rPr>
        <w:t xml:space="preserve"> </w:t>
      </w:r>
      <w:r w:rsidRPr="00A26C26">
        <w:rPr>
          <w:rFonts w:cstheme="minorHAnsi"/>
        </w:rPr>
        <w:t>REGON</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10</w:t>
      </w:r>
      <w:r w:rsidR="003B50ED">
        <w:rPr>
          <w:rFonts w:cstheme="minorHAnsi"/>
        </w:rPr>
        <w:t xml:space="preserve"> </w:t>
      </w:r>
      <w:r w:rsidRPr="00A26C26">
        <w:rPr>
          <w:rFonts w:cstheme="minorHAnsi"/>
        </w:rPr>
        <w:t>tys.</w:t>
      </w:r>
      <w:r w:rsidR="003B50ED">
        <w:rPr>
          <w:rFonts w:cstheme="minorHAnsi"/>
        </w:rPr>
        <w:t xml:space="preserve"> </w:t>
      </w:r>
      <w:r w:rsidRPr="00A26C26">
        <w:rPr>
          <w:rFonts w:cstheme="minorHAnsi"/>
        </w:rPr>
        <w:t>ludności</w:t>
      </w:r>
    </w:p>
    <w:tbl>
      <w:tblPr>
        <w:tblW w:w="10201" w:type="dxa"/>
        <w:tblLayout w:type="fixed"/>
        <w:tblCellMar>
          <w:left w:w="0" w:type="dxa"/>
          <w:right w:w="0" w:type="dxa"/>
        </w:tblCellMar>
        <w:tblLook w:val="04A0" w:firstRow="1" w:lastRow="0" w:firstColumn="1" w:lastColumn="0" w:noHBand="0" w:noVBand="1"/>
      </w:tblPr>
      <w:tblGrid>
        <w:gridCol w:w="1980"/>
        <w:gridCol w:w="1644"/>
        <w:gridCol w:w="1644"/>
        <w:gridCol w:w="1644"/>
        <w:gridCol w:w="1644"/>
        <w:gridCol w:w="1645"/>
      </w:tblGrid>
      <w:tr w:rsidR="00224658" w:rsidRPr="00A26C26" w14:paraId="03FA36DB" w14:textId="77777777" w:rsidTr="007F1E76">
        <w:trPr>
          <w:trHeight w:val="249"/>
        </w:trPr>
        <w:tc>
          <w:tcPr>
            <w:tcW w:w="198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35D153A8" w14:textId="16675FC6" w:rsidR="00224658" w:rsidRPr="00A26C26" w:rsidRDefault="00224658" w:rsidP="00A26C26">
            <w:pPr>
              <w:spacing w:line="276" w:lineRule="auto"/>
              <w:rPr>
                <w:rFonts w:cstheme="minorHAnsi"/>
                <w:color w:val="000000"/>
              </w:rPr>
            </w:pPr>
            <w:r w:rsidRPr="00A26C26">
              <w:rPr>
                <w:rFonts w:cstheme="minorHAnsi"/>
                <w:color w:val="000000"/>
              </w:rPr>
              <w:t>Nazwa</w:t>
            </w:r>
            <w:r w:rsidR="003B50ED">
              <w:rPr>
                <w:rFonts w:cstheme="minorHAnsi"/>
                <w:color w:val="000000"/>
              </w:rPr>
              <w:t xml:space="preserve"> </w:t>
            </w:r>
            <w:r w:rsidRPr="00A26C26">
              <w:rPr>
                <w:rFonts w:cstheme="minorHAnsi"/>
                <w:color w:val="000000"/>
              </w:rPr>
              <w:t>gminy</w:t>
            </w:r>
            <w:r w:rsidR="003B50ED">
              <w:rPr>
                <w:rFonts w:cstheme="minorHAnsi"/>
                <w:color w:val="000000"/>
              </w:rPr>
              <w:t xml:space="preserve"> </w:t>
            </w:r>
          </w:p>
        </w:tc>
        <w:tc>
          <w:tcPr>
            <w:tcW w:w="1644" w:type="dxa"/>
            <w:tcBorders>
              <w:top w:val="single" w:sz="4" w:space="0" w:color="auto"/>
              <w:left w:val="nil"/>
              <w:bottom w:val="single" w:sz="4" w:space="0" w:color="auto"/>
              <w:right w:val="single" w:sz="4" w:space="0" w:color="auto"/>
            </w:tcBorders>
            <w:shd w:val="clear" w:color="000000" w:fill="DDEBF7"/>
            <w:noWrap/>
            <w:vAlign w:val="bottom"/>
            <w:hideMark/>
          </w:tcPr>
          <w:p w14:paraId="3A831D89" w14:textId="77777777" w:rsidR="00224658" w:rsidRPr="00A26C26" w:rsidRDefault="00224658" w:rsidP="00A26C26">
            <w:pPr>
              <w:spacing w:line="276" w:lineRule="auto"/>
              <w:jc w:val="right"/>
              <w:rPr>
                <w:rFonts w:cstheme="minorHAnsi"/>
                <w:color w:val="000000"/>
              </w:rPr>
            </w:pPr>
            <w:r w:rsidRPr="00A26C26">
              <w:rPr>
                <w:rFonts w:cstheme="minorHAnsi"/>
                <w:color w:val="000000"/>
              </w:rPr>
              <w:t>2017</w:t>
            </w:r>
          </w:p>
        </w:tc>
        <w:tc>
          <w:tcPr>
            <w:tcW w:w="1644" w:type="dxa"/>
            <w:tcBorders>
              <w:top w:val="single" w:sz="4" w:space="0" w:color="auto"/>
              <w:left w:val="nil"/>
              <w:bottom w:val="single" w:sz="4" w:space="0" w:color="auto"/>
              <w:right w:val="single" w:sz="4" w:space="0" w:color="auto"/>
            </w:tcBorders>
            <w:shd w:val="clear" w:color="000000" w:fill="DDEBF7"/>
            <w:noWrap/>
            <w:vAlign w:val="bottom"/>
            <w:hideMark/>
          </w:tcPr>
          <w:p w14:paraId="5310F1E0" w14:textId="77777777" w:rsidR="00224658" w:rsidRPr="00A26C26" w:rsidRDefault="00224658" w:rsidP="00A26C26">
            <w:pPr>
              <w:spacing w:line="276" w:lineRule="auto"/>
              <w:jc w:val="right"/>
              <w:rPr>
                <w:rFonts w:cstheme="minorHAnsi"/>
                <w:color w:val="000000"/>
              </w:rPr>
            </w:pPr>
            <w:r w:rsidRPr="00A26C26">
              <w:rPr>
                <w:rFonts w:cstheme="minorHAnsi"/>
                <w:color w:val="000000"/>
              </w:rPr>
              <w:t>2018</w:t>
            </w:r>
          </w:p>
        </w:tc>
        <w:tc>
          <w:tcPr>
            <w:tcW w:w="1644" w:type="dxa"/>
            <w:tcBorders>
              <w:top w:val="single" w:sz="4" w:space="0" w:color="auto"/>
              <w:left w:val="nil"/>
              <w:bottom w:val="single" w:sz="4" w:space="0" w:color="auto"/>
              <w:right w:val="single" w:sz="4" w:space="0" w:color="auto"/>
            </w:tcBorders>
            <w:shd w:val="clear" w:color="000000" w:fill="DDEBF7"/>
            <w:noWrap/>
            <w:vAlign w:val="bottom"/>
            <w:hideMark/>
          </w:tcPr>
          <w:p w14:paraId="4C1C07CC" w14:textId="77777777" w:rsidR="00224658" w:rsidRPr="00A26C26" w:rsidRDefault="00224658" w:rsidP="00A26C26">
            <w:pPr>
              <w:spacing w:line="276" w:lineRule="auto"/>
              <w:jc w:val="right"/>
              <w:rPr>
                <w:rFonts w:cstheme="minorHAnsi"/>
                <w:color w:val="000000"/>
              </w:rPr>
            </w:pPr>
            <w:r w:rsidRPr="00A26C26">
              <w:rPr>
                <w:rFonts w:cstheme="minorHAnsi"/>
                <w:color w:val="000000"/>
              </w:rPr>
              <w:t>2019</w:t>
            </w:r>
          </w:p>
        </w:tc>
        <w:tc>
          <w:tcPr>
            <w:tcW w:w="1644" w:type="dxa"/>
            <w:tcBorders>
              <w:top w:val="single" w:sz="4" w:space="0" w:color="auto"/>
              <w:left w:val="nil"/>
              <w:bottom w:val="single" w:sz="4" w:space="0" w:color="auto"/>
              <w:right w:val="single" w:sz="4" w:space="0" w:color="auto"/>
            </w:tcBorders>
            <w:shd w:val="clear" w:color="000000" w:fill="DDEBF7"/>
            <w:noWrap/>
            <w:vAlign w:val="bottom"/>
            <w:hideMark/>
          </w:tcPr>
          <w:p w14:paraId="6A640CC0" w14:textId="77777777" w:rsidR="00224658" w:rsidRPr="00A26C26" w:rsidRDefault="00224658" w:rsidP="00A26C26">
            <w:pPr>
              <w:spacing w:line="276" w:lineRule="auto"/>
              <w:jc w:val="right"/>
              <w:rPr>
                <w:rFonts w:cstheme="minorHAnsi"/>
                <w:color w:val="000000"/>
              </w:rPr>
            </w:pPr>
            <w:r w:rsidRPr="00A26C26">
              <w:rPr>
                <w:rFonts w:cstheme="minorHAnsi"/>
                <w:color w:val="000000"/>
              </w:rPr>
              <w:t>2020</w:t>
            </w:r>
          </w:p>
        </w:tc>
        <w:tc>
          <w:tcPr>
            <w:tcW w:w="1645" w:type="dxa"/>
            <w:tcBorders>
              <w:top w:val="single" w:sz="4" w:space="0" w:color="auto"/>
              <w:left w:val="nil"/>
              <w:bottom w:val="single" w:sz="4" w:space="0" w:color="auto"/>
              <w:right w:val="single" w:sz="4" w:space="0" w:color="auto"/>
            </w:tcBorders>
            <w:shd w:val="clear" w:color="000000" w:fill="DDEBF7"/>
            <w:noWrap/>
            <w:vAlign w:val="bottom"/>
            <w:hideMark/>
          </w:tcPr>
          <w:p w14:paraId="1B4A1451" w14:textId="77777777" w:rsidR="00224658" w:rsidRPr="00A26C26" w:rsidRDefault="00224658" w:rsidP="00A26C26">
            <w:pPr>
              <w:spacing w:line="276" w:lineRule="auto"/>
              <w:jc w:val="right"/>
              <w:rPr>
                <w:rFonts w:cstheme="minorHAnsi"/>
                <w:color w:val="000000"/>
              </w:rPr>
            </w:pPr>
            <w:r w:rsidRPr="00A26C26">
              <w:rPr>
                <w:rFonts w:cstheme="minorHAnsi"/>
                <w:color w:val="000000"/>
              </w:rPr>
              <w:t>2021</w:t>
            </w:r>
          </w:p>
        </w:tc>
      </w:tr>
      <w:tr w:rsidR="00224658" w:rsidRPr="00A26C26" w14:paraId="2C189FAD"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117115A" w14:textId="77777777" w:rsidR="00224658" w:rsidRPr="00A26C26" w:rsidRDefault="00224658" w:rsidP="00A26C26">
            <w:pPr>
              <w:spacing w:line="276" w:lineRule="auto"/>
              <w:rPr>
                <w:rFonts w:cstheme="minorHAnsi"/>
                <w:color w:val="000000"/>
              </w:rPr>
            </w:pPr>
            <w:r w:rsidRPr="00A26C26">
              <w:rPr>
                <w:rFonts w:cstheme="minorHAnsi"/>
                <w:color w:val="000000"/>
              </w:rPr>
              <w:t>Golina</w:t>
            </w:r>
          </w:p>
        </w:tc>
        <w:tc>
          <w:tcPr>
            <w:tcW w:w="1644" w:type="dxa"/>
            <w:tcBorders>
              <w:top w:val="nil"/>
              <w:left w:val="nil"/>
              <w:bottom w:val="single" w:sz="4" w:space="0" w:color="auto"/>
              <w:right w:val="single" w:sz="4" w:space="0" w:color="auto"/>
            </w:tcBorders>
            <w:shd w:val="clear" w:color="auto" w:fill="auto"/>
            <w:noWrap/>
            <w:vAlign w:val="bottom"/>
            <w:hideMark/>
          </w:tcPr>
          <w:p w14:paraId="5D018076" w14:textId="77777777" w:rsidR="00224658" w:rsidRPr="00A26C26" w:rsidRDefault="00224658" w:rsidP="00A26C26">
            <w:pPr>
              <w:spacing w:line="276" w:lineRule="auto"/>
              <w:jc w:val="right"/>
              <w:rPr>
                <w:rFonts w:cstheme="minorHAnsi"/>
                <w:color w:val="000000"/>
              </w:rPr>
            </w:pPr>
            <w:r w:rsidRPr="00A26C26">
              <w:rPr>
                <w:rFonts w:cstheme="minorHAnsi"/>
                <w:color w:val="000000"/>
              </w:rPr>
              <w:t>884</w:t>
            </w:r>
          </w:p>
        </w:tc>
        <w:tc>
          <w:tcPr>
            <w:tcW w:w="1644" w:type="dxa"/>
            <w:tcBorders>
              <w:top w:val="nil"/>
              <w:left w:val="nil"/>
              <w:bottom w:val="single" w:sz="4" w:space="0" w:color="auto"/>
              <w:right w:val="single" w:sz="4" w:space="0" w:color="auto"/>
            </w:tcBorders>
            <w:shd w:val="clear" w:color="auto" w:fill="auto"/>
            <w:noWrap/>
            <w:vAlign w:val="bottom"/>
            <w:hideMark/>
          </w:tcPr>
          <w:p w14:paraId="1DAA15BF" w14:textId="77777777" w:rsidR="00224658" w:rsidRPr="00A26C26" w:rsidRDefault="00224658" w:rsidP="00A26C26">
            <w:pPr>
              <w:spacing w:line="276" w:lineRule="auto"/>
              <w:jc w:val="right"/>
              <w:rPr>
                <w:rFonts w:cstheme="minorHAnsi"/>
                <w:color w:val="000000"/>
              </w:rPr>
            </w:pPr>
            <w:r w:rsidRPr="00A26C26">
              <w:rPr>
                <w:rFonts w:cstheme="minorHAnsi"/>
                <w:color w:val="000000"/>
              </w:rPr>
              <w:t>945</w:t>
            </w:r>
          </w:p>
        </w:tc>
        <w:tc>
          <w:tcPr>
            <w:tcW w:w="1644" w:type="dxa"/>
            <w:tcBorders>
              <w:top w:val="nil"/>
              <w:left w:val="nil"/>
              <w:bottom w:val="single" w:sz="4" w:space="0" w:color="auto"/>
              <w:right w:val="single" w:sz="4" w:space="0" w:color="auto"/>
            </w:tcBorders>
            <w:shd w:val="clear" w:color="auto" w:fill="auto"/>
            <w:noWrap/>
            <w:vAlign w:val="bottom"/>
            <w:hideMark/>
          </w:tcPr>
          <w:p w14:paraId="211102ED" w14:textId="10D59431" w:rsidR="00224658" w:rsidRPr="00A26C26" w:rsidRDefault="00224658" w:rsidP="00A26C26">
            <w:pPr>
              <w:spacing w:line="276" w:lineRule="auto"/>
              <w:jc w:val="right"/>
              <w:rPr>
                <w:rFonts w:cstheme="minorHAnsi"/>
                <w:color w:val="000000"/>
              </w:rPr>
            </w:pPr>
            <w:r w:rsidRPr="00A26C26">
              <w:rPr>
                <w:rFonts w:cstheme="minorHAnsi"/>
                <w:color w:val="000000"/>
              </w:rPr>
              <w:t>1</w:t>
            </w:r>
            <w:r w:rsidR="003B50ED">
              <w:rPr>
                <w:rFonts w:cstheme="minorHAnsi"/>
                <w:color w:val="000000"/>
              </w:rPr>
              <w:t xml:space="preserve"> </w:t>
            </w:r>
            <w:r w:rsidRPr="00A26C26">
              <w:rPr>
                <w:rFonts w:cstheme="minorHAnsi"/>
                <w:color w:val="000000"/>
              </w:rPr>
              <w:t>010</w:t>
            </w:r>
          </w:p>
        </w:tc>
        <w:tc>
          <w:tcPr>
            <w:tcW w:w="1644" w:type="dxa"/>
            <w:tcBorders>
              <w:top w:val="nil"/>
              <w:left w:val="nil"/>
              <w:bottom w:val="single" w:sz="4" w:space="0" w:color="auto"/>
              <w:right w:val="single" w:sz="4" w:space="0" w:color="auto"/>
            </w:tcBorders>
            <w:shd w:val="clear" w:color="auto" w:fill="auto"/>
            <w:noWrap/>
            <w:vAlign w:val="bottom"/>
            <w:hideMark/>
          </w:tcPr>
          <w:p w14:paraId="24A9FCF7" w14:textId="3F358E9A" w:rsidR="00224658" w:rsidRPr="00A26C26" w:rsidRDefault="00224658" w:rsidP="00A26C26">
            <w:pPr>
              <w:spacing w:line="276" w:lineRule="auto"/>
              <w:jc w:val="right"/>
              <w:rPr>
                <w:rFonts w:cstheme="minorHAnsi"/>
                <w:color w:val="000000"/>
              </w:rPr>
            </w:pPr>
            <w:r w:rsidRPr="00A26C26">
              <w:rPr>
                <w:rFonts w:cstheme="minorHAnsi"/>
                <w:color w:val="000000"/>
              </w:rPr>
              <w:t>1</w:t>
            </w:r>
            <w:r w:rsidR="003B50ED">
              <w:rPr>
                <w:rFonts w:cstheme="minorHAnsi"/>
                <w:color w:val="000000"/>
              </w:rPr>
              <w:t xml:space="preserve"> </w:t>
            </w:r>
            <w:r w:rsidRPr="00A26C26">
              <w:rPr>
                <w:rFonts w:cstheme="minorHAnsi"/>
                <w:color w:val="000000"/>
              </w:rPr>
              <w:t>074</w:t>
            </w:r>
          </w:p>
        </w:tc>
        <w:tc>
          <w:tcPr>
            <w:tcW w:w="1645" w:type="dxa"/>
            <w:tcBorders>
              <w:top w:val="nil"/>
              <w:left w:val="nil"/>
              <w:bottom w:val="single" w:sz="4" w:space="0" w:color="auto"/>
              <w:right w:val="single" w:sz="4" w:space="0" w:color="auto"/>
            </w:tcBorders>
            <w:shd w:val="clear" w:color="auto" w:fill="auto"/>
            <w:noWrap/>
            <w:vAlign w:val="bottom"/>
            <w:hideMark/>
          </w:tcPr>
          <w:p w14:paraId="285A526B" w14:textId="66742848" w:rsidR="00224658" w:rsidRPr="00A26C26" w:rsidRDefault="00224658" w:rsidP="00A26C26">
            <w:pPr>
              <w:spacing w:line="276" w:lineRule="auto"/>
              <w:jc w:val="right"/>
              <w:rPr>
                <w:rFonts w:cstheme="minorHAnsi"/>
                <w:color w:val="000000"/>
              </w:rPr>
            </w:pPr>
            <w:r w:rsidRPr="00A26C26">
              <w:rPr>
                <w:rFonts w:cstheme="minorHAnsi"/>
                <w:color w:val="000000"/>
              </w:rPr>
              <w:t>1</w:t>
            </w:r>
            <w:r w:rsidR="003B50ED">
              <w:rPr>
                <w:rFonts w:cstheme="minorHAnsi"/>
                <w:color w:val="000000"/>
              </w:rPr>
              <w:t xml:space="preserve"> </w:t>
            </w:r>
            <w:r w:rsidRPr="00A26C26">
              <w:rPr>
                <w:rFonts w:cstheme="minorHAnsi"/>
                <w:color w:val="000000"/>
              </w:rPr>
              <w:t>128</w:t>
            </w:r>
          </w:p>
        </w:tc>
      </w:tr>
      <w:tr w:rsidR="00224658" w:rsidRPr="00A26C26" w14:paraId="119AF9B8"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7B26A4B" w14:textId="77777777" w:rsidR="00224658" w:rsidRPr="00A26C26" w:rsidRDefault="00224658" w:rsidP="00A26C26">
            <w:pPr>
              <w:spacing w:line="276" w:lineRule="auto"/>
              <w:rPr>
                <w:rFonts w:cstheme="minorHAnsi"/>
                <w:color w:val="000000"/>
              </w:rPr>
            </w:pPr>
            <w:r w:rsidRPr="00A26C26">
              <w:rPr>
                <w:rFonts w:cstheme="minorHAnsi"/>
                <w:color w:val="000000"/>
              </w:rPr>
              <w:t>Grodziec</w:t>
            </w:r>
          </w:p>
        </w:tc>
        <w:tc>
          <w:tcPr>
            <w:tcW w:w="1644" w:type="dxa"/>
            <w:tcBorders>
              <w:top w:val="nil"/>
              <w:left w:val="nil"/>
              <w:bottom w:val="single" w:sz="4" w:space="0" w:color="auto"/>
              <w:right w:val="single" w:sz="4" w:space="0" w:color="auto"/>
            </w:tcBorders>
            <w:shd w:val="clear" w:color="auto" w:fill="auto"/>
            <w:noWrap/>
            <w:vAlign w:val="bottom"/>
            <w:hideMark/>
          </w:tcPr>
          <w:p w14:paraId="22A48CCD" w14:textId="77777777" w:rsidR="00224658" w:rsidRPr="00A26C26" w:rsidRDefault="00224658" w:rsidP="00A26C26">
            <w:pPr>
              <w:spacing w:line="276" w:lineRule="auto"/>
              <w:jc w:val="right"/>
              <w:rPr>
                <w:rFonts w:cstheme="minorHAnsi"/>
                <w:color w:val="000000"/>
              </w:rPr>
            </w:pPr>
            <w:r w:rsidRPr="00A26C26">
              <w:rPr>
                <w:rFonts w:cstheme="minorHAnsi"/>
                <w:color w:val="000000"/>
              </w:rPr>
              <w:t>703</w:t>
            </w:r>
          </w:p>
        </w:tc>
        <w:tc>
          <w:tcPr>
            <w:tcW w:w="1644" w:type="dxa"/>
            <w:tcBorders>
              <w:top w:val="nil"/>
              <w:left w:val="nil"/>
              <w:bottom w:val="single" w:sz="4" w:space="0" w:color="auto"/>
              <w:right w:val="single" w:sz="4" w:space="0" w:color="auto"/>
            </w:tcBorders>
            <w:shd w:val="clear" w:color="auto" w:fill="auto"/>
            <w:noWrap/>
            <w:vAlign w:val="bottom"/>
            <w:hideMark/>
          </w:tcPr>
          <w:p w14:paraId="1DBA47E0" w14:textId="77777777" w:rsidR="00224658" w:rsidRPr="00A26C26" w:rsidRDefault="00224658" w:rsidP="00A26C26">
            <w:pPr>
              <w:spacing w:line="276" w:lineRule="auto"/>
              <w:jc w:val="right"/>
              <w:rPr>
                <w:rFonts w:cstheme="minorHAnsi"/>
                <w:color w:val="000000"/>
              </w:rPr>
            </w:pPr>
            <w:r w:rsidRPr="00A26C26">
              <w:rPr>
                <w:rFonts w:cstheme="minorHAnsi"/>
                <w:color w:val="000000"/>
              </w:rPr>
              <w:t>765</w:t>
            </w:r>
          </w:p>
        </w:tc>
        <w:tc>
          <w:tcPr>
            <w:tcW w:w="1644" w:type="dxa"/>
            <w:tcBorders>
              <w:top w:val="nil"/>
              <w:left w:val="nil"/>
              <w:bottom w:val="single" w:sz="4" w:space="0" w:color="auto"/>
              <w:right w:val="single" w:sz="4" w:space="0" w:color="auto"/>
            </w:tcBorders>
            <w:shd w:val="clear" w:color="auto" w:fill="auto"/>
            <w:noWrap/>
            <w:vAlign w:val="bottom"/>
            <w:hideMark/>
          </w:tcPr>
          <w:p w14:paraId="0E642715" w14:textId="77777777" w:rsidR="00224658" w:rsidRPr="00A26C26" w:rsidRDefault="00224658" w:rsidP="00A26C26">
            <w:pPr>
              <w:spacing w:line="276" w:lineRule="auto"/>
              <w:jc w:val="right"/>
              <w:rPr>
                <w:rFonts w:cstheme="minorHAnsi"/>
                <w:color w:val="000000"/>
              </w:rPr>
            </w:pPr>
            <w:r w:rsidRPr="00A26C26">
              <w:rPr>
                <w:rFonts w:cstheme="minorHAnsi"/>
                <w:color w:val="000000"/>
              </w:rPr>
              <w:t>824</w:t>
            </w:r>
          </w:p>
        </w:tc>
        <w:tc>
          <w:tcPr>
            <w:tcW w:w="1644" w:type="dxa"/>
            <w:tcBorders>
              <w:top w:val="nil"/>
              <w:left w:val="nil"/>
              <w:bottom w:val="single" w:sz="4" w:space="0" w:color="auto"/>
              <w:right w:val="single" w:sz="4" w:space="0" w:color="auto"/>
            </w:tcBorders>
            <w:shd w:val="clear" w:color="auto" w:fill="auto"/>
            <w:noWrap/>
            <w:vAlign w:val="bottom"/>
            <w:hideMark/>
          </w:tcPr>
          <w:p w14:paraId="333C07C7" w14:textId="77777777" w:rsidR="00224658" w:rsidRPr="00A26C26" w:rsidRDefault="00224658" w:rsidP="00A26C26">
            <w:pPr>
              <w:spacing w:line="276" w:lineRule="auto"/>
              <w:jc w:val="right"/>
              <w:rPr>
                <w:rFonts w:cstheme="minorHAnsi"/>
                <w:color w:val="000000"/>
              </w:rPr>
            </w:pPr>
            <w:r w:rsidRPr="00A26C26">
              <w:rPr>
                <w:rFonts w:cstheme="minorHAnsi"/>
                <w:color w:val="000000"/>
              </w:rPr>
              <w:t>918</w:t>
            </w:r>
          </w:p>
        </w:tc>
        <w:tc>
          <w:tcPr>
            <w:tcW w:w="1645" w:type="dxa"/>
            <w:tcBorders>
              <w:top w:val="nil"/>
              <w:left w:val="nil"/>
              <w:bottom w:val="single" w:sz="4" w:space="0" w:color="auto"/>
              <w:right w:val="single" w:sz="4" w:space="0" w:color="auto"/>
            </w:tcBorders>
            <w:shd w:val="clear" w:color="auto" w:fill="auto"/>
            <w:noWrap/>
            <w:vAlign w:val="bottom"/>
            <w:hideMark/>
          </w:tcPr>
          <w:p w14:paraId="21032B25" w14:textId="77777777" w:rsidR="00224658" w:rsidRPr="00A26C26" w:rsidRDefault="00224658" w:rsidP="00A26C26">
            <w:pPr>
              <w:spacing w:line="276" w:lineRule="auto"/>
              <w:jc w:val="right"/>
              <w:rPr>
                <w:rFonts w:cstheme="minorHAnsi"/>
                <w:color w:val="000000"/>
              </w:rPr>
            </w:pPr>
            <w:r w:rsidRPr="00A26C26">
              <w:rPr>
                <w:rFonts w:cstheme="minorHAnsi"/>
                <w:color w:val="000000"/>
              </w:rPr>
              <w:t>941</w:t>
            </w:r>
          </w:p>
        </w:tc>
      </w:tr>
      <w:tr w:rsidR="00224658" w:rsidRPr="00A26C26" w14:paraId="758C1095"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16AC211" w14:textId="77777777" w:rsidR="00224658" w:rsidRPr="00A26C26" w:rsidRDefault="00224658" w:rsidP="00A26C26">
            <w:pPr>
              <w:spacing w:line="276" w:lineRule="auto"/>
              <w:rPr>
                <w:rFonts w:cstheme="minorHAnsi"/>
                <w:color w:val="000000"/>
              </w:rPr>
            </w:pPr>
            <w:r w:rsidRPr="00A26C26">
              <w:rPr>
                <w:rFonts w:cstheme="minorHAnsi"/>
                <w:color w:val="000000"/>
              </w:rPr>
              <w:t>Rychwał</w:t>
            </w:r>
          </w:p>
        </w:tc>
        <w:tc>
          <w:tcPr>
            <w:tcW w:w="1644" w:type="dxa"/>
            <w:tcBorders>
              <w:top w:val="nil"/>
              <w:left w:val="nil"/>
              <w:bottom w:val="single" w:sz="4" w:space="0" w:color="auto"/>
              <w:right w:val="single" w:sz="4" w:space="0" w:color="auto"/>
            </w:tcBorders>
            <w:shd w:val="clear" w:color="auto" w:fill="auto"/>
            <w:noWrap/>
            <w:vAlign w:val="bottom"/>
            <w:hideMark/>
          </w:tcPr>
          <w:p w14:paraId="77A3BED2" w14:textId="77777777" w:rsidR="00224658" w:rsidRPr="00A26C26" w:rsidRDefault="00224658" w:rsidP="00A26C26">
            <w:pPr>
              <w:spacing w:line="276" w:lineRule="auto"/>
              <w:jc w:val="right"/>
              <w:rPr>
                <w:rFonts w:cstheme="minorHAnsi"/>
                <w:color w:val="000000"/>
              </w:rPr>
            </w:pPr>
            <w:r w:rsidRPr="00A26C26">
              <w:rPr>
                <w:rFonts w:cstheme="minorHAnsi"/>
                <w:color w:val="000000"/>
              </w:rPr>
              <w:t>814</w:t>
            </w:r>
          </w:p>
        </w:tc>
        <w:tc>
          <w:tcPr>
            <w:tcW w:w="1644" w:type="dxa"/>
            <w:tcBorders>
              <w:top w:val="nil"/>
              <w:left w:val="nil"/>
              <w:bottom w:val="single" w:sz="4" w:space="0" w:color="auto"/>
              <w:right w:val="single" w:sz="4" w:space="0" w:color="auto"/>
            </w:tcBorders>
            <w:shd w:val="clear" w:color="auto" w:fill="auto"/>
            <w:noWrap/>
            <w:vAlign w:val="bottom"/>
            <w:hideMark/>
          </w:tcPr>
          <w:p w14:paraId="5FDC646A" w14:textId="77777777" w:rsidR="00224658" w:rsidRPr="00A26C26" w:rsidRDefault="00224658" w:rsidP="00A26C26">
            <w:pPr>
              <w:spacing w:line="276" w:lineRule="auto"/>
              <w:jc w:val="right"/>
              <w:rPr>
                <w:rFonts w:cstheme="minorHAnsi"/>
                <w:color w:val="000000"/>
              </w:rPr>
            </w:pPr>
            <w:r w:rsidRPr="00A26C26">
              <w:rPr>
                <w:rFonts w:cstheme="minorHAnsi"/>
                <w:color w:val="000000"/>
              </w:rPr>
              <w:t>874</w:t>
            </w:r>
          </w:p>
        </w:tc>
        <w:tc>
          <w:tcPr>
            <w:tcW w:w="1644" w:type="dxa"/>
            <w:tcBorders>
              <w:top w:val="nil"/>
              <w:left w:val="nil"/>
              <w:bottom w:val="single" w:sz="4" w:space="0" w:color="auto"/>
              <w:right w:val="single" w:sz="4" w:space="0" w:color="auto"/>
            </w:tcBorders>
            <w:shd w:val="clear" w:color="auto" w:fill="auto"/>
            <w:noWrap/>
            <w:vAlign w:val="bottom"/>
            <w:hideMark/>
          </w:tcPr>
          <w:p w14:paraId="25053211" w14:textId="77777777" w:rsidR="00224658" w:rsidRPr="00A26C26" w:rsidRDefault="00224658" w:rsidP="00A26C26">
            <w:pPr>
              <w:spacing w:line="276" w:lineRule="auto"/>
              <w:jc w:val="right"/>
              <w:rPr>
                <w:rFonts w:cstheme="minorHAnsi"/>
                <w:color w:val="000000"/>
              </w:rPr>
            </w:pPr>
            <w:r w:rsidRPr="00A26C26">
              <w:rPr>
                <w:rFonts w:cstheme="minorHAnsi"/>
                <w:color w:val="000000"/>
              </w:rPr>
              <w:t>919</w:t>
            </w:r>
          </w:p>
        </w:tc>
        <w:tc>
          <w:tcPr>
            <w:tcW w:w="1644" w:type="dxa"/>
            <w:tcBorders>
              <w:top w:val="nil"/>
              <w:left w:val="nil"/>
              <w:bottom w:val="single" w:sz="4" w:space="0" w:color="auto"/>
              <w:right w:val="single" w:sz="4" w:space="0" w:color="auto"/>
            </w:tcBorders>
            <w:shd w:val="clear" w:color="auto" w:fill="auto"/>
            <w:noWrap/>
            <w:vAlign w:val="bottom"/>
            <w:hideMark/>
          </w:tcPr>
          <w:p w14:paraId="535E7DCE" w14:textId="000CE36F" w:rsidR="00224658" w:rsidRPr="00A26C26" w:rsidRDefault="00224658" w:rsidP="00A26C26">
            <w:pPr>
              <w:spacing w:line="276" w:lineRule="auto"/>
              <w:jc w:val="right"/>
              <w:rPr>
                <w:rFonts w:cstheme="minorHAnsi"/>
                <w:color w:val="000000"/>
              </w:rPr>
            </w:pPr>
            <w:r w:rsidRPr="00A26C26">
              <w:rPr>
                <w:rFonts w:cstheme="minorHAnsi"/>
                <w:color w:val="000000"/>
              </w:rPr>
              <w:t>1</w:t>
            </w:r>
            <w:r w:rsidR="003B50ED">
              <w:rPr>
                <w:rFonts w:cstheme="minorHAnsi"/>
                <w:color w:val="000000"/>
              </w:rPr>
              <w:t xml:space="preserve"> </w:t>
            </w:r>
            <w:r w:rsidRPr="00A26C26">
              <w:rPr>
                <w:rFonts w:cstheme="minorHAnsi"/>
                <w:color w:val="000000"/>
              </w:rPr>
              <w:t>016</w:t>
            </w:r>
          </w:p>
        </w:tc>
        <w:tc>
          <w:tcPr>
            <w:tcW w:w="1645" w:type="dxa"/>
            <w:tcBorders>
              <w:top w:val="nil"/>
              <w:left w:val="nil"/>
              <w:bottom w:val="single" w:sz="4" w:space="0" w:color="auto"/>
              <w:right w:val="single" w:sz="4" w:space="0" w:color="auto"/>
            </w:tcBorders>
            <w:shd w:val="clear" w:color="auto" w:fill="auto"/>
            <w:noWrap/>
            <w:vAlign w:val="bottom"/>
            <w:hideMark/>
          </w:tcPr>
          <w:p w14:paraId="6B0D3A8D" w14:textId="38CDB5AA" w:rsidR="00224658" w:rsidRPr="00A26C26" w:rsidRDefault="00224658" w:rsidP="00A26C26">
            <w:pPr>
              <w:spacing w:line="276" w:lineRule="auto"/>
              <w:jc w:val="right"/>
              <w:rPr>
                <w:rFonts w:cstheme="minorHAnsi"/>
                <w:color w:val="000000"/>
              </w:rPr>
            </w:pPr>
            <w:r w:rsidRPr="00A26C26">
              <w:rPr>
                <w:rFonts w:cstheme="minorHAnsi"/>
                <w:color w:val="000000"/>
              </w:rPr>
              <w:t>1</w:t>
            </w:r>
            <w:r w:rsidR="003B50ED">
              <w:rPr>
                <w:rFonts w:cstheme="minorHAnsi"/>
                <w:color w:val="000000"/>
              </w:rPr>
              <w:t xml:space="preserve"> </w:t>
            </w:r>
            <w:r w:rsidRPr="00A26C26">
              <w:rPr>
                <w:rFonts w:cstheme="minorHAnsi"/>
                <w:color w:val="000000"/>
              </w:rPr>
              <w:t>067</w:t>
            </w:r>
          </w:p>
        </w:tc>
      </w:tr>
      <w:tr w:rsidR="00224658" w:rsidRPr="00A26C26" w14:paraId="54E5B252"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9650A8F" w14:textId="77777777" w:rsidR="00224658" w:rsidRPr="00A26C26" w:rsidRDefault="00224658" w:rsidP="00A26C26">
            <w:pPr>
              <w:spacing w:line="276" w:lineRule="auto"/>
              <w:rPr>
                <w:rFonts w:cstheme="minorHAnsi"/>
                <w:color w:val="000000"/>
              </w:rPr>
            </w:pPr>
            <w:r w:rsidRPr="00A26C26">
              <w:rPr>
                <w:rFonts w:cstheme="minorHAnsi"/>
                <w:color w:val="000000"/>
              </w:rPr>
              <w:t>Rzgów</w:t>
            </w:r>
          </w:p>
        </w:tc>
        <w:tc>
          <w:tcPr>
            <w:tcW w:w="1644" w:type="dxa"/>
            <w:tcBorders>
              <w:top w:val="nil"/>
              <w:left w:val="nil"/>
              <w:bottom w:val="single" w:sz="4" w:space="0" w:color="auto"/>
              <w:right w:val="single" w:sz="4" w:space="0" w:color="auto"/>
            </w:tcBorders>
            <w:shd w:val="clear" w:color="auto" w:fill="auto"/>
            <w:noWrap/>
            <w:vAlign w:val="bottom"/>
            <w:hideMark/>
          </w:tcPr>
          <w:p w14:paraId="5452CF1D" w14:textId="77777777" w:rsidR="00224658" w:rsidRPr="00A26C26" w:rsidRDefault="00224658" w:rsidP="00A26C26">
            <w:pPr>
              <w:spacing w:line="276" w:lineRule="auto"/>
              <w:jc w:val="right"/>
              <w:rPr>
                <w:rFonts w:cstheme="minorHAnsi"/>
                <w:color w:val="000000"/>
              </w:rPr>
            </w:pPr>
            <w:r w:rsidRPr="00A26C26">
              <w:rPr>
                <w:rFonts w:cstheme="minorHAnsi"/>
                <w:color w:val="000000"/>
              </w:rPr>
              <w:t>701</w:t>
            </w:r>
          </w:p>
        </w:tc>
        <w:tc>
          <w:tcPr>
            <w:tcW w:w="1644" w:type="dxa"/>
            <w:tcBorders>
              <w:top w:val="nil"/>
              <w:left w:val="nil"/>
              <w:bottom w:val="single" w:sz="4" w:space="0" w:color="auto"/>
              <w:right w:val="single" w:sz="4" w:space="0" w:color="auto"/>
            </w:tcBorders>
            <w:shd w:val="clear" w:color="auto" w:fill="auto"/>
            <w:noWrap/>
            <w:vAlign w:val="bottom"/>
            <w:hideMark/>
          </w:tcPr>
          <w:p w14:paraId="07E06A19" w14:textId="77777777" w:rsidR="00224658" w:rsidRPr="00A26C26" w:rsidRDefault="00224658" w:rsidP="00A26C26">
            <w:pPr>
              <w:spacing w:line="276" w:lineRule="auto"/>
              <w:jc w:val="right"/>
              <w:rPr>
                <w:rFonts w:cstheme="minorHAnsi"/>
                <w:color w:val="000000"/>
              </w:rPr>
            </w:pPr>
            <w:r w:rsidRPr="00A26C26">
              <w:rPr>
                <w:rFonts w:cstheme="minorHAnsi"/>
                <w:color w:val="000000"/>
              </w:rPr>
              <w:t>754</w:t>
            </w:r>
          </w:p>
        </w:tc>
        <w:tc>
          <w:tcPr>
            <w:tcW w:w="1644" w:type="dxa"/>
            <w:tcBorders>
              <w:top w:val="nil"/>
              <w:left w:val="nil"/>
              <w:bottom w:val="single" w:sz="4" w:space="0" w:color="auto"/>
              <w:right w:val="single" w:sz="4" w:space="0" w:color="auto"/>
            </w:tcBorders>
            <w:shd w:val="clear" w:color="auto" w:fill="auto"/>
            <w:noWrap/>
            <w:vAlign w:val="bottom"/>
            <w:hideMark/>
          </w:tcPr>
          <w:p w14:paraId="4752FD66" w14:textId="77777777" w:rsidR="00224658" w:rsidRPr="00A26C26" w:rsidRDefault="00224658" w:rsidP="00A26C26">
            <w:pPr>
              <w:spacing w:line="276" w:lineRule="auto"/>
              <w:jc w:val="right"/>
              <w:rPr>
                <w:rFonts w:cstheme="minorHAnsi"/>
                <w:color w:val="000000"/>
              </w:rPr>
            </w:pPr>
            <w:r w:rsidRPr="00A26C26">
              <w:rPr>
                <w:rFonts w:cstheme="minorHAnsi"/>
                <w:color w:val="000000"/>
              </w:rPr>
              <w:t>827</w:t>
            </w:r>
          </w:p>
        </w:tc>
        <w:tc>
          <w:tcPr>
            <w:tcW w:w="1644" w:type="dxa"/>
            <w:tcBorders>
              <w:top w:val="nil"/>
              <w:left w:val="nil"/>
              <w:bottom w:val="single" w:sz="4" w:space="0" w:color="auto"/>
              <w:right w:val="single" w:sz="4" w:space="0" w:color="auto"/>
            </w:tcBorders>
            <w:shd w:val="clear" w:color="auto" w:fill="auto"/>
            <w:noWrap/>
            <w:vAlign w:val="bottom"/>
            <w:hideMark/>
          </w:tcPr>
          <w:p w14:paraId="55D0145C" w14:textId="77777777" w:rsidR="00224658" w:rsidRPr="00A26C26" w:rsidRDefault="00224658" w:rsidP="00A26C26">
            <w:pPr>
              <w:spacing w:line="276" w:lineRule="auto"/>
              <w:jc w:val="right"/>
              <w:rPr>
                <w:rFonts w:cstheme="minorHAnsi"/>
                <w:color w:val="000000"/>
              </w:rPr>
            </w:pPr>
            <w:r w:rsidRPr="00A26C26">
              <w:rPr>
                <w:rFonts w:cstheme="minorHAnsi"/>
                <w:color w:val="000000"/>
              </w:rPr>
              <w:t>923</w:t>
            </w:r>
          </w:p>
        </w:tc>
        <w:tc>
          <w:tcPr>
            <w:tcW w:w="1645" w:type="dxa"/>
            <w:tcBorders>
              <w:top w:val="nil"/>
              <w:left w:val="nil"/>
              <w:bottom w:val="single" w:sz="4" w:space="0" w:color="auto"/>
              <w:right w:val="single" w:sz="4" w:space="0" w:color="auto"/>
            </w:tcBorders>
            <w:shd w:val="clear" w:color="auto" w:fill="auto"/>
            <w:noWrap/>
            <w:vAlign w:val="bottom"/>
            <w:hideMark/>
          </w:tcPr>
          <w:p w14:paraId="2AA9F340" w14:textId="77777777" w:rsidR="00224658" w:rsidRPr="00A26C26" w:rsidRDefault="00224658" w:rsidP="00A26C26">
            <w:pPr>
              <w:spacing w:line="276" w:lineRule="auto"/>
              <w:jc w:val="right"/>
              <w:rPr>
                <w:rFonts w:cstheme="minorHAnsi"/>
                <w:color w:val="000000"/>
              </w:rPr>
            </w:pPr>
            <w:r w:rsidRPr="00A26C26">
              <w:rPr>
                <w:rFonts w:cstheme="minorHAnsi"/>
                <w:color w:val="000000"/>
              </w:rPr>
              <w:t>966</w:t>
            </w:r>
          </w:p>
        </w:tc>
      </w:tr>
      <w:tr w:rsidR="00224658" w:rsidRPr="00A26C26" w14:paraId="5B605D36"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AF6C5FD" w14:textId="2CDFABAF" w:rsidR="00224658" w:rsidRPr="00A26C26" w:rsidRDefault="00224658" w:rsidP="00A26C26">
            <w:pPr>
              <w:spacing w:line="276" w:lineRule="auto"/>
              <w:rPr>
                <w:rFonts w:cstheme="minorHAnsi"/>
                <w:color w:val="000000"/>
              </w:rPr>
            </w:pPr>
            <w:r w:rsidRPr="00A26C26">
              <w:rPr>
                <w:rFonts w:cstheme="minorHAnsi"/>
                <w:color w:val="000000"/>
              </w:rPr>
              <w:t>Stare</w:t>
            </w:r>
            <w:r w:rsidR="003B50ED">
              <w:rPr>
                <w:rFonts w:cstheme="minorHAnsi"/>
                <w:color w:val="000000"/>
              </w:rPr>
              <w:t xml:space="preserve"> </w:t>
            </w:r>
            <w:r w:rsidRPr="00A26C26">
              <w:rPr>
                <w:rFonts w:cstheme="minorHAnsi"/>
                <w:color w:val="000000"/>
              </w:rPr>
              <w:t>Miasto</w:t>
            </w:r>
          </w:p>
        </w:tc>
        <w:tc>
          <w:tcPr>
            <w:tcW w:w="1644" w:type="dxa"/>
            <w:tcBorders>
              <w:top w:val="nil"/>
              <w:left w:val="nil"/>
              <w:bottom w:val="single" w:sz="4" w:space="0" w:color="auto"/>
              <w:right w:val="single" w:sz="4" w:space="0" w:color="auto"/>
            </w:tcBorders>
            <w:shd w:val="clear" w:color="auto" w:fill="auto"/>
            <w:noWrap/>
            <w:vAlign w:val="bottom"/>
            <w:hideMark/>
          </w:tcPr>
          <w:p w14:paraId="3816385A" w14:textId="37223C80" w:rsidR="00224658" w:rsidRPr="00A26C26" w:rsidRDefault="00224658" w:rsidP="00A26C26">
            <w:pPr>
              <w:spacing w:line="276" w:lineRule="auto"/>
              <w:jc w:val="right"/>
              <w:rPr>
                <w:rFonts w:cstheme="minorHAnsi"/>
                <w:color w:val="000000"/>
              </w:rPr>
            </w:pPr>
            <w:r w:rsidRPr="00A26C26">
              <w:rPr>
                <w:rFonts w:cstheme="minorHAnsi"/>
                <w:color w:val="000000"/>
              </w:rPr>
              <w:t>1</w:t>
            </w:r>
            <w:r w:rsidR="003B50ED">
              <w:rPr>
                <w:rFonts w:cstheme="minorHAnsi"/>
                <w:color w:val="000000"/>
              </w:rPr>
              <w:t xml:space="preserve"> </w:t>
            </w:r>
            <w:r w:rsidRPr="00A26C26">
              <w:rPr>
                <w:rFonts w:cstheme="minorHAnsi"/>
                <w:color w:val="000000"/>
              </w:rPr>
              <w:t>142</w:t>
            </w:r>
          </w:p>
        </w:tc>
        <w:tc>
          <w:tcPr>
            <w:tcW w:w="1644" w:type="dxa"/>
            <w:tcBorders>
              <w:top w:val="nil"/>
              <w:left w:val="nil"/>
              <w:bottom w:val="single" w:sz="4" w:space="0" w:color="auto"/>
              <w:right w:val="single" w:sz="4" w:space="0" w:color="auto"/>
            </w:tcBorders>
            <w:shd w:val="clear" w:color="auto" w:fill="auto"/>
            <w:noWrap/>
            <w:vAlign w:val="bottom"/>
            <w:hideMark/>
          </w:tcPr>
          <w:p w14:paraId="477CAC70" w14:textId="08C11A4F" w:rsidR="00224658" w:rsidRPr="00A26C26" w:rsidRDefault="00224658" w:rsidP="00A26C26">
            <w:pPr>
              <w:spacing w:line="276" w:lineRule="auto"/>
              <w:jc w:val="right"/>
              <w:rPr>
                <w:rFonts w:cstheme="minorHAnsi"/>
                <w:color w:val="000000"/>
              </w:rPr>
            </w:pPr>
            <w:r w:rsidRPr="00A26C26">
              <w:rPr>
                <w:rFonts w:cstheme="minorHAnsi"/>
                <w:color w:val="000000"/>
              </w:rPr>
              <w:t>1</w:t>
            </w:r>
            <w:r w:rsidR="003B50ED">
              <w:rPr>
                <w:rFonts w:cstheme="minorHAnsi"/>
                <w:color w:val="000000"/>
              </w:rPr>
              <w:t xml:space="preserve"> </w:t>
            </w:r>
            <w:r w:rsidRPr="00A26C26">
              <w:rPr>
                <w:rFonts w:cstheme="minorHAnsi"/>
                <w:color w:val="000000"/>
              </w:rPr>
              <w:t>220</w:t>
            </w:r>
          </w:p>
        </w:tc>
        <w:tc>
          <w:tcPr>
            <w:tcW w:w="1644" w:type="dxa"/>
            <w:tcBorders>
              <w:top w:val="nil"/>
              <w:left w:val="nil"/>
              <w:bottom w:val="single" w:sz="4" w:space="0" w:color="auto"/>
              <w:right w:val="single" w:sz="4" w:space="0" w:color="auto"/>
            </w:tcBorders>
            <w:shd w:val="clear" w:color="auto" w:fill="auto"/>
            <w:noWrap/>
            <w:vAlign w:val="bottom"/>
            <w:hideMark/>
          </w:tcPr>
          <w:p w14:paraId="14F01311" w14:textId="6FCFDEEB" w:rsidR="00224658" w:rsidRPr="00A26C26" w:rsidRDefault="00224658" w:rsidP="00A26C26">
            <w:pPr>
              <w:spacing w:line="276" w:lineRule="auto"/>
              <w:jc w:val="right"/>
              <w:rPr>
                <w:rFonts w:cstheme="minorHAnsi"/>
                <w:color w:val="000000"/>
              </w:rPr>
            </w:pPr>
            <w:r w:rsidRPr="00A26C26">
              <w:rPr>
                <w:rFonts w:cstheme="minorHAnsi"/>
                <w:color w:val="000000"/>
              </w:rPr>
              <w:t>1</w:t>
            </w:r>
            <w:r w:rsidR="003B50ED">
              <w:rPr>
                <w:rFonts w:cstheme="minorHAnsi"/>
                <w:color w:val="000000"/>
              </w:rPr>
              <w:t xml:space="preserve"> </w:t>
            </w:r>
            <w:r w:rsidRPr="00A26C26">
              <w:rPr>
                <w:rFonts w:cstheme="minorHAnsi"/>
                <w:color w:val="000000"/>
              </w:rPr>
              <w:t>280</w:t>
            </w:r>
          </w:p>
        </w:tc>
        <w:tc>
          <w:tcPr>
            <w:tcW w:w="1644" w:type="dxa"/>
            <w:tcBorders>
              <w:top w:val="nil"/>
              <w:left w:val="nil"/>
              <w:bottom w:val="single" w:sz="4" w:space="0" w:color="auto"/>
              <w:right w:val="single" w:sz="4" w:space="0" w:color="auto"/>
            </w:tcBorders>
            <w:shd w:val="clear" w:color="auto" w:fill="auto"/>
            <w:noWrap/>
            <w:vAlign w:val="bottom"/>
            <w:hideMark/>
          </w:tcPr>
          <w:p w14:paraId="59182680" w14:textId="05E3AE0D" w:rsidR="00224658" w:rsidRPr="00A26C26" w:rsidRDefault="00224658" w:rsidP="00A26C26">
            <w:pPr>
              <w:spacing w:line="276" w:lineRule="auto"/>
              <w:jc w:val="right"/>
              <w:rPr>
                <w:rFonts w:cstheme="minorHAnsi"/>
                <w:color w:val="000000"/>
              </w:rPr>
            </w:pPr>
            <w:r w:rsidRPr="00A26C26">
              <w:rPr>
                <w:rFonts w:cstheme="minorHAnsi"/>
                <w:color w:val="000000"/>
              </w:rPr>
              <w:t>1</w:t>
            </w:r>
            <w:r w:rsidR="003B50ED">
              <w:rPr>
                <w:rFonts w:cstheme="minorHAnsi"/>
                <w:color w:val="000000"/>
              </w:rPr>
              <w:t xml:space="preserve"> </w:t>
            </w:r>
            <w:r w:rsidRPr="00A26C26">
              <w:rPr>
                <w:rFonts w:cstheme="minorHAnsi"/>
                <w:color w:val="000000"/>
              </w:rPr>
              <w:t>313</w:t>
            </w:r>
          </w:p>
        </w:tc>
        <w:tc>
          <w:tcPr>
            <w:tcW w:w="1645" w:type="dxa"/>
            <w:tcBorders>
              <w:top w:val="nil"/>
              <w:left w:val="nil"/>
              <w:bottom w:val="single" w:sz="4" w:space="0" w:color="auto"/>
              <w:right w:val="single" w:sz="4" w:space="0" w:color="auto"/>
            </w:tcBorders>
            <w:shd w:val="clear" w:color="auto" w:fill="auto"/>
            <w:noWrap/>
            <w:vAlign w:val="bottom"/>
            <w:hideMark/>
          </w:tcPr>
          <w:p w14:paraId="0E89E69A" w14:textId="2591FEB6" w:rsidR="00224658" w:rsidRPr="00A26C26" w:rsidRDefault="00224658" w:rsidP="00A26C26">
            <w:pPr>
              <w:spacing w:line="276" w:lineRule="auto"/>
              <w:jc w:val="right"/>
              <w:rPr>
                <w:rFonts w:cstheme="minorHAnsi"/>
                <w:color w:val="000000"/>
              </w:rPr>
            </w:pPr>
            <w:r w:rsidRPr="00A26C26">
              <w:rPr>
                <w:rFonts w:cstheme="minorHAnsi"/>
                <w:color w:val="000000"/>
              </w:rPr>
              <w:t>1</w:t>
            </w:r>
            <w:r w:rsidR="003B50ED">
              <w:rPr>
                <w:rFonts w:cstheme="minorHAnsi"/>
                <w:color w:val="000000"/>
              </w:rPr>
              <w:t xml:space="preserve"> </w:t>
            </w:r>
            <w:r w:rsidRPr="00A26C26">
              <w:rPr>
                <w:rFonts w:cstheme="minorHAnsi"/>
                <w:color w:val="000000"/>
              </w:rPr>
              <w:t>365</w:t>
            </w:r>
          </w:p>
        </w:tc>
      </w:tr>
      <w:tr w:rsidR="00224658" w:rsidRPr="00A26C26" w14:paraId="1391C345"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AE4D475" w14:textId="77777777" w:rsidR="00224658" w:rsidRPr="00A26C26" w:rsidRDefault="00224658" w:rsidP="00A26C26">
            <w:pPr>
              <w:spacing w:line="276" w:lineRule="auto"/>
              <w:rPr>
                <w:rFonts w:cstheme="minorHAnsi"/>
                <w:color w:val="000000"/>
              </w:rPr>
            </w:pPr>
            <w:r w:rsidRPr="00A26C26">
              <w:rPr>
                <w:rFonts w:cstheme="minorHAnsi"/>
                <w:color w:val="000000"/>
              </w:rPr>
              <w:t>Tuliszków</w:t>
            </w:r>
          </w:p>
        </w:tc>
        <w:tc>
          <w:tcPr>
            <w:tcW w:w="1644" w:type="dxa"/>
            <w:tcBorders>
              <w:top w:val="nil"/>
              <w:left w:val="nil"/>
              <w:bottom w:val="single" w:sz="4" w:space="0" w:color="auto"/>
              <w:right w:val="single" w:sz="4" w:space="0" w:color="auto"/>
            </w:tcBorders>
            <w:shd w:val="clear" w:color="auto" w:fill="auto"/>
            <w:noWrap/>
            <w:vAlign w:val="bottom"/>
            <w:hideMark/>
          </w:tcPr>
          <w:p w14:paraId="57B75F4C" w14:textId="77777777" w:rsidR="00224658" w:rsidRPr="00A26C26" w:rsidRDefault="00224658" w:rsidP="00A26C26">
            <w:pPr>
              <w:spacing w:line="276" w:lineRule="auto"/>
              <w:jc w:val="right"/>
              <w:rPr>
                <w:rFonts w:cstheme="minorHAnsi"/>
                <w:color w:val="000000"/>
              </w:rPr>
            </w:pPr>
            <w:r w:rsidRPr="00A26C26">
              <w:rPr>
                <w:rFonts w:cstheme="minorHAnsi"/>
                <w:color w:val="000000"/>
              </w:rPr>
              <w:t>611</w:t>
            </w:r>
          </w:p>
        </w:tc>
        <w:tc>
          <w:tcPr>
            <w:tcW w:w="1644" w:type="dxa"/>
            <w:tcBorders>
              <w:top w:val="nil"/>
              <w:left w:val="nil"/>
              <w:bottom w:val="single" w:sz="4" w:space="0" w:color="auto"/>
              <w:right w:val="single" w:sz="4" w:space="0" w:color="auto"/>
            </w:tcBorders>
            <w:shd w:val="clear" w:color="auto" w:fill="auto"/>
            <w:noWrap/>
            <w:vAlign w:val="bottom"/>
            <w:hideMark/>
          </w:tcPr>
          <w:p w14:paraId="30CFDBCC" w14:textId="77777777" w:rsidR="00224658" w:rsidRPr="00A26C26" w:rsidRDefault="00224658" w:rsidP="00A26C26">
            <w:pPr>
              <w:spacing w:line="276" w:lineRule="auto"/>
              <w:jc w:val="right"/>
              <w:rPr>
                <w:rFonts w:cstheme="minorHAnsi"/>
                <w:color w:val="000000"/>
              </w:rPr>
            </w:pPr>
            <w:r w:rsidRPr="00A26C26">
              <w:rPr>
                <w:rFonts w:cstheme="minorHAnsi"/>
                <w:color w:val="000000"/>
              </w:rPr>
              <w:t>669</w:t>
            </w:r>
          </w:p>
        </w:tc>
        <w:tc>
          <w:tcPr>
            <w:tcW w:w="1644" w:type="dxa"/>
            <w:tcBorders>
              <w:top w:val="nil"/>
              <w:left w:val="nil"/>
              <w:bottom w:val="single" w:sz="4" w:space="0" w:color="auto"/>
              <w:right w:val="single" w:sz="4" w:space="0" w:color="auto"/>
            </w:tcBorders>
            <w:shd w:val="clear" w:color="auto" w:fill="auto"/>
            <w:noWrap/>
            <w:vAlign w:val="bottom"/>
            <w:hideMark/>
          </w:tcPr>
          <w:p w14:paraId="312FFE3F" w14:textId="77777777" w:rsidR="00224658" w:rsidRPr="00A26C26" w:rsidRDefault="00224658" w:rsidP="00A26C26">
            <w:pPr>
              <w:spacing w:line="276" w:lineRule="auto"/>
              <w:jc w:val="right"/>
              <w:rPr>
                <w:rFonts w:cstheme="minorHAnsi"/>
                <w:color w:val="000000"/>
              </w:rPr>
            </w:pPr>
            <w:r w:rsidRPr="00A26C26">
              <w:rPr>
                <w:rFonts w:cstheme="minorHAnsi"/>
                <w:color w:val="000000"/>
              </w:rPr>
              <w:t>724</w:t>
            </w:r>
          </w:p>
        </w:tc>
        <w:tc>
          <w:tcPr>
            <w:tcW w:w="1644" w:type="dxa"/>
            <w:tcBorders>
              <w:top w:val="nil"/>
              <w:left w:val="nil"/>
              <w:bottom w:val="single" w:sz="4" w:space="0" w:color="auto"/>
              <w:right w:val="single" w:sz="4" w:space="0" w:color="auto"/>
            </w:tcBorders>
            <w:shd w:val="clear" w:color="auto" w:fill="auto"/>
            <w:noWrap/>
            <w:vAlign w:val="bottom"/>
            <w:hideMark/>
          </w:tcPr>
          <w:p w14:paraId="19398843" w14:textId="77777777" w:rsidR="00224658" w:rsidRPr="00A26C26" w:rsidRDefault="00224658" w:rsidP="00A26C26">
            <w:pPr>
              <w:spacing w:line="276" w:lineRule="auto"/>
              <w:jc w:val="right"/>
              <w:rPr>
                <w:rFonts w:cstheme="minorHAnsi"/>
                <w:color w:val="000000"/>
              </w:rPr>
            </w:pPr>
            <w:r w:rsidRPr="00A26C26">
              <w:rPr>
                <w:rFonts w:cstheme="minorHAnsi"/>
                <w:color w:val="000000"/>
              </w:rPr>
              <w:t>791</w:t>
            </w:r>
          </w:p>
        </w:tc>
        <w:tc>
          <w:tcPr>
            <w:tcW w:w="1645" w:type="dxa"/>
            <w:tcBorders>
              <w:top w:val="nil"/>
              <w:left w:val="nil"/>
              <w:bottom w:val="single" w:sz="4" w:space="0" w:color="auto"/>
              <w:right w:val="single" w:sz="4" w:space="0" w:color="auto"/>
            </w:tcBorders>
            <w:shd w:val="clear" w:color="auto" w:fill="auto"/>
            <w:noWrap/>
            <w:vAlign w:val="bottom"/>
            <w:hideMark/>
          </w:tcPr>
          <w:p w14:paraId="4F2D2FDB" w14:textId="77777777" w:rsidR="00224658" w:rsidRPr="00A26C26" w:rsidRDefault="00224658" w:rsidP="00A26C26">
            <w:pPr>
              <w:spacing w:line="276" w:lineRule="auto"/>
              <w:jc w:val="right"/>
              <w:rPr>
                <w:rFonts w:cstheme="minorHAnsi"/>
                <w:color w:val="000000"/>
              </w:rPr>
            </w:pPr>
            <w:r w:rsidRPr="00A26C26">
              <w:rPr>
                <w:rFonts w:cstheme="minorHAnsi"/>
                <w:color w:val="000000"/>
              </w:rPr>
              <w:t>820</w:t>
            </w:r>
          </w:p>
        </w:tc>
      </w:tr>
      <w:tr w:rsidR="00224658" w:rsidRPr="00F16251" w14:paraId="06A40DA6" w14:textId="77777777" w:rsidTr="007F1E76">
        <w:trPr>
          <w:trHeight w:val="249"/>
        </w:trPr>
        <w:tc>
          <w:tcPr>
            <w:tcW w:w="1980" w:type="dxa"/>
            <w:tcBorders>
              <w:top w:val="nil"/>
              <w:left w:val="single" w:sz="4" w:space="0" w:color="auto"/>
              <w:bottom w:val="single" w:sz="4" w:space="0" w:color="auto"/>
              <w:right w:val="single" w:sz="4" w:space="0" w:color="auto"/>
            </w:tcBorders>
            <w:shd w:val="clear" w:color="000000" w:fill="DDEBF7"/>
            <w:vAlign w:val="bottom"/>
            <w:hideMark/>
          </w:tcPr>
          <w:p w14:paraId="59FCF852" w14:textId="3246D612" w:rsidR="00224658" w:rsidRPr="00F16251" w:rsidRDefault="00224658" w:rsidP="00A26C26">
            <w:pPr>
              <w:spacing w:line="276" w:lineRule="auto"/>
              <w:rPr>
                <w:rFonts w:cstheme="minorHAnsi"/>
                <w:color w:val="000000"/>
              </w:rPr>
            </w:pPr>
            <w:r w:rsidRPr="00F16251">
              <w:rPr>
                <w:rFonts w:cstheme="minorHAnsi"/>
                <w:color w:val="000000"/>
              </w:rPr>
              <w:t>Razem</w:t>
            </w:r>
            <w:r w:rsidR="003B50ED" w:rsidRPr="00F16251">
              <w:rPr>
                <w:rFonts w:cstheme="minorHAnsi"/>
                <w:color w:val="000000"/>
              </w:rPr>
              <w:t xml:space="preserve"> </w:t>
            </w:r>
            <w:r w:rsidRPr="00F16251">
              <w:rPr>
                <w:rFonts w:cstheme="minorHAnsi"/>
                <w:color w:val="000000"/>
              </w:rPr>
              <w:t>LGD</w:t>
            </w:r>
          </w:p>
        </w:tc>
        <w:tc>
          <w:tcPr>
            <w:tcW w:w="1644" w:type="dxa"/>
            <w:tcBorders>
              <w:top w:val="nil"/>
              <w:left w:val="nil"/>
              <w:bottom w:val="single" w:sz="4" w:space="0" w:color="auto"/>
              <w:right w:val="single" w:sz="4" w:space="0" w:color="auto"/>
            </w:tcBorders>
            <w:shd w:val="clear" w:color="000000" w:fill="DDEBF7"/>
            <w:noWrap/>
            <w:vAlign w:val="bottom"/>
            <w:hideMark/>
          </w:tcPr>
          <w:p w14:paraId="58CF3BDA" w14:textId="77777777" w:rsidR="00224658" w:rsidRPr="00F16251" w:rsidRDefault="00224658" w:rsidP="00A26C26">
            <w:pPr>
              <w:spacing w:line="276" w:lineRule="auto"/>
              <w:jc w:val="right"/>
              <w:rPr>
                <w:rFonts w:cstheme="minorHAnsi"/>
                <w:color w:val="000000"/>
              </w:rPr>
            </w:pPr>
            <w:r w:rsidRPr="00F16251">
              <w:rPr>
                <w:rFonts w:cstheme="minorHAnsi"/>
                <w:color w:val="000000"/>
              </w:rPr>
              <w:t>4855</w:t>
            </w:r>
          </w:p>
        </w:tc>
        <w:tc>
          <w:tcPr>
            <w:tcW w:w="1644" w:type="dxa"/>
            <w:tcBorders>
              <w:top w:val="nil"/>
              <w:left w:val="nil"/>
              <w:bottom w:val="single" w:sz="4" w:space="0" w:color="auto"/>
              <w:right w:val="single" w:sz="4" w:space="0" w:color="auto"/>
            </w:tcBorders>
            <w:shd w:val="clear" w:color="000000" w:fill="DDEBF7"/>
            <w:noWrap/>
            <w:vAlign w:val="bottom"/>
            <w:hideMark/>
          </w:tcPr>
          <w:p w14:paraId="213800C6" w14:textId="77777777" w:rsidR="00224658" w:rsidRPr="00F16251" w:rsidRDefault="00224658" w:rsidP="00A26C26">
            <w:pPr>
              <w:spacing w:line="276" w:lineRule="auto"/>
              <w:jc w:val="right"/>
              <w:rPr>
                <w:rFonts w:cstheme="minorHAnsi"/>
                <w:color w:val="000000"/>
              </w:rPr>
            </w:pPr>
            <w:r w:rsidRPr="00F16251">
              <w:rPr>
                <w:rFonts w:cstheme="minorHAnsi"/>
                <w:color w:val="000000"/>
              </w:rPr>
              <w:t>5227</w:t>
            </w:r>
          </w:p>
        </w:tc>
        <w:tc>
          <w:tcPr>
            <w:tcW w:w="1644" w:type="dxa"/>
            <w:tcBorders>
              <w:top w:val="nil"/>
              <w:left w:val="nil"/>
              <w:bottom w:val="single" w:sz="4" w:space="0" w:color="auto"/>
              <w:right w:val="single" w:sz="4" w:space="0" w:color="auto"/>
            </w:tcBorders>
            <w:shd w:val="clear" w:color="000000" w:fill="DDEBF7"/>
            <w:noWrap/>
            <w:vAlign w:val="bottom"/>
            <w:hideMark/>
          </w:tcPr>
          <w:p w14:paraId="7C8278F4" w14:textId="77777777" w:rsidR="00224658" w:rsidRPr="00F16251" w:rsidRDefault="00224658" w:rsidP="00A26C26">
            <w:pPr>
              <w:spacing w:line="276" w:lineRule="auto"/>
              <w:jc w:val="right"/>
              <w:rPr>
                <w:rFonts w:cstheme="minorHAnsi"/>
                <w:color w:val="000000"/>
              </w:rPr>
            </w:pPr>
            <w:r w:rsidRPr="00F16251">
              <w:rPr>
                <w:rFonts w:cstheme="minorHAnsi"/>
                <w:color w:val="000000"/>
              </w:rPr>
              <w:t>5584</w:t>
            </w:r>
          </w:p>
        </w:tc>
        <w:tc>
          <w:tcPr>
            <w:tcW w:w="1644" w:type="dxa"/>
            <w:tcBorders>
              <w:top w:val="nil"/>
              <w:left w:val="nil"/>
              <w:bottom w:val="single" w:sz="4" w:space="0" w:color="auto"/>
              <w:right w:val="single" w:sz="4" w:space="0" w:color="auto"/>
            </w:tcBorders>
            <w:shd w:val="clear" w:color="000000" w:fill="DDEBF7"/>
            <w:noWrap/>
            <w:vAlign w:val="bottom"/>
            <w:hideMark/>
          </w:tcPr>
          <w:p w14:paraId="34671E5B" w14:textId="77777777" w:rsidR="00224658" w:rsidRPr="00F16251" w:rsidRDefault="00224658" w:rsidP="00A26C26">
            <w:pPr>
              <w:spacing w:line="276" w:lineRule="auto"/>
              <w:jc w:val="right"/>
              <w:rPr>
                <w:rFonts w:cstheme="minorHAnsi"/>
                <w:color w:val="000000"/>
              </w:rPr>
            </w:pPr>
            <w:r w:rsidRPr="00F16251">
              <w:rPr>
                <w:rFonts w:cstheme="minorHAnsi"/>
                <w:color w:val="000000"/>
              </w:rPr>
              <w:t>6035</w:t>
            </w:r>
          </w:p>
        </w:tc>
        <w:tc>
          <w:tcPr>
            <w:tcW w:w="1645" w:type="dxa"/>
            <w:tcBorders>
              <w:top w:val="nil"/>
              <w:left w:val="nil"/>
              <w:bottom w:val="single" w:sz="4" w:space="0" w:color="auto"/>
              <w:right w:val="single" w:sz="4" w:space="0" w:color="auto"/>
            </w:tcBorders>
            <w:shd w:val="clear" w:color="000000" w:fill="DDEBF7"/>
            <w:noWrap/>
            <w:vAlign w:val="bottom"/>
            <w:hideMark/>
          </w:tcPr>
          <w:p w14:paraId="73044A51" w14:textId="77777777" w:rsidR="00224658" w:rsidRPr="00F16251" w:rsidRDefault="00224658" w:rsidP="00A26C26">
            <w:pPr>
              <w:spacing w:line="276" w:lineRule="auto"/>
              <w:jc w:val="right"/>
              <w:rPr>
                <w:rFonts w:cstheme="minorHAnsi"/>
                <w:color w:val="000000"/>
              </w:rPr>
            </w:pPr>
            <w:r w:rsidRPr="00F16251">
              <w:rPr>
                <w:rFonts w:cstheme="minorHAnsi"/>
                <w:color w:val="000000"/>
              </w:rPr>
              <w:t>6287</w:t>
            </w:r>
          </w:p>
        </w:tc>
      </w:tr>
    </w:tbl>
    <w:p w14:paraId="1457D754" w14:textId="2504146B" w:rsidR="00224658" w:rsidRPr="00F16251" w:rsidRDefault="003B50ED" w:rsidP="00A26C26">
      <w:pPr>
        <w:spacing w:line="276" w:lineRule="auto"/>
        <w:rPr>
          <w:rFonts w:cstheme="minorHAnsi"/>
        </w:rPr>
      </w:pPr>
      <w:r w:rsidRPr="00F16251">
        <w:rPr>
          <w:rFonts w:cstheme="minorHAnsi"/>
        </w:rPr>
        <w:t xml:space="preserve"> </w:t>
      </w:r>
      <w:r w:rsidR="00224658" w:rsidRPr="00F16251">
        <w:rPr>
          <w:rFonts w:cstheme="minorHAnsi"/>
        </w:rPr>
        <w:t>Źródło:</w:t>
      </w:r>
      <w:r w:rsidRPr="00F16251">
        <w:rPr>
          <w:rFonts w:cstheme="minorHAnsi"/>
        </w:rPr>
        <w:t xml:space="preserve"> </w:t>
      </w:r>
      <w:r w:rsidR="00224658" w:rsidRPr="00F16251">
        <w:rPr>
          <w:rFonts w:cstheme="minorHAnsi"/>
        </w:rPr>
        <w:t>GUS,</w:t>
      </w:r>
      <w:r w:rsidRPr="00F16251">
        <w:rPr>
          <w:rFonts w:cstheme="minorHAnsi"/>
        </w:rPr>
        <w:t xml:space="preserve"> </w:t>
      </w:r>
      <w:r w:rsidR="00224658" w:rsidRPr="00F16251">
        <w:rPr>
          <w:rFonts w:cstheme="minorHAnsi"/>
        </w:rPr>
        <w:t>Bank</w:t>
      </w:r>
      <w:r w:rsidRPr="00F16251">
        <w:rPr>
          <w:rFonts w:cstheme="minorHAnsi"/>
        </w:rPr>
        <w:t xml:space="preserve"> </w:t>
      </w:r>
      <w:r w:rsidR="00224658" w:rsidRPr="00F16251">
        <w:rPr>
          <w:rFonts w:cstheme="minorHAnsi"/>
        </w:rPr>
        <w:t>Danych</w:t>
      </w:r>
      <w:r w:rsidRPr="00F16251">
        <w:rPr>
          <w:rFonts w:cstheme="minorHAnsi"/>
        </w:rPr>
        <w:t xml:space="preserve"> </w:t>
      </w:r>
      <w:r w:rsidR="00E07BED">
        <w:rPr>
          <w:rFonts w:cstheme="minorHAnsi"/>
        </w:rPr>
        <w:t>Lokalnych</w:t>
      </w:r>
    </w:p>
    <w:p w14:paraId="72F35306" w14:textId="2A1090A1" w:rsidR="00224658" w:rsidRDefault="00224658" w:rsidP="00E07BED">
      <w:pPr>
        <w:spacing w:line="276" w:lineRule="auto"/>
        <w:ind w:firstLine="284"/>
        <w:jc w:val="both"/>
        <w:rPr>
          <w:rFonts w:cstheme="minorHAnsi"/>
        </w:rPr>
      </w:pPr>
      <w:r w:rsidRPr="00F16251">
        <w:rPr>
          <w:rFonts w:cstheme="minorHAnsi"/>
        </w:rPr>
        <w:t>Liczba</w:t>
      </w:r>
      <w:r w:rsidR="003B50ED" w:rsidRPr="00F16251">
        <w:rPr>
          <w:rFonts w:cstheme="minorHAnsi"/>
        </w:rPr>
        <w:t xml:space="preserve"> </w:t>
      </w:r>
      <w:r w:rsidRPr="00F16251">
        <w:rPr>
          <w:rFonts w:cstheme="minorHAnsi"/>
        </w:rPr>
        <w:t>nowo</w:t>
      </w:r>
      <w:r w:rsidR="003B50ED" w:rsidRPr="00F16251">
        <w:rPr>
          <w:rFonts w:cstheme="minorHAnsi"/>
        </w:rPr>
        <w:t xml:space="preserve"> </w:t>
      </w:r>
      <w:r w:rsidRPr="00F16251">
        <w:rPr>
          <w:rFonts w:cstheme="minorHAnsi"/>
        </w:rPr>
        <w:t>zarejestrowanych</w:t>
      </w:r>
      <w:r w:rsidR="003B50ED" w:rsidRPr="00F16251">
        <w:rPr>
          <w:rFonts w:cstheme="minorHAnsi"/>
        </w:rPr>
        <w:t xml:space="preserve"> </w:t>
      </w:r>
      <w:r w:rsidRPr="00F16251">
        <w:rPr>
          <w:rFonts w:cstheme="minorHAnsi"/>
        </w:rPr>
        <w:t>podmiotów</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przeliczeniu</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10</w:t>
      </w:r>
      <w:r w:rsidR="003B50ED" w:rsidRPr="00F16251">
        <w:rPr>
          <w:rFonts w:cstheme="minorHAnsi"/>
        </w:rPr>
        <w:t xml:space="preserve"> </w:t>
      </w:r>
      <w:r w:rsidRPr="00F16251">
        <w:rPr>
          <w:rFonts w:cstheme="minorHAnsi"/>
        </w:rPr>
        <w:t>tys.</w:t>
      </w:r>
      <w:r w:rsidR="003B50ED" w:rsidRPr="00F16251">
        <w:rPr>
          <w:rFonts w:cstheme="minorHAnsi"/>
        </w:rPr>
        <w:t xml:space="preserve"> </w:t>
      </w:r>
      <w:r w:rsidRPr="00F16251">
        <w:rPr>
          <w:rFonts w:cstheme="minorHAnsi"/>
        </w:rPr>
        <w:t>mieszkańców</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wieku</w:t>
      </w:r>
      <w:r w:rsidR="003B50ED" w:rsidRPr="00F16251">
        <w:rPr>
          <w:rFonts w:cstheme="minorHAnsi"/>
        </w:rPr>
        <w:t xml:space="preserve"> </w:t>
      </w:r>
      <w:r w:rsidRPr="00F16251">
        <w:rPr>
          <w:rFonts w:cstheme="minorHAnsi"/>
        </w:rPr>
        <w:t>produkcyjnym</w:t>
      </w:r>
      <w:r w:rsidR="003B50ED" w:rsidRPr="00F16251">
        <w:rPr>
          <w:rFonts w:cstheme="minorHAnsi"/>
        </w:rPr>
        <w:t xml:space="preserve"> </w:t>
      </w:r>
      <w:r w:rsidRPr="00F16251">
        <w:rPr>
          <w:rFonts w:cstheme="minorHAnsi"/>
        </w:rPr>
        <w:t>może</w:t>
      </w:r>
      <w:r w:rsidR="003B50ED" w:rsidRPr="00F16251">
        <w:rPr>
          <w:rFonts w:cstheme="minorHAnsi"/>
        </w:rPr>
        <w:t xml:space="preserve"> </w:t>
      </w:r>
      <w:r w:rsidRPr="00F16251">
        <w:rPr>
          <w:rFonts w:cstheme="minorHAnsi"/>
        </w:rPr>
        <w:t>świadczyć</w:t>
      </w:r>
      <w:r w:rsidR="003B50ED" w:rsidRPr="00F16251">
        <w:rPr>
          <w:rFonts w:cstheme="minorHAnsi"/>
        </w:rPr>
        <w:t xml:space="preserve"> </w:t>
      </w:r>
      <w:r w:rsidRPr="00F16251">
        <w:rPr>
          <w:rFonts w:cstheme="minorHAnsi"/>
        </w:rPr>
        <w:t>również</w:t>
      </w:r>
      <w:r w:rsidR="003B50ED" w:rsidRPr="00F16251">
        <w:rPr>
          <w:rFonts w:cstheme="minorHAnsi"/>
        </w:rPr>
        <w:t xml:space="preserve"> </w:t>
      </w:r>
      <w:r w:rsidRPr="00F16251">
        <w:rPr>
          <w:rFonts w:cstheme="minorHAnsi"/>
        </w:rPr>
        <w:t>o</w:t>
      </w:r>
      <w:r w:rsidR="003B50ED" w:rsidRPr="00F16251">
        <w:rPr>
          <w:rFonts w:cstheme="minorHAnsi"/>
        </w:rPr>
        <w:t xml:space="preserve"> </w:t>
      </w:r>
      <w:r w:rsidRPr="00F16251">
        <w:rPr>
          <w:rFonts w:cstheme="minorHAnsi"/>
        </w:rPr>
        <w:t>tym,</w:t>
      </w:r>
      <w:r w:rsidR="003B50ED" w:rsidRPr="00F16251">
        <w:rPr>
          <w:rFonts w:cstheme="minorHAnsi"/>
        </w:rPr>
        <w:t xml:space="preserve"> </w:t>
      </w:r>
      <w:r w:rsidRPr="00F16251">
        <w:rPr>
          <w:rFonts w:cstheme="minorHAnsi"/>
        </w:rPr>
        <w:t>czy</w:t>
      </w:r>
      <w:r w:rsidR="003B50ED" w:rsidRPr="00F16251">
        <w:rPr>
          <w:rFonts w:cstheme="minorHAnsi"/>
        </w:rPr>
        <w:t xml:space="preserve"> </w:t>
      </w:r>
      <w:r w:rsidRPr="00F16251">
        <w:rPr>
          <w:rFonts w:cstheme="minorHAnsi"/>
        </w:rPr>
        <w:t>dany</w:t>
      </w:r>
      <w:r w:rsidR="003B50ED" w:rsidRPr="00F16251">
        <w:rPr>
          <w:rFonts w:cstheme="minorHAnsi"/>
        </w:rPr>
        <w:t xml:space="preserve"> </w:t>
      </w:r>
      <w:r w:rsidRPr="00F16251">
        <w:rPr>
          <w:rFonts w:cstheme="minorHAnsi"/>
        </w:rPr>
        <w:t>region</w:t>
      </w:r>
      <w:r w:rsidR="003B50ED" w:rsidRPr="00F16251">
        <w:rPr>
          <w:rFonts w:cstheme="minorHAnsi"/>
        </w:rPr>
        <w:t xml:space="preserve"> </w:t>
      </w:r>
      <w:r w:rsidRPr="00F16251">
        <w:rPr>
          <w:rFonts w:cstheme="minorHAnsi"/>
        </w:rPr>
        <w:t>rozwija</w:t>
      </w:r>
      <w:r w:rsidR="003B50ED" w:rsidRPr="00F16251">
        <w:rPr>
          <w:rFonts w:cstheme="minorHAnsi"/>
        </w:rPr>
        <w:t xml:space="preserve"> </w:t>
      </w:r>
      <w:r w:rsidRPr="00F16251">
        <w:rPr>
          <w:rFonts w:cstheme="minorHAnsi"/>
        </w:rPr>
        <w:t>się</w:t>
      </w:r>
      <w:r w:rsidR="003B50ED" w:rsidRPr="00F16251">
        <w:rPr>
          <w:rFonts w:cstheme="minorHAnsi"/>
        </w:rPr>
        <w:t xml:space="preserve"> </w:t>
      </w:r>
      <w:r w:rsidRPr="00F16251">
        <w:rPr>
          <w:rFonts w:cstheme="minorHAnsi"/>
        </w:rPr>
        <w:t>dobrze.</w:t>
      </w:r>
      <w:r w:rsidR="003B50ED" w:rsidRPr="00F16251">
        <w:rPr>
          <w:rFonts w:cstheme="minorHAnsi"/>
        </w:rPr>
        <w:t xml:space="preserve"> </w:t>
      </w:r>
      <w:r w:rsidRPr="00F16251">
        <w:rPr>
          <w:rFonts w:cstheme="minorHAnsi"/>
        </w:rPr>
        <w:t>Poza</w:t>
      </w:r>
      <w:r w:rsidR="003B50ED" w:rsidRPr="00F16251">
        <w:rPr>
          <w:rFonts w:cstheme="minorHAnsi"/>
        </w:rPr>
        <w:t xml:space="preserve"> </w:t>
      </w:r>
      <w:r w:rsidRPr="00F16251">
        <w:rPr>
          <w:rFonts w:cstheme="minorHAnsi"/>
        </w:rPr>
        <w:t>gminą</w:t>
      </w:r>
      <w:r w:rsidR="003B50ED" w:rsidRPr="00F16251">
        <w:rPr>
          <w:rFonts w:cstheme="minorHAnsi"/>
        </w:rPr>
        <w:t xml:space="preserve"> </w:t>
      </w:r>
      <w:r w:rsidRPr="00F16251">
        <w:rPr>
          <w:rFonts w:cstheme="minorHAnsi"/>
        </w:rPr>
        <w:t>Rzgów,</w:t>
      </w:r>
      <w:r w:rsidR="003B50ED" w:rsidRPr="00F16251">
        <w:rPr>
          <w:rFonts w:cstheme="minorHAnsi"/>
        </w:rPr>
        <w:t xml:space="preserve"> </w:t>
      </w:r>
      <w:r w:rsidRPr="00F16251">
        <w:rPr>
          <w:rFonts w:cstheme="minorHAnsi"/>
        </w:rPr>
        <w:t>we</w:t>
      </w:r>
      <w:r w:rsidR="003B50ED" w:rsidRPr="00F16251">
        <w:rPr>
          <w:rFonts w:cstheme="minorHAnsi"/>
        </w:rPr>
        <w:t xml:space="preserve"> </w:t>
      </w:r>
      <w:r w:rsidRPr="00F16251">
        <w:rPr>
          <w:rFonts w:cstheme="minorHAnsi"/>
        </w:rPr>
        <w:t>wszystkich</w:t>
      </w:r>
      <w:r w:rsidR="003B50ED" w:rsidRPr="00F16251">
        <w:rPr>
          <w:rFonts w:cstheme="minorHAnsi"/>
        </w:rPr>
        <w:t xml:space="preserve"> </w:t>
      </w:r>
      <w:r w:rsidRPr="00F16251">
        <w:rPr>
          <w:rFonts w:cstheme="minorHAnsi"/>
        </w:rPr>
        <w:t>gminach</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obszaru</w:t>
      </w:r>
      <w:r w:rsidR="003B50ED" w:rsidRPr="00F16251">
        <w:rPr>
          <w:rFonts w:cstheme="minorHAnsi"/>
        </w:rPr>
        <w:t xml:space="preserve"> </w:t>
      </w:r>
      <w:r w:rsidRPr="00F16251">
        <w:rPr>
          <w:rFonts w:cstheme="minorHAnsi"/>
        </w:rPr>
        <w:t>LGD</w:t>
      </w:r>
      <w:r w:rsidR="003B50ED" w:rsidRPr="00F16251">
        <w:rPr>
          <w:rFonts w:cstheme="minorHAnsi"/>
        </w:rPr>
        <w:t xml:space="preserve"> </w:t>
      </w:r>
      <w:r w:rsidRPr="00F16251">
        <w:rPr>
          <w:rFonts w:cstheme="minorHAnsi"/>
        </w:rPr>
        <w:t>nowo</w:t>
      </w:r>
      <w:r w:rsidR="003B50ED" w:rsidRPr="00F16251">
        <w:rPr>
          <w:rFonts w:cstheme="minorHAnsi"/>
        </w:rPr>
        <w:t xml:space="preserve"> </w:t>
      </w:r>
      <w:r w:rsidRPr="00F16251">
        <w:rPr>
          <w:rFonts w:cstheme="minorHAnsi"/>
        </w:rPr>
        <w:t>zarejestrowanych</w:t>
      </w:r>
      <w:r w:rsidR="003B50ED" w:rsidRPr="00F16251">
        <w:rPr>
          <w:rFonts w:cstheme="minorHAnsi"/>
        </w:rPr>
        <w:t xml:space="preserve"> </w:t>
      </w:r>
      <w:r w:rsidRPr="00F16251">
        <w:rPr>
          <w:rFonts w:cstheme="minorHAnsi"/>
        </w:rPr>
        <w:t>podmiotów</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ramach</w:t>
      </w:r>
      <w:r w:rsidR="003B50ED" w:rsidRPr="00F16251">
        <w:rPr>
          <w:rFonts w:cstheme="minorHAnsi"/>
        </w:rPr>
        <w:t xml:space="preserve"> </w:t>
      </w:r>
      <w:r w:rsidRPr="00F16251">
        <w:rPr>
          <w:rFonts w:cstheme="minorHAnsi"/>
        </w:rPr>
        <w:t>tego</w:t>
      </w:r>
      <w:r w:rsidR="003B50ED" w:rsidRPr="00F16251">
        <w:rPr>
          <w:rFonts w:cstheme="minorHAnsi"/>
        </w:rPr>
        <w:t xml:space="preserve"> </w:t>
      </w:r>
      <w:r w:rsidRPr="00F16251">
        <w:rPr>
          <w:rFonts w:cstheme="minorHAnsi"/>
        </w:rPr>
        <w:t>wskaźnika</w:t>
      </w:r>
      <w:r w:rsidR="003B50ED" w:rsidRPr="00F16251">
        <w:rPr>
          <w:rFonts w:cstheme="minorHAnsi"/>
        </w:rPr>
        <w:t xml:space="preserve"> </w:t>
      </w:r>
      <w:r w:rsidRPr="00F16251">
        <w:rPr>
          <w:rFonts w:cstheme="minorHAnsi"/>
        </w:rPr>
        <w:t>ubyło.</w:t>
      </w:r>
      <w:r w:rsidR="003B50ED" w:rsidRPr="00F16251">
        <w:rPr>
          <w:rFonts w:cstheme="minorHAnsi"/>
        </w:rPr>
        <w:t xml:space="preserve"> </w:t>
      </w:r>
      <w:r w:rsidRPr="00F16251">
        <w:rPr>
          <w:rFonts w:cstheme="minorHAnsi"/>
        </w:rPr>
        <w:t>Średnio</w:t>
      </w:r>
      <w:r w:rsidR="003B50ED" w:rsidRPr="00F16251">
        <w:rPr>
          <w:rFonts w:cstheme="minorHAnsi"/>
        </w:rPr>
        <w:t xml:space="preserve"> </w:t>
      </w:r>
      <w:r w:rsidRPr="00F16251">
        <w:rPr>
          <w:rFonts w:cstheme="minorHAnsi"/>
        </w:rPr>
        <w:t>od</w:t>
      </w:r>
      <w:r w:rsidR="003B50ED" w:rsidRPr="00F16251">
        <w:rPr>
          <w:rFonts w:cstheme="minorHAnsi"/>
        </w:rPr>
        <w:t xml:space="preserve"> </w:t>
      </w:r>
      <w:r w:rsidRPr="00F16251">
        <w:rPr>
          <w:rFonts w:cstheme="minorHAnsi"/>
        </w:rPr>
        <w:t>2017</w:t>
      </w:r>
      <w:r w:rsidR="003B50ED" w:rsidRPr="00F16251">
        <w:rPr>
          <w:rFonts w:cstheme="minorHAnsi"/>
        </w:rPr>
        <w:t xml:space="preserve"> r. </w:t>
      </w:r>
      <w:r w:rsidRPr="00F16251">
        <w:rPr>
          <w:rFonts w:cstheme="minorHAnsi"/>
        </w:rPr>
        <w:t>o</w:t>
      </w:r>
      <w:r w:rsidR="003B50ED" w:rsidRPr="00F16251">
        <w:rPr>
          <w:rFonts w:cstheme="minorHAnsi"/>
        </w:rPr>
        <w:t xml:space="preserve"> </w:t>
      </w:r>
      <w:r w:rsidRPr="00F16251">
        <w:rPr>
          <w:rFonts w:cstheme="minorHAnsi"/>
        </w:rPr>
        <w:t>3,9%.</w:t>
      </w:r>
      <w:r w:rsidR="003B50ED" w:rsidRPr="00F16251">
        <w:rPr>
          <w:rFonts w:cstheme="minorHAnsi"/>
        </w:rPr>
        <w:t xml:space="preserve"> </w:t>
      </w:r>
      <w:r w:rsidRPr="00F16251">
        <w:rPr>
          <w:rFonts w:cstheme="minorHAnsi"/>
        </w:rPr>
        <w:t>Najwięcej</w:t>
      </w:r>
      <w:r w:rsidR="003B50ED" w:rsidRPr="00F16251">
        <w:rPr>
          <w:rFonts w:cstheme="minorHAnsi"/>
        </w:rPr>
        <w:t xml:space="preserve"> </w:t>
      </w:r>
      <w:r w:rsidRPr="00F16251">
        <w:rPr>
          <w:rFonts w:cstheme="minorHAnsi"/>
        </w:rPr>
        <w:t>ubyło</w:t>
      </w:r>
      <w:r w:rsidR="003B50ED" w:rsidRPr="00F16251">
        <w:rPr>
          <w:rFonts w:cstheme="minorHAnsi"/>
        </w:rPr>
        <w:t xml:space="preserve"> </w:t>
      </w:r>
      <w:r w:rsidRPr="00F16251">
        <w:rPr>
          <w:rFonts w:cstheme="minorHAnsi"/>
        </w:rPr>
        <w:t>ich</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gminie</w:t>
      </w:r>
      <w:r w:rsidR="003B50ED" w:rsidRPr="00F16251">
        <w:rPr>
          <w:rFonts w:cstheme="minorHAnsi"/>
        </w:rPr>
        <w:t xml:space="preserve"> </w:t>
      </w:r>
      <w:r w:rsidRPr="00F16251">
        <w:rPr>
          <w:rFonts w:cstheme="minorHAnsi"/>
        </w:rPr>
        <w:t>Tuliszków,</w:t>
      </w:r>
      <w:r w:rsidR="003B50ED" w:rsidRPr="00F16251">
        <w:rPr>
          <w:rFonts w:cstheme="minorHAnsi"/>
        </w:rPr>
        <w:t xml:space="preserve"> </w:t>
      </w:r>
      <w:r w:rsidRPr="00F16251">
        <w:rPr>
          <w:rFonts w:cstheme="minorHAnsi"/>
        </w:rPr>
        <w:t>ponieważ</w:t>
      </w:r>
      <w:r w:rsidR="003B50ED" w:rsidRPr="00F16251">
        <w:rPr>
          <w:rFonts w:cstheme="minorHAnsi"/>
        </w:rPr>
        <w:t xml:space="preserve"> </w:t>
      </w:r>
      <w:r w:rsidRPr="00F16251">
        <w:rPr>
          <w:rFonts w:cstheme="minorHAnsi"/>
        </w:rPr>
        <w:t>aż</w:t>
      </w:r>
      <w:r w:rsidR="003B50ED" w:rsidRPr="00F16251">
        <w:rPr>
          <w:rFonts w:cstheme="minorHAnsi"/>
        </w:rPr>
        <w:t xml:space="preserve"> </w:t>
      </w:r>
      <w:r w:rsidRPr="00F16251">
        <w:rPr>
          <w:rFonts w:cstheme="minorHAnsi"/>
        </w:rPr>
        <w:t>o</w:t>
      </w:r>
      <w:r w:rsidR="003B50ED" w:rsidRPr="00F16251">
        <w:rPr>
          <w:rFonts w:cstheme="minorHAnsi"/>
        </w:rPr>
        <w:t xml:space="preserve"> </w:t>
      </w:r>
      <w:r w:rsidRPr="00F16251">
        <w:rPr>
          <w:rFonts w:cstheme="minorHAnsi"/>
        </w:rPr>
        <w:t>28%.</w:t>
      </w:r>
      <w:r w:rsidR="003B50ED" w:rsidRPr="00F16251">
        <w:rPr>
          <w:rFonts w:cstheme="minorHAnsi"/>
        </w:rPr>
        <w:t xml:space="preserve"> </w:t>
      </w:r>
    </w:p>
    <w:p w14:paraId="198D9E2A" w14:textId="77777777" w:rsidR="00203429" w:rsidRPr="00F16251" w:rsidRDefault="00203429" w:rsidP="00A26C26">
      <w:pPr>
        <w:spacing w:line="276" w:lineRule="auto"/>
        <w:jc w:val="both"/>
        <w:rPr>
          <w:rFonts w:cstheme="minorHAnsi"/>
        </w:rPr>
      </w:pPr>
    </w:p>
    <w:p w14:paraId="7BC50CC7" w14:textId="2130A44A" w:rsidR="00224658" w:rsidRPr="00F16251" w:rsidRDefault="00224658" w:rsidP="00A26C26">
      <w:pPr>
        <w:spacing w:line="276" w:lineRule="auto"/>
        <w:jc w:val="both"/>
        <w:rPr>
          <w:rFonts w:cstheme="minorHAnsi"/>
        </w:rPr>
      </w:pPr>
      <w:r w:rsidRPr="00F16251">
        <w:rPr>
          <w:rFonts w:cstheme="minorHAnsi"/>
        </w:rPr>
        <w:t>Tabela</w:t>
      </w:r>
      <w:r w:rsidR="00396A11">
        <w:rPr>
          <w:rFonts w:cstheme="minorHAnsi"/>
        </w:rPr>
        <w:t xml:space="preserve"> nr 1</w:t>
      </w:r>
      <w:r w:rsidR="00203429">
        <w:rPr>
          <w:rFonts w:cstheme="minorHAnsi"/>
        </w:rPr>
        <w:t>1</w:t>
      </w:r>
      <w:r w:rsidR="003B50ED" w:rsidRPr="00F16251">
        <w:rPr>
          <w:rFonts w:cstheme="minorHAnsi"/>
        </w:rPr>
        <w:t xml:space="preserve"> </w:t>
      </w:r>
      <w:r w:rsidRPr="00F16251">
        <w:rPr>
          <w:rFonts w:cstheme="minorHAnsi"/>
        </w:rPr>
        <w:t>Podmioty</w:t>
      </w:r>
      <w:r w:rsidR="003B50ED" w:rsidRPr="00F16251">
        <w:rPr>
          <w:rFonts w:cstheme="minorHAnsi"/>
        </w:rPr>
        <w:t xml:space="preserve"> </w:t>
      </w:r>
      <w:r w:rsidRPr="00F16251">
        <w:rPr>
          <w:rFonts w:cstheme="minorHAnsi"/>
        </w:rPr>
        <w:t>nowo</w:t>
      </w:r>
      <w:r w:rsidR="003B50ED" w:rsidRPr="00F16251">
        <w:rPr>
          <w:rFonts w:cstheme="minorHAnsi"/>
        </w:rPr>
        <w:t xml:space="preserve"> </w:t>
      </w:r>
      <w:r w:rsidRPr="00F16251">
        <w:rPr>
          <w:rFonts w:cstheme="minorHAnsi"/>
        </w:rPr>
        <w:t>zarejestrowane</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10</w:t>
      </w:r>
      <w:r w:rsidR="003B50ED" w:rsidRPr="00F16251">
        <w:rPr>
          <w:rFonts w:cstheme="minorHAnsi"/>
        </w:rPr>
        <w:t xml:space="preserve"> </w:t>
      </w:r>
      <w:r w:rsidRPr="00F16251">
        <w:rPr>
          <w:rFonts w:cstheme="minorHAnsi"/>
        </w:rPr>
        <w:t>tys.</w:t>
      </w:r>
      <w:r w:rsidR="003B50ED" w:rsidRPr="00F16251">
        <w:rPr>
          <w:rFonts w:cstheme="minorHAnsi"/>
        </w:rPr>
        <w:t xml:space="preserve"> </w:t>
      </w:r>
      <w:r w:rsidRPr="00F16251">
        <w:rPr>
          <w:rFonts w:cstheme="minorHAnsi"/>
        </w:rPr>
        <w:t>ludności</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wieku</w:t>
      </w:r>
      <w:r w:rsidR="003B50ED" w:rsidRPr="00F16251">
        <w:rPr>
          <w:rFonts w:cstheme="minorHAnsi"/>
        </w:rPr>
        <w:t xml:space="preserve"> </w:t>
      </w:r>
      <w:r w:rsidRPr="00F16251">
        <w:rPr>
          <w:rFonts w:cstheme="minorHAnsi"/>
        </w:rPr>
        <w:t>produkcyjnym</w:t>
      </w:r>
    </w:p>
    <w:tbl>
      <w:tblPr>
        <w:tblW w:w="10201" w:type="dxa"/>
        <w:tblLayout w:type="fixed"/>
        <w:tblCellMar>
          <w:left w:w="70" w:type="dxa"/>
          <w:right w:w="70" w:type="dxa"/>
        </w:tblCellMar>
        <w:tblLook w:val="04A0" w:firstRow="1" w:lastRow="0" w:firstColumn="1" w:lastColumn="0" w:noHBand="0" w:noVBand="1"/>
      </w:tblPr>
      <w:tblGrid>
        <w:gridCol w:w="1980"/>
        <w:gridCol w:w="1644"/>
        <w:gridCol w:w="1644"/>
        <w:gridCol w:w="1644"/>
        <w:gridCol w:w="1644"/>
        <w:gridCol w:w="1645"/>
      </w:tblGrid>
      <w:tr w:rsidR="00224658" w:rsidRPr="00F16251" w14:paraId="24D1C087" w14:textId="77777777" w:rsidTr="007F1E76">
        <w:trPr>
          <w:trHeight w:val="249"/>
        </w:trPr>
        <w:tc>
          <w:tcPr>
            <w:tcW w:w="198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1883B62" w14:textId="0B41F076"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Nazwa</w:t>
            </w:r>
            <w:r w:rsidR="003B50ED" w:rsidRPr="00F16251">
              <w:rPr>
                <w:rFonts w:eastAsia="Times New Roman" w:cstheme="minorHAnsi"/>
                <w:color w:val="000000"/>
                <w:kern w:val="0"/>
                <w:lang w:eastAsia="pl-PL"/>
                <w14:ligatures w14:val="none"/>
              </w:rPr>
              <w:t xml:space="preserve"> </w:t>
            </w:r>
            <w:r w:rsidRPr="00F16251">
              <w:rPr>
                <w:rFonts w:eastAsia="Times New Roman" w:cstheme="minorHAnsi"/>
                <w:color w:val="000000"/>
                <w:kern w:val="0"/>
                <w:lang w:eastAsia="pl-PL"/>
                <w14:ligatures w14:val="none"/>
              </w:rPr>
              <w:t>gminy</w:t>
            </w:r>
            <w:r w:rsidR="003B50ED" w:rsidRPr="00F16251">
              <w:rPr>
                <w:rFonts w:eastAsia="Times New Roman" w:cstheme="minorHAnsi"/>
                <w:color w:val="000000"/>
                <w:kern w:val="0"/>
                <w:lang w:eastAsia="pl-PL"/>
                <w14:ligatures w14:val="none"/>
              </w:rPr>
              <w:t xml:space="preserve"> </w:t>
            </w:r>
          </w:p>
        </w:tc>
        <w:tc>
          <w:tcPr>
            <w:tcW w:w="1644" w:type="dxa"/>
            <w:tcBorders>
              <w:top w:val="single" w:sz="4" w:space="0" w:color="auto"/>
              <w:left w:val="nil"/>
              <w:bottom w:val="single" w:sz="4" w:space="0" w:color="auto"/>
              <w:right w:val="single" w:sz="4" w:space="0" w:color="auto"/>
            </w:tcBorders>
            <w:shd w:val="clear" w:color="000000" w:fill="DDEBF7"/>
            <w:noWrap/>
            <w:vAlign w:val="bottom"/>
            <w:hideMark/>
          </w:tcPr>
          <w:p w14:paraId="725AF9A3"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2017</w:t>
            </w:r>
          </w:p>
        </w:tc>
        <w:tc>
          <w:tcPr>
            <w:tcW w:w="1644" w:type="dxa"/>
            <w:tcBorders>
              <w:top w:val="single" w:sz="4" w:space="0" w:color="auto"/>
              <w:left w:val="nil"/>
              <w:bottom w:val="single" w:sz="4" w:space="0" w:color="auto"/>
              <w:right w:val="single" w:sz="4" w:space="0" w:color="auto"/>
            </w:tcBorders>
            <w:shd w:val="clear" w:color="000000" w:fill="DDEBF7"/>
            <w:noWrap/>
            <w:vAlign w:val="bottom"/>
            <w:hideMark/>
          </w:tcPr>
          <w:p w14:paraId="2727D6A8"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2018</w:t>
            </w:r>
          </w:p>
        </w:tc>
        <w:tc>
          <w:tcPr>
            <w:tcW w:w="1644" w:type="dxa"/>
            <w:tcBorders>
              <w:top w:val="single" w:sz="4" w:space="0" w:color="auto"/>
              <w:left w:val="nil"/>
              <w:bottom w:val="single" w:sz="4" w:space="0" w:color="auto"/>
              <w:right w:val="single" w:sz="4" w:space="0" w:color="auto"/>
            </w:tcBorders>
            <w:shd w:val="clear" w:color="000000" w:fill="DDEBF7"/>
            <w:noWrap/>
            <w:vAlign w:val="bottom"/>
            <w:hideMark/>
          </w:tcPr>
          <w:p w14:paraId="3E62A8FF"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2019</w:t>
            </w:r>
          </w:p>
        </w:tc>
        <w:tc>
          <w:tcPr>
            <w:tcW w:w="1644" w:type="dxa"/>
            <w:tcBorders>
              <w:top w:val="single" w:sz="4" w:space="0" w:color="auto"/>
              <w:left w:val="nil"/>
              <w:bottom w:val="single" w:sz="4" w:space="0" w:color="auto"/>
              <w:right w:val="single" w:sz="4" w:space="0" w:color="auto"/>
            </w:tcBorders>
            <w:shd w:val="clear" w:color="000000" w:fill="DDEBF7"/>
            <w:noWrap/>
            <w:vAlign w:val="bottom"/>
            <w:hideMark/>
          </w:tcPr>
          <w:p w14:paraId="69FA20CA"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2020</w:t>
            </w:r>
          </w:p>
        </w:tc>
        <w:tc>
          <w:tcPr>
            <w:tcW w:w="1645" w:type="dxa"/>
            <w:tcBorders>
              <w:top w:val="single" w:sz="4" w:space="0" w:color="auto"/>
              <w:left w:val="nil"/>
              <w:bottom w:val="single" w:sz="4" w:space="0" w:color="auto"/>
              <w:right w:val="single" w:sz="4" w:space="0" w:color="auto"/>
            </w:tcBorders>
            <w:shd w:val="clear" w:color="000000" w:fill="DDEBF7"/>
            <w:noWrap/>
            <w:vAlign w:val="bottom"/>
            <w:hideMark/>
          </w:tcPr>
          <w:p w14:paraId="3BC8E3A3"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2021</w:t>
            </w:r>
          </w:p>
        </w:tc>
      </w:tr>
      <w:tr w:rsidR="00224658" w:rsidRPr="00F16251" w14:paraId="0AD06105"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DD3CC7E" w14:textId="77777777"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Golina</w:t>
            </w:r>
          </w:p>
        </w:tc>
        <w:tc>
          <w:tcPr>
            <w:tcW w:w="1644" w:type="dxa"/>
            <w:tcBorders>
              <w:top w:val="nil"/>
              <w:left w:val="nil"/>
              <w:bottom w:val="single" w:sz="4" w:space="0" w:color="auto"/>
              <w:right w:val="single" w:sz="4" w:space="0" w:color="auto"/>
            </w:tcBorders>
            <w:shd w:val="clear" w:color="auto" w:fill="auto"/>
            <w:noWrap/>
            <w:vAlign w:val="bottom"/>
            <w:hideMark/>
          </w:tcPr>
          <w:p w14:paraId="6158C242"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165</w:t>
            </w:r>
          </w:p>
        </w:tc>
        <w:tc>
          <w:tcPr>
            <w:tcW w:w="1644" w:type="dxa"/>
            <w:tcBorders>
              <w:top w:val="nil"/>
              <w:left w:val="nil"/>
              <w:bottom w:val="single" w:sz="4" w:space="0" w:color="auto"/>
              <w:right w:val="single" w:sz="4" w:space="0" w:color="auto"/>
            </w:tcBorders>
            <w:shd w:val="clear" w:color="auto" w:fill="auto"/>
            <w:noWrap/>
            <w:vAlign w:val="bottom"/>
            <w:hideMark/>
          </w:tcPr>
          <w:p w14:paraId="25213891"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184</w:t>
            </w:r>
          </w:p>
        </w:tc>
        <w:tc>
          <w:tcPr>
            <w:tcW w:w="1644" w:type="dxa"/>
            <w:tcBorders>
              <w:top w:val="nil"/>
              <w:left w:val="nil"/>
              <w:bottom w:val="single" w:sz="4" w:space="0" w:color="auto"/>
              <w:right w:val="single" w:sz="4" w:space="0" w:color="auto"/>
            </w:tcBorders>
            <w:shd w:val="clear" w:color="auto" w:fill="auto"/>
            <w:noWrap/>
            <w:vAlign w:val="bottom"/>
            <w:hideMark/>
          </w:tcPr>
          <w:p w14:paraId="0683DD4F"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170</w:t>
            </w:r>
          </w:p>
        </w:tc>
        <w:tc>
          <w:tcPr>
            <w:tcW w:w="1644" w:type="dxa"/>
            <w:tcBorders>
              <w:top w:val="nil"/>
              <w:left w:val="nil"/>
              <w:bottom w:val="single" w:sz="4" w:space="0" w:color="auto"/>
              <w:right w:val="single" w:sz="4" w:space="0" w:color="auto"/>
            </w:tcBorders>
            <w:shd w:val="clear" w:color="auto" w:fill="auto"/>
            <w:noWrap/>
            <w:vAlign w:val="bottom"/>
            <w:hideMark/>
          </w:tcPr>
          <w:p w14:paraId="0BCDCFE2"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173</w:t>
            </w:r>
          </w:p>
        </w:tc>
        <w:tc>
          <w:tcPr>
            <w:tcW w:w="1645" w:type="dxa"/>
            <w:tcBorders>
              <w:top w:val="nil"/>
              <w:left w:val="nil"/>
              <w:bottom w:val="single" w:sz="4" w:space="0" w:color="auto"/>
              <w:right w:val="single" w:sz="4" w:space="0" w:color="auto"/>
            </w:tcBorders>
            <w:shd w:val="clear" w:color="auto" w:fill="auto"/>
            <w:noWrap/>
            <w:vAlign w:val="bottom"/>
            <w:hideMark/>
          </w:tcPr>
          <w:p w14:paraId="71ACBCB5"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153</w:t>
            </w:r>
          </w:p>
        </w:tc>
      </w:tr>
      <w:tr w:rsidR="00224658" w:rsidRPr="00F16251" w14:paraId="7200A4C1"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726BAA1" w14:textId="77777777"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Grodziec</w:t>
            </w:r>
          </w:p>
        </w:tc>
        <w:tc>
          <w:tcPr>
            <w:tcW w:w="1644" w:type="dxa"/>
            <w:tcBorders>
              <w:top w:val="nil"/>
              <w:left w:val="nil"/>
              <w:bottom w:val="single" w:sz="4" w:space="0" w:color="auto"/>
              <w:right w:val="single" w:sz="4" w:space="0" w:color="auto"/>
            </w:tcBorders>
            <w:shd w:val="clear" w:color="auto" w:fill="auto"/>
            <w:noWrap/>
            <w:vAlign w:val="bottom"/>
            <w:hideMark/>
          </w:tcPr>
          <w:p w14:paraId="23D2AD13"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154</w:t>
            </w:r>
          </w:p>
        </w:tc>
        <w:tc>
          <w:tcPr>
            <w:tcW w:w="1644" w:type="dxa"/>
            <w:tcBorders>
              <w:top w:val="nil"/>
              <w:left w:val="nil"/>
              <w:bottom w:val="single" w:sz="4" w:space="0" w:color="auto"/>
              <w:right w:val="single" w:sz="4" w:space="0" w:color="auto"/>
            </w:tcBorders>
            <w:shd w:val="clear" w:color="auto" w:fill="auto"/>
            <w:noWrap/>
            <w:vAlign w:val="bottom"/>
            <w:hideMark/>
          </w:tcPr>
          <w:p w14:paraId="64466BAC"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176</w:t>
            </w:r>
          </w:p>
        </w:tc>
        <w:tc>
          <w:tcPr>
            <w:tcW w:w="1644" w:type="dxa"/>
            <w:tcBorders>
              <w:top w:val="nil"/>
              <w:left w:val="nil"/>
              <w:bottom w:val="single" w:sz="4" w:space="0" w:color="auto"/>
              <w:right w:val="single" w:sz="4" w:space="0" w:color="auto"/>
            </w:tcBorders>
            <w:shd w:val="clear" w:color="auto" w:fill="auto"/>
            <w:noWrap/>
            <w:vAlign w:val="bottom"/>
            <w:hideMark/>
          </w:tcPr>
          <w:p w14:paraId="7C9D810B"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181</w:t>
            </w:r>
          </w:p>
        </w:tc>
        <w:tc>
          <w:tcPr>
            <w:tcW w:w="1644" w:type="dxa"/>
            <w:tcBorders>
              <w:top w:val="nil"/>
              <w:left w:val="nil"/>
              <w:bottom w:val="single" w:sz="4" w:space="0" w:color="auto"/>
              <w:right w:val="single" w:sz="4" w:space="0" w:color="auto"/>
            </w:tcBorders>
            <w:shd w:val="clear" w:color="auto" w:fill="auto"/>
            <w:noWrap/>
            <w:vAlign w:val="bottom"/>
            <w:hideMark/>
          </w:tcPr>
          <w:p w14:paraId="416C81DA"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214</w:t>
            </w:r>
          </w:p>
        </w:tc>
        <w:tc>
          <w:tcPr>
            <w:tcW w:w="1645" w:type="dxa"/>
            <w:tcBorders>
              <w:top w:val="nil"/>
              <w:left w:val="nil"/>
              <w:bottom w:val="single" w:sz="4" w:space="0" w:color="auto"/>
              <w:right w:val="single" w:sz="4" w:space="0" w:color="auto"/>
            </w:tcBorders>
            <w:shd w:val="clear" w:color="auto" w:fill="auto"/>
            <w:noWrap/>
            <w:vAlign w:val="bottom"/>
            <w:hideMark/>
          </w:tcPr>
          <w:p w14:paraId="7ABE4F99"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144</w:t>
            </w:r>
          </w:p>
        </w:tc>
      </w:tr>
      <w:tr w:rsidR="00224658" w:rsidRPr="00F16251" w14:paraId="4DC074B9"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DBD69D7" w14:textId="77777777"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Rychwał</w:t>
            </w:r>
          </w:p>
        </w:tc>
        <w:tc>
          <w:tcPr>
            <w:tcW w:w="1644" w:type="dxa"/>
            <w:tcBorders>
              <w:top w:val="nil"/>
              <w:left w:val="nil"/>
              <w:bottom w:val="single" w:sz="4" w:space="0" w:color="auto"/>
              <w:right w:val="single" w:sz="4" w:space="0" w:color="auto"/>
            </w:tcBorders>
            <w:shd w:val="clear" w:color="auto" w:fill="auto"/>
            <w:noWrap/>
            <w:vAlign w:val="bottom"/>
            <w:hideMark/>
          </w:tcPr>
          <w:p w14:paraId="06921BF9"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179</w:t>
            </w:r>
          </w:p>
        </w:tc>
        <w:tc>
          <w:tcPr>
            <w:tcW w:w="1644" w:type="dxa"/>
            <w:tcBorders>
              <w:top w:val="nil"/>
              <w:left w:val="nil"/>
              <w:bottom w:val="single" w:sz="4" w:space="0" w:color="auto"/>
              <w:right w:val="single" w:sz="4" w:space="0" w:color="auto"/>
            </w:tcBorders>
            <w:shd w:val="clear" w:color="auto" w:fill="auto"/>
            <w:noWrap/>
            <w:vAlign w:val="bottom"/>
            <w:hideMark/>
          </w:tcPr>
          <w:p w14:paraId="2E47E225"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205</w:t>
            </w:r>
          </w:p>
        </w:tc>
        <w:tc>
          <w:tcPr>
            <w:tcW w:w="1644" w:type="dxa"/>
            <w:tcBorders>
              <w:top w:val="nil"/>
              <w:left w:val="nil"/>
              <w:bottom w:val="single" w:sz="4" w:space="0" w:color="auto"/>
              <w:right w:val="single" w:sz="4" w:space="0" w:color="auto"/>
            </w:tcBorders>
            <w:shd w:val="clear" w:color="auto" w:fill="auto"/>
            <w:noWrap/>
            <w:vAlign w:val="bottom"/>
            <w:hideMark/>
          </w:tcPr>
          <w:p w14:paraId="16BB723F"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166</w:t>
            </w:r>
          </w:p>
        </w:tc>
        <w:tc>
          <w:tcPr>
            <w:tcW w:w="1644" w:type="dxa"/>
            <w:tcBorders>
              <w:top w:val="nil"/>
              <w:left w:val="nil"/>
              <w:bottom w:val="single" w:sz="4" w:space="0" w:color="auto"/>
              <w:right w:val="single" w:sz="4" w:space="0" w:color="auto"/>
            </w:tcBorders>
            <w:shd w:val="clear" w:color="auto" w:fill="auto"/>
            <w:noWrap/>
            <w:vAlign w:val="bottom"/>
            <w:hideMark/>
          </w:tcPr>
          <w:p w14:paraId="301A9555"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217</w:t>
            </w:r>
          </w:p>
        </w:tc>
        <w:tc>
          <w:tcPr>
            <w:tcW w:w="1645" w:type="dxa"/>
            <w:tcBorders>
              <w:top w:val="nil"/>
              <w:left w:val="nil"/>
              <w:bottom w:val="single" w:sz="4" w:space="0" w:color="auto"/>
              <w:right w:val="single" w:sz="4" w:space="0" w:color="auto"/>
            </w:tcBorders>
            <w:shd w:val="clear" w:color="auto" w:fill="auto"/>
            <w:noWrap/>
            <w:vAlign w:val="bottom"/>
            <w:hideMark/>
          </w:tcPr>
          <w:p w14:paraId="06DFAB6F"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175</w:t>
            </w:r>
          </w:p>
        </w:tc>
      </w:tr>
      <w:tr w:rsidR="00224658" w:rsidRPr="00F16251" w14:paraId="0F35584D"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B4ACE46" w14:textId="77777777"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Rzgów</w:t>
            </w:r>
          </w:p>
        </w:tc>
        <w:tc>
          <w:tcPr>
            <w:tcW w:w="1644" w:type="dxa"/>
            <w:tcBorders>
              <w:top w:val="nil"/>
              <w:left w:val="nil"/>
              <w:bottom w:val="single" w:sz="4" w:space="0" w:color="auto"/>
              <w:right w:val="single" w:sz="4" w:space="0" w:color="auto"/>
            </w:tcBorders>
            <w:shd w:val="clear" w:color="auto" w:fill="auto"/>
            <w:noWrap/>
            <w:vAlign w:val="bottom"/>
            <w:hideMark/>
          </w:tcPr>
          <w:p w14:paraId="2FD830F1"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127</w:t>
            </w:r>
          </w:p>
        </w:tc>
        <w:tc>
          <w:tcPr>
            <w:tcW w:w="1644" w:type="dxa"/>
            <w:tcBorders>
              <w:top w:val="nil"/>
              <w:left w:val="nil"/>
              <w:bottom w:val="single" w:sz="4" w:space="0" w:color="auto"/>
              <w:right w:val="single" w:sz="4" w:space="0" w:color="auto"/>
            </w:tcBorders>
            <w:shd w:val="clear" w:color="auto" w:fill="auto"/>
            <w:noWrap/>
            <w:vAlign w:val="bottom"/>
            <w:hideMark/>
          </w:tcPr>
          <w:p w14:paraId="13DA5B68"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205</w:t>
            </w:r>
          </w:p>
        </w:tc>
        <w:tc>
          <w:tcPr>
            <w:tcW w:w="1644" w:type="dxa"/>
            <w:tcBorders>
              <w:top w:val="nil"/>
              <w:left w:val="nil"/>
              <w:bottom w:val="single" w:sz="4" w:space="0" w:color="auto"/>
              <w:right w:val="single" w:sz="4" w:space="0" w:color="auto"/>
            </w:tcBorders>
            <w:shd w:val="clear" w:color="auto" w:fill="auto"/>
            <w:noWrap/>
            <w:vAlign w:val="bottom"/>
            <w:hideMark/>
          </w:tcPr>
          <w:p w14:paraId="3AF14DB1"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179</w:t>
            </w:r>
          </w:p>
        </w:tc>
        <w:tc>
          <w:tcPr>
            <w:tcW w:w="1644" w:type="dxa"/>
            <w:tcBorders>
              <w:top w:val="nil"/>
              <w:left w:val="nil"/>
              <w:bottom w:val="single" w:sz="4" w:space="0" w:color="auto"/>
              <w:right w:val="single" w:sz="4" w:space="0" w:color="auto"/>
            </w:tcBorders>
            <w:shd w:val="clear" w:color="auto" w:fill="auto"/>
            <w:noWrap/>
            <w:vAlign w:val="bottom"/>
            <w:hideMark/>
          </w:tcPr>
          <w:p w14:paraId="563E5FE2"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172</w:t>
            </w:r>
          </w:p>
        </w:tc>
        <w:tc>
          <w:tcPr>
            <w:tcW w:w="1645" w:type="dxa"/>
            <w:tcBorders>
              <w:top w:val="nil"/>
              <w:left w:val="nil"/>
              <w:bottom w:val="single" w:sz="4" w:space="0" w:color="auto"/>
              <w:right w:val="single" w:sz="4" w:space="0" w:color="auto"/>
            </w:tcBorders>
            <w:shd w:val="clear" w:color="auto" w:fill="auto"/>
            <w:noWrap/>
            <w:vAlign w:val="bottom"/>
            <w:hideMark/>
          </w:tcPr>
          <w:p w14:paraId="31F1401D"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153</w:t>
            </w:r>
          </w:p>
        </w:tc>
      </w:tr>
      <w:tr w:rsidR="00224658" w:rsidRPr="00F16251" w14:paraId="1E4F1E0B"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C894B8E" w14:textId="0F73AB50"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Stare</w:t>
            </w:r>
            <w:r w:rsidR="003B50ED" w:rsidRPr="00F16251">
              <w:rPr>
                <w:rFonts w:eastAsia="Times New Roman" w:cstheme="minorHAnsi"/>
                <w:color w:val="000000"/>
                <w:kern w:val="0"/>
                <w:lang w:eastAsia="pl-PL"/>
                <w14:ligatures w14:val="none"/>
              </w:rPr>
              <w:t xml:space="preserve"> </w:t>
            </w:r>
            <w:r w:rsidRPr="00F16251">
              <w:rPr>
                <w:rFonts w:eastAsia="Times New Roman" w:cstheme="minorHAnsi"/>
                <w:color w:val="000000"/>
                <w:kern w:val="0"/>
                <w:lang w:eastAsia="pl-PL"/>
                <w14:ligatures w14:val="none"/>
              </w:rPr>
              <w:t>Miasto</w:t>
            </w:r>
          </w:p>
        </w:tc>
        <w:tc>
          <w:tcPr>
            <w:tcW w:w="1644" w:type="dxa"/>
            <w:tcBorders>
              <w:top w:val="nil"/>
              <w:left w:val="nil"/>
              <w:bottom w:val="single" w:sz="4" w:space="0" w:color="auto"/>
              <w:right w:val="single" w:sz="4" w:space="0" w:color="auto"/>
            </w:tcBorders>
            <w:shd w:val="clear" w:color="auto" w:fill="auto"/>
            <w:noWrap/>
            <w:vAlign w:val="bottom"/>
            <w:hideMark/>
          </w:tcPr>
          <w:p w14:paraId="0A24484D"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191</w:t>
            </w:r>
          </w:p>
        </w:tc>
        <w:tc>
          <w:tcPr>
            <w:tcW w:w="1644" w:type="dxa"/>
            <w:tcBorders>
              <w:top w:val="nil"/>
              <w:left w:val="nil"/>
              <w:bottom w:val="single" w:sz="4" w:space="0" w:color="auto"/>
              <w:right w:val="single" w:sz="4" w:space="0" w:color="auto"/>
            </w:tcBorders>
            <w:shd w:val="clear" w:color="auto" w:fill="auto"/>
            <w:noWrap/>
            <w:vAlign w:val="bottom"/>
            <w:hideMark/>
          </w:tcPr>
          <w:p w14:paraId="2CF670EA"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201</w:t>
            </w:r>
          </w:p>
        </w:tc>
        <w:tc>
          <w:tcPr>
            <w:tcW w:w="1644" w:type="dxa"/>
            <w:tcBorders>
              <w:top w:val="nil"/>
              <w:left w:val="nil"/>
              <w:bottom w:val="single" w:sz="4" w:space="0" w:color="auto"/>
              <w:right w:val="single" w:sz="4" w:space="0" w:color="auto"/>
            </w:tcBorders>
            <w:shd w:val="clear" w:color="auto" w:fill="auto"/>
            <w:noWrap/>
            <w:vAlign w:val="bottom"/>
            <w:hideMark/>
          </w:tcPr>
          <w:p w14:paraId="05568AAB"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205</w:t>
            </w:r>
          </w:p>
        </w:tc>
        <w:tc>
          <w:tcPr>
            <w:tcW w:w="1644" w:type="dxa"/>
            <w:tcBorders>
              <w:top w:val="nil"/>
              <w:left w:val="nil"/>
              <w:bottom w:val="single" w:sz="4" w:space="0" w:color="auto"/>
              <w:right w:val="single" w:sz="4" w:space="0" w:color="auto"/>
            </w:tcBorders>
            <w:shd w:val="clear" w:color="auto" w:fill="auto"/>
            <w:noWrap/>
            <w:vAlign w:val="bottom"/>
            <w:hideMark/>
          </w:tcPr>
          <w:p w14:paraId="64126470"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151</w:t>
            </w:r>
          </w:p>
        </w:tc>
        <w:tc>
          <w:tcPr>
            <w:tcW w:w="1645" w:type="dxa"/>
            <w:tcBorders>
              <w:top w:val="nil"/>
              <w:left w:val="nil"/>
              <w:bottom w:val="single" w:sz="4" w:space="0" w:color="auto"/>
              <w:right w:val="single" w:sz="4" w:space="0" w:color="auto"/>
            </w:tcBorders>
            <w:shd w:val="clear" w:color="auto" w:fill="auto"/>
            <w:noWrap/>
            <w:vAlign w:val="bottom"/>
            <w:hideMark/>
          </w:tcPr>
          <w:p w14:paraId="30A3FDDF"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181</w:t>
            </w:r>
          </w:p>
        </w:tc>
      </w:tr>
      <w:tr w:rsidR="00224658" w:rsidRPr="00F16251" w14:paraId="3EA9AF84"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C405127" w14:textId="77777777"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Tuliszków</w:t>
            </w:r>
          </w:p>
        </w:tc>
        <w:tc>
          <w:tcPr>
            <w:tcW w:w="1644" w:type="dxa"/>
            <w:tcBorders>
              <w:top w:val="nil"/>
              <w:left w:val="nil"/>
              <w:bottom w:val="single" w:sz="4" w:space="0" w:color="auto"/>
              <w:right w:val="single" w:sz="4" w:space="0" w:color="auto"/>
            </w:tcBorders>
            <w:shd w:val="clear" w:color="auto" w:fill="auto"/>
            <w:noWrap/>
            <w:vAlign w:val="bottom"/>
            <w:hideMark/>
          </w:tcPr>
          <w:p w14:paraId="2A76381C"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158</w:t>
            </w:r>
          </w:p>
        </w:tc>
        <w:tc>
          <w:tcPr>
            <w:tcW w:w="1644" w:type="dxa"/>
            <w:tcBorders>
              <w:top w:val="nil"/>
              <w:left w:val="nil"/>
              <w:bottom w:val="single" w:sz="4" w:space="0" w:color="auto"/>
              <w:right w:val="single" w:sz="4" w:space="0" w:color="auto"/>
            </w:tcBorders>
            <w:shd w:val="clear" w:color="auto" w:fill="auto"/>
            <w:noWrap/>
            <w:vAlign w:val="bottom"/>
            <w:hideMark/>
          </w:tcPr>
          <w:p w14:paraId="14535614"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158</w:t>
            </w:r>
          </w:p>
        </w:tc>
        <w:tc>
          <w:tcPr>
            <w:tcW w:w="1644" w:type="dxa"/>
            <w:tcBorders>
              <w:top w:val="nil"/>
              <w:left w:val="nil"/>
              <w:bottom w:val="single" w:sz="4" w:space="0" w:color="auto"/>
              <w:right w:val="single" w:sz="4" w:space="0" w:color="auto"/>
            </w:tcBorders>
            <w:shd w:val="clear" w:color="auto" w:fill="auto"/>
            <w:noWrap/>
            <w:vAlign w:val="bottom"/>
            <w:hideMark/>
          </w:tcPr>
          <w:p w14:paraId="5C19F0D1"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169</w:t>
            </w:r>
          </w:p>
        </w:tc>
        <w:tc>
          <w:tcPr>
            <w:tcW w:w="1644" w:type="dxa"/>
            <w:tcBorders>
              <w:top w:val="nil"/>
              <w:left w:val="nil"/>
              <w:bottom w:val="single" w:sz="4" w:space="0" w:color="auto"/>
              <w:right w:val="single" w:sz="4" w:space="0" w:color="auto"/>
            </w:tcBorders>
            <w:shd w:val="clear" w:color="auto" w:fill="auto"/>
            <w:noWrap/>
            <w:vAlign w:val="bottom"/>
            <w:hideMark/>
          </w:tcPr>
          <w:p w14:paraId="6A385A90"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154</w:t>
            </w:r>
          </w:p>
        </w:tc>
        <w:tc>
          <w:tcPr>
            <w:tcW w:w="1645" w:type="dxa"/>
            <w:tcBorders>
              <w:top w:val="nil"/>
              <w:left w:val="nil"/>
              <w:bottom w:val="single" w:sz="4" w:space="0" w:color="auto"/>
              <w:right w:val="single" w:sz="4" w:space="0" w:color="auto"/>
            </w:tcBorders>
            <w:shd w:val="clear" w:color="auto" w:fill="auto"/>
            <w:noWrap/>
            <w:vAlign w:val="bottom"/>
            <w:hideMark/>
          </w:tcPr>
          <w:p w14:paraId="0EF741F3"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130</w:t>
            </w:r>
          </w:p>
        </w:tc>
      </w:tr>
      <w:tr w:rsidR="00224658" w:rsidRPr="00F16251" w14:paraId="2CCEC746" w14:textId="77777777" w:rsidTr="007F1E76">
        <w:trPr>
          <w:trHeight w:val="249"/>
        </w:trPr>
        <w:tc>
          <w:tcPr>
            <w:tcW w:w="1980" w:type="dxa"/>
            <w:tcBorders>
              <w:top w:val="nil"/>
              <w:left w:val="single" w:sz="4" w:space="0" w:color="auto"/>
              <w:bottom w:val="single" w:sz="4" w:space="0" w:color="auto"/>
              <w:right w:val="single" w:sz="4" w:space="0" w:color="auto"/>
            </w:tcBorders>
            <w:shd w:val="clear" w:color="000000" w:fill="DDEBF7"/>
            <w:vAlign w:val="bottom"/>
            <w:hideMark/>
          </w:tcPr>
          <w:p w14:paraId="0EBF2330" w14:textId="3A0D2A03"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Razem</w:t>
            </w:r>
            <w:r w:rsidR="003B50ED" w:rsidRPr="00F16251">
              <w:rPr>
                <w:rFonts w:eastAsia="Times New Roman" w:cstheme="minorHAnsi"/>
                <w:color w:val="000000"/>
                <w:kern w:val="0"/>
                <w:lang w:eastAsia="pl-PL"/>
                <w14:ligatures w14:val="none"/>
              </w:rPr>
              <w:t xml:space="preserve"> </w:t>
            </w:r>
            <w:r w:rsidRPr="00F16251">
              <w:rPr>
                <w:rFonts w:eastAsia="Times New Roman" w:cstheme="minorHAnsi"/>
                <w:color w:val="000000"/>
                <w:kern w:val="0"/>
                <w:lang w:eastAsia="pl-PL"/>
                <w14:ligatures w14:val="none"/>
              </w:rPr>
              <w:t>LGD</w:t>
            </w:r>
          </w:p>
        </w:tc>
        <w:tc>
          <w:tcPr>
            <w:tcW w:w="1644" w:type="dxa"/>
            <w:tcBorders>
              <w:top w:val="nil"/>
              <w:left w:val="nil"/>
              <w:bottom w:val="single" w:sz="4" w:space="0" w:color="auto"/>
              <w:right w:val="single" w:sz="4" w:space="0" w:color="auto"/>
            </w:tcBorders>
            <w:shd w:val="clear" w:color="000000" w:fill="DDEBF7"/>
            <w:noWrap/>
            <w:vAlign w:val="bottom"/>
            <w:hideMark/>
          </w:tcPr>
          <w:p w14:paraId="55B59FCF"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974</w:t>
            </w:r>
          </w:p>
        </w:tc>
        <w:tc>
          <w:tcPr>
            <w:tcW w:w="1644" w:type="dxa"/>
            <w:tcBorders>
              <w:top w:val="nil"/>
              <w:left w:val="nil"/>
              <w:bottom w:val="single" w:sz="4" w:space="0" w:color="auto"/>
              <w:right w:val="single" w:sz="4" w:space="0" w:color="auto"/>
            </w:tcBorders>
            <w:shd w:val="clear" w:color="000000" w:fill="DDEBF7"/>
            <w:noWrap/>
            <w:vAlign w:val="bottom"/>
            <w:hideMark/>
          </w:tcPr>
          <w:p w14:paraId="33C0AAF5"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1129</w:t>
            </w:r>
          </w:p>
        </w:tc>
        <w:tc>
          <w:tcPr>
            <w:tcW w:w="1644" w:type="dxa"/>
            <w:tcBorders>
              <w:top w:val="nil"/>
              <w:left w:val="nil"/>
              <w:bottom w:val="single" w:sz="4" w:space="0" w:color="auto"/>
              <w:right w:val="single" w:sz="4" w:space="0" w:color="auto"/>
            </w:tcBorders>
            <w:shd w:val="clear" w:color="000000" w:fill="DDEBF7"/>
            <w:noWrap/>
            <w:vAlign w:val="bottom"/>
            <w:hideMark/>
          </w:tcPr>
          <w:p w14:paraId="016B3BEB"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1070</w:t>
            </w:r>
          </w:p>
        </w:tc>
        <w:tc>
          <w:tcPr>
            <w:tcW w:w="1644" w:type="dxa"/>
            <w:tcBorders>
              <w:top w:val="nil"/>
              <w:left w:val="nil"/>
              <w:bottom w:val="single" w:sz="4" w:space="0" w:color="auto"/>
              <w:right w:val="single" w:sz="4" w:space="0" w:color="auto"/>
            </w:tcBorders>
            <w:shd w:val="clear" w:color="000000" w:fill="DDEBF7"/>
            <w:noWrap/>
            <w:vAlign w:val="bottom"/>
            <w:hideMark/>
          </w:tcPr>
          <w:p w14:paraId="09E661B8"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1081</w:t>
            </w:r>
          </w:p>
        </w:tc>
        <w:tc>
          <w:tcPr>
            <w:tcW w:w="1645" w:type="dxa"/>
            <w:tcBorders>
              <w:top w:val="nil"/>
              <w:left w:val="nil"/>
              <w:bottom w:val="single" w:sz="4" w:space="0" w:color="auto"/>
              <w:right w:val="single" w:sz="4" w:space="0" w:color="auto"/>
            </w:tcBorders>
            <w:shd w:val="clear" w:color="000000" w:fill="DDEBF7"/>
            <w:noWrap/>
            <w:vAlign w:val="bottom"/>
            <w:hideMark/>
          </w:tcPr>
          <w:p w14:paraId="663F7DEC"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936</w:t>
            </w:r>
          </w:p>
        </w:tc>
      </w:tr>
    </w:tbl>
    <w:p w14:paraId="13BFA63E" w14:textId="7990EB62" w:rsidR="00224658" w:rsidRPr="00F16251" w:rsidRDefault="00224658" w:rsidP="00A26C26">
      <w:pPr>
        <w:spacing w:line="276" w:lineRule="auto"/>
        <w:rPr>
          <w:rFonts w:cstheme="minorHAnsi"/>
        </w:rPr>
      </w:pPr>
      <w:r w:rsidRPr="00F16251">
        <w:rPr>
          <w:rFonts w:cstheme="minorHAnsi"/>
        </w:rPr>
        <w:t>Źródło:</w:t>
      </w:r>
      <w:r w:rsidR="003B50ED" w:rsidRPr="00F16251">
        <w:rPr>
          <w:rFonts w:cstheme="minorHAnsi"/>
        </w:rPr>
        <w:t xml:space="preserve"> </w:t>
      </w:r>
      <w:r w:rsidRPr="00F16251">
        <w:rPr>
          <w:rFonts w:cstheme="minorHAnsi"/>
        </w:rPr>
        <w:t>GUS,</w:t>
      </w:r>
      <w:r w:rsidR="003B50ED" w:rsidRPr="00F16251">
        <w:rPr>
          <w:rFonts w:cstheme="minorHAnsi"/>
        </w:rPr>
        <w:t xml:space="preserve"> </w:t>
      </w:r>
      <w:r w:rsidRPr="00F16251">
        <w:rPr>
          <w:rFonts w:cstheme="minorHAnsi"/>
        </w:rPr>
        <w:t>Bank</w:t>
      </w:r>
      <w:r w:rsidR="003B50ED" w:rsidRPr="00F16251">
        <w:rPr>
          <w:rFonts w:cstheme="minorHAnsi"/>
        </w:rPr>
        <w:t xml:space="preserve"> </w:t>
      </w:r>
      <w:r w:rsidRPr="00F16251">
        <w:rPr>
          <w:rFonts w:cstheme="minorHAnsi"/>
        </w:rPr>
        <w:t>Danych</w:t>
      </w:r>
      <w:r w:rsidR="003B50ED" w:rsidRPr="00F16251">
        <w:rPr>
          <w:rFonts w:cstheme="minorHAnsi"/>
        </w:rPr>
        <w:t xml:space="preserve"> </w:t>
      </w:r>
      <w:r w:rsidRPr="00F16251">
        <w:rPr>
          <w:rFonts w:cstheme="minorHAnsi"/>
        </w:rPr>
        <w:t>Lokalnych</w:t>
      </w:r>
    </w:p>
    <w:p w14:paraId="13C25BE8" w14:textId="77777777" w:rsidR="001D0163" w:rsidRPr="00F16251" w:rsidRDefault="001D0163" w:rsidP="00DA551B">
      <w:pPr>
        <w:spacing w:line="276" w:lineRule="auto"/>
        <w:ind w:firstLine="360"/>
        <w:rPr>
          <w:rFonts w:eastAsia="Calibri" w:cstheme="minorHAnsi"/>
        </w:rPr>
      </w:pPr>
    </w:p>
    <w:p w14:paraId="1126D242" w14:textId="553109F2" w:rsidR="00224658" w:rsidRPr="00F16251" w:rsidRDefault="00224658" w:rsidP="008A412F">
      <w:pPr>
        <w:pStyle w:val="Nagwek2"/>
        <w:numPr>
          <w:ilvl w:val="0"/>
          <w:numId w:val="11"/>
        </w:numPr>
        <w:spacing w:before="0" w:line="276" w:lineRule="auto"/>
        <w:rPr>
          <w:rFonts w:asciiTheme="minorHAnsi" w:hAnsiTheme="minorHAnsi" w:cstheme="minorHAnsi"/>
          <w:b/>
          <w:bCs/>
          <w:sz w:val="22"/>
          <w:szCs w:val="22"/>
        </w:rPr>
      </w:pPr>
      <w:bookmarkStart w:id="46" w:name="_Toc136260197"/>
      <w:bookmarkStart w:id="47" w:name="_Toc136944407"/>
      <w:r w:rsidRPr="00F16251">
        <w:rPr>
          <w:rFonts w:asciiTheme="minorHAnsi" w:hAnsiTheme="minorHAnsi" w:cstheme="minorHAnsi"/>
          <w:b/>
          <w:bCs/>
          <w:sz w:val="22"/>
          <w:szCs w:val="22"/>
        </w:rPr>
        <w:t>Rynek</w:t>
      </w:r>
      <w:r w:rsidR="003B50ED" w:rsidRPr="00F16251">
        <w:rPr>
          <w:rFonts w:asciiTheme="minorHAnsi" w:hAnsiTheme="minorHAnsi" w:cstheme="minorHAnsi"/>
          <w:b/>
          <w:bCs/>
          <w:sz w:val="22"/>
          <w:szCs w:val="22"/>
        </w:rPr>
        <w:t xml:space="preserve"> </w:t>
      </w:r>
      <w:r w:rsidRPr="00F16251">
        <w:rPr>
          <w:rFonts w:asciiTheme="minorHAnsi" w:hAnsiTheme="minorHAnsi" w:cstheme="minorHAnsi"/>
          <w:b/>
          <w:bCs/>
          <w:sz w:val="22"/>
          <w:szCs w:val="22"/>
        </w:rPr>
        <w:t>pracy</w:t>
      </w:r>
      <w:bookmarkEnd w:id="46"/>
      <w:bookmarkEnd w:id="47"/>
    </w:p>
    <w:p w14:paraId="1C7E2297" w14:textId="3F1A19D4" w:rsidR="00224658" w:rsidRPr="00F16251" w:rsidRDefault="00224658" w:rsidP="00DA551B">
      <w:pPr>
        <w:tabs>
          <w:tab w:val="left" w:pos="8222"/>
        </w:tabs>
        <w:spacing w:line="276" w:lineRule="auto"/>
        <w:ind w:firstLine="360"/>
        <w:jc w:val="both"/>
        <w:rPr>
          <w:rFonts w:cstheme="minorHAnsi"/>
        </w:rPr>
      </w:pPr>
      <w:r w:rsidRPr="00F16251">
        <w:rPr>
          <w:rFonts w:cstheme="minorHAnsi"/>
        </w:rPr>
        <w:t>Na</w:t>
      </w:r>
      <w:r w:rsidR="003B50ED" w:rsidRPr="00F16251">
        <w:rPr>
          <w:rFonts w:cstheme="minorHAnsi"/>
        </w:rPr>
        <w:t xml:space="preserve"> </w:t>
      </w:r>
      <w:r w:rsidRPr="00F16251">
        <w:rPr>
          <w:rFonts w:cstheme="minorHAnsi"/>
        </w:rPr>
        <w:t>przestrzeni</w:t>
      </w:r>
      <w:r w:rsidR="003B50ED" w:rsidRPr="00F16251">
        <w:rPr>
          <w:rFonts w:cstheme="minorHAnsi"/>
        </w:rPr>
        <w:t xml:space="preserve"> </w:t>
      </w:r>
      <w:r w:rsidRPr="00F16251">
        <w:rPr>
          <w:rFonts w:cstheme="minorHAnsi"/>
        </w:rPr>
        <w:t>ostatnich</w:t>
      </w:r>
      <w:r w:rsidR="003B50ED" w:rsidRPr="00F16251">
        <w:rPr>
          <w:rFonts w:cstheme="minorHAnsi"/>
        </w:rPr>
        <w:t xml:space="preserve"> </w:t>
      </w:r>
      <w:r w:rsidRPr="00F16251">
        <w:rPr>
          <w:rFonts w:cstheme="minorHAnsi"/>
        </w:rPr>
        <w:t>lat</w:t>
      </w:r>
      <w:r w:rsidR="003B50ED" w:rsidRPr="00F16251">
        <w:rPr>
          <w:rFonts w:cstheme="minorHAnsi"/>
        </w:rPr>
        <w:t xml:space="preserve"> </w:t>
      </w:r>
      <w:r w:rsidRPr="00F16251">
        <w:rPr>
          <w:rFonts w:cstheme="minorHAnsi"/>
        </w:rPr>
        <w:t>sukcesywnie</w:t>
      </w:r>
      <w:r w:rsidR="003B50ED" w:rsidRPr="00F16251">
        <w:rPr>
          <w:rFonts w:cstheme="minorHAnsi"/>
        </w:rPr>
        <w:t xml:space="preserve"> </w:t>
      </w:r>
      <w:r w:rsidRPr="00F16251">
        <w:rPr>
          <w:rFonts w:cstheme="minorHAnsi"/>
        </w:rPr>
        <w:t>zmniejszyła</w:t>
      </w:r>
      <w:r w:rsidR="003B50ED" w:rsidRPr="00F16251">
        <w:rPr>
          <w:rFonts w:cstheme="minorHAnsi"/>
        </w:rPr>
        <w:t xml:space="preserve"> </w:t>
      </w:r>
      <w:r w:rsidRPr="00F16251">
        <w:rPr>
          <w:rFonts w:cstheme="minorHAnsi"/>
        </w:rPr>
        <w:t>się</w:t>
      </w:r>
      <w:r w:rsidR="003B50ED" w:rsidRPr="00F16251">
        <w:rPr>
          <w:rFonts w:cstheme="minorHAnsi"/>
        </w:rPr>
        <w:t xml:space="preserve"> </w:t>
      </w:r>
      <w:r w:rsidRPr="00F16251">
        <w:rPr>
          <w:rFonts w:cstheme="minorHAnsi"/>
        </w:rPr>
        <w:t>liczba</w:t>
      </w:r>
      <w:r w:rsidR="003B50ED" w:rsidRPr="00F16251">
        <w:rPr>
          <w:rFonts w:cstheme="minorHAnsi"/>
        </w:rPr>
        <w:t xml:space="preserve"> </w:t>
      </w:r>
      <w:r w:rsidRPr="00F16251">
        <w:rPr>
          <w:rFonts w:cstheme="minorHAnsi"/>
        </w:rPr>
        <w:t>osób</w:t>
      </w:r>
      <w:r w:rsidR="003B50ED" w:rsidRPr="00F16251">
        <w:rPr>
          <w:rFonts w:cstheme="minorHAnsi"/>
        </w:rPr>
        <w:t xml:space="preserve"> </w:t>
      </w:r>
      <w:r w:rsidRPr="00F16251">
        <w:rPr>
          <w:rFonts w:cstheme="minorHAnsi"/>
        </w:rPr>
        <w:t>zarejestrowanych</w:t>
      </w:r>
      <w:r w:rsidR="003B50ED" w:rsidRPr="00F16251">
        <w:rPr>
          <w:rFonts w:cstheme="minorHAnsi"/>
        </w:rPr>
        <w:t xml:space="preserve"> </w:t>
      </w:r>
      <w:r w:rsidRPr="00F16251">
        <w:rPr>
          <w:rFonts w:cstheme="minorHAnsi"/>
        </w:rPr>
        <w:t>jako</w:t>
      </w:r>
      <w:r w:rsidR="003B50ED" w:rsidRPr="00F16251">
        <w:rPr>
          <w:rFonts w:cstheme="minorHAnsi"/>
        </w:rPr>
        <w:t xml:space="preserve"> </w:t>
      </w:r>
      <w:r w:rsidRPr="00F16251">
        <w:rPr>
          <w:rFonts w:cstheme="minorHAnsi"/>
        </w:rPr>
        <w:t>bezrobotne.</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latach</w:t>
      </w:r>
      <w:r w:rsidR="003B50ED" w:rsidRPr="00F16251">
        <w:rPr>
          <w:rFonts w:cstheme="minorHAnsi"/>
        </w:rPr>
        <w:t xml:space="preserve"> </w:t>
      </w:r>
      <w:r w:rsidRPr="00F16251">
        <w:rPr>
          <w:rFonts w:cstheme="minorHAnsi"/>
        </w:rPr>
        <w:t>2017-</w:t>
      </w:r>
      <w:r w:rsidR="003B50ED" w:rsidRPr="00F16251">
        <w:rPr>
          <w:rFonts w:cstheme="minorHAnsi"/>
        </w:rPr>
        <w:t xml:space="preserve"> </w:t>
      </w:r>
      <w:r w:rsidRPr="00F16251">
        <w:rPr>
          <w:rFonts w:cstheme="minorHAnsi"/>
        </w:rPr>
        <w:t>2021</w:t>
      </w:r>
      <w:r w:rsidR="003B50ED" w:rsidRPr="00F16251">
        <w:rPr>
          <w:rFonts w:cstheme="minorHAnsi"/>
        </w:rPr>
        <w:t xml:space="preserve"> </w:t>
      </w:r>
      <w:r w:rsidRPr="00F16251">
        <w:rPr>
          <w:rFonts w:cstheme="minorHAnsi"/>
        </w:rPr>
        <w:t>średnio</w:t>
      </w:r>
      <w:r w:rsidR="003B50ED" w:rsidRPr="00F16251">
        <w:rPr>
          <w:rFonts w:cstheme="minorHAnsi"/>
        </w:rPr>
        <w:t xml:space="preserve"> </w:t>
      </w:r>
      <w:r w:rsidRPr="00F16251">
        <w:rPr>
          <w:rFonts w:cstheme="minorHAnsi"/>
        </w:rPr>
        <w:t>dla</w:t>
      </w:r>
      <w:r w:rsidR="003B50ED" w:rsidRPr="00F16251">
        <w:rPr>
          <w:rFonts w:cstheme="minorHAnsi"/>
        </w:rPr>
        <w:t xml:space="preserve"> </w:t>
      </w:r>
      <w:r w:rsidRPr="00F16251">
        <w:rPr>
          <w:rFonts w:cstheme="minorHAnsi"/>
        </w:rPr>
        <w:t>gmin</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obszaru</w:t>
      </w:r>
      <w:r w:rsidR="003B50ED" w:rsidRPr="00F16251">
        <w:rPr>
          <w:rFonts w:cstheme="minorHAnsi"/>
        </w:rPr>
        <w:t xml:space="preserve"> </w:t>
      </w:r>
      <w:r w:rsidRPr="00F16251">
        <w:rPr>
          <w:rFonts w:cstheme="minorHAnsi"/>
        </w:rPr>
        <w:t>LGD</w:t>
      </w:r>
      <w:r w:rsidR="003B50ED" w:rsidRPr="00F16251">
        <w:rPr>
          <w:rFonts w:cstheme="minorHAnsi"/>
        </w:rPr>
        <w:t xml:space="preserve"> </w:t>
      </w:r>
      <w:r w:rsidRPr="00F16251">
        <w:rPr>
          <w:rFonts w:cstheme="minorHAnsi"/>
        </w:rPr>
        <w:t>„Solidarni</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Partnerstwie”</w:t>
      </w:r>
      <w:r w:rsidR="003B50ED" w:rsidRPr="00F16251">
        <w:rPr>
          <w:rFonts w:cstheme="minorHAnsi"/>
        </w:rPr>
        <w:t xml:space="preserve"> </w:t>
      </w:r>
      <w:r w:rsidRPr="00F16251">
        <w:rPr>
          <w:rFonts w:cstheme="minorHAnsi"/>
        </w:rPr>
        <w:t>niemalże</w:t>
      </w:r>
      <w:r w:rsidR="003B50ED" w:rsidRPr="00F16251">
        <w:rPr>
          <w:rFonts w:cstheme="minorHAnsi"/>
        </w:rPr>
        <w:t xml:space="preserve"> </w:t>
      </w:r>
      <w:r w:rsidRPr="00F16251">
        <w:rPr>
          <w:rFonts w:cstheme="minorHAnsi"/>
        </w:rPr>
        <w:t>o</w:t>
      </w:r>
      <w:r w:rsidR="003B50ED" w:rsidRPr="00F16251">
        <w:rPr>
          <w:rFonts w:cstheme="minorHAnsi"/>
        </w:rPr>
        <w:t xml:space="preserve"> </w:t>
      </w:r>
      <w:r w:rsidRPr="00F16251">
        <w:rPr>
          <w:rFonts w:cstheme="minorHAnsi"/>
        </w:rPr>
        <w:t>30%.</w:t>
      </w:r>
      <w:r w:rsidR="003B50ED" w:rsidRPr="00F16251">
        <w:rPr>
          <w:rFonts w:cstheme="minorHAnsi"/>
        </w:rPr>
        <w:t xml:space="preserve"> </w:t>
      </w:r>
      <w:r w:rsidRPr="00F16251">
        <w:rPr>
          <w:rFonts w:cstheme="minorHAnsi"/>
        </w:rPr>
        <w:t>Najbardziej</w:t>
      </w:r>
      <w:r w:rsidR="003B50ED" w:rsidRPr="00F16251">
        <w:rPr>
          <w:rFonts w:cstheme="minorHAnsi"/>
        </w:rPr>
        <w:t xml:space="preserve"> </w:t>
      </w:r>
      <w:r w:rsidRPr="00F16251">
        <w:rPr>
          <w:rFonts w:cstheme="minorHAnsi"/>
        </w:rPr>
        <w:t>dynamicznym</w:t>
      </w:r>
      <w:r w:rsidR="003B50ED" w:rsidRPr="00F16251">
        <w:rPr>
          <w:rFonts w:cstheme="minorHAnsi"/>
        </w:rPr>
        <w:t xml:space="preserve"> </w:t>
      </w:r>
      <w:r w:rsidRPr="00F16251">
        <w:rPr>
          <w:rFonts w:cstheme="minorHAnsi"/>
        </w:rPr>
        <w:t>tempem</w:t>
      </w:r>
      <w:r w:rsidR="003B50ED" w:rsidRPr="00F16251">
        <w:rPr>
          <w:rFonts w:cstheme="minorHAnsi"/>
        </w:rPr>
        <w:t xml:space="preserve"> </w:t>
      </w:r>
      <w:r w:rsidRPr="00F16251">
        <w:rPr>
          <w:rFonts w:cstheme="minorHAnsi"/>
        </w:rPr>
        <w:t>spadku</w:t>
      </w:r>
      <w:r w:rsidR="003B50ED" w:rsidRPr="00F16251">
        <w:rPr>
          <w:rFonts w:cstheme="minorHAnsi"/>
        </w:rPr>
        <w:t xml:space="preserve"> </w:t>
      </w:r>
      <w:r w:rsidRPr="00F16251">
        <w:rPr>
          <w:rFonts w:cstheme="minorHAnsi"/>
        </w:rPr>
        <w:t>osób</w:t>
      </w:r>
      <w:r w:rsidR="003B50ED" w:rsidRPr="00F16251">
        <w:rPr>
          <w:rFonts w:cstheme="minorHAnsi"/>
        </w:rPr>
        <w:t xml:space="preserve"> </w:t>
      </w:r>
      <w:r w:rsidRPr="00F16251">
        <w:rPr>
          <w:rFonts w:cstheme="minorHAnsi"/>
        </w:rPr>
        <w:t>bez</w:t>
      </w:r>
      <w:r w:rsidR="003B50ED" w:rsidRPr="00F16251">
        <w:rPr>
          <w:rFonts w:cstheme="minorHAnsi"/>
        </w:rPr>
        <w:t xml:space="preserve"> </w:t>
      </w:r>
      <w:r w:rsidRPr="00F16251">
        <w:rPr>
          <w:rFonts w:cstheme="minorHAnsi"/>
        </w:rPr>
        <w:t>pracy</w:t>
      </w:r>
      <w:r w:rsidR="003B50ED" w:rsidRPr="00F16251">
        <w:rPr>
          <w:rFonts w:cstheme="minorHAnsi"/>
        </w:rPr>
        <w:t xml:space="preserve"> </w:t>
      </w:r>
      <w:r w:rsidRPr="00F16251">
        <w:rPr>
          <w:rFonts w:cstheme="minorHAnsi"/>
        </w:rPr>
        <w:t>charakteryzuje</w:t>
      </w:r>
      <w:r w:rsidR="003B50ED" w:rsidRPr="00F16251">
        <w:rPr>
          <w:rFonts w:cstheme="minorHAnsi"/>
        </w:rPr>
        <w:t xml:space="preserve"> </w:t>
      </w:r>
      <w:r w:rsidRPr="00F16251">
        <w:rPr>
          <w:rFonts w:cstheme="minorHAnsi"/>
        </w:rPr>
        <w:t>się</w:t>
      </w:r>
      <w:r w:rsidR="003B50ED" w:rsidRPr="00F16251">
        <w:rPr>
          <w:rFonts w:cstheme="minorHAnsi"/>
        </w:rPr>
        <w:t xml:space="preserve"> </w:t>
      </w:r>
      <w:r w:rsidRPr="00F16251">
        <w:rPr>
          <w:rFonts w:cstheme="minorHAnsi"/>
        </w:rPr>
        <w:t>gmina</w:t>
      </w:r>
      <w:r w:rsidR="003B50ED" w:rsidRPr="00F16251">
        <w:rPr>
          <w:rFonts w:cstheme="minorHAnsi"/>
        </w:rPr>
        <w:t xml:space="preserve"> </w:t>
      </w:r>
      <w:r w:rsidRPr="00F16251">
        <w:rPr>
          <w:rFonts w:cstheme="minorHAnsi"/>
        </w:rPr>
        <w:t>Tuliszków,</w:t>
      </w:r>
      <w:r w:rsidR="003B50ED" w:rsidRPr="00F16251">
        <w:rPr>
          <w:rFonts w:cstheme="minorHAnsi"/>
        </w:rPr>
        <w:t xml:space="preserve"> </w:t>
      </w:r>
      <w:r w:rsidRPr="00F16251">
        <w:rPr>
          <w:rFonts w:cstheme="minorHAnsi"/>
        </w:rPr>
        <w:t>gdzie</w:t>
      </w:r>
      <w:r w:rsidR="003B50ED" w:rsidRPr="00F16251">
        <w:rPr>
          <w:rFonts w:cstheme="minorHAnsi"/>
        </w:rPr>
        <w:t xml:space="preserve"> </w:t>
      </w:r>
      <w:r w:rsidRPr="00F16251">
        <w:rPr>
          <w:rFonts w:cstheme="minorHAnsi"/>
        </w:rPr>
        <w:t>od</w:t>
      </w:r>
      <w:r w:rsidR="003B50ED" w:rsidRPr="00F16251">
        <w:rPr>
          <w:rFonts w:cstheme="minorHAnsi"/>
        </w:rPr>
        <w:t xml:space="preserve"> </w:t>
      </w:r>
      <w:r w:rsidRPr="00F16251">
        <w:rPr>
          <w:rFonts w:cstheme="minorHAnsi"/>
        </w:rPr>
        <w:t>2017</w:t>
      </w:r>
      <w:r w:rsidR="003B50ED" w:rsidRPr="00F16251">
        <w:rPr>
          <w:rFonts w:cstheme="minorHAnsi"/>
        </w:rPr>
        <w:t xml:space="preserve"> r. </w:t>
      </w:r>
      <w:r w:rsidRPr="00F16251">
        <w:rPr>
          <w:rFonts w:cstheme="minorHAnsi"/>
        </w:rPr>
        <w:t>liczba</w:t>
      </w:r>
      <w:r w:rsidR="003B50ED" w:rsidRPr="00F16251">
        <w:rPr>
          <w:rFonts w:cstheme="minorHAnsi"/>
        </w:rPr>
        <w:t xml:space="preserve"> </w:t>
      </w:r>
      <w:r w:rsidRPr="00F16251">
        <w:rPr>
          <w:rFonts w:cstheme="minorHAnsi"/>
        </w:rPr>
        <w:t>osób</w:t>
      </w:r>
      <w:r w:rsidR="003B50ED" w:rsidRPr="00F16251">
        <w:rPr>
          <w:rFonts w:cstheme="minorHAnsi"/>
        </w:rPr>
        <w:t xml:space="preserve"> </w:t>
      </w:r>
      <w:r w:rsidRPr="00F16251">
        <w:rPr>
          <w:rFonts w:cstheme="minorHAnsi"/>
        </w:rPr>
        <w:t>zarejestrowanych</w:t>
      </w:r>
      <w:r w:rsidR="003B50ED" w:rsidRPr="00F16251">
        <w:rPr>
          <w:rFonts w:cstheme="minorHAnsi"/>
        </w:rPr>
        <w:t xml:space="preserve"> </w:t>
      </w:r>
      <w:r w:rsidRPr="00F16251">
        <w:rPr>
          <w:rFonts w:cstheme="minorHAnsi"/>
        </w:rPr>
        <w:t>jako</w:t>
      </w:r>
      <w:r w:rsidR="003B50ED" w:rsidRPr="00F16251">
        <w:rPr>
          <w:rFonts w:cstheme="minorHAnsi"/>
        </w:rPr>
        <w:t xml:space="preserve"> </w:t>
      </w:r>
      <w:r w:rsidRPr="00F16251">
        <w:rPr>
          <w:rFonts w:cstheme="minorHAnsi"/>
        </w:rPr>
        <w:t>bezrobotne</w:t>
      </w:r>
      <w:r w:rsidR="003B50ED" w:rsidRPr="00F16251">
        <w:rPr>
          <w:rFonts w:cstheme="minorHAnsi"/>
        </w:rPr>
        <w:t xml:space="preserve"> </w:t>
      </w:r>
      <w:r w:rsidRPr="00F16251">
        <w:rPr>
          <w:rFonts w:cstheme="minorHAnsi"/>
        </w:rPr>
        <w:t>spadła</w:t>
      </w:r>
      <w:r w:rsidR="003B50ED" w:rsidRPr="00F16251">
        <w:rPr>
          <w:rFonts w:cstheme="minorHAnsi"/>
        </w:rPr>
        <w:t xml:space="preserve"> </w:t>
      </w:r>
      <w:r w:rsidRPr="00F16251">
        <w:rPr>
          <w:rFonts w:cstheme="minorHAnsi"/>
        </w:rPr>
        <w:t>o</w:t>
      </w:r>
      <w:r w:rsidR="003B50ED" w:rsidRPr="00F16251">
        <w:rPr>
          <w:rFonts w:cstheme="minorHAnsi"/>
        </w:rPr>
        <w:t xml:space="preserve"> </w:t>
      </w:r>
      <w:r w:rsidRPr="00F16251">
        <w:rPr>
          <w:rFonts w:cstheme="minorHAnsi"/>
        </w:rPr>
        <w:t>32,82%</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2021</w:t>
      </w:r>
      <w:r w:rsidR="003B50ED" w:rsidRPr="00F16251">
        <w:rPr>
          <w:rFonts w:cstheme="minorHAnsi"/>
        </w:rPr>
        <w:t xml:space="preserve"> r. </w:t>
      </w:r>
      <w:r w:rsidRPr="00F16251">
        <w:rPr>
          <w:rFonts w:cstheme="minorHAnsi"/>
        </w:rPr>
        <w:t>były</w:t>
      </w:r>
      <w:r w:rsidR="003B50ED" w:rsidRPr="00F16251">
        <w:rPr>
          <w:rFonts w:cstheme="minorHAnsi"/>
        </w:rPr>
        <w:t xml:space="preserve"> </w:t>
      </w:r>
      <w:r w:rsidRPr="00F16251">
        <w:rPr>
          <w:rFonts w:cstheme="minorHAnsi"/>
        </w:rPr>
        <w:t>174</w:t>
      </w:r>
      <w:r w:rsidR="003B50ED" w:rsidRPr="00F16251">
        <w:rPr>
          <w:rFonts w:cstheme="minorHAnsi"/>
        </w:rPr>
        <w:t xml:space="preserve"> </w:t>
      </w:r>
      <w:r w:rsidRPr="00F16251">
        <w:rPr>
          <w:rFonts w:cstheme="minorHAnsi"/>
        </w:rPr>
        <w:t>osoby.</w:t>
      </w:r>
      <w:r w:rsidR="003B50ED" w:rsidRPr="00F16251">
        <w:rPr>
          <w:rFonts w:cstheme="minorHAnsi"/>
        </w:rPr>
        <w:t xml:space="preserve"> </w:t>
      </w:r>
    </w:p>
    <w:p w14:paraId="2E01B4ED" w14:textId="77777777" w:rsidR="00224658" w:rsidRPr="00F16251" w:rsidRDefault="00224658" w:rsidP="00A26C26">
      <w:pPr>
        <w:spacing w:line="276" w:lineRule="auto"/>
        <w:rPr>
          <w:rFonts w:cstheme="minorHAnsi"/>
        </w:rPr>
      </w:pPr>
    </w:p>
    <w:p w14:paraId="1286B92C" w14:textId="4FFF9595" w:rsidR="00224658" w:rsidRPr="00F16251" w:rsidRDefault="00224658" w:rsidP="00A26C26">
      <w:pPr>
        <w:spacing w:line="276" w:lineRule="auto"/>
        <w:jc w:val="both"/>
        <w:rPr>
          <w:rFonts w:cstheme="minorHAnsi"/>
        </w:rPr>
      </w:pPr>
      <w:r w:rsidRPr="00F16251">
        <w:rPr>
          <w:rFonts w:cstheme="minorHAnsi"/>
        </w:rPr>
        <w:t>Tabela</w:t>
      </w:r>
      <w:r w:rsidR="00396A11">
        <w:rPr>
          <w:rFonts w:cstheme="minorHAnsi"/>
        </w:rPr>
        <w:t xml:space="preserve"> nr 1</w:t>
      </w:r>
      <w:r w:rsidR="00203429">
        <w:rPr>
          <w:rFonts w:cstheme="minorHAnsi"/>
        </w:rPr>
        <w:t>2</w:t>
      </w:r>
      <w:r w:rsidR="003B50ED" w:rsidRPr="00F16251">
        <w:rPr>
          <w:rFonts w:cstheme="minorHAnsi"/>
        </w:rPr>
        <w:t xml:space="preserve"> </w:t>
      </w:r>
      <w:r w:rsidRPr="00F16251">
        <w:rPr>
          <w:rFonts w:cstheme="minorHAnsi"/>
        </w:rPr>
        <w:t>Liczba</w:t>
      </w:r>
      <w:r w:rsidR="003B50ED" w:rsidRPr="00F16251">
        <w:rPr>
          <w:rFonts w:cstheme="minorHAnsi"/>
        </w:rPr>
        <w:t xml:space="preserve"> </w:t>
      </w:r>
      <w:r w:rsidRPr="00F16251">
        <w:rPr>
          <w:rFonts w:cstheme="minorHAnsi"/>
        </w:rPr>
        <w:t>bezrobotnych</w:t>
      </w:r>
      <w:r w:rsidR="003B50ED" w:rsidRPr="00F16251">
        <w:rPr>
          <w:rFonts w:cstheme="minorHAnsi"/>
        </w:rPr>
        <w:t xml:space="preserve"> </w:t>
      </w:r>
      <w:r w:rsidRPr="00F16251">
        <w:rPr>
          <w:rFonts w:cstheme="minorHAnsi"/>
        </w:rPr>
        <w:t>ogółem.</w:t>
      </w:r>
    </w:p>
    <w:tbl>
      <w:tblPr>
        <w:tblW w:w="10201" w:type="dxa"/>
        <w:tblLayout w:type="fixed"/>
        <w:tblCellMar>
          <w:left w:w="70" w:type="dxa"/>
          <w:right w:w="70" w:type="dxa"/>
        </w:tblCellMar>
        <w:tblLook w:val="04A0" w:firstRow="1" w:lastRow="0" w:firstColumn="1" w:lastColumn="0" w:noHBand="0" w:noVBand="1"/>
      </w:tblPr>
      <w:tblGrid>
        <w:gridCol w:w="1980"/>
        <w:gridCol w:w="1644"/>
        <w:gridCol w:w="1644"/>
        <w:gridCol w:w="1644"/>
        <w:gridCol w:w="1644"/>
        <w:gridCol w:w="1645"/>
      </w:tblGrid>
      <w:tr w:rsidR="00224658" w:rsidRPr="00F16251" w14:paraId="0EAD1E18" w14:textId="77777777" w:rsidTr="007F1E76">
        <w:trPr>
          <w:trHeight w:val="249"/>
        </w:trPr>
        <w:tc>
          <w:tcPr>
            <w:tcW w:w="198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57A94FD" w14:textId="7B3A4DA7"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Nazwa</w:t>
            </w:r>
            <w:r w:rsidR="003B50ED" w:rsidRPr="00F16251">
              <w:rPr>
                <w:rFonts w:eastAsia="Times New Roman" w:cstheme="minorHAnsi"/>
                <w:color w:val="000000"/>
                <w:kern w:val="0"/>
                <w:lang w:eastAsia="pl-PL"/>
                <w14:ligatures w14:val="none"/>
              </w:rPr>
              <w:t xml:space="preserve"> </w:t>
            </w:r>
            <w:r w:rsidRPr="00F16251">
              <w:rPr>
                <w:rFonts w:eastAsia="Times New Roman" w:cstheme="minorHAnsi"/>
                <w:color w:val="000000"/>
                <w:kern w:val="0"/>
                <w:lang w:eastAsia="pl-PL"/>
                <w14:ligatures w14:val="none"/>
              </w:rPr>
              <w:t>gminy</w:t>
            </w:r>
            <w:r w:rsidR="003B50ED" w:rsidRPr="00F16251">
              <w:rPr>
                <w:rFonts w:eastAsia="Times New Roman" w:cstheme="minorHAnsi"/>
                <w:color w:val="000000"/>
                <w:kern w:val="0"/>
                <w:lang w:eastAsia="pl-PL"/>
                <w14:ligatures w14:val="none"/>
              </w:rPr>
              <w:t xml:space="preserve"> </w:t>
            </w:r>
          </w:p>
        </w:tc>
        <w:tc>
          <w:tcPr>
            <w:tcW w:w="1644" w:type="dxa"/>
            <w:tcBorders>
              <w:top w:val="single" w:sz="4" w:space="0" w:color="auto"/>
              <w:left w:val="nil"/>
              <w:bottom w:val="single" w:sz="4" w:space="0" w:color="auto"/>
              <w:right w:val="single" w:sz="4" w:space="0" w:color="auto"/>
            </w:tcBorders>
            <w:shd w:val="clear" w:color="000000" w:fill="DDEBF7"/>
            <w:noWrap/>
            <w:vAlign w:val="bottom"/>
            <w:hideMark/>
          </w:tcPr>
          <w:p w14:paraId="5AB29D1A"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2017</w:t>
            </w:r>
          </w:p>
        </w:tc>
        <w:tc>
          <w:tcPr>
            <w:tcW w:w="1644" w:type="dxa"/>
            <w:tcBorders>
              <w:top w:val="single" w:sz="4" w:space="0" w:color="auto"/>
              <w:left w:val="nil"/>
              <w:bottom w:val="single" w:sz="4" w:space="0" w:color="auto"/>
              <w:right w:val="single" w:sz="4" w:space="0" w:color="auto"/>
            </w:tcBorders>
            <w:shd w:val="clear" w:color="000000" w:fill="DDEBF7"/>
            <w:noWrap/>
            <w:vAlign w:val="bottom"/>
            <w:hideMark/>
          </w:tcPr>
          <w:p w14:paraId="1141DD91"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2018</w:t>
            </w:r>
          </w:p>
        </w:tc>
        <w:tc>
          <w:tcPr>
            <w:tcW w:w="1644" w:type="dxa"/>
            <w:tcBorders>
              <w:top w:val="single" w:sz="4" w:space="0" w:color="auto"/>
              <w:left w:val="nil"/>
              <w:bottom w:val="single" w:sz="4" w:space="0" w:color="auto"/>
              <w:right w:val="single" w:sz="4" w:space="0" w:color="auto"/>
            </w:tcBorders>
            <w:shd w:val="clear" w:color="000000" w:fill="DDEBF7"/>
            <w:noWrap/>
            <w:vAlign w:val="bottom"/>
            <w:hideMark/>
          </w:tcPr>
          <w:p w14:paraId="26DDC577"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2019</w:t>
            </w:r>
          </w:p>
        </w:tc>
        <w:tc>
          <w:tcPr>
            <w:tcW w:w="1644" w:type="dxa"/>
            <w:tcBorders>
              <w:top w:val="single" w:sz="4" w:space="0" w:color="auto"/>
              <w:left w:val="nil"/>
              <w:bottom w:val="single" w:sz="4" w:space="0" w:color="auto"/>
              <w:right w:val="single" w:sz="4" w:space="0" w:color="auto"/>
            </w:tcBorders>
            <w:shd w:val="clear" w:color="000000" w:fill="DDEBF7"/>
            <w:noWrap/>
            <w:vAlign w:val="bottom"/>
            <w:hideMark/>
          </w:tcPr>
          <w:p w14:paraId="24ED2C24"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2020</w:t>
            </w:r>
          </w:p>
        </w:tc>
        <w:tc>
          <w:tcPr>
            <w:tcW w:w="1645" w:type="dxa"/>
            <w:tcBorders>
              <w:top w:val="single" w:sz="4" w:space="0" w:color="auto"/>
              <w:left w:val="nil"/>
              <w:bottom w:val="single" w:sz="4" w:space="0" w:color="auto"/>
              <w:right w:val="single" w:sz="4" w:space="0" w:color="auto"/>
            </w:tcBorders>
            <w:shd w:val="clear" w:color="000000" w:fill="DDEBF7"/>
            <w:noWrap/>
            <w:vAlign w:val="bottom"/>
            <w:hideMark/>
          </w:tcPr>
          <w:p w14:paraId="39C3269D"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2021</w:t>
            </w:r>
          </w:p>
        </w:tc>
      </w:tr>
      <w:tr w:rsidR="00224658" w:rsidRPr="00F16251" w14:paraId="21E4D702"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2683605" w14:textId="77777777"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Golina</w:t>
            </w:r>
          </w:p>
        </w:tc>
        <w:tc>
          <w:tcPr>
            <w:tcW w:w="1644" w:type="dxa"/>
            <w:tcBorders>
              <w:top w:val="nil"/>
              <w:left w:val="nil"/>
              <w:bottom w:val="single" w:sz="4" w:space="0" w:color="auto"/>
              <w:right w:val="single" w:sz="4" w:space="0" w:color="auto"/>
            </w:tcBorders>
            <w:shd w:val="clear" w:color="auto" w:fill="auto"/>
            <w:noWrap/>
            <w:vAlign w:val="bottom"/>
            <w:hideMark/>
          </w:tcPr>
          <w:p w14:paraId="12ED133E"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504</w:t>
            </w:r>
          </w:p>
        </w:tc>
        <w:tc>
          <w:tcPr>
            <w:tcW w:w="1644" w:type="dxa"/>
            <w:tcBorders>
              <w:top w:val="nil"/>
              <w:left w:val="nil"/>
              <w:bottom w:val="single" w:sz="4" w:space="0" w:color="auto"/>
              <w:right w:val="single" w:sz="4" w:space="0" w:color="auto"/>
            </w:tcBorders>
            <w:shd w:val="clear" w:color="auto" w:fill="auto"/>
            <w:noWrap/>
            <w:vAlign w:val="bottom"/>
            <w:hideMark/>
          </w:tcPr>
          <w:p w14:paraId="2C07F88F"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414</w:t>
            </w:r>
          </w:p>
        </w:tc>
        <w:tc>
          <w:tcPr>
            <w:tcW w:w="1644" w:type="dxa"/>
            <w:tcBorders>
              <w:top w:val="nil"/>
              <w:left w:val="nil"/>
              <w:bottom w:val="single" w:sz="4" w:space="0" w:color="auto"/>
              <w:right w:val="single" w:sz="4" w:space="0" w:color="auto"/>
            </w:tcBorders>
            <w:shd w:val="clear" w:color="auto" w:fill="auto"/>
            <w:noWrap/>
            <w:vAlign w:val="bottom"/>
            <w:hideMark/>
          </w:tcPr>
          <w:p w14:paraId="48D740EB"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413</w:t>
            </w:r>
          </w:p>
        </w:tc>
        <w:tc>
          <w:tcPr>
            <w:tcW w:w="1644" w:type="dxa"/>
            <w:tcBorders>
              <w:top w:val="nil"/>
              <w:left w:val="nil"/>
              <w:bottom w:val="single" w:sz="4" w:space="0" w:color="auto"/>
              <w:right w:val="single" w:sz="4" w:space="0" w:color="auto"/>
            </w:tcBorders>
            <w:shd w:val="clear" w:color="auto" w:fill="auto"/>
            <w:noWrap/>
            <w:vAlign w:val="bottom"/>
            <w:hideMark/>
          </w:tcPr>
          <w:p w14:paraId="04E24F57"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479</w:t>
            </w:r>
          </w:p>
        </w:tc>
        <w:tc>
          <w:tcPr>
            <w:tcW w:w="1645" w:type="dxa"/>
            <w:tcBorders>
              <w:top w:val="nil"/>
              <w:left w:val="nil"/>
              <w:bottom w:val="single" w:sz="4" w:space="0" w:color="auto"/>
              <w:right w:val="single" w:sz="4" w:space="0" w:color="auto"/>
            </w:tcBorders>
            <w:shd w:val="clear" w:color="auto" w:fill="auto"/>
            <w:noWrap/>
            <w:vAlign w:val="bottom"/>
            <w:hideMark/>
          </w:tcPr>
          <w:p w14:paraId="790A7985"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400</w:t>
            </w:r>
          </w:p>
        </w:tc>
      </w:tr>
      <w:tr w:rsidR="00224658" w:rsidRPr="00F16251" w14:paraId="5C331428"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3192C95" w14:textId="77777777"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Grodziec</w:t>
            </w:r>
          </w:p>
        </w:tc>
        <w:tc>
          <w:tcPr>
            <w:tcW w:w="1644" w:type="dxa"/>
            <w:tcBorders>
              <w:top w:val="nil"/>
              <w:left w:val="nil"/>
              <w:bottom w:val="single" w:sz="4" w:space="0" w:color="auto"/>
              <w:right w:val="single" w:sz="4" w:space="0" w:color="auto"/>
            </w:tcBorders>
            <w:shd w:val="clear" w:color="auto" w:fill="auto"/>
            <w:noWrap/>
            <w:vAlign w:val="bottom"/>
            <w:hideMark/>
          </w:tcPr>
          <w:p w14:paraId="57D04D8F"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135</w:t>
            </w:r>
          </w:p>
        </w:tc>
        <w:tc>
          <w:tcPr>
            <w:tcW w:w="1644" w:type="dxa"/>
            <w:tcBorders>
              <w:top w:val="nil"/>
              <w:left w:val="nil"/>
              <w:bottom w:val="single" w:sz="4" w:space="0" w:color="auto"/>
              <w:right w:val="single" w:sz="4" w:space="0" w:color="auto"/>
            </w:tcBorders>
            <w:shd w:val="clear" w:color="auto" w:fill="auto"/>
            <w:noWrap/>
            <w:vAlign w:val="bottom"/>
            <w:hideMark/>
          </w:tcPr>
          <w:p w14:paraId="6D3C4355"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103</w:t>
            </w:r>
          </w:p>
        </w:tc>
        <w:tc>
          <w:tcPr>
            <w:tcW w:w="1644" w:type="dxa"/>
            <w:tcBorders>
              <w:top w:val="nil"/>
              <w:left w:val="nil"/>
              <w:bottom w:val="single" w:sz="4" w:space="0" w:color="auto"/>
              <w:right w:val="single" w:sz="4" w:space="0" w:color="auto"/>
            </w:tcBorders>
            <w:shd w:val="clear" w:color="auto" w:fill="auto"/>
            <w:noWrap/>
            <w:vAlign w:val="bottom"/>
            <w:hideMark/>
          </w:tcPr>
          <w:p w14:paraId="3BF012A8"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106</w:t>
            </w:r>
          </w:p>
        </w:tc>
        <w:tc>
          <w:tcPr>
            <w:tcW w:w="1644" w:type="dxa"/>
            <w:tcBorders>
              <w:top w:val="nil"/>
              <w:left w:val="nil"/>
              <w:bottom w:val="single" w:sz="4" w:space="0" w:color="auto"/>
              <w:right w:val="single" w:sz="4" w:space="0" w:color="auto"/>
            </w:tcBorders>
            <w:shd w:val="clear" w:color="auto" w:fill="auto"/>
            <w:noWrap/>
            <w:vAlign w:val="bottom"/>
            <w:hideMark/>
          </w:tcPr>
          <w:p w14:paraId="04089DC3"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120</w:t>
            </w:r>
          </w:p>
        </w:tc>
        <w:tc>
          <w:tcPr>
            <w:tcW w:w="1645" w:type="dxa"/>
            <w:tcBorders>
              <w:top w:val="nil"/>
              <w:left w:val="nil"/>
              <w:bottom w:val="single" w:sz="4" w:space="0" w:color="auto"/>
              <w:right w:val="single" w:sz="4" w:space="0" w:color="auto"/>
            </w:tcBorders>
            <w:shd w:val="clear" w:color="auto" w:fill="auto"/>
            <w:noWrap/>
            <w:vAlign w:val="bottom"/>
            <w:hideMark/>
          </w:tcPr>
          <w:p w14:paraId="5998F670"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114</w:t>
            </w:r>
          </w:p>
        </w:tc>
      </w:tr>
      <w:tr w:rsidR="00224658" w:rsidRPr="00F16251" w14:paraId="5BD3DB55"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E992AD5" w14:textId="77777777"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Rychwał</w:t>
            </w:r>
          </w:p>
        </w:tc>
        <w:tc>
          <w:tcPr>
            <w:tcW w:w="1644" w:type="dxa"/>
            <w:tcBorders>
              <w:top w:val="nil"/>
              <w:left w:val="nil"/>
              <w:bottom w:val="single" w:sz="4" w:space="0" w:color="auto"/>
              <w:right w:val="single" w:sz="4" w:space="0" w:color="auto"/>
            </w:tcBorders>
            <w:shd w:val="clear" w:color="auto" w:fill="auto"/>
            <w:noWrap/>
            <w:vAlign w:val="bottom"/>
            <w:hideMark/>
          </w:tcPr>
          <w:p w14:paraId="450D0139"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212</w:t>
            </w:r>
          </w:p>
        </w:tc>
        <w:tc>
          <w:tcPr>
            <w:tcW w:w="1644" w:type="dxa"/>
            <w:tcBorders>
              <w:top w:val="nil"/>
              <w:left w:val="nil"/>
              <w:bottom w:val="single" w:sz="4" w:space="0" w:color="auto"/>
              <w:right w:val="single" w:sz="4" w:space="0" w:color="auto"/>
            </w:tcBorders>
            <w:shd w:val="clear" w:color="auto" w:fill="auto"/>
            <w:noWrap/>
            <w:vAlign w:val="bottom"/>
            <w:hideMark/>
          </w:tcPr>
          <w:p w14:paraId="1EF4CB5D"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213</w:t>
            </w:r>
          </w:p>
        </w:tc>
        <w:tc>
          <w:tcPr>
            <w:tcW w:w="1644" w:type="dxa"/>
            <w:tcBorders>
              <w:top w:val="nil"/>
              <w:left w:val="nil"/>
              <w:bottom w:val="single" w:sz="4" w:space="0" w:color="auto"/>
              <w:right w:val="single" w:sz="4" w:space="0" w:color="auto"/>
            </w:tcBorders>
            <w:shd w:val="clear" w:color="auto" w:fill="auto"/>
            <w:noWrap/>
            <w:vAlign w:val="bottom"/>
            <w:hideMark/>
          </w:tcPr>
          <w:p w14:paraId="302A7897"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171</w:t>
            </w:r>
          </w:p>
        </w:tc>
        <w:tc>
          <w:tcPr>
            <w:tcW w:w="1644" w:type="dxa"/>
            <w:tcBorders>
              <w:top w:val="nil"/>
              <w:left w:val="nil"/>
              <w:bottom w:val="single" w:sz="4" w:space="0" w:color="auto"/>
              <w:right w:val="single" w:sz="4" w:space="0" w:color="auto"/>
            </w:tcBorders>
            <w:shd w:val="clear" w:color="auto" w:fill="auto"/>
            <w:noWrap/>
            <w:vAlign w:val="bottom"/>
            <w:hideMark/>
          </w:tcPr>
          <w:p w14:paraId="68610F78"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199</w:t>
            </w:r>
          </w:p>
        </w:tc>
        <w:tc>
          <w:tcPr>
            <w:tcW w:w="1645" w:type="dxa"/>
            <w:tcBorders>
              <w:top w:val="nil"/>
              <w:left w:val="nil"/>
              <w:bottom w:val="single" w:sz="4" w:space="0" w:color="auto"/>
              <w:right w:val="single" w:sz="4" w:space="0" w:color="auto"/>
            </w:tcBorders>
            <w:shd w:val="clear" w:color="auto" w:fill="auto"/>
            <w:noWrap/>
            <w:vAlign w:val="bottom"/>
            <w:hideMark/>
          </w:tcPr>
          <w:p w14:paraId="6E9B6DE5"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168</w:t>
            </w:r>
          </w:p>
        </w:tc>
      </w:tr>
      <w:tr w:rsidR="00224658" w:rsidRPr="00F16251" w14:paraId="2E024D75"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9923081" w14:textId="77777777"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Rzgów</w:t>
            </w:r>
          </w:p>
        </w:tc>
        <w:tc>
          <w:tcPr>
            <w:tcW w:w="1644" w:type="dxa"/>
            <w:tcBorders>
              <w:top w:val="nil"/>
              <w:left w:val="nil"/>
              <w:bottom w:val="single" w:sz="4" w:space="0" w:color="auto"/>
              <w:right w:val="single" w:sz="4" w:space="0" w:color="auto"/>
            </w:tcBorders>
            <w:shd w:val="clear" w:color="auto" w:fill="auto"/>
            <w:noWrap/>
            <w:vAlign w:val="bottom"/>
            <w:hideMark/>
          </w:tcPr>
          <w:p w14:paraId="285BC2E5"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234</w:t>
            </w:r>
          </w:p>
        </w:tc>
        <w:tc>
          <w:tcPr>
            <w:tcW w:w="1644" w:type="dxa"/>
            <w:tcBorders>
              <w:top w:val="nil"/>
              <w:left w:val="nil"/>
              <w:bottom w:val="single" w:sz="4" w:space="0" w:color="auto"/>
              <w:right w:val="single" w:sz="4" w:space="0" w:color="auto"/>
            </w:tcBorders>
            <w:shd w:val="clear" w:color="auto" w:fill="auto"/>
            <w:noWrap/>
            <w:vAlign w:val="bottom"/>
            <w:hideMark/>
          </w:tcPr>
          <w:p w14:paraId="63509299"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186</w:t>
            </w:r>
          </w:p>
        </w:tc>
        <w:tc>
          <w:tcPr>
            <w:tcW w:w="1644" w:type="dxa"/>
            <w:tcBorders>
              <w:top w:val="nil"/>
              <w:left w:val="nil"/>
              <w:bottom w:val="single" w:sz="4" w:space="0" w:color="auto"/>
              <w:right w:val="single" w:sz="4" w:space="0" w:color="auto"/>
            </w:tcBorders>
            <w:shd w:val="clear" w:color="auto" w:fill="auto"/>
            <w:noWrap/>
            <w:vAlign w:val="bottom"/>
            <w:hideMark/>
          </w:tcPr>
          <w:p w14:paraId="2514D565"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165</w:t>
            </w:r>
          </w:p>
        </w:tc>
        <w:tc>
          <w:tcPr>
            <w:tcW w:w="1644" w:type="dxa"/>
            <w:tcBorders>
              <w:top w:val="nil"/>
              <w:left w:val="nil"/>
              <w:bottom w:val="single" w:sz="4" w:space="0" w:color="auto"/>
              <w:right w:val="single" w:sz="4" w:space="0" w:color="auto"/>
            </w:tcBorders>
            <w:shd w:val="clear" w:color="auto" w:fill="auto"/>
            <w:noWrap/>
            <w:vAlign w:val="bottom"/>
            <w:hideMark/>
          </w:tcPr>
          <w:p w14:paraId="2B4B470E"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180</w:t>
            </w:r>
          </w:p>
        </w:tc>
        <w:tc>
          <w:tcPr>
            <w:tcW w:w="1645" w:type="dxa"/>
            <w:tcBorders>
              <w:top w:val="nil"/>
              <w:left w:val="nil"/>
              <w:bottom w:val="single" w:sz="4" w:space="0" w:color="auto"/>
              <w:right w:val="single" w:sz="4" w:space="0" w:color="auto"/>
            </w:tcBorders>
            <w:shd w:val="clear" w:color="auto" w:fill="auto"/>
            <w:noWrap/>
            <w:vAlign w:val="bottom"/>
            <w:hideMark/>
          </w:tcPr>
          <w:p w14:paraId="01F1A2E1"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186</w:t>
            </w:r>
          </w:p>
        </w:tc>
      </w:tr>
      <w:tr w:rsidR="00224658" w:rsidRPr="00F16251" w14:paraId="515A5DBC"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962526E" w14:textId="5C22E6E7"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Stare</w:t>
            </w:r>
            <w:r w:rsidR="003B50ED" w:rsidRPr="00F16251">
              <w:rPr>
                <w:rFonts w:eastAsia="Times New Roman" w:cstheme="minorHAnsi"/>
                <w:color w:val="000000"/>
                <w:kern w:val="0"/>
                <w:lang w:eastAsia="pl-PL"/>
                <w14:ligatures w14:val="none"/>
              </w:rPr>
              <w:t xml:space="preserve"> </w:t>
            </w:r>
            <w:r w:rsidRPr="00F16251">
              <w:rPr>
                <w:rFonts w:eastAsia="Times New Roman" w:cstheme="minorHAnsi"/>
                <w:color w:val="000000"/>
                <w:kern w:val="0"/>
                <w:lang w:eastAsia="pl-PL"/>
                <w14:ligatures w14:val="none"/>
              </w:rPr>
              <w:t>Miasto</w:t>
            </w:r>
          </w:p>
        </w:tc>
        <w:tc>
          <w:tcPr>
            <w:tcW w:w="1644" w:type="dxa"/>
            <w:tcBorders>
              <w:top w:val="nil"/>
              <w:left w:val="nil"/>
              <w:bottom w:val="single" w:sz="4" w:space="0" w:color="auto"/>
              <w:right w:val="single" w:sz="4" w:space="0" w:color="auto"/>
            </w:tcBorders>
            <w:shd w:val="clear" w:color="auto" w:fill="auto"/>
            <w:noWrap/>
            <w:vAlign w:val="bottom"/>
            <w:hideMark/>
          </w:tcPr>
          <w:p w14:paraId="3C011709"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387</w:t>
            </w:r>
          </w:p>
        </w:tc>
        <w:tc>
          <w:tcPr>
            <w:tcW w:w="1644" w:type="dxa"/>
            <w:tcBorders>
              <w:top w:val="nil"/>
              <w:left w:val="nil"/>
              <w:bottom w:val="single" w:sz="4" w:space="0" w:color="auto"/>
              <w:right w:val="single" w:sz="4" w:space="0" w:color="auto"/>
            </w:tcBorders>
            <w:shd w:val="clear" w:color="auto" w:fill="auto"/>
            <w:noWrap/>
            <w:vAlign w:val="bottom"/>
            <w:hideMark/>
          </w:tcPr>
          <w:p w14:paraId="10DD7C47"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256</w:t>
            </w:r>
          </w:p>
        </w:tc>
        <w:tc>
          <w:tcPr>
            <w:tcW w:w="1644" w:type="dxa"/>
            <w:tcBorders>
              <w:top w:val="nil"/>
              <w:left w:val="nil"/>
              <w:bottom w:val="single" w:sz="4" w:space="0" w:color="auto"/>
              <w:right w:val="single" w:sz="4" w:space="0" w:color="auto"/>
            </w:tcBorders>
            <w:shd w:val="clear" w:color="auto" w:fill="auto"/>
            <w:noWrap/>
            <w:vAlign w:val="bottom"/>
            <w:hideMark/>
          </w:tcPr>
          <w:p w14:paraId="1BF578A0"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241</w:t>
            </w:r>
          </w:p>
        </w:tc>
        <w:tc>
          <w:tcPr>
            <w:tcW w:w="1644" w:type="dxa"/>
            <w:tcBorders>
              <w:top w:val="nil"/>
              <w:left w:val="nil"/>
              <w:bottom w:val="single" w:sz="4" w:space="0" w:color="auto"/>
              <w:right w:val="single" w:sz="4" w:space="0" w:color="auto"/>
            </w:tcBorders>
            <w:shd w:val="clear" w:color="auto" w:fill="auto"/>
            <w:noWrap/>
            <w:vAlign w:val="bottom"/>
            <w:hideMark/>
          </w:tcPr>
          <w:p w14:paraId="33215AE2"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295</w:t>
            </w:r>
          </w:p>
        </w:tc>
        <w:tc>
          <w:tcPr>
            <w:tcW w:w="1645" w:type="dxa"/>
            <w:tcBorders>
              <w:top w:val="nil"/>
              <w:left w:val="nil"/>
              <w:bottom w:val="single" w:sz="4" w:space="0" w:color="auto"/>
              <w:right w:val="single" w:sz="4" w:space="0" w:color="auto"/>
            </w:tcBorders>
            <w:shd w:val="clear" w:color="auto" w:fill="auto"/>
            <w:noWrap/>
            <w:vAlign w:val="bottom"/>
            <w:hideMark/>
          </w:tcPr>
          <w:p w14:paraId="21A851E4"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263</w:t>
            </w:r>
          </w:p>
        </w:tc>
      </w:tr>
      <w:tr w:rsidR="00224658" w:rsidRPr="00F16251" w14:paraId="29A597E4"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2CAE132" w14:textId="77777777"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Tuliszków</w:t>
            </w:r>
          </w:p>
        </w:tc>
        <w:tc>
          <w:tcPr>
            <w:tcW w:w="1644" w:type="dxa"/>
            <w:tcBorders>
              <w:top w:val="nil"/>
              <w:left w:val="nil"/>
              <w:bottom w:val="single" w:sz="4" w:space="0" w:color="auto"/>
              <w:right w:val="single" w:sz="4" w:space="0" w:color="auto"/>
            </w:tcBorders>
            <w:shd w:val="clear" w:color="auto" w:fill="auto"/>
            <w:noWrap/>
            <w:vAlign w:val="bottom"/>
            <w:hideMark/>
          </w:tcPr>
          <w:p w14:paraId="0C2E0439"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259</w:t>
            </w:r>
          </w:p>
        </w:tc>
        <w:tc>
          <w:tcPr>
            <w:tcW w:w="1644" w:type="dxa"/>
            <w:tcBorders>
              <w:top w:val="nil"/>
              <w:left w:val="nil"/>
              <w:bottom w:val="single" w:sz="4" w:space="0" w:color="auto"/>
              <w:right w:val="single" w:sz="4" w:space="0" w:color="auto"/>
            </w:tcBorders>
            <w:shd w:val="clear" w:color="auto" w:fill="auto"/>
            <w:noWrap/>
            <w:vAlign w:val="bottom"/>
            <w:hideMark/>
          </w:tcPr>
          <w:p w14:paraId="5C64B601"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221</w:t>
            </w:r>
          </w:p>
        </w:tc>
        <w:tc>
          <w:tcPr>
            <w:tcW w:w="1644" w:type="dxa"/>
            <w:tcBorders>
              <w:top w:val="nil"/>
              <w:left w:val="nil"/>
              <w:bottom w:val="single" w:sz="4" w:space="0" w:color="auto"/>
              <w:right w:val="single" w:sz="4" w:space="0" w:color="auto"/>
            </w:tcBorders>
            <w:shd w:val="clear" w:color="auto" w:fill="auto"/>
            <w:noWrap/>
            <w:vAlign w:val="bottom"/>
            <w:hideMark/>
          </w:tcPr>
          <w:p w14:paraId="1EA72027"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184</w:t>
            </w:r>
          </w:p>
        </w:tc>
        <w:tc>
          <w:tcPr>
            <w:tcW w:w="1644" w:type="dxa"/>
            <w:tcBorders>
              <w:top w:val="nil"/>
              <w:left w:val="nil"/>
              <w:bottom w:val="single" w:sz="4" w:space="0" w:color="auto"/>
              <w:right w:val="single" w:sz="4" w:space="0" w:color="auto"/>
            </w:tcBorders>
            <w:shd w:val="clear" w:color="auto" w:fill="auto"/>
            <w:noWrap/>
            <w:vAlign w:val="bottom"/>
            <w:hideMark/>
          </w:tcPr>
          <w:p w14:paraId="0C893F34"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214</w:t>
            </w:r>
          </w:p>
        </w:tc>
        <w:tc>
          <w:tcPr>
            <w:tcW w:w="1645" w:type="dxa"/>
            <w:tcBorders>
              <w:top w:val="nil"/>
              <w:left w:val="nil"/>
              <w:bottom w:val="single" w:sz="4" w:space="0" w:color="auto"/>
              <w:right w:val="single" w:sz="4" w:space="0" w:color="auto"/>
            </w:tcBorders>
            <w:shd w:val="clear" w:color="auto" w:fill="auto"/>
            <w:noWrap/>
            <w:vAlign w:val="bottom"/>
            <w:hideMark/>
          </w:tcPr>
          <w:p w14:paraId="084A68DD"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174</w:t>
            </w:r>
          </w:p>
        </w:tc>
      </w:tr>
      <w:tr w:rsidR="00224658" w:rsidRPr="00F16251" w14:paraId="26F3F446" w14:textId="77777777" w:rsidTr="007F1E76">
        <w:trPr>
          <w:trHeight w:val="249"/>
        </w:trPr>
        <w:tc>
          <w:tcPr>
            <w:tcW w:w="1980" w:type="dxa"/>
            <w:tcBorders>
              <w:top w:val="nil"/>
              <w:left w:val="single" w:sz="4" w:space="0" w:color="auto"/>
              <w:bottom w:val="single" w:sz="4" w:space="0" w:color="auto"/>
              <w:right w:val="single" w:sz="4" w:space="0" w:color="auto"/>
            </w:tcBorders>
            <w:shd w:val="clear" w:color="000000" w:fill="DDEBF7"/>
            <w:vAlign w:val="bottom"/>
            <w:hideMark/>
          </w:tcPr>
          <w:p w14:paraId="50C0C2BE" w14:textId="3C71D336"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Razem</w:t>
            </w:r>
            <w:r w:rsidR="003B50ED" w:rsidRPr="00F16251">
              <w:rPr>
                <w:rFonts w:eastAsia="Times New Roman" w:cstheme="minorHAnsi"/>
                <w:color w:val="000000"/>
                <w:kern w:val="0"/>
                <w:lang w:eastAsia="pl-PL"/>
                <w14:ligatures w14:val="none"/>
              </w:rPr>
              <w:t xml:space="preserve"> </w:t>
            </w:r>
            <w:r w:rsidRPr="00F16251">
              <w:rPr>
                <w:rFonts w:eastAsia="Times New Roman" w:cstheme="minorHAnsi"/>
                <w:color w:val="000000"/>
                <w:kern w:val="0"/>
                <w:lang w:eastAsia="pl-PL"/>
                <w14:ligatures w14:val="none"/>
              </w:rPr>
              <w:t>LGD</w:t>
            </w:r>
          </w:p>
        </w:tc>
        <w:tc>
          <w:tcPr>
            <w:tcW w:w="1644" w:type="dxa"/>
            <w:tcBorders>
              <w:top w:val="nil"/>
              <w:left w:val="nil"/>
              <w:bottom w:val="single" w:sz="4" w:space="0" w:color="auto"/>
              <w:right w:val="single" w:sz="4" w:space="0" w:color="auto"/>
            </w:tcBorders>
            <w:shd w:val="clear" w:color="000000" w:fill="DDEBF7"/>
            <w:noWrap/>
            <w:vAlign w:val="bottom"/>
            <w:hideMark/>
          </w:tcPr>
          <w:p w14:paraId="0DFBE6B7"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1731</w:t>
            </w:r>
          </w:p>
        </w:tc>
        <w:tc>
          <w:tcPr>
            <w:tcW w:w="1644" w:type="dxa"/>
            <w:tcBorders>
              <w:top w:val="nil"/>
              <w:left w:val="nil"/>
              <w:bottom w:val="single" w:sz="4" w:space="0" w:color="auto"/>
              <w:right w:val="single" w:sz="4" w:space="0" w:color="auto"/>
            </w:tcBorders>
            <w:shd w:val="clear" w:color="000000" w:fill="DDEBF7"/>
            <w:noWrap/>
            <w:vAlign w:val="bottom"/>
            <w:hideMark/>
          </w:tcPr>
          <w:p w14:paraId="13CEBF58"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1393</w:t>
            </w:r>
          </w:p>
        </w:tc>
        <w:tc>
          <w:tcPr>
            <w:tcW w:w="1644" w:type="dxa"/>
            <w:tcBorders>
              <w:top w:val="nil"/>
              <w:left w:val="nil"/>
              <w:bottom w:val="single" w:sz="4" w:space="0" w:color="auto"/>
              <w:right w:val="single" w:sz="4" w:space="0" w:color="auto"/>
            </w:tcBorders>
            <w:shd w:val="clear" w:color="000000" w:fill="DDEBF7"/>
            <w:noWrap/>
            <w:vAlign w:val="bottom"/>
            <w:hideMark/>
          </w:tcPr>
          <w:p w14:paraId="7D8F43AB"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1280</w:t>
            </w:r>
          </w:p>
        </w:tc>
        <w:tc>
          <w:tcPr>
            <w:tcW w:w="1644" w:type="dxa"/>
            <w:tcBorders>
              <w:top w:val="nil"/>
              <w:left w:val="nil"/>
              <w:bottom w:val="single" w:sz="4" w:space="0" w:color="auto"/>
              <w:right w:val="single" w:sz="4" w:space="0" w:color="auto"/>
            </w:tcBorders>
            <w:shd w:val="clear" w:color="000000" w:fill="DDEBF7"/>
            <w:noWrap/>
            <w:vAlign w:val="bottom"/>
            <w:hideMark/>
          </w:tcPr>
          <w:p w14:paraId="7C23F9DE"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1487</w:t>
            </w:r>
          </w:p>
        </w:tc>
        <w:tc>
          <w:tcPr>
            <w:tcW w:w="1645" w:type="dxa"/>
            <w:tcBorders>
              <w:top w:val="nil"/>
              <w:left w:val="nil"/>
              <w:bottom w:val="single" w:sz="4" w:space="0" w:color="auto"/>
              <w:right w:val="single" w:sz="4" w:space="0" w:color="auto"/>
            </w:tcBorders>
            <w:shd w:val="clear" w:color="000000" w:fill="DDEBF7"/>
            <w:noWrap/>
            <w:vAlign w:val="bottom"/>
            <w:hideMark/>
          </w:tcPr>
          <w:p w14:paraId="0B35B881"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1305</w:t>
            </w:r>
          </w:p>
        </w:tc>
      </w:tr>
    </w:tbl>
    <w:p w14:paraId="77EED8E0" w14:textId="2FC769CF" w:rsidR="00224658" w:rsidRPr="00F16251" w:rsidRDefault="00224658" w:rsidP="00A26C26">
      <w:pPr>
        <w:spacing w:line="276" w:lineRule="auto"/>
        <w:rPr>
          <w:rFonts w:cstheme="minorHAnsi"/>
        </w:rPr>
      </w:pPr>
      <w:r w:rsidRPr="00F16251">
        <w:rPr>
          <w:rFonts w:cstheme="minorHAnsi"/>
        </w:rPr>
        <w:t>Źródło:</w:t>
      </w:r>
      <w:r w:rsidR="003B50ED" w:rsidRPr="00F16251">
        <w:rPr>
          <w:rFonts w:cstheme="minorHAnsi"/>
        </w:rPr>
        <w:t xml:space="preserve"> </w:t>
      </w:r>
      <w:r w:rsidRPr="00F16251">
        <w:rPr>
          <w:rFonts w:cstheme="minorHAnsi"/>
        </w:rPr>
        <w:t>GUS,</w:t>
      </w:r>
      <w:r w:rsidR="003B50ED" w:rsidRPr="00F16251">
        <w:rPr>
          <w:rFonts w:cstheme="minorHAnsi"/>
        </w:rPr>
        <w:t xml:space="preserve"> </w:t>
      </w:r>
      <w:r w:rsidRPr="00F16251">
        <w:rPr>
          <w:rFonts w:cstheme="minorHAnsi"/>
        </w:rPr>
        <w:t>Bank</w:t>
      </w:r>
      <w:r w:rsidR="003B50ED" w:rsidRPr="00F16251">
        <w:rPr>
          <w:rFonts w:cstheme="minorHAnsi"/>
        </w:rPr>
        <w:t xml:space="preserve"> </w:t>
      </w:r>
      <w:r w:rsidRPr="00F16251">
        <w:rPr>
          <w:rFonts w:cstheme="minorHAnsi"/>
        </w:rPr>
        <w:t>Danych</w:t>
      </w:r>
      <w:r w:rsidR="003B50ED" w:rsidRPr="00F16251">
        <w:rPr>
          <w:rFonts w:cstheme="minorHAnsi"/>
        </w:rPr>
        <w:t xml:space="preserve"> </w:t>
      </w:r>
      <w:r w:rsidRPr="00F16251">
        <w:rPr>
          <w:rFonts w:cstheme="minorHAnsi"/>
        </w:rPr>
        <w:t>Lokalnych</w:t>
      </w:r>
    </w:p>
    <w:p w14:paraId="2102F31A" w14:textId="77777777" w:rsidR="00224658" w:rsidRPr="00F16251" w:rsidRDefault="00224658" w:rsidP="00A26C26">
      <w:pPr>
        <w:spacing w:line="276" w:lineRule="auto"/>
        <w:rPr>
          <w:rFonts w:cstheme="minorHAnsi"/>
        </w:rPr>
      </w:pPr>
    </w:p>
    <w:p w14:paraId="408C788D" w14:textId="3B389C2A" w:rsidR="00224658" w:rsidRPr="00F16251" w:rsidRDefault="00224658" w:rsidP="00E07BED">
      <w:pPr>
        <w:spacing w:line="276" w:lineRule="auto"/>
        <w:ind w:firstLine="284"/>
        <w:jc w:val="both"/>
        <w:rPr>
          <w:rFonts w:cstheme="minorHAnsi"/>
        </w:rPr>
      </w:pPr>
      <w:r w:rsidRPr="00F16251">
        <w:rPr>
          <w:rFonts w:cstheme="minorHAnsi"/>
        </w:rPr>
        <w:t>Z</w:t>
      </w:r>
      <w:r w:rsidR="003B50ED" w:rsidRPr="00F16251">
        <w:rPr>
          <w:rFonts w:cstheme="minorHAnsi"/>
        </w:rPr>
        <w:t xml:space="preserve"> </w:t>
      </w:r>
      <w:r w:rsidRPr="00F16251">
        <w:rPr>
          <w:rFonts w:cstheme="minorHAnsi"/>
        </w:rPr>
        <w:t>kolei</w:t>
      </w:r>
      <w:r w:rsidR="003B50ED" w:rsidRPr="00F16251">
        <w:rPr>
          <w:rFonts w:cstheme="minorHAnsi"/>
        </w:rPr>
        <w:t xml:space="preserve"> </w:t>
      </w:r>
      <w:r w:rsidRPr="00F16251">
        <w:rPr>
          <w:rFonts w:cstheme="minorHAnsi"/>
        </w:rPr>
        <w:t>analizując</w:t>
      </w:r>
      <w:r w:rsidR="003B50ED" w:rsidRPr="00F16251">
        <w:rPr>
          <w:rFonts w:cstheme="minorHAnsi"/>
        </w:rPr>
        <w:t xml:space="preserve"> </w:t>
      </w:r>
      <w:r w:rsidRPr="00F16251">
        <w:rPr>
          <w:rFonts w:cstheme="minorHAnsi"/>
        </w:rPr>
        <w:t>problem</w:t>
      </w:r>
      <w:r w:rsidR="003B50ED" w:rsidRPr="00F16251">
        <w:rPr>
          <w:rFonts w:cstheme="minorHAnsi"/>
        </w:rPr>
        <w:t xml:space="preserve"> </w:t>
      </w:r>
      <w:r w:rsidRPr="00F16251">
        <w:rPr>
          <w:rFonts w:cstheme="minorHAnsi"/>
        </w:rPr>
        <w:t>bezrobocia</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podziale</w:t>
      </w:r>
      <w:r w:rsidR="003B50ED" w:rsidRPr="00F16251">
        <w:rPr>
          <w:rFonts w:cstheme="minorHAnsi"/>
        </w:rPr>
        <w:t xml:space="preserve"> </w:t>
      </w:r>
      <w:r w:rsidRPr="00F16251">
        <w:rPr>
          <w:rFonts w:cstheme="minorHAnsi"/>
        </w:rPr>
        <w:t>według</w:t>
      </w:r>
      <w:r w:rsidR="003B50ED" w:rsidRPr="00F16251">
        <w:rPr>
          <w:rFonts w:cstheme="minorHAnsi"/>
        </w:rPr>
        <w:t xml:space="preserve"> </w:t>
      </w:r>
      <w:r w:rsidRPr="00F16251">
        <w:rPr>
          <w:rFonts w:cstheme="minorHAnsi"/>
        </w:rPr>
        <w:t>płci,</w:t>
      </w:r>
      <w:r w:rsidR="003B50ED" w:rsidRPr="00F16251">
        <w:rPr>
          <w:rFonts w:cstheme="minorHAnsi"/>
        </w:rPr>
        <w:t xml:space="preserve"> </w:t>
      </w:r>
      <w:r w:rsidRPr="00F16251">
        <w:rPr>
          <w:rFonts w:cstheme="minorHAnsi"/>
        </w:rPr>
        <w:t>największy</w:t>
      </w:r>
      <w:r w:rsidR="003B50ED" w:rsidRPr="00F16251">
        <w:rPr>
          <w:rFonts w:cstheme="minorHAnsi"/>
        </w:rPr>
        <w:t xml:space="preserve"> </w:t>
      </w:r>
      <w:r w:rsidRPr="00F16251">
        <w:rPr>
          <w:rFonts w:cstheme="minorHAnsi"/>
        </w:rPr>
        <w:t>procentowy</w:t>
      </w:r>
      <w:r w:rsidR="003B50ED" w:rsidRPr="00F16251">
        <w:rPr>
          <w:rFonts w:cstheme="minorHAnsi"/>
        </w:rPr>
        <w:t xml:space="preserve"> </w:t>
      </w:r>
      <w:r w:rsidRPr="00F16251">
        <w:rPr>
          <w:rFonts w:cstheme="minorHAnsi"/>
        </w:rPr>
        <w:t>spadek</w:t>
      </w:r>
      <w:r w:rsidR="003B50ED" w:rsidRPr="00F16251">
        <w:rPr>
          <w:rFonts w:cstheme="minorHAnsi"/>
        </w:rPr>
        <w:t xml:space="preserve"> </w:t>
      </w:r>
      <w:r w:rsidRPr="00F16251">
        <w:rPr>
          <w:rFonts w:cstheme="minorHAnsi"/>
        </w:rPr>
        <w:t>bezrobocia</w:t>
      </w:r>
      <w:r w:rsidR="003B50ED" w:rsidRPr="00F16251">
        <w:rPr>
          <w:rFonts w:cstheme="minorHAnsi"/>
        </w:rPr>
        <w:t xml:space="preserve"> </w:t>
      </w:r>
      <w:r w:rsidRPr="00F16251">
        <w:rPr>
          <w:rFonts w:cstheme="minorHAnsi"/>
        </w:rPr>
        <w:t>wśród</w:t>
      </w:r>
      <w:r w:rsidR="003B50ED" w:rsidRPr="00F16251">
        <w:rPr>
          <w:rFonts w:cstheme="minorHAnsi"/>
        </w:rPr>
        <w:t xml:space="preserve"> </w:t>
      </w:r>
      <w:r w:rsidRPr="00F16251">
        <w:rPr>
          <w:rFonts w:cstheme="minorHAnsi"/>
        </w:rPr>
        <w:t>mężczyzn</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okresie</w:t>
      </w:r>
      <w:r w:rsidR="003B50ED" w:rsidRPr="00F16251">
        <w:rPr>
          <w:rFonts w:cstheme="minorHAnsi"/>
        </w:rPr>
        <w:t xml:space="preserve"> </w:t>
      </w:r>
      <w:r w:rsidRPr="00F16251">
        <w:rPr>
          <w:rFonts w:cstheme="minorHAnsi"/>
        </w:rPr>
        <w:t>2017-2021</w:t>
      </w:r>
      <w:r w:rsidR="003B50ED" w:rsidRPr="00F16251">
        <w:rPr>
          <w:rFonts w:cstheme="minorHAnsi"/>
        </w:rPr>
        <w:t xml:space="preserve"> </w:t>
      </w:r>
      <w:r w:rsidRPr="00F16251">
        <w:rPr>
          <w:rFonts w:cstheme="minorHAnsi"/>
        </w:rPr>
        <w:t>nastąpił</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gminie</w:t>
      </w:r>
      <w:r w:rsidR="003B50ED" w:rsidRPr="00F16251">
        <w:rPr>
          <w:rFonts w:cstheme="minorHAnsi"/>
        </w:rPr>
        <w:t xml:space="preserve"> </w:t>
      </w:r>
      <w:r w:rsidRPr="00F16251">
        <w:rPr>
          <w:rFonts w:cstheme="minorHAnsi"/>
        </w:rPr>
        <w:t>Stare</w:t>
      </w:r>
      <w:r w:rsidR="003B50ED" w:rsidRPr="00F16251">
        <w:rPr>
          <w:rFonts w:cstheme="minorHAnsi"/>
        </w:rPr>
        <w:t xml:space="preserve"> </w:t>
      </w:r>
      <w:r w:rsidRPr="00F16251">
        <w:rPr>
          <w:rFonts w:cstheme="minorHAnsi"/>
        </w:rPr>
        <w:t>Miasto</w:t>
      </w:r>
      <w:r w:rsidR="003B50ED" w:rsidRPr="00F16251">
        <w:rPr>
          <w:rFonts w:cstheme="minorHAnsi"/>
        </w:rPr>
        <w:t xml:space="preserve"> </w:t>
      </w:r>
      <w:r w:rsidRPr="00F16251">
        <w:rPr>
          <w:rFonts w:cstheme="minorHAnsi"/>
        </w:rPr>
        <w:t>–</w:t>
      </w:r>
      <w:r w:rsidR="003B50ED" w:rsidRPr="00F16251">
        <w:rPr>
          <w:rFonts w:cstheme="minorHAnsi"/>
        </w:rPr>
        <w:t xml:space="preserve"> </w:t>
      </w:r>
      <w:r w:rsidRPr="00F16251">
        <w:rPr>
          <w:rFonts w:cstheme="minorHAnsi"/>
        </w:rPr>
        <w:t>o</w:t>
      </w:r>
      <w:r w:rsidR="003B50ED" w:rsidRPr="00F16251">
        <w:rPr>
          <w:rFonts w:cstheme="minorHAnsi"/>
        </w:rPr>
        <w:t xml:space="preserve"> </w:t>
      </w:r>
      <w:r w:rsidRPr="00F16251">
        <w:rPr>
          <w:rFonts w:cstheme="minorHAnsi"/>
        </w:rPr>
        <w:t>31,84%</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kolei</w:t>
      </w:r>
      <w:r w:rsidR="003B50ED" w:rsidRPr="00F16251">
        <w:rPr>
          <w:rFonts w:cstheme="minorHAnsi"/>
        </w:rPr>
        <w:t xml:space="preserve"> </w:t>
      </w:r>
      <w:r w:rsidRPr="00F16251">
        <w:rPr>
          <w:rFonts w:cstheme="minorHAnsi"/>
        </w:rPr>
        <w:t>wśród</w:t>
      </w:r>
      <w:r w:rsidR="003B50ED" w:rsidRPr="00F16251">
        <w:rPr>
          <w:rFonts w:cstheme="minorHAnsi"/>
        </w:rPr>
        <w:t xml:space="preserve"> </w:t>
      </w:r>
      <w:r w:rsidRPr="00F16251">
        <w:rPr>
          <w:rFonts w:cstheme="minorHAnsi"/>
        </w:rPr>
        <w:t>kobiet</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gminie</w:t>
      </w:r>
      <w:r w:rsidR="003B50ED" w:rsidRPr="00F16251">
        <w:rPr>
          <w:rFonts w:cstheme="minorHAnsi"/>
        </w:rPr>
        <w:t xml:space="preserve"> </w:t>
      </w:r>
      <w:r w:rsidRPr="00F16251">
        <w:rPr>
          <w:rFonts w:cstheme="minorHAnsi"/>
        </w:rPr>
        <w:t>Tuliszków</w:t>
      </w:r>
      <w:r w:rsidR="003B50ED" w:rsidRPr="00F16251">
        <w:rPr>
          <w:rFonts w:cstheme="minorHAnsi"/>
        </w:rPr>
        <w:t xml:space="preserve"> </w:t>
      </w:r>
      <w:r w:rsidRPr="00F16251">
        <w:rPr>
          <w:rFonts w:cstheme="minorHAnsi"/>
        </w:rPr>
        <w:t>–</w:t>
      </w:r>
      <w:r w:rsidR="003B50ED" w:rsidRPr="00F16251">
        <w:rPr>
          <w:rFonts w:cstheme="minorHAnsi"/>
        </w:rPr>
        <w:t xml:space="preserve"> </w:t>
      </w:r>
      <w:r w:rsidRPr="00F16251">
        <w:rPr>
          <w:rFonts w:cstheme="minorHAnsi"/>
        </w:rPr>
        <w:t>tj.</w:t>
      </w:r>
      <w:r w:rsidR="003B50ED" w:rsidRPr="00F16251">
        <w:rPr>
          <w:rFonts w:cstheme="minorHAnsi"/>
        </w:rPr>
        <w:t xml:space="preserve"> </w:t>
      </w:r>
      <w:r w:rsidRPr="00F16251">
        <w:rPr>
          <w:rFonts w:cstheme="minorHAnsi"/>
        </w:rPr>
        <w:t>o</w:t>
      </w:r>
      <w:r w:rsidR="003B50ED" w:rsidRPr="00F16251">
        <w:rPr>
          <w:rFonts w:cstheme="minorHAnsi"/>
        </w:rPr>
        <w:t xml:space="preserve"> </w:t>
      </w:r>
      <w:r w:rsidRPr="00F16251">
        <w:rPr>
          <w:rFonts w:cstheme="minorHAnsi"/>
        </w:rPr>
        <w:t>41,57%.</w:t>
      </w:r>
      <w:r w:rsidR="003B50ED" w:rsidRPr="00F16251">
        <w:rPr>
          <w:rFonts w:cstheme="minorHAnsi"/>
        </w:rPr>
        <w:t xml:space="preserve"> </w:t>
      </w:r>
      <w:r w:rsidRPr="00F16251">
        <w:rPr>
          <w:rFonts w:cstheme="minorHAnsi"/>
        </w:rPr>
        <w:t>Najwolniejsze</w:t>
      </w:r>
      <w:r w:rsidR="003B50ED" w:rsidRPr="00F16251">
        <w:rPr>
          <w:rFonts w:cstheme="minorHAnsi"/>
        </w:rPr>
        <w:t xml:space="preserve"> </w:t>
      </w:r>
      <w:r w:rsidRPr="00F16251">
        <w:rPr>
          <w:rFonts w:cstheme="minorHAnsi"/>
        </w:rPr>
        <w:t>tempo</w:t>
      </w:r>
      <w:r w:rsidR="003B50ED" w:rsidRPr="00F16251">
        <w:rPr>
          <w:rFonts w:cstheme="minorHAnsi"/>
        </w:rPr>
        <w:t xml:space="preserve"> </w:t>
      </w:r>
      <w:r w:rsidRPr="00F16251">
        <w:rPr>
          <w:rFonts w:cstheme="minorHAnsi"/>
        </w:rPr>
        <w:t>spadku</w:t>
      </w:r>
      <w:r w:rsidR="003B50ED" w:rsidRPr="00F16251">
        <w:rPr>
          <w:rFonts w:cstheme="minorHAnsi"/>
        </w:rPr>
        <w:t xml:space="preserve"> </w:t>
      </w:r>
      <w:r w:rsidRPr="00F16251">
        <w:rPr>
          <w:rFonts w:cstheme="minorHAnsi"/>
        </w:rPr>
        <w:t>osób</w:t>
      </w:r>
      <w:r w:rsidR="003B50ED" w:rsidRPr="00F16251">
        <w:rPr>
          <w:rFonts w:cstheme="minorHAnsi"/>
        </w:rPr>
        <w:t xml:space="preserve"> </w:t>
      </w:r>
      <w:r w:rsidRPr="00F16251">
        <w:rPr>
          <w:rFonts w:cstheme="minorHAnsi"/>
        </w:rPr>
        <w:t>bez</w:t>
      </w:r>
      <w:r w:rsidR="003B50ED" w:rsidRPr="00F16251">
        <w:rPr>
          <w:rFonts w:cstheme="minorHAnsi"/>
        </w:rPr>
        <w:t xml:space="preserve"> </w:t>
      </w:r>
      <w:r w:rsidRPr="00F16251">
        <w:rPr>
          <w:rFonts w:cstheme="minorHAnsi"/>
        </w:rPr>
        <w:t>pracy</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przypadku</w:t>
      </w:r>
      <w:r w:rsidR="003B50ED" w:rsidRPr="00F16251">
        <w:rPr>
          <w:rFonts w:cstheme="minorHAnsi"/>
        </w:rPr>
        <w:t xml:space="preserve"> </w:t>
      </w:r>
      <w:r w:rsidRPr="00F16251">
        <w:rPr>
          <w:rFonts w:cstheme="minorHAnsi"/>
        </w:rPr>
        <w:t>mężczyzn</w:t>
      </w:r>
      <w:r w:rsidR="003B50ED" w:rsidRPr="00F16251">
        <w:rPr>
          <w:rFonts w:cstheme="minorHAnsi"/>
        </w:rPr>
        <w:t xml:space="preserve"> </w:t>
      </w:r>
      <w:r w:rsidRPr="00F16251">
        <w:rPr>
          <w:rFonts w:cstheme="minorHAnsi"/>
        </w:rPr>
        <w:t>notuje</w:t>
      </w:r>
      <w:r w:rsidR="003B50ED" w:rsidRPr="00F16251">
        <w:rPr>
          <w:rFonts w:cstheme="minorHAnsi"/>
        </w:rPr>
        <w:t xml:space="preserve"> </w:t>
      </w:r>
      <w:r w:rsidRPr="00F16251">
        <w:rPr>
          <w:rFonts w:cstheme="minorHAnsi"/>
        </w:rPr>
        <w:t>się</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gminie</w:t>
      </w:r>
      <w:r w:rsidR="003B50ED" w:rsidRPr="00F16251">
        <w:rPr>
          <w:rFonts w:cstheme="minorHAnsi"/>
        </w:rPr>
        <w:t xml:space="preserve"> </w:t>
      </w:r>
      <w:r w:rsidRPr="00F16251">
        <w:rPr>
          <w:rFonts w:cstheme="minorHAnsi"/>
        </w:rPr>
        <w:t>Rychwał</w:t>
      </w:r>
      <w:r w:rsidR="003B50ED" w:rsidRPr="00F16251">
        <w:rPr>
          <w:rFonts w:cstheme="minorHAnsi"/>
        </w:rPr>
        <w:t xml:space="preserve"> </w:t>
      </w:r>
      <w:r w:rsidRPr="00F16251">
        <w:rPr>
          <w:rFonts w:cstheme="minorHAnsi"/>
        </w:rPr>
        <w:t>-15,56%</w:t>
      </w:r>
      <w:r w:rsidR="003B50ED" w:rsidRPr="00F16251">
        <w:rPr>
          <w:rFonts w:cstheme="minorHAnsi"/>
        </w:rPr>
        <w:t xml:space="preserve"> </w:t>
      </w:r>
      <w:r w:rsidRPr="00F16251">
        <w:rPr>
          <w:rFonts w:cstheme="minorHAnsi"/>
        </w:rPr>
        <w:t>zaś</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przypadku</w:t>
      </w:r>
      <w:r w:rsidR="003B50ED" w:rsidRPr="00F16251">
        <w:rPr>
          <w:rFonts w:cstheme="minorHAnsi"/>
        </w:rPr>
        <w:t xml:space="preserve"> </w:t>
      </w:r>
      <w:r w:rsidRPr="00F16251">
        <w:rPr>
          <w:rFonts w:cstheme="minorHAnsi"/>
        </w:rPr>
        <w:t>kobiet</w:t>
      </w:r>
      <w:r w:rsidR="003B50ED" w:rsidRPr="00F16251">
        <w:rPr>
          <w:rFonts w:cstheme="minorHAnsi"/>
        </w:rPr>
        <w:t xml:space="preserve"> </w:t>
      </w:r>
      <w:r w:rsidRPr="00F16251">
        <w:rPr>
          <w:rFonts w:cstheme="minorHAnsi"/>
        </w:rPr>
        <w:t>–</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gminie</w:t>
      </w:r>
      <w:r w:rsidR="003B50ED" w:rsidRPr="00F16251">
        <w:rPr>
          <w:rFonts w:cstheme="minorHAnsi"/>
        </w:rPr>
        <w:t xml:space="preserve"> </w:t>
      </w:r>
      <w:r w:rsidRPr="00F16251">
        <w:rPr>
          <w:rFonts w:cstheme="minorHAnsi"/>
        </w:rPr>
        <w:t>Grodziec,</w:t>
      </w:r>
      <w:r w:rsidR="003B50ED" w:rsidRPr="00F16251">
        <w:rPr>
          <w:rFonts w:cstheme="minorHAnsi"/>
        </w:rPr>
        <w:t xml:space="preserve"> </w:t>
      </w:r>
      <w:r w:rsidRPr="00F16251">
        <w:rPr>
          <w:rFonts w:cstheme="minorHAnsi"/>
        </w:rPr>
        <w:t>ponieważ</w:t>
      </w:r>
      <w:r w:rsidR="003B50ED" w:rsidRPr="00F16251">
        <w:rPr>
          <w:rFonts w:cstheme="minorHAnsi"/>
        </w:rPr>
        <w:t xml:space="preserve"> </w:t>
      </w:r>
      <w:r w:rsidRPr="00F16251">
        <w:rPr>
          <w:rFonts w:cstheme="minorHAnsi"/>
        </w:rPr>
        <w:t>tam</w:t>
      </w:r>
      <w:r w:rsidR="003B50ED" w:rsidRPr="00F16251">
        <w:rPr>
          <w:rFonts w:cstheme="minorHAnsi"/>
        </w:rPr>
        <w:t xml:space="preserve"> </w:t>
      </w:r>
      <w:r w:rsidRPr="00F16251">
        <w:rPr>
          <w:rFonts w:cstheme="minorHAnsi"/>
        </w:rPr>
        <w:t>spadek</w:t>
      </w:r>
      <w:r w:rsidR="003B50ED" w:rsidRPr="00F16251">
        <w:rPr>
          <w:rFonts w:cstheme="minorHAnsi"/>
        </w:rPr>
        <w:t xml:space="preserve"> </w:t>
      </w:r>
      <w:r w:rsidRPr="00F16251">
        <w:rPr>
          <w:rFonts w:cstheme="minorHAnsi"/>
        </w:rPr>
        <w:t>bezrobocia</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tej</w:t>
      </w:r>
      <w:r w:rsidR="003B50ED" w:rsidRPr="00F16251">
        <w:rPr>
          <w:rFonts w:cstheme="minorHAnsi"/>
        </w:rPr>
        <w:t xml:space="preserve"> </w:t>
      </w:r>
      <w:r w:rsidRPr="00F16251">
        <w:rPr>
          <w:rFonts w:cstheme="minorHAnsi"/>
        </w:rPr>
        <w:t>kategorii</w:t>
      </w:r>
      <w:r w:rsidR="003B50ED" w:rsidRPr="00F16251">
        <w:rPr>
          <w:rFonts w:cstheme="minorHAnsi"/>
        </w:rPr>
        <w:t xml:space="preserve"> </w:t>
      </w:r>
      <w:r w:rsidRPr="00F16251">
        <w:rPr>
          <w:rFonts w:cstheme="minorHAnsi"/>
        </w:rPr>
        <w:t>nastąpił</w:t>
      </w:r>
      <w:r w:rsidR="003B50ED" w:rsidRPr="00F16251">
        <w:rPr>
          <w:rFonts w:cstheme="minorHAnsi"/>
        </w:rPr>
        <w:t xml:space="preserve"> </w:t>
      </w:r>
      <w:r w:rsidR="001D0163" w:rsidRPr="00F16251">
        <w:rPr>
          <w:rFonts w:cstheme="minorHAnsi"/>
        </w:rPr>
        <w:br/>
      </w:r>
      <w:r w:rsidRPr="00F16251">
        <w:rPr>
          <w:rFonts w:cstheme="minorHAnsi"/>
        </w:rPr>
        <w:t>o</w:t>
      </w:r>
      <w:r w:rsidR="003B50ED" w:rsidRPr="00F16251">
        <w:rPr>
          <w:rFonts w:cstheme="minorHAnsi"/>
        </w:rPr>
        <w:t xml:space="preserve"> </w:t>
      </w:r>
      <w:r w:rsidRPr="00F16251">
        <w:rPr>
          <w:rFonts w:cstheme="minorHAnsi"/>
        </w:rPr>
        <w:t>zaledwie</w:t>
      </w:r>
      <w:r w:rsidR="003B50ED" w:rsidRPr="00F16251">
        <w:rPr>
          <w:rFonts w:cstheme="minorHAnsi"/>
        </w:rPr>
        <w:t xml:space="preserve"> </w:t>
      </w:r>
      <w:r w:rsidR="00E07BED">
        <w:rPr>
          <w:rFonts w:cstheme="minorHAnsi"/>
        </w:rPr>
        <w:t>5,26%.</w:t>
      </w:r>
    </w:p>
    <w:p w14:paraId="67F99A07" w14:textId="7C243058" w:rsidR="00224658" w:rsidRPr="00F16251" w:rsidRDefault="00224658" w:rsidP="00A26C26">
      <w:pPr>
        <w:spacing w:line="276" w:lineRule="auto"/>
        <w:rPr>
          <w:rFonts w:cstheme="minorHAnsi"/>
        </w:rPr>
      </w:pPr>
      <w:r w:rsidRPr="00F16251">
        <w:rPr>
          <w:rFonts w:cstheme="minorHAnsi"/>
        </w:rPr>
        <w:t>Wykres</w:t>
      </w:r>
      <w:r w:rsidR="00396A11">
        <w:rPr>
          <w:rFonts w:cstheme="minorHAnsi"/>
        </w:rPr>
        <w:t xml:space="preserve"> nr 3</w:t>
      </w:r>
      <w:r w:rsidR="003B50ED" w:rsidRPr="00F16251">
        <w:rPr>
          <w:rFonts w:cstheme="minorHAnsi"/>
        </w:rPr>
        <w:t xml:space="preserve"> </w:t>
      </w:r>
      <w:r w:rsidRPr="00F16251">
        <w:rPr>
          <w:rFonts w:cstheme="minorHAnsi"/>
        </w:rPr>
        <w:t>Liczba</w:t>
      </w:r>
      <w:r w:rsidR="003B50ED" w:rsidRPr="00F16251">
        <w:rPr>
          <w:rFonts w:cstheme="minorHAnsi"/>
        </w:rPr>
        <w:t xml:space="preserve"> </w:t>
      </w:r>
      <w:r w:rsidRPr="00F16251">
        <w:rPr>
          <w:rFonts w:cstheme="minorHAnsi"/>
        </w:rPr>
        <w:t>bezrobotnych</w:t>
      </w:r>
      <w:r w:rsidR="003B50ED" w:rsidRPr="00F16251">
        <w:rPr>
          <w:rFonts w:cstheme="minorHAnsi"/>
        </w:rPr>
        <w:t xml:space="preserve"> </w:t>
      </w:r>
      <w:r w:rsidRPr="00F16251">
        <w:rPr>
          <w:rFonts w:cstheme="minorHAnsi"/>
        </w:rPr>
        <w:t>wg.</w:t>
      </w:r>
      <w:r w:rsidR="003B50ED" w:rsidRPr="00F16251">
        <w:rPr>
          <w:rFonts w:cstheme="minorHAnsi"/>
        </w:rPr>
        <w:t xml:space="preserve"> </w:t>
      </w:r>
      <w:r w:rsidRPr="00F16251">
        <w:rPr>
          <w:rFonts w:cstheme="minorHAnsi"/>
        </w:rPr>
        <w:t>płci</w:t>
      </w:r>
      <w:r w:rsidR="003B50ED" w:rsidRPr="00F16251">
        <w:rPr>
          <w:rFonts w:cstheme="minorHAnsi"/>
        </w:rPr>
        <w:t xml:space="preserve"> </w:t>
      </w:r>
      <w:r w:rsidRPr="00F16251">
        <w:rPr>
          <w:rFonts w:cstheme="minorHAnsi"/>
        </w:rPr>
        <w:t>–</w:t>
      </w:r>
      <w:r w:rsidR="003B50ED" w:rsidRPr="00F16251">
        <w:rPr>
          <w:rFonts w:cstheme="minorHAnsi"/>
        </w:rPr>
        <w:t xml:space="preserve"> </w:t>
      </w:r>
      <w:r w:rsidRPr="00F16251">
        <w:rPr>
          <w:rFonts w:cstheme="minorHAnsi"/>
        </w:rPr>
        <w:t>mężczyźni</w:t>
      </w:r>
    </w:p>
    <w:p w14:paraId="6D96F274" w14:textId="77777777" w:rsidR="00224658" w:rsidRPr="00F16251" w:rsidRDefault="00224658" w:rsidP="00A26C26">
      <w:pPr>
        <w:spacing w:line="276" w:lineRule="auto"/>
        <w:rPr>
          <w:rFonts w:cstheme="minorHAnsi"/>
        </w:rPr>
      </w:pPr>
      <w:r w:rsidRPr="00F16251">
        <w:rPr>
          <w:rFonts w:cstheme="minorHAnsi"/>
          <w:noProof/>
          <w:lang w:eastAsia="pl-PL"/>
        </w:rPr>
        <w:drawing>
          <wp:inline distT="0" distB="0" distL="0" distR="0" wp14:anchorId="28D6CCAB" wp14:editId="53769702">
            <wp:extent cx="6408000" cy="1360800"/>
            <wp:effectExtent l="0" t="0" r="12065" b="11430"/>
            <wp:docPr id="1815729056" name="Wykres 1">
              <a:extLst xmlns:a="http://schemas.openxmlformats.org/drawingml/2006/main">
                <a:ext uri="{FF2B5EF4-FFF2-40B4-BE49-F238E27FC236}">
                  <a16:creationId xmlns:w15="http://schemas.microsoft.com/office/word/2012/wordml"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104A3200-1E6E-3EA2-1BEC-9EF378DDF6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2E04C44" w14:textId="1797F617" w:rsidR="00224658" w:rsidRPr="00F16251" w:rsidRDefault="00224658" w:rsidP="00A26C26">
      <w:pPr>
        <w:spacing w:line="276" w:lineRule="auto"/>
        <w:rPr>
          <w:rFonts w:cstheme="minorHAnsi"/>
        </w:rPr>
      </w:pPr>
      <w:r w:rsidRPr="00F16251">
        <w:rPr>
          <w:rFonts w:cstheme="minorHAnsi"/>
        </w:rPr>
        <w:t>Źródło:</w:t>
      </w:r>
      <w:r w:rsidR="003B50ED" w:rsidRPr="00F16251">
        <w:rPr>
          <w:rFonts w:cstheme="minorHAnsi"/>
        </w:rPr>
        <w:t xml:space="preserve"> </w:t>
      </w:r>
      <w:r w:rsidRPr="00F16251">
        <w:rPr>
          <w:rFonts w:cstheme="minorHAnsi"/>
        </w:rPr>
        <w:t>GUS,</w:t>
      </w:r>
      <w:r w:rsidR="003B50ED" w:rsidRPr="00F16251">
        <w:rPr>
          <w:rFonts w:cstheme="minorHAnsi"/>
        </w:rPr>
        <w:t xml:space="preserve"> </w:t>
      </w:r>
      <w:r w:rsidRPr="00F16251">
        <w:rPr>
          <w:rFonts w:cstheme="minorHAnsi"/>
        </w:rPr>
        <w:t>Bank</w:t>
      </w:r>
      <w:r w:rsidR="003B50ED" w:rsidRPr="00F16251">
        <w:rPr>
          <w:rFonts w:cstheme="minorHAnsi"/>
        </w:rPr>
        <w:t xml:space="preserve"> </w:t>
      </w:r>
      <w:r w:rsidRPr="00F16251">
        <w:rPr>
          <w:rFonts w:cstheme="minorHAnsi"/>
        </w:rPr>
        <w:t>Danych</w:t>
      </w:r>
      <w:r w:rsidR="003B50ED" w:rsidRPr="00F16251">
        <w:rPr>
          <w:rFonts w:cstheme="minorHAnsi"/>
        </w:rPr>
        <w:t xml:space="preserve"> </w:t>
      </w:r>
      <w:r w:rsidRPr="00F16251">
        <w:rPr>
          <w:rFonts w:cstheme="minorHAnsi"/>
        </w:rPr>
        <w:t>Lokalnych</w:t>
      </w:r>
    </w:p>
    <w:p w14:paraId="01DABDED" w14:textId="77777777" w:rsidR="00224658" w:rsidRPr="00F16251" w:rsidRDefault="00224658" w:rsidP="00A26C26">
      <w:pPr>
        <w:spacing w:line="276" w:lineRule="auto"/>
        <w:rPr>
          <w:rFonts w:cstheme="minorHAnsi"/>
        </w:rPr>
      </w:pPr>
    </w:p>
    <w:p w14:paraId="3FB4CBD2" w14:textId="4FD904EB" w:rsidR="00224658" w:rsidRPr="00F16251" w:rsidRDefault="00224658" w:rsidP="00A26C26">
      <w:pPr>
        <w:spacing w:line="276" w:lineRule="auto"/>
        <w:rPr>
          <w:rFonts w:cstheme="minorHAnsi"/>
        </w:rPr>
      </w:pPr>
      <w:r w:rsidRPr="00F16251">
        <w:rPr>
          <w:rFonts w:cstheme="minorHAnsi"/>
        </w:rPr>
        <w:t>Wykres</w:t>
      </w:r>
      <w:r w:rsidR="00396A11">
        <w:rPr>
          <w:rFonts w:cstheme="minorHAnsi"/>
        </w:rPr>
        <w:t xml:space="preserve"> nr 4</w:t>
      </w:r>
      <w:r w:rsidR="003B50ED" w:rsidRPr="00F16251">
        <w:rPr>
          <w:rFonts w:cstheme="minorHAnsi"/>
        </w:rPr>
        <w:t xml:space="preserve"> </w:t>
      </w:r>
      <w:r w:rsidRPr="00F16251">
        <w:rPr>
          <w:rFonts w:cstheme="minorHAnsi"/>
        </w:rPr>
        <w:t>Liczba</w:t>
      </w:r>
      <w:r w:rsidR="003B50ED" w:rsidRPr="00F16251">
        <w:rPr>
          <w:rFonts w:cstheme="minorHAnsi"/>
        </w:rPr>
        <w:t xml:space="preserve"> </w:t>
      </w:r>
      <w:r w:rsidRPr="00F16251">
        <w:rPr>
          <w:rFonts w:cstheme="minorHAnsi"/>
        </w:rPr>
        <w:t>bezrobotnych</w:t>
      </w:r>
      <w:r w:rsidR="003B50ED" w:rsidRPr="00F16251">
        <w:rPr>
          <w:rFonts w:cstheme="minorHAnsi"/>
        </w:rPr>
        <w:t xml:space="preserve"> </w:t>
      </w:r>
      <w:r w:rsidRPr="00F16251">
        <w:rPr>
          <w:rFonts w:cstheme="minorHAnsi"/>
        </w:rPr>
        <w:t>wg.</w:t>
      </w:r>
      <w:r w:rsidR="003B50ED" w:rsidRPr="00F16251">
        <w:rPr>
          <w:rFonts w:cstheme="minorHAnsi"/>
        </w:rPr>
        <w:t xml:space="preserve"> </w:t>
      </w:r>
      <w:r w:rsidRPr="00F16251">
        <w:rPr>
          <w:rFonts w:cstheme="minorHAnsi"/>
        </w:rPr>
        <w:t>płci</w:t>
      </w:r>
      <w:r w:rsidR="003B50ED" w:rsidRPr="00F16251">
        <w:rPr>
          <w:rFonts w:cstheme="minorHAnsi"/>
        </w:rPr>
        <w:t xml:space="preserve"> </w:t>
      </w:r>
      <w:r w:rsidRPr="00F16251">
        <w:rPr>
          <w:rFonts w:cstheme="minorHAnsi"/>
        </w:rPr>
        <w:t>–</w:t>
      </w:r>
      <w:r w:rsidR="003B50ED" w:rsidRPr="00F16251">
        <w:rPr>
          <w:rFonts w:cstheme="minorHAnsi"/>
        </w:rPr>
        <w:t xml:space="preserve"> </w:t>
      </w:r>
      <w:r w:rsidRPr="00F16251">
        <w:rPr>
          <w:rFonts w:cstheme="minorHAnsi"/>
        </w:rPr>
        <w:t>kobiety</w:t>
      </w:r>
    </w:p>
    <w:p w14:paraId="15FBFCE7" w14:textId="77777777" w:rsidR="00224658" w:rsidRPr="00F16251" w:rsidRDefault="00224658" w:rsidP="00A26C26">
      <w:pPr>
        <w:spacing w:line="276" w:lineRule="auto"/>
        <w:rPr>
          <w:rFonts w:cstheme="minorHAnsi"/>
        </w:rPr>
      </w:pPr>
      <w:r w:rsidRPr="00F16251">
        <w:rPr>
          <w:rFonts w:cstheme="minorHAnsi"/>
          <w:noProof/>
          <w:lang w:eastAsia="pl-PL"/>
        </w:rPr>
        <w:drawing>
          <wp:inline distT="0" distB="0" distL="0" distR="0" wp14:anchorId="078C0E3B" wp14:editId="230AB37E">
            <wp:extent cx="6408000" cy="1360800"/>
            <wp:effectExtent l="0" t="0" r="12065" b="11430"/>
            <wp:docPr id="409286984" name="Wykres 1">
              <a:extLst xmlns:a="http://schemas.openxmlformats.org/drawingml/2006/main">
                <a:ext uri="{FF2B5EF4-FFF2-40B4-BE49-F238E27FC236}">
                  <a16:creationId xmlns:w15="http://schemas.microsoft.com/office/word/2012/wordml"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5C998493-4215-B587-B4FD-7E4421483F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F21EA94" w14:textId="63C42B65" w:rsidR="00224658" w:rsidRPr="00F16251" w:rsidRDefault="00224658" w:rsidP="00A26C26">
      <w:pPr>
        <w:spacing w:line="276" w:lineRule="auto"/>
        <w:rPr>
          <w:rFonts w:cstheme="minorHAnsi"/>
        </w:rPr>
      </w:pPr>
      <w:r w:rsidRPr="00F16251">
        <w:rPr>
          <w:rFonts w:cstheme="minorHAnsi"/>
        </w:rPr>
        <w:t>Źródło:</w:t>
      </w:r>
      <w:r w:rsidR="003B50ED" w:rsidRPr="00F16251">
        <w:rPr>
          <w:rFonts w:cstheme="minorHAnsi"/>
        </w:rPr>
        <w:t xml:space="preserve"> </w:t>
      </w:r>
      <w:r w:rsidRPr="00F16251">
        <w:rPr>
          <w:rFonts w:cstheme="minorHAnsi"/>
        </w:rPr>
        <w:t>GUS,</w:t>
      </w:r>
      <w:r w:rsidR="003B50ED" w:rsidRPr="00F16251">
        <w:rPr>
          <w:rFonts w:cstheme="minorHAnsi"/>
        </w:rPr>
        <w:t xml:space="preserve"> </w:t>
      </w:r>
      <w:r w:rsidRPr="00F16251">
        <w:rPr>
          <w:rFonts w:cstheme="minorHAnsi"/>
        </w:rPr>
        <w:t>Bank</w:t>
      </w:r>
      <w:r w:rsidR="003B50ED" w:rsidRPr="00F16251">
        <w:rPr>
          <w:rFonts w:cstheme="minorHAnsi"/>
        </w:rPr>
        <w:t xml:space="preserve"> </w:t>
      </w:r>
      <w:r w:rsidRPr="00F16251">
        <w:rPr>
          <w:rFonts w:cstheme="minorHAnsi"/>
        </w:rPr>
        <w:t>Danych</w:t>
      </w:r>
      <w:r w:rsidR="003B50ED" w:rsidRPr="00F16251">
        <w:rPr>
          <w:rFonts w:cstheme="minorHAnsi"/>
        </w:rPr>
        <w:t xml:space="preserve"> </w:t>
      </w:r>
      <w:r w:rsidRPr="00F16251">
        <w:rPr>
          <w:rFonts w:cstheme="minorHAnsi"/>
        </w:rPr>
        <w:t>Lokalnych</w:t>
      </w:r>
    </w:p>
    <w:p w14:paraId="5331269A" w14:textId="77777777" w:rsidR="00224658" w:rsidRPr="00F16251" w:rsidRDefault="00224658" w:rsidP="00A26C26">
      <w:pPr>
        <w:spacing w:line="276" w:lineRule="auto"/>
        <w:rPr>
          <w:rFonts w:cstheme="minorHAnsi"/>
        </w:rPr>
      </w:pPr>
    </w:p>
    <w:p w14:paraId="1FA2BF15" w14:textId="71A116B7" w:rsidR="00224658" w:rsidRPr="00F16251" w:rsidRDefault="00224658" w:rsidP="00A26C26">
      <w:pPr>
        <w:spacing w:line="276" w:lineRule="auto"/>
        <w:ind w:firstLine="284"/>
        <w:jc w:val="both"/>
        <w:rPr>
          <w:rFonts w:cstheme="minorHAnsi"/>
        </w:rPr>
      </w:pPr>
      <w:r w:rsidRPr="00F16251">
        <w:rPr>
          <w:rFonts w:cstheme="minorHAnsi"/>
        </w:rPr>
        <w:t>Pozytywną</w:t>
      </w:r>
      <w:r w:rsidR="003B50ED" w:rsidRPr="00F16251">
        <w:rPr>
          <w:rFonts w:cstheme="minorHAnsi"/>
        </w:rPr>
        <w:t xml:space="preserve"> </w:t>
      </w:r>
      <w:r w:rsidRPr="00F16251">
        <w:rPr>
          <w:rFonts w:cstheme="minorHAnsi"/>
        </w:rPr>
        <w:t>tendencję</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rynku</w:t>
      </w:r>
      <w:r w:rsidR="003B50ED" w:rsidRPr="00F16251">
        <w:rPr>
          <w:rFonts w:cstheme="minorHAnsi"/>
        </w:rPr>
        <w:t xml:space="preserve"> </w:t>
      </w:r>
      <w:r w:rsidRPr="00F16251">
        <w:rPr>
          <w:rFonts w:cstheme="minorHAnsi"/>
        </w:rPr>
        <w:t>pracy</w:t>
      </w:r>
      <w:r w:rsidR="003B50ED" w:rsidRPr="00F16251">
        <w:rPr>
          <w:rFonts w:cstheme="minorHAnsi"/>
        </w:rPr>
        <w:t xml:space="preserve"> </w:t>
      </w:r>
      <w:r w:rsidRPr="00F16251">
        <w:rPr>
          <w:rFonts w:cstheme="minorHAnsi"/>
        </w:rPr>
        <w:t>potwierdzają</w:t>
      </w:r>
      <w:r w:rsidR="003B50ED" w:rsidRPr="00F16251">
        <w:rPr>
          <w:rFonts w:cstheme="minorHAnsi"/>
        </w:rPr>
        <w:t xml:space="preserve"> </w:t>
      </w:r>
      <w:r w:rsidRPr="00F16251">
        <w:rPr>
          <w:rFonts w:cstheme="minorHAnsi"/>
        </w:rPr>
        <w:t>również</w:t>
      </w:r>
      <w:r w:rsidR="003B50ED" w:rsidRPr="00F16251">
        <w:rPr>
          <w:rFonts w:cstheme="minorHAnsi"/>
        </w:rPr>
        <w:t xml:space="preserve"> </w:t>
      </w:r>
      <w:r w:rsidRPr="00F16251">
        <w:rPr>
          <w:rFonts w:cstheme="minorHAnsi"/>
        </w:rPr>
        <w:t>dwa</w:t>
      </w:r>
      <w:r w:rsidR="003B50ED" w:rsidRPr="00F16251">
        <w:rPr>
          <w:rFonts w:cstheme="minorHAnsi"/>
        </w:rPr>
        <w:t xml:space="preserve"> </w:t>
      </w:r>
      <w:r w:rsidRPr="00F16251">
        <w:rPr>
          <w:rFonts w:cstheme="minorHAnsi"/>
        </w:rPr>
        <w:t>inne</w:t>
      </w:r>
      <w:r w:rsidR="003B50ED" w:rsidRPr="00F16251">
        <w:rPr>
          <w:rFonts w:cstheme="minorHAnsi"/>
        </w:rPr>
        <w:t xml:space="preserve"> </w:t>
      </w:r>
      <w:r w:rsidRPr="00F16251">
        <w:rPr>
          <w:rFonts w:cstheme="minorHAnsi"/>
        </w:rPr>
        <w:t>wskaźniki</w:t>
      </w:r>
      <w:r w:rsidR="003B50ED" w:rsidRPr="00F16251">
        <w:rPr>
          <w:rFonts w:cstheme="minorHAnsi"/>
        </w:rPr>
        <w:t xml:space="preserve"> </w:t>
      </w:r>
      <w:r w:rsidRPr="00F16251">
        <w:rPr>
          <w:rFonts w:cstheme="minorHAnsi"/>
        </w:rPr>
        <w:t>badające</w:t>
      </w:r>
      <w:r w:rsidR="003B50ED" w:rsidRPr="00F16251">
        <w:rPr>
          <w:rFonts w:cstheme="minorHAnsi"/>
        </w:rPr>
        <w:t xml:space="preserve"> </w:t>
      </w:r>
      <w:r w:rsidRPr="00F16251">
        <w:rPr>
          <w:rFonts w:cstheme="minorHAnsi"/>
        </w:rPr>
        <w:t>rynek</w:t>
      </w:r>
      <w:r w:rsidR="003B50ED" w:rsidRPr="00F16251">
        <w:rPr>
          <w:rFonts w:cstheme="minorHAnsi"/>
        </w:rPr>
        <w:t xml:space="preserve"> </w:t>
      </w:r>
      <w:r w:rsidRPr="00F16251">
        <w:rPr>
          <w:rFonts w:cstheme="minorHAnsi"/>
        </w:rPr>
        <w:t>pracy</w:t>
      </w:r>
      <w:r w:rsidR="003B50ED" w:rsidRPr="00F16251">
        <w:rPr>
          <w:rFonts w:cstheme="minorHAnsi"/>
        </w:rPr>
        <w:t xml:space="preserve"> </w:t>
      </w:r>
      <w:r w:rsidRPr="00F16251">
        <w:rPr>
          <w:rFonts w:cstheme="minorHAnsi"/>
        </w:rPr>
        <w:t>tj.</w:t>
      </w:r>
      <w:r w:rsidR="003B50ED" w:rsidRPr="00F16251">
        <w:rPr>
          <w:rFonts w:cstheme="minorHAnsi"/>
        </w:rPr>
        <w:t xml:space="preserve"> </w:t>
      </w:r>
      <w:r w:rsidRPr="00F16251">
        <w:rPr>
          <w:rFonts w:cstheme="minorHAnsi"/>
        </w:rPr>
        <w:t>„udział</w:t>
      </w:r>
      <w:r w:rsidR="003B50ED" w:rsidRPr="00F16251">
        <w:rPr>
          <w:rFonts w:cstheme="minorHAnsi"/>
        </w:rPr>
        <w:t xml:space="preserve"> </w:t>
      </w:r>
      <w:r w:rsidRPr="00F16251">
        <w:rPr>
          <w:rFonts w:cstheme="minorHAnsi"/>
        </w:rPr>
        <w:t>bezrobotnych</w:t>
      </w:r>
      <w:r w:rsidR="003B50ED" w:rsidRPr="00F16251">
        <w:rPr>
          <w:rFonts w:cstheme="minorHAnsi"/>
        </w:rPr>
        <w:t xml:space="preserve"> </w:t>
      </w:r>
      <w:r w:rsidRPr="00F16251">
        <w:rPr>
          <w:rFonts w:cstheme="minorHAnsi"/>
        </w:rPr>
        <w:t>zarejestrowanych</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liczbie</w:t>
      </w:r>
      <w:r w:rsidR="003B50ED" w:rsidRPr="00F16251">
        <w:rPr>
          <w:rFonts w:cstheme="minorHAnsi"/>
        </w:rPr>
        <w:t xml:space="preserve"> </w:t>
      </w:r>
      <w:r w:rsidRPr="00F16251">
        <w:rPr>
          <w:rFonts w:cstheme="minorHAnsi"/>
        </w:rPr>
        <w:t>ludności</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wieku</w:t>
      </w:r>
      <w:r w:rsidR="003B50ED" w:rsidRPr="00F16251">
        <w:rPr>
          <w:rFonts w:cstheme="minorHAnsi"/>
        </w:rPr>
        <w:t xml:space="preserve"> </w:t>
      </w:r>
      <w:r w:rsidRPr="00F16251">
        <w:rPr>
          <w:rFonts w:cstheme="minorHAnsi"/>
        </w:rPr>
        <w:t>produkcyjnym</w:t>
      </w:r>
      <w:r w:rsidR="003B50ED" w:rsidRPr="00F16251">
        <w:rPr>
          <w:rFonts w:cstheme="minorHAnsi"/>
        </w:rPr>
        <w:t xml:space="preserve"> </w:t>
      </w:r>
      <w:r w:rsidRPr="00F16251">
        <w:rPr>
          <w:rFonts w:cstheme="minorHAnsi"/>
        </w:rPr>
        <w:t>-%”oraz</w:t>
      </w:r>
      <w:r w:rsidR="003B50ED" w:rsidRPr="00F16251">
        <w:rPr>
          <w:rFonts w:cstheme="minorHAnsi"/>
        </w:rPr>
        <w:t xml:space="preserve"> </w:t>
      </w:r>
      <w:r w:rsidRPr="00F16251">
        <w:rPr>
          <w:rFonts w:cstheme="minorHAnsi"/>
        </w:rPr>
        <w:t>„pracujący</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1000</w:t>
      </w:r>
      <w:r w:rsidR="003B50ED" w:rsidRPr="00F16251">
        <w:rPr>
          <w:rFonts w:cstheme="minorHAnsi"/>
        </w:rPr>
        <w:t xml:space="preserve"> </w:t>
      </w:r>
      <w:r w:rsidRPr="00F16251">
        <w:rPr>
          <w:rFonts w:cstheme="minorHAnsi"/>
        </w:rPr>
        <w:t>ludności</w:t>
      </w:r>
      <w:r w:rsidR="003B50ED" w:rsidRPr="00F16251">
        <w:rPr>
          <w:rFonts w:cstheme="minorHAnsi"/>
        </w:rPr>
        <w:t xml:space="preserve"> </w:t>
      </w:r>
      <w:r w:rsidR="001D0163" w:rsidRPr="00F16251">
        <w:rPr>
          <w:rFonts w:cstheme="minorHAnsi"/>
        </w:rPr>
        <w:br/>
      </w:r>
      <w:r w:rsidRPr="00F16251">
        <w:rPr>
          <w:rFonts w:cstheme="minorHAnsi"/>
        </w:rPr>
        <w:t>w</w:t>
      </w:r>
      <w:r w:rsidR="003B50ED" w:rsidRPr="00F16251">
        <w:rPr>
          <w:rFonts w:cstheme="minorHAnsi"/>
        </w:rPr>
        <w:t xml:space="preserve"> </w:t>
      </w:r>
      <w:r w:rsidRPr="00F16251">
        <w:rPr>
          <w:rFonts w:cstheme="minorHAnsi"/>
        </w:rPr>
        <w:t>wieku</w:t>
      </w:r>
      <w:r w:rsidR="003B50ED" w:rsidRPr="00F16251">
        <w:rPr>
          <w:rFonts w:cstheme="minorHAnsi"/>
        </w:rPr>
        <w:t xml:space="preserve"> </w:t>
      </w:r>
      <w:r w:rsidRPr="00F16251">
        <w:rPr>
          <w:rFonts w:cstheme="minorHAnsi"/>
        </w:rPr>
        <w:t>produkcyjnym-</w:t>
      </w:r>
      <w:r w:rsidR="003B50ED" w:rsidRPr="00F16251">
        <w:rPr>
          <w:rFonts w:cstheme="minorHAnsi"/>
        </w:rPr>
        <w:t xml:space="preserve"> </w:t>
      </w:r>
      <w:r w:rsidRPr="00F16251">
        <w:rPr>
          <w:rFonts w:cstheme="minorHAnsi"/>
        </w:rPr>
        <w:t>osoba”.</w:t>
      </w:r>
      <w:r w:rsidR="003B50ED" w:rsidRPr="00F16251">
        <w:rPr>
          <w:rFonts w:cstheme="minorHAnsi"/>
        </w:rPr>
        <w:t xml:space="preserve"> </w:t>
      </w:r>
    </w:p>
    <w:p w14:paraId="41895A00" w14:textId="77777777" w:rsidR="00224658" w:rsidRPr="00F16251" w:rsidRDefault="00224658" w:rsidP="00A26C26">
      <w:pPr>
        <w:spacing w:line="276" w:lineRule="auto"/>
        <w:jc w:val="both"/>
        <w:rPr>
          <w:rFonts w:cstheme="minorHAnsi"/>
        </w:rPr>
      </w:pPr>
    </w:p>
    <w:p w14:paraId="4D4E95E1" w14:textId="5DC9D571" w:rsidR="00224658" w:rsidRPr="00F16251" w:rsidRDefault="00224658" w:rsidP="00A26C26">
      <w:pPr>
        <w:autoSpaceDE w:val="0"/>
        <w:autoSpaceDN w:val="0"/>
        <w:adjustRightInd w:val="0"/>
        <w:spacing w:line="276" w:lineRule="auto"/>
        <w:jc w:val="both"/>
        <w:rPr>
          <w:rFonts w:cstheme="minorHAnsi"/>
          <w:color w:val="000000"/>
          <w:kern w:val="0"/>
        </w:rPr>
      </w:pPr>
      <w:r w:rsidRPr="00F16251">
        <w:rPr>
          <w:rFonts w:cstheme="minorHAnsi"/>
          <w:color w:val="000000"/>
          <w:kern w:val="0"/>
        </w:rPr>
        <w:t>Tabela</w:t>
      </w:r>
      <w:r w:rsidR="00396A11">
        <w:rPr>
          <w:rFonts w:cstheme="minorHAnsi"/>
          <w:color w:val="000000"/>
          <w:kern w:val="0"/>
        </w:rPr>
        <w:t xml:space="preserve"> nr 1</w:t>
      </w:r>
      <w:r w:rsidR="00203429">
        <w:rPr>
          <w:rFonts w:cstheme="minorHAnsi"/>
          <w:color w:val="000000"/>
          <w:kern w:val="0"/>
        </w:rPr>
        <w:t>3</w:t>
      </w:r>
      <w:r w:rsidR="003B50ED" w:rsidRPr="00F16251">
        <w:rPr>
          <w:rFonts w:cstheme="minorHAnsi"/>
          <w:color w:val="000000"/>
          <w:kern w:val="0"/>
        </w:rPr>
        <w:t xml:space="preserve"> </w:t>
      </w:r>
      <w:r w:rsidRPr="00F16251">
        <w:rPr>
          <w:rFonts w:cstheme="minorHAnsi"/>
        </w:rPr>
        <w:t>Udział</w:t>
      </w:r>
      <w:r w:rsidR="003B50ED" w:rsidRPr="00F16251">
        <w:rPr>
          <w:rFonts w:cstheme="minorHAnsi"/>
        </w:rPr>
        <w:t xml:space="preserve"> </w:t>
      </w:r>
      <w:r w:rsidRPr="00F16251">
        <w:rPr>
          <w:rFonts w:cstheme="minorHAnsi"/>
        </w:rPr>
        <w:t>bezrobotnych</w:t>
      </w:r>
      <w:r w:rsidR="003B50ED" w:rsidRPr="00F16251">
        <w:rPr>
          <w:rFonts w:cstheme="minorHAnsi"/>
        </w:rPr>
        <w:t xml:space="preserve"> </w:t>
      </w:r>
      <w:r w:rsidRPr="00F16251">
        <w:rPr>
          <w:rFonts w:cstheme="minorHAnsi"/>
        </w:rPr>
        <w:t>zarejestrowanych</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liczbie</w:t>
      </w:r>
      <w:r w:rsidR="003B50ED" w:rsidRPr="00F16251">
        <w:rPr>
          <w:rFonts w:cstheme="minorHAnsi"/>
        </w:rPr>
        <w:t xml:space="preserve"> </w:t>
      </w:r>
      <w:r w:rsidRPr="00F16251">
        <w:rPr>
          <w:rFonts w:cstheme="minorHAnsi"/>
        </w:rPr>
        <w:t>ludności</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wieku</w:t>
      </w:r>
      <w:r w:rsidR="003B50ED" w:rsidRPr="00F16251">
        <w:rPr>
          <w:rFonts w:cstheme="minorHAnsi"/>
        </w:rPr>
        <w:t xml:space="preserve"> </w:t>
      </w:r>
      <w:r w:rsidRPr="00F16251">
        <w:rPr>
          <w:rFonts w:cstheme="minorHAnsi"/>
        </w:rPr>
        <w:t>produkcyjnym</w:t>
      </w:r>
      <w:r w:rsidR="003B50ED" w:rsidRPr="00F16251">
        <w:rPr>
          <w:rFonts w:cstheme="minorHAnsi"/>
        </w:rPr>
        <w:t xml:space="preserve"> </w:t>
      </w:r>
      <w:r w:rsidRPr="00F16251">
        <w:rPr>
          <w:rFonts w:cstheme="minorHAnsi"/>
        </w:rPr>
        <w:t>-%</w:t>
      </w:r>
    </w:p>
    <w:tbl>
      <w:tblPr>
        <w:tblW w:w="10060" w:type="dxa"/>
        <w:tblLayout w:type="fixed"/>
        <w:tblCellMar>
          <w:left w:w="70" w:type="dxa"/>
          <w:right w:w="70" w:type="dxa"/>
        </w:tblCellMar>
        <w:tblLook w:val="04A0" w:firstRow="1" w:lastRow="0" w:firstColumn="1" w:lastColumn="0" w:noHBand="0" w:noVBand="1"/>
      </w:tblPr>
      <w:tblGrid>
        <w:gridCol w:w="1980"/>
        <w:gridCol w:w="1616"/>
        <w:gridCol w:w="1616"/>
        <w:gridCol w:w="1616"/>
        <w:gridCol w:w="1616"/>
        <w:gridCol w:w="1616"/>
      </w:tblGrid>
      <w:tr w:rsidR="00224658" w:rsidRPr="00F16251" w14:paraId="133D82BE" w14:textId="77777777" w:rsidTr="007F1E76">
        <w:trPr>
          <w:trHeight w:val="249"/>
        </w:trPr>
        <w:tc>
          <w:tcPr>
            <w:tcW w:w="198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AD8B772" w14:textId="76C019BE" w:rsidR="00224658" w:rsidRPr="00F16251" w:rsidRDefault="003B50ED"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 xml:space="preserve"> </w:t>
            </w:r>
          </w:p>
        </w:tc>
        <w:tc>
          <w:tcPr>
            <w:tcW w:w="1616" w:type="dxa"/>
            <w:tcBorders>
              <w:top w:val="single" w:sz="4" w:space="0" w:color="auto"/>
              <w:left w:val="nil"/>
              <w:bottom w:val="single" w:sz="4" w:space="0" w:color="auto"/>
              <w:right w:val="single" w:sz="4" w:space="0" w:color="auto"/>
            </w:tcBorders>
            <w:shd w:val="clear" w:color="000000" w:fill="DDEBF7"/>
            <w:noWrap/>
            <w:vAlign w:val="bottom"/>
            <w:hideMark/>
          </w:tcPr>
          <w:p w14:paraId="47028108"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2017</w:t>
            </w:r>
          </w:p>
        </w:tc>
        <w:tc>
          <w:tcPr>
            <w:tcW w:w="1616" w:type="dxa"/>
            <w:tcBorders>
              <w:top w:val="single" w:sz="4" w:space="0" w:color="auto"/>
              <w:left w:val="nil"/>
              <w:bottom w:val="single" w:sz="4" w:space="0" w:color="auto"/>
              <w:right w:val="single" w:sz="4" w:space="0" w:color="auto"/>
            </w:tcBorders>
            <w:shd w:val="clear" w:color="000000" w:fill="DDEBF7"/>
            <w:noWrap/>
            <w:vAlign w:val="bottom"/>
            <w:hideMark/>
          </w:tcPr>
          <w:p w14:paraId="461CE9F8"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2018</w:t>
            </w:r>
          </w:p>
        </w:tc>
        <w:tc>
          <w:tcPr>
            <w:tcW w:w="1616" w:type="dxa"/>
            <w:tcBorders>
              <w:top w:val="single" w:sz="4" w:space="0" w:color="auto"/>
              <w:left w:val="nil"/>
              <w:bottom w:val="single" w:sz="4" w:space="0" w:color="auto"/>
              <w:right w:val="single" w:sz="4" w:space="0" w:color="auto"/>
            </w:tcBorders>
            <w:shd w:val="clear" w:color="000000" w:fill="DDEBF7"/>
            <w:noWrap/>
            <w:vAlign w:val="bottom"/>
            <w:hideMark/>
          </w:tcPr>
          <w:p w14:paraId="5E48B5AB"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2019</w:t>
            </w:r>
          </w:p>
        </w:tc>
        <w:tc>
          <w:tcPr>
            <w:tcW w:w="1616" w:type="dxa"/>
            <w:tcBorders>
              <w:top w:val="single" w:sz="4" w:space="0" w:color="auto"/>
              <w:left w:val="nil"/>
              <w:bottom w:val="single" w:sz="4" w:space="0" w:color="auto"/>
              <w:right w:val="single" w:sz="4" w:space="0" w:color="auto"/>
            </w:tcBorders>
            <w:shd w:val="clear" w:color="000000" w:fill="DDEBF7"/>
            <w:noWrap/>
            <w:vAlign w:val="bottom"/>
            <w:hideMark/>
          </w:tcPr>
          <w:p w14:paraId="266E5483"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2020</w:t>
            </w:r>
          </w:p>
        </w:tc>
        <w:tc>
          <w:tcPr>
            <w:tcW w:w="1616" w:type="dxa"/>
            <w:tcBorders>
              <w:top w:val="single" w:sz="4" w:space="0" w:color="auto"/>
              <w:left w:val="nil"/>
              <w:bottom w:val="single" w:sz="4" w:space="0" w:color="auto"/>
              <w:right w:val="single" w:sz="4" w:space="0" w:color="auto"/>
            </w:tcBorders>
            <w:shd w:val="clear" w:color="000000" w:fill="DDEBF7"/>
            <w:noWrap/>
            <w:vAlign w:val="bottom"/>
            <w:hideMark/>
          </w:tcPr>
          <w:p w14:paraId="71ACF4F0"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2021</w:t>
            </w:r>
          </w:p>
        </w:tc>
      </w:tr>
      <w:tr w:rsidR="00224658" w:rsidRPr="00F16251" w14:paraId="25F60D5E"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9CD67B3" w14:textId="77777777"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Golina</w:t>
            </w:r>
          </w:p>
        </w:tc>
        <w:tc>
          <w:tcPr>
            <w:tcW w:w="1616" w:type="dxa"/>
            <w:tcBorders>
              <w:top w:val="nil"/>
              <w:left w:val="nil"/>
              <w:bottom w:val="single" w:sz="4" w:space="0" w:color="auto"/>
              <w:right w:val="single" w:sz="4" w:space="0" w:color="auto"/>
            </w:tcBorders>
            <w:shd w:val="clear" w:color="auto" w:fill="auto"/>
            <w:noWrap/>
            <w:vAlign w:val="bottom"/>
            <w:hideMark/>
          </w:tcPr>
          <w:p w14:paraId="18100C1B"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6,4</w:t>
            </w:r>
          </w:p>
        </w:tc>
        <w:tc>
          <w:tcPr>
            <w:tcW w:w="1616" w:type="dxa"/>
            <w:tcBorders>
              <w:top w:val="nil"/>
              <w:left w:val="nil"/>
              <w:bottom w:val="single" w:sz="4" w:space="0" w:color="auto"/>
              <w:right w:val="single" w:sz="4" w:space="0" w:color="auto"/>
            </w:tcBorders>
            <w:shd w:val="clear" w:color="auto" w:fill="auto"/>
            <w:noWrap/>
            <w:vAlign w:val="bottom"/>
            <w:hideMark/>
          </w:tcPr>
          <w:p w14:paraId="3AAD25A0"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5,3</w:t>
            </w:r>
          </w:p>
        </w:tc>
        <w:tc>
          <w:tcPr>
            <w:tcW w:w="1616" w:type="dxa"/>
            <w:tcBorders>
              <w:top w:val="nil"/>
              <w:left w:val="nil"/>
              <w:bottom w:val="single" w:sz="4" w:space="0" w:color="auto"/>
              <w:right w:val="single" w:sz="4" w:space="0" w:color="auto"/>
            </w:tcBorders>
            <w:shd w:val="clear" w:color="auto" w:fill="auto"/>
            <w:noWrap/>
            <w:vAlign w:val="bottom"/>
            <w:hideMark/>
          </w:tcPr>
          <w:p w14:paraId="1F893F59"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5,3</w:t>
            </w:r>
          </w:p>
        </w:tc>
        <w:tc>
          <w:tcPr>
            <w:tcW w:w="1616" w:type="dxa"/>
            <w:tcBorders>
              <w:top w:val="nil"/>
              <w:left w:val="nil"/>
              <w:bottom w:val="single" w:sz="4" w:space="0" w:color="auto"/>
              <w:right w:val="single" w:sz="4" w:space="0" w:color="auto"/>
            </w:tcBorders>
            <w:shd w:val="clear" w:color="auto" w:fill="auto"/>
            <w:noWrap/>
            <w:vAlign w:val="bottom"/>
            <w:hideMark/>
          </w:tcPr>
          <w:p w14:paraId="6F4FF319"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6,4</w:t>
            </w:r>
          </w:p>
        </w:tc>
        <w:tc>
          <w:tcPr>
            <w:tcW w:w="1616" w:type="dxa"/>
            <w:tcBorders>
              <w:top w:val="nil"/>
              <w:left w:val="nil"/>
              <w:bottom w:val="single" w:sz="4" w:space="0" w:color="auto"/>
              <w:right w:val="single" w:sz="4" w:space="0" w:color="auto"/>
            </w:tcBorders>
            <w:shd w:val="clear" w:color="auto" w:fill="auto"/>
            <w:noWrap/>
            <w:vAlign w:val="bottom"/>
            <w:hideMark/>
          </w:tcPr>
          <w:p w14:paraId="692E0801"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5,3</w:t>
            </w:r>
          </w:p>
        </w:tc>
      </w:tr>
      <w:tr w:rsidR="00224658" w:rsidRPr="00F16251" w14:paraId="3CC426E6"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B6BA46A" w14:textId="77777777"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Grodziec</w:t>
            </w:r>
          </w:p>
        </w:tc>
        <w:tc>
          <w:tcPr>
            <w:tcW w:w="1616" w:type="dxa"/>
            <w:tcBorders>
              <w:top w:val="nil"/>
              <w:left w:val="nil"/>
              <w:bottom w:val="single" w:sz="4" w:space="0" w:color="auto"/>
              <w:right w:val="single" w:sz="4" w:space="0" w:color="auto"/>
            </w:tcBorders>
            <w:shd w:val="clear" w:color="auto" w:fill="auto"/>
            <w:noWrap/>
            <w:vAlign w:val="bottom"/>
            <w:hideMark/>
          </w:tcPr>
          <w:p w14:paraId="1B8F6B79"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4,2</w:t>
            </w:r>
          </w:p>
        </w:tc>
        <w:tc>
          <w:tcPr>
            <w:tcW w:w="1616" w:type="dxa"/>
            <w:tcBorders>
              <w:top w:val="nil"/>
              <w:left w:val="nil"/>
              <w:bottom w:val="single" w:sz="4" w:space="0" w:color="auto"/>
              <w:right w:val="single" w:sz="4" w:space="0" w:color="auto"/>
            </w:tcBorders>
            <w:shd w:val="clear" w:color="auto" w:fill="auto"/>
            <w:noWrap/>
            <w:vAlign w:val="bottom"/>
            <w:hideMark/>
          </w:tcPr>
          <w:p w14:paraId="681AC943"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3,2</w:t>
            </w:r>
          </w:p>
        </w:tc>
        <w:tc>
          <w:tcPr>
            <w:tcW w:w="1616" w:type="dxa"/>
            <w:tcBorders>
              <w:top w:val="nil"/>
              <w:left w:val="nil"/>
              <w:bottom w:val="single" w:sz="4" w:space="0" w:color="auto"/>
              <w:right w:val="single" w:sz="4" w:space="0" w:color="auto"/>
            </w:tcBorders>
            <w:shd w:val="clear" w:color="auto" w:fill="auto"/>
            <w:noWrap/>
            <w:vAlign w:val="bottom"/>
            <w:hideMark/>
          </w:tcPr>
          <w:p w14:paraId="66A7F40B"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3,3</w:t>
            </w:r>
          </w:p>
        </w:tc>
        <w:tc>
          <w:tcPr>
            <w:tcW w:w="1616" w:type="dxa"/>
            <w:tcBorders>
              <w:top w:val="nil"/>
              <w:left w:val="nil"/>
              <w:bottom w:val="single" w:sz="4" w:space="0" w:color="auto"/>
              <w:right w:val="single" w:sz="4" w:space="0" w:color="auto"/>
            </w:tcBorders>
            <w:shd w:val="clear" w:color="auto" w:fill="auto"/>
            <w:noWrap/>
            <w:vAlign w:val="bottom"/>
            <w:hideMark/>
          </w:tcPr>
          <w:p w14:paraId="544A28A1"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3,9</w:t>
            </w:r>
          </w:p>
        </w:tc>
        <w:tc>
          <w:tcPr>
            <w:tcW w:w="1616" w:type="dxa"/>
            <w:tcBorders>
              <w:top w:val="nil"/>
              <w:left w:val="nil"/>
              <w:bottom w:val="single" w:sz="4" w:space="0" w:color="auto"/>
              <w:right w:val="single" w:sz="4" w:space="0" w:color="auto"/>
            </w:tcBorders>
            <w:shd w:val="clear" w:color="auto" w:fill="auto"/>
            <w:noWrap/>
            <w:vAlign w:val="bottom"/>
            <w:hideMark/>
          </w:tcPr>
          <w:p w14:paraId="3C059223"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3,7</w:t>
            </w:r>
          </w:p>
        </w:tc>
      </w:tr>
      <w:tr w:rsidR="00224658" w:rsidRPr="00F16251" w14:paraId="633E0298"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C152BC2" w14:textId="77777777"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Rychwał</w:t>
            </w:r>
          </w:p>
        </w:tc>
        <w:tc>
          <w:tcPr>
            <w:tcW w:w="1616" w:type="dxa"/>
            <w:tcBorders>
              <w:top w:val="nil"/>
              <w:left w:val="nil"/>
              <w:bottom w:val="single" w:sz="4" w:space="0" w:color="auto"/>
              <w:right w:val="single" w:sz="4" w:space="0" w:color="auto"/>
            </w:tcBorders>
            <w:shd w:val="clear" w:color="auto" w:fill="auto"/>
            <w:noWrap/>
            <w:vAlign w:val="bottom"/>
            <w:hideMark/>
          </w:tcPr>
          <w:p w14:paraId="633C8206"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4,1</w:t>
            </w:r>
          </w:p>
        </w:tc>
        <w:tc>
          <w:tcPr>
            <w:tcW w:w="1616" w:type="dxa"/>
            <w:tcBorders>
              <w:top w:val="nil"/>
              <w:left w:val="nil"/>
              <w:bottom w:val="single" w:sz="4" w:space="0" w:color="auto"/>
              <w:right w:val="single" w:sz="4" w:space="0" w:color="auto"/>
            </w:tcBorders>
            <w:shd w:val="clear" w:color="auto" w:fill="auto"/>
            <w:noWrap/>
            <w:vAlign w:val="bottom"/>
            <w:hideMark/>
          </w:tcPr>
          <w:p w14:paraId="23550423"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4,1</w:t>
            </w:r>
          </w:p>
        </w:tc>
        <w:tc>
          <w:tcPr>
            <w:tcW w:w="1616" w:type="dxa"/>
            <w:tcBorders>
              <w:top w:val="nil"/>
              <w:left w:val="nil"/>
              <w:bottom w:val="single" w:sz="4" w:space="0" w:color="auto"/>
              <w:right w:val="single" w:sz="4" w:space="0" w:color="auto"/>
            </w:tcBorders>
            <w:shd w:val="clear" w:color="auto" w:fill="auto"/>
            <w:noWrap/>
            <w:vAlign w:val="bottom"/>
            <w:hideMark/>
          </w:tcPr>
          <w:p w14:paraId="0F8C7208"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3,3</w:t>
            </w:r>
          </w:p>
        </w:tc>
        <w:tc>
          <w:tcPr>
            <w:tcW w:w="1616" w:type="dxa"/>
            <w:tcBorders>
              <w:top w:val="nil"/>
              <w:left w:val="nil"/>
              <w:bottom w:val="single" w:sz="4" w:space="0" w:color="auto"/>
              <w:right w:val="single" w:sz="4" w:space="0" w:color="auto"/>
            </w:tcBorders>
            <w:shd w:val="clear" w:color="auto" w:fill="auto"/>
            <w:noWrap/>
            <w:vAlign w:val="bottom"/>
            <w:hideMark/>
          </w:tcPr>
          <w:p w14:paraId="19FF630B"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4,1</w:t>
            </w:r>
          </w:p>
        </w:tc>
        <w:tc>
          <w:tcPr>
            <w:tcW w:w="1616" w:type="dxa"/>
            <w:tcBorders>
              <w:top w:val="nil"/>
              <w:left w:val="nil"/>
              <w:bottom w:val="single" w:sz="4" w:space="0" w:color="auto"/>
              <w:right w:val="single" w:sz="4" w:space="0" w:color="auto"/>
            </w:tcBorders>
            <w:shd w:val="clear" w:color="auto" w:fill="auto"/>
            <w:noWrap/>
            <w:vAlign w:val="bottom"/>
            <w:hideMark/>
          </w:tcPr>
          <w:p w14:paraId="75875111"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3,5</w:t>
            </w:r>
          </w:p>
        </w:tc>
      </w:tr>
      <w:tr w:rsidR="00224658" w:rsidRPr="00F16251" w14:paraId="6178776A"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CF66027" w14:textId="77777777"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Rzgów</w:t>
            </w:r>
          </w:p>
        </w:tc>
        <w:tc>
          <w:tcPr>
            <w:tcW w:w="1616" w:type="dxa"/>
            <w:tcBorders>
              <w:top w:val="nil"/>
              <w:left w:val="nil"/>
              <w:bottom w:val="single" w:sz="4" w:space="0" w:color="auto"/>
              <w:right w:val="single" w:sz="4" w:space="0" w:color="auto"/>
            </w:tcBorders>
            <w:shd w:val="clear" w:color="auto" w:fill="auto"/>
            <w:noWrap/>
            <w:vAlign w:val="bottom"/>
            <w:hideMark/>
          </w:tcPr>
          <w:p w14:paraId="72D39753"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5,1</w:t>
            </w:r>
          </w:p>
        </w:tc>
        <w:tc>
          <w:tcPr>
            <w:tcW w:w="1616" w:type="dxa"/>
            <w:tcBorders>
              <w:top w:val="nil"/>
              <w:left w:val="nil"/>
              <w:bottom w:val="single" w:sz="4" w:space="0" w:color="auto"/>
              <w:right w:val="single" w:sz="4" w:space="0" w:color="auto"/>
            </w:tcBorders>
            <w:shd w:val="clear" w:color="auto" w:fill="auto"/>
            <w:noWrap/>
            <w:vAlign w:val="bottom"/>
            <w:hideMark/>
          </w:tcPr>
          <w:p w14:paraId="3A613F38"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4,0</w:t>
            </w:r>
          </w:p>
        </w:tc>
        <w:tc>
          <w:tcPr>
            <w:tcW w:w="1616" w:type="dxa"/>
            <w:tcBorders>
              <w:top w:val="nil"/>
              <w:left w:val="nil"/>
              <w:bottom w:val="single" w:sz="4" w:space="0" w:color="auto"/>
              <w:right w:val="single" w:sz="4" w:space="0" w:color="auto"/>
            </w:tcBorders>
            <w:shd w:val="clear" w:color="auto" w:fill="auto"/>
            <w:noWrap/>
            <w:vAlign w:val="bottom"/>
            <w:hideMark/>
          </w:tcPr>
          <w:p w14:paraId="3FC308C2"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3,6</w:t>
            </w:r>
          </w:p>
        </w:tc>
        <w:tc>
          <w:tcPr>
            <w:tcW w:w="1616" w:type="dxa"/>
            <w:tcBorders>
              <w:top w:val="nil"/>
              <w:left w:val="nil"/>
              <w:bottom w:val="single" w:sz="4" w:space="0" w:color="auto"/>
              <w:right w:val="single" w:sz="4" w:space="0" w:color="auto"/>
            </w:tcBorders>
            <w:shd w:val="clear" w:color="auto" w:fill="auto"/>
            <w:noWrap/>
            <w:vAlign w:val="bottom"/>
            <w:hideMark/>
          </w:tcPr>
          <w:p w14:paraId="3833C3E8"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4,1</w:t>
            </w:r>
          </w:p>
        </w:tc>
        <w:tc>
          <w:tcPr>
            <w:tcW w:w="1616" w:type="dxa"/>
            <w:tcBorders>
              <w:top w:val="nil"/>
              <w:left w:val="nil"/>
              <w:bottom w:val="single" w:sz="4" w:space="0" w:color="auto"/>
              <w:right w:val="single" w:sz="4" w:space="0" w:color="auto"/>
            </w:tcBorders>
            <w:shd w:val="clear" w:color="auto" w:fill="auto"/>
            <w:noWrap/>
            <w:vAlign w:val="bottom"/>
            <w:hideMark/>
          </w:tcPr>
          <w:p w14:paraId="34EF756C"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4,2</w:t>
            </w:r>
          </w:p>
        </w:tc>
      </w:tr>
      <w:tr w:rsidR="00224658" w:rsidRPr="00F16251" w14:paraId="20FC7C51"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58A0CC6" w14:textId="566B03FE"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Stare</w:t>
            </w:r>
            <w:r w:rsidR="003B50ED" w:rsidRPr="00F16251">
              <w:rPr>
                <w:rFonts w:eastAsia="Times New Roman" w:cstheme="minorHAnsi"/>
                <w:color w:val="000000"/>
                <w:kern w:val="0"/>
                <w:lang w:eastAsia="pl-PL"/>
                <w14:ligatures w14:val="none"/>
              </w:rPr>
              <w:t xml:space="preserve"> </w:t>
            </w:r>
            <w:r w:rsidRPr="00F16251">
              <w:rPr>
                <w:rFonts w:eastAsia="Times New Roman" w:cstheme="minorHAnsi"/>
                <w:color w:val="000000"/>
                <w:kern w:val="0"/>
                <w:lang w:eastAsia="pl-PL"/>
                <w14:ligatures w14:val="none"/>
              </w:rPr>
              <w:t>Miasto</w:t>
            </w:r>
          </w:p>
        </w:tc>
        <w:tc>
          <w:tcPr>
            <w:tcW w:w="1616" w:type="dxa"/>
            <w:tcBorders>
              <w:top w:val="nil"/>
              <w:left w:val="nil"/>
              <w:bottom w:val="single" w:sz="4" w:space="0" w:color="auto"/>
              <w:right w:val="single" w:sz="4" w:space="0" w:color="auto"/>
            </w:tcBorders>
            <w:shd w:val="clear" w:color="auto" w:fill="auto"/>
            <w:noWrap/>
            <w:vAlign w:val="bottom"/>
            <w:hideMark/>
          </w:tcPr>
          <w:p w14:paraId="7C18FE03"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5,0</w:t>
            </w:r>
          </w:p>
        </w:tc>
        <w:tc>
          <w:tcPr>
            <w:tcW w:w="1616" w:type="dxa"/>
            <w:tcBorders>
              <w:top w:val="nil"/>
              <w:left w:val="nil"/>
              <w:bottom w:val="single" w:sz="4" w:space="0" w:color="auto"/>
              <w:right w:val="single" w:sz="4" w:space="0" w:color="auto"/>
            </w:tcBorders>
            <w:shd w:val="clear" w:color="auto" w:fill="auto"/>
            <w:noWrap/>
            <w:vAlign w:val="bottom"/>
            <w:hideMark/>
          </w:tcPr>
          <w:p w14:paraId="65D5C37B"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3,3</w:t>
            </w:r>
          </w:p>
        </w:tc>
        <w:tc>
          <w:tcPr>
            <w:tcW w:w="1616" w:type="dxa"/>
            <w:tcBorders>
              <w:top w:val="nil"/>
              <w:left w:val="nil"/>
              <w:bottom w:val="single" w:sz="4" w:space="0" w:color="auto"/>
              <w:right w:val="single" w:sz="4" w:space="0" w:color="auto"/>
            </w:tcBorders>
            <w:shd w:val="clear" w:color="auto" w:fill="auto"/>
            <w:noWrap/>
            <w:vAlign w:val="bottom"/>
            <w:hideMark/>
          </w:tcPr>
          <w:p w14:paraId="54B93267"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3,1</w:t>
            </w:r>
          </w:p>
        </w:tc>
        <w:tc>
          <w:tcPr>
            <w:tcW w:w="1616" w:type="dxa"/>
            <w:tcBorders>
              <w:top w:val="nil"/>
              <w:left w:val="nil"/>
              <w:bottom w:val="single" w:sz="4" w:space="0" w:color="auto"/>
              <w:right w:val="single" w:sz="4" w:space="0" w:color="auto"/>
            </w:tcBorders>
            <w:shd w:val="clear" w:color="auto" w:fill="auto"/>
            <w:noWrap/>
            <w:vAlign w:val="bottom"/>
            <w:hideMark/>
          </w:tcPr>
          <w:p w14:paraId="5FCF88C3"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3,8</w:t>
            </w:r>
          </w:p>
        </w:tc>
        <w:tc>
          <w:tcPr>
            <w:tcW w:w="1616" w:type="dxa"/>
            <w:tcBorders>
              <w:top w:val="nil"/>
              <w:left w:val="nil"/>
              <w:bottom w:val="single" w:sz="4" w:space="0" w:color="auto"/>
              <w:right w:val="single" w:sz="4" w:space="0" w:color="auto"/>
            </w:tcBorders>
            <w:shd w:val="clear" w:color="auto" w:fill="auto"/>
            <w:noWrap/>
            <w:vAlign w:val="bottom"/>
            <w:hideMark/>
          </w:tcPr>
          <w:p w14:paraId="37BE7788"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3,4</w:t>
            </w:r>
          </w:p>
        </w:tc>
      </w:tr>
      <w:tr w:rsidR="00224658" w:rsidRPr="00F16251" w14:paraId="70E5588C"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139F616" w14:textId="77777777"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Tuliszków</w:t>
            </w:r>
          </w:p>
        </w:tc>
        <w:tc>
          <w:tcPr>
            <w:tcW w:w="1616" w:type="dxa"/>
            <w:tcBorders>
              <w:top w:val="nil"/>
              <w:left w:val="nil"/>
              <w:bottom w:val="single" w:sz="4" w:space="0" w:color="auto"/>
              <w:right w:val="single" w:sz="4" w:space="0" w:color="auto"/>
            </w:tcBorders>
            <w:shd w:val="clear" w:color="auto" w:fill="auto"/>
            <w:noWrap/>
            <w:vAlign w:val="bottom"/>
            <w:hideMark/>
          </w:tcPr>
          <w:p w14:paraId="77A2687B"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3,9</w:t>
            </w:r>
          </w:p>
        </w:tc>
        <w:tc>
          <w:tcPr>
            <w:tcW w:w="1616" w:type="dxa"/>
            <w:tcBorders>
              <w:top w:val="nil"/>
              <w:left w:val="nil"/>
              <w:bottom w:val="single" w:sz="4" w:space="0" w:color="auto"/>
              <w:right w:val="single" w:sz="4" w:space="0" w:color="auto"/>
            </w:tcBorders>
            <w:shd w:val="clear" w:color="auto" w:fill="auto"/>
            <w:noWrap/>
            <w:vAlign w:val="bottom"/>
            <w:hideMark/>
          </w:tcPr>
          <w:p w14:paraId="2C8F2342"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3,3</w:t>
            </w:r>
          </w:p>
        </w:tc>
        <w:tc>
          <w:tcPr>
            <w:tcW w:w="1616" w:type="dxa"/>
            <w:tcBorders>
              <w:top w:val="nil"/>
              <w:left w:val="nil"/>
              <w:bottom w:val="single" w:sz="4" w:space="0" w:color="auto"/>
              <w:right w:val="single" w:sz="4" w:space="0" w:color="auto"/>
            </w:tcBorders>
            <w:shd w:val="clear" w:color="auto" w:fill="auto"/>
            <w:noWrap/>
            <w:vAlign w:val="bottom"/>
            <w:hideMark/>
          </w:tcPr>
          <w:p w14:paraId="0A485619"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2,8</w:t>
            </w:r>
          </w:p>
        </w:tc>
        <w:tc>
          <w:tcPr>
            <w:tcW w:w="1616" w:type="dxa"/>
            <w:tcBorders>
              <w:top w:val="nil"/>
              <w:left w:val="nil"/>
              <w:bottom w:val="single" w:sz="4" w:space="0" w:color="auto"/>
              <w:right w:val="single" w:sz="4" w:space="0" w:color="auto"/>
            </w:tcBorders>
            <w:shd w:val="clear" w:color="auto" w:fill="auto"/>
            <w:noWrap/>
            <w:vAlign w:val="bottom"/>
            <w:hideMark/>
          </w:tcPr>
          <w:p w14:paraId="141BBCA0"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3,4</w:t>
            </w:r>
          </w:p>
        </w:tc>
        <w:tc>
          <w:tcPr>
            <w:tcW w:w="1616" w:type="dxa"/>
            <w:tcBorders>
              <w:top w:val="nil"/>
              <w:left w:val="nil"/>
              <w:bottom w:val="single" w:sz="4" w:space="0" w:color="auto"/>
              <w:right w:val="single" w:sz="4" w:space="0" w:color="auto"/>
            </w:tcBorders>
            <w:shd w:val="clear" w:color="auto" w:fill="auto"/>
            <w:noWrap/>
            <w:vAlign w:val="bottom"/>
            <w:hideMark/>
          </w:tcPr>
          <w:p w14:paraId="071FFACE"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2,8</w:t>
            </w:r>
          </w:p>
        </w:tc>
      </w:tr>
      <w:tr w:rsidR="00DE110A" w:rsidRPr="00F16251" w14:paraId="1E7F4E06" w14:textId="77777777" w:rsidTr="007F1E76">
        <w:trPr>
          <w:trHeight w:val="249"/>
        </w:trPr>
        <w:tc>
          <w:tcPr>
            <w:tcW w:w="1980" w:type="dxa"/>
            <w:tcBorders>
              <w:top w:val="nil"/>
              <w:left w:val="single" w:sz="4" w:space="0" w:color="auto"/>
              <w:bottom w:val="single" w:sz="4" w:space="0" w:color="auto"/>
              <w:right w:val="single" w:sz="4" w:space="0" w:color="auto"/>
            </w:tcBorders>
            <w:shd w:val="clear" w:color="000000" w:fill="DDEBF7"/>
            <w:vAlign w:val="bottom"/>
            <w:hideMark/>
          </w:tcPr>
          <w:p w14:paraId="2982D70A" w14:textId="12E741BC" w:rsidR="00DE110A" w:rsidRPr="00F16251" w:rsidRDefault="00DE110A" w:rsidP="00DE110A">
            <w:pPr>
              <w:spacing w:line="276" w:lineRule="auto"/>
              <w:rPr>
                <w:rFonts w:eastAsia="Times New Roman" w:cstheme="minorHAnsi"/>
                <w:color w:val="000000"/>
                <w:kern w:val="0"/>
                <w:lang w:eastAsia="pl-PL"/>
                <w14:ligatures w14:val="none"/>
              </w:rPr>
            </w:pPr>
            <w:r w:rsidRPr="00F16251">
              <w:rPr>
                <w:rFonts w:ascii="Calibri" w:hAnsi="Calibri" w:cs="Calibri"/>
                <w:color w:val="000000"/>
              </w:rPr>
              <w:t>Średnia LGD</w:t>
            </w:r>
          </w:p>
        </w:tc>
        <w:tc>
          <w:tcPr>
            <w:tcW w:w="1616" w:type="dxa"/>
            <w:tcBorders>
              <w:top w:val="nil"/>
              <w:left w:val="nil"/>
              <w:bottom w:val="single" w:sz="4" w:space="0" w:color="auto"/>
              <w:right w:val="single" w:sz="4" w:space="0" w:color="auto"/>
            </w:tcBorders>
            <w:shd w:val="clear" w:color="000000" w:fill="DDEBF7"/>
            <w:noWrap/>
            <w:vAlign w:val="bottom"/>
            <w:hideMark/>
          </w:tcPr>
          <w:p w14:paraId="1B806EEE" w14:textId="1ED16565" w:rsidR="00DE110A" w:rsidRPr="00F16251" w:rsidRDefault="00DE110A" w:rsidP="00DE110A">
            <w:pPr>
              <w:spacing w:line="276" w:lineRule="auto"/>
              <w:jc w:val="right"/>
              <w:rPr>
                <w:rFonts w:eastAsia="Times New Roman" w:cstheme="minorHAnsi"/>
                <w:color w:val="000000"/>
                <w:kern w:val="0"/>
                <w:lang w:eastAsia="pl-PL"/>
                <w14:ligatures w14:val="none"/>
              </w:rPr>
            </w:pPr>
            <w:r w:rsidRPr="00F16251">
              <w:rPr>
                <w:rFonts w:ascii="Calibri" w:hAnsi="Calibri" w:cs="Calibri"/>
                <w:color w:val="000000"/>
              </w:rPr>
              <w:t>4,78</w:t>
            </w:r>
          </w:p>
        </w:tc>
        <w:tc>
          <w:tcPr>
            <w:tcW w:w="1616" w:type="dxa"/>
            <w:tcBorders>
              <w:top w:val="nil"/>
              <w:left w:val="nil"/>
              <w:bottom w:val="single" w:sz="4" w:space="0" w:color="auto"/>
              <w:right w:val="single" w:sz="4" w:space="0" w:color="auto"/>
            </w:tcBorders>
            <w:shd w:val="clear" w:color="000000" w:fill="DDEBF7"/>
            <w:noWrap/>
            <w:vAlign w:val="bottom"/>
            <w:hideMark/>
          </w:tcPr>
          <w:p w14:paraId="292C6133" w14:textId="3A69143E" w:rsidR="00DE110A" w:rsidRPr="00F16251" w:rsidRDefault="00DE110A" w:rsidP="00DE110A">
            <w:pPr>
              <w:spacing w:line="276" w:lineRule="auto"/>
              <w:jc w:val="right"/>
              <w:rPr>
                <w:rFonts w:eastAsia="Times New Roman" w:cstheme="minorHAnsi"/>
                <w:color w:val="000000"/>
                <w:kern w:val="0"/>
                <w:lang w:eastAsia="pl-PL"/>
                <w14:ligatures w14:val="none"/>
              </w:rPr>
            </w:pPr>
            <w:r w:rsidRPr="00F16251">
              <w:rPr>
                <w:rFonts w:ascii="Calibri" w:hAnsi="Calibri" w:cs="Calibri"/>
                <w:color w:val="000000"/>
              </w:rPr>
              <w:t>3,87</w:t>
            </w:r>
          </w:p>
        </w:tc>
        <w:tc>
          <w:tcPr>
            <w:tcW w:w="1616" w:type="dxa"/>
            <w:tcBorders>
              <w:top w:val="nil"/>
              <w:left w:val="nil"/>
              <w:bottom w:val="single" w:sz="4" w:space="0" w:color="auto"/>
              <w:right w:val="single" w:sz="4" w:space="0" w:color="auto"/>
            </w:tcBorders>
            <w:shd w:val="clear" w:color="000000" w:fill="DDEBF7"/>
            <w:noWrap/>
            <w:vAlign w:val="bottom"/>
            <w:hideMark/>
          </w:tcPr>
          <w:p w14:paraId="2699B8F8" w14:textId="175B0E1E" w:rsidR="00DE110A" w:rsidRPr="00F16251" w:rsidRDefault="00DE110A" w:rsidP="00DE110A">
            <w:pPr>
              <w:spacing w:line="276" w:lineRule="auto"/>
              <w:jc w:val="right"/>
              <w:rPr>
                <w:rFonts w:eastAsia="Times New Roman" w:cstheme="minorHAnsi"/>
                <w:color w:val="000000"/>
                <w:kern w:val="0"/>
                <w:lang w:eastAsia="pl-PL"/>
                <w14:ligatures w14:val="none"/>
              </w:rPr>
            </w:pPr>
            <w:r w:rsidRPr="00F16251">
              <w:rPr>
                <w:rFonts w:ascii="Calibri" w:hAnsi="Calibri" w:cs="Calibri"/>
                <w:color w:val="000000"/>
              </w:rPr>
              <w:t>3,57</w:t>
            </w:r>
          </w:p>
        </w:tc>
        <w:tc>
          <w:tcPr>
            <w:tcW w:w="1616" w:type="dxa"/>
            <w:tcBorders>
              <w:top w:val="nil"/>
              <w:left w:val="nil"/>
              <w:bottom w:val="single" w:sz="4" w:space="0" w:color="auto"/>
              <w:right w:val="single" w:sz="4" w:space="0" w:color="auto"/>
            </w:tcBorders>
            <w:shd w:val="clear" w:color="000000" w:fill="DDEBF7"/>
            <w:noWrap/>
            <w:vAlign w:val="bottom"/>
            <w:hideMark/>
          </w:tcPr>
          <w:p w14:paraId="7259DAF5" w14:textId="7ECB65DB" w:rsidR="00DE110A" w:rsidRPr="00F16251" w:rsidRDefault="00DE110A" w:rsidP="00DE110A">
            <w:pPr>
              <w:spacing w:line="276" w:lineRule="auto"/>
              <w:jc w:val="right"/>
              <w:rPr>
                <w:rFonts w:eastAsia="Times New Roman" w:cstheme="minorHAnsi"/>
                <w:color w:val="000000"/>
                <w:kern w:val="0"/>
                <w:lang w:eastAsia="pl-PL"/>
                <w14:ligatures w14:val="none"/>
              </w:rPr>
            </w:pPr>
            <w:r w:rsidRPr="00F16251">
              <w:rPr>
                <w:rFonts w:ascii="Calibri" w:hAnsi="Calibri" w:cs="Calibri"/>
                <w:color w:val="000000"/>
              </w:rPr>
              <w:t>4,28</w:t>
            </w:r>
          </w:p>
        </w:tc>
        <w:tc>
          <w:tcPr>
            <w:tcW w:w="1616" w:type="dxa"/>
            <w:tcBorders>
              <w:top w:val="nil"/>
              <w:left w:val="nil"/>
              <w:bottom w:val="single" w:sz="4" w:space="0" w:color="auto"/>
              <w:right w:val="single" w:sz="4" w:space="0" w:color="auto"/>
            </w:tcBorders>
            <w:shd w:val="clear" w:color="000000" w:fill="DDEBF7"/>
            <w:noWrap/>
            <w:vAlign w:val="bottom"/>
            <w:hideMark/>
          </w:tcPr>
          <w:p w14:paraId="7C31D32D" w14:textId="588016F3" w:rsidR="00DE110A" w:rsidRPr="00F16251" w:rsidRDefault="00DE110A" w:rsidP="00DE110A">
            <w:pPr>
              <w:spacing w:line="276" w:lineRule="auto"/>
              <w:jc w:val="right"/>
              <w:rPr>
                <w:rFonts w:eastAsia="Times New Roman" w:cstheme="minorHAnsi"/>
                <w:color w:val="000000"/>
                <w:kern w:val="0"/>
                <w:lang w:eastAsia="pl-PL"/>
                <w14:ligatures w14:val="none"/>
              </w:rPr>
            </w:pPr>
            <w:r w:rsidRPr="00F16251">
              <w:rPr>
                <w:rFonts w:ascii="Calibri" w:hAnsi="Calibri" w:cs="Calibri"/>
                <w:color w:val="000000"/>
              </w:rPr>
              <w:t>3,82</w:t>
            </w:r>
          </w:p>
        </w:tc>
      </w:tr>
    </w:tbl>
    <w:p w14:paraId="14E10C95" w14:textId="54EFF009" w:rsidR="00224658" w:rsidRPr="00F16251" w:rsidRDefault="00224658" w:rsidP="00A26C26">
      <w:pPr>
        <w:spacing w:line="276" w:lineRule="auto"/>
        <w:rPr>
          <w:rFonts w:cstheme="minorHAnsi"/>
        </w:rPr>
      </w:pPr>
      <w:r w:rsidRPr="00F16251">
        <w:rPr>
          <w:rFonts w:cstheme="minorHAnsi"/>
        </w:rPr>
        <w:t>Źródło:</w:t>
      </w:r>
      <w:r w:rsidR="003B50ED" w:rsidRPr="00F16251">
        <w:rPr>
          <w:rFonts w:cstheme="minorHAnsi"/>
        </w:rPr>
        <w:t xml:space="preserve"> </w:t>
      </w:r>
      <w:r w:rsidRPr="00F16251">
        <w:rPr>
          <w:rFonts w:cstheme="minorHAnsi"/>
        </w:rPr>
        <w:t>GUS,</w:t>
      </w:r>
      <w:r w:rsidR="003B50ED" w:rsidRPr="00F16251">
        <w:rPr>
          <w:rFonts w:cstheme="minorHAnsi"/>
        </w:rPr>
        <w:t xml:space="preserve"> </w:t>
      </w:r>
      <w:r w:rsidRPr="00F16251">
        <w:rPr>
          <w:rFonts w:cstheme="minorHAnsi"/>
        </w:rPr>
        <w:t>Bank</w:t>
      </w:r>
      <w:r w:rsidR="003B50ED" w:rsidRPr="00F16251">
        <w:rPr>
          <w:rFonts w:cstheme="minorHAnsi"/>
        </w:rPr>
        <w:t xml:space="preserve"> </w:t>
      </w:r>
      <w:r w:rsidRPr="00F16251">
        <w:rPr>
          <w:rFonts w:cstheme="minorHAnsi"/>
        </w:rPr>
        <w:t>Danych</w:t>
      </w:r>
      <w:r w:rsidR="003B50ED" w:rsidRPr="00F16251">
        <w:rPr>
          <w:rFonts w:cstheme="minorHAnsi"/>
        </w:rPr>
        <w:t xml:space="preserve"> </w:t>
      </w:r>
      <w:r w:rsidRPr="00F16251">
        <w:rPr>
          <w:rFonts w:cstheme="minorHAnsi"/>
        </w:rPr>
        <w:t>Lokalnych</w:t>
      </w:r>
    </w:p>
    <w:p w14:paraId="18AC5FC9" w14:textId="77777777" w:rsidR="00224658" w:rsidRPr="00F16251" w:rsidRDefault="00224658" w:rsidP="00A26C26">
      <w:pPr>
        <w:autoSpaceDE w:val="0"/>
        <w:autoSpaceDN w:val="0"/>
        <w:adjustRightInd w:val="0"/>
        <w:spacing w:line="276" w:lineRule="auto"/>
        <w:jc w:val="both"/>
        <w:rPr>
          <w:rFonts w:cstheme="minorHAnsi"/>
          <w:color w:val="000000"/>
          <w:kern w:val="0"/>
        </w:rPr>
      </w:pPr>
    </w:p>
    <w:p w14:paraId="27E36994" w14:textId="741322D9" w:rsidR="00224658" w:rsidRPr="00F16251" w:rsidRDefault="00224658" w:rsidP="00A26C26">
      <w:pPr>
        <w:autoSpaceDE w:val="0"/>
        <w:autoSpaceDN w:val="0"/>
        <w:adjustRightInd w:val="0"/>
        <w:spacing w:line="276" w:lineRule="auto"/>
        <w:jc w:val="both"/>
        <w:rPr>
          <w:rFonts w:cstheme="minorHAnsi"/>
        </w:rPr>
      </w:pPr>
      <w:r w:rsidRPr="00F16251">
        <w:rPr>
          <w:rFonts w:cstheme="minorHAnsi"/>
          <w:color w:val="000000"/>
          <w:kern w:val="0"/>
        </w:rPr>
        <w:t>Tabela</w:t>
      </w:r>
      <w:r w:rsidR="00396A11">
        <w:rPr>
          <w:rFonts w:cstheme="minorHAnsi"/>
          <w:color w:val="000000"/>
          <w:kern w:val="0"/>
        </w:rPr>
        <w:t xml:space="preserve"> nr 1</w:t>
      </w:r>
      <w:r w:rsidR="00203429">
        <w:rPr>
          <w:rFonts w:cstheme="minorHAnsi"/>
          <w:color w:val="000000"/>
          <w:kern w:val="0"/>
        </w:rPr>
        <w:t>4</w:t>
      </w:r>
      <w:r w:rsidR="003B50ED" w:rsidRPr="00F16251">
        <w:rPr>
          <w:rFonts w:cstheme="minorHAnsi"/>
          <w:color w:val="000000"/>
          <w:kern w:val="0"/>
        </w:rPr>
        <w:t xml:space="preserve"> </w:t>
      </w:r>
      <w:r w:rsidRPr="00F16251">
        <w:rPr>
          <w:rFonts w:cstheme="minorHAnsi"/>
        </w:rPr>
        <w:t>Pracujący</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1000</w:t>
      </w:r>
      <w:r w:rsidR="003B50ED" w:rsidRPr="00F16251">
        <w:rPr>
          <w:rFonts w:cstheme="minorHAnsi"/>
        </w:rPr>
        <w:t xml:space="preserve"> </w:t>
      </w:r>
      <w:r w:rsidRPr="00F16251">
        <w:rPr>
          <w:rFonts w:cstheme="minorHAnsi"/>
        </w:rPr>
        <w:t>ludności</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wieku</w:t>
      </w:r>
      <w:r w:rsidR="003B50ED" w:rsidRPr="00F16251">
        <w:rPr>
          <w:rFonts w:cstheme="minorHAnsi"/>
        </w:rPr>
        <w:t xml:space="preserve"> </w:t>
      </w:r>
      <w:r w:rsidRPr="00F16251">
        <w:rPr>
          <w:rFonts w:cstheme="minorHAnsi"/>
        </w:rPr>
        <w:t>produkcyjnym-</w:t>
      </w:r>
      <w:r w:rsidR="003B50ED" w:rsidRPr="00F16251">
        <w:rPr>
          <w:rFonts w:cstheme="minorHAnsi"/>
        </w:rPr>
        <w:t xml:space="preserve"> </w:t>
      </w:r>
      <w:r w:rsidRPr="00F16251">
        <w:rPr>
          <w:rFonts w:cstheme="minorHAnsi"/>
        </w:rPr>
        <w:t>osoba</w:t>
      </w:r>
    </w:p>
    <w:tbl>
      <w:tblPr>
        <w:tblW w:w="10060" w:type="dxa"/>
        <w:tblLayout w:type="fixed"/>
        <w:tblCellMar>
          <w:left w:w="70" w:type="dxa"/>
          <w:right w:w="70" w:type="dxa"/>
        </w:tblCellMar>
        <w:tblLook w:val="04A0" w:firstRow="1" w:lastRow="0" w:firstColumn="1" w:lastColumn="0" w:noHBand="0" w:noVBand="1"/>
      </w:tblPr>
      <w:tblGrid>
        <w:gridCol w:w="1980"/>
        <w:gridCol w:w="1616"/>
        <w:gridCol w:w="1616"/>
        <w:gridCol w:w="1616"/>
        <w:gridCol w:w="1616"/>
        <w:gridCol w:w="1616"/>
      </w:tblGrid>
      <w:tr w:rsidR="00224658" w:rsidRPr="00F16251" w14:paraId="71E728F4" w14:textId="77777777" w:rsidTr="007F1E76">
        <w:trPr>
          <w:trHeight w:val="249"/>
        </w:trPr>
        <w:tc>
          <w:tcPr>
            <w:tcW w:w="198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A561826" w14:textId="35ADE664" w:rsidR="00224658" w:rsidRPr="00F16251" w:rsidRDefault="003B50ED"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 xml:space="preserve"> </w:t>
            </w:r>
          </w:p>
        </w:tc>
        <w:tc>
          <w:tcPr>
            <w:tcW w:w="1616" w:type="dxa"/>
            <w:tcBorders>
              <w:top w:val="single" w:sz="4" w:space="0" w:color="auto"/>
              <w:left w:val="nil"/>
              <w:bottom w:val="single" w:sz="4" w:space="0" w:color="auto"/>
              <w:right w:val="single" w:sz="4" w:space="0" w:color="auto"/>
            </w:tcBorders>
            <w:shd w:val="clear" w:color="000000" w:fill="DDEBF7"/>
            <w:noWrap/>
            <w:vAlign w:val="bottom"/>
            <w:hideMark/>
          </w:tcPr>
          <w:p w14:paraId="33E94B4A"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2017</w:t>
            </w:r>
          </w:p>
        </w:tc>
        <w:tc>
          <w:tcPr>
            <w:tcW w:w="1616" w:type="dxa"/>
            <w:tcBorders>
              <w:top w:val="single" w:sz="4" w:space="0" w:color="auto"/>
              <w:left w:val="nil"/>
              <w:bottom w:val="single" w:sz="4" w:space="0" w:color="auto"/>
              <w:right w:val="single" w:sz="4" w:space="0" w:color="auto"/>
            </w:tcBorders>
            <w:shd w:val="clear" w:color="000000" w:fill="DDEBF7"/>
            <w:noWrap/>
            <w:vAlign w:val="bottom"/>
            <w:hideMark/>
          </w:tcPr>
          <w:p w14:paraId="17FA156D"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2018</w:t>
            </w:r>
          </w:p>
        </w:tc>
        <w:tc>
          <w:tcPr>
            <w:tcW w:w="1616" w:type="dxa"/>
            <w:tcBorders>
              <w:top w:val="single" w:sz="4" w:space="0" w:color="auto"/>
              <w:left w:val="nil"/>
              <w:bottom w:val="single" w:sz="4" w:space="0" w:color="auto"/>
              <w:right w:val="single" w:sz="4" w:space="0" w:color="auto"/>
            </w:tcBorders>
            <w:shd w:val="clear" w:color="000000" w:fill="DDEBF7"/>
            <w:noWrap/>
            <w:vAlign w:val="bottom"/>
            <w:hideMark/>
          </w:tcPr>
          <w:p w14:paraId="7014AB45"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2019</w:t>
            </w:r>
          </w:p>
        </w:tc>
        <w:tc>
          <w:tcPr>
            <w:tcW w:w="1616" w:type="dxa"/>
            <w:tcBorders>
              <w:top w:val="single" w:sz="4" w:space="0" w:color="auto"/>
              <w:left w:val="nil"/>
              <w:bottom w:val="single" w:sz="4" w:space="0" w:color="auto"/>
              <w:right w:val="single" w:sz="4" w:space="0" w:color="auto"/>
            </w:tcBorders>
            <w:shd w:val="clear" w:color="000000" w:fill="DDEBF7"/>
            <w:noWrap/>
            <w:vAlign w:val="bottom"/>
            <w:hideMark/>
          </w:tcPr>
          <w:p w14:paraId="63FB6A81"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2020</w:t>
            </w:r>
          </w:p>
        </w:tc>
        <w:tc>
          <w:tcPr>
            <w:tcW w:w="1616" w:type="dxa"/>
            <w:tcBorders>
              <w:top w:val="single" w:sz="4" w:space="0" w:color="auto"/>
              <w:left w:val="nil"/>
              <w:bottom w:val="single" w:sz="4" w:space="0" w:color="auto"/>
              <w:right w:val="single" w:sz="4" w:space="0" w:color="auto"/>
            </w:tcBorders>
            <w:shd w:val="clear" w:color="000000" w:fill="DDEBF7"/>
            <w:noWrap/>
            <w:vAlign w:val="bottom"/>
            <w:hideMark/>
          </w:tcPr>
          <w:p w14:paraId="3F31BB31"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2021</w:t>
            </w:r>
          </w:p>
        </w:tc>
      </w:tr>
      <w:tr w:rsidR="00224658" w:rsidRPr="00F16251" w14:paraId="6F2AB43A"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C1B16E5" w14:textId="77777777"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Golina</w:t>
            </w:r>
          </w:p>
        </w:tc>
        <w:tc>
          <w:tcPr>
            <w:tcW w:w="1616" w:type="dxa"/>
            <w:tcBorders>
              <w:top w:val="nil"/>
              <w:left w:val="nil"/>
              <w:bottom w:val="single" w:sz="4" w:space="0" w:color="auto"/>
              <w:right w:val="single" w:sz="4" w:space="0" w:color="auto"/>
            </w:tcBorders>
            <w:shd w:val="clear" w:color="auto" w:fill="auto"/>
            <w:noWrap/>
            <w:vAlign w:val="bottom"/>
            <w:hideMark/>
          </w:tcPr>
          <w:p w14:paraId="464A2B94"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167,2</w:t>
            </w:r>
          </w:p>
        </w:tc>
        <w:tc>
          <w:tcPr>
            <w:tcW w:w="1616" w:type="dxa"/>
            <w:tcBorders>
              <w:top w:val="nil"/>
              <w:left w:val="nil"/>
              <w:bottom w:val="single" w:sz="4" w:space="0" w:color="auto"/>
              <w:right w:val="single" w:sz="4" w:space="0" w:color="auto"/>
            </w:tcBorders>
            <w:shd w:val="clear" w:color="auto" w:fill="auto"/>
            <w:noWrap/>
            <w:vAlign w:val="bottom"/>
            <w:hideMark/>
          </w:tcPr>
          <w:p w14:paraId="2676A52F"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171,6</w:t>
            </w:r>
          </w:p>
        </w:tc>
        <w:tc>
          <w:tcPr>
            <w:tcW w:w="1616" w:type="dxa"/>
            <w:tcBorders>
              <w:top w:val="nil"/>
              <w:left w:val="nil"/>
              <w:bottom w:val="single" w:sz="4" w:space="0" w:color="auto"/>
              <w:right w:val="single" w:sz="4" w:space="0" w:color="auto"/>
            </w:tcBorders>
            <w:shd w:val="clear" w:color="auto" w:fill="auto"/>
            <w:noWrap/>
            <w:vAlign w:val="bottom"/>
            <w:hideMark/>
          </w:tcPr>
          <w:p w14:paraId="30ABBC70"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172,6</w:t>
            </w:r>
          </w:p>
        </w:tc>
        <w:tc>
          <w:tcPr>
            <w:tcW w:w="1616" w:type="dxa"/>
            <w:tcBorders>
              <w:top w:val="nil"/>
              <w:left w:val="nil"/>
              <w:bottom w:val="single" w:sz="4" w:space="0" w:color="auto"/>
              <w:right w:val="single" w:sz="4" w:space="0" w:color="auto"/>
            </w:tcBorders>
            <w:shd w:val="clear" w:color="auto" w:fill="auto"/>
            <w:noWrap/>
            <w:vAlign w:val="bottom"/>
            <w:hideMark/>
          </w:tcPr>
          <w:p w14:paraId="4768EFA6"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174,9</w:t>
            </w:r>
          </w:p>
        </w:tc>
        <w:tc>
          <w:tcPr>
            <w:tcW w:w="1616" w:type="dxa"/>
            <w:tcBorders>
              <w:top w:val="nil"/>
              <w:left w:val="nil"/>
              <w:bottom w:val="single" w:sz="4" w:space="0" w:color="auto"/>
              <w:right w:val="single" w:sz="4" w:space="0" w:color="auto"/>
            </w:tcBorders>
            <w:shd w:val="clear" w:color="auto" w:fill="auto"/>
            <w:noWrap/>
            <w:vAlign w:val="bottom"/>
            <w:hideMark/>
          </w:tcPr>
          <w:p w14:paraId="1FBEA0C7"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207,7</w:t>
            </w:r>
          </w:p>
        </w:tc>
      </w:tr>
      <w:tr w:rsidR="00224658" w:rsidRPr="00F16251" w14:paraId="704F32A1"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4510F47" w14:textId="77777777"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Grodziec</w:t>
            </w:r>
          </w:p>
        </w:tc>
        <w:tc>
          <w:tcPr>
            <w:tcW w:w="1616" w:type="dxa"/>
            <w:tcBorders>
              <w:top w:val="nil"/>
              <w:left w:val="nil"/>
              <w:bottom w:val="single" w:sz="4" w:space="0" w:color="auto"/>
              <w:right w:val="single" w:sz="4" w:space="0" w:color="auto"/>
            </w:tcBorders>
            <w:shd w:val="clear" w:color="auto" w:fill="auto"/>
            <w:noWrap/>
            <w:vAlign w:val="bottom"/>
            <w:hideMark/>
          </w:tcPr>
          <w:p w14:paraId="44C3FA86"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122,5</w:t>
            </w:r>
          </w:p>
        </w:tc>
        <w:tc>
          <w:tcPr>
            <w:tcW w:w="1616" w:type="dxa"/>
            <w:tcBorders>
              <w:top w:val="nil"/>
              <w:left w:val="nil"/>
              <w:bottom w:val="single" w:sz="4" w:space="0" w:color="auto"/>
              <w:right w:val="single" w:sz="4" w:space="0" w:color="auto"/>
            </w:tcBorders>
            <w:shd w:val="clear" w:color="auto" w:fill="auto"/>
            <w:noWrap/>
            <w:vAlign w:val="bottom"/>
            <w:hideMark/>
          </w:tcPr>
          <w:p w14:paraId="2D6EB774"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125,1</w:t>
            </w:r>
          </w:p>
        </w:tc>
        <w:tc>
          <w:tcPr>
            <w:tcW w:w="1616" w:type="dxa"/>
            <w:tcBorders>
              <w:top w:val="nil"/>
              <w:left w:val="nil"/>
              <w:bottom w:val="single" w:sz="4" w:space="0" w:color="auto"/>
              <w:right w:val="single" w:sz="4" w:space="0" w:color="auto"/>
            </w:tcBorders>
            <w:shd w:val="clear" w:color="auto" w:fill="auto"/>
            <w:noWrap/>
            <w:vAlign w:val="bottom"/>
            <w:hideMark/>
          </w:tcPr>
          <w:p w14:paraId="0B80AFA4"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128,7</w:t>
            </w:r>
          </w:p>
        </w:tc>
        <w:tc>
          <w:tcPr>
            <w:tcW w:w="1616" w:type="dxa"/>
            <w:tcBorders>
              <w:top w:val="nil"/>
              <w:left w:val="nil"/>
              <w:bottom w:val="single" w:sz="4" w:space="0" w:color="auto"/>
              <w:right w:val="single" w:sz="4" w:space="0" w:color="auto"/>
            </w:tcBorders>
            <w:shd w:val="clear" w:color="auto" w:fill="auto"/>
            <w:noWrap/>
            <w:vAlign w:val="bottom"/>
            <w:hideMark/>
          </w:tcPr>
          <w:p w14:paraId="62DED987"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149,8</w:t>
            </w:r>
          </w:p>
        </w:tc>
        <w:tc>
          <w:tcPr>
            <w:tcW w:w="1616" w:type="dxa"/>
            <w:tcBorders>
              <w:top w:val="nil"/>
              <w:left w:val="nil"/>
              <w:bottom w:val="single" w:sz="4" w:space="0" w:color="auto"/>
              <w:right w:val="single" w:sz="4" w:space="0" w:color="auto"/>
            </w:tcBorders>
            <w:shd w:val="clear" w:color="auto" w:fill="auto"/>
            <w:noWrap/>
            <w:vAlign w:val="bottom"/>
            <w:hideMark/>
          </w:tcPr>
          <w:p w14:paraId="1A4BFDAA"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131,5</w:t>
            </w:r>
          </w:p>
        </w:tc>
      </w:tr>
      <w:tr w:rsidR="00224658" w:rsidRPr="00F16251" w14:paraId="1AE4C92B"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9563C75" w14:textId="77777777"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Rychwał</w:t>
            </w:r>
          </w:p>
        </w:tc>
        <w:tc>
          <w:tcPr>
            <w:tcW w:w="1616" w:type="dxa"/>
            <w:tcBorders>
              <w:top w:val="nil"/>
              <w:left w:val="nil"/>
              <w:bottom w:val="single" w:sz="4" w:space="0" w:color="auto"/>
              <w:right w:val="single" w:sz="4" w:space="0" w:color="auto"/>
            </w:tcBorders>
            <w:shd w:val="clear" w:color="auto" w:fill="auto"/>
            <w:noWrap/>
            <w:vAlign w:val="bottom"/>
            <w:hideMark/>
          </w:tcPr>
          <w:p w14:paraId="6C5A129E"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123,2</w:t>
            </w:r>
          </w:p>
        </w:tc>
        <w:tc>
          <w:tcPr>
            <w:tcW w:w="1616" w:type="dxa"/>
            <w:tcBorders>
              <w:top w:val="nil"/>
              <w:left w:val="nil"/>
              <w:bottom w:val="single" w:sz="4" w:space="0" w:color="auto"/>
              <w:right w:val="single" w:sz="4" w:space="0" w:color="auto"/>
            </w:tcBorders>
            <w:shd w:val="clear" w:color="auto" w:fill="auto"/>
            <w:noWrap/>
            <w:vAlign w:val="bottom"/>
            <w:hideMark/>
          </w:tcPr>
          <w:p w14:paraId="5689277D"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125,4</w:t>
            </w:r>
          </w:p>
        </w:tc>
        <w:tc>
          <w:tcPr>
            <w:tcW w:w="1616" w:type="dxa"/>
            <w:tcBorders>
              <w:top w:val="nil"/>
              <w:left w:val="nil"/>
              <w:bottom w:val="single" w:sz="4" w:space="0" w:color="auto"/>
              <w:right w:val="single" w:sz="4" w:space="0" w:color="auto"/>
            </w:tcBorders>
            <w:shd w:val="clear" w:color="auto" w:fill="auto"/>
            <w:noWrap/>
            <w:vAlign w:val="bottom"/>
            <w:hideMark/>
          </w:tcPr>
          <w:p w14:paraId="66BCDC6C"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126,7</w:t>
            </w:r>
          </w:p>
        </w:tc>
        <w:tc>
          <w:tcPr>
            <w:tcW w:w="1616" w:type="dxa"/>
            <w:tcBorders>
              <w:top w:val="nil"/>
              <w:left w:val="nil"/>
              <w:bottom w:val="single" w:sz="4" w:space="0" w:color="auto"/>
              <w:right w:val="single" w:sz="4" w:space="0" w:color="auto"/>
            </w:tcBorders>
            <w:shd w:val="clear" w:color="auto" w:fill="auto"/>
            <w:noWrap/>
            <w:vAlign w:val="bottom"/>
            <w:hideMark/>
          </w:tcPr>
          <w:p w14:paraId="7660F84B"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128,0</w:t>
            </w:r>
          </w:p>
        </w:tc>
        <w:tc>
          <w:tcPr>
            <w:tcW w:w="1616" w:type="dxa"/>
            <w:tcBorders>
              <w:top w:val="nil"/>
              <w:left w:val="nil"/>
              <w:bottom w:val="single" w:sz="4" w:space="0" w:color="auto"/>
              <w:right w:val="single" w:sz="4" w:space="0" w:color="auto"/>
            </w:tcBorders>
            <w:shd w:val="clear" w:color="auto" w:fill="auto"/>
            <w:noWrap/>
            <w:vAlign w:val="bottom"/>
            <w:hideMark/>
          </w:tcPr>
          <w:p w14:paraId="01224604"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140,7</w:t>
            </w:r>
          </w:p>
        </w:tc>
      </w:tr>
      <w:tr w:rsidR="00224658" w:rsidRPr="00F16251" w14:paraId="5BA6D624"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6063590" w14:textId="77777777"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Rzgów</w:t>
            </w:r>
          </w:p>
        </w:tc>
        <w:tc>
          <w:tcPr>
            <w:tcW w:w="1616" w:type="dxa"/>
            <w:tcBorders>
              <w:top w:val="nil"/>
              <w:left w:val="nil"/>
              <w:bottom w:val="single" w:sz="4" w:space="0" w:color="auto"/>
              <w:right w:val="single" w:sz="4" w:space="0" w:color="auto"/>
            </w:tcBorders>
            <w:shd w:val="clear" w:color="auto" w:fill="auto"/>
            <w:noWrap/>
            <w:vAlign w:val="bottom"/>
            <w:hideMark/>
          </w:tcPr>
          <w:p w14:paraId="4741AA78"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76,5</w:t>
            </w:r>
          </w:p>
        </w:tc>
        <w:tc>
          <w:tcPr>
            <w:tcW w:w="1616" w:type="dxa"/>
            <w:tcBorders>
              <w:top w:val="nil"/>
              <w:left w:val="nil"/>
              <w:bottom w:val="single" w:sz="4" w:space="0" w:color="auto"/>
              <w:right w:val="single" w:sz="4" w:space="0" w:color="auto"/>
            </w:tcBorders>
            <w:shd w:val="clear" w:color="auto" w:fill="auto"/>
            <w:noWrap/>
            <w:vAlign w:val="bottom"/>
            <w:hideMark/>
          </w:tcPr>
          <w:p w14:paraId="3D3594F6"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81,1</w:t>
            </w:r>
          </w:p>
        </w:tc>
        <w:tc>
          <w:tcPr>
            <w:tcW w:w="1616" w:type="dxa"/>
            <w:tcBorders>
              <w:top w:val="nil"/>
              <w:left w:val="nil"/>
              <w:bottom w:val="single" w:sz="4" w:space="0" w:color="auto"/>
              <w:right w:val="single" w:sz="4" w:space="0" w:color="auto"/>
            </w:tcBorders>
            <w:shd w:val="clear" w:color="auto" w:fill="auto"/>
            <w:noWrap/>
            <w:vAlign w:val="bottom"/>
            <w:hideMark/>
          </w:tcPr>
          <w:p w14:paraId="4BA07343"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80,8</w:t>
            </w:r>
          </w:p>
        </w:tc>
        <w:tc>
          <w:tcPr>
            <w:tcW w:w="1616" w:type="dxa"/>
            <w:tcBorders>
              <w:top w:val="nil"/>
              <w:left w:val="nil"/>
              <w:bottom w:val="single" w:sz="4" w:space="0" w:color="auto"/>
              <w:right w:val="single" w:sz="4" w:space="0" w:color="auto"/>
            </w:tcBorders>
            <w:shd w:val="clear" w:color="auto" w:fill="auto"/>
            <w:noWrap/>
            <w:vAlign w:val="bottom"/>
            <w:hideMark/>
          </w:tcPr>
          <w:p w14:paraId="6572BFA2"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73,8</w:t>
            </w:r>
          </w:p>
        </w:tc>
        <w:tc>
          <w:tcPr>
            <w:tcW w:w="1616" w:type="dxa"/>
            <w:tcBorders>
              <w:top w:val="nil"/>
              <w:left w:val="nil"/>
              <w:bottom w:val="single" w:sz="4" w:space="0" w:color="auto"/>
              <w:right w:val="single" w:sz="4" w:space="0" w:color="auto"/>
            </w:tcBorders>
            <w:shd w:val="clear" w:color="auto" w:fill="auto"/>
            <w:noWrap/>
            <w:vAlign w:val="bottom"/>
            <w:hideMark/>
          </w:tcPr>
          <w:p w14:paraId="7E2E9213"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93,4</w:t>
            </w:r>
          </w:p>
        </w:tc>
      </w:tr>
      <w:tr w:rsidR="00224658" w:rsidRPr="00F16251" w14:paraId="7F14186F"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A720B01" w14:textId="389EF38B"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lastRenderedPageBreak/>
              <w:t>Stare</w:t>
            </w:r>
            <w:r w:rsidR="003B50ED" w:rsidRPr="00F16251">
              <w:rPr>
                <w:rFonts w:eastAsia="Times New Roman" w:cstheme="minorHAnsi"/>
                <w:color w:val="000000"/>
                <w:kern w:val="0"/>
                <w:lang w:eastAsia="pl-PL"/>
                <w14:ligatures w14:val="none"/>
              </w:rPr>
              <w:t xml:space="preserve"> </w:t>
            </w:r>
            <w:r w:rsidRPr="00F16251">
              <w:rPr>
                <w:rFonts w:eastAsia="Times New Roman" w:cstheme="minorHAnsi"/>
                <w:color w:val="000000"/>
                <w:kern w:val="0"/>
                <w:lang w:eastAsia="pl-PL"/>
                <w14:ligatures w14:val="none"/>
              </w:rPr>
              <w:t>Miasto</w:t>
            </w:r>
          </w:p>
        </w:tc>
        <w:tc>
          <w:tcPr>
            <w:tcW w:w="1616" w:type="dxa"/>
            <w:tcBorders>
              <w:top w:val="nil"/>
              <w:left w:val="nil"/>
              <w:bottom w:val="single" w:sz="4" w:space="0" w:color="auto"/>
              <w:right w:val="single" w:sz="4" w:space="0" w:color="auto"/>
            </w:tcBorders>
            <w:shd w:val="clear" w:color="auto" w:fill="auto"/>
            <w:noWrap/>
            <w:vAlign w:val="bottom"/>
            <w:hideMark/>
          </w:tcPr>
          <w:p w14:paraId="741CFCBA"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432,8</w:t>
            </w:r>
          </w:p>
        </w:tc>
        <w:tc>
          <w:tcPr>
            <w:tcW w:w="1616" w:type="dxa"/>
            <w:tcBorders>
              <w:top w:val="nil"/>
              <w:left w:val="nil"/>
              <w:bottom w:val="single" w:sz="4" w:space="0" w:color="auto"/>
              <w:right w:val="single" w:sz="4" w:space="0" w:color="auto"/>
            </w:tcBorders>
            <w:shd w:val="clear" w:color="auto" w:fill="auto"/>
            <w:noWrap/>
            <w:vAlign w:val="bottom"/>
            <w:hideMark/>
          </w:tcPr>
          <w:p w14:paraId="171863D5"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445,3</w:t>
            </w:r>
          </w:p>
        </w:tc>
        <w:tc>
          <w:tcPr>
            <w:tcW w:w="1616" w:type="dxa"/>
            <w:tcBorders>
              <w:top w:val="nil"/>
              <w:left w:val="nil"/>
              <w:bottom w:val="single" w:sz="4" w:space="0" w:color="auto"/>
              <w:right w:val="single" w:sz="4" w:space="0" w:color="auto"/>
            </w:tcBorders>
            <w:shd w:val="clear" w:color="auto" w:fill="auto"/>
            <w:noWrap/>
            <w:vAlign w:val="bottom"/>
            <w:hideMark/>
          </w:tcPr>
          <w:p w14:paraId="1DBAAA63"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497,9</w:t>
            </w:r>
          </w:p>
        </w:tc>
        <w:tc>
          <w:tcPr>
            <w:tcW w:w="1616" w:type="dxa"/>
            <w:tcBorders>
              <w:top w:val="nil"/>
              <w:left w:val="nil"/>
              <w:bottom w:val="single" w:sz="4" w:space="0" w:color="auto"/>
              <w:right w:val="single" w:sz="4" w:space="0" w:color="auto"/>
            </w:tcBorders>
            <w:shd w:val="clear" w:color="auto" w:fill="auto"/>
            <w:noWrap/>
            <w:vAlign w:val="bottom"/>
            <w:hideMark/>
          </w:tcPr>
          <w:p w14:paraId="1D2760CC"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456,7</w:t>
            </w:r>
          </w:p>
        </w:tc>
        <w:tc>
          <w:tcPr>
            <w:tcW w:w="1616" w:type="dxa"/>
            <w:tcBorders>
              <w:top w:val="nil"/>
              <w:left w:val="nil"/>
              <w:bottom w:val="single" w:sz="4" w:space="0" w:color="auto"/>
              <w:right w:val="single" w:sz="4" w:space="0" w:color="auto"/>
            </w:tcBorders>
            <w:shd w:val="clear" w:color="auto" w:fill="auto"/>
            <w:noWrap/>
            <w:vAlign w:val="bottom"/>
            <w:hideMark/>
          </w:tcPr>
          <w:p w14:paraId="0AB93ADE"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438,1</w:t>
            </w:r>
          </w:p>
        </w:tc>
      </w:tr>
      <w:tr w:rsidR="00224658" w:rsidRPr="00F16251" w14:paraId="6ECD293F"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0FA4699" w14:textId="77777777"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Tuliszków</w:t>
            </w:r>
          </w:p>
        </w:tc>
        <w:tc>
          <w:tcPr>
            <w:tcW w:w="1616" w:type="dxa"/>
            <w:tcBorders>
              <w:top w:val="nil"/>
              <w:left w:val="nil"/>
              <w:bottom w:val="single" w:sz="4" w:space="0" w:color="auto"/>
              <w:right w:val="single" w:sz="4" w:space="0" w:color="auto"/>
            </w:tcBorders>
            <w:shd w:val="clear" w:color="auto" w:fill="auto"/>
            <w:noWrap/>
            <w:vAlign w:val="bottom"/>
            <w:hideMark/>
          </w:tcPr>
          <w:p w14:paraId="5C732130"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160,9</w:t>
            </w:r>
          </w:p>
        </w:tc>
        <w:tc>
          <w:tcPr>
            <w:tcW w:w="1616" w:type="dxa"/>
            <w:tcBorders>
              <w:top w:val="nil"/>
              <w:left w:val="nil"/>
              <w:bottom w:val="single" w:sz="4" w:space="0" w:color="auto"/>
              <w:right w:val="single" w:sz="4" w:space="0" w:color="auto"/>
            </w:tcBorders>
            <w:shd w:val="clear" w:color="auto" w:fill="auto"/>
            <w:noWrap/>
            <w:vAlign w:val="bottom"/>
            <w:hideMark/>
          </w:tcPr>
          <w:p w14:paraId="47CD24D3"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165,9</w:t>
            </w:r>
          </w:p>
        </w:tc>
        <w:tc>
          <w:tcPr>
            <w:tcW w:w="1616" w:type="dxa"/>
            <w:tcBorders>
              <w:top w:val="nil"/>
              <w:left w:val="nil"/>
              <w:bottom w:val="single" w:sz="4" w:space="0" w:color="auto"/>
              <w:right w:val="single" w:sz="4" w:space="0" w:color="auto"/>
            </w:tcBorders>
            <w:shd w:val="clear" w:color="auto" w:fill="auto"/>
            <w:noWrap/>
            <w:vAlign w:val="bottom"/>
            <w:hideMark/>
          </w:tcPr>
          <w:p w14:paraId="240A8C32"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178,4</w:t>
            </w:r>
          </w:p>
        </w:tc>
        <w:tc>
          <w:tcPr>
            <w:tcW w:w="1616" w:type="dxa"/>
            <w:tcBorders>
              <w:top w:val="nil"/>
              <w:left w:val="nil"/>
              <w:bottom w:val="single" w:sz="4" w:space="0" w:color="auto"/>
              <w:right w:val="single" w:sz="4" w:space="0" w:color="auto"/>
            </w:tcBorders>
            <w:shd w:val="clear" w:color="auto" w:fill="auto"/>
            <w:noWrap/>
            <w:vAlign w:val="bottom"/>
            <w:hideMark/>
          </w:tcPr>
          <w:p w14:paraId="43B10FF6"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193,3</w:t>
            </w:r>
          </w:p>
        </w:tc>
        <w:tc>
          <w:tcPr>
            <w:tcW w:w="1616" w:type="dxa"/>
            <w:tcBorders>
              <w:top w:val="nil"/>
              <w:left w:val="nil"/>
              <w:bottom w:val="single" w:sz="4" w:space="0" w:color="auto"/>
              <w:right w:val="single" w:sz="4" w:space="0" w:color="auto"/>
            </w:tcBorders>
            <w:shd w:val="clear" w:color="auto" w:fill="auto"/>
            <w:noWrap/>
            <w:vAlign w:val="bottom"/>
            <w:hideMark/>
          </w:tcPr>
          <w:p w14:paraId="7ABE3A3D"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197,4</w:t>
            </w:r>
          </w:p>
        </w:tc>
      </w:tr>
      <w:tr w:rsidR="00DE110A" w:rsidRPr="00F16251" w14:paraId="50BB6366" w14:textId="77777777" w:rsidTr="007F1E76">
        <w:trPr>
          <w:trHeight w:val="249"/>
        </w:trPr>
        <w:tc>
          <w:tcPr>
            <w:tcW w:w="1980" w:type="dxa"/>
            <w:tcBorders>
              <w:top w:val="nil"/>
              <w:left w:val="single" w:sz="4" w:space="0" w:color="auto"/>
              <w:bottom w:val="single" w:sz="4" w:space="0" w:color="auto"/>
              <w:right w:val="single" w:sz="4" w:space="0" w:color="auto"/>
            </w:tcBorders>
            <w:shd w:val="clear" w:color="000000" w:fill="DDEBF7"/>
            <w:vAlign w:val="bottom"/>
            <w:hideMark/>
          </w:tcPr>
          <w:p w14:paraId="4FB45617" w14:textId="5AA73555" w:rsidR="00DE110A" w:rsidRPr="00F16251" w:rsidRDefault="00DE110A" w:rsidP="00DE110A">
            <w:pPr>
              <w:spacing w:line="276" w:lineRule="auto"/>
              <w:rPr>
                <w:rFonts w:eastAsia="Times New Roman" w:cstheme="minorHAnsi"/>
                <w:color w:val="000000"/>
                <w:kern w:val="0"/>
                <w:lang w:eastAsia="pl-PL"/>
                <w14:ligatures w14:val="none"/>
              </w:rPr>
            </w:pPr>
            <w:r w:rsidRPr="00F16251">
              <w:rPr>
                <w:rFonts w:ascii="Calibri" w:hAnsi="Calibri" w:cs="Calibri"/>
                <w:color w:val="000000"/>
              </w:rPr>
              <w:t>Średnia LGD</w:t>
            </w:r>
          </w:p>
        </w:tc>
        <w:tc>
          <w:tcPr>
            <w:tcW w:w="1616" w:type="dxa"/>
            <w:tcBorders>
              <w:top w:val="nil"/>
              <w:left w:val="nil"/>
              <w:bottom w:val="single" w:sz="4" w:space="0" w:color="auto"/>
              <w:right w:val="single" w:sz="4" w:space="0" w:color="auto"/>
            </w:tcBorders>
            <w:shd w:val="clear" w:color="000000" w:fill="DDEBF7"/>
            <w:noWrap/>
            <w:vAlign w:val="bottom"/>
            <w:hideMark/>
          </w:tcPr>
          <w:p w14:paraId="5457821A" w14:textId="69750746" w:rsidR="00DE110A" w:rsidRPr="00F16251" w:rsidRDefault="00DE110A" w:rsidP="00DE110A">
            <w:pPr>
              <w:spacing w:line="276" w:lineRule="auto"/>
              <w:jc w:val="right"/>
              <w:rPr>
                <w:rFonts w:eastAsia="Times New Roman" w:cstheme="minorHAnsi"/>
                <w:color w:val="000000"/>
                <w:kern w:val="0"/>
                <w:lang w:eastAsia="pl-PL"/>
                <w14:ligatures w14:val="none"/>
              </w:rPr>
            </w:pPr>
            <w:r w:rsidRPr="00F16251">
              <w:rPr>
                <w:rFonts w:ascii="Calibri" w:hAnsi="Calibri" w:cs="Calibri"/>
                <w:color w:val="000000"/>
              </w:rPr>
              <w:t>180,52</w:t>
            </w:r>
          </w:p>
        </w:tc>
        <w:tc>
          <w:tcPr>
            <w:tcW w:w="1616" w:type="dxa"/>
            <w:tcBorders>
              <w:top w:val="nil"/>
              <w:left w:val="nil"/>
              <w:bottom w:val="single" w:sz="4" w:space="0" w:color="auto"/>
              <w:right w:val="single" w:sz="4" w:space="0" w:color="auto"/>
            </w:tcBorders>
            <w:shd w:val="clear" w:color="000000" w:fill="DDEBF7"/>
            <w:noWrap/>
            <w:vAlign w:val="bottom"/>
            <w:hideMark/>
          </w:tcPr>
          <w:p w14:paraId="3C26FFCE" w14:textId="58076607" w:rsidR="00DE110A" w:rsidRPr="00F16251" w:rsidRDefault="00DE110A" w:rsidP="00DE110A">
            <w:pPr>
              <w:spacing w:line="276" w:lineRule="auto"/>
              <w:jc w:val="right"/>
              <w:rPr>
                <w:rFonts w:eastAsia="Times New Roman" w:cstheme="minorHAnsi"/>
                <w:color w:val="000000"/>
                <w:kern w:val="0"/>
                <w:lang w:eastAsia="pl-PL"/>
                <w14:ligatures w14:val="none"/>
              </w:rPr>
            </w:pPr>
            <w:r w:rsidRPr="00F16251">
              <w:rPr>
                <w:rFonts w:ascii="Calibri" w:hAnsi="Calibri" w:cs="Calibri"/>
                <w:color w:val="000000"/>
              </w:rPr>
              <w:t>185,73</w:t>
            </w:r>
          </w:p>
        </w:tc>
        <w:tc>
          <w:tcPr>
            <w:tcW w:w="1616" w:type="dxa"/>
            <w:tcBorders>
              <w:top w:val="nil"/>
              <w:left w:val="nil"/>
              <w:bottom w:val="single" w:sz="4" w:space="0" w:color="auto"/>
              <w:right w:val="single" w:sz="4" w:space="0" w:color="auto"/>
            </w:tcBorders>
            <w:shd w:val="clear" w:color="000000" w:fill="DDEBF7"/>
            <w:noWrap/>
            <w:vAlign w:val="bottom"/>
            <w:hideMark/>
          </w:tcPr>
          <w:p w14:paraId="3F304BF1" w14:textId="2E381BF7" w:rsidR="00DE110A" w:rsidRPr="00F16251" w:rsidRDefault="00DE110A" w:rsidP="00DE110A">
            <w:pPr>
              <w:spacing w:line="276" w:lineRule="auto"/>
              <w:jc w:val="right"/>
              <w:rPr>
                <w:rFonts w:eastAsia="Times New Roman" w:cstheme="minorHAnsi"/>
                <w:color w:val="000000"/>
                <w:kern w:val="0"/>
                <w:lang w:eastAsia="pl-PL"/>
                <w14:ligatures w14:val="none"/>
              </w:rPr>
            </w:pPr>
            <w:r w:rsidRPr="00F16251">
              <w:rPr>
                <w:rFonts w:ascii="Calibri" w:hAnsi="Calibri" w:cs="Calibri"/>
                <w:color w:val="000000"/>
              </w:rPr>
              <w:t>197,52</w:t>
            </w:r>
          </w:p>
        </w:tc>
        <w:tc>
          <w:tcPr>
            <w:tcW w:w="1616" w:type="dxa"/>
            <w:tcBorders>
              <w:top w:val="nil"/>
              <w:left w:val="nil"/>
              <w:bottom w:val="single" w:sz="4" w:space="0" w:color="auto"/>
              <w:right w:val="single" w:sz="4" w:space="0" w:color="auto"/>
            </w:tcBorders>
            <w:shd w:val="clear" w:color="000000" w:fill="DDEBF7"/>
            <w:noWrap/>
            <w:vAlign w:val="bottom"/>
            <w:hideMark/>
          </w:tcPr>
          <w:p w14:paraId="3ADE28AE" w14:textId="39C0201D" w:rsidR="00DE110A" w:rsidRPr="00F16251" w:rsidRDefault="00DE110A" w:rsidP="00DE110A">
            <w:pPr>
              <w:spacing w:line="276" w:lineRule="auto"/>
              <w:jc w:val="right"/>
              <w:rPr>
                <w:rFonts w:eastAsia="Times New Roman" w:cstheme="minorHAnsi"/>
                <w:color w:val="000000"/>
                <w:kern w:val="0"/>
                <w:lang w:eastAsia="pl-PL"/>
                <w14:ligatures w14:val="none"/>
              </w:rPr>
            </w:pPr>
            <w:r w:rsidRPr="00F16251">
              <w:rPr>
                <w:rFonts w:ascii="Calibri" w:hAnsi="Calibri" w:cs="Calibri"/>
                <w:color w:val="000000"/>
              </w:rPr>
              <w:t>196,08</w:t>
            </w:r>
          </w:p>
        </w:tc>
        <w:tc>
          <w:tcPr>
            <w:tcW w:w="1616" w:type="dxa"/>
            <w:tcBorders>
              <w:top w:val="nil"/>
              <w:left w:val="nil"/>
              <w:bottom w:val="single" w:sz="4" w:space="0" w:color="auto"/>
              <w:right w:val="single" w:sz="4" w:space="0" w:color="auto"/>
            </w:tcBorders>
            <w:shd w:val="clear" w:color="000000" w:fill="DDEBF7"/>
            <w:noWrap/>
            <w:vAlign w:val="bottom"/>
            <w:hideMark/>
          </w:tcPr>
          <w:p w14:paraId="77CB63AA" w14:textId="0D61FD00" w:rsidR="00DE110A" w:rsidRPr="00F16251" w:rsidRDefault="00DE110A" w:rsidP="00DE110A">
            <w:pPr>
              <w:spacing w:line="276" w:lineRule="auto"/>
              <w:jc w:val="right"/>
              <w:rPr>
                <w:rFonts w:eastAsia="Times New Roman" w:cstheme="minorHAnsi"/>
                <w:color w:val="000000"/>
                <w:kern w:val="0"/>
                <w:lang w:eastAsia="pl-PL"/>
                <w14:ligatures w14:val="none"/>
              </w:rPr>
            </w:pPr>
            <w:r w:rsidRPr="00F16251">
              <w:rPr>
                <w:rFonts w:ascii="Calibri" w:hAnsi="Calibri" w:cs="Calibri"/>
                <w:color w:val="000000"/>
              </w:rPr>
              <w:t>201,47</w:t>
            </w:r>
          </w:p>
        </w:tc>
      </w:tr>
    </w:tbl>
    <w:p w14:paraId="3FE11699" w14:textId="24425A84" w:rsidR="00224658" w:rsidRPr="00F16251" w:rsidRDefault="00224658" w:rsidP="00A26C26">
      <w:pPr>
        <w:spacing w:line="276" w:lineRule="auto"/>
        <w:rPr>
          <w:rFonts w:cstheme="minorHAnsi"/>
        </w:rPr>
      </w:pPr>
      <w:r w:rsidRPr="00F16251">
        <w:rPr>
          <w:rFonts w:cstheme="minorHAnsi"/>
        </w:rPr>
        <w:t>Źródło:</w:t>
      </w:r>
      <w:r w:rsidR="003B50ED" w:rsidRPr="00F16251">
        <w:rPr>
          <w:rFonts w:cstheme="minorHAnsi"/>
        </w:rPr>
        <w:t xml:space="preserve"> </w:t>
      </w:r>
      <w:r w:rsidRPr="00F16251">
        <w:rPr>
          <w:rFonts w:cstheme="minorHAnsi"/>
        </w:rPr>
        <w:t>GUS,</w:t>
      </w:r>
      <w:r w:rsidR="003B50ED" w:rsidRPr="00F16251">
        <w:rPr>
          <w:rFonts w:cstheme="minorHAnsi"/>
        </w:rPr>
        <w:t xml:space="preserve"> </w:t>
      </w:r>
      <w:r w:rsidRPr="00F16251">
        <w:rPr>
          <w:rFonts w:cstheme="minorHAnsi"/>
        </w:rPr>
        <w:t>Bank</w:t>
      </w:r>
      <w:r w:rsidR="003B50ED" w:rsidRPr="00F16251">
        <w:rPr>
          <w:rFonts w:cstheme="minorHAnsi"/>
        </w:rPr>
        <w:t xml:space="preserve"> </w:t>
      </w:r>
      <w:r w:rsidRPr="00F16251">
        <w:rPr>
          <w:rFonts w:cstheme="minorHAnsi"/>
        </w:rPr>
        <w:t>Danych</w:t>
      </w:r>
      <w:r w:rsidR="003B50ED" w:rsidRPr="00F16251">
        <w:rPr>
          <w:rFonts w:cstheme="minorHAnsi"/>
        </w:rPr>
        <w:t xml:space="preserve"> </w:t>
      </w:r>
      <w:r w:rsidRPr="00F16251">
        <w:rPr>
          <w:rFonts w:cstheme="minorHAnsi"/>
        </w:rPr>
        <w:t>Lokalnych</w:t>
      </w:r>
    </w:p>
    <w:p w14:paraId="392CBD8E" w14:textId="77777777" w:rsidR="00224658" w:rsidRPr="00F16251" w:rsidRDefault="00224658" w:rsidP="00A26C26">
      <w:pPr>
        <w:spacing w:line="276" w:lineRule="auto"/>
        <w:rPr>
          <w:rFonts w:cstheme="minorHAnsi"/>
        </w:rPr>
      </w:pPr>
    </w:p>
    <w:p w14:paraId="0470BF7D" w14:textId="2EBBB3D4" w:rsidR="00224658" w:rsidRPr="00A26C26" w:rsidRDefault="00224658" w:rsidP="00A26C26">
      <w:pPr>
        <w:autoSpaceDE w:val="0"/>
        <w:autoSpaceDN w:val="0"/>
        <w:adjustRightInd w:val="0"/>
        <w:spacing w:line="276" w:lineRule="auto"/>
        <w:ind w:firstLine="284"/>
        <w:jc w:val="both"/>
        <w:rPr>
          <w:rFonts w:cstheme="minorHAnsi"/>
          <w:kern w:val="0"/>
        </w:rPr>
      </w:pPr>
      <w:r w:rsidRPr="00F16251">
        <w:rPr>
          <w:rFonts w:cstheme="minorHAnsi"/>
          <w:color w:val="000000"/>
          <w:kern w:val="0"/>
        </w:rPr>
        <w:t>Jednym</w:t>
      </w:r>
      <w:r w:rsidR="003B50ED" w:rsidRPr="00F16251">
        <w:rPr>
          <w:rFonts w:cstheme="minorHAnsi"/>
          <w:color w:val="000000"/>
          <w:kern w:val="0"/>
        </w:rPr>
        <w:t xml:space="preserve"> </w:t>
      </w:r>
      <w:r w:rsidRPr="00F16251">
        <w:rPr>
          <w:rFonts w:cstheme="minorHAnsi"/>
          <w:color w:val="000000"/>
          <w:kern w:val="0"/>
        </w:rPr>
        <w:t>z</w:t>
      </w:r>
      <w:r w:rsidR="003B50ED" w:rsidRPr="00F16251">
        <w:rPr>
          <w:rFonts w:cstheme="minorHAnsi"/>
          <w:color w:val="000000"/>
          <w:kern w:val="0"/>
        </w:rPr>
        <w:t xml:space="preserve"> </w:t>
      </w:r>
      <w:r w:rsidRPr="00F16251">
        <w:rPr>
          <w:rFonts w:cstheme="minorHAnsi"/>
          <w:color w:val="000000"/>
          <w:kern w:val="0"/>
        </w:rPr>
        <w:t>głównych</w:t>
      </w:r>
      <w:r w:rsidR="003B50ED" w:rsidRPr="00F16251">
        <w:rPr>
          <w:rFonts w:cstheme="minorHAnsi"/>
          <w:color w:val="000000"/>
          <w:kern w:val="0"/>
        </w:rPr>
        <w:t xml:space="preserve"> </w:t>
      </w:r>
      <w:r w:rsidRPr="00F16251">
        <w:rPr>
          <w:rFonts w:cstheme="minorHAnsi"/>
          <w:color w:val="000000"/>
          <w:kern w:val="0"/>
        </w:rPr>
        <w:t>celów</w:t>
      </w:r>
      <w:r w:rsidR="003B50ED" w:rsidRPr="00F16251">
        <w:rPr>
          <w:rFonts w:cstheme="minorHAnsi"/>
          <w:color w:val="000000"/>
          <w:kern w:val="0"/>
        </w:rPr>
        <w:t xml:space="preserve"> </w:t>
      </w:r>
      <w:r w:rsidRPr="00F16251">
        <w:rPr>
          <w:rFonts w:cstheme="minorHAnsi"/>
          <w:color w:val="000000"/>
          <w:kern w:val="0"/>
        </w:rPr>
        <w:t>LGD</w:t>
      </w:r>
      <w:r w:rsidR="003B50ED" w:rsidRPr="00F16251">
        <w:rPr>
          <w:rFonts w:cstheme="minorHAnsi"/>
          <w:color w:val="000000"/>
          <w:kern w:val="0"/>
        </w:rPr>
        <w:t xml:space="preserve"> </w:t>
      </w:r>
      <w:r w:rsidRPr="00F16251">
        <w:rPr>
          <w:rFonts w:cstheme="minorHAnsi"/>
          <w:color w:val="000000"/>
          <w:kern w:val="0"/>
        </w:rPr>
        <w:t>jest</w:t>
      </w:r>
      <w:r w:rsidR="003B50ED" w:rsidRPr="00F16251">
        <w:rPr>
          <w:rFonts w:cstheme="minorHAnsi"/>
          <w:color w:val="000000"/>
          <w:kern w:val="0"/>
        </w:rPr>
        <w:t xml:space="preserve"> </w:t>
      </w:r>
      <w:r w:rsidRPr="00F16251">
        <w:rPr>
          <w:rFonts w:cstheme="minorHAnsi"/>
          <w:color w:val="000000"/>
          <w:kern w:val="0"/>
        </w:rPr>
        <w:t>zapobieganie</w:t>
      </w:r>
      <w:r w:rsidR="003B50ED" w:rsidRPr="00F16251">
        <w:rPr>
          <w:rFonts w:cstheme="minorHAnsi"/>
          <w:color w:val="000000"/>
          <w:kern w:val="0"/>
        </w:rPr>
        <w:t xml:space="preserve"> </w:t>
      </w:r>
      <w:r w:rsidRPr="00F16251">
        <w:rPr>
          <w:rFonts w:cstheme="minorHAnsi"/>
          <w:color w:val="000000"/>
          <w:kern w:val="0"/>
        </w:rPr>
        <w:t>exodusowi</w:t>
      </w:r>
      <w:r w:rsidR="003B50ED" w:rsidRPr="00F16251">
        <w:rPr>
          <w:rFonts w:cstheme="minorHAnsi"/>
          <w:color w:val="000000"/>
          <w:kern w:val="0"/>
        </w:rPr>
        <w:t xml:space="preserve"> </w:t>
      </w:r>
      <w:r w:rsidRPr="00F16251">
        <w:rPr>
          <w:rFonts w:cstheme="minorHAnsi"/>
          <w:color w:val="000000"/>
          <w:kern w:val="0"/>
        </w:rPr>
        <w:t>mieszkańców</w:t>
      </w:r>
      <w:r w:rsidR="003B50ED" w:rsidRPr="00F16251">
        <w:rPr>
          <w:rFonts w:cstheme="minorHAnsi"/>
          <w:color w:val="000000"/>
          <w:kern w:val="0"/>
        </w:rPr>
        <w:t xml:space="preserve"> </w:t>
      </w:r>
      <w:r w:rsidRPr="00F16251">
        <w:rPr>
          <w:rFonts w:cstheme="minorHAnsi"/>
          <w:color w:val="000000"/>
          <w:kern w:val="0"/>
        </w:rPr>
        <w:t>do</w:t>
      </w:r>
      <w:r w:rsidR="003B50ED" w:rsidRPr="00F16251">
        <w:rPr>
          <w:rFonts w:cstheme="minorHAnsi"/>
          <w:color w:val="000000"/>
          <w:kern w:val="0"/>
        </w:rPr>
        <w:t xml:space="preserve"> </w:t>
      </w:r>
      <w:r w:rsidRPr="00F16251">
        <w:rPr>
          <w:rFonts w:cstheme="minorHAnsi"/>
          <w:color w:val="000000"/>
          <w:kern w:val="0"/>
        </w:rPr>
        <w:t>miasta,</w:t>
      </w:r>
      <w:r w:rsidR="003B50ED" w:rsidRPr="00F16251">
        <w:rPr>
          <w:rFonts w:cstheme="minorHAnsi"/>
          <w:color w:val="000000"/>
          <w:kern w:val="0"/>
        </w:rPr>
        <w:t xml:space="preserve"> </w:t>
      </w:r>
      <w:r w:rsidRPr="00F16251">
        <w:rPr>
          <w:rFonts w:cstheme="minorHAnsi"/>
          <w:color w:val="000000"/>
          <w:kern w:val="0"/>
        </w:rPr>
        <w:t>a</w:t>
      </w:r>
      <w:r w:rsidR="003B50ED" w:rsidRPr="00F16251">
        <w:rPr>
          <w:rFonts w:cstheme="minorHAnsi"/>
          <w:color w:val="000000"/>
          <w:kern w:val="0"/>
        </w:rPr>
        <w:t xml:space="preserve"> </w:t>
      </w:r>
      <w:r w:rsidRPr="00F16251">
        <w:rPr>
          <w:rFonts w:cstheme="minorHAnsi"/>
          <w:color w:val="000000"/>
          <w:kern w:val="0"/>
        </w:rPr>
        <w:t>więc</w:t>
      </w:r>
      <w:r w:rsidR="003B50ED" w:rsidRPr="00F16251">
        <w:rPr>
          <w:rFonts w:cstheme="minorHAnsi"/>
          <w:color w:val="000000"/>
          <w:kern w:val="0"/>
        </w:rPr>
        <w:t xml:space="preserve"> </w:t>
      </w:r>
      <w:r w:rsidRPr="00F16251">
        <w:rPr>
          <w:rFonts w:cstheme="minorHAnsi"/>
          <w:color w:val="000000"/>
          <w:kern w:val="0"/>
        </w:rPr>
        <w:t>rozwój</w:t>
      </w:r>
      <w:r w:rsidR="003B50ED" w:rsidRPr="00F16251">
        <w:rPr>
          <w:rFonts w:cstheme="minorHAnsi"/>
          <w:color w:val="000000"/>
          <w:kern w:val="0"/>
        </w:rPr>
        <w:t xml:space="preserve"> </w:t>
      </w:r>
      <w:r w:rsidRPr="00F16251">
        <w:rPr>
          <w:rFonts w:cstheme="minorHAnsi"/>
          <w:color w:val="000000"/>
          <w:kern w:val="0"/>
        </w:rPr>
        <w:t>przedsiębiorczości</w:t>
      </w:r>
      <w:r w:rsidR="003B50ED" w:rsidRPr="00F16251">
        <w:rPr>
          <w:rFonts w:cstheme="minorHAnsi"/>
          <w:color w:val="000000"/>
          <w:kern w:val="0"/>
        </w:rPr>
        <w:t xml:space="preserve"> </w:t>
      </w:r>
      <w:r w:rsidRPr="00F16251">
        <w:rPr>
          <w:rFonts w:cstheme="minorHAnsi"/>
          <w:color w:val="000000"/>
          <w:kern w:val="0"/>
        </w:rPr>
        <w:t>jest</w:t>
      </w:r>
      <w:r w:rsidR="003B50ED" w:rsidRPr="00F16251">
        <w:rPr>
          <w:rFonts w:cstheme="minorHAnsi"/>
          <w:color w:val="000000"/>
          <w:kern w:val="0"/>
        </w:rPr>
        <w:t xml:space="preserve"> </w:t>
      </w:r>
      <w:r w:rsidRPr="00F16251">
        <w:rPr>
          <w:rFonts w:cstheme="minorHAnsi"/>
          <w:color w:val="000000"/>
          <w:kern w:val="0"/>
        </w:rPr>
        <w:t>warunkiem</w:t>
      </w:r>
      <w:r w:rsidR="003B50ED" w:rsidRPr="00F16251">
        <w:rPr>
          <w:rFonts w:cstheme="minorHAnsi"/>
          <w:color w:val="000000"/>
          <w:kern w:val="0"/>
        </w:rPr>
        <w:t xml:space="preserve"> </w:t>
      </w:r>
      <w:r w:rsidRPr="00F16251">
        <w:rPr>
          <w:rFonts w:cstheme="minorHAnsi"/>
          <w:color w:val="000000"/>
          <w:kern w:val="0"/>
        </w:rPr>
        <w:t>koniecznym</w:t>
      </w:r>
      <w:r w:rsidR="003B50ED" w:rsidRPr="00F16251">
        <w:rPr>
          <w:rFonts w:cstheme="minorHAnsi"/>
          <w:color w:val="000000"/>
          <w:kern w:val="0"/>
        </w:rPr>
        <w:t xml:space="preserve"> </w:t>
      </w:r>
      <w:r w:rsidRPr="00F16251">
        <w:rPr>
          <w:rFonts w:cstheme="minorHAnsi"/>
          <w:color w:val="000000"/>
          <w:kern w:val="0"/>
        </w:rPr>
        <w:t>realizacji</w:t>
      </w:r>
      <w:r w:rsidR="003B50ED" w:rsidRPr="00F16251">
        <w:rPr>
          <w:rFonts w:cstheme="minorHAnsi"/>
          <w:color w:val="000000"/>
          <w:kern w:val="0"/>
        </w:rPr>
        <w:t xml:space="preserve"> </w:t>
      </w:r>
      <w:r w:rsidRPr="00F16251">
        <w:rPr>
          <w:rFonts w:cstheme="minorHAnsi"/>
          <w:color w:val="000000"/>
          <w:kern w:val="0"/>
        </w:rPr>
        <w:t>tego</w:t>
      </w:r>
      <w:r w:rsidR="003B50ED" w:rsidRPr="00F16251">
        <w:rPr>
          <w:rFonts w:cstheme="minorHAnsi"/>
          <w:color w:val="000000"/>
          <w:kern w:val="0"/>
        </w:rPr>
        <w:t xml:space="preserve"> </w:t>
      </w:r>
      <w:r w:rsidRPr="00F16251">
        <w:rPr>
          <w:rFonts w:cstheme="minorHAnsi"/>
          <w:color w:val="000000"/>
          <w:kern w:val="0"/>
        </w:rPr>
        <w:t>celu.</w:t>
      </w:r>
      <w:r w:rsidR="003B50ED" w:rsidRPr="00F16251">
        <w:rPr>
          <w:rFonts w:cstheme="minorHAnsi"/>
          <w:color w:val="000000"/>
          <w:kern w:val="0"/>
        </w:rPr>
        <w:t xml:space="preserve"> </w:t>
      </w:r>
      <w:r w:rsidRPr="00F16251">
        <w:rPr>
          <w:rFonts w:cstheme="minorHAnsi"/>
          <w:color w:val="000000"/>
          <w:kern w:val="0"/>
        </w:rPr>
        <w:t>Ludzi</w:t>
      </w:r>
      <w:r w:rsidR="003B50ED" w:rsidRPr="00F16251">
        <w:rPr>
          <w:rFonts w:cstheme="minorHAnsi"/>
          <w:color w:val="000000"/>
          <w:kern w:val="0"/>
        </w:rPr>
        <w:t xml:space="preserve"> </w:t>
      </w:r>
      <w:r w:rsidRPr="00F16251">
        <w:rPr>
          <w:rFonts w:cstheme="minorHAnsi"/>
          <w:color w:val="000000"/>
          <w:kern w:val="0"/>
        </w:rPr>
        <w:t>w</w:t>
      </w:r>
      <w:r w:rsidR="003B50ED" w:rsidRPr="00F16251">
        <w:rPr>
          <w:rFonts w:cstheme="minorHAnsi"/>
          <w:color w:val="000000"/>
          <w:kern w:val="0"/>
        </w:rPr>
        <w:t xml:space="preserve"> </w:t>
      </w:r>
      <w:r w:rsidRPr="00F16251">
        <w:rPr>
          <w:rFonts w:cstheme="minorHAnsi"/>
          <w:color w:val="000000"/>
          <w:kern w:val="0"/>
        </w:rPr>
        <w:t>miejscu</w:t>
      </w:r>
      <w:r w:rsidR="003B50ED" w:rsidRPr="00F16251">
        <w:rPr>
          <w:rFonts w:cstheme="minorHAnsi"/>
          <w:color w:val="000000"/>
          <w:kern w:val="0"/>
        </w:rPr>
        <w:t xml:space="preserve"> </w:t>
      </w:r>
      <w:r w:rsidRPr="00F16251">
        <w:rPr>
          <w:rFonts w:cstheme="minorHAnsi"/>
          <w:color w:val="000000"/>
          <w:kern w:val="0"/>
        </w:rPr>
        <w:t>zamieszkania</w:t>
      </w:r>
      <w:r w:rsidR="003B50ED" w:rsidRPr="00F16251">
        <w:rPr>
          <w:rFonts w:cstheme="minorHAnsi"/>
          <w:color w:val="000000"/>
          <w:kern w:val="0"/>
        </w:rPr>
        <w:t xml:space="preserve"> </w:t>
      </w:r>
      <w:r w:rsidRPr="00F16251">
        <w:rPr>
          <w:rFonts w:cstheme="minorHAnsi"/>
          <w:color w:val="000000"/>
          <w:kern w:val="0"/>
        </w:rPr>
        <w:t>może</w:t>
      </w:r>
      <w:r w:rsidR="003B50ED" w:rsidRPr="00F16251">
        <w:rPr>
          <w:rFonts w:cstheme="minorHAnsi"/>
          <w:color w:val="000000"/>
          <w:kern w:val="0"/>
        </w:rPr>
        <w:t xml:space="preserve"> </w:t>
      </w:r>
      <w:r w:rsidRPr="00F16251">
        <w:rPr>
          <w:rFonts w:cstheme="minorHAnsi"/>
          <w:color w:val="000000"/>
          <w:kern w:val="0"/>
        </w:rPr>
        <w:t>zatrzymać</w:t>
      </w:r>
      <w:r w:rsidR="003B50ED" w:rsidRPr="00F16251">
        <w:rPr>
          <w:rFonts w:cstheme="minorHAnsi"/>
          <w:color w:val="000000"/>
          <w:kern w:val="0"/>
        </w:rPr>
        <w:t xml:space="preserve"> </w:t>
      </w:r>
      <w:r w:rsidRPr="00F16251">
        <w:rPr>
          <w:rFonts w:cstheme="minorHAnsi"/>
          <w:color w:val="000000"/>
          <w:kern w:val="0"/>
        </w:rPr>
        <w:t>tylko</w:t>
      </w:r>
      <w:r w:rsidR="003B50ED" w:rsidRPr="00F16251">
        <w:rPr>
          <w:rFonts w:cstheme="minorHAnsi"/>
          <w:color w:val="000000"/>
          <w:kern w:val="0"/>
        </w:rPr>
        <w:t xml:space="preserve"> </w:t>
      </w:r>
      <w:r w:rsidRPr="00F16251">
        <w:rPr>
          <w:rFonts w:cstheme="minorHAnsi"/>
          <w:color w:val="000000"/>
          <w:kern w:val="0"/>
        </w:rPr>
        <w:t>praca,</w:t>
      </w:r>
      <w:r w:rsidR="003B50ED" w:rsidRPr="00F16251">
        <w:rPr>
          <w:rFonts w:cstheme="minorHAnsi"/>
          <w:color w:val="000000"/>
          <w:kern w:val="0"/>
        </w:rPr>
        <w:t xml:space="preserve"> </w:t>
      </w:r>
      <w:r w:rsidRPr="00F16251">
        <w:rPr>
          <w:rFonts w:cstheme="minorHAnsi"/>
          <w:color w:val="000000"/>
          <w:kern w:val="0"/>
        </w:rPr>
        <w:t>tworzenie</w:t>
      </w:r>
      <w:r w:rsidR="003B50ED" w:rsidRPr="00F16251">
        <w:rPr>
          <w:rFonts w:cstheme="minorHAnsi"/>
          <w:color w:val="000000"/>
          <w:kern w:val="0"/>
        </w:rPr>
        <w:t xml:space="preserve"> </w:t>
      </w:r>
      <w:r w:rsidRPr="00F16251">
        <w:rPr>
          <w:rFonts w:cstheme="minorHAnsi"/>
          <w:color w:val="000000"/>
          <w:kern w:val="0"/>
        </w:rPr>
        <w:t>nowych</w:t>
      </w:r>
      <w:r w:rsidR="003B50ED" w:rsidRPr="00F16251">
        <w:rPr>
          <w:rFonts w:cstheme="minorHAnsi"/>
          <w:color w:val="000000"/>
          <w:kern w:val="0"/>
        </w:rPr>
        <w:t xml:space="preserve"> </w:t>
      </w:r>
      <w:r w:rsidRPr="00F16251">
        <w:rPr>
          <w:rFonts w:cstheme="minorHAnsi"/>
          <w:color w:val="000000"/>
          <w:kern w:val="0"/>
        </w:rPr>
        <w:t>miejsc</w:t>
      </w:r>
      <w:r w:rsidR="003B50ED" w:rsidRPr="00F16251">
        <w:rPr>
          <w:rFonts w:cstheme="minorHAnsi"/>
          <w:color w:val="000000"/>
          <w:kern w:val="0"/>
        </w:rPr>
        <w:t xml:space="preserve"> </w:t>
      </w:r>
      <w:r w:rsidRPr="00F16251">
        <w:rPr>
          <w:rFonts w:cstheme="minorHAnsi"/>
          <w:color w:val="000000"/>
          <w:kern w:val="0"/>
        </w:rPr>
        <w:t>pracy.</w:t>
      </w:r>
      <w:r w:rsidR="003B50ED" w:rsidRPr="00F16251">
        <w:rPr>
          <w:rFonts w:cstheme="minorHAnsi"/>
          <w:color w:val="000000"/>
          <w:kern w:val="0"/>
        </w:rPr>
        <w:t xml:space="preserve"> </w:t>
      </w:r>
      <w:r w:rsidRPr="00F16251">
        <w:rPr>
          <w:rFonts w:cstheme="minorHAnsi"/>
          <w:color w:val="000000"/>
          <w:kern w:val="0"/>
        </w:rPr>
        <w:t>Sytuacja</w:t>
      </w:r>
      <w:r w:rsidR="003B50ED" w:rsidRPr="00F16251">
        <w:rPr>
          <w:rFonts w:cstheme="minorHAnsi"/>
          <w:color w:val="000000"/>
          <w:kern w:val="0"/>
        </w:rPr>
        <w:t xml:space="preserve"> </w:t>
      </w:r>
      <w:r w:rsidRPr="00F16251">
        <w:rPr>
          <w:rFonts w:cstheme="minorHAnsi"/>
          <w:color w:val="000000"/>
          <w:kern w:val="0"/>
        </w:rPr>
        <w:t>optymalna,</w:t>
      </w:r>
      <w:r w:rsidR="003B50ED" w:rsidRPr="00F16251">
        <w:rPr>
          <w:rFonts w:cstheme="minorHAnsi"/>
          <w:color w:val="000000"/>
          <w:kern w:val="0"/>
        </w:rPr>
        <w:t xml:space="preserve"> </w:t>
      </w:r>
      <w:r w:rsidRPr="00F16251">
        <w:rPr>
          <w:rFonts w:cstheme="minorHAnsi"/>
          <w:color w:val="000000"/>
          <w:kern w:val="0"/>
        </w:rPr>
        <w:t>najbardziej</w:t>
      </w:r>
      <w:r w:rsidR="003B50ED" w:rsidRPr="00F16251">
        <w:rPr>
          <w:rFonts w:cstheme="minorHAnsi"/>
          <w:color w:val="000000"/>
          <w:kern w:val="0"/>
        </w:rPr>
        <w:t xml:space="preserve"> </w:t>
      </w:r>
      <w:r w:rsidRPr="00F16251">
        <w:rPr>
          <w:rFonts w:cstheme="minorHAnsi"/>
          <w:color w:val="000000"/>
          <w:kern w:val="0"/>
        </w:rPr>
        <w:t>związująca</w:t>
      </w:r>
      <w:r w:rsidR="003B50ED" w:rsidRPr="00F16251">
        <w:rPr>
          <w:rFonts w:cstheme="minorHAnsi"/>
          <w:color w:val="000000"/>
          <w:kern w:val="0"/>
        </w:rPr>
        <w:t xml:space="preserve"> </w:t>
      </w:r>
      <w:r w:rsidRPr="00F16251">
        <w:rPr>
          <w:rFonts w:cstheme="minorHAnsi"/>
          <w:color w:val="000000"/>
          <w:kern w:val="0"/>
        </w:rPr>
        <w:t>ludzi</w:t>
      </w:r>
      <w:r w:rsidR="003B50ED" w:rsidRPr="00F16251">
        <w:rPr>
          <w:rFonts w:cstheme="minorHAnsi"/>
          <w:color w:val="000000"/>
          <w:kern w:val="0"/>
        </w:rPr>
        <w:t xml:space="preserve"> </w:t>
      </w:r>
      <w:r w:rsidRPr="00F16251">
        <w:rPr>
          <w:rFonts w:cstheme="minorHAnsi"/>
          <w:color w:val="000000"/>
          <w:kern w:val="0"/>
        </w:rPr>
        <w:t>z</w:t>
      </w:r>
      <w:r w:rsidR="003B50ED" w:rsidRPr="00F16251">
        <w:rPr>
          <w:rFonts w:cstheme="minorHAnsi"/>
          <w:color w:val="000000"/>
          <w:kern w:val="0"/>
        </w:rPr>
        <w:t xml:space="preserve"> </w:t>
      </w:r>
      <w:r w:rsidRPr="00F16251">
        <w:rPr>
          <w:rFonts w:cstheme="minorHAnsi"/>
          <w:color w:val="000000"/>
          <w:kern w:val="0"/>
        </w:rPr>
        <w:t>miejscem</w:t>
      </w:r>
      <w:r w:rsidR="003B50ED" w:rsidRPr="00F16251">
        <w:rPr>
          <w:rFonts w:cstheme="minorHAnsi"/>
          <w:color w:val="000000"/>
          <w:kern w:val="0"/>
        </w:rPr>
        <w:t xml:space="preserve"> </w:t>
      </w:r>
      <w:r w:rsidRPr="00F16251">
        <w:rPr>
          <w:rFonts w:cstheme="minorHAnsi"/>
          <w:color w:val="000000"/>
          <w:kern w:val="0"/>
        </w:rPr>
        <w:t>zamieszkania</w:t>
      </w:r>
      <w:r w:rsidRPr="00A26C26">
        <w:rPr>
          <w:rFonts w:cstheme="minorHAnsi"/>
          <w:color w:val="000000"/>
          <w:kern w:val="0"/>
        </w:rPr>
        <w:t>,</w:t>
      </w:r>
      <w:r w:rsidR="003B50ED">
        <w:rPr>
          <w:rFonts w:cstheme="minorHAnsi"/>
          <w:color w:val="000000"/>
          <w:kern w:val="0"/>
        </w:rPr>
        <w:t xml:space="preserve"> </w:t>
      </w:r>
      <w:r w:rsidRPr="00A26C26">
        <w:rPr>
          <w:rFonts w:cstheme="minorHAnsi"/>
          <w:color w:val="000000"/>
          <w:kern w:val="0"/>
        </w:rPr>
        <w:t>to</w:t>
      </w:r>
      <w:r w:rsidR="003B50ED">
        <w:rPr>
          <w:rFonts w:cstheme="minorHAnsi"/>
          <w:color w:val="000000"/>
          <w:kern w:val="0"/>
        </w:rPr>
        <w:t xml:space="preserve"> </w:t>
      </w:r>
      <w:r w:rsidRPr="00A26C26">
        <w:rPr>
          <w:rFonts w:cstheme="minorHAnsi"/>
          <w:color w:val="000000"/>
          <w:kern w:val="0"/>
        </w:rPr>
        <w:t>tworzenie</w:t>
      </w:r>
      <w:r w:rsidR="003B50ED">
        <w:rPr>
          <w:rFonts w:cstheme="minorHAnsi"/>
          <w:color w:val="000000"/>
          <w:kern w:val="0"/>
        </w:rPr>
        <w:t xml:space="preserve"> </w:t>
      </w:r>
      <w:r w:rsidRPr="00A26C26">
        <w:rPr>
          <w:rFonts w:cstheme="minorHAnsi"/>
          <w:color w:val="000000"/>
          <w:kern w:val="0"/>
        </w:rPr>
        <w:t>miejsc</w:t>
      </w:r>
      <w:r w:rsidR="003B50ED">
        <w:rPr>
          <w:rFonts w:cstheme="minorHAnsi"/>
          <w:color w:val="000000"/>
          <w:kern w:val="0"/>
        </w:rPr>
        <w:t xml:space="preserve"> </w:t>
      </w:r>
      <w:r w:rsidRPr="00A26C26">
        <w:rPr>
          <w:rFonts w:cstheme="minorHAnsi"/>
          <w:color w:val="000000"/>
          <w:kern w:val="0"/>
        </w:rPr>
        <w:t>pracy</w:t>
      </w:r>
      <w:r w:rsidR="003B50ED">
        <w:rPr>
          <w:rFonts w:cstheme="minorHAnsi"/>
          <w:color w:val="000000"/>
          <w:kern w:val="0"/>
        </w:rPr>
        <w:t xml:space="preserve"> </w:t>
      </w:r>
      <w:r w:rsidRPr="00A26C26">
        <w:rPr>
          <w:rFonts w:cstheme="minorHAnsi"/>
          <w:color w:val="000000"/>
          <w:kern w:val="0"/>
        </w:rPr>
        <w:t>przez</w:t>
      </w:r>
      <w:r w:rsidR="003B50ED">
        <w:rPr>
          <w:rFonts w:cstheme="minorHAnsi"/>
          <w:color w:val="000000"/>
          <w:kern w:val="0"/>
        </w:rPr>
        <w:t xml:space="preserve"> </w:t>
      </w:r>
      <w:r w:rsidRPr="00A26C26">
        <w:rPr>
          <w:rFonts w:cstheme="minorHAnsi"/>
          <w:color w:val="000000"/>
          <w:kern w:val="0"/>
        </w:rPr>
        <w:t>samych</w:t>
      </w:r>
      <w:r w:rsidR="003B50ED">
        <w:rPr>
          <w:rFonts w:cstheme="minorHAnsi"/>
          <w:color w:val="000000"/>
          <w:kern w:val="0"/>
        </w:rPr>
        <w:t xml:space="preserve"> </w:t>
      </w:r>
      <w:r w:rsidRPr="00A26C26">
        <w:rPr>
          <w:rFonts w:cstheme="minorHAnsi"/>
          <w:color w:val="000000"/>
          <w:kern w:val="0"/>
        </w:rPr>
        <w:t>ludzi,</w:t>
      </w:r>
      <w:r w:rsidR="003B50ED">
        <w:rPr>
          <w:rFonts w:cstheme="minorHAnsi"/>
          <w:color w:val="000000"/>
          <w:kern w:val="0"/>
        </w:rPr>
        <w:t xml:space="preserve"> </w:t>
      </w:r>
      <w:r w:rsidRPr="00A26C26">
        <w:rPr>
          <w:rFonts w:cstheme="minorHAnsi"/>
          <w:color w:val="000000"/>
          <w:kern w:val="0"/>
        </w:rPr>
        <w:t>czyli</w:t>
      </w:r>
      <w:r w:rsidR="003B50ED">
        <w:rPr>
          <w:rFonts w:cstheme="minorHAnsi"/>
          <w:color w:val="000000"/>
          <w:kern w:val="0"/>
        </w:rPr>
        <w:t xml:space="preserve"> </w:t>
      </w:r>
      <w:r w:rsidRPr="00A26C26">
        <w:rPr>
          <w:rFonts w:cstheme="minorHAnsi"/>
          <w:color w:val="000000"/>
          <w:kern w:val="0"/>
        </w:rPr>
        <w:t>podejmowanie</w:t>
      </w:r>
      <w:r w:rsidR="003B50ED">
        <w:rPr>
          <w:rFonts w:cstheme="minorHAnsi"/>
          <w:color w:val="000000"/>
          <w:kern w:val="0"/>
        </w:rPr>
        <w:t xml:space="preserve"> </w:t>
      </w:r>
      <w:r w:rsidRPr="00A26C26">
        <w:rPr>
          <w:rFonts w:cstheme="minorHAnsi"/>
          <w:color w:val="000000"/>
          <w:kern w:val="0"/>
        </w:rPr>
        <w:t>działalności.</w:t>
      </w:r>
      <w:r w:rsidR="003B50ED">
        <w:rPr>
          <w:rFonts w:cstheme="minorHAnsi"/>
          <w:color w:val="000000"/>
          <w:kern w:val="0"/>
        </w:rPr>
        <w:t xml:space="preserve"> </w:t>
      </w:r>
      <w:r w:rsidRPr="00A26C26">
        <w:rPr>
          <w:rFonts w:cstheme="minorHAnsi"/>
          <w:kern w:val="0"/>
        </w:rPr>
        <w:t>Podejmowanie</w:t>
      </w:r>
      <w:r w:rsidR="003B50ED">
        <w:rPr>
          <w:rFonts w:cstheme="minorHAnsi"/>
          <w:kern w:val="0"/>
        </w:rPr>
        <w:t xml:space="preserve"> </w:t>
      </w:r>
      <w:r w:rsidRPr="00A26C26">
        <w:rPr>
          <w:rFonts w:cstheme="minorHAnsi"/>
          <w:kern w:val="0"/>
        </w:rPr>
        <w:t>działalności</w:t>
      </w:r>
      <w:r w:rsidR="003B50ED">
        <w:rPr>
          <w:rFonts w:cstheme="minorHAnsi"/>
          <w:kern w:val="0"/>
        </w:rPr>
        <w:t xml:space="preserve"> </w:t>
      </w:r>
      <w:r w:rsidRPr="00A26C26">
        <w:rPr>
          <w:rFonts w:cstheme="minorHAnsi"/>
          <w:kern w:val="0"/>
        </w:rPr>
        <w:t>jest</w:t>
      </w:r>
      <w:r w:rsidR="003B50ED">
        <w:rPr>
          <w:rFonts w:cstheme="minorHAnsi"/>
          <w:kern w:val="0"/>
        </w:rPr>
        <w:t xml:space="preserve"> </w:t>
      </w:r>
      <w:r w:rsidRPr="00A26C26">
        <w:rPr>
          <w:rFonts w:cstheme="minorHAnsi"/>
          <w:kern w:val="0"/>
        </w:rPr>
        <w:t>jednym</w:t>
      </w:r>
      <w:r w:rsidR="003B50ED">
        <w:rPr>
          <w:rFonts w:cstheme="minorHAnsi"/>
          <w:kern w:val="0"/>
        </w:rPr>
        <w:t xml:space="preserve"> </w:t>
      </w:r>
      <w:r w:rsidRPr="00A26C26">
        <w:rPr>
          <w:rFonts w:cstheme="minorHAnsi"/>
          <w:kern w:val="0"/>
        </w:rPr>
        <w:t>z</w:t>
      </w:r>
      <w:r w:rsidR="003B50ED">
        <w:rPr>
          <w:rFonts w:cstheme="minorHAnsi"/>
          <w:kern w:val="0"/>
        </w:rPr>
        <w:t xml:space="preserve"> </w:t>
      </w:r>
      <w:r w:rsidRPr="00A26C26">
        <w:rPr>
          <w:rFonts w:cstheme="minorHAnsi"/>
          <w:kern w:val="0"/>
        </w:rPr>
        <w:t>priorytetów</w:t>
      </w:r>
      <w:r w:rsidR="003B50ED">
        <w:rPr>
          <w:rFonts w:cstheme="minorHAnsi"/>
          <w:kern w:val="0"/>
        </w:rPr>
        <w:t xml:space="preserve"> </w:t>
      </w:r>
      <w:r w:rsidRPr="00A26C26">
        <w:rPr>
          <w:rFonts w:cstheme="minorHAnsi"/>
          <w:kern w:val="0"/>
        </w:rPr>
        <w:t>LGD</w:t>
      </w:r>
      <w:r w:rsidR="003B50ED">
        <w:rPr>
          <w:rFonts w:cstheme="minorHAnsi"/>
          <w:kern w:val="0"/>
        </w:rPr>
        <w:t xml:space="preserve"> </w:t>
      </w:r>
      <w:r w:rsidRPr="00A26C26">
        <w:rPr>
          <w:rFonts w:cstheme="minorHAnsi"/>
          <w:kern w:val="0"/>
        </w:rPr>
        <w:t>i</w:t>
      </w:r>
      <w:r w:rsidR="003B50ED">
        <w:rPr>
          <w:rFonts w:cstheme="minorHAnsi"/>
          <w:kern w:val="0"/>
        </w:rPr>
        <w:t xml:space="preserve"> </w:t>
      </w:r>
      <w:r w:rsidRPr="00A26C26">
        <w:rPr>
          <w:rFonts w:cstheme="minorHAnsi"/>
          <w:kern w:val="0"/>
        </w:rPr>
        <w:t>cieszy</w:t>
      </w:r>
      <w:r w:rsidR="003B50ED">
        <w:rPr>
          <w:rFonts w:cstheme="minorHAnsi"/>
          <w:kern w:val="0"/>
        </w:rPr>
        <w:t xml:space="preserve"> </w:t>
      </w:r>
      <w:r w:rsidRPr="00A26C26">
        <w:rPr>
          <w:rFonts w:cstheme="minorHAnsi"/>
          <w:kern w:val="0"/>
        </w:rPr>
        <w:t>się</w:t>
      </w:r>
      <w:r w:rsidR="003B50ED">
        <w:rPr>
          <w:rFonts w:cstheme="minorHAnsi"/>
          <w:kern w:val="0"/>
        </w:rPr>
        <w:t xml:space="preserve"> </w:t>
      </w:r>
      <w:r w:rsidRPr="00A26C26">
        <w:rPr>
          <w:rFonts w:cstheme="minorHAnsi"/>
          <w:kern w:val="0"/>
        </w:rPr>
        <w:t>tu</w:t>
      </w:r>
      <w:r w:rsidR="003B50ED">
        <w:rPr>
          <w:rFonts w:cstheme="minorHAnsi"/>
          <w:kern w:val="0"/>
        </w:rPr>
        <w:t xml:space="preserve"> </w:t>
      </w:r>
      <w:r w:rsidRPr="00A26C26">
        <w:rPr>
          <w:rFonts w:cstheme="minorHAnsi"/>
          <w:kern w:val="0"/>
        </w:rPr>
        <w:t>dużym</w:t>
      </w:r>
      <w:r w:rsidR="003B50ED">
        <w:rPr>
          <w:rFonts w:cstheme="minorHAnsi"/>
          <w:kern w:val="0"/>
        </w:rPr>
        <w:t xml:space="preserve"> </w:t>
      </w:r>
      <w:r w:rsidRPr="00A26C26">
        <w:rPr>
          <w:rFonts w:cstheme="minorHAnsi"/>
          <w:kern w:val="0"/>
        </w:rPr>
        <w:t>powodzeniem,</w:t>
      </w:r>
      <w:r w:rsidR="003B50ED">
        <w:rPr>
          <w:rFonts w:cstheme="minorHAnsi"/>
          <w:kern w:val="0"/>
        </w:rPr>
        <w:t xml:space="preserve"> </w:t>
      </w:r>
      <w:r w:rsidRPr="00A26C26">
        <w:rPr>
          <w:rFonts w:cstheme="minorHAnsi"/>
          <w:kern w:val="0"/>
        </w:rPr>
        <w:t>na</w:t>
      </w:r>
      <w:r w:rsidR="003B50ED">
        <w:rPr>
          <w:rFonts w:cstheme="minorHAnsi"/>
          <w:kern w:val="0"/>
        </w:rPr>
        <w:t xml:space="preserve"> </w:t>
      </w:r>
      <w:r w:rsidRPr="00A26C26">
        <w:rPr>
          <w:rFonts w:cstheme="minorHAnsi"/>
          <w:kern w:val="0"/>
        </w:rPr>
        <w:t>nie</w:t>
      </w:r>
      <w:r w:rsidR="003B50ED">
        <w:rPr>
          <w:rFonts w:cstheme="minorHAnsi"/>
          <w:kern w:val="0"/>
        </w:rPr>
        <w:t xml:space="preserve"> </w:t>
      </w:r>
      <w:r w:rsidRPr="00A26C26">
        <w:rPr>
          <w:rFonts w:cstheme="minorHAnsi"/>
          <w:kern w:val="0"/>
        </w:rPr>
        <w:t>też</w:t>
      </w:r>
      <w:r w:rsidR="003B50ED">
        <w:rPr>
          <w:rFonts w:cstheme="minorHAnsi"/>
          <w:kern w:val="0"/>
        </w:rPr>
        <w:t xml:space="preserve"> </w:t>
      </w:r>
      <w:r w:rsidRPr="00A26C26">
        <w:rPr>
          <w:rFonts w:cstheme="minorHAnsi"/>
          <w:kern w:val="0"/>
        </w:rPr>
        <w:t>przeznacza</w:t>
      </w:r>
      <w:r w:rsidR="003B50ED">
        <w:rPr>
          <w:rFonts w:cstheme="minorHAnsi"/>
          <w:kern w:val="0"/>
        </w:rPr>
        <w:t xml:space="preserve"> </w:t>
      </w:r>
      <w:r w:rsidRPr="00A26C26">
        <w:rPr>
          <w:rFonts w:cstheme="minorHAnsi"/>
          <w:kern w:val="0"/>
        </w:rPr>
        <w:t>się</w:t>
      </w:r>
      <w:r w:rsidR="003B50ED">
        <w:rPr>
          <w:rFonts w:cstheme="minorHAnsi"/>
          <w:kern w:val="0"/>
        </w:rPr>
        <w:t xml:space="preserve"> </w:t>
      </w:r>
      <w:r w:rsidRPr="00A26C26">
        <w:rPr>
          <w:rFonts w:cstheme="minorHAnsi"/>
          <w:kern w:val="0"/>
        </w:rPr>
        <w:t>najwięcej</w:t>
      </w:r>
      <w:r w:rsidR="003B50ED">
        <w:rPr>
          <w:rFonts w:cstheme="minorHAnsi"/>
          <w:kern w:val="0"/>
        </w:rPr>
        <w:t xml:space="preserve"> </w:t>
      </w:r>
      <w:r w:rsidRPr="00A26C26">
        <w:rPr>
          <w:rFonts w:cstheme="minorHAnsi"/>
          <w:kern w:val="0"/>
        </w:rPr>
        <w:t>środków.</w:t>
      </w:r>
      <w:r w:rsidR="003B50ED">
        <w:rPr>
          <w:rFonts w:cstheme="minorHAnsi"/>
          <w:kern w:val="0"/>
        </w:rPr>
        <w:t xml:space="preserve"> </w:t>
      </w:r>
    </w:p>
    <w:p w14:paraId="746EDC26" w14:textId="7F7561BE" w:rsidR="00224658" w:rsidRPr="00A26C26" w:rsidRDefault="00224658" w:rsidP="00A26C26">
      <w:pPr>
        <w:spacing w:line="276" w:lineRule="auto"/>
        <w:ind w:firstLine="284"/>
        <w:jc w:val="both"/>
        <w:rPr>
          <w:rFonts w:cstheme="minorHAnsi"/>
        </w:rPr>
      </w:pPr>
      <w:r w:rsidRPr="00A26C26">
        <w:rPr>
          <w:rFonts w:cstheme="minorHAnsi"/>
        </w:rPr>
        <w:t>Wykorzystując</w:t>
      </w:r>
      <w:r w:rsidR="003B50ED">
        <w:rPr>
          <w:rFonts w:cstheme="minorHAnsi"/>
        </w:rPr>
        <w:t xml:space="preserve"> </w:t>
      </w:r>
      <w:r w:rsidRPr="00A26C26">
        <w:rPr>
          <w:rFonts w:cstheme="minorHAnsi"/>
        </w:rPr>
        <w:t>potencjał</w:t>
      </w:r>
      <w:r w:rsidR="003B50ED">
        <w:rPr>
          <w:rFonts w:cstheme="minorHAnsi"/>
        </w:rPr>
        <w:t xml:space="preserve"> </w:t>
      </w:r>
      <w:r w:rsidRPr="00A26C26">
        <w:rPr>
          <w:rFonts w:cstheme="minorHAnsi"/>
        </w:rPr>
        <w:t>obszaru</w:t>
      </w:r>
      <w:r w:rsidR="003B50ED">
        <w:rPr>
          <w:rFonts w:cstheme="minorHAnsi"/>
        </w:rPr>
        <w:t xml:space="preserve"> </w:t>
      </w:r>
      <w:r w:rsidRPr="00A26C26">
        <w:rPr>
          <w:rFonts w:cstheme="minorHAnsi"/>
        </w:rPr>
        <w:t>(m.in.</w:t>
      </w:r>
      <w:r w:rsidR="003B50ED">
        <w:rPr>
          <w:rFonts w:cstheme="minorHAnsi"/>
        </w:rPr>
        <w:t xml:space="preserve"> </w:t>
      </w:r>
      <w:r w:rsidRPr="00A26C26">
        <w:rPr>
          <w:rFonts w:cstheme="minorHAnsi"/>
        </w:rPr>
        <w:t>położenie</w:t>
      </w:r>
      <w:r w:rsidR="003B50ED">
        <w:rPr>
          <w:rFonts w:cstheme="minorHAnsi"/>
        </w:rPr>
        <w:t xml:space="preserve"> </w:t>
      </w:r>
      <w:r w:rsidRPr="00A26C26">
        <w:rPr>
          <w:rFonts w:cstheme="minorHAnsi"/>
        </w:rPr>
        <w:t>geograficzne,</w:t>
      </w:r>
      <w:r w:rsidR="003B50ED">
        <w:rPr>
          <w:rFonts w:cstheme="minorHAnsi"/>
        </w:rPr>
        <w:t xml:space="preserve"> </w:t>
      </w:r>
      <w:r w:rsidRPr="00A26C26">
        <w:rPr>
          <w:rFonts w:cstheme="minorHAnsi"/>
        </w:rPr>
        <w:t>walory</w:t>
      </w:r>
      <w:r w:rsidR="003B50ED">
        <w:rPr>
          <w:rFonts w:cstheme="minorHAnsi"/>
        </w:rPr>
        <w:t xml:space="preserve"> </w:t>
      </w:r>
      <w:r w:rsidRPr="00A26C26">
        <w:rPr>
          <w:rFonts w:cstheme="minorHAnsi"/>
        </w:rPr>
        <w:t>przyrodnicze</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kulturowe,</w:t>
      </w:r>
      <w:r w:rsidR="003B50ED">
        <w:rPr>
          <w:rFonts w:cstheme="minorHAnsi"/>
        </w:rPr>
        <w:t xml:space="preserve"> </w:t>
      </w:r>
      <w:r w:rsidRPr="00A26C26">
        <w:rPr>
          <w:rFonts w:cstheme="minorHAnsi"/>
        </w:rPr>
        <w:t>potencjał</w:t>
      </w:r>
      <w:r w:rsidR="003B50ED">
        <w:rPr>
          <w:rFonts w:cstheme="minorHAnsi"/>
        </w:rPr>
        <w:t xml:space="preserve"> </w:t>
      </w:r>
      <w:r w:rsidRPr="00A26C26">
        <w:rPr>
          <w:rFonts w:cstheme="minorHAnsi"/>
        </w:rPr>
        <w:t>do</w:t>
      </w:r>
      <w:r w:rsidR="003B50ED">
        <w:rPr>
          <w:rFonts w:cstheme="minorHAnsi"/>
        </w:rPr>
        <w:t xml:space="preserve"> </w:t>
      </w:r>
      <w:r w:rsidRPr="00A26C26">
        <w:rPr>
          <w:rFonts w:cstheme="minorHAnsi"/>
        </w:rPr>
        <w:t>rozwoju</w:t>
      </w:r>
      <w:r w:rsidR="003B50ED">
        <w:rPr>
          <w:rFonts w:cstheme="minorHAnsi"/>
        </w:rPr>
        <w:t xml:space="preserve"> </w:t>
      </w:r>
      <w:r w:rsidRPr="00A26C26">
        <w:rPr>
          <w:rFonts w:cstheme="minorHAnsi"/>
        </w:rPr>
        <w:t>turystyki</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infrastruktury</w:t>
      </w:r>
      <w:r w:rsidR="003B50ED">
        <w:rPr>
          <w:rFonts w:cstheme="minorHAnsi"/>
        </w:rPr>
        <w:t xml:space="preserve"> </w:t>
      </w:r>
      <w:r w:rsidRPr="00A26C26">
        <w:rPr>
          <w:rFonts w:cstheme="minorHAnsi"/>
        </w:rPr>
        <w:t>turystycznej)</w:t>
      </w:r>
      <w:r w:rsidR="003B50ED">
        <w:rPr>
          <w:rFonts w:cstheme="minorHAnsi"/>
        </w:rPr>
        <w:t xml:space="preserve"> </w:t>
      </w:r>
      <w:r w:rsidRPr="00A26C26">
        <w:rPr>
          <w:rFonts w:cstheme="minorHAnsi"/>
        </w:rPr>
        <w:t>LGD</w:t>
      </w:r>
      <w:r w:rsidR="003B50ED">
        <w:rPr>
          <w:rFonts w:cstheme="minorHAnsi"/>
        </w:rPr>
        <w:t xml:space="preserve"> </w:t>
      </w:r>
      <w:r w:rsidRPr="00A26C26">
        <w:rPr>
          <w:rFonts w:cstheme="minorHAnsi"/>
        </w:rPr>
        <w:t>„Solidarni</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Partnerstwie”,</w:t>
      </w:r>
      <w:r w:rsidR="003B50ED">
        <w:rPr>
          <w:rFonts w:cstheme="minorHAnsi"/>
        </w:rPr>
        <w:t xml:space="preserve"> </w:t>
      </w:r>
      <w:r w:rsidRPr="00A26C26">
        <w:rPr>
          <w:rFonts w:cstheme="minorHAnsi"/>
        </w:rPr>
        <w:t>wzorem</w:t>
      </w:r>
      <w:r w:rsidR="003B50ED">
        <w:rPr>
          <w:rFonts w:cstheme="minorHAnsi"/>
        </w:rPr>
        <w:t xml:space="preserve"> </w:t>
      </w:r>
      <w:r w:rsidRPr="00A26C26">
        <w:rPr>
          <w:rFonts w:cstheme="minorHAnsi"/>
        </w:rPr>
        <w:t>poprzedniego</w:t>
      </w:r>
      <w:r w:rsidR="003B50ED">
        <w:rPr>
          <w:rFonts w:cstheme="minorHAnsi"/>
        </w:rPr>
        <w:t xml:space="preserve"> </w:t>
      </w:r>
      <w:r w:rsidRPr="00A26C26">
        <w:rPr>
          <w:rFonts w:cstheme="minorHAnsi"/>
        </w:rPr>
        <w:t>okresu</w:t>
      </w:r>
      <w:r w:rsidR="003B50ED">
        <w:rPr>
          <w:rFonts w:cstheme="minorHAnsi"/>
        </w:rPr>
        <w:t xml:space="preserve"> </w:t>
      </w:r>
      <w:r w:rsidRPr="00A26C26">
        <w:rPr>
          <w:rFonts w:cstheme="minorHAnsi"/>
        </w:rPr>
        <w:t>programowania,</w:t>
      </w:r>
      <w:r w:rsidR="003B50ED">
        <w:rPr>
          <w:rFonts w:cstheme="minorHAnsi"/>
        </w:rPr>
        <w:t xml:space="preserve"> </w:t>
      </w:r>
      <w:r w:rsidRPr="00A26C26">
        <w:rPr>
          <w:rFonts w:cstheme="minorHAnsi"/>
        </w:rPr>
        <w:t>będzie</w:t>
      </w:r>
      <w:r w:rsidR="003B50ED">
        <w:rPr>
          <w:rFonts w:cstheme="minorHAnsi"/>
        </w:rPr>
        <w:t xml:space="preserve"> </w:t>
      </w:r>
      <w:r w:rsidRPr="00A26C26">
        <w:rPr>
          <w:rFonts w:cstheme="minorHAnsi"/>
        </w:rPr>
        <w:t>promować</w:t>
      </w:r>
      <w:r w:rsidR="003B50ED">
        <w:rPr>
          <w:rFonts w:cstheme="minorHAnsi"/>
        </w:rPr>
        <w:t xml:space="preserve"> </w:t>
      </w:r>
      <w:r w:rsidRPr="00A26C26">
        <w:rPr>
          <w:rFonts w:cstheme="minorHAnsi"/>
        </w:rPr>
        <w:t>działania</w:t>
      </w:r>
      <w:r w:rsidR="003B50ED">
        <w:rPr>
          <w:rFonts w:cstheme="minorHAnsi"/>
        </w:rPr>
        <w:t xml:space="preserve"> </w:t>
      </w:r>
      <w:r w:rsidRPr="00A26C26">
        <w:rPr>
          <w:rFonts w:cstheme="minorHAnsi"/>
        </w:rPr>
        <w:t>związane</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rozwojem</w:t>
      </w:r>
      <w:r w:rsidR="003B50ED">
        <w:rPr>
          <w:rFonts w:cstheme="minorHAnsi"/>
        </w:rPr>
        <w:t xml:space="preserve"> </w:t>
      </w:r>
      <w:r w:rsidRPr="00A26C26">
        <w:rPr>
          <w:rFonts w:cstheme="minorHAnsi"/>
        </w:rPr>
        <w:t>przedsiębiorczości</w:t>
      </w:r>
      <w:r w:rsidR="003B50ED">
        <w:rPr>
          <w:rFonts w:cstheme="minorHAnsi"/>
        </w:rPr>
        <w:t xml:space="preserve"> </w:t>
      </w:r>
      <w:r w:rsidRPr="00A26C26">
        <w:rPr>
          <w:rFonts w:cstheme="minorHAnsi"/>
        </w:rPr>
        <w:t>(podejmowanie</w:t>
      </w:r>
      <w:r w:rsidR="003B50ED">
        <w:rPr>
          <w:rFonts w:cstheme="minorHAnsi"/>
        </w:rPr>
        <w:t xml:space="preserve"> </w:t>
      </w:r>
      <w:r w:rsidRPr="00A26C26">
        <w:rPr>
          <w:rFonts w:cstheme="minorHAnsi"/>
        </w:rPr>
        <w:t>pozarolniczej</w:t>
      </w:r>
      <w:r w:rsidR="003B50ED">
        <w:rPr>
          <w:rFonts w:cstheme="minorHAnsi"/>
        </w:rPr>
        <w:t xml:space="preserve"> </w:t>
      </w:r>
      <w:r w:rsidRPr="00A26C26">
        <w:rPr>
          <w:rFonts w:cstheme="minorHAnsi"/>
        </w:rPr>
        <w:t>działalności</w:t>
      </w:r>
      <w:r w:rsidR="003B50ED">
        <w:rPr>
          <w:rFonts w:cstheme="minorHAnsi"/>
        </w:rPr>
        <w:t xml:space="preserve"> </w:t>
      </w:r>
      <w:r w:rsidRPr="00A26C26">
        <w:rPr>
          <w:rFonts w:cstheme="minorHAnsi"/>
        </w:rPr>
        <w:t>gospodarczej</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rozwijanie</w:t>
      </w:r>
      <w:r w:rsidR="003B50ED">
        <w:rPr>
          <w:rFonts w:cstheme="minorHAnsi"/>
        </w:rPr>
        <w:t xml:space="preserve"> </w:t>
      </w:r>
      <w:r w:rsidRPr="00A26C26">
        <w:rPr>
          <w:rFonts w:cstheme="minorHAnsi"/>
        </w:rPr>
        <w:t>działalności</w:t>
      </w:r>
      <w:r w:rsidR="003B50ED">
        <w:rPr>
          <w:rFonts w:cstheme="minorHAnsi"/>
        </w:rPr>
        <w:t xml:space="preserve"> </w:t>
      </w:r>
      <w:r w:rsidRPr="00A26C26">
        <w:rPr>
          <w:rFonts w:cstheme="minorHAnsi"/>
        </w:rPr>
        <w:t>gospodarczej).</w:t>
      </w:r>
      <w:r w:rsidR="003B50ED">
        <w:rPr>
          <w:rFonts w:cstheme="minorHAnsi"/>
        </w:rPr>
        <w:t xml:space="preserve"> </w:t>
      </w:r>
      <w:r w:rsidRPr="00A26C26">
        <w:rPr>
          <w:rFonts w:cstheme="minorHAnsi"/>
        </w:rPr>
        <w:t>Będą</w:t>
      </w:r>
      <w:r w:rsidR="003B50ED">
        <w:rPr>
          <w:rFonts w:cstheme="minorHAnsi"/>
        </w:rPr>
        <w:t xml:space="preserve"> </w:t>
      </w:r>
      <w:r w:rsidRPr="00A26C26">
        <w:rPr>
          <w:rFonts w:cstheme="minorHAnsi"/>
        </w:rPr>
        <w:t>wykorzystywane</w:t>
      </w:r>
      <w:r w:rsidR="003B50ED">
        <w:rPr>
          <w:rFonts w:cstheme="minorHAnsi"/>
        </w:rPr>
        <w:t xml:space="preserve"> </w:t>
      </w:r>
      <w:r w:rsidRPr="00A26C26">
        <w:rPr>
          <w:rFonts w:cstheme="minorHAnsi"/>
        </w:rPr>
        <w:t>do</w:t>
      </w:r>
      <w:r w:rsidR="003B50ED">
        <w:rPr>
          <w:rFonts w:cstheme="minorHAnsi"/>
        </w:rPr>
        <w:t xml:space="preserve"> </w:t>
      </w:r>
      <w:r w:rsidRPr="00A26C26">
        <w:rPr>
          <w:rFonts w:cstheme="minorHAnsi"/>
        </w:rPr>
        <w:t>tego</w:t>
      </w:r>
      <w:r w:rsidR="003B50ED">
        <w:rPr>
          <w:rFonts w:cstheme="minorHAnsi"/>
        </w:rPr>
        <w:t xml:space="preserve"> </w:t>
      </w:r>
      <w:r w:rsidRPr="00A26C26">
        <w:rPr>
          <w:rFonts w:cstheme="minorHAnsi"/>
        </w:rPr>
        <w:t>możliwości</w:t>
      </w:r>
      <w:r w:rsidR="003B50ED">
        <w:rPr>
          <w:rFonts w:cstheme="minorHAnsi"/>
        </w:rPr>
        <w:t xml:space="preserve"> </w:t>
      </w:r>
      <w:r w:rsidRPr="00A26C26">
        <w:rPr>
          <w:rFonts w:cstheme="minorHAnsi"/>
        </w:rPr>
        <w:t>planu</w:t>
      </w:r>
      <w:r w:rsidR="003B50ED">
        <w:rPr>
          <w:rFonts w:cstheme="minorHAnsi"/>
        </w:rPr>
        <w:t xml:space="preserve"> </w:t>
      </w:r>
      <w:r w:rsidRPr="00A26C26">
        <w:rPr>
          <w:rFonts w:cstheme="minorHAnsi"/>
        </w:rPr>
        <w:t>komunikacji</w:t>
      </w:r>
      <w:r w:rsidR="003B50ED">
        <w:rPr>
          <w:rFonts w:cstheme="minorHAnsi"/>
        </w:rPr>
        <w:t xml:space="preserve"> </w:t>
      </w:r>
      <w:r w:rsidRPr="00A26C26">
        <w:rPr>
          <w:rFonts w:cstheme="minorHAnsi"/>
        </w:rPr>
        <w:t>tj.</w:t>
      </w:r>
      <w:r w:rsidR="003B50ED">
        <w:rPr>
          <w:rFonts w:cstheme="minorHAnsi"/>
        </w:rPr>
        <w:t xml:space="preserve"> </w:t>
      </w:r>
      <w:r w:rsidRPr="00A26C26">
        <w:rPr>
          <w:rFonts w:cstheme="minorHAnsi"/>
        </w:rPr>
        <w:t>spotkania</w:t>
      </w:r>
      <w:r w:rsidR="003B50ED">
        <w:rPr>
          <w:rFonts w:cstheme="minorHAnsi"/>
        </w:rPr>
        <w:t xml:space="preserve"> </w:t>
      </w:r>
      <w:r w:rsidRPr="00A26C26">
        <w:rPr>
          <w:rFonts w:cstheme="minorHAnsi"/>
        </w:rPr>
        <w:t>informacyjne,</w:t>
      </w:r>
      <w:r w:rsidR="003B50ED">
        <w:rPr>
          <w:rFonts w:cstheme="minorHAnsi"/>
        </w:rPr>
        <w:t xml:space="preserve"> </w:t>
      </w:r>
      <w:r w:rsidRPr="00A26C26">
        <w:rPr>
          <w:rFonts w:cstheme="minorHAnsi"/>
        </w:rPr>
        <w:t>szkolenia</w:t>
      </w:r>
      <w:r w:rsidR="003B50ED">
        <w:rPr>
          <w:rFonts w:cstheme="minorHAnsi"/>
        </w:rPr>
        <w:t xml:space="preserve"> </w:t>
      </w:r>
      <w:r w:rsidRPr="00A26C26">
        <w:rPr>
          <w:rFonts w:cstheme="minorHAnsi"/>
        </w:rPr>
        <w:t>dla</w:t>
      </w:r>
      <w:r w:rsidR="003B50ED">
        <w:rPr>
          <w:rFonts w:cstheme="minorHAnsi"/>
        </w:rPr>
        <w:t xml:space="preserve"> </w:t>
      </w:r>
      <w:r w:rsidRPr="00A26C26">
        <w:rPr>
          <w:rFonts w:cstheme="minorHAnsi"/>
        </w:rPr>
        <w:t>beneficjentów</w:t>
      </w:r>
      <w:r w:rsidR="003B50ED">
        <w:rPr>
          <w:rFonts w:cstheme="minorHAnsi"/>
        </w:rPr>
        <w:t xml:space="preserve"> </w:t>
      </w:r>
      <w:r w:rsidRPr="00A26C26">
        <w:rPr>
          <w:rFonts w:cstheme="minorHAnsi"/>
        </w:rPr>
        <w:t>podczas</w:t>
      </w:r>
      <w:r w:rsidR="003B50ED">
        <w:rPr>
          <w:rFonts w:cstheme="minorHAnsi"/>
        </w:rPr>
        <w:t xml:space="preserve"> </w:t>
      </w:r>
      <w:r w:rsidRPr="00A26C26">
        <w:rPr>
          <w:rFonts w:cstheme="minorHAnsi"/>
        </w:rPr>
        <w:t>których</w:t>
      </w:r>
      <w:r w:rsidR="003B50ED">
        <w:rPr>
          <w:rFonts w:cstheme="minorHAnsi"/>
        </w:rPr>
        <w:t xml:space="preserve"> </w:t>
      </w:r>
      <w:r w:rsidRPr="00A26C26">
        <w:rPr>
          <w:rFonts w:cstheme="minorHAnsi"/>
        </w:rPr>
        <w:t>będą</w:t>
      </w:r>
      <w:r w:rsidR="003B50ED">
        <w:rPr>
          <w:rFonts w:cstheme="minorHAnsi"/>
        </w:rPr>
        <w:t xml:space="preserve"> </w:t>
      </w:r>
      <w:r w:rsidRPr="00A26C26">
        <w:rPr>
          <w:rFonts w:cstheme="minorHAnsi"/>
        </w:rPr>
        <w:t>pokazywane</w:t>
      </w:r>
      <w:r w:rsidR="003B50ED">
        <w:rPr>
          <w:rFonts w:cstheme="minorHAnsi"/>
        </w:rPr>
        <w:t xml:space="preserve"> </w:t>
      </w:r>
      <w:r w:rsidRPr="00A26C26">
        <w:rPr>
          <w:rFonts w:cstheme="minorHAnsi"/>
        </w:rPr>
        <w:t>dobre</w:t>
      </w:r>
      <w:r w:rsidR="003B50ED">
        <w:rPr>
          <w:rFonts w:cstheme="minorHAnsi"/>
        </w:rPr>
        <w:t xml:space="preserve"> </w:t>
      </w:r>
      <w:r w:rsidRPr="00A26C26">
        <w:rPr>
          <w:rFonts w:cstheme="minorHAnsi"/>
        </w:rPr>
        <w:t>praktyki</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ostatnich</w:t>
      </w:r>
      <w:r w:rsidR="003B50ED">
        <w:rPr>
          <w:rFonts w:cstheme="minorHAnsi"/>
        </w:rPr>
        <w:t xml:space="preserve"> </w:t>
      </w:r>
      <w:r w:rsidRPr="00A26C26">
        <w:rPr>
          <w:rFonts w:cstheme="minorHAnsi"/>
        </w:rPr>
        <w:t>kilku</w:t>
      </w:r>
      <w:r w:rsidR="003B50ED">
        <w:rPr>
          <w:rFonts w:cstheme="minorHAnsi"/>
        </w:rPr>
        <w:t xml:space="preserve"> </w:t>
      </w:r>
      <w:r w:rsidRPr="00A26C26">
        <w:rPr>
          <w:rFonts w:cstheme="minorHAnsi"/>
        </w:rPr>
        <w:t>lat</w:t>
      </w:r>
      <w:r w:rsidR="003B50ED">
        <w:rPr>
          <w:rFonts w:cstheme="minorHAnsi"/>
        </w:rPr>
        <w:t xml:space="preserve"> </w:t>
      </w:r>
      <w:r w:rsidRPr="00A26C26">
        <w:rPr>
          <w:rFonts w:cstheme="minorHAnsi"/>
        </w:rPr>
        <w:t>jak</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korzyści</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dofinansowania</w:t>
      </w:r>
      <w:r w:rsidR="003B50ED">
        <w:rPr>
          <w:rFonts w:cstheme="minorHAnsi"/>
        </w:rPr>
        <w:t xml:space="preserve"> </w:t>
      </w:r>
      <w:r w:rsidRPr="00A26C26">
        <w:rPr>
          <w:rFonts w:cstheme="minorHAnsi"/>
        </w:rPr>
        <w:t>pozyskanego</w:t>
      </w:r>
      <w:r w:rsidR="003B50ED">
        <w:rPr>
          <w:rFonts w:cstheme="minorHAnsi"/>
        </w:rPr>
        <w:t xml:space="preserve"> </w:t>
      </w:r>
      <w:r w:rsidRPr="00A26C26">
        <w:rPr>
          <w:rFonts w:cstheme="minorHAnsi"/>
        </w:rPr>
        <w:t>za</w:t>
      </w:r>
      <w:r w:rsidR="003B50ED">
        <w:rPr>
          <w:rFonts w:cstheme="minorHAnsi"/>
        </w:rPr>
        <w:t xml:space="preserve"> </w:t>
      </w:r>
      <w:r w:rsidRPr="00A26C26">
        <w:rPr>
          <w:rFonts w:cstheme="minorHAnsi"/>
        </w:rPr>
        <w:t>pośrednictwem</w:t>
      </w:r>
      <w:r w:rsidR="003B50ED">
        <w:rPr>
          <w:rFonts w:cstheme="minorHAnsi"/>
        </w:rPr>
        <w:t xml:space="preserve"> </w:t>
      </w:r>
      <w:r w:rsidR="00AB742D">
        <w:rPr>
          <w:rFonts w:cstheme="minorHAnsi"/>
        </w:rPr>
        <w:t xml:space="preserve">Stowarzyszenia </w:t>
      </w:r>
      <w:r w:rsidR="00AB742D" w:rsidRPr="00A26C26">
        <w:rPr>
          <w:rFonts w:cstheme="minorHAnsi"/>
        </w:rPr>
        <w:t>„Solidarni</w:t>
      </w:r>
      <w:r w:rsidR="00AB742D">
        <w:rPr>
          <w:rFonts w:cstheme="minorHAnsi"/>
        </w:rPr>
        <w:t xml:space="preserve"> </w:t>
      </w:r>
      <w:r w:rsidR="00AB742D" w:rsidRPr="00A26C26">
        <w:rPr>
          <w:rFonts w:cstheme="minorHAnsi"/>
        </w:rPr>
        <w:t>w</w:t>
      </w:r>
      <w:r w:rsidR="00AB742D">
        <w:rPr>
          <w:rFonts w:cstheme="minorHAnsi"/>
        </w:rPr>
        <w:t xml:space="preserve"> </w:t>
      </w:r>
      <w:r w:rsidR="00AB742D" w:rsidRPr="00A26C26">
        <w:rPr>
          <w:rFonts w:cstheme="minorHAnsi"/>
        </w:rPr>
        <w:t>Partnerstwie”</w:t>
      </w:r>
      <w:r w:rsidRPr="00A26C26">
        <w:rPr>
          <w:rFonts w:cstheme="minorHAnsi"/>
        </w:rPr>
        <w:t>.</w:t>
      </w:r>
      <w:r w:rsidR="003B50ED">
        <w:rPr>
          <w:rFonts w:cstheme="minorHAnsi"/>
        </w:rPr>
        <w:t xml:space="preserve"> </w:t>
      </w:r>
    </w:p>
    <w:p w14:paraId="5C00916B" w14:textId="3A47933D" w:rsidR="00224658" w:rsidRPr="00F16251" w:rsidRDefault="00224658" w:rsidP="00A26C26">
      <w:pPr>
        <w:spacing w:line="276" w:lineRule="auto"/>
        <w:ind w:firstLine="284"/>
        <w:jc w:val="both"/>
        <w:rPr>
          <w:rFonts w:cstheme="minorHAnsi"/>
        </w:rPr>
      </w:pPr>
      <w:r w:rsidRPr="00F16251">
        <w:rPr>
          <w:rFonts w:cstheme="minorHAnsi"/>
        </w:rPr>
        <w:t>Ponadto,</w:t>
      </w:r>
      <w:r w:rsidR="003B50ED" w:rsidRPr="00F16251">
        <w:rPr>
          <w:rFonts w:cstheme="minorHAnsi"/>
        </w:rPr>
        <w:t xml:space="preserve"> </w:t>
      </w:r>
      <w:r w:rsidRPr="00F16251">
        <w:rPr>
          <w:rFonts w:cstheme="minorHAnsi"/>
        </w:rPr>
        <w:t>uprawnionym</w:t>
      </w:r>
      <w:r w:rsidR="003B50ED" w:rsidRPr="00F16251">
        <w:rPr>
          <w:rFonts w:cstheme="minorHAnsi"/>
        </w:rPr>
        <w:t xml:space="preserve"> </w:t>
      </w:r>
      <w:r w:rsidRPr="00F16251">
        <w:rPr>
          <w:rFonts w:cstheme="minorHAnsi"/>
        </w:rPr>
        <w:t>jest</w:t>
      </w:r>
      <w:r w:rsidR="003B50ED" w:rsidRPr="00F16251">
        <w:rPr>
          <w:rFonts w:cstheme="minorHAnsi"/>
        </w:rPr>
        <w:t xml:space="preserve"> </w:t>
      </w:r>
      <w:r w:rsidRPr="00F16251">
        <w:rPr>
          <w:rFonts w:cstheme="minorHAnsi"/>
        </w:rPr>
        <w:t>stwierdzenie,</w:t>
      </w:r>
      <w:r w:rsidR="003B50ED" w:rsidRPr="00F16251">
        <w:rPr>
          <w:rFonts w:cstheme="minorHAnsi"/>
        </w:rPr>
        <w:t xml:space="preserve"> </w:t>
      </w:r>
      <w:r w:rsidRPr="00F16251">
        <w:rPr>
          <w:rFonts w:cstheme="minorHAnsi"/>
        </w:rPr>
        <w:t>że</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spadku</w:t>
      </w:r>
      <w:r w:rsidR="003B50ED" w:rsidRPr="00F16251">
        <w:rPr>
          <w:rFonts w:cstheme="minorHAnsi"/>
        </w:rPr>
        <w:t xml:space="preserve"> </w:t>
      </w:r>
      <w:r w:rsidRPr="00F16251">
        <w:rPr>
          <w:rFonts w:cstheme="minorHAnsi"/>
        </w:rPr>
        <w:t>bezrobocia</w:t>
      </w:r>
      <w:r w:rsidR="003B50ED" w:rsidRPr="00F16251">
        <w:rPr>
          <w:rFonts w:cstheme="minorHAnsi"/>
        </w:rPr>
        <w:t xml:space="preserve"> </w:t>
      </w:r>
      <w:r w:rsidRPr="00F16251">
        <w:rPr>
          <w:rFonts w:cstheme="minorHAnsi"/>
        </w:rPr>
        <w:t>niewątpliwie</w:t>
      </w:r>
      <w:r w:rsidR="003B50ED" w:rsidRPr="00F16251">
        <w:rPr>
          <w:rFonts w:cstheme="minorHAnsi"/>
        </w:rPr>
        <w:t xml:space="preserve"> </w:t>
      </w:r>
      <w:r w:rsidRPr="00F16251">
        <w:rPr>
          <w:rFonts w:cstheme="minorHAnsi"/>
        </w:rPr>
        <w:t>przyczyniła</w:t>
      </w:r>
      <w:r w:rsidR="003B50ED" w:rsidRPr="00F16251">
        <w:rPr>
          <w:rFonts w:cstheme="minorHAnsi"/>
        </w:rPr>
        <w:t xml:space="preserve"> </w:t>
      </w:r>
      <w:r w:rsidRPr="00F16251">
        <w:rPr>
          <w:rFonts w:cstheme="minorHAnsi"/>
        </w:rPr>
        <w:t>się</w:t>
      </w:r>
      <w:r w:rsidR="003B50ED" w:rsidRPr="00F16251">
        <w:rPr>
          <w:rFonts w:cstheme="minorHAnsi"/>
        </w:rPr>
        <w:t xml:space="preserve"> </w:t>
      </w:r>
      <w:r w:rsidRPr="00F16251">
        <w:rPr>
          <w:rFonts w:cstheme="minorHAnsi"/>
        </w:rPr>
        <w:t>działalność</w:t>
      </w:r>
      <w:r w:rsidR="003B50ED" w:rsidRPr="00F16251">
        <w:rPr>
          <w:rFonts w:cstheme="minorHAnsi"/>
        </w:rPr>
        <w:t xml:space="preserve"> </w:t>
      </w:r>
      <w:r w:rsidR="00AB742D" w:rsidRPr="00F16251">
        <w:rPr>
          <w:rFonts w:cstheme="minorHAnsi"/>
        </w:rPr>
        <w:t>Stowarzyszenia „Solidarni w Partnerstwie”</w:t>
      </w:r>
      <w:r w:rsidRPr="00F16251">
        <w:rPr>
          <w:rFonts w:cstheme="minorHAnsi"/>
        </w:rPr>
        <w:t>,</w:t>
      </w:r>
      <w:r w:rsidR="003B50ED" w:rsidRPr="00F16251">
        <w:rPr>
          <w:rFonts w:cstheme="minorHAnsi"/>
        </w:rPr>
        <w:t xml:space="preserve"> </w:t>
      </w:r>
      <w:r w:rsidRPr="00F16251">
        <w:rPr>
          <w:rFonts w:cstheme="minorHAnsi"/>
        </w:rPr>
        <w:t>ponieważ</w:t>
      </w:r>
      <w:r w:rsidR="003B50ED" w:rsidRPr="00F16251">
        <w:rPr>
          <w:rFonts w:cstheme="minorHAnsi"/>
        </w:rPr>
        <w:t xml:space="preserve"> </w:t>
      </w:r>
      <w:r w:rsidRPr="00F16251">
        <w:rPr>
          <w:rFonts w:cstheme="minorHAnsi"/>
        </w:rPr>
        <w:t>to</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budżetu</w:t>
      </w:r>
      <w:r w:rsidR="003B50ED" w:rsidRPr="00F16251">
        <w:rPr>
          <w:rFonts w:cstheme="minorHAnsi"/>
        </w:rPr>
        <w:t xml:space="preserve"> </w:t>
      </w:r>
      <w:r w:rsidRPr="00F16251">
        <w:rPr>
          <w:rFonts w:cstheme="minorHAnsi"/>
        </w:rPr>
        <w:t>tej</w:t>
      </w:r>
      <w:r w:rsidR="003B50ED" w:rsidRPr="00F16251">
        <w:rPr>
          <w:rFonts w:cstheme="minorHAnsi"/>
        </w:rPr>
        <w:t xml:space="preserve"> </w:t>
      </w:r>
      <w:r w:rsidRPr="00F16251">
        <w:rPr>
          <w:rFonts w:cstheme="minorHAnsi"/>
        </w:rPr>
        <w:t>organizacji,</w:t>
      </w:r>
      <w:r w:rsidR="003B50ED" w:rsidRPr="00F16251">
        <w:rPr>
          <w:rFonts w:cstheme="minorHAnsi"/>
        </w:rPr>
        <w:t xml:space="preserve"> </w:t>
      </w:r>
      <w:r w:rsidRPr="00F16251">
        <w:rPr>
          <w:rFonts w:cstheme="minorHAnsi"/>
        </w:rPr>
        <w:t>dzięki</w:t>
      </w:r>
      <w:r w:rsidR="003B50ED" w:rsidRPr="00F16251">
        <w:rPr>
          <w:rFonts w:cstheme="minorHAnsi"/>
        </w:rPr>
        <w:t xml:space="preserve"> </w:t>
      </w:r>
      <w:r w:rsidRPr="00F16251">
        <w:rPr>
          <w:rFonts w:cstheme="minorHAnsi"/>
        </w:rPr>
        <w:t>pozyskanemu</w:t>
      </w:r>
      <w:r w:rsidR="003B50ED" w:rsidRPr="00F16251">
        <w:rPr>
          <w:rFonts w:cstheme="minorHAnsi"/>
        </w:rPr>
        <w:t xml:space="preserve"> </w:t>
      </w:r>
      <w:r w:rsidRPr="00F16251">
        <w:rPr>
          <w:rFonts w:cstheme="minorHAnsi"/>
        </w:rPr>
        <w:t>dofinansowaniu</w:t>
      </w:r>
      <w:r w:rsidR="003B50ED" w:rsidRPr="00F16251">
        <w:rPr>
          <w:rFonts w:cstheme="minorHAnsi"/>
        </w:rPr>
        <w:t xml:space="preserve"> </w:t>
      </w:r>
      <w:r w:rsidRPr="00F16251">
        <w:rPr>
          <w:rFonts w:cstheme="minorHAnsi"/>
        </w:rPr>
        <w:t>przedsiębiorcy</w:t>
      </w:r>
      <w:r w:rsidR="003B50ED" w:rsidRPr="00F16251">
        <w:rPr>
          <w:rFonts w:cstheme="minorHAnsi"/>
        </w:rPr>
        <w:t xml:space="preserve"> </w:t>
      </w:r>
      <w:r w:rsidRPr="00F16251">
        <w:rPr>
          <w:rFonts w:cstheme="minorHAnsi"/>
        </w:rPr>
        <w:t>utworzyli</w:t>
      </w:r>
      <w:r w:rsidR="003B50ED" w:rsidRPr="00F16251">
        <w:rPr>
          <w:rFonts w:cstheme="minorHAnsi"/>
        </w:rPr>
        <w:t xml:space="preserve"> </w:t>
      </w:r>
      <w:r w:rsidRPr="00F16251">
        <w:rPr>
          <w:rFonts w:cstheme="minorHAnsi"/>
        </w:rPr>
        <w:t>niemalże</w:t>
      </w:r>
      <w:r w:rsidR="003B50ED" w:rsidRPr="00F16251">
        <w:rPr>
          <w:rFonts w:cstheme="minorHAnsi"/>
        </w:rPr>
        <w:t xml:space="preserve"> </w:t>
      </w:r>
      <w:r w:rsidRPr="00F16251">
        <w:rPr>
          <w:rFonts w:cstheme="minorHAnsi"/>
        </w:rPr>
        <w:t>kilkadziesiąt</w:t>
      </w:r>
      <w:r w:rsidR="003B50ED" w:rsidRPr="00F16251">
        <w:rPr>
          <w:rFonts w:cstheme="minorHAnsi"/>
        </w:rPr>
        <w:t xml:space="preserve"> </w:t>
      </w:r>
      <w:r w:rsidRPr="00F16251">
        <w:rPr>
          <w:rFonts w:cstheme="minorHAnsi"/>
        </w:rPr>
        <w:t>miejsc</w:t>
      </w:r>
      <w:r w:rsidR="003B50ED" w:rsidRPr="00F16251">
        <w:rPr>
          <w:rFonts w:cstheme="minorHAnsi"/>
        </w:rPr>
        <w:t xml:space="preserve"> </w:t>
      </w:r>
      <w:r w:rsidRPr="00F16251">
        <w:rPr>
          <w:rFonts w:cstheme="minorHAnsi"/>
        </w:rPr>
        <w:t>pracy.</w:t>
      </w:r>
      <w:r w:rsidR="003B50ED" w:rsidRPr="00F16251">
        <w:rPr>
          <w:rFonts w:cstheme="minorHAnsi"/>
        </w:rPr>
        <w:t xml:space="preserve"> </w:t>
      </w:r>
    </w:p>
    <w:p w14:paraId="1CD79A34" w14:textId="7BDE72F6" w:rsidR="00224658" w:rsidRPr="00A26C26" w:rsidRDefault="00224658" w:rsidP="00A26C26">
      <w:pPr>
        <w:spacing w:line="276" w:lineRule="auto"/>
        <w:ind w:firstLine="284"/>
        <w:jc w:val="both"/>
        <w:rPr>
          <w:rFonts w:cstheme="minorHAnsi"/>
        </w:rPr>
      </w:pPr>
      <w:r w:rsidRPr="00F16251">
        <w:rPr>
          <w:rFonts w:cstheme="minorHAnsi"/>
        </w:rPr>
        <w:t>Planuje</w:t>
      </w:r>
      <w:r w:rsidR="003B50ED" w:rsidRPr="00F16251">
        <w:rPr>
          <w:rFonts w:cstheme="minorHAnsi"/>
        </w:rPr>
        <w:t xml:space="preserve"> </w:t>
      </w:r>
      <w:r w:rsidRPr="00F16251">
        <w:rPr>
          <w:rFonts w:cstheme="minorHAnsi"/>
        </w:rPr>
        <w:t>się</w:t>
      </w:r>
      <w:r w:rsidR="003B50ED" w:rsidRPr="00F16251">
        <w:rPr>
          <w:rFonts w:cstheme="minorHAnsi"/>
        </w:rPr>
        <w:t xml:space="preserve"> </w:t>
      </w:r>
      <w:r w:rsidRPr="00F16251">
        <w:rPr>
          <w:rFonts w:cstheme="minorHAnsi"/>
        </w:rPr>
        <w:t>również</w:t>
      </w:r>
      <w:r w:rsidR="003B50ED" w:rsidRPr="00F16251">
        <w:rPr>
          <w:rFonts w:cstheme="minorHAnsi"/>
        </w:rPr>
        <w:t xml:space="preserve"> </w:t>
      </w:r>
      <w:r w:rsidRPr="00F16251">
        <w:rPr>
          <w:rFonts w:cstheme="minorHAnsi"/>
        </w:rPr>
        <w:t>promowanie</w:t>
      </w:r>
      <w:r w:rsidR="003B50ED" w:rsidRPr="00F16251">
        <w:rPr>
          <w:rFonts w:cstheme="minorHAnsi"/>
        </w:rPr>
        <w:t xml:space="preserve"> </w:t>
      </w:r>
      <w:r w:rsidRPr="00F16251">
        <w:rPr>
          <w:rFonts w:cstheme="minorHAnsi"/>
        </w:rPr>
        <w:t>przedsiębiorców</w:t>
      </w:r>
      <w:r w:rsidR="003B50ED" w:rsidRPr="00F16251">
        <w:rPr>
          <w:rFonts w:cstheme="minorHAnsi"/>
        </w:rPr>
        <w:t xml:space="preserve"> </w:t>
      </w:r>
      <w:r w:rsidRPr="00F16251">
        <w:rPr>
          <w:rFonts w:cstheme="minorHAnsi"/>
        </w:rPr>
        <w:t>za</w:t>
      </w:r>
      <w:r w:rsidR="003B50ED" w:rsidRPr="00F16251">
        <w:rPr>
          <w:rFonts w:cstheme="minorHAnsi"/>
        </w:rPr>
        <w:t xml:space="preserve"> </w:t>
      </w:r>
      <w:r w:rsidRPr="00F16251">
        <w:rPr>
          <w:rFonts w:cstheme="minorHAnsi"/>
        </w:rPr>
        <w:t>tworzenie</w:t>
      </w:r>
      <w:r w:rsidR="003B50ED" w:rsidRPr="00F16251">
        <w:rPr>
          <w:rFonts w:cstheme="minorHAnsi"/>
        </w:rPr>
        <w:t xml:space="preserve"> </w:t>
      </w:r>
      <w:r w:rsidRPr="00F16251">
        <w:rPr>
          <w:rFonts w:cstheme="minorHAnsi"/>
        </w:rPr>
        <w:t>miejsc</w:t>
      </w:r>
      <w:r w:rsidR="003B50ED" w:rsidRPr="00F16251">
        <w:rPr>
          <w:rFonts w:cstheme="minorHAnsi"/>
        </w:rPr>
        <w:t xml:space="preserve"> </w:t>
      </w:r>
      <w:r w:rsidRPr="00F16251">
        <w:rPr>
          <w:rFonts w:cstheme="minorHAnsi"/>
        </w:rPr>
        <w:t>pracy</w:t>
      </w:r>
      <w:r w:rsidR="003B50ED" w:rsidRPr="00F16251">
        <w:rPr>
          <w:rFonts w:cstheme="minorHAnsi"/>
        </w:rPr>
        <w:t xml:space="preserve"> </w:t>
      </w:r>
      <w:r w:rsidRPr="00F16251">
        <w:rPr>
          <w:rFonts w:cstheme="minorHAnsi"/>
        </w:rPr>
        <w:t>dla</w:t>
      </w:r>
      <w:r w:rsidR="003B50ED" w:rsidRPr="00F16251">
        <w:rPr>
          <w:rFonts w:cstheme="minorHAnsi"/>
        </w:rPr>
        <w:t xml:space="preserve"> </w:t>
      </w:r>
      <w:r w:rsidRPr="00F16251">
        <w:rPr>
          <w:rFonts w:cstheme="minorHAnsi"/>
        </w:rPr>
        <w:t>osób</w:t>
      </w:r>
      <w:r w:rsidR="003B50ED" w:rsidRPr="00F16251">
        <w:rPr>
          <w:rFonts w:cstheme="minorHAnsi"/>
        </w:rPr>
        <w:t xml:space="preserve"> </w:t>
      </w:r>
      <w:r w:rsidRPr="00F16251">
        <w:rPr>
          <w:rFonts w:cstheme="minorHAnsi"/>
        </w:rPr>
        <w:t>ze</w:t>
      </w:r>
      <w:r w:rsidR="003B50ED" w:rsidRPr="00F16251">
        <w:rPr>
          <w:rFonts w:cstheme="minorHAnsi"/>
        </w:rPr>
        <w:t xml:space="preserve"> </w:t>
      </w:r>
      <w:r w:rsidRPr="00F16251">
        <w:rPr>
          <w:rFonts w:cstheme="minorHAnsi"/>
        </w:rPr>
        <w:t>zdiagnozowanych</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LSR</w:t>
      </w:r>
      <w:r w:rsidR="003B50ED" w:rsidRPr="00F16251">
        <w:rPr>
          <w:rFonts w:cstheme="minorHAnsi"/>
        </w:rPr>
        <w:t xml:space="preserve"> </w:t>
      </w:r>
      <w:r w:rsidRPr="00F16251">
        <w:rPr>
          <w:rFonts w:cstheme="minorHAnsi"/>
        </w:rPr>
        <w:t>grup</w:t>
      </w:r>
      <w:r w:rsidR="003B50ED" w:rsidRPr="00F16251">
        <w:rPr>
          <w:rFonts w:cstheme="minorHAnsi"/>
        </w:rPr>
        <w:t xml:space="preserve"> </w:t>
      </w:r>
      <w:r w:rsidRPr="00F16251">
        <w:rPr>
          <w:rFonts w:cstheme="minorHAnsi"/>
        </w:rPr>
        <w:t>społecznych</w:t>
      </w:r>
      <w:r w:rsidR="003B50ED" w:rsidRPr="00F16251">
        <w:rPr>
          <w:rFonts w:cstheme="minorHAnsi"/>
        </w:rPr>
        <w:t xml:space="preserve"> </w:t>
      </w:r>
      <w:r w:rsidRPr="00F16251">
        <w:rPr>
          <w:rFonts w:cstheme="minorHAnsi"/>
        </w:rPr>
        <w:t>znajdujących</w:t>
      </w:r>
      <w:r w:rsidR="003B50ED" w:rsidRPr="00F16251">
        <w:rPr>
          <w:rFonts w:cstheme="minorHAnsi"/>
        </w:rPr>
        <w:t xml:space="preserve"> </w:t>
      </w:r>
      <w:r w:rsidRPr="00F16251">
        <w:rPr>
          <w:rFonts w:cstheme="minorHAnsi"/>
        </w:rPr>
        <w:t>się</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niekorzystnej</w:t>
      </w:r>
      <w:r w:rsidR="003B50ED" w:rsidRPr="00F16251">
        <w:rPr>
          <w:rFonts w:cstheme="minorHAnsi"/>
        </w:rPr>
        <w:t xml:space="preserve"> </w:t>
      </w:r>
      <w:r w:rsidRPr="00F16251">
        <w:rPr>
          <w:rFonts w:cstheme="minorHAnsi"/>
        </w:rPr>
        <w:t>sytuacji.</w:t>
      </w:r>
      <w:r w:rsidR="003B50ED">
        <w:rPr>
          <w:rFonts w:cstheme="minorHAnsi"/>
        </w:rPr>
        <w:t xml:space="preserve"> </w:t>
      </w:r>
    </w:p>
    <w:p w14:paraId="164378B0" w14:textId="77777777" w:rsidR="00224658" w:rsidRPr="00A26C26" w:rsidRDefault="00224658" w:rsidP="00A26C26">
      <w:pPr>
        <w:spacing w:line="276" w:lineRule="auto"/>
        <w:jc w:val="both"/>
        <w:rPr>
          <w:rFonts w:cstheme="minorHAnsi"/>
        </w:rPr>
      </w:pPr>
    </w:p>
    <w:p w14:paraId="3579A977" w14:textId="030B5A80" w:rsidR="00224658" w:rsidRPr="00A26C26" w:rsidRDefault="00224658" w:rsidP="008A412F">
      <w:pPr>
        <w:pStyle w:val="Nagwek2"/>
        <w:numPr>
          <w:ilvl w:val="0"/>
          <w:numId w:val="11"/>
        </w:numPr>
        <w:spacing w:before="0" w:line="276" w:lineRule="auto"/>
        <w:rPr>
          <w:rFonts w:asciiTheme="minorHAnsi" w:hAnsiTheme="minorHAnsi" w:cstheme="minorHAnsi"/>
          <w:b/>
          <w:bCs/>
          <w:sz w:val="22"/>
          <w:szCs w:val="22"/>
        </w:rPr>
      </w:pPr>
      <w:bookmarkStart w:id="48" w:name="_Toc136260198"/>
      <w:bookmarkStart w:id="49" w:name="_Toc136944408"/>
      <w:r w:rsidRPr="00A26C26">
        <w:rPr>
          <w:rFonts w:asciiTheme="minorHAnsi" w:hAnsiTheme="minorHAnsi" w:cstheme="minorHAnsi"/>
          <w:b/>
          <w:bCs/>
          <w:sz w:val="22"/>
          <w:szCs w:val="22"/>
        </w:rPr>
        <w:t>Działalność</w:t>
      </w:r>
      <w:r w:rsidR="003B50ED">
        <w:rPr>
          <w:rFonts w:asciiTheme="minorHAnsi" w:hAnsiTheme="minorHAnsi" w:cstheme="minorHAnsi"/>
          <w:b/>
          <w:bCs/>
          <w:sz w:val="22"/>
          <w:szCs w:val="22"/>
        </w:rPr>
        <w:t xml:space="preserve"> </w:t>
      </w:r>
      <w:r w:rsidRPr="00A26C26">
        <w:rPr>
          <w:rFonts w:asciiTheme="minorHAnsi" w:hAnsiTheme="minorHAnsi" w:cstheme="minorHAnsi"/>
          <w:b/>
          <w:bCs/>
          <w:sz w:val="22"/>
          <w:szCs w:val="22"/>
        </w:rPr>
        <w:t>sektora</w:t>
      </w:r>
      <w:r w:rsidR="003B50ED">
        <w:rPr>
          <w:rFonts w:asciiTheme="minorHAnsi" w:hAnsiTheme="minorHAnsi" w:cstheme="minorHAnsi"/>
          <w:b/>
          <w:bCs/>
          <w:sz w:val="22"/>
          <w:szCs w:val="22"/>
        </w:rPr>
        <w:t xml:space="preserve"> </w:t>
      </w:r>
      <w:r w:rsidRPr="00A26C26">
        <w:rPr>
          <w:rFonts w:asciiTheme="minorHAnsi" w:hAnsiTheme="minorHAnsi" w:cstheme="minorHAnsi"/>
          <w:b/>
          <w:bCs/>
          <w:sz w:val="22"/>
          <w:szCs w:val="22"/>
        </w:rPr>
        <w:t>społecznego</w:t>
      </w:r>
      <w:bookmarkEnd w:id="48"/>
      <w:bookmarkEnd w:id="49"/>
    </w:p>
    <w:p w14:paraId="68D8A3F1" w14:textId="25BB175F" w:rsidR="00224658" w:rsidRPr="00A26C26" w:rsidRDefault="00224658" w:rsidP="00A26C26">
      <w:pPr>
        <w:spacing w:line="276" w:lineRule="auto"/>
        <w:ind w:firstLine="360"/>
        <w:jc w:val="both"/>
        <w:rPr>
          <w:rFonts w:cstheme="minorHAnsi"/>
        </w:rPr>
      </w:pPr>
      <w:r w:rsidRPr="00A26C26">
        <w:rPr>
          <w:rFonts w:cstheme="minorHAnsi"/>
        </w:rPr>
        <w:t>Obszar</w:t>
      </w:r>
      <w:r w:rsidR="003B50ED">
        <w:rPr>
          <w:rFonts w:cstheme="minorHAnsi"/>
        </w:rPr>
        <w:t xml:space="preserve"> </w:t>
      </w:r>
      <w:r w:rsidRPr="00A26C26">
        <w:rPr>
          <w:rFonts w:cstheme="minorHAnsi"/>
        </w:rPr>
        <w:t>obejmujący</w:t>
      </w:r>
      <w:r w:rsidR="003B50ED">
        <w:rPr>
          <w:rFonts w:cstheme="minorHAnsi"/>
        </w:rPr>
        <w:t xml:space="preserve"> </w:t>
      </w:r>
      <w:r w:rsidRPr="00A26C26">
        <w:rPr>
          <w:rFonts w:cstheme="minorHAnsi"/>
        </w:rPr>
        <w:t>gminy</w:t>
      </w:r>
      <w:r w:rsidR="003B50ED">
        <w:rPr>
          <w:rFonts w:cstheme="minorHAnsi"/>
        </w:rPr>
        <w:t xml:space="preserve"> </w:t>
      </w:r>
      <w:r w:rsidRPr="00A26C26">
        <w:rPr>
          <w:rFonts w:cstheme="minorHAnsi"/>
        </w:rPr>
        <w:t>LGD</w:t>
      </w:r>
      <w:r w:rsidR="003B50ED">
        <w:rPr>
          <w:rFonts w:cstheme="minorHAnsi"/>
        </w:rPr>
        <w:t xml:space="preserve"> </w:t>
      </w:r>
      <w:r w:rsidRPr="00A26C26">
        <w:rPr>
          <w:rFonts w:cstheme="minorHAnsi"/>
        </w:rPr>
        <w:t>jest</w:t>
      </w:r>
      <w:r w:rsidR="003B50ED">
        <w:rPr>
          <w:rFonts w:cstheme="minorHAnsi"/>
        </w:rPr>
        <w:t xml:space="preserve"> </w:t>
      </w:r>
      <w:r w:rsidRPr="00A26C26">
        <w:rPr>
          <w:rFonts w:cstheme="minorHAnsi"/>
        </w:rPr>
        <w:t>wysoko</w:t>
      </w:r>
      <w:r w:rsidR="003B50ED">
        <w:rPr>
          <w:rFonts w:cstheme="minorHAnsi"/>
        </w:rPr>
        <w:t xml:space="preserve"> </w:t>
      </w:r>
      <w:r w:rsidRPr="00A26C26">
        <w:rPr>
          <w:rFonts w:cstheme="minorHAnsi"/>
        </w:rPr>
        <w:t>uspołeczniony</w:t>
      </w:r>
      <w:r w:rsidR="003B50ED">
        <w:rPr>
          <w:rFonts w:cstheme="minorHAnsi"/>
        </w:rPr>
        <w:t xml:space="preserve"> </w:t>
      </w:r>
      <w:r w:rsidRPr="00A26C26">
        <w:rPr>
          <w:rFonts w:cstheme="minorHAnsi"/>
        </w:rPr>
        <w:t>a</w:t>
      </w:r>
      <w:r w:rsidR="003B50ED">
        <w:rPr>
          <w:rFonts w:cstheme="minorHAnsi"/>
        </w:rPr>
        <w:t xml:space="preserve"> </w:t>
      </w:r>
      <w:r w:rsidRPr="00A26C26">
        <w:rPr>
          <w:rFonts w:cstheme="minorHAnsi"/>
        </w:rPr>
        <w:t>mieszkańcy</w:t>
      </w:r>
      <w:r w:rsidR="003B50ED">
        <w:rPr>
          <w:rFonts w:cstheme="minorHAnsi"/>
        </w:rPr>
        <w:t xml:space="preserve"> </w:t>
      </w:r>
      <w:r w:rsidRPr="00A26C26">
        <w:rPr>
          <w:rFonts w:cstheme="minorHAnsi"/>
        </w:rPr>
        <w:t>przejawiają</w:t>
      </w:r>
      <w:r w:rsidR="003B50ED">
        <w:rPr>
          <w:rFonts w:cstheme="minorHAnsi"/>
        </w:rPr>
        <w:t xml:space="preserve"> </w:t>
      </w:r>
      <w:r w:rsidRPr="00A26C26">
        <w:rPr>
          <w:rFonts w:cstheme="minorHAnsi"/>
        </w:rPr>
        <w:t>wysoką</w:t>
      </w:r>
      <w:r w:rsidR="003B50ED">
        <w:rPr>
          <w:rFonts w:cstheme="minorHAnsi"/>
        </w:rPr>
        <w:t xml:space="preserve"> </w:t>
      </w:r>
      <w:r w:rsidRPr="00A26C26">
        <w:rPr>
          <w:rFonts w:cstheme="minorHAnsi"/>
        </w:rPr>
        <w:t>aktywność</w:t>
      </w:r>
      <w:r w:rsidR="003B50ED">
        <w:rPr>
          <w:rFonts w:cstheme="minorHAnsi"/>
        </w:rPr>
        <w:t xml:space="preserve"> </w:t>
      </w:r>
      <w:r w:rsidRPr="00A26C26">
        <w:rPr>
          <w:rFonts w:cstheme="minorHAnsi"/>
        </w:rPr>
        <w:t>społeczną,</w:t>
      </w:r>
      <w:r w:rsidR="003B50ED">
        <w:rPr>
          <w:rFonts w:cstheme="minorHAnsi"/>
        </w:rPr>
        <w:t xml:space="preserve"> </w:t>
      </w:r>
      <w:r w:rsidRPr="00A26C26">
        <w:rPr>
          <w:rFonts w:cstheme="minorHAnsi"/>
        </w:rPr>
        <w:t>wyrażającą</w:t>
      </w:r>
      <w:r w:rsidR="003B50ED">
        <w:rPr>
          <w:rFonts w:cstheme="minorHAnsi"/>
        </w:rPr>
        <w:t xml:space="preserve"> </w:t>
      </w:r>
      <w:r w:rsidRPr="00A26C26">
        <w:rPr>
          <w:rFonts w:cstheme="minorHAnsi"/>
        </w:rPr>
        <w:t>się</w:t>
      </w:r>
      <w:r w:rsidR="003B50ED">
        <w:rPr>
          <w:rFonts w:cstheme="minorHAnsi"/>
        </w:rPr>
        <w:t xml:space="preserve"> </w:t>
      </w:r>
      <w:r w:rsidRPr="00A26C26">
        <w:rPr>
          <w:rFonts w:cstheme="minorHAnsi"/>
        </w:rPr>
        <w:t>także</w:t>
      </w:r>
      <w:r w:rsidR="003B50ED">
        <w:rPr>
          <w:rFonts w:cstheme="minorHAnsi"/>
        </w:rPr>
        <w:t xml:space="preserve"> </w:t>
      </w:r>
      <w:r w:rsidRPr="00A26C26">
        <w:rPr>
          <w:rFonts w:cstheme="minorHAnsi"/>
        </w:rPr>
        <w:t>poprzez</w:t>
      </w:r>
      <w:r w:rsidR="003B50ED">
        <w:rPr>
          <w:rFonts w:cstheme="minorHAnsi"/>
        </w:rPr>
        <w:t xml:space="preserve"> </w:t>
      </w:r>
      <w:r w:rsidRPr="00A26C26">
        <w:rPr>
          <w:rFonts w:cstheme="minorHAnsi"/>
        </w:rPr>
        <w:t>zakładanie</w:t>
      </w:r>
      <w:r w:rsidR="003B50ED">
        <w:rPr>
          <w:rFonts w:cstheme="minorHAnsi"/>
        </w:rPr>
        <w:t xml:space="preserve"> </w:t>
      </w:r>
      <w:r w:rsidRPr="00A26C26">
        <w:rPr>
          <w:rFonts w:cstheme="minorHAnsi"/>
        </w:rPr>
        <w:t>wszelkiego</w:t>
      </w:r>
      <w:r w:rsidR="003B50ED">
        <w:rPr>
          <w:rFonts w:cstheme="minorHAnsi"/>
        </w:rPr>
        <w:t xml:space="preserve"> </w:t>
      </w:r>
      <w:r w:rsidRPr="00A26C26">
        <w:rPr>
          <w:rFonts w:cstheme="minorHAnsi"/>
        </w:rPr>
        <w:t>rodzaju</w:t>
      </w:r>
      <w:r w:rsidR="003B50ED">
        <w:rPr>
          <w:rFonts w:cstheme="minorHAnsi"/>
        </w:rPr>
        <w:t xml:space="preserve"> </w:t>
      </w:r>
      <w:r w:rsidRPr="00A26C26">
        <w:rPr>
          <w:rFonts w:cstheme="minorHAnsi"/>
        </w:rPr>
        <w:t>organizacji</w:t>
      </w:r>
      <w:r w:rsidR="003B50ED">
        <w:rPr>
          <w:rFonts w:cstheme="minorHAnsi"/>
        </w:rPr>
        <w:t xml:space="preserve"> </w:t>
      </w:r>
      <w:r w:rsidRPr="00A26C26">
        <w:rPr>
          <w:rFonts w:cstheme="minorHAnsi"/>
        </w:rPr>
        <w:t>pozarządowych.</w:t>
      </w:r>
    </w:p>
    <w:p w14:paraId="5A163F66" w14:textId="4874043D" w:rsidR="00224658" w:rsidRPr="00A26C26" w:rsidRDefault="00224658" w:rsidP="00A26C26">
      <w:pPr>
        <w:spacing w:line="276" w:lineRule="auto"/>
        <w:jc w:val="both"/>
        <w:rPr>
          <w:rFonts w:cstheme="minorHAnsi"/>
        </w:rPr>
      </w:pPr>
      <w:bookmarkStart w:id="50" w:name="_heading=h.2s8eyo1" w:colFirst="0" w:colLast="0"/>
      <w:bookmarkEnd w:id="50"/>
      <w:r w:rsidRPr="00A26C26">
        <w:rPr>
          <w:rFonts w:cstheme="minorHAnsi"/>
        </w:rPr>
        <w:t>Według</w:t>
      </w:r>
      <w:r w:rsidR="003B50ED">
        <w:rPr>
          <w:rFonts w:cstheme="minorHAnsi"/>
        </w:rPr>
        <w:t xml:space="preserve"> </w:t>
      </w:r>
      <w:r w:rsidRPr="00A26C26">
        <w:rPr>
          <w:rFonts w:cstheme="minorHAnsi"/>
        </w:rPr>
        <w:t>danych</w:t>
      </w:r>
      <w:r w:rsidR="003B50ED">
        <w:rPr>
          <w:rFonts w:cstheme="minorHAnsi"/>
        </w:rPr>
        <w:t xml:space="preserve"> </w:t>
      </w:r>
      <w:r w:rsidRPr="00A26C26">
        <w:rPr>
          <w:rFonts w:cstheme="minorHAnsi"/>
        </w:rPr>
        <w:t>GUS</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2021</w:t>
      </w:r>
      <w:r w:rsidR="003B50ED">
        <w:rPr>
          <w:rFonts w:cstheme="minorHAnsi"/>
        </w:rPr>
        <w:t xml:space="preserve"> r. </w:t>
      </w:r>
      <w:r w:rsidRPr="00A26C26">
        <w:rPr>
          <w:rFonts w:cstheme="minorHAnsi"/>
        </w:rPr>
        <w:t>na</w:t>
      </w:r>
      <w:r w:rsidR="003B50ED">
        <w:rPr>
          <w:rFonts w:cstheme="minorHAnsi"/>
        </w:rPr>
        <w:t xml:space="preserve"> </w:t>
      </w:r>
      <w:r w:rsidRPr="00A26C26">
        <w:rPr>
          <w:rFonts w:cstheme="minorHAnsi"/>
        </w:rPr>
        <w:t>terenie</w:t>
      </w:r>
      <w:r w:rsidR="003B50ED">
        <w:rPr>
          <w:rFonts w:cstheme="minorHAnsi"/>
        </w:rPr>
        <w:t xml:space="preserve"> </w:t>
      </w:r>
      <w:r w:rsidRPr="00A26C26">
        <w:rPr>
          <w:rFonts w:cstheme="minorHAnsi"/>
        </w:rPr>
        <w:t>gmin</w:t>
      </w:r>
      <w:r w:rsidR="003B50ED">
        <w:rPr>
          <w:rFonts w:cstheme="minorHAnsi"/>
        </w:rPr>
        <w:t xml:space="preserve"> </w:t>
      </w:r>
      <w:r w:rsidRPr="00A26C26">
        <w:rPr>
          <w:rFonts w:cstheme="minorHAnsi"/>
        </w:rPr>
        <w:t>działały</w:t>
      </w:r>
      <w:r w:rsidR="003B50ED">
        <w:rPr>
          <w:rFonts w:cstheme="minorHAnsi"/>
        </w:rPr>
        <w:t xml:space="preserve"> </w:t>
      </w:r>
      <w:r w:rsidRPr="00A26C26">
        <w:rPr>
          <w:rFonts w:cstheme="minorHAnsi"/>
        </w:rPr>
        <w:t>222</w:t>
      </w:r>
      <w:r w:rsidR="003B50ED">
        <w:rPr>
          <w:rFonts w:cstheme="minorHAnsi"/>
        </w:rPr>
        <w:t xml:space="preserve"> </w:t>
      </w:r>
      <w:r w:rsidRPr="00A26C26">
        <w:rPr>
          <w:rFonts w:cstheme="minorHAnsi"/>
        </w:rPr>
        <w:t>organizacje</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10</w:t>
      </w:r>
      <w:r w:rsidR="003B50ED">
        <w:rPr>
          <w:rFonts w:cstheme="minorHAnsi"/>
        </w:rPr>
        <w:t xml:space="preserve"> </w:t>
      </w:r>
      <w:r w:rsidRPr="00A26C26">
        <w:rPr>
          <w:rFonts w:cstheme="minorHAnsi"/>
        </w:rPr>
        <w:t>tys.</w:t>
      </w:r>
      <w:r w:rsidR="003B50ED">
        <w:rPr>
          <w:rFonts w:cstheme="minorHAnsi"/>
        </w:rPr>
        <w:t xml:space="preserve"> </w:t>
      </w:r>
      <w:r w:rsidRPr="00A26C26">
        <w:rPr>
          <w:rFonts w:cstheme="minorHAnsi"/>
        </w:rPr>
        <w:t>mieszkańców.</w:t>
      </w:r>
      <w:r w:rsidR="003B50ED">
        <w:rPr>
          <w:rFonts w:cstheme="minorHAnsi"/>
        </w:rPr>
        <w:t xml:space="preserve"> </w:t>
      </w:r>
      <w:r w:rsidRPr="00A26C26">
        <w:rPr>
          <w:rFonts w:cstheme="minorHAnsi"/>
        </w:rPr>
        <w:t>Poza</w:t>
      </w:r>
      <w:r w:rsidR="003B50ED">
        <w:rPr>
          <w:rFonts w:cstheme="minorHAnsi"/>
        </w:rPr>
        <w:t xml:space="preserve"> </w:t>
      </w:r>
      <w:r w:rsidRPr="00A26C26">
        <w:rPr>
          <w:rFonts w:cstheme="minorHAnsi"/>
        </w:rPr>
        <w:t>gminą</w:t>
      </w:r>
      <w:r w:rsidR="003B50ED">
        <w:rPr>
          <w:rFonts w:cstheme="minorHAnsi"/>
        </w:rPr>
        <w:t xml:space="preserve"> </w:t>
      </w:r>
      <w:r w:rsidRPr="00A26C26">
        <w:rPr>
          <w:rFonts w:cstheme="minorHAnsi"/>
        </w:rPr>
        <w:t>Rzgów,</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której</w:t>
      </w:r>
      <w:r w:rsidR="003B50ED">
        <w:rPr>
          <w:rFonts w:cstheme="minorHAnsi"/>
        </w:rPr>
        <w:t xml:space="preserve"> </w:t>
      </w:r>
      <w:r w:rsidRPr="00A26C26">
        <w:rPr>
          <w:rFonts w:cstheme="minorHAnsi"/>
        </w:rPr>
        <w:t>od</w:t>
      </w:r>
      <w:r w:rsidR="003B50ED">
        <w:rPr>
          <w:rFonts w:cstheme="minorHAnsi"/>
        </w:rPr>
        <w:t xml:space="preserve"> </w:t>
      </w:r>
      <w:r w:rsidRPr="00A26C26">
        <w:rPr>
          <w:rFonts w:cstheme="minorHAnsi"/>
        </w:rPr>
        <w:t>2017</w:t>
      </w:r>
      <w:r w:rsidR="003B50ED">
        <w:rPr>
          <w:rFonts w:cstheme="minorHAnsi"/>
        </w:rPr>
        <w:t xml:space="preserve"> r. liczba </w:t>
      </w:r>
      <w:r w:rsidRPr="00A26C26">
        <w:rPr>
          <w:rFonts w:cstheme="minorHAnsi"/>
        </w:rPr>
        <w:t>organizacji</w:t>
      </w:r>
      <w:r w:rsidR="003B50ED">
        <w:rPr>
          <w:rFonts w:cstheme="minorHAnsi"/>
        </w:rPr>
        <w:t xml:space="preserve"> </w:t>
      </w:r>
      <w:r w:rsidRPr="00A26C26">
        <w:rPr>
          <w:rFonts w:cstheme="minorHAnsi"/>
        </w:rPr>
        <w:t>zmniejszyła</w:t>
      </w:r>
      <w:r w:rsidR="003B50ED">
        <w:rPr>
          <w:rFonts w:cstheme="minorHAnsi"/>
        </w:rPr>
        <w:t xml:space="preserve"> </w:t>
      </w:r>
      <w:r w:rsidRPr="00A26C26">
        <w:rPr>
          <w:rFonts w:cstheme="minorHAnsi"/>
        </w:rPr>
        <w:t>się</w:t>
      </w:r>
      <w:r w:rsidR="003B50ED">
        <w:rPr>
          <w:rFonts w:cstheme="minorHAnsi"/>
        </w:rPr>
        <w:t xml:space="preserve"> </w:t>
      </w:r>
      <w:r w:rsidRPr="00A26C26">
        <w:rPr>
          <w:rFonts w:cstheme="minorHAnsi"/>
        </w:rPr>
        <w:t>o</w:t>
      </w:r>
      <w:r w:rsidR="003B50ED">
        <w:rPr>
          <w:rFonts w:cstheme="minorHAnsi"/>
        </w:rPr>
        <w:t xml:space="preserve"> </w:t>
      </w:r>
      <w:r w:rsidRPr="00A26C26">
        <w:rPr>
          <w:rFonts w:cstheme="minorHAnsi"/>
        </w:rPr>
        <w:t>2</w:t>
      </w:r>
      <w:r w:rsidR="003B50ED">
        <w:rPr>
          <w:rFonts w:cstheme="minorHAnsi"/>
        </w:rPr>
        <w:t xml:space="preserve"> </w:t>
      </w:r>
      <w:r w:rsidRPr="00A26C26">
        <w:rPr>
          <w:rFonts w:cstheme="minorHAnsi"/>
        </w:rPr>
        <w:t>podmioty,</w:t>
      </w:r>
      <w:r w:rsidR="003B50ED">
        <w:rPr>
          <w:rFonts w:cstheme="minorHAnsi"/>
        </w:rPr>
        <w:t xml:space="preserve"> </w:t>
      </w:r>
      <w:r w:rsidRPr="00A26C26">
        <w:rPr>
          <w:rFonts w:cstheme="minorHAnsi"/>
        </w:rPr>
        <w:t>we</w:t>
      </w:r>
      <w:r w:rsidR="003B50ED">
        <w:rPr>
          <w:rFonts w:cstheme="minorHAnsi"/>
        </w:rPr>
        <w:t xml:space="preserve"> </w:t>
      </w:r>
      <w:r w:rsidRPr="00A26C26">
        <w:rPr>
          <w:rFonts w:cstheme="minorHAnsi"/>
        </w:rPr>
        <w:t>wszystkich</w:t>
      </w:r>
      <w:r w:rsidR="003B50ED">
        <w:rPr>
          <w:rFonts w:cstheme="minorHAnsi"/>
        </w:rPr>
        <w:t xml:space="preserve"> </w:t>
      </w:r>
      <w:r w:rsidRPr="00A26C26">
        <w:rPr>
          <w:rFonts w:cstheme="minorHAnsi"/>
        </w:rPr>
        <w:t>pozostałych</w:t>
      </w:r>
      <w:r w:rsidR="003B50ED">
        <w:rPr>
          <w:rFonts w:cstheme="minorHAnsi"/>
        </w:rPr>
        <w:t xml:space="preserve"> </w:t>
      </w:r>
      <w:r w:rsidRPr="00A26C26">
        <w:rPr>
          <w:rFonts w:cstheme="minorHAnsi"/>
        </w:rPr>
        <w:t>gminach</w:t>
      </w:r>
      <w:r w:rsidR="003B50ED">
        <w:rPr>
          <w:rFonts w:cstheme="minorHAnsi"/>
        </w:rPr>
        <w:t xml:space="preserve"> </w:t>
      </w:r>
      <w:r w:rsidRPr="00A26C26">
        <w:rPr>
          <w:rFonts w:cstheme="minorHAnsi"/>
        </w:rPr>
        <w:t>liczba</w:t>
      </w:r>
      <w:r w:rsidR="003B50ED">
        <w:rPr>
          <w:rFonts w:cstheme="minorHAnsi"/>
        </w:rPr>
        <w:t xml:space="preserve"> </w:t>
      </w:r>
      <w:r w:rsidRPr="00A26C26">
        <w:rPr>
          <w:rFonts w:cstheme="minorHAnsi"/>
        </w:rPr>
        <w:t>ich</w:t>
      </w:r>
      <w:r w:rsidR="003B50ED">
        <w:rPr>
          <w:rFonts w:cstheme="minorHAnsi"/>
        </w:rPr>
        <w:t xml:space="preserve"> </w:t>
      </w:r>
      <w:r w:rsidRPr="00A26C26">
        <w:rPr>
          <w:rFonts w:cstheme="minorHAnsi"/>
        </w:rPr>
        <w:t>wzrosła,</w:t>
      </w:r>
      <w:r w:rsidR="003B50ED">
        <w:rPr>
          <w:rFonts w:cstheme="minorHAnsi"/>
        </w:rPr>
        <w:t xml:space="preserve"> </w:t>
      </w:r>
      <w:r w:rsidRPr="00A26C26">
        <w:rPr>
          <w:rFonts w:cstheme="minorHAnsi"/>
        </w:rPr>
        <w:t>średnio</w:t>
      </w:r>
      <w:r w:rsidR="003B50ED">
        <w:rPr>
          <w:rFonts w:cstheme="minorHAnsi"/>
        </w:rPr>
        <w:t xml:space="preserve"> </w:t>
      </w:r>
      <w:r w:rsidRPr="00A26C26">
        <w:rPr>
          <w:rFonts w:cstheme="minorHAnsi"/>
        </w:rPr>
        <w:t>o</w:t>
      </w:r>
      <w:r w:rsidR="003B50ED">
        <w:rPr>
          <w:rFonts w:cstheme="minorHAnsi"/>
        </w:rPr>
        <w:t xml:space="preserve"> </w:t>
      </w:r>
      <w:r w:rsidRPr="00A26C26">
        <w:rPr>
          <w:rFonts w:cstheme="minorHAnsi"/>
        </w:rPr>
        <w:t>9%.</w:t>
      </w:r>
      <w:r w:rsidR="003B50ED">
        <w:rPr>
          <w:rFonts w:cstheme="minorHAnsi"/>
        </w:rPr>
        <w:t xml:space="preserve"> </w:t>
      </w:r>
    </w:p>
    <w:p w14:paraId="228B06A5" w14:textId="77777777" w:rsidR="00224658" w:rsidRPr="00A26C26" w:rsidRDefault="00224658" w:rsidP="00A26C26">
      <w:pPr>
        <w:spacing w:line="276" w:lineRule="auto"/>
        <w:jc w:val="both"/>
        <w:rPr>
          <w:rFonts w:cstheme="minorHAnsi"/>
        </w:rPr>
      </w:pPr>
    </w:p>
    <w:p w14:paraId="4A8AB292" w14:textId="5AC06D42" w:rsidR="00224658" w:rsidRPr="00A26C26" w:rsidRDefault="00224658" w:rsidP="00A26C26">
      <w:pPr>
        <w:spacing w:line="276" w:lineRule="auto"/>
        <w:jc w:val="both"/>
        <w:rPr>
          <w:rFonts w:cstheme="minorHAnsi"/>
        </w:rPr>
      </w:pPr>
      <w:r w:rsidRPr="00A26C26">
        <w:rPr>
          <w:rFonts w:cstheme="minorHAnsi"/>
        </w:rPr>
        <w:t>Tabela</w:t>
      </w:r>
      <w:r w:rsidR="00396A11">
        <w:rPr>
          <w:rFonts w:cstheme="minorHAnsi"/>
        </w:rPr>
        <w:t xml:space="preserve"> nr 1</w:t>
      </w:r>
      <w:r w:rsidR="00203429">
        <w:rPr>
          <w:rFonts w:cstheme="minorHAnsi"/>
        </w:rPr>
        <w:t>5</w:t>
      </w:r>
      <w:r w:rsidR="003B50ED">
        <w:rPr>
          <w:rFonts w:cstheme="minorHAnsi"/>
        </w:rPr>
        <w:t xml:space="preserve"> </w:t>
      </w:r>
      <w:r w:rsidRPr="00A26C26">
        <w:rPr>
          <w:rFonts w:cstheme="minorHAnsi"/>
        </w:rPr>
        <w:t>Fundacje,</w:t>
      </w:r>
      <w:r w:rsidR="003B50ED">
        <w:rPr>
          <w:rFonts w:cstheme="minorHAnsi"/>
        </w:rPr>
        <w:t xml:space="preserve"> </w:t>
      </w:r>
      <w:r w:rsidRPr="00A26C26">
        <w:rPr>
          <w:rFonts w:cstheme="minorHAnsi"/>
        </w:rPr>
        <w:t>stowarzyszenia</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organizacje</w:t>
      </w:r>
      <w:r w:rsidR="003B50ED">
        <w:rPr>
          <w:rFonts w:cstheme="minorHAnsi"/>
        </w:rPr>
        <w:t xml:space="preserve"> </w:t>
      </w:r>
      <w:r w:rsidRPr="00A26C26">
        <w:rPr>
          <w:rFonts w:cstheme="minorHAnsi"/>
        </w:rPr>
        <w:t>społeczne</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10</w:t>
      </w:r>
      <w:r w:rsidR="003B50ED">
        <w:rPr>
          <w:rFonts w:cstheme="minorHAnsi"/>
        </w:rPr>
        <w:t xml:space="preserve"> </w:t>
      </w:r>
      <w:r w:rsidRPr="00A26C26">
        <w:rPr>
          <w:rFonts w:cstheme="minorHAnsi"/>
        </w:rPr>
        <w:t>tys.</w:t>
      </w:r>
      <w:r w:rsidR="003B50ED">
        <w:rPr>
          <w:rFonts w:cstheme="minorHAnsi"/>
        </w:rPr>
        <w:t xml:space="preserve"> </w:t>
      </w:r>
      <w:r w:rsidRPr="00A26C26">
        <w:rPr>
          <w:rFonts w:cstheme="minorHAnsi"/>
        </w:rPr>
        <w:t>mieszkańców</w:t>
      </w:r>
    </w:p>
    <w:tbl>
      <w:tblPr>
        <w:tblW w:w="10201" w:type="dxa"/>
        <w:tblCellMar>
          <w:left w:w="70" w:type="dxa"/>
          <w:right w:w="70" w:type="dxa"/>
        </w:tblCellMar>
        <w:tblLook w:val="04A0" w:firstRow="1" w:lastRow="0" w:firstColumn="1" w:lastColumn="0" w:noHBand="0" w:noVBand="1"/>
      </w:tblPr>
      <w:tblGrid>
        <w:gridCol w:w="1980"/>
        <w:gridCol w:w="1420"/>
        <w:gridCol w:w="1520"/>
        <w:gridCol w:w="1520"/>
        <w:gridCol w:w="1540"/>
        <w:gridCol w:w="2221"/>
      </w:tblGrid>
      <w:tr w:rsidR="00224658" w:rsidRPr="00A26C26" w14:paraId="2FB38B4B" w14:textId="77777777" w:rsidTr="007F1E76">
        <w:trPr>
          <w:trHeight w:val="249"/>
        </w:trPr>
        <w:tc>
          <w:tcPr>
            <w:tcW w:w="198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45F16195" w14:textId="3B16184F"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Nazwa</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gminy</w:t>
            </w:r>
            <w:r w:rsidR="003B50ED">
              <w:rPr>
                <w:rFonts w:eastAsia="Times New Roman" w:cstheme="minorHAnsi"/>
                <w:color w:val="000000"/>
                <w:kern w:val="0"/>
                <w:lang w:eastAsia="pl-PL"/>
                <w14:ligatures w14:val="none"/>
              </w:rPr>
              <w:t xml:space="preserve"> </w:t>
            </w:r>
          </w:p>
        </w:tc>
        <w:tc>
          <w:tcPr>
            <w:tcW w:w="1420" w:type="dxa"/>
            <w:tcBorders>
              <w:top w:val="single" w:sz="4" w:space="0" w:color="auto"/>
              <w:left w:val="nil"/>
              <w:bottom w:val="single" w:sz="4" w:space="0" w:color="auto"/>
              <w:right w:val="single" w:sz="4" w:space="0" w:color="auto"/>
            </w:tcBorders>
            <w:shd w:val="clear" w:color="000000" w:fill="DDEBF7"/>
            <w:noWrap/>
            <w:vAlign w:val="bottom"/>
            <w:hideMark/>
          </w:tcPr>
          <w:p w14:paraId="58396319"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2017</w:t>
            </w:r>
          </w:p>
        </w:tc>
        <w:tc>
          <w:tcPr>
            <w:tcW w:w="1520" w:type="dxa"/>
            <w:tcBorders>
              <w:top w:val="single" w:sz="4" w:space="0" w:color="auto"/>
              <w:left w:val="nil"/>
              <w:bottom w:val="single" w:sz="4" w:space="0" w:color="auto"/>
              <w:right w:val="single" w:sz="4" w:space="0" w:color="auto"/>
            </w:tcBorders>
            <w:shd w:val="clear" w:color="000000" w:fill="DDEBF7"/>
            <w:noWrap/>
            <w:vAlign w:val="bottom"/>
            <w:hideMark/>
          </w:tcPr>
          <w:p w14:paraId="2C9BAB59"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2018</w:t>
            </w:r>
          </w:p>
        </w:tc>
        <w:tc>
          <w:tcPr>
            <w:tcW w:w="1520" w:type="dxa"/>
            <w:tcBorders>
              <w:top w:val="single" w:sz="4" w:space="0" w:color="auto"/>
              <w:left w:val="nil"/>
              <w:bottom w:val="single" w:sz="4" w:space="0" w:color="auto"/>
              <w:right w:val="single" w:sz="4" w:space="0" w:color="auto"/>
            </w:tcBorders>
            <w:shd w:val="clear" w:color="000000" w:fill="DDEBF7"/>
            <w:noWrap/>
            <w:vAlign w:val="bottom"/>
            <w:hideMark/>
          </w:tcPr>
          <w:p w14:paraId="6B093312"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2019</w:t>
            </w:r>
          </w:p>
        </w:tc>
        <w:tc>
          <w:tcPr>
            <w:tcW w:w="1540" w:type="dxa"/>
            <w:tcBorders>
              <w:top w:val="single" w:sz="4" w:space="0" w:color="auto"/>
              <w:left w:val="nil"/>
              <w:bottom w:val="single" w:sz="4" w:space="0" w:color="auto"/>
              <w:right w:val="single" w:sz="4" w:space="0" w:color="auto"/>
            </w:tcBorders>
            <w:shd w:val="clear" w:color="000000" w:fill="DDEBF7"/>
            <w:noWrap/>
            <w:vAlign w:val="bottom"/>
            <w:hideMark/>
          </w:tcPr>
          <w:p w14:paraId="5AF92D27"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2020</w:t>
            </w:r>
          </w:p>
        </w:tc>
        <w:tc>
          <w:tcPr>
            <w:tcW w:w="2221" w:type="dxa"/>
            <w:tcBorders>
              <w:top w:val="single" w:sz="4" w:space="0" w:color="auto"/>
              <w:left w:val="nil"/>
              <w:bottom w:val="single" w:sz="4" w:space="0" w:color="auto"/>
              <w:right w:val="single" w:sz="4" w:space="0" w:color="auto"/>
            </w:tcBorders>
            <w:shd w:val="clear" w:color="000000" w:fill="DDEBF7"/>
            <w:noWrap/>
            <w:vAlign w:val="bottom"/>
            <w:hideMark/>
          </w:tcPr>
          <w:p w14:paraId="24461580"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2021</w:t>
            </w:r>
          </w:p>
        </w:tc>
      </w:tr>
      <w:tr w:rsidR="00224658" w:rsidRPr="00A26C26" w14:paraId="3BE3EC40"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5F39424"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Golina</w:t>
            </w:r>
          </w:p>
        </w:tc>
        <w:tc>
          <w:tcPr>
            <w:tcW w:w="1420" w:type="dxa"/>
            <w:tcBorders>
              <w:top w:val="nil"/>
              <w:left w:val="nil"/>
              <w:bottom w:val="single" w:sz="4" w:space="0" w:color="auto"/>
              <w:right w:val="single" w:sz="4" w:space="0" w:color="auto"/>
            </w:tcBorders>
            <w:shd w:val="clear" w:color="auto" w:fill="auto"/>
            <w:noWrap/>
            <w:vAlign w:val="bottom"/>
            <w:hideMark/>
          </w:tcPr>
          <w:p w14:paraId="3C86DF07"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27</w:t>
            </w:r>
          </w:p>
        </w:tc>
        <w:tc>
          <w:tcPr>
            <w:tcW w:w="1520" w:type="dxa"/>
            <w:tcBorders>
              <w:top w:val="nil"/>
              <w:left w:val="nil"/>
              <w:bottom w:val="single" w:sz="4" w:space="0" w:color="auto"/>
              <w:right w:val="single" w:sz="4" w:space="0" w:color="auto"/>
            </w:tcBorders>
            <w:shd w:val="clear" w:color="auto" w:fill="auto"/>
            <w:noWrap/>
            <w:vAlign w:val="bottom"/>
            <w:hideMark/>
          </w:tcPr>
          <w:p w14:paraId="1D26E0FE"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27</w:t>
            </w:r>
          </w:p>
        </w:tc>
        <w:tc>
          <w:tcPr>
            <w:tcW w:w="1520" w:type="dxa"/>
            <w:tcBorders>
              <w:top w:val="nil"/>
              <w:left w:val="nil"/>
              <w:bottom w:val="single" w:sz="4" w:space="0" w:color="auto"/>
              <w:right w:val="single" w:sz="4" w:space="0" w:color="auto"/>
            </w:tcBorders>
            <w:shd w:val="clear" w:color="auto" w:fill="auto"/>
            <w:noWrap/>
            <w:vAlign w:val="bottom"/>
            <w:hideMark/>
          </w:tcPr>
          <w:p w14:paraId="779234C1"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29</w:t>
            </w:r>
          </w:p>
        </w:tc>
        <w:tc>
          <w:tcPr>
            <w:tcW w:w="1540" w:type="dxa"/>
            <w:tcBorders>
              <w:top w:val="nil"/>
              <w:left w:val="nil"/>
              <w:bottom w:val="single" w:sz="4" w:space="0" w:color="auto"/>
              <w:right w:val="single" w:sz="4" w:space="0" w:color="auto"/>
            </w:tcBorders>
            <w:shd w:val="clear" w:color="auto" w:fill="auto"/>
            <w:noWrap/>
            <w:vAlign w:val="bottom"/>
            <w:hideMark/>
          </w:tcPr>
          <w:p w14:paraId="3EFED111"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29</w:t>
            </w:r>
          </w:p>
        </w:tc>
        <w:tc>
          <w:tcPr>
            <w:tcW w:w="2221" w:type="dxa"/>
            <w:tcBorders>
              <w:top w:val="nil"/>
              <w:left w:val="nil"/>
              <w:bottom w:val="single" w:sz="4" w:space="0" w:color="auto"/>
              <w:right w:val="single" w:sz="4" w:space="0" w:color="auto"/>
            </w:tcBorders>
            <w:shd w:val="clear" w:color="auto" w:fill="auto"/>
            <w:noWrap/>
            <w:vAlign w:val="bottom"/>
            <w:hideMark/>
          </w:tcPr>
          <w:p w14:paraId="50A743E1"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30</w:t>
            </w:r>
          </w:p>
        </w:tc>
      </w:tr>
      <w:tr w:rsidR="00224658" w:rsidRPr="00A26C26" w14:paraId="746806C7"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1EB211A"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Grodziec</w:t>
            </w:r>
          </w:p>
        </w:tc>
        <w:tc>
          <w:tcPr>
            <w:tcW w:w="1420" w:type="dxa"/>
            <w:tcBorders>
              <w:top w:val="nil"/>
              <w:left w:val="nil"/>
              <w:bottom w:val="single" w:sz="4" w:space="0" w:color="auto"/>
              <w:right w:val="single" w:sz="4" w:space="0" w:color="auto"/>
            </w:tcBorders>
            <w:shd w:val="clear" w:color="auto" w:fill="auto"/>
            <w:noWrap/>
            <w:vAlign w:val="bottom"/>
            <w:hideMark/>
          </w:tcPr>
          <w:p w14:paraId="2461B1B9"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46</w:t>
            </w:r>
          </w:p>
        </w:tc>
        <w:tc>
          <w:tcPr>
            <w:tcW w:w="1520" w:type="dxa"/>
            <w:tcBorders>
              <w:top w:val="nil"/>
              <w:left w:val="nil"/>
              <w:bottom w:val="single" w:sz="4" w:space="0" w:color="auto"/>
              <w:right w:val="single" w:sz="4" w:space="0" w:color="auto"/>
            </w:tcBorders>
            <w:shd w:val="clear" w:color="auto" w:fill="auto"/>
            <w:noWrap/>
            <w:vAlign w:val="bottom"/>
            <w:hideMark/>
          </w:tcPr>
          <w:p w14:paraId="52EBC06D"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44</w:t>
            </w:r>
          </w:p>
        </w:tc>
        <w:tc>
          <w:tcPr>
            <w:tcW w:w="1520" w:type="dxa"/>
            <w:tcBorders>
              <w:top w:val="nil"/>
              <w:left w:val="nil"/>
              <w:bottom w:val="single" w:sz="4" w:space="0" w:color="auto"/>
              <w:right w:val="single" w:sz="4" w:space="0" w:color="auto"/>
            </w:tcBorders>
            <w:shd w:val="clear" w:color="auto" w:fill="auto"/>
            <w:noWrap/>
            <w:vAlign w:val="bottom"/>
            <w:hideMark/>
          </w:tcPr>
          <w:p w14:paraId="3941F49C"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47</w:t>
            </w:r>
          </w:p>
        </w:tc>
        <w:tc>
          <w:tcPr>
            <w:tcW w:w="1540" w:type="dxa"/>
            <w:tcBorders>
              <w:top w:val="nil"/>
              <w:left w:val="nil"/>
              <w:bottom w:val="single" w:sz="4" w:space="0" w:color="auto"/>
              <w:right w:val="single" w:sz="4" w:space="0" w:color="auto"/>
            </w:tcBorders>
            <w:shd w:val="clear" w:color="auto" w:fill="auto"/>
            <w:noWrap/>
            <w:vAlign w:val="bottom"/>
            <w:hideMark/>
          </w:tcPr>
          <w:p w14:paraId="3251C470"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47</w:t>
            </w:r>
          </w:p>
        </w:tc>
        <w:tc>
          <w:tcPr>
            <w:tcW w:w="2221" w:type="dxa"/>
            <w:tcBorders>
              <w:top w:val="nil"/>
              <w:left w:val="nil"/>
              <w:bottom w:val="single" w:sz="4" w:space="0" w:color="auto"/>
              <w:right w:val="single" w:sz="4" w:space="0" w:color="auto"/>
            </w:tcBorders>
            <w:shd w:val="clear" w:color="auto" w:fill="auto"/>
            <w:noWrap/>
            <w:vAlign w:val="bottom"/>
            <w:hideMark/>
          </w:tcPr>
          <w:p w14:paraId="05E9C645"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48</w:t>
            </w:r>
          </w:p>
        </w:tc>
      </w:tr>
      <w:tr w:rsidR="00224658" w:rsidRPr="00A26C26" w14:paraId="40E56DAE"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5D8E598"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Rychwał</w:t>
            </w:r>
          </w:p>
        </w:tc>
        <w:tc>
          <w:tcPr>
            <w:tcW w:w="1420" w:type="dxa"/>
            <w:tcBorders>
              <w:top w:val="nil"/>
              <w:left w:val="nil"/>
              <w:bottom w:val="single" w:sz="4" w:space="0" w:color="auto"/>
              <w:right w:val="single" w:sz="4" w:space="0" w:color="auto"/>
            </w:tcBorders>
            <w:shd w:val="clear" w:color="auto" w:fill="auto"/>
            <w:noWrap/>
            <w:vAlign w:val="bottom"/>
            <w:hideMark/>
          </w:tcPr>
          <w:p w14:paraId="7CECE83C"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29</w:t>
            </w:r>
          </w:p>
        </w:tc>
        <w:tc>
          <w:tcPr>
            <w:tcW w:w="1520" w:type="dxa"/>
            <w:tcBorders>
              <w:top w:val="nil"/>
              <w:left w:val="nil"/>
              <w:bottom w:val="single" w:sz="4" w:space="0" w:color="auto"/>
              <w:right w:val="single" w:sz="4" w:space="0" w:color="auto"/>
            </w:tcBorders>
            <w:shd w:val="clear" w:color="auto" w:fill="auto"/>
            <w:noWrap/>
            <w:vAlign w:val="bottom"/>
            <w:hideMark/>
          </w:tcPr>
          <w:p w14:paraId="279634D8"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28</w:t>
            </w:r>
          </w:p>
        </w:tc>
        <w:tc>
          <w:tcPr>
            <w:tcW w:w="1520" w:type="dxa"/>
            <w:tcBorders>
              <w:top w:val="nil"/>
              <w:left w:val="nil"/>
              <w:bottom w:val="single" w:sz="4" w:space="0" w:color="auto"/>
              <w:right w:val="single" w:sz="4" w:space="0" w:color="auto"/>
            </w:tcBorders>
            <w:shd w:val="clear" w:color="auto" w:fill="auto"/>
            <w:noWrap/>
            <w:vAlign w:val="bottom"/>
            <w:hideMark/>
          </w:tcPr>
          <w:p w14:paraId="4875FD70"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34</w:t>
            </w:r>
          </w:p>
        </w:tc>
        <w:tc>
          <w:tcPr>
            <w:tcW w:w="1540" w:type="dxa"/>
            <w:tcBorders>
              <w:top w:val="nil"/>
              <w:left w:val="nil"/>
              <w:bottom w:val="single" w:sz="4" w:space="0" w:color="auto"/>
              <w:right w:val="single" w:sz="4" w:space="0" w:color="auto"/>
            </w:tcBorders>
            <w:shd w:val="clear" w:color="auto" w:fill="auto"/>
            <w:noWrap/>
            <w:vAlign w:val="bottom"/>
            <w:hideMark/>
          </w:tcPr>
          <w:p w14:paraId="718889A7"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37</w:t>
            </w:r>
          </w:p>
        </w:tc>
        <w:tc>
          <w:tcPr>
            <w:tcW w:w="2221" w:type="dxa"/>
            <w:tcBorders>
              <w:top w:val="nil"/>
              <w:left w:val="nil"/>
              <w:bottom w:val="single" w:sz="4" w:space="0" w:color="auto"/>
              <w:right w:val="single" w:sz="4" w:space="0" w:color="auto"/>
            </w:tcBorders>
            <w:shd w:val="clear" w:color="auto" w:fill="auto"/>
            <w:noWrap/>
            <w:vAlign w:val="bottom"/>
            <w:hideMark/>
          </w:tcPr>
          <w:p w14:paraId="1E15AEF3"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37</w:t>
            </w:r>
          </w:p>
        </w:tc>
      </w:tr>
      <w:tr w:rsidR="00224658" w:rsidRPr="00A26C26" w14:paraId="2E4852A2"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CAD780A"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Rzgów</w:t>
            </w:r>
          </w:p>
        </w:tc>
        <w:tc>
          <w:tcPr>
            <w:tcW w:w="1420" w:type="dxa"/>
            <w:tcBorders>
              <w:top w:val="nil"/>
              <w:left w:val="nil"/>
              <w:bottom w:val="single" w:sz="4" w:space="0" w:color="auto"/>
              <w:right w:val="single" w:sz="4" w:space="0" w:color="auto"/>
            </w:tcBorders>
            <w:shd w:val="clear" w:color="auto" w:fill="auto"/>
            <w:noWrap/>
            <w:vAlign w:val="bottom"/>
            <w:hideMark/>
          </w:tcPr>
          <w:p w14:paraId="65E2EA94"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43</w:t>
            </w:r>
          </w:p>
        </w:tc>
        <w:tc>
          <w:tcPr>
            <w:tcW w:w="1520" w:type="dxa"/>
            <w:tcBorders>
              <w:top w:val="nil"/>
              <w:left w:val="nil"/>
              <w:bottom w:val="single" w:sz="4" w:space="0" w:color="auto"/>
              <w:right w:val="single" w:sz="4" w:space="0" w:color="auto"/>
            </w:tcBorders>
            <w:shd w:val="clear" w:color="auto" w:fill="auto"/>
            <w:noWrap/>
            <w:vAlign w:val="bottom"/>
            <w:hideMark/>
          </w:tcPr>
          <w:p w14:paraId="4D4E0C87"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41</w:t>
            </w:r>
          </w:p>
        </w:tc>
        <w:tc>
          <w:tcPr>
            <w:tcW w:w="1520" w:type="dxa"/>
            <w:tcBorders>
              <w:top w:val="nil"/>
              <w:left w:val="nil"/>
              <w:bottom w:val="single" w:sz="4" w:space="0" w:color="auto"/>
              <w:right w:val="single" w:sz="4" w:space="0" w:color="auto"/>
            </w:tcBorders>
            <w:shd w:val="clear" w:color="auto" w:fill="auto"/>
            <w:noWrap/>
            <w:vAlign w:val="bottom"/>
            <w:hideMark/>
          </w:tcPr>
          <w:p w14:paraId="46436BF0"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40</w:t>
            </w:r>
          </w:p>
        </w:tc>
        <w:tc>
          <w:tcPr>
            <w:tcW w:w="1540" w:type="dxa"/>
            <w:tcBorders>
              <w:top w:val="nil"/>
              <w:left w:val="nil"/>
              <w:bottom w:val="single" w:sz="4" w:space="0" w:color="auto"/>
              <w:right w:val="single" w:sz="4" w:space="0" w:color="auto"/>
            </w:tcBorders>
            <w:shd w:val="clear" w:color="auto" w:fill="auto"/>
            <w:noWrap/>
            <w:vAlign w:val="bottom"/>
            <w:hideMark/>
          </w:tcPr>
          <w:p w14:paraId="2390A850"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41</w:t>
            </w:r>
          </w:p>
        </w:tc>
        <w:tc>
          <w:tcPr>
            <w:tcW w:w="2221" w:type="dxa"/>
            <w:tcBorders>
              <w:top w:val="nil"/>
              <w:left w:val="nil"/>
              <w:bottom w:val="single" w:sz="4" w:space="0" w:color="auto"/>
              <w:right w:val="single" w:sz="4" w:space="0" w:color="auto"/>
            </w:tcBorders>
            <w:shd w:val="clear" w:color="auto" w:fill="auto"/>
            <w:noWrap/>
            <w:vAlign w:val="bottom"/>
            <w:hideMark/>
          </w:tcPr>
          <w:p w14:paraId="7F95BB88"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41</w:t>
            </w:r>
          </w:p>
        </w:tc>
      </w:tr>
      <w:tr w:rsidR="00224658" w:rsidRPr="00A26C26" w14:paraId="218FAB70"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796DF01" w14:textId="38F12BD1"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Stare</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Miasto</w:t>
            </w:r>
          </w:p>
        </w:tc>
        <w:tc>
          <w:tcPr>
            <w:tcW w:w="1420" w:type="dxa"/>
            <w:tcBorders>
              <w:top w:val="nil"/>
              <w:left w:val="nil"/>
              <w:bottom w:val="single" w:sz="4" w:space="0" w:color="auto"/>
              <w:right w:val="single" w:sz="4" w:space="0" w:color="auto"/>
            </w:tcBorders>
            <w:shd w:val="clear" w:color="auto" w:fill="auto"/>
            <w:noWrap/>
            <w:vAlign w:val="bottom"/>
            <w:hideMark/>
          </w:tcPr>
          <w:p w14:paraId="61F5EE25"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31</w:t>
            </w:r>
          </w:p>
        </w:tc>
        <w:tc>
          <w:tcPr>
            <w:tcW w:w="1520" w:type="dxa"/>
            <w:tcBorders>
              <w:top w:val="nil"/>
              <w:left w:val="nil"/>
              <w:bottom w:val="single" w:sz="4" w:space="0" w:color="auto"/>
              <w:right w:val="single" w:sz="4" w:space="0" w:color="auto"/>
            </w:tcBorders>
            <w:shd w:val="clear" w:color="auto" w:fill="auto"/>
            <w:noWrap/>
            <w:vAlign w:val="bottom"/>
            <w:hideMark/>
          </w:tcPr>
          <w:p w14:paraId="32BDF7E7"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32</w:t>
            </w:r>
          </w:p>
        </w:tc>
        <w:tc>
          <w:tcPr>
            <w:tcW w:w="1520" w:type="dxa"/>
            <w:tcBorders>
              <w:top w:val="nil"/>
              <w:left w:val="nil"/>
              <w:bottom w:val="single" w:sz="4" w:space="0" w:color="auto"/>
              <w:right w:val="single" w:sz="4" w:space="0" w:color="auto"/>
            </w:tcBorders>
            <w:shd w:val="clear" w:color="auto" w:fill="auto"/>
            <w:noWrap/>
            <w:vAlign w:val="bottom"/>
            <w:hideMark/>
          </w:tcPr>
          <w:p w14:paraId="3CDC396D"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32</w:t>
            </w:r>
          </w:p>
        </w:tc>
        <w:tc>
          <w:tcPr>
            <w:tcW w:w="1540" w:type="dxa"/>
            <w:tcBorders>
              <w:top w:val="nil"/>
              <w:left w:val="nil"/>
              <w:bottom w:val="single" w:sz="4" w:space="0" w:color="auto"/>
              <w:right w:val="single" w:sz="4" w:space="0" w:color="auto"/>
            </w:tcBorders>
            <w:shd w:val="clear" w:color="auto" w:fill="auto"/>
            <w:noWrap/>
            <w:vAlign w:val="bottom"/>
            <w:hideMark/>
          </w:tcPr>
          <w:p w14:paraId="6793E2A3"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33</w:t>
            </w:r>
          </w:p>
        </w:tc>
        <w:tc>
          <w:tcPr>
            <w:tcW w:w="2221" w:type="dxa"/>
            <w:tcBorders>
              <w:top w:val="nil"/>
              <w:left w:val="nil"/>
              <w:bottom w:val="single" w:sz="4" w:space="0" w:color="auto"/>
              <w:right w:val="single" w:sz="4" w:space="0" w:color="auto"/>
            </w:tcBorders>
            <w:shd w:val="clear" w:color="auto" w:fill="auto"/>
            <w:noWrap/>
            <w:vAlign w:val="bottom"/>
            <w:hideMark/>
          </w:tcPr>
          <w:p w14:paraId="2F6A7177"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35</w:t>
            </w:r>
          </w:p>
        </w:tc>
      </w:tr>
      <w:tr w:rsidR="00224658" w:rsidRPr="00A26C26" w14:paraId="492C33F4"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FB0ACEC"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Tuliszków</w:t>
            </w:r>
          </w:p>
        </w:tc>
        <w:tc>
          <w:tcPr>
            <w:tcW w:w="1420" w:type="dxa"/>
            <w:tcBorders>
              <w:top w:val="nil"/>
              <w:left w:val="nil"/>
              <w:bottom w:val="single" w:sz="4" w:space="0" w:color="auto"/>
              <w:right w:val="single" w:sz="4" w:space="0" w:color="auto"/>
            </w:tcBorders>
            <w:shd w:val="clear" w:color="auto" w:fill="auto"/>
            <w:noWrap/>
            <w:vAlign w:val="bottom"/>
            <w:hideMark/>
          </w:tcPr>
          <w:p w14:paraId="57E6AD47"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27</w:t>
            </w:r>
          </w:p>
        </w:tc>
        <w:tc>
          <w:tcPr>
            <w:tcW w:w="1520" w:type="dxa"/>
            <w:tcBorders>
              <w:top w:val="nil"/>
              <w:left w:val="nil"/>
              <w:bottom w:val="single" w:sz="4" w:space="0" w:color="auto"/>
              <w:right w:val="single" w:sz="4" w:space="0" w:color="auto"/>
            </w:tcBorders>
            <w:shd w:val="clear" w:color="auto" w:fill="auto"/>
            <w:noWrap/>
            <w:vAlign w:val="bottom"/>
            <w:hideMark/>
          </w:tcPr>
          <w:p w14:paraId="47926AF0"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28</w:t>
            </w:r>
          </w:p>
        </w:tc>
        <w:tc>
          <w:tcPr>
            <w:tcW w:w="1520" w:type="dxa"/>
            <w:tcBorders>
              <w:top w:val="nil"/>
              <w:left w:val="nil"/>
              <w:bottom w:val="single" w:sz="4" w:space="0" w:color="auto"/>
              <w:right w:val="single" w:sz="4" w:space="0" w:color="auto"/>
            </w:tcBorders>
            <w:shd w:val="clear" w:color="auto" w:fill="auto"/>
            <w:noWrap/>
            <w:vAlign w:val="bottom"/>
            <w:hideMark/>
          </w:tcPr>
          <w:p w14:paraId="571D537A"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30</w:t>
            </w:r>
          </w:p>
        </w:tc>
        <w:tc>
          <w:tcPr>
            <w:tcW w:w="1540" w:type="dxa"/>
            <w:tcBorders>
              <w:top w:val="nil"/>
              <w:left w:val="nil"/>
              <w:bottom w:val="single" w:sz="4" w:space="0" w:color="auto"/>
              <w:right w:val="single" w:sz="4" w:space="0" w:color="auto"/>
            </w:tcBorders>
            <w:shd w:val="clear" w:color="auto" w:fill="auto"/>
            <w:noWrap/>
            <w:vAlign w:val="bottom"/>
            <w:hideMark/>
          </w:tcPr>
          <w:p w14:paraId="1B184471"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31</w:t>
            </w:r>
          </w:p>
        </w:tc>
        <w:tc>
          <w:tcPr>
            <w:tcW w:w="2221" w:type="dxa"/>
            <w:tcBorders>
              <w:top w:val="nil"/>
              <w:left w:val="nil"/>
              <w:bottom w:val="single" w:sz="4" w:space="0" w:color="auto"/>
              <w:right w:val="single" w:sz="4" w:space="0" w:color="auto"/>
            </w:tcBorders>
            <w:shd w:val="clear" w:color="auto" w:fill="auto"/>
            <w:noWrap/>
            <w:vAlign w:val="bottom"/>
            <w:hideMark/>
          </w:tcPr>
          <w:p w14:paraId="0D0663B8"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31</w:t>
            </w:r>
          </w:p>
        </w:tc>
      </w:tr>
      <w:tr w:rsidR="00224658" w:rsidRPr="00A26C26" w14:paraId="292823B1" w14:textId="77777777" w:rsidTr="007F1E76">
        <w:trPr>
          <w:trHeight w:val="249"/>
        </w:trPr>
        <w:tc>
          <w:tcPr>
            <w:tcW w:w="1980" w:type="dxa"/>
            <w:tcBorders>
              <w:top w:val="nil"/>
              <w:left w:val="single" w:sz="4" w:space="0" w:color="auto"/>
              <w:bottom w:val="single" w:sz="4" w:space="0" w:color="auto"/>
              <w:right w:val="single" w:sz="4" w:space="0" w:color="auto"/>
            </w:tcBorders>
            <w:shd w:val="clear" w:color="000000" w:fill="DDEBF7"/>
            <w:vAlign w:val="bottom"/>
            <w:hideMark/>
          </w:tcPr>
          <w:p w14:paraId="3FD1F4A1" w14:textId="5BC66002"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Razem</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LGD</w:t>
            </w:r>
          </w:p>
        </w:tc>
        <w:tc>
          <w:tcPr>
            <w:tcW w:w="1420" w:type="dxa"/>
            <w:tcBorders>
              <w:top w:val="nil"/>
              <w:left w:val="nil"/>
              <w:bottom w:val="single" w:sz="4" w:space="0" w:color="auto"/>
              <w:right w:val="single" w:sz="4" w:space="0" w:color="auto"/>
            </w:tcBorders>
            <w:shd w:val="clear" w:color="000000" w:fill="DDEBF7"/>
            <w:noWrap/>
            <w:vAlign w:val="bottom"/>
            <w:hideMark/>
          </w:tcPr>
          <w:p w14:paraId="74A287EC"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203</w:t>
            </w:r>
          </w:p>
        </w:tc>
        <w:tc>
          <w:tcPr>
            <w:tcW w:w="1520" w:type="dxa"/>
            <w:tcBorders>
              <w:top w:val="nil"/>
              <w:left w:val="nil"/>
              <w:bottom w:val="single" w:sz="4" w:space="0" w:color="auto"/>
              <w:right w:val="single" w:sz="4" w:space="0" w:color="auto"/>
            </w:tcBorders>
            <w:shd w:val="clear" w:color="000000" w:fill="DDEBF7"/>
            <w:noWrap/>
            <w:vAlign w:val="bottom"/>
            <w:hideMark/>
          </w:tcPr>
          <w:p w14:paraId="1A4554DC"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200</w:t>
            </w:r>
          </w:p>
        </w:tc>
        <w:tc>
          <w:tcPr>
            <w:tcW w:w="1520" w:type="dxa"/>
            <w:tcBorders>
              <w:top w:val="nil"/>
              <w:left w:val="nil"/>
              <w:bottom w:val="single" w:sz="4" w:space="0" w:color="auto"/>
              <w:right w:val="single" w:sz="4" w:space="0" w:color="auto"/>
            </w:tcBorders>
            <w:shd w:val="clear" w:color="000000" w:fill="DDEBF7"/>
            <w:noWrap/>
            <w:vAlign w:val="bottom"/>
            <w:hideMark/>
          </w:tcPr>
          <w:p w14:paraId="70D53397"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212</w:t>
            </w:r>
          </w:p>
        </w:tc>
        <w:tc>
          <w:tcPr>
            <w:tcW w:w="1540" w:type="dxa"/>
            <w:tcBorders>
              <w:top w:val="nil"/>
              <w:left w:val="nil"/>
              <w:bottom w:val="single" w:sz="4" w:space="0" w:color="auto"/>
              <w:right w:val="single" w:sz="4" w:space="0" w:color="auto"/>
            </w:tcBorders>
            <w:shd w:val="clear" w:color="000000" w:fill="DDEBF7"/>
            <w:noWrap/>
            <w:vAlign w:val="bottom"/>
            <w:hideMark/>
          </w:tcPr>
          <w:p w14:paraId="3E29267C"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218</w:t>
            </w:r>
          </w:p>
        </w:tc>
        <w:tc>
          <w:tcPr>
            <w:tcW w:w="2221" w:type="dxa"/>
            <w:tcBorders>
              <w:top w:val="nil"/>
              <w:left w:val="nil"/>
              <w:bottom w:val="single" w:sz="4" w:space="0" w:color="auto"/>
              <w:right w:val="single" w:sz="4" w:space="0" w:color="auto"/>
            </w:tcBorders>
            <w:shd w:val="clear" w:color="000000" w:fill="DDEBF7"/>
            <w:noWrap/>
            <w:vAlign w:val="bottom"/>
            <w:hideMark/>
          </w:tcPr>
          <w:p w14:paraId="4BB63BFD"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222</w:t>
            </w:r>
          </w:p>
        </w:tc>
      </w:tr>
    </w:tbl>
    <w:p w14:paraId="03EDFB6C" w14:textId="7130D454" w:rsidR="00224658" w:rsidRPr="00A26C26" w:rsidRDefault="00224658" w:rsidP="00A26C26">
      <w:pPr>
        <w:spacing w:line="276" w:lineRule="auto"/>
        <w:rPr>
          <w:rFonts w:cstheme="minorHAnsi"/>
        </w:rPr>
      </w:pPr>
      <w:r w:rsidRPr="00A26C26">
        <w:rPr>
          <w:rFonts w:cstheme="minorHAnsi"/>
        </w:rPr>
        <w:t>Źródło:</w:t>
      </w:r>
      <w:r w:rsidR="003B50ED">
        <w:rPr>
          <w:rFonts w:cstheme="minorHAnsi"/>
        </w:rPr>
        <w:t xml:space="preserve"> </w:t>
      </w:r>
      <w:r w:rsidRPr="00A26C26">
        <w:rPr>
          <w:rFonts w:cstheme="minorHAnsi"/>
        </w:rPr>
        <w:t>GUS,</w:t>
      </w:r>
      <w:r w:rsidR="003B50ED">
        <w:rPr>
          <w:rFonts w:cstheme="minorHAnsi"/>
        </w:rPr>
        <w:t xml:space="preserve"> </w:t>
      </w:r>
      <w:r w:rsidRPr="00A26C26">
        <w:rPr>
          <w:rFonts w:cstheme="minorHAnsi"/>
        </w:rPr>
        <w:t>Bank</w:t>
      </w:r>
      <w:r w:rsidR="003B50ED">
        <w:rPr>
          <w:rFonts w:cstheme="minorHAnsi"/>
        </w:rPr>
        <w:t xml:space="preserve"> </w:t>
      </w:r>
      <w:r w:rsidRPr="00A26C26">
        <w:rPr>
          <w:rFonts w:cstheme="minorHAnsi"/>
        </w:rPr>
        <w:t>Danych</w:t>
      </w:r>
      <w:r w:rsidR="003B50ED">
        <w:rPr>
          <w:rFonts w:cstheme="minorHAnsi"/>
        </w:rPr>
        <w:t xml:space="preserve"> </w:t>
      </w:r>
      <w:r w:rsidRPr="00A26C26">
        <w:rPr>
          <w:rFonts w:cstheme="minorHAnsi"/>
        </w:rPr>
        <w:t>Lokalnych</w:t>
      </w:r>
      <w:bookmarkStart w:id="51" w:name="_Toc111310692"/>
    </w:p>
    <w:bookmarkEnd w:id="51"/>
    <w:p w14:paraId="5BD30199" w14:textId="77777777" w:rsidR="00224658" w:rsidRPr="00A26C26" w:rsidRDefault="00224658" w:rsidP="00A26C26">
      <w:pPr>
        <w:spacing w:line="276" w:lineRule="auto"/>
        <w:rPr>
          <w:rFonts w:cstheme="minorHAnsi"/>
        </w:rPr>
      </w:pPr>
    </w:p>
    <w:p w14:paraId="48F14098" w14:textId="7F6A74B7" w:rsidR="00224658" w:rsidRPr="00A26C26" w:rsidRDefault="00224658" w:rsidP="00A26C26">
      <w:pPr>
        <w:spacing w:line="276" w:lineRule="auto"/>
        <w:ind w:firstLine="284"/>
        <w:jc w:val="both"/>
        <w:rPr>
          <w:rFonts w:cstheme="minorHAnsi"/>
        </w:rPr>
      </w:pPr>
      <w:r w:rsidRPr="00A26C26">
        <w:rPr>
          <w:rFonts w:cstheme="minorHAnsi"/>
        </w:rPr>
        <w:t>Wśród</w:t>
      </w:r>
      <w:r w:rsidR="003B50ED">
        <w:rPr>
          <w:rFonts w:cstheme="minorHAnsi"/>
        </w:rPr>
        <w:t xml:space="preserve"> </w:t>
      </w:r>
      <w:r w:rsidRPr="00A26C26">
        <w:rPr>
          <w:rFonts w:cstheme="minorHAnsi"/>
        </w:rPr>
        <w:t>organizacji</w:t>
      </w:r>
      <w:r w:rsidR="003B50ED">
        <w:rPr>
          <w:rFonts w:cstheme="minorHAnsi"/>
        </w:rPr>
        <w:t xml:space="preserve"> </w:t>
      </w:r>
      <w:r w:rsidRPr="00A26C26">
        <w:rPr>
          <w:rFonts w:cstheme="minorHAnsi"/>
        </w:rPr>
        <w:t>znajdują</w:t>
      </w:r>
      <w:r w:rsidR="003B50ED">
        <w:rPr>
          <w:rFonts w:cstheme="minorHAnsi"/>
        </w:rPr>
        <w:t xml:space="preserve"> </w:t>
      </w:r>
      <w:r w:rsidRPr="00A26C26">
        <w:rPr>
          <w:rFonts w:cstheme="minorHAnsi"/>
        </w:rPr>
        <w:t>się</w:t>
      </w:r>
      <w:r w:rsidR="003B50ED">
        <w:rPr>
          <w:rFonts w:cstheme="minorHAnsi"/>
        </w:rPr>
        <w:t xml:space="preserve"> </w:t>
      </w:r>
      <w:r w:rsidRPr="00A26C26">
        <w:rPr>
          <w:rFonts w:cstheme="minorHAnsi"/>
        </w:rPr>
        <w:t>kluby</w:t>
      </w:r>
      <w:r w:rsidR="003B50ED">
        <w:rPr>
          <w:rFonts w:cstheme="minorHAnsi"/>
        </w:rPr>
        <w:t xml:space="preserve"> </w:t>
      </w:r>
      <w:r w:rsidRPr="00A26C26">
        <w:rPr>
          <w:rFonts w:cstheme="minorHAnsi"/>
        </w:rPr>
        <w:t>sportowe,</w:t>
      </w:r>
      <w:r w:rsidR="003B50ED">
        <w:rPr>
          <w:rFonts w:cstheme="minorHAnsi"/>
        </w:rPr>
        <w:t xml:space="preserve"> </w:t>
      </w:r>
      <w:r w:rsidRPr="00A26C26">
        <w:rPr>
          <w:rFonts w:cstheme="minorHAnsi"/>
        </w:rPr>
        <w:t>OSP</w:t>
      </w:r>
      <w:r w:rsidR="003B50ED">
        <w:rPr>
          <w:rFonts w:cstheme="minorHAnsi"/>
        </w:rPr>
        <w:t xml:space="preserve"> </w:t>
      </w:r>
      <w:r w:rsidRPr="00A26C26">
        <w:rPr>
          <w:rFonts w:cstheme="minorHAnsi"/>
        </w:rPr>
        <w:t>(Ochotnicze</w:t>
      </w:r>
      <w:r w:rsidR="003B50ED">
        <w:rPr>
          <w:rFonts w:cstheme="minorHAnsi"/>
        </w:rPr>
        <w:t xml:space="preserve"> </w:t>
      </w:r>
      <w:r w:rsidRPr="00A26C26">
        <w:rPr>
          <w:rFonts w:cstheme="minorHAnsi"/>
        </w:rPr>
        <w:t>Straże</w:t>
      </w:r>
      <w:r w:rsidR="003B50ED">
        <w:rPr>
          <w:rFonts w:cstheme="minorHAnsi"/>
        </w:rPr>
        <w:t xml:space="preserve"> </w:t>
      </w:r>
      <w:r w:rsidRPr="00A26C26">
        <w:rPr>
          <w:rFonts w:cstheme="minorHAnsi"/>
        </w:rPr>
        <w:t>Pożarne)</w:t>
      </w:r>
      <w:r w:rsidR="003B50ED">
        <w:rPr>
          <w:rFonts w:cstheme="minorHAnsi"/>
        </w:rPr>
        <w:t xml:space="preserve"> </w:t>
      </w:r>
      <w:r w:rsidRPr="00A26C26">
        <w:rPr>
          <w:rFonts w:cstheme="minorHAnsi"/>
        </w:rPr>
        <w:t>oraz</w:t>
      </w:r>
      <w:r w:rsidR="003B50ED">
        <w:rPr>
          <w:rFonts w:cstheme="minorHAnsi"/>
        </w:rPr>
        <w:t xml:space="preserve"> </w:t>
      </w:r>
      <w:r w:rsidRPr="00A26C26">
        <w:rPr>
          <w:rFonts w:cstheme="minorHAnsi"/>
        </w:rPr>
        <w:t>małe</w:t>
      </w:r>
      <w:r w:rsidR="003B50ED">
        <w:rPr>
          <w:rFonts w:cstheme="minorHAnsi"/>
        </w:rPr>
        <w:t xml:space="preserve"> </w:t>
      </w:r>
      <w:r w:rsidRPr="00A26C26">
        <w:rPr>
          <w:rFonts w:cstheme="minorHAnsi"/>
        </w:rPr>
        <w:t>organizacje,</w:t>
      </w:r>
      <w:r w:rsidR="003B50ED">
        <w:rPr>
          <w:rFonts w:cstheme="minorHAnsi"/>
        </w:rPr>
        <w:t xml:space="preserve"> </w:t>
      </w:r>
      <w:r w:rsidRPr="00A26C26">
        <w:rPr>
          <w:rFonts w:cstheme="minorHAnsi"/>
        </w:rPr>
        <w:t>którą</w:t>
      </w:r>
      <w:r w:rsidR="003B50ED">
        <w:rPr>
          <w:rFonts w:cstheme="minorHAnsi"/>
        </w:rPr>
        <w:t xml:space="preserve"> </w:t>
      </w:r>
      <w:r w:rsidRPr="00A26C26">
        <w:rPr>
          <w:rFonts w:cstheme="minorHAnsi"/>
        </w:rPr>
        <w:t>swoją</w:t>
      </w:r>
      <w:r w:rsidR="003B50ED">
        <w:rPr>
          <w:rFonts w:cstheme="minorHAnsi"/>
        </w:rPr>
        <w:t xml:space="preserve"> </w:t>
      </w:r>
      <w:r w:rsidRPr="00A26C26">
        <w:rPr>
          <w:rFonts w:cstheme="minorHAnsi"/>
        </w:rPr>
        <w:t>działalność</w:t>
      </w:r>
      <w:r w:rsidR="003B50ED">
        <w:rPr>
          <w:rFonts w:cstheme="minorHAnsi"/>
        </w:rPr>
        <w:t xml:space="preserve"> </w:t>
      </w:r>
      <w:r w:rsidRPr="00A26C26">
        <w:rPr>
          <w:rFonts w:cstheme="minorHAnsi"/>
        </w:rPr>
        <w:t>ograniczają</w:t>
      </w:r>
      <w:r w:rsidR="003B50ED">
        <w:rPr>
          <w:rFonts w:cstheme="minorHAnsi"/>
        </w:rPr>
        <w:t xml:space="preserve"> </w:t>
      </w:r>
      <w:r w:rsidRPr="00A26C26">
        <w:rPr>
          <w:rFonts w:cstheme="minorHAnsi"/>
        </w:rPr>
        <w:t>do</w:t>
      </w:r>
      <w:r w:rsidR="003B50ED">
        <w:rPr>
          <w:rFonts w:cstheme="minorHAnsi"/>
        </w:rPr>
        <w:t xml:space="preserve"> </w:t>
      </w:r>
      <w:r w:rsidRPr="00A26C26">
        <w:rPr>
          <w:rFonts w:cstheme="minorHAnsi"/>
        </w:rPr>
        <w:t>najbliższego</w:t>
      </w:r>
      <w:r w:rsidR="003B50ED">
        <w:rPr>
          <w:rFonts w:cstheme="minorHAnsi"/>
        </w:rPr>
        <w:t xml:space="preserve"> </w:t>
      </w:r>
      <w:r w:rsidRPr="00A26C26">
        <w:rPr>
          <w:rFonts w:cstheme="minorHAnsi"/>
        </w:rPr>
        <w:t>sąsiedztwa.</w:t>
      </w:r>
      <w:r w:rsidR="003B50ED">
        <w:rPr>
          <w:rFonts w:cstheme="minorHAnsi"/>
        </w:rPr>
        <w:t xml:space="preserve"> </w:t>
      </w:r>
      <w:r w:rsidRPr="00A26C26">
        <w:rPr>
          <w:rFonts w:cstheme="minorHAnsi"/>
        </w:rPr>
        <w:t>Jak</w:t>
      </w:r>
      <w:r w:rsidR="003B50ED">
        <w:rPr>
          <w:rFonts w:cstheme="minorHAnsi"/>
        </w:rPr>
        <w:t xml:space="preserve"> </w:t>
      </w:r>
      <w:r w:rsidRPr="00A26C26">
        <w:rPr>
          <w:rFonts w:cstheme="minorHAnsi"/>
        </w:rPr>
        <w:t>pokazują</w:t>
      </w:r>
      <w:r w:rsidR="003B50ED">
        <w:rPr>
          <w:rFonts w:cstheme="minorHAnsi"/>
        </w:rPr>
        <w:t xml:space="preserve"> </w:t>
      </w:r>
      <w:r w:rsidRPr="00A26C26">
        <w:rPr>
          <w:rFonts w:cstheme="minorHAnsi"/>
        </w:rPr>
        <w:t>doświadczenia</w:t>
      </w:r>
      <w:r w:rsidR="003B50ED">
        <w:rPr>
          <w:rFonts w:cstheme="minorHAnsi"/>
        </w:rPr>
        <w:t xml:space="preserve"> </w:t>
      </w:r>
      <w:r w:rsidRPr="00A26C26">
        <w:rPr>
          <w:rFonts w:cstheme="minorHAnsi"/>
        </w:rPr>
        <w:t>wdrażania</w:t>
      </w:r>
      <w:r w:rsidR="003B50ED">
        <w:rPr>
          <w:rFonts w:cstheme="minorHAnsi"/>
        </w:rPr>
        <w:t xml:space="preserve"> </w:t>
      </w:r>
      <w:r w:rsidRPr="00A26C26">
        <w:rPr>
          <w:rFonts w:cstheme="minorHAnsi"/>
        </w:rPr>
        <w:t>zarówno</w:t>
      </w:r>
      <w:r w:rsidR="003B50ED">
        <w:rPr>
          <w:rFonts w:cstheme="minorHAnsi"/>
        </w:rPr>
        <w:t xml:space="preserve"> </w:t>
      </w:r>
      <w:r w:rsidRPr="00A26C26">
        <w:rPr>
          <w:rFonts w:cstheme="minorHAnsi"/>
        </w:rPr>
        <w:t>„małych</w:t>
      </w:r>
      <w:r w:rsidR="003B50ED">
        <w:rPr>
          <w:rFonts w:cstheme="minorHAnsi"/>
        </w:rPr>
        <w:t xml:space="preserve"> </w:t>
      </w:r>
      <w:r w:rsidRPr="00A26C26">
        <w:rPr>
          <w:rFonts w:cstheme="minorHAnsi"/>
        </w:rPr>
        <w:t>projektów”,</w:t>
      </w:r>
      <w:r w:rsidR="003B50ED">
        <w:rPr>
          <w:rFonts w:cstheme="minorHAnsi"/>
        </w:rPr>
        <w:t xml:space="preserve"> </w:t>
      </w:r>
      <w:r w:rsidRPr="00A26C26">
        <w:rPr>
          <w:rFonts w:cstheme="minorHAnsi"/>
        </w:rPr>
        <w:t>tj.</w:t>
      </w:r>
      <w:r w:rsidR="003B50ED">
        <w:rPr>
          <w:rFonts w:cstheme="minorHAnsi"/>
        </w:rPr>
        <w:t xml:space="preserve"> </w:t>
      </w:r>
      <w:r w:rsidRPr="00A26C26">
        <w:rPr>
          <w:rFonts w:cstheme="minorHAnsi"/>
        </w:rPr>
        <w:t>operacji</w:t>
      </w:r>
      <w:r w:rsidR="003B50ED">
        <w:rPr>
          <w:rFonts w:cstheme="minorHAnsi"/>
        </w:rPr>
        <w:t xml:space="preserve"> </w:t>
      </w:r>
      <w:r w:rsidRPr="00A26C26">
        <w:rPr>
          <w:rFonts w:cstheme="minorHAnsi"/>
        </w:rPr>
        <w:t>realizowanych</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ramach</w:t>
      </w:r>
      <w:r w:rsidR="003B50ED">
        <w:rPr>
          <w:rFonts w:cstheme="minorHAnsi"/>
        </w:rPr>
        <w:t xml:space="preserve"> </w:t>
      </w:r>
      <w:r w:rsidRPr="00A26C26">
        <w:rPr>
          <w:rFonts w:cstheme="minorHAnsi"/>
        </w:rPr>
        <w:t>Programu</w:t>
      </w:r>
      <w:r w:rsidR="003B50ED">
        <w:rPr>
          <w:rFonts w:cstheme="minorHAnsi"/>
        </w:rPr>
        <w:t xml:space="preserve"> </w:t>
      </w:r>
      <w:r w:rsidRPr="00A26C26">
        <w:rPr>
          <w:rFonts w:cstheme="minorHAnsi"/>
        </w:rPr>
        <w:t>Rozwoju</w:t>
      </w:r>
      <w:r w:rsidR="003B50ED">
        <w:rPr>
          <w:rFonts w:cstheme="minorHAnsi"/>
        </w:rPr>
        <w:t xml:space="preserve"> </w:t>
      </w:r>
      <w:r w:rsidRPr="00A26C26">
        <w:rPr>
          <w:rFonts w:cstheme="minorHAnsi"/>
        </w:rPr>
        <w:t>Obszarów</w:t>
      </w:r>
      <w:r w:rsidR="003B50ED">
        <w:rPr>
          <w:rFonts w:cstheme="minorHAnsi"/>
        </w:rPr>
        <w:t xml:space="preserve"> </w:t>
      </w:r>
      <w:r w:rsidRPr="00A26C26">
        <w:rPr>
          <w:rFonts w:cstheme="minorHAnsi"/>
        </w:rPr>
        <w:t>Wiejskich</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latach</w:t>
      </w:r>
      <w:r w:rsidR="003B50ED">
        <w:rPr>
          <w:rFonts w:cstheme="minorHAnsi"/>
        </w:rPr>
        <w:t xml:space="preserve"> </w:t>
      </w:r>
      <w:r w:rsidRPr="00A26C26">
        <w:rPr>
          <w:rFonts w:cstheme="minorHAnsi"/>
        </w:rPr>
        <w:t>2007-2013</w:t>
      </w:r>
      <w:r w:rsidR="003B50ED">
        <w:rPr>
          <w:rFonts w:cstheme="minorHAnsi"/>
        </w:rPr>
        <w:t xml:space="preserve"> </w:t>
      </w:r>
      <w:r w:rsidRPr="00A26C26">
        <w:rPr>
          <w:rFonts w:cstheme="minorHAnsi"/>
        </w:rPr>
        <w:t>jaki</w:t>
      </w:r>
      <w:r w:rsidR="003B50ED">
        <w:rPr>
          <w:rFonts w:cstheme="minorHAnsi"/>
        </w:rPr>
        <w:t xml:space="preserve"> </w:t>
      </w:r>
      <w:r w:rsidRPr="00A26C26">
        <w:rPr>
          <w:rFonts w:cstheme="minorHAnsi"/>
        </w:rPr>
        <w:t>projektów</w:t>
      </w:r>
      <w:r w:rsidR="003B50ED">
        <w:rPr>
          <w:rFonts w:cstheme="minorHAnsi"/>
        </w:rPr>
        <w:t xml:space="preserve"> </w:t>
      </w:r>
      <w:r w:rsidRPr="00A26C26">
        <w:rPr>
          <w:rFonts w:cstheme="minorHAnsi"/>
        </w:rPr>
        <w:t>grantowych</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ramach</w:t>
      </w:r>
      <w:r w:rsidR="003B50ED">
        <w:rPr>
          <w:rFonts w:cstheme="minorHAnsi"/>
        </w:rPr>
        <w:t xml:space="preserve"> </w:t>
      </w:r>
      <w:r w:rsidRPr="00A26C26">
        <w:rPr>
          <w:rFonts w:cstheme="minorHAnsi"/>
        </w:rPr>
        <w:t>RLKS</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okresie</w:t>
      </w:r>
      <w:r w:rsidR="003B50ED">
        <w:rPr>
          <w:rFonts w:cstheme="minorHAnsi"/>
        </w:rPr>
        <w:t xml:space="preserve"> </w:t>
      </w:r>
      <w:r w:rsidRPr="00A26C26">
        <w:rPr>
          <w:rFonts w:cstheme="minorHAnsi"/>
        </w:rPr>
        <w:t>2014-20</w:t>
      </w:r>
      <w:r w:rsidR="00BD5E29">
        <w:rPr>
          <w:rFonts w:cstheme="minorHAnsi"/>
        </w:rPr>
        <w:t>2</w:t>
      </w:r>
      <w:r w:rsidRPr="00A26C26">
        <w:rPr>
          <w:rFonts w:cstheme="minorHAnsi"/>
        </w:rPr>
        <w:t>0,</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obszarze</w:t>
      </w:r>
      <w:r w:rsidR="003B50ED">
        <w:rPr>
          <w:rFonts w:cstheme="minorHAnsi"/>
        </w:rPr>
        <w:t xml:space="preserve"> </w:t>
      </w:r>
      <w:r w:rsidRPr="00A26C26">
        <w:rPr>
          <w:rFonts w:cstheme="minorHAnsi"/>
        </w:rPr>
        <w:t>LGD</w:t>
      </w:r>
      <w:r w:rsidR="003B50ED">
        <w:rPr>
          <w:rFonts w:cstheme="minorHAnsi"/>
        </w:rPr>
        <w:t xml:space="preserve"> </w:t>
      </w:r>
      <w:r w:rsidRPr="00A26C26">
        <w:rPr>
          <w:rFonts w:cstheme="minorHAnsi"/>
        </w:rPr>
        <w:t>jest</w:t>
      </w:r>
      <w:r w:rsidR="003B50ED">
        <w:rPr>
          <w:rFonts w:cstheme="minorHAnsi"/>
        </w:rPr>
        <w:t xml:space="preserve"> </w:t>
      </w:r>
      <w:r w:rsidRPr="00A26C26">
        <w:rPr>
          <w:rFonts w:cstheme="minorHAnsi"/>
        </w:rPr>
        <w:t>bardzo</w:t>
      </w:r>
      <w:r w:rsidR="003B50ED">
        <w:rPr>
          <w:rFonts w:cstheme="minorHAnsi"/>
        </w:rPr>
        <w:t xml:space="preserve"> </w:t>
      </w:r>
      <w:r w:rsidRPr="00A26C26">
        <w:rPr>
          <w:rFonts w:cstheme="minorHAnsi"/>
        </w:rPr>
        <w:t>niewielki</w:t>
      </w:r>
      <w:r w:rsidR="003B50ED">
        <w:rPr>
          <w:rFonts w:cstheme="minorHAnsi"/>
        </w:rPr>
        <w:t xml:space="preserve"> </w:t>
      </w:r>
      <w:r w:rsidRPr="00A26C26">
        <w:rPr>
          <w:rFonts w:cstheme="minorHAnsi"/>
        </w:rPr>
        <w:t>odsetek</w:t>
      </w:r>
      <w:r w:rsidR="003B50ED">
        <w:rPr>
          <w:rFonts w:cstheme="minorHAnsi"/>
        </w:rPr>
        <w:t xml:space="preserve"> </w:t>
      </w:r>
      <w:r w:rsidRPr="00A26C26">
        <w:rPr>
          <w:rFonts w:cstheme="minorHAnsi"/>
        </w:rPr>
        <w:t>organizacji</w:t>
      </w:r>
      <w:r w:rsidR="003B50ED">
        <w:rPr>
          <w:rFonts w:cstheme="minorHAnsi"/>
        </w:rPr>
        <w:t xml:space="preserve"> </w:t>
      </w:r>
      <w:r w:rsidRPr="00A26C26">
        <w:rPr>
          <w:rFonts w:cstheme="minorHAnsi"/>
        </w:rPr>
        <w:t>zdolnych</w:t>
      </w:r>
      <w:r w:rsidR="003B50ED">
        <w:rPr>
          <w:rFonts w:cstheme="minorHAnsi"/>
        </w:rPr>
        <w:t xml:space="preserve"> </w:t>
      </w:r>
      <w:r w:rsidRPr="00A26C26">
        <w:rPr>
          <w:rFonts w:cstheme="minorHAnsi"/>
        </w:rPr>
        <w:t>do</w:t>
      </w:r>
      <w:r w:rsidR="003B50ED">
        <w:rPr>
          <w:rFonts w:cstheme="minorHAnsi"/>
        </w:rPr>
        <w:t xml:space="preserve"> </w:t>
      </w:r>
      <w:r w:rsidRPr="00A26C26">
        <w:rPr>
          <w:rFonts w:cstheme="minorHAnsi"/>
        </w:rPr>
        <w:t>samodzielnego</w:t>
      </w:r>
      <w:r w:rsidR="003B50ED">
        <w:rPr>
          <w:rFonts w:cstheme="minorHAnsi"/>
        </w:rPr>
        <w:t xml:space="preserve"> </w:t>
      </w:r>
      <w:r w:rsidRPr="00A26C26">
        <w:rPr>
          <w:rFonts w:cstheme="minorHAnsi"/>
        </w:rPr>
        <w:t>pozyskiwania,</w:t>
      </w:r>
      <w:r w:rsidR="003B50ED">
        <w:rPr>
          <w:rFonts w:cstheme="minorHAnsi"/>
        </w:rPr>
        <w:t xml:space="preserve"> </w:t>
      </w:r>
      <w:r w:rsidRPr="00A26C26">
        <w:rPr>
          <w:rFonts w:cstheme="minorHAnsi"/>
        </w:rPr>
        <w:t>realizacji</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rozliczania</w:t>
      </w:r>
      <w:r w:rsidR="003B50ED">
        <w:rPr>
          <w:rFonts w:cstheme="minorHAnsi"/>
        </w:rPr>
        <w:t xml:space="preserve"> </w:t>
      </w:r>
      <w:r w:rsidRPr="00A26C26">
        <w:rPr>
          <w:rFonts w:cstheme="minorHAnsi"/>
        </w:rPr>
        <w:t>dotacji</w:t>
      </w:r>
      <w:r w:rsidR="003B50ED">
        <w:rPr>
          <w:rFonts w:cstheme="minorHAnsi"/>
        </w:rPr>
        <w:t xml:space="preserve"> </w:t>
      </w:r>
      <w:r w:rsidRPr="00A26C26">
        <w:rPr>
          <w:rFonts w:cstheme="minorHAnsi"/>
        </w:rPr>
        <w:t>ze</w:t>
      </w:r>
      <w:r w:rsidR="003B50ED">
        <w:rPr>
          <w:rFonts w:cstheme="minorHAnsi"/>
        </w:rPr>
        <w:t xml:space="preserve"> </w:t>
      </w:r>
      <w:r w:rsidRPr="00A26C26">
        <w:rPr>
          <w:rFonts w:cstheme="minorHAnsi"/>
        </w:rPr>
        <w:t>źródeł</w:t>
      </w:r>
      <w:r w:rsidR="003B50ED">
        <w:rPr>
          <w:rFonts w:cstheme="minorHAnsi"/>
        </w:rPr>
        <w:t xml:space="preserve"> </w:t>
      </w:r>
      <w:r w:rsidRPr="00A26C26">
        <w:rPr>
          <w:rFonts w:cstheme="minorHAnsi"/>
        </w:rPr>
        <w:t>zewnętrznych.</w:t>
      </w:r>
      <w:r w:rsidR="003B50ED">
        <w:rPr>
          <w:rFonts w:cstheme="minorHAnsi"/>
        </w:rPr>
        <w:t xml:space="preserve"> </w:t>
      </w:r>
      <w:r w:rsidRPr="00A26C26">
        <w:rPr>
          <w:rFonts w:cstheme="minorHAnsi"/>
        </w:rPr>
        <w:t>Większość</w:t>
      </w:r>
      <w:r w:rsidR="003B50ED">
        <w:rPr>
          <w:rFonts w:cstheme="minorHAnsi"/>
        </w:rPr>
        <w:t xml:space="preserve"> </w:t>
      </w:r>
      <w:r w:rsidRPr="00A26C26">
        <w:rPr>
          <w:rFonts w:cstheme="minorHAnsi"/>
        </w:rPr>
        <w:t>organizacji</w:t>
      </w:r>
      <w:r w:rsidR="003B50ED">
        <w:rPr>
          <w:rFonts w:cstheme="minorHAnsi"/>
        </w:rPr>
        <w:t xml:space="preserve"> </w:t>
      </w:r>
      <w:r w:rsidRPr="00A26C26">
        <w:rPr>
          <w:rFonts w:cstheme="minorHAnsi"/>
        </w:rPr>
        <w:t>próbuje</w:t>
      </w:r>
      <w:r w:rsidR="003B50ED">
        <w:rPr>
          <w:rFonts w:cstheme="minorHAnsi"/>
        </w:rPr>
        <w:t xml:space="preserve"> </w:t>
      </w:r>
      <w:r w:rsidRPr="00A26C26">
        <w:rPr>
          <w:rFonts w:cstheme="minorHAnsi"/>
        </w:rPr>
        <w:t>jedynie</w:t>
      </w:r>
      <w:r w:rsidR="003B50ED">
        <w:rPr>
          <w:rFonts w:cstheme="minorHAnsi"/>
        </w:rPr>
        <w:t xml:space="preserve"> </w:t>
      </w:r>
      <w:r w:rsidRPr="00A26C26">
        <w:rPr>
          <w:rFonts w:cstheme="minorHAnsi"/>
        </w:rPr>
        <w:t>pozyskać</w:t>
      </w:r>
      <w:r w:rsidR="003B50ED">
        <w:rPr>
          <w:rFonts w:cstheme="minorHAnsi"/>
        </w:rPr>
        <w:t xml:space="preserve"> </w:t>
      </w:r>
      <w:r w:rsidRPr="00A26C26">
        <w:rPr>
          <w:rFonts w:cstheme="minorHAnsi"/>
        </w:rPr>
        <w:t>środki</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ramach</w:t>
      </w:r>
      <w:r w:rsidR="003B50ED">
        <w:rPr>
          <w:rFonts w:cstheme="minorHAnsi"/>
        </w:rPr>
        <w:t xml:space="preserve"> </w:t>
      </w:r>
      <w:r w:rsidRPr="00A26C26">
        <w:rPr>
          <w:rFonts w:cstheme="minorHAnsi"/>
        </w:rPr>
        <w:t>gminnych</w:t>
      </w:r>
      <w:r w:rsidR="003B50ED">
        <w:rPr>
          <w:rFonts w:cstheme="minorHAnsi"/>
        </w:rPr>
        <w:t xml:space="preserve"> </w:t>
      </w:r>
      <w:r w:rsidRPr="00A26C26">
        <w:rPr>
          <w:rFonts w:cstheme="minorHAnsi"/>
        </w:rPr>
        <w:t>programów</w:t>
      </w:r>
      <w:r w:rsidR="003B50ED">
        <w:rPr>
          <w:rFonts w:cstheme="minorHAnsi"/>
        </w:rPr>
        <w:t xml:space="preserve"> </w:t>
      </w:r>
      <w:r w:rsidRPr="00A26C26">
        <w:rPr>
          <w:rFonts w:cstheme="minorHAnsi"/>
        </w:rPr>
        <w:t>współpracy</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organizacjami</w:t>
      </w:r>
      <w:r w:rsidR="003B50ED">
        <w:rPr>
          <w:rFonts w:cstheme="minorHAnsi"/>
        </w:rPr>
        <w:t xml:space="preserve"> </w:t>
      </w:r>
      <w:r w:rsidRPr="00A26C26">
        <w:rPr>
          <w:rFonts w:cstheme="minorHAnsi"/>
        </w:rPr>
        <w:lastRenderedPageBreak/>
        <w:t>pozarządowymi.</w:t>
      </w:r>
      <w:r w:rsidR="003B50ED">
        <w:rPr>
          <w:rFonts w:cstheme="minorHAnsi"/>
        </w:rPr>
        <w:t xml:space="preserve"> </w:t>
      </w:r>
      <w:r w:rsidRPr="00A26C26">
        <w:rPr>
          <w:rFonts w:cstheme="minorHAnsi"/>
        </w:rPr>
        <w:t>Same</w:t>
      </w:r>
      <w:r w:rsidR="003B50ED">
        <w:rPr>
          <w:rFonts w:cstheme="minorHAnsi"/>
        </w:rPr>
        <w:t xml:space="preserve"> </w:t>
      </w:r>
      <w:r w:rsidRPr="00A26C26">
        <w:rPr>
          <w:rFonts w:cstheme="minorHAnsi"/>
        </w:rPr>
        <w:t>organizacje</w:t>
      </w:r>
      <w:r w:rsidR="003B50ED">
        <w:rPr>
          <w:rFonts w:cstheme="minorHAnsi"/>
        </w:rPr>
        <w:t xml:space="preserve"> </w:t>
      </w:r>
      <w:r w:rsidRPr="00A26C26">
        <w:rPr>
          <w:rFonts w:cstheme="minorHAnsi"/>
        </w:rPr>
        <w:t>wskazują</w:t>
      </w:r>
      <w:r w:rsidR="003B50ED">
        <w:rPr>
          <w:rFonts w:cstheme="minorHAnsi"/>
        </w:rPr>
        <w:t xml:space="preserve"> </w:t>
      </w:r>
      <w:r w:rsidRPr="00A26C26">
        <w:rPr>
          <w:rFonts w:cstheme="minorHAnsi"/>
        </w:rPr>
        <w:t>bariery</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potrzeby</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tym</w:t>
      </w:r>
      <w:r w:rsidR="003B50ED">
        <w:rPr>
          <w:rFonts w:cstheme="minorHAnsi"/>
        </w:rPr>
        <w:t xml:space="preserve"> </w:t>
      </w:r>
      <w:r w:rsidRPr="00A26C26">
        <w:rPr>
          <w:rFonts w:cstheme="minorHAnsi"/>
        </w:rPr>
        <w:t>zakresie</w:t>
      </w:r>
      <w:r w:rsidR="003B50ED">
        <w:rPr>
          <w:rFonts w:cstheme="minorHAnsi"/>
        </w:rPr>
        <w:t xml:space="preserve"> </w:t>
      </w:r>
      <w:r w:rsidRPr="00A26C26">
        <w:rPr>
          <w:rFonts w:cstheme="minorHAnsi"/>
        </w:rPr>
        <w:t>jako</w:t>
      </w:r>
      <w:r w:rsidR="003B50ED">
        <w:rPr>
          <w:rFonts w:cstheme="minorHAnsi"/>
        </w:rPr>
        <w:t xml:space="preserve"> </w:t>
      </w:r>
      <w:r w:rsidRPr="00A26C26">
        <w:rPr>
          <w:rFonts w:cstheme="minorHAnsi"/>
        </w:rPr>
        <w:t>najważniejsze</w:t>
      </w:r>
      <w:r w:rsidR="003B50ED">
        <w:rPr>
          <w:rFonts w:cstheme="minorHAnsi"/>
        </w:rPr>
        <w:t xml:space="preserve"> </w:t>
      </w:r>
      <w:r w:rsidRPr="00A26C26">
        <w:rPr>
          <w:rFonts w:cstheme="minorHAnsi"/>
        </w:rPr>
        <w:t>uwarunkowania</w:t>
      </w:r>
      <w:r w:rsidR="003B50ED">
        <w:rPr>
          <w:rFonts w:cstheme="minorHAnsi"/>
        </w:rPr>
        <w:t xml:space="preserve"> </w:t>
      </w:r>
      <w:r w:rsidRPr="00A26C26">
        <w:rPr>
          <w:rFonts w:cstheme="minorHAnsi"/>
        </w:rPr>
        <w:t>mające</w:t>
      </w:r>
      <w:r w:rsidR="003B50ED">
        <w:rPr>
          <w:rFonts w:cstheme="minorHAnsi"/>
        </w:rPr>
        <w:t xml:space="preserve"> </w:t>
      </w:r>
      <w:r w:rsidRPr="00A26C26">
        <w:rPr>
          <w:rFonts w:cstheme="minorHAnsi"/>
        </w:rPr>
        <w:t>wpływ</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ich</w:t>
      </w:r>
      <w:r w:rsidR="003B50ED">
        <w:rPr>
          <w:rFonts w:cstheme="minorHAnsi"/>
        </w:rPr>
        <w:t xml:space="preserve"> </w:t>
      </w:r>
      <w:r w:rsidRPr="00A26C26">
        <w:rPr>
          <w:rFonts w:cstheme="minorHAnsi"/>
        </w:rPr>
        <w:t>funkcjonowanie.</w:t>
      </w:r>
      <w:r w:rsidR="003B50ED">
        <w:rPr>
          <w:rFonts w:cstheme="minorHAnsi"/>
        </w:rPr>
        <w:t xml:space="preserve"> </w:t>
      </w:r>
      <w:r w:rsidRPr="00A26C26">
        <w:rPr>
          <w:rFonts w:cstheme="minorHAnsi"/>
        </w:rPr>
        <w:t>Przyjęty</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LGD</w:t>
      </w:r>
      <w:r w:rsidR="003B50ED">
        <w:rPr>
          <w:rFonts w:cstheme="minorHAnsi"/>
        </w:rPr>
        <w:t xml:space="preserve"> </w:t>
      </w:r>
      <w:r w:rsidRPr="00A26C26">
        <w:rPr>
          <w:rFonts w:cstheme="minorHAnsi"/>
        </w:rPr>
        <w:t>„Solidarni</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Partnerstwie”</w:t>
      </w:r>
      <w:r w:rsidR="003B50ED">
        <w:rPr>
          <w:rFonts w:cstheme="minorHAnsi"/>
        </w:rPr>
        <w:t xml:space="preserve"> </w:t>
      </w:r>
      <w:r w:rsidRPr="00A26C26">
        <w:rPr>
          <w:rFonts w:cstheme="minorHAnsi"/>
        </w:rPr>
        <w:t>przyjazny</w:t>
      </w:r>
      <w:r w:rsidR="003B50ED">
        <w:rPr>
          <w:rFonts w:cstheme="minorHAnsi"/>
        </w:rPr>
        <w:t xml:space="preserve"> </w:t>
      </w:r>
      <w:r w:rsidRPr="00A26C26">
        <w:rPr>
          <w:rFonts w:cstheme="minorHAnsi"/>
        </w:rPr>
        <w:t>sposób</w:t>
      </w:r>
      <w:r w:rsidR="003B50ED">
        <w:rPr>
          <w:rFonts w:cstheme="minorHAnsi"/>
        </w:rPr>
        <w:t xml:space="preserve"> </w:t>
      </w:r>
      <w:r w:rsidRPr="00A26C26">
        <w:rPr>
          <w:rFonts w:cstheme="minorHAnsi"/>
        </w:rPr>
        <w:t>finansowania</w:t>
      </w:r>
      <w:r w:rsidR="003B50ED">
        <w:rPr>
          <w:rFonts w:cstheme="minorHAnsi"/>
        </w:rPr>
        <w:t xml:space="preserve"> </w:t>
      </w:r>
      <w:r w:rsidRPr="00A26C26">
        <w:rPr>
          <w:rFonts w:cstheme="minorHAnsi"/>
        </w:rPr>
        <w:t>sprawił,</w:t>
      </w:r>
      <w:r w:rsidR="003B50ED">
        <w:rPr>
          <w:rFonts w:cstheme="minorHAnsi"/>
        </w:rPr>
        <w:t xml:space="preserve"> </w:t>
      </w:r>
      <w:r w:rsidRPr="00A26C26">
        <w:rPr>
          <w:rFonts w:cstheme="minorHAnsi"/>
        </w:rPr>
        <w:t>że</w:t>
      </w:r>
      <w:r w:rsidR="003B50ED">
        <w:rPr>
          <w:rFonts w:cstheme="minorHAnsi"/>
        </w:rPr>
        <w:t xml:space="preserve"> </w:t>
      </w:r>
      <w:r w:rsidRPr="00A26C26">
        <w:rPr>
          <w:rFonts w:cstheme="minorHAnsi"/>
        </w:rPr>
        <w:t>granty,</w:t>
      </w:r>
      <w:r w:rsidR="003B50ED">
        <w:rPr>
          <w:rFonts w:cstheme="minorHAnsi"/>
        </w:rPr>
        <w:t xml:space="preserve"> </w:t>
      </w:r>
      <w:r w:rsidRPr="00A26C26">
        <w:rPr>
          <w:rFonts w:cstheme="minorHAnsi"/>
        </w:rPr>
        <w:t>zwłaszcza</w:t>
      </w:r>
      <w:r w:rsidR="003B50ED">
        <w:rPr>
          <w:rFonts w:cstheme="minorHAnsi"/>
        </w:rPr>
        <w:t xml:space="preserve"> </w:t>
      </w:r>
      <w:r w:rsidRPr="00A26C26">
        <w:rPr>
          <w:rFonts w:cstheme="minorHAnsi"/>
        </w:rPr>
        <w:t>ogólnodostępne</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finansowane</w:t>
      </w:r>
      <w:r w:rsidR="003B50ED">
        <w:rPr>
          <w:rFonts w:cstheme="minorHAnsi"/>
        </w:rPr>
        <w:t xml:space="preserve"> </w:t>
      </w:r>
      <w:r w:rsidRPr="00A26C26">
        <w:rPr>
          <w:rFonts w:cstheme="minorHAnsi"/>
        </w:rPr>
        <w:t>nawet</w:t>
      </w:r>
      <w:r w:rsidR="003B50ED">
        <w:rPr>
          <w:rFonts w:cstheme="minorHAnsi"/>
        </w:rPr>
        <w:t xml:space="preserve"> </w:t>
      </w:r>
      <w:r w:rsidRPr="00A26C26">
        <w:rPr>
          <w:rFonts w:cstheme="minorHAnsi"/>
        </w:rPr>
        <w:t>do</w:t>
      </w:r>
      <w:r w:rsidR="003B50ED">
        <w:rPr>
          <w:rFonts w:cstheme="minorHAnsi"/>
        </w:rPr>
        <w:t xml:space="preserve"> </w:t>
      </w:r>
      <w:r w:rsidRPr="00A26C26">
        <w:rPr>
          <w:rFonts w:cstheme="minorHAnsi"/>
        </w:rPr>
        <w:t>100%,</w:t>
      </w:r>
      <w:r w:rsidR="003B50ED">
        <w:rPr>
          <w:rFonts w:cstheme="minorHAnsi"/>
        </w:rPr>
        <w:t xml:space="preserve"> </w:t>
      </w:r>
      <w:r w:rsidRPr="00A26C26">
        <w:rPr>
          <w:rFonts w:cstheme="minorHAnsi"/>
        </w:rPr>
        <w:t>wyraźnie</w:t>
      </w:r>
      <w:r w:rsidR="003B50ED">
        <w:rPr>
          <w:rFonts w:cstheme="minorHAnsi"/>
        </w:rPr>
        <w:t xml:space="preserve"> </w:t>
      </w:r>
      <w:r w:rsidRPr="00A26C26">
        <w:rPr>
          <w:rFonts w:cstheme="minorHAnsi"/>
        </w:rPr>
        <w:t>aktywizowały</w:t>
      </w:r>
      <w:r w:rsidR="003B50ED">
        <w:rPr>
          <w:rFonts w:cstheme="minorHAnsi"/>
        </w:rPr>
        <w:t xml:space="preserve"> </w:t>
      </w:r>
      <w:r w:rsidRPr="00A26C26">
        <w:rPr>
          <w:rFonts w:cstheme="minorHAnsi"/>
        </w:rPr>
        <w:t>te</w:t>
      </w:r>
      <w:r w:rsidR="003B50ED">
        <w:rPr>
          <w:rFonts w:cstheme="minorHAnsi"/>
        </w:rPr>
        <w:t xml:space="preserve"> </w:t>
      </w:r>
      <w:r w:rsidRPr="00A26C26">
        <w:rPr>
          <w:rFonts w:cstheme="minorHAnsi"/>
        </w:rPr>
        <w:t>organizacje.</w:t>
      </w:r>
      <w:r w:rsidR="003B50ED">
        <w:rPr>
          <w:rFonts w:cstheme="minorHAnsi"/>
        </w:rPr>
        <w:t xml:space="preserve"> </w:t>
      </w:r>
      <w:r w:rsidRPr="00A26C26">
        <w:rPr>
          <w:rFonts w:cstheme="minorHAnsi"/>
        </w:rPr>
        <w:t>Należy</w:t>
      </w:r>
      <w:r w:rsidR="003B50ED">
        <w:rPr>
          <w:rFonts w:cstheme="minorHAnsi"/>
        </w:rPr>
        <w:t xml:space="preserve"> </w:t>
      </w:r>
      <w:r w:rsidRPr="00A26C26">
        <w:rPr>
          <w:rFonts w:cstheme="minorHAnsi"/>
        </w:rPr>
        <w:t>podkreślić,</w:t>
      </w:r>
      <w:r w:rsidR="003B50ED">
        <w:rPr>
          <w:rFonts w:cstheme="minorHAnsi"/>
        </w:rPr>
        <w:t xml:space="preserve"> </w:t>
      </w:r>
      <w:r w:rsidRPr="00A26C26">
        <w:rPr>
          <w:rFonts w:cstheme="minorHAnsi"/>
        </w:rPr>
        <w:t>że</w:t>
      </w:r>
      <w:r w:rsidR="003B50ED">
        <w:rPr>
          <w:rFonts w:cstheme="minorHAnsi"/>
        </w:rPr>
        <w:t xml:space="preserve"> </w:t>
      </w:r>
      <w:r w:rsidRPr="00A26C26">
        <w:rPr>
          <w:rFonts w:cstheme="minorHAnsi"/>
        </w:rPr>
        <w:t>LGD</w:t>
      </w:r>
      <w:r w:rsidR="003B50ED">
        <w:rPr>
          <w:rFonts w:cstheme="minorHAnsi"/>
        </w:rPr>
        <w:t xml:space="preserve"> </w:t>
      </w:r>
      <w:r w:rsidRPr="00A26C26">
        <w:rPr>
          <w:rFonts w:cstheme="minorHAnsi"/>
        </w:rPr>
        <w:t>nie</w:t>
      </w:r>
      <w:r w:rsidR="003B50ED">
        <w:rPr>
          <w:rFonts w:cstheme="minorHAnsi"/>
        </w:rPr>
        <w:t xml:space="preserve"> </w:t>
      </w:r>
      <w:r w:rsidRPr="00A26C26">
        <w:rPr>
          <w:rFonts w:cstheme="minorHAnsi"/>
        </w:rPr>
        <w:t>miała</w:t>
      </w:r>
      <w:r w:rsidR="003B50ED">
        <w:rPr>
          <w:rFonts w:cstheme="minorHAnsi"/>
        </w:rPr>
        <w:t xml:space="preserve"> </w:t>
      </w:r>
      <w:r w:rsidRPr="00A26C26">
        <w:rPr>
          <w:rFonts w:cstheme="minorHAnsi"/>
        </w:rPr>
        <w:t>problemów</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ich</w:t>
      </w:r>
      <w:r w:rsidR="003B50ED">
        <w:rPr>
          <w:rFonts w:cstheme="minorHAnsi"/>
        </w:rPr>
        <w:t xml:space="preserve"> </w:t>
      </w:r>
      <w:r w:rsidRPr="00A26C26">
        <w:rPr>
          <w:rFonts w:cstheme="minorHAnsi"/>
        </w:rPr>
        <w:t>finansowaniem,</w:t>
      </w:r>
      <w:r w:rsidR="003B50ED">
        <w:rPr>
          <w:rFonts w:cstheme="minorHAnsi"/>
        </w:rPr>
        <w:t xml:space="preserve"> </w:t>
      </w:r>
      <w:r w:rsidRPr="00A26C26">
        <w:rPr>
          <w:rFonts w:cstheme="minorHAnsi"/>
        </w:rPr>
        <w:t>nie</w:t>
      </w:r>
      <w:r w:rsidR="003B50ED">
        <w:rPr>
          <w:rFonts w:cstheme="minorHAnsi"/>
        </w:rPr>
        <w:t xml:space="preserve"> </w:t>
      </w:r>
      <w:r w:rsidRPr="00A26C26">
        <w:rPr>
          <w:rFonts w:cstheme="minorHAnsi"/>
        </w:rPr>
        <w:t>było</w:t>
      </w:r>
      <w:r w:rsidR="003B50ED">
        <w:rPr>
          <w:rFonts w:cstheme="minorHAnsi"/>
        </w:rPr>
        <w:t xml:space="preserve"> </w:t>
      </w:r>
      <w:r w:rsidRPr="00A26C26">
        <w:rPr>
          <w:rFonts w:cstheme="minorHAnsi"/>
        </w:rPr>
        <w:t>konieczności</w:t>
      </w:r>
      <w:r w:rsidR="003B50ED">
        <w:rPr>
          <w:rFonts w:cstheme="minorHAnsi"/>
        </w:rPr>
        <w:t xml:space="preserve"> </w:t>
      </w:r>
      <w:r w:rsidRPr="00A26C26">
        <w:rPr>
          <w:rFonts w:cstheme="minorHAnsi"/>
        </w:rPr>
        <w:t>zaciągania</w:t>
      </w:r>
      <w:r w:rsidR="003B50ED">
        <w:rPr>
          <w:rFonts w:cstheme="minorHAnsi"/>
        </w:rPr>
        <w:t xml:space="preserve"> </w:t>
      </w:r>
      <w:r w:rsidRPr="00A26C26">
        <w:rPr>
          <w:rFonts w:cstheme="minorHAnsi"/>
        </w:rPr>
        <w:t>kredytów</w:t>
      </w:r>
    </w:p>
    <w:p w14:paraId="6A47E447" w14:textId="725B45CF" w:rsidR="00224658" w:rsidRPr="00F16251" w:rsidRDefault="00224658" w:rsidP="00A26C26">
      <w:pPr>
        <w:spacing w:line="276" w:lineRule="auto"/>
        <w:ind w:firstLine="284"/>
        <w:jc w:val="both"/>
        <w:rPr>
          <w:rFonts w:cstheme="minorHAnsi"/>
        </w:rPr>
      </w:pPr>
      <w:r w:rsidRPr="00A26C26">
        <w:rPr>
          <w:rFonts w:cstheme="minorHAnsi"/>
        </w:rPr>
        <w:t>Na</w:t>
      </w:r>
      <w:r w:rsidR="003B50ED">
        <w:rPr>
          <w:rFonts w:cstheme="minorHAnsi"/>
        </w:rPr>
        <w:t xml:space="preserve"> </w:t>
      </w:r>
      <w:r w:rsidRPr="00F16251">
        <w:rPr>
          <w:rFonts w:cstheme="minorHAnsi"/>
        </w:rPr>
        <w:t>obszarze</w:t>
      </w:r>
      <w:r w:rsidR="003B50ED" w:rsidRPr="00F16251">
        <w:rPr>
          <w:rFonts w:cstheme="minorHAnsi"/>
        </w:rPr>
        <w:t xml:space="preserve"> </w:t>
      </w:r>
      <w:r w:rsidRPr="00F16251">
        <w:rPr>
          <w:rFonts w:cstheme="minorHAnsi"/>
        </w:rPr>
        <w:t>LGD</w:t>
      </w:r>
      <w:r w:rsidR="003B50ED" w:rsidRPr="00F16251">
        <w:rPr>
          <w:rFonts w:cstheme="minorHAnsi"/>
        </w:rPr>
        <w:t xml:space="preserve"> </w:t>
      </w:r>
      <w:r w:rsidRPr="00F16251">
        <w:rPr>
          <w:rFonts w:cstheme="minorHAnsi"/>
        </w:rPr>
        <w:t>dużą</w:t>
      </w:r>
      <w:r w:rsidR="003B50ED" w:rsidRPr="00F16251">
        <w:rPr>
          <w:rFonts w:cstheme="minorHAnsi"/>
        </w:rPr>
        <w:t xml:space="preserve"> </w:t>
      </w:r>
      <w:r w:rsidRPr="00F16251">
        <w:rPr>
          <w:rFonts w:cstheme="minorHAnsi"/>
        </w:rPr>
        <w:t>grupę</w:t>
      </w:r>
      <w:r w:rsidR="003B50ED" w:rsidRPr="00F16251">
        <w:rPr>
          <w:rFonts w:cstheme="minorHAnsi"/>
        </w:rPr>
        <w:t xml:space="preserve"> </w:t>
      </w:r>
      <w:r w:rsidRPr="00F16251">
        <w:rPr>
          <w:rFonts w:cstheme="minorHAnsi"/>
        </w:rPr>
        <w:t>organizacji</w:t>
      </w:r>
      <w:r w:rsidR="003B50ED" w:rsidRPr="00F16251">
        <w:rPr>
          <w:rFonts w:cstheme="minorHAnsi"/>
        </w:rPr>
        <w:t xml:space="preserve"> </w:t>
      </w:r>
      <w:r w:rsidRPr="00F16251">
        <w:rPr>
          <w:rFonts w:cstheme="minorHAnsi"/>
        </w:rPr>
        <w:t>stanowią</w:t>
      </w:r>
      <w:r w:rsidR="003B50ED" w:rsidRPr="00F16251">
        <w:rPr>
          <w:rFonts w:cstheme="minorHAnsi"/>
        </w:rPr>
        <w:t xml:space="preserve"> </w:t>
      </w:r>
      <w:r w:rsidRPr="00F16251">
        <w:rPr>
          <w:rFonts w:cstheme="minorHAnsi"/>
        </w:rPr>
        <w:t>organizacje</w:t>
      </w:r>
      <w:r w:rsidR="003B50ED" w:rsidRPr="00F16251">
        <w:rPr>
          <w:rFonts w:cstheme="minorHAnsi"/>
        </w:rPr>
        <w:t xml:space="preserve"> </w:t>
      </w:r>
      <w:r w:rsidRPr="00F16251">
        <w:rPr>
          <w:rFonts w:cstheme="minorHAnsi"/>
        </w:rPr>
        <w:t>działające</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rzecz</w:t>
      </w:r>
      <w:r w:rsidR="003B50ED" w:rsidRPr="00F16251">
        <w:rPr>
          <w:rFonts w:cstheme="minorHAnsi"/>
        </w:rPr>
        <w:t xml:space="preserve"> </w:t>
      </w:r>
      <w:r w:rsidRPr="00F16251">
        <w:rPr>
          <w:rFonts w:cstheme="minorHAnsi"/>
        </w:rPr>
        <w:t>określonej</w:t>
      </w:r>
      <w:r w:rsidR="003B50ED" w:rsidRPr="00F16251">
        <w:rPr>
          <w:rFonts w:cstheme="minorHAnsi"/>
        </w:rPr>
        <w:t xml:space="preserve"> </w:t>
      </w:r>
      <w:r w:rsidRPr="00F16251">
        <w:rPr>
          <w:rFonts w:cstheme="minorHAnsi"/>
        </w:rPr>
        <w:t>miejscowości</w:t>
      </w:r>
      <w:r w:rsidR="003B50ED" w:rsidRPr="00F16251">
        <w:rPr>
          <w:rFonts w:cstheme="minorHAnsi"/>
        </w:rPr>
        <w:t xml:space="preserve"> </w:t>
      </w:r>
      <w:r w:rsidR="001D0163" w:rsidRPr="00F16251">
        <w:rPr>
          <w:rFonts w:cstheme="minorHAnsi"/>
        </w:rPr>
        <w:br/>
      </w:r>
      <w:r w:rsidRPr="00F16251">
        <w:rPr>
          <w:rFonts w:cstheme="minorHAnsi"/>
        </w:rPr>
        <w:t>i</w:t>
      </w:r>
      <w:r w:rsidR="003B50ED" w:rsidRPr="00F16251">
        <w:rPr>
          <w:rFonts w:cstheme="minorHAnsi"/>
        </w:rPr>
        <w:t xml:space="preserve"> </w:t>
      </w:r>
      <w:r w:rsidRPr="00F16251">
        <w:rPr>
          <w:rFonts w:cstheme="minorHAnsi"/>
        </w:rPr>
        <w:t>społeczności</w:t>
      </w:r>
      <w:r w:rsidR="003B50ED" w:rsidRPr="00F16251">
        <w:rPr>
          <w:rFonts w:cstheme="minorHAnsi"/>
        </w:rPr>
        <w:t xml:space="preserve"> </w:t>
      </w:r>
      <w:r w:rsidRPr="00F16251">
        <w:rPr>
          <w:rFonts w:cstheme="minorHAnsi"/>
        </w:rPr>
        <w:t>lokalnej,</w:t>
      </w:r>
      <w:r w:rsidR="003B50ED" w:rsidRPr="00F16251">
        <w:rPr>
          <w:rFonts w:cstheme="minorHAnsi"/>
        </w:rPr>
        <w:t xml:space="preserve"> </w:t>
      </w:r>
      <w:r w:rsidRPr="00F16251">
        <w:rPr>
          <w:rFonts w:cstheme="minorHAnsi"/>
        </w:rPr>
        <w:t>zajmując</w:t>
      </w:r>
      <w:r w:rsidR="003B50ED" w:rsidRPr="00F16251">
        <w:rPr>
          <w:rFonts w:cstheme="minorHAnsi"/>
        </w:rPr>
        <w:t xml:space="preserve"> </w:t>
      </w:r>
      <w:r w:rsidRPr="00F16251">
        <w:rPr>
          <w:rFonts w:cstheme="minorHAnsi"/>
        </w:rPr>
        <w:t>się</w:t>
      </w:r>
      <w:r w:rsidR="003B50ED" w:rsidRPr="00F16251">
        <w:rPr>
          <w:rFonts w:cstheme="minorHAnsi"/>
        </w:rPr>
        <w:t xml:space="preserve"> </w:t>
      </w:r>
      <w:r w:rsidRPr="00F16251">
        <w:rPr>
          <w:rFonts w:cstheme="minorHAnsi"/>
        </w:rPr>
        <w:t>szeroko</w:t>
      </w:r>
      <w:r w:rsidR="003B50ED" w:rsidRPr="00F16251">
        <w:rPr>
          <w:rFonts w:cstheme="minorHAnsi"/>
        </w:rPr>
        <w:t xml:space="preserve"> </w:t>
      </w:r>
      <w:r w:rsidRPr="00F16251">
        <w:rPr>
          <w:rFonts w:cstheme="minorHAnsi"/>
        </w:rPr>
        <w:t>rozumianym</w:t>
      </w:r>
      <w:r w:rsidR="003B50ED" w:rsidRPr="00F16251">
        <w:rPr>
          <w:rFonts w:cstheme="minorHAnsi"/>
        </w:rPr>
        <w:t xml:space="preserve"> </w:t>
      </w:r>
      <w:r w:rsidRPr="00F16251">
        <w:rPr>
          <w:rFonts w:cstheme="minorHAnsi"/>
        </w:rPr>
        <w:t>rozwojem.</w:t>
      </w:r>
      <w:r w:rsidR="003B50ED" w:rsidRPr="00F16251">
        <w:rPr>
          <w:rFonts w:cstheme="minorHAnsi"/>
        </w:rPr>
        <w:t xml:space="preserve"> </w:t>
      </w:r>
      <w:r w:rsidRPr="00F16251">
        <w:rPr>
          <w:rFonts w:cstheme="minorHAnsi"/>
        </w:rPr>
        <w:t>Dotyczą</w:t>
      </w:r>
      <w:r w:rsidR="003B50ED" w:rsidRPr="00F16251">
        <w:rPr>
          <w:rFonts w:cstheme="minorHAnsi"/>
        </w:rPr>
        <w:t xml:space="preserve"> </w:t>
      </w:r>
      <w:r w:rsidRPr="00F16251">
        <w:rPr>
          <w:rFonts w:cstheme="minorHAnsi"/>
        </w:rPr>
        <w:t>one</w:t>
      </w:r>
      <w:r w:rsidR="003B50ED" w:rsidRPr="00F16251">
        <w:rPr>
          <w:rFonts w:cstheme="minorHAnsi"/>
        </w:rPr>
        <w:t xml:space="preserve"> </w:t>
      </w:r>
      <w:r w:rsidRPr="00F16251">
        <w:rPr>
          <w:rFonts w:cstheme="minorHAnsi"/>
        </w:rPr>
        <w:t>zarówno</w:t>
      </w:r>
      <w:r w:rsidR="003B50ED" w:rsidRPr="00F16251">
        <w:rPr>
          <w:rFonts w:cstheme="minorHAnsi"/>
        </w:rPr>
        <w:t xml:space="preserve"> </w:t>
      </w:r>
      <w:r w:rsidRPr="00F16251">
        <w:rPr>
          <w:rFonts w:cstheme="minorHAnsi"/>
        </w:rPr>
        <w:t>młodzieży</w:t>
      </w:r>
      <w:r w:rsidR="003B50ED" w:rsidRPr="00F16251">
        <w:rPr>
          <w:rFonts w:cstheme="minorHAnsi"/>
        </w:rPr>
        <w:t xml:space="preserve"> </w:t>
      </w:r>
      <w:r w:rsidRPr="00F16251">
        <w:rPr>
          <w:rFonts w:cstheme="minorHAnsi"/>
        </w:rPr>
        <w:t>jak</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osób</w:t>
      </w:r>
      <w:r w:rsidR="003B50ED" w:rsidRPr="00F16251">
        <w:rPr>
          <w:rFonts w:cstheme="minorHAnsi"/>
        </w:rPr>
        <w:t xml:space="preserve"> </w:t>
      </w:r>
      <w:r w:rsidR="001D0163" w:rsidRPr="00F16251">
        <w:rPr>
          <w:rFonts w:cstheme="minorHAnsi"/>
        </w:rPr>
        <w:br/>
      </w:r>
      <w:r w:rsidRPr="00F16251">
        <w:rPr>
          <w:rFonts w:cstheme="minorHAnsi"/>
        </w:rPr>
        <w:t>w</w:t>
      </w:r>
      <w:r w:rsidR="003B50ED" w:rsidRPr="00F16251">
        <w:rPr>
          <w:rFonts w:cstheme="minorHAnsi"/>
        </w:rPr>
        <w:t xml:space="preserve"> </w:t>
      </w:r>
      <w:r w:rsidRPr="00F16251">
        <w:rPr>
          <w:rFonts w:cstheme="minorHAnsi"/>
        </w:rPr>
        <w:t>wieku</w:t>
      </w:r>
      <w:r w:rsidR="003B50ED" w:rsidRPr="00F16251">
        <w:rPr>
          <w:rFonts w:cstheme="minorHAnsi"/>
        </w:rPr>
        <w:t xml:space="preserve"> </w:t>
      </w:r>
      <w:r w:rsidRPr="00F16251">
        <w:rPr>
          <w:rFonts w:cstheme="minorHAnsi"/>
        </w:rPr>
        <w:t>senioralnym.</w:t>
      </w:r>
      <w:r w:rsidR="003B50ED" w:rsidRPr="00F16251">
        <w:rPr>
          <w:rFonts w:cstheme="minorHAnsi"/>
        </w:rPr>
        <w:t xml:space="preserve"> </w:t>
      </w:r>
      <w:r w:rsidRPr="00F16251">
        <w:rPr>
          <w:rFonts w:cstheme="minorHAnsi"/>
        </w:rPr>
        <w:t>Dla</w:t>
      </w:r>
      <w:r w:rsidR="003B50ED" w:rsidRPr="00F16251">
        <w:rPr>
          <w:rFonts w:cstheme="minorHAnsi"/>
        </w:rPr>
        <w:t xml:space="preserve"> </w:t>
      </w:r>
      <w:r w:rsidRPr="00F16251">
        <w:rPr>
          <w:rFonts w:cstheme="minorHAnsi"/>
        </w:rPr>
        <w:t>wymienionych</w:t>
      </w:r>
      <w:r w:rsidR="003B50ED" w:rsidRPr="00F16251">
        <w:rPr>
          <w:rFonts w:cstheme="minorHAnsi"/>
        </w:rPr>
        <w:t xml:space="preserve"> </w:t>
      </w:r>
      <w:r w:rsidRPr="00F16251">
        <w:rPr>
          <w:rFonts w:cstheme="minorHAnsi"/>
        </w:rPr>
        <w:t>grup</w:t>
      </w:r>
      <w:r w:rsidR="003B50ED" w:rsidRPr="00F16251">
        <w:rPr>
          <w:rFonts w:cstheme="minorHAnsi"/>
        </w:rPr>
        <w:t xml:space="preserve"> </w:t>
      </w:r>
      <w:r w:rsidRPr="00F16251">
        <w:rPr>
          <w:rFonts w:cstheme="minorHAnsi"/>
        </w:rPr>
        <w:t>organizacje</w:t>
      </w:r>
      <w:r w:rsidR="003B50ED" w:rsidRPr="00F16251">
        <w:rPr>
          <w:rFonts w:cstheme="minorHAnsi"/>
        </w:rPr>
        <w:t xml:space="preserve"> </w:t>
      </w:r>
      <w:r w:rsidRPr="00F16251">
        <w:rPr>
          <w:rFonts w:cstheme="minorHAnsi"/>
        </w:rPr>
        <w:t>realizują</w:t>
      </w:r>
      <w:r w:rsidR="003B50ED" w:rsidRPr="00F16251">
        <w:rPr>
          <w:rFonts w:cstheme="minorHAnsi"/>
        </w:rPr>
        <w:t xml:space="preserve"> </w:t>
      </w:r>
      <w:r w:rsidRPr="00F16251">
        <w:rPr>
          <w:rFonts w:cstheme="minorHAnsi"/>
        </w:rPr>
        <w:t>głównie</w:t>
      </w:r>
      <w:r w:rsidR="003B50ED" w:rsidRPr="00F16251">
        <w:rPr>
          <w:rFonts w:cstheme="minorHAnsi"/>
        </w:rPr>
        <w:t xml:space="preserve"> </w:t>
      </w:r>
      <w:r w:rsidRPr="00F16251">
        <w:rPr>
          <w:rFonts w:cstheme="minorHAnsi"/>
        </w:rPr>
        <w:t>działania</w:t>
      </w:r>
      <w:r w:rsidR="003B50ED" w:rsidRPr="00F16251">
        <w:rPr>
          <w:rFonts w:cstheme="minorHAnsi"/>
        </w:rPr>
        <w:t xml:space="preserve"> </w:t>
      </w:r>
      <w:r w:rsidRPr="00F16251">
        <w:rPr>
          <w:rFonts w:cstheme="minorHAnsi"/>
        </w:rPr>
        <w:t>o</w:t>
      </w:r>
      <w:r w:rsidR="003B50ED" w:rsidRPr="00F16251">
        <w:rPr>
          <w:rFonts w:cstheme="minorHAnsi"/>
        </w:rPr>
        <w:t xml:space="preserve"> </w:t>
      </w:r>
      <w:r w:rsidRPr="00F16251">
        <w:rPr>
          <w:rFonts w:cstheme="minorHAnsi"/>
        </w:rPr>
        <w:t>charakterze</w:t>
      </w:r>
      <w:r w:rsidR="003B50ED" w:rsidRPr="00F16251">
        <w:rPr>
          <w:rFonts w:cstheme="minorHAnsi"/>
        </w:rPr>
        <w:t xml:space="preserve"> </w:t>
      </w:r>
      <w:r w:rsidRPr="00F16251">
        <w:rPr>
          <w:rFonts w:cstheme="minorHAnsi"/>
        </w:rPr>
        <w:t>szkoleniowym</w:t>
      </w:r>
      <w:r w:rsidR="003B50ED" w:rsidRPr="00F16251">
        <w:rPr>
          <w:rFonts w:cstheme="minorHAnsi"/>
        </w:rPr>
        <w:t xml:space="preserve"> </w:t>
      </w:r>
      <w:r w:rsidR="001D0163" w:rsidRPr="00F16251">
        <w:rPr>
          <w:rFonts w:cstheme="minorHAnsi"/>
        </w:rPr>
        <w:br/>
      </w:r>
      <w:r w:rsidRPr="00F16251">
        <w:rPr>
          <w:rFonts w:cstheme="minorHAnsi"/>
        </w:rPr>
        <w:t>i</w:t>
      </w:r>
      <w:r w:rsidR="003B50ED" w:rsidRPr="00F16251">
        <w:rPr>
          <w:rFonts w:cstheme="minorHAnsi"/>
        </w:rPr>
        <w:t xml:space="preserve"> </w:t>
      </w:r>
      <w:r w:rsidRPr="00F16251">
        <w:rPr>
          <w:rFonts w:cstheme="minorHAnsi"/>
        </w:rPr>
        <w:t>warsztatowym.</w:t>
      </w:r>
      <w:r w:rsidR="003B50ED" w:rsidRPr="00F16251">
        <w:rPr>
          <w:rFonts w:cstheme="minorHAnsi"/>
        </w:rPr>
        <w:t xml:space="preserve"> </w:t>
      </w:r>
      <w:r w:rsidRPr="00F16251">
        <w:rPr>
          <w:rFonts w:cstheme="minorHAnsi"/>
        </w:rPr>
        <w:t>Mniej</w:t>
      </w:r>
      <w:r w:rsidR="003B50ED" w:rsidRPr="00F16251">
        <w:rPr>
          <w:rFonts w:cstheme="minorHAnsi"/>
        </w:rPr>
        <w:t xml:space="preserve"> </w:t>
      </w:r>
      <w:r w:rsidRPr="00F16251">
        <w:rPr>
          <w:rFonts w:cstheme="minorHAnsi"/>
        </w:rPr>
        <w:t>liczna</w:t>
      </w:r>
      <w:r w:rsidR="003B50ED" w:rsidRPr="00F16251">
        <w:rPr>
          <w:rFonts w:cstheme="minorHAnsi"/>
        </w:rPr>
        <w:t xml:space="preserve"> </w:t>
      </w:r>
      <w:r w:rsidRPr="00F16251">
        <w:rPr>
          <w:rFonts w:cstheme="minorHAnsi"/>
        </w:rPr>
        <w:t>jest</w:t>
      </w:r>
      <w:r w:rsidR="003B50ED" w:rsidRPr="00F16251">
        <w:rPr>
          <w:rFonts w:cstheme="minorHAnsi"/>
        </w:rPr>
        <w:t xml:space="preserve"> </w:t>
      </w:r>
      <w:r w:rsidRPr="00F16251">
        <w:rPr>
          <w:rFonts w:cstheme="minorHAnsi"/>
        </w:rPr>
        <w:t>grupa</w:t>
      </w:r>
      <w:r w:rsidR="003B50ED" w:rsidRPr="00F16251">
        <w:rPr>
          <w:rFonts w:cstheme="minorHAnsi"/>
        </w:rPr>
        <w:t xml:space="preserve"> </w:t>
      </w:r>
      <w:r w:rsidRPr="00F16251">
        <w:rPr>
          <w:rFonts w:cstheme="minorHAnsi"/>
        </w:rPr>
        <w:t>działań</w:t>
      </w:r>
      <w:r w:rsidR="003B50ED" w:rsidRPr="00F16251">
        <w:rPr>
          <w:rFonts w:cstheme="minorHAnsi"/>
        </w:rPr>
        <w:t xml:space="preserve"> </w:t>
      </w:r>
      <w:r w:rsidRPr="00F16251">
        <w:rPr>
          <w:rFonts w:cstheme="minorHAnsi"/>
        </w:rPr>
        <w:t>skierowana</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tych</w:t>
      </w:r>
      <w:r w:rsidR="003B50ED" w:rsidRPr="00F16251">
        <w:rPr>
          <w:rFonts w:cstheme="minorHAnsi"/>
        </w:rPr>
        <w:t xml:space="preserve"> </w:t>
      </w:r>
      <w:r w:rsidRPr="00F16251">
        <w:rPr>
          <w:rFonts w:cstheme="minorHAnsi"/>
        </w:rPr>
        <w:t>grup</w:t>
      </w:r>
      <w:r w:rsidR="003B50ED" w:rsidRPr="00F16251">
        <w:rPr>
          <w:rFonts w:cstheme="minorHAnsi"/>
        </w:rPr>
        <w:t xml:space="preserve"> </w:t>
      </w:r>
      <w:r w:rsidRPr="00F16251">
        <w:rPr>
          <w:rFonts w:cstheme="minorHAnsi"/>
        </w:rPr>
        <w:t>docelowych,</w:t>
      </w:r>
      <w:r w:rsidR="003B50ED" w:rsidRPr="00F16251">
        <w:rPr>
          <w:rFonts w:cstheme="minorHAnsi"/>
        </w:rPr>
        <w:t xml:space="preserve"> </w:t>
      </w:r>
      <w:r w:rsidRPr="00F16251">
        <w:rPr>
          <w:rFonts w:cstheme="minorHAnsi"/>
        </w:rPr>
        <w:t>lecz</w:t>
      </w:r>
      <w:r w:rsidR="003B50ED" w:rsidRPr="00F16251">
        <w:rPr>
          <w:rFonts w:cstheme="minorHAnsi"/>
        </w:rPr>
        <w:t xml:space="preserve"> </w:t>
      </w:r>
      <w:r w:rsidRPr="00F16251">
        <w:rPr>
          <w:rFonts w:cstheme="minorHAnsi"/>
        </w:rPr>
        <w:t>realizowanych</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formie</w:t>
      </w:r>
      <w:r w:rsidR="003B50ED" w:rsidRPr="00F16251">
        <w:rPr>
          <w:rFonts w:cstheme="minorHAnsi"/>
        </w:rPr>
        <w:t xml:space="preserve"> </w:t>
      </w:r>
      <w:r w:rsidRPr="00F16251">
        <w:rPr>
          <w:rFonts w:cstheme="minorHAnsi"/>
        </w:rPr>
        <w:t>działań</w:t>
      </w:r>
      <w:r w:rsidR="003B50ED" w:rsidRPr="00F16251">
        <w:rPr>
          <w:rFonts w:cstheme="minorHAnsi"/>
        </w:rPr>
        <w:t xml:space="preserve"> </w:t>
      </w:r>
      <w:r w:rsidRPr="00F16251">
        <w:rPr>
          <w:rFonts w:cstheme="minorHAnsi"/>
        </w:rPr>
        <w:t>„ciągłych”</w:t>
      </w:r>
      <w:r w:rsidR="003B50ED" w:rsidRPr="00F16251">
        <w:rPr>
          <w:rFonts w:cstheme="minorHAnsi"/>
        </w:rPr>
        <w:t xml:space="preserve"> </w:t>
      </w:r>
      <w:r w:rsidRPr="00F16251">
        <w:rPr>
          <w:rFonts w:cstheme="minorHAnsi"/>
        </w:rPr>
        <w:t>np.</w:t>
      </w:r>
      <w:r w:rsidR="003B50ED" w:rsidRPr="00F16251">
        <w:rPr>
          <w:rFonts w:cstheme="minorHAnsi"/>
        </w:rPr>
        <w:t xml:space="preserve"> </w:t>
      </w:r>
      <w:r w:rsidRPr="00F16251">
        <w:rPr>
          <w:rFonts w:cstheme="minorHAnsi"/>
        </w:rPr>
        <w:t>prowadzenie</w:t>
      </w:r>
      <w:r w:rsidR="003B50ED" w:rsidRPr="00F16251">
        <w:rPr>
          <w:rFonts w:cstheme="minorHAnsi"/>
        </w:rPr>
        <w:t xml:space="preserve"> </w:t>
      </w:r>
      <w:r w:rsidRPr="00F16251">
        <w:rPr>
          <w:rFonts w:cstheme="minorHAnsi"/>
        </w:rPr>
        <w:t>świetlicy.</w:t>
      </w:r>
      <w:r w:rsidR="003B50ED" w:rsidRPr="00F16251">
        <w:rPr>
          <w:rFonts w:cstheme="minorHAnsi"/>
        </w:rPr>
        <w:t xml:space="preserve"> </w:t>
      </w:r>
      <w:r w:rsidRPr="00F16251">
        <w:rPr>
          <w:rFonts w:cstheme="minorHAnsi"/>
        </w:rPr>
        <w:t>Problemy</w:t>
      </w:r>
      <w:r w:rsidR="003B50ED" w:rsidRPr="00F16251">
        <w:rPr>
          <w:rFonts w:cstheme="minorHAnsi"/>
        </w:rPr>
        <w:t xml:space="preserve"> </w:t>
      </w:r>
      <w:r w:rsidRPr="00F16251">
        <w:rPr>
          <w:rFonts w:cstheme="minorHAnsi"/>
        </w:rPr>
        <w:t>wskazane</w:t>
      </w:r>
      <w:r w:rsidR="003B50ED" w:rsidRPr="00F16251">
        <w:rPr>
          <w:rFonts w:cstheme="minorHAnsi"/>
        </w:rPr>
        <w:t xml:space="preserve"> </w:t>
      </w:r>
      <w:r w:rsidRPr="00F16251">
        <w:rPr>
          <w:rFonts w:cstheme="minorHAnsi"/>
        </w:rPr>
        <w:t>przez</w:t>
      </w:r>
      <w:r w:rsidR="003B50ED" w:rsidRPr="00F16251">
        <w:rPr>
          <w:rFonts w:cstheme="minorHAnsi"/>
        </w:rPr>
        <w:t xml:space="preserve"> </w:t>
      </w:r>
      <w:r w:rsidRPr="00F16251">
        <w:rPr>
          <w:rFonts w:cstheme="minorHAnsi"/>
        </w:rPr>
        <w:t>organizacje</w:t>
      </w:r>
      <w:r w:rsidR="003B50ED" w:rsidRPr="00F16251">
        <w:rPr>
          <w:rFonts w:cstheme="minorHAnsi"/>
        </w:rPr>
        <w:t xml:space="preserve"> </w:t>
      </w:r>
      <w:r w:rsidRPr="00F16251">
        <w:rPr>
          <w:rFonts w:cstheme="minorHAnsi"/>
        </w:rPr>
        <w:t>pokazują</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postrzeganie</w:t>
      </w:r>
      <w:r w:rsidR="003B50ED" w:rsidRPr="00F16251">
        <w:rPr>
          <w:rFonts w:cstheme="minorHAnsi"/>
        </w:rPr>
        <w:t xml:space="preserve"> </w:t>
      </w:r>
      <w:r w:rsidRPr="00F16251">
        <w:rPr>
          <w:rFonts w:cstheme="minorHAnsi"/>
        </w:rPr>
        <w:t>przez</w:t>
      </w:r>
      <w:r w:rsidR="003B50ED" w:rsidRPr="00F16251">
        <w:rPr>
          <w:rFonts w:cstheme="minorHAnsi"/>
        </w:rPr>
        <w:t xml:space="preserve"> </w:t>
      </w:r>
      <w:r w:rsidRPr="00F16251">
        <w:rPr>
          <w:rFonts w:cstheme="minorHAnsi"/>
        </w:rPr>
        <w:t>nie</w:t>
      </w:r>
      <w:r w:rsidR="003B50ED" w:rsidRPr="00F16251">
        <w:rPr>
          <w:rFonts w:cstheme="minorHAnsi"/>
        </w:rPr>
        <w:t xml:space="preserve"> </w:t>
      </w:r>
      <w:r w:rsidRPr="00F16251">
        <w:rPr>
          <w:rFonts w:cstheme="minorHAnsi"/>
        </w:rPr>
        <w:t>procedur</w:t>
      </w:r>
      <w:r w:rsidR="003B50ED" w:rsidRPr="00F16251">
        <w:rPr>
          <w:rFonts w:cstheme="minorHAnsi"/>
        </w:rPr>
        <w:t xml:space="preserve"> </w:t>
      </w:r>
      <w:r w:rsidRPr="00F16251">
        <w:rPr>
          <w:rFonts w:cstheme="minorHAnsi"/>
        </w:rPr>
        <w:t>ubiegania</w:t>
      </w:r>
      <w:r w:rsidR="003B50ED" w:rsidRPr="00F16251">
        <w:rPr>
          <w:rFonts w:cstheme="minorHAnsi"/>
        </w:rPr>
        <w:t xml:space="preserve"> </w:t>
      </w:r>
      <w:r w:rsidRPr="00F16251">
        <w:rPr>
          <w:rFonts w:cstheme="minorHAnsi"/>
        </w:rPr>
        <w:t>się</w:t>
      </w:r>
      <w:r w:rsidR="003B50ED" w:rsidRPr="00F16251">
        <w:rPr>
          <w:rFonts w:cstheme="minorHAnsi"/>
        </w:rPr>
        <w:t xml:space="preserve"> </w:t>
      </w:r>
      <w:r w:rsidRPr="00F16251">
        <w:rPr>
          <w:rFonts w:cstheme="minorHAnsi"/>
        </w:rPr>
        <w:t>o</w:t>
      </w:r>
      <w:r w:rsidR="003B50ED" w:rsidRPr="00F16251">
        <w:rPr>
          <w:rFonts w:cstheme="minorHAnsi"/>
        </w:rPr>
        <w:t xml:space="preserve"> </w:t>
      </w:r>
      <w:r w:rsidRPr="00F16251">
        <w:rPr>
          <w:rFonts w:cstheme="minorHAnsi"/>
        </w:rPr>
        <w:t>środki</w:t>
      </w:r>
      <w:r w:rsidR="003B50ED" w:rsidRPr="00F16251">
        <w:rPr>
          <w:rFonts w:cstheme="minorHAnsi"/>
        </w:rPr>
        <w:t xml:space="preserve"> </w:t>
      </w:r>
      <w:r w:rsidRPr="00F16251">
        <w:rPr>
          <w:rFonts w:cstheme="minorHAnsi"/>
        </w:rPr>
        <w:t>zewnętrzne</w:t>
      </w:r>
      <w:r w:rsidR="003B50ED" w:rsidRPr="00F16251">
        <w:rPr>
          <w:rFonts w:cstheme="minorHAnsi"/>
        </w:rPr>
        <w:t xml:space="preserve"> </w:t>
      </w:r>
      <w:r w:rsidRPr="00F16251">
        <w:rPr>
          <w:rFonts w:cstheme="minorHAnsi"/>
        </w:rPr>
        <w:t>jako</w:t>
      </w:r>
      <w:r w:rsidR="003B50ED" w:rsidRPr="00F16251">
        <w:rPr>
          <w:rFonts w:cstheme="minorHAnsi"/>
        </w:rPr>
        <w:t xml:space="preserve"> </w:t>
      </w:r>
      <w:r w:rsidRPr="00F16251">
        <w:rPr>
          <w:rFonts w:cstheme="minorHAnsi"/>
        </w:rPr>
        <w:t>zbyt</w:t>
      </w:r>
      <w:r w:rsidR="003B50ED" w:rsidRPr="00F16251">
        <w:rPr>
          <w:rFonts w:cstheme="minorHAnsi"/>
        </w:rPr>
        <w:t xml:space="preserve"> </w:t>
      </w:r>
      <w:r w:rsidRPr="00F16251">
        <w:rPr>
          <w:rFonts w:cstheme="minorHAnsi"/>
        </w:rPr>
        <w:t>zbiurokratyzowane</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problematyczne,</w:t>
      </w:r>
      <w:r w:rsidR="003B50ED" w:rsidRPr="00F16251">
        <w:rPr>
          <w:rFonts w:cstheme="minorHAnsi"/>
        </w:rPr>
        <w:t xml:space="preserve"> </w:t>
      </w:r>
      <w:r w:rsidRPr="00F16251">
        <w:rPr>
          <w:rFonts w:cstheme="minorHAnsi"/>
        </w:rPr>
        <w:t>co</w:t>
      </w:r>
      <w:r w:rsidR="003B50ED" w:rsidRPr="00F16251">
        <w:rPr>
          <w:rFonts w:cstheme="minorHAnsi"/>
        </w:rPr>
        <w:t xml:space="preserve"> </w:t>
      </w:r>
      <w:r w:rsidRPr="00F16251">
        <w:rPr>
          <w:rFonts w:cstheme="minorHAnsi"/>
        </w:rPr>
        <w:t>przekłada</w:t>
      </w:r>
      <w:r w:rsidR="003B50ED" w:rsidRPr="00F16251">
        <w:rPr>
          <w:rFonts w:cstheme="minorHAnsi"/>
        </w:rPr>
        <w:t xml:space="preserve"> </w:t>
      </w:r>
      <w:r w:rsidRPr="00F16251">
        <w:rPr>
          <w:rFonts w:cstheme="minorHAnsi"/>
        </w:rPr>
        <w:t>się</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trudności</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ich</w:t>
      </w:r>
      <w:r w:rsidR="003B50ED" w:rsidRPr="00F16251">
        <w:rPr>
          <w:rFonts w:cstheme="minorHAnsi"/>
        </w:rPr>
        <w:t xml:space="preserve"> </w:t>
      </w:r>
      <w:r w:rsidRPr="00F16251">
        <w:rPr>
          <w:rFonts w:cstheme="minorHAnsi"/>
        </w:rPr>
        <w:t>zdobywaniu.</w:t>
      </w:r>
      <w:r w:rsidR="003B50ED" w:rsidRPr="00F16251">
        <w:rPr>
          <w:rFonts w:cstheme="minorHAnsi"/>
        </w:rPr>
        <w:t xml:space="preserve"> </w:t>
      </w:r>
      <w:r w:rsidRPr="00F16251">
        <w:rPr>
          <w:rFonts w:cstheme="minorHAnsi"/>
        </w:rPr>
        <w:t>Innymi</w:t>
      </w:r>
      <w:r w:rsidR="003B50ED" w:rsidRPr="00F16251">
        <w:rPr>
          <w:rFonts w:cstheme="minorHAnsi"/>
        </w:rPr>
        <w:t xml:space="preserve"> </w:t>
      </w:r>
      <w:r w:rsidRPr="00F16251">
        <w:rPr>
          <w:rFonts w:cstheme="minorHAnsi"/>
        </w:rPr>
        <w:t>podstawowymi</w:t>
      </w:r>
      <w:r w:rsidR="003B50ED" w:rsidRPr="00F16251">
        <w:rPr>
          <w:rFonts w:cstheme="minorHAnsi"/>
        </w:rPr>
        <w:t xml:space="preserve"> </w:t>
      </w:r>
      <w:r w:rsidRPr="00F16251">
        <w:rPr>
          <w:rFonts w:cstheme="minorHAnsi"/>
        </w:rPr>
        <w:t>problemami,</w:t>
      </w:r>
      <w:r w:rsidR="003B50ED" w:rsidRPr="00F16251">
        <w:rPr>
          <w:rFonts w:cstheme="minorHAnsi"/>
        </w:rPr>
        <w:t xml:space="preserve"> </w:t>
      </w:r>
      <w:r w:rsidRPr="00F16251">
        <w:rPr>
          <w:rFonts w:cstheme="minorHAnsi"/>
        </w:rPr>
        <w:t>które</w:t>
      </w:r>
      <w:r w:rsidR="003B50ED" w:rsidRPr="00F16251">
        <w:rPr>
          <w:rFonts w:cstheme="minorHAnsi"/>
        </w:rPr>
        <w:t xml:space="preserve"> </w:t>
      </w:r>
      <w:r w:rsidRPr="00F16251">
        <w:rPr>
          <w:rFonts w:cstheme="minorHAnsi"/>
        </w:rPr>
        <w:t>napotykają</w:t>
      </w:r>
      <w:r w:rsidR="003B50ED" w:rsidRPr="00F16251">
        <w:rPr>
          <w:rFonts w:cstheme="minorHAnsi"/>
        </w:rPr>
        <w:t xml:space="preserve"> </w:t>
      </w:r>
      <w:r w:rsidRPr="00F16251">
        <w:rPr>
          <w:rFonts w:cstheme="minorHAnsi"/>
        </w:rPr>
        <w:t>organizacje</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swoim</w:t>
      </w:r>
      <w:r w:rsidR="003B50ED" w:rsidRPr="00F16251">
        <w:rPr>
          <w:rFonts w:cstheme="minorHAnsi"/>
        </w:rPr>
        <w:t xml:space="preserve"> </w:t>
      </w:r>
      <w:r w:rsidRPr="00F16251">
        <w:rPr>
          <w:rFonts w:cstheme="minorHAnsi"/>
        </w:rPr>
        <w:t>działaniu</w:t>
      </w:r>
      <w:r w:rsidR="003B50ED" w:rsidRPr="00F16251">
        <w:rPr>
          <w:rFonts w:cstheme="minorHAnsi"/>
        </w:rPr>
        <w:t xml:space="preserve"> </w:t>
      </w:r>
      <w:r w:rsidRPr="00F16251">
        <w:rPr>
          <w:rFonts w:cstheme="minorHAnsi"/>
        </w:rPr>
        <w:t>są</w:t>
      </w:r>
      <w:r w:rsidR="003B50ED" w:rsidRPr="00F16251">
        <w:rPr>
          <w:rFonts w:cstheme="minorHAnsi"/>
        </w:rPr>
        <w:t xml:space="preserve"> </w:t>
      </w:r>
      <w:r w:rsidRPr="00F16251">
        <w:rPr>
          <w:rFonts w:cstheme="minorHAnsi"/>
        </w:rPr>
        <w:t>te</w:t>
      </w:r>
      <w:r w:rsidR="003B50ED" w:rsidRPr="00F16251">
        <w:rPr>
          <w:rFonts w:cstheme="minorHAnsi"/>
        </w:rPr>
        <w:t xml:space="preserve"> </w:t>
      </w:r>
      <w:r w:rsidRPr="00F16251">
        <w:rPr>
          <w:rFonts w:cstheme="minorHAnsi"/>
        </w:rPr>
        <w:t>związane</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trudnościami</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utrzymaniu</w:t>
      </w:r>
      <w:r w:rsidR="003B50ED" w:rsidRPr="00F16251">
        <w:rPr>
          <w:rFonts w:cstheme="minorHAnsi"/>
        </w:rPr>
        <w:t xml:space="preserve"> </w:t>
      </w:r>
      <w:r w:rsidRPr="00F16251">
        <w:rPr>
          <w:rFonts w:cstheme="minorHAnsi"/>
        </w:rPr>
        <w:t>personelu,</w:t>
      </w:r>
      <w:r w:rsidR="003B50ED" w:rsidRPr="00F16251">
        <w:rPr>
          <w:rFonts w:cstheme="minorHAnsi"/>
        </w:rPr>
        <w:t xml:space="preserve"> </w:t>
      </w:r>
      <w:r w:rsidRPr="00F16251">
        <w:rPr>
          <w:rFonts w:cstheme="minorHAnsi"/>
        </w:rPr>
        <w:t>członków,</w:t>
      </w:r>
      <w:r w:rsidR="003B50ED" w:rsidRPr="00F16251">
        <w:rPr>
          <w:rFonts w:cstheme="minorHAnsi"/>
        </w:rPr>
        <w:t xml:space="preserve"> </w:t>
      </w:r>
      <w:r w:rsidRPr="00F16251">
        <w:rPr>
          <w:rFonts w:cstheme="minorHAnsi"/>
        </w:rPr>
        <w:t>wolontariuszy</w:t>
      </w:r>
      <w:r w:rsidR="003B50ED" w:rsidRPr="00F16251">
        <w:rPr>
          <w:rFonts w:cstheme="minorHAnsi"/>
        </w:rPr>
        <w:t xml:space="preserve"> </w:t>
      </w:r>
      <w:r w:rsidRPr="00F16251">
        <w:rPr>
          <w:rFonts w:cstheme="minorHAnsi"/>
        </w:rPr>
        <w:t>oraz</w:t>
      </w:r>
      <w:r w:rsidR="003B50ED" w:rsidRPr="00F16251">
        <w:rPr>
          <w:rFonts w:cstheme="minorHAnsi"/>
        </w:rPr>
        <w:t xml:space="preserve"> </w:t>
      </w:r>
      <w:r w:rsidRPr="00F16251">
        <w:rPr>
          <w:rFonts w:cstheme="minorHAnsi"/>
        </w:rPr>
        <w:t>związane</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pozyskiwaniem</w:t>
      </w:r>
      <w:r w:rsidR="003B50ED" w:rsidRPr="00F16251">
        <w:rPr>
          <w:rFonts w:cstheme="minorHAnsi"/>
        </w:rPr>
        <w:t xml:space="preserve"> </w:t>
      </w:r>
      <w:r w:rsidRPr="00F16251">
        <w:rPr>
          <w:rFonts w:cstheme="minorHAnsi"/>
        </w:rPr>
        <w:t>funduszy</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sprzętu</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działalność.</w:t>
      </w:r>
      <w:r w:rsidR="003B50ED" w:rsidRPr="00F16251">
        <w:rPr>
          <w:rFonts w:cstheme="minorHAnsi"/>
        </w:rPr>
        <w:t xml:space="preserve"> </w:t>
      </w:r>
      <w:r w:rsidRPr="00F16251">
        <w:rPr>
          <w:rFonts w:cstheme="minorHAnsi"/>
        </w:rPr>
        <w:t>Jeśli</w:t>
      </w:r>
      <w:r w:rsidR="003B50ED" w:rsidRPr="00F16251">
        <w:rPr>
          <w:rFonts w:cstheme="minorHAnsi"/>
        </w:rPr>
        <w:t xml:space="preserve"> </w:t>
      </w:r>
      <w:r w:rsidRPr="00F16251">
        <w:rPr>
          <w:rFonts w:cstheme="minorHAnsi"/>
        </w:rPr>
        <w:t>chodzi</w:t>
      </w:r>
      <w:r w:rsidR="003B50ED" w:rsidRPr="00F16251">
        <w:rPr>
          <w:rFonts w:cstheme="minorHAnsi"/>
        </w:rPr>
        <w:t xml:space="preserve"> </w:t>
      </w:r>
      <w:r w:rsidRPr="00F16251">
        <w:rPr>
          <w:rFonts w:cstheme="minorHAnsi"/>
        </w:rPr>
        <w:t>o</w:t>
      </w:r>
      <w:r w:rsidR="003B50ED" w:rsidRPr="00F16251">
        <w:rPr>
          <w:rFonts w:cstheme="minorHAnsi"/>
        </w:rPr>
        <w:t xml:space="preserve"> </w:t>
      </w:r>
      <w:r w:rsidRPr="00F16251">
        <w:rPr>
          <w:rFonts w:cstheme="minorHAnsi"/>
        </w:rPr>
        <w:t>potrzeby</w:t>
      </w:r>
      <w:r w:rsidR="003B50ED" w:rsidRPr="00F16251">
        <w:rPr>
          <w:rFonts w:cstheme="minorHAnsi"/>
        </w:rPr>
        <w:t xml:space="preserve"> </w:t>
      </w:r>
      <w:r w:rsidRPr="00F16251">
        <w:rPr>
          <w:rFonts w:cstheme="minorHAnsi"/>
        </w:rPr>
        <w:t>szkoleniowe</w:t>
      </w:r>
      <w:r w:rsidR="003B50ED" w:rsidRPr="00F16251">
        <w:rPr>
          <w:rFonts w:cstheme="minorHAnsi"/>
        </w:rPr>
        <w:t xml:space="preserve"> </w:t>
      </w:r>
      <w:r w:rsidRPr="00F16251">
        <w:rPr>
          <w:rFonts w:cstheme="minorHAnsi"/>
        </w:rPr>
        <w:t>organizacje</w:t>
      </w:r>
      <w:r w:rsidR="003B50ED" w:rsidRPr="00F16251">
        <w:rPr>
          <w:rFonts w:cstheme="minorHAnsi"/>
        </w:rPr>
        <w:t xml:space="preserve"> </w:t>
      </w:r>
      <w:r w:rsidRPr="00F16251">
        <w:rPr>
          <w:rFonts w:cstheme="minorHAnsi"/>
        </w:rPr>
        <w:t>wskazywały</w:t>
      </w:r>
      <w:r w:rsidR="003B50ED" w:rsidRPr="00F16251">
        <w:rPr>
          <w:rFonts w:cstheme="minorHAnsi"/>
        </w:rPr>
        <w:t xml:space="preserve"> </w:t>
      </w:r>
      <w:r w:rsidRPr="00F16251">
        <w:rPr>
          <w:rFonts w:cstheme="minorHAnsi"/>
        </w:rPr>
        <w:t>głównie</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szkolenia</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zakresu</w:t>
      </w:r>
      <w:r w:rsidR="003B50ED" w:rsidRPr="00F16251">
        <w:rPr>
          <w:rFonts w:cstheme="minorHAnsi"/>
        </w:rPr>
        <w:t xml:space="preserve"> </w:t>
      </w:r>
      <w:r w:rsidRPr="00F16251">
        <w:rPr>
          <w:rFonts w:cstheme="minorHAnsi"/>
        </w:rPr>
        <w:t>prowadzenia</w:t>
      </w:r>
      <w:r w:rsidR="003B50ED" w:rsidRPr="00F16251">
        <w:rPr>
          <w:rFonts w:cstheme="minorHAnsi"/>
        </w:rPr>
        <w:t xml:space="preserve"> </w:t>
      </w:r>
      <w:r w:rsidRPr="00F16251">
        <w:rPr>
          <w:rFonts w:cstheme="minorHAnsi"/>
        </w:rPr>
        <w:t>księgowości</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organizacjach</w:t>
      </w:r>
      <w:r w:rsidR="003B50ED" w:rsidRPr="00F16251">
        <w:rPr>
          <w:rFonts w:cstheme="minorHAnsi"/>
        </w:rPr>
        <w:t xml:space="preserve"> </w:t>
      </w:r>
      <w:r w:rsidRPr="00F16251">
        <w:rPr>
          <w:rFonts w:cstheme="minorHAnsi"/>
        </w:rPr>
        <w:t>oraz</w:t>
      </w:r>
      <w:r w:rsidR="003B50ED" w:rsidRPr="00F16251">
        <w:rPr>
          <w:rFonts w:cstheme="minorHAnsi"/>
        </w:rPr>
        <w:t xml:space="preserve"> </w:t>
      </w:r>
      <w:r w:rsidRPr="00F16251">
        <w:rPr>
          <w:rFonts w:cstheme="minorHAnsi"/>
        </w:rPr>
        <w:t>zdobywania</w:t>
      </w:r>
      <w:r w:rsidR="003B50ED" w:rsidRPr="00F16251">
        <w:rPr>
          <w:rFonts w:cstheme="minorHAnsi"/>
        </w:rPr>
        <w:t xml:space="preserve"> </w:t>
      </w:r>
      <w:r w:rsidRPr="00F16251">
        <w:rPr>
          <w:rFonts w:cstheme="minorHAnsi"/>
        </w:rPr>
        <w:t>środków</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działalność</w:t>
      </w:r>
      <w:r w:rsidR="003B50ED" w:rsidRPr="00F16251">
        <w:rPr>
          <w:rFonts w:cstheme="minorHAnsi"/>
        </w:rPr>
        <w:t xml:space="preserve"> </w:t>
      </w:r>
      <w:r w:rsidRPr="00F16251">
        <w:rPr>
          <w:rFonts w:cstheme="minorHAnsi"/>
        </w:rPr>
        <w:t>organizacji.</w:t>
      </w:r>
      <w:r w:rsidR="003B50ED" w:rsidRPr="00F16251">
        <w:rPr>
          <w:rFonts w:cstheme="minorHAnsi"/>
        </w:rPr>
        <w:t xml:space="preserve"> </w:t>
      </w:r>
    </w:p>
    <w:p w14:paraId="630D688F" w14:textId="77777777" w:rsidR="00224658" w:rsidRPr="00F16251" w:rsidRDefault="00224658" w:rsidP="00A26C26">
      <w:pPr>
        <w:spacing w:line="276" w:lineRule="auto"/>
        <w:rPr>
          <w:rFonts w:cstheme="minorHAnsi"/>
        </w:rPr>
      </w:pPr>
    </w:p>
    <w:p w14:paraId="5296D19C" w14:textId="2838ED57" w:rsidR="00224658" w:rsidRPr="00F16251" w:rsidRDefault="00224658" w:rsidP="008A412F">
      <w:pPr>
        <w:pStyle w:val="Nagwek2"/>
        <w:numPr>
          <w:ilvl w:val="0"/>
          <w:numId w:val="11"/>
        </w:numPr>
        <w:spacing w:before="0" w:line="276" w:lineRule="auto"/>
        <w:rPr>
          <w:rFonts w:asciiTheme="minorHAnsi" w:hAnsiTheme="minorHAnsi" w:cstheme="minorHAnsi"/>
          <w:b/>
          <w:bCs/>
          <w:sz w:val="22"/>
          <w:szCs w:val="22"/>
        </w:rPr>
      </w:pPr>
      <w:bookmarkStart w:id="52" w:name="_Toc136260199"/>
      <w:bookmarkStart w:id="53" w:name="_Toc136944409"/>
      <w:r w:rsidRPr="00F16251">
        <w:rPr>
          <w:rFonts w:asciiTheme="minorHAnsi" w:hAnsiTheme="minorHAnsi" w:cstheme="minorHAnsi"/>
          <w:b/>
          <w:bCs/>
          <w:sz w:val="22"/>
          <w:szCs w:val="22"/>
        </w:rPr>
        <w:t>Problemy</w:t>
      </w:r>
      <w:r w:rsidR="003B50ED" w:rsidRPr="00F16251">
        <w:rPr>
          <w:rFonts w:asciiTheme="minorHAnsi" w:hAnsiTheme="minorHAnsi" w:cstheme="minorHAnsi"/>
          <w:b/>
          <w:bCs/>
          <w:sz w:val="22"/>
          <w:szCs w:val="22"/>
        </w:rPr>
        <w:t xml:space="preserve"> </w:t>
      </w:r>
      <w:r w:rsidRPr="00F16251">
        <w:rPr>
          <w:rFonts w:asciiTheme="minorHAnsi" w:hAnsiTheme="minorHAnsi" w:cstheme="minorHAnsi"/>
          <w:b/>
          <w:bCs/>
          <w:sz w:val="22"/>
          <w:szCs w:val="22"/>
        </w:rPr>
        <w:t>społeczne</w:t>
      </w:r>
      <w:bookmarkEnd w:id="52"/>
      <w:bookmarkEnd w:id="53"/>
    </w:p>
    <w:p w14:paraId="7EF441CF" w14:textId="37DE6257" w:rsidR="00224658" w:rsidRPr="00F16251" w:rsidRDefault="00224658" w:rsidP="00A26C26">
      <w:pPr>
        <w:spacing w:line="276" w:lineRule="auto"/>
        <w:ind w:firstLine="360"/>
        <w:jc w:val="both"/>
        <w:rPr>
          <w:rFonts w:cstheme="minorHAnsi"/>
        </w:rPr>
      </w:pPr>
      <w:r w:rsidRPr="00F16251">
        <w:rPr>
          <w:rFonts w:cstheme="minorHAnsi"/>
        </w:rPr>
        <w:t>Głównym</w:t>
      </w:r>
      <w:r w:rsidR="003B50ED" w:rsidRPr="00F16251">
        <w:rPr>
          <w:rFonts w:cstheme="minorHAnsi"/>
        </w:rPr>
        <w:t xml:space="preserve"> </w:t>
      </w:r>
      <w:r w:rsidRPr="00F16251">
        <w:rPr>
          <w:rFonts w:cstheme="minorHAnsi"/>
        </w:rPr>
        <w:t>problemem</w:t>
      </w:r>
      <w:r w:rsidR="003B50ED" w:rsidRPr="00F16251">
        <w:rPr>
          <w:rFonts w:cstheme="minorHAnsi"/>
        </w:rPr>
        <w:t xml:space="preserve"> </w:t>
      </w:r>
      <w:r w:rsidRPr="00F16251">
        <w:rPr>
          <w:rFonts w:cstheme="minorHAnsi"/>
        </w:rPr>
        <w:t>społecznym</w:t>
      </w:r>
      <w:r w:rsidR="003B50ED" w:rsidRPr="00F16251">
        <w:rPr>
          <w:rFonts w:cstheme="minorHAnsi"/>
        </w:rPr>
        <w:t xml:space="preserve"> </w:t>
      </w:r>
      <w:r w:rsidRPr="00F16251">
        <w:rPr>
          <w:rFonts w:cstheme="minorHAnsi"/>
        </w:rPr>
        <w:t>zdiagnozowanym</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obszarze</w:t>
      </w:r>
      <w:r w:rsidR="003B50ED" w:rsidRPr="00F16251">
        <w:rPr>
          <w:rFonts w:cstheme="minorHAnsi"/>
        </w:rPr>
        <w:t xml:space="preserve"> </w:t>
      </w:r>
      <w:r w:rsidRPr="00F16251">
        <w:rPr>
          <w:rFonts w:cstheme="minorHAnsi"/>
        </w:rPr>
        <w:t>działania</w:t>
      </w:r>
      <w:r w:rsidR="003B50ED" w:rsidRPr="00F16251">
        <w:rPr>
          <w:rFonts w:cstheme="minorHAnsi"/>
        </w:rPr>
        <w:t xml:space="preserve"> </w:t>
      </w:r>
      <w:r w:rsidRPr="00F16251">
        <w:rPr>
          <w:rFonts w:cstheme="minorHAnsi"/>
        </w:rPr>
        <w:t>LGD</w:t>
      </w:r>
      <w:r w:rsidR="003B50ED" w:rsidRPr="00F16251">
        <w:rPr>
          <w:rFonts w:cstheme="minorHAnsi"/>
        </w:rPr>
        <w:t xml:space="preserve"> </w:t>
      </w:r>
      <w:r w:rsidRPr="00F16251">
        <w:rPr>
          <w:rFonts w:cstheme="minorHAnsi"/>
        </w:rPr>
        <w:t>„Solidarni</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Partnerstwie”</w:t>
      </w:r>
      <w:r w:rsidR="003B50ED" w:rsidRPr="00F16251">
        <w:rPr>
          <w:rFonts w:cstheme="minorHAnsi"/>
        </w:rPr>
        <w:t xml:space="preserve"> </w:t>
      </w:r>
      <w:r w:rsidRPr="00F16251">
        <w:rPr>
          <w:rFonts w:cstheme="minorHAnsi"/>
        </w:rPr>
        <w:t>jest</w:t>
      </w:r>
      <w:r w:rsidR="003B50ED" w:rsidRPr="00F16251">
        <w:rPr>
          <w:rFonts w:cstheme="minorHAnsi"/>
        </w:rPr>
        <w:t xml:space="preserve"> </w:t>
      </w:r>
      <w:r w:rsidRPr="00F16251">
        <w:rPr>
          <w:rFonts w:cstheme="minorHAnsi"/>
        </w:rPr>
        <w:t>starzenie</w:t>
      </w:r>
      <w:r w:rsidR="003B50ED" w:rsidRPr="00F16251">
        <w:rPr>
          <w:rFonts w:cstheme="minorHAnsi"/>
        </w:rPr>
        <w:t xml:space="preserve"> </w:t>
      </w:r>
      <w:r w:rsidRPr="00F16251">
        <w:rPr>
          <w:rFonts w:cstheme="minorHAnsi"/>
        </w:rPr>
        <w:t>się</w:t>
      </w:r>
      <w:r w:rsidR="003B50ED" w:rsidRPr="00F16251">
        <w:rPr>
          <w:rFonts w:cstheme="minorHAnsi"/>
        </w:rPr>
        <w:t xml:space="preserve"> </w:t>
      </w:r>
      <w:r w:rsidRPr="00F16251">
        <w:rPr>
          <w:rFonts w:cstheme="minorHAnsi"/>
        </w:rPr>
        <w:t>społeczeństwa.</w:t>
      </w:r>
      <w:r w:rsidR="003B50ED" w:rsidRPr="00F16251">
        <w:rPr>
          <w:rFonts w:cstheme="minorHAnsi"/>
        </w:rPr>
        <w:t xml:space="preserve"> </w:t>
      </w:r>
      <w:r w:rsidRPr="00F16251">
        <w:rPr>
          <w:rFonts w:cstheme="minorHAnsi"/>
        </w:rPr>
        <w:t>Ten</w:t>
      </w:r>
      <w:r w:rsidR="003B50ED" w:rsidRPr="00F16251">
        <w:rPr>
          <w:rFonts w:cstheme="minorHAnsi"/>
        </w:rPr>
        <w:t xml:space="preserve"> </w:t>
      </w:r>
      <w:r w:rsidRPr="00F16251">
        <w:rPr>
          <w:rFonts w:cstheme="minorHAnsi"/>
        </w:rPr>
        <w:t>niekorzystny</w:t>
      </w:r>
      <w:r w:rsidR="003B50ED" w:rsidRPr="00F16251">
        <w:rPr>
          <w:rFonts w:cstheme="minorHAnsi"/>
        </w:rPr>
        <w:t xml:space="preserve"> </w:t>
      </w:r>
      <w:r w:rsidRPr="00F16251">
        <w:rPr>
          <w:rFonts w:cstheme="minorHAnsi"/>
        </w:rPr>
        <w:t>trend</w:t>
      </w:r>
      <w:r w:rsidR="003B50ED" w:rsidRPr="00F16251">
        <w:rPr>
          <w:rFonts w:cstheme="minorHAnsi"/>
        </w:rPr>
        <w:t xml:space="preserve"> </w:t>
      </w:r>
      <w:r w:rsidRPr="00F16251">
        <w:rPr>
          <w:rFonts w:cstheme="minorHAnsi"/>
        </w:rPr>
        <w:t>dotyczy</w:t>
      </w:r>
      <w:r w:rsidR="003B50ED" w:rsidRPr="00F16251">
        <w:rPr>
          <w:rFonts w:cstheme="minorHAnsi"/>
        </w:rPr>
        <w:t xml:space="preserve"> </w:t>
      </w:r>
      <w:r w:rsidRPr="00F16251">
        <w:rPr>
          <w:rFonts w:cstheme="minorHAnsi"/>
        </w:rPr>
        <w:t>całego</w:t>
      </w:r>
      <w:r w:rsidR="003B50ED" w:rsidRPr="00F16251">
        <w:rPr>
          <w:rFonts w:cstheme="minorHAnsi"/>
        </w:rPr>
        <w:t xml:space="preserve"> </w:t>
      </w:r>
      <w:r w:rsidRPr="00F16251">
        <w:rPr>
          <w:rFonts w:cstheme="minorHAnsi"/>
        </w:rPr>
        <w:t>kraju.</w:t>
      </w:r>
      <w:r w:rsidR="003B50ED" w:rsidRPr="00F16251">
        <w:rPr>
          <w:rFonts w:cstheme="minorHAnsi"/>
        </w:rPr>
        <w:t xml:space="preserve"> </w:t>
      </w:r>
      <w:r w:rsidRPr="00F16251">
        <w:rPr>
          <w:rFonts w:cstheme="minorHAnsi"/>
        </w:rPr>
        <w:t>Będzie</w:t>
      </w:r>
      <w:r w:rsidR="003B50ED" w:rsidRPr="00F16251">
        <w:rPr>
          <w:rFonts w:cstheme="minorHAnsi"/>
        </w:rPr>
        <w:t xml:space="preserve"> </w:t>
      </w:r>
      <w:r w:rsidRPr="00F16251">
        <w:rPr>
          <w:rFonts w:cstheme="minorHAnsi"/>
        </w:rPr>
        <w:t>to</w:t>
      </w:r>
      <w:r w:rsidR="003B50ED" w:rsidRPr="00F16251">
        <w:rPr>
          <w:rFonts w:cstheme="minorHAnsi"/>
        </w:rPr>
        <w:t xml:space="preserve"> </w:t>
      </w:r>
      <w:r w:rsidRPr="00F16251">
        <w:rPr>
          <w:rFonts w:cstheme="minorHAnsi"/>
        </w:rPr>
        <w:t>miało</w:t>
      </w:r>
      <w:r w:rsidR="003B50ED" w:rsidRPr="00F16251">
        <w:rPr>
          <w:rFonts w:cstheme="minorHAnsi"/>
        </w:rPr>
        <w:t xml:space="preserve"> </w:t>
      </w:r>
      <w:r w:rsidRPr="00F16251">
        <w:rPr>
          <w:rFonts w:cstheme="minorHAnsi"/>
        </w:rPr>
        <w:t>swoje</w:t>
      </w:r>
      <w:r w:rsidR="003B50ED" w:rsidRPr="00F16251">
        <w:rPr>
          <w:rFonts w:cstheme="minorHAnsi"/>
        </w:rPr>
        <w:t xml:space="preserve"> </w:t>
      </w:r>
      <w:r w:rsidRPr="00F16251">
        <w:rPr>
          <w:rFonts w:cstheme="minorHAnsi"/>
        </w:rPr>
        <w:t>konsekwencje</w:t>
      </w:r>
      <w:r w:rsidR="003B50ED" w:rsidRPr="00F16251">
        <w:rPr>
          <w:rFonts w:cstheme="minorHAnsi"/>
        </w:rPr>
        <w:t xml:space="preserve"> </w:t>
      </w:r>
      <w:r w:rsidRPr="00F16251">
        <w:rPr>
          <w:rFonts w:cstheme="minorHAnsi"/>
        </w:rPr>
        <w:t>we</w:t>
      </w:r>
      <w:r w:rsidR="003B50ED" w:rsidRPr="00F16251">
        <w:rPr>
          <w:rFonts w:cstheme="minorHAnsi"/>
        </w:rPr>
        <w:t xml:space="preserve"> </w:t>
      </w:r>
      <w:r w:rsidRPr="00F16251">
        <w:rPr>
          <w:rFonts w:cstheme="minorHAnsi"/>
        </w:rPr>
        <w:t>wzroście</w:t>
      </w:r>
      <w:r w:rsidR="003B50ED" w:rsidRPr="00F16251">
        <w:rPr>
          <w:rFonts w:cstheme="minorHAnsi"/>
        </w:rPr>
        <w:t xml:space="preserve"> </w:t>
      </w:r>
      <w:r w:rsidRPr="00F16251">
        <w:rPr>
          <w:rFonts w:cstheme="minorHAnsi"/>
        </w:rPr>
        <w:t>zapotrzebowania</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usługi</w:t>
      </w:r>
      <w:r w:rsidR="003B50ED" w:rsidRPr="00F16251">
        <w:rPr>
          <w:rFonts w:cstheme="minorHAnsi"/>
        </w:rPr>
        <w:t xml:space="preserve"> </w:t>
      </w:r>
      <w:r w:rsidRPr="00F16251">
        <w:rPr>
          <w:rFonts w:cstheme="minorHAnsi"/>
        </w:rPr>
        <w:t>zdrowotne</w:t>
      </w:r>
      <w:r w:rsidR="003B50ED" w:rsidRPr="00F16251">
        <w:rPr>
          <w:rFonts w:cstheme="minorHAnsi"/>
        </w:rPr>
        <w:t xml:space="preserve"> </w:t>
      </w:r>
      <w:r w:rsidRPr="00F16251">
        <w:rPr>
          <w:rFonts w:cstheme="minorHAnsi"/>
        </w:rPr>
        <w:t>oraz</w:t>
      </w:r>
      <w:r w:rsidR="003B50ED" w:rsidRPr="00F16251">
        <w:rPr>
          <w:rFonts w:cstheme="minorHAnsi"/>
        </w:rPr>
        <w:t xml:space="preserve"> </w:t>
      </w:r>
      <w:r w:rsidRPr="00F16251">
        <w:rPr>
          <w:rFonts w:cstheme="minorHAnsi"/>
        </w:rPr>
        <w:t>opiekuńcze</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obszarze.</w:t>
      </w:r>
      <w:r w:rsidR="003B50ED" w:rsidRPr="00F16251">
        <w:rPr>
          <w:rFonts w:cstheme="minorHAnsi"/>
        </w:rPr>
        <w:t xml:space="preserve"> </w:t>
      </w:r>
      <w:r w:rsidRPr="00F16251">
        <w:rPr>
          <w:rFonts w:cstheme="minorHAnsi"/>
        </w:rPr>
        <w:t>Stopniowe</w:t>
      </w:r>
      <w:r w:rsidR="003B50ED" w:rsidRPr="00F16251">
        <w:rPr>
          <w:rFonts w:cstheme="minorHAnsi"/>
        </w:rPr>
        <w:t xml:space="preserve"> </w:t>
      </w:r>
      <w:r w:rsidRPr="00F16251">
        <w:rPr>
          <w:rFonts w:cstheme="minorHAnsi"/>
        </w:rPr>
        <w:t>zmniejszanie</w:t>
      </w:r>
      <w:r w:rsidR="003B50ED" w:rsidRPr="00F16251">
        <w:rPr>
          <w:rFonts w:cstheme="minorHAnsi"/>
        </w:rPr>
        <w:t xml:space="preserve"> </w:t>
      </w:r>
      <w:r w:rsidRPr="00F16251">
        <w:rPr>
          <w:rFonts w:cstheme="minorHAnsi"/>
        </w:rPr>
        <w:t>się</w:t>
      </w:r>
      <w:r w:rsidR="003B50ED" w:rsidRPr="00F16251">
        <w:rPr>
          <w:rFonts w:cstheme="minorHAnsi"/>
        </w:rPr>
        <w:t xml:space="preserve"> </w:t>
      </w:r>
      <w:r w:rsidRPr="00F16251">
        <w:rPr>
          <w:rFonts w:cstheme="minorHAnsi"/>
        </w:rPr>
        <w:t>liczby</w:t>
      </w:r>
      <w:r w:rsidR="003B50ED" w:rsidRPr="00F16251">
        <w:rPr>
          <w:rFonts w:cstheme="minorHAnsi"/>
        </w:rPr>
        <w:t xml:space="preserve"> </w:t>
      </w:r>
      <w:r w:rsidRPr="00F16251">
        <w:rPr>
          <w:rFonts w:cstheme="minorHAnsi"/>
        </w:rPr>
        <w:t>ludności</w:t>
      </w:r>
      <w:r w:rsidR="003B50ED" w:rsidRPr="00F16251">
        <w:rPr>
          <w:rFonts w:cstheme="minorHAnsi"/>
        </w:rPr>
        <w:t xml:space="preserve"> </w:t>
      </w:r>
      <w:r w:rsidRPr="00F16251">
        <w:rPr>
          <w:rFonts w:cstheme="minorHAnsi"/>
        </w:rPr>
        <w:t>będzie</w:t>
      </w:r>
      <w:r w:rsidR="003B50ED" w:rsidRPr="00F16251">
        <w:rPr>
          <w:rFonts w:cstheme="minorHAnsi"/>
        </w:rPr>
        <w:t xml:space="preserve"> </w:t>
      </w:r>
      <w:r w:rsidRPr="00F16251">
        <w:rPr>
          <w:rFonts w:cstheme="minorHAnsi"/>
        </w:rPr>
        <w:t>również</w:t>
      </w:r>
      <w:r w:rsidR="003B50ED" w:rsidRPr="00F16251">
        <w:rPr>
          <w:rFonts w:cstheme="minorHAnsi"/>
        </w:rPr>
        <w:t xml:space="preserve"> </w:t>
      </w:r>
      <w:r w:rsidRPr="00F16251">
        <w:rPr>
          <w:rFonts w:cstheme="minorHAnsi"/>
        </w:rPr>
        <w:t>przyczyną</w:t>
      </w:r>
      <w:r w:rsidR="003B50ED" w:rsidRPr="00F16251">
        <w:rPr>
          <w:rFonts w:cstheme="minorHAnsi"/>
        </w:rPr>
        <w:t xml:space="preserve"> </w:t>
      </w:r>
      <w:r w:rsidRPr="00F16251">
        <w:rPr>
          <w:rFonts w:cstheme="minorHAnsi"/>
        </w:rPr>
        <w:t>spowolnienia</w:t>
      </w:r>
      <w:r w:rsidR="003B50ED" w:rsidRPr="00F16251">
        <w:rPr>
          <w:rFonts w:cstheme="minorHAnsi"/>
        </w:rPr>
        <w:t xml:space="preserve"> </w:t>
      </w:r>
      <w:r w:rsidRPr="00F16251">
        <w:rPr>
          <w:rFonts w:cstheme="minorHAnsi"/>
        </w:rPr>
        <w:t>rozwoju</w:t>
      </w:r>
      <w:r w:rsidR="003B50ED" w:rsidRPr="00F16251">
        <w:rPr>
          <w:rFonts w:cstheme="minorHAnsi"/>
        </w:rPr>
        <w:t xml:space="preserve"> </w:t>
      </w:r>
      <w:r w:rsidRPr="00F16251">
        <w:rPr>
          <w:rFonts w:cstheme="minorHAnsi"/>
        </w:rPr>
        <w:t>gospodarczego.</w:t>
      </w:r>
      <w:r w:rsidR="003B50ED" w:rsidRPr="00F16251">
        <w:rPr>
          <w:rFonts w:cstheme="minorHAnsi"/>
        </w:rPr>
        <w:t xml:space="preserve"> </w:t>
      </w:r>
      <w:r w:rsidRPr="00F16251">
        <w:rPr>
          <w:rFonts w:cstheme="minorHAnsi"/>
        </w:rPr>
        <w:t>Stąd</w:t>
      </w:r>
      <w:r w:rsidR="003B50ED" w:rsidRPr="00F16251">
        <w:rPr>
          <w:rFonts w:cstheme="minorHAnsi"/>
        </w:rPr>
        <w:t xml:space="preserve"> </w:t>
      </w:r>
      <w:r w:rsidRPr="00F16251">
        <w:rPr>
          <w:rFonts w:cstheme="minorHAnsi"/>
        </w:rPr>
        <w:t>potrzeba</w:t>
      </w:r>
      <w:r w:rsidR="003B50ED" w:rsidRPr="00F16251">
        <w:rPr>
          <w:rFonts w:cstheme="minorHAnsi"/>
        </w:rPr>
        <w:t xml:space="preserve"> </w:t>
      </w:r>
      <w:r w:rsidRPr="00F16251">
        <w:rPr>
          <w:rFonts w:cstheme="minorHAnsi"/>
        </w:rPr>
        <w:t>dostosowania</w:t>
      </w:r>
      <w:r w:rsidR="003B50ED" w:rsidRPr="00F16251">
        <w:rPr>
          <w:rFonts w:cstheme="minorHAnsi"/>
        </w:rPr>
        <w:t xml:space="preserve"> </w:t>
      </w:r>
      <w:r w:rsidRPr="00F16251">
        <w:rPr>
          <w:rFonts w:cstheme="minorHAnsi"/>
        </w:rPr>
        <w:t>obszaru</w:t>
      </w:r>
      <w:r w:rsidR="003B50ED" w:rsidRPr="00F16251">
        <w:rPr>
          <w:rFonts w:cstheme="minorHAnsi"/>
        </w:rPr>
        <w:t xml:space="preserve"> </w:t>
      </w:r>
      <w:r w:rsidRPr="00F16251">
        <w:rPr>
          <w:rFonts w:cstheme="minorHAnsi"/>
        </w:rPr>
        <w:t>LSR</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nowych</w:t>
      </w:r>
      <w:r w:rsidR="003B50ED" w:rsidRPr="00F16251">
        <w:rPr>
          <w:rFonts w:cstheme="minorHAnsi"/>
        </w:rPr>
        <w:t xml:space="preserve"> </w:t>
      </w:r>
      <w:r w:rsidRPr="00F16251">
        <w:rPr>
          <w:rFonts w:cstheme="minorHAnsi"/>
        </w:rPr>
        <w:t>wyzwań</w:t>
      </w:r>
      <w:r w:rsidR="003B50ED" w:rsidRPr="00F16251">
        <w:rPr>
          <w:rFonts w:cstheme="minorHAnsi"/>
        </w:rPr>
        <w:t xml:space="preserve"> </w:t>
      </w:r>
      <w:r w:rsidRPr="00F16251">
        <w:rPr>
          <w:rFonts w:cstheme="minorHAnsi"/>
        </w:rPr>
        <w:t>związanych</w:t>
      </w:r>
      <w:r w:rsidR="003B50ED" w:rsidRPr="00F16251">
        <w:rPr>
          <w:rFonts w:cstheme="minorHAnsi"/>
        </w:rPr>
        <w:t xml:space="preserve"> </w:t>
      </w:r>
      <w:r w:rsidRPr="00F16251">
        <w:rPr>
          <w:rFonts w:cstheme="minorHAnsi"/>
        </w:rPr>
        <w:t>ze</w:t>
      </w:r>
      <w:r w:rsidR="003B50ED" w:rsidRPr="00F16251">
        <w:rPr>
          <w:rFonts w:cstheme="minorHAnsi"/>
        </w:rPr>
        <w:t xml:space="preserve"> </w:t>
      </w:r>
      <w:r w:rsidRPr="00F16251">
        <w:rPr>
          <w:rFonts w:cstheme="minorHAnsi"/>
        </w:rPr>
        <w:t>znaczącym</w:t>
      </w:r>
      <w:r w:rsidR="003B50ED" w:rsidRPr="00F16251">
        <w:rPr>
          <w:rFonts w:cstheme="minorHAnsi"/>
        </w:rPr>
        <w:t xml:space="preserve"> </w:t>
      </w:r>
      <w:r w:rsidRPr="00F16251">
        <w:rPr>
          <w:rFonts w:cstheme="minorHAnsi"/>
        </w:rPr>
        <w:t>wzrostem</w:t>
      </w:r>
      <w:r w:rsidR="003B50ED" w:rsidRPr="00F16251">
        <w:rPr>
          <w:rFonts w:cstheme="minorHAnsi"/>
        </w:rPr>
        <w:t xml:space="preserve"> </w:t>
      </w:r>
      <w:r w:rsidRPr="00F16251">
        <w:rPr>
          <w:rFonts w:cstheme="minorHAnsi"/>
        </w:rPr>
        <w:t>liczby</w:t>
      </w:r>
      <w:r w:rsidR="003B50ED" w:rsidRPr="00F16251">
        <w:rPr>
          <w:rFonts w:cstheme="minorHAnsi"/>
        </w:rPr>
        <w:t xml:space="preserve"> </w:t>
      </w:r>
      <w:r w:rsidRPr="00F16251">
        <w:rPr>
          <w:rFonts w:cstheme="minorHAnsi"/>
        </w:rPr>
        <w:t>osób</w:t>
      </w:r>
      <w:r w:rsidR="003B50ED" w:rsidRPr="00F16251">
        <w:rPr>
          <w:rFonts w:cstheme="minorHAnsi"/>
        </w:rPr>
        <w:t xml:space="preserve"> </w:t>
      </w:r>
      <w:r w:rsidRPr="00F16251">
        <w:rPr>
          <w:rFonts w:cstheme="minorHAnsi"/>
        </w:rPr>
        <w:t>starszych</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strukturze</w:t>
      </w:r>
      <w:r w:rsidR="003B50ED" w:rsidRPr="00F16251">
        <w:rPr>
          <w:rFonts w:cstheme="minorHAnsi"/>
        </w:rPr>
        <w:t xml:space="preserve"> </w:t>
      </w:r>
      <w:r w:rsidRPr="00F16251">
        <w:rPr>
          <w:rFonts w:cstheme="minorHAnsi"/>
        </w:rPr>
        <w:t>populacji</w:t>
      </w:r>
      <w:r w:rsidR="003B50ED" w:rsidRPr="00F16251">
        <w:rPr>
          <w:rFonts w:cstheme="minorHAnsi"/>
        </w:rPr>
        <w:t xml:space="preserve"> </w:t>
      </w:r>
      <w:r w:rsidRPr="00F16251">
        <w:rPr>
          <w:rFonts w:cstheme="minorHAnsi"/>
        </w:rPr>
        <w:t>oraz</w:t>
      </w:r>
      <w:r w:rsidR="003B50ED" w:rsidRPr="00F16251">
        <w:rPr>
          <w:rFonts w:cstheme="minorHAnsi"/>
        </w:rPr>
        <w:t xml:space="preserve"> </w:t>
      </w:r>
      <w:r w:rsidRPr="00F16251">
        <w:rPr>
          <w:rFonts w:cstheme="minorHAnsi"/>
        </w:rPr>
        <w:t>podejmowanie</w:t>
      </w:r>
      <w:r w:rsidR="003B50ED" w:rsidRPr="00F16251">
        <w:rPr>
          <w:rFonts w:cstheme="minorHAnsi"/>
        </w:rPr>
        <w:t xml:space="preserve"> </w:t>
      </w:r>
      <w:r w:rsidRPr="00F16251">
        <w:rPr>
          <w:rFonts w:cstheme="minorHAnsi"/>
        </w:rPr>
        <w:t>działań</w:t>
      </w:r>
      <w:r w:rsidR="003B50ED" w:rsidRPr="00F16251">
        <w:rPr>
          <w:rFonts w:cstheme="minorHAnsi"/>
        </w:rPr>
        <w:t xml:space="preserve"> </w:t>
      </w:r>
      <w:r w:rsidRPr="00F16251">
        <w:rPr>
          <w:rFonts w:cstheme="minorHAnsi"/>
        </w:rPr>
        <w:t>ograniczających</w:t>
      </w:r>
      <w:r w:rsidR="003B50ED" w:rsidRPr="00F16251">
        <w:rPr>
          <w:rFonts w:cstheme="minorHAnsi"/>
        </w:rPr>
        <w:t xml:space="preserve"> </w:t>
      </w:r>
      <w:r w:rsidRPr="00F16251">
        <w:rPr>
          <w:rFonts w:cstheme="minorHAnsi"/>
        </w:rPr>
        <w:t>odpływ</w:t>
      </w:r>
      <w:r w:rsidR="003B50ED" w:rsidRPr="00F16251">
        <w:rPr>
          <w:rFonts w:cstheme="minorHAnsi"/>
        </w:rPr>
        <w:t xml:space="preserve"> </w:t>
      </w:r>
      <w:r w:rsidRPr="00F16251">
        <w:rPr>
          <w:rFonts w:cstheme="minorHAnsi"/>
        </w:rPr>
        <w:t>ludzi</w:t>
      </w:r>
      <w:r w:rsidR="003B50ED" w:rsidRPr="00F16251">
        <w:rPr>
          <w:rFonts w:cstheme="minorHAnsi"/>
        </w:rPr>
        <w:t xml:space="preserve"> </w:t>
      </w:r>
      <w:r w:rsidRPr="00F16251">
        <w:rPr>
          <w:rFonts w:cstheme="minorHAnsi"/>
        </w:rPr>
        <w:t>młodych</w:t>
      </w:r>
      <w:r w:rsidR="003B50ED" w:rsidRPr="00F16251">
        <w:rPr>
          <w:rFonts w:cstheme="minorHAnsi"/>
        </w:rPr>
        <w:t xml:space="preserve"> </w:t>
      </w:r>
      <w:r w:rsidRPr="00F16251">
        <w:rPr>
          <w:rFonts w:cstheme="minorHAnsi"/>
        </w:rPr>
        <w:t>oraz</w:t>
      </w:r>
      <w:r w:rsidR="003B50ED" w:rsidRPr="00F16251">
        <w:rPr>
          <w:rFonts w:cstheme="minorHAnsi"/>
        </w:rPr>
        <w:t xml:space="preserve"> </w:t>
      </w:r>
      <w:r w:rsidRPr="00F16251">
        <w:rPr>
          <w:rFonts w:cstheme="minorHAnsi"/>
        </w:rPr>
        <w:t>zwiększenie</w:t>
      </w:r>
      <w:r w:rsidR="003B50ED" w:rsidRPr="00F16251">
        <w:rPr>
          <w:rFonts w:cstheme="minorHAnsi"/>
        </w:rPr>
        <w:t xml:space="preserve"> </w:t>
      </w:r>
      <w:r w:rsidRPr="00F16251">
        <w:rPr>
          <w:rFonts w:cstheme="minorHAnsi"/>
        </w:rPr>
        <w:t>ich</w:t>
      </w:r>
      <w:r w:rsidR="003B50ED" w:rsidRPr="00F16251">
        <w:rPr>
          <w:rFonts w:cstheme="minorHAnsi"/>
        </w:rPr>
        <w:t xml:space="preserve"> </w:t>
      </w:r>
      <w:r w:rsidRPr="00F16251">
        <w:rPr>
          <w:rFonts w:cstheme="minorHAnsi"/>
        </w:rPr>
        <w:t>aktywności</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życiu</w:t>
      </w:r>
      <w:r w:rsidR="003B50ED" w:rsidRPr="00F16251">
        <w:rPr>
          <w:rFonts w:cstheme="minorHAnsi"/>
        </w:rPr>
        <w:t xml:space="preserve"> </w:t>
      </w:r>
      <w:r w:rsidRPr="00F16251">
        <w:rPr>
          <w:rFonts w:cstheme="minorHAnsi"/>
        </w:rPr>
        <w:t>lokalnej</w:t>
      </w:r>
      <w:r w:rsidR="003B50ED" w:rsidRPr="00F16251">
        <w:rPr>
          <w:rFonts w:cstheme="minorHAnsi"/>
        </w:rPr>
        <w:t xml:space="preserve"> </w:t>
      </w:r>
      <w:r w:rsidRPr="00F16251">
        <w:rPr>
          <w:rFonts w:cstheme="minorHAnsi"/>
        </w:rPr>
        <w:t>społeczności</w:t>
      </w:r>
      <w:r w:rsidR="003B50ED" w:rsidRPr="00F16251">
        <w:rPr>
          <w:rFonts w:cstheme="minorHAnsi"/>
        </w:rPr>
        <w:t xml:space="preserve"> </w:t>
      </w:r>
      <w:r w:rsidRPr="00F16251">
        <w:rPr>
          <w:rFonts w:cstheme="minorHAnsi"/>
        </w:rPr>
        <w:t>(np.</w:t>
      </w:r>
      <w:r w:rsidR="003B50ED" w:rsidRPr="00F16251">
        <w:rPr>
          <w:rFonts w:cstheme="minorHAnsi"/>
        </w:rPr>
        <w:t xml:space="preserve"> </w:t>
      </w:r>
      <w:r w:rsidRPr="00F16251">
        <w:rPr>
          <w:rFonts w:cstheme="minorHAnsi"/>
        </w:rPr>
        <w:t>poprzez</w:t>
      </w:r>
      <w:r w:rsidR="003B50ED" w:rsidRPr="00F16251">
        <w:rPr>
          <w:rFonts w:cstheme="minorHAnsi"/>
        </w:rPr>
        <w:t xml:space="preserve"> </w:t>
      </w:r>
      <w:r w:rsidRPr="00F16251">
        <w:rPr>
          <w:rFonts w:cstheme="minorHAnsi"/>
        </w:rPr>
        <w:t>skierowanie</w:t>
      </w:r>
      <w:r w:rsidR="003B50ED" w:rsidRPr="00F16251">
        <w:rPr>
          <w:rFonts w:cstheme="minorHAnsi"/>
        </w:rPr>
        <w:t xml:space="preserve"> </w:t>
      </w:r>
      <w:r w:rsidRPr="00F16251">
        <w:rPr>
          <w:rFonts w:cstheme="minorHAnsi"/>
        </w:rPr>
        <w:t>wsparcia</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kształcenie</w:t>
      </w:r>
      <w:r w:rsidR="003B50ED" w:rsidRPr="00F16251">
        <w:rPr>
          <w:rFonts w:cstheme="minorHAnsi"/>
        </w:rPr>
        <w:t xml:space="preserve"> </w:t>
      </w:r>
      <w:r w:rsidRPr="00F16251">
        <w:rPr>
          <w:rFonts w:cstheme="minorHAnsi"/>
        </w:rPr>
        <w:t>lokalnych</w:t>
      </w:r>
      <w:r w:rsidR="003B50ED" w:rsidRPr="00F16251">
        <w:rPr>
          <w:rFonts w:cstheme="minorHAnsi"/>
        </w:rPr>
        <w:t xml:space="preserve"> </w:t>
      </w:r>
      <w:r w:rsidRPr="00F16251">
        <w:rPr>
          <w:rFonts w:cstheme="minorHAnsi"/>
        </w:rPr>
        <w:t>liderów).</w:t>
      </w:r>
      <w:r w:rsidR="003B50ED" w:rsidRPr="00F16251">
        <w:rPr>
          <w:rFonts w:cstheme="minorHAnsi"/>
        </w:rPr>
        <w:t xml:space="preserve"> </w:t>
      </w:r>
    </w:p>
    <w:p w14:paraId="7B8D90DD" w14:textId="320C7EDA" w:rsidR="00224658" w:rsidRPr="00F16251" w:rsidRDefault="00224658" w:rsidP="00A26C26">
      <w:pPr>
        <w:spacing w:line="276" w:lineRule="auto"/>
        <w:ind w:firstLine="360"/>
        <w:jc w:val="both"/>
        <w:rPr>
          <w:rFonts w:cstheme="minorHAnsi"/>
        </w:rPr>
      </w:pPr>
      <w:r w:rsidRPr="00F16251">
        <w:rPr>
          <w:rFonts w:cstheme="minorHAnsi"/>
        </w:rPr>
        <w:t>Niezbędne</w:t>
      </w:r>
      <w:r w:rsidR="003B50ED" w:rsidRPr="00F16251">
        <w:rPr>
          <w:rFonts w:cstheme="minorHAnsi"/>
        </w:rPr>
        <w:t xml:space="preserve"> </w:t>
      </w:r>
      <w:r w:rsidRPr="00F16251">
        <w:rPr>
          <w:rFonts w:cstheme="minorHAnsi"/>
        </w:rPr>
        <w:t>będzie</w:t>
      </w:r>
      <w:r w:rsidR="003B50ED" w:rsidRPr="00F16251">
        <w:rPr>
          <w:rFonts w:cstheme="minorHAnsi"/>
        </w:rPr>
        <w:t xml:space="preserve"> </w:t>
      </w:r>
      <w:r w:rsidRPr="00F16251">
        <w:rPr>
          <w:rFonts w:cstheme="minorHAnsi"/>
        </w:rPr>
        <w:t>również</w:t>
      </w:r>
      <w:r w:rsidR="003B50ED" w:rsidRPr="00F16251">
        <w:rPr>
          <w:rFonts w:cstheme="minorHAnsi"/>
        </w:rPr>
        <w:t xml:space="preserve"> </w:t>
      </w:r>
      <w:r w:rsidRPr="00F16251">
        <w:rPr>
          <w:rFonts w:cstheme="minorHAnsi"/>
        </w:rPr>
        <w:t>wdrożenie</w:t>
      </w:r>
      <w:r w:rsidR="003B50ED" w:rsidRPr="00F16251">
        <w:rPr>
          <w:rFonts w:cstheme="minorHAnsi"/>
        </w:rPr>
        <w:t xml:space="preserve"> </w:t>
      </w:r>
      <w:r w:rsidRPr="00F16251">
        <w:rPr>
          <w:rFonts w:cstheme="minorHAnsi"/>
        </w:rPr>
        <w:t>mechanizmów</w:t>
      </w:r>
      <w:r w:rsidR="003B50ED" w:rsidRPr="00F16251">
        <w:rPr>
          <w:rFonts w:cstheme="minorHAnsi"/>
        </w:rPr>
        <w:t xml:space="preserve"> </w:t>
      </w:r>
      <w:r w:rsidRPr="00F16251">
        <w:rPr>
          <w:rFonts w:cstheme="minorHAnsi"/>
        </w:rPr>
        <w:t>zachęty</w:t>
      </w:r>
      <w:r w:rsidR="003B50ED" w:rsidRPr="00F16251">
        <w:rPr>
          <w:rFonts w:cstheme="minorHAnsi"/>
        </w:rPr>
        <w:t xml:space="preserve"> </w:t>
      </w:r>
      <w:r w:rsidRPr="00F16251">
        <w:rPr>
          <w:rFonts w:cstheme="minorHAnsi"/>
        </w:rPr>
        <w:t>dla</w:t>
      </w:r>
      <w:r w:rsidR="003B50ED" w:rsidRPr="00F16251">
        <w:rPr>
          <w:rFonts w:cstheme="minorHAnsi"/>
        </w:rPr>
        <w:t xml:space="preserve"> </w:t>
      </w:r>
      <w:r w:rsidRPr="00F16251">
        <w:rPr>
          <w:rFonts w:cstheme="minorHAnsi"/>
        </w:rPr>
        <w:t>młodych</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większego</w:t>
      </w:r>
      <w:r w:rsidR="003B50ED" w:rsidRPr="00F16251">
        <w:rPr>
          <w:rFonts w:cstheme="minorHAnsi"/>
        </w:rPr>
        <w:t xml:space="preserve"> </w:t>
      </w:r>
      <w:r w:rsidRPr="00F16251">
        <w:rPr>
          <w:rFonts w:cstheme="minorHAnsi"/>
        </w:rPr>
        <w:t>zaangażowania</w:t>
      </w:r>
      <w:r w:rsidR="003B50ED" w:rsidRPr="00F16251">
        <w:rPr>
          <w:rFonts w:cstheme="minorHAnsi"/>
        </w:rPr>
        <w:t xml:space="preserve"> </w:t>
      </w:r>
      <w:r w:rsidRPr="00F16251">
        <w:rPr>
          <w:rFonts w:cstheme="minorHAnsi"/>
        </w:rPr>
        <w:t>się</w:t>
      </w:r>
      <w:r w:rsidR="003B50ED" w:rsidRPr="00F16251">
        <w:rPr>
          <w:rFonts w:cstheme="minorHAnsi"/>
        </w:rPr>
        <w:t xml:space="preserve"> </w:t>
      </w:r>
      <w:r w:rsidR="001D0163" w:rsidRPr="00F16251">
        <w:rPr>
          <w:rFonts w:cstheme="minorHAnsi"/>
        </w:rPr>
        <w:br/>
      </w:r>
      <w:r w:rsidRPr="00F16251">
        <w:rPr>
          <w:rFonts w:cstheme="minorHAnsi"/>
        </w:rPr>
        <w:t>w</w:t>
      </w:r>
      <w:r w:rsidR="003B50ED" w:rsidRPr="00F16251">
        <w:rPr>
          <w:rFonts w:cstheme="minorHAnsi"/>
        </w:rPr>
        <w:t xml:space="preserve"> </w:t>
      </w:r>
      <w:r w:rsidRPr="00F16251">
        <w:rPr>
          <w:rFonts w:cstheme="minorHAnsi"/>
        </w:rPr>
        <w:t>działania</w:t>
      </w:r>
      <w:r w:rsidR="003B50ED" w:rsidRPr="00F16251">
        <w:rPr>
          <w:rFonts w:cstheme="minorHAnsi"/>
        </w:rPr>
        <w:t xml:space="preserve"> </w:t>
      </w:r>
      <w:r w:rsidRPr="00F16251">
        <w:rPr>
          <w:rFonts w:cstheme="minorHAnsi"/>
        </w:rPr>
        <w:t>lokalnej</w:t>
      </w:r>
      <w:r w:rsidR="003B50ED" w:rsidRPr="00F16251">
        <w:rPr>
          <w:rFonts w:cstheme="minorHAnsi"/>
        </w:rPr>
        <w:t xml:space="preserve"> </w:t>
      </w:r>
      <w:r w:rsidRPr="00F16251">
        <w:rPr>
          <w:rFonts w:cstheme="minorHAnsi"/>
        </w:rPr>
        <w:t>społeczności,</w:t>
      </w:r>
      <w:r w:rsidR="003B50ED" w:rsidRPr="00F16251">
        <w:rPr>
          <w:rFonts w:cstheme="minorHAnsi"/>
        </w:rPr>
        <w:t xml:space="preserve"> </w:t>
      </w:r>
      <w:r w:rsidRPr="00F16251">
        <w:rPr>
          <w:rFonts w:cstheme="minorHAnsi"/>
        </w:rPr>
        <w:t>dzięki</w:t>
      </w:r>
      <w:r w:rsidR="003B50ED" w:rsidRPr="00F16251">
        <w:rPr>
          <w:rFonts w:cstheme="minorHAnsi"/>
        </w:rPr>
        <w:t xml:space="preserve"> </w:t>
      </w:r>
      <w:r w:rsidRPr="00F16251">
        <w:rPr>
          <w:rFonts w:cstheme="minorHAnsi"/>
        </w:rPr>
        <w:t>czemu</w:t>
      </w:r>
      <w:r w:rsidR="003B50ED" w:rsidRPr="00F16251">
        <w:rPr>
          <w:rFonts w:cstheme="minorHAnsi"/>
        </w:rPr>
        <w:t xml:space="preserve"> </w:t>
      </w:r>
      <w:r w:rsidRPr="00F16251">
        <w:rPr>
          <w:rFonts w:cstheme="minorHAnsi"/>
        </w:rPr>
        <w:t>będą</w:t>
      </w:r>
      <w:r w:rsidR="003B50ED" w:rsidRPr="00F16251">
        <w:rPr>
          <w:rFonts w:cstheme="minorHAnsi"/>
        </w:rPr>
        <w:t xml:space="preserve"> </w:t>
      </w:r>
      <w:r w:rsidRPr="00F16251">
        <w:rPr>
          <w:rFonts w:cstheme="minorHAnsi"/>
        </w:rPr>
        <w:t>postrzegać</w:t>
      </w:r>
      <w:r w:rsidR="003B50ED" w:rsidRPr="00F16251">
        <w:rPr>
          <w:rFonts w:cstheme="minorHAnsi"/>
        </w:rPr>
        <w:t xml:space="preserve"> </w:t>
      </w:r>
      <w:r w:rsidRPr="00F16251">
        <w:rPr>
          <w:rFonts w:cstheme="minorHAnsi"/>
        </w:rPr>
        <w:t>obszar</w:t>
      </w:r>
      <w:r w:rsidR="003B50ED" w:rsidRPr="00F16251">
        <w:rPr>
          <w:rFonts w:cstheme="minorHAnsi"/>
        </w:rPr>
        <w:t xml:space="preserve"> </w:t>
      </w:r>
      <w:r w:rsidRPr="00F16251">
        <w:rPr>
          <w:rFonts w:cstheme="minorHAnsi"/>
        </w:rPr>
        <w:t>LSR</w:t>
      </w:r>
      <w:r w:rsidR="003B50ED" w:rsidRPr="00F16251">
        <w:rPr>
          <w:rFonts w:cstheme="minorHAnsi"/>
        </w:rPr>
        <w:t xml:space="preserve"> </w:t>
      </w:r>
      <w:r w:rsidRPr="00F16251">
        <w:rPr>
          <w:rFonts w:cstheme="minorHAnsi"/>
        </w:rPr>
        <w:t>jaki</w:t>
      </w:r>
      <w:r w:rsidR="003B50ED" w:rsidRPr="00F16251">
        <w:rPr>
          <w:rFonts w:cstheme="minorHAnsi"/>
        </w:rPr>
        <w:t xml:space="preserve"> </w:t>
      </w:r>
      <w:r w:rsidRPr="00F16251">
        <w:rPr>
          <w:rFonts w:cstheme="minorHAnsi"/>
        </w:rPr>
        <w:t>miejsce</w:t>
      </w:r>
      <w:r w:rsidR="003B50ED" w:rsidRPr="00F16251">
        <w:rPr>
          <w:rFonts w:cstheme="minorHAnsi"/>
        </w:rPr>
        <w:t xml:space="preserve"> </w:t>
      </w:r>
      <w:r w:rsidRPr="00F16251">
        <w:rPr>
          <w:rFonts w:cstheme="minorHAnsi"/>
        </w:rPr>
        <w:t>przyjazne</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zamieszkania</w:t>
      </w:r>
      <w:r w:rsidR="00BD5E29" w:rsidRPr="00F16251">
        <w:rPr>
          <w:rFonts w:cstheme="minorHAnsi"/>
        </w:rPr>
        <w:t>.</w:t>
      </w:r>
    </w:p>
    <w:p w14:paraId="00FB796E" w14:textId="3FED8442" w:rsidR="00224658" w:rsidRPr="00F16251" w:rsidRDefault="00224658" w:rsidP="00A26C26">
      <w:pPr>
        <w:spacing w:line="276" w:lineRule="auto"/>
        <w:ind w:firstLine="360"/>
        <w:jc w:val="both"/>
        <w:rPr>
          <w:rFonts w:cstheme="minorHAnsi"/>
        </w:rPr>
      </w:pPr>
      <w:r w:rsidRPr="00F16251">
        <w:rPr>
          <w:rFonts w:cstheme="minorHAnsi"/>
        </w:rPr>
        <w:t>Od</w:t>
      </w:r>
      <w:r w:rsidR="003B50ED" w:rsidRPr="00F16251">
        <w:rPr>
          <w:rFonts w:cstheme="minorHAnsi"/>
        </w:rPr>
        <w:t xml:space="preserve"> </w:t>
      </w:r>
      <w:r w:rsidRPr="00F16251">
        <w:rPr>
          <w:rFonts w:cstheme="minorHAnsi"/>
        </w:rPr>
        <w:t>2017</w:t>
      </w:r>
      <w:r w:rsidR="003B50ED" w:rsidRPr="00F16251">
        <w:rPr>
          <w:rFonts w:cstheme="minorHAnsi"/>
        </w:rPr>
        <w:t xml:space="preserve"> r. </w:t>
      </w:r>
      <w:r w:rsidRPr="00F16251">
        <w:rPr>
          <w:rFonts w:cstheme="minorHAnsi"/>
        </w:rPr>
        <w:t>na</w:t>
      </w:r>
      <w:r w:rsidR="003B50ED" w:rsidRPr="00F16251">
        <w:rPr>
          <w:rFonts w:cstheme="minorHAnsi"/>
        </w:rPr>
        <w:t xml:space="preserve"> </w:t>
      </w:r>
      <w:r w:rsidRPr="00F16251">
        <w:rPr>
          <w:rFonts w:cstheme="minorHAnsi"/>
        </w:rPr>
        <w:t>terenie</w:t>
      </w:r>
      <w:r w:rsidR="003B50ED" w:rsidRPr="00F16251">
        <w:rPr>
          <w:rFonts w:cstheme="minorHAnsi"/>
        </w:rPr>
        <w:t xml:space="preserve"> </w:t>
      </w:r>
      <w:r w:rsidRPr="00F16251">
        <w:rPr>
          <w:rFonts w:cstheme="minorHAnsi"/>
        </w:rPr>
        <w:t>wchodzącym</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skład</w:t>
      </w:r>
      <w:r w:rsidR="003B50ED" w:rsidRPr="00F16251">
        <w:rPr>
          <w:rFonts w:cstheme="minorHAnsi"/>
        </w:rPr>
        <w:t xml:space="preserve"> </w:t>
      </w:r>
      <w:r w:rsidRPr="00F16251">
        <w:rPr>
          <w:rFonts w:cstheme="minorHAnsi"/>
        </w:rPr>
        <w:t>LGD</w:t>
      </w:r>
      <w:r w:rsidR="003B50ED" w:rsidRPr="00F16251">
        <w:rPr>
          <w:rFonts w:cstheme="minorHAnsi"/>
        </w:rPr>
        <w:t xml:space="preserve"> </w:t>
      </w:r>
      <w:r w:rsidRPr="00F16251">
        <w:rPr>
          <w:rFonts w:cstheme="minorHAnsi"/>
        </w:rPr>
        <w:t>„Solidarni</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Partnerstwie”</w:t>
      </w:r>
      <w:r w:rsidR="003B50ED" w:rsidRPr="00F16251">
        <w:rPr>
          <w:rFonts w:cstheme="minorHAnsi"/>
        </w:rPr>
        <w:t xml:space="preserve"> </w:t>
      </w:r>
      <w:r w:rsidRPr="00F16251">
        <w:rPr>
          <w:rFonts w:cstheme="minorHAnsi"/>
        </w:rPr>
        <w:t>sukcesywnie</w:t>
      </w:r>
      <w:r w:rsidR="003B50ED" w:rsidRPr="00F16251">
        <w:rPr>
          <w:rFonts w:cstheme="minorHAnsi"/>
        </w:rPr>
        <w:t xml:space="preserve"> </w:t>
      </w:r>
      <w:r w:rsidRPr="00F16251">
        <w:rPr>
          <w:rFonts w:cstheme="minorHAnsi"/>
        </w:rPr>
        <w:t>wzrasta</w:t>
      </w:r>
      <w:r w:rsidR="003B50ED" w:rsidRPr="00F16251">
        <w:rPr>
          <w:rFonts w:cstheme="minorHAnsi"/>
        </w:rPr>
        <w:t xml:space="preserve"> </w:t>
      </w:r>
      <w:r w:rsidRPr="00F16251">
        <w:rPr>
          <w:rFonts w:cstheme="minorHAnsi"/>
        </w:rPr>
        <w:t>odsetek</w:t>
      </w:r>
      <w:r w:rsidR="003B50ED" w:rsidRPr="00F16251">
        <w:rPr>
          <w:rFonts w:cstheme="minorHAnsi"/>
        </w:rPr>
        <w:t xml:space="preserve"> </w:t>
      </w:r>
      <w:r w:rsidRPr="00F16251">
        <w:rPr>
          <w:rFonts w:cstheme="minorHAnsi"/>
        </w:rPr>
        <w:t>osób</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wieku</w:t>
      </w:r>
      <w:r w:rsidR="003B50ED" w:rsidRPr="00F16251">
        <w:rPr>
          <w:rFonts w:cstheme="minorHAnsi"/>
        </w:rPr>
        <w:t xml:space="preserve"> </w:t>
      </w:r>
      <w:r w:rsidRPr="00F16251">
        <w:rPr>
          <w:rFonts w:cstheme="minorHAnsi"/>
        </w:rPr>
        <w:t>65</w:t>
      </w:r>
      <w:r w:rsidR="003B50ED" w:rsidRPr="00F16251">
        <w:rPr>
          <w:rFonts w:cstheme="minorHAnsi"/>
        </w:rPr>
        <w:t xml:space="preserve"> </w:t>
      </w:r>
      <w:r w:rsidRPr="00F16251">
        <w:rPr>
          <w:rFonts w:cstheme="minorHAnsi"/>
        </w:rPr>
        <w:t>lat</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więcej</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populacji</w:t>
      </w:r>
      <w:r w:rsidR="003B50ED" w:rsidRPr="00F16251">
        <w:rPr>
          <w:rFonts w:cstheme="minorHAnsi"/>
        </w:rPr>
        <w:t xml:space="preserve"> </w:t>
      </w:r>
      <w:r w:rsidRPr="00F16251">
        <w:rPr>
          <w:rFonts w:cstheme="minorHAnsi"/>
        </w:rPr>
        <w:t>ogółem.</w:t>
      </w:r>
      <w:r w:rsidR="003B50ED" w:rsidRPr="00F16251">
        <w:rPr>
          <w:rFonts w:cstheme="minorHAnsi"/>
        </w:rPr>
        <w:t xml:space="preserve"> </w:t>
      </w:r>
      <w:r w:rsidRPr="00F16251">
        <w:rPr>
          <w:rFonts w:cstheme="minorHAnsi"/>
        </w:rPr>
        <w:t>Najszybszy</w:t>
      </w:r>
      <w:r w:rsidR="003B50ED" w:rsidRPr="00F16251">
        <w:rPr>
          <w:rFonts w:cstheme="minorHAnsi"/>
        </w:rPr>
        <w:t xml:space="preserve"> </w:t>
      </w:r>
      <w:r w:rsidRPr="00F16251">
        <w:rPr>
          <w:rFonts w:cstheme="minorHAnsi"/>
        </w:rPr>
        <w:t>wzrost</w:t>
      </w:r>
      <w:r w:rsidR="003B50ED" w:rsidRPr="00F16251">
        <w:rPr>
          <w:rFonts w:cstheme="minorHAnsi"/>
        </w:rPr>
        <w:t xml:space="preserve"> </w:t>
      </w:r>
      <w:r w:rsidRPr="00F16251">
        <w:rPr>
          <w:rFonts w:cstheme="minorHAnsi"/>
        </w:rPr>
        <w:t>notowany</w:t>
      </w:r>
      <w:r w:rsidR="003B50ED" w:rsidRPr="00F16251">
        <w:rPr>
          <w:rFonts w:cstheme="minorHAnsi"/>
        </w:rPr>
        <w:t xml:space="preserve"> </w:t>
      </w:r>
      <w:r w:rsidRPr="00F16251">
        <w:rPr>
          <w:rFonts w:cstheme="minorHAnsi"/>
        </w:rPr>
        <w:t>jest</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gminie</w:t>
      </w:r>
      <w:r w:rsidR="003B50ED" w:rsidRPr="00F16251">
        <w:rPr>
          <w:rFonts w:cstheme="minorHAnsi"/>
        </w:rPr>
        <w:t xml:space="preserve"> </w:t>
      </w:r>
      <w:r w:rsidRPr="00F16251">
        <w:rPr>
          <w:rFonts w:cstheme="minorHAnsi"/>
        </w:rPr>
        <w:t>Golina</w:t>
      </w:r>
      <w:r w:rsidR="003B50ED" w:rsidRPr="00F16251">
        <w:rPr>
          <w:rFonts w:cstheme="minorHAnsi"/>
        </w:rPr>
        <w:t xml:space="preserve"> </w:t>
      </w:r>
      <w:r w:rsidRPr="00F16251">
        <w:rPr>
          <w:rFonts w:cstheme="minorHAnsi"/>
        </w:rPr>
        <w:t>–</w:t>
      </w:r>
      <w:r w:rsidR="003B50ED" w:rsidRPr="00F16251">
        <w:rPr>
          <w:rFonts w:cstheme="minorHAnsi"/>
        </w:rPr>
        <w:t xml:space="preserve"> </w:t>
      </w:r>
      <w:r w:rsidRPr="00F16251">
        <w:rPr>
          <w:rFonts w:cstheme="minorHAnsi"/>
        </w:rPr>
        <w:t>16,79%,</w:t>
      </w:r>
      <w:r w:rsidR="003B50ED" w:rsidRPr="00F16251">
        <w:rPr>
          <w:rFonts w:cstheme="minorHAnsi"/>
        </w:rPr>
        <w:t xml:space="preserve"> </w:t>
      </w:r>
      <w:r w:rsidRPr="00F16251">
        <w:rPr>
          <w:rFonts w:cstheme="minorHAnsi"/>
        </w:rPr>
        <w:t>najwolniejszy</w:t>
      </w:r>
      <w:r w:rsidR="003B50ED" w:rsidRPr="00F16251">
        <w:rPr>
          <w:rFonts w:cstheme="minorHAnsi"/>
        </w:rPr>
        <w:t xml:space="preserve"> </w:t>
      </w:r>
      <w:r w:rsidRPr="00F16251">
        <w:rPr>
          <w:rFonts w:cstheme="minorHAnsi"/>
        </w:rPr>
        <w:t>zaś</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gminie</w:t>
      </w:r>
      <w:r w:rsidR="003B50ED" w:rsidRPr="00F16251">
        <w:rPr>
          <w:rFonts w:cstheme="minorHAnsi"/>
        </w:rPr>
        <w:t xml:space="preserve"> </w:t>
      </w:r>
      <w:r w:rsidRPr="00F16251">
        <w:rPr>
          <w:rFonts w:cstheme="minorHAnsi"/>
        </w:rPr>
        <w:t>Grodziec</w:t>
      </w:r>
      <w:r w:rsidR="003B50ED" w:rsidRPr="00F16251">
        <w:rPr>
          <w:rFonts w:cstheme="minorHAnsi"/>
        </w:rPr>
        <w:t xml:space="preserve"> </w:t>
      </w:r>
      <w:r w:rsidRPr="00F16251">
        <w:rPr>
          <w:rFonts w:cstheme="minorHAnsi"/>
        </w:rPr>
        <w:t>–</w:t>
      </w:r>
      <w:r w:rsidR="003B50ED" w:rsidRPr="00F16251">
        <w:rPr>
          <w:rFonts w:cstheme="minorHAnsi"/>
        </w:rPr>
        <w:t xml:space="preserve"> </w:t>
      </w:r>
      <w:r w:rsidRPr="00F16251">
        <w:rPr>
          <w:rFonts w:cstheme="minorHAnsi"/>
        </w:rPr>
        <w:t>8,78%</w:t>
      </w:r>
    </w:p>
    <w:p w14:paraId="4A6E3046" w14:textId="77777777" w:rsidR="00224658" w:rsidRPr="00F16251" w:rsidRDefault="00224658" w:rsidP="00A26C26">
      <w:pPr>
        <w:spacing w:line="276" w:lineRule="auto"/>
        <w:jc w:val="both"/>
        <w:rPr>
          <w:rFonts w:cstheme="minorHAnsi"/>
        </w:rPr>
      </w:pPr>
    </w:p>
    <w:p w14:paraId="003ED9EE" w14:textId="786CF1B0" w:rsidR="00224658" w:rsidRPr="00F16251" w:rsidRDefault="00224658" w:rsidP="00A26C26">
      <w:pPr>
        <w:spacing w:line="276" w:lineRule="auto"/>
        <w:jc w:val="both"/>
        <w:rPr>
          <w:rFonts w:cstheme="minorHAnsi"/>
        </w:rPr>
      </w:pPr>
      <w:r w:rsidRPr="00F16251">
        <w:rPr>
          <w:rFonts w:cstheme="minorHAnsi"/>
        </w:rPr>
        <w:t>Tabela</w:t>
      </w:r>
      <w:r w:rsidR="00396A11">
        <w:rPr>
          <w:rFonts w:cstheme="minorHAnsi"/>
        </w:rPr>
        <w:t xml:space="preserve"> nr 1</w:t>
      </w:r>
      <w:r w:rsidR="00203429">
        <w:rPr>
          <w:rFonts w:cstheme="minorHAnsi"/>
        </w:rPr>
        <w:t>6</w:t>
      </w:r>
      <w:r w:rsidR="003B50ED" w:rsidRPr="00F16251">
        <w:rPr>
          <w:rFonts w:cstheme="minorHAnsi"/>
        </w:rPr>
        <w:t xml:space="preserve"> </w:t>
      </w:r>
      <w:r w:rsidRPr="00F16251">
        <w:rPr>
          <w:rFonts w:cstheme="minorHAnsi"/>
        </w:rPr>
        <w:t>Odsetek</w:t>
      </w:r>
      <w:r w:rsidR="003B50ED" w:rsidRPr="00F16251">
        <w:rPr>
          <w:rFonts w:cstheme="minorHAnsi"/>
        </w:rPr>
        <w:t xml:space="preserve"> </w:t>
      </w:r>
      <w:r w:rsidRPr="00F16251">
        <w:rPr>
          <w:rFonts w:cstheme="minorHAnsi"/>
        </w:rPr>
        <w:t>osób</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wieku</w:t>
      </w:r>
      <w:r w:rsidR="003B50ED" w:rsidRPr="00F16251">
        <w:rPr>
          <w:rFonts w:cstheme="minorHAnsi"/>
        </w:rPr>
        <w:t xml:space="preserve"> </w:t>
      </w:r>
      <w:r w:rsidRPr="00F16251">
        <w:rPr>
          <w:rFonts w:cstheme="minorHAnsi"/>
        </w:rPr>
        <w:t>65</w:t>
      </w:r>
      <w:r w:rsidR="003B50ED" w:rsidRPr="00F16251">
        <w:rPr>
          <w:rFonts w:cstheme="minorHAnsi"/>
        </w:rPr>
        <w:t xml:space="preserve"> </w:t>
      </w:r>
      <w:r w:rsidRPr="00F16251">
        <w:rPr>
          <w:rFonts w:cstheme="minorHAnsi"/>
        </w:rPr>
        <w:t>lat</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więcej</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populacji</w:t>
      </w:r>
      <w:r w:rsidR="003B50ED" w:rsidRPr="00F16251">
        <w:rPr>
          <w:rFonts w:cstheme="minorHAnsi"/>
        </w:rPr>
        <w:t xml:space="preserve"> </w:t>
      </w:r>
      <w:r w:rsidRPr="00F16251">
        <w:rPr>
          <w:rFonts w:cstheme="minorHAnsi"/>
        </w:rPr>
        <w:t>ogółem</w:t>
      </w:r>
    </w:p>
    <w:tbl>
      <w:tblPr>
        <w:tblW w:w="10201" w:type="dxa"/>
        <w:tblLayout w:type="fixed"/>
        <w:tblCellMar>
          <w:left w:w="70" w:type="dxa"/>
          <w:right w:w="70" w:type="dxa"/>
        </w:tblCellMar>
        <w:tblLook w:val="04A0" w:firstRow="1" w:lastRow="0" w:firstColumn="1" w:lastColumn="0" w:noHBand="0" w:noVBand="1"/>
      </w:tblPr>
      <w:tblGrid>
        <w:gridCol w:w="1980"/>
        <w:gridCol w:w="1644"/>
        <w:gridCol w:w="1644"/>
        <w:gridCol w:w="1644"/>
        <w:gridCol w:w="1644"/>
        <w:gridCol w:w="1645"/>
      </w:tblGrid>
      <w:tr w:rsidR="00224658" w:rsidRPr="00F16251" w14:paraId="360CA8F3" w14:textId="77777777" w:rsidTr="007F1E76">
        <w:trPr>
          <w:trHeight w:val="249"/>
        </w:trPr>
        <w:tc>
          <w:tcPr>
            <w:tcW w:w="198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063B3F01" w14:textId="3AD3BD17"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Nazwa</w:t>
            </w:r>
            <w:r w:rsidR="003B50ED" w:rsidRPr="00F16251">
              <w:rPr>
                <w:rFonts w:eastAsia="Times New Roman" w:cstheme="minorHAnsi"/>
                <w:color w:val="000000"/>
                <w:kern w:val="0"/>
                <w:lang w:eastAsia="pl-PL"/>
                <w14:ligatures w14:val="none"/>
              </w:rPr>
              <w:t xml:space="preserve"> </w:t>
            </w:r>
            <w:r w:rsidRPr="00F16251">
              <w:rPr>
                <w:rFonts w:eastAsia="Times New Roman" w:cstheme="minorHAnsi"/>
                <w:color w:val="000000"/>
                <w:kern w:val="0"/>
                <w:lang w:eastAsia="pl-PL"/>
                <w14:ligatures w14:val="none"/>
              </w:rPr>
              <w:t>gminy</w:t>
            </w:r>
            <w:r w:rsidR="003B50ED" w:rsidRPr="00F16251">
              <w:rPr>
                <w:rFonts w:eastAsia="Times New Roman" w:cstheme="minorHAnsi"/>
                <w:color w:val="000000"/>
                <w:kern w:val="0"/>
                <w:lang w:eastAsia="pl-PL"/>
                <w14:ligatures w14:val="none"/>
              </w:rPr>
              <w:t xml:space="preserve"> </w:t>
            </w:r>
          </w:p>
        </w:tc>
        <w:tc>
          <w:tcPr>
            <w:tcW w:w="1644" w:type="dxa"/>
            <w:tcBorders>
              <w:top w:val="single" w:sz="4" w:space="0" w:color="auto"/>
              <w:left w:val="nil"/>
              <w:bottom w:val="single" w:sz="4" w:space="0" w:color="auto"/>
              <w:right w:val="single" w:sz="4" w:space="0" w:color="auto"/>
            </w:tcBorders>
            <w:shd w:val="clear" w:color="000000" w:fill="DDEBF7"/>
            <w:noWrap/>
            <w:vAlign w:val="bottom"/>
            <w:hideMark/>
          </w:tcPr>
          <w:p w14:paraId="29ECBE0A"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2017</w:t>
            </w:r>
          </w:p>
        </w:tc>
        <w:tc>
          <w:tcPr>
            <w:tcW w:w="1644" w:type="dxa"/>
            <w:tcBorders>
              <w:top w:val="single" w:sz="4" w:space="0" w:color="auto"/>
              <w:left w:val="nil"/>
              <w:bottom w:val="single" w:sz="4" w:space="0" w:color="auto"/>
              <w:right w:val="single" w:sz="4" w:space="0" w:color="auto"/>
            </w:tcBorders>
            <w:shd w:val="clear" w:color="000000" w:fill="DDEBF7"/>
            <w:noWrap/>
            <w:vAlign w:val="bottom"/>
            <w:hideMark/>
          </w:tcPr>
          <w:p w14:paraId="7A436214"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2018</w:t>
            </w:r>
          </w:p>
        </w:tc>
        <w:tc>
          <w:tcPr>
            <w:tcW w:w="1644" w:type="dxa"/>
            <w:tcBorders>
              <w:top w:val="single" w:sz="4" w:space="0" w:color="auto"/>
              <w:left w:val="nil"/>
              <w:bottom w:val="single" w:sz="4" w:space="0" w:color="auto"/>
              <w:right w:val="single" w:sz="4" w:space="0" w:color="auto"/>
            </w:tcBorders>
            <w:shd w:val="clear" w:color="000000" w:fill="DDEBF7"/>
            <w:noWrap/>
            <w:vAlign w:val="bottom"/>
            <w:hideMark/>
          </w:tcPr>
          <w:p w14:paraId="06168820"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2019</w:t>
            </w:r>
          </w:p>
        </w:tc>
        <w:tc>
          <w:tcPr>
            <w:tcW w:w="1644" w:type="dxa"/>
            <w:tcBorders>
              <w:top w:val="single" w:sz="4" w:space="0" w:color="auto"/>
              <w:left w:val="nil"/>
              <w:bottom w:val="single" w:sz="4" w:space="0" w:color="auto"/>
              <w:right w:val="single" w:sz="4" w:space="0" w:color="auto"/>
            </w:tcBorders>
            <w:shd w:val="clear" w:color="000000" w:fill="DDEBF7"/>
            <w:noWrap/>
            <w:vAlign w:val="bottom"/>
            <w:hideMark/>
          </w:tcPr>
          <w:p w14:paraId="2970F03E"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2020</w:t>
            </w:r>
          </w:p>
        </w:tc>
        <w:tc>
          <w:tcPr>
            <w:tcW w:w="1645" w:type="dxa"/>
            <w:tcBorders>
              <w:top w:val="single" w:sz="4" w:space="0" w:color="auto"/>
              <w:left w:val="nil"/>
              <w:bottom w:val="single" w:sz="4" w:space="0" w:color="auto"/>
              <w:right w:val="single" w:sz="4" w:space="0" w:color="auto"/>
            </w:tcBorders>
            <w:shd w:val="clear" w:color="000000" w:fill="DDEBF7"/>
            <w:noWrap/>
            <w:vAlign w:val="bottom"/>
            <w:hideMark/>
          </w:tcPr>
          <w:p w14:paraId="6CBD5256"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2021</w:t>
            </w:r>
          </w:p>
        </w:tc>
      </w:tr>
      <w:tr w:rsidR="00224658" w:rsidRPr="00F16251" w14:paraId="14351EBB"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EBA47EC" w14:textId="77777777"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Golina</w:t>
            </w:r>
          </w:p>
        </w:tc>
        <w:tc>
          <w:tcPr>
            <w:tcW w:w="1644" w:type="dxa"/>
            <w:tcBorders>
              <w:top w:val="nil"/>
              <w:left w:val="nil"/>
              <w:bottom w:val="single" w:sz="4" w:space="0" w:color="auto"/>
              <w:right w:val="single" w:sz="4" w:space="0" w:color="auto"/>
            </w:tcBorders>
            <w:shd w:val="clear" w:color="auto" w:fill="auto"/>
            <w:noWrap/>
            <w:vAlign w:val="bottom"/>
            <w:hideMark/>
          </w:tcPr>
          <w:p w14:paraId="6B65F3CF"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13,1</w:t>
            </w:r>
          </w:p>
        </w:tc>
        <w:tc>
          <w:tcPr>
            <w:tcW w:w="1644" w:type="dxa"/>
            <w:tcBorders>
              <w:top w:val="nil"/>
              <w:left w:val="nil"/>
              <w:bottom w:val="single" w:sz="4" w:space="0" w:color="auto"/>
              <w:right w:val="single" w:sz="4" w:space="0" w:color="auto"/>
            </w:tcBorders>
            <w:shd w:val="clear" w:color="auto" w:fill="auto"/>
            <w:noWrap/>
            <w:vAlign w:val="bottom"/>
            <w:hideMark/>
          </w:tcPr>
          <w:p w14:paraId="41474C8D"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13,5</w:t>
            </w:r>
          </w:p>
        </w:tc>
        <w:tc>
          <w:tcPr>
            <w:tcW w:w="1644" w:type="dxa"/>
            <w:tcBorders>
              <w:top w:val="nil"/>
              <w:left w:val="nil"/>
              <w:bottom w:val="single" w:sz="4" w:space="0" w:color="auto"/>
              <w:right w:val="single" w:sz="4" w:space="0" w:color="auto"/>
            </w:tcBorders>
            <w:shd w:val="clear" w:color="auto" w:fill="auto"/>
            <w:noWrap/>
            <w:vAlign w:val="bottom"/>
            <w:hideMark/>
          </w:tcPr>
          <w:p w14:paraId="67509CE7"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14,1</w:t>
            </w:r>
          </w:p>
        </w:tc>
        <w:tc>
          <w:tcPr>
            <w:tcW w:w="1644" w:type="dxa"/>
            <w:tcBorders>
              <w:top w:val="nil"/>
              <w:left w:val="nil"/>
              <w:bottom w:val="single" w:sz="4" w:space="0" w:color="auto"/>
              <w:right w:val="single" w:sz="4" w:space="0" w:color="auto"/>
            </w:tcBorders>
            <w:shd w:val="clear" w:color="auto" w:fill="auto"/>
            <w:noWrap/>
            <w:vAlign w:val="bottom"/>
            <w:hideMark/>
          </w:tcPr>
          <w:p w14:paraId="1AA04866"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14,8</w:t>
            </w:r>
          </w:p>
        </w:tc>
        <w:tc>
          <w:tcPr>
            <w:tcW w:w="1645" w:type="dxa"/>
            <w:tcBorders>
              <w:top w:val="nil"/>
              <w:left w:val="nil"/>
              <w:bottom w:val="single" w:sz="4" w:space="0" w:color="auto"/>
              <w:right w:val="single" w:sz="4" w:space="0" w:color="auto"/>
            </w:tcBorders>
            <w:shd w:val="clear" w:color="auto" w:fill="auto"/>
            <w:noWrap/>
            <w:vAlign w:val="bottom"/>
            <w:hideMark/>
          </w:tcPr>
          <w:p w14:paraId="12063BE9"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15,3</w:t>
            </w:r>
          </w:p>
        </w:tc>
      </w:tr>
      <w:tr w:rsidR="00224658" w:rsidRPr="00F16251" w14:paraId="40CD48F9"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4E8B18B" w14:textId="77777777"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Grodziec</w:t>
            </w:r>
          </w:p>
        </w:tc>
        <w:tc>
          <w:tcPr>
            <w:tcW w:w="1644" w:type="dxa"/>
            <w:tcBorders>
              <w:top w:val="nil"/>
              <w:left w:val="nil"/>
              <w:bottom w:val="single" w:sz="4" w:space="0" w:color="auto"/>
              <w:right w:val="single" w:sz="4" w:space="0" w:color="auto"/>
            </w:tcBorders>
            <w:shd w:val="clear" w:color="auto" w:fill="auto"/>
            <w:noWrap/>
            <w:vAlign w:val="bottom"/>
            <w:hideMark/>
          </w:tcPr>
          <w:p w14:paraId="7DEFF184"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14,8</w:t>
            </w:r>
          </w:p>
        </w:tc>
        <w:tc>
          <w:tcPr>
            <w:tcW w:w="1644" w:type="dxa"/>
            <w:tcBorders>
              <w:top w:val="nil"/>
              <w:left w:val="nil"/>
              <w:bottom w:val="single" w:sz="4" w:space="0" w:color="auto"/>
              <w:right w:val="single" w:sz="4" w:space="0" w:color="auto"/>
            </w:tcBorders>
            <w:shd w:val="clear" w:color="auto" w:fill="auto"/>
            <w:noWrap/>
            <w:vAlign w:val="bottom"/>
            <w:hideMark/>
          </w:tcPr>
          <w:p w14:paraId="791154DA"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14,6</w:t>
            </w:r>
          </w:p>
        </w:tc>
        <w:tc>
          <w:tcPr>
            <w:tcW w:w="1644" w:type="dxa"/>
            <w:tcBorders>
              <w:top w:val="nil"/>
              <w:left w:val="nil"/>
              <w:bottom w:val="single" w:sz="4" w:space="0" w:color="auto"/>
              <w:right w:val="single" w:sz="4" w:space="0" w:color="auto"/>
            </w:tcBorders>
            <w:shd w:val="clear" w:color="auto" w:fill="auto"/>
            <w:noWrap/>
            <w:vAlign w:val="bottom"/>
            <w:hideMark/>
          </w:tcPr>
          <w:p w14:paraId="28F131CC"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14,8</w:t>
            </w:r>
          </w:p>
        </w:tc>
        <w:tc>
          <w:tcPr>
            <w:tcW w:w="1644" w:type="dxa"/>
            <w:tcBorders>
              <w:top w:val="nil"/>
              <w:left w:val="nil"/>
              <w:bottom w:val="single" w:sz="4" w:space="0" w:color="auto"/>
              <w:right w:val="single" w:sz="4" w:space="0" w:color="auto"/>
            </w:tcBorders>
            <w:shd w:val="clear" w:color="auto" w:fill="auto"/>
            <w:noWrap/>
            <w:vAlign w:val="bottom"/>
            <w:hideMark/>
          </w:tcPr>
          <w:p w14:paraId="481029AA"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15,6</w:t>
            </w:r>
          </w:p>
        </w:tc>
        <w:tc>
          <w:tcPr>
            <w:tcW w:w="1645" w:type="dxa"/>
            <w:tcBorders>
              <w:top w:val="nil"/>
              <w:left w:val="nil"/>
              <w:bottom w:val="single" w:sz="4" w:space="0" w:color="auto"/>
              <w:right w:val="single" w:sz="4" w:space="0" w:color="auto"/>
            </w:tcBorders>
            <w:shd w:val="clear" w:color="auto" w:fill="auto"/>
            <w:noWrap/>
            <w:vAlign w:val="bottom"/>
            <w:hideMark/>
          </w:tcPr>
          <w:p w14:paraId="2F1B2E55"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16,1</w:t>
            </w:r>
          </w:p>
        </w:tc>
      </w:tr>
      <w:tr w:rsidR="00224658" w:rsidRPr="00F16251" w14:paraId="30647A58"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E7546FC" w14:textId="77777777"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Rychwał</w:t>
            </w:r>
          </w:p>
        </w:tc>
        <w:tc>
          <w:tcPr>
            <w:tcW w:w="1644" w:type="dxa"/>
            <w:tcBorders>
              <w:top w:val="nil"/>
              <w:left w:val="nil"/>
              <w:bottom w:val="single" w:sz="4" w:space="0" w:color="auto"/>
              <w:right w:val="single" w:sz="4" w:space="0" w:color="auto"/>
            </w:tcBorders>
            <w:shd w:val="clear" w:color="auto" w:fill="auto"/>
            <w:noWrap/>
            <w:vAlign w:val="bottom"/>
            <w:hideMark/>
          </w:tcPr>
          <w:p w14:paraId="1430F2D0"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14,9</w:t>
            </w:r>
          </w:p>
        </w:tc>
        <w:tc>
          <w:tcPr>
            <w:tcW w:w="1644" w:type="dxa"/>
            <w:tcBorders>
              <w:top w:val="nil"/>
              <w:left w:val="nil"/>
              <w:bottom w:val="single" w:sz="4" w:space="0" w:color="auto"/>
              <w:right w:val="single" w:sz="4" w:space="0" w:color="auto"/>
            </w:tcBorders>
            <w:shd w:val="clear" w:color="auto" w:fill="auto"/>
            <w:noWrap/>
            <w:vAlign w:val="bottom"/>
            <w:hideMark/>
          </w:tcPr>
          <w:p w14:paraId="34DFD10E"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15,4</w:t>
            </w:r>
          </w:p>
        </w:tc>
        <w:tc>
          <w:tcPr>
            <w:tcW w:w="1644" w:type="dxa"/>
            <w:tcBorders>
              <w:top w:val="nil"/>
              <w:left w:val="nil"/>
              <w:bottom w:val="single" w:sz="4" w:space="0" w:color="auto"/>
              <w:right w:val="single" w:sz="4" w:space="0" w:color="auto"/>
            </w:tcBorders>
            <w:shd w:val="clear" w:color="auto" w:fill="auto"/>
            <w:noWrap/>
            <w:vAlign w:val="bottom"/>
            <w:hideMark/>
          </w:tcPr>
          <w:p w14:paraId="0963E878"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15,8</w:t>
            </w:r>
          </w:p>
        </w:tc>
        <w:tc>
          <w:tcPr>
            <w:tcW w:w="1644" w:type="dxa"/>
            <w:tcBorders>
              <w:top w:val="nil"/>
              <w:left w:val="nil"/>
              <w:bottom w:val="single" w:sz="4" w:space="0" w:color="auto"/>
              <w:right w:val="single" w:sz="4" w:space="0" w:color="auto"/>
            </w:tcBorders>
            <w:shd w:val="clear" w:color="auto" w:fill="auto"/>
            <w:noWrap/>
            <w:vAlign w:val="bottom"/>
            <w:hideMark/>
          </w:tcPr>
          <w:p w14:paraId="58DA0A06"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16,8</w:t>
            </w:r>
          </w:p>
        </w:tc>
        <w:tc>
          <w:tcPr>
            <w:tcW w:w="1645" w:type="dxa"/>
            <w:tcBorders>
              <w:top w:val="nil"/>
              <w:left w:val="nil"/>
              <w:bottom w:val="single" w:sz="4" w:space="0" w:color="auto"/>
              <w:right w:val="single" w:sz="4" w:space="0" w:color="auto"/>
            </w:tcBorders>
            <w:shd w:val="clear" w:color="auto" w:fill="auto"/>
            <w:noWrap/>
            <w:vAlign w:val="bottom"/>
            <w:hideMark/>
          </w:tcPr>
          <w:p w14:paraId="3FBF7E7E"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17,1</w:t>
            </w:r>
          </w:p>
        </w:tc>
      </w:tr>
      <w:tr w:rsidR="00224658" w:rsidRPr="00F16251" w14:paraId="58BDBCBE"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9B66241" w14:textId="77777777"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Rzgów</w:t>
            </w:r>
          </w:p>
        </w:tc>
        <w:tc>
          <w:tcPr>
            <w:tcW w:w="1644" w:type="dxa"/>
            <w:tcBorders>
              <w:top w:val="nil"/>
              <w:left w:val="nil"/>
              <w:bottom w:val="single" w:sz="4" w:space="0" w:color="auto"/>
              <w:right w:val="single" w:sz="4" w:space="0" w:color="auto"/>
            </w:tcBorders>
            <w:shd w:val="clear" w:color="auto" w:fill="auto"/>
            <w:noWrap/>
            <w:vAlign w:val="bottom"/>
            <w:hideMark/>
          </w:tcPr>
          <w:p w14:paraId="04E41AC1"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13,6</w:t>
            </w:r>
          </w:p>
        </w:tc>
        <w:tc>
          <w:tcPr>
            <w:tcW w:w="1644" w:type="dxa"/>
            <w:tcBorders>
              <w:top w:val="nil"/>
              <w:left w:val="nil"/>
              <w:bottom w:val="single" w:sz="4" w:space="0" w:color="auto"/>
              <w:right w:val="single" w:sz="4" w:space="0" w:color="auto"/>
            </w:tcBorders>
            <w:shd w:val="clear" w:color="auto" w:fill="auto"/>
            <w:noWrap/>
            <w:vAlign w:val="bottom"/>
            <w:hideMark/>
          </w:tcPr>
          <w:p w14:paraId="3DE30800"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14,0</w:t>
            </w:r>
          </w:p>
        </w:tc>
        <w:tc>
          <w:tcPr>
            <w:tcW w:w="1644" w:type="dxa"/>
            <w:tcBorders>
              <w:top w:val="nil"/>
              <w:left w:val="nil"/>
              <w:bottom w:val="single" w:sz="4" w:space="0" w:color="auto"/>
              <w:right w:val="single" w:sz="4" w:space="0" w:color="auto"/>
            </w:tcBorders>
            <w:shd w:val="clear" w:color="auto" w:fill="auto"/>
            <w:noWrap/>
            <w:vAlign w:val="bottom"/>
            <w:hideMark/>
          </w:tcPr>
          <w:p w14:paraId="49B6B015"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14,5</w:t>
            </w:r>
          </w:p>
        </w:tc>
        <w:tc>
          <w:tcPr>
            <w:tcW w:w="1644" w:type="dxa"/>
            <w:tcBorders>
              <w:top w:val="nil"/>
              <w:left w:val="nil"/>
              <w:bottom w:val="single" w:sz="4" w:space="0" w:color="auto"/>
              <w:right w:val="single" w:sz="4" w:space="0" w:color="auto"/>
            </w:tcBorders>
            <w:shd w:val="clear" w:color="auto" w:fill="auto"/>
            <w:noWrap/>
            <w:vAlign w:val="bottom"/>
            <w:hideMark/>
          </w:tcPr>
          <w:p w14:paraId="008DE56F"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15,0</w:t>
            </w:r>
          </w:p>
        </w:tc>
        <w:tc>
          <w:tcPr>
            <w:tcW w:w="1645" w:type="dxa"/>
            <w:tcBorders>
              <w:top w:val="nil"/>
              <w:left w:val="nil"/>
              <w:bottom w:val="single" w:sz="4" w:space="0" w:color="auto"/>
              <w:right w:val="single" w:sz="4" w:space="0" w:color="auto"/>
            </w:tcBorders>
            <w:shd w:val="clear" w:color="auto" w:fill="auto"/>
            <w:noWrap/>
            <w:vAlign w:val="bottom"/>
            <w:hideMark/>
          </w:tcPr>
          <w:p w14:paraId="5EA77198"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15,5</w:t>
            </w:r>
          </w:p>
        </w:tc>
      </w:tr>
      <w:tr w:rsidR="00224658" w:rsidRPr="00F16251" w14:paraId="14A18073"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1FEB93E" w14:textId="61FC063B"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Stare</w:t>
            </w:r>
            <w:r w:rsidR="003B50ED" w:rsidRPr="00F16251">
              <w:rPr>
                <w:rFonts w:eastAsia="Times New Roman" w:cstheme="minorHAnsi"/>
                <w:color w:val="000000"/>
                <w:kern w:val="0"/>
                <w:lang w:eastAsia="pl-PL"/>
                <w14:ligatures w14:val="none"/>
              </w:rPr>
              <w:t xml:space="preserve"> </w:t>
            </w:r>
            <w:r w:rsidRPr="00F16251">
              <w:rPr>
                <w:rFonts w:eastAsia="Times New Roman" w:cstheme="minorHAnsi"/>
                <w:color w:val="000000"/>
                <w:kern w:val="0"/>
                <w:lang w:eastAsia="pl-PL"/>
                <w14:ligatures w14:val="none"/>
              </w:rPr>
              <w:t>Miasto</w:t>
            </w:r>
          </w:p>
        </w:tc>
        <w:tc>
          <w:tcPr>
            <w:tcW w:w="1644" w:type="dxa"/>
            <w:tcBorders>
              <w:top w:val="nil"/>
              <w:left w:val="nil"/>
              <w:bottom w:val="single" w:sz="4" w:space="0" w:color="auto"/>
              <w:right w:val="single" w:sz="4" w:space="0" w:color="auto"/>
            </w:tcBorders>
            <w:shd w:val="clear" w:color="auto" w:fill="auto"/>
            <w:noWrap/>
            <w:vAlign w:val="bottom"/>
            <w:hideMark/>
          </w:tcPr>
          <w:p w14:paraId="24152870"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12,1</w:t>
            </w:r>
          </w:p>
        </w:tc>
        <w:tc>
          <w:tcPr>
            <w:tcW w:w="1644" w:type="dxa"/>
            <w:tcBorders>
              <w:top w:val="nil"/>
              <w:left w:val="nil"/>
              <w:bottom w:val="single" w:sz="4" w:space="0" w:color="auto"/>
              <w:right w:val="single" w:sz="4" w:space="0" w:color="auto"/>
            </w:tcBorders>
            <w:shd w:val="clear" w:color="auto" w:fill="auto"/>
            <w:noWrap/>
            <w:vAlign w:val="bottom"/>
            <w:hideMark/>
          </w:tcPr>
          <w:p w14:paraId="5ABD0AE8"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12,5</w:t>
            </w:r>
          </w:p>
        </w:tc>
        <w:tc>
          <w:tcPr>
            <w:tcW w:w="1644" w:type="dxa"/>
            <w:tcBorders>
              <w:top w:val="nil"/>
              <w:left w:val="nil"/>
              <w:bottom w:val="single" w:sz="4" w:space="0" w:color="auto"/>
              <w:right w:val="single" w:sz="4" w:space="0" w:color="auto"/>
            </w:tcBorders>
            <w:shd w:val="clear" w:color="auto" w:fill="auto"/>
            <w:noWrap/>
            <w:vAlign w:val="bottom"/>
            <w:hideMark/>
          </w:tcPr>
          <w:p w14:paraId="21585C4C"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12,8</w:t>
            </w:r>
          </w:p>
        </w:tc>
        <w:tc>
          <w:tcPr>
            <w:tcW w:w="1644" w:type="dxa"/>
            <w:tcBorders>
              <w:top w:val="nil"/>
              <w:left w:val="nil"/>
              <w:bottom w:val="single" w:sz="4" w:space="0" w:color="auto"/>
              <w:right w:val="single" w:sz="4" w:space="0" w:color="auto"/>
            </w:tcBorders>
            <w:shd w:val="clear" w:color="auto" w:fill="auto"/>
            <w:noWrap/>
            <w:vAlign w:val="bottom"/>
            <w:hideMark/>
          </w:tcPr>
          <w:p w14:paraId="55D9864E"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13,3</w:t>
            </w:r>
          </w:p>
        </w:tc>
        <w:tc>
          <w:tcPr>
            <w:tcW w:w="1645" w:type="dxa"/>
            <w:tcBorders>
              <w:top w:val="nil"/>
              <w:left w:val="nil"/>
              <w:bottom w:val="single" w:sz="4" w:space="0" w:color="auto"/>
              <w:right w:val="single" w:sz="4" w:space="0" w:color="auto"/>
            </w:tcBorders>
            <w:shd w:val="clear" w:color="auto" w:fill="auto"/>
            <w:noWrap/>
            <w:vAlign w:val="bottom"/>
            <w:hideMark/>
          </w:tcPr>
          <w:p w14:paraId="15024F1B"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13,5</w:t>
            </w:r>
          </w:p>
        </w:tc>
      </w:tr>
      <w:tr w:rsidR="00224658" w:rsidRPr="00F16251" w14:paraId="1D85BEDD"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2C973C0" w14:textId="77777777"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Tuliszków</w:t>
            </w:r>
          </w:p>
        </w:tc>
        <w:tc>
          <w:tcPr>
            <w:tcW w:w="1644" w:type="dxa"/>
            <w:tcBorders>
              <w:top w:val="nil"/>
              <w:left w:val="nil"/>
              <w:bottom w:val="single" w:sz="4" w:space="0" w:color="auto"/>
              <w:right w:val="single" w:sz="4" w:space="0" w:color="auto"/>
            </w:tcBorders>
            <w:shd w:val="clear" w:color="auto" w:fill="auto"/>
            <w:noWrap/>
            <w:vAlign w:val="bottom"/>
            <w:hideMark/>
          </w:tcPr>
          <w:p w14:paraId="556A5A86"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13,4</w:t>
            </w:r>
          </w:p>
        </w:tc>
        <w:tc>
          <w:tcPr>
            <w:tcW w:w="1644" w:type="dxa"/>
            <w:tcBorders>
              <w:top w:val="nil"/>
              <w:left w:val="nil"/>
              <w:bottom w:val="single" w:sz="4" w:space="0" w:color="auto"/>
              <w:right w:val="single" w:sz="4" w:space="0" w:color="auto"/>
            </w:tcBorders>
            <w:shd w:val="clear" w:color="auto" w:fill="auto"/>
            <w:noWrap/>
            <w:vAlign w:val="bottom"/>
            <w:hideMark/>
          </w:tcPr>
          <w:p w14:paraId="6C1FB559"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13,9</w:t>
            </w:r>
          </w:p>
        </w:tc>
        <w:tc>
          <w:tcPr>
            <w:tcW w:w="1644" w:type="dxa"/>
            <w:tcBorders>
              <w:top w:val="nil"/>
              <w:left w:val="nil"/>
              <w:bottom w:val="single" w:sz="4" w:space="0" w:color="auto"/>
              <w:right w:val="single" w:sz="4" w:space="0" w:color="auto"/>
            </w:tcBorders>
            <w:shd w:val="clear" w:color="auto" w:fill="auto"/>
            <w:noWrap/>
            <w:vAlign w:val="bottom"/>
            <w:hideMark/>
          </w:tcPr>
          <w:p w14:paraId="177CFC0A"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14,4</w:t>
            </w:r>
          </w:p>
        </w:tc>
        <w:tc>
          <w:tcPr>
            <w:tcW w:w="1644" w:type="dxa"/>
            <w:tcBorders>
              <w:top w:val="nil"/>
              <w:left w:val="nil"/>
              <w:bottom w:val="single" w:sz="4" w:space="0" w:color="auto"/>
              <w:right w:val="single" w:sz="4" w:space="0" w:color="auto"/>
            </w:tcBorders>
            <w:shd w:val="clear" w:color="auto" w:fill="auto"/>
            <w:noWrap/>
            <w:vAlign w:val="bottom"/>
            <w:hideMark/>
          </w:tcPr>
          <w:p w14:paraId="30DDC3E8"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15,0</w:t>
            </w:r>
          </w:p>
        </w:tc>
        <w:tc>
          <w:tcPr>
            <w:tcW w:w="1645" w:type="dxa"/>
            <w:tcBorders>
              <w:top w:val="nil"/>
              <w:left w:val="nil"/>
              <w:bottom w:val="single" w:sz="4" w:space="0" w:color="auto"/>
              <w:right w:val="single" w:sz="4" w:space="0" w:color="auto"/>
            </w:tcBorders>
            <w:shd w:val="clear" w:color="auto" w:fill="auto"/>
            <w:noWrap/>
            <w:vAlign w:val="bottom"/>
            <w:hideMark/>
          </w:tcPr>
          <w:p w14:paraId="46B15E91"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15,3</w:t>
            </w:r>
          </w:p>
        </w:tc>
      </w:tr>
      <w:tr w:rsidR="005C40E5" w:rsidRPr="00F16251" w14:paraId="78A2C3EB" w14:textId="77777777" w:rsidTr="007F1E76">
        <w:trPr>
          <w:trHeight w:val="249"/>
        </w:trPr>
        <w:tc>
          <w:tcPr>
            <w:tcW w:w="1980" w:type="dxa"/>
            <w:tcBorders>
              <w:top w:val="nil"/>
              <w:left w:val="single" w:sz="4" w:space="0" w:color="auto"/>
              <w:bottom w:val="single" w:sz="4" w:space="0" w:color="auto"/>
              <w:right w:val="single" w:sz="4" w:space="0" w:color="auto"/>
            </w:tcBorders>
            <w:shd w:val="clear" w:color="000000" w:fill="DDEBF7"/>
            <w:vAlign w:val="bottom"/>
            <w:hideMark/>
          </w:tcPr>
          <w:p w14:paraId="2EF7E420" w14:textId="2B298F6B" w:rsidR="005C40E5" w:rsidRPr="00F16251" w:rsidRDefault="005C40E5" w:rsidP="005C40E5">
            <w:pPr>
              <w:spacing w:line="276" w:lineRule="auto"/>
              <w:rPr>
                <w:rFonts w:eastAsia="Times New Roman" w:cstheme="minorHAnsi"/>
                <w:color w:val="000000"/>
                <w:kern w:val="0"/>
                <w:lang w:eastAsia="pl-PL"/>
                <w14:ligatures w14:val="none"/>
              </w:rPr>
            </w:pPr>
            <w:r w:rsidRPr="00F16251">
              <w:rPr>
                <w:rFonts w:ascii="Calibri" w:hAnsi="Calibri" w:cs="Calibri"/>
                <w:color w:val="000000"/>
              </w:rPr>
              <w:t>Średnia LGD</w:t>
            </w:r>
          </w:p>
        </w:tc>
        <w:tc>
          <w:tcPr>
            <w:tcW w:w="1644" w:type="dxa"/>
            <w:tcBorders>
              <w:top w:val="nil"/>
              <w:left w:val="nil"/>
              <w:bottom w:val="single" w:sz="4" w:space="0" w:color="auto"/>
              <w:right w:val="single" w:sz="4" w:space="0" w:color="auto"/>
            </w:tcBorders>
            <w:shd w:val="clear" w:color="000000" w:fill="DDEBF7"/>
            <w:noWrap/>
            <w:vAlign w:val="bottom"/>
            <w:hideMark/>
          </w:tcPr>
          <w:p w14:paraId="76F7702B" w14:textId="00BFC04B" w:rsidR="005C40E5" w:rsidRPr="00F16251" w:rsidRDefault="005C40E5" w:rsidP="005C40E5">
            <w:pPr>
              <w:spacing w:line="276" w:lineRule="auto"/>
              <w:jc w:val="right"/>
              <w:rPr>
                <w:rFonts w:eastAsia="Times New Roman" w:cstheme="minorHAnsi"/>
                <w:color w:val="000000"/>
                <w:kern w:val="0"/>
                <w:lang w:eastAsia="pl-PL"/>
                <w14:ligatures w14:val="none"/>
              </w:rPr>
            </w:pPr>
            <w:r w:rsidRPr="00F16251">
              <w:rPr>
                <w:rFonts w:ascii="Calibri" w:hAnsi="Calibri" w:cs="Calibri"/>
                <w:color w:val="000000"/>
              </w:rPr>
              <w:t>13,65</w:t>
            </w:r>
          </w:p>
        </w:tc>
        <w:tc>
          <w:tcPr>
            <w:tcW w:w="1644" w:type="dxa"/>
            <w:tcBorders>
              <w:top w:val="nil"/>
              <w:left w:val="nil"/>
              <w:bottom w:val="single" w:sz="4" w:space="0" w:color="auto"/>
              <w:right w:val="single" w:sz="4" w:space="0" w:color="auto"/>
            </w:tcBorders>
            <w:shd w:val="clear" w:color="000000" w:fill="DDEBF7"/>
            <w:noWrap/>
            <w:vAlign w:val="bottom"/>
            <w:hideMark/>
          </w:tcPr>
          <w:p w14:paraId="0D972BF1" w14:textId="690A6C65" w:rsidR="005C40E5" w:rsidRPr="00F16251" w:rsidRDefault="005C40E5" w:rsidP="005C40E5">
            <w:pPr>
              <w:spacing w:line="276" w:lineRule="auto"/>
              <w:jc w:val="right"/>
              <w:rPr>
                <w:rFonts w:eastAsia="Times New Roman" w:cstheme="minorHAnsi"/>
                <w:color w:val="000000"/>
                <w:kern w:val="0"/>
                <w:lang w:eastAsia="pl-PL"/>
                <w14:ligatures w14:val="none"/>
              </w:rPr>
            </w:pPr>
            <w:r w:rsidRPr="00F16251">
              <w:rPr>
                <w:rFonts w:ascii="Calibri" w:hAnsi="Calibri" w:cs="Calibri"/>
                <w:color w:val="000000"/>
              </w:rPr>
              <w:t>13,98</w:t>
            </w:r>
          </w:p>
        </w:tc>
        <w:tc>
          <w:tcPr>
            <w:tcW w:w="1644" w:type="dxa"/>
            <w:tcBorders>
              <w:top w:val="nil"/>
              <w:left w:val="nil"/>
              <w:bottom w:val="single" w:sz="4" w:space="0" w:color="auto"/>
              <w:right w:val="single" w:sz="4" w:space="0" w:color="auto"/>
            </w:tcBorders>
            <w:shd w:val="clear" w:color="000000" w:fill="DDEBF7"/>
            <w:noWrap/>
            <w:vAlign w:val="bottom"/>
            <w:hideMark/>
          </w:tcPr>
          <w:p w14:paraId="7B7D7C03" w14:textId="5C171A23" w:rsidR="005C40E5" w:rsidRPr="00F16251" w:rsidRDefault="005C40E5" w:rsidP="005C40E5">
            <w:pPr>
              <w:spacing w:line="276" w:lineRule="auto"/>
              <w:jc w:val="right"/>
              <w:rPr>
                <w:rFonts w:eastAsia="Times New Roman" w:cstheme="minorHAnsi"/>
                <w:color w:val="000000"/>
                <w:kern w:val="0"/>
                <w:lang w:eastAsia="pl-PL"/>
                <w14:ligatures w14:val="none"/>
              </w:rPr>
            </w:pPr>
            <w:r w:rsidRPr="00F16251">
              <w:rPr>
                <w:rFonts w:ascii="Calibri" w:hAnsi="Calibri" w:cs="Calibri"/>
                <w:color w:val="000000"/>
              </w:rPr>
              <w:t>14,40</w:t>
            </w:r>
          </w:p>
        </w:tc>
        <w:tc>
          <w:tcPr>
            <w:tcW w:w="1644" w:type="dxa"/>
            <w:tcBorders>
              <w:top w:val="nil"/>
              <w:left w:val="nil"/>
              <w:bottom w:val="single" w:sz="4" w:space="0" w:color="auto"/>
              <w:right w:val="single" w:sz="4" w:space="0" w:color="auto"/>
            </w:tcBorders>
            <w:shd w:val="clear" w:color="000000" w:fill="DDEBF7"/>
            <w:noWrap/>
            <w:vAlign w:val="bottom"/>
            <w:hideMark/>
          </w:tcPr>
          <w:p w14:paraId="180B7987" w14:textId="621EA0D1" w:rsidR="005C40E5" w:rsidRPr="00F16251" w:rsidRDefault="005C40E5" w:rsidP="005C40E5">
            <w:pPr>
              <w:spacing w:line="276" w:lineRule="auto"/>
              <w:jc w:val="right"/>
              <w:rPr>
                <w:rFonts w:eastAsia="Times New Roman" w:cstheme="minorHAnsi"/>
                <w:color w:val="000000"/>
                <w:kern w:val="0"/>
                <w:lang w:eastAsia="pl-PL"/>
                <w14:ligatures w14:val="none"/>
              </w:rPr>
            </w:pPr>
            <w:r w:rsidRPr="00F16251">
              <w:rPr>
                <w:rFonts w:ascii="Calibri" w:hAnsi="Calibri" w:cs="Calibri"/>
                <w:color w:val="000000"/>
              </w:rPr>
              <w:t>15,08</w:t>
            </w:r>
          </w:p>
        </w:tc>
        <w:tc>
          <w:tcPr>
            <w:tcW w:w="1645" w:type="dxa"/>
            <w:tcBorders>
              <w:top w:val="nil"/>
              <w:left w:val="nil"/>
              <w:bottom w:val="single" w:sz="4" w:space="0" w:color="auto"/>
              <w:right w:val="single" w:sz="4" w:space="0" w:color="auto"/>
            </w:tcBorders>
            <w:shd w:val="clear" w:color="000000" w:fill="DDEBF7"/>
            <w:noWrap/>
            <w:vAlign w:val="bottom"/>
            <w:hideMark/>
          </w:tcPr>
          <w:p w14:paraId="0B41DC08" w14:textId="12444787" w:rsidR="005C40E5" w:rsidRPr="00F16251" w:rsidRDefault="005C40E5" w:rsidP="005C40E5">
            <w:pPr>
              <w:spacing w:line="276" w:lineRule="auto"/>
              <w:jc w:val="right"/>
              <w:rPr>
                <w:rFonts w:eastAsia="Times New Roman" w:cstheme="minorHAnsi"/>
                <w:color w:val="000000"/>
                <w:kern w:val="0"/>
                <w:lang w:eastAsia="pl-PL"/>
                <w14:ligatures w14:val="none"/>
              </w:rPr>
            </w:pPr>
            <w:r w:rsidRPr="00F16251">
              <w:rPr>
                <w:rFonts w:ascii="Calibri" w:hAnsi="Calibri" w:cs="Calibri"/>
                <w:color w:val="000000"/>
              </w:rPr>
              <w:t>15,47</w:t>
            </w:r>
          </w:p>
        </w:tc>
      </w:tr>
    </w:tbl>
    <w:p w14:paraId="1743043C" w14:textId="4E8765AB" w:rsidR="00224658" w:rsidRPr="00F16251" w:rsidRDefault="00224658" w:rsidP="00A26C26">
      <w:pPr>
        <w:spacing w:line="276" w:lineRule="auto"/>
        <w:rPr>
          <w:rFonts w:cstheme="minorHAnsi"/>
        </w:rPr>
      </w:pPr>
      <w:r w:rsidRPr="00F16251">
        <w:rPr>
          <w:rFonts w:cstheme="minorHAnsi"/>
        </w:rPr>
        <w:t>Źródło:</w:t>
      </w:r>
      <w:r w:rsidR="003B50ED" w:rsidRPr="00F16251">
        <w:rPr>
          <w:rFonts w:cstheme="minorHAnsi"/>
        </w:rPr>
        <w:t xml:space="preserve"> </w:t>
      </w:r>
      <w:r w:rsidRPr="00F16251">
        <w:rPr>
          <w:rFonts w:cstheme="minorHAnsi"/>
        </w:rPr>
        <w:t>GUS,</w:t>
      </w:r>
      <w:r w:rsidR="003B50ED" w:rsidRPr="00F16251">
        <w:rPr>
          <w:rFonts w:cstheme="minorHAnsi"/>
        </w:rPr>
        <w:t xml:space="preserve"> </w:t>
      </w:r>
      <w:r w:rsidRPr="00F16251">
        <w:rPr>
          <w:rFonts w:cstheme="minorHAnsi"/>
        </w:rPr>
        <w:t>Bank</w:t>
      </w:r>
      <w:r w:rsidR="003B50ED" w:rsidRPr="00F16251">
        <w:rPr>
          <w:rFonts w:cstheme="minorHAnsi"/>
        </w:rPr>
        <w:t xml:space="preserve"> </w:t>
      </w:r>
      <w:r w:rsidRPr="00F16251">
        <w:rPr>
          <w:rFonts w:cstheme="minorHAnsi"/>
        </w:rPr>
        <w:t>Danych</w:t>
      </w:r>
      <w:r w:rsidR="003B50ED" w:rsidRPr="00F16251">
        <w:rPr>
          <w:rFonts w:cstheme="minorHAnsi"/>
        </w:rPr>
        <w:t xml:space="preserve"> </w:t>
      </w:r>
      <w:r w:rsidRPr="00F16251">
        <w:rPr>
          <w:rFonts w:cstheme="minorHAnsi"/>
        </w:rPr>
        <w:t>Lokalnych</w:t>
      </w:r>
    </w:p>
    <w:p w14:paraId="01064100" w14:textId="77777777" w:rsidR="00224658" w:rsidRPr="00F16251" w:rsidRDefault="00224658" w:rsidP="00A26C26">
      <w:pPr>
        <w:spacing w:line="276" w:lineRule="auto"/>
        <w:rPr>
          <w:rFonts w:cstheme="minorHAnsi"/>
        </w:rPr>
      </w:pPr>
    </w:p>
    <w:p w14:paraId="3C2B8A62" w14:textId="04F9B132" w:rsidR="00224658" w:rsidRDefault="00224658" w:rsidP="00A26C26">
      <w:pPr>
        <w:spacing w:line="276" w:lineRule="auto"/>
        <w:ind w:firstLine="360"/>
        <w:jc w:val="both"/>
        <w:rPr>
          <w:rFonts w:cstheme="minorHAnsi"/>
        </w:rPr>
      </w:pPr>
      <w:r w:rsidRPr="00F16251">
        <w:rPr>
          <w:rFonts w:cstheme="minorHAnsi"/>
        </w:rPr>
        <w:t>Ponadto,</w:t>
      </w:r>
      <w:r w:rsidR="003B50ED" w:rsidRPr="00F16251">
        <w:rPr>
          <w:rFonts w:cstheme="minorHAnsi"/>
        </w:rPr>
        <w:t xml:space="preserve"> </w:t>
      </w:r>
      <w:r w:rsidRPr="00F16251">
        <w:rPr>
          <w:rFonts w:cstheme="minorHAnsi"/>
        </w:rPr>
        <w:t>dostępne</w:t>
      </w:r>
      <w:r w:rsidR="003B50ED" w:rsidRPr="00F16251">
        <w:rPr>
          <w:rFonts w:cstheme="minorHAnsi"/>
        </w:rPr>
        <w:t xml:space="preserve"> </w:t>
      </w:r>
      <w:r w:rsidRPr="00F16251">
        <w:rPr>
          <w:rFonts w:cstheme="minorHAnsi"/>
        </w:rPr>
        <w:t>dane</w:t>
      </w:r>
      <w:r w:rsidR="003B50ED" w:rsidRPr="00F16251">
        <w:rPr>
          <w:rFonts w:cstheme="minorHAnsi"/>
        </w:rPr>
        <w:t xml:space="preserve"> </w:t>
      </w:r>
      <w:r w:rsidRPr="00F16251">
        <w:rPr>
          <w:rFonts w:cstheme="minorHAnsi"/>
        </w:rPr>
        <w:t>GUS</w:t>
      </w:r>
      <w:r w:rsidR="003B50ED" w:rsidRPr="00F16251">
        <w:rPr>
          <w:rFonts w:cstheme="minorHAnsi"/>
        </w:rPr>
        <w:t xml:space="preserve"> </w:t>
      </w:r>
      <w:r w:rsidRPr="00F16251">
        <w:rPr>
          <w:rFonts w:cstheme="minorHAnsi"/>
        </w:rPr>
        <w:t>pokazują,</w:t>
      </w:r>
      <w:r w:rsidR="003B50ED" w:rsidRPr="00F16251">
        <w:rPr>
          <w:rFonts w:cstheme="minorHAnsi"/>
        </w:rPr>
        <w:t xml:space="preserve"> </w:t>
      </w:r>
      <w:r w:rsidRPr="00F16251">
        <w:rPr>
          <w:rFonts w:cstheme="minorHAnsi"/>
        </w:rPr>
        <w:t>że</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przestrzeni</w:t>
      </w:r>
      <w:r w:rsidR="003B50ED" w:rsidRPr="00F16251">
        <w:rPr>
          <w:rFonts w:cstheme="minorHAnsi"/>
        </w:rPr>
        <w:t xml:space="preserve"> </w:t>
      </w:r>
      <w:r w:rsidRPr="00F16251">
        <w:rPr>
          <w:rFonts w:cstheme="minorHAnsi"/>
        </w:rPr>
        <w:t>ostatnich</w:t>
      </w:r>
      <w:r w:rsidR="003B50ED" w:rsidRPr="00F16251">
        <w:rPr>
          <w:rFonts w:cstheme="minorHAnsi"/>
        </w:rPr>
        <w:t xml:space="preserve"> </w:t>
      </w:r>
      <w:r w:rsidRPr="00F16251">
        <w:rPr>
          <w:rFonts w:cstheme="minorHAnsi"/>
        </w:rPr>
        <w:t>kilku</w:t>
      </w:r>
      <w:r w:rsidR="003B50ED" w:rsidRPr="00F16251">
        <w:rPr>
          <w:rFonts w:cstheme="minorHAnsi"/>
        </w:rPr>
        <w:t xml:space="preserve"> </w:t>
      </w:r>
      <w:r w:rsidRPr="00F16251">
        <w:rPr>
          <w:rFonts w:cstheme="minorHAnsi"/>
        </w:rPr>
        <w:t>lat</w:t>
      </w:r>
      <w:r w:rsidR="003B50ED" w:rsidRPr="00F16251">
        <w:rPr>
          <w:rFonts w:cstheme="minorHAnsi"/>
        </w:rPr>
        <w:t xml:space="preserve"> </w:t>
      </w:r>
      <w:r w:rsidRPr="00F16251">
        <w:rPr>
          <w:rFonts w:cstheme="minorHAnsi"/>
        </w:rPr>
        <w:t>obciążenie</w:t>
      </w:r>
      <w:r w:rsidR="003B50ED" w:rsidRPr="00F16251">
        <w:rPr>
          <w:rFonts w:cstheme="minorHAnsi"/>
        </w:rPr>
        <w:t xml:space="preserve"> </w:t>
      </w:r>
      <w:r w:rsidRPr="00F16251">
        <w:rPr>
          <w:rFonts w:cstheme="minorHAnsi"/>
        </w:rPr>
        <w:t>demograficzne</w:t>
      </w:r>
      <w:r w:rsidR="003B50ED" w:rsidRPr="00F16251">
        <w:rPr>
          <w:rFonts w:cstheme="minorHAnsi"/>
        </w:rPr>
        <w:t xml:space="preserve"> </w:t>
      </w:r>
      <w:r w:rsidRPr="00F16251">
        <w:rPr>
          <w:rFonts w:cstheme="minorHAnsi"/>
        </w:rPr>
        <w:t>rozumiane</w:t>
      </w:r>
      <w:r w:rsidR="003B50ED" w:rsidRPr="00F16251">
        <w:rPr>
          <w:rFonts w:cstheme="minorHAnsi"/>
        </w:rPr>
        <w:t xml:space="preserve"> </w:t>
      </w:r>
      <w:r w:rsidRPr="00F16251">
        <w:rPr>
          <w:rFonts w:cstheme="minorHAnsi"/>
        </w:rPr>
        <w:t>jako</w:t>
      </w:r>
      <w:r w:rsidR="003B50ED" w:rsidRPr="00F16251">
        <w:rPr>
          <w:rFonts w:cstheme="minorHAnsi"/>
        </w:rPr>
        <w:t xml:space="preserve"> </w:t>
      </w:r>
      <w:r w:rsidRPr="00F16251">
        <w:rPr>
          <w:rFonts w:cstheme="minorHAnsi"/>
        </w:rPr>
        <w:t>wskaźnik</w:t>
      </w:r>
      <w:r w:rsidR="003B50ED" w:rsidRPr="00F16251">
        <w:rPr>
          <w:rFonts w:cstheme="minorHAnsi"/>
        </w:rPr>
        <w:t xml:space="preserve"> </w:t>
      </w:r>
      <w:r w:rsidRPr="00F16251">
        <w:rPr>
          <w:rFonts w:cstheme="minorHAnsi"/>
        </w:rPr>
        <w:t>wyrażający</w:t>
      </w:r>
      <w:r w:rsidR="003B50ED" w:rsidRPr="00F16251">
        <w:rPr>
          <w:rFonts w:cstheme="minorHAnsi"/>
        </w:rPr>
        <w:t xml:space="preserve"> </w:t>
      </w:r>
      <w:r w:rsidRPr="00F16251">
        <w:rPr>
          <w:rFonts w:cstheme="minorHAnsi"/>
        </w:rPr>
        <w:t>stosunek</w:t>
      </w:r>
      <w:r w:rsidR="003B50ED" w:rsidRPr="00F16251">
        <w:rPr>
          <w:rFonts w:cstheme="minorHAnsi"/>
        </w:rPr>
        <w:t xml:space="preserve"> </w:t>
      </w:r>
      <w:r w:rsidRPr="00F16251">
        <w:rPr>
          <w:rFonts w:cstheme="minorHAnsi"/>
        </w:rPr>
        <w:t>osób</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wieku</w:t>
      </w:r>
      <w:r w:rsidR="003B50ED" w:rsidRPr="00F16251">
        <w:rPr>
          <w:rFonts w:cstheme="minorHAnsi"/>
        </w:rPr>
        <w:t xml:space="preserve"> </w:t>
      </w:r>
      <w:r w:rsidRPr="00F16251">
        <w:rPr>
          <w:rFonts w:cstheme="minorHAnsi"/>
        </w:rPr>
        <w:t>65+</w:t>
      </w:r>
      <w:r w:rsidR="003B50ED" w:rsidRPr="00F16251">
        <w:rPr>
          <w:rFonts w:cstheme="minorHAnsi"/>
        </w:rPr>
        <w:t xml:space="preserve"> </w:t>
      </w:r>
      <w:r w:rsidRPr="00F16251">
        <w:rPr>
          <w:rFonts w:cstheme="minorHAnsi"/>
        </w:rPr>
        <w:t>lat,</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osób</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wieku</w:t>
      </w:r>
      <w:r w:rsidR="003B50ED" w:rsidRPr="00F16251">
        <w:rPr>
          <w:rFonts w:cstheme="minorHAnsi"/>
        </w:rPr>
        <w:t xml:space="preserve"> </w:t>
      </w:r>
      <w:r w:rsidRPr="00F16251">
        <w:rPr>
          <w:rFonts w:cstheme="minorHAnsi"/>
        </w:rPr>
        <w:t>15-64</w:t>
      </w:r>
      <w:r w:rsidR="003B50ED" w:rsidRPr="00F16251">
        <w:rPr>
          <w:rFonts w:cstheme="minorHAnsi"/>
        </w:rPr>
        <w:t xml:space="preserve"> </w:t>
      </w:r>
      <w:r w:rsidRPr="00F16251">
        <w:rPr>
          <w:rFonts w:cstheme="minorHAnsi"/>
        </w:rPr>
        <w:t>lata</w:t>
      </w:r>
      <w:r w:rsidR="003B50ED" w:rsidRPr="00F16251">
        <w:rPr>
          <w:rFonts w:cstheme="minorHAnsi"/>
        </w:rPr>
        <w:t xml:space="preserve"> </w:t>
      </w:r>
      <w:r w:rsidRPr="00F16251">
        <w:rPr>
          <w:rFonts w:cstheme="minorHAnsi"/>
        </w:rPr>
        <w:t>(im</w:t>
      </w:r>
      <w:r w:rsidR="003B50ED" w:rsidRPr="00F16251">
        <w:rPr>
          <w:rFonts w:cstheme="minorHAnsi"/>
        </w:rPr>
        <w:t xml:space="preserve"> </w:t>
      </w:r>
      <w:r w:rsidRPr="00F16251">
        <w:rPr>
          <w:rFonts w:cstheme="minorHAnsi"/>
        </w:rPr>
        <w:t>ta</w:t>
      </w:r>
      <w:r w:rsidR="003B50ED" w:rsidRPr="00F16251">
        <w:rPr>
          <w:rFonts w:cstheme="minorHAnsi"/>
        </w:rPr>
        <w:t xml:space="preserve"> </w:t>
      </w:r>
      <w:r w:rsidRPr="00F16251">
        <w:rPr>
          <w:rFonts w:cstheme="minorHAnsi"/>
        </w:rPr>
        <w:t>liczba</w:t>
      </w:r>
      <w:r w:rsidR="003B50ED" w:rsidRPr="00F16251">
        <w:rPr>
          <w:rFonts w:cstheme="minorHAnsi"/>
        </w:rPr>
        <w:t xml:space="preserve"> </w:t>
      </w:r>
      <w:r w:rsidRPr="00F16251">
        <w:rPr>
          <w:rFonts w:cstheme="minorHAnsi"/>
        </w:rPr>
        <w:t>jest</w:t>
      </w:r>
      <w:r w:rsidR="003B50ED" w:rsidRPr="00F16251">
        <w:rPr>
          <w:rFonts w:cstheme="minorHAnsi"/>
        </w:rPr>
        <w:t xml:space="preserve"> </w:t>
      </w:r>
      <w:r w:rsidRPr="00F16251">
        <w:rPr>
          <w:rFonts w:cstheme="minorHAnsi"/>
        </w:rPr>
        <w:t>wyższa,</w:t>
      </w:r>
      <w:r w:rsidR="003B50ED" w:rsidRPr="00F16251">
        <w:rPr>
          <w:rFonts w:cstheme="minorHAnsi"/>
        </w:rPr>
        <w:t xml:space="preserve"> </w:t>
      </w:r>
      <w:r w:rsidRPr="00F16251">
        <w:rPr>
          <w:rFonts w:cstheme="minorHAnsi"/>
        </w:rPr>
        <w:t>tym</w:t>
      </w:r>
      <w:r w:rsidR="003B50ED" w:rsidRPr="00F16251">
        <w:rPr>
          <w:rFonts w:cstheme="minorHAnsi"/>
        </w:rPr>
        <w:t xml:space="preserve"> </w:t>
      </w:r>
      <w:r w:rsidRPr="00F16251">
        <w:rPr>
          <w:rFonts w:cstheme="minorHAnsi"/>
        </w:rPr>
        <w:t>seniorzy</w:t>
      </w:r>
      <w:r w:rsidR="003B50ED" w:rsidRPr="00F16251">
        <w:rPr>
          <w:rFonts w:cstheme="minorHAnsi"/>
        </w:rPr>
        <w:t xml:space="preserve"> </w:t>
      </w:r>
      <w:r w:rsidRPr="00F16251">
        <w:rPr>
          <w:rFonts w:cstheme="minorHAnsi"/>
        </w:rPr>
        <w:t>są</w:t>
      </w:r>
      <w:r w:rsidR="003B50ED" w:rsidRPr="00F16251">
        <w:rPr>
          <w:rFonts w:cstheme="minorHAnsi"/>
        </w:rPr>
        <w:t xml:space="preserve"> </w:t>
      </w:r>
      <w:r w:rsidRPr="00F16251">
        <w:rPr>
          <w:rFonts w:cstheme="minorHAnsi"/>
        </w:rPr>
        <w:t>większym</w:t>
      </w:r>
      <w:r w:rsidR="003B50ED" w:rsidRPr="00F16251">
        <w:rPr>
          <w:rFonts w:cstheme="minorHAnsi"/>
        </w:rPr>
        <w:t xml:space="preserve"> </w:t>
      </w:r>
      <w:r w:rsidRPr="00F16251">
        <w:rPr>
          <w:rFonts w:cstheme="minorHAnsi"/>
        </w:rPr>
        <w:t>obciążeniem</w:t>
      </w:r>
      <w:r w:rsidR="003B50ED" w:rsidRPr="00F16251">
        <w:rPr>
          <w:rFonts w:cstheme="minorHAnsi"/>
        </w:rPr>
        <w:t xml:space="preserve"> </w:t>
      </w:r>
      <w:r w:rsidRPr="00F16251">
        <w:rPr>
          <w:rFonts w:cstheme="minorHAnsi"/>
        </w:rPr>
        <w:t>dla</w:t>
      </w:r>
      <w:r w:rsidR="003B50ED" w:rsidRPr="00F16251">
        <w:rPr>
          <w:rFonts w:cstheme="minorHAnsi"/>
        </w:rPr>
        <w:t xml:space="preserve"> </w:t>
      </w:r>
      <w:r w:rsidRPr="00F16251">
        <w:rPr>
          <w:rFonts w:cstheme="minorHAnsi"/>
        </w:rPr>
        <w:t>gospodarki</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osób</w:t>
      </w:r>
      <w:r w:rsidR="003B50ED" w:rsidRPr="00F16251">
        <w:rPr>
          <w:rFonts w:cstheme="minorHAnsi"/>
        </w:rPr>
        <w:t xml:space="preserve"> </w:t>
      </w:r>
      <w:r w:rsidRPr="00F16251">
        <w:rPr>
          <w:rFonts w:cstheme="minorHAnsi"/>
        </w:rPr>
        <w:t>pracujących)</w:t>
      </w:r>
      <w:r w:rsidR="003B50ED" w:rsidRPr="00F16251">
        <w:rPr>
          <w:rFonts w:cstheme="minorHAnsi"/>
        </w:rPr>
        <w:t xml:space="preserve"> </w:t>
      </w:r>
      <w:r w:rsidRPr="00F16251">
        <w:rPr>
          <w:rFonts w:cstheme="minorHAnsi"/>
        </w:rPr>
        <w:t>sukcesywnie</w:t>
      </w:r>
      <w:r w:rsidR="003B50ED" w:rsidRPr="00F16251">
        <w:rPr>
          <w:rFonts w:cstheme="minorHAnsi"/>
        </w:rPr>
        <w:t xml:space="preserve"> </w:t>
      </w:r>
      <w:r w:rsidRPr="00F16251">
        <w:rPr>
          <w:rFonts w:cstheme="minorHAnsi"/>
        </w:rPr>
        <w:t>wzrastało.</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obszarze</w:t>
      </w:r>
      <w:r w:rsidR="003B50ED" w:rsidRPr="00F16251">
        <w:rPr>
          <w:rFonts w:cstheme="minorHAnsi"/>
        </w:rPr>
        <w:t xml:space="preserve"> </w:t>
      </w:r>
      <w:r w:rsidRPr="00F16251">
        <w:rPr>
          <w:rFonts w:cstheme="minorHAnsi"/>
        </w:rPr>
        <w:t>LGD,</w:t>
      </w:r>
      <w:r w:rsidR="003B50ED" w:rsidRPr="00F16251">
        <w:rPr>
          <w:rFonts w:cstheme="minorHAnsi"/>
        </w:rPr>
        <w:t xml:space="preserve"> </w:t>
      </w:r>
      <w:r w:rsidRPr="00F16251">
        <w:rPr>
          <w:rFonts w:cstheme="minorHAnsi"/>
        </w:rPr>
        <w:t>od</w:t>
      </w:r>
      <w:r w:rsidR="003B50ED" w:rsidRPr="00F16251">
        <w:rPr>
          <w:rFonts w:cstheme="minorHAnsi"/>
        </w:rPr>
        <w:t xml:space="preserve"> </w:t>
      </w:r>
      <w:r w:rsidRPr="00F16251">
        <w:rPr>
          <w:rFonts w:cstheme="minorHAnsi"/>
        </w:rPr>
        <w:t>2017</w:t>
      </w:r>
      <w:r w:rsidR="003B50ED" w:rsidRPr="00F16251">
        <w:rPr>
          <w:rFonts w:cstheme="minorHAnsi"/>
        </w:rPr>
        <w:t xml:space="preserve"> r. </w:t>
      </w:r>
      <w:r w:rsidRPr="00F16251">
        <w:rPr>
          <w:rFonts w:cstheme="minorHAnsi"/>
        </w:rPr>
        <w:t>współczynnik</w:t>
      </w:r>
      <w:r w:rsidR="003B50ED" w:rsidRPr="00F16251">
        <w:rPr>
          <w:rFonts w:cstheme="minorHAnsi"/>
        </w:rPr>
        <w:t xml:space="preserve"> </w:t>
      </w:r>
      <w:r w:rsidRPr="00F16251">
        <w:rPr>
          <w:rFonts w:cstheme="minorHAnsi"/>
        </w:rPr>
        <w:t>ten</w:t>
      </w:r>
      <w:r w:rsidR="003B50ED" w:rsidRPr="00F16251">
        <w:rPr>
          <w:rFonts w:cstheme="minorHAnsi"/>
        </w:rPr>
        <w:t xml:space="preserve"> </w:t>
      </w:r>
      <w:r w:rsidRPr="00F16251">
        <w:rPr>
          <w:rFonts w:cstheme="minorHAnsi"/>
        </w:rPr>
        <w:t>wzrósł</w:t>
      </w:r>
      <w:r w:rsidR="003B50ED" w:rsidRPr="00F16251">
        <w:rPr>
          <w:rFonts w:cstheme="minorHAnsi"/>
        </w:rPr>
        <w:t xml:space="preserve"> </w:t>
      </w:r>
      <w:r w:rsidRPr="00F16251">
        <w:rPr>
          <w:rFonts w:cstheme="minorHAnsi"/>
        </w:rPr>
        <w:t>o</w:t>
      </w:r>
      <w:r w:rsidR="003B50ED" w:rsidRPr="00F16251">
        <w:rPr>
          <w:rFonts w:cstheme="minorHAnsi"/>
        </w:rPr>
        <w:t xml:space="preserve"> </w:t>
      </w:r>
      <w:r w:rsidRPr="00F16251">
        <w:rPr>
          <w:rFonts w:cstheme="minorHAnsi"/>
        </w:rPr>
        <w:t>17,32%.</w:t>
      </w:r>
    </w:p>
    <w:p w14:paraId="163E74A8" w14:textId="77777777" w:rsidR="00137086" w:rsidRDefault="00137086" w:rsidP="00A26C26">
      <w:pPr>
        <w:spacing w:line="276" w:lineRule="auto"/>
        <w:ind w:firstLine="360"/>
        <w:jc w:val="both"/>
        <w:rPr>
          <w:rFonts w:cstheme="minorHAnsi"/>
        </w:rPr>
      </w:pPr>
    </w:p>
    <w:p w14:paraId="750E1A62" w14:textId="77777777" w:rsidR="00137086" w:rsidRPr="00F16251" w:rsidRDefault="00137086" w:rsidP="00A26C26">
      <w:pPr>
        <w:spacing w:line="276" w:lineRule="auto"/>
        <w:ind w:firstLine="360"/>
        <w:jc w:val="both"/>
        <w:rPr>
          <w:rFonts w:cstheme="minorHAnsi"/>
        </w:rPr>
      </w:pPr>
    </w:p>
    <w:p w14:paraId="12A3BF2C" w14:textId="77777777" w:rsidR="003E19E8" w:rsidRDefault="003E19E8" w:rsidP="00A26C26">
      <w:pPr>
        <w:spacing w:line="276" w:lineRule="auto"/>
        <w:jc w:val="both"/>
        <w:rPr>
          <w:rFonts w:cstheme="minorHAnsi"/>
        </w:rPr>
      </w:pPr>
    </w:p>
    <w:p w14:paraId="6146F996" w14:textId="19CBBEA0" w:rsidR="00224658" w:rsidRPr="00F16251" w:rsidRDefault="00224658" w:rsidP="00A26C26">
      <w:pPr>
        <w:spacing w:line="276" w:lineRule="auto"/>
        <w:jc w:val="both"/>
        <w:rPr>
          <w:rFonts w:cstheme="minorHAnsi"/>
        </w:rPr>
      </w:pPr>
      <w:r w:rsidRPr="00F16251">
        <w:rPr>
          <w:rFonts w:cstheme="minorHAnsi"/>
        </w:rPr>
        <w:lastRenderedPageBreak/>
        <w:t>Tabela</w:t>
      </w:r>
      <w:r w:rsidR="00396A11">
        <w:rPr>
          <w:rFonts w:cstheme="minorHAnsi"/>
        </w:rPr>
        <w:t xml:space="preserve"> nr 1</w:t>
      </w:r>
      <w:r w:rsidR="00203429">
        <w:rPr>
          <w:rFonts w:cstheme="minorHAnsi"/>
        </w:rPr>
        <w:t>7</w:t>
      </w:r>
      <w:r w:rsidR="003B50ED" w:rsidRPr="00F16251">
        <w:rPr>
          <w:rFonts w:cstheme="minorHAnsi"/>
        </w:rPr>
        <w:t xml:space="preserve"> </w:t>
      </w:r>
      <w:r w:rsidRPr="00F16251">
        <w:rPr>
          <w:rFonts w:cstheme="minorHAnsi"/>
        </w:rPr>
        <w:t>Współczynnik</w:t>
      </w:r>
      <w:r w:rsidR="003B50ED" w:rsidRPr="00F16251">
        <w:rPr>
          <w:rFonts w:cstheme="minorHAnsi"/>
        </w:rPr>
        <w:t xml:space="preserve"> </w:t>
      </w:r>
      <w:r w:rsidRPr="00F16251">
        <w:rPr>
          <w:rFonts w:cstheme="minorHAnsi"/>
        </w:rPr>
        <w:t>obciążenia</w:t>
      </w:r>
      <w:r w:rsidR="003B50ED" w:rsidRPr="00F16251">
        <w:rPr>
          <w:rFonts w:cstheme="minorHAnsi"/>
        </w:rPr>
        <w:t xml:space="preserve"> </w:t>
      </w:r>
      <w:r w:rsidRPr="00F16251">
        <w:rPr>
          <w:rFonts w:cstheme="minorHAnsi"/>
        </w:rPr>
        <w:t>demograficznego</w:t>
      </w:r>
      <w:r w:rsidR="003B50ED" w:rsidRPr="00F16251">
        <w:rPr>
          <w:rFonts w:cstheme="minorHAnsi"/>
        </w:rPr>
        <w:t xml:space="preserve"> </w:t>
      </w:r>
      <w:r w:rsidRPr="00F16251">
        <w:rPr>
          <w:rFonts w:cstheme="minorHAnsi"/>
        </w:rPr>
        <w:t>osobami</w:t>
      </w:r>
      <w:r w:rsidR="003B50ED" w:rsidRPr="00F16251">
        <w:rPr>
          <w:rFonts w:cstheme="minorHAnsi"/>
        </w:rPr>
        <w:t xml:space="preserve"> </w:t>
      </w:r>
      <w:r w:rsidRPr="00F16251">
        <w:rPr>
          <w:rFonts w:cstheme="minorHAnsi"/>
        </w:rPr>
        <w:t>starszymi</w:t>
      </w:r>
    </w:p>
    <w:tbl>
      <w:tblPr>
        <w:tblW w:w="10201" w:type="dxa"/>
        <w:tblLayout w:type="fixed"/>
        <w:tblCellMar>
          <w:left w:w="70" w:type="dxa"/>
          <w:right w:w="70" w:type="dxa"/>
        </w:tblCellMar>
        <w:tblLook w:val="04A0" w:firstRow="1" w:lastRow="0" w:firstColumn="1" w:lastColumn="0" w:noHBand="0" w:noVBand="1"/>
      </w:tblPr>
      <w:tblGrid>
        <w:gridCol w:w="1980"/>
        <w:gridCol w:w="1644"/>
        <w:gridCol w:w="1644"/>
        <w:gridCol w:w="1644"/>
        <w:gridCol w:w="1644"/>
        <w:gridCol w:w="1645"/>
      </w:tblGrid>
      <w:tr w:rsidR="00224658" w:rsidRPr="00F16251" w14:paraId="2E3369C1" w14:textId="77777777" w:rsidTr="007F1E76">
        <w:trPr>
          <w:trHeight w:val="249"/>
        </w:trPr>
        <w:tc>
          <w:tcPr>
            <w:tcW w:w="198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7AE1DB9C" w14:textId="226BB26B"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Nazwa</w:t>
            </w:r>
            <w:r w:rsidR="003B50ED" w:rsidRPr="00F16251">
              <w:rPr>
                <w:rFonts w:eastAsia="Times New Roman" w:cstheme="minorHAnsi"/>
                <w:color w:val="000000"/>
                <w:kern w:val="0"/>
                <w:lang w:eastAsia="pl-PL"/>
                <w14:ligatures w14:val="none"/>
              </w:rPr>
              <w:t xml:space="preserve"> </w:t>
            </w:r>
            <w:r w:rsidRPr="00F16251">
              <w:rPr>
                <w:rFonts w:eastAsia="Times New Roman" w:cstheme="minorHAnsi"/>
                <w:color w:val="000000"/>
                <w:kern w:val="0"/>
                <w:lang w:eastAsia="pl-PL"/>
                <w14:ligatures w14:val="none"/>
              </w:rPr>
              <w:t>gminy</w:t>
            </w:r>
            <w:r w:rsidR="003B50ED" w:rsidRPr="00F16251">
              <w:rPr>
                <w:rFonts w:eastAsia="Times New Roman" w:cstheme="minorHAnsi"/>
                <w:color w:val="000000"/>
                <w:kern w:val="0"/>
                <w:lang w:eastAsia="pl-PL"/>
                <w14:ligatures w14:val="none"/>
              </w:rPr>
              <w:t xml:space="preserve"> </w:t>
            </w:r>
          </w:p>
        </w:tc>
        <w:tc>
          <w:tcPr>
            <w:tcW w:w="1644" w:type="dxa"/>
            <w:tcBorders>
              <w:top w:val="single" w:sz="4" w:space="0" w:color="auto"/>
              <w:left w:val="nil"/>
              <w:bottom w:val="single" w:sz="4" w:space="0" w:color="auto"/>
              <w:right w:val="single" w:sz="4" w:space="0" w:color="auto"/>
            </w:tcBorders>
            <w:shd w:val="clear" w:color="000000" w:fill="DDEBF7"/>
            <w:noWrap/>
            <w:vAlign w:val="bottom"/>
            <w:hideMark/>
          </w:tcPr>
          <w:p w14:paraId="45B2F3FF" w14:textId="77777777" w:rsidR="00224658" w:rsidRPr="00F16251" w:rsidRDefault="00224658" w:rsidP="00A26C26">
            <w:pPr>
              <w:spacing w:line="276" w:lineRule="auto"/>
              <w:jc w:val="both"/>
              <w:rPr>
                <w:rFonts w:cstheme="minorHAnsi"/>
                <w:lang w:eastAsia="pl-PL"/>
              </w:rPr>
            </w:pPr>
            <w:r w:rsidRPr="00F16251">
              <w:rPr>
                <w:rFonts w:cstheme="minorHAnsi"/>
                <w:lang w:eastAsia="pl-PL"/>
              </w:rPr>
              <w:t>2017</w:t>
            </w:r>
          </w:p>
        </w:tc>
        <w:tc>
          <w:tcPr>
            <w:tcW w:w="1644" w:type="dxa"/>
            <w:tcBorders>
              <w:top w:val="single" w:sz="4" w:space="0" w:color="auto"/>
              <w:left w:val="nil"/>
              <w:bottom w:val="single" w:sz="4" w:space="0" w:color="auto"/>
              <w:right w:val="single" w:sz="4" w:space="0" w:color="auto"/>
            </w:tcBorders>
            <w:shd w:val="clear" w:color="000000" w:fill="DDEBF7"/>
            <w:noWrap/>
            <w:vAlign w:val="bottom"/>
            <w:hideMark/>
          </w:tcPr>
          <w:p w14:paraId="7D474F15" w14:textId="77777777" w:rsidR="00224658" w:rsidRPr="00F16251" w:rsidRDefault="00224658" w:rsidP="00A26C26">
            <w:pPr>
              <w:spacing w:line="276" w:lineRule="auto"/>
              <w:jc w:val="both"/>
              <w:rPr>
                <w:rFonts w:cstheme="minorHAnsi"/>
                <w:lang w:eastAsia="pl-PL"/>
              </w:rPr>
            </w:pPr>
            <w:r w:rsidRPr="00F16251">
              <w:rPr>
                <w:rFonts w:cstheme="minorHAnsi"/>
                <w:lang w:eastAsia="pl-PL"/>
              </w:rPr>
              <w:t>2018</w:t>
            </w:r>
          </w:p>
        </w:tc>
        <w:tc>
          <w:tcPr>
            <w:tcW w:w="1644" w:type="dxa"/>
            <w:tcBorders>
              <w:top w:val="single" w:sz="4" w:space="0" w:color="auto"/>
              <w:left w:val="nil"/>
              <w:bottom w:val="single" w:sz="4" w:space="0" w:color="auto"/>
              <w:right w:val="single" w:sz="4" w:space="0" w:color="auto"/>
            </w:tcBorders>
            <w:shd w:val="clear" w:color="000000" w:fill="DDEBF7"/>
            <w:noWrap/>
            <w:vAlign w:val="bottom"/>
            <w:hideMark/>
          </w:tcPr>
          <w:p w14:paraId="33B1C37A" w14:textId="77777777" w:rsidR="00224658" w:rsidRPr="00F16251" w:rsidRDefault="00224658" w:rsidP="00A26C26">
            <w:pPr>
              <w:spacing w:line="276" w:lineRule="auto"/>
              <w:jc w:val="both"/>
              <w:rPr>
                <w:rFonts w:cstheme="minorHAnsi"/>
                <w:lang w:eastAsia="pl-PL"/>
              </w:rPr>
            </w:pPr>
            <w:r w:rsidRPr="00F16251">
              <w:rPr>
                <w:rFonts w:cstheme="minorHAnsi"/>
                <w:lang w:eastAsia="pl-PL"/>
              </w:rPr>
              <w:t>2019</w:t>
            </w:r>
          </w:p>
        </w:tc>
        <w:tc>
          <w:tcPr>
            <w:tcW w:w="1644" w:type="dxa"/>
            <w:tcBorders>
              <w:top w:val="single" w:sz="4" w:space="0" w:color="auto"/>
              <w:left w:val="nil"/>
              <w:bottom w:val="single" w:sz="4" w:space="0" w:color="auto"/>
              <w:right w:val="single" w:sz="4" w:space="0" w:color="auto"/>
            </w:tcBorders>
            <w:shd w:val="clear" w:color="000000" w:fill="DDEBF7"/>
            <w:noWrap/>
            <w:vAlign w:val="bottom"/>
            <w:hideMark/>
          </w:tcPr>
          <w:p w14:paraId="45A4FA0F" w14:textId="77777777" w:rsidR="00224658" w:rsidRPr="00F16251" w:rsidRDefault="00224658" w:rsidP="00A26C26">
            <w:pPr>
              <w:spacing w:line="276" w:lineRule="auto"/>
              <w:jc w:val="both"/>
              <w:rPr>
                <w:rFonts w:cstheme="minorHAnsi"/>
                <w:lang w:eastAsia="pl-PL"/>
              </w:rPr>
            </w:pPr>
            <w:r w:rsidRPr="00F16251">
              <w:rPr>
                <w:rFonts w:cstheme="minorHAnsi"/>
                <w:lang w:eastAsia="pl-PL"/>
              </w:rPr>
              <w:t>2020</w:t>
            </w:r>
          </w:p>
        </w:tc>
        <w:tc>
          <w:tcPr>
            <w:tcW w:w="1645" w:type="dxa"/>
            <w:tcBorders>
              <w:top w:val="single" w:sz="4" w:space="0" w:color="auto"/>
              <w:left w:val="nil"/>
              <w:bottom w:val="single" w:sz="4" w:space="0" w:color="auto"/>
              <w:right w:val="single" w:sz="4" w:space="0" w:color="auto"/>
            </w:tcBorders>
            <w:shd w:val="clear" w:color="000000" w:fill="DDEBF7"/>
            <w:noWrap/>
            <w:vAlign w:val="bottom"/>
            <w:hideMark/>
          </w:tcPr>
          <w:p w14:paraId="6519EA03" w14:textId="77777777" w:rsidR="00224658" w:rsidRPr="00F16251" w:rsidRDefault="00224658" w:rsidP="00A26C26">
            <w:pPr>
              <w:spacing w:line="276" w:lineRule="auto"/>
              <w:jc w:val="both"/>
              <w:rPr>
                <w:rFonts w:cstheme="minorHAnsi"/>
                <w:lang w:eastAsia="pl-PL"/>
              </w:rPr>
            </w:pPr>
            <w:r w:rsidRPr="00F16251">
              <w:rPr>
                <w:rFonts w:cstheme="minorHAnsi"/>
                <w:lang w:eastAsia="pl-PL"/>
              </w:rPr>
              <w:t>2021</w:t>
            </w:r>
          </w:p>
        </w:tc>
      </w:tr>
      <w:tr w:rsidR="00224658" w:rsidRPr="00F16251" w14:paraId="066CEB67"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56CE3D7" w14:textId="77777777"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Golina</w:t>
            </w:r>
          </w:p>
        </w:tc>
        <w:tc>
          <w:tcPr>
            <w:tcW w:w="1644" w:type="dxa"/>
            <w:tcBorders>
              <w:top w:val="nil"/>
              <w:left w:val="nil"/>
              <w:bottom w:val="single" w:sz="4" w:space="0" w:color="auto"/>
              <w:right w:val="single" w:sz="4" w:space="0" w:color="auto"/>
            </w:tcBorders>
            <w:shd w:val="clear" w:color="auto" w:fill="auto"/>
            <w:noWrap/>
            <w:vAlign w:val="bottom"/>
            <w:hideMark/>
          </w:tcPr>
          <w:p w14:paraId="3D6D5099" w14:textId="77777777" w:rsidR="00224658" w:rsidRPr="00F16251" w:rsidRDefault="00224658" w:rsidP="00A26C26">
            <w:pPr>
              <w:spacing w:line="276" w:lineRule="auto"/>
              <w:jc w:val="both"/>
              <w:rPr>
                <w:rFonts w:cstheme="minorHAnsi"/>
                <w:lang w:eastAsia="pl-PL"/>
              </w:rPr>
            </w:pPr>
            <w:r w:rsidRPr="00F16251">
              <w:rPr>
                <w:rFonts w:cstheme="minorHAnsi"/>
                <w:lang w:eastAsia="pl-PL"/>
              </w:rPr>
              <w:t>18,3</w:t>
            </w:r>
          </w:p>
        </w:tc>
        <w:tc>
          <w:tcPr>
            <w:tcW w:w="1644" w:type="dxa"/>
            <w:tcBorders>
              <w:top w:val="nil"/>
              <w:left w:val="nil"/>
              <w:bottom w:val="single" w:sz="4" w:space="0" w:color="auto"/>
              <w:right w:val="single" w:sz="4" w:space="0" w:color="auto"/>
            </w:tcBorders>
            <w:shd w:val="clear" w:color="auto" w:fill="auto"/>
            <w:noWrap/>
            <w:vAlign w:val="bottom"/>
            <w:hideMark/>
          </w:tcPr>
          <w:p w14:paraId="25B9DED7" w14:textId="77777777" w:rsidR="00224658" w:rsidRPr="00F16251" w:rsidRDefault="00224658" w:rsidP="00A26C26">
            <w:pPr>
              <w:spacing w:line="276" w:lineRule="auto"/>
              <w:jc w:val="both"/>
              <w:rPr>
                <w:rFonts w:cstheme="minorHAnsi"/>
                <w:lang w:eastAsia="pl-PL"/>
              </w:rPr>
            </w:pPr>
            <w:r w:rsidRPr="00F16251">
              <w:rPr>
                <w:rFonts w:cstheme="minorHAnsi"/>
                <w:lang w:eastAsia="pl-PL"/>
              </w:rPr>
              <w:t>19,0</w:t>
            </w:r>
          </w:p>
        </w:tc>
        <w:tc>
          <w:tcPr>
            <w:tcW w:w="1644" w:type="dxa"/>
            <w:tcBorders>
              <w:top w:val="nil"/>
              <w:left w:val="nil"/>
              <w:bottom w:val="single" w:sz="4" w:space="0" w:color="auto"/>
              <w:right w:val="single" w:sz="4" w:space="0" w:color="auto"/>
            </w:tcBorders>
            <w:shd w:val="clear" w:color="auto" w:fill="auto"/>
            <w:noWrap/>
            <w:vAlign w:val="bottom"/>
            <w:hideMark/>
          </w:tcPr>
          <w:p w14:paraId="66A6AF1A" w14:textId="77777777" w:rsidR="00224658" w:rsidRPr="00F16251" w:rsidRDefault="00224658" w:rsidP="00A26C26">
            <w:pPr>
              <w:spacing w:line="276" w:lineRule="auto"/>
              <w:jc w:val="both"/>
              <w:rPr>
                <w:rFonts w:cstheme="minorHAnsi"/>
                <w:lang w:eastAsia="pl-PL"/>
              </w:rPr>
            </w:pPr>
            <w:r w:rsidRPr="00F16251">
              <w:rPr>
                <w:rFonts w:cstheme="minorHAnsi"/>
                <w:lang w:eastAsia="pl-PL"/>
              </w:rPr>
              <w:t>20,0</w:t>
            </w:r>
          </w:p>
        </w:tc>
        <w:tc>
          <w:tcPr>
            <w:tcW w:w="1644" w:type="dxa"/>
            <w:tcBorders>
              <w:top w:val="nil"/>
              <w:left w:val="nil"/>
              <w:bottom w:val="single" w:sz="4" w:space="0" w:color="auto"/>
              <w:right w:val="single" w:sz="4" w:space="0" w:color="auto"/>
            </w:tcBorders>
            <w:shd w:val="clear" w:color="auto" w:fill="auto"/>
            <w:noWrap/>
            <w:vAlign w:val="bottom"/>
            <w:hideMark/>
          </w:tcPr>
          <w:p w14:paraId="23985FD9" w14:textId="77777777" w:rsidR="00224658" w:rsidRPr="00F16251" w:rsidRDefault="00224658" w:rsidP="00A26C26">
            <w:pPr>
              <w:spacing w:line="276" w:lineRule="auto"/>
              <w:jc w:val="both"/>
              <w:rPr>
                <w:rFonts w:cstheme="minorHAnsi"/>
                <w:lang w:eastAsia="pl-PL"/>
              </w:rPr>
            </w:pPr>
            <w:r w:rsidRPr="00F16251">
              <w:rPr>
                <w:rFonts w:cstheme="minorHAnsi"/>
                <w:lang w:eastAsia="pl-PL"/>
              </w:rPr>
              <w:t>21,5</w:t>
            </w:r>
          </w:p>
        </w:tc>
        <w:tc>
          <w:tcPr>
            <w:tcW w:w="1645" w:type="dxa"/>
            <w:tcBorders>
              <w:top w:val="nil"/>
              <w:left w:val="nil"/>
              <w:bottom w:val="single" w:sz="4" w:space="0" w:color="auto"/>
              <w:right w:val="single" w:sz="4" w:space="0" w:color="auto"/>
            </w:tcBorders>
            <w:shd w:val="clear" w:color="auto" w:fill="auto"/>
            <w:noWrap/>
            <w:vAlign w:val="bottom"/>
            <w:hideMark/>
          </w:tcPr>
          <w:p w14:paraId="27A1D4C9" w14:textId="77777777" w:rsidR="00224658" w:rsidRPr="00F16251" w:rsidRDefault="00224658" w:rsidP="00A26C26">
            <w:pPr>
              <w:spacing w:line="276" w:lineRule="auto"/>
              <w:jc w:val="both"/>
              <w:rPr>
                <w:rFonts w:cstheme="minorHAnsi"/>
                <w:lang w:eastAsia="pl-PL"/>
              </w:rPr>
            </w:pPr>
            <w:r w:rsidRPr="00F16251">
              <w:rPr>
                <w:rFonts w:cstheme="minorHAnsi"/>
                <w:lang w:eastAsia="pl-PL"/>
              </w:rPr>
              <w:t>22,4</w:t>
            </w:r>
          </w:p>
        </w:tc>
      </w:tr>
      <w:tr w:rsidR="00224658" w:rsidRPr="00F16251" w14:paraId="5EF0BC92"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B8F93BB" w14:textId="77777777"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Grodziec</w:t>
            </w:r>
          </w:p>
        </w:tc>
        <w:tc>
          <w:tcPr>
            <w:tcW w:w="1644" w:type="dxa"/>
            <w:tcBorders>
              <w:top w:val="nil"/>
              <w:left w:val="nil"/>
              <w:bottom w:val="single" w:sz="4" w:space="0" w:color="auto"/>
              <w:right w:val="single" w:sz="4" w:space="0" w:color="auto"/>
            </w:tcBorders>
            <w:shd w:val="clear" w:color="auto" w:fill="auto"/>
            <w:noWrap/>
            <w:vAlign w:val="bottom"/>
            <w:hideMark/>
          </w:tcPr>
          <w:p w14:paraId="6E232115" w14:textId="77777777" w:rsidR="00224658" w:rsidRPr="00F16251" w:rsidRDefault="00224658" w:rsidP="00A26C26">
            <w:pPr>
              <w:spacing w:line="276" w:lineRule="auto"/>
              <w:jc w:val="both"/>
              <w:rPr>
                <w:rFonts w:cstheme="minorHAnsi"/>
                <w:lang w:eastAsia="pl-PL"/>
              </w:rPr>
            </w:pPr>
            <w:r w:rsidRPr="00F16251">
              <w:rPr>
                <w:rFonts w:cstheme="minorHAnsi"/>
                <w:lang w:eastAsia="pl-PL"/>
              </w:rPr>
              <w:t>21,6</w:t>
            </w:r>
          </w:p>
        </w:tc>
        <w:tc>
          <w:tcPr>
            <w:tcW w:w="1644" w:type="dxa"/>
            <w:tcBorders>
              <w:top w:val="nil"/>
              <w:left w:val="nil"/>
              <w:bottom w:val="single" w:sz="4" w:space="0" w:color="auto"/>
              <w:right w:val="single" w:sz="4" w:space="0" w:color="auto"/>
            </w:tcBorders>
            <w:shd w:val="clear" w:color="auto" w:fill="auto"/>
            <w:noWrap/>
            <w:vAlign w:val="bottom"/>
            <w:hideMark/>
          </w:tcPr>
          <w:p w14:paraId="54B90CA7" w14:textId="77777777" w:rsidR="00224658" w:rsidRPr="00F16251" w:rsidRDefault="00224658" w:rsidP="00A26C26">
            <w:pPr>
              <w:spacing w:line="276" w:lineRule="auto"/>
              <w:jc w:val="both"/>
              <w:rPr>
                <w:rFonts w:cstheme="minorHAnsi"/>
                <w:lang w:eastAsia="pl-PL"/>
              </w:rPr>
            </w:pPr>
            <w:r w:rsidRPr="00F16251">
              <w:rPr>
                <w:rFonts w:cstheme="minorHAnsi"/>
                <w:lang w:eastAsia="pl-PL"/>
              </w:rPr>
              <w:t>21,4</w:t>
            </w:r>
          </w:p>
        </w:tc>
        <w:tc>
          <w:tcPr>
            <w:tcW w:w="1644" w:type="dxa"/>
            <w:tcBorders>
              <w:top w:val="nil"/>
              <w:left w:val="nil"/>
              <w:bottom w:val="single" w:sz="4" w:space="0" w:color="auto"/>
              <w:right w:val="single" w:sz="4" w:space="0" w:color="auto"/>
            </w:tcBorders>
            <w:shd w:val="clear" w:color="auto" w:fill="auto"/>
            <w:noWrap/>
            <w:vAlign w:val="bottom"/>
            <w:hideMark/>
          </w:tcPr>
          <w:p w14:paraId="5A273D68" w14:textId="77777777" w:rsidR="00224658" w:rsidRPr="00F16251" w:rsidRDefault="00224658" w:rsidP="00A26C26">
            <w:pPr>
              <w:spacing w:line="276" w:lineRule="auto"/>
              <w:jc w:val="both"/>
              <w:rPr>
                <w:rFonts w:cstheme="minorHAnsi"/>
                <w:lang w:eastAsia="pl-PL"/>
              </w:rPr>
            </w:pPr>
            <w:r w:rsidRPr="00F16251">
              <w:rPr>
                <w:rFonts w:cstheme="minorHAnsi"/>
                <w:lang w:eastAsia="pl-PL"/>
              </w:rPr>
              <w:t>21,8</w:t>
            </w:r>
          </w:p>
        </w:tc>
        <w:tc>
          <w:tcPr>
            <w:tcW w:w="1644" w:type="dxa"/>
            <w:tcBorders>
              <w:top w:val="nil"/>
              <w:left w:val="nil"/>
              <w:bottom w:val="single" w:sz="4" w:space="0" w:color="auto"/>
              <w:right w:val="single" w:sz="4" w:space="0" w:color="auto"/>
            </w:tcBorders>
            <w:shd w:val="clear" w:color="auto" w:fill="auto"/>
            <w:noWrap/>
            <w:vAlign w:val="bottom"/>
            <w:hideMark/>
          </w:tcPr>
          <w:p w14:paraId="2E6B9759" w14:textId="77777777" w:rsidR="00224658" w:rsidRPr="00F16251" w:rsidRDefault="00224658" w:rsidP="00A26C26">
            <w:pPr>
              <w:spacing w:line="276" w:lineRule="auto"/>
              <w:jc w:val="both"/>
              <w:rPr>
                <w:rFonts w:cstheme="minorHAnsi"/>
                <w:lang w:eastAsia="pl-PL"/>
              </w:rPr>
            </w:pPr>
            <w:r w:rsidRPr="00F16251">
              <w:rPr>
                <w:rFonts w:cstheme="minorHAnsi"/>
                <w:lang w:eastAsia="pl-PL"/>
              </w:rPr>
              <w:t>23,2</w:t>
            </w:r>
          </w:p>
        </w:tc>
        <w:tc>
          <w:tcPr>
            <w:tcW w:w="1645" w:type="dxa"/>
            <w:tcBorders>
              <w:top w:val="nil"/>
              <w:left w:val="nil"/>
              <w:bottom w:val="single" w:sz="4" w:space="0" w:color="auto"/>
              <w:right w:val="single" w:sz="4" w:space="0" w:color="auto"/>
            </w:tcBorders>
            <w:shd w:val="clear" w:color="auto" w:fill="auto"/>
            <w:noWrap/>
            <w:vAlign w:val="bottom"/>
            <w:hideMark/>
          </w:tcPr>
          <w:p w14:paraId="7099FFA1" w14:textId="77777777" w:rsidR="00224658" w:rsidRPr="00F16251" w:rsidRDefault="00224658" w:rsidP="00A26C26">
            <w:pPr>
              <w:spacing w:line="276" w:lineRule="auto"/>
              <w:jc w:val="both"/>
              <w:rPr>
                <w:rFonts w:cstheme="minorHAnsi"/>
                <w:lang w:eastAsia="pl-PL"/>
              </w:rPr>
            </w:pPr>
            <w:r w:rsidRPr="00F16251">
              <w:rPr>
                <w:rFonts w:cstheme="minorHAnsi"/>
                <w:lang w:eastAsia="pl-PL"/>
              </w:rPr>
              <w:t>24,0</w:t>
            </w:r>
          </w:p>
        </w:tc>
      </w:tr>
      <w:tr w:rsidR="00224658" w:rsidRPr="00F16251" w14:paraId="46C58E1A"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47F1B42" w14:textId="77777777"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Rychwał</w:t>
            </w:r>
          </w:p>
        </w:tc>
        <w:tc>
          <w:tcPr>
            <w:tcW w:w="1644" w:type="dxa"/>
            <w:tcBorders>
              <w:top w:val="nil"/>
              <w:left w:val="nil"/>
              <w:bottom w:val="single" w:sz="4" w:space="0" w:color="auto"/>
              <w:right w:val="single" w:sz="4" w:space="0" w:color="auto"/>
            </w:tcBorders>
            <w:shd w:val="clear" w:color="auto" w:fill="auto"/>
            <w:noWrap/>
            <w:vAlign w:val="bottom"/>
            <w:hideMark/>
          </w:tcPr>
          <w:p w14:paraId="2B45943C" w14:textId="77777777" w:rsidR="00224658" w:rsidRPr="00F16251" w:rsidRDefault="00224658" w:rsidP="00A26C26">
            <w:pPr>
              <w:spacing w:line="276" w:lineRule="auto"/>
              <w:jc w:val="both"/>
              <w:rPr>
                <w:rFonts w:cstheme="minorHAnsi"/>
                <w:lang w:eastAsia="pl-PL"/>
              </w:rPr>
            </w:pPr>
            <w:r w:rsidRPr="00F16251">
              <w:rPr>
                <w:rFonts w:cstheme="minorHAnsi"/>
                <w:lang w:eastAsia="pl-PL"/>
              </w:rPr>
              <w:t>21,4</w:t>
            </w:r>
          </w:p>
        </w:tc>
        <w:tc>
          <w:tcPr>
            <w:tcW w:w="1644" w:type="dxa"/>
            <w:tcBorders>
              <w:top w:val="nil"/>
              <w:left w:val="nil"/>
              <w:bottom w:val="single" w:sz="4" w:space="0" w:color="auto"/>
              <w:right w:val="single" w:sz="4" w:space="0" w:color="auto"/>
            </w:tcBorders>
            <w:shd w:val="clear" w:color="auto" w:fill="auto"/>
            <w:noWrap/>
            <w:vAlign w:val="bottom"/>
            <w:hideMark/>
          </w:tcPr>
          <w:p w14:paraId="275492CC" w14:textId="77777777" w:rsidR="00224658" w:rsidRPr="00F16251" w:rsidRDefault="00224658" w:rsidP="00A26C26">
            <w:pPr>
              <w:spacing w:line="276" w:lineRule="auto"/>
              <w:jc w:val="both"/>
              <w:rPr>
                <w:rFonts w:cstheme="minorHAnsi"/>
                <w:lang w:eastAsia="pl-PL"/>
              </w:rPr>
            </w:pPr>
            <w:r w:rsidRPr="00F16251">
              <w:rPr>
                <w:rFonts w:cstheme="minorHAnsi"/>
                <w:lang w:eastAsia="pl-PL"/>
              </w:rPr>
              <w:t>22,3</w:t>
            </w:r>
          </w:p>
        </w:tc>
        <w:tc>
          <w:tcPr>
            <w:tcW w:w="1644" w:type="dxa"/>
            <w:tcBorders>
              <w:top w:val="nil"/>
              <w:left w:val="nil"/>
              <w:bottom w:val="single" w:sz="4" w:space="0" w:color="auto"/>
              <w:right w:val="single" w:sz="4" w:space="0" w:color="auto"/>
            </w:tcBorders>
            <w:shd w:val="clear" w:color="auto" w:fill="auto"/>
            <w:noWrap/>
            <w:vAlign w:val="bottom"/>
            <w:hideMark/>
          </w:tcPr>
          <w:p w14:paraId="72905D25" w14:textId="77777777" w:rsidR="00224658" w:rsidRPr="00F16251" w:rsidRDefault="00224658" w:rsidP="00A26C26">
            <w:pPr>
              <w:spacing w:line="276" w:lineRule="auto"/>
              <w:jc w:val="both"/>
              <w:rPr>
                <w:rFonts w:cstheme="minorHAnsi"/>
                <w:lang w:eastAsia="pl-PL"/>
              </w:rPr>
            </w:pPr>
            <w:r w:rsidRPr="00F16251">
              <w:rPr>
                <w:rFonts w:cstheme="minorHAnsi"/>
                <w:lang w:eastAsia="pl-PL"/>
              </w:rPr>
              <w:t>23,0</w:t>
            </w:r>
          </w:p>
        </w:tc>
        <w:tc>
          <w:tcPr>
            <w:tcW w:w="1644" w:type="dxa"/>
            <w:tcBorders>
              <w:top w:val="nil"/>
              <w:left w:val="nil"/>
              <w:bottom w:val="single" w:sz="4" w:space="0" w:color="auto"/>
              <w:right w:val="single" w:sz="4" w:space="0" w:color="auto"/>
            </w:tcBorders>
            <w:shd w:val="clear" w:color="auto" w:fill="auto"/>
            <w:noWrap/>
            <w:vAlign w:val="bottom"/>
            <w:hideMark/>
          </w:tcPr>
          <w:p w14:paraId="275247C2" w14:textId="77777777" w:rsidR="00224658" w:rsidRPr="00F16251" w:rsidRDefault="00224658" w:rsidP="00A26C26">
            <w:pPr>
              <w:spacing w:line="276" w:lineRule="auto"/>
              <w:jc w:val="both"/>
              <w:rPr>
                <w:rFonts w:cstheme="minorHAnsi"/>
                <w:lang w:eastAsia="pl-PL"/>
              </w:rPr>
            </w:pPr>
            <w:r w:rsidRPr="00F16251">
              <w:rPr>
                <w:rFonts w:cstheme="minorHAnsi"/>
                <w:lang w:eastAsia="pl-PL"/>
              </w:rPr>
              <w:t>25,1</w:t>
            </w:r>
          </w:p>
        </w:tc>
        <w:tc>
          <w:tcPr>
            <w:tcW w:w="1645" w:type="dxa"/>
            <w:tcBorders>
              <w:top w:val="nil"/>
              <w:left w:val="nil"/>
              <w:bottom w:val="single" w:sz="4" w:space="0" w:color="auto"/>
              <w:right w:val="single" w:sz="4" w:space="0" w:color="auto"/>
            </w:tcBorders>
            <w:shd w:val="clear" w:color="auto" w:fill="auto"/>
            <w:noWrap/>
            <w:vAlign w:val="bottom"/>
            <w:hideMark/>
          </w:tcPr>
          <w:p w14:paraId="1A97A5EF" w14:textId="77777777" w:rsidR="00224658" w:rsidRPr="00F16251" w:rsidRDefault="00224658" w:rsidP="00A26C26">
            <w:pPr>
              <w:spacing w:line="276" w:lineRule="auto"/>
              <w:jc w:val="both"/>
              <w:rPr>
                <w:rFonts w:cstheme="minorHAnsi"/>
                <w:lang w:eastAsia="pl-PL"/>
              </w:rPr>
            </w:pPr>
            <w:r w:rsidRPr="00F16251">
              <w:rPr>
                <w:rFonts w:cstheme="minorHAnsi"/>
                <w:lang w:eastAsia="pl-PL"/>
              </w:rPr>
              <w:t>25,6</w:t>
            </w:r>
          </w:p>
        </w:tc>
      </w:tr>
      <w:tr w:rsidR="00224658" w:rsidRPr="00F16251" w14:paraId="201D0524"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3E951D7" w14:textId="77777777"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Rzgów</w:t>
            </w:r>
          </w:p>
        </w:tc>
        <w:tc>
          <w:tcPr>
            <w:tcW w:w="1644" w:type="dxa"/>
            <w:tcBorders>
              <w:top w:val="nil"/>
              <w:left w:val="nil"/>
              <w:bottom w:val="single" w:sz="4" w:space="0" w:color="auto"/>
              <w:right w:val="single" w:sz="4" w:space="0" w:color="auto"/>
            </w:tcBorders>
            <w:shd w:val="clear" w:color="auto" w:fill="auto"/>
            <w:noWrap/>
            <w:vAlign w:val="bottom"/>
            <w:hideMark/>
          </w:tcPr>
          <w:p w14:paraId="48F56924" w14:textId="77777777" w:rsidR="00224658" w:rsidRPr="00F16251" w:rsidRDefault="00224658" w:rsidP="00A26C26">
            <w:pPr>
              <w:spacing w:line="276" w:lineRule="auto"/>
              <w:jc w:val="both"/>
              <w:rPr>
                <w:rFonts w:cstheme="minorHAnsi"/>
                <w:lang w:eastAsia="pl-PL"/>
              </w:rPr>
            </w:pPr>
            <w:r w:rsidRPr="00F16251">
              <w:rPr>
                <w:rFonts w:cstheme="minorHAnsi"/>
                <w:lang w:eastAsia="pl-PL"/>
              </w:rPr>
              <w:t>19,4</w:t>
            </w:r>
          </w:p>
        </w:tc>
        <w:tc>
          <w:tcPr>
            <w:tcW w:w="1644" w:type="dxa"/>
            <w:tcBorders>
              <w:top w:val="nil"/>
              <w:left w:val="nil"/>
              <w:bottom w:val="single" w:sz="4" w:space="0" w:color="auto"/>
              <w:right w:val="single" w:sz="4" w:space="0" w:color="auto"/>
            </w:tcBorders>
            <w:shd w:val="clear" w:color="auto" w:fill="auto"/>
            <w:noWrap/>
            <w:vAlign w:val="bottom"/>
            <w:hideMark/>
          </w:tcPr>
          <w:p w14:paraId="09CF6139" w14:textId="77777777" w:rsidR="00224658" w:rsidRPr="00F16251" w:rsidRDefault="00224658" w:rsidP="00A26C26">
            <w:pPr>
              <w:spacing w:line="276" w:lineRule="auto"/>
              <w:jc w:val="both"/>
              <w:rPr>
                <w:rFonts w:cstheme="minorHAnsi"/>
                <w:lang w:eastAsia="pl-PL"/>
              </w:rPr>
            </w:pPr>
            <w:r w:rsidRPr="00F16251">
              <w:rPr>
                <w:rFonts w:cstheme="minorHAnsi"/>
                <w:lang w:eastAsia="pl-PL"/>
              </w:rPr>
              <w:t>20,2</w:t>
            </w:r>
          </w:p>
        </w:tc>
        <w:tc>
          <w:tcPr>
            <w:tcW w:w="1644" w:type="dxa"/>
            <w:tcBorders>
              <w:top w:val="nil"/>
              <w:left w:val="nil"/>
              <w:bottom w:val="single" w:sz="4" w:space="0" w:color="auto"/>
              <w:right w:val="single" w:sz="4" w:space="0" w:color="auto"/>
            </w:tcBorders>
            <w:shd w:val="clear" w:color="auto" w:fill="auto"/>
            <w:noWrap/>
            <w:vAlign w:val="bottom"/>
            <w:hideMark/>
          </w:tcPr>
          <w:p w14:paraId="73D184B2" w14:textId="77777777" w:rsidR="00224658" w:rsidRPr="00F16251" w:rsidRDefault="00224658" w:rsidP="00A26C26">
            <w:pPr>
              <w:spacing w:line="276" w:lineRule="auto"/>
              <w:jc w:val="both"/>
              <w:rPr>
                <w:rFonts w:cstheme="minorHAnsi"/>
                <w:lang w:eastAsia="pl-PL"/>
              </w:rPr>
            </w:pPr>
            <w:r w:rsidRPr="00F16251">
              <w:rPr>
                <w:rFonts w:cstheme="minorHAnsi"/>
                <w:lang w:eastAsia="pl-PL"/>
              </w:rPr>
              <w:t>20,9</w:t>
            </w:r>
          </w:p>
        </w:tc>
        <w:tc>
          <w:tcPr>
            <w:tcW w:w="1644" w:type="dxa"/>
            <w:tcBorders>
              <w:top w:val="nil"/>
              <w:left w:val="nil"/>
              <w:bottom w:val="single" w:sz="4" w:space="0" w:color="auto"/>
              <w:right w:val="single" w:sz="4" w:space="0" w:color="auto"/>
            </w:tcBorders>
            <w:shd w:val="clear" w:color="auto" w:fill="auto"/>
            <w:noWrap/>
            <w:vAlign w:val="bottom"/>
            <w:hideMark/>
          </w:tcPr>
          <w:p w14:paraId="47DC9B52" w14:textId="77777777" w:rsidR="00224658" w:rsidRPr="00F16251" w:rsidRDefault="00224658" w:rsidP="00A26C26">
            <w:pPr>
              <w:spacing w:line="276" w:lineRule="auto"/>
              <w:jc w:val="both"/>
              <w:rPr>
                <w:rFonts w:cstheme="minorHAnsi"/>
                <w:lang w:eastAsia="pl-PL"/>
              </w:rPr>
            </w:pPr>
            <w:r w:rsidRPr="00F16251">
              <w:rPr>
                <w:rFonts w:cstheme="minorHAnsi"/>
                <w:lang w:eastAsia="pl-PL"/>
              </w:rPr>
              <w:t>22,0</w:t>
            </w:r>
          </w:p>
        </w:tc>
        <w:tc>
          <w:tcPr>
            <w:tcW w:w="1645" w:type="dxa"/>
            <w:tcBorders>
              <w:top w:val="nil"/>
              <w:left w:val="nil"/>
              <w:bottom w:val="single" w:sz="4" w:space="0" w:color="auto"/>
              <w:right w:val="single" w:sz="4" w:space="0" w:color="auto"/>
            </w:tcBorders>
            <w:shd w:val="clear" w:color="auto" w:fill="auto"/>
            <w:noWrap/>
            <w:vAlign w:val="bottom"/>
            <w:hideMark/>
          </w:tcPr>
          <w:p w14:paraId="753F7FF6" w14:textId="77777777" w:rsidR="00224658" w:rsidRPr="00F16251" w:rsidRDefault="00224658" w:rsidP="00A26C26">
            <w:pPr>
              <w:spacing w:line="276" w:lineRule="auto"/>
              <w:jc w:val="both"/>
              <w:rPr>
                <w:rFonts w:cstheme="minorHAnsi"/>
                <w:lang w:eastAsia="pl-PL"/>
              </w:rPr>
            </w:pPr>
            <w:r w:rsidRPr="00F16251">
              <w:rPr>
                <w:rFonts w:cstheme="minorHAnsi"/>
                <w:lang w:eastAsia="pl-PL"/>
              </w:rPr>
              <w:t>22,9</w:t>
            </w:r>
          </w:p>
        </w:tc>
      </w:tr>
      <w:tr w:rsidR="00224658" w:rsidRPr="00F16251" w14:paraId="7D3A7BB0"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45B0AD3" w14:textId="11DAF9F1"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Stare</w:t>
            </w:r>
            <w:r w:rsidR="003B50ED" w:rsidRPr="00F16251">
              <w:rPr>
                <w:rFonts w:eastAsia="Times New Roman" w:cstheme="minorHAnsi"/>
                <w:color w:val="000000"/>
                <w:kern w:val="0"/>
                <w:lang w:eastAsia="pl-PL"/>
                <w14:ligatures w14:val="none"/>
              </w:rPr>
              <w:t xml:space="preserve"> </w:t>
            </w:r>
            <w:r w:rsidRPr="00F16251">
              <w:rPr>
                <w:rFonts w:eastAsia="Times New Roman" w:cstheme="minorHAnsi"/>
                <w:color w:val="000000"/>
                <w:kern w:val="0"/>
                <w:lang w:eastAsia="pl-PL"/>
                <w14:ligatures w14:val="none"/>
              </w:rPr>
              <w:t>Miasto</w:t>
            </w:r>
          </w:p>
        </w:tc>
        <w:tc>
          <w:tcPr>
            <w:tcW w:w="1644" w:type="dxa"/>
            <w:tcBorders>
              <w:top w:val="nil"/>
              <w:left w:val="nil"/>
              <w:bottom w:val="single" w:sz="4" w:space="0" w:color="auto"/>
              <w:right w:val="single" w:sz="4" w:space="0" w:color="auto"/>
            </w:tcBorders>
            <w:shd w:val="clear" w:color="auto" w:fill="auto"/>
            <w:noWrap/>
            <w:vAlign w:val="bottom"/>
            <w:hideMark/>
          </w:tcPr>
          <w:p w14:paraId="03BB04D7" w14:textId="77777777" w:rsidR="00224658" w:rsidRPr="00F16251" w:rsidRDefault="00224658" w:rsidP="00A26C26">
            <w:pPr>
              <w:spacing w:line="276" w:lineRule="auto"/>
              <w:jc w:val="both"/>
              <w:rPr>
                <w:rFonts w:cstheme="minorHAnsi"/>
                <w:lang w:eastAsia="pl-PL"/>
              </w:rPr>
            </w:pPr>
            <w:r w:rsidRPr="00F16251">
              <w:rPr>
                <w:rFonts w:cstheme="minorHAnsi"/>
                <w:lang w:eastAsia="pl-PL"/>
              </w:rPr>
              <w:t>17,2</w:t>
            </w:r>
          </w:p>
        </w:tc>
        <w:tc>
          <w:tcPr>
            <w:tcW w:w="1644" w:type="dxa"/>
            <w:tcBorders>
              <w:top w:val="nil"/>
              <w:left w:val="nil"/>
              <w:bottom w:val="single" w:sz="4" w:space="0" w:color="auto"/>
              <w:right w:val="single" w:sz="4" w:space="0" w:color="auto"/>
            </w:tcBorders>
            <w:shd w:val="clear" w:color="auto" w:fill="auto"/>
            <w:noWrap/>
            <w:vAlign w:val="bottom"/>
            <w:hideMark/>
          </w:tcPr>
          <w:p w14:paraId="38B56AD2" w14:textId="77777777" w:rsidR="00224658" w:rsidRPr="00F16251" w:rsidRDefault="00224658" w:rsidP="00A26C26">
            <w:pPr>
              <w:spacing w:line="276" w:lineRule="auto"/>
              <w:jc w:val="both"/>
              <w:rPr>
                <w:rFonts w:cstheme="minorHAnsi"/>
                <w:lang w:eastAsia="pl-PL"/>
              </w:rPr>
            </w:pPr>
            <w:r w:rsidRPr="00F16251">
              <w:rPr>
                <w:rFonts w:cstheme="minorHAnsi"/>
                <w:lang w:eastAsia="pl-PL"/>
              </w:rPr>
              <w:t>17,9</w:t>
            </w:r>
          </w:p>
        </w:tc>
        <w:tc>
          <w:tcPr>
            <w:tcW w:w="1644" w:type="dxa"/>
            <w:tcBorders>
              <w:top w:val="nil"/>
              <w:left w:val="nil"/>
              <w:bottom w:val="single" w:sz="4" w:space="0" w:color="auto"/>
              <w:right w:val="single" w:sz="4" w:space="0" w:color="auto"/>
            </w:tcBorders>
            <w:shd w:val="clear" w:color="auto" w:fill="auto"/>
            <w:noWrap/>
            <w:vAlign w:val="bottom"/>
            <w:hideMark/>
          </w:tcPr>
          <w:p w14:paraId="22CFD567" w14:textId="77777777" w:rsidR="00224658" w:rsidRPr="00F16251" w:rsidRDefault="00224658" w:rsidP="00A26C26">
            <w:pPr>
              <w:spacing w:line="276" w:lineRule="auto"/>
              <w:jc w:val="both"/>
              <w:rPr>
                <w:rFonts w:cstheme="minorHAnsi"/>
                <w:lang w:eastAsia="pl-PL"/>
              </w:rPr>
            </w:pPr>
            <w:r w:rsidRPr="00F16251">
              <w:rPr>
                <w:rFonts w:cstheme="minorHAnsi"/>
                <w:lang w:eastAsia="pl-PL"/>
              </w:rPr>
              <w:t>18,5</w:t>
            </w:r>
          </w:p>
        </w:tc>
        <w:tc>
          <w:tcPr>
            <w:tcW w:w="1644" w:type="dxa"/>
            <w:tcBorders>
              <w:top w:val="nil"/>
              <w:left w:val="nil"/>
              <w:bottom w:val="single" w:sz="4" w:space="0" w:color="auto"/>
              <w:right w:val="single" w:sz="4" w:space="0" w:color="auto"/>
            </w:tcBorders>
            <w:shd w:val="clear" w:color="auto" w:fill="auto"/>
            <w:noWrap/>
            <w:vAlign w:val="bottom"/>
            <w:hideMark/>
          </w:tcPr>
          <w:p w14:paraId="1A3AA577" w14:textId="77777777" w:rsidR="00224658" w:rsidRPr="00F16251" w:rsidRDefault="00224658" w:rsidP="00A26C26">
            <w:pPr>
              <w:spacing w:line="276" w:lineRule="auto"/>
              <w:jc w:val="both"/>
              <w:rPr>
                <w:rFonts w:cstheme="minorHAnsi"/>
                <w:lang w:eastAsia="pl-PL"/>
              </w:rPr>
            </w:pPr>
            <w:r w:rsidRPr="00F16251">
              <w:rPr>
                <w:rFonts w:cstheme="minorHAnsi"/>
                <w:lang w:eastAsia="pl-PL"/>
              </w:rPr>
              <w:t>19,6</w:t>
            </w:r>
          </w:p>
        </w:tc>
        <w:tc>
          <w:tcPr>
            <w:tcW w:w="1645" w:type="dxa"/>
            <w:tcBorders>
              <w:top w:val="nil"/>
              <w:left w:val="nil"/>
              <w:bottom w:val="single" w:sz="4" w:space="0" w:color="auto"/>
              <w:right w:val="single" w:sz="4" w:space="0" w:color="auto"/>
            </w:tcBorders>
            <w:shd w:val="clear" w:color="auto" w:fill="auto"/>
            <w:noWrap/>
            <w:vAlign w:val="bottom"/>
            <w:hideMark/>
          </w:tcPr>
          <w:p w14:paraId="56EA7FED" w14:textId="77777777" w:rsidR="00224658" w:rsidRPr="00F16251" w:rsidRDefault="00224658" w:rsidP="00A26C26">
            <w:pPr>
              <w:spacing w:line="276" w:lineRule="auto"/>
              <w:jc w:val="both"/>
              <w:rPr>
                <w:rFonts w:cstheme="minorHAnsi"/>
                <w:lang w:eastAsia="pl-PL"/>
              </w:rPr>
            </w:pPr>
            <w:r w:rsidRPr="00F16251">
              <w:rPr>
                <w:rFonts w:cstheme="minorHAnsi"/>
                <w:lang w:eastAsia="pl-PL"/>
              </w:rPr>
              <w:t>19,8</w:t>
            </w:r>
          </w:p>
        </w:tc>
      </w:tr>
      <w:tr w:rsidR="00224658" w:rsidRPr="00F16251" w14:paraId="0F3D887B"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7A811E9" w14:textId="77777777"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Tuliszków</w:t>
            </w:r>
          </w:p>
        </w:tc>
        <w:tc>
          <w:tcPr>
            <w:tcW w:w="1644" w:type="dxa"/>
            <w:tcBorders>
              <w:top w:val="nil"/>
              <w:left w:val="nil"/>
              <w:bottom w:val="single" w:sz="4" w:space="0" w:color="auto"/>
              <w:right w:val="single" w:sz="4" w:space="0" w:color="auto"/>
            </w:tcBorders>
            <w:shd w:val="clear" w:color="auto" w:fill="auto"/>
            <w:noWrap/>
            <w:vAlign w:val="bottom"/>
            <w:hideMark/>
          </w:tcPr>
          <w:p w14:paraId="15C404F8" w14:textId="77777777" w:rsidR="00224658" w:rsidRPr="00F16251" w:rsidRDefault="00224658" w:rsidP="00A26C26">
            <w:pPr>
              <w:spacing w:line="276" w:lineRule="auto"/>
              <w:jc w:val="both"/>
              <w:rPr>
                <w:rFonts w:cstheme="minorHAnsi"/>
                <w:lang w:eastAsia="pl-PL"/>
              </w:rPr>
            </w:pPr>
            <w:r w:rsidRPr="00F16251">
              <w:rPr>
                <w:rFonts w:cstheme="minorHAnsi"/>
                <w:lang w:eastAsia="pl-PL"/>
              </w:rPr>
              <w:t>19,3</w:t>
            </w:r>
          </w:p>
        </w:tc>
        <w:tc>
          <w:tcPr>
            <w:tcW w:w="1644" w:type="dxa"/>
            <w:tcBorders>
              <w:top w:val="nil"/>
              <w:left w:val="nil"/>
              <w:bottom w:val="single" w:sz="4" w:space="0" w:color="auto"/>
              <w:right w:val="single" w:sz="4" w:space="0" w:color="auto"/>
            </w:tcBorders>
            <w:shd w:val="clear" w:color="auto" w:fill="auto"/>
            <w:noWrap/>
            <w:vAlign w:val="bottom"/>
            <w:hideMark/>
          </w:tcPr>
          <w:p w14:paraId="1BFF5219" w14:textId="77777777" w:rsidR="00224658" w:rsidRPr="00F16251" w:rsidRDefault="00224658" w:rsidP="00A26C26">
            <w:pPr>
              <w:spacing w:line="276" w:lineRule="auto"/>
              <w:jc w:val="both"/>
              <w:rPr>
                <w:rFonts w:cstheme="minorHAnsi"/>
                <w:lang w:eastAsia="pl-PL"/>
              </w:rPr>
            </w:pPr>
            <w:r w:rsidRPr="00F16251">
              <w:rPr>
                <w:rFonts w:cstheme="minorHAnsi"/>
                <w:lang w:eastAsia="pl-PL"/>
              </w:rPr>
              <w:t>20,1</w:t>
            </w:r>
          </w:p>
        </w:tc>
        <w:tc>
          <w:tcPr>
            <w:tcW w:w="1644" w:type="dxa"/>
            <w:tcBorders>
              <w:top w:val="nil"/>
              <w:left w:val="nil"/>
              <w:bottom w:val="single" w:sz="4" w:space="0" w:color="auto"/>
              <w:right w:val="single" w:sz="4" w:space="0" w:color="auto"/>
            </w:tcBorders>
            <w:shd w:val="clear" w:color="auto" w:fill="auto"/>
            <w:noWrap/>
            <w:vAlign w:val="bottom"/>
            <w:hideMark/>
          </w:tcPr>
          <w:p w14:paraId="2CFD3ECF" w14:textId="77777777" w:rsidR="00224658" w:rsidRPr="00F16251" w:rsidRDefault="00224658" w:rsidP="00A26C26">
            <w:pPr>
              <w:spacing w:line="276" w:lineRule="auto"/>
              <w:jc w:val="both"/>
              <w:rPr>
                <w:rFonts w:cstheme="minorHAnsi"/>
                <w:lang w:eastAsia="pl-PL"/>
              </w:rPr>
            </w:pPr>
            <w:r w:rsidRPr="00F16251">
              <w:rPr>
                <w:rFonts w:cstheme="minorHAnsi"/>
                <w:lang w:eastAsia="pl-PL"/>
              </w:rPr>
              <w:t>21,1</w:t>
            </w:r>
          </w:p>
        </w:tc>
        <w:tc>
          <w:tcPr>
            <w:tcW w:w="1644" w:type="dxa"/>
            <w:tcBorders>
              <w:top w:val="nil"/>
              <w:left w:val="nil"/>
              <w:bottom w:val="single" w:sz="4" w:space="0" w:color="auto"/>
              <w:right w:val="single" w:sz="4" w:space="0" w:color="auto"/>
            </w:tcBorders>
            <w:shd w:val="clear" w:color="auto" w:fill="auto"/>
            <w:noWrap/>
            <w:vAlign w:val="bottom"/>
            <w:hideMark/>
          </w:tcPr>
          <w:p w14:paraId="0A5F47BF" w14:textId="77777777" w:rsidR="00224658" w:rsidRPr="00F16251" w:rsidRDefault="00224658" w:rsidP="00A26C26">
            <w:pPr>
              <w:spacing w:line="276" w:lineRule="auto"/>
              <w:jc w:val="both"/>
              <w:rPr>
                <w:rFonts w:cstheme="minorHAnsi"/>
                <w:lang w:eastAsia="pl-PL"/>
              </w:rPr>
            </w:pPr>
            <w:r w:rsidRPr="00F16251">
              <w:rPr>
                <w:rFonts w:cstheme="minorHAnsi"/>
                <w:lang w:eastAsia="pl-PL"/>
              </w:rPr>
              <w:t>22,3</w:t>
            </w:r>
          </w:p>
        </w:tc>
        <w:tc>
          <w:tcPr>
            <w:tcW w:w="1645" w:type="dxa"/>
            <w:tcBorders>
              <w:top w:val="nil"/>
              <w:left w:val="nil"/>
              <w:bottom w:val="single" w:sz="4" w:space="0" w:color="auto"/>
              <w:right w:val="single" w:sz="4" w:space="0" w:color="auto"/>
            </w:tcBorders>
            <w:shd w:val="clear" w:color="auto" w:fill="auto"/>
            <w:noWrap/>
            <w:vAlign w:val="bottom"/>
            <w:hideMark/>
          </w:tcPr>
          <w:p w14:paraId="045014E0" w14:textId="77777777" w:rsidR="00224658" w:rsidRPr="00F16251" w:rsidRDefault="00224658" w:rsidP="00A26C26">
            <w:pPr>
              <w:spacing w:line="276" w:lineRule="auto"/>
              <w:jc w:val="both"/>
              <w:rPr>
                <w:rFonts w:cstheme="minorHAnsi"/>
                <w:lang w:eastAsia="pl-PL"/>
              </w:rPr>
            </w:pPr>
            <w:r w:rsidRPr="00F16251">
              <w:rPr>
                <w:rFonts w:cstheme="minorHAnsi"/>
                <w:lang w:eastAsia="pl-PL"/>
              </w:rPr>
              <w:t>22,8</w:t>
            </w:r>
          </w:p>
        </w:tc>
      </w:tr>
      <w:tr w:rsidR="005C40E5" w:rsidRPr="00F16251" w14:paraId="7A359CDF" w14:textId="77777777" w:rsidTr="007F1E76">
        <w:trPr>
          <w:trHeight w:val="249"/>
        </w:trPr>
        <w:tc>
          <w:tcPr>
            <w:tcW w:w="1980" w:type="dxa"/>
            <w:tcBorders>
              <w:top w:val="nil"/>
              <w:left w:val="single" w:sz="4" w:space="0" w:color="auto"/>
              <w:bottom w:val="single" w:sz="4" w:space="0" w:color="auto"/>
              <w:right w:val="single" w:sz="4" w:space="0" w:color="auto"/>
            </w:tcBorders>
            <w:shd w:val="clear" w:color="000000" w:fill="DDEBF7"/>
            <w:vAlign w:val="bottom"/>
            <w:hideMark/>
          </w:tcPr>
          <w:p w14:paraId="46A98584" w14:textId="7071A785" w:rsidR="005C40E5" w:rsidRPr="00F16251" w:rsidRDefault="005C40E5" w:rsidP="005C40E5">
            <w:pPr>
              <w:spacing w:line="276" w:lineRule="auto"/>
              <w:rPr>
                <w:rFonts w:eastAsia="Times New Roman" w:cstheme="minorHAnsi"/>
                <w:color w:val="000000"/>
                <w:kern w:val="0"/>
                <w:lang w:eastAsia="pl-PL"/>
                <w14:ligatures w14:val="none"/>
              </w:rPr>
            </w:pPr>
            <w:r w:rsidRPr="00F16251">
              <w:rPr>
                <w:rFonts w:ascii="Calibri" w:hAnsi="Calibri" w:cs="Calibri"/>
                <w:color w:val="000000"/>
              </w:rPr>
              <w:t>Średnia LGD</w:t>
            </w:r>
          </w:p>
        </w:tc>
        <w:tc>
          <w:tcPr>
            <w:tcW w:w="1644" w:type="dxa"/>
            <w:tcBorders>
              <w:top w:val="nil"/>
              <w:left w:val="nil"/>
              <w:bottom w:val="single" w:sz="4" w:space="0" w:color="auto"/>
              <w:right w:val="single" w:sz="4" w:space="0" w:color="auto"/>
            </w:tcBorders>
            <w:shd w:val="clear" w:color="000000" w:fill="DDEBF7"/>
            <w:noWrap/>
            <w:vAlign w:val="bottom"/>
            <w:hideMark/>
          </w:tcPr>
          <w:p w14:paraId="7073E095" w14:textId="2265A6EA" w:rsidR="005C40E5" w:rsidRPr="00F16251" w:rsidRDefault="005C40E5" w:rsidP="005C40E5">
            <w:pPr>
              <w:spacing w:line="276" w:lineRule="auto"/>
              <w:jc w:val="both"/>
              <w:rPr>
                <w:rFonts w:cstheme="minorHAnsi"/>
                <w:lang w:eastAsia="pl-PL"/>
              </w:rPr>
            </w:pPr>
            <w:r w:rsidRPr="00F16251">
              <w:rPr>
                <w:rFonts w:ascii="Calibri" w:hAnsi="Calibri" w:cs="Calibri"/>
                <w:color w:val="000000"/>
              </w:rPr>
              <w:t>19,53</w:t>
            </w:r>
          </w:p>
        </w:tc>
        <w:tc>
          <w:tcPr>
            <w:tcW w:w="1644" w:type="dxa"/>
            <w:tcBorders>
              <w:top w:val="nil"/>
              <w:left w:val="nil"/>
              <w:bottom w:val="single" w:sz="4" w:space="0" w:color="auto"/>
              <w:right w:val="single" w:sz="4" w:space="0" w:color="auto"/>
            </w:tcBorders>
            <w:shd w:val="clear" w:color="000000" w:fill="DDEBF7"/>
            <w:noWrap/>
            <w:vAlign w:val="bottom"/>
            <w:hideMark/>
          </w:tcPr>
          <w:p w14:paraId="287BA6D9" w14:textId="79E6511A" w:rsidR="005C40E5" w:rsidRPr="00F16251" w:rsidRDefault="005C40E5" w:rsidP="005C40E5">
            <w:pPr>
              <w:spacing w:line="276" w:lineRule="auto"/>
              <w:jc w:val="both"/>
              <w:rPr>
                <w:rFonts w:cstheme="minorHAnsi"/>
                <w:lang w:eastAsia="pl-PL"/>
              </w:rPr>
            </w:pPr>
            <w:r w:rsidRPr="00F16251">
              <w:rPr>
                <w:rFonts w:ascii="Calibri" w:hAnsi="Calibri" w:cs="Calibri"/>
                <w:color w:val="000000"/>
              </w:rPr>
              <w:t>20,15</w:t>
            </w:r>
          </w:p>
        </w:tc>
        <w:tc>
          <w:tcPr>
            <w:tcW w:w="1644" w:type="dxa"/>
            <w:tcBorders>
              <w:top w:val="nil"/>
              <w:left w:val="nil"/>
              <w:bottom w:val="single" w:sz="4" w:space="0" w:color="auto"/>
              <w:right w:val="single" w:sz="4" w:space="0" w:color="auto"/>
            </w:tcBorders>
            <w:shd w:val="clear" w:color="000000" w:fill="DDEBF7"/>
            <w:noWrap/>
            <w:vAlign w:val="bottom"/>
            <w:hideMark/>
          </w:tcPr>
          <w:p w14:paraId="2ABC89E8" w14:textId="22B28791" w:rsidR="005C40E5" w:rsidRPr="00F16251" w:rsidRDefault="005C40E5" w:rsidP="005C40E5">
            <w:pPr>
              <w:spacing w:line="276" w:lineRule="auto"/>
              <w:jc w:val="both"/>
              <w:rPr>
                <w:rFonts w:cstheme="minorHAnsi"/>
                <w:lang w:eastAsia="pl-PL"/>
              </w:rPr>
            </w:pPr>
            <w:r w:rsidRPr="00F16251">
              <w:rPr>
                <w:rFonts w:ascii="Calibri" w:hAnsi="Calibri" w:cs="Calibri"/>
                <w:color w:val="000000"/>
              </w:rPr>
              <w:t>20,88</w:t>
            </w:r>
          </w:p>
        </w:tc>
        <w:tc>
          <w:tcPr>
            <w:tcW w:w="1644" w:type="dxa"/>
            <w:tcBorders>
              <w:top w:val="nil"/>
              <w:left w:val="nil"/>
              <w:bottom w:val="single" w:sz="4" w:space="0" w:color="auto"/>
              <w:right w:val="single" w:sz="4" w:space="0" w:color="auto"/>
            </w:tcBorders>
            <w:shd w:val="clear" w:color="000000" w:fill="DDEBF7"/>
            <w:noWrap/>
            <w:vAlign w:val="bottom"/>
            <w:hideMark/>
          </w:tcPr>
          <w:p w14:paraId="1E03502A" w14:textId="594F2CDD" w:rsidR="005C40E5" w:rsidRPr="00F16251" w:rsidRDefault="005C40E5" w:rsidP="005C40E5">
            <w:pPr>
              <w:spacing w:line="276" w:lineRule="auto"/>
              <w:jc w:val="both"/>
              <w:rPr>
                <w:rFonts w:cstheme="minorHAnsi"/>
                <w:lang w:eastAsia="pl-PL"/>
              </w:rPr>
            </w:pPr>
            <w:r w:rsidRPr="00F16251">
              <w:rPr>
                <w:rFonts w:ascii="Calibri" w:hAnsi="Calibri" w:cs="Calibri"/>
                <w:color w:val="000000"/>
              </w:rPr>
              <w:t>22,28</w:t>
            </w:r>
          </w:p>
        </w:tc>
        <w:tc>
          <w:tcPr>
            <w:tcW w:w="1645" w:type="dxa"/>
            <w:tcBorders>
              <w:top w:val="nil"/>
              <w:left w:val="nil"/>
              <w:bottom w:val="single" w:sz="4" w:space="0" w:color="auto"/>
              <w:right w:val="single" w:sz="4" w:space="0" w:color="auto"/>
            </w:tcBorders>
            <w:shd w:val="clear" w:color="000000" w:fill="DDEBF7"/>
            <w:noWrap/>
            <w:vAlign w:val="bottom"/>
            <w:hideMark/>
          </w:tcPr>
          <w:p w14:paraId="00272EA8" w14:textId="348D9D8C" w:rsidR="005C40E5" w:rsidRPr="00F16251" w:rsidRDefault="005C40E5" w:rsidP="005C40E5">
            <w:pPr>
              <w:spacing w:line="276" w:lineRule="auto"/>
              <w:jc w:val="both"/>
              <w:rPr>
                <w:rFonts w:cstheme="minorHAnsi"/>
                <w:lang w:eastAsia="pl-PL"/>
              </w:rPr>
            </w:pPr>
            <w:r w:rsidRPr="00F16251">
              <w:rPr>
                <w:rFonts w:ascii="Calibri" w:hAnsi="Calibri" w:cs="Calibri"/>
                <w:color w:val="000000"/>
              </w:rPr>
              <w:t>22,92</w:t>
            </w:r>
          </w:p>
        </w:tc>
      </w:tr>
    </w:tbl>
    <w:p w14:paraId="75D01FE7" w14:textId="291D19F8" w:rsidR="00224658" w:rsidRPr="00F16251" w:rsidRDefault="00224658" w:rsidP="00A26C26">
      <w:pPr>
        <w:spacing w:line="276" w:lineRule="auto"/>
        <w:rPr>
          <w:rFonts w:cstheme="minorHAnsi"/>
        </w:rPr>
      </w:pPr>
      <w:r w:rsidRPr="00F16251">
        <w:rPr>
          <w:rFonts w:cstheme="minorHAnsi"/>
        </w:rPr>
        <w:t>Źródło:</w:t>
      </w:r>
      <w:r w:rsidR="003B50ED" w:rsidRPr="00F16251">
        <w:rPr>
          <w:rFonts w:cstheme="minorHAnsi"/>
        </w:rPr>
        <w:t xml:space="preserve"> </w:t>
      </w:r>
      <w:r w:rsidRPr="00F16251">
        <w:rPr>
          <w:rFonts w:cstheme="minorHAnsi"/>
        </w:rPr>
        <w:t>GUS,</w:t>
      </w:r>
      <w:r w:rsidR="003B50ED" w:rsidRPr="00F16251">
        <w:rPr>
          <w:rFonts w:cstheme="minorHAnsi"/>
        </w:rPr>
        <w:t xml:space="preserve"> </w:t>
      </w:r>
      <w:r w:rsidRPr="00F16251">
        <w:rPr>
          <w:rFonts w:cstheme="minorHAnsi"/>
        </w:rPr>
        <w:t>Bank</w:t>
      </w:r>
      <w:r w:rsidR="003B50ED" w:rsidRPr="00F16251">
        <w:rPr>
          <w:rFonts w:cstheme="minorHAnsi"/>
        </w:rPr>
        <w:t xml:space="preserve"> </w:t>
      </w:r>
      <w:r w:rsidRPr="00F16251">
        <w:rPr>
          <w:rFonts w:cstheme="minorHAnsi"/>
        </w:rPr>
        <w:t>Danych</w:t>
      </w:r>
      <w:r w:rsidR="003B50ED" w:rsidRPr="00F16251">
        <w:rPr>
          <w:rFonts w:cstheme="minorHAnsi"/>
        </w:rPr>
        <w:t xml:space="preserve"> </w:t>
      </w:r>
      <w:r w:rsidRPr="00F16251">
        <w:rPr>
          <w:rFonts w:cstheme="minorHAnsi"/>
        </w:rPr>
        <w:t>Lokalnych</w:t>
      </w:r>
    </w:p>
    <w:p w14:paraId="4C64EA1C" w14:textId="77777777" w:rsidR="00224658" w:rsidRPr="00F16251" w:rsidRDefault="00224658" w:rsidP="00A26C26">
      <w:pPr>
        <w:spacing w:line="276" w:lineRule="auto"/>
        <w:jc w:val="both"/>
        <w:rPr>
          <w:rFonts w:cstheme="minorHAnsi"/>
        </w:rPr>
      </w:pPr>
    </w:p>
    <w:p w14:paraId="5676247D" w14:textId="246B3A1A" w:rsidR="00224658" w:rsidRPr="00F16251" w:rsidRDefault="00224658" w:rsidP="00A26C26">
      <w:pPr>
        <w:spacing w:line="276" w:lineRule="auto"/>
        <w:ind w:firstLine="284"/>
        <w:jc w:val="both"/>
        <w:rPr>
          <w:rFonts w:cstheme="minorHAnsi"/>
        </w:rPr>
      </w:pPr>
      <w:r w:rsidRPr="00F16251">
        <w:rPr>
          <w:rFonts w:cstheme="minorHAnsi"/>
        </w:rPr>
        <w:t>Na</w:t>
      </w:r>
      <w:r w:rsidR="003B50ED" w:rsidRPr="00F16251">
        <w:rPr>
          <w:rFonts w:cstheme="minorHAnsi"/>
        </w:rPr>
        <w:t xml:space="preserve"> </w:t>
      </w:r>
      <w:r w:rsidRPr="00F16251">
        <w:rPr>
          <w:rFonts w:cstheme="minorHAnsi"/>
        </w:rPr>
        <w:t>terenie</w:t>
      </w:r>
      <w:r w:rsidR="003B50ED" w:rsidRPr="00F16251">
        <w:rPr>
          <w:rFonts w:cstheme="minorHAnsi"/>
        </w:rPr>
        <w:t xml:space="preserve"> </w:t>
      </w:r>
      <w:r w:rsidRPr="00F16251">
        <w:rPr>
          <w:rFonts w:cstheme="minorHAnsi"/>
        </w:rPr>
        <w:t>gmin</w:t>
      </w:r>
      <w:r w:rsidR="003B50ED" w:rsidRPr="00F16251">
        <w:rPr>
          <w:rFonts w:cstheme="minorHAnsi"/>
        </w:rPr>
        <w:t xml:space="preserve"> </w:t>
      </w:r>
      <w:r w:rsidRPr="00F16251">
        <w:rPr>
          <w:rFonts w:cstheme="minorHAnsi"/>
        </w:rPr>
        <w:t>wchodzących</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skład</w:t>
      </w:r>
      <w:r w:rsidR="003B50ED" w:rsidRPr="00F16251">
        <w:rPr>
          <w:rFonts w:cstheme="minorHAnsi"/>
        </w:rPr>
        <w:t xml:space="preserve"> </w:t>
      </w:r>
      <w:r w:rsidRPr="00F16251">
        <w:rPr>
          <w:rFonts w:cstheme="minorHAnsi"/>
        </w:rPr>
        <w:t>LGD</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latach</w:t>
      </w:r>
      <w:r w:rsidR="003B50ED" w:rsidRPr="00F16251">
        <w:rPr>
          <w:rFonts w:cstheme="minorHAnsi"/>
        </w:rPr>
        <w:t xml:space="preserve"> </w:t>
      </w:r>
      <w:r w:rsidRPr="00F16251">
        <w:rPr>
          <w:rFonts w:cstheme="minorHAnsi"/>
        </w:rPr>
        <w:t>2017-2021</w:t>
      </w:r>
      <w:r w:rsidR="003B50ED" w:rsidRPr="00F16251">
        <w:rPr>
          <w:rFonts w:cstheme="minorHAnsi"/>
        </w:rPr>
        <w:t xml:space="preserve"> </w:t>
      </w:r>
      <w:r w:rsidRPr="00F16251">
        <w:rPr>
          <w:rFonts w:cstheme="minorHAnsi"/>
        </w:rPr>
        <w:t>znacząco</w:t>
      </w:r>
      <w:r w:rsidR="003B50ED" w:rsidRPr="00F16251">
        <w:rPr>
          <w:rFonts w:cstheme="minorHAnsi"/>
        </w:rPr>
        <w:t xml:space="preserve"> </w:t>
      </w:r>
      <w:r w:rsidRPr="00F16251">
        <w:rPr>
          <w:rFonts w:cstheme="minorHAnsi"/>
        </w:rPr>
        <w:t>zmniejszyła</w:t>
      </w:r>
      <w:r w:rsidR="003B50ED" w:rsidRPr="00F16251">
        <w:rPr>
          <w:rFonts w:cstheme="minorHAnsi"/>
        </w:rPr>
        <w:t xml:space="preserve"> </w:t>
      </w:r>
      <w:r w:rsidRPr="00F16251">
        <w:rPr>
          <w:rFonts w:cstheme="minorHAnsi"/>
        </w:rPr>
        <w:t>się</w:t>
      </w:r>
      <w:r w:rsidR="003B50ED" w:rsidRPr="00F16251">
        <w:rPr>
          <w:rFonts w:cstheme="minorHAnsi"/>
        </w:rPr>
        <w:t xml:space="preserve"> </w:t>
      </w:r>
      <w:r w:rsidRPr="00F16251">
        <w:rPr>
          <w:rFonts w:cstheme="minorHAnsi"/>
        </w:rPr>
        <w:t>liczba</w:t>
      </w:r>
      <w:r w:rsidR="003B50ED" w:rsidRPr="00F16251">
        <w:rPr>
          <w:rFonts w:cstheme="minorHAnsi"/>
        </w:rPr>
        <w:t xml:space="preserve"> </w:t>
      </w:r>
      <w:r w:rsidRPr="00F16251">
        <w:rPr>
          <w:rFonts w:cstheme="minorHAnsi"/>
        </w:rPr>
        <w:t>osób</w:t>
      </w:r>
      <w:r w:rsidR="003B50ED" w:rsidRPr="00F16251">
        <w:rPr>
          <w:rFonts w:cstheme="minorHAnsi"/>
        </w:rPr>
        <w:t xml:space="preserve"> </w:t>
      </w:r>
      <w:r w:rsidRPr="00F16251">
        <w:rPr>
          <w:rFonts w:cstheme="minorHAnsi"/>
        </w:rPr>
        <w:t>korzystających</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środowiskowej</w:t>
      </w:r>
      <w:r w:rsidR="003B50ED" w:rsidRPr="00F16251">
        <w:rPr>
          <w:rFonts w:cstheme="minorHAnsi"/>
        </w:rPr>
        <w:t xml:space="preserve"> </w:t>
      </w:r>
      <w:r w:rsidRPr="00F16251">
        <w:rPr>
          <w:rFonts w:cstheme="minorHAnsi"/>
        </w:rPr>
        <w:t>pomocy</w:t>
      </w:r>
      <w:r w:rsidR="003B50ED" w:rsidRPr="00F16251">
        <w:rPr>
          <w:rFonts w:cstheme="minorHAnsi"/>
        </w:rPr>
        <w:t xml:space="preserve"> </w:t>
      </w:r>
      <w:r w:rsidRPr="00F16251">
        <w:rPr>
          <w:rFonts w:cstheme="minorHAnsi"/>
        </w:rPr>
        <w:t>społecznej.</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2021</w:t>
      </w:r>
      <w:r w:rsidR="003B50ED" w:rsidRPr="00F16251">
        <w:rPr>
          <w:rFonts w:cstheme="minorHAnsi"/>
        </w:rPr>
        <w:t xml:space="preserve"> r. </w:t>
      </w:r>
      <w:r w:rsidRPr="00F16251">
        <w:rPr>
          <w:rFonts w:cstheme="minorHAnsi"/>
        </w:rPr>
        <w:t>w</w:t>
      </w:r>
      <w:r w:rsidR="003B50ED" w:rsidRPr="00F16251">
        <w:rPr>
          <w:rFonts w:cstheme="minorHAnsi"/>
        </w:rPr>
        <w:t xml:space="preserve"> </w:t>
      </w:r>
      <w:r w:rsidRPr="00F16251">
        <w:rPr>
          <w:rFonts w:cstheme="minorHAnsi"/>
        </w:rPr>
        <w:t>przeliczeniu</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10</w:t>
      </w:r>
      <w:r w:rsidR="003B50ED" w:rsidRPr="00F16251">
        <w:rPr>
          <w:rFonts w:cstheme="minorHAnsi"/>
        </w:rPr>
        <w:t xml:space="preserve"> </w:t>
      </w:r>
      <w:r w:rsidRPr="00F16251">
        <w:rPr>
          <w:rFonts w:cstheme="minorHAnsi"/>
        </w:rPr>
        <w:t>tys.</w:t>
      </w:r>
      <w:r w:rsidR="003B50ED" w:rsidRPr="00F16251">
        <w:rPr>
          <w:rFonts w:cstheme="minorHAnsi"/>
        </w:rPr>
        <w:t xml:space="preserve"> </w:t>
      </w:r>
      <w:r w:rsidRPr="00F16251">
        <w:rPr>
          <w:rFonts w:cstheme="minorHAnsi"/>
        </w:rPr>
        <w:t>mieszkańców,</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takiej</w:t>
      </w:r>
      <w:r w:rsidR="003B50ED" w:rsidRPr="00F16251">
        <w:rPr>
          <w:rFonts w:cstheme="minorHAnsi"/>
        </w:rPr>
        <w:t xml:space="preserve"> </w:t>
      </w:r>
      <w:r w:rsidRPr="00F16251">
        <w:rPr>
          <w:rFonts w:cstheme="minorHAnsi"/>
        </w:rPr>
        <w:t>pomocy</w:t>
      </w:r>
      <w:r w:rsidR="003B50ED" w:rsidRPr="00F16251">
        <w:rPr>
          <w:rFonts w:cstheme="minorHAnsi"/>
        </w:rPr>
        <w:t xml:space="preserve"> </w:t>
      </w:r>
      <w:r w:rsidRPr="00F16251">
        <w:rPr>
          <w:rFonts w:cstheme="minorHAnsi"/>
        </w:rPr>
        <w:t>korzystał</w:t>
      </w:r>
      <w:r w:rsidR="00BD5E29" w:rsidRPr="00F16251">
        <w:rPr>
          <w:rFonts w:cstheme="minorHAnsi"/>
        </w:rPr>
        <w:t>o</w:t>
      </w:r>
      <w:r w:rsidR="003B50ED" w:rsidRPr="00F16251">
        <w:rPr>
          <w:rFonts w:cstheme="minorHAnsi"/>
        </w:rPr>
        <w:t xml:space="preserve"> </w:t>
      </w:r>
      <w:r w:rsidRPr="00F16251">
        <w:rPr>
          <w:rFonts w:cstheme="minorHAnsi"/>
        </w:rPr>
        <w:t>łącznie</w:t>
      </w:r>
      <w:r w:rsidR="003B50ED" w:rsidRPr="00F16251">
        <w:rPr>
          <w:rFonts w:cstheme="minorHAnsi"/>
        </w:rPr>
        <w:t xml:space="preserve"> </w:t>
      </w:r>
      <w:r w:rsidRPr="00F16251">
        <w:rPr>
          <w:rFonts w:cstheme="minorHAnsi"/>
        </w:rPr>
        <w:t>2308</w:t>
      </w:r>
      <w:r w:rsidR="003B50ED" w:rsidRPr="00F16251">
        <w:rPr>
          <w:rFonts w:cstheme="minorHAnsi"/>
        </w:rPr>
        <w:t xml:space="preserve"> </w:t>
      </w:r>
      <w:r w:rsidRPr="00F16251">
        <w:rPr>
          <w:rFonts w:cstheme="minorHAnsi"/>
        </w:rPr>
        <w:t>osób.</w:t>
      </w:r>
      <w:r w:rsidR="003B50ED" w:rsidRPr="00F16251">
        <w:rPr>
          <w:rFonts w:cstheme="minorHAnsi"/>
        </w:rPr>
        <w:t xml:space="preserve"> </w:t>
      </w:r>
      <w:r w:rsidRPr="00F16251">
        <w:rPr>
          <w:rFonts w:cstheme="minorHAnsi"/>
        </w:rPr>
        <w:t>Najwięcej</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gminie</w:t>
      </w:r>
      <w:r w:rsidR="003B50ED" w:rsidRPr="00F16251">
        <w:rPr>
          <w:rFonts w:cstheme="minorHAnsi"/>
        </w:rPr>
        <w:t xml:space="preserve"> </w:t>
      </w:r>
      <w:r w:rsidRPr="00F16251">
        <w:rPr>
          <w:rFonts w:cstheme="minorHAnsi"/>
        </w:rPr>
        <w:t>Tuliszków</w:t>
      </w:r>
      <w:r w:rsidR="003B50ED" w:rsidRPr="00F16251">
        <w:rPr>
          <w:rFonts w:cstheme="minorHAnsi"/>
        </w:rPr>
        <w:t xml:space="preserve"> </w:t>
      </w:r>
      <w:r w:rsidRPr="00F16251">
        <w:rPr>
          <w:rFonts w:cstheme="minorHAnsi"/>
        </w:rPr>
        <w:t>580</w:t>
      </w:r>
      <w:r w:rsidR="003B50ED" w:rsidRPr="00F16251">
        <w:rPr>
          <w:rFonts w:cstheme="minorHAnsi"/>
        </w:rPr>
        <w:t xml:space="preserve"> </w:t>
      </w:r>
      <w:r w:rsidRPr="00F16251">
        <w:rPr>
          <w:rFonts w:cstheme="minorHAnsi"/>
        </w:rPr>
        <w:t>osób,</w:t>
      </w:r>
      <w:r w:rsidR="003B50ED" w:rsidRPr="00F16251">
        <w:rPr>
          <w:rFonts w:cstheme="minorHAnsi"/>
        </w:rPr>
        <w:t xml:space="preserve"> </w:t>
      </w:r>
      <w:r w:rsidRPr="00F16251">
        <w:rPr>
          <w:rFonts w:cstheme="minorHAnsi"/>
        </w:rPr>
        <w:t>najmniej</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gminie</w:t>
      </w:r>
      <w:r w:rsidR="003B50ED" w:rsidRPr="00F16251">
        <w:rPr>
          <w:rFonts w:cstheme="minorHAnsi"/>
        </w:rPr>
        <w:t xml:space="preserve"> </w:t>
      </w:r>
      <w:r w:rsidRPr="00F16251">
        <w:rPr>
          <w:rFonts w:cstheme="minorHAnsi"/>
        </w:rPr>
        <w:t>Stare</w:t>
      </w:r>
      <w:r w:rsidR="003B50ED" w:rsidRPr="00F16251">
        <w:rPr>
          <w:rFonts w:cstheme="minorHAnsi"/>
        </w:rPr>
        <w:t xml:space="preserve"> </w:t>
      </w:r>
      <w:r w:rsidRPr="00F16251">
        <w:rPr>
          <w:rFonts w:cstheme="minorHAnsi"/>
        </w:rPr>
        <w:t>Miasto</w:t>
      </w:r>
      <w:r w:rsidR="003B50ED" w:rsidRPr="00F16251">
        <w:rPr>
          <w:rFonts w:cstheme="minorHAnsi"/>
        </w:rPr>
        <w:t xml:space="preserve"> </w:t>
      </w:r>
      <w:r w:rsidRPr="00F16251">
        <w:rPr>
          <w:rFonts w:cstheme="minorHAnsi"/>
        </w:rPr>
        <w:t>218</w:t>
      </w:r>
      <w:r w:rsidR="003B50ED" w:rsidRPr="00F16251">
        <w:rPr>
          <w:rFonts w:cstheme="minorHAnsi"/>
        </w:rPr>
        <w:t xml:space="preserve"> </w:t>
      </w:r>
      <w:r w:rsidRPr="00F16251">
        <w:rPr>
          <w:rFonts w:cstheme="minorHAnsi"/>
        </w:rPr>
        <w:t>osób.</w:t>
      </w:r>
      <w:r w:rsidR="003B50ED" w:rsidRPr="00F16251">
        <w:rPr>
          <w:rFonts w:cstheme="minorHAnsi"/>
        </w:rPr>
        <w:t xml:space="preserve"> </w:t>
      </w:r>
    </w:p>
    <w:p w14:paraId="0D62B3F8" w14:textId="77777777" w:rsidR="00224658" w:rsidRPr="00F16251" w:rsidRDefault="00224658" w:rsidP="00A26C26">
      <w:pPr>
        <w:spacing w:line="276" w:lineRule="auto"/>
        <w:jc w:val="both"/>
        <w:rPr>
          <w:rFonts w:cstheme="minorHAnsi"/>
        </w:rPr>
      </w:pPr>
    </w:p>
    <w:p w14:paraId="1E9EDB6E" w14:textId="5959F5FC" w:rsidR="00224658" w:rsidRPr="00F16251" w:rsidRDefault="00224658" w:rsidP="00A26C26">
      <w:pPr>
        <w:spacing w:line="276" w:lineRule="auto"/>
        <w:jc w:val="both"/>
        <w:rPr>
          <w:rFonts w:cstheme="minorHAnsi"/>
        </w:rPr>
      </w:pPr>
      <w:r w:rsidRPr="00F16251">
        <w:rPr>
          <w:rFonts w:cstheme="minorHAnsi"/>
        </w:rPr>
        <w:t>Tabela</w:t>
      </w:r>
      <w:r w:rsidR="00396A11">
        <w:rPr>
          <w:rFonts w:cstheme="minorHAnsi"/>
        </w:rPr>
        <w:t xml:space="preserve"> nr 1</w:t>
      </w:r>
      <w:r w:rsidR="00203429">
        <w:rPr>
          <w:rFonts w:cstheme="minorHAnsi"/>
        </w:rPr>
        <w:t>8</w:t>
      </w:r>
      <w:r w:rsidR="003B50ED" w:rsidRPr="00F16251">
        <w:rPr>
          <w:rFonts w:cstheme="minorHAnsi"/>
        </w:rPr>
        <w:t xml:space="preserve"> </w:t>
      </w:r>
      <w:r w:rsidRPr="00F16251">
        <w:rPr>
          <w:rFonts w:cstheme="minorHAnsi"/>
        </w:rPr>
        <w:t>Beneficjenci</w:t>
      </w:r>
      <w:r w:rsidR="003B50ED" w:rsidRPr="00F16251">
        <w:rPr>
          <w:rFonts w:cstheme="minorHAnsi"/>
        </w:rPr>
        <w:t xml:space="preserve"> </w:t>
      </w:r>
      <w:r w:rsidRPr="00F16251">
        <w:rPr>
          <w:rFonts w:cstheme="minorHAnsi"/>
        </w:rPr>
        <w:t>środowiskowej</w:t>
      </w:r>
      <w:r w:rsidR="003B50ED" w:rsidRPr="00F16251">
        <w:rPr>
          <w:rFonts w:cstheme="minorHAnsi"/>
        </w:rPr>
        <w:t xml:space="preserve"> </w:t>
      </w:r>
      <w:r w:rsidRPr="00F16251">
        <w:rPr>
          <w:rFonts w:cstheme="minorHAnsi"/>
        </w:rPr>
        <w:t>pomocy</w:t>
      </w:r>
      <w:r w:rsidR="003B50ED" w:rsidRPr="00F16251">
        <w:rPr>
          <w:rFonts w:cstheme="minorHAnsi"/>
        </w:rPr>
        <w:t xml:space="preserve"> </w:t>
      </w:r>
      <w:r w:rsidRPr="00F16251">
        <w:rPr>
          <w:rFonts w:cstheme="minorHAnsi"/>
        </w:rPr>
        <w:t>społeczne</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10</w:t>
      </w:r>
      <w:r w:rsidR="003B50ED" w:rsidRPr="00F16251">
        <w:rPr>
          <w:rFonts w:cstheme="minorHAnsi"/>
        </w:rPr>
        <w:t xml:space="preserve"> </w:t>
      </w:r>
      <w:r w:rsidRPr="00F16251">
        <w:rPr>
          <w:rFonts w:cstheme="minorHAnsi"/>
        </w:rPr>
        <w:t>tys.</w:t>
      </w:r>
      <w:r w:rsidR="003B50ED" w:rsidRPr="00F16251">
        <w:rPr>
          <w:rFonts w:cstheme="minorHAnsi"/>
        </w:rPr>
        <w:t xml:space="preserve"> </w:t>
      </w:r>
      <w:r w:rsidRPr="00F16251">
        <w:rPr>
          <w:rFonts w:cstheme="minorHAnsi"/>
        </w:rPr>
        <w:t>ludności</w:t>
      </w:r>
    </w:p>
    <w:tbl>
      <w:tblPr>
        <w:tblW w:w="10201" w:type="dxa"/>
        <w:tblLayout w:type="fixed"/>
        <w:tblCellMar>
          <w:left w:w="70" w:type="dxa"/>
          <w:right w:w="70" w:type="dxa"/>
        </w:tblCellMar>
        <w:tblLook w:val="04A0" w:firstRow="1" w:lastRow="0" w:firstColumn="1" w:lastColumn="0" w:noHBand="0" w:noVBand="1"/>
      </w:tblPr>
      <w:tblGrid>
        <w:gridCol w:w="1980"/>
        <w:gridCol w:w="1644"/>
        <w:gridCol w:w="1644"/>
        <w:gridCol w:w="1644"/>
        <w:gridCol w:w="1644"/>
        <w:gridCol w:w="1645"/>
      </w:tblGrid>
      <w:tr w:rsidR="00224658" w:rsidRPr="00F16251" w14:paraId="4B0992C3" w14:textId="77777777" w:rsidTr="007F1E76">
        <w:trPr>
          <w:trHeight w:val="249"/>
        </w:trPr>
        <w:tc>
          <w:tcPr>
            <w:tcW w:w="198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4F54D67D" w14:textId="570C9790"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Nazwa</w:t>
            </w:r>
            <w:r w:rsidR="003B50ED" w:rsidRPr="00F16251">
              <w:rPr>
                <w:rFonts w:eastAsia="Times New Roman" w:cstheme="minorHAnsi"/>
                <w:color w:val="000000"/>
                <w:kern w:val="0"/>
                <w:lang w:eastAsia="pl-PL"/>
                <w14:ligatures w14:val="none"/>
              </w:rPr>
              <w:t xml:space="preserve"> </w:t>
            </w:r>
            <w:r w:rsidRPr="00F16251">
              <w:rPr>
                <w:rFonts w:eastAsia="Times New Roman" w:cstheme="minorHAnsi"/>
                <w:color w:val="000000"/>
                <w:kern w:val="0"/>
                <w:lang w:eastAsia="pl-PL"/>
                <w14:ligatures w14:val="none"/>
              </w:rPr>
              <w:t>gminy</w:t>
            </w:r>
            <w:r w:rsidR="003B50ED" w:rsidRPr="00F16251">
              <w:rPr>
                <w:rFonts w:eastAsia="Times New Roman" w:cstheme="minorHAnsi"/>
                <w:color w:val="000000"/>
                <w:kern w:val="0"/>
                <w:lang w:eastAsia="pl-PL"/>
                <w14:ligatures w14:val="none"/>
              </w:rPr>
              <w:t xml:space="preserve"> </w:t>
            </w:r>
          </w:p>
        </w:tc>
        <w:tc>
          <w:tcPr>
            <w:tcW w:w="1644" w:type="dxa"/>
            <w:tcBorders>
              <w:top w:val="single" w:sz="4" w:space="0" w:color="auto"/>
              <w:left w:val="nil"/>
              <w:bottom w:val="single" w:sz="4" w:space="0" w:color="auto"/>
              <w:right w:val="single" w:sz="4" w:space="0" w:color="auto"/>
            </w:tcBorders>
            <w:shd w:val="clear" w:color="000000" w:fill="DDEBF7"/>
            <w:noWrap/>
            <w:vAlign w:val="bottom"/>
            <w:hideMark/>
          </w:tcPr>
          <w:p w14:paraId="04B556DA"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2017</w:t>
            </w:r>
          </w:p>
        </w:tc>
        <w:tc>
          <w:tcPr>
            <w:tcW w:w="1644" w:type="dxa"/>
            <w:tcBorders>
              <w:top w:val="single" w:sz="4" w:space="0" w:color="auto"/>
              <w:left w:val="nil"/>
              <w:bottom w:val="single" w:sz="4" w:space="0" w:color="auto"/>
              <w:right w:val="single" w:sz="4" w:space="0" w:color="auto"/>
            </w:tcBorders>
            <w:shd w:val="clear" w:color="000000" w:fill="DDEBF7"/>
            <w:noWrap/>
            <w:vAlign w:val="bottom"/>
            <w:hideMark/>
          </w:tcPr>
          <w:p w14:paraId="3BD189B7"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2018</w:t>
            </w:r>
          </w:p>
        </w:tc>
        <w:tc>
          <w:tcPr>
            <w:tcW w:w="1644" w:type="dxa"/>
            <w:tcBorders>
              <w:top w:val="single" w:sz="4" w:space="0" w:color="auto"/>
              <w:left w:val="nil"/>
              <w:bottom w:val="single" w:sz="4" w:space="0" w:color="auto"/>
              <w:right w:val="single" w:sz="4" w:space="0" w:color="auto"/>
            </w:tcBorders>
            <w:shd w:val="clear" w:color="000000" w:fill="DDEBF7"/>
            <w:noWrap/>
            <w:vAlign w:val="bottom"/>
            <w:hideMark/>
          </w:tcPr>
          <w:p w14:paraId="709D04DF"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2019</w:t>
            </w:r>
          </w:p>
        </w:tc>
        <w:tc>
          <w:tcPr>
            <w:tcW w:w="1644" w:type="dxa"/>
            <w:tcBorders>
              <w:top w:val="single" w:sz="4" w:space="0" w:color="auto"/>
              <w:left w:val="nil"/>
              <w:bottom w:val="single" w:sz="4" w:space="0" w:color="auto"/>
              <w:right w:val="single" w:sz="4" w:space="0" w:color="auto"/>
            </w:tcBorders>
            <w:shd w:val="clear" w:color="000000" w:fill="DDEBF7"/>
            <w:noWrap/>
            <w:vAlign w:val="bottom"/>
            <w:hideMark/>
          </w:tcPr>
          <w:p w14:paraId="52D0E595"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2020</w:t>
            </w:r>
          </w:p>
        </w:tc>
        <w:tc>
          <w:tcPr>
            <w:tcW w:w="1645" w:type="dxa"/>
            <w:tcBorders>
              <w:top w:val="single" w:sz="4" w:space="0" w:color="auto"/>
              <w:left w:val="nil"/>
              <w:bottom w:val="single" w:sz="4" w:space="0" w:color="auto"/>
              <w:right w:val="single" w:sz="4" w:space="0" w:color="auto"/>
            </w:tcBorders>
            <w:shd w:val="clear" w:color="000000" w:fill="DDEBF7"/>
            <w:noWrap/>
            <w:vAlign w:val="bottom"/>
            <w:hideMark/>
          </w:tcPr>
          <w:p w14:paraId="330467A9"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2021</w:t>
            </w:r>
          </w:p>
        </w:tc>
      </w:tr>
      <w:tr w:rsidR="00224658" w:rsidRPr="00F16251" w14:paraId="4A3BDEF1"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95030E9" w14:textId="77777777"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Golina</w:t>
            </w:r>
          </w:p>
        </w:tc>
        <w:tc>
          <w:tcPr>
            <w:tcW w:w="1644" w:type="dxa"/>
            <w:tcBorders>
              <w:top w:val="nil"/>
              <w:left w:val="nil"/>
              <w:bottom w:val="single" w:sz="4" w:space="0" w:color="auto"/>
              <w:right w:val="single" w:sz="4" w:space="0" w:color="auto"/>
            </w:tcBorders>
            <w:shd w:val="clear" w:color="auto" w:fill="auto"/>
            <w:noWrap/>
            <w:vAlign w:val="bottom"/>
            <w:hideMark/>
          </w:tcPr>
          <w:p w14:paraId="24712DF8"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434</w:t>
            </w:r>
          </w:p>
        </w:tc>
        <w:tc>
          <w:tcPr>
            <w:tcW w:w="1644" w:type="dxa"/>
            <w:tcBorders>
              <w:top w:val="nil"/>
              <w:left w:val="nil"/>
              <w:bottom w:val="single" w:sz="4" w:space="0" w:color="auto"/>
              <w:right w:val="single" w:sz="4" w:space="0" w:color="auto"/>
            </w:tcBorders>
            <w:shd w:val="clear" w:color="auto" w:fill="auto"/>
            <w:noWrap/>
            <w:vAlign w:val="bottom"/>
            <w:hideMark/>
          </w:tcPr>
          <w:p w14:paraId="24FD35F9"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423</w:t>
            </w:r>
          </w:p>
        </w:tc>
        <w:tc>
          <w:tcPr>
            <w:tcW w:w="1644" w:type="dxa"/>
            <w:tcBorders>
              <w:top w:val="nil"/>
              <w:left w:val="nil"/>
              <w:bottom w:val="single" w:sz="4" w:space="0" w:color="auto"/>
              <w:right w:val="single" w:sz="4" w:space="0" w:color="auto"/>
            </w:tcBorders>
            <w:shd w:val="clear" w:color="auto" w:fill="auto"/>
            <w:noWrap/>
            <w:vAlign w:val="bottom"/>
            <w:hideMark/>
          </w:tcPr>
          <w:p w14:paraId="210C51BF"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403</w:t>
            </w:r>
          </w:p>
        </w:tc>
        <w:tc>
          <w:tcPr>
            <w:tcW w:w="1644" w:type="dxa"/>
            <w:tcBorders>
              <w:top w:val="nil"/>
              <w:left w:val="nil"/>
              <w:bottom w:val="single" w:sz="4" w:space="0" w:color="auto"/>
              <w:right w:val="single" w:sz="4" w:space="0" w:color="auto"/>
            </w:tcBorders>
            <w:shd w:val="clear" w:color="auto" w:fill="auto"/>
            <w:noWrap/>
            <w:vAlign w:val="bottom"/>
            <w:hideMark/>
          </w:tcPr>
          <w:p w14:paraId="70A8E061"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316</w:t>
            </w:r>
          </w:p>
        </w:tc>
        <w:tc>
          <w:tcPr>
            <w:tcW w:w="1645" w:type="dxa"/>
            <w:tcBorders>
              <w:top w:val="nil"/>
              <w:left w:val="nil"/>
              <w:bottom w:val="single" w:sz="4" w:space="0" w:color="auto"/>
              <w:right w:val="single" w:sz="4" w:space="0" w:color="auto"/>
            </w:tcBorders>
            <w:shd w:val="clear" w:color="auto" w:fill="auto"/>
            <w:noWrap/>
            <w:vAlign w:val="bottom"/>
            <w:hideMark/>
          </w:tcPr>
          <w:p w14:paraId="19B4DAD5"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335</w:t>
            </w:r>
          </w:p>
        </w:tc>
      </w:tr>
      <w:tr w:rsidR="00224658" w:rsidRPr="00F16251" w14:paraId="0CEFB949"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5E49AEA" w14:textId="77777777"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Grodziec</w:t>
            </w:r>
          </w:p>
        </w:tc>
        <w:tc>
          <w:tcPr>
            <w:tcW w:w="1644" w:type="dxa"/>
            <w:tcBorders>
              <w:top w:val="nil"/>
              <w:left w:val="nil"/>
              <w:bottom w:val="single" w:sz="4" w:space="0" w:color="auto"/>
              <w:right w:val="single" w:sz="4" w:space="0" w:color="auto"/>
            </w:tcBorders>
            <w:shd w:val="clear" w:color="auto" w:fill="auto"/>
            <w:noWrap/>
            <w:vAlign w:val="bottom"/>
            <w:hideMark/>
          </w:tcPr>
          <w:p w14:paraId="5E17FB44"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459</w:t>
            </w:r>
          </w:p>
        </w:tc>
        <w:tc>
          <w:tcPr>
            <w:tcW w:w="1644" w:type="dxa"/>
            <w:tcBorders>
              <w:top w:val="nil"/>
              <w:left w:val="nil"/>
              <w:bottom w:val="single" w:sz="4" w:space="0" w:color="auto"/>
              <w:right w:val="single" w:sz="4" w:space="0" w:color="auto"/>
            </w:tcBorders>
            <w:shd w:val="clear" w:color="auto" w:fill="auto"/>
            <w:noWrap/>
            <w:vAlign w:val="bottom"/>
            <w:hideMark/>
          </w:tcPr>
          <w:p w14:paraId="590F4E12"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654</w:t>
            </w:r>
          </w:p>
        </w:tc>
        <w:tc>
          <w:tcPr>
            <w:tcW w:w="1644" w:type="dxa"/>
            <w:tcBorders>
              <w:top w:val="nil"/>
              <w:left w:val="nil"/>
              <w:bottom w:val="single" w:sz="4" w:space="0" w:color="auto"/>
              <w:right w:val="single" w:sz="4" w:space="0" w:color="auto"/>
            </w:tcBorders>
            <w:shd w:val="clear" w:color="auto" w:fill="auto"/>
            <w:noWrap/>
            <w:vAlign w:val="bottom"/>
            <w:hideMark/>
          </w:tcPr>
          <w:p w14:paraId="3B32F7BC"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436</w:t>
            </w:r>
          </w:p>
        </w:tc>
        <w:tc>
          <w:tcPr>
            <w:tcW w:w="1644" w:type="dxa"/>
            <w:tcBorders>
              <w:top w:val="nil"/>
              <w:left w:val="nil"/>
              <w:bottom w:val="single" w:sz="4" w:space="0" w:color="auto"/>
              <w:right w:val="single" w:sz="4" w:space="0" w:color="auto"/>
            </w:tcBorders>
            <w:shd w:val="clear" w:color="auto" w:fill="auto"/>
            <w:noWrap/>
            <w:vAlign w:val="bottom"/>
            <w:hideMark/>
          </w:tcPr>
          <w:p w14:paraId="2D56B00E"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395</w:t>
            </w:r>
          </w:p>
        </w:tc>
        <w:tc>
          <w:tcPr>
            <w:tcW w:w="1645" w:type="dxa"/>
            <w:tcBorders>
              <w:top w:val="nil"/>
              <w:left w:val="nil"/>
              <w:bottom w:val="single" w:sz="4" w:space="0" w:color="auto"/>
              <w:right w:val="single" w:sz="4" w:space="0" w:color="auto"/>
            </w:tcBorders>
            <w:shd w:val="clear" w:color="auto" w:fill="auto"/>
            <w:noWrap/>
            <w:vAlign w:val="bottom"/>
            <w:hideMark/>
          </w:tcPr>
          <w:p w14:paraId="71ACCADF"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433</w:t>
            </w:r>
          </w:p>
        </w:tc>
      </w:tr>
      <w:tr w:rsidR="00224658" w:rsidRPr="00F16251" w14:paraId="513B0E87"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3A3EB20" w14:textId="77777777"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Rychwał</w:t>
            </w:r>
          </w:p>
        </w:tc>
        <w:tc>
          <w:tcPr>
            <w:tcW w:w="1644" w:type="dxa"/>
            <w:tcBorders>
              <w:top w:val="nil"/>
              <w:left w:val="nil"/>
              <w:bottom w:val="single" w:sz="4" w:space="0" w:color="auto"/>
              <w:right w:val="single" w:sz="4" w:space="0" w:color="auto"/>
            </w:tcBorders>
            <w:shd w:val="clear" w:color="auto" w:fill="auto"/>
            <w:noWrap/>
            <w:vAlign w:val="bottom"/>
            <w:hideMark/>
          </w:tcPr>
          <w:p w14:paraId="22802104"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703</w:t>
            </w:r>
          </w:p>
        </w:tc>
        <w:tc>
          <w:tcPr>
            <w:tcW w:w="1644" w:type="dxa"/>
            <w:tcBorders>
              <w:top w:val="nil"/>
              <w:left w:val="nil"/>
              <w:bottom w:val="single" w:sz="4" w:space="0" w:color="auto"/>
              <w:right w:val="single" w:sz="4" w:space="0" w:color="auto"/>
            </w:tcBorders>
            <w:shd w:val="clear" w:color="auto" w:fill="auto"/>
            <w:noWrap/>
            <w:vAlign w:val="bottom"/>
            <w:hideMark/>
          </w:tcPr>
          <w:p w14:paraId="287F49A2"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567</w:t>
            </w:r>
          </w:p>
        </w:tc>
        <w:tc>
          <w:tcPr>
            <w:tcW w:w="1644" w:type="dxa"/>
            <w:tcBorders>
              <w:top w:val="nil"/>
              <w:left w:val="nil"/>
              <w:bottom w:val="single" w:sz="4" w:space="0" w:color="auto"/>
              <w:right w:val="single" w:sz="4" w:space="0" w:color="auto"/>
            </w:tcBorders>
            <w:shd w:val="clear" w:color="auto" w:fill="auto"/>
            <w:noWrap/>
            <w:vAlign w:val="bottom"/>
            <w:hideMark/>
          </w:tcPr>
          <w:p w14:paraId="363881A7"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576</w:t>
            </w:r>
          </w:p>
        </w:tc>
        <w:tc>
          <w:tcPr>
            <w:tcW w:w="1644" w:type="dxa"/>
            <w:tcBorders>
              <w:top w:val="nil"/>
              <w:left w:val="nil"/>
              <w:bottom w:val="single" w:sz="4" w:space="0" w:color="auto"/>
              <w:right w:val="single" w:sz="4" w:space="0" w:color="auto"/>
            </w:tcBorders>
            <w:shd w:val="clear" w:color="auto" w:fill="auto"/>
            <w:noWrap/>
            <w:vAlign w:val="bottom"/>
            <w:hideMark/>
          </w:tcPr>
          <w:p w14:paraId="30D2A72E"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524</w:t>
            </w:r>
          </w:p>
        </w:tc>
        <w:tc>
          <w:tcPr>
            <w:tcW w:w="1645" w:type="dxa"/>
            <w:tcBorders>
              <w:top w:val="nil"/>
              <w:left w:val="nil"/>
              <w:bottom w:val="single" w:sz="4" w:space="0" w:color="auto"/>
              <w:right w:val="single" w:sz="4" w:space="0" w:color="auto"/>
            </w:tcBorders>
            <w:shd w:val="clear" w:color="auto" w:fill="auto"/>
            <w:noWrap/>
            <w:vAlign w:val="bottom"/>
            <w:hideMark/>
          </w:tcPr>
          <w:p w14:paraId="1C645C71"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420</w:t>
            </w:r>
          </w:p>
        </w:tc>
      </w:tr>
      <w:tr w:rsidR="00224658" w:rsidRPr="00F16251" w14:paraId="1FC9C739"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1A922B7" w14:textId="77777777"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Rzgów</w:t>
            </w:r>
          </w:p>
        </w:tc>
        <w:tc>
          <w:tcPr>
            <w:tcW w:w="1644" w:type="dxa"/>
            <w:tcBorders>
              <w:top w:val="nil"/>
              <w:left w:val="nil"/>
              <w:bottom w:val="single" w:sz="4" w:space="0" w:color="auto"/>
              <w:right w:val="single" w:sz="4" w:space="0" w:color="auto"/>
            </w:tcBorders>
            <w:shd w:val="clear" w:color="auto" w:fill="auto"/>
            <w:noWrap/>
            <w:vAlign w:val="bottom"/>
            <w:hideMark/>
          </w:tcPr>
          <w:p w14:paraId="30A59FDF"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357</w:t>
            </w:r>
          </w:p>
        </w:tc>
        <w:tc>
          <w:tcPr>
            <w:tcW w:w="1644" w:type="dxa"/>
            <w:tcBorders>
              <w:top w:val="nil"/>
              <w:left w:val="nil"/>
              <w:bottom w:val="single" w:sz="4" w:space="0" w:color="auto"/>
              <w:right w:val="single" w:sz="4" w:space="0" w:color="auto"/>
            </w:tcBorders>
            <w:shd w:val="clear" w:color="auto" w:fill="auto"/>
            <w:noWrap/>
            <w:vAlign w:val="bottom"/>
            <w:hideMark/>
          </w:tcPr>
          <w:p w14:paraId="5CF2FC3C"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391</w:t>
            </w:r>
          </w:p>
        </w:tc>
        <w:tc>
          <w:tcPr>
            <w:tcW w:w="1644" w:type="dxa"/>
            <w:tcBorders>
              <w:top w:val="nil"/>
              <w:left w:val="nil"/>
              <w:bottom w:val="single" w:sz="4" w:space="0" w:color="auto"/>
              <w:right w:val="single" w:sz="4" w:space="0" w:color="auto"/>
            </w:tcBorders>
            <w:shd w:val="clear" w:color="auto" w:fill="auto"/>
            <w:noWrap/>
            <w:vAlign w:val="bottom"/>
            <w:hideMark/>
          </w:tcPr>
          <w:p w14:paraId="70C37BE9"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385</w:t>
            </w:r>
          </w:p>
        </w:tc>
        <w:tc>
          <w:tcPr>
            <w:tcW w:w="1644" w:type="dxa"/>
            <w:tcBorders>
              <w:top w:val="nil"/>
              <w:left w:val="nil"/>
              <w:bottom w:val="single" w:sz="4" w:space="0" w:color="auto"/>
              <w:right w:val="single" w:sz="4" w:space="0" w:color="auto"/>
            </w:tcBorders>
            <w:shd w:val="clear" w:color="auto" w:fill="auto"/>
            <w:noWrap/>
            <w:vAlign w:val="bottom"/>
            <w:hideMark/>
          </w:tcPr>
          <w:p w14:paraId="16758BFD"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296</w:t>
            </w:r>
          </w:p>
        </w:tc>
        <w:tc>
          <w:tcPr>
            <w:tcW w:w="1645" w:type="dxa"/>
            <w:tcBorders>
              <w:top w:val="nil"/>
              <w:left w:val="nil"/>
              <w:bottom w:val="single" w:sz="4" w:space="0" w:color="auto"/>
              <w:right w:val="single" w:sz="4" w:space="0" w:color="auto"/>
            </w:tcBorders>
            <w:shd w:val="clear" w:color="auto" w:fill="auto"/>
            <w:noWrap/>
            <w:vAlign w:val="bottom"/>
            <w:hideMark/>
          </w:tcPr>
          <w:p w14:paraId="36882394"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322</w:t>
            </w:r>
          </w:p>
        </w:tc>
      </w:tr>
      <w:tr w:rsidR="00224658" w:rsidRPr="00F16251" w14:paraId="3C90B99A"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AECA31C" w14:textId="5FEA3E71"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Stare</w:t>
            </w:r>
            <w:r w:rsidR="003B50ED" w:rsidRPr="00F16251">
              <w:rPr>
                <w:rFonts w:eastAsia="Times New Roman" w:cstheme="minorHAnsi"/>
                <w:color w:val="000000"/>
                <w:kern w:val="0"/>
                <w:lang w:eastAsia="pl-PL"/>
                <w14:ligatures w14:val="none"/>
              </w:rPr>
              <w:t xml:space="preserve"> </w:t>
            </w:r>
            <w:r w:rsidRPr="00F16251">
              <w:rPr>
                <w:rFonts w:eastAsia="Times New Roman" w:cstheme="minorHAnsi"/>
                <w:color w:val="000000"/>
                <w:kern w:val="0"/>
                <w:lang w:eastAsia="pl-PL"/>
                <w14:ligatures w14:val="none"/>
              </w:rPr>
              <w:t>Miasto</w:t>
            </w:r>
          </w:p>
        </w:tc>
        <w:tc>
          <w:tcPr>
            <w:tcW w:w="1644" w:type="dxa"/>
            <w:tcBorders>
              <w:top w:val="nil"/>
              <w:left w:val="nil"/>
              <w:bottom w:val="single" w:sz="4" w:space="0" w:color="auto"/>
              <w:right w:val="single" w:sz="4" w:space="0" w:color="auto"/>
            </w:tcBorders>
            <w:shd w:val="clear" w:color="auto" w:fill="auto"/>
            <w:noWrap/>
            <w:vAlign w:val="bottom"/>
            <w:hideMark/>
          </w:tcPr>
          <w:p w14:paraId="033A3501"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447</w:t>
            </w:r>
          </w:p>
        </w:tc>
        <w:tc>
          <w:tcPr>
            <w:tcW w:w="1644" w:type="dxa"/>
            <w:tcBorders>
              <w:top w:val="nil"/>
              <w:left w:val="nil"/>
              <w:bottom w:val="single" w:sz="4" w:space="0" w:color="auto"/>
              <w:right w:val="single" w:sz="4" w:space="0" w:color="auto"/>
            </w:tcBorders>
            <w:shd w:val="clear" w:color="auto" w:fill="auto"/>
            <w:noWrap/>
            <w:vAlign w:val="bottom"/>
            <w:hideMark/>
          </w:tcPr>
          <w:p w14:paraId="6B1013F1"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415</w:t>
            </w:r>
          </w:p>
        </w:tc>
        <w:tc>
          <w:tcPr>
            <w:tcW w:w="1644" w:type="dxa"/>
            <w:tcBorders>
              <w:top w:val="nil"/>
              <w:left w:val="nil"/>
              <w:bottom w:val="single" w:sz="4" w:space="0" w:color="auto"/>
              <w:right w:val="single" w:sz="4" w:space="0" w:color="auto"/>
            </w:tcBorders>
            <w:shd w:val="clear" w:color="auto" w:fill="auto"/>
            <w:noWrap/>
            <w:vAlign w:val="bottom"/>
            <w:hideMark/>
          </w:tcPr>
          <w:p w14:paraId="62DA07AD"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340</w:t>
            </w:r>
          </w:p>
        </w:tc>
        <w:tc>
          <w:tcPr>
            <w:tcW w:w="1644" w:type="dxa"/>
            <w:tcBorders>
              <w:top w:val="nil"/>
              <w:left w:val="nil"/>
              <w:bottom w:val="single" w:sz="4" w:space="0" w:color="auto"/>
              <w:right w:val="single" w:sz="4" w:space="0" w:color="auto"/>
            </w:tcBorders>
            <w:shd w:val="clear" w:color="auto" w:fill="auto"/>
            <w:noWrap/>
            <w:vAlign w:val="bottom"/>
            <w:hideMark/>
          </w:tcPr>
          <w:p w14:paraId="616563D1"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290</w:t>
            </w:r>
          </w:p>
        </w:tc>
        <w:tc>
          <w:tcPr>
            <w:tcW w:w="1645" w:type="dxa"/>
            <w:tcBorders>
              <w:top w:val="nil"/>
              <w:left w:val="nil"/>
              <w:bottom w:val="single" w:sz="4" w:space="0" w:color="auto"/>
              <w:right w:val="single" w:sz="4" w:space="0" w:color="auto"/>
            </w:tcBorders>
            <w:shd w:val="clear" w:color="auto" w:fill="auto"/>
            <w:noWrap/>
            <w:vAlign w:val="bottom"/>
            <w:hideMark/>
          </w:tcPr>
          <w:p w14:paraId="09B33F51"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218</w:t>
            </w:r>
          </w:p>
        </w:tc>
      </w:tr>
      <w:tr w:rsidR="00224658" w:rsidRPr="00F16251" w14:paraId="416F02AA"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72D251C" w14:textId="77777777" w:rsidR="00224658" w:rsidRPr="00F16251" w:rsidRDefault="00224658" w:rsidP="00A26C26">
            <w:pPr>
              <w:spacing w:line="276" w:lineRule="auto"/>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Tuliszków</w:t>
            </w:r>
          </w:p>
        </w:tc>
        <w:tc>
          <w:tcPr>
            <w:tcW w:w="1644" w:type="dxa"/>
            <w:tcBorders>
              <w:top w:val="nil"/>
              <w:left w:val="nil"/>
              <w:bottom w:val="single" w:sz="4" w:space="0" w:color="auto"/>
              <w:right w:val="single" w:sz="4" w:space="0" w:color="auto"/>
            </w:tcBorders>
            <w:shd w:val="clear" w:color="auto" w:fill="auto"/>
            <w:noWrap/>
            <w:vAlign w:val="bottom"/>
            <w:hideMark/>
          </w:tcPr>
          <w:p w14:paraId="39F566AF"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774</w:t>
            </w:r>
          </w:p>
        </w:tc>
        <w:tc>
          <w:tcPr>
            <w:tcW w:w="1644" w:type="dxa"/>
            <w:tcBorders>
              <w:top w:val="nil"/>
              <w:left w:val="nil"/>
              <w:bottom w:val="single" w:sz="4" w:space="0" w:color="auto"/>
              <w:right w:val="single" w:sz="4" w:space="0" w:color="auto"/>
            </w:tcBorders>
            <w:shd w:val="clear" w:color="auto" w:fill="auto"/>
            <w:noWrap/>
            <w:vAlign w:val="bottom"/>
            <w:hideMark/>
          </w:tcPr>
          <w:p w14:paraId="1671144E"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730</w:t>
            </w:r>
          </w:p>
        </w:tc>
        <w:tc>
          <w:tcPr>
            <w:tcW w:w="1644" w:type="dxa"/>
            <w:tcBorders>
              <w:top w:val="nil"/>
              <w:left w:val="nil"/>
              <w:bottom w:val="single" w:sz="4" w:space="0" w:color="auto"/>
              <w:right w:val="single" w:sz="4" w:space="0" w:color="auto"/>
            </w:tcBorders>
            <w:shd w:val="clear" w:color="auto" w:fill="auto"/>
            <w:noWrap/>
            <w:vAlign w:val="bottom"/>
            <w:hideMark/>
          </w:tcPr>
          <w:p w14:paraId="0B24A7D1"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698</w:t>
            </w:r>
          </w:p>
        </w:tc>
        <w:tc>
          <w:tcPr>
            <w:tcW w:w="1644" w:type="dxa"/>
            <w:tcBorders>
              <w:top w:val="nil"/>
              <w:left w:val="nil"/>
              <w:bottom w:val="single" w:sz="4" w:space="0" w:color="auto"/>
              <w:right w:val="single" w:sz="4" w:space="0" w:color="auto"/>
            </w:tcBorders>
            <w:shd w:val="clear" w:color="auto" w:fill="auto"/>
            <w:noWrap/>
            <w:vAlign w:val="bottom"/>
            <w:hideMark/>
          </w:tcPr>
          <w:p w14:paraId="1846A83D"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655</w:t>
            </w:r>
          </w:p>
        </w:tc>
        <w:tc>
          <w:tcPr>
            <w:tcW w:w="1645" w:type="dxa"/>
            <w:tcBorders>
              <w:top w:val="nil"/>
              <w:left w:val="nil"/>
              <w:bottom w:val="single" w:sz="4" w:space="0" w:color="auto"/>
              <w:right w:val="single" w:sz="4" w:space="0" w:color="auto"/>
            </w:tcBorders>
            <w:shd w:val="clear" w:color="auto" w:fill="auto"/>
            <w:noWrap/>
            <w:vAlign w:val="bottom"/>
            <w:hideMark/>
          </w:tcPr>
          <w:p w14:paraId="69B0DF2F" w14:textId="77777777" w:rsidR="00224658" w:rsidRPr="00F16251" w:rsidRDefault="00224658" w:rsidP="00A26C26">
            <w:pPr>
              <w:spacing w:line="276" w:lineRule="auto"/>
              <w:jc w:val="right"/>
              <w:rPr>
                <w:rFonts w:eastAsia="Times New Roman" w:cstheme="minorHAnsi"/>
                <w:color w:val="000000"/>
                <w:kern w:val="0"/>
                <w:lang w:eastAsia="pl-PL"/>
                <w14:ligatures w14:val="none"/>
              </w:rPr>
            </w:pPr>
            <w:r w:rsidRPr="00F16251">
              <w:rPr>
                <w:rFonts w:eastAsia="Times New Roman" w:cstheme="minorHAnsi"/>
                <w:color w:val="000000"/>
                <w:kern w:val="0"/>
                <w:lang w:eastAsia="pl-PL"/>
                <w14:ligatures w14:val="none"/>
              </w:rPr>
              <w:t>580</w:t>
            </w:r>
          </w:p>
        </w:tc>
      </w:tr>
      <w:tr w:rsidR="00F638F8" w:rsidRPr="00F16251" w14:paraId="7F09493D" w14:textId="77777777" w:rsidTr="007F1E76">
        <w:trPr>
          <w:trHeight w:val="249"/>
        </w:trPr>
        <w:tc>
          <w:tcPr>
            <w:tcW w:w="1980" w:type="dxa"/>
            <w:tcBorders>
              <w:top w:val="nil"/>
              <w:left w:val="single" w:sz="4" w:space="0" w:color="auto"/>
              <w:bottom w:val="single" w:sz="4" w:space="0" w:color="auto"/>
              <w:right w:val="single" w:sz="4" w:space="0" w:color="auto"/>
            </w:tcBorders>
            <w:shd w:val="clear" w:color="000000" w:fill="DDEBF7"/>
            <w:vAlign w:val="bottom"/>
            <w:hideMark/>
          </w:tcPr>
          <w:p w14:paraId="5AC5FF82" w14:textId="61938F39" w:rsidR="00F638F8" w:rsidRPr="00F16251" w:rsidRDefault="00F638F8" w:rsidP="00F638F8">
            <w:pPr>
              <w:spacing w:line="276" w:lineRule="auto"/>
              <w:rPr>
                <w:rFonts w:eastAsia="Times New Roman" w:cstheme="minorHAnsi"/>
                <w:color w:val="000000"/>
                <w:kern w:val="0"/>
                <w:lang w:eastAsia="pl-PL"/>
                <w14:ligatures w14:val="none"/>
              </w:rPr>
            </w:pPr>
            <w:r w:rsidRPr="00F16251">
              <w:rPr>
                <w:rFonts w:ascii="Calibri" w:hAnsi="Calibri" w:cs="Calibri"/>
                <w:color w:val="000000"/>
              </w:rPr>
              <w:t>Średnia LGD</w:t>
            </w:r>
          </w:p>
        </w:tc>
        <w:tc>
          <w:tcPr>
            <w:tcW w:w="1644" w:type="dxa"/>
            <w:tcBorders>
              <w:top w:val="nil"/>
              <w:left w:val="nil"/>
              <w:bottom w:val="single" w:sz="4" w:space="0" w:color="auto"/>
              <w:right w:val="single" w:sz="4" w:space="0" w:color="auto"/>
            </w:tcBorders>
            <w:shd w:val="clear" w:color="000000" w:fill="DDEBF7"/>
            <w:noWrap/>
            <w:vAlign w:val="bottom"/>
            <w:hideMark/>
          </w:tcPr>
          <w:p w14:paraId="78E81090" w14:textId="5DE83F20" w:rsidR="00F638F8" w:rsidRPr="00F16251" w:rsidRDefault="00F638F8" w:rsidP="00F638F8">
            <w:pPr>
              <w:spacing w:line="276" w:lineRule="auto"/>
              <w:jc w:val="right"/>
              <w:rPr>
                <w:rFonts w:eastAsia="Times New Roman" w:cstheme="minorHAnsi"/>
                <w:color w:val="000000"/>
                <w:kern w:val="0"/>
                <w:lang w:eastAsia="pl-PL"/>
                <w14:ligatures w14:val="none"/>
              </w:rPr>
            </w:pPr>
            <w:r w:rsidRPr="00F16251">
              <w:rPr>
                <w:rFonts w:ascii="Calibri" w:hAnsi="Calibri" w:cs="Calibri"/>
                <w:color w:val="000000"/>
              </w:rPr>
              <w:t>529</w:t>
            </w:r>
          </w:p>
        </w:tc>
        <w:tc>
          <w:tcPr>
            <w:tcW w:w="1644" w:type="dxa"/>
            <w:tcBorders>
              <w:top w:val="nil"/>
              <w:left w:val="nil"/>
              <w:bottom w:val="single" w:sz="4" w:space="0" w:color="auto"/>
              <w:right w:val="single" w:sz="4" w:space="0" w:color="auto"/>
            </w:tcBorders>
            <w:shd w:val="clear" w:color="000000" w:fill="DDEBF7"/>
            <w:noWrap/>
            <w:vAlign w:val="bottom"/>
            <w:hideMark/>
          </w:tcPr>
          <w:p w14:paraId="79D06B8E" w14:textId="41ED8E63" w:rsidR="00F638F8" w:rsidRPr="00F16251" w:rsidRDefault="00F638F8" w:rsidP="00F638F8">
            <w:pPr>
              <w:spacing w:line="276" w:lineRule="auto"/>
              <w:jc w:val="right"/>
              <w:rPr>
                <w:rFonts w:eastAsia="Times New Roman" w:cstheme="minorHAnsi"/>
                <w:color w:val="000000"/>
                <w:kern w:val="0"/>
                <w:lang w:eastAsia="pl-PL"/>
                <w14:ligatures w14:val="none"/>
              </w:rPr>
            </w:pPr>
            <w:r w:rsidRPr="00F16251">
              <w:rPr>
                <w:rFonts w:ascii="Calibri" w:hAnsi="Calibri" w:cs="Calibri"/>
                <w:color w:val="000000"/>
              </w:rPr>
              <w:t>530,00</w:t>
            </w:r>
          </w:p>
        </w:tc>
        <w:tc>
          <w:tcPr>
            <w:tcW w:w="1644" w:type="dxa"/>
            <w:tcBorders>
              <w:top w:val="nil"/>
              <w:left w:val="nil"/>
              <w:bottom w:val="single" w:sz="4" w:space="0" w:color="auto"/>
              <w:right w:val="single" w:sz="4" w:space="0" w:color="auto"/>
            </w:tcBorders>
            <w:shd w:val="clear" w:color="000000" w:fill="DDEBF7"/>
            <w:noWrap/>
            <w:vAlign w:val="bottom"/>
            <w:hideMark/>
          </w:tcPr>
          <w:p w14:paraId="4BBB218B" w14:textId="25051EBD" w:rsidR="00F638F8" w:rsidRPr="00F16251" w:rsidRDefault="00F638F8" w:rsidP="00F638F8">
            <w:pPr>
              <w:spacing w:line="276" w:lineRule="auto"/>
              <w:jc w:val="right"/>
              <w:rPr>
                <w:rFonts w:eastAsia="Times New Roman" w:cstheme="minorHAnsi"/>
                <w:color w:val="000000"/>
                <w:kern w:val="0"/>
                <w:lang w:eastAsia="pl-PL"/>
                <w14:ligatures w14:val="none"/>
              </w:rPr>
            </w:pPr>
            <w:r w:rsidRPr="00F16251">
              <w:rPr>
                <w:rFonts w:ascii="Calibri" w:hAnsi="Calibri" w:cs="Calibri"/>
                <w:color w:val="000000"/>
              </w:rPr>
              <w:t>473,00</w:t>
            </w:r>
          </w:p>
        </w:tc>
        <w:tc>
          <w:tcPr>
            <w:tcW w:w="1644" w:type="dxa"/>
            <w:tcBorders>
              <w:top w:val="nil"/>
              <w:left w:val="nil"/>
              <w:bottom w:val="single" w:sz="4" w:space="0" w:color="auto"/>
              <w:right w:val="single" w:sz="4" w:space="0" w:color="auto"/>
            </w:tcBorders>
            <w:shd w:val="clear" w:color="000000" w:fill="DDEBF7"/>
            <w:noWrap/>
            <w:vAlign w:val="bottom"/>
            <w:hideMark/>
          </w:tcPr>
          <w:p w14:paraId="6502AE2E" w14:textId="4B8EBACC" w:rsidR="00F638F8" w:rsidRPr="00F16251" w:rsidRDefault="00F638F8" w:rsidP="00F638F8">
            <w:pPr>
              <w:spacing w:line="276" w:lineRule="auto"/>
              <w:jc w:val="right"/>
              <w:rPr>
                <w:rFonts w:eastAsia="Times New Roman" w:cstheme="minorHAnsi"/>
                <w:color w:val="000000"/>
                <w:kern w:val="0"/>
                <w:lang w:eastAsia="pl-PL"/>
                <w14:ligatures w14:val="none"/>
              </w:rPr>
            </w:pPr>
            <w:r w:rsidRPr="00F16251">
              <w:rPr>
                <w:rFonts w:ascii="Calibri" w:hAnsi="Calibri" w:cs="Calibri"/>
                <w:color w:val="000000"/>
              </w:rPr>
              <w:t>412,67</w:t>
            </w:r>
          </w:p>
        </w:tc>
        <w:tc>
          <w:tcPr>
            <w:tcW w:w="1645" w:type="dxa"/>
            <w:tcBorders>
              <w:top w:val="nil"/>
              <w:left w:val="nil"/>
              <w:bottom w:val="single" w:sz="4" w:space="0" w:color="auto"/>
              <w:right w:val="single" w:sz="4" w:space="0" w:color="auto"/>
            </w:tcBorders>
            <w:shd w:val="clear" w:color="000000" w:fill="DDEBF7"/>
            <w:noWrap/>
            <w:vAlign w:val="bottom"/>
            <w:hideMark/>
          </w:tcPr>
          <w:p w14:paraId="32E10F00" w14:textId="6668CBDC" w:rsidR="00F638F8" w:rsidRPr="00F16251" w:rsidRDefault="00F638F8" w:rsidP="00F638F8">
            <w:pPr>
              <w:spacing w:line="276" w:lineRule="auto"/>
              <w:jc w:val="right"/>
              <w:rPr>
                <w:rFonts w:eastAsia="Times New Roman" w:cstheme="minorHAnsi"/>
                <w:color w:val="000000"/>
                <w:kern w:val="0"/>
                <w:lang w:eastAsia="pl-PL"/>
                <w14:ligatures w14:val="none"/>
              </w:rPr>
            </w:pPr>
            <w:r w:rsidRPr="00F16251">
              <w:rPr>
                <w:rFonts w:ascii="Calibri" w:hAnsi="Calibri" w:cs="Calibri"/>
                <w:color w:val="000000"/>
              </w:rPr>
              <w:t>384,67</w:t>
            </w:r>
          </w:p>
        </w:tc>
      </w:tr>
    </w:tbl>
    <w:p w14:paraId="224BABFD" w14:textId="7668DF35" w:rsidR="00224658" w:rsidRPr="00F16251" w:rsidRDefault="00224658" w:rsidP="00A26C26">
      <w:pPr>
        <w:spacing w:line="276" w:lineRule="auto"/>
        <w:rPr>
          <w:rFonts w:cstheme="minorHAnsi"/>
        </w:rPr>
      </w:pPr>
      <w:r w:rsidRPr="00F16251">
        <w:rPr>
          <w:rFonts w:cstheme="minorHAnsi"/>
        </w:rPr>
        <w:t>Źródło:</w:t>
      </w:r>
      <w:r w:rsidR="003B50ED" w:rsidRPr="00F16251">
        <w:rPr>
          <w:rFonts w:cstheme="minorHAnsi"/>
        </w:rPr>
        <w:t xml:space="preserve"> </w:t>
      </w:r>
      <w:r w:rsidRPr="00F16251">
        <w:rPr>
          <w:rFonts w:cstheme="minorHAnsi"/>
        </w:rPr>
        <w:t>GUS,</w:t>
      </w:r>
      <w:r w:rsidR="003B50ED" w:rsidRPr="00F16251">
        <w:rPr>
          <w:rFonts w:cstheme="minorHAnsi"/>
        </w:rPr>
        <w:t xml:space="preserve"> </w:t>
      </w:r>
      <w:r w:rsidRPr="00F16251">
        <w:rPr>
          <w:rFonts w:cstheme="minorHAnsi"/>
        </w:rPr>
        <w:t>Bank</w:t>
      </w:r>
      <w:r w:rsidR="003B50ED" w:rsidRPr="00F16251">
        <w:rPr>
          <w:rFonts w:cstheme="minorHAnsi"/>
        </w:rPr>
        <w:t xml:space="preserve"> </w:t>
      </w:r>
      <w:r w:rsidRPr="00F16251">
        <w:rPr>
          <w:rFonts w:cstheme="minorHAnsi"/>
        </w:rPr>
        <w:t>Danych</w:t>
      </w:r>
      <w:r w:rsidR="003B50ED" w:rsidRPr="00F16251">
        <w:rPr>
          <w:rFonts w:cstheme="minorHAnsi"/>
        </w:rPr>
        <w:t xml:space="preserve"> </w:t>
      </w:r>
      <w:r w:rsidRPr="00F16251">
        <w:rPr>
          <w:rFonts w:cstheme="minorHAnsi"/>
        </w:rPr>
        <w:t>Lokalnych</w:t>
      </w:r>
    </w:p>
    <w:p w14:paraId="4C11C214" w14:textId="77777777" w:rsidR="00224658" w:rsidRPr="00F16251" w:rsidRDefault="00224658" w:rsidP="006B3C3B"/>
    <w:p w14:paraId="7327DF30" w14:textId="679C55DF" w:rsidR="00224658" w:rsidRPr="00F16251" w:rsidRDefault="00224658" w:rsidP="008A412F">
      <w:pPr>
        <w:pStyle w:val="Nagwek2"/>
        <w:numPr>
          <w:ilvl w:val="0"/>
          <w:numId w:val="11"/>
        </w:numPr>
        <w:spacing w:before="0" w:line="276" w:lineRule="auto"/>
        <w:rPr>
          <w:rFonts w:asciiTheme="minorHAnsi" w:hAnsiTheme="minorHAnsi" w:cstheme="minorHAnsi"/>
          <w:b/>
          <w:bCs/>
          <w:sz w:val="22"/>
          <w:szCs w:val="22"/>
        </w:rPr>
      </w:pPr>
      <w:bookmarkStart w:id="54" w:name="_Toc136260201"/>
      <w:bookmarkStart w:id="55" w:name="_Toc136944410"/>
      <w:r w:rsidRPr="00F16251">
        <w:rPr>
          <w:rFonts w:asciiTheme="minorHAnsi" w:hAnsiTheme="minorHAnsi" w:cstheme="minorHAnsi"/>
          <w:b/>
          <w:bCs/>
          <w:sz w:val="22"/>
          <w:szCs w:val="22"/>
        </w:rPr>
        <w:t>Dziedzictwo</w:t>
      </w:r>
      <w:r w:rsidR="003B50ED" w:rsidRPr="00F16251">
        <w:rPr>
          <w:rFonts w:asciiTheme="minorHAnsi" w:hAnsiTheme="minorHAnsi" w:cstheme="minorHAnsi"/>
          <w:b/>
          <w:bCs/>
          <w:sz w:val="22"/>
          <w:szCs w:val="22"/>
        </w:rPr>
        <w:t xml:space="preserve"> </w:t>
      </w:r>
      <w:r w:rsidRPr="00F16251">
        <w:rPr>
          <w:rFonts w:asciiTheme="minorHAnsi" w:hAnsiTheme="minorHAnsi" w:cstheme="minorHAnsi"/>
          <w:b/>
          <w:bCs/>
          <w:sz w:val="22"/>
          <w:szCs w:val="22"/>
        </w:rPr>
        <w:t>kulturowe/zabytki</w:t>
      </w:r>
      <w:bookmarkEnd w:id="54"/>
      <w:bookmarkEnd w:id="55"/>
    </w:p>
    <w:p w14:paraId="5BAA3709" w14:textId="3A7B3221" w:rsidR="00224658" w:rsidRPr="00F16251" w:rsidRDefault="00224658" w:rsidP="00A26C26">
      <w:pPr>
        <w:spacing w:line="276" w:lineRule="auto"/>
        <w:ind w:firstLine="360"/>
        <w:jc w:val="both"/>
        <w:rPr>
          <w:rFonts w:cstheme="minorHAnsi"/>
        </w:rPr>
      </w:pPr>
      <w:r w:rsidRPr="00F16251">
        <w:rPr>
          <w:rFonts w:cstheme="minorHAnsi"/>
        </w:rPr>
        <w:t>Wiele</w:t>
      </w:r>
      <w:r w:rsidR="003B50ED" w:rsidRPr="00F16251">
        <w:rPr>
          <w:rFonts w:cstheme="minorHAnsi"/>
        </w:rPr>
        <w:t xml:space="preserve"> </w:t>
      </w:r>
      <w:r w:rsidRPr="00F16251">
        <w:rPr>
          <w:rFonts w:cstheme="minorHAnsi"/>
        </w:rPr>
        <w:t>wieków</w:t>
      </w:r>
      <w:r w:rsidR="003B50ED" w:rsidRPr="00F16251">
        <w:rPr>
          <w:rFonts w:cstheme="minorHAnsi"/>
        </w:rPr>
        <w:t xml:space="preserve"> </w:t>
      </w:r>
      <w:r w:rsidRPr="00F16251">
        <w:rPr>
          <w:rFonts w:cstheme="minorHAnsi"/>
        </w:rPr>
        <w:t>historii</w:t>
      </w:r>
      <w:r w:rsidR="003B50ED" w:rsidRPr="00F16251">
        <w:rPr>
          <w:rFonts w:cstheme="minorHAnsi"/>
        </w:rPr>
        <w:t xml:space="preserve"> </w:t>
      </w:r>
      <w:r w:rsidRPr="00F16251">
        <w:rPr>
          <w:rFonts w:cstheme="minorHAnsi"/>
        </w:rPr>
        <w:t>pozostawiło</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obszarze</w:t>
      </w:r>
      <w:r w:rsidR="003B50ED" w:rsidRPr="00F16251">
        <w:rPr>
          <w:rFonts w:cstheme="minorHAnsi"/>
        </w:rPr>
        <w:t xml:space="preserve"> </w:t>
      </w:r>
      <w:r w:rsidRPr="00F16251">
        <w:rPr>
          <w:rFonts w:cstheme="minorHAnsi"/>
        </w:rPr>
        <w:t>LSR</w:t>
      </w:r>
      <w:r w:rsidR="003B50ED" w:rsidRPr="00F16251">
        <w:rPr>
          <w:rFonts w:cstheme="minorHAnsi"/>
        </w:rPr>
        <w:t xml:space="preserve"> </w:t>
      </w:r>
      <w:r w:rsidRPr="00F16251">
        <w:rPr>
          <w:rFonts w:cstheme="minorHAnsi"/>
        </w:rPr>
        <w:t>bardzo</w:t>
      </w:r>
      <w:r w:rsidR="003B50ED" w:rsidRPr="00F16251">
        <w:rPr>
          <w:rFonts w:cstheme="minorHAnsi"/>
        </w:rPr>
        <w:t xml:space="preserve"> </w:t>
      </w:r>
      <w:r w:rsidRPr="00F16251">
        <w:rPr>
          <w:rFonts w:cstheme="minorHAnsi"/>
        </w:rPr>
        <w:t>bogate</w:t>
      </w:r>
      <w:r w:rsidR="003B50ED" w:rsidRPr="00F16251">
        <w:rPr>
          <w:rFonts w:cstheme="minorHAnsi"/>
        </w:rPr>
        <w:t xml:space="preserve"> </w:t>
      </w:r>
      <w:r w:rsidRPr="00F16251">
        <w:rPr>
          <w:rFonts w:cstheme="minorHAnsi"/>
        </w:rPr>
        <w:t>dziedzictwo</w:t>
      </w:r>
      <w:r w:rsidR="003B50ED" w:rsidRPr="00F16251">
        <w:rPr>
          <w:rFonts w:cstheme="minorHAnsi"/>
        </w:rPr>
        <w:t xml:space="preserve"> </w:t>
      </w:r>
      <w:r w:rsidRPr="00F16251">
        <w:rPr>
          <w:rFonts w:cstheme="minorHAnsi"/>
        </w:rPr>
        <w:t>kulturowe.</w:t>
      </w:r>
      <w:r w:rsidR="003B50ED" w:rsidRPr="00F16251">
        <w:rPr>
          <w:rFonts w:cstheme="minorHAnsi"/>
        </w:rPr>
        <w:t xml:space="preserve"> </w:t>
      </w:r>
      <w:r w:rsidRPr="00F16251">
        <w:rPr>
          <w:rFonts w:cstheme="minorHAnsi"/>
        </w:rPr>
        <w:t>Najbardziej</w:t>
      </w:r>
      <w:r w:rsidR="003B50ED" w:rsidRPr="00F16251">
        <w:rPr>
          <w:rFonts w:cstheme="minorHAnsi"/>
        </w:rPr>
        <w:t xml:space="preserve"> </w:t>
      </w:r>
      <w:r w:rsidRPr="00F16251">
        <w:rPr>
          <w:rFonts w:cstheme="minorHAnsi"/>
        </w:rPr>
        <w:t>widocznym</w:t>
      </w:r>
      <w:r w:rsidR="003B50ED" w:rsidRPr="00F16251">
        <w:rPr>
          <w:rFonts w:cstheme="minorHAnsi"/>
        </w:rPr>
        <w:t xml:space="preserve"> </w:t>
      </w:r>
      <w:r w:rsidRPr="00F16251">
        <w:rPr>
          <w:rFonts w:cstheme="minorHAnsi"/>
        </w:rPr>
        <w:t>jego</w:t>
      </w:r>
      <w:r w:rsidR="003B50ED" w:rsidRPr="00F16251">
        <w:rPr>
          <w:rFonts w:cstheme="minorHAnsi"/>
        </w:rPr>
        <w:t xml:space="preserve"> </w:t>
      </w:r>
      <w:r w:rsidRPr="00F16251">
        <w:rPr>
          <w:rFonts w:cstheme="minorHAnsi"/>
        </w:rPr>
        <w:t>elementem</w:t>
      </w:r>
      <w:r w:rsidR="003B50ED" w:rsidRPr="00F16251">
        <w:rPr>
          <w:rFonts w:cstheme="minorHAnsi"/>
        </w:rPr>
        <w:t xml:space="preserve"> </w:t>
      </w:r>
      <w:r w:rsidRPr="00F16251">
        <w:rPr>
          <w:rFonts w:cstheme="minorHAnsi"/>
        </w:rPr>
        <w:t>są</w:t>
      </w:r>
      <w:r w:rsidR="003B50ED" w:rsidRPr="00F16251">
        <w:rPr>
          <w:rFonts w:cstheme="minorHAnsi"/>
        </w:rPr>
        <w:t xml:space="preserve"> </w:t>
      </w:r>
      <w:r w:rsidRPr="00F16251">
        <w:rPr>
          <w:rFonts w:cstheme="minorHAnsi"/>
        </w:rPr>
        <w:t>zabytki.</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ewidencji</w:t>
      </w:r>
      <w:r w:rsidR="003B50ED" w:rsidRPr="00F16251">
        <w:rPr>
          <w:rFonts w:cstheme="minorHAnsi"/>
        </w:rPr>
        <w:t xml:space="preserve"> </w:t>
      </w:r>
      <w:r w:rsidRPr="00F16251">
        <w:rPr>
          <w:rFonts w:cstheme="minorHAnsi"/>
        </w:rPr>
        <w:t>służb</w:t>
      </w:r>
      <w:r w:rsidR="003B50ED" w:rsidRPr="00F16251">
        <w:rPr>
          <w:rFonts w:cstheme="minorHAnsi"/>
        </w:rPr>
        <w:t xml:space="preserve"> </w:t>
      </w:r>
      <w:r w:rsidRPr="00F16251">
        <w:rPr>
          <w:rFonts w:cstheme="minorHAnsi"/>
        </w:rPr>
        <w:t>konserwatorskich</w:t>
      </w:r>
      <w:r w:rsidR="003B50ED" w:rsidRPr="00F16251">
        <w:rPr>
          <w:rFonts w:cstheme="minorHAnsi"/>
        </w:rPr>
        <w:t xml:space="preserve"> </w:t>
      </w:r>
      <w:r w:rsidRPr="00F16251">
        <w:rPr>
          <w:rFonts w:cstheme="minorHAnsi"/>
        </w:rPr>
        <w:t>(Wojewódzki</w:t>
      </w:r>
      <w:r w:rsidR="003B50ED" w:rsidRPr="00F16251">
        <w:rPr>
          <w:rFonts w:cstheme="minorHAnsi"/>
        </w:rPr>
        <w:t xml:space="preserve"> </w:t>
      </w:r>
      <w:r w:rsidRPr="00F16251">
        <w:rPr>
          <w:rFonts w:cstheme="minorHAnsi"/>
        </w:rPr>
        <w:t>Odział</w:t>
      </w:r>
      <w:r w:rsidR="003B50ED" w:rsidRPr="00F16251">
        <w:rPr>
          <w:rFonts w:cstheme="minorHAnsi"/>
        </w:rPr>
        <w:t xml:space="preserve"> </w:t>
      </w:r>
      <w:r w:rsidRPr="00F16251">
        <w:rPr>
          <w:rFonts w:cstheme="minorHAnsi"/>
        </w:rPr>
        <w:t>Służb</w:t>
      </w:r>
      <w:r w:rsidR="003B50ED" w:rsidRPr="00F16251">
        <w:rPr>
          <w:rFonts w:cstheme="minorHAnsi"/>
        </w:rPr>
        <w:t xml:space="preserve"> </w:t>
      </w:r>
      <w:r w:rsidRPr="00F16251">
        <w:rPr>
          <w:rFonts w:cstheme="minorHAnsi"/>
        </w:rPr>
        <w:t>Ochrony</w:t>
      </w:r>
      <w:r w:rsidR="003B50ED" w:rsidRPr="00F16251">
        <w:rPr>
          <w:rFonts w:cstheme="minorHAnsi"/>
        </w:rPr>
        <w:t xml:space="preserve"> </w:t>
      </w:r>
      <w:r w:rsidRPr="00F16251">
        <w:rPr>
          <w:rFonts w:cstheme="minorHAnsi"/>
        </w:rPr>
        <w:t>Zabytków</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Poznaniu-delegatura</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Koninie)</w:t>
      </w:r>
      <w:r w:rsidR="003B50ED" w:rsidRPr="00F16251">
        <w:rPr>
          <w:rFonts w:cstheme="minorHAnsi"/>
        </w:rPr>
        <w:t xml:space="preserve"> </w:t>
      </w:r>
      <w:r w:rsidRPr="00F16251">
        <w:rPr>
          <w:rFonts w:cstheme="minorHAnsi"/>
        </w:rPr>
        <w:t>znajduje</w:t>
      </w:r>
      <w:r w:rsidR="003B50ED" w:rsidRPr="00F16251">
        <w:rPr>
          <w:rFonts w:cstheme="minorHAnsi"/>
        </w:rPr>
        <w:t xml:space="preserve"> </w:t>
      </w:r>
      <w:r w:rsidRPr="00F16251">
        <w:rPr>
          <w:rFonts w:cstheme="minorHAnsi"/>
        </w:rPr>
        <w:t>się</w:t>
      </w:r>
      <w:r w:rsidR="003B50ED" w:rsidRPr="00F16251">
        <w:rPr>
          <w:rFonts w:cstheme="minorHAnsi"/>
        </w:rPr>
        <w:t xml:space="preserve"> </w:t>
      </w:r>
      <w:r w:rsidRPr="00F16251">
        <w:rPr>
          <w:rFonts w:cstheme="minorHAnsi"/>
        </w:rPr>
        <w:t>ponad</w:t>
      </w:r>
      <w:r w:rsidR="003B50ED" w:rsidRPr="00F16251">
        <w:rPr>
          <w:rFonts w:cstheme="minorHAnsi"/>
        </w:rPr>
        <w:t xml:space="preserve"> </w:t>
      </w:r>
      <w:r w:rsidRPr="00F16251">
        <w:rPr>
          <w:rFonts w:cstheme="minorHAnsi"/>
        </w:rPr>
        <w:t>250</w:t>
      </w:r>
      <w:r w:rsidR="003B50ED" w:rsidRPr="00F16251">
        <w:rPr>
          <w:rFonts w:cstheme="minorHAnsi"/>
        </w:rPr>
        <w:t xml:space="preserve"> </w:t>
      </w:r>
      <w:r w:rsidRPr="00F16251">
        <w:rPr>
          <w:rFonts w:cstheme="minorHAnsi"/>
        </w:rPr>
        <w:t>obiektów</w:t>
      </w:r>
      <w:r w:rsidR="003B50ED" w:rsidRPr="00F16251">
        <w:rPr>
          <w:rFonts w:cstheme="minorHAnsi"/>
        </w:rPr>
        <w:t xml:space="preserve"> </w:t>
      </w:r>
      <w:r w:rsidRPr="00F16251">
        <w:rPr>
          <w:rFonts w:cstheme="minorHAnsi"/>
        </w:rPr>
        <w:t>zabytkowych</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obszaru</w:t>
      </w:r>
      <w:r w:rsidR="003B50ED" w:rsidRPr="00F16251">
        <w:rPr>
          <w:rFonts w:cstheme="minorHAnsi"/>
        </w:rPr>
        <w:t xml:space="preserve"> </w:t>
      </w:r>
      <w:r w:rsidRPr="00F16251">
        <w:rPr>
          <w:rFonts w:cstheme="minorHAnsi"/>
        </w:rPr>
        <w:t>LGD,</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czego</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tej</w:t>
      </w:r>
      <w:r w:rsidR="003B50ED" w:rsidRPr="00F16251">
        <w:rPr>
          <w:rFonts w:cstheme="minorHAnsi"/>
        </w:rPr>
        <w:t xml:space="preserve"> </w:t>
      </w:r>
      <w:r w:rsidRPr="00F16251">
        <w:rPr>
          <w:rFonts w:cstheme="minorHAnsi"/>
        </w:rPr>
        <w:t>pory</w:t>
      </w:r>
      <w:r w:rsidR="003B50ED" w:rsidRPr="00F16251">
        <w:rPr>
          <w:rFonts w:cstheme="minorHAnsi"/>
        </w:rPr>
        <w:t xml:space="preserve"> </w:t>
      </w:r>
      <w:r w:rsidRPr="00F16251">
        <w:rPr>
          <w:rFonts w:cstheme="minorHAnsi"/>
        </w:rPr>
        <w:t>57</w:t>
      </w:r>
      <w:r w:rsidR="003B50ED" w:rsidRPr="00F16251">
        <w:rPr>
          <w:rFonts w:cstheme="minorHAnsi"/>
        </w:rPr>
        <w:t xml:space="preserve"> </w:t>
      </w:r>
      <w:r w:rsidRPr="00F16251">
        <w:rPr>
          <w:rFonts w:cstheme="minorHAnsi"/>
        </w:rPr>
        <w:t>uzyskało</w:t>
      </w:r>
      <w:r w:rsidR="003B50ED" w:rsidRPr="00F16251">
        <w:rPr>
          <w:rFonts w:cstheme="minorHAnsi"/>
        </w:rPr>
        <w:t xml:space="preserve"> </w:t>
      </w:r>
      <w:r w:rsidRPr="00F16251">
        <w:rPr>
          <w:rFonts w:cstheme="minorHAnsi"/>
        </w:rPr>
        <w:t>decyzję</w:t>
      </w:r>
      <w:r w:rsidR="003B50ED" w:rsidRPr="00F16251">
        <w:rPr>
          <w:rFonts w:cstheme="minorHAnsi"/>
        </w:rPr>
        <w:t xml:space="preserve"> </w:t>
      </w:r>
      <w:r w:rsidRPr="00F16251">
        <w:rPr>
          <w:rFonts w:cstheme="minorHAnsi"/>
        </w:rPr>
        <w:t>o</w:t>
      </w:r>
      <w:r w:rsidR="003B50ED" w:rsidRPr="00F16251">
        <w:rPr>
          <w:rFonts w:cstheme="minorHAnsi"/>
        </w:rPr>
        <w:t xml:space="preserve"> </w:t>
      </w:r>
      <w:r w:rsidRPr="00F16251">
        <w:rPr>
          <w:rFonts w:cstheme="minorHAnsi"/>
        </w:rPr>
        <w:t>wpisie</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rejestru</w:t>
      </w:r>
      <w:r w:rsidR="003B50ED" w:rsidRPr="00F16251">
        <w:rPr>
          <w:rFonts w:cstheme="minorHAnsi"/>
        </w:rPr>
        <w:t xml:space="preserve"> </w:t>
      </w:r>
      <w:r w:rsidRPr="00F16251">
        <w:rPr>
          <w:rFonts w:cstheme="minorHAnsi"/>
        </w:rPr>
        <w:t>zabytków.</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najcenniejszych</w:t>
      </w:r>
      <w:r w:rsidR="003B50ED" w:rsidRPr="00F16251">
        <w:rPr>
          <w:rFonts w:cstheme="minorHAnsi"/>
        </w:rPr>
        <w:t xml:space="preserve"> </w:t>
      </w:r>
      <w:r w:rsidRPr="00F16251">
        <w:rPr>
          <w:rFonts w:cstheme="minorHAnsi"/>
        </w:rPr>
        <w:t>należą:</w:t>
      </w:r>
    </w:p>
    <w:p w14:paraId="2C0E4530" w14:textId="2345C49E" w:rsidR="00224658" w:rsidRPr="00F16251" w:rsidRDefault="00224658" w:rsidP="008A412F">
      <w:pPr>
        <w:numPr>
          <w:ilvl w:val="0"/>
          <w:numId w:val="9"/>
        </w:numPr>
        <w:spacing w:line="276" w:lineRule="auto"/>
        <w:ind w:left="426" w:hanging="284"/>
        <w:jc w:val="both"/>
        <w:rPr>
          <w:rFonts w:cstheme="minorHAnsi"/>
        </w:rPr>
      </w:pPr>
      <w:r w:rsidRPr="00F16251">
        <w:rPr>
          <w:rFonts w:cstheme="minorHAnsi"/>
        </w:rPr>
        <w:t>Obraz</w:t>
      </w:r>
      <w:r w:rsidR="003B50ED" w:rsidRPr="00F16251">
        <w:rPr>
          <w:rFonts w:cstheme="minorHAnsi"/>
        </w:rPr>
        <w:t xml:space="preserve"> </w:t>
      </w:r>
      <w:r w:rsidRPr="00F16251">
        <w:rPr>
          <w:rFonts w:cstheme="minorHAnsi"/>
        </w:rPr>
        <w:t>Matki</w:t>
      </w:r>
      <w:r w:rsidR="003B50ED" w:rsidRPr="00F16251">
        <w:rPr>
          <w:rFonts w:cstheme="minorHAnsi"/>
        </w:rPr>
        <w:t xml:space="preserve"> </w:t>
      </w:r>
      <w:r w:rsidRPr="00F16251">
        <w:rPr>
          <w:rFonts w:cstheme="minorHAnsi"/>
        </w:rPr>
        <w:t>Bożej</w:t>
      </w:r>
      <w:r w:rsidR="003B50ED" w:rsidRPr="00F16251">
        <w:rPr>
          <w:rFonts w:cstheme="minorHAnsi"/>
        </w:rPr>
        <w:t xml:space="preserve"> </w:t>
      </w:r>
      <w:r w:rsidRPr="00F16251">
        <w:rPr>
          <w:rFonts w:cstheme="minorHAnsi"/>
        </w:rPr>
        <w:t>Pocieszenia,</w:t>
      </w:r>
      <w:r w:rsidR="003B50ED" w:rsidRPr="00F16251">
        <w:rPr>
          <w:rFonts w:cstheme="minorHAnsi"/>
        </w:rPr>
        <w:t xml:space="preserve"> </w:t>
      </w:r>
      <w:r w:rsidRPr="00F16251">
        <w:rPr>
          <w:rFonts w:cstheme="minorHAnsi"/>
        </w:rPr>
        <w:t>pochodzący</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początku</w:t>
      </w:r>
      <w:r w:rsidR="003B50ED" w:rsidRPr="00F16251">
        <w:rPr>
          <w:rFonts w:cstheme="minorHAnsi"/>
        </w:rPr>
        <w:t xml:space="preserve"> </w:t>
      </w:r>
      <w:r w:rsidRPr="00F16251">
        <w:rPr>
          <w:rFonts w:cstheme="minorHAnsi"/>
        </w:rPr>
        <w:t>XVII</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umieszczony</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ołtarzu</w:t>
      </w:r>
      <w:r w:rsidR="003B50ED" w:rsidRPr="00F16251">
        <w:rPr>
          <w:rFonts w:cstheme="minorHAnsi"/>
        </w:rPr>
        <w:t xml:space="preserve"> </w:t>
      </w:r>
      <w:r w:rsidRPr="00F16251">
        <w:rPr>
          <w:rFonts w:cstheme="minorHAnsi"/>
        </w:rPr>
        <w:t>głównym</w:t>
      </w:r>
      <w:r w:rsidR="003B50ED" w:rsidRPr="00F16251">
        <w:rPr>
          <w:rFonts w:cstheme="minorHAnsi"/>
        </w:rPr>
        <w:t xml:space="preserve"> </w:t>
      </w:r>
      <w:r w:rsidRPr="00F16251">
        <w:rPr>
          <w:rFonts w:cstheme="minorHAnsi"/>
        </w:rPr>
        <w:t>kościoła</w:t>
      </w:r>
      <w:r w:rsidR="003B50ED" w:rsidRPr="00F16251">
        <w:rPr>
          <w:rFonts w:cstheme="minorHAnsi"/>
        </w:rPr>
        <w:t xml:space="preserve"> </w:t>
      </w:r>
      <w:r w:rsidRPr="00F16251">
        <w:rPr>
          <w:rFonts w:cstheme="minorHAnsi"/>
        </w:rPr>
        <w:t>pod</w:t>
      </w:r>
      <w:r w:rsidR="003B50ED" w:rsidRPr="00F16251">
        <w:rPr>
          <w:rFonts w:cstheme="minorHAnsi"/>
        </w:rPr>
        <w:t xml:space="preserve"> </w:t>
      </w:r>
      <w:r w:rsidRPr="00F16251">
        <w:rPr>
          <w:rFonts w:cstheme="minorHAnsi"/>
        </w:rPr>
        <w:t>wezwaniem</w:t>
      </w:r>
      <w:r w:rsidR="003B50ED" w:rsidRPr="00F16251">
        <w:rPr>
          <w:rFonts w:cstheme="minorHAnsi"/>
        </w:rPr>
        <w:t xml:space="preserve"> </w:t>
      </w:r>
      <w:r w:rsidRPr="00F16251">
        <w:rPr>
          <w:rFonts w:cstheme="minorHAnsi"/>
        </w:rPr>
        <w:t>Matki</w:t>
      </w:r>
      <w:r w:rsidR="003B50ED" w:rsidRPr="00F16251">
        <w:rPr>
          <w:rFonts w:cstheme="minorHAnsi"/>
        </w:rPr>
        <w:t xml:space="preserve"> </w:t>
      </w:r>
      <w:r w:rsidRPr="00F16251">
        <w:rPr>
          <w:rFonts w:cstheme="minorHAnsi"/>
        </w:rPr>
        <w:t>Bożej</w:t>
      </w:r>
      <w:r w:rsidR="003B50ED" w:rsidRPr="00F16251">
        <w:rPr>
          <w:rFonts w:cstheme="minorHAnsi"/>
        </w:rPr>
        <w:t xml:space="preserve"> </w:t>
      </w:r>
      <w:r w:rsidRPr="00F16251">
        <w:rPr>
          <w:rFonts w:cstheme="minorHAnsi"/>
        </w:rPr>
        <w:t>Pocieszenia</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Kawnicach</w:t>
      </w:r>
    </w:p>
    <w:p w14:paraId="3A811203" w14:textId="48DA93E4" w:rsidR="00224658" w:rsidRPr="00F16251" w:rsidRDefault="00224658" w:rsidP="008A412F">
      <w:pPr>
        <w:numPr>
          <w:ilvl w:val="0"/>
          <w:numId w:val="9"/>
        </w:numPr>
        <w:spacing w:line="276" w:lineRule="auto"/>
        <w:ind w:left="426" w:hanging="284"/>
        <w:jc w:val="both"/>
        <w:rPr>
          <w:rFonts w:cstheme="minorHAnsi"/>
        </w:rPr>
      </w:pPr>
      <w:r w:rsidRPr="00F16251">
        <w:rPr>
          <w:rFonts w:cstheme="minorHAnsi"/>
        </w:rPr>
        <w:t>Drewniana</w:t>
      </w:r>
      <w:r w:rsidR="003B50ED" w:rsidRPr="00F16251">
        <w:rPr>
          <w:rFonts w:cstheme="minorHAnsi"/>
        </w:rPr>
        <w:t xml:space="preserve"> </w:t>
      </w:r>
      <w:r w:rsidRPr="00F16251">
        <w:rPr>
          <w:rFonts w:cstheme="minorHAnsi"/>
        </w:rPr>
        <w:t>świątynia</w:t>
      </w:r>
      <w:r w:rsidR="003B50ED" w:rsidRPr="00F16251">
        <w:rPr>
          <w:rFonts w:cstheme="minorHAnsi"/>
        </w:rPr>
        <w:t xml:space="preserve"> </w:t>
      </w:r>
      <w:r w:rsidRPr="00F16251">
        <w:rPr>
          <w:rFonts w:cstheme="minorHAnsi"/>
        </w:rPr>
        <w:t>we</w:t>
      </w:r>
      <w:r w:rsidR="003B50ED" w:rsidRPr="00F16251">
        <w:rPr>
          <w:rFonts w:cstheme="minorHAnsi"/>
        </w:rPr>
        <w:t xml:space="preserve"> </w:t>
      </w:r>
      <w:r w:rsidRPr="00F16251">
        <w:rPr>
          <w:rFonts w:cstheme="minorHAnsi"/>
        </w:rPr>
        <w:t>wsi</w:t>
      </w:r>
      <w:r w:rsidR="003B50ED" w:rsidRPr="00F16251">
        <w:rPr>
          <w:rFonts w:cstheme="minorHAnsi"/>
        </w:rPr>
        <w:t xml:space="preserve"> </w:t>
      </w:r>
      <w:r w:rsidRPr="00F16251">
        <w:rPr>
          <w:rFonts w:cstheme="minorHAnsi"/>
        </w:rPr>
        <w:t>Kuchary</w:t>
      </w:r>
    </w:p>
    <w:p w14:paraId="049CD330" w14:textId="2E452B0A" w:rsidR="00224658" w:rsidRPr="00F16251" w:rsidRDefault="00224658" w:rsidP="008A412F">
      <w:pPr>
        <w:numPr>
          <w:ilvl w:val="0"/>
          <w:numId w:val="9"/>
        </w:numPr>
        <w:spacing w:line="276" w:lineRule="auto"/>
        <w:ind w:left="426" w:hanging="284"/>
        <w:jc w:val="both"/>
        <w:rPr>
          <w:rFonts w:cstheme="minorHAnsi"/>
        </w:rPr>
      </w:pPr>
      <w:r w:rsidRPr="00F16251">
        <w:rPr>
          <w:rFonts w:cstheme="minorHAnsi"/>
        </w:rPr>
        <w:t>Neogotycki</w:t>
      </w:r>
      <w:r w:rsidR="003B50ED" w:rsidRPr="00F16251">
        <w:rPr>
          <w:rFonts w:cstheme="minorHAnsi"/>
        </w:rPr>
        <w:t xml:space="preserve"> </w:t>
      </w:r>
      <w:r w:rsidRPr="00F16251">
        <w:rPr>
          <w:rFonts w:cstheme="minorHAnsi"/>
        </w:rPr>
        <w:t>kościół</w:t>
      </w:r>
      <w:r w:rsidR="003B50ED" w:rsidRPr="00F16251">
        <w:rPr>
          <w:rFonts w:cstheme="minorHAnsi"/>
        </w:rPr>
        <w:t xml:space="preserve"> </w:t>
      </w:r>
      <w:r w:rsidRPr="00F16251">
        <w:rPr>
          <w:rFonts w:cstheme="minorHAnsi"/>
        </w:rPr>
        <w:t>rzymskokatolicki</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Grodźcu</w:t>
      </w:r>
    </w:p>
    <w:p w14:paraId="0F5E809A" w14:textId="63B35BE0" w:rsidR="00224658" w:rsidRPr="00F16251" w:rsidRDefault="00224658" w:rsidP="008A412F">
      <w:pPr>
        <w:numPr>
          <w:ilvl w:val="0"/>
          <w:numId w:val="9"/>
        </w:numPr>
        <w:spacing w:line="276" w:lineRule="auto"/>
        <w:ind w:left="426" w:hanging="284"/>
        <w:jc w:val="both"/>
        <w:rPr>
          <w:rFonts w:cstheme="minorHAnsi"/>
        </w:rPr>
      </w:pPr>
      <w:r w:rsidRPr="00F16251">
        <w:rPr>
          <w:rFonts w:cstheme="minorHAnsi"/>
        </w:rPr>
        <w:t>Drewniany</w:t>
      </w:r>
      <w:r w:rsidR="003B50ED" w:rsidRPr="00F16251">
        <w:rPr>
          <w:rFonts w:cstheme="minorHAnsi"/>
        </w:rPr>
        <w:t xml:space="preserve"> </w:t>
      </w:r>
      <w:r w:rsidRPr="00F16251">
        <w:rPr>
          <w:rFonts w:cstheme="minorHAnsi"/>
        </w:rPr>
        <w:t>kościół</w:t>
      </w:r>
      <w:r w:rsidR="003B50ED" w:rsidRPr="00F16251">
        <w:rPr>
          <w:rFonts w:cstheme="minorHAnsi"/>
        </w:rPr>
        <w:t xml:space="preserve"> </w:t>
      </w:r>
      <w:r w:rsidRPr="00F16251">
        <w:rPr>
          <w:rFonts w:cstheme="minorHAnsi"/>
        </w:rPr>
        <w:t>pod</w:t>
      </w:r>
      <w:r w:rsidR="003B50ED" w:rsidRPr="00F16251">
        <w:rPr>
          <w:rFonts w:cstheme="minorHAnsi"/>
        </w:rPr>
        <w:t xml:space="preserve"> </w:t>
      </w:r>
      <w:r w:rsidRPr="00F16251">
        <w:rPr>
          <w:rFonts w:cstheme="minorHAnsi"/>
        </w:rPr>
        <w:t>wezwaniem</w:t>
      </w:r>
      <w:r w:rsidR="003B50ED" w:rsidRPr="00F16251">
        <w:rPr>
          <w:rFonts w:cstheme="minorHAnsi"/>
        </w:rPr>
        <w:t xml:space="preserve"> </w:t>
      </w:r>
      <w:r w:rsidRPr="00F16251">
        <w:rPr>
          <w:rFonts w:cstheme="minorHAnsi"/>
        </w:rPr>
        <w:t>św.</w:t>
      </w:r>
      <w:r w:rsidR="003B50ED" w:rsidRPr="00F16251">
        <w:rPr>
          <w:rFonts w:cstheme="minorHAnsi"/>
        </w:rPr>
        <w:t xml:space="preserve"> </w:t>
      </w:r>
      <w:r w:rsidRPr="00F16251">
        <w:rPr>
          <w:rFonts w:cstheme="minorHAnsi"/>
        </w:rPr>
        <w:t>Jakuba</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Rzgowie</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XVI</w:t>
      </w:r>
      <w:r w:rsidR="003B50ED" w:rsidRPr="00F16251">
        <w:rPr>
          <w:rFonts w:cstheme="minorHAnsi"/>
        </w:rPr>
        <w:t xml:space="preserve"> </w:t>
      </w:r>
      <w:r w:rsidRPr="00F16251">
        <w:rPr>
          <w:rFonts w:cstheme="minorHAnsi"/>
        </w:rPr>
        <w:t>wieku</w:t>
      </w:r>
    </w:p>
    <w:p w14:paraId="37785535" w14:textId="1D228A9F" w:rsidR="00224658" w:rsidRPr="00F16251" w:rsidRDefault="00224658" w:rsidP="008A412F">
      <w:pPr>
        <w:numPr>
          <w:ilvl w:val="0"/>
          <w:numId w:val="9"/>
        </w:numPr>
        <w:spacing w:line="276" w:lineRule="auto"/>
        <w:ind w:left="426" w:hanging="284"/>
        <w:jc w:val="both"/>
        <w:rPr>
          <w:rFonts w:cstheme="minorHAnsi"/>
        </w:rPr>
      </w:pPr>
      <w:r w:rsidRPr="00F16251">
        <w:rPr>
          <w:rFonts w:cstheme="minorHAnsi"/>
        </w:rPr>
        <w:t>Kościół</w:t>
      </w:r>
      <w:r w:rsidR="003B50ED" w:rsidRPr="00F16251">
        <w:rPr>
          <w:rFonts w:cstheme="minorHAnsi"/>
        </w:rPr>
        <w:t xml:space="preserve"> </w:t>
      </w:r>
      <w:r w:rsidRPr="00F16251">
        <w:rPr>
          <w:rFonts w:cstheme="minorHAnsi"/>
        </w:rPr>
        <w:t>romański</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XIII</w:t>
      </w:r>
      <w:r w:rsidR="003B50ED" w:rsidRPr="00F16251">
        <w:rPr>
          <w:rFonts w:cstheme="minorHAnsi"/>
        </w:rPr>
        <w:t xml:space="preserve"> </w:t>
      </w:r>
      <w:r w:rsidRPr="00F16251">
        <w:rPr>
          <w:rFonts w:cstheme="minorHAnsi"/>
        </w:rPr>
        <w:t>wieku</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Starym</w:t>
      </w:r>
      <w:r w:rsidR="003B50ED" w:rsidRPr="00F16251">
        <w:rPr>
          <w:rFonts w:cstheme="minorHAnsi"/>
        </w:rPr>
        <w:t xml:space="preserve"> </w:t>
      </w:r>
      <w:r w:rsidRPr="00F16251">
        <w:rPr>
          <w:rFonts w:cstheme="minorHAnsi"/>
        </w:rPr>
        <w:t>Mieście</w:t>
      </w:r>
    </w:p>
    <w:p w14:paraId="1E69B41D" w14:textId="05CBC0B1" w:rsidR="00224658" w:rsidRPr="00F16251" w:rsidRDefault="00224658" w:rsidP="008A412F">
      <w:pPr>
        <w:numPr>
          <w:ilvl w:val="0"/>
          <w:numId w:val="9"/>
        </w:numPr>
        <w:spacing w:line="276" w:lineRule="auto"/>
        <w:ind w:left="426" w:hanging="284"/>
        <w:jc w:val="both"/>
        <w:rPr>
          <w:rFonts w:cstheme="minorHAnsi"/>
        </w:rPr>
      </w:pPr>
      <w:r w:rsidRPr="00F16251">
        <w:rPr>
          <w:rFonts w:cstheme="minorHAnsi"/>
        </w:rPr>
        <w:t>Zespół</w:t>
      </w:r>
      <w:r w:rsidR="003B50ED" w:rsidRPr="00F16251">
        <w:rPr>
          <w:rFonts w:cstheme="minorHAnsi"/>
        </w:rPr>
        <w:t xml:space="preserve"> </w:t>
      </w:r>
      <w:r w:rsidRPr="00F16251">
        <w:rPr>
          <w:rFonts w:cstheme="minorHAnsi"/>
        </w:rPr>
        <w:t>Kościoła</w:t>
      </w:r>
      <w:r w:rsidR="003B50ED" w:rsidRPr="00F16251">
        <w:rPr>
          <w:rFonts w:cstheme="minorHAnsi"/>
        </w:rPr>
        <w:t xml:space="preserve"> </w:t>
      </w:r>
      <w:r w:rsidRPr="00F16251">
        <w:rPr>
          <w:rFonts w:cstheme="minorHAnsi"/>
        </w:rPr>
        <w:t>Parafialnego</w:t>
      </w:r>
      <w:r w:rsidR="003B50ED" w:rsidRPr="00F16251">
        <w:rPr>
          <w:rFonts w:cstheme="minorHAnsi"/>
        </w:rPr>
        <w:t xml:space="preserve"> </w:t>
      </w:r>
      <w:r w:rsidRPr="00F16251">
        <w:rPr>
          <w:rFonts w:cstheme="minorHAnsi"/>
        </w:rPr>
        <w:t>p.w.</w:t>
      </w:r>
      <w:r w:rsidR="003B50ED" w:rsidRPr="00F16251">
        <w:rPr>
          <w:rFonts w:cstheme="minorHAnsi"/>
        </w:rPr>
        <w:t xml:space="preserve"> </w:t>
      </w:r>
      <w:r w:rsidRPr="00F16251">
        <w:rPr>
          <w:rFonts w:cstheme="minorHAnsi"/>
        </w:rPr>
        <w:t>Św.</w:t>
      </w:r>
      <w:r w:rsidR="003B50ED" w:rsidRPr="00F16251">
        <w:rPr>
          <w:rFonts w:cstheme="minorHAnsi"/>
        </w:rPr>
        <w:t xml:space="preserve"> </w:t>
      </w:r>
      <w:r w:rsidRPr="00F16251">
        <w:rPr>
          <w:rFonts w:cstheme="minorHAnsi"/>
        </w:rPr>
        <w:t>Wita</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1450</w:t>
      </w:r>
      <w:r w:rsidR="003B50ED" w:rsidRPr="00F16251">
        <w:rPr>
          <w:rFonts w:cstheme="minorHAnsi"/>
        </w:rPr>
        <w:t xml:space="preserve"> r. </w:t>
      </w:r>
      <w:r w:rsidRPr="00F16251">
        <w:rPr>
          <w:rFonts w:cstheme="minorHAnsi"/>
        </w:rPr>
        <w:t>w</w:t>
      </w:r>
      <w:r w:rsidR="003B50ED" w:rsidRPr="00F16251">
        <w:rPr>
          <w:rFonts w:cstheme="minorHAnsi"/>
        </w:rPr>
        <w:t xml:space="preserve"> </w:t>
      </w:r>
      <w:r w:rsidRPr="00F16251">
        <w:rPr>
          <w:rFonts w:cstheme="minorHAnsi"/>
        </w:rPr>
        <w:t>Tuliszkowie</w:t>
      </w:r>
      <w:r w:rsidR="00E07BED">
        <w:rPr>
          <w:rFonts w:cstheme="minorHAnsi"/>
        </w:rPr>
        <w:t>.</w:t>
      </w:r>
    </w:p>
    <w:p w14:paraId="582F788D" w14:textId="2916D69B" w:rsidR="00224658" w:rsidRPr="00F16251" w:rsidRDefault="00224658" w:rsidP="00A26C26">
      <w:pPr>
        <w:spacing w:line="276" w:lineRule="auto"/>
        <w:jc w:val="both"/>
        <w:rPr>
          <w:rFonts w:cstheme="minorHAnsi"/>
        </w:rPr>
      </w:pPr>
      <w:r w:rsidRPr="00F16251">
        <w:rPr>
          <w:rFonts w:cstheme="minorHAnsi"/>
        </w:rPr>
        <w:t>Elementem</w:t>
      </w:r>
      <w:r w:rsidR="003B50ED" w:rsidRPr="00F16251">
        <w:rPr>
          <w:rFonts w:cstheme="minorHAnsi"/>
        </w:rPr>
        <w:t xml:space="preserve"> </w:t>
      </w:r>
      <w:r w:rsidRPr="00F16251">
        <w:rPr>
          <w:rFonts w:cstheme="minorHAnsi"/>
        </w:rPr>
        <w:t>dziedzictwa</w:t>
      </w:r>
      <w:r w:rsidR="003B50ED" w:rsidRPr="00F16251">
        <w:rPr>
          <w:rFonts w:cstheme="minorHAnsi"/>
        </w:rPr>
        <w:t xml:space="preserve"> </w:t>
      </w:r>
      <w:r w:rsidRPr="00F16251">
        <w:rPr>
          <w:rFonts w:cstheme="minorHAnsi"/>
        </w:rPr>
        <w:t>kulturowego</w:t>
      </w:r>
      <w:r w:rsidR="003B50ED" w:rsidRPr="00F16251">
        <w:rPr>
          <w:rFonts w:cstheme="minorHAnsi"/>
        </w:rPr>
        <w:t xml:space="preserve"> </w:t>
      </w:r>
      <w:r w:rsidRPr="00F16251">
        <w:rPr>
          <w:rFonts w:cstheme="minorHAnsi"/>
        </w:rPr>
        <w:t>mającym</w:t>
      </w:r>
      <w:r w:rsidR="003B50ED" w:rsidRPr="00F16251">
        <w:rPr>
          <w:rFonts w:cstheme="minorHAnsi"/>
        </w:rPr>
        <w:t xml:space="preserve"> </w:t>
      </w:r>
      <w:r w:rsidRPr="00F16251">
        <w:rPr>
          <w:rFonts w:cstheme="minorHAnsi"/>
        </w:rPr>
        <w:t>duże</w:t>
      </w:r>
      <w:r w:rsidR="003B50ED" w:rsidRPr="00F16251">
        <w:rPr>
          <w:rFonts w:cstheme="minorHAnsi"/>
        </w:rPr>
        <w:t xml:space="preserve"> </w:t>
      </w:r>
      <w:r w:rsidRPr="00F16251">
        <w:rPr>
          <w:rFonts w:cstheme="minorHAnsi"/>
        </w:rPr>
        <w:t>znaczenie</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obszarze</w:t>
      </w:r>
      <w:r w:rsidR="003B50ED" w:rsidRPr="00F16251">
        <w:rPr>
          <w:rFonts w:cstheme="minorHAnsi"/>
        </w:rPr>
        <w:t xml:space="preserve"> </w:t>
      </w:r>
      <w:r w:rsidRPr="00F16251">
        <w:rPr>
          <w:rFonts w:cstheme="minorHAnsi"/>
        </w:rPr>
        <w:t>jest</w:t>
      </w:r>
      <w:r w:rsidR="003B50ED" w:rsidRPr="00F16251">
        <w:rPr>
          <w:rFonts w:cstheme="minorHAnsi"/>
        </w:rPr>
        <w:t xml:space="preserve"> </w:t>
      </w:r>
      <w:r w:rsidRPr="00F16251">
        <w:rPr>
          <w:rFonts w:cstheme="minorHAnsi"/>
        </w:rPr>
        <w:t>miejscowa</w:t>
      </w:r>
      <w:r w:rsidR="003B50ED" w:rsidRPr="00F16251">
        <w:rPr>
          <w:rFonts w:cstheme="minorHAnsi"/>
        </w:rPr>
        <w:t xml:space="preserve"> </w:t>
      </w:r>
      <w:r w:rsidRPr="00F16251">
        <w:rPr>
          <w:rFonts w:cstheme="minorHAnsi"/>
        </w:rPr>
        <w:t>kuchnia,</w:t>
      </w:r>
      <w:r w:rsidR="003B50ED" w:rsidRPr="00F16251">
        <w:rPr>
          <w:rFonts w:cstheme="minorHAnsi"/>
        </w:rPr>
        <w:t xml:space="preserve"> </w:t>
      </w:r>
      <w:r w:rsidRPr="00F16251">
        <w:rPr>
          <w:rFonts w:cstheme="minorHAnsi"/>
        </w:rPr>
        <w:t>czyli</w:t>
      </w:r>
      <w:r w:rsidR="003B50ED" w:rsidRPr="00F16251">
        <w:rPr>
          <w:rFonts w:cstheme="minorHAnsi"/>
        </w:rPr>
        <w:t xml:space="preserve"> </w:t>
      </w:r>
      <w:r w:rsidRPr="00F16251">
        <w:rPr>
          <w:rFonts w:cstheme="minorHAnsi"/>
        </w:rPr>
        <w:t>dobór</w:t>
      </w:r>
      <w:r w:rsidR="00E07BED">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sposób</w:t>
      </w:r>
      <w:r w:rsidR="003B50ED" w:rsidRPr="00F16251">
        <w:rPr>
          <w:rFonts w:cstheme="minorHAnsi"/>
        </w:rPr>
        <w:t xml:space="preserve"> </w:t>
      </w:r>
      <w:r w:rsidRPr="00F16251">
        <w:rPr>
          <w:rFonts w:cstheme="minorHAnsi"/>
        </w:rPr>
        <w:t>przyrządzania</w:t>
      </w:r>
      <w:r w:rsidR="003B50ED" w:rsidRPr="00F16251">
        <w:rPr>
          <w:rFonts w:cstheme="minorHAnsi"/>
        </w:rPr>
        <w:t xml:space="preserve"> </w:t>
      </w:r>
      <w:r w:rsidRPr="00F16251">
        <w:rPr>
          <w:rFonts w:cstheme="minorHAnsi"/>
        </w:rPr>
        <w:t>potraw.</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terenie</w:t>
      </w:r>
      <w:r w:rsidR="003B50ED" w:rsidRPr="00F16251">
        <w:rPr>
          <w:rFonts w:cstheme="minorHAnsi"/>
        </w:rPr>
        <w:t xml:space="preserve"> </w:t>
      </w:r>
      <w:r w:rsidRPr="00F16251">
        <w:rPr>
          <w:rFonts w:cstheme="minorHAnsi"/>
        </w:rPr>
        <w:t>LGD,</w:t>
      </w:r>
      <w:r w:rsidR="003B50ED" w:rsidRPr="00F16251">
        <w:rPr>
          <w:rFonts w:cstheme="minorHAnsi"/>
        </w:rPr>
        <w:t xml:space="preserve"> </w:t>
      </w:r>
      <w:r w:rsidRPr="00F16251">
        <w:rPr>
          <w:rFonts w:cstheme="minorHAnsi"/>
        </w:rPr>
        <w:t>jak</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całej</w:t>
      </w:r>
      <w:r w:rsidR="003B50ED" w:rsidRPr="00F16251">
        <w:rPr>
          <w:rFonts w:cstheme="minorHAnsi"/>
        </w:rPr>
        <w:t xml:space="preserve"> </w:t>
      </w:r>
      <w:r w:rsidRPr="00F16251">
        <w:rPr>
          <w:rFonts w:cstheme="minorHAnsi"/>
        </w:rPr>
        <w:t>Polsce,</w:t>
      </w:r>
      <w:r w:rsidR="003B50ED" w:rsidRPr="00F16251">
        <w:rPr>
          <w:rFonts w:cstheme="minorHAnsi"/>
        </w:rPr>
        <w:t xml:space="preserve"> </w:t>
      </w:r>
      <w:r w:rsidRPr="00F16251">
        <w:rPr>
          <w:rFonts w:cstheme="minorHAnsi"/>
        </w:rPr>
        <w:t>większość</w:t>
      </w:r>
      <w:r w:rsidR="003B50ED" w:rsidRPr="00F16251">
        <w:rPr>
          <w:rFonts w:cstheme="minorHAnsi"/>
        </w:rPr>
        <w:t xml:space="preserve"> </w:t>
      </w:r>
      <w:r w:rsidRPr="00F16251">
        <w:rPr>
          <w:rFonts w:cstheme="minorHAnsi"/>
        </w:rPr>
        <w:t>produktów</w:t>
      </w:r>
      <w:r w:rsidR="003B50ED" w:rsidRPr="00F16251">
        <w:rPr>
          <w:rFonts w:cstheme="minorHAnsi"/>
        </w:rPr>
        <w:t xml:space="preserve"> </w:t>
      </w:r>
      <w:r w:rsidRPr="00F16251">
        <w:rPr>
          <w:rFonts w:cstheme="minorHAnsi"/>
        </w:rPr>
        <w:t>o</w:t>
      </w:r>
      <w:r w:rsidR="003B50ED" w:rsidRPr="00F16251">
        <w:rPr>
          <w:rFonts w:cstheme="minorHAnsi"/>
        </w:rPr>
        <w:t xml:space="preserve"> </w:t>
      </w:r>
      <w:r w:rsidRPr="00F16251">
        <w:rPr>
          <w:rFonts w:cstheme="minorHAnsi"/>
        </w:rPr>
        <w:t>tradycyjnym,</w:t>
      </w:r>
      <w:r w:rsidR="003B50ED" w:rsidRPr="00F16251">
        <w:rPr>
          <w:rFonts w:cstheme="minorHAnsi"/>
        </w:rPr>
        <w:t xml:space="preserve"> </w:t>
      </w:r>
      <w:r w:rsidRPr="00F16251">
        <w:rPr>
          <w:rFonts w:cstheme="minorHAnsi"/>
        </w:rPr>
        <w:t>lokalnym</w:t>
      </w:r>
      <w:r w:rsidR="003B50ED" w:rsidRPr="00F16251">
        <w:rPr>
          <w:rFonts w:cstheme="minorHAnsi"/>
        </w:rPr>
        <w:t xml:space="preserve"> </w:t>
      </w:r>
      <w:r w:rsidRPr="00F16251">
        <w:rPr>
          <w:rFonts w:cstheme="minorHAnsi"/>
        </w:rPr>
        <w:t>charakterze</w:t>
      </w:r>
      <w:r w:rsidR="003B50ED" w:rsidRPr="00F16251">
        <w:rPr>
          <w:rFonts w:cstheme="minorHAnsi"/>
        </w:rPr>
        <w:t xml:space="preserve"> </w:t>
      </w:r>
      <w:r w:rsidRPr="00F16251">
        <w:rPr>
          <w:rFonts w:cstheme="minorHAnsi"/>
        </w:rPr>
        <w:t>wytwarzana</w:t>
      </w:r>
      <w:r w:rsidR="003B50ED" w:rsidRPr="00F16251">
        <w:rPr>
          <w:rFonts w:cstheme="minorHAnsi"/>
        </w:rPr>
        <w:t xml:space="preserve"> </w:t>
      </w:r>
      <w:r w:rsidRPr="00F16251">
        <w:rPr>
          <w:rFonts w:cstheme="minorHAnsi"/>
        </w:rPr>
        <w:t>jest</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własne</w:t>
      </w:r>
      <w:r w:rsidR="003B50ED" w:rsidRPr="00F16251">
        <w:rPr>
          <w:rFonts w:cstheme="minorHAnsi"/>
        </w:rPr>
        <w:t xml:space="preserve"> </w:t>
      </w:r>
      <w:r w:rsidRPr="00F16251">
        <w:rPr>
          <w:rFonts w:cstheme="minorHAnsi"/>
        </w:rPr>
        <w:t>potrzeby,</w:t>
      </w:r>
      <w:r w:rsidR="003B50ED" w:rsidRPr="00F16251">
        <w:rPr>
          <w:rFonts w:cstheme="minorHAnsi"/>
        </w:rPr>
        <w:t xml:space="preserve"> </w:t>
      </w:r>
      <w:r w:rsidRPr="00F16251">
        <w:rPr>
          <w:rFonts w:cstheme="minorHAnsi"/>
        </w:rPr>
        <w:t>ewentualnie</w:t>
      </w:r>
      <w:r w:rsidR="003B50ED" w:rsidRPr="00F16251">
        <w:rPr>
          <w:rFonts w:cstheme="minorHAnsi"/>
        </w:rPr>
        <w:t xml:space="preserve"> </w:t>
      </w:r>
      <w:r w:rsidRPr="00F16251">
        <w:rPr>
          <w:rFonts w:cstheme="minorHAnsi"/>
        </w:rPr>
        <w:t>dla</w:t>
      </w:r>
      <w:r w:rsidR="003B50ED" w:rsidRPr="00F16251">
        <w:rPr>
          <w:rFonts w:cstheme="minorHAnsi"/>
        </w:rPr>
        <w:t xml:space="preserve"> </w:t>
      </w:r>
      <w:r w:rsidRPr="00F16251">
        <w:rPr>
          <w:rFonts w:cstheme="minorHAnsi"/>
        </w:rPr>
        <w:t>rodziny</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znajomych,</w:t>
      </w:r>
      <w:r w:rsidR="003B50ED" w:rsidRPr="00F16251">
        <w:rPr>
          <w:rFonts w:cstheme="minorHAnsi"/>
        </w:rPr>
        <w:t xml:space="preserve"> </w:t>
      </w:r>
      <w:r w:rsidRPr="00F16251">
        <w:rPr>
          <w:rFonts w:cstheme="minorHAnsi"/>
        </w:rPr>
        <w:t>a</w:t>
      </w:r>
      <w:r w:rsidR="003B50ED" w:rsidRPr="00F16251">
        <w:rPr>
          <w:rFonts w:cstheme="minorHAnsi"/>
        </w:rPr>
        <w:t xml:space="preserve"> </w:t>
      </w:r>
      <w:r w:rsidRPr="00F16251">
        <w:rPr>
          <w:rFonts w:cstheme="minorHAnsi"/>
        </w:rPr>
        <w:t>także</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okazji</w:t>
      </w:r>
      <w:r w:rsidR="003B50ED" w:rsidRPr="00F16251">
        <w:rPr>
          <w:rFonts w:cstheme="minorHAnsi"/>
        </w:rPr>
        <w:t xml:space="preserve"> </w:t>
      </w:r>
      <w:r w:rsidRPr="00F16251">
        <w:rPr>
          <w:rFonts w:cstheme="minorHAnsi"/>
        </w:rPr>
        <w:t>festynów</w:t>
      </w:r>
    </w:p>
    <w:p w14:paraId="3030A605" w14:textId="5195000B" w:rsidR="00224658" w:rsidRPr="00F16251" w:rsidRDefault="00224658" w:rsidP="00A26C26">
      <w:pPr>
        <w:spacing w:line="276" w:lineRule="auto"/>
        <w:jc w:val="both"/>
        <w:rPr>
          <w:rFonts w:cstheme="minorHAnsi"/>
        </w:rPr>
      </w:pPr>
      <w:r w:rsidRPr="00F16251">
        <w:rPr>
          <w:rFonts w:cstheme="minorHAnsi"/>
        </w:rPr>
        <w:t>lokalnych,</w:t>
      </w:r>
      <w:r w:rsidR="003B50ED" w:rsidRPr="00F16251">
        <w:rPr>
          <w:rFonts w:cstheme="minorHAnsi"/>
        </w:rPr>
        <w:t xml:space="preserve"> </w:t>
      </w:r>
      <w:r w:rsidRPr="00F16251">
        <w:rPr>
          <w:rFonts w:cstheme="minorHAnsi"/>
        </w:rPr>
        <w:t>zabaw</w:t>
      </w:r>
      <w:r w:rsidR="003B50ED" w:rsidRPr="00F16251">
        <w:rPr>
          <w:rFonts w:cstheme="minorHAnsi"/>
        </w:rPr>
        <w:t xml:space="preserve"> </w:t>
      </w:r>
      <w:r w:rsidRPr="00F16251">
        <w:rPr>
          <w:rFonts w:cstheme="minorHAnsi"/>
        </w:rPr>
        <w:t>czy</w:t>
      </w:r>
      <w:r w:rsidR="003B50ED" w:rsidRPr="00F16251">
        <w:rPr>
          <w:rFonts w:cstheme="minorHAnsi"/>
        </w:rPr>
        <w:t xml:space="preserve"> </w:t>
      </w:r>
      <w:r w:rsidRPr="00F16251">
        <w:rPr>
          <w:rFonts w:cstheme="minorHAnsi"/>
        </w:rPr>
        <w:t>innych</w:t>
      </w:r>
      <w:r w:rsidR="003B50ED" w:rsidRPr="00F16251">
        <w:rPr>
          <w:rFonts w:cstheme="minorHAnsi"/>
        </w:rPr>
        <w:t xml:space="preserve"> </w:t>
      </w:r>
      <w:r w:rsidRPr="00F16251">
        <w:rPr>
          <w:rFonts w:cstheme="minorHAnsi"/>
        </w:rPr>
        <w:t>uroczystości.</w:t>
      </w:r>
      <w:r w:rsidR="003B50ED" w:rsidRPr="00F16251">
        <w:rPr>
          <w:rFonts w:cstheme="minorHAnsi"/>
        </w:rPr>
        <w:t xml:space="preserve"> </w:t>
      </w:r>
      <w:r w:rsidRPr="00F16251">
        <w:rPr>
          <w:rFonts w:cstheme="minorHAnsi"/>
        </w:rPr>
        <w:t>Dziedzictwo</w:t>
      </w:r>
      <w:r w:rsidR="003B50ED" w:rsidRPr="00F16251">
        <w:rPr>
          <w:rFonts w:cstheme="minorHAnsi"/>
        </w:rPr>
        <w:t xml:space="preserve"> </w:t>
      </w:r>
      <w:r w:rsidRPr="00F16251">
        <w:rPr>
          <w:rFonts w:cstheme="minorHAnsi"/>
        </w:rPr>
        <w:t>kulturowe</w:t>
      </w:r>
      <w:r w:rsidR="003B50ED" w:rsidRPr="00F16251">
        <w:rPr>
          <w:rFonts w:cstheme="minorHAnsi"/>
        </w:rPr>
        <w:t xml:space="preserve"> </w:t>
      </w:r>
      <w:r w:rsidRPr="00F16251">
        <w:rPr>
          <w:rFonts w:cstheme="minorHAnsi"/>
        </w:rPr>
        <w:t>stanowią</w:t>
      </w:r>
      <w:r w:rsidR="003B50ED" w:rsidRPr="00F16251">
        <w:rPr>
          <w:rFonts w:cstheme="minorHAnsi"/>
        </w:rPr>
        <w:t xml:space="preserve"> </w:t>
      </w:r>
      <w:r w:rsidRPr="00F16251">
        <w:rPr>
          <w:rFonts w:cstheme="minorHAnsi"/>
        </w:rPr>
        <w:t>również</w:t>
      </w:r>
      <w:r w:rsidR="003B50ED" w:rsidRPr="00F16251">
        <w:rPr>
          <w:rFonts w:cstheme="minorHAnsi"/>
        </w:rPr>
        <w:t xml:space="preserve"> </w:t>
      </w:r>
      <w:r w:rsidRPr="00F16251">
        <w:rPr>
          <w:rFonts w:cstheme="minorHAnsi"/>
        </w:rPr>
        <w:t>zespoły</w:t>
      </w:r>
      <w:r w:rsidR="003B50ED" w:rsidRPr="00F16251">
        <w:rPr>
          <w:rFonts w:cstheme="minorHAnsi"/>
        </w:rPr>
        <w:t xml:space="preserve"> </w:t>
      </w:r>
      <w:r w:rsidRPr="00F16251">
        <w:rPr>
          <w:rFonts w:cstheme="minorHAnsi"/>
        </w:rPr>
        <w:t>ludowe</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orkiestry,</w:t>
      </w:r>
      <w:r w:rsidR="003B50ED" w:rsidRPr="00F16251">
        <w:rPr>
          <w:rFonts w:cstheme="minorHAnsi"/>
        </w:rPr>
        <w:t xml:space="preserve"> </w:t>
      </w:r>
      <w:r w:rsidRPr="00F16251">
        <w:rPr>
          <w:rFonts w:cstheme="minorHAnsi"/>
        </w:rPr>
        <w:t>które</w:t>
      </w:r>
      <w:r w:rsidR="003B50ED" w:rsidRPr="00F16251">
        <w:rPr>
          <w:rFonts w:cstheme="minorHAnsi"/>
        </w:rPr>
        <w:t xml:space="preserve"> </w:t>
      </w:r>
      <w:r w:rsidRPr="00F16251">
        <w:rPr>
          <w:rFonts w:cstheme="minorHAnsi"/>
        </w:rPr>
        <w:t>działają</w:t>
      </w:r>
      <w:r w:rsidR="003B50ED" w:rsidRPr="00F16251">
        <w:rPr>
          <w:rFonts w:cstheme="minorHAnsi"/>
        </w:rPr>
        <w:t xml:space="preserve"> </w:t>
      </w:r>
      <w:r w:rsidRPr="00F16251">
        <w:rPr>
          <w:rFonts w:cstheme="minorHAnsi"/>
        </w:rPr>
        <w:t>w</w:t>
      </w:r>
      <w:r w:rsidR="003B50ED" w:rsidRPr="00F16251">
        <w:rPr>
          <w:rFonts w:cstheme="minorHAnsi"/>
        </w:rPr>
        <w:t xml:space="preserve"> </w:t>
      </w:r>
      <w:r w:rsidRPr="00F16251">
        <w:rPr>
          <w:rFonts w:cstheme="minorHAnsi"/>
        </w:rPr>
        <w:t>każdej</w:t>
      </w:r>
      <w:r w:rsidR="003B50ED" w:rsidRPr="00F16251">
        <w:rPr>
          <w:rFonts w:cstheme="minorHAnsi"/>
        </w:rPr>
        <w:t xml:space="preserve"> </w:t>
      </w:r>
      <w:r w:rsidRPr="00F16251">
        <w:rPr>
          <w:rFonts w:cstheme="minorHAnsi"/>
        </w:rPr>
        <w:t>z</w:t>
      </w:r>
      <w:r w:rsidR="003B50ED" w:rsidRPr="00F16251">
        <w:rPr>
          <w:rFonts w:cstheme="minorHAnsi"/>
        </w:rPr>
        <w:t xml:space="preserve"> </w:t>
      </w:r>
      <w:r w:rsidRPr="00F16251">
        <w:rPr>
          <w:rFonts w:cstheme="minorHAnsi"/>
        </w:rPr>
        <w:t>gmin</w:t>
      </w:r>
      <w:r w:rsidR="003B50ED" w:rsidRPr="00F16251">
        <w:rPr>
          <w:rFonts w:cstheme="minorHAnsi"/>
        </w:rPr>
        <w:t xml:space="preserve"> </w:t>
      </w:r>
      <w:r w:rsidRPr="00F16251">
        <w:rPr>
          <w:rFonts w:cstheme="minorHAnsi"/>
        </w:rPr>
        <w:t>należących</w:t>
      </w:r>
      <w:r w:rsidR="003B50ED" w:rsidRPr="00F16251">
        <w:rPr>
          <w:rFonts w:cstheme="minorHAnsi"/>
        </w:rPr>
        <w:t xml:space="preserve"> </w:t>
      </w:r>
      <w:r w:rsidRPr="00F16251">
        <w:rPr>
          <w:rFonts w:cstheme="minorHAnsi"/>
        </w:rPr>
        <w:t>do</w:t>
      </w:r>
      <w:r w:rsidR="003B50ED" w:rsidRPr="00F16251">
        <w:rPr>
          <w:rFonts w:cstheme="minorHAnsi"/>
        </w:rPr>
        <w:t xml:space="preserve"> </w:t>
      </w:r>
      <w:r w:rsidRPr="00F16251">
        <w:rPr>
          <w:rFonts w:cstheme="minorHAnsi"/>
        </w:rPr>
        <w:t>LGD.</w:t>
      </w:r>
    </w:p>
    <w:p w14:paraId="555DDDC4" w14:textId="77777777" w:rsidR="00224658" w:rsidRPr="00F16251" w:rsidRDefault="00224658" w:rsidP="00A26C26">
      <w:pPr>
        <w:spacing w:line="276" w:lineRule="auto"/>
        <w:rPr>
          <w:rFonts w:cstheme="minorHAnsi"/>
        </w:rPr>
      </w:pPr>
    </w:p>
    <w:p w14:paraId="729FDE36" w14:textId="4587E5D0" w:rsidR="00224658" w:rsidRPr="00F16251" w:rsidRDefault="00224658" w:rsidP="008A412F">
      <w:pPr>
        <w:pStyle w:val="Nagwek2"/>
        <w:numPr>
          <w:ilvl w:val="0"/>
          <w:numId w:val="11"/>
        </w:numPr>
        <w:spacing w:before="0" w:line="276" w:lineRule="auto"/>
        <w:rPr>
          <w:rFonts w:asciiTheme="minorHAnsi" w:hAnsiTheme="minorHAnsi" w:cstheme="minorHAnsi"/>
          <w:b/>
          <w:bCs/>
          <w:sz w:val="22"/>
          <w:szCs w:val="22"/>
        </w:rPr>
      </w:pPr>
      <w:bookmarkStart w:id="56" w:name="_Toc136260202"/>
      <w:bookmarkStart w:id="57" w:name="_Toc136944411"/>
      <w:r w:rsidRPr="00F16251">
        <w:rPr>
          <w:rFonts w:asciiTheme="minorHAnsi" w:hAnsiTheme="minorHAnsi" w:cstheme="minorHAnsi"/>
          <w:b/>
          <w:bCs/>
          <w:sz w:val="22"/>
          <w:szCs w:val="22"/>
        </w:rPr>
        <w:t>Obszary</w:t>
      </w:r>
      <w:r w:rsidR="003B50ED" w:rsidRPr="00F16251">
        <w:rPr>
          <w:rFonts w:asciiTheme="minorHAnsi" w:hAnsiTheme="minorHAnsi" w:cstheme="minorHAnsi"/>
          <w:b/>
          <w:bCs/>
          <w:sz w:val="22"/>
          <w:szCs w:val="22"/>
        </w:rPr>
        <w:t xml:space="preserve"> </w:t>
      </w:r>
      <w:r w:rsidRPr="00F16251">
        <w:rPr>
          <w:rFonts w:asciiTheme="minorHAnsi" w:hAnsiTheme="minorHAnsi" w:cstheme="minorHAnsi"/>
          <w:b/>
          <w:bCs/>
          <w:sz w:val="22"/>
          <w:szCs w:val="22"/>
        </w:rPr>
        <w:t>atrakcyjne</w:t>
      </w:r>
      <w:r w:rsidR="003B50ED" w:rsidRPr="00F16251">
        <w:rPr>
          <w:rFonts w:asciiTheme="minorHAnsi" w:hAnsiTheme="minorHAnsi" w:cstheme="minorHAnsi"/>
          <w:b/>
          <w:bCs/>
          <w:sz w:val="22"/>
          <w:szCs w:val="22"/>
        </w:rPr>
        <w:t xml:space="preserve"> </w:t>
      </w:r>
      <w:r w:rsidRPr="00F16251">
        <w:rPr>
          <w:rFonts w:asciiTheme="minorHAnsi" w:hAnsiTheme="minorHAnsi" w:cstheme="minorHAnsi"/>
          <w:b/>
          <w:bCs/>
          <w:sz w:val="22"/>
          <w:szCs w:val="22"/>
        </w:rPr>
        <w:t>turystycznie</w:t>
      </w:r>
      <w:bookmarkEnd w:id="56"/>
      <w:bookmarkEnd w:id="57"/>
      <w:r w:rsidR="003B50ED" w:rsidRPr="00F16251">
        <w:rPr>
          <w:rFonts w:asciiTheme="minorHAnsi" w:hAnsiTheme="minorHAnsi" w:cstheme="minorHAnsi"/>
          <w:b/>
          <w:bCs/>
          <w:sz w:val="22"/>
          <w:szCs w:val="22"/>
        </w:rPr>
        <w:t xml:space="preserve"> </w:t>
      </w:r>
    </w:p>
    <w:p w14:paraId="7A1CA71D" w14:textId="386412AF" w:rsidR="00224658" w:rsidRPr="00A26C26" w:rsidRDefault="00224658" w:rsidP="00A26C26">
      <w:pPr>
        <w:spacing w:line="276" w:lineRule="auto"/>
        <w:ind w:firstLine="360"/>
        <w:jc w:val="both"/>
        <w:rPr>
          <w:rFonts w:cstheme="minorHAnsi"/>
        </w:rPr>
      </w:pPr>
      <w:r w:rsidRPr="00F16251">
        <w:rPr>
          <w:rFonts w:cstheme="minorHAnsi"/>
        </w:rPr>
        <w:t>Dzięki</w:t>
      </w:r>
      <w:r w:rsidR="003B50ED" w:rsidRPr="00F16251">
        <w:rPr>
          <w:rFonts w:cstheme="minorHAnsi"/>
        </w:rPr>
        <w:t xml:space="preserve"> </w:t>
      </w:r>
      <w:r w:rsidRPr="00F16251">
        <w:rPr>
          <w:rFonts w:cstheme="minorHAnsi"/>
        </w:rPr>
        <w:t>stosunkowo</w:t>
      </w:r>
      <w:r w:rsidR="003B50ED" w:rsidRPr="00F16251">
        <w:rPr>
          <w:rFonts w:cstheme="minorHAnsi"/>
        </w:rPr>
        <w:t xml:space="preserve"> </w:t>
      </w:r>
      <w:r w:rsidRPr="00F16251">
        <w:rPr>
          <w:rFonts w:cstheme="minorHAnsi"/>
        </w:rPr>
        <w:t>bogatej</w:t>
      </w:r>
      <w:r w:rsidR="003B50ED" w:rsidRPr="00F16251">
        <w:rPr>
          <w:rFonts w:cstheme="minorHAnsi"/>
        </w:rPr>
        <w:t xml:space="preserve"> </w:t>
      </w:r>
      <w:r w:rsidRPr="00F16251">
        <w:rPr>
          <w:rFonts w:cstheme="minorHAnsi"/>
        </w:rPr>
        <w:t>rzeźbie</w:t>
      </w:r>
      <w:r w:rsidR="003B50ED" w:rsidRPr="00F16251">
        <w:rPr>
          <w:rFonts w:cstheme="minorHAnsi"/>
        </w:rPr>
        <w:t xml:space="preserve"> </w:t>
      </w:r>
      <w:r w:rsidRPr="00F16251">
        <w:rPr>
          <w:rFonts w:cstheme="minorHAnsi"/>
        </w:rPr>
        <w:t>terenu</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urozmaiconym</w:t>
      </w:r>
      <w:r w:rsidR="003B50ED" w:rsidRPr="00F16251">
        <w:rPr>
          <w:rFonts w:cstheme="minorHAnsi"/>
        </w:rPr>
        <w:t xml:space="preserve"> </w:t>
      </w:r>
      <w:r w:rsidRPr="00F16251">
        <w:rPr>
          <w:rFonts w:cstheme="minorHAnsi"/>
        </w:rPr>
        <w:t>warunkom</w:t>
      </w:r>
      <w:r w:rsidR="003B50ED" w:rsidRPr="00F16251">
        <w:rPr>
          <w:rFonts w:cstheme="minorHAnsi"/>
        </w:rPr>
        <w:t xml:space="preserve"> </w:t>
      </w:r>
      <w:r w:rsidRPr="00F16251">
        <w:rPr>
          <w:rFonts w:cstheme="minorHAnsi"/>
        </w:rPr>
        <w:t>glebowym</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wodnym</w:t>
      </w:r>
      <w:r w:rsidR="003B50ED" w:rsidRPr="00F16251">
        <w:rPr>
          <w:rFonts w:cstheme="minorHAnsi"/>
        </w:rPr>
        <w:t xml:space="preserve"> </w:t>
      </w:r>
      <w:r w:rsidRPr="00F16251">
        <w:rPr>
          <w:rFonts w:cstheme="minorHAnsi"/>
        </w:rPr>
        <w:t>obszar</w:t>
      </w:r>
      <w:r w:rsidR="003B50ED" w:rsidRPr="00F16251">
        <w:rPr>
          <w:rFonts w:cstheme="minorHAnsi"/>
        </w:rPr>
        <w:t xml:space="preserve"> </w:t>
      </w:r>
      <w:r w:rsidRPr="00F16251">
        <w:rPr>
          <w:rFonts w:cstheme="minorHAnsi"/>
        </w:rPr>
        <w:t>LGD</w:t>
      </w:r>
      <w:r w:rsidR="003B50ED" w:rsidRPr="00F16251">
        <w:rPr>
          <w:rFonts w:cstheme="minorHAnsi"/>
        </w:rPr>
        <w:t xml:space="preserve"> </w:t>
      </w:r>
      <w:r w:rsidRPr="00F16251">
        <w:rPr>
          <w:rFonts w:cstheme="minorHAnsi"/>
        </w:rPr>
        <w:t>jest</w:t>
      </w:r>
      <w:r w:rsidR="003B50ED" w:rsidRPr="00F16251">
        <w:rPr>
          <w:rFonts w:cstheme="minorHAnsi"/>
        </w:rPr>
        <w:t xml:space="preserve"> </w:t>
      </w:r>
      <w:r w:rsidRPr="00F16251">
        <w:rPr>
          <w:rFonts w:cstheme="minorHAnsi"/>
        </w:rPr>
        <w:t>bardzo</w:t>
      </w:r>
      <w:r w:rsidR="003B50ED" w:rsidRPr="00F16251">
        <w:rPr>
          <w:rFonts w:cstheme="minorHAnsi"/>
        </w:rPr>
        <w:t xml:space="preserve"> </w:t>
      </w:r>
      <w:r w:rsidRPr="00F16251">
        <w:rPr>
          <w:rFonts w:cstheme="minorHAnsi"/>
        </w:rPr>
        <w:t>interesujący</w:t>
      </w:r>
      <w:r w:rsidR="003B50ED" w:rsidRPr="00F16251">
        <w:rPr>
          <w:rFonts w:cstheme="minorHAnsi"/>
        </w:rPr>
        <w:t xml:space="preserve"> </w:t>
      </w:r>
      <w:r w:rsidRPr="00F16251">
        <w:rPr>
          <w:rFonts w:cstheme="minorHAnsi"/>
        </w:rPr>
        <w:t>pod</w:t>
      </w:r>
      <w:r w:rsidR="003B50ED" w:rsidRPr="00F16251">
        <w:rPr>
          <w:rFonts w:cstheme="minorHAnsi"/>
        </w:rPr>
        <w:t xml:space="preserve"> </w:t>
      </w:r>
      <w:r w:rsidRPr="00F16251">
        <w:rPr>
          <w:rFonts w:cstheme="minorHAnsi"/>
        </w:rPr>
        <w:t>względem</w:t>
      </w:r>
      <w:r w:rsidR="003B50ED" w:rsidRPr="00F16251">
        <w:rPr>
          <w:rFonts w:cstheme="minorHAnsi"/>
        </w:rPr>
        <w:t xml:space="preserve"> </w:t>
      </w:r>
      <w:r w:rsidRPr="00F16251">
        <w:rPr>
          <w:rFonts w:cstheme="minorHAnsi"/>
        </w:rPr>
        <w:t>przyrodniczym</w:t>
      </w:r>
      <w:r w:rsidR="003B50ED" w:rsidRPr="00F16251">
        <w:rPr>
          <w:rFonts w:cstheme="minorHAnsi"/>
        </w:rPr>
        <w:t xml:space="preserve"> </w:t>
      </w:r>
      <w:r w:rsidRPr="00F16251">
        <w:rPr>
          <w:rFonts w:cstheme="minorHAnsi"/>
        </w:rPr>
        <w:t>i</w:t>
      </w:r>
      <w:r w:rsidR="003B50ED" w:rsidRPr="00F16251">
        <w:rPr>
          <w:rFonts w:cstheme="minorHAnsi"/>
        </w:rPr>
        <w:t xml:space="preserve"> </w:t>
      </w:r>
      <w:r w:rsidRPr="00F16251">
        <w:rPr>
          <w:rFonts w:cstheme="minorHAnsi"/>
        </w:rPr>
        <w:t>turystycznym.</w:t>
      </w:r>
      <w:r w:rsidR="003B50ED" w:rsidRPr="00F16251">
        <w:rPr>
          <w:rFonts w:cstheme="minorHAnsi"/>
        </w:rPr>
        <w:t xml:space="preserve"> </w:t>
      </w:r>
      <w:r w:rsidRPr="00F16251">
        <w:rPr>
          <w:rFonts w:cstheme="minorHAnsi"/>
        </w:rPr>
        <w:t>Występują</w:t>
      </w:r>
      <w:r w:rsidR="003B50ED" w:rsidRPr="00F16251">
        <w:rPr>
          <w:rFonts w:cstheme="minorHAnsi"/>
        </w:rPr>
        <w:t xml:space="preserve"> </w:t>
      </w:r>
      <w:r w:rsidRPr="00F16251">
        <w:rPr>
          <w:rFonts w:cstheme="minorHAnsi"/>
        </w:rPr>
        <w:t>na</w:t>
      </w:r>
      <w:r w:rsidR="003B50ED" w:rsidRPr="00F16251">
        <w:rPr>
          <w:rFonts w:cstheme="minorHAnsi"/>
        </w:rPr>
        <w:t xml:space="preserve"> </w:t>
      </w:r>
      <w:r w:rsidRPr="00F16251">
        <w:rPr>
          <w:rFonts w:cstheme="minorHAnsi"/>
        </w:rPr>
        <w:t>nim</w:t>
      </w:r>
      <w:r w:rsidR="003B50ED" w:rsidRPr="00F16251">
        <w:rPr>
          <w:rFonts w:cstheme="minorHAnsi"/>
        </w:rPr>
        <w:t xml:space="preserve"> </w:t>
      </w:r>
      <w:r w:rsidRPr="00F16251">
        <w:rPr>
          <w:rFonts w:cstheme="minorHAnsi"/>
        </w:rPr>
        <w:t>zespoły</w:t>
      </w:r>
      <w:r w:rsidR="003B50ED" w:rsidRPr="00F16251">
        <w:rPr>
          <w:rFonts w:cstheme="minorHAnsi"/>
        </w:rPr>
        <w:t xml:space="preserve"> </w:t>
      </w:r>
      <w:r w:rsidRPr="00F16251">
        <w:rPr>
          <w:rFonts w:cstheme="minorHAnsi"/>
        </w:rPr>
        <w:t>roślinności</w:t>
      </w:r>
      <w:r w:rsidR="003B50ED" w:rsidRPr="00F16251">
        <w:rPr>
          <w:rFonts w:cstheme="minorHAnsi"/>
        </w:rPr>
        <w:t xml:space="preserve"> </w:t>
      </w:r>
      <w:r w:rsidRPr="00F16251">
        <w:rPr>
          <w:rFonts w:cstheme="minorHAnsi"/>
        </w:rPr>
        <w:t>leśnej,</w:t>
      </w:r>
      <w:r w:rsidR="003B50ED" w:rsidRPr="00F16251">
        <w:rPr>
          <w:rFonts w:cstheme="minorHAnsi"/>
        </w:rPr>
        <w:t xml:space="preserve"> </w:t>
      </w:r>
      <w:r w:rsidR="00E33680" w:rsidRPr="00F16251">
        <w:rPr>
          <w:rFonts w:cstheme="minorHAnsi"/>
        </w:rPr>
        <w:br/>
      </w:r>
      <w:r w:rsidRPr="00F16251">
        <w:rPr>
          <w:rFonts w:cstheme="minorHAnsi"/>
        </w:rPr>
        <w:lastRenderedPageBreak/>
        <w:t>w</w:t>
      </w:r>
      <w:r w:rsidR="003B50ED" w:rsidRPr="00F16251">
        <w:rPr>
          <w:rFonts w:cstheme="minorHAnsi"/>
        </w:rPr>
        <w:t xml:space="preserve"> </w:t>
      </w:r>
      <w:r w:rsidRPr="00F16251">
        <w:rPr>
          <w:rFonts w:cstheme="minorHAnsi"/>
        </w:rPr>
        <w:t>tym</w:t>
      </w:r>
      <w:r w:rsidR="003B50ED" w:rsidRPr="00F16251">
        <w:rPr>
          <w:rFonts w:cstheme="minorHAnsi"/>
        </w:rPr>
        <w:t xml:space="preserve"> </w:t>
      </w:r>
      <w:r w:rsidRPr="00F16251">
        <w:rPr>
          <w:rFonts w:cstheme="minorHAnsi"/>
        </w:rPr>
        <w:t>lasy</w:t>
      </w:r>
      <w:r w:rsidR="003B50ED" w:rsidRPr="00F16251">
        <w:rPr>
          <w:rFonts w:cstheme="minorHAnsi"/>
        </w:rPr>
        <w:t xml:space="preserve"> </w:t>
      </w:r>
      <w:r w:rsidRPr="00F16251">
        <w:rPr>
          <w:rFonts w:cstheme="minorHAnsi"/>
        </w:rPr>
        <w:t>o</w:t>
      </w:r>
      <w:r w:rsidR="003B50ED" w:rsidRPr="00F16251">
        <w:rPr>
          <w:rFonts w:cstheme="minorHAnsi"/>
        </w:rPr>
        <w:t xml:space="preserve"> </w:t>
      </w:r>
      <w:r w:rsidRPr="00F16251">
        <w:rPr>
          <w:rFonts w:cstheme="minorHAnsi"/>
        </w:rPr>
        <w:t>charakterze</w:t>
      </w:r>
      <w:r w:rsidR="003B50ED" w:rsidRPr="00F16251">
        <w:rPr>
          <w:rFonts w:cstheme="minorHAnsi"/>
        </w:rPr>
        <w:t xml:space="preserve"> </w:t>
      </w:r>
      <w:r w:rsidRPr="00F16251">
        <w:rPr>
          <w:rFonts w:cstheme="minorHAnsi"/>
        </w:rPr>
        <w:t>zbliżonym</w:t>
      </w:r>
      <w:r w:rsidR="003B50ED">
        <w:rPr>
          <w:rFonts w:cstheme="minorHAnsi"/>
        </w:rPr>
        <w:t xml:space="preserve"> </w:t>
      </w:r>
      <w:r w:rsidRPr="00A26C26">
        <w:rPr>
          <w:rFonts w:cstheme="minorHAnsi"/>
        </w:rPr>
        <w:t>do</w:t>
      </w:r>
      <w:r w:rsidR="003B50ED">
        <w:rPr>
          <w:rFonts w:cstheme="minorHAnsi"/>
        </w:rPr>
        <w:t xml:space="preserve"> </w:t>
      </w:r>
      <w:r w:rsidRPr="00A26C26">
        <w:rPr>
          <w:rFonts w:cstheme="minorHAnsi"/>
        </w:rPr>
        <w:t>naturalnego,</w:t>
      </w:r>
      <w:r w:rsidR="003B50ED">
        <w:rPr>
          <w:rFonts w:cstheme="minorHAnsi"/>
        </w:rPr>
        <w:t xml:space="preserve"> </w:t>
      </w:r>
      <w:r w:rsidRPr="00A26C26">
        <w:rPr>
          <w:rFonts w:cstheme="minorHAnsi"/>
        </w:rPr>
        <w:t>zbiorowiska</w:t>
      </w:r>
      <w:r w:rsidR="003B50ED">
        <w:rPr>
          <w:rFonts w:cstheme="minorHAnsi"/>
        </w:rPr>
        <w:t xml:space="preserve"> </w:t>
      </w:r>
      <w:proofErr w:type="spellStart"/>
      <w:r w:rsidRPr="00A26C26">
        <w:rPr>
          <w:rFonts w:cstheme="minorHAnsi"/>
        </w:rPr>
        <w:t>hydrogeniczne</w:t>
      </w:r>
      <w:proofErr w:type="spellEnd"/>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torfowiskach</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bagnach,</w:t>
      </w:r>
      <w:r w:rsidR="003B50ED">
        <w:rPr>
          <w:rFonts w:cstheme="minorHAnsi"/>
        </w:rPr>
        <w:t xml:space="preserve"> </w:t>
      </w:r>
      <w:r w:rsidRPr="00A26C26">
        <w:rPr>
          <w:rFonts w:cstheme="minorHAnsi"/>
        </w:rPr>
        <w:t>rozległe</w:t>
      </w:r>
      <w:r w:rsidR="003B50ED">
        <w:rPr>
          <w:rFonts w:cstheme="minorHAnsi"/>
        </w:rPr>
        <w:t xml:space="preserve"> </w:t>
      </w:r>
      <w:r w:rsidRPr="00A26C26">
        <w:rPr>
          <w:rFonts w:cstheme="minorHAnsi"/>
        </w:rPr>
        <w:t>mokradła</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zbiorniki</w:t>
      </w:r>
      <w:r w:rsidR="003B50ED">
        <w:rPr>
          <w:rFonts w:cstheme="minorHAnsi"/>
        </w:rPr>
        <w:t xml:space="preserve"> </w:t>
      </w:r>
      <w:r w:rsidRPr="00A26C26">
        <w:rPr>
          <w:rFonts w:cstheme="minorHAnsi"/>
        </w:rPr>
        <w:t>wodne.</w:t>
      </w:r>
      <w:r w:rsidR="003B50ED">
        <w:rPr>
          <w:rFonts w:cstheme="minorHAnsi"/>
        </w:rPr>
        <w:t xml:space="preserve"> </w:t>
      </w:r>
      <w:r w:rsidRPr="00A26C26">
        <w:rPr>
          <w:rFonts w:cstheme="minorHAnsi"/>
        </w:rPr>
        <w:t>Stanowią</w:t>
      </w:r>
      <w:r w:rsidR="003B50ED">
        <w:rPr>
          <w:rFonts w:cstheme="minorHAnsi"/>
        </w:rPr>
        <w:t xml:space="preserve"> </w:t>
      </w:r>
      <w:r w:rsidRPr="00A26C26">
        <w:rPr>
          <w:rFonts w:cstheme="minorHAnsi"/>
        </w:rPr>
        <w:t>one</w:t>
      </w:r>
      <w:r w:rsidR="003B50ED">
        <w:rPr>
          <w:rFonts w:cstheme="minorHAnsi"/>
        </w:rPr>
        <w:t xml:space="preserve"> </w:t>
      </w:r>
      <w:r w:rsidRPr="00A26C26">
        <w:rPr>
          <w:rFonts w:cstheme="minorHAnsi"/>
        </w:rPr>
        <w:t>dogodne</w:t>
      </w:r>
      <w:r w:rsidR="003B50ED">
        <w:rPr>
          <w:rFonts w:cstheme="minorHAnsi"/>
        </w:rPr>
        <w:t xml:space="preserve"> </w:t>
      </w:r>
      <w:r w:rsidRPr="00A26C26">
        <w:rPr>
          <w:rFonts w:cstheme="minorHAnsi"/>
        </w:rPr>
        <w:t>miejsca</w:t>
      </w:r>
      <w:r w:rsidR="003B50ED">
        <w:rPr>
          <w:rFonts w:cstheme="minorHAnsi"/>
        </w:rPr>
        <w:t xml:space="preserve"> </w:t>
      </w:r>
      <w:r w:rsidRPr="00A26C26">
        <w:rPr>
          <w:rFonts w:cstheme="minorHAnsi"/>
        </w:rPr>
        <w:t>do</w:t>
      </w:r>
      <w:r w:rsidR="003B50ED">
        <w:rPr>
          <w:rFonts w:cstheme="minorHAnsi"/>
        </w:rPr>
        <w:t xml:space="preserve"> </w:t>
      </w:r>
      <w:r w:rsidRPr="00A26C26">
        <w:rPr>
          <w:rFonts w:cstheme="minorHAnsi"/>
        </w:rPr>
        <w:t>bytowania,</w:t>
      </w:r>
      <w:r w:rsidR="003B50ED">
        <w:rPr>
          <w:rFonts w:cstheme="minorHAnsi"/>
        </w:rPr>
        <w:t xml:space="preserve"> </w:t>
      </w:r>
      <w:r w:rsidRPr="00A26C26">
        <w:rPr>
          <w:rFonts w:cstheme="minorHAnsi"/>
        </w:rPr>
        <w:t>rozmnażania</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zimowania</w:t>
      </w:r>
      <w:r w:rsidR="003B50ED">
        <w:rPr>
          <w:rFonts w:cstheme="minorHAnsi"/>
        </w:rPr>
        <w:t xml:space="preserve"> </w:t>
      </w:r>
      <w:r w:rsidRPr="00A26C26">
        <w:rPr>
          <w:rFonts w:cstheme="minorHAnsi"/>
        </w:rPr>
        <w:t>wielu</w:t>
      </w:r>
      <w:r w:rsidR="003B50ED">
        <w:rPr>
          <w:rFonts w:cstheme="minorHAnsi"/>
        </w:rPr>
        <w:t xml:space="preserve"> </w:t>
      </w:r>
      <w:r w:rsidRPr="00A26C26">
        <w:rPr>
          <w:rFonts w:cstheme="minorHAnsi"/>
        </w:rPr>
        <w:t>gatunków</w:t>
      </w:r>
      <w:r w:rsidR="003B50ED">
        <w:rPr>
          <w:rFonts w:cstheme="minorHAnsi"/>
        </w:rPr>
        <w:t xml:space="preserve"> </w:t>
      </w:r>
      <w:r w:rsidRPr="00A26C26">
        <w:rPr>
          <w:rFonts w:cstheme="minorHAnsi"/>
        </w:rPr>
        <w:t>płazów,</w:t>
      </w:r>
      <w:r w:rsidR="003B50ED">
        <w:rPr>
          <w:rFonts w:cstheme="minorHAnsi"/>
        </w:rPr>
        <w:t xml:space="preserve"> </w:t>
      </w:r>
      <w:r w:rsidRPr="00A26C26">
        <w:rPr>
          <w:rFonts w:cstheme="minorHAnsi"/>
        </w:rPr>
        <w:t>gadów,</w:t>
      </w:r>
      <w:r w:rsidR="003B50ED">
        <w:rPr>
          <w:rFonts w:cstheme="minorHAnsi"/>
        </w:rPr>
        <w:t xml:space="preserve"> </w:t>
      </w:r>
      <w:r w:rsidRPr="00A26C26">
        <w:rPr>
          <w:rFonts w:cstheme="minorHAnsi"/>
        </w:rPr>
        <w:t>owadów,</w:t>
      </w:r>
      <w:r w:rsidR="003B50ED">
        <w:rPr>
          <w:rFonts w:cstheme="minorHAnsi"/>
        </w:rPr>
        <w:t xml:space="preserve"> </w:t>
      </w:r>
      <w:r w:rsidRPr="00A26C26">
        <w:rPr>
          <w:rFonts w:cstheme="minorHAnsi"/>
        </w:rPr>
        <w:t>ptaków</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ssaków.</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obszarze</w:t>
      </w:r>
      <w:r w:rsidR="003B50ED">
        <w:rPr>
          <w:rFonts w:cstheme="minorHAnsi"/>
        </w:rPr>
        <w:t xml:space="preserve"> </w:t>
      </w:r>
      <w:r w:rsidRPr="00A26C26">
        <w:rPr>
          <w:rFonts w:cstheme="minorHAnsi"/>
        </w:rPr>
        <w:t>występują</w:t>
      </w:r>
      <w:r w:rsidR="003B50ED">
        <w:rPr>
          <w:rFonts w:cstheme="minorHAnsi"/>
        </w:rPr>
        <w:t xml:space="preserve"> </w:t>
      </w:r>
      <w:r w:rsidRPr="00A26C26">
        <w:rPr>
          <w:rFonts w:cstheme="minorHAnsi"/>
        </w:rPr>
        <w:t>również</w:t>
      </w:r>
      <w:r w:rsidR="003B50ED">
        <w:rPr>
          <w:rFonts w:cstheme="minorHAnsi"/>
        </w:rPr>
        <w:t xml:space="preserve"> </w:t>
      </w:r>
      <w:r w:rsidRPr="00A26C26">
        <w:rPr>
          <w:rFonts w:cstheme="minorHAnsi"/>
        </w:rPr>
        <w:t>gatunki</w:t>
      </w:r>
      <w:r w:rsidR="003B50ED">
        <w:rPr>
          <w:rFonts w:cstheme="minorHAnsi"/>
        </w:rPr>
        <w:t xml:space="preserve"> </w:t>
      </w:r>
      <w:r w:rsidRPr="00A26C26">
        <w:rPr>
          <w:rFonts w:cstheme="minorHAnsi"/>
        </w:rPr>
        <w:t>narażone</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wyginięcie</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rośliny</w:t>
      </w:r>
      <w:r w:rsidR="003B50ED">
        <w:rPr>
          <w:rFonts w:cstheme="minorHAnsi"/>
        </w:rPr>
        <w:t xml:space="preserve"> </w:t>
      </w:r>
      <w:r w:rsidRPr="00A26C26">
        <w:rPr>
          <w:rFonts w:cstheme="minorHAnsi"/>
        </w:rPr>
        <w:t>rzadko</w:t>
      </w:r>
      <w:r w:rsidR="003B50ED">
        <w:rPr>
          <w:rFonts w:cstheme="minorHAnsi"/>
        </w:rPr>
        <w:t xml:space="preserve"> </w:t>
      </w:r>
      <w:r w:rsidRPr="00A26C26">
        <w:rPr>
          <w:rFonts w:cstheme="minorHAnsi"/>
        </w:rPr>
        <w:t>występujące,</w:t>
      </w:r>
      <w:r w:rsidR="003B50ED">
        <w:rPr>
          <w:rFonts w:cstheme="minorHAnsi"/>
        </w:rPr>
        <w:t xml:space="preserve"> </w:t>
      </w:r>
      <w:r w:rsidRPr="00A26C26">
        <w:rPr>
          <w:rFonts w:cstheme="minorHAnsi"/>
        </w:rPr>
        <w:t>jak</w:t>
      </w:r>
      <w:r w:rsidR="003B50ED">
        <w:rPr>
          <w:rFonts w:cstheme="minorHAnsi"/>
        </w:rPr>
        <w:t xml:space="preserve"> </w:t>
      </w:r>
      <w:r w:rsidRPr="00A26C26">
        <w:rPr>
          <w:rFonts w:cstheme="minorHAnsi"/>
        </w:rPr>
        <w:t>widłak</w:t>
      </w:r>
      <w:r w:rsidR="003B50ED">
        <w:rPr>
          <w:rFonts w:cstheme="minorHAnsi"/>
        </w:rPr>
        <w:t xml:space="preserve"> </w:t>
      </w:r>
      <w:r w:rsidRPr="00A26C26">
        <w:rPr>
          <w:rFonts w:cstheme="minorHAnsi"/>
        </w:rPr>
        <w:t>spłaszczony,</w:t>
      </w:r>
      <w:r w:rsidR="003B50ED">
        <w:rPr>
          <w:rFonts w:cstheme="minorHAnsi"/>
        </w:rPr>
        <w:t xml:space="preserve"> </w:t>
      </w:r>
      <w:r w:rsidRPr="00A26C26">
        <w:rPr>
          <w:rFonts w:cstheme="minorHAnsi"/>
        </w:rPr>
        <w:t>rosiczka</w:t>
      </w:r>
      <w:r w:rsidR="003B50ED">
        <w:rPr>
          <w:rFonts w:cstheme="minorHAnsi"/>
        </w:rPr>
        <w:t xml:space="preserve"> </w:t>
      </w:r>
      <w:r w:rsidRPr="00A26C26">
        <w:rPr>
          <w:rFonts w:cstheme="minorHAnsi"/>
        </w:rPr>
        <w:t>okrągłolistna,</w:t>
      </w:r>
      <w:r w:rsidR="003B50ED">
        <w:rPr>
          <w:rFonts w:cstheme="minorHAnsi"/>
        </w:rPr>
        <w:t xml:space="preserve"> </w:t>
      </w:r>
      <w:r w:rsidRPr="00A26C26">
        <w:rPr>
          <w:rFonts w:cstheme="minorHAnsi"/>
        </w:rPr>
        <w:t>goździk</w:t>
      </w:r>
      <w:r w:rsidR="003B50ED">
        <w:rPr>
          <w:rFonts w:cstheme="minorHAnsi"/>
        </w:rPr>
        <w:t xml:space="preserve"> </w:t>
      </w:r>
      <w:r w:rsidRPr="00A26C26">
        <w:rPr>
          <w:rFonts w:cstheme="minorHAnsi"/>
        </w:rPr>
        <w:t>pyszny,</w:t>
      </w:r>
      <w:r w:rsidR="003B50ED">
        <w:rPr>
          <w:rFonts w:cstheme="minorHAnsi"/>
        </w:rPr>
        <w:t xml:space="preserve"> </w:t>
      </w:r>
      <w:r w:rsidRPr="00A26C26">
        <w:rPr>
          <w:rFonts w:cstheme="minorHAnsi"/>
        </w:rPr>
        <w:t>lilia</w:t>
      </w:r>
      <w:r w:rsidR="003B50ED">
        <w:rPr>
          <w:rFonts w:cstheme="minorHAnsi"/>
        </w:rPr>
        <w:t xml:space="preserve"> </w:t>
      </w:r>
      <w:r w:rsidRPr="00A26C26">
        <w:rPr>
          <w:rFonts w:cstheme="minorHAnsi"/>
        </w:rPr>
        <w:t>złotogłów,</w:t>
      </w:r>
      <w:r w:rsidR="003B50ED">
        <w:rPr>
          <w:rFonts w:cstheme="minorHAnsi"/>
        </w:rPr>
        <w:t xml:space="preserve"> </w:t>
      </w:r>
      <w:r w:rsidRPr="00A26C26">
        <w:rPr>
          <w:rFonts w:cstheme="minorHAnsi"/>
        </w:rPr>
        <w:t>wawrzynek</w:t>
      </w:r>
      <w:r w:rsidR="003B50ED">
        <w:rPr>
          <w:rFonts w:cstheme="minorHAnsi"/>
        </w:rPr>
        <w:t xml:space="preserve"> </w:t>
      </w:r>
      <w:proofErr w:type="spellStart"/>
      <w:r w:rsidRPr="00A26C26">
        <w:rPr>
          <w:rFonts w:cstheme="minorHAnsi"/>
        </w:rPr>
        <w:t>wilczełyko</w:t>
      </w:r>
      <w:proofErr w:type="spellEnd"/>
      <w:r w:rsidRPr="00A26C26">
        <w:rPr>
          <w:rFonts w:cstheme="minorHAnsi"/>
        </w:rPr>
        <w:t>,</w:t>
      </w:r>
      <w:r w:rsidR="003B50ED">
        <w:rPr>
          <w:rFonts w:cstheme="minorHAnsi"/>
        </w:rPr>
        <w:t xml:space="preserve"> </w:t>
      </w:r>
      <w:r w:rsidRPr="00A26C26">
        <w:rPr>
          <w:rFonts w:cstheme="minorHAnsi"/>
        </w:rPr>
        <w:t>barwinek</w:t>
      </w:r>
      <w:r w:rsidR="003B50ED">
        <w:rPr>
          <w:rFonts w:cstheme="minorHAnsi"/>
        </w:rPr>
        <w:t xml:space="preserve"> </w:t>
      </w:r>
      <w:r w:rsidRPr="00A26C26">
        <w:rPr>
          <w:rFonts w:cstheme="minorHAnsi"/>
        </w:rPr>
        <w:t>pospolity,</w:t>
      </w:r>
      <w:r w:rsidR="003B50ED">
        <w:rPr>
          <w:rFonts w:cstheme="minorHAnsi"/>
        </w:rPr>
        <w:t xml:space="preserve"> </w:t>
      </w:r>
      <w:r w:rsidRPr="00A26C26">
        <w:rPr>
          <w:rFonts w:cstheme="minorHAnsi"/>
        </w:rPr>
        <w:t>czosnek</w:t>
      </w:r>
      <w:r w:rsidR="003B50ED">
        <w:rPr>
          <w:rFonts w:cstheme="minorHAnsi"/>
        </w:rPr>
        <w:t xml:space="preserve"> </w:t>
      </w:r>
      <w:r w:rsidRPr="00A26C26">
        <w:rPr>
          <w:rFonts w:cstheme="minorHAnsi"/>
        </w:rPr>
        <w:t>wężowy</w:t>
      </w:r>
      <w:r w:rsidR="003B50ED">
        <w:rPr>
          <w:rFonts w:cstheme="minorHAnsi"/>
        </w:rPr>
        <w:t xml:space="preserve"> </w:t>
      </w:r>
      <w:r w:rsidRPr="00A26C26">
        <w:rPr>
          <w:rFonts w:cstheme="minorHAnsi"/>
        </w:rPr>
        <w:t>i</w:t>
      </w:r>
      <w:r w:rsidR="003B50ED">
        <w:rPr>
          <w:rFonts w:cstheme="minorHAnsi"/>
        </w:rPr>
        <w:t xml:space="preserve"> </w:t>
      </w:r>
      <w:r w:rsidR="009E33C5">
        <w:rPr>
          <w:rFonts w:cstheme="minorHAnsi"/>
        </w:rPr>
        <w:t>inne.</w:t>
      </w:r>
    </w:p>
    <w:p w14:paraId="3843FA26" w14:textId="2C3C6C79" w:rsidR="00224658" w:rsidRPr="00A26C26" w:rsidRDefault="00224658" w:rsidP="00A26C26">
      <w:pPr>
        <w:spacing w:line="276" w:lineRule="auto"/>
        <w:ind w:firstLine="360"/>
        <w:jc w:val="both"/>
        <w:rPr>
          <w:rFonts w:cstheme="minorHAnsi"/>
        </w:rPr>
      </w:pPr>
      <w:r w:rsidRPr="00A26C26">
        <w:rPr>
          <w:rFonts w:cstheme="minorHAnsi"/>
        </w:rPr>
        <w:t>Na</w:t>
      </w:r>
      <w:r w:rsidR="003B50ED">
        <w:rPr>
          <w:rFonts w:cstheme="minorHAnsi"/>
        </w:rPr>
        <w:t xml:space="preserve"> </w:t>
      </w:r>
      <w:r w:rsidRPr="00A26C26">
        <w:rPr>
          <w:rFonts w:cstheme="minorHAnsi"/>
        </w:rPr>
        <w:t>obszarze</w:t>
      </w:r>
      <w:r w:rsidR="003B50ED">
        <w:rPr>
          <w:rFonts w:cstheme="minorHAnsi"/>
        </w:rPr>
        <w:t xml:space="preserve"> </w:t>
      </w:r>
      <w:r w:rsidRPr="00A26C26">
        <w:rPr>
          <w:rFonts w:cstheme="minorHAnsi"/>
        </w:rPr>
        <w:t>LGD</w:t>
      </w:r>
      <w:r w:rsidR="003B50ED">
        <w:rPr>
          <w:rFonts w:cstheme="minorHAnsi"/>
        </w:rPr>
        <w:t xml:space="preserve"> </w:t>
      </w:r>
      <w:r w:rsidRPr="00A26C26">
        <w:rPr>
          <w:rFonts w:cstheme="minorHAnsi"/>
        </w:rPr>
        <w:t>przeciętny</w:t>
      </w:r>
      <w:r w:rsidR="003B50ED">
        <w:rPr>
          <w:rFonts w:cstheme="minorHAnsi"/>
        </w:rPr>
        <w:t xml:space="preserve"> </w:t>
      </w:r>
      <w:r w:rsidRPr="00A26C26">
        <w:rPr>
          <w:rFonts w:cstheme="minorHAnsi"/>
        </w:rPr>
        <w:t>udział</w:t>
      </w:r>
      <w:r w:rsidR="003B50ED">
        <w:rPr>
          <w:rFonts w:cstheme="minorHAnsi"/>
        </w:rPr>
        <w:t xml:space="preserve"> </w:t>
      </w:r>
      <w:r w:rsidRPr="00A26C26">
        <w:rPr>
          <w:rFonts w:cstheme="minorHAnsi"/>
        </w:rPr>
        <w:t>użytków</w:t>
      </w:r>
      <w:r w:rsidR="003B50ED">
        <w:rPr>
          <w:rFonts w:cstheme="minorHAnsi"/>
        </w:rPr>
        <w:t xml:space="preserve"> </w:t>
      </w:r>
      <w:r w:rsidRPr="00A26C26">
        <w:rPr>
          <w:rFonts w:cstheme="minorHAnsi"/>
        </w:rPr>
        <w:t>leśnych</w:t>
      </w:r>
      <w:r w:rsidR="003B50ED">
        <w:rPr>
          <w:rFonts w:cstheme="minorHAnsi"/>
        </w:rPr>
        <w:t xml:space="preserve"> </w:t>
      </w:r>
      <w:r w:rsidRPr="00A26C26">
        <w:rPr>
          <w:rFonts w:cstheme="minorHAnsi"/>
        </w:rPr>
        <w:t>wynosi</w:t>
      </w:r>
      <w:r w:rsidR="003B50ED">
        <w:rPr>
          <w:rFonts w:cstheme="minorHAnsi"/>
        </w:rPr>
        <w:t xml:space="preserve"> </w:t>
      </w:r>
      <w:r w:rsidRPr="00A26C26">
        <w:rPr>
          <w:rFonts w:cstheme="minorHAnsi"/>
        </w:rPr>
        <w:t>nieco</w:t>
      </w:r>
      <w:r w:rsidR="003B50ED">
        <w:rPr>
          <w:rFonts w:cstheme="minorHAnsi"/>
        </w:rPr>
        <w:t xml:space="preserve"> </w:t>
      </w:r>
      <w:r w:rsidRPr="00A26C26">
        <w:rPr>
          <w:rFonts w:cstheme="minorHAnsi"/>
        </w:rPr>
        <w:t>ponad</w:t>
      </w:r>
      <w:r w:rsidR="003B50ED">
        <w:rPr>
          <w:rFonts w:cstheme="minorHAnsi"/>
        </w:rPr>
        <w:t xml:space="preserve"> </w:t>
      </w:r>
      <w:r w:rsidRPr="00A26C26">
        <w:rPr>
          <w:rFonts w:cstheme="minorHAnsi"/>
        </w:rPr>
        <w:t>16%.</w:t>
      </w:r>
      <w:r w:rsidR="003B50ED">
        <w:rPr>
          <w:rFonts w:cstheme="minorHAnsi"/>
        </w:rPr>
        <w:t xml:space="preserve"> </w:t>
      </w:r>
      <w:r w:rsidRPr="00A26C26">
        <w:rPr>
          <w:rFonts w:cstheme="minorHAnsi"/>
        </w:rPr>
        <w:t>Największą</w:t>
      </w:r>
      <w:r w:rsidR="003B50ED">
        <w:rPr>
          <w:rFonts w:cstheme="minorHAnsi"/>
        </w:rPr>
        <w:t xml:space="preserve"> </w:t>
      </w:r>
      <w:r w:rsidRPr="00A26C26">
        <w:rPr>
          <w:rFonts w:cstheme="minorHAnsi"/>
        </w:rPr>
        <w:t>lesistość</w:t>
      </w:r>
      <w:r w:rsidR="003B50ED">
        <w:rPr>
          <w:rFonts w:cstheme="minorHAnsi"/>
        </w:rPr>
        <w:t xml:space="preserve"> </w:t>
      </w:r>
      <w:r w:rsidRPr="00A26C26">
        <w:rPr>
          <w:rFonts w:cstheme="minorHAnsi"/>
        </w:rPr>
        <w:t>ma</w:t>
      </w:r>
      <w:r w:rsidR="003B50ED">
        <w:rPr>
          <w:rFonts w:cstheme="minorHAnsi"/>
        </w:rPr>
        <w:t xml:space="preserve"> </w:t>
      </w:r>
      <w:r w:rsidRPr="00A26C26">
        <w:rPr>
          <w:rFonts w:cstheme="minorHAnsi"/>
        </w:rPr>
        <w:t>gmina</w:t>
      </w:r>
      <w:r w:rsidR="003B50ED">
        <w:rPr>
          <w:rFonts w:cstheme="minorHAnsi"/>
        </w:rPr>
        <w:t xml:space="preserve"> </w:t>
      </w:r>
      <w:r w:rsidRPr="00A26C26">
        <w:rPr>
          <w:rFonts w:cstheme="minorHAnsi"/>
        </w:rPr>
        <w:t>Tuliszków,</w:t>
      </w:r>
      <w:r w:rsidR="003B50ED">
        <w:rPr>
          <w:rFonts w:cstheme="minorHAnsi"/>
        </w:rPr>
        <w:t xml:space="preserve"> </w:t>
      </w:r>
      <w:r w:rsidRPr="00A26C26">
        <w:rPr>
          <w:rFonts w:cstheme="minorHAnsi"/>
        </w:rPr>
        <w:t>gdzie</w:t>
      </w:r>
      <w:r w:rsidR="003B50ED">
        <w:rPr>
          <w:rFonts w:cstheme="minorHAnsi"/>
        </w:rPr>
        <w:t xml:space="preserve"> </w:t>
      </w:r>
      <w:r w:rsidRPr="00A26C26">
        <w:rPr>
          <w:rFonts w:cstheme="minorHAnsi"/>
        </w:rPr>
        <w:t>lasy</w:t>
      </w:r>
      <w:r w:rsidR="003B50ED">
        <w:rPr>
          <w:rFonts w:cstheme="minorHAnsi"/>
        </w:rPr>
        <w:t xml:space="preserve"> </w:t>
      </w:r>
      <w:r w:rsidRPr="00A26C26">
        <w:rPr>
          <w:rFonts w:cstheme="minorHAnsi"/>
        </w:rPr>
        <w:t>wraz</w:t>
      </w:r>
      <w:r w:rsidR="003B50ED">
        <w:rPr>
          <w:rFonts w:cstheme="minorHAnsi"/>
        </w:rPr>
        <w:t xml:space="preserve"> </w:t>
      </w:r>
      <w:r w:rsidRPr="00A26C26">
        <w:rPr>
          <w:rFonts w:cstheme="minorHAnsi"/>
        </w:rPr>
        <w:t>z</w:t>
      </w:r>
      <w:r w:rsidR="003B50ED">
        <w:rPr>
          <w:rFonts w:cstheme="minorHAnsi"/>
        </w:rPr>
        <w:t xml:space="preserve"> </w:t>
      </w:r>
      <w:proofErr w:type="spellStart"/>
      <w:r w:rsidRPr="00A26C26">
        <w:rPr>
          <w:rFonts w:cstheme="minorHAnsi"/>
        </w:rPr>
        <w:t>zadrzewieniami</w:t>
      </w:r>
      <w:proofErr w:type="spellEnd"/>
      <w:r w:rsidR="003B50ED">
        <w:rPr>
          <w:rFonts w:cstheme="minorHAnsi"/>
        </w:rPr>
        <w:t xml:space="preserve"> </w:t>
      </w:r>
      <w:r w:rsidRPr="00A26C26">
        <w:rPr>
          <w:rFonts w:cstheme="minorHAnsi"/>
        </w:rPr>
        <w:t>stanowią</w:t>
      </w:r>
      <w:r w:rsidR="003B50ED">
        <w:rPr>
          <w:rFonts w:cstheme="minorHAnsi"/>
        </w:rPr>
        <w:t xml:space="preserve"> </w:t>
      </w:r>
      <w:r w:rsidRPr="00A26C26">
        <w:rPr>
          <w:rFonts w:cstheme="minorHAnsi"/>
        </w:rPr>
        <w:t>ponad</w:t>
      </w:r>
      <w:r w:rsidR="003B50ED">
        <w:rPr>
          <w:rFonts w:cstheme="minorHAnsi"/>
        </w:rPr>
        <w:t xml:space="preserve"> </w:t>
      </w:r>
      <w:r w:rsidRPr="00A26C26">
        <w:rPr>
          <w:rFonts w:cstheme="minorHAnsi"/>
        </w:rPr>
        <w:t>29%.</w:t>
      </w:r>
      <w:r w:rsidR="003B50ED">
        <w:rPr>
          <w:rFonts w:cstheme="minorHAnsi"/>
        </w:rPr>
        <w:t xml:space="preserve"> </w:t>
      </w:r>
      <w:r w:rsidRPr="00A26C26">
        <w:rPr>
          <w:rFonts w:cstheme="minorHAnsi"/>
        </w:rPr>
        <w:t>Znajdują</w:t>
      </w:r>
      <w:r w:rsidR="003B50ED">
        <w:rPr>
          <w:rFonts w:cstheme="minorHAnsi"/>
        </w:rPr>
        <w:t xml:space="preserve"> </w:t>
      </w:r>
      <w:r w:rsidRPr="00A26C26">
        <w:rPr>
          <w:rFonts w:cstheme="minorHAnsi"/>
        </w:rPr>
        <w:t>się</w:t>
      </w:r>
      <w:r w:rsidR="003B50ED">
        <w:rPr>
          <w:rFonts w:cstheme="minorHAnsi"/>
        </w:rPr>
        <w:t xml:space="preserve"> </w:t>
      </w:r>
      <w:r w:rsidRPr="00A26C26">
        <w:rPr>
          <w:rFonts w:cstheme="minorHAnsi"/>
        </w:rPr>
        <w:t>tu</w:t>
      </w:r>
      <w:r w:rsidR="003B50ED">
        <w:rPr>
          <w:rFonts w:cstheme="minorHAnsi"/>
        </w:rPr>
        <w:t xml:space="preserve"> </w:t>
      </w:r>
      <w:r w:rsidRPr="00A26C26">
        <w:rPr>
          <w:rFonts w:cstheme="minorHAnsi"/>
        </w:rPr>
        <w:t>duże</w:t>
      </w:r>
      <w:r w:rsidR="003B50ED">
        <w:rPr>
          <w:rFonts w:cstheme="minorHAnsi"/>
        </w:rPr>
        <w:t xml:space="preserve"> </w:t>
      </w:r>
      <w:r w:rsidRPr="00A26C26">
        <w:rPr>
          <w:rFonts w:cstheme="minorHAnsi"/>
        </w:rPr>
        <w:t>kompleksy</w:t>
      </w:r>
      <w:r w:rsidR="003B50ED">
        <w:rPr>
          <w:rFonts w:cstheme="minorHAnsi"/>
        </w:rPr>
        <w:t xml:space="preserve"> </w:t>
      </w:r>
      <w:r w:rsidRPr="00A26C26">
        <w:rPr>
          <w:rFonts w:cstheme="minorHAnsi"/>
        </w:rPr>
        <w:t>leśne</w:t>
      </w:r>
      <w:r w:rsidR="003B50ED">
        <w:rPr>
          <w:rFonts w:cstheme="minorHAnsi"/>
        </w:rPr>
        <w:t xml:space="preserve"> </w:t>
      </w:r>
      <w:r w:rsidRPr="00A26C26">
        <w:rPr>
          <w:rFonts w:cstheme="minorHAnsi"/>
        </w:rPr>
        <w:t>(Grzymiszew,</w:t>
      </w:r>
      <w:r w:rsidR="003B50ED">
        <w:rPr>
          <w:rFonts w:cstheme="minorHAnsi"/>
        </w:rPr>
        <w:t xml:space="preserve"> </w:t>
      </w:r>
      <w:r w:rsidRPr="00A26C26">
        <w:rPr>
          <w:rFonts w:cstheme="minorHAnsi"/>
        </w:rPr>
        <w:t>Ruda,</w:t>
      </w:r>
      <w:r w:rsidR="003B50ED">
        <w:rPr>
          <w:rFonts w:cstheme="minorHAnsi"/>
        </w:rPr>
        <w:t xml:space="preserve"> </w:t>
      </w:r>
      <w:r w:rsidRPr="00A26C26">
        <w:rPr>
          <w:rFonts w:cstheme="minorHAnsi"/>
        </w:rPr>
        <w:t>Kiszewy,</w:t>
      </w:r>
      <w:r w:rsidR="003B50ED">
        <w:rPr>
          <w:rFonts w:cstheme="minorHAnsi"/>
        </w:rPr>
        <w:t xml:space="preserve"> </w:t>
      </w:r>
      <w:r w:rsidRPr="00A26C26">
        <w:rPr>
          <w:rFonts w:cstheme="minorHAnsi"/>
        </w:rPr>
        <w:t>Grabowiec</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Wróblina).</w:t>
      </w:r>
      <w:r w:rsidR="003B50ED">
        <w:rPr>
          <w:rFonts w:cstheme="minorHAnsi"/>
        </w:rPr>
        <w:t xml:space="preserve"> </w:t>
      </w:r>
      <w:r w:rsidRPr="00A26C26">
        <w:rPr>
          <w:rFonts w:cstheme="minorHAnsi"/>
        </w:rPr>
        <w:t>Duży</w:t>
      </w:r>
      <w:r w:rsidR="003B50ED">
        <w:rPr>
          <w:rFonts w:cstheme="minorHAnsi"/>
        </w:rPr>
        <w:t xml:space="preserve"> </w:t>
      </w:r>
      <w:r w:rsidRPr="00A26C26">
        <w:rPr>
          <w:rFonts w:cstheme="minorHAnsi"/>
        </w:rPr>
        <w:t>kompleks</w:t>
      </w:r>
      <w:r w:rsidR="003B50ED">
        <w:rPr>
          <w:rFonts w:cstheme="minorHAnsi"/>
        </w:rPr>
        <w:t xml:space="preserve"> </w:t>
      </w:r>
      <w:r w:rsidRPr="00A26C26">
        <w:rPr>
          <w:rFonts w:cstheme="minorHAnsi"/>
        </w:rPr>
        <w:t>leśny</w:t>
      </w:r>
      <w:r w:rsidR="003B50ED">
        <w:rPr>
          <w:rFonts w:cstheme="minorHAnsi"/>
        </w:rPr>
        <w:t xml:space="preserve"> </w:t>
      </w:r>
      <w:r w:rsidRPr="00A26C26">
        <w:rPr>
          <w:rFonts w:cstheme="minorHAnsi"/>
        </w:rPr>
        <w:t>stanowi</w:t>
      </w:r>
      <w:r w:rsidR="003B50ED">
        <w:rPr>
          <w:rFonts w:cstheme="minorHAnsi"/>
        </w:rPr>
        <w:t xml:space="preserve"> </w:t>
      </w:r>
      <w:r w:rsidRPr="00A26C26">
        <w:rPr>
          <w:rFonts w:cstheme="minorHAnsi"/>
        </w:rPr>
        <w:t>Puszcza</w:t>
      </w:r>
      <w:r w:rsidR="003B50ED">
        <w:rPr>
          <w:rFonts w:cstheme="minorHAnsi"/>
        </w:rPr>
        <w:t xml:space="preserve"> </w:t>
      </w:r>
      <w:proofErr w:type="spellStart"/>
      <w:r w:rsidRPr="00A26C26">
        <w:rPr>
          <w:rFonts w:cstheme="minorHAnsi"/>
        </w:rPr>
        <w:t>Bieniszewska</w:t>
      </w:r>
      <w:proofErr w:type="spellEnd"/>
      <w:r w:rsidRPr="00A26C26">
        <w:rPr>
          <w:rFonts w:cstheme="minorHAnsi"/>
        </w:rPr>
        <w:t>,</w:t>
      </w:r>
      <w:r w:rsidR="003B50ED">
        <w:rPr>
          <w:rFonts w:cstheme="minorHAnsi"/>
        </w:rPr>
        <w:t xml:space="preserve"> </w:t>
      </w:r>
      <w:r w:rsidRPr="00A26C26">
        <w:rPr>
          <w:rFonts w:cstheme="minorHAnsi"/>
        </w:rPr>
        <w:t>która</w:t>
      </w:r>
      <w:r w:rsidR="003B50ED">
        <w:rPr>
          <w:rFonts w:cstheme="minorHAnsi"/>
        </w:rPr>
        <w:t xml:space="preserve"> </w:t>
      </w:r>
      <w:r w:rsidRPr="00A26C26">
        <w:rPr>
          <w:rFonts w:cstheme="minorHAnsi"/>
        </w:rPr>
        <w:t>przylega</w:t>
      </w:r>
      <w:r w:rsidR="003B50ED">
        <w:rPr>
          <w:rFonts w:cstheme="minorHAnsi"/>
        </w:rPr>
        <w:t xml:space="preserve"> </w:t>
      </w:r>
      <w:r w:rsidRPr="00A26C26">
        <w:rPr>
          <w:rFonts w:cstheme="minorHAnsi"/>
        </w:rPr>
        <w:t>do</w:t>
      </w:r>
      <w:r w:rsidR="003B50ED">
        <w:rPr>
          <w:rFonts w:cstheme="minorHAnsi"/>
        </w:rPr>
        <w:t xml:space="preserve"> </w:t>
      </w:r>
      <w:r w:rsidRPr="00A26C26">
        <w:rPr>
          <w:rFonts w:cstheme="minorHAnsi"/>
        </w:rPr>
        <w:t>Jeziora</w:t>
      </w:r>
      <w:r w:rsidR="003B50ED">
        <w:rPr>
          <w:rFonts w:cstheme="minorHAnsi"/>
        </w:rPr>
        <w:t xml:space="preserve"> </w:t>
      </w:r>
      <w:r w:rsidRPr="00A26C26">
        <w:rPr>
          <w:rFonts w:cstheme="minorHAnsi"/>
        </w:rPr>
        <w:t>Głodowskiego</w:t>
      </w:r>
      <w:r w:rsidR="003B50ED">
        <w:rPr>
          <w:rFonts w:cstheme="minorHAnsi"/>
        </w:rPr>
        <w:t xml:space="preserve"> </w:t>
      </w:r>
      <w:r w:rsidRPr="00A26C26">
        <w:rPr>
          <w:rFonts w:cstheme="minorHAnsi"/>
        </w:rPr>
        <w:t>(gmina</w:t>
      </w:r>
      <w:r w:rsidR="003B50ED">
        <w:rPr>
          <w:rFonts w:cstheme="minorHAnsi"/>
        </w:rPr>
        <w:t xml:space="preserve"> </w:t>
      </w:r>
      <w:r w:rsidRPr="00A26C26">
        <w:rPr>
          <w:rFonts w:cstheme="minorHAnsi"/>
        </w:rPr>
        <w:t>Golina).</w:t>
      </w:r>
      <w:r w:rsidR="003B50ED">
        <w:rPr>
          <w:rFonts w:cstheme="minorHAnsi"/>
        </w:rPr>
        <w:t xml:space="preserve"> </w:t>
      </w:r>
      <w:r w:rsidRPr="00A26C26">
        <w:rPr>
          <w:rFonts w:cstheme="minorHAnsi"/>
        </w:rPr>
        <w:t>Lasy,</w:t>
      </w:r>
      <w:r w:rsidR="003B50ED">
        <w:rPr>
          <w:rFonts w:cstheme="minorHAnsi"/>
        </w:rPr>
        <w:t xml:space="preserve"> </w:t>
      </w:r>
      <w:r w:rsidRPr="00A26C26">
        <w:rPr>
          <w:rFonts w:cstheme="minorHAnsi"/>
        </w:rPr>
        <w:t>choć</w:t>
      </w:r>
      <w:r w:rsidR="003B50ED">
        <w:rPr>
          <w:rFonts w:cstheme="minorHAnsi"/>
        </w:rPr>
        <w:t xml:space="preserve"> </w:t>
      </w:r>
      <w:r w:rsidRPr="00A26C26">
        <w:rPr>
          <w:rFonts w:cstheme="minorHAnsi"/>
        </w:rPr>
        <w:t>zajmują</w:t>
      </w:r>
      <w:r w:rsidR="003B50ED">
        <w:rPr>
          <w:rFonts w:cstheme="minorHAnsi"/>
        </w:rPr>
        <w:t xml:space="preserve"> </w:t>
      </w:r>
      <w:r w:rsidRPr="00A26C26">
        <w:rPr>
          <w:rFonts w:cstheme="minorHAnsi"/>
        </w:rPr>
        <w:t>stosunkowo</w:t>
      </w:r>
      <w:r w:rsidR="003B50ED">
        <w:rPr>
          <w:rFonts w:cstheme="minorHAnsi"/>
        </w:rPr>
        <w:t xml:space="preserve"> </w:t>
      </w:r>
      <w:r w:rsidRPr="00A26C26">
        <w:rPr>
          <w:rFonts w:cstheme="minorHAnsi"/>
        </w:rPr>
        <w:t>niewielki</w:t>
      </w:r>
      <w:r w:rsidR="003B50ED">
        <w:rPr>
          <w:rFonts w:cstheme="minorHAnsi"/>
        </w:rPr>
        <w:t xml:space="preserve"> </w:t>
      </w:r>
      <w:r w:rsidRPr="00A26C26">
        <w:rPr>
          <w:rFonts w:cstheme="minorHAnsi"/>
        </w:rPr>
        <w:t>odsetek</w:t>
      </w:r>
      <w:r w:rsidR="003B50ED">
        <w:rPr>
          <w:rFonts w:cstheme="minorHAnsi"/>
        </w:rPr>
        <w:t xml:space="preserve"> </w:t>
      </w:r>
      <w:r w:rsidRPr="00A26C26">
        <w:rPr>
          <w:rFonts w:cstheme="minorHAnsi"/>
        </w:rPr>
        <w:t>powierzchni</w:t>
      </w:r>
      <w:r w:rsidR="003B50ED">
        <w:rPr>
          <w:rFonts w:cstheme="minorHAnsi"/>
        </w:rPr>
        <w:t xml:space="preserve"> </w:t>
      </w:r>
      <w:r w:rsidRPr="00A26C26">
        <w:rPr>
          <w:rFonts w:cstheme="minorHAnsi"/>
        </w:rPr>
        <w:t>LGD,</w:t>
      </w:r>
      <w:r w:rsidR="003B50ED">
        <w:rPr>
          <w:rFonts w:cstheme="minorHAnsi"/>
        </w:rPr>
        <w:t xml:space="preserve"> </w:t>
      </w:r>
      <w:r w:rsidRPr="00A26C26">
        <w:rPr>
          <w:rFonts w:cstheme="minorHAnsi"/>
        </w:rPr>
        <w:t>są</w:t>
      </w:r>
      <w:r w:rsidR="003B50ED">
        <w:rPr>
          <w:rFonts w:cstheme="minorHAnsi"/>
        </w:rPr>
        <w:t xml:space="preserve"> </w:t>
      </w:r>
      <w:r w:rsidRPr="00A26C26">
        <w:rPr>
          <w:rFonts w:cstheme="minorHAnsi"/>
        </w:rPr>
        <w:t>bogate</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zwierzynę</w:t>
      </w:r>
      <w:r w:rsidR="003B50ED">
        <w:rPr>
          <w:rFonts w:cstheme="minorHAnsi"/>
        </w:rPr>
        <w:t xml:space="preserve"> </w:t>
      </w:r>
      <w:r w:rsidRPr="00A26C26">
        <w:rPr>
          <w:rFonts w:cstheme="minorHAnsi"/>
        </w:rPr>
        <w:t>łowną</w:t>
      </w:r>
      <w:r w:rsidR="003B50ED">
        <w:rPr>
          <w:rFonts w:cstheme="minorHAnsi"/>
        </w:rPr>
        <w:t xml:space="preserve"> </w:t>
      </w:r>
      <w:r w:rsidRPr="00A26C26">
        <w:rPr>
          <w:rFonts w:cstheme="minorHAnsi"/>
        </w:rPr>
        <w:t>oraz</w:t>
      </w:r>
      <w:r w:rsidR="003B50ED">
        <w:rPr>
          <w:rFonts w:cstheme="minorHAnsi"/>
        </w:rPr>
        <w:t xml:space="preserve"> </w:t>
      </w:r>
      <w:r w:rsidRPr="00A26C26">
        <w:rPr>
          <w:rFonts w:cstheme="minorHAnsi"/>
        </w:rPr>
        <w:t>grzyby</w:t>
      </w:r>
      <w:r w:rsidR="003B50ED">
        <w:rPr>
          <w:rFonts w:cstheme="minorHAnsi"/>
        </w:rPr>
        <w:t xml:space="preserve"> </w:t>
      </w:r>
      <w:r w:rsidRPr="00A26C26">
        <w:rPr>
          <w:rFonts w:cstheme="minorHAnsi"/>
        </w:rPr>
        <w:t>jadalne.</w:t>
      </w:r>
    </w:p>
    <w:p w14:paraId="22E04BF6" w14:textId="0482A731" w:rsidR="00224658" w:rsidRPr="00A26C26" w:rsidRDefault="00224658" w:rsidP="00A26C26">
      <w:pPr>
        <w:spacing w:line="276" w:lineRule="auto"/>
        <w:ind w:firstLine="360"/>
        <w:jc w:val="both"/>
        <w:rPr>
          <w:rFonts w:cstheme="minorHAnsi"/>
        </w:rPr>
      </w:pPr>
      <w:r w:rsidRPr="00A26C26">
        <w:rPr>
          <w:rFonts w:cstheme="minorHAnsi"/>
        </w:rPr>
        <w:t>Na</w:t>
      </w:r>
      <w:r w:rsidR="003B50ED">
        <w:rPr>
          <w:rFonts w:cstheme="minorHAnsi"/>
        </w:rPr>
        <w:t xml:space="preserve"> </w:t>
      </w:r>
      <w:r w:rsidRPr="00A26C26">
        <w:rPr>
          <w:rFonts w:cstheme="minorHAnsi"/>
        </w:rPr>
        <w:t>obszarze</w:t>
      </w:r>
      <w:r w:rsidR="003B50ED">
        <w:rPr>
          <w:rFonts w:cstheme="minorHAnsi"/>
        </w:rPr>
        <w:t xml:space="preserve"> </w:t>
      </w:r>
      <w:r w:rsidRPr="00A26C26">
        <w:rPr>
          <w:rFonts w:cstheme="minorHAnsi"/>
        </w:rPr>
        <w:t>LGD</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gminie</w:t>
      </w:r>
      <w:r w:rsidR="003B50ED">
        <w:rPr>
          <w:rFonts w:cstheme="minorHAnsi"/>
        </w:rPr>
        <w:t xml:space="preserve"> </w:t>
      </w:r>
      <w:r w:rsidRPr="00A26C26">
        <w:rPr>
          <w:rFonts w:cstheme="minorHAnsi"/>
        </w:rPr>
        <w:t>Golina</w:t>
      </w:r>
      <w:r w:rsidR="003B50ED">
        <w:rPr>
          <w:rFonts w:cstheme="minorHAnsi"/>
        </w:rPr>
        <w:t xml:space="preserve"> </w:t>
      </w:r>
      <w:r w:rsidRPr="00A26C26">
        <w:rPr>
          <w:rFonts w:cstheme="minorHAnsi"/>
        </w:rPr>
        <w:t>leży</w:t>
      </w:r>
      <w:r w:rsidR="003B50ED">
        <w:rPr>
          <w:rFonts w:cstheme="minorHAnsi"/>
        </w:rPr>
        <w:t xml:space="preserve"> </w:t>
      </w:r>
      <w:r w:rsidRPr="00A26C26">
        <w:rPr>
          <w:rFonts w:cstheme="minorHAnsi"/>
        </w:rPr>
        <w:t>Specjalny</w:t>
      </w:r>
      <w:r w:rsidR="003B50ED">
        <w:rPr>
          <w:rFonts w:cstheme="minorHAnsi"/>
        </w:rPr>
        <w:t xml:space="preserve"> </w:t>
      </w:r>
      <w:r w:rsidRPr="00A26C26">
        <w:rPr>
          <w:rFonts w:cstheme="minorHAnsi"/>
        </w:rPr>
        <w:t>Obszar</w:t>
      </w:r>
      <w:r w:rsidR="003B50ED">
        <w:rPr>
          <w:rFonts w:cstheme="minorHAnsi"/>
        </w:rPr>
        <w:t xml:space="preserve"> </w:t>
      </w:r>
      <w:r w:rsidRPr="00A26C26">
        <w:rPr>
          <w:rFonts w:cstheme="minorHAnsi"/>
        </w:rPr>
        <w:t>Ochrony</w:t>
      </w:r>
      <w:r w:rsidR="003B50ED">
        <w:rPr>
          <w:rFonts w:cstheme="minorHAnsi"/>
        </w:rPr>
        <w:t xml:space="preserve"> </w:t>
      </w:r>
      <w:r w:rsidRPr="00A26C26">
        <w:rPr>
          <w:rFonts w:cstheme="minorHAnsi"/>
        </w:rPr>
        <w:t>Siedlisk</w:t>
      </w:r>
      <w:r w:rsidR="003B50ED">
        <w:rPr>
          <w:rFonts w:cstheme="minorHAnsi"/>
        </w:rPr>
        <w:t xml:space="preserve"> </w:t>
      </w:r>
      <w:r w:rsidRPr="00A26C26">
        <w:rPr>
          <w:rFonts w:cstheme="minorHAnsi"/>
        </w:rPr>
        <w:t>„Ostoja</w:t>
      </w:r>
      <w:r w:rsidR="003B50ED">
        <w:rPr>
          <w:rFonts w:cstheme="minorHAnsi"/>
        </w:rPr>
        <w:t xml:space="preserve"> </w:t>
      </w:r>
      <w:r w:rsidRPr="00A26C26">
        <w:rPr>
          <w:rFonts w:cstheme="minorHAnsi"/>
        </w:rPr>
        <w:t>Nadwarciańska”</w:t>
      </w:r>
      <w:r w:rsidR="003B50ED">
        <w:rPr>
          <w:rFonts w:cstheme="minorHAnsi"/>
        </w:rPr>
        <w:t xml:space="preserve"> </w:t>
      </w:r>
      <w:r w:rsidRPr="00A26C26">
        <w:rPr>
          <w:rFonts w:cstheme="minorHAnsi"/>
        </w:rPr>
        <w:t>należący</w:t>
      </w:r>
      <w:r w:rsidR="003B50ED">
        <w:rPr>
          <w:rFonts w:cstheme="minorHAnsi"/>
        </w:rPr>
        <w:t xml:space="preserve"> </w:t>
      </w:r>
      <w:r w:rsidRPr="00A26C26">
        <w:rPr>
          <w:rFonts w:cstheme="minorHAnsi"/>
        </w:rPr>
        <w:t>do</w:t>
      </w:r>
      <w:r w:rsidR="003B50ED">
        <w:rPr>
          <w:rFonts w:cstheme="minorHAnsi"/>
        </w:rPr>
        <w:t xml:space="preserve"> </w:t>
      </w:r>
      <w:r w:rsidRPr="00A26C26">
        <w:rPr>
          <w:rFonts w:cstheme="minorHAnsi"/>
        </w:rPr>
        <w:t>sieci</w:t>
      </w:r>
      <w:r w:rsidR="003B50ED">
        <w:rPr>
          <w:rFonts w:cstheme="minorHAnsi"/>
        </w:rPr>
        <w:t xml:space="preserve"> </w:t>
      </w:r>
      <w:r w:rsidRPr="00A26C26">
        <w:rPr>
          <w:rFonts w:cstheme="minorHAnsi"/>
        </w:rPr>
        <w:t>Natura</w:t>
      </w:r>
      <w:r w:rsidR="003B50ED">
        <w:rPr>
          <w:rFonts w:cstheme="minorHAnsi"/>
        </w:rPr>
        <w:t xml:space="preserve"> </w:t>
      </w:r>
      <w:r w:rsidRPr="00A26C26">
        <w:rPr>
          <w:rFonts w:cstheme="minorHAnsi"/>
        </w:rPr>
        <w:t>2000.</w:t>
      </w:r>
      <w:r w:rsidR="003B50ED">
        <w:rPr>
          <w:rFonts w:cstheme="minorHAnsi"/>
        </w:rPr>
        <w:t xml:space="preserve"> </w:t>
      </w:r>
      <w:r w:rsidRPr="00A26C26">
        <w:rPr>
          <w:rFonts w:cstheme="minorHAnsi"/>
        </w:rPr>
        <w:t>Ostoja</w:t>
      </w:r>
      <w:r w:rsidR="003B50ED">
        <w:rPr>
          <w:rFonts w:cstheme="minorHAnsi"/>
        </w:rPr>
        <w:t xml:space="preserve"> </w:t>
      </w:r>
      <w:r w:rsidRPr="00A26C26">
        <w:rPr>
          <w:rFonts w:cstheme="minorHAnsi"/>
        </w:rPr>
        <w:t>obejmuje</w:t>
      </w:r>
      <w:r w:rsidR="003B50ED">
        <w:rPr>
          <w:rFonts w:cstheme="minorHAnsi"/>
        </w:rPr>
        <w:t xml:space="preserve"> </w:t>
      </w:r>
      <w:r w:rsidRPr="00A26C26">
        <w:rPr>
          <w:rFonts w:cstheme="minorHAnsi"/>
        </w:rPr>
        <w:t>fragment</w:t>
      </w:r>
      <w:r w:rsidR="003B50ED">
        <w:rPr>
          <w:rFonts w:cstheme="minorHAnsi"/>
        </w:rPr>
        <w:t xml:space="preserve"> </w:t>
      </w:r>
      <w:r w:rsidRPr="00A26C26">
        <w:rPr>
          <w:rFonts w:cstheme="minorHAnsi"/>
        </w:rPr>
        <w:t>doliny</w:t>
      </w:r>
      <w:r w:rsidR="003B50ED">
        <w:rPr>
          <w:rFonts w:cstheme="minorHAnsi"/>
        </w:rPr>
        <w:t xml:space="preserve"> </w:t>
      </w:r>
      <w:r w:rsidRPr="00A26C26">
        <w:rPr>
          <w:rFonts w:cstheme="minorHAnsi"/>
        </w:rPr>
        <w:t>Środkowej</w:t>
      </w:r>
      <w:r w:rsidR="003B50ED">
        <w:rPr>
          <w:rFonts w:cstheme="minorHAnsi"/>
        </w:rPr>
        <w:t xml:space="preserve"> </w:t>
      </w:r>
      <w:r w:rsidRPr="00A26C26">
        <w:rPr>
          <w:rFonts w:cstheme="minorHAnsi"/>
        </w:rPr>
        <w:t>Warty</w:t>
      </w:r>
      <w:r w:rsidR="003B50ED">
        <w:rPr>
          <w:rFonts w:cstheme="minorHAnsi"/>
        </w:rPr>
        <w:t xml:space="preserve"> </w:t>
      </w:r>
      <w:r w:rsidRPr="00A26C26">
        <w:rPr>
          <w:rFonts w:cstheme="minorHAnsi"/>
        </w:rPr>
        <w:t>o</w:t>
      </w:r>
      <w:r w:rsidR="003B50ED">
        <w:rPr>
          <w:rFonts w:cstheme="minorHAnsi"/>
        </w:rPr>
        <w:t xml:space="preserve"> </w:t>
      </w:r>
      <w:r w:rsidRPr="00A26C26">
        <w:rPr>
          <w:rFonts w:cstheme="minorHAnsi"/>
        </w:rPr>
        <w:t>powierzchni</w:t>
      </w:r>
      <w:r w:rsidR="003B50ED">
        <w:rPr>
          <w:rFonts w:cstheme="minorHAnsi"/>
        </w:rPr>
        <w:t xml:space="preserve"> </w:t>
      </w:r>
      <w:r w:rsidRPr="00A26C26">
        <w:rPr>
          <w:rFonts w:cstheme="minorHAnsi"/>
        </w:rPr>
        <w:t>26970</w:t>
      </w:r>
      <w:r w:rsidR="003B50ED">
        <w:rPr>
          <w:rFonts w:cstheme="minorHAnsi"/>
        </w:rPr>
        <w:t xml:space="preserve"> </w:t>
      </w:r>
      <w:r w:rsidRPr="00A26C26">
        <w:rPr>
          <w:rFonts w:cstheme="minorHAnsi"/>
        </w:rPr>
        <w:t>ha.</w:t>
      </w:r>
      <w:r w:rsidR="003B50ED">
        <w:rPr>
          <w:rFonts w:cstheme="minorHAnsi"/>
        </w:rPr>
        <w:t xml:space="preserve"> </w:t>
      </w:r>
      <w:r w:rsidRPr="00A26C26">
        <w:rPr>
          <w:rFonts w:cstheme="minorHAnsi"/>
        </w:rPr>
        <w:t>Szata</w:t>
      </w:r>
      <w:r w:rsidR="003B50ED">
        <w:rPr>
          <w:rFonts w:cstheme="minorHAnsi"/>
        </w:rPr>
        <w:t xml:space="preserve"> </w:t>
      </w:r>
      <w:r w:rsidRPr="00A26C26">
        <w:rPr>
          <w:rFonts w:cstheme="minorHAnsi"/>
        </w:rPr>
        <w:t>roślinna</w:t>
      </w:r>
      <w:r w:rsidR="003B50ED">
        <w:rPr>
          <w:rFonts w:cstheme="minorHAnsi"/>
        </w:rPr>
        <w:t xml:space="preserve"> </w:t>
      </w:r>
      <w:r w:rsidRPr="00A26C26">
        <w:rPr>
          <w:rFonts w:cstheme="minorHAnsi"/>
        </w:rPr>
        <w:t>ostoi</w:t>
      </w:r>
      <w:r w:rsidR="003B50ED">
        <w:rPr>
          <w:rFonts w:cstheme="minorHAnsi"/>
        </w:rPr>
        <w:t xml:space="preserve"> </w:t>
      </w:r>
      <w:r w:rsidRPr="00A26C26">
        <w:rPr>
          <w:rFonts w:cstheme="minorHAnsi"/>
        </w:rPr>
        <w:t>jest</w:t>
      </w:r>
      <w:r w:rsidR="003B50ED">
        <w:rPr>
          <w:rFonts w:cstheme="minorHAnsi"/>
        </w:rPr>
        <w:t xml:space="preserve"> </w:t>
      </w:r>
      <w:r w:rsidRPr="00A26C26">
        <w:rPr>
          <w:rFonts w:cstheme="minorHAnsi"/>
        </w:rPr>
        <w:t>bardzo</w:t>
      </w:r>
      <w:r w:rsidR="003B50ED">
        <w:rPr>
          <w:rFonts w:cstheme="minorHAnsi"/>
        </w:rPr>
        <w:t xml:space="preserve"> </w:t>
      </w:r>
      <w:r w:rsidRPr="00A26C26">
        <w:rPr>
          <w:rFonts w:cstheme="minorHAnsi"/>
        </w:rPr>
        <w:t>urozmaicona</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stanowi</w:t>
      </w:r>
      <w:r w:rsidR="003B50ED">
        <w:rPr>
          <w:rFonts w:cstheme="minorHAnsi"/>
        </w:rPr>
        <w:t xml:space="preserve"> </w:t>
      </w:r>
      <w:r w:rsidRPr="00A26C26">
        <w:rPr>
          <w:rFonts w:cstheme="minorHAnsi"/>
        </w:rPr>
        <w:t>między</w:t>
      </w:r>
      <w:r w:rsidR="003B50ED">
        <w:rPr>
          <w:rFonts w:cstheme="minorHAnsi"/>
        </w:rPr>
        <w:t xml:space="preserve"> </w:t>
      </w:r>
      <w:r w:rsidRPr="00A26C26">
        <w:rPr>
          <w:rFonts w:cstheme="minorHAnsi"/>
        </w:rPr>
        <w:t>innymi</w:t>
      </w:r>
      <w:r w:rsidR="003B50ED">
        <w:rPr>
          <w:rFonts w:cstheme="minorHAnsi"/>
        </w:rPr>
        <w:t xml:space="preserve"> </w:t>
      </w:r>
      <w:r w:rsidRPr="00A26C26">
        <w:rPr>
          <w:rFonts w:cstheme="minorHAnsi"/>
        </w:rPr>
        <w:t>siedlisko</w:t>
      </w:r>
      <w:r w:rsidR="003B50ED">
        <w:rPr>
          <w:rFonts w:cstheme="minorHAnsi"/>
        </w:rPr>
        <w:t xml:space="preserve"> </w:t>
      </w:r>
      <w:r w:rsidRPr="00A26C26">
        <w:rPr>
          <w:rFonts w:cstheme="minorHAnsi"/>
        </w:rPr>
        <w:t>dla</w:t>
      </w:r>
      <w:r w:rsidR="003B50ED">
        <w:rPr>
          <w:rFonts w:cstheme="minorHAnsi"/>
        </w:rPr>
        <w:t xml:space="preserve"> </w:t>
      </w:r>
      <w:proofErr w:type="spellStart"/>
      <w:r w:rsidRPr="00A26C26">
        <w:rPr>
          <w:rFonts w:cstheme="minorHAnsi"/>
        </w:rPr>
        <w:t>tygrzyka</w:t>
      </w:r>
      <w:proofErr w:type="spellEnd"/>
      <w:r w:rsidR="003B50ED">
        <w:rPr>
          <w:rFonts w:cstheme="minorHAnsi"/>
        </w:rPr>
        <w:t xml:space="preserve"> </w:t>
      </w:r>
      <w:r w:rsidRPr="00A26C26">
        <w:rPr>
          <w:rFonts w:cstheme="minorHAnsi"/>
        </w:rPr>
        <w:t>paskowanego,</w:t>
      </w:r>
      <w:r w:rsidR="003B50ED">
        <w:rPr>
          <w:rFonts w:cstheme="minorHAnsi"/>
        </w:rPr>
        <w:t xml:space="preserve"> </w:t>
      </w:r>
      <w:r w:rsidRPr="00A26C26">
        <w:rPr>
          <w:rFonts w:cstheme="minorHAnsi"/>
        </w:rPr>
        <w:t>rzadkiego</w:t>
      </w:r>
      <w:r w:rsidR="003B50ED">
        <w:rPr>
          <w:rFonts w:cstheme="minorHAnsi"/>
        </w:rPr>
        <w:t xml:space="preserve"> </w:t>
      </w:r>
      <w:r w:rsidRPr="00A26C26">
        <w:rPr>
          <w:rFonts w:cstheme="minorHAnsi"/>
        </w:rPr>
        <w:t>pająka</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rodziny</w:t>
      </w:r>
      <w:r w:rsidR="003B50ED">
        <w:rPr>
          <w:rFonts w:cstheme="minorHAnsi"/>
        </w:rPr>
        <w:t xml:space="preserve"> </w:t>
      </w:r>
      <w:proofErr w:type="spellStart"/>
      <w:r w:rsidRPr="00A26C26">
        <w:rPr>
          <w:rFonts w:cstheme="minorHAnsi"/>
        </w:rPr>
        <w:t>krzyżakowatych</w:t>
      </w:r>
      <w:proofErr w:type="spellEnd"/>
      <w:r w:rsidRPr="00A26C26">
        <w:rPr>
          <w:rFonts w:cstheme="minorHAnsi"/>
        </w:rPr>
        <w:t>,</w:t>
      </w:r>
      <w:r w:rsidR="003B50ED">
        <w:rPr>
          <w:rFonts w:cstheme="minorHAnsi"/>
        </w:rPr>
        <w:t xml:space="preserve"> </w:t>
      </w:r>
      <w:r w:rsidRPr="00A26C26">
        <w:rPr>
          <w:rFonts w:cstheme="minorHAnsi"/>
        </w:rPr>
        <w:t>który</w:t>
      </w:r>
      <w:r w:rsidR="003B50ED">
        <w:rPr>
          <w:rFonts w:cstheme="minorHAnsi"/>
        </w:rPr>
        <w:t xml:space="preserve"> </w:t>
      </w:r>
      <w:r w:rsidRPr="00A26C26">
        <w:rPr>
          <w:rFonts w:cstheme="minorHAnsi"/>
        </w:rPr>
        <w:t>jest</w:t>
      </w:r>
      <w:r w:rsidR="003B50ED">
        <w:rPr>
          <w:rFonts w:cstheme="minorHAnsi"/>
        </w:rPr>
        <w:t xml:space="preserve"> </w:t>
      </w:r>
      <w:r w:rsidRPr="00A26C26">
        <w:rPr>
          <w:rFonts w:cstheme="minorHAnsi"/>
        </w:rPr>
        <w:t>objęty</w:t>
      </w:r>
      <w:r w:rsidR="003B50ED">
        <w:rPr>
          <w:rFonts w:cstheme="minorHAnsi"/>
        </w:rPr>
        <w:t xml:space="preserve"> </w:t>
      </w:r>
      <w:r w:rsidRPr="00A26C26">
        <w:rPr>
          <w:rFonts w:cstheme="minorHAnsi"/>
        </w:rPr>
        <w:t>całkowitą</w:t>
      </w:r>
      <w:r w:rsidR="003B50ED">
        <w:rPr>
          <w:rFonts w:cstheme="minorHAnsi"/>
        </w:rPr>
        <w:t xml:space="preserve"> </w:t>
      </w:r>
      <w:r w:rsidRPr="00A26C26">
        <w:rPr>
          <w:rFonts w:cstheme="minorHAnsi"/>
        </w:rPr>
        <w:t>ochroną.</w:t>
      </w:r>
    </w:p>
    <w:p w14:paraId="11CEF323" w14:textId="4D2080FB" w:rsidR="00224658" w:rsidRPr="00A26C26" w:rsidRDefault="00224658" w:rsidP="00A26C26">
      <w:pPr>
        <w:spacing w:line="276" w:lineRule="auto"/>
        <w:ind w:firstLine="360"/>
        <w:jc w:val="both"/>
        <w:rPr>
          <w:rFonts w:cstheme="minorHAnsi"/>
        </w:rPr>
      </w:pPr>
      <w:r w:rsidRPr="00A26C26">
        <w:rPr>
          <w:rFonts w:cstheme="minorHAnsi"/>
        </w:rPr>
        <w:t>Dużą</w:t>
      </w:r>
      <w:r w:rsidR="003B50ED">
        <w:rPr>
          <w:rFonts w:cstheme="minorHAnsi"/>
        </w:rPr>
        <w:t xml:space="preserve"> </w:t>
      </w:r>
      <w:r w:rsidRPr="00A26C26">
        <w:rPr>
          <w:rFonts w:cstheme="minorHAnsi"/>
        </w:rPr>
        <w:t>atrakcyjność</w:t>
      </w:r>
      <w:r w:rsidR="003B50ED">
        <w:rPr>
          <w:rFonts w:cstheme="minorHAnsi"/>
        </w:rPr>
        <w:t xml:space="preserve"> </w:t>
      </w:r>
      <w:r w:rsidRPr="00A26C26">
        <w:rPr>
          <w:rFonts w:cstheme="minorHAnsi"/>
        </w:rPr>
        <w:t>środowisku</w:t>
      </w:r>
      <w:r w:rsidR="003B50ED">
        <w:rPr>
          <w:rFonts w:cstheme="minorHAnsi"/>
        </w:rPr>
        <w:t xml:space="preserve"> </w:t>
      </w:r>
      <w:r w:rsidRPr="00A26C26">
        <w:rPr>
          <w:rFonts w:cstheme="minorHAnsi"/>
        </w:rPr>
        <w:t>naturalnemu</w:t>
      </w:r>
      <w:r w:rsidR="003B50ED">
        <w:rPr>
          <w:rFonts w:cstheme="minorHAnsi"/>
        </w:rPr>
        <w:t xml:space="preserve"> </w:t>
      </w:r>
      <w:r w:rsidRPr="00A26C26">
        <w:rPr>
          <w:rFonts w:cstheme="minorHAnsi"/>
        </w:rPr>
        <w:t>nadają</w:t>
      </w:r>
      <w:r w:rsidR="003B50ED">
        <w:rPr>
          <w:rFonts w:cstheme="minorHAnsi"/>
        </w:rPr>
        <w:t xml:space="preserve"> </w:t>
      </w:r>
      <w:r w:rsidRPr="00A26C26">
        <w:rPr>
          <w:rFonts w:cstheme="minorHAnsi"/>
        </w:rPr>
        <w:t>parki</w:t>
      </w:r>
      <w:r w:rsidR="003B50ED">
        <w:rPr>
          <w:rFonts w:cstheme="minorHAnsi"/>
        </w:rPr>
        <w:t xml:space="preserve"> </w:t>
      </w:r>
      <w:r w:rsidRPr="00A26C26">
        <w:rPr>
          <w:rFonts w:cstheme="minorHAnsi"/>
        </w:rPr>
        <w:t>krajobrazowe.</w:t>
      </w:r>
      <w:r w:rsidR="003B50ED">
        <w:rPr>
          <w:rFonts w:cstheme="minorHAnsi"/>
        </w:rPr>
        <w:t xml:space="preserve"> </w:t>
      </w:r>
      <w:r w:rsidRPr="00A26C26">
        <w:rPr>
          <w:rFonts w:cstheme="minorHAnsi"/>
        </w:rPr>
        <w:t>Są</w:t>
      </w:r>
      <w:r w:rsidR="003B50ED">
        <w:rPr>
          <w:rFonts w:cstheme="minorHAnsi"/>
        </w:rPr>
        <w:t xml:space="preserve"> </w:t>
      </w:r>
      <w:r w:rsidRPr="00A26C26">
        <w:rPr>
          <w:rFonts w:cstheme="minorHAnsi"/>
        </w:rPr>
        <w:t>to:</w:t>
      </w:r>
    </w:p>
    <w:p w14:paraId="4B52463A" w14:textId="5142D086" w:rsidR="00224658" w:rsidRPr="00A26C26" w:rsidRDefault="00224658" w:rsidP="008A412F">
      <w:pPr>
        <w:numPr>
          <w:ilvl w:val="0"/>
          <w:numId w:val="10"/>
        </w:numPr>
        <w:spacing w:line="276" w:lineRule="auto"/>
        <w:ind w:left="426" w:hanging="284"/>
        <w:jc w:val="both"/>
        <w:rPr>
          <w:rFonts w:cstheme="minorHAnsi"/>
        </w:rPr>
      </w:pPr>
      <w:r w:rsidRPr="00A26C26">
        <w:rPr>
          <w:rFonts w:cstheme="minorHAnsi"/>
        </w:rPr>
        <w:t>Nadwarciański</w:t>
      </w:r>
      <w:r w:rsidR="003B50ED">
        <w:rPr>
          <w:rFonts w:cstheme="minorHAnsi"/>
        </w:rPr>
        <w:t xml:space="preserve"> </w:t>
      </w:r>
      <w:r w:rsidRPr="00A26C26">
        <w:rPr>
          <w:rFonts w:cstheme="minorHAnsi"/>
        </w:rPr>
        <w:t>Park</w:t>
      </w:r>
      <w:r w:rsidR="003B50ED">
        <w:rPr>
          <w:rFonts w:cstheme="minorHAnsi"/>
        </w:rPr>
        <w:t xml:space="preserve"> </w:t>
      </w:r>
      <w:r w:rsidRPr="00A26C26">
        <w:rPr>
          <w:rFonts w:cstheme="minorHAnsi"/>
        </w:rPr>
        <w:t>Krajobrazowy</w:t>
      </w:r>
    </w:p>
    <w:p w14:paraId="2E5D07F9" w14:textId="51EA9953" w:rsidR="00224658" w:rsidRPr="00A26C26" w:rsidRDefault="00224658" w:rsidP="008A412F">
      <w:pPr>
        <w:numPr>
          <w:ilvl w:val="0"/>
          <w:numId w:val="10"/>
        </w:numPr>
        <w:spacing w:line="276" w:lineRule="auto"/>
        <w:ind w:left="426" w:hanging="284"/>
        <w:jc w:val="both"/>
        <w:rPr>
          <w:rFonts w:cstheme="minorHAnsi"/>
        </w:rPr>
      </w:pPr>
      <w:r w:rsidRPr="00A26C26">
        <w:rPr>
          <w:rFonts w:cstheme="minorHAnsi"/>
        </w:rPr>
        <w:t>Park</w:t>
      </w:r>
      <w:r w:rsidR="003B50ED">
        <w:rPr>
          <w:rFonts w:cstheme="minorHAnsi"/>
        </w:rPr>
        <w:t xml:space="preserve"> </w:t>
      </w:r>
      <w:r w:rsidRPr="00A26C26">
        <w:rPr>
          <w:rFonts w:cstheme="minorHAnsi"/>
        </w:rPr>
        <w:t>krajobrazowy</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Grzymiszewie</w:t>
      </w:r>
    </w:p>
    <w:p w14:paraId="42079A52" w14:textId="4C97B317" w:rsidR="00224658" w:rsidRPr="00A26C26" w:rsidRDefault="00224658" w:rsidP="008A412F">
      <w:pPr>
        <w:numPr>
          <w:ilvl w:val="0"/>
          <w:numId w:val="10"/>
        </w:numPr>
        <w:spacing w:line="276" w:lineRule="auto"/>
        <w:ind w:left="426" w:hanging="284"/>
        <w:jc w:val="both"/>
        <w:rPr>
          <w:rFonts w:cstheme="minorHAnsi"/>
        </w:rPr>
      </w:pPr>
      <w:r w:rsidRPr="00A26C26">
        <w:rPr>
          <w:rFonts w:cstheme="minorHAnsi"/>
        </w:rPr>
        <w:t>Park</w:t>
      </w:r>
      <w:r w:rsidR="003B50ED">
        <w:rPr>
          <w:rFonts w:cstheme="minorHAnsi"/>
        </w:rPr>
        <w:t xml:space="preserve"> </w:t>
      </w:r>
      <w:r w:rsidRPr="00A26C26">
        <w:rPr>
          <w:rFonts w:cstheme="minorHAnsi"/>
        </w:rPr>
        <w:t>krajobrazowy</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Tuliszkowie</w:t>
      </w:r>
    </w:p>
    <w:p w14:paraId="38B824D7" w14:textId="3B5488DC" w:rsidR="00224658" w:rsidRPr="00A26C26" w:rsidRDefault="00224658" w:rsidP="008A412F">
      <w:pPr>
        <w:numPr>
          <w:ilvl w:val="0"/>
          <w:numId w:val="10"/>
        </w:numPr>
        <w:spacing w:line="276" w:lineRule="auto"/>
        <w:ind w:left="426" w:hanging="284"/>
        <w:jc w:val="both"/>
        <w:rPr>
          <w:rFonts w:cstheme="minorHAnsi"/>
        </w:rPr>
      </w:pPr>
      <w:r w:rsidRPr="00A26C26">
        <w:rPr>
          <w:rFonts w:cstheme="minorHAnsi"/>
        </w:rPr>
        <w:t>Park</w:t>
      </w:r>
      <w:r w:rsidR="003B50ED">
        <w:rPr>
          <w:rFonts w:cstheme="minorHAnsi"/>
        </w:rPr>
        <w:t xml:space="preserve"> </w:t>
      </w:r>
      <w:r w:rsidRPr="00A26C26">
        <w:rPr>
          <w:rFonts w:cstheme="minorHAnsi"/>
        </w:rPr>
        <w:t>krajobrazowy</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Smaszewie</w:t>
      </w:r>
    </w:p>
    <w:p w14:paraId="0B6A18E9" w14:textId="6AF5F14C" w:rsidR="00224658" w:rsidRPr="00A26C26" w:rsidRDefault="00224658" w:rsidP="008A412F">
      <w:pPr>
        <w:numPr>
          <w:ilvl w:val="0"/>
          <w:numId w:val="10"/>
        </w:numPr>
        <w:spacing w:line="276" w:lineRule="auto"/>
        <w:ind w:left="426" w:hanging="284"/>
        <w:jc w:val="both"/>
        <w:rPr>
          <w:rFonts w:cstheme="minorHAnsi"/>
        </w:rPr>
      </w:pPr>
      <w:r w:rsidRPr="00A26C26">
        <w:rPr>
          <w:rFonts w:cstheme="minorHAnsi"/>
        </w:rPr>
        <w:t>Park</w:t>
      </w:r>
      <w:r w:rsidR="003B50ED">
        <w:rPr>
          <w:rFonts w:cstheme="minorHAnsi"/>
        </w:rPr>
        <w:t xml:space="preserve"> </w:t>
      </w:r>
      <w:r w:rsidRPr="00A26C26">
        <w:rPr>
          <w:rFonts w:cstheme="minorHAnsi"/>
        </w:rPr>
        <w:t>Krajobrazowy</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Grodźcu</w:t>
      </w:r>
    </w:p>
    <w:p w14:paraId="004A5D18" w14:textId="7702C2AD" w:rsidR="00224658" w:rsidRPr="00A26C26" w:rsidRDefault="00224658" w:rsidP="008A412F">
      <w:pPr>
        <w:numPr>
          <w:ilvl w:val="0"/>
          <w:numId w:val="10"/>
        </w:numPr>
        <w:spacing w:line="276" w:lineRule="auto"/>
        <w:ind w:left="426" w:hanging="284"/>
        <w:jc w:val="both"/>
        <w:rPr>
          <w:rFonts w:cstheme="minorHAnsi"/>
        </w:rPr>
      </w:pPr>
      <w:r w:rsidRPr="00A26C26">
        <w:rPr>
          <w:rFonts w:cstheme="minorHAnsi"/>
        </w:rPr>
        <w:t>Złotogórski</w:t>
      </w:r>
      <w:r w:rsidR="003B50ED">
        <w:rPr>
          <w:rFonts w:cstheme="minorHAnsi"/>
        </w:rPr>
        <w:t xml:space="preserve"> </w:t>
      </w:r>
      <w:r w:rsidRPr="00A26C26">
        <w:rPr>
          <w:rFonts w:cstheme="minorHAnsi"/>
        </w:rPr>
        <w:t>Obszar</w:t>
      </w:r>
      <w:r w:rsidR="003B50ED">
        <w:rPr>
          <w:rFonts w:cstheme="minorHAnsi"/>
        </w:rPr>
        <w:t xml:space="preserve"> </w:t>
      </w:r>
      <w:r w:rsidRPr="00A26C26">
        <w:rPr>
          <w:rFonts w:cstheme="minorHAnsi"/>
        </w:rPr>
        <w:t>Chronionego</w:t>
      </w:r>
      <w:r w:rsidR="003B50ED">
        <w:rPr>
          <w:rFonts w:cstheme="minorHAnsi"/>
        </w:rPr>
        <w:t xml:space="preserve"> </w:t>
      </w:r>
      <w:r w:rsidRPr="00A26C26">
        <w:rPr>
          <w:rFonts w:cstheme="minorHAnsi"/>
        </w:rPr>
        <w:t>Krajobrazu</w:t>
      </w:r>
    </w:p>
    <w:p w14:paraId="3FE208E8" w14:textId="3434280E" w:rsidR="00224658" w:rsidRPr="00A26C26" w:rsidRDefault="00224658" w:rsidP="00A26C26">
      <w:pPr>
        <w:spacing w:line="276" w:lineRule="auto"/>
        <w:ind w:firstLine="142"/>
        <w:jc w:val="both"/>
        <w:rPr>
          <w:rFonts w:cstheme="minorHAnsi"/>
        </w:rPr>
      </w:pPr>
      <w:r w:rsidRPr="00A26C26">
        <w:rPr>
          <w:rFonts w:cstheme="minorHAnsi"/>
        </w:rPr>
        <w:t>Cennym</w:t>
      </w:r>
      <w:r w:rsidR="003B50ED">
        <w:rPr>
          <w:rFonts w:cstheme="minorHAnsi"/>
        </w:rPr>
        <w:t xml:space="preserve"> </w:t>
      </w:r>
      <w:r w:rsidRPr="00A26C26">
        <w:rPr>
          <w:rFonts w:cstheme="minorHAnsi"/>
        </w:rPr>
        <w:t>zasobem</w:t>
      </w:r>
      <w:r w:rsidR="003B50ED">
        <w:rPr>
          <w:rFonts w:cstheme="minorHAnsi"/>
        </w:rPr>
        <w:t xml:space="preserve"> </w:t>
      </w:r>
      <w:r w:rsidRPr="00A26C26">
        <w:rPr>
          <w:rFonts w:cstheme="minorHAnsi"/>
        </w:rPr>
        <w:t>przyrodniczym</w:t>
      </w:r>
      <w:r w:rsidR="003B50ED">
        <w:rPr>
          <w:rFonts w:cstheme="minorHAnsi"/>
        </w:rPr>
        <w:t xml:space="preserve"> </w:t>
      </w:r>
      <w:r w:rsidRPr="00A26C26">
        <w:rPr>
          <w:rFonts w:cstheme="minorHAnsi"/>
        </w:rPr>
        <w:t>są</w:t>
      </w:r>
      <w:r w:rsidR="003B50ED">
        <w:rPr>
          <w:rFonts w:cstheme="minorHAnsi"/>
        </w:rPr>
        <w:t xml:space="preserve"> </w:t>
      </w:r>
      <w:r w:rsidRPr="00A26C26">
        <w:rPr>
          <w:rFonts w:cstheme="minorHAnsi"/>
        </w:rPr>
        <w:t>występujące</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terenie</w:t>
      </w:r>
      <w:r w:rsidR="003B50ED">
        <w:rPr>
          <w:rFonts w:cstheme="minorHAnsi"/>
        </w:rPr>
        <w:t xml:space="preserve"> </w:t>
      </w:r>
      <w:r w:rsidRPr="00A26C26">
        <w:rPr>
          <w:rFonts w:cstheme="minorHAnsi"/>
        </w:rPr>
        <w:t>LGD</w:t>
      </w:r>
      <w:r w:rsidR="003B50ED">
        <w:rPr>
          <w:rFonts w:cstheme="minorHAnsi"/>
        </w:rPr>
        <w:t xml:space="preserve"> </w:t>
      </w:r>
      <w:r w:rsidRPr="00A26C26">
        <w:rPr>
          <w:rFonts w:cstheme="minorHAnsi"/>
        </w:rPr>
        <w:t>„Solidarni</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Partnerstwie”</w:t>
      </w:r>
      <w:r w:rsidR="003B50ED">
        <w:rPr>
          <w:rFonts w:cstheme="minorHAnsi"/>
        </w:rPr>
        <w:t xml:space="preserve"> </w:t>
      </w:r>
      <w:r w:rsidRPr="00A26C26">
        <w:rPr>
          <w:rFonts w:cstheme="minorHAnsi"/>
        </w:rPr>
        <w:t>pomniki</w:t>
      </w:r>
      <w:r w:rsidR="003B50ED">
        <w:rPr>
          <w:rFonts w:cstheme="minorHAnsi"/>
        </w:rPr>
        <w:t xml:space="preserve"> </w:t>
      </w:r>
      <w:r w:rsidRPr="00A26C26">
        <w:rPr>
          <w:rFonts w:cstheme="minorHAnsi"/>
        </w:rPr>
        <w:t>przyrody.</w:t>
      </w:r>
      <w:r w:rsidR="003B50ED">
        <w:rPr>
          <w:rFonts w:cstheme="minorHAnsi"/>
        </w:rPr>
        <w:t xml:space="preserve"> </w:t>
      </w:r>
      <w:r w:rsidRPr="00A26C26">
        <w:rPr>
          <w:rFonts w:cstheme="minorHAnsi"/>
        </w:rPr>
        <w:t>Lista</w:t>
      </w:r>
      <w:r w:rsidR="003B50ED">
        <w:rPr>
          <w:rFonts w:cstheme="minorHAnsi"/>
        </w:rPr>
        <w:t xml:space="preserve"> </w:t>
      </w:r>
      <w:r w:rsidRPr="00A26C26">
        <w:rPr>
          <w:rFonts w:cstheme="minorHAnsi"/>
        </w:rPr>
        <w:t>zewidencjonowanych</w:t>
      </w:r>
      <w:r w:rsidR="003B50ED">
        <w:rPr>
          <w:rFonts w:cstheme="minorHAnsi"/>
        </w:rPr>
        <w:t xml:space="preserve"> </w:t>
      </w:r>
      <w:r w:rsidRPr="00A26C26">
        <w:rPr>
          <w:rFonts w:cstheme="minorHAnsi"/>
        </w:rPr>
        <w:t>obiektów</w:t>
      </w:r>
      <w:r w:rsidR="003B50ED">
        <w:rPr>
          <w:rFonts w:cstheme="minorHAnsi"/>
        </w:rPr>
        <w:t xml:space="preserve"> </w:t>
      </w:r>
      <w:r w:rsidRPr="00A26C26">
        <w:rPr>
          <w:rFonts w:cstheme="minorHAnsi"/>
        </w:rPr>
        <w:t>zawiera</w:t>
      </w:r>
      <w:r w:rsidR="003B50ED">
        <w:rPr>
          <w:rFonts w:cstheme="minorHAnsi"/>
        </w:rPr>
        <w:t xml:space="preserve"> </w:t>
      </w:r>
      <w:r w:rsidRPr="00A26C26">
        <w:rPr>
          <w:rFonts w:cstheme="minorHAnsi"/>
        </w:rPr>
        <w:t>27</w:t>
      </w:r>
      <w:r w:rsidR="003B50ED">
        <w:rPr>
          <w:rFonts w:cstheme="minorHAnsi"/>
        </w:rPr>
        <w:t xml:space="preserve"> </w:t>
      </w:r>
      <w:r w:rsidRPr="00A26C26">
        <w:rPr>
          <w:rFonts w:cstheme="minorHAnsi"/>
        </w:rPr>
        <w:t>pozycji.</w:t>
      </w:r>
      <w:r w:rsidR="003B50ED">
        <w:rPr>
          <w:rFonts w:cstheme="minorHAnsi"/>
        </w:rPr>
        <w:t xml:space="preserve"> </w:t>
      </w:r>
      <w:r w:rsidRPr="00A26C26">
        <w:rPr>
          <w:rFonts w:cstheme="minorHAnsi"/>
        </w:rPr>
        <w:t>Większość</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nich</w:t>
      </w:r>
      <w:r w:rsidR="003B50ED">
        <w:rPr>
          <w:rFonts w:cstheme="minorHAnsi"/>
        </w:rPr>
        <w:t xml:space="preserve"> </w:t>
      </w:r>
      <w:r w:rsidRPr="00A26C26">
        <w:rPr>
          <w:rFonts w:cstheme="minorHAnsi"/>
        </w:rPr>
        <w:t>są</w:t>
      </w:r>
      <w:r w:rsidR="003B50ED">
        <w:rPr>
          <w:rFonts w:cstheme="minorHAnsi"/>
        </w:rPr>
        <w:t xml:space="preserve"> </w:t>
      </w:r>
      <w:r w:rsidRPr="00A26C26">
        <w:rPr>
          <w:rFonts w:cstheme="minorHAnsi"/>
        </w:rPr>
        <w:t>to</w:t>
      </w:r>
      <w:r w:rsidR="003B50ED">
        <w:rPr>
          <w:rFonts w:cstheme="minorHAnsi"/>
        </w:rPr>
        <w:t xml:space="preserve"> </w:t>
      </w:r>
      <w:r w:rsidRPr="00A26C26">
        <w:rPr>
          <w:rFonts w:cstheme="minorHAnsi"/>
        </w:rPr>
        <w:t>pojedyncze</w:t>
      </w:r>
      <w:r w:rsidR="003B50ED">
        <w:rPr>
          <w:rFonts w:cstheme="minorHAnsi"/>
        </w:rPr>
        <w:t xml:space="preserve"> </w:t>
      </w:r>
      <w:r w:rsidRPr="00A26C26">
        <w:rPr>
          <w:rFonts w:cstheme="minorHAnsi"/>
        </w:rPr>
        <w:t>drzewa,</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liście</w:t>
      </w:r>
      <w:r w:rsidR="003B50ED">
        <w:rPr>
          <w:rFonts w:cstheme="minorHAnsi"/>
        </w:rPr>
        <w:t xml:space="preserve"> </w:t>
      </w:r>
      <w:r w:rsidRPr="00A26C26">
        <w:rPr>
          <w:rFonts w:cstheme="minorHAnsi"/>
        </w:rPr>
        <w:t>są</w:t>
      </w:r>
      <w:r w:rsidR="003B50ED">
        <w:rPr>
          <w:rFonts w:cstheme="minorHAnsi"/>
        </w:rPr>
        <w:t xml:space="preserve"> </w:t>
      </w:r>
      <w:r w:rsidRPr="00A26C26">
        <w:rPr>
          <w:rFonts w:cstheme="minorHAnsi"/>
        </w:rPr>
        <w:t>także</w:t>
      </w:r>
      <w:r w:rsidR="003B50ED">
        <w:rPr>
          <w:rFonts w:cstheme="minorHAnsi"/>
        </w:rPr>
        <w:t xml:space="preserve"> </w:t>
      </w:r>
      <w:r w:rsidR="007E3E1A" w:rsidRPr="00A26C26">
        <w:rPr>
          <w:rFonts w:cstheme="minorHAnsi"/>
        </w:rPr>
        <w:br/>
      </w:r>
      <w:r w:rsidRPr="00A26C26">
        <w:rPr>
          <w:rFonts w:cstheme="minorHAnsi"/>
        </w:rPr>
        <w:t>4</w:t>
      </w:r>
      <w:r w:rsidR="003B50ED">
        <w:rPr>
          <w:rFonts w:cstheme="minorHAnsi"/>
        </w:rPr>
        <w:t xml:space="preserve"> </w:t>
      </w:r>
      <w:r w:rsidRPr="00A26C26">
        <w:rPr>
          <w:rFonts w:cstheme="minorHAnsi"/>
        </w:rPr>
        <w:t>grupy</w:t>
      </w:r>
      <w:r w:rsidR="003B50ED">
        <w:rPr>
          <w:rFonts w:cstheme="minorHAnsi"/>
        </w:rPr>
        <w:t xml:space="preserve"> </w:t>
      </w:r>
      <w:r w:rsidRPr="00A26C26">
        <w:rPr>
          <w:rFonts w:cstheme="minorHAnsi"/>
        </w:rPr>
        <w:t>drzew</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jeden</w:t>
      </w:r>
      <w:r w:rsidR="003B50ED">
        <w:rPr>
          <w:rFonts w:cstheme="minorHAnsi"/>
        </w:rPr>
        <w:t xml:space="preserve"> </w:t>
      </w:r>
      <w:r w:rsidRPr="00A26C26">
        <w:rPr>
          <w:rFonts w:cstheme="minorHAnsi"/>
        </w:rPr>
        <w:t>głaz</w:t>
      </w:r>
      <w:r w:rsidR="003B50ED">
        <w:rPr>
          <w:rFonts w:cstheme="minorHAnsi"/>
        </w:rPr>
        <w:t xml:space="preserve"> </w:t>
      </w:r>
      <w:r w:rsidRPr="00A26C26">
        <w:rPr>
          <w:rFonts w:cstheme="minorHAnsi"/>
        </w:rPr>
        <w:t>narzutowy.</w:t>
      </w:r>
    </w:p>
    <w:p w14:paraId="5D7C860C" w14:textId="722D8B5A" w:rsidR="00224658" w:rsidRPr="00A26C26" w:rsidRDefault="00224658" w:rsidP="00A26C26">
      <w:pPr>
        <w:spacing w:line="276" w:lineRule="auto"/>
        <w:ind w:firstLine="284"/>
        <w:jc w:val="both"/>
        <w:rPr>
          <w:rFonts w:cstheme="minorHAnsi"/>
        </w:rPr>
      </w:pPr>
      <w:r w:rsidRPr="00A26C26">
        <w:rPr>
          <w:rFonts w:cstheme="minorHAnsi"/>
        </w:rPr>
        <w:t>Jak</w:t>
      </w:r>
      <w:r w:rsidR="003B50ED">
        <w:rPr>
          <w:rFonts w:cstheme="minorHAnsi"/>
        </w:rPr>
        <w:t xml:space="preserve"> </w:t>
      </w:r>
      <w:r w:rsidRPr="00A26C26">
        <w:rPr>
          <w:rFonts w:cstheme="minorHAnsi"/>
        </w:rPr>
        <w:t>już</w:t>
      </w:r>
      <w:r w:rsidR="003B50ED">
        <w:rPr>
          <w:rFonts w:cstheme="minorHAnsi"/>
        </w:rPr>
        <w:t xml:space="preserve"> </w:t>
      </w:r>
      <w:r w:rsidRPr="00A26C26">
        <w:rPr>
          <w:rFonts w:cstheme="minorHAnsi"/>
        </w:rPr>
        <w:t>wskazano</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analizie</w:t>
      </w:r>
      <w:r w:rsidR="003B50ED">
        <w:rPr>
          <w:rFonts w:cstheme="minorHAnsi"/>
        </w:rPr>
        <w:t xml:space="preserve"> </w:t>
      </w:r>
      <w:r w:rsidRPr="00A26C26">
        <w:rPr>
          <w:rFonts w:cstheme="minorHAnsi"/>
        </w:rPr>
        <w:t>SWOT</w:t>
      </w:r>
      <w:r w:rsidR="003B50ED">
        <w:rPr>
          <w:rFonts w:cstheme="minorHAnsi"/>
        </w:rPr>
        <w:t xml:space="preserve"> </w:t>
      </w:r>
      <w:r w:rsidRPr="00A26C26">
        <w:rPr>
          <w:rFonts w:cstheme="minorHAnsi"/>
        </w:rPr>
        <w:t>infrastruktura</w:t>
      </w:r>
      <w:r w:rsidR="003B50ED">
        <w:rPr>
          <w:rFonts w:cstheme="minorHAnsi"/>
        </w:rPr>
        <w:t xml:space="preserve"> </w:t>
      </w:r>
      <w:r w:rsidRPr="00A26C26">
        <w:rPr>
          <w:rFonts w:cstheme="minorHAnsi"/>
        </w:rPr>
        <w:t>turystyczna,</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tym</w:t>
      </w:r>
      <w:r w:rsidR="003B50ED">
        <w:rPr>
          <w:rFonts w:cstheme="minorHAnsi"/>
        </w:rPr>
        <w:t xml:space="preserve"> </w:t>
      </w:r>
      <w:r w:rsidRPr="00A26C26">
        <w:rPr>
          <w:rFonts w:cstheme="minorHAnsi"/>
        </w:rPr>
        <w:t>noclegowa</w:t>
      </w:r>
      <w:r w:rsidR="003B50ED">
        <w:rPr>
          <w:rFonts w:cstheme="minorHAnsi"/>
        </w:rPr>
        <w:t xml:space="preserve"> </w:t>
      </w:r>
      <w:r w:rsidRPr="00A26C26">
        <w:rPr>
          <w:rFonts w:cstheme="minorHAnsi"/>
        </w:rPr>
        <w:t>jest</w:t>
      </w:r>
      <w:r w:rsidR="003B50ED">
        <w:rPr>
          <w:rFonts w:cstheme="minorHAnsi"/>
        </w:rPr>
        <w:t xml:space="preserve"> </w:t>
      </w:r>
      <w:r w:rsidRPr="00A26C26">
        <w:rPr>
          <w:rFonts w:cstheme="minorHAnsi"/>
        </w:rPr>
        <w:t>niewystarczająco</w:t>
      </w:r>
      <w:r w:rsidR="003B50ED">
        <w:rPr>
          <w:rFonts w:cstheme="minorHAnsi"/>
        </w:rPr>
        <w:t xml:space="preserve"> </w:t>
      </w:r>
      <w:r w:rsidRPr="00A26C26">
        <w:rPr>
          <w:rFonts w:cstheme="minorHAnsi"/>
        </w:rPr>
        <w:t>rozwinięta.</w:t>
      </w:r>
      <w:r w:rsidR="003B50ED">
        <w:rPr>
          <w:rFonts w:cstheme="minorHAnsi"/>
        </w:rPr>
        <w:t xml:space="preserve"> </w:t>
      </w:r>
      <w:r w:rsidRPr="00A26C26">
        <w:rPr>
          <w:rFonts w:cstheme="minorHAnsi"/>
        </w:rPr>
        <w:t>Obszar</w:t>
      </w:r>
      <w:r w:rsidR="003B50ED">
        <w:rPr>
          <w:rFonts w:cstheme="minorHAnsi"/>
        </w:rPr>
        <w:t xml:space="preserve"> </w:t>
      </w:r>
      <w:r w:rsidRPr="00A26C26">
        <w:rPr>
          <w:rFonts w:cstheme="minorHAnsi"/>
        </w:rPr>
        <w:t>LGD</w:t>
      </w:r>
      <w:r w:rsidR="003B50ED">
        <w:rPr>
          <w:rFonts w:cstheme="minorHAnsi"/>
        </w:rPr>
        <w:t xml:space="preserve"> </w:t>
      </w:r>
      <w:r w:rsidRPr="00A26C26">
        <w:rPr>
          <w:rFonts w:cstheme="minorHAnsi"/>
        </w:rPr>
        <w:t>pod</w:t>
      </w:r>
      <w:r w:rsidR="003B50ED">
        <w:rPr>
          <w:rFonts w:cstheme="minorHAnsi"/>
        </w:rPr>
        <w:t xml:space="preserve"> </w:t>
      </w:r>
      <w:r w:rsidRPr="00A26C26">
        <w:rPr>
          <w:rFonts w:cstheme="minorHAnsi"/>
        </w:rPr>
        <w:t>względem</w:t>
      </w:r>
      <w:r w:rsidR="003B50ED">
        <w:rPr>
          <w:rFonts w:cstheme="minorHAnsi"/>
        </w:rPr>
        <w:t xml:space="preserve"> </w:t>
      </w:r>
      <w:r w:rsidRPr="00A26C26">
        <w:rPr>
          <w:rFonts w:cstheme="minorHAnsi"/>
        </w:rPr>
        <w:t>infrastruktury</w:t>
      </w:r>
      <w:r w:rsidR="003B50ED">
        <w:rPr>
          <w:rFonts w:cstheme="minorHAnsi"/>
        </w:rPr>
        <w:t xml:space="preserve"> </w:t>
      </w:r>
      <w:r w:rsidRPr="00F638F8">
        <w:rPr>
          <w:rFonts w:cstheme="minorHAnsi"/>
        </w:rPr>
        <w:t>noclegowej</w:t>
      </w:r>
      <w:r w:rsidR="003B50ED" w:rsidRPr="00F638F8">
        <w:rPr>
          <w:rFonts w:cstheme="minorHAnsi"/>
        </w:rPr>
        <w:t xml:space="preserve"> </w:t>
      </w:r>
      <w:r w:rsidRPr="00F638F8">
        <w:rPr>
          <w:rFonts w:cstheme="minorHAnsi"/>
        </w:rPr>
        <w:t>nie</w:t>
      </w:r>
      <w:r w:rsidR="003B50ED" w:rsidRPr="00F638F8">
        <w:rPr>
          <w:rFonts w:cstheme="minorHAnsi"/>
        </w:rPr>
        <w:t xml:space="preserve"> </w:t>
      </w:r>
      <w:r w:rsidRPr="00F638F8">
        <w:rPr>
          <w:rFonts w:cstheme="minorHAnsi"/>
        </w:rPr>
        <w:t>przedstawia</w:t>
      </w:r>
      <w:r w:rsidR="003B50ED" w:rsidRPr="00F638F8">
        <w:rPr>
          <w:rFonts w:cstheme="minorHAnsi"/>
        </w:rPr>
        <w:t xml:space="preserve"> </w:t>
      </w:r>
      <w:r w:rsidR="009E33C5" w:rsidRPr="00F638F8">
        <w:rPr>
          <w:rFonts w:cstheme="minorHAnsi"/>
        </w:rPr>
        <w:t xml:space="preserve">się </w:t>
      </w:r>
      <w:r w:rsidRPr="00F638F8">
        <w:rPr>
          <w:rFonts w:cstheme="minorHAnsi"/>
        </w:rPr>
        <w:t>korzystnie.</w:t>
      </w:r>
      <w:r w:rsidR="003B50ED" w:rsidRPr="00F638F8">
        <w:rPr>
          <w:rFonts w:cstheme="minorHAnsi"/>
        </w:rPr>
        <w:t xml:space="preserve"> </w:t>
      </w:r>
      <w:r w:rsidRPr="00F638F8">
        <w:rPr>
          <w:rFonts w:cstheme="minorHAnsi"/>
        </w:rPr>
        <w:t>Łącznie</w:t>
      </w:r>
      <w:r w:rsidR="003B50ED" w:rsidRPr="00F638F8">
        <w:rPr>
          <w:rFonts w:cstheme="minorHAnsi"/>
        </w:rPr>
        <w:t xml:space="preserve"> </w:t>
      </w:r>
      <w:r w:rsidRPr="00F638F8">
        <w:rPr>
          <w:rFonts w:cstheme="minorHAnsi"/>
        </w:rPr>
        <w:t>na</w:t>
      </w:r>
      <w:r w:rsidR="003B50ED" w:rsidRPr="00F638F8">
        <w:rPr>
          <w:rFonts w:cstheme="minorHAnsi"/>
        </w:rPr>
        <w:t xml:space="preserve"> </w:t>
      </w:r>
      <w:r w:rsidRPr="00F638F8">
        <w:rPr>
          <w:rFonts w:cstheme="minorHAnsi"/>
        </w:rPr>
        <w:t>obszarze</w:t>
      </w:r>
      <w:r w:rsidR="003B50ED">
        <w:rPr>
          <w:rFonts w:cstheme="minorHAnsi"/>
        </w:rPr>
        <w:t xml:space="preserve"> </w:t>
      </w:r>
      <w:r w:rsidRPr="00A26C26">
        <w:rPr>
          <w:rFonts w:cstheme="minorHAnsi"/>
        </w:rPr>
        <w:t>działania</w:t>
      </w:r>
      <w:r w:rsidR="003B50ED">
        <w:rPr>
          <w:rFonts w:cstheme="minorHAnsi"/>
        </w:rPr>
        <w:t xml:space="preserve"> </w:t>
      </w:r>
      <w:r w:rsidRPr="00A26C26">
        <w:rPr>
          <w:rFonts w:cstheme="minorHAnsi"/>
        </w:rPr>
        <w:t>stowarzyszenia</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2021</w:t>
      </w:r>
      <w:r w:rsidR="003B50ED">
        <w:rPr>
          <w:rFonts w:cstheme="minorHAnsi"/>
        </w:rPr>
        <w:t xml:space="preserve"> </w:t>
      </w:r>
      <w:r w:rsidRPr="00A26C26">
        <w:rPr>
          <w:rFonts w:cstheme="minorHAnsi"/>
        </w:rPr>
        <w:t>rok</w:t>
      </w:r>
      <w:r w:rsidR="003B50ED">
        <w:rPr>
          <w:rFonts w:cstheme="minorHAnsi"/>
        </w:rPr>
        <w:t xml:space="preserve"> </w:t>
      </w:r>
      <w:r w:rsidRPr="00A26C26">
        <w:rPr>
          <w:rFonts w:cstheme="minorHAnsi"/>
        </w:rPr>
        <w:t>były</w:t>
      </w:r>
      <w:r w:rsidR="003B50ED">
        <w:rPr>
          <w:rFonts w:cstheme="minorHAnsi"/>
        </w:rPr>
        <w:t xml:space="preserve"> </w:t>
      </w:r>
      <w:r w:rsidRPr="00A26C26">
        <w:rPr>
          <w:rFonts w:cstheme="minorHAnsi"/>
        </w:rPr>
        <w:t>dostępne</w:t>
      </w:r>
      <w:r w:rsidR="003B50ED">
        <w:rPr>
          <w:rFonts w:cstheme="minorHAnsi"/>
        </w:rPr>
        <w:t xml:space="preserve"> </w:t>
      </w:r>
      <w:r w:rsidRPr="00A26C26">
        <w:rPr>
          <w:rFonts w:cstheme="minorHAnsi"/>
        </w:rPr>
        <w:t>3</w:t>
      </w:r>
      <w:r w:rsidR="003B50ED">
        <w:rPr>
          <w:rFonts w:cstheme="minorHAnsi"/>
        </w:rPr>
        <w:t xml:space="preserve"> </w:t>
      </w:r>
      <w:r w:rsidRPr="00A26C26">
        <w:rPr>
          <w:rFonts w:cstheme="minorHAnsi"/>
        </w:rPr>
        <w:t>całoroczne</w:t>
      </w:r>
      <w:r w:rsidR="003B50ED">
        <w:rPr>
          <w:rFonts w:cstheme="minorHAnsi"/>
        </w:rPr>
        <w:t xml:space="preserve"> </w:t>
      </w:r>
      <w:r w:rsidRPr="00A26C26">
        <w:rPr>
          <w:rFonts w:cstheme="minorHAnsi"/>
        </w:rPr>
        <w:t>obiekty</w:t>
      </w:r>
      <w:r w:rsidR="003B50ED">
        <w:rPr>
          <w:rFonts w:cstheme="minorHAnsi"/>
        </w:rPr>
        <w:t xml:space="preserve"> </w:t>
      </w:r>
      <w:r w:rsidRPr="00A26C26">
        <w:rPr>
          <w:rFonts w:cstheme="minorHAnsi"/>
        </w:rPr>
        <w:t>noclegowe,</w:t>
      </w:r>
      <w:r w:rsidR="003B50ED">
        <w:rPr>
          <w:rFonts w:cstheme="minorHAnsi"/>
        </w:rPr>
        <w:t xml:space="preserve"> </w:t>
      </w:r>
      <w:r w:rsidRPr="00A26C26">
        <w:rPr>
          <w:rFonts w:cstheme="minorHAnsi"/>
        </w:rPr>
        <w:t>które</w:t>
      </w:r>
      <w:r w:rsidR="003B50ED">
        <w:rPr>
          <w:rFonts w:cstheme="minorHAnsi"/>
        </w:rPr>
        <w:t xml:space="preserve"> </w:t>
      </w:r>
      <w:r w:rsidRPr="00A26C26">
        <w:rPr>
          <w:rFonts w:cstheme="minorHAnsi"/>
        </w:rPr>
        <w:t>dysponowały</w:t>
      </w:r>
      <w:r w:rsidR="003B50ED">
        <w:rPr>
          <w:rFonts w:cstheme="minorHAnsi"/>
        </w:rPr>
        <w:t xml:space="preserve"> </w:t>
      </w:r>
      <w:r w:rsidRPr="00A26C26">
        <w:rPr>
          <w:rFonts w:cstheme="minorHAnsi"/>
        </w:rPr>
        <w:t>101</w:t>
      </w:r>
      <w:r w:rsidR="003B50ED">
        <w:rPr>
          <w:rFonts w:cstheme="minorHAnsi"/>
        </w:rPr>
        <w:t xml:space="preserve"> </w:t>
      </w:r>
      <w:r w:rsidRPr="00A26C26">
        <w:rPr>
          <w:rFonts w:cstheme="minorHAnsi"/>
        </w:rPr>
        <w:t>miejscami</w:t>
      </w:r>
      <w:r w:rsidR="003B50ED">
        <w:rPr>
          <w:rFonts w:cstheme="minorHAnsi"/>
        </w:rPr>
        <w:t xml:space="preserve"> </w:t>
      </w:r>
      <w:r w:rsidRPr="00A26C26">
        <w:rPr>
          <w:rFonts w:cstheme="minorHAnsi"/>
        </w:rPr>
        <w:t>noclegowymi.</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kolei</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przypadku</w:t>
      </w:r>
      <w:r w:rsidR="003B50ED">
        <w:rPr>
          <w:rFonts w:cstheme="minorHAnsi"/>
        </w:rPr>
        <w:t xml:space="preserve"> </w:t>
      </w:r>
      <w:r w:rsidRPr="00A26C26">
        <w:rPr>
          <w:rFonts w:cstheme="minorHAnsi"/>
        </w:rPr>
        <w:t>miejsc</w:t>
      </w:r>
      <w:r w:rsidR="003B50ED">
        <w:rPr>
          <w:rFonts w:cstheme="minorHAnsi"/>
        </w:rPr>
        <w:t xml:space="preserve"> </w:t>
      </w:r>
      <w:r w:rsidRPr="00A26C26">
        <w:rPr>
          <w:rFonts w:cstheme="minorHAnsi"/>
        </w:rPr>
        <w:t>noclegowych</w:t>
      </w:r>
      <w:r w:rsidR="003B50ED">
        <w:rPr>
          <w:rFonts w:cstheme="minorHAnsi"/>
        </w:rPr>
        <w:t xml:space="preserve"> </w:t>
      </w:r>
      <w:r w:rsidRPr="00A26C26">
        <w:rPr>
          <w:rFonts w:cstheme="minorHAnsi"/>
        </w:rPr>
        <w:t>udostępnianych</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gospodarstwach</w:t>
      </w:r>
      <w:r w:rsidR="003B50ED">
        <w:rPr>
          <w:rFonts w:cstheme="minorHAnsi"/>
        </w:rPr>
        <w:t xml:space="preserve"> </w:t>
      </w:r>
      <w:r w:rsidRPr="00A26C26">
        <w:rPr>
          <w:rFonts w:cstheme="minorHAnsi"/>
        </w:rPr>
        <w:t>agroturystycznych,</w:t>
      </w:r>
      <w:r w:rsidR="003B50ED">
        <w:rPr>
          <w:rFonts w:cstheme="minorHAnsi"/>
        </w:rPr>
        <w:t xml:space="preserve"> </w:t>
      </w:r>
      <w:r w:rsidRPr="00A26C26">
        <w:rPr>
          <w:rFonts w:cstheme="minorHAnsi"/>
        </w:rPr>
        <w:t>to</w:t>
      </w:r>
      <w:r w:rsidR="003B50ED">
        <w:rPr>
          <w:rFonts w:cstheme="minorHAnsi"/>
        </w:rPr>
        <w:t xml:space="preserve"> </w:t>
      </w:r>
      <w:r w:rsidRPr="00A26C26">
        <w:rPr>
          <w:rFonts w:cstheme="minorHAnsi"/>
        </w:rPr>
        <w:t>ofertę</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tym</w:t>
      </w:r>
      <w:r w:rsidR="003B50ED">
        <w:rPr>
          <w:rFonts w:cstheme="minorHAnsi"/>
        </w:rPr>
        <w:t xml:space="preserve"> </w:t>
      </w:r>
      <w:r w:rsidRPr="00A26C26">
        <w:rPr>
          <w:rFonts w:cstheme="minorHAnsi"/>
        </w:rPr>
        <w:t>zakresie</w:t>
      </w:r>
      <w:r w:rsidR="003B50ED">
        <w:rPr>
          <w:rFonts w:cstheme="minorHAnsi"/>
        </w:rPr>
        <w:t xml:space="preserve"> </w:t>
      </w:r>
      <w:r w:rsidRPr="00A26C26">
        <w:rPr>
          <w:rFonts w:cstheme="minorHAnsi"/>
        </w:rPr>
        <w:t>posiada</w:t>
      </w:r>
      <w:r w:rsidR="003B50ED">
        <w:rPr>
          <w:rFonts w:cstheme="minorHAnsi"/>
        </w:rPr>
        <w:t xml:space="preserve"> </w:t>
      </w:r>
      <w:r w:rsidRPr="00A26C26">
        <w:rPr>
          <w:rFonts w:cstheme="minorHAnsi"/>
        </w:rPr>
        <w:t>jedynie</w:t>
      </w:r>
      <w:r w:rsidR="003B50ED">
        <w:rPr>
          <w:rFonts w:cstheme="minorHAnsi"/>
        </w:rPr>
        <w:t xml:space="preserve"> </w:t>
      </w:r>
      <w:r w:rsidRPr="00A26C26">
        <w:rPr>
          <w:rFonts w:cstheme="minorHAnsi"/>
        </w:rPr>
        <w:t>gmina</w:t>
      </w:r>
      <w:r w:rsidR="003B50ED">
        <w:rPr>
          <w:rFonts w:cstheme="minorHAnsi"/>
        </w:rPr>
        <w:t xml:space="preserve"> </w:t>
      </w:r>
      <w:r w:rsidRPr="00A26C26">
        <w:rPr>
          <w:rFonts w:cstheme="minorHAnsi"/>
        </w:rPr>
        <w:t>Stare</w:t>
      </w:r>
      <w:r w:rsidR="003B50ED">
        <w:rPr>
          <w:rFonts w:cstheme="minorHAnsi"/>
        </w:rPr>
        <w:t xml:space="preserve"> </w:t>
      </w:r>
      <w:r w:rsidRPr="00A26C26">
        <w:rPr>
          <w:rFonts w:cstheme="minorHAnsi"/>
        </w:rPr>
        <w:t>Miasto,</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terenie</w:t>
      </w:r>
      <w:r w:rsidR="003B50ED">
        <w:rPr>
          <w:rFonts w:cstheme="minorHAnsi"/>
        </w:rPr>
        <w:t xml:space="preserve"> </w:t>
      </w:r>
      <w:r w:rsidRPr="00A26C26">
        <w:rPr>
          <w:rFonts w:cstheme="minorHAnsi"/>
        </w:rPr>
        <w:t>której</w:t>
      </w:r>
      <w:r w:rsidR="003B50ED">
        <w:rPr>
          <w:rFonts w:cstheme="minorHAnsi"/>
        </w:rPr>
        <w:t xml:space="preserve"> </w:t>
      </w:r>
      <w:r w:rsidRPr="00A26C26">
        <w:rPr>
          <w:rFonts w:cstheme="minorHAnsi"/>
        </w:rPr>
        <w:t>znajduje</w:t>
      </w:r>
      <w:r w:rsidR="003B50ED">
        <w:rPr>
          <w:rFonts w:cstheme="minorHAnsi"/>
        </w:rPr>
        <w:t xml:space="preserve"> </w:t>
      </w:r>
      <w:r w:rsidRPr="00A26C26">
        <w:rPr>
          <w:rFonts w:cstheme="minorHAnsi"/>
        </w:rPr>
        <w:t>się</w:t>
      </w:r>
      <w:r w:rsidR="003B50ED">
        <w:rPr>
          <w:rFonts w:cstheme="minorHAnsi"/>
        </w:rPr>
        <w:t xml:space="preserve"> </w:t>
      </w:r>
      <w:r w:rsidRPr="00A26C26">
        <w:rPr>
          <w:rFonts w:cstheme="minorHAnsi"/>
        </w:rPr>
        <w:t>1</w:t>
      </w:r>
      <w:r w:rsidR="003B50ED">
        <w:rPr>
          <w:rFonts w:cstheme="minorHAnsi"/>
        </w:rPr>
        <w:t xml:space="preserve"> </w:t>
      </w:r>
      <w:r w:rsidRPr="00A26C26">
        <w:rPr>
          <w:rFonts w:cstheme="minorHAnsi"/>
        </w:rPr>
        <w:t>obiekt</w:t>
      </w:r>
      <w:r w:rsidR="003B50ED">
        <w:rPr>
          <w:rFonts w:cstheme="minorHAnsi"/>
        </w:rPr>
        <w:t xml:space="preserve"> </w:t>
      </w:r>
      <w:r w:rsidRPr="00A26C26">
        <w:rPr>
          <w:rFonts w:cstheme="minorHAnsi"/>
        </w:rPr>
        <w:t>dysponujący</w:t>
      </w:r>
      <w:r w:rsidR="003B50ED">
        <w:rPr>
          <w:rFonts w:cstheme="minorHAnsi"/>
        </w:rPr>
        <w:t xml:space="preserve"> </w:t>
      </w:r>
      <w:r w:rsidRPr="00A26C26">
        <w:rPr>
          <w:rFonts w:cstheme="minorHAnsi"/>
        </w:rPr>
        <w:t>13</w:t>
      </w:r>
      <w:r w:rsidR="003B50ED">
        <w:rPr>
          <w:rFonts w:cstheme="minorHAnsi"/>
        </w:rPr>
        <w:t xml:space="preserve"> </w:t>
      </w:r>
      <w:r w:rsidRPr="00A26C26">
        <w:rPr>
          <w:rFonts w:cstheme="minorHAnsi"/>
        </w:rPr>
        <w:t>miejscami</w:t>
      </w:r>
      <w:r w:rsidR="003B50ED">
        <w:rPr>
          <w:rFonts w:cstheme="minorHAnsi"/>
        </w:rPr>
        <w:t xml:space="preserve"> </w:t>
      </w:r>
      <w:r w:rsidRPr="00A26C26">
        <w:rPr>
          <w:rFonts w:cstheme="minorHAnsi"/>
        </w:rPr>
        <w:t>noclegowymi.</w:t>
      </w:r>
      <w:r w:rsidR="003B50ED">
        <w:rPr>
          <w:rFonts w:cstheme="minorHAnsi"/>
        </w:rPr>
        <w:t xml:space="preserve"> </w:t>
      </w:r>
    </w:p>
    <w:p w14:paraId="0D2F5374" w14:textId="6248B5FC" w:rsidR="00224658" w:rsidRPr="00A26C26" w:rsidRDefault="00224658" w:rsidP="00A26C26">
      <w:pPr>
        <w:spacing w:line="276" w:lineRule="auto"/>
        <w:ind w:firstLine="284"/>
        <w:jc w:val="both"/>
        <w:rPr>
          <w:rFonts w:cstheme="minorHAnsi"/>
        </w:rPr>
      </w:pPr>
      <w:r w:rsidRPr="00A26C26">
        <w:rPr>
          <w:rFonts w:cstheme="minorHAnsi"/>
        </w:rPr>
        <w:t>Powyższe</w:t>
      </w:r>
      <w:r w:rsidR="003B50ED">
        <w:rPr>
          <w:rFonts w:cstheme="minorHAnsi"/>
        </w:rPr>
        <w:t xml:space="preserve"> </w:t>
      </w:r>
      <w:r w:rsidRPr="00A26C26">
        <w:rPr>
          <w:rFonts w:cstheme="minorHAnsi"/>
        </w:rPr>
        <w:t>badania</w:t>
      </w:r>
      <w:r w:rsidR="003B50ED">
        <w:rPr>
          <w:rFonts w:cstheme="minorHAnsi"/>
        </w:rPr>
        <w:t xml:space="preserve"> </w:t>
      </w:r>
      <w:r w:rsidRPr="00A26C26">
        <w:rPr>
          <w:rFonts w:cstheme="minorHAnsi"/>
        </w:rPr>
        <w:t>jednoznacznie</w:t>
      </w:r>
      <w:r w:rsidR="003B50ED">
        <w:rPr>
          <w:rFonts w:cstheme="minorHAnsi"/>
        </w:rPr>
        <w:t xml:space="preserve"> </w:t>
      </w:r>
      <w:r w:rsidRPr="00A26C26">
        <w:rPr>
          <w:rFonts w:cstheme="minorHAnsi"/>
        </w:rPr>
        <w:t>wskazują</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rosnące</w:t>
      </w:r>
      <w:r w:rsidR="003B50ED">
        <w:rPr>
          <w:rFonts w:cstheme="minorHAnsi"/>
        </w:rPr>
        <w:t xml:space="preserve"> </w:t>
      </w:r>
      <w:r w:rsidRPr="00A26C26">
        <w:rPr>
          <w:rFonts w:cstheme="minorHAnsi"/>
        </w:rPr>
        <w:t>zapotrzebowanie</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miejsca</w:t>
      </w:r>
      <w:r w:rsidR="003B50ED">
        <w:rPr>
          <w:rFonts w:cstheme="minorHAnsi"/>
        </w:rPr>
        <w:t xml:space="preserve"> </w:t>
      </w:r>
      <w:r w:rsidRPr="00A26C26">
        <w:rPr>
          <w:rFonts w:cstheme="minorHAnsi"/>
        </w:rPr>
        <w:t>noclegowe.</w:t>
      </w:r>
      <w:r w:rsidR="003B50ED">
        <w:rPr>
          <w:rFonts w:cstheme="minorHAnsi"/>
        </w:rPr>
        <w:t xml:space="preserve"> </w:t>
      </w:r>
      <w:r w:rsidRPr="00A26C26">
        <w:rPr>
          <w:rFonts w:cstheme="minorHAnsi"/>
        </w:rPr>
        <w:t>Rozwój</w:t>
      </w:r>
      <w:r w:rsidR="003B50ED">
        <w:rPr>
          <w:rFonts w:cstheme="minorHAnsi"/>
        </w:rPr>
        <w:t xml:space="preserve"> </w:t>
      </w:r>
      <w:r w:rsidRPr="00A26C26">
        <w:rPr>
          <w:rFonts w:cstheme="minorHAnsi"/>
        </w:rPr>
        <w:t>infrastruktury</w:t>
      </w:r>
      <w:r w:rsidR="003B50ED">
        <w:rPr>
          <w:rFonts w:cstheme="minorHAnsi"/>
        </w:rPr>
        <w:t xml:space="preserve"> </w:t>
      </w:r>
      <w:r w:rsidRPr="00A26C26">
        <w:rPr>
          <w:rFonts w:cstheme="minorHAnsi"/>
        </w:rPr>
        <w:t>turystycznej</w:t>
      </w:r>
      <w:r w:rsidR="003B50ED">
        <w:rPr>
          <w:rFonts w:cstheme="minorHAnsi"/>
        </w:rPr>
        <w:t xml:space="preserve"> </w:t>
      </w:r>
      <w:r w:rsidRPr="00A26C26">
        <w:rPr>
          <w:rFonts w:cstheme="minorHAnsi"/>
        </w:rPr>
        <w:t>a</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ślad</w:t>
      </w:r>
      <w:r w:rsidR="003B50ED">
        <w:rPr>
          <w:rFonts w:cstheme="minorHAnsi"/>
        </w:rPr>
        <w:t xml:space="preserve"> </w:t>
      </w:r>
      <w:r w:rsidRPr="00A26C26">
        <w:rPr>
          <w:rFonts w:cstheme="minorHAnsi"/>
        </w:rPr>
        <w:t>za</w:t>
      </w:r>
      <w:r w:rsidR="003B50ED">
        <w:rPr>
          <w:rFonts w:cstheme="minorHAnsi"/>
        </w:rPr>
        <w:t xml:space="preserve"> </w:t>
      </w:r>
      <w:r w:rsidRPr="00A26C26">
        <w:rPr>
          <w:rFonts w:cstheme="minorHAnsi"/>
        </w:rPr>
        <w:t>tym</w:t>
      </w:r>
      <w:r w:rsidR="003B50ED">
        <w:rPr>
          <w:rFonts w:cstheme="minorHAnsi"/>
        </w:rPr>
        <w:t xml:space="preserve"> </w:t>
      </w:r>
      <w:r w:rsidRPr="00A26C26">
        <w:rPr>
          <w:rFonts w:cstheme="minorHAnsi"/>
        </w:rPr>
        <w:t>zwiększenie</w:t>
      </w:r>
      <w:r w:rsidR="003B50ED">
        <w:rPr>
          <w:rFonts w:cstheme="minorHAnsi"/>
        </w:rPr>
        <w:t xml:space="preserve"> </w:t>
      </w:r>
      <w:r w:rsidRPr="00A26C26">
        <w:rPr>
          <w:rFonts w:cstheme="minorHAnsi"/>
        </w:rPr>
        <w:t>przychodów</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tworzenie</w:t>
      </w:r>
      <w:r w:rsidR="003B50ED">
        <w:rPr>
          <w:rFonts w:cstheme="minorHAnsi"/>
        </w:rPr>
        <w:t xml:space="preserve"> </w:t>
      </w:r>
      <w:r w:rsidRPr="00A26C26">
        <w:rPr>
          <w:rFonts w:cstheme="minorHAnsi"/>
        </w:rPr>
        <w:t>nowych</w:t>
      </w:r>
      <w:r w:rsidR="003B50ED">
        <w:rPr>
          <w:rFonts w:cstheme="minorHAnsi"/>
        </w:rPr>
        <w:t xml:space="preserve"> </w:t>
      </w:r>
      <w:r w:rsidRPr="00A26C26">
        <w:rPr>
          <w:rFonts w:cstheme="minorHAnsi"/>
        </w:rPr>
        <w:t>miejsc</w:t>
      </w:r>
      <w:r w:rsidR="003B50ED">
        <w:rPr>
          <w:rFonts w:cstheme="minorHAnsi"/>
        </w:rPr>
        <w:t xml:space="preserve"> </w:t>
      </w:r>
      <w:r w:rsidRPr="00A26C26">
        <w:rPr>
          <w:rFonts w:cstheme="minorHAnsi"/>
        </w:rPr>
        <w:t>pracy</w:t>
      </w:r>
      <w:r w:rsidR="003B50ED">
        <w:rPr>
          <w:rFonts w:cstheme="minorHAnsi"/>
        </w:rPr>
        <w:t xml:space="preserve"> </w:t>
      </w:r>
      <w:r w:rsidRPr="00A26C26">
        <w:rPr>
          <w:rFonts w:cstheme="minorHAnsi"/>
        </w:rPr>
        <w:t>może</w:t>
      </w:r>
      <w:r w:rsidR="003B50ED">
        <w:rPr>
          <w:rFonts w:cstheme="minorHAnsi"/>
        </w:rPr>
        <w:t xml:space="preserve"> </w:t>
      </w:r>
      <w:r w:rsidRPr="00A26C26">
        <w:rPr>
          <w:rFonts w:cstheme="minorHAnsi"/>
        </w:rPr>
        <w:t>mieć</w:t>
      </w:r>
      <w:r w:rsidR="003B50ED">
        <w:rPr>
          <w:rFonts w:cstheme="minorHAnsi"/>
        </w:rPr>
        <w:t xml:space="preserve"> </w:t>
      </w:r>
      <w:r w:rsidRPr="00A26C26">
        <w:rPr>
          <w:rFonts w:cstheme="minorHAnsi"/>
        </w:rPr>
        <w:t>pozytywny</w:t>
      </w:r>
      <w:r w:rsidR="003B50ED">
        <w:rPr>
          <w:rFonts w:cstheme="minorHAnsi"/>
        </w:rPr>
        <w:t xml:space="preserve"> </w:t>
      </w:r>
      <w:r w:rsidRPr="00A26C26">
        <w:rPr>
          <w:rFonts w:cstheme="minorHAnsi"/>
        </w:rPr>
        <w:t>wpływ</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zmniejszenie</w:t>
      </w:r>
      <w:r w:rsidR="003B50ED">
        <w:rPr>
          <w:rFonts w:cstheme="minorHAnsi"/>
        </w:rPr>
        <w:t xml:space="preserve"> </w:t>
      </w:r>
      <w:r w:rsidRPr="00A26C26">
        <w:rPr>
          <w:rFonts w:cstheme="minorHAnsi"/>
        </w:rPr>
        <w:t>migracji</w:t>
      </w:r>
      <w:r w:rsidR="003B50ED">
        <w:rPr>
          <w:rFonts w:cstheme="minorHAnsi"/>
        </w:rPr>
        <w:t xml:space="preserve"> </w:t>
      </w:r>
      <w:r w:rsidRPr="00A26C26">
        <w:rPr>
          <w:rFonts w:cstheme="minorHAnsi"/>
        </w:rPr>
        <w:t>młodych</w:t>
      </w:r>
      <w:r w:rsidR="003B50ED">
        <w:rPr>
          <w:rFonts w:cstheme="minorHAnsi"/>
        </w:rPr>
        <w:t xml:space="preserve"> </w:t>
      </w:r>
      <w:r w:rsidRPr="00A26C26">
        <w:rPr>
          <w:rFonts w:cstheme="minorHAnsi"/>
        </w:rPr>
        <w:t>ludzi</w:t>
      </w:r>
      <w:r w:rsidR="003B50ED">
        <w:rPr>
          <w:rFonts w:cstheme="minorHAnsi"/>
        </w:rPr>
        <w:t xml:space="preserve"> </w:t>
      </w:r>
      <w:r w:rsidRPr="00A26C26">
        <w:rPr>
          <w:rFonts w:cstheme="minorHAnsi"/>
        </w:rPr>
        <w:t>do</w:t>
      </w:r>
      <w:r w:rsidR="003B50ED">
        <w:rPr>
          <w:rFonts w:cstheme="minorHAnsi"/>
        </w:rPr>
        <w:t xml:space="preserve"> </w:t>
      </w:r>
      <w:r w:rsidRPr="00A26C26">
        <w:rPr>
          <w:rFonts w:cstheme="minorHAnsi"/>
        </w:rPr>
        <w:t>miasta</w:t>
      </w:r>
      <w:r w:rsidR="003B50ED">
        <w:rPr>
          <w:rFonts w:cstheme="minorHAnsi"/>
        </w:rPr>
        <w:t xml:space="preserve"> </w:t>
      </w:r>
      <w:r w:rsidRPr="00A26C26">
        <w:rPr>
          <w:rFonts w:cstheme="minorHAnsi"/>
        </w:rPr>
        <w:t>oraz</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zwiększenie</w:t>
      </w:r>
      <w:r w:rsidR="003B50ED">
        <w:rPr>
          <w:rFonts w:cstheme="minorHAnsi"/>
        </w:rPr>
        <w:t xml:space="preserve"> </w:t>
      </w:r>
      <w:r w:rsidRPr="00A26C26">
        <w:rPr>
          <w:rFonts w:cstheme="minorHAnsi"/>
        </w:rPr>
        <w:t>przychodów</w:t>
      </w:r>
      <w:r w:rsidR="003B50ED">
        <w:rPr>
          <w:rFonts w:cstheme="minorHAnsi"/>
        </w:rPr>
        <w:t xml:space="preserve"> </w:t>
      </w:r>
      <w:r w:rsidRPr="00A26C26">
        <w:rPr>
          <w:rFonts w:cstheme="minorHAnsi"/>
        </w:rPr>
        <w:t>gospodarstw</w:t>
      </w:r>
      <w:r w:rsidR="003B50ED">
        <w:rPr>
          <w:rFonts w:cstheme="minorHAnsi"/>
        </w:rPr>
        <w:t xml:space="preserve"> </w:t>
      </w:r>
      <w:r w:rsidRPr="00A26C26">
        <w:rPr>
          <w:rFonts w:cstheme="minorHAnsi"/>
        </w:rPr>
        <w:t>rolnych.</w:t>
      </w:r>
      <w:r w:rsidR="003B50ED">
        <w:rPr>
          <w:rFonts w:cstheme="minorHAnsi"/>
        </w:rPr>
        <w:t xml:space="preserve"> </w:t>
      </w:r>
    </w:p>
    <w:p w14:paraId="23742D03" w14:textId="5309CD87" w:rsidR="00224658" w:rsidRPr="00A26C26" w:rsidRDefault="00224658" w:rsidP="00AA737D">
      <w:pPr>
        <w:spacing w:line="276" w:lineRule="auto"/>
        <w:ind w:firstLine="284"/>
        <w:jc w:val="both"/>
        <w:rPr>
          <w:rFonts w:cstheme="minorHAnsi"/>
        </w:rPr>
      </w:pPr>
      <w:r w:rsidRPr="00A26C26">
        <w:rPr>
          <w:rFonts w:cstheme="minorHAnsi"/>
        </w:rPr>
        <w:t>Poniższe</w:t>
      </w:r>
      <w:r w:rsidR="003B50ED">
        <w:rPr>
          <w:rFonts w:cstheme="minorHAnsi"/>
        </w:rPr>
        <w:t xml:space="preserve"> </w:t>
      </w:r>
      <w:r w:rsidRPr="00A26C26">
        <w:rPr>
          <w:rFonts w:cstheme="minorHAnsi"/>
        </w:rPr>
        <w:t>tabele</w:t>
      </w:r>
      <w:r w:rsidR="003B50ED">
        <w:rPr>
          <w:rFonts w:cstheme="minorHAnsi"/>
        </w:rPr>
        <w:t xml:space="preserve"> </w:t>
      </w:r>
      <w:r w:rsidRPr="00A26C26">
        <w:rPr>
          <w:rFonts w:cstheme="minorHAnsi"/>
        </w:rPr>
        <w:t>przedstawiają</w:t>
      </w:r>
      <w:r w:rsidR="003B50ED">
        <w:rPr>
          <w:rFonts w:cstheme="minorHAnsi"/>
        </w:rPr>
        <w:t xml:space="preserve"> </w:t>
      </w:r>
      <w:r w:rsidRPr="00A26C26">
        <w:rPr>
          <w:rFonts w:cstheme="minorHAnsi"/>
        </w:rPr>
        <w:t>stan</w:t>
      </w:r>
      <w:r w:rsidR="003B50ED">
        <w:rPr>
          <w:rFonts w:cstheme="minorHAnsi"/>
        </w:rPr>
        <w:t xml:space="preserve"> </w:t>
      </w:r>
      <w:r w:rsidRPr="00A26C26">
        <w:rPr>
          <w:rFonts w:cstheme="minorHAnsi"/>
        </w:rPr>
        <w:t>infrastruktury</w:t>
      </w:r>
      <w:r w:rsidR="003B50ED">
        <w:rPr>
          <w:rFonts w:cstheme="minorHAnsi"/>
        </w:rPr>
        <w:t xml:space="preserve"> </w:t>
      </w:r>
      <w:r w:rsidRPr="00A26C26">
        <w:rPr>
          <w:rFonts w:cstheme="minorHAnsi"/>
        </w:rPr>
        <w:t>noclegowej</w:t>
      </w:r>
      <w:r w:rsidR="003B50ED">
        <w:rPr>
          <w:rFonts w:cstheme="minorHAnsi"/>
        </w:rPr>
        <w:t xml:space="preserve"> </w:t>
      </w:r>
      <w:r w:rsidRPr="00A26C26">
        <w:rPr>
          <w:rFonts w:cstheme="minorHAnsi"/>
        </w:rPr>
        <w:t>dostępnej</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obszarze</w:t>
      </w:r>
      <w:r w:rsidR="003B50ED">
        <w:rPr>
          <w:rFonts w:cstheme="minorHAnsi"/>
        </w:rPr>
        <w:t xml:space="preserve"> </w:t>
      </w:r>
      <w:r w:rsidRPr="00A26C26">
        <w:rPr>
          <w:rFonts w:cstheme="minorHAnsi"/>
        </w:rPr>
        <w:t>LGD</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przestrzeni</w:t>
      </w:r>
      <w:r w:rsidR="003B50ED">
        <w:rPr>
          <w:rFonts w:cstheme="minorHAnsi"/>
        </w:rPr>
        <w:t xml:space="preserve"> </w:t>
      </w:r>
      <w:r w:rsidRPr="00A26C26">
        <w:rPr>
          <w:rFonts w:cstheme="minorHAnsi"/>
        </w:rPr>
        <w:t>ostatnich</w:t>
      </w:r>
      <w:r w:rsidR="003B50ED">
        <w:rPr>
          <w:rFonts w:cstheme="minorHAnsi"/>
        </w:rPr>
        <w:t xml:space="preserve"> </w:t>
      </w:r>
      <w:r w:rsidRPr="00A26C26">
        <w:rPr>
          <w:rFonts w:cstheme="minorHAnsi"/>
        </w:rPr>
        <w:t>lat</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jednoznacznie</w:t>
      </w:r>
      <w:r w:rsidR="003B50ED">
        <w:rPr>
          <w:rFonts w:cstheme="minorHAnsi"/>
        </w:rPr>
        <w:t xml:space="preserve"> </w:t>
      </w:r>
      <w:r w:rsidRPr="00A26C26">
        <w:rPr>
          <w:rFonts w:cstheme="minorHAnsi"/>
        </w:rPr>
        <w:t>wskazują</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konieczność</w:t>
      </w:r>
      <w:r w:rsidR="003B50ED">
        <w:rPr>
          <w:rFonts w:cstheme="minorHAnsi"/>
        </w:rPr>
        <w:t xml:space="preserve"> </w:t>
      </w:r>
      <w:r w:rsidRPr="00A26C26">
        <w:rPr>
          <w:rFonts w:cstheme="minorHAnsi"/>
        </w:rPr>
        <w:t>podjęcia</w:t>
      </w:r>
      <w:r w:rsidR="003B50ED">
        <w:rPr>
          <w:rFonts w:cstheme="minorHAnsi"/>
        </w:rPr>
        <w:t xml:space="preserve"> </w:t>
      </w:r>
      <w:r w:rsidRPr="00A26C26">
        <w:rPr>
          <w:rFonts w:cstheme="minorHAnsi"/>
        </w:rPr>
        <w:t>działań</w:t>
      </w:r>
      <w:r w:rsidR="003B50ED">
        <w:rPr>
          <w:rFonts w:cstheme="minorHAnsi"/>
        </w:rPr>
        <w:t xml:space="preserve"> </w:t>
      </w:r>
      <w:r w:rsidRPr="00A26C26">
        <w:rPr>
          <w:rFonts w:cstheme="minorHAnsi"/>
        </w:rPr>
        <w:t>zwiększających</w:t>
      </w:r>
      <w:r w:rsidR="003B50ED">
        <w:rPr>
          <w:rFonts w:cstheme="minorHAnsi"/>
        </w:rPr>
        <w:t xml:space="preserve"> </w:t>
      </w:r>
      <w:r w:rsidRPr="00A26C26">
        <w:rPr>
          <w:rFonts w:cstheme="minorHAnsi"/>
        </w:rPr>
        <w:t>liczbę</w:t>
      </w:r>
      <w:r w:rsidR="003B50ED">
        <w:rPr>
          <w:rFonts w:cstheme="minorHAnsi"/>
        </w:rPr>
        <w:t xml:space="preserve"> </w:t>
      </w:r>
      <w:r w:rsidRPr="00A26C26">
        <w:rPr>
          <w:rFonts w:cstheme="minorHAnsi"/>
        </w:rPr>
        <w:t>miejsc</w:t>
      </w:r>
      <w:r w:rsidR="003B50ED">
        <w:rPr>
          <w:rFonts w:cstheme="minorHAnsi"/>
        </w:rPr>
        <w:t xml:space="preserve"> </w:t>
      </w:r>
      <w:r w:rsidRPr="00A26C26">
        <w:rPr>
          <w:rFonts w:cstheme="minorHAnsi"/>
        </w:rPr>
        <w:t>noclegowych</w:t>
      </w:r>
      <w:r w:rsidR="003B50ED">
        <w:rPr>
          <w:rFonts w:cstheme="minorHAnsi"/>
        </w:rPr>
        <w:t xml:space="preserve"> </w:t>
      </w:r>
      <w:r w:rsidRPr="00A26C26">
        <w:rPr>
          <w:rFonts w:cstheme="minorHAnsi"/>
        </w:rPr>
        <w:t>na</w:t>
      </w:r>
      <w:r w:rsidR="003B50ED">
        <w:rPr>
          <w:rFonts w:cstheme="minorHAnsi"/>
        </w:rPr>
        <w:t xml:space="preserve"> </w:t>
      </w:r>
      <w:r w:rsidR="00AB742D">
        <w:rPr>
          <w:rFonts w:cstheme="minorHAnsi"/>
        </w:rPr>
        <w:t>obszarze objętym LSR</w:t>
      </w:r>
      <w:r w:rsidRPr="00A26C26">
        <w:rPr>
          <w:rFonts w:cstheme="minorHAnsi"/>
        </w:rPr>
        <w:t>.</w:t>
      </w:r>
      <w:r w:rsidR="003B50ED">
        <w:rPr>
          <w:rFonts w:cstheme="minorHAnsi"/>
        </w:rPr>
        <w:t xml:space="preserve"> </w:t>
      </w:r>
    </w:p>
    <w:p w14:paraId="3AEF96A5" w14:textId="28791F13" w:rsidR="00224658" w:rsidRPr="00A26C26" w:rsidRDefault="00224658" w:rsidP="00A26C26">
      <w:pPr>
        <w:spacing w:line="276" w:lineRule="auto"/>
        <w:jc w:val="both"/>
        <w:rPr>
          <w:rFonts w:eastAsiaTheme="minorEastAsia" w:cstheme="minorHAnsi"/>
        </w:rPr>
      </w:pPr>
      <w:r w:rsidRPr="00A26C26">
        <w:rPr>
          <w:rFonts w:eastAsiaTheme="minorEastAsia" w:cstheme="minorHAnsi"/>
        </w:rPr>
        <w:t>Tabela</w:t>
      </w:r>
      <w:r w:rsidR="00396A11">
        <w:rPr>
          <w:rFonts w:eastAsiaTheme="minorEastAsia" w:cstheme="minorHAnsi"/>
        </w:rPr>
        <w:t xml:space="preserve"> nr </w:t>
      </w:r>
      <w:r w:rsidR="00203429">
        <w:rPr>
          <w:rFonts w:eastAsiaTheme="minorEastAsia" w:cstheme="minorHAnsi"/>
        </w:rPr>
        <w:t>19</w:t>
      </w:r>
      <w:r w:rsidR="003B50ED">
        <w:rPr>
          <w:rFonts w:eastAsiaTheme="minorEastAsia" w:cstheme="minorHAnsi"/>
        </w:rPr>
        <w:t xml:space="preserve"> </w:t>
      </w:r>
      <w:r w:rsidRPr="00A26C26">
        <w:rPr>
          <w:rFonts w:eastAsiaTheme="minorEastAsia" w:cstheme="minorHAnsi"/>
        </w:rPr>
        <w:t>Obiekty</w:t>
      </w:r>
      <w:r w:rsidR="003B50ED">
        <w:rPr>
          <w:rFonts w:eastAsiaTheme="minorEastAsia" w:cstheme="minorHAnsi"/>
        </w:rPr>
        <w:t xml:space="preserve"> </w:t>
      </w:r>
      <w:r w:rsidRPr="00A26C26">
        <w:rPr>
          <w:rFonts w:eastAsiaTheme="minorEastAsia" w:cstheme="minorHAnsi"/>
        </w:rPr>
        <w:t>noclegowe</w:t>
      </w:r>
      <w:r w:rsidR="003B50ED">
        <w:rPr>
          <w:rFonts w:eastAsiaTheme="minorEastAsia" w:cstheme="minorHAnsi"/>
        </w:rPr>
        <w:t xml:space="preserve"> </w:t>
      </w:r>
      <w:r w:rsidRPr="00A26C26">
        <w:rPr>
          <w:rFonts w:eastAsiaTheme="minorEastAsia" w:cstheme="minorHAnsi"/>
        </w:rPr>
        <w:t>całoroczne</w:t>
      </w:r>
    </w:p>
    <w:tbl>
      <w:tblPr>
        <w:tblW w:w="10201" w:type="dxa"/>
        <w:tblLayout w:type="fixed"/>
        <w:tblCellMar>
          <w:left w:w="70" w:type="dxa"/>
          <w:right w:w="70" w:type="dxa"/>
        </w:tblCellMar>
        <w:tblLook w:val="04A0" w:firstRow="1" w:lastRow="0" w:firstColumn="1" w:lastColumn="0" w:noHBand="0" w:noVBand="1"/>
      </w:tblPr>
      <w:tblGrid>
        <w:gridCol w:w="1980"/>
        <w:gridCol w:w="1644"/>
        <w:gridCol w:w="1644"/>
        <w:gridCol w:w="1644"/>
        <w:gridCol w:w="1644"/>
        <w:gridCol w:w="1645"/>
      </w:tblGrid>
      <w:tr w:rsidR="00224658" w:rsidRPr="00A26C26" w14:paraId="6A073BFA" w14:textId="77777777" w:rsidTr="007F1E76">
        <w:trPr>
          <w:trHeight w:val="249"/>
        </w:trPr>
        <w:tc>
          <w:tcPr>
            <w:tcW w:w="198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14730785" w14:textId="74E0B8DD"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Nazwa</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gminy</w:t>
            </w:r>
            <w:r w:rsidR="003B50ED">
              <w:rPr>
                <w:rFonts w:eastAsia="Times New Roman" w:cstheme="minorHAnsi"/>
                <w:color w:val="000000"/>
                <w:kern w:val="0"/>
                <w:lang w:eastAsia="pl-PL"/>
                <w14:ligatures w14:val="none"/>
              </w:rPr>
              <w:t xml:space="preserve"> </w:t>
            </w:r>
          </w:p>
        </w:tc>
        <w:tc>
          <w:tcPr>
            <w:tcW w:w="1644" w:type="dxa"/>
            <w:tcBorders>
              <w:top w:val="single" w:sz="4" w:space="0" w:color="auto"/>
              <w:left w:val="nil"/>
              <w:bottom w:val="single" w:sz="4" w:space="0" w:color="auto"/>
              <w:right w:val="single" w:sz="4" w:space="0" w:color="auto"/>
            </w:tcBorders>
            <w:shd w:val="clear" w:color="000000" w:fill="DDEBF7"/>
            <w:noWrap/>
            <w:vAlign w:val="bottom"/>
            <w:hideMark/>
          </w:tcPr>
          <w:p w14:paraId="1BF4290C"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2017</w:t>
            </w:r>
          </w:p>
        </w:tc>
        <w:tc>
          <w:tcPr>
            <w:tcW w:w="1644" w:type="dxa"/>
            <w:tcBorders>
              <w:top w:val="single" w:sz="4" w:space="0" w:color="auto"/>
              <w:left w:val="nil"/>
              <w:bottom w:val="single" w:sz="4" w:space="0" w:color="auto"/>
              <w:right w:val="single" w:sz="4" w:space="0" w:color="auto"/>
            </w:tcBorders>
            <w:shd w:val="clear" w:color="000000" w:fill="DDEBF7"/>
            <w:noWrap/>
            <w:vAlign w:val="bottom"/>
            <w:hideMark/>
          </w:tcPr>
          <w:p w14:paraId="00D77FE3"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2018</w:t>
            </w:r>
          </w:p>
        </w:tc>
        <w:tc>
          <w:tcPr>
            <w:tcW w:w="1644" w:type="dxa"/>
            <w:tcBorders>
              <w:top w:val="single" w:sz="4" w:space="0" w:color="auto"/>
              <w:left w:val="nil"/>
              <w:bottom w:val="single" w:sz="4" w:space="0" w:color="auto"/>
              <w:right w:val="single" w:sz="4" w:space="0" w:color="auto"/>
            </w:tcBorders>
            <w:shd w:val="clear" w:color="000000" w:fill="DDEBF7"/>
            <w:noWrap/>
            <w:vAlign w:val="bottom"/>
            <w:hideMark/>
          </w:tcPr>
          <w:p w14:paraId="6651E8BA"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2019</w:t>
            </w:r>
          </w:p>
        </w:tc>
        <w:tc>
          <w:tcPr>
            <w:tcW w:w="1644" w:type="dxa"/>
            <w:tcBorders>
              <w:top w:val="single" w:sz="4" w:space="0" w:color="auto"/>
              <w:left w:val="nil"/>
              <w:bottom w:val="single" w:sz="4" w:space="0" w:color="auto"/>
              <w:right w:val="single" w:sz="4" w:space="0" w:color="auto"/>
            </w:tcBorders>
            <w:shd w:val="clear" w:color="000000" w:fill="DDEBF7"/>
            <w:noWrap/>
            <w:vAlign w:val="bottom"/>
            <w:hideMark/>
          </w:tcPr>
          <w:p w14:paraId="6F5A096D"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2020</w:t>
            </w:r>
          </w:p>
        </w:tc>
        <w:tc>
          <w:tcPr>
            <w:tcW w:w="1645" w:type="dxa"/>
            <w:tcBorders>
              <w:top w:val="single" w:sz="4" w:space="0" w:color="auto"/>
              <w:left w:val="nil"/>
              <w:bottom w:val="single" w:sz="4" w:space="0" w:color="auto"/>
              <w:right w:val="single" w:sz="4" w:space="0" w:color="auto"/>
            </w:tcBorders>
            <w:shd w:val="clear" w:color="000000" w:fill="DDEBF7"/>
            <w:noWrap/>
            <w:vAlign w:val="bottom"/>
            <w:hideMark/>
          </w:tcPr>
          <w:p w14:paraId="6C288871"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2021</w:t>
            </w:r>
          </w:p>
        </w:tc>
      </w:tr>
      <w:tr w:rsidR="00224658" w:rsidRPr="00A26C26" w14:paraId="1AC244E3"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294D970"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Rzgów</w:t>
            </w:r>
          </w:p>
        </w:tc>
        <w:tc>
          <w:tcPr>
            <w:tcW w:w="1644" w:type="dxa"/>
            <w:tcBorders>
              <w:top w:val="nil"/>
              <w:left w:val="nil"/>
              <w:bottom w:val="single" w:sz="4" w:space="0" w:color="auto"/>
              <w:right w:val="single" w:sz="4" w:space="0" w:color="auto"/>
            </w:tcBorders>
            <w:shd w:val="clear" w:color="auto" w:fill="auto"/>
            <w:noWrap/>
            <w:vAlign w:val="bottom"/>
            <w:hideMark/>
          </w:tcPr>
          <w:p w14:paraId="13665B95"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w:t>
            </w:r>
          </w:p>
        </w:tc>
        <w:tc>
          <w:tcPr>
            <w:tcW w:w="1644" w:type="dxa"/>
            <w:tcBorders>
              <w:top w:val="nil"/>
              <w:left w:val="nil"/>
              <w:bottom w:val="single" w:sz="4" w:space="0" w:color="auto"/>
              <w:right w:val="single" w:sz="4" w:space="0" w:color="auto"/>
            </w:tcBorders>
            <w:shd w:val="clear" w:color="auto" w:fill="auto"/>
            <w:noWrap/>
            <w:vAlign w:val="bottom"/>
            <w:hideMark/>
          </w:tcPr>
          <w:p w14:paraId="58D417F4"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w:t>
            </w:r>
          </w:p>
        </w:tc>
        <w:tc>
          <w:tcPr>
            <w:tcW w:w="1644" w:type="dxa"/>
            <w:tcBorders>
              <w:top w:val="nil"/>
              <w:left w:val="nil"/>
              <w:bottom w:val="single" w:sz="4" w:space="0" w:color="auto"/>
              <w:right w:val="single" w:sz="4" w:space="0" w:color="auto"/>
            </w:tcBorders>
            <w:shd w:val="clear" w:color="auto" w:fill="auto"/>
            <w:noWrap/>
            <w:vAlign w:val="bottom"/>
            <w:hideMark/>
          </w:tcPr>
          <w:p w14:paraId="5BA7C7A7"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w:t>
            </w:r>
          </w:p>
        </w:tc>
        <w:tc>
          <w:tcPr>
            <w:tcW w:w="1644" w:type="dxa"/>
            <w:tcBorders>
              <w:top w:val="nil"/>
              <w:left w:val="nil"/>
              <w:bottom w:val="single" w:sz="4" w:space="0" w:color="auto"/>
              <w:right w:val="single" w:sz="4" w:space="0" w:color="auto"/>
            </w:tcBorders>
            <w:shd w:val="clear" w:color="auto" w:fill="auto"/>
            <w:noWrap/>
            <w:vAlign w:val="bottom"/>
            <w:hideMark/>
          </w:tcPr>
          <w:p w14:paraId="4EA32D9B"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w:t>
            </w:r>
          </w:p>
        </w:tc>
        <w:tc>
          <w:tcPr>
            <w:tcW w:w="1645" w:type="dxa"/>
            <w:tcBorders>
              <w:top w:val="nil"/>
              <w:left w:val="nil"/>
              <w:bottom w:val="single" w:sz="4" w:space="0" w:color="auto"/>
              <w:right w:val="single" w:sz="4" w:space="0" w:color="auto"/>
            </w:tcBorders>
            <w:shd w:val="clear" w:color="auto" w:fill="auto"/>
            <w:noWrap/>
            <w:vAlign w:val="bottom"/>
            <w:hideMark/>
          </w:tcPr>
          <w:p w14:paraId="65196846"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0</w:t>
            </w:r>
          </w:p>
        </w:tc>
      </w:tr>
      <w:tr w:rsidR="00224658" w:rsidRPr="00A26C26" w14:paraId="42068A5B"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9D96AD1" w14:textId="47692D7C"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Stare</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Miasto</w:t>
            </w:r>
          </w:p>
        </w:tc>
        <w:tc>
          <w:tcPr>
            <w:tcW w:w="1644" w:type="dxa"/>
            <w:tcBorders>
              <w:top w:val="nil"/>
              <w:left w:val="nil"/>
              <w:bottom w:val="single" w:sz="4" w:space="0" w:color="auto"/>
              <w:right w:val="single" w:sz="4" w:space="0" w:color="auto"/>
            </w:tcBorders>
            <w:shd w:val="clear" w:color="auto" w:fill="auto"/>
            <w:noWrap/>
            <w:vAlign w:val="bottom"/>
            <w:hideMark/>
          </w:tcPr>
          <w:p w14:paraId="14E3B02A"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4</w:t>
            </w:r>
          </w:p>
        </w:tc>
        <w:tc>
          <w:tcPr>
            <w:tcW w:w="1644" w:type="dxa"/>
            <w:tcBorders>
              <w:top w:val="nil"/>
              <w:left w:val="nil"/>
              <w:bottom w:val="single" w:sz="4" w:space="0" w:color="auto"/>
              <w:right w:val="single" w:sz="4" w:space="0" w:color="auto"/>
            </w:tcBorders>
            <w:shd w:val="clear" w:color="auto" w:fill="auto"/>
            <w:noWrap/>
            <w:vAlign w:val="bottom"/>
            <w:hideMark/>
          </w:tcPr>
          <w:p w14:paraId="7DEA05BC"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3</w:t>
            </w:r>
          </w:p>
        </w:tc>
        <w:tc>
          <w:tcPr>
            <w:tcW w:w="1644" w:type="dxa"/>
            <w:tcBorders>
              <w:top w:val="nil"/>
              <w:left w:val="nil"/>
              <w:bottom w:val="single" w:sz="4" w:space="0" w:color="auto"/>
              <w:right w:val="single" w:sz="4" w:space="0" w:color="auto"/>
            </w:tcBorders>
            <w:shd w:val="clear" w:color="auto" w:fill="auto"/>
            <w:noWrap/>
            <w:vAlign w:val="bottom"/>
            <w:hideMark/>
          </w:tcPr>
          <w:p w14:paraId="15EAEC45"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3</w:t>
            </w:r>
          </w:p>
        </w:tc>
        <w:tc>
          <w:tcPr>
            <w:tcW w:w="1644" w:type="dxa"/>
            <w:tcBorders>
              <w:top w:val="nil"/>
              <w:left w:val="nil"/>
              <w:bottom w:val="single" w:sz="4" w:space="0" w:color="auto"/>
              <w:right w:val="single" w:sz="4" w:space="0" w:color="auto"/>
            </w:tcBorders>
            <w:shd w:val="clear" w:color="auto" w:fill="auto"/>
            <w:noWrap/>
            <w:vAlign w:val="bottom"/>
            <w:hideMark/>
          </w:tcPr>
          <w:p w14:paraId="7076C6FD"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3</w:t>
            </w:r>
          </w:p>
        </w:tc>
        <w:tc>
          <w:tcPr>
            <w:tcW w:w="1645" w:type="dxa"/>
            <w:tcBorders>
              <w:top w:val="nil"/>
              <w:left w:val="nil"/>
              <w:bottom w:val="single" w:sz="4" w:space="0" w:color="auto"/>
              <w:right w:val="single" w:sz="4" w:space="0" w:color="auto"/>
            </w:tcBorders>
            <w:shd w:val="clear" w:color="auto" w:fill="auto"/>
            <w:noWrap/>
            <w:vAlign w:val="bottom"/>
            <w:hideMark/>
          </w:tcPr>
          <w:p w14:paraId="17BCD365"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3</w:t>
            </w:r>
          </w:p>
        </w:tc>
      </w:tr>
      <w:tr w:rsidR="00224658" w:rsidRPr="00A26C26" w14:paraId="16D375B5" w14:textId="77777777" w:rsidTr="007F1E76">
        <w:trPr>
          <w:trHeight w:val="249"/>
        </w:trPr>
        <w:tc>
          <w:tcPr>
            <w:tcW w:w="1980" w:type="dxa"/>
            <w:tcBorders>
              <w:top w:val="nil"/>
              <w:left w:val="single" w:sz="4" w:space="0" w:color="auto"/>
              <w:bottom w:val="single" w:sz="4" w:space="0" w:color="auto"/>
              <w:right w:val="single" w:sz="4" w:space="0" w:color="auto"/>
            </w:tcBorders>
            <w:shd w:val="clear" w:color="000000" w:fill="DDEBF7"/>
            <w:noWrap/>
            <w:vAlign w:val="bottom"/>
            <w:hideMark/>
          </w:tcPr>
          <w:p w14:paraId="0FF69589" w14:textId="6B565A2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Razem</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LGD</w:t>
            </w:r>
          </w:p>
        </w:tc>
        <w:tc>
          <w:tcPr>
            <w:tcW w:w="1644" w:type="dxa"/>
            <w:tcBorders>
              <w:top w:val="nil"/>
              <w:left w:val="nil"/>
              <w:bottom w:val="single" w:sz="4" w:space="0" w:color="auto"/>
              <w:right w:val="single" w:sz="4" w:space="0" w:color="auto"/>
            </w:tcBorders>
            <w:shd w:val="clear" w:color="000000" w:fill="DDEBF7"/>
            <w:noWrap/>
            <w:vAlign w:val="bottom"/>
            <w:hideMark/>
          </w:tcPr>
          <w:p w14:paraId="01D35F65"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5</w:t>
            </w:r>
          </w:p>
        </w:tc>
        <w:tc>
          <w:tcPr>
            <w:tcW w:w="1644" w:type="dxa"/>
            <w:tcBorders>
              <w:top w:val="nil"/>
              <w:left w:val="nil"/>
              <w:bottom w:val="single" w:sz="4" w:space="0" w:color="auto"/>
              <w:right w:val="single" w:sz="4" w:space="0" w:color="auto"/>
            </w:tcBorders>
            <w:shd w:val="clear" w:color="000000" w:fill="DDEBF7"/>
            <w:noWrap/>
            <w:vAlign w:val="bottom"/>
            <w:hideMark/>
          </w:tcPr>
          <w:p w14:paraId="24FF6921"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4</w:t>
            </w:r>
          </w:p>
        </w:tc>
        <w:tc>
          <w:tcPr>
            <w:tcW w:w="1644" w:type="dxa"/>
            <w:tcBorders>
              <w:top w:val="nil"/>
              <w:left w:val="nil"/>
              <w:bottom w:val="single" w:sz="4" w:space="0" w:color="auto"/>
              <w:right w:val="single" w:sz="4" w:space="0" w:color="auto"/>
            </w:tcBorders>
            <w:shd w:val="clear" w:color="000000" w:fill="DDEBF7"/>
            <w:noWrap/>
            <w:vAlign w:val="bottom"/>
            <w:hideMark/>
          </w:tcPr>
          <w:p w14:paraId="7570DCBF"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4</w:t>
            </w:r>
          </w:p>
        </w:tc>
        <w:tc>
          <w:tcPr>
            <w:tcW w:w="1644" w:type="dxa"/>
            <w:tcBorders>
              <w:top w:val="nil"/>
              <w:left w:val="nil"/>
              <w:bottom w:val="single" w:sz="4" w:space="0" w:color="auto"/>
              <w:right w:val="single" w:sz="4" w:space="0" w:color="auto"/>
            </w:tcBorders>
            <w:shd w:val="clear" w:color="000000" w:fill="DDEBF7"/>
            <w:noWrap/>
            <w:vAlign w:val="bottom"/>
            <w:hideMark/>
          </w:tcPr>
          <w:p w14:paraId="05D1805B"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4</w:t>
            </w:r>
          </w:p>
        </w:tc>
        <w:tc>
          <w:tcPr>
            <w:tcW w:w="1645" w:type="dxa"/>
            <w:tcBorders>
              <w:top w:val="nil"/>
              <w:left w:val="nil"/>
              <w:bottom w:val="single" w:sz="4" w:space="0" w:color="auto"/>
              <w:right w:val="single" w:sz="4" w:space="0" w:color="auto"/>
            </w:tcBorders>
            <w:shd w:val="clear" w:color="000000" w:fill="DDEBF7"/>
            <w:noWrap/>
            <w:vAlign w:val="bottom"/>
            <w:hideMark/>
          </w:tcPr>
          <w:p w14:paraId="5135C500"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3</w:t>
            </w:r>
          </w:p>
        </w:tc>
      </w:tr>
    </w:tbl>
    <w:p w14:paraId="28F8DE7E" w14:textId="3D6E7EF8" w:rsidR="00224658" w:rsidRPr="00A26C26" w:rsidRDefault="00224658" w:rsidP="00A26C26">
      <w:pPr>
        <w:spacing w:line="276" w:lineRule="auto"/>
        <w:rPr>
          <w:rFonts w:cstheme="minorHAnsi"/>
        </w:rPr>
      </w:pPr>
      <w:r w:rsidRPr="00A26C26">
        <w:rPr>
          <w:rFonts w:cstheme="minorHAnsi"/>
        </w:rPr>
        <w:t>Źródło:</w:t>
      </w:r>
      <w:r w:rsidR="003B50ED">
        <w:rPr>
          <w:rFonts w:cstheme="minorHAnsi"/>
        </w:rPr>
        <w:t xml:space="preserve"> </w:t>
      </w:r>
      <w:r w:rsidRPr="00A26C26">
        <w:rPr>
          <w:rFonts w:cstheme="minorHAnsi"/>
        </w:rPr>
        <w:t>GUS,</w:t>
      </w:r>
      <w:r w:rsidR="003B50ED">
        <w:rPr>
          <w:rFonts w:cstheme="minorHAnsi"/>
        </w:rPr>
        <w:t xml:space="preserve"> </w:t>
      </w:r>
      <w:r w:rsidRPr="00A26C26">
        <w:rPr>
          <w:rFonts w:cstheme="minorHAnsi"/>
        </w:rPr>
        <w:t>Bank</w:t>
      </w:r>
      <w:r w:rsidR="003B50ED">
        <w:rPr>
          <w:rFonts w:cstheme="minorHAnsi"/>
        </w:rPr>
        <w:t xml:space="preserve"> </w:t>
      </w:r>
      <w:r w:rsidRPr="00A26C26">
        <w:rPr>
          <w:rFonts w:cstheme="minorHAnsi"/>
        </w:rPr>
        <w:t>Danych</w:t>
      </w:r>
      <w:r w:rsidR="003B50ED">
        <w:rPr>
          <w:rFonts w:cstheme="minorHAnsi"/>
        </w:rPr>
        <w:t xml:space="preserve"> </w:t>
      </w:r>
      <w:r w:rsidRPr="00A26C26">
        <w:rPr>
          <w:rFonts w:cstheme="minorHAnsi"/>
        </w:rPr>
        <w:t>Lokalnych</w:t>
      </w:r>
    </w:p>
    <w:p w14:paraId="6E7C5EEA" w14:textId="77777777" w:rsidR="00224658" w:rsidRPr="00A26C26" w:rsidRDefault="00224658" w:rsidP="00A26C26">
      <w:pPr>
        <w:spacing w:line="276" w:lineRule="auto"/>
        <w:rPr>
          <w:rFonts w:cstheme="minorHAnsi"/>
        </w:rPr>
      </w:pPr>
    </w:p>
    <w:p w14:paraId="34521A5D" w14:textId="17457735" w:rsidR="00224658" w:rsidRPr="00A26C26" w:rsidRDefault="00224658" w:rsidP="00A26C26">
      <w:pPr>
        <w:spacing w:line="276" w:lineRule="auto"/>
        <w:jc w:val="both"/>
        <w:rPr>
          <w:rFonts w:eastAsiaTheme="minorEastAsia" w:cstheme="minorHAnsi"/>
        </w:rPr>
      </w:pPr>
      <w:r w:rsidRPr="00A26C26">
        <w:rPr>
          <w:rFonts w:eastAsiaTheme="minorEastAsia" w:cstheme="minorHAnsi"/>
        </w:rPr>
        <w:t>Tabela</w:t>
      </w:r>
      <w:r w:rsidR="00396A11">
        <w:rPr>
          <w:rFonts w:eastAsiaTheme="minorEastAsia" w:cstheme="minorHAnsi"/>
        </w:rPr>
        <w:t xml:space="preserve"> nr 2</w:t>
      </w:r>
      <w:r w:rsidR="00203429">
        <w:rPr>
          <w:rFonts w:eastAsiaTheme="minorEastAsia" w:cstheme="minorHAnsi"/>
        </w:rPr>
        <w:t>0</w:t>
      </w:r>
      <w:r w:rsidR="003B50ED">
        <w:rPr>
          <w:rFonts w:eastAsiaTheme="minorEastAsia" w:cstheme="minorHAnsi"/>
        </w:rPr>
        <w:t xml:space="preserve"> </w:t>
      </w:r>
      <w:r w:rsidRPr="00A26C26">
        <w:rPr>
          <w:rFonts w:eastAsiaTheme="minorEastAsia" w:cstheme="minorHAnsi"/>
        </w:rPr>
        <w:t>Miejsca</w:t>
      </w:r>
      <w:r w:rsidR="003B50ED">
        <w:rPr>
          <w:rFonts w:eastAsiaTheme="minorEastAsia" w:cstheme="minorHAnsi"/>
        </w:rPr>
        <w:t xml:space="preserve"> </w:t>
      </w:r>
      <w:r w:rsidRPr="00A26C26">
        <w:rPr>
          <w:rFonts w:eastAsiaTheme="minorEastAsia" w:cstheme="minorHAnsi"/>
        </w:rPr>
        <w:t>noclegowe</w:t>
      </w:r>
      <w:r w:rsidR="003B50ED">
        <w:rPr>
          <w:rFonts w:eastAsiaTheme="minorEastAsia" w:cstheme="minorHAnsi"/>
        </w:rPr>
        <w:t xml:space="preserve"> </w:t>
      </w:r>
      <w:r w:rsidRPr="00A26C26">
        <w:rPr>
          <w:rFonts w:eastAsiaTheme="minorEastAsia" w:cstheme="minorHAnsi"/>
        </w:rPr>
        <w:t>ogółem</w:t>
      </w:r>
      <w:r w:rsidR="003B50ED">
        <w:rPr>
          <w:rFonts w:eastAsiaTheme="minorEastAsia" w:cstheme="minorHAnsi"/>
        </w:rPr>
        <w:t xml:space="preserve"> </w:t>
      </w:r>
      <w:r w:rsidRPr="00A26C26">
        <w:rPr>
          <w:rFonts w:eastAsiaTheme="minorEastAsia" w:cstheme="minorHAnsi"/>
        </w:rPr>
        <w:t>–</w:t>
      </w:r>
      <w:r w:rsidR="003B50ED">
        <w:rPr>
          <w:rFonts w:eastAsiaTheme="minorEastAsia" w:cstheme="minorHAnsi"/>
        </w:rPr>
        <w:t xml:space="preserve"> </w:t>
      </w:r>
      <w:r w:rsidRPr="00A26C26">
        <w:rPr>
          <w:rFonts w:eastAsiaTheme="minorEastAsia" w:cstheme="minorHAnsi"/>
        </w:rPr>
        <w:t>całoroczne</w:t>
      </w:r>
    </w:p>
    <w:tbl>
      <w:tblPr>
        <w:tblW w:w="10201" w:type="dxa"/>
        <w:tblLayout w:type="fixed"/>
        <w:tblCellMar>
          <w:left w:w="70" w:type="dxa"/>
          <w:right w:w="70" w:type="dxa"/>
        </w:tblCellMar>
        <w:tblLook w:val="04A0" w:firstRow="1" w:lastRow="0" w:firstColumn="1" w:lastColumn="0" w:noHBand="0" w:noVBand="1"/>
      </w:tblPr>
      <w:tblGrid>
        <w:gridCol w:w="1980"/>
        <w:gridCol w:w="1644"/>
        <w:gridCol w:w="1644"/>
        <w:gridCol w:w="1644"/>
        <w:gridCol w:w="1644"/>
        <w:gridCol w:w="1645"/>
      </w:tblGrid>
      <w:tr w:rsidR="00224658" w:rsidRPr="00A26C26" w14:paraId="584ECFC0" w14:textId="77777777" w:rsidTr="007F1E76">
        <w:trPr>
          <w:trHeight w:val="249"/>
        </w:trPr>
        <w:tc>
          <w:tcPr>
            <w:tcW w:w="198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4CCA363B" w14:textId="2A33161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Nazwa</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gminy</w:t>
            </w:r>
            <w:r w:rsidR="003B50ED">
              <w:rPr>
                <w:rFonts w:eastAsia="Times New Roman" w:cstheme="minorHAnsi"/>
                <w:color w:val="000000"/>
                <w:kern w:val="0"/>
                <w:lang w:eastAsia="pl-PL"/>
                <w14:ligatures w14:val="none"/>
              </w:rPr>
              <w:t xml:space="preserve"> </w:t>
            </w:r>
          </w:p>
        </w:tc>
        <w:tc>
          <w:tcPr>
            <w:tcW w:w="1644" w:type="dxa"/>
            <w:tcBorders>
              <w:top w:val="single" w:sz="4" w:space="0" w:color="auto"/>
              <w:left w:val="nil"/>
              <w:bottom w:val="single" w:sz="4" w:space="0" w:color="auto"/>
              <w:right w:val="single" w:sz="4" w:space="0" w:color="auto"/>
            </w:tcBorders>
            <w:shd w:val="clear" w:color="000000" w:fill="DDEBF7"/>
            <w:noWrap/>
            <w:vAlign w:val="bottom"/>
            <w:hideMark/>
          </w:tcPr>
          <w:p w14:paraId="048F441D"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2017</w:t>
            </w:r>
          </w:p>
        </w:tc>
        <w:tc>
          <w:tcPr>
            <w:tcW w:w="1644" w:type="dxa"/>
            <w:tcBorders>
              <w:top w:val="single" w:sz="4" w:space="0" w:color="auto"/>
              <w:left w:val="nil"/>
              <w:bottom w:val="single" w:sz="4" w:space="0" w:color="auto"/>
              <w:right w:val="single" w:sz="4" w:space="0" w:color="auto"/>
            </w:tcBorders>
            <w:shd w:val="clear" w:color="000000" w:fill="DDEBF7"/>
            <w:noWrap/>
            <w:vAlign w:val="bottom"/>
            <w:hideMark/>
          </w:tcPr>
          <w:p w14:paraId="0734B560"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2018</w:t>
            </w:r>
          </w:p>
        </w:tc>
        <w:tc>
          <w:tcPr>
            <w:tcW w:w="1644" w:type="dxa"/>
            <w:tcBorders>
              <w:top w:val="single" w:sz="4" w:space="0" w:color="auto"/>
              <w:left w:val="nil"/>
              <w:bottom w:val="single" w:sz="4" w:space="0" w:color="auto"/>
              <w:right w:val="single" w:sz="4" w:space="0" w:color="auto"/>
            </w:tcBorders>
            <w:shd w:val="clear" w:color="000000" w:fill="DDEBF7"/>
            <w:noWrap/>
            <w:vAlign w:val="bottom"/>
            <w:hideMark/>
          </w:tcPr>
          <w:p w14:paraId="0C1ED721"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2019</w:t>
            </w:r>
          </w:p>
        </w:tc>
        <w:tc>
          <w:tcPr>
            <w:tcW w:w="1644" w:type="dxa"/>
            <w:tcBorders>
              <w:top w:val="single" w:sz="4" w:space="0" w:color="auto"/>
              <w:left w:val="nil"/>
              <w:bottom w:val="single" w:sz="4" w:space="0" w:color="auto"/>
              <w:right w:val="single" w:sz="4" w:space="0" w:color="auto"/>
            </w:tcBorders>
            <w:shd w:val="clear" w:color="000000" w:fill="DDEBF7"/>
            <w:noWrap/>
            <w:vAlign w:val="bottom"/>
            <w:hideMark/>
          </w:tcPr>
          <w:p w14:paraId="162FC9C2"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2020</w:t>
            </w:r>
          </w:p>
        </w:tc>
        <w:tc>
          <w:tcPr>
            <w:tcW w:w="1645" w:type="dxa"/>
            <w:tcBorders>
              <w:top w:val="single" w:sz="4" w:space="0" w:color="auto"/>
              <w:left w:val="nil"/>
              <w:bottom w:val="single" w:sz="4" w:space="0" w:color="auto"/>
              <w:right w:val="single" w:sz="4" w:space="0" w:color="auto"/>
            </w:tcBorders>
            <w:shd w:val="clear" w:color="000000" w:fill="DDEBF7"/>
            <w:noWrap/>
            <w:vAlign w:val="bottom"/>
            <w:hideMark/>
          </w:tcPr>
          <w:p w14:paraId="425BD6DE"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2021</w:t>
            </w:r>
          </w:p>
        </w:tc>
      </w:tr>
      <w:tr w:rsidR="00224658" w:rsidRPr="00A26C26" w14:paraId="598A01BB"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284CF11"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Rzgów</w:t>
            </w:r>
          </w:p>
        </w:tc>
        <w:tc>
          <w:tcPr>
            <w:tcW w:w="1644" w:type="dxa"/>
            <w:tcBorders>
              <w:top w:val="nil"/>
              <w:left w:val="nil"/>
              <w:bottom w:val="single" w:sz="4" w:space="0" w:color="auto"/>
              <w:right w:val="single" w:sz="4" w:space="0" w:color="auto"/>
            </w:tcBorders>
            <w:shd w:val="clear" w:color="auto" w:fill="auto"/>
            <w:noWrap/>
            <w:vAlign w:val="bottom"/>
            <w:hideMark/>
          </w:tcPr>
          <w:p w14:paraId="1C08A29C"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43</w:t>
            </w:r>
          </w:p>
        </w:tc>
        <w:tc>
          <w:tcPr>
            <w:tcW w:w="1644" w:type="dxa"/>
            <w:tcBorders>
              <w:top w:val="nil"/>
              <w:left w:val="nil"/>
              <w:bottom w:val="single" w:sz="4" w:space="0" w:color="auto"/>
              <w:right w:val="single" w:sz="4" w:space="0" w:color="auto"/>
            </w:tcBorders>
            <w:shd w:val="clear" w:color="auto" w:fill="auto"/>
            <w:noWrap/>
            <w:vAlign w:val="bottom"/>
            <w:hideMark/>
          </w:tcPr>
          <w:p w14:paraId="1252EF93"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43</w:t>
            </w:r>
          </w:p>
        </w:tc>
        <w:tc>
          <w:tcPr>
            <w:tcW w:w="1644" w:type="dxa"/>
            <w:tcBorders>
              <w:top w:val="nil"/>
              <w:left w:val="nil"/>
              <w:bottom w:val="single" w:sz="4" w:space="0" w:color="auto"/>
              <w:right w:val="single" w:sz="4" w:space="0" w:color="auto"/>
            </w:tcBorders>
            <w:shd w:val="clear" w:color="auto" w:fill="auto"/>
            <w:noWrap/>
            <w:vAlign w:val="bottom"/>
            <w:hideMark/>
          </w:tcPr>
          <w:p w14:paraId="12BD9706"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43</w:t>
            </w:r>
          </w:p>
        </w:tc>
        <w:tc>
          <w:tcPr>
            <w:tcW w:w="1644" w:type="dxa"/>
            <w:tcBorders>
              <w:top w:val="nil"/>
              <w:left w:val="nil"/>
              <w:bottom w:val="single" w:sz="4" w:space="0" w:color="auto"/>
              <w:right w:val="single" w:sz="4" w:space="0" w:color="auto"/>
            </w:tcBorders>
            <w:shd w:val="clear" w:color="auto" w:fill="auto"/>
            <w:noWrap/>
            <w:vAlign w:val="bottom"/>
            <w:hideMark/>
          </w:tcPr>
          <w:p w14:paraId="0E5772A3"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43</w:t>
            </w:r>
          </w:p>
        </w:tc>
        <w:tc>
          <w:tcPr>
            <w:tcW w:w="1645" w:type="dxa"/>
            <w:tcBorders>
              <w:top w:val="nil"/>
              <w:left w:val="nil"/>
              <w:bottom w:val="single" w:sz="4" w:space="0" w:color="auto"/>
              <w:right w:val="single" w:sz="4" w:space="0" w:color="auto"/>
            </w:tcBorders>
            <w:shd w:val="clear" w:color="auto" w:fill="auto"/>
            <w:noWrap/>
            <w:vAlign w:val="bottom"/>
            <w:hideMark/>
          </w:tcPr>
          <w:p w14:paraId="4BD58632"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0</w:t>
            </w:r>
          </w:p>
        </w:tc>
      </w:tr>
      <w:tr w:rsidR="00224658" w:rsidRPr="00A26C26" w14:paraId="406BCA13"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E714D69" w14:textId="1C9CC91E"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lastRenderedPageBreak/>
              <w:t>Stare</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Miasto</w:t>
            </w:r>
          </w:p>
        </w:tc>
        <w:tc>
          <w:tcPr>
            <w:tcW w:w="1644" w:type="dxa"/>
            <w:tcBorders>
              <w:top w:val="nil"/>
              <w:left w:val="nil"/>
              <w:bottom w:val="single" w:sz="4" w:space="0" w:color="auto"/>
              <w:right w:val="single" w:sz="4" w:space="0" w:color="auto"/>
            </w:tcBorders>
            <w:shd w:val="clear" w:color="auto" w:fill="auto"/>
            <w:noWrap/>
            <w:vAlign w:val="bottom"/>
            <w:hideMark/>
          </w:tcPr>
          <w:p w14:paraId="7BB36CE3"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121</w:t>
            </w:r>
          </w:p>
        </w:tc>
        <w:tc>
          <w:tcPr>
            <w:tcW w:w="1644" w:type="dxa"/>
            <w:tcBorders>
              <w:top w:val="nil"/>
              <w:left w:val="nil"/>
              <w:bottom w:val="single" w:sz="4" w:space="0" w:color="auto"/>
              <w:right w:val="single" w:sz="4" w:space="0" w:color="auto"/>
            </w:tcBorders>
            <w:shd w:val="clear" w:color="auto" w:fill="auto"/>
            <w:noWrap/>
            <w:vAlign w:val="bottom"/>
            <w:hideMark/>
          </w:tcPr>
          <w:p w14:paraId="2D654610"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101</w:t>
            </w:r>
          </w:p>
        </w:tc>
        <w:tc>
          <w:tcPr>
            <w:tcW w:w="1644" w:type="dxa"/>
            <w:tcBorders>
              <w:top w:val="nil"/>
              <w:left w:val="nil"/>
              <w:bottom w:val="single" w:sz="4" w:space="0" w:color="auto"/>
              <w:right w:val="single" w:sz="4" w:space="0" w:color="auto"/>
            </w:tcBorders>
            <w:shd w:val="clear" w:color="auto" w:fill="auto"/>
            <w:noWrap/>
            <w:vAlign w:val="bottom"/>
            <w:hideMark/>
          </w:tcPr>
          <w:p w14:paraId="213DA88F"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101</w:t>
            </w:r>
          </w:p>
        </w:tc>
        <w:tc>
          <w:tcPr>
            <w:tcW w:w="1644" w:type="dxa"/>
            <w:tcBorders>
              <w:top w:val="nil"/>
              <w:left w:val="nil"/>
              <w:bottom w:val="single" w:sz="4" w:space="0" w:color="auto"/>
              <w:right w:val="single" w:sz="4" w:space="0" w:color="auto"/>
            </w:tcBorders>
            <w:shd w:val="clear" w:color="auto" w:fill="auto"/>
            <w:noWrap/>
            <w:vAlign w:val="bottom"/>
            <w:hideMark/>
          </w:tcPr>
          <w:p w14:paraId="55783A22"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101</w:t>
            </w:r>
          </w:p>
        </w:tc>
        <w:tc>
          <w:tcPr>
            <w:tcW w:w="1645" w:type="dxa"/>
            <w:tcBorders>
              <w:top w:val="nil"/>
              <w:left w:val="nil"/>
              <w:bottom w:val="single" w:sz="4" w:space="0" w:color="auto"/>
              <w:right w:val="single" w:sz="4" w:space="0" w:color="auto"/>
            </w:tcBorders>
            <w:shd w:val="clear" w:color="auto" w:fill="auto"/>
            <w:noWrap/>
            <w:vAlign w:val="bottom"/>
            <w:hideMark/>
          </w:tcPr>
          <w:p w14:paraId="005B0F6F"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101</w:t>
            </w:r>
          </w:p>
        </w:tc>
      </w:tr>
      <w:tr w:rsidR="00224658" w:rsidRPr="00A26C26" w14:paraId="5E858104" w14:textId="77777777" w:rsidTr="007F1E76">
        <w:trPr>
          <w:trHeight w:val="249"/>
        </w:trPr>
        <w:tc>
          <w:tcPr>
            <w:tcW w:w="1980" w:type="dxa"/>
            <w:tcBorders>
              <w:top w:val="nil"/>
              <w:left w:val="single" w:sz="4" w:space="0" w:color="auto"/>
              <w:bottom w:val="single" w:sz="4" w:space="0" w:color="auto"/>
              <w:right w:val="single" w:sz="4" w:space="0" w:color="auto"/>
            </w:tcBorders>
            <w:shd w:val="clear" w:color="000000" w:fill="DDEBF7"/>
            <w:noWrap/>
            <w:vAlign w:val="bottom"/>
            <w:hideMark/>
          </w:tcPr>
          <w:p w14:paraId="02340FF4" w14:textId="2E225A15"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Razem</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LGD</w:t>
            </w:r>
          </w:p>
        </w:tc>
        <w:tc>
          <w:tcPr>
            <w:tcW w:w="1644" w:type="dxa"/>
            <w:tcBorders>
              <w:top w:val="nil"/>
              <w:left w:val="nil"/>
              <w:bottom w:val="single" w:sz="4" w:space="0" w:color="auto"/>
              <w:right w:val="single" w:sz="4" w:space="0" w:color="auto"/>
            </w:tcBorders>
            <w:shd w:val="clear" w:color="000000" w:fill="DDEBF7"/>
            <w:noWrap/>
            <w:vAlign w:val="bottom"/>
            <w:hideMark/>
          </w:tcPr>
          <w:p w14:paraId="2254A55C"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164</w:t>
            </w:r>
          </w:p>
        </w:tc>
        <w:tc>
          <w:tcPr>
            <w:tcW w:w="1644" w:type="dxa"/>
            <w:tcBorders>
              <w:top w:val="nil"/>
              <w:left w:val="nil"/>
              <w:bottom w:val="single" w:sz="4" w:space="0" w:color="auto"/>
              <w:right w:val="single" w:sz="4" w:space="0" w:color="auto"/>
            </w:tcBorders>
            <w:shd w:val="clear" w:color="000000" w:fill="DDEBF7"/>
            <w:noWrap/>
            <w:vAlign w:val="bottom"/>
            <w:hideMark/>
          </w:tcPr>
          <w:p w14:paraId="24588A3A"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144</w:t>
            </w:r>
          </w:p>
        </w:tc>
        <w:tc>
          <w:tcPr>
            <w:tcW w:w="1644" w:type="dxa"/>
            <w:tcBorders>
              <w:top w:val="nil"/>
              <w:left w:val="nil"/>
              <w:bottom w:val="single" w:sz="4" w:space="0" w:color="auto"/>
              <w:right w:val="single" w:sz="4" w:space="0" w:color="auto"/>
            </w:tcBorders>
            <w:shd w:val="clear" w:color="000000" w:fill="DDEBF7"/>
            <w:noWrap/>
            <w:vAlign w:val="bottom"/>
            <w:hideMark/>
          </w:tcPr>
          <w:p w14:paraId="73BB8857"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144</w:t>
            </w:r>
          </w:p>
        </w:tc>
        <w:tc>
          <w:tcPr>
            <w:tcW w:w="1644" w:type="dxa"/>
            <w:tcBorders>
              <w:top w:val="nil"/>
              <w:left w:val="nil"/>
              <w:bottom w:val="single" w:sz="4" w:space="0" w:color="auto"/>
              <w:right w:val="single" w:sz="4" w:space="0" w:color="auto"/>
            </w:tcBorders>
            <w:shd w:val="clear" w:color="000000" w:fill="DDEBF7"/>
            <w:noWrap/>
            <w:vAlign w:val="bottom"/>
            <w:hideMark/>
          </w:tcPr>
          <w:p w14:paraId="7C6A776D"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144</w:t>
            </w:r>
          </w:p>
        </w:tc>
        <w:tc>
          <w:tcPr>
            <w:tcW w:w="1645" w:type="dxa"/>
            <w:tcBorders>
              <w:top w:val="nil"/>
              <w:left w:val="nil"/>
              <w:bottom w:val="single" w:sz="4" w:space="0" w:color="auto"/>
              <w:right w:val="single" w:sz="4" w:space="0" w:color="auto"/>
            </w:tcBorders>
            <w:shd w:val="clear" w:color="000000" w:fill="DDEBF7"/>
            <w:noWrap/>
            <w:vAlign w:val="bottom"/>
            <w:hideMark/>
          </w:tcPr>
          <w:p w14:paraId="1B747A53"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101</w:t>
            </w:r>
          </w:p>
        </w:tc>
      </w:tr>
    </w:tbl>
    <w:p w14:paraId="42B35F81" w14:textId="25F97B49" w:rsidR="00224658" w:rsidRPr="00A26C26" w:rsidRDefault="00224658" w:rsidP="00A26C26">
      <w:pPr>
        <w:spacing w:line="276" w:lineRule="auto"/>
        <w:rPr>
          <w:rFonts w:cstheme="minorHAnsi"/>
        </w:rPr>
      </w:pPr>
      <w:r w:rsidRPr="00A26C26">
        <w:rPr>
          <w:rFonts w:cstheme="minorHAnsi"/>
        </w:rPr>
        <w:t>Źródło:</w:t>
      </w:r>
      <w:r w:rsidR="003B50ED">
        <w:rPr>
          <w:rFonts w:cstheme="minorHAnsi"/>
        </w:rPr>
        <w:t xml:space="preserve"> </w:t>
      </w:r>
      <w:r w:rsidRPr="00A26C26">
        <w:rPr>
          <w:rFonts w:cstheme="minorHAnsi"/>
        </w:rPr>
        <w:t>GUS,</w:t>
      </w:r>
      <w:r w:rsidR="003B50ED">
        <w:rPr>
          <w:rFonts w:cstheme="minorHAnsi"/>
        </w:rPr>
        <w:t xml:space="preserve"> </w:t>
      </w:r>
      <w:r w:rsidRPr="00A26C26">
        <w:rPr>
          <w:rFonts w:cstheme="minorHAnsi"/>
        </w:rPr>
        <w:t>Bank</w:t>
      </w:r>
      <w:r w:rsidR="003B50ED">
        <w:rPr>
          <w:rFonts w:cstheme="minorHAnsi"/>
        </w:rPr>
        <w:t xml:space="preserve"> </w:t>
      </w:r>
      <w:r w:rsidRPr="00A26C26">
        <w:rPr>
          <w:rFonts w:cstheme="minorHAnsi"/>
        </w:rPr>
        <w:t>Danych</w:t>
      </w:r>
      <w:r w:rsidR="003B50ED">
        <w:rPr>
          <w:rFonts w:cstheme="minorHAnsi"/>
        </w:rPr>
        <w:t xml:space="preserve"> </w:t>
      </w:r>
      <w:r w:rsidRPr="00A26C26">
        <w:rPr>
          <w:rFonts w:cstheme="minorHAnsi"/>
        </w:rPr>
        <w:t>Lokalnych</w:t>
      </w:r>
    </w:p>
    <w:p w14:paraId="7663A4A9" w14:textId="77777777" w:rsidR="00224658" w:rsidRPr="00A26C26" w:rsidRDefault="00224658" w:rsidP="00A26C26">
      <w:pPr>
        <w:spacing w:line="276" w:lineRule="auto"/>
        <w:jc w:val="both"/>
        <w:rPr>
          <w:rFonts w:eastAsiaTheme="minorEastAsia" w:cstheme="minorHAnsi"/>
        </w:rPr>
      </w:pPr>
    </w:p>
    <w:p w14:paraId="67B0EE90" w14:textId="5C8D9643" w:rsidR="00224658" w:rsidRPr="00A26C26" w:rsidRDefault="00224658" w:rsidP="00A26C26">
      <w:pPr>
        <w:spacing w:line="276" w:lineRule="auto"/>
        <w:jc w:val="both"/>
        <w:rPr>
          <w:rFonts w:eastAsia="Times New Roman" w:cstheme="minorHAnsi"/>
          <w:b/>
          <w:bCs/>
          <w:color w:val="000000"/>
          <w:kern w:val="0"/>
          <w:lang w:eastAsia="pl-PL"/>
          <w14:ligatures w14:val="none"/>
        </w:rPr>
      </w:pPr>
      <w:r w:rsidRPr="00A26C26">
        <w:rPr>
          <w:rFonts w:eastAsiaTheme="minorEastAsia" w:cstheme="minorHAnsi"/>
        </w:rPr>
        <w:t>Tabela</w:t>
      </w:r>
      <w:r w:rsidR="00396A11">
        <w:rPr>
          <w:rFonts w:eastAsiaTheme="minorEastAsia" w:cstheme="minorHAnsi"/>
        </w:rPr>
        <w:t xml:space="preserve"> nr 2</w:t>
      </w:r>
      <w:r w:rsidR="00203429">
        <w:rPr>
          <w:rFonts w:eastAsiaTheme="minorEastAsia" w:cstheme="minorHAnsi"/>
        </w:rPr>
        <w:t>1</w:t>
      </w:r>
      <w:r w:rsidR="003B50ED">
        <w:rPr>
          <w:rFonts w:eastAsiaTheme="minorEastAsia" w:cstheme="minorHAnsi"/>
        </w:rPr>
        <w:t xml:space="preserve"> </w:t>
      </w:r>
      <w:r w:rsidRPr="00A26C26">
        <w:rPr>
          <w:rFonts w:eastAsia="Times New Roman" w:cstheme="minorHAnsi"/>
          <w:color w:val="000000"/>
          <w:kern w:val="0"/>
          <w:lang w:eastAsia="pl-PL"/>
          <w14:ligatures w14:val="none"/>
        </w:rPr>
        <w:t>Kwatery</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agroturystyczne/</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obiekty</w:t>
      </w:r>
    </w:p>
    <w:tbl>
      <w:tblPr>
        <w:tblW w:w="10201" w:type="dxa"/>
        <w:tblLayout w:type="fixed"/>
        <w:tblCellMar>
          <w:left w:w="70" w:type="dxa"/>
          <w:right w:w="70" w:type="dxa"/>
        </w:tblCellMar>
        <w:tblLook w:val="04A0" w:firstRow="1" w:lastRow="0" w:firstColumn="1" w:lastColumn="0" w:noHBand="0" w:noVBand="1"/>
      </w:tblPr>
      <w:tblGrid>
        <w:gridCol w:w="1700"/>
        <w:gridCol w:w="1700"/>
        <w:gridCol w:w="1700"/>
        <w:gridCol w:w="1700"/>
        <w:gridCol w:w="1700"/>
        <w:gridCol w:w="1701"/>
      </w:tblGrid>
      <w:tr w:rsidR="00224658" w:rsidRPr="00A26C26" w14:paraId="052015AE" w14:textId="77777777" w:rsidTr="007F1E76">
        <w:trPr>
          <w:trHeight w:val="249"/>
        </w:trPr>
        <w:tc>
          <w:tcPr>
            <w:tcW w:w="17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09BCFE3B" w14:textId="0CDB5E5F"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Nazwa</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gminy</w:t>
            </w:r>
            <w:r w:rsidR="003B50ED">
              <w:rPr>
                <w:rFonts w:eastAsia="Times New Roman" w:cstheme="minorHAnsi"/>
                <w:color w:val="000000"/>
                <w:kern w:val="0"/>
                <w:lang w:eastAsia="pl-PL"/>
                <w14:ligatures w14:val="none"/>
              </w:rPr>
              <w:t xml:space="preserve"> </w:t>
            </w:r>
          </w:p>
        </w:tc>
        <w:tc>
          <w:tcPr>
            <w:tcW w:w="1700" w:type="dxa"/>
            <w:tcBorders>
              <w:top w:val="single" w:sz="4" w:space="0" w:color="auto"/>
              <w:left w:val="nil"/>
              <w:bottom w:val="single" w:sz="4" w:space="0" w:color="auto"/>
              <w:right w:val="single" w:sz="4" w:space="0" w:color="auto"/>
            </w:tcBorders>
            <w:shd w:val="clear" w:color="000000" w:fill="DDEBF7"/>
            <w:noWrap/>
            <w:vAlign w:val="bottom"/>
            <w:hideMark/>
          </w:tcPr>
          <w:p w14:paraId="3271D0D6"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2017</w:t>
            </w:r>
          </w:p>
        </w:tc>
        <w:tc>
          <w:tcPr>
            <w:tcW w:w="1700" w:type="dxa"/>
            <w:tcBorders>
              <w:top w:val="single" w:sz="4" w:space="0" w:color="auto"/>
              <w:left w:val="nil"/>
              <w:bottom w:val="single" w:sz="4" w:space="0" w:color="auto"/>
              <w:right w:val="single" w:sz="4" w:space="0" w:color="auto"/>
            </w:tcBorders>
            <w:shd w:val="clear" w:color="000000" w:fill="DDEBF7"/>
            <w:noWrap/>
            <w:vAlign w:val="bottom"/>
            <w:hideMark/>
          </w:tcPr>
          <w:p w14:paraId="53656C72"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2018</w:t>
            </w:r>
          </w:p>
        </w:tc>
        <w:tc>
          <w:tcPr>
            <w:tcW w:w="1700" w:type="dxa"/>
            <w:tcBorders>
              <w:top w:val="single" w:sz="4" w:space="0" w:color="auto"/>
              <w:left w:val="nil"/>
              <w:bottom w:val="single" w:sz="4" w:space="0" w:color="auto"/>
              <w:right w:val="single" w:sz="4" w:space="0" w:color="auto"/>
            </w:tcBorders>
            <w:shd w:val="clear" w:color="000000" w:fill="DDEBF7"/>
            <w:noWrap/>
            <w:vAlign w:val="bottom"/>
            <w:hideMark/>
          </w:tcPr>
          <w:p w14:paraId="74FE2EEC"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2019</w:t>
            </w:r>
          </w:p>
        </w:tc>
        <w:tc>
          <w:tcPr>
            <w:tcW w:w="1700" w:type="dxa"/>
            <w:tcBorders>
              <w:top w:val="single" w:sz="4" w:space="0" w:color="auto"/>
              <w:left w:val="nil"/>
              <w:bottom w:val="single" w:sz="4" w:space="0" w:color="auto"/>
              <w:right w:val="single" w:sz="4" w:space="0" w:color="auto"/>
            </w:tcBorders>
            <w:shd w:val="clear" w:color="000000" w:fill="DDEBF7"/>
            <w:noWrap/>
            <w:vAlign w:val="bottom"/>
            <w:hideMark/>
          </w:tcPr>
          <w:p w14:paraId="565B07F2"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2020</w:t>
            </w:r>
          </w:p>
        </w:tc>
        <w:tc>
          <w:tcPr>
            <w:tcW w:w="1701" w:type="dxa"/>
            <w:tcBorders>
              <w:top w:val="single" w:sz="4" w:space="0" w:color="auto"/>
              <w:left w:val="nil"/>
              <w:bottom w:val="single" w:sz="4" w:space="0" w:color="auto"/>
              <w:right w:val="single" w:sz="4" w:space="0" w:color="auto"/>
            </w:tcBorders>
            <w:shd w:val="clear" w:color="000000" w:fill="DDEBF7"/>
            <w:noWrap/>
            <w:vAlign w:val="bottom"/>
            <w:hideMark/>
          </w:tcPr>
          <w:p w14:paraId="7D4CC49F"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2021</w:t>
            </w:r>
          </w:p>
        </w:tc>
      </w:tr>
      <w:tr w:rsidR="00224658" w:rsidRPr="00A26C26" w14:paraId="50E42AE7" w14:textId="77777777" w:rsidTr="007F1E76">
        <w:trPr>
          <w:trHeight w:val="249"/>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3AEC68E3" w14:textId="2320D0B0"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Stare</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Miasto</w:t>
            </w:r>
          </w:p>
        </w:tc>
        <w:tc>
          <w:tcPr>
            <w:tcW w:w="1700" w:type="dxa"/>
            <w:tcBorders>
              <w:top w:val="nil"/>
              <w:left w:val="nil"/>
              <w:bottom w:val="single" w:sz="4" w:space="0" w:color="auto"/>
              <w:right w:val="single" w:sz="4" w:space="0" w:color="auto"/>
            </w:tcBorders>
            <w:shd w:val="clear" w:color="auto" w:fill="auto"/>
            <w:noWrap/>
            <w:vAlign w:val="bottom"/>
            <w:hideMark/>
          </w:tcPr>
          <w:p w14:paraId="1A809A8B"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w:t>
            </w:r>
          </w:p>
        </w:tc>
        <w:tc>
          <w:tcPr>
            <w:tcW w:w="1700" w:type="dxa"/>
            <w:tcBorders>
              <w:top w:val="nil"/>
              <w:left w:val="nil"/>
              <w:bottom w:val="single" w:sz="4" w:space="0" w:color="auto"/>
              <w:right w:val="single" w:sz="4" w:space="0" w:color="auto"/>
            </w:tcBorders>
            <w:shd w:val="clear" w:color="auto" w:fill="auto"/>
            <w:noWrap/>
            <w:vAlign w:val="bottom"/>
            <w:hideMark/>
          </w:tcPr>
          <w:p w14:paraId="52B58450"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w:t>
            </w:r>
          </w:p>
        </w:tc>
        <w:tc>
          <w:tcPr>
            <w:tcW w:w="1700" w:type="dxa"/>
            <w:tcBorders>
              <w:top w:val="nil"/>
              <w:left w:val="nil"/>
              <w:bottom w:val="single" w:sz="4" w:space="0" w:color="auto"/>
              <w:right w:val="single" w:sz="4" w:space="0" w:color="auto"/>
            </w:tcBorders>
            <w:shd w:val="clear" w:color="auto" w:fill="auto"/>
            <w:noWrap/>
            <w:vAlign w:val="bottom"/>
            <w:hideMark/>
          </w:tcPr>
          <w:p w14:paraId="18A1C549"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w:t>
            </w:r>
          </w:p>
        </w:tc>
        <w:tc>
          <w:tcPr>
            <w:tcW w:w="1700" w:type="dxa"/>
            <w:tcBorders>
              <w:top w:val="nil"/>
              <w:left w:val="nil"/>
              <w:bottom w:val="single" w:sz="4" w:space="0" w:color="auto"/>
              <w:right w:val="single" w:sz="4" w:space="0" w:color="auto"/>
            </w:tcBorders>
            <w:shd w:val="clear" w:color="auto" w:fill="auto"/>
            <w:noWrap/>
            <w:vAlign w:val="bottom"/>
            <w:hideMark/>
          </w:tcPr>
          <w:p w14:paraId="111A3B4B"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w:t>
            </w:r>
          </w:p>
        </w:tc>
        <w:tc>
          <w:tcPr>
            <w:tcW w:w="1701" w:type="dxa"/>
            <w:tcBorders>
              <w:top w:val="nil"/>
              <w:left w:val="nil"/>
              <w:bottom w:val="single" w:sz="4" w:space="0" w:color="auto"/>
              <w:right w:val="single" w:sz="4" w:space="0" w:color="auto"/>
            </w:tcBorders>
            <w:shd w:val="clear" w:color="auto" w:fill="auto"/>
            <w:noWrap/>
            <w:vAlign w:val="bottom"/>
            <w:hideMark/>
          </w:tcPr>
          <w:p w14:paraId="36616172"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w:t>
            </w:r>
          </w:p>
        </w:tc>
      </w:tr>
      <w:tr w:rsidR="00224658" w:rsidRPr="00A26C26" w14:paraId="16FC1F04" w14:textId="77777777" w:rsidTr="007F1E76">
        <w:trPr>
          <w:trHeight w:val="249"/>
        </w:trPr>
        <w:tc>
          <w:tcPr>
            <w:tcW w:w="1700" w:type="dxa"/>
            <w:tcBorders>
              <w:top w:val="nil"/>
              <w:left w:val="single" w:sz="4" w:space="0" w:color="auto"/>
              <w:bottom w:val="single" w:sz="4" w:space="0" w:color="auto"/>
              <w:right w:val="single" w:sz="4" w:space="0" w:color="auto"/>
            </w:tcBorders>
            <w:shd w:val="clear" w:color="000000" w:fill="DDEBF7"/>
            <w:noWrap/>
            <w:vAlign w:val="bottom"/>
            <w:hideMark/>
          </w:tcPr>
          <w:p w14:paraId="5C4ECD9D" w14:textId="440F2432"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Razem</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LGD</w:t>
            </w:r>
          </w:p>
        </w:tc>
        <w:tc>
          <w:tcPr>
            <w:tcW w:w="1700" w:type="dxa"/>
            <w:tcBorders>
              <w:top w:val="nil"/>
              <w:left w:val="nil"/>
              <w:bottom w:val="single" w:sz="4" w:space="0" w:color="auto"/>
              <w:right w:val="single" w:sz="4" w:space="0" w:color="auto"/>
            </w:tcBorders>
            <w:shd w:val="clear" w:color="000000" w:fill="DDEBF7"/>
            <w:noWrap/>
            <w:vAlign w:val="bottom"/>
            <w:hideMark/>
          </w:tcPr>
          <w:p w14:paraId="5632D6E0"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w:t>
            </w:r>
          </w:p>
        </w:tc>
        <w:tc>
          <w:tcPr>
            <w:tcW w:w="1700" w:type="dxa"/>
            <w:tcBorders>
              <w:top w:val="nil"/>
              <w:left w:val="nil"/>
              <w:bottom w:val="single" w:sz="4" w:space="0" w:color="auto"/>
              <w:right w:val="single" w:sz="4" w:space="0" w:color="auto"/>
            </w:tcBorders>
            <w:shd w:val="clear" w:color="000000" w:fill="DDEBF7"/>
            <w:noWrap/>
            <w:vAlign w:val="bottom"/>
            <w:hideMark/>
          </w:tcPr>
          <w:p w14:paraId="776A3D38"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w:t>
            </w:r>
          </w:p>
        </w:tc>
        <w:tc>
          <w:tcPr>
            <w:tcW w:w="1700" w:type="dxa"/>
            <w:tcBorders>
              <w:top w:val="nil"/>
              <w:left w:val="nil"/>
              <w:bottom w:val="single" w:sz="4" w:space="0" w:color="auto"/>
              <w:right w:val="single" w:sz="4" w:space="0" w:color="auto"/>
            </w:tcBorders>
            <w:shd w:val="clear" w:color="000000" w:fill="DDEBF7"/>
            <w:noWrap/>
            <w:vAlign w:val="bottom"/>
            <w:hideMark/>
          </w:tcPr>
          <w:p w14:paraId="41BB721F"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w:t>
            </w:r>
          </w:p>
        </w:tc>
        <w:tc>
          <w:tcPr>
            <w:tcW w:w="1700" w:type="dxa"/>
            <w:tcBorders>
              <w:top w:val="nil"/>
              <w:left w:val="nil"/>
              <w:bottom w:val="single" w:sz="4" w:space="0" w:color="auto"/>
              <w:right w:val="single" w:sz="4" w:space="0" w:color="auto"/>
            </w:tcBorders>
            <w:shd w:val="clear" w:color="000000" w:fill="DDEBF7"/>
            <w:noWrap/>
            <w:vAlign w:val="bottom"/>
            <w:hideMark/>
          </w:tcPr>
          <w:p w14:paraId="4F15F4F0"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w:t>
            </w:r>
          </w:p>
        </w:tc>
        <w:tc>
          <w:tcPr>
            <w:tcW w:w="1701" w:type="dxa"/>
            <w:tcBorders>
              <w:top w:val="nil"/>
              <w:left w:val="nil"/>
              <w:bottom w:val="single" w:sz="4" w:space="0" w:color="auto"/>
              <w:right w:val="single" w:sz="4" w:space="0" w:color="auto"/>
            </w:tcBorders>
            <w:shd w:val="clear" w:color="000000" w:fill="DDEBF7"/>
            <w:noWrap/>
            <w:vAlign w:val="bottom"/>
            <w:hideMark/>
          </w:tcPr>
          <w:p w14:paraId="186287B0"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w:t>
            </w:r>
          </w:p>
        </w:tc>
      </w:tr>
    </w:tbl>
    <w:p w14:paraId="613E9925" w14:textId="4AF758AD" w:rsidR="00224658" w:rsidRPr="00A26C26" w:rsidRDefault="00224658" w:rsidP="00A26C26">
      <w:pPr>
        <w:spacing w:line="276" w:lineRule="auto"/>
        <w:rPr>
          <w:rFonts w:cstheme="minorHAnsi"/>
        </w:rPr>
      </w:pPr>
      <w:r w:rsidRPr="00A26C26">
        <w:rPr>
          <w:rFonts w:cstheme="minorHAnsi"/>
        </w:rPr>
        <w:t>Źródło:</w:t>
      </w:r>
      <w:r w:rsidR="003B50ED">
        <w:rPr>
          <w:rFonts w:cstheme="minorHAnsi"/>
        </w:rPr>
        <w:t xml:space="preserve"> </w:t>
      </w:r>
      <w:r w:rsidRPr="00A26C26">
        <w:rPr>
          <w:rFonts w:cstheme="minorHAnsi"/>
        </w:rPr>
        <w:t>GUS,</w:t>
      </w:r>
      <w:r w:rsidR="003B50ED">
        <w:rPr>
          <w:rFonts w:cstheme="minorHAnsi"/>
        </w:rPr>
        <w:t xml:space="preserve"> </w:t>
      </w:r>
      <w:r w:rsidRPr="00A26C26">
        <w:rPr>
          <w:rFonts w:cstheme="minorHAnsi"/>
        </w:rPr>
        <w:t>Bank</w:t>
      </w:r>
      <w:r w:rsidR="003B50ED">
        <w:rPr>
          <w:rFonts w:cstheme="minorHAnsi"/>
        </w:rPr>
        <w:t xml:space="preserve"> </w:t>
      </w:r>
      <w:r w:rsidRPr="00A26C26">
        <w:rPr>
          <w:rFonts w:cstheme="minorHAnsi"/>
        </w:rPr>
        <w:t>Danych</w:t>
      </w:r>
      <w:r w:rsidR="003B50ED">
        <w:rPr>
          <w:rFonts w:cstheme="minorHAnsi"/>
        </w:rPr>
        <w:t xml:space="preserve"> </w:t>
      </w:r>
      <w:r w:rsidRPr="00A26C26">
        <w:rPr>
          <w:rFonts w:cstheme="minorHAnsi"/>
        </w:rPr>
        <w:t>Lokalnych</w:t>
      </w:r>
    </w:p>
    <w:p w14:paraId="3985FF3A" w14:textId="77777777" w:rsidR="00224658" w:rsidRPr="00A26C26" w:rsidRDefault="00224658" w:rsidP="00A26C26">
      <w:pPr>
        <w:spacing w:line="276" w:lineRule="auto"/>
        <w:jc w:val="both"/>
        <w:rPr>
          <w:rFonts w:cstheme="minorHAnsi"/>
        </w:rPr>
      </w:pPr>
    </w:p>
    <w:p w14:paraId="649D254A" w14:textId="79C2BB3A" w:rsidR="00224658" w:rsidRPr="00A26C26" w:rsidRDefault="00224658" w:rsidP="00A26C26">
      <w:pPr>
        <w:spacing w:line="276" w:lineRule="auto"/>
        <w:jc w:val="both"/>
        <w:rPr>
          <w:rFonts w:eastAsia="Times New Roman" w:cstheme="minorHAnsi"/>
          <w:b/>
          <w:bCs/>
          <w:color w:val="000000"/>
          <w:kern w:val="0"/>
          <w:lang w:eastAsia="pl-PL"/>
          <w14:ligatures w14:val="none"/>
        </w:rPr>
      </w:pPr>
      <w:r w:rsidRPr="00A26C26">
        <w:rPr>
          <w:rFonts w:eastAsiaTheme="minorEastAsia" w:cstheme="minorHAnsi"/>
        </w:rPr>
        <w:t>Tabela</w:t>
      </w:r>
      <w:r w:rsidR="00396A11">
        <w:rPr>
          <w:rFonts w:eastAsiaTheme="minorEastAsia" w:cstheme="minorHAnsi"/>
        </w:rPr>
        <w:t xml:space="preserve"> nr 2</w:t>
      </w:r>
      <w:r w:rsidR="00203429">
        <w:rPr>
          <w:rFonts w:eastAsiaTheme="minorEastAsia" w:cstheme="minorHAnsi"/>
        </w:rPr>
        <w:t>2</w:t>
      </w:r>
      <w:r w:rsidR="003B50ED">
        <w:rPr>
          <w:rFonts w:eastAsiaTheme="minorEastAsia" w:cstheme="minorHAnsi"/>
        </w:rPr>
        <w:t xml:space="preserve"> </w:t>
      </w:r>
      <w:r w:rsidRPr="00A26C26">
        <w:rPr>
          <w:rFonts w:eastAsia="Times New Roman" w:cstheme="minorHAnsi"/>
          <w:color w:val="000000"/>
          <w:kern w:val="0"/>
          <w:lang w:eastAsia="pl-PL"/>
          <w14:ligatures w14:val="none"/>
        </w:rPr>
        <w:t>Kwatery</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agroturystyczne/</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miejsca</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noclegowe</w:t>
      </w:r>
    </w:p>
    <w:tbl>
      <w:tblPr>
        <w:tblW w:w="10201" w:type="dxa"/>
        <w:tblCellMar>
          <w:left w:w="70" w:type="dxa"/>
          <w:right w:w="70" w:type="dxa"/>
        </w:tblCellMar>
        <w:tblLook w:val="04A0" w:firstRow="1" w:lastRow="0" w:firstColumn="1" w:lastColumn="0" w:noHBand="0" w:noVBand="1"/>
      </w:tblPr>
      <w:tblGrid>
        <w:gridCol w:w="1980"/>
        <w:gridCol w:w="1980"/>
        <w:gridCol w:w="1200"/>
        <w:gridCol w:w="1260"/>
        <w:gridCol w:w="1480"/>
        <w:gridCol w:w="2301"/>
      </w:tblGrid>
      <w:tr w:rsidR="00224658" w:rsidRPr="00A26C26" w14:paraId="36B6D91A" w14:textId="77777777" w:rsidTr="007F1E76">
        <w:trPr>
          <w:trHeight w:val="249"/>
        </w:trPr>
        <w:tc>
          <w:tcPr>
            <w:tcW w:w="198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7BAC842F" w14:textId="50FE6BA6"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Nazwa</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gminy</w:t>
            </w:r>
            <w:r w:rsidR="003B50ED">
              <w:rPr>
                <w:rFonts w:eastAsia="Times New Roman" w:cstheme="minorHAnsi"/>
                <w:color w:val="000000"/>
                <w:kern w:val="0"/>
                <w:lang w:eastAsia="pl-PL"/>
                <w14:ligatures w14:val="none"/>
              </w:rPr>
              <w:t xml:space="preserve"> </w:t>
            </w:r>
          </w:p>
        </w:tc>
        <w:tc>
          <w:tcPr>
            <w:tcW w:w="1980" w:type="dxa"/>
            <w:tcBorders>
              <w:top w:val="single" w:sz="4" w:space="0" w:color="auto"/>
              <w:left w:val="nil"/>
              <w:bottom w:val="single" w:sz="4" w:space="0" w:color="auto"/>
              <w:right w:val="single" w:sz="4" w:space="0" w:color="auto"/>
            </w:tcBorders>
            <w:shd w:val="clear" w:color="000000" w:fill="DDEBF7"/>
            <w:noWrap/>
            <w:vAlign w:val="bottom"/>
            <w:hideMark/>
          </w:tcPr>
          <w:p w14:paraId="24580C64"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2017</w:t>
            </w:r>
          </w:p>
        </w:tc>
        <w:tc>
          <w:tcPr>
            <w:tcW w:w="1200" w:type="dxa"/>
            <w:tcBorders>
              <w:top w:val="single" w:sz="4" w:space="0" w:color="auto"/>
              <w:left w:val="nil"/>
              <w:bottom w:val="single" w:sz="4" w:space="0" w:color="auto"/>
              <w:right w:val="single" w:sz="4" w:space="0" w:color="auto"/>
            </w:tcBorders>
            <w:shd w:val="clear" w:color="000000" w:fill="DDEBF7"/>
            <w:noWrap/>
            <w:vAlign w:val="bottom"/>
            <w:hideMark/>
          </w:tcPr>
          <w:p w14:paraId="60E021FB"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2018</w:t>
            </w:r>
          </w:p>
        </w:tc>
        <w:tc>
          <w:tcPr>
            <w:tcW w:w="1260" w:type="dxa"/>
            <w:tcBorders>
              <w:top w:val="single" w:sz="4" w:space="0" w:color="auto"/>
              <w:left w:val="nil"/>
              <w:bottom w:val="single" w:sz="4" w:space="0" w:color="auto"/>
              <w:right w:val="single" w:sz="4" w:space="0" w:color="auto"/>
            </w:tcBorders>
            <w:shd w:val="clear" w:color="000000" w:fill="DDEBF7"/>
            <w:noWrap/>
            <w:vAlign w:val="bottom"/>
            <w:hideMark/>
          </w:tcPr>
          <w:p w14:paraId="1184893B"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2019</w:t>
            </w:r>
          </w:p>
        </w:tc>
        <w:tc>
          <w:tcPr>
            <w:tcW w:w="1480" w:type="dxa"/>
            <w:tcBorders>
              <w:top w:val="single" w:sz="4" w:space="0" w:color="auto"/>
              <w:left w:val="nil"/>
              <w:bottom w:val="single" w:sz="4" w:space="0" w:color="auto"/>
              <w:right w:val="single" w:sz="4" w:space="0" w:color="auto"/>
            </w:tcBorders>
            <w:shd w:val="clear" w:color="000000" w:fill="DDEBF7"/>
            <w:noWrap/>
            <w:vAlign w:val="bottom"/>
            <w:hideMark/>
          </w:tcPr>
          <w:p w14:paraId="24915741"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2020</w:t>
            </w:r>
          </w:p>
        </w:tc>
        <w:tc>
          <w:tcPr>
            <w:tcW w:w="2301" w:type="dxa"/>
            <w:tcBorders>
              <w:top w:val="single" w:sz="4" w:space="0" w:color="auto"/>
              <w:left w:val="nil"/>
              <w:bottom w:val="single" w:sz="4" w:space="0" w:color="auto"/>
              <w:right w:val="single" w:sz="4" w:space="0" w:color="auto"/>
            </w:tcBorders>
            <w:shd w:val="clear" w:color="000000" w:fill="DDEBF7"/>
            <w:noWrap/>
            <w:vAlign w:val="bottom"/>
            <w:hideMark/>
          </w:tcPr>
          <w:p w14:paraId="76CD22A4"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2021</w:t>
            </w:r>
          </w:p>
        </w:tc>
      </w:tr>
      <w:tr w:rsidR="00224658" w:rsidRPr="00A26C26" w14:paraId="4480B831"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FB38719" w14:textId="5645EE08"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Stare</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Miasto</w:t>
            </w:r>
          </w:p>
        </w:tc>
        <w:tc>
          <w:tcPr>
            <w:tcW w:w="1980" w:type="dxa"/>
            <w:tcBorders>
              <w:top w:val="nil"/>
              <w:left w:val="nil"/>
              <w:bottom w:val="single" w:sz="4" w:space="0" w:color="auto"/>
              <w:right w:val="single" w:sz="4" w:space="0" w:color="auto"/>
            </w:tcBorders>
            <w:shd w:val="clear" w:color="auto" w:fill="auto"/>
            <w:noWrap/>
            <w:vAlign w:val="bottom"/>
            <w:hideMark/>
          </w:tcPr>
          <w:p w14:paraId="45529CF4"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13</w:t>
            </w:r>
          </w:p>
        </w:tc>
        <w:tc>
          <w:tcPr>
            <w:tcW w:w="1200" w:type="dxa"/>
            <w:tcBorders>
              <w:top w:val="nil"/>
              <w:left w:val="nil"/>
              <w:bottom w:val="single" w:sz="4" w:space="0" w:color="auto"/>
              <w:right w:val="single" w:sz="4" w:space="0" w:color="auto"/>
            </w:tcBorders>
            <w:shd w:val="clear" w:color="auto" w:fill="auto"/>
            <w:noWrap/>
            <w:vAlign w:val="bottom"/>
            <w:hideMark/>
          </w:tcPr>
          <w:p w14:paraId="0D5C1270"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13</w:t>
            </w:r>
          </w:p>
        </w:tc>
        <w:tc>
          <w:tcPr>
            <w:tcW w:w="1260" w:type="dxa"/>
            <w:tcBorders>
              <w:top w:val="nil"/>
              <w:left w:val="nil"/>
              <w:bottom w:val="single" w:sz="4" w:space="0" w:color="auto"/>
              <w:right w:val="single" w:sz="4" w:space="0" w:color="auto"/>
            </w:tcBorders>
            <w:shd w:val="clear" w:color="auto" w:fill="auto"/>
            <w:noWrap/>
            <w:vAlign w:val="bottom"/>
            <w:hideMark/>
          </w:tcPr>
          <w:p w14:paraId="203C0557"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13</w:t>
            </w:r>
          </w:p>
        </w:tc>
        <w:tc>
          <w:tcPr>
            <w:tcW w:w="1480" w:type="dxa"/>
            <w:tcBorders>
              <w:top w:val="nil"/>
              <w:left w:val="nil"/>
              <w:bottom w:val="single" w:sz="4" w:space="0" w:color="auto"/>
              <w:right w:val="single" w:sz="4" w:space="0" w:color="auto"/>
            </w:tcBorders>
            <w:shd w:val="clear" w:color="auto" w:fill="auto"/>
            <w:noWrap/>
            <w:vAlign w:val="bottom"/>
            <w:hideMark/>
          </w:tcPr>
          <w:p w14:paraId="39A5AC5A"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13</w:t>
            </w:r>
          </w:p>
        </w:tc>
        <w:tc>
          <w:tcPr>
            <w:tcW w:w="2301" w:type="dxa"/>
            <w:tcBorders>
              <w:top w:val="nil"/>
              <w:left w:val="nil"/>
              <w:bottom w:val="single" w:sz="4" w:space="0" w:color="auto"/>
              <w:right w:val="single" w:sz="4" w:space="0" w:color="auto"/>
            </w:tcBorders>
            <w:shd w:val="clear" w:color="auto" w:fill="auto"/>
            <w:noWrap/>
            <w:vAlign w:val="bottom"/>
            <w:hideMark/>
          </w:tcPr>
          <w:p w14:paraId="23D1D90E"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13</w:t>
            </w:r>
          </w:p>
        </w:tc>
      </w:tr>
      <w:tr w:rsidR="00224658" w:rsidRPr="00A26C26" w14:paraId="7D1D46E2" w14:textId="77777777" w:rsidTr="007F1E76">
        <w:trPr>
          <w:trHeight w:val="249"/>
        </w:trPr>
        <w:tc>
          <w:tcPr>
            <w:tcW w:w="1980" w:type="dxa"/>
            <w:tcBorders>
              <w:top w:val="nil"/>
              <w:left w:val="single" w:sz="4" w:space="0" w:color="auto"/>
              <w:bottom w:val="single" w:sz="4" w:space="0" w:color="auto"/>
              <w:right w:val="single" w:sz="4" w:space="0" w:color="auto"/>
            </w:tcBorders>
            <w:shd w:val="clear" w:color="000000" w:fill="DDEBF7"/>
            <w:noWrap/>
            <w:vAlign w:val="bottom"/>
            <w:hideMark/>
          </w:tcPr>
          <w:p w14:paraId="1926FBEE" w14:textId="74C389E4"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Razem</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LGD</w:t>
            </w:r>
          </w:p>
        </w:tc>
        <w:tc>
          <w:tcPr>
            <w:tcW w:w="1980" w:type="dxa"/>
            <w:tcBorders>
              <w:top w:val="nil"/>
              <w:left w:val="nil"/>
              <w:bottom w:val="single" w:sz="4" w:space="0" w:color="auto"/>
              <w:right w:val="single" w:sz="4" w:space="0" w:color="auto"/>
            </w:tcBorders>
            <w:shd w:val="clear" w:color="000000" w:fill="DDEBF7"/>
            <w:noWrap/>
            <w:vAlign w:val="bottom"/>
            <w:hideMark/>
          </w:tcPr>
          <w:p w14:paraId="079BA1EC"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13</w:t>
            </w:r>
          </w:p>
        </w:tc>
        <w:tc>
          <w:tcPr>
            <w:tcW w:w="1200" w:type="dxa"/>
            <w:tcBorders>
              <w:top w:val="nil"/>
              <w:left w:val="nil"/>
              <w:bottom w:val="single" w:sz="4" w:space="0" w:color="auto"/>
              <w:right w:val="single" w:sz="4" w:space="0" w:color="auto"/>
            </w:tcBorders>
            <w:shd w:val="clear" w:color="000000" w:fill="DDEBF7"/>
            <w:noWrap/>
            <w:vAlign w:val="bottom"/>
            <w:hideMark/>
          </w:tcPr>
          <w:p w14:paraId="789F80A5"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13</w:t>
            </w:r>
          </w:p>
        </w:tc>
        <w:tc>
          <w:tcPr>
            <w:tcW w:w="1260" w:type="dxa"/>
            <w:tcBorders>
              <w:top w:val="nil"/>
              <w:left w:val="nil"/>
              <w:bottom w:val="single" w:sz="4" w:space="0" w:color="auto"/>
              <w:right w:val="single" w:sz="4" w:space="0" w:color="auto"/>
            </w:tcBorders>
            <w:shd w:val="clear" w:color="000000" w:fill="DDEBF7"/>
            <w:noWrap/>
            <w:vAlign w:val="bottom"/>
            <w:hideMark/>
          </w:tcPr>
          <w:p w14:paraId="1A1736B3"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13</w:t>
            </w:r>
          </w:p>
        </w:tc>
        <w:tc>
          <w:tcPr>
            <w:tcW w:w="1480" w:type="dxa"/>
            <w:tcBorders>
              <w:top w:val="nil"/>
              <w:left w:val="nil"/>
              <w:bottom w:val="single" w:sz="4" w:space="0" w:color="auto"/>
              <w:right w:val="single" w:sz="4" w:space="0" w:color="auto"/>
            </w:tcBorders>
            <w:shd w:val="clear" w:color="000000" w:fill="DDEBF7"/>
            <w:noWrap/>
            <w:vAlign w:val="bottom"/>
            <w:hideMark/>
          </w:tcPr>
          <w:p w14:paraId="079A3524"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13</w:t>
            </w:r>
          </w:p>
        </w:tc>
        <w:tc>
          <w:tcPr>
            <w:tcW w:w="2301" w:type="dxa"/>
            <w:tcBorders>
              <w:top w:val="nil"/>
              <w:left w:val="nil"/>
              <w:bottom w:val="single" w:sz="4" w:space="0" w:color="auto"/>
              <w:right w:val="single" w:sz="4" w:space="0" w:color="auto"/>
            </w:tcBorders>
            <w:shd w:val="clear" w:color="000000" w:fill="DDEBF7"/>
            <w:noWrap/>
            <w:vAlign w:val="bottom"/>
            <w:hideMark/>
          </w:tcPr>
          <w:p w14:paraId="41F55DD3"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13</w:t>
            </w:r>
          </w:p>
        </w:tc>
      </w:tr>
    </w:tbl>
    <w:p w14:paraId="67354722" w14:textId="2DC994BB" w:rsidR="00224658" w:rsidRPr="00A26C26" w:rsidRDefault="00224658" w:rsidP="00A26C26">
      <w:pPr>
        <w:spacing w:line="276" w:lineRule="auto"/>
        <w:rPr>
          <w:rFonts w:cstheme="minorHAnsi"/>
        </w:rPr>
      </w:pPr>
      <w:r w:rsidRPr="00A26C26">
        <w:rPr>
          <w:rFonts w:cstheme="minorHAnsi"/>
        </w:rPr>
        <w:t>Źródło:</w:t>
      </w:r>
      <w:r w:rsidR="003B50ED">
        <w:rPr>
          <w:rFonts w:cstheme="minorHAnsi"/>
        </w:rPr>
        <w:t xml:space="preserve"> </w:t>
      </w:r>
      <w:r w:rsidRPr="00A26C26">
        <w:rPr>
          <w:rFonts w:cstheme="minorHAnsi"/>
        </w:rPr>
        <w:t>GUS,</w:t>
      </w:r>
      <w:r w:rsidR="003B50ED">
        <w:rPr>
          <w:rFonts w:cstheme="minorHAnsi"/>
        </w:rPr>
        <w:t xml:space="preserve"> </w:t>
      </w:r>
      <w:r w:rsidRPr="00A26C26">
        <w:rPr>
          <w:rFonts w:cstheme="minorHAnsi"/>
        </w:rPr>
        <w:t>Bank</w:t>
      </w:r>
      <w:r w:rsidR="003B50ED">
        <w:rPr>
          <w:rFonts w:cstheme="minorHAnsi"/>
        </w:rPr>
        <w:t xml:space="preserve"> </w:t>
      </w:r>
      <w:r w:rsidRPr="00A26C26">
        <w:rPr>
          <w:rFonts w:cstheme="minorHAnsi"/>
        </w:rPr>
        <w:t>Danych</w:t>
      </w:r>
      <w:r w:rsidR="003B50ED">
        <w:rPr>
          <w:rFonts w:cstheme="minorHAnsi"/>
        </w:rPr>
        <w:t xml:space="preserve"> </w:t>
      </w:r>
      <w:r w:rsidRPr="00A26C26">
        <w:rPr>
          <w:rFonts w:cstheme="minorHAnsi"/>
        </w:rPr>
        <w:t>Lokalnych</w:t>
      </w:r>
    </w:p>
    <w:p w14:paraId="01F6C716" w14:textId="77777777" w:rsidR="00224658" w:rsidRPr="00A26C26" w:rsidRDefault="00224658" w:rsidP="00A26C26">
      <w:pPr>
        <w:spacing w:line="276" w:lineRule="auto"/>
        <w:rPr>
          <w:rFonts w:cstheme="minorHAnsi"/>
        </w:rPr>
      </w:pPr>
    </w:p>
    <w:p w14:paraId="0319DEEC" w14:textId="37DB2051" w:rsidR="00224658" w:rsidRPr="00A26C26" w:rsidRDefault="00224658" w:rsidP="008A412F">
      <w:pPr>
        <w:pStyle w:val="Nagwek2"/>
        <w:numPr>
          <w:ilvl w:val="0"/>
          <w:numId w:val="11"/>
        </w:numPr>
        <w:spacing w:before="0" w:line="276" w:lineRule="auto"/>
        <w:rPr>
          <w:rFonts w:asciiTheme="minorHAnsi" w:hAnsiTheme="minorHAnsi" w:cstheme="minorHAnsi"/>
          <w:b/>
          <w:bCs/>
          <w:sz w:val="22"/>
          <w:szCs w:val="22"/>
        </w:rPr>
      </w:pPr>
      <w:bookmarkStart w:id="58" w:name="_Toc136260203"/>
      <w:bookmarkStart w:id="59" w:name="_Toc136944412"/>
      <w:r w:rsidRPr="00A26C26">
        <w:rPr>
          <w:rFonts w:asciiTheme="minorHAnsi" w:hAnsiTheme="minorHAnsi" w:cstheme="minorHAnsi"/>
          <w:b/>
          <w:bCs/>
          <w:sz w:val="22"/>
          <w:szCs w:val="22"/>
        </w:rPr>
        <w:t>Obszary</w:t>
      </w:r>
      <w:r w:rsidR="003B50ED">
        <w:rPr>
          <w:rFonts w:asciiTheme="minorHAnsi" w:hAnsiTheme="minorHAnsi" w:cstheme="minorHAnsi"/>
          <w:b/>
          <w:bCs/>
          <w:sz w:val="22"/>
          <w:szCs w:val="22"/>
        </w:rPr>
        <w:t xml:space="preserve"> </w:t>
      </w:r>
      <w:r w:rsidRPr="00A26C26">
        <w:rPr>
          <w:rFonts w:asciiTheme="minorHAnsi" w:hAnsiTheme="minorHAnsi" w:cstheme="minorHAnsi"/>
          <w:b/>
          <w:bCs/>
          <w:sz w:val="22"/>
          <w:szCs w:val="22"/>
        </w:rPr>
        <w:t>wiejskie</w:t>
      </w:r>
      <w:bookmarkEnd w:id="58"/>
      <w:bookmarkEnd w:id="59"/>
    </w:p>
    <w:p w14:paraId="7D32AA74" w14:textId="686DC556" w:rsidR="00224658" w:rsidRPr="00A26C26" w:rsidRDefault="00D543AB" w:rsidP="00A26C26">
      <w:pPr>
        <w:spacing w:line="276" w:lineRule="auto"/>
        <w:ind w:firstLine="360"/>
        <w:jc w:val="both"/>
        <w:rPr>
          <w:rFonts w:cstheme="minorHAnsi"/>
        </w:rPr>
      </w:pPr>
      <w:r>
        <w:rPr>
          <w:rFonts w:cstheme="minorHAnsi"/>
        </w:rPr>
        <w:t>Stowarzyszenie</w:t>
      </w:r>
      <w:r w:rsidR="00AB742D">
        <w:rPr>
          <w:rFonts w:cstheme="minorHAnsi"/>
        </w:rPr>
        <w:t xml:space="preserve"> </w:t>
      </w:r>
      <w:r w:rsidR="00AB742D" w:rsidRPr="00A26C26">
        <w:rPr>
          <w:rFonts w:cstheme="minorHAnsi"/>
        </w:rPr>
        <w:t>„Solidarni</w:t>
      </w:r>
      <w:r w:rsidR="00AB742D">
        <w:rPr>
          <w:rFonts w:cstheme="minorHAnsi"/>
        </w:rPr>
        <w:t xml:space="preserve"> </w:t>
      </w:r>
      <w:r w:rsidR="00AB742D" w:rsidRPr="00A26C26">
        <w:rPr>
          <w:rFonts w:cstheme="minorHAnsi"/>
        </w:rPr>
        <w:t>w</w:t>
      </w:r>
      <w:r w:rsidR="00AB742D">
        <w:rPr>
          <w:rFonts w:cstheme="minorHAnsi"/>
        </w:rPr>
        <w:t xml:space="preserve"> </w:t>
      </w:r>
      <w:r w:rsidR="00AB742D" w:rsidRPr="00A26C26">
        <w:rPr>
          <w:rFonts w:cstheme="minorHAnsi"/>
        </w:rPr>
        <w:t>Partnerstwie”</w:t>
      </w:r>
      <w:r w:rsidR="00AB742D">
        <w:rPr>
          <w:rFonts w:cstheme="minorHAnsi"/>
        </w:rPr>
        <w:t xml:space="preserve"> </w:t>
      </w:r>
      <w:r w:rsidR="00224658" w:rsidRPr="00A26C26">
        <w:rPr>
          <w:rFonts w:cstheme="minorHAnsi"/>
        </w:rPr>
        <w:t>skupia</w:t>
      </w:r>
      <w:r w:rsidR="003B50ED">
        <w:rPr>
          <w:rFonts w:cstheme="minorHAnsi"/>
        </w:rPr>
        <w:t xml:space="preserve"> </w:t>
      </w:r>
      <w:r w:rsidR="00224658" w:rsidRPr="00A26C26">
        <w:rPr>
          <w:rFonts w:cstheme="minorHAnsi"/>
        </w:rPr>
        <w:t>na</w:t>
      </w:r>
      <w:r w:rsidR="003B50ED">
        <w:rPr>
          <w:rFonts w:cstheme="minorHAnsi"/>
        </w:rPr>
        <w:t xml:space="preserve"> </w:t>
      </w:r>
      <w:r w:rsidR="00224658" w:rsidRPr="00A26C26">
        <w:rPr>
          <w:rFonts w:cstheme="minorHAnsi"/>
        </w:rPr>
        <w:t>swoim</w:t>
      </w:r>
      <w:r w:rsidR="003B50ED">
        <w:rPr>
          <w:rFonts w:cstheme="minorHAnsi"/>
        </w:rPr>
        <w:t xml:space="preserve"> </w:t>
      </w:r>
      <w:r w:rsidR="00224658" w:rsidRPr="00A26C26">
        <w:rPr>
          <w:rFonts w:cstheme="minorHAnsi"/>
        </w:rPr>
        <w:t>obszarze</w:t>
      </w:r>
      <w:r w:rsidR="003B50ED">
        <w:rPr>
          <w:rFonts w:cstheme="minorHAnsi"/>
        </w:rPr>
        <w:t xml:space="preserve"> </w:t>
      </w:r>
      <w:r w:rsidR="00224658" w:rsidRPr="00A26C26">
        <w:rPr>
          <w:rFonts w:cstheme="minorHAnsi"/>
        </w:rPr>
        <w:t>gminy</w:t>
      </w:r>
      <w:r w:rsidR="003B50ED">
        <w:rPr>
          <w:rFonts w:cstheme="minorHAnsi"/>
        </w:rPr>
        <w:t xml:space="preserve"> </w:t>
      </w:r>
      <w:r w:rsidR="00224658" w:rsidRPr="00A26C26">
        <w:rPr>
          <w:rFonts w:cstheme="minorHAnsi"/>
        </w:rPr>
        <w:t>wiejskie</w:t>
      </w:r>
      <w:r w:rsidR="003B50ED">
        <w:rPr>
          <w:rFonts w:cstheme="minorHAnsi"/>
        </w:rPr>
        <w:t xml:space="preserve"> </w:t>
      </w:r>
      <w:r w:rsidR="00224658" w:rsidRPr="00A26C26">
        <w:rPr>
          <w:rFonts w:cstheme="minorHAnsi"/>
        </w:rPr>
        <w:t>i</w:t>
      </w:r>
      <w:r w:rsidR="003B50ED">
        <w:rPr>
          <w:rFonts w:cstheme="minorHAnsi"/>
        </w:rPr>
        <w:t xml:space="preserve"> </w:t>
      </w:r>
      <w:r w:rsidR="00224658" w:rsidRPr="00A26C26">
        <w:rPr>
          <w:rFonts w:cstheme="minorHAnsi"/>
        </w:rPr>
        <w:t>gminy</w:t>
      </w:r>
      <w:r w:rsidR="003B50ED">
        <w:rPr>
          <w:rFonts w:cstheme="minorHAnsi"/>
        </w:rPr>
        <w:t xml:space="preserve"> </w:t>
      </w:r>
      <w:r w:rsidR="00224658" w:rsidRPr="00A26C26">
        <w:rPr>
          <w:rFonts w:cstheme="minorHAnsi"/>
        </w:rPr>
        <w:t>miejsko</w:t>
      </w:r>
      <w:r w:rsidR="003B50ED">
        <w:rPr>
          <w:rFonts w:cstheme="minorHAnsi"/>
        </w:rPr>
        <w:t xml:space="preserve"> </w:t>
      </w:r>
      <w:r w:rsidR="00224658" w:rsidRPr="00A26C26">
        <w:rPr>
          <w:rFonts w:cstheme="minorHAnsi"/>
        </w:rPr>
        <w:t>wiejskie.</w:t>
      </w:r>
      <w:r w:rsidR="003B50ED">
        <w:rPr>
          <w:rFonts w:cstheme="minorHAnsi"/>
        </w:rPr>
        <w:t xml:space="preserve"> </w:t>
      </w:r>
      <w:r w:rsidR="005B3017" w:rsidRPr="00A26C26">
        <w:rPr>
          <w:rFonts w:cstheme="minorHAnsi"/>
        </w:rPr>
        <w:t>W</w:t>
      </w:r>
      <w:r w:rsidR="00224658" w:rsidRPr="00A26C26">
        <w:rPr>
          <w:rFonts w:cstheme="minorHAnsi"/>
        </w:rPr>
        <w:t>edług</w:t>
      </w:r>
      <w:r w:rsidR="003B50ED">
        <w:rPr>
          <w:rFonts w:cstheme="minorHAnsi"/>
        </w:rPr>
        <w:t xml:space="preserve"> </w:t>
      </w:r>
      <w:r w:rsidR="00224658" w:rsidRPr="00A26C26">
        <w:rPr>
          <w:rFonts w:cstheme="minorHAnsi"/>
        </w:rPr>
        <w:t>danych</w:t>
      </w:r>
      <w:r w:rsidR="003B50ED">
        <w:rPr>
          <w:rFonts w:cstheme="minorHAnsi"/>
        </w:rPr>
        <w:t xml:space="preserve"> </w:t>
      </w:r>
      <w:r w:rsidR="00224658" w:rsidRPr="00A26C26">
        <w:rPr>
          <w:rFonts w:cstheme="minorHAnsi"/>
        </w:rPr>
        <w:t>GUS</w:t>
      </w:r>
      <w:r w:rsidR="003B50ED">
        <w:rPr>
          <w:rFonts w:cstheme="minorHAnsi"/>
        </w:rPr>
        <w:t xml:space="preserve"> </w:t>
      </w:r>
      <w:r w:rsidR="00224658" w:rsidRPr="00A26C26">
        <w:rPr>
          <w:rFonts w:cstheme="minorHAnsi"/>
        </w:rPr>
        <w:t>(Bank</w:t>
      </w:r>
      <w:r w:rsidR="003B50ED">
        <w:rPr>
          <w:rFonts w:cstheme="minorHAnsi"/>
        </w:rPr>
        <w:t xml:space="preserve"> </w:t>
      </w:r>
      <w:r w:rsidR="00224658" w:rsidRPr="00A26C26">
        <w:rPr>
          <w:rFonts w:cstheme="minorHAnsi"/>
        </w:rPr>
        <w:t>Danych</w:t>
      </w:r>
      <w:r w:rsidR="003B50ED">
        <w:rPr>
          <w:rFonts w:cstheme="minorHAnsi"/>
        </w:rPr>
        <w:t xml:space="preserve"> </w:t>
      </w:r>
      <w:r w:rsidR="00224658" w:rsidRPr="00A26C26">
        <w:rPr>
          <w:rFonts w:cstheme="minorHAnsi"/>
        </w:rPr>
        <w:t>Lokalnych)</w:t>
      </w:r>
      <w:r w:rsidR="003B50ED">
        <w:rPr>
          <w:rFonts w:cstheme="minorHAnsi"/>
        </w:rPr>
        <w:t xml:space="preserve"> </w:t>
      </w:r>
      <w:r w:rsidR="00224658" w:rsidRPr="00A26C26">
        <w:rPr>
          <w:rFonts w:cstheme="minorHAnsi"/>
        </w:rPr>
        <w:t>na</w:t>
      </w:r>
      <w:r w:rsidR="003B50ED">
        <w:rPr>
          <w:rFonts w:cstheme="minorHAnsi"/>
        </w:rPr>
        <w:t xml:space="preserve"> </w:t>
      </w:r>
      <w:r w:rsidR="00224658" w:rsidRPr="00A26C26">
        <w:rPr>
          <w:rFonts w:cstheme="minorHAnsi"/>
        </w:rPr>
        <w:t>dzień</w:t>
      </w:r>
      <w:r w:rsidR="003B50ED">
        <w:rPr>
          <w:rFonts w:cstheme="minorHAnsi"/>
        </w:rPr>
        <w:t xml:space="preserve"> </w:t>
      </w:r>
      <w:r w:rsidR="00224658" w:rsidRPr="00A26C26">
        <w:rPr>
          <w:rFonts w:cstheme="minorHAnsi"/>
        </w:rPr>
        <w:t>31.12.2021</w:t>
      </w:r>
      <w:r w:rsidR="003B50ED">
        <w:rPr>
          <w:rFonts w:cstheme="minorHAnsi"/>
        </w:rPr>
        <w:t xml:space="preserve"> </w:t>
      </w:r>
      <w:r w:rsidR="00224658" w:rsidRPr="00A26C26">
        <w:rPr>
          <w:rFonts w:cstheme="minorHAnsi"/>
        </w:rPr>
        <w:t>r.</w:t>
      </w:r>
      <w:r w:rsidR="003B50ED">
        <w:rPr>
          <w:rFonts w:cstheme="minorHAnsi"/>
        </w:rPr>
        <w:t xml:space="preserve"> </w:t>
      </w:r>
      <w:r w:rsidR="00224658" w:rsidRPr="00A26C26">
        <w:rPr>
          <w:rFonts w:cstheme="minorHAnsi"/>
        </w:rPr>
        <w:t>gminy</w:t>
      </w:r>
      <w:r w:rsidR="003B50ED">
        <w:rPr>
          <w:rFonts w:cstheme="minorHAnsi"/>
        </w:rPr>
        <w:t xml:space="preserve"> </w:t>
      </w:r>
      <w:r w:rsidR="00224658" w:rsidRPr="00A26C26">
        <w:rPr>
          <w:rFonts w:cstheme="minorHAnsi"/>
        </w:rPr>
        <w:t>LGD</w:t>
      </w:r>
      <w:r w:rsidR="003B50ED">
        <w:rPr>
          <w:rFonts w:cstheme="minorHAnsi"/>
        </w:rPr>
        <w:t xml:space="preserve"> </w:t>
      </w:r>
      <w:r w:rsidR="00224658" w:rsidRPr="00A26C26">
        <w:rPr>
          <w:rFonts w:cstheme="minorHAnsi"/>
        </w:rPr>
        <w:t>zamieszkiwało</w:t>
      </w:r>
      <w:r w:rsidR="003B50ED">
        <w:rPr>
          <w:rFonts w:cstheme="minorHAnsi"/>
        </w:rPr>
        <w:t xml:space="preserve"> </w:t>
      </w:r>
      <w:r w:rsidR="00224658" w:rsidRPr="00A26C26">
        <w:rPr>
          <w:rFonts w:cstheme="minorHAnsi"/>
        </w:rPr>
        <w:t>łącznie</w:t>
      </w:r>
      <w:r w:rsidR="003B50ED">
        <w:rPr>
          <w:rFonts w:cstheme="minorHAnsi"/>
        </w:rPr>
        <w:t xml:space="preserve"> </w:t>
      </w:r>
      <w:r w:rsidR="00224658" w:rsidRPr="00A26C26">
        <w:rPr>
          <w:rFonts w:eastAsia="Times New Roman" w:cstheme="minorHAnsi"/>
          <w:color w:val="000000"/>
          <w:kern w:val="0"/>
          <w:lang w:eastAsia="pl-PL"/>
          <w14:ligatures w14:val="none"/>
        </w:rPr>
        <w:t>55</w:t>
      </w:r>
      <w:r w:rsidR="003B50ED">
        <w:rPr>
          <w:rFonts w:eastAsia="Times New Roman" w:cstheme="minorHAnsi"/>
          <w:color w:val="000000"/>
          <w:kern w:val="0"/>
          <w:lang w:eastAsia="pl-PL"/>
          <w14:ligatures w14:val="none"/>
        </w:rPr>
        <w:t xml:space="preserve"> </w:t>
      </w:r>
      <w:r w:rsidR="00224658" w:rsidRPr="00A26C26">
        <w:rPr>
          <w:rFonts w:eastAsia="Times New Roman" w:cstheme="minorHAnsi"/>
          <w:color w:val="000000"/>
          <w:kern w:val="0"/>
          <w:lang w:eastAsia="pl-PL"/>
          <w14:ligatures w14:val="none"/>
        </w:rPr>
        <w:t>369</w:t>
      </w:r>
      <w:r w:rsidR="003B50ED">
        <w:rPr>
          <w:rFonts w:cstheme="minorHAnsi"/>
        </w:rPr>
        <w:t xml:space="preserve"> </w:t>
      </w:r>
      <w:r w:rsidR="00224658" w:rsidRPr="00A26C26">
        <w:rPr>
          <w:rFonts w:cstheme="minorHAnsi"/>
        </w:rPr>
        <w:t>osób</w:t>
      </w:r>
      <w:r w:rsidR="003B50ED">
        <w:rPr>
          <w:rFonts w:cstheme="minorHAnsi"/>
        </w:rPr>
        <w:t xml:space="preserve"> </w:t>
      </w:r>
      <w:r w:rsidR="00224658" w:rsidRPr="00A26C26">
        <w:rPr>
          <w:rFonts w:cstheme="minorHAnsi"/>
        </w:rPr>
        <w:t>z</w:t>
      </w:r>
      <w:r w:rsidR="003B50ED">
        <w:rPr>
          <w:rFonts w:cstheme="minorHAnsi"/>
        </w:rPr>
        <w:t xml:space="preserve"> </w:t>
      </w:r>
      <w:r w:rsidR="00224658" w:rsidRPr="00A26C26">
        <w:rPr>
          <w:rFonts w:cstheme="minorHAnsi"/>
        </w:rPr>
        <w:t>czego</w:t>
      </w:r>
      <w:r w:rsidR="003B50ED">
        <w:rPr>
          <w:rFonts w:cstheme="minorHAnsi"/>
        </w:rPr>
        <w:t xml:space="preserve"> </w:t>
      </w:r>
      <w:r w:rsidR="00224658" w:rsidRPr="00A26C26">
        <w:rPr>
          <w:rFonts w:eastAsia="Times New Roman" w:cstheme="minorHAnsi"/>
          <w:color w:val="000000"/>
          <w:kern w:val="0"/>
          <w:lang w:eastAsia="pl-PL"/>
          <w14:ligatures w14:val="none"/>
        </w:rPr>
        <w:t>45</w:t>
      </w:r>
      <w:r w:rsidR="003B50ED">
        <w:rPr>
          <w:rFonts w:eastAsia="Times New Roman" w:cstheme="minorHAnsi"/>
          <w:color w:val="000000"/>
          <w:kern w:val="0"/>
          <w:lang w:eastAsia="pl-PL"/>
          <w14:ligatures w14:val="none"/>
        </w:rPr>
        <w:t xml:space="preserve"> </w:t>
      </w:r>
      <w:r w:rsidR="00224658" w:rsidRPr="00A26C26">
        <w:rPr>
          <w:rFonts w:eastAsia="Times New Roman" w:cstheme="minorHAnsi"/>
          <w:color w:val="000000"/>
          <w:kern w:val="0"/>
          <w:lang w:eastAsia="pl-PL"/>
          <w14:ligatures w14:val="none"/>
        </w:rPr>
        <w:t>513</w:t>
      </w:r>
      <w:r w:rsidR="003B50ED">
        <w:rPr>
          <w:rFonts w:eastAsia="Times New Roman" w:cstheme="minorHAnsi"/>
          <w:color w:val="000000"/>
          <w:kern w:val="0"/>
          <w:lang w:eastAsia="pl-PL"/>
          <w14:ligatures w14:val="none"/>
        </w:rPr>
        <w:t xml:space="preserve"> </w:t>
      </w:r>
      <w:r w:rsidR="00AB742D">
        <w:rPr>
          <w:rFonts w:eastAsia="Times New Roman" w:cstheme="minorHAnsi"/>
          <w:color w:val="000000"/>
          <w:kern w:val="0"/>
          <w:lang w:eastAsia="pl-PL"/>
          <w14:ligatures w14:val="none"/>
        </w:rPr>
        <w:t xml:space="preserve">(82%) </w:t>
      </w:r>
      <w:r w:rsidR="00224658" w:rsidRPr="00A26C26">
        <w:rPr>
          <w:rFonts w:cstheme="minorHAnsi"/>
        </w:rPr>
        <w:t>osób</w:t>
      </w:r>
      <w:r w:rsidR="003B50ED">
        <w:rPr>
          <w:rFonts w:cstheme="minorHAnsi"/>
        </w:rPr>
        <w:t xml:space="preserve"> </w:t>
      </w:r>
      <w:r w:rsidR="00224658" w:rsidRPr="00A26C26">
        <w:rPr>
          <w:rFonts w:cstheme="minorHAnsi"/>
        </w:rPr>
        <w:t>zamieszkiwało</w:t>
      </w:r>
      <w:r w:rsidR="003B50ED">
        <w:rPr>
          <w:rFonts w:cstheme="minorHAnsi"/>
        </w:rPr>
        <w:t xml:space="preserve"> </w:t>
      </w:r>
      <w:r w:rsidR="00224658" w:rsidRPr="00A26C26">
        <w:rPr>
          <w:rFonts w:cstheme="minorHAnsi"/>
        </w:rPr>
        <w:t>na</w:t>
      </w:r>
      <w:r w:rsidR="003B50ED">
        <w:rPr>
          <w:rFonts w:cstheme="minorHAnsi"/>
        </w:rPr>
        <w:t xml:space="preserve"> </w:t>
      </w:r>
      <w:r w:rsidR="00224658" w:rsidRPr="00A26C26">
        <w:rPr>
          <w:rFonts w:cstheme="minorHAnsi"/>
        </w:rPr>
        <w:t>wsi.</w:t>
      </w:r>
    </w:p>
    <w:p w14:paraId="55245AD0" w14:textId="0FB13407" w:rsidR="00224658" w:rsidRPr="00A26C26" w:rsidRDefault="00224658" w:rsidP="00A26C26">
      <w:pPr>
        <w:spacing w:line="276" w:lineRule="auto"/>
        <w:ind w:firstLine="284"/>
        <w:jc w:val="both"/>
        <w:rPr>
          <w:rFonts w:cstheme="minorHAnsi"/>
        </w:rPr>
      </w:pPr>
      <w:r w:rsidRPr="00A26C26">
        <w:rPr>
          <w:rFonts w:cstheme="minorHAnsi"/>
        </w:rPr>
        <w:t>Źródłem</w:t>
      </w:r>
      <w:r w:rsidR="003B50ED">
        <w:rPr>
          <w:rFonts w:cstheme="minorHAnsi"/>
        </w:rPr>
        <w:t xml:space="preserve"> </w:t>
      </w:r>
      <w:r w:rsidRPr="00A26C26">
        <w:rPr>
          <w:rFonts w:cstheme="minorHAnsi"/>
        </w:rPr>
        <w:t>dochodów</w:t>
      </w:r>
      <w:r w:rsidR="003B50ED">
        <w:rPr>
          <w:rFonts w:cstheme="minorHAnsi"/>
        </w:rPr>
        <w:t xml:space="preserve"> </w:t>
      </w:r>
      <w:r w:rsidRPr="00A26C26">
        <w:rPr>
          <w:rFonts w:cstheme="minorHAnsi"/>
        </w:rPr>
        <w:t>dla</w:t>
      </w:r>
      <w:r w:rsidR="003B50ED">
        <w:rPr>
          <w:rFonts w:cstheme="minorHAnsi"/>
        </w:rPr>
        <w:t xml:space="preserve"> </w:t>
      </w:r>
      <w:r w:rsidRPr="00A26C26">
        <w:rPr>
          <w:rFonts w:cstheme="minorHAnsi"/>
        </w:rPr>
        <w:t>gospodarstw</w:t>
      </w:r>
      <w:r w:rsidR="003B50ED">
        <w:rPr>
          <w:rFonts w:cstheme="minorHAnsi"/>
        </w:rPr>
        <w:t xml:space="preserve"> </w:t>
      </w:r>
      <w:r w:rsidRPr="00A26C26">
        <w:rPr>
          <w:rFonts w:cstheme="minorHAnsi"/>
        </w:rPr>
        <w:t>domowych</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terenu</w:t>
      </w:r>
      <w:r w:rsidR="003B50ED">
        <w:rPr>
          <w:rFonts w:cstheme="minorHAnsi"/>
        </w:rPr>
        <w:t xml:space="preserve"> </w:t>
      </w:r>
      <w:r w:rsidRPr="00A26C26">
        <w:rPr>
          <w:rFonts w:cstheme="minorHAnsi"/>
        </w:rPr>
        <w:t>LGD</w:t>
      </w:r>
      <w:r w:rsidR="003B50ED">
        <w:rPr>
          <w:rFonts w:cstheme="minorHAnsi"/>
        </w:rPr>
        <w:t xml:space="preserve"> </w:t>
      </w:r>
      <w:r w:rsidRPr="00A26C26">
        <w:rPr>
          <w:rFonts w:cstheme="minorHAnsi"/>
        </w:rPr>
        <w:t>jest</w:t>
      </w:r>
      <w:r w:rsidR="003B50ED">
        <w:rPr>
          <w:rFonts w:cstheme="minorHAnsi"/>
        </w:rPr>
        <w:t xml:space="preserve"> </w:t>
      </w:r>
      <w:r w:rsidRPr="00A26C26">
        <w:rPr>
          <w:rFonts w:cstheme="minorHAnsi"/>
        </w:rPr>
        <w:t>przede</w:t>
      </w:r>
      <w:r w:rsidR="003B50ED">
        <w:rPr>
          <w:rFonts w:cstheme="minorHAnsi"/>
        </w:rPr>
        <w:t xml:space="preserve"> </w:t>
      </w:r>
      <w:r w:rsidRPr="00A26C26">
        <w:rPr>
          <w:rFonts w:cstheme="minorHAnsi"/>
        </w:rPr>
        <w:t>wszystkim</w:t>
      </w:r>
      <w:r w:rsidR="003B50ED">
        <w:rPr>
          <w:rFonts w:cstheme="minorHAnsi"/>
        </w:rPr>
        <w:t xml:space="preserve"> </w:t>
      </w:r>
      <w:r w:rsidRPr="00A26C26">
        <w:rPr>
          <w:rFonts w:cstheme="minorHAnsi"/>
        </w:rPr>
        <w:t>działalność</w:t>
      </w:r>
      <w:r w:rsidR="003B50ED">
        <w:rPr>
          <w:rFonts w:cstheme="minorHAnsi"/>
        </w:rPr>
        <w:t xml:space="preserve"> </w:t>
      </w:r>
      <w:r w:rsidRPr="00A26C26">
        <w:rPr>
          <w:rFonts w:cstheme="minorHAnsi"/>
        </w:rPr>
        <w:t>rolnicza,</w:t>
      </w:r>
      <w:r w:rsidR="003B50ED">
        <w:rPr>
          <w:rFonts w:cstheme="minorHAnsi"/>
        </w:rPr>
        <w:t xml:space="preserve"> </w:t>
      </w:r>
      <w:r w:rsidRPr="00A26C26">
        <w:rPr>
          <w:rFonts w:cstheme="minorHAnsi"/>
        </w:rPr>
        <w:t>następnie</w:t>
      </w:r>
      <w:r w:rsidR="003B50ED">
        <w:rPr>
          <w:rFonts w:cstheme="minorHAnsi"/>
        </w:rPr>
        <w:t xml:space="preserve"> </w:t>
      </w:r>
      <w:r w:rsidRPr="00A26C26">
        <w:rPr>
          <w:rFonts w:cstheme="minorHAnsi"/>
        </w:rPr>
        <w:t>praca</w:t>
      </w:r>
      <w:r w:rsidR="003B50ED">
        <w:rPr>
          <w:rFonts w:cstheme="minorHAnsi"/>
        </w:rPr>
        <w:t xml:space="preserve"> </w:t>
      </w:r>
      <w:r w:rsidRPr="00A26C26">
        <w:rPr>
          <w:rFonts w:cstheme="minorHAnsi"/>
        </w:rPr>
        <w:t>najemna,</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dalszej</w:t>
      </w:r>
      <w:r w:rsidR="003B50ED">
        <w:rPr>
          <w:rFonts w:cstheme="minorHAnsi"/>
        </w:rPr>
        <w:t xml:space="preserve"> </w:t>
      </w:r>
      <w:r w:rsidRPr="00A26C26">
        <w:rPr>
          <w:rFonts w:cstheme="minorHAnsi"/>
        </w:rPr>
        <w:t>kolejności</w:t>
      </w:r>
      <w:r w:rsidR="003B50ED">
        <w:rPr>
          <w:rFonts w:cstheme="minorHAnsi"/>
        </w:rPr>
        <w:t xml:space="preserve"> </w:t>
      </w:r>
      <w:r w:rsidRPr="00A26C26">
        <w:rPr>
          <w:rFonts w:cstheme="minorHAnsi"/>
        </w:rPr>
        <w:t>emerytury</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renty</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pozarolnicza</w:t>
      </w:r>
      <w:r w:rsidR="003B50ED">
        <w:rPr>
          <w:rFonts w:cstheme="minorHAnsi"/>
        </w:rPr>
        <w:t xml:space="preserve"> </w:t>
      </w:r>
      <w:r w:rsidRPr="00A26C26">
        <w:rPr>
          <w:rFonts w:cstheme="minorHAnsi"/>
        </w:rPr>
        <w:t>działalność</w:t>
      </w:r>
      <w:r w:rsidR="003B50ED">
        <w:rPr>
          <w:rFonts w:cstheme="minorHAnsi"/>
        </w:rPr>
        <w:t xml:space="preserve"> </w:t>
      </w:r>
      <w:r w:rsidRPr="00A26C26">
        <w:rPr>
          <w:rFonts w:cstheme="minorHAnsi"/>
        </w:rPr>
        <w:t>gospodarcza</w:t>
      </w:r>
      <w:r w:rsidR="003B50ED">
        <w:rPr>
          <w:rFonts w:cstheme="minorHAnsi"/>
        </w:rPr>
        <w:t xml:space="preserve"> </w:t>
      </w:r>
      <w:r w:rsidRPr="00A26C26">
        <w:rPr>
          <w:rFonts w:cstheme="minorHAnsi"/>
        </w:rPr>
        <w:t>oraz</w:t>
      </w:r>
      <w:r w:rsidR="003B50ED">
        <w:rPr>
          <w:rFonts w:cstheme="minorHAnsi"/>
        </w:rPr>
        <w:t xml:space="preserve"> </w:t>
      </w:r>
      <w:r w:rsidRPr="00A26C26">
        <w:rPr>
          <w:rFonts w:cstheme="minorHAnsi"/>
        </w:rPr>
        <w:t>inne</w:t>
      </w:r>
      <w:r w:rsidR="003B50ED">
        <w:rPr>
          <w:rFonts w:cstheme="minorHAnsi"/>
        </w:rPr>
        <w:t xml:space="preserve"> </w:t>
      </w:r>
      <w:r w:rsidRPr="00A26C26">
        <w:rPr>
          <w:rFonts w:cstheme="minorHAnsi"/>
        </w:rPr>
        <w:t>źródła.</w:t>
      </w:r>
      <w:r w:rsidR="003B50ED">
        <w:rPr>
          <w:rFonts w:cstheme="minorHAnsi"/>
        </w:rPr>
        <w:t xml:space="preserve"> </w:t>
      </w:r>
      <w:r w:rsidRPr="00A26C26">
        <w:rPr>
          <w:rFonts w:cstheme="minorHAnsi"/>
        </w:rPr>
        <w:t>Wielu</w:t>
      </w:r>
      <w:r w:rsidR="003B50ED">
        <w:rPr>
          <w:rFonts w:cstheme="minorHAnsi"/>
        </w:rPr>
        <w:t xml:space="preserve"> </w:t>
      </w:r>
      <w:r w:rsidRPr="00A26C26">
        <w:rPr>
          <w:rFonts w:cstheme="minorHAnsi"/>
        </w:rPr>
        <w:t>rolników</w:t>
      </w:r>
      <w:r w:rsidR="003B50ED">
        <w:rPr>
          <w:rFonts w:cstheme="minorHAnsi"/>
        </w:rPr>
        <w:t xml:space="preserve"> </w:t>
      </w:r>
      <w:r w:rsidRPr="00A26C26">
        <w:rPr>
          <w:rFonts w:cstheme="minorHAnsi"/>
        </w:rPr>
        <w:t>utrzymuje</w:t>
      </w:r>
      <w:r w:rsidR="003B50ED">
        <w:rPr>
          <w:rFonts w:cstheme="minorHAnsi"/>
        </w:rPr>
        <w:t xml:space="preserve"> </w:t>
      </w:r>
      <w:r w:rsidRPr="00A26C26">
        <w:rPr>
          <w:rFonts w:cstheme="minorHAnsi"/>
        </w:rPr>
        <w:t>się</w:t>
      </w:r>
      <w:r w:rsidR="003B50ED">
        <w:rPr>
          <w:rFonts w:cstheme="minorHAnsi"/>
        </w:rPr>
        <w:t xml:space="preserve"> </w:t>
      </w:r>
      <w:r w:rsidRPr="00A26C26">
        <w:rPr>
          <w:rFonts w:cstheme="minorHAnsi"/>
        </w:rPr>
        <w:t>także</w:t>
      </w:r>
      <w:r w:rsidR="003B50ED">
        <w:rPr>
          <w:rFonts w:cstheme="minorHAnsi"/>
        </w:rPr>
        <w:t xml:space="preserve"> </w:t>
      </w:r>
      <w:r w:rsidRPr="00A26C26">
        <w:rPr>
          <w:rFonts w:cstheme="minorHAnsi"/>
        </w:rPr>
        <w:t>ze</w:t>
      </w:r>
      <w:r w:rsidR="003B50ED">
        <w:rPr>
          <w:rFonts w:cstheme="minorHAnsi"/>
        </w:rPr>
        <w:t xml:space="preserve"> </w:t>
      </w:r>
      <w:r w:rsidRPr="00A26C26">
        <w:rPr>
          <w:rFonts w:cstheme="minorHAnsi"/>
        </w:rPr>
        <w:t>sprzedaży</w:t>
      </w:r>
      <w:r w:rsidR="003B50ED">
        <w:rPr>
          <w:rFonts w:cstheme="minorHAnsi"/>
        </w:rPr>
        <w:t xml:space="preserve"> </w:t>
      </w:r>
      <w:r w:rsidRPr="00A26C26">
        <w:rPr>
          <w:rFonts w:cstheme="minorHAnsi"/>
        </w:rPr>
        <w:t>ziemi:</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działki</w:t>
      </w:r>
      <w:r w:rsidR="003B50ED">
        <w:rPr>
          <w:rFonts w:cstheme="minorHAnsi"/>
        </w:rPr>
        <w:t xml:space="preserve"> </w:t>
      </w:r>
      <w:r w:rsidRPr="00A26C26">
        <w:rPr>
          <w:rFonts w:cstheme="minorHAnsi"/>
        </w:rPr>
        <w:t>rekreacyjne</w:t>
      </w:r>
      <w:r w:rsidR="003B50ED">
        <w:rPr>
          <w:rFonts w:cstheme="minorHAnsi"/>
        </w:rPr>
        <w:t xml:space="preserve"> </w:t>
      </w:r>
      <w:r w:rsidRPr="00A26C26">
        <w:rPr>
          <w:rFonts w:cstheme="minorHAnsi"/>
        </w:rPr>
        <w:t>lub</w:t>
      </w:r>
      <w:r w:rsidR="003B50ED">
        <w:rPr>
          <w:rFonts w:cstheme="minorHAnsi"/>
        </w:rPr>
        <w:t xml:space="preserve"> </w:t>
      </w:r>
      <w:r w:rsidRPr="00A26C26">
        <w:rPr>
          <w:rFonts w:cstheme="minorHAnsi"/>
        </w:rPr>
        <w:t>budowlane.</w:t>
      </w:r>
    </w:p>
    <w:p w14:paraId="6EBCC7F5" w14:textId="77777777" w:rsidR="00224658" w:rsidRPr="00A26C26" w:rsidRDefault="00224658" w:rsidP="00A26C26">
      <w:pPr>
        <w:spacing w:line="276" w:lineRule="auto"/>
        <w:ind w:firstLine="284"/>
        <w:jc w:val="both"/>
        <w:rPr>
          <w:rFonts w:cstheme="minorHAnsi"/>
        </w:rPr>
      </w:pPr>
    </w:p>
    <w:p w14:paraId="5B4FFF82" w14:textId="0C43D9D7" w:rsidR="00224658" w:rsidRPr="00A26C26" w:rsidRDefault="00224658" w:rsidP="00A26C26">
      <w:pPr>
        <w:spacing w:line="276" w:lineRule="auto"/>
        <w:rPr>
          <w:rFonts w:cstheme="minorHAnsi"/>
        </w:rPr>
      </w:pPr>
      <w:r w:rsidRPr="00A26C26">
        <w:rPr>
          <w:rFonts w:cstheme="minorHAnsi"/>
        </w:rPr>
        <w:t>Tabela</w:t>
      </w:r>
      <w:r w:rsidR="00396A11">
        <w:rPr>
          <w:rFonts w:cstheme="minorHAnsi"/>
        </w:rPr>
        <w:t xml:space="preserve"> nr 2</w:t>
      </w:r>
      <w:r w:rsidR="00203429">
        <w:rPr>
          <w:rFonts w:cstheme="minorHAnsi"/>
        </w:rPr>
        <w:t>3</w:t>
      </w:r>
      <w:r w:rsidR="003B50ED">
        <w:rPr>
          <w:rFonts w:cstheme="minorHAnsi"/>
        </w:rPr>
        <w:t xml:space="preserve"> </w:t>
      </w:r>
      <w:r w:rsidRPr="00A26C26">
        <w:rPr>
          <w:rFonts w:cstheme="minorHAnsi"/>
        </w:rPr>
        <w:t>Gospodarstwa</w:t>
      </w:r>
      <w:r w:rsidR="003B50ED">
        <w:rPr>
          <w:rFonts w:cstheme="minorHAnsi"/>
        </w:rPr>
        <w:t xml:space="preserve"> </w:t>
      </w:r>
      <w:r w:rsidRPr="00A26C26">
        <w:rPr>
          <w:rFonts w:cstheme="minorHAnsi"/>
        </w:rPr>
        <w:t>domowe</w:t>
      </w:r>
      <w:r w:rsidR="003B50ED">
        <w:rPr>
          <w:rFonts w:cstheme="minorHAnsi"/>
        </w:rPr>
        <w:t xml:space="preserve"> </w:t>
      </w:r>
      <w:r w:rsidRPr="00A26C26">
        <w:rPr>
          <w:rFonts w:cstheme="minorHAnsi"/>
        </w:rPr>
        <w:t>wg</w:t>
      </w:r>
      <w:r w:rsidR="003B50ED">
        <w:rPr>
          <w:rFonts w:cstheme="minorHAnsi"/>
        </w:rPr>
        <w:t xml:space="preserve"> </w:t>
      </w:r>
      <w:r w:rsidRPr="00A26C26">
        <w:rPr>
          <w:rFonts w:cstheme="minorHAnsi"/>
        </w:rPr>
        <w:t>źródeł</w:t>
      </w:r>
      <w:r w:rsidR="003B50ED">
        <w:rPr>
          <w:rFonts w:cstheme="minorHAnsi"/>
        </w:rPr>
        <w:t xml:space="preserve"> </w:t>
      </w:r>
      <w:r w:rsidRPr="00A26C26">
        <w:rPr>
          <w:rFonts w:cstheme="minorHAnsi"/>
        </w:rPr>
        <w:t>dochodów.</w:t>
      </w:r>
    </w:p>
    <w:tbl>
      <w:tblPr>
        <w:tblW w:w="10201" w:type="dxa"/>
        <w:tblLayout w:type="fixed"/>
        <w:tblCellMar>
          <w:left w:w="70" w:type="dxa"/>
          <w:right w:w="70" w:type="dxa"/>
        </w:tblCellMar>
        <w:tblLook w:val="04A0" w:firstRow="1" w:lastRow="0" w:firstColumn="1" w:lastColumn="0" w:noHBand="0" w:noVBand="1"/>
      </w:tblPr>
      <w:tblGrid>
        <w:gridCol w:w="1700"/>
        <w:gridCol w:w="1700"/>
        <w:gridCol w:w="1700"/>
        <w:gridCol w:w="1700"/>
        <w:gridCol w:w="1700"/>
        <w:gridCol w:w="1701"/>
      </w:tblGrid>
      <w:tr w:rsidR="00224658" w:rsidRPr="00203429" w14:paraId="0C8F25D4" w14:textId="77777777" w:rsidTr="007F1E76">
        <w:trPr>
          <w:trHeight w:val="249"/>
        </w:trPr>
        <w:tc>
          <w:tcPr>
            <w:tcW w:w="170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270A01A9" w14:textId="2208BCE9" w:rsidR="00224658" w:rsidRPr="00203429" w:rsidRDefault="00224658" w:rsidP="00203429">
            <w:pPr>
              <w:spacing w:line="276" w:lineRule="auto"/>
              <w:jc w:val="center"/>
              <w:rPr>
                <w:rFonts w:eastAsia="Times New Roman" w:cstheme="minorHAnsi"/>
                <w:color w:val="000000"/>
                <w:kern w:val="0"/>
                <w:sz w:val="20"/>
                <w:szCs w:val="20"/>
                <w:lang w:eastAsia="pl-PL"/>
                <w14:ligatures w14:val="none"/>
              </w:rPr>
            </w:pPr>
            <w:r w:rsidRPr="00203429">
              <w:rPr>
                <w:rFonts w:eastAsia="Times New Roman" w:cstheme="minorHAnsi"/>
                <w:color w:val="000000"/>
                <w:kern w:val="0"/>
                <w:sz w:val="20"/>
                <w:szCs w:val="20"/>
                <w:lang w:eastAsia="pl-PL"/>
                <w14:ligatures w14:val="none"/>
              </w:rPr>
              <w:t>Nazwa</w:t>
            </w:r>
            <w:r w:rsidR="003B50ED" w:rsidRPr="00203429">
              <w:rPr>
                <w:rFonts w:eastAsia="Times New Roman" w:cstheme="minorHAnsi"/>
                <w:color w:val="000000"/>
                <w:kern w:val="0"/>
                <w:sz w:val="20"/>
                <w:szCs w:val="20"/>
                <w:lang w:eastAsia="pl-PL"/>
                <w14:ligatures w14:val="none"/>
              </w:rPr>
              <w:t xml:space="preserve"> </w:t>
            </w:r>
            <w:r w:rsidRPr="00203429">
              <w:rPr>
                <w:rFonts w:eastAsia="Times New Roman" w:cstheme="minorHAnsi"/>
                <w:color w:val="000000"/>
                <w:kern w:val="0"/>
                <w:sz w:val="20"/>
                <w:szCs w:val="20"/>
                <w:lang w:eastAsia="pl-PL"/>
                <w14:ligatures w14:val="none"/>
              </w:rPr>
              <w:t>gminy</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14:paraId="45EE654B" w14:textId="6D3D8C65" w:rsidR="00224658" w:rsidRPr="00203429" w:rsidRDefault="00224658" w:rsidP="00203429">
            <w:pPr>
              <w:spacing w:line="276" w:lineRule="auto"/>
              <w:jc w:val="center"/>
              <w:rPr>
                <w:rFonts w:eastAsia="Times New Roman" w:cstheme="minorHAnsi"/>
                <w:color w:val="000000"/>
                <w:kern w:val="0"/>
                <w:sz w:val="20"/>
                <w:szCs w:val="20"/>
                <w:lang w:eastAsia="pl-PL"/>
                <w14:ligatures w14:val="none"/>
              </w:rPr>
            </w:pPr>
            <w:r w:rsidRPr="00203429">
              <w:rPr>
                <w:rFonts w:eastAsia="Times New Roman" w:cstheme="minorHAnsi"/>
                <w:color w:val="000000"/>
                <w:kern w:val="0"/>
                <w:sz w:val="20"/>
                <w:szCs w:val="20"/>
                <w:lang w:eastAsia="pl-PL"/>
                <w14:ligatures w14:val="none"/>
              </w:rPr>
              <w:t>z</w:t>
            </w:r>
            <w:r w:rsidR="003B50ED" w:rsidRPr="00203429">
              <w:rPr>
                <w:rFonts w:eastAsia="Times New Roman" w:cstheme="minorHAnsi"/>
                <w:color w:val="000000"/>
                <w:kern w:val="0"/>
                <w:sz w:val="20"/>
                <w:szCs w:val="20"/>
                <w:lang w:eastAsia="pl-PL"/>
                <w14:ligatures w14:val="none"/>
              </w:rPr>
              <w:t xml:space="preserve"> </w:t>
            </w:r>
            <w:r w:rsidRPr="00203429">
              <w:rPr>
                <w:rFonts w:eastAsia="Times New Roman" w:cstheme="minorHAnsi"/>
                <w:color w:val="000000"/>
                <w:kern w:val="0"/>
                <w:sz w:val="20"/>
                <w:szCs w:val="20"/>
                <w:lang w:eastAsia="pl-PL"/>
                <w14:ligatures w14:val="none"/>
              </w:rPr>
              <w:t>działalności</w:t>
            </w:r>
            <w:r w:rsidR="003B50ED" w:rsidRPr="00203429">
              <w:rPr>
                <w:rFonts w:eastAsia="Times New Roman" w:cstheme="minorHAnsi"/>
                <w:color w:val="000000"/>
                <w:kern w:val="0"/>
                <w:sz w:val="20"/>
                <w:szCs w:val="20"/>
                <w:lang w:eastAsia="pl-PL"/>
                <w14:ligatures w14:val="none"/>
              </w:rPr>
              <w:t xml:space="preserve"> </w:t>
            </w:r>
            <w:r w:rsidRPr="00203429">
              <w:rPr>
                <w:rFonts w:eastAsia="Times New Roman" w:cstheme="minorHAnsi"/>
                <w:color w:val="000000"/>
                <w:kern w:val="0"/>
                <w:sz w:val="20"/>
                <w:szCs w:val="20"/>
                <w:lang w:eastAsia="pl-PL"/>
                <w14:ligatures w14:val="none"/>
              </w:rPr>
              <w:t>rolniczej</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14:paraId="65B0D139" w14:textId="21344F60" w:rsidR="00224658" w:rsidRPr="00203429" w:rsidRDefault="00224658" w:rsidP="00203429">
            <w:pPr>
              <w:spacing w:line="276" w:lineRule="auto"/>
              <w:jc w:val="center"/>
              <w:rPr>
                <w:rFonts w:eastAsia="Times New Roman" w:cstheme="minorHAnsi"/>
                <w:color w:val="000000"/>
                <w:kern w:val="0"/>
                <w:sz w:val="20"/>
                <w:szCs w:val="20"/>
                <w:lang w:eastAsia="pl-PL"/>
                <w14:ligatures w14:val="none"/>
              </w:rPr>
            </w:pPr>
            <w:r w:rsidRPr="00203429">
              <w:rPr>
                <w:rFonts w:eastAsia="Times New Roman" w:cstheme="minorHAnsi"/>
                <w:color w:val="000000"/>
                <w:kern w:val="0"/>
                <w:sz w:val="20"/>
                <w:szCs w:val="20"/>
                <w:lang w:eastAsia="pl-PL"/>
                <w14:ligatures w14:val="none"/>
              </w:rPr>
              <w:t>z</w:t>
            </w:r>
            <w:r w:rsidR="003B50ED" w:rsidRPr="00203429">
              <w:rPr>
                <w:rFonts w:eastAsia="Times New Roman" w:cstheme="minorHAnsi"/>
                <w:color w:val="000000"/>
                <w:kern w:val="0"/>
                <w:sz w:val="20"/>
                <w:szCs w:val="20"/>
                <w:lang w:eastAsia="pl-PL"/>
                <w14:ligatures w14:val="none"/>
              </w:rPr>
              <w:t xml:space="preserve"> </w:t>
            </w:r>
            <w:r w:rsidRPr="00203429">
              <w:rPr>
                <w:rFonts w:eastAsia="Times New Roman" w:cstheme="minorHAnsi"/>
                <w:color w:val="000000"/>
                <w:kern w:val="0"/>
                <w:sz w:val="20"/>
                <w:szCs w:val="20"/>
                <w:lang w:eastAsia="pl-PL"/>
                <w14:ligatures w14:val="none"/>
              </w:rPr>
              <w:t>pozarolniczej</w:t>
            </w:r>
            <w:r w:rsidR="003B50ED" w:rsidRPr="00203429">
              <w:rPr>
                <w:rFonts w:eastAsia="Times New Roman" w:cstheme="minorHAnsi"/>
                <w:color w:val="000000"/>
                <w:kern w:val="0"/>
                <w:sz w:val="20"/>
                <w:szCs w:val="20"/>
                <w:lang w:eastAsia="pl-PL"/>
                <w14:ligatures w14:val="none"/>
              </w:rPr>
              <w:t xml:space="preserve"> </w:t>
            </w:r>
            <w:r w:rsidRPr="00203429">
              <w:rPr>
                <w:rFonts w:eastAsia="Times New Roman" w:cstheme="minorHAnsi"/>
                <w:color w:val="000000"/>
                <w:kern w:val="0"/>
                <w:sz w:val="20"/>
                <w:szCs w:val="20"/>
                <w:lang w:eastAsia="pl-PL"/>
                <w14:ligatures w14:val="none"/>
              </w:rPr>
              <w:t>działalności</w:t>
            </w:r>
            <w:r w:rsidR="003B50ED" w:rsidRPr="00203429">
              <w:rPr>
                <w:rFonts w:eastAsia="Times New Roman" w:cstheme="minorHAnsi"/>
                <w:color w:val="000000"/>
                <w:kern w:val="0"/>
                <w:sz w:val="20"/>
                <w:szCs w:val="20"/>
                <w:lang w:eastAsia="pl-PL"/>
                <w14:ligatures w14:val="none"/>
              </w:rPr>
              <w:t xml:space="preserve"> </w:t>
            </w:r>
            <w:r w:rsidRPr="00203429">
              <w:rPr>
                <w:rFonts w:eastAsia="Times New Roman" w:cstheme="minorHAnsi"/>
                <w:color w:val="000000"/>
                <w:kern w:val="0"/>
                <w:sz w:val="20"/>
                <w:szCs w:val="20"/>
                <w:lang w:eastAsia="pl-PL"/>
                <w14:ligatures w14:val="none"/>
              </w:rPr>
              <w:t>gospodarczej</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14:paraId="4B5775E3" w14:textId="7366D5AC" w:rsidR="00224658" w:rsidRPr="00203429" w:rsidRDefault="00224658" w:rsidP="00203429">
            <w:pPr>
              <w:spacing w:line="276" w:lineRule="auto"/>
              <w:jc w:val="center"/>
              <w:rPr>
                <w:rFonts w:eastAsia="Times New Roman" w:cstheme="minorHAnsi"/>
                <w:color w:val="000000"/>
                <w:kern w:val="0"/>
                <w:sz w:val="20"/>
                <w:szCs w:val="20"/>
                <w:lang w:eastAsia="pl-PL"/>
                <w14:ligatures w14:val="none"/>
              </w:rPr>
            </w:pPr>
            <w:r w:rsidRPr="00203429">
              <w:rPr>
                <w:rFonts w:eastAsia="Times New Roman" w:cstheme="minorHAnsi"/>
                <w:color w:val="000000"/>
                <w:kern w:val="0"/>
                <w:sz w:val="20"/>
                <w:szCs w:val="20"/>
                <w:lang w:eastAsia="pl-PL"/>
                <w14:ligatures w14:val="none"/>
              </w:rPr>
              <w:t>z</w:t>
            </w:r>
            <w:r w:rsidR="003B50ED" w:rsidRPr="00203429">
              <w:rPr>
                <w:rFonts w:eastAsia="Times New Roman" w:cstheme="minorHAnsi"/>
                <w:color w:val="000000"/>
                <w:kern w:val="0"/>
                <w:sz w:val="20"/>
                <w:szCs w:val="20"/>
                <w:lang w:eastAsia="pl-PL"/>
                <w14:ligatures w14:val="none"/>
              </w:rPr>
              <w:t xml:space="preserve"> </w:t>
            </w:r>
            <w:r w:rsidRPr="00203429">
              <w:rPr>
                <w:rFonts w:eastAsia="Times New Roman" w:cstheme="minorHAnsi"/>
                <w:color w:val="000000"/>
                <w:kern w:val="0"/>
                <w:sz w:val="20"/>
                <w:szCs w:val="20"/>
                <w:lang w:eastAsia="pl-PL"/>
                <w14:ligatures w14:val="none"/>
              </w:rPr>
              <w:t>pracy</w:t>
            </w:r>
            <w:r w:rsidR="003B50ED" w:rsidRPr="00203429">
              <w:rPr>
                <w:rFonts w:eastAsia="Times New Roman" w:cstheme="minorHAnsi"/>
                <w:color w:val="000000"/>
                <w:kern w:val="0"/>
                <w:sz w:val="20"/>
                <w:szCs w:val="20"/>
                <w:lang w:eastAsia="pl-PL"/>
                <w14:ligatures w14:val="none"/>
              </w:rPr>
              <w:t xml:space="preserve"> </w:t>
            </w:r>
            <w:r w:rsidRPr="00203429">
              <w:rPr>
                <w:rFonts w:eastAsia="Times New Roman" w:cstheme="minorHAnsi"/>
                <w:color w:val="000000"/>
                <w:kern w:val="0"/>
                <w:sz w:val="20"/>
                <w:szCs w:val="20"/>
                <w:lang w:eastAsia="pl-PL"/>
                <w14:ligatures w14:val="none"/>
              </w:rPr>
              <w:t>najemnej</w:t>
            </w:r>
          </w:p>
        </w:tc>
        <w:tc>
          <w:tcPr>
            <w:tcW w:w="1700" w:type="dxa"/>
            <w:tcBorders>
              <w:top w:val="single" w:sz="4" w:space="0" w:color="auto"/>
              <w:left w:val="nil"/>
              <w:bottom w:val="single" w:sz="4" w:space="0" w:color="auto"/>
              <w:right w:val="single" w:sz="4" w:space="0" w:color="auto"/>
            </w:tcBorders>
            <w:shd w:val="clear" w:color="000000" w:fill="DDEBF7"/>
            <w:vAlign w:val="center"/>
            <w:hideMark/>
          </w:tcPr>
          <w:p w14:paraId="75525ACE" w14:textId="19F4C75E" w:rsidR="00224658" w:rsidRPr="00203429" w:rsidRDefault="00224658" w:rsidP="00203429">
            <w:pPr>
              <w:spacing w:line="276" w:lineRule="auto"/>
              <w:jc w:val="center"/>
              <w:rPr>
                <w:rFonts w:eastAsia="Times New Roman" w:cstheme="minorHAnsi"/>
                <w:color w:val="000000"/>
                <w:kern w:val="0"/>
                <w:sz w:val="20"/>
                <w:szCs w:val="20"/>
                <w:lang w:eastAsia="pl-PL"/>
                <w14:ligatures w14:val="none"/>
              </w:rPr>
            </w:pPr>
            <w:r w:rsidRPr="00203429">
              <w:rPr>
                <w:rFonts w:eastAsia="Times New Roman" w:cstheme="minorHAnsi"/>
                <w:color w:val="000000"/>
                <w:kern w:val="0"/>
                <w:sz w:val="20"/>
                <w:szCs w:val="20"/>
                <w:lang w:eastAsia="pl-PL"/>
                <w14:ligatures w14:val="none"/>
              </w:rPr>
              <w:t>z</w:t>
            </w:r>
            <w:r w:rsidR="003B50ED" w:rsidRPr="00203429">
              <w:rPr>
                <w:rFonts w:eastAsia="Times New Roman" w:cstheme="minorHAnsi"/>
                <w:color w:val="000000"/>
                <w:kern w:val="0"/>
                <w:sz w:val="20"/>
                <w:szCs w:val="20"/>
                <w:lang w:eastAsia="pl-PL"/>
                <w14:ligatures w14:val="none"/>
              </w:rPr>
              <w:t xml:space="preserve"> </w:t>
            </w:r>
            <w:r w:rsidRPr="00203429">
              <w:rPr>
                <w:rFonts w:eastAsia="Times New Roman" w:cstheme="minorHAnsi"/>
                <w:color w:val="000000"/>
                <w:kern w:val="0"/>
                <w:sz w:val="20"/>
                <w:szCs w:val="20"/>
                <w:lang w:eastAsia="pl-PL"/>
                <w14:ligatures w14:val="none"/>
              </w:rPr>
              <w:t>emerytury</w:t>
            </w:r>
            <w:r w:rsidR="003B50ED" w:rsidRPr="00203429">
              <w:rPr>
                <w:rFonts w:eastAsia="Times New Roman" w:cstheme="minorHAnsi"/>
                <w:color w:val="000000"/>
                <w:kern w:val="0"/>
                <w:sz w:val="20"/>
                <w:szCs w:val="20"/>
                <w:lang w:eastAsia="pl-PL"/>
                <w14:ligatures w14:val="none"/>
              </w:rPr>
              <w:t xml:space="preserve"> </w:t>
            </w:r>
            <w:r w:rsidRPr="00203429">
              <w:rPr>
                <w:rFonts w:eastAsia="Times New Roman" w:cstheme="minorHAnsi"/>
                <w:color w:val="000000"/>
                <w:kern w:val="0"/>
                <w:sz w:val="20"/>
                <w:szCs w:val="20"/>
                <w:lang w:eastAsia="pl-PL"/>
                <w14:ligatures w14:val="none"/>
              </w:rPr>
              <w:t>i</w:t>
            </w:r>
            <w:r w:rsidR="003B50ED" w:rsidRPr="00203429">
              <w:rPr>
                <w:rFonts w:eastAsia="Times New Roman" w:cstheme="minorHAnsi"/>
                <w:color w:val="000000"/>
                <w:kern w:val="0"/>
                <w:sz w:val="20"/>
                <w:szCs w:val="20"/>
                <w:lang w:eastAsia="pl-PL"/>
                <w14:ligatures w14:val="none"/>
              </w:rPr>
              <w:t xml:space="preserve"> </w:t>
            </w:r>
            <w:r w:rsidRPr="00203429">
              <w:rPr>
                <w:rFonts w:eastAsia="Times New Roman" w:cstheme="minorHAnsi"/>
                <w:color w:val="000000"/>
                <w:kern w:val="0"/>
                <w:sz w:val="20"/>
                <w:szCs w:val="20"/>
                <w:lang w:eastAsia="pl-PL"/>
                <w14:ligatures w14:val="none"/>
              </w:rPr>
              <w:t>renty</w:t>
            </w:r>
          </w:p>
        </w:tc>
        <w:tc>
          <w:tcPr>
            <w:tcW w:w="1701" w:type="dxa"/>
            <w:tcBorders>
              <w:top w:val="single" w:sz="4" w:space="0" w:color="auto"/>
              <w:left w:val="nil"/>
              <w:bottom w:val="single" w:sz="4" w:space="0" w:color="auto"/>
              <w:right w:val="single" w:sz="4" w:space="0" w:color="auto"/>
            </w:tcBorders>
            <w:shd w:val="clear" w:color="000000" w:fill="DDEBF7"/>
            <w:vAlign w:val="center"/>
            <w:hideMark/>
          </w:tcPr>
          <w:p w14:paraId="73728CC4" w14:textId="74CF6CAC" w:rsidR="00224658" w:rsidRPr="00203429" w:rsidRDefault="00224658" w:rsidP="00203429">
            <w:pPr>
              <w:spacing w:line="276" w:lineRule="auto"/>
              <w:jc w:val="center"/>
              <w:rPr>
                <w:rFonts w:eastAsia="Times New Roman" w:cstheme="minorHAnsi"/>
                <w:color w:val="000000"/>
                <w:kern w:val="0"/>
                <w:sz w:val="20"/>
                <w:szCs w:val="20"/>
                <w:lang w:eastAsia="pl-PL"/>
                <w14:ligatures w14:val="none"/>
              </w:rPr>
            </w:pPr>
            <w:r w:rsidRPr="00203429">
              <w:rPr>
                <w:rFonts w:eastAsia="Times New Roman" w:cstheme="minorHAnsi"/>
                <w:color w:val="000000"/>
                <w:kern w:val="0"/>
                <w:sz w:val="20"/>
                <w:szCs w:val="20"/>
                <w:lang w:eastAsia="pl-PL"/>
                <w14:ligatures w14:val="none"/>
              </w:rPr>
              <w:t>z</w:t>
            </w:r>
            <w:r w:rsidR="003B50ED" w:rsidRPr="00203429">
              <w:rPr>
                <w:rFonts w:eastAsia="Times New Roman" w:cstheme="minorHAnsi"/>
                <w:color w:val="000000"/>
                <w:kern w:val="0"/>
                <w:sz w:val="20"/>
                <w:szCs w:val="20"/>
                <w:lang w:eastAsia="pl-PL"/>
                <w14:ligatures w14:val="none"/>
              </w:rPr>
              <w:t xml:space="preserve"> </w:t>
            </w:r>
            <w:r w:rsidRPr="00203429">
              <w:rPr>
                <w:rFonts w:eastAsia="Times New Roman" w:cstheme="minorHAnsi"/>
                <w:color w:val="000000"/>
                <w:kern w:val="0"/>
                <w:sz w:val="20"/>
                <w:szCs w:val="20"/>
                <w:lang w:eastAsia="pl-PL"/>
                <w14:ligatures w14:val="none"/>
              </w:rPr>
              <w:t>dochodem</w:t>
            </w:r>
            <w:r w:rsidR="003B50ED" w:rsidRPr="00203429">
              <w:rPr>
                <w:rFonts w:eastAsia="Times New Roman" w:cstheme="minorHAnsi"/>
                <w:color w:val="000000"/>
                <w:kern w:val="0"/>
                <w:sz w:val="20"/>
                <w:szCs w:val="20"/>
                <w:lang w:eastAsia="pl-PL"/>
                <w14:ligatures w14:val="none"/>
              </w:rPr>
              <w:t xml:space="preserve"> </w:t>
            </w:r>
            <w:r w:rsidRPr="00203429">
              <w:rPr>
                <w:rFonts w:eastAsia="Times New Roman" w:cstheme="minorHAnsi"/>
                <w:color w:val="000000"/>
                <w:kern w:val="0"/>
                <w:sz w:val="20"/>
                <w:szCs w:val="20"/>
                <w:lang w:eastAsia="pl-PL"/>
                <w14:ligatures w14:val="none"/>
              </w:rPr>
              <w:t>z</w:t>
            </w:r>
            <w:r w:rsidR="003B50ED" w:rsidRPr="00203429">
              <w:rPr>
                <w:rFonts w:eastAsia="Times New Roman" w:cstheme="minorHAnsi"/>
                <w:color w:val="000000"/>
                <w:kern w:val="0"/>
                <w:sz w:val="20"/>
                <w:szCs w:val="20"/>
                <w:lang w:eastAsia="pl-PL"/>
                <w14:ligatures w14:val="none"/>
              </w:rPr>
              <w:t xml:space="preserve"> </w:t>
            </w:r>
            <w:r w:rsidRPr="00203429">
              <w:rPr>
                <w:rFonts w:eastAsia="Times New Roman" w:cstheme="minorHAnsi"/>
                <w:color w:val="000000"/>
                <w:kern w:val="0"/>
                <w:sz w:val="20"/>
                <w:szCs w:val="20"/>
                <w:lang w:eastAsia="pl-PL"/>
                <w14:ligatures w14:val="none"/>
              </w:rPr>
              <w:t>innych</w:t>
            </w:r>
            <w:r w:rsidR="003B50ED" w:rsidRPr="00203429">
              <w:rPr>
                <w:rFonts w:eastAsia="Times New Roman" w:cstheme="minorHAnsi"/>
                <w:color w:val="000000"/>
                <w:kern w:val="0"/>
                <w:sz w:val="20"/>
                <w:szCs w:val="20"/>
                <w:lang w:eastAsia="pl-PL"/>
                <w14:ligatures w14:val="none"/>
              </w:rPr>
              <w:t xml:space="preserve"> </w:t>
            </w:r>
            <w:r w:rsidRPr="00203429">
              <w:rPr>
                <w:rFonts w:eastAsia="Times New Roman" w:cstheme="minorHAnsi"/>
                <w:color w:val="000000"/>
                <w:kern w:val="0"/>
                <w:sz w:val="20"/>
                <w:szCs w:val="20"/>
                <w:lang w:eastAsia="pl-PL"/>
                <w14:ligatures w14:val="none"/>
              </w:rPr>
              <w:t>niezarobkowych</w:t>
            </w:r>
            <w:r w:rsidR="003B50ED" w:rsidRPr="00203429">
              <w:rPr>
                <w:rFonts w:eastAsia="Times New Roman" w:cstheme="minorHAnsi"/>
                <w:color w:val="000000"/>
                <w:kern w:val="0"/>
                <w:sz w:val="20"/>
                <w:szCs w:val="20"/>
                <w:lang w:eastAsia="pl-PL"/>
                <w14:ligatures w14:val="none"/>
              </w:rPr>
              <w:t xml:space="preserve"> </w:t>
            </w:r>
            <w:r w:rsidRPr="00203429">
              <w:rPr>
                <w:rFonts w:eastAsia="Times New Roman" w:cstheme="minorHAnsi"/>
                <w:color w:val="000000"/>
                <w:kern w:val="0"/>
                <w:sz w:val="20"/>
                <w:szCs w:val="20"/>
                <w:lang w:eastAsia="pl-PL"/>
                <w14:ligatures w14:val="none"/>
              </w:rPr>
              <w:t>źródeł</w:t>
            </w:r>
            <w:r w:rsidR="003B50ED" w:rsidRPr="00203429">
              <w:rPr>
                <w:rFonts w:eastAsia="Times New Roman" w:cstheme="minorHAnsi"/>
                <w:color w:val="000000"/>
                <w:kern w:val="0"/>
                <w:sz w:val="20"/>
                <w:szCs w:val="20"/>
                <w:lang w:eastAsia="pl-PL"/>
                <w14:ligatures w14:val="none"/>
              </w:rPr>
              <w:t xml:space="preserve"> </w:t>
            </w:r>
            <w:r w:rsidRPr="00203429">
              <w:rPr>
                <w:rFonts w:eastAsia="Times New Roman" w:cstheme="minorHAnsi"/>
                <w:color w:val="000000"/>
                <w:kern w:val="0"/>
                <w:sz w:val="20"/>
                <w:szCs w:val="20"/>
                <w:lang w:eastAsia="pl-PL"/>
                <w14:ligatures w14:val="none"/>
              </w:rPr>
              <w:t>poza</w:t>
            </w:r>
            <w:r w:rsidR="003B50ED" w:rsidRPr="00203429">
              <w:rPr>
                <w:rFonts w:eastAsia="Times New Roman" w:cstheme="minorHAnsi"/>
                <w:color w:val="000000"/>
                <w:kern w:val="0"/>
                <w:sz w:val="20"/>
                <w:szCs w:val="20"/>
                <w:lang w:eastAsia="pl-PL"/>
                <w14:ligatures w14:val="none"/>
              </w:rPr>
              <w:t xml:space="preserve"> </w:t>
            </w:r>
            <w:r w:rsidRPr="00203429">
              <w:rPr>
                <w:rFonts w:eastAsia="Times New Roman" w:cstheme="minorHAnsi"/>
                <w:color w:val="000000"/>
                <w:kern w:val="0"/>
                <w:sz w:val="20"/>
                <w:szCs w:val="20"/>
                <w:lang w:eastAsia="pl-PL"/>
                <w14:ligatures w14:val="none"/>
              </w:rPr>
              <w:t>emeryturą</w:t>
            </w:r>
            <w:r w:rsidR="003B50ED" w:rsidRPr="00203429">
              <w:rPr>
                <w:rFonts w:eastAsia="Times New Roman" w:cstheme="minorHAnsi"/>
                <w:color w:val="000000"/>
                <w:kern w:val="0"/>
                <w:sz w:val="20"/>
                <w:szCs w:val="20"/>
                <w:lang w:eastAsia="pl-PL"/>
                <w14:ligatures w14:val="none"/>
              </w:rPr>
              <w:t xml:space="preserve"> </w:t>
            </w:r>
            <w:r w:rsidRPr="00203429">
              <w:rPr>
                <w:rFonts w:eastAsia="Times New Roman" w:cstheme="minorHAnsi"/>
                <w:color w:val="000000"/>
                <w:kern w:val="0"/>
                <w:sz w:val="20"/>
                <w:szCs w:val="20"/>
                <w:lang w:eastAsia="pl-PL"/>
                <w14:ligatures w14:val="none"/>
              </w:rPr>
              <w:t>i</w:t>
            </w:r>
            <w:r w:rsidR="003B50ED" w:rsidRPr="00203429">
              <w:rPr>
                <w:rFonts w:eastAsia="Times New Roman" w:cstheme="minorHAnsi"/>
                <w:color w:val="000000"/>
                <w:kern w:val="0"/>
                <w:sz w:val="20"/>
                <w:szCs w:val="20"/>
                <w:lang w:eastAsia="pl-PL"/>
                <w14:ligatures w14:val="none"/>
              </w:rPr>
              <w:t xml:space="preserve"> </w:t>
            </w:r>
            <w:r w:rsidRPr="00203429">
              <w:rPr>
                <w:rFonts w:eastAsia="Times New Roman" w:cstheme="minorHAnsi"/>
                <w:color w:val="000000"/>
                <w:kern w:val="0"/>
                <w:sz w:val="20"/>
                <w:szCs w:val="20"/>
                <w:lang w:eastAsia="pl-PL"/>
                <w14:ligatures w14:val="none"/>
              </w:rPr>
              <w:t>rentą</w:t>
            </w:r>
          </w:p>
        </w:tc>
      </w:tr>
      <w:tr w:rsidR="00224658" w:rsidRPr="00A26C26" w14:paraId="7A7A3B1B" w14:textId="77777777" w:rsidTr="007F1E76">
        <w:trPr>
          <w:trHeight w:val="249"/>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6AAAFBC6"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Golina</w:t>
            </w:r>
          </w:p>
        </w:tc>
        <w:tc>
          <w:tcPr>
            <w:tcW w:w="1700" w:type="dxa"/>
            <w:tcBorders>
              <w:top w:val="nil"/>
              <w:left w:val="nil"/>
              <w:bottom w:val="single" w:sz="4" w:space="0" w:color="auto"/>
              <w:right w:val="single" w:sz="4" w:space="0" w:color="auto"/>
            </w:tcBorders>
            <w:shd w:val="clear" w:color="auto" w:fill="auto"/>
            <w:noWrap/>
            <w:vAlign w:val="center"/>
            <w:hideMark/>
          </w:tcPr>
          <w:p w14:paraId="3C89B8E4"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708</w:t>
            </w:r>
          </w:p>
        </w:tc>
        <w:tc>
          <w:tcPr>
            <w:tcW w:w="1700" w:type="dxa"/>
            <w:tcBorders>
              <w:top w:val="nil"/>
              <w:left w:val="nil"/>
              <w:bottom w:val="single" w:sz="4" w:space="0" w:color="auto"/>
              <w:right w:val="single" w:sz="4" w:space="0" w:color="auto"/>
            </w:tcBorders>
            <w:shd w:val="clear" w:color="auto" w:fill="auto"/>
            <w:noWrap/>
            <w:vAlign w:val="center"/>
            <w:hideMark/>
          </w:tcPr>
          <w:p w14:paraId="0A86D421"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109</w:t>
            </w:r>
          </w:p>
        </w:tc>
        <w:tc>
          <w:tcPr>
            <w:tcW w:w="1700" w:type="dxa"/>
            <w:tcBorders>
              <w:top w:val="nil"/>
              <w:left w:val="nil"/>
              <w:bottom w:val="single" w:sz="4" w:space="0" w:color="auto"/>
              <w:right w:val="single" w:sz="4" w:space="0" w:color="auto"/>
            </w:tcBorders>
            <w:shd w:val="clear" w:color="auto" w:fill="auto"/>
            <w:noWrap/>
            <w:vAlign w:val="center"/>
            <w:hideMark/>
          </w:tcPr>
          <w:p w14:paraId="7184AC89"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341</w:t>
            </w:r>
          </w:p>
        </w:tc>
        <w:tc>
          <w:tcPr>
            <w:tcW w:w="1700" w:type="dxa"/>
            <w:tcBorders>
              <w:top w:val="nil"/>
              <w:left w:val="nil"/>
              <w:bottom w:val="single" w:sz="4" w:space="0" w:color="auto"/>
              <w:right w:val="single" w:sz="4" w:space="0" w:color="auto"/>
            </w:tcBorders>
            <w:shd w:val="clear" w:color="auto" w:fill="auto"/>
            <w:noWrap/>
            <w:vAlign w:val="center"/>
            <w:hideMark/>
          </w:tcPr>
          <w:p w14:paraId="09DBE69B"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264</w:t>
            </w:r>
          </w:p>
        </w:tc>
        <w:tc>
          <w:tcPr>
            <w:tcW w:w="1701" w:type="dxa"/>
            <w:tcBorders>
              <w:top w:val="nil"/>
              <w:left w:val="nil"/>
              <w:bottom w:val="single" w:sz="4" w:space="0" w:color="auto"/>
              <w:right w:val="single" w:sz="4" w:space="0" w:color="auto"/>
            </w:tcBorders>
            <w:shd w:val="clear" w:color="auto" w:fill="auto"/>
            <w:noWrap/>
            <w:vAlign w:val="center"/>
            <w:hideMark/>
          </w:tcPr>
          <w:p w14:paraId="542A6BE6"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91</w:t>
            </w:r>
          </w:p>
        </w:tc>
      </w:tr>
      <w:tr w:rsidR="00224658" w:rsidRPr="00A26C26" w14:paraId="308D2BAD" w14:textId="77777777" w:rsidTr="007F1E76">
        <w:trPr>
          <w:trHeight w:val="249"/>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3E3A71DF"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Grodziec</w:t>
            </w:r>
          </w:p>
        </w:tc>
        <w:tc>
          <w:tcPr>
            <w:tcW w:w="1700" w:type="dxa"/>
            <w:tcBorders>
              <w:top w:val="nil"/>
              <w:left w:val="nil"/>
              <w:bottom w:val="single" w:sz="4" w:space="0" w:color="auto"/>
              <w:right w:val="single" w:sz="4" w:space="0" w:color="auto"/>
            </w:tcBorders>
            <w:shd w:val="clear" w:color="auto" w:fill="auto"/>
            <w:noWrap/>
            <w:vAlign w:val="center"/>
            <w:hideMark/>
          </w:tcPr>
          <w:p w14:paraId="632F439D"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698</w:t>
            </w:r>
          </w:p>
        </w:tc>
        <w:tc>
          <w:tcPr>
            <w:tcW w:w="1700" w:type="dxa"/>
            <w:tcBorders>
              <w:top w:val="nil"/>
              <w:left w:val="nil"/>
              <w:bottom w:val="single" w:sz="4" w:space="0" w:color="auto"/>
              <w:right w:val="single" w:sz="4" w:space="0" w:color="auto"/>
            </w:tcBorders>
            <w:shd w:val="clear" w:color="auto" w:fill="auto"/>
            <w:noWrap/>
            <w:vAlign w:val="center"/>
            <w:hideMark/>
          </w:tcPr>
          <w:p w14:paraId="2741C271"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69</w:t>
            </w:r>
          </w:p>
        </w:tc>
        <w:tc>
          <w:tcPr>
            <w:tcW w:w="1700" w:type="dxa"/>
            <w:tcBorders>
              <w:top w:val="nil"/>
              <w:left w:val="nil"/>
              <w:bottom w:val="single" w:sz="4" w:space="0" w:color="auto"/>
              <w:right w:val="single" w:sz="4" w:space="0" w:color="auto"/>
            </w:tcBorders>
            <w:shd w:val="clear" w:color="auto" w:fill="auto"/>
            <w:noWrap/>
            <w:vAlign w:val="center"/>
            <w:hideMark/>
          </w:tcPr>
          <w:p w14:paraId="20CD2BD0"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290</w:t>
            </w:r>
          </w:p>
        </w:tc>
        <w:tc>
          <w:tcPr>
            <w:tcW w:w="1700" w:type="dxa"/>
            <w:tcBorders>
              <w:top w:val="nil"/>
              <w:left w:val="nil"/>
              <w:bottom w:val="single" w:sz="4" w:space="0" w:color="auto"/>
              <w:right w:val="single" w:sz="4" w:space="0" w:color="auto"/>
            </w:tcBorders>
            <w:shd w:val="clear" w:color="auto" w:fill="auto"/>
            <w:noWrap/>
            <w:vAlign w:val="center"/>
            <w:hideMark/>
          </w:tcPr>
          <w:p w14:paraId="7A169E54"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176</w:t>
            </w:r>
          </w:p>
        </w:tc>
        <w:tc>
          <w:tcPr>
            <w:tcW w:w="1701" w:type="dxa"/>
            <w:tcBorders>
              <w:top w:val="nil"/>
              <w:left w:val="nil"/>
              <w:bottom w:val="single" w:sz="4" w:space="0" w:color="auto"/>
              <w:right w:val="single" w:sz="4" w:space="0" w:color="auto"/>
            </w:tcBorders>
            <w:shd w:val="clear" w:color="auto" w:fill="auto"/>
            <w:noWrap/>
            <w:vAlign w:val="center"/>
            <w:hideMark/>
          </w:tcPr>
          <w:p w14:paraId="50C4FF91"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137</w:t>
            </w:r>
          </w:p>
        </w:tc>
      </w:tr>
      <w:tr w:rsidR="00224658" w:rsidRPr="00A26C26" w14:paraId="7BFABD61" w14:textId="77777777" w:rsidTr="007F1E76">
        <w:trPr>
          <w:trHeight w:val="249"/>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32D1690F"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Rychwał</w:t>
            </w:r>
          </w:p>
        </w:tc>
        <w:tc>
          <w:tcPr>
            <w:tcW w:w="1700" w:type="dxa"/>
            <w:tcBorders>
              <w:top w:val="nil"/>
              <w:left w:val="nil"/>
              <w:bottom w:val="single" w:sz="4" w:space="0" w:color="auto"/>
              <w:right w:val="single" w:sz="4" w:space="0" w:color="auto"/>
            </w:tcBorders>
            <w:shd w:val="clear" w:color="auto" w:fill="auto"/>
            <w:noWrap/>
            <w:vAlign w:val="center"/>
            <w:hideMark/>
          </w:tcPr>
          <w:p w14:paraId="26B83CCB" w14:textId="27C2E57A"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053</w:t>
            </w:r>
          </w:p>
        </w:tc>
        <w:tc>
          <w:tcPr>
            <w:tcW w:w="1700" w:type="dxa"/>
            <w:tcBorders>
              <w:top w:val="nil"/>
              <w:left w:val="nil"/>
              <w:bottom w:val="single" w:sz="4" w:space="0" w:color="auto"/>
              <w:right w:val="single" w:sz="4" w:space="0" w:color="auto"/>
            </w:tcBorders>
            <w:shd w:val="clear" w:color="auto" w:fill="auto"/>
            <w:noWrap/>
            <w:vAlign w:val="center"/>
            <w:hideMark/>
          </w:tcPr>
          <w:p w14:paraId="0500F125"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161</w:t>
            </w:r>
          </w:p>
        </w:tc>
        <w:tc>
          <w:tcPr>
            <w:tcW w:w="1700" w:type="dxa"/>
            <w:tcBorders>
              <w:top w:val="nil"/>
              <w:left w:val="nil"/>
              <w:bottom w:val="single" w:sz="4" w:space="0" w:color="auto"/>
              <w:right w:val="single" w:sz="4" w:space="0" w:color="auto"/>
            </w:tcBorders>
            <w:shd w:val="clear" w:color="auto" w:fill="auto"/>
            <w:noWrap/>
            <w:vAlign w:val="center"/>
            <w:hideMark/>
          </w:tcPr>
          <w:p w14:paraId="102FD12A"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467</w:t>
            </w:r>
          </w:p>
        </w:tc>
        <w:tc>
          <w:tcPr>
            <w:tcW w:w="1700" w:type="dxa"/>
            <w:tcBorders>
              <w:top w:val="nil"/>
              <w:left w:val="nil"/>
              <w:bottom w:val="single" w:sz="4" w:space="0" w:color="auto"/>
              <w:right w:val="single" w:sz="4" w:space="0" w:color="auto"/>
            </w:tcBorders>
            <w:shd w:val="clear" w:color="auto" w:fill="auto"/>
            <w:noWrap/>
            <w:vAlign w:val="center"/>
            <w:hideMark/>
          </w:tcPr>
          <w:p w14:paraId="1577FEFE"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261</w:t>
            </w:r>
          </w:p>
        </w:tc>
        <w:tc>
          <w:tcPr>
            <w:tcW w:w="1701" w:type="dxa"/>
            <w:tcBorders>
              <w:top w:val="nil"/>
              <w:left w:val="nil"/>
              <w:bottom w:val="single" w:sz="4" w:space="0" w:color="auto"/>
              <w:right w:val="single" w:sz="4" w:space="0" w:color="auto"/>
            </w:tcBorders>
            <w:shd w:val="clear" w:color="auto" w:fill="auto"/>
            <w:noWrap/>
            <w:vAlign w:val="center"/>
            <w:hideMark/>
          </w:tcPr>
          <w:p w14:paraId="377E1BBC"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153</w:t>
            </w:r>
          </w:p>
        </w:tc>
      </w:tr>
      <w:tr w:rsidR="00224658" w:rsidRPr="00A26C26" w14:paraId="5E0FE265" w14:textId="77777777" w:rsidTr="007F1E76">
        <w:trPr>
          <w:trHeight w:val="249"/>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5D403A62"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Rzgów</w:t>
            </w:r>
          </w:p>
        </w:tc>
        <w:tc>
          <w:tcPr>
            <w:tcW w:w="1700" w:type="dxa"/>
            <w:tcBorders>
              <w:top w:val="nil"/>
              <w:left w:val="nil"/>
              <w:bottom w:val="single" w:sz="4" w:space="0" w:color="auto"/>
              <w:right w:val="single" w:sz="4" w:space="0" w:color="auto"/>
            </w:tcBorders>
            <w:shd w:val="clear" w:color="auto" w:fill="auto"/>
            <w:noWrap/>
            <w:vAlign w:val="center"/>
            <w:hideMark/>
          </w:tcPr>
          <w:p w14:paraId="040C9D18"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790</w:t>
            </w:r>
          </w:p>
        </w:tc>
        <w:tc>
          <w:tcPr>
            <w:tcW w:w="1700" w:type="dxa"/>
            <w:tcBorders>
              <w:top w:val="nil"/>
              <w:left w:val="nil"/>
              <w:bottom w:val="single" w:sz="4" w:space="0" w:color="auto"/>
              <w:right w:val="single" w:sz="4" w:space="0" w:color="auto"/>
            </w:tcBorders>
            <w:shd w:val="clear" w:color="auto" w:fill="auto"/>
            <w:noWrap/>
            <w:vAlign w:val="center"/>
            <w:hideMark/>
          </w:tcPr>
          <w:p w14:paraId="72F34CE0"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167</w:t>
            </w:r>
          </w:p>
        </w:tc>
        <w:tc>
          <w:tcPr>
            <w:tcW w:w="1700" w:type="dxa"/>
            <w:tcBorders>
              <w:top w:val="nil"/>
              <w:left w:val="nil"/>
              <w:bottom w:val="single" w:sz="4" w:space="0" w:color="auto"/>
              <w:right w:val="single" w:sz="4" w:space="0" w:color="auto"/>
            </w:tcBorders>
            <w:shd w:val="clear" w:color="auto" w:fill="auto"/>
            <w:noWrap/>
            <w:vAlign w:val="center"/>
            <w:hideMark/>
          </w:tcPr>
          <w:p w14:paraId="7AD91F30"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340</w:t>
            </w:r>
          </w:p>
        </w:tc>
        <w:tc>
          <w:tcPr>
            <w:tcW w:w="1700" w:type="dxa"/>
            <w:tcBorders>
              <w:top w:val="nil"/>
              <w:left w:val="nil"/>
              <w:bottom w:val="single" w:sz="4" w:space="0" w:color="auto"/>
              <w:right w:val="single" w:sz="4" w:space="0" w:color="auto"/>
            </w:tcBorders>
            <w:shd w:val="clear" w:color="auto" w:fill="auto"/>
            <w:noWrap/>
            <w:vAlign w:val="center"/>
            <w:hideMark/>
          </w:tcPr>
          <w:p w14:paraId="768E7157"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253</w:t>
            </w:r>
          </w:p>
        </w:tc>
        <w:tc>
          <w:tcPr>
            <w:tcW w:w="1701" w:type="dxa"/>
            <w:tcBorders>
              <w:top w:val="nil"/>
              <w:left w:val="nil"/>
              <w:bottom w:val="single" w:sz="4" w:space="0" w:color="auto"/>
              <w:right w:val="single" w:sz="4" w:space="0" w:color="auto"/>
            </w:tcBorders>
            <w:shd w:val="clear" w:color="auto" w:fill="auto"/>
            <w:noWrap/>
            <w:vAlign w:val="center"/>
            <w:hideMark/>
          </w:tcPr>
          <w:p w14:paraId="519F0F04"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109</w:t>
            </w:r>
          </w:p>
        </w:tc>
      </w:tr>
      <w:tr w:rsidR="00224658" w:rsidRPr="00A26C26" w14:paraId="62A5D65F" w14:textId="77777777" w:rsidTr="007F1E76">
        <w:trPr>
          <w:trHeight w:val="249"/>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226D23A5" w14:textId="0A993CAA"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Stare</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Miasto</w:t>
            </w:r>
          </w:p>
        </w:tc>
        <w:tc>
          <w:tcPr>
            <w:tcW w:w="1700" w:type="dxa"/>
            <w:tcBorders>
              <w:top w:val="nil"/>
              <w:left w:val="nil"/>
              <w:bottom w:val="single" w:sz="4" w:space="0" w:color="auto"/>
              <w:right w:val="single" w:sz="4" w:space="0" w:color="auto"/>
            </w:tcBorders>
            <w:shd w:val="clear" w:color="auto" w:fill="auto"/>
            <w:noWrap/>
            <w:vAlign w:val="center"/>
            <w:hideMark/>
          </w:tcPr>
          <w:p w14:paraId="4FFD3A72"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888</w:t>
            </w:r>
          </w:p>
        </w:tc>
        <w:tc>
          <w:tcPr>
            <w:tcW w:w="1700" w:type="dxa"/>
            <w:tcBorders>
              <w:top w:val="nil"/>
              <w:left w:val="nil"/>
              <w:bottom w:val="single" w:sz="4" w:space="0" w:color="auto"/>
              <w:right w:val="single" w:sz="4" w:space="0" w:color="auto"/>
            </w:tcBorders>
            <w:shd w:val="clear" w:color="auto" w:fill="auto"/>
            <w:noWrap/>
            <w:vAlign w:val="center"/>
            <w:hideMark/>
          </w:tcPr>
          <w:p w14:paraId="40B80885"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111</w:t>
            </w:r>
          </w:p>
        </w:tc>
        <w:tc>
          <w:tcPr>
            <w:tcW w:w="1700" w:type="dxa"/>
            <w:tcBorders>
              <w:top w:val="nil"/>
              <w:left w:val="nil"/>
              <w:bottom w:val="single" w:sz="4" w:space="0" w:color="auto"/>
              <w:right w:val="single" w:sz="4" w:space="0" w:color="auto"/>
            </w:tcBorders>
            <w:shd w:val="clear" w:color="auto" w:fill="auto"/>
            <w:noWrap/>
            <w:vAlign w:val="center"/>
            <w:hideMark/>
          </w:tcPr>
          <w:p w14:paraId="6F2BBFBD"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446</w:t>
            </w:r>
          </w:p>
        </w:tc>
        <w:tc>
          <w:tcPr>
            <w:tcW w:w="1700" w:type="dxa"/>
            <w:tcBorders>
              <w:top w:val="nil"/>
              <w:left w:val="nil"/>
              <w:bottom w:val="single" w:sz="4" w:space="0" w:color="auto"/>
              <w:right w:val="single" w:sz="4" w:space="0" w:color="auto"/>
            </w:tcBorders>
            <w:shd w:val="clear" w:color="auto" w:fill="auto"/>
            <w:noWrap/>
            <w:vAlign w:val="center"/>
            <w:hideMark/>
          </w:tcPr>
          <w:p w14:paraId="7C67A54D"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234</w:t>
            </w:r>
          </w:p>
        </w:tc>
        <w:tc>
          <w:tcPr>
            <w:tcW w:w="1701" w:type="dxa"/>
            <w:tcBorders>
              <w:top w:val="nil"/>
              <w:left w:val="nil"/>
              <w:bottom w:val="single" w:sz="4" w:space="0" w:color="auto"/>
              <w:right w:val="single" w:sz="4" w:space="0" w:color="auto"/>
            </w:tcBorders>
            <w:shd w:val="clear" w:color="auto" w:fill="auto"/>
            <w:noWrap/>
            <w:vAlign w:val="center"/>
            <w:hideMark/>
          </w:tcPr>
          <w:p w14:paraId="2F3D6DB0"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107</w:t>
            </w:r>
          </w:p>
        </w:tc>
      </w:tr>
      <w:tr w:rsidR="00224658" w:rsidRPr="00A26C26" w14:paraId="614CB6EE" w14:textId="77777777" w:rsidTr="007F1E76">
        <w:trPr>
          <w:trHeight w:val="249"/>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0F1DE7C3"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Tuliszków</w:t>
            </w:r>
          </w:p>
        </w:tc>
        <w:tc>
          <w:tcPr>
            <w:tcW w:w="1700" w:type="dxa"/>
            <w:tcBorders>
              <w:top w:val="nil"/>
              <w:left w:val="nil"/>
              <w:bottom w:val="single" w:sz="4" w:space="0" w:color="auto"/>
              <w:right w:val="single" w:sz="4" w:space="0" w:color="auto"/>
            </w:tcBorders>
            <w:shd w:val="clear" w:color="auto" w:fill="auto"/>
            <w:noWrap/>
            <w:vAlign w:val="center"/>
            <w:hideMark/>
          </w:tcPr>
          <w:p w14:paraId="0950D0E0"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976</w:t>
            </w:r>
          </w:p>
        </w:tc>
        <w:tc>
          <w:tcPr>
            <w:tcW w:w="1700" w:type="dxa"/>
            <w:tcBorders>
              <w:top w:val="nil"/>
              <w:left w:val="nil"/>
              <w:bottom w:val="single" w:sz="4" w:space="0" w:color="auto"/>
              <w:right w:val="single" w:sz="4" w:space="0" w:color="auto"/>
            </w:tcBorders>
            <w:shd w:val="clear" w:color="auto" w:fill="auto"/>
            <w:noWrap/>
            <w:vAlign w:val="center"/>
            <w:hideMark/>
          </w:tcPr>
          <w:p w14:paraId="7C69DB37"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89</w:t>
            </w:r>
          </w:p>
        </w:tc>
        <w:tc>
          <w:tcPr>
            <w:tcW w:w="1700" w:type="dxa"/>
            <w:tcBorders>
              <w:top w:val="nil"/>
              <w:left w:val="nil"/>
              <w:bottom w:val="single" w:sz="4" w:space="0" w:color="auto"/>
              <w:right w:val="single" w:sz="4" w:space="0" w:color="auto"/>
            </w:tcBorders>
            <w:shd w:val="clear" w:color="auto" w:fill="auto"/>
            <w:noWrap/>
            <w:vAlign w:val="center"/>
            <w:hideMark/>
          </w:tcPr>
          <w:p w14:paraId="040BD5E1"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506</w:t>
            </w:r>
          </w:p>
        </w:tc>
        <w:tc>
          <w:tcPr>
            <w:tcW w:w="1700" w:type="dxa"/>
            <w:tcBorders>
              <w:top w:val="nil"/>
              <w:left w:val="nil"/>
              <w:bottom w:val="single" w:sz="4" w:space="0" w:color="auto"/>
              <w:right w:val="single" w:sz="4" w:space="0" w:color="auto"/>
            </w:tcBorders>
            <w:shd w:val="clear" w:color="auto" w:fill="auto"/>
            <w:noWrap/>
            <w:vAlign w:val="center"/>
            <w:hideMark/>
          </w:tcPr>
          <w:p w14:paraId="5518C6D1"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278</w:t>
            </w:r>
          </w:p>
        </w:tc>
        <w:tc>
          <w:tcPr>
            <w:tcW w:w="1701" w:type="dxa"/>
            <w:tcBorders>
              <w:top w:val="nil"/>
              <w:left w:val="nil"/>
              <w:bottom w:val="single" w:sz="4" w:space="0" w:color="auto"/>
              <w:right w:val="single" w:sz="4" w:space="0" w:color="auto"/>
            </w:tcBorders>
            <w:shd w:val="clear" w:color="auto" w:fill="auto"/>
            <w:noWrap/>
            <w:vAlign w:val="center"/>
            <w:hideMark/>
          </w:tcPr>
          <w:p w14:paraId="329034F7"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160</w:t>
            </w:r>
          </w:p>
        </w:tc>
      </w:tr>
      <w:tr w:rsidR="00224658" w:rsidRPr="00A26C26" w14:paraId="755E5A71" w14:textId="77777777" w:rsidTr="007F1E76">
        <w:trPr>
          <w:trHeight w:val="249"/>
        </w:trPr>
        <w:tc>
          <w:tcPr>
            <w:tcW w:w="1700" w:type="dxa"/>
            <w:tcBorders>
              <w:top w:val="nil"/>
              <w:left w:val="single" w:sz="4" w:space="0" w:color="auto"/>
              <w:bottom w:val="single" w:sz="4" w:space="0" w:color="auto"/>
              <w:right w:val="single" w:sz="4" w:space="0" w:color="auto"/>
            </w:tcBorders>
            <w:shd w:val="clear" w:color="000000" w:fill="DDEBF7"/>
            <w:vAlign w:val="center"/>
            <w:hideMark/>
          </w:tcPr>
          <w:p w14:paraId="5712A213" w14:textId="5B9CF4B1"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Razem</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LGD</w:t>
            </w:r>
          </w:p>
        </w:tc>
        <w:tc>
          <w:tcPr>
            <w:tcW w:w="1700" w:type="dxa"/>
            <w:tcBorders>
              <w:top w:val="nil"/>
              <w:left w:val="nil"/>
              <w:bottom w:val="single" w:sz="4" w:space="0" w:color="auto"/>
              <w:right w:val="single" w:sz="4" w:space="0" w:color="auto"/>
            </w:tcBorders>
            <w:shd w:val="clear" w:color="000000" w:fill="DDEBF7"/>
            <w:vAlign w:val="center"/>
            <w:hideMark/>
          </w:tcPr>
          <w:p w14:paraId="00E09609" w14:textId="2A533283"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5</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113</w:t>
            </w:r>
          </w:p>
        </w:tc>
        <w:tc>
          <w:tcPr>
            <w:tcW w:w="1700" w:type="dxa"/>
            <w:tcBorders>
              <w:top w:val="nil"/>
              <w:left w:val="nil"/>
              <w:bottom w:val="single" w:sz="4" w:space="0" w:color="auto"/>
              <w:right w:val="single" w:sz="4" w:space="0" w:color="auto"/>
            </w:tcBorders>
            <w:shd w:val="clear" w:color="000000" w:fill="DDEBF7"/>
            <w:vAlign w:val="center"/>
            <w:hideMark/>
          </w:tcPr>
          <w:p w14:paraId="42E896A9"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706</w:t>
            </w:r>
          </w:p>
        </w:tc>
        <w:tc>
          <w:tcPr>
            <w:tcW w:w="1700" w:type="dxa"/>
            <w:tcBorders>
              <w:top w:val="nil"/>
              <w:left w:val="nil"/>
              <w:bottom w:val="single" w:sz="4" w:space="0" w:color="auto"/>
              <w:right w:val="single" w:sz="4" w:space="0" w:color="auto"/>
            </w:tcBorders>
            <w:shd w:val="clear" w:color="000000" w:fill="DDEBF7"/>
            <w:vAlign w:val="center"/>
            <w:hideMark/>
          </w:tcPr>
          <w:p w14:paraId="6FE89E7F" w14:textId="3A26A423"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390</w:t>
            </w:r>
          </w:p>
        </w:tc>
        <w:tc>
          <w:tcPr>
            <w:tcW w:w="1700" w:type="dxa"/>
            <w:tcBorders>
              <w:top w:val="nil"/>
              <w:left w:val="nil"/>
              <w:bottom w:val="single" w:sz="4" w:space="0" w:color="auto"/>
              <w:right w:val="single" w:sz="4" w:space="0" w:color="auto"/>
            </w:tcBorders>
            <w:shd w:val="clear" w:color="000000" w:fill="DDEBF7"/>
            <w:vAlign w:val="center"/>
            <w:hideMark/>
          </w:tcPr>
          <w:p w14:paraId="4A154FEB" w14:textId="2C7E8BF3"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466</w:t>
            </w:r>
          </w:p>
        </w:tc>
        <w:tc>
          <w:tcPr>
            <w:tcW w:w="1701" w:type="dxa"/>
            <w:tcBorders>
              <w:top w:val="nil"/>
              <w:left w:val="nil"/>
              <w:bottom w:val="single" w:sz="4" w:space="0" w:color="auto"/>
              <w:right w:val="single" w:sz="4" w:space="0" w:color="auto"/>
            </w:tcBorders>
            <w:shd w:val="clear" w:color="000000" w:fill="DDEBF7"/>
            <w:vAlign w:val="center"/>
            <w:hideMark/>
          </w:tcPr>
          <w:p w14:paraId="2EA7C5DC"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757</w:t>
            </w:r>
          </w:p>
        </w:tc>
      </w:tr>
    </w:tbl>
    <w:p w14:paraId="3FC092DE" w14:textId="4E98C216" w:rsidR="00224658" w:rsidRPr="00A26C26" w:rsidRDefault="00224658" w:rsidP="00A26C26">
      <w:pPr>
        <w:spacing w:line="276" w:lineRule="auto"/>
        <w:rPr>
          <w:rFonts w:cstheme="minorHAnsi"/>
        </w:rPr>
      </w:pPr>
      <w:r w:rsidRPr="00A26C26">
        <w:rPr>
          <w:rFonts w:cstheme="minorHAnsi"/>
        </w:rPr>
        <w:t>Źródło:</w:t>
      </w:r>
      <w:r w:rsidR="003B50ED">
        <w:rPr>
          <w:rFonts w:cstheme="minorHAnsi"/>
        </w:rPr>
        <w:t xml:space="preserve"> </w:t>
      </w:r>
      <w:r w:rsidRPr="00A26C26">
        <w:rPr>
          <w:rFonts w:cstheme="minorHAnsi"/>
        </w:rPr>
        <w:t>GUS,</w:t>
      </w:r>
      <w:r w:rsidR="003B50ED">
        <w:rPr>
          <w:rFonts w:cstheme="minorHAnsi"/>
        </w:rPr>
        <w:t xml:space="preserve"> </w:t>
      </w:r>
      <w:r w:rsidRPr="00A26C26">
        <w:rPr>
          <w:rFonts w:cstheme="minorHAnsi"/>
        </w:rPr>
        <w:t>Bank</w:t>
      </w:r>
      <w:r w:rsidR="003B50ED">
        <w:rPr>
          <w:rFonts w:cstheme="minorHAnsi"/>
        </w:rPr>
        <w:t xml:space="preserve"> </w:t>
      </w:r>
      <w:r w:rsidRPr="00A26C26">
        <w:rPr>
          <w:rFonts w:cstheme="minorHAnsi"/>
        </w:rPr>
        <w:t>Danych</w:t>
      </w:r>
      <w:r w:rsidR="003B50ED">
        <w:rPr>
          <w:rFonts w:cstheme="minorHAnsi"/>
        </w:rPr>
        <w:t xml:space="preserve"> </w:t>
      </w:r>
      <w:r w:rsidRPr="00A26C26">
        <w:rPr>
          <w:rFonts w:cstheme="minorHAnsi"/>
        </w:rPr>
        <w:t>Lokalnych</w:t>
      </w:r>
    </w:p>
    <w:p w14:paraId="129BDA24" w14:textId="77777777" w:rsidR="00E16619" w:rsidRDefault="00E16619" w:rsidP="00A26C26">
      <w:pPr>
        <w:spacing w:line="276" w:lineRule="auto"/>
        <w:ind w:firstLine="284"/>
        <w:rPr>
          <w:rFonts w:cstheme="minorHAnsi"/>
        </w:rPr>
      </w:pPr>
    </w:p>
    <w:p w14:paraId="59CF2530" w14:textId="6FC278A9" w:rsidR="00224658" w:rsidRPr="00A26C26" w:rsidRDefault="00224658" w:rsidP="00A26C26">
      <w:pPr>
        <w:spacing w:line="276" w:lineRule="auto"/>
        <w:ind w:firstLine="284"/>
        <w:rPr>
          <w:rFonts w:cstheme="minorHAnsi"/>
        </w:rPr>
      </w:pPr>
      <w:r w:rsidRPr="00A26C26">
        <w:rPr>
          <w:rFonts w:cstheme="minorHAnsi"/>
        </w:rPr>
        <w:t>Doskonałym</w:t>
      </w:r>
      <w:r w:rsidR="003B50ED">
        <w:rPr>
          <w:rFonts w:cstheme="minorHAnsi"/>
        </w:rPr>
        <w:t xml:space="preserve"> </w:t>
      </w:r>
      <w:r w:rsidRPr="00A26C26">
        <w:rPr>
          <w:rFonts w:cstheme="minorHAnsi"/>
        </w:rPr>
        <w:t>wsparciem</w:t>
      </w:r>
      <w:r w:rsidR="003B50ED">
        <w:rPr>
          <w:rFonts w:cstheme="minorHAnsi"/>
        </w:rPr>
        <w:t xml:space="preserve"> </w:t>
      </w:r>
      <w:r w:rsidRPr="00A26C26">
        <w:rPr>
          <w:rFonts w:cstheme="minorHAnsi"/>
        </w:rPr>
        <w:t>rozwoju</w:t>
      </w:r>
      <w:r w:rsidR="003B50ED">
        <w:rPr>
          <w:rFonts w:cstheme="minorHAnsi"/>
        </w:rPr>
        <w:t xml:space="preserve"> </w:t>
      </w:r>
      <w:r w:rsidRPr="00A26C26">
        <w:rPr>
          <w:rFonts w:cstheme="minorHAnsi"/>
        </w:rPr>
        <w:t>obszarów</w:t>
      </w:r>
      <w:r w:rsidR="003B50ED">
        <w:rPr>
          <w:rFonts w:cstheme="minorHAnsi"/>
        </w:rPr>
        <w:t xml:space="preserve"> </w:t>
      </w:r>
      <w:r w:rsidRPr="00A26C26">
        <w:rPr>
          <w:rFonts w:cstheme="minorHAnsi"/>
        </w:rPr>
        <w:t>wiejskich,</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tym</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dalszej</w:t>
      </w:r>
      <w:r w:rsidR="003B50ED">
        <w:rPr>
          <w:rFonts w:cstheme="minorHAnsi"/>
        </w:rPr>
        <w:t xml:space="preserve"> </w:t>
      </w:r>
      <w:r w:rsidRPr="00A26C26">
        <w:rPr>
          <w:rFonts w:cstheme="minorHAnsi"/>
        </w:rPr>
        <w:t>konsekwencji</w:t>
      </w:r>
      <w:r w:rsidR="003B50ED">
        <w:rPr>
          <w:rFonts w:cstheme="minorHAnsi"/>
        </w:rPr>
        <w:t xml:space="preserve"> </w:t>
      </w:r>
      <w:r w:rsidRPr="00A26C26">
        <w:rPr>
          <w:rFonts w:cstheme="minorHAnsi"/>
        </w:rPr>
        <w:t>zróżnicowania</w:t>
      </w:r>
      <w:r w:rsidR="003B50ED">
        <w:rPr>
          <w:rFonts w:cstheme="minorHAnsi"/>
        </w:rPr>
        <w:t xml:space="preserve"> </w:t>
      </w:r>
      <w:r w:rsidRPr="00A26C26">
        <w:rPr>
          <w:rFonts w:cstheme="minorHAnsi"/>
        </w:rPr>
        <w:t>dochodów</w:t>
      </w:r>
      <w:r w:rsidR="003B50ED">
        <w:rPr>
          <w:rFonts w:cstheme="minorHAnsi"/>
        </w:rPr>
        <w:t xml:space="preserve"> </w:t>
      </w:r>
      <w:r w:rsidRPr="00A26C26">
        <w:rPr>
          <w:rFonts w:cstheme="minorHAnsi"/>
        </w:rPr>
        <w:t>gospodarstw</w:t>
      </w:r>
      <w:r w:rsidR="003B50ED">
        <w:rPr>
          <w:rFonts w:cstheme="minorHAnsi"/>
        </w:rPr>
        <w:t xml:space="preserve"> </w:t>
      </w:r>
      <w:r w:rsidRPr="00A26C26">
        <w:rPr>
          <w:rFonts w:cstheme="minorHAnsi"/>
        </w:rPr>
        <w:t>rolnych</w:t>
      </w:r>
      <w:r w:rsidR="003B50ED">
        <w:rPr>
          <w:rFonts w:cstheme="minorHAnsi"/>
        </w:rPr>
        <w:t xml:space="preserve"> </w:t>
      </w:r>
      <w:r w:rsidRPr="00A26C26">
        <w:rPr>
          <w:rFonts w:cstheme="minorHAnsi"/>
        </w:rPr>
        <w:t>mogą</w:t>
      </w:r>
      <w:r w:rsidR="003B50ED">
        <w:rPr>
          <w:rFonts w:cstheme="minorHAnsi"/>
        </w:rPr>
        <w:t xml:space="preserve"> </w:t>
      </w:r>
      <w:r w:rsidRPr="00A26C26">
        <w:rPr>
          <w:rFonts w:cstheme="minorHAnsi"/>
        </w:rPr>
        <w:t>być</w:t>
      </w:r>
      <w:r w:rsidR="003B50ED">
        <w:rPr>
          <w:rFonts w:cstheme="minorHAnsi"/>
        </w:rPr>
        <w:t xml:space="preserve"> </w:t>
      </w:r>
      <w:r w:rsidRPr="00A26C26">
        <w:rPr>
          <w:rFonts w:cstheme="minorHAnsi"/>
        </w:rPr>
        <w:t>tzw.</w:t>
      </w:r>
      <w:r w:rsidR="003B50ED">
        <w:rPr>
          <w:rFonts w:cstheme="minorHAnsi"/>
        </w:rPr>
        <w:t xml:space="preserve"> </w:t>
      </w:r>
      <w:r w:rsidRPr="00A26C26">
        <w:rPr>
          <w:rFonts w:cstheme="minorHAnsi"/>
        </w:rPr>
        <w:t>Smart</w:t>
      </w:r>
      <w:r w:rsidR="003B50ED">
        <w:rPr>
          <w:rFonts w:cstheme="minorHAnsi"/>
        </w:rPr>
        <w:t xml:space="preserve"> </w:t>
      </w:r>
      <w:proofErr w:type="spellStart"/>
      <w:r w:rsidRPr="00A26C26">
        <w:rPr>
          <w:rFonts w:cstheme="minorHAnsi"/>
        </w:rPr>
        <w:t>Village</w:t>
      </w:r>
      <w:proofErr w:type="spellEnd"/>
      <w:r w:rsidRPr="00A26C26">
        <w:rPr>
          <w:rFonts w:cstheme="minorHAnsi"/>
        </w:rPr>
        <w:t>.</w:t>
      </w:r>
      <w:r w:rsidR="003B50ED">
        <w:rPr>
          <w:rFonts w:cstheme="minorHAnsi"/>
        </w:rPr>
        <w:t xml:space="preserve"> </w:t>
      </w:r>
    </w:p>
    <w:p w14:paraId="7AD29AC5" w14:textId="01BE439D" w:rsidR="00224658" w:rsidRPr="00A26C26" w:rsidRDefault="00224658" w:rsidP="00A26C26">
      <w:pPr>
        <w:spacing w:line="276" w:lineRule="auto"/>
        <w:ind w:firstLine="284"/>
        <w:jc w:val="both"/>
        <w:rPr>
          <w:rFonts w:cstheme="minorHAnsi"/>
        </w:rPr>
      </w:pPr>
      <w:r w:rsidRPr="00A26C26">
        <w:rPr>
          <w:rFonts w:cstheme="minorHAnsi"/>
        </w:rPr>
        <w:t>W</w:t>
      </w:r>
      <w:r w:rsidR="003B50ED">
        <w:rPr>
          <w:rFonts w:cstheme="minorHAnsi"/>
        </w:rPr>
        <w:t xml:space="preserve"> </w:t>
      </w:r>
      <w:r w:rsidRPr="00A26C26">
        <w:rPr>
          <w:rFonts w:cstheme="minorHAnsi"/>
        </w:rPr>
        <w:t>celu</w:t>
      </w:r>
      <w:r w:rsidR="003B50ED">
        <w:rPr>
          <w:rFonts w:cstheme="minorHAnsi"/>
        </w:rPr>
        <w:t xml:space="preserve"> </w:t>
      </w:r>
      <w:r w:rsidRPr="00A26C26">
        <w:rPr>
          <w:rFonts w:cstheme="minorHAnsi"/>
        </w:rPr>
        <w:t>zapewnienia</w:t>
      </w:r>
      <w:r w:rsidR="003B50ED">
        <w:rPr>
          <w:rFonts w:cstheme="minorHAnsi"/>
        </w:rPr>
        <w:t xml:space="preserve"> </w:t>
      </w:r>
      <w:r w:rsidRPr="00A26C26">
        <w:rPr>
          <w:rFonts w:cstheme="minorHAnsi"/>
        </w:rPr>
        <w:t>mieszkańcom</w:t>
      </w:r>
      <w:r w:rsidR="003B50ED">
        <w:rPr>
          <w:rFonts w:cstheme="minorHAnsi"/>
        </w:rPr>
        <w:t xml:space="preserve"> </w:t>
      </w:r>
      <w:r w:rsidRPr="00A26C26">
        <w:rPr>
          <w:rFonts w:cstheme="minorHAnsi"/>
        </w:rPr>
        <w:t>obszaru</w:t>
      </w:r>
      <w:r w:rsidR="003B50ED">
        <w:rPr>
          <w:rFonts w:cstheme="minorHAnsi"/>
        </w:rPr>
        <w:t xml:space="preserve"> </w:t>
      </w:r>
      <w:r w:rsidRPr="00A26C26">
        <w:rPr>
          <w:rFonts w:cstheme="minorHAnsi"/>
        </w:rPr>
        <w:t>jak</w:t>
      </w:r>
      <w:r w:rsidR="003B50ED">
        <w:rPr>
          <w:rFonts w:cstheme="minorHAnsi"/>
        </w:rPr>
        <w:t xml:space="preserve"> </w:t>
      </w:r>
      <w:r w:rsidRPr="00A26C26">
        <w:rPr>
          <w:rFonts w:cstheme="minorHAnsi"/>
        </w:rPr>
        <w:t>najlepszej</w:t>
      </w:r>
      <w:r w:rsidR="003B50ED">
        <w:rPr>
          <w:rFonts w:cstheme="minorHAnsi"/>
        </w:rPr>
        <w:t xml:space="preserve"> </w:t>
      </w:r>
      <w:r w:rsidRPr="00A26C26">
        <w:rPr>
          <w:rFonts w:cstheme="minorHAnsi"/>
        </w:rPr>
        <w:t>przestrzeni</w:t>
      </w:r>
      <w:r w:rsidR="003B50ED">
        <w:rPr>
          <w:rFonts w:cstheme="minorHAnsi"/>
        </w:rPr>
        <w:t xml:space="preserve"> </w:t>
      </w:r>
      <w:r w:rsidRPr="00A26C26">
        <w:rPr>
          <w:rFonts w:cstheme="minorHAnsi"/>
        </w:rPr>
        <w:t>do</w:t>
      </w:r>
      <w:r w:rsidR="003B50ED">
        <w:rPr>
          <w:rFonts w:cstheme="minorHAnsi"/>
        </w:rPr>
        <w:t xml:space="preserve"> </w:t>
      </w:r>
      <w:r w:rsidRPr="00A26C26">
        <w:rPr>
          <w:rFonts w:cstheme="minorHAnsi"/>
        </w:rPr>
        <w:t>życia</w:t>
      </w:r>
      <w:r w:rsidR="003B50ED">
        <w:rPr>
          <w:rFonts w:cstheme="minorHAnsi"/>
        </w:rPr>
        <w:t xml:space="preserve"> </w:t>
      </w:r>
      <w:r w:rsidRPr="00A26C26">
        <w:rPr>
          <w:rFonts w:cstheme="minorHAnsi"/>
        </w:rPr>
        <w:t>zarówno</w:t>
      </w:r>
      <w:r w:rsidR="003B50ED">
        <w:rPr>
          <w:rFonts w:cstheme="minorHAnsi"/>
        </w:rPr>
        <w:t xml:space="preserve"> </w:t>
      </w:r>
      <w:r w:rsidRPr="00A26C26">
        <w:rPr>
          <w:rFonts w:cstheme="minorHAnsi"/>
        </w:rPr>
        <w:t>ze</w:t>
      </w:r>
      <w:r w:rsidR="003B50ED">
        <w:rPr>
          <w:rFonts w:cstheme="minorHAnsi"/>
        </w:rPr>
        <w:t xml:space="preserve"> </w:t>
      </w:r>
      <w:r w:rsidRPr="00A26C26">
        <w:rPr>
          <w:rFonts w:cstheme="minorHAnsi"/>
        </w:rPr>
        <w:t>względu</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nowe</w:t>
      </w:r>
      <w:r w:rsidR="003B50ED">
        <w:rPr>
          <w:rFonts w:cstheme="minorHAnsi"/>
        </w:rPr>
        <w:t xml:space="preserve"> </w:t>
      </w:r>
      <w:r w:rsidRPr="00A26C26">
        <w:rPr>
          <w:rFonts w:cstheme="minorHAnsi"/>
        </w:rPr>
        <w:t>możliwości</w:t>
      </w:r>
      <w:r w:rsidR="003B50ED">
        <w:rPr>
          <w:rFonts w:cstheme="minorHAnsi"/>
        </w:rPr>
        <w:t xml:space="preserve"> </w:t>
      </w:r>
      <w:r w:rsidRPr="00A26C26">
        <w:rPr>
          <w:rFonts w:cstheme="minorHAnsi"/>
        </w:rPr>
        <w:t>tworzenia</w:t>
      </w:r>
      <w:r w:rsidR="003B50ED">
        <w:rPr>
          <w:rFonts w:cstheme="minorHAnsi"/>
        </w:rPr>
        <w:t xml:space="preserve"> </w:t>
      </w:r>
      <w:r w:rsidRPr="00A26C26">
        <w:rPr>
          <w:rFonts w:cstheme="minorHAnsi"/>
        </w:rPr>
        <w:t>miejsc</w:t>
      </w:r>
      <w:r w:rsidR="003B50ED">
        <w:rPr>
          <w:rFonts w:cstheme="minorHAnsi"/>
        </w:rPr>
        <w:t xml:space="preserve"> </w:t>
      </w:r>
      <w:r w:rsidRPr="00A26C26">
        <w:rPr>
          <w:rFonts w:cstheme="minorHAnsi"/>
        </w:rPr>
        <w:t>pracy,</w:t>
      </w:r>
      <w:r w:rsidR="003B50ED">
        <w:rPr>
          <w:rFonts w:cstheme="minorHAnsi"/>
        </w:rPr>
        <w:t xml:space="preserve"> </w:t>
      </w:r>
      <w:r w:rsidRPr="00A26C26">
        <w:rPr>
          <w:rFonts w:cstheme="minorHAnsi"/>
        </w:rPr>
        <w:t>jak</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punktu</w:t>
      </w:r>
      <w:r w:rsidR="003B50ED">
        <w:rPr>
          <w:rFonts w:cstheme="minorHAnsi"/>
        </w:rPr>
        <w:t xml:space="preserve"> </w:t>
      </w:r>
      <w:r w:rsidRPr="00A26C26">
        <w:rPr>
          <w:rFonts w:cstheme="minorHAnsi"/>
        </w:rPr>
        <w:t>widzenia</w:t>
      </w:r>
      <w:r w:rsidR="003B50ED">
        <w:rPr>
          <w:rFonts w:cstheme="minorHAnsi"/>
        </w:rPr>
        <w:t xml:space="preserve"> </w:t>
      </w:r>
      <w:r w:rsidRPr="00A26C26">
        <w:rPr>
          <w:rFonts w:cstheme="minorHAnsi"/>
        </w:rPr>
        <w:t>jakości</w:t>
      </w:r>
      <w:r w:rsidR="003B50ED">
        <w:rPr>
          <w:rFonts w:cstheme="minorHAnsi"/>
        </w:rPr>
        <w:t xml:space="preserve"> </w:t>
      </w:r>
      <w:r w:rsidRPr="00A26C26">
        <w:rPr>
          <w:rFonts w:cstheme="minorHAnsi"/>
        </w:rPr>
        <w:t>życia</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wsi</w:t>
      </w:r>
      <w:r w:rsidR="003B50ED">
        <w:rPr>
          <w:rFonts w:cstheme="minorHAnsi"/>
        </w:rPr>
        <w:t xml:space="preserve"> </w:t>
      </w:r>
      <w:r w:rsidRPr="00A26C26">
        <w:rPr>
          <w:rFonts w:cstheme="minorHAnsi"/>
        </w:rPr>
        <w:t>niezbędne</w:t>
      </w:r>
      <w:r w:rsidR="003B50ED">
        <w:rPr>
          <w:rFonts w:cstheme="minorHAnsi"/>
        </w:rPr>
        <w:t xml:space="preserve"> </w:t>
      </w:r>
      <w:r w:rsidRPr="00A26C26">
        <w:rPr>
          <w:rFonts w:cstheme="minorHAnsi"/>
        </w:rPr>
        <w:t>jest</w:t>
      </w:r>
      <w:r w:rsidR="003B50ED">
        <w:rPr>
          <w:rFonts w:cstheme="minorHAnsi"/>
        </w:rPr>
        <w:t xml:space="preserve"> </w:t>
      </w:r>
      <w:r w:rsidRPr="00A26C26">
        <w:rPr>
          <w:rFonts w:cstheme="minorHAnsi"/>
        </w:rPr>
        <w:t>podjęcie</w:t>
      </w:r>
      <w:r w:rsidR="003B50ED">
        <w:rPr>
          <w:rFonts w:cstheme="minorHAnsi"/>
        </w:rPr>
        <w:t xml:space="preserve"> </w:t>
      </w:r>
      <w:r w:rsidRPr="00A26C26">
        <w:rPr>
          <w:rFonts w:cstheme="minorHAnsi"/>
        </w:rPr>
        <w:t>działań</w:t>
      </w:r>
      <w:r w:rsidR="003B50ED">
        <w:rPr>
          <w:rFonts w:cstheme="minorHAnsi"/>
        </w:rPr>
        <w:t xml:space="preserve"> </w:t>
      </w:r>
      <w:r w:rsidRPr="00A26C26">
        <w:rPr>
          <w:rFonts w:cstheme="minorHAnsi"/>
        </w:rPr>
        <w:t>zmierzających</w:t>
      </w:r>
      <w:r w:rsidR="003B50ED">
        <w:rPr>
          <w:rFonts w:cstheme="minorHAnsi"/>
        </w:rPr>
        <w:t xml:space="preserve"> </w:t>
      </w:r>
      <w:r w:rsidRPr="00A26C26">
        <w:rPr>
          <w:rFonts w:cstheme="minorHAnsi"/>
        </w:rPr>
        <w:t>do</w:t>
      </w:r>
      <w:r w:rsidR="003B50ED">
        <w:rPr>
          <w:rFonts w:cstheme="minorHAnsi"/>
        </w:rPr>
        <w:t xml:space="preserve"> </w:t>
      </w:r>
      <w:r w:rsidRPr="00A26C26">
        <w:rPr>
          <w:rFonts w:cstheme="minorHAnsi"/>
        </w:rPr>
        <w:t>tego,</w:t>
      </w:r>
      <w:r w:rsidR="003B50ED">
        <w:rPr>
          <w:rFonts w:cstheme="minorHAnsi"/>
        </w:rPr>
        <w:t xml:space="preserve"> </w:t>
      </w:r>
      <w:r w:rsidRPr="00A26C26">
        <w:rPr>
          <w:rFonts w:cstheme="minorHAnsi"/>
        </w:rPr>
        <w:t>aby</w:t>
      </w:r>
      <w:r w:rsidR="003B50ED">
        <w:rPr>
          <w:rFonts w:cstheme="minorHAnsi"/>
        </w:rPr>
        <w:t xml:space="preserve"> </w:t>
      </w:r>
      <w:r w:rsidRPr="00A26C26">
        <w:rPr>
          <w:rFonts w:cstheme="minorHAnsi"/>
        </w:rPr>
        <w:t>lokalne</w:t>
      </w:r>
      <w:r w:rsidR="003B50ED">
        <w:rPr>
          <w:rFonts w:cstheme="minorHAnsi"/>
        </w:rPr>
        <w:t xml:space="preserve"> </w:t>
      </w:r>
      <w:r w:rsidRPr="00A26C26">
        <w:rPr>
          <w:rFonts w:cstheme="minorHAnsi"/>
        </w:rPr>
        <w:t>społeczności</w:t>
      </w:r>
      <w:r w:rsidR="003B50ED">
        <w:rPr>
          <w:rFonts w:cstheme="minorHAnsi"/>
        </w:rPr>
        <w:t xml:space="preserve"> </w:t>
      </w:r>
      <w:r w:rsidRPr="00A26C26">
        <w:rPr>
          <w:rFonts w:cstheme="minorHAnsi"/>
        </w:rPr>
        <w:t>nabywały</w:t>
      </w:r>
      <w:r w:rsidR="003B50ED">
        <w:rPr>
          <w:rFonts w:cstheme="minorHAnsi"/>
        </w:rPr>
        <w:t xml:space="preserve"> </w:t>
      </w:r>
      <w:r w:rsidRPr="00A26C26">
        <w:rPr>
          <w:rFonts w:cstheme="minorHAnsi"/>
        </w:rPr>
        <w:t>umiejętności</w:t>
      </w:r>
      <w:r w:rsidR="003B50ED">
        <w:rPr>
          <w:rFonts w:cstheme="minorHAnsi"/>
        </w:rPr>
        <w:t xml:space="preserve"> </w:t>
      </w:r>
      <w:r w:rsidRPr="00A26C26">
        <w:rPr>
          <w:rFonts w:cstheme="minorHAnsi"/>
        </w:rPr>
        <w:t>samoorganizowania</w:t>
      </w:r>
      <w:r w:rsidR="003B50ED">
        <w:rPr>
          <w:rFonts w:cstheme="minorHAnsi"/>
        </w:rPr>
        <w:t xml:space="preserve"> </w:t>
      </w:r>
      <w:r w:rsidRPr="00A26C26">
        <w:rPr>
          <w:rFonts w:cstheme="minorHAnsi"/>
        </w:rPr>
        <w:t>się</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poszukiwaniu</w:t>
      </w:r>
      <w:r w:rsidR="003B50ED">
        <w:rPr>
          <w:rFonts w:cstheme="minorHAnsi"/>
        </w:rPr>
        <w:t xml:space="preserve"> </w:t>
      </w:r>
      <w:r w:rsidRPr="00A26C26">
        <w:rPr>
          <w:rFonts w:cstheme="minorHAnsi"/>
        </w:rPr>
        <w:t>innowacyjnych,</w:t>
      </w:r>
      <w:r w:rsidR="003B50ED">
        <w:rPr>
          <w:rFonts w:cstheme="minorHAnsi"/>
        </w:rPr>
        <w:t xml:space="preserve"> </w:t>
      </w:r>
      <w:r w:rsidRPr="00A26C26">
        <w:rPr>
          <w:rFonts w:cstheme="minorHAnsi"/>
        </w:rPr>
        <w:t>inteligentnych</w:t>
      </w:r>
      <w:r w:rsidR="003B50ED">
        <w:rPr>
          <w:rFonts w:cstheme="minorHAnsi"/>
        </w:rPr>
        <w:t xml:space="preserve"> </w:t>
      </w:r>
      <w:r w:rsidRPr="00A26C26">
        <w:rPr>
          <w:rFonts w:cstheme="minorHAnsi"/>
        </w:rPr>
        <w:t>rozwiązań</w:t>
      </w:r>
      <w:r w:rsidR="003B50ED">
        <w:rPr>
          <w:rFonts w:cstheme="minorHAnsi"/>
        </w:rPr>
        <w:t xml:space="preserve"> </w:t>
      </w:r>
      <w:r w:rsidRPr="00A26C26">
        <w:rPr>
          <w:rFonts w:cstheme="minorHAnsi"/>
        </w:rPr>
        <w:t>istniejących</w:t>
      </w:r>
      <w:r w:rsidR="003B50ED">
        <w:rPr>
          <w:rFonts w:cstheme="minorHAnsi"/>
        </w:rPr>
        <w:t xml:space="preserve"> </w:t>
      </w:r>
      <w:r w:rsidRPr="00A26C26">
        <w:rPr>
          <w:rFonts w:cstheme="minorHAnsi"/>
        </w:rPr>
        <w:t>problemów.</w:t>
      </w:r>
      <w:r w:rsidR="003B50ED">
        <w:rPr>
          <w:rFonts w:cstheme="minorHAnsi"/>
        </w:rPr>
        <w:t xml:space="preserve"> </w:t>
      </w:r>
    </w:p>
    <w:p w14:paraId="7C886CD3" w14:textId="28C5DE78" w:rsidR="00224658" w:rsidRPr="00A26C26" w:rsidRDefault="00224658" w:rsidP="00A26C26">
      <w:pPr>
        <w:spacing w:line="276" w:lineRule="auto"/>
        <w:ind w:firstLine="284"/>
        <w:jc w:val="both"/>
        <w:rPr>
          <w:rFonts w:cstheme="minorHAnsi"/>
        </w:rPr>
      </w:pPr>
      <w:r w:rsidRPr="00A26C26">
        <w:rPr>
          <w:rFonts w:cstheme="minorHAnsi"/>
        </w:rPr>
        <w:t>Inteligentne</w:t>
      </w:r>
      <w:r w:rsidR="003B50ED">
        <w:rPr>
          <w:rFonts w:cstheme="minorHAnsi"/>
        </w:rPr>
        <w:t xml:space="preserve"> </w:t>
      </w:r>
      <w:r w:rsidRPr="00A26C26">
        <w:rPr>
          <w:rFonts w:cstheme="minorHAnsi"/>
        </w:rPr>
        <w:t>wioski</w:t>
      </w:r>
      <w:r w:rsidR="003B50ED">
        <w:rPr>
          <w:rFonts w:cstheme="minorHAnsi"/>
        </w:rPr>
        <w:t xml:space="preserve"> </w:t>
      </w:r>
      <w:r w:rsidRPr="00A26C26">
        <w:rPr>
          <w:rFonts w:cstheme="minorHAnsi"/>
        </w:rPr>
        <w:t>to</w:t>
      </w:r>
      <w:r w:rsidR="003B50ED">
        <w:rPr>
          <w:rFonts w:cstheme="minorHAnsi"/>
        </w:rPr>
        <w:t xml:space="preserve"> </w:t>
      </w:r>
      <w:r w:rsidRPr="00A26C26">
        <w:rPr>
          <w:rFonts w:cstheme="minorHAnsi"/>
        </w:rPr>
        <w:t>obszary</w:t>
      </w:r>
      <w:r w:rsidR="003B50ED">
        <w:rPr>
          <w:rFonts w:cstheme="minorHAnsi"/>
        </w:rPr>
        <w:t xml:space="preserve"> </w:t>
      </w:r>
      <w:r w:rsidRPr="00A26C26">
        <w:rPr>
          <w:rFonts w:cstheme="minorHAnsi"/>
        </w:rPr>
        <w:t>wiejskie</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społeczności,</w:t>
      </w:r>
      <w:r w:rsidR="003B50ED">
        <w:rPr>
          <w:rFonts w:cstheme="minorHAnsi"/>
        </w:rPr>
        <w:t xml:space="preserve"> </w:t>
      </w:r>
      <w:r w:rsidRPr="00A26C26">
        <w:rPr>
          <w:rFonts w:cstheme="minorHAnsi"/>
        </w:rPr>
        <w:t>które</w:t>
      </w:r>
      <w:r w:rsidR="003B50ED">
        <w:rPr>
          <w:rFonts w:cstheme="minorHAnsi"/>
        </w:rPr>
        <w:t xml:space="preserve"> </w:t>
      </w:r>
      <w:r w:rsidRPr="00A26C26">
        <w:rPr>
          <w:rFonts w:cstheme="minorHAnsi"/>
        </w:rPr>
        <w:t>opierać</w:t>
      </w:r>
      <w:r w:rsidR="003B50ED">
        <w:rPr>
          <w:rFonts w:cstheme="minorHAnsi"/>
        </w:rPr>
        <w:t xml:space="preserve"> </w:t>
      </w:r>
      <w:r w:rsidRPr="00A26C26">
        <w:rPr>
          <w:rFonts w:cstheme="minorHAnsi"/>
        </w:rPr>
        <w:t>się</w:t>
      </w:r>
      <w:r w:rsidR="003B50ED">
        <w:rPr>
          <w:rFonts w:cstheme="minorHAnsi"/>
        </w:rPr>
        <w:t xml:space="preserve"> </w:t>
      </w:r>
      <w:r w:rsidRPr="00A26C26">
        <w:rPr>
          <w:rFonts w:cstheme="minorHAnsi"/>
        </w:rPr>
        <w:t>będą</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ulepszonych</w:t>
      </w:r>
      <w:r w:rsidR="003B50ED">
        <w:rPr>
          <w:rFonts w:cstheme="minorHAnsi"/>
        </w:rPr>
        <w:t xml:space="preserve"> </w:t>
      </w:r>
      <w:r w:rsidRPr="00A26C26">
        <w:rPr>
          <w:rFonts w:cstheme="minorHAnsi"/>
        </w:rPr>
        <w:t>za</w:t>
      </w:r>
      <w:r w:rsidR="003B50ED">
        <w:rPr>
          <w:rFonts w:cstheme="minorHAnsi"/>
        </w:rPr>
        <w:t xml:space="preserve"> </w:t>
      </w:r>
      <w:r w:rsidRPr="00A26C26">
        <w:rPr>
          <w:rFonts w:cstheme="minorHAnsi"/>
        </w:rPr>
        <w:t>pomocą</w:t>
      </w:r>
      <w:r w:rsidR="003B50ED">
        <w:rPr>
          <w:rFonts w:cstheme="minorHAnsi"/>
        </w:rPr>
        <w:t xml:space="preserve"> </w:t>
      </w:r>
      <w:r w:rsidRPr="00A26C26">
        <w:rPr>
          <w:rFonts w:cstheme="minorHAnsi"/>
        </w:rPr>
        <w:t>technologii</w:t>
      </w:r>
      <w:r w:rsidR="003B50ED">
        <w:rPr>
          <w:rFonts w:cstheme="minorHAnsi"/>
        </w:rPr>
        <w:t xml:space="preserve"> </w:t>
      </w:r>
      <w:r w:rsidRPr="00A26C26">
        <w:rPr>
          <w:rFonts w:cstheme="minorHAnsi"/>
        </w:rPr>
        <w:t>cyfrowych,</w:t>
      </w:r>
      <w:r w:rsidR="003B50ED">
        <w:rPr>
          <w:rFonts w:cstheme="minorHAnsi"/>
        </w:rPr>
        <w:t xml:space="preserve"> </w:t>
      </w:r>
      <w:r w:rsidRPr="00A26C26">
        <w:rPr>
          <w:rFonts w:cstheme="minorHAnsi"/>
        </w:rPr>
        <w:t>telekomunikacyjnych</w:t>
      </w:r>
      <w:r w:rsidR="003B50ED">
        <w:rPr>
          <w:rFonts w:cstheme="minorHAnsi"/>
        </w:rPr>
        <w:t xml:space="preserve"> </w:t>
      </w:r>
      <w:r w:rsidRPr="00A26C26">
        <w:rPr>
          <w:rFonts w:cstheme="minorHAnsi"/>
        </w:rPr>
        <w:t>innowacji</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lepszego</w:t>
      </w:r>
      <w:r w:rsidR="003B50ED">
        <w:rPr>
          <w:rFonts w:cstheme="minorHAnsi"/>
        </w:rPr>
        <w:t xml:space="preserve"> </w:t>
      </w:r>
      <w:r w:rsidRPr="00A26C26">
        <w:rPr>
          <w:rFonts w:cstheme="minorHAnsi"/>
        </w:rPr>
        <w:t>wykorzystania</w:t>
      </w:r>
      <w:r w:rsidR="003B50ED">
        <w:rPr>
          <w:rFonts w:cstheme="minorHAnsi"/>
        </w:rPr>
        <w:t xml:space="preserve"> </w:t>
      </w:r>
      <w:r w:rsidRPr="00A26C26">
        <w:rPr>
          <w:rFonts w:cstheme="minorHAnsi"/>
        </w:rPr>
        <w:t>wiedzy.</w:t>
      </w:r>
      <w:r w:rsidR="003B50ED">
        <w:rPr>
          <w:rFonts w:cstheme="minorHAnsi"/>
        </w:rPr>
        <w:t xml:space="preserve"> </w:t>
      </w:r>
      <w:r w:rsidRPr="00A26C26">
        <w:rPr>
          <w:rFonts w:cstheme="minorHAnsi"/>
        </w:rPr>
        <w:t>Tworzona</w:t>
      </w:r>
      <w:r w:rsidR="003B50ED">
        <w:rPr>
          <w:rFonts w:cstheme="minorHAnsi"/>
        </w:rPr>
        <w:t xml:space="preserve"> </w:t>
      </w:r>
      <w:r w:rsidRPr="00A26C26">
        <w:rPr>
          <w:rFonts w:cstheme="minorHAnsi"/>
        </w:rPr>
        <w:t>oddolna</w:t>
      </w:r>
      <w:r w:rsidR="003B50ED">
        <w:rPr>
          <w:rFonts w:cstheme="minorHAnsi"/>
        </w:rPr>
        <w:t xml:space="preserve"> </w:t>
      </w:r>
      <w:r w:rsidRPr="00A26C26">
        <w:rPr>
          <w:rFonts w:cstheme="minorHAnsi"/>
        </w:rPr>
        <w:t>koncepcja</w:t>
      </w:r>
      <w:r w:rsidR="003B50ED">
        <w:rPr>
          <w:rFonts w:cstheme="minorHAnsi"/>
        </w:rPr>
        <w:t xml:space="preserve"> </w:t>
      </w:r>
      <w:r w:rsidRPr="00A26C26">
        <w:rPr>
          <w:rFonts w:cstheme="minorHAnsi"/>
        </w:rPr>
        <w:t>rozwoju</w:t>
      </w:r>
      <w:r w:rsidR="003B50ED">
        <w:rPr>
          <w:rFonts w:cstheme="minorHAnsi"/>
        </w:rPr>
        <w:t xml:space="preserve"> </w:t>
      </w:r>
      <w:r w:rsidRPr="00A26C26">
        <w:rPr>
          <w:rFonts w:cstheme="minorHAnsi"/>
        </w:rPr>
        <w:t>lokalnego</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skali</w:t>
      </w:r>
      <w:r w:rsidR="003B50ED">
        <w:rPr>
          <w:rFonts w:cstheme="minorHAnsi"/>
        </w:rPr>
        <w:t xml:space="preserve"> </w:t>
      </w:r>
      <w:r w:rsidRPr="00A26C26">
        <w:rPr>
          <w:rFonts w:cstheme="minorHAnsi"/>
        </w:rPr>
        <w:t>mikro</w:t>
      </w:r>
      <w:r w:rsidR="003B50ED">
        <w:rPr>
          <w:rFonts w:cstheme="minorHAnsi"/>
        </w:rPr>
        <w:t xml:space="preserve"> </w:t>
      </w:r>
      <w:r w:rsidRPr="00A26C26">
        <w:rPr>
          <w:rFonts w:cstheme="minorHAnsi"/>
        </w:rPr>
        <w:t>odnosić</w:t>
      </w:r>
      <w:r w:rsidR="003B50ED">
        <w:rPr>
          <w:rFonts w:cstheme="minorHAnsi"/>
        </w:rPr>
        <w:t xml:space="preserve"> </w:t>
      </w:r>
      <w:r w:rsidRPr="00A26C26">
        <w:rPr>
          <w:rFonts w:cstheme="minorHAnsi"/>
        </w:rPr>
        <w:t>się</w:t>
      </w:r>
      <w:r w:rsidR="003B50ED">
        <w:rPr>
          <w:rFonts w:cstheme="minorHAnsi"/>
        </w:rPr>
        <w:t xml:space="preserve"> </w:t>
      </w:r>
      <w:r w:rsidRPr="00A26C26">
        <w:rPr>
          <w:rFonts w:cstheme="minorHAnsi"/>
        </w:rPr>
        <w:t>będzie</w:t>
      </w:r>
      <w:r w:rsidR="003B50ED">
        <w:rPr>
          <w:rFonts w:cstheme="minorHAnsi"/>
        </w:rPr>
        <w:t xml:space="preserve"> </w:t>
      </w:r>
      <w:r w:rsidRPr="00A26C26">
        <w:rPr>
          <w:rFonts w:cstheme="minorHAnsi"/>
        </w:rPr>
        <w:t>do</w:t>
      </w:r>
      <w:r w:rsidR="003B50ED">
        <w:rPr>
          <w:rFonts w:cstheme="minorHAnsi"/>
        </w:rPr>
        <w:t xml:space="preserve"> </w:t>
      </w:r>
      <w:r w:rsidRPr="00A26C26">
        <w:rPr>
          <w:rFonts w:cstheme="minorHAnsi"/>
        </w:rPr>
        <w:t>obszarów</w:t>
      </w:r>
      <w:r w:rsidR="003B50ED">
        <w:rPr>
          <w:rFonts w:cstheme="minorHAnsi"/>
        </w:rPr>
        <w:t xml:space="preserve"> </w:t>
      </w:r>
      <w:r w:rsidRPr="00A26C26">
        <w:rPr>
          <w:rFonts w:cstheme="minorHAnsi"/>
        </w:rPr>
        <w:t>wiejskich</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społeczności,</w:t>
      </w:r>
      <w:r w:rsidR="003B50ED">
        <w:rPr>
          <w:rFonts w:cstheme="minorHAnsi"/>
        </w:rPr>
        <w:t xml:space="preserve"> </w:t>
      </w:r>
      <w:r w:rsidRPr="00A26C26">
        <w:rPr>
          <w:rFonts w:cstheme="minorHAnsi"/>
        </w:rPr>
        <w:t>które</w:t>
      </w:r>
      <w:r w:rsidR="003B50ED">
        <w:rPr>
          <w:rFonts w:cstheme="minorHAnsi"/>
        </w:rPr>
        <w:t xml:space="preserve"> </w:t>
      </w:r>
      <w:r w:rsidRPr="00A26C26">
        <w:rPr>
          <w:rFonts w:cstheme="minorHAnsi"/>
        </w:rPr>
        <w:lastRenderedPageBreak/>
        <w:t>wykorzystają</w:t>
      </w:r>
      <w:r w:rsidR="003B50ED">
        <w:rPr>
          <w:rFonts w:cstheme="minorHAnsi"/>
        </w:rPr>
        <w:t xml:space="preserve"> </w:t>
      </w:r>
      <w:r w:rsidRPr="00A26C26">
        <w:rPr>
          <w:rFonts w:cstheme="minorHAnsi"/>
        </w:rPr>
        <w:t>swoje</w:t>
      </w:r>
      <w:r w:rsidR="003B50ED">
        <w:rPr>
          <w:rFonts w:cstheme="minorHAnsi"/>
        </w:rPr>
        <w:t xml:space="preserve"> </w:t>
      </w:r>
      <w:r w:rsidRPr="00A26C26">
        <w:rPr>
          <w:rFonts w:cstheme="minorHAnsi"/>
        </w:rPr>
        <w:t>istniejące</w:t>
      </w:r>
      <w:r w:rsidR="003B50ED">
        <w:rPr>
          <w:rFonts w:cstheme="minorHAnsi"/>
        </w:rPr>
        <w:t xml:space="preserve"> </w:t>
      </w:r>
      <w:r w:rsidRPr="00A26C26">
        <w:rPr>
          <w:rFonts w:cstheme="minorHAnsi"/>
        </w:rPr>
        <w:t>zasoby</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majątek</w:t>
      </w:r>
      <w:r w:rsidR="003B50ED">
        <w:rPr>
          <w:rFonts w:cstheme="minorHAnsi"/>
        </w:rPr>
        <w:t xml:space="preserve"> </w:t>
      </w:r>
      <w:r w:rsidRPr="00A26C26">
        <w:rPr>
          <w:rFonts w:cstheme="minorHAnsi"/>
        </w:rPr>
        <w:t>oraz</w:t>
      </w:r>
      <w:r w:rsidR="003B50ED">
        <w:rPr>
          <w:rFonts w:cstheme="minorHAnsi"/>
        </w:rPr>
        <w:t xml:space="preserve"> </w:t>
      </w:r>
      <w:r w:rsidRPr="00A26C26">
        <w:rPr>
          <w:rFonts w:cstheme="minorHAnsi"/>
        </w:rPr>
        <w:t>określą</w:t>
      </w:r>
      <w:r w:rsidR="003B50ED">
        <w:rPr>
          <w:rFonts w:cstheme="minorHAnsi"/>
        </w:rPr>
        <w:t xml:space="preserve"> </w:t>
      </w:r>
      <w:r w:rsidRPr="00A26C26">
        <w:rPr>
          <w:rFonts w:cstheme="minorHAnsi"/>
        </w:rPr>
        <w:t>rozwój</w:t>
      </w:r>
      <w:r w:rsidR="003B50ED">
        <w:rPr>
          <w:rFonts w:cstheme="minorHAnsi"/>
        </w:rPr>
        <w:t xml:space="preserve"> </w:t>
      </w:r>
      <w:r w:rsidRPr="00A26C26">
        <w:rPr>
          <w:rFonts w:cstheme="minorHAnsi"/>
        </w:rPr>
        <w:t>nowych</w:t>
      </w:r>
      <w:r w:rsidR="003B50ED">
        <w:rPr>
          <w:rFonts w:cstheme="minorHAnsi"/>
        </w:rPr>
        <w:t xml:space="preserve"> </w:t>
      </w:r>
      <w:r w:rsidRPr="00A26C26">
        <w:rPr>
          <w:rFonts w:cstheme="minorHAnsi"/>
        </w:rPr>
        <w:t>możliwości.</w:t>
      </w:r>
      <w:r w:rsidR="003B50ED">
        <w:rPr>
          <w:rFonts w:cstheme="minorHAnsi"/>
        </w:rPr>
        <w:t xml:space="preserve"> </w:t>
      </w:r>
      <w:r w:rsidRPr="00A26C26">
        <w:rPr>
          <w:rFonts w:cstheme="minorHAnsi"/>
        </w:rPr>
        <w:t>Cały</w:t>
      </w:r>
      <w:r w:rsidR="003B50ED">
        <w:rPr>
          <w:rFonts w:cstheme="minorHAnsi"/>
        </w:rPr>
        <w:t xml:space="preserve"> </w:t>
      </w:r>
      <w:r w:rsidRPr="00A26C26">
        <w:rPr>
          <w:rFonts w:cstheme="minorHAnsi"/>
        </w:rPr>
        <w:t>postęp</w:t>
      </w:r>
      <w:r w:rsidR="003B50ED">
        <w:rPr>
          <w:rFonts w:cstheme="minorHAnsi"/>
        </w:rPr>
        <w:t xml:space="preserve"> </w:t>
      </w:r>
      <w:r w:rsidRPr="00A26C26">
        <w:rPr>
          <w:rFonts w:cstheme="minorHAnsi"/>
        </w:rPr>
        <w:t>technologiczny</w:t>
      </w:r>
      <w:r w:rsidR="003B50ED">
        <w:rPr>
          <w:rFonts w:cstheme="minorHAnsi"/>
        </w:rPr>
        <w:t xml:space="preserve"> </w:t>
      </w:r>
      <w:r w:rsidRPr="00A26C26">
        <w:rPr>
          <w:rFonts w:cstheme="minorHAnsi"/>
        </w:rPr>
        <w:t>ma</w:t>
      </w:r>
      <w:r w:rsidR="003B50ED">
        <w:rPr>
          <w:rFonts w:cstheme="minorHAnsi"/>
        </w:rPr>
        <w:t xml:space="preserve"> </w:t>
      </w:r>
      <w:r w:rsidRPr="00A26C26">
        <w:rPr>
          <w:rFonts w:cstheme="minorHAnsi"/>
        </w:rPr>
        <w:t>szansę</w:t>
      </w:r>
      <w:r w:rsidR="003B50ED">
        <w:rPr>
          <w:rFonts w:cstheme="minorHAnsi"/>
        </w:rPr>
        <w:t xml:space="preserve"> </w:t>
      </w:r>
      <w:r w:rsidRPr="00A26C26">
        <w:rPr>
          <w:rFonts w:cstheme="minorHAnsi"/>
        </w:rPr>
        <w:t>stworzyć</w:t>
      </w:r>
      <w:r w:rsidR="003B50ED">
        <w:rPr>
          <w:rFonts w:cstheme="minorHAnsi"/>
        </w:rPr>
        <w:t xml:space="preserve"> </w:t>
      </w:r>
      <w:r w:rsidRPr="00A26C26">
        <w:rPr>
          <w:rFonts w:cstheme="minorHAnsi"/>
        </w:rPr>
        <w:t>nowe</w:t>
      </w:r>
      <w:r w:rsidR="003B50ED">
        <w:rPr>
          <w:rFonts w:cstheme="minorHAnsi"/>
        </w:rPr>
        <w:t xml:space="preserve"> </w:t>
      </w:r>
      <w:r w:rsidRPr="00A26C26">
        <w:rPr>
          <w:rFonts w:cstheme="minorHAnsi"/>
        </w:rPr>
        <w:t>możliwości</w:t>
      </w:r>
      <w:r w:rsidR="003B50ED">
        <w:rPr>
          <w:rFonts w:cstheme="minorHAnsi"/>
        </w:rPr>
        <w:t xml:space="preserve"> </w:t>
      </w:r>
      <w:r w:rsidRPr="00A26C26">
        <w:rPr>
          <w:rFonts w:cstheme="minorHAnsi"/>
        </w:rPr>
        <w:t>dla</w:t>
      </w:r>
      <w:r w:rsidR="003B50ED">
        <w:rPr>
          <w:rFonts w:cstheme="minorHAnsi"/>
        </w:rPr>
        <w:t xml:space="preserve"> </w:t>
      </w:r>
      <w:r w:rsidRPr="00A26C26">
        <w:rPr>
          <w:rFonts w:cstheme="minorHAnsi"/>
        </w:rPr>
        <w:t>lokalnych</w:t>
      </w:r>
      <w:r w:rsidR="003B50ED">
        <w:rPr>
          <w:rFonts w:cstheme="minorHAnsi"/>
        </w:rPr>
        <w:t xml:space="preserve"> </w:t>
      </w:r>
      <w:r w:rsidRPr="00A26C26">
        <w:rPr>
          <w:rFonts w:cstheme="minorHAnsi"/>
        </w:rPr>
        <w:t>przedsiębiorców,</w:t>
      </w:r>
      <w:r w:rsidR="003B50ED">
        <w:rPr>
          <w:rFonts w:cstheme="minorHAnsi"/>
        </w:rPr>
        <w:t xml:space="preserve"> </w:t>
      </w:r>
      <w:r w:rsidRPr="00A26C26">
        <w:rPr>
          <w:rFonts w:cstheme="minorHAnsi"/>
        </w:rPr>
        <w:t>poprawić</w:t>
      </w:r>
      <w:r w:rsidR="003B50ED">
        <w:rPr>
          <w:rFonts w:cstheme="minorHAnsi"/>
        </w:rPr>
        <w:t xml:space="preserve"> </w:t>
      </w:r>
      <w:r w:rsidRPr="00A26C26">
        <w:rPr>
          <w:rFonts w:cstheme="minorHAnsi"/>
        </w:rPr>
        <w:t>świadczone</w:t>
      </w:r>
      <w:r w:rsidR="003B50ED">
        <w:rPr>
          <w:rFonts w:cstheme="minorHAnsi"/>
        </w:rPr>
        <w:t xml:space="preserve"> </w:t>
      </w:r>
      <w:r w:rsidRPr="00A26C26">
        <w:rPr>
          <w:rFonts w:cstheme="minorHAnsi"/>
        </w:rPr>
        <w:t>usługi</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dostęp</w:t>
      </w:r>
      <w:r w:rsidR="003B50ED">
        <w:rPr>
          <w:rFonts w:cstheme="minorHAnsi"/>
        </w:rPr>
        <w:t xml:space="preserve"> </w:t>
      </w:r>
      <w:r w:rsidRPr="00A26C26">
        <w:rPr>
          <w:rFonts w:cstheme="minorHAnsi"/>
        </w:rPr>
        <w:t>do</w:t>
      </w:r>
      <w:r w:rsidR="003B50ED">
        <w:rPr>
          <w:rFonts w:cstheme="minorHAnsi"/>
        </w:rPr>
        <w:t xml:space="preserve"> </w:t>
      </w:r>
      <w:r w:rsidRPr="00A26C26">
        <w:rPr>
          <w:rFonts w:cstheme="minorHAnsi"/>
        </w:rPr>
        <w:t>nich</w:t>
      </w:r>
      <w:r w:rsidR="003B50ED">
        <w:rPr>
          <w:rFonts w:cstheme="minorHAnsi"/>
        </w:rPr>
        <w:t xml:space="preserve"> </w:t>
      </w:r>
      <w:r w:rsidRPr="00A26C26">
        <w:rPr>
          <w:rFonts w:cstheme="minorHAnsi"/>
        </w:rPr>
        <w:t>oraz</w:t>
      </w:r>
      <w:r w:rsidR="003B50ED">
        <w:rPr>
          <w:rFonts w:cstheme="minorHAnsi"/>
        </w:rPr>
        <w:t xml:space="preserve"> </w:t>
      </w:r>
      <w:r w:rsidRPr="00A26C26">
        <w:rPr>
          <w:rFonts w:cstheme="minorHAnsi"/>
        </w:rPr>
        <w:t>wzmocnić</w:t>
      </w:r>
      <w:r w:rsidR="003B50ED">
        <w:rPr>
          <w:rFonts w:cstheme="minorHAnsi"/>
        </w:rPr>
        <w:t xml:space="preserve"> </w:t>
      </w:r>
      <w:r w:rsidRPr="00A26C26">
        <w:rPr>
          <w:rFonts w:cstheme="minorHAnsi"/>
        </w:rPr>
        <w:t>społeczeństwo.</w:t>
      </w:r>
    </w:p>
    <w:p w14:paraId="18C3E533" w14:textId="3F736226" w:rsidR="00224658" w:rsidRPr="00A26C26" w:rsidRDefault="00224658" w:rsidP="00A26C26">
      <w:pPr>
        <w:spacing w:line="276" w:lineRule="auto"/>
        <w:ind w:firstLine="284"/>
        <w:jc w:val="both"/>
        <w:rPr>
          <w:rFonts w:cstheme="minorHAnsi"/>
        </w:rPr>
      </w:pPr>
      <w:r w:rsidRPr="00A26C26">
        <w:rPr>
          <w:rFonts w:cstheme="minorHAnsi"/>
        </w:rPr>
        <w:t>Rozwiązaniem</w:t>
      </w:r>
      <w:r w:rsidR="003B50ED">
        <w:rPr>
          <w:rFonts w:cstheme="minorHAnsi"/>
        </w:rPr>
        <w:t xml:space="preserve"> </w:t>
      </w:r>
      <w:r w:rsidRPr="00A26C26">
        <w:rPr>
          <w:rFonts w:cstheme="minorHAnsi"/>
        </w:rPr>
        <w:t>wynikających</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diagnozy</w:t>
      </w:r>
      <w:r w:rsidR="003B50ED">
        <w:rPr>
          <w:rFonts w:cstheme="minorHAnsi"/>
        </w:rPr>
        <w:t xml:space="preserve"> </w:t>
      </w:r>
      <w:r w:rsidRPr="00A26C26">
        <w:rPr>
          <w:rFonts w:cstheme="minorHAnsi"/>
        </w:rPr>
        <w:t>problemów</w:t>
      </w:r>
      <w:r w:rsidR="003B50ED">
        <w:rPr>
          <w:rFonts w:cstheme="minorHAnsi"/>
        </w:rPr>
        <w:t xml:space="preserve"> </w:t>
      </w:r>
      <w:r w:rsidRPr="00A26C26">
        <w:rPr>
          <w:rFonts w:cstheme="minorHAnsi"/>
        </w:rPr>
        <w:t>będzie</w:t>
      </w:r>
      <w:r w:rsidR="003B50ED">
        <w:rPr>
          <w:rFonts w:cstheme="minorHAnsi"/>
        </w:rPr>
        <w:t xml:space="preserve"> </w:t>
      </w:r>
      <w:r w:rsidRPr="00A26C26">
        <w:rPr>
          <w:rFonts w:cstheme="minorHAnsi"/>
        </w:rPr>
        <w:t>opracowanie</w:t>
      </w:r>
      <w:r w:rsidR="003B50ED">
        <w:rPr>
          <w:rFonts w:cstheme="minorHAnsi"/>
        </w:rPr>
        <w:t xml:space="preserve"> </w:t>
      </w:r>
      <w:r w:rsidRPr="00A26C26">
        <w:rPr>
          <w:rFonts w:cstheme="minorHAnsi"/>
        </w:rPr>
        <w:t>oddolnych</w:t>
      </w:r>
      <w:r w:rsidR="003B50ED">
        <w:rPr>
          <w:rFonts w:cstheme="minorHAnsi"/>
        </w:rPr>
        <w:t xml:space="preserve"> </w:t>
      </w:r>
      <w:r w:rsidRPr="00A26C26">
        <w:rPr>
          <w:rFonts w:cstheme="minorHAnsi"/>
        </w:rPr>
        <w:t>koncepcji</w:t>
      </w:r>
      <w:r w:rsidR="003B50ED">
        <w:rPr>
          <w:rFonts w:cstheme="minorHAnsi"/>
        </w:rPr>
        <w:t xml:space="preserve"> </w:t>
      </w:r>
      <w:r w:rsidRPr="00A26C26">
        <w:rPr>
          <w:rFonts w:cstheme="minorHAnsi"/>
        </w:rPr>
        <w:t>rozwoju</w:t>
      </w:r>
      <w:r w:rsidR="003B50ED">
        <w:rPr>
          <w:rFonts w:cstheme="minorHAnsi"/>
        </w:rPr>
        <w:t xml:space="preserve"> </w:t>
      </w:r>
      <w:r w:rsidRPr="00A26C26">
        <w:rPr>
          <w:rFonts w:cstheme="minorHAnsi"/>
        </w:rPr>
        <w:t>lokalnego</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skali</w:t>
      </w:r>
      <w:r w:rsidR="003B50ED">
        <w:rPr>
          <w:rFonts w:cstheme="minorHAnsi"/>
        </w:rPr>
        <w:t xml:space="preserve"> </w:t>
      </w:r>
      <w:r w:rsidRPr="00A26C26">
        <w:rPr>
          <w:rFonts w:cstheme="minorHAnsi"/>
        </w:rPr>
        <w:t>mikro,</w:t>
      </w:r>
      <w:r w:rsidR="003B50ED">
        <w:rPr>
          <w:rFonts w:cstheme="minorHAnsi"/>
        </w:rPr>
        <w:t xml:space="preserve"> </w:t>
      </w:r>
      <w:r w:rsidRPr="00A26C26">
        <w:rPr>
          <w:rFonts w:cstheme="minorHAnsi"/>
        </w:rPr>
        <w:t>tzw.</w:t>
      </w:r>
      <w:r w:rsidR="003B50ED">
        <w:rPr>
          <w:rFonts w:cstheme="minorHAnsi"/>
        </w:rPr>
        <w:t xml:space="preserve"> </w:t>
      </w:r>
      <w:r w:rsidRPr="00A26C26">
        <w:rPr>
          <w:rFonts w:cstheme="minorHAnsi"/>
        </w:rPr>
        <w:t>Inteligentnych</w:t>
      </w:r>
      <w:r w:rsidR="003B50ED">
        <w:rPr>
          <w:rFonts w:cstheme="minorHAnsi"/>
        </w:rPr>
        <w:t xml:space="preserve"> </w:t>
      </w:r>
      <w:r w:rsidRPr="00A26C26">
        <w:rPr>
          <w:rFonts w:cstheme="minorHAnsi"/>
        </w:rPr>
        <w:t>wiosek.</w:t>
      </w:r>
      <w:r w:rsidR="003B50ED">
        <w:rPr>
          <w:rFonts w:cstheme="minorHAnsi"/>
        </w:rPr>
        <w:t xml:space="preserve"> </w:t>
      </w:r>
      <w:r w:rsidRPr="00A26C26">
        <w:rPr>
          <w:rFonts w:cstheme="minorHAnsi"/>
        </w:rPr>
        <w:t>Inteligentne</w:t>
      </w:r>
      <w:r w:rsidR="003B50ED">
        <w:rPr>
          <w:rFonts w:cstheme="minorHAnsi"/>
        </w:rPr>
        <w:t xml:space="preserve"> </w:t>
      </w:r>
      <w:r w:rsidRPr="00A26C26">
        <w:rPr>
          <w:rFonts w:cstheme="minorHAnsi"/>
        </w:rPr>
        <w:t>wioski</w:t>
      </w:r>
      <w:r w:rsidR="003B50ED">
        <w:rPr>
          <w:rFonts w:cstheme="minorHAnsi"/>
        </w:rPr>
        <w:t xml:space="preserve"> </w:t>
      </w:r>
      <w:r w:rsidRPr="00A26C26">
        <w:rPr>
          <w:rFonts w:cstheme="minorHAnsi"/>
        </w:rPr>
        <w:t>to</w:t>
      </w:r>
      <w:r w:rsidR="003B50ED">
        <w:rPr>
          <w:rFonts w:cstheme="minorHAnsi"/>
        </w:rPr>
        <w:t xml:space="preserve"> </w:t>
      </w:r>
      <w:r w:rsidRPr="00A26C26">
        <w:rPr>
          <w:rFonts w:cstheme="minorHAnsi"/>
        </w:rPr>
        <w:t>społeczności</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obszarach</w:t>
      </w:r>
      <w:r w:rsidR="003B50ED">
        <w:rPr>
          <w:rFonts w:cstheme="minorHAnsi"/>
        </w:rPr>
        <w:t xml:space="preserve"> </w:t>
      </w:r>
      <w:r w:rsidRPr="00A26C26">
        <w:rPr>
          <w:rFonts w:cstheme="minorHAnsi"/>
        </w:rPr>
        <w:t>wiejskich,</w:t>
      </w:r>
      <w:r w:rsidR="003B50ED">
        <w:rPr>
          <w:rFonts w:cstheme="minorHAnsi"/>
        </w:rPr>
        <w:t xml:space="preserve"> </w:t>
      </w:r>
      <w:r w:rsidRPr="00A26C26">
        <w:rPr>
          <w:rFonts w:cstheme="minorHAnsi"/>
        </w:rPr>
        <w:t>które</w:t>
      </w:r>
      <w:r w:rsidR="003B50ED">
        <w:rPr>
          <w:rFonts w:cstheme="minorHAnsi"/>
        </w:rPr>
        <w:t xml:space="preserve"> </w:t>
      </w:r>
      <w:r w:rsidRPr="00A26C26">
        <w:rPr>
          <w:rFonts w:cstheme="minorHAnsi"/>
        </w:rPr>
        <w:t>stosują</w:t>
      </w:r>
      <w:r w:rsidR="003B50ED">
        <w:rPr>
          <w:rFonts w:cstheme="minorHAnsi"/>
        </w:rPr>
        <w:t xml:space="preserve"> </w:t>
      </w:r>
      <w:r w:rsidRPr="00A26C26">
        <w:rPr>
          <w:rFonts w:cstheme="minorHAnsi"/>
        </w:rPr>
        <w:t>innowacyjne</w:t>
      </w:r>
      <w:r w:rsidR="003B50ED">
        <w:rPr>
          <w:rFonts w:cstheme="minorHAnsi"/>
        </w:rPr>
        <w:t xml:space="preserve"> </w:t>
      </w:r>
      <w:r w:rsidRPr="00A26C26">
        <w:rPr>
          <w:rFonts w:cstheme="minorHAnsi"/>
        </w:rPr>
        <w:t>rozwiązania,</w:t>
      </w:r>
      <w:r w:rsidR="003B50ED">
        <w:rPr>
          <w:rFonts w:cstheme="minorHAnsi"/>
        </w:rPr>
        <w:t xml:space="preserve"> </w:t>
      </w:r>
      <w:r w:rsidRPr="00A26C26">
        <w:rPr>
          <w:rFonts w:cstheme="minorHAnsi"/>
        </w:rPr>
        <w:t>aby</w:t>
      </w:r>
      <w:r w:rsidR="003B50ED">
        <w:rPr>
          <w:rFonts w:cstheme="minorHAnsi"/>
        </w:rPr>
        <w:t xml:space="preserve"> </w:t>
      </w:r>
      <w:r w:rsidRPr="00A26C26">
        <w:rPr>
          <w:rFonts w:cstheme="minorHAnsi"/>
        </w:rPr>
        <w:t>poprawić</w:t>
      </w:r>
      <w:r w:rsidR="003B50ED">
        <w:rPr>
          <w:rFonts w:cstheme="minorHAnsi"/>
        </w:rPr>
        <w:t xml:space="preserve"> </w:t>
      </w:r>
      <w:r w:rsidRPr="00A26C26">
        <w:rPr>
          <w:rFonts w:cstheme="minorHAnsi"/>
        </w:rPr>
        <w:t>jakość</w:t>
      </w:r>
      <w:r w:rsidR="003B50ED">
        <w:rPr>
          <w:rFonts w:cstheme="minorHAnsi"/>
        </w:rPr>
        <w:t xml:space="preserve"> </w:t>
      </w:r>
      <w:r w:rsidRPr="00A26C26">
        <w:rPr>
          <w:rFonts w:cstheme="minorHAnsi"/>
        </w:rPr>
        <w:t>swojego</w:t>
      </w:r>
      <w:r w:rsidR="003B50ED">
        <w:rPr>
          <w:rFonts w:cstheme="minorHAnsi"/>
        </w:rPr>
        <w:t xml:space="preserve"> </w:t>
      </w:r>
      <w:r w:rsidRPr="00A26C26">
        <w:rPr>
          <w:rFonts w:cstheme="minorHAnsi"/>
        </w:rPr>
        <w:t>życia,</w:t>
      </w:r>
      <w:r w:rsidR="003B50ED">
        <w:rPr>
          <w:rFonts w:cstheme="minorHAnsi"/>
        </w:rPr>
        <w:t xml:space="preserve"> </w:t>
      </w:r>
      <w:r w:rsidRPr="00A26C26">
        <w:rPr>
          <w:rFonts w:cstheme="minorHAnsi"/>
        </w:rPr>
        <w:t>wykorzystując</w:t>
      </w:r>
      <w:r w:rsidR="003B50ED">
        <w:rPr>
          <w:rFonts w:cstheme="minorHAnsi"/>
        </w:rPr>
        <w:t xml:space="preserve"> </w:t>
      </w:r>
      <w:r w:rsidRPr="00A26C26">
        <w:rPr>
          <w:rFonts w:cstheme="minorHAnsi"/>
        </w:rPr>
        <w:t>lokalne</w:t>
      </w:r>
      <w:r w:rsidR="003B50ED">
        <w:rPr>
          <w:rFonts w:cstheme="minorHAnsi"/>
        </w:rPr>
        <w:t xml:space="preserve"> </w:t>
      </w:r>
      <w:r w:rsidRPr="00A26C26">
        <w:rPr>
          <w:rFonts w:cstheme="minorHAnsi"/>
        </w:rPr>
        <w:t>mocne</w:t>
      </w:r>
      <w:r w:rsidR="003B50ED">
        <w:rPr>
          <w:rFonts w:cstheme="minorHAnsi"/>
        </w:rPr>
        <w:t xml:space="preserve"> </w:t>
      </w:r>
      <w:r w:rsidRPr="00A26C26">
        <w:rPr>
          <w:rFonts w:cstheme="minorHAnsi"/>
        </w:rPr>
        <w:t>strony</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szanse.</w:t>
      </w:r>
      <w:r w:rsidR="003B50ED">
        <w:rPr>
          <w:rFonts w:cstheme="minorHAnsi"/>
        </w:rPr>
        <w:t xml:space="preserve"> </w:t>
      </w:r>
      <w:r w:rsidRPr="00A26C26">
        <w:rPr>
          <w:rFonts w:cstheme="minorHAnsi"/>
        </w:rPr>
        <w:t>Opierają</w:t>
      </w:r>
      <w:r w:rsidR="003B50ED">
        <w:rPr>
          <w:rFonts w:cstheme="minorHAnsi"/>
        </w:rPr>
        <w:t xml:space="preserve"> </w:t>
      </w:r>
      <w:r w:rsidRPr="00A26C26">
        <w:rPr>
          <w:rFonts w:cstheme="minorHAnsi"/>
        </w:rPr>
        <w:t>się</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podejściu</w:t>
      </w:r>
      <w:r w:rsidR="003B50ED">
        <w:rPr>
          <w:rFonts w:cstheme="minorHAnsi"/>
        </w:rPr>
        <w:t xml:space="preserve"> </w:t>
      </w:r>
      <w:r w:rsidRPr="00A26C26">
        <w:rPr>
          <w:rFonts w:cstheme="minorHAnsi"/>
        </w:rPr>
        <w:t>partycypacyjnym</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celu</w:t>
      </w:r>
      <w:r w:rsidR="003B50ED">
        <w:rPr>
          <w:rFonts w:cstheme="minorHAnsi"/>
        </w:rPr>
        <w:t xml:space="preserve"> </w:t>
      </w:r>
      <w:r w:rsidRPr="00A26C26">
        <w:rPr>
          <w:rFonts w:cstheme="minorHAnsi"/>
        </w:rPr>
        <w:t>opracowania</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wdrażania</w:t>
      </w:r>
      <w:r w:rsidR="003B50ED">
        <w:rPr>
          <w:rFonts w:cstheme="minorHAnsi"/>
        </w:rPr>
        <w:t xml:space="preserve"> </w:t>
      </w:r>
      <w:r w:rsidRPr="00A26C26">
        <w:rPr>
          <w:rFonts w:cstheme="minorHAnsi"/>
        </w:rPr>
        <w:t>swojej</w:t>
      </w:r>
      <w:r w:rsidR="003B50ED">
        <w:rPr>
          <w:rFonts w:cstheme="minorHAnsi"/>
        </w:rPr>
        <w:t xml:space="preserve"> </w:t>
      </w:r>
      <w:r w:rsidRPr="00A26C26">
        <w:rPr>
          <w:rFonts w:cstheme="minorHAnsi"/>
        </w:rPr>
        <w:t>strategii</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rzecz</w:t>
      </w:r>
      <w:r w:rsidR="003B50ED">
        <w:rPr>
          <w:rFonts w:cstheme="minorHAnsi"/>
        </w:rPr>
        <w:t xml:space="preserve"> </w:t>
      </w:r>
      <w:r w:rsidRPr="00A26C26">
        <w:rPr>
          <w:rFonts w:cstheme="minorHAnsi"/>
        </w:rPr>
        <w:t>poprawy</w:t>
      </w:r>
      <w:r w:rsidR="003B50ED">
        <w:rPr>
          <w:rFonts w:cstheme="minorHAnsi"/>
        </w:rPr>
        <w:t xml:space="preserve"> </w:t>
      </w:r>
      <w:r w:rsidRPr="00A26C26">
        <w:rPr>
          <w:rFonts w:cstheme="minorHAnsi"/>
        </w:rPr>
        <w:t>warunków</w:t>
      </w:r>
      <w:r w:rsidR="003B50ED">
        <w:rPr>
          <w:rFonts w:cstheme="minorHAnsi"/>
        </w:rPr>
        <w:t xml:space="preserve"> </w:t>
      </w:r>
      <w:r w:rsidRPr="00A26C26">
        <w:rPr>
          <w:rFonts w:cstheme="minorHAnsi"/>
        </w:rPr>
        <w:t>ekonomicznych,</w:t>
      </w:r>
      <w:r w:rsidR="003B50ED">
        <w:rPr>
          <w:rFonts w:cstheme="minorHAnsi"/>
        </w:rPr>
        <w:t xml:space="preserve"> </w:t>
      </w:r>
      <w:r w:rsidRPr="00A26C26">
        <w:rPr>
          <w:rFonts w:cstheme="minorHAnsi"/>
        </w:rPr>
        <w:t>społecznych</w:t>
      </w:r>
      <w:r w:rsidR="003B50ED">
        <w:rPr>
          <w:rFonts w:cstheme="minorHAnsi"/>
        </w:rPr>
        <w:t xml:space="preserve"> </w:t>
      </w:r>
      <w:r w:rsidRPr="00A26C26">
        <w:rPr>
          <w:rFonts w:cstheme="minorHAnsi"/>
        </w:rPr>
        <w:t>i/lub</w:t>
      </w:r>
      <w:r w:rsidR="003B50ED">
        <w:rPr>
          <w:rFonts w:cstheme="minorHAnsi"/>
        </w:rPr>
        <w:t xml:space="preserve"> </w:t>
      </w:r>
      <w:r w:rsidRPr="00A26C26">
        <w:rPr>
          <w:rFonts w:cstheme="minorHAnsi"/>
        </w:rPr>
        <w:t>środowiskowych,</w:t>
      </w:r>
      <w:r w:rsidR="003B50ED">
        <w:rPr>
          <w:rFonts w:cstheme="minorHAnsi"/>
        </w:rPr>
        <w:t xml:space="preserve"> </w:t>
      </w:r>
      <w:r w:rsidRPr="00A26C26">
        <w:rPr>
          <w:rFonts w:cstheme="minorHAnsi"/>
        </w:rPr>
        <w:t>mobilizując</w:t>
      </w:r>
      <w:r w:rsidR="003B50ED">
        <w:rPr>
          <w:rFonts w:cstheme="minorHAnsi"/>
        </w:rPr>
        <w:t xml:space="preserve"> </w:t>
      </w:r>
      <w:r w:rsidRPr="00A26C26">
        <w:rPr>
          <w:rFonts w:cstheme="minorHAnsi"/>
        </w:rPr>
        <w:t>przy</w:t>
      </w:r>
      <w:r w:rsidR="003B50ED">
        <w:rPr>
          <w:rFonts w:cstheme="minorHAnsi"/>
        </w:rPr>
        <w:t xml:space="preserve"> </w:t>
      </w:r>
      <w:r w:rsidRPr="00A26C26">
        <w:rPr>
          <w:rFonts w:cstheme="minorHAnsi"/>
        </w:rPr>
        <w:t>tym</w:t>
      </w:r>
      <w:r w:rsidR="003B50ED">
        <w:rPr>
          <w:rFonts w:cstheme="minorHAnsi"/>
        </w:rPr>
        <w:t xml:space="preserve"> </w:t>
      </w:r>
      <w:r w:rsidRPr="00A26C26">
        <w:rPr>
          <w:rFonts w:cstheme="minorHAnsi"/>
        </w:rPr>
        <w:t>rozwiązania</w:t>
      </w:r>
      <w:r w:rsidR="003B50ED">
        <w:rPr>
          <w:rFonts w:cstheme="minorHAnsi"/>
        </w:rPr>
        <w:t xml:space="preserve"> </w:t>
      </w:r>
      <w:r w:rsidRPr="00A26C26">
        <w:rPr>
          <w:rFonts w:cstheme="minorHAnsi"/>
        </w:rPr>
        <w:t>oferowane</w:t>
      </w:r>
      <w:r w:rsidR="003B50ED">
        <w:rPr>
          <w:rFonts w:cstheme="minorHAnsi"/>
        </w:rPr>
        <w:t xml:space="preserve"> </w:t>
      </w:r>
      <w:r w:rsidRPr="00A26C26">
        <w:rPr>
          <w:rFonts w:cstheme="minorHAnsi"/>
        </w:rPr>
        <w:t>przez</w:t>
      </w:r>
      <w:r w:rsidR="003B50ED">
        <w:rPr>
          <w:rFonts w:cstheme="minorHAnsi"/>
        </w:rPr>
        <w:t xml:space="preserve"> </w:t>
      </w:r>
      <w:r w:rsidRPr="00A26C26">
        <w:rPr>
          <w:rFonts w:cstheme="minorHAnsi"/>
        </w:rPr>
        <w:t>technologie</w:t>
      </w:r>
      <w:r w:rsidR="003B50ED">
        <w:rPr>
          <w:rFonts w:cstheme="minorHAnsi"/>
        </w:rPr>
        <w:t xml:space="preserve"> </w:t>
      </w:r>
      <w:r w:rsidRPr="00A26C26">
        <w:rPr>
          <w:rFonts w:cstheme="minorHAnsi"/>
        </w:rPr>
        <w:t>cyfrowe.</w:t>
      </w:r>
      <w:r w:rsidR="003B50ED">
        <w:rPr>
          <w:rFonts w:cstheme="minorHAnsi"/>
        </w:rPr>
        <w:t xml:space="preserve"> </w:t>
      </w:r>
      <w:r w:rsidRPr="00A26C26">
        <w:rPr>
          <w:rFonts w:cstheme="minorHAnsi"/>
        </w:rPr>
        <w:t>Inteligentne</w:t>
      </w:r>
      <w:r w:rsidR="003B50ED">
        <w:rPr>
          <w:rFonts w:cstheme="minorHAnsi"/>
        </w:rPr>
        <w:t xml:space="preserve"> </w:t>
      </w:r>
      <w:r w:rsidRPr="00A26C26">
        <w:rPr>
          <w:rFonts w:cstheme="minorHAnsi"/>
        </w:rPr>
        <w:t>wioski</w:t>
      </w:r>
      <w:r w:rsidR="003B50ED">
        <w:rPr>
          <w:rFonts w:cstheme="minorHAnsi"/>
        </w:rPr>
        <w:t xml:space="preserve"> </w:t>
      </w:r>
      <w:r w:rsidRPr="00A26C26">
        <w:rPr>
          <w:rFonts w:cstheme="minorHAnsi"/>
        </w:rPr>
        <w:t>zaczynają</w:t>
      </w:r>
      <w:r w:rsidR="003B50ED">
        <w:rPr>
          <w:rFonts w:cstheme="minorHAnsi"/>
        </w:rPr>
        <w:t xml:space="preserve"> </w:t>
      </w:r>
      <w:r w:rsidRPr="00A26C26">
        <w:rPr>
          <w:rFonts w:cstheme="minorHAnsi"/>
        </w:rPr>
        <w:t>się</w:t>
      </w:r>
      <w:r w:rsidR="003B50ED">
        <w:rPr>
          <w:rFonts w:cstheme="minorHAnsi"/>
        </w:rPr>
        <w:t xml:space="preserve"> </w:t>
      </w:r>
      <w:r w:rsidRPr="00A26C26">
        <w:rPr>
          <w:rFonts w:cstheme="minorHAnsi"/>
        </w:rPr>
        <w:t>od</w:t>
      </w:r>
      <w:r w:rsidR="003B50ED">
        <w:rPr>
          <w:rFonts w:cstheme="minorHAnsi"/>
        </w:rPr>
        <w:t xml:space="preserve"> </w:t>
      </w:r>
      <w:r w:rsidRPr="00A26C26">
        <w:rPr>
          <w:rFonts w:cstheme="minorHAnsi"/>
        </w:rPr>
        <w:t>zorganizowania</w:t>
      </w:r>
      <w:r w:rsidR="003B50ED">
        <w:rPr>
          <w:rFonts w:cstheme="minorHAnsi"/>
        </w:rPr>
        <w:t xml:space="preserve"> </w:t>
      </w:r>
      <w:r w:rsidRPr="00A26C26">
        <w:rPr>
          <w:rFonts w:cstheme="minorHAnsi"/>
        </w:rPr>
        <w:t>się</w:t>
      </w:r>
      <w:r w:rsidR="003B50ED">
        <w:rPr>
          <w:rFonts w:cstheme="minorHAnsi"/>
        </w:rPr>
        <w:t xml:space="preserve"> </w:t>
      </w:r>
      <w:r w:rsidRPr="00A26C26">
        <w:rPr>
          <w:rFonts w:cstheme="minorHAnsi"/>
        </w:rPr>
        <w:t>lokalnych</w:t>
      </w:r>
      <w:r w:rsidR="003B50ED">
        <w:rPr>
          <w:rFonts w:cstheme="minorHAnsi"/>
        </w:rPr>
        <w:t xml:space="preserve"> </w:t>
      </w:r>
      <w:r w:rsidRPr="00A26C26">
        <w:rPr>
          <w:rFonts w:cstheme="minorHAnsi"/>
        </w:rPr>
        <w:t>mieszkańców</w:t>
      </w:r>
      <w:r w:rsidR="003B50ED">
        <w:rPr>
          <w:rFonts w:cstheme="minorHAnsi"/>
        </w:rPr>
        <w:t xml:space="preserve"> </w:t>
      </w:r>
      <w:r w:rsidRPr="00A26C26">
        <w:rPr>
          <w:rFonts w:cstheme="minorHAnsi"/>
        </w:rPr>
        <w:t>wokół</w:t>
      </w:r>
      <w:r w:rsidR="003B50ED">
        <w:rPr>
          <w:rFonts w:cstheme="minorHAnsi"/>
        </w:rPr>
        <w:t xml:space="preserve"> </w:t>
      </w:r>
      <w:r w:rsidRPr="00A26C26">
        <w:rPr>
          <w:rFonts w:cstheme="minorHAnsi"/>
        </w:rPr>
        <w:t>wspólnego</w:t>
      </w:r>
      <w:r w:rsidR="003B50ED">
        <w:rPr>
          <w:rFonts w:cstheme="minorHAnsi"/>
        </w:rPr>
        <w:t xml:space="preserve"> </w:t>
      </w:r>
      <w:r w:rsidRPr="00A26C26">
        <w:rPr>
          <w:rFonts w:cstheme="minorHAnsi"/>
        </w:rPr>
        <w:t>problemu</w:t>
      </w:r>
      <w:r w:rsidR="003B50ED">
        <w:rPr>
          <w:rFonts w:cstheme="minorHAnsi"/>
        </w:rPr>
        <w:t xml:space="preserve"> </w:t>
      </w:r>
      <w:r w:rsidRPr="00A26C26">
        <w:rPr>
          <w:rFonts w:cstheme="minorHAnsi"/>
        </w:rPr>
        <w:t>lub</w:t>
      </w:r>
      <w:r w:rsidR="003B50ED">
        <w:rPr>
          <w:rFonts w:cstheme="minorHAnsi"/>
        </w:rPr>
        <w:t xml:space="preserve"> </w:t>
      </w:r>
      <w:r w:rsidRPr="00A26C26">
        <w:rPr>
          <w:rFonts w:cstheme="minorHAnsi"/>
        </w:rPr>
        <w:t>wspólnej</w:t>
      </w:r>
      <w:r w:rsidR="003B50ED">
        <w:rPr>
          <w:rFonts w:cstheme="minorHAnsi"/>
        </w:rPr>
        <w:t xml:space="preserve"> </w:t>
      </w:r>
      <w:r w:rsidRPr="00A26C26">
        <w:rPr>
          <w:rFonts w:cstheme="minorHAnsi"/>
        </w:rPr>
        <w:t>wizji</w:t>
      </w:r>
      <w:r w:rsidR="003B50ED">
        <w:rPr>
          <w:rFonts w:cstheme="minorHAnsi"/>
        </w:rPr>
        <w:t xml:space="preserve"> </w:t>
      </w:r>
      <w:r w:rsidRPr="00A26C26">
        <w:rPr>
          <w:rFonts w:cstheme="minorHAnsi"/>
        </w:rPr>
        <w:t>realizacji</w:t>
      </w:r>
      <w:r w:rsidR="003B50ED">
        <w:rPr>
          <w:rFonts w:cstheme="minorHAnsi"/>
        </w:rPr>
        <w:t xml:space="preserve"> </w:t>
      </w:r>
      <w:r w:rsidRPr="00A26C26">
        <w:rPr>
          <w:rFonts w:cstheme="minorHAnsi"/>
        </w:rPr>
        <w:t>jakiejś</w:t>
      </w:r>
      <w:r w:rsidR="003B50ED">
        <w:rPr>
          <w:rFonts w:cstheme="minorHAnsi"/>
        </w:rPr>
        <w:t xml:space="preserve"> </w:t>
      </w:r>
      <w:r w:rsidRPr="00A26C26">
        <w:rPr>
          <w:rFonts w:cstheme="minorHAnsi"/>
        </w:rPr>
        <w:t>formy</w:t>
      </w:r>
      <w:r w:rsidR="003B50ED">
        <w:rPr>
          <w:rFonts w:cstheme="minorHAnsi"/>
        </w:rPr>
        <w:t xml:space="preserve"> </w:t>
      </w:r>
      <w:r w:rsidRPr="00A26C26">
        <w:rPr>
          <w:rFonts w:cstheme="minorHAnsi"/>
        </w:rPr>
        <w:t>„planu</w:t>
      </w:r>
      <w:r w:rsidR="003B50ED">
        <w:rPr>
          <w:rFonts w:cstheme="minorHAnsi"/>
        </w:rPr>
        <w:t xml:space="preserve"> </w:t>
      </w:r>
      <w:r w:rsidRPr="00A26C26">
        <w:rPr>
          <w:rFonts w:cstheme="minorHAnsi"/>
        </w:rPr>
        <w:t>działania”,</w:t>
      </w:r>
      <w:r w:rsidR="003B50ED">
        <w:rPr>
          <w:rFonts w:cstheme="minorHAnsi"/>
        </w:rPr>
        <w:t xml:space="preserve"> </w:t>
      </w:r>
      <w:r w:rsidRPr="00A26C26">
        <w:rPr>
          <w:rFonts w:cstheme="minorHAnsi"/>
        </w:rPr>
        <w:t>aby</w:t>
      </w:r>
      <w:r w:rsidR="003B50ED">
        <w:rPr>
          <w:rFonts w:cstheme="minorHAnsi"/>
        </w:rPr>
        <w:t xml:space="preserve"> </w:t>
      </w:r>
      <w:r w:rsidRPr="00A26C26">
        <w:rPr>
          <w:rFonts w:cstheme="minorHAnsi"/>
        </w:rPr>
        <w:t>osiągnąć</w:t>
      </w:r>
      <w:r w:rsidR="003B50ED">
        <w:rPr>
          <w:rFonts w:cstheme="minorHAnsi"/>
        </w:rPr>
        <w:t xml:space="preserve"> </w:t>
      </w:r>
      <w:r w:rsidRPr="00A26C26">
        <w:rPr>
          <w:rFonts w:cstheme="minorHAnsi"/>
        </w:rPr>
        <w:t>konkretny</w:t>
      </w:r>
      <w:r w:rsidR="003B50ED">
        <w:rPr>
          <w:rFonts w:cstheme="minorHAnsi"/>
        </w:rPr>
        <w:t xml:space="preserve"> </w:t>
      </w:r>
      <w:r w:rsidRPr="00A26C26">
        <w:rPr>
          <w:rFonts w:cstheme="minorHAnsi"/>
        </w:rPr>
        <w:t>cel.</w:t>
      </w:r>
      <w:r w:rsidR="003B50ED">
        <w:rPr>
          <w:rFonts w:cstheme="minorHAnsi"/>
        </w:rPr>
        <w:t xml:space="preserve"> </w:t>
      </w:r>
      <w:r w:rsidRPr="00A26C26">
        <w:rPr>
          <w:rFonts w:cstheme="minorHAnsi"/>
        </w:rPr>
        <w:t>Istotnym</w:t>
      </w:r>
      <w:r w:rsidR="003B50ED">
        <w:rPr>
          <w:rFonts w:cstheme="minorHAnsi"/>
        </w:rPr>
        <w:t xml:space="preserve"> </w:t>
      </w:r>
      <w:r w:rsidRPr="00A26C26">
        <w:rPr>
          <w:rFonts w:cstheme="minorHAnsi"/>
        </w:rPr>
        <w:t>więc</w:t>
      </w:r>
      <w:r w:rsidR="003B50ED">
        <w:rPr>
          <w:rFonts w:cstheme="minorHAnsi"/>
        </w:rPr>
        <w:t xml:space="preserve"> </w:t>
      </w:r>
      <w:r w:rsidRPr="00A26C26">
        <w:rPr>
          <w:rFonts w:cstheme="minorHAnsi"/>
        </w:rPr>
        <w:t>działaniem</w:t>
      </w:r>
      <w:r w:rsidR="003B50ED">
        <w:rPr>
          <w:rFonts w:cstheme="minorHAnsi"/>
        </w:rPr>
        <w:t xml:space="preserve"> </w:t>
      </w:r>
      <w:r w:rsidRPr="00A26C26">
        <w:rPr>
          <w:rFonts w:cstheme="minorHAnsi"/>
        </w:rPr>
        <w:t>wspierającym</w:t>
      </w:r>
      <w:r w:rsidR="003B50ED">
        <w:rPr>
          <w:rFonts w:cstheme="minorHAnsi"/>
        </w:rPr>
        <w:t xml:space="preserve"> </w:t>
      </w:r>
      <w:r w:rsidRPr="00A26C26">
        <w:rPr>
          <w:rFonts w:cstheme="minorHAnsi"/>
        </w:rPr>
        <w:t>mieszkańców</w:t>
      </w:r>
      <w:r w:rsidR="003B50ED">
        <w:rPr>
          <w:rFonts w:cstheme="minorHAnsi"/>
        </w:rPr>
        <w:t xml:space="preserve"> </w:t>
      </w:r>
      <w:r w:rsidRPr="00A26C26">
        <w:rPr>
          <w:rFonts w:cstheme="minorHAnsi"/>
        </w:rPr>
        <w:t>będzie</w:t>
      </w:r>
      <w:r w:rsidR="003B50ED">
        <w:rPr>
          <w:rFonts w:cstheme="minorHAnsi"/>
        </w:rPr>
        <w:t xml:space="preserve"> </w:t>
      </w:r>
      <w:r w:rsidRPr="00A26C26">
        <w:rPr>
          <w:rFonts w:cstheme="minorHAnsi"/>
        </w:rPr>
        <w:t>opracowanie</w:t>
      </w:r>
      <w:r w:rsidR="003B50ED">
        <w:rPr>
          <w:rFonts w:cstheme="minorHAnsi"/>
        </w:rPr>
        <w:t xml:space="preserve"> </w:t>
      </w:r>
      <w:r w:rsidRPr="00A26C26">
        <w:rPr>
          <w:rFonts w:cstheme="minorHAnsi"/>
        </w:rPr>
        <w:t>koncepcji</w:t>
      </w:r>
      <w:r w:rsidR="003B50ED">
        <w:rPr>
          <w:rFonts w:cstheme="minorHAnsi"/>
        </w:rPr>
        <w:t xml:space="preserve"> </w:t>
      </w:r>
      <w:r w:rsidRPr="00A26C26">
        <w:rPr>
          <w:rFonts w:cstheme="minorHAnsi"/>
        </w:rPr>
        <w:t>rozwoju</w:t>
      </w:r>
      <w:r w:rsidR="003B50ED">
        <w:rPr>
          <w:rFonts w:cstheme="minorHAnsi"/>
        </w:rPr>
        <w:t xml:space="preserve"> </w:t>
      </w:r>
      <w:r w:rsidRPr="00A26C26">
        <w:rPr>
          <w:rFonts w:cstheme="minorHAnsi"/>
        </w:rPr>
        <w:t>lokalnego</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skali</w:t>
      </w:r>
      <w:r w:rsidR="003B50ED">
        <w:rPr>
          <w:rFonts w:cstheme="minorHAnsi"/>
        </w:rPr>
        <w:t xml:space="preserve"> </w:t>
      </w:r>
      <w:r w:rsidRPr="00A26C26">
        <w:rPr>
          <w:rFonts w:cstheme="minorHAnsi"/>
        </w:rPr>
        <w:t>mikro.</w:t>
      </w:r>
    </w:p>
    <w:p w14:paraId="2E3C8376" w14:textId="77777777" w:rsidR="00224658" w:rsidRPr="00A26C26" w:rsidRDefault="00224658" w:rsidP="00A26C26">
      <w:pPr>
        <w:spacing w:line="276" w:lineRule="auto"/>
        <w:rPr>
          <w:rFonts w:cstheme="minorHAnsi"/>
        </w:rPr>
      </w:pPr>
    </w:p>
    <w:p w14:paraId="628C069A" w14:textId="181252C5" w:rsidR="00224658" w:rsidRPr="00A26C26" w:rsidRDefault="00224658" w:rsidP="008A412F">
      <w:pPr>
        <w:pStyle w:val="Nagwek2"/>
        <w:numPr>
          <w:ilvl w:val="0"/>
          <w:numId w:val="11"/>
        </w:numPr>
        <w:spacing w:before="0" w:line="276" w:lineRule="auto"/>
        <w:rPr>
          <w:rFonts w:asciiTheme="minorHAnsi" w:hAnsiTheme="minorHAnsi" w:cstheme="minorHAnsi"/>
          <w:b/>
          <w:bCs/>
          <w:sz w:val="22"/>
          <w:szCs w:val="22"/>
        </w:rPr>
      </w:pPr>
      <w:bookmarkStart w:id="60" w:name="_Toc136260204"/>
      <w:bookmarkStart w:id="61" w:name="_Toc136944413"/>
      <w:r w:rsidRPr="00A26C26">
        <w:rPr>
          <w:rFonts w:asciiTheme="minorHAnsi" w:hAnsiTheme="minorHAnsi" w:cstheme="minorHAnsi"/>
          <w:b/>
          <w:bCs/>
          <w:sz w:val="22"/>
          <w:szCs w:val="22"/>
        </w:rPr>
        <w:t>Rolnictwo</w:t>
      </w:r>
      <w:r w:rsidR="003B50ED">
        <w:rPr>
          <w:rFonts w:asciiTheme="minorHAnsi" w:hAnsiTheme="minorHAnsi" w:cstheme="minorHAnsi"/>
          <w:b/>
          <w:bCs/>
          <w:sz w:val="22"/>
          <w:szCs w:val="22"/>
        </w:rPr>
        <w:t xml:space="preserve"> </w:t>
      </w:r>
      <w:r w:rsidRPr="00A26C26">
        <w:rPr>
          <w:rFonts w:asciiTheme="minorHAnsi" w:hAnsiTheme="minorHAnsi" w:cstheme="minorHAnsi"/>
          <w:b/>
          <w:bCs/>
          <w:sz w:val="22"/>
          <w:szCs w:val="22"/>
        </w:rPr>
        <w:t>i</w:t>
      </w:r>
      <w:r w:rsidR="003B50ED">
        <w:rPr>
          <w:rFonts w:asciiTheme="minorHAnsi" w:hAnsiTheme="minorHAnsi" w:cstheme="minorHAnsi"/>
          <w:b/>
          <w:bCs/>
          <w:sz w:val="22"/>
          <w:szCs w:val="22"/>
        </w:rPr>
        <w:t xml:space="preserve"> </w:t>
      </w:r>
      <w:r w:rsidRPr="00A26C26">
        <w:rPr>
          <w:rFonts w:asciiTheme="minorHAnsi" w:hAnsiTheme="minorHAnsi" w:cstheme="minorHAnsi"/>
          <w:b/>
          <w:bCs/>
          <w:sz w:val="22"/>
          <w:szCs w:val="22"/>
        </w:rPr>
        <w:t>rynek</w:t>
      </w:r>
      <w:r w:rsidR="003B50ED">
        <w:rPr>
          <w:rFonts w:asciiTheme="minorHAnsi" w:hAnsiTheme="minorHAnsi" w:cstheme="minorHAnsi"/>
          <w:b/>
          <w:bCs/>
          <w:sz w:val="22"/>
          <w:szCs w:val="22"/>
        </w:rPr>
        <w:t xml:space="preserve"> </w:t>
      </w:r>
      <w:r w:rsidRPr="00A26C26">
        <w:rPr>
          <w:rFonts w:asciiTheme="minorHAnsi" w:hAnsiTheme="minorHAnsi" w:cstheme="minorHAnsi"/>
          <w:b/>
          <w:bCs/>
          <w:sz w:val="22"/>
          <w:szCs w:val="22"/>
        </w:rPr>
        <w:t>rolny</w:t>
      </w:r>
      <w:bookmarkEnd w:id="60"/>
      <w:bookmarkEnd w:id="61"/>
    </w:p>
    <w:p w14:paraId="0C28819E" w14:textId="3E69086C" w:rsidR="00224658" w:rsidRPr="00A26C26" w:rsidRDefault="00224658" w:rsidP="00A26C26">
      <w:pPr>
        <w:spacing w:line="276" w:lineRule="auto"/>
        <w:ind w:firstLine="360"/>
        <w:jc w:val="both"/>
        <w:rPr>
          <w:rFonts w:cstheme="minorHAnsi"/>
        </w:rPr>
      </w:pPr>
      <w:bookmarkStart w:id="62" w:name="_Hlk132660651"/>
      <w:bookmarkStart w:id="63" w:name="_Hlk132660397"/>
      <w:r w:rsidRPr="00A26C26">
        <w:rPr>
          <w:rFonts w:cstheme="minorHAnsi"/>
        </w:rPr>
        <w:t>Rolnictwo,</w:t>
      </w:r>
      <w:r w:rsidR="003B50ED">
        <w:rPr>
          <w:rFonts w:cstheme="minorHAnsi"/>
        </w:rPr>
        <w:t xml:space="preserve"> </w:t>
      </w:r>
      <w:r w:rsidRPr="00A26C26">
        <w:rPr>
          <w:rFonts w:cstheme="minorHAnsi"/>
        </w:rPr>
        <w:t>niegdyś</w:t>
      </w:r>
      <w:r w:rsidR="003B50ED">
        <w:rPr>
          <w:rFonts w:cstheme="minorHAnsi"/>
        </w:rPr>
        <w:t xml:space="preserve"> </w:t>
      </w:r>
      <w:r w:rsidRPr="00A26C26">
        <w:rPr>
          <w:rFonts w:cstheme="minorHAnsi"/>
        </w:rPr>
        <w:t>dominujące,</w:t>
      </w:r>
      <w:r w:rsidR="003B50ED">
        <w:rPr>
          <w:rFonts w:cstheme="minorHAnsi"/>
        </w:rPr>
        <w:t xml:space="preserve"> </w:t>
      </w:r>
      <w:r w:rsidRPr="00A26C26">
        <w:rPr>
          <w:rFonts w:cstheme="minorHAnsi"/>
        </w:rPr>
        <w:t>współcześnie</w:t>
      </w:r>
      <w:r w:rsidR="003B50ED">
        <w:rPr>
          <w:rFonts w:cstheme="minorHAnsi"/>
        </w:rPr>
        <w:t xml:space="preserve"> </w:t>
      </w:r>
      <w:r w:rsidRPr="00A26C26">
        <w:rPr>
          <w:rFonts w:cstheme="minorHAnsi"/>
        </w:rPr>
        <w:t>traci</w:t>
      </w:r>
      <w:r w:rsidR="003B50ED">
        <w:rPr>
          <w:rFonts w:cstheme="minorHAnsi"/>
        </w:rPr>
        <w:t xml:space="preserve"> </w:t>
      </w:r>
      <w:r w:rsidRPr="00A26C26">
        <w:rPr>
          <w:rFonts w:cstheme="minorHAnsi"/>
        </w:rPr>
        <w:t>znaczenie</w:t>
      </w:r>
      <w:r w:rsidR="003B50ED">
        <w:rPr>
          <w:rFonts w:cstheme="minorHAnsi"/>
        </w:rPr>
        <w:t xml:space="preserve"> </w:t>
      </w:r>
      <w:r w:rsidRPr="00A26C26">
        <w:rPr>
          <w:rFonts w:cstheme="minorHAnsi"/>
        </w:rPr>
        <w:t>ekonomiczne.</w:t>
      </w:r>
      <w:r w:rsidR="003B50ED">
        <w:rPr>
          <w:rFonts w:cstheme="minorHAnsi"/>
        </w:rPr>
        <w:t xml:space="preserve"> </w:t>
      </w:r>
      <w:r w:rsidRPr="00A26C26">
        <w:rPr>
          <w:rFonts w:cstheme="minorHAnsi"/>
        </w:rPr>
        <w:t>Może</w:t>
      </w:r>
      <w:r w:rsidR="003B50ED">
        <w:rPr>
          <w:rFonts w:cstheme="minorHAnsi"/>
        </w:rPr>
        <w:t xml:space="preserve"> </w:t>
      </w:r>
      <w:r w:rsidRPr="00A26C26">
        <w:rPr>
          <w:rFonts w:cstheme="minorHAnsi"/>
        </w:rPr>
        <w:t>to</w:t>
      </w:r>
      <w:r w:rsidR="003B50ED">
        <w:rPr>
          <w:rFonts w:cstheme="minorHAnsi"/>
        </w:rPr>
        <w:t xml:space="preserve"> </w:t>
      </w:r>
      <w:r w:rsidRPr="00A26C26">
        <w:rPr>
          <w:rFonts w:cstheme="minorHAnsi"/>
        </w:rPr>
        <w:t>być</w:t>
      </w:r>
      <w:r w:rsidR="003B50ED">
        <w:rPr>
          <w:rFonts w:cstheme="minorHAnsi"/>
        </w:rPr>
        <w:t xml:space="preserve"> </w:t>
      </w:r>
      <w:r w:rsidRPr="00A26C26">
        <w:rPr>
          <w:rFonts w:cstheme="minorHAnsi"/>
        </w:rPr>
        <w:t>spowodowane</w:t>
      </w:r>
      <w:r w:rsidR="003B50ED">
        <w:rPr>
          <w:rFonts w:cstheme="minorHAnsi"/>
        </w:rPr>
        <w:t xml:space="preserve"> </w:t>
      </w:r>
      <w:r w:rsidRPr="00A26C26">
        <w:rPr>
          <w:rFonts w:cstheme="minorHAnsi"/>
        </w:rPr>
        <w:t>zarówno</w:t>
      </w:r>
      <w:r w:rsidR="003B50ED">
        <w:rPr>
          <w:rFonts w:cstheme="minorHAnsi"/>
        </w:rPr>
        <w:t xml:space="preserve"> </w:t>
      </w:r>
      <w:r w:rsidRPr="00A26C26">
        <w:rPr>
          <w:rFonts w:cstheme="minorHAnsi"/>
        </w:rPr>
        <w:t>niską</w:t>
      </w:r>
      <w:r w:rsidR="003B50ED">
        <w:rPr>
          <w:rFonts w:cstheme="minorHAnsi"/>
        </w:rPr>
        <w:t xml:space="preserve"> </w:t>
      </w:r>
      <w:r w:rsidRPr="00A26C26">
        <w:rPr>
          <w:rFonts w:cstheme="minorHAnsi"/>
        </w:rPr>
        <w:t>opłacalnością</w:t>
      </w:r>
      <w:r w:rsidR="003B50ED">
        <w:rPr>
          <w:rFonts w:cstheme="minorHAnsi"/>
        </w:rPr>
        <w:t xml:space="preserve"> </w:t>
      </w:r>
      <w:r w:rsidRPr="00A26C26">
        <w:rPr>
          <w:rFonts w:cstheme="minorHAnsi"/>
        </w:rPr>
        <w:t>produkcji</w:t>
      </w:r>
      <w:r w:rsidR="003B50ED">
        <w:rPr>
          <w:rFonts w:cstheme="minorHAnsi"/>
        </w:rPr>
        <w:t xml:space="preserve"> </w:t>
      </w:r>
      <w:r w:rsidRPr="00A26C26">
        <w:rPr>
          <w:rFonts w:cstheme="minorHAnsi"/>
        </w:rPr>
        <w:t>rolnej</w:t>
      </w:r>
      <w:r w:rsidR="003B50ED">
        <w:rPr>
          <w:rFonts w:cstheme="minorHAnsi"/>
        </w:rPr>
        <w:t xml:space="preserve"> </w:t>
      </w:r>
      <w:r w:rsidRPr="00A26C26">
        <w:rPr>
          <w:rFonts w:cstheme="minorHAnsi"/>
        </w:rPr>
        <w:t>jak</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starzejącym</w:t>
      </w:r>
      <w:r w:rsidR="003B50ED">
        <w:rPr>
          <w:rFonts w:cstheme="minorHAnsi"/>
        </w:rPr>
        <w:t xml:space="preserve"> </w:t>
      </w:r>
      <w:r w:rsidRPr="00A26C26">
        <w:rPr>
          <w:rFonts w:cstheme="minorHAnsi"/>
        </w:rPr>
        <w:t>się</w:t>
      </w:r>
      <w:r w:rsidR="003B50ED">
        <w:rPr>
          <w:rFonts w:cstheme="minorHAnsi"/>
        </w:rPr>
        <w:t xml:space="preserve"> </w:t>
      </w:r>
      <w:r w:rsidRPr="00A26C26">
        <w:rPr>
          <w:rFonts w:cstheme="minorHAnsi"/>
        </w:rPr>
        <w:t>społeczeństwem,</w:t>
      </w:r>
      <w:r w:rsidR="003B50ED">
        <w:rPr>
          <w:rFonts w:cstheme="minorHAnsi"/>
        </w:rPr>
        <w:t xml:space="preserve"> </w:t>
      </w:r>
      <w:r w:rsidRPr="00A26C26">
        <w:rPr>
          <w:rFonts w:cstheme="minorHAnsi"/>
        </w:rPr>
        <w:t>migracją</w:t>
      </w:r>
      <w:r w:rsidR="003B50ED">
        <w:rPr>
          <w:rFonts w:cstheme="minorHAnsi"/>
        </w:rPr>
        <w:t xml:space="preserve"> </w:t>
      </w:r>
      <w:r w:rsidRPr="00A26C26">
        <w:rPr>
          <w:rFonts w:cstheme="minorHAnsi"/>
        </w:rPr>
        <w:t>młodych</w:t>
      </w:r>
      <w:r w:rsidR="003B50ED">
        <w:rPr>
          <w:rFonts w:cstheme="minorHAnsi"/>
        </w:rPr>
        <w:t xml:space="preserve"> </w:t>
      </w:r>
      <w:r w:rsidRPr="00A26C26">
        <w:rPr>
          <w:rFonts w:cstheme="minorHAnsi"/>
        </w:rPr>
        <w:t>ludzi</w:t>
      </w:r>
      <w:r w:rsidR="003B50ED">
        <w:rPr>
          <w:rFonts w:cstheme="minorHAnsi"/>
        </w:rPr>
        <w:t xml:space="preserve"> </w:t>
      </w:r>
      <w:r w:rsidRPr="00A26C26">
        <w:rPr>
          <w:rFonts w:cstheme="minorHAnsi"/>
        </w:rPr>
        <w:t>do</w:t>
      </w:r>
      <w:r w:rsidR="003B50ED">
        <w:rPr>
          <w:rFonts w:cstheme="minorHAnsi"/>
        </w:rPr>
        <w:t xml:space="preserve"> </w:t>
      </w:r>
      <w:r w:rsidRPr="00A26C26">
        <w:rPr>
          <w:rFonts w:cstheme="minorHAnsi"/>
        </w:rPr>
        <w:t>dużych</w:t>
      </w:r>
      <w:r w:rsidR="003B50ED">
        <w:rPr>
          <w:rFonts w:cstheme="minorHAnsi"/>
        </w:rPr>
        <w:t xml:space="preserve"> </w:t>
      </w:r>
      <w:r w:rsidRPr="00A26C26">
        <w:rPr>
          <w:rFonts w:cstheme="minorHAnsi"/>
        </w:rPr>
        <w:t>ośrodków</w:t>
      </w:r>
      <w:r w:rsidR="003B50ED">
        <w:rPr>
          <w:rFonts w:cstheme="minorHAnsi"/>
        </w:rPr>
        <w:t xml:space="preserve"> </w:t>
      </w:r>
      <w:r w:rsidRPr="00A26C26">
        <w:rPr>
          <w:rFonts w:cstheme="minorHAnsi"/>
        </w:rPr>
        <w:t>miejskich</w:t>
      </w:r>
      <w:r w:rsidR="003B50ED">
        <w:rPr>
          <w:rFonts w:cstheme="minorHAnsi"/>
        </w:rPr>
        <w:t xml:space="preserve"> </w:t>
      </w:r>
      <w:r w:rsidRPr="00A26C26">
        <w:rPr>
          <w:rFonts w:cstheme="minorHAnsi"/>
        </w:rPr>
        <w:t>przy</w:t>
      </w:r>
      <w:r w:rsidR="003B50ED">
        <w:rPr>
          <w:rFonts w:cstheme="minorHAnsi"/>
        </w:rPr>
        <w:t xml:space="preserve"> </w:t>
      </w:r>
      <w:r w:rsidRPr="00A26C26">
        <w:rPr>
          <w:rFonts w:cstheme="minorHAnsi"/>
        </w:rPr>
        <w:t>jednoczesnym</w:t>
      </w:r>
      <w:r w:rsidR="003B50ED">
        <w:rPr>
          <w:rFonts w:cstheme="minorHAnsi"/>
        </w:rPr>
        <w:t xml:space="preserve"> </w:t>
      </w:r>
      <w:r w:rsidRPr="00A26C26">
        <w:rPr>
          <w:rFonts w:cstheme="minorHAnsi"/>
        </w:rPr>
        <w:t>braku</w:t>
      </w:r>
      <w:r w:rsidR="003B50ED">
        <w:rPr>
          <w:rFonts w:cstheme="minorHAnsi"/>
        </w:rPr>
        <w:t xml:space="preserve"> </w:t>
      </w:r>
      <w:r w:rsidRPr="00A26C26">
        <w:rPr>
          <w:rFonts w:cstheme="minorHAnsi"/>
        </w:rPr>
        <w:t>alternatywnych</w:t>
      </w:r>
      <w:r w:rsidR="003B50ED">
        <w:rPr>
          <w:rFonts w:cstheme="minorHAnsi"/>
        </w:rPr>
        <w:t xml:space="preserve"> </w:t>
      </w:r>
      <w:r w:rsidRPr="00A26C26">
        <w:rPr>
          <w:rFonts w:cstheme="minorHAnsi"/>
        </w:rPr>
        <w:t>źródeł</w:t>
      </w:r>
      <w:r w:rsidR="003B50ED">
        <w:rPr>
          <w:rFonts w:cstheme="minorHAnsi"/>
        </w:rPr>
        <w:t xml:space="preserve"> </w:t>
      </w:r>
      <w:r w:rsidRPr="00A26C26">
        <w:rPr>
          <w:rFonts w:cstheme="minorHAnsi"/>
        </w:rPr>
        <w:t>dochodów.</w:t>
      </w:r>
    </w:p>
    <w:p w14:paraId="09014E36" w14:textId="4A7CBD44" w:rsidR="00224658" w:rsidRPr="00A26C26" w:rsidRDefault="00224658" w:rsidP="00A26C26">
      <w:pPr>
        <w:spacing w:line="276" w:lineRule="auto"/>
        <w:ind w:firstLine="284"/>
        <w:jc w:val="both"/>
        <w:rPr>
          <w:rFonts w:cstheme="minorHAnsi"/>
          <w:color w:val="000000"/>
        </w:rPr>
      </w:pPr>
      <w:r w:rsidRPr="00A26C26">
        <w:rPr>
          <w:rFonts w:cstheme="minorHAnsi"/>
          <w:color w:val="000000"/>
        </w:rPr>
        <w:t>Na</w:t>
      </w:r>
      <w:r w:rsidR="003B50ED">
        <w:rPr>
          <w:rFonts w:cstheme="minorHAnsi"/>
          <w:color w:val="000000"/>
        </w:rPr>
        <w:t xml:space="preserve"> </w:t>
      </w:r>
      <w:r w:rsidRPr="00A26C26">
        <w:rPr>
          <w:rFonts w:cstheme="minorHAnsi"/>
          <w:color w:val="000000"/>
        </w:rPr>
        <w:t>terenie</w:t>
      </w:r>
      <w:r w:rsidR="003B50ED">
        <w:rPr>
          <w:rFonts w:cstheme="minorHAnsi"/>
          <w:color w:val="000000"/>
        </w:rPr>
        <w:t xml:space="preserve"> </w:t>
      </w:r>
      <w:r w:rsidRPr="00A26C26">
        <w:rPr>
          <w:rFonts w:cstheme="minorHAnsi"/>
          <w:color w:val="000000"/>
        </w:rPr>
        <w:t>LGD</w:t>
      </w:r>
      <w:r w:rsidR="003B50ED">
        <w:rPr>
          <w:rFonts w:cstheme="minorHAnsi"/>
          <w:color w:val="000000"/>
        </w:rPr>
        <w:t xml:space="preserve"> </w:t>
      </w:r>
      <w:r w:rsidRPr="00A26C26">
        <w:rPr>
          <w:rFonts w:cstheme="minorHAnsi"/>
          <w:color w:val="000000"/>
        </w:rPr>
        <w:t>gospodarstwa</w:t>
      </w:r>
      <w:r w:rsidR="003B50ED">
        <w:rPr>
          <w:rFonts w:cstheme="minorHAnsi"/>
          <w:color w:val="000000"/>
        </w:rPr>
        <w:t xml:space="preserve"> </w:t>
      </w:r>
      <w:r w:rsidRPr="00A26C26">
        <w:rPr>
          <w:rFonts w:cstheme="minorHAnsi"/>
          <w:color w:val="000000"/>
        </w:rPr>
        <w:t>o</w:t>
      </w:r>
      <w:r w:rsidR="003B50ED">
        <w:rPr>
          <w:rFonts w:cstheme="minorHAnsi"/>
          <w:color w:val="000000"/>
        </w:rPr>
        <w:t xml:space="preserve"> </w:t>
      </w:r>
      <w:r w:rsidRPr="00A26C26">
        <w:rPr>
          <w:rFonts w:cstheme="minorHAnsi"/>
          <w:color w:val="000000"/>
        </w:rPr>
        <w:t>wielkości</w:t>
      </w:r>
      <w:r w:rsidR="003B50ED">
        <w:rPr>
          <w:rFonts w:cstheme="minorHAnsi"/>
          <w:color w:val="000000"/>
        </w:rPr>
        <w:t xml:space="preserve"> </w:t>
      </w:r>
      <w:r w:rsidRPr="00A26C26">
        <w:rPr>
          <w:rFonts w:cstheme="minorHAnsi"/>
          <w:color w:val="000000"/>
        </w:rPr>
        <w:t>1-5</w:t>
      </w:r>
      <w:r w:rsidR="003B50ED">
        <w:rPr>
          <w:rFonts w:cstheme="minorHAnsi"/>
          <w:color w:val="000000"/>
        </w:rPr>
        <w:t xml:space="preserve"> </w:t>
      </w:r>
      <w:r w:rsidRPr="00A26C26">
        <w:rPr>
          <w:rFonts w:cstheme="minorHAnsi"/>
          <w:color w:val="000000"/>
        </w:rPr>
        <w:t>ha</w:t>
      </w:r>
      <w:r w:rsidR="003B50ED">
        <w:rPr>
          <w:rFonts w:cstheme="minorHAnsi"/>
          <w:color w:val="000000"/>
        </w:rPr>
        <w:t xml:space="preserve"> </w:t>
      </w:r>
      <w:r w:rsidRPr="00A26C26">
        <w:rPr>
          <w:rFonts w:cstheme="minorHAnsi"/>
          <w:color w:val="000000"/>
        </w:rPr>
        <w:t>stanowią</w:t>
      </w:r>
      <w:r w:rsidR="003B50ED">
        <w:rPr>
          <w:rFonts w:cstheme="minorHAnsi"/>
          <w:color w:val="000000"/>
        </w:rPr>
        <w:t xml:space="preserve"> </w:t>
      </w:r>
      <w:r w:rsidRPr="00A26C26">
        <w:rPr>
          <w:rFonts w:cstheme="minorHAnsi"/>
          <w:color w:val="000000"/>
        </w:rPr>
        <w:t>ponad</w:t>
      </w:r>
      <w:r w:rsidR="003B50ED">
        <w:rPr>
          <w:rFonts w:cstheme="minorHAnsi"/>
          <w:color w:val="000000"/>
        </w:rPr>
        <w:t xml:space="preserve"> </w:t>
      </w:r>
      <w:r w:rsidRPr="00A26C26">
        <w:rPr>
          <w:rFonts w:cstheme="minorHAnsi"/>
          <w:color w:val="000000"/>
        </w:rPr>
        <w:t>niemalże</w:t>
      </w:r>
      <w:r w:rsidR="003B50ED">
        <w:rPr>
          <w:rFonts w:cstheme="minorHAnsi"/>
          <w:color w:val="000000"/>
        </w:rPr>
        <w:t xml:space="preserve"> </w:t>
      </w:r>
      <w:r w:rsidRPr="00A26C26">
        <w:rPr>
          <w:rFonts w:cstheme="minorHAnsi"/>
          <w:color w:val="000000"/>
        </w:rPr>
        <w:t>50%</w:t>
      </w:r>
      <w:r w:rsidR="003B50ED">
        <w:rPr>
          <w:rFonts w:cstheme="minorHAnsi"/>
          <w:color w:val="000000"/>
        </w:rPr>
        <w:t xml:space="preserve"> </w:t>
      </w:r>
      <w:r w:rsidRPr="00A26C26">
        <w:rPr>
          <w:rFonts w:cstheme="minorHAnsi"/>
          <w:color w:val="000000"/>
        </w:rPr>
        <w:t>ogólnej</w:t>
      </w:r>
      <w:r w:rsidR="003B50ED">
        <w:rPr>
          <w:rFonts w:cstheme="minorHAnsi"/>
          <w:color w:val="000000"/>
        </w:rPr>
        <w:t xml:space="preserve"> </w:t>
      </w:r>
      <w:r w:rsidRPr="00A26C26">
        <w:rPr>
          <w:rFonts w:cstheme="minorHAnsi"/>
          <w:color w:val="000000"/>
        </w:rPr>
        <w:t>liczby</w:t>
      </w:r>
      <w:r w:rsidR="003B50ED">
        <w:rPr>
          <w:rFonts w:cstheme="minorHAnsi"/>
          <w:color w:val="000000"/>
        </w:rPr>
        <w:t xml:space="preserve"> </w:t>
      </w:r>
      <w:r w:rsidRPr="00A26C26">
        <w:rPr>
          <w:rFonts w:cstheme="minorHAnsi"/>
          <w:color w:val="000000"/>
        </w:rPr>
        <w:t>gospodarstw</w:t>
      </w:r>
      <w:r w:rsidR="003B50ED">
        <w:rPr>
          <w:rFonts w:cstheme="minorHAnsi"/>
          <w:color w:val="000000"/>
        </w:rPr>
        <w:t xml:space="preserve"> </w:t>
      </w:r>
      <w:r w:rsidR="00D543AB">
        <w:rPr>
          <w:rFonts w:cstheme="minorHAnsi"/>
          <w:color w:val="000000"/>
        </w:rPr>
        <w:t xml:space="preserve">                </w:t>
      </w:r>
      <w:r w:rsidRPr="00A26C26">
        <w:rPr>
          <w:rFonts w:cstheme="minorHAnsi"/>
          <w:color w:val="000000"/>
        </w:rPr>
        <w:t>(wg,</w:t>
      </w:r>
      <w:r w:rsidR="003B50ED">
        <w:rPr>
          <w:rFonts w:cstheme="minorHAnsi"/>
          <w:color w:val="000000"/>
        </w:rPr>
        <w:t xml:space="preserve"> </w:t>
      </w:r>
      <w:r w:rsidRPr="00A26C26">
        <w:rPr>
          <w:rFonts w:cstheme="minorHAnsi"/>
          <w:color w:val="000000"/>
        </w:rPr>
        <w:t>danych</w:t>
      </w:r>
      <w:r w:rsidR="003B50ED">
        <w:rPr>
          <w:rFonts w:cstheme="minorHAnsi"/>
          <w:color w:val="000000"/>
        </w:rPr>
        <w:t xml:space="preserve"> </w:t>
      </w:r>
      <w:r w:rsidRPr="00A26C26">
        <w:rPr>
          <w:rFonts w:cstheme="minorHAnsi"/>
          <w:color w:val="000000"/>
        </w:rPr>
        <w:t>Powszechnego</w:t>
      </w:r>
      <w:r w:rsidR="003B50ED">
        <w:rPr>
          <w:rFonts w:cstheme="minorHAnsi"/>
          <w:color w:val="000000"/>
        </w:rPr>
        <w:t xml:space="preserve"> </w:t>
      </w:r>
      <w:r w:rsidRPr="00A26C26">
        <w:rPr>
          <w:rFonts w:cstheme="minorHAnsi"/>
          <w:color w:val="000000"/>
        </w:rPr>
        <w:t>Spisu</w:t>
      </w:r>
      <w:r w:rsidR="003B50ED">
        <w:rPr>
          <w:rFonts w:cstheme="minorHAnsi"/>
          <w:color w:val="000000"/>
        </w:rPr>
        <w:t xml:space="preserve"> </w:t>
      </w:r>
      <w:r w:rsidRPr="00A26C26">
        <w:rPr>
          <w:rFonts w:cstheme="minorHAnsi"/>
          <w:color w:val="000000"/>
        </w:rPr>
        <w:t>Rolnego</w:t>
      </w:r>
      <w:r w:rsidR="003B50ED">
        <w:rPr>
          <w:rFonts w:cstheme="minorHAnsi"/>
          <w:color w:val="000000"/>
        </w:rPr>
        <w:t xml:space="preserve"> </w:t>
      </w:r>
      <w:r w:rsidRPr="00A26C26">
        <w:rPr>
          <w:rFonts w:cstheme="minorHAnsi"/>
          <w:color w:val="000000"/>
        </w:rPr>
        <w:t>z</w:t>
      </w:r>
      <w:r w:rsidR="003B50ED">
        <w:rPr>
          <w:rFonts w:cstheme="minorHAnsi"/>
          <w:color w:val="000000"/>
        </w:rPr>
        <w:t xml:space="preserve"> </w:t>
      </w:r>
      <w:r w:rsidRPr="00A26C26">
        <w:rPr>
          <w:rFonts w:cstheme="minorHAnsi"/>
          <w:color w:val="000000"/>
        </w:rPr>
        <w:t>2020</w:t>
      </w:r>
      <w:r w:rsidR="003B50ED">
        <w:rPr>
          <w:rFonts w:cstheme="minorHAnsi"/>
          <w:color w:val="000000"/>
        </w:rPr>
        <w:t xml:space="preserve"> </w:t>
      </w:r>
      <w:r w:rsidRPr="00A26C26">
        <w:rPr>
          <w:rFonts w:cstheme="minorHAnsi"/>
          <w:color w:val="000000"/>
        </w:rPr>
        <w:t>r.),</w:t>
      </w:r>
      <w:r w:rsidR="003B50ED">
        <w:rPr>
          <w:rFonts w:cstheme="minorHAnsi"/>
          <w:color w:val="000000"/>
        </w:rPr>
        <w:t xml:space="preserve"> </w:t>
      </w:r>
      <w:r w:rsidRPr="00A26C26">
        <w:rPr>
          <w:rFonts w:cstheme="minorHAnsi"/>
          <w:color w:val="000000"/>
        </w:rPr>
        <w:t>w</w:t>
      </w:r>
      <w:r w:rsidR="003B50ED">
        <w:rPr>
          <w:rFonts w:cstheme="minorHAnsi"/>
          <w:color w:val="000000"/>
        </w:rPr>
        <w:t xml:space="preserve"> </w:t>
      </w:r>
      <w:r w:rsidRPr="00A26C26">
        <w:rPr>
          <w:rFonts w:cstheme="minorHAnsi"/>
          <w:color w:val="000000"/>
        </w:rPr>
        <w:t>dalszej</w:t>
      </w:r>
      <w:r w:rsidR="003B50ED">
        <w:rPr>
          <w:rFonts w:cstheme="minorHAnsi"/>
          <w:color w:val="000000"/>
        </w:rPr>
        <w:t xml:space="preserve"> </w:t>
      </w:r>
      <w:r w:rsidRPr="00A26C26">
        <w:rPr>
          <w:rFonts w:cstheme="minorHAnsi"/>
          <w:color w:val="000000"/>
        </w:rPr>
        <w:t>kolejności</w:t>
      </w:r>
      <w:r w:rsidR="003B50ED">
        <w:rPr>
          <w:rFonts w:cstheme="minorHAnsi"/>
          <w:color w:val="000000"/>
        </w:rPr>
        <w:t xml:space="preserve"> </w:t>
      </w:r>
      <w:r w:rsidRPr="00A26C26">
        <w:rPr>
          <w:rFonts w:cstheme="minorHAnsi"/>
          <w:color w:val="000000"/>
        </w:rPr>
        <w:t>są</w:t>
      </w:r>
      <w:r w:rsidR="003B50ED">
        <w:rPr>
          <w:rFonts w:cstheme="minorHAnsi"/>
          <w:color w:val="000000"/>
        </w:rPr>
        <w:t xml:space="preserve"> </w:t>
      </w:r>
      <w:r w:rsidRPr="00A26C26">
        <w:rPr>
          <w:rFonts w:cstheme="minorHAnsi"/>
          <w:color w:val="000000"/>
        </w:rPr>
        <w:t>gospodarstwa</w:t>
      </w:r>
      <w:r w:rsidR="003B50ED">
        <w:rPr>
          <w:rFonts w:cstheme="minorHAnsi"/>
          <w:color w:val="000000"/>
        </w:rPr>
        <w:t xml:space="preserve"> </w:t>
      </w:r>
      <w:r w:rsidRPr="00A26C26">
        <w:rPr>
          <w:rFonts w:cstheme="minorHAnsi"/>
          <w:color w:val="000000"/>
        </w:rPr>
        <w:t>o</w:t>
      </w:r>
      <w:r w:rsidR="003B50ED">
        <w:rPr>
          <w:rFonts w:cstheme="minorHAnsi"/>
          <w:color w:val="000000"/>
        </w:rPr>
        <w:t xml:space="preserve"> </w:t>
      </w:r>
      <w:r w:rsidRPr="00A26C26">
        <w:rPr>
          <w:rFonts w:cstheme="minorHAnsi"/>
          <w:color w:val="000000"/>
        </w:rPr>
        <w:t>większej</w:t>
      </w:r>
      <w:r w:rsidR="003B50ED">
        <w:rPr>
          <w:rFonts w:cstheme="minorHAnsi"/>
          <w:color w:val="000000"/>
        </w:rPr>
        <w:t xml:space="preserve"> </w:t>
      </w:r>
      <w:r w:rsidRPr="00A26C26">
        <w:rPr>
          <w:rFonts w:cstheme="minorHAnsi"/>
          <w:color w:val="000000"/>
        </w:rPr>
        <w:t>powierzchni</w:t>
      </w:r>
      <w:r w:rsidR="003B50ED">
        <w:rPr>
          <w:rFonts w:cstheme="minorHAnsi"/>
          <w:color w:val="000000"/>
        </w:rPr>
        <w:t xml:space="preserve"> </w:t>
      </w:r>
      <w:r w:rsidR="00D543AB">
        <w:rPr>
          <w:rFonts w:cstheme="minorHAnsi"/>
          <w:color w:val="000000"/>
        </w:rPr>
        <w:t xml:space="preserve">  </w:t>
      </w:r>
      <w:r w:rsidRPr="00A26C26">
        <w:rPr>
          <w:rFonts w:cstheme="minorHAnsi"/>
          <w:color w:val="000000"/>
        </w:rPr>
        <w:t>tj.</w:t>
      </w:r>
      <w:r w:rsidR="003B50ED">
        <w:rPr>
          <w:rFonts w:cstheme="minorHAnsi"/>
          <w:color w:val="000000"/>
        </w:rPr>
        <w:t xml:space="preserve"> </w:t>
      </w:r>
      <w:r w:rsidRPr="00A26C26">
        <w:rPr>
          <w:rFonts w:cstheme="minorHAnsi"/>
          <w:color w:val="000000"/>
        </w:rPr>
        <w:t>5-10</w:t>
      </w:r>
      <w:r w:rsidR="003B50ED">
        <w:rPr>
          <w:rFonts w:cstheme="minorHAnsi"/>
          <w:color w:val="000000"/>
        </w:rPr>
        <w:t xml:space="preserve"> </w:t>
      </w:r>
      <w:r w:rsidRPr="00A26C26">
        <w:rPr>
          <w:rFonts w:cstheme="minorHAnsi"/>
          <w:color w:val="000000"/>
        </w:rPr>
        <w:t>ha.</w:t>
      </w:r>
      <w:r w:rsidR="003B50ED">
        <w:rPr>
          <w:rFonts w:cstheme="minorHAnsi"/>
          <w:color w:val="000000"/>
        </w:rPr>
        <w:t xml:space="preserve"> </w:t>
      </w:r>
      <w:r w:rsidRPr="00A26C26">
        <w:rPr>
          <w:rFonts w:cstheme="minorHAnsi"/>
          <w:color w:val="000000"/>
        </w:rPr>
        <w:t>Takie</w:t>
      </w:r>
      <w:r w:rsidR="003B50ED">
        <w:rPr>
          <w:rFonts w:cstheme="minorHAnsi"/>
          <w:color w:val="000000"/>
        </w:rPr>
        <w:t xml:space="preserve"> </w:t>
      </w:r>
      <w:r w:rsidRPr="00A26C26">
        <w:rPr>
          <w:rFonts w:cstheme="minorHAnsi"/>
          <w:color w:val="000000"/>
        </w:rPr>
        <w:t>rozdrobnienie</w:t>
      </w:r>
      <w:r w:rsidR="003B50ED">
        <w:rPr>
          <w:rFonts w:cstheme="minorHAnsi"/>
          <w:color w:val="000000"/>
        </w:rPr>
        <w:t xml:space="preserve"> </w:t>
      </w:r>
      <w:r w:rsidRPr="00A26C26">
        <w:rPr>
          <w:rFonts w:cstheme="minorHAnsi"/>
          <w:color w:val="000000"/>
        </w:rPr>
        <w:t>nie</w:t>
      </w:r>
      <w:r w:rsidR="003B50ED">
        <w:rPr>
          <w:rFonts w:cstheme="minorHAnsi"/>
          <w:color w:val="000000"/>
        </w:rPr>
        <w:t xml:space="preserve"> </w:t>
      </w:r>
      <w:r w:rsidRPr="00A26C26">
        <w:rPr>
          <w:rFonts w:cstheme="minorHAnsi"/>
          <w:color w:val="000000"/>
        </w:rPr>
        <w:t>wpływa</w:t>
      </w:r>
      <w:r w:rsidR="003B50ED">
        <w:rPr>
          <w:rFonts w:cstheme="minorHAnsi"/>
          <w:color w:val="000000"/>
        </w:rPr>
        <w:t xml:space="preserve"> </w:t>
      </w:r>
      <w:r w:rsidRPr="00A26C26">
        <w:rPr>
          <w:rFonts w:cstheme="minorHAnsi"/>
          <w:color w:val="000000"/>
        </w:rPr>
        <w:t>pozytywnie</w:t>
      </w:r>
      <w:r w:rsidR="003B50ED">
        <w:rPr>
          <w:rFonts w:cstheme="minorHAnsi"/>
          <w:color w:val="000000"/>
        </w:rPr>
        <w:t xml:space="preserve"> </w:t>
      </w:r>
      <w:r w:rsidRPr="00A26C26">
        <w:rPr>
          <w:rFonts w:cstheme="minorHAnsi"/>
          <w:color w:val="000000"/>
        </w:rPr>
        <w:t>na</w:t>
      </w:r>
      <w:r w:rsidR="003B50ED">
        <w:rPr>
          <w:rFonts w:cstheme="minorHAnsi"/>
          <w:color w:val="000000"/>
        </w:rPr>
        <w:t xml:space="preserve"> </w:t>
      </w:r>
      <w:r w:rsidRPr="00A26C26">
        <w:rPr>
          <w:rFonts w:cstheme="minorHAnsi"/>
          <w:color w:val="000000"/>
        </w:rPr>
        <w:t>specjalizację</w:t>
      </w:r>
      <w:r w:rsidR="003B50ED">
        <w:rPr>
          <w:rFonts w:cstheme="minorHAnsi"/>
          <w:color w:val="000000"/>
        </w:rPr>
        <w:t xml:space="preserve"> </w:t>
      </w:r>
      <w:r w:rsidRPr="00A26C26">
        <w:rPr>
          <w:rFonts w:cstheme="minorHAnsi"/>
          <w:color w:val="000000"/>
        </w:rPr>
        <w:t>produkcji</w:t>
      </w:r>
      <w:r w:rsidR="003B50ED">
        <w:rPr>
          <w:rFonts w:cstheme="minorHAnsi"/>
          <w:color w:val="000000"/>
        </w:rPr>
        <w:t xml:space="preserve"> </w:t>
      </w:r>
      <w:r w:rsidRPr="00A26C26">
        <w:rPr>
          <w:rFonts w:cstheme="minorHAnsi"/>
          <w:color w:val="000000"/>
        </w:rPr>
        <w:t>i</w:t>
      </w:r>
      <w:r w:rsidR="003B50ED">
        <w:rPr>
          <w:rFonts w:cstheme="minorHAnsi"/>
          <w:color w:val="000000"/>
        </w:rPr>
        <w:t xml:space="preserve"> </w:t>
      </w:r>
      <w:r w:rsidRPr="00A26C26">
        <w:rPr>
          <w:rFonts w:cstheme="minorHAnsi"/>
          <w:color w:val="000000"/>
        </w:rPr>
        <w:t>zwiększenie</w:t>
      </w:r>
      <w:r w:rsidR="003B50ED">
        <w:rPr>
          <w:rFonts w:cstheme="minorHAnsi"/>
          <w:color w:val="000000"/>
        </w:rPr>
        <w:t xml:space="preserve"> </w:t>
      </w:r>
      <w:r w:rsidRPr="00A26C26">
        <w:rPr>
          <w:rFonts w:cstheme="minorHAnsi"/>
          <w:color w:val="000000"/>
        </w:rPr>
        <w:t>źródła</w:t>
      </w:r>
      <w:r w:rsidR="003B50ED">
        <w:rPr>
          <w:rFonts w:cstheme="minorHAnsi"/>
          <w:color w:val="000000"/>
        </w:rPr>
        <w:t xml:space="preserve"> </w:t>
      </w:r>
      <w:r w:rsidRPr="00A26C26">
        <w:rPr>
          <w:rFonts w:cstheme="minorHAnsi"/>
          <w:color w:val="000000"/>
        </w:rPr>
        <w:t>dochodu</w:t>
      </w:r>
      <w:r w:rsidR="003B50ED">
        <w:rPr>
          <w:rFonts w:cstheme="minorHAnsi"/>
          <w:color w:val="000000"/>
        </w:rPr>
        <w:t xml:space="preserve"> </w:t>
      </w:r>
      <w:r w:rsidRPr="00A26C26">
        <w:rPr>
          <w:rFonts w:cstheme="minorHAnsi"/>
          <w:color w:val="000000"/>
        </w:rPr>
        <w:t>właśnie</w:t>
      </w:r>
      <w:r w:rsidR="003B50ED">
        <w:rPr>
          <w:rFonts w:cstheme="minorHAnsi"/>
          <w:color w:val="000000"/>
        </w:rPr>
        <w:t xml:space="preserve"> </w:t>
      </w:r>
      <w:r w:rsidRPr="00A26C26">
        <w:rPr>
          <w:rFonts w:cstheme="minorHAnsi"/>
          <w:color w:val="000000"/>
        </w:rPr>
        <w:t>z</w:t>
      </w:r>
      <w:r w:rsidR="003B50ED">
        <w:rPr>
          <w:rFonts w:cstheme="minorHAnsi"/>
          <w:color w:val="000000"/>
        </w:rPr>
        <w:t xml:space="preserve"> </w:t>
      </w:r>
      <w:r w:rsidRPr="00A26C26">
        <w:rPr>
          <w:rFonts w:cstheme="minorHAnsi"/>
          <w:color w:val="000000"/>
        </w:rPr>
        <w:t>produkcji</w:t>
      </w:r>
      <w:r w:rsidR="003B50ED">
        <w:rPr>
          <w:rFonts w:cstheme="minorHAnsi"/>
          <w:color w:val="000000"/>
        </w:rPr>
        <w:t xml:space="preserve"> </w:t>
      </w:r>
      <w:r w:rsidRPr="00A26C26">
        <w:rPr>
          <w:rFonts w:cstheme="minorHAnsi"/>
          <w:color w:val="000000"/>
        </w:rPr>
        <w:t>rolnej.</w:t>
      </w:r>
      <w:r w:rsidR="003B50ED">
        <w:rPr>
          <w:rFonts w:cstheme="minorHAnsi"/>
          <w:color w:val="000000"/>
        </w:rPr>
        <w:t xml:space="preserve"> </w:t>
      </w:r>
    </w:p>
    <w:p w14:paraId="60F2FB15" w14:textId="77777777" w:rsidR="005B3017" w:rsidRPr="00A26C26" w:rsidRDefault="005B3017" w:rsidP="00A26C26">
      <w:pPr>
        <w:spacing w:line="276" w:lineRule="auto"/>
        <w:ind w:firstLine="284"/>
        <w:jc w:val="both"/>
        <w:rPr>
          <w:rFonts w:cstheme="minorHAnsi"/>
          <w:color w:val="000000"/>
        </w:rPr>
      </w:pPr>
    </w:p>
    <w:p w14:paraId="4492ADEA" w14:textId="01927E39" w:rsidR="00224658" w:rsidRPr="00A26C26" w:rsidRDefault="00224658" w:rsidP="00A26C26">
      <w:pPr>
        <w:spacing w:line="276" w:lineRule="auto"/>
        <w:jc w:val="both"/>
        <w:rPr>
          <w:rFonts w:cstheme="minorHAnsi"/>
          <w:color w:val="000000"/>
        </w:rPr>
      </w:pPr>
      <w:r w:rsidRPr="00A26C26">
        <w:rPr>
          <w:rFonts w:cstheme="minorHAnsi"/>
          <w:color w:val="000000"/>
        </w:rPr>
        <w:t>Tabela</w:t>
      </w:r>
      <w:r w:rsidR="00396A11">
        <w:rPr>
          <w:rFonts w:cstheme="minorHAnsi"/>
          <w:color w:val="000000"/>
        </w:rPr>
        <w:t xml:space="preserve"> nr 2</w:t>
      </w:r>
      <w:r w:rsidR="00203429">
        <w:rPr>
          <w:rFonts w:cstheme="minorHAnsi"/>
          <w:color w:val="000000"/>
        </w:rPr>
        <w:t>4</w:t>
      </w:r>
      <w:r w:rsidR="003B50ED">
        <w:rPr>
          <w:rFonts w:cstheme="minorHAnsi"/>
          <w:color w:val="000000"/>
        </w:rPr>
        <w:t xml:space="preserve"> </w:t>
      </w:r>
      <w:r w:rsidRPr="00A26C26">
        <w:rPr>
          <w:rFonts w:cstheme="minorHAnsi"/>
          <w:color w:val="000000"/>
        </w:rPr>
        <w:t>Gospodarstwa</w:t>
      </w:r>
      <w:r w:rsidR="003B50ED">
        <w:rPr>
          <w:rFonts w:cstheme="minorHAnsi"/>
          <w:color w:val="000000"/>
        </w:rPr>
        <w:t xml:space="preserve"> </w:t>
      </w:r>
      <w:r w:rsidRPr="00A26C26">
        <w:rPr>
          <w:rFonts w:cstheme="minorHAnsi"/>
          <w:color w:val="000000"/>
        </w:rPr>
        <w:t>rolne</w:t>
      </w:r>
      <w:r w:rsidR="003B50ED">
        <w:rPr>
          <w:rFonts w:cstheme="minorHAnsi"/>
          <w:color w:val="000000"/>
        </w:rPr>
        <w:t xml:space="preserve"> </w:t>
      </w:r>
      <w:r w:rsidRPr="00A26C26">
        <w:rPr>
          <w:rFonts w:cstheme="minorHAnsi"/>
          <w:color w:val="000000"/>
        </w:rPr>
        <w:t>wg</w:t>
      </w:r>
      <w:r w:rsidR="003B50ED">
        <w:rPr>
          <w:rFonts w:cstheme="minorHAnsi"/>
          <w:color w:val="000000"/>
        </w:rPr>
        <w:t xml:space="preserve"> </w:t>
      </w:r>
      <w:r w:rsidRPr="00A26C26">
        <w:rPr>
          <w:rFonts w:cstheme="minorHAnsi"/>
          <w:color w:val="000000"/>
        </w:rPr>
        <w:t>grup</w:t>
      </w:r>
      <w:r w:rsidR="003B50ED">
        <w:rPr>
          <w:rFonts w:cstheme="minorHAnsi"/>
          <w:color w:val="000000"/>
        </w:rPr>
        <w:t xml:space="preserve"> </w:t>
      </w:r>
      <w:r w:rsidRPr="00A26C26">
        <w:rPr>
          <w:rFonts w:cstheme="minorHAnsi"/>
          <w:color w:val="000000"/>
        </w:rPr>
        <w:t>obszarowych</w:t>
      </w:r>
      <w:r w:rsidR="003B50ED">
        <w:rPr>
          <w:rFonts w:cstheme="minorHAnsi"/>
          <w:color w:val="000000"/>
        </w:rPr>
        <w:t xml:space="preserve"> </w:t>
      </w:r>
      <w:r w:rsidRPr="00A26C26">
        <w:rPr>
          <w:rFonts w:cstheme="minorHAnsi"/>
          <w:color w:val="000000"/>
        </w:rPr>
        <w:t>użytków</w:t>
      </w:r>
      <w:r w:rsidR="003B50ED">
        <w:rPr>
          <w:rFonts w:cstheme="minorHAnsi"/>
          <w:color w:val="000000"/>
        </w:rPr>
        <w:t xml:space="preserve"> </w:t>
      </w:r>
      <w:r w:rsidRPr="00A26C26">
        <w:rPr>
          <w:rFonts w:cstheme="minorHAnsi"/>
          <w:color w:val="000000"/>
        </w:rPr>
        <w:t>rolnych</w:t>
      </w:r>
    </w:p>
    <w:tbl>
      <w:tblPr>
        <w:tblW w:w="10201" w:type="dxa"/>
        <w:tblLayout w:type="fixed"/>
        <w:tblCellMar>
          <w:left w:w="70" w:type="dxa"/>
          <w:right w:w="70" w:type="dxa"/>
        </w:tblCellMar>
        <w:tblLook w:val="04A0" w:firstRow="1" w:lastRow="0" w:firstColumn="1" w:lastColumn="0" w:noHBand="0" w:noVBand="1"/>
      </w:tblPr>
      <w:tblGrid>
        <w:gridCol w:w="1457"/>
        <w:gridCol w:w="1457"/>
        <w:gridCol w:w="1457"/>
        <w:gridCol w:w="1458"/>
        <w:gridCol w:w="1457"/>
        <w:gridCol w:w="1457"/>
        <w:gridCol w:w="1458"/>
      </w:tblGrid>
      <w:tr w:rsidR="00224658" w:rsidRPr="00A26C26" w14:paraId="7A9B170C" w14:textId="77777777" w:rsidTr="007F1E76">
        <w:trPr>
          <w:trHeight w:val="249"/>
        </w:trPr>
        <w:tc>
          <w:tcPr>
            <w:tcW w:w="1457"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4A26BD2E" w14:textId="1194AA81"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Nazwa</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gminy</w:t>
            </w:r>
            <w:r w:rsidR="003B50ED">
              <w:rPr>
                <w:rFonts w:eastAsia="Times New Roman" w:cstheme="minorHAnsi"/>
                <w:color w:val="000000"/>
                <w:kern w:val="0"/>
                <w:lang w:eastAsia="pl-PL"/>
                <w14:ligatures w14:val="none"/>
              </w:rPr>
              <w:t xml:space="preserve"> </w:t>
            </w:r>
          </w:p>
        </w:tc>
        <w:tc>
          <w:tcPr>
            <w:tcW w:w="1457" w:type="dxa"/>
            <w:tcBorders>
              <w:top w:val="single" w:sz="4" w:space="0" w:color="auto"/>
              <w:left w:val="nil"/>
              <w:bottom w:val="single" w:sz="4" w:space="0" w:color="auto"/>
              <w:right w:val="single" w:sz="4" w:space="0" w:color="auto"/>
            </w:tcBorders>
            <w:shd w:val="clear" w:color="000000" w:fill="DDEBF7"/>
            <w:noWrap/>
            <w:vAlign w:val="bottom"/>
            <w:hideMark/>
          </w:tcPr>
          <w:p w14:paraId="4B345903"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ogółem</w:t>
            </w:r>
          </w:p>
        </w:tc>
        <w:tc>
          <w:tcPr>
            <w:tcW w:w="1457" w:type="dxa"/>
            <w:tcBorders>
              <w:top w:val="single" w:sz="4" w:space="0" w:color="auto"/>
              <w:left w:val="nil"/>
              <w:bottom w:val="single" w:sz="4" w:space="0" w:color="auto"/>
              <w:right w:val="single" w:sz="4" w:space="0" w:color="auto"/>
            </w:tcBorders>
            <w:shd w:val="clear" w:color="000000" w:fill="DDEBF7"/>
            <w:noWrap/>
            <w:vAlign w:val="bottom"/>
            <w:hideMark/>
          </w:tcPr>
          <w:p w14:paraId="3247B6FC" w14:textId="7DD136B4"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do</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1</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ha</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włącznie</w:t>
            </w:r>
          </w:p>
        </w:tc>
        <w:tc>
          <w:tcPr>
            <w:tcW w:w="1458" w:type="dxa"/>
            <w:tcBorders>
              <w:top w:val="single" w:sz="4" w:space="0" w:color="auto"/>
              <w:left w:val="nil"/>
              <w:bottom w:val="single" w:sz="4" w:space="0" w:color="auto"/>
              <w:right w:val="single" w:sz="4" w:space="0" w:color="auto"/>
            </w:tcBorders>
            <w:shd w:val="clear" w:color="000000" w:fill="DDEBF7"/>
            <w:noWrap/>
            <w:vAlign w:val="bottom"/>
            <w:hideMark/>
          </w:tcPr>
          <w:p w14:paraId="0443B4CC" w14:textId="7E511B66"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5</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ha</w:t>
            </w:r>
          </w:p>
        </w:tc>
        <w:tc>
          <w:tcPr>
            <w:tcW w:w="1457" w:type="dxa"/>
            <w:tcBorders>
              <w:top w:val="single" w:sz="4" w:space="0" w:color="auto"/>
              <w:left w:val="nil"/>
              <w:bottom w:val="single" w:sz="4" w:space="0" w:color="auto"/>
              <w:right w:val="single" w:sz="4" w:space="0" w:color="auto"/>
            </w:tcBorders>
            <w:shd w:val="clear" w:color="000000" w:fill="DDEBF7"/>
            <w:noWrap/>
            <w:vAlign w:val="bottom"/>
            <w:hideMark/>
          </w:tcPr>
          <w:p w14:paraId="347BA205" w14:textId="2C78EAE3"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5</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10</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ha</w:t>
            </w:r>
          </w:p>
        </w:tc>
        <w:tc>
          <w:tcPr>
            <w:tcW w:w="1457" w:type="dxa"/>
            <w:tcBorders>
              <w:top w:val="single" w:sz="4" w:space="0" w:color="auto"/>
              <w:left w:val="nil"/>
              <w:bottom w:val="single" w:sz="4" w:space="0" w:color="auto"/>
              <w:right w:val="single" w:sz="4" w:space="0" w:color="auto"/>
            </w:tcBorders>
            <w:shd w:val="clear" w:color="000000" w:fill="DDEBF7"/>
            <w:noWrap/>
            <w:vAlign w:val="bottom"/>
            <w:hideMark/>
          </w:tcPr>
          <w:p w14:paraId="06035E3B" w14:textId="0A2894C6"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10</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15</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ha</w:t>
            </w:r>
          </w:p>
        </w:tc>
        <w:tc>
          <w:tcPr>
            <w:tcW w:w="1458" w:type="dxa"/>
            <w:tcBorders>
              <w:top w:val="single" w:sz="4" w:space="0" w:color="auto"/>
              <w:left w:val="nil"/>
              <w:bottom w:val="single" w:sz="4" w:space="0" w:color="auto"/>
              <w:right w:val="single" w:sz="4" w:space="0" w:color="auto"/>
            </w:tcBorders>
            <w:shd w:val="clear" w:color="000000" w:fill="DDEBF7"/>
            <w:noWrap/>
            <w:vAlign w:val="bottom"/>
            <w:hideMark/>
          </w:tcPr>
          <w:p w14:paraId="4A42AAB1" w14:textId="00A77411"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15</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ha</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i</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więcej</w:t>
            </w:r>
          </w:p>
        </w:tc>
      </w:tr>
      <w:tr w:rsidR="00224658" w:rsidRPr="00A26C26" w14:paraId="0962434D" w14:textId="77777777" w:rsidTr="007F1E76">
        <w:trPr>
          <w:trHeight w:val="249"/>
        </w:trPr>
        <w:tc>
          <w:tcPr>
            <w:tcW w:w="1457" w:type="dxa"/>
            <w:tcBorders>
              <w:top w:val="nil"/>
              <w:left w:val="single" w:sz="4" w:space="0" w:color="auto"/>
              <w:bottom w:val="single" w:sz="4" w:space="0" w:color="auto"/>
              <w:right w:val="single" w:sz="4" w:space="0" w:color="auto"/>
            </w:tcBorders>
            <w:shd w:val="clear" w:color="auto" w:fill="auto"/>
            <w:vAlign w:val="center"/>
            <w:hideMark/>
          </w:tcPr>
          <w:p w14:paraId="2AD023E4"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Golina</w:t>
            </w:r>
          </w:p>
        </w:tc>
        <w:tc>
          <w:tcPr>
            <w:tcW w:w="1457" w:type="dxa"/>
            <w:tcBorders>
              <w:top w:val="nil"/>
              <w:left w:val="nil"/>
              <w:bottom w:val="single" w:sz="4" w:space="0" w:color="auto"/>
              <w:right w:val="single" w:sz="4" w:space="0" w:color="auto"/>
            </w:tcBorders>
            <w:shd w:val="clear" w:color="auto" w:fill="auto"/>
            <w:noWrap/>
            <w:vAlign w:val="bottom"/>
            <w:hideMark/>
          </w:tcPr>
          <w:p w14:paraId="0DFDB779"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711</w:t>
            </w:r>
          </w:p>
        </w:tc>
        <w:tc>
          <w:tcPr>
            <w:tcW w:w="1457" w:type="dxa"/>
            <w:tcBorders>
              <w:top w:val="nil"/>
              <w:left w:val="nil"/>
              <w:bottom w:val="single" w:sz="4" w:space="0" w:color="auto"/>
              <w:right w:val="single" w:sz="4" w:space="0" w:color="auto"/>
            </w:tcBorders>
            <w:shd w:val="clear" w:color="auto" w:fill="auto"/>
            <w:noWrap/>
            <w:vAlign w:val="bottom"/>
            <w:hideMark/>
          </w:tcPr>
          <w:p w14:paraId="59746809"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4</w:t>
            </w:r>
          </w:p>
        </w:tc>
        <w:tc>
          <w:tcPr>
            <w:tcW w:w="1458" w:type="dxa"/>
            <w:tcBorders>
              <w:top w:val="nil"/>
              <w:left w:val="nil"/>
              <w:bottom w:val="single" w:sz="4" w:space="0" w:color="auto"/>
              <w:right w:val="single" w:sz="4" w:space="0" w:color="auto"/>
            </w:tcBorders>
            <w:shd w:val="clear" w:color="auto" w:fill="auto"/>
            <w:noWrap/>
            <w:vAlign w:val="bottom"/>
            <w:hideMark/>
          </w:tcPr>
          <w:p w14:paraId="61C7FB42"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369</w:t>
            </w:r>
          </w:p>
        </w:tc>
        <w:tc>
          <w:tcPr>
            <w:tcW w:w="1457" w:type="dxa"/>
            <w:tcBorders>
              <w:top w:val="nil"/>
              <w:left w:val="nil"/>
              <w:bottom w:val="single" w:sz="4" w:space="0" w:color="auto"/>
              <w:right w:val="single" w:sz="4" w:space="0" w:color="auto"/>
            </w:tcBorders>
            <w:shd w:val="clear" w:color="auto" w:fill="auto"/>
            <w:noWrap/>
            <w:vAlign w:val="bottom"/>
            <w:hideMark/>
          </w:tcPr>
          <w:p w14:paraId="4FFEF296"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173</w:t>
            </w:r>
          </w:p>
        </w:tc>
        <w:tc>
          <w:tcPr>
            <w:tcW w:w="1457" w:type="dxa"/>
            <w:tcBorders>
              <w:top w:val="nil"/>
              <w:left w:val="nil"/>
              <w:bottom w:val="single" w:sz="4" w:space="0" w:color="auto"/>
              <w:right w:val="single" w:sz="4" w:space="0" w:color="auto"/>
            </w:tcBorders>
            <w:shd w:val="clear" w:color="auto" w:fill="auto"/>
            <w:noWrap/>
            <w:vAlign w:val="bottom"/>
            <w:hideMark/>
          </w:tcPr>
          <w:p w14:paraId="02AD35A5"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81</w:t>
            </w:r>
          </w:p>
        </w:tc>
        <w:tc>
          <w:tcPr>
            <w:tcW w:w="1458" w:type="dxa"/>
            <w:tcBorders>
              <w:top w:val="nil"/>
              <w:left w:val="nil"/>
              <w:bottom w:val="single" w:sz="4" w:space="0" w:color="auto"/>
              <w:right w:val="single" w:sz="4" w:space="0" w:color="auto"/>
            </w:tcBorders>
            <w:shd w:val="clear" w:color="auto" w:fill="auto"/>
            <w:noWrap/>
            <w:vAlign w:val="bottom"/>
            <w:hideMark/>
          </w:tcPr>
          <w:p w14:paraId="49EFA38D"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84</w:t>
            </w:r>
          </w:p>
        </w:tc>
      </w:tr>
      <w:tr w:rsidR="00224658" w:rsidRPr="00A26C26" w14:paraId="661026D7" w14:textId="77777777" w:rsidTr="007F1E76">
        <w:trPr>
          <w:trHeight w:val="249"/>
        </w:trPr>
        <w:tc>
          <w:tcPr>
            <w:tcW w:w="1457" w:type="dxa"/>
            <w:tcBorders>
              <w:top w:val="nil"/>
              <w:left w:val="single" w:sz="4" w:space="0" w:color="auto"/>
              <w:bottom w:val="single" w:sz="4" w:space="0" w:color="auto"/>
              <w:right w:val="single" w:sz="4" w:space="0" w:color="auto"/>
            </w:tcBorders>
            <w:shd w:val="clear" w:color="auto" w:fill="auto"/>
            <w:vAlign w:val="center"/>
            <w:hideMark/>
          </w:tcPr>
          <w:p w14:paraId="19BC9ABF"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Grodziec</w:t>
            </w:r>
          </w:p>
        </w:tc>
        <w:tc>
          <w:tcPr>
            <w:tcW w:w="1457" w:type="dxa"/>
            <w:tcBorders>
              <w:top w:val="nil"/>
              <w:left w:val="nil"/>
              <w:bottom w:val="single" w:sz="4" w:space="0" w:color="auto"/>
              <w:right w:val="single" w:sz="4" w:space="0" w:color="auto"/>
            </w:tcBorders>
            <w:shd w:val="clear" w:color="auto" w:fill="auto"/>
            <w:noWrap/>
            <w:vAlign w:val="bottom"/>
            <w:hideMark/>
          </w:tcPr>
          <w:p w14:paraId="73894695"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700</w:t>
            </w:r>
          </w:p>
        </w:tc>
        <w:tc>
          <w:tcPr>
            <w:tcW w:w="1457" w:type="dxa"/>
            <w:tcBorders>
              <w:top w:val="nil"/>
              <w:left w:val="nil"/>
              <w:bottom w:val="single" w:sz="4" w:space="0" w:color="auto"/>
              <w:right w:val="single" w:sz="4" w:space="0" w:color="auto"/>
            </w:tcBorders>
            <w:shd w:val="clear" w:color="auto" w:fill="auto"/>
            <w:noWrap/>
            <w:vAlign w:val="bottom"/>
            <w:hideMark/>
          </w:tcPr>
          <w:p w14:paraId="7465C0FB"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9</w:t>
            </w:r>
          </w:p>
        </w:tc>
        <w:tc>
          <w:tcPr>
            <w:tcW w:w="1458" w:type="dxa"/>
            <w:tcBorders>
              <w:top w:val="nil"/>
              <w:left w:val="nil"/>
              <w:bottom w:val="single" w:sz="4" w:space="0" w:color="auto"/>
              <w:right w:val="single" w:sz="4" w:space="0" w:color="auto"/>
            </w:tcBorders>
            <w:shd w:val="clear" w:color="auto" w:fill="auto"/>
            <w:noWrap/>
            <w:vAlign w:val="bottom"/>
            <w:hideMark/>
          </w:tcPr>
          <w:p w14:paraId="7EA94AF3"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316</w:t>
            </w:r>
          </w:p>
        </w:tc>
        <w:tc>
          <w:tcPr>
            <w:tcW w:w="1457" w:type="dxa"/>
            <w:tcBorders>
              <w:top w:val="nil"/>
              <w:left w:val="nil"/>
              <w:bottom w:val="single" w:sz="4" w:space="0" w:color="auto"/>
              <w:right w:val="single" w:sz="4" w:space="0" w:color="auto"/>
            </w:tcBorders>
            <w:shd w:val="clear" w:color="auto" w:fill="auto"/>
            <w:noWrap/>
            <w:vAlign w:val="bottom"/>
            <w:hideMark/>
          </w:tcPr>
          <w:p w14:paraId="3FAD5087"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217</w:t>
            </w:r>
          </w:p>
        </w:tc>
        <w:tc>
          <w:tcPr>
            <w:tcW w:w="1457" w:type="dxa"/>
            <w:tcBorders>
              <w:top w:val="nil"/>
              <w:left w:val="nil"/>
              <w:bottom w:val="single" w:sz="4" w:space="0" w:color="auto"/>
              <w:right w:val="single" w:sz="4" w:space="0" w:color="auto"/>
            </w:tcBorders>
            <w:shd w:val="clear" w:color="auto" w:fill="auto"/>
            <w:noWrap/>
            <w:vAlign w:val="bottom"/>
            <w:hideMark/>
          </w:tcPr>
          <w:p w14:paraId="76F71572"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88</w:t>
            </w:r>
          </w:p>
        </w:tc>
        <w:tc>
          <w:tcPr>
            <w:tcW w:w="1458" w:type="dxa"/>
            <w:tcBorders>
              <w:top w:val="nil"/>
              <w:left w:val="nil"/>
              <w:bottom w:val="single" w:sz="4" w:space="0" w:color="auto"/>
              <w:right w:val="single" w:sz="4" w:space="0" w:color="auto"/>
            </w:tcBorders>
            <w:shd w:val="clear" w:color="auto" w:fill="auto"/>
            <w:noWrap/>
            <w:vAlign w:val="bottom"/>
            <w:hideMark/>
          </w:tcPr>
          <w:p w14:paraId="7FFE9E69"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70</w:t>
            </w:r>
          </w:p>
        </w:tc>
      </w:tr>
      <w:tr w:rsidR="00224658" w:rsidRPr="00A26C26" w14:paraId="73F1FF30" w14:textId="77777777" w:rsidTr="007F1E76">
        <w:trPr>
          <w:trHeight w:val="249"/>
        </w:trPr>
        <w:tc>
          <w:tcPr>
            <w:tcW w:w="1457" w:type="dxa"/>
            <w:tcBorders>
              <w:top w:val="nil"/>
              <w:left w:val="single" w:sz="4" w:space="0" w:color="auto"/>
              <w:bottom w:val="single" w:sz="4" w:space="0" w:color="auto"/>
              <w:right w:val="single" w:sz="4" w:space="0" w:color="auto"/>
            </w:tcBorders>
            <w:shd w:val="clear" w:color="auto" w:fill="auto"/>
            <w:vAlign w:val="center"/>
            <w:hideMark/>
          </w:tcPr>
          <w:p w14:paraId="14AEFA52"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Rychwał</w:t>
            </w:r>
          </w:p>
        </w:tc>
        <w:tc>
          <w:tcPr>
            <w:tcW w:w="1457" w:type="dxa"/>
            <w:tcBorders>
              <w:top w:val="nil"/>
              <w:left w:val="nil"/>
              <w:bottom w:val="single" w:sz="4" w:space="0" w:color="auto"/>
              <w:right w:val="single" w:sz="4" w:space="0" w:color="auto"/>
            </w:tcBorders>
            <w:shd w:val="clear" w:color="auto" w:fill="auto"/>
            <w:noWrap/>
            <w:vAlign w:val="bottom"/>
            <w:hideMark/>
          </w:tcPr>
          <w:p w14:paraId="17C5EB11" w14:textId="629DD58C"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056</w:t>
            </w:r>
          </w:p>
        </w:tc>
        <w:tc>
          <w:tcPr>
            <w:tcW w:w="1457" w:type="dxa"/>
            <w:tcBorders>
              <w:top w:val="nil"/>
              <w:left w:val="nil"/>
              <w:bottom w:val="single" w:sz="4" w:space="0" w:color="auto"/>
              <w:right w:val="single" w:sz="4" w:space="0" w:color="auto"/>
            </w:tcBorders>
            <w:shd w:val="clear" w:color="auto" w:fill="auto"/>
            <w:noWrap/>
            <w:vAlign w:val="bottom"/>
            <w:hideMark/>
          </w:tcPr>
          <w:p w14:paraId="1ED7A566"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11</w:t>
            </w:r>
          </w:p>
        </w:tc>
        <w:tc>
          <w:tcPr>
            <w:tcW w:w="1458" w:type="dxa"/>
            <w:tcBorders>
              <w:top w:val="nil"/>
              <w:left w:val="nil"/>
              <w:bottom w:val="single" w:sz="4" w:space="0" w:color="auto"/>
              <w:right w:val="single" w:sz="4" w:space="0" w:color="auto"/>
            </w:tcBorders>
            <w:shd w:val="clear" w:color="auto" w:fill="auto"/>
            <w:noWrap/>
            <w:vAlign w:val="bottom"/>
            <w:hideMark/>
          </w:tcPr>
          <w:p w14:paraId="51F0F2B3"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454</w:t>
            </w:r>
          </w:p>
        </w:tc>
        <w:tc>
          <w:tcPr>
            <w:tcW w:w="1457" w:type="dxa"/>
            <w:tcBorders>
              <w:top w:val="nil"/>
              <w:left w:val="nil"/>
              <w:bottom w:val="single" w:sz="4" w:space="0" w:color="auto"/>
              <w:right w:val="single" w:sz="4" w:space="0" w:color="auto"/>
            </w:tcBorders>
            <w:shd w:val="clear" w:color="auto" w:fill="auto"/>
            <w:noWrap/>
            <w:vAlign w:val="bottom"/>
            <w:hideMark/>
          </w:tcPr>
          <w:p w14:paraId="239BA328"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333</w:t>
            </w:r>
          </w:p>
        </w:tc>
        <w:tc>
          <w:tcPr>
            <w:tcW w:w="1457" w:type="dxa"/>
            <w:tcBorders>
              <w:top w:val="nil"/>
              <w:left w:val="nil"/>
              <w:bottom w:val="single" w:sz="4" w:space="0" w:color="auto"/>
              <w:right w:val="single" w:sz="4" w:space="0" w:color="auto"/>
            </w:tcBorders>
            <w:shd w:val="clear" w:color="auto" w:fill="auto"/>
            <w:noWrap/>
            <w:vAlign w:val="bottom"/>
            <w:hideMark/>
          </w:tcPr>
          <w:p w14:paraId="24CEFF1D"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144</w:t>
            </w:r>
          </w:p>
        </w:tc>
        <w:tc>
          <w:tcPr>
            <w:tcW w:w="1458" w:type="dxa"/>
            <w:tcBorders>
              <w:top w:val="nil"/>
              <w:left w:val="nil"/>
              <w:bottom w:val="single" w:sz="4" w:space="0" w:color="auto"/>
              <w:right w:val="single" w:sz="4" w:space="0" w:color="auto"/>
            </w:tcBorders>
            <w:shd w:val="clear" w:color="auto" w:fill="auto"/>
            <w:noWrap/>
            <w:vAlign w:val="bottom"/>
            <w:hideMark/>
          </w:tcPr>
          <w:p w14:paraId="341DBD40"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114</w:t>
            </w:r>
          </w:p>
        </w:tc>
      </w:tr>
      <w:tr w:rsidR="00224658" w:rsidRPr="00A26C26" w14:paraId="4B1E13A0" w14:textId="77777777" w:rsidTr="007F1E76">
        <w:trPr>
          <w:trHeight w:val="249"/>
        </w:trPr>
        <w:tc>
          <w:tcPr>
            <w:tcW w:w="1457" w:type="dxa"/>
            <w:tcBorders>
              <w:top w:val="nil"/>
              <w:left w:val="single" w:sz="4" w:space="0" w:color="auto"/>
              <w:bottom w:val="single" w:sz="4" w:space="0" w:color="auto"/>
              <w:right w:val="single" w:sz="4" w:space="0" w:color="auto"/>
            </w:tcBorders>
            <w:shd w:val="clear" w:color="auto" w:fill="auto"/>
            <w:vAlign w:val="center"/>
            <w:hideMark/>
          </w:tcPr>
          <w:p w14:paraId="25D7C475"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Rzgów</w:t>
            </w:r>
          </w:p>
        </w:tc>
        <w:tc>
          <w:tcPr>
            <w:tcW w:w="1457" w:type="dxa"/>
            <w:tcBorders>
              <w:top w:val="nil"/>
              <w:left w:val="nil"/>
              <w:bottom w:val="single" w:sz="4" w:space="0" w:color="auto"/>
              <w:right w:val="single" w:sz="4" w:space="0" w:color="auto"/>
            </w:tcBorders>
            <w:shd w:val="clear" w:color="auto" w:fill="auto"/>
            <w:noWrap/>
            <w:vAlign w:val="bottom"/>
            <w:hideMark/>
          </w:tcPr>
          <w:p w14:paraId="61988542"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792</w:t>
            </w:r>
          </w:p>
        </w:tc>
        <w:tc>
          <w:tcPr>
            <w:tcW w:w="1457" w:type="dxa"/>
            <w:tcBorders>
              <w:top w:val="nil"/>
              <w:left w:val="nil"/>
              <w:bottom w:val="single" w:sz="4" w:space="0" w:color="auto"/>
              <w:right w:val="single" w:sz="4" w:space="0" w:color="auto"/>
            </w:tcBorders>
            <w:shd w:val="clear" w:color="auto" w:fill="auto"/>
            <w:noWrap/>
            <w:vAlign w:val="bottom"/>
            <w:hideMark/>
          </w:tcPr>
          <w:p w14:paraId="333D1D21"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10</w:t>
            </w:r>
          </w:p>
        </w:tc>
        <w:tc>
          <w:tcPr>
            <w:tcW w:w="1458" w:type="dxa"/>
            <w:tcBorders>
              <w:top w:val="nil"/>
              <w:left w:val="nil"/>
              <w:bottom w:val="single" w:sz="4" w:space="0" w:color="auto"/>
              <w:right w:val="single" w:sz="4" w:space="0" w:color="auto"/>
            </w:tcBorders>
            <w:shd w:val="clear" w:color="auto" w:fill="auto"/>
            <w:noWrap/>
            <w:vAlign w:val="bottom"/>
            <w:hideMark/>
          </w:tcPr>
          <w:p w14:paraId="4A9340E5"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396</w:t>
            </w:r>
          </w:p>
        </w:tc>
        <w:tc>
          <w:tcPr>
            <w:tcW w:w="1457" w:type="dxa"/>
            <w:tcBorders>
              <w:top w:val="nil"/>
              <w:left w:val="nil"/>
              <w:bottom w:val="single" w:sz="4" w:space="0" w:color="auto"/>
              <w:right w:val="single" w:sz="4" w:space="0" w:color="auto"/>
            </w:tcBorders>
            <w:shd w:val="clear" w:color="auto" w:fill="auto"/>
            <w:noWrap/>
            <w:vAlign w:val="bottom"/>
            <w:hideMark/>
          </w:tcPr>
          <w:p w14:paraId="0E2D7D17"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194</w:t>
            </w:r>
          </w:p>
        </w:tc>
        <w:tc>
          <w:tcPr>
            <w:tcW w:w="1457" w:type="dxa"/>
            <w:tcBorders>
              <w:top w:val="nil"/>
              <w:left w:val="nil"/>
              <w:bottom w:val="single" w:sz="4" w:space="0" w:color="auto"/>
              <w:right w:val="single" w:sz="4" w:space="0" w:color="auto"/>
            </w:tcBorders>
            <w:shd w:val="clear" w:color="auto" w:fill="auto"/>
            <w:noWrap/>
            <w:vAlign w:val="bottom"/>
            <w:hideMark/>
          </w:tcPr>
          <w:p w14:paraId="0224A46A"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107</w:t>
            </w:r>
          </w:p>
        </w:tc>
        <w:tc>
          <w:tcPr>
            <w:tcW w:w="1458" w:type="dxa"/>
            <w:tcBorders>
              <w:top w:val="nil"/>
              <w:left w:val="nil"/>
              <w:bottom w:val="single" w:sz="4" w:space="0" w:color="auto"/>
              <w:right w:val="single" w:sz="4" w:space="0" w:color="auto"/>
            </w:tcBorders>
            <w:shd w:val="clear" w:color="auto" w:fill="auto"/>
            <w:noWrap/>
            <w:vAlign w:val="bottom"/>
            <w:hideMark/>
          </w:tcPr>
          <w:p w14:paraId="52C42DCE"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85</w:t>
            </w:r>
          </w:p>
        </w:tc>
      </w:tr>
      <w:tr w:rsidR="00224658" w:rsidRPr="00A26C26" w14:paraId="0E84FA41" w14:textId="77777777" w:rsidTr="007F1E76">
        <w:trPr>
          <w:trHeight w:val="249"/>
        </w:trPr>
        <w:tc>
          <w:tcPr>
            <w:tcW w:w="1457" w:type="dxa"/>
            <w:tcBorders>
              <w:top w:val="nil"/>
              <w:left w:val="single" w:sz="4" w:space="0" w:color="auto"/>
              <w:bottom w:val="single" w:sz="4" w:space="0" w:color="auto"/>
              <w:right w:val="single" w:sz="4" w:space="0" w:color="auto"/>
            </w:tcBorders>
            <w:shd w:val="clear" w:color="auto" w:fill="auto"/>
            <w:vAlign w:val="center"/>
            <w:hideMark/>
          </w:tcPr>
          <w:p w14:paraId="5BE3BF29" w14:textId="5DA4D850"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Stare</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Miasto</w:t>
            </w:r>
          </w:p>
        </w:tc>
        <w:tc>
          <w:tcPr>
            <w:tcW w:w="1457" w:type="dxa"/>
            <w:tcBorders>
              <w:top w:val="nil"/>
              <w:left w:val="nil"/>
              <w:bottom w:val="single" w:sz="4" w:space="0" w:color="auto"/>
              <w:right w:val="single" w:sz="4" w:space="0" w:color="auto"/>
            </w:tcBorders>
            <w:shd w:val="clear" w:color="auto" w:fill="auto"/>
            <w:noWrap/>
            <w:vAlign w:val="bottom"/>
            <w:hideMark/>
          </w:tcPr>
          <w:p w14:paraId="4B296029"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889</w:t>
            </w:r>
          </w:p>
        </w:tc>
        <w:tc>
          <w:tcPr>
            <w:tcW w:w="1457" w:type="dxa"/>
            <w:tcBorders>
              <w:top w:val="nil"/>
              <w:left w:val="nil"/>
              <w:bottom w:val="single" w:sz="4" w:space="0" w:color="auto"/>
              <w:right w:val="single" w:sz="4" w:space="0" w:color="auto"/>
            </w:tcBorders>
            <w:shd w:val="clear" w:color="auto" w:fill="auto"/>
            <w:noWrap/>
            <w:vAlign w:val="bottom"/>
            <w:hideMark/>
          </w:tcPr>
          <w:p w14:paraId="0D5ADDB0"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6</w:t>
            </w:r>
          </w:p>
        </w:tc>
        <w:tc>
          <w:tcPr>
            <w:tcW w:w="1458" w:type="dxa"/>
            <w:tcBorders>
              <w:top w:val="nil"/>
              <w:left w:val="nil"/>
              <w:bottom w:val="single" w:sz="4" w:space="0" w:color="auto"/>
              <w:right w:val="single" w:sz="4" w:space="0" w:color="auto"/>
            </w:tcBorders>
            <w:shd w:val="clear" w:color="auto" w:fill="auto"/>
            <w:noWrap/>
            <w:vAlign w:val="bottom"/>
            <w:hideMark/>
          </w:tcPr>
          <w:p w14:paraId="71F765C7"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501</w:t>
            </w:r>
          </w:p>
        </w:tc>
        <w:tc>
          <w:tcPr>
            <w:tcW w:w="1457" w:type="dxa"/>
            <w:tcBorders>
              <w:top w:val="nil"/>
              <w:left w:val="nil"/>
              <w:bottom w:val="single" w:sz="4" w:space="0" w:color="auto"/>
              <w:right w:val="single" w:sz="4" w:space="0" w:color="auto"/>
            </w:tcBorders>
            <w:shd w:val="clear" w:color="auto" w:fill="auto"/>
            <w:noWrap/>
            <w:vAlign w:val="bottom"/>
            <w:hideMark/>
          </w:tcPr>
          <w:p w14:paraId="3B087004"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232</w:t>
            </w:r>
          </w:p>
        </w:tc>
        <w:tc>
          <w:tcPr>
            <w:tcW w:w="1457" w:type="dxa"/>
            <w:tcBorders>
              <w:top w:val="nil"/>
              <w:left w:val="nil"/>
              <w:bottom w:val="single" w:sz="4" w:space="0" w:color="auto"/>
              <w:right w:val="single" w:sz="4" w:space="0" w:color="auto"/>
            </w:tcBorders>
            <w:shd w:val="clear" w:color="auto" w:fill="auto"/>
            <w:noWrap/>
            <w:vAlign w:val="bottom"/>
            <w:hideMark/>
          </w:tcPr>
          <w:p w14:paraId="4DBE1282"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78</w:t>
            </w:r>
          </w:p>
        </w:tc>
        <w:tc>
          <w:tcPr>
            <w:tcW w:w="1458" w:type="dxa"/>
            <w:tcBorders>
              <w:top w:val="nil"/>
              <w:left w:val="nil"/>
              <w:bottom w:val="single" w:sz="4" w:space="0" w:color="auto"/>
              <w:right w:val="single" w:sz="4" w:space="0" w:color="auto"/>
            </w:tcBorders>
            <w:shd w:val="clear" w:color="auto" w:fill="auto"/>
            <w:noWrap/>
            <w:vAlign w:val="bottom"/>
            <w:hideMark/>
          </w:tcPr>
          <w:p w14:paraId="0FD8E2E4"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72</w:t>
            </w:r>
          </w:p>
        </w:tc>
      </w:tr>
      <w:tr w:rsidR="00224658" w:rsidRPr="00A26C26" w14:paraId="7FBA1438" w14:textId="77777777" w:rsidTr="007F1E76">
        <w:trPr>
          <w:trHeight w:val="249"/>
        </w:trPr>
        <w:tc>
          <w:tcPr>
            <w:tcW w:w="1457" w:type="dxa"/>
            <w:tcBorders>
              <w:top w:val="nil"/>
              <w:left w:val="single" w:sz="4" w:space="0" w:color="auto"/>
              <w:bottom w:val="single" w:sz="4" w:space="0" w:color="auto"/>
              <w:right w:val="single" w:sz="4" w:space="0" w:color="auto"/>
            </w:tcBorders>
            <w:shd w:val="clear" w:color="auto" w:fill="auto"/>
            <w:vAlign w:val="center"/>
            <w:hideMark/>
          </w:tcPr>
          <w:p w14:paraId="1E8156A6"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Tuliszków</w:t>
            </w:r>
          </w:p>
        </w:tc>
        <w:tc>
          <w:tcPr>
            <w:tcW w:w="1457" w:type="dxa"/>
            <w:tcBorders>
              <w:top w:val="nil"/>
              <w:left w:val="nil"/>
              <w:bottom w:val="single" w:sz="4" w:space="0" w:color="auto"/>
              <w:right w:val="single" w:sz="4" w:space="0" w:color="auto"/>
            </w:tcBorders>
            <w:shd w:val="clear" w:color="auto" w:fill="auto"/>
            <w:noWrap/>
            <w:vAlign w:val="bottom"/>
            <w:hideMark/>
          </w:tcPr>
          <w:p w14:paraId="62E5D945"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979</w:t>
            </w:r>
          </w:p>
        </w:tc>
        <w:tc>
          <w:tcPr>
            <w:tcW w:w="1457" w:type="dxa"/>
            <w:tcBorders>
              <w:top w:val="nil"/>
              <w:left w:val="nil"/>
              <w:bottom w:val="single" w:sz="4" w:space="0" w:color="auto"/>
              <w:right w:val="single" w:sz="4" w:space="0" w:color="auto"/>
            </w:tcBorders>
            <w:shd w:val="clear" w:color="auto" w:fill="auto"/>
            <w:noWrap/>
            <w:vAlign w:val="bottom"/>
            <w:hideMark/>
          </w:tcPr>
          <w:p w14:paraId="26CD2A66"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6</w:t>
            </w:r>
          </w:p>
        </w:tc>
        <w:tc>
          <w:tcPr>
            <w:tcW w:w="1458" w:type="dxa"/>
            <w:tcBorders>
              <w:top w:val="nil"/>
              <w:left w:val="nil"/>
              <w:bottom w:val="single" w:sz="4" w:space="0" w:color="auto"/>
              <w:right w:val="single" w:sz="4" w:space="0" w:color="auto"/>
            </w:tcBorders>
            <w:shd w:val="clear" w:color="auto" w:fill="auto"/>
            <w:noWrap/>
            <w:vAlign w:val="bottom"/>
            <w:hideMark/>
          </w:tcPr>
          <w:p w14:paraId="27E047F9"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487</w:t>
            </w:r>
          </w:p>
        </w:tc>
        <w:tc>
          <w:tcPr>
            <w:tcW w:w="1457" w:type="dxa"/>
            <w:tcBorders>
              <w:top w:val="nil"/>
              <w:left w:val="nil"/>
              <w:bottom w:val="single" w:sz="4" w:space="0" w:color="auto"/>
              <w:right w:val="single" w:sz="4" w:space="0" w:color="auto"/>
            </w:tcBorders>
            <w:shd w:val="clear" w:color="auto" w:fill="auto"/>
            <w:noWrap/>
            <w:vAlign w:val="bottom"/>
            <w:hideMark/>
          </w:tcPr>
          <w:p w14:paraId="6235E8C8"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310</w:t>
            </w:r>
          </w:p>
        </w:tc>
        <w:tc>
          <w:tcPr>
            <w:tcW w:w="1457" w:type="dxa"/>
            <w:tcBorders>
              <w:top w:val="nil"/>
              <w:left w:val="nil"/>
              <w:bottom w:val="single" w:sz="4" w:space="0" w:color="auto"/>
              <w:right w:val="single" w:sz="4" w:space="0" w:color="auto"/>
            </w:tcBorders>
            <w:shd w:val="clear" w:color="auto" w:fill="auto"/>
            <w:noWrap/>
            <w:vAlign w:val="bottom"/>
            <w:hideMark/>
          </w:tcPr>
          <w:p w14:paraId="49302BE1"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101</w:t>
            </w:r>
          </w:p>
        </w:tc>
        <w:tc>
          <w:tcPr>
            <w:tcW w:w="1458" w:type="dxa"/>
            <w:tcBorders>
              <w:top w:val="nil"/>
              <w:left w:val="nil"/>
              <w:bottom w:val="single" w:sz="4" w:space="0" w:color="auto"/>
              <w:right w:val="single" w:sz="4" w:space="0" w:color="auto"/>
            </w:tcBorders>
            <w:shd w:val="clear" w:color="auto" w:fill="auto"/>
            <w:noWrap/>
            <w:vAlign w:val="bottom"/>
            <w:hideMark/>
          </w:tcPr>
          <w:p w14:paraId="58102DCE"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75</w:t>
            </w:r>
          </w:p>
        </w:tc>
      </w:tr>
      <w:tr w:rsidR="00224658" w:rsidRPr="00A26C26" w14:paraId="15755F5B" w14:textId="77777777" w:rsidTr="007F1E76">
        <w:trPr>
          <w:trHeight w:val="249"/>
        </w:trPr>
        <w:tc>
          <w:tcPr>
            <w:tcW w:w="1457" w:type="dxa"/>
            <w:tcBorders>
              <w:top w:val="nil"/>
              <w:left w:val="single" w:sz="4" w:space="0" w:color="auto"/>
              <w:bottom w:val="single" w:sz="4" w:space="0" w:color="auto"/>
              <w:right w:val="single" w:sz="4" w:space="0" w:color="auto"/>
            </w:tcBorders>
            <w:shd w:val="clear" w:color="000000" w:fill="DDEBF7"/>
            <w:vAlign w:val="center"/>
            <w:hideMark/>
          </w:tcPr>
          <w:p w14:paraId="20A6A720" w14:textId="088D9B2D"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Razem</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LGD</w:t>
            </w:r>
          </w:p>
        </w:tc>
        <w:tc>
          <w:tcPr>
            <w:tcW w:w="1457" w:type="dxa"/>
            <w:tcBorders>
              <w:top w:val="nil"/>
              <w:left w:val="nil"/>
              <w:bottom w:val="single" w:sz="4" w:space="0" w:color="auto"/>
              <w:right w:val="single" w:sz="4" w:space="0" w:color="auto"/>
            </w:tcBorders>
            <w:shd w:val="clear" w:color="000000" w:fill="DDEBF7"/>
            <w:vAlign w:val="center"/>
            <w:hideMark/>
          </w:tcPr>
          <w:p w14:paraId="346636FD" w14:textId="3A36009F"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5</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127</w:t>
            </w:r>
          </w:p>
        </w:tc>
        <w:tc>
          <w:tcPr>
            <w:tcW w:w="1457" w:type="dxa"/>
            <w:tcBorders>
              <w:top w:val="nil"/>
              <w:left w:val="nil"/>
              <w:bottom w:val="single" w:sz="4" w:space="0" w:color="auto"/>
              <w:right w:val="single" w:sz="4" w:space="0" w:color="auto"/>
            </w:tcBorders>
            <w:shd w:val="clear" w:color="000000" w:fill="DDEBF7"/>
            <w:vAlign w:val="center"/>
            <w:hideMark/>
          </w:tcPr>
          <w:p w14:paraId="505862DF"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46</w:t>
            </w:r>
          </w:p>
        </w:tc>
        <w:tc>
          <w:tcPr>
            <w:tcW w:w="1458" w:type="dxa"/>
            <w:tcBorders>
              <w:top w:val="nil"/>
              <w:left w:val="nil"/>
              <w:bottom w:val="single" w:sz="4" w:space="0" w:color="auto"/>
              <w:right w:val="single" w:sz="4" w:space="0" w:color="auto"/>
            </w:tcBorders>
            <w:shd w:val="clear" w:color="000000" w:fill="DDEBF7"/>
            <w:vAlign w:val="center"/>
            <w:hideMark/>
          </w:tcPr>
          <w:p w14:paraId="69D5F27B" w14:textId="78CD5E2B"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523</w:t>
            </w:r>
          </w:p>
        </w:tc>
        <w:tc>
          <w:tcPr>
            <w:tcW w:w="1457" w:type="dxa"/>
            <w:tcBorders>
              <w:top w:val="nil"/>
              <w:left w:val="nil"/>
              <w:bottom w:val="single" w:sz="4" w:space="0" w:color="auto"/>
              <w:right w:val="single" w:sz="4" w:space="0" w:color="auto"/>
            </w:tcBorders>
            <w:shd w:val="clear" w:color="000000" w:fill="DDEBF7"/>
            <w:vAlign w:val="center"/>
            <w:hideMark/>
          </w:tcPr>
          <w:p w14:paraId="4FC440FC" w14:textId="6ECC7E35"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459</w:t>
            </w:r>
          </w:p>
        </w:tc>
        <w:tc>
          <w:tcPr>
            <w:tcW w:w="1457" w:type="dxa"/>
            <w:tcBorders>
              <w:top w:val="nil"/>
              <w:left w:val="nil"/>
              <w:bottom w:val="single" w:sz="4" w:space="0" w:color="auto"/>
              <w:right w:val="single" w:sz="4" w:space="0" w:color="auto"/>
            </w:tcBorders>
            <w:shd w:val="clear" w:color="000000" w:fill="DDEBF7"/>
            <w:vAlign w:val="center"/>
            <w:hideMark/>
          </w:tcPr>
          <w:p w14:paraId="36FDD764"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599</w:t>
            </w:r>
          </w:p>
        </w:tc>
        <w:tc>
          <w:tcPr>
            <w:tcW w:w="1458" w:type="dxa"/>
            <w:tcBorders>
              <w:top w:val="nil"/>
              <w:left w:val="nil"/>
              <w:bottom w:val="single" w:sz="4" w:space="0" w:color="auto"/>
              <w:right w:val="single" w:sz="4" w:space="0" w:color="auto"/>
            </w:tcBorders>
            <w:shd w:val="clear" w:color="000000" w:fill="DDEBF7"/>
            <w:vAlign w:val="center"/>
            <w:hideMark/>
          </w:tcPr>
          <w:p w14:paraId="433CFAFC"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500</w:t>
            </w:r>
          </w:p>
        </w:tc>
      </w:tr>
      <w:tr w:rsidR="00224658" w:rsidRPr="00A26C26" w14:paraId="5BA440F3" w14:textId="77777777" w:rsidTr="007F1E76">
        <w:trPr>
          <w:trHeight w:val="249"/>
        </w:trPr>
        <w:tc>
          <w:tcPr>
            <w:tcW w:w="1457" w:type="dxa"/>
            <w:tcBorders>
              <w:top w:val="nil"/>
              <w:left w:val="single" w:sz="4" w:space="0" w:color="auto"/>
              <w:bottom w:val="single" w:sz="4" w:space="0" w:color="auto"/>
              <w:right w:val="single" w:sz="4" w:space="0" w:color="auto"/>
            </w:tcBorders>
            <w:shd w:val="clear" w:color="000000" w:fill="DDEBF7"/>
            <w:vAlign w:val="center"/>
            <w:hideMark/>
          </w:tcPr>
          <w:p w14:paraId="52D7D650" w14:textId="0291493E"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udział</w:t>
            </w:r>
          </w:p>
        </w:tc>
        <w:tc>
          <w:tcPr>
            <w:tcW w:w="1457" w:type="dxa"/>
            <w:tcBorders>
              <w:top w:val="nil"/>
              <w:left w:val="nil"/>
              <w:bottom w:val="single" w:sz="4" w:space="0" w:color="auto"/>
              <w:right w:val="single" w:sz="4" w:space="0" w:color="auto"/>
            </w:tcBorders>
            <w:shd w:val="clear" w:color="000000" w:fill="DDEBF7"/>
            <w:vAlign w:val="center"/>
            <w:hideMark/>
          </w:tcPr>
          <w:p w14:paraId="3D459401"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100</w:t>
            </w:r>
          </w:p>
        </w:tc>
        <w:tc>
          <w:tcPr>
            <w:tcW w:w="1457" w:type="dxa"/>
            <w:tcBorders>
              <w:top w:val="nil"/>
              <w:left w:val="nil"/>
              <w:bottom w:val="single" w:sz="4" w:space="0" w:color="auto"/>
              <w:right w:val="single" w:sz="4" w:space="0" w:color="auto"/>
            </w:tcBorders>
            <w:shd w:val="clear" w:color="000000" w:fill="DDEBF7"/>
            <w:vAlign w:val="center"/>
            <w:hideMark/>
          </w:tcPr>
          <w:p w14:paraId="314BB525"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0,90</w:t>
            </w:r>
          </w:p>
        </w:tc>
        <w:tc>
          <w:tcPr>
            <w:tcW w:w="1458" w:type="dxa"/>
            <w:tcBorders>
              <w:top w:val="nil"/>
              <w:left w:val="nil"/>
              <w:bottom w:val="single" w:sz="4" w:space="0" w:color="auto"/>
              <w:right w:val="single" w:sz="4" w:space="0" w:color="auto"/>
            </w:tcBorders>
            <w:shd w:val="clear" w:color="000000" w:fill="DDEBF7"/>
            <w:vAlign w:val="center"/>
            <w:hideMark/>
          </w:tcPr>
          <w:p w14:paraId="40710A8F"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49,21</w:t>
            </w:r>
          </w:p>
        </w:tc>
        <w:tc>
          <w:tcPr>
            <w:tcW w:w="1457" w:type="dxa"/>
            <w:tcBorders>
              <w:top w:val="nil"/>
              <w:left w:val="nil"/>
              <w:bottom w:val="single" w:sz="4" w:space="0" w:color="auto"/>
              <w:right w:val="single" w:sz="4" w:space="0" w:color="auto"/>
            </w:tcBorders>
            <w:shd w:val="clear" w:color="000000" w:fill="DDEBF7"/>
            <w:vAlign w:val="center"/>
            <w:hideMark/>
          </w:tcPr>
          <w:p w14:paraId="4BAED9AE"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28,46</w:t>
            </w:r>
          </w:p>
        </w:tc>
        <w:tc>
          <w:tcPr>
            <w:tcW w:w="1457" w:type="dxa"/>
            <w:tcBorders>
              <w:top w:val="nil"/>
              <w:left w:val="nil"/>
              <w:bottom w:val="single" w:sz="4" w:space="0" w:color="auto"/>
              <w:right w:val="single" w:sz="4" w:space="0" w:color="auto"/>
            </w:tcBorders>
            <w:shd w:val="clear" w:color="000000" w:fill="DDEBF7"/>
            <w:vAlign w:val="center"/>
            <w:hideMark/>
          </w:tcPr>
          <w:p w14:paraId="0DE1B7DD"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11,68</w:t>
            </w:r>
          </w:p>
        </w:tc>
        <w:tc>
          <w:tcPr>
            <w:tcW w:w="1458" w:type="dxa"/>
            <w:tcBorders>
              <w:top w:val="nil"/>
              <w:left w:val="nil"/>
              <w:bottom w:val="single" w:sz="4" w:space="0" w:color="auto"/>
              <w:right w:val="single" w:sz="4" w:space="0" w:color="auto"/>
            </w:tcBorders>
            <w:shd w:val="clear" w:color="000000" w:fill="DDEBF7"/>
            <w:vAlign w:val="center"/>
            <w:hideMark/>
          </w:tcPr>
          <w:p w14:paraId="27574FFC"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9,75</w:t>
            </w:r>
          </w:p>
        </w:tc>
      </w:tr>
    </w:tbl>
    <w:p w14:paraId="45648C21" w14:textId="58BF350B" w:rsidR="00224658" w:rsidRDefault="00224658" w:rsidP="003E19E8">
      <w:pPr>
        <w:spacing w:line="276" w:lineRule="auto"/>
        <w:rPr>
          <w:rFonts w:cstheme="minorHAnsi"/>
        </w:rPr>
      </w:pPr>
      <w:r w:rsidRPr="00A26C26">
        <w:rPr>
          <w:rFonts w:cstheme="minorHAnsi"/>
        </w:rPr>
        <w:t>Źródło:</w:t>
      </w:r>
      <w:r w:rsidR="003B50ED">
        <w:rPr>
          <w:rFonts w:cstheme="minorHAnsi"/>
        </w:rPr>
        <w:t xml:space="preserve"> </w:t>
      </w:r>
      <w:r w:rsidRPr="00A26C26">
        <w:rPr>
          <w:rFonts w:cstheme="minorHAnsi"/>
        </w:rPr>
        <w:t>GUS,</w:t>
      </w:r>
      <w:r w:rsidR="003B50ED">
        <w:rPr>
          <w:rFonts w:cstheme="minorHAnsi"/>
        </w:rPr>
        <w:t xml:space="preserve"> </w:t>
      </w:r>
      <w:r w:rsidRPr="00A26C26">
        <w:rPr>
          <w:rFonts w:cstheme="minorHAnsi"/>
        </w:rPr>
        <w:t>Bank</w:t>
      </w:r>
      <w:r w:rsidR="003B50ED">
        <w:rPr>
          <w:rFonts w:cstheme="minorHAnsi"/>
        </w:rPr>
        <w:t xml:space="preserve"> </w:t>
      </w:r>
      <w:r w:rsidRPr="00A26C26">
        <w:rPr>
          <w:rFonts w:cstheme="minorHAnsi"/>
        </w:rPr>
        <w:t>Danych</w:t>
      </w:r>
      <w:r w:rsidR="003B50ED">
        <w:rPr>
          <w:rFonts w:cstheme="minorHAnsi"/>
        </w:rPr>
        <w:t xml:space="preserve"> </w:t>
      </w:r>
      <w:r w:rsidR="003E19E8">
        <w:rPr>
          <w:rFonts w:cstheme="minorHAnsi"/>
        </w:rPr>
        <w:t>Lokalnych</w:t>
      </w:r>
    </w:p>
    <w:p w14:paraId="7A80F86B" w14:textId="77777777" w:rsidR="003E19E8" w:rsidRPr="00A26C26" w:rsidRDefault="003E19E8" w:rsidP="003E19E8">
      <w:pPr>
        <w:spacing w:line="276" w:lineRule="auto"/>
        <w:rPr>
          <w:rFonts w:cstheme="minorHAnsi"/>
        </w:rPr>
      </w:pPr>
    </w:p>
    <w:p w14:paraId="3E447682" w14:textId="3A62C734" w:rsidR="00224658" w:rsidRDefault="00224658" w:rsidP="003E19E8">
      <w:pPr>
        <w:spacing w:line="276" w:lineRule="auto"/>
        <w:ind w:firstLine="284"/>
        <w:jc w:val="both"/>
        <w:rPr>
          <w:rFonts w:cstheme="minorHAnsi"/>
          <w:color w:val="000000"/>
        </w:rPr>
      </w:pPr>
      <w:r w:rsidRPr="00A26C26">
        <w:rPr>
          <w:rFonts w:cstheme="minorHAnsi"/>
          <w:color w:val="000000"/>
        </w:rPr>
        <w:t>W</w:t>
      </w:r>
      <w:r w:rsidR="003B50ED">
        <w:rPr>
          <w:rFonts w:cstheme="minorHAnsi"/>
          <w:color w:val="000000"/>
        </w:rPr>
        <w:t xml:space="preserve"> </w:t>
      </w:r>
      <w:r w:rsidRPr="00A26C26">
        <w:rPr>
          <w:rFonts w:cstheme="minorHAnsi"/>
          <w:color w:val="000000"/>
        </w:rPr>
        <w:t>gospodarstwach</w:t>
      </w:r>
      <w:r w:rsidR="003B50ED">
        <w:rPr>
          <w:rFonts w:cstheme="minorHAnsi"/>
          <w:color w:val="000000"/>
        </w:rPr>
        <w:t xml:space="preserve"> </w:t>
      </w:r>
      <w:r w:rsidRPr="00A26C26">
        <w:rPr>
          <w:rFonts w:cstheme="minorHAnsi"/>
          <w:color w:val="000000"/>
        </w:rPr>
        <w:t>rolnych,</w:t>
      </w:r>
      <w:r w:rsidR="003B50ED">
        <w:rPr>
          <w:rFonts w:cstheme="minorHAnsi"/>
          <w:color w:val="000000"/>
        </w:rPr>
        <w:t xml:space="preserve"> </w:t>
      </w:r>
      <w:r w:rsidRPr="00A26C26">
        <w:rPr>
          <w:rFonts w:cstheme="minorHAnsi"/>
          <w:color w:val="000000"/>
        </w:rPr>
        <w:t>wg.</w:t>
      </w:r>
      <w:r w:rsidR="003B50ED">
        <w:rPr>
          <w:rFonts w:cstheme="minorHAnsi"/>
          <w:color w:val="000000"/>
        </w:rPr>
        <w:t xml:space="preserve"> </w:t>
      </w:r>
      <w:r w:rsidRPr="00A26C26">
        <w:rPr>
          <w:rFonts w:cstheme="minorHAnsi"/>
          <w:color w:val="000000"/>
        </w:rPr>
        <w:t>danych</w:t>
      </w:r>
      <w:r w:rsidR="003B50ED">
        <w:rPr>
          <w:rFonts w:cstheme="minorHAnsi"/>
          <w:color w:val="000000"/>
        </w:rPr>
        <w:t xml:space="preserve"> </w:t>
      </w:r>
      <w:r w:rsidRPr="00A26C26">
        <w:rPr>
          <w:rFonts w:cstheme="minorHAnsi"/>
          <w:color w:val="000000"/>
        </w:rPr>
        <w:t>GUS</w:t>
      </w:r>
      <w:r w:rsidR="003B50ED">
        <w:rPr>
          <w:rFonts w:cstheme="minorHAnsi"/>
          <w:color w:val="000000"/>
        </w:rPr>
        <w:t xml:space="preserve"> </w:t>
      </w:r>
      <w:r w:rsidRPr="00A26C26">
        <w:rPr>
          <w:rFonts w:cstheme="minorHAnsi"/>
          <w:color w:val="000000"/>
        </w:rPr>
        <w:t>w</w:t>
      </w:r>
      <w:r w:rsidR="003B50ED">
        <w:rPr>
          <w:rFonts w:cstheme="minorHAnsi"/>
          <w:color w:val="000000"/>
        </w:rPr>
        <w:t xml:space="preserve"> </w:t>
      </w:r>
      <w:r w:rsidRPr="00A26C26">
        <w:rPr>
          <w:rFonts w:cstheme="minorHAnsi"/>
          <w:color w:val="000000"/>
        </w:rPr>
        <w:t>2020</w:t>
      </w:r>
      <w:r w:rsidR="003B50ED">
        <w:rPr>
          <w:rFonts w:cstheme="minorHAnsi"/>
          <w:color w:val="000000"/>
        </w:rPr>
        <w:t xml:space="preserve"> r. </w:t>
      </w:r>
      <w:r w:rsidRPr="00A26C26">
        <w:rPr>
          <w:rFonts w:cstheme="minorHAnsi"/>
          <w:color w:val="000000"/>
        </w:rPr>
        <w:t>zatrudnionych</w:t>
      </w:r>
      <w:r w:rsidR="003B50ED">
        <w:rPr>
          <w:rFonts w:cstheme="minorHAnsi"/>
          <w:color w:val="000000"/>
        </w:rPr>
        <w:t xml:space="preserve"> </w:t>
      </w:r>
      <w:r w:rsidRPr="00A26C26">
        <w:rPr>
          <w:rFonts w:cstheme="minorHAnsi"/>
          <w:color w:val="000000"/>
        </w:rPr>
        <w:t>było</w:t>
      </w:r>
      <w:r w:rsidR="003B50ED">
        <w:rPr>
          <w:rFonts w:cstheme="minorHAnsi"/>
          <w:color w:val="000000"/>
        </w:rPr>
        <w:t xml:space="preserve"> </w:t>
      </w:r>
      <w:r w:rsidRPr="00A26C26">
        <w:rPr>
          <w:rFonts w:cstheme="minorHAnsi"/>
          <w:color w:val="000000"/>
        </w:rPr>
        <w:t>ponad</w:t>
      </w:r>
      <w:r w:rsidR="003B50ED">
        <w:rPr>
          <w:rFonts w:cstheme="minorHAnsi"/>
          <w:color w:val="000000"/>
        </w:rPr>
        <w:t xml:space="preserve"> </w:t>
      </w:r>
      <w:r w:rsidRPr="00A26C26">
        <w:rPr>
          <w:rFonts w:cstheme="minorHAnsi"/>
          <w:color w:val="000000"/>
        </w:rPr>
        <w:t>10</w:t>
      </w:r>
      <w:r w:rsidR="003B50ED">
        <w:rPr>
          <w:rFonts w:cstheme="minorHAnsi"/>
          <w:color w:val="000000"/>
        </w:rPr>
        <w:t xml:space="preserve"> </w:t>
      </w:r>
      <w:r w:rsidRPr="00A26C26">
        <w:rPr>
          <w:rFonts w:cstheme="minorHAnsi"/>
          <w:color w:val="000000"/>
        </w:rPr>
        <w:t>tys.</w:t>
      </w:r>
      <w:r w:rsidR="003B50ED">
        <w:rPr>
          <w:rFonts w:cstheme="minorHAnsi"/>
          <w:color w:val="000000"/>
        </w:rPr>
        <w:t xml:space="preserve"> </w:t>
      </w:r>
      <w:r w:rsidRPr="00A26C26">
        <w:rPr>
          <w:rFonts w:cstheme="minorHAnsi"/>
          <w:color w:val="000000"/>
        </w:rPr>
        <w:t>osób</w:t>
      </w:r>
      <w:r w:rsidR="003B50ED">
        <w:rPr>
          <w:rFonts w:cstheme="minorHAnsi"/>
          <w:color w:val="000000"/>
        </w:rPr>
        <w:t xml:space="preserve"> </w:t>
      </w:r>
      <w:r w:rsidRPr="00A26C26">
        <w:rPr>
          <w:rFonts w:cstheme="minorHAnsi"/>
          <w:color w:val="000000"/>
        </w:rPr>
        <w:t>przy</w:t>
      </w:r>
      <w:r w:rsidR="003B50ED">
        <w:rPr>
          <w:rFonts w:cstheme="minorHAnsi"/>
          <w:color w:val="000000"/>
        </w:rPr>
        <w:t xml:space="preserve"> </w:t>
      </w:r>
      <w:r w:rsidRPr="00A26C26">
        <w:rPr>
          <w:rFonts w:cstheme="minorHAnsi"/>
          <w:color w:val="000000"/>
        </w:rPr>
        <w:t>czym</w:t>
      </w:r>
      <w:r w:rsidR="003B50ED">
        <w:rPr>
          <w:rFonts w:cstheme="minorHAnsi"/>
          <w:color w:val="000000"/>
        </w:rPr>
        <w:t xml:space="preserve"> </w:t>
      </w:r>
      <w:r w:rsidRPr="00A26C26">
        <w:rPr>
          <w:rFonts w:cstheme="minorHAnsi"/>
          <w:color w:val="000000"/>
        </w:rPr>
        <w:t>znaczna</w:t>
      </w:r>
      <w:r w:rsidR="003B50ED">
        <w:rPr>
          <w:rFonts w:cstheme="minorHAnsi"/>
          <w:color w:val="000000"/>
        </w:rPr>
        <w:t xml:space="preserve"> </w:t>
      </w:r>
      <w:r w:rsidRPr="00A26C26">
        <w:rPr>
          <w:rFonts w:cstheme="minorHAnsi"/>
          <w:color w:val="000000"/>
        </w:rPr>
        <w:t>większość</w:t>
      </w:r>
      <w:r w:rsidR="003B50ED">
        <w:rPr>
          <w:rFonts w:cstheme="minorHAnsi"/>
          <w:color w:val="000000"/>
        </w:rPr>
        <w:t xml:space="preserve"> </w:t>
      </w:r>
      <w:r w:rsidRPr="00A26C26">
        <w:rPr>
          <w:rFonts w:cstheme="minorHAnsi"/>
          <w:color w:val="000000"/>
        </w:rPr>
        <w:t>stanowili</w:t>
      </w:r>
      <w:r w:rsidR="003B50ED">
        <w:rPr>
          <w:rFonts w:cstheme="minorHAnsi"/>
          <w:color w:val="000000"/>
        </w:rPr>
        <w:t xml:space="preserve"> </w:t>
      </w:r>
      <w:r w:rsidRPr="00A26C26">
        <w:rPr>
          <w:rFonts w:cstheme="minorHAnsi"/>
          <w:color w:val="000000"/>
        </w:rPr>
        <w:t>mężczyźni</w:t>
      </w:r>
      <w:r w:rsidR="003B50ED">
        <w:rPr>
          <w:rFonts w:cstheme="minorHAnsi"/>
          <w:color w:val="000000"/>
        </w:rPr>
        <w:t xml:space="preserve"> </w:t>
      </w:r>
    </w:p>
    <w:p w14:paraId="40C71B9B" w14:textId="77777777" w:rsidR="003E19E8" w:rsidRPr="00A26C26" w:rsidRDefault="003E19E8" w:rsidP="003E19E8">
      <w:pPr>
        <w:spacing w:line="276" w:lineRule="auto"/>
        <w:ind w:firstLine="284"/>
        <w:jc w:val="both"/>
        <w:rPr>
          <w:rFonts w:cstheme="minorHAnsi"/>
          <w:color w:val="000000"/>
        </w:rPr>
      </w:pPr>
    </w:p>
    <w:p w14:paraId="63833DEE" w14:textId="7F4C4242" w:rsidR="00224658" w:rsidRPr="00A26C26" w:rsidRDefault="00224658" w:rsidP="00A26C26">
      <w:pPr>
        <w:spacing w:line="276" w:lineRule="auto"/>
        <w:jc w:val="both"/>
        <w:rPr>
          <w:rFonts w:cstheme="minorHAnsi"/>
          <w:color w:val="000000"/>
        </w:rPr>
      </w:pPr>
      <w:r w:rsidRPr="00A26C26">
        <w:rPr>
          <w:rFonts w:cstheme="minorHAnsi"/>
          <w:color w:val="000000"/>
        </w:rPr>
        <w:t>Tabela</w:t>
      </w:r>
      <w:r w:rsidR="00396A11">
        <w:rPr>
          <w:rFonts w:cstheme="minorHAnsi"/>
          <w:color w:val="000000"/>
        </w:rPr>
        <w:t xml:space="preserve"> nr 2</w:t>
      </w:r>
      <w:r w:rsidR="00203429">
        <w:rPr>
          <w:rFonts w:cstheme="minorHAnsi"/>
          <w:color w:val="000000"/>
        </w:rPr>
        <w:t>5</w:t>
      </w:r>
      <w:r w:rsidR="003B50ED">
        <w:rPr>
          <w:rFonts w:cstheme="minorHAnsi"/>
          <w:color w:val="000000"/>
        </w:rPr>
        <w:t xml:space="preserve"> </w:t>
      </w:r>
      <w:r w:rsidRPr="00A26C26">
        <w:rPr>
          <w:rFonts w:cstheme="minorHAnsi"/>
          <w:color w:val="000000"/>
        </w:rPr>
        <w:t>Pracujący</w:t>
      </w:r>
      <w:r w:rsidR="003B50ED">
        <w:rPr>
          <w:rFonts w:cstheme="minorHAnsi"/>
          <w:color w:val="000000"/>
        </w:rPr>
        <w:t xml:space="preserve"> </w:t>
      </w:r>
      <w:r w:rsidRPr="00A26C26">
        <w:rPr>
          <w:rFonts w:cstheme="minorHAnsi"/>
          <w:color w:val="000000"/>
        </w:rPr>
        <w:t>w</w:t>
      </w:r>
      <w:r w:rsidR="003B50ED">
        <w:rPr>
          <w:rFonts w:cstheme="minorHAnsi"/>
          <w:color w:val="000000"/>
        </w:rPr>
        <w:t xml:space="preserve"> </w:t>
      </w:r>
      <w:r w:rsidRPr="00A26C26">
        <w:rPr>
          <w:rFonts w:cstheme="minorHAnsi"/>
          <w:color w:val="000000"/>
        </w:rPr>
        <w:t>gospodarstwach</w:t>
      </w:r>
      <w:r w:rsidR="003B50ED">
        <w:rPr>
          <w:rFonts w:cstheme="minorHAnsi"/>
          <w:color w:val="000000"/>
        </w:rPr>
        <w:t xml:space="preserve"> </w:t>
      </w:r>
      <w:r w:rsidRPr="00A26C26">
        <w:rPr>
          <w:rFonts w:cstheme="minorHAnsi"/>
          <w:color w:val="000000"/>
        </w:rPr>
        <w:t>rolnych</w:t>
      </w:r>
      <w:r w:rsidR="003B50ED">
        <w:rPr>
          <w:rFonts w:cstheme="minorHAnsi"/>
          <w:color w:val="000000"/>
        </w:rPr>
        <w:t xml:space="preserve"> </w:t>
      </w:r>
      <w:r w:rsidRPr="00A26C26">
        <w:rPr>
          <w:rFonts w:cstheme="minorHAnsi"/>
          <w:color w:val="000000"/>
        </w:rPr>
        <w:t>(członkowie</w:t>
      </w:r>
      <w:r w:rsidR="003B50ED">
        <w:rPr>
          <w:rFonts w:cstheme="minorHAnsi"/>
          <w:color w:val="000000"/>
        </w:rPr>
        <w:t xml:space="preserve"> </w:t>
      </w:r>
      <w:r w:rsidRPr="00A26C26">
        <w:rPr>
          <w:rFonts w:cstheme="minorHAnsi"/>
          <w:color w:val="000000"/>
        </w:rPr>
        <w:t>rodziny</w:t>
      </w:r>
      <w:r w:rsidR="003B50ED">
        <w:rPr>
          <w:rFonts w:cstheme="minorHAnsi"/>
          <w:color w:val="000000"/>
        </w:rPr>
        <w:t xml:space="preserve"> </w:t>
      </w:r>
      <w:r w:rsidRPr="00A26C26">
        <w:rPr>
          <w:rFonts w:cstheme="minorHAnsi"/>
          <w:color w:val="000000"/>
        </w:rPr>
        <w:t>i</w:t>
      </w:r>
      <w:r w:rsidR="003B50ED">
        <w:rPr>
          <w:rFonts w:cstheme="minorHAnsi"/>
          <w:color w:val="000000"/>
        </w:rPr>
        <w:t xml:space="preserve"> </w:t>
      </w:r>
      <w:r w:rsidRPr="00A26C26">
        <w:rPr>
          <w:rFonts w:cstheme="minorHAnsi"/>
          <w:color w:val="000000"/>
        </w:rPr>
        <w:t>pracujący</w:t>
      </w:r>
      <w:r w:rsidR="003B50ED">
        <w:rPr>
          <w:rFonts w:cstheme="minorHAnsi"/>
          <w:color w:val="000000"/>
        </w:rPr>
        <w:t xml:space="preserve"> </w:t>
      </w:r>
      <w:r w:rsidRPr="00A26C26">
        <w:rPr>
          <w:rFonts w:cstheme="minorHAnsi"/>
          <w:color w:val="000000"/>
        </w:rPr>
        <w:t>najemni</w:t>
      </w:r>
      <w:r w:rsidR="003B50ED">
        <w:rPr>
          <w:rFonts w:cstheme="minorHAnsi"/>
          <w:color w:val="000000"/>
        </w:rPr>
        <w:t xml:space="preserve"> </w:t>
      </w:r>
      <w:r w:rsidRPr="00A26C26">
        <w:rPr>
          <w:rFonts w:cstheme="minorHAnsi"/>
          <w:color w:val="000000"/>
        </w:rPr>
        <w:t>stali)</w:t>
      </w:r>
      <w:r w:rsidR="003B50ED">
        <w:rPr>
          <w:rFonts w:cstheme="minorHAnsi"/>
          <w:color w:val="000000"/>
        </w:rPr>
        <w:t xml:space="preserve"> </w:t>
      </w:r>
      <w:r w:rsidRPr="00A26C26">
        <w:rPr>
          <w:rFonts w:cstheme="minorHAnsi"/>
          <w:color w:val="000000"/>
        </w:rPr>
        <w:t>wg</w:t>
      </w:r>
      <w:r w:rsidR="003B50ED">
        <w:rPr>
          <w:rFonts w:cstheme="minorHAnsi"/>
          <w:color w:val="000000"/>
        </w:rPr>
        <w:t xml:space="preserve"> </w:t>
      </w:r>
      <w:r w:rsidRPr="00A26C26">
        <w:rPr>
          <w:rFonts w:cstheme="minorHAnsi"/>
          <w:color w:val="000000"/>
        </w:rPr>
        <w:t>płci</w:t>
      </w:r>
      <w:r w:rsidR="003B50ED">
        <w:rPr>
          <w:rFonts w:cstheme="minorHAnsi"/>
          <w:color w:val="000000"/>
        </w:rPr>
        <w:t xml:space="preserve"> </w:t>
      </w:r>
      <w:r w:rsidRPr="00A26C26">
        <w:rPr>
          <w:rFonts w:cstheme="minorHAnsi"/>
          <w:color w:val="000000"/>
        </w:rPr>
        <w:t>w</w:t>
      </w:r>
      <w:r w:rsidR="003B50ED">
        <w:rPr>
          <w:rFonts w:cstheme="minorHAnsi"/>
          <w:color w:val="000000"/>
        </w:rPr>
        <w:t xml:space="preserve"> </w:t>
      </w:r>
      <w:r w:rsidRPr="00A26C26">
        <w:rPr>
          <w:rFonts w:cstheme="minorHAnsi"/>
          <w:color w:val="000000"/>
        </w:rPr>
        <w:t>osobach</w:t>
      </w:r>
    </w:p>
    <w:tbl>
      <w:tblPr>
        <w:tblW w:w="10201" w:type="dxa"/>
        <w:tblLayout w:type="fixed"/>
        <w:tblCellMar>
          <w:left w:w="70" w:type="dxa"/>
          <w:right w:w="70" w:type="dxa"/>
        </w:tblCellMar>
        <w:tblLook w:val="04A0" w:firstRow="1" w:lastRow="0" w:firstColumn="1" w:lastColumn="0" w:noHBand="0" w:noVBand="1"/>
      </w:tblPr>
      <w:tblGrid>
        <w:gridCol w:w="2550"/>
        <w:gridCol w:w="2550"/>
        <w:gridCol w:w="2550"/>
        <w:gridCol w:w="2551"/>
      </w:tblGrid>
      <w:tr w:rsidR="00224658" w:rsidRPr="00A26C26" w14:paraId="5FCC9D2D" w14:textId="77777777" w:rsidTr="007F1E76">
        <w:trPr>
          <w:trHeight w:val="249"/>
        </w:trPr>
        <w:tc>
          <w:tcPr>
            <w:tcW w:w="2550" w:type="dxa"/>
            <w:tcBorders>
              <w:top w:val="single" w:sz="4" w:space="0" w:color="auto"/>
              <w:left w:val="single" w:sz="4" w:space="0" w:color="auto"/>
              <w:bottom w:val="single" w:sz="4" w:space="0" w:color="auto"/>
              <w:right w:val="single" w:sz="4" w:space="0" w:color="auto"/>
            </w:tcBorders>
            <w:shd w:val="clear" w:color="000000" w:fill="DDEBF7"/>
            <w:vAlign w:val="bottom"/>
            <w:hideMark/>
          </w:tcPr>
          <w:p w14:paraId="3CEBB219" w14:textId="733CA769"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Nazwa</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gminy</w:t>
            </w:r>
            <w:r w:rsidR="003B50ED">
              <w:rPr>
                <w:rFonts w:eastAsia="Times New Roman" w:cstheme="minorHAnsi"/>
                <w:color w:val="000000"/>
                <w:kern w:val="0"/>
                <w:lang w:eastAsia="pl-PL"/>
                <w14:ligatures w14:val="none"/>
              </w:rPr>
              <w:t xml:space="preserve"> </w:t>
            </w:r>
          </w:p>
        </w:tc>
        <w:tc>
          <w:tcPr>
            <w:tcW w:w="2550" w:type="dxa"/>
            <w:tcBorders>
              <w:top w:val="single" w:sz="4" w:space="0" w:color="auto"/>
              <w:left w:val="nil"/>
              <w:bottom w:val="single" w:sz="4" w:space="0" w:color="auto"/>
              <w:right w:val="single" w:sz="4" w:space="0" w:color="auto"/>
            </w:tcBorders>
            <w:shd w:val="clear" w:color="000000" w:fill="DDEBF7"/>
            <w:noWrap/>
            <w:vAlign w:val="bottom"/>
            <w:hideMark/>
          </w:tcPr>
          <w:p w14:paraId="391C2C5E"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ogółem</w:t>
            </w:r>
          </w:p>
        </w:tc>
        <w:tc>
          <w:tcPr>
            <w:tcW w:w="2550" w:type="dxa"/>
            <w:tcBorders>
              <w:top w:val="single" w:sz="4" w:space="0" w:color="auto"/>
              <w:left w:val="nil"/>
              <w:bottom w:val="single" w:sz="4" w:space="0" w:color="auto"/>
              <w:right w:val="single" w:sz="4" w:space="0" w:color="auto"/>
            </w:tcBorders>
            <w:shd w:val="clear" w:color="000000" w:fill="DDEBF7"/>
            <w:vAlign w:val="bottom"/>
            <w:hideMark/>
          </w:tcPr>
          <w:p w14:paraId="08DEF056"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mężczyźni</w:t>
            </w:r>
          </w:p>
        </w:tc>
        <w:tc>
          <w:tcPr>
            <w:tcW w:w="2551" w:type="dxa"/>
            <w:tcBorders>
              <w:top w:val="single" w:sz="4" w:space="0" w:color="auto"/>
              <w:left w:val="nil"/>
              <w:bottom w:val="single" w:sz="4" w:space="0" w:color="auto"/>
              <w:right w:val="single" w:sz="4" w:space="0" w:color="auto"/>
            </w:tcBorders>
            <w:shd w:val="clear" w:color="000000" w:fill="DDEBF7"/>
            <w:vAlign w:val="bottom"/>
            <w:hideMark/>
          </w:tcPr>
          <w:p w14:paraId="6BB6D314"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kobiety</w:t>
            </w:r>
          </w:p>
        </w:tc>
      </w:tr>
      <w:tr w:rsidR="00224658" w:rsidRPr="00A26C26" w14:paraId="6ABAA111" w14:textId="77777777" w:rsidTr="007F1E76">
        <w:trPr>
          <w:trHeight w:val="249"/>
        </w:trPr>
        <w:tc>
          <w:tcPr>
            <w:tcW w:w="2550" w:type="dxa"/>
            <w:tcBorders>
              <w:top w:val="nil"/>
              <w:left w:val="single" w:sz="4" w:space="0" w:color="auto"/>
              <w:bottom w:val="single" w:sz="4" w:space="0" w:color="auto"/>
              <w:right w:val="single" w:sz="4" w:space="0" w:color="auto"/>
            </w:tcBorders>
            <w:shd w:val="clear" w:color="auto" w:fill="auto"/>
            <w:vAlign w:val="center"/>
            <w:hideMark/>
          </w:tcPr>
          <w:p w14:paraId="47B6AB60"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Golina</w:t>
            </w:r>
          </w:p>
        </w:tc>
        <w:tc>
          <w:tcPr>
            <w:tcW w:w="2550" w:type="dxa"/>
            <w:tcBorders>
              <w:top w:val="nil"/>
              <w:left w:val="nil"/>
              <w:bottom w:val="single" w:sz="4" w:space="0" w:color="auto"/>
              <w:right w:val="single" w:sz="4" w:space="0" w:color="auto"/>
            </w:tcBorders>
            <w:shd w:val="clear" w:color="auto" w:fill="auto"/>
            <w:noWrap/>
            <w:vAlign w:val="bottom"/>
            <w:hideMark/>
          </w:tcPr>
          <w:p w14:paraId="45D96E85" w14:textId="136AF25C"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391</w:t>
            </w:r>
          </w:p>
        </w:tc>
        <w:tc>
          <w:tcPr>
            <w:tcW w:w="2550" w:type="dxa"/>
            <w:tcBorders>
              <w:top w:val="nil"/>
              <w:left w:val="nil"/>
              <w:bottom w:val="single" w:sz="4" w:space="0" w:color="auto"/>
              <w:right w:val="single" w:sz="4" w:space="0" w:color="auto"/>
            </w:tcBorders>
            <w:shd w:val="clear" w:color="auto" w:fill="auto"/>
            <w:noWrap/>
            <w:vAlign w:val="bottom"/>
            <w:hideMark/>
          </w:tcPr>
          <w:p w14:paraId="4171CCB1"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837</w:t>
            </w:r>
          </w:p>
        </w:tc>
        <w:tc>
          <w:tcPr>
            <w:tcW w:w="2551" w:type="dxa"/>
            <w:tcBorders>
              <w:top w:val="nil"/>
              <w:left w:val="nil"/>
              <w:bottom w:val="single" w:sz="4" w:space="0" w:color="auto"/>
              <w:right w:val="single" w:sz="4" w:space="0" w:color="auto"/>
            </w:tcBorders>
            <w:shd w:val="clear" w:color="auto" w:fill="auto"/>
            <w:noWrap/>
            <w:vAlign w:val="bottom"/>
            <w:hideMark/>
          </w:tcPr>
          <w:p w14:paraId="45C67D1D"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554</w:t>
            </w:r>
          </w:p>
        </w:tc>
      </w:tr>
      <w:tr w:rsidR="00224658" w:rsidRPr="00A26C26" w14:paraId="2FD429C5" w14:textId="77777777" w:rsidTr="007F1E76">
        <w:trPr>
          <w:trHeight w:val="249"/>
        </w:trPr>
        <w:tc>
          <w:tcPr>
            <w:tcW w:w="2550" w:type="dxa"/>
            <w:tcBorders>
              <w:top w:val="nil"/>
              <w:left w:val="single" w:sz="4" w:space="0" w:color="auto"/>
              <w:bottom w:val="single" w:sz="4" w:space="0" w:color="auto"/>
              <w:right w:val="single" w:sz="4" w:space="0" w:color="auto"/>
            </w:tcBorders>
            <w:shd w:val="clear" w:color="auto" w:fill="auto"/>
            <w:vAlign w:val="center"/>
            <w:hideMark/>
          </w:tcPr>
          <w:p w14:paraId="14C1F9B9"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Grodziec</w:t>
            </w:r>
          </w:p>
        </w:tc>
        <w:tc>
          <w:tcPr>
            <w:tcW w:w="2550" w:type="dxa"/>
            <w:tcBorders>
              <w:top w:val="nil"/>
              <w:left w:val="nil"/>
              <w:bottom w:val="single" w:sz="4" w:space="0" w:color="auto"/>
              <w:right w:val="single" w:sz="4" w:space="0" w:color="auto"/>
            </w:tcBorders>
            <w:shd w:val="clear" w:color="auto" w:fill="auto"/>
            <w:noWrap/>
            <w:vAlign w:val="bottom"/>
            <w:hideMark/>
          </w:tcPr>
          <w:p w14:paraId="7095DAF0" w14:textId="2673393A"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443</w:t>
            </w:r>
          </w:p>
        </w:tc>
        <w:tc>
          <w:tcPr>
            <w:tcW w:w="2550" w:type="dxa"/>
            <w:tcBorders>
              <w:top w:val="nil"/>
              <w:left w:val="nil"/>
              <w:bottom w:val="single" w:sz="4" w:space="0" w:color="auto"/>
              <w:right w:val="single" w:sz="4" w:space="0" w:color="auto"/>
            </w:tcBorders>
            <w:shd w:val="clear" w:color="auto" w:fill="auto"/>
            <w:noWrap/>
            <w:vAlign w:val="bottom"/>
            <w:hideMark/>
          </w:tcPr>
          <w:p w14:paraId="3FFD13E3"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826</w:t>
            </w:r>
          </w:p>
        </w:tc>
        <w:tc>
          <w:tcPr>
            <w:tcW w:w="2551" w:type="dxa"/>
            <w:tcBorders>
              <w:top w:val="nil"/>
              <w:left w:val="nil"/>
              <w:bottom w:val="single" w:sz="4" w:space="0" w:color="auto"/>
              <w:right w:val="single" w:sz="4" w:space="0" w:color="auto"/>
            </w:tcBorders>
            <w:shd w:val="clear" w:color="auto" w:fill="auto"/>
            <w:noWrap/>
            <w:vAlign w:val="bottom"/>
            <w:hideMark/>
          </w:tcPr>
          <w:p w14:paraId="6AF0B81D"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617</w:t>
            </w:r>
          </w:p>
        </w:tc>
      </w:tr>
      <w:tr w:rsidR="00224658" w:rsidRPr="00A26C26" w14:paraId="32B61433" w14:textId="77777777" w:rsidTr="007F1E76">
        <w:trPr>
          <w:trHeight w:val="249"/>
        </w:trPr>
        <w:tc>
          <w:tcPr>
            <w:tcW w:w="2550" w:type="dxa"/>
            <w:tcBorders>
              <w:top w:val="nil"/>
              <w:left w:val="single" w:sz="4" w:space="0" w:color="auto"/>
              <w:bottom w:val="single" w:sz="4" w:space="0" w:color="auto"/>
              <w:right w:val="single" w:sz="4" w:space="0" w:color="auto"/>
            </w:tcBorders>
            <w:shd w:val="clear" w:color="auto" w:fill="auto"/>
            <w:vAlign w:val="center"/>
            <w:hideMark/>
          </w:tcPr>
          <w:p w14:paraId="79534082"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Rychwał</w:t>
            </w:r>
          </w:p>
        </w:tc>
        <w:tc>
          <w:tcPr>
            <w:tcW w:w="2550" w:type="dxa"/>
            <w:tcBorders>
              <w:top w:val="nil"/>
              <w:left w:val="nil"/>
              <w:bottom w:val="single" w:sz="4" w:space="0" w:color="auto"/>
              <w:right w:val="single" w:sz="4" w:space="0" w:color="auto"/>
            </w:tcBorders>
            <w:shd w:val="clear" w:color="auto" w:fill="auto"/>
            <w:noWrap/>
            <w:vAlign w:val="bottom"/>
            <w:hideMark/>
          </w:tcPr>
          <w:p w14:paraId="09DEA22F" w14:textId="67AD9D22"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105</w:t>
            </w:r>
          </w:p>
        </w:tc>
        <w:tc>
          <w:tcPr>
            <w:tcW w:w="2550" w:type="dxa"/>
            <w:tcBorders>
              <w:top w:val="nil"/>
              <w:left w:val="nil"/>
              <w:bottom w:val="single" w:sz="4" w:space="0" w:color="auto"/>
              <w:right w:val="single" w:sz="4" w:space="0" w:color="auto"/>
            </w:tcBorders>
            <w:shd w:val="clear" w:color="auto" w:fill="auto"/>
            <w:noWrap/>
            <w:vAlign w:val="bottom"/>
            <w:hideMark/>
          </w:tcPr>
          <w:p w14:paraId="3D00885E" w14:textId="53ACC23A"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195</w:t>
            </w:r>
          </w:p>
        </w:tc>
        <w:tc>
          <w:tcPr>
            <w:tcW w:w="2551" w:type="dxa"/>
            <w:tcBorders>
              <w:top w:val="nil"/>
              <w:left w:val="nil"/>
              <w:bottom w:val="single" w:sz="4" w:space="0" w:color="auto"/>
              <w:right w:val="single" w:sz="4" w:space="0" w:color="auto"/>
            </w:tcBorders>
            <w:shd w:val="clear" w:color="auto" w:fill="auto"/>
            <w:noWrap/>
            <w:vAlign w:val="bottom"/>
            <w:hideMark/>
          </w:tcPr>
          <w:p w14:paraId="587C46D4"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910</w:t>
            </w:r>
          </w:p>
        </w:tc>
      </w:tr>
      <w:tr w:rsidR="00224658" w:rsidRPr="00A26C26" w14:paraId="10564C96" w14:textId="77777777" w:rsidTr="007F1E76">
        <w:trPr>
          <w:trHeight w:val="249"/>
        </w:trPr>
        <w:tc>
          <w:tcPr>
            <w:tcW w:w="2550" w:type="dxa"/>
            <w:tcBorders>
              <w:top w:val="nil"/>
              <w:left w:val="single" w:sz="4" w:space="0" w:color="auto"/>
              <w:bottom w:val="single" w:sz="4" w:space="0" w:color="auto"/>
              <w:right w:val="single" w:sz="4" w:space="0" w:color="auto"/>
            </w:tcBorders>
            <w:shd w:val="clear" w:color="auto" w:fill="auto"/>
            <w:vAlign w:val="center"/>
            <w:hideMark/>
          </w:tcPr>
          <w:p w14:paraId="0E31B28F"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Rzgów</w:t>
            </w:r>
          </w:p>
        </w:tc>
        <w:tc>
          <w:tcPr>
            <w:tcW w:w="2550" w:type="dxa"/>
            <w:tcBorders>
              <w:top w:val="nil"/>
              <w:left w:val="nil"/>
              <w:bottom w:val="single" w:sz="4" w:space="0" w:color="auto"/>
              <w:right w:val="single" w:sz="4" w:space="0" w:color="auto"/>
            </w:tcBorders>
            <w:shd w:val="clear" w:color="auto" w:fill="auto"/>
            <w:noWrap/>
            <w:vAlign w:val="bottom"/>
            <w:hideMark/>
          </w:tcPr>
          <w:p w14:paraId="239BDD1C" w14:textId="234E4E6F"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607</w:t>
            </w:r>
          </w:p>
        </w:tc>
        <w:tc>
          <w:tcPr>
            <w:tcW w:w="2550" w:type="dxa"/>
            <w:tcBorders>
              <w:top w:val="nil"/>
              <w:left w:val="nil"/>
              <w:bottom w:val="single" w:sz="4" w:space="0" w:color="auto"/>
              <w:right w:val="single" w:sz="4" w:space="0" w:color="auto"/>
            </w:tcBorders>
            <w:shd w:val="clear" w:color="auto" w:fill="auto"/>
            <w:noWrap/>
            <w:vAlign w:val="bottom"/>
            <w:hideMark/>
          </w:tcPr>
          <w:p w14:paraId="2D7E47C0"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926</w:t>
            </w:r>
          </w:p>
        </w:tc>
        <w:tc>
          <w:tcPr>
            <w:tcW w:w="2551" w:type="dxa"/>
            <w:tcBorders>
              <w:top w:val="nil"/>
              <w:left w:val="nil"/>
              <w:bottom w:val="single" w:sz="4" w:space="0" w:color="auto"/>
              <w:right w:val="single" w:sz="4" w:space="0" w:color="auto"/>
            </w:tcBorders>
            <w:shd w:val="clear" w:color="auto" w:fill="auto"/>
            <w:noWrap/>
            <w:vAlign w:val="bottom"/>
            <w:hideMark/>
          </w:tcPr>
          <w:p w14:paraId="60935CA7"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681</w:t>
            </w:r>
          </w:p>
        </w:tc>
      </w:tr>
      <w:tr w:rsidR="00224658" w:rsidRPr="00A26C26" w14:paraId="28356423" w14:textId="77777777" w:rsidTr="007F1E76">
        <w:trPr>
          <w:trHeight w:val="249"/>
        </w:trPr>
        <w:tc>
          <w:tcPr>
            <w:tcW w:w="2550" w:type="dxa"/>
            <w:tcBorders>
              <w:top w:val="nil"/>
              <w:left w:val="single" w:sz="4" w:space="0" w:color="auto"/>
              <w:bottom w:val="single" w:sz="4" w:space="0" w:color="auto"/>
              <w:right w:val="single" w:sz="4" w:space="0" w:color="auto"/>
            </w:tcBorders>
            <w:shd w:val="clear" w:color="auto" w:fill="auto"/>
            <w:vAlign w:val="center"/>
            <w:hideMark/>
          </w:tcPr>
          <w:p w14:paraId="59C4C8C5" w14:textId="0E5C714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Stare</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Miasto</w:t>
            </w:r>
          </w:p>
        </w:tc>
        <w:tc>
          <w:tcPr>
            <w:tcW w:w="2550" w:type="dxa"/>
            <w:tcBorders>
              <w:top w:val="nil"/>
              <w:left w:val="nil"/>
              <w:bottom w:val="single" w:sz="4" w:space="0" w:color="auto"/>
              <w:right w:val="single" w:sz="4" w:space="0" w:color="auto"/>
            </w:tcBorders>
            <w:shd w:val="clear" w:color="auto" w:fill="auto"/>
            <w:noWrap/>
            <w:vAlign w:val="bottom"/>
            <w:hideMark/>
          </w:tcPr>
          <w:p w14:paraId="6D5702D5" w14:textId="41D61633"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643</w:t>
            </w:r>
          </w:p>
        </w:tc>
        <w:tc>
          <w:tcPr>
            <w:tcW w:w="2550" w:type="dxa"/>
            <w:tcBorders>
              <w:top w:val="nil"/>
              <w:left w:val="nil"/>
              <w:bottom w:val="single" w:sz="4" w:space="0" w:color="auto"/>
              <w:right w:val="single" w:sz="4" w:space="0" w:color="auto"/>
            </w:tcBorders>
            <w:shd w:val="clear" w:color="auto" w:fill="auto"/>
            <w:noWrap/>
            <w:vAlign w:val="bottom"/>
            <w:hideMark/>
          </w:tcPr>
          <w:p w14:paraId="3E149A58"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945</w:t>
            </w:r>
          </w:p>
        </w:tc>
        <w:tc>
          <w:tcPr>
            <w:tcW w:w="2551" w:type="dxa"/>
            <w:tcBorders>
              <w:top w:val="nil"/>
              <w:left w:val="nil"/>
              <w:bottom w:val="single" w:sz="4" w:space="0" w:color="auto"/>
              <w:right w:val="single" w:sz="4" w:space="0" w:color="auto"/>
            </w:tcBorders>
            <w:shd w:val="clear" w:color="auto" w:fill="auto"/>
            <w:noWrap/>
            <w:vAlign w:val="bottom"/>
            <w:hideMark/>
          </w:tcPr>
          <w:p w14:paraId="3771EA47"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698</w:t>
            </w:r>
          </w:p>
        </w:tc>
      </w:tr>
      <w:tr w:rsidR="00224658" w:rsidRPr="00A26C26" w14:paraId="78202B50" w14:textId="77777777" w:rsidTr="007F1E76">
        <w:trPr>
          <w:trHeight w:val="249"/>
        </w:trPr>
        <w:tc>
          <w:tcPr>
            <w:tcW w:w="2550" w:type="dxa"/>
            <w:tcBorders>
              <w:top w:val="nil"/>
              <w:left w:val="single" w:sz="4" w:space="0" w:color="auto"/>
              <w:bottom w:val="single" w:sz="4" w:space="0" w:color="auto"/>
              <w:right w:val="single" w:sz="4" w:space="0" w:color="auto"/>
            </w:tcBorders>
            <w:shd w:val="clear" w:color="auto" w:fill="auto"/>
            <w:vAlign w:val="center"/>
            <w:hideMark/>
          </w:tcPr>
          <w:p w14:paraId="234F4AFD"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Tuliszków</w:t>
            </w:r>
          </w:p>
        </w:tc>
        <w:tc>
          <w:tcPr>
            <w:tcW w:w="2550" w:type="dxa"/>
            <w:tcBorders>
              <w:top w:val="nil"/>
              <w:left w:val="nil"/>
              <w:bottom w:val="single" w:sz="4" w:space="0" w:color="auto"/>
              <w:right w:val="single" w:sz="4" w:space="0" w:color="auto"/>
            </w:tcBorders>
            <w:shd w:val="clear" w:color="auto" w:fill="auto"/>
            <w:noWrap/>
            <w:vAlign w:val="bottom"/>
            <w:hideMark/>
          </w:tcPr>
          <w:p w14:paraId="33FC8F32" w14:textId="25737560"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979</w:t>
            </w:r>
          </w:p>
        </w:tc>
        <w:tc>
          <w:tcPr>
            <w:tcW w:w="2550" w:type="dxa"/>
            <w:tcBorders>
              <w:top w:val="nil"/>
              <w:left w:val="nil"/>
              <w:bottom w:val="single" w:sz="4" w:space="0" w:color="auto"/>
              <w:right w:val="single" w:sz="4" w:space="0" w:color="auto"/>
            </w:tcBorders>
            <w:shd w:val="clear" w:color="auto" w:fill="auto"/>
            <w:noWrap/>
            <w:vAlign w:val="bottom"/>
            <w:hideMark/>
          </w:tcPr>
          <w:p w14:paraId="7B0E4F58" w14:textId="6AD55700"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173</w:t>
            </w:r>
          </w:p>
        </w:tc>
        <w:tc>
          <w:tcPr>
            <w:tcW w:w="2551" w:type="dxa"/>
            <w:tcBorders>
              <w:top w:val="nil"/>
              <w:left w:val="nil"/>
              <w:bottom w:val="single" w:sz="4" w:space="0" w:color="auto"/>
              <w:right w:val="single" w:sz="4" w:space="0" w:color="auto"/>
            </w:tcBorders>
            <w:shd w:val="clear" w:color="auto" w:fill="auto"/>
            <w:noWrap/>
            <w:vAlign w:val="bottom"/>
            <w:hideMark/>
          </w:tcPr>
          <w:p w14:paraId="6F06EF88"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806</w:t>
            </w:r>
          </w:p>
        </w:tc>
      </w:tr>
      <w:tr w:rsidR="00224658" w:rsidRPr="00A26C26" w14:paraId="103BF89A" w14:textId="77777777" w:rsidTr="007F1E76">
        <w:trPr>
          <w:trHeight w:val="249"/>
        </w:trPr>
        <w:tc>
          <w:tcPr>
            <w:tcW w:w="2550" w:type="dxa"/>
            <w:tcBorders>
              <w:top w:val="nil"/>
              <w:left w:val="single" w:sz="4" w:space="0" w:color="auto"/>
              <w:bottom w:val="single" w:sz="4" w:space="0" w:color="auto"/>
              <w:right w:val="single" w:sz="4" w:space="0" w:color="auto"/>
            </w:tcBorders>
            <w:shd w:val="clear" w:color="000000" w:fill="DDEBF7"/>
            <w:vAlign w:val="center"/>
            <w:hideMark/>
          </w:tcPr>
          <w:p w14:paraId="052AA675" w14:textId="2702FD3A"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Razem</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LGD</w:t>
            </w:r>
          </w:p>
        </w:tc>
        <w:tc>
          <w:tcPr>
            <w:tcW w:w="2550" w:type="dxa"/>
            <w:tcBorders>
              <w:top w:val="nil"/>
              <w:left w:val="nil"/>
              <w:bottom w:val="single" w:sz="4" w:space="0" w:color="auto"/>
              <w:right w:val="single" w:sz="4" w:space="0" w:color="auto"/>
            </w:tcBorders>
            <w:shd w:val="clear" w:color="000000" w:fill="DDEBF7"/>
            <w:vAlign w:val="bottom"/>
            <w:hideMark/>
          </w:tcPr>
          <w:p w14:paraId="50409CDC" w14:textId="3C5BB1EE"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10</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168</w:t>
            </w:r>
          </w:p>
        </w:tc>
        <w:tc>
          <w:tcPr>
            <w:tcW w:w="2550" w:type="dxa"/>
            <w:tcBorders>
              <w:top w:val="nil"/>
              <w:left w:val="nil"/>
              <w:bottom w:val="single" w:sz="4" w:space="0" w:color="auto"/>
              <w:right w:val="single" w:sz="4" w:space="0" w:color="auto"/>
            </w:tcBorders>
            <w:shd w:val="clear" w:color="000000" w:fill="DDEBF7"/>
            <w:vAlign w:val="bottom"/>
            <w:hideMark/>
          </w:tcPr>
          <w:p w14:paraId="59CE9344" w14:textId="54B6203D"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5</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902</w:t>
            </w:r>
          </w:p>
        </w:tc>
        <w:tc>
          <w:tcPr>
            <w:tcW w:w="2551" w:type="dxa"/>
            <w:tcBorders>
              <w:top w:val="nil"/>
              <w:left w:val="nil"/>
              <w:bottom w:val="single" w:sz="4" w:space="0" w:color="auto"/>
              <w:right w:val="single" w:sz="4" w:space="0" w:color="auto"/>
            </w:tcBorders>
            <w:shd w:val="clear" w:color="000000" w:fill="DDEBF7"/>
            <w:vAlign w:val="bottom"/>
            <w:hideMark/>
          </w:tcPr>
          <w:p w14:paraId="64F46E65" w14:textId="0E65D74A"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4</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266</w:t>
            </w:r>
          </w:p>
        </w:tc>
      </w:tr>
    </w:tbl>
    <w:p w14:paraId="67BCF29A" w14:textId="21FE8CE7" w:rsidR="00224658" w:rsidRPr="00A26C26" w:rsidRDefault="00224658" w:rsidP="00A26C26">
      <w:pPr>
        <w:spacing w:line="276" w:lineRule="auto"/>
        <w:rPr>
          <w:rFonts w:cstheme="minorHAnsi"/>
        </w:rPr>
      </w:pPr>
      <w:r w:rsidRPr="00A26C26">
        <w:rPr>
          <w:rFonts w:cstheme="minorHAnsi"/>
        </w:rPr>
        <w:t>Źródło:</w:t>
      </w:r>
      <w:r w:rsidR="003B50ED">
        <w:rPr>
          <w:rFonts w:cstheme="minorHAnsi"/>
        </w:rPr>
        <w:t xml:space="preserve"> </w:t>
      </w:r>
      <w:r w:rsidRPr="00A26C26">
        <w:rPr>
          <w:rFonts w:cstheme="minorHAnsi"/>
        </w:rPr>
        <w:t>GUS,</w:t>
      </w:r>
      <w:r w:rsidR="003B50ED">
        <w:rPr>
          <w:rFonts w:cstheme="minorHAnsi"/>
        </w:rPr>
        <w:t xml:space="preserve"> </w:t>
      </w:r>
      <w:r w:rsidRPr="00A26C26">
        <w:rPr>
          <w:rFonts w:cstheme="minorHAnsi"/>
        </w:rPr>
        <w:t>Bank</w:t>
      </w:r>
      <w:r w:rsidR="003B50ED">
        <w:rPr>
          <w:rFonts w:cstheme="minorHAnsi"/>
        </w:rPr>
        <w:t xml:space="preserve"> </w:t>
      </w:r>
      <w:r w:rsidRPr="00A26C26">
        <w:rPr>
          <w:rFonts w:cstheme="minorHAnsi"/>
        </w:rPr>
        <w:t>Danych</w:t>
      </w:r>
      <w:r w:rsidR="003B50ED">
        <w:rPr>
          <w:rFonts w:cstheme="minorHAnsi"/>
        </w:rPr>
        <w:t xml:space="preserve"> </w:t>
      </w:r>
      <w:r w:rsidRPr="00A26C26">
        <w:rPr>
          <w:rFonts w:cstheme="minorHAnsi"/>
        </w:rPr>
        <w:t>Lokalnych</w:t>
      </w:r>
    </w:p>
    <w:p w14:paraId="56B3E2CC" w14:textId="77777777" w:rsidR="00224658" w:rsidRPr="00A26C26" w:rsidRDefault="00224658" w:rsidP="00A26C26">
      <w:pPr>
        <w:spacing w:line="276" w:lineRule="auto"/>
        <w:jc w:val="both"/>
        <w:rPr>
          <w:rFonts w:cstheme="minorHAnsi"/>
          <w:color w:val="000000"/>
        </w:rPr>
      </w:pPr>
    </w:p>
    <w:p w14:paraId="4E1098AE" w14:textId="4FF156CB" w:rsidR="00224658" w:rsidRPr="00A26C26" w:rsidRDefault="00224658" w:rsidP="00A26C26">
      <w:pPr>
        <w:spacing w:line="276" w:lineRule="auto"/>
        <w:ind w:firstLine="284"/>
        <w:jc w:val="both"/>
        <w:rPr>
          <w:rFonts w:cstheme="minorHAnsi"/>
          <w:color w:val="000000"/>
        </w:rPr>
      </w:pPr>
      <w:r w:rsidRPr="00A26C26">
        <w:rPr>
          <w:rFonts w:cstheme="minorHAnsi"/>
          <w:color w:val="000000"/>
        </w:rPr>
        <w:t>Na</w:t>
      </w:r>
      <w:r w:rsidR="003B50ED">
        <w:rPr>
          <w:rFonts w:cstheme="minorHAnsi"/>
          <w:color w:val="000000"/>
        </w:rPr>
        <w:t xml:space="preserve"> </w:t>
      </w:r>
      <w:r w:rsidRPr="00A26C26">
        <w:rPr>
          <w:rFonts w:cstheme="minorHAnsi"/>
          <w:color w:val="000000"/>
        </w:rPr>
        <w:t>terenie</w:t>
      </w:r>
      <w:r w:rsidR="003B50ED">
        <w:rPr>
          <w:rFonts w:cstheme="minorHAnsi"/>
          <w:color w:val="000000"/>
        </w:rPr>
        <w:t xml:space="preserve"> </w:t>
      </w:r>
      <w:r w:rsidRPr="00A26C26">
        <w:rPr>
          <w:rFonts w:cstheme="minorHAnsi"/>
          <w:color w:val="000000"/>
        </w:rPr>
        <w:t>LGD</w:t>
      </w:r>
      <w:r w:rsidR="003B50ED">
        <w:rPr>
          <w:rFonts w:cstheme="minorHAnsi"/>
          <w:color w:val="000000"/>
        </w:rPr>
        <w:t xml:space="preserve"> </w:t>
      </w:r>
      <w:r w:rsidRPr="00A26C26">
        <w:rPr>
          <w:rFonts w:cstheme="minorHAnsi"/>
          <w:color w:val="000000"/>
        </w:rPr>
        <w:t>dominującą</w:t>
      </w:r>
      <w:r w:rsidR="003B50ED">
        <w:rPr>
          <w:rFonts w:cstheme="minorHAnsi"/>
          <w:color w:val="000000"/>
        </w:rPr>
        <w:t xml:space="preserve"> </w:t>
      </w:r>
      <w:r w:rsidRPr="00A26C26">
        <w:rPr>
          <w:rFonts w:cstheme="minorHAnsi"/>
          <w:color w:val="000000"/>
        </w:rPr>
        <w:t>uprawą</w:t>
      </w:r>
      <w:r w:rsidR="003B50ED">
        <w:rPr>
          <w:rFonts w:cstheme="minorHAnsi"/>
          <w:color w:val="000000"/>
        </w:rPr>
        <w:t xml:space="preserve"> </w:t>
      </w:r>
      <w:r w:rsidRPr="00A26C26">
        <w:rPr>
          <w:rFonts w:cstheme="minorHAnsi"/>
          <w:color w:val="000000"/>
        </w:rPr>
        <w:t>jest</w:t>
      </w:r>
      <w:r w:rsidR="003B50ED">
        <w:rPr>
          <w:rFonts w:cstheme="minorHAnsi"/>
          <w:color w:val="000000"/>
        </w:rPr>
        <w:t xml:space="preserve"> </w:t>
      </w:r>
      <w:r w:rsidRPr="00A26C26">
        <w:rPr>
          <w:rFonts w:cstheme="minorHAnsi"/>
          <w:color w:val="000000"/>
        </w:rPr>
        <w:t>żyto,</w:t>
      </w:r>
      <w:r w:rsidR="003B50ED">
        <w:rPr>
          <w:rFonts w:cstheme="minorHAnsi"/>
          <w:color w:val="000000"/>
        </w:rPr>
        <w:t xml:space="preserve"> </w:t>
      </w:r>
      <w:r w:rsidRPr="00A26C26">
        <w:rPr>
          <w:rFonts w:cstheme="minorHAnsi"/>
          <w:color w:val="000000"/>
        </w:rPr>
        <w:t>w</w:t>
      </w:r>
      <w:r w:rsidR="003B50ED">
        <w:rPr>
          <w:rFonts w:cstheme="minorHAnsi"/>
          <w:color w:val="000000"/>
        </w:rPr>
        <w:t xml:space="preserve"> </w:t>
      </w:r>
      <w:r w:rsidRPr="00A26C26">
        <w:rPr>
          <w:rFonts w:cstheme="minorHAnsi"/>
          <w:color w:val="000000"/>
        </w:rPr>
        <w:t>dalszej</w:t>
      </w:r>
      <w:r w:rsidR="003B50ED">
        <w:rPr>
          <w:rFonts w:cstheme="minorHAnsi"/>
          <w:color w:val="000000"/>
        </w:rPr>
        <w:t xml:space="preserve"> </w:t>
      </w:r>
      <w:r w:rsidRPr="00A26C26">
        <w:rPr>
          <w:rFonts w:cstheme="minorHAnsi"/>
          <w:color w:val="000000"/>
        </w:rPr>
        <w:t>kolejności</w:t>
      </w:r>
      <w:r w:rsidR="003B50ED">
        <w:rPr>
          <w:rFonts w:cstheme="minorHAnsi"/>
          <w:color w:val="000000"/>
        </w:rPr>
        <w:t xml:space="preserve"> </w:t>
      </w:r>
      <w:r w:rsidRPr="00A26C26">
        <w:rPr>
          <w:rFonts w:cstheme="minorHAnsi"/>
          <w:color w:val="000000"/>
        </w:rPr>
        <w:t>owies</w:t>
      </w:r>
      <w:r w:rsidR="003B50ED">
        <w:rPr>
          <w:rFonts w:cstheme="minorHAnsi"/>
          <w:color w:val="000000"/>
        </w:rPr>
        <w:t xml:space="preserve"> </w:t>
      </w:r>
      <w:r w:rsidRPr="00A26C26">
        <w:rPr>
          <w:rFonts w:cstheme="minorHAnsi"/>
          <w:color w:val="000000"/>
        </w:rPr>
        <w:t>następnie</w:t>
      </w:r>
      <w:r w:rsidR="003B50ED">
        <w:rPr>
          <w:rFonts w:cstheme="minorHAnsi"/>
          <w:color w:val="000000"/>
        </w:rPr>
        <w:t xml:space="preserve"> </w:t>
      </w:r>
      <w:r w:rsidRPr="00A26C26">
        <w:rPr>
          <w:rFonts w:cstheme="minorHAnsi"/>
          <w:color w:val="000000"/>
        </w:rPr>
        <w:t>zaś</w:t>
      </w:r>
      <w:r w:rsidR="003B50ED">
        <w:rPr>
          <w:rFonts w:cstheme="minorHAnsi"/>
          <w:color w:val="000000"/>
        </w:rPr>
        <w:t xml:space="preserve"> </w:t>
      </w:r>
      <w:r w:rsidRPr="00A26C26">
        <w:rPr>
          <w:rFonts w:cstheme="minorHAnsi"/>
          <w:color w:val="000000"/>
        </w:rPr>
        <w:t>pszenżyto</w:t>
      </w:r>
      <w:r w:rsidR="003B50ED">
        <w:rPr>
          <w:rFonts w:cstheme="minorHAnsi"/>
          <w:color w:val="000000"/>
        </w:rPr>
        <w:t xml:space="preserve"> </w:t>
      </w:r>
      <w:r w:rsidRPr="00A26C26">
        <w:rPr>
          <w:rFonts w:cstheme="minorHAnsi"/>
          <w:color w:val="000000"/>
        </w:rPr>
        <w:t>i</w:t>
      </w:r>
      <w:r w:rsidR="003B50ED">
        <w:rPr>
          <w:rFonts w:cstheme="minorHAnsi"/>
          <w:color w:val="000000"/>
        </w:rPr>
        <w:t xml:space="preserve"> </w:t>
      </w:r>
      <w:r w:rsidRPr="00A26C26">
        <w:rPr>
          <w:rFonts w:cstheme="minorHAnsi"/>
          <w:color w:val="000000"/>
        </w:rPr>
        <w:t>mieszanki</w:t>
      </w:r>
      <w:r w:rsidR="003B50ED">
        <w:rPr>
          <w:rFonts w:cstheme="minorHAnsi"/>
          <w:color w:val="000000"/>
        </w:rPr>
        <w:t xml:space="preserve"> </w:t>
      </w:r>
      <w:r w:rsidRPr="00A26C26">
        <w:rPr>
          <w:rFonts w:cstheme="minorHAnsi"/>
          <w:color w:val="000000"/>
        </w:rPr>
        <w:t>zbożowe.</w:t>
      </w:r>
      <w:r w:rsidR="003B50ED">
        <w:rPr>
          <w:rFonts w:cstheme="minorHAnsi"/>
          <w:color w:val="000000"/>
        </w:rPr>
        <w:t xml:space="preserve"> </w:t>
      </w:r>
    </w:p>
    <w:p w14:paraId="6DBE2C9E" w14:textId="77777777" w:rsidR="00224658" w:rsidRPr="00A26C26" w:rsidRDefault="00224658" w:rsidP="00A26C26">
      <w:pPr>
        <w:spacing w:line="276" w:lineRule="auto"/>
        <w:ind w:firstLine="284"/>
        <w:jc w:val="both"/>
        <w:rPr>
          <w:rFonts w:cstheme="minorHAnsi"/>
          <w:color w:val="000000"/>
        </w:rPr>
      </w:pPr>
    </w:p>
    <w:p w14:paraId="33C28855" w14:textId="5751CB63" w:rsidR="00224658" w:rsidRPr="00A26C26" w:rsidRDefault="00224658" w:rsidP="00A26C26">
      <w:pPr>
        <w:spacing w:line="276" w:lineRule="auto"/>
        <w:jc w:val="both"/>
        <w:rPr>
          <w:rFonts w:cstheme="minorHAnsi"/>
          <w:color w:val="000000"/>
        </w:rPr>
      </w:pPr>
      <w:r w:rsidRPr="00A26C26">
        <w:rPr>
          <w:rFonts w:cstheme="minorHAnsi"/>
          <w:color w:val="000000"/>
        </w:rPr>
        <w:t>Tabela</w:t>
      </w:r>
      <w:r w:rsidR="00396A11">
        <w:rPr>
          <w:rFonts w:cstheme="minorHAnsi"/>
          <w:color w:val="000000"/>
        </w:rPr>
        <w:t xml:space="preserve"> nr 2</w:t>
      </w:r>
      <w:r w:rsidR="00203429">
        <w:rPr>
          <w:rFonts w:cstheme="minorHAnsi"/>
          <w:color w:val="000000"/>
        </w:rPr>
        <w:t>6</w:t>
      </w:r>
      <w:r w:rsidR="003B50ED">
        <w:rPr>
          <w:rFonts w:cstheme="minorHAnsi"/>
          <w:color w:val="000000"/>
        </w:rPr>
        <w:t xml:space="preserve"> </w:t>
      </w:r>
      <w:r w:rsidRPr="00A26C26">
        <w:rPr>
          <w:rFonts w:cstheme="minorHAnsi"/>
          <w:color w:val="000000"/>
        </w:rPr>
        <w:t>Gospodarstwa</w:t>
      </w:r>
      <w:r w:rsidR="003B50ED">
        <w:rPr>
          <w:rFonts w:cstheme="minorHAnsi"/>
          <w:color w:val="000000"/>
        </w:rPr>
        <w:t xml:space="preserve"> </w:t>
      </w:r>
      <w:r w:rsidRPr="00A26C26">
        <w:rPr>
          <w:rFonts w:cstheme="minorHAnsi"/>
          <w:color w:val="000000"/>
        </w:rPr>
        <w:t>rolne</w:t>
      </w:r>
      <w:r w:rsidR="003B50ED">
        <w:rPr>
          <w:rFonts w:cstheme="minorHAnsi"/>
          <w:color w:val="000000"/>
        </w:rPr>
        <w:t xml:space="preserve"> </w:t>
      </w:r>
      <w:r w:rsidRPr="00A26C26">
        <w:rPr>
          <w:rFonts w:cstheme="minorHAnsi"/>
          <w:color w:val="000000"/>
        </w:rPr>
        <w:t>z</w:t>
      </w:r>
      <w:r w:rsidR="003B50ED">
        <w:rPr>
          <w:rFonts w:cstheme="minorHAnsi"/>
          <w:color w:val="000000"/>
        </w:rPr>
        <w:t xml:space="preserve"> </w:t>
      </w:r>
      <w:r w:rsidRPr="00A26C26">
        <w:rPr>
          <w:rFonts w:cstheme="minorHAnsi"/>
          <w:color w:val="000000"/>
        </w:rPr>
        <w:t>powierzchnią</w:t>
      </w:r>
      <w:r w:rsidR="003B50ED">
        <w:rPr>
          <w:rFonts w:cstheme="minorHAnsi"/>
          <w:color w:val="000000"/>
        </w:rPr>
        <w:t xml:space="preserve"> </w:t>
      </w:r>
      <w:r w:rsidRPr="00A26C26">
        <w:rPr>
          <w:rFonts w:cstheme="minorHAnsi"/>
          <w:color w:val="000000"/>
        </w:rPr>
        <w:t>zasiewów</w:t>
      </w:r>
      <w:r w:rsidR="003B50ED">
        <w:rPr>
          <w:rFonts w:cstheme="minorHAnsi"/>
          <w:color w:val="000000"/>
        </w:rPr>
        <w:t xml:space="preserve"> </w:t>
      </w:r>
      <w:r w:rsidRPr="00A26C26">
        <w:rPr>
          <w:rFonts w:cstheme="minorHAnsi"/>
          <w:color w:val="000000"/>
        </w:rPr>
        <w:t>/</w:t>
      </w:r>
      <w:r w:rsidR="003B50ED">
        <w:rPr>
          <w:rFonts w:cstheme="minorHAnsi"/>
          <w:color w:val="000000"/>
        </w:rPr>
        <w:t xml:space="preserve"> </w:t>
      </w:r>
      <w:r w:rsidRPr="00A26C26">
        <w:rPr>
          <w:rFonts w:cstheme="minorHAnsi"/>
          <w:color w:val="000000"/>
        </w:rPr>
        <w:t>gospodarstwo</w:t>
      </w:r>
    </w:p>
    <w:tbl>
      <w:tblPr>
        <w:tblW w:w="10201" w:type="dxa"/>
        <w:tblLayout w:type="fixed"/>
        <w:tblCellMar>
          <w:left w:w="70" w:type="dxa"/>
          <w:right w:w="70" w:type="dxa"/>
        </w:tblCellMar>
        <w:tblLook w:val="04A0" w:firstRow="1" w:lastRow="0" w:firstColumn="1" w:lastColumn="0" w:noHBand="0" w:noVBand="1"/>
      </w:tblPr>
      <w:tblGrid>
        <w:gridCol w:w="1413"/>
        <w:gridCol w:w="1098"/>
        <w:gridCol w:w="1099"/>
        <w:gridCol w:w="1098"/>
        <w:gridCol w:w="1099"/>
        <w:gridCol w:w="1098"/>
        <w:gridCol w:w="1099"/>
        <w:gridCol w:w="1098"/>
        <w:gridCol w:w="1099"/>
      </w:tblGrid>
      <w:tr w:rsidR="00224658" w:rsidRPr="00A26C26" w14:paraId="2659EA8F" w14:textId="77777777" w:rsidTr="007F1E76">
        <w:trPr>
          <w:trHeight w:val="249"/>
        </w:trPr>
        <w:tc>
          <w:tcPr>
            <w:tcW w:w="1413"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48F5041D" w14:textId="102A3B28" w:rsidR="00224658" w:rsidRPr="00A26C26" w:rsidRDefault="003B50ED" w:rsidP="00A26C26">
            <w:pPr>
              <w:spacing w:line="276" w:lineRule="auto"/>
              <w:rPr>
                <w:rFonts w:eastAsia="Times New Roman" w:cstheme="minorHAnsi"/>
                <w:color w:val="000000"/>
                <w:kern w:val="0"/>
                <w:lang w:eastAsia="pl-PL"/>
                <w14:ligatures w14:val="none"/>
              </w:rPr>
            </w:pPr>
            <w:r>
              <w:rPr>
                <w:rFonts w:eastAsia="Times New Roman" w:cstheme="minorHAnsi"/>
                <w:color w:val="000000"/>
                <w:kern w:val="0"/>
                <w:lang w:eastAsia="pl-PL"/>
                <w14:ligatures w14:val="none"/>
              </w:rPr>
              <w:t xml:space="preserve"> </w:t>
            </w:r>
          </w:p>
        </w:tc>
        <w:tc>
          <w:tcPr>
            <w:tcW w:w="1098" w:type="dxa"/>
            <w:tcBorders>
              <w:top w:val="single" w:sz="4" w:space="0" w:color="auto"/>
              <w:left w:val="nil"/>
              <w:bottom w:val="single" w:sz="4" w:space="0" w:color="auto"/>
              <w:right w:val="single" w:sz="4" w:space="0" w:color="auto"/>
            </w:tcBorders>
            <w:shd w:val="clear" w:color="000000" w:fill="DDEBF7"/>
            <w:vAlign w:val="center"/>
            <w:hideMark/>
          </w:tcPr>
          <w:p w14:paraId="7AABA133"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ogółem</w:t>
            </w:r>
          </w:p>
        </w:tc>
        <w:tc>
          <w:tcPr>
            <w:tcW w:w="1099" w:type="dxa"/>
            <w:tcBorders>
              <w:top w:val="single" w:sz="4" w:space="0" w:color="auto"/>
              <w:left w:val="nil"/>
              <w:bottom w:val="single" w:sz="4" w:space="0" w:color="auto"/>
              <w:right w:val="single" w:sz="4" w:space="0" w:color="auto"/>
            </w:tcBorders>
            <w:shd w:val="clear" w:color="000000" w:fill="DDEBF7"/>
            <w:vAlign w:val="center"/>
            <w:hideMark/>
          </w:tcPr>
          <w:p w14:paraId="25542B79"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pszenica</w:t>
            </w:r>
          </w:p>
        </w:tc>
        <w:tc>
          <w:tcPr>
            <w:tcW w:w="1098" w:type="dxa"/>
            <w:tcBorders>
              <w:top w:val="single" w:sz="4" w:space="0" w:color="auto"/>
              <w:left w:val="nil"/>
              <w:bottom w:val="single" w:sz="4" w:space="0" w:color="auto"/>
              <w:right w:val="single" w:sz="4" w:space="0" w:color="auto"/>
            </w:tcBorders>
            <w:shd w:val="clear" w:color="000000" w:fill="DDEBF7"/>
            <w:vAlign w:val="center"/>
            <w:hideMark/>
          </w:tcPr>
          <w:p w14:paraId="291483DF"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żyto</w:t>
            </w:r>
          </w:p>
        </w:tc>
        <w:tc>
          <w:tcPr>
            <w:tcW w:w="1099" w:type="dxa"/>
            <w:tcBorders>
              <w:top w:val="single" w:sz="4" w:space="0" w:color="auto"/>
              <w:left w:val="nil"/>
              <w:bottom w:val="single" w:sz="4" w:space="0" w:color="auto"/>
              <w:right w:val="single" w:sz="4" w:space="0" w:color="auto"/>
            </w:tcBorders>
            <w:shd w:val="clear" w:color="000000" w:fill="DDEBF7"/>
            <w:vAlign w:val="center"/>
            <w:hideMark/>
          </w:tcPr>
          <w:p w14:paraId="1313BD5C"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jęczmień</w:t>
            </w:r>
          </w:p>
        </w:tc>
        <w:tc>
          <w:tcPr>
            <w:tcW w:w="1098" w:type="dxa"/>
            <w:tcBorders>
              <w:top w:val="single" w:sz="4" w:space="0" w:color="auto"/>
              <w:left w:val="nil"/>
              <w:bottom w:val="single" w:sz="4" w:space="0" w:color="auto"/>
              <w:right w:val="single" w:sz="4" w:space="0" w:color="auto"/>
            </w:tcBorders>
            <w:shd w:val="clear" w:color="000000" w:fill="DDEBF7"/>
            <w:vAlign w:val="center"/>
            <w:hideMark/>
          </w:tcPr>
          <w:p w14:paraId="77542080"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owies</w:t>
            </w:r>
          </w:p>
        </w:tc>
        <w:tc>
          <w:tcPr>
            <w:tcW w:w="1099" w:type="dxa"/>
            <w:tcBorders>
              <w:top w:val="single" w:sz="4" w:space="0" w:color="auto"/>
              <w:left w:val="nil"/>
              <w:bottom w:val="single" w:sz="4" w:space="0" w:color="auto"/>
              <w:right w:val="single" w:sz="4" w:space="0" w:color="auto"/>
            </w:tcBorders>
            <w:shd w:val="clear" w:color="000000" w:fill="DDEBF7"/>
            <w:vAlign w:val="center"/>
            <w:hideMark/>
          </w:tcPr>
          <w:p w14:paraId="716FC389"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pszenżyto</w:t>
            </w:r>
          </w:p>
        </w:tc>
        <w:tc>
          <w:tcPr>
            <w:tcW w:w="1098" w:type="dxa"/>
            <w:tcBorders>
              <w:top w:val="single" w:sz="4" w:space="0" w:color="auto"/>
              <w:left w:val="nil"/>
              <w:bottom w:val="single" w:sz="4" w:space="0" w:color="auto"/>
              <w:right w:val="single" w:sz="4" w:space="0" w:color="auto"/>
            </w:tcBorders>
            <w:shd w:val="clear" w:color="000000" w:fill="DDEBF7"/>
            <w:vAlign w:val="center"/>
            <w:hideMark/>
          </w:tcPr>
          <w:p w14:paraId="67AD547B" w14:textId="1AB05EC3"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mieszanki</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zbożowe</w:t>
            </w:r>
          </w:p>
        </w:tc>
        <w:tc>
          <w:tcPr>
            <w:tcW w:w="1099" w:type="dxa"/>
            <w:tcBorders>
              <w:top w:val="single" w:sz="4" w:space="0" w:color="auto"/>
              <w:left w:val="nil"/>
              <w:bottom w:val="single" w:sz="4" w:space="0" w:color="auto"/>
              <w:right w:val="single" w:sz="4" w:space="0" w:color="auto"/>
            </w:tcBorders>
            <w:shd w:val="clear" w:color="000000" w:fill="DDEBF7"/>
            <w:vAlign w:val="center"/>
            <w:hideMark/>
          </w:tcPr>
          <w:p w14:paraId="7F8EDA4E" w14:textId="5872F008"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kukurydza</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na</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ziarno</w:t>
            </w:r>
          </w:p>
        </w:tc>
      </w:tr>
      <w:tr w:rsidR="00224658" w:rsidRPr="00A26C26" w14:paraId="424BB749" w14:textId="77777777" w:rsidTr="007F1E76">
        <w:trPr>
          <w:trHeight w:val="249"/>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2882C1D" w14:textId="64320945" w:rsidR="00224658" w:rsidRPr="00A26C26" w:rsidRDefault="00224658" w:rsidP="00A26C26">
            <w:pPr>
              <w:spacing w:line="276" w:lineRule="auto"/>
              <w:rPr>
                <w:rFonts w:eastAsia="Times New Roman" w:cstheme="minorHAnsi"/>
                <w:kern w:val="0"/>
                <w:lang w:eastAsia="pl-PL"/>
                <w14:ligatures w14:val="none"/>
              </w:rPr>
            </w:pPr>
            <w:r w:rsidRPr="00A26C26">
              <w:rPr>
                <w:rFonts w:eastAsia="Times New Roman" w:cstheme="minorHAnsi"/>
                <w:kern w:val="0"/>
                <w:lang w:eastAsia="pl-PL"/>
                <w14:ligatures w14:val="none"/>
              </w:rPr>
              <w:t>Golina</w:t>
            </w:r>
            <w:r w:rsidR="003B50ED">
              <w:rPr>
                <w:rFonts w:eastAsia="Times New Roman" w:cstheme="minorHAnsi"/>
                <w:kern w:val="0"/>
                <w:lang w:eastAsia="pl-PL"/>
                <w14:ligatures w14:val="none"/>
              </w:rPr>
              <w:t xml:space="preserve"> </w:t>
            </w:r>
          </w:p>
        </w:tc>
        <w:tc>
          <w:tcPr>
            <w:tcW w:w="1098" w:type="dxa"/>
            <w:tcBorders>
              <w:top w:val="nil"/>
              <w:left w:val="nil"/>
              <w:bottom w:val="single" w:sz="4" w:space="0" w:color="auto"/>
              <w:right w:val="single" w:sz="4" w:space="0" w:color="auto"/>
            </w:tcBorders>
            <w:shd w:val="clear" w:color="auto" w:fill="auto"/>
            <w:noWrap/>
            <w:vAlign w:val="bottom"/>
            <w:hideMark/>
          </w:tcPr>
          <w:p w14:paraId="1D114F45"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661</w:t>
            </w:r>
          </w:p>
        </w:tc>
        <w:tc>
          <w:tcPr>
            <w:tcW w:w="1099" w:type="dxa"/>
            <w:tcBorders>
              <w:top w:val="nil"/>
              <w:left w:val="nil"/>
              <w:bottom w:val="single" w:sz="4" w:space="0" w:color="auto"/>
              <w:right w:val="single" w:sz="4" w:space="0" w:color="auto"/>
            </w:tcBorders>
            <w:shd w:val="clear" w:color="auto" w:fill="auto"/>
            <w:noWrap/>
            <w:vAlign w:val="bottom"/>
            <w:hideMark/>
          </w:tcPr>
          <w:p w14:paraId="3C1AD1C6"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228</w:t>
            </w:r>
          </w:p>
        </w:tc>
        <w:tc>
          <w:tcPr>
            <w:tcW w:w="1098" w:type="dxa"/>
            <w:tcBorders>
              <w:top w:val="nil"/>
              <w:left w:val="nil"/>
              <w:bottom w:val="single" w:sz="4" w:space="0" w:color="auto"/>
              <w:right w:val="single" w:sz="4" w:space="0" w:color="auto"/>
            </w:tcBorders>
            <w:shd w:val="clear" w:color="auto" w:fill="auto"/>
            <w:noWrap/>
            <w:vAlign w:val="bottom"/>
            <w:hideMark/>
          </w:tcPr>
          <w:p w14:paraId="6BEE6C3F"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313</w:t>
            </w:r>
          </w:p>
        </w:tc>
        <w:tc>
          <w:tcPr>
            <w:tcW w:w="1099" w:type="dxa"/>
            <w:tcBorders>
              <w:top w:val="nil"/>
              <w:left w:val="nil"/>
              <w:bottom w:val="single" w:sz="4" w:space="0" w:color="auto"/>
              <w:right w:val="single" w:sz="4" w:space="0" w:color="auto"/>
            </w:tcBorders>
            <w:shd w:val="clear" w:color="auto" w:fill="auto"/>
            <w:noWrap/>
            <w:vAlign w:val="bottom"/>
            <w:hideMark/>
          </w:tcPr>
          <w:p w14:paraId="34BBAC7E"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92</w:t>
            </w:r>
          </w:p>
        </w:tc>
        <w:tc>
          <w:tcPr>
            <w:tcW w:w="1098" w:type="dxa"/>
            <w:tcBorders>
              <w:top w:val="nil"/>
              <w:left w:val="nil"/>
              <w:bottom w:val="single" w:sz="4" w:space="0" w:color="auto"/>
              <w:right w:val="single" w:sz="4" w:space="0" w:color="auto"/>
            </w:tcBorders>
            <w:shd w:val="clear" w:color="auto" w:fill="auto"/>
            <w:noWrap/>
            <w:vAlign w:val="bottom"/>
            <w:hideMark/>
          </w:tcPr>
          <w:p w14:paraId="1ED51E24"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116</w:t>
            </w:r>
          </w:p>
        </w:tc>
        <w:tc>
          <w:tcPr>
            <w:tcW w:w="1099" w:type="dxa"/>
            <w:tcBorders>
              <w:top w:val="nil"/>
              <w:left w:val="nil"/>
              <w:bottom w:val="single" w:sz="4" w:space="0" w:color="auto"/>
              <w:right w:val="single" w:sz="4" w:space="0" w:color="auto"/>
            </w:tcBorders>
            <w:shd w:val="clear" w:color="auto" w:fill="auto"/>
            <w:noWrap/>
            <w:vAlign w:val="bottom"/>
            <w:hideMark/>
          </w:tcPr>
          <w:p w14:paraId="70F1FFAD"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210</w:t>
            </w:r>
          </w:p>
        </w:tc>
        <w:tc>
          <w:tcPr>
            <w:tcW w:w="1098" w:type="dxa"/>
            <w:tcBorders>
              <w:top w:val="nil"/>
              <w:left w:val="nil"/>
              <w:bottom w:val="single" w:sz="4" w:space="0" w:color="auto"/>
              <w:right w:val="single" w:sz="4" w:space="0" w:color="auto"/>
            </w:tcBorders>
            <w:shd w:val="clear" w:color="auto" w:fill="auto"/>
            <w:noWrap/>
            <w:vAlign w:val="bottom"/>
            <w:hideMark/>
          </w:tcPr>
          <w:p w14:paraId="0EEA7D52"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133</w:t>
            </w:r>
          </w:p>
        </w:tc>
        <w:tc>
          <w:tcPr>
            <w:tcW w:w="1099" w:type="dxa"/>
            <w:tcBorders>
              <w:top w:val="nil"/>
              <w:left w:val="nil"/>
              <w:bottom w:val="single" w:sz="4" w:space="0" w:color="auto"/>
              <w:right w:val="single" w:sz="4" w:space="0" w:color="auto"/>
            </w:tcBorders>
            <w:shd w:val="clear" w:color="auto" w:fill="auto"/>
            <w:noWrap/>
            <w:vAlign w:val="bottom"/>
            <w:hideMark/>
          </w:tcPr>
          <w:p w14:paraId="54D674CD"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132</w:t>
            </w:r>
          </w:p>
        </w:tc>
      </w:tr>
      <w:tr w:rsidR="00224658" w:rsidRPr="00A26C26" w14:paraId="39189AE0" w14:textId="77777777" w:rsidTr="007F1E76">
        <w:trPr>
          <w:trHeight w:val="249"/>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DC34B0D" w14:textId="39D7925B" w:rsidR="00224658" w:rsidRPr="00A26C26" w:rsidRDefault="00224658" w:rsidP="00A26C26">
            <w:pPr>
              <w:spacing w:line="276" w:lineRule="auto"/>
              <w:rPr>
                <w:rFonts w:eastAsia="Times New Roman" w:cstheme="minorHAnsi"/>
                <w:kern w:val="0"/>
                <w:lang w:eastAsia="pl-PL"/>
                <w14:ligatures w14:val="none"/>
              </w:rPr>
            </w:pPr>
            <w:r w:rsidRPr="00A26C26">
              <w:rPr>
                <w:rFonts w:eastAsia="Times New Roman" w:cstheme="minorHAnsi"/>
                <w:kern w:val="0"/>
                <w:lang w:eastAsia="pl-PL"/>
                <w14:ligatures w14:val="none"/>
              </w:rPr>
              <w:t>Grodziec</w:t>
            </w:r>
            <w:r w:rsidR="003B50ED">
              <w:rPr>
                <w:rFonts w:eastAsia="Times New Roman" w:cstheme="minorHAnsi"/>
                <w:kern w:val="0"/>
                <w:lang w:eastAsia="pl-PL"/>
                <w14:ligatures w14:val="none"/>
              </w:rPr>
              <w:t xml:space="preserve"> </w:t>
            </w:r>
          </w:p>
        </w:tc>
        <w:tc>
          <w:tcPr>
            <w:tcW w:w="1098" w:type="dxa"/>
            <w:tcBorders>
              <w:top w:val="nil"/>
              <w:left w:val="nil"/>
              <w:bottom w:val="single" w:sz="4" w:space="0" w:color="auto"/>
              <w:right w:val="single" w:sz="4" w:space="0" w:color="auto"/>
            </w:tcBorders>
            <w:shd w:val="clear" w:color="auto" w:fill="auto"/>
            <w:noWrap/>
            <w:vAlign w:val="bottom"/>
            <w:hideMark/>
          </w:tcPr>
          <w:p w14:paraId="78232243"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672</w:t>
            </w:r>
          </w:p>
        </w:tc>
        <w:tc>
          <w:tcPr>
            <w:tcW w:w="1099" w:type="dxa"/>
            <w:tcBorders>
              <w:top w:val="nil"/>
              <w:left w:val="nil"/>
              <w:bottom w:val="single" w:sz="4" w:space="0" w:color="auto"/>
              <w:right w:val="single" w:sz="4" w:space="0" w:color="auto"/>
            </w:tcBorders>
            <w:shd w:val="clear" w:color="auto" w:fill="auto"/>
            <w:noWrap/>
            <w:vAlign w:val="bottom"/>
            <w:hideMark/>
          </w:tcPr>
          <w:p w14:paraId="76E65DF2"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85</w:t>
            </w:r>
          </w:p>
        </w:tc>
        <w:tc>
          <w:tcPr>
            <w:tcW w:w="1098" w:type="dxa"/>
            <w:tcBorders>
              <w:top w:val="nil"/>
              <w:left w:val="nil"/>
              <w:bottom w:val="single" w:sz="4" w:space="0" w:color="auto"/>
              <w:right w:val="single" w:sz="4" w:space="0" w:color="auto"/>
            </w:tcBorders>
            <w:shd w:val="clear" w:color="auto" w:fill="auto"/>
            <w:noWrap/>
            <w:vAlign w:val="bottom"/>
            <w:hideMark/>
          </w:tcPr>
          <w:p w14:paraId="7EAF059F"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378</w:t>
            </w:r>
          </w:p>
        </w:tc>
        <w:tc>
          <w:tcPr>
            <w:tcW w:w="1099" w:type="dxa"/>
            <w:tcBorders>
              <w:top w:val="nil"/>
              <w:left w:val="nil"/>
              <w:bottom w:val="single" w:sz="4" w:space="0" w:color="auto"/>
              <w:right w:val="single" w:sz="4" w:space="0" w:color="auto"/>
            </w:tcBorders>
            <w:shd w:val="clear" w:color="auto" w:fill="auto"/>
            <w:noWrap/>
            <w:vAlign w:val="bottom"/>
            <w:hideMark/>
          </w:tcPr>
          <w:p w14:paraId="1B779695"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58</w:t>
            </w:r>
          </w:p>
        </w:tc>
        <w:tc>
          <w:tcPr>
            <w:tcW w:w="1098" w:type="dxa"/>
            <w:tcBorders>
              <w:top w:val="nil"/>
              <w:left w:val="nil"/>
              <w:bottom w:val="single" w:sz="4" w:space="0" w:color="auto"/>
              <w:right w:val="single" w:sz="4" w:space="0" w:color="auto"/>
            </w:tcBorders>
            <w:shd w:val="clear" w:color="auto" w:fill="auto"/>
            <w:noWrap/>
            <w:vAlign w:val="bottom"/>
            <w:hideMark/>
          </w:tcPr>
          <w:p w14:paraId="55D8824F"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272</w:t>
            </w:r>
          </w:p>
        </w:tc>
        <w:tc>
          <w:tcPr>
            <w:tcW w:w="1099" w:type="dxa"/>
            <w:tcBorders>
              <w:top w:val="nil"/>
              <w:left w:val="nil"/>
              <w:bottom w:val="single" w:sz="4" w:space="0" w:color="auto"/>
              <w:right w:val="single" w:sz="4" w:space="0" w:color="auto"/>
            </w:tcBorders>
            <w:shd w:val="clear" w:color="auto" w:fill="auto"/>
            <w:noWrap/>
            <w:vAlign w:val="bottom"/>
            <w:hideMark/>
          </w:tcPr>
          <w:p w14:paraId="6E0BE2AB"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251</w:t>
            </w:r>
          </w:p>
        </w:tc>
        <w:tc>
          <w:tcPr>
            <w:tcW w:w="1098" w:type="dxa"/>
            <w:tcBorders>
              <w:top w:val="nil"/>
              <w:left w:val="nil"/>
              <w:bottom w:val="single" w:sz="4" w:space="0" w:color="auto"/>
              <w:right w:val="single" w:sz="4" w:space="0" w:color="auto"/>
            </w:tcBorders>
            <w:shd w:val="clear" w:color="auto" w:fill="auto"/>
            <w:noWrap/>
            <w:vAlign w:val="bottom"/>
            <w:hideMark/>
          </w:tcPr>
          <w:p w14:paraId="5903AF62"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267</w:t>
            </w:r>
          </w:p>
        </w:tc>
        <w:tc>
          <w:tcPr>
            <w:tcW w:w="1099" w:type="dxa"/>
            <w:tcBorders>
              <w:top w:val="nil"/>
              <w:left w:val="nil"/>
              <w:bottom w:val="single" w:sz="4" w:space="0" w:color="auto"/>
              <w:right w:val="single" w:sz="4" w:space="0" w:color="auto"/>
            </w:tcBorders>
            <w:shd w:val="clear" w:color="auto" w:fill="auto"/>
            <w:noWrap/>
            <w:vAlign w:val="bottom"/>
            <w:hideMark/>
          </w:tcPr>
          <w:p w14:paraId="7D6C26C7"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101</w:t>
            </w:r>
          </w:p>
        </w:tc>
      </w:tr>
      <w:tr w:rsidR="00224658" w:rsidRPr="00A26C26" w14:paraId="6DFF4F7E" w14:textId="77777777" w:rsidTr="007F1E76">
        <w:trPr>
          <w:trHeight w:val="249"/>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FFA6381" w14:textId="5EE65262" w:rsidR="00224658" w:rsidRPr="00A26C26" w:rsidRDefault="00224658" w:rsidP="00A26C26">
            <w:pPr>
              <w:spacing w:line="276" w:lineRule="auto"/>
              <w:rPr>
                <w:rFonts w:eastAsia="Times New Roman" w:cstheme="minorHAnsi"/>
                <w:kern w:val="0"/>
                <w:lang w:eastAsia="pl-PL"/>
                <w14:ligatures w14:val="none"/>
              </w:rPr>
            </w:pPr>
            <w:r w:rsidRPr="00A26C26">
              <w:rPr>
                <w:rFonts w:eastAsia="Times New Roman" w:cstheme="minorHAnsi"/>
                <w:kern w:val="0"/>
                <w:lang w:eastAsia="pl-PL"/>
                <w14:ligatures w14:val="none"/>
              </w:rPr>
              <w:t>Rychwał</w:t>
            </w:r>
            <w:r w:rsidR="003B50ED">
              <w:rPr>
                <w:rFonts w:eastAsia="Times New Roman" w:cstheme="minorHAnsi"/>
                <w:kern w:val="0"/>
                <w:lang w:eastAsia="pl-PL"/>
                <w14:ligatures w14:val="none"/>
              </w:rPr>
              <w:t xml:space="preserve"> </w:t>
            </w:r>
          </w:p>
        </w:tc>
        <w:tc>
          <w:tcPr>
            <w:tcW w:w="1098" w:type="dxa"/>
            <w:tcBorders>
              <w:top w:val="nil"/>
              <w:left w:val="nil"/>
              <w:bottom w:val="single" w:sz="4" w:space="0" w:color="auto"/>
              <w:right w:val="single" w:sz="4" w:space="0" w:color="auto"/>
            </w:tcBorders>
            <w:shd w:val="clear" w:color="auto" w:fill="auto"/>
            <w:noWrap/>
            <w:vAlign w:val="bottom"/>
            <w:hideMark/>
          </w:tcPr>
          <w:p w14:paraId="43C84DCA" w14:textId="48F9C383"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1</w:t>
            </w:r>
            <w:r w:rsidR="003B50ED">
              <w:rPr>
                <w:rFonts w:eastAsia="Times New Roman" w:cstheme="minorHAnsi"/>
                <w:kern w:val="0"/>
                <w:lang w:eastAsia="pl-PL"/>
                <w14:ligatures w14:val="none"/>
              </w:rPr>
              <w:t xml:space="preserve"> </w:t>
            </w:r>
            <w:r w:rsidRPr="00A26C26">
              <w:rPr>
                <w:rFonts w:eastAsia="Times New Roman" w:cstheme="minorHAnsi"/>
                <w:kern w:val="0"/>
                <w:lang w:eastAsia="pl-PL"/>
                <w14:ligatures w14:val="none"/>
              </w:rPr>
              <w:t>028</w:t>
            </w:r>
          </w:p>
        </w:tc>
        <w:tc>
          <w:tcPr>
            <w:tcW w:w="1099" w:type="dxa"/>
            <w:tcBorders>
              <w:top w:val="nil"/>
              <w:left w:val="nil"/>
              <w:bottom w:val="single" w:sz="4" w:space="0" w:color="auto"/>
              <w:right w:val="single" w:sz="4" w:space="0" w:color="auto"/>
            </w:tcBorders>
            <w:shd w:val="clear" w:color="auto" w:fill="auto"/>
            <w:noWrap/>
            <w:vAlign w:val="bottom"/>
            <w:hideMark/>
          </w:tcPr>
          <w:p w14:paraId="765D1705"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177</w:t>
            </w:r>
          </w:p>
        </w:tc>
        <w:tc>
          <w:tcPr>
            <w:tcW w:w="1098" w:type="dxa"/>
            <w:tcBorders>
              <w:top w:val="nil"/>
              <w:left w:val="nil"/>
              <w:bottom w:val="single" w:sz="4" w:space="0" w:color="auto"/>
              <w:right w:val="single" w:sz="4" w:space="0" w:color="auto"/>
            </w:tcBorders>
            <w:shd w:val="clear" w:color="auto" w:fill="auto"/>
            <w:noWrap/>
            <w:vAlign w:val="bottom"/>
            <w:hideMark/>
          </w:tcPr>
          <w:p w14:paraId="6C491672"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610</w:t>
            </w:r>
          </w:p>
        </w:tc>
        <w:tc>
          <w:tcPr>
            <w:tcW w:w="1099" w:type="dxa"/>
            <w:tcBorders>
              <w:top w:val="nil"/>
              <w:left w:val="nil"/>
              <w:bottom w:val="single" w:sz="4" w:space="0" w:color="auto"/>
              <w:right w:val="single" w:sz="4" w:space="0" w:color="auto"/>
            </w:tcBorders>
            <w:shd w:val="clear" w:color="auto" w:fill="auto"/>
            <w:noWrap/>
            <w:vAlign w:val="bottom"/>
            <w:hideMark/>
          </w:tcPr>
          <w:p w14:paraId="4AEF0887"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98</w:t>
            </w:r>
          </w:p>
        </w:tc>
        <w:tc>
          <w:tcPr>
            <w:tcW w:w="1098" w:type="dxa"/>
            <w:tcBorders>
              <w:top w:val="nil"/>
              <w:left w:val="nil"/>
              <w:bottom w:val="single" w:sz="4" w:space="0" w:color="auto"/>
              <w:right w:val="single" w:sz="4" w:space="0" w:color="auto"/>
            </w:tcBorders>
            <w:shd w:val="clear" w:color="auto" w:fill="auto"/>
            <w:noWrap/>
            <w:vAlign w:val="bottom"/>
            <w:hideMark/>
          </w:tcPr>
          <w:p w14:paraId="4F26F949"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451</w:t>
            </w:r>
          </w:p>
        </w:tc>
        <w:tc>
          <w:tcPr>
            <w:tcW w:w="1099" w:type="dxa"/>
            <w:tcBorders>
              <w:top w:val="nil"/>
              <w:left w:val="nil"/>
              <w:bottom w:val="single" w:sz="4" w:space="0" w:color="auto"/>
              <w:right w:val="single" w:sz="4" w:space="0" w:color="auto"/>
            </w:tcBorders>
            <w:shd w:val="clear" w:color="auto" w:fill="auto"/>
            <w:noWrap/>
            <w:vAlign w:val="bottom"/>
            <w:hideMark/>
          </w:tcPr>
          <w:p w14:paraId="253641FC"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269</w:t>
            </w:r>
          </w:p>
        </w:tc>
        <w:tc>
          <w:tcPr>
            <w:tcW w:w="1098" w:type="dxa"/>
            <w:tcBorders>
              <w:top w:val="nil"/>
              <w:left w:val="nil"/>
              <w:bottom w:val="single" w:sz="4" w:space="0" w:color="auto"/>
              <w:right w:val="single" w:sz="4" w:space="0" w:color="auto"/>
            </w:tcBorders>
            <w:shd w:val="clear" w:color="auto" w:fill="auto"/>
            <w:noWrap/>
            <w:vAlign w:val="bottom"/>
            <w:hideMark/>
          </w:tcPr>
          <w:p w14:paraId="2D8E1992"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281</w:t>
            </w:r>
          </w:p>
        </w:tc>
        <w:tc>
          <w:tcPr>
            <w:tcW w:w="1099" w:type="dxa"/>
            <w:tcBorders>
              <w:top w:val="nil"/>
              <w:left w:val="nil"/>
              <w:bottom w:val="single" w:sz="4" w:space="0" w:color="auto"/>
              <w:right w:val="single" w:sz="4" w:space="0" w:color="auto"/>
            </w:tcBorders>
            <w:shd w:val="clear" w:color="auto" w:fill="auto"/>
            <w:noWrap/>
            <w:vAlign w:val="bottom"/>
            <w:hideMark/>
          </w:tcPr>
          <w:p w14:paraId="3F77B248"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305</w:t>
            </w:r>
          </w:p>
        </w:tc>
      </w:tr>
      <w:tr w:rsidR="00224658" w:rsidRPr="00A26C26" w14:paraId="3912C521" w14:textId="77777777" w:rsidTr="007F1E76">
        <w:trPr>
          <w:trHeight w:val="249"/>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6997EB8" w14:textId="77777777" w:rsidR="00224658" w:rsidRPr="00A26C26" w:rsidRDefault="00224658" w:rsidP="00A26C26">
            <w:pPr>
              <w:spacing w:line="276" w:lineRule="auto"/>
              <w:rPr>
                <w:rFonts w:eastAsia="Times New Roman" w:cstheme="minorHAnsi"/>
                <w:kern w:val="0"/>
                <w:lang w:eastAsia="pl-PL"/>
                <w14:ligatures w14:val="none"/>
              </w:rPr>
            </w:pPr>
            <w:r w:rsidRPr="00A26C26">
              <w:rPr>
                <w:rFonts w:eastAsia="Times New Roman" w:cstheme="minorHAnsi"/>
                <w:kern w:val="0"/>
                <w:lang w:eastAsia="pl-PL"/>
                <w14:ligatures w14:val="none"/>
              </w:rPr>
              <w:t>Rzgów</w:t>
            </w:r>
          </w:p>
        </w:tc>
        <w:tc>
          <w:tcPr>
            <w:tcW w:w="1098" w:type="dxa"/>
            <w:tcBorders>
              <w:top w:val="nil"/>
              <w:left w:val="nil"/>
              <w:bottom w:val="single" w:sz="4" w:space="0" w:color="auto"/>
              <w:right w:val="single" w:sz="4" w:space="0" w:color="auto"/>
            </w:tcBorders>
            <w:shd w:val="clear" w:color="auto" w:fill="auto"/>
            <w:noWrap/>
            <w:vAlign w:val="bottom"/>
            <w:hideMark/>
          </w:tcPr>
          <w:p w14:paraId="799F530C"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756</w:t>
            </w:r>
          </w:p>
        </w:tc>
        <w:tc>
          <w:tcPr>
            <w:tcW w:w="1099" w:type="dxa"/>
            <w:tcBorders>
              <w:top w:val="nil"/>
              <w:left w:val="nil"/>
              <w:bottom w:val="single" w:sz="4" w:space="0" w:color="auto"/>
              <w:right w:val="single" w:sz="4" w:space="0" w:color="auto"/>
            </w:tcBorders>
            <w:shd w:val="clear" w:color="auto" w:fill="auto"/>
            <w:noWrap/>
            <w:vAlign w:val="bottom"/>
            <w:hideMark/>
          </w:tcPr>
          <w:p w14:paraId="7041FD73"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115</w:t>
            </w:r>
          </w:p>
        </w:tc>
        <w:tc>
          <w:tcPr>
            <w:tcW w:w="1098" w:type="dxa"/>
            <w:tcBorders>
              <w:top w:val="nil"/>
              <w:left w:val="nil"/>
              <w:bottom w:val="single" w:sz="4" w:space="0" w:color="auto"/>
              <w:right w:val="single" w:sz="4" w:space="0" w:color="auto"/>
            </w:tcBorders>
            <w:shd w:val="clear" w:color="auto" w:fill="auto"/>
            <w:noWrap/>
            <w:vAlign w:val="bottom"/>
            <w:hideMark/>
          </w:tcPr>
          <w:p w14:paraId="2EA51BFD"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464</w:t>
            </w:r>
          </w:p>
        </w:tc>
        <w:tc>
          <w:tcPr>
            <w:tcW w:w="1099" w:type="dxa"/>
            <w:tcBorders>
              <w:top w:val="nil"/>
              <w:left w:val="nil"/>
              <w:bottom w:val="single" w:sz="4" w:space="0" w:color="auto"/>
              <w:right w:val="single" w:sz="4" w:space="0" w:color="auto"/>
            </w:tcBorders>
            <w:shd w:val="clear" w:color="auto" w:fill="auto"/>
            <w:noWrap/>
            <w:vAlign w:val="bottom"/>
            <w:hideMark/>
          </w:tcPr>
          <w:p w14:paraId="0F2F9274"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52</w:t>
            </w:r>
          </w:p>
        </w:tc>
        <w:tc>
          <w:tcPr>
            <w:tcW w:w="1098" w:type="dxa"/>
            <w:tcBorders>
              <w:top w:val="nil"/>
              <w:left w:val="nil"/>
              <w:bottom w:val="single" w:sz="4" w:space="0" w:color="auto"/>
              <w:right w:val="single" w:sz="4" w:space="0" w:color="auto"/>
            </w:tcBorders>
            <w:shd w:val="clear" w:color="auto" w:fill="auto"/>
            <w:noWrap/>
            <w:vAlign w:val="bottom"/>
            <w:hideMark/>
          </w:tcPr>
          <w:p w14:paraId="2F1221F1"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353</w:t>
            </w:r>
          </w:p>
        </w:tc>
        <w:tc>
          <w:tcPr>
            <w:tcW w:w="1099" w:type="dxa"/>
            <w:tcBorders>
              <w:top w:val="nil"/>
              <w:left w:val="nil"/>
              <w:bottom w:val="single" w:sz="4" w:space="0" w:color="auto"/>
              <w:right w:val="single" w:sz="4" w:space="0" w:color="auto"/>
            </w:tcBorders>
            <w:shd w:val="clear" w:color="auto" w:fill="auto"/>
            <w:noWrap/>
            <w:vAlign w:val="bottom"/>
            <w:hideMark/>
          </w:tcPr>
          <w:p w14:paraId="65ACDE0F"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301</w:t>
            </w:r>
          </w:p>
        </w:tc>
        <w:tc>
          <w:tcPr>
            <w:tcW w:w="1098" w:type="dxa"/>
            <w:tcBorders>
              <w:top w:val="nil"/>
              <w:left w:val="nil"/>
              <w:bottom w:val="single" w:sz="4" w:space="0" w:color="auto"/>
              <w:right w:val="single" w:sz="4" w:space="0" w:color="auto"/>
            </w:tcBorders>
            <w:shd w:val="clear" w:color="auto" w:fill="auto"/>
            <w:noWrap/>
            <w:vAlign w:val="bottom"/>
            <w:hideMark/>
          </w:tcPr>
          <w:p w14:paraId="33CFD88A"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197</w:t>
            </w:r>
          </w:p>
        </w:tc>
        <w:tc>
          <w:tcPr>
            <w:tcW w:w="1099" w:type="dxa"/>
            <w:tcBorders>
              <w:top w:val="nil"/>
              <w:left w:val="nil"/>
              <w:bottom w:val="single" w:sz="4" w:space="0" w:color="auto"/>
              <w:right w:val="single" w:sz="4" w:space="0" w:color="auto"/>
            </w:tcBorders>
            <w:shd w:val="clear" w:color="auto" w:fill="auto"/>
            <w:noWrap/>
            <w:vAlign w:val="bottom"/>
            <w:hideMark/>
          </w:tcPr>
          <w:p w14:paraId="47B2FFF9"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75</w:t>
            </w:r>
          </w:p>
        </w:tc>
      </w:tr>
      <w:tr w:rsidR="00224658" w:rsidRPr="00A26C26" w14:paraId="195E03A0" w14:textId="77777777" w:rsidTr="007F1E76">
        <w:trPr>
          <w:trHeight w:val="249"/>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0215C61" w14:textId="75B8DD94" w:rsidR="00224658" w:rsidRPr="00A26C26" w:rsidRDefault="00224658" w:rsidP="00A26C26">
            <w:pPr>
              <w:spacing w:line="276" w:lineRule="auto"/>
              <w:rPr>
                <w:rFonts w:eastAsia="Times New Roman" w:cstheme="minorHAnsi"/>
                <w:kern w:val="0"/>
                <w:lang w:eastAsia="pl-PL"/>
                <w14:ligatures w14:val="none"/>
              </w:rPr>
            </w:pPr>
            <w:r w:rsidRPr="00A26C26">
              <w:rPr>
                <w:rFonts w:eastAsia="Times New Roman" w:cstheme="minorHAnsi"/>
                <w:kern w:val="0"/>
                <w:lang w:eastAsia="pl-PL"/>
                <w14:ligatures w14:val="none"/>
              </w:rPr>
              <w:t>Stare</w:t>
            </w:r>
            <w:r w:rsidR="003B50ED">
              <w:rPr>
                <w:rFonts w:eastAsia="Times New Roman" w:cstheme="minorHAnsi"/>
                <w:kern w:val="0"/>
                <w:lang w:eastAsia="pl-PL"/>
                <w14:ligatures w14:val="none"/>
              </w:rPr>
              <w:t xml:space="preserve"> </w:t>
            </w:r>
            <w:r w:rsidRPr="00A26C26">
              <w:rPr>
                <w:rFonts w:eastAsia="Times New Roman" w:cstheme="minorHAnsi"/>
                <w:kern w:val="0"/>
                <w:lang w:eastAsia="pl-PL"/>
                <w14:ligatures w14:val="none"/>
              </w:rPr>
              <w:t>Miasto</w:t>
            </w:r>
          </w:p>
        </w:tc>
        <w:tc>
          <w:tcPr>
            <w:tcW w:w="1098" w:type="dxa"/>
            <w:tcBorders>
              <w:top w:val="nil"/>
              <w:left w:val="nil"/>
              <w:bottom w:val="single" w:sz="4" w:space="0" w:color="auto"/>
              <w:right w:val="single" w:sz="4" w:space="0" w:color="auto"/>
            </w:tcBorders>
            <w:shd w:val="clear" w:color="auto" w:fill="auto"/>
            <w:noWrap/>
            <w:vAlign w:val="bottom"/>
            <w:hideMark/>
          </w:tcPr>
          <w:p w14:paraId="3AE1C377"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846</w:t>
            </w:r>
          </w:p>
        </w:tc>
        <w:tc>
          <w:tcPr>
            <w:tcW w:w="1099" w:type="dxa"/>
            <w:tcBorders>
              <w:top w:val="nil"/>
              <w:left w:val="nil"/>
              <w:bottom w:val="single" w:sz="4" w:space="0" w:color="auto"/>
              <w:right w:val="single" w:sz="4" w:space="0" w:color="auto"/>
            </w:tcBorders>
            <w:shd w:val="clear" w:color="auto" w:fill="auto"/>
            <w:noWrap/>
            <w:vAlign w:val="bottom"/>
            <w:hideMark/>
          </w:tcPr>
          <w:p w14:paraId="021477FD"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60</w:t>
            </w:r>
          </w:p>
        </w:tc>
        <w:tc>
          <w:tcPr>
            <w:tcW w:w="1098" w:type="dxa"/>
            <w:tcBorders>
              <w:top w:val="nil"/>
              <w:left w:val="nil"/>
              <w:bottom w:val="single" w:sz="4" w:space="0" w:color="auto"/>
              <w:right w:val="single" w:sz="4" w:space="0" w:color="auto"/>
            </w:tcBorders>
            <w:shd w:val="clear" w:color="auto" w:fill="auto"/>
            <w:noWrap/>
            <w:vAlign w:val="bottom"/>
            <w:hideMark/>
          </w:tcPr>
          <w:p w14:paraId="664BCA86"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612</w:t>
            </w:r>
          </w:p>
        </w:tc>
        <w:tc>
          <w:tcPr>
            <w:tcW w:w="1099" w:type="dxa"/>
            <w:tcBorders>
              <w:top w:val="nil"/>
              <w:left w:val="nil"/>
              <w:bottom w:val="single" w:sz="4" w:space="0" w:color="auto"/>
              <w:right w:val="single" w:sz="4" w:space="0" w:color="auto"/>
            </w:tcBorders>
            <w:shd w:val="clear" w:color="auto" w:fill="auto"/>
            <w:noWrap/>
            <w:vAlign w:val="bottom"/>
            <w:hideMark/>
          </w:tcPr>
          <w:p w14:paraId="04A55791"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32</w:t>
            </w:r>
          </w:p>
        </w:tc>
        <w:tc>
          <w:tcPr>
            <w:tcW w:w="1098" w:type="dxa"/>
            <w:tcBorders>
              <w:top w:val="nil"/>
              <w:left w:val="nil"/>
              <w:bottom w:val="single" w:sz="4" w:space="0" w:color="auto"/>
              <w:right w:val="single" w:sz="4" w:space="0" w:color="auto"/>
            </w:tcBorders>
            <w:shd w:val="clear" w:color="auto" w:fill="auto"/>
            <w:noWrap/>
            <w:vAlign w:val="bottom"/>
            <w:hideMark/>
          </w:tcPr>
          <w:p w14:paraId="561D1AD5"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392</w:t>
            </w:r>
          </w:p>
        </w:tc>
        <w:tc>
          <w:tcPr>
            <w:tcW w:w="1099" w:type="dxa"/>
            <w:tcBorders>
              <w:top w:val="nil"/>
              <w:left w:val="nil"/>
              <w:bottom w:val="single" w:sz="4" w:space="0" w:color="auto"/>
              <w:right w:val="single" w:sz="4" w:space="0" w:color="auto"/>
            </w:tcBorders>
            <w:shd w:val="clear" w:color="auto" w:fill="auto"/>
            <w:noWrap/>
            <w:vAlign w:val="bottom"/>
            <w:hideMark/>
          </w:tcPr>
          <w:p w14:paraId="359B5052"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109</w:t>
            </w:r>
          </w:p>
        </w:tc>
        <w:tc>
          <w:tcPr>
            <w:tcW w:w="1098" w:type="dxa"/>
            <w:tcBorders>
              <w:top w:val="nil"/>
              <w:left w:val="nil"/>
              <w:bottom w:val="single" w:sz="4" w:space="0" w:color="auto"/>
              <w:right w:val="single" w:sz="4" w:space="0" w:color="auto"/>
            </w:tcBorders>
            <w:shd w:val="clear" w:color="auto" w:fill="auto"/>
            <w:noWrap/>
            <w:vAlign w:val="bottom"/>
            <w:hideMark/>
          </w:tcPr>
          <w:p w14:paraId="226525B2"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140</w:t>
            </w:r>
          </w:p>
        </w:tc>
        <w:tc>
          <w:tcPr>
            <w:tcW w:w="1099" w:type="dxa"/>
            <w:tcBorders>
              <w:top w:val="nil"/>
              <w:left w:val="nil"/>
              <w:bottom w:val="single" w:sz="4" w:space="0" w:color="auto"/>
              <w:right w:val="single" w:sz="4" w:space="0" w:color="auto"/>
            </w:tcBorders>
            <w:shd w:val="clear" w:color="auto" w:fill="auto"/>
            <w:noWrap/>
            <w:vAlign w:val="bottom"/>
            <w:hideMark/>
          </w:tcPr>
          <w:p w14:paraId="1D63D138"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156</w:t>
            </w:r>
          </w:p>
        </w:tc>
      </w:tr>
      <w:tr w:rsidR="00224658" w:rsidRPr="00A26C26" w14:paraId="1ACF09D0" w14:textId="77777777" w:rsidTr="007F1E76">
        <w:trPr>
          <w:trHeight w:val="249"/>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6BDC008" w14:textId="7B8E5E7E" w:rsidR="00224658" w:rsidRPr="00A26C26" w:rsidRDefault="00224658" w:rsidP="00A26C26">
            <w:pPr>
              <w:spacing w:line="276" w:lineRule="auto"/>
              <w:rPr>
                <w:rFonts w:eastAsia="Times New Roman" w:cstheme="minorHAnsi"/>
                <w:kern w:val="0"/>
                <w:lang w:eastAsia="pl-PL"/>
                <w14:ligatures w14:val="none"/>
              </w:rPr>
            </w:pPr>
            <w:r w:rsidRPr="00A26C26">
              <w:rPr>
                <w:rFonts w:eastAsia="Times New Roman" w:cstheme="minorHAnsi"/>
                <w:kern w:val="0"/>
                <w:lang w:eastAsia="pl-PL"/>
                <w14:ligatures w14:val="none"/>
              </w:rPr>
              <w:t>Tuliszków</w:t>
            </w:r>
            <w:r w:rsidR="003B50ED">
              <w:rPr>
                <w:rFonts w:eastAsia="Times New Roman" w:cstheme="minorHAnsi"/>
                <w:kern w:val="0"/>
                <w:lang w:eastAsia="pl-PL"/>
                <w14:ligatures w14:val="none"/>
              </w:rPr>
              <w:t xml:space="preserve"> </w:t>
            </w:r>
          </w:p>
        </w:tc>
        <w:tc>
          <w:tcPr>
            <w:tcW w:w="1098" w:type="dxa"/>
            <w:tcBorders>
              <w:top w:val="nil"/>
              <w:left w:val="nil"/>
              <w:bottom w:val="single" w:sz="4" w:space="0" w:color="auto"/>
              <w:right w:val="single" w:sz="4" w:space="0" w:color="auto"/>
            </w:tcBorders>
            <w:shd w:val="clear" w:color="auto" w:fill="auto"/>
            <w:noWrap/>
            <w:vAlign w:val="bottom"/>
            <w:hideMark/>
          </w:tcPr>
          <w:p w14:paraId="787CC181"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855</w:t>
            </w:r>
          </w:p>
        </w:tc>
        <w:tc>
          <w:tcPr>
            <w:tcW w:w="1099" w:type="dxa"/>
            <w:tcBorders>
              <w:top w:val="nil"/>
              <w:left w:val="nil"/>
              <w:bottom w:val="single" w:sz="4" w:space="0" w:color="auto"/>
              <w:right w:val="single" w:sz="4" w:space="0" w:color="auto"/>
            </w:tcBorders>
            <w:shd w:val="clear" w:color="auto" w:fill="auto"/>
            <w:noWrap/>
            <w:vAlign w:val="bottom"/>
            <w:hideMark/>
          </w:tcPr>
          <w:p w14:paraId="65186075"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72</w:t>
            </w:r>
          </w:p>
        </w:tc>
        <w:tc>
          <w:tcPr>
            <w:tcW w:w="1098" w:type="dxa"/>
            <w:tcBorders>
              <w:top w:val="nil"/>
              <w:left w:val="nil"/>
              <w:bottom w:val="single" w:sz="4" w:space="0" w:color="auto"/>
              <w:right w:val="single" w:sz="4" w:space="0" w:color="auto"/>
            </w:tcBorders>
            <w:shd w:val="clear" w:color="auto" w:fill="auto"/>
            <w:noWrap/>
            <w:vAlign w:val="bottom"/>
            <w:hideMark/>
          </w:tcPr>
          <w:p w14:paraId="7339463D"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547</w:t>
            </w:r>
          </w:p>
        </w:tc>
        <w:tc>
          <w:tcPr>
            <w:tcW w:w="1099" w:type="dxa"/>
            <w:tcBorders>
              <w:top w:val="nil"/>
              <w:left w:val="nil"/>
              <w:bottom w:val="single" w:sz="4" w:space="0" w:color="auto"/>
              <w:right w:val="single" w:sz="4" w:space="0" w:color="auto"/>
            </w:tcBorders>
            <w:shd w:val="clear" w:color="auto" w:fill="auto"/>
            <w:noWrap/>
            <w:vAlign w:val="bottom"/>
            <w:hideMark/>
          </w:tcPr>
          <w:p w14:paraId="774874EA"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6</w:t>
            </w:r>
          </w:p>
        </w:tc>
        <w:tc>
          <w:tcPr>
            <w:tcW w:w="1098" w:type="dxa"/>
            <w:tcBorders>
              <w:top w:val="nil"/>
              <w:left w:val="nil"/>
              <w:bottom w:val="single" w:sz="4" w:space="0" w:color="auto"/>
              <w:right w:val="single" w:sz="4" w:space="0" w:color="auto"/>
            </w:tcBorders>
            <w:shd w:val="clear" w:color="auto" w:fill="auto"/>
            <w:noWrap/>
            <w:vAlign w:val="bottom"/>
            <w:hideMark/>
          </w:tcPr>
          <w:p w14:paraId="31BA1E6F"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346</w:t>
            </w:r>
          </w:p>
        </w:tc>
        <w:tc>
          <w:tcPr>
            <w:tcW w:w="1099" w:type="dxa"/>
            <w:tcBorders>
              <w:top w:val="nil"/>
              <w:left w:val="nil"/>
              <w:bottom w:val="single" w:sz="4" w:space="0" w:color="auto"/>
              <w:right w:val="single" w:sz="4" w:space="0" w:color="auto"/>
            </w:tcBorders>
            <w:shd w:val="clear" w:color="auto" w:fill="auto"/>
            <w:noWrap/>
            <w:vAlign w:val="bottom"/>
            <w:hideMark/>
          </w:tcPr>
          <w:p w14:paraId="4C2E51AE"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205</w:t>
            </w:r>
          </w:p>
        </w:tc>
        <w:tc>
          <w:tcPr>
            <w:tcW w:w="1098" w:type="dxa"/>
            <w:tcBorders>
              <w:top w:val="nil"/>
              <w:left w:val="nil"/>
              <w:bottom w:val="single" w:sz="4" w:space="0" w:color="auto"/>
              <w:right w:val="single" w:sz="4" w:space="0" w:color="auto"/>
            </w:tcBorders>
            <w:shd w:val="clear" w:color="auto" w:fill="auto"/>
            <w:noWrap/>
            <w:vAlign w:val="bottom"/>
            <w:hideMark/>
          </w:tcPr>
          <w:p w14:paraId="28005362"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184</w:t>
            </w:r>
          </w:p>
        </w:tc>
        <w:tc>
          <w:tcPr>
            <w:tcW w:w="1099" w:type="dxa"/>
            <w:tcBorders>
              <w:top w:val="nil"/>
              <w:left w:val="nil"/>
              <w:bottom w:val="single" w:sz="4" w:space="0" w:color="auto"/>
              <w:right w:val="single" w:sz="4" w:space="0" w:color="auto"/>
            </w:tcBorders>
            <w:shd w:val="clear" w:color="auto" w:fill="auto"/>
            <w:noWrap/>
            <w:vAlign w:val="bottom"/>
            <w:hideMark/>
          </w:tcPr>
          <w:p w14:paraId="2F8BA1E8"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63</w:t>
            </w:r>
          </w:p>
        </w:tc>
      </w:tr>
      <w:tr w:rsidR="00224658" w:rsidRPr="00A26C26" w14:paraId="56668722" w14:textId="77777777" w:rsidTr="007F1E76">
        <w:trPr>
          <w:trHeight w:val="249"/>
        </w:trPr>
        <w:tc>
          <w:tcPr>
            <w:tcW w:w="1413" w:type="dxa"/>
            <w:tcBorders>
              <w:top w:val="nil"/>
              <w:left w:val="single" w:sz="4" w:space="0" w:color="auto"/>
              <w:bottom w:val="single" w:sz="4" w:space="0" w:color="auto"/>
              <w:right w:val="single" w:sz="4" w:space="0" w:color="auto"/>
            </w:tcBorders>
            <w:shd w:val="clear" w:color="000000" w:fill="DDEBF7"/>
            <w:noWrap/>
            <w:vAlign w:val="bottom"/>
            <w:hideMark/>
          </w:tcPr>
          <w:p w14:paraId="13B843D0" w14:textId="7191712F" w:rsidR="00224658" w:rsidRPr="00A26C26" w:rsidRDefault="00224658" w:rsidP="00A26C26">
            <w:pPr>
              <w:spacing w:line="276" w:lineRule="auto"/>
              <w:rPr>
                <w:rFonts w:eastAsia="Times New Roman" w:cstheme="minorHAnsi"/>
                <w:kern w:val="0"/>
                <w:lang w:eastAsia="pl-PL"/>
                <w14:ligatures w14:val="none"/>
              </w:rPr>
            </w:pPr>
            <w:r w:rsidRPr="00A26C26">
              <w:rPr>
                <w:rFonts w:eastAsia="Times New Roman" w:cstheme="minorHAnsi"/>
                <w:kern w:val="0"/>
                <w:lang w:eastAsia="pl-PL"/>
                <w14:ligatures w14:val="none"/>
              </w:rPr>
              <w:t>Razem</w:t>
            </w:r>
            <w:r w:rsidR="003B50ED">
              <w:rPr>
                <w:rFonts w:eastAsia="Times New Roman" w:cstheme="minorHAnsi"/>
                <w:kern w:val="0"/>
                <w:lang w:eastAsia="pl-PL"/>
                <w14:ligatures w14:val="none"/>
              </w:rPr>
              <w:t xml:space="preserve"> </w:t>
            </w:r>
            <w:r w:rsidRPr="00A26C26">
              <w:rPr>
                <w:rFonts w:eastAsia="Times New Roman" w:cstheme="minorHAnsi"/>
                <w:kern w:val="0"/>
                <w:lang w:eastAsia="pl-PL"/>
                <w14:ligatures w14:val="none"/>
              </w:rPr>
              <w:t>LGD</w:t>
            </w:r>
          </w:p>
        </w:tc>
        <w:tc>
          <w:tcPr>
            <w:tcW w:w="1098" w:type="dxa"/>
            <w:tcBorders>
              <w:top w:val="nil"/>
              <w:left w:val="nil"/>
              <w:bottom w:val="single" w:sz="4" w:space="0" w:color="auto"/>
              <w:right w:val="single" w:sz="4" w:space="0" w:color="auto"/>
            </w:tcBorders>
            <w:shd w:val="clear" w:color="000000" w:fill="DDEBF7"/>
            <w:noWrap/>
            <w:vAlign w:val="bottom"/>
            <w:hideMark/>
          </w:tcPr>
          <w:p w14:paraId="1F0E2E79" w14:textId="41A97B44"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4</w:t>
            </w:r>
            <w:r w:rsidR="003B50ED">
              <w:rPr>
                <w:rFonts w:eastAsia="Times New Roman" w:cstheme="minorHAnsi"/>
                <w:kern w:val="0"/>
                <w:lang w:eastAsia="pl-PL"/>
                <w14:ligatures w14:val="none"/>
              </w:rPr>
              <w:t xml:space="preserve"> </w:t>
            </w:r>
            <w:r w:rsidRPr="00A26C26">
              <w:rPr>
                <w:rFonts w:eastAsia="Times New Roman" w:cstheme="minorHAnsi"/>
                <w:kern w:val="0"/>
                <w:lang w:eastAsia="pl-PL"/>
                <w14:ligatures w14:val="none"/>
              </w:rPr>
              <w:t>818</w:t>
            </w:r>
          </w:p>
        </w:tc>
        <w:tc>
          <w:tcPr>
            <w:tcW w:w="1099" w:type="dxa"/>
            <w:tcBorders>
              <w:top w:val="nil"/>
              <w:left w:val="nil"/>
              <w:bottom w:val="single" w:sz="4" w:space="0" w:color="auto"/>
              <w:right w:val="single" w:sz="4" w:space="0" w:color="auto"/>
            </w:tcBorders>
            <w:shd w:val="clear" w:color="000000" w:fill="DDEBF7"/>
            <w:noWrap/>
            <w:vAlign w:val="bottom"/>
            <w:hideMark/>
          </w:tcPr>
          <w:p w14:paraId="7E199C5D"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737</w:t>
            </w:r>
          </w:p>
        </w:tc>
        <w:tc>
          <w:tcPr>
            <w:tcW w:w="1098" w:type="dxa"/>
            <w:tcBorders>
              <w:top w:val="nil"/>
              <w:left w:val="nil"/>
              <w:bottom w:val="single" w:sz="4" w:space="0" w:color="auto"/>
              <w:right w:val="single" w:sz="4" w:space="0" w:color="auto"/>
            </w:tcBorders>
            <w:shd w:val="clear" w:color="000000" w:fill="DDEBF7"/>
            <w:noWrap/>
            <w:vAlign w:val="bottom"/>
            <w:hideMark/>
          </w:tcPr>
          <w:p w14:paraId="379095C5" w14:textId="526F4910"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2</w:t>
            </w:r>
            <w:r w:rsidR="003B50ED">
              <w:rPr>
                <w:rFonts w:eastAsia="Times New Roman" w:cstheme="minorHAnsi"/>
                <w:kern w:val="0"/>
                <w:lang w:eastAsia="pl-PL"/>
                <w14:ligatures w14:val="none"/>
              </w:rPr>
              <w:t xml:space="preserve"> </w:t>
            </w:r>
            <w:r w:rsidRPr="00A26C26">
              <w:rPr>
                <w:rFonts w:eastAsia="Times New Roman" w:cstheme="minorHAnsi"/>
                <w:kern w:val="0"/>
                <w:lang w:eastAsia="pl-PL"/>
                <w14:ligatures w14:val="none"/>
              </w:rPr>
              <w:t>924</w:t>
            </w:r>
          </w:p>
        </w:tc>
        <w:tc>
          <w:tcPr>
            <w:tcW w:w="1099" w:type="dxa"/>
            <w:tcBorders>
              <w:top w:val="nil"/>
              <w:left w:val="nil"/>
              <w:bottom w:val="single" w:sz="4" w:space="0" w:color="auto"/>
              <w:right w:val="single" w:sz="4" w:space="0" w:color="auto"/>
            </w:tcBorders>
            <w:shd w:val="clear" w:color="000000" w:fill="DDEBF7"/>
            <w:noWrap/>
            <w:vAlign w:val="bottom"/>
            <w:hideMark/>
          </w:tcPr>
          <w:p w14:paraId="40CE7551"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338</w:t>
            </w:r>
          </w:p>
        </w:tc>
        <w:tc>
          <w:tcPr>
            <w:tcW w:w="1098" w:type="dxa"/>
            <w:tcBorders>
              <w:top w:val="nil"/>
              <w:left w:val="nil"/>
              <w:bottom w:val="single" w:sz="4" w:space="0" w:color="auto"/>
              <w:right w:val="single" w:sz="4" w:space="0" w:color="auto"/>
            </w:tcBorders>
            <w:shd w:val="clear" w:color="000000" w:fill="DDEBF7"/>
            <w:noWrap/>
            <w:vAlign w:val="bottom"/>
            <w:hideMark/>
          </w:tcPr>
          <w:p w14:paraId="4B777A98" w14:textId="0C044FB5"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1</w:t>
            </w:r>
            <w:r w:rsidR="003B50ED">
              <w:rPr>
                <w:rFonts w:eastAsia="Times New Roman" w:cstheme="minorHAnsi"/>
                <w:kern w:val="0"/>
                <w:lang w:eastAsia="pl-PL"/>
                <w14:ligatures w14:val="none"/>
              </w:rPr>
              <w:t xml:space="preserve"> </w:t>
            </w:r>
            <w:r w:rsidRPr="00A26C26">
              <w:rPr>
                <w:rFonts w:eastAsia="Times New Roman" w:cstheme="minorHAnsi"/>
                <w:kern w:val="0"/>
                <w:lang w:eastAsia="pl-PL"/>
                <w14:ligatures w14:val="none"/>
              </w:rPr>
              <w:t>930</w:t>
            </w:r>
          </w:p>
        </w:tc>
        <w:tc>
          <w:tcPr>
            <w:tcW w:w="1099" w:type="dxa"/>
            <w:tcBorders>
              <w:top w:val="nil"/>
              <w:left w:val="nil"/>
              <w:bottom w:val="single" w:sz="4" w:space="0" w:color="auto"/>
              <w:right w:val="single" w:sz="4" w:space="0" w:color="auto"/>
            </w:tcBorders>
            <w:shd w:val="clear" w:color="000000" w:fill="DDEBF7"/>
            <w:noWrap/>
            <w:vAlign w:val="bottom"/>
            <w:hideMark/>
          </w:tcPr>
          <w:p w14:paraId="41A6EEB6" w14:textId="6F526596"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1</w:t>
            </w:r>
            <w:r w:rsidR="003B50ED">
              <w:rPr>
                <w:rFonts w:eastAsia="Times New Roman" w:cstheme="minorHAnsi"/>
                <w:kern w:val="0"/>
                <w:lang w:eastAsia="pl-PL"/>
                <w14:ligatures w14:val="none"/>
              </w:rPr>
              <w:t xml:space="preserve"> </w:t>
            </w:r>
            <w:r w:rsidRPr="00A26C26">
              <w:rPr>
                <w:rFonts w:eastAsia="Times New Roman" w:cstheme="minorHAnsi"/>
                <w:kern w:val="0"/>
                <w:lang w:eastAsia="pl-PL"/>
                <w14:ligatures w14:val="none"/>
              </w:rPr>
              <w:t>345</w:t>
            </w:r>
          </w:p>
        </w:tc>
        <w:tc>
          <w:tcPr>
            <w:tcW w:w="1098" w:type="dxa"/>
            <w:tcBorders>
              <w:top w:val="nil"/>
              <w:left w:val="nil"/>
              <w:bottom w:val="single" w:sz="4" w:space="0" w:color="auto"/>
              <w:right w:val="single" w:sz="4" w:space="0" w:color="auto"/>
            </w:tcBorders>
            <w:shd w:val="clear" w:color="000000" w:fill="DDEBF7"/>
            <w:noWrap/>
            <w:vAlign w:val="bottom"/>
            <w:hideMark/>
          </w:tcPr>
          <w:p w14:paraId="3C209F9F" w14:textId="5285DC1E"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1</w:t>
            </w:r>
            <w:r w:rsidR="003B50ED">
              <w:rPr>
                <w:rFonts w:eastAsia="Times New Roman" w:cstheme="minorHAnsi"/>
                <w:kern w:val="0"/>
                <w:lang w:eastAsia="pl-PL"/>
                <w14:ligatures w14:val="none"/>
              </w:rPr>
              <w:t xml:space="preserve"> </w:t>
            </w:r>
            <w:r w:rsidRPr="00A26C26">
              <w:rPr>
                <w:rFonts w:eastAsia="Times New Roman" w:cstheme="minorHAnsi"/>
                <w:kern w:val="0"/>
                <w:lang w:eastAsia="pl-PL"/>
                <w14:ligatures w14:val="none"/>
              </w:rPr>
              <w:t>202</w:t>
            </w:r>
          </w:p>
        </w:tc>
        <w:tc>
          <w:tcPr>
            <w:tcW w:w="1099" w:type="dxa"/>
            <w:tcBorders>
              <w:top w:val="nil"/>
              <w:left w:val="nil"/>
              <w:bottom w:val="single" w:sz="4" w:space="0" w:color="auto"/>
              <w:right w:val="single" w:sz="4" w:space="0" w:color="auto"/>
            </w:tcBorders>
            <w:shd w:val="clear" w:color="000000" w:fill="DDEBF7"/>
            <w:noWrap/>
            <w:vAlign w:val="bottom"/>
            <w:hideMark/>
          </w:tcPr>
          <w:p w14:paraId="4A9878FE" w14:textId="77777777" w:rsidR="00224658" w:rsidRPr="00A26C26" w:rsidRDefault="00224658" w:rsidP="00A26C26">
            <w:pPr>
              <w:spacing w:line="276" w:lineRule="auto"/>
              <w:jc w:val="right"/>
              <w:rPr>
                <w:rFonts w:eastAsia="Times New Roman" w:cstheme="minorHAnsi"/>
                <w:kern w:val="0"/>
                <w:lang w:eastAsia="pl-PL"/>
                <w14:ligatures w14:val="none"/>
              </w:rPr>
            </w:pPr>
            <w:r w:rsidRPr="00A26C26">
              <w:rPr>
                <w:rFonts w:eastAsia="Times New Roman" w:cstheme="minorHAnsi"/>
                <w:kern w:val="0"/>
                <w:lang w:eastAsia="pl-PL"/>
                <w14:ligatures w14:val="none"/>
              </w:rPr>
              <w:t>832</w:t>
            </w:r>
          </w:p>
        </w:tc>
      </w:tr>
    </w:tbl>
    <w:p w14:paraId="365AFB8B" w14:textId="110D2088" w:rsidR="00224658" w:rsidRPr="00A26C26" w:rsidRDefault="00224658" w:rsidP="00A26C26">
      <w:pPr>
        <w:spacing w:line="276" w:lineRule="auto"/>
        <w:rPr>
          <w:rFonts w:cstheme="minorHAnsi"/>
        </w:rPr>
      </w:pPr>
      <w:r w:rsidRPr="00A26C26">
        <w:rPr>
          <w:rFonts w:cstheme="minorHAnsi"/>
        </w:rPr>
        <w:t>Źródło:</w:t>
      </w:r>
      <w:r w:rsidR="003B50ED">
        <w:rPr>
          <w:rFonts w:cstheme="minorHAnsi"/>
        </w:rPr>
        <w:t xml:space="preserve"> </w:t>
      </w:r>
      <w:r w:rsidRPr="00A26C26">
        <w:rPr>
          <w:rFonts w:cstheme="minorHAnsi"/>
        </w:rPr>
        <w:t>GUS,</w:t>
      </w:r>
      <w:r w:rsidR="003B50ED">
        <w:rPr>
          <w:rFonts w:cstheme="minorHAnsi"/>
        </w:rPr>
        <w:t xml:space="preserve"> </w:t>
      </w:r>
      <w:r w:rsidRPr="00A26C26">
        <w:rPr>
          <w:rFonts w:cstheme="minorHAnsi"/>
        </w:rPr>
        <w:t>Bank</w:t>
      </w:r>
      <w:r w:rsidR="003B50ED">
        <w:rPr>
          <w:rFonts w:cstheme="minorHAnsi"/>
        </w:rPr>
        <w:t xml:space="preserve"> </w:t>
      </w:r>
      <w:r w:rsidRPr="00A26C26">
        <w:rPr>
          <w:rFonts w:cstheme="minorHAnsi"/>
        </w:rPr>
        <w:t>Danych</w:t>
      </w:r>
      <w:r w:rsidR="003B50ED">
        <w:rPr>
          <w:rFonts w:cstheme="minorHAnsi"/>
        </w:rPr>
        <w:t xml:space="preserve"> </w:t>
      </w:r>
      <w:r w:rsidRPr="00A26C26">
        <w:rPr>
          <w:rFonts w:cstheme="minorHAnsi"/>
        </w:rPr>
        <w:t>Lokalnych</w:t>
      </w:r>
    </w:p>
    <w:p w14:paraId="5B70D551" w14:textId="77777777" w:rsidR="00224658" w:rsidRPr="00A26C26" w:rsidRDefault="00224658" w:rsidP="00A26C26">
      <w:pPr>
        <w:spacing w:line="276" w:lineRule="auto"/>
        <w:jc w:val="both"/>
        <w:rPr>
          <w:rFonts w:cstheme="minorHAnsi"/>
        </w:rPr>
      </w:pPr>
    </w:p>
    <w:bookmarkEnd w:id="62"/>
    <w:p w14:paraId="12B46BC1" w14:textId="5513BE4A" w:rsidR="00224658" w:rsidRPr="00A26C26" w:rsidRDefault="00224658" w:rsidP="00A26C26">
      <w:pPr>
        <w:spacing w:line="276" w:lineRule="auto"/>
        <w:ind w:firstLine="284"/>
        <w:jc w:val="both"/>
        <w:rPr>
          <w:rFonts w:cstheme="minorHAnsi"/>
          <w:color w:val="C00000"/>
        </w:rPr>
      </w:pPr>
      <w:r w:rsidRPr="00A26C26">
        <w:rPr>
          <w:rFonts w:cstheme="minorHAnsi"/>
          <w:color w:val="000000"/>
        </w:rPr>
        <w:t>Uprawa</w:t>
      </w:r>
      <w:r w:rsidR="003B50ED">
        <w:rPr>
          <w:rFonts w:cstheme="minorHAnsi"/>
          <w:color w:val="000000"/>
        </w:rPr>
        <w:t xml:space="preserve"> </w:t>
      </w:r>
      <w:r w:rsidRPr="00A26C26">
        <w:rPr>
          <w:rFonts w:cstheme="minorHAnsi"/>
          <w:color w:val="000000"/>
        </w:rPr>
        <w:t>ziemi,</w:t>
      </w:r>
      <w:r w:rsidR="003B50ED">
        <w:rPr>
          <w:rFonts w:cstheme="minorHAnsi"/>
          <w:color w:val="000000"/>
        </w:rPr>
        <w:t xml:space="preserve"> </w:t>
      </w:r>
      <w:r w:rsidRPr="00A26C26">
        <w:rPr>
          <w:rFonts w:cstheme="minorHAnsi"/>
          <w:color w:val="000000"/>
        </w:rPr>
        <w:t>często</w:t>
      </w:r>
      <w:r w:rsidR="003B50ED">
        <w:rPr>
          <w:rFonts w:cstheme="minorHAnsi"/>
          <w:color w:val="000000"/>
        </w:rPr>
        <w:t xml:space="preserve"> </w:t>
      </w:r>
      <w:r w:rsidRPr="00A26C26">
        <w:rPr>
          <w:rFonts w:cstheme="minorHAnsi"/>
          <w:color w:val="000000"/>
        </w:rPr>
        <w:t>w</w:t>
      </w:r>
      <w:r w:rsidR="003B50ED">
        <w:rPr>
          <w:rFonts w:cstheme="minorHAnsi"/>
          <w:color w:val="000000"/>
        </w:rPr>
        <w:t xml:space="preserve"> </w:t>
      </w:r>
      <w:r w:rsidRPr="00A26C26">
        <w:rPr>
          <w:rFonts w:cstheme="minorHAnsi"/>
          <w:color w:val="000000"/>
        </w:rPr>
        <w:t>gospodarstwach</w:t>
      </w:r>
      <w:r w:rsidR="003B50ED">
        <w:rPr>
          <w:rFonts w:cstheme="minorHAnsi"/>
          <w:color w:val="000000"/>
        </w:rPr>
        <w:t xml:space="preserve"> </w:t>
      </w:r>
      <w:r w:rsidRPr="00A26C26">
        <w:rPr>
          <w:rFonts w:cstheme="minorHAnsi"/>
          <w:color w:val="000000"/>
        </w:rPr>
        <w:t>dziedziczonych</w:t>
      </w:r>
      <w:r w:rsidR="003B50ED">
        <w:rPr>
          <w:rFonts w:cstheme="minorHAnsi"/>
          <w:color w:val="000000"/>
        </w:rPr>
        <w:t xml:space="preserve"> </w:t>
      </w:r>
      <w:r w:rsidRPr="00A26C26">
        <w:rPr>
          <w:rFonts w:cstheme="minorHAnsi"/>
          <w:color w:val="000000"/>
        </w:rPr>
        <w:t>od</w:t>
      </w:r>
      <w:r w:rsidR="003B50ED">
        <w:rPr>
          <w:rFonts w:cstheme="minorHAnsi"/>
          <w:color w:val="000000"/>
        </w:rPr>
        <w:t xml:space="preserve"> </w:t>
      </w:r>
      <w:r w:rsidRPr="00A26C26">
        <w:rPr>
          <w:rFonts w:cstheme="minorHAnsi"/>
          <w:color w:val="000000"/>
        </w:rPr>
        <w:t>pokoleń</w:t>
      </w:r>
      <w:r w:rsidR="003B50ED">
        <w:rPr>
          <w:rFonts w:cstheme="minorHAnsi"/>
          <w:color w:val="000000"/>
        </w:rPr>
        <w:t xml:space="preserve"> </w:t>
      </w:r>
      <w:r w:rsidRPr="00A26C26">
        <w:rPr>
          <w:rFonts w:cstheme="minorHAnsi"/>
          <w:color w:val="000000"/>
        </w:rPr>
        <w:t>ma</w:t>
      </w:r>
      <w:r w:rsidR="003B50ED">
        <w:rPr>
          <w:rFonts w:cstheme="minorHAnsi"/>
          <w:color w:val="000000"/>
        </w:rPr>
        <w:t xml:space="preserve"> </w:t>
      </w:r>
      <w:r w:rsidRPr="00A26C26">
        <w:rPr>
          <w:rFonts w:cstheme="minorHAnsi"/>
          <w:color w:val="000000"/>
        </w:rPr>
        <w:t>dla</w:t>
      </w:r>
      <w:r w:rsidR="003B50ED">
        <w:rPr>
          <w:rFonts w:cstheme="minorHAnsi"/>
          <w:color w:val="000000"/>
        </w:rPr>
        <w:t xml:space="preserve"> </w:t>
      </w:r>
      <w:r w:rsidRPr="00A26C26">
        <w:rPr>
          <w:rFonts w:cstheme="minorHAnsi"/>
          <w:color w:val="000000"/>
        </w:rPr>
        <w:t>rolników</w:t>
      </w:r>
      <w:r w:rsidR="003B50ED">
        <w:rPr>
          <w:rFonts w:cstheme="minorHAnsi"/>
          <w:color w:val="000000"/>
        </w:rPr>
        <w:t xml:space="preserve"> </w:t>
      </w:r>
      <w:r w:rsidRPr="00A26C26">
        <w:rPr>
          <w:rFonts w:cstheme="minorHAnsi"/>
          <w:color w:val="000000"/>
        </w:rPr>
        <w:t>wymiar</w:t>
      </w:r>
      <w:r w:rsidR="003B50ED">
        <w:rPr>
          <w:rFonts w:cstheme="minorHAnsi"/>
          <w:color w:val="000000"/>
        </w:rPr>
        <w:t xml:space="preserve"> </w:t>
      </w:r>
      <w:r w:rsidRPr="00A26C26">
        <w:rPr>
          <w:rFonts w:cstheme="minorHAnsi"/>
          <w:color w:val="000000"/>
        </w:rPr>
        <w:t>nie</w:t>
      </w:r>
      <w:r w:rsidR="003B50ED">
        <w:rPr>
          <w:rFonts w:cstheme="minorHAnsi"/>
          <w:color w:val="000000"/>
        </w:rPr>
        <w:t xml:space="preserve"> </w:t>
      </w:r>
      <w:r w:rsidRPr="00A26C26">
        <w:rPr>
          <w:rFonts w:cstheme="minorHAnsi"/>
          <w:color w:val="000000"/>
        </w:rPr>
        <w:t>tylko</w:t>
      </w:r>
      <w:r w:rsidR="003B50ED">
        <w:rPr>
          <w:rFonts w:cstheme="minorHAnsi"/>
          <w:color w:val="000000"/>
        </w:rPr>
        <w:t xml:space="preserve"> </w:t>
      </w:r>
      <w:r w:rsidRPr="00A26C26">
        <w:rPr>
          <w:rFonts w:cstheme="minorHAnsi"/>
          <w:color w:val="000000"/>
        </w:rPr>
        <w:t>ekonomiczny</w:t>
      </w:r>
      <w:r w:rsidR="003B50ED">
        <w:rPr>
          <w:rFonts w:cstheme="minorHAnsi"/>
          <w:color w:val="000000"/>
        </w:rPr>
        <w:t xml:space="preserve"> </w:t>
      </w:r>
      <w:r w:rsidRPr="00A26C26">
        <w:rPr>
          <w:rFonts w:cstheme="minorHAnsi"/>
          <w:color w:val="000000"/>
        </w:rPr>
        <w:t>ale</w:t>
      </w:r>
      <w:r w:rsidR="003B50ED">
        <w:rPr>
          <w:rFonts w:cstheme="minorHAnsi"/>
          <w:color w:val="000000"/>
        </w:rPr>
        <w:t xml:space="preserve"> </w:t>
      </w:r>
      <w:r w:rsidRPr="00A26C26">
        <w:rPr>
          <w:rFonts w:cstheme="minorHAnsi"/>
          <w:color w:val="000000"/>
        </w:rPr>
        <w:t>przede</w:t>
      </w:r>
      <w:r w:rsidR="003B50ED">
        <w:rPr>
          <w:rFonts w:cstheme="minorHAnsi"/>
          <w:color w:val="000000"/>
        </w:rPr>
        <w:t xml:space="preserve"> </w:t>
      </w:r>
      <w:r w:rsidRPr="00A26C26">
        <w:rPr>
          <w:rFonts w:cstheme="minorHAnsi"/>
          <w:color w:val="000000"/>
        </w:rPr>
        <w:t>wszystkim</w:t>
      </w:r>
      <w:r w:rsidR="003B50ED">
        <w:rPr>
          <w:rFonts w:cstheme="minorHAnsi"/>
          <w:color w:val="000000"/>
        </w:rPr>
        <w:t xml:space="preserve"> </w:t>
      </w:r>
      <w:r w:rsidRPr="00A26C26">
        <w:rPr>
          <w:rFonts w:cstheme="minorHAnsi"/>
          <w:color w:val="000000"/>
        </w:rPr>
        <w:t>sentymentalny</w:t>
      </w:r>
      <w:r w:rsidR="003B50ED">
        <w:rPr>
          <w:rFonts w:cstheme="minorHAnsi"/>
          <w:color w:val="000000"/>
        </w:rPr>
        <w:t xml:space="preserve"> </w:t>
      </w:r>
      <w:r w:rsidRPr="00A26C26">
        <w:rPr>
          <w:rFonts w:cstheme="minorHAnsi"/>
          <w:color w:val="000000"/>
        </w:rPr>
        <w:t>i</w:t>
      </w:r>
      <w:r w:rsidR="003B50ED">
        <w:rPr>
          <w:rFonts w:cstheme="minorHAnsi"/>
          <w:color w:val="000000"/>
        </w:rPr>
        <w:t xml:space="preserve"> </w:t>
      </w:r>
      <w:r w:rsidRPr="00A26C26">
        <w:rPr>
          <w:rFonts w:cstheme="minorHAnsi"/>
          <w:color w:val="000000"/>
        </w:rPr>
        <w:t>tradycyjny.</w:t>
      </w:r>
      <w:r w:rsidR="003B50ED">
        <w:rPr>
          <w:rFonts w:cstheme="minorHAnsi"/>
          <w:color w:val="000000"/>
        </w:rPr>
        <w:t xml:space="preserve"> </w:t>
      </w:r>
      <w:r w:rsidRPr="00A26C26">
        <w:rPr>
          <w:rFonts w:cstheme="minorHAnsi"/>
          <w:color w:val="000000"/>
        </w:rPr>
        <w:t>Szanując</w:t>
      </w:r>
      <w:r w:rsidR="003B50ED">
        <w:rPr>
          <w:rFonts w:cstheme="minorHAnsi"/>
          <w:color w:val="000000"/>
        </w:rPr>
        <w:t xml:space="preserve"> </w:t>
      </w:r>
      <w:r w:rsidRPr="00A26C26">
        <w:rPr>
          <w:rFonts w:cstheme="minorHAnsi"/>
          <w:color w:val="000000"/>
        </w:rPr>
        <w:t>przywiązanie</w:t>
      </w:r>
      <w:r w:rsidR="003B50ED">
        <w:rPr>
          <w:rFonts w:cstheme="minorHAnsi"/>
          <w:color w:val="000000"/>
        </w:rPr>
        <w:t xml:space="preserve"> </w:t>
      </w:r>
      <w:r w:rsidRPr="00A26C26">
        <w:rPr>
          <w:rFonts w:cstheme="minorHAnsi"/>
          <w:color w:val="000000"/>
        </w:rPr>
        <w:t>rolnika</w:t>
      </w:r>
      <w:r w:rsidR="003B50ED">
        <w:rPr>
          <w:rFonts w:cstheme="minorHAnsi"/>
          <w:color w:val="000000"/>
        </w:rPr>
        <w:t xml:space="preserve"> </w:t>
      </w:r>
      <w:r w:rsidRPr="00A26C26">
        <w:rPr>
          <w:rFonts w:cstheme="minorHAnsi"/>
          <w:color w:val="000000"/>
        </w:rPr>
        <w:t>do</w:t>
      </w:r>
      <w:r w:rsidR="003B50ED">
        <w:rPr>
          <w:rFonts w:cstheme="minorHAnsi"/>
          <w:color w:val="000000"/>
        </w:rPr>
        <w:t xml:space="preserve"> </w:t>
      </w:r>
      <w:r w:rsidRPr="00A26C26">
        <w:rPr>
          <w:rFonts w:cstheme="minorHAnsi"/>
          <w:color w:val="000000"/>
        </w:rPr>
        <w:t>ziemi,</w:t>
      </w:r>
      <w:r w:rsidR="003B50ED">
        <w:rPr>
          <w:rFonts w:cstheme="minorHAnsi"/>
          <w:color w:val="000000"/>
        </w:rPr>
        <w:t xml:space="preserve"> </w:t>
      </w:r>
      <w:r w:rsidRPr="00A26C26">
        <w:rPr>
          <w:rFonts w:cstheme="minorHAnsi"/>
          <w:color w:val="000000"/>
        </w:rPr>
        <w:t>ale</w:t>
      </w:r>
      <w:r w:rsidR="003B50ED">
        <w:rPr>
          <w:rFonts w:cstheme="minorHAnsi"/>
          <w:color w:val="000000"/>
        </w:rPr>
        <w:t xml:space="preserve"> </w:t>
      </w:r>
      <w:r w:rsidRPr="00A26C26">
        <w:rPr>
          <w:rFonts w:cstheme="minorHAnsi"/>
          <w:color w:val="000000"/>
        </w:rPr>
        <w:t>też</w:t>
      </w:r>
      <w:r w:rsidR="003B50ED">
        <w:rPr>
          <w:rFonts w:cstheme="minorHAnsi"/>
          <w:color w:val="000000"/>
        </w:rPr>
        <w:t xml:space="preserve"> </w:t>
      </w:r>
      <w:r w:rsidRPr="00A26C26">
        <w:rPr>
          <w:rFonts w:cstheme="minorHAnsi"/>
          <w:color w:val="000000"/>
        </w:rPr>
        <w:t>chcąc</w:t>
      </w:r>
      <w:r w:rsidR="003B50ED">
        <w:rPr>
          <w:rFonts w:cstheme="minorHAnsi"/>
          <w:color w:val="000000"/>
        </w:rPr>
        <w:t xml:space="preserve"> </w:t>
      </w:r>
      <w:r w:rsidRPr="00A26C26">
        <w:rPr>
          <w:rFonts w:cstheme="minorHAnsi"/>
          <w:color w:val="000000"/>
        </w:rPr>
        <w:t>wspomóc</w:t>
      </w:r>
      <w:r w:rsidR="003B50ED">
        <w:rPr>
          <w:rFonts w:cstheme="minorHAnsi"/>
          <w:color w:val="000000"/>
        </w:rPr>
        <w:t xml:space="preserve"> </w:t>
      </w:r>
      <w:r w:rsidRPr="00A26C26">
        <w:rPr>
          <w:rFonts w:cstheme="minorHAnsi"/>
          <w:color w:val="000000"/>
        </w:rPr>
        <w:t>opłacalność</w:t>
      </w:r>
      <w:r w:rsidR="003B50ED">
        <w:rPr>
          <w:rFonts w:cstheme="minorHAnsi"/>
          <w:color w:val="000000"/>
        </w:rPr>
        <w:t xml:space="preserve"> </w:t>
      </w:r>
      <w:r w:rsidRPr="00A26C26">
        <w:rPr>
          <w:rFonts w:cstheme="minorHAnsi"/>
          <w:color w:val="000000"/>
        </w:rPr>
        <w:t>gospodarstw,</w:t>
      </w:r>
      <w:r w:rsidR="003B50ED">
        <w:rPr>
          <w:rFonts w:cstheme="minorHAnsi"/>
          <w:color w:val="000000"/>
        </w:rPr>
        <w:t xml:space="preserve"> </w:t>
      </w:r>
      <w:r w:rsidR="00AB742D">
        <w:rPr>
          <w:rFonts w:cstheme="minorHAnsi"/>
        </w:rPr>
        <w:t xml:space="preserve">Stowarzyszenie </w:t>
      </w:r>
      <w:r w:rsidR="00AB742D" w:rsidRPr="00A26C26">
        <w:rPr>
          <w:rFonts w:cstheme="minorHAnsi"/>
        </w:rPr>
        <w:t>„Solidarni</w:t>
      </w:r>
      <w:r w:rsidR="00AB742D">
        <w:rPr>
          <w:rFonts w:cstheme="minorHAnsi"/>
        </w:rPr>
        <w:t xml:space="preserve"> </w:t>
      </w:r>
      <w:r w:rsidR="00AB742D" w:rsidRPr="00A26C26">
        <w:rPr>
          <w:rFonts w:cstheme="minorHAnsi"/>
        </w:rPr>
        <w:t>w</w:t>
      </w:r>
      <w:r w:rsidR="00AB742D">
        <w:rPr>
          <w:rFonts w:cstheme="minorHAnsi"/>
        </w:rPr>
        <w:t xml:space="preserve"> </w:t>
      </w:r>
      <w:r w:rsidR="00AB742D" w:rsidRPr="00A26C26">
        <w:rPr>
          <w:rFonts w:cstheme="minorHAnsi"/>
        </w:rPr>
        <w:t>Partnerstwie”</w:t>
      </w:r>
      <w:r w:rsidR="00AB742D">
        <w:rPr>
          <w:rFonts w:cstheme="minorHAnsi"/>
        </w:rPr>
        <w:t xml:space="preserve"> </w:t>
      </w:r>
      <w:r w:rsidRPr="00A26C26">
        <w:rPr>
          <w:rFonts w:cstheme="minorHAnsi"/>
          <w:color w:val="000000"/>
        </w:rPr>
        <w:t>będąc</w:t>
      </w:r>
      <w:r w:rsidR="003B50ED">
        <w:rPr>
          <w:rFonts w:cstheme="minorHAnsi"/>
          <w:color w:val="000000"/>
        </w:rPr>
        <w:t xml:space="preserve"> </w:t>
      </w:r>
      <w:r w:rsidRPr="00A26C26">
        <w:rPr>
          <w:rFonts w:cstheme="minorHAnsi"/>
          <w:color w:val="000000"/>
        </w:rPr>
        <w:t>swoistym</w:t>
      </w:r>
      <w:r w:rsidR="003B50ED">
        <w:rPr>
          <w:rFonts w:cstheme="minorHAnsi"/>
          <w:color w:val="000000"/>
        </w:rPr>
        <w:t xml:space="preserve"> </w:t>
      </w:r>
      <w:r w:rsidRPr="00A26C26">
        <w:rPr>
          <w:rFonts w:cstheme="minorHAnsi"/>
          <w:color w:val="000000"/>
        </w:rPr>
        <w:t>liderem</w:t>
      </w:r>
      <w:r w:rsidR="003B50ED">
        <w:rPr>
          <w:rFonts w:cstheme="minorHAnsi"/>
          <w:color w:val="000000"/>
        </w:rPr>
        <w:t xml:space="preserve"> </w:t>
      </w:r>
      <w:r w:rsidRPr="00A26C26">
        <w:rPr>
          <w:rFonts w:cstheme="minorHAnsi"/>
          <w:color w:val="000000"/>
        </w:rPr>
        <w:t>innowacji</w:t>
      </w:r>
      <w:r w:rsidR="003B50ED">
        <w:rPr>
          <w:rFonts w:cstheme="minorHAnsi"/>
          <w:color w:val="000000"/>
        </w:rPr>
        <w:t xml:space="preserve"> </w:t>
      </w:r>
      <w:r w:rsidRPr="00A26C26">
        <w:rPr>
          <w:rFonts w:cstheme="minorHAnsi"/>
          <w:color w:val="000000"/>
        </w:rPr>
        <w:t>w</w:t>
      </w:r>
      <w:r w:rsidR="003B50ED">
        <w:rPr>
          <w:rFonts w:cstheme="minorHAnsi"/>
          <w:color w:val="000000"/>
        </w:rPr>
        <w:t xml:space="preserve"> </w:t>
      </w:r>
      <w:r w:rsidRPr="00A26C26">
        <w:rPr>
          <w:rFonts w:cstheme="minorHAnsi"/>
          <w:color w:val="000000"/>
        </w:rPr>
        <w:t>lokalnym</w:t>
      </w:r>
      <w:r w:rsidR="003B50ED">
        <w:rPr>
          <w:rFonts w:cstheme="minorHAnsi"/>
          <w:color w:val="000000"/>
        </w:rPr>
        <w:t xml:space="preserve"> </w:t>
      </w:r>
      <w:r w:rsidRPr="00A26C26">
        <w:rPr>
          <w:rFonts w:cstheme="minorHAnsi"/>
          <w:color w:val="000000"/>
        </w:rPr>
        <w:t>środowisku</w:t>
      </w:r>
      <w:r w:rsidR="003B50ED">
        <w:rPr>
          <w:rFonts w:cstheme="minorHAnsi"/>
          <w:color w:val="000000"/>
        </w:rPr>
        <w:t xml:space="preserve"> </w:t>
      </w:r>
      <w:r w:rsidRPr="00A26C26">
        <w:rPr>
          <w:rFonts w:cstheme="minorHAnsi"/>
          <w:color w:val="000000"/>
        </w:rPr>
        <w:t>będzie</w:t>
      </w:r>
      <w:r w:rsidR="003B50ED">
        <w:rPr>
          <w:rFonts w:cstheme="minorHAnsi"/>
          <w:color w:val="000000"/>
        </w:rPr>
        <w:t xml:space="preserve"> </w:t>
      </w:r>
      <w:r w:rsidRPr="00A26C26">
        <w:rPr>
          <w:rFonts w:cstheme="minorHAnsi"/>
          <w:color w:val="000000"/>
        </w:rPr>
        <w:t>prowadzić</w:t>
      </w:r>
      <w:r w:rsidR="003B50ED">
        <w:rPr>
          <w:rFonts w:cstheme="minorHAnsi"/>
          <w:color w:val="000000"/>
        </w:rPr>
        <w:t xml:space="preserve"> </w:t>
      </w:r>
      <w:r w:rsidRPr="00A26C26">
        <w:rPr>
          <w:rFonts w:cstheme="minorHAnsi"/>
          <w:color w:val="000000"/>
        </w:rPr>
        <w:t>działania</w:t>
      </w:r>
      <w:r w:rsidR="003B50ED">
        <w:rPr>
          <w:rFonts w:cstheme="minorHAnsi"/>
          <w:color w:val="000000"/>
        </w:rPr>
        <w:t xml:space="preserve"> </w:t>
      </w:r>
      <w:r w:rsidRPr="00A26C26">
        <w:rPr>
          <w:rFonts w:cstheme="minorHAnsi"/>
          <w:color w:val="000000"/>
        </w:rPr>
        <w:t>zachęcające</w:t>
      </w:r>
      <w:r w:rsidR="003B50ED">
        <w:rPr>
          <w:rFonts w:cstheme="minorHAnsi"/>
          <w:color w:val="000000"/>
        </w:rPr>
        <w:t xml:space="preserve"> </w:t>
      </w:r>
      <w:r w:rsidRPr="00A26C26">
        <w:rPr>
          <w:rFonts w:cstheme="minorHAnsi"/>
          <w:color w:val="000000"/>
        </w:rPr>
        <w:t>rolników,</w:t>
      </w:r>
      <w:r w:rsidR="003B50ED">
        <w:rPr>
          <w:rFonts w:cstheme="minorHAnsi"/>
          <w:color w:val="000000"/>
        </w:rPr>
        <w:t xml:space="preserve"> </w:t>
      </w:r>
      <w:r w:rsidRPr="00A26C26">
        <w:rPr>
          <w:rFonts w:cstheme="minorHAnsi"/>
          <w:color w:val="000000"/>
        </w:rPr>
        <w:t>szczególnie</w:t>
      </w:r>
      <w:r w:rsidR="003B50ED">
        <w:rPr>
          <w:rFonts w:cstheme="minorHAnsi"/>
          <w:color w:val="000000"/>
        </w:rPr>
        <w:t xml:space="preserve"> </w:t>
      </w:r>
      <w:r w:rsidRPr="00A26C26">
        <w:rPr>
          <w:rFonts w:cstheme="minorHAnsi"/>
          <w:color w:val="000000"/>
        </w:rPr>
        <w:t>z</w:t>
      </w:r>
      <w:r w:rsidR="003B50ED">
        <w:rPr>
          <w:rFonts w:cstheme="minorHAnsi"/>
          <w:color w:val="000000"/>
        </w:rPr>
        <w:t xml:space="preserve"> </w:t>
      </w:r>
      <w:r w:rsidRPr="00A26C26">
        <w:rPr>
          <w:rFonts w:cstheme="minorHAnsi"/>
          <w:color w:val="000000"/>
        </w:rPr>
        <w:t>małych</w:t>
      </w:r>
      <w:r w:rsidR="003B50ED">
        <w:rPr>
          <w:rFonts w:cstheme="minorHAnsi"/>
          <w:color w:val="000000"/>
        </w:rPr>
        <w:t xml:space="preserve"> </w:t>
      </w:r>
      <w:r w:rsidRPr="00A26C26">
        <w:rPr>
          <w:rFonts w:cstheme="minorHAnsi"/>
          <w:color w:val="000000"/>
        </w:rPr>
        <w:t>gospodarstw</w:t>
      </w:r>
      <w:r w:rsidR="003B50ED">
        <w:rPr>
          <w:rFonts w:cstheme="minorHAnsi"/>
          <w:color w:val="000000"/>
        </w:rPr>
        <w:t xml:space="preserve"> </w:t>
      </w:r>
      <w:r w:rsidRPr="00A26C26">
        <w:rPr>
          <w:rFonts w:cstheme="minorHAnsi"/>
          <w:color w:val="000000"/>
        </w:rPr>
        <w:t>do</w:t>
      </w:r>
      <w:r w:rsidR="003B50ED">
        <w:rPr>
          <w:rFonts w:cstheme="minorHAnsi"/>
          <w:color w:val="000000"/>
        </w:rPr>
        <w:t xml:space="preserve"> </w:t>
      </w:r>
      <w:r w:rsidRPr="00A26C26">
        <w:rPr>
          <w:rFonts w:cstheme="minorHAnsi"/>
          <w:color w:val="000000"/>
        </w:rPr>
        <w:t>szukania</w:t>
      </w:r>
      <w:r w:rsidR="003B50ED">
        <w:rPr>
          <w:rFonts w:cstheme="minorHAnsi"/>
          <w:color w:val="000000"/>
        </w:rPr>
        <w:t xml:space="preserve"> </w:t>
      </w:r>
      <w:r w:rsidRPr="00A26C26">
        <w:rPr>
          <w:rFonts w:cstheme="minorHAnsi"/>
          <w:color w:val="000000"/>
        </w:rPr>
        <w:t>rozwiązań,</w:t>
      </w:r>
      <w:r w:rsidR="003B50ED">
        <w:rPr>
          <w:rFonts w:cstheme="minorHAnsi"/>
          <w:color w:val="000000"/>
        </w:rPr>
        <w:t xml:space="preserve"> </w:t>
      </w:r>
      <w:r w:rsidRPr="00A26C26">
        <w:rPr>
          <w:rFonts w:cstheme="minorHAnsi"/>
          <w:color w:val="000000"/>
        </w:rPr>
        <w:t>które</w:t>
      </w:r>
      <w:r w:rsidR="003B50ED">
        <w:rPr>
          <w:rFonts w:cstheme="minorHAnsi"/>
          <w:color w:val="000000"/>
        </w:rPr>
        <w:t xml:space="preserve"> </w:t>
      </w:r>
      <w:r w:rsidRPr="00A26C26">
        <w:rPr>
          <w:rFonts w:cstheme="minorHAnsi"/>
          <w:color w:val="000000"/>
        </w:rPr>
        <w:t>pozwolą</w:t>
      </w:r>
      <w:r w:rsidR="003B50ED">
        <w:rPr>
          <w:rFonts w:cstheme="minorHAnsi"/>
          <w:color w:val="000000"/>
        </w:rPr>
        <w:t xml:space="preserve"> </w:t>
      </w:r>
      <w:r w:rsidRPr="00A26C26">
        <w:rPr>
          <w:rFonts w:cstheme="minorHAnsi"/>
          <w:color w:val="000000"/>
        </w:rPr>
        <w:t>na</w:t>
      </w:r>
      <w:r w:rsidR="003B50ED">
        <w:rPr>
          <w:rFonts w:cstheme="minorHAnsi"/>
          <w:color w:val="000000"/>
        </w:rPr>
        <w:t xml:space="preserve"> </w:t>
      </w:r>
      <w:r w:rsidRPr="00A26C26">
        <w:rPr>
          <w:rFonts w:cstheme="minorHAnsi"/>
          <w:color w:val="000000"/>
        </w:rPr>
        <w:t>zachowanie</w:t>
      </w:r>
      <w:r w:rsidR="003B50ED">
        <w:rPr>
          <w:rFonts w:cstheme="minorHAnsi"/>
          <w:color w:val="000000"/>
        </w:rPr>
        <w:t xml:space="preserve"> </w:t>
      </w:r>
      <w:r w:rsidRPr="00A26C26">
        <w:rPr>
          <w:rFonts w:cstheme="minorHAnsi"/>
          <w:color w:val="000000"/>
        </w:rPr>
        <w:t>tradycyjnej</w:t>
      </w:r>
      <w:r w:rsidR="003B50ED">
        <w:rPr>
          <w:rFonts w:cstheme="minorHAnsi"/>
          <w:color w:val="000000"/>
        </w:rPr>
        <w:t xml:space="preserve"> </w:t>
      </w:r>
      <w:r w:rsidRPr="00A26C26">
        <w:rPr>
          <w:rFonts w:cstheme="minorHAnsi"/>
          <w:color w:val="000000"/>
        </w:rPr>
        <w:t>formy</w:t>
      </w:r>
      <w:r w:rsidR="003B50ED">
        <w:rPr>
          <w:rFonts w:cstheme="minorHAnsi"/>
          <w:color w:val="000000"/>
        </w:rPr>
        <w:t xml:space="preserve"> </w:t>
      </w:r>
      <w:r w:rsidRPr="00A26C26">
        <w:rPr>
          <w:rFonts w:cstheme="minorHAnsi"/>
          <w:color w:val="000000"/>
        </w:rPr>
        <w:t>gospodarstwa</w:t>
      </w:r>
      <w:r w:rsidR="003B50ED">
        <w:rPr>
          <w:rFonts w:cstheme="minorHAnsi"/>
          <w:color w:val="000000"/>
        </w:rPr>
        <w:t xml:space="preserve"> </w:t>
      </w:r>
      <w:r w:rsidRPr="00A26C26">
        <w:rPr>
          <w:rFonts w:cstheme="minorHAnsi"/>
          <w:color w:val="000000"/>
        </w:rPr>
        <w:t>przy</w:t>
      </w:r>
      <w:r w:rsidR="003B50ED">
        <w:rPr>
          <w:rFonts w:cstheme="minorHAnsi"/>
          <w:color w:val="000000"/>
        </w:rPr>
        <w:t xml:space="preserve"> </w:t>
      </w:r>
      <w:r w:rsidRPr="00A26C26">
        <w:rPr>
          <w:rFonts w:cstheme="minorHAnsi"/>
          <w:color w:val="000000"/>
        </w:rPr>
        <w:t>jednoczesnym</w:t>
      </w:r>
      <w:r w:rsidR="003B50ED">
        <w:rPr>
          <w:rFonts w:cstheme="minorHAnsi"/>
          <w:color w:val="000000"/>
        </w:rPr>
        <w:t xml:space="preserve"> </w:t>
      </w:r>
      <w:r w:rsidRPr="00A26C26">
        <w:rPr>
          <w:rFonts w:cstheme="minorHAnsi"/>
          <w:color w:val="000000"/>
        </w:rPr>
        <w:t>nadaniu</w:t>
      </w:r>
      <w:r w:rsidR="003B50ED">
        <w:rPr>
          <w:rFonts w:cstheme="minorHAnsi"/>
          <w:color w:val="000000"/>
        </w:rPr>
        <w:t xml:space="preserve"> </w:t>
      </w:r>
      <w:r w:rsidRPr="00A26C26">
        <w:rPr>
          <w:rFonts w:cstheme="minorHAnsi"/>
          <w:color w:val="000000"/>
        </w:rPr>
        <w:t>mu</w:t>
      </w:r>
      <w:r w:rsidR="003B50ED">
        <w:rPr>
          <w:rFonts w:cstheme="minorHAnsi"/>
          <w:color w:val="000000"/>
        </w:rPr>
        <w:t xml:space="preserve"> </w:t>
      </w:r>
      <w:r w:rsidRPr="00A26C26">
        <w:rPr>
          <w:rFonts w:cstheme="minorHAnsi"/>
          <w:color w:val="000000"/>
        </w:rPr>
        <w:t>nowej</w:t>
      </w:r>
      <w:r w:rsidR="003B50ED">
        <w:rPr>
          <w:rFonts w:cstheme="minorHAnsi"/>
          <w:color w:val="000000"/>
        </w:rPr>
        <w:t xml:space="preserve"> </w:t>
      </w:r>
      <w:r w:rsidRPr="00A26C26">
        <w:rPr>
          <w:rFonts w:cstheme="minorHAnsi"/>
          <w:color w:val="000000"/>
        </w:rPr>
        <w:t>funkcji;</w:t>
      </w:r>
      <w:r w:rsidR="003B50ED">
        <w:rPr>
          <w:rFonts w:cstheme="minorHAnsi"/>
          <w:color w:val="000000"/>
        </w:rPr>
        <w:t xml:space="preserve"> </w:t>
      </w:r>
      <w:r w:rsidRPr="00A26C26">
        <w:rPr>
          <w:rFonts w:cstheme="minorHAnsi"/>
          <w:color w:val="000000"/>
        </w:rPr>
        <w:t>mowa</w:t>
      </w:r>
      <w:r w:rsidR="003B50ED">
        <w:rPr>
          <w:rFonts w:cstheme="minorHAnsi"/>
          <w:color w:val="000000"/>
        </w:rPr>
        <w:t xml:space="preserve"> </w:t>
      </w:r>
      <w:r w:rsidRPr="00A26C26">
        <w:rPr>
          <w:rFonts w:cstheme="minorHAnsi"/>
          <w:color w:val="000000"/>
        </w:rPr>
        <w:t>tutaj</w:t>
      </w:r>
      <w:r w:rsidR="003B50ED">
        <w:rPr>
          <w:rFonts w:cstheme="minorHAnsi"/>
          <w:color w:val="000000"/>
        </w:rPr>
        <w:t xml:space="preserve"> </w:t>
      </w:r>
      <w:r w:rsidRPr="00A26C26">
        <w:rPr>
          <w:rFonts w:cstheme="minorHAnsi"/>
          <w:color w:val="000000"/>
        </w:rPr>
        <w:t>o</w:t>
      </w:r>
      <w:r w:rsidR="003B50ED">
        <w:rPr>
          <w:rFonts w:cstheme="minorHAnsi"/>
          <w:color w:val="000000"/>
        </w:rPr>
        <w:t xml:space="preserve"> </w:t>
      </w:r>
      <w:r w:rsidRPr="00A26C26">
        <w:rPr>
          <w:rFonts w:cstheme="minorHAnsi"/>
          <w:color w:val="000000"/>
        </w:rPr>
        <w:t>tworzeniu</w:t>
      </w:r>
      <w:r w:rsidR="003B50ED">
        <w:rPr>
          <w:rFonts w:cstheme="minorHAnsi"/>
          <w:color w:val="000000"/>
        </w:rPr>
        <w:t xml:space="preserve"> </w:t>
      </w:r>
      <w:r w:rsidRPr="00A26C26">
        <w:rPr>
          <w:rFonts w:cstheme="minorHAnsi"/>
          <w:color w:val="000000"/>
        </w:rPr>
        <w:t>gospodarstw</w:t>
      </w:r>
      <w:r w:rsidR="003B50ED">
        <w:rPr>
          <w:rFonts w:cstheme="minorHAnsi"/>
          <w:color w:val="000000"/>
        </w:rPr>
        <w:t xml:space="preserve"> </w:t>
      </w:r>
      <w:r w:rsidRPr="00A26C26">
        <w:rPr>
          <w:rFonts w:cstheme="minorHAnsi"/>
          <w:color w:val="000000"/>
        </w:rPr>
        <w:t>agroturystycznych</w:t>
      </w:r>
      <w:r w:rsidR="003B50ED">
        <w:rPr>
          <w:rFonts w:cstheme="minorHAnsi"/>
          <w:color w:val="000000"/>
        </w:rPr>
        <w:t xml:space="preserve"> </w:t>
      </w:r>
      <w:r w:rsidR="005B3017" w:rsidRPr="00A26C26">
        <w:rPr>
          <w:rFonts w:cstheme="minorHAnsi"/>
          <w:color w:val="000000"/>
        </w:rPr>
        <w:t>oraz</w:t>
      </w:r>
      <w:r w:rsidR="003B50ED">
        <w:rPr>
          <w:rFonts w:cstheme="minorHAnsi"/>
          <w:color w:val="000000"/>
        </w:rPr>
        <w:t xml:space="preserve"> </w:t>
      </w:r>
      <w:r w:rsidRPr="00A26C26">
        <w:rPr>
          <w:rFonts w:cstheme="minorHAnsi"/>
          <w:color w:val="000000"/>
        </w:rPr>
        <w:t>zagród</w:t>
      </w:r>
      <w:r w:rsidR="003B50ED">
        <w:rPr>
          <w:rFonts w:cstheme="minorHAnsi"/>
          <w:color w:val="000000"/>
        </w:rPr>
        <w:t xml:space="preserve"> </w:t>
      </w:r>
      <w:r w:rsidRPr="00A26C26">
        <w:rPr>
          <w:rFonts w:cstheme="minorHAnsi"/>
          <w:color w:val="000000"/>
        </w:rPr>
        <w:t>edukacyjnych</w:t>
      </w:r>
      <w:r w:rsidR="005B3017" w:rsidRPr="00A26C26">
        <w:rPr>
          <w:rFonts w:cstheme="minorHAnsi"/>
          <w:color w:val="000000"/>
        </w:rPr>
        <w:t>.</w:t>
      </w:r>
      <w:r w:rsidR="003B50ED">
        <w:rPr>
          <w:rFonts w:cstheme="minorHAnsi"/>
          <w:color w:val="000000"/>
        </w:rPr>
        <w:t xml:space="preserve"> </w:t>
      </w:r>
    </w:p>
    <w:bookmarkEnd w:id="63"/>
    <w:p w14:paraId="2E969119" w14:textId="77777777" w:rsidR="00224658" w:rsidRPr="00A26C26" w:rsidRDefault="00224658" w:rsidP="00A26C26">
      <w:pPr>
        <w:spacing w:line="276" w:lineRule="auto"/>
        <w:rPr>
          <w:rFonts w:cstheme="minorHAnsi"/>
        </w:rPr>
      </w:pPr>
    </w:p>
    <w:p w14:paraId="61493895" w14:textId="2C199517" w:rsidR="00224658" w:rsidRPr="00A26C26" w:rsidRDefault="00224658" w:rsidP="008A412F">
      <w:pPr>
        <w:pStyle w:val="Nagwek2"/>
        <w:numPr>
          <w:ilvl w:val="0"/>
          <w:numId w:val="11"/>
        </w:numPr>
        <w:spacing w:before="0" w:line="276" w:lineRule="auto"/>
        <w:rPr>
          <w:rFonts w:asciiTheme="minorHAnsi" w:hAnsiTheme="minorHAnsi" w:cstheme="minorHAnsi"/>
          <w:b/>
          <w:bCs/>
          <w:sz w:val="22"/>
          <w:szCs w:val="22"/>
        </w:rPr>
      </w:pPr>
      <w:bookmarkStart w:id="64" w:name="_Toc136260205"/>
      <w:bookmarkStart w:id="65" w:name="_Toc136944414"/>
      <w:r w:rsidRPr="00A26C26">
        <w:rPr>
          <w:rFonts w:asciiTheme="minorHAnsi" w:hAnsiTheme="minorHAnsi" w:cstheme="minorHAnsi"/>
          <w:b/>
          <w:bCs/>
          <w:sz w:val="22"/>
          <w:szCs w:val="22"/>
        </w:rPr>
        <w:t>Produkty</w:t>
      </w:r>
      <w:r w:rsidR="003B50ED">
        <w:rPr>
          <w:rFonts w:asciiTheme="minorHAnsi" w:hAnsiTheme="minorHAnsi" w:cstheme="minorHAnsi"/>
          <w:b/>
          <w:bCs/>
          <w:sz w:val="22"/>
          <w:szCs w:val="22"/>
        </w:rPr>
        <w:t xml:space="preserve"> </w:t>
      </w:r>
      <w:r w:rsidRPr="00A26C26">
        <w:rPr>
          <w:rFonts w:asciiTheme="minorHAnsi" w:hAnsiTheme="minorHAnsi" w:cstheme="minorHAnsi"/>
          <w:b/>
          <w:bCs/>
          <w:sz w:val="22"/>
          <w:szCs w:val="22"/>
        </w:rPr>
        <w:t>lokalne,</w:t>
      </w:r>
      <w:r w:rsidR="003B50ED">
        <w:rPr>
          <w:rFonts w:asciiTheme="minorHAnsi" w:hAnsiTheme="minorHAnsi" w:cstheme="minorHAnsi"/>
          <w:b/>
          <w:bCs/>
          <w:sz w:val="22"/>
          <w:szCs w:val="22"/>
        </w:rPr>
        <w:t xml:space="preserve"> </w:t>
      </w:r>
      <w:r w:rsidRPr="00A26C26">
        <w:rPr>
          <w:rFonts w:asciiTheme="minorHAnsi" w:hAnsiTheme="minorHAnsi" w:cstheme="minorHAnsi"/>
          <w:b/>
          <w:bCs/>
          <w:sz w:val="22"/>
          <w:szCs w:val="22"/>
        </w:rPr>
        <w:t>tradycyjne</w:t>
      </w:r>
      <w:r w:rsidR="003B50ED">
        <w:rPr>
          <w:rFonts w:asciiTheme="minorHAnsi" w:hAnsiTheme="minorHAnsi" w:cstheme="minorHAnsi"/>
          <w:b/>
          <w:bCs/>
          <w:sz w:val="22"/>
          <w:szCs w:val="22"/>
        </w:rPr>
        <w:t xml:space="preserve"> </w:t>
      </w:r>
      <w:r w:rsidRPr="00A26C26">
        <w:rPr>
          <w:rFonts w:asciiTheme="minorHAnsi" w:hAnsiTheme="minorHAnsi" w:cstheme="minorHAnsi"/>
          <w:b/>
          <w:bCs/>
          <w:sz w:val="22"/>
          <w:szCs w:val="22"/>
        </w:rPr>
        <w:t>i</w:t>
      </w:r>
      <w:r w:rsidR="003B50ED">
        <w:rPr>
          <w:rFonts w:asciiTheme="minorHAnsi" w:hAnsiTheme="minorHAnsi" w:cstheme="minorHAnsi"/>
          <w:b/>
          <w:bCs/>
          <w:sz w:val="22"/>
          <w:szCs w:val="22"/>
        </w:rPr>
        <w:t xml:space="preserve"> </w:t>
      </w:r>
      <w:r w:rsidRPr="00A26C26">
        <w:rPr>
          <w:rFonts w:asciiTheme="minorHAnsi" w:hAnsiTheme="minorHAnsi" w:cstheme="minorHAnsi"/>
          <w:b/>
          <w:bCs/>
          <w:sz w:val="22"/>
          <w:szCs w:val="22"/>
        </w:rPr>
        <w:t>regionalne</w:t>
      </w:r>
      <w:bookmarkEnd w:id="64"/>
      <w:bookmarkEnd w:id="65"/>
    </w:p>
    <w:p w14:paraId="6B1A0EA1" w14:textId="2E75A6CE" w:rsidR="00224658" w:rsidRPr="00A26C26" w:rsidRDefault="00224658" w:rsidP="00A26C26">
      <w:pPr>
        <w:spacing w:line="276" w:lineRule="auto"/>
        <w:ind w:firstLine="360"/>
        <w:jc w:val="both"/>
        <w:rPr>
          <w:rFonts w:cstheme="minorHAnsi"/>
        </w:rPr>
      </w:pPr>
      <w:r w:rsidRPr="00A26C26">
        <w:rPr>
          <w:rFonts w:cstheme="minorHAnsi"/>
        </w:rPr>
        <w:t>Charakterystycznym</w:t>
      </w:r>
      <w:r w:rsidR="003B50ED">
        <w:rPr>
          <w:rFonts w:cstheme="minorHAnsi"/>
        </w:rPr>
        <w:t xml:space="preserve"> </w:t>
      </w:r>
      <w:r w:rsidRPr="00A26C26">
        <w:rPr>
          <w:rFonts w:cstheme="minorHAnsi"/>
        </w:rPr>
        <w:t>produktem</w:t>
      </w:r>
      <w:r w:rsidR="003B50ED">
        <w:rPr>
          <w:rFonts w:cstheme="minorHAnsi"/>
        </w:rPr>
        <w:t xml:space="preserve"> </w:t>
      </w:r>
      <w:r w:rsidRPr="00A26C26">
        <w:rPr>
          <w:rFonts w:cstheme="minorHAnsi"/>
        </w:rPr>
        <w:t>dla</w:t>
      </w:r>
      <w:r w:rsidR="003B50ED">
        <w:rPr>
          <w:rFonts w:cstheme="minorHAnsi"/>
        </w:rPr>
        <w:t xml:space="preserve"> </w:t>
      </w:r>
      <w:r w:rsidRPr="00A26C26">
        <w:rPr>
          <w:rFonts w:cstheme="minorHAnsi"/>
        </w:rPr>
        <w:t>obszaru</w:t>
      </w:r>
      <w:r w:rsidR="003B50ED">
        <w:rPr>
          <w:rFonts w:cstheme="minorHAnsi"/>
        </w:rPr>
        <w:t xml:space="preserve"> </w:t>
      </w:r>
      <w:r w:rsidRPr="00A26C26">
        <w:rPr>
          <w:rFonts w:cstheme="minorHAnsi"/>
        </w:rPr>
        <w:t>LGD</w:t>
      </w:r>
      <w:r w:rsidR="003B50ED">
        <w:rPr>
          <w:rFonts w:cstheme="minorHAnsi"/>
        </w:rPr>
        <w:t xml:space="preserve"> </w:t>
      </w:r>
      <w:r w:rsidRPr="00A26C26">
        <w:rPr>
          <w:rFonts w:cstheme="minorHAnsi"/>
        </w:rPr>
        <w:t>są</w:t>
      </w:r>
      <w:r w:rsidR="003B50ED">
        <w:rPr>
          <w:rFonts w:cstheme="minorHAnsi"/>
        </w:rPr>
        <w:t xml:space="preserve"> </w:t>
      </w:r>
      <w:r w:rsidRPr="00A26C26">
        <w:rPr>
          <w:rFonts w:cstheme="minorHAnsi"/>
        </w:rPr>
        <w:t>m.in.</w:t>
      </w:r>
      <w:r w:rsidR="003B50ED">
        <w:rPr>
          <w:rFonts w:cstheme="minorHAnsi"/>
        </w:rPr>
        <w:t xml:space="preserve"> </w:t>
      </w:r>
      <w:r w:rsidRPr="00A26C26">
        <w:rPr>
          <w:rFonts w:cstheme="minorHAnsi"/>
        </w:rPr>
        <w:t>rogal</w:t>
      </w:r>
      <w:r w:rsidR="003B50ED">
        <w:rPr>
          <w:rFonts w:cstheme="minorHAnsi"/>
        </w:rPr>
        <w:t xml:space="preserve"> </w:t>
      </w:r>
      <w:r w:rsidRPr="00A26C26">
        <w:rPr>
          <w:rFonts w:cstheme="minorHAnsi"/>
        </w:rPr>
        <w:t>kasztelański,</w:t>
      </w:r>
      <w:r w:rsidR="003B50ED">
        <w:rPr>
          <w:rFonts w:cstheme="minorHAnsi"/>
        </w:rPr>
        <w:t xml:space="preserve"> </w:t>
      </w:r>
      <w:r w:rsidRPr="00A26C26">
        <w:rPr>
          <w:rFonts w:cstheme="minorHAnsi"/>
        </w:rPr>
        <w:t>krówki</w:t>
      </w:r>
      <w:r w:rsidR="003B50ED">
        <w:rPr>
          <w:rFonts w:cstheme="minorHAnsi"/>
        </w:rPr>
        <w:t xml:space="preserve"> </w:t>
      </w:r>
      <w:r w:rsidRPr="00A26C26">
        <w:rPr>
          <w:rFonts w:cstheme="minorHAnsi"/>
        </w:rPr>
        <w:t>golińskie,</w:t>
      </w:r>
      <w:r w:rsidR="003B50ED">
        <w:rPr>
          <w:rFonts w:cstheme="minorHAnsi"/>
        </w:rPr>
        <w:t xml:space="preserve"> </w:t>
      </w:r>
      <w:r w:rsidRPr="00A26C26">
        <w:rPr>
          <w:rFonts w:cstheme="minorHAnsi"/>
        </w:rPr>
        <w:t>sery,</w:t>
      </w:r>
      <w:r w:rsidR="003B50ED">
        <w:rPr>
          <w:rFonts w:cstheme="minorHAnsi"/>
        </w:rPr>
        <w:t xml:space="preserve"> </w:t>
      </w:r>
      <w:r w:rsidRPr="00A26C26">
        <w:rPr>
          <w:rFonts w:cstheme="minorHAnsi"/>
        </w:rPr>
        <w:t>pieczywo,</w:t>
      </w:r>
      <w:r w:rsidR="003B50ED">
        <w:rPr>
          <w:rFonts w:cstheme="minorHAnsi"/>
        </w:rPr>
        <w:t xml:space="preserve"> </w:t>
      </w:r>
      <w:r w:rsidRPr="00A26C26">
        <w:rPr>
          <w:rFonts w:cstheme="minorHAnsi"/>
        </w:rPr>
        <w:t>tradycyjne</w:t>
      </w:r>
      <w:r w:rsidR="00D543AB">
        <w:rPr>
          <w:rFonts w:cstheme="minorHAnsi"/>
        </w:rPr>
        <w:t>,</w:t>
      </w:r>
      <w:r w:rsidR="003B50ED">
        <w:rPr>
          <w:rFonts w:cstheme="minorHAnsi"/>
        </w:rPr>
        <w:t xml:space="preserve"> </w:t>
      </w:r>
      <w:r w:rsidRPr="00A26C26">
        <w:rPr>
          <w:rFonts w:cstheme="minorHAnsi"/>
        </w:rPr>
        <w:t>wiejskie</w:t>
      </w:r>
      <w:r w:rsidR="003B50ED">
        <w:rPr>
          <w:rFonts w:cstheme="minorHAnsi"/>
        </w:rPr>
        <w:t xml:space="preserve"> </w:t>
      </w:r>
      <w:r w:rsidRPr="00A26C26">
        <w:rPr>
          <w:rFonts w:cstheme="minorHAnsi"/>
        </w:rPr>
        <w:t>wyroby</w:t>
      </w:r>
      <w:r w:rsidR="003B50ED">
        <w:rPr>
          <w:rFonts w:cstheme="minorHAnsi"/>
        </w:rPr>
        <w:t xml:space="preserve"> </w:t>
      </w:r>
      <w:r w:rsidRPr="00A26C26">
        <w:rPr>
          <w:rFonts w:cstheme="minorHAnsi"/>
        </w:rPr>
        <w:t>wędliniarskie,</w:t>
      </w:r>
      <w:r w:rsidR="003B50ED">
        <w:rPr>
          <w:rFonts w:cstheme="minorHAnsi"/>
        </w:rPr>
        <w:t xml:space="preserve"> </w:t>
      </w:r>
      <w:r w:rsidRPr="00A26C26">
        <w:rPr>
          <w:rFonts w:cstheme="minorHAnsi"/>
        </w:rPr>
        <w:t>naturalne</w:t>
      </w:r>
      <w:r w:rsidR="003B50ED">
        <w:rPr>
          <w:rFonts w:cstheme="minorHAnsi"/>
        </w:rPr>
        <w:t xml:space="preserve"> </w:t>
      </w:r>
      <w:r w:rsidRPr="00A26C26">
        <w:rPr>
          <w:rFonts w:cstheme="minorHAnsi"/>
        </w:rPr>
        <w:t>przetwory</w:t>
      </w:r>
      <w:r w:rsidR="003B50ED">
        <w:rPr>
          <w:rFonts w:cstheme="minorHAnsi"/>
        </w:rPr>
        <w:t xml:space="preserve"> </w:t>
      </w:r>
      <w:r w:rsidRPr="00A26C26">
        <w:rPr>
          <w:rFonts w:cstheme="minorHAnsi"/>
        </w:rPr>
        <w:t>owocowe</w:t>
      </w:r>
      <w:r w:rsidR="003B50ED">
        <w:rPr>
          <w:rFonts w:cstheme="minorHAnsi"/>
        </w:rPr>
        <w:t xml:space="preserve"> </w:t>
      </w:r>
      <w:r w:rsidRPr="00A26C26">
        <w:rPr>
          <w:rFonts w:cstheme="minorHAnsi"/>
        </w:rPr>
        <w:t>oraz</w:t>
      </w:r>
      <w:r w:rsidR="003B50ED">
        <w:rPr>
          <w:rFonts w:cstheme="minorHAnsi"/>
        </w:rPr>
        <w:t xml:space="preserve"> </w:t>
      </w:r>
      <w:r w:rsidRPr="00A26C26">
        <w:rPr>
          <w:rFonts w:cstheme="minorHAnsi"/>
        </w:rPr>
        <w:t>wszelkiego</w:t>
      </w:r>
      <w:r w:rsidR="003B50ED">
        <w:rPr>
          <w:rFonts w:cstheme="minorHAnsi"/>
        </w:rPr>
        <w:t xml:space="preserve"> </w:t>
      </w:r>
      <w:r w:rsidRPr="00A26C26">
        <w:rPr>
          <w:rFonts w:cstheme="minorHAnsi"/>
        </w:rPr>
        <w:t>rodzaju</w:t>
      </w:r>
      <w:r w:rsidR="003B50ED">
        <w:rPr>
          <w:rFonts w:cstheme="minorHAnsi"/>
        </w:rPr>
        <w:t xml:space="preserve"> </w:t>
      </w:r>
      <w:r w:rsidRPr="00A26C26">
        <w:rPr>
          <w:rFonts w:cstheme="minorHAnsi"/>
        </w:rPr>
        <w:t>miody.</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obszarze</w:t>
      </w:r>
      <w:r w:rsidR="003B50ED">
        <w:rPr>
          <w:rFonts w:cstheme="minorHAnsi"/>
        </w:rPr>
        <w:t xml:space="preserve"> </w:t>
      </w:r>
      <w:r w:rsidRPr="00A26C26">
        <w:rPr>
          <w:rFonts w:cstheme="minorHAnsi"/>
        </w:rPr>
        <w:t>objętym</w:t>
      </w:r>
      <w:r w:rsidR="003B50ED">
        <w:rPr>
          <w:rFonts w:cstheme="minorHAnsi"/>
        </w:rPr>
        <w:t xml:space="preserve"> </w:t>
      </w:r>
      <w:r w:rsidRPr="00A26C26">
        <w:rPr>
          <w:rFonts w:cstheme="minorHAnsi"/>
        </w:rPr>
        <w:t>strategią</w:t>
      </w:r>
      <w:r w:rsidR="003B50ED">
        <w:rPr>
          <w:rFonts w:cstheme="minorHAnsi"/>
        </w:rPr>
        <w:t xml:space="preserve"> </w:t>
      </w:r>
      <w:r w:rsidRPr="00A26C26">
        <w:rPr>
          <w:rFonts w:cstheme="minorHAnsi"/>
        </w:rPr>
        <w:t>są</w:t>
      </w:r>
      <w:r w:rsidR="003B50ED">
        <w:rPr>
          <w:rFonts w:cstheme="minorHAnsi"/>
        </w:rPr>
        <w:t xml:space="preserve"> </w:t>
      </w:r>
      <w:r w:rsidRPr="00A26C26">
        <w:rPr>
          <w:rFonts w:cstheme="minorHAnsi"/>
        </w:rPr>
        <w:t>ciągle</w:t>
      </w:r>
      <w:r w:rsidR="003B50ED">
        <w:rPr>
          <w:rFonts w:cstheme="minorHAnsi"/>
        </w:rPr>
        <w:t xml:space="preserve"> </w:t>
      </w:r>
      <w:r w:rsidRPr="00A26C26">
        <w:rPr>
          <w:rFonts w:cstheme="minorHAnsi"/>
        </w:rPr>
        <w:t>żywe</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kultywowane</w:t>
      </w:r>
      <w:r w:rsidR="003B50ED">
        <w:rPr>
          <w:rFonts w:cstheme="minorHAnsi"/>
        </w:rPr>
        <w:t xml:space="preserve"> </w:t>
      </w:r>
      <w:r w:rsidRPr="00A26C26">
        <w:rPr>
          <w:rFonts w:cstheme="minorHAnsi"/>
        </w:rPr>
        <w:t>dawne</w:t>
      </w:r>
      <w:r w:rsidR="003B50ED">
        <w:rPr>
          <w:rFonts w:cstheme="minorHAnsi"/>
        </w:rPr>
        <w:t xml:space="preserve"> </w:t>
      </w:r>
      <w:r w:rsidRPr="00A26C26">
        <w:rPr>
          <w:rFonts w:cstheme="minorHAnsi"/>
        </w:rPr>
        <w:t>obrzędy</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zwyczaje</w:t>
      </w:r>
      <w:r w:rsidR="003B50ED">
        <w:rPr>
          <w:rFonts w:cstheme="minorHAnsi"/>
        </w:rPr>
        <w:t xml:space="preserve"> </w:t>
      </w:r>
      <w:r w:rsidRPr="00A26C26">
        <w:rPr>
          <w:rFonts w:cstheme="minorHAnsi"/>
        </w:rPr>
        <w:t>oraz</w:t>
      </w:r>
      <w:r w:rsidR="003B50ED">
        <w:rPr>
          <w:rFonts w:cstheme="minorHAnsi"/>
        </w:rPr>
        <w:t xml:space="preserve"> </w:t>
      </w:r>
      <w:r w:rsidRPr="00A26C26">
        <w:rPr>
          <w:rFonts w:cstheme="minorHAnsi"/>
        </w:rPr>
        <w:t>tradycje</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zakresie</w:t>
      </w:r>
      <w:r w:rsidR="003B50ED">
        <w:rPr>
          <w:rFonts w:cstheme="minorHAnsi"/>
        </w:rPr>
        <w:t xml:space="preserve"> </w:t>
      </w:r>
      <w:r w:rsidRPr="00A26C26">
        <w:rPr>
          <w:rFonts w:cstheme="minorHAnsi"/>
        </w:rPr>
        <w:t>rzemiosła</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rękodzieła</w:t>
      </w:r>
      <w:r w:rsidR="003B50ED">
        <w:rPr>
          <w:rFonts w:cstheme="minorHAnsi"/>
        </w:rPr>
        <w:t xml:space="preserve"> </w:t>
      </w:r>
      <w:r w:rsidRPr="00A26C26">
        <w:rPr>
          <w:rFonts w:cstheme="minorHAnsi"/>
        </w:rPr>
        <w:t>(np.</w:t>
      </w:r>
      <w:r w:rsidR="003B50ED">
        <w:rPr>
          <w:rFonts w:cstheme="minorHAnsi"/>
        </w:rPr>
        <w:t xml:space="preserve"> </w:t>
      </w:r>
      <w:r w:rsidRPr="00A26C26">
        <w:rPr>
          <w:rFonts w:cstheme="minorHAnsi"/>
        </w:rPr>
        <w:t>garncarstwo,</w:t>
      </w:r>
      <w:r w:rsidR="003B50ED">
        <w:rPr>
          <w:rFonts w:cstheme="minorHAnsi"/>
        </w:rPr>
        <w:t xml:space="preserve"> </w:t>
      </w:r>
      <w:r w:rsidRPr="00A26C26">
        <w:rPr>
          <w:rFonts w:cstheme="minorHAnsi"/>
        </w:rPr>
        <w:t>rzeźbiarstwo,</w:t>
      </w:r>
      <w:r w:rsidR="003B50ED">
        <w:rPr>
          <w:rFonts w:cstheme="minorHAnsi"/>
        </w:rPr>
        <w:t xml:space="preserve"> </w:t>
      </w:r>
      <w:r w:rsidRPr="00A26C26">
        <w:rPr>
          <w:rFonts w:cstheme="minorHAnsi"/>
        </w:rPr>
        <w:t>wikliniarstwo).</w:t>
      </w:r>
      <w:r w:rsidR="003B50ED">
        <w:rPr>
          <w:rFonts w:cstheme="minorHAnsi"/>
        </w:rPr>
        <w:t xml:space="preserve"> </w:t>
      </w:r>
      <w:r w:rsidRPr="00A26C26">
        <w:rPr>
          <w:rFonts w:cstheme="minorHAnsi"/>
        </w:rPr>
        <w:t>Większość</w:t>
      </w:r>
      <w:r w:rsidR="003B50ED">
        <w:rPr>
          <w:rFonts w:cstheme="minorHAnsi"/>
        </w:rPr>
        <w:t xml:space="preserve"> </w:t>
      </w:r>
      <w:r w:rsidRPr="00A26C26">
        <w:rPr>
          <w:rFonts w:cstheme="minorHAnsi"/>
        </w:rPr>
        <w:t>obrzędów</w:t>
      </w:r>
      <w:r w:rsidR="003B50ED">
        <w:rPr>
          <w:rFonts w:cstheme="minorHAnsi"/>
        </w:rPr>
        <w:t xml:space="preserve"> </w:t>
      </w:r>
      <w:r w:rsidRPr="00A26C26">
        <w:rPr>
          <w:rFonts w:cstheme="minorHAnsi"/>
        </w:rPr>
        <w:t>wiąże</w:t>
      </w:r>
      <w:r w:rsidR="003B50ED">
        <w:rPr>
          <w:rFonts w:cstheme="minorHAnsi"/>
        </w:rPr>
        <w:t xml:space="preserve"> </w:t>
      </w:r>
      <w:r w:rsidRPr="00A26C26">
        <w:rPr>
          <w:rFonts w:cstheme="minorHAnsi"/>
        </w:rPr>
        <w:t>się</w:t>
      </w:r>
      <w:r w:rsidR="003B50ED">
        <w:rPr>
          <w:rFonts w:cstheme="minorHAnsi"/>
        </w:rPr>
        <w:t xml:space="preserve"> </w:t>
      </w:r>
      <w:r w:rsidRPr="00A26C26">
        <w:rPr>
          <w:rFonts w:cstheme="minorHAnsi"/>
        </w:rPr>
        <w:t>ze</w:t>
      </w:r>
      <w:r w:rsidR="003B50ED">
        <w:rPr>
          <w:rFonts w:cstheme="minorHAnsi"/>
        </w:rPr>
        <w:t xml:space="preserve"> </w:t>
      </w:r>
      <w:r w:rsidRPr="00A26C26">
        <w:rPr>
          <w:rFonts w:cstheme="minorHAnsi"/>
        </w:rPr>
        <w:t>świętami</w:t>
      </w:r>
      <w:r w:rsidR="003B50ED">
        <w:rPr>
          <w:rFonts w:cstheme="minorHAnsi"/>
        </w:rPr>
        <w:t xml:space="preserve"> </w:t>
      </w:r>
      <w:r w:rsidRPr="00A26C26">
        <w:rPr>
          <w:rFonts w:cstheme="minorHAnsi"/>
        </w:rPr>
        <w:t>kościelnymi</w:t>
      </w:r>
      <w:r w:rsidR="003B50ED">
        <w:rPr>
          <w:rFonts w:cstheme="minorHAnsi"/>
        </w:rPr>
        <w:t xml:space="preserve"> </w:t>
      </w:r>
      <w:r w:rsidRPr="00A26C26">
        <w:rPr>
          <w:rFonts w:cstheme="minorHAnsi"/>
        </w:rPr>
        <w:t>lub</w:t>
      </w:r>
      <w:r w:rsidR="003B50ED">
        <w:rPr>
          <w:rFonts w:cstheme="minorHAnsi"/>
        </w:rPr>
        <w:t xml:space="preserve"> </w:t>
      </w:r>
      <w:r w:rsidRPr="00A26C26">
        <w:rPr>
          <w:rFonts w:cstheme="minorHAnsi"/>
        </w:rPr>
        <w:t>wydarzeniami</w:t>
      </w:r>
      <w:r w:rsidR="003B50ED">
        <w:rPr>
          <w:rFonts w:cstheme="minorHAnsi"/>
        </w:rPr>
        <w:t xml:space="preserve"> </w:t>
      </w:r>
      <w:r w:rsidRPr="00A26C26">
        <w:rPr>
          <w:rFonts w:cstheme="minorHAnsi"/>
        </w:rPr>
        <w:t>rodzinnymi</w:t>
      </w:r>
      <w:r w:rsidR="003B50ED">
        <w:rPr>
          <w:rFonts w:cstheme="minorHAnsi"/>
        </w:rPr>
        <w:t xml:space="preserve"> </w:t>
      </w:r>
      <w:r w:rsidRPr="00A26C26">
        <w:rPr>
          <w:rFonts w:cstheme="minorHAnsi"/>
        </w:rPr>
        <w:t>(np.</w:t>
      </w:r>
      <w:r w:rsidR="003B50ED">
        <w:rPr>
          <w:rFonts w:cstheme="minorHAnsi"/>
        </w:rPr>
        <w:t xml:space="preserve"> </w:t>
      </w:r>
      <w:r w:rsidRPr="00A26C26">
        <w:rPr>
          <w:rFonts w:cstheme="minorHAnsi"/>
        </w:rPr>
        <w:t>Jarmarki,</w:t>
      </w:r>
      <w:r w:rsidR="003B50ED">
        <w:rPr>
          <w:rFonts w:cstheme="minorHAnsi"/>
        </w:rPr>
        <w:t xml:space="preserve"> </w:t>
      </w:r>
      <w:proofErr w:type="spellStart"/>
      <w:r w:rsidRPr="00A26C26">
        <w:rPr>
          <w:rFonts w:cstheme="minorHAnsi"/>
        </w:rPr>
        <w:t>Pyrczoki</w:t>
      </w:r>
      <w:proofErr w:type="spellEnd"/>
      <w:r w:rsidRPr="00A26C26">
        <w:rPr>
          <w:rFonts w:cstheme="minorHAnsi"/>
        </w:rPr>
        <w:t>,</w:t>
      </w:r>
      <w:r w:rsidR="003B50ED">
        <w:rPr>
          <w:rFonts w:cstheme="minorHAnsi"/>
        </w:rPr>
        <w:t xml:space="preserve"> </w:t>
      </w:r>
      <w:r w:rsidRPr="00A26C26">
        <w:rPr>
          <w:rFonts w:cstheme="minorHAnsi"/>
        </w:rPr>
        <w:t>Festiwale,</w:t>
      </w:r>
      <w:r w:rsidR="003B50ED">
        <w:rPr>
          <w:rFonts w:cstheme="minorHAnsi"/>
        </w:rPr>
        <w:t xml:space="preserve"> </w:t>
      </w:r>
      <w:r w:rsidRPr="00A26C26">
        <w:rPr>
          <w:rFonts w:cstheme="minorHAnsi"/>
        </w:rPr>
        <w:t>Pikniki).</w:t>
      </w:r>
      <w:r w:rsidR="003B50ED">
        <w:rPr>
          <w:rFonts w:cstheme="minorHAnsi"/>
        </w:rPr>
        <w:t xml:space="preserve"> </w:t>
      </w:r>
    </w:p>
    <w:p w14:paraId="61B0351E" w14:textId="006CBEAB" w:rsidR="00224658" w:rsidRPr="00A26C26" w:rsidRDefault="00224658" w:rsidP="00A26C26">
      <w:pPr>
        <w:spacing w:line="276" w:lineRule="auto"/>
        <w:ind w:firstLine="360"/>
        <w:jc w:val="both"/>
        <w:rPr>
          <w:rFonts w:cstheme="minorHAnsi"/>
        </w:rPr>
      </w:pPr>
      <w:r w:rsidRPr="00A26C26">
        <w:rPr>
          <w:rFonts w:cstheme="minorHAnsi"/>
        </w:rPr>
        <w:t>Tradycyjnie</w:t>
      </w:r>
      <w:r w:rsidR="003B50ED">
        <w:rPr>
          <w:rFonts w:cstheme="minorHAnsi"/>
        </w:rPr>
        <w:t xml:space="preserve"> </w:t>
      </w:r>
      <w:r w:rsidRPr="00A26C26">
        <w:rPr>
          <w:rFonts w:cstheme="minorHAnsi"/>
        </w:rPr>
        <w:t>obchodzi</w:t>
      </w:r>
      <w:r w:rsidR="003B50ED">
        <w:rPr>
          <w:rFonts w:cstheme="minorHAnsi"/>
        </w:rPr>
        <w:t xml:space="preserve"> </w:t>
      </w:r>
      <w:r w:rsidRPr="00A26C26">
        <w:rPr>
          <w:rFonts w:cstheme="minorHAnsi"/>
        </w:rPr>
        <w:t>się</w:t>
      </w:r>
      <w:r w:rsidR="003B50ED">
        <w:rPr>
          <w:rFonts w:cstheme="minorHAnsi"/>
        </w:rPr>
        <w:t xml:space="preserve"> </w:t>
      </w:r>
      <w:r w:rsidRPr="00A26C26">
        <w:rPr>
          <w:rFonts w:cstheme="minorHAnsi"/>
        </w:rPr>
        <w:t>Boże</w:t>
      </w:r>
      <w:r w:rsidR="003B50ED">
        <w:rPr>
          <w:rFonts w:cstheme="minorHAnsi"/>
        </w:rPr>
        <w:t xml:space="preserve"> </w:t>
      </w:r>
      <w:r w:rsidRPr="00A26C26">
        <w:rPr>
          <w:rFonts w:cstheme="minorHAnsi"/>
        </w:rPr>
        <w:t>Narodzenie</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nieodzownym</w:t>
      </w:r>
      <w:r w:rsidR="003B50ED">
        <w:rPr>
          <w:rFonts w:cstheme="minorHAnsi"/>
        </w:rPr>
        <w:t xml:space="preserve"> </w:t>
      </w:r>
      <w:r w:rsidRPr="00A26C26">
        <w:rPr>
          <w:rFonts w:cstheme="minorHAnsi"/>
        </w:rPr>
        <w:t>kolędowaniem,</w:t>
      </w:r>
      <w:r w:rsidR="003B50ED">
        <w:rPr>
          <w:rFonts w:cstheme="minorHAnsi"/>
        </w:rPr>
        <w:t xml:space="preserve"> </w:t>
      </w:r>
      <w:r w:rsidRPr="00A26C26">
        <w:rPr>
          <w:rFonts w:cstheme="minorHAnsi"/>
        </w:rPr>
        <w:t>ustrojoną</w:t>
      </w:r>
      <w:r w:rsidR="003B50ED">
        <w:rPr>
          <w:rFonts w:cstheme="minorHAnsi"/>
        </w:rPr>
        <w:t xml:space="preserve"> </w:t>
      </w:r>
      <w:r w:rsidRPr="00A26C26">
        <w:rPr>
          <w:rFonts w:cstheme="minorHAnsi"/>
        </w:rPr>
        <w:t>choinką,</w:t>
      </w:r>
      <w:r w:rsidR="003B50ED">
        <w:rPr>
          <w:rFonts w:cstheme="minorHAnsi"/>
        </w:rPr>
        <w:t xml:space="preserve"> </w:t>
      </w:r>
      <w:r w:rsidRPr="00A26C26">
        <w:rPr>
          <w:rFonts w:cstheme="minorHAnsi"/>
        </w:rPr>
        <w:t>obsypywaniem</w:t>
      </w:r>
      <w:r w:rsidR="003B50ED">
        <w:rPr>
          <w:rFonts w:cstheme="minorHAnsi"/>
        </w:rPr>
        <w:t xml:space="preserve"> </w:t>
      </w:r>
      <w:r w:rsidRPr="00A26C26">
        <w:rPr>
          <w:rFonts w:cstheme="minorHAnsi"/>
        </w:rPr>
        <w:t>się</w:t>
      </w:r>
      <w:r w:rsidR="003B50ED">
        <w:rPr>
          <w:rFonts w:cstheme="minorHAnsi"/>
        </w:rPr>
        <w:t xml:space="preserve"> </w:t>
      </w:r>
      <w:r w:rsidRPr="00A26C26">
        <w:rPr>
          <w:rFonts w:cstheme="minorHAnsi"/>
        </w:rPr>
        <w:t>owsem,</w:t>
      </w:r>
      <w:r w:rsidR="003B50ED">
        <w:rPr>
          <w:rFonts w:cstheme="minorHAnsi"/>
        </w:rPr>
        <w:t xml:space="preserve"> </w:t>
      </w:r>
      <w:r w:rsidRPr="00A26C26">
        <w:rPr>
          <w:rFonts w:cstheme="minorHAnsi"/>
        </w:rPr>
        <w:t>grochem</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jęczmieniem</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II</w:t>
      </w:r>
      <w:r w:rsidR="003B50ED">
        <w:rPr>
          <w:rFonts w:cstheme="minorHAnsi"/>
        </w:rPr>
        <w:t xml:space="preserve"> </w:t>
      </w:r>
      <w:r w:rsidRPr="00A26C26">
        <w:rPr>
          <w:rFonts w:cstheme="minorHAnsi"/>
        </w:rPr>
        <w:t>dzień</w:t>
      </w:r>
      <w:r w:rsidR="003B50ED">
        <w:rPr>
          <w:rFonts w:cstheme="minorHAnsi"/>
        </w:rPr>
        <w:t xml:space="preserve"> </w:t>
      </w:r>
      <w:r w:rsidRPr="00A26C26">
        <w:rPr>
          <w:rFonts w:cstheme="minorHAnsi"/>
        </w:rPr>
        <w:t>Świąt).</w:t>
      </w:r>
      <w:r w:rsidR="003B50ED">
        <w:rPr>
          <w:rFonts w:cstheme="minorHAnsi"/>
        </w:rPr>
        <w:t xml:space="preserve"> </w:t>
      </w:r>
      <w:r w:rsidRPr="00A26C26">
        <w:rPr>
          <w:rFonts w:cstheme="minorHAnsi"/>
        </w:rPr>
        <w:t>Nowy</w:t>
      </w:r>
      <w:r w:rsidR="003B50ED">
        <w:rPr>
          <w:rFonts w:cstheme="minorHAnsi"/>
        </w:rPr>
        <w:t xml:space="preserve"> </w:t>
      </w:r>
      <w:r w:rsidRPr="00A26C26">
        <w:rPr>
          <w:rFonts w:cstheme="minorHAnsi"/>
        </w:rPr>
        <w:t>Rok</w:t>
      </w:r>
      <w:r w:rsidR="003B50ED">
        <w:rPr>
          <w:rFonts w:cstheme="minorHAnsi"/>
        </w:rPr>
        <w:t xml:space="preserve"> </w:t>
      </w:r>
      <w:r w:rsidRPr="00A26C26">
        <w:rPr>
          <w:rFonts w:cstheme="minorHAnsi"/>
        </w:rPr>
        <w:t>jest</w:t>
      </w:r>
      <w:r w:rsidR="003B50ED">
        <w:rPr>
          <w:rFonts w:cstheme="minorHAnsi"/>
        </w:rPr>
        <w:t xml:space="preserve"> </w:t>
      </w:r>
      <w:r w:rsidRPr="00A26C26">
        <w:rPr>
          <w:rFonts w:cstheme="minorHAnsi"/>
        </w:rPr>
        <w:t>okazją</w:t>
      </w:r>
      <w:r w:rsidR="003B50ED">
        <w:rPr>
          <w:rFonts w:cstheme="minorHAnsi"/>
        </w:rPr>
        <w:t xml:space="preserve"> </w:t>
      </w:r>
      <w:r w:rsidRPr="00A26C26">
        <w:rPr>
          <w:rFonts w:cstheme="minorHAnsi"/>
        </w:rPr>
        <w:t>do</w:t>
      </w:r>
      <w:r w:rsidR="003B50ED">
        <w:rPr>
          <w:rFonts w:cstheme="minorHAnsi"/>
        </w:rPr>
        <w:t xml:space="preserve"> </w:t>
      </w:r>
      <w:r w:rsidRPr="00A26C26">
        <w:rPr>
          <w:rFonts w:cstheme="minorHAnsi"/>
        </w:rPr>
        <w:t>żartów</w:t>
      </w:r>
      <w:r w:rsidR="003B50ED">
        <w:rPr>
          <w:rFonts w:cstheme="minorHAnsi"/>
        </w:rPr>
        <w:t xml:space="preserve"> </w:t>
      </w:r>
      <w:r w:rsidRPr="00A26C26">
        <w:rPr>
          <w:rFonts w:cstheme="minorHAnsi"/>
        </w:rPr>
        <w:t>polegających</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wystawianiu</w:t>
      </w:r>
      <w:r w:rsidR="003B50ED">
        <w:rPr>
          <w:rFonts w:cstheme="minorHAnsi"/>
        </w:rPr>
        <w:t xml:space="preserve"> </w:t>
      </w:r>
      <w:r w:rsidRPr="00A26C26">
        <w:rPr>
          <w:rFonts w:cstheme="minorHAnsi"/>
        </w:rPr>
        <w:t>bram.</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Święto</w:t>
      </w:r>
      <w:r w:rsidR="003B50ED">
        <w:rPr>
          <w:rFonts w:cstheme="minorHAnsi"/>
        </w:rPr>
        <w:t xml:space="preserve"> </w:t>
      </w:r>
      <w:r w:rsidRPr="00A26C26">
        <w:rPr>
          <w:rFonts w:cstheme="minorHAnsi"/>
        </w:rPr>
        <w:t>Trzech</w:t>
      </w:r>
      <w:r w:rsidR="003B50ED">
        <w:rPr>
          <w:rFonts w:cstheme="minorHAnsi"/>
        </w:rPr>
        <w:t xml:space="preserve"> </w:t>
      </w:r>
      <w:r w:rsidRPr="00A26C26">
        <w:rPr>
          <w:rFonts w:cstheme="minorHAnsi"/>
        </w:rPr>
        <w:t>Króli</w:t>
      </w:r>
      <w:r w:rsidR="003B50ED">
        <w:rPr>
          <w:rFonts w:cstheme="minorHAnsi"/>
        </w:rPr>
        <w:t xml:space="preserve"> </w:t>
      </w:r>
      <w:r w:rsidRPr="00A26C26">
        <w:rPr>
          <w:rFonts w:cstheme="minorHAnsi"/>
        </w:rPr>
        <w:t>młodzież</w:t>
      </w:r>
      <w:r w:rsidR="003B50ED">
        <w:rPr>
          <w:rFonts w:cstheme="minorHAnsi"/>
        </w:rPr>
        <w:t xml:space="preserve"> </w:t>
      </w:r>
      <w:r w:rsidRPr="00A26C26">
        <w:rPr>
          <w:rFonts w:cstheme="minorHAnsi"/>
        </w:rPr>
        <w:t>przebiera</w:t>
      </w:r>
      <w:r w:rsidR="003B50ED">
        <w:rPr>
          <w:rFonts w:cstheme="minorHAnsi"/>
        </w:rPr>
        <w:t xml:space="preserve"> </w:t>
      </w:r>
      <w:r w:rsidRPr="00A26C26">
        <w:rPr>
          <w:rFonts w:cstheme="minorHAnsi"/>
        </w:rPr>
        <w:t>się</w:t>
      </w:r>
      <w:r w:rsidR="003B50ED">
        <w:rPr>
          <w:rFonts w:cstheme="minorHAnsi"/>
        </w:rPr>
        <w:t xml:space="preserve"> </w:t>
      </w:r>
      <w:r w:rsidRPr="00A26C26">
        <w:rPr>
          <w:rFonts w:cstheme="minorHAnsi"/>
        </w:rPr>
        <w:t>za</w:t>
      </w:r>
      <w:r w:rsidR="003B50ED">
        <w:rPr>
          <w:rFonts w:cstheme="minorHAnsi"/>
        </w:rPr>
        <w:t xml:space="preserve"> </w:t>
      </w:r>
      <w:r w:rsidRPr="00A26C26">
        <w:rPr>
          <w:rFonts w:cstheme="minorHAnsi"/>
        </w:rPr>
        <w:t>Trzech</w:t>
      </w:r>
      <w:r w:rsidR="003B50ED">
        <w:rPr>
          <w:rFonts w:cstheme="minorHAnsi"/>
        </w:rPr>
        <w:t xml:space="preserve"> </w:t>
      </w:r>
      <w:r w:rsidRPr="00A26C26">
        <w:rPr>
          <w:rFonts w:cstheme="minorHAnsi"/>
        </w:rPr>
        <w:t>Króli</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chodzi</w:t>
      </w:r>
      <w:r w:rsidR="003B50ED">
        <w:rPr>
          <w:rFonts w:cstheme="minorHAnsi"/>
        </w:rPr>
        <w:t xml:space="preserve"> </w:t>
      </w:r>
      <w:r w:rsidRPr="00A26C26">
        <w:rPr>
          <w:rFonts w:cstheme="minorHAnsi"/>
        </w:rPr>
        <w:t>po</w:t>
      </w:r>
      <w:r w:rsidR="003B50ED">
        <w:rPr>
          <w:rFonts w:cstheme="minorHAnsi"/>
        </w:rPr>
        <w:t xml:space="preserve"> </w:t>
      </w:r>
      <w:r w:rsidRPr="00A26C26">
        <w:rPr>
          <w:rFonts w:cstheme="minorHAnsi"/>
        </w:rPr>
        <w:t>domach.</w:t>
      </w:r>
      <w:r w:rsidR="003B50ED">
        <w:rPr>
          <w:rFonts w:cstheme="minorHAnsi"/>
        </w:rPr>
        <w:t xml:space="preserve"> </w:t>
      </w:r>
      <w:r w:rsidRPr="00A26C26">
        <w:rPr>
          <w:rFonts w:cstheme="minorHAnsi"/>
        </w:rPr>
        <w:t>We</w:t>
      </w:r>
      <w:r w:rsidR="003B50ED">
        <w:rPr>
          <w:rFonts w:cstheme="minorHAnsi"/>
        </w:rPr>
        <w:t xml:space="preserve"> </w:t>
      </w:r>
      <w:r w:rsidRPr="00A26C26">
        <w:rPr>
          <w:rFonts w:cstheme="minorHAnsi"/>
        </w:rPr>
        <w:t>wtorek</w:t>
      </w:r>
      <w:r w:rsidR="003B50ED">
        <w:rPr>
          <w:rFonts w:cstheme="minorHAnsi"/>
        </w:rPr>
        <w:t xml:space="preserve"> </w:t>
      </w:r>
      <w:r w:rsidRPr="00A26C26">
        <w:rPr>
          <w:rFonts w:cstheme="minorHAnsi"/>
        </w:rPr>
        <w:t>przed</w:t>
      </w:r>
      <w:r w:rsidR="003B50ED">
        <w:rPr>
          <w:rFonts w:cstheme="minorHAnsi"/>
        </w:rPr>
        <w:t xml:space="preserve"> </w:t>
      </w:r>
      <w:r w:rsidRPr="00A26C26">
        <w:rPr>
          <w:rFonts w:cstheme="minorHAnsi"/>
        </w:rPr>
        <w:t>środą</w:t>
      </w:r>
      <w:r w:rsidR="003B50ED">
        <w:rPr>
          <w:rFonts w:cstheme="minorHAnsi"/>
        </w:rPr>
        <w:t xml:space="preserve"> </w:t>
      </w:r>
      <w:r w:rsidRPr="00A26C26">
        <w:rPr>
          <w:rFonts w:cstheme="minorHAnsi"/>
        </w:rPr>
        <w:t>popielcową</w:t>
      </w:r>
      <w:r w:rsidR="003B50ED">
        <w:rPr>
          <w:rFonts w:cstheme="minorHAnsi"/>
        </w:rPr>
        <w:t xml:space="preserve"> </w:t>
      </w:r>
      <w:r w:rsidRPr="00A26C26">
        <w:rPr>
          <w:rFonts w:cstheme="minorHAnsi"/>
        </w:rPr>
        <w:t>urządza</w:t>
      </w:r>
      <w:r w:rsidR="003B50ED">
        <w:rPr>
          <w:rFonts w:cstheme="minorHAnsi"/>
        </w:rPr>
        <w:t xml:space="preserve"> </w:t>
      </w:r>
      <w:r w:rsidRPr="00A26C26">
        <w:rPr>
          <w:rFonts w:cstheme="minorHAnsi"/>
        </w:rPr>
        <w:t>się</w:t>
      </w:r>
      <w:r w:rsidR="003B50ED">
        <w:rPr>
          <w:rFonts w:cstheme="minorHAnsi"/>
        </w:rPr>
        <w:t xml:space="preserve"> </w:t>
      </w:r>
      <w:r w:rsidRPr="00A26C26">
        <w:rPr>
          <w:rFonts w:cstheme="minorHAnsi"/>
        </w:rPr>
        <w:t>tradycyjną</w:t>
      </w:r>
      <w:r w:rsidR="003B50ED">
        <w:rPr>
          <w:rFonts w:cstheme="minorHAnsi"/>
        </w:rPr>
        <w:t xml:space="preserve"> </w:t>
      </w:r>
      <w:r w:rsidRPr="00A26C26">
        <w:rPr>
          <w:rFonts w:cstheme="minorHAnsi"/>
        </w:rPr>
        <w:t>zabawę</w:t>
      </w:r>
      <w:r w:rsidR="003B50ED">
        <w:rPr>
          <w:rFonts w:cstheme="minorHAnsi"/>
        </w:rPr>
        <w:t xml:space="preserve"> </w:t>
      </w:r>
      <w:proofErr w:type="spellStart"/>
      <w:r w:rsidRPr="00A26C26">
        <w:rPr>
          <w:rFonts w:cstheme="minorHAnsi"/>
        </w:rPr>
        <w:t>podkoziołkową</w:t>
      </w:r>
      <w:proofErr w:type="spellEnd"/>
      <w:r w:rsidRPr="00A26C26">
        <w:rPr>
          <w:rFonts w:cstheme="minorHAnsi"/>
        </w:rPr>
        <w:t>,</w:t>
      </w:r>
      <w:r w:rsidR="003B50ED">
        <w:rPr>
          <w:rFonts w:cstheme="minorHAnsi"/>
        </w:rPr>
        <w:t xml:space="preserve"> </w:t>
      </w:r>
      <w:r w:rsidRPr="00A26C26">
        <w:rPr>
          <w:rFonts w:cstheme="minorHAnsi"/>
        </w:rPr>
        <w:t>lub</w:t>
      </w:r>
      <w:r w:rsidR="003B50ED">
        <w:rPr>
          <w:rFonts w:cstheme="minorHAnsi"/>
        </w:rPr>
        <w:t xml:space="preserve"> </w:t>
      </w:r>
      <w:r w:rsidRPr="00A26C26">
        <w:rPr>
          <w:rFonts w:cstheme="minorHAnsi"/>
        </w:rPr>
        <w:t>tzw.</w:t>
      </w:r>
      <w:r w:rsidR="003B50ED">
        <w:rPr>
          <w:rFonts w:cstheme="minorHAnsi"/>
        </w:rPr>
        <w:t xml:space="preserve"> </w:t>
      </w:r>
      <w:r w:rsidRPr="00A26C26">
        <w:rPr>
          <w:rFonts w:cstheme="minorHAnsi"/>
        </w:rPr>
        <w:t>„podkurek”</w:t>
      </w:r>
      <w:r w:rsidR="003B50ED">
        <w:rPr>
          <w:rFonts w:cstheme="minorHAnsi"/>
        </w:rPr>
        <w:t xml:space="preserve"> </w:t>
      </w:r>
      <w:r w:rsidRPr="00A26C26">
        <w:rPr>
          <w:rFonts w:cstheme="minorHAnsi"/>
        </w:rPr>
        <w:t>kończący</w:t>
      </w:r>
      <w:r w:rsidR="003B50ED">
        <w:rPr>
          <w:rFonts w:cstheme="minorHAnsi"/>
        </w:rPr>
        <w:t xml:space="preserve"> </w:t>
      </w:r>
      <w:r w:rsidRPr="00A26C26">
        <w:rPr>
          <w:rFonts w:cstheme="minorHAnsi"/>
        </w:rPr>
        <w:t>okres</w:t>
      </w:r>
      <w:r w:rsidR="003B50ED">
        <w:rPr>
          <w:rFonts w:cstheme="minorHAnsi"/>
        </w:rPr>
        <w:t xml:space="preserve"> </w:t>
      </w:r>
      <w:r w:rsidRPr="00A26C26">
        <w:rPr>
          <w:rFonts w:cstheme="minorHAnsi"/>
        </w:rPr>
        <w:t>karnawału.</w:t>
      </w:r>
      <w:r w:rsidR="003B50ED">
        <w:rPr>
          <w:rFonts w:cstheme="minorHAnsi"/>
        </w:rPr>
        <w:t xml:space="preserve"> </w:t>
      </w:r>
      <w:r w:rsidR="004F6F0F" w:rsidRPr="00A26C26">
        <w:rPr>
          <w:rFonts w:cstheme="minorHAnsi"/>
        </w:rPr>
        <w:br/>
      </w:r>
      <w:r w:rsidRPr="00A26C26">
        <w:rPr>
          <w:rFonts w:cstheme="minorHAnsi"/>
        </w:rPr>
        <w:t>W</w:t>
      </w:r>
      <w:r w:rsidR="003B50ED">
        <w:rPr>
          <w:rFonts w:cstheme="minorHAnsi"/>
        </w:rPr>
        <w:t xml:space="preserve"> </w:t>
      </w:r>
      <w:r w:rsidRPr="00A26C26">
        <w:rPr>
          <w:rFonts w:cstheme="minorHAnsi"/>
        </w:rPr>
        <w:t>niedzielę</w:t>
      </w:r>
      <w:r w:rsidR="003B50ED">
        <w:rPr>
          <w:rFonts w:cstheme="minorHAnsi"/>
        </w:rPr>
        <w:t xml:space="preserve"> </w:t>
      </w:r>
      <w:r w:rsidRPr="00A26C26">
        <w:rPr>
          <w:rFonts w:cstheme="minorHAnsi"/>
        </w:rPr>
        <w:t>Palmową</w:t>
      </w:r>
      <w:r w:rsidR="003B50ED">
        <w:rPr>
          <w:rFonts w:cstheme="minorHAnsi"/>
        </w:rPr>
        <w:t xml:space="preserve"> </w:t>
      </w:r>
      <w:r w:rsidRPr="00A26C26">
        <w:rPr>
          <w:rFonts w:cstheme="minorHAnsi"/>
        </w:rPr>
        <w:t>święci</w:t>
      </w:r>
      <w:r w:rsidR="003B50ED">
        <w:rPr>
          <w:rFonts w:cstheme="minorHAnsi"/>
        </w:rPr>
        <w:t xml:space="preserve"> </w:t>
      </w:r>
      <w:r w:rsidRPr="00A26C26">
        <w:rPr>
          <w:rFonts w:cstheme="minorHAnsi"/>
        </w:rPr>
        <w:t>się</w:t>
      </w:r>
      <w:r w:rsidR="003B50ED">
        <w:rPr>
          <w:rFonts w:cstheme="minorHAnsi"/>
        </w:rPr>
        <w:t xml:space="preserve"> </w:t>
      </w:r>
      <w:r w:rsidRPr="00A26C26">
        <w:rPr>
          <w:rFonts w:cstheme="minorHAnsi"/>
        </w:rPr>
        <w:t>palmy</w:t>
      </w:r>
      <w:r w:rsidR="003B50ED">
        <w:rPr>
          <w:rFonts w:cstheme="minorHAnsi"/>
        </w:rPr>
        <w:t xml:space="preserve"> </w:t>
      </w:r>
      <w:r w:rsidRPr="00A26C26">
        <w:rPr>
          <w:rFonts w:cstheme="minorHAnsi"/>
        </w:rPr>
        <w:t>sporządzone</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wierzby,</w:t>
      </w:r>
      <w:r w:rsidR="003B50ED">
        <w:rPr>
          <w:rFonts w:cstheme="minorHAnsi"/>
        </w:rPr>
        <w:t xml:space="preserve"> </w:t>
      </w:r>
      <w:r w:rsidRPr="00A26C26">
        <w:rPr>
          <w:rFonts w:cstheme="minorHAnsi"/>
        </w:rPr>
        <w:t>kwiatów</w:t>
      </w:r>
      <w:r w:rsidR="003B50ED">
        <w:rPr>
          <w:rFonts w:cstheme="minorHAnsi"/>
        </w:rPr>
        <w:t xml:space="preserve"> </w:t>
      </w:r>
      <w:r w:rsidRPr="00A26C26">
        <w:rPr>
          <w:rFonts w:cstheme="minorHAnsi"/>
        </w:rPr>
        <w:t>(również</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bibuły),</w:t>
      </w:r>
      <w:r w:rsidR="003B50ED">
        <w:rPr>
          <w:rFonts w:cstheme="minorHAnsi"/>
        </w:rPr>
        <w:t xml:space="preserve"> </w:t>
      </w:r>
      <w:r w:rsidRPr="00A26C26">
        <w:rPr>
          <w:rFonts w:cstheme="minorHAnsi"/>
        </w:rPr>
        <w:t>zielonych</w:t>
      </w:r>
      <w:r w:rsidR="003B50ED">
        <w:rPr>
          <w:rFonts w:cstheme="minorHAnsi"/>
        </w:rPr>
        <w:t xml:space="preserve"> </w:t>
      </w:r>
      <w:r w:rsidRPr="00A26C26">
        <w:rPr>
          <w:rFonts w:cstheme="minorHAnsi"/>
        </w:rPr>
        <w:t>gałązek,</w:t>
      </w:r>
      <w:r w:rsidR="003B50ED">
        <w:rPr>
          <w:rFonts w:cstheme="minorHAnsi"/>
        </w:rPr>
        <w:t xml:space="preserve"> </w:t>
      </w:r>
      <w:r w:rsidRPr="00A26C26">
        <w:rPr>
          <w:rFonts w:cstheme="minorHAnsi"/>
        </w:rPr>
        <w:t>bukszpanu,</w:t>
      </w:r>
      <w:r w:rsidR="003B50ED">
        <w:rPr>
          <w:rFonts w:cstheme="minorHAnsi"/>
        </w:rPr>
        <w:t xml:space="preserve"> </w:t>
      </w:r>
      <w:r w:rsidRPr="00A26C26">
        <w:rPr>
          <w:rFonts w:cstheme="minorHAnsi"/>
        </w:rPr>
        <w:t>bazi</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forsycji.</w:t>
      </w:r>
      <w:r w:rsidR="003B50ED">
        <w:rPr>
          <w:rFonts w:cstheme="minorHAnsi"/>
        </w:rPr>
        <w:t xml:space="preserve"> </w:t>
      </w:r>
      <w:r w:rsidRPr="00A26C26">
        <w:rPr>
          <w:rFonts w:cstheme="minorHAnsi"/>
        </w:rPr>
        <w:t>„Boże</w:t>
      </w:r>
      <w:r w:rsidR="003B50ED">
        <w:rPr>
          <w:rFonts w:cstheme="minorHAnsi"/>
        </w:rPr>
        <w:t xml:space="preserve"> </w:t>
      </w:r>
      <w:r w:rsidRPr="00A26C26">
        <w:rPr>
          <w:rFonts w:cstheme="minorHAnsi"/>
        </w:rPr>
        <w:t>rany”</w:t>
      </w:r>
      <w:r w:rsidR="003B50ED">
        <w:rPr>
          <w:rFonts w:cstheme="minorHAnsi"/>
        </w:rPr>
        <w:t xml:space="preserve"> </w:t>
      </w:r>
      <w:r w:rsidRPr="00A26C26">
        <w:rPr>
          <w:rFonts w:cstheme="minorHAnsi"/>
        </w:rPr>
        <w:t>to</w:t>
      </w:r>
      <w:r w:rsidR="003B50ED">
        <w:rPr>
          <w:rFonts w:cstheme="minorHAnsi"/>
        </w:rPr>
        <w:t xml:space="preserve"> </w:t>
      </w:r>
      <w:r w:rsidRPr="00A26C26">
        <w:rPr>
          <w:rFonts w:cstheme="minorHAnsi"/>
        </w:rPr>
        <w:t>zwyczaj</w:t>
      </w:r>
      <w:r w:rsidR="003B50ED">
        <w:rPr>
          <w:rFonts w:cstheme="minorHAnsi"/>
        </w:rPr>
        <w:t xml:space="preserve"> </w:t>
      </w:r>
      <w:r w:rsidRPr="00A26C26">
        <w:rPr>
          <w:rFonts w:cstheme="minorHAnsi"/>
        </w:rPr>
        <w:t>związany</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Wielkim</w:t>
      </w:r>
      <w:r w:rsidR="003B50ED">
        <w:rPr>
          <w:rFonts w:cstheme="minorHAnsi"/>
        </w:rPr>
        <w:t xml:space="preserve"> </w:t>
      </w:r>
      <w:r w:rsidRPr="00A26C26">
        <w:rPr>
          <w:rFonts w:cstheme="minorHAnsi"/>
        </w:rPr>
        <w:t>Piątkiem,</w:t>
      </w:r>
      <w:r w:rsidR="003B50ED">
        <w:rPr>
          <w:rFonts w:cstheme="minorHAnsi"/>
        </w:rPr>
        <w:t xml:space="preserve"> </w:t>
      </w:r>
      <w:r w:rsidRPr="00A26C26">
        <w:rPr>
          <w:rFonts w:cstheme="minorHAnsi"/>
        </w:rPr>
        <w:t>polegający</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symbolicznym</w:t>
      </w:r>
      <w:r w:rsidR="003B50ED">
        <w:rPr>
          <w:rFonts w:cstheme="minorHAnsi"/>
        </w:rPr>
        <w:t xml:space="preserve"> </w:t>
      </w:r>
      <w:r w:rsidRPr="00A26C26">
        <w:rPr>
          <w:rFonts w:cstheme="minorHAnsi"/>
        </w:rPr>
        <w:t>chłostaniu</w:t>
      </w:r>
      <w:r w:rsidR="003B50ED">
        <w:rPr>
          <w:rFonts w:cstheme="minorHAnsi"/>
        </w:rPr>
        <w:t xml:space="preserve"> </w:t>
      </w:r>
      <w:r w:rsidRPr="00A26C26">
        <w:rPr>
          <w:rFonts w:cstheme="minorHAnsi"/>
        </w:rPr>
        <w:t>gałązkami</w:t>
      </w:r>
      <w:r w:rsidR="003B50ED">
        <w:rPr>
          <w:rFonts w:cstheme="minorHAnsi"/>
        </w:rPr>
        <w:t xml:space="preserve"> </w:t>
      </w:r>
      <w:r w:rsidRPr="00A26C26">
        <w:rPr>
          <w:rFonts w:cstheme="minorHAnsi"/>
        </w:rPr>
        <w:t>brzozowymi.</w:t>
      </w:r>
      <w:r w:rsidR="003B50ED">
        <w:rPr>
          <w:rFonts w:cstheme="minorHAnsi"/>
        </w:rPr>
        <w:t xml:space="preserve"> </w:t>
      </w:r>
      <w:r w:rsidRPr="00A26C26">
        <w:rPr>
          <w:rFonts w:cstheme="minorHAnsi"/>
        </w:rPr>
        <w:t>Inny</w:t>
      </w:r>
      <w:r w:rsidR="003B50ED">
        <w:rPr>
          <w:rFonts w:cstheme="minorHAnsi"/>
        </w:rPr>
        <w:t xml:space="preserve"> </w:t>
      </w:r>
      <w:r w:rsidRPr="00A26C26">
        <w:rPr>
          <w:rFonts w:cstheme="minorHAnsi"/>
        </w:rPr>
        <w:t>zwyczaj</w:t>
      </w:r>
      <w:r w:rsidR="003B50ED">
        <w:rPr>
          <w:rFonts w:cstheme="minorHAnsi"/>
        </w:rPr>
        <w:t xml:space="preserve"> </w:t>
      </w:r>
      <w:r w:rsidRPr="00A26C26">
        <w:rPr>
          <w:rFonts w:cstheme="minorHAnsi"/>
        </w:rPr>
        <w:t>wielkanocny</w:t>
      </w:r>
      <w:r w:rsidR="003B50ED">
        <w:rPr>
          <w:rFonts w:cstheme="minorHAnsi"/>
        </w:rPr>
        <w:t xml:space="preserve"> </w:t>
      </w:r>
      <w:r w:rsidRPr="00A26C26">
        <w:rPr>
          <w:rFonts w:cstheme="minorHAnsi"/>
        </w:rPr>
        <w:t>to</w:t>
      </w:r>
      <w:r w:rsidR="003B50ED">
        <w:rPr>
          <w:rFonts w:cstheme="minorHAnsi"/>
        </w:rPr>
        <w:t xml:space="preserve"> </w:t>
      </w:r>
      <w:r w:rsidRPr="00A26C26">
        <w:rPr>
          <w:rFonts w:cstheme="minorHAnsi"/>
        </w:rPr>
        <w:t>łykanie</w:t>
      </w:r>
      <w:r w:rsidR="003B50ED">
        <w:rPr>
          <w:rFonts w:cstheme="minorHAnsi"/>
        </w:rPr>
        <w:t xml:space="preserve"> </w:t>
      </w:r>
      <w:r w:rsidRPr="00A26C26">
        <w:rPr>
          <w:rFonts w:cstheme="minorHAnsi"/>
        </w:rPr>
        <w:t>bazi</w:t>
      </w:r>
      <w:r w:rsidR="003B50ED">
        <w:rPr>
          <w:rFonts w:cstheme="minorHAnsi"/>
        </w:rPr>
        <w:t xml:space="preserve"> </w:t>
      </w:r>
      <w:r w:rsidRPr="00A26C26">
        <w:rPr>
          <w:rFonts w:cstheme="minorHAnsi"/>
        </w:rPr>
        <w:t>(ile</w:t>
      </w:r>
      <w:r w:rsidR="003B50ED">
        <w:rPr>
          <w:rFonts w:cstheme="minorHAnsi"/>
        </w:rPr>
        <w:t xml:space="preserve"> </w:t>
      </w:r>
      <w:r w:rsidRPr="00A26C26">
        <w:rPr>
          <w:rFonts w:cstheme="minorHAnsi"/>
        </w:rPr>
        <w:t>bazi</w:t>
      </w:r>
      <w:r w:rsidR="003B50ED">
        <w:rPr>
          <w:rFonts w:cstheme="minorHAnsi"/>
        </w:rPr>
        <w:t xml:space="preserve"> </w:t>
      </w:r>
      <w:r w:rsidRPr="00A26C26">
        <w:rPr>
          <w:rFonts w:cstheme="minorHAnsi"/>
        </w:rPr>
        <w:t>się</w:t>
      </w:r>
      <w:r w:rsidR="003B50ED">
        <w:rPr>
          <w:rFonts w:cstheme="minorHAnsi"/>
        </w:rPr>
        <w:t xml:space="preserve"> </w:t>
      </w:r>
      <w:r w:rsidRPr="00A26C26">
        <w:rPr>
          <w:rFonts w:cstheme="minorHAnsi"/>
        </w:rPr>
        <w:t>połknie</w:t>
      </w:r>
      <w:r w:rsidR="003B50ED">
        <w:rPr>
          <w:rFonts w:cstheme="minorHAnsi"/>
        </w:rPr>
        <w:t xml:space="preserve"> </w:t>
      </w:r>
      <w:r w:rsidRPr="00A26C26">
        <w:rPr>
          <w:rFonts w:cstheme="minorHAnsi"/>
        </w:rPr>
        <w:t>tyle</w:t>
      </w:r>
      <w:r w:rsidR="003B50ED">
        <w:rPr>
          <w:rFonts w:cstheme="minorHAnsi"/>
        </w:rPr>
        <w:t xml:space="preserve"> </w:t>
      </w:r>
      <w:r w:rsidRPr="00A26C26">
        <w:rPr>
          <w:rFonts w:cstheme="minorHAnsi"/>
        </w:rPr>
        <w:t>jajek</w:t>
      </w:r>
      <w:r w:rsidR="003B50ED">
        <w:rPr>
          <w:rFonts w:cstheme="minorHAnsi"/>
        </w:rPr>
        <w:t xml:space="preserve"> </w:t>
      </w:r>
      <w:r w:rsidRPr="00A26C26">
        <w:rPr>
          <w:rFonts w:cstheme="minorHAnsi"/>
        </w:rPr>
        <w:t>można</w:t>
      </w:r>
      <w:r w:rsidR="003B50ED">
        <w:rPr>
          <w:rFonts w:cstheme="minorHAnsi"/>
        </w:rPr>
        <w:t xml:space="preserve"> </w:t>
      </w:r>
      <w:r w:rsidRPr="00A26C26">
        <w:rPr>
          <w:rFonts w:cstheme="minorHAnsi"/>
        </w:rPr>
        <w:t>zjeść–</w:t>
      </w:r>
      <w:r w:rsidR="003B50ED">
        <w:rPr>
          <w:rFonts w:cstheme="minorHAnsi"/>
        </w:rPr>
        <w:t xml:space="preserve"> </w:t>
      </w:r>
      <w:r w:rsidRPr="00A26C26">
        <w:rPr>
          <w:rFonts w:cstheme="minorHAnsi"/>
        </w:rPr>
        <w:t>zapewnia</w:t>
      </w:r>
      <w:r w:rsidR="003B50ED">
        <w:rPr>
          <w:rFonts w:cstheme="minorHAnsi"/>
        </w:rPr>
        <w:t xml:space="preserve"> </w:t>
      </w:r>
      <w:r w:rsidRPr="00A26C26">
        <w:rPr>
          <w:rFonts w:cstheme="minorHAnsi"/>
        </w:rPr>
        <w:t>to</w:t>
      </w:r>
      <w:r w:rsidR="003B50ED">
        <w:rPr>
          <w:rFonts w:cstheme="minorHAnsi"/>
        </w:rPr>
        <w:t xml:space="preserve"> </w:t>
      </w:r>
      <w:r w:rsidRPr="00A26C26">
        <w:rPr>
          <w:rFonts w:cstheme="minorHAnsi"/>
        </w:rPr>
        <w:t>zdrowie</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cały</w:t>
      </w:r>
      <w:r w:rsidR="003B50ED">
        <w:rPr>
          <w:rFonts w:cstheme="minorHAnsi"/>
        </w:rPr>
        <w:t xml:space="preserve"> </w:t>
      </w:r>
      <w:r w:rsidRPr="00A26C26">
        <w:rPr>
          <w:rFonts w:cstheme="minorHAnsi"/>
        </w:rPr>
        <w:t>rok).</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Zielone</w:t>
      </w:r>
      <w:r w:rsidR="003B50ED">
        <w:rPr>
          <w:rFonts w:cstheme="minorHAnsi"/>
        </w:rPr>
        <w:t xml:space="preserve"> </w:t>
      </w:r>
      <w:r w:rsidRPr="00A26C26">
        <w:rPr>
          <w:rFonts w:cstheme="minorHAnsi"/>
        </w:rPr>
        <w:t>Świątki</w:t>
      </w:r>
      <w:r w:rsidR="003B50ED">
        <w:rPr>
          <w:rFonts w:cstheme="minorHAnsi"/>
        </w:rPr>
        <w:t xml:space="preserve"> </w:t>
      </w:r>
      <w:r w:rsidRPr="00A26C26">
        <w:rPr>
          <w:rFonts w:cstheme="minorHAnsi"/>
        </w:rPr>
        <w:t>gdzieniegdzie</w:t>
      </w:r>
      <w:r w:rsidR="003B50ED">
        <w:rPr>
          <w:rFonts w:cstheme="minorHAnsi"/>
        </w:rPr>
        <w:t xml:space="preserve"> </w:t>
      </w:r>
      <w:r w:rsidRPr="00A26C26">
        <w:rPr>
          <w:rFonts w:cstheme="minorHAnsi"/>
        </w:rPr>
        <w:t>przetrwał</w:t>
      </w:r>
      <w:r w:rsidR="003B50ED">
        <w:rPr>
          <w:rFonts w:cstheme="minorHAnsi"/>
        </w:rPr>
        <w:t xml:space="preserve"> </w:t>
      </w:r>
      <w:r w:rsidRPr="00A26C26">
        <w:rPr>
          <w:rFonts w:cstheme="minorHAnsi"/>
        </w:rPr>
        <w:t>zwyczaj</w:t>
      </w:r>
      <w:r w:rsidR="003B50ED">
        <w:rPr>
          <w:rFonts w:cstheme="minorHAnsi"/>
        </w:rPr>
        <w:t xml:space="preserve"> </w:t>
      </w:r>
      <w:r w:rsidRPr="00A26C26">
        <w:rPr>
          <w:rFonts w:cstheme="minorHAnsi"/>
        </w:rPr>
        <w:t>przyozdabiania</w:t>
      </w:r>
      <w:r w:rsidR="003B50ED">
        <w:rPr>
          <w:rFonts w:cstheme="minorHAnsi"/>
        </w:rPr>
        <w:t xml:space="preserve"> </w:t>
      </w:r>
      <w:r w:rsidRPr="00A26C26">
        <w:rPr>
          <w:rFonts w:cstheme="minorHAnsi"/>
        </w:rPr>
        <w:t>domów</w:t>
      </w:r>
      <w:r w:rsidR="003B50ED">
        <w:rPr>
          <w:rFonts w:cstheme="minorHAnsi"/>
        </w:rPr>
        <w:t xml:space="preserve"> </w:t>
      </w:r>
      <w:r w:rsidRPr="00A26C26">
        <w:rPr>
          <w:rFonts w:cstheme="minorHAnsi"/>
        </w:rPr>
        <w:t>zielonymi</w:t>
      </w:r>
      <w:r w:rsidR="003B50ED">
        <w:rPr>
          <w:rFonts w:cstheme="minorHAnsi"/>
        </w:rPr>
        <w:t xml:space="preserve"> </w:t>
      </w:r>
      <w:r w:rsidRPr="00A26C26">
        <w:rPr>
          <w:rFonts w:cstheme="minorHAnsi"/>
        </w:rPr>
        <w:t>gałązkami,</w:t>
      </w:r>
      <w:r w:rsidR="003B50ED">
        <w:rPr>
          <w:rFonts w:cstheme="minorHAnsi"/>
        </w:rPr>
        <w:t xml:space="preserve"> </w:t>
      </w:r>
      <w:r w:rsidRPr="00A26C26">
        <w:rPr>
          <w:rFonts w:cstheme="minorHAnsi"/>
        </w:rPr>
        <w:t>tatarakiem</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kwiatami.</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zakończenie</w:t>
      </w:r>
      <w:r w:rsidR="003B50ED">
        <w:rPr>
          <w:rFonts w:cstheme="minorHAnsi"/>
        </w:rPr>
        <w:t xml:space="preserve"> </w:t>
      </w:r>
      <w:r w:rsidRPr="00A26C26">
        <w:rPr>
          <w:rFonts w:cstheme="minorHAnsi"/>
        </w:rPr>
        <w:t>żniw</w:t>
      </w:r>
      <w:r w:rsidR="003B50ED">
        <w:rPr>
          <w:rFonts w:cstheme="minorHAnsi"/>
        </w:rPr>
        <w:t xml:space="preserve"> </w:t>
      </w:r>
      <w:r w:rsidRPr="00A26C26">
        <w:rPr>
          <w:rFonts w:cstheme="minorHAnsi"/>
        </w:rPr>
        <w:t>organizowane</w:t>
      </w:r>
      <w:r w:rsidR="003B50ED">
        <w:rPr>
          <w:rFonts w:cstheme="minorHAnsi"/>
        </w:rPr>
        <w:t xml:space="preserve"> </w:t>
      </w:r>
      <w:r w:rsidRPr="00A26C26">
        <w:rPr>
          <w:rFonts w:cstheme="minorHAnsi"/>
        </w:rPr>
        <w:t>są</w:t>
      </w:r>
      <w:r w:rsidR="003B50ED">
        <w:rPr>
          <w:rFonts w:cstheme="minorHAnsi"/>
        </w:rPr>
        <w:t xml:space="preserve"> </w:t>
      </w:r>
      <w:r w:rsidRPr="00A26C26">
        <w:rPr>
          <w:rFonts w:cstheme="minorHAnsi"/>
        </w:rPr>
        <w:t>dożynki,</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które</w:t>
      </w:r>
      <w:r w:rsidR="003B50ED">
        <w:rPr>
          <w:rFonts w:cstheme="minorHAnsi"/>
        </w:rPr>
        <w:t xml:space="preserve"> </w:t>
      </w:r>
      <w:r w:rsidRPr="00A26C26">
        <w:rPr>
          <w:rFonts w:cstheme="minorHAnsi"/>
        </w:rPr>
        <w:t>przygotowuje</w:t>
      </w:r>
      <w:r w:rsidR="003B50ED">
        <w:rPr>
          <w:rFonts w:cstheme="minorHAnsi"/>
        </w:rPr>
        <w:t xml:space="preserve"> </w:t>
      </w:r>
      <w:r w:rsidRPr="00A26C26">
        <w:rPr>
          <w:rFonts w:cstheme="minorHAnsi"/>
        </w:rPr>
        <w:t>się</w:t>
      </w:r>
      <w:r w:rsidR="003B50ED">
        <w:rPr>
          <w:rFonts w:cstheme="minorHAnsi"/>
        </w:rPr>
        <w:t xml:space="preserve"> </w:t>
      </w:r>
      <w:r w:rsidRPr="00A26C26">
        <w:rPr>
          <w:rFonts w:cstheme="minorHAnsi"/>
        </w:rPr>
        <w:t>wieńce</w:t>
      </w:r>
      <w:r w:rsidR="003B50ED">
        <w:rPr>
          <w:rFonts w:cstheme="minorHAnsi"/>
        </w:rPr>
        <w:t xml:space="preserve"> </w:t>
      </w:r>
      <w:r w:rsidRPr="00A26C26">
        <w:rPr>
          <w:rFonts w:cstheme="minorHAnsi"/>
        </w:rPr>
        <w:t>dożynkowe.</w:t>
      </w:r>
    </w:p>
    <w:p w14:paraId="6085D494" w14:textId="354E1810" w:rsidR="00224658" w:rsidRPr="00A26C26" w:rsidRDefault="00224658" w:rsidP="00A26C26">
      <w:pPr>
        <w:spacing w:line="276" w:lineRule="auto"/>
        <w:jc w:val="both"/>
        <w:rPr>
          <w:rFonts w:cstheme="minorHAnsi"/>
        </w:rPr>
      </w:pPr>
    </w:p>
    <w:p w14:paraId="093921DD" w14:textId="77777777" w:rsidR="00224658" w:rsidRPr="00A26C26" w:rsidRDefault="00224658" w:rsidP="008A412F">
      <w:pPr>
        <w:pStyle w:val="Nagwek2"/>
        <w:numPr>
          <w:ilvl w:val="0"/>
          <w:numId w:val="11"/>
        </w:numPr>
        <w:spacing w:before="0" w:line="276" w:lineRule="auto"/>
        <w:rPr>
          <w:rFonts w:asciiTheme="minorHAnsi" w:hAnsiTheme="minorHAnsi" w:cstheme="minorHAnsi"/>
          <w:b/>
          <w:bCs/>
          <w:sz w:val="22"/>
          <w:szCs w:val="22"/>
        </w:rPr>
      </w:pPr>
      <w:bookmarkStart w:id="66" w:name="_Toc136260206"/>
      <w:bookmarkStart w:id="67" w:name="_Toc136944415"/>
      <w:r w:rsidRPr="00A26C26">
        <w:rPr>
          <w:rFonts w:asciiTheme="minorHAnsi" w:hAnsiTheme="minorHAnsi" w:cstheme="minorHAnsi"/>
          <w:b/>
          <w:bCs/>
          <w:sz w:val="22"/>
          <w:szCs w:val="22"/>
        </w:rPr>
        <w:t>Edukacja</w:t>
      </w:r>
      <w:bookmarkEnd w:id="66"/>
      <w:bookmarkEnd w:id="67"/>
    </w:p>
    <w:p w14:paraId="26BED29A" w14:textId="317AD104" w:rsidR="00D543AB" w:rsidRPr="00A26C26" w:rsidRDefault="00224658" w:rsidP="003E19E8">
      <w:pPr>
        <w:spacing w:line="276" w:lineRule="auto"/>
        <w:ind w:firstLine="360"/>
        <w:jc w:val="both"/>
        <w:rPr>
          <w:rFonts w:cstheme="minorHAnsi"/>
        </w:rPr>
      </w:pPr>
      <w:r w:rsidRPr="00A26C26">
        <w:rPr>
          <w:rFonts w:cstheme="minorHAnsi"/>
        </w:rPr>
        <w:t>Dostęp</w:t>
      </w:r>
      <w:r w:rsidR="003B50ED">
        <w:rPr>
          <w:rFonts w:cstheme="minorHAnsi"/>
        </w:rPr>
        <w:t xml:space="preserve"> </w:t>
      </w:r>
      <w:r w:rsidRPr="00A26C26">
        <w:rPr>
          <w:rFonts w:cstheme="minorHAnsi"/>
        </w:rPr>
        <w:t>do</w:t>
      </w:r>
      <w:r w:rsidR="003B50ED">
        <w:rPr>
          <w:rFonts w:cstheme="minorHAnsi"/>
        </w:rPr>
        <w:t xml:space="preserve"> </w:t>
      </w:r>
      <w:r w:rsidRPr="00A26C26">
        <w:rPr>
          <w:rFonts w:cstheme="minorHAnsi"/>
        </w:rPr>
        <w:t>edukacji</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obszarze</w:t>
      </w:r>
      <w:r w:rsidR="003B50ED">
        <w:rPr>
          <w:rFonts w:cstheme="minorHAnsi"/>
        </w:rPr>
        <w:t xml:space="preserve"> </w:t>
      </w:r>
      <w:r w:rsidRPr="00A26C26">
        <w:rPr>
          <w:rFonts w:cstheme="minorHAnsi"/>
        </w:rPr>
        <w:t>LGD</w:t>
      </w:r>
      <w:r w:rsidR="003B50ED">
        <w:rPr>
          <w:rFonts w:cstheme="minorHAnsi"/>
        </w:rPr>
        <w:t xml:space="preserve"> </w:t>
      </w:r>
      <w:r w:rsidRPr="00A26C26">
        <w:rPr>
          <w:rFonts w:cstheme="minorHAnsi"/>
        </w:rPr>
        <w:t>należy</w:t>
      </w:r>
      <w:r w:rsidR="003B50ED">
        <w:rPr>
          <w:rFonts w:cstheme="minorHAnsi"/>
        </w:rPr>
        <w:t xml:space="preserve"> </w:t>
      </w:r>
      <w:r w:rsidRPr="00A26C26">
        <w:rPr>
          <w:rFonts w:cstheme="minorHAnsi"/>
        </w:rPr>
        <w:t>ocenić</w:t>
      </w:r>
      <w:r w:rsidR="003B50ED">
        <w:rPr>
          <w:rFonts w:cstheme="minorHAnsi"/>
        </w:rPr>
        <w:t xml:space="preserve"> </w:t>
      </w:r>
      <w:r w:rsidRPr="00A26C26">
        <w:rPr>
          <w:rFonts w:cstheme="minorHAnsi"/>
        </w:rPr>
        <w:t>jako</w:t>
      </w:r>
      <w:r w:rsidR="003B50ED">
        <w:rPr>
          <w:rFonts w:cstheme="minorHAnsi"/>
        </w:rPr>
        <w:t xml:space="preserve"> </w:t>
      </w:r>
      <w:r w:rsidRPr="00A26C26">
        <w:rPr>
          <w:rFonts w:cstheme="minorHAnsi"/>
        </w:rPr>
        <w:t>optymalny</w:t>
      </w:r>
      <w:r w:rsidR="003B50ED">
        <w:rPr>
          <w:rFonts w:cstheme="minorHAnsi"/>
        </w:rPr>
        <w:t xml:space="preserve"> </w:t>
      </w:r>
      <w:r w:rsidRPr="00A26C26">
        <w:rPr>
          <w:rFonts w:cstheme="minorHAnsi"/>
        </w:rPr>
        <w:t>mając</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uwadze</w:t>
      </w:r>
      <w:r w:rsidR="003B50ED">
        <w:rPr>
          <w:rFonts w:cstheme="minorHAnsi"/>
        </w:rPr>
        <w:t xml:space="preserve"> </w:t>
      </w:r>
      <w:r w:rsidRPr="00A26C26">
        <w:rPr>
          <w:rFonts w:cstheme="minorHAnsi"/>
        </w:rPr>
        <w:t>problem</w:t>
      </w:r>
      <w:r w:rsidR="003B50ED">
        <w:rPr>
          <w:rFonts w:cstheme="minorHAnsi"/>
        </w:rPr>
        <w:t xml:space="preserve"> </w:t>
      </w:r>
      <w:r w:rsidRPr="00A26C26">
        <w:rPr>
          <w:rFonts w:cstheme="minorHAnsi"/>
        </w:rPr>
        <w:t>starzejącego</w:t>
      </w:r>
      <w:r w:rsidR="003B50ED">
        <w:rPr>
          <w:rFonts w:cstheme="minorHAnsi"/>
        </w:rPr>
        <w:t xml:space="preserve"> </w:t>
      </w:r>
      <w:r w:rsidRPr="00A26C26">
        <w:rPr>
          <w:rFonts w:cstheme="minorHAnsi"/>
        </w:rPr>
        <w:t>się</w:t>
      </w:r>
      <w:r w:rsidR="003B50ED">
        <w:rPr>
          <w:rFonts w:cstheme="minorHAnsi"/>
        </w:rPr>
        <w:t xml:space="preserve"> </w:t>
      </w:r>
      <w:r w:rsidRPr="00A26C26">
        <w:rPr>
          <w:rFonts w:cstheme="minorHAnsi"/>
        </w:rPr>
        <w:t>społeczeństwa.</w:t>
      </w:r>
      <w:r w:rsidR="003B50ED">
        <w:rPr>
          <w:rFonts w:cstheme="minorHAnsi"/>
        </w:rPr>
        <w:t xml:space="preserve"> </w:t>
      </w:r>
      <w:r w:rsidRPr="00A26C26">
        <w:rPr>
          <w:rFonts w:cstheme="minorHAnsi"/>
        </w:rPr>
        <w:t>Jak</w:t>
      </w:r>
      <w:r w:rsidR="003B50ED">
        <w:rPr>
          <w:rFonts w:cstheme="minorHAnsi"/>
        </w:rPr>
        <w:t xml:space="preserve"> </w:t>
      </w:r>
      <w:r w:rsidRPr="00A26C26">
        <w:rPr>
          <w:rFonts w:cstheme="minorHAnsi"/>
        </w:rPr>
        <w:t>pokazują</w:t>
      </w:r>
      <w:r w:rsidR="003B50ED">
        <w:rPr>
          <w:rFonts w:cstheme="minorHAnsi"/>
        </w:rPr>
        <w:t xml:space="preserve"> </w:t>
      </w:r>
      <w:r w:rsidRPr="00A26C26">
        <w:rPr>
          <w:rFonts w:cstheme="minorHAnsi"/>
        </w:rPr>
        <w:t>dane</w:t>
      </w:r>
      <w:r w:rsidR="003B50ED">
        <w:rPr>
          <w:rFonts w:cstheme="minorHAnsi"/>
        </w:rPr>
        <w:t xml:space="preserve"> </w:t>
      </w:r>
      <w:r w:rsidRPr="00A26C26">
        <w:rPr>
          <w:rFonts w:cstheme="minorHAnsi"/>
        </w:rPr>
        <w:t>GUS,</w:t>
      </w:r>
      <w:r w:rsidR="003B50ED">
        <w:rPr>
          <w:rFonts w:cstheme="minorHAnsi"/>
        </w:rPr>
        <w:t xml:space="preserve"> </w:t>
      </w:r>
      <w:r w:rsidRPr="00A26C26">
        <w:rPr>
          <w:rFonts w:cstheme="minorHAnsi"/>
        </w:rPr>
        <w:t>liczba</w:t>
      </w:r>
      <w:r w:rsidR="003B50ED">
        <w:rPr>
          <w:rFonts w:cstheme="minorHAnsi"/>
        </w:rPr>
        <w:t xml:space="preserve"> </w:t>
      </w:r>
      <w:r w:rsidRPr="00A26C26">
        <w:rPr>
          <w:rFonts w:cstheme="minorHAnsi"/>
        </w:rPr>
        <w:t>obiektów</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przestrzeni</w:t>
      </w:r>
      <w:r w:rsidR="003B50ED">
        <w:rPr>
          <w:rFonts w:cstheme="minorHAnsi"/>
        </w:rPr>
        <w:t xml:space="preserve"> </w:t>
      </w:r>
      <w:r w:rsidRPr="00A26C26">
        <w:rPr>
          <w:rFonts w:cstheme="minorHAnsi"/>
        </w:rPr>
        <w:t>ostatnich</w:t>
      </w:r>
      <w:r w:rsidR="003B50ED">
        <w:rPr>
          <w:rFonts w:cstheme="minorHAnsi"/>
        </w:rPr>
        <w:t xml:space="preserve"> </w:t>
      </w:r>
      <w:r w:rsidRPr="00A26C26">
        <w:rPr>
          <w:rFonts w:cstheme="minorHAnsi"/>
        </w:rPr>
        <w:t>kilku</w:t>
      </w:r>
      <w:r w:rsidR="003B50ED">
        <w:rPr>
          <w:rFonts w:cstheme="minorHAnsi"/>
        </w:rPr>
        <w:t xml:space="preserve"> </w:t>
      </w:r>
      <w:r w:rsidRPr="00A26C26">
        <w:rPr>
          <w:rFonts w:cstheme="minorHAnsi"/>
        </w:rPr>
        <w:t>lat</w:t>
      </w:r>
      <w:r w:rsidR="003B50ED">
        <w:rPr>
          <w:rFonts w:cstheme="minorHAnsi"/>
        </w:rPr>
        <w:t xml:space="preserve"> </w:t>
      </w:r>
      <w:r w:rsidRPr="00A26C26">
        <w:rPr>
          <w:rFonts w:cstheme="minorHAnsi"/>
        </w:rPr>
        <w:t>nie</w:t>
      </w:r>
      <w:r w:rsidR="003B50ED">
        <w:rPr>
          <w:rFonts w:cstheme="minorHAnsi"/>
        </w:rPr>
        <w:t xml:space="preserve"> </w:t>
      </w:r>
      <w:r w:rsidRPr="00A26C26">
        <w:rPr>
          <w:rFonts w:cstheme="minorHAnsi"/>
        </w:rPr>
        <w:t>uległa</w:t>
      </w:r>
      <w:r w:rsidR="003B50ED">
        <w:rPr>
          <w:rFonts w:cstheme="minorHAnsi"/>
        </w:rPr>
        <w:t xml:space="preserve"> </w:t>
      </w:r>
      <w:r w:rsidRPr="00A26C26">
        <w:rPr>
          <w:rFonts w:cstheme="minorHAnsi"/>
        </w:rPr>
        <w:t>zmniejszeniu</w:t>
      </w:r>
      <w:r w:rsidR="003B50ED">
        <w:rPr>
          <w:rFonts w:cstheme="minorHAnsi"/>
        </w:rPr>
        <w:t xml:space="preserve"> </w:t>
      </w:r>
      <w:r w:rsidRPr="00A26C26">
        <w:rPr>
          <w:rFonts w:cstheme="minorHAnsi"/>
        </w:rPr>
        <w:t>(poza</w:t>
      </w:r>
      <w:r w:rsidR="003B50ED">
        <w:rPr>
          <w:rFonts w:cstheme="minorHAnsi"/>
        </w:rPr>
        <w:t xml:space="preserve"> </w:t>
      </w:r>
      <w:r w:rsidRPr="00A26C26">
        <w:rPr>
          <w:rFonts w:cstheme="minorHAnsi"/>
        </w:rPr>
        <w:t>1</w:t>
      </w:r>
      <w:r w:rsidR="003B50ED">
        <w:rPr>
          <w:rFonts w:cstheme="minorHAnsi"/>
        </w:rPr>
        <w:t xml:space="preserve"> </w:t>
      </w:r>
      <w:r w:rsidRPr="00A26C26">
        <w:rPr>
          <w:rFonts w:cstheme="minorHAnsi"/>
        </w:rPr>
        <w:t>miejscem</w:t>
      </w:r>
      <w:r w:rsidR="003B50ED">
        <w:rPr>
          <w:rFonts w:cstheme="minorHAnsi"/>
        </w:rPr>
        <w:t xml:space="preserve"> </w:t>
      </w:r>
      <w:r w:rsidRPr="00A26C26">
        <w:rPr>
          <w:rFonts w:cstheme="minorHAnsi"/>
        </w:rPr>
        <w:t>wychowania</w:t>
      </w:r>
      <w:r w:rsidR="003B50ED">
        <w:rPr>
          <w:rFonts w:cstheme="minorHAnsi"/>
        </w:rPr>
        <w:t xml:space="preserve"> </w:t>
      </w:r>
      <w:r w:rsidRPr="00A26C26">
        <w:rPr>
          <w:rFonts w:cstheme="minorHAnsi"/>
        </w:rPr>
        <w:t>przedszkolnego).</w:t>
      </w:r>
      <w:r w:rsidR="003B50ED">
        <w:rPr>
          <w:rFonts w:cstheme="minorHAnsi"/>
        </w:rPr>
        <w:t xml:space="preserve"> </w:t>
      </w:r>
      <w:r w:rsidRPr="00A26C26">
        <w:rPr>
          <w:rFonts w:cstheme="minorHAnsi"/>
        </w:rPr>
        <w:t>Na</w:t>
      </w:r>
      <w:r w:rsidR="003B50ED">
        <w:rPr>
          <w:rFonts w:cstheme="minorHAnsi"/>
        </w:rPr>
        <w:t xml:space="preserve"> </w:t>
      </w:r>
      <w:r w:rsidR="00AB742D">
        <w:rPr>
          <w:rFonts w:cstheme="minorHAnsi"/>
        </w:rPr>
        <w:t xml:space="preserve">obszarze objętym LSR </w:t>
      </w:r>
      <w:r w:rsidRPr="00A26C26">
        <w:rPr>
          <w:rFonts w:cstheme="minorHAnsi"/>
        </w:rPr>
        <w:t>funkcjonuje</w:t>
      </w:r>
      <w:r w:rsidR="003B50ED">
        <w:rPr>
          <w:rFonts w:cstheme="minorHAnsi"/>
        </w:rPr>
        <w:t xml:space="preserve"> </w:t>
      </w:r>
      <w:r w:rsidRPr="00A26C26">
        <w:rPr>
          <w:rFonts w:cstheme="minorHAnsi"/>
        </w:rPr>
        <w:t>5</w:t>
      </w:r>
      <w:r w:rsidR="003B50ED">
        <w:rPr>
          <w:rFonts w:cstheme="minorHAnsi"/>
        </w:rPr>
        <w:t xml:space="preserve"> </w:t>
      </w:r>
      <w:r w:rsidRPr="00A26C26">
        <w:rPr>
          <w:rFonts w:cstheme="minorHAnsi"/>
        </w:rPr>
        <w:t>szkół</w:t>
      </w:r>
      <w:r w:rsidR="003B50ED">
        <w:rPr>
          <w:rFonts w:cstheme="minorHAnsi"/>
        </w:rPr>
        <w:t xml:space="preserve"> </w:t>
      </w:r>
      <w:r w:rsidRPr="00285A63">
        <w:rPr>
          <w:rFonts w:cstheme="minorHAnsi"/>
        </w:rPr>
        <w:t>ponadgimnazjalnych,</w:t>
      </w:r>
      <w:r w:rsidR="003B50ED">
        <w:rPr>
          <w:rFonts w:cstheme="minorHAnsi"/>
        </w:rPr>
        <w:t xml:space="preserve"> </w:t>
      </w:r>
      <w:r w:rsidRPr="00A26C26">
        <w:rPr>
          <w:rFonts w:cstheme="minorHAnsi"/>
        </w:rPr>
        <w:t>29</w:t>
      </w:r>
      <w:r w:rsidR="003B50ED">
        <w:rPr>
          <w:rFonts w:cstheme="minorHAnsi"/>
        </w:rPr>
        <w:t xml:space="preserve"> </w:t>
      </w:r>
      <w:r w:rsidRPr="00A26C26">
        <w:rPr>
          <w:rFonts w:cstheme="minorHAnsi"/>
        </w:rPr>
        <w:t>szkół</w:t>
      </w:r>
      <w:r w:rsidR="003B50ED">
        <w:rPr>
          <w:rFonts w:cstheme="minorHAnsi"/>
        </w:rPr>
        <w:t xml:space="preserve"> </w:t>
      </w:r>
      <w:r w:rsidRPr="00A26C26">
        <w:rPr>
          <w:rFonts w:cstheme="minorHAnsi"/>
        </w:rPr>
        <w:t>podstawowych</w:t>
      </w:r>
      <w:r w:rsidR="003B50ED">
        <w:rPr>
          <w:rFonts w:cstheme="minorHAnsi"/>
        </w:rPr>
        <w:t xml:space="preserve"> </w:t>
      </w:r>
      <w:r w:rsidRPr="00A26C26">
        <w:rPr>
          <w:rFonts w:cstheme="minorHAnsi"/>
        </w:rPr>
        <w:t>oraz</w:t>
      </w:r>
      <w:r w:rsidR="003B50ED">
        <w:rPr>
          <w:rFonts w:cstheme="minorHAnsi"/>
        </w:rPr>
        <w:t xml:space="preserve"> </w:t>
      </w:r>
      <w:r w:rsidRPr="00A26C26">
        <w:rPr>
          <w:rFonts w:cstheme="minorHAnsi"/>
        </w:rPr>
        <w:t>35</w:t>
      </w:r>
      <w:r w:rsidR="003B50ED">
        <w:rPr>
          <w:rFonts w:cstheme="minorHAnsi"/>
        </w:rPr>
        <w:t xml:space="preserve"> </w:t>
      </w:r>
      <w:r w:rsidRPr="00A26C26">
        <w:rPr>
          <w:rFonts w:cstheme="minorHAnsi"/>
        </w:rPr>
        <w:t>punktów,</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których</w:t>
      </w:r>
      <w:r w:rsidR="003B50ED">
        <w:rPr>
          <w:rFonts w:cstheme="minorHAnsi"/>
        </w:rPr>
        <w:t xml:space="preserve"> </w:t>
      </w:r>
      <w:r w:rsidRPr="00A26C26">
        <w:rPr>
          <w:rFonts w:cstheme="minorHAnsi"/>
        </w:rPr>
        <w:t>świadczone</w:t>
      </w:r>
      <w:r w:rsidR="003B50ED">
        <w:rPr>
          <w:rFonts w:cstheme="minorHAnsi"/>
        </w:rPr>
        <w:t xml:space="preserve"> </w:t>
      </w:r>
      <w:r w:rsidRPr="00A26C26">
        <w:rPr>
          <w:rFonts w:cstheme="minorHAnsi"/>
        </w:rPr>
        <w:t>jest</w:t>
      </w:r>
      <w:r w:rsidR="003B50ED">
        <w:rPr>
          <w:rFonts w:cstheme="minorHAnsi"/>
        </w:rPr>
        <w:t xml:space="preserve"> </w:t>
      </w:r>
      <w:r w:rsidRPr="00A26C26">
        <w:rPr>
          <w:rFonts w:cstheme="minorHAnsi"/>
        </w:rPr>
        <w:t>wychowanie</w:t>
      </w:r>
      <w:r w:rsidR="003B50ED">
        <w:rPr>
          <w:rFonts w:cstheme="minorHAnsi"/>
        </w:rPr>
        <w:t xml:space="preserve"> </w:t>
      </w:r>
      <w:r w:rsidRPr="00A26C26">
        <w:rPr>
          <w:rFonts w:cstheme="minorHAnsi"/>
        </w:rPr>
        <w:t>przedszkolne</w:t>
      </w:r>
      <w:r w:rsidR="003B50ED">
        <w:rPr>
          <w:rFonts w:cstheme="minorHAnsi"/>
        </w:rPr>
        <w:t xml:space="preserve"> </w:t>
      </w:r>
      <w:r w:rsidRPr="00A26C26">
        <w:rPr>
          <w:rFonts w:cstheme="minorHAnsi"/>
        </w:rPr>
        <w:t>(są</w:t>
      </w:r>
      <w:r w:rsidR="003B50ED">
        <w:rPr>
          <w:rFonts w:cstheme="minorHAnsi"/>
        </w:rPr>
        <w:t xml:space="preserve"> </w:t>
      </w:r>
      <w:r w:rsidRPr="00A26C26">
        <w:rPr>
          <w:rFonts w:cstheme="minorHAnsi"/>
        </w:rPr>
        <w:t>to</w:t>
      </w:r>
      <w:r w:rsidR="003B50ED">
        <w:rPr>
          <w:rFonts w:cstheme="minorHAnsi"/>
        </w:rPr>
        <w:t xml:space="preserve"> </w:t>
      </w:r>
      <w:r w:rsidRPr="00A26C26">
        <w:rPr>
          <w:rFonts w:cstheme="minorHAnsi"/>
        </w:rPr>
        <w:t>zarówno</w:t>
      </w:r>
      <w:r w:rsidR="003B50ED">
        <w:rPr>
          <w:rFonts w:cstheme="minorHAnsi"/>
        </w:rPr>
        <w:t xml:space="preserve"> </w:t>
      </w:r>
      <w:r w:rsidRPr="00A26C26">
        <w:rPr>
          <w:rFonts w:cstheme="minorHAnsi"/>
        </w:rPr>
        <w:t>oddziały</w:t>
      </w:r>
      <w:r w:rsidR="003B50ED">
        <w:rPr>
          <w:rFonts w:cstheme="minorHAnsi"/>
        </w:rPr>
        <w:t xml:space="preserve"> </w:t>
      </w:r>
      <w:r w:rsidRPr="00A26C26">
        <w:rPr>
          <w:rFonts w:cstheme="minorHAnsi"/>
        </w:rPr>
        <w:t>jak</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punkty</w:t>
      </w:r>
      <w:r w:rsidR="003B50ED">
        <w:rPr>
          <w:rFonts w:cstheme="minorHAnsi"/>
        </w:rPr>
        <w:t xml:space="preserve"> </w:t>
      </w:r>
      <w:r w:rsidRPr="00A26C26">
        <w:rPr>
          <w:rFonts w:cstheme="minorHAnsi"/>
        </w:rPr>
        <w:t>przedszkolne).</w:t>
      </w:r>
    </w:p>
    <w:p w14:paraId="3DA59A00" w14:textId="77777777" w:rsidR="00224658" w:rsidRDefault="00224658" w:rsidP="00A26C26">
      <w:pPr>
        <w:spacing w:line="276" w:lineRule="auto"/>
        <w:jc w:val="both"/>
        <w:rPr>
          <w:rFonts w:cstheme="minorHAnsi"/>
        </w:rPr>
      </w:pPr>
    </w:p>
    <w:p w14:paraId="3A1EA14A" w14:textId="77777777" w:rsidR="00AA737D" w:rsidRDefault="00AA737D" w:rsidP="00A26C26">
      <w:pPr>
        <w:spacing w:line="276" w:lineRule="auto"/>
        <w:jc w:val="both"/>
        <w:rPr>
          <w:rFonts w:cstheme="minorHAnsi"/>
        </w:rPr>
      </w:pPr>
    </w:p>
    <w:p w14:paraId="441E6747" w14:textId="77777777" w:rsidR="00AA737D" w:rsidRPr="00A26C26" w:rsidRDefault="00AA737D" w:rsidP="00A26C26">
      <w:pPr>
        <w:spacing w:line="276" w:lineRule="auto"/>
        <w:jc w:val="both"/>
        <w:rPr>
          <w:rFonts w:cstheme="minorHAnsi"/>
        </w:rPr>
      </w:pPr>
    </w:p>
    <w:p w14:paraId="1511C194" w14:textId="773D4727" w:rsidR="00224658" w:rsidRPr="00A26C26" w:rsidRDefault="00224658" w:rsidP="00A26C26">
      <w:pPr>
        <w:spacing w:line="276" w:lineRule="auto"/>
        <w:jc w:val="both"/>
        <w:rPr>
          <w:rFonts w:cstheme="minorHAnsi"/>
        </w:rPr>
      </w:pPr>
      <w:r w:rsidRPr="00A26C26">
        <w:rPr>
          <w:rFonts w:cstheme="minorHAnsi"/>
        </w:rPr>
        <w:t>Tabela</w:t>
      </w:r>
      <w:r w:rsidR="00396A11">
        <w:rPr>
          <w:rFonts w:cstheme="minorHAnsi"/>
        </w:rPr>
        <w:t xml:space="preserve"> nr 2</w:t>
      </w:r>
      <w:r w:rsidR="00203429">
        <w:rPr>
          <w:rFonts w:cstheme="minorHAnsi"/>
        </w:rPr>
        <w:t>7</w:t>
      </w:r>
      <w:r w:rsidR="003B50ED">
        <w:rPr>
          <w:rFonts w:cstheme="minorHAnsi"/>
        </w:rPr>
        <w:t xml:space="preserve"> </w:t>
      </w:r>
      <w:r w:rsidRPr="00285A63">
        <w:rPr>
          <w:rFonts w:cstheme="minorHAnsi"/>
        </w:rPr>
        <w:t>Szkoły</w:t>
      </w:r>
      <w:r w:rsidR="003B50ED" w:rsidRPr="00285A63">
        <w:rPr>
          <w:rFonts w:cstheme="minorHAnsi"/>
        </w:rPr>
        <w:t xml:space="preserve"> </w:t>
      </w:r>
      <w:r w:rsidRPr="00285A63">
        <w:rPr>
          <w:rFonts w:cstheme="minorHAnsi"/>
        </w:rPr>
        <w:t>ponadgimnazjalne</w:t>
      </w:r>
      <w:r w:rsidR="003B50ED">
        <w:rPr>
          <w:rFonts w:cstheme="minorHAnsi"/>
        </w:rPr>
        <w:t xml:space="preserve"> </w:t>
      </w:r>
      <w:r w:rsidRPr="00A26C26">
        <w:rPr>
          <w:rFonts w:cstheme="minorHAnsi"/>
        </w:rPr>
        <w:t>–</w:t>
      </w:r>
      <w:r w:rsidR="003B50ED">
        <w:rPr>
          <w:rFonts w:cstheme="minorHAnsi"/>
        </w:rPr>
        <w:t xml:space="preserve"> </w:t>
      </w:r>
      <w:r w:rsidRPr="00A26C26">
        <w:rPr>
          <w:rFonts w:cstheme="minorHAnsi"/>
        </w:rPr>
        <w:t>łącznie</w:t>
      </w:r>
    </w:p>
    <w:tbl>
      <w:tblPr>
        <w:tblW w:w="10201" w:type="dxa"/>
        <w:tblLayout w:type="fixed"/>
        <w:tblCellMar>
          <w:left w:w="70" w:type="dxa"/>
          <w:right w:w="70" w:type="dxa"/>
        </w:tblCellMar>
        <w:tblLook w:val="04A0" w:firstRow="1" w:lastRow="0" w:firstColumn="1" w:lastColumn="0" w:noHBand="0" w:noVBand="1"/>
      </w:tblPr>
      <w:tblGrid>
        <w:gridCol w:w="1980"/>
        <w:gridCol w:w="1644"/>
        <w:gridCol w:w="1644"/>
        <w:gridCol w:w="1644"/>
        <w:gridCol w:w="1644"/>
        <w:gridCol w:w="1645"/>
      </w:tblGrid>
      <w:tr w:rsidR="00224658" w:rsidRPr="00A26C26" w14:paraId="1DF9683B" w14:textId="77777777" w:rsidTr="007F1E76">
        <w:trPr>
          <w:trHeight w:val="249"/>
        </w:trPr>
        <w:tc>
          <w:tcPr>
            <w:tcW w:w="198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653BFA7E" w14:textId="518E3BE8"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Nazwa</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gminy</w:t>
            </w:r>
            <w:r w:rsidR="003B50ED">
              <w:rPr>
                <w:rFonts w:eastAsia="Times New Roman" w:cstheme="minorHAnsi"/>
                <w:color w:val="000000"/>
                <w:kern w:val="0"/>
                <w:lang w:eastAsia="pl-PL"/>
                <w14:ligatures w14:val="none"/>
              </w:rPr>
              <w:t xml:space="preserve"> </w:t>
            </w:r>
          </w:p>
        </w:tc>
        <w:tc>
          <w:tcPr>
            <w:tcW w:w="1644" w:type="dxa"/>
            <w:tcBorders>
              <w:top w:val="single" w:sz="4" w:space="0" w:color="auto"/>
              <w:left w:val="nil"/>
              <w:bottom w:val="single" w:sz="4" w:space="0" w:color="auto"/>
              <w:right w:val="single" w:sz="4" w:space="0" w:color="auto"/>
            </w:tcBorders>
            <w:shd w:val="clear" w:color="000000" w:fill="DDEBF7"/>
            <w:noWrap/>
            <w:vAlign w:val="bottom"/>
            <w:hideMark/>
          </w:tcPr>
          <w:p w14:paraId="4905A8A9"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2017</w:t>
            </w:r>
          </w:p>
        </w:tc>
        <w:tc>
          <w:tcPr>
            <w:tcW w:w="1644" w:type="dxa"/>
            <w:tcBorders>
              <w:top w:val="single" w:sz="4" w:space="0" w:color="auto"/>
              <w:left w:val="nil"/>
              <w:bottom w:val="single" w:sz="4" w:space="0" w:color="auto"/>
              <w:right w:val="single" w:sz="4" w:space="0" w:color="auto"/>
            </w:tcBorders>
            <w:shd w:val="clear" w:color="000000" w:fill="DDEBF7"/>
            <w:noWrap/>
            <w:vAlign w:val="bottom"/>
            <w:hideMark/>
          </w:tcPr>
          <w:p w14:paraId="79244304"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2018</w:t>
            </w:r>
          </w:p>
        </w:tc>
        <w:tc>
          <w:tcPr>
            <w:tcW w:w="1644" w:type="dxa"/>
            <w:tcBorders>
              <w:top w:val="single" w:sz="4" w:space="0" w:color="auto"/>
              <w:left w:val="nil"/>
              <w:bottom w:val="single" w:sz="4" w:space="0" w:color="auto"/>
              <w:right w:val="single" w:sz="4" w:space="0" w:color="auto"/>
            </w:tcBorders>
            <w:shd w:val="clear" w:color="000000" w:fill="DDEBF7"/>
            <w:noWrap/>
            <w:vAlign w:val="bottom"/>
            <w:hideMark/>
          </w:tcPr>
          <w:p w14:paraId="7F2BF8AB"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2019</w:t>
            </w:r>
          </w:p>
        </w:tc>
        <w:tc>
          <w:tcPr>
            <w:tcW w:w="1644" w:type="dxa"/>
            <w:tcBorders>
              <w:top w:val="single" w:sz="4" w:space="0" w:color="auto"/>
              <w:left w:val="nil"/>
              <w:bottom w:val="single" w:sz="4" w:space="0" w:color="auto"/>
              <w:right w:val="single" w:sz="4" w:space="0" w:color="auto"/>
            </w:tcBorders>
            <w:shd w:val="clear" w:color="000000" w:fill="DDEBF7"/>
            <w:noWrap/>
            <w:vAlign w:val="bottom"/>
            <w:hideMark/>
          </w:tcPr>
          <w:p w14:paraId="54EFC104"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2020</w:t>
            </w:r>
          </w:p>
        </w:tc>
        <w:tc>
          <w:tcPr>
            <w:tcW w:w="1645" w:type="dxa"/>
            <w:tcBorders>
              <w:top w:val="single" w:sz="4" w:space="0" w:color="auto"/>
              <w:left w:val="nil"/>
              <w:bottom w:val="single" w:sz="4" w:space="0" w:color="auto"/>
              <w:right w:val="single" w:sz="4" w:space="0" w:color="auto"/>
            </w:tcBorders>
            <w:shd w:val="clear" w:color="000000" w:fill="DDEBF7"/>
            <w:noWrap/>
            <w:vAlign w:val="bottom"/>
            <w:hideMark/>
          </w:tcPr>
          <w:p w14:paraId="0CCC8AE7"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2021</w:t>
            </w:r>
          </w:p>
        </w:tc>
      </w:tr>
      <w:tr w:rsidR="00224658" w:rsidRPr="00A26C26" w14:paraId="7CAF7A59"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4206EA3"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Rychwał</w:t>
            </w:r>
          </w:p>
        </w:tc>
        <w:tc>
          <w:tcPr>
            <w:tcW w:w="1644" w:type="dxa"/>
            <w:tcBorders>
              <w:top w:val="nil"/>
              <w:left w:val="nil"/>
              <w:bottom w:val="single" w:sz="4" w:space="0" w:color="auto"/>
              <w:right w:val="single" w:sz="4" w:space="0" w:color="auto"/>
            </w:tcBorders>
            <w:shd w:val="clear" w:color="auto" w:fill="auto"/>
            <w:noWrap/>
            <w:vAlign w:val="bottom"/>
            <w:hideMark/>
          </w:tcPr>
          <w:p w14:paraId="6B411677"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w:t>
            </w:r>
          </w:p>
        </w:tc>
        <w:tc>
          <w:tcPr>
            <w:tcW w:w="1644" w:type="dxa"/>
            <w:tcBorders>
              <w:top w:val="nil"/>
              <w:left w:val="nil"/>
              <w:bottom w:val="single" w:sz="4" w:space="0" w:color="auto"/>
              <w:right w:val="single" w:sz="4" w:space="0" w:color="auto"/>
            </w:tcBorders>
            <w:shd w:val="clear" w:color="auto" w:fill="auto"/>
            <w:noWrap/>
            <w:vAlign w:val="bottom"/>
            <w:hideMark/>
          </w:tcPr>
          <w:p w14:paraId="3B07B65C"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w:t>
            </w:r>
          </w:p>
        </w:tc>
        <w:tc>
          <w:tcPr>
            <w:tcW w:w="1644" w:type="dxa"/>
            <w:tcBorders>
              <w:top w:val="nil"/>
              <w:left w:val="nil"/>
              <w:bottom w:val="single" w:sz="4" w:space="0" w:color="auto"/>
              <w:right w:val="single" w:sz="4" w:space="0" w:color="auto"/>
            </w:tcBorders>
            <w:shd w:val="clear" w:color="auto" w:fill="auto"/>
            <w:noWrap/>
            <w:vAlign w:val="bottom"/>
            <w:hideMark/>
          </w:tcPr>
          <w:p w14:paraId="31EBCD40"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w:t>
            </w:r>
          </w:p>
        </w:tc>
        <w:tc>
          <w:tcPr>
            <w:tcW w:w="1644" w:type="dxa"/>
            <w:tcBorders>
              <w:top w:val="nil"/>
              <w:left w:val="nil"/>
              <w:bottom w:val="single" w:sz="4" w:space="0" w:color="auto"/>
              <w:right w:val="single" w:sz="4" w:space="0" w:color="auto"/>
            </w:tcBorders>
            <w:shd w:val="clear" w:color="auto" w:fill="auto"/>
            <w:noWrap/>
            <w:vAlign w:val="bottom"/>
            <w:hideMark/>
          </w:tcPr>
          <w:p w14:paraId="3E2DE452"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w:t>
            </w:r>
          </w:p>
        </w:tc>
        <w:tc>
          <w:tcPr>
            <w:tcW w:w="1645" w:type="dxa"/>
            <w:tcBorders>
              <w:top w:val="nil"/>
              <w:left w:val="nil"/>
              <w:bottom w:val="single" w:sz="4" w:space="0" w:color="auto"/>
              <w:right w:val="single" w:sz="4" w:space="0" w:color="auto"/>
            </w:tcBorders>
            <w:shd w:val="clear" w:color="auto" w:fill="auto"/>
            <w:noWrap/>
            <w:vAlign w:val="bottom"/>
            <w:hideMark/>
          </w:tcPr>
          <w:p w14:paraId="019CEFFD"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w:t>
            </w:r>
          </w:p>
        </w:tc>
      </w:tr>
      <w:tr w:rsidR="00224658" w:rsidRPr="00A26C26" w14:paraId="2033232B"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2F5A66F" w14:textId="1A8361A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Stare</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Miasto</w:t>
            </w:r>
          </w:p>
        </w:tc>
        <w:tc>
          <w:tcPr>
            <w:tcW w:w="1644" w:type="dxa"/>
            <w:tcBorders>
              <w:top w:val="nil"/>
              <w:left w:val="nil"/>
              <w:bottom w:val="single" w:sz="4" w:space="0" w:color="auto"/>
              <w:right w:val="single" w:sz="4" w:space="0" w:color="auto"/>
            </w:tcBorders>
            <w:shd w:val="clear" w:color="auto" w:fill="auto"/>
            <w:noWrap/>
            <w:vAlign w:val="bottom"/>
            <w:hideMark/>
          </w:tcPr>
          <w:p w14:paraId="54FEF0AD"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w:t>
            </w:r>
          </w:p>
        </w:tc>
        <w:tc>
          <w:tcPr>
            <w:tcW w:w="1644" w:type="dxa"/>
            <w:tcBorders>
              <w:top w:val="nil"/>
              <w:left w:val="nil"/>
              <w:bottom w:val="single" w:sz="4" w:space="0" w:color="auto"/>
              <w:right w:val="single" w:sz="4" w:space="0" w:color="auto"/>
            </w:tcBorders>
            <w:shd w:val="clear" w:color="auto" w:fill="auto"/>
            <w:noWrap/>
            <w:vAlign w:val="bottom"/>
            <w:hideMark/>
          </w:tcPr>
          <w:p w14:paraId="5363FC88"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w:t>
            </w:r>
          </w:p>
        </w:tc>
        <w:tc>
          <w:tcPr>
            <w:tcW w:w="1644" w:type="dxa"/>
            <w:tcBorders>
              <w:top w:val="nil"/>
              <w:left w:val="nil"/>
              <w:bottom w:val="single" w:sz="4" w:space="0" w:color="auto"/>
              <w:right w:val="single" w:sz="4" w:space="0" w:color="auto"/>
            </w:tcBorders>
            <w:shd w:val="clear" w:color="auto" w:fill="auto"/>
            <w:noWrap/>
            <w:vAlign w:val="bottom"/>
            <w:hideMark/>
          </w:tcPr>
          <w:p w14:paraId="3DDBC586"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3</w:t>
            </w:r>
          </w:p>
        </w:tc>
        <w:tc>
          <w:tcPr>
            <w:tcW w:w="1644" w:type="dxa"/>
            <w:tcBorders>
              <w:top w:val="nil"/>
              <w:left w:val="nil"/>
              <w:bottom w:val="single" w:sz="4" w:space="0" w:color="auto"/>
              <w:right w:val="single" w:sz="4" w:space="0" w:color="auto"/>
            </w:tcBorders>
            <w:shd w:val="clear" w:color="auto" w:fill="auto"/>
            <w:noWrap/>
            <w:vAlign w:val="bottom"/>
            <w:hideMark/>
          </w:tcPr>
          <w:p w14:paraId="33357089"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3</w:t>
            </w:r>
          </w:p>
        </w:tc>
        <w:tc>
          <w:tcPr>
            <w:tcW w:w="1645" w:type="dxa"/>
            <w:tcBorders>
              <w:top w:val="nil"/>
              <w:left w:val="nil"/>
              <w:bottom w:val="single" w:sz="4" w:space="0" w:color="auto"/>
              <w:right w:val="single" w:sz="4" w:space="0" w:color="auto"/>
            </w:tcBorders>
            <w:shd w:val="clear" w:color="auto" w:fill="auto"/>
            <w:noWrap/>
            <w:vAlign w:val="bottom"/>
            <w:hideMark/>
          </w:tcPr>
          <w:p w14:paraId="242AFCDB"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3</w:t>
            </w:r>
          </w:p>
        </w:tc>
      </w:tr>
      <w:tr w:rsidR="00224658" w:rsidRPr="00A26C26" w14:paraId="1F92DBFC" w14:textId="77777777" w:rsidTr="007F1E76">
        <w:trPr>
          <w:trHeight w:val="249"/>
        </w:trPr>
        <w:tc>
          <w:tcPr>
            <w:tcW w:w="1980" w:type="dxa"/>
            <w:tcBorders>
              <w:top w:val="nil"/>
              <w:left w:val="single" w:sz="4" w:space="0" w:color="auto"/>
              <w:bottom w:val="single" w:sz="4" w:space="0" w:color="auto"/>
              <w:right w:val="single" w:sz="4" w:space="0" w:color="auto"/>
            </w:tcBorders>
            <w:shd w:val="clear" w:color="000000" w:fill="DDEBF7"/>
            <w:vAlign w:val="bottom"/>
            <w:hideMark/>
          </w:tcPr>
          <w:p w14:paraId="64D8F8A5" w14:textId="4434C96D"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Razem</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LGD</w:t>
            </w:r>
          </w:p>
        </w:tc>
        <w:tc>
          <w:tcPr>
            <w:tcW w:w="1644" w:type="dxa"/>
            <w:tcBorders>
              <w:top w:val="nil"/>
              <w:left w:val="nil"/>
              <w:bottom w:val="single" w:sz="4" w:space="0" w:color="auto"/>
              <w:right w:val="single" w:sz="4" w:space="0" w:color="auto"/>
            </w:tcBorders>
            <w:shd w:val="clear" w:color="000000" w:fill="DDEBF7"/>
            <w:noWrap/>
            <w:vAlign w:val="bottom"/>
            <w:hideMark/>
          </w:tcPr>
          <w:p w14:paraId="72C7AB7A"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4</w:t>
            </w:r>
          </w:p>
        </w:tc>
        <w:tc>
          <w:tcPr>
            <w:tcW w:w="1644" w:type="dxa"/>
            <w:tcBorders>
              <w:top w:val="nil"/>
              <w:left w:val="nil"/>
              <w:bottom w:val="single" w:sz="4" w:space="0" w:color="auto"/>
              <w:right w:val="single" w:sz="4" w:space="0" w:color="auto"/>
            </w:tcBorders>
            <w:shd w:val="clear" w:color="000000" w:fill="DDEBF7"/>
            <w:noWrap/>
            <w:vAlign w:val="bottom"/>
            <w:hideMark/>
          </w:tcPr>
          <w:p w14:paraId="710A69D8"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4</w:t>
            </w:r>
          </w:p>
        </w:tc>
        <w:tc>
          <w:tcPr>
            <w:tcW w:w="1644" w:type="dxa"/>
            <w:tcBorders>
              <w:top w:val="nil"/>
              <w:left w:val="nil"/>
              <w:bottom w:val="single" w:sz="4" w:space="0" w:color="auto"/>
              <w:right w:val="single" w:sz="4" w:space="0" w:color="auto"/>
            </w:tcBorders>
            <w:shd w:val="clear" w:color="000000" w:fill="DDEBF7"/>
            <w:noWrap/>
            <w:vAlign w:val="bottom"/>
            <w:hideMark/>
          </w:tcPr>
          <w:p w14:paraId="378B6D7E"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5</w:t>
            </w:r>
          </w:p>
        </w:tc>
        <w:tc>
          <w:tcPr>
            <w:tcW w:w="1644" w:type="dxa"/>
            <w:tcBorders>
              <w:top w:val="nil"/>
              <w:left w:val="nil"/>
              <w:bottom w:val="single" w:sz="4" w:space="0" w:color="auto"/>
              <w:right w:val="single" w:sz="4" w:space="0" w:color="auto"/>
            </w:tcBorders>
            <w:shd w:val="clear" w:color="000000" w:fill="DDEBF7"/>
            <w:noWrap/>
            <w:vAlign w:val="bottom"/>
            <w:hideMark/>
          </w:tcPr>
          <w:p w14:paraId="7AF45582"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5</w:t>
            </w:r>
          </w:p>
        </w:tc>
        <w:tc>
          <w:tcPr>
            <w:tcW w:w="1645" w:type="dxa"/>
            <w:tcBorders>
              <w:top w:val="nil"/>
              <w:left w:val="nil"/>
              <w:bottom w:val="single" w:sz="4" w:space="0" w:color="auto"/>
              <w:right w:val="single" w:sz="4" w:space="0" w:color="auto"/>
            </w:tcBorders>
            <w:shd w:val="clear" w:color="000000" w:fill="DDEBF7"/>
            <w:noWrap/>
            <w:vAlign w:val="bottom"/>
            <w:hideMark/>
          </w:tcPr>
          <w:p w14:paraId="0A815B29"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5</w:t>
            </w:r>
          </w:p>
        </w:tc>
      </w:tr>
    </w:tbl>
    <w:p w14:paraId="600E0CD7" w14:textId="48E00504" w:rsidR="00224658" w:rsidRPr="00A26C26" w:rsidRDefault="00224658" w:rsidP="00A26C26">
      <w:pPr>
        <w:spacing w:line="276" w:lineRule="auto"/>
        <w:rPr>
          <w:rFonts w:cstheme="minorHAnsi"/>
        </w:rPr>
      </w:pPr>
      <w:r w:rsidRPr="00A26C26">
        <w:rPr>
          <w:rFonts w:cstheme="minorHAnsi"/>
        </w:rPr>
        <w:t>Źródło:</w:t>
      </w:r>
      <w:r w:rsidR="003B50ED">
        <w:rPr>
          <w:rFonts w:cstheme="minorHAnsi"/>
        </w:rPr>
        <w:t xml:space="preserve"> </w:t>
      </w:r>
      <w:r w:rsidRPr="00A26C26">
        <w:rPr>
          <w:rFonts w:cstheme="minorHAnsi"/>
        </w:rPr>
        <w:t>GUS,</w:t>
      </w:r>
      <w:r w:rsidR="003B50ED">
        <w:rPr>
          <w:rFonts w:cstheme="minorHAnsi"/>
        </w:rPr>
        <w:t xml:space="preserve"> </w:t>
      </w:r>
      <w:r w:rsidRPr="00A26C26">
        <w:rPr>
          <w:rFonts w:cstheme="minorHAnsi"/>
        </w:rPr>
        <w:t>Bank</w:t>
      </w:r>
      <w:r w:rsidR="003B50ED">
        <w:rPr>
          <w:rFonts w:cstheme="minorHAnsi"/>
        </w:rPr>
        <w:t xml:space="preserve"> </w:t>
      </w:r>
      <w:r w:rsidRPr="00A26C26">
        <w:rPr>
          <w:rFonts w:cstheme="minorHAnsi"/>
        </w:rPr>
        <w:t>Danych</w:t>
      </w:r>
      <w:r w:rsidR="003B50ED">
        <w:rPr>
          <w:rFonts w:cstheme="minorHAnsi"/>
        </w:rPr>
        <w:t xml:space="preserve"> </w:t>
      </w:r>
      <w:r w:rsidRPr="00A26C26">
        <w:rPr>
          <w:rFonts w:cstheme="minorHAnsi"/>
        </w:rPr>
        <w:t>Lokalnych</w:t>
      </w:r>
    </w:p>
    <w:p w14:paraId="160F7A16" w14:textId="77777777" w:rsidR="00224658" w:rsidRPr="00A26C26" w:rsidRDefault="00224658" w:rsidP="00A26C26">
      <w:pPr>
        <w:spacing w:line="276" w:lineRule="auto"/>
        <w:jc w:val="both"/>
        <w:rPr>
          <w:rFonts w:cstheme="minorHAnsi"/>
        </w:rPr>
      </w:pPr>
    </w:p>
    <w:p w14:paraId="6ACB59A2" w14:textId="0FD3A48F" w:rsidR="00224658" w:rsidRPr="00A26C26" w:rsidRDefault="00224658" w:rsidP="00A26C26">
      <w:pPr>
        <w:spacing w:line="276" w:lineRule="auto"/>
        <w:jc w:val="both"/>
        <w:rPr>
          <w:rFonts w:cstheme="minorHAnsi"/>
        </w:rPr>
      </w:pPr>
      <w:r w:rsidRPr="00A26C26">
        <w:rPr>
          <w:rFonts w:cstheme="minorHAnsi"/>
        </w:rPr>
        <w:t>Tabela</w:t>
      </w:r>
      <w:r w:rsidR="00396A11">
        <w:rPr>
          <w:rFonts w:cstheme="minorHAnsi"/>
        </w:rPr>
        <w:t xml:space="preserve"> nr 2</w:t>
      </w:r>
      <w:r w:rsidR="00203429">
        <w:rPr>
          <w:rFonts w:cstheme="minorHAnsi"/>
        </w:rPr>
        <w:t>8</w:t>
      </w:r>
      <w:r w:rsidR="003B50ED">
        <w:rPr>
          <w:rFonts w:cstheme="minorHAnsi"/>
        </w:rPr>
        <w:t xml:space="preserve"> </w:t>
      </w:r>
      <w:r w:rsidRPr="00A26C26">
        <w:rPr>
          <w:rFonts w:cstheme="minorHAnsi"/>
        </w:rPr>
        <w:t>Szkoły</w:t>
      </w:r>
      <w:r w:rsidR="003B50ED">
        <w:rPr>
          <w:rFonts w:cstheme="minorHAnsi"/>
        </w:rPr>
        <w:t xml:space="preserve"> </w:t>
      </w:r>
      <w:r w:rsidRPr="00A26C26">
        <w:rPr>
          <w:rFonts w:cstheme="minorHAnsi"/>
        </w:rPr>
        <w:t>podstawowe.</w:t>
      </w:r>
    </w:p>
    <w:tbl>
      <w:tblPr>
        <w:tblW w:w="10201" w:type="dxa"/>
        <w:tblLayout w:type="fixed"/>
        <w:tblCellMar>
          <w:left w:w="70" w:type="dxa"/>
          <w:right w:w="70" w:type="dxa"/>
        </w:tblCellMar>
        <w:tblLook w:val="04A0" w:firstRow="1" w:lastRow="0" w:firstColumn="1" w:lastColumn="0" w:noHBand="0" w:noVBand="1"/>
      </w:tblPr>
      <w:tblGrid>
        <w:gridCol w:w="1980"/>
        <w:gridCol w:w="1644"/>
        <w:gridCol w:w="1644"/>
        <w:gridCol w:w="1644"/>
        <w:gridCol w:w="1644"/>
        <w:gridCol w:w="1645"/>
      </w:tblGrid>
      <w:tr w:rsidR="00224658" w:rsidRPr="00A26C26" w14:paraId="7B1B31A9" w14:textId="77777777" w:rsidTr="007F1E76">
        <w:trPr>
          <w:trHeight w:val="249"/>
        </w:trPr>
        <w:tc>
          <w:tcPr>
            <w:tcW w:w="198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163A8C2C" w14:textId="674F48F2"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Nazwa</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gminy</w:t>
            </w:r>
            <w:r w:rsidR="003B50ED">
              <w:rPr>
                <w:rFonts w:eastAsia="Times New Roman" w:cstheme="minorHAnsi"/>
                <w:color w:val="000000"/>
                <w:kern w:val="0"/>
                <w:lang w:eastAsia="pl-PL"/>
                <w14:ligatures w14:val="none"/>
              </w:rPr>
              <w:t xml:space="preserve"> </w:t>
            </w:r>
          </w:p>
        </w:tc>
        <w:tc>
          <w:tcPr>
            <w:tcW w:w="1644" w:type="dxa"/>
            <w:tcBorders>
              <w:top w:val="single" w:sz="4" w:space="0" w:color="auto"/>
              <w:left w:val="nil"/>
              <w:bottom w:val="single" w:sz="4" w:space="0" w:color="auto"/>
              <w:right w:val="single" w:sz="4" w:space="0" w:color="auto"/>
            </w:tcBorders>
            <w:shd w:val="clear" w:color="000000" w:fill="DDEBF7"/>
            <w:noWrap/>
            <w:vAlign w:val="bottom"/>
            <w:hideMark/>
          </w:tcPr>
          <w:p w14:paraId="5F203240"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2017</w:t>
            </w:r>
          </w:p>
        </w:tc>
        <w:tc>
          <w:tcPr>
            <w:tcW w:w="1644" w:type="dxa"/>
            <w:tcBorders>
              <w:top w:val="single" w:sz="4" w:space="0" w:color="auto"/>
              <w:left w:val="nil"/>
              <w:bottom w:val="single" w:sz="4" w:space="0" w:color="auto"/>
              <w:right w:val="single" w:sz="4" w:space="0" w:color="auto"/>
            </w:tcBorders>
            <w:shd w:val="clear" w:color="000000" w:fill="DDEBF7"/>
            <w:noWrap/>
            <w:vAlign w:val="bottom"/>
            <w:hideMark/>
          </w:tcPr>
          <w:p w14:paraId="713498EA"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2018</w:t>
            </w:r>
          </w:p>
        </w:tc>
        <w:tc>
          <w:tcPr>
            <w:tcW w:w="1644" w:type="dxa"/>
            <w:tcBorders>
              <w:top w:val="single" w:sz="4" w:space="0" w:color="auto"/>
              <w:left w:val="nil"/>
              <w:bottom w:val="single" w:sz="4" w:space="0" w:color="auto"/>
              <w:right w:val="single" w:sz="4" w:space="0" w:color="auto"/>
            </w:tcBorders>
            <w:shd w:val="clear" w:color="000000" w:fill="DDEBF7"/>
            <w:noWrap/>
            <w:vAlign w:val="bottom"/>
            <w:hideMark/>
          </w:tcPr>
          <w:p w14:paraId="09DB36C8"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2019</w:t>
            </w:r>
          </w:p>
        </w:tc>
        <w:tc>
          <w:tcPr>
            <w:tcW w:w="1644" w:type="dxa"/>
            <w:tcBorders>
              <w:top w:val="single" w:sz="4" w:space="0" w:color="auto"/>
              <w:left w:val="nil"/>
              <w:bottom w:val="single" w:sz="4" w:space="0" w:color="auto"/>
              <w:right w:val="single" w:sz="4" w:space="0" w:color="auto"/>
            </w:tcBorders>
            <w:shd w:val="clear" w:color="000000" w:fill="DDEBF7"/>
            <w:noWrap/>
            <w:vAlign w:val="bottom"/>
            <w:hideMark/>
          </w:tcPr>
          <w:p w14:paraId="39D14E2E"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2020</w:t>
            </w:r>
          </w:p>
        </w:tc>
        <w:tc>
          <w:tcPr>
            <w:tcW w:w="1645" w:type="dxa"/>
            <w:tcBorders>
              <w:top w:val="single" w:sz="4" w:space="0" w:color="auto"/>
              <w:left w:val="nil"/>
              <w:bottom w:val="single" w:sz="4" w:space="0" w:color="auto"/>
              <w:right w:val="single" w:sz="4" w:space="0" w:color="auto"/>
            </w:tcBorders>
            <w:shd w:val="clear" w:color="000000" w:fill="DDEBF7"/>
            <w:noWrap/>
            <w:vAlign w:val="bottom"/>
            <w:hideMark/>
          </w:tcPr>
          <w:p w14:paraId="2DB1050B"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2021</w:t>
            </w:r>
          </w:p>
        </w:tc>
      </w:tr>
      <w:tr w:rsidR="00224658" w:rsidRPr="00A26C26" w14:paraId="300BFF2B"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D4D2936"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Golina</w:t>
            </w:r>
          </w:p>
        </w:tc>
        <w:tc>
          <w:tcPr>
            <w:tcW w:w="1644" w:type="dxa"/>
            <w:tcBorders>
              <w:top w:val="nil"/>
              <w:left w:val="nil"/>
              <w:bottom w:val="single" w:sz="4" w:space="0" w:color="auto"/>
              <w:right w:val="single" w:sz="4" w:space="0" w:color="auto"/>
            </w:tcBorders>
            <w:shd w:val="clear" w:color="auto" w:fill="auto"/>
            <w:noWrap/>
            <w:vAlign w:val="bottom"/>
            <w:hideMark/>
          </w:tcPr>
          <w:p w14:paraId="7432F087"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4</w:t>
            </w:r>
          </w:p>
        </w:tc>
        <w:tc>
          <w:tcPr>
            <w:tcW w:w="1644" w:type="dxa"/>
            <w:tcBorders>
              <w:top w:val="nil"/>
              <w:left w:val="nil"/>
              <w:bottom w:val="single" w:sz="4" w:space="0" w:color="auto"/>
              <w:right w:val="single" w:sz="4" w:space="0" w:color="auto"/>
            </w:tcBorders>
            <w:shd w:val="clear" w:color="auto" w:fill="auto"/>
            <w:noWrap/>
            <w:vAlign w:val="bottom"/>
            <w:hideMark/>
          </w:tcPr>
          <w:p w14:paraId="61426B2B"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4</w:t>
            </w:r>
          </w:p>
        </w:tc>
        <w:tc>
          <w:tcPr>
            <w:tcW w:w="1644" w:type="dxa"/>
            <w:tcBorders>
              <w:top w:val="nil"/>
              <w:left w:val="nil"/>
              <w:bottom w:val="single" w:sz="4" w:space="0" w:color="auto"/>
              <w:right w:val="single" w:sz="4" w:space="0" w:color="auto"/>
            </w:tcBorders>
            <w:shd w:val="clear" w:color="auto" w:fill="auto"/>
            <w:noWrap/>
            <w:vAlign w:val="bottom"/>
            <w:hideMark/>
          </w:tcPr>
          <w:p w14:paraId="4C1641D6"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4</w:t>
            </w:r>
          </w:p>
        </w:tc>
        <w:tc>
          <w:tcPr>
            <w:tcW w:w="1644" w:type="dxa"/>
            <w:tcBorders>
              <w:top w:val="nil"/>
              <w:left w:val="nil"/>
              <w:bottom w:val="single" w:sz="4" w:space="0" w:color="auto"/>
              <w:right w:val="single" w:sz="4" w:space="0" w:color="auto"/>
            </w:tcBorders>
            <w:shd w:val="clear" w:color="auto" w:fill="auto"/>
            <w:noWrap/>
            <w:vAlign w:val="bottom"/>
            <w:hideMark/>
          </w:tcPr>
          <w:p w14:paraId="0CE89A31"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4</w:t>
            </w:r>
          </w:p>
        </w:tc>
        <w:tc>
          <w:tcPr>
            <w:tcW w:w="1645" w:type="dxa"/>
            <w:tcBorders>
              <w:top w:val="nil"/>
              <w:left w:val="nil"/>
              <w:bottom w:val="single" w:sz="4" w:space="0" w:color="auto"/>
              <w:right w:val="single" w:sz="4" w:space="0" w:color="auto"/>
            </w:tcBorders>
            <w:shd w:val="clear" w:color="auto" w:fill="auto"/>
            <w:noWrap/>
            <w:vAlign w:val="bottom"/>
            <w:hideMark/>
          </w:tcPr>
          <w:p w14:paraId="52700F69"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4</w:t>
            </w:r>
          </w:p>
        </w:tc>
      </w:tr>
      <w:tr w:rsidR="00224658" w:rsidRPr="00A26C26" w14:paraId="72AD3126"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748EE29"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Grodziec</w:t>
            </w:r>
          </w:p>
        </w:tc>
        <w:tc>
          <w:tcPr>
            <w:tcW w:w="1644" w:type="dxa"/>
            <w:tcBorders>
              <w:top w:val="nil"/>
              <w:left w:val="nil"/>
              <w:bottom w:val="single" w:sz="4" w:space="0" w:color="auto"/>
              <w:right w:val="single" w:sz="4" w:space="0" w:color="auto"/>
            </w:tcBorders>
            <w:shd w:val="clear" w:color="auto" w:fill="auto"/>
            <w:noWrap/>
            <w:vAlign w:val="bottom"/>
            <w:hideMark/>
          </w:tcPr>
          <w:p w14:paraId="23E5770F"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4</w:t>
            </w:r>
          </w:p>
        </w:tc>
        <w:tc>
          <w:tcPr>
            <w:tcW w:w="1644" w:type="dxa"/>
            <w:tcBorders>
              <w:top w:val="nil"/>
              <w:left w:val="nil"/>
              <w:bottom w:val="single" w:sz="4" w:space="0" w:color="auto"/>
              <w:right w:val="single" w:sz="4" w:space="0" w:color="auto"/>
            </w:tcBorders>
            <w:shd w:val="clear" w:color="auto" w:fill="auto"/>
            <w:noWrap/>
            <w:vAlign w:val="bottom"/>
            <w:hideMark/>
          </w:tcPr>
          <w:p w14:paraId="35153DF6"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4</w:t>
            </w:r>
          </w:p>
        </w:tc>
        <w:tc>
          <w:tcPr>
            <w:tcW w:w="1644" w:type="dxa"/>
            <w:tcBorders>
              <w:top w:val="nil"/>
              <w:left w:val="nil"/>
              <w:bottom w:val="single" w:sz="4" w:space="0" w:color="auto"/>
              <w:right w:val="single" w:sz="4" w:space="0" w:color="auto"/>
            </w:tcBorders>
            <w:shd w:val="clear" w:color="auto" w:fill="auto"/>
            <w:noWrap/>
            <w:vAlign w:val="bottom"/>
            <w:hideMark/>
          </w:tcPr>
          <w:p w14:paraId="0AF6D319"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4</w:t>
            </w:r>
          </w:p>
        </w:tc>
        <w:tc>
          <w:tcPr>
            <w:tcW w:w="1644" w:type="dxa"/>
            <w:tcBorders>
              <w:top w:val="nil"/>
              <w:left w:val="nil"/>
              <w:bottom w:val="single" w:sz="4" w:space="0" w:color="auto"/>
              <w:right w:val="single" w:sz="4" w:space="0" w:color="auto"/>
            </w:tcBorders>
            <w:shd w:val="clear" w:color="auto" w:fill="auto"/>
            <w:noWrap/>
            <w:vAlign w:val="bottom"/>
            <w:hideMark/>
          </w:tcPr>
          <w:p w14:paraId="3A0D198F"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4</w:t>
            </w:r>
          </w:p>
        </w:tc>
        <w:tc>
          <w:tcPr>
            <w:tcW w:w="1645" w:type="dxa"/>
            <w:tcBorders>
              <w:top w:val="nil"/>
              <w:left w:val="nil"/>
              <w:bottom w:val="single" w:sz="4" w:space="0" w:color="auto"/>
              <w:right w:val="single" w:sz="4" w:space="0" w:color="auto"/>
            </w:tcBorders>
            <w:shd w:val="clear" w:color="auto" w:fill="auto"/>
            <w:noWrap/>
            <w:vAlign w:val="bottom"/>
            <w:hideMark/>
          </w:tcPr>
          <w:p w14:paraId="239A54A0"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4</w:t>
            </w:r>
          </w:p>
        </w:tc>
      </w:tr>
      <w:tr w:rsidR="00224658" w:rsidRPr="00A26C26" w14:paraId="6FB68EDE"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9437364"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Rychwał</w:t>
            </w:r>
          </w:p>
        </w:tc>
        <w:tc>
          <w:tcPr>
            <w:tcW w:w="1644" w:type="dxa"/>
            <w:tcBorders>
              <w:top w:val="nil"/>
              <w:left w:val="nil"/>
              <w:bottom w:val="single" w:sz="4" w:space="0" w:color="auto"/>
              <w:right w:val="single" w:sz="4" w:space="0" w:color="auto"/>
            </w:tcBorders>
            <w:shd w:val="clear" w:color="auto" w:fill="auto"/>
            <w:noWrap/>
            <w:vAlign w:val="bottom"/>
            <w:hideMark/>
          </w:tcPr>
          <w:p w14:paraId="2BAEB572"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7</w:t>
            </w:r>
          </w:p>
        </w:tc>
        <w:tc>
          <w:tcPr>
            <w:tcW w:w="1644" w:type="dxa"/>
            <w:tcBorders>
              <w:top w:val="nil"/>
              <w:left w:val="nil"/>
              <w:bottom w:val="single" w:sz="4" w:space="0" w:color="auto"/>
              <w:right w:val="single" w:sz="4" w:space="0" w:color="auto"/>
            </w:tcBorders>
            <w:shd w:val="clear" w:color="auto" w:fill="auto"/>
            <w:noWrap/>
            <w:vAlign w:val="bottom"/>
            <w:hideMark/>
          </w:tcPr>
          <w:p w14:paraId="6873A277"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7</w:t>
            </w:r>
          </w:p>
        </w:tc>
        <w:tc>
          <w:tcPr>
            <w:tcW w:w="1644" w:type="dxa"/>
            <w:tcBorders>
              <w:top w:val="nil"/>
              <w:left w:val="nil"/>
              <w:bottom w:val="single" w:sz="4" w:space="0" w:color="auto"/>
              <w:right w:val="single" w:sz="4" w:space="0" w:color="auto"/>
            </w:tcBorders>
            <w:shd w:val="clear" w:color="auto" w:fill="auto"/>
            <w:noWrap/>
            <w:vAlign w:val="bottom"/>
            <w:hideMark/>
          </w:tcPr>
          <w:p w14:paraId="372C9715"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7</w:t>
            </w:r>
          </w:p>
        </w:tc>
        <w:tc>
          <w:tcPr>
            <w:tcW w:w="1644" w:type="dxa"/>
            <w:tcBorders>
              <w:top w:val="nil"/>
              <w:left w:val="nil"/>
              <w:bottom w:val="single" w:sz="4" w:space="0" w:color="auto"/>
              <w:right w:val="single" w:sz="4" w:space="0" w:color="auto"/>
            </w:tcBorders>
            <w:shd w:val="clear" w:color="auto" w:fill="auto"/>
            <w:noWrap/>
            <w:vAlign w:val="bottom"/>
            <w:hideMark/>
          </w:tcPr>
          <w:p w14:paraId="44ACD107"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7</w:t>
            </w:r>
          </w:p>
        </w:tc>
        <w:tc>
          <w:tcPr>
            <w:tcW w:w="1645" w:type="dxa"/>
            <w:tcBorders>
              <w:top w:val="nil"/>
              <w:left w:val="nil"/>
              <w:bottom w:val="single" w:sz="4" w:space="0" w:color="auto"/>
              <w:right w:val="single" w:sz="4" w:space="0" w:color="auto"/>
            </w:tcBorders>
            <w:shd w:val="clear" w:color="auto" w:fill="auto"/>
            <w:noWrap/>
            <w:vAlign w:val="bottom"/>
            <w:hideMark/>
          </w:tcPr>
          <w:p w14:paraId="34DBCF90"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7</w:t>
            </w:r>
          </w:p>
        </w:tc>
      </w:tr>
      <w:tr w:rsidR="00224658" w:rsidRPr="00A26C26" w14:paraId="3802232E"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993C665"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Rzgów</w:t>
            </w:r>
          </w:p>
        </w:tc>
        <w:tc>
          <w:tcPr>
            <w:tcW w:w="1644" w:type="dxa"/>
            <w:tcBorders>
              <w:top w:val="nil"/>
              <w:left w:val="nil"/>
              <w:bottom w:val="single" w:sz="4" w:space="0" w:color="auto"/>
              <w:right w:val="single" w:sz="4" w:space="0" w:color="auto"/>
            </w:tcBorders>
            <w:shd w:val="clear" w:color="auto" w:fill="auto"/>
            <w:noWrap/>
            <w:vAlign w:val="bottom"/>
            <w:hideMark/>
          </w:tcPr>
          <w:p w14:paraId="452EF253"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4</w:t>
            </w:r>
          </w:p>
        </w:tc>
        <w:tc>
          <w:tcPr>
            <w:tcW w:w="1644" w:type="dxa"/>
            <w:tcBorders>
              <w:top w:val="nil"/>
              <w:left w:val="nil"/>
              <w:bottom w:val="single" w:sz="4" w:space="0" w:color="auto"/>
              <w:right w:val="single" w:sz="4" w:space="0" w:color="auto"/>
            </w:tcBorders>
            <w:shd w:val="clear" w:color="auto" w:fill="auto"/>
            <w:noWrap/>
            <w:vAlign w:val="bottom"/>
            <w:hideMark/>
          </w:tcPr>
          <w:p w14:paraId="351327A1"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4</w:t>
            </w:r>
          </w:p>
        </w:tc>
        <w:tc>
          <w:tcPr>
            <w:tcW w:w="1644" w:type="dxa"/>
            <w:tcBorders>
              <w:top w:val="nil"/>
              <w:left w:val="nil"/>
              <w:bottom w:val="single" w:sz="4" w:space="0" w:color="auto"/>
              <w:right w:val="single" w:sz="4" w:space="0" w:color="auto"/>
            </w:tcBorders>
            <w:shd w:val="clear" w:color="auto" w:fill="auto"/>
            <w:noWrap/>
            <w:vAlign w:val="bottom"/>
            <w:hideMark/>
          </w:tcPr>
          <w:p w14:paraId="3AE41E49"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4</w:t>
            </w:r>
          </w:p>
        </w:tc>
        <w:tc>
          <w:tcPr>
            <w:tcW w:w="1644" w:type="dxa"/>
            <w:tcBorders>
              <w:top w:val="nil"/>
              <w:left w:val="nil"/>
              <w:bottom w:val="single" w:sz="4" w:space="0" w:color="auto"/>
              <w:right w:val="single" w:sz="4" w:space="0" w:color="auto"/>
            </w:tcBorders>
            <w:shd w:val="clear" w:color="auto" w:fill="auto"/>
            <w:noWrap/>
            <w:vAlign w:val="bottom"/>
            <w:hideMark/>
          </w:tcPr>
          <w:p w14:paraId="5C6AA558"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4</w:t>
            </w:r>
          </w:p>
        </w:tc>
        <w:tc>
          <w:tcPr>
            <w:tcW w:w="1645" w:type="dxa"/>
            <w:tcBorders>
              <w:top w:val="nil"/>
              <w:left w:val="nil"/>
              <w:bottom w:val="single" w:sz="4" w:space="0" w:color="auto"/>
              <w:right w:val="single" w:sz="4" w:space="0" w:color="auto"/>
            </w:tcBorders>
            <w:shd w:val="clear" w:color="auto" w:fill="auto"/>
            <w:noWrap/>
            <w:vAlign w:val="bottom"/>
            <w:hideMark/>
          </w:tcPr>
          <w:p w14:paraId="0255FE1C"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4</w:t>
            </w:r>
          </w:p>
        </w:tc>
      </w:tr>
      <w:tr w:rsidR="00224658" w:rsidRPr="00A26C26" w14:paraId="25934DE2"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50C7F98" w14:textId="25FE5489"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Stare</w:t>
            </w:r>
            <w:r w:rsidR="003B50ED">
              <w:rPr>
                <w:rFonts w:eastAsia="Times New Roman" w:cstheme="minorHAnsi"/>
                <w:color w:val="000000"/>
                <w:kern w:val="0"/>
                <w:lang w:eastAsia="pl-PL"/>
                <w14:ligatures w14:val="none"/>
              </w:rPr>
              <w:t xml:space="preserve"> </w:t>
            </w:r>
            <w:r w:rsidRPr="00A26C26">
              <w:rPr>
                <w:rFonts w:eastAsia="Times New Roman" w:cstheme="minorHAnsi"/>
                <w:color w:val="000000"/>
                <w:kern w:val="0"/>
                <w:lang w:eastAsia="pl-PL"/>
                <w14:ligatures w14:val="none"/>
              </w:rPr>
              <w:t>Miasto</w:t>
            </w:r>
          </w:p>
        </w:tc>
        <w:tc>
          <w:tcPr>
            <w:tcW w:w="1644" w:type="dxa"/>
            <w:tcBorders>
              <w:top w:val="nil"/>
              <w:left w:val="nil"/>
              <w:bottom w:val="single" w:sz="4" w:space="0" w:color="auto"/>
              <w:right w:val="single" w:sz="4" w:space="0" w:color="auto"/>
            </w:tcBorders>
            <w:shd w:val="clear" w:color="auto" w:fill="auto"/>
            <w:noWrap/>
            <w:vAlign w:val="bottom"/>
            <w:hideMark/>
          </w:tcPr>
          <w:p w14:paraId="0B87B992"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6</w:t>
            </w:r>
          </w:p>
        </w:tc>
        <w:tc>
          <w:tcPr>
            <w:tcW w:w="1644" w:type="dxa"/>
            <w:tcBorders>
              <w:top w:val="nil"/>
              <w:left w:val="nil"/>
              <w:bottom w:val="single" w:sz="4" w:space="0" w:color="auto"/>
              <w:right w:val="single" w:sz="4" w:space="0" w:color="auto"/>
            </w:tcBorders>
            <w:shd w:val="clear" w:color="auto" w:fill="auto"/>
            <w:noWrap/>
            <w:vAlign w:val="bottom"/>
            <w:hideMark/>
          </w:tcPr>
          <w:p w14:paraId="70E6D739"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6</w:t>
            </w:r>
          </w:p>
        </w:tc>
        <w:tc>
          <w:tcPr>
            <w:tcW w:w="1644" w:type="dxa"/>
            <w:tcBorders>
              <w:top w:val="nil"/>
              <w:left w:val="nil"/>
              <w:bottom w:val="single" w:sz="4" w:space="0" w:color="auto"/>
              <w:right w:val="single" w:sz="4" w:space="0" w:color="auto"/>
            </w:tcBorders>
            <w:shd w:val="clear" w:color="auto" w:fill="auto"/>
            <w:noWrap/>
            <w:vAlign w:val="bottom"/>
            <w:hideMark/>
          </w:tcPr>
          <w:p w14:paraId="62DBA6F5"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6</w:t>
            </w:r>
          </w:p>
        </w:tc>
        <w:tc>
          <w:tcPr>
            <w:tcW w:w="1644" w:type="dxa"/>
            <w:tcBorders>
              <w:top w:val="nil"/>
              <w:left w:val="nil"/>
              <w:bottom w:val="single" w:sz="4" w:space="0" w:color="auto"/>
              <w:right w:val="single" w:sz="4" w:space="0" w:color="auto"/>
            </w:tcBorders>
            <w:shd w:val="clear" w:color="auto" w:fill="auto"/>
            <w:noWrap/>
            <w:vAlign w:val="bottom"/>
            <w:hideMark/>
          </w:tcPr>
          <w:p w14:paraId="1FA0EB95"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6</w:t>
            </w:r>
          </w:p>
        </w:tc>
        <w:tc>
          <w:tcPr>
            <w:tcW w:w="1645" w:type="dxa"/>
            <w:tcBorders>
              <w:top w:val="nil"/>
              <w:left w:val="nil"/>
              <w:bottom w:val="single" w:sz="4" w:space="0" w:color="auto"/>
              <w:right w:val="single" w:sz="4" w:space="0" w:color="auto"/>
            </w:tcBorders>
            <w:shd w:val="clear" w:color="auto" w:fill="auto"/>
            <w:noWrap/>
            <w:vAlign w:val="bottom"/>
            <w:hideMark/>
          </w:tcPr>
          <w:p w14:paraId="7B7A8027"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6</w:t>
            </w:r>
          </w:p>
        </w:tc>
      </w:tr>
      <w:tr w:rsidR="00224658" w:rsidRPr="00A26C26" w14:paraId="3C4DED45"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F1F985E" w14:textId="77777777" w:rsidR="00224658" w:rsidRPr="00A26C26" w:rsidRDefault="00224658" w:rsidP="00A26C26">
            <w:pPr>
              <w:spacing w:line="276" w:lineRule="auto"/>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Tuliszków</w:t>
            </w:r>
          </w:p>
        </w:tc>
        <w:tc>
          <w:tcPr>
            <w:tcW w:w="1644" w:type="dxa"/>
            <w:tcBorders>
              <w:top w:val="nil"/>
              <w:left w:val="nil"/>
              <w:bottom w:val="single" w:sz="4" w:space="0" w:color="auto"/>
              <w:right w:val="single" w:sz="4" w:space="0" w:color="auto"/>
            </w:tcBorders>
            <w:shd w:val="clear" w:color="auto" w:fill="auto"/>
            <w:noWrap/>
            <w:vAlign w:val="bottom"/>
            <w:hideMark/>
          </w:tcPr>
          <w:p w14:paraId="1A2509A5"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4</w:t>
            </w:r>
          </w:p>
        </w:tc>
        <w:tc>
          <w:tcPr>
            <w:tcW w:w="1644" w:type="dxa"/>
            <w:tcBorders>
              <w:top w:val="nil"/>
              <w:left w:val="nil"/>
              <w:bottom w:val="single" w:sz="4" w:space="0" w:color="auto"/>
              <w:right w:val="single" w:sz="4" w:space="0" w:color="auto"/>
            </w:tcBorders>
            <w:shd w:val="clear" w:color="auto" w:fill="auto"/>
            <w:noWrap/>
            <w:vAlign w:val="bottom"/>
            <w:hideMark/>
          </w:tcPr>
          <w:p w14:paraId="19EFBAF6"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4</w:t>
            </w:r>
          </w:p>
        </w:tc>
        <w:tc>
          <w:tcPr>
            <w:tcW w:w="1644" w:type="dxa"/>
            <w:tcBorders>
              <w:top w:val="nil"/>
              <w:left w:val="nil"/>
              <w:bottom w:val="single" w:sz="4" w:space="0" w:color="auto"/>
              <w:right w:val="single" w:sz="4" w:space="0" w:color="auto"/>
            </w:tcBorders>
            <w:shd w:val="clear" w:color="auto" w:fill="auto"/>
            <w:noWrap/>
            <w:vAlign w:val="bottom"/>
            <w:hideMark/>
          </w:tcPr>
          <w:p w14:paraId="1CE435CD"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4</w:t>
            </w:r>
          </w:p>
        </w:tc>
        <w:tc>
          <w:tcPr>
            <w:tcW w:w="1644" w:type="dxa"/>
            <w:tcBorders>
              <w:top w:val="nil"/>
              <w:left w:val="nil"/>
              <w:bottom w:val="single" w:sz="4" w:space="0" w:color="auto"/>
              <w:right w:val="single" w:sz="4" w:space="0" w:color="auto"/>
            </w:tcBorders>
            <w:shd w:val="clear" w:color="auto" w:fill="auto"/>
            <w:noWrap/>
            <w:vAlign w:val="bottom"/>
            <w:hideMark/>
          </w:tcPr>
          <w:p w14:paraId="79F0C96B"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4</w:t>
            </w:r>
          </w:p>
        </w:tc>
        <w:tc>
          <w:tcPr>
            <w:tcW w:w="1645" w:type="dxa"/>
            <w:tcBorders>
              <w:top w:val="nil"/>
              <w:left w:val="nil"/>
              <w:bottom w:val="single" w:sz="4" w:space="0" w:color="auto"/>
              <w:right w:val="single" w:sz="4" w:space="0" w:color="auto"/>
            </w:tcBorders>
            <w:shd w:val="clear" w:color="auto" w:fill="auto"/>
            <w:noWrap/>
            <w:vAlign w:val="bottom"/>
            <w:hideMark/>
          </w:tcPr>
          <w:p w14:paraId="256C06CF"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4</w:t>
            </w:r>
          </w:p>
        </w:tc>
      </w:tr>
      <w:tr w:rsidR="00224658" w:rsidRPr="00A26C26" w14:paraId="2F66EDD5"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DEEAF6" w:themeFill="accent5" w:themeFillTint="33"/>
            <w:vAlign w:val="bottom"/>
            <w:hideMark/>
          </w:tcPr>
          <w:p w14:paraId="14944124" w14:textId="283152B1" w:rsidR="00224658" w:rsidRPr="00A26C26" w:rsidRDefault="003B50ED" w:rsidP="00A26C26">
            <w:pPr>
              <w:spacing w:line="276" w:lineRule="auto"/>
              <w:rPr>
                <w:rFonts w:eastAsia="Times New Roman" w:cstheme="minorHAnsi"/>
                <w:color w:val="000000"/>
                <w:kern w:val="0"/>
                <w:lang w:eastAsia="pl-PL"/>
                <w14:ligatures w14:val="none"/>
              </w:rPr>
            </w:pPr>
            <w:r>
              <w:rPr>
                <w:rFonts w:eastAsia="Times New Roman" w:cstheme="minorHAnsi"/>
                <w:color w:val="000000"/>
                <w:kern w:val="0"/>
                <w:lang w:eastAsia="pl-PL"/>
                <w14:ligatures w14:val="none"/>
              </w:rPr>
              <w:t xml:space="preserve"> </w:t>
            </w:r>
            <w:r w:rsidR="00224658" w:rsidRPr="00A26C26">
              <w:rPr>
                <w:rFonts w:eastAsia="Times New Roman" w:cstheme="minorHAnsi"/>
                <w:color w:val="000000"/>
                <w:kern w:val="0"/>
                <w:lang w:eastAsia="pl-PL"/>
                <w14:ligatures w14:val="none"/>
              </w:rPr>
              <w:t>Razem</w:t>
            </w:r>
            <w:r>
              <w:rPr>
                <w:rFonts w:eastAsia="Times New Roman" w:cstheme="minorHAnsi"/>
                <w:color w:val="000000"/>
                <w:kern w:val="0"/>
                <w:lang w:eastAsia="pl-PL"/>
                <w14:ligatures w14:val="none"/>
              </w:rPr>
              <w:t xml:space="preserve"> </w:t>
            </w:r>
            <w:r w:rsidR="00224658" w:rsidRPr="00A26C26">
              <w:rPr>
                <w:rFonts w:eastAsia="Times New Roman" w:cstheme="minorHAnsi"/>
                <w:color w:val="000000"/>
                <w:kern w:val="0"/>
                <w:lang w:eastAsia="pl-PL"/>
                <w14:ligatures w14:val="none"/>
              </w:rPr>
              <w:t>LGD</w:t>
            </w:r>
          </w:p>
        </w:tc>
        <w:tc>
          <w:tcPr>
            <w:tcW w:w="1644" w:type="dxa"/>
            <w:tcBorders>
              <w:top w:val="nil"/>
              <w:left w:val="nil"/>
              <w:bottom w:val="single" w:sz="4" w:space="0" w:color="auto"/>
              <w:right w:val="single" w:sz="4" w:space="0" w:color="auto"/>
            </w:tcBorders>
            <w:shd w:val="clear" w:color="000000" w:fill="DDEBF7"/>
            <w:noWrap/>
            <w:vAlign w:val="bottom"/>
            <w:hideMark/>
          </w:tcPr>
          <w:p w14:paraId="1693CA16"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29</w:t>
            </w:r>
          </w:p>
        </w:tc>
        <w:tc>
          <w:tcPr>
            <w:tcW w:w="1644" w:type="dxa"/>
            <w:tcBorders>
              <w:top w:val="nil"/>
              <w:left w:val="nil"/>
              <w:bottom w:val="single" w:sz="4" w:space="0" w:color="auto"/>
              <w:right w:val="single" w:sz="4" w:space="0" w:color="auto"/>
            </w:tcBorders>
            <w:shd w:val="clear" w:color="000000" w:fill="DDEBF7"/>
            <w:noWrap/>
            <w:vAlign w:val="bottom"/>
            <w:hideMark/>
          </w:tcPr>
          <w:p w14:paraId="3EBC76D3"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29</w:t>
            </w:r>
          </w:p>
        </w:tc>
        <w:tc>
          <w:tcPr>
            <w:tcW w:w="1644" w:type="dxa"/>
            <w:tcBorders>
              <w:top w:val="nil"/>
              <w:left w:val="nil"/>
              <w:bottom w:val="single" w:sz="4" w:space="0" w:color="auto"/>
              <w:right w:val="single" w:sz="4" w:space="0" w:color="auto"/>
            </w:tcBorders>
            <w:shd w:val="clear" w:color="000000" w:fill="DDEBF7"/>
            <w:noWrap/>
            <w:vAlign w:val="bottom"/>
            <w:hideMark/>
          </w:tcPr>
          <w:p w14:paraId="5F274568"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29</w:t>
            </w:r>
          </w:p>
        </w:tc>
        <w:tc>
          <w:tcPr>
            <w:tcW w:w="1644" w:type="dxa"/>
            <w:tcBorders>
              <w:top w:val="nil"/>
              <w:left w:val="nil"/>
              <w:bottom w:val="single" w:sz="4" w:space="0" w:color="auto"/>
              <w:right w:val="single" w:sz="4" w:space="0" w:color="auto"/>
            </w:tcBorders>
            <w:shd w:val="clear" w:color="000000" w:fill="DDEBF7"/>
            <w:noWrap/>
            <w:vAlign w:val="bottom"/>
            <w:hideMark/>
          </w:tcPr>
          <w:p w14:paraId="009E8EF0"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29</w:t>
            </w:r>
          </w:p>
        </w:tc>
        <w:tc>
          <w:tcPr>
            <w:tcW w:w="1645" w:type="dxa"/>
            <w:tcBorders>
              <w:top w:val="nil"/>
              <w:left w:val="nil"/>
              <w:bottom w:val="single" w:sz="4" w:space="0" w:color="auto"/>
              <w:right w:val="single" w:sz="4" w:space="0" w:color="auto"/>
            </w:tcBorders>
            <w:shd w:val="clear" w:color="000000" w:fill="DDEBF7"/>
            <w:noWrap/>
            <w:vAlign w:val="bottom"/>
            <w:hideMark/>
          </w:tcPr>
          <w:p w14:paraId="5DDE2CBB" w14:textId="77777777" w:rsidR="00224658" w:rsidRPr="00A26C26" w:rsidRDefault="00224658" w:rsidP="00A26C26">
            <w:pPr>
              <w:spacing w:line="276" w:lineRule="auto"/>
              <w:jc w:val="right"/>
              <w:rPr>
                <w:rFonts w:eastAsia="Times New Roman" w:cstheme="minorHAnsi"/>
                <w:color w:val="000000"/>
                <w:kern w:val="0"/>
                <w:lang w:eastAsia="pl-PL"/>
                <w14:ligatures w14:val="none"/>
              </w:rPr>
            </w:pPr>
            <w:r w:rsidRPr="00A26C26">
              <w:rPr>
                <w:rFonts w:eastAsia="Times New Roman" w:cstheme="minorHAnsi"/>
                <w:color w:val="000000"/>
                <w:kern w:val="0"/>
                <w:lang w:eastAsia="pl-PL"/>
                <w14:ligatures w14:val="none"/>
              </w:rPr>
              <w:t>29</w:t>
            </w:r>
          </w:p>
        </w:tc>
      </w:tr>
    </w:tbl>
    <w:p w14:paraId="1ABED8E7" w14:textId="1F7F81A2" w:rsidR="00224658" w:rsidRPr="00A26C26" w:rsidRDefault="00224658" w:rsidP="00A26C26">
      <w:pPr>
        <w:spacing w:line="276" w:lineRule="auto"/>
        <w:rPr>
          <w:rFonts w:cstheme="minorHAnsi"/>
        </w:rPr>
      </w:pPr>
      <w:r w:rsidRPr="00A26C26">
        <w:rPr>
          <w:rFonts w:cstheme="minorHAnsi"/>
        </w:rPr>
        <w:t>Źródło:</w:t>
      </w:r>
      <w:r w:rsidR="003B50ED">
        <w:rPr>
          <w:rFonts w:cstheme="minorHAnsi"/>
        </w:rPr>
        <w:t xml:space="preserve"> </w:t>
      </w:r>
      <w:r w:rsidRPr="00A26C26">
        <w:rPr>
          <w:rFonts w:cstheme="minorHAnsi"/>
        </w:rPr>
        <w:t>GUS,</w:t>
      </w:r>
      <w:r w:rsidR="003B50ED">
        <w:rPr>
          <w:rFonts w:cstheme="minorHAnsi"/>
        </w:rPr>
        <w:t xml:space="preserve"> </w:t>
      </w:r>
      <w:r w:rsidRPr="00A26C26">
        <w:rPr>
          <w:rFonts w:cstheme="minorHAnsi"/>
        </w:rPr>
        <w:t>Bank</w:t>
      </w:r>
      <w:r w:rsidR="003B50ED">
        <w:rPr>
          <w:rFonts w:cstheme="minorHAnsi"/>
        </w:rPr>
        <w:t xml:space="preserve"> </w:t>
      </w:r>
      <w:r w:rsidRPr="00A26C26">
        <w:rPr>
          <w:rFonts w:cstheme="minorHAnsi"/>
        </w:rPr>
        <w:t>Danych</w:t>
      </w:r>
      <w:r w:rsidR="003B50ED">
        <w:rPr>
          <w:rFonts w:cstheme="minorHAnsi"/>
        </w:rPr>
        <w:t xml:space="preserve"> </w:t>
      </w:r>
      <w:r w:rsidRPr="00A26C26">
        <w:rPr>
          <w:rFonts w:cstheme="minorHAnsi"/>
        </w:rPr>
        <w:t>Lokalnych</w:t>
      </w:r>
    </w:p>
    <w:p w14:paraId="2693C533" w14:textId="77777777" w:rsidR="00224658" w:rsidRPr="00A26C26" w:rsidRDefault="00224658" w:rsidP="00A26C26">
      <w:pPr>
        <w:spacing w:line="276" w:lineRule="auto"/>
        <w:rPr>
          <w:rFonts w:cstheme="minorHAnsi"/>
        </w:rPr>
      </w:pPr>
    </w:p>
    <w:p w14:paraId="0E01009C" w14:textId="5844A129" w:rsidR="00224658" w:rsidRPr="00A26C26" w:rsidRDefault="00224658" w:rsidP="00A26C26">
      <w:pPr>
        <w:spacing w:line="276" w:lineRule="auto"/>
        <w:jc w:val="both"/>
        <w:rPr>
          <w:rFonts w:cstheme="minorHAnsi"/>
        </w:rPr>
      </w:pPr>
      <w:r w:rsidRPr="00A26C26">
        <w:rPr>
          <w:rFonts w:cstheme="minorHAnsi"/>
        </w:rPr>
        <w:t>Tabela</w:t>
      </w:r>
      <w:r w:rsidR="00396A11">
        <w:rPr>
          <w:rFonts w:cstheme="minorHAnsi"/>
        </w:rPr>
        <w:t xml:space="preserve"> nr </w:t>
      </w:r>
      <w:r w:rsidR="00203429">
        <w:rPr>
          <w:rFonts w:cstheme="minorHAnsi"/>
        </w:rPr>
        <w:t>29</w:t>
      </w:r>
      <w:r w:rsidR="003B50ED">
        <w:rPr>
          <w:rFonts w:cstheme="minorHAnsi"/>
        </w:rPr>
        <w:t xml:space="preserve"> </w:t>
      </w:r>
      <w:r w:rsidRPr="00A26C26">
        <w:rPr>
          <w:rFonts w:cstheme="minorHAnsi"/>
        </w:rPr>
        <w:t>Wychowanie</w:t>
      </w:r>
      <w:r w:rsidR="003B50ED">
        <w:rPr>
          <w:rFonts w:cstheme="minorHAnsi"/>
        </w:rPr>
        <w:t xml:space="preserve"> </w:t>
      </w:r>
      <w:r w:rsidRPr="00A26C26">
        <w:rPr>
          <w:rFonts w:cstheme="minorHAnsi"/>
        </w:rPr>
        <w:t>przedszkolne</w:t>
      </w:r>
      <w:r w:rsidR="003B50ED">
        <w:rPr>
          <w:rFonts w:cstheme="minorHAnsi"/>
        </w:rPr>
        <w:t xml:space="preserve"> </w:t>
      </w:r>
      <w:r w:rsidRPr="00A26C26">
        <w:rPr>
          <w:rFonts w:cstheme="minorHAnsi"/>
        </w:rPr>
        <w:t>-</w:t>
      </w:r>
      <w:r w:rsidR="003B50ED">
        <w:rPr>
          <w:rFonts w:cstheme="minorHAnsi"/>
        </w:rPr>
        <w:t xml:space="preserve"> </w:t>
      </w:r>
      <w:r w:rsidRPr="00A26C26">
        <w:rPr>
          <w:rFonts w:cstheme="minorHAnsi"/>
        </w:rPr>
        <w:t>razem.</w:t>
      </w:r>
    </w:p>
    <w:tbl>
      <w:tblPr>
        <w:tblW w:w="10201" w:type="dxa"/>
        <w:tblLayout w:type="fixed"/>
        <w:tblCellMar>
          <w:left w:w="0" w:type="dxa"/>
          <w:right w:w="0" w:type="dxa"/>
        </w:tblCellMar>
        <w:tblLook w:val="04A0" w:firstRow="1" w:lastRow="0" w:firstColumn="1" w:lastColumn="0" w:noHBand="0" w:noVBand="1"/>
      </w:tblPr>
      <w:tblGrid>
        <w:gridCol w:w="1980"/>
        <w:gridCol w:w="1644"/>
        <w:gridCol w:w="1644"/>
        <w:gridCol w:w="1644"/>
        <w:gridCol w:w="1644"/>
        <w:gridCol w:w="1645"/>
      </w:tblGrid>
      <w:tr w:rsidR="00224658" w:rsidRPr="00A26C26" w14:paraId="2A41340C" w14:textId="77777777" w:rsidTr="007F1E76">
        <w:trPr>
          <w:trHeight w:val="249"/>
        </w:trPr>
        <w:tc>
          <w:tcPr>
            <w:tcW w:w="198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781144C" w14:textId="1FE7CA74" w:rsidR="00224658" w:rsidRPr="00A26C26" w:rsidRDefault="00224658" w:rsidP="00A26C26">
            <w:pPr>
              <w:spacing w:line="276" w:lineRule="auto"/>
              <w:rPr>
                <w:rFonts w:cstheme="minorHAnsi"/>
                <w:color w:val="000000"/>
              </w:rPr>
            </w:pPr>
            <w:r w:rsidRPr="00A26C26">
              <w:rPr>
                <w:rFonts w:cstheme="minorHAnsi"/>
                <w:color w:val="000000"/>
              </w:rPr>
              <w:t>Nazwa</w:t>
            </w:r>
            <w:r w:rsidR="003B50ED">
              <w:rPr>
                <w:rFonts w:cstheme="minorHAnsi"/>
                <w:color w:val="000000"/>
              </w:rPr>
              <w:t xml:space="preserve"> </w:t>
            </w:r>
            <w:r w:rsidRPr="00A26C26">
              <w:rPr>
                <w:rFonts w:cstheme="minorHAnsi"/>
                <w:color w:val="000000"/>
              </w:rPr>
              <w:t>gminy</w:t>
            </w:r>
            <w:r w:rsidR="003B50ED">
              <w:rPr>
                <w:rFonts w:cstheme="minorHAnsi"/>
                <w:color w:val="000000"/>
              </w:rPr>
              <w:t xml:space="preserve"> </w:t>
            </w:r>
          </w:p>
        </w:tc>
        <w:tc>
          <w:tcPr>
            <w:tcW w:w="1644" w:type="dxa"/>
            <w:tcBorders>
              <w:top w:val="single" w:sz="4" w:space="0" w:color="auto"/>
              <w:left w:val="nil"/>
              <w:bottom w:val="single" w:sz="4" w:space="0" w:color="auto"/>
              <w:right w:val="single" w:sz="4" w:space="0" w:color="auto"/>
            </w:tcBorders>
            <w:shd w:val="clear" w:color="000000" w:fill="DDEBF7"/>
            <w:noWrap/>
            <w:vAlign w:val="bottom"/>
            <w:hideMark/>
          </w:tcPr>
          <w:p w14:paraId="0DF48739" w14:textId="77777777" w:rsidR="00224658" w:rsidRPr="00A26C26" w:rsidRDefault="00224658" w:rsidP="00A26C26">
            <w:pPr>
              <w:spacing w:line="276" w:lineRule="auto"/>
              <w:jc w:val="right"/>
              <w:rPr>
                <w:rFonts w:cstheme="minorHAnsi"/>
                <w:color w:val="000000"/>
              </w:rPr>
            </w:pPr>
            <w:r w:rsidRPr="00A26C26">
              <w:rPr>
                <w:rFonts w:cstheme="minorHAnsi"/>
                <w:color w:val="000000"/>
              </w:rPr>
              <w:t>2017</w:t>
            </w:r>
          </w:p>
        </w:tc>
        <w:tc>
          <w:tcPr>
            <w:tcW w:w="1644" w:type="dxa"/>
            <w:tcBorders>
              <w:top w:val="single" w:sz="4" w:space="0" w:color="auto"/>
              <w:left w:val="nil"/>
              <w:bottom w:val="single" w:sz="4" w:space="0" w:color="auto"/>
              <w:right w:val="single" w:sz="4" w:space="0" w:color="auto"/>
            </w:tcBorders>
            <w:shd w:val="clear" w:color="000000" w:fill="DDEBF7"/>
            <w:noWrap/>
            <w:vAlign w:val="bottom"/>
            <w:hideMark/>
          </w:tcPr>
          <w:p w14:paraId="78F4407D" w14:textId="77777777" w:rsidR="00224658" w:rsidRPr="00A26C26" w:rsidRDefault="00224658" w:rsidP="00A26C26">
            <w:pPr>
              <w:spacing w:line="276" w:lineRule="auto"/>
              <w:jc w:val="right"/>
              <w:rPr>
                <w:rFonts w:cstheme="minorHAnsi"/>
                <w:color w:val="000000"/>
              </w:rPr>
            </w:pPr>
            <w:r w:rsidRPr="00A26C26">
              <w:rPr>
                <w:rFonts w:cstheme="minorHAnsi"/>
                <w:color w:val="000000"/>
              </w:rPr>
              <w:t>2018</w:t>
            </w:r>
          </w:p>
        </w:tc>
        <w:tc>
          <w:tcPr>
            <w:tcW w:w="1644" w:type="dxa"/>
            <w:tcBorders>
              <w:top w:val="single" w:sz="4" w:space="0" w:color="auto"/>
              <w:left w:val="nil"/>
              <w:bottom w:val="single" w:sz="4" w:space="0" w:color="auto"/>
              <w:right w:val="single" w:sz="4" w:space="0" w:color="auto"/>
            </w:tcBorders>
            <w:shd w:val="clear" w:color="000000" w:fill="DDEBF7"/>
            <w:noWrap/>
            <w:vAlign w:val="bottom"/>
            <w:hideMark/>
          </w:tcPr>
          <w:p w14:paraId="4D5AF0BF" w14:textId="77777777" w:rsidR="00224658" w:rsidRPr="00A26C26" w:rsidRDefault="00224658" w:rsidP="00A26C26">
            <w:pPr>
              <w:spacing w:line="276" w:lineRule="auto"/>
              <w:jc w:val="right"/>
              <w:rPr>
                <w:rFonts w:cstheme="minorHAnsi"/>
                <w:color w:val="000000"/>
              </w:rPr>
            </w:pPr>
            <w:r w:rsidRPr="00A26C26">
              <w:rPr>
                <w:rFonts w:cstheme="minorHAnsi"/>
                <w:color w:val="000000"/>
              </w:rPr>
              <w:t>2019</w:t>
            </w:r>
          </w:p>
        </w:tc>
        <w:tc>
          <w:tcPr>
            <w:tcW w:w="1644" w:type="dxa"/>
            <w:tcBorders>
              <w:top w:val="single" w:sz="4" w:space="0" w:color="auto"/>
              <w:left w:val="nil"/>
              <w:bottom w:val="single" w:sz="4" w:space="0" w:color="auto"/>
              <w:right w:val="single" w:sz="4" w:space="0" w:color="auto"/>
            </w:tcBorders>
            <w:shd w:val="clear" w:color="000000" w:fill="DDEBF7"/>
            <w:noWrap/>
            <w:vAlign w:val="bottom"/>
            <w:hideMark/>
          </w:tcPr>
          <w:p w14:paraId="34D2BA9C" w14:textId="77777777" w:rsidR="00224658" w:rsidRPr="00A26C26" w:rsidRDefault="00224658" w:rsidP="00A26C26">
            <w:pPr>
              <w:spacing w:line="276" w:lineRule="auto"/>
              <w:jc w:val="right"/>
              <w:rPr>
                <w:rFonts w:cstheme="minorHAnsi"/>
                <w:color w:val="000000"/>
              </w:rPr>
            </w:pPr>
            <w:r w:rsidRPr="00A26C26">
              <w:rPr>
                <w:rFonts w:cstheme="minorHAnsi"/>
                <w:color w:val="000000"/>
              </w:rPr>
              <w:t>2020</w:t>
            </w:r>
          </w:p>
        </w:tc>
        <w:tc>
          <w:tcPr>
            <w:tcW w:w="1645" w:type="dxa"/>
            <w:tcBorders>
              <w:top w:val="single" w:sz="4" w:space="0" w:color="auto"/>
              <w:left w:val="nil"/>
              <w:bottom w:val="single" w:sz="4" w:space="0" w:color="auto"/>
              <w:right w:val="single" w:sz="4" w:space="0" w:color="auto"/>
            </w:tcBorders>
            <w:shd w:val="clear" w:color="000000" w:fill="DDEBF7"/>
            <w:noWrap/>
            <w:vAlign w:val="bottom"/>
            <w:hideMark/>
          </w:tcPr>
          <w:p w14:paraId="134DC9BE" w14:textId="77777777" w:rsidR="00224658" w:rsidRPr="00A26C26" w:rsidRDefault="00224658" w:rsidP="00A26C26">
            <w:pPr>
              <w:spacing w:line="276" w:lineRule="auto"/>
              <w:jc w:val="right"/>
              <w:rPr>
                <w:rFonts w:cstheme="minorHAnsi"/>
                <w:color w:val="000000"/>
              </w:rPr>
            </w:pPr>
            <w:r w:rsidRPr="00A26C26">
              <w:rPr>
                <w:rFonts w:cstheme="minorHAnsi"/>
                <w:color w:val="000000"/>
              </w:rPr>
              <w:t>2021</w:t>
            </w:r>
          </w:p>
        </w:tc>
      </w:tr>
      <w:tr w:rsidR="00224658" w:rsidRPr="00A26C26" w14:paraId="27A4B44B"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27688C7" w14:textId="77777777" w:rsidR="00224658" w:rsidRPr="00A26C26" w:rsidRDefault="00224658" w:rsidP="00A26C26">
            <w:pPr>
              <w:spacing w:line="276" w:lineRule="auto"/>
              <w:rPr>
                <w:rFonts w:cstheme="minorHAnsi"/>
                <w:color w:val="000000"/>
              </w:rPr>
            </w:pPr>
            <w:r w:rsidRPr="00A26C26">
              <w:rPr>
                <w:rFonts w:cstheme="minorHAnsi"/>
                <w:color w:val="000000"/>
              </w:rPr>
              <w:t>Golina</w:t>
            </w:r>
          </w:p>
        </w:tc>
        <w:tc>
          <w:tcPr>
            <w:tcW w:w="1644" w:type="dxa"/>
            <w:tcBorders>
              <w:top w:val="nil"/>
              <w:left w:val="nil"/>
              <w:bottom w:val="single" w:sz="4" w:space="0" w:color="auto"/>
              <w:right w:val="single" w:sz="4" w:space="0" w:color="auto"/>
            </w:tcBorders>
            <w:shd w:val="clear" w:color="auto" w:fill="auto"/>
            <w:noWrap/>
            <w:vAlign w:val="bottom"/>
            <w:hideMark/>
          </w:tcPr>
          <w:p w14:paraId="3869FAA8" w14:textId="77777777" w:rsidR="00224658" w:rsidRPr="00A26C26" w:rsidRDefault="00224658" w:rsidP="00A26C26">
            <w:pPr>
              <w:spacing w:line="276" w:lineRule="auto"/>
              <w:jc w:val="right"/>
              <w:rPr>
                <w:rFonts w:cstheme="minorHAnsi"/>
                <w:color w:val="000000"/>
              </w:rPr>
            </w:pPr>
            <w:r w:rsidRPr="00A26C26">
              <w:rPr>
                <w:rFonts w:cstheme="minorHAnsi"/>
                <w:color w:val="000000"/>
              </w:rPr>
              <w:t>6</w:t>
            </w:r>
          </w:p>
        </w:tc>
        <w:tc>
          <w:tcPr>
            <w:tcW w:w="1644" w:type="dxa"/>
            <w:tcBorders>
              <w:top w:val="nil"/>
              <w:left w:val="nil"/>
              <w:bottom w:val="single" w:sz="4" w:space="0" w:color="auto"/>
              <w:right w:val="single" w:sz="4" w:space="0" w:color="auto"/>
            </w:tcBorders>
            <w:shd w:val="clear" w:color="auto" w:fill="auto"/>
            <w:noWrap/>
            <w:vAlign w:val="bottom"/>
            <w:hideMark/>
          </w:tcPr>
          <w:p w14:paraId="54C1D9FE" w14:textId="77777777" w:rsidR="00224658" w:rsidRPr="00A26C26" w:rsidRDefault="00224658" w:rsidP="00A26C26">
            <w:pPr>
              <w:spacing w:line="276" w:lineRule="auto"/>
              <w:jc w:val="right"/>
              <w:rPr>
                <w:rFonts w:cstheme="minorHAnsi"/>
                <w:color w:val="000000"/>
              </w:rPr>
            </w:pPr>
            <w:r w:rsidRPr="00A26C26">
              <w:rPr>
                <w:rFonts w:cstheme="minorHAnsi"/>
                <w:color w:val="000000"/>
              </w:rPr>
              <w:t>6</w:t>
            </w:r>
          </w:p>
        </w:tc>
        <w:tc>
          <w:tcPr>
            <w:tcW w:w="1644" w:type="dxa"/>
            <w:tcBorders>
              <w:top w:val="nil"/>
              <w:left w:val="nil"/>
              <w:bottom w:val="single" w:sz="4" w:space="0" w:color="auto"/>
              <w:right w:val="single" w:sz="4" w:space="0" w:color="auto"/>
            </w:tcBorders>
            <w:shd w:val="clear" w:color="auto" w:fill="auto"/>
            <w:noWrap/>
            <w:vAlign w:val="bottom"/>
            <w:hideMark/>
          </w:tcPr>
          <w:p w14:paraId="2BD4D2BF" w14:textId="77777777" w:rsidR="00224658" w:rsidRPr="00A26C26" w:rsidRDefault="00224658" w:rsidP="00A26C26">
            <w:pPr>
              <w:spacing w:line="276" w:lineRule="auto"/>
              <w:jc w:val="right"/>
              <w:rPr>
                <w:rFonts w:cstheme="minorHAnsi"/>
                <w:color w:val="000000"/>
              </w:rPr>
            </w:pPr>
            <w:r w:rsidRPr="00A26C26">
              <w:rPr>
                <w:rFonts w:cstheme="minorHAnsi"/>
                <w:color w:val="000000"/>
              </w:rPr>
              <w:t>6</w:t>
            </w:r>
          </w:p>
        </w:tc>
        <w:tc>
          <w:tcPr>
            <w:tcW w:w="1644" w:type="dxa"/>
            <w:tcBorders>
              <w:top w:val="nil"/>
              <w:left w:val="nil"/>
              <w:bottom w:val="single" w:sz="4" w:space="0" w:color="auto"/>
              <w:right w:val="single" w:sz="4" w:space="0" w:color="auto"/>
            </w:tcBorders>
            <w:shd w:val="clear" w:color="auto" w:fill="auto"/>
            <w:noWrap/>
            <w:vAlign w:val="bottom"/>
            <w:hideMark/>
          </w:tcPr>
          <w:p w14:paraId="1EA5AB53" w14:textId="77777777" w:rsidR="00224658" w:rsidRPr="00A26C26" w:rsidRDefault="00224658" w:rsidP="00A26C26">
            <w:pPr>
              <w:spacing w:line="276" w:lineRule="auto"/>
              <w:jc w:val="right"/>
              <w:rPr>
                <w:rFonts w:cstheme="minorHAnsi"/>
                <w:color w:val="000000"/>
              </w:rPr>
            </w:pPr>
            <w:r w:rsidRPr="00A26C26">
              <w:rPr>
                <w:rFonts w:cstheme="minorHAnsi"/>
                <w:color w:val="000000"/>
              </w:rPr>
              <w:t>6</w:t>
            </w:r>
          </w:p>
        </w:tc>
        <w:tc>
          <w:tcPr>
            <w:tcW w:w="1645" w:type="dxa"/>
            <w:tcBorders>
              <w:top w:val="nil"/>
              <w:left w:val="nil"/>
              <w:bottom w:val="single" w:sz="4" w:space="0" w:color="auto"/>
              <w:right w:val="single" w:sz="4" w:space="0" w:color="auto"/>
            </w:tcBorders>
            <w:shd w:val="clear" w:color="auto" w:fill="auto"/>
            <w:noWrap/>
            <w:vAlign w:val="bottom"/>
            <w:hideMark/>
          </w:tcPr>
          <w:p w14:paraId="54AA62FF" w14:textId="77777777" w:rsidR="00224658" w:rsidRPr="00A26C26" w:rsidRDefault="00224658" w:rsidP="00A26C26">
            <w:pPr>
              <w:spacing w:line="276" w:lineRule="auto"/>
              <w:jc w:val="right"/>
              <w:rPr>
                <w:rFonts w:cstheme="minorHAnsi"/>
                <w:color w:val="000000"/>
              </w:rPr>
            </w:pPr>
            <w:r w:rsidRPr="00A26C26">
              <w:rPr>
                <w:rFonts w:cstheme="minorHAnsi"/>
                <w:color w:val="000000"/>
              </w:rPr>
              <w:t>6</w:t>
            </w:r>
          </w:p>
        </w:tc>
      </w:tr>
      <w:tr w:rsidR="00224658" w:rsidRPr="00A26C26" w14:paraId="1B134C58"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4A56B0C" w14:textId="77777777" w:rsidR="00224658" w:rsidRPr="00A26C26" w:rsidRDefault="00224658" w:rsidP="00A26C26">
            <w:pPr>
              <w:spacing w:line="276" w:lineRule="auto"/>
              <w:rPr>
                <w:rFonts w:cstheme="minorHAnsi"/>
                <w:color w:val="000000"/>
              </w:rPr>
            </w:pPr>
            <w:r w:rsidRPr="00A26C26">
              <w:rPr>
                <w:rFonts w:cstheme="minorHAnsi"/>
                <w:color w:val="000000"/>
              </w:rPr>
              <w:t>Grodziec</w:t>
            </w:r>
          </w:p>
        </w:tc>
        <w:tc>
          <w:tcPr>
            <w:tcW w:w="1644" w:type="dxa"/>
            <w:tcBorders>
              <w:top w:val="nil"/>
              <w:left w:val="nil"/>
              <w:bottom w:val="single" w:sz="4" w:space="0" w:color="auto"/>
              <w:right w:val="single" w:sz="4" w:space="0" w:color="auto"/>
            </w:tcBorders>
            <w:shd w:val="clear" w:color="auto" w:fill="auto"/>
            <w:noWrap/>
            <w:vAlign w:val="bottom"/>
            <w:hideMark/>
          </w:tcPr>
          <w:p w14:paraId="0908A858" w14:textId="77777777" w:rsidR="00224658" w:rsidRPr="00A26C26" w:rsidRDefault="00224658" w:rsidP="00A26C26">
            <w:pPr>
              <w:spacing w:line="276" w:lineRule="auto"/>
              <w:jc w:val="right"/>
              <w:rPr>
                <w:rFonts w:cstheme="minorHAnsi"/>
                <w:color w:val="000000"/>
              </w:rPr>
            </w:pPr>
            <w:r w:rsidRPr="00A26C26">
              <w:rPr>
                <w:rFonts w:cstheme="minorHAnsi"/>
                <w:color w:val="000000"/>
              </w:rPr>
              <w:t>4</w:t>
            </w:r>
          </w:p>
        </w:tc>
        <w:tc>
          <w:tcPr>
            <w:tcW w:w="1644" w:type="dxa"/>
            <w:tcBorders>
              <w:top w:val="nil"/>
              <w:left w:val="nil"/>
              <w:bottom w:val="single" w:sz="4" w:space="0" w:color="auto"/>
              <w:right w:val="single" w:sz="4" w:space="0" w:color="auto"/>
            </w:tcBorders>
            <w:shd w:val="clear" w:color="auto" w:fill="auto"/>
            <w:noWrap/>
            <w:vAlign w:val="bottom"/>
            <w:hideMark/>
          </w:tcPr>
          <w:p w14:paraId="2C2EEA8C" w14:textId="77777777" w:rsidR="00224658" w:rsidRPr="00A26C26" w:rsidRDefault="00224658" w:rsidP="00A26C26">
            <w:pPr>
              <w:spacing w:line="276" w:lineRule="auto"/>
              <w:jc w:val="right"/>
              <w:rPr>
                <w:rFonts w:cstheme="minorHAnsi"/>
                <w:color w:val="000000"/>
              </w:rPr>
            </w:pPr>
            <w:r w:rsidRPr="00A26C26">
              <w:rPr>
                <w:rFonts w:cstheme="minorHAnsi"/>
                <w:color w:val="000000"/>
              </w:rPr>
              <w:t>4</w:t>
            </w:r>
          </w:p>
        </w:tc>
        <w:tc>
          <w:tcPr>
            <w:tcW w:w="1644" w:type="dxa"/>
            <w:tcBorders>
              <w:top w:val="nil"/>
              <w:left w:val="nil"/>
              <w:bottom w:val="single" w:sz="4" w:space="0" w:color="auto"/>
              <w:right w:val="single" w:sz="4" w:space="0" w:color="auto"/>
            </w:tcBorders>
            <w:shd w:val="clear" w:color="auto" w:fill="auto"/>
            <w:noWrap/>
            <w:vAlign w:val="bottom"/>
            <w:hideMark/>
          </w:tcPr>
          <w:p w14:paraId="1EE8C7A4" w14:textId="77777777" w:rsidR="00224658" w:rsidRPr="00A26C26" w:rsidRDefault="00224658" w:rsidP="00A26C26">
            <w:pPr>
              <w:spacing w:line="276" w:lineRule="auto"/>
              <w:jc w:val="right"/>
              <w:rPr>
                <w:rFonts w:cstheme="minorHAnsi"/>
                <w:color w:val="000000"/>
              </w:rPr>
            </w:pPr>
            <w:r w:rsidRPr="00A26C26">
              <w:rPr>
                <w:rFonts w:cstheme="minorHAnsi"/>
                <w:color w:val="000000"/>
              </w:rPr>
              <w:t>4</w:t>
            </w:r>
          </w:p>
        </w:tc>
        <w:tc>
          <w:tcPr>
            <w:tcW w:w="1644" w:type="dxa"/>
            <w:tcBorders>
              <w:top w:val="nil"/>
              <w:left w:val="nil"/>
              <w:bottom w:val="single" w:sz="4" w:space="0" w:color="auto"/>
              <w:right w:val="single" w:sz="4" w:space="0" w:color="auto"/>
            </w:tcBorders>
            <w:shd w:val="clear" w:color="auto" w:fill="auto"/>
            <w:noWrap/>
            <w:vAlign w:val="bottom"/>
            <w:hideMark/>
          </w:tcPr>
          <w:p w14:paraId="633F9CB1" w14:textId="77777777" w:rsidR="00224658" w:rsidRPr="00A26C26" w:rsidRDefault="00224658" w:rsidP="00A26C26">
            <w:pPr>
              <w:spacing w:line="276" w:lineRule="auto"/>
              <w:jc w:val="right"/>
              <w:rPr>
                <w:rFonts w:cstheme="minorHAnsi"/>
                <w:color w:val="000000"/>
              </w:rPr>
            </w:pPr>
            <w:r w:rsidRPr="00A26C26">
              <w:rPr>
                <w:rFonts w:cstheme="minorHAnsi"/>
                <w:color w:val="000000"/>
              </w:rPr>
              <w:t>4</w:t>
            </w:r>
          </w:p>
        </w:tc>
        <w:tc>
          <w:tcPr>
            <w:tcW w:w="1645" w:type="dxa"/>
            <w:tcBorders>
              <w:top w:val="nil"/>
              <w:left w:val="nil"/>
              <w:bottom w:val="single" w:sz="4" w:space="0" w:color="auto"/>
              <w:right w:val="single" w:sz="4" w:space="0" w:color="auto"/>
            </w:tcBorders>
            <w:shd w:val="clear" w:color="auto" w:fill="auto"/>
            <w:noWrap/>
            <w:vAlign w:val="bottom"/>
            <w:hideMark/>
          </w:tcPr>
          <w:p w14:paraId="1A6B2265" w14:textId="77777777" w:rsidR="00224658" w:rsidRPr="00A26C26" w:rsidRDefault="00224658" w:rsidP="00A26C26">
            <w:pPr>
              <w:spacing w:line="276" w:lineRule="auto"/>
              <w:jc w:val="right"/>
              <w:rPr>
                <w:rFonts w:cstheme="minorHAnsi"/>
                <w:color w:val="000000"/>
              </w:rPr>
            </w:pPr>
            <w:r w:rsidRPr="00A26C26">
              <w:rPr>
                <w:rFonts w:cstheme="minorHAnsi"/>
                <w:color w:val="000000"/>
              </w:rPr>
              <w:t>4</w:t>
            </w:r>
          </w:p>
        </w:tc>
      </w:tr>
      <w:tr w:rsidR="00224658" w:rsidRPr="00A26C26" w14:paraId="1DFBAA4B"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E6482AA" w14:textId="77777777" w:rsidR="00224658" w:rsidRPr="00A26C26" w:rsidRDefault="00224658" w:rsidP="00A26C26">
            <w:pPr>
              <w:spacing w:line="276" w:lineRule="auto"/>
              <w:rPr>
                <w:rFonts w:cstheme="minorHAnsi"/>
                <w:color w:val="000000"/>
              </w:rPr>
            </w:pPr>
            <w:r w:rsidRPr="00A26C26">
              <w:rPr>
                <w:rFonts w:cstheme="minorHAnsi"/>
                <w:color w:val="000000"/>
              </w:rPr>
              <w:t>Rychwał</w:t>
            </w:r>
          </w:p>
        </w:tc>
        <w:tc>
          <w:tcPr>
            <w:tcW w:w="1644" w:type="dxa"/>
            <w:tcBorders>
              <w:top w:val="nil"/>
              <w:left w:val="nil"/>
              <w:bottom w:val="single" w:sz="4" w:space="0" w:color="auto"/>
              <w:right w:val="single" w:sz="4" w:space="0" w:color="auto"/>
            </w:tcBorders>
            <w:shd w:val="clear" w:color="auto" w:fill="auto"/>
            <w:noWrap/>
            <w:vAlign w:val="bottom"/>
            <w:hideMark/>
          </w:tcPr>
          <w:p w14:paraId="00F5A487" w14:textId="77777777" w:rsidR="00224658" w:rsidRPr="00A26C26" w:rsidRDefault="00224658" w:rsidP="00A26C26">
            <w:pPr>
              <w:spacing w:line="276" w:lineRule="auto"/>
              <w:jc w:val="right"/>
              <w:rPr>
                <w:rFonts w:cstheme="minorHAnsi"/>
                <w:color w:val="000000"/>
              </w:rPr>
            </w:pPr>
            <w:r w:rsidRPr="00A26C26">
              <w:rPr>
                <w:rFonts w:cstheme="minorHAnsi"/>
                <w:color w:val="000000"/>
              </w:rPr>
              <w:t>8</w:t>
            </w:r>
          </w:p>
        </w:tc>
        <w:tc>
          <w:tcPr>
            <w:tcW w:w="1644" w:type="dxa"/>
            <w:tcBorders>
              <w:top w:val="nil"/>
              <w:left w:val="nil"/>
              <w:bottom w:val="single" w:sz="4" w:space="0" w:color="auto"/>
              <w:right w:val="single" w:sz="4" w:space="0" w:color="auto"/>
            </w:tcBorders>
            <w:shd w:val="clear" w:color="auto" w:fill="auto"/>
            <w:noWrap/>
            <w:vAlign w:val="bottom"/>
            <w:hideMark/>
          </w:tcPr>
          <w:p w14:paraId="6AB590AE" w14:textId="77777777" w:rsidR="00224658" w:rsidRPr="00A26C26" w:rsidRDefault="00224658" w:rsidP="00A26C26">
            <w:pPr>
              <w:spacing w:line="276" w:lineRule="auto"/>
              <w:jc w:val="right"/>
              <w:rPr>
                <w:rFonts w:cstheme="minorHAnsi"/>
                <w:color w:val="000000"/>
              </w:rPr>
            </w:pPr>
            <w:r w:rsidRPr="00A26C26">
              <w:rPr>
                <w:rFonts w:cstheme="minorHAnsi"/>
                <w:color w:val="000000"/>
              </w:rPr>
              <w:t>8</w:t>
            </w:r>
          </w:p>
        </w:tc>
        <w:tc>
          <w:tcPr>
            <w:tcW w:w="1644" w:type="dxa"/>
            <w:tcBorders>
              <w:top w:val="nil"/>
              <w:left w:val="nil"/>
              <w:bottom w:val="single" w:sz="4" w:space="0" w:color="auto"/>
              <w:right w:val="single" w:sz="4" w:space="0" w:color="auto"/>
            </w:tcBorders>
            <w:shd w:val="clear" w:color="auto" w:fill="auto"/>
            <w:noWrap/>
            <w:vAlign w:val="bottom"/>
            <w:hideMark/>
          </w:tcPr>
          <w:p w14:paraId="527C418C" w14:textId="77777777" w:rsidR="00224658" w:rsidRPr="00A26C26" w:rsidRDefault="00224658" w:rsidP="00A26C26">
            <w:pPr>
              <w:spacing w:line="276" w:lineRule="auto"/>
              <w:jc w:val="right"/>
              <w:rPr>
                <w:rFonts w:cstheme="minorHAnsi"/>
                <w:color w:val="000000"/>
              </w:rPr>
            </w:pPr>
            <w:r w:rsidRPr="00A26C26">
              <w:rPr>
                <w:rFonts w:cstheme="minorHAnsi"/>
                <w:color w:val="000000"/>
              </w:rPr>
              <w:t>9</w:t>
            </w:r>
          </w:p>
        </w:tc>
        <w:tc>
          <w:tcPr>
            <w:tcW w:w="1644" w:type="dxa"/>
            <w:tcBorders>
              <w:top w:val="nil"/>
              <w:left w:val="nil"/>
              <w:bottom w:val="single" w:sz="4" w:space="0" w:color="auto"/>
              <w:right w:val="single" w:sz="4" w:space="0" w:color="auto"/>
            </w:tcBorders>
            <w:shd w:val="clear" w:color="auto" w:fill="auto"/>
            <w:noWrap/>
            <w:vAlign w:val="bottom"/>
            <w:hideMark/>
          </w:tcPr>
          <w:p w14:paraId="03EB711A" w14:textId="77777777" w:rsidR="00224658" w:rsidRPr="00A26C26" w:rsidRDefault="00224658" w:rsidP="00A26C26">
            <w:pPr>
              <w:spacing w:line="276" w:lineRule="auto"/>
              <w:jc w:val="right"/>
              <w:rPr>
                <w:rFonts w:cstheme="minorHAnsi"/>
                <w:color w:val="000000"/>
              </w:rPr>
            </w:pPr>
            <w:r w:rsidRPr="00A26C26">
              <w:rPr>
                <w:rFonts w:cstheme="minorHAnsi"/>
                <w:color w:val="000000"/>
              </w:rPr>
              <w:t>9</w:t>
            </w:r>
          </w:p>
        </w:tc>
        <w:tc>
          <w:tcPr>
            <w:tcW w:w="1645" w:type="dxa"/>
            <w:tcBorders>
              <w:top w:val="nil"/>
              <w:left w:val="nil"/>
              <w:bottom w:val="single" w:sz="4" w:space="0" w:color="auto"/>
              <w:right w:val="single" w:sz="4" w:space="0" w:color="auto"/>
            </w:tcBorders>
            <w:shd w:val="clear" w:color="auto" w:fill="auto"/>
            <w:noWrap/>
            <w:vAlign w:val="bottom"/>
            <w:hideMark/>
          </w:tcPr>
          <w:p w14:paraId="7A5EB2BB" w14:textId="77777777" w:rsidR="00224658" w:rsidRPr="00A26C26" w:rsidRDefault="00224658" w:rsidP="00A26C26">
            <w:pPr>
              <w:spacing w:line="276" w:lineRule="auto"/>
              <w:jc w:val="right"/>
              <w:rPr>
                <w:rFonts w:cstheme="minorHAnsi"/>
                <w:color w:val="000000"/>
              </w:rPr>
            </w:pPr>
            <w:r w:rsidRPr="00A26C26">
              <w:rPr>
                <w:rFonts w:cstheme="minorHAnsi"/>
                <w:color w:val="000000"/>
              </w:rPr>
              <w:t>9</w:t>
            </w:r>
          </w:p>
        </w:tc>
      </w:tr>
      <w:tr w:rsidR="00224658" w:rsidRPr="00A26C26" w14:paraId="43BE7D6E"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AC0CA8C" w14:textId="77777777" w:rsidR="00224658" w:rsidRPr="00A26C26" w:rsidRDefault="00224658" w:rsidP="00A26C26">
            <w:pPr>
              <w:spacing w:line="276" w:lineRule="auto"/>
              <w:rPr>
                <w:rFonts w:cstheme="minorHAnsi"/>
                <w:color w:val="000000"/>
              </w:rPr>
            </w:pPr>
            <w:r w:rsidRPr="00A26C26">
              <w:rPr>
                <w:rFonts w:cstheme="minorHAnsi"/>
                <w:color w:val="000000"/>
              </w:rPr>
              <w:t>Rzgów</w:t>
            </w:r>
          </w:p>
        </w:tc>
        <w:tc>
          <w:tcPr>
            <w:tcW w:w="1644" w:type="dxa"/>
            <w:tcBorders>
              <w:top w:val="nil"/>
              <w:left w:val="nil"/>
              <w:bottom w:val="single" w:sz="4" w:space="0" w:color="auto"/>
              <w:right w:val="single" w:sz="4" w:space="0" w:color="auto"/>
            </w:tcBorders>
            <w:shd w:val="clear" w:color="auto" w:fill="auto"/>
            <w:noWrap/>
            <w:vAlign w:val="bottom"/>
            <w:hideMark/>
          </w:tcPr>
          <w:p w14:paraId="31274BC1" w14:textId="77777777" w:rsidR="00224658" w:rsidRPr="00A26C26" w:rsidRDefault="00224658" w:rsidP="00A26C26">
            <w:pPr>
              <w:spacing w:line="276" w:lineRule="auto"/>
              <w:jc w:val="right"/>
              <w:rPr>
                <w:rFonts w:cstheme="minorHAnsi"/>
                <w:color w:val="000000"/>
              </w:rPr>
            </w:pPr>
            <w:r w:rsidRPr="00A26C26">
              <w:rPr>
                <w:rFonts w:cstheme="minorHAnsi"/>
                <w:color w:val="000000"/>
              </w:rPr>
              <w:t>4</w:t>
            </w:r>
          </w:p>
        </w:tc>
        <w:tc>
          <w:tcPr>
            <w:tcW w:w="1644" w:type="dxa"/>
            <w:tcBorders>
              <w:top w:val="nil"/>
              <w:left w:val="nil"/>
              <w:bottom w:val="single" w:sz="4" w:space="0" w:color="auto"/>
              <w:right w:val="single" w:sz="4" w:space="0" w:color="auto"/>
            </w:tcBorders>
            <w:shd w:val="clear" w:color="auto" w:fill="auto"/>
            <w:noWrap/>
            <w:vAlign w:val="bottom"/>
            <w:hideMark/>
          </w:tcPr>
          <w:p w14:paraId="4B91FE5C" w14:textId="77777777" w:rsidR="00224658" w:rsidRPr="00A26C26" w:rsidRDefault="00224658" w:rsidP="00A26C26">
            <w:pPr>
              <w:spacing w:line="276" w:lineRule="auto"/>
              <w:jc w:val="right"/>
              <w:rPr>
                <w:rFonts w:cstheme="minorHAnsi"/>
                <w:color w:val="000000"/>
              </w:rPr>
            </w:pPr>
            <w:r w:rsidRPr="00A26C26">
              <w:rPr>
                <w:rFonts w:cstheme="minorHAnsi"/>
                <w:color w:val="000000"/>
              </w:rPr>
              <w:t>4</w:t>
            </w:r>
          </w:p>
        </w:tc>
        <w:tc>
          <w:tcPr>
            <w:tcW w:w="1644" w:type="dxa"/>
            <w:tcBorders>
              <w:top w:val="nil"/>
              <w:left w:val="nil"/>
              <w:bottom w:val="single" w:sz="4" w:space="0" w:color="auto"/>
              <w:right w:val="single" w:sz="4" w:space="0" w:color="auto"/>
            </w:tcBorders>
            <w:shd w:val="clear" w:color="auto" w:fill="auto"/>
            <w:noWrap/>
            <w:vAlign w:val="bottom"/>
            <w:hideMark/>
          </w:tcPr>
          <w:p w14:paraId="3AD7E1B2" w14:textId="77777777" w:rsidR="00224658" w:rsidRPr="00A26C26" w:rsidRDefault="00224658" w:rsidP="00A26C26">
            <w:pPr>
              <w:spacing w:line="276" w:lineRule="auto"/>
              <w:jc w:val="right"/>
              <w:rPr>
                <w:rFonts w:cstheme="minorHAnsi"/>
                <w:color w:val="000000"/>
              </w:rPr>
            </w:pPr>
            <w:r w:rsidRPr="00A26C26">
              <w:rPr>
                <w:rFonts w:cstheme="minorHAnsi"/>
                <w:color w:val="000000"/>
              </w:rPr>
              <w:t>4</w:t>
            </w:r>
          </w:p>
        </w:tc>
        <w:tc>
          <w:tcPr>
            <w:tcW w:w="1644" w:type="dxa"/>
            <w:tcBorders>
              <w:top w:val="nil"/>
              <w:left w:val="nil"/>
              <w:bottom w:val="single" w:sz="4" w:space="0" w:color="auto"/>
              <w:right w:val="single" w:sz="4" w:space="0" w:color="auto"/>
            </w:tcBorders>
            <w:shd w:val="clear" w:color="auto" w:fill="auto"/>
            <w:noWrap/>
            <w:vAlign w:val="bottom"/>
            <w:hideMark/>
          </w:tcPr>
          <w:p w14:paraId="06FA2E14" w14:textId="77777777" w:rsidR="00224658" w:rsidRPr="00A26C26" w:rsidRDefault="00224658" w:rsidP="00A26C26">
            <w:pPr>
              <w:spacing w:line="276" w:lineRule="auto"/>
              <w:jc w:val="right"/>
              <w:rPr>
                <w:rFonts w:cstheme="minorHAnsi"/>
                <w:color w:val="000000"/>
              </w:rPr>
            </w:pPr>
            <w:r w:rsidRPr="00A26C26">
              <w:rPr>
                <w:rFonts w:cstheme="minorHAnsi"/>
                <w:color w:val="000000"/>
              </w:rPr>
              <w:t>4</w:t>
            </w:r>
          </w:p>
        </w:tc>
        <w:tc>
          <w:tcPr>
            <w:tcW w:w="1645" w:type="dxa"/>
            <w:tcBorders>
              <w:top w:val="nil"/>
              <w:left w:val="nil"/>
              <w:bottom w:val="single" w:sz="4" w:space="0" w:color="auto"/>
              <w:right w:val="single" w:sz="4" w:space="0" w:color="auto"/>
            </w:tcBorders>
            <w:shd w:val="clear" w:color="auto" w:fill="auto"/>
            <w:noWrap/>
            <w:vAlign w:val="bottom"/>
            <w:hideMark/>
          </w:tcPr>
          <w:p w14:paraId="46C66286" w14:textId="77777777" w:rsidR="00224658" w:rsidRPr="00A26C26" w:rsidRDefault="00224658" w:rsidP="00A26C26">
            <w:pPr>
              <w:spacing w:line="276" w:lineRule="auto"/>
              <w:jc w:val="right"/>
              <w:rPr>
                <w:rFonts w:cstheme="minorHAnsi"/>
                <w:color w:val="000000"/>
              </w:rPr>
            </w:pPr>
            <w:r w:rsidRPr="00A26C26">
              <w:rPr>
                <w:rFonts w:cstheme="minorHAnsi"/>
                <w:color w:val="000000"/>
              </w:rPr>
              <w:t>5</w:t>
            </w:r>
          </w:p>
        </w:tc>
      </w:tr>
      <w:tr w:rsidR="00224658" w:rsidRPr="00A26C26" w14:paraId="65C34A10"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DDEBB20" w14:textId="508BEBD8" w:rsidR="00224658" w:rsidRPr="00A26C26" w:rsidRDefault="00224658" w:rsidP="00A26C26">
            <w:pPr>
              <w:spacing w:line="276" w:lineRule="auto"/>
              <w:rPr>
                <w:rFonts w:cstheme="minorHAnsi"/>
                <w:color w:val="000000"/>
              </w:rPr>
            </w:pPr>
            <w:r w:rsidRPr="00A26C26">
              <w:rPr>
                <w:rFonts w:cstheme="minorHAnsi"/>
                <w:color w:val="000000"/>
              </w:rPr>
              <w:t>Stare</w:t>
            </w:r>
            <w:r w:rsidR="003B50ED">
              <w:rPr>
                <w:rFonts w:cstheme="minorHAnsi"/>
                <w:color w:val="000000"/>
              </w:rPr>
              <w:t xml:space="preserve"> </w:t>
            </w:r>
            <w:r w:rsidRPr="00A26C26">
              <w:rPr>
                <w:rFonts w:cstheme="minorHAnsi"/>
                <w:color w:val="000000"/>
              </w:rPr>
              <w:t>Miasto</w:t>
            </w:r>
          </w:p>
        </w:tc>
        <w:tc>
          <w:tcPr>
            <w:tcW w:w="1644" w:type="dxa"/>
            <w:tcBorders>
              <w:top w:val="nil"/>
              <w:left w:val="nil"/>
              <w:bottom w:val="single" w:sz="4" w:space="0" w:color="auto"/>
              <w:right w:val="single" w:sz="4" w:space="0" w:color="auto"/>
            </w:tcBorders>
            <w:shd w:val="clear" w:color="auto" w:fill="auto"/>
            <w:noWrap/>
            <w:vAlign w:val="bottom"/>
            <w:hideMark/>
          </w:tcPr>
          <w:p w14:paraId="64BDB67B" w14:textId="77777777" w:rsidR="00224658" w:rsidRPr="00A26C26" w:rsidRDefault="00224658" w:rsidP="00A26C26">
            <w:pPr>
              <w:spacing w:line="276" w:lineRule="auto"/>
              <w:jc w:val="right"/>
              <w:rPr>
                <w:rFonts w:cstheme="minorHAnsi"/>
                <w:color w:val="000000"/>
              </w:rPr>
            </w:pPr>
            <w:r w:rsidRPr="00A26C26">
              <w:rPr>
                <w:rFonts w:cstheme="minorHAnsi"/>
                <w:color w:val="000000"/>
              </w:rPr>
              <w:t>9</w:t>
            </w:r>
          </w:p>
        </w:tc>
        <w:tc>
          <w:tcPr>
            <w:tcW w:w="1644" w:type="dxa"/>
            <w:tcBorders>
              <w:top w:val="nil"/>
              <w:left w:val="nil"/>
              <w:bottom w:val="single" w:sz="4" w:space="0" w:color="auto"/>
              <w:right w:val="single" w:sz="4" w:space="0" w:color="auto"/>
            </w:tcBorders>
            <w:shd w:val="clear" w:color="auto" w:fill="auto"/>
            <w:noWrap/>
            <w:vAlign w:val="bottom"/>
            <w:hideMark/>
          </w:tcPr>
          <w:p w14:paraId="5D0E7043" w14:textId="77777777" w:rsidR="00224658" w:rsidRPr="00A26C26" w:rsidRDefault="00224658" w:rsidP="00A26C26">
            <w:pPr>
              <w:spacing w:line="276" w:lineRule="auto"/>
              <w:jc w:val="right"/>
              <w:rPr>
                <w:rFonts w:cstheme="minorHAnsi"/>
                <w:color w:val="000000"/>
              </w:rPr>
            </w:pPr>
            <w:r w:rsidRPr="00A26C26">
              <w:rPr>
                <w:rFonts w:cstheme="minorHAnsi"/>
                <w:color w:val="000000"/>
              </w:rPr>
              <w:t>6</w:t>
            </w:r>
          </w:p>
        </w:tc>
        <w:tc>
          <w:tcPr>
            <w:tcW w:w="1644" w:type="dxa"/>
            <w:tcBorders>
              <w:top w:val="nil"/>
              <w:left w:val="nil"/>
              <w:bottom w:val="single" w:sz="4" w:space="0" w:color="auto"/>
              <w:right w:val="single" w:sz="4" w:space="0" w:color="auto"/>
            </w:tcBorders>
            <w:shd w:val="clear" w:color="auto" w:fill="auto"/>
            <w:noWrap/>
            <w:vAlign w:val="bottom"/>
            <w:hideMark/>
          </w:tcPr>
          <w:p w14:paraId="0DF5A38B" w14:textId="77777777" w:rsidR="00224658" w:rsidRPr="00A26C26" w:rsidRDefault="00224658" w:rsidP="00A26C26">
            <w:pPr>
              <w:spacing w:line="276" w:lineRule="auto"/>
              <w:jc w:val="right"/>
              <w:rPr>
                <w:rFonts w:cstheme="minorHAnsi"/>
                <w:color w:val="000000"/>
              </w:rPr>
            </w:pPr>
            <w:r w:rsidRPr="00A26C26">
              <w:rPr>
                <w:rFonts w:cstheme="minorHAnsi"/>
                <w:color w:val="000000"/>
              </w:rPr>
              <w:t>6</w:t>
            </w:r>
          </w:p>
        </w:tc>
        <w:tc>
          <w:tcPr>
            <w:tcW w:w="1644" w:type="dxa"/>
            <w:tcBorders>
              <w:top w:val="nil"/>
              <w:left w:val="nil"/>
              <w:bottom w:val="single" w:sz="4" w:space="0" w:color="auto"/>
              <w:right w:val="single" w:sz="4" w:space="0" w:color="auto"/>
            </w:tcBorders>
            <w:shd w:val="clear" w:color="auto" w:fill="auto"/>
            <w:noWrap/>
            <w:vAlign w:val="bottom"/>
            <w:hideMark/>
          </w:tcPr>
          <w:p w14:paraId="238FBFDF" w14:textId="77777777" w:rsidR="00224658" w:rsidRPr="00A26C26" w:rsidRDefault="00224658" w:rsidP="00A26C26">
            <w:pPr>
              <w:spacing w:line="276" w:lineRule="auto"/>
              <w:jc w:val="right"/>
              <w:rPr>
                <w:rFonts w:cstheme="minorHAnsi"/>
                <w:color w:val="000000"/>
              </w:rPr>
            </w:pPr>
            <w:r w:rsidRPr="00A26C26">
              <w:rPr>
                <w:rFonts w:cstheme="minorHAnsi"/>
                <w:color w:val="000000"/>
              </w:rPr>
              <w:t>6</w:t>
            </w:r>
          </w:p>
        </w:tc>
        <w:tc>
          <w:tcPr>
            <w:tcW w:w="1645" w:type="dxa"/>
            <w:tcBorders>
              <w:top w:val="nil"/>
              <w:left w:val="nil"/>
              <w:bottom w:val="single" w:sz="4" w:space="0" w:color="auto"/>
              <w:right w:val="single" w:sz="4" w:space="0" w:color="auto"/>
            </w:tcBorders>
            <w:shd w:val="clear" w:color="auto" w:fill="auto"/>
            <w:noWrap/>
            <w:vAlign w:val="bottom"/>
            <w:hideMark/>
          </w:tcPr>
          <w:p w14:paraId="5CC0A693" w14:textId="77777777" w:rsidR="00224658" w:rsidRPr="00A26C26" w:rsidRDefault="00224658" w:rsidP="00A26C26">
            <w:pPr>
              <w:spacing w:line="276" w:lineRule="auto"/>
              <w:jc w:val="right"/>
              <w:rPr>
                <w:rFonts w:cstheme="minorHAnsi"/>
                <w:color w:val="000000"/>
              </w:rPr>
            </w:pPr>
            <w:r w:rsidRPr="00A26C26">
              <w:rPr>
                <w:rFonts w:cstheme="minorHAnsi"/>
                <w:color w:val="000000"/>
              </w:rPr>
              <w:t>6</w:t>
            </w:r>
          </w:p>
        </w:tc>
      </w:tr>
      <w:tr w:rsidR="00224658" w:rsidRPr="00A26C26" w14:paraId="31E3FE66" w14:textId="77777777" w:rsidTr="007F1E76">
        <w:trPr>
          <w:trHeight w:val="24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FFD40E6" w14:textId="77777777" w:rsidR="00224658" w:rsidRPr="00A26C26" w:rsidRDefault="00224658" w:rsidP="00A26C26">
            <w:pPr>
              <w:spacing w:line="276" w:lineRule="auto"/>
              <w:rPr>
                <w:rFonts w:cstheme="minorHAnsi"/>
                <w:color w:val="000000"/>
              </w:rPr>
            </w:pPr>
            <w:r w:rsidRPr="00A26C26">
              <w:rPr>
                <w:rFonts w:cstheme="minorHAnsi"/>
                <w:color w:val="000000"/>
              </w:rPr>
              <w:t>Tuliszków</w:t>
            </w:r>
          </w:p>
        </w:tc>
        <w:tc>
          <w:tcPr>
            <w:tcW w:w="1644" w:type="dxa"/>
            <w:tcBorders>
              <w:top w:val="nil"/>
              <w:left w:val="nil"/>
              <w:bottom w:val="single" w:sz="4" w:space="0" w:color="auto"/>
              <w:right w:val="single" w:sz="4" w:space="0" w:color="auto"/>
            </w:tcBorders>
            <w:shd w:val="clear" w:color="auto" w:fill="auto"/>
            <w:noWrap/>
            <w:vAlign w:val="bottom"/>
            <w:hideMark/>
          </w:tcPr>
          <w:p w14:paraId="01AF7F6A" w14:textId="77777777" w:rsidR="00224658" w:rsidRPr="00A26C26" w:rsidRDefault="00224658" w:rsidP="00A26C26">
            <w:pPr>
              <w:spacing w:line="276" w:lineRule="auto"/>
              <w:jc w:val="right"/>
              <w:rPr>
                <w:rFonts w:cstheme="minorHAnsi"/>
                <w:color w:val="000000"/>
              </w:rPr>
            </w:pPr>
            <w:r w:rsidRPr="00A26C26">
              <w:rPr>
                <w:rFonts w:cstheme="minorHAnsi"/>
                <w:color w:val="000000"/>
              </w:rPr>
              <w:t>5</w:t>
            </w:r>
          </w:p>
        </w:tc>
        <w:tc>
          <w:tcPr>
            <w:tcW w:w="1644" w:type="dxa"/>
            <w:tcBorders>
              <w:top w:val="nil"/>
              <w:left w:val="nil"/>
              <w:bottom w:val="single" w:sz="4" w:space="0" w:color="auto"/>
              <w:right w:val="single" w:sz="4" w:space="0" w:color="auto"/>
            </w:tcBorders>
            <w:shd w:val="clear" w:color="auto" w:fill="auto"/>
            <w:noWrap/>
            <w:vAlign w:val="bottom"/>
            <w:hideMark/>
          </w:tcPr>
          <w:p w14:paraId="44B7C067" w14:textId="77777777" w:rsidR="00224658" w:rsidRPr="00A26C26" w:rsidRDefault="00224658" w:rsidP="00A26C26">
            <w:pPr>
              <w:spacing w:line="276" w:lineRule="auto"/>
              <w:jc w:val="right"/>
              <w:rPr>
                <w:rFonts w:cstheme="minorHAnsi"/>
                <w:color w:val="000000"/>
              </w:rPr>
            </w:pPr>
            <w:r w:rsidRPr="00A26C26">
              <w:rPr>
                <w:rFonts w:cstheme="minorHAnsi"/>
                <w:color w:val="000000"/>
              </w:rPr>
              <w:t>5</w:t>
            </w:r>
          </w:p>
        </w:tc>
        <w:tc>
          <w:tcPr>
            <w:tcW w:w="1644" w:type="dxa"/>
            <w:tcBorders>
              <w:top w:val="nil"/>
              <w:left w:val="nil"/>
              <w:bottom w:val="single" w:sz="4" w:space="0" w:color="auto"/>
              <w:right w:val="single" w:sz="4" w:space="0" w:color="auto"/>
            </w:tcBorders>
            <w:shd w:val="clear" w:color="auto" w:fill="auto"/>
            <w:noWrap/>
            <w:vAlign w:val="bottom"/>
            <w:hideMark/>
          </w:tcPr>
          <w:p w14:paraId="585D006B" w14:textId="77777777" w:rsidR="00224658" w:rsidRPr="00A26C26" w:rsidRDefault="00224658" w:rsidP="00A26C26">
            <w:pPr>
              <w:spacing w:line="276" w:lineRule="auto"/>
              <w:jc w:val="right"/>
              <w:rPr>
                <w:rFonts w:cstheme="minorHAnsi"/>
                <w:color w:val="000000"/>
              </w:rPr>
            </w:pPr>
            <w:r w:rsidRPr="00A26C26">
              <w:rPr>
                <w:rFonts w:cstheme="minorHAnsi"/>
                <w:color w:val="000000"/>
              </w:rPr>
              <w:t>5</w:t>
            </w:r>
          </w:p>
        </w:tc>
        <w:tc>
          <w:tcPr>
            <w:tcW w:w="1644" w:type="dxa"/>
            <w:tcBorders>
              <w:top w:val="nil"/>
              <w:left w:val="nil"/>
              <w:bottom w:val="single" w:sz="4" w:space="0" w:color="auto"/>
              <w:right w:val="single" w:sz="4" w:space="0" w:color="auto"/>
            </w:tcBorders>
            <w:shd w:val="clear" w:color="auto" w:fill="auto"/>
            <w:noWrap/>
            <w:vAlign w:val="bottom"/>
            <w:hideMark/>
          </w:tcPr>
          <w:p w14:paraId="02E5E0EA" w14:textId="77777777" w:rsidR="00224658" w:rsidRPr="00A26C26" w:rsidRDefault="00224658" w:rsidP="00A26C26">
            <w:pPr>
              <w:spacing w:line="276" w:lineRule="auto"/>
              <w:jc w:val="right"/>
              <w:rPr>
                <w:rFonts w:cstheme="minorHAnsi"/>
                <w:color w:val="000000"/>
              </w:rPr>
            </w:pPr>
            <w:r w:rsidRPr="00A26C26">
              <w:rPr>
                <w:rFonts w:cstheme="minorHAnsi"/>
                <w:color w:val="000000"/>
              </w:rPr>
              <w:t>5</w:t>
            </w:r>
          </w:p>
        </w:tc>
        <w:tc>
          <w:tcPr>
            <w:tcW w:w="1645" w:type="dxa"/>
            <w:tcBorders>
              <w:top w:val="nil"/>
              <w:left w:val="nil"/>
              <w:bottom w:val="single" w:sz="4" w:space="0" w:color="auto"/>
              <w:right w:val="single" w:sz="4" w:space="0" w:color="auto"/>
            </w:tcBorders>
            <w:shd w:val="clear" w:color="auto" w:fill="auto"/>
            <w:noWrap/>
            <w:vAlign w:val="bottom"/>
            <w:hideMark/>
          </w:tcPr>
          <w:p w14:paraId="47F234E5" w14:textId="77777777" w:rsidR="00224658" w:rsidRPr="00A26C26" w:rsidRDefault="00224658" w:rsidP="00A26C26">
            <w:pPr>
              <w:spacing w:line="276" w:lineRule="auto"/>
              <w:jc w:val="right"/>
              <w:rPr>
                <w:rFonts w:cstheme="minorHAnsi"/>
                <w:color w:val="000000"/>
              </w:rPr>
            </w:pPr>
            <w:r w:rsidRPr="00A26C26">
              <w:rPr>
                <w:rFonts w:cstheme="minorHAnsi"/>
                <w:color w:val="000000"/>
              </w:rPr>
              <w:t>5</w:t>
            </w:r>
          </w:p>
        </w:tc>
      </w:tr>
      <w:tr w:rsidR="00224658" w:rsidRPr="00A26C26" w14:paraId="20963B80" w14:textId="77777777" w:rsidTr="007F1E76">
        <w:trPr>
          <w:trHeight w:val="249"/>
        </w:trPr>
        <w:tc>
          <w:tcPr>
            <w:tcW w:w="1980" w:type="dxa"/>
            <w:tcBorders>
              <w:top w:val="nil"/>
              <w:left w:val="single" w:sz="4" w:space="0" w:color="auto"/>
              <w:bottom w:val="single" w:sz="4" w:space="0" w:color="auto"/>
              <w:right w:val="single" w:sz="4" w:space="0" w:color="auto"/>
            </w:tcBorders>
            <w:shd w:val="clear" w:color="000000" w:fill="DDEBF7"/>
            <w:noWrap/>
            <w:vAlign w:val="bottom"/>
            <w:hideMark/>
          </w:tcPr>
          <w:p w14:paraId="12A36B4B" w14:textId="112D77FE" w:rsidR="00224658" w:rsidRPr="00A26C26" w:rsidRDefault="00224658" w:rsidP="00A26C26">
            <w:pPr>
              <w:spacing w:line="276" w:lineRule="auto"/>
              <w:rPr>
                <w:rFonts w:cstheme="minorHAnsi"/>
                <w:color w:val="000000"/>
              </w:rPr>
            </w:pPr>
            <w:r w:rsidRPr="00A26C26">
              <w:rPr>
                <w:rFonts w:cstheme="minorHAnsi"/>
                <w:color w:val="000000"/>
              </w:rPr>
              <w:t>Razem</w:t>
            </w:r>
            <w:r w:rsidR="003B50ED">
              <w:rPr>
                <w:rFonts w:cstheme="minorHAnsi"/>
                <w:color w:val="000000"/>
              </w:rPr>
              <w:t xml:space="preserve"> </w:t>
            </w:r>
            <w:r w:rsidRPr="00A26C26">
              <w:rPr>
                <w:rFonts w:cstheme="minorHAnsi"/>
                <w:color w:val="000000"/>
              </w:rPr>
              <w:t>LGD</w:t>
            </w:r>
          </w:p>
        </w:tc>
        <w:tc>
          <w:tcPr>
            <w:tcW w:w="1644" w:type="dxa"/>
            <w:tcBorders>
              <w:top w:val="nil"/>
              <w:left w:val="nil"/>
              <w:bottom w:val="single" w:sz="4" w:space="0" w:color="auto"/>
              <w:right w:val="single" w:sz="4" w:space="0" w:color="auto"/>
            </w:tcBorders>
            <w:shd w:val="clear" w:color="000000" w:fill="DDEBF7"/>
            <w:noWrap/>
            <w:vAlign w:val="bottom"/>
            <w:hideMark/>
          </w:tcPr>
          <w:p w14:paraId="2257E6BA" w14:textId="77777777" w:rsidR="00224658" w:rsidRPr="00A26C26" w:rsidRDefault="00224658" w:rsidP="00A26C26">
            <w:pPr>
              <w:spacing w:line="276" w:lineRule="auto"/>
              <w:jc w:val="right"/>
              <w:rPr>
                <w:rFonts w:cstheme="minorHAnsi"/>
                <w:color w:val="000000"/>
              </w:rPr>
            </w:pPr>
            <w:r w:rsidRPr="00A26C26">
              <w:rPr>
                <w:rFonts w:cstheme="minorHAnsi"/>
                <w:color w:val="000000"/>
              </w:rPr>
              <w:t>36</w:t>
            </w:r>
          </w:p>
        </w:tc>
        <w:tc>
          <w:tcPr>
            <w:tcW w:w="1644" w:type="dxa"/>
            <w:tcBorders>
              <w:top w:val="nil"/>
              <w:left w:val="nil"/>
              <w:bottom w:val="single" w:sz="4" w:space="0" w:color="auto"/>
              <w:right w:val="single" w:sz="4" w:space="0" w:color="auto"/>
            </w:tcBorders>
            <w:shd w:val="clear" w:color="000000" w:fill="DDEBF7"/>
            <w:noWrap/>
            <w:vAlign w:val="bottom"/>
            <w:hideMark/>
          </w:tcPr>
          <w:p w14:paraId="213B362E" w14:textId="77777777" w:rsidR="00224658" w:rsidRPr="00A26C26" w:rsidRDefault="00224658" w:rsidP="00A26C26">
            <w:pPr>
              <w:spacing w:line="276" w:lineRule="auto"/>
              <w:jc w:val="right"/>
              <w:rPr>
                <w:rFonts w:cstheme="minorHAnsi"/>
                <w:color w:val="000000"/>
              </w:rPr>
            </w:pPr>
            <w:r w:rsidRPr="00A26C26">
              <w:rPr>
                <w:rFonts w:cstheme="minorHAnsi"/>
                <w:color w:val="000000"/>
              </w:rPr>
              <w:t>33</w:t>
            </w:r>
          </w:p>
        </w:tc>
        <w:tc>
          <w:tcPr>
            <w:tcW w:w="1644" w:type="dxa"/>
            <w:tcBorders>
              <w:top w:val="nil"/>
              <w:left w:val="nil"/>
              <w:bottom w:val="single" w:sz="4" w:space="0" w:color="auto"/>
              <w:right w:val="single" w:sz="4" w:space="0" w:color="auto"/>
            </w:tcBorders>
            <w:shd w:val="clear" w:color="000000" w:fill="DDEBF7"/>
            <w:noWrap/>
            <w:vAlign w:val="bottom"/>
            <w:hideMark/>
          </w:tcPr>
          <w:p w14:paraId="779A368F" w14:textId="77777777" w:rsidR="00224658" w:rsidRPr="00A26C26" w:rsidRDefault="00224658" w:rsidP="00A26C26">
            <w:pPr>
              <w:spacing w:line="276" w:lineRule="auto"/>
              <w:jc w:val="right"/>
              <w:rPr>
                <w:rFonts w:cstheme="minorHAnsi"/>
                <w:color w:val="000000"/>
              </w:rPr>
            </w:pPr>
            <w:r w:rsidRPr="00A26C26">
              <w:rPr>
                <w:rFonts w:cstheme="minorHAnsi"/>
                <w:color w:val="000000"/>
              </w:rPr>
              <w:t>34</w:t>
            </w:r>
          </w:p>
        </w:tc>
        <w:tc>
          <w:tcPr>
            <w:tcW w:w="1644" w:type="dxa"/>
            <w:tcBorders>
              <w:top w:val="nil"/>
              <w:left w:val="nil"/>
              <w:bottom w:val="single" w:sz="4" w:space="0" w:color="auto"/>
              <w:right w:val="single" w:sz="4" w:space="0" w:color="auto"/>
            </w:tcBorders>
            <w:shd w:val="clear" w:color="000000" w:fill="DDEBF7"/>
            <w:noWrap/>
            <w:vAlign w:val="bottom"/>
            <w:hideMark/>
          </w:tcPr>
          <w:p w14:paraId="722C0076" w14:textId="77777777" w:rsidR="00224658" w:rsidRPr="00A26C26" w:rsidRDefault="00224658" w:rsidP="00A26C26">
            <w:pPr>
              <w:spacing w:line="276" w:lineRule="auto"/>
              <w:jc w:val="right"/>
              <w:rPr>
                <w:rFonts w:cstheme="minorHAnsi"/>
                <w:color w:val="000000"/>
              </w:rPr>
            </w:pPr>
            <w:r w:rsidRPr="00A26C26">
              <w:rPr>
                <w:rFonts w:cstheme="minorHAnsi"/>
                <w:color w:val="000000"/>
              </w:rPr>
              <w:t>34</w:t>
            </w:r>
          </w:p>
        </w:tc>
        <w:tc>
          <w:tcPr>
            <w:tcW w:w="1645" w:type="dxa"/>
            <w:tcBorders>
              <w:top w:val="nil"/>
              <w:left w:val="nil"/>
              <w:bottom w:val="single" w:sz="4" w:space="0" w:color="auto"/>
              <w:right w:val="single" w:sz="4" w:space="0" w:color="auto"/>
            </w:tcBorders>
            <w:shd w:val="clear" w:color="000000" w:fill="DDEBF7"/>
            <w:noWrap/>
            <w:vAlign w:val="bottom"/>
            <w:hideMark/>
          </w:tcPr>
          <w:p w14:paraId="1D1A9A18" w14:textId="77777777" w:rsidR="00224658" w:rsidRPr="00A26C26" w:rsidRDefault="00224658" w:rsidP="00A26C26">
            <w:pPr>
              <w:spacing w:line="276" w:lineRule="auto"/>
              <w:jc w:val="right"/>
              <w:rPr>
                <w:rFonts w:cstheme="minorHAnsi"/>
                <w:color w:val="000000"/>
              </w:rPr>
            </w:pPr>
            <w:r w:rsidRPr="00A26C26">
              <w:rPr>
                <w:rFonts w:cstheme="minorHAnsi"/>
                <w:color w:val="000000"/>
              </w:rPr>
              <w:t>35</w:t>
            </w:r>
          </w:p>
        </w:tc>
      </w:tr>
    </w:tbl>
    <w:p w14:paraId="3E755A7E" w14:textId="610A1880" w:rsidR="00224658" w:rsidRPr="00A26C26" w:rsidRDefault="003B50ED" w:rsidP="00A26C26">
      <w:pPr>
        <w:spacing w:line="276" w:lineRule="auto"/>
        <w:rPr>
          <w:rFonts w:cstheme="minorHAnsi"/>
        </w:rPr>
      </w:pPr>
      <w:r>
        <w:rPr>
          <w:rFonts w:cstheme="minorHAnsi"/>
        </w:rPr>
        <w:t xml:space="preserve"> </w:t>
      </w:r>
      <w:r w:rsidR="00224658" w:rsidRPr="00A26C26">
        <w:rPr>
          <w:rFonts w:cstheme="minorHAnsi"/>
        </w:rPr>
        <w:t>Źródło:</w:t>
      </w:r>
      <w:r>
        <w:rPr>
          <w:rFonts w:cstheme="minorHAnsi"/>
        </w:rPr>
        <w:t xml:space="preserve"> </w:t>
      </w:r>
      <w:r w:rsidR="00224658" w:rsidRPr="00A26C26">
        <w:rPr>
          <w:rFonts w:cstheme="minorHAnsi"/>
        </w:rPr>
        <w:t>GUS,</w:t>
      </w:r>
      <w:r>
        <w:rPr>
          <w:rFonts w:cstheme="minorHAnsi"/>
        </w:rPr>
        <w:t xml:space="preserve"> </w:t>
      </w:r>
      <w:r w:rsidR="00224658" w:rsidRPr="00A26C26">
        <w:rPr>
          <w:rFonts w:cstheme="minorHAnsi"/>
        </w:rPr>
        <w:t>Bank</w:t>
      </w:r>
      <w:r>
        <w:rPr>
          <w:rFonts w:cstheme="minorHAnsi"/>
        </w:rPr>
        <w:t xml:space="preserve"> </w:t>
      </w:r>
      <w:r w:rsidR="00224658" w:rsidRPr="00A26C26">
        <w:rPr>
          <w:rFonts w:cstheme="minorHAnsi"/>
        </w:rPr>
        <w:t>Danych</w:t>
      </w:r>
      <w:r>
        <w:rPr>
          <w:rFonts w:cstheme="minorHAnsi"/>
        </w:rPr>
        <w:t xml:space="preserve"> </w:t>
      </w:r>
      <w:r w:rsidR="00224658" w:rsidRPr="00A26C26">
        <w:rPr>
          <w:rFonts w:cstheme="minorHAnsi"/>
        </w:rPr>
        <w:t>Lokalnych</w:t>
      </w:r>
    </w:p>
    <w:p w14:paraId="7E2E3B46" w14:textId="77777777" w:rsidR="00224658" w:rsidRPr="00A26C26" w:rsidRDefault="00224658" w:rsidP="00A26C26">
      <w:pPr>
        <w:spacing w:line="276" w:lineRule="auto"/>
        <w:rPr>
          <w:rFonts w:cstheme="minorHAnsi"/>
        </w:rPr>
      </w:pPr>
    </w:p>
    <w:p w14:paraId="27BAD8BD" w14:textId="4540C7E1" w:rsidR="00224658" w:rsidRPr="00A26C26" w:rsidRDefault="00224658" w:rsidP="008A412F">
      <w:pPr>
        <w:pStyle w:val="Nagwek2"/>
        <w:numPr>
          <w:ilvl w:val="0"/>
          <w:numId w:val="11"/>
        </w:numPr>
        <w:spacing w:before="0" w:line="276" w:lineRule="auto"/>
        <w:rPr>
          <w:rFonts w:asciiTheme="minorHAnsi" w:hAnsiTheme="minorHAnsi" w:cstheme="minorHAnsi"/>
          <w:b/>
          <w:bCs/>
          <w:sz w:val="22"/>
          <w:szCs w:val="22"/>
        </w:rPr>
      </w:pPr>
      <w:bookmarkStart w:id="68" w:name="_Toc136260207"/>
      <w:bookmarkStart w:id="69" w:name="_Toc136944416"/>
      <w:r w:rsidRPr="00A26C26">
        <w:rPr>
          <w:rFonts w:asciiTheme="minorHAnsi" w:hAnsiTheme="minorHAnsi" w:cstheme="minorHAnsi"/>
          <w:b/>
          <w:bCs/>
          <w:sz w:val="22"/>
          <w:szCs w:val="22"/>
        </w:rPr>
        <w:t>Zrównoważenie</w:t>
      </w:r>
      <w:r w:rsidR="003B50ED">
        <w:rPr>
          <w:rFonts w:asciiTheme="minorHAnsi" w:hAnsiTheme="minorHAnsi" w:cstheme="minorHAnsi"/>
          <w:b/>
          <w:bCs/>
          <w:sz w:val="22"/>
          <w:szCs w:val="22"/>
        </w:rPr>
        <w:t xml:space="preserve"> </w:t>
      </w:r>
      <w:r w:rsidRPr="00A26C26">
        <w:rPr>
          <w:rFonts w:asciiTheme="minorHAnsi" w:hAnsiTheme="minorHAnsi" w:cstheme="minorHAnsi"/>
          <w:b/>
          <w:bCs/>
          <w:sz w:val="22"/>
          <w:szCs w:val="22"/>
        </w:rPr>
        <w:t>środowiskowe</w:t>
      </w:r>
      <w:bookmarkEnd w:id="68"/>
      <w:bookmarkEnd w:id="69"/>
    </w:p>
    <w:p w14:paraId="46199570" w14:textId="31E5238A" w:rsidR="00224658" w:rsidRPr="00A26C26" w:rsidRDefault="00224658" w:rsidP="00A26C26">
      <w:pPr>
        <w:spacing w:line="276" w:lineRule="auto"/>
        <w:ind w:firstLine="284"/>
        <w:jc w:val="both"/>
        <w:rPr>
          <w:rFonts w:cstheme="minorHAnsi"/>
        </w:rPr>
      </w:pPr>
      <w:r w:rsidRPr="00A26C26">
        <w:rPr>
          <w:rFonts w:cstheme="minorHAnsi"/>
        </w:rPr>
        <w:t>Dbając</w:t>
      </w:r>
      <w:r w:rsidR="003B50ED">
        <w:rPr>
          <w:rFonts w:cstheme="minorHAnsi"/>
        </w:rPr>
        <w:t xml:space="preserve"> </w:t>
      </w:r>
      <w:r w:rsidRPr="00A26C26">
        <w:rPr>
          <w:rFonts w:cstheme="minorHAnsi"/>
        </w:rPr>
        <w:t>o</w:t>
      </w:r>
      <w:r w:rsidR="003B50ED">
        <w:rPr>
          <w:rFonts w:cstheme="minorHAnsi"/>
        </w:rPr>
        <w:t xml:space="preserve"> </w:t>
      </w:r>
      <w:r w:rsidRPr="00A26C26">
        <w:rPr>
          <w:rFonts w:cstheme="minorHAnsi"/>
        </w:rPr>
        <w:t>poprawę</w:t>
      </w:r>
      <w:r w:rsidR="003B50ED">
        <w:rPr>
          <w:rFonts w:cstheme="minorHAnsi"/>
        </w:rPr>
        <w:t xml:space="preserve"> </w:t>
      </w:r>
      <w:r w:rsidRPr="00A26C26">
        <w:rPr>
          <w:rFonts w:cstheme="minorHAnsi"/>
        </w:rPr>
        <w:t>jakości</w:t>
      </w:r>
      <w:r w:rsidR="003B50ED">
        <w:rPr>
          <w:rFonts w:cstheme="minorHAnsi"/>
        </w:rPr>
        <w:t xml:space="preserve"> </w:t>
      </w:r>
      <w:r w:rsidRPr="00A26C26">
        <w:rPr>
          <w:rFonts w:cstheme="minorHAnsi"/>
        </w:rPr>
        <w:t>życia</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obszarze</w:t>
      </w:r>
      <w:r w:rsidR="003B50ED">
        <w:rPr>
          <w:rFonts w:cstheme="minorHAnsi"/>
        </w:rPr>
        <w:t xml:space="preserve"> </w:t>
      </w:r>
      <w:r w:rsidRPr="00A26C26">
        <w:rPr>
          <w:rFonts w:cstheme="minorHAnsi"/>
        </w:rPr>
        <w:t>działania</w:t>
      </w:r>
      <w:r w:rsidR="003B50ED">
        <w:rPr>
          <w:rFonts w:cstheme="minorHAnsi"/>
        </w:rPr>
        <w:t xml:space="preserve"> </w:t>
      </w:r>
      <w:r w:rsidRPr="00A26C26">
        <w:rPr>
          <w:rFonts w:cstheme="minorHAnsi"/>
        </w:rPr>
        <w:t>LGD</w:t>
      </w:r>
      <w:r w:rsidR="003B50ED">
        <w:rPr>
          <w:rFonts w:cstheme="minorHAnsi"/>
        </w:rPr>
        <w:t xml:space="preserve"> </w:t>
      </w:r>
      <w:r w:rsidRPr="00A26C26">
        <w:rPr>
          <w:rFonts w:cstheme="minorHAnsi"/>
        </w:rPr>
        <w:t>„Solidarni</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Partnerstwie”</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tym</w:t>
      </w:r>
      <w:r w:rsidR="003B50ED">
        <w:rPr>
          <w:rFonts w:cstheme="minorHAnsi"/>
        </w:rPr>
        <w:t xml:space="preserve"> </w:t>
      </w:r>
      <w:r w:rsidRPr="00A26C26">
        <w:rPr>
          <w:rFonts w:cstheme="minorHAnsi"/>
        </w:rPr>
        <w:t>rozwój</w:t>
      </w:r>
      <w:r w:rsidR="003B50ED">
        <w:rPr>
          <w:rFonts w:cstheme="minorHAnsi"/>
        </w:rPr>
        <w:t xml:space="preserve"> </w:t>
      </w:r>
      <w:r w:rsidRPr="00A26C26">
        <w:rPr>
          <w:rFonts w:cstheme="minorHAnsi"/>
        </w:rPr>
        <w:t>przedsiębiorczości,</w:t>
      </w:r>
      <w:r w:rsidR="003B50ED">
        <w:rPr>
          <w:rFonts w:cstheme="minorHAnsi"/>
        </w:rPr>
        <w:t xml:space="preserve"> </w:t>
      </w:r>
      <w:r w:rsidRPr="00A26C26">
        <w:rPr>
          <w:rFonts w:cstheme="minorHAnsi"/>
        </w:rPr>
        <w:t>nie</w:t>
      </w:r>
      <w:r w:rsidR="003B50ED">
        <w:rPr>
          <w:rFonts w:cstheme="minorHAnsi"/>
        </w:rPr>
        <w:t xml:space="preserve"> </w:t>
      </w:r>
      <w:r w:rsidRPr="00A26C26">
        <w:rPr>
          <w:rFonts w:cstheme="minorHAnsi"/>
        </w:rPr>
        <w:t>można</w:t>
      </w:r>
      <w:r w:rsidR="003B50ED">
        <w:rPr>
          <w:rFonts w:cstheme="minorHAnsi"/>
        </w:rPr>
        <w:t xml:space="preserve"> </w:t>
      </w:r>
      <w:r w:rsidRPr="00A26C26">
        <w:rPr>
          <w:rFonts w:cstheme="minorHAnsi"/>
        </w:rPr>
        <w:t>pominąć</w:t>
      </w:r>
      <w:r w:rsidR="003B50ED">
        <w:rPr>
          <w:rFonts w:cstheme="minorHAnsi"/>
        </w:rPr>
        <w:t xml:space="preserve"> </w:t>
      </w:r>
      <w:r w:rsidRPr="00A26C26">
        <w:rPr>
          <w:rFonts w:cstheme="minorHAnsi"/>
        </w:rPr>
        <w:t>istotnych</w:t>
      </w:r>
      <w:r w:rsidR="003B50ED">
        <w:rPr>
          <w:rFonts w:cstheme="minorHAnsi"/>
        </w:rPr>
        <w:t xml:space="preserve"> </w:t>
      </w:r>
      <w:r w:rsidRPr="00A26C26">
        <w:rPr>
          <w:rFonts w:cstheme="minorHAnsi"/>
        </w:rPr>
        <w:t>kwestii</w:t>
      </w:r>
      <w:r w:rsidR="003B50ED">
        <w:rPr>
          <w:rFonts w:cstheme="minorHAnsi"/>
        </w:rPr>
        <w:t xml:space="preserve"> </w:t>
      </w:r>
      <w:r w:rsidRPr="00A26C26">
        <w:rPr>
          <w:rFonts w:cstheme="minorHAnsi"/>
        </w:rPr>
        <w:t>związanych</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ochroną</w:t>
      </w:r>
      <w:r w:rsidR="003B50ED">
        <w:rPr>
          <w:rFonts w:cstheme="minorHAnsi"/>
        </w:rPr>
        <w:t xml:space="preserve"> </w:t>
      </w:r>
      <w:r w:rsidRPr="00A26C26">
        <w:rPr>
          <w:rFonts w:cstheme="minorHAnsi"/>
        </w:rPr>
        <w:t>środowiska</w:t>
      </w:r>
      <w:r w:rsidR="003B50ED">
        <w:rPr>
          <w:rFonts w:cstheme="minorHAnsi"/>
        </w:rPr>
        <w:t xml:space="preserve"> </w:t>
      </w:r>
      <w:r w:rsidRPr="00A26C26">
        <w:rPr>
          <w:rFonts w:cstheme="minorHAnsi"/>
        </w:rPr>
        <w:t>oraz</w:t>
      </w:r>
      <w:r w:rsidR="003B50ED">
        <w:rPr>
          <w:rFonts w:cstheme="minorHAnsi"/>
        </w:rPr>
        <w:t xml:space="preserve"> </w:t>
      </w:r>
      <w:r w:rsidRPr="00A26C26">
        <w:rPr>
          <w:rFonts w:cstheme="minorHAnsi"/>
        </w:rPr>
        <w:t>przeciwdziałaniem</w:t>
      </w:r>
      <w:r w:rsidR="003B50ED">
        <w:rPr>
          <w:rFonts w:cstheme="minorHAnsi"/>
        </w:rPr>
        <w:t xml:space="preserve"> </w:t>
      </w:r>
      <w:r w:rsidRPr="00A26C26">
        <w:rPr>
          <w:rFonts w:cstheme="minorHAnsi"/>
        </w:rPr>
        <w:t>zmianom</w:t>
      </w:r>
      <w:r w:rsidR="003B50ED">
        <w:rPr>
          <w:rFonts w:cstheme="minorHAnsi"/>
        </w:rPr>
        <w:t xml:space="preserve"> </w:t>
      </w:r>
      <w:r w:rsidRPr="00A26C26">
        <w:rPr>
          <w:rFonts w:cstheme="minorHAnsi"/>
        </w:rPr>
        <w:t>klimatycznym.</w:t>
      </w:r>
    </w:p>
    <w:p w14:paraId="5E86CE2A" w14:textId="41BCAB52" w:rsidR="00224658" w:rsidRPr="00A26C26" w:rsidRDefault="00224658" w:rsidP="00A26C26">
      <w:pPr>
        <w:spacing w:line="276" w:lineRule="auto"/>
        <w:ind w:firstLine="284"/>
        <w:jc w:val="both"/>
        <w:rPr>
          <w:rFonts w:cstheme="minorHAnsi"/>
          <w:lang w:eastAsia="pl-PL"/>
        </w:rPr>
      </w:pPr>
      <w:r w:rsidRPr="00A26C26">
        <w:rPr>
          <w:rFonts w:cstheme="minorHAnsi"/>
          <w:lang w:eastAsia="pl-PL"/>
        </w:rPr>
        <w:t>Zrównoważenie</w:t>
      </w:r>
      <w:r w:rsidR="003B50ED">
        <w:rPr>
          <w:rFonts w:cstheme="minorHAnsi"/>
          <w:lang w:eastAsia="pl-PL"/>
        </w:rPr>
        <w:t xml:space="preserve"> </w:t>
      </w:r>
      <w:r w:rsidRPr="00A26C26">
        <w:rPr>
          <w:rFonts w:cstheme="minorHAnsi"/>
          <w:lang w:eastAsia="pl-PL"/>
        </w:rPr>
        <w:t>środowiskowe</w:t>
      </w:r>
      <w:r w:rsidR="003B50ED">
        <w:rPr>
          <w:rFonts w:cstheme="minorHAnsi"/>
          <w:lang w:eastAsia="pl-PL"/>
        </w:rPr>
        <w:t xml:space="preserve"> </w:t>
      </w:r>
      <w:r w:rsidRPr="00A26C26">
        <w:rPr>
          <w:rFonts w:cstheme="minorHAnsi"/>
          <w:lang w:eastAsia="pl-PL"/>
        </w:rPr>
        <w:t>jest</w:t>
      </w:r>
      <w:r w:rsidR="003B50ED">
        <w:rPr>
          <w:rFonts w:cstheme="minorHAnsi"/>
          <w:lang w:eastAsia="pl-PL"/>
        </w:rPr>
        <w:t xml:space="preserve"> </w:t>
      </w:r>
      <w:r w:rsidRPr="00285A63">
        <w:rPr>
          <w:rFonts w:cstheme="minorHAnsi"/>
          <w:lang w:eastAsia="pl-PL"/>
        </w:rPr>
        <w:t>rozumiane</w:t>
      </w:r>
      <w:r w:rsidR="003B50ED" w:rsidRPr="00285A63">
        <w:rPr>
          <w:rFonts w:cstheme="minorHAnsi"/>
          <w:lang w:eastAsia="pl-PL"/>
        </w:rPr>
        <w:t xml:space="preserve"> </w:t>
      </w:r>
      <w:r w:rsidR="006F26E4" w:rsidRPr="00285A63">
        <w:rPr>
          <w:rFonts w:cstheme="minorHAnsi"/>
          <w:lang w:eastAsia="pl-PL"/>
        </w:rPr>
        <w:t xml:space="preserve">jako </w:t>
      </w:r>
      <w:r w:rsidRPr="00285A63">
        <w:rPr>
          <w:rFonts w:cstheme="minorHAnsi"/>
          <w:lang w:eastAsia="pl-PL"/>
        </w:rPr>
        <w:t>efektywne</w:t>
      </w:r>
      <w:r w:rsidR="003B50ED">
        <w:rPr>
          <w:rFonts w:cstheme="minorHAnsi"/>
          <w:lang w:eastAsia="pl-PL"/>
        </w:rPr>
        <w:t xml:space="preserve"> </w:t>
      </w:r>
      <w:r w:rsidRPr="00A26C26">
        <w:rPr>
          <w:rFonts w:cstheme="minorHAnsi"/>
          <w:lang w:eastAsia="pl-PL"/>
        </w:rPr>
        <w:t>gospodarowanie</w:t>
      </w:r>
      <w:r w:rsidR="003B50ED">
        <w:rPr>
          <w:rFonts w:cstheme="minorHAnsi"/>
          <w:lang w:eastAsia="pl-PL"/>
        </w:rPr>
        <w:t xml:space="preserve"> </w:t>
      </w:r>
      <w:r w:rsidRPr="00A26C26">
        <w:rPr>
          <w:rFonts w:cstheme="minorHAnsi"/>
          <w:lang w:eastAsia="pl-PL"/>
        </w:rPr>
        <w:t>zasobami</w:t>
      </w:r>
      <w:r w:rsidR="003B50ED">
        <w:rPr>
          <w:rFonts w:cstheme="minorHAnsi"/>
          <w:lang w:eastAsia="pl-PL"/>
        </w:rPr>
        <w:t xml:space="preserve"> </w:t>
      </w:r>
      <w:r w:rsidRPr="00A26C26">
        <w:rPr>
          <w:rFonts w:cstheme="minorHAnsi"/>
          <w:lang w:eastAsia="pl-PL"/>
        </w:rPr>
        <w:t>naturalnymi</w:t>
      </w:r>
      <w:r w:rsidR="003B50ED">
        <w:rPr>
          <w:rFonts w:cstheme="minorHAnsi"/>
          <w:lang w:eastAsia="pl-PL"/>
        </w:rPr>
        <w:t xml:space="preserve"> </w:t>
      </w:r>
      <w:r w:rsidR="00D543AB">
        <w:rPr>
          <w:rFonts w:cstheme="minorHAnsi"/>
          <w:lang w:eastAsia="pl-PL"/>
        </w:rPr>
        <w:t xml:space="preserve">                               </w:t>
      </w:r>
      <w:r w:rsidRPr="00A26C26">
        <w:rPr>
          <w:rFonts w:cstheme="minorHAnsi"/>
          <w:lang w:eastAsia="pl-PL"/>
        </w:rPr>
        <w:t>w</w:t>
      </w:r>
      <w:r w:rsidR="003B50ED">
        <w:rPr>
          <w:rFonts w:cstheme="minorHAnsi"/>
          <w:lang w:eastAsia="pl-PL"/>
        </w:rPr>
        <w:t xml:space="preserve"> </w:t>
      </w:r>
      <w:r w:rsidRPr="00A26C26">
        <w:rPr>
          <w:rFonts w:cstheme="minorHAnsi"/>
          <w:lang w:eastAsia="pl-PL"/>
        </w:rPr>
        <w:t>działalności</w:t>
      </w:r>
      <w:r w:rsidR="003B50ED">
        <w:rPr>
          <w:rFonts w:cstheme="minorHAnsi"/>
          <w:lang w:eastAsia="pl-PL"/>
        </w:rPr>
        <w:t xml:space="preserve"> </w:t>
      </w:r>
      <w:r w:rsidRPr="00A26C26">
        <w:rPr>
          <w:rFonts w:cstheme="minorHAnsi"/>
          <w:lang w:eastAsia="pl-PL"/>
        </w:rPr>
        <w:t>produkcyjnej,</w:t>
      </w:r>
      <w:r w:rsidR="003B50ED">
        <w:rPr>
          <w:rFonts w:cstheme="minorHAnsi"/>
          <w:lang w:eastAsia="pl-PL"/>
        </w:rPr>
        <w:t xml:space="preserve"> </w:t>
      </w:r>
      <w:r w:rsidRPr="00A26C26">
        <w:rPr>
          <w:rFonts w:cstheme="minorHAnsi"/>
          <w:lang w:eastAsia="pl-PL"/>
        </w:rPr>
        <w:t>pozwalające</w:t>
      </w:r>
      <w:r w:rsidR="003B50ED">
        <w:rPr>
          <w:rFonts w:cstheme="minorHAnsi"/>
          <w:lang w:eastAsia="pl-PL"/>
        </w:rPr>
        <w:t xml:space="preserve"> </w:t>
      </w:r>
      <w:r w:rsidRPr="00A26C26">
        <w:rPr>
          <w:rFonts w:cstheme="minorHAnsi"/>
          <w:lang w:eastAsia="pl-PL"/>
        </w:rPr>
        <w:t>na</w:t>
      </w:r>
      <w:r w:rsidR="003B50ED">
        <w:rPr>
          <w:rFonts w:cstheme="minorHAnsi"/>
          <w:lang w:eastAsia="pl-PL"/>
        </w:rPr>
        <w:t xml:space="preserve"> </w:t>
      </w:r>
      <w:r w:rsidRPr="00A26C26">
        <w:rPr>
          <w:rFonts w:cstheme="minorHAnsi"/>
          <w:lang w:eastAsia="pl-PL"/>
        </w:rPr>
        <w:t>ich</w:t>
      </w:r>
      <w:r w:rsidR="003B50ED">
        <w:rPr>
          <w:rFonts w:cstheme="minorHAnsi"/>
          <w:lang w:eastAsia="pl-PL"/>
        </w:rPr>
        <w:t xml:space="preserve"> </w:t>
      </w:r>
      <w:r w:rsidRPr="00A26C26">
        <w:rPr>
          <w:rFonts w:cstheme="minorHAnsi"/>
          <w:lang w:eastAsia="pl-PL"/>
        </w:rPr>
        <w:t>zachowanie</w:t>
      </w:r>
      <w:r w:rsidR="003B50ED">
        <w:rPr>
          <w:rFonts w:cstheme="minorHAnsi"/>
          <w:lang w:eastAsia="pl-PL"/>
        </w:rPr>
        <w:t xml:space="preserve"> </w:t>
      </w:r>
      <w:r w:rsidRPr="00A26C26">
        <w:rPr>
          <w:rFonts w:cstheme="minorHAnsi"/>
          <w:lang w:eastAsia="pl-PL"/>
        </w:rPr>
        <w:t>na</w:t>
      </w:r>
      <w:r w:rsidR="003B50ED">
        <w:rPr>
          <w:rFonts w:cstheme="minorHAnsi"/>
          <w:lang w:eastAsia="pl-PL"/>
        </w:rPr>
        <w:t xml:space="preserve"> </w:t>
      </w:r>
      <w:r w:rsidRPr="00A26C26">
        <w:rPr>
          <w:rFonts w:cstheme="minorHAnsi"/>
          <w:lang w:eastAsia="pl-PL"/>
        </w:rPr>
        <w:t>przyszłe</w:t>
      </w:r>
      <w:r w:rsidR="003B50ED">
        <w:rPr>
          <w:rFonts w:cstheme="minorHAnsi"/>
          <w:lang w:eastAsia="pl-PL"/>
        </w:rPr>
        <w:t xml:space="preserve"> </w:t>
      </w:r>
      <w:r w:rsidRPr="00A26C26">
        <w:rPr>
          <w:rFonts w:cstheme="minorHAnsi"/>
          <w:lang w:eastAsia="pl-PL"/>
        </w:rPr>
        <w:t>potrzeby.</w:t>
      </w:r>
      <w:r w:rsidR="003B50ED">
        <w:rPr>
          <w:rFonts w:cstheme="minorHAnsi"/>
          <w:lang w:eastAsia="pl-PL"/>
        </w:rPr>
        <w:t xml:space="preserve"> </w:t>
      </w:r>
      <w:r w:rsidRPr="00A26C26">
        <w:rPr>
          <w:rFonts w:cstheme="minorHAnsi"/>
          <w:lang w:eastAsia="pl-PL"/>
        </w:rPr>
        <w:t>Należy</w:t>
      </w:r>
      <w:r w:rsidR="003B50ED">
        <w:rPr>
          <w:rFonts w:cstheme="minorHAnsi"/>
          <w:lang w:eastAsia="pl-PL"/>
        </w:rPr>
        <w:t xml:space="preserve"> </w:t>
      </w:r>
      <w:r w:rsidRPr="00A26C26">
        <w:rPr>
          <w:rFonts w:cstheme="minorHAnsi"/>
          <w:lang w:eastAsia="pl-PL"/>
        </w:rPr>
        <w:t>jednocześnie</w:t>
      </w:r>
      <w:r w:rsidR="003B50ED">
        <w:rPr>
          <w:rFonts w:cstheme="minorHAnsi"/>
          <w:lang w:eastAsia="pl-PL"/>
        </w:rPr>
        <w:t xml:space="preserve"> </w:t>
      </w:r>
      <w:r w:rsidRPr="00A26C26">
        <w:rPr>
          <w:rFonts w:cstheme="minorHAnsi"/>
          <w:lang w:eastAsia="pl-PL"/>
        </w:rPr>
        <w:t>pamiętać,</w:t>
      </w:r>
      <w:r w:rsidR="003B50ED">
        <w:rPr>
          <w:rFonts w:cstheme="minorHAnsi"/>
          <w:lang w:eastAsia="pl-PL"/>
        </w:rPr>
        <w:t xml:space="preserve"> </w:t>
      </w:r>
      <w:r w:rsidR="00D543AB">
        <w:rPr>
          <w:rFonts w:cstheme="minorHAnsi"/>
          <w:lang w:eastAsia="pl-PL"/>
        </w:rPr>
        <w:t xml:space="preserve">             </w:t>
      </w:r>
      <w:r w:rsidRPr="00A26C26">
        <w:rPr>
          <w:rFonts w:cstheme="minorHAnsi"/>
          <w:lang w:eastAsia="pl-PL"/>
        </w:rPr>
        <w:t>że</w:t>
      </w:r>
      <w:r w:rsidR="003B50ED">
        <w:rPr>
          <w:rFonts w:cstheme="minorHAnsi"/>
          <w:lang w:eastAsia="pl-PL"/>
        </w:rPr>
        <w:t xml:space="preserve"> </w:t>
      </w:r>
      <w:r w:rsidRPr="00A26C26">
        <w:rPr>
          <w:rFonts w:cstheme="minorHAnsi"/>
          <w:lang w:eastAsia="pl-PL"/>
        </w:rPr>
        <w:t>rozwój</w:t>
      </w:r>
      <w:r w:rsidR="003B50ED">
        <w:rPr>
          <w:rFonts w:cstheme="minorHAnsi"/>
          <w:lang w:eastAsia="pl-PL"/>
        </w:rPr>
        <w:t xml:space="preserve"> </w:t>
      </w:r>
      <w:r w:rsidRPr="00A26C26">
        <w:rPr>
          <w:rFonts w:cstheme="minorHAnsi"/>
          <w:lang w:eastAsia="pl-PL"/>
        </w:rPr>
        <w:t>gospodarczy,</w:t>
      </w:r>
      <w:r w:rsidR="003B50ED">
        <w:rPr>
          <w:rFonts w:cstheme="minorHAnsi"/>
          <w:lang w:eastAsia="pl-PL"/>
        </w:rPr>
        <w:t xml:space="preserve"> </w:t>
      </w:r>
      <w:r w:rsidRPr="00A26C26">
        <w:rPr>
          <w:rFonts w:cstheme="minorHAnsi"/>
          <w:lang w:eastAsia="pl-PL"/>
        </w:rPr>
        <w:t>tak</w:t>
      </w:r>
      <w:r w:rsidR="003B50ED">
        <w:rPr>
          <w:rFonts w:cstheme="minorHAnsi"/>
          <w:lang w:eastAsia="pl-PL"/>
        </w:rPr>
        <w:t xml:space="preserve"> </w:t>
      </w:r>
      <w:r w:rsidRPr="00A26C26">
        <w:rPr>
          <w:rFonts w:cstheme="minorHAnsi"/>
          <w:lang w:eastAsia="pl-PL"/>
        </w:rPr>
        <w:t>istotny</w:t>
      </w:r>
      <w:r w:rsidR="003B50ED">
        <w:rPr>
          <w:rFonts w:cstheme="minorHAnsi"/>
          <w:lang w:eastAsia="pl-PL"/>
        </w:rPr>
        <w:t xml:space="preserve"> </w:t>
      </w:r>
      <w:r w:rsidRPr="00A26C26">
        <w:rPr>
          <w:rFonts w:cstheme="minorHAnsi"/>
          <w:lang w:eastAsia="pl-PL"/>
        </w:rPr>
        <w:t>dla</w:t>
      </w:r>
      <w:r w:rsidR="003B50ED">
        <w:rPr>
          <w:rFonts w:cstheme="minorHAnsi"/>
          <w:lang w:eastAsia="pl-PL"/>
        </w:rPr>
        <w:t xml:space="preserve"> </w:t>
      </w:r>
      <w:r w:rsidRPr="00A26C26">
        <w:rPr>
          <w:rFonts w:cstheme="minorHAnsi"/>
          <w:lang w:eastAsia="pl-PL"/>
        </w:rPr>
        <w:t>obszaru</w:t>
      </w:r>
      <w:r w:rsidR="003B50ED">
        <w:rPr>
          <w:rFonts w:cstheme="minorHAnsi"/>
          <w:lang w:eastAsia="pl-PL"/>
        </w:rPr>
        <w:t xml:space="preserve"> </w:t>
      </w:r>
      <w:r w:rsidRPr="00A26C26">
        <w:rPr>
          <w:rFonts w:cstheme="minorHAnsi"/>
          <w:lang w:eastAsia="pl-PL"/>
        </w:rPr>
        <w:t>działania</w:t>
      </w:r>
      <w:r w:rsidR="003B50ED">
        <w:rPr>
          <w:rFonts w:cstheme="minorHAnsi"/>
          <w:lang w:eastAsia="pl-PL"/>
        </w:rPr>
        <w:t xml:space="preserve"> </w:t>
      </w:r>
      <w:r w:rsidRPr="00A26C26">
        <w:rPr>
          <w:rFonts w:cstheme="minorHAnsi"/>
          <w:lang w:eastAsia="pl-PL"/>
        </w:rPr>
        <w:t>LGD</w:t>
      </w:r>
      <w:r w:rsidR="003B50ED">
        <w:rPr>
          <w:rFonts w:cstheme="minorHAnsi"/>
          <w:lang w:eastAsia="pl-PL"/>
        </w:rPr>
        <w:t xml:space="preserve"> </w:t>
      </w:r>
      <w:r w:rsidRPr="00A26C26">
        <w:rPr>
          <w:rFonts w:cstheme="minorHAnsi"/>
          <w:lang w:eastAsia="pl-PL"/>
        </w:rPr>
        <w:t>„Solidarni</w:t>
      </w:r>
      <w:r w:rsidR="003B50ED">
        <w:rPr>
          <w:rFonts w:cstheme="minorHAnsi"/>
          <w:lang w:eastAsia="pl-PL"/>
        </w:rPr>
        <w:t xml:space="preserve"> </w:t>
      </w:r>
      <w:r w:rsidRPr="00A26C26">
        <w:rPr>
          <w:rFonts w:cstheme="minorHAnsi"/>
          <w:lang w:eastAsia="pl-PL"/>
        </w:rPr>
        <w:t>w</w:t>
      </w:r>
      <w:r w:rsidR="003B50ED">
        <w:rPr>
          <w:rFonts w:cstheme="minorHAnsi"/>
          <w:lang w:eastAsia="pl-PL"/>
        </w:rPr>
        <w:t xml:space="preserve"> </w:t>
      </w:r>
      <w:r w:rsidRPr="00A26C26">
        <w:rPr>
          <w:rFonts w:cstheme="minorHAnsi"/>
          <w:lang w:eastAsia="pl-PL"/>
        </w:rPr>
        <w:t>Partnerstwie”</w:t>
      </w:r>
      <w:r w:rsidR="003B50ED">
        <w:rPr>
          <w:rFonts w:cstheme="minorHAnsi"/>
          <w:lang w:eastAsia="pl-PL"/>
        </w:rPr>
        <w:t xml:space="preserve"> </w:t>
      </w:r>
      <w:r w:rsidRPr="00A26C26">
        <w:rPr>
          <w:rFonts w:cstheme="minorHAnsi"/>
          <w:lang w:eastAsia="pl-PL"/>
        </w:rPr>
        <w:t>to</w:t>
      </w:r>
      <w:r w:rsidR="003B50ED">
        <w:rPr>
          <w:rFonts w:cstheme="minorHAnsi"/>
          <w:lang w:eastAsia="pl-PL"/>
        </w:rPr>
        <w:t xml:space="preserve"> </w:t>
      </w:r>
      <w:r w:rsidRPr="00A26C26">
        <w:rPr>
          <w:rFonts w:cstheme="minorHAnsi"/>
          <w:lang w:eastAsia="pl-PL"/>
        </w:rPr>
        <w:t>łańcuch,</w:t>
      </w:r>
      <w:r w:rsidR="003B50ED">
        <w:rPr>
          <w:rFonts w:cstheme="minorHAnsi"/>
          <w:lang w:eastAsia="pl-PL"/>
        </w:rPr>
        <w:t xml:space="preserve"> </w:t>
      </w:r>
      <w:r w:rsidRPr="00A26C26">
        <w:rPr>
          <w:rFonts w:cstheme="minorHAnsi"/>
          <w:lang w:eastAsia="pl-PL"/>
        </w:rPr>
        <w:t>który</w:t>
      </w:r>
      <w:r w:rsidR="003B50ED">
        <w:rPr>
          <w:rFonts w:cstheme="minorHAnsi"/>
          <w:lang w:eastAsia="pl-PL"/>
        </w:rPr>
        <w:t xml:space="preserve"> </w:t>
      </w:r>
      <w:r w:rsidRPr="00A26C26">
        <w:rPr>
          <w:rFonts w:cstheme="minorHAnsi"/>
          <w:lang w:eastAsia="pl-PL"/>
        </w:rPr>
        <w:t>ma</w:t>
      </w:r>
      <w:r w:rsidR="003B50ED">
        <w:rPr>
          <w:rFonts w:cstheme="minorHAnsi"/>
          <w:lang w:eastAsia="pl-PL"/>
        </w:rPr>
        <w:t xml:space="preserve"> </w:t>
      </w:r>
      <w:r w:rsidRPr="00A26C26">
        <w:rPr>
          <w:rFonts w:cstheme="minorHAnsi"/>
          <w:lang w:eastAsia="pl-PL"/>
        </w:rPr>
        <w:t>kilka</w:t>
      </w:r>
      <w:r w:rsidR="003B50ED">
        <w:rPr>
          <w:rFonts w:cstheme="minorHAnsi"/>
          <w:lang w:eastAsia="pl-PL"/>
        </w:rPr>
        <w:t xml:space="preserve"> </w:t>
      </w:r>
      <w:r w:rsidRPr="00A26C26">
        <w:rPr>
          <w:rFonts w:cstheme="minorHAnsi"/>
          <w:lang w:eastAsia="pl-PL"/>
        </w:rPr>
        <w:t>ogniw,</w:t>
      </w:r>
      <w:r w:rsidR="003B50ED">
        <w:rPr>
          <w:rFonts w:cstheme="minorHAnsi"/>
          <w:lang w:eastAsia="pl-PL"/>
        </w:rPr>
        <w:t xml:space="preserve"> </w:t>
      </w:r>
      <w:r w:rsidRPr="00A26C26">
        <w:rPr>
          <w:rFonts w:cstheme="minorHAnsi"/>
          <w:lang w:eastAsia="pl-PL"/>
        </w:rPr>
        <w:t>a</w:t>
      </w:r>
      <w:r w:rsidR="003B50ED">
        <w:rPr>
          <w:rFonts w:cstheme="minorHAnsi"/>
          <w:lang w:eastAsia="pl-PL"/>
        </w:rPr>
        <w:t xml:space="preserve"> </w:t>
      </w:r>
      <w:r w:rsidRPr="00A26C26">
        <w:rPr>
          <w:rFonts w:cstheme="minorHAnsi"/>
          <w:lang w:eastAsia="pl-PL"/>
        </w:rPr>
        <w:t>jednym</w:t>
      </w:r>
      <w:r w:rsidR="003B50ED">
        <w:rPr>
          <w:rFonts w:cstheme="minorHAnsi"/>
          <w:lang w:eastAsia="pl-PL"/>
        </w:rPr>
        <w:t xml:space="preserve"> </w:t>
      </w:r>
      <w:r w:rsidRPr="00A26C26">
        <w:rPr>
          <w:rFonts w:cstheme="minorHAnsi"/>
          <w:lang w:eastAsia="pl-PL"/>
        </w:rPr>
        <w:t>z</w:t>
      </w:r>
      <w:r w:rsidR="003B50ED">
        <w:rPr>
          <w:rFonts w:cstheme="minorHAnsi"/>
          <w:lang w:eastAsia="pl-PL"/>
        </w:rPr>
        <w:t xml:space="preserve"> </w:t>
      </w:r>
      <w:r w:rsidRPr="00A26C26">
        <w:rPr>
          <w:rFonts w:cstheme="minorHAnsi"/>
          <w:lang w:eastAsia="pl-PL"/>
        </w:rPr>
        <w:t>nich</w:t>
      </w:r>
      <w:r w:rsidR="003B50ED">
        <w:rPr>
          <w:rFonts w:cstheme="minorHAnsi"/>
          <w:lang w:eastAsia="pl-PL"/>
        </w:rPr>
        <w:t xml:space="preserve"> </w:t>
      </w:r>
      <w:r w:rsidRPr="00A26C26">
        <w:rPr>
          <w:rFonts w:cstheme="minorHAnsi"/>
          <w:lang w:eastAsia="pl-PL"/>
        </w:rPr>
        <w:t>jest</w:t>
      </w:r>
      <w:r w:rsidR="003B50ED">
        <w:rPr>
          <w:rFonts w:cstheme="minorHAnsi"/>
          <w:lang w:eastAsia="pl-PL"/>
        </w:rPr>
        <w:t xml:space="preserve"> </w:t>
      </w:r>
      <w:r w:rsidRPr="00A26C26">
        <w:rPr>
          <w:rFonts w:cstheme="minorHAnsi"/>
          <w:lang w:eastAsia="pl-PL"/>
        </w:rPr>
        <w:t>środowisko.</w:t>
      </w:r>
      <w:r w:rsidR="003B50ED">
        <w:rPr>
          <w:rFonts w:cstheme="minorHAnsi"/>
          <w:lang w:eastAsia="pl-PL"/>
        </w:rPr>
        <w:t xml:space="preserve"> </w:t>
      </w:r>
      <w:r w:rsidRPr="00A26C26">
        <w:rPr>
          <w:rFonts w:cstheme="minorHAnsi"/>
          <w:lang w:eastAsia="pl-PL"/>
        </w:rPr>
        <w:t>Żadne</w:t>
      </w:r>
      <w:r w:rsidR="003B50ED">
        <w:rPr>
          <w:rFonts w:cstheme="minorHAnsi"/>
          <w:lang w:eastAsia="pl-PL"/>
        </w:rPr>
        <w:t xml:space="preserve"> </w:t>
      </w:r>
      <w:r w:rsidRPr="00A26C26">
        <w:rPr>
          <w:rFonts w:cstheme="minorHAnsi"/>
          <w:lang w:eastAsia="pl-PL"/>
        </w:rPr>
        <w:t>podmioty,</w:t>
      </w:r>
      <w:r w:rsidR="003B50ED">
        <w:rPr>
          <w:rFonts w:cstheme="minorHAnsi"/>
          <w:lang w:eastAsia="pl-PL"/>
        </w:rPr>
        <w:t xml:space="preserve"> </w:t>
      </w:r>
      <w:r w:rsidRPr="00A26C26">
        <w:rPr>
          <w:rFonts w:cstheme="minorHAnsi"/>
          <w:lang w:eastAsia="pl-PL"/>
        </w:rPr>
        <w:t>ani</w:t>
      </w:r>
      <w:r w:rsidR="003B50ED">
        <w:rPr>
          <w:rFonts w:cstheme="minorHAnsi"/>
          <w:lang w:eastAsia="pl-PL"/>
        </w:rPr>
        <w:t xml:space="preserve"> </w:t>
      </w:r>
      <w:r w:rsidRPr="00A26C26">
        <w:rPr>
          <w:rFonts w:cstheme="minorHAnsi"/>
          <w:lang w:eastAsia="pl-PL"/>
        </w:rPr>
        <w:t>firmy,</w:t>
      </w:r>
      <w:r w:rsidR="003B50ED">
        <w:rPr>
          <w:rFonts w:cstheme="minorHAnsi"/>
          <w:lang w:eastAsia="pl-PL"/>
        </w:rPr>
        <w:t xml:space="preserve"> </w:t>
      </w:r>
      <w:r w:rsidRPr="00A26C26">
        <w:rPr>
          <w:rFonts w:cstheme="minorHAnsi"/>
          <w:lang w:eastAsia="pl-PL"/>
        </w:rPr>
        <w:t>ani</w:t>
      </w:r>
      <w:r w:rsidR="003B50ED">
        <w:rPr>
          <w:rFonts w:cstheme="minorHAnsi"/>
          <w:lang w:eastAsia="pl-PL"/>
        </w:rPr>
        <w:t xml:space="preserve"> </w:t>
      </w:r>
      <w:r w:rsidRPr="00A26C26">
        <w:rPr>
          <w:rFonts w:cstheme="minorHAnsi"/>
          <w:lang w:eastAsia="pl-PL"/>
        </w:rPr>
        <w:t>instytucje</w:t>
      </w:r>
      <w:r w:rsidR="003B50ED">
        <w:rPr>
          <w:rFonts w:cstheme="minorHAnsi"/>
          <w:lang w:eastAsia="pl-PL"/>
        </w:rPr>
        <w:t xml:space="preserve"> </w:t>
      </w:r>
      <w:r w:rsidRPr="00A26C26">
        <w:rPr>
          <w:rFonts w:cstheme="minorHAnsi"/>
          <w:lang w:eastAsia="pl-PL"/>
        </w:rPr>
        <w:t>publiczne</w:t>
      </w:r>
      <w:r w:rsidR="003B50ED">
        <w:rPr>
          <w:rFonts w:cstheme="minorHAnsi"/>
          <w:lang w:eastAsia="pl-PL"/>
        </w:rPr>
        <w:t xml:space="preserve"> </w:t>
      </w:r>
      <w:r w:rsidRPr="00A26C26">
        <w:rPr>
          <w:rFonts w:cstheme="minorHAnsi"/>
          <w:lang w:eastAsia="pl-PL"/>
        </w:rPr>
        <w:t>ani</w:t>
      </w:r>
      <w:r w:rsidR="003B50ED">
        <w:rPr>
          <w:rFonts w:cstheme="minorHAnsi"/>
          <w:lang w:eastAsia="pl-PL"/>
        </w:rPr>
        <w:t xml:space="preserve"> </w:t>
      </w:r>
      <w:r w:rsidRPr="00A26C26">
        <w:rPr>
          <w:rFonts w:cstheme="minorHAnsi"/>
          <w:lang w:eastAsia="pl-PL"/>
        </w:rPr>
        <w:t>organizacje</w:t>
      </w:r>
      <w:r w:rsidR="003B50ED">
        <w:rPr>
          <w:rFonts w:cstheme="minorHAnsi"/>
          <w:lang w:eastAsia="pl-PL"/>
        </w:rPr>
        <w:t xml:space="preserve"> </w:t>
      </w:r>
      <w:r w:rsidRPr="00A26C26">
        <w:rPr>
          <w:rFonts w:cstheme="minorHAnsi"/>
          <w:lang w:eastAsia="pl-PL"/>
        </w:rPr>
        <w:t>pozarządowe</w:t>
      </w:r>
      <w:r w:rsidR="003B50ED">
        <w:rPr>
          <w:rFonts w:cstheme="minorHAnsi"/>
          <w:lang w:eastAsia="pl-PL"/>
        </w:rPr>
        <w:t xml:space="preserve"> </w:t>
      </w:r>
      <w:r w:rsidRPr="00A26C26">
        <w:rPr>
          <w:rFonts w:cstheme="minorHAnsi"/>
          <w:lang w:eastAsia="pl-PL"/>
        </w:rPr>
        <w:t>nie</w:t>
      </w:r>
      <w:r w:rsidR="003B50ED">
        <w:rPr>
          <w:rFonts w:cstheme="minorHAnsi"/>
          <w:lang w:eastAsia="pl-PL"/>
        </w:rPr>
        <w:t xml:space="preserve"> </w:t>
      </w:r>
      <w:r w:rsidRPr="00A26C26">
        <w:rPr>
          <w:rFonts w:cstheme="minorHAnsi"/>
          <w:lang w:eastAsia="pl-PL"/>
        </w:rPr>
        <w:t>mogą</w:t>
      </w:r>
      <w:r w:rsidR="003B50ED">
        <w:rPr>
          <w:rFonts w:cstheme="minorHAnsi"/>
          <w:lang w:eastAsia="pl-PL"/>
        </w:rPr>
        <w:t xml:space="preserve"> </w:t>
      </w:r>
      <w:r w:rsidRPr="00A26C26">
        <w:rPr>
          <w:rFonts w:cstheme="minorHAnsi"/>
          <w:lang w:eastAsia="pl-PL"/>
        </w:rPr>
        <w:t>nim</w:t>
      </w:r>
      <w:r w:rsidR="003B50ED">
        <w:rPr>
          <w:rFonts w:cstheme="minorHAnsi"/>
          <w:lang w:eastAsia="pl-PL"/>
        </w:rPr>
        <w:t xml:space="preserve"> </w:t>
      </w:r>
      <w:r w:rsidRPr="00A26C26">
        <w:rPr>
          <w:rFonts w:cstheme="minorHAnsi"/>
          <w:lang w:eastAsia="pl-PL"/>
        </w:rPr>
        <w:t>dysponować</w:t>
      </w:r>
      <w:r w:rsidR="003B50ED">
        <w:rPr>
          <w:rFonts w:cstheme="minorHAnsi"/>
          <w:lang w:eastAsia="pl-PL"/>
        </w:rPr>
        <w:t xml:space="preserve"> </w:t>
      </w:r>
      <w:r w:rsidRPr="00A26C26">
        <w:rPr>
          <w:rFonts w:cstheme="minorHAnsi"/>
          <w:lang w:eastAsia="pl-PL"/>
        </w:rPr>
        <w:t>tak,</w:t>
      </w:r>
      <w:r w:rsidR="003B50ED">
        <w:rPr>
          <w:rFonts w:cstheme="minorHAnsi"/>
          <w:lang w:eastAsia="pl-PL"/>
        </w:rPr>
        <w:t xml:space="preserve"> </w:t>
      </w:r>
      <w:r w:rsidRPr="00A26C26">
        <w:rPr>
          <w:rFonts w:cstheme="minorHAnsi"/>
          <w:lang w:eastAsia="pl-PL"/>
        </w:rPr>
        <w:t>jakby</w:t>
      </w:r>
      <w:r w:rsidR="003B50ED">
        <w:rPr>
          <w:rFonts w:cstheme="minorHAnsi"/>
          <w:lang w:eastAsia="pl-PL"/>
        </w:rPr>
        <w:t xml:space="preserve"> </w:t>
      </w:r>
      <w:r w:rsidRPr="00A26C26">
        <w:rPr>
          <w:rFonts w:cstheme="minorHAnsi"/>
          <w:lang w:eastAsia="pl-PL"/>
        </w:rPr>
        <w:t>była</w:t>
      </w:r>
      <w:r w:rsidR="003B50ED">
        <w:rPr>
          <w:rFonts w:cstheme="minorHAnsi"/>
          <w:lang w:eastAsia="pl-PL"/>
        </w:rPr>
        <w:t xml:space="preserve"> </w:t>
      </w:r>
      <w:r w:rsidRPr="00A26C26">
        <w:rPr>
          <w:rFonts w:cstheme="minorHAnsi"/>
          <w:lang w:eastAsia="pl-PL"/>
        </w:rPr>
        <w:t>niewyczerpanym</w:t>
      </w:r>
      <w:r w:rsidR="003B50ED">
        <w:rPr>
          <w:rFonts w:cstheme="minorHAnsi"/>
          <w:lang w:eastAsia="pl-PL"/>
        </w:rPr>
        <w:t xml:space="preserve"> </w:t>
      </w:r>
      <w:r w:rsidRPr="00A26C26">
        <w:rPr>
          <w:rFonts w:cstheme="minorHAnsi"/>
          <w:lang w:eastAsia="pl-PL"/>
        </w:rPr>
        <w:t>źródłem</w:t>
      </w:r>
      <w:r w:rsidR="003B50ED">
        <w:rPr>
          <w:rFonts w:cstheme="minorHAnsi"/>
          <w:lang w:eastAsia="pl-PL"/>
        </w:rPr>
        <w:t xml:space="preserve"> </w:t>
      </w:r>
      <w:r w:rsidRPr="00A26C26">
        <w:rPr>
          <w:rFonts w:cstheme="minorHAnsi"/>
          <w:lang w:eastAsia="pl-PL"/>
        </w:rPr>
        <w:t>zasobów,</w:t>
      </w:r>
      <w:r w:rsidR="003B50ED">
        <w:rPr>
          <w:rFonts w:cstheme="minorHAnsi"/>
          <w:lang w:eastAsia="pl-PL"/>
        </w:rPr>
        <w:t xml:space="preserve"> </w:t>
      </w:r>
      <w:r w:rsidRPr="00A26C26">
        <w:rPr>
          <w:rFonts w:cstheme="minorHAnsi"/>
          <w:lang w:eastAsia="pl-PL"/>
        </w:rPr>
        <w:t>nawet</w:t>
      </w:r>
      <w:r w:rsidR="003B50ED">
        <w:rPr>
          <w:rFonts w:cstheme="minorHAnsi"/>
          <w:lang w:eastAsia="pl-PL"/>
        </w:rPr>
        <w:t xml:space="preserve"> </w:t>
      </w:r>
      <w:r w:rsidRPr="00A26C26">
        <w:rPr>
          <w:rFonts w:cstheme="minorHAnsi"/>
          <w:lang w:eastAsia="pl-PL"/>
        </w:rPr>
        <w:t>jeśli</w:t>
      </w:r>
      <w:r w:rsidR="003B50ED">
        <w:rPr>
          <w:rFonts w:cstheme="minorHAnsi"/>
          <w:lang w:eastAsia="pl-PL"/>
        </w:rPr>
        <w:t xml:space="preserve"> </w:t>
      </w:r>
      <w:r w:rsidRPr="00A26C26">
        <w:rPr>
          <w:rFonts w:cstheme="minorHAnsi"/>
          <w:lang w:eastAsia="pl-PL"/>
        </w:rPr>
        <w:t>ich</w:t>
      </w:r>
      <w:r w:rsidR="003B50ED">
        <w:rPr>
          <w:rFonts w:cstheme="minorHAnsi"/>
          <w:lang w:eastAsia="pl-PL"/>
        </w:rPr>
        <w:t xml:space="preserve"> </w:t>
      </w:r>
      <w:r w:rsidRPr="00A26C26">
        <w:rPr>
          <w:rFonts w:cstheme="minorHAnsi"/>
          <w:lang w:eastAsia="pl-PL"/>
        </w:rPr>
        <w:t>celem</w:t>
      </w:r>
      <w:r w:rsidR="003B50ED">
        <w:rPr>
          <w:rFonts w:cstheme="minorHAnsi"/>
          <w:lang w:eastAsia="pl-PL"/>
        </w:rPr>
        <w:t xml:space="preserve"> </w:t>
      </w:r>
      <w:r w:rsidRPr="00A26C26">
        <w:rPr>
          <w:rFonts w:cstheme="minorHAnsi"/>
          <w:lang w:eastAsia="pl-PL"/>
        </w:rPr>
        <w:t>jest</w:t>
      </w:r>
      <w:r w:rsidR="003B50ED">
        <w:rPr>
          <w:rFonts w:cstheme="minorHAnsi"/>
          <w:lang w:eastAsia="pl-PL"/>
        </w:rPr>
        <w:t xml:space="preserve"> </w:t>
      </w:r>
      <w:r w:rsidRPr="00A26C26">
        <w:rPr>
          <w:rFonts w:cstheme="minorHAnsi"/>
          <w:lang w:eastAsia="pl-PL"/>
        </w:rPr>
        <w:t>zaspokojenie</w:t>
      </w:r>
      <w:r w:rsidR="003B50ED">
        <w:rPr>
          <w:rFonts w:cstheme="minorHAnsi"/>
          <w:lang w:eastAsia="pl-PL"/>
        </w:rPr>
        <w:t xml:space="preserve"> </w:t>
      </w:r>
      <w:r w:rsidRPr="00A26C26">
        <w:rPr>
          <w:rFonts w:cstheme="minorHAnsi"/>
          <w:lang w:eastAsia="pl-PL"/>
        </w:rPr>
        <w:t>ludzkich</w:t>
      </w:r>
      <w:r w:rsidR="003B50ED">
        <w:rPr>
          <w:rFonts w:cstheme="minorHAnsi"/>
          <w:lang w:eastAsia="pl-PL"/>
        </w:rPr>
        <w:t xml:space="preserve"> </w:t>
      </w:r>
      <w:r w:rsidRPr="00A26C26">
        <w:rPr>
          <w:rFonts w:cstheme="minorHAnsi"/>
          <w:lang w:eastAsia="pl-PL"/>
        </w:rPr>
        <w:t>potrzeb</w:t>
      </w:r>
      <w:r w:rsidR="003B50ED">
        <w:rPr>
          <w:rFonts w:cstheme="minorHAnsi"/>
          <w:lang w:eastAsia="pl-PL"/>
        </w:rPr>
        <w:t xml:space="preserve"> </w:t>
      </w:r>
      <w:r w:rsidRPr="00A26C26">
        <w:rPr>
          <w:rFonts w:cstheme="minorHAnsi"/>
          <w:lang w:eastAsia="pl-PL"/>
        </w:rPr>
        <w:t>poprzez</w:t>
      </w:r>
      <w:r w:rsidR="003B50ED">
        <w:rPr>
          <w:rFonts w:cstheme="minorHAnsi"/>
          <w:lang w:eastAsia="pl-PL"/>
        </w:rPr>
        <w:t xml:space="preserve"> </w:t>
      </w:r>
      <w:r w:rsidRPr="00A26C26">
        <w:rPr>
          <w:rFonts w:cstheme="minorHAnsi"/>
          <w:lang w:eastAsia="pl-PL"/>
        </w:rPr>
        <w:t>konsumpcję.</w:t>
      </w:r>
    </w:p>
    <w:p w14:paraId="74A01159" w14:textId="4D36AEED" w:rsidR="00224658" w:rsidRPr="00A26C26" w:rsidRDefault="00224658" w:rsidP="00A26C26">
      <w:pPr>
        <w:spacing w:line="276" w:lineRule="auto"/>
        <w:ind w:firstLine="284"/>
        <w:jc w:val="both"/>
        <w:rPr>
          <w:rFonts w:cstheme="minorHAnsi"/>
        </w:rPr>
      </w:pPr>
      <w:r w:rsidRPr="00A26C26">
        <w:rPr>
          <w:rFonts w:cstheme="minorHAnsi"/>
        </w:rPr>
        <w:t>Zasoby</w:t>
      </w:r>
      <w:r w:rsidR="003B50ED">
        <w:rPr>
          <w:rFonts w:cstheme="minorHAnsi"/>
        </w:rPr>
        <w:t xml:space="preserve"> </w:t>
      </w:r>
      <w:r w:rsidRPr="00A26C26">
        <w:rPr>
          <w:rFonts w:cstheme="minorHAnsi"/>
        </w:rPr>
        <w:t>naturalne</w:t>
      </w:r>
      <w:r w:rsidR="003B50ED">
        <w:rPr>
          <w:rFonts w:cstheme="minorHAnsi"/>
        </w:rPr>
        <w:t xml:space="preserve"> </w:t>
      </w:r>
      <w:r w:rsidRPr="00A26C26">
        <w:rPr>
          <w:rFonts w:cstheme="minorHAnsi"/>
        </w:rPr>
        <w:t>są</w:t>
      </w:r>
      <w:r w:rsidR="003B50ED">
        <w:rPr>
          <w:rFonts w:cstheme="minorHAnsi"/>
        </w:rPr>
        <w:t xml:space="preserve"> </w:t>
      </w:r>
      <w:r w:rsidRPr="00A26C26">
        <w:rPr>
          <w:rFonts w:cstheme="minorHAnsi"/>
        </w:rPr>
        <w:t>ograniczone,</w:t>
      </w:r>
      <w:r w:rsidR="003B50ED">
        <w:rPr>
          <w:rFonts w:cstheme="minorHAnsi"/>
        </w:rPr>
        <w:t xml:space="preserve"> </w:t>
      </w:r>
      <w:r w:rsidRPr="00A26C26">
        <w:rPr>
          <w:rFonts w:cstheme="minorHAnsi"/>
        </w:rPr>
        <w:t>a</w:t>
      </w:r>
      <w:r w:rsidR="003B50ED">
        <w:rPr>
          <w:rFonts w:cstheme="minorHAnsi"/>
        </w:rPr>
        <w:t xml:space="preserve"> </w:t>
      </w:r>
      <w:r w:rsidRPr="00A26C26">
        <w:rPr>
          <w:rFonts w:cstheme="minorHAnsi"/>
        </w:rPr>
        <w:t>ich</w:t>
      </w:r>
      <w:r w:rsidR="003B50ED">
        <w:rPr>
          <w:rFonts w:cstheme="minorHAnsi"/>
        </w:rPr>
        <w:t xml:space="preserve"> </w:t>
      </w:r>
      <w:r w:rsidRPr="00A26C26">
        <w:rPr>
          <w:rFonts w:cstheme="minorHAnsi"/>
        </w:rPr>
        <w:t>nadmierna</w:t>
      </w:r>
      <w:r w:rsidR="003B50ED">
        <w:rPr>
          <w:rFonts w:cstheme="minorHAnsi"/>
        </w:rPr>
        <w:t xml:space="preserve"> </w:t>
      </w:r>
      <w:r w:rsidRPr="00A26C26">
        <w:rPr>
          <w:rFonts w:cstheme="minorHAnsi"/>
        </w:rPr>
        <w:t>eksploatacja</w:t>
      </w:r>
      <w:r w:rsidR="003B50ED">
        <w:rPr>
          <w:rFonts w:cstheme="minorHAnsi"/>
        </w:rPr>
        <w:t xml:space="preserve"> </w:t>
      </w:r>
      <w:r w:rsidRPr="00A26C26">
        <w:rPr>
          <w:rFonts w:cstheme="minorHAnsi"/>
        </w:rPr>
        <w:t>lub</w:t>
      </w:r>
      <w:r w:rsidR="003B50ED">
        <w:rPr>
          <w:rFonts w:cstheme="minorHAnsi"/>
        </w:rPr>
        <w:t xml:space="preserve"> </w:t>
      </w:r>
      <w:r w:rsidRPr="00A26C26">
        <w:rPr>
          <w:rFonts w:cstheme="minorHAnsi"/>
        </w:rPr>
        <w:t>niewłaściwe</w:t>
      </w:r>
      <w:r w:rsidR="003B50ED">
        <w:rPr>
          <w:rFonts w:cstheme="minorHAnsi"/>
        </w:rPr>
        <w:t xml:space="preserve"> </w:t>
      </w:r>
      <w:r w:rsidRPr="00A26C26">
        <w:rPr>
          <w:rFonts w:cstheme="minorHAnsi"/>
        </w:rPr>
        <w:t>zarządzanie</w:t>
      </w:r>
      <w:r w:rsidR="003B50ED">
        <w:rPr>
          <w:rFonts w:cstheme="minorHAnsi"/>
        </w:rPr>
        <w:t xml:space="preserve"> </w:t>
      </w:r>
      <w:r w:rsidRPr="00A26C26">
        <w:rPr>
          <w:rFonts w:cstheme="minorHAnsi"/>
        </w:rPr>
        <w:t>może</w:t>
      </w:r>
      <w:r w:rsidR="003B50ED">
        <w:rPr>
          <w:rFonts w:cstheme="minorHAnsi"/>
        </w:rPr>
        <w:t xml:space="preserve"> </w:t>
      </w:r>
      <w:r w:rsidRPr="00A26C26">
        <w:rPr>
          <w:rFonts w:cstheme="minorHAnsi"/>
        </w:rPr>
        <w:t>skutkować</w:t>
      </w:r>
      <w:r w:rsidR="003B50ED">
        <w:rPr>
          <w:rFonts w:cstheme="minorHAnsi"/>
        </w:rPr>
        <w:t xml:space="preserve"> </w:t>
      </w:r>
      <w:r w:rsidRPr="00A26C26">
        <w:rPr>
          <w:rFonts w:cstheme="minorHAnsi"/>
        </w:rPr>
        <w:t>brakiem</w:t>
      </w:r>
      <w:r w:rsidR="003B50ED">
        <w:rPr>
          <w:rFonts w:cstheme="minorHAnsi"/>
        </w:rPr>
        <w:t xml:space="preserve"> </w:t>
      </w:r>
      <w:r w:rsidRPr="00A26C26">
        <w:rPr>
          <w:rFonts w:cstheme="minorHAnsi"/>
        </w:rPr>
        <w:t>ważnych</w:t>
      </w:r>
      <w:r w:rsidR="003B50ED">
        <w:rPr>
          <w:rFonts w:cstheme="minorHAnsi"/>
        </w:rPr>
        <w:t xml:space="preserve"> </w:t>
      </w:r>
      <w:r w:rsidRPr="00A26C26">
        <w:rPr>
          <w:rFonts w:cstheme="minorHAnsi"/>
        </w:rPr>
        <w:t>źródeł</w:t>
      </w:r>
      <w:r w:rsidR="003B50ED">
        <w:rPr>
          <w:rFonts w:cstheme="minorHAnsi"/>
        </w:rPr>
        <w:t xml:space="preserve"> </w:t>
      </w:r>
      <w:r w:rsidRPr="00A26C26">
        <w:rPr>
          <w:rFonts w:cstheme="minorHAnsi"/>
        </w:rPr>
        <w:t>zaopatrzenia</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podstawowe</w:t>
      </w:r>
      <w:r w:rsidR="003B50ED">
        <w:rPr>
          <w:rFonts w:cstheme="minorHAnsi"/>
        </w:rPr>
        <w:t xml:space="preserve"> </w:t>
      </w:r>
      <w:r w:rsidRPr="00A26C26">
        <w:rPr>
          <w:rFonts w:cstheme="minorHAnsi"/>
        </w:rPr>
        <w:t>elementy</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perspektywie</w:t>
      </w:r>
      <w:r w:rsidR="003B50ED">
        <w:rPr>
          <w:rFonts w:cstheme="minorHAnsi"/>
        </w:rPr>
        <w:t xml:space="preserve"> </w:t>
      </w:r>
      <w:r w:rsidRPr="00A26C26">
        <w:rPr>
          <w:rFonts w:cstheme="minorHAnsi"/>
        </w:rPr>
        <w:t>średnio-</w:t>
      </w:r>
      <w:r w:rsidR="003B50ED">
        <w:rPr>
          <w:rFonts w:cstheme="minorHAnsi"/>
        </w:rPr>
        <w:t xml:space="preserve"> </w:t>
      </w:r>
      <w:r w:rsidRPr="00A26C26">
        <w:rPr>
          <w:rFonts w:cstheme="minorHAnsi"/>
        </w:rPr>
        <w:t>lub</w:t>
      </w:r>
      <w:r w:rsidR="003B50ED">
        <w:rPr>
          <w:rFonts w:cstheme="minorHAnsi"/>
        </w:rPr>
        <w:t xml:space="preserve"> </w:t>
      </w:r>
      <w:r w:rsidRPr="00A26C26">
        <w:rPr>
          <w:rFonts w:cstheme="minorHAnsi"/>
        </w:rPr>
        <w:t>długoterminowej;</w:t>
      </w:r>
      <w:r w:rsidR="003B50ED">
        <w:rPr>
          <w:rFonts w:cstheme="minorHAnsi"/>
        </w:rPr>
        <w:t xml:space="preserve"> </w:t>
      </w:r>
      <w:r w:rsidRPr="00A26C26">
        <w:rPr>
          <w:rFonts w:cstheme="minorHAnsi"/>
        </w:rPr>
        <w:t>takich</w:t>
      </w:r>
      <w:r w:rsidR="003B50ED">
        <w:rPr>
          <w:rFonts w:cstheme="minorHAnsi"/>
        </w:rPr>
        <w:t xml:space="preserve"> </w:t>
      </w:r>
      <w:r w:rsidRPr="00A26C26">
        <w:rPr>
          <w:rFonts w:cstheme="minorHAnsi"/>
        </w:rPr>
        <w:t>jak</w:t>
      </w:r>
      <w:r w:rsidR="003B50ED">
        <w:rPr>
          <w:rFonts w:cstheme="minorHAnsi"/>
        </w:rPr>
        <w:t xml:space="preserve"> </w:t>
      </w:r>
      <w:r w:rsidRPr="00A26C26">
        <w:rPr>
          <w:rFonts w:cstheme="minorHAnsi"/>
        </w:rPr>
        <w:t>woda,</w:t>
      </w:r>
      <w:r w:rsidR="003B50ED">
        <w:rPr>
          <w:rFonts w:cstheme="minorHAnsi"/>
        </w:rPr>
        <w:t xml:space="preserve"> </w:t>
      </w:r>
      <w:r w:rsidRPr="00A26C26">
        <w:rPr>
          <w:rFonts w:cstheme="minorHAnsi"/>
        </w:rPr>
        <w:t>prąd,</w:t>
      </w:r>
      <w:r w:rsidR="003B50ED">
        <w:rPr>
          <w:rFonts w:cstheme="minorHAnsi"/>
        </w:rPr>
        <w:t xml:space="preserve"> </w:t>
      </w:r>
      <w:r w:rsidRPr="00A26C26">
        <w:rPr>
          <w:rFonts w:cstheme="minorHAnsi"/>
        </w:rPr>
        <w:t>ziemia,</w:t>
      </w:r>
      <w:r w:rsidR="003B50ED">
        <w:rPr>
          <w:rFonts w:cstheme="minorHAnsi"/>
        </w:rPr>
        <w:t xml:space="preserve"> </w:t>
      </w:r>
      <w:r w:rsidRPr="00A26C26">
        <w:rPr>
          <w:rFonts w:cstheme="minorHAnsi"/>
        </w:rPr>
        <w:t>drzewa</w:t>
      </w:r>
      <w:r w:rsidR="003B50ED">
        <w:rPr>
          <w:rFonts w:cstheme="minorHAnsi"/>
        </w:rPr>
        <w:t xml:space="preserve"> </w:t>
      </w:r>
      <w:r w:rsidRPr="00A26C26">
        <w:rPr>
          <w:rFonts w:cstheme="minorHAnsi"/>
        </w:rPr>
        <w:t>itp.</w:t>
      </w:r>
    </w:p>
    <w:p w14:paraId="3BC67958" w14:textId="39C468AE" w:rsidR="00224658" w:rsidRPr="00A26C26" w:rsidRDefault="006568AD" w:rsidP="00A26C26">
      <w:pPr>
        <w:spacing w:line="276" w:lineRule="auto"/>
        <w:ind w:firstLine="284"/>
        <w:jc w:val="both"/>
        <w:rPr>
          <w:rFonts w:cstheme="minorHAnsi"/>
        </w:rPr>
      </w:pPr>
      <w:r>
        <w:rPr>
          <w:rFonts w:cstheme="minorHAnsi"/>
        </w:rPr>
        <w:t xml:space="preserve">Stowarzyszenie </w:t>
      </w:r>
      <w:r w:rsidRPr="00A26C26">
        <w:rPr>
          <w:rFonts w:cstheme="minorHAnsi"/>
        </w:rPr>
        <w:t>„Solidarni</w:t>
      </w:r>
      <w:r>
        <w:rPr>
          <w:rFonts w:cstheme="minorHAnsi"/>
        </w:rPr>
        <w:t xml:space="preserve"> </w:t>
      </w:r>
      <w:r w:rsidRPr="00A26C26">
        <w:rPr>
          <w:rFonts w:cstheme="minorHAnsi"/>
        </w:rPr>
        <w:t>w</w:t>
      </w:r>
      <w:r>
        <w:rPr>
          <w:rFonts w:cstheme="minorHAnsi"/>
        </w:rPr>
        <w:t xml:space="preserve"> </w:t>
      </w:r>
      <w:r w:rsidRPr="00A26C26">
        <w:rPr>
          <w:rFonts w:cstheme="minorHAnsi"/>
        </w:rPr>
        <w:t>Partnerstwie”</w:t>
      </w:r>
      <w:r w:rsidR="00224658" w:rsidRPr="00A26C26">
        <w:rPr>
          <w:rFonts w:cstheme="minorHAnsi"/>
        </w:rPr>
        <w:t>,</w:t>
      </w:r>
      <w:r w:rsidR="003B50ED">
        <w:rPr>
          <w:rFonts w:cstheme="minorHAnsi"/>
        </w:rPr>
        <w:t xml:space="preserve"> </w:t>
      </w:r>
      <w:r w:rsidR="00224658" w:rsidRPr="00A26C26">
        <w:rPr>
          <w:rFonts w:cstheme="minorHAnsi"/>
        </w:rPr>
        <w:t>wzorem</w:t>
      </w:r>
      <w:r w:rsidR="003B50ED">
        <w:rPr>
          <w:rFonts w:cstheme="minorHAnsi"/>
        </w:rPr>
        <w:t xml:space="preserve"> </w:t>
      </w:r>
      <w:r w:rsidR="00224658" w:rsidRPr="00A26C26">
        <w:rPr>
          <w:rFonts w:cstheme="minorHAnsi"/>
        </w:rPr>
        <w:t>poprzedniego</w:t>
      </w:r>
      <w:r w:rsidR="003B50ED">
        <w:rPr>
          <w:rFonts w:cstheme="minorHAnsi"/>
        </w:rPr>
        <w:t xml:space="preserve"> </w:t>
      </w:r>
      <w:r w:rsidR="00224658" w:rsidRPr="00A26C26">
        <w:rPr>
          <w:rFonts w:cstheme="minorHAnsi"/>
        </w:rPr>
        <w:t>okresu</w:t>
      </w:r>
      <w:r w:rsidR="003B50ED">
        <w:rPr>
          <w:rFonts w:cstheme="minorHAnsi"/>
        </w:rPr>
        <w:t xml:space="preserve"> </w:t>
      </w:r>
      <w:r w:rsidR="00224658" w:rsidRPr="00A26C26">
        <w:rPr>
          <w:rFonts w:cstheme="minorHAnsi"/>
        </w:rPr>
        <w:t>programowania,</w:t>
      </w:r>
      <w:r w:rsidR="003B50ED">
        <w:rPr>
          <w:rFonts w:cstheme="minorHAnsi"/>
        </w:rPr>
        <w:t xml:space="preserve"> </w:t>
      </w:r>
      <w:r w:rsidR="00224658" w:rsidRPr="00A26C26">
        <w:rPr>
          <w:rFonts w:cstheme="minorHAnsi"/>
        </w:rPr>
        <w:t>będzie</w:t>
      </w:r>
      <w:r w:rsidR="003B50ED">
        <w:rPr>
          <w:rFonts w:cstheme="minorHAnsi"/>
        </w:rPr>
        <w:t xml:space="preserve"> </w:t>
      </w:r>
      <w:r w:rsidR="00224658" w:rsidRPr="00A26C26">
        <w:rPr>
          <w:rFonts w:cstheme="minorHAnsi"/>
        </w:rPr>
        <w:t>premiować</w:t>
      </w:r>
      <w:r w:rsidR="003B50ED">
        <w:rPr>
          <w:rFonts w:cstheme="minorHAnsi"/>
        </w:rPr>
        <w:t xml:space="preserve"> </w:t>
      </w:r>
      <w:r w:rsidR="00224658" w:rsidRPr="00A26C26">
        <w:rPr>
          <w:rFonts w:cstheme="minorHAnsi"/>
        </w:rPr>
        <w:t>operacje</w:t>
      </w:r>
      <w:r w:rsidR="003B50ED">
        <w:rPr>
          <w:rFonts w:cstheme="minorHAnsi"/>
        </w:rPr>
        <w:t xml:space="preserve"> </w:t>
      </w:r>
      <w:r w:rsidR="00224658" w:rsidRPr="00A26C26">
        <w:rPr>
          <w:rFonts w:cstheme="minorHAnsi"/>
        </w:rPr>
        <w:t>mające</w:t>
      </w:r>
      <w:r w:rsidR="003B50ED">
        <w:rPr>
          <w:rFonts w:cstheme="minorHAnsi"/>
        </w:rPr>
        <w:t xml:space="preserve"> </w:t>
      </w:r>
      <w:r w:rsidR="00224658" w:rsidRPr="00A26C26">
        <w:rPr>
          <w:rFonts w:cstheme="minorHAnsi"/>
        </w:rPr>
        <w:t>pozytywny</w:t>
      </w:r>
      <w:r w:rsidR="003B50ED">
        <w:rPr>
          <w:rFonts w:cstheme="minorHAnsi"/>
        </w:rPr>
        <w:t xml:space="preserve"> </w:t>
      </w:r>
      <w:r w:rsidR="00224658" w:rsidRPr="00A26C26">
        <w:rPr>
          <w:rFonts w:cstheme="minorHAnsi"/>
        </w:rPr>
        <w:t>wpływ</w:t>
      </w:r>
      <w:r w:rsidR="003B50ED">
        <w:rPr>
          <w:rFonts w:cstheme="minorHAnsi"/>
        </w:rPr>
        <w:t xml:space="preserve"> </w:t>
      </w:r>
      <w:r w:rsidR="00224658" w:rsidRPr="00A26C26">
        <w:rPr>
          <w:rFonts w:cstheme="minorHAnsi"/>
        </w:rPr>
        <w:t>na</w:t>
      </w:r>
      <w:r w:rsidR="003B50ED">
        <w:rPr>
          <w:rFonts w:cstheme="minorHAnsi"/>
        </w:rPr>
        <w:t xml:space="preserve"> </w:t>
      </w:r>
      <w:r w:rsidR="00224658" w:rsidRPr="00A26C26">
        <w:rPr>
          <w:rFonts w:cstheme="minorHAnsi"/>
        </w:rPr>
        <w:t>kwestie</w:t>
      </w:r>
      <w:r w:rsidR="003B50ED">
        <w:rPr>
          <w:rFonts w:cstheme="minorHAnsi"/>
        </w:rPr>
        <w:t xml:space="preserve"> </w:t>
      </w:r>
      <w:r w:rsidR="00224658" w:rsidRPr="00A26C26">
        <w:rPr>
          <w:rFonts w:cstheme="minorHAnsi"/>
        </w:rPr>
        <w:t>zrównoważenia</w:t>
      </w:r>
      <w:r w:rsidR="003B50ED">
        <w:rPr>
          <w:rFonts w:cstheme="minorHAnsi"/>
        </w:rPr>
        <w:t xml:space="preserve"> </w:t>
      </w:r>
      <w:r w:rsidR="00224658" w:rsidRPr="00A26C26">
        <w:rPr>
          <w:rFonts w:cstheme="minorHAnsi"/>
        </w:rPr>
        <w:t>środowiskowego.</w:t>
      </w:r>
      <w:r w:rsidR="003B50ED">
        <w:rPr>
          <w:rFonts w:cstheme="minorHAnsi"/>
        </w:rPr>
        <w:t xml:space="preserve"> </w:t>
      </w:r>
      <w:r w:rsidR="00224658" w:rsidRPr="00A26C26">
        <w:rPr>
          <w:rFonts w:cstheme="minorHAnsi"/>
        </w:rPr>
        <w:t>Każdy</w:t>
      </w:r>
      <w:r w:rsidR="003B50ED">
        <w:rPr>
          <w:rFonts w:cstheme="minorHAnsi"/>
        </w:rPr>
        <w:t xml:space="preserve"> </w:t>
      </w:r>
      <w:r w:rsidR="00224658" w:rsidRPr="00A26C26">
        <w:rPr>
          <w:rFonts w:cstheme="minorHAnsi"/>
        </w:rPr>
        <w:t>beneficjent,</w:t>
      </w:r>
      <w:r w:rsidR="003B50ED">
        <w:rPr>
          <w:rFonts w:cstheme="minorHAnsi"/>
        </w:rPr>
        <w:t xml:space="preserve"> </w:t>
      </w:r>
      <w:r w:rsidR="00224658" w:rsidRPr="00A26C26">
        <w:rPr>
          <w:rFonts w:cstheme="minorHAnsi"/>
        </w:rPr>
        <w:t>który</w:t>
      </w:r>
      <w:r w:rsidR="003B50ED">
        <w:rPr>
          <w:rFonts w:cstheme="minorHAnsi"/>
        </w:rPr>
        <w:t xml:space="preserve"> </w:t>
      </w:r>
      <w:r w:rsidR="00224658" w:rsidRPr="00A26C26">
        <w:rPr>
          <w:rFonts w:cstheme="minorHAnsi"/>
        </w:rPr>
        <w:t>otrzyma</w:t>
      </w:r>
      <w:r w:rsidR="003B50ED">
        <w:rPr>
          <w:rFonts w:cstheme="minorHAnsi"/>
        </w:rPr>
        <w:t xml:space="preserve"> </w:t>
      </w:r>
      <w:r w:rsidR="00224658" w:rsidRPr="00A26C26">
        <w:rPr>
          <w:rFonts w:cstheme="minorHAnsi"/>
        </w:rPr>
        <w:t>wsparcie</w:t>
      </w:r>
      <w:r w:rsidR="003B50ED">
        <w:rPr>
          <w:rFonts w:cstheme="minorHAnsi"/>
        </w:rPr>
        <w:t xml:space="preserve"> </w:t>
      </w:r>
      <w:r w:rsidR="00224658" w:rsidRPr="00A26C26">
        <w:rPr>
          <w:rFonts w:cstheme="minorHAnsi"/>
        </w:rPr>
        <w:t>w</w:t>
      </w:r>
      <w:r w:rsidR="003B50ED">
        <w:rPr>
          <w:rFonts w:cstheme="minorHAnsi"/>
        </w:rPr>
        <w:t xml:space="preserve"> </w:t>
      </w:r>
      <w:r w:rsidR="00224658" w:rsidRPr="00A26C26">
        <w:rPr>
          <w:rFonts w:cstheme="minorHAnsi"/>
        </w:rPr>
        <w:t>tym</w:t>
      </w:r>
      <w:r w:rsidR="003B50ED">
        <w:rPr>
          <w:rFonts w:cstheme="minorHAnsi"/>
        </w:rPr>
        <w:t xml:space="preserve"> </w:t>
      </w:r>
      <w:r w:rsidR="00224658" w:rsidRPr="00A26C26">
        <w:rPr>
          <w:rFonts w:cstheme="minorHAnsi"/>
        </w:rPr>
        <w:t>zakresie</w:t>
      </w:r>
      <w:r w:rsidR="003B50ED">
        <w:rPr>
          <w:rFonts w:cstheme="minorHAnsi"/>
        </w:rPr>
        <w:t xml:space="preserve"> </w:t>
      </w:r>
      <w:r w:rsidR="00224658" w:rsidRPr="00A26C26">
        <w:rPr>
          <w:rFonts w:cstheme="minorHAnsi"/>
        </w:rPr>
        <w:t>będzie</w:t>
      </w:r>
      <w:r w:rsidR="003B50ED">
        <w:rPr>
          <w:rFonts w:cstheme="minorHAnsi"/>
        </w:rPr>
        <w:t xml:space="preserve"> </w:t>
      </w:r>
      <w:r w:rsidR="00224658" w:rsidRPr="00A26C26">
        <w:rPr>
          <w:rFonts w:cstheme="minorHAnsi"/>
        </w:rPr>
        <w:t>zobowiązany</w:t>
      </w:r>
      <w:r w:rsidR="003B50ED">
        <w:rPr>
          <w:rFonts w:cstheme="minorHAnsi"/>
        </w:rPr>
        <w:t xml:space="preserve"> </w:t>
      </w:r>
      <w:r w:rsidR="00224658" w:rsidRPr="00A26C26">
        <w:rPr>
          <w:rFonts w:cstheme="minorHAnsi"/>
        </w:rPr>
        <w:t>do</w:t>
      </w:r>
      <w:r w:rsidR="003B50ED">
        <w:rPr>
          <w:rFonts w:cstheme="minorHAnsi"/>
        </w:rPr>
        <w:t xml:space="preserve"> </w:t>
      </w:r>
      <w:r w:rsidR="00224658" w:rsidRPr="00A26C26">
        <w:rPr>
          <w:rFonts w:cstheme="minorHAnsi"/>
        </w:rPr>
        <w:t>przedłożenia</w:t>
      </w:r>
      <w:r w:rsidR="003B50ED">
        <w:rPr>
          <w:rFonts w:cstheme="minorHAnsi"/>
        </w:rPr>
        <w:t xml:space="preserve"> </w:t>
      </w:r>
      <w:r w:rsidR="00224658" w:rsidRPr="00A26C26">
        <w:rPr>
          <w:rFonts w:cstheme="minorHAnsi"/>
        </w:rPr>
        <w:t>informacji</w:t>
      </w:r>
      <w:r w:rsidR="003B50ED">
        <w:rPr>
          <w:rFonts w:cstheme="minorHAnsi"/>
        </w:rPr>
        <w:t xml:space="preserve"> </w:t>
      </w:r>
      <w:r w:rsidR="00224658" w:rsidRPr="00A26C26">
        <w:rPr>
          <w:rFonts w:cstheme="minorHAnsi"/>
        </w:rPr>
        <w:t>z</w:t>
      </w:r>
      <w:r w:rsidR="003B50ED">
        <w:rPr>
          <w:rFonts w:cstheme="minorHAnsi"/>
        </w:rPr>
        <w:t xml:space="preserve"> </w:t>
      </w:r>
      <w:r w:rsidR="00224658" w:rsidRPr="00A26C26">
        <w:rPr>
          <w:rFonts w:cstheme="minorHAnsi"/>
        </w:rPr>
        <w:t>wywiązania</w:t>
      </w:r>
      <w:r w:rsidR="003B50ED">
        <w:rPr>
          <w:rFonts w:cstheme="minorHAnsi"/>
        </w:rPr>
        <w:t xml:space="preserve"> </w:t>
      </w:r>
      <w:r w:rsidR="00224658" w:rsidRPr="00A26C26">
        <w:rPr>
          <w:rFonts w:cstheme="minorHAnsi"/>
        </w:rPr>
        <w:t>się</w:t>
      </w:r>
      <w:r w:rsidR="003B50ED">
        <w:rPr>
          <w:rFonts w:cstheme="minorHAnsi"/>
        </w:rPr>
        <w:t xml:space="preserve"> </w:t>
      </w:r>
      <w:r w:rsidR="00224658" w:rsidRPr="00A26C26">
        <w:rPr>
          <w:rFonts w:cstheme="minorHAnsi"/>
        </w:rPr>
        <w:t>z</w:t>
      </w:r>
      <w:r w:rsidR="003B50ED">
        <w:rPr>
          <w:rFonts w:cstheme="minorHAnsi"/>
        </w:rPr>
        <w:t xml:space="preserve"> </w:t>
      </w:r>
      <w:r w:rsidR="00224658" w:rsidRPr="00A26C26">
        <w:rPr>
          <w:rFonts w:cstheme="minorHAnsi"/>
        </w:rPr>
        <w:t>obowiązku</w:t>
      </w:r>
      <w:r w:rsidR="003B50ED">
        <w:rPr>
          <w:rFonts w:cstheme="minorHAnsi"/>
        </w:rPr>
        <w:t xml:space="preserve"> </w:t>
      </w:r>
      <w:r w:rsidR="00224658" w:rsidRPr="00A26C26">
        <w:rPr>
          <w:rFonts w:cstheme="minorHAnsi"/>
        </w:rPr>
        <w:lastRenderedPageBreak/>
        <w:t>przeprowadzenia</w:t>
      </w:r>
      <w:r w:rsidR="003B50ED">
        <w:rPr>
          <w:rFonts w:cstheme="minorHAnsi"/>
        </w:rPr>
        <w:t xml:space="preserve"> </w:t>
      </w:r>
      <w:r w:rsidR="00224658" w:rsidRPr="00A26C26">
        <w:rPr>
          <w:rFonts w:cstheme="minorHAnsi"/>
        </w:rPr>
        <w:t>działań</w:t>
      </w:r>
      <w:r w:rsidR="003B50ED">
        <w:rPr>
          <w:rFonts w:cstheme="minorHAnsi"/>
        </w:rPr>
        <w:t xml:space="preserve"> </w:t>
      </w:r>
      <w:r w:rsidR="00224658" w:rsidRPr="00A26C26">
        <w:rPr>
          <w:rFonts w:cstheme="minorHAnsi"/>
        </w:rPr>
        <w:t>w</w:t>
      </w:r>
      <w:r w:rsidR="003B50ED">
        <w:rPr>
          <w:rFonts w:cstheme="minorHAnsi"/>
        </w:rPr>
        <w:t xml:space="preserve"> </w:t>
      </w:r>
      <w:r w:rsidR="00224658" w:rsidRPr="00A26C26">
        <w:rPr>
          <w:rFonts w:cstheme="minorHAnsi"/>
        </w:rPr>
        <w:t>zakresie</w:t>
      </w:r>
      <w:r w:rsidR="003B50ED">
        <w:rPr>
          <w:rFonts w:cstheme="minorHAnsi"/>
        </w:rPr>
        <w:t xml:space="preserve"> </w:t>
      </w:r>
      <w:r w:rsidR="00224658" w:rsidRPr="00A26C26">
        <w:rPr>
          <w:rFonts w:cstheme="minorHAnsi"/>
        </w:rPr>
        <w:t>ochrony</w:t>
      </w:r>
      <w:r w:rsidR="003B50ED">
        <w:rPr>
          <w:rFonts w:cstheme="minorHAnsi"/>
        </w:rPr>
        <w:t xml:space="preserve"> </w:t>
      </w:r>
      <w:r w:rsidR="00224658" w:rsidRPr="00A26C26">
        <w:rPr>
          <w:rFonts w:cstheme="minorHAnsi"/>
        </w:rPr>
        <w:t>środowiska</w:t>
      </w:r>
      <w:r w:rsidR="003B50ED">
        <w:rPr>
          <w:rFonts w:cstheme="minorHAnsi"/>
        </w:rPr>
        <w:t xml:space="preserve"> </w:t>
      </w:r>
      <w:r w:rsidR="00224658" w:rsidRPr="00A26C26">
        <w:rPr>
          <w:rFonts w:cstheme="minorHAnsi"/>
        </w:rPr>
        <w:t>i</w:t>
      </w:r>
      <w:r w:rsidR="003B50ED">
        <w:rPr>
          <w:rFonts w:cstheme="minorHAnsi"/>
        </w:rPr>
        <w:t xml:space="preserve"> </w:t>
      </w:r>
      <w:r w:rsidR="00224658" w:rsidRPr="00A26C26">
        <w:rPr>
          <w:rFonts w:cstheme="minorHAnsi"/>
        </w:rPr>
        <w:t>zrównoważonego</w:t>
      </w:r>
      <w:r w:rsidR="003B50ED">
        <w:rPr>
          <w:rFonts w:cstheme="minorHAnsi"/>
        </w:rPr>
        <w:t xml:space="preserve"> </w:t>
      </w:r>
      <w:r w:rsidR="00224658" w:rsidRPr="00A26C26">
        <w:rPr>
          <w:rFonts w:cstheme="minorHAnsi"/>
        </w:rPr>
        <w:t>rozwoju.</w:t>
      </w:r>
      <w:r w:rsidR="003B50ED">
        <w:rPr>
          <w:rFonts w:cstheme="minorHAnsi"/>
        </w:rPr>
        <w:t xml:space="preserve"> </w:t>
      </w:r>
      <w:r w:rsidR="00224658" w:rsidRPr="00A26C26">
        <w:rPr>
          <w:rFonts w:cstheme="minorHAnsi"/>
        </w:rPr>
        <w:t>Każda</w:t>
      </w:r>
      <w:r w:rsidR="003B50ED">
        <w:rPr>
          <w:rFonts w:cstheme="minorHAnsi"/>
        </w:rPr>
        <w:t xml:space="preserve"> </w:t>
      </w:r>
      <w:r w:rsidR="00224658" w:rsidRPr="00A26C26">
        <w:rPr>
          <w:rFonts w:cstheme="minorHAnsi"/>
        </w:rPr>
        <w:t>operacja</w:t>
      </w:r>
      <w:r w:rsidR="003B50ED">
        <w:rPr>
          <w:rFonts w:cstheme="minorHAnsi"/>
        </w:rPr>
        <w:t xml:space="preserve"> </w:t>
      </w:r>
      <w:r w:rsidR="00224658" w:rsidRPr="00A26C26">
        <w:rPr>
          <w:rFonts w:cstheme="minorHAnsi"/>
        </w:rPr>
        <w:t>będzie</w:t>
      </w:r>
      <w:r w:rsidR="003B50ED">
        <w:rPr>
          <w:rFonts w:cstheme="minorHAnsi"/>
        </w:rPr>
        <w:t xml:space="preserve"> </w:t>
      </w:r>
      <w:r w:rsidR="00224658" w:rsidRPr="00A26C26">
        <w:rPr>
          <w:rFonts w:cstheme="minorHAnsi"/>
        </w:rPr>
        <w:t>monitorowana</w:t>
      </w:r>
      <w:r w:rsidR="003B50ED">
        <w:rPr>
          <w:rFonts w:cstheme="minorHAnsi"/>
        </w:rPr>
        <w:t xml:space="preserve"> </w:t>
      </w:r>
      <w:r w:rsidR="00224658" w:rsidRPr="00A26C26">
        <w:rPr>
          <w:rFonts w:cstheme="minorHAnsi"/>
        </w:rPr>
        <w:t>na</w:t>
      </w:r>
      <w:r w:rsidR="003B50ED">
        <w:rPr>
          <w:rFonts w:cstheme="minorHAnsi"/>
        </w:rPr>
        <w:t xml:space="preserve"> </w:t>
      </w:r>
      <w:r w:rsidR="00224658" w:rsidRPr="00A26C26">
        <w:rPr>
          <w:rFonts w:cstheme="minorHAnsi"/>
        </w:rPr>
        <w:t>podstawie</w:t>
      </w:r>
      <w:r w:rsidR="003B50ED">
        <w:rPr>
          <w:rFonts w:cstheme="minorHAnsi"/>
        </w:rPr>
        <w:t xml:space="preserve"> </w:t>
      </w:r>
      <w:r w:rsidR="00224658" w:rsidRPr="00A26C26">
        <w:rPr>
          <w:rFonts w:cstheme="minorHAnsi"/>
        </w:rPr>
        <w:t>osiągniętych</w:t>
      </w:r>
      <w:r w:rsidR="003B50ED">
        <w:rPr>
          <w:rFonts w:cstheme="minorHAnsi"/>
        </w:rPr>
        <w:t xml:space="preserve"> </w:t>
      </w:r>
      <w:r w:rsidR="00224658" w:rsidRPr="00A26C26">
        <w:rPr>
          <w:rFonts w:cstheme="minorHAnsi"/>
        </w:rPr>
        <w:t>wskaźników</w:t>
      </w:r>
      <w:r w:rsidR="003B50ED">
        <w:rPr>
          <w:rFonts w:cstheme="minorHAnsi"/>
        </w:rPr>
        <w:t xml:space="preserve"> </w:t>
      </w:r>
      <w:r w:rsidR="00224658" w:rsidRPr="00A26C26">
        <w:rPr>
          <w:rFonts w:cstheme="minorHAnsi"/>
        </w:rPr>
        <w:t>uwzględniających</w:t>
      </w:r>
      <w:r w:rsidR="003B50ED">
        <w:rPr>
          <w:rFonts w:cstheme="minorHAnsi"/>
        </w:rPr>
        <w:t xml:space="preserve"> </w:t>
      </w:r>
      <w:r w:rsidR="00224658" w:rsidRPr="00A26C26">
        <w:rPr>
          <w:rFonts w:cstheme="minorHAnsi"/>
        </w:rPr>
        <w:t>specyfikę</w:t>
      </w:r>
      <w:r w:rsidR="003B50ED">
        <w:rPr>
          <w:rFonts w:cstheme="minorHAnsi"/>
        </w:rPr>
        <w:t xml:space="preserve"> </w:t>
      </w:r>
      <w:r w:rsidR="00224658" w:rsidRPr="00A26C26">
        <w:rPr>
          <w:rFonts w:cstheme="minorHAnsi"/>
        </w:rPr>
        <w:t>konkretnej</w:t>
      </w:r>
      <w:r w:rsidR="003B50ED">
        <w:rPr>
          <w:rFonts w:cstheme="minorHAnsi"/>
        </w:rPr>
        <w:t xml:space="preserve"> </w:t>
      </w:r>
      <w:r w:rsidR="00224658" w:rsidRPr="00A26C26">
        <w:rPr>
          <w:rFonts w:cstheme="minorHAnsi"/>
        </w:rPr>
        <w:t>operacji.</w:t>
      </w:r>
      <w:r w:rsidR="003B50ED">
        <w:rPr>
          <w:rFonts w:cstheme="minorHAnsi"/>
        </w:rPr>
        <w:t xml:space="preserve"> </w:t>
      </w:r>
    </w:p>
    <w:p w14:paraId="350AD71A" w14:textId="7FD9880F" w:rsidR="00171BB1" w:rsidRDefault="00224658" w:rsidP="00E15132">
      <w:pPr>
        <w:spacing w:line="276" w:lineRule="auto"/>
        <w:ind w:firstLine="284"/>
        <w:jc w:val="both"/>
        <w:rPr>
          <w:rFonts w:cstheme="minorHAnsi"/>
        </w:rPr>
      </w:pPr>
      <w:r w:rsidRPr="00A26C26">
        <w:rPr>
          <w:rFonts w:cstheme="minorHAnsi"/>
        </w:rPr>
        <w:t>Jedną</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ważniejszych</w:t>
      </w:r>
      <w:r w:rsidR="003B50ED">
        <w:rPr>
          <w:rFonts w:cstheme="minorHAnsi"/>
        </w:rPr>
        <w:t xml:space="preserve"> </w:t>
      </w:r>
      <w:r w:rsidRPr="00A26C26">
        <w:rPr>
          <w:rFonts w:cstheme="minorHAnsi"/>
        </w:rPr>
        <w:t>ról</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tym</w:t>
      </w:r>
      <w:r w:rsidR="003B50ED">
        <w:rPr>
          <w:rFonts w:cstheme="minorHAnsi"/>
        </w:rPr>
        <w:t xml:space="preserve"> </w:t>
      </w:r>
      <w:r w:rsidRPr="00A26C26">
        <w:rPr>
          <w:rFonts w:cstheme="minorHAnsi"/>
        </w:rPr>
        <w:t>zakresie</w:t>
      </w:r>
      <w:r w:rsidR="003B50ED">
        <w:rPr>
          <w:rFonts w:cstheme="minorHAnsi"/>
        </w:rPr>
        <w:t xml:space="preserve"> </w:t>
      </w:r>
      <w:r w:rsidRPr="00A26C26">
        <w:rPr>
          <w:rFonts w:cstheme="minorHAnsi"/>
        </w:rPr>
        <w:t>będą</w:t>
      </w:r>
      <w:r w:rsidR="003B50ED">
        <w:rPr>
          <w:rFonts w:cstheme="minorHAnsi"/>
        </w:rPr>
        <w:t xml:space="preserve"> </w:t>
      </w:r>
      <w:r w:rsidRPr="00A26C26">
        <w:rPr>
          <w:rFonts w:cstheme="minorHAnsi"/>
        </w:rPr>
        <w:t>odgrywać</w:t>
      </w:r>
      <w:r w:rsidR="003B50ED">
        <w:rPr>
          <w:rFonts w:cstheme="minorHAnsi"/>
        </w:rPr>
        <w:t xml:space="preserve"> </w:t>
      </w:r>
      <w:r w:rsidRPr="00A26C26">
        <w:rPr>
          <w:rFonts w:cstheme="minorHAnsi"/>
        </w:rPr>
        <w:t>działania</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zakresie</w:t>
      </w:r>
      <w:r w:rsidR="003B50ED">
        <w:rPr>
          <w:rFonts w:cstheme="minorHAnsi"/>
        </w:rPr>
        <w:t xml:space="preserve"> </w:t>
      </w:r>
      <w:r w:rsidRPr="00A26C26">
        <w:rPr>
          <w:rFonts w:cstheme="minorHAnsi"/>
        </w:rPr>
        <w:t>koncepcji</w:t>
      </w:r>
      <w:r w:rsidR="003B50ED">
        <w:rPr>
          <w:rFonts w:cstheme="minorHAnsi"/>
        </w:rPr>
        <w:t xml:space="preserve"> </w:t>
      </w:r>
      <w:r w:rsidRPr="00A26C26">
        <w:rPr>
          <w:rFonts w:cstheme="minorHAnsi"/>
        </w:rPr>
        <w:t>Smart</w:t>
      </w:r>
      <w:r w:rsidR="003B50ED">
        <w:rPr>
          <w:rFonts w:cstheme="minorHAnsi"/>
        </w:rPr>
        <w:t xml:space="preserve"> </w:t>
      </w:r>
      <w:proofErr w:type="spellStart"/>
      <w:r w:rsidRPr="00A26C26">
        <w:rPr>
          <w:rFonts w:cstheme="minorHAnsi"/>
        </w:rPr>
        <w:t>Village</w:t>
      </w:r>
      <w:proofErr w:type="spellEnd"/>
      <w:r w:rsidR="003B50ED">
        <w:rPr>
          <w:rFonts w:cstheme="minorHAnsi"/>
        </w:rPr>
        <w:t xml:space="preserve"> </w:t>
      </w:r>
      <w:r w:rsidRPr="00A26C26">
        <w:rPr>
          <w:rFonts w:cstheme="minorHAnsi"/>
        </w:rPr>
        <w:t>(inteligentnej</w:t>
      </w:r>
      <w:r w:rsidR="003B50ED">
        <w:rPr>
          <w:rFonts w:cstheme="minorHAnsi"/>
        </w:rPr>
        <w:t xml:space="preserve"> </w:t>
      </w:r>
      <w:r w:rsidRPr="00A26C26">
        <w:rPr>
          <w:rFonts w:cstheme="minorHAnsi"/>
        </w:rPr>
        <w:t>wsi)</w:t>
      </w:r>
      <w:r w:rsidR="003B50ED">
        <w:rPr>
          <w:rFonts w:cstheme="minorHAnsi"/>
        </w:rPr>
        <w:t xml:space="preserve"> </w:t>
      </w:r>
      <w:r w:rsidRPr="00A26C26">
        <w:rPr>
          <w:rFonts w:cstheme="minorHAnsi"/>
        </w:rPr>
        <w:t>które</w:t>
      </w:r>
      <w:r w:rsidR="003B50ED">
        <w:rPr>
          <w:rFonts w:cstheme="minorHAnsi"/>
        </w:rPr>
        <w:t xml:space="preserve"> </w:t>
      </w:r>
      <w:r w:rsidRPr="00A26C26">
        <w:rPr>
          <w:rFonts w:cstheme="minorHAnsi"/>
        </w:rPr>
        <w:t>to</w:t>
      </w:r>
      <w:r w:rsidR="003B50ED">
        <w:rPr>
          <w:rFonts w:cstheme="minorHAnsi"/>
        </w:rPr>
        <w:t xml:space="preserve"> </w:t>
      </w:r>
      <w:r w:rsidRPr="00A26C26">
        <w:rPr>
          <w:rFonts w:cstheme="minorHAnsi"/>
        </w:rPr>
        <w:t>z</w:t>
      </w:r>
      <w:r w:rsidR="003B50ED">
        <w:rPr>
          <w:rFonts w:cstheme="minorHAnsi"/>
        </w:rPr>
        <w:t xml:space="preserve"> </w:t>
      </w:r>
      <w:r w:rsidRPr="00A26C26">
        <w:rPr>
          <w:rFonts w:cstheme="minorHAnsi"/>
        </w:rPr>
        <w:t>założenia</w:t>
      </w:r>
      <w:r w:rsidR="003B50ED">
        <w:rPr>
          <w:rFonts w:cstheme="minorHAnsi"/>
        </w:rPr>
        <w:t xml:space="preserve"> </w:t>
      </w:r>
      <w:r w:rsidRPr="00A26C26">
        <w:rPr>
          <w:rFonts w:cstheme="minorHAnsi"/>
        </w:rPr>
        <w:t>muszą</w:t>
      </w:r>
      <w:r w:rsidR="003B50ED">
        <w:rPr>
          <w:rFonts w:cstheme="minorHAnsi"/>
        </w:rPr>
        <w:t xml:space="preserve"> </w:t>
      </w:r>
      <w:r w:rsidRPr="00A26C26">
        <w:rPr>
          <w:rFonts w:cstheme="minorHAnsi"/>
        </w:rPr>
        <w:t>m.in.</w:t>
      </w:r>
      <w:r w:rsidR="003B50ED">
        <w:rPr>
          <w:rFonts w:cstheme="minorHAnsi"/>
        </w:rPr>
        <w:t xml:space="preserve"> </w:t>
      </w:r>
      <w:r w:rsidRPr="00A26C26">
        <w:rPr>
          <w:rFonts w:cstheme="minorHAnsi"/>
        </w:rPr>
        <w:t>wykazywać</w:t>
      </w:r>
      <w:r w:rsidR="003B50ED">
        <w:rPr>
          <w:rFonts w:cstheme="minorHAnsi"/>
        </w:rPr>
        <w:t xml:space="preserve"> </w:t>
      </w:r>
      <w:r w:rsidRPr="00A26C26">
        <w:rPr>
          <w:rFonts w:cstheme="minorHAnsi"/>
        </w:rPr>
        <w:t>korzyść</w:t>
      </w:r>
      <w:r w:rsidR="003B50ED">
        <w:rPr>
          <w:rFonts w:cstheme="minorHAnsi"/>
        </w:rPr>
        <w:t xml:space="preserve"> </w:t>
      </w:r>
      <w:r w:rsidRPr="00A26C26">
        <w:rPr>
          <w:rFonts w:cstheme="minorHAnsi"/>
        </w:rPr>
        <w:t>dla</w:t>
      </w:r>
      <w:r w:rsidR="003B50ED">
        <w:rPr>
          <w:rFonts w:cstheme="minorHAnsi"/>
        </w:rPr>
        <w:t xml:space="preserve"> </w:t>
      </w:r>
      <w:r w:rsidRPr="00A26C26">
        <w:rPr>
          <w:rFonts w:cstheme="minorHAnsi"/>
        </w:rPr>
        <w:t>lokalnej</w:t>
      </w:r>
      <w:r w:rsidR="003B50ED">
        <w:rPr>
          <w:rFonts w:cstheme="minorHAnsi"/>
        </w:rPr>
        <w:t xml:space="preserve"> </w:t>
      </w:r>
      <w:r w:rsidRPr="00A26C26">
        <w:rPr>
          <w:rFonts w:cstheme="minorHAnsi"/>
        </w:rPr>
        <w:t>społeczności</w:t>
      </w:r>
      <w:r w:rsidR="003B50ED">
        <w:rPr>
          <w:rFonts w:cstheme="minorHAnsi"/>
        </w:rPr>
        <w:t xml:space="preserve"> </w:t>
      </w:r>
      <w:r w:rsidRPr="00A26C26">
        <w:rPr>
          <w:rFonts w:cstheme="minorHAnsi"/>
        </w:rPr>
        <w:t>w</w:t>
      </w:r>
      <w:r w:rsidR="003B50ED">
        <w:rPr>
          <w:rFonts w:cstheme="minorHAnsi"/>
        </w:rPr>
        <w:t xml:space="preserve"> </w:t>
      </w:r>
      <w:r w:rsidRPr="00A26C26">
        <w:rPr>
          <w:rFonts w:cstheme="minorHAnsi"/>
        </w:rPr>
        <w:t>zakresie</w:t>
      </w:r>
      <w:r w:rsidR="003B50ED">
        <w:rPr>
          <w:rFonts w:cstheme="minorHAnsi"/>
        </w:rPr>
        <w:t xml:space="preserve"> </w:t>
      </w:r>
      <w:r w:rsidRPr="00A26C26">
        <w:rPr>
          <w:rFonts w:cstheme="minorHAnsi"/>
        </w:rPr>
        <w:t>poprawy</w:t>
      </w:r>
      <w:r w:rsidR="003B50ED">
        <w:rPr>
          <w:rFonts w:cstheme="minorHAnsi"/>
        </w:rPr>
        <w:t xml:space="preserve"> </w:t>
      </w:r>
      <w:r w:rsidRPr="00A26C26">
        <w:rPr>
          <w:rFonts w:cstheme="minorHAnsi"/>
        </w:rPr>
        <w:t>poszanowania</w:t>
      </w:r>
      <w:r w:rsidR="003B50ED">
        <w:rPr>
          <w:rFonts w:cstheme="minorHAnsi"/>
        </w:rPr>
        <w:t xml:space="preserve"> </w:t>
      </w:r>
      <w:r w:rsidRPr="00A26C26">
        <w:rPr>
          <w:rFonts w:cstheme="minorHAnsi"/>
        </w:rPr>
        <w:t>środowiska</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klimatu.</w:t>
      </w:r>
      <w:r w:rsidR="003B50ED">
        <w:rPr>
          <w:rFonts w:cstheme="minorHAnsi"/>
        </w:rPr>
        <w:t xml:space="preserve"> </w:t>
      </w:r>
    </w:p>
    <w:p w14:paraId="282C920C" w14:textId="77777777" w:rsidR="003017ED" w:rsidRDefault="003017ED" w:rsidP="00E15132">
      <w:pPr>
        <w:spacing w:line="276" w:lineRule="auto"/>
        <w:ind w:firstLine="284"/>
        <w:jc w:val="both"/>
        <w:rPr>
          <w:rFonts w:cstheme="minorHAnsi"/>
        </w:rPr>
      </w:pPr>
    </w:p>
    <w:p w14:paraId="2B01012C" w14:textId="77EE2CF0" w:rsidR="00E15132" w:rsidRPr="003017ED" w:rsidRDefault="00E15132" w:rsidP="00E15132">
      <w:pPr>
        <w:pStyle w:val="Nagwek2"/>
        <w:numPr>
          <w:ilvl w:val="0"/>
          <w:numId w:val="11"/>
        </w:numPr>
        <w:rPr>
          <w:rFonts w:asciiTheme="minorHAnsi" w:hAnsiTheme="minorHAnsi" w:cstheme="minorHAnsi"/>
          <w:b/>
          <w:bCs/>
          <w:sz w:val="22"/>
          <w:szCs w:val="22"/>
        </w:rPr>
      </w:pPr>
      <w:bookmarkStart w:id="70" w:name="_Toc136327370"/>
      <w:bookmarkStart w:id="71" w:name="_Toc136944417"/>
      <w:r w:rsidRPr="003017ED">
        <w:rPr>
          <w:rFonts w:asciiTheme="minorHAnsi" w:hAnsiTheme="minorHAnsi" w:cstheme="minorHAnsi"/>
          <w:b/>
          <w:bCs/>
          <w:sz w:val="22"/>
          <w:szCs w:val="22"/>
        </w:rPr>
        <w:t>Uzasadnienie doborów zakresów wsparcia</w:t>
      </w:r>
      <w:bookmarkEnd w:id="70"/>
      <w:r w:rsidR="003017ED" w:rsidRPr="003017ED">
        <w:rPr>
          <w:rFonts w:asciiTheme="minorHAnsi" w:hAnsiTheme="minorHAnsi" w:cstheme="minorHAnsi"/>
          <w:b/>
          <w:bCs/>
          <w:sz w:val="22"/>
          <w:szCs w:val="22"/>
        </w:rPr>
        <w:t>, źródeł finansowania i przyjętego sposobu wdrażania.</w:t>
      </w:r>
      <w:bookmarkEnd w:id="71"/>
    </w:p>
    <w:p w14:paraId="6096CE5F" w14:textId="29EE423B" w:rsidR="00E15132" w:rsidRPr="003017ED" w:rsidRDefault="00E15132" w:rsidP="003017ED">
      <w:pPr>
        <w:spacing w:line="276" w:lineRule="auto"/>
        <w:ind w:firstLine="360"/>
        <w:jc w:val="both"/>
        <w:rPr>
          <w:rFonts w:cstheme="minorHAnsi"/>
        </w:rPr>
      </w:pPr>
      <w:r w:rsidRPr="003017ED">
        <w:rPr>
          <w:rFonts w:cstheme="minorHAnsi"/>
        </w:rPr>
        <w:t xml:space="preserve">Przedsięwzięcia w ramach LSR będą realizowane za pomocą konkursów (operacji klasycznych), projektów grantowych, operacji własnych, projektów partnerskich oraz grantów na opracowanie koncepcji Smart </w:t>
      </w:r>
      <w:proofErr w:type="spellStart"/>
      <w:r w:rsidRPr="003017ED">
        <w:rPr>
          <w:rFonts w:cstheme="minorHAnsi"/>
        </w:rPr>
        <w:t>Village</w:t>
      </w:r>
      <w:proofErr w:type="spellEnd"/>
      <w:r w:rsidRPr="003017ED">
        <w:rPr>
          <w:rFonts w:cstheme="minorHAnsi"/>
        </w:rPr>
        <w:t xml:space="preserve">. Taki dobór metod jest </w:t>
      </w:r>
      <w:r w:rsidR="00D543AB">
        <w:rPr>
          <w:rFonts w:cstheme="minorHAnsi"/>
        </w:rPr>
        <w:t>uzasadniony doświadczeniami LGD</w:t>
      </w:r>
      <w:r w:rsidRPr="003017ED">
        <w:rPr>
          <w:rFonts w:cstheme="minorHAnsi"/>
        </w:rPr>
        <w:t xml:space="preserve"> w poprzednich okresach programowania, potrzebami zgłaszanymi przez lokalną społeczność oraz dostępnymi formami wsparcia w ramach PS dla WPR na lata 2023-2027. </w:t>
      </w:r>
    </w:p>
    <w:p w14:paraId="5BB53C32" w14:textId="77777777" w:rsidR="00E15132" w:rsidRPr="003017ED" w:rsidRDefault="00E15132" w:rsidP="00E15132">
      <w:pPr>
        <w:spacing w:line="276" w:lineRule="auto"/>
        <w:jc w:val="both"/>
        <w:rPr>
          <w:rFonts w:cstheme="minorHAnsi"/>
        </w:rPr>
      </w:pPr>
      <w:r w:rsidRPr="003017ED">
        <w:rPr>
          <w:rFonts w:cstheme="minorHAnsi"/>
        </w:rPr>
        <w:t>LSR, z uwagi na zakres celów i przedsięwzięć planowanych do realizacji a także możliwości dostępnych metod finansowania na terenie województwa wielkopolskiego będzie finansowana zarówno z EFRROW jak i EFRR i EFS+.</w:t>
      </w:r>
    </w:p>
    <w:p w14:paraId="0E9F972F" w14:textId="454AEA95" w:rsidR="00224658" w:rsidRDefault="00E15132" w:rsidP="00A26C26">
      <w:pPr>
        <w:spacing w:line="276" w:lineRule="auto"/>
        <w:jc w:val="both"/>
        <w:rPr>
          <w:rFonts w:cstheme="minorHAnsi"/>
        </w:rPr>
      </w:pPr>
      <w:r w:rsidRPr="003017ED">
        <w:rPr>
          <w:rFonts w:cstheme="minorHAnsi"/>
        </w:rPr>
        <w:t>Przyjęto sposób wdrażania LSR poprzez stosowanie wielozakresowych naborów wniosków. Jak wykazano w dalszej części niniejszej LSR, przedsięwzięcia są tak skonstruowane, że nie tylko odpowiadają na najpilniejsze potrzeby lokalnej społeczności, w tym osób młodych, seniorów i grup w niekorzystnej sytuacji, ale się wzajemnie uzupełniają dając efekt synergii, niemożliwy do uzyskania w ramach innych programów pomocowych. Oznacza to, ze realizacja jednego przedsięwzięcia będzie pozytywnie wpływać na założenia innego, wzmacniając tym samym efekt interwencji LEADER na obszarze LSR.</w:t>
      </w:r>
      <w:r w:rsidR="00396A11" w:rsidRPr="003017ED">
        <w:rPr>
          <w:rFonts w:cstheme="minorHAnsi"/>
        </w:rPr>
        <w:t xml:space="preserve"> </w:t>
      </w:r>
    </w:p>
    <w:p w14:paraId="12E9EDA6" w14:textId="77777777" w:rsidR="003017ED" w:rsidRPr="00A26C26" w:rsidRDefault="003017ED" w:rsidP="00A26C26">
      <w:pPr>
        <w:spacing w:line="276" w:lineRule="auto"/>
        <w:jc w:val="both"/>
        <w:rPr>
          <w:rFonts w:cstheme="minorHAnsi"/>
        </w:rPr>
      </w:pPr>
    </w:p>
    <w:p w14:paraId="252A206D" w14:textId="3DCEF02B" w:rsidR="004F6F0F" w:rsidRPr="00A26C26" w:rsidRDefault="004F6F0F" w:rsidP="00E15132">
      <w:pPr>
        <w:pStyle w:val="Nagwek2"/>
        <w:numPr>
          <w:ilvl w:val="0"/>
          <w:numId w:val="11"/>
        </w:numPr>
        <w:spacing w:before="0" w:line="276" w:lineRule="auto"/>
        <w:rPr>
          <w:rFonts w:asciiTheme="minorHAnsi" w:eastAsia="Times New Roman" w:hAnsiTheme="minorHAnsi" w:cstheme="minorHAnsi"/>
          <w:b/>
          <w:bCs/>
          <w:sz w:val="22"/>
          <w:szCs w:val="22"/>
        </w:rPr>
      </w:pPr>
      <w:bookmarkStart w:id="72" w:name="_Toc135619156"/>
      <w:bookmarkStart w:id="73" w:name="_Toc136212422"/>
      <w:bookmarkStart w:id="74" w:name="_Toc136944418"/>
      <w:r w:rsidRPr="00A26C26">
        <w:rPr>
          <w:rFonts w:asciiTheme="minorHAnsi" w:eastAsia="Times New Roman" w:hAnsiTheme="minorHAnsi" w:cstheme="minorHAnsi"/>
          <w:b/>
          <w:bCs/>
          <w:sz w:val="22"/>
          <w:szCs w:val="22"/>
        </w:rPr>
        <w:t>Podsumowanie.</w:t>
      </w:r>
      <w:r w:rsidR="003B50ED">
        <w:rPr>
          <w:rFonts w:asciiTheme="minorHAnsi" w:eastAsia="Times New Roman" w:hAnsiTheme="minorHAnsi" w:cstheme="minorHAnsi"/>
          <w:b/>
          <w:bCs/>
          <w:sz w:val="22"/>
          <w:szCs w:val="22"/>
        </w:rPr>
        <w:t xml:space="preserve"> </w:t>
      </w:r>
      <w:r w:rsidRPr="00A26C26">
        <w:rPr>
          <w:rFonts w:asciiTheme="minorHAnsi" w:eastAsia="Times New Roman" w:hAnsiTheme="minorHAnsi" w:cstheme="minorHAnsi"/>
          <w:b/>
          <w:bCs/>
          <w:sz w:val="22"/>
          <w:szCs w:val="22"/>
        </w:rPr>
        <w:t>Kluczowe</w:t>
      </w:r>
      <w:r w:rsidR="003B50ED">
        <w:rPr>
          <w:rFonts w:asciiTheme="minorHAnsi" w:eastAsia="Times New Roman" w:hAnsiTheme="minorHAnsi" w:cstheme="minorHAnsi"/>
          <w:b/>
          <w:bCs/>
          <w:sz w:val="22"/>
          <w:szCs w:val="22"/>
        </w:rPr>
        <w:t xml:space="preserve"> </w:t>
      </w:r>
      <w:r w:rsidRPr="00A26C26">
        <w:rPr>
          <w:rFonts w:asciiTheme="minorHAnsi" w:eastAsia="Times New Roman" w:hAnsiTheme="minorHAnsi" w:cstheme="minorHAnsi"/>
          <w:b/>
          <w:bCs/>
          <w:sz w:val="22"/>
          <w:szCs w:val="22"/>
        </w:rPr>
        <w:t>problemy</w:t>
      </w:r>
      <w:r w:rsidR="003B50ED">
        <w:rPr>
          <w:rFonts w:asciiTheme="minorHAnsi" w:eastAsia="Times New Roman" w:hAnsiTheme="minorHAnsi" w:cstheme="minorHAnsi"/>
          <w:b/>
          <w:bCs/>
          <w:sz w:val="22"/>
          <w:szCs w:val="22"/>
        </w:rPr>
        <w:t xml:space="preserve"> </w:t>
      </w:r>
      <w:r w:rsidRPr="00A26C26">
        <w:rPr>
          <w:rFonts w:asciiTheme="minorHAnsi" w:eastAsia="Times New Roman" w:hAnsiTheme="minorHAnsi" w:cstheme="minorHAnsi"/>
          <w:b/>
          <w:bCs/>
          <w:sz w:val="22"/>
          <w:szCs w:val="22"/>
        </w:rPr>
        <w:t>obszaru</w:t>
      </w:r>
      <w:r w:rsidR="003B50ED">
        <w:rPr>
          <w:rFonts w:asciiTheme="minorHAnsi" w:eastAsia="Times New Roman" w:hAnsiTheme="minorHAnsi" w:cstheme="minorHAnsi"/>
          <w:b/>
          <w:bCs/>
          <w:sz w:val="22"/>
          <w:szCs w:val="22"/>
        </w:rPr>
        <w:t xml:space="preserve"> </w:t>
      </w:r>
      <w:r w:rsidRPr="00A26C26">
        <w:rPr>
          <w:rFonts w:asciiTheme="minorHAnsi" w:eastAsia="Times New Roman" w:hAnsiTheme="minorHAnsi" w:cstheme="minorHAnsi"/>
          <w:b/>
          <w:bCs/>
          <w:sz w:val="22"/>
          <w:szCs w:val="22"/>
        </w:rPr>
        <w:t>LGD.</w:t>
      </w:r>
      <w:bookmarkEnd w:id="72"/>
      <w:bookmarkEnd w:id="73"/>
      <w:bookmarkEnd w:id="74"/>
    </w:p>
    <w:p w14:paraId="5C2AC3F9" w14:textId="567BAA9E" w:rsidR="004F6F0F" w:rsidRPr="00A26C26" w:rsidRDefault="004F6F0F" w:rsidP="00A26C26">
      <w:pPr>
        <w:spacing w:line="276" w:lineRule="auto"/>
        <w:ind w:firstLine="284"/>
        <w:jc w:val="both"/>
        <w:rPr>
          <w:rFonts w:eastAsia="Calibri" w:cstheme="minorHAnsi"/>
          <w:kern w:val="0"/>
          <w14:ligatures w14:val="none"/>
        </w:rPr>
      </w:pPr>
      <w:r w:rsidRPr="00A26C26">
        <w:rPr>
          <w:rFonts w:eastAsia="Calibri" w:cstheme="minorHAnsi"/>
          <w:kern w:val="0"/>
          <w14:ligatures w14:val="none"/>
        </w:rPr>
        <w:t>Według</w:t>
      </w:r>
      <w:r w:rsidR="003B50ED">
        <w:rPr>
          <w:rFonts w:eastAsia="Calibri" w:cstheme="minorHAnsi"/>
          <w:kern w:val="0"/>
          <w14:ligatures w14:val="none"/>
        </w:rPr>
        <w:t xml:space="preserve"> </w:t>
      </w:r>
      <w:r w:rsidRPr="00A26C26">
        <w:rPr>
          <w:rFonts w:eastAsia="Calibri" w:cstheme="minorHAnsi"/>
          <w:kern w:val="0"/>
          <w14:ligatures w14:val="none"/>
        </w:rPr>
        <w:t>definicji,</w:t>
      </w:r>
      <w:r w:rsidR="003B50ED">
        <w:rPr>
          <w:rFonts w:eastAsia="Calibri" w:cstheme="minorHAnsi"/>
          <w:kern w:val="0"/>
          <w14:ligatures w14:val="none"/>
        </w:rPr>
        <w:t xml:space="preserve"> </w:t>
      </w:r>
      <w:r w:rsidRPr="00A26C26">
        <w:rPr>
          <w:rFonts w:eastAsia="Calibri" w:cstheme="minorHAnsi"/>
          <w:kern w:val="0"/>
          <w14:ligatures w14:val="none"/>
        </w:rPr>
        <w:t>problem</w:t>
      </w:r>
      <w:r w:rsidR="003B50ED">
        <w:rPr>
          <w:rFonts w:eastAsia="Calibri" w:cstheme="minorHAnsi"/>
          <w:kern w:val="0"/>
          <w14:ligatures w14:val="none"/>
        </w:rPr>
        <w:t xml:space="preserve"> </w:t>
      </w:r>
      <w:r w:rsidRPr="00A26C26">
        <w:rPr>
          <w:rFonts w:eastAsia="Calibri" w:cstheme="minorHAnsi"/>
          <w:kern w:val="0"/>
          <w14:ligatures w14:val="none"/>
        </w:rPr>
        <w:t>to</w:t>
      </w:r>
      <w:r w:rsidR="003B50ED">
        <w:rPr>
          <w:rFonts w:eastAsia="Calibri" w:cstheme="minorHAnsi"/>
          <w:kern w:val="0"/>
          <w14:ligatures w14:val="none"/>
        </w:rPr>
        <w:t xml:space="preserve"> </w:t>
      </w:r>
      <w:r w:rsidRPr="00A26C26">
        <w:rPr>
          <w:rFonts w:eastAsia="Calibri" w:cstheme="minorHAnsi"/>
          <w:kern w:val="0"/>
          <w14:ligatures w14:val="none"/>
        </w:rPr>
        <w:t>sytuacja,</w:t>
      </w:r>
      <w:r w:rsidR="003B50ED">
        <w:rPr>
          <w:rFonts w:eastAsia="Calibri" w:cstheme="minorHAnsi"/>
          <w:kern w:val="0"/>
          <w14:ligatures w14:val="none"/>
        </w:rPr>
        <w:t xml:space="preserve"> </w:t>
      </w:r>
      <w:r w:rsidRPr="00A26C26">
        <w:rPr>
          <w:rFonts w:eastAsia="Calibri" w:cstheme="minorHAnsi"/>
          <w:kern w:val="0"/>
          <w14:ligatures w14:val="none"/>
        </w:rPr>
        <w:t>zjawisko</w:t>
      </w:r>
      <w:r w:rsidR="003B50ED">
        <w:rPr>
          <w:rFonts w:eastAsia="Calibri" w:cstheme="minorHAnsi"/>
          <w:kern w:val="0"/>
          <w14:ligatures w14:val="none"/>
        </w:rPr>
        <w:t xml:space="preserve"> </w:t>
      </w:r>
      <w:r w:rsidRPr="00A26C26">
        <w:rPr>
          <w:rFonts w:eastAsia="Calibri" w:cstheme="minorHAnsi"/>
          <w:kern w:val="0"/>
          <w14:ligatures w14:val="none"/>
        </w:rPr>
        <w:t>lub</w:t>
      </w:r>
      <w:r w:rsidR="003B50ED">
        <w:rPr>
          <w:rFonts w:eastAsia="Calibri" w:cstheme="minorHAnsi"/>
          <w:kern w:val="0"/>
          <w14:ligatures w14:val="none"/>
        </w:rPr>
        <w:t xml:space="preserve"> </w:t>
      </w:r>
      <w:r w:rsidRPr="00A26C26">
        <w:rPr>
          <w:rFonts w:eastAsia="Calibri" w:cstheme="minorHAnsi"/>
          <w:kern w:val="0"/>
          <w14:ligatures w14:val="none"/>
        </w:rPr>
        <w:t>trudność,</w:t>
      </w:r>
      <w:r w:rsidR="003B50ED">
        <w:rPr>
          <w:rFonts w:eastAsia="Calibri" w:cstheme="minorHAnsi"/>
          <w:kern w:val="0"/>
          <w14:ligatures w14:val="none"/>
        </w:rPr>
        <w:t xml:space="preserve"> </w:t>
      </w:r>
      <w:r w:rsidRPr="00A26C26">
        <w:rPr>
          <w:rFonts w:eastAsia="Calibri" w:cstheme="minorHAnsi"/>
          <w:kern w:val="0"/>
          <w14:ligatures w14:val="none"/>
        </w:rPr>
        <w:t>które</w:t>
      </w:r>
      <w:r w:rsidR="003B50ED">
        <w:rPr>
          <w:rFonts w:eastAsia="Calibri" w:cstheme="minorHAnsi"/>
          <w:kern w:val="0"/>
          <w14:ligatures w14:val="none"/>
        </w:rPr>
        <w:t xml:space="preserve"> </w:t>
      </w:r>
      <w:r w:rsidRPr="00A26C26">
        <w:rPr>
          <w:rFonts w:eastAsia="Calibri" w:cstheme="minorHAnsi"/>
          <w:kern w:val="0"/>
          <w14:ligatures w14:val="none"/>
        </w:rPr>
        <w:t>wymaga</w:t>
      </w:r>
      <w:r w:rsidR="003B50ED">
        <w:rPr>
          <w:rFonts w:eastAsia="Calibri" w:cstheme="minorHAnsi"/>
          <w:kern w:val="0"/>
          <w14:ligatures w14:val="none"/>
        </w:rPr>
        <w:t xml:space="preserve"> </w:t>
      </w:r>
      <w:r w:rsidRPr="00A26C26">
        <w:rPr>
          <w:rFonts w:eastAsia="Calibri" w:cstheme="minorHAnsi"/>
          <w:kern w:val="0"/>
          <w14:ligatures w14:val="none"/>
        </w:rPr>
        <w:t>rozwiązania</w:t>
      </w:r>
      <w:r w:rsidR="003B50ED">
        <w:rPr>
          <w:rFonts w:eastAsia="Calibri" w:cstheme="minorHAnsi"/>
          <w:kern w:val="0"/>
          <w14:ligatures w14:val="none"/>
        </w:rPr>
        <w:t xml:space="preserve"> </w:t>
      </w:r>
      <w:r w:rsidRPr="00A26C26">
        <w:rPr>
          <w:rFonts w:eastAsia="Calibri" w:cstheme="minorHAnsi"/>
          <w:kern w:val="0"/>
          <w14:ligatures w14:val="none"/>
        </w:rPr>
        <w:t>lub</w:t>
      </w:r>
      <w:r w:rsidR="003B50ED">
        <w:rPr>
          <w:rFonts w:eastAsia="Calibri" w:cstheme="minorHAnsi"/>
          <w:kern w:val="0"/>
          <w14:ligatures w14:val="none"/>
        </w:rPr>
        <w:t xml:space="preserve"> </w:t>
      </w:r>
      <w:r w:rsidRPr="00A26C26">
        <w:rPr>
          <w:rFonts w:eastAsia="Calibri" w:cstheme="minorHAnsi"/>
          <w:kern w:val="0"/>
          <w14:ligatures w14:val="none"/>
        </w:rPr>
        <w:t>działania</w:t>
      </w:r>
      <w:r w:rsidR="003B50ED">
        <w:rPr>
          <w:rFonts w:eastAsia="Calibri" w:cstheme="minorHAnsi"/>
          <w:kern w:val="0"/>
          <w14:ligatures w14:val="none"/>
        </w:rPr>
        <w:t xml:space="preserve"> </w:t>
      </w:r>
      <w:r w:rsidRPr="00A26C26">
        <w:rPr>
          <w:rFonts w:eastAsia="Calibri" w:cstheme="minorHAnsi"/>
          <w:kern w:val="0"/>
          <w14:ligatures w14:val="none"/>
        </w:rPr>
        <w:t>w</w:t>
      </w:r>
      <w:r w:rsidR="003B50ED">
        <w:rPr>
          <w:rFonts w:eastAsia="Calibri" w:cstheme="minorHAnsi"/>
          <w:kern w:val="0"/>
          <w14:ligatures w14:val="none"/>
        </w:rPr>
        <w:t xml:space="preserve"> </w:t>
      </w:r>
      <w:r w:rsidRPr="00A26C26">
        <w:rPr>
          <w:rFonts w:eastAsia="Calibri" w:cstheme="minorHAnsi"/>
          <w:kern w:val="0"/>
          <w14:ligatures w14:val="none"/>
        </w:rPr>
        <w:t>celu</w:t>
      </w:r>
      <w:r w:rsidR="003B50ED">
        <w:rPr>
          <w:rFonts w:eastAsia="Calibri" w:cstheme="minorHAnsi"/>
          <w:kern w:val="0"/>
          <w14:ligatures w14:val="none"/>
        </w:rPr>
        <w:t xml:space="preserve"> </w:t>
      </w:r>
      <w:r w:rsidRPr="00A26C26">
        <w:rPr>
          <w:rFonts w:eastAsia="Calibri" w:cstheme="minorHAnsi"/>
          <w:kern w:val="0"/>
          <w14:ligatures w14:val="none"/>
        </w:rPr>
        <w:t>osiągnięcia</w:t>
      </w:r>
      <w:r w:rsidR="003B50ED">
        <w:rPr>
          <w:rFonts w:eastAsia="Calibri" w:cstheme="minorHAnsi"/>
          <w:kern w:val="0"/>
          <w14:ligatures w14:val="none"/>
        </w:rPr>
        <w:t xml:space="preserve"> </w:t>
      </w:r>
      <w:r w:rsidRPr="00A26C26">
        <w:rPr>
          <w:rFonts w:eastAsia="Calibri" w:cstheme="minorHAnsi"/>
          <w:kern w:val="0"/>
          <w14:ligatures w14:val="none"/>
        </w:rPr>
        <w:t>pożądanego</w:t>
      </w:r>
      <w:r w:rsidR="003B50ED">
        <w:rPr>
          <w:rFonts w:eastAsia="Calibri" w:cstheme="minorHAnsi"/>
          <w:kern w:val="0"/>
          <w14:ligatures w14:val="none"/>
        </w:rPr>
        <w:t xml:space="preserve"> </w:t>
      </w:r>
      <w:r w:rsidRPr="00A26C26">
        <w:rPr>
          <w:rFonts w:eastAsia="Calibri" w:cstheme="minorHAnsi"/>
          <w:kern w:val="0"/>
          <w14:ligatures w14:val="none"/>
        </w:rPr>
        <w:t>rezultatu</w:t>
      </w:r>
      <w:r w:rsidR="003B50ED">
        <w:rPr>
          <w:rFonts w:eastAsia="Calibri" w:cstheme="minorHAnsi"/>
          <w:kern w:val="0"/>
          <w14:ligatures w14:val="none"/>
        </w:rPr>
        <w:t xml:space="preserve"> </w:t>
      </w:r>
      <w:r w:rsidRPr="00A26C26">
        <w:rPr>
          <w:rFonts w:eastAsia="Calibri" w:cstheme="minorHAnsi"/>
          <w:kern w:val="0"/>
          <w14:ligatures w14:val="none"/>
        </w:rPr>
        <w:t>lub</w:t>
      </w:r>
      <w:r w:rsidR="003B50ED">
        <w:rPr>
          <w:rFonts w:eastAsia="Calibri" w:cstheme="minorHAnsi"/>
          <w:kern w:val="0"/>
          <w14:ligatures w14:val="none"/>
        </w:rPr>
        <w:t xml:space="preserve"> </w:t>
      </w:r>
      <w:r w:rsidRPr="00A26C26">
        <w:rPr>
          <w:rFonts w:eastAsia="Calibri" w:cstheme="minorHAnsi"/>
          <w:kern w:val="0"/>
          <w14:ligatures w14:val="none"/>
        </w:rPr>
        <w:t>poprawy</w:t>
      </w:r>
      <w:r w:rsidR="003B50ED">
        <w:rPr>
          <w:rFonts w:eastAsia="Calibri" w:cstheme="minorHAnsi"/>
          <w:kern w:val="0"/>
          <w14:ligatures w14:val="none"/>
        </w:rPr>
        <w:t xml:space="preserve"> </w:t>
      </w:r>
      <w:r w:rsidRPr="00A26C26">
        <w:rPr>
          <w:rFonts w:eastAsia="Calibri" w:cstheme="minorHAnsi"/>
          <w:kern w:val="0"/>
          <w14:ligatures w14:val="none"/>
        </w:rPr>
        <w:t>istniejącej</w:t>
      </w:r>
      <w:r w:rsidR="003B50ED">
        <w:rPr>
          <w:rFonts w:eastAsia="Calibri" w:cstheme="minorHAnsi"/>
          <w:kern w:val="0"/>
          <w14:ligatures w14:val="none"/>
        </w:rPr>
        <w:t xml:space="preserve"> </w:t>
      </w:r>
      <w:r w:rsidRPr="00A26C26">
        <w:rPr>
          <w:rFonts w:eastAsia="Calibri" w:cstheme="minorHAnsi"/>
          <w:kern w:val="0"/>
          <w14:ligatures w14:val="none"/>
        </w:rPr>
        <w:t>sytuacji.</w:t>
      </w:r>
      <w:r w:rsidR="003B50ED">
        <w:rPr>
          <w:rFonts w:eastAsia="Calibri" w:cstheme="minorHAnsi"/>
          <w:kern w:val="0"/>
          <w14:ligatures w14:val="none"/>
        </w:rPr>
        <w:t xml:space="preserve"> </w:t>
      </w:r>
      <w:r w:rsidRPr="00A26C26">
        <w:rPr>
          <w:rFonts w:eastAsia="Calibri" w:cstheme="minorHAnsi"/>
          <w:kern w:val="0"/>
          <w14:ligatures w14:val="none"/>
        </w:rPr>
        <w:t>Jest</w:t>
      </w:r>
      <w:r w:rsidR="003B50ED">
        <w:rPr>
          <w:rFonts w:eastAsia="Calibri" w:cstheme="minorHAnsi"/>
          <w:kern w:val="0"/>
          <w14:ligatures w14:val="none"/>
        </w:rPr>
        <w:t xml:space="preserve"> </w:t>
      </w:r>
      <w:r w:rsidRPr="00A26C26">
        <w:rPr>
          <w:rFonts w:eastAsia="Calibri" w:cstheme="minorHAnsi"/>
          <w:kern w:val="0"/>
          <w14:ligatures w14:val="none"/>
        </w:rPr>
        <w:t>to</w:t>
      </w:r>
      <w:r w:rsidR="003B50ED">
        <w:rPr>
          <w:rFonts w:eastAsia="Calibri" w:cstheme="minorHAnsi"/>
          <w:kern w:val="0"/>
          <w14:ligatures w14:val="none"/>
        </w:rPr>
        <w:t xml:space="preserve"> </w:t>
      </w:r>
      <w:r w:rsidRPr="00A26C26">
        <w:rPr>
          <w:rFonts w:eastAsia="Calibri" w:cstheme="minorHAnsi"/>
          <w:kern w:val="0"/>
          <w14:ligatures w14:val="none"/>
        </w:rPr>
        <w:t>niezgodność</w:t>
      </w:r>
      <w:r w:rsidR="003B50ED">
        <w:rPr>
          <w:rFonts w:eastAsia="Calibri" w:cstheme="minorHAnsi"/>
          <w:kern w:val="0"/>
          <w14:ligatures w14:val="none"/>
        </w:rPr>
        <w:t xml:space="preserve"> </w:t>
      </w:r>
      <w:r w:rsidRPr="00A26C26">
        <w:rPr>
          <w:rFonts w:eastAsia="Calibri" w:cstheme="minorHAnsi"/>
          <w:kern w:val="0"/>
          <w14:ligatures w14:val="none"/>
        </w:rPr>
        <w:t>pomiędzy</w:t>
      </w:r>
      <w:r w:rsidR="003B50ED">
        <w:rPr>
          <w:rFonts w:eastAsia="Calibri" w:cstheme="minorHAnsi"/>
          <w:kern w:val="0"/>
          <w14:ligatures w14:val="none"/>
        </w:rPr>
        <w:t xml:space="preserve"> </w:t>
      </w:r>
      <w:r w:rsidRPr="00A26C26">
        <w:rPr>
          <w:rFonts w:eastAsia="Calibri" w:cstheme="minorHAnsi"/>
          <w:kern w:val="0"/>
          <w14:ligatures w14:val="none"/>
        </w:rPr>
        <w:t>aktualnym</w:t>
      </w:r>
      <w:r w:rsidR="003B50ED">
        <w:rPr>
          <w:rFonts w:eastAsia="Calibri" w:cstheme="minorHAnsi"/>
          <w:kern w:val="0"/>
          <w14:ligatures w14:val="none"/>
        </w:rPr>
        <w:t xml:space="preserve"> </w:t>
      </w:r>
      <w:r w:rsidRPr="00A26C26">
        <w:rPr>
          <w:rFonts w:eastAsia="Calibri" w:cstheme="minorHAnsi"/>
          <w:kern w:val="0"/>
          <w14:ligatures w14:val="none"/>
        </w:rPr>
        <w:t>stanem</w:t>
      </w:r>
      <w:r w:rsidR="003B50ED">
        <w:rPr>
          <w:rFonts w:eastAsia="Calibri" w:cstheme="minorHAnsi"/>
          <w:kern w:val="0"/>
          <w14:ligatures w14:val="none"/>
        </w:rPr>
        <w:t xml:space="preserve"> </w:t>
      </w:r>
      <w:r w:rsidRPr="00A26C26">
        <w:rPr>
          <w:rFonts w:eastAsia="Calibri" w:cstheme="minorHAnsi"/>
          <w:kern w:val="0"/>
          <w14:ligatures w14:val="none"/>
        </w:rPr>
        <w:t>rzeczy</w:t>
      </w:r>
      <w:r w:rsidR="003B50ED">
        <w:rPr>
          <w:rFonts w:eastAsia="Calibri" w:cstheme="minorHAnsi"/>
          <w:kern w:val="0"/>
          <w14:ligatures w14:val="none"/>
        </w:rPr>
        <w:t xml:space="preserve"> </w:t>
      </w:r>
      <w:r w:rsidRPr="00A26C26">
        <w:rPr>
          <w:rFonts w:eastAsia="Calibri" w:cstheme="minorHAnsi"/>
          <w:kern w:val="0"/>
          <w14:ligatures w14:val="none"/>
        </w:rPr>
        <w:t>a</w:t>
      </w:r>
      <w:r w:rsidR="003B50ED">
        <w:rPr>
          <w:rFonts w:eastAsia="Calibri" w:cstheme="minorHAnsi"/>
          <w:kern w:val="0"/>
          <w14:ligatures w14:val="none"/>
        </w:rPr>
        <w:t xml:space="preserve"> </w:t>
      </w:r>
      <w:r w:rsidRPr="00A26C26">
        <w:rPr>
          <w:rFonts w:eastAsia="Calibri" w:cstheme="minorHAnsi"/>
          <w:kern w:val="0"/>
          <w14:ligatures w14:val="none"/>
        </w:rPr>
        <w:t>oczekiwanym</w:t>
      </w:r>
      <w:r w:rsidR="003B50ED">
        <w:rPr>
          <w:rFonts w:eastAsia="Calibri" w:cstheme="minorHAnsi"/>
          <w:kern w:val="0"/>
          <w14:ligatures w14:val="none"/>
        </w:rPr>
        <w:t xml:space="preserve"> </w:t>
      </w:r>
      <w:r w:rsidRPr="00A26C26">
        <w:rPr>
          <w:rFonts w:eastAsia="Calibri" w:cstheme="minorHAnsi"/>
          <w:kern w:val="0"/>
          <w14:ligatures w14:val="none"/>
        </w:rPr>
        <w:t>lub</w:t>
      </w:r>
      <w:r w:rsidR="003B50ED">
        <w:rPr>
          <w:rFonts w:eastAsia="Calibri" w:cstheme="minorHAnsi"/>
          <w:kern w:val="0"/>
          <w14:ligatures w14:val="none"/>
        </w:rPr>
        <w:t xml:space="preserve"> </w:t>
      </w:r>
      <w:r w:rsidRPr="00A26C26">
        <w:rPr>
          <w:rFonts w:eastAsia="Calibri" w:cstheme="minorHAnsi"/>
          <w:kern w:val="0"/>
          <w14:ligatures w14:val="none"/>
        </w:rPr>
        <w:t>idealnym</w:t>
      </w:r>
      <w:r w:rsidR="003B50ED">
        <w:rPr>
          <w:rFonts w:eastAsia="Calibri" w:cstheme="minorHAnsi"/>
          <w:kern w:val="0"/>
          <w14:ligatures w14:val="none"/>
        </w:rPr>
        <w:t xml:space="preserve"> </w:t>
      </w:r>
      <w:r w:rsidRPr="00A26C26">
        <w:rPr>
          <w:rFonts w:eastAsia="Calibri" w:cstheme="minorHAnsi"/>
          <w:kern w:val="0"/>
          <w14:ligatures w14:val="none"/>
        </w:rPr>
        <w:t>stanem,</w:t>
      </w:r>
      <w:r w:rsidR="003B50ED">
        <w:rPr>
          <w:rFonts w:eastAsia="Calibri" w:cstheme="minorHAnsi"/>
          <w:kern w:val="0"/>
          <w14:ligatures w14:val="none"/>
        </w:rPr>
        <w:t xml:space="preserve"> </w:t>
      </w:r>
      <w:r w:rsidRPr="00A26C26">
        <w:rPr>
          <w:rFonts w:eastAsia="Calibri" w:cstheme="minorHAnsi"/>
          <w:kern w:val="0"/>
          <w14:ligatures w14:val="none"/>
        </w:rPr>
        <w:t>która</w:t>
      </w:r>
      <w:r w:rsidR="003B50ED">
        <w:rPr>
          <w:rFonts w:eastAsia="Calibri" w:cstheme="minorHAnsi"/>
          <w:kern w:val="0"/>
          <w14:ligatures w14:val="none"/>
        </w:rPr>
        <w:t xml:space="preserve"> </w:t>
      </w:r>
      <w:r w:rsidRPr="00A26C26">
        <w:rPr>
          <w:rFonts w:eastAsia="Calibri" w:cstheme="minorHAnsi"/>
          <w:kern w:val="0"/>
          <w14:ligatures w14:val="none"/>
        </w:rPr>
        <w:t>powoduje</w:t>
      </w:r>
      <w:r w:rsidR="003B50ED">
        <w:rPr>
          <w:rFonts w:eastAsia="Calibri" w:cstheme="minorHAnsi"/>
          <w:kern w:val="0"/>
          <w14:ligatures w14:val="none"/>
        </w:rPr>
        <w:t xml:space="preserve"> </w:t>
      </w:r>
      <w:r w:rsidRPr="00A26C26">
        <w:rPr>
          <w:rFonts w:eastAsia="Calibri" w:cstheme="minorHAnsi"/>
          <w:kern w:val="0"/>
          <w14:ligatures w14:val="none"/>
        </w:rPr>
        <w:t>trudności,</w:t>
      </w:r>
      <w:r w:rsidR="003B50ED">
        <w:rPr>
          <w:rFonts w:eastAsia="Calibri" w:cstheme="minorHAnsi"/>
          <w:kern w:val="0"/>
          <w14:ligatures w14:val="none"/>
        </w:rPr>
        <w:t xml:space="preserve"> </w:t>
      </w:r>
      <w:r w:rsidRPr="00A26C26">
        <w:rPr>
          <w:rFonts w:eastAsia="Calibri" w:cstheme="minorHAnsi"/>
          <w:kern w:val="0"/>
          <w14:ligatures w14:val="none"/>
        </w:rPr>
        <w:t>utrudnienia</w:t>
      </w:r>
      <w:r w:rsidR="003B50ED">
        <w:rPr>
          <w:rFonts w:eastAsia="Calibri" w:cstheme="minorHAnsi"/>
          <w:kern w:val="0"/>
          <w14:ligatures w14:val="none"/>
        </w:rPr>
        <w:t xml:space="preserve"> </w:t>
      </w:r>
      <w:r w:rsidRPr="00A26C26">
        <w:rPr>
          <w:rFonts w:eastAsia="Calibri" w:cstheme="minorHAnsi"/>
          <w:kern w:val="0"/>
          <w14:ligatures w14:val="none"/>
        </w:rPr>
        <w:t>lub</w:t>
      </w:r>
      <w:r w:rsidR="003B50ED">
        <w:rPr>
          <w:rFonts w:eastAsia="Calibri" w:cstheme="minorHAnsi"/>
          <w:kern w:val="0"/>
          <w14:ligatures w14:val="none"/>
        </w:rPr>
        <w:t xml:space="preserve"> </w:t>
      </w:r>
      <w:r w:rsidRPr="00A26C26">
        <w:rPr>
          <w:rFonts w:eastAsia="Calibri" w:cstheme="minorHAnsi"/>
          <w:kern w:val="0"/>
          <w14:ligatures w14:val="none"/>
        </w:rPr>
        <w:t>niepożądane</w:t>
      </w:r>
      <w:r w:rsidR="003B50ED">
        <w:rPr>
          <w:rFonts w:eastAsia="Calibri" w:cstheme="minorHAnsi"/>
          <w:kern w:val="0"/>
          <w14:ligatures w14:val="none"/>
        </w:rPr>
        <w:t xml:space="preserve"> </w:t>
      </w:r>
      <w:r w:rsidRPr="00A26C26">
        <w:rPr>
          <w:rFonts w:eastAsia="Calibri" w:cstheme="minorHAnsi"/>
          <w:kern w:val="0"/>
          <w14:ligatures w14:val="none"/>
        </w:rPr>
        <w:t>konsekwencje.</w:t>
      </w:r>
      <w:r w:rsidR="003B50ED">
        <w:rPr>
          <w:rFonts w:eastAsia="Calibri" w:cstheme="minorHAnsi"/>
          <w:kern w:val="0"/>
          <w14:ligatures w14:val="none"/>
        </w:rPr>
        <w:t xml:space="preserve"> </w:t>
      </w:r>
      <w:r w:rsidRPr="00A26C26">
        <w:rPr>
          <w:rFonts w:eastAsia="Calibri" w:cstheme="minorHAnsi"/>
          <w:kern w:val="0"/>
          <w14:ligatures w14:val="none"/>
        </w:rPr>
        <w:t>Problem</w:t>
      </w:r>
      <w:r w:rsidR="003B50ED">
        <w:rPr>
          <w:rFonts w:eastAsia="Calibri" w:cstheme="minorHAnsi"/>
          <w:kern w:val="0"/>
          <w14:ligatures w14:val="none"/>
        </w:rPr>
        <w:t xml:space="preserve"> </w:t>
      </w:r>
      <w:r w:rsidRPr="00A26C26">
        <w:rPr>
          <w:rFonts w:eastAsia="Calibri" w:cstheme="minorHAnsi"/>
          <w:kern w:val="0"/>
          <w14:ligatures w14:val="none"/>
        </w:rPr>
        <w:t>może</w:t>
      </w:r>
      <w:r w:rsidR="003B50ED">
        <w:rPr>
          <w:rFonts w:eastAsia="Calibri" w:cstheme="minorHAnsi"/>
          <w:kern w:val="0"/>
          <w14:ligatures w14:val="none"/>
        </w:rPr>
        <w:t xml:space="preserve"> </w:t>
      </w:r>
      <w:r w:rsidRPr="00A26C26">
        <w:rPr>
          <w:rFonts w:eastAsia="Calibri" w:cstheme="minorHAnsi"/>
          <w:kern w:val="0"/>
          <w14:ligatures w14:val="none"/>
        </w:rPr>
        <w:t>być</w:t>
      </w:r>
      <w:r w:rsidR="003B50ED">
        <w:rPr>
          <w:rFonts w:eastAsia="Calibri" w:cstheme="minorHAnsi"/>
          <w:kern w:val="0"/>
          <w14:ligatures w14:val="none"/>
        </w:rPr>
        <w:t xml:space="preserve"> </w:t>
      </w:r>
      <w:r w:rsidRPr="00A26C26">
        <w:rPr>
          <w:rFonts w:eastAsia="Calibri" w:cstheme="minorHAnsi"/>
          <w:kern w:val="0"/>
          <w14:ligatures w14:val="none"/>
        </w:rPr>
        <w:t>wynikiem</w:t>
      </w:r>
      <w:r w:rsidR="003B50ED">
        <w:rPr>
          <w:rFonts w:eastAsia="Calibri" w:cstheme="minorHAnsi"/>
          <w:kern w:val="0"/>
          <w14:ligatures w14:val="none"/>
        </w:rPr>
        <w:t xml:space="preserve"> </w:t>
      </w:r>
      <w:r w:rsidRPr="00A26C26">
        <w:rPr>
          <w:rFonts w:eastAsia="Calibri" w:cstheme="minorHAnsi"/>
          <w:kern w:val="0"/>
          <w14:ligatures w14:val="none"/>
        </w:rPr>
        <w:t>różnych</w:t>
      </w:r>
      <w:r w:rsidR="003B50ED">
        <w:rPr>
          <w:rFonts w:eastAsia="Calibri" w:cstheme="minorHAnsi"/>
          <w:kern w:val="0"/>
          <w14:ligatures w14:val="none"/>
        </w:rPr>
        <w:t xml:space="preserve"> </w:t>
      </w:r>
      <w:r w:rsidRPr="00A26C26">
        <w:rPr>
          <w:rFonts w:eastAsia="Calibri" w:cstheme="minorHAnsi"/>
          <w:kern w:val="0"/>
          <w14:ligatures w14:val="none"/>
        </w:rPr>
        <w:t>czynników,</w:t>
      </w:r>
      <w:r w:rsidR="003B50ED">
        <w:rPr>
          <w:rFonts w:eastAsia="Calibri" w:cstheme="minorHAnsi"/>
          <w:kern w:val="0"/>
          <w14:ligatures w14:val="none"/>
        </w:rPr>
        <w:t xml:space="preserve"> </w:t>
      </w:r>
      <w:r w:rsidRPr="00A26C26">
        <w:rPr>
          <w:rFonts w:eastAsia="Calibri" w:cstheme="minorHAnsi"/>
          <w:kern w:val="0"/>
          <w14:ligatures w14:val="none"/>
        </w:rPr>
        <w:t>takich</w:t>
      </w:r>
      <w:r w:rsidR="003B50ED">
        <w:rPr>
          <w:rFonts w:eastAsia="Calibri" w:cstheme="minorHAnsi"/>
          <w:kern w:val="0"/>
          <w14:ligatures w14:val="none"/>
        </w:rPr>
        <w:t xml:space="preserve"> </w:t>
      </w:r>
      <w:r w:rsidRPr="00A26C26">
        <w:rPr>
          <w:rFonts w:eastAsia="Calibri" w:cstheme="minorHAnsi"/>
          <w:kern w:val="0"/>
          <w14:ligatures w14:val="none"/>
        </w:rPr>
        <w:t>jak</w:t>
      </w:r>
      <w:r w:rsidR="003B50ED">
        <w:rPr>
          <w:rFonts w:eastAsia="Calibri" w:cstheme="minorHAnsi"/>
          <w:kern w:val="0"/>
          <w14:ligatures w14:val="none"/>
        </w:rPr>
        <w:t xml:space="preserve"> </w:t>
      </w:r>
      <w:r w:rsidRPr="00A26C26">
        <w:rPr>
          <w:rFonts w:eastAsia="Calibri" w:cstheme="minorHAnsi"/>
          <w:kern w:val="0"/>
          <w14:ligatures w14:val="none"/>
        </w:rPr>
        <w:t>niedostateczne</w:t>
      </w:r>
      <w:r w:rsidR="003B50ED">
        <w:rPr>
          <w:rFonts w:eastAsia="Calibri" w:cstheme="minorHAnsi"/>
          <w:kern w:val="0"/>
          <w14:ligatures w14:val="none"/>
        </w:rPr>
        <w:t xml:space="preserve"> </w:t>
      </w:r>
      <w:r w:rsidRPr="00A26C26">
        <w:rPr>
          <w:rFonts w:eastAsia="Calibri" w:cstheme="minorHAnsi"/>
          <w:kern w:val="0"/>
          <w14:ligatures w14:val="none"/>
        </w:rPr>
        <w:t>zasoby,</w:t>
      </w:r>
      <w:r w:rsidR="003B50ED">
        <w:rPr>
          <w:rFonts w:eastAsia="Calibri" w:cstheme="minorHAnsi"/>
          <w:kern w:val="0"/>
          <w14:ligatures w14:val="none"/>
        </w:rPr>
        <w:t xml:space="preserve"> </w:t>
      </w:r>
      <w:r w:rsidRPr="00A26C26">
        <w:rPr>
          <w:rFonts w:eastAsia="Calibri" w:cstheme="minorHAnsi"/>
          <w:kern w:val="0"/>
          <w14:ligatures w14:val="none"/>
        </w:rPr>
        <w:t>brak</w:t>
      </w:r>
      <w:r w:rsidR="003B50ED">
        <w:rPr>
          <w:rFonts w:eastAsia="Calibri" w:cstheme="minorHAnsi"/>
          <w:kern w:val="0"/>
          <w14:ligatures w14:val="none"/>
        </w:rPr>
        <w:t xml:space="preserve"> </w:t>
      </w:r>
      <w:r w:rsidRPr="00A26C26">
        <w:rPr>
          <w:rFonts w:eastAsia="Calibri" w:cstheme="minorHAnsi"/>
          <w:kern w:val="0"/>
          <w14:ligatures w14:val="none"/>
        </w:rPr>
        <w:t>wiedzy,</w:t>
      </w:r>
      <w:r w:rsidR="003B50ED">
        <w:rPr>
          <w:rFonts w:eastAsia="Calibri" w:cstheme="minorHAnsi"/>
          <w:kern w:val="0"/>
          <w14:ligatures w14:val="none"/>
        </w:rPr>
        <w:t xml:space="preserve"> </w:t>
      </w:r>
      <w:r w:rsidRPr="00A26C26">
        <w:rPr>
          <w:rFonts w:eastAsia="Calibri" w:cstheme="minorHAnsi"/>
          <w:kern w:val="0"/>
          <w14:ligatures w14:val="none"/>
        </w:rPr>
        <w:t>bariery</w:t>
      </w:r>
      <w:r w:rsidR="003B50ED">
        <w:rPr>
          <w:rFonts w:eastAsia="Calibri" w:cstheme="minorHAnsi"/>
          <w:kern w:val="0"/>
          <w14:ligatures w14:val="none"/>
        </w:rPr>
        <w:t xml:space="preserve"> </w:t>
      </w:r>
      <w:r w:rsidRPr="00A26C26">
        <w:rPr>
          <w:rFonts w:eastAsia="Calibri" w:cstheme="minorHAnsi"/>
          <w:kern w:val="0"/>
          <w14:ligatures w14:val="none"/>
        </w:rPr>
        <w:t>społeczne</w:t>
      </w:r>
      <w:r w:rsidR="003B50ED">
        <w:rPr>
          <w:rFonts w:eastAsia="Calibri" w:cstheme="minorHAnsi"/>
          <w:kern w:val="0"/>
          <w14:ligatures w14:val="none"/>
        </w:rPr>
        <w:t xml:space="preserve"> </w:t>
      </w:r>
      <w:r w:rsidRPr="00A26C26">
        <w:rPr>
          <w:rFonts w:eastAsia="Calibri" w:cstheme="minorHAnsi"/>
          <w:kern w:val="0"/>
          <w14:ligatures w14:val="none"/>
        </w:rPr>
        <w:t>czy</w:t>
      </w:r>
      <w:r w:rsidR="003B50ED">
        <w:rPr>
          <w:rFonts w:eastAsia="Calibri" w:cstheme="minorHAnsi"/>
          <w:kern w:val="0"/>
          <w14:ligatures w14:val="none"/>
        </w:rPr>
        <w:t xml:space="preserve"> </w:t>
      </w:r>
      <w:r w:rsidRPr="00A26C26">
        <w:rPr>
          <w:rFonts w:eastAsia="Calibri" w:cstheme="minorHAnsi"/>
          <w:kern w:val="0"/>
          <w14:ligatures w14:val="none"/>
        </w:rPr>
        <w:t>nieodpowiednie</w:t>
      </w:r>
      <w:r w:rsidR="003B50ED">
        <w:rPr>
          <w:rFonts w:eastAsia="Calibri" w:cstheme="minorHAnsi"/>
          <w:kern w:val="0"/>
          <w14:ligatures w14:val="none"/>
        </w:rPr>
        <w:t xml:space="preserve"> </w:t>
      </w:r>
      <w:r w:rsidRPr="00A26C26">
        <w:rPr>
          <w:rFonts w:eastAsia="Calibri" w:cstheme="minorHAnsi"/>
          <w:kern w:val="0"/>
          <w14:ligatures w14:val="none"/>
        </w:rPr>
        <w:t>funkcjonowanie</w:t>
      </w:r>
      <w:r w:rsidR="003B50ED">
        <w:rPr>
          <w:rFonts w:eastAsia="Calibri" w:cstheme="minorHAnsi"/>
          <w:kern w:val="0"/>
          <w14:ligatures w14:val="none"/>
        </w:rPr>
        <w:t xml:space="preserve"> </w:t>
      </w:r>
      <w:r w:rsidRPr="00A26C26">
        <w:rPr>
          <w:rFonts w:eastAsia="Calibri" w:cstheme="minorHAnsi"/>
          <w:kern w:val="0"/>
          <w14:ligatures w14:val="none"/>
        </w:rPr>
        <w:t>systemów.</w:t>
      </w:r>
      <w:r w:rsidR="003B50ED">
        <w:rPr>
          <w:rFonts w:eastAsia="Calibri" w:cstheme="minorHAnsi"/>
          <w:kern w:val="0"/>
          <w14:ligatures w14:val="none"/>
        </w:rPr>
        <w:t xml:space="preserve"> </w:t>
      </w:r>
      <w:r w:rsidRPr="00A26C26">
        <w:rPr>
          <w:rFonts w:eastAsia="Calibri" w:cstheme="minorHAnsi"/>
          <w:kern w:val="0"/>
          <w14:ligatures w14:val="none"/>
        </w:rPr>
        <w:t>Rozpoznanie</w:t>
      </w:r>
      <w:r w:rsidR="003B50ED">
        <w:rPr>
          <w:rFonts w:eastAsia="Calibri" w:cstheme="minorHAnsi"/>
          <w:kern w:val="0"/>
          <w14:ligatures w14:val="none"/>
        </w:rPr>
        <w:t xml:space="preserve"> </w:t>
      </w:r>
      <w:r w:rsidRPr="00A26C26">
        <w:rPr>
          <w:rFonts w:eastAsia="Calibri" w:cstheme="minorHAnsi"/>
          <w:kern w:val="0"/>
          <w14:ligatures w14:val="none"/>
        </w:rPr>
        <w:t>problemu</w:t>
      </w:r>
      <w:r w:rsidR="003B50ED">
        <w:rPr>
          <w:rFonts w:eastAsia="Calibri" w:cstheme="minorHAnsi"/>
          <w:kern w:val="0"/>
          <w14:ligatures w14:val="none"/>
        </w:rPr>
        <w:t xml:space="preserve"> </w:t>
      </w:r>
      <w:r w:rsidRPr="00A26C26">
        <w:rPr>
          <w:rFonts w:eastAsia="Calibri" w:cstheme="minorHAnsi"/>
          <w:kern w:val="0"/>
          <w14:ligatures w14:val="none"/>
        </w:rPr>
        <w:t>jest</w:t>
      </w:r>
      <w:r w:rsidR="003B50ED">
        <w:rPr>
          <w:rFonts w:eastAsia="Calibri" w:cstheme="minorHAnsi"/>
          <w:kern w:val="0"/>
          <w14:ligatures w14:val="none"/>
        </w:rPr>
        <w:t xml:space="preserve"> </w:t>
      </w:r>
      <w:r w:rsidRPr="00A26C26">
        <w:rPr>
          <w:rFonts w:eastAsia="Calibri" w:cstheme="minorHAnsi"/>
          <w:kern w:val="0"/>
          <w14:ligatures w14:val="none"/>
        </w:rPr>
        <w:t>pierwszym</w:t>
      </w:r>
      <w:r w:rsidR="003B50ED">
        <w:rPr>
          <w:rFonts w:eastAsia="Calibri" w:cstheme="minorHAnsi"/>
          <w:kern w:val="0"/>
          <w14:ligatures w14:val="none"/>
        </w:rPr>
        <w:t xml:space="preserve"> </w:t>
      </w:r>
      <w:r w:rsidRPr="00A26C26">
        <w:rPr>
          <w:rFonts w:eastAsia="Calibri" w:cstheme="minorHAnsi"/>
          <w:kern w:val="0"/>
          <w14:ligatures w14:val="none"/>
        </w:rPr>
        <w:t>krokiem</w:t>
      </w:r>
      <w:r w:rsidR="003B50ED">
        <w:rPr>
          <w:rFonts w:eastAsia="Calibri" w:cstheme="minorHAnsi"/>
          <w:kern w:val="0"/>
          <w14:ligatures w14:val="none"/>
        </w:rPr>
        <w:t xml:space="preserve"> </w:t>
      </w:r>
      <w:r w:rsidRPr="00A26C26">
        <w:rPr>
          <w:rFonts w:eastAsia="Calibri" w:cstheme="minorHAnsi"/>
          <w:kern w:val="0"/>
          <w14:ligatures w14:val="none"/>
        </w:rPr>
        <w:t>w</w:t>
      </w:r>
      <w:r w:rsidR="003B50ED">
        <w:rPr>
          <w:rFonts w:eastAsia="Calibri" w:cstheme="minorHAnsi"/>
          <w:kern w:val="0"/>
          <w14:ligatures w14:val="none"/>
        </w:rPr>
        <w:t xml:space="preserve"> </w:t>
      </w:r>
      <w:r w:rsidRPr="00A26C26">
        <w:rPr>
          <w:rFonts w:eastAsia="Calibri" w:cstheme="minorHAnsi"/>
          <w:kern w:val="0"/>
          <w14:ligatures w14:val="none"/>
        </w:rPr>
        <w:t>procesie</w:t>
      </w:r>
      <w:r w:rsidR="003B50ED">
        <w:rPr>
          <w:rFonts w:eastAsia="Calibri" w:cstheme="minorHAnsi"/>
          <w:kern w:val="0"/>
          <w14:ligatures w14:val="none"/>
        </w:rPr>
        <w:t xml:space="preserve"> </w:t>
      </w:r>
      <w:r w:rsidRPr="00A26C26">
        <w:rPr>
          <w:rFonts w:eastAsia="Calibri" w:cstheme="minorHAnsi"/>
          <w:kern w:val="0"/>
          <w14:ligatures w14:val="none"/>
        </w:rPr>
        <w:t>rozwiązywania</w:t>
      </w:r>
      <w:r w:rsidR="003B50ED">
        <w:rPr>
          <w:rFonts w:eastAsia="Calibri" w:cstheme="minorHAnsi"/>
          <w:kern w:val="0"/>
          <w14:ligatures w14:val="none"/>
        </w:rPr>
        <w:t xml:space="preserve"> </w:t>
      </w:r>
      <w:r w:rsidRPr="00A26C26">
        <w:rPr>
          <w:rFonts w:eastAsia="Calibri" w:cstheme="minorHAnsi"/>
          <w:kern w:val="0"/>
          <w14:ligatures w14:val="none"/>
        </w:rPr>
        <w:t>go</w:t>
      </w:r>
      <w:r w:rsidR="003B50ED">
        <w:rPr>
          <w:rFonts w:eastAsia="Calibri" w:cstheme="minorHAnsi"/>
          <w:kern w:val="0"/>
          <w14:ligatures w14:val="none"/>
        </w:rPr>
        <w:t xml:space="preserve"> </w:t>
      </w:r>
      <w:r w:rsidRPr="00A26C26">
        <w:rPr>
          <w:rFonts w:eastAsia="Calibri" w:cstheme="minorHAnsi"/>
          <w:kern w:val="0"/>
          <w14:ligatures w14:val="none"/>
        </w:rPr>
        <w:t>i</w:t>
      </w:r>
      <w:r w:rsidR="003B50ED">
        <w:rPr>
          <w:rFonts w:eastAsia="Calibri" w:cstheme="minorHAnsi"/>
          <w:kern w:val="0"/>
          <w14:ligatures w14:val="none"/>
        </w:rPr>
        <w:t xml:space="preserve"> </w:t>
      </w:r>
      <w:r w:rsidRPr="00A26C26">
        <w:rPr>
          <w:rFonts w:eastAsia="Calibri" w:cstheme="minorHAnsi"/>
          <w:kern w:val="0"/>
          <w14:ligatures w14:val="none"/>
        </w:rPr>
        <w:t>podejmowania</w:t>
      </w:r>
      <w:r w:rsidR="003B50ED">
        <w:rPr>
          <w:rFonts w:eastAsia="Calibri" w:cstheme="minorHAnsi"/>
          <w:kern w:val="0"/>
          <w14:ligatures w14:val="none"/>
        </w:rPr>
        <w:t xml:space="preserve"> </w:t>
      </w:r>
      <w:r w:rsidRPr="00A26C26">
        <w:rPr>
          <w:rFonts w:eastAsia="Calibri" w:cstheme="minorHAnsi"/>
          <w:kern w:val="0"/>
          <w14:ligatures w14:val="none"/>
        </w:rPr>
        <w:t>odpowiednich</w:t>
      </w:r>
      <w:r w:rsidR="003B50ED">
        <w:rPr>
          <w:rFonts w:eastAsia="Calibri" w:cstheme="minorHAnsi"/>
          <w:kern w:val="0"/>
          <w14:ligatures w14:val="none"/>
        </w:rPr>
        <w:t xml:space="preserve"> </w:t>
      </w:r>
      <w:r w:rsidRPr="00A26C26">
        <w:rPr>
          <w:rFonts w:eastAsia="Calibri" w:cstheme="minorHAnsi"/>
          <w:kern w:val="0"/>
          <w14:ligatures w14:val="none"/>
        </w:rPr>
        <w:t>działań.</w:t>
      </w:r>
    </w:p>
    <w:p w14:paraId="097CD33C" w14:textId="77777777" w:rsidR="00C675EC" w:rsidRDefault="00C675EC" w:rsidP="00C675EC">
      <w:pPr>
        <w:spacing w:line="276" w:lineRule="auto"/>
        <w:ind w:firstLine="284"/>
        <w:jc w:val="both"/>
        <w:rPr>
          <w:rFonts w:eastAsia="Calibri" w:cstheme="minorHAnsi"/>
          <w:kern w:val="0"/>
          <w14:ligatures w14:val="none"/>
        </w:rPr>
      </w:pPr>
    </w:p>
    <w:p w14:paraId="6FAD0125" w14:textId="65FF2D61" w:rsidR="004F6F0F" w:rsidRPr="00A26C26" w:rsidRDefault="004F6F0F" w:rsidP="00C675EC">
      <w:pPr>
        <w:spacing w:line="276" w:lineRule="auto"/>
        <w:ind w:firstLine="284"/>
        <w:jc w:val="both"/>
        <w:rPr>
          <w:rFonts w:eastAsia="Calibri" w:cstheme="minorHAnsi"/>
          <w:kern w:val="0"/>
          <w14:ligatures w14:val="none"/>
        </w:rPr>
      </w:pPr>
      <w:r w:rsidRPr="00A26C26">
        <w:rPr>
          <w:rFonts w:eastAsia="Calibri" w:cstheme="minorHAnsi"/>
          <w:kern w:val="0"/>
          <w14:ligatures w14:val="none"/>
        </w:rPr>
        <w:t>Do</w:t>
      </w:r>
      <w:r w:rsidR="003B50ED">
        <w:rPr>
          <w:rFonts w:eastAsia="Calibri" w:cstheme="minorHAnsi"/>
          <w:kern w:val="0"/>
          <w14:ligatures w14:val="none"/>
        </w:rPr>
        <w:t xml:space="preserve"> </w:t>
      </w:r>
      <w:r w:rsidRPr="00A26C26">
        <w:rPr>
          <w:rFonts w:eastAsia="Calibri" w:cstheme="minorHAnsi"/>
          <w:kern w:val="0"/>
          <w14:ligatures w14:val="none"/>
        </w:rPr>
        <w:t>zdiagnozowania</w:t>
      </w:r>
      <w:r w:rsidR="003B50ED">
        <w:rPr>
          <w:rFonts w:eastAsia="Calibri" w:cstheme="minorHAnsi"/>
          <w:kern w:val="0"/>
          <w14:ligatures w14:val="none"/>
        </w:rPr>
        <w:t xml:space="preserve"> </w:t>
      </w:r>
      <w:r w:rsidRPr="00A26C26">
        <w:rPr>
          <w:rFonts w:eastAsia="Calibri" w:cstheme="minorHAnsi"/>
          <w:kern w:val="0"/>
          <w14:ligatures w14:val="none"/>
        </w:rPr>
        <w:t>problemów</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obszarze</w:t>
      </w:r>
      <w:r w:rsidR="003B50ED">
        <w:rPr>
          <w:rFonts w:eastAsia="Calibri" w:cstheme="minorHAnsi"/>
          <w:kern w:val="0"/>
          <w14:ligatures w14:val="none"/>
        </w:rPr>
        <w:t xml:space="preserve"> </w:t>
      </w:r>
      <w:r w:rsidRPr="00A26C26">
        <w:rPr>
          <w:rFonts w:eastAsia="Calibri" w:cstheme="minorHAnsi"/>
          <w:kern w:val="0"/>
          <w14:ligatures w14:val="none"/>
        </w:rPr>
        <w:t>LSR</w:t>
      </w:r>
      <w:r w:rsidR="003B50ED">
        <w:rPr>
          <w:rFonts w:eastAsia="Calibri" w:cstheme="minorHAnsi"/>
          <w:kern w:val="0"/>
          <w14:ligatures w14:val="none"/>
        </w:rPr>
        <w:t xml:space="preserve"> </w:t>
      </w:r>
      <w:r w:rsidRPr="00A26C26">
        <w:rPr>
          <w:rFonts w:eastAsia="Calibri" w:cstheme="minorHAnsi"/>
          <w:kern w:val="0"/>
          <w14:ligatures w14:val="none"/>
        </w:rPr>
        <w:t>posłużyły</w:t>
      </w:r>
      <w:r w:rsidR="003B50ED">
        <w:rPr>
          <w:rFonts w:eastAsia="Calibri" w:cstheme="minorHAnsi"/>
          <w:kern w:val="0"/>
          <w14:ligatures w14:val="none"/>
        </w:rPr>
        <w:t xml:space="preserve"> </w:t>
      </w:r>
      <w:r w:rsidRPr="00A26C26">
        <w:rPr>
          <w:rFonts w:eastAsia="Calibri" w:cstheme="minorHAnsi"/>
          <w:kern w:val="0"/>
          <w14:ligatures w14:val="none"/>
        </w:rPr>
        <w:t>przede</w:t>
      </w:r>
      <w:r w:rsidR="003B50ED">
        <w:rPr>
          <w:rFonts w:eastAsia="Calibri" w:cstheme="minorHAnsi"/>
          <w:kern w:val="0"/>
          <w14:ligatures w14:val="none"/>
        </w:rPr>
        <w:t xml:space="preserve"> </w:t>
      </w:r>
      <w:r w:rsidRPr="00A26C26">
        <w:rPr>
          <w:rFonts w:eastAsia="Calibri" w:cstheme="minorHAnsi"/>
          <w:kern w:val="0"/>
          <w14:ligatures w14:val="none"/>
        </w:rPr>
        <w:t>wszystkim</w:t>
      </w:r>
      <w:r w:rsidR="003B50ED">
        <w:rPr>
          <w:rFonts w:eastAsia="Calibri" w:cstheme="minorHAnsi"/>
          <w:kern w:val="0"/>
          <w14:ligatures w14:val="none"/>
        </w:rPr>
        <w:t xml:space="preserve"> </w:t>
      </w:r>
      <w:r w:rsidRPr="00A26C26">
        <w:rPr>
          <w:rFonts w:eastAsia="Calibri" w:cstheme="minorHAnsi"/>
          <w:kern w:val="0"/>
          <w14:ligatures w14:val="none"/>
        </w:rPr>
        <w:t>wnioski</w:t>
      </w:r>
      <w:r w:rsidR="003B50ED">
        <w:rPr>
          <w:rFonts w:eastAsia="Calibri" w:cstheme="minorHAnsi"/>
          <w:kern w:val="0"/>
          <w14:ligatures w14:val="none"/>
        </w:rPr>
        <w:t xml:space="preserve"> </w:t>
      </w:r>
      <w:r w:rsidRPr="00A26C26">
        <w:rPr>
          <w:rFonts w:eastAsia="Calibri" w:cstheme="minorHAnsi"/>
          <w:kern w:val="0"/>
          <w14:ligatures w14:val="none"/>
        </w:rPr>
        <w:t>z</w:t>
      </w:r>
      <w:r w:rsidR="003B50ED">
        <w:rPr>
          <w:rFonts w:eastAsia="Calibri" w:cstheme="minorHAnsi"/>
          <w:kern w:val="0"/>
          <w14:ligatures w14:val="none"/>
        </w:rPr>
        <w:t xml:space="preserve"> </w:t>
      </w:r>
      <w:r w:rsidRPr="00A26C26">
        <w:rPr>
          <w:rFonts w:eastAsia="Calibri" w:cstheme="minorHAnsi"/>
          <w:kern w:val="0"/>
          <w14:ligatures w14:val="none"/>
        </w:rPr>
        <w:t>analizy</w:t>
      </w:r>
      <w:r w:rsidR="003B50ED">
        <w:rPr>
          <w:rFonts w:eastAsia="Calibri" w:cstheme="minorHAnsi"/>
          <w:kern w:val="0"/>
          <w14:ligatures w14:val="none"/>
        </w:rPr>
        <w:t xml:space="preserve"> </w:t>
      </w:r>
      <w:r w:rsidRPr="00A26C26">
        <w:rPr>
          <w:rFonts w:eastAsia="Calibri" w:cstheme="minorHAnsi"/>
          <w:kern w:val="0"/>
          <w14:ligatures w14:val="none"/>
        </w:rPr>
        <w:t>SWOT</w:t>
      </w:r>
      <w:r w:rsidR="003B50ED">
        <w:rPr>
          <w:rFonts w:eastAsia="Calibri" w:cstheme="minorHAnsi"/>
          <w:kern w:val="0"/>
          <w14:ligatures w14:val="none"/>
        </w:rPr>
        <w:t xml:space="preserve"> </w:t>
      </w:r>
      <w:r w:rsidRPr="00A26C26">
        <w:rPr>
          <w:rFonts w:eastAsia="Calibri" w:cstheme="minorHAnsi"/>
          <w:kern w:val="0"/>
          <w14:ligatures w14:val="none"/>
        </w:rPr>
        <w:t>oraz</w:t>
      </w:r>
      <w:r w:rsidR="003B50ED">
        <w:rPr>
          <w:rFonts w:eastAsia="Calibri" w:cstheme="minorHAnsi"/>
          <w:kern w:val="0"/>
          <w14:ligatures w14:val="none"/>
        </w:rPr>
        <w:t xml:space="preserve"> </w:t>
      </w:r>
      <w:r w:rsidRPr="00A26C26">
        <w:rPr>
          <w:rFonts w:eastAsia="Calibri" w:cstheme="minorHAnsi"/>
          <w:kern w:val="0"/>
          <w14:ligatures w14:val="none"/>
        </w:rPr>
        <w:t>przeprowadzonych</w:t>
      </w:r>
      <w:r w:rsidR="003B50ED">
        <w:rPr>
          <w:rFonts w:eastAsia="Calibri" w:cstheme="minorHAnsi"/>
          <w:kern w:val="0"/>
          <w14:ligatures w14:val="none"/>
        </w:rPr>
        <w:t xml:space="preserve"> </w:t>
      </w:r>
      <w:r w:rsidRPr="00A26C26">
        <w:rPr>
          <w:rFonts w:eastAsia="Calibri" w:cstheme="minorHAnsi"/>
          <w:kern w:val="0"/>
          <w14:ligatures w14:val="none"/>
        </w:rPr>
        <w:t>badań</w:t>
      </w:r>
      <w:r w:rsidR="003B50ED">
        <w:rPr>
          <w:rFonts w:eastAsia="Calibri" w:cstheme="minorHAnsi"/>
          <w:kern w:val="0"/>
          <w14:ligatures w14:val="none"/>
        </w:rPr>
        <w:t xml:space="preserve"> </w:t>
      </w:r>
      <w:r w:rsidRPr="00A26C26">
        <w:rPr>
          <w:rFonts w:eastAsia="Calibri" w:cstheme="minorHAnsi"/>
          <w:kern w:val="0"/>
          <w14:ligatures w14:val="none"/>
        </w:rPr>
        <w:t>wśród</w:t>
      </w:r>
      <w:r w:rsidR="003B50ED">
        <w:rPr>
          <w:rFonts w:eastAsia="Calibri" w:cstheme="minorHAnsi"/>
          <w:kern w:val="0"/>
          <w14:ligatures w14:val="none"/>
        </w:rPr>
        <w:t xml:space="preserve"> </w:t>
      </w:r>
      <w:r w:rsidRPr="00A26C26">
        <w:rPr>
          <w:rFonts w:eastAsia="Calibri" w:cstheme="minorHAnsi"/>
          <w:kern w:val="0"/>
          <w14:ligatures w14:val="none"/>
        </w:rPr>
        <w:t>mieszkańców</w:t>
      </w:r>
      <w:r w:rsidR="003B50ED">
        <w:rPr>
          <w:rFonts w:eastAsia="Calibri" w:cstheme="minorHAnsi"/>
          <w:kern w:val="0"/>
          <w14:ligatures w14:val="none"/>
        </w:rPr>
        <w:t xml:space="preserve"> </w:t>
      </w:r>
      <w:r w:rsidRPr="00A26C26">
        <w:rPr>
          <w:rFonts w:eastAsia="Calibri" w:cstheme="minorHAnsi"/>
          <w:kern w:val="0"/>
          <w14:ligatures w14:val="none"/>
        </w:rPr>
        <w:t>obszaru.</w:t>
      </w:r>
      <w:r w:rsidR="003B50ED">
        <w:rPr>
          <w:rFonts w:eastAsia="Calibri" w:cstheme="minorHAnsi"/>
          <w:kern w:val="0"/>
          <w14:ligatures w14:val="none"/>
        </w:rPr>
        <w:t xml:space="preserve"> </w:t>
      </w:r>
    </w:p>
    <w:p w14:paraId="5B11D28A" w14:textId="65205C68" w:rsidR="004F6F0F" w:rsidRPr="00A26C26" w:rsidRDefault="004F6F0F" w:rsidP="00C675EC">
      <w:pPr>
        <w:spacing w:line="276" w:lineRule="auto"/>
        <w:ind w:firstLine="284"/>
        <w:jc w:val="both"/>
        <w:rPr>
          <w:rFonts w:eastAsia="Calibri" w:cstheme="minorHAnsi"/>
          <w:kern w:val="0"/>
          <w14:ligatures w14:val="none"/>
        </w:rPr>
      </w:pPr>
      <w:r w:rsidRPr="00A26C26">
        <w:rPr>
          <w:rFonts w:eastAsia="Calibri" w:cstheme="minorHAnsi"/>
          <w:kern w:val="0"/>
          <w14:ligatures w14:val="none"/>
        </w:rPr>
        <w:t>Mając</w:t>
      </w:r>
      <w:r w:rsidR="003B50ED">
        <w:rPr>
          <w:rFonts w:eastAsia="Calibri" w:cstheme="minorHAnsi"/>
          <w:kern w:val="0"/>
          <w14:ligatures w14:val="none"/>
        </w:rPr>
        <w:t xml:space="preserve"> </w:t>
      </w:r>
      <w:r w:rsidRPr="00A26C26">
        <w:rPr>
          <w:rFonts w:eastAsia="Calibri" w:cstheme="minorHAnsi"/>
          <w:kern w:val="0"/>
          <w14:ligatures w14:val="none"/>
        </w:rPr>
        <w:t>powyższe</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uwadze,</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obszarze</w:t>
      </w:r>
      <w:r w:rsidR="003B50ED">
        <w:rPr>
          <w:rFonts w:eastAsia="Calibri" w:cstheme="minorHAnsi"/>
          <w:kern w:val="0"/>
          <w14:ligatures w14:val="none"/>
        </w:rPr>
        <w:t xml:space="preserve"> </w:t>
      </w:r>
      <w:r w:rsidRPr="00A26C26">
        <w:rPr>
          <w:rFonts w:eastAsia="Calibri" w:cstheme="minorHAnsi"/>
          <w:kern w:val="0"/>
          <w14:ligatures w14:val="none"/>
        </w:rPr>
        <w:t>LGD</w:t>
      </w:r>
      <w:r w:rsidR="003B50ED">
        <w:rPr>
          <w:rFonts w:eastAsia="Calibri" w:cstheme="minorHAnsi"/>
          <w:kern w:val="0"/>
          <w14:ligatures w14:val="none"/>
        </w:rPr>
        <w:t xml:space="preserve"> </w:t>
      </w:r>
      <w:r w:rsidRPr="00A26C26">
        <w:rPr>
          <w:rFonts w:eastAsia="Calibri" w:cstheme="minorHAnsi"/>
          <w:kern w:val="0"/>
          <w14:ligatures w14:val="none"/>
        </w:rPr>
        <w:t>zidentyfikowano</w:t>
      </w:r>
      <w:r w:rsidR="003B50ED">
        <w:rPr>
          <w:rFonts w:eastAsia="Calibri" w:cstheme="minorHAnsi"/>
          <w:kern w:val="0"/>
          <w14:ligatures w14:val="none"/>
        </w:rPr>
        <w:t xml:space="preserve"> </w:t>
      </w:r>
      <w:r w:rsidRPr="00A26C26">
        <w:rPr>
          <w:rFonts w:eastAsia="Calibri" w:cstheme="minorHAnsi"/>
          <w:kern w:val="0"/>
          <w14:ligatures w14:val="none"/>
        </w:rPr>
        <w:t>dwa</w:t>
      </w:r>
      <w:r w:rsidR="003B50ED">
        <w:rPr>
          <w:rFonts w:eastAsia="Calibri" w:cstheme="minorHAnsi"/>
          <w:kern w:val="0"/>
          <w14:ligatures w14:val="none"/>
        </w:rPr>
        <w:t xml:space="preserve"> </w:t>
      </w:r>
      <w:r w:rsidRPr="00A26C26">
        <w:rPr>
          <w:rFonts w:eastAsia="Calibri" w:cstheme="minorHAnsi"/>
          <w:kern w:val="0"/>
          <w14:ligatures w14:val="none"/>
        </w:rPr>
        <w:t>problemy</w:t>
      </w:r>
      <w:r w:rsidR="003B50ED">
        <w:rPr>
          <w:rFonts w:eastAsia="Calibri" w:cstheme="minorHAnsi"/>
          <w:kern w:val="0"/>
          <w14:ligatures w14:val="none"/>
        </w:rPr>
        <w:t xml:space="preserve"> </w:t>
      </w:r>
      <w:r w:rsidRPr="00A26C26">
        <w:rPr>
          <w:rFonts w:eastAsia="Calibri" w:cstheme="minorHAnsi"/>
          <w:kern w:val="0"/>
          <w14:ligatures w14:val="none"/>
        </w:rPr>
        <w:t>kluczowe:</w:t>
      </w:r>
    </w:p>
    <w:p w14:paraId="2B71ECEB" w14:textId="082FB910" w:rsidR="009B6C5F" w:rsidRPr="00A26C26" w:rsidRDefault="003B3E8E" w:rsidP="008A412F">
      <w:pPr>
        <w:pStyle w:val="Akapitzlist"/>
        <w:numPr>
          <w:ilvl w:val="0"/>
          <w:numId w:val="12"/>
        </w:numPr>
        <w:suppressAutoHyphens/>
        <w:spacing w:line="276" w:lineRule="auto"/>
        <w:contextualSpacing w:val="0"/>
        <w:jc w:val="both"/>
        <w:rPr>
          <w:rFonts w:cstheme="minorHAnsi"/>
        </w:rPr>
      </w:pPr>
      <w:r w:rsidRPr="00A26C26">
        <w:rPr>
          <w:rFonts w:cstheme="minorHAnsi"/>
        </w:rPr>
        <w:t>Słaby</w:t>
      </w:r>
      <w:r w:rsidR="003B50ED">
        <w:rPr>
          <w:rFonts w:cstheme="minorHAnsi"/>
        </w:rPr>
        <w:t xml:space="preserve"> </w:t>
      </w:r>
      <w:r w:rsidRPr="00A26C26">
        <w:rPr>
          <w:rFonts w:cstheme="minorHAnsi"/>
        </w:rPr>
        <w:t>dostęp</w:t>
      </w:r>
      <w:r w:rsidR="003B50ED">
        <w:rPr>
          <w:rFonts w:cstheme="minorHAnsi"/>
        </w:rPr>
        <w:t xml:space="preserve"> </w:t>
      </w:r>
      <w:r w:rsidRPr="00A26C26">
        <w:rPr>
          <w:rFonts w:cstheme="minorHAnsi"/>
        </w:rPr>
        <w:t>do</w:t>
      </w:r>
      <w:r w:rsidR="003B50ED">
        <w:rPr>
          <w:rFonts w:cstheme="minorHAnsi"/>
        </w:rPr>
        <w:t xml:space="preserve"> </w:t>
      </w:r>
      <w:r w:rsidR="009B6C5F" w:rsidRPr="00A26C26">
        <w:rPr>
          <w:rFonts w:cstheme="minorHAnsi"/>
        </w:rPr>
        <w:t>infrastruktury</w:t>
      </w:r>
      <w:r w:rsidR="003B50ED">
        <w:rPr>
          <w:rFonts w:cstheme="minorHAnsi"/>
        </w:rPr>
        <w:t xml:space="preserve"> </w:t>
      </w:r>
      <w:r w:rsidR="009B6C5F" w:rsidRPr="00A26C26">
        <w:rPr>
          <w:rFonts w:cstheme="minorHAnsi"/>
        </w:rPr>
        <w:t>publicznej</w:t>
      </w:r>
      <w:r w:rsidR="003B50ED">
        <w:rPr>
          <w:rFonts w:cstheme="minorHAnsi"/>
        </w:rPr>
        <w:t xml:space="preserve"> </w:t>
      </w:r>
      <w:r w:rsidR="009B6C5F" w:rsidRPr="00A26C26">
        <w:rPr>
          <w:rFonts w:cstheme="minorHAnsi"/>
        </w:rPr>
        <w:t>-</w:t>
      </w:r>
      <w:r w:rsidR="003B50ED">
        <w:rPr>
          <w:rFonts w:cstheme="minorHAnsi"/>
        </w:rPr>
        <w:t xml:space="preserve"> </w:t>
      </w:r>
      <w:r w:rsidR="009B6C5F" w:rsidRPr="00A26C26">
        <w:rPr>
          <w:rFonts w:cstheme="minorHAnsi"/>
        </w:rPr>
        <w:t>dostosowanej</w:t>
      </w:r>
      <w:r w:rsidR="003B50ED">
        <w:rPr>
          <w:rFonts w:cstheme="minorHAnsi"/>
        </w:rPr>
        <w:t xml:space="preserve"> </w:t>
      </w:r>
      <w:r w:rsidR="009B6C5F" w:rsidRPr="00A26C26">
        <w:rPr>
          <w:rFonts w:cstheme="minorHAnsi"/>
        </w:rPr>
        <w:t>do</w:t>
      </w:r>
      <w:r w:rsidR="003B50ED">
        <w:rPr>
          <w:rFonts w:cstheme="minorHAnsi"/>
        </w:rPr>
        <w:t xml:space="preserve"> </w:t>
      </w:r>
      <w:r w:rsidR="009B6C5F" w:rsidRPr="00A26C26">
        <w:rPr>
          <w:rFonts w:cstheme="minorHAnsi"/>
        </w:rPr>
        <w:t>potrzeb</w:t>
      </w:r>
      <w:r w:rsidR="003B50ED">
        <w:rPr>
          <w:rFonts w:cstheme="minorHAnsi"/>
        </w:rPr>
        <w:t xml:space="preserve"> </w:t>
      </w:r>
      <w:r w:rsidR="009B6C5F" w:rsidRPr="00A26C26">
        <w:rPr>
          <w:rFonts w:cstheme="minorHAnsi"/>
        </w:rPr>
        <w:t>każdej</w:t>
      </w:r>
      <w:r w:rsidR="003B50ED">
        <w:rPr>
          <w:rFonts w:cstheme="minorHAnsi"/>
        </w:rPr>
        <w:t xml:space="preserve"> </w:t>
      </w:r>
      <w:r w:rsidR="009B6C5F" w:rsidRPr="00A26C26">
        <w:rPr>
          <w:rFonts w:cstheme="minorHAnsi"/>
        </w:rPr>
        <w:t>grupy</w:t>
      </w:r>
      <w:r w:rsidR="003B50ED">
        <w:rPr>
          <w:rFonts w:cstheme="minorHAnsi"/>
        </w:rPr>
        <w:t xml:space="preserve"> </w:t>
      </w:r>
      <w:r w:rsidR="009B6C5F" w:rsidRPr="00A26C26">
        <w:rPr>
          <w:rFonts w:cstheme="minorHAnsi"/>
        </w:rPr>
        <w:t>wiekowej,</w:t>
      </w:r>
      <w:r w:rsidR="003B50ED">
        <w:rPr>
          <w:rFonts w:cstheme="minorHAnsi"/>
        </w:rPr>
        <w:t xml:space="preserve"> </w:t>
      </w:r>
      <w:r w:rsidR="009B6C5F" w:rsidRPr="00A26C26">
        <w:rPr>
          <w:rFonts w:cstheme="minorHAnsi"/>
        </w:rPr>
        <w:t>niewystarczający</w:t>
      </w:r>
      <w:r w:rsidR="003B50ED">
        <w:rPr>
          <w:rFonts w:cstheme="minorHAnsi"/>
        </w:rPr>
        <w:t xml:space="preserve"> </w:t>
      </w:r>
      <w:r w:rsidR="009B6C5F" w:rsidRPr="00A26C26">
        <w:rPr>
          <w:rFonts w:cstheme="minorHAnsi"/>
        </w:rPr>
        <w:t>poziom</w:t>
      </w:r>
      <w:r w:rsidR="003B50ED">
        <w:rPr>
          <w:rFonts w:cstheme="minorHAnsi"/>
        </w:rPr>
        <w:t xml:space="preserve"> </w:t>
      </w:r>
      <w:r w:rsidR="009B6C5F" w:rsidRPr="00A26C26">
        <w:rPr>
          <w:rFonts w:cstheme="minorHAnsi"/>
        </w:rPr>
        <w:t>integracji</w:t>
      </w:r>
      <w:r w:rsidR="003B50ED">
        <w:rPr>
          <w:rFonts w:cstheme="minorHAnsi"/>
        </w:rPr>
        <w:t xml:space="preserve"> </w:t>
      </w:r>
      <w:r w:rsidR="009B6C5F" w:rsidRPr="00A26C26">
        <w:rPr>
          <w:rFonts w:cstheme="minorHAnsi"/>
        </w:rPr>
        <w:t>społecznej</w:t>
      </w:r>
      <w:r w:rsidR="003B50ED">
        <w:rPr>
          <w:rFonts w:cstheme="minorHAnsi"/>
        </w:rPr>
        <w:t xml:space="preserve"> </w:t>
      </w:r>
      <w:r w:rsidR="009B6C5F" w:rsidRPr="00A26C26">
        <w:rPr>
          <w:rFonts w:cstheme="minorHAnsi"/>
        </w:rPr>
        <w:t>oraz</w:t>
      </w:r>
      <w:r w:rsidR="003B50ED">
        <w:rPr>
          <w:rFonts w:cstheme="minorHAnsi"/>
        </w:rPr>
        <w:t xml:space="preserve"> </w:t>
      </w:r>
      <w:r w:rsidR="009B6C5F" w:rsidRPr="00A26C26">
        <w:rPr>
          <w:rFonts w:cstheme="minorHAnsi"/>
        </w:rPr>
        <w:t>brak</w:t>
      </w:r>
      <w:r w:rsidR="003B50ED">
        <w:rPr>
          <w:rFonts w:cstheme="minorHAnsi"/>
        </w:rPr>
        <w:t xml:space="preserve"> </w:t>
      </w:r>
      <w:r w:rsidR="009B6C5F" w:rsidRPr="00A26C26">
        <w:rPr>
          <w:rFonts w:cstheme="minorHAnsi"/>
        </w:rPr>
        <w:t>wykorzystania</w:t>
      </w:r>
      <w:r w:rsidR="003B50ED">
        <w:rPr>
          <w:rFonts w:cstheme="minorHAnsi"/>
        </w:rPr>
        <w:t xml:space="preserve"> </w:t>
      </w:r>
      <w:r w:rsidR="009B6C5F" w:rsidRPr="00A26C26">
        <w:rPr>
          <w:rFonts w:cstheme="minorHAnsi"/>
        </w:rPr>
        <w:t>innowacyjnych</w:t>
      </w:r>
      <w:r w:rsidR="003B50ED">
        <w:rPr>
          <w:rFonts w:cstheme="minorHAnsi"/>
        </w:rPr>
        <w:t xml:space="preserve"> </w:t>
      </w:r>
      <w:r w:rsidR="009B6C5F" w:rsidRPr="00A26C26">
        <w:rPr>
          <w:rFonts w:cstheme="minorHAnsi"/>
        </w:rPr>
        <w:t>metod</w:t>
      </w:r>
      <w:r w:rsidR="003B50ED">
        <w:rPr>
          <w:rFonts w:cstheme="minorHAnsi"/>
        </w:rPr>
        <w:t xml:space="preserve"> </w:t>
      </w:r>
      <w:r w:rsidR="009B6C5F" w:rsidRPr="00A26C26">
        <w:rPr>
          <w:rFonts w:cstheme="minorHAnsi"/>
        </w:rPr>
        <w:t>rozwoju</w:t>
      </w:r>
      <w:r w:rsidR="003B50ED">
        <w:rPr>
          <w:rFonts w:cstheme="minorHAnsi"/>
        </w:rPr>
        <w:t xml:space="preserve"> </w:t>
      </w:r>
      <w:r w:rsidR="009B6C5F" w:rsidRPr="00A26C26">
        <w:rPr>
          <w:rFonts w:cstheme="minorHAnsi"/>
        </w:rPr>
        <w:t>obszaru.</w:t>
      </w:r>
      <w:r w:rsidR="003B50ED">
        <w:rPr>
          <w:rFonts w:cstheme="minorHAnsi"/>
        </w:rPr>
        <w:t xml:space="preserve"> </w:t>
      </w:r>
    </w:p>
    <w:p w14:paraId="7C2F7561" w14:textId="201961E7" w:rsidR="00860118" w:rsidRPr="00AA737D" w:rsidRDefault="00B00A76" w:rsidP="00C675EC">
      <w:pPr>
        <w:numPr>
          <w:ilvl w:val="0"/>
          <w:numId w:val="12"/>
        </w:numPr>
        <w:suppressAutoHyphens/>
        <w:spacing w:line="276" w:lineRule="auto"/>
        <w:jc w:val="both"/>
        <w:rPr>
          <w:rFonts w:cstheme="minorHAnsi"/>
        </w:rPr>
      </w:pPr>
      <w:bookmarkStart w:id="75" w:name="_Hlk135936455"/>
      <w:r w:rsidRPr="00A26C26">
        <w:rPr>
          <w:rFonts w:cstheme="minorHAnsi"/>
        </w:rPr>
        <w:t>Niewystarczający</w:t>
      </w:r>
      <w:r w:rsidR="003B50ED">
        <w:rPr>
          <w:rFonts w:cstheme="minorHAnsi"/>
        </w:rPr>
        <w:t xml:space="preserve"> </w:t>
      </w:r>
      <w:r w:rsidRPr="00A26C26">
        <w:rPr>
          <w:rFonts w:cstheme="minorHAnsi"/>
        </w:rPr>
        <w:t>dostęp</w:t>
      </w:r>
      <w:r w:rsidR="003B50ED">
        <w:rPr>
          <w:rFonts w:cstheme="minorHAnsi"/>
        </w:rPr>
        <w:t xml:space="preserve"> </w:t>
      </w:r>
      <w:r w:rsidR="009B6C5F" w:rsidRPr="00A26C26">
        <w:rPr>
          <w:rFonts w:cstheme="minorHAnsi"/>
        </w:rPr>
        <w:t>usług</w:t>
      </w:r>
      <w:r w:rsidR="003B50ED">
        <w:rPr>
          <w:rFonts w:cstheme="minorHAnsi"/>
        </w:rPr>
        <w:t xml:space="preserve"> </w:t>
      </w:r>
      <w:r w:rsidR="009B6C5F" w:rsidRPr="00A26C26">
        <w:rPr>
          <w:rFonts w:cstheme="minorHAnsi"/>
        </w:rPr>
        <w:t>dla</w:t>
      </w:r>
      <w:r w:rsidR="003B50ED">
        <w:rPr>
          <w:rFonts w:cstheme="minorHAnsi"/>
        </w:rPr>
        <w:t xml:space="preserve"> </w:t>
      </w:r>
      <w:r w:rsidR="009B6C5F" w:rsidRPr="00A26C26">
        <w:rPr>
          <w:rFonts w:cstheme="minorHAnsi"/>
        </w:rPr>
        <w:t>lokalnej</w:t>
      </w:r>
      <w:r w:rsidR="003B50ED">
        <w:rPr>
          <w:rFonts w:cstheme="minorHAnsi"/>
        </w:rPr>
        <w:t xml:space="preserve"> </w:t>
      </w:r>
      <w:r w:rsidR="009B6C5F" w:rsidRPr="00A26C26">
        <w:rPr>
          <w:rFonts w:cstheme="minorHAnsi"/>
        </w:rPr>
        <w:t>społeczności,</w:t>
      </w:r>
      <w:r w:rsidR="003B50ED">
        <w:rPr>
          <w:rFonts w:cstheme="minorHAnsi"/>
        </w:rPr>
        <w:t xml:space="preserve"> </w:t>
      </w:r>
      <w:r w:rsidR="009B6C5F" w:rsidRPr="00A26C26">
        <w:rPr>
          <w:rFonts w:cstheme="minorHAnsi"/>
        </w:rPr>
        <w:t>co</w:t>
      </w:r>
      <w:r w:rsidR="003B50ED">
        <w:rPr>
          <w:rFonts w:cstheme="minorHAnsi"/>
        </w:rPr>
        <w:t xml:space="preserve"> </w:t>
      </w:r>
      <w:r w:rsidR="009B6C5F" w:rsidRPr="00A26C26">
        <w:rPr>
          <w:rFonts w:cstheme="minorHAnsi"/>
        </w:rPr>
        <w:t>dotyczy</w:t>
      </w:r>
      <w:r w:rsidR="003B50ED">
        <w:rPr>
          <w:rFonts w:cstheme="minorHAnsi"/>
        </w:rPr>
        <w:t xml:space="preserve"> </w:t>
      </w:r>
      <w:r w:rsidR="009B6C5F" w:rsidRPr="00A26C26">
        <w:rPr>
          <w:rFonts w:cstheme="minorHAnsi"/>
        </w:rPr>
        <w:t>zarówno</w:t>
      </w:r>
      <w:r w:rsidR="003B50ED">
        <w:rPr>
          <w:rFonts w:cstheme="minorHAnsi"/>
        </w:rPr>
        <w:t xml:space="preserve"> </w:t>
      </w:r>
      <w:r w:rsidR="009B6C5F" w:rsidRPr="00A26C26">
        <w:rPr>
          <w:rFonts w:cstheme="minorHAnsi"/>
        </w:rPr>
        <w:t>niskiego</w:t>
      </w:r>
      <w:r w:rsidR="003B50ED">
        <w:rPr>
          <w:rFonts w:cstheme="minorHAnsi"/>
        </w:rPr>
        <w:t xml:space="preserve"> </w:t>
      </w:r>
      <w:r w:rsidR="009B6C5F" w:rsidRPr="00A26C26">
        <w:rPr>
          <w:rFonts w:cstheme="minorHAnsi"/>
        </w:rPr>
        <w:t>poziomu</w:t>
      </w:r>
      <w:r w:rsidR="003B50ED">
        <w:rPr>
          <w:rFonts w:cstheme="minorHAnsi"/>
        </w:rPr>
        <w:t xml:space="preserve"> </w:t>
      </w:r>
      <w:r w:rsidR="009B6C5F" w:rsidRPr="00A26C26">
        <w:rPr>
          <w:rFonts w:cstheme="minorHAnsi"/>
        </w:rPr>
        <w:t>przedsiębiorczości,</w:t>
      </w:r>
      <w:r w:rsidR="003B50ED">
        <w:rPr>
          <w:rFonts w:cstheme="minorHAnsi"/>
        </w:rPr>
        <w:t xml:space="preserve"> </w:t>
      </w:r>
      <w:r w:rsidR="009B6C5F" w:rsidRPr="00A26C26">
        <w:rPr>
          <w:rFonts w:cstheme="minorHAnsi"/>
        </w:rPr>
        <w:t>w</w:t>
      </w:r>
      <w:r w:rsidR="003B50ED">
        <w:rPr>
          <w:rFonts w:cstheme="minorHAnsi"/>
        </w:rPr>
        <w:t xml:space="preserve"> </w:t>
      </w:r>
      <w:r w:rsidR="009B6C5F" w:rsidRPr="00A26C26">
        <w:rPr>
          <w:rFonts w:cstheme="minorHAnsi"/>
        </w:rPr>
        <w:t>tym</w:t>
      </w:r>
      <w:r w:rsidR="003B50ED">
        <w:rPr>
          <w:rFonts w:cstheme="minorHAnsi"/>
        </w:rPr>
        <w:t xml:space="preserve"> </w:t>
      </w:r>
      <w:r w:rsidR="009B6C5F" w:rsidRPr="00A26C26">
        <w:rPr>
          <w:rFonts w:cstheme="minorHAnsi"/>
        </w:rPr>
        <w:t>również</w:t>
      </w:r>
      <w:r w:rsidR="003B50ED">
        <w:rPr>
          <w:rFonts w:cstheme="minorHAnsi"/>
        </w:rPr>
        <w:t xml:space="preserve"> </w:t>
      </w:r>
      <w:r w:rsidR="009B6C5F" w:rsidRPr="00A26C26">
        <w:rPr>
          <w:rFonts w:cstheme="minorHAnsi"/>
        </w:rPr>
        <w:t>małych</w:t>
      </w:r>
      <w:r w:rsidR="003B50ED">
        <w:rPr>
          <w:rFonts w:cstheme="minorHAnsi"/>
        </w:rPr>
        <w:t xml:space="preserve"> </w:t>
      </w:r>
      <w:r w:rsidR="009B6C5F" w:rsidRPr="00A26C26">
        <w:rPr>
          <w:rFonts w:cstheme="minorHAnsi"/>
        </w:rPr>
        <w:t>gospodarstw</w:t>
      </w:r>
      <w:r w:rsidR="003B50ED">
        <w:rPr>
          <w:rFonts w:cstheme="minorHAnsi"/>
        </w:rPr>
        <w:t xml:space="preserve"> </w:t>
      </w:r>
      <w:r w:rsidR="009B6C5F" w:rsidRPr="00A26C26">
        <w:rPr>
          <w:rFonts w:cstheme="minorHAnsi"/>
        </w:rPr>
        <w:t>rolnych.</w:t>
      </w:r>
      <w:r w:rsidR="003B50ED">
        <w:rPr>
          <w:rFonts w:cstheme="minorHAnsi"/>
        </w:rPr>
        <w:t xml:space="preserve"> </w:t>
      </w:r>
      <w:bookmarkEnd w:id="75"/>
    </w:p>
    <w:p w14:paraId="43B700C6" w14:textId="77777777" w:rsidR="00860118" w:rsidRDefault="00860118" w:rsidP="00C675EC">
      <w:pPr>
        <w:spacing w:line="276" w:lineRule="auto"/>
        <w:jc w:val="both"/>
        <w:rPr>
          <w:rFonts w:cstheme="minorHAnsi"/>
        </w:rPr>
      </w:pPr>
    </w:p>
    <w:p w14:paraId="378E35A9" w14:textId="47668BC8" w:rsidR="0037597D" w:rsidRDefault="0037597D" w:rsidP="0037597D">
      <w:pPr>
        <w:spacing w:line="276" w:lineRule="auto"/>
        <w:jc w:val="both"/>
        <w:rPr>
          <w:rFonts w:cstheme="minorHAnsi"/>
        </w:rPr>
      </w:pPr>
      <w:r w:rsidRPr="00A26C26">
        <w:rPr>
          <w:rFonts w:eastAsia="Times New Roman" w:cstheme="minorHAnsi"/>
          <w:b/>
          <w:bCs/>
        </w:rPr>
        <w:t>Kluczowe</w:t>
      </w:r>
      <w:r>
        <w:rPr>
          <w:rFonts w:eastAsia="Times New Roman" w:cstheme="minorHAnsi"/>
          <w:b/>
          <w:bCs/>
        </w:rPr>
        <w:t xml:space="preserve"> </w:t>
      </w:r>
      <w:r w:rsidRPr="00A26C26">
        <w:rPr>
          <w:rFonts w:eastAsia="Times New Roman" w:cstheme="minorHAnsi"/>
          <w:b/>
          <w:bCs/>
        </w:rPr>
        <w:t>problemy</w:t>
      </w:r>
      <w:r>
        <w:rPr>
          <w:rFonts w:eastAsia="Times New Roman" w:cstheme="minorHAnsi"/>
          <w:b/>
          <w:bCs/>
        </w:rPr>
        <w:t xml:space="preserve"> </w:t>
      </w:r>
      <w:r w:rsidRPr="00A26C26">
        <w:rPr>
          <w:rFonts w:eastAsia="Times New Roman" w:cstheme="minorHAnsi"/>
          <w:b/>
          <w:bCs/>
        </w:rPr>
        <w:t>obszaru</w:t>
      </w:r>
      <w:r>
        <w:rPr>
          <w:rFonts w:eastAsia="Times New Roman" w:cstheme="minorHAnsi"/>
          <w:b/>
          <w:bCs/>
        </w:rPr>
        <w:t xml:space="preserve"> </w:t>
      </w:r>
      <w:r w:rsidRPr="00A26C26">
        <w:rPr>
          <w:rFonts w:eastAsia="Times New Roman" w:cstheme="minorHAnsi"/>
          <w:b/>
          <w:bCs/>
        </w:rPr>
        <w:t>LGD</w:t>
      </w:r>
      <w:r>
        <w:rPr>
          <w:rFonts w:eastAsia="Times New Roman" w:cstheme="minorHAnsi"/>
          <w:b/>
          <w:bCs/>
        </w:rPr>
        <w:t xml:space="preserve"> - </w:t>
      </w:r>
      <w:r>
        <w:rPr>
          <w:rFonts w:cstheme="minorHAnsi"/>
        </w:rPr>
        <w:t>na obszarze objętym LSR zidentyfikowano 2 kluczowe zagadnienia:</w:t>
      </w:r>
    </w:p>
    <w:p w14:paraId="50FBC447" w14:textId="77777777" w:rsidR="0037597D" w:rsidRDefault="0037597D" w:rsidP="0037597D">
      <w:pPr>
        <w:spacing w:line="276" w:lineRule="auto"/>
        <w:jc w:val="both"/>
        <w:rPr>
          <w:rFonts w:cstheme="minorHAnsi"/>
        </w:rPr>
      </w:pPr>
    </w:p>
    <w:p w14:paraId="1ED7B539" w14:textId="78494ACC" w:rsidR="00C675EC" w:rsidRPr="0037597D" w:rsidRDefault="00C675EC" w:rsidP="008A412F">
      <w:pPr>
        <w:pStyle w:val="Akapitzlist"/>
        <w:numPr>
          <w:ilvl w:val="0"/>
          <w:numId w:val="45"/>
        </w:numPr>
        <w:suppressAutoHyphens/>
        <w:spacing w:line="276" w:lineRule="auto"/>
        <w:rPr>
          <w:rFonts w:cstheme="minorHAnsi"/>
        </w:rPr>
      </w:pPr>
      <w:r w:rsidRPr="0037597D">
        <w:rPr>
          <w:rFonts w:cstheme="minorHAnsi"/>
          <w:b/>
          <w:bCs/>
        </w:rPr>
        <w:t>Problem kluczowy</w:t>
      </w:r>
      <w:r w:rsidR="0037597D" w:rsidRPr="0037597D">
        <w:rPr>
          <w:rFonts w:cstheme="minorHAnsi"/>
          <w:b/>
          <w:bCs/>
        </w:rPr>
        <w:t xml:space="preserve"> 1</w:t>
      </w:r>
      <w:r w:rsidRPr="0037597D">
        <w:rPr>
          <w:rFonts w:cstheme="minorHAnsi"/>
          <w:b/>
          <w:bCs/>
        </w:rPr>
        <w:t xml:space="preserve">: </w:t>
      </w:r>
      <w:r w:rsidRPr="0037597D">
        <w:rPr>
          <w:rFonts w:cstheme="minorHAnsi"/>
        </w:rPr>
        <w:t xml:space="preserve">Słaby dostęp do infrastruktury publicznej - dostosowanej do potrzeb każdej grupy wiekowej, niewystarczający poziom integracji społecznej oraz brak wykorzystania innowacyjnych metod rozwoju obszaru. </w:t>
      </w:r>
    </w:p>
    <w:tbl>
      <w:tblPr>
        <w:tblStyle w:val="Tabela-Siatka1"/>
        <w:tblW w:w="9639" w:type="dxa"/>
        <w:tblInd w:w="279" w:type="dxa"/>
        <w:tblLayout w:type="fixed"/>
        <w:tblLook w:val="04A0" w:firstRow="1" w:lastRow="0" w:firstColumn="1" w:lastColumn="0" w:noHBand="0" w:noVBand="1"/>
      </w:tblPr>
      <w:tblGrid>
        <w:gridCol w:w="4111"/>
        <w:gridCol w:w="2835"/>
        <w:gridCol w:w="2693"/>
      </w:tblGrid>
      <w:tr w:rsidR="0037597D" w:rsidRPr="001416B5" w14:paraId="7E80FBB5" w14:textId="77777777" w:rsidTr="00252B65">
        <w:tc>
          <w:tcPr>
            <w:tcW w:w="4111" w:type="dxa"/>
            <w:shd w:val="clear" w:color="auto" w:fill="D9E2F3" w:themeFill="accent1" w:themeFillTint="33"/>
          </w:tcPr>
          <w:p w14:paraId="7A0BB31B" w14:textId="77777777" w:rsidR="0037597D" w:rsidRPr="001416B5" w:rsidRDefault="0037597D" w:rsidP="001416B5">
            <w:pPr>
              <w:spacing w:line="276" w:lineRule="auto"/>
              <w:jc w:val="center"/>
              <w:rPr>
                <w:rFonts w:cstheme="minorHAnsi"/>
              </w:rPr>
            </w:pPr>
            <w:r w:rsidRPr="001416B5">
              <w:rPr>
                <w:rFonts w:cstheme="minorHAnsi"/>
              </w:rPr>
              <w:t>Przyczyny</w:t>
            </w:r>
          </w:p>
        </w:tc>
        <w:tc>
          <w:tcPr>
            <w:tcW w:w="2835" w:type="dxa"/>
            <w:shd w:val="clear" w:color="auto" w:fill="D9E2F3" w:themeFill="accent1" w:themeFillTint="33"/>
          </w:tcPr>
          <w:p w14:paraId="2DE31064" w14:textId="446C681A" w:rsidR="0037597D" w:rsidRPr="001416B5" w:rsidRDefault="0037597D" w:rsidP="001416B5">
            <w:pPr>
              <w:spacing w:line="276" w:lineRule="auto"/>
              <w:jc w:val="center"/>
              <w:rPr>
                <w:rFonts w:cstheme="minorHAnsi"/>
              </w:rPr>
            </w:pPr>
            <w:r w:rsidRPr="001416B5">
              <w:rPr>
                <w:rFonts w:cstheme="minorHAnsi"/>
              </w:rPr>
              <w:t>Grupy docelowe istotne z punktu widzenia LSR</w:t>
            </w:r>
          </w:p>
        </w:tc>
        <w:tc>
          <w:tcPr>
            <w:tcW w:w="2693" w:type="dxa"/>
            <w:shd w:val="clear" w:color="auto" w:fill="D9E2F3" w:themeFill="accent1" w:themeFillTint="33"/>
          </w:tcPr>
          <w:p w14:paraId="2CC4370F" w14:textId="7853C1D4" w:rsidR="0037597D" w:rsidRPr="001416B5" w:rsidRDefault="0037597D" w:rsidP="001416B5">
            <w:pPr>
              <w:spacing w:line="276" w:lineRule="auto"/>
              <w:jc w:val="center"/>
              <w:rPr>
                <w:rFonts w:cstheme="minorHAnsi"/>
              </w:rPr>
            </w:pPr>
            <w:r w:rsidRPr="001416B5">
              <w:rPr>
                <w:rFonts w:cstheme="minorHAnsi"/>
              </w:rPr>
              <w:t>Najważniejsze obszary, na które może mieć wpływ LSR</w:t>
            </w:r>
          </w:p>
        </w:tc>
      </w:tr>
      <w:tr w:rsidR="0037597D" w:rsidRPr="00A26C26" w14:paraId="065CF633" w14:textId="77777777" w:rsidTr="00252B65">
        <w:tc>
          <w:tcPr>
            <w:tcW w:w="4111" w:type="dxa"/>
          </w:tcPr>
          <w:p w14:paraId="078689A1" w14:textId="36360A75" w:rsidR="0037597D" w:rsidRPr="00A26C26" w:rsidRDefault="0037597D" w:rsidP="008A412F">
            <w:pPr>
              <w:pStyle w:val="Akapitzlist"/>
              <w:numPr>
                <w:ilvl w:val="0"/>
                <w:numId w:val="15"/>
              </w:numPr>
              <w:spacing w:line="276" w:lineRule="auto"/>
              <w:ind w:left="173" w:hanging="173"/>
              <w:contextualSpacing w:val="0"/>
              <w:rPr>
                <w:rFonts w:cstheme="minorHAnsi"/>
              </w:rPr>
            </w:pPr>
            <w:r w:rsidRPr="00A26C26">
              <w:rPr>
                <w:rFonts w:cstheme="minorHAnsi"/>
              </w:rPr>
              <w:t>Niedostateczne</w:t>
            </w:r>
            <w:r>
              <w:rPr>
                <w:rFonts w:cstheme="minorHAnsi"/>
              </w:rPr>
              <w:t xml:space="preserve"> </w:t>
            </w:r>
            <w:r w:rsidRPr="00A26C26">
              <w:rPr>
                <w:rFonts w:cstheme="minorHAnsi"/>
              </w:rPr>
              <w:t>zróżnicowanie</w:t>
            </w:r>
            <w:r>
              <w:rPr>
                <w:rFonts w:cstheme="minorHAnsi"/>
              </w:rPr>
              <w:t xml:space="preserve"> </w:t>
            </w:r>
            <w:r w:rsidR="006B5841">
              <w:rPr>
                <w:rFonts w:cstheme="minorHAnsi"/>
              </w:rPr>
              <w:t xml:space="preserve">                           </w:t>
            </w:r>
            <w:r w:rsidRPr="00A26C26">
              <w:rPr>
                <w:rFonts w:cstheme="minorHAnsi"/>
              </w:rPr>
              <w:t>w</w:t>
            </w:r>
            <w:r>
              <w:rPr>
                <w:rFonts w:cstheme="minorHAnsi"/>
              </w:rPr>
              <w:t xml:space="preserve"> </w:t>
            </w:r>
            <w:r w:rsidRPr="00A26C26">
              <w:rPr>
                <w:rFonts w:cstheme="minorHAnsi"/>
              </w:rPr>
              <w:t>infrastrukturze</w:t>
            </w:r>
            <w:r>
              <w:rPr>
                <w:rFonts w:cstheme="minorHAnsi"/>
              </w:rPr>
              <w:t xml:space="preserve"> </w:t>
            </w:r>
            <w:r w:rsidRPr="00A26C26">
              <w:rPr>
                <w:rFonts w:cstheme="minorHAnsi"/>
              </w:rPr>
              <w:t>turystycznej</w:t>
            </w:r>
          </w:p>
          <w:p w14:paraId="4F5A8D20" w14:textId="621C4A4D" w:rsidR="0037597D" w:rsidRPr="00A26C26" w:rsidRDefault="0037597D" w:rsidP="008A412F">
            <w:pPr>
              <w:pStyle w:val="Akapitzlist"/>
              <w:numPr>
                <w:ilvl w:val="0"/>
                <w:numId w:val="15"/>
              </w:numPr>
              <w:spacing w:line="276" w:lineRule="auto"/>
              <w:ind w:left="173" w:hanging="173"/>
              <w:contextualSpacing w:val="0"/>
              <w:rPr>
                <w:rFonts w:cstheme="minorHAnsi"/>
              </w:rPr>
            </w:pPr>
            <w:r w:rsidRPr="00A26C26">
              <w:rPr>
                <w:rFonts w:cstheme="minorHAnsi"/>
              </w:rPr>
              <w:t>Mała</w:t>
            </w:r>
            <w:r>
              <w:rPr>
                <w:rFonts w:cstheme="minorHAnsi"/>
              </w:rPr>
              <w:t xml:space="preserve"> </w:t>
            </w:r>
            <w:r w:rsidRPr="00A26C26">
              <w:rPr>
                <w:rFonts w:cstheme="minorHAnsi"/>
              </w:rPr>
              <w:t>ilość</w:t>
            </w:r>
            <w:r>
              <w:rPr>
                <w:rFonts w:cstheme="minorHAnsi"/>
              </w:rPr>
              <w:t xml:space="preserve"> </w:t>
            </w:r>
            <w:r w:rsidRPr="00A26C26">
              <w:rPr>
                <w:rFonts w:cstheme="minorHAnsi"/>
              </w:rPr>
              <w:t>obiektów</w:t>
            </w:r>
            <w:r>
              <w:rPr>
                <w:rFonts w:cstheme="minorHAnsi"/>
              </w:rPr>
              <w:t xml:space="preserve"> </w:t>
            </w:r>
            <w:r w:rsidRPr="00A26C26">
              <w:rPr>
                <w:rFonts w:cstheme="minorHAnsi"/>
              </w:rPr>
              <w:t>sportowo-</w:t>
            </w:r>
            <w:r>
              <w:rPr>
                <w:rFonts w:cstheme="minorHAnsi"/>
              </w:rPr>
              <w:t xml:space="preserve"> </w:t>
            </w:r>
            <w:r w:rsidRPr="00A26C26">
              <w:rPr>
                <w:rFonts w:cstheme="minorHAnsi"/>
              </w:rPr>
              <w:t>rekreacyjnych</w:t>
            </w:r>
          </w:p>
          <w:p w14:paraId="5FE4E1D6" w14:textId="0D18F6FA" w:rsidR="0037597D" w:rsidRPr="00A26C26" w:rsidRDefault="0037597D" w:rsidP="008A412F">
            <w:pPr>
              <w:pStyle w:val="Akapitzlist"/>
              <w:numPr>
                <w:ilvl w:val="0"/>
                <w:numId w:val="15"/>
              </w:numPr>
              <w:spacing w:line="276" w:lineRule="auto"/>
              <w:ind w:left="173" w:hanging="173"/>
              <w:contextualSpacing w:val="0"/>
              <w:rPr>
                <w:rFonts w:cstheme="minorHAnsi"/>
              </w:rPr>
            </w:pPr>
            <w:r w:rsidRPr="00A26C26">
              <w:rPr>
                <w:rFonts w:cstheme="minorHAnsi"/>
              </w:rPr>
              <w:lastRenderedPageBreak/>
              <w:t>Obiekty</w:t>
            </w:r>
            <w:r>
              <w:rPr>
                <w:rFonts w:cstheme="minorHAnsi"/>
              </w:rPr>
              <w:t xml:space="preserve"> </w:t>
            </w:r>
            <w:r w:rsidRPr="00A26C26">
              <w:rPr>
                <w:rFonts w:cstheme="minorHAnsi"/>
              </w:rPr>
              <w:t>społeczno-kulturalne</w:t>
            </w:r>
            <w:r>
              <w:rPr>
                <w:rFonts w:cstheme="minorHAnsi"/>
              </w:rPr>
              <w:t xml:space="preserve"> </w:t>
            </w:r>
            <w:r w:rsidRPr="00A26C26">
              <w:rPr>
                <w:rFonts w:cstheme="minorHAnsi"/>
              </w:rPr>
              <w:t>wymagające</w:t>
            </w:r>
            <w:r>
              <w:rPr>
                <w:rFonts w:cstheme="minorHAnsi"/>
              </w:rPr>
              <w:t xml:space="preserve"> </w:t>
            </w:r>
            <w:r w:rsidRPr="00A26C26">
              <w:rPr>
                <w:rFonts w:cstheme="minorHAnsi"/>
              </w:rPr>
              <w:t>modernizacji</w:t>
            </w:r>
          </w:p>
          <w:p w14:paraId="6AB8A715" w14:textId="0937A15C" w:rsidR="0037597D" w:rsidRPr="00A26C26" w:rsidRDefault="0037597D" w:rsidP="008A412F">
            <w:pPr>
              <w:pStyle w:val="Akapitzlist"/>
              <w:numPr>
                <w:ilvl w:val="0"/>
                <w:numId w:val="15"/>
              </w:numPr>
              <w:spacing w:line="276" w:lineRule="auto"/>
              <w:ind w:left="173" w:hanging="173"/>
              <w:contextualSpacing w:val="0"/>
              <w:rPr>
                <w:rFonts w:cstheme="minorHAnsi"/>
              </w:rPr>
            </w:pPr>
            <w:r w:rsidRPr="00A26C26">
              <w:rPr>
                <w:rFonts w:cstheme="minorHAnsi"/>
              </w:rPr>
              <w:t>Słaba</w:t>
            </w:r>
            <w:r>
              <w:rPr>
                <w:rFonts w:cstheme="minorHAnsi"/>
              </w:rPr>
              <w:t xml:space="preserve"> </w:t>
            </w:r>
            <w:r w:rsidRPr="00A26C26">
              <w:rPr>
                <w:rFonts w:cstheme="minorHAnsi"/>
              </w:rPr>
              <w:t>koordynacja</w:t>
            </w:r>
            <w:r>
              <w:rPr>
                <w:rFonts w:cstheme="minorHAnsi"/>
              </w:rPr>
              <w:t xml:space="preserve"> </w:t>
            </w:r>
            <w:r w:rsidRPr="00A26C26">
              <w:rPr>
                <w:rFonts w:cstheme="minorHAnsi"/>
              </w:rPr>
              <w:t>działań</w:t>
            </w:r>
            <w:r>
              <w:rPr>
                <w:rFonts w:cstheme="minorHAnsi"/>
              </w:rPr>
              <w:t xml:space="preserve"> </w:t>
            </w:r>
            <w:r w:rsidRPr="00A26C26">
              <w:rPr>
                <w:rFonts w:cstheme="minorHAnsi"/>
              </w:rPr>
              <w:t>różnych</w:t>
            </w:r>
            <w:r>
              <w:rPr>
                <w:rFonts w:cstheme="minorHAnsi"/>
              </w:rPr>
              <w:t xml:space="preserve"> </w:t>
            </w:r>
            <w:r w:rsidRPr="00A26C26">
              <w:rPr>
                <w:rFonts w:cstheme="minorHAnsi"/>
              </w:rPr>
              <w:t>sektorów</w:t>
            </w:r>
            <w:r>
              <w:rPr>
                <w:rFonts w:cstheme="minorHAnsi"/>
              </w:rPr>
              <w:t xml:space="preserve"> </w:t>
            </w:r>
            <w:r w:rsidRPr="00A26C26">
              <w:rPr>
                <w:rFonts w:cstheme="minorHAnsi"/>
              </w:rPr>
              <w:t>i</w:t>
            </w:r>
            <w:r>
              <w:rPr>
                <w:rFonts w:cstheme="minorHAnsi"/>
              </w:rPr>
              <w:t xml:space="preserve"> </w:t>
            </w:r>
            <w:r w:rsidRPr="00A26C26">
              <w:rPr>
                <w:rFonts w:cstheme="minorHAnsi"/>
              </w:rPr>
              <w:t>podmiotów</w:t>
            </w:r>
            <w:r>
              <w:rPr>
                <w:rFonts w:cstheme="minorHAnsi"/>
              </w:rPr>
              <w:t xml:space="preserve"> </w:t>
            </w:r>
            <w:r w:rsidRPr="00A26C26">
              <w:rPr>
                <w:rFonts w:cstheme="minorHAnsi"/>
              </w:rPr>
              <w:t>(np.</w:t>
            </w:r>
            <w:r>
              <w:rPr>
                <w:rFonts w:cstheme="minorHAnsi"/>
              </w:rPr>
              <w:t xml:space="preserve"> </w:t>
            </w:r>
            <w:r w:rsidRPr="00A26C26">
              <w:rPr>
                <w:rFonts w:cstheme="minorHAnsi"/>
              </w:rPr>
              <w:t>gmin</w:t>
            </w:r>
            <w:r>
              <w:rPr>
                <w:rFonts w:cstheme="minorHAnsi"/>
              </w:rPr>
              <w:t xml:space="preserve"> </w:t>
            </w:r>
            <w:r w:rsidR="006B5841">
              <w:rPr>
                <w:rFonts w:cstheme="minorHAnsi"/>
              </w:rPr>
              <w:t xml:space="preserve">                      </w:t>
            </w:r>
            <w:r w:rsidRPr="00A26C26">
              <w:rPr>
                <w:rFonts w:cstheme="minorHAnsi"/>
              </w:rPr>
              <w:t>z</w:t>
            </w:r>
            <w:r>
              <w:rPr>
                <w:rFonts w:cstheme="minorHAnsi"/>
              </w:rPr>
              <w:t xml:space="preserve"> </w:t>
            </w:r>
            <w:r w:rsidRPr="00A26C26">
              <w:rPr>
                <w:rFonts w:cstheme="minorHAnsi"/>
              </w:rPr>
              <w:t>organizacjami</w:t>
            </w:r>
            <w:r>
              <w:rPr>
                <w:rFonts w:cstheme="minorHAnsi"/>
              </w:rPr>
              <w:t xml:space="preserve"> </w:t>
            </w:r>
            <w:r w:rsidRPr="00A26C26">
              <w:rPr>
                <w:rFonts w:cstheme="minorHAnsi"/>
              </w:rPr>
              <w:t>pozarządowymi)</w:t>
            </w:r>
          </w:p>
          <w:p w14:paraId="48EEB063" w14:textId="1B3B3065" w:rsidR="0037597D" w:rsidRPr="00A26C26" w:rsidRDefault="0037597D" w:rsidP="008A412F">
            <w:pPr>
              <w:pStyle w:val="Akapitzlist"/>
              <w:numPr>
                <w:ilvl w:val="0"/>
                <w:numId w:val="15"/>
              </w:numPr>
              <w:spacing w:line="276" w:lineRule="auto"/>
              <w:ind w:left="173" w:hanging="173"/>
              <w:contextualSpacing w:val="0"/>
              <w:rPr>
                <w:rFonts w:cstheme="minorHAnsi"/>
              </w:rPr>
            </w:pPr>
            <w:r w:rsidRPr="00A26C26">
              <w:rPr>
                <w:rFonts w:cstheme="minorHAnsi"/>
              </w:rPr>
              <w:t>Niechęć</w:t>
            </w:r>
            <w:r>
              <w:rPr>
                <w:rFonts w:cstheme="minorHAnsi"/>
              </w:rPr>
              <w:t xml:space="preserve"> </w:t>
            </w:r>
            <w:r w:rsidRPr="00A26C26">
              <w:rPr>
                <w:rFonts w:cstheme="minorHAnsi"/>
              </w:rPr>
              <w:t>do</w:t>
            </w:r>
            <w:r>
              <w:rPr>
                <w:rFonts w:cstheme="minorHAnsi"/>
              </w:rPr>
              <w:t xml:space="preserve"> </w:t>
            </w:r>
            <w:r w:rsidRPr="00A26C26">
              <w:rPr>
                <w:rFonts w:cstheme="minorHAnsi"/>
              </w:rPr>
              <w:t>działań</w:t>
            </w:r>
            <w:r>
              <w:rPr>
                <w:rFonts w:cstheme="minorHAnsi"/>
              </w:rPr>
              <w:t xml:space="preserve"> </w:t>
            </w:r>
            <w:r w:rsidRPr="00A26C26">
              <w:rPr>
                <w:rFonts w:cstheme="minorHAnsi"/>
              </w:rPr>
              <w:t>zespołowych</w:t>
            </w:r>
            <w:r>
              <w:rPr>
                <w:rFonts w:cstheme="minorHAnsi"/>
              </w:rPr>
              <w:t xml:space="preserve"> </w:t>
            </w:r>
            <w:r w:rsidRPr="00A26C26">
              <w:rPr>
                <w:rFonts w:cstheme="minorHAnsi"/>
              </w:rPr>
              <w:t>/współpracy</w:t>
            </w:r>
            <w:r>
              <w:rPr>
                <w:rFonts w:cstheme="minorHAnsi"/>
              </w:rPr>
              <w:t xml:space="preserve"> </w:t>
            </w:r>
            <w:r w:rsidRPr="00A26C26">
              <w:rPr>
                <w:rFonts w:cstheme="minorHAnsi"/>
              </w:rPr>
              <w:t>będąca</w:t>
            </w:r>
            <w:r>
              <w:rPr>
                <w:rFonts w:cstheme="minorHAnsi"/>
              </w:rPr>
              <w:t xml:space="preserve"> </w:t>
            </w:r>
            <w:r w:rsidRPr="00A26C26">
              <w:rPr>
                <w:rFonts w:cstheme="minorHAnsi"/>
              </w:rPr>
              <w:t>konsekwencją</w:t>
            </w:r>
            <w:r>
              <w:rPr>
                <w:rFonts w:cstheme="minorHAnsi"/>
              </w:rPr>
              <w:t xml:space="preserve"> </w:t>
            </w:r>
            <w:r w:rsidRPr="00A26C26">
              <w:rPr>
                <w:rFonts w:cstheme="minorHAnsi"/>
              </w:rPr>
              <w:t>pandemii</w:t>
            </w:r>
            <w:r>
              <w:rPr>
                <w:rFonts w:cstheme="minorHAnsi"/>
              </w:rPr>
              <w:t xml:space="preserve"> </w:t>
            </w:r>
          </w:p>
          <w:p w14:paraId="07F1A50D" w14:textId="3EA49343" w:rsidR="0037597D" w:rsidRPr="00A26C26" w:rsidRDefault="0037597D" w:rsidP="008A412F">
            <w:pPr>
              <w:pStyle w:val="Akapitzlist"/>
              <w:numPr>
                <w:ilvl w:val="0"/>
                <w:numId w:val="15"/>
              </w:numPr>
              <w:spacing w:line="276" w:lineRule="auto"/>
              <w:ind w:left="173" w:hanging="173"/>
              <w:contextualSpacing w:val="0"/>
              <w:rPr>
                <w:rFonts w:cstheme="minorHAnsi"/>
              </w:rPr>
            </w:pPr>
            <w:r w:rsidRPr="00A26C26">
              <w:rPr>
                <w:rFonts w:cstheme="minorHAnsi"/>
              </w:rPr>
              <w:t>Niski</w:t>
            </w:r>
            <w:r>
              <w:rPr>
                <w:rFonts w:cstheme="minorHAnsi"/>
              </w:rPr>
              <w:t xml:space="preserve"> </w:t>
            </w:r>
            <w:r w:rsidRPr="00A26C26">
              <w:rPr>
                <w:rFonts w:cstheme="minorHAnsi"/>
              </w:rPr>
              <w:t>poziom</w:t>
            </w:r>
            <w:r>
              <w:rPr>
                <w:rFonts w:cstheme="minorHAnsi"/>
              </w:rPr>
              <w:t xml:space="preserve"> </w:t>
            </w:r>
            <w:r w:rsidRPr="00A26C26">
              <w:rPr>
                <w:rFonts w:cstheme="minorHAnsi"/>
              </w:rPr>
              <w:t>integracji</w:t>
            </w:r>
            <w:r>
              <w:rPr>
                <w:rFonts w:cstheme="minorHAnsi"/>
              </w:rPr>
              <w:t xml:space="preserve"> </w:t>
            </w:r>
            <w:r w:rsidRPr="00A26C26">
              <w:rPr>
                <w:rFonts w:cstheme="minorHAnsi"/>
              </w:rPr>
              <w:t>społeczności</w:t>
            </w:r>
            <w:r>
              <w:rPr>
                <w:rFonts w:cstheme="minorHAnsi"/>
              </w:rPr>
              <w:t xml:space="preserve"> </w:t>
            </w:r>
            <w:r w:rsidRPr="00A26C26">
              <w:rPr>
                <w:rFonts w:cstheme="minorHAnsi"/>
              </w:rPr>
              <w:t>lokalnej</w:t>
            </w:r>
            <w:r>
              <w:rPr>
                <w:rFonts w:cstheme="minorHAnsi"/>
              </w:rPr>
              <w:t xml:space="preserve"> </w:t>
            </w:r>
            <w:r w:rsidRPr="00A26C26">
              <w:rPr>
                <w:rFonts w:cstheme="minorHAnsi"/>
              </w:rPr>
              <w:t>i</w:t>
            </w:r>
            <w:r>
              <w:rPr>
                <w:rFonts w:cstheme="minorHAnsi"/>
              </w:rPr>
              <w:t xml:space="preserve"> </w:t>
            </w:r>
            <w:r w:rsidRPr="00A26C26">
              <w:rPr>
                <w:rFonts w:cstheme="minorHAnsi"/>
              </w:rPr>
              <w:t>bierna</w:t>
            </w:r>
            <w:r>
              <w:rPr>
                <w:rFonts w:cstheme="minorHAnsi"/>
              </w:rPr>
              <w:t xml:space="preserve"> </w:t>
            </w:r>
            <w:r w:rsidRPr="00A26C26">
              <w:rPr>
                <w:rFonts w:cstheme="minorHAnsi"/>
              </w:rPr>
              <w:t>postawa</w:t>
            </w:r>
            <w:r>
              <w:rPr>
                <w:rFonts w:cstheme="minorHAnsi"/>
              </w:rPr>
              <w:t xml:space="preserve"> </w:t>
            </w:r>
            <w:r w:rsidRPr="00A26C26">
              <w:rPr>
                <w:rFonts w:cstheme="minorHAnsi"/>
              </w:rPr>
              <w:t>społeczna</w:t>
            </w:r>
            <w:r>
              <w:rPr>
                <w:rFonts w:cstheme="minorHAnsi"/>
              </w:rPr>
              <w:t xml:space="preserve"> </w:t>
            </w:r>
            <w:r w:rsidRPr="00A26C26">
              <w:rPr>
                <w:rFonts w:cstheme="minorHAnsi"/>
              </w:rPr>
              <w:t>części</w:t>
            </w:r>
            <w:r>
              <w:rPr>
                <w:rFonts w:cstheme="minorHAnsi"/>
              </w:rPr>
              <w:t xml:space="preserve"> </w:t>
            </w:r>
            <w:r w:rsidRPr="00A26C26">
              <w:rPr>
                <w:rFonts w:cstheme="minorHAnsi"/>
              </w:rPr>
              <w:t>mieszkańców</w:t>
            </w:r>
          </w:p>
          <w:p w14:paraId="5C55AA74" w14:textId="1B676E36" w:rsidR="0037597D" w:rsidRPr="00A26C26" w:rsidRDefault="0037597D" w:rsidP="008A412F">
            <w:pPr>
              <w:pStyle w:val="Akapitzlist"/>
              <w:numPr>
                <w:ilvl w:val="0"/>
                <w:numId w:val="15"/>
              </w:numPr>
              <w:spacing w:line="276" w:lineRule="auto"/>
              <w:ind w:left="173" w:hanging="173"/>
              <w:contextualSpacing w:val="0"/>
              <w:rPr>
                <w:rFonts w:cstheme="minorHAnsi"/>
              </w:rPr>
            </w:pPr>
            <w:r w:rsidRPr="00A26C26">
              <w:rPr>
                <w:rFonts w:cstheme="minorHAnsi"/>
              </w:rPr>
              <w:t>Słabość</w:t>
            </w:r>
            <w:r>
              <w:rPr>
                <w:rFonts w:cstheme="minorHAnsi"/>
              </w:rPr>
              <w:t xml:space="preserve"> </w:t>
            </w:r>
            <w:r w:rsidRPr="00A26C26">
              <w:rPr>
                <w:rFonts w:cstheme="minorHAnsi"/>
              </w:rPr>
              <w:t>finansowa</w:t>
            </w:r>
            <w:r>
              <w:rPr>
                <w:rFonts w:cstheme="minorHAnsi"/>
              </w:rPr>
              <w:t xml:space="preserve"> </w:t>
            </w:r>
            <w:r w:rsidRPr="00A26C26">
              <w:rPr>
                <w:rFonts w:cstheme="minorHAnsi"/>
              </w:rPr>
              <w:t>organizacji</w:t>
            </w:r>
            <w:r>
              <w:rPr>
                <w:rFonts w:cstheme="minorHAnsi"/>
              </w:rPr>
              <w:t xml:space="preserve"> </w:t>
            </w:r>
            <w:r w:rsidRPr="00A26C26">
              <w:rPr>
                <w:rFonts w:cstheme="minorHAnsi"/>
              </w:rPr>
              <w:t>pozarządowych</w:t>
            </w:r>
          </w:p>
          <w:p w14:paraId="4C608ACB" w14:textId="1BD2DE47" w:rsidR="0037597D" w:rsidRPr="00C675EC" w:rsidRDefault="0037597D" w:rsidP="008A412F">
            <w:pPr>
              <w:pStyle w:val="Akapitzlist"/>
              <w:numPr>
                <w:ilvl w:val="0"/>
                <w:numId w:val="15"/>
              </w:numPr>
              <w:spacing w:line="276" w:lineRule="auto"/>
              <w:ind w:left="173" w:hanging="173"/>
              <w:contextualSpacing w:val="0"/>
              <w:rPr>
                <w:rFonts w:cstheme="minorHAnsi"/>
              </w:rPr>
            </w:pPr>
            <w:r w:rsidRPr="00A26C26">
              <w:rPr>
                <w:rFonts w:cstheme="minorHAnsi"/>
              </w:rPr>
              <w:t>Brak</w:t>
            </w:r>
            <w:r>
              <w:rPr>
                <w:rFonts w:cstheme="minorHAnsi"/>
              </w:rPr>
              <w:t xml:space="preserve"> </w:t>
            </w:r>
            <w:r w:rsidRPr="00A26C26">
              <w:rPr>
                <w:rFonts w:cstheme="minorHAnsi"/>
              </w:rPr>
              <w:t>animatorów</w:t>
            </w:r>
            <w:r>
              <w:rPr>
                <w:rFonts w:cstheme="minorHAnsi"/>
              </w:rPr>
              <w:t xml:space="preserve"> </w:t>
            </w:r>
            <w:r w:rsidRPr="00A26C26">
              <w:rPr>
                <w:rFonts w:cstheme="minorHAnsi"/>
              </w:rPr>
              <w:t>działań</w:t>
            </w:r>
            <w:r>
              <w:rPr>
                <w:rFonts w:cstheme="minorHAnsi"/>
              </w:rPr>
              <w:t xml:space="preserve"> </w:t>
            </w:r>
            <w:r w:rsidRPr="00A26C26">
              <w:rPr>
                <w:rFonts w:cstheme="minorHAnsi"/>
              </w:rPr>
              <w:t>lokalnych</w:t>
            </w:r>
            <w:r>
              <w:rPr>
                <w:rFonts w:cstheme="minorHAnsi"/>
              </w:rPr>
              <w:t xml:space="preserve"> </w:t>
            </w:r>
            <w:r w:rsidRPr="00A26C26">
              <w:rPr>
                <w:rFonts w:cstheme="minorHAnsi"/>
              </w:rPr>
              <w:t>(opiekunów</w:t>
            </w:r>
            <w:r>
              <w:rPr>
                <w:rFonts w:cstheme="minorHAnsi"/>
              </w:rPr>
              <w:t xml:space="preserve"> </w:t>
            </w:r>
            <w:proofErr w:type="spellStart"/>
            <w:r w:rsidRPr="00A26C26">
              <w:rPr>
                <w:rFonts w:cstheme="minorHAnsi"/>
              </w:rPr>
              <w:t>sal</w:t>
            </w:r>
            <w:proofErr w:type="spellEnd"/>
            <w:r>
              <w:rPr>
                <w:rFonts w:cstheme="minorHAnsi"/>
              </w:rPr>
              <w:t xml:space="preserve"> </w:t>
            </w:r>
            <w:r w:rsidRPr="00A26C26">
              <w:rPr>
                <w:rFonts w:cstheme="minorHAnsi"/>
              </w:rPr>
              <w:t>wiejskich),</w:t>
            </w:r>
            <w:r>
              <w:rPr>
                <w:rFonts w:cstheme="minorHAnsi"/>
              </w:rPr>
              <w:t xml:space="preserve"> </w:t>
            </w:r>
            <w:r w:rsidRPr="00A26C26">
              <w:rPr>
                <w:rFonts w:cstheme="minorHAnsi"/>
              </w:rPr>
              <w:t>w</w:t>
            </w:r>
            <w:r>
              <w:rPr>
                <w:rFonts w:cstheme="minorHAnsi"/>
              </w:rPr>
              <w:t xml:space="preserve"> </w:t>
            </w:r>
            <w:r w:rsidRPr="00A26C26">
              <w:rPr>
                <w:rFonts w:cstheme="minorHAnsi"/>
              </w:rPr>
              <w:t>tym</w:t>
            </w:r>
            <w:r>
              <w:rPr>
                <w:rFonts w:cstheme="minorHAnsi"/>
              </w:rPr>
              <w:t xml:space="preserve"> </w:t>
            </w:r>
            <w:r w:rsidRPr="00A26C26">
              <w:rPr>
                <w:rFonts w:cstheme="minorHAnsi"/>
              </w:rPr>
              <w:t>dla</w:t>
            </w:r>
            <w:r>
              <w:rPr>
                <w:rFonts w:cstheme="minorHAnsi"/>
              </w:rPr>
              <w:t xml:space="preserve"> </w:t>
            </w:r>
            <w:r w:rsidRPr="00A26C26">
              <w:rPr>
                <w:rFonts w:cstheme="minorHAnsi"/>
              </w:rPr>
              <w:t>grup</w:t>
            </w:r>
            <w:r>
              <w:rPr>
                <w:rFonts w:cstheme="minorHAnsi"/>
              </w:rPr>
              <w:t xml:space="preserve"> </w:t>
            </w:r>
            <w:r w:rsidRPr="00A26C26">
              <w:rPr>
                <w:rFonts w:cstheme="minorHAnsi"/>
              </w:rPr>
              <w:t>osób</w:t>
            </w:r>
            <w:r>
              <w:rPr>
                <w:rFonts w:cstheme="minorHAnsi"/>
              </w:rPr>
              <w:t xml:space="preserve"> </w:t>
            </w:r>
            <w:r w:rsidRPr="00A26C26">
              <w:rPr>
                <w:rFonts w:cstheme="minorHAnsi"/>
              </w:rPr>
              <w:t>zagrożonych</w:t>
            </w:r>
            <w:r>
              <w:rPr>
                <w:rFonts w:cstheme="minorHAnsi"/>
              </w:rPr>
              <w:t xml:space="preserve"> </w:t>
            </w:r>
            <w:r w:rsidRPr="00A26C26">
              <w:rPr>
                <w:rFonts w:cstheme="minorHAnsi"/>
              </w:rPr>
              <w:t>wykluczeniem</w:t>
            </w:r>
            <w:r>
              <w:rPr>
                <w:rFonts w:cstheme="minorHAnsi"/>
              </w:rPr>
              <w:t xml:space="preserve"> </w:t>
            </w:r>
            <w:r w:rsidRPr="00A26C26">
              <w:rPr>
                <w:rFonts w:cstheme="minorHAnsi"/>
              </w:rPr>
              <w:t>społecznym</w:t>
            </w:r>
          </w:p>
        </w:tc>
        <w:tc>
          <w:tcPr>
            <w:tcW w:w="2835" w:type="dxa"/>
          </w:tcPr>
          <w:p w14:paraId="2EB97CA4" w14:textId="794B1AE6" w:rsidR="0037597D" w:rsidRPr="00A26C26" w:rsidRDefault="0037597D" w:rsidP="00C675EC">
            <w:pPr>
              <w:spacing w:line="276" w:lineRule="auto"/>
              <w:rPr>
                <w:rFonts w:cstheme="minorHAnsi"/>
              </w:rPr>
            </w:pPr>
            <w:r w:rsidRPr="00A26C26">
              <w:rPr>
                <w:rFonts w:cstheme="minorHAnsi"/>
              </w:rPr>
              <w:lastRenderedPageBreak/>
              <w:t>seniorzy</w:t>
            </w:r>
            <w:r>
              <w:rPr>
                <w:rFonts w:cstheme="minorHAnsi"/>
              </w:rPr>
              <w:t xml:space="preserve"> </w:t>
            </w:r>
            <w:r w:rsidRPr="00A26C26">
              <w:rPr>
                <w:rFonts w:cstheme="minorHAnsi"/>
              </w:rPr>
              <w:t>(60+),</w:t>
            </w:r>
          </w:p>
          <w:p w14:paraId="1CEF72D3" w14:textId="720B30E3" w:rsidR="0037597D" w:rsidRPr="00A26C26" w:rsidRDefault="0037597D" w:rsidP="00C675EC">
            <w:pPr>
              <w:spacing w:line="276" w:lineRule="auto"/>
              <w:rPr>
                <w:rFonts w:cstheme="minorHAnsi"/>
              </w:rPr>
            </w:pPr>
            <w:r w:rsidRPr="00A26C26">
              <w:rPr>
                <w:rFonts w:cstheme="minorHAnsi"/>
              </w:rPr>
              <w:t>ludzie</w:t>
            </w:r>
            <w:r>
              <w:rPr>
                <w:rFonts w:cstheme="minorHAnsi"/>
              </w:rPr>
              <w:t xml:space="preserve"> </w:t>
            </w:r>
            <w:r w:rsidRPr="00A26C26">
              <w:rPr>
                <w:rFonts w:cstheme="minorHAnsi"/>
              </w:rPr>
              <w:t>młodzi</w:t>
            </w:r>
            <w:r>
              <w:rPr>
                <w:rFonts w:cstheme="minorHAnsi"/>
              </w:rPr>
              <w:t xml:space="preserve"> </w:t>
            </w:r>
            <w:r w:rsidRPr="00A26C26">
              <w:rPr>
                <w:rFonts w:cstheme="minorHAnsi"/>
              </w:rPr>
              <w:t>(do</w:t>
            </w:r>
            <w:r>
              <w:rPr>
                <w:rFonts w:cstheme="minorHAnsi"/>
              </w:rPr>
              <w:t xml:space="preserve"> </w:t>
            </w:r>
            <w:r w:rsidRPr="00A26C26">
              <w:rPr>
                <w:rFonts w:cstheme="minorHAnsi"/>
              </w:rPr>
              <w:t>25</w:t>
            </w:r>
            <w:r>
              <w:rPr>
                <w:rFonts w:cstheme="minorHAnsi"/>
              </w:rPr>
              <w:t xml:space="preserve"> </w:t>
            </w:r>
            <w:r w:rsidRPr="00A26C26">
              <w:rPr>
                <w:rFonts w:cstheme="minorHAnsi"/>
              </w:rPr>
              <w:t>r.ż.),</w:t>
            </w:r>
            <w:r>
              <w:rPr>
                <w:rFonts w:cstheme="minorHAnsi"/>
              </w:rPr>
              <w:t xml:space="preserve"> </w:t>
            </w:r>
          </w:p>
          <w:p w14:paraId="2914DAED" w14:textId="103456AA" w:rsidR="0037597D" w:rsidRPr="00A26C26" w:rsidRDefault="0037597D" w:rsidP="00C675EC">
            <w:pPr>
              <w:spacing w:line="276" w:lineRule="auto"/>
              <w:rPr>
                <w:rFonts w:cstheme="minorHAnsi"/>
              </w:rPr>
            </w:pPr>
            <w:r w:rsidRPr="00A26C26">
              <w:rPr>
                <w:rFonts w:cstheme="minorHAnsi"/>
              </w:rPr>
              <w:t>mieszkańcy,</w:t>
            </w:r>
            <w:r>
              <w:rPr>
                <w:rFonts w:cstheme="minorHAnsi"/>
              </w:rPr>
              <w:t xml:space="preserve"> </w:t>
            </w:r>
          </w:p>
          <w:p w14:paraId="201F7A82" w14:textId="4B1C6B6F" w:rsidR="0037597D" w:rsidRPr="00A26C26" w:rsidRDefault="0037597D" w:rsidP="00C675EC">
            <w:pPr>
              <w:spacing w:line="276" w:lineRule="auto"/>
              <w:rPr>
                <w:rFonts w:cstheme="minorHAnsi"/>
              </w:rPr>
            </w:pPr>
            <w:r w:rsidRPr="00A26C26">
              <w:rPr>
                <w:rFonts w:cstheme="minorHAnsi"/>
              </w:rPr>
              <w:t>osoby</w:t>
            </w:r>
            <w:r>
              <w:rPr>
                <w:rFonts w:cstheme="minorHAnsi"/>
              </w:rPr>
              <w:t xml:space="preserve"> </w:t>
            </w:r>
            <w:r w:rsidRPr="00A26C26">
              <w:rPr>
                <w:rFonts w:cstheme="minorHAnsi"/>
              </w:rPr>
              <w:t>w</w:t>
            </w:r>
            <w:r>
              <w:rPr>
                <w:rFonts w:cstheme="minorHAnsi"/>
              </w:rPr>
              <w:t xml:space="preserve"> </w:t>
            </w:r>
            <w:r w:rsidRPr="00A26C26">
              <w:rPr>
                <w:rFonts w:cstheme="minorHAnsi"/>
              </w:rPr>
              <w:t>niekorzystnej</w:t>
            </w:r>
            <w:r>
              <w:rPr>
                <w:rFonts w:cstheme="minorHAnsi"/>
              </w:rPr>
              <w:t xml:space="preserve"> </w:t>
            </w:r>
            <w:r w:rsidRPr="00A26C26">
              <w:rPr>
                <w:rFonts w:cstheme="minorHAnsi"/>
              </w:rPr>
              <w:lastRenderedPageBreak/>
              <w:t>sytuacji,</w:t>
            </w:r>
            <w:r>
              <w:rPr>
                <w:rFonts w:cstheme="minorHAnsi"/>
              </w:rPr>
              <w:t xml:space="preserve"> </w:t>
            </w:r>
          </w:p>
          <w:p w14:paraId="3D467395" w14:textId="65B21E8B" w:rsidR="0037597D" w:rsidRPr="00A26C26" w:rsidRDefault="0037597D" w:rsidP="00C675EC">
            <w:pPr>
              <w:spacing w:line="276" w:lineRule="auto"/>
              <w:rPr>
                <w:rFonts w:cstheme="minorHAnsi"/>
              </w:rPr>
            </w:pPr>
            <w:r w:rsidRPr="00A26C26">
              <w:rPr>
                <w:rFonts w:cstheme="minorHAnsi"/>
              </w:rPr>
              <w:t>JSFP,</w:t>
            </w:r>
          </w:p>
          <w:p w14:paraId="33C45AE9" w14:textId="1F8E5FC6" w:rsidR="0037597D" w:rsidRPr="00A26C26" w:rsidRDefault="0037597D" w:rsidP="00C675EC">
            <w:pPr>
              <w:spacing w:line="276" w:lineRule="auto"/>
              <w:rPr>
                <w:rFonts w:cstheme="minorHAnsi"/>
              </w:rPr>
            </w:pPr>
            <w:r w:rsidRPr="00A26C26">
              <w:rPr>
                <w:rFonts w:cstheme="minorHAnsi"/>
              </w:rPr>
              <w:t>Organizacje</w:t>
            </w:r>
            <w:r>
              <w:rPr>
                <w:rFonts w:cstheme="minorHAnsi"/>
              </w:rPr>
              <w:t xml:space="preserve"> </w:t>
            </w:r>
            <w:r w:rsidRPr="00A26C26">
              <w:rPr>
                <w:rFonts w:cstheme="minorHAnsi"/>
              </w:rPr>
              <w:t>pozarządowe</w:t>
            </w:r>
          </w:p>
          <w:p w14:paraId="5ED79E3D" w14:textId="06E95FCE" w:rsidR="0037597D" w:rsidRPr="00A26C26" w:rsidRDefault="0037597D" w:rsidP="00C675EC">
            <w:pPr>
              <w:spacing w:line="276" w:lineRule="auto"/>
              <w:rPr>
                <w:rFonts w:cstheme="minorHAnsi"/>
              </w:rPr>
            </w:pPr>
          </w:p>
        </w:tc>
        <w:tc>
          <w:tcPr>
            <w:tcW w:w="2693" w:type="dxa"/>
          </w:tcPr>
          <w:p w14:paraId="57D8B976" w14:textId="77777777" w:rsidR="0037597D" w:rsidRPr="00A26C26" w:rsidRDefault="0037597D" w:rsidP="00C675EC">
            <w:pPr>
              <w:spacing w:line="276" w:lineRule="auto"/>
              <w:rPr>
                <w:rFonts w:cstheme="minorHAnsi"/>
              </w:rPr>
            </w:pPr>
            <w:r w:rsidRPr="00A26C26">
              <w:rPr>
                <w:rFonts w:cstheme="minorHAnsi"/>
              </w:rPr>
              <w:lastRenderedPageBreak/>
              <w:t>Problemy</w:t>
            </w:r>
            <w:r>
              <w:rPr>
                <w:rFonts w:cstheme="minorHAnsi"/>
              </w:rPr>
              <w:t xml:space="preserve"> </w:t>
            </w:r>
            <w:r w:rsidRPr="00A26C26">
              <w:rPr>
                <w:rFonts w:cstheme="minorHAnsi"/>
              </w:rPr>
              <w:t>społeczne.</w:t>
            </w:r>
          </w:p>
          <w:p w14:paraId="304FC5CD" w14:textId="77777777" w:rsidR="0037597D" w:rsidRPr="00A26C26" w:rsidRDefault="0037597D" w:rsidP="00C675EC">
            <w:pPr>
              <w:spacing w:line="276" w:lineRule="auto"/>
              <w:rPr>
                <w:rFonts w:cstheme="minorHAnsi"/>
              </w:rPr>
            </w:pPr>
            <w:r w:rsidRPr="00A26C26">
              <w:rPr>
                <w:rFonts w:cstheme="minorHAnsi"/>
              </w:rPr>
              <w:t>Obszary</w:t>
            </w:r>
            <w:r>
              <w:rPr>
                <w:rFonts w:cstheme="minorHAnsi"/>
              </w:rPr>
              <w:t xml:space="preserve"> </w:t>
            </w:r>
            <w:r w:rsidRPr="00A26C26">
              <w:rPr>
                <w:rFonts w:cstheme="minorHAnsi"/>
              </w:rPr>
              <w:t>wiejskie.</w:t>
            </w:r>
          </w:p>
          <w:p w14:paraId="7F640C74" w14:textId="77777777" w:rsidR="0037597D" w:rsidRPr="00A26C26" w:rsidRDefault="0037597D" w:rsidP="00C675EC">
            <w:pPr>
              <w:spacing w:line="276" w:lineRule="auto"/>
              <w:rPr>
                <w:rFonts w:cstheme="minorHAnsi"/>
              </w:rPr>
            </w:pPr>
            <w:r w:rsidRPr="00A26C26">
              <w:rPr>
                <w:rFonts w:cstheme="minorHAnsi"/>
              </w:rPr>
              <w:t>Gospodarka/</w:t>
            </w:r>
            <w:r>
              <w:rPr>
                <w:rFonts w:cstheme="minorHAnsi"/>
              </w:rPr>
              <w:t xml:space="preserve"> </w:t>
            </w:r>
            <w:r w:rsidRPr="00A26C26">
              <w:rPr>
                <w:rFonts w:cstheme="minorHAnsi"/>
              </w:rPr>
              <w:t>przedsiębiorczość.</w:t>
            </w:r>
          </w:p>
          <w:p w14:paraId="3C3ECD2E" w14:textId="77777777" w:rsidR="0037597D" w:rsidRPr="00A26C26" w:rsidRDefault="0037597D" w:rsidP="00C675EC">
            <w:pPr>
              <w:spacing w:line="276" w:lineRule="auto"/>
              <w:rPr>
                <w:rFonts w:cstheme="minorHAnsi"/>
              </w:rPr>
            </w:pPr>
            <w:r w:rsidRPr="00A26C26">
              <w:rPr>
                <w:rFonts w:cstheme="minorHAnsi"/>
              </w:rPr>
              <w:lastRenderedPageBreak/>
              <w:t>Zasady</w:t>
            </w:r>
            <w:r>
              <w:rPr>
                <w:rFonts w:cstheme="minorHAnsi"/>
              </w:rPr>
              <w:t xml:space="preserve"> </w:t>
            </w:r>
            <w:r w:rsidRPr="00A26C26">
              <w:rPr>
                <w:rFonts w:cstheme="minorHAnsi"/>
              </w:rPr>
              <w:t>zrównoważenia</w:t>
            </w:r>
            <w:r>
              <w:rPr>
                <w:rFonts w:cstheme="minorHAnsi"/>
              </w:rPr>
              <w:t xml:space="preserve"> </w:t>
            </w:r>
            <w:r w:rsidRPr="00A26C26">
              <w:rPr>
                <w:rFonts w:cstheme="minorHAnsi"/>
              </w:rPr>
              <w:t>środowiskowego.</w:t>
            </w:r>
          </w:p>
          <w:p w14:paraId="50522E1C" w14:textId="77777777" w:rsidR="0037597D" w:rsidRPr="00A26C26" w:rsidRDefault="0037597D" w:rsidP="00C675EC">
            <w:pPr>
              <w:spacing w:line="276" w:lineRule="auto"/>
              <w:rPr>
                <w:rFonts w:cstheme="minorHAnsi"/>
              </w:rPr>
            </w:pPr>
            <w:r w:rsidRPr="00A26C26">
              <w:rPr>
                <w:rFonts w:cstheme="minorHAnsi"/>
              </w:rPr>
              <w:t>Rolnictwo.</w:t>
            </w:r>
          </w:p>
          <w:p w14:paraId="7BBFBE30" w14:textId="77777777" w:rsidR="0037597D" w:rsidRPr="00A26C26" w:rsidRDefault="0037597D" w:rsidP="00C675EC">
            <w:pPr>
              <w:spacing w:line="276" w:lineRule="auto"/>
              <w:rPr>
                <w:rFonts w:cstheme="minorHAnsi"/>
              </w:rPr>
            </w:pPr>
            <w:r w:rsidRPr="00A26C26">
              <w:rPr>
                <w:rFonts w:cstheme="minorHAnsi"/>
              </w:rPr>
              <w:t>Obszary</w:t>
            </w:r>
            <w:r>
              <w:rPr>
                <w:rFonts w:cstheme="minorHAnsi"/>
              </w:rPr>
              <w:t xml:space="preserve"> </w:t>
            </w:r>
            <w:r w:rsidRPr="00A26C26">
              <w:rPr>
                <w:rFonts w:cstheme="minorHAnsi"/>
              </w:rPr>
              <w:t>atrakcyjne</w:t>
            </w:r>
            <w:r>
              <w:rPr>
                <w:rFonts w:cstheme="minorHAnsi"/>
              </w:rPr>
              <w:t xml:space="preserve"> </w:t>
            </w:r>
            <w:r w:rsidRPr="00A26C26">
              <w:rPr>
                <w:rFonts w:cstheme="minorHAnsi"/>
              </w:rPr>
              <w:t>turystycznie.</w:t>
            </w:r>
          </w:p>
          <w:p w14:paraId="2A07BFFC" w14:textId="251CAF1E" w:rsidR="0037597D" w:rsidRPr="00285A63" w:rsidRDefault="0037597D" w:rsidP="00285A63">
            <w:pPr>
              <w:spacing w:line="276" w:lineRule="auto"/>
              <w:rPr>
                <w:rFonts w:cstheme="minorHAnsi"/>
              </w:rPr>
            </w:pPr>
          </w:p>
        </w:tc>
      </w:tr>
    </w:tbl>
    <w:p w14:paraId="09970361" w14:textId="77777777" w:rsidR="0037597D" w:rsidRDefault="0037597D" w:rsidP="00C675EC">
      <w:pPr>
        <w:suppressAutoHyphens/>
        <w:spacing w:line="276" w:lineRule="auto"/>
        <w:rPr>
          <w:rFonts w:cstheme="minorHAnsi"/>
          <w:b/>
          <w:bCs/>
        </w:rPr>
      </w:pPr>
    </w:p>
    <w:p w14:paraId="091CE069" w14:textId="77777777" w:rsidR="0037597D" w:rsidRDefault="0037597D" w:rsidP="00241A86">
      <w:pPr>
        <w:suppressAutoHyphens/>
        <w:spacing w:line="276" w:lineRule="auto"/>
        <w:ind w:firstLine="360"/>
        <w:rPr>
          <w:rFonts w:cstheme="minorHAnsi"/>
          <w:b/>
          <w:bCs/>
        </w:rPr>
      </w:pPr>
      <w:r w:rsidRPr="00A26C26">
        <w:rPr>
          <w:rFonts w:cstheme="minorHAnsi"/>
          <w:b/>
          <w:bCs/>
        </w:rPr>
        <w:t>Zasoby/</w:t>
      </w:r>
      <w:r>
        <w:rPr>
          <w:rFonts w:cstheme="minorHAnsi"/>
          <w:b/>
          <w:bCs/>
        </w:rPr>
        <w:t xml:space="preserve"> </w:t>
      </w:r>
      <w:r w:rsidRPr="00A26C26">
        <w:rPr>
          <w:rFonts w:cstheme="minorHAnsi"/>
          <w:b/>
          <w:bCs/>
        </w:rPr>
        <w:t>potencjał</w:t>
      </w:r>
      <w:r>
        <w:rPr>
          <w:rFonts w:cstheme="minorHAnsi"/>
          <w:b/>
          <w:bCs/>
        </w:rPr>
        <w:t xml:space="preserve"> </w:t>
      </w:r>
      <w:r w:rsidRPr="00A26C26">
        <w:rPr>
          <w:rFonts w:cstheme="minorHAnsi"/>
          <w:b/>
          <w:bCs/>
        </w:rPr>
        <w:t>LSR,</w:t>
      </w:r>
      <w:r>
        <w:rPr>
          <w:rFonts w:cstheme="minorHAnsi"/>
          <w:b/>
          <w:bCs/>
        </w:rPr>
        <w:t xml:space="preserve"> </w:t>
      </w:r>
      <w:r w:rsidRPr="00A26C26">
        <w:rPr>
          <w:rFonts w:cstheme="minorHAnsi"/>
          <w:b/>
          <w:bCs/>
        </w:rPr>
        <w:t>który</w:t>
      </w:r>
      <w:r>
        <w:rPr>
          <w:rFonts w:cstheme="minorHAnsi"/>
          <w:b/>
          <w:bCs/>
        </w:rPr>
        <w:t xml:space="preserve"> </w:t>
      </w:r>
      <w:r w:rsidRPr="00A26C26">
        <w:rPr>
          <w:rFonts w:cstheme="minorHAnsi"/>
          <w:b/>
          <w:bCs/>
        </w:rPr>
        <w:t>może</w:t>
      </w:r>
      <w:r>
        <w:rPr>
          <w:rFonts w:cstheme="minorHAnsi"/>
          <w:b/>
          <w:bCs/>
        </w:rPr>
        <w:t xml:space="preserve"> </w:t>
      </w:r>
      <w:r w:rsidRPr="00A26C26">
        <w:rPr>
          <w:rFonts w:cstheme="minorHAnsi"/>
          <w:b/>
          <w:bCs/>
        </w:rPr>
        <w:t>być</w:t>
      </w:r>
      <w:r>
        <w:rPr>
          <w:rFonts w:cstheme="minorHAnsi"/>
          <w:b/>
          <w:bCs/>
        </w:rPr>
        <w:t xml:space="preserve"> </w:t>
      </w:r>
      <w:r w:rsidRPr="00A26C26">
        <w:rPr>
          <w:rFonts w:cstheme="minorHAnsi"/>
          <w:b/>
          <w:bCs/>
        </w:rPr>
        <w:t>wykorzystany</w:t>
      </w:r>
      <w:r>
        <w:rPr>
          <w:rFonts w:cstheme="minorHAnsi"/>
          <w:b/>
          <w:bCs/>
        </w:rPr>
        <w:t>:</w:t>
      </w:r>
    </w:p>
    <w:p w14:paraId="33D9C50E" w14:textId="77777777" w:rsidR="0037597D" w:rsidRPr="00A26C26" w:rsidRDefault="0037597D" w:rsidP="008A412F">
      <w:pPr>
        <w:pStyle w:val="Akapitzlist"/>
        <w:numPr>
          <w:ilvl w:val="0"/>
          <w:numId w:val="47"/>
        </w:numPr>
        <w:spacing w:line="276" w:lineRule="auto"/>
        <w:contextualSpacing w:val="0"/>
        <w:rPr>
          <w:rFonts w:cstheme="minorHAnsi"/>
        </w:rPr>
      </w:pPr>
      <w:r w:rsidRPr="00A26C26">
        <w:rPr>
          <w:rFonts w:cstheme="minorHAnsi"/>
        </w:rPr>
        <w:t>Ośrodek</w:t>
      </w:r>
      <w:r>
        <w:rPr>
          <w:rFonts w:cstheme="minorHAnsi"/>
        </w:rPr>
        <w:t xml:space="preserve"> </w:t>
      </w:r>
      <w:r w:rsidRPr="00A26C26">
        <w:rPr>
          <w:rFonts w:cstheme="minorHAnsi"/>
        </w:rPr>
        <w:t>Edukacji</w:t>
      </w:r>
      <w:r>
        <w:rPr>
          <w:rFonts w:cstheme="minorHAnsi"/>
        </w:rPr>
        <w:t xml:space="preserve"> </w:t>
      </w:r>
      <w:r w:rsidRPr="00A26C26">
        <w:rPr>
          <w:rFonts w:cstheme="minorHAnsi"/>
        </w:rPr>
        <w:t>Leśnej</w:t>
      </w:r>
      <w:r>
        <w:rPr>
          <w:rFonts w:cstheme="minorHAnsi"/>
        </w:rPr>
        <w:t xml:space="preserve"> </w:t>
      </w:r>
      <w:r w:rsidRPr="00A26C26">
        <w:rPr>
          <w:rFonts w:cstheme="minorHAnsi"/>
        </w:rPr>
        <w:t>w</w:t>
      </w:r>
      <w:r>
        <w:rPr>
          <w:rFonts w:cstheme="minorHAnsi"/>
        </w:rPr>
        <w:t xml:space="preserve"> </w:t>
      </w:r>
      <w:r w:rsidRPr="00A26C26">
        <w:rPr>
          <w:rFonts w:cstheme="minorHAnsi"/>
        </w:rPr>
        <w:t>Grodźcu</w:t>
      </w:r>
      <w:r>
        <w:rPr>
          <w:rFonts w:cstheme="minorHAnsi"/>
        </w:rPr>
        <w:t xml:space="preserve"> </w:t>
      </w:r>
      <w:r w:rsidRPr="00A26C26">
        <w:rPr>
          <w:rFonts w:cstheme="minorHAnsi"/>
        </w:rPr>
        <w:t>-</w:t>
      </w:r>
      <w:r>
        <w:rPr>
          <w:rFonts w:cstheme="minorHAnsi"/>
        </w:rPr>
        <w:t xml:space="preserve"> </w:t>
      </w:r>
      <w:r w:rsidRPr="00A26C26">
        <w:rPr>
          <w:rFonts w:cstheme="minorHAnsi"/>
        </w:rPr>
        <w:t>baza</w:t>
      </w:r>
      <w:r>
        <w:rPr>
          <w:rFonts w:cstheme="minorHAnsi"/>
        </w:rPr>
        <w:t xml:space="preserve"> </w:t>
      </w:r>
      <w:r w:rsidRPr="00A26C26">
        <w:rPr>
          <w:rFonts w:cstheme="minorHAnsi"/>
        </w:rPr>
        <w:t>edukacyjna</w:t>
      </w:r>
    </w:p>
    <w:p w14:paraId="44698AAB" w14:textId="77777777" w:rsidR="0037597D" w:rsidRPr="00A26C26" w:rsidRDefault="0037597D" w:rsidP="008A412F">
      <w:pPr>
        <w:pStyle w:val="Akapitzlist"/>
        <w:numPr>
          <w:ilvl w:val="0"/>
          <w:numId w:val="47"/>
        </w:numPr>
        <w:spacing w:line="276" w:lineRule="auto"/>
        <w:contextualSpacing w:val="0"/>
        <w:rPr>
          <w:rFonts w:cstheme="minorHAnsi"/>
        </w:rPr>
      </w:pPr>
      <w:r w:rsidRPr="00A26C26">
        <w:rPr>
          <w:rFonts w:cstheme="minorHAnsi"/>
        </w:rPr>
        <w:t>Zachowane</w:t>
      </w:r>
      <w:r>
        <w:rPr>
          <w:rFonts w:cstheme="minorHAnsi"/>
        </w:rPr>
        <w:t xml:space="preserve"> </w:t>
      </w:r>
      <w:r w:rsidRPr="00A26C26">
        <w:rPr>
          <w:rFonts w:cstheme="minorHAnsi"/>
        </w:rPr>
        <w:t>tradycje</w:t>
      </w:r>
      <w:r>
        <w:rPr>
          <w:rFonts w:cstheme="minorHAnsi"/>
        </w:rPr>
        <w:t xml:space="preserve"> </w:t>
      </w:r>
      <w:r w:rsidRPr="00A26C26">
        <w:rPr>
          <w:rFonts w:cstheme="minorHAnsi"/>
        </w:rPr>
        <w:t>w</w:t>
      </w:r>
      <w:r>
        <w:rPr>
          <w:rFonts w:cstheme="minorHAnsi"/>
        </w:rPr>
        <w:t xml:space="preserve"> </w:t>
      </w:r>
      <w:r w:rsidRPr="00A26C26">
        <w:rPr>
          <w:rFonts w:cstheme="minorHAnsi"/>
        </w:rPr>
        <w:t>zakresie</w:t>
      </w:r>
      <w:r>
        <w:rPr>
          <w:rFonts w:cstheme="minorHAnsi"/>
        </w:rPr>
        <w:t xml:space="preserve"> </w:t>
      </w:r>
      <w:r w:rsidRPr="00A26C26">
        <w:rPr>
          <w:rFonts w:cstheme="minorHAnsi"/>
        </w:rPr>
        <w:t>rzemiosła</w:t>
      </w:r>
      <w:r>
        <w:rPr>
          <w:rFonts w:cstheme="minorHAnsi"/>
        </w:rPr>
        <w:t xml:space="preserve"> </w:t>
      </w:r>
      <w:r w:rsidRPr="00A26C26">
        <w:rPr>
          <w:rFonts w:cstheme="minorHAnsi"/>
        </w:rPr>
        <w:t>i</w:t>
      </w:r>
      <w:r>
        <w:rPr>
          <w:rFonts w:cstheme="minorHAnsi"/>
        </w:rPr>
        <w:t xml:space="preserve"> </w:t>
      </w:r>
      <w:r w:rsidRPr="00A26C26">
        <w:rPr>
          <w:rFonts w:cstheme="minorHAnsi"/>
        </w:rPr>
        <w:t>rękodzieła</w:t>
      </w:r>
    </w:p>
    <w:p w14:paraId="1C79297B" w14:textId="6317FA4B" w:rsidR="0037597D" w:rsidRPr="006F26E4" w:rsidRDefault="0037597D" w:rsidP="006F26E4">
      <w:pPr>
        <w:pStyle w:val="Akapitzlist"/>
        <w:numPr>
          <w:ilvl w:val="0"/>
          <w:numId w:val="47"/>
        </w:numPr>
        <w:spacing w:line="276" w:lineRule="auto"/>
        <w:contextualSpacing w:val="0"/>
        <w:rPr>
          <w:rFonts w:cstheme="minorHAnsi"/>
        </w:rPr>
      </w:pPr>
      <w:r w:rsidRPr="00A26C26">
        <w:rPr>
          <w:rFonts w:cstheme="minorHAnsi"/>
        </w:rPr>
        <w:t>Święta</w:t>
      </w:r>
      <w:r>
        <w:rPr>
          <w:rFonts w:cstheme="minorHAnsi"/>
        </w:rPr>
        <w:t xml:space="preserve"> </w:t>
      </w:r>
      <w:r w:rsidRPr="00A26C26">
        <w:rPr>
          <w:rFonts w:cstheme="minorHAnsi"/>
        </w:rPr>
        <w:t>i</w:t>
      </w:r>
      <w:r>
        <w:rPr>
          <w:rFonts w:cstheme="minorHAnsi"/>
        </w:rPr>
        <w:t xml:space="preserve"> </w:t>
      </w:r>
      <w:r w:rsidRPr="00A26C26">
        <w:rPr>
          <w:rFonts w:cstheme="minorHAnsi"/>
        </w:rPr>
        <w:t>wydarzenia</w:t>
      </w:r>
      <w:r>
        <w:rPr>
          <w:rFonts w:cstheme="minorHAnsi"/>
        </w:rPr>
        <w:t xml:space="preserve"> </w:t>
      </w:r>
      <w:r w:rsidRPr="00A26C26">
        <w:rPr>
          <w:rFonts w:cstheme="minorHAnsi"/>
        </w:rPr>
        <w:t>lokalne</w:t>
      </w:r>
      <w:r>
        <w:rPr>
          <w:rFonts w:cstheme="minorHAnsi"/>
        </w:rPr>
        <w:t xml:space="preserve"> </w:t>
      </w:r>
      <w:r w:rsidRPr="00A26C26">
        <w:rPr>
          <w:rFonts w:cstheme="minorHAnsi"/>
        </w:rPr>
        <w:t>(Święto</w:t>
      </w:r>
      <w:r>
        <w:rPr>
          <w:rFonts w:cstheme="minorHAnsi"/>
        </w:rPr>
        <w:t xml:space="preserve"> </w:t>
      </w:r>
      <w:r w:rsidRPr="00A26C26">
        <w:rPr>
          <w:rFonts w:cstheme="minorHAnsi"/>
        </w:rPr>
        <w:t>Kwitnącej</w:t>
      </w:r>
      <w:r>
        <w:rPr>
          <w:rFonts w:cstheme="minorHAnsi"/>
        </w:rPr>
        <w:t xml:space="preserve"> </w:t>
      </w:r>
      <w:r w:rsidRPr="00A26C26">
        <w:rPr>
          <w:rFonts w:cstheme="minorHAnsi"/>
        </w:rPr>
        <w:t>Jabłoni,</w:t>
      </w:r>
      <w:r w:rsidR="006F26E4">
        <w:rPr>
          <w:rFonts w:cstheme="minorHAnsi"/>
        </w:rPr>
        <w:t xml:space="preserve"> </w:t>
      </w:r>
      <w:r w:rsidR="006B5841">
        <w:rPr>
          <w:rFonts w:cstheme="minorHAnsi"/>
        </w:rPr>
        <w:t>Impresje muzyczne -</w:t>
      </w:r>
      <w:r w:rsidRPr="006F26E4">
        <w:rPr>
          <w:rFonts w:cstheme="minorHAnsi"/>
        </w:rPr>
        <w:t xml:space="preserve"> Piknik Orkiestr Dętych w Rychwale, Jarmarki produktu lokalnego, </w:t>
      </w:r>
      <w:proofErr w:type="spellStart"/>
      <w:r w:rsidRPr="006F26E4">
        <w:rPr>
          <w:rFonts w:cstheme="minorHAnsi"/>
        </w:rPr>
        <w:t>Pyrczok</w:t>
      </w:r>
      <w:proofErr w:type="spellEnd"/>
      <w:r w:rsidRPr="006F26E4">
        <w:rPr>
          <w:rFonts w:cstheme="minorHAnsi"/>
        </w:rPr>
        <w:t xml:space="preserve"> – święto pieczonego ziemniaka, Festiwal Historii i Kultury im.</w:t>
      </w:r>
      <w:r w:rsidR="006F26E4">
        <w:rPr>
          <w:rFonts w:cstheme="minorHAnsi"/>
        </w:rPr>
        <w:t xml:space="preserve"> </w:t>
      </w:r>
      <w:r w:rsidRPr="006F26E4">
        <w:rPr>
          <w:rFonts w:cstheme="minorHAnsi"/>
        </w:rPr>
        <w:t>Marcina ze Sławska)</w:t>
      </w:r>
    </w:p>
    <w:p w14:paraId="6F391565" w14:textId="128ACA06" w:rsidR="0037597D" w:rsidRPr="00A26C26" w:rsidRDefault="0037597D" w:rsidP="008A412F">
      <w:pPr>
        <w:pStyle w:val="Akapitzlist"/>
        <w:numPr>
          <w:ilvl w:val="0"/>
          <w:numId w:val="47"/>
        </w:numPr>
        <w:spacing w:line="276" w:lineRule="auto"/>
        <w:contextualSpacing w:val="0"/>
        <w:rPr>
          <w:rFonts w:cstheme="minorHAnsi"/>
        </w:rPr>
      </w:pPr>
      <w:r w:rsidRPr="00A26C26">
        <w:rPr>
          <w:rFonts w:cstheme="minorHAnsi"/>
        </w:rPr>
        <w:t>Dobra</w:t>
      </w:r>
      <w:r>
        <w:rPr>
          <w:rFonts w:cstheme="minorHAnsi"/>
        </w:rPr>
        <w:t xml:space="preserve"> </w:t>
      </w:r>
      <w:r w:rsidRPr="00A26C26">
        <w:rPr>
          <w:rFonts w:cstheme="minorHAnsi"/>
        </w:rPr>
        <w:t>baza</w:t>
      </w:r>
      <w:r>
        <w:rPr>
          <w:rFonts w:cstheme="minorHAnsi"/>
        </w:rPr>
        <w:t xml:space="preserve"> </w:t>
      </w:r>
      <w:r w:rsidRPr="00A26C26">
        <w:rPr>
          <w:rFonts w:cstheme="minorHAnsi"/>
        </w:rPr>
        <w:t>oświatowa</w:t>
      </w:r>
      <w:r>
        <w:rPr>
          <w:rFonts w:cstheme="minorHAnsi"/>
        </w:rPr>
        <w:t xml:space="preserve"> </w:t>
      </w:r>
      <w:r w:rsidRPr="00A26C26">
        <w:rPr>
          <w:rFonts w:cstheme="minorHAnsi"/>
        </w:rPr>
        <w:t>i</w:t>
      </w:r>
      <w:r>
        <w:rPr>
          <w:rFonts w:cstheme="minorHAnsi"/>
        </w:rPr>
        <w:t xml:space="preserve"> </w:t>
      </w:r>
      <w:r w:rsidRPr="00A26C26">
        <w:rPr>
          <w:rFonts w:cstheme="minorHAnsi"/>
        </w:rPr>
        <w:t>sportowa;</w:t>
      </w:r>
      <w:r>
        <w:rPr>
          <w:rFonts w:cstheme="minorHAnsi"/>
        </w:rPr>
        <w:t xml:space="preserve"> </w:t>
      </w:r>
      <w:r w:rsidRPr="00A26C26">
        <w:rPr>
          <w:rFonts w:cstheme="minorHAnsi"/>
        </w:rPr>
        <w:t>wykwalifikowana</w:t>
      </w:r>
      <w:r>
        <w:rPr>
          <w:rFonts w:cstheme="minorHAnsi"/>
        </w:rPr>
        <w:t xml:space="preserve"> </w:t>
      </w:r>
      <w:r w:rsidRPr="00A26C26">
        <w:rPr>
          <w:rFonts w:cstheme="minorHAnsi"/>
        </w:rPr>
        <w:t>kadra</w:t>
      </w:r>
      <w:r>
        <w:rPr>
          <w:rFonts w:cstheme="minorHAnsi"/>
        </w:rPr>
        <w:t xml:space="preserve"> </w:t>
      </w:r>
      <w:r w:rsidR="006B5841">
        <w:rPr>
          <w:rFonts w:cstheme="minorHAnsi"/>
        </w:rPr>
        <w:t>pedagogiczna</w:t>
      </w:r>
    </w:p>
    <w:p w14:paraId="7BF6A8FE" w14:textId="77777777" w:rsidR="0037597D" w:rsidRPr="00A26C26" w:rsidRDefault="0037597D" w:rsidP="008A412F">
      <w:pPr>
        <w:pStyle w:val="Akapitzlist"/>
        <w:numPr>
          <w:ilvl w:val="0"/>
          <w:numId w:val="47"/>
        </w:numPr>
        <w:spacing w:line="276" w:lineRule="auto"/>
        <w:contextualSpacing w:val="0"/>
        <w:rPr>
          <w:rFonts w:cstheme="minorHAnsi"/>
        </w:rPr>
      </w:pPr>
      <w:r w:rsidRPr="00A26C26">
        <w:rPr>
          <w:rFonts w:cstheme="minorHAnsi"/>
        </w:rPr>
        <w:t>Duży</w:t>
      </w:r>
      <w:r>
        <w:rPr>
          <w:rFonts w:cstheme="minorHAnsi"/>
        </w:rPr>
        <w:t xml:space="preserve"> </w:t>
      </w:r>
      <w:r w:rsidRPr="00A26C26">
        <w:rPr>
          <w:rFonts w:cstheme="minorHAnsi"/>
        </w:rPr>
        <w:t>potencjał</w:t>
      </w:r>
      <w:r>
        <w:rPr>
          <w:rFonts w:cstheme="minorHAnsi"/>
        </w:rPr>
        <w:t xml:space="preserve"> </w:t>
      </w:r>
      <w:r w:rsidRPr="00A26C26">
        <w:rPr>
          <w:rFonts w:cstheme="minorHAnsi"/>
        </w:rPr>
        <w:t>lokalnych</w:t>
      </w:r>
      <w:r>
        <w:rPr>
          <w:rFonts w:cstheme="minorHAnsi"/>
        </w:rPr>
        <w:t xml:space="preserve"> </w:t>
      </w:r>
      <w:r w:rsidRPr="00A26C26">
        <w:rPr>
          <w:rFonts w:cstheme="minorHAnsi"/>
        </w:rPr>
        <w:t>organizacji</w:t>
      </w:r>
      <w:r>
        <w:rPr>
          <w:rFonts w:cstheme="minorHAnsi"/>
        </w:rPr>
        <w:t xml:space="preserve"> </w:t>
      </w:r>
      <w:r w:rsidRPr="00A26C26">
        <w:rPr>
          <w:rFonts w:cstheme="minorHAnsi"/>
        </w:rPr>
        <w:t>pozarządowych</w:t>
      </w:r>
      <w:r>
        <w:rPr>
          <w:rFonts w:cstheme="minorHAnsi"/>
        </w:rPr>
        <w:t xml:space="preserve"> </w:t>
      </w:r>
      <w:r w:rsidRPr="00A26C26">
        <w:rPr>
          <w:rFonts w:cstheme="minorHAnsi"/>
        </w:rPr>
        <w:t>oraz</w:t>
      </w:r>
      <w:r>
        <w:rPr>
          <w:rFonts w:cstheme="minorHAnsi"/>
        </w:rPr>
        <w:t xml:space="preserve"> </w:t>
      </w:r>
      <w:r w:rsidRPr="00A26C26">
        <w:rPr>
          <w:rFonts w:cstheme="minorHAnsi"/>
        </w:rPr>
        <w:t>grup</w:t>
      </w:r>
      <w:r>
        <w:rPr>
          <w:rFonts w:cstheme="minorHAnsi"/>
        </w:rPr>
        <w:t xml:space="preserve"> </w:t>
      </w:r>
      <w:r w:rsidRPr="00A26C26">
        <w:rPr>
          <w:rFonts w:cstheme="minorHAnsi"/>
        </w:rPr>
        <w:t>nieformalnych</w:t>
      </w:r>
    </w:p>
    <w:p w14:paraId="40BE084B" w14:textId="77777777" w:rsidR="0037597D" w:rsidRPr="00A26C26" w:rsidRDefault="0037597D" w:rsidP="008A412F">
      <w:pPr>
        <w:pStyle w:val="Akapitzlist"/>
        <w:numPr>
          <w:ilvl w:val="0"/>
          <w:numId w:val="47"/>
        </w:numPr>
        <w:spacing w:line="276" w:lineRule="auto"/>
        <w:contextualSpacing w:val="0"/>
        <w:rPr>
          <w:rFonts w:cstheme="minorHAnsi"/>
        </w:rPr>
      </w:pPr>
      <w:r w:rsidRPr="00A26C26">
        <w:rPr>
          <w:rFonts w:cstheme="minorHAnsi"/>
        </w:rPr>
        <w:t>Współpraca</w:t>
      </w:r>
      <w:r>
        <w:rPr>
          <w:rFonts w:cstheme="minorHAnsi"/>
        </w:rPr>
        <w:t xml:space="preserve"> </w:t>
      </w:r>
      <w:r w:rsidRPr="00A26C26">
        <w:rPr>
          <w:rFonts w:cstheme="minorHAnsi"/>
        </w:rPr>
        <w:t>i</w:t>
      </w:r>
      <w:r>
        <w:rPr>
          <w:rFonts w:cstheme="minorHAnsi"/>
        </w:rPr>
        <w:t xml:space="preserve"> </w:t>
      </w:r>
      <w:r w:rsidRPr="00A26C26">
        <w:rPr>
          <w:rFonts w:cstheme="minorHAnsi"/>
        </w:rPr>
        <w:t>doświadczenie</w:t>
      </w:r>
      <w:r>
        <w:rPr>
          <w:rFonts w:cstheme="minorHAnsi"/>
        </w:rPr>
        <w:t xml:space="preserve"> </w:t>
      </w:r>
      <w:r w:rsidRPr="00A26C26">
        <w:rPr>
          <w:rFonts w:cstheme="minorHAnsi"/>
        </w:rPr>
        <w:t>organizacji</w:t>
      </w:r>
      <w:r>
        <w:rPr>
          <w:rFonts w:cstheme="minorHAnsi"/>
        </w:rPr>
        <w:t xml:space="preserve"> </w:t>
      </w:r>
      <w:r w:rsidRPr="00A26C26">
        <w:rPr>
          <w:rFonts w:cstheme="minorHAnsi"/>
        </w:rPr>
        <w:t>społecznych,</w:t>
      </w:r>
      <w:r>
        <w:rPr>
          <w:rFonts w:cstheme="minorHAnsi"/>
        </w:rPr>
        <w:t xml:space="preserve"> </w:t>
      </w:r>
      <w:r w:rsidRPr="00A26C26">
        <w:rPr>
          <w:rFonts w:cstheme="minorHAnsi"/>
        </w:rPr>
        <w:t>w</w:t>
      </w:r>
      <w:r>
        <w:rPr>
          <w:rFonts w:cstheme="minorHAnsi"/>
        </w:rPr>
        <w:t xml:space="preserve"> </w:t>
      </w:r>
      <w:r w:rsidRPr="00A26C26">
        <w:rPr>
          <w:rFonts w:cstheme="minorHAnsi"/>
        </w:rPr>
        <w:t>tym</w:t>
      </w:r>
      <w:r>
        <w:rPr>
          <w:rFonts w:cstheme="minorHAnsi"/>
        </w:rPr>
        <w:t xml:space="preserve"> </w:t>
      </w:r>
      <w:r w:rsidRPr="00A26C26">
        <w:rPr>
          <w:rFonts w:cstheme="minorHAnsi"/>
        </w:rPr>
        <w:t>PUP,</w:t>
      </w:r>
      <w:r>
        <w:rPr>
          <w:rFonts w:cstheme="minorHAnsi"/>
        </w:rPr>
        <w:t xml:space="preserve"> </w:t>
      </w:r>
      <w:r w:rsidRPr="00A26C26">
        <w:rPr>
          <w:rFonts w:cstheme="minorHAnsi"/>
        </w:rPr>
        <w:t>GOPS,</w:t>
      </w:r>
      <w:r>
        <w:rPr>
          <w:rFonts w:cstheme="minorHAnsi"/>
        </w:rPr>
        <w:t xml:space="preserve"> </w:t>
      </w:r>
      <w:r w:rsidRPr="00A26C26">
        <w:rPr>
          <w:rFonts w:cstheme="minorHAnsi"/>
        </w:rPr>
        <w:t>MGOPS</w:t>
      </w:r>
      <w:r>
        <w:rPr>
          <w:rFonts w:cstheme="minorHAnsi"/>
        </w:rPr>
        <w:t xml:space="preserve"> </w:t>
      </w:r>
      <w:r w:rsidRPr="00A26C26">
        <w:rPr>
          <w:rFonts w:cstheme="minorHAnsi"/>
        </w:rPr>
        <w:t>w</w:t>
      </w:r>
      <w:r>
        <w:rPr>
          <w:rFonts w:cstheme="minorHAnsi"/>
        </w:rPr>
        <w:t xml:space="preserve"> </w:t>
      </w:r>
      <w:r w:rsidRPr="00A26C26">
        <w:rPr>
          <w:rFonts w:cstheme="minorHAnsi"/>
        </w:rPr>
        <w:t>rozwiązywaniu</w:t>
      </w:r>
      <w:r>
        <w:rPr>
          <w:rFonts w:cstheme="minorHAnsi"/>
        </w:rPr>
        <w:t xml:space="preserve"> </w:t>
      </w:r>
      <w:r w:rsidRPr="00A26C26">
        <w:rPr>
          <w:rFonts w:cstheme="minorHAnsi"/>
        </w:rPr>
        <w:t>problemów</w:t>
      </w:r>
      <w:r>
        <w:rPr>
          <w:rFonts w:cstheme="minorHAnsi"/>
        </w:rPr>
        <w:t xml:space="preserve"> </w:t>
      </w:r>
      <w:r w:rsidRPr="00A26C26">
        <w:rPr>
          <w:rFonts w:cstheme="minorHAnsi"/>
        </w:rPr>
        <w:t>osób</w:t>
      </w:r>
      <w:r>
        <w:rPr>
          <w:rFonts w:cstheme="minorHAnsi"/>
        </w:rPr>
        <w:t xml:space="preserve"> </w:t>
      </w:r>
      <w:r w:rsidRPr="00A26C26">
        <w:rPr>
          <w:rFonts w:cstheme="minorHAnsi"/>
        </w:rPr>
        <w:t>w</w:t>
      </w:r>
      <w:r>
        <w:rPr>
          <w:rFonts w:cstheme="minorHAnsi"/>
        </w:rPr>
        <w:t xml:space="preserve"> </w:t>
      </w:r>
      <w:r w:rsidRPr="00A26C26">
        <w:rPr>
          <w:rFonts w:cstheme="minorHAnsi"/>
        </w:rPr>
        <w:t>niekorzystnej</w:t>
      </w:r>
      <w:r>
        <w:rPr>
          <w:rFonts w:cstheme="minorHAnsi"/>
        </w:rPr>
        <w:t xml:space="preserve"> </w:t>
      </w:r>
      <w:r w:rsidRPr="00A26C26">
        <w:rPr>
          <w:rFonts w:cstheme="minorHAnsi"/>
        </w:rPr>
        <w:t>sytuacji</w:t>
      </w:r>
    </w:p>
    <w:p w14:paraId="77CC0CE8" w14:textId="77777777" w:rsidR="0037597D" w:rsidRPr="00241A86" w:rsidRDefault="0037597D" w:rsidP="008A412F">
      <w:pPr>
        <w:pStyle w:val="Akapitzlist"/>
        <w:numPr>
          <w:ilvl w:val="0"/>
          <w:numId w:val="47"/>
        </w:numPr>
        <w:suppressAutoHyphens/>
        <w:spacing w:line="276" w:lineRule="auto"/>
        <w:rPr>
          <w:rFonts w:cstheme="minorHAnsi"/>
        </w:rPr>
      </w:pPr>
      <w:r w:rsidRPr="00241A86">
        <w:rPr>
          <w:rFonts w:cstheme="minorHAnsi"/>
        </w:rPr>
        <w:t>Orkiestry i zespoły ludowe</w:t>
      </w:r>
    </w:p>
    <w:p w14:paraId="390DB91B" w14:textId="77777777" w:rsidR="0037597D" w:rsidRDefault="0037597D" w:rsidP="0037597D">
      <w:pPr>
        <w:suppressAutoHyphens/>
        <w:spacing w:line="276" w:lineRule="auto"/>
        <w:rPr>
          <w:rFonts w:cstheme="minorHAnsi"/>
        </w:rPr>
      </w:pPr>
    </w:p>
    <w:p w14:paraId="1D1A12F2" w14:textId="5E830764" w:rsidR="00C675EC" w:rsidRDefault="00C675EC" w:rsidP="008A412F">
      <w:pPr>
        <w:pStyle w:val="Akapitzlist"/>
        <w:numPr>
          <w:ilvl w:val="0"/>
          <w:numId w:val="45"/>
        </w:numPr>
        <w:suppressAutoHyphens/>
        <w:spacing w:line="276" w:lineRule="auto"/>
        <w:rPr>
          <w:rFonts w:cstheme="minorHAnsi"/>
        </w:rPr>
      </w:pPr>
      <w:r w:rsidRPr="00A26C26">
        <w:rPr>
          <w:rFonts w:cstheme="minorHAnsi"/>
          <w:b/>
          <w:bCs/>
        </w:rPr>
        <w:t>Problem</w:t>
      </w:r>
      <w:r>
        <w:rPr>
          <w:rFonts w:cstheme="minorHAnsi"/>
          <w:b/>
          <w:bCs/>
        </w:rPr>
        <w:t xml:space="preserve"> </w:t>
      </w:r>
      <w:r w:rsidRPr="00A26C26">
        <w:rPr>
          <w:rFonts w:cstheme="minorHAnsi"/>
          <w:b/>
          <w:bCs/>
        </w:rPr>
        <w:t>kluczowy</w:t>
      </w:r>
      <w:r w:rsidR="0037597D">
        <w:rPr>
          <w:rFonts w:cstheme="minorHAnsi"/>
          <w:b/>
          <w:bCs/>
        </w:rPr>
        <w:t xml:space="preserve"> 2</w:t>
      </w:r>
      <w:r>
        <w:rPr>
          <w:rFonts w:cstheme="minorHAnsi"/>
          <w:b/>
          <w:bCs/>
        </w:rPr>
        <w:t xml:space="preserve">: </w:t>
      </w:r>
      <w:r w:rsidRPr="00A26C26">
        <w:rPr>
          <w:rFonts w:cstheme="minorHAnsi"/>
        </w:rPr>
        <w:t>Niewystarczający</w:t>
      </w:r>
      <w:r>
        <w:rPr>
          <w:rFonts w:cstheme="minorHAnsi"/>
        </w:rPr>
        <w:t xml:space="preserve"> </w:t>
      </w:r>
      <w:r w:rsidRPr="00A26C26">
        <w:rPr>
          <w:rFonts w:cstheme="minorHAnsi"/>
        </w:rPr>
        <w:t>dostęp</w:t>
      </w:r>
      <w:r>
        <w:rPr>
          <w:rFonts w:cstheme="minorHAnsi"/>
        </w:rPr>
        <w:t xml:space="preserve"> </w:t>
      </w:r>
      <w:r w:rsidRPr="00A26C26">
        <w:rPr>
          <w:rFonts w:cstheme="minorHAnsi"/>
        </w:rPr>
        <w:t>usług</w:t>
      </w:r>
      <w:r>
        <w:rPr>
          <w:rFonts w:cstheme="minorHAnsi"/>
        </w:rPr>
        <w:t xml:space="preserve"> </w:t>
      </w:r>
      <w:r w:rsidRPr="00A26C26">
        <w:rPr>
          <w:rFonts w:cstheme="minorHAnsi"/>
        </w:rPr>
        <w:t>dla</w:t>
      </w:r>
      <w:r>
        <w:rPr>
          <w:rFonts w:cstheme="minorHAnsi"/>
        </w:rPr>
        <w:t xml:space="preserve"> </w:t>
      </w:r>
      <w:r w:rsidRPr="00A26C26">
        <w:rPr>
          <w:rFonts w:cstheme="minorHAnsi"/>
        </w:rPr>
        <w:t>lokalnej</w:t>
      </w:r>
      <w:r>
        <w:rPr>
          <w:rFonts w:cstheme="minorHAnsi"/>
        </w:rPr>
        <w:t xml:space="preserve"> </w:t>
      </w:r>
      <w:r w:rsidRPr="00A26C26">
        <w:rPr>
          <w:rFonts w:cstheme="minorHAnsi"/>
        </w:rPr>
        <w:t>społeczności,</w:t>
      </w:r>
      <w:r>
        <w:rPr>
          <w:rFonts w:cstheme="minorHAnsi"/>
        </w:rPr>
        <w:t xml:space="preserve"> </w:t>
      </w:r>
      <w:r w:rsidRPr="00A26C26">
        <w:rPr>
          <w:rFonts w:cstheme="minorHAnsi"/>
        </w:rPr>
        <w:t>co</w:t>
      </w:r>
      <w:r>
        <w:rPr>
          <w:rFonts w:cstheme="minorHAnsi"/>
        </w:rPr>
        <w:t xml:space="preserve"> </w:t>
      </w:r>
      <w:r w:rsidRPr="00A26C26">
        <w:rPr>
          <w:rFonts w:cstheme="minorHAnsi"/>
        </w:rPr>
        <w:t>dotyczy</w:t>
      </w:r>
      <w:r>
        <w:rPr>
          <w:rFonts w:cstheme="minorHAnsi"/>
        </w:rPr>
        <w:t xml:space="preserve"> </w:t>
      </w:r>
      <w:r w:rsidRPr="00A26C26">
        <w:rPr>
          <w:rFonts w:cstheme="minorHAnsi"/>
        </w:rPr>
        <w:t>zarówno</w:t>
      </w:r>
      <w:r>
        <w:rPr>
          <w:rFonts w:cstheme="minorHAnsi"/>
        </w:rPr>
        <w:t xml:space="preserve"> </w:t>
      </w:r>
      <w:r w:rsidRPr="00A26C26">
        <w:rPr>
          <w:rFonts w:cstheme="minorHAnsi"/>
        </w:rPr>
        <w:t>niskiego</w:t>
      </w:r>
      <w:r>
        <w:rPr>
          <w:rFonts w:cstheme="minorHAnsi"/>
        </w:rPr>
        <w:t xml:space="preserve"> </w:t>
      </w:r>
      <w:r w:rsidRPr="00A26C26">
        <w:rPr>
          <w:rFonts w:cstheme="minorHAnsi"/>
        </w:rPr>
        <w:t>poziomu</w:t>
      </w:r>
      <w:r>
        <w:rPr>
          <w:rFonts w:cstheme="minorHAnsi"/>
        </w:rPr>
        <w:t xml:space="preserve"> </w:t>
      </w:r>
      <w:r w:rsidRPr="00A26C26">
        <w:rPr>
          <w:rFonts w:cstheme="minorHAnsi"/>
        </w:rPr>
        <w:t>przedsiębiorczości,</w:t>
      </w:r>
      <w:r>
        <w:rPr>
          <w:rFonts w:cstheme="minorHAnsi"/>
        </w:rPr>
        <w:t xml:space="preserve"> </w:t>
      </w:r>
      <w:r w:rsidRPr="00A26C26">
        <w:rPr>
          <w:rFonts w:cstheme="minorHAnsi"/>
        </w:rPr>
        <w:t>w</w:t>
      </w:r>
      <w:r>
        <w:rPr>
          <w:rFonts w:cstheme="minorHAnsi"/>
        </w:rPr>
        <w:t xml:space="preserve"> </w:t>
      </w:r>
      <w:r w:rsidRPr="00A26C26">
        <w:rPr>
          <w:rFonts w:cstheme="minorHAnsi"/>
        </w:rPr>
        <w:t>tym</w:t>
      </w:r>
      <w:r>
        <w:rPr>
          <w:rFonts w:cstheme="minorHAnsi"/>
        </w:rPr>
        <w:t xml:space="preserve"> </w:t>
      </w:r>
      <w:r w:rsidRPr="00A26C26">
        <w:rPr>
          <w:rFonts w:cstheme="minorHAnsi"/>
        </w:rPr>
        <w:t>również</w:t>
      </w:r>
      <w:r>
        <w:rPr>
          <w:rFonts w:cstheme="minorHAnsi"/>
        </w:rPr>
        <w:t xml:space="preserve"> </w:t>
      </w:r>
      <w:r w:rsidRPr="00A26C26">
        <w:rPr>
          <w:rFonts w:cstheme="minorHAnsi"/>
        </w:rPr>
        <w:t>małych</w:t>
      </w:r>
      <w:r>
        <w:rPr>
          <w:rFonts w:cstheme="minorHAnsi"/>
        </w:rPr>
        <w:t xml:space="preserve"> </w:t>
      </w:r>
      <w:r w:rsidRPr="00A26C26">
        <w:rPr>
          <w:rFonts w:cstheme="minorHAnsi"/>
        </w:rPr>
        <w:t>gospodarstw</w:t>
      </w:r>
      <w:r>
        <w:rPr>
          <w:rFonts w:cstheme="minorHAnsi"/>
        </w:rPr>
        <w:t xml:space="preserve"> </w:t>
      </w:r>
      <w:r w:rsidRPr="00A26C26">
        <w:rPr>
          <w:rFonts w:cstheme="minorHAnsi"/>
        </w:rPr>
        <w:t>rolnych.</w:t>
      </w:r>
      <w:r>
        <w:rPr>
          <w:rFonts w:cstheme="minorHAnsi"/>
        </w:rPr>
        <w:t xml:space="preserve"> </w:t>
      </w:r>
    </w:p>
    <w:tbl>
      <w:tblPr>
        <w:tblStyle w:val="Tabela-Siatka1"/>
        <w:tblW w:w="9922" w:type="dxa"/>
        <w:tblInd w:w="279" w:type="dxa"/>
        <w:tblLayout w:type="fixed"/>
        <w:tblLook w:val="04A0" w:firstRow="1" w:lastRow="0" w:firstColumn="1" w:lastColumn="0" w:noHBand="0" w:noVBand="1"/>
      </w:tblPr>
      <w:tblGrid>
        <w:gridCol w:w="4649"/>
        <w:gridCol w:w="2551"/>
        <w:gridCol w:w="2722"/>
      </w:tblGrid>
      <w:tr w:rsidR="00361A71" w:rsidRPr="001416B5" w14:paraId="3AC1B3F9" w14:textId="77777777" w:rsidTr="003E19E8">
        <w:tc>
          <w:tcPr>
            <w:tcW w:w="4649" w:type="dxa"/>
            <w:shd w:val="clear" w:color="auto" w:fill="D9E2F3" w:themeFill="accent1" w:themeFillTint="33"/>
          </w:tcPr>
          <w:p w14:paraId="1DB9A40C" w14:textId="77777777" w:rsidR="00361A71" w:rsidRPr="001416B5" w:rsidRDefault="00361A71" w:rsidP="001416B5">
            <w:pPr>
              <w:spacing w:line="276" w:lineRule="auto"/>
              <w:jc w:val="center"/>
              <w:rPr>
                <w:rFonts w:cstheme="minorHAnsi"/>
              </w:rPr>
            </w:pPr>
            <w:r w:rsidRPr="001416B5">
              <w:rPr>
                <w:rFonts w:cstheme="minorHAnsi"/>
              </w:rPr>
              <w:t>Przyczyny</w:t>
            </w:r>
          </w:p>
        </w:tc>
        <w:tc>
          <w:tcPr>
            <w:tcW w:w="2551" w:type="dxa"/>
            <w:shd w:val="clear" w:color="auto" w:fill="D9E2F3" w:themeFill="accent1" w:themeFillTint="33"/>
          </w:tcPr>
          <w:p w14:paraId="75D734BA" w14:textId="77777777" w:rsidR="00361A71" w:rsidRPr="001416B5" w:rsidRDefault="00361A71" w:rsidP="001416B5">
            <w:pPr>
              <w:spacing w:line="276" w:lineRule="auto"/>
              <w:jc w:val="center"/>
              <w:rPr>
                <w:rFonts w:cstheme="minorHAnsi"/>
              </w:rPr>
            </w:pPr>
            <w:r w:rsidRPr="001416B5">
              <w:rPr>
                <w:rFonts w:cstheme="minorHAnsi"/>
              </w:rPr>
              <w:t>Grupy docelowe istotne z punktu widzenia LSR</w:t>
            </w:r>
          </w:p>
        </w:tc>
        <w:tc>
          <w:tcPr>
            <w:tcW w:w="2722" w:type="dxa"/>
            <w:shd w:val="clear" w:color="auto" w:fill="D9E2F3" w:themeFill="accent1" w:themeFillTint="33"/>
          </w:tcPr>
          <w:p w14:paraId="5C0EB1A3" w14:textId="77777777" w:rsidR="00361A71" w:rsidRPr="001416B5" w:rsidRDefault="00361A71" w:rsidP="001416B5">
            <w:pPr>
              <w:spacing w:line="276" w:lineRule="auto"/>
              <w:jc w:val="center"/>
              <w:rPr>
                <w:rFonts w:cstheme="minorHAnsi"/>
              </w:rPr>
            </w:pPr>
            <w:r w:rsidRPr="001416B5">
              <w:rPr>
                <w:rFonts w:cstheme="minorHAnsi"/>
              </w:rPr>
              <w:t>Najważniejsze obszary, na które może mieć wpływ LSR</w:t>
            </w:r>
          </w:p>
        </w:tc>
      </w:tr>
      <w:tr w:rsidR="0037597D" w:rsidRPr="00A26C26" w14:paraId="1D2A1115" w14:textId="77777777" w:rsidTr="003E19E8">
        <w:tc>
          <w:tcPr>
            <w:tcW w:w="4649" w:type="dxa"/>
          </w:tcPr>
          <w:p w14:paraId="0666ADA9" w14:textId="2E4DBE41" w:rsidR="0037597D" w:rsidRPr="00A26C26" w:rsidRDefault="0037597D" w:rsidP="008A412F">
            <w:pPr>
              <w:pStyle w:val="Akapitzlist"/>
              <w:numPr>
                <w:ilvl w:val="0"/>
                <w:numId w:val="17"/>
              </w:numPr>
              <w:spacing w:line="276" w:lineRule="auto"/>
              <w:ind w:left="173" w:hanging="173"/>
              <w:contextualSpacing w:val="0"/>
              <w:rPr>
                <w:rFonts w:cstheme="minorHAnsi"/>
              </w:rPr>
            </w:pPr>
            <w:r w:rsidRPr="00A26C26">
              <w:rPr>
                <w:rFonts w:cstheme="minorHAnsi"/>
              </w:rPr>
              <w:t>Niewystarczająca</w:t>
            </w:r>
            <w:r>
              <w:rPr>
                <w:rFonts w:cstheme="minorHAnsi"/>
              </w:rPr>
              <w:t xml:space="preserve"> </w:t>
            </w:r>
            <w:r w:rsidRPr="00A26C26">
              <w:rPr>
                <w:rFonts w:cstheme="minorHAnsi"/>
              </w:rPr>
              <w:t>baza</w:t>
            </w:r>
            <w:r>
              <w:rPr>
                <w:rFonts w:cstheme="minorHAnsi"/>
              </w:rPr>
              <w:t xml:space="preserve"> </w:t>
            </w:r>
            <w:r w:rsidRPr="00A26C26">
              <w:rPr>
                <w:rFonts w:cstheme="minorHAnsi"/>
              </w:rPr>
              <w:t>noclegowa</w:t>
            </w:r>
          </w:p>
          <w:p w14:paraId="2C20DFF2" w14:textId="30B642D8" w:rsidR="0037597D" w:rsidRPr="00A26C26" w:rsidRDefault="0037597D" w:rsidP="008A412F">
            <w:pPr>
              <w:pStyle w:val="Akapitzlist"/>
              <w:numPr>
                <w:ilvl w:val="0"/>
                <w:numId w:val="17"/>
              </w:numPr>
              <w:spacing w:line="276" w:lineRule="auto"/>
              <w:ind w:left="173" w:hanging="173"/>
              <w:contextualSpacing w:val="0"/>
              <w:rPr>
                <w:rFonts w:cstheme="minorHAnsi"/>
              </w:rPr>
            </w:pPr>
            <w:r w:rsidRPr="00A26C26">
              <w:rPr>
                <w:rFonts w:cstheme="minorHAnsi"/>
              </w:rPr>
              <w:t>Niewielka</w:t>
            </w:r>
            <w:r>
              <w:rPr>
                <w:rFonts w:cstheme="minorHAnsi"/>
              </w:rPr>
              <w:t xml:space="preserve"> </w:t>
            </w:r>
            <w:r w:rsidRPr="00A26C26">
              <w:rPr>
                <w:rFonts w:cstheme="minorHAnsi"/>
              </w:rPr>
              <w:t>ilość</w:t>
            </w:r>
            <w:r>
              <w:rPr>
                <w:rFonts w:cstheme="minorHAnsi"/>
              </w:rPr>
              <w:t xml:space="preserve"> </w:t>
            </w:r>
            <w:r w:rsidRPr="00A26C26">
              <w:rPr>
                <w:rFonts w:cstheme="minorHAnsi"/>
              </w:rPr>
              <w:t>podmiotów</w:t>
            </w:r>
            <w:r>
              <w:rPr>
                <w:rFonts w:cstheme="minorHAnsi"/>
              </w:rPr>
              <w:t xml:space="preserve"> </w:t>
            </w:r>
            <w:r w:rsidRPr="00A26C26">
              <w:rPr>
                <w:rFonts w:cstheme="minorHAnsi"/>
              </w:rPr>
              <w:t>turystycznych</w:t>
            </w:r>
          </w:p>
          <w:p w14:paraId="043C1F8F" w14:textId="53107E8D" w:rsidR="0037597D" w:rsidRPr="00A26C26" w:rsidRDefault="0037597D" w:rsidP="008A412F">
            <w:pPr>
              <w:pStyle w:val="Akapitzlist"/>
              <w:numPr>
                <w:ilvl w:val="0"/>
                <w:numId w:val="17"/>
              </w:numPr>
              <w:spacing w:line="276" w:lineRule="auto"/>
              <w:ind w:left="173" w:hanging="173"/>
              <w:contextualSpacing w:val="0"/>
              <w:rPr>
                <w:rFonts w:cstheme="minorHAnsi"/>
              </w:rPr>
            </w:pPr>
            <w:r w:rsidRPr="00A26C26">
              <w:rPr>
                <w:rFonts w:cstheme="minorHAnsi"/>
              </w:rPr>
              <w:t>Ucieczka</w:t>
            </w:r>
            <w:r>
              <w:rPr>
                <w:rFonts w:cstheme="minorHAnsi"/>
              </w:rPr>
              <w:t xml:space="preserve"> </w:t>
            </w:r>
            <w:r w:rsidRPr="00A26C26">
              <w:rPr>
                <w:rFonts w:cstheme="minorHAnsi"/>
              </w:rPr>
              <w:t>ze</w:t>
            </w:r>
            <w:r>
              <w:rPr>
                <w:rFonts w:cstheme="minorHAnsi"/>
              </w:rPr>
              <w:t xml:space="preserve"> </w:t>
            </w:r>
            <w:r w:rsidRPr="00A26C26">
              <w:rPr>
                <w:rFonts w:cstheme="minorHAnsi"/>
              </w:rPr>
              <w:t>wsi</w:t>
            </w:r>
            <w:r>
              <w:rPr>
                <w:rFonts w:cstheme="minorHAnsi"/>
              </w:rPr>
              <w:t xml:space="preserve"> </w:t>
            </w:r>
            <w:r w:rsidRPr="00A26C26">
              <w:rPr>
                <w:rFonts w:cstheme="minorHAnsi"/>
              </w:rPr>
              <w:t>młodych,</w:t>
            </w:r>
            <w:r>
              <w:rPr>
                <w:rFonts w:cstheme="minorHAnsi"/>
              </w:rPr>
              <w:t xml:space="preserve"> </w:t>
            </w:r>
            <w:r w:rsidRPr="00A26C26">
              <w:rPr>
                <w:rFonts w:cstheme="minorHAnsi"/>
              </w:rPr>
              <w:t>wykształconych</w:t>
            </w:r>
            <w:r>
              <w:rPr>
                <w:rFonts w:cstheme="minorHAnsi"/>
              </w:rPr>
              <w:t xml:space="preserve"> </w:t>
            </w:r>
            <w:r w:rsidRPr="00A26C26">
              <w:rPr>
                <w:rFonts w:cstheme="minorHAnsi"/>
              </w:rPr>
              <w:t>osób</w:t>
            </w:r>
          </w:p>
          <w:p w14:paraId="11935FDC" w14:textId="77777777" w:rsidR="0037597D" w:rsidRPr="00A26C26" w:rsidRDefault="0037597D" w:rsidP="008A412F">
            <w:pPr>
              <w:pStyle w:val="Akapitzlist"/>
              <w:numPr>
                <w:ilvl w:val="0"/>
                <w:numId w:val="17"/>
              </w:numPr>
              <w:spacing w:line="276" w:lineRule="auto"/>
              <w:ind w:left="173" w:hanging="173"/>
              <w:contextualSpacing w:val="0"/>
              <w:rPr>
                <w:rFonts w:cstheme="minorHAnsi"/>
              </w:rPr>
            </w:pPr>
            <w:r w:rsidRPr="00A26C26">
              <w:rPr>
                <w:rFonts w:cstheme="minorHAnsi"/>
              </w:rPr>
              <w:t>Bezrobocie</w:t>
            </w:r>
          </w:p>
          <w:p w14:paraId="5DD12328" w14:textId="5D53C44A" w:rsidR="0037597D" w:rsidRPr="00A26C26" w:rsidRDefault="0037597D" w:rsidP="008A412F">
            <w:pPr>
              <w:pStyle w:val="Akapitzlist"/>
              <w:numPr>
                <w:ilvl w:val="0"/>
                <w:numId w:val="17"/>
              </w:numPr>
              <w:spacing w:line="276" w:lineRule="auto"/>
              <w:ind w:left="173" w:hanging="173"/>
              <w:contextualSpacing w:val="0"/>
              <w:rPr>
                <w:rFonts w:cstheme="minorHAnsi"/>
              </w:rPr>
            </w:pPr>
            <w:r w:rsidRPr="00A26C26">
              <w:rPr>
                <w:rFonts w:cstheme="minorHAnsi"/>
              </w:rPr>
              <w:t>Duża</w:t>
            </w:r>
            <w:r>
              <w:rPr>
                <w:rFonts w:cstheme="minorHAnsi"/>
              </w:rPr>
              <w:t xml:space="preserve"> </w:t>
            </w:r>
            <w:r w:rsidRPr="00A26C26">
              <w:rPr>
                <w:rFonts w:cstheme="minorHAnsi"/>
              </w:rPr>
              <w:t>liczba</w:t>
            </w:r>
            <w:r>
              <w:rPr>
                <w:rFonts w:cstheme="minorHAnsi"/>
              </w:rPr>
              <w:t xml:space="preserve"> </w:t>
            </w:r>
            <w:r w:rsidRPr="00A26C26">
              <w:rPr>
                <w:rFonts w:cstheme="minorHAnsi"/>
              </w:rPr>
              <w:t>małych,</w:t>
            </w:r>
            <w:r>
              <w:rPr>
                <w:rFonts w:cstheme="minorHAnsi"/>
              </w:rPr>
              <w:t xml:space="preserve"> </w:t>
            </w:r>
            <w:r w:rsidRPr="00A26C26">
              <w:rPr>
                <w:rFonts w:cstheme="minorHAnsi"/>
              </w:rPr>
              <w:t>niedochodowych</w:t>
            </w:r>
            <w:r>
              <w:rPr>
                <w:rFonts w:cstheme="minorHAnsi"/>
              </w:rPr>
              <w:t xml:space="preserve"> </w:t>
            </w:r>
            <w:r w:rsidRPr="00A26C26">
              <w:rPr>
                <w:rFonts w:cstheme="minorHAnsi"/>
              </w:rPr>
              <w:t>gospodarstw</w:t>
            </w:r>
            <w:r>
              <w:rPr>
                <w:rFonts w:cstheme="minorHAnsi"/>
              </w:rPr>
              <w:t xml:space="preserve"> </w:t>
            </w:r>
            <w:r w:rsidRPr="00A26C26">
              <w:rPr>
                <w:rFonts w:cstheme="minorHAnsi"/>
              </w:rPr>
              <w:t>rolnych</w:t>
            </w:r>
          </w:p>
          <w:p w14:paraId="3B3EA420" w14:textId="3B542CFC" w:rsidR="0037597D" w:rsidRPr="00A26C26" w:rsidRDefault="0037597D" w:rsidP="008A412F">
            <w:pPr>
              <w:pStyle w:val="Akapitzlist"/>
              <w:numPr>
                <w:ilvl w:val="0"/>
                <w:numId w:val="17"/>
              </w:numPr>
              <w:spacing w:line="276" w:lineRule="auto"/>
              <w:ind w:left="173" w:hanging="173"/>
              <w:contextualSpacing w:val="0"/>
              <w:rPr>
                <w:rFonts w:cstheme="minorHAnsi"/>
              </w:rPr>
            </w:pPr>
            <w:r w:rsidRPr="00A26C26">
              <w:rPr>
                <w:rFonts w:cstheme="minorHAnsi"/>
              </w:rPr>
              <w:t>Niskie</w:t>
            </w:r>
            <w:r>
              <w:rPr>
                <w:rFonts w:cstheme="minorHAnsi"/>
              </w:rPr>
              <w:t xml:space="preserve"> </w:t>
            </w:r>
            <w:r w:rsidRPr="00A26C26">
              <w:rPr>
                <w:rFonts w:cstheme="minorHAnsi"/>
              </w:rPr>
              <w:t>dochody</w:t>
            </w:r>
            <w:r>
              <w:rPr>
                <w:rFonts w:cstheme="minorHAnsi"/>
              </w:rPr>
              <w:t xml:space="preserve"> </w:t>
            </w:r>
            <w:r w:rsidRPr="00A26C26">
              <w:rPr>
                <w:rFonts w:cstheme="minorHAnsi"/>
              </w:rPr>
              <w:t>mieszkańców</w:t>
            </w:r>
          </w:p>
          <w:p w14:paraId="6D2B3D5C" w14:textId="0D8B95AE" w:rsidR="0037597D" w:rsidRPr="00A26C26" w:rsidRDefault="0037597D" w:rsidP="008A412F">
            <w:pPr>
              <w:pStyle w:val="Akapitzlist"/>
              <w:numPr>
                <w:ilvl w:val="0"/>
                <w:numId w:val="17"/>
              </w:numPr>
              <w:spacing w:line="276" w:lineRule="auto"/>
              <w:ind w:left="173" w:hanging="173"/>
              <w:contextualSpacing w:val="0"/>
              <w:rPr>
                <w:rFonts w:cstheme="minorHAnsi"/>
              </w:rPr>
            </w:pPr>
            <w:r w:rsidRPr="00A26C26">
              <w:rPr>
                <w:rFonts w:cstheme="minorHAnsi"/>
              </w:rPr>
              <w:t>Ograniczenia</w:t>
            </w:r>
            <w:r>
              <w:rPr>
                <w:rFonts w:cstheme="minorHAnsi"/>
              </w:rPr>
              <w:t xml:space="preserve"> </w:t>
            </w:r>
            <w:r w:rsidRPr="00A26C26">
              <w:rPr>
                <w:rFonts w:cstheme="minorHAnsi"/>
              </w:rPr>
              <w:t>wynikające</w:t>
            </w:r>
            <w:r>
              <w:rPr>
                <w:rFonts w:cstheme="minorHAnsi"/>
              </w:rPr>
              <w:t xml:space="preserve"> </w:t>
            </w:r>
            <w:r w:rsidRPr="00A26C26">
              <w:rPr>
                <w:rFonts w:cstheme="minorHAnsi"/>
              </w:rPr>
              <w:t>z</w:t>
            </w:r>
            <w:r>
              <w:rPr>
                <w:rFonts w:cstheme="minorHAnsi"/>
              </w:rPr>
              <w:t xml:space="preserve"> </w:t>
            </w:r>
            <w:r w:rsidRPr="00A26C26">
              <w:rPr>
                <w:rFonts w:cstheme="minorHAnsi"/>
              </w:rPr>
              <w:t>NATURY</w:t>
            </w:r>
            <w:r>
              <w:rPr>
                <w:rFonts w:cstheme="minorHAnsi"/>
              </w:rPr>
              <w:t xml:space="preserve"> </w:t>
            </w:r>
            <w:r w:rsidRPr="00A26C26">
              <w:rPr>
                <w:rFonts w:cstheme="minorHAnsi"/>
              </w:rPr>
              <w:t>2000</w:t>
            </w:r>
          </w:p>
          <w:p w14:paraId="2EDDD52E" w14:textId="6983DEF3" w:rsidR="0037597D" w:rsidRPr="00A26C26" w:rsidRDefault="0037597D" w:rsidP="008A412F">
            <w:pPr>
              <w:pStyle w:val="Akapitzlist"/>
              <w:numPr>
                <w:ilvl w:val="0"/>
                <w:numId w:val="17"/>
              </w:numPr>
              <w:spacing w:line="276" w:lineRule="auto"/>
              <w:ind w:left="173" w:hanging="173"/>
              <w:contextualSpacing w:val="0"/>
              <w:rPr>
                <w:rFonts w:cstheme="minorHAnsi"/>
              </w:rPr>
            </w:pPr>
            <w:r w:rsidRPr="00A26C26">
              <w:rPr>
                <w:rFonts w:cstheme="minorHAnsi"/>
              </w:rPr>
              <w:t>Niewielka</w:t>
            </w:r>
            <w:r>
              <w:rPr>
                <w:rFonts w:cstheme="minorHAnsi"/>
              </w:rPr>
              <w:t xml:space="preserve"> </w:t>
            </w:r>
            <w:r w:rsidRPr="00A26C26">
              <w:rPr>
                <w:rFonts w:cstheme="minorHAnsi"/>
              </w:rPr>
              <w:t>liczba</w:t>
            </w:r>
            <w:r>
              <w:rPr>
                <w:rFonts w:cstheme="minorHAnsi"/>
              </w:rPr>
              <w:t xml:space="preserve"> </w:t>
            </w:r>
            <w:r w:rsidRPr="00A26C26">
              <w:rPr>
                <w:rFonts w:cstheme="minorHAnsi"/>
              </w:rPr>
              <w:t>i</w:t>
            </w:r>
            <w:r>
              <w:rPr>
                <w:rFonts w:cstheme="minorHAnsi"/>
              </w:rPr>
              <w:t xml:space="preserve"> </w:t>
            </w:r>
            <w:r w:rsidRPr="00A26C26">
              <w:rPr>
                <w:rFonts w:cstheme="minorHAnsi"/>
              </w:rPr>
              <w:t>słaba</w:t>
            </w:r>
            <w:r>
              <w:rPr>
                <w:rFonts w:cstheme="minorHAnsi"/>
              </w:rPr>
              <w:t xml:space="preserve"> </w:t>
            </w:r>
            <w:r w:rsidRPr="00A26C26">
              <w:rPr>
                <w:rFonts w:cstheme="minorHAnsi"/>
              </w:rPr>
              <w:t>promocja</w:t>
            </w:r>
            <w:r>
              <w:rPr>
                <w:rFonts w:cstheme="minorHAnsi"/>
              </w:rPr>
              <w:t xml:space="preserve"> </w:t>
            </w:r>
            <w:r w:rsidRPr="00A26C26">
              <w:rPr>
                <w:rFonts w:cstheme="minorHAnsi"/>
              </w:rPr>
              <w:t>produktów</w:t>
            </w:r>
            <w:r>
              <w:rPr>
                <w:rFonts w:cstheme="minorHAnsi"/>
              </w:rPr>
              <w:t xml:space="preserve"> </w:t>
            </w:r>
            <w:r w:rsidRPr="00A26C26">
              <w:rPr>
                <w:rFonts w:cstheme="minorHAnsi"/>
              </w:rPr>
              <w:t>lokalnych</w:t>
            </w:r>
            <w:r>
              <w:rPr>
                <w:rFonts w:cstheme="minorHAnsi"/>
              </w:rPr>
              <w:t xml:space="preserve"> </w:t>
            </w:r>
            <w:r w:rsidRPr="00A26C26">
              <w:rPr>
                <w:rFonts w:cstheme="minorHAnsi"/>
              </w:rPr>
              <w:t>z</w:t>
            </w:r>
            <w:r>
              <w:rPr>
                <w:rFonts w:cstheme="minorHAnsi"/>
              </w:rPr>
              <w:t xml:space="preserve"> </w:t>
            </w:r>
            <w:r w:rsidRPr="00A26C26">
              <w:rPr>
                <w:rFonts w:cstheme="minorHAnsi"/>
              </w:rPr>
              <w:t>terenu</w:t>
            </w:r>
            <w:r>
              <w:rPr>
                <w:rFonts w:cstheme="minorHAnsi"/>
              </w:rPr>
              <w:t xml:space="preserve"> </w:t>
            </w:r>
            <w:r w:rsidRPr="00A26C26">
              <w:rPr>
                <w:rFonts w:cstheme="minorHAnsi"/>
              </w:rPr>
              <w:t>LGD;</w:t>
            </w:r>
            <w:r>
              <w:rPr>
                <w:rFonts w:cstheme="minorHAnsi"/>
              </w:rPr>
              <w:t xml:space="preserve"> </w:t>
            </w:r>
            <w:r w:rsidRPr="00A26C26">
              <w:rPr>
                <w:rFonts w:cstheme="minorHAnsi"/>
              </w:rPr>
              <w:t>Słaba</w:t>
            </w:r>
            <w:r>
              <w:rPr>
                <w:rFonts w:cstheme="minorHAnsi"/>
              </w:rPr>
              <w:t xml:space="preserve"> </w:t>
            </w:r>
            <w:r w:rsidRPr="00A26C26">
              <w:rPr>
                <w:rFonts w:cstheme="minorHAnsi"/>
              </w:rPr>
              <w:t>rozpoznawalność</w:t>
            </w:r>
            <w:r>
              <w:rPr>
                <w:rFonts w:cstheme="minorHAnsi"/>
              </w:rPr>
              <w:t xml:space="preserve"> </w:t>
            </w:r>
            <w:r w:rsidRPr="00A26C26">
              <w:rPr>
                <w:rFonts w:cstheme="minorHAnsi"/>
              </w:rPr>
              <w:t>produktów</w:t>
            </w:r>
            <w:r>
              <w:rPr>
                <w:rFonts w:cstheme="minorHAnsi"/>
              </w:rPr>
              <w:t xml:space="preserve"> </w:t>
            </w:r>
            <w:r w:rsidRPr="00A26C26">
              <w:rPr>
                <w:rFonts w:cstheme="minorHAnsi"/>
              </w:rPr>
              <w:t>lokalnych</w:t>
            </w:r>
          </w:p>
          <w:p w14:paraId="01E2CDA9" w14:textId="4D2445AE" w:rsidR="0037597D" w:rsidRPr="00C675EC" w:rsidRDefault="0037597D" w:rsidP="008A412F">
            <w:pPr>
              <w:pStyle w:val="Akapitzlist"/>
              <w:numPr>
                <w:ilvl w:val="0"/>
                <w:numId w:val="17"/>
              </w:numPr>
              <w:spacing w:line="276" w:lineRule="auto"/>
              <w:ind w:left="173" w:hanging="173"/>
              <w:contextualSpacing w:val="0"/>
              <w:rPr>
                <w:rFonts w:cstheme="minorHAnsi"/>
              </w:rPr>
            </w:pPr>
            <w:r w:rsidRPr="00A26C26">
              <w:rPr>
                <w:rFonts w:cstheme="minorHAnsi"/>
              </w:rPr>
              <w:t>Brak</w:t>
            </w:r>
            <w:r>
              <w:rPr>
                <w:rFonts w:cstheme="minorHAnsi"/>
              </w:rPr>
              <w:t xml:space="preserve"> </w:t>
            </w:r>
            <w:r w:rsidRPr="00A26C26">
              <w:rPr>
                <w:rFonts w:cstheme="minorHAnsi"/>
              </w:rPr>
              <w:t>ogólnego</w:t>
            </w:r>
            <w:r>
              <w:rPr>
                <w:rFonts w:cstheme="minorHAnsi"/>
              </w:rPr>
              <w:t xml:space="preserve"> </w:t>
            </w:r>
            <w:r w:rsidRPr="00A26C26">
              <w:rPr>
                <w:rFonts w:cstheme="minorHAnsi"/>
              </w:rPr>
              <w:t>rozpoznania</w:t>
            </w:r>
            <w:r>
              <w:rPr>
                <w:rFonts w:cstheme="minorHAnsi"/>
              </w:rPr>
              <w:t xml:space="preserve"> </w:t>
            </w:r>
            <w:r w:rsidRPr="00A26C26">
              <w:rPr>
                <w:rFonts w:cstheme="minorHAnsi"/>
              </w:rPr>
              <w:t>rynku</w:t>
            </w:r>
            <w:r>
              <w:rPr>
                <w:rFonts w:cstheme="minorHAnsi"/>
              </w:rPr>
              <w:t xml:space="preserve"> </w:t>
            </w:r>
            <w:r w:rsidRPr="00A26C26">
              <w:rPr>
                <w:rFonts w:cstheme="minorHAnsi"/>
              </w:rPr>
              <w:t>pracy</w:t>
            </w:r>
            <w:r>
              <w:rPr>
                <w:rFonts w:cstheme="minorHAnsi"/>
              </w:rPr>
              <w:t xml:space="preserve"> </w:t>
            </w:r>
            <w:r w:rsidRPr="00A26C26">
              <w:rPr>
                <w:rFonts w:cstheme="minorHAnsi"/>
              </w:rPr>
              <w:t>(prawdziwych</w:t>
            </w:r>
            <w:r>
              <w:rPr>
                <w:rFonts w:cstheme="minorHAnsi"/>
              </w:rPr>
              <w:t xml:space="preserve"> </w:t>
            </w:r>
            <w:r w:rsidRPr="00A26C26">
              <w:rPr>
                <w:rFonts w:cstheme="minorHAnsi"/>
              </w:rPr>
              <w:t>potrzeb</w:t>
            </w:r>
            <w:r>
              <w:rPr>
                <w:rFonts w:cstheme="minorHAnsi"/>
              </w:rPr>
              <w:t xml:space="preserve"> </w:t>
            </w:r>
            <w:r w:rsidRPr="00A26C26">
              <w:rPr>
                <w:rFonts w:cstheme="minorHAnsi"/>
              </w:rPr>
              <w:t>rynku</w:t>
            </w:r>
            <w:r>
              <w:rPr>
                <w:rFonts w:cstheme="minorHAnsi"/>
              </w:rPr>
              <w:t xml:space="preserve"> </w:t>
            </w:r>
            <w:r w:rsidRPr="00A26C26">
              <w:rPr>
                <w:rFonts w:cstheme="minorHAnsi"/>
              </w:rPr>
              <w:t>pracy)</w:t>
            </w:r>
          </w:p>
        </w:tc>
        <w:tc>
          <w:tcPr>
            <w:tcW w:w="2551" w:type="dxa"/>
          </w:tcPr>
          <w:p w14:paraId="7E598825" w14:textId="3A7D5218" w:rsidR="0037597D" w:rsidRPr="00A26C26" w:rsidRDefault="0037597D" w:rsidP="00A26C26">
            <w:pPr>
              <w:spacing w:line="276" w:lineRule="auto"/>
              <w:rPr>
                <w:rFonts w:cstheme="minorHAnsi"/>
              </w:rPr>
            </w:pPr>
            <w:r w:rsidRPr="00A26C26">
              <w:rPr>
                <w:rFonts w:cstheme="minorHAnsi"/>
              </w:rPr>
              <w:t>ludzie</w:t>
            </w:r>
            <w:r>
              <w:rPr>
                <w:rFonts w:cstheme="minorHAnsi"/>
              </w:rPr>
              <w:t xml:space="preserve"> </w:t>
            </w:r>
            <w:r w:rsidRPr="00A26C26">
              <w:rPr>
                <w:rFonts w:cstheme="minorHAnsi"/>
              </w:rPr>
              <w:t>młodzi</w:t>
            </w:r>
            <w:r>
              <w:rPr>
                <w:rFonts w:cstheme="minorHAnsi"/>
              </w:rPr>
              <w:t xml:space="preserve"> </w:t>
            </w:r>
            <w:r w:rsidRPr="00A26C26">
              <w:rPr>
                <w:rFonts w:cstheme="minorHAnsi"/>
              </w:rPr>
              <w:t>(do</w:t>
            </w:r>
            <w:r>
              <w:rPr>
                <w:rFonts w:cstheme="minorHAnsi"/>
              </w:rPr>
              <w:t xml:space="preserve"> </w:t>
            </w:r>
            <w:r w:rsidRPr="00A26C26">
              <w:rPr>
                <w:rFonts w:cstheme="minorHAnsi"/>
              </w:rPr>
              <w:t>25</w:t>
            </w:r>
            <w:r>
              <w:rPr>
                <w:rFonts w:cstheme="minorHAnsi"/>
              </w:rPr>
              <w:t xml:space="preserve"> </w:t>
            </w:r>
            <w:r w:rsidRPr="00A26C26">
              <w:rPr>
                <w:rFonts w:cstheme="minorHAnsi"/>
              </w:rPr>
              <w:t>r.ż.),</w:t>
            </w:r>
            <w:r>
              <w:rPr>
                <w:rFonts w:cstheme="minorHAnsi"/>
              </w:rPr>
              <w:t xml:space="preserve"> </w:t>
            </w:r>
          </w:p>
          <w:p w14:paraId="4BC8F524" w14:textId="77777777" w:rsidR="0037597D" w:rsidRPr="00A26C26" w:rsidRDefault="0037597D" w:rsidP="00A26C26">
            <w:pPr>
              <w:spacing w:line="276" w:lineRule="auto"/>
              <w:jc w:val="both"/>
              <w:rPr>
                <w:rFonts w:cstheme="minorHAnsi"/>
              </w:rPr>
            </w:pPr>
            <w:r w:rsidRPr="00A26C26">
              <w:rPr>
                <w:rFonts w:cstheme="minorHAnsi"/>
              </w:rPr>
              <w:t>mieszkańcy,</w:t>
            </w:r>
          </w:p>
          <w:p w14:paraId="5D209477" w14:textId="7DC0F09B" w:rsidR="0037597D" w:rsidRPr="00A26C26" w:rsidRDefault="0037597D" w:rsidP="00A26C26">
            <w:pPr>
              <w:spacing w:line="276" w:lineRule="auto"/>
              <w:rPr>
                <w:rFonts w:cstheme="minorHAnsi"/>
              </w:rPr>
            </w:pPr>
            <w:r w:rsidRPr="00A26C26">
              <w:rPr>
                <w:rFonts w:cstheme="minorHAnsi"/>
              </w:rPr>
              <w:t>przedsiębiorcy,</w:t>
            </w:r>
            <w:r>
              <w:rPr>
                <w:rFonts w:cstheme="minorHAnsi"/>
              </w:rPr>
              <w:t xml:space="preserve"> </w:t>
            </w:r>
          </w:p>
          <w:p w14:paraId="77715019" w14:textId="0A8E3DB4" w:rsidR="0037597D" w:rsidRPr="00A26C26" w:rsidRDefault="0037597D" w:rsidP="00A26C26">
            <w:pPr>
              <w:spacing w:line="276" w:lineRule="auto"/>
              <w:rPr>
                <w:rFonts w:cstheme="minorHAnsi"/>
              </w:rPr>
            </w:pPr>
            <w:r w:rsidRPr="00A26C26">
              <w:rPr>
                <w:rFonts w:cstheme="minorHAnsi"/>
              </w:rPr>
              <w:t>osoby</w:t>
            </w:r>
            <w:r>
              <w:rPr>
                <w:rFonts w:cstheme="minorHAnsi"/>
              </w:rPr>
              <w:t xml:space="preserve"> </w:t>
            </w:r>
            <w:r w:rsidRPr="00A26C26">
              <w:rPr>
                <w:rFonts w:cstheme="minorHAnsi"/>
              </w:rPr>
              <w:t>w</w:t>
            </w:r>
            <w:r>
              <w:rPr>
                <w:rFonts w:cstheme="minorHAnsi"/>
              </w:rPr>
              <w:t xml:space="preserve"> </w:t>
            </w:r>
            <w:r w:rsidRPr="00A26C26">
              <w:rPr>
                <w:rFonts w:cstheme="minorHAnsi"/>
              </w:rPr>
              <w:t>niekorzystnej</w:t>
            </w:r>
            <w:r>
              <w:rPr>
                <w:rFonts w:cstheme="minorHAnsi"/>
              </w:rPr>
              <w:t xml:space="preserve"> </w:t>
            </w:r>
            <w:r w:rsidRPr="00A26C26">
              <w:rPr>
                <w:rFonts w:cstheme="minorHAnsi"/>
              </w:rPr>
              <w:t>sytuacji</w:t>
            </w:r>
          </w:p>
        </w:tc>
        <w:tc>
          <w:tcPr>
            <w:tcW w:w="2722" w:type="dxa"/>
          </w:tcPr>
          <w:p w14:paraId="093F0AA1" w14:textId="77777777" w:rsidR="0037597D" w:rsidRPr="00A26C26" w:rsidRDefault="0037597D" w:rsidP="00A26C26">
            <w:pPr>
              <w:spacing w:line="276" w:lineRule="auto"/>
              <w:rPr>
                <w:rFonts w:cstheme="minorHAnsi"/>
              </w:rPr>
            </w:pPr>
            <w:r w:rsidRPr="00A26C26">
              <w:rPr>
                <w:rFonts w:cstheme="minorHAnsi"/>
              </w:rPr>
              <w:t>Działalność</w:t>
            </w:r>
            <w:r>
              <w:rPr>
                <w:rFonts w:cstheme="minorHAnsi"/>
              </w:rPr>
              <w:t xml:space="preserve"> </w:t>
            </w:r>
            <w:r w:rsidRPr="00A26C26">
              <w:rPr>
                <w:rFonts w:cstheme="minorHAnsi"/>
              </w:rPr>
              <w:t>sektora</w:t>
            </w:r>
            <w:r>
              <w:rPr>
                <w:rFonts w:cstheme="minorHAnsi"/>
              </w:rPr>
              <w:t xml:space="preserve"> </w:t>
            </w:r>
            <w:r w:rsidRPr="00A26C26">
              <w:rPr>
                <w:rFonts w:cstheme="minorHAnsi"/>
              </w:rPr>
              <w:t>społecznego.</w:t>
            </w:r>
          </w:p>
          <w:p w14:paraId="528766E7" w14:textId="77777777" w:rsidR="0037597D" w:rsidRPr="00A26C26" w:rsidRDefault="0037597D" w:rsidP="00A26C26">
            <w:pPr>
              <w:spacing w:line="276" w:lineRule="auto"/>
              <w:rPr>
                <w:rFonts w:cstheme="minorHAnsi"/>
              </w:rPr>
            </w:pPr>
            <w:r w:rsidRPr="00A26C26">
              <w:rPr>
                <w:rFonts w:cstheme="minorHAnsi"/>
              </w:rPr>
              <w:t>Problemy</w:t>
            </w:r>
            <w:r>
              <w:rPr>
                <w:rFonts w:cstheme="minorHAnsi"/>
              </w:rPr>
              <w:t xml:space="preserve"> </w:t>
            </w:r>
            <w:r w:rsidRPr="00A26C26">
              <w:rPr>
                <w:rFonts w:cstheme="minorHAnsi"/>
              </w:rPr>
              <w:t>społeczne.</w:t>
            </w:r>
          </w:p>
          <w:p w14:paraId="2F839066" w14:textId="77777777" w:rsidR="0037597D" w:rsidRPr="00A26C26" w:rsidRDefault="0037597D" w:rsidP="00A26C26">
            <w:pPr>
              <w:spacing w:line="276" w:lineRule="auto"/>
              <w:rPr>
                <w:rFonts w:cstheme="minorHAnsi"/>
              </w:rPr>
            </w:pPr>
            <w:r w:rsidRPr="00A26C26">
              <w:rPr>
                <w:rFonts w:cstheme="minorHAnsi"/>
              </w:rPr>
              <w:t>Obszary</w:t>
            </w:r>
            <w:r>
              <w:rPr>
                <w:rFonts w:cstheme="minorHAnsi"/>
              </w:rPr>
              <w:t xml:space="preserve"> </w:t>
            </w:r>
            <w:r w:rsidRPr="00A26C26">
              <w:rPr>
                <w:rFonts w:cstheme="minorHAnsi"/>
              </w:rPr>
              <w:t>atrakcyjne</w:t>
            </w:r>
            <w:r>
              <w:rPr>
                <w:rFonts w:cstheme="minorHAnsi"/>
              </w:rPr>
              <w:t xml:space="preserve"> </w:t>
            </w:r>
            <w:r w:rsidRPr="00A26C26">
              <w:rPr>
                <w:rFonts w:cstheme="minorHAnsi"/>
              </w:rPr>
              <w:t>turystycznie.</w:t>
            </w:r>
          </w:p>
          <w:p w14:paraId="654762C8" w14:textId="77777777" w:rsidR="0037597D" w:rsidRPr="00A26C26" w:rsidRDefault="0037597D" w:rsidP="00A26C26">
            <w:pPr>
              <w:spacing w:line="276" w:lineRule="auto"/>
              <w:rPr>
                <w:rFonts w:cstheme="minorHAnsi"/>
              </w:rPr>
            </w:pPr>
            <w:r w:rsidRPr="00A26C26">
              <w:rPr>
                <w:rFonts w:cstheme="minorHAnsi"/>
              </w:rPr>
              <w:t>Rolnictwo</w:t>
            </w:r>
          </w:p>
          <w:p w14:paraId="7EA588AA" w14:textId="77777777" w:rsidR="0037597D" w:rsidRPr="00A26C26" w:rsidRDefault="0037597D" w:rsidP="00A26C26">
            <w:pPr>
              <w:spacing w:line="276" w:lineRule="auto"/>
              <w:rPr>
                <w:rFonts w:cstheme="minorHAnsi"/>
              </w:rPr>
            </w:pPr>
            <w:r w:rsidRPr="00A26C26">
              <w:rPr>
                <w:rFonts w:cstheme="minorHAnsi"/>
              </w:rPr>
              <w:t>Zasady</w:t>
            </w:r>
            <w:r>
              <w:rPr>
                <w:rFonts w:cstheme="minorHAnsi"/>
              </w:rPr>
              <w:t xml:space="preserve"> </w:t>
            </w:r>
            <w:r w:rsidRPr="00A26C26">
              <w:rPr>
                <w:rFonts w:cstheme="minorHAnsi"/>
              </w:rPr>
              <w:t>zrównoważenia</w:t>
            </w:r>
            <w:r>
              <w:rPr>
                <w:rFonts w:cstheme="minorHAnsi"/>
              </w:rPr>
              <w:t xml:space="preserve"> </w:t>
            </w:r>
            <w:r w:rsidRPr="00A26C26">
              <w:rPr>
                <w:rFonts w:cstheme="minorHAnsi"/>
              </w:rPr>
              <w:t>środowiskowego.</w:t>
            </w:r>
          </w:p>
          <w:p w14:paraId="2F78E52F" w14:textId="77777777" w:rsidR="0037597D" w:rsidRPr="00A26C26" w:rsidRDefault="0037597D" w:rsidP="00A26C26">
            <w:pPr>
              <w:spacing w:line="276" w:lineRule="auto"/>
              <w:jc w:val="both"/>
              <w:rPr>
                <w:rFonts w:cstheme="minorHAnsi"/>
              </w:rPr>
            </w:pPr>
            <w:r w:rsidRPr="00A26C26">
              <w:rPr>
                <w:rFonts w:cstheme="minorHAnsi"/>
              </w:rPr>
              <w:t>Obszary</w:t>
            </w:r>
            <w:r>
              <w:rPr>
                <w:rFonts w:cstheme="minorHAnsi"/>
              </w:rPr>
              <w:t xml:space="preserve"> </w:t>
            </w:r>
            <w:r w:rsidRPr="00A26C26">
              <w:rPr>
                <w:rFonts w:cstheme="minorHAnsi"/>
              </w:rPr>
              <w:t>wiejskie.</w:t>
            </w:r>
          </w:p>
          <w:p w14:paraId="1624CF1C" w14:textId="3AE12679" w:rsidR="0037597D" w:rsidRPr="00285A63" w:rsidRDefault="0037597D" w:rsidP="00285A63">
            <w:pPr>
              <w:spacing w:line="276" w:lineRule="auto"/>
              <w:rPr>
                <w:rFonts w:cstheme="minorHAnsi"/>
              </w:rPr>
            </w:pPr>
          </w:p>
        </w:tc>
      </w:tr>
    </w:tbl>
    <w:p w14:paraId="08CD9717" w14:textId="77777777" w:rsidR="00AA737D" w:rsidRDefault="00AA737D" w:rsidP="003E19E8">
      <w:pPr>
        <w:suppressAutoHyphens/>
        <w:spacing w:line="276" w:lineRule="auto"/>
        <w:rPr>
          <w:rFonts w:cstheme="minorHAnsi"/>
          <w:b/>
          <w:bCs/>
        </w:rPr>
      </w:pPr>
    </w:p>
    <w:p w14:paraId="522A06DD" w14:textId="77777777" w:rsidR="00AA737D" w:rsidRDefault="00AA737D" w:rsidP="003E19E8">
      <w:pPr>
        <w:suppressAutoHyphens/>
        <w:spacing w:line="276" w:lineRule="auto"/>
        <w:rPr>
          <w:rFonts w:cstheme="minorHAnsi"/>
          <w:b/>
          <w:bCs/>
        </w:rPr>
      </w:pPr>
    </w:p>
    <w:p w14:paraId="315622A4" w14:textId="77777777" w:rsidR="00AA737D" w:rsidRDefault="00AA737D" w:rsidP="003E19E8">
      <w:pPr>
        <w:suppressAutoHyphens/>
        <w:spacing w:line="276" w:lineRule="auto"/>
        <w:rPr>
          <w:rFonts w:cstheme="minorHAnsi"/>
          <w:b/>
          <w:bCs/>
        </w:rPr>
      </w:pPr>
    </w:p>
    <w:p w14:paraId="60596772" w14:textId="29DEDB64" w:rsidR="0037597D" w:rsidRDefault="0037597D" w:rsidP="003E19E8">
      <w:pPr>
        <w:suppressAutoHyphens/>
        <w:spacing w:line="276" w:lineRule="auto"/>
        <w:rPr>
          <w:rFonts w:cstheme="minorHAnsi"/>
          <w:b/>
          <w:bCs/>
        </w:rPr>
      </w:pPr>
      <w:r w:rsidRPr="00A26C26">
        <w:rPr>
          <w:rFonts w:cstheme="minorHAnsi"/>
          <w:b/>
          <w:bCs/>
        </w:rPr>
        <w:t>Zasoby/</w:t>
      </w:r>
      <w:r>
        <w:rPr>
          <w:rFonts w:cstheme="minorHAnsi"/>
          <w:b/>
          <w:bCs/>
        </w:rPr>
        <w:t xml:space="preserve"> </w:t>
      </w:r>
      <w:r w:rsidRPr="00A26C26">
        <w:rPr>
          <w:rFonts w:cstheme="minorHAnsi"/>
          <w:b/>
          <w:bCs/>
        </w:rPr>
        <w:t>potencjał</w:t>
      </w:r>
      <w:r>
        <w:rPr>
          <w:rFonts w:cstheme="minorHAnsi"/>
          <w:b/>
          <w:bCs/>
        </w:rPr>
        <w:t xml:space="preserve"> </w:t>
      </w:r>
      <w:r w:rsidRPr="00A26C26">
        <w:rPr>
          <w:rFonts w:cstheme="minorHAnsi"/>
          <w:b/>
          <w:bCs/>
        </w:rPr>
        <w:t>LSR,</w:t>
      </w:r>
      <w:r>
        <w:rPr>
          <w:rFonts w:cstheme="minorHAnsi"/>
          <w:b/>
          <w:bCs/>
        </w:rPr>
        <w:t xml:space="preserve"> </w:t>
      </w:r>
      <w:r w:rsidRPr="00A26C26">
        <w:rPr>
          <w:rFonts w:cstheme="minorHAnsi"/>
          <w:b/>
          <w:bCs/>
        </w:rPr>
        <w:t>który</w:t>
      </w:r>
      <w:r>
        <w:rPr>
          <w:rFonts w:cstheme="minorHAnsi"/>
          <w:b/>
          <w:bCs/>
        </w:rPr>
        <w:t xml:space="preserve"> </w:t>
      </w:r>
      <w:r w:rsidRPr="00A26C26">
        <w:rPr>
          <w:rFonts w:cstheme="minorHAnsi"/>
          <w:b/>
          <w:bCs/>
        </w:rPr>
        <w:t>może</w:t>
      </w:r>
      <w:r>
        <w:rPr>
          <w:rFonts w:cstheme="minorHAnsi"/>
          <w:b/>
          <w:bCs/>
        </w:rPr>
        <w:t xml:space="preserve"> </w:t>
      </w:r>
      <w:r w:rsidRPr="00A26C26">
        <w:rPr>
          <w:rFonts w:cstheme="minorHAnsi"/>
          <w:b/>
          <w:bCs/>
        </w:rPr>
        <w:t>być</w:t>
      </w:r>
      <w:r>
        <w:rPr>
          <w:rFonts w:cstheme="minorHAnsi"/>
          <w:b/>
          <w:bCs/>
        </w:rPr>
        <w:t xml:space="preserve"> </w:t>
      </w:r>
      <w:r w:rsidRPr="00A26C26">
        <w:rPr>
          <w:rFonts w:cstheme="minorHAnsi"/>
          <w:b/>
          <w:bCs/>
        </w:rPr>
        <w:t>wykorzystany</w:t>
      </w:r>
    </w:p>
    <w:p w14:paraId="60E274DA" w14:textId="77777777" w:rsidR="0037597D" w:rsidRPr="00241A86" w:rsidRDefault="0037597D" w:rsidP="008A412F">
      <w:pPr>
        <w:pStyle w:val="Akapitzlist"/>
        <w:numPr>
          <w:ilvl w:val="0"/>
          <w:numId w:val="46"/>
        </w:numPr>
        <w:spacing w:line="276" w:lineRule="auto"/>
        <w:jc w:val="both"/>
        <w:rPr>
          <w:rFonts w:cstheme="minorHAnsi"/>
        </w:rPr>
      </w:pPr>
      <w:r w:rsidRPr="00241A86">
        <w:rPr>
          <w:rFonts w:cstheme="minorHAnsi"/>
        </w:rPr>
        <w:t>Bliskość dużych miast (Konin, Turek, Kalisz, Gniezno, Poznań)</w:t>
      </w:r>
    </w:p>
    <w:p w14:paraId="6AA9B35F" w14:textId="77777777" w:rsidR="0037597D" w:rsidRPr="00241A86" w:rsidRDefault="0037597D" w:rsidP="008A412F">
      <w:pPr>
        <w:pStyle w:val="Akapitzlist"/>
        <w:numPr>
          <w:ilvl w:val="0"/>
          <w:numId w:val="46"/>
        </w:numPr>
        <w:spacing w:line="276" w:lineRule="auto"/>
        <w:jc w:val="both"/>
        <w:rPr>
          <w:rFonts w:cstheme="minorHAnsi"/>
        </w:rPr>
      </w:pPr>
      <w:r w:rsidRPr="00241A86">
        <w:rPr>
          <w:rFonts w:cstheme="minorHAnsi"/>
        </w:rPr>
        <w:t>Komunikacja - samochodowa (autostrada Berlin-Warszawa, droga krajowa Kalisz-Bydgoszcz i droga krajowa Łódź-Konin) i kolejowa (Berlin/Poznań -W-</w:t>
      </w:r>
      <w:proofErr w:type="spellStart"/>
      <w:r w:rsidRPr="00241A86">
        <w:rPr>
          <w:rFonts w:cstheme="minorHAnsi"/>
        </w:rPr>
        <w:t>wa</w:t>
      </w:r>
      <w:proofErr w:type="spellEnd"/>
      <w:r w:rsidRPr="00241A86">
        <w:rPr>
          <w:rFonts w:cstheme="minorHAnsi"/>
        </w:rPr>
        <w:t>)</w:t>
      </w:r>
    </w:p>
    <w:p w14:paraId="0B533E19" w14:textId="77777777" w:rsidR="0037597D" w:rsidRPr="00241A86" w:rsidRDefault="0037597D" w:rsidP="008A412F">
      <w:pPr>
        <w:pStyle w:val="Akapitzlist"/>
        <w:numPr>
          <w:ilvl w:val="0"/>
          <w:numId w:val="46"/>
        </w:numPr>
        <w:spacing w:line="276" w:lineRule="auto"/>
        <w:jc w:val="both"/>
        <w:rPr>
          <w:rFonts w:cstheme="minorHAnsi"/>
        </w:rPr>
      </w:pPr>
      <w:r w:rsidRPr="00241A86">
        <w:rPr>
          <w:rFonts w:cstheme="minorHAnsi"/>
        </w:rPr>
        <w:t>Szlaki turystyczne, w tym markowe: Bursztynowy, Romański, Ułański</w:t>
      </w:r>
    </w:p>
    <w:p w14:paraId="1381FEDB" w14:textId="77777777" w:rsidR="0037597D" w:rsidRPr="00241A86" w:rsidRDefault="0037597D" w:rsidP="008A412F">
      <w:pPr>
        <w:pStyle w:val="Akapitzlist"/>
        <w:numPr>
          <w:ilvl w:val="0"/>
          <w:numId w:val="46"/>
        </w:numPr>
        <w:spacing w:line="276" w:lineRule="auto"/>
        <w:jc w:val="both"/>
        <w:rPr>
          <w:rFonts w:cstheme="minorHAnsi"/>
        </w:rPr>
      </w:pPr>
      <w:r w:rsidRPr="00241A86">
        <w:rPr>
          <w:rFonts w:cstheme="minorHAnsi"/>
        </w:rPr>
        <w:t>Położenie na trasie Wielkiej Pętli Wielkopolski</w:t>
      </w:r>
    </w:p>
    <w:p w14:paraId="7D1ACCC1" w14:textId="77777777" w:rsidR="0037597D" w:rsidRPr="00241A86" w:rsidRDefault="0037597D" w:rsidP="008A412F">
      <w:pPr>
        <w:pStyle w:val="Akapitzlist"/>
        <w:numPr>
          <w:ilvl w:val="0"/>
          <w:numId w:val="46"/>
        </w:numPr>
        <w:spacing w:line="276" w:lineRule="auto"/>
        <w:jc w:val="both"/>
        <w:rPr>
          <w:rFonts w:cstheme="minorHAnsi"/>
        </w:rPr>
      </w:pPr>
      <w:r w:rsidRPr="00241A86">
        <w:rPr>
          <w:rFonts w:cstheme="minorHAnsi"/>
        </w:rPr>
        <w:t>Zachowany krajobraz wiejski</w:t>
      </w:r>
    </w:p>
    <w:p w14:paraId="082E06F8" w14:textId="77777777" w:rsidR="0037597D" w:rsidRPr="00241A86" w:rsidRDefault="0037597D" w:rsidP="008A412F">
      <w:pPr>
        <w:pStyle w:val="Akapitzlist"/>
        <w:numPr>
          <w:ilvl w:val="0"/>
          <w:numId w:val="46"/>
        </w:numPr>
        <w:spacing w:line="276" w:lineRule="auto"/>
        <w:jc w:val="both"/>
        <w:rPr>
          <w:rFonts w:cstheme="minorHAnsi"/>
        </w:rPr>
      </w:pPr>
      <w:r w:rsidRPr="00241A86">
        <w:rPr>
          <w:rFonts w:cstheme="minorHAnsi"/>
        </w:rPr>
        <w:t>Walory naturalne: Rzeka Warta, zbiornik retencyjno-rekreacyjny na rzece Powie; liczne obszary przyrodniczo cenne (np. NATURA 2000, Nadwarciański Park Krajobrazowy), wysoka lesistość; Siedliska ptactwa (krzyk) i innej zwierzyny (jelenie, łosie)</w:t>
      </w:r>
    </w:p>
    <w:p w14:paraId="68CE1F80" w14:textId="77777777" w:rsidR="0037597D" w:rsidRPr="00241A86" w:rsidRDefault="0037597D" w:rsidP="008A412F">
      <w:pPr>
        <w:pStyle w:val="Akapitzlist"/>
        <w:numPr>
          <w:ilvl w:val="0"/>
          <w:numId w:val="46"/>
        </w:numPr>
        <w:spacing w:line="276" w:lineRule="auto"/>
        <w:jc w:val="both"/>
        <w:rPr>
          <w:rFonts w:cstheme="minorHAnsi"/>
        </w:rPr>
      </w:pPr>
      <w:r w:rsidRPr="00241A86">
        <w:rPr>
          <w:rFonts w:cstheme="minorHAnsi"/>
        </w:rPr>
        <w:t>Liczne zabytki historyczne i miejsca pamięci</w:t>
      </w:r>
    </w:p>
    <w:p w14:paraId="469B4F4F" w14:textId="77777777" w:rsidR="0037597D" w:rsidRPr="00241A86" w:rsidRDefault="0037597D" w:rsidP="008A412F">
      <w:pPr>
        <w:pStyle w:val="Akapitzlist"/>
        <w:numPr>
          <w:ilvl w:val="0"/>
          <w:numId w:val="46"/>
        </w:numPr>
        <w:spacing w:line="276" w:lineRule="auto"/>
        <w:jc w:val="both"/>
        <w:rPr>
          <w:rFonts w:cstheme="minorHAnsi"/>
        </w:rPr>
      </w:pPr>
      <w:r w:rsidRPr="00241A86">
        <w:rPr>
          <w:rFonts w:cstheme="minorHAnsi"/>
        </w:rPr>
        <w:t>Zachowane tradycje w zakresie rzemiosła i rękodzieła</w:t>
      </w:r>
    </w:p>
    <w:p w14:paraId="118D55DF" w14:textId="77777777" w:rsidR="00414523" w:rsidRPr="00241A86" w:rsidRDefault="0037597D" w:rsidP="008A412F">
      <w:pPr>
        <w:pStyle w:val="Akapitzlist"/>
        <w:numPr>
          <w:ilvl w:val="0"/>
          <w:numId w:val="46"/>
        </w:numPr>
        <w:spacing w:line="276" w:lineRule="auto"/>
        <w:jc w:val="both"/>
        <w:rPr>
          <w:rFonts w:cstheme="minorHAnsi"/>
        </w:rPr>
      </w:pPr>
      <w:r w:rsidRPr="00241A86">
        <w:rPr>
          <w:rFonts w:cstheme="minorHAnsi"/>
        </w:rPr>
        <w:t>Produkty lokalne: rogal kasztelański, krówka z Goliny, miody, sery, pieczywo, tradycyjne wiejskie wędliny, naturalne przetwory owocowe</w:t>
      </w:r>
      <w:r w:rsidR="00241A86" w:rsidRPr="00241A86">
        <w:rPr>
          <w:rFonts w:cstheme="minorHAnsi"/>
        </w:rPr>
        <w:t>.</w:t>
      </w:r>
    </w:p>
    <w:p w14:paraId="066AA5AE" w14:textId="77777777" w:rsidR="00241A86" w:rsidRPr="00C675EC" w:rsidRDefault="00241A86" w:rsidP="00241A86">
      <w:pPr>
        <w:suppressAutoHyphens/>
        <w:spacing w:line="276" w:lineRule="auto"/>
        <w:jc w:val="both"/>
        <w:rPr>
          <w:rFonts w:cstheme="minorHAnsi"/>
        </w:rPr>
      </w:pPr>
    </w:p>
    <w:p w14:paraId="4462B597" w14:textId="77777777" w:rsidR="00241A86" w:rsidRPr="009F1202" w:rsidRDefault="00241A86" w:rsidP="00241A86">
      <w:pPr>
        <w:spacing w:line="276" w:lineRule="auto"/>
        <w:ind w:firstLine="360"/>
        <w:jc w:val="both"/>
        <w:rPr>
          <w:rFonts w:eastAsia="Calibri" w:cstheme="minorHAnsi"/>
          <w:b/>
          <w:bCs/>
          <w:kern w:val="0"/>
          <w14:ligatures w14:val="none"/>
        </w:rPr>
      </w:pPr>
      <w:r w:rsidRPr="00A26C26">
        <w:rPr>
          <w:rFonts w:eastAsia="Calibri" w:cstheme="minorHAnsi"/>
          <w:kern w:val="0"/>
          <w14:ligatures w14:val="none"/>
        </w:rPr>
        <w:t>Zdiagnozowanie</w:t>
      </w:r>
      <w:r>
        <w:rPr>
          <w:rFonts w:eastAsia="Calibri" w:cstheme="minorHAnsi"/>
          <w:kern w:val="0"/>
          <w14:ligatures w14:val="none"/>
        </w:rPr>
        <w:t xml:space="preserve"> </w:t>
      </w:r>
      <w:r w:rsidRPr="00A26C26">
        <w:rPr>
          <w:rFonts w:eastAsia="Calibri" w:cstheme="minorHAnsi"/>
          <w:kern w:val="0"/>
          <w14:ligatures w14:val="none"/>
        </w:rPr>
        <w:t>problemów</w:t>
      </w:r>
      <w:r>
        <w:rPr>
          <w:rFonts w:eastAsia="Calibri" w:cstheme="minorHAnsi"/>
          <w:kern w:val="0"/>
          <w14:ligatures w14:val="none"/>
        </w:rPr>
        <w:t xml:space="preserve"> </w:t>
      </w:r>
      <w:r w:rsidRPr="00A26C26">
        <w:rPr>
          <w:rFonts w:eastAsia="Calibri" w:cstheme="minorHAnsi"/>
          <w:kern w:val="0"/>
          <w14:ligatures w14:val="none"/>
        </w:rPr>
        <w:t>stanowi</w:t>
      </w:r>
      <w:r>
        <w:rPr>
          <w:rFonts w:eastAsia="Calibri" w:cstheme="minorHAnsi"/>
          <w:kern w:val="0"/>
          <w14:ligatures w14:val="none"/>
        </w:rPr>
        <w:t xml:space="preserve"> </w:t>
      </w:r>
      <w:r w:rsidRPr="00A26C26">
        <w:rPr>
          <w:rFonts w:eastAsia="Calibri" w:cstheme="minorHAnsi"/>
          <w:kern w:val="0"/>
          <w14:ligatures w14:val="none"/>
        </w:rPr>
        <w:t>podstawę</w:t>
      </w:r>
      <w:r>
        <w:rPr>
          <w:rFonts w:eastAsia="Calibri" w:cstheme="minorHAnsi"/>
          <w:kern w:val="0"/>
          <w14:ligatures w14:val="none"/>
        </w:rPr>
        <w:t xml:space="preserve"> </w:t>
      </w:r>
      <w:r w:rsidRPr="00A26C26">
        <w:rPr>
          <w:rFonts w:eastAsia="Calibri" w:cstheme="minorHAnsi"/>
          <w:kern w:val="0"/>
          <w14:ligatures w14:val="none"/>
        </w:rPr>
        <w:t>do</w:t>
      </w:r>
      <w:r>
        <w:rPr>
          <w:rFonts w:eastAsia="Calibri" w:cstheme="minorHAnsi"/>
          <w:kern w:val="0"/>
          <w14:ligatures w14:val="none"/>
        </w:rPr>
        <w:t xml:space="preserve"> </w:t>
      </w:r>
      <w:r w:rsidRPr="00A26C26">
        <w:rPr>
          <w:rFonts w:eastAsia="Calibri" w:cstheme="minorHAnsi"/>
          <w:kern w:val="0"/>
          <w14:ligatures w14:val="none"/>
        </w:rPr>
        <w:t>określenia</w:t>
      </w:r>
      <w:r>
        <w:rPr>
          <w:rFonts w:eastAsia="Calibri" w:cstheme="minorHAnsi"/>
          <w:kern w:val="0"/>
          <w14:ligatures w14:val="none"/>
        </w:rPr>
        <w:t xml:space="preserve"> </w:t>
      </w:r>
      <w:r w:rsidRPr="00A26C26">
        <w:rPr>
          <w:rFonts w:eastAsia="Calibri" w:cstheme="minorHAnsi"/>
          <w:kern w:val="0"/>
          <w14:ligatures w14:val="none"/>
        </w:rPr>
        <w:t>głównych</w:t>
      </w:r>
      <w:r>
        <w:rPr>
          <w:rFonts w:eastAsia="Calibri" w:cstheme="minorHAnsi"/>
          <w:kern w:val="0"/>
          <w14:ligatures w14:val="none"/>
        </w:rPr>
        <w:t xml:space="preserve"> </w:t>
      </w:r>
      <w:r w:rsidRPr="00A26C26">
        <w:rPr>
          <w:rFonts w:eastAsia="Calibri" w:cstheme="minorHAnsi"/>
          <w:kern w:val="0"/>
          <w14:ligatures w14:val="none"/>
        </w:rPr>
        <w:t>celów,</w:t>
      </w:r>
      <w:r>
        <w:rPr>
          <w:rFonts w:eastAsia="Calibri" w:cstheme="minorHAnsi"/>
          <w:kern w:val="0"/>
          <w14:ligatures w14:val="none"/>
        </w:rPr>
        <w:t xml:space="preserve"> </w:t>
      </w:r>
      <w:r w:rsidRPr="00A26C26">
        <w:rPr>
          <w:rFonts w:eastAsia="Calibri" w:cstheme="minorHAnsi"/>
          <w:kern w:val="0"/>
          <w14:ligatures w14:val="none"/>
        </w:rPr>
        <w:t>które</w:t>
      </w:r>
      <w:r>
        <w:rPr>
          <w:rFonts w:eastAsia="Calibri" w:cstheme="minorHAnsi"/>
          <w:kern w:val="0"/>
          <w14:ligatures w14:val="none"/>
        </w:rPr>
        <w:t xml:space="preserve"> </w:t>
      </w:r>
      <w:r w:rsidRPr="00A26C26">
        <w:rPr>
          <w:rFonts w:eastAsia="Calibri" w:cstheme="minorHAnsi"/>
          <w:kern w:val="0"/>
          <w14:ligatures w14:val="none"/>
        </w:rPr>
        <w:t>LGD</w:t>
      </w:r>
      <w:r>
        <w:rPr>
          <w:rFonts w:eastAsia="Calibri" w:cstheme="minorHAnsi"/>
          <w:kern w:val="0"/>
          <w14:ligatures w14:val="none"/>
        </w:rPr>
        <w:t xml:space="preserve"> </w:t>
      </w:r>
      <w:r w:rsidRPr="00A26C26">
        <w:rPr>
          <w:rFonts w:eastAsia="Calibri" w:cstheme="minorHAnsi"/>
          <w:kern w:val="0"/>
          <w14:ligatures w14:val="none"/>
        </w:rPr>
        <w:t>powinna</w:t>
      </w:r>
      <w:r>
        <w:rPr>
          <w:rFonts w:eastAsia="Calibri" w:cstheme="minorHAnsi"/>
          <w:kern w:val="0"/>
          <w14:ligatures w14:val="none"/>
        </w:rPr>
        <w:t xml:space="preserve"> </w:t>
      </w:r>
      <w:r w:rsidRPr="00A26C26">
        <w:rPr>
          <w:rFonts w:eastAsia="Calibri" w:cstheme="minorHAnsi"/>
          <w:kern w:val="0"/>
          <w14:ligatures w14:val="none"/>
        </w:rPr>
        <w:t>osiągnąć,</w:t>
      </w:r>
      <w:r>
        <w:rPr>
          <w:rFonts w:eastAsia="Calibri" w:cstheme="minorHAnsi"/>
          <w:kern w:val="0"/>
          <w14:ligatures w14:val="none"/>
        </w:rPr>
        <w:t xml:space="preserve"> </w:t>
      </w:r>
      <w:r w:rsidRPr="00A26C26">
        <w:rPr>
          <w:rFonts w:eastAsia="Calibri" w:cstheme="minorHAnsi"/>
          <w:kern w:val="0"/>
          <w14:ligatures w14:val="none"/>
        </w:rPr>
        <w:t>wykorzystując</w:t>
      </w:r>
      <w:r>
        <w:rPr>
          <w:rFonts w:eastAsia="Calibri" w:cstheme="minorHAnsi"/>
          <w:kern w:val="0"/>
          <w14:ligatures w14:val="none"/>
        </w:rPr>
        <w:t xml:space="preserve"> </w:t>
      </w:r>
      <w:r w:rsidRPr="00A26C26">
        <w:rPr>
          <w:rFonts w:eastAsia="Calibri" w:cstheme="minorHAnsi"/>
          <w:kern w:val="0"/>
          <w14:ligatures w14:val="none"/>
        </w:rPr>
        <w:t>dostępne</w:t>
      </w:r>
      <w:r>
        <w:rPr>
          <w:rFonts w:eastAsia="Calibri" w:cstheme="minorHAnsi"/>
          <w:kern w:val="0"/>
          <w14:ligatures w14:val="none"/>
        </w:rPr>
        <w:t xml:space="preserve"> </w:t>
      </w:r>
      <w:r w:rsidRPr="00A26C26">
        <w:rPr>
          <w:rFonts w:eastAsia="Calibri" w:cstheme="minorHAnsi"/>
          <w:kern w:val="0"/>
          <w14:ligatures w14:val="none"/>
        </w:rPr>
        <w:t>narzędzia</w:t>
      </w:r>
      <w:r>
        <w:rPr>
          <w:rFonts w:eastAsia="Calibri" w:cstheme="minorHAnsi"/>
          <w:kern w:val="0"/>
          <w14:ligatures w14:val="none"/>
        </w:rPr>
        <w:t xml:space="preserve"> </w:t>
      </w:r>
      <w:r w:rsidRPr="00A26C26">
        <w:rPr>
          <w:rFonts w:eastAsia="Calibri" w:cstheme="minorHAnsi"/>
          <w:kern w:val="0"/>
          <w14:ligatures w14:val="none"/>
        </w:rPr>
        <w:t>finansowe</w:t>
      </w:r>
      <w:r>
        <w:rPr>
          <w:rFonts w:eastAsia="Calibri" w:cstheme="minorHAnsi"/>
          <w:kern w:val="0"/>
          <w14:ligatures w14:val="none"/>
        </w:rPr>
        <w:t xml:space="preserve"> </w:t>
      </w:r>
      <w:r w:rsidRPr="00A26C26">
        <w:rPr>
          <w:rFonts w:eastAsia="Calibri" w:cstheme="minorHAnsi"/>
          <w:kern w:val="0"/>
          <w14:ligatures w14:val="none"/>
        </w:rPr>
        <w:t>w</w:t>
      </w:r>
      <w:r>
        <w:rPr>
          <w:rFonts w:eastAsia="Calibri" w:cstheme="minorHAnsi"/>
          <w:kern w:val="0"/>
          <w14:ligatures w14:val="none"/>
        </w:rPr>
        <w:t xml:space="preserve"> </w:t>
      </w:r>
      <w:r w:rsidRPr="00A26C26">
        <w:rPr>
          <w:rFonts w:eastAsia="Calibri" w:cstheme="minorHAnsi"/>
          <w:kern w:val="0"/>
          <w14:ligatures w14:val="none"/>
        </w:rPr>
        <w:t>ramach</w:t>
      </w:r>
      <w:r>
        <w:rPr>
          <w:rFonts w:eastAsia="Calibri" w:cstheme="minorHAnsi"/>
          <w:kern w:val="0"/>
          <w14:ligatures w14:val="none"/>
        </w:rPr>
        <w:t xml:space="preserve"> </w:t>
      </w:r>
      <w:r w:rsidRPr="00A26C26">
        <w:rPr>
          <w:rFonts w:eastAsia="Calibri" w:cstheme="minorHAnsi"/>
          <w:kern w:val="0"/>
          <w14:ligatures w14:val="none"/>
        </w:rPr>
        <w:t>EFRROW</w:t>
      </w:r>
      <w:r>
        <w:rPr>
          <w:rFonts w:eastAsia="Calibri" w:cstheme="minorHAnsi"/>
          <w:kern w:val="0"/>
          <w14:ligatures w14:val="none"/>
        </w:rPr>
        <w:t xml:space="preserve"> </w:t>
      </w:r>
      <w:r w:rsidRPr="00A26C26">
        <w:rPr>
          <w:rFonts w:eastAsia="Calibri" w:cstheme="minorHAnsi"/>
          <w:kern w:val="0"/>
          <w14:ligatures w14:val="none"/>
        </w:rPr>
        <w:t>oraz</w:t>
      </w:r>
      <w:r>
        <w:rPr>
          <w:rFonts w:eastAsia="Calibri" w:cstheme="minorHAnsi"/>
          <w:kern w:val="0"/>
          <w14:ligatures w14:val="none"/>
        </w:rPr>
        <w:t xml:space="preserve"> </w:t>
      </w:r>
      <w:r w:rsidRPr="00A26C26">
        <w:rPr>
          <w:rFonts w:eastAsia="Calibri" w:cstheme="minorHAnsi"/>
          <w:kern w:val="0"/>
          <w14:ligatures w14:val="none"/>
        </w:rPr>
        <w:t>EFRR.</w:t>
      </w:r>
      <w:r>
        <w:rPr>
          <w:rFonts w:eastAsia="Calibri" w:cstheme="minorHAnsi"/>
          <w:kern w:val="0"/>
          <w14:ligatures w14:val="none"/>
        </w:rPr>
        <w:t xml:space="preserve"> </w:t>
      </w:r>
      <w:r w:rsidRPr="009F1202">
        <w:rPr>
          <w:rFonts w:eastAsia="Calibri" w:cstheme="minorHAnsi"/>
          <w:b/>
          <w:bCs/>
          <w:kern w:val="0"/>
          <w14:ligatures w14:val="none"/>
        </w:rPr>
        <w:t xml:space="preserve">Analiza potrzeb i potencjału dostarcza wskazówek dotyczących kryteriów wyboru operacji, które umożliwią wybór działań mających największy wpływ na rozwiązanie zidentyfikowanych problemów i wyzwań. Kryteria te powinny uwzględniać istotne aspekty, odpowiadające na zgłaszane przez grupy docelowe problemy i mające kluczowe znaczenie dla realizacji LSR. </w:t>
      </w:r>
    </w:p>
    <w:p w14:paraId="19DD303C" w14:textId="77777777" w:rsidR="00241A86" w:rsidRDefault="00241A86" w:rsidP="00241A86">
      <w:pPr>
        <w:spacing w:line="276" w:lineRule="auto"/>
        <w:jc w:val="both"/>
        <w:rPr>
          <w:rFonts w:eastAsia="Calibri" w:cstheme="minorHAnsi"/>
          <w:kern w:val="0"/>
          <w14:ligatures w14:val="none"/>
        </w:rPr>
      </w:pPr>
    </w:p>
    <w:p w14:paraId="5590211F" w14:textId="5D8ACA0D" w:rsidR="00241A86" w:rsidRPr="00A26C26" w:rsidRDefault="00241A86" w:rsidP="00241A86">
      <w:pPr>
        <w:spacing w:line="276" w:lineRule="auto"/>
        <w:jc w:val="both"/>
        <w:rPr>
          <w:rFonts w:eastAsia="Calibri" w:cstheme="minorHAnsi"/>
          <w:kern w:val="0"/>
          <w14:ligatures w14:val="none"/>
        </w:rPr>
      </w:pPr>
      <w:r>
        <w:rPr>
          <w:rFonts w:eastAsia="Calibri" w:cstheme="minorHAnsi"/>
          <w:kern w:val="0"/>
          <w14:ligatures w14:val="none"/>
        </w:rPr>
        <w:t>Tabela nr</w:t>
      </w:r>
      <w:r w:rsidR="00396A11">
        <w:rPr>
          <w:rFonts w:eastAsia="Calibri" w:cstheme="minorHAnsi"/>
          <w:kern w:val="0"/>
          <w14:ligatures w14:val="none"/>
        </w:rPr>
        <w:t xml:space="preserve"> 3</w:t>
      </w:r>
      <w:r w:rsidR="00203429">
        <w:rPr>
          <w:rFonts w:eastAsia="Calibri" w:cstheme="minorHAnsi"/>
          <w:kern w:val="0"/>
          <w14:ligatures w14:val="none"/>
        </w:rPr>
        <w:t>0</w:t>
      </w:r>
      <w:r>
        <w:rPr>
          <w:rFonts w:eastAsia="Calibri" w:cstheme="minorHAnsi"/>
          <w:kern w:val="0"/>
          <w14:ligatures w14:val="none"/>
        </w:rPr>
        <w:t xml:space="preserve"> Uzasadnienie wyboru lokalnych kryteriów </w:t>
      </w:r>
    </w:p>
    <w:tbl>
      <w:tblPr>
        <w:tblStyle w:val="Tabela-Siatka2"/>
        <w:tblW w:w="10201" w:type="dxa"/>
        <w:tblLook w:val="04A0" w:firstRow="1" w:lastRow="0" w:firstColumn="1" w:lastColumn="0" w:noHBand="0" w:noVBand="1"/>
      </w:tblPr>
      <w:tblGrid>
        <w:gridCol w:w="3397"/>
        <w:gridCol w:w="6804"/>
      </w:tblGrid>
      <w:tr w:rsidR="00241A86" w:rsidRPr="00A26C26" w14:paraId="4A15F190" w14:textId="77777777" w:rsidTr="007F1E76">
        <w:tc>
          <w:tcPr>
            <w:tcW w:w="3397" w:type="dxa"/>
            <w:shd w:val="clear" w:color="auto" w:fill="DEEAF6" w:themeFill="accent5" w:themeFillTint="33"/>
          </w:tcPr>
          <w:p w14:paraId="15538C5D" w14:textId="77777777" w:rsidR="00241A86" w:rsidRPr="00A26C26" w:rsidRDefault="00241A86" w:rsidP="007F1E76">
            <w:pPr>
              <w:spacing w:line="276" w:lineRule="auto"/>
              <w:jc w:val="both"/>
              <w:rPr>
                <w:rFonts w:cstheme="minorHAnsi"/>
              </w:rPr>
            </w:pPr>
            <w:r w:rsidRPr="00A26C26">
              <w:rPr>
                <w:rFonts w:cstheme="minorHAnsi"/>
              </w:rPr>
              <w:t>Kryterium,</w:t>
            </w:r>
            <w:r>
              <w:rPr>
                <w:rFonts w:cstheme="minorHAnsi"/>
              </w:rPr>
              <w:t xml:space="preserve"> </w:t>
            </w:r>
            <w:r w:rsidRPr="00A26C26">
              <w:rPr>
                <w:rFonts w:cstheme="minorHAnsi"/>
              </w:rPr>
              <w:t>które</w:t>
            </w:r>
            <w:r>
              <w:rPr>
                <w:rFonts w:cstheme="minorHAnsi"/>
              </w:rPr>
              <w:t xml:space="preserve"> </w:t>
            </w:r>
            <w:r w:rsidRPr="00A26C26">
              <w:rPr>
                <w:rFonts w:cstheme="minorHAnsi"/>
              </w:rPr>
              <w:t>pozwoli</w:t>
            </w:r>
            <w:r>
              <w:rPr>
                <w:rFonts w:cstheme="minorHAnsi"/>
              </w:rPr>
              <w:t xml:space="preserve"> </w:t>
            </w:r>
            <w:r w:rsidRPr="00A26C26">
              <w:rPr>
                <w:rFonts w:cstheme="minorHAnsi"/>
              </w:rPr>
              <w:t>wybrać</w:t>
            </w:r>
            <w:r>
              <w:rPr>
                <w:rFonts w:cstheme="minorHAnsi"/>
              </w:rPr>
              <w:t xml:space="preserve"> </w:t>
            </w:r>
            <w:r w:rsidRPr="00A26C26">
              <w:rPr>
                <w:rFonts w:cstheme="minorHAnsi"/>
              </w:rPr>
              <w:t>operacje:</w:t>
            </w:r>
          </w:p>
        </w:tc>
        <w:tc>
          <w:tcPr>
            <w:tcW w:w="6804" w:type="dxa"/>
            <w:shd w:val="clear" w:color="auto" w:fill="DEEAF6" w:themeFill="accent5" w:themeFillTint="33"/>
          </w:tcPr>
          <w:p w14:paraId="413C870E" w14:textId="77777777" w:rsidR="00241A86" w:rsidRPr="00A26C26" w:rsidRDefault="00241A86" w:rsidP="007F1E76">
            <w:pPr>
              <w:spacing w:line="276" w:lineRule="auto"/>
              <w:jc w:val="both"/>
              <w:rPr>
                <w:rFonts w:cstheme="minorHAnsi"/>
              </w:rPr>
            </w:pPr>
            <w:r w:rsidRPr="00A26C26">
              <w:rPr>
                <w:rFonts w:cstheme="minorHAnsi"/>
              </w:rPr>
              <w:t>Uzasadnienie</w:t>
            </w:r>
          </w:p>
        </w:tc>
      </w:tr>
      <w:tr w:rsidR="00241A86" w:rsidRPr="00A26C26" w14:paraId="3D23A7C6" w14:textId="77777777" w:rsidTr="007F1E76">
        <w:tc>
          <w:tcPr>
            <w:tcW w:w="3397" w:type="dxa"/>
          </w:tcPr>
          <w:p w14:paraId="46E0F41C" w14:textId="77777777" w:rsidR="00241A86" w:rsidRPr="00A26C26" w:rsidRDefault="00241A86" w:rsidP="007F1E76">
            <w:pPr>
              <w:spacing w:line="276" w:lineRule="auto"/>
              <w:rPr>
                <w:rFonts w:cstheme="minorHAnsi"/>
              </w:rPr>
            </w:pPr>
            <w:r w:rsidRPr="00A26C26">
              <w:rPr>
                <w:rFonts w:cstheme="minorHAnsi"/>
              </w:rPr>
              <w:t>Objęte</w:t>
            </w:r>
            <w:r>
              <w:rPr>
                <w:rFonts w:cstheme="minorHAnsi"/>
              </w:rPr>
              <w:t xml:space="preserve"> </w:t>
            </w:r>
            <w:r w:rsidRPr="00A26C26">
              <w:rPr>
                <w:rFonts w:cstheme="minorHAnsi"/>
              </w:rPr>
              <w:t>oddolnymi</w:t>
            </w:r>
            <w:r>
              <w:rPr>
                <w:rFonts w:cstheme="minorHAnsi"/>
              </w:rPr>
              <w:t xml:space="preserve"> </w:t>
            </w:r>
            <w:r w:rsidRPr="00A26C26">
              <w:rPr>
                <w:rFonts w:cstheme="minorHAnsi"/>
              </w:rPr>
              <w:t>koncepcjami</w:t>
            </w:r>
            <w:r>
              <w:rPr>
                <w:rFonts w:cstheme="minorHAnsi"/>
              </w:rPr>
              <w:t xml:space="preserve"> </w:t>
            </w:r>
            <w:r w:rsidRPr="00A26C26">
              <w:rPr>
                <w:rFonts w:cstheme="minorHAnsi"/>
              </w:rPr>
              <w:t>inteligentnej</w:t>
            </w:r>
            <w:r>
              <w:rPr>
                <w:rFonts w:cstheme="minorHAnsi"/>
              </w:rPr>
              <w:t xml:space="preserve"> </w:t>
            </w:r>
            <w:r w:rsidRPr="00A26C26">
              <w:rPr>
                <w:rFonts w:cstheme="minorHAnsi"/>
              </w:rPr>
              <w:t>wsi</w:t>
            </w:r>
            <w:r>
              <w:rPr>
                <w:rFonts w:cstheme="minorHAnsi"/>
              </w:rPr>
              <w:t xml:space="preserve"> </w:t>
            </w:r>
          </w:p>
        </w:tc>
        <w:tc>
          <w:tcPr>
            <w:tcW w:w="6804" w:type="dxa"/>
          </w:tcPr>
          <w:p w14:paraId="3F01A4FF" w14:textId="2F8B31D8" w:rsidR="00241A86" w:rsidRPr="00A26C26" w:rsidRDefault="00241A86" w:rsidP="006B5841">
            <w:pPr>
              <w:spacing w:line="276" w:lineRule="auto"/>
              <w:jc w:val="both"/>
              <w:rPr>
                <w:rFonts w:cstheme="minorHAnsi"/>
              </w:rPr>
            </w:pPr>
            <w:r w:rsidRPr="00A26C26">
              <w:rPr>
                <w:rFonts w:cstheme="minorHAnsi"/>
              </w:rPr>
              <w:t>Wsparcie</w:t>
            </w:r>
            <w:r>
              <w:rPr>
                <w:rFonts w:cstheme="minorHAnsi"/>
              </w:rPr>
              <w:t xml:space="preserve"> </w:t>
            </w:r>
            <w:r w:rsidRPr="00A26C26">
              <w:rPr>
                <w:rFonts w:cstheme="minorHAnsi"/>
              </w:rPr>
              <w:t>opracowania</w:t>
            </w:r>
            <w:r>
              <w:rPr>
                <w:rFonts w:cstheme="minorHAnsi"/>
              </w:rPr>
              <w:t xml:space="preserve"> </w:t>
            </w:r>
            <w:r w:rsidRPr="00A26C26">
              <w:rPr>
                <w:rFonts w:cstheme="minorHAnsi"/>
              </w:rPr>
              <w:t>koncepcji</w:t>
            </w:r>
            <w:r>
              <w:rPr>
                <w:rFonts w:cstheme="minorHAnsi"/>
              </w:rPr>
              <w:t xml:space="preserve"> </w:t>
            </w:r>
            <w:r w:rsidRPr="00A26C26">
              <w:rPr>
                <w:rFonts w:cstheme="minorHAnsi"/>
              </w:rPr>
              <w:t>inteligentnych</w:t>
            </w:r>
            <w:r>
              <w:rPr>
                <w:rFonts w:cstheme="minorHAnsi"/>
              </w:rPr>
              <w:t xml:space="preserve"> </w:t>
            </w:r>
            <w:r w:rsidRPr="00A26C26">
              <w:rPr>
                <w:rFonts w:cstheme="minorHAnsi"/>
              </w:rPr>
              <w:t>wsi</w:t>
            </w:r>
            <w:r>
              <w:rPr>
                <w:rFonts w:cstheme="minorHAnsi"/>
              </w:rPr>
              <w:t xml:space="preserve"> </w:t>
            </w:r>
            <w:r w:rsidRPr="00A26C26">
              <w:rPr>
                <w:rFonts w:cstheme="minorHAnsi"/>
              </w:rPr>
              <w:t>odnoszących</w:t>
            </w:r>
            <w:r>
              <w:rPr>
                <w:rFonts w:cstheme="minorHAnsi"/>
              </w:rPr>
              <w:t xml:space="preserve"> </w:t>
            </w:r>
            <w:r w:rsidRPr="00A26C26">
              <w:rPr>
                <w:rFonts w:cstheme="minorHAnsi"/>
              </w:rPr>
              <w:t>się</w:t>
            </w:r>
            <w:r>
              <w:rPr>
                <w:rFonts w:cstheme="minorHAnsi"/>
              </w:rPr>
              <w:t xml:space="preserve"> </w:t>
            </w:r>
            <w:r w:rsidRPr="00A26C26">
              <w:rPr>
                <w:rFonts w:cstheme="minorHAnsi"/>
              </w:rPr>
              <w:t>do</w:t>
            </w:r>
            <w:r>
              <w:rPr>
                <w:rFonts w:cstheme="minorHAnsi"/>
              </w:rPr>
              <w:t xml:space="preserve"> </w:t>
            </w:r>
            <w:r w:rsidRPr="00A26C26">
              <w:rPr>
                <w:rFonts w:cstheme="minorHAnsi"/>
              </w:rPr>
              <w:t>obszarów</w:t>
            </w:r>
            <w:r>
              <w:rPr>
                <w:rFonts w:cstheme="minorHAnsi"/>
              </w:rPr>
              <w:t xml:space="preserve"> </w:t>
            </w:r>
            <w:r w:rsidRPr="00A26C26">
              <w:rPr>
                <w:rFonts w:cstheme="minorHAnsi"/>
              </w:rPr>
              <w:t>wiejskich</w:t>
            </w:r>
            <w:r>
              <w:rPr>
                <w:rFonts w:cstheme="minorHAnsi"/>
              </w:rPr>
              <w:t xml:space="preserve"> </w:t>
            </w:r>
            <w:r w:rsidRPr="00A26C26">
              <w:rPr>
                <w:rFonts w:cstheme="minorHAnsi"/>
              </w:rPr>
              <w:t>i</w:t>
            </w:r>
            <w:r>
              <w:rPr>
                <w:rFonts w:cstheme="minorHAnsi"/>
              </w:rPr>
              <w:t xml:space="preserve"> </w:t>
            </w:r>
            <w:r w:rsidRPr="00A26C26">
              <w:rPr>
                <w:rFonts w:cstheme="minorHAnsi"/>
              </w:rPr>
              <w:t>społeczności,</w:t>
            </w:r>
            <w:r>
              <w:rPr>
                <w:rFonts w:cstheme="minorHAnsi"/>
              </w:rPr>
              <w:t xml:space="preserve"> </w:t>
            </w:r>
            <w:r w:rsidRPr="00A26C26">
              <w:rPr>
                <w:rFonts w:cstheme="minorHAnsi"/>
              </w:rPr>
              <w:t>które</w:t>
            </w:r>
            <w:r>
              <w:rPr>
                <w:rFonts w:cstheme="minorHAnsi"/>
              </w:rPr>
              <w:t xml:space="preserve"> </w:t>
            </w:r>
            <w:r w:rsidRPr="00A26C26">
              <w:rPr>
                <w:rFonts w:cstheme="minorHAnsi"/>
              </w:rPr>
              <w:t>chcą</w:t>
            </w:r>
            <w:r>
              <w:rPr>
                <w:rFonts w:cstheme="minorHAnsi"/>
              </w:rPr>
              <w:t xml:space="preserve"> </w:t>
            </w:r>
            <w:r w:rsidRPr="00A26C26">
              <w:rPr>
                <w:rFonts w:cstheme="minorHAnsi"/>
              </w:rPr>
              <w:t>rozwijać</w:t>
            </w:r>
            <w:r>
              <w:rPr>
                <w:rFonts w:cstheme="minorHAnsi"/>
              </w:rPr>
              <w:t xml:space="preserve"> </w:t>
            </w:r>
            <w:r w:rsidRPr="00A26C26">
              <w:rPr>
                <w:rFonts w:cstheme="minorHAnsi"/>
              </w:rPr>
              <w:t>nowe</w:t>
            </w:r>
            <w:r>
              <w:rPr>
                <w:rFonts w:cstheme="minorHAnsi"/>
              </w:rPr>
              <w:t xml:space="preserve"> </w:t>
            </w:r>
            <w:r w:rsidRPr="00A26C26">
              <w:rPr>
                <w:rFonts w:cstheme="minorHAnsi"/>
              </w:rPr>
              <w:t>możliwości</w:t>
            </w:r>
            <w:r>
              <w:rPr>
                <w:rFonts w:cstheme="minorHAnsi"/>
              </w:rPr>
              <w:t xml:space="preserve"> </w:t>
            </w:r>
            <w:r w:rsidR="006B5841">
              <w:rPr>
                <w:rFonts w:cstheme="minorHAnsi"/>
              </w:rPr>
              <w:t xml:space="preserve">                 </w:t>
            </w:r>
            <w:r w:rsidRPr="00A26C26">
              <w:rPr>
                <w:rFonts w:cstheme="minorHAnsi"/>
              </w:rPr>
              <w:t>w</w:t>
            </w:r>
            <w:r>
              <w:rPr>
                <w:rFonts w:cstheme="minorHAnsi"/>
              </w:rPr>
              <w:t xml:space="preserve"> </w:t>
            </w:r>
            <w:r w:rsidRPr="00A26C26">
              <w:rPr>
                <w:rFonts w:cstheme="minorHAnsi"/>
              </w:rPr>
              <w:t>oparciu</w:t>
            </w:r>
            <w:r>
              <w:rPr>
                <w:rFonts w:cstheme="minorHAnsi"/>
              </w:rPr>
              <w:t xml:space="preserve"> </w:t>
            </w:r>
            <w:r w:rsidRPr="00A26C26">
              <w:rPr>
                <w:rFonts w:cstheme="minorHAnsi"/>
              </w:rPr>
              <w:t>o</w:t>
            </w:r>
            <w:r>
              <w:rPr>
                <w:rFonts w:cstheme="minorHAnsi"/>
              </w:rPr>
              <w:t xml:space="preserve"> </w:t>
            </w:r>
            <w:r w:rsidRPr="00A26C26">
              <w:rPr>
                <w:rFonts w:cstheme="minorHAnsi"/>
              </w:rPr>
              <w:t>swoje</w:t>
            </w:r>
            <w:r>
              <w:rPr>
                <w:rFonts w:cstheme="minorHAnsi"/>
              </w:rPr>
              <w:t xml:space="preserve"> </w:t>
            </w:r>
            <w:r w:rsidRPr="00A26C26">
              <w:rPr>
                <w:rFonts w:cstheme="minorHAnsi"/>
              </w:rPr>
              <w:t>mocne</w:t>
            </w:r>
            <w:r>
              <w:rPr>
                <w:rFonts w:cstheme="minorHAnsi"/>
              </w:rPr>
              <w:t xml:space="preserve"> </w:t>
            </w:r>
            <w:r w:rsidRPr="00A26C26">
              <w:rPr>
                <w:rFonts w:cstheme="minorHAnsi"/>
              </w:rPr>
              <w:t>strony</w:t>
            </w:r>
            <w:r>
              <w:rPr>
                <w:rFonts w:cstheme="minorHAnsi"/>
              </w:rPr>
              <w:t xml:space="preserve"> </w:t>
            </w:r>
            <w:r w:rsidRPr="00A26C26">
              <w:rPr>
                <w:rFonts w:cstheme="minorHAnsi"/>
              </w:rPr>
              <w:t>i</w:t>
            </w:r>
            <w:r>
              <w:rPr>
                <w:rFonts w:cstheme="minorHAnsi"/>
              </w:rPr>
              <w:t xml:space="preserve"> </w:t>
            </w:r>
            <w:r w:rsidRPr="00A26C26">
              <w:rPr>
                <w:rFonts w:cstheme="minorHAnsi"/>
              </w:rPr>
              <w:t>posiadane</w:t>
            </w:r>
            <w:r>
              <w:rPr>
                <w:rFonts w:cstheme="minorHAnsi"/>
              </w:rPr>
              <w:t xml:space="preserve"> </w:t>
            </w:r>
            <w:r w:rsidRPr="00A26C26">
              <w:rPr>
                <w:rFonts w:cstheme="minorHAnsi"/>
              </w:rPr>
              <w:t>zasoby.</w:t>
            </w:r>
            <w:r>
              <w:rPr>
                <w:rFonts w:cstheme="minorHAnsi"/>
              </w:rPr>
              <w:t xml:space="preserve"> </w:t>
            </w:r>
            <w:r w:rsidRPr="00A26C26">
              <w:rPr>
                <w:rFonts w:cstheme="minorHAnsi"/>
              </w:rPr>
              <w:t>Jest</w:t>
            </w:r>
            <w:r>
              <w:rPr>
                <w:rFonts w:cstheme="minorHAnsi"/>
              </w:rPr>
              <w:t xml:space="preserve"> </w:t>
            </w:r>
            <w:r w:rsidRPr="00A26C26">
              <w:rPr>
                <w:rFonts w:cstheme="minorHAnsi"/>
              </w:rPr>
              <w:t>to</w:t>
            </w:r>
            <w:r>
              <w:rPr>
                <w:rFonts w:cstheme="minorHAnsi"/>
              </w:rPr>
              <w:t xml:space="preserve"> </w:t>
            </w:r>
            <w:r w:rsidRPr="00A26C26">
              <w:rPr>
                <w:rFonts w:cstheme="minorHAnsi"/>
              </w:rPr>
              <w:t>w</w:t>
            </w:r>
            <w:r>
              <w:rPr>
                <w:rFonts w:cstheme="minorHAnsi"/>
              </w:rPr>
              <w:t xml:space="preserve"> </w:t>
            </w:r>
            <w:r w:rsidRPr="00A26C26">
              <w:rPr>
                <w:rFonts w:cstheme="minorHAnsi"/>
              </w:rPr>
              <w:t>przyszłości</w:t>
            </w:r>
            <w:r>
              <w:rPr>
                <w:rFonts w:cstheme="minorHAnsi"/>
              </w:rPr>
              <w:t xml:space="preserve"> </w:t>
            </w:r>
            <w:r w:rsidRPr="00A26C26">
              <w:rPr>
                <w:rFonts w:cstheme="minorHAnsi"/>
              </w:rPr>
              <w:t>szansa</w:t>
            </w:r>
            <w:r>
              <w:rPr>
                <w:rFonts w:cstheme="minorHAnsi"/>
              </w:rPr>
              <w:t xml:space="preserve"> </w:t>
            </w:r>
            <w:r w:rsidRPr="00A26C26">
              <w:rPr>
                <w:rFonts w:cstheme="minorHAnsi"/>
              </w:rPr>
              <w:t>na</w:t>
            </w:r>
            <w:r>
              <w:rPr>
                <w:rFonts w:cstheme="minorHAnsi"/>
              </w:rPr>
              <w:t xml:space="preserve"> </w:t>
            </w:r>
            <w:r w:rsidRPr="00A26C26">
              <w:rPr>
                <w:rFonts w:cstheme="minorHAnsi"/>
              </w:rPr>
              <w:t>rozwój</w:t>
            </w:r>
            <w:r>
              <w:rPr>
                <w:rFonts w:cstheme="minorHAnsi"/>
              </w:rPr>
              <w:t xml:space="preserve"> </w:t>
            </w:r>
            <w:r w:rsidRPr="00A26C26">
              <w:rPr>
                <w:rFonts w:cstheme="minorHAnsi"/>
              </w:rPr>
              <w:t>obszaru</w:t>
            </w:r>
            <w:r>
              <w:rPr>
                <w:rFonts w:cstheme="minorHAnsi"/>
              </w:rPr>
              <w:t xml:space="preserve"> </w:t>
            </w:r>
            <w:r w:rsidRPr="00A26C26">
              <w:rPr>
                <w:rFonts w:cstheme="minorHAnsi"/>
              </w:rPr>
              <w:t>LSR</w:t>
            </w:r>
            <w:r>
              <w:rPr>
                <w:rFonts w:cstheme="minorHAnsi"/>
              </w:rPr>
              <w:t xml:space="preserve"> </w:t>
            </w:r>
            <w:r w:rsidRPr="00A26C26">
              <w:rPr>
                <w:rFonts w:cstheme="minorHAnsi"/>
              </w:rPr>
              <w:t>mając</w:t>
            </w:r>
            <w:r>
              <w:rPr>
                <w:rFonts w:cstheme="minorHAnsi"/>
              </w:rPr>
              <w:t xml:space="preserve"> </w:t>
            </w:r>
            <w:r w:rsidRPr="00A26C26">
              <w:rPr>
                <w:rFonts w:cstheme="minorHAnsi"/>
              </w:rPr>
              <w:t>na</w:t>
            </w:r>
            <w:r>
              <w:rPr>
                <w:rFonts w:cstheme="minorHAnsi"/>
              </w:rPr>
              <w:t xml:space="preserve"> </w:t>
            </w:r>
            <w:r w:rsidRPr="00A26C26">
              <w:rPr>
                <w:rFonts w:cstheme="minorHAnsi"/>
              </w:rPr>
              <w:t>uwadze</w:t>
            </w:r>
            <w:r>
              <w:rPr>
                <w:rFonts w:cstheme="minorHAnsi"/>
              </w:rPr>
              <w:t xml:space="preserve"> </w:t>
            </w:r>
            <w:r w:rsidRPr="00A26C26">
              <w:rPr>
                <w:rFonts w:cstheme="minorHAnsi"/>
              </w:rPr>
              <w:t>rozdrobnienie</w:t>
            </w:r>
            <w:r>
              <w:rPr>
                <w:rFonts w:cstheme="minorHAnsi"/>
              </w:rPr>
              <w:t xml:space="preserve"> </w:t>
            </w:r>
            <w:r w:rsidRPr="00A26C26">
              <w:rPr>
                <w:rFonts w:cstheme="minorHAnsi"/>
              </w:rPr>
              <w:t>gospodarstwa</w:t>
            </w:r>
            <w:r>
              <w:rPr>
                <w:rFonts w:cstheme="minorHAnsi"/>
              </w:rPr>
              <w:t xml:space="preserve"> </w:t>
            </w:r>
            <w:r w:rsidRPr="00A26C26">
              <w:rPr>
                <w:rFonts w:cstheme="minorHAnsi"/>
              </w:rPr>
              <w:t>i</w:t>
            </w:r>
            <w:r>
              <w:rPr>
                <w:rFonts w:cstheme="minorHAnsi"/>
              </w:rPr>
              <w:t xml:space="preserve"> </w:t>
            </w:r>
            <w:r w:rsidRPr="00A26C26">
              <w:rPr>
                <w:rFonts w:cstheme="minorHAnsi"/>
              </w:rPr>
              <w:t>niską</w:t>
            </w:r>
            <w:r>
              <w:rPr>
                <w:rFonts w:cstheme="minorHAnsi"/>
              </w:rPr>
              <w:t xml:space="preserve"> </w:t>
            </w:r>
            <w:r w:rsidRPr="00A26C26">
              <w:rPr>
                <w:rFonts w:cstheme="minorHAnsi"/>
              </w:rPr>
              <w:t>dochodowość</w:t>
            </w:r>
            <w:r>
              <w:rPr>
                <w:rFonts w:cstheme="minorHAnsi"/>
              </w:rPr>
              <w:t xml:space="preserve"> </w:t>
            </w:r>
            <w:r w:rsidRPr="00A26C26">
              <w:rPr>
                <w:rFonts w:cstheme="minorHAnsi"/>
              </w:rPr>
              <w:t>rolnictwa.</w:t>
            </w:r>
            <w:r>
              <w:rPr>
                <w:rFonts w:cstheme="minorHAnsi"/>
              </w:rPr>
              <w:t xml:space="preserve"> </w:t>
            </w:r>
          </w:p>
        </w:tc>
      </w:tr>
      <w:tr w:rsidR="00241A86" w:rsidRPr="00A26C26" w14:paraId="3A0A8AE8" w14:textId="77777777" w:rsidTr="007F1E76">
        <w:tc>
          <w:tcPr>
            <w:tcW w:w="3397" w:type="dxa"/>
          </w:tcPr>
          <w:p w14:paraId="1BE8284E" w14:textId="77777777" w:rsidR="00241A86" w:rsidRPr="00F16251" w:rsidRDefault="00241A86" w:rsidP="007F1E76">
            <w:pPr>
              <w:spacing w:line="276" w:lineRule="auto"/>
              <w:rPr>
                <w:rFonts w:cstheme="minorHAnsi"/>
              </w:rPr>
            </w:pPr>
            <w:r w:rsidRPr="00F16251">
              <w:rPr>
                <w:rFonts w:cstheme="minorHAnsi"/>
              </w:rPr>
              <w:t>Zapewniające racjonalne gospodarowanie zasobami lub ograniczające presję na środowisko</w:t>
            </w:r>
          </w:p>
        </w:tc>
        <w:tc>
          <w:tcPr>
            <w:tcW w:w="6804" w:type="dxa"/>
          </w:tcPr>
          <w:p w14:paraId="345EF5DA" w14:textId="0A03EF6F" w:rsidR="00241A86" w:rsidRPr="00F16251" w:rsidRDefault="00241A86" w:rsidP="006B5841">
            <w:pPr>
              <w:spacing w:line="276" w:lineRule="auto"/>
              <w:jc w:val="both"/>
              <w:rPr>
                <w:rFonts w:cstheme="minorHAnsi"/>
              </w:rPr>
            </w:pPr>
            <w:r w:rsidRPr="00F16251">
              <w:rPr>
                <w:rFonts w:cstheme="minorHAnsi"/>
              </w:rPr>
              <w:t>Kurczenie się zasobów naturalnych jest globalnym wyzwaniem, przed którym stoją społeczności na całym świecie. Wskazanym jest, aby na każdym poziomie decyzyjności uwzględniać ten negatywny trend</w:t>
            </w:r>
            <w:r w:rsidR="006B5841">
              <w:rPr>
                <w:rFonts w:cstheme="minorHAnsi"/>
              </w:rPr>
              <w:t xml:space="preserve">                               </w:t>
            </w:r>
            <w:r w:rsidRPr="00F16251">
              <w:rPr>
                <w:rFonts w:cstheme="minorHAnsi"/>
              </w:rPr>
              <w:t xml:space="preserve"> i podejmować działania mające na celu ochronę zasobów naturalnych dla przyszłych pokoleń. </w:t>
            </w:r>
          </w:p>
        </w:tc>
      </w:tr>
      <w:tr w:rsidR="00241A86" w:rsidRPr="00A26C26" w14:paraId="0B500A09" w14:textId="77777777" w:rsidTr="007F1E76">
        <w:tc>
          <w:tcPr>
            <w:tcW w:w="3397" w:type="dxa"/>
          </w:tcPr>
          <w:p w14:paraId="417FB089" w14:textId="77777777" w:rsidR="00241A86" w:rsidRPr="00F16251" w:rsidRDefault="00241A86" w:rsidP="007F1E76">
            <w:pPr>
              <w:spacing w:line="276" w:lineRule="auto"/>
              <w:rPr>
                <w:rFonts w:cstheme="minorHAnsi"/>
              </w:rPr>
            </w:pPr>
            <w:r w:rsidRPr="00F16251">
              <w:rPr>
                <w:rFonts w:cstheme="minorHAnsi"/>
              </w:rPr>
              <w:t>Dedykowane osobom młodym, seniorom, osobom w niekorzystnej sytuacji</w:t>
            </w:r>
          </w:p>
          <w:p w14:paraId="5AA451D5" w14:textId="77777777" w:rsidR="00241A86" w:rsidRPr="00F16251" w:rsidRDefault="00241A86" w:rsidP="007F1E76">
            <w:pPr>
              <w:spacing w:line="276" w:lineRule="auto"/>
              <w:rPr>
                <w:rFonts w:cstheme="minorHAnsi"/>
              </w:rPr>
            </w:pPr>
          </w:p>
        </w:tc>
        <w:tc>
          <w:tcPr>
            <w:tcW w:w="6804" w:type="dxa"/>
          </w:tcPr>
          <w:p w14:paraId="6CE43EF4" w14:textId="77777777" w:rsidR="00241A86" w:rsidRPr="00F16251" w:rsidRDefault="00241A86" w:rsidP="00444EBB">
            <w:pPr>
              <w:spacing w:line="276" w:lineRule="auto"/>
              <w:jc w:val="both"/>
              <w:rPr>
                <w:rFonts w:cstheme="minorHAnsi"/>
              </w:rPr>
            </w:pPr>
            <w:r w:rsidRPr="00F16251">
              <w:rPr>
                <w:rFonts w:cstheme="minorHAnsi"/>
              </w:rPr>
              <w:t xml:space="preserve">Są to grupy docelowe zdiagnozowane na etapie budowy LSR </w:t>
            </w:r>
            <w:r w:rsidRPr="00F16251">
              <w:rPr>
                <w:rFonts w:cstheme="minorHAnsi"/>
              </w:rPr>
              <w:br/>
              <w:t xml:space="preserve">z wykorzystaniem szerokiego wachlarza metod partycypacji lokalnej społeczności. </w:t>
            </w:r>
          </w:p>
        </w:tc>
      </w:tr>
      <w:tr w:rsidR="00241A86" w:rsidRPr="00A26C26" w14:paraId="60A4DB25" w14:textId="77777777" w:rsidTr="007F1E76">
        <w:tc>
          <w:tcPr>
            <w:tcW w:w="3397" w:type="dxa"/>
          </w:tcPr>
          <w:p w14:paraId="189DA442" w14:textId="56AD8252" w:rsidR="00241A86" w:rsidRPr="00F16251" w:rsidRDefault="002B4F1A" w:rsidP="007F1E76">
            <w:pPr>
              <w:spacing w:line="276" w:lineRule="auto"/>
              <w:rPr>
                <w:rFonts w:cstheme="minorHAnsi"/>
              </w:rPr>
            </w:pPr>
            <w:r w:rsidRPr="00F16251">
              <w:rPr>
                <w:rFonts w:cstheme="minorHAnsi"/>
              </w:rPr>
              <w:t>Realizowane przez młode kobiety prowadzące/współprowadzące gospodarstwo rolne w ramach zakresu rozwoju pozarolniczych funkcji małych gospodarstw rolnych</w:t>
            </w:r>
          </w:p>
        </w:tc>
        <w:tc>
          <w:tcPr>
            <w:tcW w:w="6804" w:type="dxa"/>
          </w:tcPr>
          <w:p w14:paraId="72B33929" w14:textId="2C1BE6E6" w:rsidR="00241A86" w:rsidRPr="00F16251" w:rsidRDefault="00241A86" w:rsidP="00444EBB">
            <w:pPr>
              <w:spacing w:line="276" w:lineRule="auto"/>
              <w:jc w:val="both"/>
              <w:rPr>
                <w:rFonts w:cstheme="minorHAnsi"/>
              </w:rPr>
            </w:pPr>
            <w:r w:rsidRPr="00F16251">
              <w:rPr>
                <w:rFonts w:cstheme="minorHAnsi"/>
              </w:rPr>
              <w:t xml:space="preserve">Kobiety zostały zdiagnozowane jako jedna z grup docelowych istotnych </w:t>
            </w:r>
            <w:r w:rsidR="00444EBB">
              <w:rPr>
                <w:rFonts w:cstheme="minorHAnsi"/>
              </w:rPr>
              <w:t xml:space="preserve">                     </w:t>
            </w:r>
            <w:r w:rsidRPr="00F16251">
              <w:rPr>
                <w:rFonts w:cstheme="minorHAnsi"/>
              </w:rPr>
              <w:t xml:space="preserve">z punktu widzenia LSR z uwagi na ich ogromny potencjał z jednej strony, zaś z drugiej na niekorzystną sytuację spowodowaną brakiem możliwości rozwojowych z uwagi na pracę w gospodarstwach rolnych, które w dużej części i tak nie przynoszą oczekiwanych korzyści finansowych. </w:t>
            </w:r>
          </w:p>
        </w:tc>
      </w:tr>
      <w:tr w:rsidR="00241A86" w:rsidRPr="00A26C26" w14:paraId="0ED6D2D2" w14:textId="77777777" w:rsidTr="007F1E76">
        <w:tc>
          <w:tcPr>
            <w:tcW w:w="3397" w:type="dxa"/>
          </w:tcPr>
          <w:p w14:paraId="2F780105" w14:textId="77777777" w:rsidR="00241A86" w:rsidRPr="00F16251" w:rsidRDefault="00241A86" w:rsidP="007F1E76">
            <w:pPr>
              <w:spacing w:line="276" w:lineRule="auto"/>
              <w:rPr>
                <w:rFonts w:cstheme="minorHAnsi"/>
              </w:rPr>
            </w:pPr>
            <w:r w:rsidRPr="00F16251">
              <w:rPr>
                <w:rFonts w:cstheme="minorHAnsi"/>
              </w:rPr>
              <w:t xml:space="preserve">Innowacyjne, gdzie innowacja jest określona na poziomie LSR (z </w:t>
            </w:r>
            <w:r w:rsidRPr="00F16251">
              <w:rPr>
                <w:rFonts w:cstheme="minorHAnsi"/>
              </w:rPr>
              <w:lastRenderedPageBreak/>
              <w:t>uwzględnieniem stopnia rozwoju danego obszaru),</w:t>
            </w:r>
          </w:p>
        </w:tc>
        <w:tc>
          <w:tcPr>
            <w:tcW w:w="6804" w:type="dxa"/>
          </w:tcPr>
          <w:p w14:paraId="29CBE9D8" w14:textId="750308D4" w:rsidR="00241A86" w:rsidRPr="00F16251" w:rsidRDefault="00444EBB" w:rsidP="00444EBB">
            <w:pPr>
              <w:spacing w:line="276" w:lineRule="auto"/>
              <w:jc w:val="both"/>
              <w:rPr>
                <w:rFonts w:cstheme="minorHAnsi"/>
              </w:rPr>
            </w:pPr>
            <w:r>
              <w:rPr>
                <w:rFonts w:cstheme="minorHAnsi"/>
              </w:rPr>
              <w:lastRenderedPageBreak/>
              <w:t>J</w:t>
            </w:r>
            <w:r w:rsidR="00241A86" w:rsidRPr="00F16251">
              <w:rPr>
                <w:rFonts w:cstheme="minorHAnsi"/>
              </w:rPr>
              <w:t xml:space="preserve">ednym z pozytywnych aspektów podejmowanych inicjatyw mających na celu wyrównywanie szans pomiędzy obszarami wiejskimi a miejskimi jest </w:t>
            </w:r>
            <w:r w:rsidR="00241A86" w:rsidRPr="00F16251">
              <w:rPr>
                <w:rFonts w:cstheme="minorHAnsi"/>
              </w:rPr>
              <w:lastRenderedPageBreak/>
              <w:t xml:space="preserve">łatwiejszy dostęp do sprawdzonych praktyk, które prezentują innowacyjne rozwiązania. Mieszkańcy obszaru LSR są coraz bardziej świadomi globalnych trendów i pragną, aby nowoczesne technologie </w:t>
            </w:r>
            <w:r w:rsidR="00241A86" w:rsidRPr="00F16251">
              <w:rPr>
                <w:rFonts w:cstheme="minorHAnsi"/>
              </w:rPr>
              <w:br/>
              <w:t xml:space="preserve">i rozwiązania znalazły zastosowanie również na ich terenie. Ostatnie nabory składania wniosków jednoznacznie wskazują, że przedsiębiorcy głównie poszukują innowacyjnych rozwiązań, które mogą zastosować </w:t>
            </w:r>
            <w:r>
              <w:rPr>
                <w:rFonts w:cstheme="minorHAnsi"/>
              </w:rPr>
              <w:t xml:space="preserve">                      </w:t>
            </w:r>
            <w:r w:rsidR="00241A86" w:rsidRPr="00F16251">
              <w:rPr>
                <w:rFonts w:cstheme="minorHAnsi"/>
              </w:rPr>
              <w:t>w swoich firmach, zwiększając tym samym ich konkurencyjność na rynku.</w:t>
            </w:r>
          </w:p>
        </w:tc>
      </w:tr>
      <w:tr w:rsidR="00241A86" w:rsidRPr="00A26C26" w14:paraId="4A33FD89" w14:textId="77777777" w:rsidTr="007F1E76">
        <w:tc>
          <w:tcPr>
            <w:tcW w:w="3397" w:type="dxa"/>
          </w:tcPr>
          <w:p w14:paraId="6262837A" w14:textId="31CC4718" w:rsidR="00241A86" w:rsidRPr="00F16251" w:rsidRDefault="00444EBB" w:rsidP="008A412F">
            <w:pPr>
              <w:numPr>
                <w:ilvl w:val="0"/>
                <w:numId w:val="13"/>
              </w:numPr>
              <w:spacing w:line="276" w:lineRule="auto"/>
              <w:ind w:left="171" w:hanging="142"/>
              <w:rPr>
                <w:rFonts w:cstheme="minorHAnsi"/>
              </w:rPr>
            </w:pPr>
            <w:r>
              <w:rPr>
                <w:rFonts w:cstheme="minorHAnsi"/>
              </w:rPr>
              <w:lastRenderedPageBreak/>
              <w:t>W</w:t>
            </w:r>
            <w:r w:rsidR="00241A86" w:rsidRPr="00F16251">
              <w:rPr>
                <w:rFonts w:cstheme="minorHAnsi"/>
              </w:rPr>
              <w:t>ykorzystujące lokalny potencjał</w:t>
            </w:r>
          </w:p>
          <w:p w14:paraId="785ABA35" w14:textId="3F613BF7" w:rsidR="00241A86" w:rsidRPr="00F16251" w:rsidRDefault="00444EBB" w:rsidP="008A412F">
            <w:pPr>
              <w:numPr>
                <w:ilvl w:val="0"/>
                <w:numId w:val="13"/>
              </w:numPr>
              <w:spacing w:line="276" w:lineRule="auto"/>
              <w:ind w:left="171" w:hanging="142"/>
              <w:rPr>
                <w:rFonts w:cstheme="minorHAnsi"/>
              </w:rPr>
            </w:pPr>
            <w:r>
              <w:rPr>
                <w:rFonts w:cstheme="minorHAnsi"/>
              </w:rPr>
              <w:t>P</w:t>
            </w:r>
            <w:r w:rsidR="00241A86" w:rsidRPr="00F16251">
              <w:rPr>
                <w:rFonts w:cstheme="minorHAnsi"/>
              </w:rPr>
              <w:t>remiowanie operacji, które mają na celu kultywowanie lokalnych tradycji</w:t>
            </w:r>
          </w:p>
        </w:tc>
        <w:tc>
          <w:tcPr>
            <w:tcW w:w="6804" w:type="dxa"/>
          </w:tcPr>
          <w:p w14:paraId="4BA669C1" w14:textId="77777777" w:rsidR="00241A86" w:rsidRPr="00F16251" w:rsidRDefault="00241A86" w:rsidP="007F1E76">
            <w:pPr>
              <w:spacing w:line="276" w:lineRule="auto"/>
              <w:rPr>
                <w:rFonts w:cstheme="minorHAnsi"/>
              </w:rPr>
            </w:pPr>
            <w:r w:rsidRPr="00F16251">
              <w:rPr>
                <w:rFonts w:cstheme="minorHAnsi"/>
              </w:rPr>
              <w:t xml:space="preserve">Globalizacja nie może przesłonić bogactwa lokalnego potencjału (kulturowego, przyrodniczego, kulinarnego itp.). LGD jako organizacja działająca „na rzecz” rozwoju danego obszaru powinna zadbać o to, aby mieszkańcy w pierwszej kolejności odkryli a następnie korzystali z jego zasobów promując tym samym obszar LSR. </w:t>
            </w:r>
          </w:p>
        </w:tc>
      </w:tr>
      <w:tr w:rsidR="00241A86" w:rsidRPr="00A26C26" w14:paraId="78E079B0" w14:textId="77777777" w:rsidTr="007F1E76">
        <w:tc>
          <w:tcPr>
            <w:tcW w:w="3397" w:type="dxa"/>
          </w:tcPr>
          <w:p w14:paraId="4792443D" w14:textId="77777777" w:rsidR="00241A86" w:rsidRPr="00F16251" w:rsidRDefault="00241A86" w:rsidP="008A412F">
            <w:pPr>
              <w:numPr>
                <w:ilvl w:val="0"/>
                <w:numId w:val="14"/>
              </w:numPr>
              <w:spacing w:line="276" w:lineRule="auto"/>
              <w:ind w:left="171" w:hanging="142"/>
              <w:rPr>
                <w:rFonts w:cstheme="minorHAnsi"/>
              </w:rPr>
            </w:pPr>
            <w:r w:rsidRPr="00F16251">
              <w:rPr>
                <w:rFonts w:cstheme="minorHAnsi"/>
              </w:rPr>
              <w:t xml:space="preserve">Realizowane przez Wnioskodawców, którzy korzystali z doradztwa w biurze LGD </w:t>
            </w:r>
          </w:p>
          <w:p w14:paraId="21C924A7" w14:textId="6A21F8FE" w:rsidR="00241A86" w:rsidRPr="00F16251" w:rsidRDefault="00241A86" w:rsidP="00444EBB">
            <w:pPr>
              <w:numPr>
                <w:ilvl w:val="0"/>
                <w:numId w:val="14"/>
              </w:numPr>
              <w:spacing w:line="276" w:lineRule="auto"/>
              <w:ind w:left="171" w:hanging="142"/>
              <w:rPr>
                <w:rFonts w:cstheme="minorHAnsi"/>
              </w:rPr>
            </w:pPr>
            <w:r w:rsidRPr="00F16251">
              <w:rPr>
                <w:rFonts w:cstheme="minorHAnsi"/>
              </w:rPr>
              <w:t xml:space="preserve">Realizowane przez Wnioskodawców, </w:t>
            </w:r>
            <w:r w:rsidR="00594AF0" w:rsidRPr="00F16251">
              <w:rPr>
                <w:rFonts w:cstheme="minorHAnsi"/>
              </w:rPr>
              <w:t>którzy brali udział wydarzenia</w:t>
            </w:r>
            <w:r w:rsidR="00444EBB">
              <w:rPr>
                <w:rFonts w:cstheme="minorHAnsi"/>
              </w:rPr>
              <w:t>ch / spotkaniach/szkoleniach zorganizowanych</w:t>
            </w:r>
            <w:r w:rsidRPr="00F16251">
              <w:rPr>
                <w:rFonts w:cstheme="minorHAnsi"/>
              </w:rPr>
              <w:t xml:space="preserve"> przed prowadzonym naborem</w:t>
            </w:r>
          </w:p>
        </w:tc>
        <w:tc>
          <w:tcPr>
            <w:tcW w:w="6804" w:type="dxa"/>
          </w:tcPr>
          <w:p w14:paraId="3C8FEF6A" w14:textId="07895E93" w:rsidR="00241A86" w:rsidRPr="00F16251" w:rsidRDefault="00241A86" w:rsidP="00444EBB">
            <w:pPr>
              <w:spacing w:line="276" w:lineRule="auto"/>
              <w:jc w:val="both"/>
              <w:rPr>
                <w:rFonts w:cstheme="minorHAnsi"/>
              </w:rPr>
            </w:pPr>
            <w:r w:rsidRPr="00F16251">
              <w:rPr>
                <w:rFonts w:cstheme="minorHAnsi"/>
              </w:rPr>
              <w:t xml:space="preserve">Z uwagi na ograniczony budżet LSR oraz skrócony czas wdrażania LGD powinna podejmować działania w celu minimalizacji ryzyka nieosiągnięcia zakładanych wskaźników oraz w dalszej konsekwencji celów LSR. Doświadczenia poprzedniego okresu programowania pokazują, </w:t>
            </w:r>
            <w:r w:rsidR="00444EBB">
              <w:rPr>
                <w:rFonts w:cstheme="minorHAnsi"/>
              </w:rPr>
              <w:t xml:space="preserve">                               </w:t>
            </w:r>
            <w:r w:rsidRPr="00F16251">
              <w:rPr>
                <w:rFonts w:cstheme="minorHAnsi"/>
              </w:rPr>
              <w:t xml:space="preserve">że beneficjenci, którzy nie korzystali z doradztwa, nie uczestniczyli </w:t>
            </w:r>
            <w:r w:rsidR="00444EBB">
              <w:rPr>
                <w:rFonts w:cstheme="minorHAnsi"/>
              </w:rPr>
              <w:t xml:space="preserve">                           </w:t>
            </w:r>
            <w:r w:rsidRPr="00F16251">
              <w:rPr>
                <w:rFonts w:cstheme="minorHAnsi"/>
              </w:rPr>
              <w:t>w szkoleniach, spotkaniach itp. składali wnioski gor</w:t>
            </w:r>
            <w:r w:rsidR="00444EBB">
              <w:rPr>
                <w:rFonts w:cstheme="minorHAnsi"/>
              </w:rPr>
              <w:t xml:space="preserve">szej jakości oraz                           w późniejszym etapie rezygnowali </w:t>
            </w:r>
            <w:r w:rsidRPr="00F16251">
              <w:rPr>
                <w:rFonts w:cstheme="minorHAnsi"/>
              </w:rPr>
              <w:t xml:space="preserve">z realizacji operacji co miało negatywny wpływa na harmonogram osiągania celów i wdrażanie LSR. </w:t>
            </w:r>
          </w:p>
        </w:tc>
      </w:tr>
      <w:tr w:rsidR="00241A86" w:rsidRPr="00A26C26" w14:paraId="3BC4E59C" w14:textId="77777777" w:rsidTr="007F1E76">
        <w:tc>
          <w:tcPr>
            <w:tcW w:w="3397" w:type="dxa"/>
          </w:tcPr>
          <w:p w14:paraId="56A96061" w14:textId="77777777" w:rsidR="00241A86" w:rsidRPr="00A26C26" w:rsidRDefault="00241A86" w:rsidP="007F1E76">
            <w:pPr>
              <w:spacing w:line="276" w:lineRule="auto"/>
              <w:jc w:val="both"/>
              <w:rPr>
                <w:rFonts w:cstheme="minorHAnsi"/>
              </w:rPr>
            </w:pPr>
            <w:r w:rsidRPr="00A26C26">
              <w:rPr>
                <w:rFonts w:cstheme="minorHAnsi"/>
              </w:rPr>
              <w:t>Przyczyniają</w:t>
            </w:r>
            <w:r>
              <w:rPr>
                <w:rFonts w:cstheme="minorHAnsi"/>
              </w:rPr>
              <w:t xml:space="preserve"> </w:t>
            </w:r>
            <w:r w:rsidRPr="00A26C26">
              <w:rPr>
                <w:rFonts w:cstheme="minorHAnsi"/>
              </w:rPr>
              <w:t>się</w:t>
            </w:r>
            <w:r>
              <w:rPr>
                <w:rFonts w:cstheme="minorHAnsi"/>
              </w:rPr>
              <w:t xml:space="preserve"> </w:t>
            </w:r>
            <w:r w:rsidRPr="00A26C26">
              <w:rPr>
                <w:rFonts w:cstheme="minorHAnsi"/>
              </w:rPr>
              <w:t>do</w:t>
            </w:r>
            <w:r>
              <w:rPr>
                <w:rFonts w:cstheme="minorHAnsi"/>
              </w:rPr>
              <w:t xml:space="preserve"> </w:t>
            </w:r>
            <w:r w:rsidRPr="00A26C26">
              <w:rPr>
                <w:rFonts w:cstheme="minorHAnsi"/>
              </w:rPr>
              <w:t>utworzenia</w:t>
            </w:r>
            <w:r>
              <w:rPr>
                <w:rFonts w:cstheme="minorHAnsi"/>
              </w:rPr>
              <w:t xml:space="preserve"> </w:t>
            </w:r>
            <w:r w:rsidRPr="00A26C26">
              <w:rPr>
                <w:rFonts w:cstheme="minorHAnsi"/>
              </w:rPr>
              <w:t>miejsca</w:t>
            </w:r>
            <w:r>
              <w:rPr>
                <w:rFonts w:cstheme="minorHAnsi"/>
              </w:rPr>
              <w:t xml:space="preserve"> </w:t>
            </w:r>
            <w:r w:rsidRPr="00A26C26">
              <w:rPr>
                <w:rFonts w:cstheme="minorHAnsi"/>
              </w:rPr>
              <w:t>pracy</w:t>
            </w:r>
          </w:p>
        </w:tc>
        <w:tc>
          <w:tcPr>
            <w:tcW w:w="6804" w:type="dxa"/>
          </w:tcPr>
          <w:p w14:paraId="3AE3446D" w14:textId="77777777" w:rsidR="00241A86" w:rsidRPr="00A26C26" w:rsidRDefault="00241A86" w:rsidP="007F1E76">
            <w:pPr>
              <w:spacing w:line="276" w:lineRule="auto"/>
              <w:jc w:val="both"/>
              <w:rPr>
                <w:rFonts w:cstheme="minorHAnsi"/>
              </w:rPr>
            </w:pPr>
            <w:r w:rsidRPr="00A26C26">
              <w:rPr>
                <w:rFonts w:cstheme="minorHAnsi"/>
              </w:rPr>
              <w:t>Jest</w:t>
            </w:r>
            <w:r>
              <w:rPr>
                <w:rFonts w:cstheme="minorHAnsi"/>
              </w:rPr>
              <w:t xml:space="preserve"> </w:t>
            </w:r>
            <w:r w:rsidRPr="00A26C26">
              <w:rPr>
                <w:rFonts w:cstheme="minorHAnsi"/>
              </w:rPr>
              <w:t>to</w:t>
            </w:r>
            <w:r>
              <w:rPr>
                <w:rFonts w:cstheme="minorHAnsi"/>
              </w:rPr>
              <w:t xml:space="preserve"> </w:t>
            </w:r>
            <w:r w:rsidRPr="00A26C26">
              <w:rPr>
                <w:rFonts w:cstheme="minorHAnsi"/>
              </w:rPr>
              <w:t>niezbędne</w:t>
            </w:r>
            <w:r>
              <w:rPr>
                <w:rFonts w:cstheme="minorHAnsi"/>
              </w:rPr>
              <w:t xml:space="preserve"> </w:t>
            </w:r>
            <w:r w:rsidRPr="00A26C26">
              <w:rPr>
                <w:rFonts w:cstheme="minorHAnsi"/>
              </w:rPr>
              <w:t>z</w:t>
            </w:r>
            <w:r>
              <w:rPr>
                <w:rFonts w:cstheme="minorHAnsi"/>
              </w:rPr>
              <w:t xml:space="preserve"> </w:t>
            </w:r>
            <w:r w:rsidRPr="00A26C26">
              <w:rPr>
                <w:rFonts w:cstheme="minorHAnsi"/>
              </w:rPr>
              <w:t>uwagi</w:t>
            </w:r>
            <w:r>
              <w:rPr>
                <w:rFonts w:cstheme="minorHAnsi"/>
              </w:rPr>
              <w:t xml:space="preserve"> </w:t>
            </w:r>
            <w:r w:rsidRPr="00A26C26">
              <w:rPr>
                <w:rFonts w:cstheme="minorHAnsi"/>
              </w:rPr>
              <w:t>na</w:t>
            </w:r>
            <w:r>
              <w:rPr>
                <w:rFonts w:cstheme="minorHAnsi"/>
              </w:rPr>
              <w:t xml:space="preserve"> </w:t>
            </w:r>
            <w:r w:rsidRPr="00A26C26">
              <w:rPr>
                <w:rFonts w:cstheme="minorHAnsi"/>
              </w:rPr>
              <w:t>fakt,</w:t>
            </w:r>
            <w:r>
              <w:rPr>
                <w:rFonts w:cstheme="minorHAnsi"/>
              </w:rPr>
              <w:t xml:space="preserve"> </w:t>
            </w:r>
            <w:r w:rsidRPr="00A26C26">
              <w:rPr>
                <w:rFonts w:cstheme="minorHAnsi"/>
              </w:rPr>
              <w:t>iż</w:t>
            </w:r>
            <w:r>
              <w:rPr>
                <w:rFonts w:cstheme="minorHAnsi"/>
              </w:rPr>
              <w:t xml:space="preserve"> </w:t>
            </w:r>
            <w:r w:rsidRPr="00A26C26">
              <w:rPr>
                <w:rFonts w:cstheme="minorHAnsi"/>
              </w:rPr>
              <w:t>stopa</w:t>
            </w:r>
            <w:r>
              <w:rPr>
                <w:rFonts w:cstheme="minorHAnsi"/>
              </w:rPr>
              <w:t xml:space="preserve"> </w:t>
            </w:r>
            <w:r w:rsidRPr="00A26C26">
              <w:rPr>
                <w:rFonts w:cstheme="minorHAnsi"/>
              </w:rPr>
              <w:t>bezrobocia</w:t>
            </w:r>
            <w:r>
              <w:rPr>
                <w:rFonts w:cstheme="minorHAnsi"/>
              </w:rPr>
              <w:t xml:space="preserve"> </w:t>
            </w:r>
            <w:r w:rsidRPr="00A26C26">
              <w:rPr>
                <w:rFonts w:cstheme="minorHAnsi"/>
              </w:rPr>
              <w:t>spada</w:t>
            </w:r>
            <w:r>
              <w:rPr>
                <w:rFonts w:cstheme="minorHAnsi"/>
              </w:rPr>
              <w:t xml:space="preserve"> </w:t>
            </w:r>
            <w:r w:rsidRPr="00A26C26">
              <w:rPr>
                <w:rFonts w:cstheme="minorHAnsi"/>
              </w:rPr>
              <w:t>bardzo</w:t>
            </w:r>
            <w:r>
              <w:rPr>
                <w:rFonts w:cstheme="minorHAnsi"/>
              </w:rPr>
              <w:t xml:space="preserve"> </w:t>
            </w:r>
            <w:r w:rsidRPr="00A26C26">
              <w:rPr>
                <w:rFonts w:cstheme="minorHAnsi"/>
              </w:rPr>
              <w:t>powoli</w:t>
            </w:r>
            <w:r>
              <w:rPr>
                <w:rFonts w:cstheme="minorHAnsi"/>
              </w:rPr>
              <w:t xml:space="preserve"> </w:t>
            </w:r>
            <w:r w:rsidRPr="00A26C26">
              <w:rPr>
                <w:rFonts w:cstheme="minorHAnsi"/>
              </w:rPr>
              <w:t>oraz</w:t>
            </w:r>
            <w:r>
              <w:rPr>
                <w:rFonts w:cstheme="minorHAnsi"/>
              </w:rPr>
              <w:t xml:space="preserve"> </w:t>
            </w:r>
            <w:r w:rsidRPr="00A26C26">
              <w:rPr>
                <w:rFonts w:cstheme="minorHAnsi"/>
              </w:rPr>
              <w:t>jedną</w:t>
            </w:r>
            <w:r>
              <w:rPr>
                <w:rFonts w:cstheme="minorHAnsi"/>
              </w:rPr>
              <w:t xml:space="preserve"> </w:t>
            </w:r>
            <w:r w:rsidRPr="00A26C26">
              <w:rPr>
                <w:rFonts w:cstheme="minorHAnsi"/>
              </w:rPr>
              <w:t>z</w:t>
            </w:r>
            <w:r>
              <w:rPr>
                <w:rFonts w:cstheme="minorHAnsi"/>
              </w:rPr>
              <w:t xml:space="preserve"> </w:t>
            </w:r>
            <w:r w:rsidRPr="00A26C26">
              <w:rPr>
                <w:rFonts w:cstheme="minorHAnsi"/>
              </w:rPr>
              <w:t>grup</w:t>
            </w:r>
            <w:r>
              <w:rPr>
                <w:rFonts w:cstheme="minorHAnsi"/>
              </w:rPr>
              <w:t xml:space="preserve"> </w:t>
            </w:r>
            <w:r w:rsidRPr="00A26C26">
              <w:rPr>
                <w:rFonts w:cstheme="minorHAnsi"/>
              </w:rPr>
              <w:t>docelowych</w:t>
            </w:r>
            <w:r>
              <w:rPr>
                <w:rFonts w:cstheme="minorHAnsi"/>
              </w:rPr>
              <w:t xml:space="preserve"> </w:t>
            </w:r>
            <w:r w:rsidRPr="00A26C26">
              <w:rPr>
                <w:rFonts w:cstheme="minorHAnsi"/>
              </w:rPr>
              <w:t>są</w:t>
            </w:r>
            <w:r>
              <w:rPr>
                <w:rFonts w:cstheme="minorHAnsi"/>
              </w:rPr>
              <w:t xml:space="preserve"> </w:t>
            </w:r>
            <w:r w:rsidRPr="00A26C26">
              <w:rPr>
                <w:rFonts w:cstheme="minorHAnsi"/>
              </w:rPr>
              <w:t>ludzie</w:t>
            </w:r>
            <w:r>
              <w:rPr>
                <w:rFonts w:cstheme="minorHAnsi"/>
              </w:rPr>
              <w:t xml:space="preserve"> </w:t>
            </w:r>
            <w:r w:rsidRPr="00A26C26">
              <w:rPr>
                <w:rFonts w:cstheme="minorHAnsi"/>
              </w:rPr>
              <w:t>młodzi,</w:t>
            </w:r>
            <w:r>
              <w:rPr>
                <w:rFonts w:cstheme="minorHAnsi"/>
              </w:rPr>
              <w:t xml:space="preserve"> </w:t>
            </w:r>
            <w:r w:rsidRPr="00A26C26">
              <w:rPr>
                <w:rFonts w:cstheme="minorHAnsi"/>
              </w:rPr>
              <w:t>którzy</w:t>
            </w:r>
            <w:r>
              <w:rPr>
                <w:rFonts w:cstheme="minorHAnsi"/>
              </w:rPr>
              <w:t xml:space="preserve"> </w:t>
            </w:r>
            <w:r w:rsidRPr="00A26C26">
              <w:rPr>
                <w:rFonts w:cstheme="minorHAnsi"/>
              </w:rPr>
              <w:t>nie</w:t>
            </w:r>
            <w:r>
              <w:rPr>
                <w:rFonts w:cstheme="minorHAnsi"/>
              </w:rPr>
              <w:t xml:space="preserve"> </w:t>
            </w:r>
            <w:r w:rsidRPr="00A26C26">
              <w:rPr>
                <w:rFonts w:cstheme="minorHAnsi"/>
              </w:rPr>
              <w:t>widzą</w:t>
            </w:r>
            <w:r>
              <w:rPr>
                <w:rFonts w:cstheme="minorHAnsi"/>
              </w:rPr>
              <w:t xml:space="preserve"> </w:t>
            </w:r>
            <w:r w:rsidRPr="00A26C26">
              <w:rPr>
                <w:rFonts w:cstheme="minorHAnsi"/>
              </w:rPr>
              <w:t>możliwości</w:t>
            </w:r>
            <w:r>
              <w:rPr>
                <w:rFonts w:cstheme="minorHAnsi"/>
              </w:rPr>
              <w:t xml:space="preserve"> </w:t>
            </w:r>
            <w:r w:rsidRPr="00A26C26">
              <w:rPr>
                <w:rFonts w:cstheme="minorHAnsi"/>
              </w:rPr>
              <w:t>rozwoju</w:t>
            </w:r>
            <w:r>
              <w:rPr>
                <w:rFonts w:cstheme="minorHAnsi"/>
              </w:rPr>
              <w:t xml:space="preserve"> </w:t>
            </w:r>
            <w:r w:rsidRPr="00A26C26">
              <w:rPr>
                <w:rFonts w:cstheme="minorHAnsi"/>
              </w:rPr>
              <w:t>w</w:t>
            </w:r>
            <w:r>
              <w:rPr>
                <w:rFonts w:cstheme="minorHAnsi"/>
              </w:rPr>
              <w:t xml:space="preserve"> </w:t>
            </w:r>
            <w:r w:rsidRPr="00A26C26">
              <w:rPr>
                <w:rFonts w:cstheme="minorHAnsi"/>
              </w:rPr>
              <w:t>swoim</w:t>
            </w:r>
            <w:r>
              <w:rPr>
                <w:rFonts w:cstheme="minorHAnsi"/>
              </w:rPr>
              <w:t xml:space="preserve"> </w:t>
            </w:r>
            <w:r w:rsidRPr="00A26C26">
              <w:rPr>
                <w:rFonts w:cstheme="minorHAnsi"/>
              </w:rPr>
              <w:t>miejscu</w:t>
            </w:r>
            <w:r>
              <w:rPr>
                <w:rFonts w:cstheme="minorHAnsi"/>
              </w:rPr>
              <w:t xml:space="preserve"> </w:t>
            </w:r>
            <w:r w:rsidRPr="00A26C26">
              <w:rPr>
                <w:rFonts w:cstheme="minorHAnsi"/>
              </w:rPr>
              <w:t>zamieszkania</w:t>
            </w:r>
            <w:r>
              <w:rPr>
                <w:rFonts w:cstheme="minorHAnsi"/>
              </w:rPr>
              <w:t xml:space="preserve"> </w:t>
            </w:r>
            <w:r w:rsidRPr="00A26C26">
              <w:rPr>
                <w:rFonts w:cstheme="minorHAnsi"/>
              </w:rPr>
              <w:t>a</w:t>
            </w:r>
            <w:r>
              <w:rPr>
                <w:rFonts w:cstheme="minorHAnsi"/>
              </w:rPr>
              <w:t xml:space="preserve"> </w:t>
            </w:r>
            <w:r w:rsidRPr="00A26C26">
              <w:rPr>
                <w:rFonts w:cstheme="minorHAnsi"/>
              </w:rPr>
              <w:t>jak</w:t>
            </w:r>
            <w:r>
              <w:rPr>
                <w:rFonts w:cstheme="minorHAnsi"/>
              </w:rPr>
              <w:t xml:space="preserve"> </w:t>
            </w:r>
            <w:r w:rsidRPr="00A26C26">
              <w:rPr>
                <w:rFonts w:cstheme="minorHAnsi"/>
              </w:rPr>
              <w:t>powszechnie</w:t>
            </w:r>
            <w:r>
              <w:rPr>
                <w:rFonts w:cstheme="minorHAnsi"/>
              </w:rPr>
              <w:t xml:space="preserve"> </w:t>
            </w:r>
            <w:r w:rsidRPr="00A26C26">
              <w:rPr>
                <w:rFonts w:cstheme="minorHAnsi"/>
              </w:rPr>
              <w:t>wiadomo,</w:t>
            </w:r>
            <w:r>
              <w:rPr>
                <w:rFonts w:cstheme="minorHAnsi"/>
              </w:rPr>
              <w:t xml:space="preserve"> </w:t>
            </w:r>
            <w:r w:rsidRPr="00A26C26">
              <w:rPr>
                <w:rFonts w:cstheme="minorHAnsi"/>
              </w:rPr>
              <w:t>jednym</w:t>
            </w:r>
            <w:r>
              <w:rPr>
                <w:rFonts w:cstheme="minorHAnsi"/>
              </w:rPr>
              <w:t xml:space="preserve"> </w:t>
            </w:r>
            <w:r w:rsidRPr="00A26C26">
              <w:rPr>
                <w:rFonts w:cstheme="minorHAnsi"/>
              </w:rPr>
              <w:t>z</w:t>
            </w:r>
            <w:r>
              <w:rPr>
                <w:rFonts w:cstheme="minorHAnsi"/>
              </w:rPr>
              <w:t xml:space="preserve"> </w:t>
            </w:r>
            <w:r w:rsidRPr="00A26C26">
              <w:rPr>
                <w:rFonts w:cstheme="minorHAnsi"/>
              </w:rPr>
              <w:t>głównych</w:t>
            </w:r>
            <w:r>
              <w:rPr>
                <w:rFonts w:cstheme="minorHAnsi"/>
              </w:rPr>
              <w:t xml:space="preserve"> </w:t>
            </w:r>
            <w:r w:rsidRPr="00A26C26">
              <w:rPr>
                <w:rFonts w:cstheme="minorHAnsi"/>
              </w:rPr>
              <w:t>czynników,</w:t>
            </w:r>
            <w:r>
              <w:rPr>
                <w:rFonts w:cstheme="minorHAnsi"/>
              </w:rPr>
              <w:t xml:space="preserve"> </w:t>
            </w:r>
            <w:r w:rsidRPr="00A26C26">
              <w:rPr>
                <w:rFonts w:cstheme="minorHAnsi"/>
              </w:rPr>
              <w:t>który</w:t>
            </w:r>
            <w:r>
              <w:rPr>
                <w:rFonts w:cstheme="minorHAnsi"/>
              </w:rPr>
              <w:t xml:space="preserve"> </w:t>
            </w:r>
            <w:r w:rsidRPr="00A26C26">
              <w:rPr>
                <w:rFonts w:cstheme="minorHAnsi"/>
              </w:rPr>
              <w:t>może</w:t>
            </w:r>
            <w:r>
              <w:rPr>
                <w:rFonts w:cstheme="minorHAnsi"/>
              </w:rPr>
              <w:t xml:space="preserve"> </w:t>
            </w:r>
            <w:r w:rsidRPr="00A26C26">
              <w:rPr>
                <w:rFonts w:cstheme="minorHAnsi"/>
              </w:rPr>
              <w:t>zachęcić</w:t>
            </w:r>
            <w:r>
              <w:rPr>
                <w:rFonts w:cstheme="minorHAnsi"/>
              </w:rPr>
              <w:t xml:space="preserve"> </w:t>
            </w:r>
            <w:r w:rsidRPr="00A26C26">
              <w:rPr>
                <w:rFonts w:cstheme="minorHAnsi"/>
              </w:rPr>
              <w:t>młodych</w:t>
            </w:r>
            <w:r>
              <w:rPr>
                <w:rFonts w:cstheme="minorHAnsi"/>
              </w:rPr>
              <w:t xml:space="preserve"> </w:t>
            </w:r>
            <w:r w:rsidRPr="00A26C26">
              <w:rPr>
                <w:rFonts w:cstheme="minorHAnsi"/>
              </w:rPr>
              <w:t>ludzi</w:t>
            </w:r>
            <w:r>
              <w:rPr>
                <w:rFonts w:cstheme="minorHAnsi"/>
              </w:rPr>
              <w:t xml:space="preserve"> </w:t>
            </w:r>
            <w:r w:rsidRPr="00A26C26">
              <w:rPr>
                <w:rFonts w:cstheme="minorHAnsi"/>
              </w:rPr>
              <w:t>do</w:t>
            </w:r>
            <w:r>
              <w:rPr>
                <w:rFonts w:cstheme="minorHAnsi"/>
              </w:rPr>
              <w:t xml:space="preserve"> </w:t>
            </w:r>
            <w:r w:rsidRPr="00A26C26">
              <w:rPr>
                <w:rFonts w:cstheme="minorHAnsi"/>
              </w:rPr>
              <w:t>pozostania</w:t>
            </w:r>
            <w:r>
              <w:rPr>
                <w:rFonts w:cstheme="minorHAnsi"/>
              </w:rPr>
              <w:t xml:space="preserve"> </w:t>
            </w:r>
            <w:r w:rsidRPr="00A26C26">
              <w:rPr>
                <w:rFonts w:cstheme="minorHAnsi"/>
              </w:rPr>
              <w:t>są</w:t>
            </w:r>
            <w:r>
              <w:rPr>
                <w:rFonts w:cstheme="minorHAnsi"/>
              </w:rPr>
              <w:t xml:space="preserve"> </w:t>
            </w:r>
            <w:r w:rsidRPr="00A26C26">
              <w:rPr>
                <w:rFonts w:cstheme="minorHAnsi"/>
              </w:rPr>
              <w:t>atrakcyjne</w:t>
            </w:r>
            <w:r>
              <w:rPr>
                <w:rFonts w:cstheme="minorHAnsi"/>
              </w:rPr>
              <w:t xml:space="preserve"> </w:t>
            </w:r>
            <w:r w:rsidRPr="00A26C26">
              <w:rPr>
                <w:rFonts w:cstheme="minorHAnsi"/>
              </w:rPr>
              <w:t>miejsca</w:t>
            </w:r>
            <w:r>
              <w:rPr>
                <w:rFonts w:cstheme="minorHAnsi"/>
              </w:rPr>
              <w:t xml:space="preserve"> </w:t>
            </w:r>
            <w:r w:rsidRPr="00A26C26">
              <w:rPr>
                <w:rFonts w:cstheme="minorHAnsi"/>
              </w:rPr>
              <w:t>pracy.</w:t>
            </w:r>
            <w:r>
              <w:rPr>
                <w:rFonts w:cstheme="minorHAnsi"/>
              </w:rPr>
              <w:t xml:space="preserve"> </w:t>
            </w:r>
          </w:p>
        </w:tc>
      </w:tr>
      <w:tr w:rsidR="00241A86" w:rsidRPr="00A26C26" w14:paraId="09CC72EA" w14:textId="77777777" w:rsidTr="007F1E76">
        <w:tc>
          <w:tcPr>
            <w:tcW w:w="3397" w:type="dxa"/>
          </w:tcPr>
          <w:p w14:paraId="0BA96D9D" w14:textId="77777777" w:rsidR="00241A86" w:rsidRPr="00A26C26" w:rsidRDefault="00241A86" w:rsidP="007F1E76">
            <w:pPr>
              <w:spacing w:line="276" w:lineRule="auto"/>
              <w:rPr>
                <w:rFonts w:cstheme="minorHAnsi"/>
              </w:rPr>
            </w:pPr>
            <w:r w:rsidRPr="00A26C26">
              <w:rPr>
                <w:rFonts w:cstheme="minorHAnsi"/>
              </w:rPr>
              <w:t>Realizowane</w:t>
            </w:r>
            <w:r>
              <w:rPr>
                <w:rFonts w:cstheme="minorHAnsi"/>
              </w:rPr>
              <w:t xml:space="preserve"> </w:t>
            </w:r>
            <w:r w:rsidRPr="00A26C26">
              <w:rPr>
                <w:rFonts w:cstheme="minorHAnsi"/>
              </w:rPr>
              <w:t>przez</w:t>
            </w:r>
            <w:r>
              <w:rPr>
                <w:rFonts w:cstheme="minorHAnsi"/>
              </w:rPr>
              <w:t xml:space="preserve"> </w:t>
            </w:r>
            <w:r w:rsidRPr="00A26C26">
              <w:rPr>
                <w:rFonts w:cstheme="minorHAnsi"/>
              </w:rPr>
              <w:t>wnioskodawców</w:t>
            </w:r>
            <w:r>
              <w:rPr>
                <w:rFonts w:cstheme="minorHAnsi"/>
              </w:rPr>
              <w:t xml:space="preserve"> </w:t>
            </w:r>
            <w:r w:rsidRPr="00A26C26">
              <w:rPr>
                <w:rFonts w:cstheme="minorHAnsi"/>
              </w:rPr>
              <w:t>posiadających</w:t>
            </w:r>
            <w:r>
              <w:rPr>
                <w:rFonts w:cstheme="minorHAnsi"/>
              </w:rPr>
              <w:t xml:space="preserve"> </w:t>
            </w:r>
            <w:r w:rsidRPr="00A26C26">
              <w:rPr>
                <w:rFonts w:cstheme="minorHAnsi"/>
              </w:rPr>
              <w:t>doświadczenie</w:t>
            </w:r>
            <w:r>
              <w:rPr>
                <w:rFonts w:cstheme="minorHAnsi"/>
              </w:rPr>
              <w:t xml:space="preserve"> </w:t>
            </w:r>
            <w:r w:rsidRPr="00A26C26">
              <w:rPr>
                <w:rFonts w:cstheme="minorHAnsi"/>
              </w:rPr>
              <w:t>lub</w:t>
            </w:r>
            <w:r>
              <w:rPr>
                <w:rFonts w:cstheme="minorHAnsi"/>
              </w:rPr>
              <w:t xml:space="preserve"> </w:t>
            </w:r>
            <w:r w:rsidRPr="00A26C26">
              <w:rPr>
                <w:rFonts w:cstheme="minorHAnsi"/>
              </w:rPr>
              <w:t>kwalifikacje</w:t>
            </w:r>
            <w:r>
              <w:rPr>
                <w:rFonts w:cstheme="minorHAnsi"/>
              </w:rPr>
              <w:t xml:space="preserve"> </w:t>
            </w:r>
            <w:r w:rsidRPr="00A26C26">
              <w:rPr>
                <w:rFonts w:cstheme="minorHAnsi"/>
              </w:rPr>
              <w:t>w</w:t>
            </w:r>
            <w:r>
              <w:rPr>
                <w:rFonts w:cstheme="minorHAnsi"/>
              </w:rPr>
              <w:t xml:space="preserve"> </w:t>
            </w:r>
            <w:r w:rsidRPr="00A26C26">
              <w:rPr>
                <w:rFonts w:cstheme="minorHAnsi"/>
              </w:rPr>
              <w:t>zakresie</w:t>
            </w:r>
            <w:r>
              <w:rPr>
                <w:rFonts w:cstheme="minorHAnsi"/>
              </w:rPr>
              <w:t xml:space="preserve"> </w:t>
            </w:r>
            <w:r w:rsidRPr="00A26C26">
              <w:rPr>
                <w:rFonts w:cstheme="minorHAnsi"/>
              </w:rPr>
              <w:t>odpowiednim</w:t>
            </w:r>
            <w:r>
              <w:rPr>
                <w:rFonts w:cstheme="minorHAnsi"/>
              </w:rPr>
              <w:t xml:space="preserve"> </w:t>
            </w:r>
            <w:r w:rsidRPr="00A26C26">
              <w:rPr>
                <w:rFonts w:cstheme="minorHAnsi"/>
              </w:rPr>
              <w:t>do</w:t>
            </w:r>
            <w:r>
              <w:rPr>
                <w:rFonts w:cstheme="minorHAnsi"/>
              </w:rPr>
              <w:t xml:space="preserve"> </w:t>
            </w:r>
            <w:r w:rsidRPr="00A26C26">
              <w:rPr>
                <w:rFonts w:cstheme="minorHAnsi"/>
              </w:rPr>
              <w:t>zakresu</w:t>
            </w:r>
            <w:r>
              <w:rPr>
                <w:rFonts w:cstheme="minorHAnsi"/>
              </w:rPr>
              <w:t xml:space="preserve"> </w:t>
            </w:r>
            <w:r w:rsidRPr="00A26C26">
              <w:rPr>
                <w:rFonts w:cstheme="minorHAnsi"/>
              </w:rPr>
              <w:t>projektu</w:t>
            </w:r>
          </w:p>
          <w:p w14:paraId="7DDECEA3" w14:textId="77777777" w:rsidR="00241A86" w:rsidRPr="00A26C26" w:rsidRDefault="00241A86" w:rsidP="007F1E76">
            <w:pPr>
              <w:spacing w:line="276" w:lineRule="auto"/>
              <w:rPr>
                <w:rFonts w:cstheme="minorHAnsi"/>
              </w:rPr>
            </w:pPr>
          </w:p>
        </w:tc>
        <w:tc>
          <w:tcPr>
            <w:tcW w:w="6804" w:type="dxa"/>
          </w:tcPr>
          <w:p w14:paraId="67AA42AA" w14:textId="345A0D34" w:rsidR="00241A86" w:rsidRPr="00A26C26" w:rsidRDefault="00241A86" w:rsidP="00444EBB">
            <w:pPr>
              <w:spacing w:line="276" w:lineRule="auto"/>
              <w:jc w:val="both"/>
              <w:rPr>
                <w:rFonts w:cstheme="minorHAnsi"/>
              </w:rPr>
            </w:pPr>
            <w:r w:rsidRPr="00A26C26">
              <w:rPr>
                <w:rFonts w:cstheme="minorHAnsi"/>
              </w:rPr>
              <w:t>Wybór</w:t>
            </w:r>
            <w:r>
              <w:rPr>
                <w:rFonts w:cstheme="minorHAnsi"/>
              </w:rPr>
              <w:t xml:space="preserve"> </w:t>
            </w:r>
            <w:r w:rsidRPr="00A26C26">
              <w:rPr>
                <w:rFonts w:cstheme="minorHAnsi"/>
              </w:rPr>
              <w:t>wnioskodawców</w:t>
            </w:r>
            <w:r>
              <w:rPr>
                <w:rFonts w:cstheme="minorHAnsi"/>
              </w:rPr>
              <w:t xml:space="preserve"> </w:t>
            </w:r>
            <w:r w:rsidRPr="00A26C26">
              <w:rPr>
                <w:rFonts w:cstheme="minorHAnsi"/>
              </w:rPr>
              <w:t>o</w:t>
            </w:r>
            <w:r>
              <w:rPr>
                <w:rFonts w:cstheme="minorHAnsi"/>
              </w:rPr>
              <w:t xml:space="preserve"> </w:t>
            </w:r>
            <w:r w:rsidRPr="00A26C26">
              <w:rPr>
                <w:rFonts w:cstheme="minorHAnsi"/>
              </w:rPr>
              <w:t>odpowiednich</w:t>
            </w:r>
            <w:r>
              <w:rPr>
                <w:rFonts w:cstheme="minorHAnsi"/>
              </w:rPr>
              <w:t xml:space="preserve"> </w:t>
            </w:r>
            <w:r w:rsidRPr="00A26C26">
              <w:rPr>
                <w:rFonts w:cstheme="minorHAnsi"/>
              </w:rPr>
              <w:t>kwalifikacjach</w:t>
            </w:r>
            <w:r>
              <w:rPr>
                <w:rFonts w:cstheme="minorHAnsi"/>
              </w:rPr>
              <w:t xml:space="preserve"> </w:t>
            </w:r>
            <w:r w:rsidRPr="00A26C26">
              <w:rPr>
                <w:rFonts w:cstheme="minorHAnsi"/>
              </w:rPr>
              <w:br/>
              <w:t>i</w:t>
            </w:r>
            <w:r>
              <w:rPr>
                <w:rFonts w:cstheme="minorHAnsi"/>
              </w:rPr>
              <w:t xml:space="preserve"> </w:t>
            </w:r>
            <w:r w:rsidRPr="00A26C26">
              <w:rPr>
                <w:rFonts w:cstheme="minorHAnsi"/>
              </w:rPr>
              <w:t>doświadczeniu</w:t>
            </w:r>
            <w:r>
              <w:rPr>
                <w:rFonts w:cstheme="minorHAnsi"/>
              </w:rPr>
              <w:t xml:space="preserve"> </w:t>
            </w:r>
            <w:r w:rsidRPr="00A26C26">
              <w:rPr>
                <w:rFonts w:cstheme="minorHAnsi"/>
              </w:rPr>
              <w:t>w</w:t>
            </w:r>
            <w:r>
              <w:rPr>
                <w:rFonts w:cstheme="minorHAnsi"/>
              </w:rPr>
              <w:t xml:space="preserve"> </w:t>
            </w:r>
            <w:r w:rsidRPr="00A26C26">
              <w:rPr>
                <w:rFonts w:cstheme="minorHAnsi"/>
              </w:rPr>
              <w:t>danym</w:t>
            </w:r>
            <w:r>
              <w:rPr>
                <w:rFonts w:cstheme="minorHAnsi"/>
              </w:rPr>
              <w:t xml:space="preserve"> </w:t>
            </w:r>
            <w:r w:rsidRPr="00A26C26">
              <w:rPr>
                <w:rFonts w:cstheme="minorHAnsi"/>
              </w:rPr>
              <w:t>obszarze</w:t>
            </w:r>
            <w:r>
              <w:rPr>
                <w:rFonts w:cstheme="minorHAnsi"/>
              </w:rPr>
              <w:t xml:space="preserve"> </w:t>
            </w:r>
            <w:r w:rsidRPr="00A26C26">
              <w:rPr>
                <w:rFonts w:cstheme="minorHAnsi"/>
              </w:rPr>
              <w:t>projektu</w:t>
            </w:r>
            <w:r>
              <w:rPr>
                <w:rFonts w:cstheme="minorHAnsi"/>
              </w:rPr>
              <w:t xml:space="preserve"> </w:t>
            </w:r>
            <w:r w:rsidRPr="00A26C26">
              <w:rPr>
                <w:rFonts w:cstheme="minorHAnsi"/>
              </w:rPr>
              <w:t>jest</w:t>
            </w:r>
            <w:r>
              <w:rPr>
                <w:rFonts w:cstheme="minorHAnsi"/>
              </w:rPr>
              <w:t xml:space="preserve"> </w:t>
            </w:r>
            <w:r w:rsidRPr="00A26C26">
              <w:rPr>
                <w:rFonts w:cstheme="minorHAnsi"/>
              </w:rPr>
              <w:t>kluczowy.</w:t>
            </w:r>
            <w:r>
              <w:rPr>
                <w:rFonts w:cstheme="minorHAnsi"/>
              </w:rPr>
              <w:t xml:space="preserve"> </w:t>
            </w:r>
            <w:r w:rsidRPr="00A26C26">
              <w:rPr>
                <w:rFonts w:cstheme="minorHAnsi"/>
              </w:rPr>
              <w:t>Szczególnie</w:t>
            </w:r>
            <w:r>
              <w:rPr>
                <w:rFonts w:cstheme="minorHAnsi"/>
              </w:rPr>
              <w:t xml:space="preserve"> </w:t>
            </w:r>
            <w:r w:rsidR="00444EBB">
              <w:rPr>
                <w:rFonts w:cstheme="minorHAnsi"/>
              </w:rPr>
              <w:t xml:space="preserve">                  </w:t>
            </w:r>
            <w:r w:rsidRPr="00A26C26">
              <w:rPr>
                <w:rFonts w:cstheme="minorHAnsi"/>
              </w:rPr>
              <w:t>w</w:t>
            </w:r>
            <w:r>
              <w:rPr>
                <w:rFonts w:cstheme="minorHAnsi"/>
              </w:rPr>
              <w:t xml:space="preserve"> </w:t>
            </w:r>
            <w:r w:rsidRPr="00A26C26">
              <w:rPr>
                <w:rFonts w:cstheme="minorHAnsi"/>
              </w:rPr>
              <w:t>przypadku</w:t>
            </w:r>
            <w:r>
              <w:rPr>
                <w:rFonts w:cstheme="minorHAnsi"/>
              </w:rPr>
              <w:t xml:space="preserve"> </w:t>
            </w:r>
            <w:r w:rsidRPr="00A26C26">
              <w:rPr>
                <w:rFonts w:cstheme="minorHAnsi"/>
              </w:rPr>
              <w:t>zakładania</w:t>
            </w:r>
            <w:r>
              <w:rPr>
                <w:rFonts w:cstheme="minorHAnsi"/>
              </w:rPr>
              <w:t xml:space="preserve"> </w:t>
            </w:r>
            <w:r w:rsidRPr="00A26C26">
              <w:rPr>
                <w:rFonts w:cstheme="minorHAnsi"/>
              </w:rPr>
              <w:t>nowej</w:t>
            </w:r>
            <w:r>
              <w:rPr>
                <w:rFonts w:cstheme="minorHAnsi"/>
              </w:rPr>
              <w:t xml:space="preserve"> </w:t>
            </w:r>
            <w:r w:rsidRPr="00A26C26">
              <w:rPr>
                <w:rFonts w:cstheme="minorHAnsi"/>
              </w:rPr>
              <w:t>działalności</w:t>
            </w:r>
            <w:r>
              <w:rPr>
                <w:rFonts w:cstheme="minorHAnsi"/>
              </w:rPr>
              <w:t xml:space="preserve"> </w:t>
            </w:r>
            <w:r w:rsidRPr="00A26C26">
              <w:rPr>
                <w:rFonts w:cstheme="minorHAnsi"/>
              </w:rPr>
              <w:t>gospodarczej,</w:t>
            </w:r>
            <w:r>
              <w:rPr>
                <w:rFonts w:cstheme="minorHAnsi"/>
              </w:rPr>
              <w:t xml:space="preserve"> </w:t>
            </w:r>
            <w:r w:rsidRPr="00A26C26">
              <w:rPr>
                <w:rFonts w:cstheme="minorHAnsi"/>
              </w:rPr>
              <w:t>to</w:t>
            </w:r>
            <w:r>
              <w:rPr>
                <w:rFonts w:cstheme="minorHAnsi"/>
              </w:rPr>
              <w:t xml:space="preserve"> </w:t>
            </w:r>
            <w:r w:rsidRPr="00A26C26">
              <w:rPr>
                <w:rFonts w:cstheme="minorHAnsi"/>
              </w:rPr>
              <w:t>właśnie</w:t>
            </w:r>
            <w:r>
              <w:rPr>
                <w:rFonts w:cstheme="minorHAnsi"/>
              </w:rPr>
              <w:t xml:space="preserve"> </w:t>
            </w:r>
            <w:r w:rsidRPr="00A26C26">
              <w:rPr>
                <w:rFonts w:cstheme="minorHAnsi"/>
              </w:rPr>
              <w:t>gwarantuje</w:t>
            </w:r>
            <w:r>
              <w:rPr>
                <w:rFonts w:cstheme="minorHAnsi"/>
              </w:rPr>
              <w:t xml:space="preserve"> </w:t>
            </w:r>
            <w:r w:rsidRPr="00A26C26">
              <w:rPr>
                <w:rFonts w:cstheme="minorHAnsi"/>
              </w:rPr>
              <w:t>wysoką</w:t>
            </w:r>
            <w:r>
              <w:rPr>
                <w:rFonts w:cstheme="minorHAnsi"/>
              </w:rPr>
              <w:t xml:space="preserve"> </w:t>
            </w:r>
            <w:r w:rsidRPr="00A26C26">
              <w:rPr>
                <w:rFonts w:cstheme="minorHAnsi"/>
              </w:rPr>
              <w:t>jakość</w:t>
            </w:r>
            <w:r>
              <w:rPr>
                <w:rFonts w:cstheme="minorHAnsi"/>
              </w:rPr>
              <w:t xml:space="preserve"> </w:t>
            </w:r>
            <w:r w:rsidRPr="00A26C26">
              <w:rPr>
                <w:rFonts w:cstheme="minorHAnsi"/>
              </w:rPr>
              <w:t>oferty</w:t>
            </w:r>
            <w:r>
              <w:rPr>
                <w:rFonts w:cstheme="minorHAnsi"/>
              </w:rPr>
              <w:t xml:space="preserve"> </w:t>
            </w:r>
            <w:r w:rsidRPr="00A26C26">
              <w:rPr>
                <w:rFonts w:cstheme="minorHAnsi"/>
              </w:rPr>
              <w:t>od</w:t>
            </w:r>
            <w:r>
              <w:rPr>
                <w:rFonts w:cstheme="minorHAnsi"/>
              </w:rPr>
              <w:t xml:space="preserve"> </w:t>
            </w:r>
            <w:r w:rsidRPr="00A26C26">
              <w:rPr>
                <w:rFonts w:cstheme="minorHAnsi"/>
              </w:rPr>
              <w:t>samego</w:t>
            </w:r>
            <w:r>
              <w:rPr>
                <w:rFonts w:cstheme="minorHAnsi"/>
              </w:rPr>
              <w:t xml:space="preserve"> </w:t>
            </w:r>
            <w:r w:rsidRPr="00A26C26">
              <w:rPr>
                <w:rFonts w:cstheme="minorHAnsi"/>
              </w:rPr>
              <w:t>początku,</w:t>
            </w:r>
            <w:r>
              <w:rPr>
                <w:rFonts w:cstheme="minorHAnsi"/>
              </w:rPr>
              <w:t xml:space="preserve"> </w:t>
            </w:r>
            <w:r w:rsidRPr="00A26C26">
              <w:rPr>
                <w:rFonts w:cstheme="minorHAnsi"/>
              </w:rPr>
              <w:t>po</w:t>
            </w:r>
            <w:r>
              <w:rPr>
                <w:rFonts w:cstheme="minorHAnsi"/>
              </w:rPr>
              <w:t xml:space="preserve"> </w:t>
            </w:r>
            <w:r w:rsidRPr="00A26C26">
              <w:rPr>
                <w:rFonts w:cstheme="minorHAnsi"/>
              </w:rPr>
              <w:t>wejściu</w:t>
            </w:r>
            <w:r>
              <w:rPr>
                <w:rFonts w:cstheme="minorHAnsi"/>
              </w:rPr>
              <w:t xml:space="preserve"> </w:t>
            </w:r>
            <w:r w:rsidRPr="00A26C26">
              <w:rPr>
                <w:rFonts w:cstheme="minorHAnsi"/>
              </w:rPr>
              <w:t>na</w:t>
            </w:r>
            <w:r>
              <w:rPr>
                <w:rFonts w:cstheme="minorHAnsi"/>
              </w:rPr>
              <w:t xml:space="preserve"> </w:t>
            </w:r>
            <w:r w:rsidRPr="00A26C26">
              <w:rPr>
                <w:rFonts w:cstheme="minorHAnsi"/>
              </w:rPr>
              <w:t>lokalny</w:t>
            </w:r>
            <w:r>
              <w:rPr>
                <w:rFonts w:cstheme="minorHAnsi"/>
              </w:rPr>
              <w:t xml:space="preserve"> </w:t>
            </w:r>
            <w:r w:rsidRPr="00A26C26">
              <w:rPr>
                <w:rFonts w:cstheme="minorHAnsi"/>
              </w:rPr>
              <w:t>rynek.</w:t>
            </w:r>
            <w:r>
              <w:rPr>
                <w:rFonts w:cstheme="minorHAnsi"/>
              </w:rPr>
              <w:t xml:space="preserve"> </w:t>
            </w:r>
            <w:r w:rsidRPr="00A26C26">
              <w:rPr>
                <w:rFonts w:cstheme="minorHAnsi"/>
              </w:rPr>
              <w:t>Dzięki</w:t>
            </w:r>
            <w:r>
              <w:rPr>
                <w:rFonts w:cstheme="minorHAnsi"/>
              </w:rPr>
              <w:t xml:space="preserve"> </w:t>
            </w:r>
            <w:r w:rsidRPr="00A26C26">
              <w:rPr>
                <w:rFonts w:cstheme="minorHAnsi"/>
              </w:rPr>
              <w:t>temu</w:t>
            </w:r>
            <w:r>
              <w:rPr>
                <w:rFonts w:cstheme="minorHAnsi"/>
              </w:rPr>
              <w:t xml:space="preserve"> </w:t>
            </w:r>
            <w:r w:rsidRPr="00A26C26">
              <w:rPr>
                <w:rFonts w:cstheme="minorHAnsi"/>
              </w:rPr>
              <w:t>oferta</w:t>
            </w:r>
            <w:r>
              <w:rPr>
                <w:rFonts w:cstheme="minorHAnsi"/>
              </w:rPr>
              <w:t xml:space="preserve"> </w:t>
            </w:r>
            <w:r w:rsidRPr="00A26C26">
              <w:rPr>
                <w:rFonts w:cstheme="minorHAnsi"/>
              </w:rPr>
              <w:t>staje</w:t>
            </w:r>
            <w:r>
              <w:rPr>
                <w:rFonts w:cstheme="minorHAnsi"/>
              </w:rPr>
              <w:t xml:space="preserve"> </w:t>
            </w:r>
            <w:r w:rsidRPr="00A26C26">
              <w:rPr>
                <w:rFonts w:cstheme="minorHAnsi"/>
              </w:rPr>
              <w:t>się</w:t>
            </w:r>
            <w:r>
              <w:rPr>
                <w:rFonts w:cstheme="minorHAnsi"/>
              </w:rPr>
              <w:t xml:space="preserve"> </w:t>
            </w:r>
            <w:r w:rsidRPr="00A26C26">
              <w:rPr>
                <w:rFonts w:cstheme="minorHAnsi"/>
              </w:rPr>
              <w:t>konkurencyjna</w:t>
            </w:r>
            <w:r>
              <w:rPr>
                <w:rFonts w:cstheme="minorHAnsi"/>
              </w:rPr>
              <w:t xml:space="preserve"> </w:t>
            </w:r>
            <w:r w:rsidRPr="00A26C26">
              <w:rPr>
                <w:rFonts w:cstheme="minorHAnsi"/>
              </w:rPr>
              <w:t>i</w:t>
            </w:r>
            <w:r>
              <w:rPr>
                <w:rFonts w:cstheme="minorHAnsi"/>
              </w:rPr>
              <w:t xml:space="preserve"> </w:t>
            </w:r>
            <w:r w:rsidRPr="00A26C26">
              <w:rPr>
                <w:rFonts w:cstheme="minorHAnsi"/>
              </w:rPr>
              <w:t>ma</w:t>
            </w:r>
            <w:r>
              <w:rPr>
                <w:rFonts w:cstheme="minorHAnsi"/>
              </w:rPr>
              <w:t xml:space="preserve"> </w:t>
            </w:r>
            <w:r w:rsidRPr="00A26C26">
              <w:rPr>
                <w:rFonts w:cstheme="minorHAnsi"/>
              </w:rPr>
              <w:t>większe</w:t>
            </w:r>
            <w:r>
              <w:rPr>
                <w:rFonts w:cstheme="minorHAnsi"/>
              </w:rPr>
              <w:t xml:space="preserve"> </w:t>
            </w:r>
            <w:r w:rsidRPr="00A26C26">
              <w:rPr>
                <w:rFonts w:cstheme="minorHAnsi"/>
              </w:rPr>
              <w:t>szanse</w:t>
            </w:r>
            <w:r>
              <w:rPr>
                <w:rFonts w:cstheme="minorHAnsi"/>
              </w:rPr>
              <w:t xml:space="preserve"> </w:t>
            </w:r>
            <w:r w:rsidRPr="00A26C26">
              <w:rPr>
                <w:rFonts w:cstheme="minorHAnsi"/>
              </w:rPr>
              <w:t>na</w:t>
            </w:r>
            <w:r>
              <w:rPr>
                <w:rFonts w:cstheme="minorHAnsi"/>
              </w:rPr>
              <w:t xml:space="preserve"> </w:t>
            </w:r>
            <w:r w:rsidRPr="00A26C26">
              <w:rPr>
                <w:rFonts w:cstheme="minorHAnsi"/>
              </w:rPr>
              <w:t>zaspokojenie</w:t>
            </w:r>
            <w:r>
              <w:rPr>
                <w:rFonts w:cstheme="minorHAnsi"/>
              </w:rPr>
              <w:t xml:space="preserve"> </w:t>
            </w:r>
            <w:r w:rsidRPr="00A26C26">
              <w:rPr>
                <w:rFonts w:cstheme="minorHAnsi"/>
              </w:rPr>
              <w:t>potrzeb</w:t>
            </w:r>
            <w:r>
              <w:rPr>
                <w:rFonts w:cstheme="minorHAnsi"/>
              </w:rPr>
              <w:t xml:space="preserve"> </w:t>
            </w:r>
            <w:r w:rsidRPr="00A26C26">
              <w:rPr>
                <w:rFonts w:cstheme="minorHAnsi"/>
              </w:rPr>
              <w:t>i</w:t>
            </w:r>
            <w:r>
              <w:rPr>
                <w:rFonts w:cstheme="minorHAnsi"/>
              </w:rPr>
              <w:t xml:space="preserve"> </w:t>
            </w:r>
            <w:r w:rsidRPr="00A26C26">
              <w:rPr>
                <w:rFonts w:cstheme="minorHAnsi"/>
              </w:rPr>
              <w:t>oczekiwań</w:t>
            </w:r>
            <w:r>
              <w:rPr>
                <w:rFonts w:cstheme="minorHAnsi"/>
              </w:rPr>
              <w:t xml:space="preserve"> </w:t>
            </w:r>
            <w:r w:rsidRPr="00A26C26">
              <w:rPr>
                <w:rFonts w:cstheme="minorHAnsi"/>
              </w:rPr>
              <w:t>klientów</w:t>
            </w:r>
            <w:r>
              <w:rPr>
                <w:rFonts w:cstheme="minorHAnsi"/>
              </w:rPr>
              <w:t xml:space="preserve"> </w:t>
            </w:r>
            <w:r w:rsidRPr="00A26C26">
              <w:rPr>
                <w:rFonts w:cstheme="minorHAnsi"/>
              </w:rPr>
              <w:t>a</w:t>
            </w:r>
            <w:r>
              <w:rPr>
                <w:rFonts w:cstheme="minorHAnsi"/>
              </w:rPr>
              <w:t xml:space="preserve"> </w:t>
            </w:r>
            <w:r w:rsidRPr="00A26C26">
              <w:rPr>
                <w:rFonts w:cstheme="minorHAnsi"/>
              </w:rPr>
              <w:t>w</w:t>
            </w:r>
            <w:r>
              <w:rPr>
                <w:rFonts w:cstheme="minorHAnsi"/>
              </w:rPr>
              <w:t xml:space="preserve"> </w:t>
            </w:r>
            <w:r w:rsidRPr="00A26C26">
              <w:rPr>
                <w:rFonts w:cstheme="minorHAnsi"/>
              </w:rPr>
              <w:t>dalszej</w:t>
            </w:r>
            <w:r>
              <w:rPr>
                <w:rFonts w:cstheme="minorHAnsi"/>
              </w:rPr>
              <w:t xml:space="preserve"> </w:t>
            </w:r>
            <w:r w:rsidRPr="00A26C26">
              <w:rPr>
                <w:rFonts w:cstheme="minorHAnsi"/>
              </w:rPr>
              <w:t>konsekwencji</w:t>
            </w:r>
            <w:r>
              <w:rPr>
                <w:rFonts w:cstheme="minorHAnsi"/>
              </w:rPr>
              <w:t xml:space="preserve"> </w:t>
            </w:r>
            <w:r w:rsidRPr="00A26C26">
              <w:rPr>
                <w:rFonts w:cstheme="minorHAnsi"/>
              </w:rPr>
              <w:t>większe</w:t>
            </w:r>
            <w:r>
              <w:rPr>
                <w:rFonts w:cstheme="minorHAnsi"/>
              </w:rPr>
              <w:t xml:space="preserve"> </w:t>
            </w:r>
            <w:r w:rsidRPr="00A26C26">
              <w:rPr>
                <w:rFonts w:cstheme="minorHAnsi"/>
              </w:rPr>
              <w:t>szanse</w:t>
            </w:r>
            <w:r>
              <w:rPr>
                <w:rFonts w:cstheme="minorHAnsi"/>
              </w:rPr>
              <w:t xml:space="preserve"> </w:t>
            </w:r>
            <w:r w:rsidRPr="00A26C26">
              <w:rPr>
                <w:rFonts w:cstheme="minorHAnsi"/>
              </w:rPr>
              <w:t>na</w:t>
            </w:r>
            <w:r>
              <w:rPr>
                <w:rFonts w:cstheme="minorHAnsi"/>
              </w:rPr>
              <w:t xml:space="preserve"> </w:t>
            </w:r>
            <w:r w:rsidRPr="00A26C26">
              <w:rPr>
                <w:rFonts w:cstheme="minorHAnsi"/>
              </w:rPr>
              <w:t>utrzymanie</w:t>
            </w:r>
            <w:r>
              <w:rPr>
                <w:rFonts w:cstheme="minorHAnsi"/>
              </w:rPr>
              <w:t xml:space="preserve"> </w:t>
            </w:r>
            <w:r w:rsidRPr="00A26C26">
              <w:rPr>
                <w:rFonts w:cstheme="minorHAnsi"/>
              </w:rPr>
              <w:t>się</w:t>
            </w:r>
            <w:r>
              <w:rPr>
                <w:rFonts w:cstheme="minorHAnsi"/>
              </w:rPr>
              <w:t xml:space="preserve"> </w:t>
            </w:r>
            <w:r w:rsidRPr="00A26C26">
              <w:rPr>
                <w:rFonts w:cstheme="minorHAnsi"/>
              </w:rPr>
              <w:t>na</w:t>
            </w:r>
            <w:r>
              <w:rPr>
                <w:rFonts w:cstheme="minorHAnsi"/>
              </w:rPr>
              <w:t xml:space="preserve"> </w:t>
            </w:r>
            <w:r w:rsidRPr="00A26C26">
              <w:rPr>
                <w:rFonts w:cstheme="minorHAnsi"/>
              </w:rPr>
              <w:t>rynku.</w:t>
            </w:r>
            <w:r>
              <w:rPr>
                <w:rFonts w:cstheme="minorHAnsi"/>
              </w:rPr>
              <w:t xml:space="preserve"> </w:t>
            </w:r>
          </w:p>
        </w:tc>
      </w:tr>
      <w:tr w:rsidR="00241A86" w:rsidRPr="00A26C26" w14:paraId="0FDB2D5F" w14:textId="77777777" w:rsidTr="007F1E76">
        <w:tc>
          <w:tcPr>
            <w:tcW w:w="3397" w:type="dxa"/>
          </w:tcPr>
          <w:p w14:paraId="036137DB" w14:textId="77777777" w:rsidR="00241A86" w:rsidRPr="00A26C26" w:rsidRDefault="00241A86" w:rsidP="007F1E76">
            <w:pPr>
              <w:spacing w:line="276" w:lineRule="auto"/>
              <w:rPr>
                <w:rFonts w:cstheme="minorHAnsi"/>
              </w:rPr>
            </w:pPr>
            <w:r w:rsidRPr="00A26C26">
              <w:rPr>
                <w:rFonts w:cstheme="minorHAnsi"/>
              </w:rPr>
              <w:t>Partnerskie</w:t>
            </w:r>
            <w:r>
              <w:rPr>
                <w:rFonts w:cstheme="minorHAnsi"/>
              </w:rPr>
              <w:t xml:space="preserve"> </w:t>
            </w:r>
            <w:r w:rsidRPr="00A26C26">
              <w:rPr>
                <w:rFonts w:cstheme="minorHAnsi"/>
              </w:rPr>
              <w:t>/</w:t>
            </w:r>
            <w:r>
              <w:rPr>
                <w:rFonts w:cstheme="minorHAnsi"/>
              </w:rPr>
              <w:t xml:space="preserve"> </w:t>
            </w:r>
            <w:r w:rsidRPr="00A26C26">
              <w:rPr>
                <w:rFonts w:cstheme="minorHAnsi"/>
              </w:rPr>
              <w:t>operacji</w:t>
            </w:r>
            <w:r>
              <w:rPr>
                <w:rFonts w:cstheme="minorHAnsi"/>
              </w:rPr>
              <w:t xml:space="preserve"> </w:t>
            </w:r>
            <w:r w:rsidRPr="00A26C26">
              <w:rPr>
                <w:rFonts w:cstheme="minorHAnsi"/>
              </w:rPr>
              <w:t>w</w:t>
            </w:r>
            <w:r>
              <w:rPr>
                <w:rFonts w:cstheme="minorHAnsi"/>
              </w:rPr>
              <w:t xml:space="preserve"> </w:t>
            </w:r>
            <w:r w:rsidRPr="00A26C26">
              <w:rPr>
                <w:rFonts w:cstheme="minorHAnsi"/>
              </w:rPr>
              <w:t>partnerstwie</w:t>
            </w:r>
          </w:p>
          <w:p w14:paraId="43A86C8E" w14:textId="77777777" w:rsidR="00241A86" w:rsidRPr="00A26C26" w:rsidRDefault="00241A86" w:rsidP="007F1E76">
            <w:pPr>
              <w:spacing w:line="276" w:lineRule="auto"/>
              <w:rPr>
                <w:rFonts w:cstheme="minorHAnsi"/>
              </w:rPr>
            </w:pPr>
          </w:p>
        </w:tc>
        <w:tc>
          <w:tcPr>
            <w:tcW w:w="6804" w:type="dxa"/>
          </w:tcPr>
          <w:p w14:paraId="2F594C91" w14:textId="77777777" w:rsidR="00241A86" w:rsidRPr="00A26C26" w:rsidRDefault="00241A86" w:rsidP="00444EBB">
            <w:pPr>
              <w:spacing w:line="276" w:lineRule="auto"/>
              <w:jc w:val="both"/>
              <w:rPr>
                <w:rFonts w:cstheme="minorHAnsi"/>
              </w:rPr>
            </w:pPr>
            <w:r w:rsidRPr="00A26C26">
              <w:rPr>
                <w:rFonts w:cstheme="minorHAnsi"/>
              </w:rPr>
              <w:t>Na</w:t>
            </w:r>
            <w:r>
              <w:rPr>
                <w:rFonts w:cstheme="minorHAnsi"/>
              </w:rPr>
              <w:t xml:space="preserve"> </w:t>
            </w:r>
            <w:r w:rsidRPr="00A26C26">
              <w:rPr>
                <w:rFonts w:cstheme="minorHAnsi"/>
              </w:rPr>
              <w:t>partnerstwie</w:t>
            </w:r>
            <w:r>
              <w:rPr>
                <w:rFonts w:cstheme="minorHAnsi"/>
              </w:rPr>
              <w:t xml:space="preserve"> </w:t>
            </w:r>
            <w:r w:rsidRPr="00A26C26">
              <w:rPr>
                <w:rFonts w:cstheme="minorHAnsi"/>
              </w:rPr>
              <w:t>i</w:t>
            </w:r>
            <w:r>
              <w:rPr>
                <w:rFonts w:cstheme="minorHAnsi"/>
              </w:rPr>
              <w:t xml:space="preserve"> </w:t>
            </w:r>
            <w:r w:rsidRPr="00A26C26">
              <w:rPr>
                <w:rFonts w:cstheme="minorHAnsi"/>
              </w:rPr>
              <w:t>współpracy</w:t>
            </w:r>
            <w:r>
              <w:rPr>
                <w:rFonts w:cstheme="minorHAnsi"/>
              </w:rPr>
              <w:t xml:space="preserve"> </w:t>
            </w:r>
            <w:r w:rsidRPr="00A26C26">
              <w:rPr>
                <w:rFonts w:cstheme="minorHAnsi"/>
              </w:rPr>
              <w:t>opiera</w:t>
            </w:r>
            <w:r>
              <w:rPr>
                <w:rFonts w:cstheme="minorHAnsi"/>
              </w:rPr>
              <w:t xml:space="preserve"> </w:t>
            </w:r>
            <w:r w:rsidRPr="00A26C26">
              <w:rPr>
                <w:rFonts w:cstheme="minorHAnsi"/>
              </w:rPr>
              <w:t>się</w:t>
            </w:r>
            <w:r>
              <w:rPr>
                <w:rFonts w:cstheme="minorHAnsi"/>
              </w:rPr>
              <w:t xml:space="preserve"> </w:t>
            </w:r>
            <w:r w:rsidRPr="00A26C26">
              <w:rPr>
                <w:rFonts w:cstheme="minorHAnsi"/>
              </w:rPr>
              <w:t>idea</w:t>
            </w:r>
            <w:r>
              <w:rPr>
                <w:rFonts w:cstheme="minorHAnsi"/>
              </w:rPr>
              <w:t xml:space="preserve"> </w:t>
            </w:r>
            <w:r w:rsidRPr="00A26C26">
              <w:rPr>
                <w:rFonts w:cstheme="minorHAnsi"/>
              </w:rPr>
              <w:t>LEADER</w:t>
            </w:r>
            <w:r>
              <w:rPr>
                <w:rFonts w:cstheme="minorHAnsi"/>
              </w:rPr>
              <w:t xml:space="preserve"> </w:t>
            </w:r>
            <w:r w:rsidRPr="00A26C26">
              <w:rPr>
                <w:rFonts w:cstheme="minorHAnsi"/>
              </w:rPr>
              <w:br/>
              <w:t>i</w:t>
            </w:r>
            <w:r>
              <w:rPr>
                <w:rFonts w:cstheme="minorHAnsi"/>
              </w:rPr>
              <w:t xml:space="preserve"> </w:t>
            </w:r>
            <w:r w:rsidRPr="00A26C26">
              <w:rPr>
                <w:rFonts w:cstheme="minorHAnsi"/>
              </w:rPr>
              <w:t>funkcjonowanie</w:t>
            </w:r>
            <w:r>
              <w:rPr>
                <w:rFonts w:cstheme="minorHAnsi"/>
              </w:rPr>
              <w:t xml:space="preserve"> </w:t>
            </w:r>
            <w:r w:rsidRPr="00A26C26">
              <w:rPr>
                <w:rFonts w:cstheme="minorHAnsi"/>
              </w:rPr>
              <w:t>LGD.</w:t>
            </w:r>
            <w:r>
              <w:rPr>
                <w:rFonts w:cstheme="minorHAnsi"/>
              </w:rPr>
              <w:t xml:space="preserve"> </w:t>
            </w:r>
            <w:r w:rsidRPr="00A26C26">
              <w:rPr>
                <w:rFonts w:cstheme="minorHAnsi"/>
              </w:rPr>
              <w:t>Doceniając</w:t>
            </w:r>
            <w:r>
              <w:rPr>
                <w:rFonts w:cstheme="minorHAnsi"/>
              </w:rPr>
              <w:t xml:space="preserve"> </w:t>
            </w:r>
            <w:r w:rsidRPr="00A26C26">
              <w:rPr>
                <w:rFonts w:cstheme="minorHAnsi"/>
              </w:rPr>
              <w:t>wagę</w:t>
            </w:r>
            <w:r>
              <w:rPr>
                <w:rFonts w:cstheme="minorHAnsi"/>
              </w:rPr>
              <w:t xml:space="preserve"> </w:t>
            </w:r>
            <w:r w:rsidRPr="00A26C26">
              <w:rPr>
                <w:rFonts w:cstheme="minorHAnsi"/>
              </w:rPr>
              <w:t>i</w:t>
            </w:r>
            <w:r>
              <w:rPr>
                <w:rFonts w:cstheme="minorHAnsi"/>
              </w:rPr>
              <w:t xml:space="preserve"> </w:t>
            </w:r>
            <w:r w:rsidRPr="00A26C26">
              <w:rPr>
                <w:rFonts w:cstheme="minorHAnsi"/>
              </w:rPr>
              <w:t>potencjał</w:t>
            </w:r>
            <w:r>
              <w:rPr>
                <w:rFonts w:cstheme="minorHAnsi"/>
              </w:rPr>
              <w:t xml:space="preserve"> </w:t>
            </w:r>
            <w:r w:rsidRPr="00A26C26">
              <w:rPr>
                <w:rFonts w:cstheme="minorHAnsi"/>
              </w:rPr>
              <w:t>partnerstwa</w:t>
            </w:r>
            <w:r>
              <w:rPr>
                <w:rFonts w:cstheme="minorHAnsi"/>
              </w:rPr>
              <w:t xml:space="preserve"> </w:t>
            </w:r>
            <w:r w:rsidRPr="00A26C26">
              <w:rPr>
                <w:rFonts w:cstheme="minorHAnsi"/>
              </w:rPr>
              <w:t>LGD</w:t>
            </w:r>
            <w:r>
              <w:rPr>
                <w:rFonts w:cstheme="minorHAnsi"/>
              </w:rPr>
              <w:t xml:space="preserve"> </w:t>
            </w:r>
            <w:r w:rsidRPr="00A26C26">
              <w:rPr>
                <w:rFonts w:cstheme="minorHAnsi"/>
              </w:rPr>
              <w:t>będzie</w:t>
            </w:r>
            <w:r>
              <w:rPr>
                <w:rFonts w:cstheme="minorHAnsi"/>
              </w:rPr>
              <w:t xml:space="preserve"> </w:t>
            </w:r>
            <w:r w:rsidRPr="00A26C26">
              <w:rPr>
                <w:rFonts w:cstheme="minorHAnsi"/>
              </w:rPr>
              <w:t>premiować</w:t>
            </w:r>
            <w:r>
              <w:rPr>
                <w:rFonts w:cstheme="minorHAnsi"/>
              </w:rPr>
              <w:t xml:space="preserve"> </w:t>
            </w:r>
            <w:r w:rsidRPr="00A26C26">
              <w:rPr>
                <w:rFonts w:cstheme="minorHAnsi"/>
              </w:rPr>
              <w:t>projekty,</w:t>
            </w:r>
            <w:r>
              <w:rPr>
                <w:rFonts w:cstheme="minorHAnsi"/>
              </w:rPr>
              <w:t xml:space="preserve"> </w:t>
            </w:r>
            <w:r w:rsidRPr="00A26C26">
              <w:rPr>
                <w:rFonts w:cstheme="minorHAnsi"/>
              </w:rPr>
              <w:t>których</w:t>
            </w:r>
            <w:r>
              <w:rPr>
                <w:rFonts w:cstheme="minorHAnsi"/>
              </w:rPr>
              <w:t xml:space="preserve"> </w:t>
            </w:r>
            <w:r w:rsidRPr="00A26C26">
              <w:rPr>
                <w:rFonts w:cstheme="minorHAnsi"/>
              </w:rPr>
              <w:t>realizacja</w:t>
            </w:r>
            <w:r>
              <w:rPr>
                <w:rFonts w:cstheme="minorHAnsi"/>
              </w:rPr>
              <w:t xml:space="preserve"> </w:t>
            </w:r>
            <w:r w:rsidRPr="00A26C26">
              <w:rPr>
                <w:rFonts w:cstheme="minorHAnsi"/>
              </w:rPr>
              <w:t>zakłada</w:t>
            </w:r>
            <w:r>
              <w:rPr>
                <w:rFonts w:cstheme="minorHAnsi"/>
              </w:rPr>
              <w:t xml:space="preserve"> </w:t>
            </w:r>
            <w:r w:rsidRPr="00A26C26">
              <w:rPr>
                <w:rFonts w:cstheme="minorHAnsi"/>
              </w:rPr>
              <w:t>współpracę.</w:t>
            </w:r>
            <w:r>
              <w:rPr>
                <w:rFonts w:cstheme="minorHAnsi"/>
              </w:rPr>
              <w:t xml:space="preserve"> </w:t>
            </w:r>
          </w:p>
        </w:tc>
      </w:tr>
      <w:tr w:rsidR="00241A86" w:rsidRPr="00A26C26" w14:paraId="5EE8B0F7" w14:textId="77777777" w:rsidTr="007F1E76">
        <w:tc>
          <w:tcPr>
            <w:tcW w:w="3397" w:type="dxa"/>
          </w:tcPr>
          <w:p w14:paraId="66684F0E" w14:textId="77777777" w:rsidR="00241A86" w:rsidRPr="00A26C26" w:rsidRDefault="00241A86" w:rsidP="007F1E76">
            <w:pPr>
              <w:spacing w:line="276" w:lineRule="auto"/>
              <w:rPr>
                <w:rFonts w:cstheme="minorHAnsi"/>
              </w:rPr>
            </w:pPr>
            <w:r w:rsidRPr="00A26C26">
              <w:rPr>
                <w:rFonts w:cstheme="minorHAnsi"/>
              </w:rPr>
              <w:t>Premiowanie</w:t>
            </w:r>
            <w:r>
              <w:rPr>
                <w:rFonts w:cstheme="minorHAnsi"/>
              </w:rPr>
              <w:t xml:space="preserve"> </w:t>
            </w:r>
            <w:r w:rsidRPr="00A26C26">
              <w:rPr>
                <w:rFonts w:cstheme="minorHAnsi"/>
              </w:rPr>
              <w:t>operacji,</w:t>
            </w:r>
            <w:r>
              <w:rPr>
                <w:rFonts w:cstheme="minorHAnsi"/>
              </w:rPr>
              <w:t xml:space="preserve"> </w:t>
            </w:r>
            <w:r w:rsidRPr="00A26C26">
              <w:rPr>
                <w:rFonts w:cstheme="minorHAnsi"/>
              </w:rPr>
              <w:t>które</w:t>
            </w:r>
            <w:r>
              <w:rPr>
                <w:rFonts w:cstheme="minorHAnsi"/>
              </w:rPr>
              <w:t xml:space="preserve"> </w:t>
            </w:r>
            <w:r w:rsidRPr="00A26C26">
              <w:rPr>
                <w:rFonts w:cstheme="minorHAnsi"/>
              </w:rPr>
              <w:t>będą</w:t>
            </w:r>
            <w:r>
              <w:rPr>
                <w:rFonts w:cstheme="minorHAnsi"/>
              </w:rPr>
              <w:t xml:space="preserve"> </w:t>
            </w:r>
            <w:r w:rsidRPr="00A26C26">
              <w:rPr>
                <w:rFonts w:cstheme="minorHAnsi"/>
              </w:rPr>
              <w:t>uwzględniać</w:t>
            </w:r>
            <w:r>
              <w:rPr>
                <w:rFonts w:cstheme="minorHAnsi"/>
              </w:rPr>
              <w:t xml:space="preserve"> </w:t>
            </w:r>
            <w:r w:rsidRPr="00A26C26">
              <w:rPr>
                <w:rFonts w:cstheme="minorHAnsi"/>
              </w:rPr>
              <w:t>promocję</w:t>
            </w:r>
            <w:r>
              <w:rPr>
                <w:rFonts w:cstheme="minorHAnsi"/>
              </w:rPr>
              <w:t xml:space="preserve"> </w:t>
            </w:r>
            <w:r w:rsidRPr="00A26C26">
              <w:rPr>
                <w:rFonts w:cstheme="minorHAnsi"/>
              </w:rPr>
              <w:t>LGD</w:t>
            </w:r>
          </w:p>
          <w:p w14:paraId="4AADB91B" w14:textId="77777777" w:rsidR="00241A86" w:rsidRPr="00A26C26" w:rsidRDefault="00241A86" w:rsidP="007F1E76">
            <w:pPr>
              <w:spacing w:line="276" w:lineRule="auto"/>
              <w:rPr>
                <w:rFonts w:cstheme="minorHAnsi"/>
              </w:rPr>
            </w:pPr>
          </w:p>
        </w:tc>
        <w:tc>
          <w:tcPr>
            <w:tcW w:w="6804" w:type="dxa"/>
          </w:tcPr>
          <w:p w14:paraId="05A325AA" w14:textId="4967D676" w:rsidR="00241A86" w:rsidRPr="00A26C26" w:rsidRDefault="00241A86" w:rsidP="00444EBB">
            <w:pPr>
              <w:spacing w:line="276" w:lineRule="auto"/>
              <w:jc w:val="both"/>
              <w:rPr>
                <w:rFonts w:cstheme="minorHAnsi"/>
              </w:rPr>
            </w:pPr>
            <w:r w:rsidRPr="00A26C26">
              <w:rPr>
                <w:rFonts w:cstheme="minorHAnsi"/>
              </w:rPr>
              <w:t>Jako</w:t>
            </w:r>
            <w:r>
              <w:rPr>
                <w:rFonts w:cstheme="minorHAnsi"/>
              </w:rPr>
              <w:t xml:space="preserve"> </w:t>
            </w:r>
            <w:r w:rsidRPr="00A26C26">
              <w:rPr>
                <w:rFonts w:cstheme="minorHAnsi"/>
              </w:rPr>
              <w:t>organizacji</w:t>
            </w:r>
            <w:r>
              <w:rPr>
                <w:rFonts w:cstheme="minorHAnsi"/>
              </w:rPr>
              <w:t xml:space="preserve"> </w:t>
            </w:r>
            <w:r w:rsidRPr="00A26C26">
              <w:rPr>
                <w:rFonts w:cstheme="minorHAnsi"/>
              </w:rPr>
              <w:t>wpierającej</w:t>
            </w:r>
            <w:r>
              <w:rPr>
                <w:rFonts w:cstheme="minorHAnsi"/>
              </w:rPr>
              <w:t xml:space="preserve"> </w:t>
            </w:r>
            <w:r w:rsidRPr="00A26C26">
              <w:rPr>
                <w:rFonts w:cstheme="minorHAnsi"/>
              </w:rPr>
              <w:t>rozwój</w:t>
            </w:r>
            <w:r>
              <w:rPr>
                <w:rFonts w:cstheme="minorHAnsi"/>
              </w:rPr>
              <w:t xml:space="preserve"> </w:t>
            </w:r>
            <w:r w:rsidRPr="00A26C26">
              <w:rPr>
                <w:rFonts w:cstheme="minorHAnsi"/>
              </w:rPr>
              <w:t>obszarów</w:t>
            </w:r>
            <w:r>
              <w:rPr>
                <w:rFonts w:cstheme="minorHAnsi"/>
              </w:rPr>
              <w:t xml:space="preserve"> </w:t>
            </w:r>
            <w:r w:rsidRPr="00A26C26">
              <w:rPr>
                <w:rFonts w:cstheme="minorHAnsi"/>
              </w:rPr>
              <w:t>wiejskich</w:t>
            </w:r>
            <w:r>
              <w:rPr>
                <w:rFonts w:cstheme="minorHAnsi"/>
              </w:rPr>
              <w:t xml:space="preserve"> </w:t>
            </w:r>
            <w:r w:rsidRPr="00A26C26">
              <w:rPr>
                <w:rFonts w:cstheme="minorHAnsi"/>
              </w:rPr>
              <w:t>w</w:t>
            </w:r>
            <w:r>
              <w:rPr>
                <w:rFonts w:cstheme="minorHAnsi"/>
              </w:rPr>
              <w:t xml:space="preserve"> </w:t>
            </w:r>
            <w:r w:rsidRPr="00A26C26">
              <w:rPr>
                <w:rFonts w:cstheme="minorHAnsi"/>
              </w:rPr>
              <w:t>oparciu</w:t>
            </w:r>
            <w:r>
              <w:rPr>
                <w:rFonts w:cstheme="minorHAnsi"/>
              </w:rPr>
              <w:t xml:space="preserve"> </w:t>
            </w:r>
            <w:r w:rsidR="00444EBB">
              <w:rPr>
                <w:rFonts w:cstheme="minorHAnsi"/>
              </w:rPr>
              <w:t xml:space="preserve">                                </w:t>
            </w:r>
            <w:r w:rsidRPr="00A26C26">
              <w:rPr>
                <w:rFonts w:cstheme="minorHAnsi"/>
              </w:rPr>
              <w:t>o</w:t>
            </w:r>
            <w:r>
              <w:rPr>
                <w:rFonts w:cstheme="minorHAnsi"/>
              </w:rPr>
              <w:t xml:space="preserve"> </w:t>
            </w:r>
            <w:r w:rsidRPr="00A26C26">
              <w:rPr>
                <w:rFonts w:cstheme="minorHAnsi"/>
              </w:rPr>
              <w:t>oddolne</w:t>
            </w:r>
            <w:r>
              <w:rPr>
                <w:rFonts w:cstheme="minorHAnsi"/>
              </w:rPr>
              <w:t xml:space="preserve"> </w:t>
            </w:r>
            <w:r w:rsidRPr="00A26C26">
              <w:rPr>
                <w:rFonts w:cstheme="minorHAnsi"/>
              </w:rPr>
              <w:t>budowanie</w:t>
            </w:r>
            <w:r>
              <w:rPr>
                <w:rFonts w:cstheme="minorHAnsi"/>
              </w:rPr>
              <w:t xml:space="preserve"> </w:t>
            </w:r>
            <w:r w:rsidRPr="00A26C26">
              <w:rPr>
                <w:rFonts w:cstheme="minorHAnsi"/>
              </w:rPr>
              <w:t>partnerstwa.</w:t>
            </w:r>
            <w:r>
              <w:rPr>
                <w:rFonts w:cstheme="minorHAnsi"/>
              </w:rPr>
              <w:t xml:space="preserve"> </w:t>
            </w:r>
            <w:r w:rsidRPr="00A26C26">
              <w:rPr>
                <w:rFonts w:cstheme="minorHAnsi"/>
              </w:rPr>
              <w:t>Im</w:t>
            </w:r>
            <w:r>
              <w:rPr>
                <w:rFonts w:cstheme="minorHAnsi"/>
              </w:rPr>
              <w:t xml:space="preserve"> </w:t>
            </w:r>
            <w:r w:rsidRPr="00A26C26">
              <w:rPr>
                <w:rFonts w:cstheme="minorHAnsi"/>
              </w:rPr>
              <w:t>więcej</w:t>
            </w:r>
            <w:r>
              <w:rPr>
                <w:rFonts w:cstheme="minorHAnsi"/>
              </w:rPr>
              <w:t xml:space="preserve"> </w:t>
            </w:r>
            <w:r w:rsidRPr="00A26C26">
              <w:rPr>
                <w:rFonts w:cstheme="minorHAnsi"/>
              </w:rPr>
              <w:t>osób</w:t>
            </w:r>
            <w:r>
              <w:rPr>
                <w:rFonts w:cstheme="minorHAnsi"/>
              </w:rPr>
              <w:t xml:space="preserve"> </w:t>
            </w:r>
            <w:r w:rsidRPr="00A26C26">
              <w:rPr>
                <w:rFonts w:cstheme="minorHAnsi"/>
              </w:rPr>
              <w:t>zaangażuje</w:t>
            </w:r>
            <w:r>
              <w:rPr>
                <w:rFonts w:cstheme="minorHAnsi"/>
              </w:rPr>
              <w:t xml:space="preserve"> </w:t>
            </w:r>
            <w:r w:rsidRPr="00A26C26">
              <w:rPr>
                <w:rFonts w:cstheme="minorHAnsi"/>
              </w:rPr>
              <w:t>się</w:t>
            </w:r>
            <w:r>
              <w:rPr>
                <w:rFonts w:cstheme="minorHAnsi"/>
              </w:rPr>
              <w:t xml:space="preserve"> </w:t>
            </w:r>
            <w:r w:rsidRPr="00A26C26">
              <w:rPr>
                <w:rFonts w:cstheme="minorHAnsi"/>
              </w:rPr>
              <w:t>w</w:t>
            </w:r>
            <w:r>
              <w:rPr>
                <w:rFonts w:cstheme="minorHAnsi"/>
              </w:rPr>
              <w:t xml:space="preserve"> </w:t>
            </w:r>
            <w:r w:rsidRPr="00A26C26">
              <w:rPr>
                <w:rFonts w:cstheme="minorHAnsi"/>
              </w:rPr>
              <w:t>prace</w:t>
            </w:r>
            <w:r>
              <w:rPr>
                <w:rFonts w:cstheme="minorHAnsi"/>
              </w:rPr>
              <w:t xml:space="preserve"> </w:t>
            </w:r>
            <w:r w:rsidRPr="00A26C26">
              <w:rPr>
                <w:rFonts w:cstheme="minorHAnsi"/>
              </w:rPr>
              <w:t>na</w:t>
            </w:r>
            <w:r>
              <w:rPr>
                <w:rFonts w:cstheme="minorHAnsi"/>
              </w:rPr>
              <w:t xml:space="preserve"> </w:t>
            </w:r>
            <w:r w:rsidRPr="00A26C26">
              <w:rPr>
                <w:rFonts w:cstheme="minorHAnsi"/>
              </w:rPr>
              <w:t>rzecz</w:t>
            </w:r>
            <w:r>
              <w:rPr>
                <w:rFonts w:cstheme="minorHAnsi"/>
              </w:rPr>
              <w:t xml:space="preserve"> </w:t>
            </w:r>
            <w:r w:rsidRPr="00A26C26">
              <w:rPr>
                <w:rFonts w:cstheme="minorHAnsi"/>
              </w:rPr>
              <w:t>rozwoju</w:t>
            </w:r>
            <w:r>
              <w:rPr>
                <w:rFonts w:cstheme="minorHAnsi"/>
              </w:rPr>
              <w:t xml:space="preserve"> </w:t>
            </w:r>
            <w:r w:rsidRPr="00A26C26">
              <w:rPr>
                <w:rFonts w:cstheme="minorHAnsi"/>
              </w:rPr>
              <w:t>„małej</w:t>
            </w:r>
            <w:r>
              <w:rPr>
                <w:rFonts w:cstheme="minorHAnsi"/>
              </w:rPr>
              <w:t xml:space="preserve"> </w:t>
            </w:r>
            <w:r w:rsidRPr="00A26C26">
              <w:rPr>
                <w:rFonts w:cstheme="minorHAnsi"/>
              </w:rPr>
              <w:t>ojczyzny”</w:t>
            </w:r>
            <w:r>
              <w:rPr>
                <w:rFonts w:cstheme="minorHAnsi"/>
              </w:rPr>
              <w:t xml:space="preserve"> </w:t>
            </w:r>
            <w:r w:rsidRPr="00A26C26">
              <w:rPr>
                <w:rFonts w:cstheme="minorHAnsi"/>
              </w:rPr>
              <w:t>tym</w:t>
            </w:r>
            <w:r>
              <w:rPr>
                <w:rFonts w:cstheme="minorHAnsi"/>
              </w:rPr>
              <w:t xml:space="preserve"> </w:t>
            </w:r>
            <w:r w:rsidRPr="00A26C26">
              <w:rPr>
                <w:rFonts w:cstheme="minorHAnsi"/>
              </w:rPr>
              <w:t>większe</w:t>
            </w:r>
            <w:r>
              <w:rPr>
                <w:rFonts w:cstheme="minorHAnsi"/>
              </w:rPr>
              <w:t xml:space="preserve"> </w:t>
            </w:r>
            <w:r w:rsidRPr="00A26C26">
              <w:rPr>
                <w:rFonts w:cstheme="minorHAnsi"/>
              </w:rPr>
              <w:t>szanse,</w:t>
            </w:r>
            <w:r>
              <w:rPr>
                <w:rFonts w:cstheme="minorHAnsi"/>
              </w:rPr>
              <w:t xml:space="preserve"> </w:t>
            </w:r>
            <w:r w:rsidRPr="00A26C26">
              <w:rPr>
                <w:rFonts w:cstheme="minorHAnsi"/>
              </w:rPr>
              <w:t>że</w:t>
            </w:r>
            <w:r>
              <w:rPr>
                <w:rFonts w:cstheme="minorHAnsi"/>
              </w:rPr>
              <w:t xml:space="preserve"> </w:t>
            </w:r>
            <w:r w:rsidRPr="00A26C26">
              <w:rPr>
                <w:rFonts w:cstheme="minorHAnsi"/>
              </w:rPr>
              <w:t>działania</w:t>
            </w:r>
            <w:r>
              <w:rPr>
                <w:rFonts w:cstheme="minorHAnsi"/>
              </w:rPr>
              <w:t xml:space="preserve"> </w:t>
            </w:r>
            <w:r w:rsidRPr="00A26C26">
              <w:rPr>
                <w:rFonts w:cstheme="minorHAnsi"/>
              </w:rPr>
              <w:t>podejmowane</w:t>
            </w:r>
            <w:r>
              <w:rPr>
                <w:rFonts w:cstheme="minorHAnsi"/>
              </w:rPr>
              <w:t xml:space="preserve"> </w:t>
            </w:r>
            <w:r w:rsidRPr="00A26C26">
              <w:rPr>
                <w:rFonts w:cstheme="minorHAnsi"/>
              </w:rPr>
              <w:t>przez</w:t>
            </w:r>
            <w:r>
              <w:rPr>
                <w:rFonts w:cstheme="minorHAnsi"/>
              </w:rPr>
              <w:t xml:space="preserve"> </w:t>
            </w:r>
            <w:r w:rsidRPr="00A26C26">
              <w:rPr>
                <w:rFonts w:cstheme="minorHAnsi"/>
              </w:rPr>
              <w:t>LGD</w:t>
            </w:r>
            <w:r>
              <w:rPr>
                <w:rFonts w:cstheme="minorHAnsi"/>
              </w:rPr>
              <w:t xml:space="preserve"> </w:t>
            </w:r>
            <w:r w:rsidRPr="00A26C26">
              <w:rPr>
                <w:rFonts w:cstheme="minorHAnsi"/>
              </w:rPr>
              <w:t>będą</w:t>
            </w:r>
            <w:r>
              <w:rPr>
                <w:rFonts w:cstheme="minorHAnsi"/>
              </w:rPr>
              <w:t xml:space="preserve"> </w:t>
            </w:r>
            <w:r w:rsidRPr="00A26C26">
              <w:rPr>
                <w:rFonts w:cstheme="minorHAnsi"/>
              </w:rPr>
              <w:t>odpowiadać</w:t>
            </w:r>
            <w:r>
              <w:rPr>
                <w:rFonts w:cstheme="minorHAnsi"/>
              </w:rPr>
              <w:t xml:space="preserve"> </w:t>
            </w:r>
            <w:r w:rsidRPr="00A26C26">
              <w:rPr>
                <w:rFonts w:cstheme="minorHAnsi"/>
              </w:rPr>
              <w:t>na</w:t>
            </w:r>
            <w:r>
              <w:rPr>
                <w:rFonts w:cstheme="minorHAnsi"/>
              </w:rPr>
              <w:t xml:space="preserve"> </w:t>
            </w:r>
            <w:r w:rsidRPr="00A26C26">
              <w:rPr>
                <w:rFonts w:cstheme="minorHAnsi"/>
              </w:rPr>
              <w:t>potrzeby</w:t>
            </w:r>
            <w:r>
              <w:rPr>
                <w:rFonts w:cstheme="minorHAnsi"/>
              </w:rPr>
              <w:t xml:space="preserve"> </w:t>
            </w:r>
            <w:r w:rsidRPr="00A26C26">
              <w:rPr>
                <w:rFonts w:cstheme="minorHAnsi"/>
              </w:rPr>
              <w:t>większej</w:t>
            </w:r>
            <w:r>
              <w:rPr>
                <w:rFonts w:cstheme="minorHAnsi"/>
              </w:rPr>
              <w:t xml:space="preserve"> </w:t>
            </w:r>
            <w:r w:rsidRPr="00A26C26">
              <w:rPr>
                <w:rFonts w:cstheme="minorHAnsi"/>
              </w:rPr>
              <w:t>liczby</w:t>
            </w:r>
            <w:r>
              <w:rPr>
                <w:rFonts w:cstheme="minorHAnsi"/>
              </w:rPr>
              <w:t xml:space="preserve"> </w:t>
            </w:r>
            <w:r w:rsidRPr="00A26C26">
              <w:rPr>
                <w:rFonts w:cstheme="minorHAnsi"/>
              </w:rPr>
              <w:t>interesariuszy</w:t>
            </w:r>
            <w:r>
              <w:rPr>
                <w:rFonts w:cstheme="minorHAnsi"/>
              </w:rPr>
              <w:t xml:space="preserve"> </w:t>
            </w:r>
            <w:r w:rsidRPr="00A26C26">
              <w:rPr>
                <w:rFonts w:cstheme="minorHAnsi"/>
              </w:rPr>
              <w:t>obszaru</w:t>
            </w:r>
            <w:r>
              <w:rPr>
                <w:rFonts w:cstheme="minorHAnsi"/>
              </w:rPr>
              <w:t xml:space="preserve"> </w:t>
            </w:r>
            <w:r w:rsidRPr="00A26C26">
              <w:rPr>
                <w:rFonts w:cstheme="minorHAnsi"/>
              </w:rPr>
              <w:t>LSR</w:t>
            </w:r>
            <w:r w:rsidR="00444EBB">
              <w:rPr>
                <w:rFonts w:cstheme="minorHAnsi"/>
              </w:rPr>
              <w:t>.</w:t>
            </w:r>
          </w:p>
        </w:tc>
      </w:tr>
      <w:tr w:rsidR="00241A86" w:rsidRPr="00A26C26" w14:paraId="3279F3EF" w14:textId="77777777" w:rsidTr="007F1E76">
        <w:tc>
          <w:tcPr>
            <w:tcW w:w="3397" w:type="dxa"/>
          </w:tcPr>
          <w:p w14:paraId="02D27EA7" w14:textId="39171B23" w:rsidR="00241A86" w:rsidRPr="00A26C26" w:rsidRDefault="00241A86" w:rsidP="007F1E76">
            <w:pPr>
              <w:spacing w:line="276" w:lineRule="auto"/>
              <w:rPr>
                <w:rFonts w:cstheme="minorHAnsi"/>
              </w:rPr>
            </w:pPr>
            <w:r w:rsidRPr="00A26C26">
              <w:rPr>
                <w:rFonts w:cstheme="minorHAnsi"/>
              </w:rPr>
              <w:t>Wykazujące</w:t>
            </w:r>
            <w:r>
              <w:rPr>
                <w:rFonts w:cstheme="minorHAnsi"/>
              </w:rPr>
              <w:t xml:space="preserve"> </w:t>
            </w:r>
            <w:r w:rsidR="00444EBB">
              <w:rPr>
                <w:rFonts w:cstheme="minorHAnsi"/>
              </w:rPr>
              <w:t>spójność</w:t>
            </w:r>
            <w:r w:rsidRPr="00A26C26">
              <w:rPr>
                <w:rFonts w:cstheme="minorHAnsi"/>
              </w:rPr>
              <w:t>,</w:t>
            </w:r>
            <w:r>
              <w:rPr>
                <w:rFonts w:cstheme="minorHAnsi"/>
              </w:rPr>
              <w:t xml:space="preserve"> </w:t>
            </w:r>
            <w:r w:rsidR="00444EBB">
              <w:rPr>
                <w:rFonts w:cstheme="minorHAnsi"/>
              </w:rPr>
              <w:t xml:space="preserve">komplementarność </w:t>
            </w:r>
            <w:r w:rsidRPr="00A26C26">
              <w:rPr>
                <w:rFonts w:cstheme="minorHAnsi"/>
              </w:rPr>
              <w:t>lub</w:t>
            </w:r>
            <w:r>
              <w:rPr>
                <w:rFonts w:cstheme="minorHAnsi"/>
              </w:rPr>
              <w:t xml:space="preserve"> </w:t>
            </w:r>
            <w:r w:rsidR="00444EBB">
              <w:rPr>
                <w:rFonts w:cstheme="minorHAnsi"/>
              </w:rPr>
              <w:t xml:space="preserve">synergię               </w:t>
            </w:r>
            <w:r>
              <w:rPr>
                <w:rFonts w:cstheme="minorHAnsi"/>
              </w:rPr>
              <w:t xml:space="preserve"> </w:t>
            </w:r>
            <w:r w:rsidRPr="00A26C26">
              <w:rPr>
                <w:rFonts w:cstheme="minorHAnsi"/>
              </w:rPr>
              <w:t>z</w:t>
            </w:r>
            <w:r>
              <w:rPr>
                <w:rFonts w:cstheme="minorHAnsi"/>
              </w:rPr>
              <w:t xml:space="preserve"> </w:t>
            </w:r>
            <w:r w:rsidRPr="00A26C26">
              <w:rPr>
                <w:rFonts w:cstheme="minorHAnsi"/>
              </w:rPr>
              <w:t>innymi</w:t>
            </w:r>
            <w:r>
              <w:rPr>
                <w:rFonts w:cstheme="minorHAnsi"/>
              </w:rPr>
              <w:t xml:space="preserve"> </w:t>
            </w:r>
            <w:r w:rsidRPr="00A26C26">
              <w:rPr>
                <w:rFonts w:cstheme="minorHAnsi"/>
              </w:rPr>
              <w:t>projektami</w:t>
            </w:r>
            <w:r>
              <w:rPr>
                <w:rFonts w:cstheme="minorHAnsi"/>
              </w:rPr>
              <w:t xml:space="preserve"> </w:t>
            </w:r>
            <w:r w:rsidRPr="00A26C26">
              <w:rPr>
                <w:rFonts w:cstheme="minorHAnsi"/>
              </w:rPr>
              <w:t>z</w:t>
            </w:r>
            <w:r>
              <w:rPr>
                <w:rFonts w:cstheme="minorHAnsi"/>
              </w:rPr>
              <w:t xml:space="preserve"> </w:t>
            </w:r>
            <w:r w:rsidRPr="00A26C26">
              <w:rPr>
                <w:rFonts w:cstheme="minorHAnsi"/>
              </w:rPr>
              <w:t>obszaru</w:t>
            </w:r>
            <w:r>
              <w:rPr>
                <w:rFonts w:cstheme="minorHAnsi"/>
              </w:rPr>
              <w:t xml:space="preserve"> </w:t>
            </w:r>
            <w:r w:rsidRPr="00A26C26">
              <w:rPr>
                <w:rFonts w:cstheme="minorHAnsi"/>
              </w:rPr>
              <w:t>LSR</w:t>
            </w:r>
          </w:p>
        </w:tc>
        <w:tc>
          <w:tcPr>
            <w:tcW w:w="6804" w:type="dxa"/>
          </w:tcPr>
          <w:p w14:paraId="60518576" w14:textId="77777777" w:rsidR="00241A86" w:rsidRPr="00A26C26" w:rsidRDefault="00241A86" w:rsidP="00444EBB">
            <w:pPr>
              <w:spacing w:line="276" w:lineRule="auto"/>
              <w:jc w:val="both"/>
              <w:rPr>
                <w:rFonts w:cstheme="minorHAnsi"/>
              </w:rPr>
            </w:pPr>
            <w:r w:rsidRPr="00A26C26">
              <w:rPr>
                <w:rFonts w:cstheme="minorHAnsi"/>
                <w:lang w:eastAsia="pl-PL"/>
              </w:rPr>
              <w:t>Wszelkie</w:t>
            </w:r>
            <w:r>
              <w:rPr>
                <w:rFonts w:cstheme="minorHAnsi"/>
                <w:lang w:eastAsia="pl-PL"/>
              </w:rPr>
              <w:t xml:space="preserve"> </w:t>
            </w:r>
            <w:r w:rsidRPr="00A26C26">
              <w:rPr>
                <w:rFonts w:cstheme="minorHAnsi"/>
                <w:lang w:eastAsia="pl-PL"/>
              </w:rPr>
              <w:t>planowane</w:t>
            </w:r>
            <w:r>
              <w:rPr>
                <w:rFonts w:cstheme="minorHAnsi"/>
                <w:lang w:eastAsia="pl-PL"/>
              </w:rPr>
              <w:t xml:space="preserve"> </w:t>
            </w:r>
            <w:r w:rsidRPr="00A26C26">
              <w:rPr>
                <w:rFonts w:cstheme="minorHAnsi"/>
                <w:lang w:eastAsia="pl-PL"/>
              </w:rPr>
              <w:t>przedsięwzięcia</w:t>
            </w:r>
            <w:r>
              <w:rPr>
                <w:rFonts w:cstheme="minorHAnsi"/>
                <w:lang w:eastAsia="pl-PL"/>
              </w:rPr>
              <w:t xml:space="preserve"> </w:t>
            </w:r>
            <w:r w:rsidRPr="00A26C26">
              <w:rPr>
                <w:rFonts w:cstheme="minorHAnsi"/>
                <w:lang w:eastAsia="pl-PL"/>
              </w:rPr>
              <w:t>w</w:t>
            </w:r>
            <w:r>
              <w:rPr>
                <w:rFonts w:cstheme="minorHAnsi"/>
                <w:lang w:eastAsia="pl-PL"/>
              </w:rPr>
              <w:t xml:space="preserve"> </w:t>
            </w:r>
            <w:r w:rsidRPr="00A26C26">
              <w:rPr>
                <w:rFonts w:cstheme="minorHAnsi"/>
                <w:lang w:eastAsia="pl-PL"/>
              </w:rPr>
              <w:t>ramach</w:t>
            </w:r>
            <w:r>
              <w:rPr>
                <w:rFonts w:cstheme="minorHAnsi"/>
                <w:lang w:eastAsia="pl-PL"/>
              </w:rPr>
              <w:t xml:space="preserve"> </w:t>
            </w:r>
            <w:r w:rsidRPr="00A26C26">
              <w:rPr>
                <w:rFonts w:cstheme="minorHAnsi"/>
                <w:lang w:eastAsia="pl-PL"/>
              </w:rPr>
              <w:t>LSR</w:t>
            </w:r>
            <w:r>
              <w:rPr>
                <w:rFonts w:cstheme="minorHAnsi"/>
                <w:lang w:eastAsia="pl-PL"/>
              </w:rPr>
              <w:t xml:space="preserve"> </w:t>
            </w:r>
            <w:r w:rsidRPr="00A26C26">
              <w:rPr>
                <w:rFonts w:cstheme="minorHAnsi"/>
                <w:lang w:eastAsia="pl-PL"/>
              </w:rPr>
              <w:t>są</w:t>
            </w:r>
            <w:r>
              <w:rPr>
                <w:rFonts w:cstheme="minorHAnsi"/>
                <w:lang w:eastAsia="pl-PL"/>
              </w:rPr>
              <w:t xml:space="preserve"> </w:t>
            </w:r>
            <w:r w:rsidRPr="00A26C26">
              <w:rPr>
                <w:rFonts w:cstheme="minorHAnsi"/>
                <w:lang w:eastAsia="pl-PL"/>
              </w:rPr>
              <w:t>względem</w:t>
            </w:r>
            <w:r>
              <w:rPr>
                <w:rFonts w:cstheme="minorHAnsi"/>
                <w:lang w:eastAsia="pl-PL"/>
              </w:rPr>
              <w:t xml:space="preserve"> </w:t>
            </w:r>
            <w:r w:rsidRPr="00A26C26">
              <w:rPr>
                <w:rFonts w:cstheme="minorHAnsi"/>
                <w:lang w:eastAsia="pl-PL"/>
              </w:rPr>
              <w:t>siebie</w:t>
            </w:r>
            <w:r>
              <w:rPr>
                <w:rFonts w:cstheme="minorHAnsi"/>
                <w:lang w:eastAsia="pl-PL"/>
              </w:rPr>
              <w:t xml:space="preserve"> </w:t>
            </w:r>
            <w:r w:rsidRPr="00A26C26">
              <w:rPr>
                <w:rFonts w:cstheme="minorHAnsi"/>
                <w:lang w:eastAsia="pl-PL"/>
              </w:rPr>
              <w:t>komplementarne,</w:t>
            </w:r>
            <w:r>
              <w:rPr>
                <w:rFonts w:cstheme="minorHAnsi"/>
                <w:lang w:eastAsia="pl-PL"/>
              </w:rPr>
              <w:t xml:space="preserve"> </w:t>
            </w:r>
            <w:r w:rsidRPr="00A26C26">
              <w:rPr>
                <w:rFonts w:cstheme="minorHAnsi"/>
                <w:lang w:eastAsia="pl-PL"/>
              </w:rPr>
              <w:t>wzajemnie</w:t>
            </w:r>
            <w:r>
              <w:rPr>
                <w:rFonts w:cstheme="minorHAnsi"/>
                <w:lang w:eastAsia="pl-PL"/>
              </w:rPr>
              <w:t xml:space="preserve"> </w:t>
            </w:r>
            <w:r w:rsidRPr="00A26C26">
              <w:rPr>
                <w:rFonts w:cstheme="minorHAnsi"/>
                <w:lang w:eastAsia="pl-PL"/>
              </w:rPr>
              <w:t>się</w:t>
            </w:r>
            <w:r>
              <w:rPr>
                <w:rFonts w:cstheme="minorHAnsi"/>
                <w:lang w:eastAsia="pl-PL"/>
              </w:rPr>
              <w:t xml:space="preserve"> </w:t>
            </w:r>
            <w:r w:rsidRPr="00A26C26">
              <w:rPr>
                <w:rFonts w:cstheme="minorHAnsi"/>
                <w:lang w:eastAsia="pl-PL"/>
              </w:rPr>
              <w:t>uzupełniają</w:t>
            </w:r>
            <w:r>
              <w:rPr>
                <w:rFonts w:cstheme="minorHAnsi"/>
                <w:lang w:eastAsia="pl-PL"/>
              </w:rPr>
              <w:t xml:space="preserve"> </w:t>
            </w:r>
            <w:r w:rsidRPr="00A26C26">
              <w:rPr>
                <w:rFonts w:cstheme="minorHAnsi"/>
                <w:lang w:eastAsia="pl-PL"/>
              </w:rPr>
              <w:t>zatem</w:t>
            </w:r>
            <w:r>
              <w:rPr>
                <w:rFonts w:cstheme="minorHAnsi"/>
                <w:lang w:eastAsia="pl-PL"/>
              </w:rPr>
              <w:t xml:space="preserve"> </w:t>
            </w:r>
            <w:r w:rsidRPr="00A26C26">
              <w:rPr>
                <w:rFonts w:cstheme="minorHAnsi"/>
                <w:lang w:eastAsia="pl-PL"/>
              </w:rPr>
              <w:t>operacje</w:t>
            </w:r>
            <w:r>
              <w:rPr>
                <w:rFonts w:cstheme="minorHAnsi"/>
                <w:lang w:eastAsia="pl-PL"/>
              </w:rPr>
              <w:t xml:space="preserve"> </w:t>
            </w:r>
            <w:r w:rsidRPr="00A26C26">
              <w:rPr>
                <w:rFonts w:cstheme="minorHAnsi"/>
                <w:lang w:eastAsia="pl-PL"/>
              </w:rPr>
              <w:t>planowane</w:t>
            </w:r>
            <w:r>
              <w:rPr>
                <w:rFonts w:cstheme="minorHAnsi"/>
                <w:lang w:eastAsia="pl-PL"/>
              </w:rPr>
              <w:t xml:space="preserve"> </w:t>
            </w:r>
            <w:r w:rsidRPr="00A26C26">
              <w:rPr>
                <w:rFonts w:cstheme="minorHAnsi"/>
                <w:lang w:eastAsia="pl-PL"/>
              </w:rPr>
              <w:t>do</w:t>
            </w:r>
            <w:r>
              <w:rPr>
                <w:rFonts w:cstheme="minorHAnsi"/>
                <w:lang w:eastAsia="pl-PL"/>
              </w:rPr>
              <w:t xml:space="preserve"> </w:t>
            </w:r>
            <w:r w:rsidRPr="00A26C26">
              <w:rPr>
                <w:rFonts w:cstheme="minorHAnsi"/>
                <w:lang w:eastAsia="pl-PL"/>
              </w:rPr>
              <w:t>realizacji</w:t>
            </w:r>
            <w:r>
              <w:rPr>
                <w:rFonts w:cstheme="minorHAnsi"/>
                <w:lang w:eastAsia="pl-PL"/>
              </w:rPr>
              <w:t xml:space="preserve"> </w:t>
            </w:r>
            <w:r w:rsidRPr="00A26C26">
              <w:rPr>
                <w:rFonts w:cstheme="minorHAnsi"/>
                <w:lang w:eastAsia="pl-PL"/>
              </w:rPr>
              <w:t>w</w:t>
            </w:r>
            <w:r>
              <w:rPr>
                <w:rFonts w:cstheme="minorHAnsi"/>
                <w:lang w:eastAsia="pl-PL"/>
              </w:rPr>
              <w:t xml:space="preserve"> </w:t>
            </w:r>
            <w:r w:rsidRPr="00A26C26">
              <w:rPr>
                <w:rFonts w:cstheme="minorHAnsi"/>
                <w:lang w:eastAsia="pl-PL"/>
              </w:rPr>
              <w:t>ramach</w:t>
            </w:r>
            <w:r>
              <w:rPr>
                <w:rFonts w:cstheme="minorHAnsi"/>
                <w:lang w:eastAsia="pl-PL"/>
              </w:rPr>
              <w:t xml:space="preserve"> </w:t>
            </w:r>
            <w:r w:rsidRPr="00A26C26">
              <w:rPr>
                <w:rFonts w:cstheme="minorHAnsi"/>
                <w:lang w:eastAsia="pl-PL"/>
              </w:rPr>
              <w:t>LSR</w:t>
            </w:r>
            <w:r>
              <w:rPr>
                <w:rFonts w:cstheme="minorHAnsi"/>
                <w:lang w:eastAsia="pl-PL"/>
              </w:rPr>
              <w:t xml:space="preserve"> </w:t>
            </w:r>
            <w:r w:rsidRPr="00A26C26">
              <w:rPr>
                <w:rFonts w:cstheme="minorHAnsi"/>
                <w:lang w:eastAsia="pl-PL"/>
              </w:rPr>
              <w:t>również</w:t>
            </w:r>
            <w:r>
              <w:rPr>
                <w:rFonts w:cstheme="minorHAnsi"/>
                <w:lang w:eastAsia="pl-PL"/>
              </w:rPr>
              <w:t xml:space="preserve"> </w:t>
            </w:r>
            <w:r w:rsidRPr="00A26C26">
              <w:rPr>
                <w:rFonts w:cstheme="minorHAnsi"/>
                <w:lang w:eastAsia="pl-PL"/>
              </w:rPr>
              <w:t>powinny</w:t>
            </w:r>
            <w:r>
              <w:rPr>
                <w:rFonts w:cstheme="minorHAnsi"/>
                <w:lang w:eastAsia="pl-PL"/>
              </w:rPr>
              <w:t xml:space="preserve"> </w:t>
            </w:r>
            <w:r w:rsidRPr="00A26C26">
              <w:rPr>
                <w:rFonts w:cstheme="minorHAnsi"/>
                <w:lang w:eastAsia="pl-PL"/>
              </w:rPr>
              <w:t>spełniać</w:t>
            </w:r>
            <w:r>
              <w:rPr>
                <w:rFonts w:cstheme="minorHAnsi"/>
                <w:lang w:eastAsia="pl-PL"/>
              </w:rPr>
              <w:t xml:space="preserve"> </w:t>
            </w:r>
            <w:r w:rsidRPr="00A26C26">
              <w:rPr>
                <w:rFonts w:cstheme="minorHAnsi"/>
                <w:lang w:eastAsia="pl-PL"/>
              </w:rPr>
              <w:t>te</w:t>
            </w:r>
            <w:r>
              <w:rPr>
                <w:rFonts w:cstheme="minorHAnsi"/>
                <w:lang w:eastAsia="pl-PL"/>
              </w:rPr>
              <w:t xml:space="preserve"> </w:t>
            </w:r>
            <w:r w:rsidRPr="00A26C26">
              <w:rPr>
                <w:rFonts w:cstheme="minorHAnsi"/>
                <w:lang w:eastAsia="pl-PL"/>
              </w:rPr>
              <w:t>kryteria.</w:t>
            </w:r>
            <w:r>
              <w:rPr>
                <w:rFonts w:cstheme="minorHAnsi"/>
                <w:lang w:eastAsia="pl-PL"/>
              </w:rPr>
              <w:t xml:space="preserve"> </w:t>
            </w:r>
          </w:p>
        </w:tc>
      </w:tr>
      <w:tr w:rsidR="00241A86" w:rsidRPr="00A26C26" w14:paraId="3199878A" w14:textId="77777777" w:rsidTr="007F1E76">
        <w:tc>
          <w:tcPr>
            <w:tcW w:w="3397" w:type="dxa"/>
          </w:tcPr>
          <w:p w14:paraId="0B8FF02B" w14:textId="77777777" w:rsidR="00241A86" w:rsidRPr="00A26C26" w:rsidRDefault="00241A86" w:rsidP="007F1E76">
            <w:pPr>
              <w:spacing w:line="276" w:lineRule="auto"/>
              <w:rPr>
                <w:rFonts w:cstheme="minorHAnsi"/>
              </w:rPr>
            </w:pPr>
            <w:r w:rsidRPr="00A26C26">
              <w:rPr>
                <w:rFonts w:cstheme="minorHAnsi"/>
              </w:rPr>
              <w:t>Realizowane</w:t>
            </w:r>
            <w:r>
              <w:rPr>
                <w:rFonts w:cstheme="minorHAnsi"/>
              </w:rPr>
              <w:t xml:space="preserve"> </w:t>
            </w:r>
            <w:r w:rsidRPr="00A26C26">
              <w:rPr>
                <w:rFonts w:cstheme="minorHAnsi"/>
              </w:rPr>
              <w:t>w</w:t>
            </w:r>
            <w:r>
              <w:rPr>
                <w:rFonts w:cstheme="minorHAnsi"/>
              </w:rPr>
              <w:t xml:space="preserve"> </w:t>
            </w:r>
            <w:r w:rsidRPr="00A26C26">
              <w:rPr>
                <w:rFonts w:cstheme="minorHAnsi"/>
              </w:rPr>
              <w:t>krótszym</w:t>
            </w:r>
            <w:r>
              <w:rPr>
                <w:rFonts w:cstheme="minorHAnsi"/>
              </w:rPr>
              <w:t xml:space="preserve"> </w:t>
            </w:r>
            <w:r w:rsidRPr="00A26C26">
              <w:rPr>
                <w:rFonts w:cstheme="minorHAnsi"/>
              </w:rPr>
              <w:t>niż</w:t>
            </w:r>
            <w:r>
              <w:rPr>
                <w:rFonts w:cstheme="minorHAnsi"/>
              </w:rPr>
              <w:t xml:space="preserve"> </w:t>
            </w:r>
            <w:r w:rsidRPr="00A26C26">
              <w:rPr>
                <w:rFonts w:cstheme="minorHAnsi"/>
              </w:rPr>
              <w:t>możliwy</w:t>
            </w:r>
            <w:r>
              <w:rPr>
                <w:rFonts w:cstheme="minorHAnsi"/>
              </w:rPr>
              <w:t xml:space="preserve"> </w:t>
            </w:r>
            <w:r w:rsidRPr="00A26C26">
              <w:rPr>
                <w:rFonts w:cstheme="minorHAnsi"/>
              </w:rPr>
              <w:t>maksymalny</w:t>
            </w:r>
            <w:r>
              <w:rPr>
                <w:rFonts w:cstheme="minorHAnsi"/>
              </w:rPr>
              <w:t xml:space="preserve"> </w:t>
            </w:r>
            <w:r w:rsidRPr="00A26C26">
              <w:rPr>
                <w:rFonts w:cstheme="minorHAnsi"/>
              </w:rPr>
              <w:t>czas</w:t>
            </w:r>
            <w:r>
              <w:rPr>
                <w:rFonts w:cstheme="minorHAnsi"/>
              </w:rPr>
              <w:t xml:space="preserve"> </w:t>
            </w:r>
            <w:r w:rsidRPr="00A26C26">
              <w:rPr>
                <w:rFonts w:cstheme="minorHAnsi"/>
              </w:rPr>
              <w:t>realizacji</w:t>
            </w:r>
            <w:r>
              <w:rPr>
                <w:rFonts w:cstheme="minorHAnsi"/>
              </w:rPr>
              <w:t xml:space="preserve"> </w:t>
            </w:r>
            <w:r w:rsidRPr="00A26C26">
              <w:rPr>
                <w:rFonts w:cstheme="minorHAnsi"/>
              </w:rPr>
              <w:t>operacji</w:t>
            </w:r>
          </w:p>
        </w:tc>
        <w:tc>
          <w:tcPr>
            <w:tcW w:w="6804" w:type="dxa"/>
          </w:tcPr>
          <w:p w14:paraId="2BFD5B05" w14:textId="2134FC5C" w:rsidR="00241A86" w:rsidRPr="00A26C26" w:rsidRDefault="00241A86" w:rsidP="00444EBB">
            <w:pPr>
              <w:spacing w:line="276" w:lineRule="auto"/>
              <w:jc w:val="both"/>
              <w:rPr>
                <w:rFonts w:cstheme="minorHAnsi"/>
                <w:lang w:eastAsia="pl-PL"/>
              </w:rPr>
            </w:pPr>
            <w:r w:rsidRPr="00A26C26">
              <w:rPr>
                <w:rFonts w:cstheme="minorHAnsi"/>
                <w:lang w:eastAsia="pl-PL"/>
              </w:rPr>
              <w:t>Ma</w:t>
            </w:r>
            <w:r>
              <w:rPr>
                <w:rFonts w:cstheme="minorHAnsi"/>
                <w:lang w:eastAsia="pl-PL"/>
              </w:rPr>
              <w:t xml:space="preserve"> </w:t>
            </w:r>
            <w:r w:rsidRPr="00A26C26">
              <w:rPr>
                <w:rFonts w:cstheme="minorHAnsi"/>
                <w:lang w:eastAsia="pl-PL"/>
              </w:rPr>
              <w:t>to</w:t>
            </w:r>
            <w:r>
              <w:rPr>
                <w:rFonts w:cstheme="minorHAnsi"/>
                <w:lang w:eastAsia="pl-PL"/>
              </w:rPr>
              <w:t xml:space="preserve"> </w:t>
            </w:r>
            <w:r w:rsidRPr="00A26C26">
              <w:rPr>
                <w:rFonts w:cstheme="minorHAnsi"/>
                <w:lang w:eastAsia="pl-PL"/>
              </w:rPr>
              <w:t>szczególne</w:t>
            </w:r>
            <w:r>
              <w:rPr>
                <w:rFonts w:cstheme="minorHAnsi"/>
                <w:lang w:eastAsia="pl-PL"/>
              </w:rPr>
              <w:t xml:space="preserve"> </w:t>
            </w:r>
            <w:r w:rsidRPr="00A26C26">
              <w:rPr>
                <w:rFonts w:cstheme="minorHAnsi"/>
                <w:lang w:eastAsia="pl-PL"/>
              </w:rPr>
              <w:t>znaczenie</w:t>
            </w:r>
            <w:r>
              <w:rPr>
                <w:rFonts w:cstheme="minorHAnsi"/>
                <w:lang w:eastAsia="pl-PL"/>
              </w:rPr>
              <w:t xml:space="preserve"> </w:t>
            </w:r>
            <w:r w:rsidRPr="00A26C26">
              <w:rPr>
                <w:rFonts w:cstheme="minorHAnsi"/>
                <w:lang w:eastAsia="pl-PL"/>
              </w:rPr>
              <w:t>z</w:t>
            </w:r>
            <w:r>
              <w:rPr>
                <w:rFonts w:cstheme="minorHAnsi"/>
                <w:lang w:eastAsia="pl-PL"/>
              </w:rPr>
              <w:t xml:space="preserve"> </w:t>
            </w:r>
            <w:r w:rsidRPr="00A26C26">
              <w:rPr>
                <w:rFonts w:cstheme="minorHAnsi"/>
                <w:lang w:eastAsia="pl-PL"/>
              </w:rPr>
              <w:t>uwagi</w:t>
            </w:r>
            <w:r>
              <w:rPr>
                <w:rFonts w:cstheme="minorHAnsi"/>
                <w:lang w:eastAsia="pl-PL"/>
              </w:rPr>
              <w:t xml:space="preserve"> </w:t>
            </w:r>
            <w:r w:rsidR="00EC682B">
              <w:rPr>
                <w:rFonts w:cstheme="minorHAnsi"/>
                <w:lang w:eastAsia="pl-PL"/>
              </w:rPr>
              <w:t>n</w:t>
            </w:r>
            <w:r w:rsidRPr="00A26C26">
              <w:rPr>
                <w:rFonts w:cstheme="minorHAnsi"/>
                <w:lang w:eastAsia="pl-PL"/>
              </w:rPr>
              <w:t>a</w:t>
            </w:r>
            <w:r>
              <w:rPr>
                <w:rFonts w:cstheme="minorHAnsi"/>
                <w:lang w:eastAsia="pl-PL"/>
              </w:rPr>
              <w:t xml:space="preserve"> </w:t>
            </w:r>
            <w:r w:rsidRPr="00A26C26">
              <w:rPr>
                <w:rFonts w:cstheme="minorHAnsi"/>
                <w:lang w:eastAsia="pl-PL"/>
              </w:rPr>
              <w:t>fakt,</w:t>
            </w:r>
            <w:r>
              <w:rPr>
                <w:rFonts w:cstheme="minorHAnsi"/>
                <w:lang w:eastAsia="pl-PL"/>
              </w:rPr>
              <w:t xml:space="preserve"> </w:t>
            </w:r>
            <w:r w:rsidRPr="00A26C26">
              <w:rPr>
                <w:rFonts w:cstheme="minorHAnsi"/>
                <w:lang w:eastAsia="pl-PL"/>
              </w:rPr>
              <w:t>iż</w:t>
            </w:r>
            <w:r>
              <w:rPr>
                <w:rFonts w:cstheme="minorHAnsi"/>
                <w:lang w:eastAsia="pl-PL"/>
              </w:rPr>
              <w:t xml:space="preserve"> </w:t>
            </w:r>
            <w:r w:rsidRPr="00A26C26">
              <w:rPr>
                <w:rFonts w:cstheme="minorHAnsi"/>
                <w:lang w:eastAsia="pl-PL"/>
              </w:rPr>
              <w:t>okres</w:t>
            </w:r>
            <w:r>
              <w:rPr>
                <w:rFonts w:cstheme="minorHAnsi"/>
                <w:lang w:eastAsia="pl-PL"/>
              </w:rPr>
              <w:t xml:space="preserve"> </w:t>
            </w:r>
            <w:r w:rsidRPr="00A26C26">
              <w:rPr>
                <w:rFonts w:cstheme="minorHAnsi"/>
                <w:lang w:eastAsia="pl-PL"/>
              </w:rPr>
              <w:t>programowania</w:t>
            </w:r>
            <w:r>
              <w:rPr>
                <w:rFonts w:cstheme="minorHAnsi"/>
                <w:lang w:eastAsia="pl-PL"/>
              </w:rPr>
              <w:t xml:space="preserve"> </w:t>
            </w:r>
            <w:r w:rsidRPr="00A26C26">
              <w:rPr>
                <w:rFonts w:cstheme="minorHAnsi"/>
                <w:lang w:eastAsia="pl-PL"/>
              </w:rPr>
              <w:t>jest</w:t>
            </w:r>
            <w:r>
              <w:rPr>
                <w:rFonts w:cstheme="minorHAnsi"/>
                <w:lang w:eastAsia="pl-PL"/>
              </w:rPr>
              <w:t xml:space="preserve"> </w:t>
            </w:r>
            <w:r w:rsidRPr="00A26C26">
              <w:rPr>
                <w:rFonts w:cstheme="minorHAnsi"/>
                <w:lang w:eastAsia="pl-PL"/>
              </w:rPr>
              <w:t>skrócony</w:t>
            </w:r>
            <w:r>
              <w:rPr>
                <w:rFonts w:cstheme="minorHAnsi"/>
                <w:lang w:eastAsia="pl-PL"/>
              </w:rPr>
              <w:t xml:space="preserve"> </w:t>
            </w:r>
            <w:r w:rsidRPr="00A26C26">
              <w:rPr>
                <w:rFonts w:cstheme="minorHAnsi"/>
                <w:lang w:eastAsia="pl-PL"/>
              </w:rPr>
              <w:t>o</w:t>
            </w:r>
            <w:r>
              <w:rPr>
                <w:rFonts w:cstheme="minorHAnsi"/>
                <w:lang w:eastAsia="pl-PL"/>
              </w:rPr>
              <w:t xml:space="preserve"> </w:t>
            </w:r>
            <w:r w:rsidRPr="00A26C26">
              <w:rPr>
                <w:rFonts w:cstheme="minorHAnsi"/>
                <w:lang w:eastAsia="pl-PL"/>
              </w:rPr>
              <w:t>2</w:t>
            </w:r>
            <w:r>
              <w:rPr>
                <w:rFonts w:cstheme="minorHAnsi"/>
                <w:lang w:eastAsia="pl-PL"/>
              </w:rPr>
              <w:t xml:space="preserve"> </w:t>
            </w:r>
            <w:r w:rsidRPr="00A26C26">
              <w:rPr>
                <w:rFonts w:cstheme="minorHAnsi"/>
                <w:lang w:eastAsia="pl-PL"/>
              </w:rPr>
              <w:t>lata</w:t>
            </w:r>
            <w:r>
              <w:rPr>
                <w:rFonts w:cstheme="minorHAnsi"/>
                <w:lang w:eastAsia="pl-PL"/>
              </w:rPr>
              <w:t xml:space="preserve"> </w:t>
            </w:r>
            <w:r w:rsidRPr="00A26C26">
              <w:rPr>
                <w:rFonts w:cstheme="minorHAnsi"/>
                <w:lang w:eastAsia="pl-PL"/>
              </w:rPr>
              <w:t>i</w:t>
            </w:r>
            <w:r>
              <w:rPr>
                <w:rFonts w:cstheme="minorHAnsi"/>
                <w:lang w:eastAsia="pl-PL"/>
              </w:rPr>
              <w:t xml:space="preserve"> </w:t>
            </w:r>
            <w:r w:rsidRPr="00A26C26">
              <w:rPr>
                <w:rFonts w:cstheme="minorHAnsi"/>
                <w:lang w:eastAsia="pl-PL"/>
              </w:rPr>
              <w:t>jednocześnie</w:t>
            </w:r>
            <w:r>
              <w:rPr>
                <w:rFonts w:cstheme="minorHAnsi"/>
                <w:lang w:eastAsia="pl-PL"/>
              </w:rPr>
              <w:t xml:space="preserve"> </w:t>
            </w:r>
            <w:r w:rsidRPr="00A26C26">
              <w:rPr>
                <w:rFonts w:cstheme="minorHAnsi"/>
                <w:lang w:eastAsia="pl-PL"/>
              </w:rPr>
              <w:t>LGD</w:t>
            </w:r>
            <w:r>
              <w:rPr>
                <w:rFonts w:cstheme="minorHAnsi"/>
                <w:lang w:eastAsia="pl-PL"/>
              </w:rPr>
              <w:t xml:space="preserve"> </w:t>
            </w:r>
            <w:r w:rsidRPr="00A26C26">
              <w:rPr>
                <w:rFonts w:cstheme="minorHAnsi"/>
                <w:lang w:eastAsia="pl-PL"/>
              </w:rPr>
              <w:t>jest</w:t>
            </w:r>
            <w:r>
              <w:rPr>
                <w:rFonts w:cstheme="minorHAnsi"/>
                <w:lang w:eastAsia="pl-PL"/>
              </w:rPr>
              <w:t xml:space="preserve"> </w:t>
            </w:r>
            <w:r w:rsidRPr="00A26C26">
              <w:rPr>
                <w:rFonts w:cstheme="minorHAnsi"/>
                <w:lang w:eastAsia="pl-PL"/>
              </w:rPr>
              <w:t>zobowiązana</w:t>
            </w:r>
            <w:r>
              <w:rPr>
                <w:rFonts w:cstheme="minorHAnsi"/>
                <w:lang w:eastAsia="pl-PL"/>
              </w:rPr>
              <w:t xml:space="preserve"> </w:t>
            </w:r>
            <w:r w:rsidRPr="00A26C26">
              <w:rPr>
                <w:rFonts w:cstheme="minorHAnsi"/>
                <w:lang w:eastAsia="pl-PL"/>
              </w:rPr>
              <w:t>do</w:t>
            </w:r>
            <w:r>
              <w:rPr>
                <w:rFonts w:cstheme="minorHAnsi"/>
                <w:lang w:eastAsia="pl-PL"/>
              </w:rPr>
              <w:t xml:space="preserve"> </w:t>
            </w:r>
            <w:r w:rsidRPr="00A26C26">
              <w:rPr>
                <w:rFonts w:cstheme="minorHAnsi"/>
                <w:lang w:eastAsia="pl-PL"/>
              </w:rPr>
              <w:t>osiągnięcia</w:t>
            </w:r>
            <w:r>
              <w:rPr>
                <w:rFonts w:cstheme="minorHAnsi"/>
                <w:lang w:eastAsia="pl-PL"/>
              </w:rPr>
              <w:t xml:space="preserve"> </w:t>
            </w:r>
            <w:r w:rsidRPr="00A26C26">
              <w:rPr>
                <w:rFonts w:cstheme="minorHAnsi"/>
                <w:lang w:eastAsia="pl-PL"/>
              </w:rPr>
              <w:t>kamieni</w:t>
            </w:r>
            <w:r>
              <w:rPr>
                <w:rFonts w:cstheme="minorHAnsi"/>
                <w:lang w:eastAsia="pl-PL"/>
              </w:rPr>
              <w:t xml:space="preserve"> </w:t>
            </w:r>
            <w:r w:rsidRPr="00A26C26">
              <w:rPr>
                <w:rFonts w:cstheme="minorHAnsi"/>
                <w:lang w:eastAsia="pl-PL"/>
              </w:rPr>
              <w:t>milowych</w:t>
            </w:r>
            <w:r>
              <w:rPr>
                <w:rFonts w:cstheme="minorHAnsi"/>
                <w:lang w:eastAsia="pl-PL"/>
              </w:rPr>
              <w:t xml:space="preserve"> </w:t>
            </w:r>
            <w:r w:rsidRPr="00A26C26">
              <w:rPr>
                <w:rFonts w:cstheme="minorHAnsi"/>
                <w:lang w:eastAsia="pl-PL"/>
              </w:rPr>
              <w:t>w</w:t>
            </w:r>
            <w:r>
              <w:rPr>
                <w:rFonts w:cstheme="minorHAnsi"/>
                <w:lang w:eastAsia="pl-PL"/>
              </w:rPr>
              <w:t xml:space="preserve"> </w:t>
            </w:r>
            <w:r w:rsidRPr="00A26C26">
              <w:rPr>
                <w:rFonts w:cstheme="minorHAnsi"/>
                <w:lang w:eastAsia="pl-PL"/>
              </w:rPr>
              <w:t>określonym</w:t>
            </w:r>
            <w:r>
              <w:rPr>
                <w:rFonts w:cstheme="minorHAnsi"/>
                <w:lang w:eastAsia="pl-PL"/>
              </w:rPr>
              <w:t xml:space="preserve"> </w:t>
            </w:r>
            <w:r w:rsidRPr="00A26C26">
              <w:rPr>
                <w:rFonts w:cstheme="minorHAnsi"/>
                <w:lang w:eastAsia="pl-PL"/>
              </w:rPr>
              <w:t>czasie.</w:t>
            </w:r>
            <w:r>
              <w:rPr>
                <w:rFonts w:cstheme="minorHAnsi"/>
                <w:lang w:eastAsia="pl-PL"/>
              </w:rPr>
              <w:t xml:space="preserve"> </w:t>
            </w:r>
          </w:p>
        </w:tc>
      </w:tr>
    </w:tbl>
    <w:p w14:paraId="69F17FDD" w14:textId="77777777" w:rsidR="00241A86" w:rsidRDefault="00241A86" w:rsidP="00241A86">
      <w:pPr>
        <w:spacing w:line="276" w:lineRule="auto"/>
        <w:jc w:val="both"/>
        <w:rPr>
          <w:rFonts w:eastAsia="Calibri" w:cstheme="minorHAnsi"/>
          <w:kern w:val="0"/>
          <w14:ligatures w14:val="none"/>
        </w:rPr>
      </w:pPr>
      <w:r>
        <w:rPr>
          <w:rFonts w:eastAsia="Calibri" w:cstheme="minorHAnsi"/>
          <w:kern w:val="0"/>
          <w14:ligatures w14:val="none"/>
        </w:rPr>
        <w:lastRenderedPageBreak/>
        <w:t xml:space="preserve">Źródło: opracowanie własne </w:t>
      </w:r>
    </w:p>
    <w:p w14:paraId="167B67FA" w14:textId="77777777" w:rsidR="00E16619" w:rsidRPr="00A26C26" w:rsidRDefault="00E16619" w:rsidP="00241A86">
      <w:pPr>
        <w:spacing w:line="276" w:lineRule="auto"/>
        <w:jc w:val="both"/>
        <w:rPr>
          <w:rFonts w:eastAsia="Calibri" w:cstheme="minorHAnsi"/>
          <w:kern w:val="0"/>
          <w14:ligatures w14:val="none"/>
        </w:rPr>
      </w:pPr>
    </w:p>
    <w:p w14:paraId="5248ECDA" w14:textId="77777777" w:rsidR="00E16619" w:rsidRPr="00E16619" w:rsidRDefault="00E16619" w:rsidP="00E15132">
      <w:pPr>
        <w:pStyle w:val="Nagwek2"/>
        <w:numPr>
          <w:ilvl w:val="0"/>
          <w:numId w:val="11"/>
        </w:numPr>
        <w:spacing w:before="0" w:line="276" w:lineRule="auto"/>
        <w:rPr>
          <w:rFonts w:asciiTheme="minorHAnsi" w:eastAsia="Times New Roman" w:hAnsiTheme="minorHAnsi" w:cstheme="minorHAnsi"/>
          <w:b/>
          <w:bCs/>
          <w:sz w:val="22"/>
          <w:szCs w:val="22"/>
        </w:rPr>
      </w:pPr>
      <w:bookmarkStart w:id="76" w:name="_Toc136260200"/>
      <w:bookmarkStart w:id="77" w:name="_Toc136944419"/>
      <w:r w:rsidRPr="00E16619">
        <w:rPr>
          <w:rFonts w:asciiTheme="minorHAnsi" w:eastAsia="Times New Roman" w:hAnsiTheme="minorHAnsi" w:cstheme="minorHAnsi"/>
          <w:b/>
          <w:bCs/>
          <w:sz w:val="22"/>
          <w:szCs w:val="22"/>
        </w:rPr>
        <w:t>Podejście LGD do kwestii przestrzegania zasady równości szans i niedyskryminacji</w:t>
      </w:r>
      <w:bookmarkEnd w:id="76"/>
      <w:bookmarkEnd w:id="77"/>
      <w:r w:rsidRPr="00E16619">
        <w:rPr>
          <w:rFonts w:asciiTheme="minorHAnsi" w:eastAsia="Times New Roman" w:hAnsiTheme="minorHAnsi" w:cstheme="minorHAnsi"/>
          <w:b/>
          <w:bCs/>
          <w:sz w:val="22"/>
          <w:szCs w:val="22"/>
        </w:rPr>
        <w:t xml:space="preserve"> </w:t>
      </w:r>
    </w:p>
    <w:p w14:paraId="41DE476D" w14:textId="77777777" w:rsidR="00E16619" w:rsidRPr="00F16251" w:rsidRDefault="00E16619" w:rsidP="00E16619">
      <w:pPr>
        <w:shd w:val="clear" w:color="auto" w:fill="FFFFFF"/>
        <w:spacing w:line="276" w:lineRule="auto"/>
        <w:ind w:firstLine="284"/>
        <w:jc w:val="both"/>
        <w:rPr>
          <w:rFonts w:eastAsia="Calibri" w:cstheme="minorHAnsi"/>
          <w:kern w:val="0"/>
          <w14:ligatures w14:val="none"/>
        </w:rPr>
      </w:pPr>
      <w:r w:rsidRPr="00F16251">
        <w:rPr>
          <w:rFonts w:cstheme="minorHAnsi"/>
        </w:rPr>
        <w:t xml:space="preserve">Stowarzyszenia „Solidarni w Partnerstwie” zarówno w swoich działaniach jak i działaniach podejmowanych przez beneficjentów zwraca uwagę na zachowanie standardu minimum w zakresie realizacji zasady równości szans </w:t>
      </w:r>
      <w:r w:rsidRPr="00F16251">
        <w:rPr>
          <w:rFonts w:cstheme="minorHAnsi"/>
        </w:rPr>
        <w:br/>
        <w:t xml:space="preserve">i niedyskryminacji. Wzorem w tym zakresie są </w:t>
      </w:r>
      <w:r w:rsidRPr="00F16251">
        <w:rPr>
          <w:rFonts w:eastAsia="Calibri" w:cstheme="minorHAnsi"/>
          <w:kern w:val="0"/>
          <w14:ligatures w14:val="none"/>
        </w:rPr>
        <w:t>„Wytyczne dotyczące realizacji zasad równościowych w ramach funduszy unijnych na lata 2021-2027” opracowane w celu zapewnienia zgodności wdrażania programów z zasadami horyzontalnymi: zasadą równości szans i niedyskryminacji oraz zasadą równości kobiet i mężczyzn, a także zapewnienie spójnego podejścia w tym zakresie w ramach programów i projektów współfinansowanych ze środków EFS+ oraz EFRR.</w:t>
      </w:r>
    </w:p>
    <w:p w14:paraId="0766E982" w14:textId="77777777" w:rsidR="00E16619" w:rsidRPr="00F16251" w:rsidRDefault="00E16619" w:rsidP="00E16619">
      <w:pPr>
        <w:shd w:val="clear" w:color="auto" w:fill="FFFFFF"/>
        <w:spacing w:line="276" w:lineRule="auto"/>
        <w:ind w:firstLine="284"/>
        <w:jc w:val="both"/>
        <w:rPr>
          <w:rFonts w:eastAsia="Calibri" w:cstheme="minorHAnsi"/>
          <w:kern w:val="0"/>
          <w:lang w:eastAsia="pl-PL"/>
          <w14:ligatures w14:val="none"/>
        </w:rPr>
      </w:pPr>
      <w:r w:rsidRPr="00F16251">
        <w:rPr>
          <w:rFonts w:eastAsia="Calibri" w:cstheme="minorHAnsi"/>
          <w:kern w:val="0"/>
          <w:lang w:eastAsia="pl-PL"/>
          <w14:ligatures w14:val="none"/>
        </w:rPr>
        <w:t>Warto zaznaczyć, że dokumenty, na których opiera się działalność Lokalnej Grupy Działania, są przykładem otwartości, ponieważ nie zawierają żadnych dyskryminujących zapisów. Równość płci oznacza uwzględnienie istniejących proporcji między kobietami a mężczyznami na obszarze działania LGD lub dążenie do zwiększenia udziału niedoreprezentowanej grupy w ramach udzielanego wsparcia. Istnieją jednak sytuacje, w których proporcja 50/50 odzwierciedla rzeczywistość kobiet i mężczyzn, stanowiąc równocześnie proporcję zgodną z zasadą równego dostępu do szans dla obu płci.</w:t>
      </w:r>
    </w:p>
    <w:p w14:paraId="1218C997" w14:textId="77777777" w:rsidR="00E16619" w:rsidRDefault="00E16619" w:rsidP="00E16619">
      <w:pPr>
        <w:shd w:val="clear" w:color="auto" w:fill="FFFFFF"/>
        <w:spacing w:line="276" w:lineRule="auto"/>
        <w:jc w:val="both"/>
        <w:rPr>
          <w:rFonts w:cstheme="minorHAnsi"/>
        </w:rPr>
      </w:pPr>
      <w:r w:rsidRPr="00F16251">
        <w:rPr>
          <w:rFonts w:eastAsia="Calibri" w:cstheme="minorHAnsi"/>
          <w:kern w:val="0"/>
          <w:lang w:eastAsia="pl-PL"/>
          <w14:ligatures w14:val="none"/>
        </w:rPr>
        <w:t>Ponadto, Lokalna Grupa Działania będzie premiować projekty, które pozytywnie wpływają na społeczne włączenie osób z niepełnosprawnościami. Będzie to obejmować tworzenie miejsc pracy, usuwanie barier architektonicznych oraz inicjowanie miejsc spotkań i integracji społecznej</w:t>
      </w:r>
      <w:r w:rsidRPr="00F16251">
        <w:rPr>
          <w:rFonts w:eastAsia="Times New Roman" w:cstheme="minorHAnsi"/>
          <w:kern w:val="0"/>
          <w:lang w:eastAsia="pl-PL"/>
          <w14:ligatures w14:val="none"/>
        </w:rPr>
        <w:t>.</w:t>
      </w:r>
      <w:r w:rsidRPr="00F16251">
        <w:rPr>
          <w:rFonts w:cstheme="minorHAnsi"/>
        </w:rPr>
        <w:t xml:space="preserve"> </w:t>
      </w:r>
    </w:p>
    <w:p w14:paraId="37381D07" w14:textId="77777777" w:rsidR="003017ED" w:rsidRDefault="003017ED" w:rsidP="00E16619">
      <w:pPr>
        <w:shd w:val="clear" w:color="auto" w:fill="FFFFFF"/>
        <w:spacing w:line="276" w:lineRule="auto"/>
        <w:jc w:val="both"/>
        <w:rPr>
          <w:rFonts w:cstheme="minorHAnsi"/>
        </w:rPr>
      </w:pPr>
    </w:p>
    <w:p w14:paraId="6873AEEA" w14:textId="77777777" w:rsidR="003017ED" w:rsidRDefault="003017ED" w:rsidP="00E16619">
      <w:pPr>
        <w:shd w:val="clear" w:color="auto" w:fill="FFFFFF"/>
        <w:spacing w:line="276" w:lineRule="auto"/>
        <w:jc w:val="both"/>
        <w:rPr>
          <w:rFonts w:cstheme="minorHAnsi"/>
        </w:rPr>
      </w:pPr>
    </w:p>
    <w:p w14:paraId="4F4FF13B" w14:textId="77777777" w:rsidR="00BD17DA" w:rsidRDefault="00BD17DA">
      <w:pPr>
        <w:rPr>
          <w:rFonts w:eastAsia="Times New Roman" w:cstheme="minorHAnsi"/>
          <w:b/>
          <w:bCs/>
          <w:color w:val="2F5496" w:themeColor="accent1" w:themeShade="BF"/>
        </w:rPr>
      </w:pPr>
      <w:bookmarkStart w:id="78" w:name="_Toc135619157"/>
      <w:bookmarkStart w:id="79" w:name="_Toc136212423"/>
      <w:bookmarkStart w:id="80" w:name="_Toc135619158"/>
      <w:r>
        <w:rPr>
          <w:rFonts w:eastAsia="Times New Roman" w:cstheme="minorHAnsi"/>
          <w:b/>
          <w:bCs/>
        </w:rPr>
        <w:br w:type="page"/>
      </w:r>
    </w:p>
    <w:p w14:paraId="0A713A5C" w14:textId="094C4DC3" w:rsidR="00857736" w:rsidRPr="00A26C26" w:rsidRDefault="00857736" w:rsidP="00A26C26">
      <w:pPr>
        <w:pStyle w:val="Nagwek1"/>
        <w:spacing w:before="0" w:line="276" w:lineRule="auto"/>
        <w:rPr>
          <w:rFonts w:asciiTheme="minorHAnsi" w:eastAsia="Times New Roman" w:hAnsiTheme="minorHAnsi" w:cstheme="minorHAnsi"/>
          <w:b/>
          <w:bCs/>
          <w:sz w:val="22"/>
          <w:szCs w:val="22"/>
        </w:rPr>
      </w:pPr>
      <w:bookmarkStart w:id="81" w:name="_Toc136944420"/>
      <w:r w:rsidRPr="00A26C26">
        <w:rPr>
          <w:rFonts w:asciiTheme="minorHAnsi" w:eastAsia="Times New Roman" w:hAnsiTheme="minorHAnsi" w:cstheme="minorHAnsi"/>
          <w:b/>
          <w:bCs/>
          <w:sz w:val="22"/>
          <w:szCs w:val="22"/>
        </w:rPr>
        <w:lastRenderedPageBreak/>
        <w:t>ROZDZIAŁ</w:t>
      </w:r>
      <w:r w:rsidR="003B50ED">
        <w:rPr>
          <w:rFonts w:asciiTheme="minorHAnsi" w:eastAsia="Times New Roman" w:hAnsiTheme="minorHAnsi" w:cstheme="minorHAnsi"/>
          <w:b/>
          <w:bCs/>
          <w:sz w:val="22"/>
          <w:szCs w:val="22"/>
        </w:rPr>
        <w:t xml:space="preserve"> </w:t>
      </w:r>
      <w:r w:rsidRPr="00A26C26">
        <w:rPr>
          <w:rFonts w:asciiTheme="minorHAnsi" w:eastAsia="Times New Roman" w:hAnsiTheme="minorHAnsi" w:cstheme="minorHAnsi"/>
          <w:b/>
          <w:bCs/>
          <w:sz w:val="22"/>
          <w:szCs w:val="22"/>
        </w:rPr>
        <w:t>V.</w:t>
      </w:r>
      <w:r w:rsidR="003B50ED">
        <w:rPr>
          <w:rFonts w:asciiTheme="minorHAnsi" w:eastAsia="Times New Roman" w:hAnsiTheme="minorHAnsi" w:cstheme="minorHAnsi"/>
          <w:b/>
          <w:bCs/>
          <w:sz w:val="22"/>
          <w:szCs w:val="22"/>
        </w:rPr>
        <w:t xml:space="preserve"> </w:t>
      </w:r>
      <w:r w:rsidRPr="00A26C26">
        <w:rPr>
          <w:rFonts w:asciiTheme="minorHAnsi" w:eastAsia="Times New Roman" w:hAnsiTheme="minorHAnsi" w:cstheme="minorHAnsi"/>
          <w:b/>
          <w:bCs/>
          <w:sz w:val="22"/>
          <w:szCs w:val="22"/>
        </w:rPr>
        <w:t>SPÓJNOŚĆ,</w:t>
      </w:r>
      <w:r w:rsidR="003B50ED">
        <w:rPr>
          <w:rFonts w:asciiTheme="minorHAnsi" w:eastAsia="Times New Roman" w:hAnsiTheme="minorHAnsi" w:cstheme="minorHAnsi"/>
          <w:b/>
          <w:bCs/>
          <w:sz w:val="22"/>
          <w:szCs w:val="22"/>
        </w:rPr>
        <w:t xml:space="preserve"> </w:t>
      </w:r>
      <w:r w:rsidRPr="00A26C26">
        <w:rPr>
          <w:rFonts w:asciiTheme="minorHAnsi" w:eastAsia="Times New Roman" w:hAnsiTheme="minorHAnsi" w:cstheme="minorHAnsi"/>
          <w:b/>
          <w:bCs/>
          <w:sz w:val="22"/>
          <w:szCs w:val="22"/>
        </w:rPr>
        <w:t>KOMPLEMENTARNOŚĆ</w:t>
      </w:r>
      <w:r w:rsidR="003B50ED">
        <w:rPr>
          <w:rFonts w:asciiTheme="minorHAnsi" w:eastAsia="Times New Roman" w:hAnsiTheme="minorHAnsi" w:cstheme="minorHAnsi"/>
          <w:b/>
          <w:bCs/>
          <w:sz w:val="22"/>
          <w:szCs w:val="22"/>
        </w:rPr>
        <w:t xml:space="preserve"> </w:t>
      </w:r>
      <w:r w:rsidRPr="00A26C26">
        <w:rPr>
          <w:rFonts w:asciiTheme="minorHAnsi" w:eastAsia="Times New Roman" w:hAnsiTheme="minorHAnsi" w:cstheme="minorHAnsi"/>
          <w:b/>
          <w:bCs/>
          <w:sz w:val="22"/>
          <w:szCs w:val="22"/>
        </w:rPr>
        <w:t>I</w:t>
      </w:r>
      <w:r w:rsidR="003B50ED">
        <w:rPr>
          <w:rFonts w:asciiTheme="minorHAnsi" w:eastAsia="Times New Roman" w:hAnsiTheme="minorHAnsi" w:cstheme="minorHAnsi"/>
          <w:b/>
          <w:bCs/>
          <w:sz w:val="22"/>
          <w:szCs w:val="22"/>
        </w:rPr>
        <w:t xml:space="preserve"> </w:t>
      </w:r>
      <w:r w:rsidRPr="00A26C26">
        <w:rPr>
          <w:rFonts w:asciiTheme="minorHAnsi" w:eastAsia="Times New Roman" w:hAnsiTheme="minorHAnsi" w:cstheme="minorHAnsi"/>
          <w:b/>
          <w:bCs/>
          <w:sz w:val="22"/>
          <w:szCs w:val="22"/>
        </w:rPr>
        <w:t>SYNERGIA</w:t>
      </w:r>
      <w:bookmarkEnd w:id="78"/>
      <w:bookmarkEnd w:id="79"/>
      <w:bookmarkEnd w:id="81"/>
    </w:p>
    <w:p w14:paraId="34D8957E" w14:textId="77777777" w:rsidR="00857736" w:rsidRPr="006B3C3B" w:rsidRDefault="00857736" w:rsidP="006B3C3B"/>
    <w:p w14:paraId="73EBD3D8" w14:textId="103D3AF8" w:rsidR="00857736" w:rsidRPr="00A26C26" w:rsidRDefault="00857736" w:rsidP="008A412F">
      <w:pPr>
        <w:pStyle w:val="Nagwek2"/>
        <w:numPr>
          <w:ilvl w:val="0"/>
          <w:numId w:val="21"/>
        </w:numPr>
        <w:spacing w:before="0" w:line="276" w:lineRule="auto"/>
        <w:rPr>
          <w:rFonts w:asciiTheme="minorHAnsi" w:eastAsia="Times New Roman" w:hAnsiTheme="minorHAnsi" w:cstheme="minorHAnsi"/>
          <w:b/>
          <w:bCs/>
          <w:sz w:val="22"/>
          <w:szCs w:val="22"/>
        </w:rPr>
      </w:pPr>
      <w:bookmarkStart w:id="82" w:name="_Toc136212424"/>
      <w:bookmarkStart w:id="83" w:name="_Toc136944421"/>
      <w:r w:rsidRPr="00A26C26">
        <w:rPr>
          <w:rFonts w:asciiTheme="minorHAnsi" w:eastAsia="Times New Roman" w:hAnsiTheme="minorHAnsi" w:cstheme="minorHAnsi"/>
          <w:b/>
          <w:bCs/>
          <w:sz w:val="22"/>
          <w:szCs w:val="22"/>
        </w:rPr>
        <w:t>Zgodność</w:t>
      </w:r>
      <w:r w:rsidR="003B50ED">
        <w:rPr>
          <w:rFonts w:asciiTheme="minorHAnsi" w:eastAsia="Times New Roman" w:hAnsiTheme="minorHAnsi" w:cstheme="minorHAnsi"/>
          <w:b/>
          <w:bCs/>
          <w:sz w:val="22"/>
          <w:szCs w:val="22"/>
        </w:rPr>
        <w:t xml:space="preserve"> </w:t>
      </w:r>
      <w:r w:rsidRPr="00A26C26">
        <w:rPr>
          <w:rFonts w:asciiTheme="minorHAnsi" w:eastAsia="Times New Roman" w:hAnsiTheme="minorHAnsi" w:cstheme="minorHAnsi"/>
          <w:b/>
          <w:bCs/>
          <w:sz w:val="22"/>
          <w:szCs w:val="22"/>
        </w:rPr>
        <w:t>i</w:t>
      </w:r>
      <w:r w:rsidR="003B50ED">
        <w:rPr>
          <w:rFonts w:asciiTheme="minorHAnsi" w:eastAsia="Times New Roman" w:hAnsiTheme="minorHAnsi" w:cstheme="minorHAnsi"/>
          <w:b/>
          <w:bCs/>
          <w:sz w:val="22"/>
          <w:szCs w:val="22"/>
        </w:rPr>
        <w:t xml:space="preserve"> </w:t>
      </w:r>
      <w:r w:rsidRPr="00A26C26">
        <w:rPr>
          <w:rFonts w:asciiTheme="minorHAnsi" w:eastAsia="Times New Roman" w:hAnsiTheme="minorHAnsi" w:cstheme="minorHAnsi"/>
          <w:b/>
          <w:bCs/>
          <w:sz w:val="22"/>
          <w:szCs w:val="22"/>
        </w:rPr>
        <w:t>komplementarność</w:t>
      </w:r>
      <w:r w:rsidR="003B50ED">
        <w:rPr>
          <w:rFonts w:asciiTheme="minorHAnsi" w:eastAsia="Times New Roman" w:hAnsiTheme="minorHAnsi" w:cstheme="minorHAnsi"/>
          <w:b/>
          <w:bCs/>
          <w:sz w:val="22"/>
          <w:szCs w:val="22"/>
        </w:rPr>
        <w:t xml:space="preserve"> </w:t>
      </w:r>
      <w:r w:rsidRPr="00A26C26">
        <w:rPr>
          <w:rFonts w:asciiTheme="minorHAnsi" w:eastAsia="Times New Roman" w:hAnsiTheme="minorHAnsi" w:cstheme="minorHAnsi"/>
          <w:b/>
          <w:bCs/>
          <w:sz w:val="22"/>
          <w:szCs w:val="22"/>
        </w:rPr>
        <w:t>z</w:t>
      </w:r>
      <w:r w:rsidR="003B50ED">
        <w:rPr>
          <w:rFonts w:asciiTheme="minorHAnsi" w:eastAsia="Times New Roman" w:hAnsiTheme="minorHAnsi" w:cstheme="minorHAnsi"/>
          <w:b/>
          <w:bCs/>
          <w:sz w:val="22"/>
          <w:szCs w:val="22"/>
        </w:rPr>
        <w:t xml:space="preserve"> </w:t>
      </w:r>
      <w:r w:rsidRPr="00A26C26">
        <w:rPr>
          <w:rFonts w:asciiTheme="minorHAnsi" w:eastAsia="Times New Roman" w:hAnsiTheme="minorHAnsi" w:cstheme="minorHAnsi"/>
          <w:b/>
          <w:bCs/>
          <w:sz w:val="22"/>
          <w:szCs w:val="22"/>
        </w:rPr>
        <w:t>innymi</w:t>
      </w:r>
      <w:r w:rsidR="003B50ED">
        <w:rPr>
          <w:rFonts w:asciiTheme="minorHAnsi" w:eastAsia="Times New Roman" w:hAnsiTheme="minorHAnsi" w:cstheme="minorHAnsi"/>
          <w:b/>
          <w:bCs/>
          <w:sz w:val="22"/>
          <w:szCs w:val="22"/>
        </w:rPr>
        <w:t xml:space="preserve"> </w:t>
      </w:r>
      <w:r w:rsidRPr="00A26C26">
        <w:rPr>
          <w:rFonts w:asciiTheme="minorHAnsi" w:eastAsia="Times New Roman" w:hAnsiTheme="minorHAnsi" w:cstheme="minorHAnsi"/>
          <w:b/>
          <w:bCs/>
          <w:sz w:val="22"/>
          <w:szCs w:val="22"/>
        </w:rPr>
        <w:t>dokumentami</w:t>
      </w:r>
      <w:r w:rsidR="003B50ED">
        <w:rPr>
          <w:rFonts w:asciiTheme="minorHAnsi" w:eastAsia="Times New Roman" w:hAnsiTheme="minorHAnsi" w:cstheme="minorHAnsi"/>
          <w:b/>
          <w:bCs/>
          <w:sz w:val="22"/>
          <w:szCs w:val="22"/>
        </w:rPr>
        <w:t xml:space="preserve"> </w:t>
      </w:r>
      <w:r w:rsidRPr="00A26C26">
        <w:rPr>
          <w:rFonts w:asciiTheme="minorHAnsi" w:eastAsia="Times New Roman" w:hAnsiTheme="minorHAnsi" w:cstheme="minorHAnsi"/>
          <w:b/>
          <w:bCs/>
          <w:sz w:val="22"/>
          <w:szCs w:val="22"/>
        </w:rPr>
        <w:t>planistycznymi</w:t>
      </w:r>
      <w:bookmarkEnd w:id="80"/>
      <w:bookmarkEnd w:id="82"/>
      <w:bookmarkEnd w:id="83"/>
    </w:p>
    <w:p w14:paraId="3FD94803" w14:textId="2465AF88" w:rsidR="00857736" w:rsidRPr="00F16251" w:rsidRDefault="00857736" w:rsidP="00A26C26">
      <w:pPr>
        <w:spacing w:line="276" w:lineRule="auto"/>
        <w:ind w:firstLine="284"/>
        <w:jc w:val="both"/>
        <w:rPr>
          <w:rFonts w:eastAsia="Calibri" w:cstheme="minorHAnsi"/>
          <w:kern w:val="0"/>
          <w14:ligatures w14:val="none"/>
        </w:rPr>
      </w:pPr>
      <w:r w:rsidRPr="00F16251">
        <w:rPr>
          <w:rFonts w:eastAsia="Calibri" w:cstheme="minorHAnsi"/>
          <w:kern w:val="0"/>
          <w14:ligatures w14:val="none"/>
        </w:rPr>
        <w:t>Cele</w:t>
      </w:r>
      <w:r w:rsidR="003B50ED" w:rsidRPr="00F16251">
        <w:rPr>
          <w:rFonts w:eastAsia="Calibri" w:cstheme="minorHAnsi"/>
          <w:kern w:val="0"/>
          <w14:ligatures w14:val="none"/>
        </w:rPr>
        <w:t xml:space="preserve"> </w:t>
      </w:r>
      <w:r w:rsidRPr="00F16251">
        <w:rPr>
          <w:rFonts w:eastAsia="Calibri" w:cstheme="minorHAnsi"/>
          <w:kern w:val="0"/>
          <w14:ligatures w14:val="none"/>
        </w:rPr>
        <w:t>i</w:t>
      </w:r>
      <w:r w:rsidR="003B50ED" w:rsidRPr="00F16251">
        <w:rPr>
          <w:rFonts w:eastAsia="Calibri" w:cstheme="minorHAnsi"/>
          <w:kern w:val="0"/>
          <w14:ligatures w14:val="none"/>
        </w:rPr>
        <w:t xml:space="preserve"> </w:t>
      </w:r>
      <w:r w:rsidRPr="00F16251">
        <w:rPr>
          <w:rFonts w:eastAsia="Calibri" w:cstheme="minorHAnsi"/>
          <w:kern w:val="0"/>
          <w14:ligatures w14:val="none"/>
        </w:rPr>
        <w:t>działania</w:t>
      </w:r>
      <w:r w:rsidR="003B50ED" w:rsidRPr="00F16251">
        <w:rPr>
          <w:rFonts w:eastAsia="Calibri" w:cstheme="minorHAnsi"/>
          <w:kern w:val="0"/>
          <w14:ligatures w14:val="none"/>
        </w:rPr>
        <w:t xml:space="preserve"> </w:t>
      </w:r>
      <w:r w:rsidRPr="00F16251">
        <w:rPr>
          <w:rFonts w:eastAsia="Calibri" w:cstheme="minorHAnsi"/>
          <w:kern w:val="0"/>
          <w14:ligatures w14:val="none"/>
        </w:rPr>
        <w:t>zawarte</w:t>
      </w:r>
      <w:r w:rsidR="003B50ED" w:rsidRPr="00F16251">
        <w:rPr>
          <w:rFonts w:eastAsia="Calibri" w:cstheme="minorHAnsi"/>
          <w:kern w:val="0"/>
          <w14:ligatures w14:val="none"/>
        </w:rPr>
        <w:t xml:space="preserve"> </w:t>
      </w:r>
      <w:r w:rsidRPr="00F16251">
        <w:rPr>
          <w:rFonts w:eastAsia="Calibri" w:cstheme="minorHAnsi"/>
          <w:kern w:val="0"/>
          <w14:ligatures w14:val="none"/>
        </w:rPr>
        <w:t>w</w:t>
      </w:r>
      <w:r w:rsidR="003B50ED" w:rsidRPr="00F16251">
        <w:rPr>
          <w:rFonts w:eastAsia="Calibri" w:cstheme="minorHAnsi"/>
          <w:kern w:val="0"/>
          <w14:ligatures w14:val="none"/>
        </w:rPr>
        <w:t xml:space="preserve"> </w:t>
      </w:r>
      <w:r w:rsidRPr="00F16251">
        <w:rPr>
          <w:rFonts w:eastAsia="Calibri" w:cstheme="minorHAnsi"/>
          <w:kern w:val="0"/>
          <w14:ligatures w14:val="none"/>
        </w:rPr>
        <w:t>LSR</w:t>
      </w:r>
      <w:r w:rsidR="003B50ED" w:rsidRPr="00F16251">
        <w:rPr>
          <w:rFonts w:eastAsia="Calibri" w:cstheme="minorHAnsi"/>
          <w:kern w:val="0"/>
          <w14:ligatures w14:val="none"/>
        </w:rPr>
        <w:t xml:space="preserve"> </w:t>
      </w:r>
      <w:r w:rsidRPr="00F16251">
        <w:rPr>
          <w:rFonts w:eastAsia="Calibri" w:cstheme="minorHAnsi"/>
          <w:kern w:val="0"/>
          <w14:ligatures w14:val="none"/>
        </w:rPr>
        <w:t>są</w:t>
      </w:r>
      <w:r w:rsidR="003B50ED" w:rsidRPr="00F16251">
        <w:rPr>
          <w:rFonts w:eastAsia="Calibri" w:cstheme="minorHAnsi"/>
          <w:kern w:val="0"/>
          <w14:ligatures w14:val="none"/>
        </w:rPr>
        <w:t xml:space="preserve"> </w:t>
      </w:r>
      <w:r w:rsidRPr="00F16251">
        <w:rPr>
          <w:rFonts w:eastAsia="Calibri" w:cstheme="minorHAnsi"/>
          <w:kern w:val="0"/>
          <w14:ligatures w14:val="none"/>
        </w:rPr>
        <w:t>zgodne</w:t>
      </w:r>
      <w:r w:rsidR="003B50ED" w:rsidRPr="00F16251">
        <w:rPr>
          <w:rFonts w:eastAsia="Calibri" w:cstheme="minorHAnsi"/>
          <w:kern w:val="0"/>
          <w14:ligatures w14:val="none"/>
        </w:rPr>
        <w:t xml:space="preserve"> </w:t>
      </w:r>
      <w:r w:rsidRPr="00F16251">
        <w:rPr>
          <w:rFonts w:eastAsia="Calibri" w:cstheme="minorHAnsi"/>
          <w:kern w:val="0"/>
          <w14:ligatures w14:val="none"/>
        </w:rPr>
        <w:t>z</w:t>
      </w:r>
      <w:r w:rsidR="003B50ED" w:rsidRPr="00F16251">
        <w:rPr>
          <w:rFonts w:eastAsia="Calibri" w:cstheme="minorHAnsi"/>
          <w:kern w:val="0"/>
          <w14:ligatures w14:val="none"/>
        </w:rPr>
        <w:t xml:space="preserve"> </w:t>
      </w:r>
      <w:r w:rsidRPr="00F16251">
        <w:rPr>
          <w:rFonts w:eastAsia="Calibri" w:cstheme="minorHAnsi"/>
          <w:kern w:val="0"/>
          <w14:ligatures w14:val="none"/>
        </w:rPr>
        <w:t>celami</w:t>
      </w:r>
      <w:r w:rsidR="003B50ED" w:rsidRPr="00F16251">
        <w:rPr>
          <w:rFonts w:eastAsia="Calibri" w:cstheme="minorHAnsi"/>
          <w:kern w:val="0"/>
          <w14:ligatures w14:val="none"/>
        </w:rPr>
        <w:t xml:space="preserve"> </w:t>
      </w:r>
      <w:r w:rsidRPr="00F16251">
        <w:rPr>
          <w:rFonts w:eastAsia="Calibri" w:cstheme="minorHAnsi"/>
          <w:kern w:val="0"/>
          <w14:ligatures w14:val="none"/>
        </w:rPr>
        <w:t>i</w:t>
      </w:r>
      <w:r w:rsidR="003B50ED" w:rsidRPr="00F16251">
        <w:rPr>
          <w:rFonts w:eastAsia="Calibri" w:cstheme="minorHAnsi"/>
          <w:kern w:val="0"/>
          <w14:ligatures w14:val="none"/>
        </w:rPr>
        <w:t xml:space="preserve"> </w:t>
      </w:r>
      <w:r w:rsidRPr="00F16251">
        <w:rPr>
          <w:rFonts w:eastAsia="Calibri" w:cstheme="minorHAnsi"/>
          <w:kern w:val="0"/>
          <w14:ligatures w14:val="none"/>
        </w:rPr>
        <w:t>działaniami</w:t>
      </w:r>
      <w:r w:rsidR="003B50ED" w:rsidRPr="00F16251">
        <w:rPr>
          <w:rFonts w:eastAsia="Calibri" w:cstheme="minorHAnsi"/>
          <w:kern w:val="0"/>
          <w14:ligatures w14:val="none"/>
        </w:rPr>
        <w:t xml:space="preserve"> </w:t>
      </w:r>
      <w:r w:rsidRPr="00F16251">
        <w:rPr>
          <w:rFonts w:eastAsia="Calibri" w:cstheme="minorHAnsi"/>
          <w:kern w:val="0"/>
          <w14:ligatures w14:val="none"/>
        </w:rPr>
        <w:t>określonymi</w:t>
      </w:r>
      <w:r w:rsidR="003B50ED" w:rsidRPr="00F16251">
        <w:rPr>
          <w:rFonts w:eastAsia="Calibri" w:cstheme="minorHAnsi"/>
          <w:kern w:val="0"/>
          <w14:ligatures w14:val="none"/>
        </w:rPr>
        <w:t xml:space="preserve"> </w:t>
      </w:r>
      <w:r w:rsidRPr="00F16251">
        <w:rPr>
          <w:rFonts w:eastAsia="Calibri" w:cstheme="minorHAnsi"/>
          <w:kern w:val="0"/>
          <w14:ligatures w14:val="none"/>
        </w:rPr>
        <w:t>w</w:t>
      </w:r>
      <w:r w:rsidR="003B50ED" w:rsidRPr="00F16251">
        <w:rPr>
          <w:rFonts w:eastAsia="Calibri" w:cstheme="minorHAnsi"/>
          <w:kern w:val="0"/>
          <w14:ligatures w14:val="none"/>
        </w:rPr>
        <w:t xml:space="preserve"> </w:t>
      </w:r>
      <w:r w:rsidRPr="00F16251">
        <w:rPr>
          <w:rFonts w:eastAsia="Calibri" w:cstheme="minorHAnsi"/>
          <w:kern w:val="0"/>
          <w14:ligatures w14:val="none"/>
        </w:rPr>
        <w:t>strategicznych</w:t>
      </w:r>
      <w:r w:rsidR="003B50ED" w:rsidRPr="00F16251">
        <w:rPr>
          <w:rFonts w:eastAsia="Calibri" w:cstheme="minorHAnsi"/>
          <w:kern w:val="0"/>
          <w14:ligatures w14:val="none"/>
        </w:rPr>
        <w:t xml:space="preserve"> </w:t>
      </w:r>
      <w:r w:rsidRPr="00F16251">
        <w:rPr>
          <w:rFonts w:eastAsia="Calibri" w:cstheme="minorHAnsi"/>
          <w:kern w:val="0"/>
          <w14:ligatures w14:val="none"/>
        </w:rPr>
        <w:t>dokumentach</w:t>
      </w:r>
      <w:r w:rsidR="003B50ED" w:rsidRPr="00F16251">
        <w:rPr>
          <w:rFonts w:eastAsia="Calibri" w:cstheme="minorHAnsi"/>
          <w:kern w:val="0"/>
          <w14:ligatures w14:val="none"/>
        </w:rPr>
        <w:t xml:space="preserve"> </w:t>
      </w:r>
      <w:r w:rsidRPr="00F16251">
        <w:rPr>
          <w:rFonts w:eastAsia="Calibri" w:cstheme="minorHAnsi"/>
          <w:kern w:val="0"/>
          <w14:ligatures w14:val="none"/>
        </w:rPr>
        <w:t>na</w:t>
      </w:r>
      <w:r w:rsidR="003B50ED" w:rsidRPr="00F16251">
        <w:rPr>
          <w:rFonts w:eastAsia="Calibri" w:cstheme="minorHAnsi"/>
          <w:kern w:val="0"/>
          <w14:ligatures w14:val="none"/>
        </w:rPr>
        <w:t xml:space="preserve"> </w:t>
      </w:r>
      <w:r w:rsidRPr="00F16251">
        <w:rPr>
          <w:rFonts w:eastAsia="Calibri" w:cstheme="minorHAnsi"/>
          <w:kern w:val="0"/>
          <w14:ligatures w14:val="none"/>
        </w:rPr>
        <w:t>poziomie</w:t>
      </w:r>
      <w:r w:rsidR="003B50ED" w:rsidRPr="00F16251">
        <w:rPr>
          <w:rFonts w:eastAsia="Calibri" w:cstheme="minorHAnsi"/>
          <w:kern w:val="0"/>
          <w14:ligatures w14:val="none"/>
        </w:rPr>
        <w:t xml:space="preserve"> </w:t>
      </w:r>
      <w:r w:rsidRPr="00F16251">
        <w:rPr>
          <w:rFonts w:eastAsia="Calibri" w:cstheme="minorHAnsi"/>
          <w:kern w:val="0"/>
          <w14:ligatures w14:val="none"/>
        </w:rPr>
        <w:t>krajowym,</w:t>
      </w:r>
      <w:r w:rsidR="003B50ED" w:rsidRPr="00F16251">
        <w:rPr>
          <w:rFonts w:eastAsia="Calibri" w:cstheme="minorHAnsi"/>
          <w:kern w:val="0"/>
          <w14:ligatures w14:val="none"/>
        </w:rPr>
        <w:t xml:space="preserve"> </w:t>
      </w:r>
      <w:r w:rsidRPr="00F16251">
        <w:rPr>
          <w:rFonts w:eastAsia="Calibri" w:cstheme="minorHAnsi"/>
          <w:kern w:val="0"/>
          <w14:ligatures w14:val="none"/>
        </w:rPr>
        <w:t>regionalnym</w:t>
      </w:r>
      <w:r w:rsidR="003B50ED" w:rsidRPr="00F16251">
        <w:rPr>
          <w:rFonts w:eastAsia="Calibri" w:cstheme="minorHAnsi"/>
          <w:kern w:val="0"/>
          <w14:ligatures w14:val="none"/>
        </w:rPr>
        <w:t xml:space="preserve"> </w:t>
      </w:r>
      <w:r w:rsidRPr="00F16251">
        <w:rPr>
          <w:rFonts w:eastAsia="Calibri" w:cstheme="minorHAnsi"/>
          <w:kern w:val="0"/>
          <w14:ligatures w14:val="none"/>
        </w:rPr>
        <w:t>i</w:t>
      </w:r>
      <w:r w:rsidR="003B50ED" w:rsidRPr="00F16251">
        <w:rPr>
          <w:rFonts w:eastAsia="Calibri" w:cstheme="minorHAnsi"/>
          <w:kern w:val="0"/>
          <w14:ligatures w14:val="none"/>
        </w:rPr>
        <w:t xml:space="preserve"> </w:t>
      </w:r>
      <w:r w:rsidRPr="00F16251">
        <w:rPr>
          <w:rFonts w:eastAsia="Calibri" w:cstheme="minorHAnsi"/>
          <w:kern w:val="0"/>
          <w14:ligatures w14:val="none"/>
        </w:rPr>
        <w:t>lokalnym.</w:t>
      </w:r>
      <w:r w:rsidR="003B50ED" w:rsidRPr="00F16251">
        <w:rPr>
          <w:rFonts w:eastAsia="Calibri" w:cstheme="minorHAnsi"/>
          <w:kern w:val="0"/>
          <w14:ligatures w14:val="none"/>
        </w:rPr>
        <w:t xml:space="preserve"> </w:t>
      </w:r>
      <w:r w:rsidRPr="00F16251">
        <w:rPr>
          <w:rFonts w:eastAsia="Calibri" w:cstheme="minorHAnsi"/>
          <w:kern w:val="0"/>
          <w14:ligatures w14:val="none"/>
        </w:rPr>
        <w:t>Ponadto</w:t>
      </w:r>
      <w:r w:rsidR="003B50ED" w:rsidRPr="00F16251">
        <w:rPr>
          <w:rFonts w:eastAsia="Calibri" w:cstheme="minorHAnsi"/>
          <w:kern w:val="0"/>
          <w14:ligatures w14:val="none"/>
        </w:rPr>
        <w:t xml:space="preserve"> </w:t>
      </w:r>
      <w:r w:rsidRPr="00F16251">
        <w:rPr>
          <w:rFonts w:eastAsia="Calibri" w:cstheme="minorHAnsi"/>
          <w:kern w:val="0"/>
          <w14:ligatures w14:val="none"/>
        </w:rPr>
        <w:t>uwzględniają</w:t>
      </w:r>
      <w:r w:rsidR="003B50ED" w:rsidRPr="00F16251">
        <w:rPr>
          <w:rFonts w:eastAsia="Calibri" w:cstheme="minorHAnsi"/>
          <w:kern w:val="0"/>
          <w14:ligatures w14:val="none"/>
        </w:rPr>
        <w:t xml:space="preserve"> </w:t>
      </w:r>
      <w:r w:rsidRPr="00F16251">
        <w:rPr>
          <w:rFonts w:eastAsia="Calibri" w:cstheme="minorHAnsi"/>
          <w:kern w:val="0"/>
          <w14:ligatures w14:val="none"/>
        </w:rPr>
        <w:t>przekrojowe</w:t>
      </w:r>
      <w:r w:rsidR="003B50ED" w:rsidRPr="00F16251">
        <w:rPr>
          <w:rFonts w:eastAsia="Calibri" w:cstheme="minorHAnsi"/>
          <w:kern w:val="0"/>
          <w14:ligatures w14:val="none"/>
        </w:rPr>
        <w:t xml:space="preserve"> </w:t>
      </w:r>
      <w:r w:rsidRPr="00F16251">
        <w:rPr>
          <w:rFonts w:eastAsia="Calibri" w:cstheme="minorHAnsi"/>
          <w:kern w:val="0"/>
          <w14:ligatures w14:val="none"/>
        </w:rPr>
        <w:t>cele</w:t>
      </w:r>
      <w:r w:rsidR="003B50ED" w:rsidRPr="00F16251">
        <w:rPr>
          <w:rFonts w:eastAsia="Calibri" w:cstheme="minorHAnsi"/>
          <w:kern w:val="0"/>
          <w14:ligatures w14:val="none"/>
        </w:rPr>
        <w:t xml:space="preserve"> </w:t>
      </w:r>
      <w:r w:rsidRPr="00F16251">
        <w:rPr>
          <w:rFonts w:eastAsia="Calibri" w:cstheme="minorHAnsi"/>
          <w:kern w:val="0"/>
          <w14:ligatures w14:val="none"/>
        </w:rPr>
        <w:t>dotyczące</w:t>
      </w:r>
      <w:r w:rsidR="003B50ED" w:rsidRPr="00F16251">
        <w:rPr>
          <w:rFonts w:eastAsia="Calibri" w:cstheme="minorHAnsi"/>
          <w:kern w:val="0"/>
          <w14:ligatures w14:val="none"/>
        </w:rPr>
        <w:t xml:space="preserve"> </w:t>
      </w:r>
      <w:r w:rsidRPr="00F16251">
        <w:rPr>
          <w:rFonts w:eastAsia="Calibri" w:cstheme="minorHAnsi"/>
          <w:kern w:val="0"/>
          <w14:ligatures w14:val="none"/>
        </w:rPr>
        <w:t>ochrony</w:t>
      </w:r>
      <w:r w:rsidR="003B50ED" w:rsidRPr="00F16251">
        <w:rPr>
          <w:rFonts w:eastAsia="Calibri" w:cstheme="minorHAnsi"/>
          <w:kern w:val="0"/>
          <w14:ligatures w14:val="none"/>
        </w:rPr>
        <w:t xml:space="preserve"> </w:t>
      </w:r>
      <w:r w:rsidRPr="00F16251">
        <w:rPr>
          <w:rFonts w:eastAsia="Calibri" w:cstheme="minorHAnsi"/>
          <w:kern w:val="0"/>
          <w14:ligatures w14:val="none"/>
        </w:rPr>
        <w:t>środowiska,</w:t>
      </w:r>
      <w:r w:rsidR="003B50ED" w:rsidRPr="00F16251">
        <w:rPr>
          <w:rFonts w:eastAsia="Calibri" w:cstheme="minorHAnsi"/>
          <w:kern w:val="0"/>
          <w14:ligatures w14:val="none"/>
        </w:rPr>
        <w:t xml:space="preserve"> </w:t>
      </w:r>
      <w:r w:rsidRPr="00F16251">
        <w:rPr>
          <w:rFonts w:eastAsia="Calibri" w:cstheme="minorHAnsi"/>
          <w:kern w:val="0"/>
          <w14:ligatures w14:val="none"/>
        </w:rPr>
        <w:t>przeciwdziałania</w:t>
      </w:r>
      <w:r w:rsidR="003B50ED" w:rsidRPr="00F16251">
        <w:rPr>
          <w:rFonts w:eastAsia="Calibri" w:cstheme="minorHAnsi"/>
          <w:kern w:val="0"/>
          <w14:ligatures w14:val="none"/>
        </w:rPr>
        <w:t xml:space="preserve"> </w:t>
      </w:r>
      <w:r w:rsidRPr="00F16251">
        <w:rPr>
          <w:rFonts w:eastAsia="Calibri" w:cstheme="minorHAnsi"/>
          <w:kern w:val="0"/>
          <w14:ligatures w14:val="none"/>
        </w:rPr>
        <w:t>zmianom</w:t>
      </w:r>
      <w:r w:rsidR="003B50ED" w:rsidRPr="00F16251">
        <w:rPr>
          <w:rFonts w:eastAsia="Calibri" w:cstheme="minorHAnsi"/>
          <w:kern w:val="0"/>
          <w14:ligatures w14:val="none"/>
        </w:rPr>
        <w:t xml:space="preserve"> </w:t>
      </w:r>
      <w:r w:rsidRPr="00F16251">
        <w:rPr>
          <w:rFonts w:eastAsia="Calibri" w:cstheme="minorHAnsi"/>
          <w:kern w:val="0"/>
          <w14:ligatures w14:val="none"/>
        </w:rPr>
        <w:t>klimatycznym</w:t>
      </w:r>
      <w:r w:rsidR="003B50ED" w:rsidRPr="00F16251">
        <w:rPr>
          <w:rFonts w:eastAsia="Calibri" w:cstheme="minorHAnsi"/>
          <w:kern w:val="0"/>
          <w14:ligatures w14:val="none"/>
        </w:rPr>
        <w:t xml:space="preserve"> </w:t>
      </w:r>
      <w:r w:rsidRPr="00F16251">
        <w:rPr>
          <w:rFonts w:eastAsia="Calibri" w:cstheme="minorHAnsi"/>
          <w:kern w:val="0"/>
          <w14:ligatures w14:val="none"/>
        </w:rPr>
        <w:t>i</w:t>
      </w:r>
      <w:r w:rsidR="003B50ED" w:rsidRPr="00F16251">
        <w:rPr>
          <w:rFonts w:eastAsia="Calibri" w:cstheme="minorHAnsi"/>
          <w:kern w:val="0"/>
          <w14:ligatures w14:val="none"/>
        </w:rPr>
        <w:t xml:space="preserve"> </w:t>
      </w:r>
      <w:r w:rsidRPr="00F16251">
        <w:rPr>
          <w:rFonts w:eastAsia="Calibri" w:cstheme="minorHAnsi"/>
          <w:kern w:val="0"/>
          <w14:ligatures w14:val="none"/>
        </w:rPr>
        <w:t>innowacyjności,</w:t>
      </w:r>
      <w:r w:rsidR="003B50ED" w:rsidRPr="00F16251">
        <w:rPr>
          <w:rFonts w:eastAsia="Calibri" w:cstheme="minorHAnsi"/>
          <w:kern w:val="0"/>
          <w14:ligatures w14:val="none"/>
        </w:rPr>
        <w:t xml:space="preserve"> </w:t>
      </w:r>
      <w:r w:rsidRPr="00F16251">
        <w:rPr>
          <w:rFonts w:eastAsia="Calibri" w:cstheme="minorHAnsi"/>
          <w:kern w:val="0"/>
          <w14:ligatures w14:val="none"/>
        </w:rPr>
        <w:t>zgodnie</w:t>
      </w:r>
      <w:r w:rsidR="003B50ED" w:rsidRPr="00F16251">
        <w:rPr>
          <w:rFonts w:eastAsia="Calibri" w:cstheme="minorHAnsi"/>
          <w:kern w:val="0"/>
          <w14:ligatures w14:val="none"/>
        </w:rPr>
        <w:t xml:space="preserve"> </w:t>
      </w:r>
      <w:r w:rsidRPr="00F16251">
        <w:rPr>
          <w:rFonts w:eastAsia="Calibri" w:cstheme="minorHAnsi"/>
          <w:kern w:val="0"/>
          <w14:ligatures w14:val="none"/>
        </w:rPr>
        <w:t>z</w:t>
      </w:r>
      <w:r w:rsidR="003B50ED" w:rsidRPr="00F16251">
        <w:rPr>
          <w:rFonts w:eastAsia="Calibri" w:cstheme="minorHAnsi"/>
          <w:kern w:val="0"/>
          <w14:ligatures w14:val="none"/>
        </w:rPr>
        <w:t xml:space="preserve"> </w:t>
      </w:r>
      <w:r w:rsidRPr="00F16251">
        <w:rPr>
          <w:rFonts w:eastAsia="Calibri" w:cstheme="minorHAnsi"/>
          <w:kern w:val="0"/>
          <w14:ligatures w14:val="none"/>
        </w:rPr>
        <w:t>PS</w:t>
      </w:r>
      <w:r w:rsidR="003B50ED" w:rsidRPr="00F16251">
        <w:rPr>
          <w:rFonts w:eastAsia="Calibri" w:cstheme="minorHAnsi"/>
          <w:kern w:val="0"/>
          <w14:ligatures w14:val="none"/>
        </w:rPr>
        <w:t xml:space="preserve"> </w:t>
      </w:r>
      <w:r w:rsidRPr="00F16251">
        <w:rPr>
          <w:rFonts w:eastAsia="Calibri" w:cstheme="minorHAnsi"/>
          <w:kern w:val="0"/>
          <w14:ligatures w14:val="none"/>
        </w:rPr>
        <w:t>dla</w:t>
      </w:r>
      <w:r w:rsidR="003B50ED" w:rsidRPr="00F16251">
        <w:rPr>
          <w:rFonts w:eastAsia="Calibri" w:cstheme="minorHAnsi"/>
          <w:kern w:val="0"/>
          <w14:ligatures w14:val="none"/>
        </w:rPr>
        <w:t xml:space="preserve"> </w:t>
      </w:r>
      <w:r w:rsidRPr="00F16251">
        <w:rPr>
          <w:rFonts w:eastAsia="Calibri" w:cstheme="minorHAnsi"/>
          <w:kern w:val="0"/>
          <w14:ligatures w14:val="none"/>
        </w:rPr>
        <w:t>WPR</w:t>
      </w:r>
      <w:r w:rsidR="003B50ED" w:rsidRPr="00F16251">
        <w:rPr>
          <w:rFonts w:eastAsia="Calibri" w:cstheme="minorHAnsi"/>
          <w:kern w:val="0"/>
          <w14:ligatures w14:val="none"/>
        </w:rPr>
        <w:t xml:space="preserve"> </w:t>
      </w:r>
      <w:r w:rsidRPr="00F16251">
        <w:rPr>
          <w:rFonts w:eastAsia="Calibri" w:cstheme="minorHAnsi"/>
          <w:kern w:val="0"/>
          <w14:ligatures w14:val="none"/>
        </w:rPr>
        <w:t>na</w:t>
      </w:r>
      <w:r w:rsidR="003B50ED" w:rsidRPr="00F16251">
        <w:rPr>
          <w:rFonts w:eastAsia="Calibri" w:cstheme="minorHAnsi"/>
          <w:kern w:val="0"/>
          <w14:ligatures w14:val="none"/>
        </w:rPr>
        <w:t xml:space="preserve"> </w:t>
      </w:r>
      <w:r w:rsidRPr="00F16251">
        <w:rPr>
          <w:rFonts w:eastAsia="Calibri" w:cstheme="minorHAnsi"/>
          <w:kern w:val="0"/>
          <w14:ligatures w14:val="none"/>
        </w:rPr>
        <w:t>lata</w:t>
      </w:r>
      <w:r w:rsidR="003B50ED" w:rsidRPr="00F16251">
        <w:rPr>
          <w:rFonts w:eastAsia="Calibri" w:cstheme="minorHAnsi"/>
          <w:kern w:val="0"/>
          <w14:ligatures w14:val="none"/>
        </w:rPr>
        <w:t xml:space="preserve"> </w:t>
      </w:r>
      <w:r w:rsidRPr="00F16251">
        <w:rPr>
          <w:rFonts w:eastAsia="Calibri" w:cstheme="minorHAnsi"/>
          <w:kern w:val="0"/>
          <w14:ligatures w14:val="none"/>
        </w:rPr>
        <w:t>2023-2027</w:t>
      </w:r>
      <w:r w:rsidR="003B50ED" w:rsidRPr="00F16251">
        <w:rPr>
          <w:rFonts w:eastAsia="Calibri" w:cstheme="minorHAnsi"/>
          <w:kern w:val="0"/>
          <w14:ligatures w14:val="none"/>
        </w:rPr>
        <w:t xml:space="preserve"> </w:t>
      </w:r>
      <w:r w:rsidRPr="00F16251">
        <w:rPr>
          <w:rFonts w:eastAsia="Calibri" w:cstheme="minorHAnsi"/>
          <w:kern w:val="0"/>
          <w14:ligatures w14:val="none"/>
        </w:rPr>
        <w:t>oraz</w:t>
      </w:r>
      <w:r w:rsidR="003B50ED" w:rsidRPr="00F16251">
        <w:rPr>
          <w:rFonts w:eastAsia="Calibri" w:cstheme="minorHAnsi"/>
          <w:kern w:val="0"/>
          <w14:ligatures w14:val="none"/>
        </w:rPr>
        <w:t xml:space="preserve"> </w:t>
      </w:r>
      <w:r w:rsidRPr="00F16251">
        <w:rPr>
          <w:rFonts w:eastAsia="Calibri" w:cstheme="minorHAnsi"/>
          <w:kern w:val="0"/>
          <w14:ligatures w14:val="none"/>
        </w:rPr>
        <w:t>EFRR,</w:t>
      </w:r>
      <w:r w:rsidR="003B50ED" w:rsidRPr="00F16251">
        <w:rPr>
          <w:rFonts w:eastAsia="Calibri" w:cstheme="minorHAnsi"/>
          <w:kern w:val="0"/>
          <w14:ligatures w14:val="none"/>
        </w:rPr>
        <w:t xml:space="preserve"> </w:t>
      </w:r>
      <w:r w:rsidRPr="00F16251">
        <w:rPr>
          <w:rFonts w:eastAsia="Calibri" w:cstheme="minorHAnsi"/>
          <w:kern w:val="0"/>
          <w14:ligatures w14:val="none"/>
        </w:rPr>
        <w:t>EFS+.</w:t>
      </w:r>
    </w:p>
    <w:p w14:paraId="0DAC6AD1" w14:textId="22F92665" w:rsidR="00857736" w:rsidRPr="00F16251" w:rsidRDefault="00857736" w:rsidP="00A26C26">
      <w:pPr>
        <w:spacing w:line="276" w:lineRule="auto"/>
        <w:ind w:firstLine="284"/>
        <w:jc w:val="both"/>
        <w:rPr>
          <w:rFonts w:eastAsia="Calibri" w:cstheme="minorHAnsi"/>
          <w:kern w:val="0"/>
          <w14:ligatures w14:val="none"/>
        </w:rPr>
      </w:pPr>
      <w:r w:rsidRPr="00F16251">
        <w:rPr>
          <w:rFonts w:eastAsia="Calibri" w:cstheme="minorHAnsi"/>
          <w:kern w:val="0"/>
          <w14:ligatures w14:val="none"/>
        </w:rPr>
        <w:t>Cele</w:t>
      </w:r>
      <w:r w:rsidR="003B50ED" w:rsidRPr="00F16251">
        <w:rPr>
          <w:rFonts w:eastAsia="Calibri" w:cstheme="minorHAnsi"/>
          <w:kern w:val="0"/>
          <w14:ligatures w14:val="none"/>
        </w:rPr>
        <w:t xml:space="preserve"> </w:t>
      </w:r>
      <w:r w:rsidRPr="00F16251">
        <w:rPr>
          <w:rFonts w:eastAsia="Calibri" w:cstheme="minorHAnsi"/>
          <w:kern w:val="0"/>
          <w14:ligatures w14:val="none"/>
        </w:rPr>
        <w:t>LSR</w:t>
      </w:r>
      <w:r w:rsidR="003B50ED" w:rsidRPr="00F16251">
        <w:rPr>
          <w:rFonts w:eastAsia="Calibri" w:cstheme="minorHAnsi"/>
          <w:kern w:val="0"/>
          <w14:ligatures w14:val="none"/>
        </w:rPr>
        <w:t xml:space="preserve"> </w:t>
      </w:r>
      <w:r w:rsidRPr="00F16251">
        <w:rPr>
          <w:rFonts w:eastAsia="Calibri" w:cstheme="minorHAnsi"/>
          <w:kern w:val="0"/>
          <w14:ligatures w14:val="none"/>
        </w:rPr>
        <w:t>i</w:t>
      </w:r>
      <w:r w:rsidR="003B50ED" w:rsidRPr="00F16251">
        <w:rPr>
          <w:rFonts w:eastAsia="Calibri" w:cstheme="minorHAnsi"/>
          <w:kern w:val="0"/>
          <w14:ligatures w14:val="none"/>
        </w:rPr>
        <w:t xml:space="preserve"> </w:t>
      </w:r>
      <w:r w:rsidRPr="00F16251">
        <w:rPr>
          <w:rFonts w:eastAsia="Calibri" w:cstheme="minorHAnsi"/>
          <w:kern w:val="0"/>
          <w14:ligatures w14:val="none"/>
        </w:rPr>
        <w:t>planowane</w:t>
      </w:r>
      <w:r w:rsidR="003B50ED" w:rsidRPr="00F16251">
        <w:rPr>
          <w:rFonts w:eastAsia="Calibri" w:cstheme="minorHAnsi"/>
          <w:kern w:val="0"/>
          <w14:ligatures w14:val="none"/>
        </w:rPr>
        <w:t xml:space="preserve"> </w:t>
      </w:r>
      <w:r w:rsidRPr="00F16251">
        <w:rPr>
          <w:rFonts w:eastAsia="Calibri" w:cstheme="minorHAnsi"/>
          <w:kern w:val="0"/>
          <w14:ligatures w14:val="none"/>
        </w:rPr>
        <w:t>działania</w:t>
      </w:r>
      <w:r w:rsidR="003B50ED" w:rsidRPr="00F16251">
        <w:rPr>
          <w:rFonts w:eastAsia="Calibri" w:cstheme="minorHAnsi"/>
          <w:kern w:val="0"/>
          <w14:ligatures w14:val="none"/>
        </w:rPr>
        <w:t xml:space="preserve"> </w:t>
      </w:r>
      <w:r w:rsidRPr="00F16251">
        <w:rPr>
          <w:rFonts w:eastAsia="Calibri" w:cstheme="minorHAnsi"/>
          <w:kern w:val="0"/>
          <w14:ligatures w14:val="none"/>
        </w:rPr>
        <w:t>są</w:t>
      </w:r>
      <w:r w:rsidR="003B50ED" w:rsidRPr="00F16251">
        <w:rPr>
          <w:rFonts w:eastAsia="Calibri" w:cstheme="minorHAnsi"/>
          <w:kern w:val="0"/>
          <w14:ligatures w14:val="none"/>
        </w:rPr>
        <w:t xml:space="preserve"> </w:t>
      </w:r>
      <w:r w:rsidRPr="00F16251">
        <w:rPr>
          <w:rFonts w:eastAsia="Calibri" w:cstheme="minorHAnsi"/>
          <w:kern w:val="0"/>
          <w14:ligatures w14:val="none"/>
        </w:rPr>
        <w:t>spójne,</w:t>
      </w:r>
      <w:r w:rsidR="003B50ED" w:rsidRPr="00F16251">
        <w:rPr>
          <w:rFonts w:eastAsia="Calibri" w:cstheme="minorHAnsi"/>
          <w:kern w:val="0"/>
          <w14:ligatures w14:val="none"/>
        </w:rPr>
        <w:t xml:space="preserve"> </w:t>
      </w:r>
      <w:r w:rsidRPr="00F16251">
        <w:rPr>
          <w:rFonts w:eastAsia="Calibri" w:cstheme="minorHAnsi"/>
          <w:kern w:val="0"/>
          <w14:ligatures w14:val="none"/>
        </w:rPr>
        <w:t>powiązane</w:t>
      </w:r>
      <w:r w:rsidR="003B50ED" w:rsidRPr="00F16251">
        <w:rPr>
          <w:rFonts w:eastAsia="Calibri" w:cstheme="minorHAnsi"/>
          <w:kern w:val="0"/>
          <w14:ligatures w14:val="none"/>
        </w:rPr>
        <w:t xml:space="preserve"> </w:t>
      </w:r>
      <w:r w:rsidRPr="00F16251">
        <w:rPr>
          <w:rFonts w:eastAsia="Calibri" w:cstheme="minorHAnsi"/>
          <w:kern w:val="0"/>
          <w14:ligatures w14:val="none"/>
        </w:rPr>
        <w:t>i</w:t>
      </w:r>
      <w:r w:rsidR="003B50ED" w:rsidRPr="00F16251">
        <w:rPr>
          <w:rFonts w:eastAsia="Calibri" w:cstheme="minorHAnsi"/>
          <w:kern w:val="0"/>
          <w14:ligatures w14:val="none"/>
        </w:rPr>
        <w:t xml:space="preserve"> </w:t>
      </w:r>
      <w:r w:rsidRPr="00F16251">
        <w:rPr>
          <w:rFonts w:eastAsia="Calibri" w:cstheme="minorHAnsi"/>
          <w:kern w:val="0"/>
          <w14:ligatures w14:val="none"/>
        </w:rPr>
        <w:t>wzajemnie</w:t>
      </w:r>
      <w:r w:rsidR="003B50ED" w:rsidRPr="00F16251">
        <w:rPr>
          <w:rFonts w:eastAsia="Calibri" w:cstheme="minorHAnsi"/>
          <w:kern w:val="0"/>
          <w14:ligatures w14:val="none"/>
        </w:rPr>
        <w:t xml:space="preserve"> </w:t>
      </w:r>
      <w:r w:rsidRPr="00F16251">
        <w:rPr>
          <w:rFonts w:eastAsia="Calibri" w:cstheme="minorHAnsi"/>
          <w:kern w:val="0"/>
          <w14:ligatures w14:val="none"/>
        </w:rPr>
        <w:t>uzupełniające</w:t>
      </w:r>
      <w:r w:rsidR="003B50ED" w:rsidRPr="00F16251">
        <w:rPr>
          <w:rFonts w:eastAsia="Calibri" w:cstheme="minorHAnsi"/>
          <w:kern w:val="0"/>
          <w14:ligatures w14:val="none"/>
        </w:rPr>
        <w:t xml:space="preserve"> </w:t>
      </w:r>
      <w:r w:rsidRPr="00F16251">
        <w:rPr>
          <w:rFonts w:eastAsia="Calibri" w:cstheme="minorHAnsi"/>
          <w:kern w:val="0"/>
          <w14:ligatures w14:val="none"/>
        </w:rPr>
        <w:t>się.</w:t>
      </w:r>
      <w:r w:rsidR="003B50ED" w:rsidRPr="00F16251">
        <w:rPr>
          <w:rFonts w:eastAsia="Calibri" w:cstheme="minorHAnsi"/>
          <w:kern w:val="0"/>
          <w14:ligatures w14:val="none"/>
        </w:rPr>
        <w:t xml:space="preserve"> </w:t>
      </w:r>
      <w:r w:rsidRPr="00F16251">
        <w:rPr>
          <w:rFonts w:eastAsia="Calibri" w:cstheme="minorHAnsi"/>
          <w:kern w:val="0"/>
          <w14:ligatures w14:val="none"/>
        </w:rPr>
        <w:t>Tworzą</w:t>
      </w:r>
      <w:r w:rsidR="003B50ED" w:rsidRPr="00F16251">
        <w:rPr>
          <w:rFonts w:eastAsia="Calibri" w:cstheme="minorHAnsi"/>
          <w:kern w:val="0"/>
          <w14:ligatures w14:val="none"/>
        </w:rPr>
        <w:t xml:space="preserve"> </w:t>
      </w:r>
      <w:r w:rsidRPr="00F16251">
        <w:rPr>
          <w:rFonts w:eastAsia="Calibri" w:cstheme="minorHAnsi"/>
          <w:kern w:val="0"/>
          <w14:ligatures w14:val="none"/>
        </w:rPr>
        <w:t>logiczne</w:t>
      </w:r>
      <w:r w:rsidR="003B50ED" w:rsidRPr="00F16251">
        <w:rPr>
          <w:rFonts w:eastAsia="Calibri" w:cstheme="minorHAnsi"/>
          <w:kern w:val="0"/>
          <w14:ligatures w14:val="none"/>
        </w:rPr>
        <w:t xml:space="preserve"> </w:t>
      </w:r>
      <w:r w:rsidRPr="00F16251">
        <w:rPr>
          <w:rFonts w:eastAsia="Calibri" w:cstheme="minorHAnsi"/>
          <w:kern w:val="0"/>
          <w14:ligatures w14:val="none"/>
        </w:rPr>
        <w:t>powiązania</w:t>
      </w:r>
      <w:r w:rsidR="003B50ED" w:rsidRPr="00F16251">
        <w:rPr>
          <w:rFonts w:eastAsia="Calibri" w:cstheme="minorHAnsi"/>
          <w:kern w:val="0"/>
          <w14:ligatures w14:val="none"/>
        </w:rPr>
        <w:t xml:space="preserve"> </w:t>
      </w:r>
      <w:r w:rsidRPr="00F16251">
        <w:rPr>
          <w:rFonts w:eastAsia="Calibri" w:cstheme="minorHAnsi"/>
          <w:kern w:val="0"/>
          <w14:ligatures w14:val="none"/>
        </w:rPr>
        <w:t>i</w:t>
      </w:r>
      <w:r w:rsidR="003B50ED" w:rsidRPr="00F16251">
        <w:rPr>
          <w:rFonts w:eastAsia="Calibri" w:cstheme="minorHAnsi"/>
          <w:kern w:val="0"/>
          <w14:ligatures w14:val="none"/>
        </w:rPr>
        <w:t xml:space="preserve"> </w:t>
      </w:r>
      <w:r w:rsidRPr="00F16251">
        <w:rPr>
          <w:rFonts w:eastAsia="Calibri" w:cstheme="minorHAnsi"/>
          <w:kern w:val="0"/>
          <w14:ligatures w14:val="none"/>
        </w:rPr>
        <w:t>generują</w:t>
      </w:r>
      <w:r w:rsidR="003B50ED" w:rsidRPr="00F16251">
        <w:rPr>
          <w:rFonts w:eastAsia="Calibri" w:cstheme="minorHAnsi"/>
          <w:kern w:val="0"/>
          <w14:ligatures w14:val="none"/>
        </w:rPr>
        <w:t xml:space="preserve"> </w:t>
      </w:r>
      <w:r w:rsidRPr="00F16251">
        <w:rPr>
          <w:rFonts w:eastAsia="Calibri" w:cstheme="minorHAnsi"/>
          <w:kern w:val="0"/>
          <w14:ligatures w14:val="none"/>
        </w:rPr>
        <w:t>synergiczny</w:t>
      </w:r>
      <w:r w:rsidR="003B50ED" w:rsidRPr="00F16251">
        <w:rPr>
          <w:rFonts w:eastAsia="Calibri" w:cstheme="minorHAnsi"/>
          <w:kern w:val="0"/>
          <w14:ligatures w14:val="none"/>
        </w:rPr>
        <w:t xml:space="preserve"> </w:t>
      </w:r>
      <w:r w:rsidRPr="00F16251">
        <w:rPr>
          <w:rFonts w:eastAsia="Calibri" w:cstheme="minorHAnsi"/>
          <w:kern w:val="0"/>
          <w14:ligatures w14:val="none"/>
        </w:rPr>
        <w:t>efekt.</w:t>
      </w:r>
      <w:r w:rsidR="003B50ED" w:rsidRPr="00F16251">
        <w:rPr>
          <w:rFonts w:eastAsia="Calibri" w:cstheme="minorHAnsi"/>
          <w:kern w:val="0"/>
          <w14:ligatures w14:val="none"/>
        </w:rPr>
        <w:t xml:space="preserve"> </w:t>
      </w:r>
      <w:r w:rsidRPr="00F16251">
        <w:rPr>
          <w:rFonts w:eastAsia="Calibri" w:cstheme="minorHAnsi"/>
          <w:kern w:val="0"/>
          <w14:ligatures w14:val="none"/>
        </w:rPr>
        <w:t>LSR</w:t>
      </w:r>
      <w:r w:rsidR="003B50ED" w:rsidRPr="00F16251">
        <w:rPr>
          <w:rFonts w:eastAsia="Calibri" w:cstheme="minorHAnsi"/>
          <w:kern w:val="0"/>
          <w14:ligatures w14:val="none"/>
        </w:rPr>
        <w:t xml:space="preserve"> </w:t>
      </w:r>
      <w:r w:rsidRPr="00F16251">
        <w:rPr>
          <w:rFonts w:eastAsia="Calibri" w:cstheme="minorHAnsi"/>
          <w:kern w:val="0"/>
          <w14:ligatures w14:val="none"/>
        </w:rPr>
        <w:t>wyznacza</w:t>
      </w:r>
      <w:r w:rsidR="003B50ED" w:rsidRPr="00F16251">
        <w:rPr>
          <w:rFonts w:eastAsia="Calibri" w:cstheme="minorHAnsi"/>
          <w:kern w:val="0"/>
          <w14:ligatures w14:val="none"/>
        </w:rPr>
        <w:t xml:space="preserve"> </w:t>
      </w:r>
      <w:r w:rsidRPr="00F16251">
        <w:rPr>
          <w:rFonts w:eastAsia="Calibri" w:cstheme="minorHAnsi"/>
          <w:kern w:val="0"/>
          <w14:ligatures w14:val="none"/>
        </w:rPr>
        <w:t>kierunki</w:t>
      </w:r>
      <w:r w:rsidR="003B50ED" w:rsidRPr="00F16251">
        <w:rPr>
          <w:rFonts w:eastAsia="Calibri" w:cstheme="minorHAnsi"/>
          <w:kern w:val="0"/>
          <w14:ligatures w14:val="none"/>
        </w:rPr>
        <w:t xml:space="preserve"> </w:t>
      </w:r>
      <w:r w:rsidRPr="00F16251">
        <w:rPr>
          <w:rFonts w:eastAsia="Calibri" w:cstheme="minorHAnsi"/>
          <w:kern w:val="0"/>
          <w14:ligatures w14:val="none"/>
        </w:rPr>
        <w:t>działań,</w:t>
      </w:r>
      <w:r w:rsidR="003B50ED" w:rsidRPr="00F16251">
        <w:rPr>
          <w:rFonts w:eastAsia="Calibri" w:cstheme="minorHAnsi"/>
          <w:kern w:val="0"/>
          <w14:ligatures w14:val="none"/>
        </w:rPr>
        <w:t xml:space="preserve"> </w:t>
      </w:r>
      <w:r w:rsidRPr="00F16251">
        <w:rPr>
          <w:rFonts w:eastAsia="Calibri" w:cstheme="minorHAnsi"/>
          <w:kern w:val="0"/>
          <w14:ligatures w14:val="none"/>
        </w:rPr>
        <w:t>które</w:t>
      </w:r>
      <w:r w:rsidR="003B50ED" w:rsidRPr="00F16251">
        <w:rPr>
          <w:rFonts w:eastAsia="Calibri" w:cstheme="minorHAnsi"/>
          <w:kern w:val="0"/>
          <w14:ligatures w14:val="none"/>
        </w:rPr>
        <w:t xml:space="preserve"> </w:t>
      </w:r>
      <w:r w:rsidRPr="00F16251">
        <w:rPr>
          <w:rFonts w:eastAsia="Calibri" w:cstheme="minorHAnsi"/>
          <w:kern w:val="0"/>
          <w14:ligatures w14:val="none"/>
        </w:rPr>
        <w:t>przyczynią</w:t>
      </w:r>
      <w:r w:rsidR="003B50ED" w:rsidRPr="00F16251">
        <w:rPr>
          <w:rFonts w:eastAsia="Calibri" w:cstheme="minorHAnsi"/>
          <w:kern w:val="0"/>
          <w14:ligatures w14:val="none"/>
        </w:rPr>
        <w:t xml:space="preserve"> </w:t>
      </w:r>
      <w:r w:rsidRPr="00F16251">
        <w:rPr>
          <w:rFonts w:eastAsia="Calibri" w:cstheme="minorHAnsi"/>
          <w:kern w:val="0"/>
          <w14:ligatures w14:val="none"/>
        </w:rPr>
        <w:t>się</w:t>
      </w:r>
      <w:r w:rsidR="003B50ED" w:rsidRPr="00F16251">
        <w:rPr>
          <w:rFonts w:eastAsia="Calibri" w:cstheme="minorHAnsi"/>
          <w:kern w:val="0"/>
          <w14:ligatures w14:val="none"/>
        </w:rPr>
        <w:t xml:space="preserve"> </w:t>
      </w:r>
      <w:r w:rsidRPr="00F16251">
        <w:rPr>
          <w:rFonts w:eastAsia="Calibri" w:cstheme="minorHAnsi"/>
          <w:kern w:val="0"/>
          <w14:ligatures w14:val="none"/>
        </w:rPr>
        <w:t>do</w:t>
      </w:r>
      <w:r w:rsidR="003B50ED" w:rsidRPr="00F16251">
        <w:rPr>
          <w:rFonts w:eastAsia="Calibri" w:cstheme="minorHAnsi"/>
          <w:kern w:val="0"/>
          <w14:ligatures w14:val="none"/>
        </w:rPr>
        <w:t xml:space="preserve"> </w:t>
      </w:r>
      <w:r w:rsidRPr="00F16251">
        <w:rPr>
          <w:rFonts w:eastAsia="Calibri" w:cstheme="minorHAnsi"/>
          <w:kern w:val="0"/>
          <w14:ligatures w14:val="none"/>
        </w:rPr>
        <w:t>rozwoju</w:t>
      </w:r>
      <w:r w:rsidR="003B50ED" w:rsidRPr="00F16251">
        <w:rPr>
          <w:rFonts w:eastAsia="Calibri" w:cstheme="minorHAnsi"/>
          <w:kern w:val="0"/>
          <w14:ligatures w14:val="none"/>
        </w:rPr>
        <w:t xml:space="preserve"> </w:t>
      </w:r>
      <w:r w:rsidRPr="00F16251">
        <w:rPr>
          <w:rFonts w:eastAsia="Calibri" w:cstheme="minorHAnsi"/>
          <w:kern w:val="0"/>
          <w14:ligatures w14:val="none"/>
        </w:rPr>
        <w:t>obszaru</w:t>
      </w:r>
      <w:r w:rsidR="003B50ED" w:rsidRPr="00F16251">
        <w:rPr>
          <w:rFonts w:eastAsia="Calibri" w:cstheme="minorHAnsi"/>
          <w:kern w:val="0"/>
          <w14:ligatures w14:val="none"/>
        </w:rPr>
        <w:t xml:space="preserve"> </w:t>
      </w:r>
      <w:r w:rsidRPr="00F16251">
        <w:rPr>
          <w:rFonts w:eastAsia="Calibri" w:cstheme="minorHAnsi"/>
          <w:kern w:val="0"/>
          <w14:ligatures w14:val="none"/>
        </w:rPr>
        <w:t>objętego</w:t>
      </w:r>
      <w:r w:rsidR="003B50ED" w:rsidRPr="00F16251">
        <w:rPr>
          <w:rFonts w:eastAsia="Calibri" w:cstheme="minorHAnsi"/>
          <w:kern w:val="0"/>
          <w14:ligatures w14:val="none"/>
        </w:rPr>
        <w:t xml:space="preserve"> </w:t>
      </w:r>
      <w:r w:rsidRPr="00F16251">
        <w:rPr>
          <w:rFonts w:eastAsia="Calibri" w:cstheme="minorHAnsi"/>
          <w:kern w:val="0"/>
          <w14:ligatures w14:val="none"/>
        </w:rPr>
        <w:t>strategią.</w:t>
      </w:r>
    </w:p>
    <w:p w14:paraId="2A8A9198" w14:textId="62812606" w:rsidR="00857736" w:rsidRDefault="00857736" w:rsidP="00A26C26">
      <w:pPr>
        <w:spacing w:line="276" w:lineRule="auto"/>
        <w:ind w:firstLine="284"/>
        <w:jc w:val="both"/>
        <w:rPr>
          <w:rFonts w:eastAsia="Calibri" w:cstheme="minorHAnsi"/>
          <w:kern w:val="0"/>
          <w14:ligatures w14:val="none"/>
        </w:rPr>
      </w:pPr>
      <w:r w:rsidRPr="00F16251">
        <w:rPr>
          <w:rFonts w:eastAsia="Calibri" w:cstheme="minorHAnsi"/>
          <w:kern w:val="0"/>
          <w14:ligatures w14:val="none"/>
        </w:rPr>
        <w:t>LSR</w:t>
      </w:r>
      <w:r w:rsidR="003B50ED" w:rsidRPr="00F16251">
        <w:rPr>
          <w:rFonts w:eastAsia="Calibri" w:cstheme="minorHAnsi"/>
          <w:kern w:val="0"/>
          <w14:ligatures w14:val="none"/>
        </w:rPr>
        <w:t xml:space="preserve"> </w:t>
      </w:r>
      <w:r w:rsidRPr="00F16251">
        <w:rPr>
          <w:rFonts w:eastAsia="Calibri" w:cstheme="minorHAnsi"/>
          <w:kern w:val="0"/>
          <w14:ligatures w14:val="none"/>
        </w:rPr>
        <w:t>jest</w:t>
      </w:r>
      <w:r w:rsidR="003B50ED" w:rsidRPr="00F16251">
        <w:rPr>
          <w:rFonts w:eastAsia="Calibri" w:cstheme="minorHAnsi"/>
          <w:kern w:val="0"/>
          <w14:ligatures w14:val="none"/>
        </w:rPr>
        <w:t xml:space="preserve"> </w:t>
      </w:r>
      <w:r w:rsidRPr="00F16251">
        <w:rPr>
          <w:rFonts w:eastAsia="Calibri" w:cstheme="minorHAnsi"/>
          <w:kern w:val="0"/>
          <w14:ligatures w14:val="none"/>
        </w:rPr>
        <w:t>dokumentem</w:t>
      </w:r>
      <w:r w:rsidR="003B50ED" w:rsidRPr="00F16251">
        <w:rPr>
          <w:rFonts w:eastAsia="Calibri" w:cstheme="minorHAnsi"/>
          <w:kern w:val="0"/>
          <w14:ligatures w14:val="none"/>
        </w:rPr>
        <w:t xml:space="preserve"> </w:t>
      </w:r>
      <w:r w:rsidRPr="00F16251">
        <w:rPr>
          <w:rFonts w:eastAsia="Calibri" w:cstheme="minorHAnsi"/>
          <w:kern w:val="0"/>
          <w14:ligatures w14:val="none"/>
        </w:rPr>
        <w:t>strategicznym,</w:t>
      </w:r>
      <w:r w:rsidR="003B50ED" w:rsidRPr="00F16251">
        <w:rPr>
          <w:rFonts w:eastAsia="Calibri" w:cstheme="minorHAnsi"/>
          <w:kern w:val="0"/>
          <w14:ligatures w14:val="none"/>
        </w:rPr>
        <w:t xml:space="preserve"> </w:t>
      </w:r>
      <w:r w:rsidRPr="00F16251">
        <w:rPr>
          <w:rFonts w:eastAsia="Calibri" w:cstheme="minorHAnsi"/>
          <w:kern w:val="0"/>
          <w14:ligatures w14:val="none"/>
        </w:rPr>
        <w:t>który</w:t>
      </w:r>
      <w:r w:rsidR="003B50ED" w:rsidRPr="00F16251">
        <w:rPr>
          <w:rFonts w:eastAsia="Calibri" w:cstheme="minorHAnsi"/>
          <w:kern w:val="0"/>
          <w14:ligatures w14:val="none"/>
        </w:rPr>
        <w:t xml:space="preserve"> </w:t>
      </w:r>
      <w:r w:rsidRPr="00F16251">
        <w:rPr>
          <w:rFonts w:eastAsia="Calibri" w:cstheme="minorHAnsi"/>
          <w:kern w:val="0"/>
          <w14:ligatures w14:val="none"/>
        </w:rPr>
        <w:t>skupia</w:t>
      </w:r>
      <w:r w:rsidR="003B50ED" w:rsidRPr="00F16251">
        <w:rPr>
          <w:rFonts w:eastAsia="Calibri" w:cstheme="minorHAnsi"/>
          <w:kern w:val="0"/>
          <w14:ligatures w14:val="none"/>
        </w:rPr>
        <w:t xml:space="preserve"> </w:t>
      </w:r>
      <w:r w:rsidRPr="00F16251">
        <w:rPr>
          <w:rFonts w:eastAsia="Calibri" w:cstheme="minorHAnsi"/>
          <w:kern w:val="0"/>
          <w14:ligatures w14:val="none"/>
        </w:rPr>
        <w:t>się</w:t>
      </w:r>
      <w:r w:rsidR="003B50ED" w:rsidRPr="00F16251">
        <w:rPr>
          <w:rFonts w:eastAsia="Calibri" w:cstheme="minorHAnsi"/>
          <w:kern w:val="0"/>
          <w14:ligatures w14:val="none"/>
        </w:rPr>
        <w:t xml:space="preserve"> </w:t>
      </w:r>
      <w:r w:rsidRPr="00F16251">
        <w:rPr>
          <w:rFonts w:eastAsia="Calibri" w:cstheme="minorHAnsi"/>
          <w:kern w:val="0"/>
          <w14:ligatures w14:val="none"/>
        </w:rPr>
        <w:t>na</w:t>
      </w:r>
      <w:r w:rsidR="003B50ED" w:rsidRPr="00F16251">
        <w:rPr>
          <w:rFonts w:eastAsia="Calibri" w:cstheme="minorHAnsi"/>
          <w:kern w:val="0"/>
          <w14:ligatures w14:val="none"/>
        </w:rPr>
        <w:t xml:space="preserve"> </w:t>
      </w:r>
      <w:r w:rsidRPr="00F16251">
        <w:rPr>
          <w:rFonts w:eastAsia="Calibri" w:cstheme="minorHAnsi"/>
          <w:kern w:val="0"/>
          <w14:ligatures w14:val="none"/>
        </w:rPr>
        <w:t>istotnych</w:t>
      </w:r>
      <w:r w:rsidR="003B50ED" w:rsidRPr="00F16251">
        <w:rPr>
          <w:rFonts w:eastAsia="Calibri" w:cstheme="minorHAnsi"/>
          <w:kern w:val="0"/>
          <w14:ligatures w14:val="none"/>
        </w:rPr>
        <w:t xml:space="preserve"> </w:t>
      </w:r>
      <w:r w:rsidRPr="00F16251">
        <w:rPr>
          <w:rFonts w:eastAsia="Calibri" w:cstheme="minorHAnsi"/>
          <w:kern w:val="0"/>
          <w14:ligatures w14:val="none"/>
        </w:rPr>
        <w:t>problemach</w:t>
      </w:r>
      <w:r w:rsidR="003B50ED" w:rsidRPr="00F16251">
        <w:rPr>
          <w:rFonts w:eastAsia="Calibri" w:cstheme="minorHAnsi"/>
          <w:kern w:val="0"/>
          <w14:ligatures w14:val="none"/>
        </w:rPr>
        <w:t xml:space="preserve"> </w:t>
      </w:r>
      <w:r w:rsidRPr="00F16251">
        <w:rPr>
          <w:rFonts w:eastAsia="Calibri" w:cstheme="minorHAnsi"/>
          <w:kern w:val="0"/>
          <w14:ligatures w14:val="none"/>
        </w:rPr>
        <w:t>mieszkańców</w:t>
      </w:r>
      <w:r w:rsidR="003B50ED" w:rsidRPr="00F16251">
        <w:rPr>
          <w:rFonts w:eastAsia="Calibri" w:cstheme="minorHAnsi"/>
          <w:kern w:val="0"/>
          <w14:ligatures w14:val="none"/>
        </w:rPr>
        <w:t xml:space="preserve"> </w:t>
      </w:r>
      <w:r w:rsidRPr="00F16251">
        <w:rPr>
          <w:rFonts w:eastAsia="Calibri" w:cstheme="minorHAnsi"/>
          <w:kern w:val="0"/>
          <w14:ligatures w14:val="none"/>
        </w:rPr>
        <w:t>na</w:t>
      </w:r>
      <w:r w:rsidR="003B50ED" w:rsidRPr="00F16251">
        <w:rPr>
          <w:rFonts w:eastAsia="Calibri" w:cstheme="minorHAnsi"/>
          <w:kern w:val="0"/>
          <w14:ligatures w14:val="none"/>
        </w:rPr>
        <w:t xml:space="preserve"> </w:t>
      </w:r>
      <w:r w:rsidRPr="00F16251">
        <w:rPr>
          <w:rFonts w:eastAsia="Calibri" w:cstheme="minorHAnsi"/>
          <w:kern w:val="0"/>
          <w14:ligatures w14:val="none"/>
        </w:rPr>
        <w:t>najniższym</w:t>
      </w:r>
      <w:r w:rsidR="003B50ED" w:rsidRPr="00F16251">
        <w:rPr>
          <w:rFonts w:eastAsia="Calibri" w:cstheme="minorHAnsi"/>
          <w:kern w:val="0"/>
          <w14:ligatures w14:val="none"/>
        </w:rPr>
        <w:t xml:space="preserve"> </w:t>
      </w:r>
      <w:r w:rsidRPr="00F16251">
        <w:rPr>
          <w:rFonts w:eastAsia="Calibri" w:cstheme="minorHAnsi"/>
          <w:kern w:val="0"/>
          <w14:ligatures w14:val="none"/>
        </w:rPr>
        <w:t>poziomie</w:t>
      </w:r>
      <w:r w:rsidR="003B50ED" w:rsidRPr="00F16251">
        <w:rPr>
          <w:rFonts w:eastAsia="Calibri" w:cstheme="minorHAnsi"/>
          <w:kern w:val="0"/>
          <w14:ligatures w14:val="none"/>
        </w:rPr>
        <w:t xml:space="preserve"> </w:t>
      </w:r>
      <w:r w:rsidRPr="00F16251">
        <w:rPr>
          <w:rFonts w:eastAsia="Calibri" w:cstheme="minorHAnsi"/>
          <w:kern w:val="0"/>
          <w14:ligatures w14:val="none"/>
        </w:rPr>
        <w:t>administracyjnym,</w:t>
      </w:r>
      <w:r w:rsidR="003B50ED" w:rsidRPr="00F16251">
        <w:rPr>
          <w:rFonts w:eastAsia="Calibri" w:cstheme="minorHAnsi"/>
          <w:kern w:val="0"/>
          <w14:ligatures w14:val="none"/>
        </w:rPr>
        <w:t xml:space="preserve"> </w:t>
      </w:r>
      <w:r w:rsidRPr="00F16251">
        <w:rPr>
          <w:rFonts w:eastAsia="Calibri" w:cstheme="minorHAnsi"/>
          <w:kern w:val="0"/>
          <w14:ligatures w14:val="none"/>
        </w:rPr>
        <w:t>tj.</w:t>
      </w:r>
      <w:r w:rsidR="003B50ED" w:rsidRPr="00F16251">
        <w:rPr>
          <w:rFonts w:eastAsia="Calibri" w:cstheme="minorHAnsi"/>
          <w:kern w:val="0"/>
          <w14:ligatures w14:val="none"/>
        </w:rPr>
        <w:t xml:space="preserve"> </w:t>
      </w:r>
      <w:r w:rsidRPr="00F16251">
        <w:rPr>
          <w:rFonts w:eastAsia="Calibri" w:cstheme="minorHAnsi"/>
          <w:kern w:val="0"/>
          <w14:ligatures w14:val="none"/>
        </w:rPr>
        <w:t>sołectwo</w:t>
      </w:r>
      <w:r w:rsidR="003B50ED" w:rsidRPr="00F16251">
        <w:rPr>
          <w:rFonts w:eastAsia="Calibri" w:cstheme="minorHAnsi"/>
          <w:kern w:val="0"/>
          <w14:ligatures w14:val="none"/>
        </w:rPr>
        <w:t xml:space="preserve"> </w:t>
      </w:r>
      <w:r w:rsidRPr="00F16251">
        <w:rPr>
          <w:rFonts w:eastAsia="Calibri" w:cstheme="minorHAnsi"/>
          <w:kern w:val="0"/>
          <w14:ligatures w14:val="none"/>
        </w:rPr>
        <w:t>i</w:t>
      </w:r>
      <w:r w:rsidR="003B50ED" w:rsidRPr="00F16251">
        <w:rPr>
          <w:rFonts w:eastAsia="Calibri" w:cstheme="minorHAnsi"/>
          <w:kern w:val="0"/>
          <w14:ligatures w14:val="none"/>
        </w:rPr>
        <w:t xml:space="preserve"> </w:t>
      </w:r>
      <w:r w:rsidRPr="00F16251">
        <w:rPr>
          <w:rFonts w:eastAsia="Calibri" w:cstheme="minorHAnsi"/>
          <w:kern w:val="0"/>
          <w14:ligatures w14:val="none"/>
        </w:rPr>
        <w:t>gmina.</w:t>
      </w:r>
      <w:r w:rsidR="003B50ED" w:rsidRPr="00F16251">
        <w:rPr>
          <w:rFonts w:eastAsia="Calibri" w:cstheme="minorHAnsi"/>
          <w:kern w:val="0"/>
          <w14:ligatures w14:val="none"/>
        </w:rPr>
        <w:t xml:space="preserve"> </w:t>
      </w:r>
      <w:r w:rsidRPr="00F16251">
        <w:rPr>
          <w:rFonts w:eastAsia="Calibri" w:cstheme="minorHAnsi"/>
          <w:kern w:val="0"/>
          <w14:ligatures w14:val="none"/>
        </w:rPr>
        <w:t>Natomiast</w:t>
      </w:r>
      <w:r w:rsidR="003B50ED" w:rsidRPr="00F16251">
        <w:rPr>
          <w:rFonts w:eastAsia="Calibri" w:cstheme="minorHAnsi"/>
          <w:kern w:val="0"/>
          <w14:ligatures w14:val="none"/>
        </w:rPr>
        <w:t xml:space="preserve"> </w:t>
      </w:r>
      <w:r w:rsidRPr="00F16251">
        <w:rPr>
          <w:rFonts w:eastAsia="Calibri" w:cstheme="minorHAnsi"/>
          <w:kern w:val="0"/>
          <w14:ligatures w14:val="none"/>
        </w:rPr>
        <w:t>dokumenty</w:t>
      </w:r>
      <w:r w:rsidR="003B50ED" w:rsidRPr="00F16251">
        <w:rPr>
          <w:rFonts w:eastAsia="Calibri" w:cstheme="minorHAnsi"/>
          <w:kern w:val="0"/>
          <w14:ligatures w14:val="none"/>
        </w:rPr>
        <w:t xml:space="preserve"> </w:t>
      </w:r>
      <w:r w:rsidRPr="00F16251">
        <w:rPr>
          <w:rFonts w:eastAsia="Calibri" w:cstheme="minorHAnsi"/>
          <w:kern w:val="0"/>
          <w14:ligatures w14:val="none"/>
        </w:rPr>
        <w:t>na</w:t>
      </w:r>
      <w:r w:rsidR="003B50ED" w:rsidRPr="00F16251">
        <w:rPr>
          <w:rFonts w:eastAsia="Calibri" w:cstheme="minorHAnsi"/>
          <w:kern w:val="0"/>
          <w14:ligatures w14:val="none"/>
        </w:rPr>
        <w:t xml:space="preserve"> </w:t>
      </w:r>
      <w:r w:rsidRPr="00F16251">
        <w:rPr>
          <w:rFonts w:eastAsia="Calibri" w:cstheme="minorHAnsi"/>
          <w:kern w:val="0"/>
          <w14:ligatures w14:val="none"/>
        </w:rPr>
        <w:t>wyższych</w:t>
      </w:r>
      <w:r w:rsidR="003B50ED" w:rsidRPr="00F16251">
        <w:rPr>
          <w:rFonts w:eastAsia="Calibri" w:cstheme="minorHAnsi"/>
          <w:kern w:val="0"/>
          <w14:ligatures w14:val="none"/>
        </w:rPr>
        <w:t xml:space="preserve"> </w:t>
      </w:r>
      <w:r w:rsidRPr="00F16251">
        <w:rPr>
          <w:rFonts w:eastAsia="Calibri" w:cstheme="minorHAnsi"/>
          <w:kern w:val="0"/>
          <w14:ligatures w14:val="none"/>
        </w:rPr>
        <w:t>szczeblach</w:t>
      </w:r>
      <w:r w:rsidR="003B50ED" w:rsidRPr="00F16251">
        <w:rPr>
          <w:rFonts w:eastAsia="Calibri" w:cstheme="minorHAnsi"/>
          <w:kern w:val="0"/>
          <w14:ligatures w14:val="none"/>
        </w:rPr>
        <w:t xml:space="preserve"> </w:t>
      </w:r>
      <w:r w:rsidRPr="00F16251">
        <w:rPr>
          <w:rFonts w:eastAsia="Calibri" w:cstheme="minorHAnsi"/>
          <w:kern w:val="0"/>
          <w14:ligatures w14:val="none"/>
        </w:rPr>
        <w:t>analizują</w:t>
      </w:r>
      <w:r w:rsidR="003B50ED" w:rsidRPr="00F16251">
        <w:rPr>
          <w:rFonts w:eastAsia="Calibri" w:cstheme="minorHAnsi"/>
          <w:kern w:val="0"/>
          <w14:ligatures w14:val="none"/>
        </w:rPr>
        <w:t xml:space="preserve"> </w:t>
      </w:r>
      <w:r w:rsidRPr="00F16251">
        <w:rPr>
          <w:rFonts w:eastAsia="Calibri" w:cstheme="minorHAnsi"/>
          <w:kern w:val="0"/>
          <w14:ligatures w14:val="none"/>
        </w:rPr>
        <w:t>problemy</w:t>
      </w:r>
      <w:r w:rsidR="003B50ED" w:rsidRPr="00F16251">
        <w:rPr>
          <w:rFonts w:eastAsia="Calibri" w:cstheme="minorHAnsi"/>
          <w:kern w:val="0"/>
          <w14:ligatures w14:val="none"/>
        </w:rPr>
        <w:t xml:space="preserve"> </w:t>
      </w:r>
      <w:r w:rsidRPr="00A26C26">
        <w:rPr>
          <w:rFonts w:eastAsia="Calibri" w:cstheme="minorHAnsi"/>
          <w:kern w:val="0"/>
          <w14:ligatures w14:val="none"/>
        </w:rPr>
        <w:t>występujące</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poszczególnych</w:t>
      </w:r>
      <w:r w:rsidR="003B50ED">
        <w:rPr>
          <w:rFonts w:eastAsia="Calibri" w:cstheme="minorHAnsi"/>
          <w:kern w:val="0"/>
          <w14:ligatures w14:val="none"/>
        </w:rPr>
        <w:t xml:space="preserve"> </w:t>
      </w:r>
      <w:r w:rsidRPr="00A26C26">
        <w:rPr>
          <w:rFonts w:eastAsia="Calibri" w:cstheme="minorHAnsi"/>
          <w:kern w:val="0"/>
          <w14:ligatures w14:val="none"/>
        </w:rPr>
        <w:t>jednostkach</w:t>
      </w:r>
      <w:r w:rsidR="003B50ED">
        <w:rPr>
          <w:rFonts w:eastAsia="Calibri" w:cstheme="minorHAnsi"/>
          <w:kern w:val="0"/>
          <w14:ligatures w14:val="none"/>
        </w:rPr>
        <w:t xml:space="preserve"> </w:t>
      </w:r>
      <w:r w:rsidRPr="00A26C26">
        <w:rPr>
          <w:rFonts w:eastAsia="Calibri" w:cstheme="minorHAnsi"/>
          <w:kern w:val="0"/>
          <w14:ligatures w14:val="none"/>
        </w:rPr>
        <w:t>samorządu</w:t>
      </w:r>
      <w:r w:rsidR="003B50ED">
        <w:rPr>
          <w:rFonts w:eastAsia="Calibri" w:cstheme="minorHAnsi"/>
          <w:kern w:val="0"/>
          <w14:ligatures w14:val="none"/>
        </w:rPr>
        <w:t xml:space="preserve"> </w:t>
      </w:r>
      <w:r w:rsidRPr="00A26C26">
        <w:rPr>
          <w:rFonts w:eastAsia="Calibri" w:cstheme="minorHAnsi"/>
          <w:kern w:val="0"/>
          <w14:ligatures w14:val="none"/>
        </w:rPr>
        <w:t>terytorialnego</w:t>
      </w:r>
      <w:r w:rsidR="003B50ED">
        <w:rPr>
          <w:rFonts w:eastAsia="Calibri" w:cstheme="minorHAnsi"/>
          <w:kern w:val="0"/>
          <w14:ligatures w14:val="none"/>
        </w:rPr>
        <w:t xml:space="preserve"> </w:t>
      </w:r>
      <w:r w:rsidRPr="00A26C26">
        <w:rPr>
          <w:rFonts w:eastAsia="Calibri" w:cstheme="minorHAnsi"/>
          <w:kern w:val="0"/>
          <w14:ligatures w14:val="none"/>
        </w:rPr>
        <w:t>i</w:t>
      </w:r>
      <w:r w:rsidR="003B50ED">
        <w:rPr>
          <w:rFonts w:eastAsia="Calibri" w:cstheme="minorHAnsi"/>
          <w:kern w:val="0"/>
          <w14:ligatures w14:val="none"/>
        </w:rPr>
        <w:t xml:space="preserve"> </w:t>
      </w:r>
      <w:r w:rsidRPr="00A26C26">
        <w:rPr>
          <w:rFonts w:eastAsia="Calibri" w:cstheme="minorHAnsi"/>
          <w:kern w:val="0"/>
          <w14:ligatures w14:val="none"/>
        </w:rPr>
        <w:t>wskazują</w:t>
      </w:r>
      <w:r w:rsidR="003B50ED">
        <w:rPr>
          <w:rFonts w:eastAsia="Calibri" w:cstheme="minorHAnsi"/>
          <w:kern w:val="0"/>
          <w14:ligatures w14:val="none"/>
        </w:rPr>
        <w:t xml:space="preserve"> </w:t>
      </w:r>
      <w:r w:rsidRPr="00A26C26">
        <w:rPr>
          <w:rFonts w:eastAsia="Calibri" w:cstheme="minorHAnsi"/>
          <w:kern w:val="0"/>
          <w14:ligatures w14:val="none"/>
        </w:rPr>
        <w:t>te,</w:t>
      </w:r>
      <w:r w:rsidR="003B50ED">
        <w:rPr>
          <w:rFonts w:eastAsia="Calibri" w:cstheme="minorHAnsi"/>
          <w:kern w:val="0"/>
          <w14:ligatures w14:val="none"/>
        </w:rPr>
        <w:t xml:space="preserve"> </w:t>
      </w:r>
      <w:r w:rsidRPr="00A26C26">
        <w:rPr>
          <w:rFonts w:eastAsia="Calibri" w:cstheme="minorHAnsi"/>
          <w:kern w:val="0"/>
          <w14:ligatures w14:val="none"/>
        </w:rPr>
        <w:t>które</w:t>
      </w:r>
      <w:r w:rsidR="003B50ED">
        <w:rPr>
          <w:rFonts w:eastAsia="Calibri" w:cstheme="minorHAnsi"/>
          <w:kern w:val="0"/>
          <w14:ligatures w14:val="none"/>
        </w:rPr>
        <w:t xml:space="preserve"> </w:t>
      </w:r>
      <w:r w:rsidRPr="00A26C26">
        <w:rPr>
          <w:rFonts w:eastAsia="Calibri" w:cstheme="minorHAnsi"/>
          <w:kern w:val="0"/>
          <w14:ligatures w14:val="none"/>
        </w:rPr>
        <w:t>są</w:t>
      </w:r>
      <w:r w:rsidR="003B50ED">
        <w:rPr>
          <w:rFonts w:eastAsia="Calibri" w:cstheme="minorHAnsi"/>
          <w:kern w:val="0"/>
          <w14:ligatures w14:val="none"/>
        </w:rPr>
        <w:t xml:space="preserve"> </w:t>
      </w:r>
      <w:r w:rsidRPr="00A26C26">
        <w:rPr>
          <w:rFonts w:eastAsia="Calibri" w:cstheme="minorHAnsi"/>
          <w:kern w:val="0"/>
          <w14:ligatures w14:val="none"/>
        </w:rPr>
        <w:t>wspólne</w:t>
      </w:r>
      <w:r w:rsidR="003B50ED">
        <w:rPr>
          <w:rFonts w:eastAsia="Calibri" w:cstheme="minorHAnsi"/>
          <w:kern w:val="0"/>
          <w14:ligatures w14:val="none"/>
        </w:rPr>
        <w:t xml:space="preserve"> </w:t>
      </w:r>
      <w:r w:rsidRPr="00A26C26">
        <w:rPr>
          <w:rFonts w:eastAsia="Calibri" w:cstheme="minorHAnsi"/>
          <w:kern w:val="0"/>
          <w14:ligatures w14:val="none"/>
        </w:rPr>
        <w:t>dla</w:t>
      </w:r>
      <w:r w:rsidR="003B50ED">
        <w:rPr>
          <w:rFonts w:eastAsia="Calibri" w:cstheme="minorHAnsi"/>
          <w:kern w:val="0"/>
          <w14:ligatures w14:val="none"/>
        </w:rPr>
        <w:t xml:space="preserve"> </w:t>
      </w:r>
      <w:r w:rsidRPr="00A26C26">
        <w:rPr>
          <w:rFonts w:eastAsia="Calibri" w:cstheme="minorHAnsi"/>
          <w:kern w:val="0"/>
          <w14:ligatures w14:val="none"/>
        </w:rPr>
        <w:t>większej</w:t>
      </w:r>
      <w:r w:rsidR="003B50ED">
        <w:rPr>
          <w:rFonts w:eastAsia="Calibri" w:cstheme="minorHAnsi"/>
          <w:kern w:val="0"/>
          <w14:ligatures w14:val="none"/>
        </w:rPr>
        <w:t xml:space="preserve"> </w:t>
      </w:r>
      <w:r w:rsidRPr="00A26C26">
        <w:rPr>
          <w:rFonts w:eastAsia="Calibri" w:cstheme="minorHAnsi"/>
          <w:kern w:val="0"/>
          <w14:ligatures w14:val="none"/>
        </w:rPr>
        <w:t>części</w:t>
      </w:r>
      <w:r w:rsidR="003B50ED">
        <w:rPr>
          <w:rFonts w:eastAsia="Calibri" w:cstheme="minorHAnsi"/>
          <w:kern w:val="0"/>
          <w14:ligatures w14:val="none"/>
        </w:rPr>
        <w:t xml:space="preserve"> </w:t>
      </w:r>
      <w:r w:rsidRPr="00A26C26">
        <w:rPr>
          <w:rFonts w:eastAsia="Calibri" w:cstheme="minorHAnsi"/>
          <w:kern w:val="0"/>
          <w14:ligatures w14:val="none"/>
        </w:rPr>
        <w:t>obszaru</w:t>
      </w:r>
      <w:r w:rsidR="003B50ED">
        <w:rPr>
          <w:rFonts w:eastAsia="Calibri" w:cstheme="minorHAnsi"/>
          <w:kern w:val="0"/>
          <w14:ligatures w14:val="none"/>
        </w:rPr>
        <w:t xml:space="preserve"> </w:t>
      </w:r>
      <w:r w:rsidRPr="00A26C26">
        <w:rPr>
          <w:rFonts w:eastAsia="Calibri" w:cstheme="minorHAnsi"/>
          <w:kern w:val="0"/>
          <w14:ligatures w14:val="none"/>
        </w:rPr>
        <w:t>objętego</w:t>
      </w:r>
      <w:r w:rsidR="003B50ED">
        <w:rPr>
          <w:rFonts w:eastAsia="Calibri" w:cstheme="minorHAnsi"/>
          <w:kern w:val="0"/>
          <w14:ligatures w14:val="none"/>
        </w:rPr>
        <w:t xml:space="preserve"> </w:t>
      </w:r>
      <w:r w:rsidRPr="00A26C26">
        <w:rPr>
          <w:rFonts w:eastAsia="Calibri" w:cstheme="minorHAnsi"/>
          <w:kern w:val="0"/>
          <w14:ligatures w14:val="none"/>
        </w:rPr>
        <w:t>daną</w:t>
      </w:r>
      <w:r w:rsidR="003B50ED">
        <w:rPr>
          <w:rFonts w:eastAsia="Calibri" w:cstheme="minorHAnsi"/>
          <w:kern w:val="0"/>
          <w14:ligatures w14:val="none"/>
        </w:rPr>
        <w:t xml:space="preserve"> </w:t>
      </w:r>
      <w:r w:rsidRPr="00A26C26">
        <w:rPr>
          <w:rFonts w:eastAsia="Calibri" w:cstheme="minorHAnsi"/>
          <w:kern w:val="0"/>
          <w14:ligatures w14:val="none"/>
        </w:rPr>
        <w:t>jednostką</w:t>
      </w:r>
      <w:r w:rsidR="003B50ED">
        <w:rPr>
          <w:rFonts w:eastAsia="Calibri" w:cstheme="minorHAnsi"/>
          <w:kern w:val="0"/>
          <w14:ligatures w14:val="none"/>
        </w:rPr>
        <w:t xml:space="preserve"> </w:t>
      </w:r>
      <w:r w:rsidRPr="00A26C26">
        <w:rPr>
          <w:rFonts w:eastAsia="Calibri" w:cstheme="minorHAnsi"/>
          <w:kern w:val="0"/>
          <w14:ligatures w14:val="none"/>
        </w:rPr>
        <w:t>administracyjną.</w:t>
      </w:r>
      <w:r w:rsidR="003B50ED">
        <w:rPr>
          <w:rFonts w:eastAsia="Calibri" w:cstheme="minorHAnsi"/>
          <w:kern w:val="0"/>
          <w14:ligatures w14:val="none"/>
        </w:rPr>
        <w:t xml:space="preserve"> </w:t>
      </w:r>
      <w:r w:rsidRPr="00A26C26">
        <w:rPr>
          <w:rFonts w:eastAsia="Calibri" w:cstheme="minorHAnsi"/>
          <w:kern w:val="0"/>
          <w14:ligatures w14:val="none"/>
        </w:rPr>
        <w:t>LSR</w:t>
      </w:r>
      <w:r w:rsidR="003B50ED">
        <w:rPr>
          <w:rFonts w:eastAsia="Calibri" w:cstheme="minorHAnsi"/>
          <w:kern w:val="0"/>
          <w14:ligatures w14:val="none"/>
        </w:rPr>
        <w:t xml:space="preserve"> </w:t>
      </w:r>
      <w:r w:rsidRPr="00A26C26">
        <w:rPr>
          <w:rFonts w:eastAsia="Calibri" w:cstheme="minorHAnsi"/>
          <w:kern w:val="0"/>
          <w14:ligatures w14:val="none"/>
        </w:rPr>
        <w:t>uzupełnia</w:t>
      </w:r>
      <w:r w:rsidR="003B50ED">
        <w:rPr>
          <w:rFonts w:eastAsia="Calibri" w:cstheme="minorHAnsi"/>
          <w:kern w:val="0"/>
          <w14:ligatures w14:val="none"/>
        </w:rPr>
        <w:t xml:space="preserve"> </w:t>
      </w:r>
      <w:r w:rsidRPr="00A26C26">
        <w:rPr>
          <w:rFonts w:eastAsia="Calibri" w:cstheme="minorHAnsi"/>
          <w:kern w:val="0"/>
          <w14:ligatures w14:val="none"/>
        </w:rPr>
        <w:t>te</w:t>
      </w:r>
      <w:r w:rsidR="003B50ED">
        <w:rPr>
          <w:rFonts w:eastAsia="Calibri" w:cstheme="minorHAnsi"/>
          <w:kern w:val="0"/>
          <w14:ligatures w14:val="none"/>
        </w:rPr>
        <w:t xml:space="preserve"> </w:t>
      </w:r>
      <w:r w:rsidRPr="00A26C26">
        <w:rPr>
          <w:rFonts w:eastAsia="Calibri" w:cstheme="minorHAnsi"/>
          <w:kern w:val="0"/>
          <w14:ligatures w14:val="none"/>
        </w:rPr>
        <w:t>strategie</w:t>
      </w:r>
      <w:r w:rsidR="003B50ED">
        <w:rPr>
          <w:rFonts w:eastAsia="Calibri" w:cstheme="minorHAnsi"/>
          <w:kern w:val="0"/>
          <w14:ligatures w14:val="none"/>
        </w:rPr>
        <w:t xml:space="preserve"> </w:t>
      </w:r>
      <w:r w:rsidRPr="00A26C26">
        <w:rPr>
          <w:rFonts w:eastAsia="Calibri" w:cstheme="minorHAnsi"/>
          <w:kern w:val="0"/>
          <w14:ligatures w14:val="none"/>
        </w:rPr>
        <w:t>nadrzędne,</w:t>
      </w:r>
      <w:r w:rsidR="003B50ED">
        <w:rPr>
          <w:rFonts w:eastAsia="Calibri" w:cstheme="minorHAnsi"/>
          <w:kern w:val="0"/>
          <w14:ligatures w14:val="none"/>
        </w:rPr>
        <w:t xml:space="preserve"> </w:t>
      </w:r>
      <w:r w:rsidRPr="00A26C26">
        <w:rPr>
          <w:rFonts w:eastAsia="Calibri" w:cstheme="minorHAnsi"/>
          <w:kern w:val="0"/>
          <w14:ligatures w14:val="none"/>
        </w:rPr>
        <w:t>tworząc</w:t>
      </w:r>
      <w:r w:rsidR="003B50ED">
        <w:rPr>
          <w:rFonts w:eastAsia="Calibri" w:cstheme="minorHAnsi"/>
          <w:kern w:val="0"/>
          <w14:ligatures w14:val="none"/>
        </w:rPr>
        <w:t xml:space="preserve"> </w:t>
      </w:r>
      <w:r w:rsidRPr="00A26C26">
        <w:rPr>
          <w:rFonts w:eastAsia="Calibri" w:cstheme="minorHAnsi"/>
          <w:kern w:val="0"/>
          <w14:ligatures w14:val="none"/>
        </w:rPr>
        <w:t>synergiczny</w:t>
      </w:r>
      <w:r w:rsidR="003B50ED">
        <w:rPr>
          <w:rFonts w:eastAsia="Calibri" w:cstheme="minorHAnsi"/>
          <w:kern w:val="0"/>
          <w14:ligatures w14:val="none"/>
        </w:rPr>
        <w:t xml:space="preserve"> </w:t>
      </w:r>
      <w:r w:rsidRPr="00A26C26">
        <w:rPr>
          <w:rFonts w:eastAsia="Calibri" w:cstheme="minorHAnsi"/>
          <w:kern w:val="0"/>
          <w14:ligatures w14:val="none"/>
        </w:rPr>
        <w:t>efekt.</w:t>
      </w:r>
      <w:r w:rsidR="003B50ED">
        <w:rPr>
          <w:rFonts w:eastAsia="Calibri" w:cstheme="minorHAnsi"/>
          <w:kern w:val="0"/>
          <w14:ligatures w14:val="none"/>
        </w:rPr>
        <w:t xml:space="preserve"> </w:t>
      </w:r>
      <w:r w:rsidRPr="00A26C26">
        <w:rPr>
          <w:rFonts w:eastAsia="Calibri" w:cstheme="minorHAnsi"/>
          <w:kern w:val="0"/>
          <w14:ligatures w14:val="none"/>
        </w:rPr>
        <w:t>Wszystkie</w:t>
      </w:r>
      <w:r w:rsidR="003B50ED">
        <w:rPr>
          <w:rFonts w:eastAsia="Calibri" w:cstheme="minorHAnsi"/>
          <w:kern w:val="0"/>
          <w14:ligatures w14:val="none"/>
        </w:rPr>
        <w:t xml:space="preserve"> </w:t>
      </w:r>
      <w:r w:rsidRPr="00A26C26">
        <w:rPr>
          <w:rFonts w:eastAsia="Calibri" w:cstheme="minorHAnsi"/>
          <w:kern w:val="0"/>
          <w14:ligatures w14:val="none"/>
        </w:rPr>
        <w:t>przedsięwzięcia</w:t>
      </w:r>
      <w:r w:rsidR="003B50ED">
        <w:rPr>
          <w:rFonts w:eastAsia="Calibri" w:cstheme="minorHAnsi"/>
          <w:kern w:val="0"/>
          <w14:ligatures w14:val="none"/>
        </w:rPr>
        <w:t xml:space="preserve"> </w:t>
      </w:r>
      <w:r w:rsidRPr="00A26C26">
        <w:rPr>
          <w:rFonts w:eastAsia="Calibri" w:cstheme="minorHAnsi"/>
          <w:kern w:val="0"/>
          <w14:ligatures w14:val="none"/>
        </w:rPr>
        <w:t>LSR</w:t>
      </w:r>
      <w:r w:rsidR="003B50ED">
        <w:rPr>
          <w:rFonts w:eastAsia="Calibri" w:cstheme="minorHAnsi"/>
          <w:kern w:val="0"/>
          <w14:ligatures w14:val="none"/>
        </w:rPr>
        <w:t xml:space="preserve"> </w:t>
      </w:r>
      <w:r w:rsidRPr="00A26C26">
        <w:rPr>
          <w:rFonts w:eastAsia="Calibri" w:cstheme="minorHAnsi"/>
          <w:kern w:val="0"/>
          <w14:ligatures w14:val="none"/>
        </w:rPr>
        <w:t>i</w:t>
      </w:r>
      <w:r w:rsidR="003B50ED">
        <w:rPr>
          <w:rFonts w:eastAsia="Calibri" w:cstheme="minorHAnsi"/>
          <w:kern w:val="0"/>
          <w14:ligatures w14:val="none"/>
        </w:rPr>
        <w:t xml:space="preserve"> </w:t>
      </w:r>
      <w:r w:rsidRPr="00A26C26">
        <w:rPr>
          <w:rFonts w:eastAsia="Calibri" w:cstheme="minorHAnsi"/>
          <w:kern w:val="0"/>
          <w14:ligatures w14:val="none"/>
        </w:rPr>
        <w:t>strategii</w:t>
      </w:r>
      <w:r w:rsidR="003B50ED">
        <w:rPr>
          <w:rFonts w:eastAsia="Calibri" w:cstheme="minorHAnsi"/>
          <w:kern w:val="0"/>
          <w14:ligatures w14:val="none"/>
        </w:rPr>
        <w:t xml:space="preserve"> </w:t>
      </w:r>
      <w:r w:rsidRPr="00A26C26">
        <w:rPr>
          <w:rFonts w:eastAsia="Calibri" w:cstheme="minorHAnsi"/>
          <w:kern w:val="0"/>
          <w14:ligatures w14:val="none"/>
        </w:rPr>
        <w:t>nadrzędnych</w:t>
      </w:r>
      <w:r w:rsidR="003B50ED">
        <w:rPr>
          <w:rFonts w:eastAsia="Calibri" w:cstheme="minorHAnsi"/>
          <w:kern w:val="0"/>
          <w14:ligatures w14:val="none"/>
        </w:rPr>
        <w:t xml:space="preserve"> </w:t>
      </w:r>
      <w:r w:rsidRPr="00A26C26">
        <w:rPr>
          <w:rFonts w:eastAsia="Calibri" w:cstheme="minorHAnsi"/>
          <w:kern w:val="0"/>
          <w14:ligatures w14:val="none"/>
        </w:rPr>
        <w:t>tworzą</w:t>
      </w:r>
      <w:r w:rsidR="003B50ED">
        <w:rPr>
          <w:rFonts w:eastAsia="Calibri" w:cstheme="minorHAnsi"/>
          <w:kern w:val="0"/>
          <w14:ligatures w14:val="none"/>
        </w:rPr>
        <w:t xml:space="preserve"> </w:t>
      </w:r>
      <w:r w:rsidRPr="00A26C26">
        <w:rPr>
          <w:rFonts w:eastAsia="Calibri" w:cstheme="minorHAnsi"/>
          <w:kern w:val="0"/>
          <w14:ligatures w14:val="none"/>
        </w:rPr>
        <w:t>jedną</w:t>
      </w:r>
      <w:r w:rsidR="003B50ED">
        <w:rPr>
          <w:rFonts w:eastAsia="Calibri" w:cstheme="minorHAnsi"/>
          <w:kern w:val="0"/>
          <w14:ligatures w14:val="none"/>
        </w:rPr>
        <w:t xml:space="preserve"> </w:t>
      </w:r>
      <w:r w:rsidRPr="00A26C26">
        <w:rPr>
          <w:rFonts w:eastAsia="Calibri" w:cstheme="minorHAnsi"/>
          <w:kern w:val="0"/>
          <w14:ligatures w14:val="none"/>
        </w:rPr>
        <w:t>całość,</w:t>
      </w:r>
      <w:r w:rsidR="003B50ED">
        <w:rPr>
          <w:rFonts w:eastAsia="Calibri" w:cstheme="minorHAnsi"/>
          <w:kern w:val="0"/>
          <w14:ligatures w14:val="none"/>
        </w:rPr>
        <w:t xml:space="preserve"> </w:t>
      </w:r>
      <w:r w:rsidRPr="00A26C26">
        <w:rPr>
          <w:rFonts w:eastAsia="Calibri" w:cstheme="minorHAnsi"/>
          <w:kern w:val="0"/>
          <w14:ligatures w14:val="none"/>
        </w:rPr>
        <w:t>mającą</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celu</w:t>
      </w:r>
      <w:r w:rsidR="003B50ED">
        <w:rPr>
          <w:rFonts w:eastAsia="Calibri" w:cstheme="minorHAnsi"/>
          <w:kern w:val="0"/>
          <w14:ligatures w14:val="none"/>
        </w:rPr>
        <w:t xml:space="preserve"> </w:t>
      </w:r>
      <w:r w:rsidRPr="00A26C26">
        <w:rPr>
          <w:rFonts w:eastAsia="Calibri" w:cstheme="minorHAnsi"/>
          <w:kern w:val="0"/>
          <w14:ligatures w14:val="none"/>
        </w:rPr>
        <w:t>realizację</w:t>
      </w:r>
      <w:r w:rsidR="003B50ED">
        <w:rPr>
          <w:rFonts w:eastAsia="Calibri" w:cstheme="minorHAnsi"/>
          <w:kern w:val="0"/>
          <w14:ligatures w14:val="none"/>
        </w:rPr>
        <w:t xml:space="preserve"> </w:t>
      </w:r>
      <w:r w:rsidRPr="00A26C26">
        <w:rPr>
          <w:rFonts w:eastAsia="Calibri" w:cstheme="minorHAnsi"/>
          <w:kern w:val="0"/>
          <w14:ligatures w14:val="none"/>
        </w:rPr>
        <w:t>pożądanej</w:t>
      </w:r>
      <w:r w:rsidR="003B50ED">
        <w:rPr>
          <w:rFonts w:eastAsia="Calibri" w:cstheme="minorHAnsi"/>
          <w:kern w:val="0"/>
          <w14:ligatures w14:val="none"/>
        </w:rPr>
        <w:t xml:space="preserve"> </w:t>
      </w:r>
      <w:r w:rsidRPr="00A26C26">
        <w:rPr>
          <w:rFonts w:eastAsia="Calibri" w:cstheme="minorHAnsi"/>
          <w:kern w:val="0"/>
          <w14:ligatures w14:val="none"/>
        </w:rPr>
        <w:t>zmiany</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konkretnym</w:t>
      </w:r>
      <w:r w:rsidR="003B50ED">
        <w:rPr>
          <w:rFonts w:eastAsia="Calibri" w:cstheme="minorHAnsi"/>
          <w:kern w:val="0"/>
          <w14:ligatures w14:val="none"/>
        </w:rPr>
        <w:t xml:space="preserve"> </w:t>
      </w:r>
      <w:r w:rsidRPr="00A26C26">
        <w:rPr>
          <w:rFonts w:eastAsia="Calibri" w:cstheme="minorHAnsi"/>
          <w:kern w:val="0"/>
          <w14:ligatures w14:val="none"/>
        </w:rPr>
        <w:t>obszarze.</w:t>
      </w:r>
    </w:p>
    <w:p w14:paraId="6E51DE3A" w14:textId="77777777" w:rsidR="001E07AA" w:rsidRPr="00A26C26" w:rsidRDefault="001E07AA" w:rsidP="00A26C26">
      <w:pPr>
        <w:spacing w:line="276" w:lineRule="auto"/>
        <w:ind w:firstLine="284"/>
        <w:jc w:val="both"/>
        <w:rPr>
          <w:rFonts w:eastAsia="Calibri" w:cstheme="minorHAnsi"/>
          <w:kern w:val="0"/>
          <w14:ligatures w14:val="none"/>
        </w:rPr>
      </w:pPr>
    </w:p>
    <w:p w14:paraId="21003A81" w14:textId="40CE1D05" w:rsidR="00857736" w:rsidRPr="00A26C26" w:rsidRDefault="001E07AA" w:rsidP="00203429">
      <w:pPr>
        <w:spacing w:line="276" w:lineRule="auto"/>
        <w:jc w:val="both"/>
        <w:rPr>
          <w:rFonts w:eastAsia="Calibri" w:cstheme="minorHAnsi"/>
          <w:kern w:val="0"/>
          <w14:ligatures w14:val="none"/>
        </w:rPr>
      </w:pPr>
      <w:r w:rsidRPr="00F16251">
        <w:rPr>
          <w:rFonts w:cstheme="minorHAnsi"/>
        </w:rPr>
        <w:t>Tabela nr</w:t>
      </w:r>
      <w:r w:rsidR="00396A11">
        <w:rPr>
          <w:rFonts w:cstheme="minorHAnsi"/>
        </w:rPr>
        <w:t xml:space="preserve"> 3</w:t>
      </w:r>
      <w:r w:rsidR="00203429">
        <w:rPr>
          <w:rFonts w:cstheme="minorHAnsi"/>
        </w:rPr>
        <w:t>1</w:t>
      </w:r>
      <w:r w:rsidRPr="00F16251">
        <w:rPr>
          <w:rFonts w:cstheme="minorHAnsi"/>
        </w:rPr>
        <w:t>Opis korelacji na poziomie przedsięwzięć w LSR</w:t>
      </w:r>
    </w:p>
    <w:tbl>
      <w:tblPr>
        <w:tblStyle w:val="Tabela-Siatka2"/>
        <w:tblW w:w="10201" w:type="dxa"/>
        <w:tblLook w:val="04A0" w:firstRow="1" w:lastRow="0" w:firstColumn="1" w:lastColumn="0" w:noHBand="0" w:noVBand="1"/>
      </w:tblPr>
      <w:tblGrid>
        <w:gridCol w:w="1820"/>
        <w:gridCol w:w="8381"/>
      </w:tblGrid>
      <w:tr w:rsidR="00233140" w:rsidRPr="00A26C26" w14:paraId="65B9B4F8" w14:textId="77777777" w:rsidTr="00233140">
        <w:trPr>
          <w:trHeight w:val="249"/>
        </w:trPr>
        <w:tc>
          <w:tcPr>
            <w:tcW w:w="1820" w:type="dxa"/>
            <w:vMerge w:val="restart"/>
            <w:hideMark/>
          </w:tcPr>
          <w:p w14:paraId="20D128E1" w14:textId="06628C13" w:rsidR="00233140" w:rsidRPr="00A26C26" w:rsidRDefault="00233140" w:rsidP="00A26C26">
            <w:pPr>
              <w:spacing w:line="276" w:lineRule="auto"/>
              <w:jc w:val="both"/>
              <w:rPr>
                <w:rFonts w:eastAsia="Calibri" w:cstheme="minorHAnsi"/>
                <w:lang w:eastAsia="pl-PL"/>
              </w:rPr>
            </w:pPr>
            <w:r w:rsidRPr="00A26C26">
              <w:rPr>
                <w:rFonts w:eastAsia="Calibri" w:cstheme="minorHAnsi"/>
                <w:lang w:eastAsia="pl-PL"/>
              </w:rPr>
              <w:t>LSR</w:t>
            </w:r>
            <w:r w:rsidR="003B50ED">
              <w:rPr>
                <w:rFonts w:eastAsia="Calibri" w:cstheme="minorHAnsi"/>
                <w:lang w:eastAsia="pl-PL"/>
              </w:rPr>
              <w:t xml:space="preserve"> </w:t>
            </w:r>
            <w:r w:rsidRPr="00A26C26">
              <w:rPr>
                <w:rFonts w:eastAsia="Calibri" w:cstheme="minorHAnsi"/>
                <w:lang w:eastAsia="pl-PL"/>
              </w:rPr>
              <w:t>2023-2027</w:t>
            </w:r>
          </w:p>
        </w:tc>
        <w:tc>
          <w:tcPr>
            <w:tcW w:w="8381" w:type="dxa"/>
          </w:tcPr>
          <w:p w14:paraId="1319F431" w14:textId="79444426" w:rsidR="00233140" w:rsidRPr="00A26C26" w:rsidRDefault="00233140" w:rsidP="00A26C26">
            <w:pPr>
              <w:spacing w:line="276" w:lineRule="auto"/>
              <w:jc w:val="both"/>
              <w:rPr>
                <w:rFonts w:eastAsia="Calibri" w:cstheme="minorHAnsi"/>
                <w:lang w:eastAsia="pl-PL"/>
              </w:rPr>
            </w:pPr>
            <w:r w:rsidRPr="00A26C26">
              <w:rPr>
                <w:rFonts w:cstheme="minorHAnsi"/>
              </w:rPr>
              <w:t>Cel</w:t>
            </w:r>
            <w:r w:rsidR="003B50ED">
              <w:rPr>
                <w:rFonts w:cstheme="minorHAnsi"/>
              </w:rPr>
              <w:t xml:space="preserve"> </w:t>
            </w:r>
            <w:r w:rsidRPr="00A26C26">
              <w:rPr>
                <w:rFonts w:cstheme="minorHAnsi"/>
              </w:rPr>
              <w:t>1.</w:t>
            </w:r>
            <w:r w:rsidR="003B50ED">
              <w:rPr>
                <w:rFonts w:cstheme="minorHAnsi"/>
              </w:rPr>
              <w:t xml:space="preserve"> </w:t>
            </w:r>
            <w:r w:rsidRPr="00A26C26">
              <w:rPr>
                <w:rFonts w:cstheme="minorHAnsi"/>
              </w:rPr>
              <w:t>Poprawa</w:t>
            </w:r>
            <w:r w:rsidR="003B50ED">
              <w:rPr>
                <w:rFonts w:cstheme="minorHAnsi"/>
              </w:rPr>
              <w:t xml:space="preserve"> </w:t>
            </w:r>
            <w:r w:rsidRPr="00A26C26">
              <w:rPr>
                <w:rFonts w:cstheme="minorHAnsi"/>
              </w:rPr>
              <w:t>jakości</w:t>
            </w:r>
            <w:r w:rsidR="003B50ED">
              <w:rPr>
                <w:rFonts w:cstheme="minorHAnsi"/>
              </w:rPr>
              <w:t xml:space="preserve"> </w:t>
            </w:r>
            <w:r w:rsidRPr="00A26C26">
              <w:rPr>
                <w:rFonts w:cstheme="minorHAnsi"/>
              </w:rPr>
              <w:t>życia</w:t>
            </w:r>
            <w:r w:rsidR="003B50ED">
              <w:rPr>
                <w:rFonts w:cstheme="minorHAnsi"/>
              </w:rPr>
              <w:t xml:space="preserve"> </w:t>
            </w:r>
            <w:r w:rsidRPr="00A26C26">
              <w:rPr>
                <w:rFonts w:cstheme="minorHAnsi"/>
              </w:rPr>
              <w:t>na</w:t>
            </w:r>
            <w:r w:rsidR="003B50ED">
              <w:rPr>
                <w:rFonts w:cstheme="minorHAnsi"/>
              </w:rPr>
              <w:t xml:space="preserve"> </w:t>
            </w:r>
            <w:r w:rsidRPr="00A26C26">
              <w:rPr>
                <w:rFonts w:cstheme="minorHAnsi"/>
              </w:rPr>
              <w:t>obszarze</w:t>
            </w:r>
            <w:r w:rsidR="003B50ED">
              <w:rPr>
                <w:rFonts w:cstheme="minorHAnsi"/>
              </w:rPr>
              <w:t xml:space="preserve"> </w:t>
            </w:r>
            <w:r w:rsidRPr="00A26C26">
              <w:rPr>
                <w:rFonts w:cstheme="minorHAnsi"/>
              </w:rPr>
              <w:t>LSR,</w:t>
            </w:r>
            <w:r w:rsidR="003B50ED">
              <w:rPr>
                <w:rFonts w:cstheme="minorHAnsi"/>
              </w:rPr>
              <w:t xml:space="preserve"> </w:t>
            </w:r>
            <w:r w:rsidRPr="00A26C26">
              <w:rPr>
                <w:rFonts w:cstheme="minorHAnsi"/>
              </w:rPr>
              <w:t>aktywizacja</w:t>
            </w:r>
            <w:r w:rsidR="003B50ED">
              <w:rPr>
                <w:rFonts w:cstheme="minorHAnsi"/>
              </w:rPr>
              <w:t xml:space="preserve"> </w:t>
            </w:r>
            <w:r w:rsidRPr="00A26C26">
              <w:rPr>
                <w:rFonts w:cstheme="minorHAnsi"/>
              </w:rPr>
              <w:t>i</w:t>
            </w:r>
            <w:r w:rsidR="003B50ED">
              <w:rPr>
                <w:rFonts w:cstheme="minorHAnsi"/>
              </w:rPr>
              <w:t xml:space="preserve"> </w:t>
            </w:r>
            <w:r w:rsidRPr="00A26C26">
              <w:rPr>
                <w:rFonts w:cstheme="minorHAnsi"/>
              </w:rPr>
              <w:t>zwiększenie</w:t>
            </w:r>
            <w:r w:rsidR="003B50ED">
              <w:rPr>
                <w:rFonts w:cstheme="minorHAnsi"/>
              </w:rPr>
              <w:t xml:space="preserve"> </w:t>
            </w:r>
            <w:r w:rsidRPr="00A26C26">
              <w:rPr>
                <w:rFonts w:cstheme="minorHAnsi"/>
              </w:rPr>
              <w:t>włączenia</w:t>
            </w:r>
            <w:r w:rsidR="003B50ED">
              <w:rPr>
                <w:rFonts w:cstheme="minorHAnsi"/>
              </w:rPr>
              <w:t xml:space="preserve"> </w:t>
            </w:r>
            <w:r w:rsidRPr="00A26C26">
              <w:rPr>
                <w:rFonts w:cstheme="minorHAnsi"/>
              </w:rPr>
              <w:t>społecznego.</w:t>
            </w:r>
          </w:p>
        </w:tc>
      </w:tr>
      <w:tr w:rsidR="00233140" w:rsidRPr="00A26C26" w14:paraId="29E9EF66" w14:textId="77777777" w:rsidTr="00233140">
        <w:trPr>
          <w:trHeight w:val="249"/>
        </w:trPr>
        <w:tc>
          <w:tcPr>
            <w:tcW w:w="1820" w:type="dxa"/>
            <w:vMerge/>
          </w:tcPr>
          <w:p w14:paraId="20607EA3" w14:textId="77777777" w:rsidR="00233140" w:rsidRPr="00A26C26" w:rsidRDefault="00233140" w:rsidP="00A26C26">
            <w:pPr>
              <w:spacing w:line="276" w:lineRule="auto"/>
              <w:jc w:val="both"/>
              <w:rPr>
                <w:rFonts w:eastAsia="Calibri" w:cstheme="minorHAnsi"/>
                <w:lang w:eastAsia="pl-PL"/>
              </w:rPr>
            </w:pPr>
          </w:p>
        </w:tc>
        <w:tc>
          <w:tcPr>
            <w:tcW w:w="8381" w:type="dxa"/>
          </w:tcPr>
          <w:p w14:paraId="30E70650" w14:textId="5CA54402" w:rsidR="00233140" w:rsidRPr="00A26C26" w:rsidRDefault="00233140" w:rsidP="00A26C26">
            <w:pPr>
              <w:spacing w:line="276" w:lineRule="auto"/>
              <w:jc w:val="both"/>
              <w:rPr>
                <w:rFonts w:eastAsia="Calibri" w:cstheme="minorHAnsi"/>
              </w:rPr>
            </w:pPr>
            <w:r w:rsidRPr="00A26C26">
              <w:rPr>
                <w:rFonts w:eastAsia="Calibri" w:cstheme="minorHAnsi"/>
              </w:rPr>
              <w:t>Przedsięwzięcie</w:t>
            </w:r>
            <w:r w:rsidR="003B50ED">
              <w:rPr>
                <w:rFonts w:eastAsia="Calibri" w:cstheme="minorHAnsi"/>
              </w:rPr>
              <w:t xml:space="preserve"> </w:t>
            </w:r>
            <w:r w:rsidRPr="00A26C26">
              <w:rPr>
                <w:rFonts w:eastAsia="Calibri" w:cstheme="minorHAnsi"/>
              </w:rPr>
              <w:t>1.1.</w:t>
            </w:r>
            <w:r w:rsidR="003B50ED">
              <w:rPr>
                <w:rFonts w:eastAsia="Calibri" w:cstheme="minorHAnsi"/>
              </w:rPr>
              <w:t xml:space="preserve"> </w:t>
            </w:r>
            <w:r w:rsidRPr="00A26C26">
              <w:rPr>
                <w:rFonts w:eastAsia="Calibri" w:cstheme="minorHAnsi"/>
              </w:rPr>
              <w:t>Opracowanie</w:t>
            </w:r>
            <w:r w:rsidR="003B50ED">
              <w:rPr>
                <w:rFonts w:eastAsia="Calibri" w:cstheme="minorHAnsi"/>
              </w:rPr>
              <w:t xml:space="preserve"> </w:t>
            </w:r>
            <w:r w:rsidRPr="00A26C26">
              <w:rPr>
                <w:rFonts w:eastAsia="Calibri" w:cstheme="minorHAnsi"/>
              </w:rPr>
              <w:t>koncepcji</w:t>
            </w:r>
            <w:r w:rsidR="003B50ED">
              <w:rPr>
                <w:rFonts w:eastAsia="Calibri" w:cstheme="minorHAnsi"/>
              </w:rPr>
              <w:t xml:space="preserve"> </w:t>
            </w:r>
            <w:r w:rsidRPr="00A26C26">
              <w:rPr>
                <w:rFonts w:eastAsia="Calibri" w:cstheme="minorHAnsi"/>
              </w:rPr>
              <w:t>inteligentnych</w:t>
            </w:r>
            <w:r w:rsidR="003B50ED">
              <w:rPr>
                <w:rFonts w:eastAsia="Calibri" w:cstheme="minorHAnsi"/>
              </w:rPr>
              <w:t xml:space="preserve"> </w:t>
            </w:r>
            <w:r w:rsidRPr="00A26C26">
              <w:rPr>
                <w:rFonts w:eastAsia="Calibri" w:cstheme="minorHAnsi"/>
              </w:rPr>
              <w:t>wsi</w:t>
            </w:r>
          </w:p>
        </w:tc>
      </w:tr>
      <w:tr w:rsidR="00233140" w:rsidRPr="00A26C26" w14:paraId="276AE1EB" w14:textId="77777777" w:rsidTr="00233140">
        <w:trPr>
          <w:trHeight w:val="249"/>
        </w:trPr>
        <w:tc>
          <w:tcPr>
            <w:tcW w:w="1820" w:type="dxa"/>
            <w:vMerge/>
          </w:tcPr>
          <w:p w14:paraId="0E91E8B6" w14:textId="77777777" w:rsidR="00233140" w:rsidRPr="00A26C26" w:rsidRDefault="00233140" w:rsidP="00A26C26">
            <w:pPr>
              <w:spacing w:line="276" w:lineRule="auto"/>
              <w:jc w:val="both"/>
              <w:rPr>
                <w:rFonts w:eastAsia="Calibri" w:cstheme="minorHAnsi"/>
                <w:lang w:eastAsia="pl-PL"/>
              </w:rPr>
            </w:pPr>
          </w:p>
        </w:tc>
        <w:tc>
          <w:tcPr>
            <w:tcW w:w="8381" w:type="dxa"/>
          </w:tcPr>
          <w:p w14:paraId="0E993AA1" w14:textId="1EAF96DF" w:rsidR="00233140" w:rsidRPr="00A26C26" w:rsidRDefault="00233140" w:rsidP="00A26C26">
            <w:pPr>
              <w:spacing w:line="276" w:lineRule="auto"/>
              <w:jc w:val="both"/>
              <w:rPr>
                <w:rFonts w:eastAsia="Calibri" w:cstheme="minorHAnsi"/>
              </w:rPr>
            </w:pPr>
            <w:r w:rsidRPr="00A26C26">
              <w:rPr>
                <w:rFonts w:eastAsia="Calibri" w:cstheme="minorHAnsi"/>
              </w:rPr>
              <w:t>Przedsięwzięcie</w:t>
            </w:r>
            <w:r w:rsidR="003B50ED">
              <w:rPr>
                <w:rFonts w:eastAsia="Calibri" w:cstheme="minorHAnsi"/>
              </w:rPr>
              <w:t xml:space="preserve"> </w:t>
            </w:r>
            <w:r w:rsidRPr="00A26C26">
              <w:rPr>
                <w:rFonts w:eastAsia="Calibri" w:cstheme="minorHAnsi"/>
              </w:rPr>
              <w:t>1.2.</w:t>
            </w:r>
            <w:r w:rsidR="003B50ED">
              <w:rPr>
                <w:rFonts w:eastAsia="Calibri" w:cstheme="minorHAnsi"/>
              </w:rPr>
              <w:t xml:space="preserve"> </w:t>
            </w:r>
            <w:r w:rsidRPr="00A26C26">
              <w:rPr>
                <w:rFonts w:eastAsia="Calibri" w:cstheme="minorHAnsi"/>
              </w:rPr>
              <w:t>Poprawa</w:t>
            </w:r>
            <w:r w:rsidR="003B50ED">
              <w:rPr>
                <w:rFonts w:eastAsia="Calibri" w:cstheme="minorHAnsi"/>
              </w:rPr>
              <w:t xml:space="preserve"> </w:t>
            </w:r>
            <w:r w:rsidRPr="00A26C26">
              <w:rPr>
                <w:rFonts w:eastAsia="Calibri" w:cstheme="minorHAnsi"/>
              </w:rPr>
              <w:t>dostępu</w:t>
            </w:r>
            <w:r w:rsidR="003B50ED">
              <w:rPr>
                <w:rFonts w:eastAsia="Calibri" w:cstheme="minorHAnsi"/>
              </w:rPr>
              <w:t xml:space="preserve"> </w:t>
            </w:r>
            <w:r w:rsidRPr="00A26C26">
              <w:rPr>
                <w:rFonts w:eastAsia="Calibri" w:cstheme="minorHAnsi"/>
              </w:rPr>
              <w:t>do</w:t>
            </w:r>
            <w:r w:rsidR="003B50ED">
              <w:rPr>
                <w:rFonts w:eastAsia="Calibri" w:cstheme="minorHAnsi"/>
              </w:rPr>
              <w:t xml:space="preserve"> </w:t>
            </w:r>
            <w:r w:rsidRPr="00A26C26">
              <w:rPr>
                <w:rFonts w:eastAsia="Calibri" w:cstheme="minorHAnsi"/>
              </w:rPr>
              <w:t>małej</w:t>
            </w:r>
            <w:r w:rsidR="003B50ED">
              <w:rPr>
                <w:rFonts w:eastAsia="Calibri" w:cstheme="minorHAnsi"/>
              </w:rPr>
              <w:t xml:space="preserve"> </w:t>
            </w:r>
            <w:r w:rsidRPr="00A26C26">
              <w:rPr>
                <w:rFonts w:eastAsia="Calibri" w:cstheme="minorHAnsi"/>
              </w:rPr>
              <w:t>infrastruktury</w:t>
            </w:r>
            <w:r w:rsidR="003B50ED">
              <w:rPr>
                <w:rFonts w:eastAsia="Calibri" w:cstheme="minorHAnsi"/>
              </w:rPr>
              <w:t xml:space="preserve"> </w:t>
            </w:r>
            <w:r w:rsidRPr="00A26C26">
              <w:rPr>
                <w:rFonts w:eastAsia="Calibri" w:cstheme="minorHAnsi"/>
              </w:rPr>
              <w:t>publicznej</w:t>
            </w:r>
          </w:p>
        </w:tc>
      </w:tr>
      <w:tr w:rsidR="00233140" w:rsidRPr="00A26C26" w14:paraId="0B68C67A" w14:textId="77777777" w:rsidTr="00233140">
        <w:trPr>
          <w:trHeight w:val="249"/>
        </w:trPr>
        <w:tc>
          <w:tcPr>
            <w:tcW w:w="1820" w:type="dxa"/>
            <w:vMerge/>
          </w:tcPr>
          <w:p w14:paraId="4A69CD63" w14:textId="77777777" w:rsidR="00233140" w:rsidRPr="00A26C26" w:rsidRDefault="00233140" w:rsidP="00A26C26">
            <w:pPr>
              <w:spacing w:line="276" w:lineRule="auto"/>
              <w:jc w:val="both"/>
              <w:rPr>
                <w:rFonts w:eastAsia="Calibri" w:cstheme="minorHAnsi"/>
                <w:lang w:eastAsia="pl-PL"/>
              </w:rPr>
            </w:pPr>
          </w:p>
        </w:tc>
        <w:tc>
          <w:tcPr>
            <w:tcW w:w="8381" w:type="dxa"/>
          </w:tcPr>
          <w:p w14:paraId="57F920B6" w14:textId="5832654E" w:rsidR="00233140" w:rsidRPr="00A26C26" w:rsidRDefault="00233140" w:rsidP="00A26C26">
            <w:pPr>
              <w:spacing w:line="276" w:lineRule="auto"/>
              <w:jc w:val="both"/>
              <w:rPr>
                <w:rFonts w:eastAsia="Calibri" w:cstheme="minorHAnsi"/>
              </w:rPr>
            </w:pPr>
            <w:r w:rsidRPr="00A26C26">
              <w:rPr>
                <w:rFonts w:eastAsia="Calibri" w:cstheme="minorHAnsi"/>
              </w:rPr>
              <w:t>Przedsięwzięcie</w:t>
            </w:r>
            <w:r w:rsidR="003B50ED">
              <w:rPr>
                <w:rFonts w:eastAsia="Calibri" w:cstheme="minorHAnsi"/>
              </w:rPr>
              <w:t xml:space="preserve"> </w:t>
            </w:r>
            <w:r w:rsidRPr="00A26C26">
              <w:rPr>
                <w:rFonts w:eastAsia="Calibri" w:cstheme="minorHAnsi"/>
              </w:rPr>
              <w:t>1.3.</w:t>
            </w:r>
            <w:r w:rsidR="003B50ED">
              <w:rPr>
                <w:rFonts w:eastAsia="Calibri" w:cstheme="minorHAnsi"/>
              </w:rPr>
              <w:t xml:space="preserve"> </w:t>
            </w:r>
            <w:r w:rsidRPr="00A26C26">
              <w:rPr>
                <w:rFonts w:eastAsia="Calibri" w:cstheme="minorHAnsi"/>
              </w:rPr>
              <w:t>Ochrona</w:t>
            </w:r>
            <w:r w:rsidR="003B50ED">
              <w:rPr>
                <w:rFonts w:eastAsia="Calibri" w:cstheme="minorHAnsi"/>
              </w:rPr>
              <w:t xml:space="preserve"> </w:t>
            </w:r>
            <w:r w:rsidRPr="00A26C26">
              <w:rPr>
                <w:rFonts w:eastAsia="Calibri" w:cstheme="minorHAnsi"/>
              </w:rPr>
              <w:t>dziedzictwa</w:t>
            </w:r>
            <w:r w:rsidR="003B50ED">
              <w:rPr>
                <w:rFonts w:eastAsia="Calibri" w:cstheme="minorHAnsi"/>
              </w:rPr>
              <w:t xml:space="preserve"> </w:t>
            </w:r>
            <w:r w:rsidRPr="00A26C26">
              <w:rPr>
                <w:rFonts w:eastAsia="Calibri" w:cstheme="minorHAnsi"/>
              </w:rPr>
              <w:t>kulturowego</w:t>
            </w:r>
            <w:r w:rsidR="003B50ED">
              <w:rPr>
                <w:rFonts w:eastAsia="Calibri" w:cstheme="minorHAnsi"/>
              </w:rPr>
              <w:t xml:space="preserve"> </w:t>
            </w:r>
            <w:r w:rsidRPr="00A26C26">
              <w:rPr>
                <w:rFonts w:eastAsia="Calibri" w:cstheme="minorHAnsi"/>
              </w:rPr>
              <w:t>lub</w:t>
            </w:r>
            <w:r w:rsidR="003B50ED">
              <w:rPr>
                <w:rFonts w:eastAsia="Calibri" w:cstheme="minorHAnsi"/>
              </w:rPr>
              <w:t xml:space="preserve"> </w:t>
            </w:r>
            <w:r w:rsidRPr="00A26C26">
              <w:rPr>
                <w:rFonts w:eastAsia="Calibri" w:cstheme="minorHAnsi"/>
              </w:rPr>
              <w:t>przyrodniczego</w:t>
            </w:r>
            <w:r w:rsidR="003B50ED">
              <w:rPr>
                <w:rFonts w:eastAsia="Calibri" w:cstheme="minorHAnsi"/>
              </w:rPr>
              <w:t xml:space="preserve"> </w:t>
            </w:r>
            <w:r w:rsidRPr="00A26C26">
              <w:rPr>
                <w:rFonts w:eastAsia="Calibri" w:cstheme="minorHAnsi"/>
              </w:rPr>
              <w:t>polskiej</w:t>
            </w:r>
            <w:r w:rsidR="003B50ED">
              <w:rPr>
                <w:rFonts w:eastAsia="Calibri" w:cstheme="minorHAnsi"/>
              </w:rPr>
              <w:t xml:space="preserve"> </w:t>
            </w:r>
            <w:r w:rsidRPr="00A26C26">
              <w:rPr>
                <w:rFonts w:eastAsia="Calibri" w:cstheme="minorHAnsi"/>
              </w:rPr>
              <w:t>wsi</w:t>
            </w:r>
          </w:p>
        </w:tc>
      </w:tr>
      <w:tr w:rsidR="00233140" w:rsidRPr="00A26C26" w14:paraId="370EA507" w14:textId="77777777" w:rsidTr="00233140">
        <w:trPr>
          <w:trHeight w:val="249"/>
        </w:trPr>
        <w:tc>
          <w:tcPr>
            <w:tcW w:w="1820" w:type="dxa"/>
            <w:vMerge/>
          </w:tcPr>
          <w:p w14:paraId="4D93006D" w14:textId="77777777" w:rsidR="00233140" w:rsidRPr="00A26C26" w:rsidRDefault="00233140" w:rsidP="00A26C26">
            <w:pPr>
              <w:spacing w:line="276" w:lineRule="auto"/>
              <w:jc w:val="both"/>
              <w:rPr>
                <w:rFonts w:eastAsia="Calibri" w:cstheme="minorHAnsi"/>
                <w:lang w:eastAsia="pl-PL"/>
              </w:rPr>
            </w:pPr>
          </w:p>
        </w:tc>
        <w:tc>
          <w:tcPr>
            <w:tcW w:w="8381" w:type="dxa"/>
          </w:tcPr>
          <w:p w14:paraId="1B8421BA" w14:textId="3399D485" w:rsidR="00233140" w:rsidRPr="00A26C26" w:rsidRDefault="00233140" w:rsidP="00A26C26">
            <w:pPr>
              <w:spacing w:line="276" w:lineRule="auto"/>
              <w:jc w:val="both"/>
              <w:rPr>
                <w:rFonts w:eastAsia="Calibri" w:cstheme="minorHAnsi"/>
              </w:rPr>
            </w:pPr>
            <w:r w:rsidRPr="00A26C26">
              <w:rPr>
                <w:rFonts w:eastAsia="Calibri" w:cstheme="minorHAnsi"/>
              </w:rPr>
              <w:t>Przedsięwzięcie</w:t>
            </w:r>
            <w:r w:rsidR="003B50ED">
              <w:rPr>
                <w:rFonts w:eastAsia="Calibri" w:cstheme="minorHAnsi"/>
              </w:rPr>
              <w:t xml:space="preserve"> </w:t>
            </w:r>
            <w:r w:rsidRPr="00A26C26">
              <w:rPr>
                <w:rFonts w:eastAsia="Calibri" w:cstheme="minorHAnsi"/>
              </w:rPr>
              <w:t>1.4.</w:t>
            </w:r>
            <w:r w:rsidR="003B50ED">
              <w:rPr>
                <w:rFonts w:eastAsia="Calibri" w:cstheme="minorHAnsi"/>
              </w:rPr>
              <w:t xml:space="preserve"> </w:t>
            </w:r>
            <w:r w:rsidRPr="00A26C26">
              <w:rPr>
                <w:rFonts w:eastAsia="Calibri" w:cstheme="minorHAnsi"/>
              </w:rPr>
              <w:t>Aktywizacja</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włączenie</w:t>
            </w:r>
            <w:r w:rsidR="003B50ED">
              <w:rPr>
                <w:rFonts w:eastAsia="Calibri" w:cstheme="minorHAnsi"/>
              </w:rPr>
              <w:t xml:space="preserve"> </w:t>
            </w:r>
            <w:r w:rsidRPr="00A26C26">
              <w:rPr>
                <w:rFonts w:eastAsia="Calibri" w:cstheme="minorHAnsi"/>
              </w:rPr>
              <w:t>społeczne</w:t>
            </w:r>
            <w:r w:rsidR="003B50ED">
              <w:rPr>
                <w:rFonts w:eastAsia="Calibri" w:cstheme="minorHAnsi"/>
              </w:rPr>
              <w:t xml:space="preserve"> </w:t>
            </w:r>
            <w:r w:rsidRPr="00A26C26">
              <w:rPr>
                <w:rFonts w:eastAsia="Calibri" w:cstheme="minorHAnsi"/>
              </w:rPr>
              <w:t>lokalnej</w:t>
            </w:r>
            <w:r w:rsidR="003B50ED">
              <w:rPr>
                <w:rFonts w:eastAsia="Calibri" w:cstheme="minorHAnsi"/>
              </w:rPr>
              <w:t xml:space="preserve"> </w:t>
            </w:r>
            <w:r w:rsidRPr="00A26C26">
              <w:rPr>
                <w:rFonts w:eastAsia="Calibri" w:cstheme="minorHAnsi"/>
              </w:rPr>
              <w:t>społeczności,</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tym</w:t>
            </w:r>
            <w:r w:rsidR="003B50ED">
              <w:rPr>
                <w:rFonts w:eastAsia="Calibri" w:cstheme="minorHAnsi"/>
              </w:rPr>
              <w:t xml:space="preserve"> </w:t>
            </w:r>
            <w:r w:rsidRPr="00A26C26">
              <w:rPr>
                <w:rFonts w:eastAsia="Calibri" w:cstheme="minorHAnsi"/>
              </w:rPr>
              <w:t>seniorów,</w:t>
            </w:r>
            <w:r w:rsidR="003B50ED">
              <w:rPr>
                <w:rFonts w:eastAsia="Calibri" w:cstheme="minorHAnsi"/>
              </w:rPr>
              <w:t xml:space="preserve"> </w:t>
            </w:r>
            <w:r w:rsidRPr="00A26C26">
              <w:rPr>
                <w:rFonts w:eastAsia="Calibri" w:cstheme="minorHAnsi"/>
              </w:rPr>
              <w:t>ludzi</w:t>
            </w:r>
            <w:r w:rsidR="003B50ED">
              <w:rPr>
                <w:rFonts w:eastAsia="Calibri" w:cstheme="minorHAnsi"/>
              </w:rPr>
              <w:t xml:space="preserve"> </w:t>
            </w:r>
            <w:r w:rsidRPr="00A26C26">
              <w:rPr>
                <w:rFonts w:eastAsia="Calibri" w:cstheme="minorHAnsi"/>
              </w:rPr>
              <w:t>młodych</w:t>
            </w:r>
            <w:r w:rsidR="003B50ED">
              <w:rPr>
                <w:rFonts w:eastAsia="Calibri" w:cstheme="minorHAnsi"/>
              </w:rPr>
              <w:t xml:space="preserve"> </w:t>
            </w:r>
            <w:r w:rsidRPr="00A26C26">
              <w:rPr>
                <w:rFonts w:eastAsia="Calibri" w:cstheme="minorHAnsi"/>
              </w:rPr>
              <w:t>lub</w:t>
            </w:r>
            <w:r w:rsidR="003B50ED">
              <w:rPr>
                <w:rFonts w:eastAsia="Calibri" w:cstheme="minorHAnsi"/>
              </w:rPr>
              <w:t xml:space="preserve"> </w:t>
            </w:r>
            <w:r w:rsidRPr="00A26C26">
              <w:rPr>
                <w:rFonts w:eastAsia="Calibri" w:cstheme="minorHAnsi"/>
              </w:rPr>
              <w:t>osób</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niekorzystnej</w:t>
            </w:r>
            <w:r w:rsidR="003B50ED">
              <w:rPr>
                <w:rFonts w:eastAsia="Calibri" w:cstheme="minorHAnsi"/>
              </w:rPr>
              <w:t xml:space="preserve"> </w:t>
            </w:r>
            <w:r w:rsidRPr="00A26C26">
              <w:rPr>
                <w:rFonts w:eastAsia="Calibri" w:cstheme="minorHAnsi"/>
              </w:rPr>
              <w:t>sytuacji</w:t>
            </w:r>
          </w:p>
        </w:tc>
      </w:tr>
      <w:tr w:rsidR="00233140" w:rsidRPr="00A26C26" w14:paraId="2F5B249C" w14:textId="77777777" w:rsidTr="00233140">
        <w:trPr>
          <w:trHeight w:val="249"/>
        </w:trPr>
        <w:tc>
          <w:tcPr>
            <w:tcW w:w="1820" w:type="dxa"/>
            <w:vMerge/>
          </w:tcPr>
          <w:p w14:paraId="47DDC9D2" w14:textId="77777777" w:rsidR="00233140" w:rsidRPr="00A26C26" w:rsidRDefault="00233140" w:rsidP="00A26C26">
            <w:pPr>
              <w:spacing w:line="276" w:lineRule="auto"/>
              <w:jc w:val="both"/>
              <w:rPr>
                <w:rFonts w:eastAsia="Calibri" w:cstheme="minorHAnsi"/>
                <w:lang w:eastAsia="pl-PL"/>
              </w:rPr>
            </w:pPr>
          </w:p>
        </w:tc>
        <w:tc>
          <w:tcPr>
            <w:tcW w:w="8381" w:type="dxa"/>
          </w:tcPr>
          <w:p w14:paraId="229453AF" w14:textId="131A5355" w:rsidR="00233140" w:rsidRPr="00A26C26" w:rsidRDefault="00725A1C" w:rsidP="00A26C26">
            <w:pPr>
              <w:spacing w:line="276" w:lineRule="auto"/>
              <w:jc w:val="both"/>
              <w:rPr>
                <w:rFonts w:eastAsia="Calibri" w:cstheme="minorHAnsi"/>
              </w:rPr>
            </w:pPr>
            <w:r w:rsidRPr="00A26C26">
              <w:rPr>
                <w:rFonts w:eastAsia="Calibri" w:cstheme="minorHAnsi"/>
              </w:rPr>
              <w:t>Przedsięwzięcie</w:t>
            </w:r>
            <w:r w:rsidR="003B50ED">
              <w:rPr>
                <w:rFonts w:eastAsia="Calibri" w:cstheme="minorHAnsi"/>
              </w:rPr>
              <w:t xml:space="preserve"> </w:t>
            </w:r>
            <w:r w:rsidRPr="00A26C26">
              <w:rPr>
                <w:rFonts w:eastAsia="Calibri" w:cstheme="minorHAnsi"/>
              </w:rPr>
              <w:t>1.5.</w:t>
            </w:r>
            <w:r w:rsidR="003B50ED">
              <w:rPr>
                <w:rFonts w:eastAsia="Calibri" w:cstheme="minorHAnsi"/>
              </w:rPr>
              <w:t xml:space="preserve"> </w:t>
            </w:r>
            <w:r w:rsidRPr="00A26C26">
              <w:rPr>
                <w:rFonts w:eastAsia="Calibri" w:cstheme="minorHAnsi"/>
              </w:rPr>
              <w:t>Wspieranie</w:t>
            </w:r>
            <w:r w:rsidR="003B50ED">
              <w:rPr>
                <w:rFonts w:eastAsia="Calibri" w:cstheme="minorHAnsi"/>
              </w:rPr>
              <w:t xml:space="preserve"> </w:t>
            </w:r>
            <w:r w:rsidRPr="00A26C26">
              <w:rPr>
                <w:rFonts w:eastAsia="Calibri" w:cstheme="minorHAnsi"/>
              </w:rPr>
              <w:t>partnerstwa,</w:t>
            </w:r>
            <w:r w:rsidR="003B50ED">
              <w:rPr>
                <w:rFonts w:eastAsia="Calibri" w:cstheme="minorHAnsi"/>
              </w:rPr>
              <w:t xml:space="preserve"> </w:t>
            </w:r>
            <w:r w:rsidRPr="00A26C26">
              <w:rPr>
                <w:rFonts w:eastAsia="Calibri" w:cstheme="minorHAnsi"/>
              </w:rPr>
              <w:t>inicjatyw</w:t>
            </w:r>
            <w:r w:rsidR="003B50ED">
              <w:rPr>
                <w:rFonts w:eastAsia="Calibri" w:cstheme="minorHAnsi"/>
              </w:rPr>
              <w:t xml:space="preserve"> </w:t>
            </w:r>
            <w:r w:rsidRPr="00A26C26">
              <w:rPr>
                <w:rFonts w:eastAsia="Calibri" w:cstheme="minorHAnsi"/>
              </w:rPr>
              <w:t>edukacyjnych</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turystyki</w:t>
            </w:r>
            <w:r w:rsidR="003B50ED">
              <w:rPr>
                <w:rFonts w:eastAsia="Calibri" w:cstheme="minorHAnsi"/>
              </w:rPr>
              <w:t xml:space="preserve"> </w:t>
            </w:r>
            <w:r w:rsidRPr="00A26C26">
              <w:rPr>
                <w:rFonts w:eastAsia="Calibri" w:cstheme="minorHAnsi"/>
              </w:rPr>
              <w:t>na</w:t>
            </w:r>
            <w:r w:rsidR="003B50ED">
              <w:rPr>
                <w:rFonts w:eastAsia="Calibri" w:cstheme="minorHAnsi"/>
              </w:rPr>
              <w:t xml:space="preserve"> </w:t>
            </w:r>
            <w:r w:rsidRPr="00A26C26">
              <w:rPr>
                <w:rFonts w:eastAsia="Calibri" w:cstheme="minorHAnsi"/>
              </w:rPr>
              <w:t>obszarze</w:t>
            </w:r>
            <w:r w:rsidR="003B50ED">
              <w:rPr>
                <w:rFonts w:eastAsia="Calibri" w:cstheme="minorHAnsi"/>
              </w:rPr>
              <w:t xml:space="preserve"> </w:t>
            </w:r>
            <w:r w:rsidRPr="00A26C26">
              <w:rPr>
                <w:rFonts w:eastAsia="Calibri" w:cstheme="minorHAnsi"/>
              </w:rPr>
              <w:t>LSR</w:t>
            </w:r>
          </w:p>
        </w:tc>
      </w:tr>
      <w:tr w:rsidR="00233140" w:rsidRPr="00A26C26" w14:paraId="663704AA" w14:textId="77777777" w:rsidTr="00233140">
        <w:trPr>
          <w:trHeight w:val="249"/>
        </w:trPr>
        <w:tc>
          <w:tcPr>
            <w:tcW w:w="1820" w:type="dxa"/>
            <w:vMerge/>
          </w:tcPr>
          <w:p w14:paraId="56984BD0" w14:textId="77777777" w:rsidR="00233140" w:rsidRPr="00A26C26" w:rsidRDefault="00233140" w:rsidP="00A26C26">
            <w:pPr>
              <w:spacing w:line="276" w:lineRule="auto"/>
              <w:jc w:val="both"/>
              <w:rPr>
                <w:rFonts w:eastAsia="Calibri" w:cstheme="minorHAnsi"/>
                <w:lang w:eastAsia="pl-PL"/>
              </w:rPr>
            </w:pPr>
          </w:p>
        </w:tc>
        <w:tc>
          <w:tcPr>
            <w:tcW w:w="8381" w:type="dxa"/>
          </w:tcPr>
          <w:p w14:paraId="2BA14DEB" w14:textId="54FBEA45" w:rsidR="00233140" w:rsidRPr="00A26C26" w:rsidRDefault="00725A1C" w:rsidP="00A26C26">
            <w:pPr>
              <w:spacing w:line="276" w:lineRule="auto"/>
              <w:jc w:val="both"/>
              <w:rPr>
                <w:rFonts w:eastAsia="Calibri" w:cstheme="minorHAnsi"/>
              </w:rPr>
            </w:pPr>
            <w:r w:rsidRPr="00A26C26">
              <w:rPr>
                <w:rFonts w:eastAsia="Calibri" w:cstheme="minorHAnsi"/>
              </w:rPr>
              <w:t>Przedsięwzięcie</w:t>
            </w:r>
            <w:r w:rsidR="003B50ED">
              <w:rPr>
                <w:rFonts w:eastAsia="Calibri" w:cstheme="minorHAnsi"/>
              </w:rPr>
              <w:t xml:space="preserve"> </w:t>
            </w:r>
            <w:r w:rsidRPr="00A26C26">
              <w:rPr>
                <w:rFonts w:eastAsia="Calibri" w:cstheme="minorHAnsi"/>
              </w:rPr>
              <w:t>1.6.</w:t>
            </w:r>
            <w:r w:rsidR="003B50ED">
              <w:rPr>
                <w:rFonts w:eastAsia="Calibri" w:cstheme="minorHAnsi"/>
              </w:rPr>
              <w:t xml:space="preserve"> </w:t>
            </w:r>
            <w:r w:rsidRPr="00A26C26">
              <w:rPr>
                <w:rFonts w:eastAsia="Calibri" w:cstheme="minorHAnsi"/>
              </w:rPr>
              <w:t>Integracja</w:t>
            </w:r>
            <w:r w:rsidR="003B50ED">
              <w:rPr>
                <w:rFonts w:eastAsia="Calibri" w:cstheme="minorHAnsi"/>
              </w:rPr>
              <w:t xml:space="preserve"> </w:t>
            </w:r>
            <w:r w:rsidRPr="00A26C26">
              <w:rPr>
                <w:rFonts w:eastAsia="Calibri" w:cstheme="minorHAnsi"/>
              </w:rPr>
              <w:t>społeczna</w:t>
            </w:r>
            <w:r w:rsidR="003B50ED">
              <w:rPr>
                <w:rFonts w:eastAsia="Calibri" w:cstheme="minorHAnsi"/>
              </w:rPr>
              <w:t xml:space="preserve"> </w:t>
            </w:r>
            <w:r w:rsidRPr="00A26C26">
              <w:rPr>
                <w:rFonts w:eastAsia="Calibri" w:cstheme="minorHAnsi"/>
              </w:rPr>
              <w:t>na</w:t>
            </w:r>
            <w:r w:rsidR="003B50ED">
              <w:rPr>
                <w:rFonts w:eastAsia="Calibri" w:cstheme="minorHAnsi"/>
              </w:rPr>
              <w:t xml:space="preserve"> </w:t>
            </w:r>
            <w:r w:rsidRPr="00A26C26">
              <w:rPr>
                <w:rFonts w:eastAsia="Calibri" w:cstheme="minorHAnsi"/>
              </w:rPr>
              <w:t>obszarach</w:t>
            </w:r>
            <w:r w:rsidR="003B50ED">
              <w:rPr>
                <w:rFonts w:eastAsia="Calibri" w:cstheme="minorHAnsi"/>
              </w:rPr>
              <w:t xml:space="preserve"> </w:t>
            </w:r>
            <w:r w:rsidRPr="00A26C26">
              <w:rPr>
                <w:rFonts w:eastAsia="Calibri" w:cstheme="minorHAnsi"/>
              </w:rPr>
              <w:t>wiejskich</w:t>
            </w:r>
          </w:p>
        </w:tc>
      </w:tr>
      <w:tr w:rsidR="00233140" w:rsidRPr="00A26C26" w14:paraId="53AD6FA6" w14:textId="77777777" w:rsidTr="00233140">
        <w:trPr>
          <w:trHeight w:val="249"/>
        </w:trPr>
        <w:tc>
          <w:tcPr>
            <w:tcW w:w="1820" w:type="dxa"/>
            <w:vMerge/>
          </w:tcPr>
          <w:p w14:paraId="67BAD4DB" w14:textId="77777777" w:rsidR="00233140" w:rsidRPr="00A26C26" w:rsidRDefault="00233140" w:rsidP="00A26C26">
            <w:pPr>
              <w:spacing w:line="276" w:lineRule="auto"/>
              <w:jc w:val="both"/>
              <w:rPr>
                <w:rFonts w:eastAsia="Calibri" w:cstheme="minorHAnsi"/>
                <w:lang w:eastAsia="pl-PL"/>
              </w:rPr>
            </w:pPr>
          </w:p>
        </w:tc>
        <w:tc>
          <w:tcPr>
            <w:tcW w:w="8381" w:type="dxa"/>
          </w:tcPr>
          <w:p w14:paraId="0584D35E" w14:textId="21595863" w:rsidR="00233140" w:rsidRPr="00A26C26" w:rsidRDefault="00725A1C" w:rsidP="00A26C26">
            <w:pPr>
              <w:spacing w:line="276" w:lineRule="auto"/>
              <w:jc w:val="both"/>
              <w:rPr>
                <w:rFonts w:eastAsia="Calibri" w:cstheme="minorHAnsi"/>
                <w:lang w:eastAsia="pl-PL"/>
              </w:rPr>
            </w:pPr>
            <w:r w:rsidRPr="00A26C26">
              <w:rPr>
                <w:rFonts w:eastAsia="Calibri" w:cstheme="minorHAnsi"/>
                <w:lang w:eastAsia="pl-PL"/>
              </w:rPr>
              <w:t>Cel</w:t>
            </w:r>
            <w:r w:rsidR="003B50ED">
              <w:rPr>
                <w:rFonts w:eastAsia="Calibri" w:cstheme="minorHAnsi"/>
                <w:lang w:eastAsia="pl-PL"/>
              </w:rPr>
              <w:t xml:space="preserve"> </w:t>
            </w:r>
            <w:r w:rsidRPr="00A26C26">
              <w:rPr>
                <w:rFonts w:eastAsia="Calibri" w:cstheme="minorHAnsi"/>
                <w:lang w:eastAsia="pl-PL"/>
              </w:rPr>
              <w:t>2.</w:t>
            </w:r>
            <w:r w:rsidR="003B50ED">
              <w:rPr>
                <w:rFonts w:eastAsia="Calibri" w:cstheme="minorHAnsi"/>
                <w:lang w:eastAsia="pl-PL"/>
              </w:rPr>
              <w:t xml:space="preserve"> </w:t>
            </w:r>
            <w:r w:rsidRPr="00A26C26">
              <w:rPr>
                <w:rFonts w:eastAsia="Calibri" w:cstheme="minorHAnsi"/>
                <w:lang w:eastAsia="pl-PL"/>
              </w:rPr>
              <w:t>Zwiększenie</w:t>
            </w:r>
            <w:r w:rsidR="003B50ED">
              <w:rPr>
                <w:rFonts w:eastAsia="Calibri" w:cstheme="minorHAnsi"/>
                <w:lang w:eastAsia="pl-PL"/>
              </w:rPr>
              <w:t xml:space="preserve"> </w:t>
            </w:r>
            <w:r w:rsidRPr="00A26C26">
              <w:rPr>
                <w:rFonts w:eastAsia="Calibri" w:cstheme="minorHAnsi"/>
                <w:lang w:eastAsia="pl-PL"/>
              </w:rPr>
              <w:t>dostępności</w:t>
            </w:r>
            <w:r w:rsidR="003B50ED">
              <w:rPr>
                <w:rFonts w:eastAsia="Calibri" w:cstheme="minorHAnsi"/>
                <w:lang w:eastAsia="pl-PL"/>
              </w:rPr>
              <w:t xml:space="preserve"> </w:t>
            </w:r>
            <w:r w:rsidRPr="00A26C26">
              <w:rPr>
                <w:rFonts w:eastAsia="Calibri" w:cstheme="minorHAnsi"/>
                <w:lang w:eastAsia="pl-PL"/>
              </w:rPr>
              <w:t>do</w:t>
            </w:r>
            <w:r w:rsidR="003B50ED">
              <w:rPr>
                <w:rFonts w:eastAsia="Calibri" w:cstheme="minorHAnsi"/>
                <w:lang w:eastAsia="pl-PL"/>
              </w:rPr>
              <w:t xml:space="preserve"> </w:t>
            </w:r>
            <w:r w:rsidRPr="00A26C26">
              <w:rPr>
                <w:rFonts w:eastAsia="Calibri" w:cstheme="minorHAnsi"/>
                <w:lang w:eastAsia="pl-PL"/>
              </w:rPr>
              <w:t>usług</w:t>
            </w:r>
            <w:r w:rsidR="003B50ED">
              <w:rPr>
                <w:rFonts w:eastAsia="Calibri" w:cstheme="minorHAnsi"/>
                <w:lang w:eastAsia="pl-PL"/>
              </w:rPr>
              <w:t xml:space="preserve"> </w:t>
            </w:r>
            <w:r w:rsidRPr="00A26C26">
              <w:rPr>
                <w:rFonts w:eastAsia="Calibri" w:cstheme="minorHAnsi"/>
                <w:lang w:eastAsia="pl-PL"/>
              </w:rPr>
              <w:t>i</w:t>
            </w:r>
            <w:r w:rsidR="003B50ED">
              <w:rPr>
                <w:rFonts w:eastAsia="Calibri" w:cstheme="minorHAnsi"/>
                <w:lang w:eastAsia="pl-PL"/>
              </w:rPr>
              <w:t xml:space="preserve"> </w:t>
            </w:r>
            <w:r w:rsidRPr="00A26C26">
              <w:rPr>
                <w:rFonts w:eastAsia="Calibri" w:cstheme="minorHAnsi"/>
                <w:lang w:eastAsia="pl-PL"/>
              </w:rPr>
              <w:t>produktów</w:t>
            </w:r>
            <w:r w:rsidR="003B50ED">
              <w:rPr>
                <w:rFonts w:eastAsia="Calibri" w:cstheme="minorHAnsi"/>
                <w:lang w:eastAsia="pl-PL"/>
              </w:rPr>
              <w:t xml:space="preserve"> </w:t>
            </w:r>
            <w:r w:rsidRPr="00A26C26">
              <w:rPr>
                <w:rFonts w:eastAsia="Calibri" w:cstheme="minorHAnsi"/>
                <w:lang w:eastAsia="pl-PL"/>
              </w:rPr>
              <w:t>na</w:t>
            </w:r>
            <w:r w:rsidR="003B50ED">
              <w:rPr>
                <w:rFonts w:eastAsia="Calibri" w:cstheme="minorHAnsi"/>
                <w:lang w:eastAsia="pl-PL"/>
              </w:rPr>
              <w:t xml:space="preserve"> </w:t>
            </w:r>
            <w:r w:rsidRPr="00A26C26">
              <w:rPr>
                <w:rFonts w:eastAsia="Calibri" w:cstheme="minorHAnsi"/>
                <w:lang w:eastAsia="pl-PL"/>
              </w:rPr>
              <w:t>obszarze</w:t>
            </w:r>
            <w:r w:rsidR="003B50ED">
              <w:rPr>
                <w:rFonts w:eastAsia="Calibri" w:cstheme="minorHAnsi"/>
                <w:lang w:eastAsia="pl-PL"/>
              </w:rPr>
              <w:t xml:space="preserve"> </w:t>
            </w:r>
            <w:r w:rsidRPr="00A26C26">
              <w:rPr>
                <w:rFonts w:eastAsia="Calibri" w:cstheme="minorHAnsi"/>
                <w:lang w:eastAsia="pl-PL"/>
              </w:rPr>
              <w:t>LSR</w:t>
            </w:r>
          </w:p>
        </w:tc>
      </w:tr>
      <w:tr w:rsidR="00233140" w:rsidRPr="00A26C26" w14:paraId="218D5C17" w14:textId="77777777" w:rsidTr="00233140">
        <w:trPr>
          <w:trHeight w:val="249"/>
        </w:trPr>
        <w:tc>
          <w:tcPr>
            <w:tcW w:w="1820" w:type="dxa"/>
            <w:vMerge/>
          </w:tcPr>
          <w:p w14:paraId="3FA11D7A" w14:textId="77777777" w:rsidR="00233140" w:rsidRPr="00A26C26" w:rsidRDefault="00233140" w:rsidP="00A26C26">
            <w:pPr>
              <w:spacing w:line="276" w:lineRule="auto"/>
              <w:jc w:val="both"/>
              <w:rPr>
                <w:rFonts w:eastAsia="Calibri" w:cstheme="minorHAnsi"/>
                <w:lang w:eastAsia="pl-PL"/>
              </w:rPr>
            </w:pPr>
          </w:p>
        </w:tc>
        <w:tc>
          <w:tcPr>
            <w:tcW w:w="8381" w:type="dxa"/>
          </w:tcPr>
          <w:p w14:paraId="22F4B9EC" w14:textId="561613BD" w:rsidR="00233140" w:rsidRPr="00A26C26" w:rsidRDefault="00725A1C" w:rsidP="00A26C26">
            <w:pPr>
              <w:spacing w:line="276" w:lineRule="auto"/>
              <w:jc w:val="both"/>
              <w:rPr>
                <w:rFonts w:eastAsia="Calibri" w:cstheme="minorHAnsi"/>
                <w:lang w:eastAsia="pl-PL"/>
              </w:rPr>
            </w:pPr>
            <w:r w:rsidRPr="00A26C26">
              <w:rPr>
                <w:rFonts w:eastAsia="Calibri" w:cstheme="minorHAnsi"/>
                <w:lang w:eastAsia="pl-PL"/>
              </w:rPr>
              <w:t>Przedsięwzięcie</w:t>
            </w:r>
            <w:r w:rsidR="003B50ED">
              <w:rPr>
                <w:rFonts w:eastAsia="Calibri" w:cstheme="minorHAnsi"/>
                <w:lang w:eastAsia="pl-PL"/>
              </w:rPr>
              <w:t xml:space="preserve"> </w:t>
            </w:r>
            <w:r w:rsidRPr="00A26C26">
              <w:rPr>
                <w:rFonts w:eastAsia="Calibri" w:cstheme="minorHAnsi"/>
                <w:lang w:eastAsia="pl-PL"/>
              </w:rPr>
              <w:t>2.1.</w:t>
            </w:r>
            <w:r w:rsidR="003B50ED">
              <w:rPr>
                <w:rFonts w:eastAsia="Calibri" w:cstheme="minorHAnsi"/>
                <w:lang w:eastAsia="pl-PL"/>
              </w:rPr>
              <w:t xml:space="preserve"> </w:t>
            </w:r>
            <w:r w:rsidRPr="00A26C26">
              <w:rPr>
                <w:rFonts w:eastAsia="Calibri" w:cstheme="minorHAnsi"/>
                <w:lang w:eastAsia="pl-PL"/>
              </w:rPr>
              <w:t>Rozwój</w:t>
            </w:r>
            <w:r w:rsidR="003B50ED">
              <w:rPr>
                <w:rFonts w:eastAsia="Calibri" w:cstheme="minorHAnsi"/>
                <w:lang w:eastAsia="pl-PL"/>
              </w:rPr>
              <w:t xml:space="preserve"> </w:t>
            </w:r>
            <w:r w:rsidRPr="00A26C26">
              <w:rPr>
                <w:rFonts w:eastAsia="Calibri" w:cstheme="minorHAnsi"/>
                <w:lang w:eastAsia="pl-PL"/>
              </w:rPr>
              <w:t>pozarolniczej</w:t>
            </w:r>
            <w:r w:rsidR="003B50ED">
              <w:rPr>
                <w:rFonts w:eastAsia="Calibri" w:cstheme="minorHAnsi"/>
                <w:lang w:eastAsia="pl-PL"/>
              </w:rPr>
              <w:t xml:space="preserve"> </w:t>
            </w:r>
            <w:r w:rsidRPr="00A26C26">
              <w:rPr>
                <w:rFonts w:eastAsia="Calibri" w:cstheme="minorHAnsi"/>
                <w:lang w:eastAsia="pl-PL"/>
              </w:rPr>
              <w:t>działalności</w:t>
            </w:r>
            <w:r w:rsidR="003B50ED">
              <w:rPr>
                <w:rFonts w:eastAsia="Calibri" w:cstheme="minorHAnsi"/>
                <w:lang w:eastAsia="pl-PL"/>
              </w:rPr>
              <w:t xml:space="preserve"> </w:t>
            </w:r>
            <w:r w:rsidRPr="00A26C26">
              <w:rPr>
                <w:rFonts w:eastAsia="Calibri" w:cstheme="minorHAnsi"/>
                <w:lang w:eastAsia="pl-PL"/>
              </w:rPr>
              <w:t>gospodarczej</w:t>
            </w:r>
            <w:r w:rsidR="003B50ED">
              <w:rPr>
                <w:rFonts w:eastAsia="Calibri" w:cstheme="minorHAnsi"/>
                <w:lang w:eastAsia="pl-PL"/>
              </w:rPr>
              <w:t xml:space="preserve"> </w:t>
            </w:r>
            <w:r w:rsidRPr="00A26C26">
              <w:rPr>
                <w:rFonts w:eastAsia="Calibri" w:cstheme="minorHAnsi"/>
                <w:lang w:eastAsia="pl-PL"/>
              </w:rPr>
              <w:t>w</w:t>
            </w:r>
            <w:r w:rsidR="003B50ED">
              <w:rPr>
                <w:rFonts w:eastAsia="Calibri" w:cstheme="minorHAnsi"/>
                <w:lang w:eastAsia="pl-PL"/>
              </w:rPr>
              <w:t xml:space="preserve"> </w:t>
            </w:r>
            <w:r w:rsidRPr="00A26C26">
              <w:rPr>
                <w:rFonts w:eastAsia="Calibri" w:cstheme="minorHAnsi"/>
                <w:lang w:eastAsia="pl-PL"/>
              </w:rPr>
              <w:t>tym</w:t>
            </w:r>
            <w:r w:rsidR="003B50ED">
              <w:rPr>
                <w:rFonts w:eastAsia="Calibri" w:cstheme="minorHAnsi"/>
                <w:lang w:eastAsia="pl-PL"/>
              </w:rPr>
              <w:t xml:space="preserve"> </w:t>
            </w:r>
            <w:r w:rsidRPr="00A26C26">
              <w:rPr>
                <w:rFonts w:eastAsia="Calibri" w:cstheme="minorHAnsi"/>
                <w:lang w:eastAsia="pl-PL"/>
              </w:rPr>
              <w:t>gospodarstw</w:t>
            </w:r>
            <w:r w:rsidR="003B50ED">
              <w:rPr>
                <w:rFonts w:eastAsia="Calibri" w:cstheme="minorHAnsi"/>
                <w:lang w:eastAsia="pl-PL"/>
              </w:rPr>
              <w:t xml:space="preserve"> </w:t>
            </w:r>
            <w:r w:rsidRPr="00A26C26">
              <w:rPr>
                <w:rFonts w:eastAsia="Calibri" w:cstheme="minorHAnsi"/>
                <w:lang w:eastAsia="pl-PL"/>
              </w:rPr>
              <w:t>agroturystycznych</w:t>
            </w:r>
            <w:r w:rsidR="003B50ED">
              <w:rPr>
                <w:rFonts w:eastAsia="Calibri" w:cstheme="minorHAnsi"/>
                <w:lang w:eastAsia="pl-PL"/>
              </w:rPr>
              <w:t xml:space="preserve"> </w:t>
            </w:r>
            <w:r w:rsidRPr="00A26C26">
              <w:rPr>
                <w:rFonts w:eastAsia="Calibri" w:cstheme="minorHAnsi"/>
                <w:lang w:eastAsia="pl-PL"/>
              </w:rPr>
              <w:t>i</w:t>
            </w:r>
            <w:r w:rsidR="003B50ED">
              <w:rPr>
                <w:rFonts w:eastAsia="Calibri" w:cstheme="minorHAnsi"/>
                <w:lang w:eastAsia="pl-PL"/>
              </w:rPr>
              <w:t xml:space="preserve"> </w:t>
            </w:r>
            <w:r w:rsidRPr="00A26C26">
              <w:rPr>
                <w:rFonts w:eastAsia="Calibri" w:cstheme="minorHAnsi"/>
                <w:lang w:eastAsia="pl-PL"/>
              </w:rPr>
              <w:t>zagród</w:t>
            </w:r>
            <w:r w:rsidR="003B50ED">
              <w:rPr>
                <w:rFonts w:eastAsia="Calibri" w:cstheme="minorHAnsi"/>
                <w:lang w:eastAsia="pl-PL"/>
              </w:rPr>
              <w:t xml:space="preserve"> </w:t>
            </w:r>
            <w:r w:rsidRPr="00A26C26">
              <w:rPr>
                <w:rFonts w:eastAsia="Calibri" w:cstheme="minorHAnsi"/>
                <w:lang w:eastAsia="pl-PL"/>
              </w:rPr>
              <w:t>edukacyjnych</w:t>
            </w:r>
          </w:p>
        </w:tc>
      </w:tr>
      <w:tr w:rsidR="00857736" w:rsidRPr="00A26C26" w14:paraId="43041B8A" w14:textId="77777777" w:rsidTr="00233140">
        <w:trPr>
          <w:trHeight w:val="249"/>
        </w:trPr>
        <w:tc>
          <w:tcPr>
            <w:tcW w:w="10201" w:type="dxa"/>
            <w:gridSpan w:val="2"/>
            <w:hideMark/>
          </w:tcPr>
          <w:p w14:paraId="39DBDEEE" w14:textId="633A2BD4" w:rsidR="00857736" w:rsidRPr="00A26C26" w:rsidRDefault="00857736" w:rsidP="00A26C26">
            <w:pPr>
              <w:spacing w:line="276" w:lineRule="auto"/>
              <w:jc w:val="both"/>
              <w:rPr>
                <w:rFonts w:eastAsia="Calibri" w:cstheme="minorHAnsi"/>
                <w:lang w:eastAsia="pl-PL"/>
              </w:rPr>
            </w:pPr>
            <w:r w:rsidRPr="00A26C26">
              <w:rPr>
                <w:rFonts w:eastAsia="Calibri" w:cstheme="minorHAnsi"/>
                <w:lang w:eastAsia="pl-PL"/>
              </w:rPr>
              <w:t>Krajowa</w:t>
            </w:r>
            <w:r w:rsidR="003B50ED">
              <w:rPr>
                <w:rFonts w:eastAsia="Calibri" w:cstheme="minorHAnsi"/>
                <w:lang w:eastAsia="pl-PL"/>
              </w:rPr>
              <w:t xml:space="preserve"> </w:t>
            </w:r>
            <w:r w:rsidRPr="00A26C26">
              <w:rPr>
                <w:rFonts w:eastAsia="Calibri" w:cstheme="minorHAnsi"/>
                <w:lang w:eastAsia="pl-PL"/>
              </w:rPr>
              <w:t>Strategia</w:t>
            </w:r>
            <w:r w:rsidR="003B50ED">
              <w:rPr>
                <w:rFonts w:eastAsia="Calibri" w:cstheme="minorHAnsi"/>
                <w:lang w:eastAsia="pl-PL"/>
              </w:rPr>
              <w:t xml:space="preserve"> </w:t>
            </w:r>
            <w:r w:rsidRPr="00A26C26">
              <w:rPr>
                <w:rFonts w:eastAsia="Calibri" w:cstheme="minorHAnsi"/>
                <w:lang w:eastAsia="pl-PL"/>
              </w:rPr>
              <w:t>Rozwoju</w:t>
            </w:r>
            <w:r w:rsidR="003B50ED">
              <w:rPr>
                <w:rFonts w:eastAsia="Calibri" w:cstheme="minorHAnsi"/>
                <w:lang w:eastAsia="pl-PL"/>
              </w:rPr>
              <w:t xml:space="preserve"> </w:t>
            </w:r>
            <w:r w:rsidRPr="00A26C26">
              <w:rPr>
                <w:rFonts w:eastAsia="Calibri" w:cstheme="minorHAnsi"/>
                <w:lang w:eastAsia="pl-PL"/>
              </w:rPr>
              <w:t>Regionalnego</w:t>
            </w:r>
            <w:r w:rsidR="003B50ED">
              <w:rPr>
                <w:rFonts w:eastAsia="Calibri" w:cstheme="minorHAnsi"/>
                <w:lang w:eastAsia="pl-PL"/>
              </w:rPr>
              <w:t xml:space="preserve"> </w:t>
            </w:r>
            <w:r w:rsidRPr="00A26C26">
              <w:rPr>
                <w:rFonts w:eastAsia="Calibri" w:cstheme="minorHAnsi"/>
                <w:lang w:eastAsia="pl-PL"/>
              </w:rPr>
              <w:t>2030</w:t>
            </w:r>
          </w:p>
        </w:tc>
      </w:tr>
      <w:tr w:rsidR="00857736" w:rsidRPr="00A26C26" w14:paraId="121A16DF" w14:textId="77777777" w:rsidTr="00233140">
        <w:trPr>
          <w:trHeight w:val="249"/>
        </w:trPr>
        <w:tc>
          <w:tcPr>
            <w:tcW w:w="10201" w:type="dxa"/>
            <w:gridSpan w:val="2"/>
            <w:hideMark/>
          </w:tcPr>
          <w:p w14:paraId="0FA15720" w14:textId="25643C39" w:rsidR="00857736" w:rsidRPr="00A26C26" w:rsidRDefault="00857736" w:rsidP="00A26C26">
            <w:pPr>
              <w:spacing w:line="276" w:lineRule="auto"/>
              <w:jc w:val="both"/>
              <w:rPr>
                <w:rFonts w:eastAsia="Calibri" w:cstheme="minorHAnsi"/>
                <w:lang w:eastAsia="pl-PL"/>
              </w:rPr>
            </w:pPr>
            <w:r w:rsidRPr="00A26C26">
              <w:rPr>
                <w:rFonts w:eastAsia="Calibri" w:cstheme="minorHAnsi"/>
                <w:lang w:eastAsia="pl-PL"/>
              </w:rPr>
              <w:t>Cel</w:t>
            </w:r>
            <w:r w:rsidR="003B50ED">
              <w:rPr>
                <w:rFonts w:eastAsia="Calibri" w:cstheme="minorHAnsi"/>
                <w:lang w:eastAsia="pl-PL"/>
              </w:rPr>
              <w:t xml:space="preserve"> </w:t>
            </w:r>
            <w:r w:rsidRPr="00A26C26">
              <w:rPr>
                <w:rFonts w:eastAsia="Calibri" w:cstheme="minorHAnsi"/>
                <w:lang w:eastAsia="pl-PL"/>
              </w:rPr>
              <w:t>2.</w:t>
            </w:r>
            <w:r w:rsidR="003B50ED">
              <w:rPr>
                <w:rFonts w:eastAsia="Calibri" w:cstheme="minorHAnsi"/>
                <w:lang w:eastAsia="pl-PL"/>
              </w:rPr>
              <w:t xml:space="preserve"> </w:t>
            </w:r>
            <w:r w:rsidRPr="00A26C26">
              <w:rPr>
                <w:rFonts w:eastAsia="Calibri" w:cstheme="minorHAnsi"/>
                <w:lang w:eastAsia="pl-PL"/>
              </w:rPr>
              <w:t>Wzmacnianie</w:t>
            </w:r>
            <w:r w:rsidR="003B50ED">
              <w:rPr>
                <w:rFonts w:eastAsia="Calibri" w:cstheme="minorHAnsi"/>
                <w:lang w:eastAsia="pl-PL"/>
              </w:rPr>
              <w:t xml:space="preserve"> </w:t>
            </w:r>
            <w:r w:rsidRPr="00A26C26">
              <w:rPr>
                <w:rFonts w:eastAsia="Calibri" w:cstheme="minorHAnsi"/>
                <w:lang w:eastAsia="pl-PL"/>
              </w:rPr>
              <w:t>regionalnych</w:t>
            </w:r>
            <w:r w:rsidR="003B50ED">
              <w:rPr>
                <w:rFonts w:eastAsia="Calibri" w:cstheme="minorHAnsi"/>
                <w:lang w:eastAsia="pl-PL"/>
              </w:rPr>
              <w:t xml:space="preserve"> </w:t>
            </w:r>
            <w:r w:rsidRPr="00A26C26">
              <w:rPr>
                <w:rFonts w:eastAsia="Calibri" w:cstheme="minorHAnsi"/>
                <w:lang w:eastAsia="pl-PL"/>
              </w:rPr>
              <w:t>przewag</w:t>
            </w:r>
            <w:r w:rsidR="003B50ED">
              <w:rPr>
                <w:rFonts w:eastAsia="Calibri" w:cstheme="minorHAnsi"/>
                <w:lang w:eastAsia="pl-PL"/>
              </w:rPr>
              <w:t xml:space="preserve"> </w:t>
            </w:r>
            <w:r w:rsidRPr="00A26C26">
              <w:rPr>
                <w:rFonts w:eastAsia="Calibri" w:cstheme="minorHAnsi"/>
                <w:lang w:eastAsia="pl-PL"/>
              </w:rPr>
              <w:t>konkurencyjnych</w:t>
            </w:r>
            <w:r w:rsidR="003B50ED">
              <w:rPr>
                <w:rFonts w:eastAsia="Calibri" w:cstheme="minorHAnsi"/>
                <w:lang w:eastAsia="pl-PL"/>
              </w:rPr>
              <w:t xml:space="preserve"> </w:t>
            </w:r>
          </w:p>
          <w:p w14:paraId="3B981FDF" w14:textId="525FC909" w:rsidR="00857736" w:rsidRPr="00A26C26" w:rsidRDefault="00857736" w:rsidP="00A26C26">
            <w:pPr>
              <w:spacing w:line="276" w:lineRule="auto"/>
              <w:jc w:val="both"/>
              <w:rPr>
                <w:rFonts w:eastAsia="Calibri" w:cstheme="minorHAnsi"/>
                <w:lang w:eastAsia="pl-PL"/>
              </w:rPr>
            </w:pPr>
            <w:r w:rsidRPr="00A26C26">
              <w:rPr>
                <w:rFonts w:eastAsia="Calibri" w:cstheme="minorHAnsi"/>
                <w:lang w:eastAsia="pl-PL"/>
              </w:rPr>
              <w:t>CS</w:t>
            </w:r>
            <w:r w:rsidR="003B50ED">
              <w:rPr>
                <w:rFonts w:eastAsia="Calibri" w:cstheme="minorHAnsi"/>
                <w:lang w:eastAsia="pl-PL"/>
              </w:rPr>
              <w:t xml:space="preserve"> </w:t>
            </w:r>
            <w:r w:rsidRPr="00A26C26">
              <w:rPr>
                <w:rFonts w:eastAsia="Calibri" w:cstheme="minorHAnsi"/>
                <w:lang w:eastAsia="pl-PL"/>
              </w:rPr>
              <w:t>2.1.Rozwój</w:t>
            </w:r>
            <w:r w:rsidR="003B50ED">
              <w:rPr>
                <w:rFonts w:eastAsia="Calibri" w:cstheme="minorHAnsi"/>
                <w:lang w:eastAsia="pl-PL"/>
              </w:rPr>
              <w:t xml:space="preserve"> </w:t>
            </w:r>
            <w:r w:rsidRPr="00A26C26">
              <w:rPr>
                <w:rFonts w:eastAsia="Calibri" w:cstheme="minorHAnsi"/>
                <w:lang w:eastAsia="pl-PL"/>
              </w:rPr>
              <w:t>kapitału</w:t>
            </w:r>
            <w:r w:rsidR="003B50ED">
              <w:rPr>
                <w:rFonts w:eastAsia="Calibri" w:cstheme="minorHAnsi"/>
                <w:lang w:eastAsia="pl-PL"/>
              </w:rPr>
              <w:t xml:space="preserve"> </w:t>
            </w:r>
            <w:r w:rsidRPr="00A26C26">
              <w:rPr>
                <w:rFonts w:eastAsia="Calibri" w:cstheme="minorHAnsi"/>
                <w:lang w:eastAsia="pl-PL"/>
              </w:rPr>
              <w:t>ludzkiego</w:t>
            </w:r>
            <w:r w:rsidR="003B50ED">
              <w:rPr>
                <w:rFonts w:eastAsia="Calibri" w:cstheme="minorHAnsi"/>
                <w:lang w:eastAsia="pl-PL"/>
              </w:rPr>
              <w:t xml:space="preserve"> </w:t>
            </w:r>
            <w:r w:rsidRPr="00A26C26">
              <w:rPr>
                <w:rFonts w:eastAsia="Calibri" w:cstheme="minorHAnsi"/>
                <w:lang w:eastAsia="pl-PL"/>
              </w:rPr>
              <w:t>i</w:t>
            </w:r>
            <w:r w:rsidR="003B50ED">
              <w:rPr>
                <w:rFonts w:eastAsia="Calibri" w:cstheme="minorHAnsi"/>
                <w:lang w:eastAsia="pl-PL"/>
              </w:rPr>
              <w:t xml:space="preserve"> </w:t>
            </w:r>
            <w:r w:rsidRPr="00A26C26">
              <w:rPr>
                <w:rFonts w:eastAsia="Calibri" w:cstheme="minorHAnsi"/>
                <w:lang w:eastAsia="pl-PL"/>
              </w:rPr>
              <w:t>społecznego</w:t>
            </w:r>
          </w:p>
          <w:p w14:paraId="560B7F28" w14:textId="46B95E25" w:rsidR="00857736" w:rsidRPr="00A26C26" w:rsidRDefault="00857736" w:rsidP="00A26C26">
            <w:pPr>
              <w:spacing w:line="276" w:lineRule="auto"/>
              <w:jc w:val="both"/>
              <w:rPr>
                <w:rFonts w:eastAsia="Calibri" w:cstheme="minorHAnsi"/>
                <w:lang w:eastAsia="pl-PL"/>
              </w:rPr>
            </w:pPr>
            <w:r w:rsidRPr="00A26C26">
              <w:rPr>
                <w:rFonts w:eastAsia="Calibri" w:cstheme="minorHAnsi"/>
                <w:lang w:eastAsia="pl-PL"/>
              </w:rPr>
              <w:t>CS</w:t>
            </w:r>
            <w:r w:rsidR="003B50ED">
              <w:rPr>
                <w:rFonts w:eastAsia="Calibri" w:cstheme="minorHAnsi"/>
                <w:lang w:eastAsia="pl-PL"/>
              </w:rPr>
              <w:t xml:space="preserve"> </w:t>
            </w:r>
            <w:r w:rsidRPr="00A26C26">
              <w:rPr>
                <w:rFonts w:eastAsia="Calibri" w:cstheme="minorHAnsi"/>
                <w:lang w:eastAsia="pl-PL"/>
              </w:rPr>
              <w:t>2.2.Wspieranie</w:t>
            </w:r>
            <w:r w:rsidR="003B50ED">
              <w:rPr>
                <w:rFonts w:eastAsia="Calibri" w:cstheme="minorHAnsi"/>
                <w:lang w:eastAsia="pl-PL"/>
              </w:rPr>
              <w:t xml:space="preserve"> </w:t>
            </w:r>
            <w:r w:rsidRPr="00A26C26">
              <w:rPr>
                <w:rFonts w:eastAsia="Calibri" w:cstheme="minorHAnsi"/>
                <w:lang w:eastAsia="pl-PL"/>
              </w:rPr>
              <w:t>przedsiębiorczości</w:t>
            </w:r>
            <w:r w:rsidR="003B50ED">
              <w:rPr>
                <w:rFonts w:eastAsia="Calibri" w:cstheme="minorHAnsi"/>
                <w:lang w:eastAsia="pl-PL"/>
              </w:rPr>
              <w:t xml:space="preserve"> </w:t>
            </w:r>
            <w:r w:rsidRPr="00A26C26">
              <w:rPr>
                <w:rFonts w:eastAsia="Calibri" w:cstheme="minorHAnsi"/>
                <w:lang w:eastAsia="pl-PL"/>
              </w:rPr>
              <w:t>na</w:t>
            </w:r>
            <w:r w:rsidR="003B50ED">
              <w:rPr>
                <w:rFonts w:eastAsia="Calibri" w:cstheme="minorHAnsi"/>
                <w:lang w:eastAsia="pl-PL"/>
              </w:rPr>
              <w:t xml:space="preserve"> </w:t>
            </w:r>
            <w:r w:rsidRPr="00A26C26">
              <w:rPr>
                <w:rFonts w:eastAsia="Calibri" w:cstheme="minorHAnsi"/>
                <w:lang w:eastAsia="pl-PL"/>
              </w:rPr>
              <w:t>szczeblu</w:t>
            </w:r>
            <w:r w:rsidR="003B50ED">
              <w:rPr>
                <w:rFonts w:eastAsia="Calibri" w:cstheme="minorHAnsi"/>
                <w:lang w:eastAsia="pl-PL"/>
              </w:rPr>
              <w:t xml:space="preserve"> </w:t>
            </w:r>
            <w:r w:rsidRPr="00A26C26">
              <w:rPr>
                <w:rFonts w:eastAsia="Calibri" w:cstheme="minorHAnsi"/>
                <w:lang w:eastAsia="pl-PL"/>
              </w:rPr>
              <w:t>regionalnym</w:t>
            </w:r>
            <w:r w:rsidR="003B50ED">
              <w:rPr>
                <w:rFonts w:eastAsia="Calibri" w:cstheme="minorHAnsi"/>
                <w:lang w:eastAsia="pl-PL"/>
              </w:rPr>
              <w:t xml:space="preserve"> </w:t>
            </w:r>
            <w:r w:rsidRPr="00A26C26">
              <w:rPr>
                <w:rFonts w:eastAsia="Calibri" w:cstheme="minorHAnsi"/>
                <w:lang w:eastAsia="pl-PL"/>
              </w:rPr>
              <w:t>i</w:t>
            </w:r>
            <w:r w:rsidR="003B50ED">
              <w:rPr>
                <w:rFonts w:eastAsia="Calibri" w:cstheme="minorHAnsi"/>
                <w:lang w:eastAsia="pl-PL"/>
              </w:rPr>
              <w:t xml:space="preserve"> </w:t>
            </w:r>
            <w:r w:rsidRPr="00A26C26">
              <w:rPr>
                <w:rFonts w:eastAsia="Calibri" w:cstheme="minorHAnsi"/>
                <w:lang w:eastAsia="pl-PL"/>
              </w:rPr>
              <w:t>lokalnym</w:t>
            </w:r>
          </w:p>
        </w:tc>
      </w:tr>
      <w:tr w:rsidR="00857736" w:rsidRPr="00A26C26" w14:paraId="5FA280AD" w14:textId="77777777" w:rsidTr="00233140">
        <w:trPr>
          <w:trHeight w:val="249"/>
        </w:trPr>
        <w:tc>
          <w:tcPr>
            <w:tcW w:w="10201" w:type="dxa"/>
            <w:gridSpan w:val="2"/>
            <w:hideMark/>
          </w:tcPr>
          <w:p w14:paraId="0DEC2DB9" w14:textId="7EDD1A6C" w:rsidR="00857736" w:rsidRPr="00A26C26" w:rsidRDefault="00857736" w:rsidP="00A26C26">
            <w:pPr>
              <w:spacing w:line="276" w:lineRule="auto"/>
              <w:jc w:val="both"/>
              <w:rPr>
                <w:rFonts w:eastAsia="Calibri" w:cstheme="minorHAnsi"/>
                <w:lang w:eastAsia="pl-PL"/>
              </w:rPr>
            </w:pPr>
            <w:r w:rsidRPr="00A26C26">
              <w:rPr>
                <w:rFonts w:eastAsia="Calibri" w:cstheme="minorHAnsi"/>
                <w:lang w:eastAsia="pl-PL"/>
              </w:rPr>
              <w:t>Przedsięwzięcia</w:t>
            </w:r>
            <w:r w:rsidR="003B50ED">
              <w:rPr>
                <w:rFonts w:eastAsia="Calibri" w:cstheme="minorHAnsi"/>
                <w:lang w:eastAsia="pl-PL"/>
              </w:rPr>
              <w:t xml:space="preserve"> </w:t>
            </w:r>
            <w:r w:rsidRPr="00A26C26">
              <w:rPr>
                <w:rFonts w:eastAsia="Calibri" w:cstheme="minorHAnsi"/>
                <w:lang w:eastAsia="pl-PL"/>
              </w:rPr>
              <w:t>LSR</w:t>
            </w:r>
            <w:r w:rsidR="003B50ED">
              <w:rPr>
                <w:rFonts w:eastAsia="Calibri" w:cstheme="minorHAnsi"/>
                <w:lang w:eastAsia="pl-PL"/>
              </w:rPr>
              <w:t xml:space="preserve"> </w:t>
            </w:r>
            <w:r w:rsidRPr="00A26C26">
              <w:rPr>
                <w:rFonts w:eastAsia="Calibri" w:cstheme="minorHAnsi"/>
                <w:lang w:eastAsia="pl-PL"/>
              </w:rPr>
              <w:t>są</w:t>
            </w:r>
            <w:r w:rsidR="003B50ED">
              <w:rPr>
                <w:rFonts w:eastAsia="Calibri" w:cstheme="minorHAnsi"/>
                <w:lang w:eastAsia="pl-PL"/>
              </w:rPr>
              <w:t xml:space="preserve"> </w:t>
            </w:r>
            <w:r w:rsidRPr="00A26C26">
              <w:rPr>
                <w:rFonts w:eastAsia="Calibri" w:cstheme="minorHAnsi"/>
                <w:lang w:eastAsia="pl-PL"/>
              </w:rPr>
              <w:t>względem</w:t>
            </w:r>
            <w:r w:rsidR="003B50ED">
              <w:rPr>
                <w:rFonts w:eastAsia="Calibri" w:cstheme="minorHAnsi"/>
                <w:lang w:eastAsia="pl-PL"/>
              </w:rPr>
              <w:t xml:space="preserve"> </w:t>
            </w:r>
            <w:r w:rsidRPr="00A26C26">
              <w:rPr>
                <w:rFonts w:eastAsia="Calibri" w:cstheme="minorHAnsi"/>
                <w:lang w:eastAsia="pl-PL"/>
              </w:rPr>
              <w:t>celów</w:t>
            </w:r>
            <w:r w:rsidR="003B50ED">
              <w:rPr>
                <w:rFonts w:eastAsia="Calibri" w:cstheme="minorHAnsi"/>
                <w:lang w:eastAsia="pl-PL"/>
              </w:rPr>
              <w:t xml:space="preserve"> </w:t>
            </w:r>
            <w:r w:rsidRPr="00A26C26">
              <w:rPr>
                <w:rFonts w:eastAsia="Calibri" w:cstheme="minorHAnsi"/>
                <w:lang w:eastAsia="pl-PL"/>
              </w:rPr>
              <w:t>Strategii</w:t>
            </w:r>
            <w:r w:rsidR="003B50ED">
              <w:rPr>
                <w:rFonts w:eastAsia="Calibri" w:cstheme="minorHAnsi"/>
                <w:lang w:eastAsia="pl-PL"/>
              </w:rPr>
              <w:t xml:space="preserve"> </w:t>
            </w:r>
            <w:r w:rsidRPr="00A26C26">
              <w:rPr>
                <w:rFonts w:eastAsia="Calibri" w:cstheme="minorHAnsi"/>
                <w:lang w:eastAsia="pl-PL"/>
              </w:rPr>
              <w:t>komplementarne,</w:t>
            </w:r>
            <w:r w:rsidR="003B50ED">
              <w:rPr>
                <w:rFonts w:eastAsia="Calibri" w:cstheme="minorHAnsi"/>
                <w:lang w:eastAsia="pl-PL"/>
              </w:rPr>
              <w:t xml:space="preserve"> </w:t>
            </w:r>
            <w:r w:rsidRPr="00A26C26">
              <w:rPr>
                <w:rFonts w:eastAsia="Calibri" w:cstheme="minorHAnsi"/>
                <w:lang w:eastAsia="pl-PL"/>
              </w:rPr>
              <w:t>spójne</w:t>
            </w:r>
            <w:r w:rsidR="003B50ED">
              <w:rPr>
                <w:rFonts w:eastAsia="Calibri" w:cstheme="minorHAnsi"/>
                <w:lang w:eastAsia="pl-PL"/>
              </w:rPr>
              <w:t xml:space="preserve"> </w:t>
            </w:r>
            <w:r w:rsidRPr="00A26C26">
              <w:rPr>
                <w:rFonts w:eastAsia="Calibri" w:cstheme="minorHAnsi"/>
                <w:lang w:eastAsia="pl-PL"/>
              </w:rPr>
              <w:t>i</w:t>
            </w:r>
            <w:r w:rsidR="003B50ED">
              <w:rPr>
                <w:rFonts w:eastAsia="Calibri" w:cstheme="minorHAnsi"/>
                <w:lang w:eastAsia="pl-PL"/>
              </w:rPr>
              <w:t xml:space="preserve"> </w:t>
            </w:r>
            <w:r w:rsidRPr="00A26C26">
              <w:rPr>
                <w:rFonts w:eastAsia="Calibri" w:cstheme="minorHAnsi"/>
                <w:lang w:eastAsia="pl-PL"/>
              </w:rPr>
              <w:t>synergiczne.</w:t>
            </w:r>
            <w:r w:rsidR="003B50ED">
              <w:rPr>
                <w:rFonts w:eastAsia="Calibri" w:cstheme="minorHAnsi"/>
                <w:lang w:eastAsia="pl-PL"/>
              </w:rPr>
              <w:t xml:space="preserve"> </w:t>
            </w:r>
          </w:p>
          <w:p w14:paraId="38A2DB56" w14:textId="2E67DF2D" w:rsidR="00857736" w:rsidRPr="00A26C26" w:rsidRDefault="00857736" w:rsidP="00A26C26">
            <w:pPr>
              <w:spacing w:line="276" w:lineRule="auto"/>
              <w:jc w:val="both"/>
              <w:rPr>
                <w:rFonts w:eastAsia="Calibri" w:cstheme="minorHAnsi"/>
              </w:rPr>
            </w:pPr>
            <w:r w:rsidRPr="00A26C26">
              <w:rPr>
                <w:rFonts w:eastAsia="Calibri" w:cstheme="minorHAnsi"/>
                <w:lang w:eastAsia="pl-PL"/>
              </w:rPr>
              <w:t>W</w:t>
            </w:r>
            <w:r w:rsidR="003B50ED">
              <w:rPr>
                <w:rFonts w:eastAsia="Calibri" w:cstheme="minorHAnsi"/>
                <w:lang w:eastAsia="pl-PL"/>
              </w:rPr>
              <w:t xml:space="preserve"> </w:t>
            </w:r>
            <w:r w:rsidRPr="00A26C26">
              <w:rPr>
                <w:rFonts w:eastAsia="Calibri" w:cstheme="minorHAnsi"/>
                <w:lang w:eastAsia="pl-PL"/>
              </w:rPr>
              <w:t>ramach</w:t>
            </w:r>
            <w:r w:rsidR="003B50ED">
              <w:rPr>
                <w:rFonts w:eastAsia="Calibri" w:cstheme="minorHAnsi"/>
                <w:lang w:eastAsia="pl-PL"/>
              </w:rPr>
              <w:t xml:space="preserve"> </w:t>
            </w:r>
            <w:r w:rsidRPr="00A26C26">
              <w:rPr>
                <w:rFonts w:eastAsia="Calibri" w:cstheme="minorHAnsi"/>
                <w:lang w:eastAsia="pl-PL"/>
              </w:rPr>
              <w:t>LSR</w:t>
            </w:r>
            <w:r w:rsidR="003B50ED">
              <w:rPr>
                <w:rFonts w:eastAsia="Calibri" w:cstheme="minorHAnsi"/>
                <w:lang w:eastAsia="pl-PL"/>
              </w:rPr>
              <w:t xml:space="preserve"> </w:t>
            </w:r>
            <w:r w:rsidRPr="00A26C26">
              <w:rPr>
                <w:rFonts w:eastAsia="Calibri" w:cstheme="minorHAnsi"/>
                <w:lang w:eastAsia="pl-PL"/>
              </w:rPr>
              <w:t>zaplanowano</w:t>
            </w:r>
            <w:r w:rsidR="003B50ED">
              <w:rPr>
                <w:rFonts w:eastAsia="Calibri" w:cstheme="minorHAnsi"/>
                <w:lang w:eastAsia="pl-PL"/>
              </w:rPr>
              <w:t xml:space="preserve"> </w:t>
            </w:r>
            <w:r w:rsidRPr="00A26C26">
              <w:rPr>
                <w:rFonts w:eastAsia="Calibri" w:cstheme="minorHAnsi"/>
                <w:lang w:eastAsia="pl-PL"/>
              </w:rPr>
              <w:t>przedsięwzięcia,</w:t>
            </w:r>
            <w:r w:rsidR="003B50ED">
              <w:rPr>
                <w:rFonts w:eastAsia="Calibri" w:cstheme="minorHAnsi"/>
                <w:lang w:eastAsia="pl-PL"/>
              </w:rPr>
              <w:t xml:space="preserve"> </w:t>
            </w:r>
            <w:r w:rsidRPr="00A26C26">
              <w:rPr>
                <w:rFonts w:eastAsia="Calibri" w:cstheme="minorHAnsi"/>
                <w:lang w:eastAsia="pl-PL"/>
              </w:rPr>
              <w:t>które</w:t>
            </w:r>
            <w:r w:rsidR="003B50ED">
              <w:rPr>
                <w:rFonts w:eastAsia="Calibri" w:cstheme="minorHAnsi"/>
                <w:lang w:eastAsia="pl-PL"/>
              </w:rPr>
              <w:t xml:space="preserve"> </w:t>
            </w:r>
            <w:r w:rsidRPr="00A26C26">
              <w:rPr>
                <w:rFonts w:eastAsia="Calibri" w:cstheme="minorHAnsi"/>
                <w:lang w:eastAsia="pl-PL"/>
              </w:rPr>
              <w:t>pozytywnie</w:t>
            </w:r>
            <w:r w:rsidR="003B50ED">
              <w:rPr>
                <w:rFonts w:eastAsia="Calibri" w:cstheme="minorHAnsi"/>
                <w:lang w:eastAsia="pl-PL"/>
              </w:rPr>
              <w:t xml:space="preserve"> </w:t>
            </w:r>
            <w:r w:rsidRPr="00A26C26">
              <w:rPr>
                <w:rFonts w:eastAsia="Calibri" w:cstheme="minorHAnsi"/>
                <w:lang w:eastAsia="pl-PL"/>
              </w:rPr>
              <w:t>wpłyną</w:t>
            </w:r>
            <w:r w:rsidR="003B50ED">
              <w:rPr>
                <w:rFonts w:eastAsia="Calibri" w:cstheme="minorHAnsi"/>
                <w:lang w:eastAsia="pl-PL"/>
              </w:rPr>
              <w:t xml:space="preserve"> </w:t>
            </w:r>
            <w:r w:rsidRPr="00A26C26">
              <w:rPr>
                <w:rFonts w:eastAsia="Calibri" w:cstheme="minorHAnsi"/>
                <w:lang w:eastAsia="pl-PL"/>
              </w:rPr>
              <w:t>na</w:t>
            </w:r>
            <w:r w:rsidR="003B50ED">
              <w:rPr>
                <w:rFonts w:eastAsia="Calibri" w:cstheme="minorHAnsi"/>
                <w:lang w:eastAsia="pl-PL"/>
              </w:rPr>
              <w:t xml:space="preserve"> </w:t>
            </w:r>
            <w:r w:rsidRPr="00A26C26">
              <w:rPr>
                <w:rFonts w:eastAsia="Calibri" w:cstheme="minorHAnsi"/>
                <w:lang w:eastAsia="pl-PL"/>
              </w:rPr>
              <w:t>rozwój</w:t>
            </w:r>
            <w:r w:rsidR="003B50ED">
              <w:rPr>
                <w:rFonts w:eastAsia="Calibri" w:cstheme="minorHAnsi"/>
                <w:lang w:eastAsia="pl-PL"/>
              </w:rPr>
              <w:t xml:space="preserve"> </w:t>
            </w:r>
            <w:r w:rsidRPr="00A26C26">
              <w:rPr>
                <w:rFonts w:eastAsia="Calibri" w:cstheme="minorHAnsi"/>
                <w:lang w:eastAsia="pl-PL"/>
              </w:rPr>
              <w:t>i</w:t>
            </w:r>
            <w:r w:rsidR="003B50ED">
              <w:rPr>
                <w:rFonts w:eastAsia="Calibri" w:cstheme="minorHAnsi"/>
                <w:lang w:eastAsia="pl-PL"/>
              </w:rPr>
              <w:t xml:space="preserve"> </w:t>
            </w:r>
            <w:r w:rsidRPr="00A26C26">
              <w:rPr>
                <w:rFonts w:eastAsia="Calibri" w:cstheme="minorHAnsi"/>
                <w:lang w:eastAsia="pl-PL"/>
              </w:rPr>
              <w:t>wzmocnienie</w:t>
            </w:r>
            <w:r w:rsidR="003B50ED">
              <w:rPr>
                <w:rFonts w:eastAsia="Calibri" w:cstheme="minorHAnsi"/>
                <w:lang w:eastAsia="pl-PL"/>
              </w:rPr>
              <w:t xml:space="preserve"> </w:t>
            </w:r>
            <w:r w:rsidRPr="00A26C26">
              <w:rPr>
                <w:rFonts w:eastAsia="Calibri" w:cstheme="minorHAnsi"/>
                <w:lang w:eastAsia="pl-PL"/>
              </w:rPr>
              <w:t>szeroko</w:t>
            </w:r>
            <w:r w:rsidR="003B50ED">
              <w:rPr>
                <w:rFonts w:eastAsia="Calibri" w:cstheme="minorHAnsi"/>
                <w:lang w:eastAsia="pl-PL"/>
              </w:rPr>
              <w:t xml:space="preserve"> </w:t>
            </w:r>
            <w:r w:rsidRPr="00A26C26">
              <w:rPr>
                <w:rFonts w:eastAsia="Calibri" w:cstheme="minorHAnsi"/>
                <w:lang w:eastAsia="pl-PL"/>
              </w:rPr>
              <w:t>pojętego</w:t>
            </w:r>
            <w:r w:rsidR="003B50ED">
              <w:rPr>
                <w:rFonts w:eastAsia="Calibri" w:cstheme="minorHAnsi"/>
                <w:lang w:eastAsia="pl-PL"/>
              </w:rPr>
              <w:t xml:space="preserve"> </w:t>
            </w:r>
            <w:r w:rsidRPr="00A26C26">
              <w:rPr>
                <w:rFonts w:eastAsia="Calibri" w:cstheme="minorHAnsi"/>
                <w:lang w:eastAsia="pl-PL"/>
              </w:rPr>
              <w:t>kapitału</w:t>
            </w:r>
            <w:r w:rsidR="003B50ED">
              <w:rPr>
                <w:rFonts w:eastAsia="Calibri" w:cstheme="minorHAnsi"/>
                <w:lang w:eastAsia="pl-PL"/>
              </w:rPr>
              <w:t xml:space="preserve"> </w:t>
            </w:r>
            <w:r w:rsidRPr="00A26C26">
              <w:rPr>
                <w:rFonts w:eastAsia="Calibri" w:cstheme="minorHAnsi"/>
                <w:lang w:eastAsia="pl-PL"/>
              </w:rPr>
              <w:t>ludzkiego</w:t>
            </w:r>
            <w:r w:rsidR="003B50ED">
              <w:rPr>
                <w:rFonts w:eastAsia="Calibri" w:cstheme="minorHAnsi"/>
                <w:lang w:eastAsia="pl-PL"/>
              </w:rPr>
              <w:t xml:space="preserve"> </w:t>
            </w:r>
            <w:r w:rsidRPr="00A26C26">
              <w:rPr>
                <w:rFonts w:eastAsia="Calibri" w:cstheme="minorHAnsi"/>
                <w:lang w:eastAsia="pl-PL"/>
              </w:rPr>
              <w:t>i</w:t>
            </w:r>
            <w:r w:rsidR="003B50ED">
              <w:rPr>
                <w:rFonts w:eastAsia="Calibri" w:cstheme="minorHAnsi"/>
                <w:lang w:eastAsia="pl-PL"/>
              </w:rPr>
              <w:t xml:space="preserve"> </w:t>
            </w:r>
            <w:r w:rsidRPr="00A26C26">
              <w:rPr>
                <w:rFonts w:eastAsia="Calibri" w:cstheme="minorHAnsi"/>
                <w:lang w:eastAsia="pl-PL"/>
              </w:rPr>
              <w:t>społecznego</w:t>
            </w:r>
            <w:r w:rsidR="003B50ED">
              <w:rPr>
                <w:rFonts w:eastAsia="Calibri" w:cstheme="minorHAnsi"/>
                <w:lang w:eastAsia="pl-PL"/>
              </w:rPr>
              <w:t xml:space="preserve"> </w:t>
            </w:r>
            <w:r w:rsidRPr="00A26C26">
              <w:rPr>
                <w:rFonts w:eastAsia="Calibri" w:cstheme="minorHAnsi"/>
                <w:lang w:eastAsia="pl-PL"/>
              </w:rPr>
              <w:t>w</w:t>
            </w:r>
            <w:r w:rsidR="003B50ED">
              <w:rPr>
                <w:rFonts w:eastAsia="Calibri" w:cstheme="minorHAnsi"/>
                <w:lang w:eastAsia="pl-PL"/>
              </w:rPr>
              <w:t xml:space="preserve"> </w:t>
            </w:r>
            <w:r w:rsidRPr="00A26C26">
              <w:rPr>
                <w:rFonts w:eastAsia="Calibri" w:cstheme="minorHAnsi"/>
                <w:lang w:eastAsia="pl-PL"/>
              </w:rPr>
              <w:t>ramach</w:t>
            </w:r>
            <w:r w:rsidR="003B50ED">
              <w:rPr>
                <w:rFonts w:eastAsia="Calibri" w:cstheme="minorHAnsi"/>
                <w:lang w:eastAsia="pl-PL"/>
              </w:rPr>
              <w:t xml:space="preserve"> </w:t>
            </w:r>
            <w:r w:rsidRPr="00A26C26">
              <w:rPr>
                <w:rFonts w:eastAsia="Calibri" w:cstheme="minorHAnsi"/>
                <w:lang w:eastAsia="pl-PL"/>
              </w:rPr>
              <w:t>przedsięwzięć</w:t>
            </w:r>
            <w:r w:rsidR="003B50ED">
              <w:rPr>
                <w:rFonts w:eastAsia="Calibri" w:cstheme="minorHAnsi"/>
                <w:lang w:eastAsia="pl-PL"/>
              </w:rPr>
              <w:t xml:space="preserve"> </w:t>
            </w:r>
            <w:r w:rsidRPr="00A26C26">
              <w:rPr>
                <w:rFonts w:eastAsia="Calibri" w:cstheme="minorHAnsi"/>
                <w:lang w:eastAsia="pl-PL"/>
              </w:rPr>
              <w:t>m.in.</w:t>
            </w:r>
            <w:r w:rsidR="003B50ED">
              <w:rPr>
                <w:rFonts w:eastAsia="Calibri" w:cstheme="minorHAnsi"/>
                <w:lang w:eastAsia="pl-PL"/>
              </w:rPr>
              <w:t xml:space="preserve"> </w:t>
            </w:r>
            <w:r w:rsidRPr="00A26C26">
              <w:rPr>
                <w:rFonts w:eastAsia="Calibri" w:cstheme="minorHAnsi"/>
              </w:rPr>
              <w:t>poprawa</w:t>
            </w:r>
            <w:r w:rsidR="003B50ED">
              <w:rPr>
                <w:rFonts w:eastAsia="Calibri" w:cstheme="minorHAnsi"/>
              </w:rPr>
              <w:t xml:space="preserve"> </w:t>
            </w:r>
            <w:r w:rsidRPr="00A26C26">
              <w:rPr>
                <w:rFonts w:eastAsia="Calibri" w:cstheme="minorHAnsi"/>
              </w:rPr>
              <w:t>dostępu</w:t>
            </w:r>
            <w:r w:rsidR="003B50ED">
              <w:rPr>
                <w:rFonts w:eastAsia="Calibri" w:cstheme="minorHAnsi"/>
              </w:rPr>
              <w:t xml:space="preserve"> </w:t>
            </w:r>
            <w:r w:rsidRPr="00A26C26">
              <w:rPr>
                <w:rFonts w:eastAsia="Calibri" w:cstheme="minorHAnsi"/>
              </w:rPr>
              <w:t>do</w:t>
            </w:r>
            <w:r w:rsidR="003B50ED">
              <w:rPr>
                <w:rFonts w:eastAsia="Calibri" w:cstheme="minorHAnsi"/>
              </w:rPr>
              <w:t xml:space="preserve"> </w:t>
            </w:r>
            <w:r w:rsidRPr="00A26C26">
              <w:rPr>
                <w:rFonts w:eastAsia="Calibri" w:cstheme="minorHAnsi"/>
              </w:rPr>
              <w:t>małej</w:t>
            </w:r>
            <w:r w:rsidR="003B50ED">
              <w:rPr>
                <w:rFonts w:eastAsia="Calibri" w:cstheme="minorHAnsi"/>
              </w:rPr>
              <w:t xml:space="preserve"> </w:t>
            </w:r>
            <w:r w:rsidRPr="00A26C26">
              <w:rPr>
                <w:rFonts w:eastAsia="Calibri" w:cstheme="minorHAnsi"/>
              </w:rPr>
              <w:t>infrastruktury</w:t>
            </w:r>
            <w:r w:rsidR="003B50ED">
              <w:rPr>
                <w:rFonts w:eastAsia="Calibri" w:cstheme="minorHAnsi"/>
              </w:rPr>
              <w:t xml:space="preserve"> </w:t>
            </w:r>
            <w:r w:rsidRPr="00A26C26">
              <w:rPr>
                <w:rFonts w:eastAsia="Calibri" w:cstheme="minorHAnsi"/>
              </w:rPr>
              <w:t>publicznej</w:t>
            </w:r>
            <w:r w:rsidR="003B50ED">
              <w:rPr>
                <w:rFonts w:eastAsia="Calibri" w:cstheme="minorHAnsi"/>
              </w:rPr>
              <w:t xml:space="preserve"> </w:t>
            </w:r>
            <w:r w:rsidRPr="00A26C26">
              <w:rPr>
                <w:rFonts w:eastAsia="Calibri" w:cstheme="minorHAnsi"/>
              </w:rPr>
              <w:t>(P.1.2.),</w:t>
            </w:r>
            <w:r w:rsidR="003B50ED">
              <w:rPr>
                <w:rFonts w:eastAsia="Calibri" w:cstheme="minorHAnsi"/>
              </w:rPr>
              <w:t xml:space="preserve"> </w:t>
            </w:r>
            <w:r w:rsidRPr="00A26C26">
              <w:rPr>
                <w:rFonts w:eastAsia="Calibri" w:cstheme="minorHAnsi"/>
              </w:rPr>
              <w:t>wspieranie</w:t>
            </w:r>
            <w:r w:rsidR="003B50ED">
              <w:rPr>
                <w:rFonts w:eastAsia="Calibri" w:cstheme="minorHAnsi"/>
              </w:rPr>
              <w:t xml:space="preserve"> </w:t>
            </w:r>
            <w:r w:rsidRPr="00A26C26">
              <w:rPr>
                <w:rFonts w:eastAsia="Calibri" w:cstheme="minorHAnsi"/>
              </w:rPr>
              <w:t>partnerstwa,</w:t>
            </w:r>
            <w:r w:rsidR="003B50ED">
              <w:rPr>
                <w:rFonts w:eastAsia="Calibri" w:cstheme="minorHAnsi"/>
              </w:rPr>
              <w:t xml:space="preserve"> </w:t>
            </w:r>
            <w:r w:rsidRPr="00A26C26">
              <w:rPr>
                <w:rFonts w:eastAsia="Calibri" w:cstheme="minorHAnsi"/>
              </w:rPr>
              <w:t>inicjatyw</w:t>
            </w:r>
            <w:r w:rsidR="003B50ED">
              <w:rPr>
                <w:rFonts w:eastAsia="Calibri" w:cstheme="minorHAnsi"/>
              </w:rPr>
              <w:t xml:space="preserve"> </w:t>
            </w:r>
            <w:r w:rsidRPr="00A26C26">
              <w:rPr>
                <w:rFonts w:eastAsia="Calibri" w:cstheme="minorHAnsi"/>
              </w:rPr>
              <w:t>edukacyjnych</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turystyki</w:t>
            </w:r>
            <w:r w:rsidR="003B50ED">
              <w:rPr>
                <w:rFonts w:eastAsia="Calibri" w:cstheme="minorHAnsi"/>
              </w:rPr>
              <w:t xml:space="preserve"> </w:t>
            </w:r>
            <w:r w:rsidRPr="00A26C26">
              <w:rPr>
                <w:rFonts w:eastAsia="Calibri" w:cstheme="minorHAnsi"/>
              </w:rPr>
              <w:t>na</w:t>
            </w:r>
            <w:r w:rsidR="003B50ED">
              <w:rPr>
                <w:rFonts w:eastAsia="Calibri" w:cstheme="minorHAnsi"/>
              </w:rPr>
              <w:t xml:space="preserve"> </w:t>
            </w:r>
            <w:r w:rsidRPr="00A26C26">
              <w:rPr>
                <w:rFonts w:eastAsia="Calibri" w:cstheme="minorHAnsi"/>
              </w:rPr>
              <w:t>obszarze</w:t>
            </w:r>
            <w:r w:rsidR="003B50ED">
              <w:rPr>
                <w:rFonts w:eastAsia="Calibri" w:cstheme="minorHAnsi"/>
              </w:rPr>
              <w:t xml:space="preserve"> </w:t>
            </w:r>
            <w:r w:rsidRPr="00A26C26">
              <w:rPr>
                <w:rFonts w:eastAsia="Calibri" w:cstheme="minorHAnsi"/>
              </w:rPr>
              <w:t>LSR</w:t>
            </w:r>
            <w:r w:rsidR="003B50ED">
              <w:rPr>
                <w:rFonts w:eastAsia="Calibri" w:cstheme="minorHAnsi"/>
              </w:rPr>
              <w:t xml:space="preserve"> </w:t>
            </w:r>
            <w:r w:rsidRPr="00A26C26">
              <w:rPr>
                <w:rFonts w:eastAsia="Calibri" w:cstheme="minorHAnsi"/>
              </w:rPr>
              <w:t>(P.</w:t>
            </w:r>
            <w:r w:rsidR="000B7EC5" w:rsidRPr="00A26C26">
              <w:rPr>
                <w:rFonts w:eastAsia="Calibri" w:cstheme="minorHAnsi"/>
              </w:rPr>
              <w:t>1.5</w:t>
            </w:r>
            <w:r w:rsidRPr="00A26C26">
              <w:rPr>
                <w:rFonts w:eastAsia="Calibri" w:cstheme="minorHAnsi"/>
              </w:rPr>
              <w:t>.),</w:t>
            </w:r>
            <w:r w:rsidR="003B50ED">
              <w:rPr>
                <w:rFonts w:eastAsia="Calibri" w:cstheme="minorHAnsi"/>
              </w:rPr>
              <w:t xml:space="preserve"> </w:t>
            </w:r>
            <w:r w:rsidRPr="00A26C26">
              <w:rPr>
                <w:rFonts w:eastAsia="Calibri" w:cstheme="minorHAnsi"/>
              </w:rPr>
              <w:t>aktywizacja</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włączenie</w:t>
            </w:r>
            <w:r w:rsidR="003B50ED">
              <w:rPr>
                <w:rFonts w:eastAsia="Calibri" w:cstheme="minorHAnsi"/>
              </w:rPr>
              <w:t xml:space="preserve"> </w:t>
            </w:r>
            <w:r w:rsidRPr="00A26C26">
              <w:rPr>
                <w:rFonts w:eastAsia="Calibri" w:cstheme="minorHAnsi"/>
              </w:rPr>
              <w:t>społeczne</w:t>
            </w:r>
            <w:r w:rsidR="003B50ED">
              <w:rPr>
                <w:rFonts w:eastAsia="Calibri" w:cstheme="minorHAnsi"/>
              </w:rPr>
              <w:t xml:space="preserve"> </w:t>
            </w:r>
            <w:r w:rsidRPr="00A26C26">
              <w:rPr>
                <w:rFonts w:eastAsia="Calibri" w:cstheme="minorHAnsi"/>
              </w:rPr>
              <w:t>lokalnej</w:t>
            </w:r>
            <w:r w:rsidR="003B50ED">
              <w:rPr>
                <w:rFonts w:eastAsia="Calibri" w:cstheme="minorHAnsi"/>
              </w:rPr>
              <w:t xml:space="preserve"> </w:t>
            </w:r>
            <w:r w:rsidRPr="00A26C26">
              <w:rPr>
                <w:rFonts w:eastAsia="Calibri" w:cstheme="minorHAnsi"/>
              </w:rPr>
              <w:t>społeczności,</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tym</w:t>
            </w:r>
            <w:r w:rsidR="003B50ED">
              <w:rPr>
                <w:rFonts w:eastAsia="Calibri" w:cstheme="minorHAnsi"/>
              </w:rPr>
              <w:t xml:space="preserve"> </w:t>
            </w:r>
            <w:r w:rsidRPr="00A26C26">
              <w:rPr>
                <w:rFonts w:eastAsia="Calibri" w:cstheme="minorHAnsi"/>
              </w:rPr>
              <w:t>seniorów,</w:t>
            </w:r>
            <w:r w:rsidR="003B50ED">
              <w:rPr>
                <w:rFonts w:eastAsia="Calibri" w:cstheme="minorHAnsi"/>
              </w:rPr>
              <w:t xml:space="preserve"> </w:t>
            </w:r>
            <w:r w:rsidRPr="00A26C26">
              <w:rPr>
                <w:rFonts w:eastAsia="Calibri" w:cstheme="minorHAnsi"/>
              </w:rPr>
              <w:t>ludzi</w:t>
            </w:r>
            <w:r w:rsidR="003B50ED">
              <w:rPr>
                <w:rFonts w:eastAsia="Calibri" w:cstheme="minorHAnsi"/>
              </w:rPr>
              <w:t xml:space="preserve"> </w:t>
            </w:r>
            <w:r w:rsidRPr="00A26C26">
              <w:rPr>
                <w:rFonts w:eastAsia="Calibri" w:cstheme="minorHAnsi"/>
              </w:rPr>
              <w:t>młodych</w:t>
            </w:r>
            <w:r w:rsidR="003B50ED">
              <w:rPr>
                <w:rFonts w:eastAsia="Calibri" w:cstheme="minorHAnsi"/>
              </w:rPr>
              <w:t xml:space="preserve"> </w:t>
            </w:r>
            <w:r w:rsidRPr="00A26C26">
              <w:rPr>
                <w:rFonts w:eastAsia="Calibri" w:cstheme="minorHAnsi"/>
              </w:rPr>
              <w:t>lub</w:t>
            </w:r>
            <w:r w:rsidR="003B50ED">
              <w:rPr>
                <w:rFonts w:eastAsia="Calibri" w:cstheme="minorHAnsi"/>
              </w:rPr>
              <w:t xml:space="preserve"> </w:t>
            </w:r>
            <w:r w:rsidRPr="00A26C26">
              <w:rPr>
                <w:rFonts w:eastAsia="Calibri" w:cstheme="minorHAnsi"/>
              </w:rPr>
              <w:t>osób</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niekorzystnej</w:t>
            </w:r>
            <w:r w:rsidR="003B50ED">
              <w:rPr>
                <w:rFonts w:eastAsia="Calibri" w:cstheme="minorHAnsi"/>
              </w:rPr>
              <w:t xml:space="preserve"> </w:t>
            </w:r>
            <w:r w:rsidRPr="00A26C26">
              <w:rPr>
                <w:rFonts w:eastAsia="Calibri" w:cstheme="minorHAnsi"/>
              </w:rPr>
              <w:t>sytuacji</w:t>
            </w:r>
            <w:r w:rsidR="003B50ED">
              <w:rPr>
                <w:rFonts w:eastAsia="Calibri" w:cstheme="minorHAnsi"/>
              </w:rPr>
              <w:t xml:space="preserve"> </w:t>
            </w:r>
            <w:r w:rsidRPr="00A26C26">
              <w:rPr>
                <w:rFonts w:eastAsia="Calibri" w:cstheme="minorHAnsi"/>
              </w:rPr>
              <w:t>(P.</w:t>
            </w:r>
            <w:r w:rsidR="000B7EC5" w:rsidRPr="00A26C26">
              <w:rPr>
                <w:rFonts w:eastAsia="Calibri" w:cstheme="minorHAnsi"/>
              </w:rPr>
              <w:t>1.4</w:t>
            </w:r>
            <w:r w:rsidR="003B50ED">
              <w:rPr>
                <w:rFonts w:eastAsia="Calibri" w:cstheme="minorHAnsi"/>
              </w:rPr>
              <w:t>.</w:t>
            </w:r>
            <w:r w:rsidRPr="00A26C26">
              <w:rPr>
                <w:rFonts w:eastAsia="Calibri" w:cstheme="minorHAnsi"/>
              </w:rPr>
              <w:t>).</w:t>
            </w:r>
            <w:r w:rsidR="003B50ED">
              <w:rPr>
                <w:rFonts w:eastAsia="Calibri" w:cstheme="minorHAnsi"/>
              </w:rPr>
              <w:t xml:space="preserve"> </w:t>
            </w:r>
            <w:r w:rsidRPr="00A26C26">
              <w:rPr>
                <w:rFonts w:eastAsia="Calibri" w:cstheme="minorHAnsi"/>
              </w:rPr>
              <w:t>Niewątpliwie</w:t>
            </w:r>
            <w:r w:rsidR="003B50ED">
              <w:rPr>
                <w:rFonts w:eastAsia="Calibri" w:cstheme="minorHAnsi"/>
              </w:rPr>
              <w:t xml:space="preserve"> </w:t>
            </w:r>
            <w:r w:rsidRPr="00A26C26">
              <w:rPr>
                <w:rFonts w:eastAsia="Calibri" w:cstheme="minorHAnsi"/>
              </w:rPr>
              <w:t>do</w:t>
            </w:r>
            <w:r w:rsidR="003B50ED">
              <w:rPr>
                <w:rFonts w:eastAsia="Calibri" w:cstheme="minorHAnsi"/>
              </w:rPr>
              <w:t xml:space="preserve"> </w:t>
            </w:r>
            <w:r w:rsidRPr="00A26C26">
              <w:rPr>
                <w:rFonts w:eastAsia="Calibri" w:cstheme="minorHAnsi"/>
              </w:rPr>
              <w:t>rozwoju</w:t>
            </w:r>
            <w:r w:rsidR="003B50ED">
              <w:rPr>
                <w:rFonts w:eastAsia="Calibri" w:cstheme="minorHAnsi"/>
              </w:rPr>
              <w:t xml:space="preserve"> </w:t>
            </w:r>
            <w:r w:rsidRPr="00A26C26">
              <w:rPr>
                <w:rFonts w:eastAsia="Calibri" w:cstheme="minorHAnsi"/>
              </w:rPr>
              <w:t>kapitału</w:t>
            </w:r>
            <w:r w:rsidR="003B50ED">
              <w:rPr>
                <w:rFonts w:eastAsia="Calibri" w:cstheme="minorHAnsi"/>
              </w:rPr>
              <w:t xml:space="preserve"> </w:t>
            </w:r>
            <w:r w:rsidRPr="00A26C26">
              <w:rPr>
                <w:rFonts w:eastAsia="Calibri" w:cstheme="minorHAnsi"/>
              </w:rPr>
              <w:t>społecznego</w:t>
            </w:r>
            <w:r w:rsidR="003B50ED">
              <w:rPr>
                <w:rFonts w:eastAsia="Calibri" w:cstheme="minorHAnsi"/>
              </w:rPr>
              <w:t xml:space="preserve"> </w:t>
            </w:r>
            <w:r w:rsidRPr="00A26C26">
              <w:rPr>
                <w:rFonts w:eastAsia="Calibri" w:cstheme="minorHAnsi"/>
              </w:rPr>
              <w:t>przyczyni</w:t>
            </w:r>
            <w:r w:rsidR="003B50ED">
              <w:rPr>
                <w:rFonts w:eastAsia="Calibri" w:cstheme="minorHAnsi"/>
              </w:rPr>
              <w:t xml:space="preserve"> </w:t>
            </w:r>
            <w:r w:rsidRPr="00A26C26">
              <w:rPr>
                <w:rFonts w:eastAsia="Calibri" w:cstheme="minorHAnsi"/>
              </w:rPr>
              <w:t>się</w:t>
            </w:r>
            <w:r w:rsidR="003B50ED">
              <w:rPr>
                <w:rFonts w:eastAsia="Calibri" w:cstheme="minorHAnsi"/>
              </w:rPr>
              <w:t xml:space="preserve"> </w:t>
            </w:r>
            <w:r w:rsidRPr="00A26C26">
              <w:rPr>
                <w:rFonts w:eastAsia="Calibri" w:cstheme="minorHAnsi"/>
              </w:rPr>
              <w:t>realizacja</w:t>
            </w:r>
            <w:r w:rsidR="003B50ED">
              <w:rPr>
                <w:rFonts w:eastAsia="Calibri" w:cstheme="minorHAnsi"/>
              </w:rPr>
              <w:t xml:space="preserve"> </w:t>
            </w:r>
            <w:r w:rsidRPr="00A26C26">
              <w:rPr>
                <w:rFonts w:eastAsia="Calibri" w:cstheme="minorHAnsi"/>
              </w:rPr>
              <w:t>przedsięwzięcia</w:t>
            </w:r>
            <w:r w:rsidR="003B50ED">
              <w:rPr>
                <w:rFonts w:eastAsia="Calibri" w:cstheme="minorHAnsi"/>
              </w:rPr>
              <w:t xml:space="preserve"> </w:t>
            </w:r>
            <w:r w:rsidRPr="00A26C26">
              <w:rPr>
                <w:rFonts w:eastAsia="Calibri" w:cstheme="minorHAnsi"/>
              </w:rPr>
              <w:t>z</w:t>
            </w:r>
            <w:r w:rsidR="003B50ED">
              <w:rPr>
                <w:rFonts w:eastAsia="Calibri" w:cstheme="minorHAnsi"/>
              </w:rPr>
              <w:t xml:space="preserve"> </w:t>
            </w:r>
            <w:r w:rsidRPr="00A26C26">
              <w:rPr>
                <w:rFonts w:eastAsia="Calibri" w:cstheme="minorHAnsi"/>
              </w:rPr>
              <w:t>zakresu</w:t>
            </w:r>
            <w:r w:rsidR="003B50ED">
              <w:rPr>
                <w:rFonts w:eastAsia="Calibri" w:cstheme="minorHAnsi"/>
              </w:rPr>
              <w:t xml:space="preserve"> </w:t>
            </w:r>
            <w:r w:rsidRPr="00A26C26">
              <w:rPr>
                <w:rFonts w:eastAsia="Calibri" w:cstheme="minorHAnsi"/>
              </w:rPr>
              <w:t>rozwoju</w:t>
            </w:r>
            <w:r w:rsidR="003B50ED">
              <w:rPr>
                <w:rFonts w:eastAsia="Calibri" w:cstheme="minorHAnsi"/>
              </w:rPr>
              <w:t xml:space="preserve"> </w:t>
            </w:r>
            <w:r w:rsidRPr="00A26C26">
              <w:rPr>
                <w:rFonts w:eastAsia="Calibri" w:cstheme="minorHAnsi"/>
              </w:rPr>
              <w:t>współpraca</w:t>
            </w:r>
            <w:r w:rsidR="003B50ED">
              <w:rPr>
                <w:rFonts w:eastAsia="Calibri" w:cstheme="minorHAnsi"/>
              </w:rPr>
              <w:t xml:space="preserve"> </w:t>
            </w:r>
            <w:r w:rsidRPr="00A26C26">
              <w:rPr>
                <w:rFonts w:eastAsia="Calibri" w:cstheme="minorHAnsi"/>
              </w:rPr>
              <w:t>podmiotów</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zakresie</w:t>
            </w:r>
            <w:r w:rsidR="003B50ED">
              <w:rPr>
                <w:rFonts w:eastAsia="Calibri" w:cstheme="minorHAnsi"/>
              </w:rPr>
              <w:t xml:space="preserve"> </w:t>
            </w:r>
            <w:r w:rsidRPr="00A26C26">
              <w:rPr>
                <w:rFonts w:eastAsia="Calibri" w:cstheme="minorHAnsi"/>
              </w:rPr>
              <w:t>opracowania</w:t>
            </w:r>
            <w:r w:rsidR="003B50ED">
              <w:rPr>
                <w:rFonts w:eastAsia="Calibri" w:cstheme="minorHAnsi"/>
              </w:rPr>
              <w:t xml:space="preserve"> </w:t>
            </w:r>
            <w:r w:rsidRPr="00A26C26">
              <w:rPr>
                <w:rFonts w:eastAsia="Calibri" w:cstheme="minorHAnsi"/>
              </w:rPr>
              <w:t>koncepcji</w:t>
            </w:r>
            <w:r w:rsidR="003B50ED">
              <w:rPr>
                <w:rFonts w:eastAsia="Calibri" w:cstheme="minorHAnsi"/>
              </w:rPr>
              <w:t xml:space="preserve"> </w:t>
            </w:r>
            <w:r w:rsidRPr="00A26C26">
              <w:rPr>
                <w:rFonts w:eastAsia="Calibri" w:cstheme="minorHAnsi"/>
              </w:rPr>
              <w:t>Smart</w:t>
            </w:r>
            <w:r w:rsidR="003B50ED">
              <w:rPr>
                <w:rFonts w:eastAsia="Calibri" w:cstheme="minorHAnsi"/>
              </w:rPr>
              <w:t xml:space="preserve"> </w:t>
            </w:r>
            <w:proofErr w:type="spellStart"/>
            <w:r w:rsidRPr="00A26C26">
              <w:rPr>
                <w:rFonts w:eastAsia="Calibri" w:cstheme="minorHAnsi"/>
              </w:rPr>
              <w:t>Village</w:t>
            </w:r>
            <w:proofErr w:type="spellEnd"/>
            <w:r w:rsidR="003B50ED">
              <w:rPr>
                <w:rFonts w:eastAsia="Calibri" w:cstheme="minorHAnsi"/>
              </w:rPr>
              <w:t xml:space="preserve"> </w:t>
            </w:r>
            <w:r w:rsidRPr="00A26C26">
              <w:rPr>
                <w:rFonts w:eastAsia="Calibri" w:cstheme="minorHAnsi"/>
              </w:rPr>
              <w:t>(P.</w:t>
            </w:r>
            <w:r w:rsidR="000B7EC5" w:rsidRPr="00A26C26">
              <w:rPr>
                <w:rFonts w:eastAsia="Calibri" w:cstheme="minorHAnsi"/>
              </w:rPr>
              <w:t>1.1</w:t>
            </w:r>
            <w:r w:rsidRPr="00A26C26">
              <w:rPr>
                <w:rFonts w:eastAsia="Calibri" w:cstheme="minorHAnsi"/>
              </w:rPr>
              <w:t>.)</w:t>
            </w:r>
          </w:p>
          <w:p w14:paraId="5AC556DF" w14:textId="3D27A8EF" w:rsidR="00857736" w:rsidRPr="00A26C26" w:rsidRDefault="00857736" w:rsidP="00A26C26">
            <w:pPr>
              <w:spacing w:line="276" w:lineRule="auto"/>
              <w:jc w:val="both"/>
              <w:rPr>
                <w:rFonts w:eastAsia="Calibri" w:cstheme="minorHAnsi"/>
              </w:rPr>
            </w:pPr>
            <w:r w:rsidRPr="00A26C26">
              <w:rPr>
                <w:rFonts w:eastAsia="Calibri" w:cstheme="minorHAnsi"/>
                <w:lang w:eastAsia="pl-PL"/>
              </w:rPr>
              <w:t>Z</w:t>
            </w:r>
            <w:r w:rsidR="003B50ED">
              <w:rPr>
                <w:rFonts w:eastAsia="Calibri" w:cstheme="minorHAnsi"/>
                <w:lang w:eastAsia="pl-PL"/>
              </w:rPr>
              <w:t xml:space="preserve"> </w:t>
            </w:r>
            <w:r w:rsidRPr="00A26C26">
              <w:rPr>
                <w:rFonts w:eastAsia="Calibri" w:cstheme="minorHAnsi"/>
                <w:lang w:eastAsia="pl-PL"/>
              </w:rPr>
              <w:t>kolei</w:t>
            </w:r>
            <w:r w:rsidR="003B50ED">
              <w:rPr>
                <w:rFonts w:eastAsia="Calibri" w:cstheme="minorHAnsi"/>
                <w:lang w:eastAsia="pl-PL"/>
              </w:rPr>
              <w:t xml:space="preserve"> </w:t>
            </w:r>
            <w:r w:rsidRPr="00A26C26">
              <w:rPr>
                <w:rFonts w:eastAsia="Calibri" w:cstheme="minorHAnsi"/>
                <w:lang w:eastAsia="pl-PL"/>
              </w:rPr>
              <w:t>w</w:t>
            </w:r>
            <w:r w:rsidR="003B50ED">
              <w:rPr>
                <w:rFonts w:eastAsia="Calibri" w:cstheme="minorHAnsi"/>
                <w:lang w:eastAsia="pl-PL"/>
              </w:rPr>
              <w:t xml:space="preserve"> </w:t>
            </w:r>
            <w:r w:rsidRPr="00A26C26">
              <w:rPr>
                <w:rFonts w:eastAsia="Calibri" w:cstheme="minorHAnsi"/>
                <w:lang w:eastAsia="pl-PL"/>
              </w:rPr>
              <w:t>ramach</w:t>
            </w:r>
            <w:r w:rsidR="003B50ED">
              <w:rPr>
                <w:rFonts w:eastAsia="Calibri" w:cstheme="minorHAnsi"/>
                <w:lang w:eastAsia="pl-PL"/>
              </w:rPr>
              <w:t xml:space="preserve"> </w:t>
            </w:r>
            <w:r w:rsidRPr="00A26C26">
              <w:rPr>
                <w:rFonts w:eastAsia="Calibri" w:cstheme="minorHAnsi"/>
                <w:lang w:eastAsia="pl-PL"/>
              </w:rPr>
              <w:t>przedsięwzięcia</w:t>
            </w:r>
            <w:r w:rsidR="003B50ED">
              <w:rPr>
                <w:rFonts w:eastAsia="Calibri" w:cstheme="minorHAnsi"/>
                <w:lang w:eastAsia="pl-PL"/>
              </w:rPr>
              <w:t xml:space="preserve"> </w:t>
            </w:r>
            <w:r w:rsidRPr="00A26C26">
              <w:rPr>
                <w:rFonts w:eastAsia="Calibri" w:cstheme="minorHAnsi"/>
                <w:lang w:eastAsia="pl-PL"/>
              </w:rPr>
              <w:t>obejmującego</w:t>
            </w:r>
            <w:r w:rsidR="003B50ED">
              <w:rPr>
                <w:rFonts w:eastAsia="Calibri" w:cstheme="minorHAnsi"/>
                <w:lang w:eastAsia="pl-PL"/>
              </w:rPr>
              <w:t xml:space="preserve"> </w:t>
            </w:r>
            <w:r w:rsidRPr="00A26C26">
              <w:rPr>
                <w:rFonts w:eastAsia="Calibri" w:cstheme="minorHAnsi"/>
              </w:rPr>
              <w:t>rozwój</w:t>
            </w:r>
            <w:r w:rsidR="003B50ED">
              <w:rPr>
                <w:rFonts w:eastAsia="Calibri" w:cstheme="minorHAnsi"/>
              </w:rPr>
              <w:t xml:space="preserve"> </w:t>
            </w:r>
            <w:r w:rsidRPr="00A26C26">
              <w:rPr>
                <w:rFonts w:eastAsia="Calibri" w:cstheme="minorHAnsi"/>
              </w:rPr>
              <w:t>usług</w:t>
            </w:r>
            <w:r w:rsidR="003B50ED">
              <w:rPr>
                <w:rFonts w:eastAsia="Calibri" w:cstheme="minorHAnsi"/>
              </w:rPr>
              <w:t xml:space="preserve"> </w:t>
            </w:r>
            <w:r w:rsidRPr="00A26C26">
              <w:rPr>
                <w:rFonts w:eastAsia="Calibri" w:cstheme="minorHAnsi"/>
              </w:rPr>
              <w:t>dla</w:t>
            </w:r>
            <w:r w:rsidR="003B50ED">
              <w:rPr>
                <w:rFonts w:eastAsia="Calibri" w:cstheme="minorHAnsi"/>
              </w:rPr>
              <w:t xml:space="preserve"> </w:t>
            </w:r>
            <w:r w:rsidRPr="00A26C26">
              <w:rPr>
                <w:rFonts w:eastAsia="Calibri" w:cstheme="minorHAnsi"/>
              </w:rPr>
              <w:t>mieszkańców</w:t>
            </w:r>
            <w:r w:rsidR="003B50ED">
              <w:rPr>
                <w:rFonts w:eastAsia="Calibri" w:cstheme="minorHAnsi"/>
              </w:rPr>
              <w:t xml:space="preserve"> </w:t>
            </w:r>
            <w:r w:rsidRPr="00A26C26">
              <w:rPr>
                <w:rFonts w:eastAsia="Calibri" w:cstheme="minorHAnsi"/>
              </w:rPr>
              <w:t>oraz</w:t>
            </w:r>
            <w:r w:rsidR="003B50ED">
              <w:rPr>
                <w:rFonts w:eastAsia="Calibri" w:cstheme="minorHAnsi"/>
              </w:rPr>
              <w:t xml:space="preserve"> </w:t>
            </w:r>
            <w:r w:rsidRPr="00A26C26">
              <w:rPr>
                <w:rFonts w:eastAsia="Calibri" w:cstheme="minorHAnsi"/>
              </w:rPr>
              <w:t>oferty</w:t>
            </w:r>
            <w:r w:rsidR="003B50ED">
              <w:rPr>
                <w:rFonts w:eastAsia="Calibri" w:cstheme="minorHAnsi"/>
              </w:rPr>
              <w:t xml:space="preserve"> </w:t>
            </w:r>
            <w:r w:rsidRPr="00A26C26">
              <w:rPr>
                <w:rFonts w:eastAsia="Calibri" w:cstheme="minorHAnsi"/>
              </w:rPr>
              <w:t>agroturystycznej</w:t>
            </w:r>
            <w:r w:rsidR="003B50ED">
              <w:rPr>
                <w:rFonts w:eastAsia="Calibri" w:cstheme="minorHAnsi"/>
              </w:rPr>
              <w:t xml:space="preserve"> </w:t>
            </w:r>
            <w:r w:rsidR="000B7EC5" w:rsidRPr="00A26C26">
              <w:rPr>
                <w:rFonts w:eastAsia="Calibri" w:cstheme="minorHAnsi"/>
              </w:rPr>
              <w:br/>
              <w:t>w</w:t>
            </w:r>
            <w:r w:rsidR="003B50ED">
              <w:rPr>
                <w:rFonts w:eastAsia="Calibri" w:cstheme="minorHAnsi"/>
              </w:rPr>
              <w:t xml:space="preserve"> </w:t>
            </w:r>
            <w:r w:rsidR="000B7EC5" w:rsidRPr="00A26C26">
              <w:rPr>
                <w:rFonts w:eastAsia="Calibri" w:cstheme="minorHAnsi"/>
              </w:rPr>
              <w:t>tym</w:t>
            </w:r>
            <w:r w:rsidR="003B50ED">
              <w:rPr>
                <w:rFonts w:eastAsia="Calibri" w:cstheme="minorHAnsi"/>
              </w:rPr>
              <w:t xml:space="preserve"> </w:t>
            </w:r>
            <w:r w:rsidR="000B7EC5" w:rsidRPr="00A26C26">
              <w:rPr>
                <w:rFonts w:eastAsia="Calibri" w:cstheme="minorHAnsi"/>
              </w:rPr>
              <w:t>zagród</w:t>
            </w:r>
            <w:r w:rsidR="003B50ED">
              <w:rPr>
                <w:rFonts w:eastAsia="Calibri" w:cstheme="minorHAnsi"/>
              </w:rPr>
              <w:t xml:space="preserve"> </w:t>
            </w:r>
            <w:r w:rsidR="000B7EC5" w:rsidRPr="00A26C26">
              <w:rPr>
                <w:rFonts w:eastAsia="Calibri" w:cstheme="minorHAnsi"/>
              </w:rPr>
              <w:t>edukacyjnych</w:t>
            </w:r>
            <w:r w:rsidR="003B50ED">
              <w:rPr>
                <w:rFonts w:eastAsia="Calibri" w:cstheme="minorHAnsi"/>
              </w:rPr>
              <w:t xml:space="preserve"> </w:t>
            </w:r>
            <w:r w:rsidRPr="00A26C26">
              <w:rPr>
                <w:rFonts w:eastAsia="Calibri" w:cstheme="minorHAnsi"/>
              </w:rPr>
              <w:t>(P.</w:t>
            </w:r>
            <w:r w:rsidR="000B7EC5" w:rsidRPr="00A26C26">
              <w:rPr>
                <w:rFonts w:eastAsia="Calibri" w:cstheme="minorHAnsi"/>
              </w:rPr>
              <w:t>2</w:t>
            </w:r>
            <w:r w:rsidRPr="00A26C26">
              <w:rPr>
                <w:rFonts w:eastAsia="Calibri" w:cstheme="minorHAnsi"/>
              </w:rPr>
              <w:t>.1.)</w:t>
            </w:r>
            <w:r w:rsidR="003B50ED">
              <w:rPr>
                <w:rFonts w:eastAsia="Calibri" w:cstheme="minorHAnsi"/>
              </w:rPr>
              <w:t xml:space="preserve"> </w:t>
            </w:r>
            <w:r w:rsidRPr="00A26C26">
              <w:rPr>
                <w:rFonts w:eastAsia="Calibri" w:cstheme="minorHAnsi"/>
                <w:lang w:eastAsia="pl-PL"/>
              </w:rPr>
              <w:t>wsparcie</w:t>
            </w:r>
            <w:r w:rsidR="003B50ED">
              <w:rPr>
                <w:rFonts w:eastAsia="Calibri" w:cstheme="minorHAnsi"/>
                <w:lang w:eastAsia="pl-PL"/>
              </w:rPr>
              <w:t xml:space="preserve"> </w:t>
            </w:r>
            <w:r w:rsidRPr="00A26C26">
              <w:rPr>
                <w:rFonts w:eastAsia="Calibri" w:cstheme="minorHAnsi"/>
                <w:lang w:eastAsia="pl-PL"/>
              </w:rPr>
              <w:t>uzyskają</w:t>
            </w:r>
            <w:r w:rsidR="003B50ED">
              <w:rPr>
                <w:rFonts w:eastAsia="Calibri" w:cstheme="minorHAnsi"/>
                <w:lang w:eastAsia="pl-PL"/>
              </w:rPr>
              <w:t xml:space="preserve"> </w:t>
            </w:r>
            <w:r w:rsidRPr="00A26C26">
              <w:rPr>
                <w:rFonts w:eastAsia="Calibri" w:cstheme="minorHAnsi"/>
                <w:lang w:eastAsia="pl-PL"/>
              </w:rPr>
              <w:t>istniejące</w:t>
            </w:r>
            <w:r w:rsidR="003B50ED">
              <w:rPr>
                <w:rFonts w:eastAsia="Calibri" w:cstheme="minorHAnsi"/>
                <w:lang w:eastAsia="pl-PL"/>
              </w:rPr>
              <w:t xml:space="preserve"> </w:t>
            </w:r>
            <w:r w:rsidRPr="00A26C26">
              <w:rPr>
                <w:rFonts w:eastAsia="Calibri" w:cstheme="minorHAnsi"/>
                <w:lang w:eastAsia="pl-PL"/>
              </w:rPr>
              <w:t>przedsiębiorstwa</w:t>
            </w:r>
            <w:r w:rsidR="003B50ED">
              <w:rPr>
                <w:rFonts w:eastAsia="Calibri" w:cstheme="minorHAnsi"/>
                <w:lang w:eastAsia="pl-PL"/>
              </w:rPr>
              <w:t xml:space="preserve"> </w:t>
            </w:r>
            <w:r w:rsidRPr="00A26C26">
              <w:rPr>
                <w:rFonts w:eastAsia="Calibri" w:cstheme="minorHAnsi"/>
                <w:lang w:eastAsia="pl-PL"/>
              </w:rPr>
              <w:t>oraz</w:t>
            </w:r>
            <w:r w:rsidR="003B50ED">
              <w:rPr>
                <w:rFonts w:eastAsia="Calibri" w:cstheme="minorHAnsi"/>
                <w:lang w:eastAsia="pl-PL"/>
              </w:rPr>
              <w:t xml:space="preserve"> </w:t>
            </w:r>
            <w:r w:rsidRPr="00A26C26">
              <w:rPr>
                <w:rFonts w:eastAsia="Calibri" w:cstheme="minorHAnsi"/>
                <w:lang w:eastAsia="pl-PL"/>
              </w:rPr>
              <w:t>powstaną</w:t>
            </w:r>
            <w:r w:rsidR="003B50ED">
              <w:rPr>
                <w:rFonts w:eastAsia="Calibri" w:cstheme="minorHAnsi"/>
                <w:lang w:eastAsia="pl-PL"/>
              </w:rPr>
              <w:t xml:space="preserve"> </w:t>
            </w:r>
            <w:r w:rsidRPr="00A26C26">
              <w:rPr>
                <w:rFonts w:eastAsia="Calibri" w:cstheme="minorHAnsi"/>
                <w:lang w:eastAsia="pl-PL"/>
              </w:rPr>
              <w:t>nowe</w:t>
            </w:r>
            <w:r w:rsidR="003B50ED">
              <w:rPr>
                <w:rFonts w:eastAsia="Calibri" w:cstheme="minorHAnsi"/>
                <w:lang w:eastAsia="pl-PL"/>
              </w:rPr>
              <w:t xml:space="preserve"> </w:t>
            </w:r>
            <w:r w:rsidRPr="00A26C26">
              <w:rPr>
                <w:rFonts w:eastAsia="Calibri" w:cstheme="minorHAnsi"/>
                <w:lang w:eastAsia="pl-PL"/>
              </w:rPr>
              <w:t>podmioty</w:t>
            </w:r>
            <w:r w:rsidR="003B50ED">
              <w:rPr>
                <w:rFonts w:eastAsia="Calibri" w:cstheme="minorHAnsi"/>
                <w:lang w:eastAsia="pl-PL"/>
              </w:rPr>
              <w:t xml:space="preserve"> </w:t>
            </w:r>
            <w:r w:rsidRPr="00A26C26">
              <w:rPr>
                <w:rFonts w:eastAsia="Calibri" w:cstheme="minorHAnsi"/>
                <w:lang w:eastAsia="pl-PL"/>
              </w:rPr>
              <w:t>gospodarcze</w:t>
            </w:r>
            <w:r w:rsidR="003B50ED">
              <w:rPr>
                <w:rFonts w:eastAsia="Calibri" w:cstheme="minorHAnsi"/>
                <w:lang w:eastAsia="pl-PL"/>
              </w:rPr>
              <w:t xml:space="preserve"> </w:t>
            </w:r>
            <w:r w:rsidRPr="00A26C26">
              <w:rPr>
                <w:rFonts w:eastAsia="Calibri" w:cstheme="minorHAnsi"/>
                <w:lang w:eastAsia="pl-PL"/>
              </w:rPr>
              <w:t>generujące</w:t>
            </w:r>
            <w:r w:rsidR="003B50ED">
              <w:rPr>
                <w:rFonts w:eastAsia="Calibri" w:cstheme="minorHAnsi"/>
                <w:lang w:eastAsia="pl-PL"/>
              </w:rPr>
              <w:t xml:space="preserve"> </w:t>
            </w:r>
            <w:r w:rsidRPr="00A26C26">
              <w:rPr>
                <w:rFonts w:eastAsia="Calibri" w:cstheme="minorHAnsi"/>
                <w:lang w:eastAsia="pl-PL"/>
              </w:rPr>
              <w:t>nowe</w:t>
            </w:r>
            <w:r w:rsidR="003B50ED">
              <w:rPr>
                <w:rFonts w:eastAsia="Calibri" w:cstheme="minorHAnsi"/>
                <w:lang w:eastAsia="pl-PL"/>
              </w:rPr>
              <w:t xml:space="preserve"> </w:t>
            </w:r>
            <w:r w:rsidRPr="00A26C26">
              <w:rPr>
                <w:rFonts w:eastAsia="Calibri" w:cstheme="minorHAnsi"/>
                <w:lang w:eastAsia="pl-PL"/>
              </w:rPr>
              <w:t>miejsca</w:t>
            </w:r>
            <w:r w:rsidR="003B50ED">
              <w:rPr>
                <w:rFonts w:eastAsia="Calibri" w:cstheme="minorHAnsi"/>
                <w:lang w:eastAsia="pl-PL"/>
              </w:rPr>
              <w:t xml:space="preserve"> </w:t>
            </w:r>
            <w:r w:rsidRPr="00A26C26">
              <w:rPr>
                <w:rFonts w:eastAsia="Calibri" w:cstheme="minorHAnsi"/>
                <w:lang w:eastAsia="pl-PL"/>
              </w:rPr>
              <w:t>pracy</w:t>
            </w:r>
            <w:r w:rsidR="003B50ED">
              <w:rPr>
                <w:rFonts w:eastAsia="Calibri" w:cstheme="minorHAnsi"/>
                <w:lang w:eastAsia="pl-PL"/>
              </w:rPr>
              <w:t xml:space="preserve"> </w:t>
            </w:r>
            <w:r w:rsidRPr="00A26C26">
              <w:rPr>
                <w:rFonts w:eastAsia="Calibri" w:cstheme="minorHAnsi"/>
                <w:lang w:eastAsia="pl-PL"/>
              </w:rPr>
              <w:t>zwiększając</w:t>
            </w:r>
            <w:r w:rsidR="003B50ED">
              <w:rPr>
                <w:rFonts w:eastAsia="Calibri" w:cstheme="minorHAnsi"/>
                <w:lang w:eastAsia="pl-PL"/>
              </w:rPr>
              <w:t xml:space="preserve"> </w:t>
            </w:r>
            <w:r w:rsidRPr="00A26C26">
              <w:rPr>
                <w:rFonts w:eastAsia="Calibri" w:cstheme="minorHAnsi"/>
                <w:lang w:eastAsia="pl-PL"/>
              </w:rPr>
              <w:t>jednocześnie</w:t>
            </w:r>
            <w:r w:rsidR="003B50ED">
              <w:rPr>
                <w:rFonts w:eastAsia="Calibri" w:cstheme="minorHAnsi"/>
                <w:lang w:eastAsia="pl-PL"/>
              </w:rPr>
              <w:t xml:space="preserve"> </w:t>
            </w:r>
            <w:r w:rsidRPr="00A26C26">
              <w:rPr>
                <w:rFonts w:eastAsia="Calibri" w:cstheme="minorHAnsi"/>
                <w:lang w:eastAsia="pl-PL"/>
              </w:rPr>
              <w:t>szanse</w:t>
            </w:r>
            <w:r w:rsidR="003B50ED">
              <w:rPr>
                <w:rFonts w:eastAsia="Calibri" w:cstheme="minorHAnsi"/>
                <w:lang w:eastAsia="pl-PL"/>
              </w:rPr>
              <w:t xml:space="preserve"> </w:t>
            </w:r>
            <w:r w:rsidRPr="00A26C26">
              <w:rPr>
                <w:rFonts w:eastAsia="Calibri" w:cstheme="minorHAnsi"/>
                <w:lang w:eastAsia="pl-PL"/>
              </w:rPr>
              <w:t>na</w:t>
            </w:r>
            <w:r w:rsidR="003B50ED">
              <w:rPr>
                <w:rFonts w:eastAsia="Calibri" w:cstheme="minorHAnsi"/>
                <w:lang w:eastAsia="pl-PL"/>
              </w:rPr>
              <w:t xml:space="preserve"> </w:t>
            </w:r>
            <w:r w:rsidRPr="00A26C26">
              <w:rPr>
                <w:rFonts w:eastAsia="Calibri" w:cstheme="minorHAnsi"/>
                <w:lang w:eastAsia="pl-PL"/>
              </w:rPr>
              <w:t>znalezienie</w:t>
            </w:r>
            <w:r w:rsidR="003B50ED">
              <w:rPr>
                <w:rFonts w:eastAsia="Calibri" w:cstheme="minorHAnsi"/>
                <w:lang w:eastAsia="pl-PL"/>
              </w:rPr>
              <w:t xml:space="preserve"> </w:t>
            </w:r>
            <w:r w:rsidRPr="00A26C26">
              <w:rPr>
                <w:rFonts w:eastAsia="Calibri" w:cstheme="minorHAnsi"/>
                <w:lang w:eastAsia="pl-PL"/>
              </w:rPr>
              <w:t>zatrudnienia</w:t>
            </w:r>
            <w:r w:rsidR="003B50ED">
              <w:rPr>
                <w:rFonts w:eastAsia="Calibri" w:cstheme="minorHAnsi"/>
                <w:lang w:eastAsia="pl-PL"/>
              </w:rPr>
              <w:t xml:space="preserve"> </w:t>
            </w:r>
            <w:r w:rsidR="000B7EC5" w:rsidRPr="00A26C26">
              <w:rPr>
                <w:rFonts w:eastAsia="Calibri" w:cstheme="minorHAnsi"/>
                <w:lang w:eastAsia="pl-PL"/>
              </w:rPr>
              <w:br/>
            </w:r>
            <w:r w:rsidRPr="00A26C26">
              <w:rPr>
                <w:rFonts w:eastAsia="Calibri" w:cstheme="minorHAnsi"/>
                <w:lang w:eastAsia="pl-PL"/>
              </w:rPr>
              <w:t>w</w:t>
            </w:r>
            <w:r w:rsidR="003B50ED">
              <w:rPr>
                <w:rFonts w:eastAsia="Calibri" w:cstheme="minorHAnsi"/>
                <w:lang w:eastAsia="pl-PL"/>
              </w:rPr>
              <w:t xml:space="preserve"> </w:t>
            </w:r>
            <w:r w:rsidRPr="00A26C26">
              <w:rPr>
                <w:rFonts w:eastAsia="Calibri" w:cstheme="minorHAnsi"/>
                <w:lang w:eastAsia="pl-PL"/>
              </w:rPr>
              <w:t>miejscu</w:t>
            </w:r>
            <w:r w:rsidR="003B50ED">
              <w:rPr>
                <w:rFonts w:eastAsia="Calibri" w:cstheme="minorHAnsi"/>
                <w:lang w:eastAsia="pl-PL"/>
              </w:rPr>
              <w:t xml:space="preserve"> </w:t>
            </w:r>
            <w:r w:rsidRPr="00A26C26">
              <w:rPr>
                <w:rFonts w:eastAsia="Calibri" w:cstheme="minorHAnsi"/>
                <w:lang w:eastAsia="pl-PL"/>
              </w:rPr>
              <w:t>zamieszkania,</w:t>
            </w:r>
            <w:r w:rsidR="003B50ED">
              <w:rPr>
                <w:rFonts w:eastAsia="Calibri" w:cstheme="minorHAnsi"/>
                <w:lang w:eastAsia="pl-PL"/>
              </w:rPr>
              <w:t xml:space="preserve"> </w:t>
            </w:r>
            <w:r w:rsidRPr="00A26C26">
              <w:rPr>
                <w:rFonts w:eastAsia="Calibri" w:cstheme="minorHAnsi"/>
                <w:lang w:eastAsia="pl-PL"/>
              </w:rPr>
              <w:t>bez</w:t>
            </w:r>
            <w:r w:rsidR="003B50ED">
              <w:rPr>
                <w:rFonts w:eastAsia="Calibri" w:cstheme="minorHAnsi"/>
                <w:lang w:eastAsia="pl-PL"/>
              </w:rPr>
              <w:t xml:space="preserve"> </w:t>
            </w:r>
            <w:r w:rsidRPr="00A26C26">
              <w:rPr>
                <w:rFonts w:eastAsia="Calibri" w:cstheme="minorHAnsi"/>
                <w:lang w:eastAsia="pl-PL"/>
              </w:rPr>
              <w:t>konieczności</w:t>
            </w:r>
            <w:r w:rsidR="003B50ED">
              <w:rPr>
                <w:rFonts w:eastAsia="Calibri" w:cstheme="minorHAnsi"/>
                <w:lang w:eastAsia="pl-PL"/>
              </w:rPr>
              <w:t xml:space="preserve"> </w:t>
            </w:r>
            <w:r w:rsidRPr="00A26C26">
              <w:rPr>
                <w:rFonts w:eastAsia="Calibri" w:cstheme="minorHAnsi"/>
                <w:lang w:eastAsia="pl-PL"/>
              </w:rPr>
              <w:t>migracji</w:t>
            </w:r>
            <w:r w:rsidR="003B50ED">
              <w:rPr>
                <w:rFonts w:eastAsia="Calibri" w:cstheme="minorHAnsi"/>
                <w:lang w:eastAsia="pl-PL"/>
              </w:rPr>
              <w:t xml:space="preserve"> </w:t>
            </w:r>
            <w:r w:rsidRPr="00A26C26">
              <w:rPr>
                <w:rFonts w:eastAsia="Calibri" w:cstheme="minorHAnsi"/>
                <w:lang w:eastAsia="pl-PL"/>
              </w:rPr>
              <w:t>do</w:t>
            </w:r>
            <w:r w:rsidR="003B50ED">
              <w:rPr>
                <w:rFonts w:eastAsia="Calibri" w:cstheme="minorHAnsi"/>
                <w:lang w:eastAsia="pl-PL"/>
              </w:rPr>
              <w:t xml:space="preserve"> </w:t>
            </w:r>
            <w:r w:rsidRPr="00A26C26">
              <w:rPr>
                <w:rFonts w:eastAsia="Calibri" w:cstheme="minorHAnsi"/>
                <w:lang w:eastAsia="pl-PL"/>
              </w:rPr>
              <w:t>dużych</w:t>
            </w:r>
            <w:r w:rsidR="003B50ED">
              <w:rPr>
                <w:rFonts w:eastAsia="Calibri" w:cstheme="minorHAnsi"/>
                <w:lang w:eastAsia="pl-PL"/>
              </w:rPr>
              <w:t xml:space="preserve"> </w:t>
            </w:r>
            <w:r w:rsidRPr="00A26C26">
              <w:rPr>
                <w:rFonts w:eastAsia="Calibri" w:cstheme="minorHAnsi"/>
                <w:lang w:eastAsia="pl-PL"/>
              </w:rPr>
              <w:t>miast.</w:t>
            </w:r>
            <w:r w:rsidR="003B50ED">
              <w:rPr>
                <w:rFonts w:eastAsia="Calibri" w:cstheme="minorHAnsi"/>
                <w:lang w:eastAsia="pl-PL"/>
              </w:rPr>
              <w:t xml:space="preserve"> </w:t>
            </w:r>
            <w:r w:rsidRPr="00A26C26">
              <w:rPr>
                <w:rFonts w:eastAsia="Calibri" w:cstheme="minorHAnsi"/>
                <w:lang w:eastAsia="pl-PL"/>
              </w:rPr>
              <w:t>Wsparcie</w:t>
            </w:r>
            <w:r w:rsidR="003B50ED">
              <w:rPr>
                <w:rFonts w:eastAsia="Calibri" w:cstheme="minorHAnsi"/>
                <w:lang w:eastAsia="pl-PL"/>
              </w:rPr>
              <w:t xml:space="preserve"> </w:t>
            </w:r>
            <w:r w:rsidRPr="00A26C26">
              <w:rPr>
                <w:rFonts w:eastAsia="Calibri" w:cstheme="minorHAnsi"/>
                <w:lang w:eastAsia="pl-PL"/>
              </w:rPr>
              <w:t>uzyskają</w:t>
            </w:r>
            <w:r w:rsidR="003B50ED">
              <w:rPr>
                <w:rFonts w:eastAsia="Calibri" w:cstheme="minorHAnsi"/>
                <w:lang w:eastAsia="pl-PL"/>
              </w:rPr>
              <w:t xml:space="preserve"> </w:t>
            </w:r>
            <w:r w:rsidRPr="00A26C26">
              <w:rPr>
                <w:rFonts w:eastAsia="Calibri" w:cstheme="minorHAnsi"/>
                <w:lang w:eastAsia="pl-PL"/>
              </w:rPr>
              <w:t>również</w:t>
            </w:r>
            <w:r w:rsidR="003B50ED">
              <w:rPr>
                <w:rFonts w:eastAsia="Calibri" w:cstheme="minorHAnsi"/>
                <w:lang w:eastAsia="pl-PL"/>
              </w:rPr>
              <w:t xml:space="preserve"> </w:t>
            </w:r>
            <w:r w:rsidRPr="00A26C26">
              <w:rPr>
                <w:rFonts w:eastAsia="Calibri" w:cstheme="minorHAnsi"/>
                <w:lang w:eastAsia="pl-PL"/>
              </w:rPr>
              <w:t>rolnicy,</w:t>
            </w:r>
            <w:r w:rsidR="003B50ED">
              <w:rPr>
                <w:rFonts w:eastAsia="Calibri" w:cstheme="minorHAnsi"/>
                <w:lang w:eastAsia="pl-PL"/>
              </w:rPr>
              <w:t xml:space="preserve"> </w:t>
            </w:r>
            <w:r w:rsidRPr="00A26C26">
              <w:rPr>
                <w:rFonts w:eastAsia="Calibri" w:cstheme="minorHAnsi"/>
                <w:lang w:eastAsia="pl-PL"/>
              </w:rPr>
              <w:t>którzy</w:t>
            </w:r>
            <w:r w:rsidR="003B50ED">
              <w:rPr>
                <w:rFonts w:eastAsia="Calibri" w:cstheme="minorHAnsi"/>
                <w:lang w:eastAsia="pl-PL"/>
              </w:rPr>
              <w:t xml:space="preserve"> </w:t>
            </w:r>
            <w:r w:rsidRPr="00A26C26">
              <w:rPr>
                <w:rFonts w:eastAsia="Calibri" w:cstheme="minorHAnsi"/>
                <w:lang w:eastAsia="pl-PL"/>
              </w:rPr>
              <w:lastRenderedPageBreak/>
              <w:t>będą</w:t>
            </w:r>
            <w:r w:rsidR="003B50ED">
              <w:rPr>
                <w:rFonts w:eastAsia="Calibri" w:cstheme="minorHAnsi"/>
                <w:lang w:eastAsia="pl-PL"/>
              </w:rPr>
              <w:t xml:space="preserve"> </w:t>
            </w:r>
            <w:r w:rsidRPr="00A26C26">
              <w:rPr>
                <w:rFonts w:eastAsia="Calibri" w:cstheme="minorHAnsi"/>
                <w:lang w:eastAsia="pl-PL"/>
              </w:rPr>
              <w:t>mogli</w:t>
            </w:r>
            <w:r w:rsidR="003B50ED">
              <w:rPr>
                <w:rFonts w:eastAsia="Calibri" w:cstheme="minorHAnsi"/>
                <w:lang w:eastAsia="pl-PL"/>
              </w:rPr>
              <w:t xml:space="preserve"> </w:t>
            </w:r>
            <w:r w:rsidRPr="00A26C26">
              <w:rPr>
                <w:rFonts w:eastAsia="Calibri" w:cstheme="minorHAnsi"/>
                <w:lang w:eastAsia="pl-PL"/>
              </w:rPr>
              <w:t>zwiększyć</w:t>
            </w:r>
            <w:r w:rsidR="003B50ED">
              <w:rPr>
                <w:rFonts w:eastAsia="Calibri" w:cstheme="minorHAnsi"/>
                <w:lang w:eastAsia="pl-PL"/>
              </w:rPr>
              <w:t xml:space="preserve"> </w:t>
            </w:r>
            <w:r w:rsidRPr="00A26C26">
              <w:rPr>
                <w:rFonts w:eastAsia="Calibri" w:cstheme="minorHAnsi"/>
                <w:lang w:eastAsia="pl-PL"/>
              </w:rPr>
              <w:t>swoje</w:t>
            </w:r>
            <w:r w:rsidR="003B50ED">
              <w:rPr>
                <w:rFonts w:eastAsia="Calibri" w:cstheme="minorHAnsi"/>
                <w:lang w:eastAsia="pl-PL"/>
              </w:rPr>
              <w:t xml:space="preserve"> </w:t>
            </w:r>
            <w:r w:rsidRPr="00A26C26">
              <w:rPr>
                <w:rFonts w:eastAsia="Calibri" w:cstheme="minorHAnsi"/>
                <w:lang w:eastAsia="pl-PL"/>
              </w:rPr>
              <w:t>dochody</w:t>
            </w:r>
            <w:r w:rsidR="003B50ED">
              <w:rPr>
                <w:rFonts w:eastAsia="Calibri" w:cstheme="minorHAnsi"/>
                <w:lang w:eastAsia="pl-PL"/>
              </w:rPr>
              <w:t xml:space="preserve"> </w:t>
            </w:r>
            <w:r w:rsidRPr="00A26C26">
              <w:rPr>
                <w:rFonts w:eastAsia="Calibri" w:cstheme="minorHAnsi"/>
                <w:lang w:eastAsia="pl-PL"/>
              </w:rPr>
              <w:t>poprzez</w:t>
            </w:r>
            <w:r w:rsidR="003B50ED">
              <w:rPr>
                <w:rFonts w:eastAsia="Calibri" w:cstheme="minorHAnsi"/>
                <w:lang w:eastAsia="pl-PL"/>
              </w:rPr>
              <w:t xml:space="preserve"> </w:t>
            </w:r>
            <w:r w:rsidRPr="00A26C26">
              <w:rPr>
                <w:rFonts w:eastAsia="Calibri" w:cstheme="minorHAnsi"/>
                <w:lang w:eastAsia="pl-PL"/>
              </w:rPr>
              <w:t>utworzenie</w:t>
            </w:r>
            <w:r w:rsidR="003B50ED">
              <w:rPr>
                <w:rFonts w:eastAsia="Calibri" w:cstheme="minorHAnsi"/>
                <w:lang w:eastAsia="pl-PL"/>
              </w:rPr>
              <w:t xml:space="preserve"> </w:t>
            </w:r>
            <w:r w:rsidRPr="00A26C26">
              <w:rPr>
                <w:rFonts w:eastAsia="Calibri" w:cstheme="minorHAnsi"/>
                <w:lang w:eastAsia="pl-PL"/>
              </w:rPr>
              <w:t>gospodarstw</w:t>
            </w:r>
            <w:r w:rsidR="003B50ED">
              <w:rPr>
                <w:rFonts w:eastAsia="Calibri" w:cstheme="minorHAnsi"/>
                <w:lang w:eastAsia="pl-PL"/>
              </w:rPr>
              <w:t xml:space="preserve"> </w:t>
            </w:r>
            <w:r w:rsidRPr="00A26C26">
              <w:rPr>
                <w:rFonts w:eastAsia="Calibri" w:cstheme="minorHAnsi"/>
                <w:lang w:eastAsia="pl-PL"/>
              </w:rPr>
              <w:t>agroturystycznych,</w:t>
            </w:r>
            <w:r w:rsidR="003B50ED">
              <w:rPr>
                <w:rFonts w:eastAsia="Calibri" w:cstheme="minorHAnsi"/>
                <w:lang w:eastAsia="pl-PL"/>
              </w:rPr>
              <w:t xml:space="preserve"> </w:t>
            </w:r>
            <w:r w:rsidRPr="00A26C26">
              <w:rPr>
                <w:rFonts w:eastAsia="Calibri" w:cstheme="minorHAnsi"/>
                <w:lang w:eastAsia="pl-PL"/>
              </w:rPr>
              <w:t>co</w:t>
            </w:r>
            <w:r w:rsidR="003B50ED">
              <w:rPr>
                <w:rFonts w:eastAsia="Calibri" w:cstheme="minorHAnsi"/>
                <w:lang w:eastAsia="pl-PL"/>
              </w:rPr>
              <w:t xml:space="preserve"> </w:t>
            </w:r>
            <w:r w:rsidRPr="00A26C26">
              <w:rPr>
                <w:rFonts w:eastAsia="Calibri" w:cstheme="minorHAnsi"/>
                <w:lang w:eastAsia="pl-PL"/>
              </w:rPr>
              <w:t>być</w:t>
            </w:r>
            <w:r w:rsidR="003B50ED">
              <w:rPr>
                <w:rFonts w:eastAsia="Calibri" w:cstheme="minorHAnsi"/>
                <w:lang w:eastAsia="pl-PL"/>
              </w:rPr>
              <w:t xml:space="preserve"> </w:t>
            </w:r>
            <w:r w:rsidRPr="00A26C26">
              <w:rPr>
                <w:rFonts w:eastAsia="Calibri" w:cstheme="minorHAnsi"/>
                <w:lang w:eastAsia="pl-PL"/>
              </w:rPr>
              <w:t>może</w:t>
            </w:r>
            <w:r w:rsidR="003B50ED">
              <w:rPr>
                <w:rFonts w:eastAsia="Calibri" w:cstheme="minorHAnsi"/>
                <w:lang w:eastAsia="pl-PL"/>
              </w:rPr>
              <w:t xml:space="preserve"> </w:t>
            </w:r>
            <w:r w:rsidR="00444EBB">
              <w:rPr>
                <w:rFonts w:eastAsia="Calibri" w:cstheme="minorHAnsi"/>
                <w:lang w:eastAsia="pl-PL"/>
              </w:rPr>
              <w:t xml:space="preserve">                                 </w:t>
            </w:r>
            <w:r w:rsidRPr="00A26C26">
              <w:rPr>
                <w:rFonts w:eastAsia="Calibri" w:cstheme="minorHAnsi"/>
                <w:lang w:eastAsia="pl-PL"/>
              </w:rPr>
              <w:t>w</w:t>
            </w:r>
            <w:r w:rsidR="003B50ED">
              <w:rPr>
                <w:rFonts w:eastAsia="Calibri" w:cstheme="minorHAnsi"/>
                <w:lang w:eastAsia="pl-PL"/>
              </w:rPr>
              <w:t xml:space="preserve"> </w:t>
            </w:r>
            <w:r w:rsidRPr="00A26C26">
              <w:rPr>
                <w:rFonts w:eastAsia="Calibri" w:cstheme="minorHAnsi"/>
                <w:lang w:eastAsia="pl-PL"/>
              </w:rPr>
              <w:t>przyszłości</w:t>
            </w:r>
            <w:r w:rsidR="003B50ED">
              <w:rPr>
                <w:rFonts w:eastAsia="Calibri" w:cstheme="minorHAnsi"/>
                <w:lang w:eastAsia="pl-PL"/>
              </w:rPr>
              <w:t xml:space="preserve"> </w:t>
            </w:r>
            <w:r w:rsidRPr="00A26C26">
              <w:rPr>
                <w:rFonts w:eastAsia="Calibri" w:cstheme="minorHAnsi"/>
                <w:lang w:eastAsia="pl-PL"/>
              </w:rPr>
              <w:t>przełoży</w:t>
            </w:r>
            <w:r w:rsidR="003B50ED">
              <w:rPr>
                <w:rFonts w:eastAsia="Calibri" w:cstheme="minorHAnsi"/>
                <w:lang w:eastAsia="pl-PL"/>
              </w:rPr>
              <w:t xml:space="preserve"> </w:t>
            </w:r>
            <w:r w:rsidRPr="00A26C26">
              <w:rPr>
                <w:rFonts w:eastAsia="Calibri" w:cstheme="minorHAnsi"/>
                <w:lang w:eastAsia="pl-PL"/>
              </w:rPr>
              <w:t>się</w:t>
            </w:r>
            <w:r w:rsidR="003B50ED">
              <w:rPr>
                <w:rFonts w:eastAsia="Calibri" w:cstheme="minorHAnsi"/>
                <w:lang w:eastAsia="pl-PL"/>
              </w:rPr>
              <w:t xml:space="preserve"> </w:t>
            </w:r>
            <w:r w:rsidRPr="00A26C26">
              <w:rPr>
                <w:rFonts w:eastAsia="Calibri" w:cstheme="minorHAnsi"/>
                <w:lang w:eastAsia="pl-PL"/>
              </w:rPr>
              <w:t>na</w:t>
            </w:r>
            <w:r w:rsidR="003B50ED">
              <w:rPr>
                <w:rFonts w:eastAsia="Calibri" w:cstheme="minorHAnsi"/>
                <w:lang w:eastAsia="pl-PL"/>
              </w:rPr>
              <w:t xml:space="preserve"> </w:t>
            </w:r>
            <w:r w:rsidRPr="00A26C26">
              <w:rPr>
                <w:rFonts w:eastAsia="Calibri" w:cstheme="minorHAnsi"/>
                <w:lang w:eastAsia="pl-PL"/>
              </w:rPr>
              <w:t>rozwój</w:t>
            </w:r>
            <w:r w:rsidR="003B50ED">
              <w:rPr>
                <w:rFonts w:eastAsia="Calibri" w:cstheme="minorHAnsi"/>
                <w:lang w:eastAsia="pl-PL"/>
              </w:rPr>
              <w:t xml:space="preserve"> </w:t>
            </w:r>
            <w:r w:rsidRPr="00A26C26">
              <w:rPr>
                <w:rFonts w:eastAsia="Calibri" w:cstheme="minorHAnsi"/>
                <w:lang w:eastAsia="pl-PL"/>
              </w:rPr>
              <w:t>przedsiębiorczości</w:t>
            </w:r>
            <w:r w:rsidR="003B50ED">
              <w:rPr>
                <w:rFonts w:eastAsia="Calibri" w:cstheme="minorHAnsi"/>
                <w:lang w:eastAsia="pl-PL"/>
              </w:rPr>
              <w:t xml:space="preserve"> </w:t>
            </w:r>
            <w:r w:rsidRPr="00A26C26">
              <w:rPr>
                <w:rFonts w:eastAsia="Calibri" w:cstheme="minorHAnsi"/>
                <w:lang w:eastAsia="pl-PL"/>
              </w:rPr>
              <w:t>wspierającej</w:t>
            </w:r>
            <w:r w:rsidR="003B50ED">
              <w:rPr>
                <w:rFonts w:eastAsia="Calibri" w:cstheme="minorHAnsi"/>
                <w:lang w:eastAsia="pl-PL"/>
              </w:rPr>
              <w:t xml:space="preserve"> </w:t>
            </w:r>
            <w:r w:rsidRPr="00A26C26">
              <w:rPr>
                <w:rFonts w:eastAsia="Calibri" w:cstheme="minorHAnsi"/>
                <w:lang w:eastAsia="pl-PL"/>
              </w:rPr>
              <w:t>rolnictwo.</w:t>
            </w:r>
          </w:p>
        </w:tc>
      </w:tr>
      <w:tr w:rsidR="00857736" w:rsidRPr="00A26C26" w14:paraId="4BB43D35" w14:textId="77777777" w:rsidTr="00233140">
        <w:trPr>
          <w:trHeight w:val="249"/>
        </w:trPr>
        <w:tc>
          <w:tcPr>
            <w:tcW w:w="10201" w:type="dxa"/>
            <w:gridSpan w:val="2"/>
          </w:tcPr>
          <w:p w14:paraId="782F5A9D" w14:textId="2C22137B" w:rsidR="00857736" w:rsidRPr="00A26C26" w:rsidRDefault="00857736" w:rsidP="00A26C26">
            <w:pPr>
              <w:spacing w:line="276" w:lineRule="auto"/>
              <w:jc w:val="both"/>
              <w:rPr>
                <w:rFonts w:eastAsia="Calibri" w:cstheme="minorHAnsi"/>
                <w:lang w:eastAsia="pl-PL"/>
              </w:rPr>
            </w:pPr>
            <w:r w:rsidRPr="00A26C26">
              <w:rPr>
                <w:rFonts w:eastAsia="Calibri" w:cstheme="minorHAnsi"/>
              </w:rPr>
              <w:lastRenderedPageBreak/>
              <w:t>Strategia</w:t>
            </w:r>
            <w:r w:rsidR="003B50ED">
              <w:rPr>
                <w:rFonts w:eastAsia="Calibri" w:cstheme="minorHAnsi"/>
              </w:rPr>
              <w:t xml:space="preserve"> </w:t>
            </w:r>
            <w:r w:rsidRPr="00A26C26">
              <w:rPr>
                <w:rFonts w:eastAsia="Calibri" w:cstheme="minorHAnsi"/>
              </w:rPr>
              <w:t>Na</w:t>
            </w:r>
            <w:r w:rsidR="003B50ED">
              <w:rPr>
                <w:rFonts w:eastAsia="Calibri" w:cstheme="minorHAnsi"/>
              </w:rPr>
              <w:t xml:space="preserve"> </w:t>
            </w:r>
            <w:r w:rsidRPr="00A26C26">
              <w:rPr>
                <w:rFonts w:eastAsia="Calibri" w:cstheme="minorHAnsi"/>
              </w:rPr>
              <w:t>Rzecz</w:t>
            </w:r>
            <w:r w:rsidR="003B50ED">
              <w:rPr>
                <w:rFonts w:eastAsia="Calibri" w:cstheme="minorHAnsi"/>
              </w:rPr>
              <w:t xml:space="preserve"> </w:t>
            </w:r>
            <w:r w:rsidRPr="00A26C26">
              <w:rPr>
                <w:rFonts w:eastAsia="Calibri" w:cstheme="minorHAnsi"/>
              </w:rPr>
              <w:t>Odpowiedzialnego</w:t>
            </w:r>
            <w:r w:rsidR="003B50ED">
              <w:rPr>
                <w:rFonts w:eastAsia="Calibri" w:cstheme="minorHAnsi"/>
              </w:rPr>
              <w:t xml:space="preserve"> </w:t>
            </w:r>
            <w:r w:rsidRPr="00A26C26">
              <w:rPr>
                <w:rFonts w:eastAsia="Calibri" w:cstheme="minorHAnsi"/>
              </w:rPr>
              <w:t>Rozwoju</w:t>
            </w:r>
            <w:r w:rsidR="003B50ED">
              <w:rPr>
                <w:rFonts w:eastAsia="Calibri" w:cstheme="minorHAnsi"/>
              </w:rPr>
              <w:t xml:space="preserve"> </w:t>
            </w:r>
            <w:r w:rsidRPr="00A26C26">
              <w:rPr>
                <w:rFonts w:eastAsia="Calibri" w:cstheme="minorHAnsi"/>
              </w:rPr>
              <w:t>do</w:t>
            </w:r>
            <w:r w:rsidR="003B50ED">
              <w:rPr>
                <w:rFonts w:eastAsia="Calibri" w:cstheme="minorHAnsi"/>
              </w:rPr>
              <w:t xml:space="preserve"> </w:t>
            </w:r>
            <w:r w:rsidRPr="00A26C26">
              <w:rPr>
                <w:rFonts w:eastAsia="Calibri" w:cstheme="minorHAnsi"/>
              </w:rPr>
              <w:t>roku</w:t>
            </w:r>
            <w:r w:rsidR="003B50ED">
              <w:rPr>
                <w:rFonts w:eastAsia="Calibri" w:cstheme="minorHAnsi"/>
              </w:rPr>
              <w:t xml:space="preserve"> </w:t>
            </w:r>
            <w:r w:rsidRPr="00A26C26">
              <w:rPr>
                <w:rFonts w:eastAsia="Calibri" w:cstheme="minorHAnsi"/>
              </w:rPr>
              <w:t>2020</w:t>
            </w:r>
            <w:r w:rsidR="003B50ED">
              <w:rPr>
                <w:rFonts w:eastAsia="Calibri" w:cstheme="minorHAnsi"/>
              </w:rPr>
              <w:t xml:space="preserve"> </w:t>
            </w:r>
            <w:r w:rsidRPr="00A26C26">
              <w:rPr>
                <w:rFonts w:eastAsia="Calibri" w:cstheme="minorHAnsi"/>
              </w:rPr>
              <w:t>(z</w:t>
            </w:r>
            <w:r w:rsidR="003B50ED">
              <w:rPr>
                <w:rFonts w:eastAsia="Calibri" w:cstheme="minorHAnsi"/>
              </w:rPr>
              <w:t xml:space="preserve"> </w:t>
            </w:r>
            <w:r w:rsidRPr="00A26C26">
              <w:rPr>
                <w:rFonts w:eastAsia="Calibri" w:cstheme="minorHAnsi"/>
              </w:rPr>
              <w:t>perspektywą</w:t>
            </w:r>
            <w:r w:rsidR="003B50ED">
              <w:rPr>
                <w:rFonts w:eastAsia="Calibri" w:cstheme="minorHAnsi"/>
              </w:rPr>
              <w:t xml:space="preserve"> </w:t>
            </w:r>
            <w:r w:rsidRPr="00A26C26">
              <w:rPr>
                <w:rFonts w:eastAsia="Calibri" w:cstheme="minorHAnsi"/>
              </w:rPr>
              <w:t>do</w:t>
            </w:r>
            <w:r w:rsidR="003B50ED">
              <w:rPr>
                <w:rFonts w:eastAsia="Calibri" w:cstheme="minorHAnsi"/>
              </w:rPr>
              <w:t xml:space="preserve"> </w:t>
            </w:r>
            <w:r w:rsidRPr="00A26C26">
              <w:rPr>
                <w:rFonts w:eastAsia="Calibri" w:cstheme="minorHAnsi"/>
              </w:rPr>
              <w:t>2030</w:t>
            </w:r>
            <w:r w:rsidR="003B50ED">
              <w:rPr>
                <w:rFonts w:eastAsia="Calibri" w:cstheme="minorHAnsi"/>
              </w:rPr>
              <w:t xml:space="preserve"> </w:t>
            </w:r>
            <w:r w:rsidRPr="00A26C26">
              <w:rPr>
                <w:rFonts w:eastAsia="Calibri" w:cstheme="minorHAnsi"/>
              </w:rPr>
              <w:t>r.)</w:t>
            </w:r>
            <w:r w:rsidR="003B50ED">
              <w:rPr>
                <w:rFonts w:eastAsia="Calibri" w:cstheme="minorHAnsi"/>
              </w:rPr>
              <w:t xml:space="preserve"> </w:t>
            </w:r>
          </w:p>
        </w:tc>
      </w:tr>
      <w:tr w:rsidR="00857736" w:rsidRPr="00A26C26" w14:paraId="557D9C8A" w14:textId="77777777" w:rsidTr="00233140">
        <w:trPr>
          <w:trHeight w:val="249"/>
        </w:trPr>
        <w:tc>
          <w:tcPr>
            <w:tcW w:w="10201" w:type="dxa"/>
            <w:gridSpan w:val="2"/>
          </w:tcPr>
          <w:p w14:paraId="5C9D03FA" w14:textId="37D674E2" w:rsidR="00857736" w:rsidRPr="00A26C26" w:rsidRDefault="00857736" w:rsidP="00A26C26">
            <w:pPr>
              <w:spacing w:line="276" w:lineRule="auto"/>
              <w:jc w:val="both"/>
              <w:rPr>
                <w:rFonts w:eastAsia="Calibri" w:cstheme="minorHAnsi"/>
              </w:rPr>
            </w:pPr>
            <w:r w:rsidRPr="00A26C26">
              <w:rPr>
                <w:rFonts w:eastAsia="Calibri" w:cstheme="minorHAnsi"/>
              </w:rPr>
              <w:t>Cel</w:t>
            </w:r>
            <w:r w:rsidR="003B50ED">
              <w:rPr>
                <w:rFonts w:eastAsia="Calibri" w:cstheme="minorHAnsi"/>
              </w:rPr>
              <w:t xml:space="preserve"> </w:t>
            </w:r>
            <w:r w:rsidRPr="00A26C26">
              <w:rPr>
                <w:rFonts w:eastAsia="Calibri" w:cstheme="minorHAnsi"/>
              </w:rPr>
              <w:t>szczegółowy</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Trwały</w:t>
            </w:r>
            <w:r w:rsidR="003B50ED">
              <w:rPr>
                <w:rFonts w:eastAsia="Calibri" w:cstheme="minorHAnsi"/>
              </w:rPr>
              <w:t xml:space="preserve"> </w:t>
            </w:r>
            <w:r w:rsidRPr="00A26C26">
              <w:rPr>
                <w:rFonts w:eastAsia="Calibri" w:cstheme="minorHAnsi"/>
              </w:rPr>
              <w:t>wzrost</w:t>
            </w:r>
            <w:r w:rsidR="003B50ED">
              <w:rPr>
                <w:rFonts w:eastAsia="Calibri" w:cstheme="minorHAnsi"/>
              </w:rPr>
              <w:t xml:space="preserve"> </w:t>
            </w:r>
            <w:r w:rsidRPr="00A26C26">
              <w:rPr>
                <w:rFonts w:eastAsia="Calibri" w:cstheme="minorHAnsi"/>
              </w:rPr>
              <w:t>gospodarczy</w:t>
            </w:r>
            <w:r w:rsidR="003B50ED">
              <w:rPr>
                <w:rFonts w:eastAsia="Calibri" w:cstheme="minorHAnsi"/>
              </w:rPr>
              <w:t xml:space="preserve"> </w:t>
            </w:r>
            <w:r w:rsidRPr="00A26C26">
              <w:rPr>
                <w:rFonts w:eastAsia="Calibri" w:cstheme="minorHAnsi"/>
              </w:rPr>
              <w:t>oparty</w:t>
            </w:r>
            <w:r w:rsidR="003B50ED">
              <w:rPr>
                <w:rFonts w:eastAsia="Calibri" w:cstheme="minorHAnsi"/>
              </w:rPr>
              <w:t xml:space="preserve"> </w:t>
            </w:r>
            <w:r w:rsidRPr="00A26C26">
              <w:rPr>
                <w:rFonts w:eastAsia="Calibri" w:cstheme="minorHAnsi"/>
              </w:rPr>
              <w:t>coraz</w:t>
            </w:r>
            <w:r w:rsidR="003B50ED">
              <w:rPr>
                <w:rFonts w:eastAsia="Calibri" w:cstheme="minorHAnsi"/>
              </w:rPr>
              <w:t xml:space="preserve"> </w:t>
            </w:r>
            <w:r w:rsidRPr="00A26C26">
              <w:rPr>
                <w:rFonts w:eastAsia="Calibri" w:cstheme="minorHAnsi"/>
              </w:rPr>
              <w:t>silniej</w:t>
            </w:r>
            <w:r w:rsidR="003B50ED">
              <w:rPr>
                <w:rFonts w:eastAsia="Calibri" w:cstheme="minorHAnsi"/>
              </w:rPr>
              <w:t xml:space="preserve"> </w:t>
            </w:r>
            <w:r w:rsidRPr="00A26C26">
              <w:rPr>
                <w:rFonts w:eastAsia="Calibri" w:cstheme="minorHAnsi"/>
              </w:rPr>
              <w:t>o</w:t>
            </w:r>
            <w:r w:rsidR="003B50ED">
              <w:rPr>
                <w:rFonts w:eastAsia="Calibri" w:cstheme="minorHAnsi"/>
              </w:rPr>
              <w:t xml:space="preserve"> </w:t>
            </w:r>
            <w:r w:rsidRPr="00A26C26">
              <w:rPr>
                <w:rFonts w:eastAsia="Calibri" w:cstheme="minorHAnsi"/>
              </w:rPr>
              <w:t>wiedzę,</w:t>
            </w:r>
            <w:r w:rsidR="003B50ED">
              <w:rPr>
                <w:rFonts w:eastAsia="Calibri" w:cstheme="minorHAnsi"/>
              </w:rPr>
              <w:t xml:space="preserve"> </w:t>
            </w:r>
            <w:r w:rsidRPr="00A26C26">
              <w:rPr>
                <w:rFonts w:eastAsia="Calibri" w:cstheme="minorHAnsi"/>
              </w:rPr>
              <w:t>dane</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doskonałość</w:t>
            </w:r>
            <w:r w:rsidR="003B50ED">
              <w:rPr>
                <w:rFonts w:eastAsia="Calibri" w:cstheme="minorHAnsi"/>
              </w:rPr>
              <w:t xml:space="preserve"> </w:t>
            </w:r>
            <w:r w:rsidRPr="00A26C26">
              <w:rPr>
                <w:rFonts w:eastAsia="Calibri" w:cstheme="minorHAnsi"/>
              </w:rPr>
              <w:t>organizacyjną</w:t>
            </w:r>
          </w:p>
          <w:p w14:paraId="0EAE72FA" w14:textId="5DE22DEB" w:rsidR="00857736" w:rsidRPr="00A26C26" w:rsidRDefault="00857736" w:rsidP="00A26C26">
            <w:pPr>
              <w:spacing w:line="276" w:lineRule="auto"/>
              <w:jc w:val="both"/>
              <w:rPr>
                <w:rFonts w:eastAsia="Calibri" w:cstheme="minorHAnsi"/>
                <w:lang w:eastAsia="pl-PL"/>
              </w:rPr>
            </w:pPr>
            <w:r w:rsidRPr="00A26C26">
              <w:rPr>
                <w:rFonts w:eastAsia="Calibri" w:cstheme="minorHAnsi"/>
              </w:rPr>
              <w:t>Cel</w:t>
            </w:r>
            <w:r w:rsidR="003B50ED">
              <w:rPr>
                <w:rFonts w:eastAsia="Calibri" w:cstheme="minorHAnsi"/>
              </w:rPr>
              <w:t xml:space="preserve"> </w:t>
            </w:r>
            <w:r w:rsidRPr="00A26C26">
              <w:rPr>
                <w:rFonts w:eastAsia="Calibri" w:cstheme="minorHAnsi"/>
              </w:rPr>
              <w:t>szczegółowy</w:t>
            </w:r>
            <w:r w:rsidR="003B50ED">
              <w:rPr>
                <w:rFonts w:eastAsia="Calibri" w:cstheme="minorHAnsi"/>
              </w:rPr>
              <w:t xml:space="preserve"> </w:t>
            </w:r>
            <w:r w:rsidRPr="00A26C26">
              <w:rPr>
                <w:rFonts w:eastAsia="Calibri" w:cstheme="minorHAnsi"/>
              </w:rPr>
              <w:t>II</w:t>
            </w:r>
            <w:r w:rsidR="003B50ED">
              <w:rPr>
                <w:rFonts w:eastAsia="Calibri" w:cstheme="minorHAnsi"/>
              </w:rPr>
              <w:t xml:space="preserve"> </w:t>
            </w:r>
            <w:r w:rsidRPr="00A26C26">
              <w:rPr>
                <w:rFonts w:eastAsia="Calibri" w:cstheme="minorHAnsi"/>
              </w:rPr>
              <w:t>Rozwój</w:t>
            </w:r>
            <w:r w:rsidR="003B50ED">
              <w:rPr>
                <w:rFonts w:eastAsia="Calibri" w:cstheme="minorHAnsi"/>
              </w:rPr>
              <w:t xml:space="preserve"> </w:t>
            </w:r>
            <w:r w:rsidRPr="00A26C26">
              <w:rPr>
                <w:rFonts w:eastAsia="Calibri" w:cstheme="minorHAnsi"/>
              </w:rPr>
              <w:t>społecznie</w:t>
            </w:r>
            <w:r w:rsidR="003B50ED">
              <w:rPr>
                <w:rFonts w:eastAsia="Calibri" w:cstheme="minorHAnsi"/>
              </w:rPr>
              <w:t xml:space="preserve"> </w:t>
            </w:r>
            <w:r w:rsidRPr="00A26C26">
              <w:rPr>
                <w:rFonts w:eastAsia="Calibri" w:cstheme="minorHAnsi"/>
              </w:rPr>
              <w:t>wrażliwy</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terytorialnie</w:t>
            </w:r>
            <w:r w:rsidR="003B50ED">
              <w:rPr>
                <w:rFonts w:eastAsia="Calibri" w:cstheme="minorHAnsi"/>
              </w:rPr>
              <w:t xml:space="preserve"> </w:t>
            </w:r>
            <w:r w:rsidRPr="00A26C26">
              <w:rPr>
                <w:rFonts w:eastAsia="Calibri" w:cstheme="minorHAnsi"/>
              </w:rPr>
              <w:t>zrównoważony</w:t>
            </w:r>
          </w:p>
        </w:tc>
      </w:tr>
      <w:tr w:rsidR="00857736" w:rsidRPr="00A26C26" w14:paraId="1B217F56" w14:textId="77777777" w:rsidTr="005D57A1">
        <w:trPr>
          <w:trHeight w:val="2443"/>
        </w:trPr>
        <w:tc>
          <w:tcPr>
            <w:tcW w:w="10201" w:type="dxa"/>
            <w:gridSpan w:val="2"/>
          </w:tcPr>
          <w:p w14:paraId="4EEB2B0E" w14:textId="74B0BED7" w:rsidR="00857736" w:rsidRPr="00A26C26" w:rsidRDefault="00857736" w:rsidP="00A26C26">
            <w:pPr>
              <w:spacing w:line="276" w:lineRule="auto"/>
              <w:jc w:val="both"/>
              <w:rPr>
                <w:rFonts w:eastAsia="Calibri" w:cstheme="minorHAnsi"/>
                <w:lang w:eastAsia="pl-PL"/>
              </w:rPr>
            </w:pPr>
            <w:r w:rsidRPr="00A26C26">
              <w:rPr>
                <w:rFonts w:eastAsia="Calibri" w:cstheme="minorHAnsi"/>
                <w:lang w:eastAsia="pl-PL"/>
              </w:rPr>
              <w:t>Przedsięwzięcia</w:t>
            </w:r>
            <w:r w:rsidR="003B50ED">
              <w:rPr>
                <w:rFonts w:eastAsia="Calibri" w:cstheme="minorHAnsi"/>
                <w:lang w:eastAsia="pl-PL"/>
              </w:rPr>
              <w:t xml:space="preserve"> </w:t>
            </w:r>
            <w:r w:rsidRPr="00A26C26">
              <w:rPr>
                <w:rFonts w:eastAsia="Calibri" w:cstheme="minorHAnsi"/>
                <w:lang w:eastAsia="pl-PL"/>
              </w:rPr>
              <w:t>LSR</w:t>
            </w:r>
            <w:r w:rsidR="003B50ED">
              <w:rPr>
                <w:rFonts w:eastAsia="Calibri" w:cstheme="minorHAnsi"/>
                <w:lang w:eastAsia="pl-PL"/>
              </w:rPr>
              <w:t xml:space="preserve"> </w:t>
            </w:r>
            <w:r w:rsidRPr="00A26C26">
              <w:rPr>
                <w:rFonts w:eastAsia="Calibri" w:cstheme="minorHAnsi"/>
                <w:lang w:eastAsia="pl-PL"/>
              </w:rPr>
              <w:t>są</w:t>
            </w:r>
            <w:r w:rsidR="003B50ED">
              <w:rPr>
                <w:rFonts w:eastAsia="Calibri" w:cstheme="minorHAnsi"/>
                <w:lang w:eastAsia="pl-PL"/>
              </w:rPr>
              <w:t xml:space="preserve"> </w:t>
            </w:r>
            <w:r w:rsidRPr="00A26C26">
              <w:rPr>
                <w:rFonts w:eastAsia="Calibri" w:cstheme="minorHAnsi"/>
                <w:lang w:eastAsia="pl-PL"/>
              </w:rPr>
              <w:t>względem</w:t>
            </w:r>
            <w:r w:rsidR="003B50ED">
              <w:rPr>
                <w:rFonts w:eastAsia="Calibri" w:cstheme="minorHAnsi"/>
                <w:lang w:eastAsia="pl-PL"/>
              </w:rPr>
              <w:t xml:space="preserve"> </w:t>
            </w:r>
            <w:r w:rsidRPr="00A26C26">
              <w:rPr>
                <w:rFonts w:eastAsia="Calibri" w:cstheme="minorHAnsi"/>
                <w:lang w:eastAsia="pl-PL"/>
              </w:rPr>
              <w:t>celów</w:t>
            </w:r>
            <w:r w:rsidR="003B50ED">
              <w:rPr>
                <w:rFonts w:eastAsia="Calibri" w:cstheme="minorHAnsi"/>
                <w:lang w:eastAsia="pl-PL"/>
              </w:rPr>
              <w:t xml:space="preserve"> </w:t>
            </w:r>
            <w:r w:rsidRPr="00A26C26">
              <w:rPr>
                <w:rFonts w:eastAsia="Calibri" w:cstheme="minorHAnsi"/>
                <w:lang w:eastAsia="pl-PL"/>
              </w:rPr>
              <w:t>Strategii</w:t>
            </w:r>
            <w:r w:rsidR="003B50ED">
              <w:rPr>
                <w:rFonts w:eastAsia="Calibri" w:cstheme="minorHAnsi"/>
                <w:lang w:eastAsia="pl-PL"/>
              </w:rPr>
              <w:t xml:space="preserve"> </w:t>
            </w:r>
            <w:r w:rsidRPr="00A26C26">
              <w:rPr>
                <w:rFonts w:eastAsia="Calibri" w:cstheme="minorHAnsi"/>
                <w:lang w:eastAsia="pl-PL"/>
              </w:rPr>
              <w:t>komplementarne,</w:t>
            </w:r>
            <w:r w:rsidR="003B50ED">
              <w:rPr>
                <w:rFonts w:eastAsia="Calibri" w:cstheme="minorHAnsi"/>
                <w:lang w:eastAsia="pl-PL"/>
              </w:rPr>
              <w:t xml:space="preserve"> </w:t>
            </w:r>
            <w:r w:rsidRPr="00A26C26">
              <w:rPr>
                <w:rFonts w:eastAsia="Calibri" w:cstheme="minorHAnsi"/>
                <w:lang w:eastAsia="pl-PL"/>
              </w:rPr>
              <w:t>spójne</w:t>
            </w:r>
            <w:r w:rsidR="003B50ED">
              <w:rPr>
                <w:rFonts w:eastAsia="Calibri" w:cstheme="minorHAnsi"/>
                <w:lang w:eastAsia="pl-PL"/>
              </w:rPr>
              <w:t xml:space="preserve"> </w:t>
            </w:r>
            <w:r w:rsidRPr="00A26C26">
              <w:rPr>
                <w:rFonts w:eastAsia="Calibri" w:cstheme="minorHAnsi"/>
                <w:lang w:eastAsia="pl-PL"/>
              </w:rPr>
              <w:t>i</w:t>
            </w:r>
            <w:r w:rsidR="003B50ED">
              <w:rPr>
                <w:rFonts w:eastAsia="Calibri" w:cstheme="minorHAnsi"/>
                <w:lang w:eastAsia="pl-PL"/>
              </w:rPr>
              <w:t xml:space="preserve"> </w:t>
            </w:r>
            <w:r w:rsidRPr="00A26C26">
              <w:rPr>
                <w:rFonts w:eastAsia="Calibri" w:cstheme="minorHAnsi"/>
                <w:lang w:eastAsia="pl-PL"/>
              </w:rPr>
              <w:t>synergiczne.</w:t>
            </w:r>
            <w:r w:rsidR="003B50ED">
              <w:rPr>
                <w:rFonts w:eastAsia="Calibri" w:cstheme="minorHAnsi"/>
                <w:lang w:eastAsia="pl-PL"/>
              </w:rPr>
              <w:t xml:space="preserve"> </w:t>
            </w:r>
          </w:p>
          <w:p w14:paraId="52EAF763" w14:textId="59D51154" w:rsidR="00857736" w:rsidRPr="00A26C26" w:rsidRDefault="00857736" w:rsidP="00A26C26">
            <w:pPr>
              <w:spacing w:line="276" w:lineRule="auto"/>
              <w:jc w:val="both"/>
              <w:rPr>
                <w:rFonts w:eastAsia="Calibri" w:cstheme="minorHAnsi"/>
              </w:rPr>
            </w:pPr>
            <w:r w:rsidRPr="00A26C26">
              <w:rPr>
                <w:rFonts w:eastAsia="Calibri" w:cstheme="minorHAnsi"/>
              </w:rPr>
              <w:t>Cele</w:t>
            </w:r>
            <w:r w:rsidR="003B50ED">
              <w:rPr>
                <w:rFonts w:eastAsia="Calibri" w:cstheme="minorHAnsi"/>
              </w:rPr>
              <w:t xml:space="preserve"> </w:t>
            </w:r>
            <w:r w:rsidRPr="00A26C26">
              <w:rPr>
                <w:rFonts w:eastAsia="Calibri" w:cstheme="minorHAnsi"/>
              </w:rPr>
              <w:t>LSR</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Strategii</w:t>
            </w:r>
            <w:r w:rsidR="003B50ED">
              <w:rPr>
                <w:rFonts w:eastAsia="Calibri" w:cstheme="minorHAnsi"/>
              </w:rPr>
              <w:t xml:space="preserve"> </w:t>
            </w:r>
            <w:r w:rsidRPr="00A26C26">
              <w:rPr>
                <w:rFonts w:eastAsia="Calibri" w:cstheme="minorHAnsi"/>
              </w:rPr>
              <w:t>Na</w:t>
            </w:r>
            <w:r w:rsidR="003B50ED">
              <w:rPr>
                <w:rFonts w:eastAsia="Calibri" w:cstheme="minorHAnsi"/>
              </w:rPr>
              <w:t xml:space="preserve"> </w:t>
            </w:r>
            <w:r w:rsidRPr="00A26C26">
              <w:rPr>
                <w:rFonts w:eastAsia="Calibri" w:cstheme="minorHAnsi"/>
              </w:rPr>
              <w:t>Rzecz</w:t>
            </w:r>
            <w:r w:rsidR="003B50ED">
              <w:rPr>
                <w:rFonts w:eastAsia="Calibri" w:cstheme="minorHAnsi"/>
              </w:rPr>
              <w:t xml:space="preserve"> </w:t>
            </w:r>
            <w:r w:rsidRPr="00A26C26">
              <w:rPr>
                <w:rFonts w:eastAsia="Calibri" w:cstheme="minorHAnsi"/>
              </w:rPr>
              <w:t>odpowiedzialnego</w:t>
            </w:r>
            <w:r w:rsidR="003B50ED">
              <w:rPr>
                <w:rFonts w:eastAsia="Calibri" w:cstheme="minorHAnsi"/>
              </w:rPr>
              <w:t xml:space="preserve"> </w:t>
            </w:r>
            <w:r w:rsidRPr="00A26C26">
              <w:rPr>
                <w:rFonts w:eastAsia="Calibri" w:cstheme="minorHAnsi"/>
              </w:rPr>
              <w:t>Rozwoju</w:t>
            </w:r>
            <w:r w:rsidR="003B50ED">
              <w:rPr>
                <w:rFonts w:eastAsia="Calibri" w:cstheme="minorHAnsi"/>
              </w:rPr>
              <w:t xml:space="preserve"> </w:t>
            </w:r>
            <w:r w:rsidRPr="00A26C26">
              <w:rPr>
                <w:rFonts w:eastAsia="Calibri" w:cstheme="minorHAnsi"/>
              </w:rPr>
              <w:t>są</w:t>
            </w:r>
            <w:r w:rsidR="003B50ED">
              <w:rPr>
                <w:rFonts w:eastAsia="Calibri" w:cstheme="minorHAnsi"/>
              </w:rPr>
              <w:t xml:space="preserve"> </w:t>
            </w:r>
            <w:r w:rsidRPr="00A26C26">
              <w:rPr>
                <w:rFonts w:eastAsia="Calibri" w:cstheme="minorHAnsi"/>
              </w:rPr>
              <w:t>spójne</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wzajemnie</w:t>
            </w:r>
            <w:r w:rsidR="003B50ED">
              <w:rPr>
                <w:rFonts w:eastAsia="Calibri" w:cstheme="minorHAnsi"/>
              </w:rPr>
              <w:t xml:space="preserve"> </w:t>
            </w:r>
            <w:r w:rsidRPr="00A26C26">
              <w:rPr>
                <w:rFonts w:eastAsia="Calibri" w:cstheme="minorHAnsi"/>
              </w:rPr>
              <w:t>się</w:t>
            </w:r>
            <w:r w:rsidR="003B50ED">
              <w:rPr>
                <w:rFonts w:eastAsia="Calibri" w:cstheme="minorHAnsi"/>
              </w:rPr>
              <w:t xml:space="preserve"> </w:t>
            </w:r>
            <w:r w:rsidRPr="00A26C26">
              <w:rPr>
                <w:rFonts w:eastAsia="Calibri" w:cstheme="minorHAnsi"/>
              </w:rPr>
              <w:t>przenikają</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zakresie</w:t>
            </w:r>
            <w:r w:rsidR="003B50ED">
              <w:rPr>
                <w:rFonts w:eastAsia="Calibri" w:cstheme="minorHAnsi"/>
                <w:lang w:eastAsia="pl-PL"/>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zakresie</w:t>
            </w:r>
            <w:r w:rsidR="003B50ED">
              <w:rPr>
                <w:rFonts w:eastAsia="Calibri" w:cstheme="minorHAnsi"/>
              </w:rPr>
              <w:t xml:space="preserve"> </w:t>
            </w:r>
            <w:r w:rsidRPr="00A26C26">
              <w:rPr>
                <w:rFonts w:eastAsia="Calibri" w:cstheme="minorHAnsi"/>
              </w:rPr>
              <w:t>rozwoju</w:t>
            </w:r>
            <w:r w:rsidR="003B50ED">
              <w:rPr>
                <w:rFonts w:eastAsia="Calibri" w:cstheme="minorHAnsi"/>
              </w:rPr>
              <w:t xml:space="preserve"> </w:t>
            </w:r>
            <w:r w:rsidRPr="00A26C26">
              <w:rPr>
                <w:rFonts w:eastAsia="Calibri" w:cstheme="minorHAnsi"/>
              </w:rPr>
              <w:t>przedsiębiorczości</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wsparcia</w:t>
            </w:r>
            <w:r w:rsidR="003B50ED">
              <w:rPr>
                <w:rFonts w:eastAsia="Calibri" w:cstheme="minorHAnsi"/>
              </w:rPr>
              <w:t xml:space="preserve"> </w:t>
            </w:r>
            <w:r w:rsidRPr="00A26C26">
              <w:rPr>
                <w:rFonts w:eastAsia="Calibri" w:cstheme="minorHAnsi"/>
              </w:rPr>
              <w:t>tworzenia</w:t>
            </w:r>
            <w:r w:rsidR="003B50ED">
              <w:rPr>
                <w:rFonts w:eastAsia="Calibri" w:cstheme="minorHAnsi"/>
              </w:rPr>
              <w:t xml:space="preserve"> </w:t>
            </w:r>
            <w:r w:rsidRPr="00A26C26">
              <w:rPr>
                <w:rFonts w:eastAsia="Calibri" w:cstheme="minorHAnsi"/>
              </w:rPr>
              <w:t>nowych</w:t>
            </w:r>
            <w:r w:rsidR="003B50ED">
              <w:rPr>
                <w:rFonts w:eastAsia="Calibri" w:cstheme="minorHAnsi"/>
              </w:rPr>
              <w:t xml:space="preserve"> </w:t>
            </w:r>
            <w:r w:rsidRPr="00A26C26">
              <w:rPr>
                <w:rFonts w:eastAsia="Calibri" w:cstheme="minorHAnsi"/>
              </w:rPr>
              <w:t>miejsc</w:t>
            </w:r>
            <w:r w:rsidR="003B50ED">
              <w:rPr>
                <w:rFonts w:eastAsia="Calibri" w:cstheme="minorHAnsi"/>
              </w:rPr>
              <w:t xml:space="preserve"> </w:t>
            </w:r>
            <w:r w:rsidRPr="00A26C26">
              <w:rPr>
                <w:rFonts w:eastAsia="Calibri" w:cstheme="minorHAnsi"/>
              </w:rPr>
              <w:t>pracy</w:t>
            </w:r>
            <w:r w:rsidR="003B50ED">
              <w:rPr>
                <w:rFonts w:eastAsia="Calibri" w:cstheme="minorHAnsi"/>
              </w:rPr>
              <w:t xml:space="preserve"> </w:t>
            </w:r>
            <w:r w:rsidRPr="00A26C26">
              <w:rPr>
                <w:rFonts w:eastAsia="Calibri" w:cstheme="minorHAnsi"/>
              </w:rPr>
              <w:t>(P.</w:t>
            </w:r>
            <w:r w:rsidR="000B7EC5" w:rsidRPr="00A26C26">
              <w:rPr>
                <w:rFonts w:eastAsia="Calibri" w:cstheme="minorHAnsi"/>
              </w:rPr>
              <w:t>2</w:t>
            </w:r>
            <w:r w:rsidRPr="00A26C26">
              <w:rPr>
                <w:rFonts w:eastAsia="Calibri" w:cstheme="minorHAnsi"/>
              </w:rPr>
              <w:t>.1.).</w:t>
            </w:r>
            <w:r w:rsidR="003B50ED">
              <w:rPr>
                <w:rFonts w:eastAsia="Calibri" w:cstheme="minorHAnsi"/>
              </w:rPr>
              <w:t xml:space="preserve"> </w:t>
            </w:r>
            <w:r w:rsidRPr="00A26C26">
              <w:rPr>
                <w:rFonts w:eastAsia="Calibri" w:cstheme="minorHAnsi"/>
              </w:rPr>
              <w:t>Z</w:t>
            </w:r>
            <w:r w:rsidR="003B50ED">
              <w:rPr>
                <w:rFonts w:eastAsia="Calibri" w:cstheme="minorHAnsi"/>
              </w:rPr>
              <w:t xml:space="preserve"> </w:t>
            </w:r>
            <w:r w:rsidRPr="00A26C26">
              <w:rPr>
                <w:rFonts w:eastAsia="Calibri" w:cstheme="minorHAnsi"/>
              </w:rPr>
              <w:t>celami</w:t>
            </w:r>
            <w:r w:rsidR="003B50ED">
              <w:rPr>
                <w:rFonts w:eastAsia="Calibri" w:cstheme="minorHAnsi"/>
              </w:rPr>
              <w:t xml:space="preserve"> </w:t>
            </w:r>
            <w:r w:rsidRPr="00A26C26">
              <w:rPr>
                <w:rFonts w:eastAsia="Calibri" w:cstheme="minorHAnsi"/>
              </w:rPr>
              <w:t>strategii</w:t>
            </w:r>
            <w:r w:rsidR="003B50ED">
              <w:rPr>
                <w:rFonts w:eastAsia="Calibri" w:cstheme="minorHAnsi"/>
              </w:rPr>
              <w:t xml:space="preserve"> </w:t>
            </w:r>
            <w:r w:rsidRPr="00A26C26">
              <w:rPr>
                <w:rFonts w:eastAsia="Calibri" w:cstheme="minorHAnsi"/>
              </w:rPr>
              <w:t>są</w:t>
            </w:r>
            <w:r w:rsidR="003B50ED">
              <w:rPr>
                <w:rFonts w:eastAsia="Calibri" w:cstheme="minorHAnsi"/>
              </w:rPr>
              <w:t xml:space="preserve"> </w:t>
            </w:r>
            <w:r w:rsidRPr="00A26C26">
              <w:rPr>
                <w:rFonts w:eastAsia="Calibri" w:cstheme="minorHAnsi"/>
              </w:rPr>
              <w:t>również</w:t>
            </w:r>
            <w:r w:rsidR="003B50ED">
              <w:rPr>
                <w:rFonts w:eastAsia="Calibri" w:cstheme="minorHAnsi"/>
              </w:rPr>
              <w:t xml:space="preserve"> </w:t>
            </w:r>
            <w:r w:rsidRPr="00A26C26">
              <w:rPr>
                <w:rFonts w:eastAsia="Calibri" w:cstheme="minorHAnsi"/>
              </w:rPr>
              <w:t>komplementarne</w:t>
            </w:r>
            <w:r w:rsidR="003B50ED">
              <w:rPr>
                <w:rFonts w:eastAsia="Calibri" w:cstheme="minorHAnsi"/>
              </w:rPr>
              <w:t xml:space="preserve"> </w:t>
            </w:r>
            <w:r w:rsidRPr="00A26C26">
              <w:rPr>
                <w:rFonts w:eastAsia="Calibri" w:cstheme="minorHAnsi"/>
              </w:rPr>
              <w:t>przedsięwzięcia</w:t>
            </w:r>
            <w:r w:rsidR="003B50ED">
              <w:rPr>
                <w:rFonts w:eastAsia="Calibri" w:cstheme="minorHAnsi"/>
              </w:rPr>
              <w:t xml:space="preserve"> </w:t>
            </w:r>
            <w:r w:rsidRPr="00A26C26">
              <w:rPr>
                <w:rFonts w:eastAsia="Calibri" w:cstheme="minorHAnsi"/>
              </w:rPr>
              <w:t>z</w:t>
            </w:r>
            <w:r w:rsidR="003B50ED">
              <w:rPr>
                <w:rFonts w:eastAsia="Calibri" w:cstheme="minorHAnsi"/>
              </w:rPr>
              <w:t xml:space="preserve"> </w:t>
            </w:r>
            <w:r w:rsidRPr="00A26C26">
              <w:rPr>
                <w:rFonts w:eastAsia="Calibri" w:cstheme="minorHAnsi"/>
              </w:rPr>
              <w:t>zakresu</w:t>
            </w:r>
            <w:r w:rsidR="003B50ED">
              <w:rPr>
                <w:rFonts w:eastAsia="Calibri" w:cstheme="minorHAnsi"/>
              </w:rPr>
              <w:t xml:space="preserve"> </w:t>
            </w:r>
            <w:r w:rsidRPr="00A26C26">
              <w:rPr>
                <w:rFonts w:eastAsia="Calibri" w:cstheme="minorHAnsi"/>
              </w:rPr>
              <w:t>poprawy</w:t>
            </w:r>
            <w:r w:rsidR="003B50ED">
              <w:rPr>
                <w:rFonts w:eastAsia="Calibri" w:cstheme="minorHAnsi"/>
              </w:rPr>
              <w:t xml:space="preserve"> </w:t>
            </w:r>
            <w:r w:rsidRPr="00A26C26">
              <w:rPr>
                <w:rFonts w:eastAsia="Calibri" w:cstheme="minorHAnsi"/>
              </w:rPr>
              <w:t>dostępu</w:t>
            </w:r>
            <w:r w:rsidR="003B50ED">
              <w:rPr>
                <w:rFonts w:eastAsia="Calibri" w:cstheme="minorHAnsi"/>
              </w:rPr>
              <w:t xml:space="preserve"> </w:t>
            </w:r>
            <w:r w:rsidRPr="00A26C26">
              <w:rPr>
                <w:rFonts w:eastAsia="Calibri" w:cstheme="minorHAnsi"/>
              </w:rPr>
              <w:t>do</w:t>
            </w:r>
            <w:r w:rsidR="003B50ED">
              <w:rPr>
                <w:rFonts w:eastAsia="Calibri" w:cstheme="minorHAnsi"/>
              </w:rPr>
              <w:t xml:space="preserve"> </w:t>
            </w:r>
            <w:r w:rsidRPr="00A26C26">
              <w:rPr>
                <w:rFonts w:eastAsia="Calibri" w:cstheme="minorHAnsi"/>
              </w:rPr>
              <w:t>małej</w:t>
            </w:r>
            <w:r w:rsidR="003B50ED">
              <w:rPr>
                <w:rFonts w:eastAsia="Calibri" w:cstheme="minorHAnsi"/>
              </w:rPr>
              <w:t xml:space="preserve"> </w:t>
            </w:r>
            <w:r w:rsidRPr="00A26C26">
              <w:rPr>
                <w:rFonts w:eastAsia="Calibri" w:cstheme="minorHAnsi"/>
              </w:rPr>
              <w:t>infrastruktury</w:t>
            </w:r>
            <w:r w:rsidR="003B50ED">
              <w:rPr>
                <w:rFonts w:eastAsia="Calibri" w:cstheme="minorHAnsi"/>
              </w:rPr>
              <w:t xml:space="preserve"> </w:t>
            </w:r>
            <w:r w:rsidRPr="00A26C26">
              <w:rPr>
                <w:rFonts w:eastAsia="Calibri" w:cstheme="minorHAnsi"/>
              </w:rPr>
              <w:t>publicznej</w:t>
            </w:r>
            <w:r w:rsidR="003B50ED">
              <w:rPr>
                <w:rFonts w:eastAsia="Calibri" w:cstheme="minorHAnsi"/>
              </w:rPr>
              <w:t xml:space="preserve"> </w:t>
            </w:r>
            <w:r w:rsidRPr="00A26C26">
              <w:rPr>
                <w:rFonts w:eastAsia="Calibri" w:cstheme="minorHAnsi"/>
              </w:rPr>
              <w:t>(P.1.2.),</w:t>
            </w:r>
            <w:r w:rsidR="003B50ED">
              <w:rPr>
                <w:rFonts w:eastAsia="Calibri" w:cstheme="minorHAnsi"/>
              </w:rPr>
              <w:t xml:space="preserve"> </w:t>
            </w:r>
            <w:r w:rsidRPr="00A26C26">
              <w:rPr>
                <w:rFonts w:eastAsia="Calibri" w:cstheme="minorHAnsi"/>
              </w:rPr>
              <w:t>aktywizacji</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włączenia</w:t>
            </w:r>
            <w:r w:rsidR="003B50ED">
              <w:rPr>
                <w:rFonts w:eastAsia="Calibri" w:cstheme="minorHAnsi"/>
              </w:rPr>
              <w:t xml:space="preserve"> </w:t>
            </w:r>
            <w:r w:rsidRPr="00A26C26">
              <w:rPr>
                <w:rFonts w:eastAsia="Calibri" w:cstheme="minorHAnsi"/>
              </w:rPr>
              <w:t>społecznego</w:t>
            </w:r>
            <w:r w:rsidR="003B50ED">
              <w:rPr>
                <w:rFonts w:eastAsia="Calibri" w:cstheme="minorHAnsi"/>
              </w:rPr>
              <w:t xml:space="preserve"> </w:t>
            </w:r>
            <w:r w:rsidRPr="00A26C26">
              <w:rPr>
                <w:rFonts w:eastAsia="Calibri" w:cstheme="minorHAnsi"/>
              </w:rPr>
              <w:t>lokalnej</w:t>
            </w:r>
            <w:r w:rsidR="003B50ED">
              <w:rPr>
                <w:rFonts w:eastAsia="Calibri" w:cstheme="minorHAnsi"/>
              </w:rPr>
              <w:t xml:space="preserve"> </w:t>
            </w:r>
            <w:r w:rsidRPr="00A26C26">
              <w:rPr>
                <w:rFonts w:eastAsia="Calibri" w:cstheme="minorHAnsi"/>
              </w:rPr>
              <w:t>społeczności,</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tym</w:t>
            </w:r>
            <w:r w:rsidR="003B50ED">
              <w:rPr>
                <w:rFonts w:eastAsia="Calibri" w:cstheme="minorHAnsi"/>
              </w:rPr>
              <w:t xml:space="preserve"> </w:t>
            </w:r>
            <w:r w:rsidRPr="00A26C26">
              <w:rPr>
                <w:rFonts w:eastAsia="Calibri" w:cstheme="minorHAnsi"/>
              </w:rPr>
              <w:t>seniorów,</w:t>
            </w:r>
            <w:r w:rsidR="003B50ED">
              <w:rPr>
                <w:rFonts w:eastAsia="Calibri" w:cstheme="minorHAnsi"/>
              </w:rPr>
              <w:t xml:space="preserve"> </w:t>
            </w:r>
            <w:r w:rsidRPr="00A26C26">
              <w:rPr>
                <w:rFonts w:eastAsia="Calibri" w:cstheme="minorHAnsi"/>
              </w:rPr>
              <w:t>ludzi</w:t>
            </w:r>
            <w:r w:rsidR="003B50ED">
              <w:rPr>
                <w:rFonts w:eastAsia="Calibri" w:cstheme="minorHAnsi"/>
              </w:rPr>
              <w:t xml:space="preserve"> </w:t>
            </w:r>
            <w:r w:rsidRPr="00A26C26">
              <w:rPr>
                <w:rFonts w:eastAsia="Calibri" w:cstheme="minorHAnsi"/>
              </w:rPr>
              <w:t>młodych</w:t>
            </w:r>
            <w:r w:rsidR="003B50ED">
              <w:rPr>
                <w:rFonts w:eastAsia="Calibri" w:cstheme="minorHAnsi"/>
              </w:rPr>
              <w:t xml:space="preserve"> </w:t>
            </w:r>
            <w:r w:rsidRPr="00A26C26">
              <w:rPr>
                <w:rFonts w:eastAsia="Calibri" w:cstheme="minorHAnsi"/>
              </w:rPr>
              <w:t>lub</w:t>
            </w:r>
            <w:r w:rsidR="003B50ED">
              <w:rPr>
                <w:rFonts w:eastAsia="Calibri" w:cstheme="minorHAnsi"/>
              </w:rPr>
              <w:t xml:space="preserve"> </w:t>
            </w:r>
            <w:r w:rsidRPr="00A26C26">
              <w:rPr>
                <w:rFonts w:eastAsia="Calibri" w:cstheme="minorHAnsi"/>
              </w:rPr>
              <w:t>osób</w:t>
            </w:r>
            <w:r w:rsidR="003B50ED">
              <w:rPr>
                <w:rFonts w:eastAsia="Calibri" w:cstheme="minorHAnsi"/>
              </w:rPr>
              <w:t xml:space="preserve"> </w:t>
            </w:r>
            <w:r w:rsidR="008F12F4">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niekorzystnej</w:t>
            </w:r>
            <w:r w:rsidR="003B50ED">
              <w:rPr>
                <w:rFonts w:eastAsia="Calibri" w:cstheme="minorHAnsi"/>
              </w:rPr>
              <w:t xml:space="preserve"> </w:t>
            </w:r>
            <w:r w:rsidRPr="00A26C26">
              <w:rPr>
                <w:rFonts w:eastAsia="Calibri" w:cstheme="minorHAnsi"/>
              </w:rPr>
              <w:t>sytuacji</w:t>
            </w:r>
            <w:r w:rsidR="003B50ED">
              <w:rPr>
                <w:rFonts w:eastAsia="Calibri" w:cstheme="minorHAnsi"/>
              </w:rPr>
              <w:t xml:space="preserve"> </w:t>
            </w:r>
            <w:r w:rsidRPr="00A26C26">
              <w:rPr>
                <w:rFonts w:eastAsia="Calibri" w:cstheme="minorHAnsi"/>
              </w:rPr>
              <w:t>(P.</w:t>
            </w:r>
            <w:r w:rsidR="001367EA" w:rsidRPr="00A26C26">
              <w:rPr>
                <w:rFonts w:eastAsia="Calibri" w:cstheme="minorHAnsi"/>
              </w:rPr>
              <w:t>1</w:t>
            </w:r>
            <w:r w:rsidRPr="00A26C26">
              <w:rPr>
                <w:rFonts w:eastAsia="Calibri" w:cstheme="minorHAnsi"/>
              </w:rPr>
              <w:t>.</w:t>
            </w:r>
            <w:r w:rsidR="001367EA" w:rsidRPr="00A26C26">
              <w:rPr>
                <w:rFonts w:eastAsia="Calibri" w:cstheme="minorHAnsi"/>
              </w:rPr>
              <w:t>4</w:t>
            </w:r>
            <w:r w:rsidRPr="00A26C26">
              <w:rPr>
                <w:rFonts w:eastAsia="Calibri" w:cstheme="minorHAnsi"/>
              </w:rPr>
              <w:t>)</w:t>
            </w:r>
            <w:r w:rsidR="003B50ED">
              <w:rPr>
                <w:rFonts w:eastAsia="Calibri" w:cstheme="minorHAnsi"/>
              </w:rPr>
              <w:t xml:space="preserve"> </w:t>
            </w:r>
            <w:r w:rsidR="00B329E9" w:rsidRPr="00A26C26">
              <w:rPr>
                <w:rFonts w:eastAsia="Calibri" w:cstheme="minorHAnsi"/>
              </w:rPr>
              <w:t>oraz</w:t>
            </w:r>
            <w:r w:rsidR="003B50ED">
              <w:rPr>
                <w:rFonts w:eastAsia="Calibri" w:cstheme="minorHAnsi"/>
              </w:rPr>
              <w:t xml:space="preserve"> </w:t>
            </w:r>
            <w:r w:rsidR="00B329E9" w:rsidRPr="00A26C26">
              <w:rPr>
                <w:rFonts w:eastAsia="Calibri" w:cstheme="minorHAnsi"/>
              </w:rPr>
              <w:t>integracji</w:t>
            </w:r>
            <w:r w:rsidR="003B50ED">
              <w:rPr>
                <w:rFonts w:eastAsia="Calibri" w:cstheme="minorHAnsi"/>
              </w:rPr>
              <w:t xml:space="preserve"> </w:t>
            </w:r>
            <w:r w:rsidR="00B329E9" w:rsidRPr="00A26C26">
              <w:rPr>
                <w:rFonts w:eastAsia="Calibri" w:cstheme="minorHAnsi"/>
              </w:rPr>
              <w:t>na</w:t>
            </w:r>
            <w:r w:rsidR="003B50ED">
              <w:rPr>
                <w:rFonts w:eastAsia="Calibri" w:cstheme="minorHAnsi"/>
              </w:rPr>
              <w:t xml:space="preserve"> </w:t>
            </w:r>
            <w:r w:rsidR="00B329E9" w:rsidRPr="00A26C26">
              <w:rPr>
                <w:rFonts w:eastAsia="Calibri" w:cstheme="minorHAnsi"/>
              </w:rPr>
              <w:t>obszarach</w:t>
            </w:r>
            <w:r w:rsidR="003B50ED">
              <w:rPr>
                <w:rFonts w:eastAsia="Calibri" w:cstheme="minorHAnsi"/>
              </w:rPr>
              <w:t xml:space="preserve"> </w:t>
            </w:r>
            <w:r w:rsidR="00B329E9" w:rsidRPr="00A26C26">
              <w:rPr>
                <w:rFonts w:eastAsia="Calibri" w:cstheme="minorHAnsi"/>
              </w:rPr>
              <w:t>wiejskich</w:t>
            </w:r>
            <w:r w:rsidR="003B50ED">
              <w:rPr>
                <w:rFonts w:eastAsia="Calibri" w:cstheme="minorHAnsi"/>
              </w:rPr>
              <w:t xml:space="preserve"> </w:t>
            </w:r>
            <w:r w:rsidR="00B329E9" w:rsidRPr="00A26C26">
              <w:rPr>
                <w:rFonts w:eastAsia="Calibri" w:cstheme="minorHAnsi"/>
              </w:rPr>
              <w:t>(P.1.6.)</w:t>
            </w:r>
            <w:r w:rsidR="003B50ED">
              <w:rPr>
                <w:rFonts w:eastAsia="Calibri" w:cstheme="minorHAnsi"/>
              </w:rPr>
              <w:t xml:space="preserve"> </w:t>
            </w:r>
            <w:r w:rsidR="00B329E9" w:rsidRPr="00A26C26">
              <w:rPr>
                <w:rFonts w:eastAsia="Calibri" w:cstheme="minorHAnsi"/>
              </w:rPr>
              <w:t>czy</w:t>
            </w:r>
            <w:r w:rsidR="003B50ED">
              <w:rPr>
                <w:rFonts w:eastAsia="Calibri" w:cstheme="minorHAnsi"/>
              </w:rPr>
              <w:t xml:space="preserve"> </w:t>
            </w:r>
            <w:r w:rsidR="00B329E9" w:rsidRPr="00A26C26">
              <w:rPr>
                <w:rFonts w:eastAsia="Calibri" w:cstheme="minorHAnsi"/>
              </w:rPr>
              <w:t>działaniach</w:t>
            </w:r>
            <w:r w:rsidR="003B50ED">
              <w:rPr>
                <w:rFonts w:eastAsia="Calibri" w:cstheme="minorHAnsi"/>
              </w:rPr>
              <w:t xml:space="preserve"> </w:t>
            </w:r>
            <w:r w:rsidR="00B329E9" w:rsidRPr="00A26C26">
              <w:rPr>
                <w:rFonts w:eastAsia="Calibri" w:cstheme="minorHAnsi"/>
              </w:rPr>
              <w:t>na</w:t>
            </w:r>
            <w:r w:rsidR="003B50ED">
              <w:rPr>
                <w:rFonts w:eastAsia="Calibri" w:cstheme="minorHAnsi"/>
              </w:rPr>
              <w:t xml:space="preserve"> </w:t>
            </w:r>
            <w:r w:rsidR="00B329E9" w:rsidRPr="00A26C26">
              <w:rPr>
                <w:rFonts w:eastAsia="Calibri" w:cstheme="minorHAnsi"/>
              </w:rPr>
              <w:t>rzecz</w:t>
            </w:r>
            <w:r w:rsidR="003B50ED">
              <w:rPr>
                <w:rFonts w:eastAsia="Calibri" w:cstheme="minorHAnsi"/>
              </w:rPr>
              <w:t xml:space="preserve"> </w:t>
            </w:r>
            <w:r w:rsidR="00B329E9" w:rsidRPr="00A26C26">
              <w:rPr>
                <w:rFonts w:eastAsia="Calibri" w:cstheme="minorHAnsi"/>
              </w:rPr>
              <w:t>współpracy</w:t>
            </w:r>
            <w:r w:rsidR="003B50ED">
              <w:rPr>
                <w:rFonts w:eastAsia="Calibri" w:cstheme="minorHAnsi"/>
              </w:rPr>
              <w:t xml:space="preserve"> </w:t>
            </w:r>
            <w:r w:rsidR="00B329E9" w:rsidRPr="00A26C26">
              <w:rPr>
                <w:rFonts w:eastAsia="Calibri" w:cstheme="minorHAnsi"/>
              </w:rPr>
              <w:t>poprzez</w:t>
            </w:r>
            <w:r w:rsidR="003B50ED">
              <w:rPr>
                <w:rFonts w:eastAsia="Calibri" w:cstheme="minorHAnsi"/>
              </w:rPr>
              <w:t xml:space="preserve"> </w:t>
            </w:r>
            <w:r w:rsidR="00B329E9" w:rsidRPr="00A26C26">
              <w:rPr>
                <w:rFonts w:eastAsia="Calibri" w:cstheme="minorHAnsi"/>
              </w:rPr>
              <w:t>m.in.</w:t>
            </w:r>
            <w:r w:rsidR="003B50ED">
              <w:rPr>
                <w:rFonts w:eastAsia="Calibri" w:cstheme="minorHAnsi"/>
              </w:rPr>
              <w:t xml:space="preserve"> </w:t>
            </w:r>
            <w:r w:rsidR="00B329E9" w:rsidRPr="00A26C26">
              <w:rPr>
                <w:rFonts w:eastAsia="Calibri" w:cstheme="minorHAnsi"/>
              </w:rPr>
              <w:t>opracowanie</w:t>
            </w:r>
            <w:r w:rsidR="003B50ED">
              <w:rPr>
                <w:rFonts w:eastAsia="Calibri" w:cstheme="minorHAnsi"/>
              </w:rPr>
              <w:t xml:space="preserve"> </w:t>
            </w:r>
            <w:r w:rsidR="00B329E9" w:rsidRPr="00A26C26">
              <w:rPr>
                <w:rFonts w:eastAsia="Calibri" w:cstheme="minorHAnsi"/>
              </w:rPr>
              <w:t>koncepcji</w:t>
            </w:r>
            <w:r w:rsidR="003B50ED">
              <w:rPr>
                <w:rFonts w:eastAsia="Calibri" w:cstheme="minorHAnsi"/>
              </w:rPr>
              <w:t xml:space="preserve"> </w:t>
            </w:r>
            <w:r w:rsidR="00B329E9" w:rsidRPr="00A26C26">
              <w:rPr>
                <w:rFonts w:eastAsia="Calibri" w:cstheme="minorHAnsi"/>
              </w:rPr>
              <w:t>inteligentnych</w:t>
            </w:r>
            <w:r w:rsidR="003B50ED">
              <w:rPr>
                <w:rFonts w:eastAsia="Calibri" w:cstheme="minorHAnsi"/>
              </w:rPr>
              <w:t xml:space="preserve"> </w:t>
            </w:r>
            <w:r w:rsidR="00B329E9" w:rsidRPr="00A26C26">
              <w:rPr>
                <w:rFonts w:eastAsia="Calibri" w:cstheme="minorHAnsi"/>
              </w:rPr>
              <w:t>wsi</w:t>
            </w:r>
            <w:r w:rsidR="003B50ED">
              <w:rPr>
                <w:rFonts w:eastAsia="Calibri" w:cstheme="minorHAnsi"/>
              </w:rPr>
              <w:t xml:space="preserve"> </w:t>
            </w:r>
            <w:r w:rsidR="00B329E9" w:rsidRPr="00A26C26">
              <w:rPr>
                <w:rFonts w:eastAsia="Calibri" w:cstheme="minorHAnsi"/>
              </w:rPr>
              <w:t>(P.1.1.)</w:t>
            </w:r>
            <w:r w:rsidR="003B50ED">
              <w:rPr>
                <w:rFonts w:eastAsia="Calibri" w:cstheme="minorHAnsi"/>
              </w:rPr>
              <w:t xml:space="preserve"> </w:t>
            </w:r>
            <w:r w:rsidR="00B329E9" w:rsidRPr="00A26C26">
              <w:rPr>
                <w:rFonts w:eastAsia="Calibri" w:cstheme="minorHAnsi"/>
              </w:rPr>
              <w:t>czy</w:t>
            </w:r>
            <w:r w:rsidR="003B50ED">
              <w:rPr>
                <w:rFonts w:eastAsia="Calibri" w:cstheme="minorHAnsi"/>
              </w:rPr>
              <w:t xml:space="preserve"> </w:t>
            </w:r>
            <w:r w:rsidR="005D57A1" w:rsidRPr="00A26C26">
              <w:rPr>
                <w:rFonts w:eastAsia="Calibri" w:cstheme="minorHAnsi"/>
              </w:rPr>
              <w:t>wspieranie</w:t>
            </w:r>
            <w:r w:rsidR="003B50ED">
              <w:rPr>
                <w:rFonts w:eastAsia="Calibri" w:cstheme="minorHAnsi"/>
              </w:rPr>
              <w:t xml:space="preserve"> </w:t>
            </w:r>
            <w:r w:rsidR="005D57A1" w:rsidRPr="00A26C26">
              <w:rPr>
                <w:rFonts w:eastAsia="Calibri" w:cstheme="minorHAnsi"/>
              </w:rPr>
              <w:t>partnerstwa,</w:t>
            </w:r>
            <w:r w:rsidR="003B50ED">
              <w:rPr>
                <w:rFonts w:eastAsia="Calibri" w:cstheme="minorHAnsi"/>
              </w:rPr>
              <w:t xml:space="preserve"> </w:t>
            </w:r>
            <w:r w:rsidR="005D57A1" w:rsidRPr="00A26C26">
              <w:rPr>
                <w:rFonts w:eastAsia="Calibri" w:cstheme="minorHAnsi"/>
              </w:rPr>
              <w:t>inicjatyw</w:t>
            </w:r>
            <w:r w:rsidR="003B50ED">
              <w:rPr>
                <w:rFonts w:eastAsia="Calibri" w:cstheme="minorHAnsi"/>
              </w:rPr>
              <w:t xml:space="preserve"> </w:t>
            </w:r>
            <w:r w:rsidR="005D57A1" w:rsidRPr="00A26C26">
              <w:rPr>
                <w:rFonts w:eastAsia="Calibri" w:cstheme="minorHAnsi"/>
              </w:rPr>
              <w:t>edukacyjnych</w:t>
            </w:r>
            <w:r w:rsidR="003B50ED">
              <w:rPr>
                <w:rFonts w:eastAsia="Calibri" w:cstheme="minorHAnsi"/>
              </w:rPr>
              <w:t xml:space="preserve"> </w:t>
            </w:r>
            <w:r w:rsidR="005D57A1" w:rsidRPr="00A26C26">
              <w:rPr>
                <w:rFonts w:eastAsia="Calibri" w:cstheme="minorHAnsi"/>
              </w:rPr>
              <w:t>i</w:t>
            </w:r>
            <w:r w:rsidR="003B50ED">
              <w:rPr>
                <w:rFonts w:eastAsia="Calibri" w:cstheme="minorHAnsi"/>
              </w:rPr>
              <w:t xml:space="preserve"> </w:t>
            </w:r>
            <w:r w:rsidR="005D57A1" w:rsidRPr="00A26C26">
              <w:rPr>
                <w:rFonts w:eastAsia="Calibri" w:cstheme="minorHAnsi"/>
              </w:rPr>
              <w:t>turystyki</w:t>
            </w:r>
            <w:r w:rsidR="003B50ED">
              <w:rPr>
                <w:rFonts w:eastAsia="Calibri" w:cstheme="minorHAnsi"/>
              </w:rPr>
              <w:t xml:space="preserve"> </w:t>
            </w:r>
            <w:r w:rsidR="005D57A1" w:rsidRPr="00A26C26">
              <w:rPr>
                <w:rFonts w:eastAsia="Calibri" w:cstheme="minorHAnsi"/>
              </w:rPr>
              <w:t>na</w:t>
            </w:r>
            <w:r w:rsidR="003B50ED">
              <w:rPr>
                <w:rFonts w:eastAsia="Calibri" w:cstheme="minorHAnsi"/>
              </w:rPr>
              <w:t xml:space="preserve"> </w:t>
            </w:r>
            <w:r w:rsidR="005D57A1" w:rsidRPr="00A26C26">
              <w:rPr>
                <w:rFonts w:eastAsia="Calibri" w:cstheme="minorHAnsi"/>
              </w:rPr>
              <w:t>obszarze</w:t>
            </w:r>
            <w:r w:rsidR="003B50ED">
              <w:rPr>
                <w:rFonts w:eastAsia="Calibri" w:cstheme="minorHAnsi"/>
              </w:rPr>
              <w:t xml:space="preserve"> </w:t>
            </w:r>
            <w:r w:rsidR="005D57A1" w:rsidRPr="00A26C26">
              <w:rPr>
                <w:rFonts w:eastAsia="Calibri" w:cstheme="minorHAnsi"/>
              </w:rPr>
              <w:t>LSR</w:t>
            </w:r>
            <w:r w:rsidR="003B50ED">
              <w:rPr>
                <w:rFonts w:eastAsia="Calibri" w:cstheme="minorHAnsi"/>
              </w:rPr>
              <w:t xml:space="preserve"> </w:t>
            </w:r>
            <w:r w:rsidR="005D57A1" w:rsidRPr="00A26C26">
              <w:rPr>
                <w:rFonts w:eastAsia="Calibri" w:cstheme="minorHAnsi"/>
              </w:rPr>
              <w:t>(P.1.5.)</w:t>
            </w:r>
            <w:r w:rsidR="003B50ED">
              <w:rPr>
                <w:rFonts w:eastAsia="Calibri" w:cstheme="minorHAnsi"/>
              </w:rPr>
              <w:t xml:space="preserve"> </w:t>
            </w:r>
          </w:p>
        </w:tc>
      </w:tr>
      <w:tr w:rsidR="00857736" w:rsidRPr="00A26C26" w14:paraId="0BFAD4A9" w14:textId="77777777" w:rsidTr="00233140">
        <w:trPr>
          <w:trHeight w:val="249"/>
        </w:trPr>
        <w:tc>
          <w:tcPr>
            <w:tcW w:w="10201" w:type="dxa"/>
            <w:gridSpan w:val="2"/>
          </w:tcPr>
          <w:p w14:paraId="6F1ECF12" w14:textId="115A7FD3" w:rsidR="00857736" w:rsidRPr="00A26C26" w:rsidRDefault="00857736" w:rsidP="00A26C26">
            <w:pPr>
              <w:spacing w:line="276" w:lineRule="auto"/>
              <w:jc w:val="both"/>
              <w:rPr>
                <w:rFonts w:eastAsia="Calibri" w:cstheme="minorHAnsi"/>
                <w:lang w:eastAsia="pl-PL"/>
              </w:rPr>
            </w:pPr>
            <w:r w:rsidRPr="00A26C26">
              <w:rPr>
                <w:rFonts w:eastAsia="Calibri" w:cstheme="minorHAnsi"/>
              </w:rPr>
              <w:t>Strategia</w:t>
            </w:r>
            <w:r w:rsidR="003B50ED">
              <w:rPr>
                <w:rFonts w:eastAsia="Calibri" w:cstheme="minorHAnsi"/>
              </w:rPr>
              <w:t xml:space="preserve"> </w:t>
            </w:r>
            <w:r w:rsidRPr="00A26C26">
              <w:rPr>
                <w:rFonts w:eastAsia="Calibri" w:cstheme="minorHAnsi"/>
              </w:rPr>
              <w:t>Zrównoważonego</w:t>
            </w:r>
            <w:r w:rsidR="003B50ED">
              <w:rPr>
                <w:rFonts w:eastAsia="Calibri" w:cstheme="minorHAnsi"/>
              </w:rPr>
              <w:t xml:space="preserve"> </w:t>
            </w:r>
            <w:r w:rsidRPr="00A26C26">
              <w:rPr>
                <w:rFonts w:eastAsia="Calibri" w:cstheme="minorHAnsi"/>
              </w:rPr>
              <w:t>Rozwoju</w:t>
            </w:r>
            <w:r w:rsidR="003B50ED">
              <w:rPr>
                <w:rFonts w:eastAsia="Calibri" w:cstheme="minorHAnsi"/>
              </w:rPr>
              <w:t xml:space="preserve"> </w:t>
            </w:r>
            <w:r w:rsidRPr="00A26C26">
              <w:rPr>
                <w:rFonts w:eastAsia="Calibri" w:cstheme="minorHAnsi"/>
              </w:rPr>
              <w:t>Wsi,</w:t>
            </w:r>
            <w:r w:rsidR="003B50ED">
              <w:rPr>
                <w:rFonts w:eastAsia="Calibri" w:cstheme="minorHAnsi"/>
              </w:rPr>
              <w:t xml:space="preserve"> </w:t>
            </w:r>
            <w:r w:rsidRPr="00A26C26">
              <w:rPr>
                <w:rFonts w:eastAsia="Calibri" w:cstheme="minorHAnsi"/>
              </w:rPr>
              <w:t>Rolnictwa</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Rybactwa</w:t>
            </w:r>
            <w:r w:rsidR="003B50ED">
              <w:rPr>
                <w:rFonts w:eastAsia="Calibri" w:cstheme="minorHAnsi"/>
              </w:rPr>
              <w:t xml:space="preserve"> </w:t>
            </w:r>
            <w:r w:rsidRPr="00A26C26">
              <w:rPr>
                <w:rFonts w:eastAsia="Calibri" w:cstheme="minorHAnsi"/>
              </w:rPr>
              <w:t>2030</w:t>
            </w:r>
          </w:p>
        </w:tc>
      </w:tr>
      <w:tr w:rsidR="00857736" w:rsidRPr="00A26C26" w14:paraId="577923F8" w14:textId="77777777" w:rsidTr="00233140">
        <w:trPr>
          <w:trHeight w:val="249"/>
        </w:trPr>
        <w:tc>
          <w:tcPr>
            <w:tcW w:w="10201" w:type="dxa"/>
            <w:gridSpan w:val="2"/>
          </w:tcPr>
          <w:p w14:paraId="30BD1942" w14:textId="3D7957FF" w:rsidR="00857736" w:rsidRPr="00A26C26" w:rsidRDefault="00857736" w:rsidP="00A26C26">
            <w:pPr>
              <w:spacing w:line="276" w:lineRule="auto"/>
              <w:jc w:val="both"/>
              <w:rPr>
                <w:rFonts w:eastAsia="Calibri" w:cstheme="minorHAnsi"/>
              </w:rPr>
            </w:pPr>
            <w:r w:rsidRPr="00A26C26">
              <w:rPr>
                <w:rFonts w:eastAsia="Calibri" w:cstheme="minorHAnsi"/>
              </w:rPr>
              <w:t>Cel</w:t>
            </w:r>
            <w:r w:rsidR="003B50ED">
              <w:rPr>
                <w:rFonts w:eastAsia="Calibri" w:cstheme="minorHAnsi"/>
              </w:rPr>
              <w:t xml:space="preserve"> </w:t>
            </w:r>
            <w:r w:rsidRPr="00A26C26">
              <w:rPr>
                <w:rFonts w:eastAsia="Calibri" w:cstheme="minorHAnsi"/>
              </w:rPr>
              <w:t>szczegółowy</w:t>
            </w:r>
            <w:r w:rsidR="003B50ED">
              <w:rPr>
                <w:rFonts w:eastAsia="Calibri" w:cstheme="minorHAnsi"/>
              </w:rPr>
              <w:t xml:space="preserve"> </w:t>
            </w:r>
            <w:r w:rsidRPr="00A26C26">
              <w:rPr>
                <w:rFonts w:eastAsia="Calibri" w:cstheme="minorHAnsi"/>
              </w:rPr>
              <w:t>II</w:t>
            </w:r>
            <w:r w:rsidR="003B50ED">
              <w:rPr>
                <w:rFonts w:eastAsia="Calibri" w:cstheme="minorHAnsi"/>
              </w:rPr>
              <w:t xml:space="preserve"> </w:t>
            </w:r>
            <w:r w:rsidRPr="00A26C26">
              <w:rPr>
                <w:rFonts w:eastAsia="Calibri" w:cstheme="minorHAnsi"/>
              </w:rPr>
              <w:t>Poprawa</w:t>
            </w:r>
            <w:r w:rsidR="003B50ED">
              <w:rPr>
                <w:rFonts w:eastAsia="Calibri" w:cstheme="minorHAnsi"/>
              </w:rPr>
              <w:t xml:space="preserve"> </w:t>
            </w:r>
            <w:r w:rsidRPr="00A26C26">
              <w:rPr>
                <w:rFonts w:eastAsia="Calibri" w:cstheme="minorHAnsi"/>
              </w:rPr>
              <w:t>jakości</w:t>
            </w:r>
            <w:r w:rsidR="003B50ED">
              <w:rPr>
                <w:rFonts w:eastAsia="Calibri" w:cstheme="minorHAnsi"/>
              </w:rPr>
              <w:t xml:space="preserve"> </w:t>
            </w:r>
            <w:r w:rsidRPr="00A26C26">
              <w:rPr>
                <w:rFonts w:eastAsia="Calibri" w:cstheme="minorHAnsi"/>
              </w:rPr>
              <w:t>życia,</w:t>
            </w:r>
            <w:r w:rsidR="003B50ED">
              <w:rPr>
                <w:rFonts w:eastAsia="Calibri" w:cstheme="minorHAnsi"/>
              </w:rPr>
              <w:t xml:space="preserve"> </w:t>
            </w:r>
            <w:r w:rsidRPr="00A26C26">
              <w:rPr>
                <w:rFonts w:eastAsia="Calibri" w:cstheme="minorHAnsi"/>
              </w:rPr>
              <w:t>infrastruktury</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stanu</w:t>
            </w:r>
            <w:r w:rsidR="003B50ED">
              <w:rPr>
                <w:rFonts w:eastAsia="Calibri" w:cstheme="minorHAnsi"/>
              </w:rPr>
              <w:t xml:space="preserve"> </w:t>
            </w:r>
            <w:r w:rsidRPr="00A26C26">
              <w:rPr>
                <w:rFonts w:eastAsia="Calibri" w:cstheme="minorHAnsi"/>
              </w:rPr>
              <w:t>środowiska</w:t>
            </w:r>
          </w:p>
          <w:p w14:paraId="617EC5DA" w14:textId="27D0C59E" w:rsidR="00857736" w:rsidRPr="00A26C26" w:rsidRDefault="00857736" w:rsidP="00A26C26">
            <w:pPr>
              <w:spacing w:line="276" w:lineRule="auto"/>
              <w:jc w:val="both"/>
              <w:rPr>
                <w:rFonts w:eastAsia="Calibri" w:cstheme="minorHAnsi"/>
                <w:lang w:eastAsia="pl-PL"/>
              </w:rPr>
            </w:pPr>
            <w:r w:rsidRPr="00A26C26">
              <w:rPr>
                <w:rFonts w:eastAsia="Calibri" w:cstheme="minorHAnsi"/>
              </w:rPr>
              <w:t>Cel</w:t>
            </w:r>
            <w:r w:rsidR="003B50ED">
              <w:rPr>
                <w:rFonts w:eastAsia="Calibri" w:cstheme="minorHAnsi"/>
              </w:rPr>
              <w:t xml:space="preserve"> </w:t>
            </w:r>
            <w:r w:rsidRPr="00A26C26">
              <w:rPr>
                <w:rFonts w:eastAsia="Calibri" w:cstheme="minorHAnsi"/>
              </w:rPr>
              <w:t>szczegółowy</w:t>
            </w:r>
            <w:r w:rsidR="003B50ED">
              <w:rPr>
                <w:rFonts w:eastAsia="Calibri" w:cstheme="minorHAnsi"/>
              </w:rPr>
              <w:t xml:space="preserve"> </w:t>
            </w:r>
            <w:r w:rsidRPr="00A26C26">
              <w:rPr>
                <w:rFonts w:eastAsia="Calibri" w:cstheme="minorHAnsi"/>
              </w:rPr>
              <w:t>III</w:t>
            </w:r>
            <w:r w:rsidR="003B50ED">
              <w:rPr>
                <w:rFonts w:eastAsia="Calibri" w:cstheme="minorHAnsi"/>
              </w:rPr>
              <w:t xml:space="preserve"> </w:t>
            </w:r>
            <w:r w:rsidRPr="00A26C26">
              <w:rPr>
                <w:rFonts w:eastAsia="Calibri" w:cstheme="minorHAnsi"/>
              </w:rPr>
              <w:t>Rozwój</w:t>
            </w:r>
            <w:r w:rsidR="003B50ED">
              <w:rPr>
                <w:rFonts w:eastAsia="Calibri" w:cstheme="minorHAnsi"/>
              </w:rPr>
              <w:t xml:space="preserve"> </w:t>
            </w:r>
            <w:r w:rsidRPr="00A26C26">
              <w:rPr>
                <w:rFonts w:eastAsia="Calibri" w:cstheme="minorHAnsi"/>
              </w:rPr>
              <w:t>przedsiębiorczości,</w:t>
            </w:r>
            <w:r w:rsidR="003B50ED">
              <w:rPr>
                <w:rFonts w:eastAsia="Calibri" w:cstheme="minorHAnsi"/>
              </w:rPr>
              <w:t xml:space="preserve"> </w:t>
            </w:r>
            <w:r w:rsidRPr="00A26C26">
              <w:rPr>
                <w:rFonts w:eastAsia="Calibri" w:cstheme="minorHAnsi"/>
              </w:rPr>
              <w:t>pozarolniczych</w:t>
            </w:r>
            <w:r w:rsidR="003B50ED">
              <w:rPr>
                <w:rFonts w:eastAsia="Calibri" w:cstheme="minorHAnsi"/>
              </w:rPr>
              <w:t xml:space="preserve"> </w:t>
            </w:r>
            <w:r w:rsidRPr="00A26C26">
              <w:rPr>
                <w:rFonts w:eastAsia="Calibri" w:cstheme="minorHAnsi"/>
              </w:rPr>
              <w:t>miejsc</w:t>
            </w:r>
            <w:r w:rsidR="003B50ED">
              <w:rPr>
                <w:rFonts w:eastAsia="Calibri" w:cstheme="minorHAnsi"/>
              </w:rPr>
              <w:t xml:space="preserve"> </w:t>
            </w:r>
            <w:r w:rsidRPr="00A26C26">
              <w:rPr>
                <w:rFonts w:eastAsia="Calibri" w:cstheme="minorHAnsi"/>
              </w:rPr>
              <w:t>pracy</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aktywnego</w:t>
            </w:r>
            <w:r w:rsidR="003B50ED">
              <w:rPr>
                <w:rFonts w:eastAsia="Calibri" w:cstheme="minorHAnsi"/>
              </w:rPr>
              <w:t xml:space="preserve"> </w:t>
            </w:r>
            <w:r w:rsidRPr="00A26C26">
              <w:rPr>
                <w:rFonts w:eastAsia="Calibri" w:cstheme="minorHAnsi"/>
              </w:rPr>
              <w:t>społeczeństwa</w:t>
            </w:r>
          </w:p>
        </w:tc>
      </w:tr>
      <w:tr w:rsidR="00857736" w:rsidRPr="00A26C26" w14:paraId="1F9EF77E" w14:textId="77777777" w:rsidTr="00233140">
        <w:trPr>
          <w:trHeight w:val="249"/>
        </w:trPr>
        <w:tc>
          <w:tcPr>
            <w:tcW w:w="10201" w:type="dxa"/>
            <w:gridSpan w:val="2"/>
          </w:tcPr>
          <w:p w14:paraId="5D65D0E3" w14:textId="1F420C4D" w:rsidR="00857736" w:rsidRPr="00A26C26" w:rsidRDefault="00857736" w:rsidP="00A26C26">
            <w:pPr>
              <w:spacing w:line="276" w:lineRule="auto"/>
              <w:jc w:val="both"/>
              <w:rPr>
                <w:rFonts w:eastAsia="Calibri" w:cstheme="minorHAnsi"/>
                <w:lang w:eastAsia="pl-PL"/>
              </w:rPr>
            </w:pPr>
            <w:r w:rsidRPr="00A26C26">
              <w:rPr>
                <w:rFonts w:eastAsia="Calibri" w:cstheme="minorHAnsi"/>
                <w:lang w:eastAsia="pl-PL"/>
              </w:rPr>
              <w:t>Przedsięwzięcia</w:t>
            </w:r>
            <w:r w:rsidR="003B50ED">
              <w:rPr>
                <w:rFonts w:eastAsia="Calibri" w:cstheme="minorHAnsi"/>
                <w:lang w:eastAsia="pl-PL"/>
              </w:rPr>
              <w:t xml:space="preserve"> </w:t>
            </w:r>
            <w:r w:rsidRPr="00A26C26">
              <w:rPr>
                <w:rFonts w:eastAsia="Calibri" w:cstheme="minorHAnsi"/>
                <w:lang w:eastAsia="pl-PL"/>
              </w:rPr>
              <w:t>LSR</w:t>
            </w:r>
            <w:r w:rsidR="003B50ED">
              <w:rPr>
                <w:rFonts w:eastAsia="Calibri" w:cstheme="minorHAnsi"/>
                <w:lang w:eastAsia="pl-PL"/>
              </w:rPr>
              <w:t xml:space="preserve"> </w:t>
            </w:r>
            <w:r w:rsidRPr="00A26C26">
              <w:rPr>
                <w:rFonts w:eastAsia="Calibri" w:cstheme="minorHAnsi"/>
                <w:lang w:eastAsia="pl-PL"/>
              </w:rPr>
              <w:t>są</w:t>
            </w:r>
            <w:r w:rsidR="003B50ED">
              <w:rPr>
                <w:rFonts w:eastAsia="Calibri" w:cstheme="minorHAnsi"/>
                <w:lang w:eastAsia="pl-PL"/>
              </w:rPr>
              <w:t xml:space="preserve"> </w:t>
            </w:r>
            <w:r w:rsidRPr="00A26C26">
              <w:rPr>
                <w:rFonts w:eastAsia="Calibri" w:cstheme="minorHAnsi"/>
                <w:lang w:eastAsia="pl-PL"/>
              </w:rPr>
              <w:t>względem</w:t>
            </w:r>
            <w:r w:rsidR="003B50ED">
              <w:rPr>
                <w:rFonts w:eastAsia="Calibri" w:cstheme="minorHAnsi"/>
                <w:lang w:eastAsia="pl-PL"/>
              </w:rPr>
              <w:t xml:space="preserve"> </w:t>
            </w:r>
            <w:r w:rsidRPr="00A26C26">
              <w:rPr>
                <w:rFonts w:eastAsia="Calibri" w:cstheme="minorHAnsi"/>
                <w:lang w:eastAsia="pl-PL"/>
              </w:rPr>
              <w:t>celów</w:t>
            </w:r>
            <w:r w:rsidR="003B50ED">
              <w:rPr>
                <w:rFonts w:eastAsia="Calibri" w:cstheme="minorHAnsi"/>
                <w:lang w:eastAsia="pl-PL"/>
              </w:rPr>
              <w:t xml:space="preserve"> </w:t>
            </w:r>
            <w:r w:rsidRPr="00A26C26">
              <w:rPr>
                <w:rFonts w:eastAsia="Calibri" w:cstheme="minorHAnsi"/>
                <w:lang w:eastAsia="pl-PL"/>
              </w:rPr>
              <w:t>Strategii</w:t>
            </w:r>
            <w:r w:rsidR="003B50ED">
              <w:rPr>
                <w:rFonts w:eastAsia="Calibri" w:cstheme="minorHAnsi"/>
                <w:lang w:eastAsia="pl-PL"/>
              </w:rPr>
              <w:t xml:space="preserve"> </w:t>
            </w:r>
            <w:r w:rsidRPr="00A26C26">
              <w:rPr>
                <w:rFonts w:eastAsia="Calibri" w:cstheme="minorHAnsi"/>
                <w:lang w:eastAsia="pl-PL"/>
              </w:rPr>
              <w:t>komplementarne,</w:t>
            </w:r>
            <w:r w:rsidR="003B50ED">
              <w:rPr>
                <w:rFonts w:eastAsia="Calibri" w:cstheme="minorHAnsi"/>
                <w:lang w:eastAsia="pl-PL"/>
              </w:rPr>
              <w:t xml:space="preserve"> </w:t>
            </w:r>
            <w:r w:rsidRPr="00A26C26">
              <w:rPr>
                <w:rFonts w:eastAsia="Calibri" w:cstheme="minorHAnsi"/>
                <w:lang w:eastAsia="pl-PL"/>
              </w:rPr>
              <w:t>spójne</w:t>
            </w:r>
            <w:r w:rsidR="003B50ED">
              <w:rPr>
                <w:rFonts w:eastAsia="Calibri" w:cstheme="minorHAnsi"/>
                <w:lang w:eastAsia="pl-PL"/>
              </w:rPr>
              <w:t xml:space="preserve"> </w:t>
            </w:r>
            <w:r w:rsidRPr="00A26C26">
              <w:rPr>
                <w:rFonts w:eastAsia="Calibri" w:cstheme="minorHAnsi"/>
                <w:lang w:eastAsia="pl-PL"/>
              </w:rPr>
              <w:t>i</w:t>
            </w:r>
            <w:r w:rsidR="003B50ED">
              <w:rPr>
                <w:rFonts w:eastAsia="Calibri" w:cstheme="minorHAnsi"/>
                <w:lang w:eastAsia="pl-PL"/>
              </w:rPr>
              <w:t xml:space="preserve"> </w:t>
            </w:r>
            <w:r w:rsidRPr="00A26C26">
              <w:rPr>
                <w:rFonts w:eastAsia="Calibri" w:cstheme="minorHAnsi"/>
                <w:lang w:eastAsia="pl-PL"/>
              </w:rPr>
              <w:t>synergiczne.</w:t>
            </w:r>
            <w:r w:rsidR="003B50ED">
              <w:rPr>
                <w:rFonts w:eastAsia="Calibri" w:cstheme="minorHAnsi"/>
                <w:lang w:eastAsia="pl-PL"/>
              </w:rPr>
              <w:t xml:space="preserve"> </w:t>
            </w:r>
          </w:p>
          <w:p w14:paraId="260B6E9B" w14:textId="53CB887A" w:rsidR="00857736" w:rsidRPr="00A26C26" w:rsidRDefault="00857736" w:rsidP="00A26C26">
            <w:pPr>
              <w:spacing w:line="276" w:lineRule="auto"/>
              <w:jc w:val="both"/>
              <w:rPr>
                <w:rFonts w:eastAsia="Calibri" w:cstheme="minorHAnsi"/>
              </w:rPr>
            </w:pPr>
            <w:r w:rsidRPr="00A26C26">
              <w:rPr>
                <w:rFonts w:eastAsia="Calibri" w:cstheme="minorHAnsi"/>
              </w:rPr>
              <w:t>Cele</w:t>
            </w:r>
            <w:r w:rsidR="003B50ED">
              <w:rPr>
                <w:rFonts w:eastAsia="Calibri" w:cstheme="minorHAnsi"/>
              </w:rPr>
              <w:t xml:space="preserve"> </w:t>
            </w:r>
            <w:r w:rsidRPr="00A26C26">
              <w:rPr>
                <w:rFonts w:eastAsia="Calibri" w:cstheme="minorHAnsi"/>
              </w:rPr>
              <w:t>LSR</w:t>
            </w:r>
            <w:r w:rsidR="003B50ED">
              <w:rPr>
                <w:rFonts w:eastAsia="Calibri" w:cstheme="minorHAnsi"/>
              </w:rPr>
              <w:t xml:space="preserve"> </w:t>
            </w:r>
            <w:r w:rsidRPr="00A26C26">
              <w:rPr>
                <w:rFonts w:eastAsia="Calibri" w:cstheme="minorHAnsi"/>
              </w:rPr>
              <w:t>spójne</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wykazują</w:t>
            </w:r>
            <w:r w:rsidR="003B50ED">
              <w:rPr>
                <w:rFonts w:eastAsia="Calibri" w:cstheme="minorHAnsi"/>
              </w:rPr>
              <w:t xml:space="preserve"> </w:t>
            </w:r>
            <w:r w:rsidRPr="00A26C26">
              <w:rPr>
                <w:rFonts w:eastAsia="Calibri" w:cstheme="minorHAnsi"/>
              </w:rPr>
              <w:t>wysoki</w:t>
            </w:r>
            <w:r w:rsidR="003B50ED">
              <w:rPr>
                <w:rFonts w:eastAsia="Calibri" w:cstheme="minorHAnsi"/>
              </w:rPr>
              <w:t xml:space="preserve"> </w:t>
            </w:r>
            <w:r w:rsidRPr="00A26C26">
              <w:rPr>
                <w:rFonts w:eastAsia="Calibri" w:cstheme="minorHAnsi"/>
              </w:rPr>
              <w:t>stopień</w:t>
            </w:r>
            <w:r w:rsidR="003B50ED">
              <w:rPr>
                <w:rFonts w:eastAsia="Calibri" w:cstheme="minorHAnsi"/>
              </w:rPr>
              <w:t xml:space="preserve"> </w:t>
            </w:r>
            <w:r w:rsidRPr="00A26C26">
              <w:rPr>
                <w:rFonts w:eastAsia="Calibri" w:cstheme="minorHAnsi"/>
              </w:rPr>
              <w:t>komplementarności</w:t>
            </w:r>
            <w:r w:rsidR="003B50ED">
              <w:rPr>
                <w:rFonts w:eastAsia="Calibri" w:cstheme="minorHAnsi"/>
              </w:rPr>
              <w:t xml:space="preserve"> </w:t>
            </w:r>
            <w:r w:rsidRPr="00A26C26">
              <w:rPr>
                <w:rFonts w:eastAsia="Calibri" w:cstheme="minorHAnsi"/>
              </w:rPr>
              <w:t>z</w:t>
            </w:r>
            <w:r w:rsidR="003B50ED">
              <w:rPr>
                <w:rFonts w:eastAsia="Calibri" w:cstheme="minorHAnsi"/>
              </w:rPr>
              <w:t xml:space="preserve"> </w:t>
            </w:r>
            <w:r w:rsidRPr="00A26C26">
              <w:rPr>
                <w:rFonts w:eastAsia="Calibri" w:cstheme="minorHAnsi"/>
              </w:rPr>
              <w:t>celami</w:t>
            </w:r>
            <w:r w:rsidR="003B50ED">
              <w:rPr>
                <w:rFonts w:eastAsia="Calibri" w:cstheme="minorHAnsi"/>
              </w:rPr>
              <w:t xml:space="preserve"> </w:t>
            </w:r>
            <w:r w:rsidRPr="00A26C26">
              <w:rPr>
                <w:rFonts w:eastAsia="Calibri" w:cstheme="minorHAnsi"/>
              </w:rPr>
              <w:t>Strategii</w:t>
            </w:r>
            <w:r w:rsidR="003B50ED">
              <w:rPr>
                <w:rFonts w:eastAsia="Calibri" w:cstheme="minorHAnsi"/>
              </w:rPr>
              <w:t xml:space="preserve"> </w:t>
            </w:r>
            <w:r w:rsidRPr="00A26C26">
              <w:rPr>
                <w:rFonts w:eastAsia="Calibri" w:cstheme="minorHAnsi"/>
              </w:rPr>
              <w:t>Zrównoważonego</w:t>
            </w:r>
            <w:r w:rsidR="003B50ED">
              <w:rPr>
                <w:rFonts w:eastAsia="Calibri" w:cstheme="minorHAnsi"/>
              </w:rPr>
              <w:t xml:space="preserve"> </w:t>
            </w:r>
            <w:r w:rsidRPr="00A26C26">
              <w:rPr>
                <w:rFonts w:eastAsia="Calibri" w:cstheme="minorHAnsi"/>
              </w:rPr>
              <w:t>Rozwoju</w:t>
            </w:r>
            <w:r w:rsidR="003B50ED">
              <w:rPr>
                <w:rFonts w:eastAsia="Calibri" w:cstheme="minorHAnsi"/>
              </w:rPr>
              <w:t xml:space="preserve"> </w:t>
            </w:r>
            <w:r w:rsidRPr="00A26C26">
              <w:rPr>
                <w:rFonts w:eastAsia="Calibri" w:cstheme="minorHAnsi"/>
              </w:rPr>
              <w:t>Wsi,</w:t>
            </w:r>
            <w:r w:rsidR="003B50ED">
              <w:rPr>
                <w:rFonts w:eastAsia="Calibri" w:cstheme="minorHAnsi"/>
              </w:rPr>
              <w:t xml:space="preserve"> </w:t>
            </w:r>
            <w:r w:rsidRPr="00A26C26">
              <w:rPr>
                <w:rFonts w:eastAsia="Calibri" w:cstheme="minorHAnsi"/>
              </w:rPr>
              <w:t>Rolnictwa</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Rybactwa</w:t>
            </w:r>
            <w:r w:rsidR="003B50ED">
              <w:rPr>
                <w:rFonts w:eastAsia="Calibri" w:cstheme="minorHAnsi"/>
              </w:rPr>
              <w:t xml:space="preserve"> </w:t>
            </w:r>
            <w:r w:rsidRPr="00A26C26">
              <w:rPr>
                <w:rFonts w:eastAsia="Calibri" w:cstheme="minorHAnsi"/>
              </w:rPr>
              <w:t>2030</w:t>
            </w:r>
            <w:r w:rsidR="003B50ED">
              <w:rPr>
                <w:rFonts w:eastAsia="Calibri" w:cstheme="minorHAnsi"/>
              </w:rPr>
              <w:t xml:space="preserve"> </w:t>
            </w:r>
            <w:r w:rsidRPr="00A26C26">
              <w:rPr>
                <w:rFonts w:eastAsia="Calibri" w:cstheme="minorHAnsi"/>
              </w:rPr>
              <w:t>przede</w:t>
            </w:r>
            <w:r w:rsidR="003B50ED">
              <w:rPr>
                <w:rFonts w:eastAsia="Calibri" w:cstheme="minorHAnsi"/>
              </w:rPr>
              <w:t xml:space="preserve"> </w:t>
            </w:r>
            <w:r w:rsidRPr="00A26C26">
              <w:rPr>
                <w:rFonts w:eastAsia="Calibri" w:cstheme="minorHAnsi"/>
              </w:rPr>
              <w:t>wszystkim</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zakresie</w:t>
            </w:r>
            <w:r w:rsidR="003B50ED">
              <w:rPr>
                <w:rFonts w:eastAsia="Calibri" w:cstheme="minorHAnsi"/>
              </w:rPr>
              <w:t xml:space="preserve"> </w:t>
            </w:r>
            <w:r w:rsidRPr="00A26C26">
              <w:rPr>
                <w:rFonts w:eastAsia="Calibri" w:cstheme="minorHAnsi"/>
              </w:rPr>
              <w:t>rozwoju</w:t>
            </w:r>
            <w:r w:rsidR="003B50ED">
              <w:rPr>
                <w:rFonts w:eastAsia="Calibri" w:cstheme="minorHAnsi"/>
              </w:rPr>
              <w:t xml:space="preserve"> </w:t>
            </w:r>
            <w:r w:rsidRPr="00A26C26">
              <w:rPr>
                <w:rFonts w:eastAsia="Calibri" w:cstheme="minorHAnsi"/>
              </w:rPr>
              <w:t>małej</w:t>
            </w:r>
            <w:r w:rsidR="003B50ED">
              <w:rPr>
                <w:rFonts w:eastAsia="Calibri" w:cstheme="minorHAnsi"/>
              </w:rPr>
              <w:t xml:space="preserve"> </w:t>
            </w:r>
            <w:r w:rsidRPr="00A26C26">
              <w:rPr>
                <w:rFonts w:eastAsia="Calibri" w:cstheme="minorHAnsi"/>
              </w:rPr>
              <w:t>infrastruktury</w:t>
            </w:r>
            <w:r w:rsidR="003B50ED">
              <w:rPr>
                <w:rFonts w:eastAsia="Calibri" w:cstheme="minorHAnsi"/>
              </w:rPr>
              <w:t xml:space="preserve"> </w:t>
            </w:r>
            <w:r w:rsidRPr="00A26C26">
              <w:rPr>
                <w:rFonts w:eastAsia="Calibri" w:cstheme="minorHAnsi"/>
              </w:rPr>
              <w:t>publicznej</w:t>
            </w:r>
            <w:r w:rsidR="003B50ED">
              <w:rPr>
                <w:rFonts w:eastAsia="Calibri" w:cstheme="minorHAnsi"/>
              </w:rPr>
              <w:t xml:space="preserve"> </w:t>
            </w:r>
            <w:r w:rsidRPr="00A26C26">
              <w:rPr>
                <w:rFonts w:eastAsia="Calibri" w:cstheme="minorHAnsi"/>
              </w:rPr>
              <w:t>(P.1.2.),</w:t>
            </w:r>
            <w:r w:rsidR="003B50ED">
              <w:rPr>
                <w:rFonts w:eastAsia="Calibri" w:cstheme="minorHAnsi"/>
              </w:rPr>
              <w:t xml:space="preserve"> </w:t>
            </w:r>
            <w:r w:rsidRPr="00A26C26">
              <w:rPr>
                <w:rFonts w:eastAsia="Calibri" w:cstheme="minorHAnsi"/>
              </w:rPr>
              <w:t>rozwoju</w:t>
            </w:r>
            <w:r w:rsidR="003B50ED">
              <w:rPr>
                <w:rFonts w:eastAsia="Calibri" w:cstheme="minorHAnsi"/>
              </w:rPr>
              <w:t xml:space="preserve"> </w:t>
            </w:r>
            <w:r w:rsidRPr="00A26C26">
              <w:rPr>
                <w:rFonts w:eastAsia="Calibri" w:cstheme="minorHAnsi"/>
              </w:rPr>
              <w:t>kapitału</w:t>
            </w:r>
            <w:r w:rsidR="003B50ED">
              <w:rPr>
                <w:rFonts w:eastAsia="Calibri" w:cstheme="minorHAnsi"/>
              </w:rPr>
              <w:t xml:space="preserve"> </w:t>
            </w:r>
            <w:r w:rsidRPr="00A26C26">
              <w:rPr>
                <w:rFonts w:eastAsia="Calibri" w:cstheme="minorHAnsi"/>
              </w:rPr>
              <w:t>społecznego</w:t>
            </w:r>
            <w:r w:rsidR="003B50ED">
              <w:rPr>
                <w:rFonts w:eastAsia="Calibri" w:cstheme="minorHAnsi"/>
              </w:rPr>
              <w:t xml:space="preserve"> </w:t>
            </w:r>
            <w:r w:rsidRPr="00A26C26">
              <w:rPr>
                <w:rFonts w:eastAsia="Calibri" w:cstheme="minorHAnsi"/>
              </w:rPr>
              <w:t>poprzez</w:t>
            </w:r>
            <w:r w:rsidR="003B50ED">
              <w:rPr>
                <w:rFonts w:eastAsia="Calibri" w:cstheme="minorHAnsi"/>
              </w:rPr>
              <w:t xml:space="preserve"> </w:t>
            </w:r>
            <w:r w:rsidRPr="00A26C26">
              <w:rPr>
                <w:rFonts w:eastAsia="Calibri" w:cstheme="minorHAnsi"/>
              </w:rPr>
              <w:t>aktywizację</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włączenie</w:t>
            </w:r>
            <w:r w:rsidR="003B50ED">
              <w:rPr>
                <w:rFonts w:eastAsia="Calibri" w:cstheme="minorHAnsi"/>
              </w:rPr>
              <w:t xml:space="preserve"> </w:t>
            </w:r>
            <w:r w:rsidRPr="00A26C26">
              <w:rPr>
                <w:rFonts w:eastAsia="Calibri" w:cstheme="minorHAnsi"/>
              </w:rPr>
              <w:t>społeczne</w:t>
            </w:r>
            <w:r w:rsidR="003B50ED">
              <w:rPr>
                <w:rFonts w:eastAsia="Calibri" w:cstheme="minorHAnsi"/>
              </w:rPr>
              <w:t xml:space="preserve"> </w:t>
            </w:r>
            <w:r w:rsidRPr="00A26C26">
              <w:rPr>
                <w:rFonts w:eastAsia="Calibri" w:cstheme="minorHAnsi"/>
              </w:rPr>
              <w:t>lokalnej</w:t>
            </w:r>
            <w:r w:rsidR="003B50ED">
              <w:rPr>
                <w:rFonts w:eastAsia="Calibri" w:cstheme="minorHAnsi"/>
              </w:rPr>
              <w:t xml:space="preserve"> </w:t>
            </w:r>
            <w:r w:rsidRPr="00A26C26">
              <w:rPr>
                <w:rFonts w:eastAsia="Calibri" w:cstheme="minorHAnsi"/>
              </w:rPr>
              <w:t>społeczności,</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tym</w:t>
            </w:r>
            <w:r w:rsidR="003B50ED">
              <w:rPr>
                <w:rFonts w:eastAsia="Calibri" w:cstheme="minorHAnsi"/>
              </w:rPr>
              <w:t xml:space="preserve"> </w:t>
            </w:r>
            <w:r w:rsidRPr="00A26C26">
              <w:rPr>
                <w:rFonts w:eastAsia="Calibri" w:cstheme="minorHAnsi"/>
              </w:rPr>
              <w:t>seniorów,</w:t>
            </w:r>
            <w:r w:rsidR="003B50ED">
              <w:rPr>
                <w:rFonts w:eastAsia="Calibri" w:cstheme="minorHAnsi"/>
              </w:rPr>
              <w:t xml:space="preserve"> </w:t>
            </w:r>
            <w:r w:rsidRPr="00A26C26">
              <w:rPr>
                <w:rFonts w:eastAsia="Calibri" w:cstheme="minorHAnsi"/>
              </w:rPr>
              <w:t>ludzi</w:t>
            </w:r>
            <w:r w:rsidR="003B50ED">
              <w:rPr>
                <w:rFonts w:eastAsia="Calibri" w:cstheme="minorHAnsi"/>
              </w:rPr>
              <w:t xml:space="preserve"> </w:t>
            </w:r>
            <w:r w:rsidRPr="00A26C26">
              <w:rPr>
                <w:rFonts w:eastAsia="Calibri" w:cstheme="minorHAnsi"/>
              </w:rPr>
              <w:t>młodych</w:t>
            </w:r>
            <w:r w:rsidR="003B50ED">
              <w:rPr>
                <w:rFonts w:eastAsia="Calibri" w:cstheme="minorHAnsi"/>
              </w:rPr>
              <w:t xml:space="preserve"> </w:t>
            </w:r>
            <w:r w:rsidRPr="00A26C26">
              <w:rPr>
                <w:rFonts w:eastAsia="Calibri" w:cstheme="minorHAnsi"/>
              </w:rPr>
              <w:t>lub</w:t>
            </w:r>
            <w:r w:rsidR="003B50ED">
              <w:rPr>
                <w:rFonts w:eastAsia="Calibri" w:cstheme="minorHAnsi"/>
              </w:rPr>
              <w:t xml:space="preserve"> </w:t>
            </w:r>
            <w:r w:rsidRPr="00A26C26">
              <w:rPr>
                <w:rFonts w:eastAsia="Calibri" w:cstheme="minorHAnsi"/>
              </w:rPr>
              <w:t>osób</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niekorzystnej</w:t>
            </w:r>
            <w:r w:rsidR="003B50ED">
              <w:rPr>
                <w:rFonts w:eastAsia="Calibri" w:cstheme="minorHAnsi"/>
              </w:rPr>
              <w:t xml:space="preserve"> </w:t>
            </w:r>
            <w:r w:rsidRPr="00A26C26">
              <w:rPr>
                <w:rFonts w:eastAsia="Calibri" w:cstheme="minorHAnsi"/>
              </w:rPr>
              <w:t>sytuacji</w:t>
            </w:r>
            <w:r w:rsidR="003B50ED">
              <w:rPr>
                <w:rFonts w:eastAsia="Calibri" w:cstheme="minorHAnsi"/>
              </w:rPr>
              <w:t xml:space="preserve"> </w:t>
            </w:r>
            <w:r w:rsidRPr="00A26C26">
              <w:rPr>
                <w:rFonts w:eastAsia="Calibri" w:cstheme="minorHAnsi"/>
              </w:rPr>
              <w:t>(P.</w:t>
            </w:r>
            <w:r w:rsidR="00E34A59" w:rsidRPr="00A26C26">
              <w:rPr>
                <w:rFonts w:eastAsia="Calibri" w:cstheme="minorHAnsi"/>
              </w:rPr>
              <w:t>1</w:t>
            </w:r>
            <w:r w:rsidRPr="00A26C26">
              <w:rPr>
                <w:rFonts w:eastAsia="Calibri" w:cstheme="minorHAnsi"/>
              </w:rPr>
              <w:t>.</w:t>
            </w:r>
            <w:r w:rsidR="00E34A59" w:rsidRPr="00A26C26">
              <w:rPr>
                <w:rFonts w:eastAsia="Calibri" w:cstheme="minorHAnsi"/>
              </w:rPr>
              <w:t>4</w:t>
            </w:r>
            <w:r w:rsidRPr="00A26C26">
              <w:rPr>
                <w:rFonts w:eastAsia="Calibri" w:cstheme="minorHAnsi"/>
              </w:rPr>
              <w:t>)</w:t>
            </w:r>
            <w:r w:rsidR="00B329E9" w:rsidRPr="00A26C26">
              <w:rPr>
                <w:rFonts w:eastAsia="Calibri" w:cstheme="minorHAnsi"/>
              </w:rPr>
              <w:t>,</w:t>
            </w:r>
            <w:r w:rsidR="003B50ED">
              <w:rPr>
                <w:rFonts w:eastAsia="Calibri" w:cstheme="minorHAnsi"/>
              </w:rPr>
              <w:t xml:space="preserve"> </w:t>
            </w:r>
            <w:r w:rsidR="00B329E9" w:rsidRPr="00A26C26">
              <w:rPr>
                <w:rFonts w:eastAsia="Calibri" w:cstheme="minorHAnsi"/>
              </w:rPr>
              <w:t>integracji</w:t>
            </w:r>
            <w:r w:rsidR="003B50ED">
              <w:rPr>
                <w:rFonts w:eastAsia="Calibri" w:cstheme="minorHAnsi"/>
              </w:rPr>
              <w:t xml:space="preserve"> </w:t>
            </w:r>
            <w:r w:rsidR="00B329E9" w:rsidRPr="00A26C26">
              <w:rPr>
                <w:rFonts w:eastAsia="Calibri" w:cstheme="minorHAnsi"/>
              </w:rPr>
              <w:t>na</w:t>
            </w:r>
            <w:r w:rsidR="003B50ED">
              <w:rPr>
                <w:rFonts w:eastAsia="Calibri" w:cstheme="minorHAnsi"/>
              </w:rPr>
              <w:t xml:space="preserve"> </w:t>
            </w:r>
            <w:r w:rsidR="00B329E9" w:rsidRPr="00A26C26">
              <w:rPr>
                <w:rFonts w:eastAsia="Calibri" w:cstheme="minorHAnsi"/>
              </w:rPr>
              <w:t>obszarach</w:t>
            </w:r>
            <w:r w:rsidR="003B50ED">
              <w:rPr>
                <w:rFonts w:eastAsia="Calibri" w:cstheme="minorHAnsi"/>
              </w:rPr>
              <w:t xml:space="preserve"> </w:t>
            </w:r>
            <w:r w:rsidR="00B329E9" w:rsidRPr="00A26C26">
              <w:rPr>
                <w:rFonts w:eastAsia="Calibri" w:cstheme="minorHAnsi"/>
              </w:rPr>
              <w:t>wiejskich</w:t>
            </w:r>
            <w:r w:rsidR="003B50ED">
              <w:rPr>
                <w:rFonts w:eastAsia="Calibri" w:cstheme="minorHAnsi"/>
              </w:rPr>
              <w:t xml:space="preserve"> </w:t>
            </w:r>
            <w:r w:rsidR="00B329E9" w:rsidRPr="00A26C26">
              <w:rPr>
                <w:rFonts w:eastAsia="Calibri" w:cstheme="minorHAnsi"/>
              </w:rPr>
              <w:t>(P.1.6.)</w:t>
            </w:r>
            <w:r w:rsidR="003B50ED">
              <w:rPr>
                <w:rFonts w:eastAsia="Calibri" w:cstheme="minorHAnsi"/>
              </w:rPr>
              <w:t xml:space="preserve"> </w:t>
            </w:r>
            <w:r w:rsidRPr="00A26C26">
              <w:rPr>
                <w:rFonts w:eastAsia="Calibri" w:cstheme="minorHAnsi"/>
              </w:rPr>
              <w:t>oraz</w:t>
            </w:r>
            <w:r w:rsidR="003B50ED">
              <w:rPr>
                <w:rFonts w:eastAsia="Calibri" w:cstheme="minorHAnsi"/>
              </w:rPr>
              <w:t xml:space="preserve"> </w:t>
            </w:r>
            <w:r w:rsidR="00E34A59" w:rsidRPr="00A26C26">
              <w:rPr>
                <w:rFonts w:eastAsia="Calibri" w:cstheme="minorHAnsi"/>
              </w:rPr>
              <w:t>ochronę</w:t>
            </w:r>
            <w:r w:rsidR="003B50ED">
              <w:rPr>
                <w:rFonts w:eastAsia="Calibri" w:cstheme="minorHAnsi"/>
              </w:rPr>
              <w:t xml:space="preserve"> </w:t>
            </w:r>
            <w:r w:rsidR="00E34A59" w:rsidRPr="00A26C26">
              <w:rPr>
                <w:rFonts w:eastAsia="Calibri" w:cstheme="minorHAnsi"/>
              </w:rPr>
              <w:t>dziedzictwa</w:t>
            </w:r>
            <w:r w:rsidR="003B50ED">
              <w:rPr>
                <w:rFonts w:eastAsia="Calibri" w:cstheme="minorHAnsi"/>
              </w:rPr>
              <w:t xml:space="preserve"> </w:t>
            </w:r>
            <w:r w:rsidR="00E34A59" w:rsidRPr="00A26C26">
              <w:rPr>
                <w:rFonts w:eastAsia="Calibri" w:cstheme="minorHAnsi"/>
              </w:rPr>
              <w:t>kulturowego</w:t>
            </w:r>
            <w:r w:rsidR="003B50ED">
              <w:rPr>
                <w:rFonts w:eastAsia="Calibri" w:cstheme="minorHAnsi"/>
              </w:rPr>
              <w:t xml:space="preserve"> </w:t>
            </w:r>
            <w:r w:rsidR="00E34A59" w:rsidRPr="00A26C26">
              <w:rPr>
                <w:rFonts w:eastAsia="Calibri" w:cstheme="minorHAnsi"/>
              </w:rPr>
              <w:t>lub</w:t>
            </w:r>
            <w:r w:rsidR="003B50ED">
              <w:rPr>
                <w:rFonts w:eastAsia="Calibri" w:cstheme="minorHAnsi"/>
              </w:rPr>
              <w:t xml:space="preserve"> </w:t>
            </w:r>
            <w:r w:rsidR="00E34A59" w:rsidRPr="00A26C26">
              <w:rPr>
                <w:rFonts w:eastAsia="Calibri" w:cstheme="minorHAnsi"/>
              </w:rPr>
              <w:t>przyrodniczego</w:t>
            </w:r>
            <w:r w:rsidR="003B50ED">
              <w:rPr>
                <w:rFonts w:eastAsia="Calibri" w:cstheme="minorHAnsi"/>
              </w:rPr>
              <w:t xml:space="preserve"> </w:t>
            </w:r>
            <w:r w:rsidR="00E34A59" w:rsidRPr="00A26C26">
              <w:rPr>
                <w:rFonts w:eastAsia="Calibri" w:cstheme="minorHAnsi"/>
              </w:rPr>
              <w:t>polskiej</w:t>
            </w:r>
            <w:r w:rsidR="003B50ED">
              <w:rPr>
                <w:rFonts w:eastAsia="Calibri" w:cstheme="minorHAnsi"/>
              </w:rPr>
              <w:t xml:space="preserve"> </w:t>
            </w:r>
            <w:r w:rsidR="00E34A59" w:rsidRPr="00A26C26">
              <w:rPr>
                <w:rFonts w:eastAsia="Calibri" w:cstheme="minorHAnsi"/>
              </w:rPr>
              <w:t>wsi</w:t>
            </w:r>
            <w:r w:rsidR="003B50ED">
              <w:rPr>
                <w:rFonts w:eastAsia="Calibri" w:cstheme="minorHAnsi"/>
              </w:rPr>
              <w:t xml:space="preserve"> </w:t>
            </w:r>
            <w:r w:rsidR="00E34A59" w:rsidRPr="00A26C26">
              <w:rPr>
                <w:rFonts w:eastAsia="Calibri" w:cstheme="minorHAnsi"/>
              </w:rPr>
              <w:t>(P.1.3.)</w:t>
            </w:r>
            <w:r w:rsidR="003B50ED">
              <w:rPr>
                <w:rFonts w:eastAsia="Calibri" w:cstheme="minorHAnsi"/>
              </w:rPr>
              <w:t xml:space="preserve"> </w:t>
            </w:r>
            <w:r w:rsidRPr="00A26C26">
              <w:rPr>
                <w:rFonts w:eastAsia="Calibri" w:cstheme="minorHAnsi"/>
              </w:rPr>
              <w:t>jak</w:t>
            </w:r>
            <w:r w:rsidR="003B50ED">
              <w:rPr>
                <w:rFonts w:eastAsia="Calibri" w:cstheme="minorHAnsi"/>
              </w:rPr>
              <w:t xml:space="preserve"> </w:t>
            </w:r>
            <w:r w:rsidRPr="00A26C26">
              <w:rPr>
                <w:rFonts w:eastAsia="Calibri" w:cstheme="minorHAnsi"/>
              </w:rPr>
              <w:t>również</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zakresie</w:t>
            </w:r>
            <w:r w:rsidR="003B50ED">
              <w:rPr>
                <w:rFonts w:eastAsia="Calibri" w:cstheme="minorHAnsi"/>
              </w:rPr>
              <w:t xml:space="preserve"> </w:t>
            </w:r>
            <w:r w:rsidRPr="00A26C26">
              <w:rPr>
                <w:rFonts w:eastAsia="Calibri" w:cstheme="minorHAnsi"/>
              </w:rPr>
              <w:t>rozwoju</w:t>
            </w:r>
            <w:r w:rsidR="003B50ED">
              <w:rPr>
                <w:rFonts w:eastAsia="Calibri" w:cstheme="minorHAnsi"/>
              </w:rPr>
              <w:t xml:space="preserve"> </w:t>
            </w:r>
            <w:r w:rsidRPr="00341F56">
              <w:rPr>
                <w:rFonts w:eastAsia="Calibri" w:cstheme="minorHAnsi"/>
              </w:rPr>
              <w:t>przedsiębiorczości</w:t>
            </w:r>
            <w:r w:rsidR="003B50ED" w:rsidRPr="00341F56">
              <w:rPr>
                <w:rFonts w:eastAsia="Calibri" w:cstheme="minorHAnsi"/>
              </w:rPr>
              <w:t xml:space="preserve"> </w:t>
            </w:r>
            <w:r w:rsidR="00AB2426" w:rsidRPr="00341F56">
              <w:rPr>
                <w:rFonts w:eastAsia="Calibri" w:cstheme="minorHAnsi"/>
              </w:rPr>
              <w:t>(P.2.1).</w:t>
            </w:r>
          </w:p>
        </w:tc>
      </w:tr>
      <w:tr w:rsidR="00857736" w:rsidRPr="00A26C26" w14:paraId="220E93F0" w14:textId="77777777" w:rsidTr="00233140">
        <w:trPr>
          <w:trHeight w:val="249"/>
        </w:trPr>
        <w:tc>
          <w:tcPr>
            <w:tcW w:w="10201" w:type="dxa"/>
            <w:gridSpan w:val="2"/>
            <w:hideMark/>
          </w:tcPr>
          <w:p w14:paraId="308965AE" w14:textId="1B353151" w:rsidR="00857736" w:rsidRPr="00A26C26" w:rsidRDefault="00857736" w:rsidP="00A26C26">
            <w:pPr>
              <w:spacing w:line="276" w:lineRule="auto"/>
              <w:jc w:val="both"/>
              <w:rPr>
                <w:rFonts w:eastAsia="Calibri" w:cstheme="minorHAnsi"/>
                <w:lang w:eastAsia="pl-PL"/>
              </w:rPr>
            </w:pPr>
            <w:r w:rsidRPr="00A26C26">
              <w:rPr>
                <w:rFonts w:eastAsia="Calibri" w:cstheme="minorHAnsi"/>
                <w:lang w:eastAsia="pl-PL"/>
              </w:rPr>
              <w:t>PS</w:t>
            </w:r>
            <w:r w:rsidR="003B50ED">
              <w:rPr>
                <w:rFonts w:eastAsia="Calibri" w:cstheme="minorHAnsi"/>
                <w:lang w:eastAsia="pl-PL"/>
              </w:rPr>
              <w:t xml:space="preserve"> </w:t>
            </w:r>
            <w:r w:rsidRPr="00A26C26">
              <w:rPr>
                <w:rFonts w:eastAsia="Calibri" w:cstheme="minorHAnsi"/>
                <w:lang w:eastAsia="pl-PL"/>
              </w:rPr>
              <w:t>dla</w:t>
            </w:r>
            <w:r w:rsidR="003B50ED">
              <w:rPr>
                <w:rFonts w:eastAsia="Calibri" w:cstheme="minorHAnsi"/>
                <w:lang w:eastAsia="pl-PL"/>
              </w:rPr>
              <w:t xml:space="preserve"> </w:t>
            </w:r>
            <w:r w:rsidRPr="00A26C26">
              <w:rPr>
                <w:rFonts w:eastAsia="Calibri" w:cstheme="minorHAnsi"/>
                <w:lang w:eastAsia="pl-PL"/>
              </w:rPr>
              <w:t>WPR</w:t>
            </w:r>
            <w:r w:rsidR="003B50ED">
              <w:rPr>
                <w:rFonts w:eastAsia="Calibri" w:cstheme="minorHAnsi"/>
                <w:lang w:eastAsia="pl-PL"/>
              </w:rPr>
              <w:t xml:space="preserve"> </w:t>
            </w:r>
            <w:r w:rsidRPr="00A26C26">
              <w:rPr>
                <w:rFonts w:eastAsia="Calibri" w:cstheme="minorHAnsi"/>
                <w:lang w:eastAsia="pl-PL"/>
              </w:rPr>
              <w:t>na</w:t>
            </w:r>
            <w:r w:rsidR="003B50ED">
              <w:rPr>
                <w:rFonts w:eastAsia="Calibri" w:cstheme="minorHAnsi"/>
                <w:lang w:eastAsia="pl-PL"/>
              </w:rPr>
              <w:t xml:space="preserve"> </w:t>
            </w:r>
            <w:r w:rsidRPr="00A26C26">
              <w:rPr>
                <w:rFonts w:eastAsia="Calibri" w:cstheme="minorHAnsi"/>
                <w:lang w:eastAsia="pl-PL"/>
              </w:rPr>
              <w:t>lata</w:t>
            </w:r>
            <w:r w:rsidR="003B50ED">
              <w:rPr>
                <w:rFonts w:eastAsia="Calibri" w:cstheme="minorHAnsi"/>
                <w:lang w:eastAsia="pl-PL"/>
              </w:rPr>
              <w:t xml:space="preserve"> </w:t>
            </w:r>
            <w:r w:rsidRPr="00A26C26">
              <w:rPr>
                <w:rFonts w:eastAsia="Calibri" w:cstheme="minorHAnsi"/>
                <w:lang w:eastAsia="pl-PL"/>
              </w:rPr>
              <w:t>2023-2027</w:t>
            </w:r>
            <w:r w:rsidR="003B50ED">
              <w:rPr>
                <w:rFonts w:eastAsia="Calibri" w:cstheme="minorHAnsi"/>
                <w:lang w:eastAsia="pl-PL"/>
              </w:rPr>
              <w:t xml:space="preserve"> </w:t>
            </w:r>
          </w:p>
        </w:tc>
      </w:tr>
      <w:tr w:rsidR="00857736" w:rsidRPr="00A26C26" w14:paraId="638F66D7" w14:textId="77777777" w:rsidTr="00233140">
        <w:trPr>
          <w:trHeight w:val="249"/>
        </w:trPr>
        <w:tc>
          <w:tcPr>
            <w:tcW w:w="10201" w:type="dxa"/>
            <w:gridSpan w:val="2"/>
            <w:hideMark/>
          </w:tcPr>
          <w:p w14:paraId="244E1BDB" w14:textId="3CCDF27B" w:rsidR="00857736" w:rsidRPr="00A26C26" w:rsidRDefault="00857736" w:rsidP="00A26C26">
            <w:pPr>
              <w:spacing w:line="276" w:lineRule="auto"/>
              <w:jc w:val="both"/>
              <w:rPr>
                <w:rFonts w:eastAsia="Calibri" w:cstheme="minorHAnsi"/>
                <w:lang w:eastAsia="pl-PL"/>
              </w:rPr>
            </w:pPr>
            <w:r w:rsidRPr="00A26C26">
              <w:rPr>
                <w:rFonts w:eastAsia="Calibri" w:cstheme="minorHAnsi"/>
                <w:lang w:eastAsia="pl-PL"/>
              </w:rPr>
              <w:t>CS</w:t>
            </w:r>
            <w:r w:rsidR="003B50ED">
              <w:rPr>
                <w:rFonts w:eastAsia="Calibri" w:cstheme="minorHAnsi"/>
                <w:lang w:eastAsia="pl-PL"/>
              </w:rPr>
              <w:t xml:space="preserve"> </w:t>
            </w:r>
            <w:r w:rsidRPr="00A26C26">
              <w:rPr>
                <w:rFonts w:eastAsia="Calibri" w:cstheme="minorHAnsi"/>
                <w:lang w:eastAsia="pl-PL"/>
              </w:rPr>
              <w:t>8.P</w:t>
            </w:r>
            <w:r w:rsidR="003B50ED">
              <w:rPr>
                <w:rFonts w:eastAsia="Calibri" w:cstheme="minorHAnsi"/>
                <w:lang w:eastAsia="pl-PL"/>
              </w:rPr>
              <w:t xml:space="preserve"> </w:t>
            </w:r>
            <w:r w:rsidRPr="00A26C26">
              <w:rPr>
                <w:rFonts w:eastAsia="Calibri" w:cstheme="minorHAnsi"/>
                <w:lang w:eastAsia="pl-PL"/>
              </w:rPr>
              <w:t>10.</w:t>
            </w:r>
            <w:r w:rsidR="003B50ED">
              <w:rPr>
                <w:rFonts w:eastAsia="Calibri" w:cstheme="minorHAnsi"/>
                <w:lang w:eastAsia="pl-PL"/>
              </w:rPr>
              <w:t xml:space="preserve"> </w:t>
            </w:r>
            <w:r w:rsidRPr="00A26C26">
              <w:rPr>
                <w:rFonts w:eastAsia="Calibri" w:cstheme="minorHAnsi"/>
                <w:lang w:eastAsia="pl-PL"/>
              </w:rPr>
              <w:t>Włączenie</w:t>
            </w:r>
            <w:r w:rsidR="003B50ED">
              <w:rPr>
                <w:rFonts w:eastAsia="Calibri" w:cstheme="minorHAnsi"/>
                <w:lang w:eastAsia="pl-PL"/>
              </w:rPr>
              <w:t xml:space="preserve"> </w:t>
            </w:r>
            <w:r w:rsidRPr="00A26C26">
              <w:rPr>
                <w:rFonts w:eastAsia="Calibri" w:cstheme="minorHAnsi"/>
                <w:lang w:eastAsia="pl-PL"/>
              </w:rPr>
              <w:t>osób</w:t>
            </w:r>
            <w:r w:rsidR="003B50ED">
              <w:rPr>
                <w:rFonts w:eastAsia="Calibri" w:cstheme="minorHAnsi"/>
                <w:lang w:eastAsia="pl-PL"/>
              </w:rPr>
              <w:t xml:space="preserve"> </w:t>
            </w:r>
            <w:r w:rsidRPr="00A26C26">
              <w:rPr>
                <w:rFonts w:eastAsia="Calibri" w:cstheme="minorHAnsi"/>
                <w:lang w:eastAsia="pl-PL"/>
              </w:rPr>
              <w:t>z</w:t>
            </w:r>
            <w:r w:rsidR="003B50ED">
              <w:rPr>
                <w:rFonts w:eastAsia="Calibri" w:cstheme="minorHAnsi"/>
                <w:lang w:eastAsia="pl-PL"/>
              </w:rPr>
              <w:t xml:space="preserve"> </w:t>
            </w:r>
            <w:r w:rsidRPr="00A26C26">
              <w:rPr>
                <w:rFonts w:eastAsia="Calibri" w:cstheme="minorHAnsi"/>
                <w:lang w:eastAsia="pl-PL"/>
              </w:rPr>
              <w:t>grup</w:t>
            </w:r>
            <w:r w:rsidR="003B50ED">
              <w:rPr>
                <w:rFonts w:eastAsia="Calibri" w:cstheme="minorHAnsi"/>
                <w:lang w:eastAsia="pl-PL"/>
              </w:rPr>
              <w:t xml:space="preserve"> </w:t>
            </w:r>
            <w:proofErr w:type="spellStart"/>
            <w:r w:rsidRPr="00A26C26">
              <w:rPr>
                <w:rFonts w:eastAsia="Calibri" w:cstheme="minorHAnsi"/>
                <w:lang w:eastAsia="pl-PL"/>
              </w:rPr>
              <w:t>defaworyzowanych</w:t>
            </w:r>
            <w:proofErr w:type="spellEnd"/>
            <w:r w:rsidR="003B50ED">
              <w:rPr>
                <w:rFonts w:eastAsia="Calibri" w:cstheme="minorHAnsi"/>
                <w:lang w:eastAsia="pl-PL"/>
              </w:rPr>
              <w:t xml:space="preserve"> </w:t>
            </w:r>
            <w:r w:rsidRPr="00A26C26">
              <w:rPr>
                <w:rFonts w:eastAsia="Calibri" w:cstheme="minorHAnsi"/>
                <w:lang w:eastAsia="pl-PL"/>
              </w:rPr>
              <w:t>lub</w:t>
            </w:r>
            <w:r w:rsidR="003B50ED">
              <w:rPr>
                <w:rFonts w:eastAsia="Calibri" w:cstheme="minorHAnsi"/>
                <w:lang w:eastAsia="pl-PL"/>
              </w:rPr>
              <w:t xml:space="preserve"> </w:t>
            </w:r>
            <w:r w:rsidRPr="00A26C26">
              <w:rPr>
                <w:rFonts w:eastAsia="Calibri" w:cstheme="minorHAnsi"/>
                <w:lang w:eastAsia="pl-PL"/>
              </w:rPr>
              <w:t>wykluczonych</w:t>
            </w:r>
            <w:r w:rsidR="003B50ED">
              <w:rPr>
                <w:rFonts w:eastAsia="Calibri" w:cstheme="minorHAnsi"/>
                <w:lang w:eastAsia="pl-PL"/>
              </w:rPr>
              <w:t xml:space="preserve"> </w:t>
            </w:r>
            <w:r w:rsidRPr="00A26C26">
              <w:rPr>
                <w:rFonts w:eastAsia="Calibri" w:cstheme="minorHAnsi"/>
                <w:lang w:eastAsia="pl-PL"/>
              </w:rPr>
              <w:t>na</w:t>
            </w:r>
            <w:r w:rsidR="003B50ED">
              <w:rPr>
                <w:rFonts w:eastAsia="Calibri" w:cstheme="minorHAnsi"/>
                <w:lang w:eastAsia="pl-PL"/>
              </w:rPr>
              <w:t xml:space="preserve"> </w:t>
            </w:r>
            <w:r w:rsidRPr="00A26C26">
              <w:rPr>
                <w:rFonts w:eastAsia="Calibri" w:cstheme="minorHAnsi"/>
                <w:lang w:eastAsia="pl-PL"/>
              </w:rPr>
              <w:t>obszarach</w:t>
            </w:r>
            <w:r w:rsidR="003B50ED">
              <w:rPr>
                <w:rFonts w:eastAsia="Calibri" w:cstheme="minorHAnsi"/>
                <w:lang w:eastAsia="pl-PL"/>
              </w:rPr>
              <w:t xml:space="preserve"> </w:t>
            </w:r>
            <w:r w:rsidRPr="00A26C26">
              <w:rPr>
                <w:rFonts w:eastAsia="Calibri" w:cstheme="minorHAnsi"/>
                <w:lang w:eastAsia="pl-PL"/>
              </w:rPr>
              <w:t>wiejskich</w:t>
            </w:r>
          </w:p>
        </w:tc>
      </w:tr>
      <w:tr w:rsidR="00857736" w:rsidRPr="00A26C26" w14:paraId="5128FF7F" w14:textId="77777777" w:rsidTr="00233140">
        <w:trPr>
          <w:trHeight w:val="249"/>
        </w:trPr>
        <w:tc>
          <w:tcPr>
            <w:tcW w:w="10201" w:type="dxa"/>
            <w:gridSpan w:val="2"/>
            <w:hideMark/>
          </w:tcPr>
          <w:p w14:paraId="0F692E7C" w14:textId="11C9BA84" w:rsidR="00857736" w:rsidRPr="00A26C26" w:rsidRDefault="00857736" w:rsidP="00A26C26">
            <w:pPr>
              <w:spacing w:line="276" w:lineRule="auto"/>
              <w:rPr>
                <w:rFonts w:eastAsia="Calibri" w:cstheme="minorHAnsi"/>
                <w:lang w:eastAsia="pl-PL"/>
              </w:rPr>
            </w:pPr>
            <w:r w:rsidRPr="00A26C26">
              <w:rPr>
                <w:rFonts w:eastAsia="Calibri" w:cstheme="minorHAnsi"/>
                <w:lang w:eastAsia="pl-PL"/>
              </w:rPr>
              <w:t>CS</w:t>
            </w:r>
            <w:r w:rsidR="003B50ED">
              <w:rPr>
                <w:rFonts w:eastAsia="Calibri" w:cstheme="minorHAnsi"/>
                <w:lang w:eastAsia="pl-PL"/>
              </w:rPr>
              <w:t xml:space="preserve"> </w:t>
            </w:r>
            <w:r w:rsidRPr="00A26C26">
              <w:rPr>
                <w:rFonts w:eastAsia="Calibri" w:cstheme="minorHAnsi"/>
                <w:lang w:eastAsia="pl-PL"/>
              </w:rPr>
              <w:t>8.P</w:t>
            </w:r>
            <w:r w:rsidR="003B50ED">
              <w:rPr>
                <w:rFonts w:eastAsia="Calibri" w:cstheme="minorHAnsi"/>
                <w:lang w:eastAsia="pl-PL"/>
              </w:rPr>
              <w:t xml:space="preserve"> </w:t>
            </w:r>
            <w:r w:rsidRPr="00A26C26">
              <w:rPr>
                <w:rFonts w:eastAsia="Calibri" w:cstheme="minorHAnsi"/>
                <w:lang w:eastAsia="pl-PL"/>
              </w:rPr>
              <w:t>11.</w:t>
            </w:r>
            <w:r w:rsidR="003B50ED">
              <w:rPr>
                <w:rFonts w:eastAsia="Calibri" w:cstheme="minorHAnsi"/>
                <w:lang w:eastAsia="pl-PL"/>
              </w:rPr>
              <w:t xml:space="preserve"> </w:t>
            </w:r>
            <w:r w:rsidRPr="00A26C26">
              <w:rPr>
                <w:rFonts w:eastAsia="Calibri" w:cstheme="minorHAnsi"/>
                <w:lang w:eastAsia="pl-PL"/>
              </w:rPr>
              <w:t>Stymulowanie</w:t>
            </w:r>
            <w:r w:rsidR="003B50ED">
              <w:rPr>
                <w:rFonts w:eastAsia="Calibri" w:cstheme="minorHAnsi"/>
                <w:lang w:eastAsia="pl-PL"/>
              </w:rPr>
              <w:t xml:space="preserve"> </w:t>
            </w:r>
            <w:r w:rsidRPr="00A26C26">
              <w:rPr>
                <w:rFonts w:eastAsia="Calibri" w:cstheme="minorHAnsi"/>
                <w:lang w:eastAsia="pl-PL"/>
              </w:rPr>
              <w:t>rozwoju</w:t>
            </w:r>
            <w:r w:rsidR="003B50ED">
              <w:rPr>
                <w:rFonts w:eastAsia="Calibri" w:cstheme="minorHAnsi"/>
                <w:lang w:eastAsia="pl-PL"/>
              </w:rPr>
              <w:t xml:space="preserve"> </w:t>
            </w:r>
            <w:r w:rsidRPr="00A26C26">
              <w:rPr>
                <w:rFonts w:eastAsia="Calibri" w:cstheme="minorHAnsi"/>
                <w:lang w:eastAsia="pl-PL"/>
              </w:rPr>
              <w:t>lokalnego</w:t>
            </w:r>
            <w:r w:rsidR="003B50ED">
              <w:rPr>
                <w:rFonts w:eastAsia="Calibri" w:cstheme="minorHAnsi"/>
                <w:lang w:eastAsia="pl-PL"/>
              </w:rPr>
              <w:t xml:space="preserve"> </w:t>
            </w:r>
            <w:r w:rsidRPr="00A26C26">
              <w:rPr>
                <w:rFonts w:eastAsia="Calibri" w:cstheme="minorHAnsi"/>
                <w:lang w:eastAsia="pl-PL"/>
              </w:rPr>
              <w:t>przez</w:t>
            </w:r>
            <w:r w:rsidR="003B50ED">
              <w:rPr>
                <w:rFonts w:eastAsia="Calibri" w:cstheme="minorHAnsi"/>
                <w:lang w:eastAsia="pl-PL"/>
              </w:rPr>
              <w:t xml:space="preserve"> </w:t>
            </w:r>
            <w:r w:rsidRPr="00A26C26">
              <w:rPr>
                <w:rFonts w:eastAsia="Calibri" w:cstheme="minorHAnsi"/>
                <w:lang w:eastAsia="pl-PL"/>
              </w:rPr>
              <w:t>innowacje,</w:t>
            </w:r>
            <w:r w:rsidR="003B50ED">
              <w:rPr>
                <w:rFonts w:eastAsia="Calibri" w:cstheme="minorHAnsi"/>
                <w:lang w:eastAsia="pl-PL"/>
              </w:rPr>
              <w:t xml:space="preserve"> </w:t>
            </w:r>
            <w:r w:rsidRPr="00A26C26">
              <w:rPr>
                <w:rFonts w:eastAsia="Calibri" w:cstheme="minorHAnsi"/>
                <w:lang w:eastAsia="pl-PL"/>
              </w:rPr>
              <w:t>cyfryzacje</w:t>
            </w:r>
            <w:r w:rsidR="003B50ED">
              <w:rPr>
                <w:rFonts w:eastAsia="Calibri" w:cstheme="minorHAnsi"/>
                <w:lang w:eastAsia="pl-PL"/>
              </w:rPr>
              <w:t xml:space="preserve"> </w:t>
            </w:r>
            <w:r w:rsidRPr="00A26C26">
              <w:rPr>
                <w:rFonts w:eastAsia="Calibri" w:cstheme="minorHAnsi"/>
                <w:lang w:eastAsia="pl-PL"/>
              </w:rPr>
              <w:t>i</w:t>
            </w:r>
            <w:r w:rsidR="003B50ED">
              <w:rPr>
                <w:rFonts w:eastAsia="Calibri" w:cstheme="minorHAnsi"/>
                <w:lang w:eastAsia="pl-PL"/>
              </w:rPr>
              <w:t xml:space="preserve"> </w:t>
            </w:r>
            <w:r w:rsidRPr="00A26C26">
              <w:rPr>
                <w:rFonts w:eastAsia="Calibri" w:cstheme="minorHAnsi"/>
                <w:lang w:eastAsia="pl-PL"/>
              </w:rPr>
              <w:t>wykorzystanie</w:t>
            </w:r>
            <w:r w:rsidR="003B50ED">
              <w:rPr>
                <w:rFonts w:eastAsia="Calibri" w:cstheme="minorHAnsi"/>
                <w:lang w:eastAsia="pl-PL"/>
              </w:rPr>
              <w:t xml:space="preserve"> </w:t>
            </w:r>
            <w:r w:rsidRPr="00A26C26">
              <w:rPr>
                <w:rFonts w:eastAsia="Calibri" w:cstheme="minorHAnsi"/>
                <w:lang w:eastAsia="pl-PL"/>
              </w:rPr>
              <w:t>potencjału</w:t>
            </w:r>
            <w:r w:rsidR="003B50ED">
              <w:rPr>
                <w:rFonts w:eastAsia="Calibri" w:cstheme="minorHAnsi"/>
                <w:lang w:eastAsia="pl-PL"/>
              </w:rPr>
              <w:t xml:space="preserve"> </w:t>
            </w:r>
            <w:r w:rsidRPr="00A26C26">
              <w:rPr>
                <w:rFonts w:eastAsia="Calibri" w:cstheme="minorHAnsi"/>
                <w:lang w:eastAsia="pl-PL"/>
              </w:rPr>
              <w:t>endogenicznego</w:t>
            </w:r>
          </w:p>
        </w:tc>
      </w:tr>
      <w:tr w:rsidR="00857736" w:rsidRPr="00A26C26" w14:paraId="707AB2A9" w14:textId="77777777" w:rsidTr="00233140">
        <w:trPr>
          <w:trHeight w:val="249"/>
        </w:trPr>
        <w:tc>
          <w:tcPr>
            <w:tcW w:w="10201" w:type="dxa"/>
            <w:gridSpan w:val="2"/>
            <w:hideMark/>
          </w:tcPr>
          <w:p w14:paraId="2CDE8AAC" w14:textId="62331F79" w:rsidR="00857736" w:rsidRPr="00A26C26" w:rsidRDefault="00857736" w:rsidP="00A26C26">
            <w:pPr>
              <w:spacing w:line="276" w:lineRule="auto"/>
              <w:jc w:val="both"/>
              <w:rPr>
                <w:rFonts w:eastAsia="Calibri" w:cstheme="minorHAnsi"/>
                <w:lang w:eastAsia="pl-PL"/>
              </w:rPr>
            </w:pPr>
            <w:r w:rsidRPr="00A26C26">
              <w:rPr>
                <w:rFonts w:eastAsia="Calibri" w:cstheme="minorHAnsi"/>
                <w:lang w:eastAsia="pl-PL"/>
              </w:rPr>
              <w:t>CS</w:t>
            </w:r>
            <w:r w:rsidR="003B50ED">
              <w:rPr>
                <w:rFonts w:eastAsia="Calibri" w:cstheme="minorHAnsi"/>
                <w:lang w:eastAsia="pl-PL"/>
              </w:rPr>
              <w:t xml:space="preserve"> </w:t>
            </w:r>
            <w:r w:rsidRPr="00A26C26">
              <w:rPr>
                <w:rFonts w:eastAsia="Calibri" w:cstheme="minorHAnsi"/>
                <w:lang w:eastAsia="pl-PL"/>
              </w:rPr>
              <w:t>8.P</w:t>
            </w:r>
            <w:r w:rsidR="003B50ED">
              <w:rPr>
                <w:rFonts w:eastAsia="Calibri" w:cstheme="minorHAnsi"/>
                <w:lang w:eastAsia="pl-PL"/>
              </w:rPr>
              <w:t xml:space="preserve"> </w:t>
            </w:r>
            <w:r w:rsidRPr="00A26C26">
              <w:rPr>
                <w:rFonts w:eastAsia="Calibri" w:cstheme="minorHAnsi"/>
                <w:lang w:eastAsia="pl-PL"/>
              </w:rPr>
              <w:t>12.</w:t>
            </w:r>
            <w:r w:rsidR="003B50ED">
              <w:rPr>
                <w:rFonts w:eastAsia="Calibri" w:cstheme="minorHAnsi"/>
                <w:lang w:eastAsia="pl-PL"/>
              </w:rPr>
              <w:t xml:space="preserve"> </w:t>
            </w:r>
            <w:r w:rsidRPr="00A26C26">
              <w:rPr>
                <w:rFonts w:eastAsia="Calibri" w:cstheme="minorHAnsi"/>
                <w:lang w:eastAsia="pl-PL"/>
              </w:rPr>
              <w:t>Zaangażowanie</w:t>
            </w:r>
            <w:r w:rsidR="003B50ED">
              <w:rPr>
                <w:rFonts w:eastAsia="Calibri" w:cstheme="minorHAnsi"/>
                <w:lang w:eastAsia="pl-PL"/>
              </w:rPr>
              <w:t xml:space="preserve"> </w:t>
            </w:r>
            <w:r w:rsidRPr="00A26C26">
              <w:rPr>
                <w:rFonts w:eastAsia="Calibri" w:cstheme="minorHAnsi"/>
                <w:lang w:eastAsia="pl-PL"/>
              </w:rPr>
              <w:t>młodych</w:t>
            </w:r>
            <w:r w:rsidR="003B50ED">
              <w:rPr>
                <w:rFonts w:eastAsia="Calibri" w:cstheme="minorHAnsi"/>
                <w:lang w:eastAsia="pl-PL"/>
              </w:rPr>
              <w:t xml:space="preserve"> </w:t>
            </w:r>
            <w:r w:rsidRPr="00A26C26">
              <w:rPr>
                <w:rFonts w:eastAsia="Calibri" w:cstheme="minorHAnsi"/>
                <w:lang w:eastAsia="pl-PL"/>
              </w:rPr>
              <w:t>w</w:t>
            </w:r>
            <w:r w:rsidR="003B50ED">
              <w:rPr>
                <w:rFonts w:eastAsia="Calibri" w:cstheme="minorHAnsi"/>
                <w:lang w:eastAsia="pl-PL"/>
              </w:rPr>
              <w:t xml:space="preserve"> </w:t>
            </w:r>
            <w:r w:rsidRPr="00A26C26">
              <w:rPr>
                <w:rFonts w:eastAsia="Calibri" w:cstheme="minorHAnsi"/>
                <w:lang w:eastAsia="pl-PL"/>
              </w:rPr>
              <w:t>życie</w:t>
            </w:r>
            <w:r w:rsidR="003B50ED">
              <w:rPr>
                <w:rFonts w:eastAsia="Calibri" w:cstheme="minorHAnsi"/>
                <w:lang w:eastAsia="pl-PL"/>
              </w:rPr>
              <w:t xml:space="preserve"> </w:t>
            </w:r>
            <w:r w:rsidRPr="00A26C26">
              <w:rPr>
                <w:rFonts w:eastAsia="Calibri" w:cstheme="minorHAnsi"/>
                <w:lang w:eastAsia="pl-PL"/>
              </w:rPr>
              <w:t>lokalne,</w:t>
            </w:r>
            <w:r w:rsidR="003B50ED">
              <w:rPr>
                <w:rFonts w:eastAsia="Calibri" w:cstheme="minorHAnsi"/>
                <w:lang w:eastAsia="pl-PL"/>
              </w:rPr>
              <w:t xml:space="preserve"> </w:t>
            </w:r>
            <w:r w:rsidRPr="00A26C26">
              <w:rPr>
                <w:rFonts w:eastAsia="Calibri" w:cstheme="minorHAnsi"/>
                <w:lang w:eastAsia="pl-PL"/>
              </w:rPr>
              <w:t>w</w:t>
            </w:r>
            <w:r w:rsidR="003B50ED">
              <w:rPr>
                <w:rFonts w:eastAsia="Calibri" w:cstheme="minorHAnsi"/>
                <w:lang w:eastAsia="pl-PL"/>
              </w:rPr>
              <w:t xml:space="preserve"> </w:t>
            </w:r>
            <w:r w:rsidRPr="00A26C26">
              <w:rPr>
                <w:rFonts w:eastAsia="Calibri" w:cstheme="minorHAnsi"/>
                <w:lang w:eastAsia="pl-PL"/>
              </w:rPr>
              <w:t>tym</w:t>
            </w:r>
            <w:r w:rsidR="003B50ED">
              <w:rPr>
                <w:rFonts w:eastAsia="Calibri" w:cstheme="minorHAnsi"/>
                <w:lang w:eastAsia="pl-PL"/>
              </w:rPr>
              <w:t xml:space="preserve"> </w:t>
            </w:r>
            <w:r w:rsidRPr="00A26C26">
              <w:rPr>
                <w:rFonts w:eastAsia="Calibri" w:cstheme="minorHAnsi"/>
                <w:lang w:eastAsia="pl-PL"/>
              </w:rPr>
              <w:t>w</w:t>
            </w:r>
            <w:r w:rsidR="003B50ED">
              <w:rPr>
                <w:rFonts w:eastAsia="Calibri" w:cstheme="minorHAnsi"/>
                <w:lang w:eastAsia="pl-PL"/>
              </w:rPr>
              <w:t xml:space="preserve"> </w:t>
            </w:r>
            <w:r w:rsidRPr="00A26C26">
              <w:rPr>
                <w:rFonts w:eastAsia="Calibri" w:cstheme="minorHAnsi"/>
                <w:lang w:eastAsia="pl-PL"/>
              </w:rPr>
              <w:t>podejmowaniu</w:t>
            </w:r>
            <w:r w:rsidR="003B50ED">
              <w:rPr>
                <w:rFonts w:eastAsia="Calibri" w:cstheme="minorHAnsi"/>
                <w:lang w:eastAsia="pl-PL"/>
              </w:rPr>
              <w:t xml:space="preserve"> </w:t>
            </w:r>
            <w:r w:rsidRPr="00A26C26">
              <w:rPr>
                <w:rFonts w:eastAsia="Calibri" w:cstheme="minorHAnsi"/>
                <w:lang w:eastAsia="pl-PL"/>
              </w:rPr>
              <w:t>decyzji,</w:t>
            </w:r>
            <w:r w:rsidR="003B50ED">
              <w:rPr>
                <w:rFonts w:eastAsia="Calibri" w:cstheme="minorHAnsi"/>
                <w:lang w:eastAsia="pl-PL"/>
              </w:rPr>
              <w:t xml:space="preserve"> </w:t>
            </w:r>
            <w:r w:rsidRPr="00A26C26">
              <w:rPr>
                <w:rFonts w:eastAsia="Calibri" w:cstheme="minorHAnsi"/>
                <w:lang w:eastAsia="pl-PL"/>
              </w:rPr>
              <w:t>tworzenie</w:t>
            </w:r>
            <w:r w:rsidR="003B50ED">
              <w:rPr>
                <w:rFonts w:eastAsia="Calibri" w:cstheme="minorHAnsi"/>
                <w:lang w:eastAsia="pl-PL"/>
              </w:rPr>
              <w:t xml:space="preserve"> </w:t>
            </w:r>
            <w:r w:rsidRPr="00A26C26">
              <w:rPr>
                <w:rFonts w:eastAsia="Calibri" w:cstheme="minorHAnsi"/>
                <w:lang w:eastAsia="pl-PL"/>
              </w:rPr>
              <w:t>sieci</w:t>
            </w:r>
            <w:r w:rsidR="003B50ED">
              <w:rPr>
                <w:rFonts w:eastAsia="Calibri" w:cstheme="minorHAnsi"/>
                <w:lang w:eastAsia="pl-PL"/>
              </w:rPr>
              <w:t xml:space="preserve"> </w:t>
            </w:r>
            <w:r w:rsidRPr="00A26C26">
              <w:rPr>
                <w:rFonts w:eastAsia="Calibri" w:cstheme="minorHAnsi"/>
                <w:lang w:eastAsia="pl-PL"/>
              </w:rPr>
              <w:t>społeczność</w:t>
            </w:r>
          </w:p>
        </w:tc>
      </w:tr>
      <w:tr w:rsidR="00857736" w:rsidRPr="00A26C26" w14:paraId="5B1EF3F8" w14:textId="77777777" w:rsidTr="00233140">
        <w:trPr>
          <w:trHeight w:val="249"/>
        </w:trPr>
        <w:tc>
          <w:tcPr>
            <w:tcW w:w="10201" w:type="dxa"/>
            <w:gridSpan w:val="2"/>
            <w:hideMark/>
          </w:tcPr>
          <w:p w14:paraId="2E24F6DB" w14:textId="2177EC6A" w:rsidR="00857736" w:rsidRPr="00A26C26" w:rsidRDefault="00857736" w:rsidP="00A26C26">
            <w:pPr>
              <w:spacing w:line="276" w:lineRule="auto"/>
              <w:jc w:val="both"/>
              <w:rPr>
                <w:rFonts w:eastAsia="Calibri" w:cstheme="minorHAnsi"/>
                <w:lang w:eastAsia="pl-PL"/>
              </w:rPr>
            </w:pPr>
            <w:r w:rsidRPr="00A26C26">
              <w:rPr>
                <w:rFonts w:eastAsia="Calibri" w:cstheme="minorHAnsi"/>
                <w:lang w:eastAsia="pl-PL"/>
              </w:rPr>
              <w:t>CS</w:t>
            </w:r>
            <w:r w:rsidR="003B50ED">
              <w:rPr>
                <w:rFonts w:eastAsia="Calibri" w:cstheme="minorHAnsi"/>
                <w:lang w:eastAsia="pl-PL"/>
              </w:rPr>
              <w:t xml:space="preserve"> </w:t>
            </w:r>
            <w:r w:rsidRPr="00A26C26">
              <w:rPr>
                <w:rFonts w:eastAsia="Calibri" w:cstheme="minorHAnsi"/>
                <w:lang w:eastAsia="pl-PL"/>
              </w:rPr>
              <w:t>8.P</w:t>
            </w:r>
            <w:r w:rsidR="003B50ED">
              <w:rPr>
                <w:rFonts w:eastAsia="Calibri" w:cstheme="minorHAnsi"/>
                <w:lang w:eastAsia="pl-PL"/>
              </w:rPr>
              <w:t xml:space="preserve"> </w:t>
            </w:r>
            <w:r w:rsidRPr="00A26C26">
              <w:rPr>
                <w:rFonts w:eastAsia="Calibri" w:cstheme="minorHAnsi"/>
                <w:lang w:eastAsia="pl-PL"/>
              </w:rPr>
              <w:t>13.</w:t>
            </w:r>
            <w:r w:rsidR="003B50ED">
              <w:rPr>
                <w:rFonts w:eastAsia="Calibri" w:cstheme="minorHAnsi"/>
                <w:lang w:eastAsia="pl-PL"/>
              </w:rPr>
              <w:t xml:space="preserve"> </w:t>
            </w:r>
            <w:r w:rsidRPr="00A26C26">
              <w:rPr>
                <w:rFonts w:eastAsia="Calibri" w:cstheme="minorHAnsi"/>
                <w:lang w:eastAsia="pl-PL"/>
              </w:rPr>
              <w:t>Rozwój</w:t>
            </w:r>
            <w:r w:rsidR="003B50ED">
              <w:rPr>
                <w:rFonts w:eastAsia="Calibri" w:cstheme="minorHAnsi"/>
                <w:lang w:eastAsia="pl-PL"/>
              </w:rPr>
              <w:t xml:space="preserve"> </w:t>
            </w:r>
            <w:r w:rsidRPr="00A26C26">
              <w:rPr>
                <w:rFonts w:eastAsia="Calibri" w:cstheme="minorHAnsi"/>
                <w:lang w:eastAsia="pl-PL"/>
              </w:rPr>
              <w:t>wiedzy/umiejętności:</w:t>
            </w:r>
            <w:r w:rsidR="003B50ED">
              <w:rPr>
                <w:rFonts w:eastAsia="Calibri" w:cstheme="minorHAnsi"/>
                <w:lang w:eastAsia="pl-PL"/>
              </w:rPr>
              <w:t xml:space="preserve"> </w:t>
            </w:r>
            <w:r w:rsidRPr="00A26C26">
              <w:rPr>
                <w:rFonts w:eastAsia="Calibri" w:cstheme="minorHAnsi"/>
                <w:lang w:eastAsia="pl-PL"/>
              </w:rPr>
              <w:t>cyfryzacja,</w:t>
            </w:r>
            <w:r w:rsidR="003B50ED">
              <w:rPr>
                <w:rFonts w:eastAsia="Calibri" w:cstheme="minorHAnsi"/>
                <w:lang w:eastAsia="pl-PL"/>
              </w:rPr>
              <w:t xml:space="preserve"> </w:t>
            </w:r>
            <w:r w:rsidRPr="00A26C26">
              <w:rPr>
                <w:rFonts w:eastAsia="Calibri" w:cstheme="minorHAnsi"/>
                <w:lang w:eastAsia="pl-PL"/>
              </w:rPr>
              <w:t>oszczędność</w:t>
            </w:r>
            <w:r w:rsidR="003B50ED">
              <w:rPr>
                <w:rFonts w:eastAsia="Calibri" w:cstheme="minorHAnsi"/>
                <w:lang w:eastAsia="pl-PL"/>
              </w:rPr>
              <w:t xml:space="preserve"> </w:t>
            </w:r>
            <w:r w:rsidRPr="00A26C26">
              <w:rPr>
                <w:rFonts w:eastAsia="Calibri" w:cstheme="minorHAnsi"/>
                <w:lang w:eastAsia="pl-PL"/>
              </w:rPr>
              <w:t>zasobów,</w:t>
            </w:r>
            <w:r w:rsidR="003B50ED">
              <w:rPr>
                <w:rFonts w:eastAsia="Calibri" w:cstheme="minorHAnsi"/>
                <w:lang w:eastAsia="pl-PL"/>
              </w:rPr>
              <w:t xml:space="preserve"> </w:t>
            </w:r>
            <w:r w:rsidRPr="00A26C26">
              <w:rPr>
                <w:rFonts w:eastAsia="Calibri" w:cstheme="minorHAnsi"/>
                <w:lang w:eastAsia="pl-PL"/>
              </w:rPr>
              <w:t>przedsiębiorczość,</w:t>
            </w:r>
            <w:r w:rsidR="003B50ED">
              <w:rPr>
                <w:rFonts w:eastAsia="Calibri" w:cstheme="minorHAnsi"/>
                <w:lang w:eastAsia="pl-PL"/>
              </w:rPr>
              <w:t xml:space="preserve"> </w:t>
            </w:r>
            <w:r w:rsidRPr="00A26C26">
              <w:rPr>
                <w:rFonts w:eastAsia="Calibri" w:cstheme="minorHAnsi"/>
                <w:lang w:eastAsia="pl-PL"/>
              </w:rPr>
              <w:t>środowisko,</w:t>
            </w:r>
            <w:r w:rsidR="003B50ED">
              <w:rPr>
                <w:rFonts w:eastAsia="Calibri" w:cstheme="minorHAnsi"/>
                <w:lang w:eastAsia="pl-PL"/>
              </w:rPr>
              <w:t xml:space="preserve"> </w:t>
            </w:r>
            <w:r w:rsidRPr="00A26C26">
              <w:rPr>
                <w:rFonts w:eastAsia="Calibri" w:cstheme="minorHAnsi"/>
                <w:lang w:eastAsia="pl-PL"/>
              </w:rPr>
              <w:t>klimat</w:t>
            </w:r>
          </w:p>
        </w:tc>
      </w:tr>
      <w:tr w:rsidR="00857736" w:rsidRPr="00A26C26" w14:paraId="1992EF3C" w14:textId="77777777" w:rsidTr="00233140">
        <w:trPr>
          <w:trHeight w:val="249"/>
        </w:trPr>
        <w:tc>
          <w:tcPr>
            <w:tcW w:w="10201" w:type="dxa"/>
            <w:gridSpan w:val="2"/>
            <w:hideMark/>
          </w:tcPr>
          <w:p w14:paraId="4D8244B7" w14:textId="44D9E4D6" w:rsidR="00857736" w:rsidRPr="00A26C26" w:rsidRDefault="00857736" w:rsidP="00A26C26">
            <w:pPr>
              <w:spacing w:line="276" w:lineRule="auto"/>
              <w:jc w:val="both"/>
              <w:rPr>
                <w:rFonts w:eastAsia="Calibri" w:cstheme="minorHAnsi"/>
                <w:lang w:eastAsia="pl-PL"/>
              </w:rPr>
            </w:pPr>
            <w:r w:rsidRPr="00A26C26">
              <w:rPr>
                <w:rFonts w:eastAsia="Calibri" w:cstheme="minorHAnsi"/>
                <w:lang w:eastAsia="pl-PL"/>
              </w:rPr>
              <w:t>CS</w:t>
            </w:r>
            <w:r w:rsidR="003B50ED">
              <w:rPr>
                <w:rFonts w:eastAsia="Calibri" w:cstheme="minorHAnsi"/>
                <w:lang w:eastAsia="pl-PL"/>
              </w:rPr>
              <w:t xml:space="preserve"> </w:t>
            </w:r>
            <w:r w:rsidRPr="00A26C26">
              <w:rPr>
                <w:rFonts w:eastAsia="Calibri" w:cstheme="minorHAnsi"/>
                <w:lang w:eastAsia="pl-PL"/>
              </w:rPr>
              <w:t>8.P</w:t>
            </w:r>
            <w:r w:rsidR="003B50ED">
              <w:rPr>
                <w:rFonts w:eastAsia="Calibri" w:cstheme="minorHAnsi"/>
                <w:lang w:eastAsia="pl-PL"/>
              </w:rPr>
              <w:t xml:space="preserve"> </w:t>
            </w:r>
            <w:r w:rsidRPr="00A26C26">
              <w:rPr>
                <w:rFonts w:eastAsia="Calibri" w:cstheme="minorHAnsi"/>
                <w:lang w:eastAsia="pl-PL"/>
              </w:rPr>
              <w:t>4.</w:t>
            </w:r>
            <w:r w:rsidR="003B50ED">
              <w:rPr>
                <w:rFonts w:eastAsia="Calibri" w:cstheme="minorHAnsi"/>
                <w:lang w:eastAsia="pl-PL"/>
              </w:rPr>
              <w:t xml:space="preserve"> </w:t>
            </w:r>
            <w:r w:rsidRPr="00A26C26">
              <w:rPr>
                <w:rFonts w:eastAsia="Calibri" w:cstheme="minorHAnsi"/>
                <w:lang w:eastAsia="pl-PL"/>
              </w:rPr>
              <w:t>Poprawa</w:t>
            </w:r>
            <w:r w:rsidR="003B50ED">
              <w:rPr>
                <w:rFonts w:eastAsia="Calibri" w:cstheme="minorHAnsi"/>
                <w:lang w:eastAsia="pl-PL"/>
              </w:rPr>
              <w:t xml:space="preserve"> </w:t>
            </w:r>
            <w:r w:rsidRPr="00A26C26">
              <w:rPr>
                <w:rFonts w:eastAsia="Calibri" w:cstheme="minorHAnsi"/>
                <w:lang w:eastAsia="pl-PL"/>
              </w:rPr>
              <w:t>dostępu</w:t>
            </w:r>
            <w:r w:rsidR="003B50ED">
              <w:rPr>
                <w:rFonts w:eastAsia="Calibri" w:cstheme="minorHAnsi"/>
                <w:lang w:eastAsia="pl-PL"/>
              </w:rPr>
              <w:t xml:space="preserve"> </w:t>
            </w:r>
            <w:r w:rsidRPr="00A26C26">
              <w:rPr>
                <w:rFonts w:eastAsia="Calibri" w:cstheme="minorHAnsi"/>
                <w:lang w:eastAsia="pl-PL"/>
              </w:rPr>
              <w:t>do</w:t>
            </w:r>
            <w:r w:rsidR="003B50ED">
              <w:rPr>
                <w:rFonts w:eastAsia="Calibri" w:cstheme="minorHAnsi"/>
                <w:lang w:eastAsia="pl-PL"/>
              </w:rPr>
              <w:t xml:space="preserve"> </w:t>
            </w:r>
            <w:r w:rsidRPr="00A26C26">
              <w:rPr>
                <w:rFonts w:eastAsia="Calibri" w:cstheme="minorHAnsi"/>
                <w:lang w:eastAsia="pl-PL"/>
              </w:rPr>
              <w:t>infrastruktury</w:t>
            </w:r>
            <w:r w:rsidR="003B50ED">
              <w:rPr>
                <w:rFonts w:eastAsia="Calibri" w:cstheme="minorHAnsi"/>
                <w:lang w:eastAsia="pl-PL"/>
              </w:rPr>
              <w:t xml:space="preserve"> </w:t>
            </w:r>
            <w:r w:rsidRPr="00A26C26">
              <w:rPr>
                <w:rFonts w:eastAsia="Calibri" w:cstheme="minorHAnsi"/>
                <w:lang w:eastAsia="pl-PL"/>
              </w:rPr>
              <w:t>turystyczno-</w:t>
            </w:r>
            <w:r w:rsidR="003B50ED">
              <w:rPr>
                <w:rFonts w:eastAsia="Calibri" w:cstheme="minorHAnsi"/>
                <w:lang w:eastAsia="pl-PL"/>
              </w:rPr>
              <w:t xml:space="preserve"> </w:t>
            </w:r>
            <w:r w:rsidRPr="00A26C26">
              <w:rPr>
                <w:rFonts w:eastAsia="Calibri" w:cstheme="minorHAnsi"/>
                <w:lang w:eastAsia="pl-PL"/>
              </w:rPr>
              <w:t>rekreacyjnej</w:t>
            </w:r>
          </w:p>
        </w:tc>
      </w:tr>
      <w:tr w:rsidR="00857736" w:rsidRPr="00A26C26" w14:paraId="09826971" w14:textId="77777777" w:rsidTr="00233140">
        <w:trPr>
          <w:trHeight w:val="249"/>
        </w:trPr>
        <w:tc>
          <w:tcPr>
            <w:tcW w:w="10201" w:type="dxa"/>
            <w:gridSpan w:val="2"/>
            <w:hideMark/>
          </w:tcPr>
          <w:p w14:paraId="34F0809A" w14:textId="76712EA2" w:rsidR="00857736" w:rsidRPr="00A26C26" w:rsidRDefault="00857736" w:rsidP="00A26C26">
            <w:pPr>
              <w:spacing w:line="276" w:lineRule="auto"/>
              <w:jc w:val="both"/>
              <w:rPr>
                <w:rFonts w:eastAsia="Calibri" w:cstheme="minorHAnsi"/>
                <w:lang w:eastAsia="pl-PL"/>
              </w:rPr>
            </w:pPr>
            <w:r w:rsidRPr="00A26C26">
              <w:rPr>
                <w:rFonts w:eastAsia="Calibri" w:cstheme="minorHAnsi"/>
                <w:lang w:eastAsia="pl-PL"/>
              </w:rPr>
              <w:t>CS</w:t>
            </w:r>
            <w:r w:rsidR="003B50ED">
              <w:rPr>
                <w:rFonts w:eastAsia="Calibri" w:cstheme="minorHAnsi"/>
                <w:lang w:eastAsia="pl-PL"/>
              </w:rPr>
              <w:t xml:space="preserve"> </w:t>
            </w:r>
            <w:r w:rsidRPr="00A26C26">
              <w:rPr>
                <w:rFonts w:eastAsia="Calibri" w:cstheme="minorHAnsi"/>
                <w:lang w:eastAsia="pl-PL"/>
              </w:rPr>
              <w:t>8.P</w:t>
            </w:r>
            <w:r w:rsidR="003B50ED">
              <w:rPr>
                <w:rFonts w:eastAsia="Calibri" w:cstheme="minorHAnsi"/>
                <w:lang w:eastAsia="pl-PL"/>
              </w:rPr>
              <w:t xml:space="preserve"> </w:t>
            </w:r>
            <w:r w:rsidRPr="00A26C26">
              <w:rPr>
                <w:rFonts w:eastAsia="Calibri" w:cstheme="minorHAnsi"/>
                <w:lang w:eastAsia="pl-PL"/>
              </w:rPr>
              <w:t>7.</w:t>
            </w:r>
            <w:r w:rsidR="003B50ED">
              <w:rPr>
                <w:rFonts w:eastAsia="Calibri" w:cstheme="minorHAnsi"/>
                <w:lang w:eastAsia="pl-PL"/>
              </w:rPr>
              <w:t xml:space="preserve"> </w:t>
            </w:r>
            <w:r w:rsidRPr="00A26C26">
              <w:rPr>
                <w:rFonts w:eastAsia="Calibri" w:cstheme="minorHAnsi"/>
                <w:lang w:eastAsia="pl-PL"/>
              </w:rPr>
              <w:t>Poprawa</w:t>
            </w:r>
            <w:r w:rsidR="003B50ED">
              <w:rPr>
                <w:rFonts w:eastAsia="Calibri" w:cstheme="minorHAnsi"/>
                <w:lang w:eastAsia="pl-PL"/>
              </w:rPr>
              <w:t xml:space="preserve"> </w:t>
            </w:r>
            <w:r w:rsidRPr="00A26C26">
              <w:rPr>
                <w:rFonts w:eastAsia="Calibri" w:cstheme="minorHAnsi"/>
                <w:lang w:eastAsia="pl-PL"/>
              </w:rPr>
              <w:t>dostępu</w:t>
            </w:r>
            <w:r w:rsidR="003B50ED">
              <w:rPr>
                <w:rFonts w:eastAsia="Calibri" w:cstheme="minorHAnsi"/>
                <w:lang w:eastAsia="pl-PL"/>
              </w:rPr>
              <w:t xml:space="preserve"> </w:t>
            </w:r>
            <w:r w:rsidRPr="00A26C26">
              <w:rPr>
                <w:rFonts w:eastAsia="Calibri" w:cstheme="minorHAnsi"/>
                <w:lang w:eastAsia="pl-PL"/>
              </w:rPr>
              <w:t>do</w:t>
            </w:r>
            <w:r w:rsidR="003B50ED">
              <w:rPr>
                <w:rFonts w:eastAsia="Calibri" w:cstheme="minorHAnsi"/>
                <w:lang w:eastAsia="pl-PL"/>
              </w:rPr>
              <w:t xml:space="preserve"> </w:t>
            </w:r>
            <w:r w:rsidRPr="00A26C26">
              <w:rPr>
                <w:rFonts w:eastAsia="Calibri" w:cstheme="minorHAnsi"/>
                <w:lang w:eastAsia="pl-PL"/>
              </w:rPr>
              <w:t>usług</w:t>
            </w:r>
            <w:r w:rsidR="003B50ED">
              <w:rPr>
                <w:rFonts w:eastAsia="Calibri" w:cstheme="minorHAnsi"/>
                <w:lang w:eastAsia="pl-PL"/>
              </w:rPr>
              <w:t xml:space="preserve"> </w:t>
            </w:r>
            <w:r w:rsidRPr="00A26C26">
              <w:rPr>
                <w:rFonts w:eastAsia="Calibri" w:cstheme="minorHAnsi"/>
                <w:lang w:eastAsia="pl-PL"/>
              </w:rPr>
              <w:t>komercyjnych</w:t>
            </w:r>
          </w:p>
        </w:tc>
      </w:tr>
      <w:tr w:rsidR="00857736" w:rsidRPr="00A26C26" w14:paraId="724D2707" w14:textId="77777777" w:rsidTr="00233140">
        <w:trPr>
          <w:trHeight w:val="249"/>
        </w:trPr>
        <w:tc>
          <w:tcPr>
            <w:tcW w:w="10201" w:type="dxa"/>
            <w:gridSpan w:val="2"/>
            <w:hideMark/>
          </w:tcPr>
          <w:p w14:paraId="6B13D131" w14:textId="39367E10" w:rsidR="00857736" w:rsidRPr="00A26C26" w:rsidRDefault="00857736" w:rsidP="00A26C26">
            <w:pPr>
              <w:spacing w:line="276" w:lineRule="auto"/>
              <w:jc w:val="both"/>
              <w:rPr>
                <w:rFonts w:eastAsia="Calibri" w:cstheme="minorHAnsi"/>
                <w:lang w:eastAsia="pl-PL"/>
              </w:rPr>
            </w:pPr>
            <w:r w:rsidRPr="00A26C26">
              <w:rPr>
                <w:rFonts w:eastAsia="Calibri" w:cstheme="minorHAnsi"/>
                <w:lang w:eastAsia="pl-PL"/>
              </w:rPr>
              <w:t>CS</w:t>
            </w:r>
            <w:r w:rsidR="003B50ED">
              <w:rPr>
                <w:rFonts w:eastAsia="Calibri" w:cstheme="minorHAnsi"/>
                <w:lang w:eastAsia="pl-PL"/>
              </w:rPr>
              <w:t xml:space="preserve"> </w:t>
            </w:r>
            <w:r w:rsidRPr="00A26C26">
              <w:rPr>
                <w:rFonts w:eastAsia="Calibri" w:cstheme="minorHAnsi"/>
                <w:lang w:eastAsia="pl-PL"/>
              </w:rPr>
              <w:t>8.P</w:t>
            </w:r>
            <w:r w:rsidR="003B50ED">
              <w:rPr>
                <w:rFonts w:eastAsia="Calibri" w:cstheme="minorHAnsi"/>
                <w:lang w:eastAsia="pl-PL"/>
              </w:rPr>
              <w:t xml:space="preserve"> </w:t>
            </w:r>
            <w:r w:rsidRPr="00A26C26">
              <w:rPr>
                <w:rFonts w:eastAsia="Calibri" w:cstheme="minorHAnsi"/>
                <w:lang w:eastAsia="pl-PL"/>
              </w:rPr>
              <w:t>8.</w:t>
            </w:r>
            <w:r w:rsidR="003B50ED">
              <w:rPr>
                <w:rFonts w:eastAsia="Calibri" w:cstheme="minorHAnsi"/>
                <w:lang w:eastAsia="pl-PL"/>
              </w:rPr>
              <w:t xml:space="preserve"> </w:t>
            </w:r>
            <w:r w:rsidRPr="00A26C26">
              <w:rPr>
                <w:rFonts w:eastAsia="Calibri" w:cstheme="minorHAnsi"/>
                <w:lang w:eastAsia="pl-PL"/>
              </w:rPr>
              <w:t>Rozwój</w:t>
            </w:r>
            <w:r w:rsidR="003B50ED">
              <w:rPr>
                <w:rFonts w:eastAsia="Calibri" w:cstheme="minorHAnsi"/>
                <w:lang w:eastAsia="pl-PL"/>
              </w:rPr>
              <w:t xml:space="preserve"> </w:t>
            </w:r>
            <w:r w:rsidRPr="00A26C26">
              <w:rPr>
                <w:rFonts w:eastAsia="Calibri" w:cstheme="minorHAnsi"/>
                <w:lang w:eastAsia="pl-PL"/>
              </w:rPr>
              <w:t>form</w:t>
            </w:r>
            <w:r w:rsidR="003B50ED">
              <w:rPr>
                <w:rFonts w:eastAsia="Calibri" w:cstheme="minorHAnsi"/>
                <w:lang w:eastAsia="pl-PL"/>
              </w:rPr>
              <w:t xml:space="preserve"> </w:t>
            </w:r>
            <w:r w:rsidRPr="00A26C26">
              <w:rPr>
                <w:rFonts w:eastAsia="Calibri" w:cstheme="minorHAnsi"/>
                <w:lang w:eastAsia="pl-PL"/>
              </w:rPr>
              <w:t>współpracy</w:t>
            </w:r>
            <w:r w:rsidR="003B50ED">
              <w:rPr>
                <w:rFonts w:eastAsia="Calibri" w:cstheme="minorHAnsi"/>
                <w:lang w:eastAsia="pl-PL"/>
              </w:rPr>
              <w:t xml:space="preserve"> </w:t>
            </w:r>
            <w:r w:rsidRPr="00A26C26">
              <w:rPr>
                <w:rFonts w:eastAsia="Calibri" w:cstheme="minorHAnsi"/>
                <w:lang w:eastAsia="pl-PL"/>
              </w:rPr>
              <w:t>na</w:t>
            </w:r>
            <w:r w:rsidR="003B50ED">
              <w:rPr>
                <w:rFonts w:eastAsia="Calibri" w:cstheme="minorHAnsi"/>
                <w:lang w:eastAsia="pl-PL"/>
              </w:rPr>
              <w:t xml:space="preserve"> </w:t>
            </w:r>
            <w:r w:rsidRPr="00A26C26">
              <w:rPr>
                <w:rFonts w:eastAsia="Calibri" w:cstheme="minorHAnsi"/>
                <w:lang w:eastAsia="pl-PL"/>
              </w:rPr>
              <w:t>obszarach</w:t>
            </w:r>
            <w:r w:rsidR="003B50ED">
              <w:rPr>
                <w:rFonts w:eastAsia="Calibri" w:cstheme="minorHAnsi"/>
                <w:lang w:eastAsia="pl-PL"/>
              </w:rPr>
              <w:t xml:space="preserve"> </w:t>
            </w:r>
            <w:r w:rsidRPr="00A26C26">
              <w:rPr>
                <w:rFonts w:eastAsia="Calibri" w:cstheme="minorHAnsi"/>
                <w:lang w:eastAsia="pl-PL"/>
              </w:rPr>
              <w:t>wiejskich</w:t>
            </w:r>
            <w:r w:rsidR="003B50ED">
              <w:rPr>
                <w:rFonts w:eastAsia="Calibri" w:cstheme="minorHAnsi"/>
                <w:lang w:eastAsia="pl-PL"/>
              </w:rPr>
              <w:t xml:space="preserve"> </w:t>
            </w:r>
            <w:r w:rsidRPr="00A26C26">
              <w:rPr>
                <w:rFonts w:eastAsia="Calibri" w:cstheme="minorHAnsi"/>
                <w:lang w:eastAsia="pl-PL"/>
              </w:rPr>
              <w:t>w</w:t>
            </w:r>
            <w:r w:rsidR="003B50ED">
              <w:rPr>
                <w:rFonts w:eastAsia="Calibri" w:cstheme="minorHAnsi"/>
                <w:lang w:eastAsia="pl-PL"/>
              </w:rPr>
              <w:t xml:space="preserve"> </w:t>
            </w:r>
            <w:r w:rsidRPr="00A26C26">
              <w:rPr>
                <w:rFonts w:eastAsia="Calibri" w:cstheme="minorHAnsi"/>
                <w:lang w:eastAsia="pl-PL"/>
              </w:rPr>
              <w:t>wymiarze</w:t>
            </w:r>
            <w:r w:rsidR="003B50ED">
              <w:rPr>
                <w:rFonts w:eastAsia="Calibri" w:cstheme="minorHAnsi"/>
                <w:lang w:eastAsia="pl-PL"/>
              </w:rPr>
              <w:t xml:space="preserve"> </w:t>
            </w:r>
            <w:r w:rsidRPr="00A26C26">
              <w:rPr>
                <w:rFonts w:eastAsia="Calibri" w:cstheme="minorHAnsi"/>
                <w:lang w:eastAsia="pl-PL"/>
              </w:rPr>
              <w:t>produkcyjnym,</w:t>
            </w:r>
            <w:r w:rsidR="003B50ED">
              <w:rPr>
                <w:rFonts w:eastAsia="Calibri" w:cstheme="minorHAnsi"/>
                <w:lang w:eastAsia="pl-PL"/>
              </w:rPr>
              <w:t xml:space="preserve"> </w:t>
            </w:r>
            <w:r w:rsidRPr="00A26C26">
              <w:rPr>
                <w:rFonts w:eastAsia="Calibri" w:cstheme="minorHAnsi"/>
                <w:lang w:eastAsia="pl-PL"/>
              </w:rPr>
              <w:t>usługowym,</w:t>
            </w:r>
            <w:r w:rsidR="003B50ED">
              <w:rPr>
                <w:rFonts w:eastAsia="Calibri" w:cstheme="minorHAnsi"/>
                <w:lang w:eastAsia="pl-PL"/>
              </w:rPr>
              <w:t xml:space="preserve"> </w:t>
            </w:r>
            <w:r w:rsidRPr="00A26C26">
              <w:rPr>
                <w:rFonts w:eastAsia="Calibri" w:cstheme="minorHAnsi"/>
                <w:lang w:eastAsia="pl-PL"/>
              </w:rPr>
              <w:t>społecznym</w:t>
            </w:r>
          </w:p>
        </w:tc>
      </w:tr>
      <w:tr w:rsidR="00857736" w:rsidRPr="00A26C26" w14:paraId="532DE357" w14:textId="77777777" w:rsidTr="00233140">
        <w:trPr>
          <w:trHeight w:val="249"/>
        </w:trPr>
        <w:tc>
          <w:tcPr>
            <w:tcW w:w="10201" w:type="dxa"/>
            <w:gridSpan w:val="2"/>
            <w:hideMark/>
          </w:tcPr>
          <w:p w14:paraId="14DF3CD8" w14:textId="62A4D946" w:rsidR="00857736" w:rsidRPr="00A26C26" w:rsidRDefault="00857736" w:rsidP="00A26C26">
            <w:pPr>
              <w:spacing w:line="276" w:lineRule="auto"/>
              <w:jc w:val="both"/>
              <w:rPr>
                <w:rFonts w:eastAsia="Calibri" w:cstheme="minorHAnsi"/>
                <w:lang w:eastAsia="pl-PL"/>
              </w:rPr>
            </w:pPr>
            <w:r w:rsidRPr="00A26C26">
              <w:rPr>
                <w:rFonts w:eastAsia="Calibri" w:cstheme="minorHAnsi"/>
                <w:lang w:eastAsia="pl-PL"/>
              </w:rPr>
              <w:t>CS</w:t>
            </w:r>
            <w:r w:rsidR="003B50ED">
              <w:rPr>
                <w:rFonts w:eastAsia="Calibri" w:cstheme="minorHAnsi"/>
                <w:lang w:eastAsia="pl-PL"/>
              </w:rPr>
              <w:t xml:space="preserve"> </w:t>
            </w:r>
            <w:r w:rsidRPr="00A26C26">
              <w:rPr>
                <w:rFonts w:eastAsia="Calibri" w:cstheme="minorHAnsi"/>
                <w:lang w:eastAsia="pl-PL"/>
              </w:rPr>
              <w:t>8.P</w:t>
            </w:r>
            <w:r w:rsidR="003B50ED">
              <w:rPr>
                <w:rFonts w:eastAsia="Calibri" w:cstheme="minorHAnsi"/>
                <w:lang w:eastAsia="pl-PL"/>
              </w:rPr>
              <w:t xml:space="preserve"> </w:t>
            </w:r>
            <w:r w:rsidRPr="00A26C26">
              <w:rPr>
                <w:rFonts w:eastAsia="Calibri" w:cstheme="minorHAnsi"/>
                <w:lang w:eastAsia="pl-PL"/>
              </w:rPr>
              <w:t>9.Rozwój</w:t>
            </w:r>
            <w:r w:rsidR="003B50ED">
              <w:rPr>
                <w:rFonts w:eastAsia="Calibri" w:cstheme="minorHAnsi"/>
                <w:lang w:eastAsia="pl-PL"/>
              </w:rPr>
              <w:t xml:space="preserve"> </w:t>
            </w:r>
            <w:r w:rsidRPr="00A26C26">
              <w:rPr>
                <w:rFonts w:eastAsia="Calibri" w:cstheme="minorHAnsi"/>
                <w:lang w:eastAsia="pl-PL"/>
              </w:rPr>
              <w:t>przedsiębiorczości</w:t>
            </w:r>
            <w:r w:rsidR="003B50ED">
              <w:rPr>
                <w:rFonts w:eastAsia="Calibri" w:cstheme="minorHAnsi"/>
                <w:lang w:eastAsia="pl-PL"/>
              </w:rPr>
              <w:t xml:space="preserve"> </w:t>
            </w:r>
            <w:r w:rsidRPr="00A26C26">
              <w:rPr>
                <w:rFonts w:eastAsia="Calibri" w:cstheme="minorHAnsi"/>
                <w:lang w:eastAsia="pl-PL"/>
              </w:rPr>
              <w:t>poprzez</w:t>
            </w:r>
            <w:r w:rsidR="003B50ED">
              <w:rPr>
                <w:rFonts w:eastAsia="Calibri" w:cstheme="minorHAnsi"/>
                <w:lang w:eastAsia="pl-PL"/>
              </w:rPr>
              <w:t xml:space="preserve"> </w:t>
            </w:r>
            <w:r w:rsidRPr="00A26C26">
              <w:rPr>
                <w:rFonts w:eastAsia="Calibri" w:cstheme="minorHAnsi"/>
                <w:lang w:eastAsia="pl-PL"/>
              </w:rPr>
              <w:t>tworzenie</w:t>
            </w:r>
            <w:r w:rsidR="003B50ED">
              <w:rPr>
                <w:rFonts w:eastAsia="Calibri" w:cstheme="minorHAnsi"/>
                <w:lang w:eastAsia="pl-PL"/>
              </w:rPr>
              <w:t xml:space="preserve"> </w:t>
            </w:r>
            <w:r w:rsidRPr="00A26C26">
              <w:rPr>
                <w:rFonts w:eastAsia="Calibri" w:cstheme="minorHAnsi"/>
                <w:lang w:eastAsia="pl-PL"/>
              </w:rPr>
              <w:t>i</w:t>
            </w:r>
            <w:r w:rsidR="003B50ED">
              <w:rPr>
                <w:rFonts w:eastAsia="Calibri" w:cstheme="minorHAnsi"/>
                <w:lang w:eastAsia="pl-PL"/>
              </w:rPr>
              <w:t xml:space="preserve"> </w:t>
            </w:r>
            <w:r w:rsidRPr="00A26C26">
              <w:rPr>
                <w:rFonts w:eastAsia="Calibri" w:cstheme="minorHAnsi"/>
                <w:lang w:eastAsia="pl-PL"/>
              </w:rPr>
              <w:t>utrzymanie</w:t>
            </w:r>
            <w:r w:rsidR="003B50ED">
              <w:rPr>
                <w:rFonts w:eastAsia="Calibri" w:cstheme="minorHAnsi"/>
                <w:lang w:eastAsia="pl-PL"/>
              </w:rPr>
              <w:t xml:space="preserve"> </w:t>
            </w:r>
            <w:r w:rsidRPr="00A26C26">
              <w:rPr>
                <w:rFonts w:eastAsia="Calibri" w:cstheme="minorHAnsi"/>
                <w:lang w:eastAsia="pl-PL"/>
              </w:rPr>
              <w:t>miejsc</w:t>
            </w:r>
            <w:r w:rsidR="003B50ED">
              <w:rPr>
                <w:rFonts w:eastAsia="Calibri" w:cstheme="minorHAnsi"/>
                <w:lang w:eastAsia="pl-PL"/>
              </w:rPr>
              <w:t xml:space="preserve"> </w:t>
            </w:r>
            <w:r w:rsidRPr="00A26C26">
              <w:rPr>
                <w:rFonts w:eastAsia="Calibri" w:cstheme="minorHAnsi"/>
                <w:lang w:eastAsia="pl-PL"/>
              </w:rPr>
              <w:t>pracy</w:t>
            </w:r>
            <w:r w:rsidR="003B50ED">
              <w:rPr>
                <w:rFonts w:eastAsia="Calibri" w:cstheme="minorHAnsi"/>
                <w:lang w:eastAsia="pl-PL"/>
              </w:rPr>
              <w:t xml:space="preserve"> </w:t>
            </w:r>
            <w:r w:rsidRPr="00A26C26">
              <w:rPr>
                <w:rFonts w:eastAsia="Calibri" w:cstheme="minorHAnsi"/>
                <w:lang w:eastAsia="pl-PL"/>
              </w:rPr>
              <w:t>i</w:t>
            </w:r>
            <w:r w:rsidR="003B50ED">
              <w:rPr>
                <w:rFonts w:eastAsia="Calibri" w:cstheme="minorHAnsi"/>
                <w:lang w:eastAsia="pl-PL"/>
              </w:rPr>
              <w:t xml:space="preserve"> </w:t>
            </w:r>
            <w:r w:rsidRPr="00A26C26">
              <w:rPr>
                <w:rFonts w:eastAsia="Calibri" w:cstheme="minorHAnsi"/>
                <w:lang w:eastAsia="pl-PL"/>
              </w:rPr>
              <w:t>dywersyfikację</w:t>
            </w:r>
            <w:r w:rsidR="003B50ED">
              <w:rPr>
                <w:rFonts w:eastAsia="Calibri" w:cstheme="minorHAnsi"/>
                <w:lang w:eastAsia="pl-PL"/>
              </w:rPr>
              <w:t xml:space="preserve"> </w:t>
            </w:r>
            <w:r w:rsidRPr="00A26C26">
              <w:rPr>
                <w:rFonts w:eastAsia="Calibri" w:cstheme="minorHAnsi"/>
                <w:lang w:eastAsia="pl-PL"/>
              </w:rPr>
              <w:t>dochodów</w:t>
            </w:r>
          </w:p>
        </w:tc>
      </w:tr>
      <w:tr w:rsidR="00857736" w:rsidRPr="00A26C26" w14:paraId="7795D4B3" w14:textId="77777777" w:rsidTr="00233140">
        <w:trPr>
          <w:trHeight w:val="249"/>
        </w:trPr>
        <w:tc>
          <w:tcPr>
            <w:tcW w:w="10201" w:type="dxa"/>
            <w:gridSpan w:val="2"/>
            <w:hideMark/>
          </w:tcPr>
          <w:p w14:paraId="22775547" w14:textId="71AF7207" w:rsidR="00857736" w:rsidRPr="00A26C26" w:rsidRDefault="00857736" w:rsidP="00A26C26">
            <w:pPr>
              <w:spacing w:line="276" w:lineRule="auto"/>
              <w:jc w:val="both"/>
              <w:rPr>
                <w:rFonts w:eastAsia="Calibri" w:cstheme="minorHAnsi"/>
                <w:lang w:eastAsia="pl-PL"/>
              </w:rPr>
            </w:pPr>
            <w:r w:rsidRPr="00A26C26">
              <w:rPr>
                <w:rFonts w:eastAsia="Calibri" w:cstheme="minorHAnsi"/>
                <w:lang w:eastAsia="pl-PL"/>
              </w:rPr>
              <w:t>Przedsięwzięcia</w:t>
            </w:r>
            <w:r w:rsidR="003B50ED">
              <w:rPr>
                <w:rFonts w:eastAsia="Calibri" w:cstheme="minorHAnsi"/>
                <w:lang w:eastAsia="pl-PL"/>
              </w:rPr>
              <w:t xml:space="preserve"> </w:t>
            </w:r>
            <w:r w:rsidRPr="00A26C26">
              <w:rPr>
                <w:rFonts w:eastAsia="Calibri" w:cstheme="minorHAnsi"/>
                <w:lang w:eastAsia="pl-PL"/>
              </w:rPr>
              <w:t>LSR</w:t>
            </w:r>
            <w:r w:rsidR="003B50ED">
              <w:rPr>
                <w:rFonts w:eastAsia="Calibri" w:cstheme="minorHAnsi"/>
                <w:lang w:eastAsia="pl-PL"/>
              </w:rPr>
              <w:t xml:space="preserve"> </w:t>
            </w:r>
            <w:r w:rsidRPr="00A26C26">
              <w:rPr>
                <w:rFonts w:eastAsia="Calibri" w:cstheme="minorHAnsi"/>
                <w:lang w:eastAsia="pl-PL"/>
              </w:rPr>
              <w:t>są</w:t>
            </w:r>
            <w:r w:rsidR="003B50ED">
              <w:rPr>
                <w:rFonts w:eastAsia="Calibri" w:cstheme="minorHAnsi"/>
                <w:lang w:eastAsia="pl-PL"/>
              </w:rPr>
              <w:t xml:space="preserve"> </w:t>
            </w:r>
            <w:r w:rsidRPr="00A26C26">
              <w:rPr>
                <w:rFonts w:eastAsia="Calibri" w:cstheme="minorHAnsi"/>
                <w:lang w:eastAsia="pl-PL"/>
              </w:rPr>
              <w:t>względem</w:t>
            </w:r>
            <w:r w:rsidR="003B50ED">
              <w:rPr>
                <w:rFonts w:eastAsia="Calibri" w:cstheme="minorHAnsi"/>
                <w:lang w:eastAsia="pl-PL"/>
              </w:rPr>
              <w:t xml:space="preserve"> </w:t>
            </w:r>
            <w:r w:rsidRPr="00A26C26">
              <w:rPr>
                <w:rFonts w:eastAsia="Calibri" w:cstheme="minorHAnsi"/>
                <w:lang w:eastAsia="pl-PL"/>
              </w:rPr>
              <w:t>celów</w:t>
            </w:r>
            <w:r w:rsidR="003B50ED">
              <w:rPr>
                <w:rFonts w:eastAsia="Calibri" w:cstheme="minorHAnsi"/>
                <w:lang w:eastAsia="pl-PL"/>
              </w:rPr>
              <w:t xml:space="preserve"> </w:t>
            </w:r>
            <w:r w:rsidRPr="00A26C26">
              <w:rPr>
                <w:rFonts w:eastAsia="Calibri" w:cstheme="minorHAnsi"/>
                <w:lang w:eastAsia="pl-PL"/>
              </w:rPr>
              <w:t>PS</w:t>
            </w:r>
            <w:r w:rsidR="003B50ED">
              <w:rPr>
                <w:rFonts w:eastAsia="Calibri" w:cstheme="minorHAnsi"/>
                <w:lang w:eastAsia="pl-PL"/>
              </w:rPr>
              <w:t xml:space="preserve"> </w:t>
            </w:r>
            <w:r w:rsidRPr="00A26C26">
              <w:rPr>
                <w:rFonts w:eastAsia="Calibri" w:cstheme="minorHAnsi"/>
                <w:lang w:eastAsia="pl-PL"/>
              </w:rPr>
              <w:t>dla</w:t>
            </w:r>
            <w:r w:rsidR="003B50ED">
              <w:rPr>
                <w:rFonts w:eastAsia="Calibri" w:cstheme="minorHAnsi"/>
                <w:lang w:eastAsia="pl-PL"/>
              </w:rPr>
              <w:t xml:space="preserve"> </w:t>
            </w:r>
            <w:r w:rsidRPr="00A26C26">
              <w:rPr>
                <w:rFonts w:eastAsia="Calibri" w:cstheme="minorHAnsi"/>
                <w:lang w:eastAsia="pl-PL"/>
              </w:rPr>
              <w:t>WPR</w:t>
            </w:r>
            <w:r w:rsidR="003B50ED">
              <w:rPr>
                <w:rFonts w:eastAsia="Calibri" w:cstheme="minorHAnsi"/>
                <w:lang w:eastAsia="pl-PL"/>
              </w:rPr>
              <w:t xml:space="preserve"> </w:t>
            </w:r>
            <w:r w:rsidRPr="00A26C26">
              <w:rPr>
                <w:rFonts w:eastAsia="Calibri" w:cstheme="minorHAnsi"/>
                <w:lang w:eastAsia="pl-PL"/>
              </w:rPr>
              <w:t>na</w:t>
            </w:r>
            <w:r w:rsidR="003B50ED">
              <w:rPr>
                <w:rFonts w:eastAsia="Calibri" w:cstheme="minorHAnsi"/>
                <w:lang w:eastAsia="pl-PL"/>
              </w:rPr>
              <w:t xml:space="preserve"> </w:t>
            </w:r>
            <w:r w:rsidRPr="00A26C26">
              <w:rPr>
                <w:rFonts w:eastAsia="Calibri" w:cstheme="minorHAnsi"/>
                <w:lang w:eastAsia="pl-PL"/>
              </w:rPr>
              <w:t>lata</w:t>
            </w:r>
            <w:r w:rsidR="003B50ED">
              <w:rPr>
                <w:rFonts w:eastAsia="Calibri" w:cstheme="minorHAnsi"/>
                <w:lang w:eastAsia="pl-PL"/>
              </w:rPr>
              <w:t xml:space="preserve"> </w:t>
            </w:r>
            <w:r w:rsidRPr="00A26C26">
              <w:rPr>
                <w:rFonts w:eastAsia="Calibri" w:cstheme="minorHAnsi"/>
                <w:lang w:eastAsia="pl-PL"/>
              </w:rPr>
              <w:t>2023-2027</w:t>
            </w:r>
            <w:r w:rsidR="003B50ED">
              <w:rPr>
                <w:rFonts w:eastAsia="Calibri" w:cstheme="minorHAnsi"/>
                <w:lang w:eastAsia="pl-PL"/>
              </w:rPr>
              <w:t xml:space="preserve"> </w:t>
            </w:r>
            <w:r w:rsidRPr="00A26C26">
              <w:rPr>
                <w:rFonts w:eastAsia="Calibri" w:cstheme="minorHAnsi"/>
                <w:lang w:eastAsia="pl-PL"/>
              </w:rPr>
              <w:t>komplementarne,</w:t>
            </w:r>
            <w:r w:rsidR="003B50ED">
              <w:rPr>
                <w:rFonts w:eastAsia="Calibri" w:cstheme="minorHAnsi"/>
                <w:lang w:eastAsia="pl-PL"/>
              </w:rPr>
              <w:t xml:space="preserve"> </w:t>
            </w:r>
            <w:r w:rsidRPr="00A26C26">
              <w:rPr>
                <w:rFonts w:eastAsia="Calibri" w:cstheme="minorHAnsi"/>
                <w:lang w:eastAsia="pl-PL"/>
              </w:rPr>
              <w:t>spójne</w:t>
            </w:r>
            <w:r w:rsidR="003B50ED">
              <w:rPr>
                <w:rFonts w:eastAsia="Calibri" w:cstheme="minorHAnsi"/>
                <w:lang w:eastAsia="pl-PL"/>
              </w:rPr>
              <w:t xml:space="preserve"> </w:t>
            </w:r>
            <w:r w:rsidRPr="00A26C26">
              <w:rPr>
                <w:rFonts w:eastAsia="Calibri" w:cstheme="minorHAnsi"/>
                <w:lang w:eastAsia="pl-PL"/>
              </w:rPr>
              <w:t>i</w:t>
            </w:r>
            <w:r w:rsidR="003B50ED">
              <w:rPr>
                <w:rFonts w:eastAsia="Calibri" w:cstheme="minorHAnsi"/>
                <w:lang w:eastAsia="pl-PL"/>
              </w:rPr>
              <w:t xml:space="preserve"> </w:t>
            </w:r>
            <w:r w:rsidRPr="00A26C26">
              <w:rPr>
                <w:rFonts w:eastAsia="Calibri" w:cstheme="minorHAnsi"/>
                <w:lang w:eastAsia="pl-PL"/>
              </w:rPr>
              <w:t>synergiczne.</w:t>
            </w:r>
            <w:r w:rsidR="003B50ED">
              <w:rPr>
                <w:rFonts w:eastAsia="Calibri" w:cstheme="minorHAnsi"/>
                <w:lang w:eastAsia="pl-PL"/>
              </w:rPr>
              <w:t xml:space="preserve"> </w:t>
            </w:r>
          </w:p>
          <w:p w14:paraId="570F4202" w14:textId="4648A52C" w:rsidR="00857736" w:rsidRPr="00A26C26" w:rsidRDefault="00857736" w:rsidP="00A26C26">
            <w:pPr>
              <w:spacing w:line="276" w:lineRule="auto"/>
              <w:jc w:val="both"/>
              <w:rPr>
                <w:rFonts w:eastAsia="Calibri" w:cstheme="minorHAnsi"/>
                <w:lang w:eastAsia="pl-PL"/>
              </w:rPr>
            </w:pPr>
            <w:r w:rsidRPr="00A26C26">
              <w:rPr>
                <w:rFonts w:eastAsia="Calibri" w:cstheme="minorHAnsi"/>
                <w:lang w:eastAsia="pl-PL"/>
              </w:rPr>
              <w:t>Realizacja</w:t>
            </w:r>
            <w:r w:rsidR="003B50ED">
              <w:rPr>
                <w:rFonts w:eastAsia="Calibri" w:cstheme="minorHAnsi"/>
                <w:lang w:eastAsia="pl-PL"/>
              </w:rPr>
              <w:t xml:space="preserve"> </w:t>
            </w:r>
            <w:r w:rsidRPr="00A26C26">
              <w:rPr>
                <w:rFonts w:eastAsia="Calibri" w:cstheme="minorHAnsi"/>
                <w:lang w:eastAsia="pl-PL"/>
              </w:rPr>
              <w:t>LSR</w:t>
            </w:r>
            <w:r w:rsidR="003B50ED">
              <w:rPr>
                <w:rFonts w:eastAsia="Calibri" w:cstheme="minorHAnsi"/>
                <w:lang w:eastAsia="pl-PL"/>
              </w:rPr>
              <w:t xml:space="preserve"> </w:t>
            </w:r>
            <w:r w:rsidRPr="00A26C26">
              <w:rPr>
                <w:rFonts w:eastAsia="Calibri" w:cstheme="minorHAnsi"/>
                <w:lang w:eastAsia="pl-PL"/>
              </w:rPr>
              <w:t>z</w:t>
            </w:r>
            <w:r w:rsidR="003B50ED">
              <w:rPr>
                <w:rFonts w:eastAsia="Calibri" w:cstheme="minorHAnsi"/>
                <w:lang w:eastAsia="pl-PL"/>
              </w:rPr>
              <w:t xml:space="preserve"> </w:t>
            </w:r>
            <w:r w:rsidRPr="00A26C26">
              <w:rPr>
                <w:rFonts w:eastAsia="Calibri" w:cstheme="minorHAnsi"/>
                <w:lang w:eastAsia="pl-PL"/>
              </w:rPr>
              <w:t>uwagi</w:t>
            </w:r>
            <w:r w:rsidR="003B50ED">
              <w:rPr>
                <w:rFonts w:eastAsia="Calibri" w:cstheme="minorHAnsi"/>
                <w:lang w:eastAsia="pl-PL"/>
              </w:rPr>
              <w:t xml:space="preserve"> </w:t>
            </w:r>
            <w:r w:rsidRPr="00A26C26">
              <w:rPr>
                <w:rFonts w:eastAsia="Calibri" w:cstheme="minorHAnsi"/>
                <w:lang w:eastAsia="pl-PL"/>
              </w:rPr>
              <w:t>na</w:t>
            </w:r>
            <w:r w:rsidR="003B50ED">
              <w:rPr>
                <w:rFonts w:eastAsia="Calibri" w:cstheme="minorHAnsi"/>
                <w:lang w:eastAsia="pl-PL"/>
              </w:rPr>
              <w:t xml:space="preserve"> </w:t>
            </w:r>
            <w:r w:rsidRPr="00A26C26">
              <w:rPr>
                <w:rFonts w:eastAsia="Calibri" w:cstheme="minorHAnsi"/>
                <w:lang w:eastAsia="pl-PL"/>
              </w:rPr>
              <w:t>fakt,</w:t>
            </w:r>
            <w:r w:rsidR="003B50ED">
              <w:rPr>
                <w:rFonts w:eastAsia="Calibri" w:cstheme="minorHAnsi"/>
                <w:lang w:eastAsia="pl-PL"/>
              </w:rPr>
              <w:t xml:space="preserve"> </w:t>
            </w:r>
            <w:r w:rsidRPr="00A26C26">
              <w:rPr>
                <w:rFonts w:eastAsia="Calibri" w:cstheme="minorHAnsi"/>
                <w:lang w:eastAsia="pl-PL"/>
              </w:rPr>
              <w:t>iż</w:t>
            </w:r>
            <w:r w:rsidR="003B50ED">
              <w:rPr>
                <w:rFonts w:eastAsia="Calibri" w:cstheme="minorHAnsi"/>
                <w:lang w:eastAsia="pl-PL"/>
              </w:rPr>
              <w:t xml:space="preserve"> </w:t>
            </w:r>
            <w:r w:rsidRPr="00A26C26">
              <w:rPr>
                <w:rFonts w:eastAsia="Calibri" w:cstheme="minorHAnsi"/>
                <w:lang w:eastAsia="pl-PL"/>
              </w:rPr>
              <w:t>interwencja</w:t>
            </w:r>
            <w:r w:rsidR="003B50ED">
              <w:rPr>
                <w:rFonts w:eastAsia="Calibri" w:cstheme="minorHAnsi"/>
                <w:lang w:eastAsia="pl-PL"/>
              </w:rPr>
              <w:t xml:space="preserve"> </w:t>
            </w:r>
            <w:r w:rsidRPr="00A26C26">
              <w:rPr>
                <w:rFonts w:eastAsia="Calibri" w:cstheme="minorHAnsi"/>
                <w:lang w:eastAsia="pl-PL"/>
              </w:rPr>
              <w:t>LEADER</w:t>
            </w:r>
            <w:r w:rsidR="003B50ED">
              <w:rPr>
                <w:rFonts w:eastAsia="Calibri" w:cstheme="minorHAnsi"/>
                <w:lang w:eastAsia="pl-PL"/>
              </w:rPr>
              <w:t xml:space="preserve"> </w:t>
            </w:r>
            <w:r w:rsidRPr="00A26C26">
              <w:rPr>
                <w:rFonts w:eastAsia="Calibri" w:cstheme="minorHAnsi"/>
                <w:lang w:eastAsia="pl-PL"/>
              </w:rPr>
              <w:t>jest</w:t>
            </w:r>
            <w:r w:rsidR="003B50ED">
              <w:rPr>
                <w:rFonts w:eastAsia="Calibri" w:cstheme="minorHAnsi"/>
                <w:lang w:eastAsia="pl-PL"/>
              </w:rPr>
              <w:t xml:space="preserve"> </w:t>
            </w:r>
            <w:r w:rsidRPr="00A26C26">
              <w:rPr>
                <w:rFonts w:eastAsia="Calibri" w:cstheme="minorHAnsi"/>
                <w:lang w:eastAsia="pl-PL"/>
              </w:rPr>
              <w:t>jednym</w:t>
            </w:r>
            <w:r w:rsidR="003B50ED">
              <w:rPr>
                <w:rFonts w:eastAsia="Calibri" w:cstheme="minorHAnsi"/>
                <w:lang w:eastAsia="pl-PL"/>
              </w:rPr>
              <w:t xml:space="preserve"> </w:t>
            </w:r>
            <w:r w:rsidRPr="00A26C26">
              <w:rPr>
                <w:rFonts w:eastAsia="Calibri" w:cstheme="minorHAnsi"/>
                <w:lang w:eastAsia="pl-PL"/>
              </w:rPr>
              <w:t>z</w:t>
            </w:r>
            <w:r w:rsidR="003B50ED">
              <w:rPr>
                <w:rFonts w:eastAsia="Calibri" w:cstheme="minorHAnsi"/>
                <w:lang w:eastAsia="pl-PL"/>
              </w:rPr>
              <w:t xml:space="preserve"> </w:t>
            </w:r>
            <w:r w:rsidRPr="00A26C26">
              <w:rPr>
                <w:rFonts w:eastAsia="Calibri" w:cstheme="minorHAnsi"/>
                <w:lang w:eastAsia="pl-PL"/>
              </w:rPr>
              <w:t>fundamentalnych</w:t>
            </w:r>
            <w:r w:rsidR="003B50ED">
              <w:rPr>
                <w:rFonts w:eastAsia="Calibri" w:cstheme="minorHAnsi"/>
                <w:lang w:eastAsia="pl-PL"/>
              </w:rPr>
              <w:t xml:space="preserve"> </w:t>
            </w:r>
            <w:r w:rsidRPr="00A26C26">
              <w:rPr>
                <w:rFonts w:eastAsia="Calibri" w:cstheme="minorHAnsi"/>
                <w:lang w:eastAsia="pl-PL"/>
              </w:rPr>
              <w:t>elementów</w:t>
            </w:r>
            <w:r w:rsidR="003B50ED">
              <w:rPr>
                <w:rFonts w:eastAsia="Calibri" w:cstheme="minorHAnsi"/>
                <w:lang w:eastAsia="pl-PL"/>
              </w:rPr>
              <w:t xml:space="preserve"> </w:t>
            </w:r>
            <w:r w:rsidRPr="00A26C26">
              <w:rPr>
                <w:rFonts w:eastAsia="Calibri" w:cstheme="minorHAnsi"/>
                <w:lang w:eastAsia="pl-PL"/>
              </w:rPr>
              <w:t>polityki</w:t>
            </w:r>
            <w:r w:rsidR="003B50ED">
              <w:rPr>
                <w:rFonts w:eastAsia="Calibri" w:cstheme="minorHAnsi"/>
                <w:lang w:eastAsia="pl-PL"/>
              </w:rPr>
              <w:t xml:space="preserve"> </w:t>
            </w:r>
            <w:r w:rsidRPr="00A26C26">
              <w:rPr>
                <w:rFonts w:eastAsia="Calibri" w:cstheme="minorHAnsi"/>
                <w:lang w:eastAsia="pl-PL"/>
              </w:rPr>
              <w:t>rozwoju</w:t>
            </w:r>
            <w:r w:rsidR="003B50ED">
              <w:rPr>
                <w:rFonts w:eastAsia="Calibri" w:cstheme="minorHAnsi"/>
                <w:lang w:eastAsia="pl-PL"/>
              </w:rPr>
              <w:t xml:space="preserve"> </w:t>
            </w:r>
            <w:r w:rsidRPr="00A26C26">
              <w:rPr>
                <w:rFonts w:eastAsia="Calibri" w:cstheme="minorHAnsi"/>
                <w:lang w:eastAsia="pl-PL"/>
              </w:rPr>
              <w:t>obszarów</w:t>
            </w:r>
            <w:r w:rsidR="003B50ED">
              <w:rPr>
                <w:rFonts w:eastAsia="Calibri" w:cstheme="minorHAnsi"/>
                <w:lang w:eastAsia="pl-PL"/>
              </w:rPr>
              <w:t xml:space="preserve"> </w:t>
            </w:r>
            <w:r w:rsidRPr="00A26C26">
              <w:rPr>
                <w:rFonts w:eastAsia="Calibri" w:cstheme="minorHAnsi"/>
                <w:lang w:eastAsia="pl-PL"/>
              </w:rPr>
              <w:t>wiejskich</w:t>
            </w:r>
            <w:r w:rsidR="003B50ED">
              <w:rPr>
                <w:rFonts w:eastAsia="Calibri" w:cstheme="minorHAnsi"/>
                <w:lang w:eastAsia="pl-PL"/>
              </w:rPr>
              <w:t xml:space="preserve"> </w:t>
            </w:r>
            <w:r w:rsidRPr="00A26C26">
              <w:rPr>
                <w:rFonts w:eastAsia="Calibri" w:cstheme="minorHAnsi"/>
                <w:lang w:eastAsia="pl-PL"/>
              </w:rPr>
              <w:t>w</w:t>
            </w:r>
            <w:r w:rsidR="003B50ED">
              <w:rPr>
                <w:rFonts w:eastAsia="Calibri" w:cstheme="minorHAnsi"/>
                <w:lang w:eastAsia="pl-PL"/>
              </w:rPr>
              <w:t xml:space="preserve"> </w:t>
            </w:r>
            <w:r w:rsidRPr="00A26C26">
              <w:rPr>
                <w:rFonts w:eastAsia="Calibri" w:cstheme="minorHAnsi"/>
                <w:lang w:eastAsia="pl-PL"/>
              </w:rPr>
              <w:t>sposób</w:t>
            </w:r>
            <w:r w:rsidR="003B50ED">
              <w:rPr>
                <w:rFonts w:eastAsia="Calibri" w:cstheme="minorHAnsi"/>
                <w:lang w:eastAsia="pl-PL"/>
              </w:rPr>
              <w:t xml:space="preserve"> </w:t>
            </w:r>
            <w:r w:rsidRPr="00A26C26">
              <w:rPr>
                <w:rFonts w:eastAsia="Calibri" w:cstheme="minorHAnsi"/>
                <w:lang w:eastAsia="pl-PL"/>
              </w:rPr>
              <w:t>komplementarny</w:t>
            </w:r>
            <w:r w:rsidR="003B50ED">
              <w:rPr>
                <w:rFonts w:eastAsia="Calibri" w:cstheme="minorHAnsi"/>
                <w:lang w:eastAsia="pl-PL"/>
              </w:rPr>
              <w:t xml:space="preserve"> </w:t>
            </w:r>
            <w:r w:rsidRPr="00A26C26">
              <w:rPr>
                <w:rFonts w:eastAsia="Calibri" w:cstheme="minorHAnsi"/>
                <w:lang w:eastAsia="pl-PL"/>
              </w:rPr>
              <w:t>pozytywnie</w:t>
            </w:r>
            <w:r w:rsidR="003B50ED">
              <w:rPr>
                <w:rFonts w:eastAsia="Calibri" w:cstheme="minorHAnsi"/>
                <w:lang w:eastAsia="pl-PL"/>
              </w:rPr>
              <w:t xml:space="preserve"> </w:t>
            </w:r>
            <w:r w:rsidRPr="00A26C26">
              <w:rPr>
                <w:rFonts w:eastAsia="Calibri" w:cstheme="minorHAnsi"/>
                <w:lang w:eastAsia="pl-PL"/>
              </w:rPr>
              <w:t>wpłynie</w:t>
            </w:r>
            <w:r w:rsidR="003B50ED">
              <w:rPr>
                <w:rFonts w:eastAsia="Calibri" w:cstheme="minorHAnsi"/>
                <w:lang w:eastAsia="pl-PL"/>
              </w:rPr>
              <w:t xml:space="preserve"> </w:t>
            </w:r>
            <w:r w:rsidRPr="00A26C26">
              <w:rPr>
                <w:rFonts w:eastAsia="Calibri" w:cstheme="minorHAnsi"/>
                <w:lang w:eastAsia="pl-PL"/>
              </w:rPr>
              <w:t>na</w:t>
            </w:r>
            <w:r w:rsidR="003B50ED">
              <w:rPr>
                <w:rFonts w:eastAsia="Calibri" w:cstheme="minorHAnsi"/>
                <w:lang w:eastAsia="pl-PL"/>
              </w:rPr>
              <w:t xml:space="preserve"> </w:t>
            </w:r>
            <w:r w:rsidRPr="00A26C26">
              <w:rPr>
                <w:rFonts w:eastAsia="Calibri" w:cstheme="minorHAnsi"/>
                <w:lang w:eastAsia="pl-PL"/>
              </w:rPr>
              <w:t>osiągniecie</w:t>
            </w:r>
            <w:r w:rsidR="003B50ED">
              <w:rPr>
                <w:rFonts w:eastAsia="Calibri" w:cstheme="minorHAnsi"/>
                <w:lang w:eastAsia="pl-PL"/>
              </w:rPr>
              <w:t xml:space="preserve"> </w:t>
            </w:r>
            <w:r w:rsidRPr="00A26C26">
              <w:rPr>
                <w:rFonts w:eastAsia="Calibri" w:cstheme="minorHAnsi"/>
                <w:lang w:eastAsia="pl-PL"/>
              </w:rPr>
              <w:t>celów</w:t>
            </w:r>
            <w:r w:rsidR="003B50ED">
              <w:rPr>
                <w:rFonts w:eastAsia="Calibri" w:cstheme="minorHAnsi"/>
                <w:lang w:eastAsia="pl-PL"/>
              </w:rPr>
              <w:t xml:space="preserve"> </w:t>
            </w:r>
            <w:r w:rsidRPr="00A26C26">
              <w:rPr>
                <w:rFonts w:eastAsia="Calibri" w:cstheme="minorHAnsi"/>
                <w:lang w:eastAsia="pl-PL"/>
              </w:rPr>
              <w:t>PS</w:t>
            </w:r>
            <w:r w:rsidR="003B50ED">
              <w:rPr>
                <w:rFonts w:eastAsia="Calibri" w:cstheme="minorHAnsi"/>
                <w:lang w:eastAsia="pl-PL"/>
              </w:rPr>
              <w:t xml:space="preserve"> </w:t>
            </w:r>
            <w:r w:rsidRPr="00A26C26">
              <w:rPr>
                <w:rFonts w:eastAsia="Calibri" w:cstheme="minorHAnsi"/>
                <w:lang w:eastAsia="pl-PL"/>
              </w:rPr>
              <w:t>WPR</w:t>
            </w:r>
            <w:r w:rsidR="003B50ED">
              <w:rPr>
                <w:rFonts w:eastAsia="Calibri" w:cstheme="minorHAnsi"/>
                <w:lang w:eastAsia="pl-PL"/>
              </w:rPr>
              <w:t xml:space="preserve"> </w:t>
            </w:r>
            <w:r w:rsidRPr="00A26C26">
              <w:rPr>
                <w:rFonts w:eastAsia="Calibri" w:cstheme="minorHAnsi"/>
                <w:lang w:eastAsia="pl-PL"/>
              </w:rPr>
              <w:t>poprzez</w:t>
            </w:r>
            <w:r w:rsidR="003B50ED">
              <w:rPr>
                <w:rFonts w:eastAsia="Calibri" w:cstheme="minorHAnsi"/>
                <w:lang w:eastAsia="pl-PL"/>
              </w:rPr>
              <w:t xml:space="preserve"> </w:t>
            </w:r>
            <w:r w:rsidRPr="00A26C26">
              <w:rPr>
                <w:rFonts w:eastAsia="Calibri" w:cstheme="minorHAnsi"/>
                <w:lang w:eastAsia="pl-PL"/>
              </w:rPr>
              <w:t>realizację</w:t>
            </w:r>
            <w:r w:rsidR="003B50ED">
              <w:rPr>
                <w:rFonts w:eastAsia="Calibri" w:cstheme="minorHAnsi"/>
                <w:lang w:eastAsia="pl-PL"/>
              </w:rPr>
              <w:t xml:space="preserve"> </w:t>
            </w:r>
            <w:r w:rsidRPr="00A26C26">
              <w:rPr>
                <w:rFonts w:eastAsia="Calibri" w:cstheme="minorHAnsi"/>
                <w:lang w:eastAsia="pl-PL"/>
              </w:rPr>
              <w:t>przedsięwzięć</w:t>
            </w:r>
            <w:r w:rsidR="003B50ED">
              <w:rPr>
                <w:rFonts w:eastAsia="Calibri" w:cstheme="minorHAnsi"/>
                <w:lang w:eastAsia="pl-PL"/>
              </w:rPr>
              <w:t xml:space="preserve"> </w:t>
            </w:r>
            <w:r w:rsidRPr="00A26C26">
              <w:rPr>
                <w:rFonts w:eastAsia="Calibri" w:cstheme="minorHAnsi"/>
                <w:lang w:eastAsia="pl-PL"/>
              </w:rPr>
              <w:t>w</w:t>
            </w:r>
            <w:r w:rsidR="003B50ED">
              <w:rPr>
                <w:rFonts w:eastAsia="Calibri" w:cstheme="minorHAnsi"/>
                <w:lang w:eastAsia="pl-PL"/>
              </w:rPr>
              <w:t xml:space="preserve"> </w:t>
            </w:r>
            <w:r w:rsidRPr="00A26C26">
              <w:rPr>
                <w:rFonts w:eastAsia="Calibri" w:cstheme="minorHAnsi"/>
                <w:lang w:eastAsia="pl-PL"/>
              </w:rPr>
              <w:t>zakresie</w:t>
            </w:r>
            <w:r w:rsidR="003B50ED">
              <w:rPr>
                <w:rFonts w:eastAsia="Calibri" w:cstheme="minorHAnsi"/>
                <w:lang w:eastAsia="pl-PL"/>
              </w:rPr>
              <w:t xml:space="preserve"> </w:t>
            </w:r>
            <w:r w:rsidRPr="00A26C26">
              <w:rPr>
                <w:rFonts w:eastAsia="Calibri" w:cstheme="minorHAnsi"/>
                <w:lang w:eastAsia="pl-PL"/>
              </w:rPr>
              <w:t>m.in.</w:t>
            </w:r>
            <w:r w:rsidR="003B50ED">
              <w:rPr>
                <w:rFonts w:eastAsia="Calibri" w:cstheme="minorHAnsi"/>
                <w:lang w:eastAsia="pl-PL"/>
              </w:rPr>
              <w:t xml:space="preserve"> </w:t>
            </w:r>
          </w:p>
          <w:p w14:paraId="48ECCD49" w14:textId="0186DDC5" w:rsidR="00E34A59" w:rsidRPr="00A26C26" w:rsidRDefault="00E34A59" w:rsidP="008A412F">
            <w:pPr>
              <w:numPr>
                <w:ilvl w:val="0"/>
                <w:numId w:val="19"/>
              </w:numPr>
              <w:spacing w:line="276" w:lineRule="auto"/>
              <w:ind w:left="172" w:hanging="172"/>
              <w:jc w:val="both"/>
              <w:rPr>
                <w:rFonts w:eastAsia="Calibri" w:cstheme="minorHAnsi"/>
              </w:rPr>
            </w:pPr>
            <w:r w:rsidRPr="00A26C26">
              <w:rPr>
                <w:rFonts w:eastAsia="Calibri" w:cstheme="minorHAnsi"/>
              </w:rPr>
              <w:t>Opracowani</w:t>
            </w:r>
            <w:r w:rsidR="007E4C24" w:rsidRPr="00A26C26">
              <w:rPr>
                <w:rFonts w:eastAsia="Calibri" w:cstheme="minorHAnsi"/>
              </w:rPr>
              <w:t>a</w:t>
            </w:r>
            <w:r w:rsidR="003B50ED">
              <w:rPr>
                <w:rFonts w:eastAsia="Calibri" w:cstheme="minorHAnsi"/>
              </w:rPr>
              <w:t xml:space="preserve"> </w:t>
            </w:r>
            <w:r w:rsidRPr="00A26C26">
              <w:rPr>
                <w:rFonts w:eastAsia="Calibri" w:cstheme="minorHAnsi"/>
              </w:rPr>
              <w:t>koncepcji</w:t>
            </w:r>
            <w:r w:rsidR="003B50ED">
              <w:rPr>
                <w:rFonts w:eastAsia="Calibri" w:cstheme="minorHAnsi"/>
              </w:rPr>
              <w:t xml:space="preserve"> </w:t>
            </w:r>
            <w:r w:rsidRPr="00A26C26">
              <w:rPr>
                <w:rFonts w:eastAsia="Calibri" w:cstheme="minorHAnsi"/>
              </w:rPr>
              <w:t>inteligentnych</w:t>
            </w:r>
            <w:r w:rsidR="003B50ED">
              <w:rPr>
                <w:rFonts w:eastAsia="Calibri" w:cstheme="minorHAnsi"/>
              </w:rPr>
              <w:t xml:space="preserve"> </w:t>
            </w:r>
            <w:r w:rsidRPr="00A26C26">
              <w:rPr>
                <w:rFonts w:eastAsia="Calibri" w:cstheme="minorHAnsi"/>
              </w:rPr>
              <w:t>wsi</w:t>
            </w:r>
            <w:r w:rsidR="003B50ED">
              <w:rPr>
                <w:rFonts w:eastAsia="Calibri" w:cstheme="minorHAnsi"/>
              </w:rPr>
              <w:t xml:space="preserve"> </w:t>
            </w:r>
            <w:r w:rsidRPr="00A26C26">
              <w:rPr>
                <w:rFonts w:eastAsia="Calibri" w:cstheme="minorHAnsi"/>
              </w:rPr>
              <w:t>(P.1.1.)</w:t>
            </w:r>
            <w:r w:rsidR="003B50ED">
              <w:rPr>
                <w:rFonts w:eastAsia="Calibri" w:cstheme="minorHAnsi"/>
              </w:rPr>
              <w:t xml:space="preserve"> </w:t>
            </w:r>
          </w:p>
          <w:p w14:paraId="0598F439" w14:textId="09DD021E" w:rsidR="00E34A59" w:rsidRPr="00A26C26" w:rsidRDefault="00E34A59" w:rsidP="008A412F">
            <w:pPr>
              <w:numPr>
                <w:ilvl w:val="0"/>
                <w:numId w:val="19"/>
              </w:numPr>
              <w:spacing w:line="276" w:lineRule="auto"/>
              <w:ind w:left="172" w:hanging="172"/>
              <w:jc w:val="both"/>
              <w:rPr>
                <w:rFonts w:eastAsia="Calibri" w:cstheme="minorHAnsi"/>
              </w:rPr>
            </w:pPr>
            <w:r w:rsidRPr="00A26C26">
              <w:rPr>
                <w:rFonts w:eastAsia="Calibri" w:cstheme="minorHAnsi"/>
              </w:rPr>
              <w:t>Popraw</w:t>
            </w:r>
            <w:r w:rsidR="007E4C24" w:rsidRPr="00A26C26">
              <w:rPr>
                <w:rFonts w:eastAsia="Calibri" w:cstheme="minorHAnsi"/>
              </w:rPr>
              <w:t>y</w:t>
            </w:r>
            <w:r w:rsidR="003B50ED">
              <w:rPr>
                <w:rFonts w:eastAsia="Calibri" w:cstheme="minorHAnsi"/>
              </w:rPr>
              <w:t xml:space="preserve"> </w:t>
            </w:r>
            <w:r w:rsidRPr="00A26C26">
              <w:rPr>
                <w:rFonts w:eastAsia="Calibri" w:cstheme="minorHAnsi"/>
              </w:rPr>
              <w:t>dostępu</w:t>
            </w:r>
            <w:r w:rsidR="003B50ED">
              <w:rPr>
                <w:rFonts w:eastAsia="Calibri" w:cstheme="minorHAnsi"/>
              </w:rPr>
              <w:t xml:space="preserve"> </w:t>
            </w:r>
            <w:r w:rsidRPr="00A26C26">
              <w:rPr>
                <w:rFonts w:eastAsia="Calibri" w:cstheme="minorHAnsi"/>
              </w:rPr>
              <w:t>do</w:t>
            </w:r>
            <w:r w:rsidR="003B50ED">
              <w:rPr>
                <w:rFonts w:eastAsia="Calibri" w:cstheme="minorHAnsi"/>
              </w:rPr>
              <w:t xml:space="preserve"> </w:t>
            </w:r>
            <w:r w:rsidRPr="00A26C26">
              <w:rPr>
                <w:rFonts w:eastAsia="Calibri" w:cstheme="minorHAnsi"/>
              </w:rPr>
              <w:t>małej</w:t>
            </w:r>
            <w:r w:rsidR="003B50ED">
              <w:rPr>
                <w:rFonts w:eastAsia="Calibri" w:cstheme="minorHAnsi"/>
              </w:rPr>
              <w:t xml:space="preserve"> </w:t>
            </w:r>
            <w:r w:rsidRPr="00A26C26">
              <w:rPr>
                <w:rFonts w:eastAsia="Calibri" w:cstheme="minorHAnsi"/>
              </w:rPr>
              <w:t>infrastruktury</w:t>
            </w:r>
            <w:r w:rsidR="003B50ED">
              <w:rPr>
                <w:rFonts w:eastAsia="Calibri" w:cstheme="minorHAnsi"/>
              </w:rPr>
              <w:t xml:space="preserve"> </w:t>
            </w:r>
            <w:r w:rsidRPr="00A26C26">
              <w:rPr>
                <w:rFonts w:eastAsia="Calibri" w:cstheme="minorHAnsi"/>
              </w:rPr>
              <w:t>publicznej</w:t>
            </w:r>
            <w:r w:rsidR="003B50ED">
              <w:rPr>
                <w:rFonts w:eastAsia="Calibri" w:cstheme="minorHAnsi"/>
              </w:rPr>
              <w:t xml:space="preserve"> </w:t>
            </w:r>
            <w:r w:rsidRPr="00A26C26">
              <w:rPr>
                <w:rFonts w:eastAsia="Calibri" w:cstheme="minorHAnsi"/>
              </w:rPr>
              <w:t>(P.1.2.)</w:t>
            </w:r>
            <w:r w:rsidR="003B50ED">
              <w:rPr>
                <w:rFonts w:eastAsia="Calibri" w:cstheme="minorHAnsi"/>
              </w:rPr>
              <w:t xml:space="preserve"> </w:t>
            </w:r>
          </w:p>
          <w:p w14:paraId="07BA2372" w14:textId="3000680D" w:rsidR="00E34A59" w:rsidRPr="00A26C26" w:rsidRDefault="00E34A59" w:rsidP="008A412F">
            <w:pPr>
              <w:numPr>
                <w:ilvl w:val="0"/>
                <w:numId w:val="19"/>
              </w:numPr>
              <w:spacing w:line="276" w:lineRule="auto"/>
              <w:ind w:left="172" w:hanging="172"/>
              <w:jc w:val="both"/>
              <w:rPr>
                <w:rFonts w:eastAsia="Calibri" w:cstheme="minorHAnsi"/>
              </w:rPr>
            </w:pPr>
            <w:r w:rsidRPr="00A26C26">
              <w:rPr>
                <w:rFonts w:eastAsia="Calibri" w:cstheme="minorHAnsi"/>
              </w:rPr>
              <w:t>Ochron</w:t>
            </w:r>
            <w:r w:rsidR="00B329E9" w:rsidRPr="00A26C26">
              <w:rPr>
                <w:rFonts w:eastAsia="Calibri" w:cstheme="minorHAnsi"/>
              </w:rPr>
              <w:t>y</w:t>
            </w:r>
            <w:r w:rsidR="003B50ED">
              <w:rPr>
                <w:rFonts w:eastAsia="Calibri" w:cstheme="minorHAnsi"/>
              </w:rPr>
              <w:t xml:space="preserve"> </w:t>
            </w:r>
            <w:r w:rsidRPr="00A26C26">
              <w:rPr>
                <w:rFonts w:eastAsia="Calibri" w:cstheme="minorHAnsi"/>
              </w:rPr>
              <w:t>dziedzictwa</w:t>
            </w:r>
            <w:r w:rsidR="003B50ED">
              <w:rPr>
                <w:rFonts w:eastAsia="Calibri" w:cstheme="minorHAnsi"/>
              </w:rPr>
              <w:t xml:space="preserve"> </w:t>
            </w:r>
            <w:r w:rsidRPr="00A26C26">
              <w:rPr>
                <w:rFonts w:eastAsia="Calibri" w:cstheme="minorHAnsi"/>
              </w:rPr>
              <w:t>kulturowego</w:t>
            </w:r>
            <w:r w:rsidR="003B50ED">
              <w:rPr>
                <w:rFonts w:eastAsia="Calibri" w:cstheme="minorHAnsi"/>
              </w:rPr>
              <w:t xml:space="preserve"> </w:t>
            </w:r>
            <w:r w:rsidRPr="00A26C26">
              <w:rPr>
                <w:rFonts w:eastAsia="Calibri" w:cstheme="minorHAnsi"/>
              </w:rPr>
              <w:t>lub</w:t>
            </w:r>
            <w:r w:rsidR="003B50ED">
              <w:rPr>
                <w:rFonts w:eastAsia="Calibri" w:cstheme="minorHAnsi"/>
              </w:rPr>
              <w:t xml:space="preserve"> </w:t>
            </w:r>
            <w:r w:rsidRPr="00A26C26">
              <w:rPr>
                <w:rFonts w:eastAsia="Calibri" w:cstheme="minorHAnsi"/>
              </w:rPr>
              <w:t>przyrodniczego</w:t>
            </w:r>
            <w:r w:rsidR="003B50ED">
              <w:rPr>
                <w:rFonts w:eastAsia="Calibri" w:cstheme="minorHAnsi"/>
              </w:rPr>
              <w:t xml:space="preserve"> </w:t>
            </w:r>
            <w:r w:rsidRPr="00A26C26">
              <w:rPr>
                <w:rFonts w:eastAsia="Calibri" w:cstheme="minorHAnsi"/>
              </w:rPr>
              <w:t>polskiej</w:t>
            </w:r>
            <w:r w:rsidR="003B50ED">
              <w:rPr>
                <w:rFonts w:eastAsia="Calibri" w:cstheme="minorHAnsi"/>
              </w:rPr>
              <w:t xml:space="preserve"> </w:t>
            </w:r>
            <w:r w:rsidRPr="00A26C26">
              <w:rPr>
                <w:rFonts w:eastAsia="Calibri" w:cstheme="minorHAnsi"/>
              </w:rPr>
              <w:t>wsi</w:t>
            </w:r>
            <w:r w:rsidR="003B50ED">
              <w:rPr>
                <w:rFonts w:eastAsia="Calibri" w:cstheme="minorHAnsi"/>
              </w:rPr>
              <w:t xml:space="preserve"> </w:t>
            </w:r>
            <w:r w:rsidRPr="00A26C26">
              <w:rPr>
                <w:rFonts w:eastAsia="Calibri" w:cstheme="minorHAnsi"/>
              </w:rPr>
              <w:t>(P.1.3.)</w:t>
            </w:r>
          </w:p>
          <w:p w14:paraId="0AEE7EC5" w14:textId="02FC638A" w:rsidR="00E34A59" w:rsidRPr="00A26C26" w:rsidRDefault="00E34A59" w:rsidP="008A412F">
            <w:pPr>
              <w:numPr>
                <w:ilvl w:val="0"/>
                <w:numId w:val="19"/>
              </w:numPr>
              <w:spacing w:line="276" w:lineRule="auto"/>
              <w:ind w:left="172" w:hanging="172"/>
              <w:jc w:val="both"/>
              <w:rPr>
                <w:rFonts w:eastAsia="Calibri" w:cstheme="minorHAnsi"/>
              </w:rPr>
            </w:pPr>
            <w:r w:rsidRPr="00A26C26">
              <w:rPr>
                <w:rFonts w:eastAsia="Calibri" w:cstheme="minorHAnsi"/>
              </w:rPr>
              <w:t>Aktywizacj</w:t>
            </w:r>
            <w:r w:rsidR="00B329E9" w:rsidRPr="00A26C26">
              <w:rPr>
                <w:rFonts w:eastAsia="Calibri" w:cstheme="minorHAnsi"/>
              </w:rPr>
              <w:t>i</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włączeni</w:t>
            </w:r>
            <w:r w:rsidR="00B329E9" w:rsidRPr="00A26C26">
              <w:rPr>
                <w:rFonts w:eastAsia="Calibri" w:cstheme="minorHAnsi"/>
              </w:rPr>
              <w:t>a</w:t>
            </w:r>
            <w:r w:rsidR="003B50ED">
              <w:rPr>
                <w:rFonts w:eastAsia="Calibri" w:cstheme="minorHAnsi"/>
              </w:rPr>
              <w:t xml:space="preserve"> </w:t>
            </w:r>
            <w:r w:rsidRPr="00A26C26">
              <w:rPr>
                <w:rFonts w:eastAsia="Calibri" w:cstheme="minorHAnsi"/>
              </w:rPr>
              <w:t>społeczne</w:t>
            </w:r>
            <w:r w:rsidR="00B329E9" w:rsidRPr="00A26C26">
              <w:rPr>
                <w:rFonts w:eastAsia="Calibri" w:cstheme="minorHAnsi"/>
              </w:rPr>
              <w:t>go</w:t>
            </w:r>
            <w:r w:rsidR="003B50ED">
              <w:rPr>
                <w:rFonts w:eastAsia="Calibri" w:cstheme="minorHAnsi"/>
              </w:rPr>
              <w:t xml:space="preserve"> </w:t>
            </w:r>
            <w:r w:rsidRPr="00A26C26">
              <w:rPr>
                <w:rFonts w:eastAsia="Calibri" w:cstheme="minorHAnsi"/>
              </w:rPr>
              <w:t>lokalnej</w:t>
            </w:r>
            <w:r w:rsidR="003B50ED">
              <w:rPr>
                <w:rFonts w:eastAsia="Calibri" w:cstheme="minorHAnsi"/>
              </w:rPr>
              <w:t xml:space="preserve"> </w:t>
            </w:r>
            <w:r w:rsidRPr="00A26C26">
              <w:rPr>
                <w:rFonts w:eastAsia="Calibri" w:cstheme="minorHAnsi"/>
              </w:rPr>
              <w:t>społeczności,</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tym</w:t>
            </w:r>
            <w:r w:rsidR="003B50ED">
              <w:rPr>
                <w:rFonts w:eastAsia="Calibri" w:cstheme="minorHAnsi"/>
              </w:rPr>
              <w:t xml:space="preserve"> </w:t>
            </w:r>
            <w:r w:rsidRPr="00A26C26">
              <w:rPr>
                <w:rFonts w:eastAsia="Calibri" w:cstheme="minorHAnsi"/>
              </w:rPr>
              <w:t>seniorów,</w:t>
            </w:r>
            <w:r w:rsidR="003B50ED">
              <w:rPr>
                <w:rFonts w:eastAsia="Calibri" w:cstheme="minorHAnsi"/>
              </w:rPr>
              <w:t xml:space="preserve"> </w:t>
            </w:r>
            <w:r w:rsidRPr="00A26C26">
              <w:rPr>
                <w:rFonts w:eastAsia="Calibri" w:cstheme="minorHAnsi"/>
              </w:rPr>
              <w:t>ludzi</w:t>
            </w:r>
            <w:r w:rsidR="003B50ED">
              <w:rPr>
                <w:rFonts w:eastAsia="Calibri" w:cstheme="minorHAnsi"/>
              </w:rPr>
              <w:t xml:space="preserve"> </w:t>
            </w:r>
            <w:r w:rsidRPr="00A26C26">
              <w:rPr>
                <w:rFonts w:eastAsia="Calibri" w:cstheme="minorHAnsi"/>
              </w:rPr>
              <w:t>młodych</w:t>
            </w:r>
            <w:r w:rsidR="003B50ED">
              <w:rPr>
                <w:rFonts w:eastAsia="Calibri" w:cstheme="minorHAnsi"/>
              </w:rPr>
              <w:t xml:space="preserve"> </w:t>
            </w:r>
            <w:r w:rsidRPr="00A26C26">
              <w:rPr>
                <w:rFonts w:eastAsia="Calibri" w:cstheme="minorHAnsi"/>
              </w:rPr>
              <w:t>lub</w:t>
            </w:r>
            <w:r w:rsidR="003B50ED">
              <w:rPr>
                <w:rFonts w:eastAsia="Calibri" w:cstheme="minorHAnsi"/>
              </w:rPr>
              <w:t xml:space="preserve"> </w:t>
            </w:r>
            <w:r w:rsidRPr="00A26C26">
              <w:rPr>
                <w:rFonts w:eastAsia="Calibri" w:cstheme="minorHAnsi"/>
              </w:rPr>
              <w:t>osób</w:t>
            </w:r>
            <w:r w:rsidR="003B50ED">
              <w:rPr>
                <w:rFonts w:eastAsia="Calibri" w:cstheme="minorHAnsi"/>
              </w:rPr>
              <w:t xml:space="preserve"> </w:t>
            </w:r>
            <w:r w:rsidR="00B329E9" w:rsidRPr="00A26C26">
              <w:rPr>
                <w:rFonts w:eastAsia="Calibri" w:cstheme="minorHAnsi"/>
              </w:rPr>
              <w:br/>
            </w:r>
            <w:r w:rsidRPr="00A26C26">
              <w:rPr>
                <w:rFonts w:eastAsia="Calibri" w:cstheme="minorHAnsi"/>
              </w:rPr>
              <w:t>w</w:t>
            </w:r>
            <w:r w:rsidR="003B50ED">
              <w:rPr>
                <w:rFonts w:eastAsia="Calibri" w:cstheme="minorHAnsi"/>
              </w:rPr>
              <w:t xml:space="preserve"> </w:t>
            </w:r>
            <w:r w:rsidRPr="00A26C26">
              <w:rPr>
                <w:rFonts w:eastAsia="Calibri" w:cstheme="minorHAnsi"/>
              </w:rPr>
              <w:t>niekorzystnej</w:t>
            </w:r>
            <w:r w:rsidR="003B50ED">
              <w:rPr>
                <w:rFonts w:eastAsia="Calibri" w:cstheme="minorHAnsi"/>
              </w:rPr>
              <w:t xml:space="preserve"> </w:t>
            </w:r>
            <w:r w:rsidRPr="00A26C26">
              <w:rPr>
                <w:rFonts w:eastAsia="Calibri" w:cstheme="minorHAnsi"/>
              </w:rPr>
              <w:t>sytuacji</w:t>
            </w:r>
            <w:r w:rsidR="003B50ED">
              <w:rPr>
                <w:rFonts w:eastAsia="Calibri" w:cstheme="minorHAnsi"/>
              </w:rPr>
              <w:t xml:space="preserve"> </w:t>
            </w:r>
            <w:r w:rsidRPr="00A26C26">
              <w:rPr>
                <w:rFonts w:eastAsia="Calibri" w:cstheme="minorHAnsi"/>
              </w:rPr>
              <w:t>(P.1.4.)</w:t>
            </w:r>
          </w:p>
          <w:p w14:paraId="7A820170" w14:textId="277B7511" w:rsidR="00E34A59" w:rsidRPr="00A26C26" w:rsidRDefault="00E34A59" w:rsidP="008A412F">
            <w:pPr>
              <w:numPr>
                <w:ilvl w:val="0"/>
                <w:numId w:val="19"/>
              </w:numPr>
              <w:spacing w:line="276" w:lineRule="auto"/>
              <w:ind w:left="172" w:hanging="172"/>
              <w:jc w:val="both"/>
              <w:rPr>
                <w:rFonts w:eastAsia="Calibri" w:cstheme="minorHAnsi"/>
              </w:rPr>
            </w:pPr>
            <w:r w:rsidRPr="00A26C26">
              <w:rPr>
                <w:rFonts w:eastAsia="Calibri" w:cstheme="minorHAnsi"/>
              </w:rPr>
              <w:t>Wspierani</w:t>
            </w:r>
            <w:r w:rsidR="00B329E9" w:rsidRPr="00A26C26">
              <w:rPr>
                <w:rFonts w:eastAsia="Calibri" w:cstheme="minorHAnsi"/>
              </w:rPr>
              <w:t>a</w:t>
            </w:r>
            <w:r w:rsidR="003B50ED">
              <w:rPr>
                <w:rFonts w:eastAsia="Calibri" w:cstheme="minorHAnsi"/>
              </w:rPr>
              <w:t xml:space="preserve"> </w:t>
            </w:r>
            <w:r w:rsidRPr="00A26C26">
              <w:rPr>
                <w:rFonts w:eastAsia="Calibri" w:cstheme="minorHAnsi"/>
              </w:rPr>
              <w:t>partnerstwa,</w:t>
            </w:r>
            <w:r w:rsidR="003B50ED">
              <w:rPr>
                <w:rFonts w:eastAsia="Calibri" w:cstheme="minorHAnsi"/>
              </w:rPr>
              <w:t xml:space="preserve"> </w:t>
            </w:r>
            <w:r w:rsidRPr="00A26C26">
              <w:rPr>
                <w:rFonts w:eastAsia="Calibri" w:cstheme="minorHAnsi"/>
              </w:rPr>
              <w:t>inicjatyw</w:t>
            </w:r>
            <w:r w:rsidR="003B50ED">
              <w:rPr>
                <w:rFonts w:eastAsia="Calibri" w:cstheme="minorHAnsi"/>
              </w:rPr>
              <w:t xml:space="preserve"> </w:t>
            </w:r>
            <w:r w:rsidRPr="00A26C26">
              <w:rPr>
                <w:rFonts w:eastAsia="Calibri" w:cstheme="minorHAnsi"/>
              </w:rPr>
              <w:t>edukacyjnych</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turystyki</w:t>
            </w:r>
            <w:r w:rsidR="003B50ED">
              <w:rPr>
                <w:rFonts w:eastAsia="Calibri" w:cstheme="minorHAnsi"/>
              </w:rPr>
              <w:t xml:space="preserve"> </w:t>
            </w:r>
            <w:r w:rsidRPr="00A26C26">
              <w:rPr>
                <w:rFonts w:eastAsia="Calibri" w:cstheme="minorHAnsi"/>
              </w:rPr>
              <w:t>na</w:t>
            </w:r>
            <w:r w:rsidR="003B50ED">
              <w:rPr>
                <w:rFonts w:eastAsia="Calibri" w:cstheme="minorHAnsi"/>
              </w:rPr>
              <w:t xml:space="preserve"> </w:t>
            </w:r>
            <w:r w:rsidRPr="00A26C26">
              <w:rPr>
                <w:rFonts w:eastAsia="Calibri" w:cstheme="minorHAnsi"/>
              </w:rPr>
              <w:t>obszarze</w:t>
            </w:r>
            <w:r w:rsidR="003B50ED">
              <w:rPr>
                <w:rFonts w:eastAsia="Calibri" w:cstheme="minorHAnsi"/>
              </w:rPr>
              <w:t xml:space="preserve"> </w:t>
            </w:r>
            <w:r w:rsidRPr="00A26C26">
              <w:rPr>
                <w:rFonts w:eastAsia="Calibri" w:cstheme="minorHAnsi"/>
              </w:rPr>
              <w:t>LSR</w:t>
            </w:r>
            <w:r w:rsidR="003B50ED">
              <w:rPr>
                <w:rFonts w:eastAsia="Calibri" w:cstheme="minorHAnsi"/>
              </w:rPr>
              <w:t xml:space="preserve"> </w:t>
            </w:r>
            <w:r w:rsidRPr="00A26C26">
              <w:rPr>
                <w:rFonts w:eastAsia="Calibri" w:cstheme="minorHAnsi"/>
              </w:rPr>
              <w:t>(P.1.5.)</w:t>
            </w:r>
          </w:p>
          <w:p w14:paraId="687E1687" w14:textId="10BE0BF2" w:rsidR="00E34A59" w:rsidRPr="00A26C26" w:rsidRDefault="00E34A59" w:rsidP="008A412F">
            <w:pPr>
              <w:numPr>
                <w:ilvl w:val="0"/>
                <w:numId w:val="19"/>
              </w:numPr>
              <w:spacing w:line="276" w:lineRule="auto"/>
              <w:ind w:left="172" w:hanging="172"/>
              <w:jc w:val="both"/>
              <w:rPr>
                <w:rFonts w:eastAsia="Calibri" w:cstheme="minorHAnsi"/>
              </w:rPr>
            </w:pPr>
            <w:r w:rsidRPr="00A26C26">
              <w:rPr>
                <w:rFonts w:eastAsia="Calibri" w:cstheme="minorHAnsi"/>
              </w:rPr>
              <w:t>Integracj</w:t>
            </w:r>
            <w:r w:rsidR="00B329E9" w:rsidRPr="00A26C26">
              <w:rPr>
                <w:rFonts w:eastAsia="Calibri" w:cstheme="minorHAnsi"/>
              </w:rPr>
              <w:t>i</w:t>
            </w:r>
            <w:r w:rsidR="003B50ED">
              <w:rPr>
                <w:rFonts w:eastAsia="Calibri" w:cstheme="minorHAnsi"/>
              </w:rPr>
              <w:t xml:space="preserve"> </w:t>
            </w:r>
            <w:r w:rsidRPr="00A26C26">
              <w:rPr>
                <w:rFonts w:eastAsia="Calibri" w:cstheme="minorHAnsi"/>
              </w:rPr>
              <w:t>społeczna</w:t>
            </w:r>
            <w:r w:rsidR="003B50ED">
              <w:rPr>
                <w:rFonts w:eastAsia="Calibri" w:cstheme="minorHAnsi"/>
              </w:rPr>
              <w:t xml:space="preserve"> </w:t>
            </w:r>
            <w:r w:rsidRPr="00A26C26">
              <w:rPr>
                <w:rFonts w:eastAsia="Calibri" w:cstheme="minorHAnsi"/>
              </w:rPr>
              <w:t>na</w:t>
            </w:r>
            <w:r w:rsidR="003B50ED">
              <w:rPr>
                <w:rFonts w:eastAsia="Calibri" w:cstheme="minorHAnsi"/>
              </w:rPr>
              <w:t xml:space="preserve"> </w:t>
            </w:r>
            <w:r w:rsidRPr="00A26C26">
              <w:rPr>
                <w:rFonts w:eastAsia="Calibri" w:cstheme="minorHAnsi"/>
              </w:rPr>
              <w:t>obszarach</w:t>
            </w:r>
            <w:r w:rsidR="003B50ED">
              <w:rPr>
                <w:rFonts w:eastAsia="Calibri" w:cstheme="minorHAnsi"/>
              </w:rPr>
              <w:t xml:space="preserve"> </w:t>
            </w:r>
            <w:r w:rsidRPr="00A26C26">
              <w:rPr>
                <w:rFonts w:eastAsia="Calibri" w:cstheme="minorHAnsi"/>
              </w:rPr>
              <w:t>wiejskich</w:t>
            </w:r>
            <w:r w:rsidR="003B50ED">
              <w:rPr>
                <w:rFonts w:eastAsia="Calibri" w:cstheme="minorHAnsi"/>
              </w:rPr>
              <w:t xml:space="preserve"> </w:t>
            </w:r>
            <w:r w:rsidRPr="00A26C26">
              <w:rPr>
                <w:rFonts w:eastAsia="Calibri" w:cstheme="minorHAnsi"/>
              </w:rPr>
              <w:t>(P.1.6.)</w:t>
            </w:r>
            <w:r w:rsidR="003B50ED">
              <w:rPr>
                <w:rFonts w:eastAsia="Calibri" w:cstheme="minorHAnsi"/>
              </w:rPr>
              <w:t xml:space="preserve"> </w:t>
            </w:r>
          </w:p>
          <w:p w14:paraId="5001FEB9" w14:textId="3860FD9B" w:rsidR="00857736" w:rsidRPr="001B22BD" w:rsidRDefault="00E34A59" w:rsidP="008A412F">
            <w:pPr>
              <w:numPr>
                <w:ilvl w:val="0"/>
                <w:numId w:val="19"/>
              </w:numPr>
              <w:spacing w:line="276" w:lineRule="auto"/>
              <w:ind w:left="172" w:hanging="172"/>
              <w:jc w:val="both"/>
              <w:rPr>
                <w:rFonts w:eastAsia="Calibri" w:cstheme="minorHAnsi"/>
              </w:rPr>
            </w:pPr>
            <w:r w:rsidRPr="00A26C26">
              <w:rPr>
                <w:rFonts w:eastAsia="Calibri" w:cstheme="minorHAnsi"/>
              </w:rPr>
              <w:t>Rozw</w:t>
            </w:r>
            <w:r w:rsidR="00B329E9" w:rsidRPr="00A26C26">
              <w:rPr>
                <w:rFonts w:eastAsia="Calibri" w:cstheme="minorHAnsi"/>
              </w:rPr>
              <w:t>oju</w:t>
            </w:r>
            <w:r w:rsidR="003B50ED">
              <w:rPr>
                <w:rFonts w:eastAsia="Calibri" w:cstheme="minorHAnsi"/>
              </w:rPr>
              <w:t xml:space="preserve"> </w:t>
            </w:r>
            <w:r w:rsidRPr="00A26C26">
              <w:rPr>
                <w:rFonts w:eastAsia="Calibri" w:cstheme="minorHAnsi"/>
              </w:rPr>
              <w:t>pozarolniczej</w:t>
            </w:r>
            <w:r w:rsidR="003B50ED">
              <w:rPr>
                <w:rFonts w:eastAsia="Calibri" w:cstheme="minorHAnsi"/>
              </w:rPr>
              <w:t xml:space="preserve"> </w:t>
            </w:r>
            <w:r w:rsidRPr="00A26C26">
              <w:rPr>
                <w:rFonts w:eastAsia="Calibri" w:cstheme="minorHAnsi"/>
              </w:rPr>
              <w:t>działalności</w:t>
            </w:r>
            <w:r w:rsidR="003B50ED">
              <w:rPr>
                <w:rFonts w:eastAsia="Calibri" w:cstheme="minorHAnsi"/>
              </w:rPr>
              <w:t xml:space="preserve"> </w:t>
            </w:r>
            <w:r w:rsidRPr="00A26C26">
              <w:rPr>
                <w:rFonts w:eastAsia="Calibri" w:cstheme="minorHAnsi"/>
              </w:rPr>
              <w:t>gospodarczej</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tym</w:t>
            </w:r>
            <w:r w:rsidR="003B50ED">
              <w:rPr>
                <w:rFonts w:eastAsia="Calibri" w:cstheme="minorHAnsi"/>
              </w:rPr>
              <w:t xml:space="preserve"> </w:t>
            </w:r>
            <w:r w:rsidRPr="00A26C26">
              <w:rPr>
                <w:rFonts w:eastAsia="Calibri" w:cstheme="minorHAnsi"/>
              </w:rPr>
              <w:t>gospodarstw</w:t>
            </w:r>
            <w:r w:rsidR="003B50ED">
              <w:rPr>
                <w:rFonts w:eastAsia="Calibri" w:cstheme="minorHAnsi"/>
              </w:rPr>
              <w:t xml:space="preserve"> </w:t>
            </w:r>
            <w:r w:rsidRPr="00A26C26">
              <w:rPr>
                <w:rFonts w:eastAsia="Calibri" w:cstheme="minorHAnsi"/>
              </w:rPr>
              <w:t>agroturystycznych</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zagród</w:t>
            </w:r>
            <w:r w:rsidR="003B50ED">
              <w:rPr>
                <w:rFonts w:eastAsia="Calibri" w:cstheme="minorHAnsi"/>
              </w:rPr>
              <w:t xml:space="preserve"> </w:t>
            </w:r>
            <w:r w:rsidRPr="00A26C26">
              <w:rPr>
                <w:rFonts w:eastAsia="Calibri" w:cstheme="minorHAnsi"/>
              </w:rPr>
              <w:t>edukacyjnych</w:t>
            </w:r>
            <w:r w:rsidR="003B50ED">
              <w:rPr>
                <w:rFonts w:eastAsia="Calibri" w:cstheme="minorHAnsi"/>
              </w:rPr>
              <w:t xml:space="preserve"> </w:t>
            </w:r>
            <w:r w:rsidRPr="00A26C26">
              <w:rPr>
                <w:rFonts w:eastAsia="Calibri" w:cstheme="minorHAnsi"/>
              </w:rPr>
              <w:t>(P.2.1.)</w:t>
            </w:r>
          </w:p>
        </w:tc>
      </w:tr>
      <w:tr w:rsidR="00857736" w:rsidRPr="00A26C26" w14:paraId="0D71A1EE" w14:textId="77777777" w:rsidTr="00233140">
        <w:trPr>
          <w:trHeight w:val="249"/>
        </w:trPr>
        <w:tc>
          <w:tcPr>
            <w:tcW w:w="10201" w:type="dxa"/>
            <w:gridSpan w:val="2"/>
            <w:hideMark/>
          </w:tcPr>
          <w:p w14:paraId="4A0DC5FF" w14:textId="1CF72F5E" w:rsidR="00857736" w:rsidRPr="00A26C26" w:rsidRDefault="00857736" w:rsidP="00A26C26">
            <w:pPr>
              <w:spacing w:line="276" w:lineRule="auto"/>
              <w:jc w:val="both"/>
              <w:rPr>
                <w:rFonts w:eastAsia="Calibri" w:cstheme="minorHAnsi"/>
                <w:b/>
                <w:bCs/>
                <w:lang w:eastAsia="pl-PL"/>
              </w:rPr>
            </w:pPr>
            <w:r w:rsidRPr="00A26C26">
              <w:rPr>
                <w:rFonts w:eastAsia="Calibri" w:cstheme="minorHAnsi"/>
                <w:b/>
                <w:bCs/>
                <w:lang w:eastAsia="pl-PL"/>
              </w:rPr>
              <w:t>Strategia</w:t>
            </w:r>
            <w:r w:rsidR="003B50ED">
              <w:rPr>
                <w:rFonts w:eastAsia="Calibri" w:cstheme="minorHAnsi"/>
                <w:b/>
                <w:bCs/>
                <w:lang w:eastAsia="pl-PL"/>
              </w:rPr>
              <w:t xml:space="preserve"> </w:t>
            </w:r>
            <w:r w:rsidR="00E965D2" w:rsidRPr="00A26C26">
              <w:rPr>
                <w:rFonts w:eastAsia="Calibri" w:cstheme="minorHAnsi"/>
                <w:b/>
                <w:bCs/>
                <w:lang w:eastAsia="pl-PL"/>
              </w:rPr>
              <w:t>Wielkopolska</w:t>
            </w:r>
            <w:r w:rsidR="003B50ED">
              <w:rPr>
                <w:rFonts w:eastAsia="Calibri" w:cstheme="minorHAnsi"/>
                <w:b/>
                <w:bCs/>
                <w:lang w:eastAsia="pl-PL"/>
              </w:rPr>
              <w:t xml:space="preserve"> </w:t>
            </w:r>
            <w:r w:rsidRPr="00A26C26">
              <w:rPr>
                <w:rFonts w:eastAsia="Calibri" w:cstheme="minorHAnsi"/>
                <w:b/>
                <w:bCs/>
                <w:lang w:eastAsia="pl-PL"/>
              </w:rPr>
              <w:t>2030</w:t>
            </w:r>
          </w:p>
        </w:tc>
      </w:tr>
      <w:tr w:rsidR="00857736" w:rsidRPr="00A26C26" w14:paraId="550057A6" w14:textId="77777777" w:rsidTr="00233140">
        <w:trPr>
          <w:trHeight w:val="249"/>
        </w:trPr>
        <w:tc>
          <w:tcPr>
            <w:tcW w:w="10201" w:type="dxa"/>
            <w:gridSpan w:val="2"/>
            <w:hideMark/>
          </w:tcPr>
          <w:p w14:paraId="42786352" w14:textId="50B960A9" w:rsidR="00A33F61" w:rsidRPr="00A26C26" w:rsidRDefault="00A33F61" w:rsidP="00A26C26">
            <w:pPr>
              <w:spacing w:line="276" w:lineRule="auto"/>
              <w:jc w:val="both"/>
              <w:rPr>
                <w:rFonts w:eastAsia="Calibri" w:cstheme="minorHAnsi"/>
              </w:rPr>
            </w:pPr>
            <w:r w:rsidRPr="00A26C26">
              <w:rPr>
                <w:rFonts w:eastAsia="Calibri" w:cstheme="minorHAnsi"/>
              </w:rPr>
              <w:t>1.2.</w:t>
            </w:r>
            <w:r w:rsidR="003B50ED">
              <w:rPr>
                <w:rFonts w:eastAsia="Calibri" w:cstheme="minorHAnsi"/>
              </w:rPr>
              <w:t xml:space="preserve"> </w:t>
            </w:r>
            <w:r w:rsidRPr="00A26C26">
              <w:rPr>
                <w:rFonts w:eastAsia="Calibri" w:cstheme="minorHAnsi"/>
              </w:rPr>
              <w:t>Wzrost</w:t>
            </w:r>
            <w:r w:rsidR="003B50ED">
              <w:rPr>
                <w:rFonts w:eastAsia="Calibri" w:cstheme="minorHAnsi"/>
              </w:rPr>
              <w:t xml:space="preserve"> </w:t>
            </w:r>
            <w:r w:rsidRPr="00A26C26">
              <w:rPr>
                <w:rFonts w:eastAsia="Calibri" w:cstheme="minorHAnsi"/>
              </w:rPr>
              <w:t>aktywności</w:t>
            </w:r>
            <w:r w:rsidR="003B50ED">
              <w:rPr>
                <w:rFonts w:eastAsia="Calibri" w:cstheme="minorHAnsi"/>
              </w:rPr>
              <w:t xml:space="preserve"> </w:t>
            </w:r>
            <w:r w:rsidRPr="00A26C26">
              <w:rPr>
                <w:rFonts w:eastAsia="Calibri" w:cstheme="minorHAnsi"/>
              </w:rPr>
              <w:t>zawodowej</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utrzymanie</w:t>
            </w:r>
            <w:r w:rsidR="003B50ED">
              <w:rPr>
                <w:rFonts w:eastAsia="Calibri" w:cstheme="minorHAnsi"/>
              </w:rPr>
              <w:t xml:space="preserve"> </w:t>
            </w:r>
            <w:r w:rsidRPr="00A26C26">
              <w:rPr>
                <w:rFonts w:eastAsia="Calibri" w:cstheme="minorHAnsi"/>
              </w:rPr>
              <w:t>wysokiej</w:t>
            </w:r>
            <w:r w:rsidR="003B50ED">
              <w:rPr>
                <w:rFonts w:eastAsia="Calibri" w:cstheme="minorHAnsi"/>
              </w:rPr>
              <w:t xml:space="preserve"> </w:t>
            </w:r>
            <w:r w:rsidRPr="00A26C26">
              <w:rPr>
                <w:rFonts w:eastAsia="Calibri" w:cstheme="minorHAnsi"/>
              </w:rPr>
              <w:t>jakości</w:t>
            </w:r>
            <w:r w:rsidR="003B50ED">
              <w:rPr>
                <w:rFonts w:eastAsia="Calibri" w:cstheme="minorHAnsi"/>
              </w:rPr>
              <w:t xml:space="preserve"> </w:t>
            </w:r>
            <w:r w:rsidRPr="00A26C26">
              <w:rPr>
                <w:rFonts w:eastAsia="Calibri" w:cstheme="minorHAnsi"/>
              </w:rPr>
              <w:t>zatrudnienia</w:t>
            </w:r>
            <w:r w:rsidR="003B50ED">
              <w:rPr>
                <w:rFonts w:eastAsia="Calibri" w:cstheme="minorHAnsi"/>
              </w:rPr>
              <w:t xml:space="preserve"> </w:t>
            </w:r>
          </w:p>
          <w:p w14:paraId="1F87250C" w14:textId="1BBFAE98" w:rsidR="00A33F61" w:rsidRPr="00A26C26" w:rsidRDefault="00A33F61" w:rsidP="00A26C26">
            <w:pPr>
              <w:spacing w:line="276" w:lineRule="auto"/>
              <w:jc w:val="both"/>
              <w:rPr>
                <w:rFonts w:eastAsia="Calibri" w:cstheme="minorHAnsi"/>
              </w:rPr>
            </w:pPr>
            <w:r w:rsidRPr="00A26C26">
              <w:rPr>
                <w:rFonts w:eastAsia="Calibri" w:cstheme="minorHAnsi"/>
              </w:rPr>
              <w:lastRenderedPageBreak/>
              <w:t>-</w:t>
            </w:r>
            <w:r w:rsidR="003B50ED">
              <w:rPr>
                <w:rFonts w:eastAsia="Calibri" w:cstheme="minorHAnsi"/>
              </w:rPr>
              <w:t xml:space="preserve"> </w:t>
            </w:r>
            <w:r w:rsidRPr="00A26C26">
              <w:rPr>
                <w:rFonts w:eastAsia="Calibri" w:cstheme="minorHAnsi"/>
              </w:rPr>
              <w:t>Tworzenie</w:t>
            </w:r>
            <w:r w:rsidR="003B50ED">
              <w:rPr>
                <w:rFonts w:eastAsia="Calibri" w:cstheme="minorHAnsi"/>
              </w:rPr>
              <w:t xml:space="preserve"> </w:t>
            </w:r>
            <w:r w:rsidRPr="00A26C26">
              <w:rPr>
                <w:rFonts w:eastAsia="Calibri" w:cstheme="minorHAnsi"/>
              </w:rPr>
              <w:t>miejsc</w:t>
            </w:r>
            <w:r w:rsidR="003B50ED">
              <w:rPr>
                <w:rFonts w:eastAsia="Calibri" w:cstheme="minorHAnsi"/>
              </w:rPr>
              <w:t xml:space="preserve"> </w:t>
            </w:r>
            <w:r w:rsidRPr="00A26C26">
              <w:rPr>
                <w:rFonts w:eastAsia="Calibri" w:cstheme="minorHAnsi"/>
              </w:rPr>
              <w:t>pracy</w:t>
            </w:r>
            <w:r w:rsidR="003B50ED">
              <w:rPr>
                <w:rFonts w:eastAsia="Calibri" w:cstheme="minorHAnsi"/>
              </w:rPr>
              <w:t xml:space="preserve"> </w:t>
            </w:r>
            <w:r w:rsidRPr="00A26C26">
              <w:rPr>
                <w:rFonts w:eastAsia="Calibri" w:cstheme="minorHAnsi"/>
              </w:rPr>
              <w:t>wysokiej</w:t>
            </w:r>
            <w:r w:rsidR="003B50ED">
              <w:rPr>
                <w:rFonts w:eastAsia="Calibri" w:cstheme="minorHAnsi"/>
              </w:rPr>
              <w:t xml:space="preserve"> </w:t>
            </w:r>
            <w:r w:rsidRPr="00A26C26">
              <w:rPr>
                <w:rFonts w:eastAsia="Calibri" w:cstheme="minorHAnsi"/>
              </w:rPr>
              <w:t>jakości</w:t>
            </w:r>
          </w:p>
          <w:p w14:paraId="1EA4F230" w14:textId="36872D8F" w:rsidR="00A33F61" w:rsidRPr="00A26C26" w:rsidRDefault="00A33F61" w:rsidP="00A26C26">
            <w:pPr>
              <w:spacing w:line="276" w:lineRule="auto"/>
              <w:jc w:val="both"/>
              <w:rPr>
                <w:rFonts w:eastAsia="Calibri" w:cstheme="minorHAnsi"/>
              </w:rPr>
            </w:pPr>
            <w:r w:rsidRPr="00A26C26">
              <w:rPr>
                <w:rFonts w:eastAsia="Calibri" w:cstheme="minorHAnsi"/>
              </w:rPr>
              <w:t>-</w:t>
            </w:r>
            <w:r w:rsidR="003B50ED">
              <w:rPr>
                <w:rFonts w:eastAsia="Calibri" w:cstheme="minorHAnsi"/>
              </w:rPr>
              <w:t xml:space="preserve"> </w:t>
            </w:r>
            <w:r w:rsidRPr="00A26C26">
              <w:rPr>
                <w:rFonts w:eastAsia="Calibri" w:cstheme="minorHAnsi"/>
              </w:rPr>
              <w:t>Aktywizacja</w:t>
            </w:r>
            <w:r w:rsidR="003B50ED">
              <w:rPr>
                <w:rFonts w:eastAsia="Calibri" w:cstheme="minorHAnsi"/>
              </w:rPr>
              <w:t xml:space="preserve"> </w:t>
            </w:r>
            <w:r w:rsidRPr="00A26C26">
              <w:rPr>
                <w:rFonts w:eastAsia="Calibri" w:cstheme="minorHAnsi"/>
              </w:rPr>
              <w:t>niewykorzystanych</w:t>
            </w:r>
            <w:r w:rsidR="003B50ED">
              <w:rPr>
                <w:rFonts w:eastAsia="Calibri" w:cstheme="minorHAnsi"/>
              </w:rPr>
              <w:t xml:space="preserve"> </w:t>
            </w:r>
            <w:r w:rsidRPr="00A26C26">
              <w:rPr>
                <w:rFonts w:eastAsia="Calibri" w:cstheme="minorHAnsi"/>
              </w:rPr>
              <w:t>zasobów</w:t>
            </w:r>
            <w:r w:rsidR="003B50ED">
              <w:rPr>
                <w:rFonts w:eastAsia="Calibri" w:cstheme="minorHAnsi"/>
              </w:rPr>
              <w:t xml:space="preserve"> </w:t>
            </w:r>
            <w:r w:rsidRPr="00A26C26">
              <w:rPr>
                <w:rFonts w:eastAsia="Calibri" w:cstheme="minorHAnsi"/>
              </w:rPr>
              <w:t>pracy</w:t>
            </w:r>
            <w:r w:rsidR="003B50ED">
              <w:rPr>
                <w:rFonts w:eastAsia="Calibri" w:cstheme="minorHAnsi"/>
              </w:rPr>
              <w:t xml:space="preserve"> </w:t>
            </w:r>
          </w:p>
          <w:p w14:paraId="38EBD116" w14:textId="38B892BE" w:rsidR="00A33F61" w:rsidRPr="00A26C26" w:rsidRDefault="00A33F61" w:rsidP="00A26C26">
            <w:pPr>
              <w:spacing w:line="276" w:lineRule="auto"/>
              <w:jc w:val="both"/>
              <w:rPr>
                <w:rFonts w:eastAsia="Calibri" w:cstheme="minorHAnsi"/>
              </w:rPr>
            </w:pPr>
            <w:r w:rsidRPr="00A26C26">
              <w:rPr>
                <w:rFonts w:eastAsia="Calibri" w:cstheme="minorHAnsi"/>
              </w:rPr>
              <w:t>2.1.</w:t>
            </w:r>
            <w:r w:rsidR="003B50ED">
              <w:rPr>
                <w:rFonts w:eastAsia="Calibri" w:cstheme="minorHAnsi"/>
              </w:rPr>
              <w:t xml:space="preserve"> </w:t>
            </w:r>
            <w:r w:rsidRPr="00A26C26">
              <w:rPr>
                <w:rFonts w:eastAsia="Calibri" w:cstheme="minorHAnsi"/>
              </w:rPr>
              <w:t>Rozwój</w:t>
            </w:r>
            <w:r w:rsidR="003B50ED">
              <w:rPr>
                <w:rFonts w:eastAsia="Calibri" w:cstheme="minorHAnsi"/>
              </w:rPr>
              <w:t xml:space="preserve"> </w:t>
            </w:r>
            <w:r w:rsidRPr="00A26C26">
              <w:rPr>
                <w:rFonts w:eastAsia="Calibri" w:cstheme="minorHAnsi"/>
              </w:rPr>
              <w:t>Wielkopolski</w:t>
            </w:r>
            <w:r w:rsidR="003B50ED">
              <w:rPr>
                <w:rFonts w:eastAsia="Calibri" w:cstheme="minorHAnsi"/>
              </w:rPr>
              <w:t xml:space="preserve"> </w:t>
            </w:r>
            <w:r w:rsidRPr="00A26C26">
              <w:rPr>
                <w:rFonts w:eastAsia="Calibri" w:cstheme="minorHAnsi"/>
              </w:rPr>
              <w:t>świadomy</w:t>
            </w:r>
            <w:r w:rsidR="003B50ED">
              <w:rPr>
                <w:rFonts w:eastAsia="Calibri" w:cstheme="minorHAnsi"/>
              </w:rPr>
              <w:t xml:space="preserve"> </w:t>
            </w:r>
            <w:r w:rsidRPr="00A26C26">
              <w:rPr>
                <w:rFonts w:eastAsia="Calibri" w:cstheme="minorHAnsi"/>
              </w:rPr>
              <w:t>demograficznie</w:t>
            </w:r>
          </w:p>
          <w:p w14:paraId="49C114EE" w14:textId="7636EE62" w:rsidR="00A33F61" w:rsidRPr="00A26C26" w:rsidRDefault="00A33F61" w:rsidP="00A26C26">
            <w:pPr>
              <w:spacing w:line="276" w:lineRule="auto"/>
              <w:jc w:val="both"/>
              <w:rPr>
                <w:rFonts w:eastAsia="Calibri" w:cstheme="minorHAnsi"/>
              </w:rPr>
            </w:pPr>
            <w:r w:rsidRPr="00A26C26">
              <w:rPr>
                <w:rFonts w:eastAsia="Calibri" w:cstheme="minorHAnsi"/>
              </w:rPr>
              <w:t>-</w:t>
            </w:r>
            <w:r w:rsidR="003B50ED">
              <w:rPr>
                <w:rFonts w:eastAsia="Calibri" w:cstheme="minorHAnsi"/>
              </w:rPr>
              <w:t xml:space="preserve"> </w:t>
            </w:r>
            <w:r w:rsidRPr="00A26C26">
              <w:rPr>
                <w:rFonts w:eastAsia="Calibri" w:cstheme="minorHAnsi"/>
              </w:rPr>
              <w:t>Rozwój</w:t>
            </w:r>
            <w:r w:rsidR="003B50ED">
              <w:rPr>
                <w:rFonts w:eastAsia="Calibri" w:cstheme="minorHAnsi"/>
              </w:rPr>
              <w:t xml:space="preserve"> </w:t>
            </w:r>
            <w:r w:rsidRPr="00A26C26">
              <w:rPr>
                <w:rFonts w:eastAsia="Calibri" w:cstheme="minorHAnsi"/>
              </w:rPr>
              <w:t>srebrnej</w:t>
            </w:r>
            <w:r w:rsidR="003B50ED">
              <w:rPr>
                <w:rFonts w:eastAsia="Calibri" w:cstheme="minorHAnsi"/>
              </w:rPr>
              <w:t xml:space="preserve"> </w:t>
            </w:r>
            <w:r w:rsidRPr="00A26C26">
              <w:rPr>
                <w:rFonts w:eastAsia="Calibri" w:cstheme="minorHAnsi"/>
              </w:rPr>
              <w:t>gospodarki</w:t>
            </w:r>
          </w:p>
          <w:p w14:paraId="0F4CC36F" w14:textId="3DCCDD51" w:rsidR="00A33F61" w:rsidRPr="00A26C26" w:rsidRDefault="00A33F61" w:rsidP="00A26C26">
            <w:pPr>
              <w:spacing w:line="276" w:lineRule="auto"/>
              <w:jc w:val="both"/>
              <w:rPr>
                <w:rFonts w:eastAsia="Calibri" w:cstheme="minorHAnsi"/>
              </w:rPr>
            </w:pPr>
            <w:r w:rsidRPr="00A26C26">
              <w:rPr>
                <w:rFonts w:eastAsia="Calibri" w:cstheme="minorHAnsi"/>
              </w:rPr>
              <w:t>2.2.</w:t>
            </w:r>
            <w:r w:rsidR="003B50ED">
              <w:rPr>
                <w:rFonts w:eastAsia="Calibri" w:cstheme="minorHAnsi"/>
              </w:rPr>
              <w:t xml:space="preserve"> </w:t>
            </w:r>
            <w:r w:rsidRPr="00A26C26">
              <w:rPr>
                <w:rFonts w:eastAsia="Calibri" w:cstheme="minorHAnsi"/>
              </w:rPr>
              <w:t>Przeciwdziałanie</w:t>
            </w:r>
            <w:r w:rsidR="003B50ED">
              <w:rPr>
                <w:rFonts w:eastAsia="Calibri" w:cstheme="minorHAnsi"/>
              </w:rPr>
              <w:t xml:space="preserve"> </w:t>
            </w:r>
            <w:r w:rsidRPr="00A26C26">
              <w:rPr>
                <w:rFonts w:eastAsia="Calibri" w:cstheme="minorHAnsi"/>
              </w:rPr>
              <w:t>marginalizacji</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proofErr w:type="spellStart"/>
            <w:r w:rsidRPr="00A26C26">
              <w:rPr>
                <w:rFonts w:eastAsia="Calibri" w:cstheme="minorHAnsi"/>
              </w:rPr>
              <w:t>wykluczeniom</w:t>
            </w:r>
            <w:proofErr w:type="spellEnd"/>
          </w:p>
          <w:p w14:paraId="0EF22C0E" w14:textId="0D685384" w:rsidR="00A33F61" w:rsidRPr="00A26C26" w:rsidRDefault="00A33F61" w:rsidP="00A26C26">
            <w:pPr>
              <w:spacing w:line="276" w:lineRule="auto"/>
              <w:jc w:val="both"/>
              <w:rPr>
                <w:rFonts w:eastAsia="Calibri" w:cstheme="minorHAnsi"/>
              </w:rPr>
            </w:pPr>
            <w:r w:rsidRPr="00A26C26">
              <w:rPr>
                <w:rFonts w:eastAsia="Calibri" w:cstheme="minorHAnsi"/>
              </w:rPr>
              <w:t>-</w:t>
            </w:r>
            <w:r w:rsidR="003B50ED">
              <w:rPr>
                <w:rFonts w:eastAsia="Calibri" w:cstheme="minorHAnsi"/>
              </w:rPr>
              <w:t xml:space="preserve"> </w:t>
            </w:r>
            <w:r w:rsidRPr="00A26C26">
              <w:rPr>
                <w:rFonts w:eastAsia="Calibri" w:cstheme="minorHAnsi"/>
              </w:rPr>
              <w:t>Poprawa</w:t>
            </w:r>
            <w:r w:rsidR="003B50ED">
              <w:rPr>
                <w:rFonts w:eastAsia="Calibri" w:cstheme="minorHAnsi"/>
              </w:rPr>
              <w:t xml:space="preserve"> </w:t>
            </w:r>
            <w:r w:rsidRPr="00A26C26">
              <w:rPr>
                <w:rFonts w:eastAsia="Calibri" w:cstheme="minorHAnsi"/>
              </w:rPr>
              <w:t>dostępu</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standardów</w:t>
            </w:r>
            <w:r w:rsidR="003B50ED">
              <w:rPr>
                <w:rFonts w:eastAsia="Calibri" w:cstheme="minorHAnsi"/>
              </w:rPr>
              <w:t xml:space="preserve"> </w:t>
            </w:r>
            <w:r w:rsidRPr="00A26C26">
              <w:rPr>
                <w:rFonts w:eastAsia="Calibri" w:cstheme="minorHAnsi"/>
              </w:rPr>
              <w:t>usług</w:t>
            </w:r>
            <w:r w:rsidR="003B50ED">
              <w:rPr>
                <w:rFonts w:eastAsia="Calibri" w:cstheme="minorHAnsi"/>
              </w:rPr>
              <w:t xml:space="preserve"> </w:t>
            </w:r>
            <w:r w:rsidRPr="00A26C26">
              <w:rPr>
                <w:rFonts w:eastAsia="Calibri" w:cstheme="minorHAnsi"/>
              </w:rPr>
              <w:t>oraz</w:t>
            </w:r>
            <w:r w:rsidR="003B50ED">
              <w:rPr>
                <w:rFonts w:eastAsia="Calibri" w:cstheme="minorHAnsi"/>
              </w:rPr>
              <w:t xml:space="preserve"> </w:t>
            </w:r>
            <w:r w:rsidRPr="00A26C26">
              <w:rPr>
                <w:rFonts w:eastAsia="Calibri" w:cstheme="minorHAnsi"/>
              </w:rPr>
              <w:t>funkcjonowania</w:t>
            </w:r>
            <w:r w:rsidR="003B50ED">
              <w:rPr>
                <w:rFonts w:eastAsia="Calibri" w:cstheme="minorHAnsi"/>
              </w:rPr>
              <w:t xml:space="preserve"> </w:t>
            </w:r>
            <w:r w:rsidRPr="00A26C26">
              <w:rPr>
                <w:rFonts w:eastAsia="Calibri" w:cstheme="minorHAnsi"/>
              </w:rPr>
              <w:t>infrastruktury</w:t>
            </w:r>
            <w:r w:rsidR="003B50ED">
              <w:rPr>
                <w:rFonts w:eastAsia="Calibri" w:cstheme="minorHAnsi"/>
              </w:rPr>
              <w:t xml:space="preserve"> </w:t>
            </w:r>
            <w:r w:rsidRPr="00A26C26">
              <w:rPr>
                <w:rFonts w:eastAsia="Calibri" w:cstheme="minorHAnsi"/>
              </w:rPr>
              <w:t>społecznej</w:t>
            </w:r>
          </w:p>
          <w:p w14:paraId="7B90C76F" w14:textId="28C062CC" w:rsidR="00A33F61" w:rsidRPr="00A26C26" w:rsidRDefault="00A33F61" w:rsidP="00A26C26">
            <w:pPr>
              <w:spacing w:line="276" w:lineRule="auto"/>
              <w:jc w:val="both"/>
              <w:rPr>
                <w:rFonts w:eastAsia="Calibri" w:cstheme="minorHAnsi"/>
              </w:rPr>
            </w:pPr>
            <w:r w:rsidRPr="00A26C26">
              <w:rPr>
                <w:rFonts w:eastAsia="Calibri" w:cstheme="minorHAnsi"/>
              </w:rPr>
              <w:t>2.3.</w:t>
            </w:r>
            <w:r w:rsidR="003B50ED">
              <w:rPr>
                <w:rFonts w:eastAsia="Calibri" w:cstheme="minorHAnsi"/>
              </w:rPr>
              <w:t xml:space="preserve"> </w:t>
            </w:r>
            <w:r w:rsidRPr="00A26C26">
              <w:rPr>
                <w:rFonts w:eastAsia="Calibri" w:cstheme="minorHAnsi"/>
              </w:rPr>
              <w:t>Rozwój</w:t>
            </w:r>
            <w:r w:rsidR="003B50ED">
              <w:rPr>
                <w:rFonts w:eastAsia="Calibri" w:cstheme="minorHAnsi"/>
              </w:rPr>
              <w:t xml:space="preserve"> </w:t>
            </w:r>
            <w:r w:rsidRPr="00A26C26">
              <w:rPr>
                <w:rFonts w:eastAsia="Calibri" w:cstheme="minorHAnsi"/>
              </w:rPr>
              <w:t>kapitału</w:t>
            </w:r>
            <w:r w:rsidR="003B50ED">
              <w:rPr>
                <w:rFonts w:eastAsia="Calibri" w:cstheme="minorHAnsi"/>
              </w:rPr>
              <w:t xml:space="preserve"> </w:t>
            </w:r>
            <w:r w:rsidRPr="00A26C26">
              <w:rPr>
                <w:rFonts w:eastAsia="Calibri" w:cstheme="minorHAnsi"/>
              </w:rPr>
              <w:t>społecznego</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kulturowego</w:t>
            </w:r>
            <w:r w:rsidR="003B50ED">
              <w:rPr>
                <w:rFonts w:eastAsia="Calibri" w:cstheme="minorHAnsi"/>
              </w:rPr>
              <w:t xml:space="preserve"> </w:t>
            </w:r>
            <w:r w:rsidRPr="00A26C26">
              <w:rPr>
                <w:rFonts w:eastAsia="Calibri" w:cstheme="minorHAnsi"/>
              </w:rPr>
              <w:t>regionu</w:t>
            </w:r>
          </w:p>
          <w:p w14:paraId="7C3FEFEC" w14:textId="274DB975" w:rsidR="00A33F61" w:rsidRPr="00A26C26" w:rsidRDefault="00A33F61" w:rsidP="00A26C26">
            <w:pPr>
              <w:spacing w:line="276" w:lineRule="auto"/>
              <w:jc w:val="both"/>
              <w:rPr>
                <w:rFonts w:eastAsia="Calibri" w:cstheme="minorHAnsi"/>
              </w:rPr>
            </w:pPr>
            <w:r w:rsidRPr="00A26C26">
              <w:rPr>
                <w:rFonts w:eastAsia="Calibri" w:cstheme="minorHAnsi"/>
              </w:rPr>
              <w:t>-Kształtowanie</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wzmacnianie</w:t>
            </w:r>
            <w:r w:rsidR="003B50ED">
              <w:rPr>
                <w:rFonts w:eastAsia="Calibri" w:cstheme="minorHAnsi"/>
              </w:rPr>
              <w:t xml:space="preserve"> </w:t>
            </w:r>
            <w:r w:rsidRPr="00A26C26">
              <w:rPr>
                <w:rFonts w:eastAsia="Calibri" w:cstheme="minorHAnsi"/>
              </w:rPr>
              <w:t>postaw</w:t>
            </w:r>
            <w:r w:rsidR="003B50ED">
              <w:rPr>
                <w:rFonts w:eastAsia="Calibri" w:cstheme="minorHAnsi"/>
              </w:rPr>
              <w:t xml:space="preserve"> </w:t>
            </w:r>
            <w:r w:rsidRPr="00A26C26">
              <w:rPr>
                <w:rFonts w:eastAsia="Calibri" w:cstheme="minorHAnsi"/>
              </w:rPr>
              <w:t>prospołecznych,</w:t>
            </w:r>
            <w:r w:rsidR="003B50ED">
              <w:rPr>
                <w:rFonts w:eastAsia="Calibri" w:cstheme="minorHAnsi"/>
              </w:rPr>
              <w:t xml:space="preserve"> </w:t>
            </w:r>
            <w:r w:rsidRPr="00A26C26">
              <w:rPr>
                <w:rFonts w:eastAsia="Calibri" w:cstheme="minorHAnsi"/>
              </w:rPr>
              <w:t>równościowych,</w:t>
            </w:r>
            <w:r w:rsidR="003B50ED">
              <w:rPr>
                <w:rFonts w:eastAsia="Calibri" w:cstheme="minorHAnsi"/>
              </w:rPr>
              <w:t xml:space="preserve"> </w:t>
            </w:r>
            <w:r w:rsidRPr="00A26C26">
              <w:rPr>
                <w:rFonts w:eastAsia="Calibri" w:cstheme="minorHAnsi"/>
              </w:rPr>
              <w:t>innowacyjnych,</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tym</w:t>
            </w:r>
            <w:r w:rsidR="003B50ED">
              <w:rPr>
                <w:rFonts w:eastAsia="Calibri" w:cstheme="minorHAnsi"/>
              </w:rPr>
              <w:t xml:space="preserve"> </w:t>
            </w:r>
            <w:r w:rsidRPr="00A26C26">
              <w:rPr>
                <w:rFonts w:eastAsia="Calibri" w:cstheme="minorHAnsi"/>
              </w:rPr>
              <w:t>rozwój</w:t>
            </w:r>
            <w:r w:rsidR="003B50ED">
              <w:rPr>
                <w:rFonts w:eastAsia="Calibri" w:cstheme="minorHAnsi"/>
              </w:rPr>
              <w:t xml:space="preserve"> </w:t>
            </w:r>
            <w:r w:rsidRPr="00A26C26">
              <w:rPr>
                <w:rFonts w:eastAsia="Calibri" w:cstheme="minorHAnsi"/>
              </w:rPr>
              <w:t>innowacji</w:t>
            </w:r>
            <w:r w:rsidR="003B50ED">
              <w:rPr>
                <w:rFonts w:eastAsia="Calibri" w:cstheme="minorHAnsi"/>
              </w:rPr>
              <w:t xml:space="preserve"> </w:t>
            </w:r>
            <w:r w:rsidRPr="00A26C26">
              <w:rPr>
                <w:rFonts w:eastAsia="Calibri" w:cstheme="minorHAnsi"/>
              </w:rPr>
              <w:t>społecznych</w:t>
            </w:r>
            <w:r w:rsidR="003B50ED">
              <w:rPr>
                <w:rFonts w:eastAsia="Calibri" w:cstheme="minorHAnsi"/>
              </w:rPr>
              <w:t xml:space="preserve"> </w:t>
            </w:r>
          </w:p>
          <w:p w14:paraId="3BE421A7" w14:textId="0381220F" w:rsidR="00A33F61" w:rsidRPr="00A26C26" w:rsidRDefault="00A33F61" w:rsidP="00A26C26">
            <w:pPr>
              <w:spacing w:line="276" w:lineRule="auto"/>
              <w:jc w:val="both"/>
              <w:rPr>
                <w:rFonts w:eastAsia="Calibri" w:cstheme="minorHAnsi"/>
              </w:rPr>
            </w:pPr>
            <w:r w:rsidRPr="00A26C26">
              <w:rPr>
                <w:rFonts w:eastAsia="Calibri" w:cstheme="minorHAnsi"/>
              </w:rPr>
              <w:t>-Wzmacnianie</w:t>
            </w:r>
            <w:r w:rsidR="003B50ED">
              <w:rPr>
                <w:rFonts w:eastAsia="Calibri" w:cstheme="minorHAnsi"/>
              </w:rPr>
              <w:t xml:space="preserve"> </w:t>
            </w:r>
            <w:r w:rsidRPr="00A26C26">
              <w:rPr>
                <w:rFonts w:eastAsia="Calibri" w:cstheme="minorHAnsi"/>
              </w:rPr>
              <w:t>potencjału</w:t>
            </w:r>
            <w:r w:rsidR="003B50ED">
              <w:rPr>
                <w:rFonts w:eastAsia="Calibri" w:cstheme="minorHAnsi"/>
              </w:rPr>
              <w:t xml:space="preserve"> </w:t>
            </w:r>
            <w:r w:rsidRPr="00A26C26">
              <w:rPr>
                <w:rFonts w:eastAsia="Calibri" w:cstheme="minorHAnsi"/>
              </w:rPr>
              <w:t>kulturowego</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infrastruktury</w:t>
            </w:r>
            <w:r w:rsidR="003B50ED">
              <w:rPr>
                <w:rFonts w:eastAsia="Calibri" w:cstheme="minorHAnsi"/>
              </w:rPr>
              <w:t xml:space="preserve"> </w:t>
            </w:r>
            <w:r w:rsidRPr="00A26C26">
              <w:rPr>
                <w:rFonts w:eastAsia="Calibri" w:cstheme="minorHAnsi"/>
              </w:rPr>
              <w:t>kultury</w:t>
            </w:r>
          </w:p>
          <w:p w14:paraId="39EBD351" w14:textId="224F66EC" w:rsidR="00A33F61" w:rsidRPr="00A26C26" w:rsidRDefault="00A33F61" w:rsidP="00A26C26">
            <w:pPr>
              <w:spacing w:line="276" w:lineRule="auto"/>
              <w:jc w:val="both"/>
              <w:rPr>
                <w:rFonts w:eastAsia="Calibri" w:cstheme="minorHAnsi"/>
              </w:rPr>
            </w:pPr>
            <w:r w:rsidRPr="00A26C26">
              <w:rPr>
                <w:rFonts w:eastAsia="Calibri" w:cstheme="minorHAnsi"/>
              </w:rPr>
              <w:t>-Rozwój</w:t>
            </w:r>
            <w:r w:rsidR="003B50ED">
              <w:rPr>
                <w:rFonts w:eastAsia="Calibri" w:cstheme="minorHAnsi"/>
              </w:rPr>
              <w:t xml:space="preserve"> </w:t>
            </w:r>
            <w:r w:rsidRPr="00A26C26">
              <w:rPr>
                <w:rFonts w:eastAsia="Calibri" w:cstheme="minorHAnsi"/>
              </w:rPr>
              <w:t>przemysłu</w:t>
            </w:r>
            <w:r w:rsidR="003B50ED">
              <w:rPr>
                <w:rFonts w:eastAsia="Calibri" w:cstheme="minorHAnsi"/>
              </w:rPr>
              <w:t xml:space="preserve"> </w:t>
            </w:r>
            <w:r w:rsidRPr="00A26C26">
              <w:rPr>
                <w:rFonts w:eastAsia="Calibri" w:cstheme="minorHAnsi"/>
              </w:rPr>
              <w:t>czasu</w:t>
            </w:r>
            <w:r w:rsidR="003B50ED">
              <w:rPr>
                <w:rFonts w:eastAsia="Calibri" w:cstheme="minorHAnsi"/>
              </w:rPr>
              <w:t xml:space="preserve"> </w:t>
            </w:r>
            <w:r w:rsidRPr="00A26C26">
              <w:rPr>
                <w:rFonts w:eastAsia="Calibri" w:cstheme="minorHAnsi"/>
              </w:rPr>
              <w:t>wolnego</w:t>
            </w:r>
          </w:p>
          <w:p w14:paraId="2716A77D" w14:textId="7FCFC41A" w:rsidR="00A33F61" w:rsidRPr="00A26C26" w:rsidRDefault="00A33F61" w:rsidP="00A26C26">
            <w:pPr>
              <w:spacing w:line="276" w:lineRule="auto"/>
              <w:jc w:val="both"/>
              <w:rPr>
                <w:rFonts w:eastAsia="Calibri" w:cstheme="minorHAnsi"/>
              </w:rPr>
            </w:pPr>
            <w:r w:rsidRPr="00A26C26">
              <w:rPr>
                <w:rFonts w:eastAsia="Calibri" w:cstheme="minorHAnsi"/>
              </w:rPr>
              <w:t>3.2.</w:t>
            </w:r>
            <w:r w:rsidR="003B50ED">
              <w:rPr>
                <w:rFonts w:eastAsia="Calibri" w:cstheme="minorHAnsi"/>
              </w:rPr>
              <w:t xml:space="preserve"> </w:t>
            </w:r>
            <w:r w:rsidRPr="00A26C26">
              <w:rPr>
                <w:rFonts w:eastAsia="Calibri" w:cstheme="minorHAnsi"/>
              </w:rPr>
              <w:t>Poprawa</w:t>
            </w:r>
            <w:r w:rsidR="003B50ED">
              <w:rPr>
                <w:rFonts w:eastAsia="Calibri" w:cstheme="minorHAnsi"/>
              </w:rPr>
              <w:t xml:space="preserve"> </w:t>
            </w:r>
            <w:r w:rsidRPr="00A26C26">
              <w:rPr>
                <w:rFonts w:eastAsia="Calibri" w:cstheme="minorHAnsi"/>
              </w:rPr>
              <w:t>stanu</w:t>
            </w:r>
            <w:r w:rsidR="003B50ED">
              <w:rPr>
                <w:rFonts w:eastAsia="Calibri" w:cstheme="minorHAnsi"/>
              </w:rPr>
              <w:t xml:space="preserve"> </w:t>
            </w:r>
            <w:r w:rsidRPr="00A26C26">
              <w:rPr>
                <w:rFonts w:eastAsia="Calibri" w:cstheme="minorHAnsi"/>
              </w:rPr>
              <w:t>oraz</w:t>
            </w:r>
            <w:r w:rsidR="003B50ED">
              <w:rPr>
                <w:rFonts w:eastAsia="Calibri" w:cstheme="minorHAnsi"/>
              </w:rPr>
              <w:t xml:space="preserve"> </w:t>
            </w:r>
            <w:r w:rsidRPr="00A26C26">
              <w:rPr>
                <w:rFonts w:eastAsia="Calibri" w:cstheme="minorHAnsi"/>
              </w:rPr>
              <w:t>ochrona</w:t>
            </w:r>
            <w:r w:rsidR="003B50ED">
              <w:rPr>
                <w:rFonts w:eastAsia="Calibri" w:cstheme="minorHAnsi"/>
              </w:rPr>
              <w:t xml:space="preserve"> </w:t>
            </w:r>
            <w:r w:rsidRPr="00A26C26">
              <w:rPr>
                <w:rFonts w:eastAsia="Calibri" w:cstheme="minorHAnsi"/>
              </w:rPr>
              <w:t>środowiska</w:t>
            </w:r>
            <w:r w:rsidR="003B50ED">
              <w:rPr>
                <w:rFonts w:eastAsia="Calibri" w:cstheme="minorHAnsi"/>
              </w:rPr>
              <w:t xml:space="preserve"> </w:t>
            </w:r>
            <w:r w:rsidRPr="00A26C26">
              <w:rPr>
                <w:rFonts w:eastAsia="Calibri" w:cstheme="minorHAnsi"/>
              </w:rPr>
              <w:t>przyrodniczego</w:t>
            </w:r>
            <w:r w:rsidR="003B50ED">
              <w:rPr>
                <w:rFonts w:eastAsia="Calibri" w:cstheme="minorHAnsi"/>
              </w:rPr>
              <w:t xml:space="preserve"> </w:t>
            </w:r>
            <w:r w:rsidRPr="00A26C26">
              <w:rPr>
                <w:rFonts w:eastAsia="Calibri" w:cstheme="minorHAnsi"/>
              </w:rPr>
              <w:t>Wielkopolski</w:t>
            </w:r>
          </w:p>
          <w:p w14:paraId="5EFE188A" w14:textId="3862216B" w:rsidR="00857736" w:rsidRPr="00A26C26" w:rsidRDefault="00A33F61" w:rsidP="00A26C26">
            <w:pPr>
              <w:spacing w:line="276" w:lineRule="auto"/>
              <w:jc w:val="both"/>
              <w:rPr>
                <w:rFonts w:eastAsia="Calibri" w:cstheme="minorHAnsi"/>
              </w:rPr>
            </w:pPr>
            <w:r w:rsidRPr="00A26C26">
              <w:rPr>
                <w:rFonts w:eastAsia="Calibri" w:cstheme="minorHAnsi"/>
              </w:rPr>
              <w:t>-Kształtowanie</w:t>
            </w:r>
            <w:r w:rsidR="003B50ED">
              <w:rPr>
                <w:rFonts w:eastAsia="Calibri" w:cstheme="minorHAnsi"/>
              </w:rPr>
              <w:t xml:space="preserve"> </w:t>
            </w:r>
            <w:r w:rsidRPr="00A26C26">
              <w:rPr>
                <w:rFonts w:eastAsia="Calibri" w:cstheme="minorHAnsi"/>
              </w:rPr>
              <w:t>świadomości</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postaw</w:t>
            </w:r>
            <w:r w:rsidR="003B50ED">
              <w:rPr>
                <w:rFonts w:eastAsia="Calibri" w:cstheme="minorHAnsi"/>
              </w:rPr>
              <w:t xml:space="preserve"> </w:t>
            </w:r>
            <w:r w:rsidRPr="00A26C26">
              <w:rPr>
                <w:rFonts w:eastAsia="Calibri" w:cstheme="minorHAnsi"/>
              </w:rPr>
              <w:t>ekologicznych</w:t>
            </w:r>
            <w:r w:rsidR="003B50ED">
              <w:rPr>
                <w:rFonts w:eastAsia="Calibri" w:cstheme="minorHAnsi"/>
              </w:rPr>
              <w:t xml:space="preserve"> </w:t>
            </w:r>
            <w:r w:rsidRPr="00A26C26">
              <w:rPr>
                <w:rFonts w:eastAsia="Calibri" w:cstheme="minorHAnsi"/>
              </w:rPr>
              <w:t>społeczeństwa,</w:t>
            </w:r>
            <w:r w:rsidR="003B50ED">
              <w:rPr>
                <w:rFonts w:eastAsia="Calibri" w:cstheme="minorHAnsi"/>
              </w:rPr>
              <w:t xml:space="preserve"> </w:t>
            </w:r>
            <w:r w:rsidRPr="00A26C26">
              <w:rPr>
                <w:rFonts w:eastAsia="Calibri" w:cstheme="minorHAnsi"/>
              </w:rPr>
              <w:t>wzmacnianie</w:t>
            </w:r>
            <w:r w:rsidR="003B50ED">
              <w:rPr>
                <w:rFonts w:eastAsia="Calibri" w:cstheme="minorHAnsi"/>
              </w:rPr>
              <w:t xml:space="preserve"> </w:t>
            </w:r>
            <w:r w:rsidRPr="00A26C26">
              <w:rPr>
                <w:rFonts w:eastAsia="Calibri" w:cstheme="minorHAnsi"/>
              </w:rPr>
              <w:t>bezpieczeństwa</w:t>
            </w:r>
            <w:r w:rsidR="003B50ED">
              <w:rPr>
                <w:rFonts w:eastAsia="Calibri" w:cstheme="minorHAnsi"/>
              </w:rPr>
              <w:t xml:space="preserve"> </w:t>
            </w:r>
            <w:r w:rsidRPr="00A26C26">
              <w:rPr>
                <w:rFonts w:eastAsia="Calibri" w:cstheme="minorHAnsi"/>
              </w:rPr>
              <w:t>ekologicznego</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środowiskowego</w:t>
            </w:r>
          </w:p>
        </w:tc>
      </w:tr>
      <w:tr w:rsidR="00857736" w:rsidRPr="00A26C26" w14:paraId="216F9096" w14:textId="77777777" w:rsidTr="00233140">
        <w:trPr>
          <w:trHeight w:val="249"/>
        </w:trPr>
        <w:tc>
          <w:tcPr>
            <w:tcW w:w="10201" w:type="dxa"/>
            <w:gridSpan w:val="2"/>
            <w:hideMark/>
          </w:tcPr>
          <w:p w14:paraId="092F5C44" w14:textId="0DFA95B2" w:rsidR="00857736" w:rsidRPr="00A26C26" w:rsidRDefault="00857736" w:rsidP="00A26C26">
            <w:pPr>
              <w:spacing w:line="276" w:lineRule="auto"/>
              <w:jc w:val="both"/>
              <w:rPr>
                <w:rFonts w:eastAsia="Calibri" w:cstheme="minorHAnsi"/>
                <w:lang w:eastAsia="pl-PL"/>
              </w:rPr>
            </w:pPr>
            <w:r w:rsidRPr="00A26C26">
              <w:rPr>
                <w:rFonts w:eastAsia="Calibri" w:cstheme="minorHAnsi"/>
                <w:lang w:eastAsia="pl-PL"/>
              </w:rPr>
              <w:lastRenderedPageBreak/>
              <w:t>Przedsięwzięcia</w:t>
            </w:r>
            <w:r w:rsidR="003B50ED">
              <w:rPr>
                <w:rFonts w:eastAsia="Calibri" w:cstheme="minorHAnsi"/>
                <w:lang w:eastAsia="pl-PL"/>
              </w:rPr>
              <w:t xml:space="preserve"> </w:t>
            </w:r>
            <w:r w:rsidRPr="00A26C26">
              <w:rPr>
                <w:rFonts w:eastAsia="Calibri" w:cstheme="minorHAnsi"/>
                <w:lang w:eastAsia="pl-PL"/>
              </w:rPr>
              <w:t>LSR</w:t>
            </w:r>
            <w:r w:rsidR="003B50ED">
              <w:rPr>
                <w:rFonts w:eastAsia="Calibri" w:cstheme="minorHAnsi"/>
                <w:lang w:eastAsia="pl-PL"/>
              </w:rPr>
              <w:t xml:space="preserve"> </w:t>
            </w:r>
            <w:r w:rsidRPr="00A26C26">
              <w:rPr>
                <w:rFonts w:eastAsia="Calibri" w:cstheme="minorHAnsi"/>
                <w:lang w:eastAsia="pl-PL"/>
              </w:rPr>
              <w:t>są</w:t>
            </w:r>
            <w:r w:rsidR="003B50ED">
              <w:rPr>
                <w:rFonts w:eastAsia="Calibri" w:cstheme="minorHAnsi"/>
                <w:lang w:eastAsia="pl-PL"/>
              </w:rPr>
              <w:t xml:space="preserve"> </w:t>
            </w:r>
            <w:r w:rsidRPr="00A26C26">
              <w:rPr>
                <w:rFonts w:eastAsia="Calibri" w:cstheme="minorHAnsi"/>
                <w:lang w:eastAsia="pl-PL"/>
              </w:rPr>
              <w:t>względem</w:t>
            </w:r>
            <w:r w:rsidR="003B50ED">
              <w:rPr>
                <w:rFonts w:eastAsia="Calibri" w:cstheme="minorHAnsi"/>
                <w:lang w:eastAsia="pl-PL"/>
              </w:rPr>
              <w:t xml:space="preserve"> </w:t>
            </w:r>
            <w:r w:rsidRPr="00A26C26">
              <w:rPr>
                <w:rFonts w:eastAsia="Calibri" w:cstheme="minorHAnsi"/>
                <w:lang w:eastAsia="pl-PL"/>
              </w:rPr>
              <w:t>celów</w:t>
            </w:r>
            <w:r w:rsidR="003B50ED">
              <w:rPr>
                <w:rFonts w:eastAsia="Calibri" w:cstheme="minorHAnsi"/>
                <w:lang w:eastAsia="pl-PL"/>
              </w:rPr>
              <w:t xml:space="preserve"> </w:t>
            </w:r>
            <w:r w:rsidRPr="00A26C26">
              <w:rPr>
                <w:rFonts w:eastAsia="Calibri" w:cstheme="minorHAnsi"/>
                <w:lang w:eastAsia="pl-PL"/>
              </w:rPr>
              <w:t>Strategii</w:t>
            </w:r>
            <w:r w:rsidR="003B50ED">
              <w:rPr>
                <w:rFonts w:eastAsia="Calibri" w:cstheme="minorHAnsi"/>
                <w:lang w:eastAsia="pl-PL"/>
              </w:rPr>
              <w:t xml:space="preserve"> </w:t>
            </w:r>
            <w:r w:rsidRPr="00A26C26">
              <w:rPr>
                <w:rFonts w:eastAsia="Calibri" w:cstheme="minorHAnsi"/>
                <w:lang w:eastAsia="pl-PL"/>
              </w:rPr>
              <w:t>komplementarne,</w:t>
            </w:r>
            <w:r w:rsidR="003B50ED">
              <w:rPr>
                <w:rFonts w:eastAsia="Calibri" w:cstheme="minorHAnsi"/>
                <w:lang w:eastAsia="pl-PL"/>
              </w:rPr>
              <w:t xml:space="preserve"> </w:t>
            </w:r>
            <w:r w:rsidRPr="00A26C26">
              <w:rPr>
                <w:rFonts w:eastAsia="Calibri" w:cstheme="minorHAnsi"/>
                <w:lang w:eastAsia="pl-PL"/>
              </w:rPr>
              <w:t>spójne</w:t>
            </w:r>
            <w:r w:rsidR="003B50ED">
              <w:rPr>
                <w:rFonts w:eastAsia="Calibri" w:cstheme="minorHAnsi"/>
                <w:lang w:eastAsia="pl-PL"/>
              </w:rPr>
              <w:t xml:space="preserve"> </w:t>
            </w:r>
            <w:r w:rsidRPr="00A26C26">
              <w:rPr>
                <w:rFonts w:eastAsia="Calibri" w:cstheme="minorHAnsi"/>
                <w:lang w:eastAsia="pl-PL"/>
              </w:rPr>
              <w:t>i</w:t>
            </w:r>
            <w:r w:rsidR="003B50ED">
              <w:rPr>
                <w:rFonts w:eastAsia="Calibri" w:cstheme="minorHAnsi"/>
                <w:lang w:eastAsia="pl-PL"/>
              </w:rPr>
              <w:t xml:space="preserve"> </w:t>
            </w:r>
            <w:r w:rsidRPr="00A26C26">
              <w:rPr>
                <w:rFonts w:eastAsia="Calibri" w:cstheme="minorHAnsi"/>
                <w:lang w:eastAsia="pl-PL"/>
              </w:rPr>
              <w:t>synergiczne.</w:t>
            </w:r>
            <w:r w:rsidR="003B50ED">
              <w:rPr>
                <w:rFonts w:eastAsia="Calibri" w:cstheme="minorHAnsi"/>
                <w:lang w:eastAsia="pl-PL"/>
              </w:rPr>
              <w:t xml:space="preserve"> </w:t>
            </w:r>
          </w:p>
          <w:p w14:paraId="2997038A" w14:textId="4739491D" w:rsidR="00857736" w:rsidRPr="00A26C26" w:rsidRDefault="00857736" w:rsidP="00A26C26">
            <w:pPr>
              <w:spacing w:line="276" w:lineRule="auto"/>
              <w:jc w:val="both"/>
              <w:rPr>
                <w:rFonts w:eastAsia="Calibri" w:cstheme="minorHAnsi"/>
              </w:rPr>
            </w:pPr>
            <w:r w:rsidRPr="00A26C26">
              <w:rPr>
                <w:rFonts w:eastAsia="Calibri" w:cstheme="minorHAnsi"/>
                <w:lang w:eastAsia="pl-PL"/>
              </w:rPr>
              <w:t>Cele</w:t>
            </w:r>
            <w:r w:rsidR="003B50ED">
              <w:rPr>
                <w:rFonts w:eastAsia="Calibri" w:cstheme="minorHAnsi"/>
                <w:lang w:eastAsia="pl-PL"/>
              </w:rPr>
              <w:t xml:space="preserve"> </w:t>
            </w:r>
            <w:r w:rsidRPr="00A26C26">
              <w:rPr>
                <w:rFonts w:eastAsia="Calibri" w:cstheme="minorHAnsi"/>
                <w:lang w:eastAsia="pl-PL"/>
              </w:rPr>
              <w:t>LSR</w:t>
            </w:r>
            <w:r w:rsidR="003B50ED">
              <w:rPr>
                <w:rFonts w:eastAsia="Calibri" w:cstheme="minorHAnsi"/>
                <w:lang w:eastAsia="pl-PL"/>
              </w:rPr>
              <w:t xml:space="preserve"> </w:t>
            </w:r>
            <w:r w:rsidRPr="00A26C26">
              <w:rPr>
                <w:rFonts w:eastAsia="Calibri" w:cstheme="minorHAnsi"/>
                <w:lang w:eastAsia="pl-PL"/>
              </w:rPr>
              <w:t>i</w:t>
            </w:r>
            <w:r w:rsidR="003B50ED">
              <w:rPr>
                <w:rFonts w:eastAsia="Calibri" w:cstheme="minorHAnsi"/>
                <w:lang w:eastAsia="pl-PL"/>
              </w:rPr>
              <w:t xml:space="preserve"> </w:t>
            </w:r>
            <w:r w:rsidRPr="00A26C26">
              <w:rPr>
                <w:rFonts w:eastAsia="Calibri" w:cstheme="minorHAnsi"/>
                <w:lang w:eastAsia="pl-PL"/>
              </w:rPr>
              <w:t>strategii</w:t>
            </w:r>
            <w:r w:rsidR="003B50ED">
              <w:rPr>
                <w:rFonts w:eastAsia="Calibri" w:cstheme="minorHAnsi"/>
                <w:lang w:eastAsia="pl-PL"/>
              </w:rPr>
              <w:t xml:space="preserve"> </w:t>
            </w:r>
            <w:r w:rsidRPr="00A26C26">
              <w:rPr>
                <w:rFonts w:eastAsia="Calibri" w:cstheme="minorHAnsi"/>
                <w:lang w:eastAsia="pl-PL"/>
              </w:rPr>
              <w:t>województwa</w:t>
            </w:r>
            <w:r w:rsidR="003B50ED">
              <w:rPr>
                <w:rFonts w:eastAsia="Calibri" w:cstheme="minorHAnsi"/>
                <w:lang w:eastAsia="pl-PL"/>
              </w:rPr>
              <w:t xml:space="preserve"> </w:t>
            </w:r>
            <w:r w:rsidRPr="00A26C26">
              <w:rPr>
                <w:rFonts w:eastAsia="Calibri" w:cstheme="minorHAnsi"/>
                <w:lang w:eastAsia="pl-PL"/>
              </w:rPr>
              <w:t>są</w:t>
            </w:r>
            <w:r w:rsidR="003B50ED">
              <w:rPr>
                <w:rFonts w:eastAsia="Calibri" w:cstheme="minorHAnsi"/>
                <w:lang w:eastAsia="pl-PL"/>
              </w:rPr>
              <w:t xml:space="preserve"> </w:t>
            </w:r>
            <w:r w:rsidRPr="00A26C26">
              <w:rPr>
                <w:rFonts w:eastAsia="Calibri" w:cstheme="minorHAnsi"/>
                <w:lang w:eastAsia="pl-PL"/>
              </w:rPr>
              <w:t>spójne</w:t>
            </w:r>
            <w:r w:rsidR="003B50ED">
              <w:rPr>
                <w:rFonts w:eastAsia="Calibri" w:cstheme="minorHAnsi"/>
                <w:lang w:eastAsia="pl-PL"/>
              </w:rPr>
              <w:t xml:space="preserve"> </w:t>
            </w:r>
            <w:r w:rsidRPr="00A26C26">
              <w:rPr>
                <w:rFonts w:eastAsia="Calibri" w:cstheme="minorHAnsi"/>
                <w:lang w:eastAsia="pl-PL"/>
              </w:rPr>
              <w:t>i</w:t>
            </w:r>
            <w:r w:rsidR="003B50ED">
              <w:rPr>
                <w:rFonts w:eastAsia="Calibri" w:cstheme="minorHAnsi"/>
                <w:lang w:eastAsia="pl-PL"/>
              </w:rPr>
              <w:t xml:space="preserve"> </w:t>
            </w:r>
            <w:r w:rsidRPr="00A26C26">
              <w:rPr>
                <w:rFonts w:eastAsia="Calibri" w:cstheme="minorHAnsi"/>
                <w:lang w:eastAsia="pl-PL"/>
              </w:rPr>
              <w:t>wzajemnie</w:t>
            </w:r>
            <w:r w:rsidR="003B50ED">
              <w:rPr>
                <w:rFonts w:eastAsia="Calibri" w:cstheme="minorHAnsi"/>
                <w:lang w:eastAsia="pl-PL"/>
              </w:rPr>
              <w:t xml:space="preserve"> </w:t>
            </w:r>
            <w:r w:rsidRPr="00A26C26">
              <w:rPr>
                <w:rFonts w:eastAsia="Calibri" w:cstheme="minorHAnsi"/>
                <w:lang w:eastAsia="pl-PL"/>
              </w:rPr>
              <w:t>się</w:t>
            </w:r>
            <w:r w:rsidR="003B50ED">
              <w:rPr>
                <w:rFonts w:eastAsia="Calibri" w:cstheme="minorHAnsi"/>
                <w:lang w:eastAsia="pl-PL"/>
              </w:rPr>
              <w:t xml:space="preserve"> </w:t>
            </w:r>
            <w:r w:rsidRPr="00A26C26">
              <w:rPr>
                <w:rFonts w:eastAsia="Calibri" w:cstheme="minorHAnsi"/>
                <w:lang w:eastAsia="pl-PL"/>
              </w:rPr>
              <w:t>przenikają</w:t>
            </w:r>
            <w:r w:rsidR="003B50ED">
              <w:rPr>
                <w:rFonts w:eastAsia="Calibri" w:cstheme="minorHAnsi"/>
                <w:lang w:eastAsia="pl-PL"/>
              </w:rPr>
              <w:t xml:space="preserve"> </w:t>
            </w:r>
            <w:r w:rsidRPr="00A26C26">
              <w:rPr>
                <w:rFonts w:eastAsia="Calibri" w:cstheme="minorHAnsi"/>
                <w:lang w:eastAsia="pl-PL"/>
              </w:rPr>
              <w:t>w</w:t>
            </w:r>
            <w:r w:rsidR="003B50ED">
              <w:rPr>
                <w:rFonts w:eastAsia="Calibri" w:cstheme="minorHAnsi"/>
                <w:lang w:eastAsia="pl-PL"/>
              </w:rPr>
              <w:t xml:space="preserve"> </w:t>
            </w:r>
            <w:r w:rsidRPr="00A26C26">
              <w:rPr>
                <w:rFonts w:eastAsia="Calibri" w:cstheme="minorHAnsi"/>
                <w:lang w:eastAsia="pl-PL"/>
              </w:rPr>
              <w:t>zakresie</w:t>
            </w:r>
            <w:r w:rsidR="003B50ED">
              <w:rPr>
                <w:rFonts w:eastAsia="Calibri" w:cstheme="minorHAnsi"/>
                <w:lang w:eastAsia="pl-PL"/>
              </w:rPr>
              <w:t xml:space="preserve"> </w:t>
            </w:r>
            <w:r w:rsidRPr="00A26C26">
              <w:rPr>
                <w:rFonts w:eastAsia="Calibri" w:cstheme="minorHAnsi"/>
                <w:lang w:eastAsia="pl-PL"/>
              </w:rPr>
              <w:t>rozwoju</w:t>
            </w:r>
            <w:r w:rsidR="003B50ED">
              <w:rPr>
                <w:rFonts w:eastAsia="Calibri" w:cstheme="minorHAnsi"/>
                <w:lang w:eastAsia="pl-PL"/>
              </w:rPr>
              <w:t xml:space="preserve"> </w:t>
            </w:r>
            <w:r w:rsidRPr="00A26C26">
              <w:rPr>
                <w:rFonts w:eastAsia="Calibri" w:cstheme="minorHAnsi"/>
                <w:lang w:eastAsia="pl-PL"/>
              </w:rPr>
              <w:t>przedsiębiorczości</w:t>
            </w:r>
            <w:r w:rsidR="003B50ED">
              <w:rPr>
                <w:rFonts w:eastAsia="Calibri" w:cstheme="minorHAnsi"/>
                <w:lang w:eastAsia="pl-PL"/>
              </w:rPr>
              <w:t xml:space="preserve"> </w:t>
            </w:r>
            <w:r w:rsidRPr="00A26C26">
              <w:rPr>
                <w:rFonts w:eastAsia="Calibri" w:cstheme="minorHAnsi"/>
                <w:lang w:eastAsia="pl-PL"/>
              </w:rPr>
              <w:br/>
              <w:t>i</w:t>
            </w:r>
            <w:r w:rsidR="003B50ED">
              <w:rPr>
                <w:rFonts w:eastAsia="Calibri" w:cstheme="minorHAnsi"/>
                <w:lang w:eastAsia="pl-PL"/>
              </w:rPr>
              <w:t xml:space="preserve"> </w:t>
            </w:r>
            <w:r w:rsidRPr="00A26C26">
              <w:rPr>
                <w:rFonts w:eastAsia="Calibri" w:cstheme="minorHAnsi"/>
                <w:lang w:eastAsia="pl-PL"/>
              </w:rPr>
              <w:t>wsparcia</w:t>
            </w:r>
            <w:r w:rsidR="003B50ED">
              <w:rPr>
                <w:rFonts w:eastAsia="Calibri" w:cstheme="minorHAnsi"/>
                <w:lang w:eastAsia="pl-PL"/>
              </w:rPr>
              <w:t xml:space="preserve"> </w:t>
            </w:r>
            <w:r w:rsidRPr="00A26C26">
              <w:rPr>
                <w:rFonts w:eastAsia="Calibri" w:cstheme="minorHAnsi"/>
                <w:lang w:eastAsia="pl-PL"/>
              </w:rPr>
              <w:t>tworzenia</w:t>
            </w:r>
            <w:r w:rsidR="003B50ED">
              <w:rPr>
                <w:rFonts w:eastAsia="Calibri" w:cstheme="minorHAnsi"/>
                <w:lang w:eastAsia="pl-PL"/>
              </w:rPr>
              <w:t xml:space="preserve"> </w:t>
            </w:r>
            <w:r w:rsidRPr="00A26C26">
              <w:rPr>
                <w:rFonts w:eastAsia="Calibri" w:cstheme="minorHAnsi"/>
                <w:lang w:eastAsia="pl-PL"/>
              </w:rPr>
              <w:t>nowych</w:t>
            </w:r>
            <w:r w:rsidR="003B50ED">
              <w:rPr>
                <w:rFonts w:eastAsia="Calibri" w:cstheme="minorHAnsi"/>
                <w:lang w:eastAsia="pl-PL"/>
              </w:rPr>
              <w:t xml:space="preserve"> </w:t>
            </w:r>
            <w:r w:rsidRPr="00A26C26">
              <w:rPr>
                <w:rFonts w:eastAsia="Calibri" w:cstheme="minorHAnsi"/>
                <w:lang w:eastAsia="pl-PL"/>
              </w:rPr>
              <w:t>miejsc</w:t>
            </w:r>
            <w:r w:rsidR="003B50ED">
              <w:rPr>
                <w:rFonts w:eastAsia="Calibri" w:cstheme="minorHAnsi"/>
                <w:lang w:eastAsia="pl-PL"/>
              </w:rPr>
              <w:t xml:space="preserve"> </w:t>
            </w:r>
            <w:r w:rsidRPr="00A26C26">
              <w:rPr>
                <w:rFonts w:eastAsia="Calibri" w:cstheme="minorHAnsi"/>
                <w:lang w:eastAsia="pl-PL"/>
              </w:rPr>
              <w:t>pracy</w:t>
            </w:r>
            <w:r w:rsidR="003B50ED">
              <w:rPr>
                <w:rFonts w:eastAsia="Calibri" w:cstheme="minorHAnsi"/>
                <w:lang w:eastAsia="pl-PL"/>
              </w:rPr>
              <w:t xml:space="preserve"> </w:t>
            </w:r>
            <w:r w:rsidRPr="00A26C26">
              <w:rPr>
                <w:rFonts w:eastAsia="Calibri" w:cstheme="minorHAnsi"/>
                <w:lang w:eastAsia="pl-PL"/>
              </w:rPr>
              <w:t>(P.</w:t>
            </w:r>
            <w:r w:rsidR="00A33F61" w:rsidRPr="00A26C26">
              <w:rPr>
                <w:rFonts w:eastAsia="Calibri" w:cstheme="minorHAnsi"/>
                <w:lang w:eastAsia="pl-PL"/>
              </w:rPr>
              <w:t>2</w:t>
            </w:r>
            <w:r w:rsidRPr="00A26C26">
              <w:rPr>
                <w:rFonts w:eastAsia="Calibri" w:cstheme="minorHAnsi"/>
                <w:lang w:eastAsia="pl-PL"/>
              </w:rPr>
              <w:t>.1.).</w:t>
            </w:r>
            <w:r w:rsidR="003B50ED">
              <w:rPr>
                <w:rFonts w:eastAsia="Calibri" w:cstheme="minorHAnsi"/>
                <w:lang w:eastAsia="pl-PL"/>
              </w:rPr>
              <w:t xml:space="preserve"> </w:t>
            </w:r>
            <w:r w:rsidRPr="00A26C26">
              <w:rPr>
                <w:rFonts w:eastAsia="Calibri" w:cstheme="minorHAnsi"/>
                <w:lang w:eastAsia="pl-PL"/>
              </w:rPr>
              <w:t>Z</w:t>
            </w:r>
            <w:r w:rsidR="003B50ED">
              <w:rPr>
                <w:rFonts w:eastAsia="Calibri" w:cstheme="minorHAnsi"/>
                <w:lang w:eastAsia="pl-PL"/>
              </w:rPr>
              <w:t xml:space="preserve"> </w:t>
            </w:r>
            <w:r w:rsidRPr="00A26C26">
              <w:rPr>
                <w:rFonts w:eastAsia="Calibri" w:cstheme="minorHAnsi"/>
                <w:lang w:eastAsia="pl-PL"/>
              </w:rPr>
              <w:t>celami</w:t>
            </w:r>
            <w:r w:rsidR="003B50ED">
              <w:rPr>
                <w:rFonts w:eastAsia="Calibri" w:cstheme="minorHAnsi"/>
                <w:lang w:eastAsia="pl-PL"/>
              </w:rPr>
              <w:t xml:space="preserve"> </w:t>
            </w:r>
            <w:r w:rsidRPr="00A26C26">
              <w:rPr>
                <w:rFonts w:eastAsia="Calibri" w:cstheme="minorHAnsi"/>
                <w:lang w:eastAsia="pl-PL"/>
              </w:rPr>
              <w:t>strategii</w:t>
            </w:r>
            <w:r w:rsidR="003B50ED">
              <w:rPr>
                <w:rFonts w:eastAsia="Calibri" w:cstheme="minorHAnsi"/>
                <w:lang w:eastAsia="pl-PL"/>
              </w:rPr>
              <w:t xml:space="preserve"> </w:t>
            </w:r>
            <w:r w:rsidRPr="00A26C26">
              <w:rPr>
                <w:rFonts w:eastAsia="Calibri" w:cstheme="minorHAnsi"/>
                <w:lang w:eastAsia="pl-PL"/>
              </w:rPr>
              <w:t>województwa</w:t>
            </w:r>
            <w:r w:rsidR="003B50ED">
              <w:rPr>
                <w:rFonts w:eastAsia="Calibri" w:cstheme="minorHAnsi"/>
                <w:lang w:eastAsia="pl-PL"/>
              </w:rPr>
              <w:t xml:space="preserve"> </w:t>
            </w:r>
            <w:r w:rsidRPr="00A26C26">
              <w:rPr>
                <w:rFonts w:eastAsia="Calibri" w:cstheme="minorHAnsi"/>
                <w:lang w:eastAsia="pl-PL"/>
              </w:rPr>
              <w:t>są</w:t>
            </w:r>
            <w:r w:rsidR="003B50ED">
              <w:rPr>
                <w:rFonts w:eastAsia="Calibri" w:cstheme="minorHAnsi"/>
                <w:lang w:eastAsia="pl-PL"/>
              </w:rPr>
              <w:t xml:space="preserve"> </w:t>
            </w:r>
            <w:r w:rsidRPr="00A26C26">
              <w:rPr>
                <w:rFonts w:eastAsia="Calibri" w:cstheme="minorHAnsi"/>
                <w:lang w:eastAsia="pl-PL"/>
              </w:rPr>
              <w:t>również</w:t>
            </w:r>
            <w:r w:rsidR="003B50ED">
              <w:rPr>
                <w:rFonts w:eastAsia="Calibri" w:cstheme="minorHAnsi"/>
                <w:lang w:eastAsia="pl-PL"/>
              </w:rPr>
              <w:t xml:space="preserve"> </w:t>
            </w:r>
            <w:r w:rsidRPr="00A26C26">
              <w:rPr>
                <w:rFonts w:eastAsia="Calibri" w:cstheme="minorHAnsi"/>
                <w:lang w:eastAsia="pl-PL"/>
              </w:rPr>
              <w:t>komplementarne</w:t>
            </w:r>
            <w:r w:rsidR="003B50ED">
              <w:rPr>
                <w:rFonts w:eastAsia="Calibri" w:cstheme="minorHAnsi"/>
                <w:lang w:eastAsia="pl-PL"/>
              </w:rPr>
              <w:t xml:space="preserve"> </w:t>
            </w:r>
            <w:r w:rsidRPr="00A26C26">
              <w:rPr>
                <w:rFonts w:eastAsia="Calibri" w:cstheme="minorHAnsi"/>
                <w:lang w:eastAsia="pl-PL"/>
              </w:rPr>
              <w:t>przedsięwzięcia</w:t>
            </w:r>
            <w:r w:rsidR="003B50ED">
              <w:rPr>
                <w:rFonts w:eastAsia="Calibri" w:cstheme="minorHAnsi"/>
                <w:lang w:eastAsia="pl-PL"/>
              </w:rPr>
              <w:t xml:space="preserve"> </w:t>
            </w:r>
            <w:r w:rsidRPr="00A26C26">
              <w:rPr>
                <w:rFonts w:eastAsia="Calibri" w:cstheme="minorHAnsi"/>
                <w:lang w:eastAsia="pl-PL"/>
              </w:rPr>
              <w:t>z</w:t>
            </w:r>
            <w:r w:rsidR="003B50ED">
              <w:rPr>
                <w:rFonts w:eastAsia="Calibri" w:cstheme="minorHAnsi"/>
                <w:lang w:eastAsia="pl-PL"/>
              </w:rPr>
              <w:t xml:space="preserve"> </w:t>
            </w:r>
            <w:r w:rsidRPr="00A26C26">
              <w:rPr>
                <w:rFonts w:eastAsia="Calibri" w:cstheme="minorHAnsi"/>
                <w:lang w:eastAsia="pl-PL"/>
              </w:rPr>
              <w:t>zakresu</w:t>
            </w:r>
            <w:r w:rsidR="003B50ED">
              <w:rPr>
                <w:rFonts w:eastAsia="Calibri" w:cstheme="minorHAnsi"/>
                <w:lang w:eastAsia="pl-PL"/>
              </w:rPr>
              <w:t xml:space="preserve"> </w:t>
            </w:r>
            <w:r w:rsidRPr="00A26C26">
              <w:rPr>
                <w:rFonts w:eastAsia="Calibri" w:cstheme="minorHAnsi"/>
                <w:lang w:eastAsia="pl-PL"/>
              </w:rPr>
              <w:t>rozwoju</w:t>
            </w:r>
            <w:r w:rsidR="003B50ED">
              <w:rPr>
                <w:rFonts w:eastAsia="Calibri" w:cstheme="minorHAnsi"/>
                <w:lang w:eastAsia="pl-PL"/>
              </w:rPr>
              <w:t xml:space="preserve"> </w:t>
            </w:r>
            <w:r w:rsidRPr="00A26C26">
              <w:rPr>
                <w:rFonts w:eastAsia="Calibri" w:cstheme="minorHAnsi"/>
              </w:rPr>
              <w:t>małej</w:t>
            </w:r>
            <w:r w:rsidR="003B50ED">
              <w:rPr>
                <w:rFonts w:eastAsia="Calibri" w:cstheme="minorHAnsi"/>
              </w:rPr>
              <w:t xml:space="preserve"> </w:t>
            </w:r>
            <w:r w:rsidRPr="00A26C26">
              <w:rPr>
                <w:rFonts w:eastAsia="Calibri" w:cstheme="minorHAnsi"/>
              </w:rPr>
              <w:t>infrastruktury</w:t>
            </w:r>
            <w:r w:rsidR="003B50ED">
              <w:rPr>
                <w:rFonts w:eastAsia="Calibri" w:cstheme="minorHAnsi"/>
              </w:rPr>
              <w:t xml:space="preserve"> </w:t>
            </w:r>
            <w:r w:rsidRPr="00A26C26">
              <w:rPr>
                <w:rFonts w:eastAsia="Calibri" w:cstheme="minorHAnsi"/>
              </w:rPr>
              <w:t>publicznej</w:t>
            </w:r>
            <w:r w:rsidR="003B50ED">
              <w:rPr>
                <w:rFonts w:eastAsia="Calibri" w:cstheme="minorHAnsi"/>
              </w:rPr>
              <w:t xml:space="preserve"> </w:t>
            </w:r>
            <w:r w:rsidRPr="00A26C26">
              <w:rPr>
                <w:rFonts w:eastAsia="Calibri" w:cstheme="minorHAnsi"/>
              </w:rPr>
              <w:t>(P.1.2.),</w:t>
            </w:r>
            <w:r w:rsidR="003B50ED">
              <w:rPr>
                <w:rFonts w:eastAsia="Calibri" w:cstheme="minorHAnsi"/>
              </w:rPr>
              <w:t xml:space="preserve"> </w:t>
            </w:r>
            <w:r w:rsidRPr="00A26C26">
              <w:rPr>
                <w:rFonts w:eastAsia="Calibri" w:cstheme="minorHAnsi"/>
              </w:rPr>
              <w:t>ochrony</w:t>
            </w:r>
            <w:r w:rsidR="003B50ED">
              <w:rPr>
                <w:rFonts w:eastAsia="Calibri" w:cstheme="minorHAnsi"/>
              </w:rPr>
              <w:t xml:space="preserve"> </w:t>
            </w:r>
            <w:r w:rsidRPr="00A26C26">
              <w:rPr>
                <w:rFonts w:eastAsia="Calibri" w:cstheme="minorHAnsi"/>
              </w:rPr>
              <w:t>dziedzictwa</w:t>
            </w:r>
            <w:r w:rsidR="003B50ED">
              <w:rPr>
                <w:rFonts w:eastAsia="Calibri" w:cstheme="minorHAnsi"/>
              </w:rPr>
              <w:t xml:space="preserve"> </w:t>
            </w:r>
            <w:r w:rsidRPr="00A26C26">
              <w:rPr>
                <w:rFonts w:eastAsia="Calibri" w:cstheme="minorHAnsi"/>
              </w:rPr>
              <w:t>kulturowego</w:t>
            </w:r>
            <w:r w:rsidR="003B50ED">
              <w:rPr>
                <w:rFonts w:eastAsia="Calibri" w:cstheme="minorHAnsi"/>
              </w:rPr>
              <w:t xml:space="preserve"> </w:t>
            </w:r>
            <w:r w:rsidRPr="00A26C26">
              <w:rPr>
                <w:rFonts w:eastAsia="Calibri" w:cstheme="minorHAnsi"/>
              </w:rPr>
              <w:t>lub</w:t>
            </w:r>
            <w:r w:rsidR="003B50ED">
              <w:rPr>
                <w:rFonts w:eastAsia="Calibri" w:cstheme="minorHAnsi"/>
              </w:rPr>
              <w:t xml:space="preserve"> </w:t>
            </w:r>
            <w:r w:rsidRPr="00A26C26">
              <w:rPr>
                <w:rFonts w:eastAsia="Calibri" w:cstheme="minorHAnsi"/>
              </w:rPr>
              <w:t>przyrodniczego</w:t>
            </w:r>
            <w:r w:rsidR="003B50ED">
              <w:rPr>
                <w:rFonts w:eastAsia="Calibri" w:cstheme="minorHAnsi"/>
              </w:rPr>
              <w:t xml:space="preserve"> </w:t>
            </w:r>
            <w:r w:rsidRPr="00A26C26">
              <w:rPr>
                <w:rFonts w:eastAsia="Calibri" w:cstheme="minorHAnsi"/>
              </w:rPr>
              <w:t>polskiej</w:t>
            </w:r>
            <w:r w:rsidR="003B50ED">
              <w:rPr>
                <w:rFonts w:eastAsia="Calibri" w:cstheme="minorHAnsi"/>
              </w:rPr>
              <w:t xml:space="preserve"> </w:t>
            </w:r>
            <w:r w:rsidRPr="00A26C26">
              <w:rPr>
                <w:rFonts w:eastAsia="Calibri" w:cstheme="minorHAnsi"/>
              </w:rPr>
              <w:t>wsi</w:t>
            </w:r>
            <w:r w:rsidR="003B50ED">
              <w:rPr>
                <w:rFonts w:eastAsia="Calibri" w:cstheme="minorHAnsi"/>
              </w:rPr>
              <w:t xml:space="preserve"> </w:t>
            </w:r>
            <w:r w:rsidRPr="00A26C26">
              <w:rPr>
                <w:rFonts w:eastAsia="Calibri" w:cstheme="minorHAnsi"/>
              </w:rPr>
              <w:t>(P.</w:t>
            </w:r>
            <w:r w:rsidR="00A33F61" w:rsidRPr="00A26C26">
              <w:rPr>
                <w:rFonts w:eastAsia="Calibri" w:cstheme="minorHAnsi"/>
              </w:rPr>
              <w:t>1.3</w:t>
            </w:r>
            <w:r w:rsidRPr="00A26C26">
              <w:rPr>
                <w:rFonts w:eastAsia="Calibri" w:cstheme="minorHAnsi"/>
              </w:rPr>
              <w:t>),</w:t>
            </w:r>
            <w:r w:rsidR="003B50ED">
              <w:rPr>
                <w:rFonts w:eastAsia="Calibri" w:cstheme="minorHAnsi"/>
              </w:rPr>
              <w:t xml:space="preserve"> </w:t>
            </w:r>
            <w:r w:rsidRPr="00A26C26">
              <w:rPr>
                <w:rFonts w:eastAsia="Calibri" w:cstheme="minorHAnsi"/>
              </w:rPr>
              <w:t>również</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zakresie</w:t>
            </w:r>
            <w:r w:rsidR="003B50ED">
              <w:rPr>
                <w:rFonts w:eastAsia="Calibri" w:cstheme="minorHAnsi"/>
              </w:rPr>
              <w:t xml:space="preserve"> </w:t>
            </w:r>
            <w:r w:rsidRPr="00A26C26">
              <w:rPr>
                <w:rFonts w:eastAsia="Calibri" w:cstheme="minorHAnsi"/>
              </w:rPr>
              <w:t>aktywizacji</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włączenia</w:t>
            </w:r>
            <w:r w:rsidR="003B50ED">
              <w:rPr>
                <w:rFonts w:eastAsia="Calibri" w:cstheme="minorHAnsi"/>
              </w:rPr>
              <w:t xml:space="preserve"> </w:t>
            </w:r>
            <w:r w:rsidRPr="00A26C26">
              <w:rPr>
                <w:rFonts w:eastAsia="Calibri" w:cstheme="minorHAnsi"/>
              </w:rPr>
              <w:t>społecznego</w:t>
            </w:r>
            <w:r w:rsidR="003B50ED">
              <w:rPr>
                <w:rFonts w:eastAsia="Calibri" w:cstheme="minorHAnsi"/>
              </w:rPr>
              <w:t xml:space="preserve"> </w:t>
            </w:r>
            <w:r w:rsidRPr="00A26C26">
              <w:rPr>
                <w:rFonts w:eastAsia="Calibri" w:cstheme="minorHAnsi"/>
              </w:rPr>
              <w:t>lokalnej</w:t>
            </w:r>
            <w:r w:rsidR="003B50ED">
              <w:rPr>
                <w:rFonts w:eastAsia="Calibri" w:cstheme="minorHAnsi"/>
              </w:rPr>
              <w:t xml:space="preserve"> </w:t>
            </w:r>
            <w:r w:rsidRPr="00A26C26">
              <w:rPr>
                <w:rFonts w:eastAsia="Calibri" w:cstheme="minorHAnsi"/>
              </w:rPr>
              <w:t>społeczności,</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tym</w:t>
            </w:r>
            <w:r w:rsidR="003B50ED">
              <w:rPr>
                <w:rFonts w:eastAsia="Calibri" w:cstheme="minorHAnsi"/>
              </w:rPr>
              <w:t xml:space="preserve"> </w:t>
            </w:r>
            <w:r w:rsidRPr="00A26C26">
              <w:rPr>
                <w:rFonts w:eastAsia="Calibri" w:cstheme="minorHAnsi"/>
              </w:rPr>
              <w:t>seniorów,</w:t>
            </w:r>
            <w:r w:rsidR="003B50ED">
              <w:rPr>
                <w:rFonts w:eastAsia="Calibri" w:cstheme="minorHAnsi"/>
              </w:rPr>
              <w:t xml:space="preserve"> </w:t>
            </w:r>
            <w:r w:rsidRPr="00A26C26">
              <w:rPr>
                <w:rFonts w:eastAsia="Calibri" w:cstheme="minorHAnsi"/>
              </w:rPr>
              <w:t>ludzi</w:t>
            </w:r>
            <w:r w:rsidR="003B50ED">
              <w:rPr>
                <w:rFonts w:eastAsia="Calibri" w:cstheme="minorHAnsi"/>
              </w:rPr>
              <w:t xml:space="preserve"> </w:t>
            </w:r>
            <w:r w:rsidRPr="00A26C26">
              <w:rPr>
                <w:rFonts w:eastAsia="Calibri" w:cstheme="minorHAnsi"/>
              </w:rPr>
              <w:t>młodych</w:t>
            </w:r>
            <w:r w:rsidR="003B50ED">
              <w:rPr>
                <w:rFonts w:eastAsia="Calibri" w:cstheme="minorHAnsi"/>
              </w:rPr>
              <w:t xml:space="preserve"> </w:t>
            </w:r>
            <w:r w:rsidRPr="00A26C26">
              <w:rPr>
                <w:rFonts w:eastAsia="Calibri" w:cstheme="minorHAnsi"/>
              </w:rPr>
              <w:t>lub</w:t>
            </w:r>
            <w:r w:rsidR="003B50ED">
              <w:rPr>
                <w:rFonts w:eastAsia="Calibri" w:cstheme="minorHAnsi"/>
              </w:rPr>
              <w:t xml:space="preserve"> </w:t>
            </w:r>
            <w:r w:rsidRPr="00A26C26">
              <w:rPr>
                <w:rFonts w:eastAsia="Calibri" w:cstheme="minorHAnsi"/>
              </w:rPr>
              <w:t>osób</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niekorzystnej</w:t>
            </w:r>
            <w:r w:rsidR="003B50ED">
              <w:rPr>
                <w:rFonts w:eastAsia="Calibri" w:cstheme="minorHAnsi"/>
              </w:rPr>
              <w:t xml:space="preserve"> </w:t>
            </w:r>
            <w:r w:rsidRPr="00A26C26">
              <w:rPr>
                <w:rFonts w:eastAsia="Calibri" w:cstheme="minorHAnsi"/>
              </w:rPr>
              <w:t>sytuacji</w:t>
            </w:r>
            <w:r w:rsidR="003B50ED">
              <w:rPr>
                <w:rFonts w:eastAsia="Calibri" w:cstheme="minorHAnsi"/>
              </w:rPr>
              <w:t xml:space="preserve"> </w:t>
            </w:r>
            <w:r w:rsidRPr="00A26C26">
              <w:rPr>
                <w:rFonts w:eastAsia="Calibri" w:cstheme="minorHAnsi"/>
              </w:rPr>
              <w:t>(P.</w:t>
            </w:r>
            <w:r w:rsidR="00A33F61" w:rsidRPr="00A26C26">
              <w:rPr>
                <w:rFonts w:eastAsia="Calibri" w:cstheme="minorHAnsi"/>
              </w:rPr>
              <w:t>1.4</w:t>
            </w:r>
            <w:r w:rsidRPr="00A26C26">
              <w:rPr>
                <w:rFonts w:eastAsia="Calibri" w:cstheme="minorHAnsi"/>
              </w:rPr>
              <w:t>.)</w:t>
            </w:r>
            <w:r w:rsidR="003B50ED">
              <w:rPr>
                <w:rFonts w:eastAsia="Calibri" w:cstheme="minorHAnsi"/>
              </w:rPr>
              <w:t xml:space="preserve"> </w:t>
            </w:r>
            <w:r w:rsidRPr="00A26C26">
              <w:rPr>
                <w:rFonts w:eastAsia="Calibri" w:cstheme="minorHAnsi"/>
              </w:rPr>
              <w:t>oraz</w:t>
            </w:r>
            <w:r w:rsidR="003B50ED">
              <w:rPr>
                <w:rFonts w:eastAsia="Calibri" w:cstheme="minorHAnsi"/>
              </w:rPr>
              <w:t xml:space="preserve"> </w:t>
            </w:r>
            <w:r w:rsidRPr="00A26C26">
              <w:rPr>
                <w:rFonts w:eastAsia="Calibri" w:cstheme="minorHAnsi"/>
              </w:rPr>
              <w:t>integracji</w:t>
            </w:r>
            <w:r w:rsidR="003B50ED">
              <w:rPr>
                <w:rFonts w:eastAsia="Calibri" w:cstheme="minorHAnsi"/>
              </w:rPr>
              <w:t xml:space="preserve"> </w:t>
            </w:r>
            <w:r w:rsidRPr="00A26C26">
              <w:rPr>
                <w:rFonts w:eastAsia="Calibri" w:cstheme="minorHAnsi"/>
              </w:rPr>
              <w:t>społecznej</w:t>
            </w:r>
            <w:r w:rsidR="003B50ED">
              <w:rPr>
                <w:rFonts w:eastAsia="Calibri" w:cstheme="minorHAnsi"/>
              </w:rPr>
              <w:t xml:space="preserve"> </w:t>
            </w:r>
            <w:r w:rsidRPr="00A26C26">
              <w:rPr>
                <w:rFonts w:eastAsia="Calibri" w:cstheme="minorHAnsi"/>
              </w:rPr>
              <w:t>na</w:t>
            </w:r>
            <w:r w:rsidR="003B50ED">
              <w:rPr>
                <w:rFonts w:eastAsia="Calibri" w:cstheme="minorHAnsi"/>
              </w:rPr>
              <w:t xml:space="preserve"> </w:t>
            </w:r>
            <w:r w:rsidRPr="00A26C26">
              <w:rPr>
                <w:rFonts w:eastAsia="Calibri" w:cstheme="minorHAnsi"/>
              </w:rPr>
              <w:t>obszarach</w:t>
            </w:r>
            <w:r w:rsidR="003B50ED">
              <w:rPr>
                <w:rFonts w:eastAsia="Calibri" w:cstheme="minorHAnsi"/>
              </w:rPr>
              <w:t xml:space="preserve"> </w:t>
            </w:r>
            <w:r w:rsidRPr="00A26C26">
              <w:rPr>
                <w:rFonts w:eastAsia="Calibri" w:cstheme="minorHAnsi"/>
              </w:rPr>
              <w:t>wiejskich</w:t>
            </w:r>
            <w:r w:rsidR="003B50ED">
              <w:rPr>
                <w:rFonts w:eastAsia="Calibri" w:cstheme="minorHAnsi"/>
              </w:rPr>
              <w:t xml:space="preserve"> </w:t>
            </w:r>
            <w:r w:rsidRPr="00A26C26">
              <w:rPr>
                <w:rFonts w:eastAsia="Calibri" w:cstheme="minorHAnsi"/>
              </w:rPr>
              <w:t>(P.</w:t>
            </w:r>
            <w:r w:rsidR="006D34C4" w:rsidRPr="00A26C26">
              <w:rPr>
                <w:rFonts w:eastAsia="Calibri" w:cstheme="minorHAnsi"/>
              </w:rPr>
              <w:t>1.6</w:t>
            </w:r>
            <w:r w:rsidRPr="00A26C26">
              <w:rPr>
                <w:rFonts w:eastAsia="Calibri" w:cstheme="minorHAnsi"/>
              </w:rPr>
              <w:t>.)</w:t>
            </w:r>
            <w:r w:rsidR="003B50ED">
              <w:rPr>
                <w:rFonts w:eastAsia="Calibri" w:cstheme="minorHAnsi"/>
              </w:rPr>
              <w:t xml:space="preserve"> </w:t>
            </w:r>
            <w:r w:rsidR="006D34C4" w:rsidRPr="00A26C26">
              <w:rPr>
                <w:rFonts w:eastAsia="Calibri" w:cstheme="minorHAnsi"/>
              </w:rPr>
              <w:t>oraz</w:t>
            </w:r>
            <w:r w:rsidR="003B50ED">
              <w:rPr>
                <w:rFonts w:eastAsia="Calibri" w:cstheme="minorHAnsi"/>
              </w:rPr>
              <w:t xml:space="preserve"> </w:t>
            </w:r>
            <w:r w:rsidR="006D34C4" w:rsidRPr="00A26C26">
              <w:rPr>
                <w:rFonts w:eastAsia="Calibri" w:cstheme="minorHAnsi"/>
              </w:rPr>
              <w:t>promocji</w:t>
            </w:r>
            <w:r w:rsidR="003B50ED">
              <w:rPr>
                <w:rFonts w:eastAsia="Calibri" w:cstheme="minorHAnsi"/>
              </w:rPr>
              <w:t xml:space="preserve"> </w:t>
            </w:r>
            <w:r w:rsidR="006D34C4" w:rsidRPr="00A26C26">
              <w:rPr>
                <w:rFonts w:eastAsia="Calibri" w:cstheme="minorHAnsi"/>
              </w:rPr>
              <w:t>współpracy</w:t>
            </w:r>
            <w:r w:rsidR="003B50ED">
              <w:rPr>
                <w:rFonts w:eastAsia="Calibri" w:cstheme="minorHAnsi"/>
              </w:rPr>
              <w:t xml:space="preserve"> </w:t>
            </w:r>
            <w:r w:rsidR="006D34C4" w:rsidRPr="00A26C26">
              <w:rPr>
                <w:rFonts w:eastAsia="Calibri" w:cstheme="minorHAnsi"/>
              </w:rPr>
              <w:t>poprzez</w:t>
            </w:r>
            <w:r w:rsidR="003B50ED">
              <w:rPr>
                <w:rFonts w:eastAsia="Calibri" w:cstheme="minorHAnsi"/>
              </w:rPr>
              <w:t xml:space="preserve"> </w:t>
            </w:r>
            <w:r w:rsidR="006D34C4" w:rsidRPr="00A26C26">
              <w:rPr>
                <w:rFonts w:eastAsia="Calibri" w:cstheme="minorHAnsi"/>
              </w:rPr>
              <w:t>m.in.</w:t>
            </w:r>
            <w:r w:rsidR="003B50ED">
              <w:rPr>
                <w:rFonts w:eastAsia="Calibri" w:cstheme="minorHAnsi"/>
              </w:rPr>
              <w:t xml:space="preserve"> </w:t>
            </w:r>
            <w:r w:rsidR="006D34C4" w:rsidRPr="00A26C26">
              <w:rPr>
                <w:rFonts w:eastAsia="Calibri" w:cstheme="minorHAnsi"/>
              </w:rPr>
              <w:t>opracowanie</w:t>
            </w:r>
            <w:r w:rsidR="003B50ED">
              <w:rPr>
                <w:rFonts w:eastAsia="Calibri" w:cstheme="minorHAnsi"/>
              </w:rPr>
              <w:t xml:space="preserve"> </w:t>
            </w:r>
            <w:r w:rsidR="006D34C4" w:rsidRPr="00A26C26">
              <w:rPr>
                <w:rFonts w:eastAsia="Calibri" w:cstheme="minorHAnsi"/>
              </w:rPr>
              <w:t>koncepcji</w:t>
            </w:r>
            <w:r w:rsidR="003B50ED">
              <w:rPr>
                <w:rFonts w:eastAsia="Calibri" w:cstheme="minorHAnsi"/>
              </w:rPr>
              <w:t xml:space="preserve"> </w:t>
            </w:r>
            <w:r w:rsidR="006D34C4" w:rsidRPr="00A26C26">
              <w:rPr>
                <w:rFonts w:eastAsia="Calibri" w:cstheme="minorHAnsi"/>
              </w:rPr>
              <w:t>inteligentnych</w:t>
            </w:r>
            <w:r w:rsidR="003B50ED">
              <w:rPr>
                <w:rFonts w:eastAsia="Calibri" w:cstheme="minorHAnsi"/>
              </w:rPr>
              <w:t xml:space="preserve"> </w:t>
            </w:r>
            <w:r w:rsidR="006D34C4" w:rsidRPr="00A26C26">
              <w:rPr>
                <w:rFonts w:eastAsia="Calibri" w:cstheme="minorHAnsi"/>
              </w:rPr>
              <w:t>wsi</w:t>
            </w:r>
            <w:r w:rsidR="003B50ED">
              <w:rPr>
                <w:rFonts w:eastAsia="Calibri" w:cstheme="minorHAnsi"/>
              </w:rPr>
              <w:t xml:space="preserve"> </w:t>
            </w:r>
            <w:r w:rsidR="006D34C4" w:rsidRPr="00A26C26">
              <w:rPr>
                <w:rFonts w:eastAsia="Calibri" w:cstheme="minorHAnsi"/>
              </w:rPr>
              <w:t>(P.1.1.)</w:t>
            </w:r>
            <w:r w:rsidR="003B50ED">
              <w:rPr>
                <w:rFonts w:eastAsia="Calibri" w:cstheme="minorHAnsi"/>
              </w:rPr>
              <w:t xml:space="preserve"> </w:t>
            </w:r>
            <w:r w:rsidR="006D34C4" w:rsidRPr="00A26C26">
              <w:rPr>
                <w:rFonts w:eastAsia="Calibri" w:cstheme="minorHAnsi"/>
              </w:rPr>
              <w:t>czy</w:t>
            </w:r>
            <w:r w:rsidR="003B50ED">
              <w:rPr>
                <w:rFonts w:eastAsia="Calibri" w:cstheme="minorHAnsi"/>
              </w:rPr>
              <w:t xml:space="preserve"> </w:t>
            </w:r>
            <w:r w:rsidR="006D34C4" w:rsidRPr="00A26C26">
              <w:rPr>
                <w:rFonts w:eastAsia="Calibri" w:cstheme="minorHAnsi"/>
              </w:rPr>
              <w:t>wspieranie</w:t>
            </w:r>
            <w:r w:rsidR="003B50ED">
              <w:rPr>
                <w:rFonts w:eastAsia="Calibri" w:cstheme="minorHAnsi"/>
              </w:rPr>
              <w:t xml:space="preserve"> </w:t>
            </w:r>
            <w:r w:rsidR="006D34C4" w:rsidRPr="00A26C26">
              <w:rPr>
                <w:rFonts w:eastAsia="Calibri" w:cstheme="minorHAnsi"/>
              </w:rPr>
              <w:t>partnerstwa,</w:t>
            </w:r>
            <w:r w:rsidR="003B50ED">
              <w:rPr>
                <w:rFonts w:eastAsia="Calibri" w:cstheme="minorHAnsi"/>
              </w:rPr>
              <w:t xml:space="preserve"> </w:t>
            </w:r>
            <w:r w:rsidR="006D34C4" w:rsidRPr="00A26C26">
              <w:rPr>
                <w:rFonts w:eastAsia="Calibri" w:cstheme="minorHAnsi"/>
              </w:rPr>
              <w:t>inicjatyw</w:t>
            </w:r>
            <w:r w:rsidR="003B50ED">
              <w:rPr>
                <w:rFonts w:eastAsia="Calibri" w:cstheme="minorHAnsi"/>
              </w:rPr>
              <w:t xml:space="preserve"> </w:t>
            </w:r>
            <w:r w:rsidR="006D34C4" w:rsidRPr="00A26C26">
              <w:rPr>
                <w:rFonts w:eastAsia="Calibri" w:cstheme="minorHAnsi"/>
              </w:rPr>
              <w:t>edukacyjnych</w:t>
            </w:r>
            <w:r w:rsidR="003B50ED">
              <w:rPr>
                <w:rFonts w:eastAsia="Calibri" w:cstheme="minorHAnsi"/>
              </w:rPr>
              <w:t xml:space="preserve"> </w:t>
            </w:r>
            <w:r w:rsidR="006D34C4" w:rsidRPr="00A26C26">
              <w:rPr>
                <w:rFonts w:eastAsia="Calibri" w:cstheme="minorHAnsi"/>
              </w:rPr>
              <w:t>i</w:t>
            </w:r>
            <w:r w:rsidR="003B50ED">
              <w:rPr>
                <w:rFonts w:eastAsia="Calibri" w:cstheme="minorHAnsi"/>
              </w:rPr>
              <w:t xml:space="preserve"> </w:t>
            </w:r>
            <w:r w:rsidR="006D34C4" w:rsidRPr="00A26C26">
              <w:rPr>
                <w:rFonts w:eastAsia="Calibri" w:cstheme="minorHAnsi"/>
              </w:rPr>
              <w:t>turystyki</w:t>
            </w:r>
            <w:r w:rsidR="003B50ED">
              <w:rPr>
                <w:rFonts w:eastAsia="Calibri" w:cstheme="minorHAnsi"/>
              </w:rPr>
              <w:t xml:space="preserve"> </w:t>
            </w:r>
            <w:r w:rsidR="006D34C4" w:rsidRPr="00A26C26">
              <w:rPr>
                <w:rFonts w:eastAsia="Calibri" w:cstheme="minorHAnsi"/>
              </w:rPr>
              <w:t>na</w:t>
            </w:r>
            <w:r w:rsidR="003B50ED">
              <w:rPr>
                <w:rFonts w:eastAsia="Calibri" w:cstheme="minorHAnsi"/>
              </w:rPr>
              <w:t xml:space="preserve"> </w:t>
            </w:r>
            <w:r w:rsidR="006D34C4" w:rsidRPr="00A26C26">
              <w:rPr>
                <w:rFonts w:eastAsia="Calibri" w:cstheme="minorHAnsi"/>
              </w:rPr>
              <w:t>obszarze</w:t>
            </w:r>
            <w:r w:rsidR="003B50ED">
              <w:rPr>
                <w:rFonts w:eastAsia="Calibri" w:cstheme="minorHAnsi"/>
              </w:rPr>
              <w:t xml:space="preserve"> </w:t>
            </w:r>
            <w:r w:rsidR="006D34C4" w:rsidRPr="00A26C26">
              <w:rPr>
                <w:rFonts w:eastAsia="Calibri" w:cstheme="minorHAnsi"/>
              </w:rPr>
              <w:t>LSR</w:t>
            </w:r>
            <w:r w:rsidR="003B50ED">
              <w:rPr>
                <w:rFonts w:eastAsia="Calibri" w:cstheme="minorHAnsi"/>
              </w:rPr>
              <w:t xml:space="preserve"> </w:t>
            </w:r>
            <w:r w:rsidR="006D34C4" w:rsidRPr="00A26C26">
              <w:rPr>
                <w:rFonts w:eastAsia="Calibri" w:cstheme="minorHAnsi"/>
              </w:rPr>
              <w:t>(P.1.5.)</w:t>
            </w:r>
            <w:r w:rsidR="003B50ED">
              <w:rPr>
                <w:rFonts w:eastAsia="Calibri" w:cstheme="minorHAnsi"/>
              </w:rPr>
              <w:t xml:space="preserve"> </w:t>
            </w:r>
          </w:p>
        </w:tc>
      </w:tr>
      <w:tr w:rsidR="00857736" w:rsidRPr="00A26C26" w14:paraId="42CDC85F" w14:textId="77777777" w:rsidTr="00233140">
        <w:trPr>
          <w:trHeight w:val="249"/>
        </w:trPr>
        <w:tc>
          <w:tcPr>
            <w:tcW w:w="10201" w:type="dxa"/>
            <w:gridSpan w:val="2"/>
          </w:tcPr>
          <w:p w14:paraId="500AA0F5" w14:textId="31D512DB" w:rsidR="00857736" w:rsidRPr="00AB2426" w:rsidRDefault="00857736" w:rsidP="00A26C26">
            <w:pPr>
              <w:spacing w:line="276" w:lineRule="auto"/>
              <w:jc w:val="both"/>
              <w:rPr>
                <w:rFonts w:eastAsia="Calibri" w:cstheme="minorHAnsi"/>
                <w:b/>
                <w:lang w:eastAsia="pl-PL"/>
              </w:rPr>
            </w:pPr>
            <w:r w:rsidRPr="00AB2426">
              <w:rPr>
                <w:rFonts w:eastAsia="Calibri" w:cstheme="minorHAnsi"/>
                <w:b/>
              </w:rPr>
              <w:t>Program</w:t>
            </w:r>
            <w:r w:rsidR="003B50ED" w:rsidRPr="00AB2426">
              <w:rPr>
                <w:rFonts w:eastAsia="Calibri" w:cstheme="minorHAnsi"/>
                <w:b/>
              </w:rPr>
              <w:t xml:space="preserve"> </w:t>
            </w:r>
            <w:r w:rsidRPr="00AB2426">
              <w:rPr>
                <w:rFonts w:eastAsia="Calibri" w:cstheme="minorHAnsi"/>
                <w:b/>
              </w:rPr>
              <w:t>regionalny</w:t>
            </w:r>
            <w:r w:rsidR="003B50ED" w:rsidRPr="00AB2426">
              <w:rPr>
                <w:rFonts w:eastAsia="Calibri" w:cstheme="minorHAnsi"/>
                <w:b/>
              </w:rPr>
              <w:t xml:space="preserve"> </w:t>
            </w:r>
            <w:r w:rsidRPr="00AB2426">
              <w:rPr>
                <w:rFonts w:eastAsia="Calibri" w:cstheme="minorHAnsi"/>
                <w:b/>
              </w:rPr>
              <w:t>Fundusze</w:t>
            </w:r>
            <w:r w:rsidR="003B50ED" w:rsidRPr="00AB2426">
              <w:rPr>
                <w:rFonts w:eastAsia="Calibri" w:cstheme="minorHAnsi"/>
                <w:b/>
              </w:rPr>
              <w:t xml:space="preserve"> </w:t>
            </w:r>
            <w:r w:rsidRPr="00AB2426">
              <w:rPr>
                <w:rFonts w:eastAsia="Calibri" w:cstheme="minorHAnsi"/>
                <w:b/>
              </w:rPr>
              <w:t>Europejskie</w:t>
            </w:r>
            <w:r w:rsidR="003B50ED" w:rsidRPr="00AB2426">
              <w:rPr>
                <w:rFonts w:eastAsia="Calibri" w:cstheme="minorHAnsi"/>
                <w:b/>
              </w:rPr>
              <w:t xml:space="preserve"> </w:t>
            </w:r>
            <w:r w:rsidRPr="00AB2426">
              <w:rPr>
                <w:rFonts w:eastAsia="Calibri" w:cstheme="minorHAnsi"/>
                <w:b/>
              </w:rPr>
              <w:t>dla</w:t>
            </w:r>
            <w:r w:rsidR="003B50ED" w:rsidRPr="00AB2426">
              <w:rPr>
                <w:rFonts w:eastAsia="Calibri" w:cstheme="minorHAnsi"/>
                <w:b/>
              </w:rPr>
              <w:t xml:space="preserve"> </w:t>
            </w:r>
            <w:r w:rsidR="00C14FF0" w:rsidRPr="00AB2426">
              <w:rPr>
                <w:rFonts w:eastAsia="Calibri" w:cstheme="minorHAnsi"/>
                <w:b/>
              </w:rPr>
              <w:t>Wielkopolski</w:t>
            </w:r>
            <w:r w:rsidR="003B50ED" w:rsidRPr="00AB2426">
              <w:rPr>
                <w:rFonts w:eastAsia="Calibri" w:cstheme="minorHAnsi"/>
                <w:b/>
              </w:rPr>
              <w:t xml:space="preserve"> </w:t>
            </w:r>
            <w:r w:rsidRPr="00AB2426">
              <w:rPr>
                <w:rFonts w:eastAsia="Calibri" w:cstheme="minorHAnsi"/>
                <w:b/>
              </w:rPr>
              <w:t>2021-2027</w:t>
            </w:r>
          </w:p>
        </w:tc>
      </w:tr>
      <w:tr w:rsidR="00857736" w:rsidRPr="00A26C26" w14:paraId="54B3A0C7" w14:textId="77777777" w:rsidTr="00233140">
        <w:trPr>
          <w:trHeight w:val="249"/>
        </w:trPr>
        <w:tc>
          <w:tcPr>
            <w:tcW w:w="10201" w:type="dxa"/>
            <w:gridSpan w:val="2"/>
          </w:tcPr>
          <w:p w14:paraId="1C321EFE" w14:textId="1D2C3282" w:rsidR="008A1F9F" w:rsidRPr="00A26C26" w:rsidRDefault="008A1F9F" w:rsidP="00A26C26">
            <w:pPr>
              <w:spacing w:line="276" w:lineRule="auto"/>
              <w:jc w:val="both"/>
              <w:rPr>
                <w:rFonts w:eastAsia="Calibri" w:cstheme="minorHAnsi"/>
              </w:rPr>
            </w:pPr>
            <w:r w:rsidRPr="00A26C26">
              <w:rPr>
                <w:rFonts w:eastAsia="Calibri" w:cstheme="minorHAnsi"/>
              </w:rPr>
              <w:t>Cel</w:t>
            </w:r>
            <w:r w:rsidR="003B50ED">
              <w:rPr>
                <w:rFonts w:eastAsia="Calibri" w:cstheme="minorHAnsi"/>
              </w:rPr>
              <w:t xml:space="preserve"> </w:t>
            </w:r>
            <w:r w:rsidRPr="00A26C26">
              <w:rPr>
                <w:rFonts w:eastAsia="Calibri" w:cstheme="minorHAnsi"/>
              </w:rPr>
              <w:t>szczegółowy</w:t>
            </w:r>
            <w:r w:rsidR="003B50ED">
              <w:rPr>
                <w:rFonts w:eastAsia="Calibri" w:cstheme="minorHAnsi"/>
              </w:rPr>
              <w:t xml:space="preserve"> </w:t>
            </w:r>
            <w:r w:rsidRPr="00A26C26">
              <w:rPr>
                <w:rFonts w:eastAsia="Calibri" w:cstheme="minorHAnsi"/>
              </w:rPr>
              <w:t>5</w:t>
            </w:r>
            <w:r w:rsidR="003B50ED">
              <w:rPr>
                <w:rFonts w:eastAsia="Calibri" w:cstheme="minorHAnsi"/>
              </w:rPr>
              <w:t xml:space="preserve"> </w:t>
            </w:r>
            <w:r w:rsidRPr="00A26C26">
              <w:rPr>
                <w:rFonts w:eastAsia="Calibri" w:cstheme="minorHAnsi"/>
              </w:rPr>
              <w:t>(ii)</w:t>
            </w:r>
            <w:r w:rsidR="003B50ED">
              <w:rPr>
                <w:rFonts w:eastAsia="Calibri" w:cstheme="minorHAnsi"/>
              </w:rPr>
              <w:t xml:space="preserve"> </w:t>
            </w:r>
            <w:r w:rsidRPr="00A26C26">
              <w:rPr>
                <w:rFonts w:eastAsia="Calibri" w:cstheme="minorHAnsi"/>
              </w:rPr>
              <w:t>„Wspieranie</w:t>
            </w:r>
            <w:r w:rsidR="003B50ED">
              <w:rPr>
                <w:rFonts w:eastAsia="Calibri" w:cstheme="minorHAnsi"/>
              </w:rPr>
              <w:t xml:space="preserve"> </w:t>
            </w:r>
            <w:r w:rsidRPr="00A26C26">
              <w:rPr>
                <w:rFonts w:eastAsia="Calibri" w:cstheme="minorHAnsi"/>
              </w:rPr>
              <w:t>zintegrowanego</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sprzyjającego</w:t>
            </w:r>
            <w:r w:rsidR="003B50ED">
              <w:rPr>
                <w:rFonts w:eastAsia="Calibri" w:cstheme="minorHAnsi"/>
              </w:rPr>
              <w:t xml:space="preserve"> </w:t>
            </w:r>
            <w:r w:rsidRPr="00A26C26">
              <w:rPr>
                <w:rFonts w:eastAsia="Calibri" w:cstheme="minorHAnsi"/>
              </w:rPr>
              <w:t>włączeniu</w:t>
            </w:r>
            <w:r w:rsidR="003B50ED">
              <w:rPr>
                <w:rFonts w:eastAsia="Calibri" w:cstheme="minorHAnsi"/>
              </w:rPr>
              <w:t xml:space="preserve"> </w:t>
            </w:r>
            <w:r w:rsidRPr="00A26C26">
              <w:rPr>
                <w:rFonts w:eastAsia="Calibri" w:cstheme="minorHAnsi"/>
              </w:rPr>
              <w:t>społecznemu</w:t>
            </w:r>
            <w:r w:rsidR="003B50ED">
              <w:rPr>
                <w:rFonts w:eastAsia="Calibri" w:cstheme="minorHAnsi"/>
              </w:rPr>
              <w:t xml:space="preserve"> </w:t>
            </w:r>
            <w:r w:rsidRPr="00A26C26">
              <w:rPr>
                <w:rFonts w:eastAsia="Calibri" w:cstheme="minorHAnsi"/>
              </w:rPr>
              <w:t>rozwoju</w:t>
            </w:r>
            <w:r w:rsidR="003B50ED">
              <w:rPr>
                <w:rFonts w:eastAsia="Calibri" w:cstheme="minorHAnsi"/>
              </w:rPr>
              <w:t xml:space="preserve"> </w:t>
            </w:r>
            <w:r w:rsidRPr="00A26C26">
              <w:rPr>
                <w:rFonts w:eastAsia="Calibri" w:cstheme="minorHAnsi"/>
              </w:rPr>
              <w:t>społecznego,</w:t>
            </w:r>
            <w:r w:rsidR="003B50ED">
              <w:rPr>
                <w:rFonts w:eastAsia="Calibri" w:cstheme="minorHAnsi"/>
              </w:rPr>
              <w:t xml:space="preserve"> </w:t>
            </w:r>
            <w:r w:rsidRPr="00A26C26">
              <w:rPr>
                <w:rFonts w:eastAsia="Calibri" w:cstheme="minorHAnsi"/>
              </w:rPr>
              <w:t>gospodarczego</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środowiskowego,</w:t>
            </w:r>
            <w:r w:rsidR="003B50ED">
              <w:rPr>
                <w:rFonts w:eastAsia="Calibri" w:cstheme="minorHAnsi"/>
              </w:rPr>
              <w:t xml:space="preserve"> </w:t>
            </w:r>
            <w:r w:rsidRPr="00A26C26">
              <w:rPr>
                <w:rFonts w:eastAsia="Calibri" w:cstheme="minorHAnsi"/>
              </w:rPr>
              <w:t>na</w:t>
            </w:r>
            <w:r w:rsidR="003B50ED">
              <w:rPr>
                <w:rFonts w:eastAsia="Calibri" w:cstheme="minorHAnsi"/>
              </w:rPr>
              <w:t xml:space="preserve"> </w:t>
            </w:r>
            <w:r w:rsidRPr="00A26C26">
              <w:rPr>
                <w:rFonts w:eastAsia="Calibri" w:cstheme="minorHAnsi"/>
              </w:rPr>
              <w:t>poziomie</w:t>
            </w:r>
            <w:r w:rsidR="003B50ED">
              <w:rPr>
                <w:rFonts w:eastAsia="Calibri" w:cstheme="minorHAnsi"/>
              </w:rPr>
              <w:t xml:space="preserve"> </w:t>
            </w:r>
            <w:r w:rsidRPr="00A26C26">
              <w:rPr>
                <w:rFonts w:eastAsia="Calibri" w:cstheme="minorHAnsi"/>
              </w:rPr>
              <w:t>lokalnym,</w:t>
            </w:r>
            <w:r w:rsidR="003B50ED">
              <w:rPr>
                <w:rFonts w:eastAsia="Calibri" w:cstheme="minorHAnsi"/>
              </w:rPr>
              <w:t xml:space="preserve"> </w:t>
            </w:r>
            <w:r w:rsidRPr="00A26C26">
              <w:rPr>
                <w:rFonts w:eastAsia="Calibri" w:cstheme="minorHAnsi"/>
              </w:rPr>
              <w:t>kultury,</w:t>
            </w:r>
            <w:r w:rsidR="003B50ED">
              <w:rPr>
                <w:rFonts w:eastAsia="Calibri" w:cstheme="minorHAnsi"/>
              </w:rPr>
              <w:t xml:space="preserve"> </w:t>
            </w:r>
            <w:r w:rsidRPr="00A26C26">
              <w:rPr>
                <w:rFonts w:eastAsia="Calibri" w:cstheme="minorHAnsi"/>
              </w:rPr>
              <w:t>dziedzictwa</w:t>
            </w:r>
            <w:r w:rsidR="003B50ED">
              <w:rPr>
                <w:rFonts w:eastAsia="Calibri" w:cstheme="minorHAnsi"/>
              </w:rPr>
              <w:t xml:space="preserve"> </w:t>
            </w:r>
            <w:r w:rsidRPr="00A26C26">
              <w:rPr>
                <w:rFonts w:eastAsia="Calibri" w:cstheme="minorHAnsi"/>
              </w:rPr>
              <w:t>naturalnego,</w:t>
            </w:r>
            <w:r w:rsidR="003B50ED">
              <w:rPr>
                <w:rFonts w:eastAsia="Calibri" w:cstheme="minorHAnsi"/>
              </w:rPr>
              <w:t xml:space="preserve"> </w:t>
            </w:r>
            <w:r w:rsidRPr="00A26C26">
              <w:rPr>
                <w:rFonts w:eastAsia="Calibri" w:cstheme="minorHAnsi"/>
              </w:rPr>
              <w:t>zrównoważonej</w:t>
            </w:r>
            <w:r w:rsidR="003B50ED">
              <w:rPr>
                <w:rFonts w:eastAsia="Calibri" w:cstheme="minorHAnsi"/>
              </w:rPr>
              <w:t xml:space="preserve"> </w:t>
            </w:r>
            <w:r w:rsidRPr="00A26C26">
              <w:rPr>
                <w:rFonts w:eastAsia="Calibri" w:cstheme="minorHAnsi"/>
              </w:rPr>
              <w:t>turystyki</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bezpieczeństwa</w:t>
            </w:r>
            <w:r w:rsidR="003B50ED">
              <w:rPr>
                <w:rFonts w:eastAsia="Calibri" w:cstheme="minorHAnsi"/>
              </w:rPr>
              <w:t xml:space="preserve"> </w:t>
            </w:r>
            <w:r w:rsidRPr="00A26C26">
              <w:rPr>
                <w:rFonts w:eastAsia="Calibri" w:cstheme="minorHAnsi"/>
              </w:rPr>
              <w:t>na</w:t>
            </w:r>
            <w:r w:rsidR="003B50ED">
              <w:rPr>
                <w:rFonts w:eastAsia="Calibri" w:cstheme="minorHAnsi"/>
              </w:rPr>
              <w:t xml:space="preserve"> </w:t>
            </w:r>
            <w:r w:rsidRPr="00A26C26">
              <w:rPr>
                <w:rFonts w:eastAsia="Calibri" w:cstheme="minorHAnsi"/>
              </w:rPr>
              <w:t>obszarach</w:t>
            </w:r>
            <w:r w:rsidR="003B50ED">
              <w:rPr>
                <w:rFonts w:eastAsia="Calibri" w:cstheme="minorHAnsi"/>
              </w:rPr>
              <w:t xml:space="preserve"> </w:t>
            </w:r>
            <w:r w:rsidRPr="00A26C26">
              <w:rPr>
                <w:rFonts w:eastAsia="Calibri" w:cstheme="minorHAnsi"/>
              </w:rPr>
              <w:t>innych</w:t>
            </w:r>
            <w:r w:rsidR="003B50ED">
              <w:rPr>
                <w:rFonts w:eastAsia="Calibri" w:cstheme="minorHAnsi"/>
              </w:rPr>
              <w:t xml:space="preserve"> </w:t>
            </w:r>
            <w:r w:rsidRPr="00A26C26">
              <w:rPr>
                <w:rFonts w:eastAsia="Calibri" w:cstheme="minorHAnsi"/>
              </w:rPr>
              <w:t>niż</w:t>
            </w:r>
            <w:r w:rsidR="003B50ED">
              <w:rPr>
                <w:rFonts w:eastAsia="Calibri" w:cstheme="minorHAnsi"/>
              </w:rPr>
              <w:t xml:space="preserve"> </w:t>
            </w:r>
            <w:r w:rsidRPr="00A26C26">
              <w:rPr>
                <w:rFonts w:eastAsia="Calibri" w:cstheme="minorHAnsi"/>
              </w:rPr>
              <w:t>miejskie”</w:t>
            </w:r>
            <w:r w:rsidR="003B50ED">
              <w:rPr>
                <w:rFonts w:eastAsia="Calibri" w:cstheme="minorHAnsi"/>
              </w:rPr>
              <w:t xml:space="preserve"> </w:t>
            </w:r>
          </w:p>
          <w:p w14:paraId="43FCCF90" w14:textId="510040F0" w:rsidR="00857736" w:rsidRPr="00A26C26" w:rsidRDefault="008A1F9F" w:rsidP="00A26C26">
            <w:pPr>
              <w:spacing w:line="276" w:lineRule="auto"/>
              <w:jc w:val="both"/>
              <w:rPr>
                <w:rFonts w:eastAsia="Calibri" w:cstheme="minorHAnsi"/>
              </w:rPr>
            </w:pPr>
            <w:r w:rsidRPr="00A26C26">
              <w:rPr>
                <w:rFonts w:eastAsia="Calibri" w:cstheme="minorHAnsi"/>
              </w:rPr>
              <w:t>Cel</w:t>
            </w:r>
            <w:r w:rsidR="003B50ED">
              <w:rPr>
                <w:rFonts w:eastAsia="Calibri" w:cstheme="minorHAnsi"/>
              </w:rPr>
              <w:t xml:space="preserve"> </w:t>
            </w:r>
            <w:r w:rsidRPr="00A26C26">
              <w:rPr>
                <w:rFonts w:eastAsia="Calibri" w:cstheme="minorHAnsi"/>
              </w:rPr>
              <w:t>szczegółowy</w:t>
            </w:r>
            <w:r w:rsidR="003B50ED">
              <w:rPr>
                <w:rFonts w:eastAsia="Calibri" w:cstheme="minorHAnsi"/>
              </w:rPr>
              <w:t xml:space="preserve"> </w:t>
            </w:r>
            <w:r w:rsidRPr="00A26C26">
              <w:rPr>
                <w:rFonts w:eastAsia="Calibri" w:cstheme="minorHAnsi"/>
              </w:rPr>
              <w:t>l)</w:t>
            </w:r>
            <w:r w:rsidR="003B50ED">
              <w:rPr>
                <w:rFonts w:eastAsia="Calibri" w:cstheme="minorHAnsi"/>
              </w:rPr>
              <w:t xml:space="preserve"> </w:t>
            </w:r>
            <w:r w:rsidRPr="00A26C26">
              <w:rPr>
                <w:rFonts w:eastAsia="Calibri" w:cstheme="minorHAnsi"/>
              </w:rPr>
              <w:t>Wspieranie</w:t>
            </w:r>
            <w:r w:rsidR="003B50ED">
              <w:rPr>
                <w:rFonts w:eastAsia="Calibri" w:cstheme="minorHAnsi"/>
              </w:rPr>
              <w:t xml:space="preserve"> </w:t>
            </w:r>
            <w:r w:rsidRPr="00A26C26">
              <w:rPr>
                <w:rFonts w:eastAsia="Calibri" w:cstheme="minorHAnsi"/>
              </w:rPr>
              <w:t>integracji</w:t>
            </w:r>
            <w:r w:rsidR="003B50ED">
              <w:rPr>
                <w:rFonts w:eastAsia="Calibri" w:cstheme="minorHAnsi"/>
              </w:rPr>
              <w:t xml:space="preserve"> </w:t>
            </w:r>
            <w:r w:rsidRPr="00A26C26">
              <w:rPr>
                <w:rFonts w:eastAsia="Calibri" w:cstheme="minorHAnsi"/>
              </w:rPr>
              <w:t>społecznej</w:t>
            </w:r>
            <w:r w:rsidR="003B50ED">
              <w:rPr>
                <w:rFonts w:eastAsia="Calibri" w:cstheme="minorHAnsi"/>
              </w:rPr>
              <w:t xml:space="preserve"> </w:t>
            </w:r>
            <w:r w:rsidRPr="00A26C26">
              <w:rPr>
                <w:rFonts w:eastAsia="Calibri" w:cstheme="minorHAnsi"/>
              </w:rPr>
              <w:t>osób</w:t>
            </w:r>
            <w:r w:rsidR="003B50ED">
              <w:rPr>
                <w:rFonts w:eastAsia="Calibri" w:cstheme="minorHAnsi"/>
              </w:rPr>
              <w:t xml:space="preserve"> </w:t>
            </w:r>
            <w:r w:rsidRPr="00A26C26">
              <w:rPr>
                <w:rFonts w:eastAsia="Calibri" w:cstheme="minorHAnsi"/>
              </w:rPr>
              <w:t>zagrożonych</w:t>
            </w:r>
            <w:r w:rsidR="003B50ED">
              <w:rPr>
                <w:rFonts w:eastAsia="Calibri" w:cstheme="minorHAnsi"/>
              </w:rPr>
              <w:t xml:space="preserve"> </w:t>
            </w:r>
            <w:r w:rsidRPr="00A26C26">
              <w:rPr>
                <w:rFonts w:eastAsia="Calibri" w:cstheme="minorHAnsi"/>
              </w:rPr>
              <w:t>ubóstwem</w:t>
            </w:r>
            <w:r w:rsidR="003B50ED">
              <w:rPr>
                <w:rFonts w:eastAsia="Calibri" w:cstheme="minorHAnsi"/>
              </w:rPr>
              <w:t xml:space="preserve"> </w:t>
            </w:r>
            <w:r w:rsidRPr="00A26C26">
              <w:rPr>
                <w:rFonts w:eastAsia="Calibri" w:cstheme="minorHAnsi"/>
              </w:rPr>
              <w:t>lub</w:t>
            </w:r>
            <w:r w:rsidR="003B50ED">
              <w:rPr>
                <w:rFonts w:eastAsia="Calibri" w:cstheme="minorHAnsi"/>
              </w:rPr>
              <w:t xml:space="preserve"> </w:t>
            </w:r>
            <w:r w:rsidRPr="00A26C26">
              <w:rPr>
                <w:rFonts w:eastAsia="Calibri" w:cstheme="minorHAnsi"/>
              </w:rPr>
              <w:t>wykluczeniem</w:t>
            </w:r>
            <w:r w:rsidR="003B50ED">
              <w:rPr>
                <w:rFonts w:eastAsia="Calibri" w:cstheme="minorHAnsi"/>
              </w:rPr>
              <w:t xml:space="preserve"> </w:t>
            </w:r>
            <w:r w:rsidRPr="00A26C26">
              <w:rPr>
                <w:rFonts w:eastAsia="Calibri" w:cstheme="minorHAnsi"/>
              </w:rPr>
              <w:t>społecznym,</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tym</w:t>
            </w:r>
            <w:r w:rsidR="003B50ED">
              <w:rPr>
                <w:rFonts w:eastAsia="Calibri" w:cstheme="minorHAnsi"/>
              </w:rPr>
              <w:t xml:space="preserve"> </w:t>
            </w:r>
            <w:r w:rsidRPr="00A26C26">
              <w:rPr>
                <w:rFonts w:eastAsia="Calibri" w:cstheme="minorHAnsi"/>
              </w:rPr>
              <w:t>osób</w:t>
            </w:r>
            <w:r w:rsidR="003B50ED">
              <w:rPr>
                <w:rFonts w:eastAsia="Calibri" w:cstheme="minorHAnsi"/>
              </w:rPr>
              <w:t xml:space="preserve"> </w:t>
            </w:r>
            <w:r w:rsidRPr="00A26C26">
              <w:rPr>
                <w:rFonts w:eastAsia="Calibri" w:cstheme="minorHAnsi"/>
              </w:rPr>
              <w:t>najbardziej</w:t>
            </w:r>
            <w:r w:rsidR="003B50ED">
              <w:rPr>
                <w:rFonts w:eastAsia="Calibri" w:cstheme="minorHAnsi"/>
              </w:rPr>
              <w:t xml:space="preserve"> </w:t>
            </w:r>
            <w:r w:rsidRPr="00A26C26">
              <w:rPr>
                <w:rFonts w:eastAsia="Calibri" w:cstheme="minorHAnsi"/>
              </w:rPr>
              <w:t>potrzebujących</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dzieci</w:t>
            </w:r>
            <w:r w:rsidR="003B50ED">
              <w:rPr>
                <w:rFonts w:eastAsia="Calibri" w:cstheme="minorHAnsi"/>
              </w:rPr>
              <w:t xml:space="preserve"> </w:t>
            </w:r>
          </w:p>
        </w:tc>
      </w:tr>
      <w:tr w:rsidR="00857736" w:rsidRPr="00A26C26" w14:paraId="4C0D5BB1" w14:textId="77777777" w:rsidTr="00233140">
        <w:trPr>
          <w:trHeight w:val="249"/>
        </w:trPr>
        <w:tc>
          <w:tcPr>
            <w:tcW w:w="10201" w:type="dxa"/>
            <w:gridSpan w:val="2"/>
          </w:tcPr>
          <w:p w14:paraId="0A2BC77D" w14:textId="644D422D" w:rsidR="00857736" w:rsidRPr="00A26C26" w:rsidRDefault="00857736" w:rsidP="00A26C26">
            <w:pPr>
              <w:spacing w:line="276" w:lineRule="auto"/>
              <w:jc w:val="both"/>
              <w:rPr>
                <w:rFonts w:eastAsia="Calibri" w:cstheme="minorHAnsi"/>
                <w:lang w:eastAsia="pl-PL"/>
              </w:rPr>
            </w:pPr>
            <w:r w:rsidRPr="00A26C26">
              <w:rPr>
                <w:rFonts w:eastAsia="Calibri" w:cstheme="minorHAnsi"/>
                <w:lang w:eastAsia="pl-PL"/>
              </w:rPr>
              <w:t>Przedsięwzięcia</w:t>
            </w:r>
            <w:r w:rsidR="003B50ED">
              <w:rPr>
                <w:rFonts w:eastAsia="Calibri" w:cstheme="minorHAnsi"/>
                <w:lang w:eastAsia="pl-PL"/>
              </w:rPr>
              <w:t xml:space="preserve"> </w:t>
            </w:r>
            <w:r w:rsidRPr="00A26C26">
              <w:rPr>
                <w:rFonts w:eastAsia="Calibri" w:cstheme="minorHAnsi"/>
                <w:lang w:eastAsia="pl-PL"/>
              </w:rPr>
              <w:t>LSR</w:t>
            </w:r>
            <w:r w:rsidR="003B50ED">
              <w:rPr>
                <w:rFonts w:eastAsia="Calibri" w:cstheme="minorHAnsi"/>
                <w:lang w:eastAsia="pl-PL"/>
              </w:rPr>
              <w:t xml:space="preserve"> </w:t>
            </w:r>
            <w:r w:rsidRPr="00A26C26">
              <w:rPr>
                <w:rFonts w:eastAsia="Calibri" w:cstheme="minorHAnsi"/>
                <w:lang w:eastAsia="pl-PL"/>
              </w:rPr>
              <w:t>są</w:t>
            </w:r>
            <w:r w:rsidR="003B50ED">
              <w:rPr>
                <w:rFonts w:eastAsia="Calibri" w:cstheme="minorHAnsi"/>
                <w:lang w:eastAsia="pl-PL"/>
              </w:rPr>
              <w:t xml:space="preserve"> </w:t>
            </w:r>
            <w:r w:rsidRPr="00A26C26">
              <w:rPr>
                <w:rFonts w:eastAsia="Calibri" w:cstheme="minorHAnsi"/>
                <w:lang w:eastAsia="pl-PL"/>
              </w:rPr>
              <w:t>względem</w:t>
            </w:r>
            <w:r w:rsidR="003B50ED">
              <w:rPr>
                <w:rFonts w:eastAsia="Calibri" w:cstheme="minorHAnsi"/>
                <w:lang w:eastAsia="pl-PL"/>
              </w:rPr>
              <w:t xml:space="preserve"> </w:t>
            </w:r>
            <w:r w:rsidRPr="00A26C26">
              <w:rPr>
                <w:rFonts w:eastAsia="Calibri" w:cstheme="minorHAnsi"/>
                <w:lang w:eastAsia="pl-PL"/>
              </w:rPr>
              <w:t>celów</w:t>
            </w:r>
            <w:r w:rsidR="003B50ED">
              <w:rPr>
                <w:rFonts w:eastAsia="Calibri" w:cstheme="minorHAnsi"/>
                <w:lang w:eastAsia="pl-PL"/>
              </w:rPr>
              <w:t xml:space="preserve"> </w:t>
            </w:r>
            <w:r w:rsidRPr="00A26C26">
              <w:rPr>
                <w:rFonts w:eastAsia="Calibri" w:cstheme="minorHAnsi"/>
                <w:lang w:eastAsia="pl-PL"/>
              </w:rPr>
              <w:t>Strategii</w:t>
            </w:r>
            <w:r w:rsidR="003B50ED">
              <w:rPr>
                <w:rFonts w:eastAsia="Calibri" w:cstheme="minorHAnsi"/>
                <w:lang w:eastAsia="pl-PL"/>
              </w:rPr>
              <w:t xml:space="preserve"> </w:t>
            </w:r>
            <w:r w:rsidRPr="00A26C26">
              <w:rPr>
                <w:rFonts w:eastAsia="Calibri" w:cstheme="minorHAnsi"/>
                <w:lang w:eastAsia="pl-PL"/>
              </w:rPr>
              <w:t>komplementarne,</w:t>
            </w:r>
            <w:r w:rsidR="003B50ED">
              <w:rPr>
                <w:rFonts w:eastAsia="Calibri" w:cstheme="minorHAnsi"/>
                <w:lang w:eastAsia="pl-PL"/>
              </w:rPr>
              <w:t xml:space="preserve"> </w:t>
            </w:r>
            <w:r w:rsidRPr="00A26C26">
              <w:rPr>
                <w:rFonts w:eastAsia="Calibri" w:cstheme="minorHAnsi"/>
                <w:lang w:eastAsia="pl-PL"/>
              </w:rPr>
              <w:t>spójne</w:t>
            </w:r>
            <w:r w:rsidR="003B50ED">
              <w:rPr>
                <w:rFonts w:eastAsia="Calibri" w:cstheme="minorHAnsi"/>
                <w:lang w:eastAsia="pl-PL"/>
              </w:rPr>
              <w:t xml:space="preserve"> </w:t>
            </w:r>
            <w:r w:rsidRPr="00A26C26">
              <w:rPr>
                <w:rFonts w:eastAsia="Calibri" w:cstheme="minorHAnsi"/>
                <w:lang w:eastAsia="pl-PL"/>
              </w:rPr>
              <w:t>i</w:t>
            </w:r>
            <w:r w:rsidR="003B50ED">
              <w:rPr>
                <w:rFonts w:eastAsia="Calibri" w:cstheme="minorHAnsi"/>
                <w:lang w:eastAsia="pl-PL"/>
              </w:rPr>
              <w:t xml:space="preserve"> </w:t>
            </w:r>
            <w:r w:rsidRPr="00A26C26">
              <w:rPr>
                <w:rFonts w:eastAsia="Calibri" w:cstheme="minorHAnsi"/>
                <w:lang w:eastAsia="pl-PL"/>
              </w:rPr>
              <w:t>synergiczne.</w:t>
            </w:r>
            <w:r w:rsidR="003B50ED">
              <w:rPr>
                <w:rFonts w:eastAsia="Calibri" w:cstheme="minorHAnsi"/>
                <w:lang w:eastAsia="pl-PL"/>
              </w:rPr>
              <w:t xml:space="preserve"> </w:t>
            </w:r>
          </w:p>
          <w:p w14:paraId="6A3D4859" w14:textId="7885A771" w:rsidR="00857736" w:rsidRPr="00A26C26" w:rsidRDefault="00857736" w:rsidP="00A26C26">
            <w:pPr>
              <w:spacing w:line="276" w:lineRule="auto"/>
              <w:jc w:val="both"/>
              <w:rPr>
                <w:rFonts w:eastAsia="Calibri" w:cstheme="minorHAnsi"/>
              </w:rPr>
            </w:pPr>
            <w:r w:rsidRPr="00A26C26">
              <w:rPr>
                <w:rFonts w:eastAsia="Calibri" w:cstheme="minorHAnsi"/>
              </w:rPr>
              <w:t>Cele</w:t>
            </w:r>
            <w:r w:rsidR="003B50ED">
              <w:rPr>
                <w:rFonts w:eastAsia="Calibri" w:cstheme="minorHAnsi"/>
              </w:rPr>
              <w:t xml:space="preserve"> </w:t>
            </w:r>
            <w:r w:rsidRPr="00A26C26">
              <w:rPr>
                <w:rFonts w:eastAsia="Calibri" w:cstheme="minorHAnsi"/>
              </w:rPr>
              <w:t>LSR</w:t>
            </w:r>
            <w:r w:rsidR="003B50ED">
              <w:rPr>
                <w:rFonts w:eastAsia="Calibri" w:cstheme="minorHAnsi"/>
              </w:rPr>
              <w:t xml:space="preserve"> </w:t>
            </w:r>
            <w:r w:rsidR="00AB2426" w:rsidRPr="00341F56">
              <w:rPr>
                <w:rFonts w:eastAsia="Calibri" w:cstheme="minorHAnsi"/>
              </w:rPr>
              <w:t xml:space="preserve">są </w:t>
            </w:r>
            <w:r w:rsidRPr="00341F56">
              <w:rPr>
                <w:rFonts w:eastAsia="Calibri" w:cstheme="minorHAnsi"/>
              </w:rPr>
              <w:t>sp</w:t>
            </w:r>
            <w:r w:rsidRPr="00A26C26">
              <w:rPr>
                <w:rFonts w:eastAsia="Calibri" w:cstheme="minorHAnsi"/>
              </w:rPr>
              <w:t>ójne</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wykazują</w:t>
            </w:r>
            <w:r w:rsidR="003B50ED">
              <w:rPr>
                <w:rFonts w:eastAsia="Calibri" w:cstheme="minorHAnsi"/>
              </w:rPr>
              <w:t xml:space="preserve"> </w:t>
            </w:r>
            <w:r w:rsidRPr="00A26C26">
              <w:rPr>
                <w:rFonts w:eastAsia="Calibri" w:cstheme="minorHAnsi"/>
              </w:rPr>
              <w:t>wysoki</w:t>
            </w:r>
            <w:r w:rsidR="003B50ED">
              <w:rPr>
                <w:rFonts w:eastAsia="Calibri" w:cstheme="minorHAnsi"/>
              </w:rPr>
              <w:t xml:space="preserve"> </w:t>
            </w:r>
            <w:r w:rsidRPr="00A26C26">
              <w:rPr>
                <w:rFonts w:eastAsia="Calibri" w:cstheme="minorHAnsi"/>
              </w:rPr>
              <w:t>stopień</w:t>
            </w:r>
            <w:r w:rsidR="003B50ED">
              <w:rPr>
                <w:rFonts w:eastAsia="Calibri" w:cstheme="minorHAnsi"/>
              </w:rPr>
              <w:t xml:space="preserve"> </w:t>
            </w:r>
            <w:r w:rsidRPr="00A26C26">
              <w:rPr>
                <w:rFonts w:eastAsia="Calibri" w:cstheme="minorHAnsi"/>
              </w:rPr>
              <w:t>komplementarności</w:t>
            </w:r>
            <w:r w:rsidR="003B50ED">
              <w:rPr>
                <w:rFonts w:eastAsia="Calibri" w:cstheme="minorHAnsi"/>
              </w:rPr>
              <w:t xml:space="preserve"> </w:t>
            </w:r>
            <w:r w:rsidRPr="00A26C26">
              <w:rPr>
                <w:rFonts w:eastAsia="Calibri" w:cstheme="minorHAnsi"/>
              </w:rPr>
              <w:t>z</w:t>
            </w:r>
            <w:r w:rsidR="003B50ED">
              <w:rPr>
                <w:rFonts w:eastAsia="Calibri" w:cstheme="minorHAnsi"/>
              </w:rPr>
              <w:t xml:space="preserve"> </w:t>
            </w:r>
            <w:r w:rsidRPr="00A26C26">
              <w:rPr>
                <w:rFonts w:eastAsia="Calibri" w:cstheme="minorHAnsi"/>
              </w:rPr>
              <w:t>celami</w:t>
            </w:r>
            <w:r w:rsidR="003B50ED">
              <w:rPr>
                <w:rFonts w:eastAsia="Calibri" w:cstheme="minorHAnsi"/>
              </w:rPr>
              <w:t xml:space="preserve"> </w:t>
            </w:r>
            <w:r w:rsidRPr="00A26C26">
              <w:rPr>
                <w:rFonts w:eastAsia="Calibri" w:cstheme="minorHAnsi"/>
              </w:rPr>
              <w:t>F</w:t>
            </w:r>
            <w:r w:rsidR="00430086" w:rsidRPr="00A26C26">
              <w:rPr>
                <w:rFonts w:eastAsia="Calibri" w:cstheme="minorHAnsi"/>
              </w:rPr>
              <w:t>EW</w:t>
            </w:r>
            <w:r w:rsidRPr="00A26C26">
              <w:rPr>
                <w:rFonts w:eastAsia="Calibri" w:cstheme="minorHAnsi"/>
              </w:rPr>
              <w:t>,</w:t>
            </w:r>
            <w:r w:rsidR="003B50ED">
              <w:rPr>
                <w:rFonts w:eastAsia="Calibri" w:cstheme="minorHAnsi"/>
              </w:rPr>
              <w:t xml:space="preserve"> </w:t>
            </w:r>
            <w:r w:rsidRPr="00A26C26">
              <w:rPr>
                <w:rFonts w:eastAsia="Calibri" w:cstheme="minorHAnsi"/>
              </w:rPr>
              <w:t>przede</w:t>
            </w:r>
            <w:r w:rsidR="003B50ED">
              <w:rPr>
                <w:rFonts w:eastAsia="Calibri" w:cstheme="minorHAnsi"/>
              </w:rPr>
              <w:t xml:space="preserve"> </w:t>
            </w:r>
            <w:r w:rsidRPr="00A26C26">
              <w:rPr>
                <w:rFonts w:eastAsia="Calibri" w:cstheme="minorHAnsi"/>
              </w:rPr>
              <w:t>wszystkim</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zakresie</w:t>
            </w:r>
            <w:r w:rsidR="003B50ED">
              <w:rPr>
                <w:rFonts w:eastAsia="Calibri" w:cstheme="minorHAnsi"/>
              </w:rPr>
              <w:t xml:space="preserve"> </w:t>
            </w:r>
            <w:r w:rsidRPr="00A26C26">
              <w:rPr>
                <w:rFonts w:eastAsia="Calibri" w:cstheme="minorHAnsi"/>
              </w:rPr>
              <w:t>integracji</w:t>
            </w:r>
            <w:r w:rsidR="003B50ED">
              <w:rPr>
                <w:rFonts w:eastAsia="Calibri" w:cstheme="minorHAnsi"/>
              </w:rPr>
              <w:t xml:space="preserve"> </w:t>
            </w:r>
            <w:r w:rsidRPr="00A26C26">
              <w:rPr>
                <w:rFonts w:eastAsia="Calibri" w:cstheme="minorHAnsi"/>
              </w:rPr>
              <w:t>społecznej</w:t>
            </w:r>
            <w:r w:rsidR="003B50ED">
              <w:rPr>
                <w:rFonts w:eastAsia="Calibri" w:cstheme="minorHAnsi"/>
              </w:rPr>
              <w:t xml:space="preserve"> </w:t>
            </w:r>
            <w:r w:rsidRPr="00A26C26">
              <w:rPr>
                <w:rFonts w:eastAsia="Calibri" w:cstheme="minorHAnsi"/>
              </w:rPr>
              <w:t>na</w:t>
            </w:r>
            <w:r w:rsidR="003B50ED">
              <w:rPr>
                <w:rFonts w:eastAsia="Calibri" w:cstheme="minorHAnsi"/>
              </w:rPr>
              <w:t xml:space="preserve"> </w:t>
            </w:r>
            <w:r w:rsidRPr="00A26C26">
              <w:rPr>
                <w:rFonts w:eastAsia="Calibri" w:cstheme="minorHAnsi"/>
              </w:rPr>
              <w:t>obszarach</w:t>
            </w:r>
            <w:r w:rsidR="003B50ED">
              <w:rPr>
                <w:rFonts w:eastAsia="Calibri" w:cstheme="minorHAnsi"/>
              </w:rPr>
              <w:t xml:space="preserve"> </w:t>
            </w:r>
            <w:r w:rsidRPr="00A26C26">
              <w:rPr>
                <w:rFonts w:eastAsia="Calibri" w:cstheme="minorHAnsi"/>
              </w:rPr>
              <w:t>wiejskich</w:t>
            </w:r>
            <w:r w:rsidR="003B50ED">
              <w:rPr>
                <w:rFonts w:eastAsia="Calibri" w:cstheme="minorHAnsi"/>
              </w:rPr>
              <w:t xml:space="preserve"> </w:t>
            </w:r>
            <w:r w:rsidRPr="00A26C26">
              <w:rPr>
                <w:rFonts w:eastAsia="Calibri" w:cstheme="minorHAnsi"/>
              </w:rPr>
              <w:t>(P</w:t>
            </w:r>
            <w:r w:rsidR="00430086" w:rsidRPr="00A26C26">
              <w:rPr>
                <w:rFonts w:eastAsia="Calibri" w:cstheme="minorHAnsi"/>
              </w:rPr>
              <w:t>1.6</w:t>
            </w:r>
            <w:r w:rsidRPr="00A26C26">
              <w:rPr>
                <w:rFonts w:eastAsia="Calibri" w:cstheme="minorHAnsi"/>
              </w:rPr>
              <w:t>.)</w:t>
            </w:r>
            <w:r w:rsidR="003B50ED">
              <w:rPr>
                <w:rFonts w:eastAsia="Calibri" w:cstheme="minorHAnsi"/>
              </w:rPr>
              <w:t xml:space="preserve"> </w:t>
            </w:r>
            <w:r w:rsidR="00430086" w:rsidRPr="00A26C26">
              <w:rPr>
                <w:rFonts w:eastAsia="Calibri" w:cstheme="minorHAnsi"/>
              </w:rPr>
              <w:t>oraz</w:t>
            </w:r>
            <w:r w:rsidR="003B50ED">
              <w:rPr>
                <w:rFonts w:eastAsia="Calibri" w:cstheme="minorHAnsi"/>
              </w:rPr>
              <w:t xml:space="preserve"> </w:t>
            </w:r>
            <w:r w:rsidR="00430086" w:rsidRPr="00A26C26">
              <w:rPr>
                <w:rFonts w:eastAsia="Calibri" w:cstheme="minorHAnsi"/>
              </w:rPr>
              <w:t>rozwoju</w:t>
            </w:r>
            <w:r w:rsidR="003B50ED">
              <w:rPr>
                <w:rFonts w:eastAsia="Calibri" w:cstheme="minorHAnsi"/>
              </w:rPr>
              <w:t xml:space="preserve"> </w:t>
            </w:r>
            <w:r w:rsidR="00430086" w:rsidRPr="00A26C26">
              <w:rPr>
                <w:rFonts w:eastAsia="Calibri" w:cstheme="minorHAnsi"/>
              </w:rPr>
              <w:t>małej</w:t>
            </w:r>
            <w:r w:rsidR="003B50ED">
              <w:rPr>
                <w:rFonts w:eastAsia="Calibri" w:cstheme="minorHAnsi"/>
              </w:rPr>
              <w:t xml:space="preserve"> </w:t>
            </w:r>
            <w:r w:rsidR="00430086" w:rsidRPr="00A26C26">
              <w:rPr>
                <w:rFonts w:eastAsia="Calibri" w:cstheme="minorHAnsi"/>
              </w:rPr>
              <w:t>infrastruktury</w:t>
            </w:r>
            <w:r w:rsidR="003B50ED">
              <w:rPr>
                <w:rFonts w:eastAsia="Calibri" w:cstheme="minorHAnsi"/>
              </w:rPr>
              <w:t xml:space="preserve"> </w:t>
            </w:r>
            <w:r w:rsidR="00430086" w:rsidRPr="00A26C26">
              <w:rPr>
                <w:rFonts w:eastAsia="Calibri" w:cstheme="minorHAnsi"/>
              </w:rPr>
              <w:t>publicznej</w:t>
            </w:r>
            <w:r w:rsidR="003B50ED">
              <w:rPr>
                <w:rFonts w:eastAsia="Calibri" w:cstheme="minorHAnsi"/>
              </w:rPr>
              <w:t xml:space="preserve"> </w:t>
            </w:r>
            <w:r w:rsidR="00430086" w:rsidRPr="00A26C26">
              <w:rPr>
                <w:rFonts w:eastAsia="Calibri" w:cstheme="minorHAnsi"/>
              </w:rPr>
              <w:t>(P.1.2.)</w:t>
            </w:r>
            <w:r w:rsidR="003B50ED">
              <w:rPr>
                <w:rFonts w:eastAsia="Calibri" w:cstheme="minorHAnsi"/>
              </w:rPr>
              <w:t xml:space="preserve"> </w:t>
            </w:r>
            <w:r w:rsidR="00430086" w:rsidRPr="00A26C26">
              <w:rPr>
                <w:rFonts w:eastAsia="Calibri" w:cstheme="minorHAnsi"/>
              </w:rPr>
              <w:t>w</w:t>
            </w:r>
            <w:r w:rsidR="003B50ED">
              <w:rPr>
                <w:rFonts w:eastAsia="Calibri" w:cstheme="minorHAnsi"/>
              </w:rPr>
              <w:t xml:space="preserve"> </w:t>
            </w:r>
            <w:r w:rsidR="00430086" w:rsidRPr="00A26C26">
              <w:rPr>
                <w:rFonts w:eastAsia="Calibri" w:cstheme="minorHAnsi"/>
              </w:rPr>
              <w:t>tym</w:t>
            </w:r>
            <w:r w:rsidR="003B50ED">
              <w:rPr>
                <w:rFonts w:eastAsia="Calibri" w:cstheme="minorHAnsi"/>
              </w:rPr>
              <w:t xml:space="preserve"> </w:t>
            </w:r>
            <w:r w:rsidR="00430086" w:rsidRPr="00A26C26">
              <w:rPr>
                <w:rFonts w:eastAsia="Calibri" w:cstheme="minorHAnsi"/>
              </w:rPr>
              <w:t>szczególności</w:t>
            </w:r>
            <w:r w:rsidR="003B50ED">
              <w:rPr>
                <w:rFonts w:eastAsia="Calibri" w:cstheme="minorHAnsi"/>
              </w:rPr>
              <w:t xml:space="preserve"> </w:t>
            </w:r>
            <w:r w:rsidR="00430086" w:rsidRPr="00A26C26">
              <w:rPr>
                <w:rFonts w:eastAsia="Calibri" w:cstheme="minorHAnsi"/>
              </w:rPr>
              <w:t>operacje</w:t>
            </w:r>
            <w:r w:rsidR="003B50ED">
              <w:rPr>
                <w:rFonts w:eastAsia="Calibri" w:cstheme="minorHAnsi"/>
              </w:rPr>
              <w:t xml:space="preserve"> </w:t>
            </w:r>
            <w:r w:rsidR="00430086" w:rsidRPr="00A26C26">
              <w:rPr>
                <w:rFonts w:eastAsia="Calibri" w:cstheme="minorHAnsi"/>
              </w:rPr>
              <w:t>z</w:t>
            </w:r>
            <w:r w:rsidR="003B50ED">
              <w:rPr>
                <w:rFonts w:eastAsia="Calibri" w:cstheme="minorHAnsi"/>
              </w:rPr>
              <w:t xml:space="preserve"> </w:t>
            </w:r>
            <w:r w:rsidR="00430086" w:rsidRPr="00A26C26">
              <w:rPr>
                <w:rFonts w:eastAsia="Calibri" w:cstheme="minorHAnsi"/>
              </w:rPr>
              <w:t>zakresu</w:t>
            </w:r>
            <w:r w:rsidR="003B50ED">
              <w:rPr>
                <w:rFonts w:eastAsia="Calibri" w:cstheme="minorHAnsi"/>
              </w:rPr>
              <w:t xml:space="preserve"> </w:t>
            </w:r>
            <w:r w:rsidR="00430086" w:rsidRPr="00A26C26">
              <w:rPr>
                <w:rFonts w:eastAsia="Calibri" w:cstheme="minorHAnsi"/>
              </w:rPr>
              <w:t>kultury</w:t>
            </w:r>
            <w:r w:rsidR="003B50ED">
              <w:rPr>
                <w:rFonts w:eastAsia="Calibri" w:cstheme="minorHAnsi"/>
              </w:rPr>
              <w:t xml:space="preserve"> </w:t>
            </w:r>
            <w:r w:rsidR="00430086" w:rsidRPr="00A26C26">
              <w:rPr>
                <w:rFonts w:eastAsia="Calibri" w:cstheme="minorHAnsi"/>
              </w:rPr>
              <w:t>oraz</w:t>
            </w:r>
            <w:r w:rsidR="003B50ED">
              <w:rPr>
                <w:rFonts w:eastAsia="Calibri" w:cstheme="minorHAnsi"/>
              </w:rPr>
              <w:t xml:space="preserve"> </w:t>
            </w:r>
            <w:r w:rsidR="00430086" w:rsidRPr="00A26C26">
              <w:rPr>
                <w:rFonts w:eastAsia="Calibri" w:cstheme="minorHAnsi"/>
              </w:rPr>
              <w:t>turystyki</w:t>
            </w:r>
          </w:p>
        </w:tc>
      </w:tr>
      <w:tr w:rsidR="00857736" w:rsidRPr="00A26C26" w14:paraId="093B0C82" w14:textId="77777777" w:rsidTr="00233140">
        <w:trPr>
          <w:trHeight w:val="249"/>
        </w:trPr>
        <w:tc>
          <w:tcPr>
            <w:tcW w:w="10201" w:type="dxa"/>
            <w:gridSpan w:val="2"/>
            <w:hideMark/>
          </w:tcPr>
          <w:p w14:paraId="792E8897" w14:textId="42513A31" w:rsidR="00857736" w:rsidRPr="00A26C26" w:rsidRDefault="00D95629" w:rsidP="00AB2426">
            <w:pPr>
              <w:spacing w:line="276" w:lineRule="auto"/>
              <w:jc w:val="both"/>
              <w:rPr>
                <w:rFonts w:eastAsia="Calibri" w:cstheme="minorHAnsi"/>
                <w:b/>
                <w:bCs/>
              </w:rPr>
            </w:pPr>
            <w:r w:rsidRPr="00AB2426">
              <w:rPr>
                <w:rFonts w:eastAsia="Calibri" w:cstheme="minorHAnsi"/>
                <w:b/>
                <w:bCs/>
              </w:rPr>
              <w:t>Strategia</w:t>
            </w:r>
            <w:r w:rsidR="003B50ED" w:rsidRPr="00AB2426">
              <w:rPr>
                <w:rFonts w:eastAsia="Calibri" w:cstheme="minorHAnsi"/>
                <w:b/>
                <w:bCs/>
              </w:rPr>
              <w:t xml:space="preserve"> </w:t>
            </w:r>
            <w:r w:rsidR="00857736" w:rsidRPr="00AB2426">
              <w:rPr>
                <w:rFonts w:eastAsia="Calibri" w:cstheme="minorHAnsi"/>
                <w:b/>
                <w:bCs/>
              </w:rPr>
              <w:t>Powiatu</w:t>
            </w:r>
            <w:r w:rsidR="003B50ED" w:rsidRPr="00AB2426">
              <w:rPr>
                <w:rFonts w:eastAsia="Calibri" w:cstheme="minorHAnsi"/>
                <w:b/>
                <w:bCs/>
              </w:rPr>
              <w:t xml:space="preserve"> </w:t>
            </w:r>
            <w:r w:rsidRPr="00AB2426">
              <w:rPr>
                <w:rFonts w:eastAsia="Calibri" w:cstheme="minorHAnsi"/>
                <w:b/>
                <w:bCs/>
              </w:rPr>
              <w:t>Konińskiego</w:t>
            </w:r>
            <w:r w:rsidR="00AB2426">
              <w:rPr>
                <w:rFonts w:eastAsia="Calibri" w:cstheme="minorHAnsi"/>
                <w:b/>
                <w:bCs/>
              </w:rPr>
              <w:t xml:space="preserve"> </w:t>
            </w:r>
          </w:p>
        </w:tc>
      </w:tr>
      <w:tr w:rsidR="00857736" w:rsidRPr="00A26C26" w14:paraId="43DD38F5" w14:textId="77777777" w:rsidTr="00233140">
        <w:trPr>
          <w:trHeight w:val="249"/>
        </w:trPr>
        <w:tc>
          <w:tcPr>
            <w:tcW w:w="10201" w:type="dxa"/>
            <w:gridSpan w:val="2"/>
          </w:tcPr>
          <w:p w14:paraId="2F466008" w14:textId="10163D8F" w:rsidR="00857736" w:rsidRPr="00A26C26" w:rsidRDefault="00885771" w:rsidP="00A26C26">
            <w:pPr>
              <w:spacing w:line="276" w:lineRule="auto"/>
              <w:jc w:val="both"/>
              <w:rPr>
                <w:rFonts w:eastAsia="Calibri" w:cstheme="minorHAnsi"/>
              </w:rPr>
            </w:pPr>
            <w:r w:rsidRPr="00A26C26">
              <w:rPr>
                <w:rFonts w:eastAsia="Calibri" w:cstheme="minorHAnsi"/>
              </w:rPr>
              <w:t>1.2.</w:t>
            </w:r>
            <w:r w:rsidR="003B50ED">
              <w:rPr>
                <w:rFonts w:eastAsia="Calibri" w:cstheme="minorHAnsi"/>
              </w:rPr>
              <w:t xml:space="preserve"> </w:t>
            </w:r>
            <w:r w:rsidRPr="00A26C26">
              <w:rPr>
                <w:rFonts w:eastAsia="Calibri" w:cstheme="minorHAnsi"/>
              </w:rPr>
              <w:t>Turystyka,</w:t>
            </w:r>
            <w:r w:rsidR="003B50ED">
              <w:rPr>
                <w:rFonts w:eastAsia="Calibri" w:cstheme="minorHAnsi"/>
              </w:rPr>
              <w:t xml:space="preserve"> </w:t>
            </w:r>
            <w:r w:rsidRPr="00A26C26">
              <w:rPr>
                <w:rFonts w:eastAsia="Calibri" w:cstheme="minorHAnsi"/>
              </w:rPr>
              <w:t>która</w:t>
            </w:r>
            <w:r w:rsidR="003B50ED">
              <w:rPr>
                <w:rFonts w:eastAsia="Calibri" w:cstheme="minorHAnsi"/>
              </w:rPr>
              <w:t xml:space="preserve"> </w:t>
            </w:r>
            <w:r w:rsidRPr="00A26C26">
              <w:rPr>
                <w:rFonts w:eastAsia="Calibri" w:cstheme="minorHAnsi"/>
              </w:rPr>
              <w:t>nas</w:t>
            </w:r>
            <w:r w:rsidR="003B50ED">
              <w:rPr>
                <w:rFonts w:eastAsia="Calibri" w:cstheme="minorHAnsi"/>
              </w:rPr>
              <w:t xml:space="preserve"> </w:t>
            </w:r>
            <w:r w:rsidRPr="00A26C26">
              <w:rPr>
                <w:rFonts w:eastAsia="Calibri" w:cstheme="minorHAnsi"/>
              </w:rPr>
              <w:t>napędza</w:t>
            </w:r>
          </w:p>
          <w:p w14:paraId="66846F6E" w14:textId="104FB38C" w:rsidR="00885771" w:rsidRPr="00A26C26" w:rsidRDefault="00885771" w:rsidP="00A26C26">
            <w:pPr>
              <w:spacing w:line="276" w:lineRule="auto"/>
              <w:jc w:val="both"/>
              <w:rPr>
                <w:rFonts w:eastAsia="Calibri" w:cstheme="minorHAnsi"/>
              </w:rPr>
            </w:pPr>
            <w:r w:rsidRPr="00A26C26">
              <w:rPr>
                <w:rFonts w:eastAsia="Calibri" w:cstheme="minorHAnsi"/>
              </w:rPr>
              <w:t>1.5.</w:t>
            </w:r>
            <w:r w:rsidR="003B50ED">
              <w:rPr>
                <w:rFonts w:eastAsia="Calibri" w:cstheme="minorHAnsi"/>
              </w:rPr>
              <w:t xml:space="preserve"> </w:t>
            </w:r>
            <w:r w:rsidRPr="00A26C26">
              <w:rPr>
                <w:rFonts w:eastAsia="Calibri" w:cstheme="minorHAnsi"/>
              </w:rPr>
              <w:t>Innowacje</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gospodarce</w:t>
            </w:r>
          </w:p>
          <w:p w14:paraId="779CCEB6" w14:textId="768B024B" w:rsidR="00885771" w:rsidRPr="00A26C26" w:rsidRDefault="00885771" w:rsidP="00A26C26">
            <w:pPr>
              <w:spacing w:line="276" w:lineRule="auto"/>
              <w:jc w:val="both"/>
              <w:rPr>
                <w:rFonts w:eastAsia="Calibri" w:cstheme="minorHAnsi"/>
              </w:rPr>
            </w:pPr>
            <w:r w:rsidRPr="00A26C26">
              <w:rPr>
                <w:rFonts w:eastAsia="Calibri" w:cstheme="minorHAnsi"/>
              </w:rPr>
              <w:t>3.1.</w:t>
            </w:r>
            <w:r w:rsidR="003B50ED">
              <w:rPr>
                <w:rFonts w:eastAsia="Calibri" w:cstheme="minorHAnsi"/>
              </w:rPr>
              <w:t xml:space="preserve"> </w:t>
            </w:r>
            <w:r w:rsidRPr="00A26C26">
              <w:rPr>
                <w:rFonts w:eastAsia="Calibri" w:cstheme="minorHAnsi"/>
              </w:rPr>
              <w:t>Rozwinięta</w:t>
            </w:r>
            <w:r w:rsidR="003B50ED">
              <w:rPr>
                <w:rFonts w:eastAsia="Calibri" w:cstheme="minorHAnsi"/>
              </w:rPr>
              <w:t xml:space="preserve"> </w:t>
            </w:r>
            <w:r w:rsidRPr="00A26C26">
              <w:rPr>
                <w:rFonts w:eastAsia="Calibri" w:cstheme="minorHAnsi"/>
              </w:rPr>
              <w:t>oferta</w:t>
            </w:r>
            <w:r w:rsidR="003B50ED">
              <w:rPr>
                <w:rFonts w:eastAsia="Calibri" w:cstheme="minorHAnsi"/>
              </w:rPr>
              <w:t xml:space="preserve"> </w:t>
            </w:r>
            <w:r w:rsidRPr="00A26C26">
              <w:rPr>
                <w:rFonts w:eastAsia="Calibri" w:cstheme="minorHAnsi"/>
              </w:rPr>
              <w:t>czasu</w:t>
            </w:r>
            <w:r w:rsidR="003B50ED">
              <w:rPr>
                <w:rFonts w:eastAsia="Calibri" w:cstheme="minorHAnsi"/>
              </w:rPr>
              <w:t xml:space="preserve"> </w:t>
            </w:r>
            <w:r w:rsidRPr="00A26C26">
              <w:rPr>
                <w:rFonts w:eastAsia="Calibri" w:cstheme="minorHAnsi"/>
              </w:rPr>
              <w:t>wolnego</w:t>
            </w:r>
            <w:r w:rsidR="003B50ED">
              <w:rPr>
                <w:rFonts w:eastAsia="Calibri" w:cstheme="minorHAnsi"/>
              </w:rPr>
              <w:t xml:space="preserve"> </w:t>
            </w:r>
          </w:p>
          <w:p w14:paraId="0B179708" w14:textId="4C4B5452" w:rsidR="00885771" w:rsidRPr="00A26C26" w:rsidRDefault="00885771" w:rsidP="00A26C26">
            <w:pPr>
              <w:spacing w:line="276" w:lineRule="auto"/>
              <w:jc w:val="both"/>
              <w:rPr>
                <w:rFonts w:eastAsia="Calibri" w:cstheme="minorHAnsi"/>
              </w:rPr>
            </w:pPr>
            <w:r w:rsidRPr="00A26C26">
              <w:rPr>
                <w:rFonts w:eastAsia="Calibri" w:cstheme="minorHAnsi"/>
              </w:rPr>
              <w:t>3.2.</w:t>
            </w:r>
            <w:r w:rsidR="003B50ED">
              <w:rPr>
                <w:rFonts w:eastAsia="Calibri" w:cstheme="minorHAnsi"/>
              </w:rPr>
              <w:t xml:space="preserve"> </w:t>
            </w:r>
            <w:r w:rsidRPr="00A26C26">
              <w:rPr>
                <w:rFonts w:eastAsia="Calibri" w:cstheme="minorHAnsi"/>
              </w:rPr>
              <w:t>Zintegrowane</w:t>
            </w:r>
            <w:r w:rsidR="003B50ED">
              <w:rPr>
                <w:rFonts w:eastAsia="Calibri" w:cstheme="minorHAnsi"/>
              </w:rPr>
              <w:t xml:space="preserve"> </w:t>
            </w:r>
            <w:r w:rsidRPr="00A26C26">
              <w:rPr>
                <w:rFonts w:eastAsia="Calibri" w:cstheme="minorHAnsi"/>
              </w:rPr>
              <w:t>społeczeństwo</w:t>
            </w:r>
          </w:p>
          <w:p w14:paraId="2FBEC01F" w14:textId="00CADAD9" w:rsidR="00885771" w:rsidRPr="00A26C26" w:rsidRDefault="00885771" w:rsidP="00A26C26">
            <w:pPr>
              <w:spacing w:line="276" w:lineRule="auto"/>
              <w:jc w:val="both"/>
              <w:rPr>
                <w:rFonts w:eastAsia="Calibri" w:cstheme="minorHAnsi"/>
              </w:rPr>
            </w:pPr>
            <w:r w:rsidRPr="00A26C26">
              <w:rPr>
                <w:rFonts w:eastAsia="Calibri" w:cstheme="minorHAnsi"/>
              </w:rPr>
              <w:t>3.3.</w:t>
            </w:r>
            <w:r w:rsidR="003B50ED">
              <w:rPr>
                <w:rFonts w:eastAsia="Calibri" w:cstheme="minorHAnsi"/>
              </w:rPr>
              <w:t xml:space="preserve"> </w:t>
            </w:r>
            <w:r w:rsidRPr="00A26C26">
              <w:rPr>
                <w:rFonts w:eastAsia="Calibri" w:cstheme="minorHAnsi"/>
              </w:rPr>
              <w:t>Aktywne</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zdrowe</w:t>
            </w:r>
            <w:r w:rsidR="003B50ED">
              <w:rPr>
                <w:rFonts w:eastAsia="Calibri" w:cstheme="minorHAnsi"/>
              </w:rPr>
              <w:t xml:space="preserve"> </w:t>
            </w:r>
            <w:r w:rsidRPr="00A26C26">
              <w:rPr>
                <w:rFonts w:eastAsia="Calibri" w:cstheme="minorHAnsi"/>
              </w:rPr>
              <w:t>społeczeństwo</w:t>
            </w:r>
          </w:p>
        </w:tc>
      </w:tr>
      <w:tr w:rsidR="00857736" w:rsidRPr="00A26C26" w14:paraId="39F95F41" w14:textId="77777777" w:rsidTr="00233140">
        <w:trPr>
          <w:trHeight w:val="249"/>
        </w:trPr>
        <w:tc>
          <w:tcPr>
            <w:tcW w:w="10201" w:type="dxa"/>
            <w:gridSpan w:val="2"/>
            <w:hideMark/>
          </w:tcPr>
          <w:p w14:paraId="18DEE4B9" w14:textId="0D712596" w:rsidR="00857736" w:rsidRPr="00A26C26" w:rsidRDefault="00885771" w:rsidP="00A26C26">
            <w:pPr>
              <w:spacing w:line="276" w:lineRule="auto"/>
              <w:jc w:val="both"/>
              <w:rPr>
                <w:rFonts w:eastAsia="Calibri" w:cstheme="minorHAnsi"/>
                <w:b/>
                <w:bCs/>
                <w:lang w:eastAsia="pl-PL"/>
              </w:rPr>
            </w:pPr>
            <w:r w:rsidRPr="00A26C26">
              <w:rPr>
                <w:rFonts w:eastAsia="Calibri" w:cstheme="minorHAnsi"/>
                <w:b/>
                <w:bCs/>
              </w:rPr>
              <w:t>Zintegrowana</w:t>
            </w:r>
            <w:r w:rsidR="003B50ED">
              <w:rPr>
                <w:rFonts w:eastAsia="Calibri" w:cstheme="minorHAnsi"/>
                <w:b/>
                <w:bCs/>
              </w:rPr>
              <w:t xml:space="preserve"> </w:t>
            </w:r>
            <w:r w:rsidRPr="00A26C26">
              <w:rPr>
                <w:rFonts w:eastAsia="Calibri" w:cstheme="minorHAnsi"/>
                <w:b/>
                <w:bCs/>
              </w:rPr>
              <w:t>Strategia</w:t>
            </w:r>
            <w:r w:rsidR="003B50ED">
              <w:rPr>
                <w:rFonts w:eastAsia="Calibri" w:cstheme="minorHAnsi"/>
                <w:b/>
                <w:bCs/>
              </w:rPr>
              <w:t xml:space="preserve"> </w:t>
            </w:r>
            <w:r w:rsidRPr="00A26C26">
              <w:rPr>
                <w:rFonts w:eastAsia="Calibri" w:cstheme="minorHAnsi"/>
                <w:b/>
                <w:bCs/>
              </w:rPr>
              <w:t>Rozwoju</w:t>
            </w:r>
            <w:r w:rsidR="003B50ED">
              <w:rPr>
                <w:rFonts w:eastAsia="Calibri" w:cstheme="minorHAnsi"/>
                <w:b/>
                <w:bCs/>
              </w:rPr>
              <w:t xml:space="preserve"> </w:t>
            </w:r>
            <w:r w:rsidRPr="00A26C26">
              <w:rPr>
                <w:rFonts w:eastAsia="Calibri" w:cstheme="minorHAnsi"/>
                <w:b/>
                <w:bCs/>
              </w:rPr>
              <w:t>Gospodarczego</w:t>
            </w:r>
            <w:r w:rsidR="003B50ED">
              <w:rPr>
                <w:rFonts w:eastAsia="Calibri" w:cstheme="minorHAnsi"/>
                <w:b/>
                <w:bCs/>
              </w:rPr>
              <w:t xml:space="preserve"> </w:t>
            </w:r>
            <w:r w:rsidRPr="00A26C26">
              <w:rPr>
                <w:rFonts w:eastAsia="Calibri" w:cstheme="minorHAnsi"/>
                <w:b/>
                <w:bCs/>
              </w:rPr>
              <w:t>Gmin</w:t>
            </w:r>
            <w:r w:rsidR="003B50ED">
              <w:rPr>
                <w:rFonts w:eastAsia="Calibri" w:cstheme="minorHAnsi"/>
                <w:b/>
                <w:bCs/>
              </w:rPr>
              <w:t xml:space="preserve"> </w:t>
            </w:r>
            <w:r w:rsidRPr="00A26C26">
              <w:rPr>
                <w:rFonts w:eastAsia="Calibri" w:cstheme="minorHAnsi"/>
                <w:b/>
                <w:bCs/>
              </w:rPr>
              <w:t>Powiatu</w:t>
            </w:r>
            <w:r w:rsidR="003B50ED">
              <w:rPr>
                <w:rFonts w:eastAsia="Calibri" w:cstheme="minorHAnsi"/>
                <w:b/>
                <w:bCs/>
              </w:rPr>
              <w:t xml:space="preserve"> </w:t>
            </w:r>
            <w:r w:rsidRPr="00A26C26">
              <w:rPr>
                <w:rFonts w:eastAsia="Calibri" w:cstheme="minorHAnsi"/>
                <w:b/>
                <w:bCs/>
              </w:rPr>
              <w:t>Tureckiego</w:t>
            </w:r>
            <w:r w:rsidR="003B50ED">
              <w:rPr>
                <w:rFonts w:eastAsia="Calibri" w:cstheme="minorHAnsi"/>
                <w:b/>
                <w:bCs/>
              </w:rPr>
              <w:t xml:space="preserve"> </w:t>
            </w:r>
            <w:r w:rsidRPr="00A26C26">
              <w:rPr>
                <w:rFonts w:eastAsia="Calibri" w:cstheme="minorHAnsi"/>
                <w:b/>
                <w:bCs/>
              </w:rPr>
              <w:t>na</w:t>
            </w:r>
            <w:r w:rsidR="003B50ED">
              <w:rPr>
                <w:rFonts w:eastAsia="Calibri" w:cstheme="minorHAnsi"/>
                <w:b/>
                <w:bCs/>
              </w:rPr>
              <w:t xml:space="preserve"> </w:t>
            </w:r>
            <w:r w:rsidRPr="00A26C26">
              <w:rPr>
                <w:rFonts w:eastAsia="Calibri" w:cstheme="minorHAnsi"/>
                <w:b/>
                <w:bCs/>
              </w:rPr>
              <w:t>lata</w:t>
            </w:r>
            <w:r w:rsidR="003B50ED">
              <w:rPr>
                <w:rFonts w:eastAsia="Calibri" w:cstheme="minorHAnsi"/>
                <w:b/>
                <w:bCs/>
              </w:rPr>
              <w:t xml:space="preserve"> </w:t>
            </w:r>
            <w:r w:rsidRPr="00A26C26">
              <w:rPr>
                <w:rFonts w:eastAsia="Calibri" w:cstheme="minorHAnsi"/>
                <w:b/>
                <w:bCs/>
              </w:rPr>
              <w:t>2015–2025</w:t>
            </w:r>
          </w:p>
        </w:tc>
      </w:tr>
      <w:tr w:rsidR="00857736" w:rsidRPr="00A26C26" w14:paraId="5D89FCEB" w14:textId="77777777" w:rsidTr="00233140">
        <w:trPr>
          <w:trHeight w:val="249"/>
        </w:trPr>
        <w:tc>
          <w:tcPr>
            <w:tcW w:w="10201" w:type="dxa"/>
            <w:gridSpan w:val="2"/>
            <w:hideMark/>
          </w:tcPr>
          <w:p w14:paraId="70F0868A" w14:textId="5B807E36" w:rsidR="00F96579" w:rsidRPr="00A26C26" w:rsidRDefault="00F96579" w:rsidP="00A26C26">
            <w:pPr>
              <w:spacing w:line="276" w:lineRule="auto"/>
              <w:jc w:val="both"/>
              <w:rPr>
                <w:rFonts w:eastAsia="Calibri" w:cstheme="minorHAnsi"/>
              </w:rPr>
            </w:pPr>
            <w:r w:rsidRPr="00A26C26">
              <w:rPr>
                <w:rFonts w:eastAsia="Calibri" w:cstheme="minorHAnsi"/>
              </w:rPr>
              <w:t>Cel</w:t>
            </w:r>
            <w:r w:rsidR="003B50ED">
              <w:rPr>
                <w:rFonts w:eastAsia="Calibri" w:cstheme="minorHAnsi"/>
              </w:rPr>
              <w:t xml:space="preserve"> </w:t>
            </w:r>
            <w:r w:rsidRPr="00A26C26">
              <w:rPr>
                <w:rFonts w:eastAsia="Calibri" w:cstheme="minorHAnsi"/>
              </w:rPr>
              <w:t>strategiczny</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w:t>
            </w:r>
            <w:r w:rsidR="003B50ED">
              <w:rPr>
                <w:rFonts w:eastAsia="Calibri" w:cstheme="minorHAnsi"/>
              </w:rPr>
              <w:t xml:space="preserve"> </w:t>
            </w:r>
            <w:r w:rsidRPr="00A26C26">
              <w:rPr>
                <w:rFonts w:eastAsia="Calibri" w:cstheme="minorHAnsi"/>
              </w:rPr>
              <w:t>wzrost</w:t>
            </w:r>
            <w:r w:rsidR="003B50ED">
              <w:rPr>
                <w:rFonts w:eastAsia="Calibri" w:cstheme="minorHAnsi"/>
              </w:rPr>
              <w:t xml:space="preserve"> </w:t>
            </w:r>
            <w:r w:rsidRPr="00A26C26">
              <w:rPr>
                <w:rFonts w:eastAsia="Calibri" w:cstheme="minorHAnsi"/>
              </w:rPr>
              <w:t>potencjału</w:t>
            </w:r>
            <w:r w:rsidR="003B50ED">
              <w:rPr>
                <w:rFonts w:eastAsia="Calibri" w:cstheme="minorHAnsi"/>
              </w:rPr>
              <w:t xml:space="preserve"> </w:t>
            </w:r>
            <w:r w:rsidRPr="00A26C26">
              <w:rPr>
                <w:rFonts w:eastAsia="Calibri" w:cstheme="minorHAnsi"/>
              </w:rPr>
              <w:t>społecznego</w:t>
            </w:r>
            <w:r w:rsidR="003B50ED">
              <w:rPr>
                <w:rFonts w:eastAsia="Calibri" w:cstheme="minorHAnsi"/>
              </w:rPr>
              <w:t xml:space="preserve"> </w:t>
            </w:r>
            <w:r w:rsidRPr="00A26C26">
              <w:rPr>
                <w:rFonts w:eastAsia="Calibri" w:cstheme="minorHAnsi"/>
              </w:rPr>
              <w:t>wraz</w:t>
            </w:r>
            <w:r w:rsidR="003B50ED">
              <w:rPr>
                <w:rFonts w:eastAsia="Calibri" w:cstheme="minorHAnsi"/>
              </w:rPr>
              <w:t xml:space="preserve"> </w:t>
            </w:r>
            <w:r w:rsidRPr="00A26C26">
              <w:rPr>
                <w:rFonts w:eastAsia="Calibri" w:cstheme="minorHAnsi"/>
              </w:rPr>
              <w:t>z</w:t>
            </w:r>
            <w:r w:rsidR="003B50ED">
              <w:rPr>
                <w:rFonts w:eastAsia="Calibri" w:cstheme="minorHAnsi"/>
              </w:rPr>
              <w:t xml:space="preserve"> </w:t>
            </w:r>
            <w:r w:rsidRPr="00A26C26">
              <w:rPr>
                <w:rFonts w:eastAsia="Calibri" w:cstheme="minorHAnsi"/>
              </w:rPr>
              <w:t>poprawą</w:t>
            </w:r>
            <w:r w:rsidR="003B50ED">
              <w:rPr>
                <w:rFonts w:eastAsia="Calibri" w:cstheme="minorHAnsi"/>
              </w:rPr>
              <w:t xml:space="preserve"> </w:t>
            </w:r>
            <w:r w:rsidRPr="00A26C26">
              <w:rPr>
                <w:rFonts w:eastAsia="Calibri" w:cstheme="minorHAnsi"/>
              </w:rPr>
              <w:t>warunków</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jakości</w:t>
            </w:r>
            <w:r w:rsidR="003B50ED">
              <w:rPr>
                <w:rFonts w:eastAsia="Calibri" w:cstheme="minorHAnsi"/>
              </w:rPr>
              <w:t xml:space="preserve"> </w:t>
            </w:r>
            <w:r w:rsidRPr="00A26C26">
              <w:rPr>
                <w:rFonts w:eastAsia="Calibri" w:cstheme="minorHAnsi"/>
              </w:rPr>
              <w:t>życia</w:t>
            </w:r>
            <w:r w:rsidR="003B50ED">
              <w:rPr>
                <w:rFonts w:eastAsia="Calibri" w:cstheme="minorHAnsi"/>
              </w:rPr>
              <w:t xml:space="preserve"> </w:t>
            </w:r>
            <w:r w:rsidRPr="00A26C26">
              <w:rPr>
                <w:rFonts w:eastAsia="Calibri" w:cstheme="minorHAnsi"/>
              </w:rPr>
              <w:t>mieszkańców</w:t>
            </w:r>
            <w:r w:rsidR="003B50ED">
              <w:rPr>
                <w:rFonts w:eastAsia="Calibri" w:cstheme="minorHAnsi"/>
              </w:rPr>
              <w:t xml:space="preserve"> </w:t>
            </w:r>
            <w:r w:rsidRPr="00A26C26">
              <w:rPr>
                <w:rFonts w:eastAsia="Calibri" w:cstheme="minorHAnsi"/>
              </w:rPr>
              <w:t>powiatu</w:t>
            </w:r>
            <w:r w:rsidR="003B50ED">
              <w:rPr>
                <w:rFonts w:eastAsia="Calibri" w:cstheme="minorHAnsi"/>
              </w:rPr>
              <w:t xml:space="preserve"> </w:t>
            </w:r>
            <w:r w:rsidRPr="00A26C26">
              <w:rPr>
                <w:rFonts w:eastAsia="Calibri" w:cstheme="minorHAnsi"/>
              </w:rPr>
              <w:t>tureckiego</w:t>
            </w:r>
            <w:r w:rsidR="003B50ED">
              <w:rPr>
                <w:rFonts w:eastAsia="Calibri" w:cstheme="minorHAnsi"/>
              </w:rPr>
              <w:t xml:space="preserve"> </w:t>
            </w:r>
          </w:p>
          <w:p w14:paraId="238FC51F" w14:textId="2E17E98C" w:rsidR="00857736" w:rsidRPr="00A26C26" w:rsidRDefault="00F96579" w:rsidP="00A26C26">
            <w:pPr>
              <w:spacing w:line="276" w:lineRule="auto"/>
              <w:jc w:val="both"/>
              <w:rPr>
                <w:rFonts w:eastAsia="Calibri" w:cstheme="minorHAnsi"/>
                <w:lang w:eastAsia="pl-PL"/>
              </w:rPr>
            </w:pPr>
            <w:r w:rsidRPr="00A26C26">
              <w:rPr>
                <w:rFonts w:eastAsia="Calibri" w:cstheme="minorHAnsi"/>
              </w:rPr>
              <w:t>Cel</w:t>
            </w:r>
            <w:r w:rsidR="003B50ED">
              <w:rPr>
                <w:rFonts w:eastAsia="Calibri" w:cstheme="minorHAnsi"/>
              </w:rPr>
              <w:t xml:space="preserve"> </w:t>
            </w:r>
            <w:r w:rsidRPr="00A26C26">
              <w:rPr>
                <w:rFonts w:eastAsia="Calibri" w:cstheme="minorHAnsi"/>
              </w:rPr>
              <w:t>strategiczny</w:t>
            </w:r>
            <w:r w:rsidR="003B50ED">
              <w:rPr>
                <w:rFonts w:eastAsia="Calibri" w:cstheme="minorHAnsi"/>
              </w:rPr>
              <w:t xml:space="preserve"> </w:t>
            </w:r>
            <w:r w:rsidRPr="00A26C26">
              <w:rPr>
                <w:rFonts w:eastAsia="Calibri" w:cstheme="minorHAnsi"/>
              </w:rPr>
              <w:t>II</w:t>
            </w:r>
            <w:r w:rsidR="003B50ED">
              <w:rPr>
                <w:rFonts w:eastAsia="Calibri" w:cstheme="minorHAnsi"/>
              </w:rPr>
              <w:t xml:space="preserve"> </w:t>
            </w:r>
            <w:r w:rsidRPr="00A26C26">
              <w:rPr>
                <w:rFonts w:eastAsia="Calibri" w:cstheme="minorHAnsi"/>
              </w:rPr>
              <w:t>–</w:t>
            </w:r>
            <w:r w:rsidR="003B50ED">
              <w:rPr>
                <w:rFonts w:eastAsia="Calibri" w:cstheme="minorHAnsi"/>
              </w:rPr>
              <w:t xml:space="preserve"> </w:t>
            </w:r>
            <w:r w:rsidRPr="00A26C26">
              <w:rPr>
                <w:rFonts w:eastAsia="Calibri" w:cstheme="minorHAnsi"/>
              </w:rPr>
              <w:t>rozwój</w:t>
            </w:r>
            <w:r w:rsidR="003B50ED">
              <w:rPr>
                <w:rFonts w:eastAsia="Calibri" w:cstheme="minorHAnsi"/>
              </w:rPr>
              <w:t xml:space="preserve"> </w:t>
            </w:r>
            <w:r w:rsidRPr="00A26C26">
              <w:rPr>
                <w:rFonts w:eastAsia="Calibri" w:cstheme="minorHAnsi"/>
              </w:rPr>
              <w:t>gospodarczy</w:t>
            </w:r>
            <w:r w:rsidR="003B50ED">
              <w:rPr>
                <w:rFonts w:eastAsia="Calibri" w:cstheme="minorHAnsi"/>
              </w:rPr>
              <w:t xml:space="preserve"> </w:t>
            </w:r>
            <w:r w:rsidRPr="00A26C26">
              <w:rPr>
                <w:rFonts w:eastAsia="Calibri" w:cstheme="minorHAnsi"/>
              </w:rPr>
              <w:t>obszaru</w:t>
            </w:r>
            <w:r w:rsidR="003B50ED">
              <w:rPr>
                <w:rFonts w:eastAsia="Calibri" w:cstheme="minorHAnsi"/>
              </w:rPr>
              <w:t xml:space="preserve"> </w:t>
            </w:r>
            <w:r w:rsidRPr="00A26C26">
              <w:rPr>
                <w:rFonts w:eastAsia="Calibri" w:cstheme="minorHAnsi"/>
              </w:rPr>
              <w:t>funkcjonalnego</w:t>
            </w:r>
            <w:r w:rsidR="003B50ED">
              <w:rPr>
                <w:rFonts w:eastAsia="Calibri" w:cstheme="minorHAnsi"/>
              </w:rPr>
              <w:t xml:space="preserve"> </w:t>
            </w:r>
            <w:r w:rsidRPr="00A26C26">
              <w:rPr>
                <w:rFonts w:eastAsia="Calibri" w:cstheme="minorHAnsi"/>
              </w:rPr>
              <w:t>przez</w:t>
            </w:r>
            <w:r w:rsidR="003B50ED">
              <w:rPr>
                <w:rFonts w:eastAsia="Calibri" w:cstheme="minorHAnsi"/>
              </w:rPr>
              <w:t xml:space="preserve"> </w:t>
            </w:r>
            <w:r w:rsidRPr="00A26C26">
              <w:rPr>
                <w:rFonts w:eastAsia="Calibri" w:cstheme="minorHAnsi"/>
              </w:rPr>
              <w:t>pobudzanie</w:t>
            </w:r>
            <w:r w:rsidR="003B50ED">
              <w:rPr>
                <w:rFonts w:eastAsia="Calibri" w:cstheme="minorHAnsi"/>
              </w:rPr>
              <w:t xml:space="preserve"> </w:t>
            </w:r>
            <w:r w:rsidRPr="00A26C26">
              <w:rPr>
                <w:rFonts w:eastAsia="Calibri" w:cstheme="minorHAnsi"/>
              </w:rPr>
              <w:t>lokalnej</w:t>
            </w:r>
            <w:r w:rsidR="003B50ED">
              <w:rPr>
                <w:rFonts w:eastAsia="Calibri" w:cstheme="minorHAnsi"/>
              </w:rPr>
              <w:t xml:space="preserve"> </w:t>
            </w:r>
            <w:r w:rsidRPr="00A26C26">
              <w:rPr>
                <w:rFonts w:eastAsia="Calibri" w:cstheme="minorHAnsi"/>
              </w:rPr>
              <w:t>przedsiębiorczości</w:t>
            </w:r>
            <w:r w:rsidR="003B50ED">
              <w:rPr>
                <w:rFonts w:eastAsia="Calibri" w:cstheme="minorHAnsi"/>
              </w:rPr>
              <w:t xml:space="preserve"> </w:t>
            </w:r>
            <w:r w:rsidR="00E737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aktywną</w:t>
            </w:r>
            <w:r w:rsidR="003B50ED">
              <w:rPr>
                <w:rFonts w:eastAsia="Calibri" w:cstheme="minorHAnsi"/>
              </w:rPr>
              <w:t xml:space="preserve"> </w:t>
            </w:r>
            <w:r w:rsidRPr="00A26C26">
              <w:rPr>
                <w:rFonts w:eastAsia="Calibri" w:cstheme="minorHAnsi"/>
              </w:rPr>
              <w:t>politykę</w:t>
            </w:r>
            <w:r w:rsidR="003B50ED">
              <w:rPr>
                <w:rFonts w:eastAsia="Calibri" w:cstheme="minorHAnsi"/>
              </w:rPr>
              <w:t xml:space="preserve"> </w:t>
            </w:r>
            <w:r w:rsidRPr="00A26C26">
              <w:rPr>
                <w:rFonts w:eastAsia="Calibri" w:cstheme="minorHAnsi"/>
              </w:rPr>
              <w:t>proinwestycyjną.</w:t>
            </w:r>
            <w:r w:rsidR="003B50ED">
              <w:rPr>
                <w:rFonts w:eastAsia="Calibri" w:cstheme="minorHAnsi"/>
              </w:rPr>
              <w:t xml:space="preserve"> </w:t>
            </w:r>
          </w:p>
        </w:tc>
      </w:tr>
      <w:tr w:rsidR="00857736" w:rsidRPr="00A26C26" w14:paraId="3791A833" w14:textId="77777777" w:rsidTr="00233140">
        <w:trPr>
          <w:trHeight w:val="249"/>
        </w:trPr>
        <w:tc>
          <w:tcPr>
            <w:tcW w:w="10201" w:type="dxa"/>
            <w:gridSpan w:val="2"/>
          </w:tcPr>
          <w:p w14:paraId="11B8A83A" w14:textId="32EB92EE" w:rsidR="00857736" w:rsidRPr="00A26C26" w:rsidRDefault="00857736" w:rsidP="00A26C26">
            <w:pPr>
              <w:spacing w:line="276" w:lineRule="auto"/>
              <w:jc w:val="both"/>
              <w:rPr>
                <w:rFonts w:eastAsia="Calibri" w:cstheme="minorHAnsi"/>
                <w:lang w:eastAsia="pl-PL"/>
              </w:rPr>
            </w:pPr>
            <w:r w:rsidRPr="00A26C26">
              <w:rPr>
                <w:rFonts w:eastAsia="Calibri" w:cstheme="minorHAnsi"/>
                <w:lang w:eastAsia="pl-PL"/>
              </w:rPr>
              <w:t>Przedsięwzięcia</w:t>
            </w:r>
            <w:r w:rsidR="003B50ED">
              <w:rPr>
                <w:rFonts w:eastAsia="Calibri" w:cstheme="minorHAnsi"/>
                <w:lang w:eastAsia="pl-PL"/>
              </w:rPr>
              <w:t xml:space="preserve"> </w:t>
            </w:r>
            <w:r w:rsidRPr="00A26C26">
              <w:rPr>
                <w:rFonts w:eastAsia="Calibri" w:cstheme="minorHAnsi"/>
                <w:lang w:eastAsia="pl-PL"/>
              </w:rPr>
              <w:t>LSR</w:t>
            </w:r>
            <w:r w:rsidR="003B50ED">
              <w:rPr>
                <w:rFonts w:eastAsia="Calibri" w:cstheme="minorHAnsi"/>
                <w:lang w:eastAsia="pl-PL"/>
              </w:rPr>
              <w:t xml:space="preserve"> </w:t>
            </w:r>
            <w:r w:rsidRPr="00A26C26">
              <w:rPr>
                <w:rFonts w:eastAsia="Calibri" w:cstheme="minorHAnsi"/>
                <w:lang w:eastAsia="pl-PL"/>
              </w:rPr>
              <w:t>są</w:t>
            </w:r>
            <w:r w:rsidR="003B50ED">
              <w:rPr>
                <w:rFonts w:eastAsia="Calibri" w:cstheme="minorHAnsi"/>
                <w:lang w:eastAsia="pl-PL"/>
              </w:rPr>
              <w:t xml:space="preserve"> </w:t>
            </w:r>
            <w:r w:rsidRPr="00A26C26">
              <w:rPr>
                <w:rFonts w:eastAsia="Calibri" w:cstheme="minorHAnsi"/>
                <w:lang w:eastAsia="pl-PL"/>
              </w:rPr>
              <w:t>względem</w:t>
            </w:r>
            <w:r w:rsidR="003B50ED">
              <w:rPr>
                <w:rFonts w:eastAsia="Calibri" w:cstheme="minorHAnsi"/>
                <w:lang w:eastAsia="pl-PL"/>
              </w:rPr>
              <w:t xml:space="preserve"> </w:t>
            </w:r>
            <w:r w:rsidRPr="00A26C26">
              <w:rPr>
                <w:rFonts w:eastAsia="Calibri" w:cstheme="minorHAnsi"/>
                <w:lang w:eastAsia="pl-PL"/>
              </w:rPr>
              <w:t>celów</w:t>
            </w:r>
            <w:r w:rsidR="003B50ED">
              <w:rPr>
                <w:rFonts w:eastAsia="Calibri" w:cstheme="minorHAnsi"/>
                <w:lang w:eastAsia="pl-PL"/>
              </w:rPr>
              <w:t xml:space="preserve"> </w:t>
            </w:r>
            <w:r w:rsidRPr="00A26C26">
              <w:rPr>
                <w:rFonts w:eastAsia="Calibri" w:cstheme="minorHAnsi"/>
                <w:lang w:eastAsia="pl-PL"/>
              </w:rPr>
              <w:t>Strategii</w:t>
            </w:r>
            <w:r w:rsidR="003B50ED">
              <w:rPr>
                <w:rFonts w:eastAsia="Calibri" w:cstheme="minorHAnsi"/>
                <w:lang w:eastAsia="pl-PL"/>
              </w:rPr>
              <w:t xml:space="preserve"> </w:t>
            </w:r>
            <w:r w:rsidRPr="00A26C26">
              <w:rPr>
                <w:rFonts w:eastAsia="Calibri" w:cstheme="minorHAnsi"/>
                <w:lang w:eastAsia="pl-PL"/>
              </w:rPr>
              <w:t>powiatów</w:t>
            </w:r>
            <w:r w:rsidR="003B50ED">
              <w:rPr>
                <w:rFonts w:eastAsia="Calibri" w:cstheme="minorHAnsi"/>
                <w:lang w:eastAsia="pl-PL"/>
              </w:rPr>
              <w:t xml:space="preserve"> </w:t>
            </w:r>
            <w:r w:rsidRPr="00A26C26">
              <w:rPr>
                <w:rFonts w:eastAsia="Calibri" w:cstheme="minorHAnsi"/>
                <w:lang w:eastAsia="pl-PL"/>
              </w:rPr>
              <w:t>komplementarne,</w:t>
            </w:r>
            <w:r w:rsidR="003B50ED">
              <w:rPr>
                <w:rFonts w:eastAsia="Calibri" w:cstheme="minorHAnsi"/>
                <w:lang w:eastAsia="pl-PL"/>
              </w:rPr>
              <w:t xml:space="preserve"> </w:t>
            </w:r>
            <w:r w:rsidRPr="00A26C26">
              <w:rPr>
                <w:rFonts w:eastAsia="Calibri" w:cstheme="minorHAnsi"/>
                <w:lang w:eastAsia="pl-PL"/>
              </w:rPr>
              <w:t>spójne</w:t>
            </w:r>
            <w:r w:rsidR="003B50ED">
              <w:rPr>
                <w:rFonts w:eastAsia="Calibri" w:cstheme="minorHAnsi"/>
                <w:lang w:eastAsia="pl-PL"/>
              </w:rPr>
              <w:t xml:space="preserve"> </w:t>
            </w:r>
            <w:r w:rsidRPr="00A26C26">
              <w:rPr>
                <w:rFonts w:eastAsia="Calibri" w:cstheme="minorHAnsi"/>
                <w:lang w:eastAsia="pl-PL"/>
              </w:rPr>
              <w:t>i</w:t>
            </w:r>
            <w:r w:rsidR="003B50ED">
              <w:rPr>
                <w:rFonts w:eastAsia="Calibri" w:cstheme="minorHAnsi"/>
                <w:lang w:eastAsia="pl-PL"/>
              </w:rPr>
              <w:t xml:space="preserve"> </w:t>
            </w:r>
            <w:r w:rsidRPr="00A26C26">
              <w:rPr>
                <w:rFonts w:eastAsia="Calibri" w:cstheme="minorHAnsi"/>
                <w:lang w:eastAsia="pl-PL"/>
              </w:rPr>
              <w:t>synergiczne.</w:t>
            </w:r>
            <w:r w:rsidR="003B50ED">
              <w:rPr>
                <w:rFonts w:eastAsia="Calibri" w:cstheme="minorHAnsi"/>
                <w:lang w:eastAsia="pl-PL"/>
              </w:rPr>
              <w:t xml:space="preserve"> </w:t>
            </w:r>
          </w:p>
          <w:p w14:paraId="741A7F46" w14:textId="009D4B3F" w:rsidR="00857736" w:rsidRPr="00A26C26" w:rsidRDefault="00857736" w:rsidP="00A26C26">
            <w:pPr>
              <w:spacing w:line="276" w:lineRule="auto"/>
              <w:jc w:val="both"/>
              <w:rPr>
                <w:rFonts w:eastAsia="Calibri" w:cstheme="minorHAnsi"/>
              </w:rPr>
            </w:pPr>
            <w:r w:rsidRPr="00A26C26">
              <w:rPr>
                <w:rFonts w:eastAsia="Calibri" w:cstheme="minorHAnsi"/>
                <w:lang w:eastAsia="pl-PL"/>
              </w:rPr>
              <w:t>Cele</w:t>
            </w:r>
            <w:r w:rsidR="003B50ED">
              <w:rPr>
                <w:rFonts w:eastAsia="Calibri" w:cstheme="minorHAnsi"/>
                <w:lang w:eastAsia="pl-PL"/>
              </w:rPr>
              <w:t xml:space="preserve"> </w:t>
            </w:r>
            <w:r w:rsidRPr="00A26C26">
              <w:rPr>
                <w:rFonts w:eastAsia="Calibri" w:cstheme="minorHAnsi"/>
                <w:lang w:eastAsia="pl-PL"/>
              </w:rPr>
              <w:t>LSR</w:t>
            </w:r>
            <w:r w:rsidR="003B50ED">
              <w:rPr>
                <w:rFonts w:eastAsia="Calibri" w:cstheme="minorHAnsi"/>
                <w:lang w:eastAsia="pl-PL"/>
              </w:rPr>
              <w:t xml:space="preserve"> </w:t>
            </w:r>
            <w:r w:rsidRPr="00A26C26">
              <w:rPr>
                <w:rFonts w:eastAsia="Calibri" w:cstheme="minorHAnsi"/>
                <w:lang w:eastAsia="pl-PL"/>
              </w:rPr>
              <w:t>są</w:t>
            </w:r>
            <w:r w:rsidR="003B50ED">
              <w:rPr>
                <w:rFonts w:eastAsia="Calibri" w:cstheme="minorHAnsi"/>
                <w:lang w:eastAsia="pl-PL"/>
              </w:rPr>
              <w:t xml:space="preserve"> </w:t>
            </w:r>
            <w:r w:rsidRPr="00A26C26">
              <w:rPr>
                <w:rFonts w:eastAsia="Calibri" w:cstheme="minorHAnsi"/>
                <w:lang w:eastAsia="pl-PL"/>
              </w:rPr>
              <w:t>spójne</w:t>
            </w:r>
            <w:r w:rsidR="003B50ED">
              <w:rPr>
                <w:rFonts w:eastAsia="Calibri" w:cstheme="minorHAnsi"/>
                <w:lang w:eastAsia="pl-PL"/>
              </w:rPr>
              <w:t xml:space="preserve"> </w:t>
            </w:r>
            <w:r w:rsidRPr="00A26C26">
              <w:rPr>
                <w:rFonts w:eastAsia="Calibri" w:cstheme="minorHAnsi"/>
                <w:lang w:eastAsia="pl-PL"/>
              </w:rPr>
              <w:t>i</w:t>
            </w:r>
            <w:r w:rsidR="003B50ED">
              <w:rPr>
                <w:rFonts w:eastAsia="Calibri" w:cstheme="minorHAnsi"/>
                <w:lang w:eastAsia="pl-PL"/>
              </w:rPr>
              <w:t xml:space="preserve"> </w:t>
            </w:r>
            <w:r w:rsidRPr="00A26C26">
              <w:rPr>
                <w:rFonts w:eastAsia="Calibri" w:cstheme="minorHAnsi"/>
                <w:lang w:eastAsia="pl-PL"/>
              </w:rPr>
              <w:t>wykazują</w:t>
            </w:r>
            <w:r w:rsidR="003B50ED">
              <w:rPr>
                <w:rFonts w:eastAsia="Calibri" w:cstheme="minorHAnsi"/>
                <w:lang w:eastAsia="pl-PL"/>
              </w:rPr>
              <w:t xml:space="preserve"> </w:t>
            </w:r>
            <w:r w:rsidRPr="00A26C26">
              <w:rPr>
                <w:rFonts w:eastAsia="Calibri" w:cstheme="minorHAnsi"/>
                <w:lang w:eastAsia="pl-PL"/>
              </w:rPr>
              <w:t>wysoki</w:t>
            </w:r>
            <w:r w:rsidR="003B50ED">
              <w:rPr>
                <w:rFonts w:eastAsia="Calibri" w:cstheme="minorHAnsi"/>
                <w:lang w:eastAsia="pl-PL"/>
              </w:rPr>
              <w:t xml:space="preserve"> </w:t>
            </w:r>
            <w:r w:rsidRPr="00A26C26">
              <w:rPr>
                <w:rFonts w:eastAsia="Calibri" w:cstheme="minorHAnsi"/>
                <w:lang w:eastAsia="pl-PL"/>
              </w:rPr>
              <w:t>stopień</w:t>
            </w:r>
            <w:r w:rsidR="003B50ED">
              <w:rPr>
                <w:rFonts w:eastAsia="Calibri" w:cstheme="minorHAnsi"/>
                <w:lang w:eastAsia="pl-PL"/>
              </w:rPr>
              <w:t xml:space="preserve"> </w:t>
            </w:r>
            <w:r w:rsidRPr="00A26C26">
              <w:rPr>
                <w:rFonts w:eastAsia="Calibri" w:cstheme="minorHAnsi"/>
                <w:lang w:eastAsia="pl-PL"/>
              </w:rPr>
              <w:t>komplementarności</w:t>
            </w:r>
            <w:r w:rsidR="003B50ED">
              <w:rPr>
                <w:rFonts w:eastAsia="Calibri" w:cstheme="minorHAnsi"/>
                <w:lang w:eastAsia="pl-PL"/>
              </w:rPr>
              <w:t xml:space="preserve"> </w:t>
            </w:r>
            <w:r w:rsidRPr="00A26C26">
              <w:rPr>
                <w:rFonts w:eastAsia="Calibri" w:cstheme="minorHAnsi"/>
                <w:lang w:eastAsia="pl-PL"/>
              </w:rPr>
              <w:t>z</w:t>
            </w:r>
            <w:r w:rsidR="003B50ED">
              <w:rPr>
                <w:rFonts w:eastAsia="Calibri" w:cstheme="minorHAnsi"/>
                <w:lang w:eastAsia="pl-PL"/>
              </w:rPr>
              <w:t xml:space="preserve"> </w:t>
            </w:r>
            <w:r w:rsidRPr="00A26C26">
              <w:rPr>
                <w:rFonts w:eastAsia="Calibri" w:cstheme="minorHAnsi"/>
                <w:lang w:eastAsia="pl-PL"/>
              </w:rPr>
              <w:t>celami</w:t>
            </w:r>
            <w:r w:rsidR="003B50ED">
              <w:rPr>
                <w:rFonts w:eastAsia="Calibri" w:cstheme="minorHAnsi"/>
                <w:lang w:eastAsia="pl-PL"/>
              </w:rPr>
              <w:t xml:space="preserve"> </w:t>
            </w:r>
            <w:r w:rsidRPr="00A26C26">
              <w:rPr>
                <w:rFonts w:eastAsia="Calibri" w:cstheme="minorHAnsi"/>
                <w:lang w:eastAsia="pl-PL"/>
              </w:rPr>
              <w:t>dokumentów</w:t>
            </w:r>
            <w:r w:rsidR="003B50ED">
              <w:rPr>
                <w:rFonts w:eastAsia="Calibri" w:cstheme="minorHAnsi"/>
                <w:lang w:eastAsia="pl-PL"/>
              </w:rPr>
              <w:t xml:space="preserve"> </w:t>
            </w:r>
            <w:r w:rsidRPr="00A26C26">
              <w:rPr>
                <w:rFonts w:eastAsia="Calibri" w:cstheme="minorHAnsi"/>
                <w:lang w:eastAsia="pl-PL"/>
              </w:rPr>
              <w:t>strategicznych</w:t>
            </w:r>
            <w:r w:rsidR="003B50ED">
              <w:rPr>
                <w:rFonts w:eastAsia="Calibri" w:cstheme="minorHAnsi"/>
                <w:lang w:eastAsia="pl-PL"/>
              </w:rPr>
              <w:t xml:space="preserve"> </w:t>
            </w:r>
            <w:r w:rsidRPr="00A26C26">
              <w:rPr>
                <w:rFonts w:eastAsia="Calibri" w:cstheme="minorHAnsi"/>
                <w:lang w:eastAsia="pl-PL"/>
              </w:rPr>
              <w:t>powiatów,</w:t>
            </w:r>
            <w:r w:rsidR="003B50ED">
              <w:rPr>
                <w:rFonts w:eastAsia="Calibri" w:cstheme="minorHAnsi"/>
                <w:lang w:eastAsia="pl-PL"/>
              </w:rPr>
              <w:t xml:space="preserve"> </w:t>
            </w:r>
            <w:r w:rsidRPr="00A26C26">
              <w:rPr>
                <w:rFonts w:eastAsia="Calibri" w:cstheme="minorHAnsi"/>
                <w:lang w:eastAsia="pl-PL"/>
              </w:rPr>
              <w:t>na</w:t>
            </w:r>
            <w:r w:rsidR="003B50ED">
              <w:rPr>
                <w:rFonts w:eastAsia="Calibri" w:cstheme="minorHAnsi"/>
                <w:lang w:eastAsia="pl-PL"/>
              </w:rPr>
              <w:t xml:space="preserve"> </w:t>
            </w:r>
            <w:r w:rsidRPr="00A26C26">
              <w:rPr>
                <w:rFonts w:eastAsia="Calibri" w:cstheme="minorHAnsi"/>
                <w:lang w:eastAsia="pl-PL"/>
              </w:rPr>
              <w:t>terenie</w:t>
            </w:r>
            <w:r w:rsidR="003B50ED">
              <w:rPr>
                <w:rFonts w:eastAsia="Calibri" w:cstheme="minorHAnsi"/>
                <w:lang w:eastAsia="pl-PL"/>
              </w:rPr>
              <w:t xml:space="preserve"> </w:t>
            </w:r>
            <w:r w:rsidRPr="00A26C26">
              <w:rPr>
                <w:rFonts w:eastAsia="Calibri" w:cstheme="minorHAnsi"/>
                <w:lang w:eastAsia="pl-PL"/>
              </w:rPr>
              <w:t>których</w:t>
            </w:r>
            <w:r w:rsidR="003B50ED">
              <w:rPr>
                <w:rFonts w:eastAsia="Calibri" w:cstheme="minorHAnsi"/>
                <w:lang w:eastAsia="pl-PL"/>
              </w:rPr>
              <w:t xml:space="preserve"> </w:t>
            </w:r>
            <w:r w:rsidRPr="00A26C26">
              <w:rPr>
                <w:rFonts w:eastAsia="Calibri" w:cstheme="minorHAnsi"/>
                <w:lang w:eastAsia="pl-PL"/>
              </w:rPr>
              <w:t>działa</w:t>
            </w:r>
            <w:r w:rsidR="003B50ED">
              <w:rPr>
                <w:rFonts w:eastAsia="Calibri" w:cstheme="minorHAnsi"/>
                <w:lang w:eastAsia="pl-PL"/>
              </w:rPr>
              <w:t xml:space="preserve"> </w:t>
            </w:r>
            <w:r w:rsidRPr="00A26C26">
              <w:rPr>
                <w:rFonts w:eastAsia="Calibri" w:cstheme="minorHAnsi"/>
                <w:lang w:eastAsia="pl-PL"/>
              </w:rPr>
              <w:t>LGD</w:t>
            </w:r>
            <w:r w:rsidR="003B50ED">
              <w:rPr>
                <w:rFonts w:eastAsia="Calibri" w:cstheme="minorHAnsi"/>
                <w:lang w:eastAsia="pl-PL"/>
              </w:rPr>
              <w:t xml:space="preserve"> </w:t>
            </w:r>
            <w:r w:rsidRPr="00A26C26">
              <w:rPr>
                <w:rFonts w:eastAsia="Calibri" w:cstheme="minorHAnsi"/>
                <w:lang w:eastAsia="pl-PL"/>
              </w:rPr>
              <w:t>przede</w:t>
            </w:r>
            <w:r w:rsidR="003B50ED">
              <w:rPr>
                <w:rFonts w:eastAsia="Calibri" w:cstheme="minorHAnsi"/>
                <w:lang w:eastAsia="pl-PL"/>
              </w:rPr>
              <w:t xml:space="preserve"> </w:t>
            </w:r>
            <w:r w:rsidRPr="00A26C26">
              <w:rPr>
                <w:rFonts w:eastAsia="Calibri" w:cstheme="minorHAnsi"/>
                <w:lang w:eastAsia="pl-PL"/>
              </w:rPr>
              <w:t>wszystkim</w:t>
            </w:r>
            <w:r w:rsidR="003B50ED">
              <w:rPr>
                <w:rFonts w:eastAsia="Calibri" w:cstheme="minorHAnsi"/>
                <w:lang w:eastAsia="pl-PL"/>
              </w:rPr>
              <w:t xml:space="preserve"> </w:t>
            </w:r>
            <w:r w:rsidRPr="00A26C26">
              <w:rPr>
                <w:rFonts w:eastAsia="Calibri" w:cstheme="minorHAnsi"/>
                <w:lang w:eastAsia="pl-PL"/>
              </w:rPr>
              <w:t>w</w:t>
            </w:r>
            <w:r w:rsidR="003B50ED">
              <w:rPr>
                <w:rFonts w:eastAsia="Calibri" w:cstheme="minorHAnsi"/>
                <w:lang w:eastAsia="pl-PL"/>
              </w:rPr>
              <w:t xml:space="preserve"> </w:t>
            </w:r>
            <w:r w:rsidRPr="00A26C26">
              <w:rPr>
                <w:rFonts w:eastAsia="Calibri" w:cstheme="minorHAnsi"/>
                <w:lang w:eastAsia="pl-PL"/>
              </w:rPr>
              <w:t>zakresie</w:t>
            </w:r>
            <w:r w:rsidR="003B50ED">
              <w:rPr>
                <w:rFonts w:eastAsia="Calibri" w:cstheme="minorHAnsi"/>
                <w:lang w:eastAsia="pl-PL"/>
              </w:rPr>
              <w:t xml:space="preserve"> </w:t>
            </w:r>
            <w:r w:rsidRPr="00A26C26">
              <w:rPr>
                <w:rFonts w:eastAsia="Calibri" w:cstheme="minorHAnsi"/>
                <w:lang w:eastAsia="pl-PL"/>
              </w:rPr>
              <w:t>rozwoju</w:t>
            </w:r>
            <w:r w:rsidR="003B50ED">
              <w:rPr>
                <w:rFonts w:eastAsia="Calibri" w:cstheme="minorHAnsi"/>
                <w:lang w:eastAsia="pl-PL"/>
              </w:rPr>
              <w:t xml:space="preserve"> </w:t>
            </w:r>
            <w:r w:rsidRPr="00A26C26">
              <w:rPr>
                <w:rFonts w:eastAsia="Calibri" w:cstheme="minorHAnsi"/>
                <w:lang w:eastAsia="pl-PL"/>
              </w:rPr>
              <w:t>przedsiębiorczości</w:t>
            </w:r>
            <w:r w:rsidR="003B50ED">
              <w:rPr>
                <w:rFonts w:eastAsia="Calibri" w:cstheme="minorHAnsi"/>
                <w:lang w:eastAsia="pl-PL"/>
              </w:rPr>
              <w:t xml:space="preserve"> </w:t>
            </w:r>
            <w:r w:rsidRPr="00A26C26">
              <w:rPr>
                <w:rFonts w:eastAsia="Calibri" w:cstheme="minorHAnsi"/>
                <w:lang w:eastAsia="pl-PL"/>
              </w:rPr>
              <w:t>w</w:t>
            </w:r>
            <w:r w:rsidR="003B50ED">
              <w:rPr>
                <w:rFonts w:eastAsia="Calibri" w:cstheme="minorHAnsi"/>
                <w:lang w:eastAsia="pl-PL"/>
              </w:rPr>
              <w:t xml:space="preserve"> </w:t>
            </w:r>
            <w:r w:rsidRPr="00A26C26">
              <w:rPr>
                <w:rFonts w:eastAsia="Calibri" w:cstheme="minorHAnsi"/>
                <w:lang w:eastAsia="pl-PL"/>
              </w:rPr>
              <w:t>tym</w:t>
            </w:r>
            <w:r w:rsidR="003B50ED">
              <w:rPr>
                <w:rFonts w:eastAsia="Calibri" w:cstheme="minorHAnsi"/>
                <w:lang w:eastAsia="pl-PL"/>
              </w:rPr>
              <w:t xml:space="preserve"> </w:t>
            </w:r>
            <w:r w:rsidRPr="00A26C26">
              <w:rPr>
                <w:rFonts w:eastAsia="Calibri" w:cstheme="minorHAnsi"/>
                <w:lang w:eastAsia="pl-PL"/>
              </w:rPr>
              <w:t>powstawania</w:t>
            </w:r>
            <w:r w:rsidR="003B50ED">
              <w:rPr>
                <w:rFonts w:eastAsia="Calibri" w:cstheme="minorHAnsi"/>
                <w:lang w:eastAsia="pl-PL"/>
              </w:rPr>
              <w:t xml:space="preserve"> </w:t>
            </w:r>
            <w:r w:rsidRPr="00A26C26">
              <w:rPr>
                <w:rFonts w:eastAsia="Calibri" w:cstheme="minorHAnsi"/>
                <w:lang w:eastAsia="pl-PL"/>
              </w:rPr>
              <w:t>gospodarstw</w:t>
            </w:r>
            <w:r w:rsidR="003B50ED">
              <w:rPr>
                <w:rFonts w:eastAsia="Calibri" w:cstheme="minorHAnsi"/>
                <w:lang w:eastAsia="pl-PL"/>
              </w:rPr>
              <w:t xml:space="preserve"> </w:t>
            </w:r>
            <w:r w:rsidRPr="00A26C26">
              <w:rPr>
                <w:rFonts w:eastAsia="Calibri" w:cstheme="minorHAnsi"/>
                <w:lang w:eastAsia="pl-PL"/>
              </w:rPr>
              <w:t>agroturystycznych</w:t>
            </w:r>
            <w:r w:rsidR="003B50ED">
              <w:rPr>
                <w:rFonts w:eastAsia="Calibri" w:cstheme="minorHAnsi"/>
                <w:lang w:eastAsia="pl-PL"/>
              </w:rPr>
              <w:t xml:space="preserve"> </w:t>
            </w:r>
            <w:r w:rsidR="00F96579" w:rsidRPr="00A26C26">
              <w:rPr>
                <w:rFonts w:eastAsia="Calibri" w:cstheme="minorHAnsi"/>
                <w:lang w:eastAsia="pl-PL"/>
              </w:rPr>
              <w:t>i</w:t>
            </w:r>
            <w:r w:rsidR="003B50ED">
              <w:rPr>
                <w:rFonts w:eastAsia="Calibri" w:cstheme="minorHAnsi"/>
                <w:lang w:eastAsia="pl-PL"/>
              </w:rPr>
              <w:t xml:space="preserve"> </w:t>
            </w:r>
            <w:r w:rsidR="00F96579" w:rsidRPr="00A26C26">
              <w:rPr>
                <w:rFonts w:eastAsia="Calibri" w:cstheme="minorHAnsi"/>
                <w:lang w:eastAsia="pl-PL"/>
              </w:rPr>
              <w:t>zagród</w:t>
            </w:r>
            <w:r w:rsidR="003B50ED">
              <w:rPr>
                <w:rFonts w:eastAsia="Calibri" w:cstheme="minorHAnsi"/>
                <w:lang w:eastAsia="pl-PL"/>
              </w:rPr>
              <w:t xml:space="preserve"> </w:t>
            </w:r>
            <w:r w:rsidR="00F96579" w:rsidRPr="00A26C26">
              <w:rPr>
                <w:rFonts w:eastAsia="Calibri" w:cstheme="minorHAnsi"/>
                <w:lang w:eastAsia="pl-PL"/>
              </w:rPr>
              <w:t>edukacyjnych</w:t>
            </w:r>
            <w:r w:rsidR="003B50ED">
              <w:rPr>
                <w:rFonts w:eastAsia="Calibri" w:cstheme="minorHAnsi"/>
                <w:lang w:eastAsia="pl-PL"/>
              </w:rPr>
              <w:t xml:space="preserve"> </w:t>
            </w:r>
            <w:r w:rsidRPr="00A26C26">
              <w:rPr>
                <w:rFonts w:eastAsia="Calibri" w:cstheme="minorHAnsi"/>
                <w:lang w:eastAsia="pl-PL"/>
              </w:rPr>
              <w:t>(P.</w:t>
            </w:r>
            <w:r w:rsidR="00F96579" w:rsidRPr="00A26C26">
              <w:rPr>
                <w:rFonts w:eastAsia="Calibri" w:cstheme="minorHAnsi"/>
                <w:lang w:eastAsia="pl-PL"/>
              </w:rPr>
              <w:t>2</w:t>
            </w:r>
            <w:r w:rsidRPr="00A26C26">
              <w:rPr>
                <w:rFonts w:eastAsia="Calibri" w:cstheme="minorHAnsi"/>
                <w:lang w:eastAsia="pl-PL"/>
              </w:rPr>
              <w:t>.1.),</w:t>
            </w:r>
            <w:r w:rsidR="003B50ED">
              <w:rPr>
                <w:rFonts w:eastAsia="Calibri" w:cstheme="minorHAnsi"/>
                <w:lang w:eastAsia="pl-PL"/>
              </w:rPr>
              <w:t xml:space="preserve"> </w:t>
            </w:r>
            <w:r w:rsidR="00F96579" w:rsidRPr="00A26C26">
              <w:rPr>
                <w:rFonts w:eastAsia="Calibri" w:cstheme="minorHAnsi"/>
              </w:rPr>
              <w:t>również</w:t>
            </w:r>
            <w:r w:rsidR="003B50ED">
              <w:rPr>
                <w:rFonts w:eastAsia="Calibri" w:cstheme="minorHAnsi"/>
              </w:rPr>
              <w:t xml:space="preserve"> </w:t>
            </w:r>
            <w:r w:rsidR="00F96579" w:rsidRPr="00A26C26">
              <w:rPr>
                <w:rFonts w:eastAsia="Calibri" w:cstheme="minorHAnsi"/>
              </w:rPr>
              <w:t>w</w:t>
            </w:r>
            <w:r w:rsidR="003B50ED">
              <w:rPr>
                <w:rFonts w:eastAsia="Calibri" w:cstheme="minorHAnsi"/>
              </w:rPr>
              <w:t xml:space="preserve"> </w:t>
            </w:r>
            <w:r w:rsidR="00F96579" w:rsidRPr="00A26C26">
              <w:rPr>
                <w:rFonts w:eastAsia="Calibri" w:cstheme="minorHAnsi"/>
              </w:rPr>
              <w:t>zakresie</w:t>
            </w:r>
            <w:r w:rsidR="003B50ED">
              <w:rPr>
                <w:rFonts w:eastAsia="Calibri" w:cstheme="minorHAnsi"/>
              </w:rPr>
              <w:t xml:space="preserve"> </w:t>
            </w:r>
            <w:r w:rsidR="00F96579" w:rsidRPr="00A26C26">
              <w:rPr>
                <w:rFonts w:eastAsia="Calibri" w:cstheme="minorHAnsi"/>
              </w:rPr>
              <w:t>aktywizacji</w:t>
            </w:r>
            <w:r w:rsidR="003B50ED">
              <w:rPr>
                <w:rFonts w:eastAsia="Calibri" w:cstheme="minorHAnsi"/>
              </w:rPr>
              <w:t xml:space="preserve"> </w:t>
            </w:r>
            <w:r w:rsidR="00F96579" w:rsidRPr="00A26C26">
              <w:rPr>
                <w:rFonts w:eastAsia="Calibri" w:cstheme="minorHAnsi"/>
              </w:rPr>
              <w:t>i</w:t>
            </w:r>
            <w:r w:rsidR="003B50ED">
              <w:rPr>
                <w:rFonts w:eastAsia="Calibri" w:cstheme="minorHAnsi"/>
              </w:rPr>
              <w:t xml:space="preserve"> </w:t>
            </w:r>
            <w:r w:rsidR="00F96579" w:rsidRPr="00A26C26">
              <w:rPr>
                <w:rFonts w:eastAsia="Calibri" w:cstheme="minorHAnsi"/>
              </w:rPr>
              <w:t>włączenia</w:t>
            </w:r>
            <w:r w:rsidR="003B50ED">
              <w:rPr>
                <w:rFonts w:eastAsia="Calibri" w:cstheme="minorHAnsi"/>
              </w:rPr>
              <w:t xml:space="preserve"> </w:t>
            </w:r>
            <w:r w:rsidR="00F96579" w:rsidRPr="00A26C26">
              <w:rPr>
                <w:rFonts w:eastAsia="Calibri" w:cstheme="minorHAnsi"/>
              </w:rPr>
              <w:t>społecznego</w:t>
            </w:r>
            <w:r w:rsidR="003B50ED">
              <w:rPr>
                <w:rFonts w:eastAsia="Calibri" w:cstheme="minorHAnsi"/>
              </w:rPr>
              <w:t xml:space="preserve"> </w:t>
            </w:r>
            <w:r w:rsidR="00F96579" w:rsidRPr="00A26C26">
              <w:rPr>
                <w:rFonts w:eastAsia="Calibri" w:cstheme="minorHAnsi"/>
              </w:rPr>
              <w:t>lokalnej</w:t>
            </w:r>
            <w:r w:rsidR="003B50ED">
              <w:rPr>
                <w:rFonts w:eastAsia="Calibri" w:cstheme="minorHAnsi"/>
              </w:rPr>
              <w:t xml:space="preserve"> </w:t>
            </w:r>
            <w:r w:rsidR="00F96579" w:rsidRPr="00A26C26">
              <w:rPr>
                <w:rFonts w:eastAsia="Calibri" w:cstheme="minorHAnsi"/>
              </w:rPr>
              <w:t>społeczności,</w:t>
            </w:r>
            <w:r w:rsidR="003B50ED">
              <w:rPr>
                <w:rFonts w:eastAsia="Calibri" w:cstheme="minorHAnsi"/>
              </w:rPr>
              <w:t xml:space="preserve"> </w:t>
            </w:r>
            <w:r w:rsidR="00F96579" w:rsidRPr="00A26C26">
              <w:rPr>
                <w:rFonts w:eastAsia="Calibri" w:cstheme="minorHAnsi"/>
              </w:rPr>
              <w:t>w</w:t>
            </w:r>
            <w:r w:rsidR="003B50ED">
              <w:rPr>
                <w:rFonts w:eastAsia="Calibri" w:cstheme="minorHAnsi"/>
              </w:rPr>
              <w:t xml:space="preserve"> </w:t>
            </w:r>
            <w:r w:rsidR="00F96579" w:rsidRPr="00A26C26">
              <w:rPr>
                <w:rFonts w:eastAsia="Calibri" w:cstheme="minorHAnsi"/>
              </w:rPr>
              <w:t>tym</w:t>
            </w:r>
            <w:r w:rsidR="003B50ED">
              <w:rPr>
                <w:rFonts w:eastAsia="Calibri" w:cstheme="minorHAnsi"/>
              </w:rPr>
              <w:t xml:space="preserve"> </w:t>
            </w:r>
            <w:r w:rsidR="00F96579" w:rsidRPr="00A26C26">
              <w:rPr>
                <w:rFonts w:eastAsia="Calibri" w:cstheme="minorHAnsi"/>
              </w:rPr>
              <w:t>seniorów,</w:t>
            </w:r>
            <w:r w:rsidR="003B50ED">
              <w:rPr>
                <w:rFonts w:eastAsia="Calibri" w:cstheme="minorHAnsi"/>
              </w:rPr>
              <w:t xml:space="preserve"> </w:t>
            </w:r>
            <w:r w:rsidR="00F96579" w:rsidRPr="00A26C26">
              <w:rPr>
                <w:rFonts w:eastAsia="Calibri" w:cstheme="minorHAnsi"/>
              </w:rPr>
              <w:t>ludzi</w:t>
            </w:r>
            <w:r w:rsidR="003B50ED">
              <w:rPr>
                <w:rFonts w:eastAsia="Calibri" w:cstheme="minorHAnsi"/>
              </w:rPr>
              <w:t xml:space="preserve"> </w:t>
            </w:r>
            <w:r w:rsidR="00F96579" w:rsidRPr="00A26C26">
              <w:rPr>
                <w:rFonts w:eastAsia="Calibri" w:cstheme="minorHAnsi"/>
              </w:rPr>
              <w:t>młodych</w:t>
            </w:r>
            <w:r w:rsidR="003B50ED">
              <w:rPr>
                <w:rFonts w:eastAsia="Calibri" w:cstheme="minorHAnsi"/>
              </w:rPr>
              <w:t xml:space="preserve"> </w:t>
            </w:r>
            <w:r w:rsidR="00F96579" w:rsidRPr="00A26C26">
              <w:rPr>
                <w:rFonts w:eastAsia="Calibri" w:cstheme="minorHAnsi"/>
              </w:rPr>
              <w:t>lub</w:t>
            </w:r>
            <w:r w:rsidR="003B50ED">
              <w:rPr>
                <w:rFonts w:eastAsia="Calibri" w:cstheme="minorHAnsi"/>
              </w:rPr>
              <w:t xml:space="preserve"> </w:t>
            </w:r>
            <w:r w:rsidR="00F96579" w:rsidRPr="00A26C26">
              <w:rPr>
                <w:rFonts w:eastAsia="Calibri" w:cstheme="minorHAnsi"/>
              </w:rPr>
              <w:t>osób</w:t>
            </w:r>
            <w:r w:rsidR="003B50ED">
              <w:rPr>
                <w:rFonts w:eastAsia="Calibri" w:cstheme="minorHAnsi"/>
              </w:rPr>
              <w:t xml:space="preserve"> </w:t>
            </w:r>
            <w:r w:rsidR="00F96579" w:rsidRPr="00A26C26">
              <w:rPr>
                <w:rFonts w:eastAsia="Calibri" w:cstheme="minorHAnsi"/>
              </w:rPr>
              <w:t>w</w:t>
            </w:r>
            <w:r w:rsidR="003B50ED">
              <w:rPr>
                <w:rFonts w:eastAsia="Calibri" w:cstheme="minorHAnsi"/>
              </w:rPr>
              <w:t xml:space="preserve"> </w:t>
            </w:r>
            <w:r w:rsidR="00F96579" w:rsidRPr="00A26C26">
              <w:rPr>
                <w:rFonts w:eastAsia="Calibri" w:cstheme="minorHAnsi"/>
              </w:rPr>
              <w:t>niekorzystnej</w:t>
            </w:r>
            <w:r w:rsidR="003B50ED">
              <w:rPr>
                <w:rFonts w:eastAsia="Calibri" w:cstheme="minorHAnsi"/>
              </w:rPr>
              <w:t xml:space="preserve"> </w:t>
            </w:r>
            <w:r w:rsidR="00F96579" w:rsidRPr="00A26C26">
              <w:rPr>
                <w:rFonts w:eastAsia="Calibri" w:cstheme="minorHAnsi"/>
              </w:rPr>
              <w:t>sytuacji</w:t>
            </w:r>
            <w:r w:rsidR="003B50ED">
              <w:rPr>
                <w:rFonts w:eastAsia="Calibri" w:cstheme="minorHAnsi"/>
              </w:rPr>
              <w:t xml:space="preserve"> </w:t>
            </w:r>
            <w:r w:rsidR="00F96579" w:rsidRPr="00A26C26">
              <w:rPr>
                <w:rFonts w:eastAsia="Calibri" w:cstheme="minorHAnsi"/>
              </w:rPr>
              <w:lastRenderedPageBreak/>
              <w:t>(P.1.4.)</w:t>
            </w:r>
            <w:r w:rsidR="003B50ED">
              <w:rPr>
                <w:rFonts w:eastAsia="Calibri" w:cstheme="minorHAnsi"/>
              </w:rPr>
              <w:t xml:space="preserve"> </w:t>
            </w:r>
            <w:r w:rsidR="00F96579" w:rsidRPr="00A26C26">
              <w:rPr>
                <w:rFonts w:eastAsia="Calibri" w:cstheme="minorHAnsi"/>
              </w:rPr>
              <w:t>oraz</w:t>
            </w:r>
            <w:r w:rsidR="003B50ED">
              <w:rPr>
                <w:rFonts w:eastAsia="Calibri" w:cstheme="minorHAnsi"/>
              </w:rPr>
              <w:t xml:space="preserve"> </w:t>
            </w:r>
            <w:r w:rsidR="00F96579" w:rsidRPr="00A26C26">
              <w:rPr>
                <w:rFonts w:eastAsia="Calibri" w:cstheme="minorHAnsi"/>
              </w:rPr>
              <w:t>integracji</w:t>
            </w:r>
            <w:r w:rsidR="003B50ED">
              <w:rPr>
                <w:rFonts w:eastAsia="Calibri" w:cstheme="minorHAnsi"/>
              </w:rPr>
              <w:t xml:space="preserve"> </w:t>
            </w:r>
            <w:r w:rsidR="00F96579" w:rsidRPr="00A26C26">
              <w:rPr>
                <w:rFonts w:eastAsia="Calibri" w:cstheme="minorHAnsi"/>
              </w:rPr>
              <w:t>społecznej</w:t>
            </w:r>
            <w:r w:rsidR="003B50ED">
              <w:rPr>
                <w:rFonts w:eastAsia="Calibri" w:cstheme="minorHAnsi"/>
              </w:rPr>
              <w:t xml:space="preserve"> </w:t>
            </w:r>
            <w:r w:rsidR="00F96579" w:rsidRPr="00A26C26">
              <w:rPr>
                <w:rFonts w:eastAsia="Calibri" w:cstheme="minorHAnsi"/>
              </w:rPr>
              <w:t>na</w:t>
            </w:r>
            <w:r w:rsidR="003B50ED">
              <w:rPr>
                <w:rFonts w:eastAsia="Calibri" w:cstheme="minorHAnsi"/>
              </w:rPr>
              <w:t xml:space="preserve"> </w:t>
            </w:r>
            <w:r w:rsidR="00F96579" w:rsidRPr="00A26C26">
              <w:rPr>
                <w:rFonts w:eastAsia="Calibri" w:cstheme="minorHAnsi"/>
              </w:rPr>
              <w:t>obszarach</w:t>
            </w:r>
            <w:r w:rsidR="003B50ED">
              <w:rPr>
                <w:rFonts w:eastAsia="Calibri" w:cstheme="minorHAnsi"/>
              </w:rPr>
              <w:t xml:space="preserve"> </w:t>
            </w:r>
            <w:r w:rsidR="00F96579" w:rsidRPr="00A26C26">
              <w:rPr>
                <w:rFonts w:eastAsia="Calibri" w:cstheme="minorHAnsi"/>
              </w:rPr>
              <w:t>wiejskich</w:t>
            </w:r>
            <w:r w:rsidR="003B50ED">
              <w:rPr>
                <w:rFonts w:eastAsia="Calibri" w:cstheme="minorHAnsi"/>
              </w:rPr>
              <w:t xml:space="preserve"> </w:t>
            </w:r>
            <w:r w:rsidR="00F96579" w:rsidRPr="00A26C26">
              <w:rPr>
                <w:rFonts w:eastAsia="Calibri" w:cstheme="minorHAnsi"/>
              </w:rPr>
              <w:t>(P.1.6.)</w:t>
            </w:r>
            <w:r w:rsidR="003B50ED">
              <w:rPr>
                <w:rFonts w:eastAsia="Calibri" w:cstheme="minorHAnsi"/>
              </w:rPr>
              <w:t xml:space="preserve"> </w:t>
            </w:r>
            <w:r w:rsidR="00F96579" w:rsidRPr="00A26C26">
              <w:rPr>
                <w:rFonts w:eastAsia="Calibri" w:cstheme="minorHAnsi"/>
              </w:rPr>
              <w:t>oraz</w:t>
            </w:r>
            <w:r w:rsidR="003B50ED">
              <w:rPr>
                <w:rFonts w:eastAsia="Calibri" w:cstheme="minorHAnsi"/>
              </w:rPr>
              <w:t xml:space="preserve"> </w:t>
            </w:r>
            <w:r w:rsidR="00F96579" w:rsidRPr="00A26C26">
              <w:rPr>
                <w:rFonts w:eastAsia="Calibri" w:cstheme="minorHAnsi"/>
              </w:rPr>
              <w:t>promocji</w:t>
            </w:r>
            <w:r w:rsidR="003B50ED">
              <w:rPr>
                <w:rFonts w:eastAsia="Calibri" w:cstheme="minorHAnsi"/>
              </w:rPr>
              <w:t xml:space="preserve"> </w:t>
            </w:r>
            <w:r w:rsidR="00F96579" w:rsidRPr="00A26C26">
              <w:rPr>
                <w:rFonts w:eastAsia="Calibri" w:cstheme="minorHAnsi"/>
              </w:rPr>
              <w:t>współpracy</w:t>
            </w:r>
            <w:r w:rsidR="003B50ED">
              <w:rPr>
                <w:rFonts w:eastAsia="Calibri" w:cstheme="minorHAnsi"/>
              </w:rPr>
              <w:t xml:space="preserve"> </w:t>
            </w:r>
            <w:r w:rsidR="00F96579" w:rsidRPr="00A26C26">
              <w:rPr>
                <w:rFonts w:eastAsia="Calibri" w:cstheme="minorHAnsi"/>
              </w:rPr>
              <w:t>poprzez</w:t>
            </w:r>
            <w:r w:rsidR="003B50ED">
              <w:rPr>
                <w:rFonts w:eastAsia="Calibri" w:cstheme="minorHAnsi"/>
              </w:rPr>
              <w:t xml:space="preserve"> </w:t>
            </w:r>
            <w:r w:rsidR="00F96579" w:rsidRPr="00A26C26">
              <w:rPr>
                <w:rFonts w:eastAsia="Calibri" w:cstheme="minorHAnsi"/>
              </w:rPr>
              <w:t>m.in.</w:t>
            </w:r>
            <w:r w:rsidR="003B50ED">
              <w:rPr>
                <w:rFonts w:eastAsia="Calibri" w:cstheme="minorHAnsi"/>
              </w:rPr>
              <w:t xml:space="preserve"> </w:t>
            </w:r>
            <w:r w:rsidR="00F96579" w:rsidRPr="00A26C26">
              <w:rPr>
                <w:rFonts w:eastAsia="Calibri" w:cstheme="minorHAnsi"/>
              </w:rPr>
              <w:t>opracowanie</w:t>
            </w:r>
            <w:r w:rsidR="003B50ED">
              <w:rPr>
                <w:rFonts w:eastAsia="Calibri" w:cstheme="minorHAnsi"/>
              </w:rPr>
              <w:t xml:space="preserve"> </w:t>
            </w:r>
            <w:r w:rsidR="00F96579" w:rsidRPr="00A26C26">
              <w:rPr>
                <w:rFonts w:eastAsia="Calibri" w:cstheme="minorHAnsi"/>
              </w:rPr>
              <w:t>koncepcji</w:t>
            </w:r>
            <w:r w:rsidR="003B50ED">
              <w:rPr>
                <w:rFonts w:eastAsia="Calibri" w:cstheme="minorHAnsi"/>
              </w:rPr>
              <w:t xml:space="preserve"> </w:t>
            </w:r>
            <w:r w:rsidR="00F96579" w:rsidRPr="00A26C26">
              <w:rPr>
                <w:rFonts w:eastAsia="Calibri" w:cstheme="minorHAnsi"/>
              </w:rPr>
              <w:t>inteligentnych</w:t>
            </w:r>
            <w:r w:rsidR="003B50ED">
              <w:rPr>
                <w:rFonts w:eastAsia="Calibri" w:cstheme="minorHAnsi"/>
              </w:rPr>
              <w:t xml:space="preserve"> </w:t>
            </w:r>
            <w:r w:rsidR="00F96579" w:rsidRPr="00A26C26">
              <w:rPr>
                <w:rFonts w:eastAsia="Calibri" w:cstheme="minorHAnsi"/>
              </w:rPr>
              <w:t>wsi</w:t>
            </w:r>
            <w:r w:rsidR="003B50ED">
              <w:rPr>
                <w:rFonts w:eastAsia="Calibri" w:cstheme="minorHAnsi"/>
              </w:rPr>
              <w:t xml:space="preserve"> </w:t>
            </w:r>
            <w:r w:rsidR="00F96579" w:rsidRPr="00A26C26">
              <w:rPr>
                <w:rFonts w:eastAsia="Calibri" w:cstheme="minorHAnsi"/>
              </w:rPr>
              <w:t>(P.1.1.)</w:t>
            </w:r>
            <w:r w:rsidR="003B50ED">
              <w:rPr>
                <w:rFonts w:eastAsia="Calibri" w:cstheme="minorHAnsi"/>
              </w:rPr>
              <w:t xml:space="preserve"> </w:t>
            </w:r>
            <w:r w:rsidR="00F96579" w:rsidRPr="00A26C26">
              <w:rPr>
                <w:rFonts w:eastAsia="Calibri" w:cstheme="minorHAnsi"/>
              </w:rPr>
              <w:t>czy</w:t>
            </w:r>
            <w:r w:rsidR="003B50ED">
              <w:rPr>
                <w:rFonts w:eastAsia="Calibri" w:cstheme="minorHAnsi"/>
              </w:rPr>
              <w:t xml:space="preserve"> </w:t>
            </w:r>
            <w:r w:rsidR="00F96579" w:rsidRPr="00A26C26">
              <w:rPr>
                <w:rFonts w:eastAsia="Calibri" w:cstheme="minorHAnsi"/>
              </w:rPr>
              <w:t>wspieranie</w:t>
            </w:r>
            <w:r w:rsidR="003B50ED">
              <w:rPr>
                <w:rFonts w:eastAsia="Calibri" w:cstheme="minorHAnsi"/>
              </w:rPr>
              <w:t xml:space="preserve"> </w:t>
            </w:r>
            <w:r w:rsidR="00F96579" w:rsidRPr="00A26C26">
              <w:rPr>
                <w:rFonts w:eastAsia="Calibri" w:cstheme="minorHAnsi"/>
              </w:rPr>
              <w:t>partnerstwa,</w:t>
            </w:r>
            <w:r w:rsidR="003B50ED">
              <w:rPr>
                <w:rFonts w:eastAsia="Calibri" w:cstheme="minorHAnsi"/>
              </w:rPr>
              <w:t xml:space="preserve"> </w:t>
            </w:r>
            <w:r w:rsidR="00F96579" w:rsidRPr="00A26C26">
              <w:rPr>
                <w:rFonts w:eastAsia="Calibri" w:cstheme="minorHAnsi"/>
              </w:rPr>
              <w:t>inicjatyw</w:t>
            </w:r>
            <w:r w:rsidR="003B50ED">
              <w:rPr>
                <w:rFonts w:eastAsia="Calibri" w:cstheme="minorHAnsi"/>
              </w:rPr>
              <w:t xml:space="preserve"> </w:t>
            </w:r>
            <w:r w:rsidR="00F96579" w:rsidRPr="00A26C26">
              <w:rPr>
                <w:rFonts w:eastAsia="Calibri" w:cstheme="minorHAnsi"/>
              </w:rPr>
              <w:t>edukacyjnych</w:t>
            </w:r>
            <w:r w:rsidR="003B50ED">
              <w:rPr>
                <w:rFonts w:eastAsia="Calibri" w:cstheme="minorHAnsi"/>
              </w:rPr>
              <w:t xml:space="preserve"> </w:t>
            </w:r>
            <w:r w:rsidR="00F96579" w:rsidRPr="00A26C26">
              <w:rPr>
                <w:rFonts w:eastAsia="Calibri" w:cstheme="minorHAnsi"/>
              </w:rPr>
              <w:t>i</w:t>
            </w:r>
            <w:r w:rsidR="003B50ED">
              <w:rPr>
                <w:rFonts w:eastAsia="Calibri" w:cstheme="minorHAnsi"/>
              </w:rPr>
              <w:t xml:space="preserve"> </w:t>
            </w:r>
            <w:r w:rsidR="00F96579" w:rsidRPr="00A26C26">
              <w:rPr>
                <w:rFonts w:eastAsia="Calibri" w:cstheme="minorHAnsi"/>
              </w:rPr>
              <w:t>turystyki</w:t>
            </w:r>
            <w:r w:rsidR="003B50ED">
              <w:rPr>
                <w:rFonts w:eastAsia="Calibri" w:cstheme="minorHAnsi"/>
              </w:rPr>
              <w:t xml:space="preserve"> </w:t>
            </w:r>
            <w:r w:rsidR="00F96579" w:rsidRPr="00A26C26">
              <w:rPr>
                <w:rFonts w:eastAsia="Calibri" w:cstheme="minorHAnsi"/>
              </w:rPr>
              <w:t>na</w:t>
            </w:r>
            <w:r w:rsidR="003B50ED">
              <w:rPr>
                <w:rFonts w:eastAsia="Calibri" w:cstheme="minorHAnsi"/>
              </w:rPr>
              <w:t xml:space="preserve"> </w:t>
            </w:r>
            <w:r w:rsidR="00F96579" w:rsidRPr="00A26C26">
              <w:rPr>
                <w:rFonts w:eastAsia="Calibri" w:cstheme="minorHAnsi"/>
              </w:rPr>
              <w:t>obszarze</w:t>
            </w:r>
            <w:r w:rsidR="003B50ED">
              <w:rPr>
                <w:rFonts w:eastAsia="Calibri" w:cstheme="minorHAnsi"/>
              </w:rPr>
              <w:t xml:space="preserve"> </w:t>
            </w:r>
            <w:r w:rsidR="00F96579" w:rsidRPr="00A26C26">
              <w:rPr>
                <w:rFonts w:eastAsia="Calibri" w:cstheme="minorHAnsi"/>
              </w:rPr>
              <w:t>LSR</w:t>
            </w:r>
            <w:r w:rsidR="003B50ED">
              <w:rPr>
                <w:rFonts w:eastAsia="Calibri" w:cstheme="minorHAnsi"/>
              </w:rPr>
              <w:t xml:space="preserve"> </w:t>
            </w:r>
            <w:r w:rsidR="00F96579" w:rsidRPr="00A26C26">
              <w:rPr>
                <w:rFonts w:eastAsia="Calibri" w:cstheme="minorHAnsi"/>
              </w:rPr>
              <w:t>(P.1.5.)</w:t>
            </w:r>
            <w:r w:rsidR="003B50ED">
              <w:rPr>
                <w:rFonts w:eastAsia="Calibri" w:cstheme="minorHAnsi"/>
              </w:rPr>
              <w:t xml:space="preserve"> </w:t>
            </w:r>
          </w:p>
        </w:tc>
      </w:tr>
      <w:tr w:rsidR="00857736" w:rsidRPr="00A26C26" w14:paraId="7C25933E" w14:textId="77777777" w:rsidTr="00233140">
        <w:trPr>
          <w:trHeight w:val="249"/>
        </w:trPr>
        <w:tc>
          <w:tcPr>
            <w:tcW w:w="10201" w:type="dxa"/>
            <w:gridSpan w:val="2"/>
          </w:tcPr>
          <w:p w14:paraId="69EE8B76" w14:textId="4D0312F1" w:rsidR="00857736" w:rsidRPr="00AB2426" w:rsidRDefault="00857736" w:rsidP="00A26C26">
            <w:pPr>
              <w:spacing w:line="276" w:lineRule="auto"/>
              <w:jc w:val="both"/>
              <w:rPr>
                <w:rFonts w:eastAsia="Calibri" w:cstheme="minorHAnsi"/>
                <w:b/>
                <w:lang w:eastAsia="pl-PL"/>
              </w:rPr>
            </w:pPr>
            <w:r w:rsidRPr="00AB2426">
              <w:rPr>
                <w:rFonts w:eastAsia="Calibri" w:cstheme="minorHAnsi"/>
                <w:b/>
                <w:lang w:eastAsia="pl-PL"/>
              </w:rPr>
              <w:lastRenderedPageBreak/>
              <w:t>Strategie</w:t>
            </w:r>
            <w:r w:rsidR="003B50ED" w:rsidRPr="00AB2426">
              <w:rPr>
                <w:rFonts w:eastAsia="Calibri" w:cstheme="minorHAnsi"/>
                <w:b/>
                <w:lang w:eastAsia="pl-PL"/>
              </w:rPr>
              <w:t xml:space="preserve"> </w:t>
            </w:r>
            <w:r w:rsidRPr="00AB2426">
              <w:rPr>
                <w:rFonts w:eastAsia="Calibri" w:cstheme="minorHAnsi"/>
                <w:b/>
                <w:lang w:eastAsia="pl-PL"/>
              </w:rPr>
              <w:t>Rozwoju</w:t>
            </w:r>
            <w:r w:rsidR="003B50ED" w:rsidRPr="00AB2426">
              <w:rPr>
                <w:rFonts w:eastAsia="Calibri" w:cstheme="minorHAnsi"/>
                <w:b/>
                <w:lang w:eastAsia="pl-PL"/>
              </w:rPr>
              <w:t xml:space="preserve"> </w:t>
            </w:r>
            <w:r w:rsidRPr="00AB2426">
              <w:rPr>
                <w:rFonts w:eastAsia="Calibri" w:cstheme="minorHAnsi"/>
                <w:b/>
                <w:lang w:eastAsia="pl-PL"/>
              </w:rPr>
              <w:t>Gmin:</w:t>
            </w:r>
          </w:p>
          <w:p w14:paraId="7F690D06" w14:textId="4A81E481" w:rsidR="00857736" w:rsidRPr="00A26C26" w:rsidRDefault="00683E7D" w:rsidP="00A26C26">
            <w:pPr>
              <w:spacing w:line="276" w:lineRule="auto"/>
              <w:jc w:val="both"/>
              <w:rPr>
                <w:rFonts w:eastAsia="Calibri" w:cstheme="minorHAnsi"/>
              </w:rPr>
            </w:pPr>
            <w:r w:rsidRPr="00AB2426">
              <w:rPr>
                <w:rFonts w:eastAsia="Calibri" w:cstheme="minorHAnsi"/>
                <w:b/>
              </w:rPr>
              <w:t>Golina,</w:t>
            </w:r>
            <w:r w:rsidR="003B50ED" w:rsidRPr="00AB2426">
              <w:rPr>
                <w:rFonts w:eastAsia="Calibri" w:cstheme="minorHAnsi"/>
                <w:b/>
              </w:rPr>
              <w:t xml:space="preserve"> </w:t>
            </w:r>
            <w:r w:rsidRPr="00AB2426">
              <w:rPr>
                <w:rFonts w:eastAsia="Calibri" w:cstheme="minorHAnsi"/>
                <w:b/>
              </w:rPr>
              <w:t>Grodziec,</w:t>
            </w:r>
            <w:r w:rsidR="003B50ED" w:rsidRPr="00AB2426">
              <w:rPr>
                <w:rFonts w:eastAsia="Calibri" w:cstheme="minorHAnsi"/>
                <w:b/>
              </w:rPr>
              <w:t xml:space="preserve"> </w:t>
            </w:r>
            <w:r w:rsidRPr="00AB2426">
              <w:rPr>
                <w:rFonts w:eastAsia="Calibri" w:cstheme="minorHAnsi"/>
                <w:b/>
              </w:rPr>
              <w:t>Rychwał,</w:t>
            </w:r>
            <w:r w:rsidR="003B50ED" w:rsidRPr="00AB2426">
              <w:rPr>
                <w:rFonts w:eastAsia="Calibri" w:cstheme="minorHAnsi"/>
                <w:b/>
              </w:rPr>
              <w:t xml:space="preserve"> </w:t>
            </w:r>
            <w:r w:rsidRPr="00AB2426">
              <w:rPr>
                <w:rFonts w:eastAsia="Calibri" w:cstheme="minorHAnsi"/>
                <w:b/>
              </w:rPr>
              <w:t>Rzgów,</w:t>
            </w:r>
            <w:r w:rsidR="003B50ED" w:rsidRPr="00AB2426">
              <w:rPr>
                <w:rFonts w:eastAsia="Calibri" w:cstheme="minorHAnsi"/>
                <w:b/>
              </w:rPr>
              <w:t xml:space="preserve"> </w:t>
            </w:r>
            <w:r w:rsidRPr="00AB2426">
              <w:rPr>
                <w:rFonts w:eastAsia="Calibri" w:cstheme="minorHAnsi"/>
                <w:b/>
              </w:rPr>
              <w:t>Stare</w:t>
            </w:r>
            <w:r w:rsidR="003B50ED" w:rsidRPr="00AB2426">
              <w:rPr>
                <w:rFonts w:eastAsia="Calibri" w:cstheme="minorHAnsi"/>
                <w:b/>
              </w:rPr>
              <w:t xml:space="preserve"> </w:t>
            </w:r>
            <w:r w:rsidRPr="00AB2426">
              <w:rPr>
                <w:rFonts w:eastAsia="Calibri" w:cstheme="minorHAnsi"/>
                <w:b/>
              </w:rPr>
              <w:t>Miasto,</w:t>
            </w:r>
            <w:r w:rsidR="003B50ED" w:rsidRPr="00AB2426">
              <w:rPr>
                <w:rFonts w:eastAsia="Calibri" w:cstheme="minorHAnsi"/>
                <w:b/>
              </w:rPr>
              <w:t xml:space="preserve"> </w:t>
            </w:r>
            <w:r w:rsidRPr="00AB2426">
              <w:rPr>
                <w:rFonts w:eastAsia="Calibri" w:cstheme="minorHAnsi"/>
                <w:b/>
              </w:rPr>
              <w:t>Tuliszków</w:t>
            </w:r>
          </w:p>
        </w:tc>
      </w:tr>
      <w:tr w:rsidR="00857736" w:rsidRPr="00A26C26" w14:paraId="219BE87B" w14:textId="77777777" w:rsidTr="00233140">
        <w:trPr>
          <w:trHeight w:val="613"/>
        </w:trPr>
        <w:tc>
          <w:tcPr>
            <w:tcW w:w="10201" w:type="dxa"/>
            <w:gridSpan w:val="2"/>
          </w:tcPr>
          <w:p w14:paraId="488E994D" w14:textId="1252BB20" w:rsidR="00857736" w:rsidRPr="00A26C26" w:rsidRDefault="00857736" w:rsidP="00A26C26">
            <w:pPr>
              <w:spacing w:line="276" w:lineRule="auto"/>
              <w:jc w:val="both"/>
              <w:rPr>
                <w:rFonts w:eastAsia="Calibri" w:cstheme="minorHAnsi"/>
                <w:lang w:eastAsia="pl-PL"/>
              </w:rPr>
            </w:pPr>
            <w:r w:rsidRPr="00A26C26">
              <w:rPr>
                <w:rFonts w:eastAsia="Calibri" w:cstheme="minorHAnsi"/>
              </w:rPr>
              <w:t>Przy</w:t>
            </w:r>
            <w:r w:rsidR="003B50ED">
              <w:rPr>
                <w:rFonts w:eastAsia="Calibri" w:cstheme="minorHAnsi"/>
              </w:rPr>
              <w:t xml:space="preserve"> </w:t>
            </w:r>
            <w:r w:rsidRPr="00A26C26">
              <w:rPr>
                <w:rFonts w:eastAsia="Calibri" w:cstheme="minorHAnsi"/>
              </w:rPr>
              <w:t>uwzględnieniu</w:t>
            </w:r>
            <w:r w:rsidR="003B50ED">
              <w:rPr>
                <w:rFonts w:eastAsia="Calibri" w:cstheme="minorHAnsi"/>
              </w:rPr>
              <w:t xml:space="preserve"> </w:t>
            </w:r>
            <w:r w:rsidRPr="00A26C26">
              <w:rPr>
                <w:rFonts w:eastAsia="Calibri" w:cstheme="minorHAnsi"/>
              </w:rPr>
              <w:t>podobnego</w:t>
            </w:r>
            <w:r w:rsidR="003B50ED">
              <w:rPr>
                <w:rFonts w:eastAsia="Calibri" w:cstheme="minorHAnsi"/>
              </w:rPr>
              <w:t xml:space="preserve"> </w:t>
            </w:r>
            <w:r w:rsidRPr="00A26C26">
              <w:rPr>
                <w:rFonts w:eastAsia="Calibri" w:cstheme="minorHAnsi"/>
              </w:rPr>
              <w:t>zakresu</w:t>
            </w:r>
            <w:r w:rsidR="003B50ED">
              <w:rPr>
                <w:rFonts w:eastAsia="Calibri" w:cstheme="minorHAnsi"/>
              </w:rPr>
              <w:t xml:space="preserve"> </w:t>
            </w:r>
            <w:r w:rsidRPr="00A26C26">
              <w:rPr>
                <w:rFonts w:eastAsia="Calibri" w:cstheme="minorHAnsi"/>
              </w:rPr>
              <w:t>celów</w:t>
            </w:r>
            <w:r w:rsidR="003B50ED">
              <w:rPr>
                <w:rFonts w:eastAsia="Calibri" w:cstheme="minorHAnsi"/>
              </w:rPr>
              <w:t xml:space="preserve"> </w:t>
            </w:r>
            <w:r w:rsidRPr="00A26C26">
              <w:rPr>
                <w:rFonts w:eastAsia="Calibri" w:cstheme="minorHAnsi"/>
              </w:rPr>
              <w:t>strategicznych</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strategiach</w:t>
            </w:r>
            <w:r w:rsidR="003B50ED">
              <w:rPr>
                <w:rFonts w:eastAsia="Calibri" w:cstheme="minorHAnsi"/>
              </w:rPr>
              <w:t xml:space="preserve"> </w:t>
            </w:r>
            <w:r w:rsidRPr="00A26C26">
              <w:rPr>
                <w:rFonts w:eastAsia="Calibri" w:cstheme="minorHAnsi"/>
              </w:rPr>
              <w:t>gmin</w:t>
            </w:r>
            <w:r w:rsidR="003B50ED">
              <w:rPr>
                <w:rFonts w:eastAsia="Calibri" w:cstheme="minorHAnsi"/>
              </w:rPr>
              <w:t xml:space="preserve"> </w:t>
            </w:r>
            <w:r w:rsidRPr="00A26C26">
              <w:rPr>
                <w:rFonts w:eastAsia="Calibri" w:cstheme="minorHAnsi"/>
              </w:rPr>
              <w:t>członkowskich,</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niniejszej</w:t>
            </w:r>
            <w:r w:rsidR="003B50ED">
              <w:rPr>
                <w:rFonts w:eastAsia="Calibri" w:cstheme="minorHAnsi"/>
              </w:rPr>
              <w:t xml:space="preserve"> </w:t>
            </w:r>
            <w:r w:rsidRPr="00A26C26">
              <w:rPr>
                <w:rFonts w:eastAsia="Calibri" w:cstheme="minorHAnsi"/>
              </w:rPr>
              <w:t>części</w:t>
            </w:r>
            <w:r w:rsidR="003B50ED">
              <w:rPr>
                <w:rFonts w:eastAsia="Calibri" w:cstheme="minorHAnsi"/>
              </w:rPr>
              <w:t xml:space="preserve"> </w:t>
            </w:r>
            <w:r w:rsidRPr="00A26C26">
              <w:rPr>
                <w:rFonts w:eastAsia="Calibri" w:cstheme="minorHAnsi"/>
              </w:rPr>
              <w:t>LSR</w:t>
            </w:r>
            <w:r w:rsidR="003B50ED">
              <w:rPr>
                <w:rFonts w:eastAsia="Calibri" w:cstheme="minorHAnsi"/>
              </w:rPr>
              <w:t xml:space="preserve"> </w:t>
            </w:r>
            <w:r w:rsidRPr="00A26C26">
              <w:rPr>
                <w:rFonts w:eastAsia="Calibri" w:cstheme="minorHAnsi"/>
              </w:rPr>
              <w:t>przedstawiono</w:t>
            </w:r>
            <w:r w:rsidR="003B50ED">
              <w:rPr>
                <w:rFonts w:eastAsia="Calibri" w:cstheme="minorHAnsi"/>
              </w:rPr>
              <w:t xml:space="preserve"> </w:t>
            </w:r>
            <w:r w:rsidRPr="00A26C26">
              <w:rPr>
                <w:rFonts w:eastAsia="Calibri" w:cstheme="minorHAnsi"/>
              </w:rPr>
              <w:t>cele</w:t>
            </w:r>
            <w:r w:rsidR="003B50ED">
              <w:rPr>
                <w:rFonts w:eastAsia="Calibri" w:cstheme="minorHAnsi"/>
              </w:rPr>
              <w:t xml:space="preserve"> </w:t>
            </w:r>
            <w:r w:rsidRPr="00A26C26">
              <w:rPr>
                <w:rFonts w:eastAsia="Calibri" w:cstheme="minorHAnsi"/>
              </w:rPr>
              <w:t>dokumentów</w:t>
            </w:r>
            <w:r w:rsidR="003B50ED">
              <w:rPr>
                <w:rFonts w:eastAsia="Calibri" w:cstheme="minorHAnsi"/>
              </w:rPr>
              <w:t xml:space="preserve"> </w:t>
            </w:r>
            <w:r w:rsidRPr="00A26C26">
              <w:rPr>
                <w:rFonts w:eastAsia="Calibri" w:cstheme="minorHAnsi"/>
              </w:rPr>
              <w:t>gminnych,</w:t>
            </w:r>
            <w:r w:rsidR="003B50ED">
              <w:rPr>
                <w:rFonts w:eastAsia="Calibri" w:cstheme="minorHAnsi"/>
              </w:rPr>
              <w:t xml:space="preserve"> </w:t>
            </w:r>
            <w:r w:rsidRPr="00A26C26">
              <w:rPr>
                <w:rFonts w:eastAsia="Calibri" w:cstheme="minorHAnsi"/>
              </w:rPr>
              <w:t>które</w:t>
            </w:r>
            <w:r w:rsidR="003B50ED">
              <w:rPr>
                <w:rFonts w:eastAsia="Calibri" w:cstheme="minorHAnsi"/>
              </w:rPr>
              <w:t xml:space="preserve"> </w:t>
            </w:r>
            <w:r w:rsidRPr="00A26C26">
              <w:rPr>
                <w:rFonts w:eastAsia="Calibri" w:cstheme="minorHAnsi"/>
              </w:rPr>
              <w:t>są</w:t>
            </w:r>
            <w:r w:rsidR="003B50ED">
              <w:rPr>
                <w:rFonts w:eastAsia="Calibri" w:cstheme="minorHAnsi"/>
              </w:rPr>
              <w:t xml:space="preserve"> </w:t>
            </w:r>
            <w:r w:rsidRPr="00A26C26">
              <w:rPr>
                <w:rFonts w:eastAsia="Calibri" w:cstheme="minorHAnsi"/>
              </w:rPr>
              <w:t>powszechne</w:t>
            </w:r>
            <w:r w:rsidR="003B50ED">
              <w:rPr>
                <w:rFonts w:eastAsia="Calibri" w:cstheme="minorHAnsi"/>
              </w:rPr>
              <w:t xml:space="preserve"> </w:t>
            </w:r>
            <w:r w:rsidRPr="00A26C26">
              <w:rPr>
                <w:rFonts w:eastAsia="Calibri" w:cstheme="minorHAnsi"/>
              </w:rPr>
              <w:t>dla</w:t>
            </w:r>
            <w:r w:rsidR="003B50ED">
              <w:rPr>
                <w:rFonts w:eastAsia="Calibri" w:cstheme="minorHAnsi"/>
              </w:rPr>
              <w:t xml:space="preserve"> </w:t>
            </w:r>
            <w:r w:rsidRPr="00A26C26">
              <w:rPr>
                <w:rFonts w:eastAsia="Calibri" w:cstheme="minorHAnsi"/>
              </w:rPr>
              <w:t>większości</w:t>
            </w:r>
            <w:r w:rsidR="003B50ED">
              <w:rPr>
                <w:rFonts w:eastAsia="Calibri" w:cstheme="minorHAnsi"/>
              </w:rPr>
              <w:t xml:space="preserve"> </w:t>
            </w:r>
            <w:r w:rsidRPr="00A26C26">
              <w:rPr>
                <w:rFonts w:eastAsia="Calibri" w:cstheme="minorHAnsi"/>
              </w:rPr>
              <w:t>jednostek</w:t>
            </w:r>
          </w:p>
        </w:tc>
      </w:tr>
      <w:tr w:rsidR="00857736" w:rsidRPr="00A26C26" w14:paraId="41DAF2C1" w14:textId="77777777" w:rsidTr="00233140">
        <w:trPr>
          <w:trHeight w:val="249"/>
        </w:trPr>
        <w:tc>
          <w:tcPr>
            <w:tcW w:w="10201" w:type="dxa"/>
            <w:gridSpan w:val="2"/>
          </w:tcPr>
          <w:p w14:paraId="2A3E52C5" w14:textId="650D91AA" w:rsidR="00C93660" w:rsidRPr="00A26C26" w:rsidRDefault="009C199B" w:rsidP="00A26C26">
            <w:pPr>
              <w:spacing w:line="276" w:lineRule="auto"/>
              <w:jc w:val="both"/>
              <w:rPr>
                <w:rFonts w:eastAsia="Calibri" w:cstheme="minorHAnsi"/>
              </w:rPr>
            </w:pPr>
            <w:r w:rsidRPr="00A26C26">
              <w:rPr>
                <w:rFonts w:eastAsia="Calibri" w:cstheme="minorHAnsi"/>
              </w:rPr>
              <w:t>zapewnienie</w:t>
            </w:r>
            <w:r w:rsidR="003B50ED">
              <w:rPr>
                <w:rFonts w:eastAsia="Calibri" w:cstheme="minorHAnsi"/>
              </w:rPr>
              <w:t xml:space="preserve"> </w:t>
            </w:r>
            <w:r w:rsidRPr="00A26C26">
              <w:rPr>
                <w:rFonts w:eastAsia="Calibri" w:cstheme="minorHAnsi"/>
              </w:rPr>
              <w:t>dobrych</w:t>
            </w:r>
            <w:r w:rsidR="003B50ED">
              <w:rPr>
                <w:rFonts w:eastAsia="Calibri" w:cstheme="minorHAnsi"/>
              </w:rPr>
              <w:t xml:space="preserve"> </w:t>
            </w:r>
            <w:r w:rsidRPr="00A26C26">
              <w:rPr>
                <w:rFonts w:eastAsia="Calibri" w:cstheme="minorHAnsi"/>
              </w:rPr>
              <w:t>warunków</w:t>
            </w:r>
            <w:r w:rsidR="003B50ED">
              <w:rPr>
                <w:rFonts w:eastAsia="Calibri" w:cstheme="minorHAnsi"/>
              </w:rPr>
              <w:t xml:space="preserve"> </w:t>
            </w:r>
            <w:r w:rsidRPr="00A26C26">
              <w:rPr>
                <w:rFonts w:eastAsia="Calibri" w:cstheme="minorHAnsi"/>
              </w:rPr>
              <w:t>prowadzenia</w:t>
            </w:r>
            <w:r w:rsidR="003B50ED">
              <w:rPr>
                <w:rFonts w:eastAsia="Calibri" w:cstheme="minorHAnsi"/>
              </w:rPr>
              <w:t xml:space="preserve"> </w:t>
            </w:r>
            <w:r w:rsidRPr="00A26C26">
              <w:rPr>
                <w:rFonts w:eastAsia="Calibri" w:cstheme="minorHAnsi"/>
              </w:rPr>
              <w:t>działalności</w:t>
            </w:r>
            <w:r w:rsidR="003B50ED">
              <w:rPr>
                <w:rFonts w:eastAsia="Calibri" w:cstheme="minorHAnsi"/>
              </w:rPr>
              <w:t xml:space="preserve"> </w:t>
            </w:r>
            <w:r w:rsidRPr="00A26C26">
              <w:rPr>
                <w:rFonts w:eastAsia="Calibri" w:cstheme="minorHAnsi"/>
              </w:rPr>
              <w:t>gospodarczej</w:t>
            </w:r>
          </w:p>
          <w:p w14:paraId="1B13FA7F" w14:textId="5A1B6161" w:rsidR="00C93660" w:rsidRPr="00A26C26" w:rsidRDefault="009C199B" w:rsidP="00A26C26">
            <w:pPr>
              <w:spacing w:line="276" w:lineRule="auto"/>
              <w:jc w:val="both"/>
              <w:rPr>
                <w:rFonts w:eastAsia="Calibri" w:cstheme="minorHAnsi"/>
              </w:rPr>
            </w:pPr>
            <w:r w:rsidRPr="00A26C26">
              <w:rPr>
                <w:rFonts w:eastAsia="Calibri" w:cstheme="minorHAnsi"/>
              </w:rPr>
              <w:t>zapewnienie</w:t>
            </w:r>
            <w:r w:rsidR="003B50ED">
              <w:rPr>
                <w:rFonts w:eastAsia="Calibri" w:cstheme="minorHAnsi"/>
              </w:rPr>
              <w:t xml:space="preserve"> </w:t>
            </w:r>
            <w:r w:rsidRPr="00A26C26">
              <w:rPr>
                <w:rFonts w:eastAsia="Calibri" w:cstheme="minorHAnsi"/>
              </w:rPr>
              <w:t>dogodnych</w:t>
            </w:r>
            <w:r w:rsidR="003B50ED">
              <w:rPr>
                <w:rFonts w:eastAsia="Calibri" w:cstheme="minorHAnsi"/>
              </w:rPr>
              <w:t xml:space="preserve"> </w:t>
            </w:r>
            <w:r w:rsidRPr="00A26C26">
              <w:rPr>
                <w:rFonts w:eastAsia="Calibri" w:cstheme="minorHAnsi"/>
              </w:rPr>
              <w:t>warunków</w:t>
            </w:r>
            <w:r w:rsidR="003B50ED">
              <w:rPr>
                <w:rFonts w:eastAsia="Calibri" w:cstheme="minorHAnsi"/>
              </w:rPr>
              <w:t xml:space="preserve"> </w:t>
            </w:r>
            <w:r w:rsidRPr="00A26C26">
              <w:rPr>
                <w:rFonts w:eastAsia="Calibri" w:cstheme="minorHAnsi"/>
              </w:rPr>
              <w:t>życia</w:t>
            </w:r>
            <w:r w:rsidR="003B50ED">
              <w:rPr>
                <w:rFonts w:eastAsia="Calibri" w:cstheme="minorHAnsi"/>
              </w:rPr>
              <w:t xml:space="preserve"> </w:t>
            </w:r>
            <w:r w:rsidRPr="00A26C26">
              <w:rPr>
                <w:rFonts w:eastAsia="Calibri" w:cstheme="minorHAnsi"/>
              </w:rPr>
              <w:t>na</w:t>
            </w:r>
            <w:r w:rsidR="003B50ED">
              <w:rPr>
                <w:rFonts w:eastAsia="Calibri" w:cstheme="minorHAnsi"/>
              </w:rPr>
              <w:t xml:space="preserve"> </w:t>
            </w:r>
            <w:r w:rsidRPr="00A26C26">
              <w:rPr>
                <w:rFonts w:eastAsia="Calibri" w:cstheme="minorHAnsi"/>
              </w:rPr>
              <w:t>terenie</w:t>
            </w:r>
            <w:r w:rsidR="003B50ED">
              <w:rPr>
                <w:rFonts w:eastAsia="Calibri" w:cstheme="minorHAnsi"/>
              </w:rPr>
              <w:t xml:space="preserve"> </w:t>
            </w:r>
            <w:r w:rsidRPr="00A26C26">
              <w:rPr>
                <w:rFonts w:eastAsia="Calibri" w:cstheme="minorHAnsi"/>
              </w:rPr>
              <w:t>gminy</w:t>
            </w:r>
          </w:p>
          <w:p w14:paraId="109B8D6C" w14:textId="242FF74D" w:rsidR="00C93660" w:rsidRPr="00A26C26" w:rsidRDefault="009C199B" w:rsidP="00A26C26">
            <w:pPr>
              <w:spacing w:line="276" w:lineRule="auto"/>
              <w:jc w:val="both"/>
              <w:rPr>
                <w:rFonts w:eastAsia="Calibri" w:cstheme="minorHAnsi"/>
              </w:rPr>
            </w:pPr>
            <w:r w:rsidRPr="00A26C26">
              <w:rPr>
                <w:rFonts w:eastAsia="Calibri" w:cstheme="minorHAnsi"/>
              </w:rPr>
              <w:t>rozwijanie</w:t>
            </w:r>
            <w:r w:rsidR="003B50ED">
              <w:rPr>
                <w:rFonts w:eastAsia="Calibri" w:cstheme="minorHAnsi"/>
              </w:rPr>
              <w:t xml:space="preserve"> </w:t>
            </w:r>
            <w:r w:rsidRPr="00A26C26">
              <w:rPr>
                <w:rFonts w:eastAsia="Calibri" w:cstheme="minorHAnsi"/>
              </w:rPr>
              <w:t>sektora</w:t>
            </w:r>
            <w:r w:rsidR="003B50ED">
              <w:rPr>
                <w:rFonts w:eastAsia="Calibri" w:cstheme="minorHAnsi"/>
              </w:rPr>
              <w:t xml:space="preserve"> </w:t>
            </w:r>
            <w:r w:rsidRPr="00A26C26">
              <w:rPr>
                <w:rFonts w:eastAsia="Calibri" w:cstheme="minorHAnsi"/>
              </w:rPr>
              <w:t>usług</w:t>
            </w:r>
            <w:r w:rsidR="003B50ED">
              <w:rPr>
                <w:rFonts w:eastAsia="Calibri" w:cstheme="minorHAnsi"/>
              </w:rPr>
              <w:t xml:space="preserve"> </w:t>
            </w:r>
            <w:r w:rsidRPr="00A26C26">
              <w:rPr>
                <w:rFonts w:eastAsia="Calibri" w:cstheme="minorHAnsi"/>
              </w:rPr>
              <w:t>opiekuńczych</w:t>
            </w:r>
            <w:r w:rsidR="003B50ED">
              <w:rPr>
                <w:rFonts w:eastAsia="Calibri" w:cstheme="minorHAnsi"/>
              </w:rPr>
              <w:t xml:space="preserve"> </w:t>
            </w:r>
            <w:r w:rsidRPr="00A26C26">
              <w:rPr>
                <w:rFonts w:eastAsia="Calibri" w:cstheme="minorHAnsi"/>
              </w:rPr>
              <w:t>dla</w:t>
            </w:r>
            <w:r w:rsidR="003B50ED">
              <w:rPr>
                <w:rFonts w:eastAsia="Calibri" w:cstheme="minorHAnsi"/>
              </w:rPr>
              <w:t xml:space="preserve"> </w:t>
            </w:r>
            <w:r w:rsidRPr="00A26C26">
              <w:rPr>
                <w:rFonts w:eastAsia="Calibri" w:cstheme="minorHAnsi"/>
              </w:rPr>
              <w:t>osób</w:t>
            </w:r>
            <w:r w:rsidR="003B50ED">
              <w:rPr>
                <w:rFonts w:eastAsia="Calibri" w:cstheme="minorHAnsi"/>
              </w:rPr>
              <w:t xml:space="preserve"> </w:t>
            </w:r>
            <w:r w:rsidRPr="00A26C26">
              <w:rPr>
                <w:rFonts w:eastAsia="Calibri" w:cstheme="minorHAnsi"/>
              </w:rPr>
              <w:t>niesamodzielnych</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chorych.</w:t>
            </w:r>
            <w:r w:rsidR="003B50ED">
              <w:rPr>
                <w:rFonts w:eastAsia="Calibri" w:cstheme="minorHAnsi"/>
              </w:rPr>
              <w:t xml:space="preserve"> </w:t>
            </w:r>
          </w:p>
          <w:p w14:paraId="42106D4E" w14:textId="40FDA275" w:rsidR="00857736" w:rsidRPr="00A26C26" w:rsidRDefault="009C199B" w:rsidP="00A26C26">
            <w:pPr>
              <w:spacing w:line="276" w:lineRule="auto"/>
              <w:jc w:val="both"/>
              <w:rPr>
                <w:rFonts w:eastAsia="Calibri" w:cstheme="minorHAnsi"/>
              </w:rPr>
            </w:pPr>
            <w:r w:rsidRPr="00A26C26">
              <w:rPr>
                <w:rFonts w:eastAsia="Calibri" w:cstheme="minorHAnsi"/>
              </w:rPr>
              <w:t>wspieranie</w:t>
            </w:r>
            <w:r w:rsidR="003B50ED">
              <w:rPr>
                <w:rFonts w:eastAsia="Calibri" w:cstheme="minorHAnsi"/>
              </w:rPr>
              <w:t xml:space="preserve"> </w:t>
            </w:r>
            <w:r w:rsidRPr="00A26C26">
              <w:rPr>
                <w:rFonts w:eastAsia="Calibri" w:cstheme="minorHAnsi"/>
              </w:rPr>
              <w:t>klubów</w:t>
            </w:r>
            <w:r w:rsidR="003B50ED">
              <w:rPr>
                <w:rFonts w:eastAsia="Calibri" w:cstheme="minorHAnsi"/>
              </w:rPr>
              <w:t xml:space="preserve"> </w:t>
            </w:r>
            <w:r w:rsidRPr="00A26C26">
              <w:rPr>
                <w:rFonts w:eastAsia="Calibri" w:cstheme="minorHAnsi"/>
              </w:rPr>
              <w:t>seniora,</w:t>
            </w:r>
            <w:r w:rsidR="003B50ED">
              <w:rPr>
                <w:rFonts w:eastAsia="Calibri" w:cstheme="minorHAnsi"/>
              </w:rPr>
              <w:t xml:space="preserve"> </w:t>
            </w:r>
            <w:r w:rsidRPr="00A26C26">
              <w:rPr>
                <w:rFonts w:eastAsia="Calibri" w:cstheme="minorHAnsi"/>
              </w:rPr>
              <w:t>koła</w:t>
            </w:r>
            <w:r w:rsidR="003B50ED">
              <w:rPr>
                <w:rFonts w:eastAsia="Calibri" w:cstheme="minorHAnsi"/>
              </w:rPr>
              <w:t xml:space="preserve"> </w:t>
            </w:r>
            <w:r w:rsidRPr="00A26C26">
              <w:rPr>
                <w:rFonts w:eastAsia="Calibri" w:cstheme="minorHAnsi"/>
              </w:rPr>
              <w:t>gospodyń</w:t>
            </w:r>
            <w:r w:rsidR="003B50ED">
              <w:rPr>
                <w:rFonts w:eastAsia="Calibri" w:cstheme="minorHAnsi"/>
              </w:rPr>
              <w:t xml:space="preserve"> </w:t>
            </w:r>
            <w:r w:rsidRPr="00A26C26">
              <w:rPr>
                <w:rFonts w:eastAsia="Calibri" w:cstheme="minorHAnsi"/>
              </w:rPr>
              <w:t>wiejskich</w:t>
            </w:r>
            <w:r w:rsidR="003B50ED">
              <w:rPr>
                <w:rFonts w:eastAsia="Calibri" w:cstheme="minorHAnsi"/>
              </w:rPr>
              <w:t xml:space="preserve"> </w:t>
            </w:r>
            <w:r w:rsidRPr="00A26C26">
              <w:rPr>
                <w:rFonts w:eastAsia="Calibri" w:cstheme="minorHAnsi"/>
              </w:rPr>
              <w:t>oraz</w:t>
            </w:r>
            <w:r w:rsidR="003B50ED">
              <w:rPr>
                <w:rFonts w:eastAsia="Calibri" w:cstheme="minorHAnsi"/>
              </w:rPr>
              <w:t xml:space="preserve"> </w:t>
            </w:r>
            <w:r w:rsidRPr="00A26C26">
              <w:rPr>
                <w:rFonts w:eastAsia="Calibri" w:cstheme="minorHAnsi"/>
              </w:rPr>
              <w:t>inicjatyw</w:t>
            </w:r>
            <w:r w:rsidR="003B50ED">
              <w:rPr>
                <w:rFonts w:eastAsia="Calibri" w:cstheme="minorHAnsi"/>
              </w:rPr>
              <w:t xml:space="preserve"> </w:t>
            </w:r>
            <w:r w:rsidRPr="00A26C26">
              <w:rPr>
                <w:rFonts w:eastAsia="Calibri" w:cstheme="minorHAnsi"/>
              </w:rPr>
              <w:t>senioralnych.</w:t>
            </w:r>
            <w:r w:rsidR="003B50ED">
              <w:rPr>
                <w:rFonts w:eastAsia="Calibri" w:cstheme="minorHAnsi"/>
              </w:rPr>
              <w:t xml:space="preserve"> </w:t>
            </w:r>
          </w:p>
          <w:p w14:paraId="5FDD43F3" w14:textId="75948E92" w:rsidR="00C93660" w:rsidRPr="00A26C26" w:rsidRDefault="009C199B" w:rsidP="00A26C26">
            <w:pPr>
              <w:spacing w:line="276" w:lineRule="auto"/>
              <w:jc w:val="both"/>
              <w:rPr>
                <w:rFonts w:eastAsia="Calibri" w:cstheme="minorHAnsi"/>
              </w:rPr>
            </w:pPr>
            <w:r w:rsidRPr="00A26C26">
              <w:rPr>
                <w:rFonts w:eastAsia="Calibri" w:cstheme="minorHAnsi"/>
              </w:rPr>
              <w:t>zwiększanie</w:t>
            </w:r>
            <w:r w:rsidR="003B50ED">
              <w:rPr>
                <w:rFonts w:eastAsia="Calibri" w:cstheme="minorHAnsi"/>
              </w:rPr>
              <w:t xml:space="preserve"> </w:t>
            </w:r>
            <w:r w:rsidRPr="00A26C26">
              <w:rPr>
                <w:rFonts w:eastAsia="Calibri" w:cstheme="minorHAnsi"/>
              </w:rPr>
              <w:t>tożsamości</w:t>
            </w:r>
            <w:r w:rsidR="003B50ED">
              <w:rPr>
                <w:rFonts w:eastAsia="Calibri" w:cstheme="minorHAnsi"/>
              </w:rPr>
              <w:t xml:space="preserve"> </w:t>
            </w:r>
            <w:r w:rsidRPr="00A26C26">
              <w:rPr>
                <w:rFonts w:eastAsia="Calibri" w:cstheme="minorHAnsi"/>
              </w:rPr>
              <w:t>lokalnej</w:t>
            </w:r>
          </w:p>
          <w:p w14:paraId="0240E897" w14:textId="27F8FE91" w:rsidR="00C93660" w:rsidRPr="00A26C26" w:rsidRDefault="009C199B" w:rsidP="00A26C26">
            <w:pPr>
              <w:spacing w:line="276" w:lineRule="auto"/>
              <w:jc w:val="both"/>
              <w:rPr>
                <w:rFonts w:eastAsia="Calibri" w:cstheme="minorHAnsi"/>
              </w:rPr>
            </w:pPr>
            <w:r w:rsidRPr="00A26C26">
              <w:rPr>
                <w:rFonts w:eastAsia="Calibri" w:cstheme="minorHAnsi"/>
              </w:rPr>
              <w:t>uzupełnianie</w:t>
            </w:r>
            <w:r w:rsidR="003B50ED">
              <w:rPr>
                <w:rFonts w:eastAsia="Calibri" w:cstheme="minorHAnsi"/>
              </w:rPr>
              <w:t xml:space="preserve"> </w:t>
            </w:r>
            <w:r w:rsidRPr="00A26C26">
              <w:rPr>
                <w:rFonts w:eastAsia="Calibri" w:cstheme="minorHAnsi"/>
              </w:rPr>
              <w:t>infrastruktury</w:t>
            </w:r>
            <w:r w:rsidR="003B50ED">
              <w:rPr>
                <w:rFonts w:eastAsia="Calibri" w:cstheme="minorHAnsi"/>
              </w:rPr>
              <w:t xml:space="preserve"> </w:t>
            </w:r>
            <w:r w:rsidRPr="00A26C26">
              <w:rPr>
                <w:rFonts w:eastAsia="Calibri" w:cstheme="minorHAnsi"/>
              </w:rPr>
              <w:t>istniejących</w:t>
            </w:r>
            <w:r w:rsidR="003B50ED">
              <w:rPr>
                <w:rFonts w:eastAsia="Calibri" w:cstheme="minorHAnsi"/>
              </w:rPr>
              <w:t xml:space="preserve"> </w:t>
            </w:r>
            <w:r w:rsidRPr="00A26C26">
              <w:rPr>
                <w:rFonts w:eastAsia="Calibri" w:cstheme="minorHAnsi"/>
              </w:rPr>
              <w:t>szlaków</w:t>
            </w:r>
            <w:r w:rsidR="003B50ED">
              <w:rPr>
                <w:rFonts w:eastAsia="Calibri" w:cstheme="minorHAnsi"/>
              </w:rPr>
              <w:t xml:space="preserve"> </w:t>
            </w:r>
            <w:r w:rsidRPr="00A26C26">
              <w:rPr>
                <w:rFonts w:eastAsia="Calibri" w:cstheme="minorHAnsi"/>
              </w:rPr>
              <w:t>turystycznych</w:t>
            </w:r>
          </w:p>
          <w:p w14:paraId="29FC0A2B" w14:textId="4E1EB460" w:rsidR="00C93660" w:rsidRPr="00A26C26" w:rsidRDefault="009C199B" w:rsidP="00A26C26">
            <w:pPr>
              <w:spacing w:line="276" w:lineRule="auto"/>
              <w:jc w:val="both"/>
              <w:rPr>
                <w:rFonts w:eastAsia="Calibri" w:cstheme="minorHAnsi"/>
              </w:rPr>
            </w:pPr>
            <w:r w:rsidRPr="00A26C26">
              <w:rPr>
                <w:rFonts w:eastAsia="Calibri" w:cstheme="minorHAnsi"/>
              </w:rPr>
              <w:t>wewnętrzna</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zewnętrzna</w:t>
            </w:r>
            <w:r w:rsidR="003B50ED">
              <w:rPr>
                <w:rFonts w:eastAsia="Calibri" w:cstheme="minorHAnsi"/>
              </w:rPr>
              <w:t xml:space="preserve"> </w:t>
            </w:r>
            <w:r w:rsidRPr="00A26C26">
              <w:rPr>
                <w:rFonts w:eastAsia="Calibri" w:cstheme="minorHAnsi"/>
              </w:rPr>
              <w:t>promocja</w:t>
            </w:r>
            <w:r w:rsidR="003B50ED">
              <w:rPr>
                <w:rFonts w:eastAsia="Calibri" w:cstheme="minorHAnsi"/>
              </w:rPr>
              <w:t xml:space="preserve"> </w:t>
            </w:r>
            <w:r w:rsidRPr="00A26C26">
              <w:rPr>
                <w:rFonts w:eastAsia="Calibri" w:cstheme="minorHAnsi"/>
              </w:rPr>
              <w:t>gminy</w:t>
            </w:r>
          </w:p>
          <w:p w14:paraId="46BA8DD7" w14:textId="73DF39FB" w:rsidR="00972EBA" w:rsidRPr="00A26C26" w:rsidRDefault="009C199B" w:rsidP="00A26C26">
            <w:pPr>
              <w:spacing w:line="276" w:lineRule="auto"/>
              <w:jc w:val="both"/>
              <w:rPr>
                <w:rFonts w:eastAsia="Calibri" w:cstheme="minorHAnsi"/>
              </w:rPr>
            </w:pPr>
            <w:r w:rsidRPr="00A26C26">
              <w:rPr>
                <w:rFonts w:eastAsia="Calibri" w:cstheme="minorHAnsi"/>
              </w:rPr>
              <w:t>wspieranie</w:t>
            </w:r>
            <w:r w:rsidR="003B50ED">
              <w:rPr>
                <w:rFonts w:eastAsia="Calibri" w:cstheme="minorHAnsi"/>
              </w:rPr>
              <w:t xml:space="preserve"> </w:t>
            </w:r>
            <w:r w:rsidRPr="00A26C26">
              <w:rPr>
                <w:rFonts w:eastAsia="Calibri" w:cstheme="minorHAnsi"/>
              </w:rPr>
              <w:t>lokalnych</w:t>
            </w:r>
            <w:r w:rsidR="003B50ED">
              <w:rPr>
                <w:rFonts w:eastAsia="Calibri" w:cstheme="minorHAnsi"/>
              </w:rPr>
              <w:t xml:space="preserve"> </w:t>
            </w:r>
            <w:r w:rsidRPr="00A26C26">
              <w:rPr>
                <w:rFonts w:eastAsia="Calibri" w:cstheme="minorHAnsi"/>
              </w:rPr>
              <w:t>przedsiębiorców</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postaw</w:t>
            </w:r>
            <w:r w:rsidR="003B50ED">
              <w:rPr>
                <w:rFonts w:eastAsia="Calibri" w:cstheme="minorHAnsi"/>
              </w:rPr>
              <w:t xml:space="preserve"> </w:t>
            </w:r>
            <w:r w:rsidRPr="00A26C26">
              <w:rPr>
                <w:rFonts w:eastAsia="Calibri" w:cstheme="minorHAnsi"/>
              </w:rPr>
              <w:t>pro-gospodarczych</w:t>
            </w:r>
          </w:p>
          <w:p w14:paraId="2FD203CB" w14:textId="0804AB90" w:rsidR="00972EBA" w:rsidRPr="00A26C26" w:rsidRDefault="009C199B" w:rsidP="00A26C26">
            <w:pPr>
              <w:spacing w:line="276" w:lineRule="auto"/>
              <w:jc w:val="both"/>
              <w:rPr>
                <w:rFonts w:eastAsia="Calibri" w:cstheme="minorHAnsi"/>
              </w:rPr>
            </w:pPr>
            <w:r w:rsidRPr="00A26C26">
              <w:rPr>
                <w:rFonts w:eastAsia="Calibri" w:cstheme="minorHAnsi"/>
              </w:rPr>
              <w:t>rozwinięta</w:t>
            </w:r>
            <w:r w:rsidR="003B50ED">
              <w:rPr>
                <w:rFonts w:eastAsia="Calibri" w:cstheme="minorHAnsi"/>
              </w:rPr>
              <w:t xml:space="preserve"> </w:t>
            </w:r>
            <w:r w:rsidRPr="00A26C26">
              <w:rPr>
                <w:rFonts w:eastAsia="Calibri" w:cstheme="minorHAnsi"/>
              </w:rPr>
              <w:t>turystyka</w:t>
            </w:r>
            <w:r w:rsidR="003B50ED">
              <w:rPr>
                <w:rFonts w:eastAsia="Calibri" w:cstheme="minorHAnsi"/>
              </w:rPr>
              <w:t xml:space="preserve"> </w:t>
            </w:r>
            <w:r w:rsidRPr="00A26C26">
              <w:rPr>
                <w:rFonts w:eastAsia="Calibri" w:cstheme="minorHAnsi"/>
              </w:rPr>
              <w:t>wiejska</w:t>
            </w:r>
            <w:r w:rsidR="003B50ED">
              <w:rPr>
                <w:rFonts w:eastAsia="Calibri" w:cstheme="minorHAnsi"/>
              </w:rPr>
              <w:t xml:space="preserve"> </w:t>
            </w:r>
            <w:r w:rsidRPr="00A26C26">
              <w:rPr>
                <w:rFonts w:eastAsia="Calibri" w:cstheme="minorHAnsi"/>
              </w:rPr>
              <w:t>oraz</w:t>
            </w:r>
            <w:r w:rsidR="003B50ED">
              <w:rPr>
                <w:rFonts w:eastAsia="Calibri" w:cstheme="minorHAnsi"/>
              </w:rPr>
              <w:t xml:space="preserve"> </w:t>
            </w:r>
            <w:r w:rsidRPr="00A26C26">
              <w:rPr>
                <w:rFonts w:eastAsia="Calibri" w:cstheme="minorHAnsi"/>
              </w:rPr>
              <w:t>wykorzystanie</w:t>
            </w:r>
            <w:r w:rsidR="003B50ED">
              <w:rPr>
                <w:rFonts w:eastAsia="Calibri" w:cstheme="minorHAnsi"/>
              </w:rPr>
              <w:t xml:space="preserve"> </w:t>
            </w:r>
            <w:r w:rsidRPr="00A26C26">
              <w:rPr>
                <w:rFonts w:eastAsia="Calibri" w:cstheme="minorHAnsi"/>
              </w:rPr>
              <w:t>dziedzictwa</w:t>
            </w:r>
            <w:r w:rsidR="003B50ED">
              <w:rPr>
                <w:rFonts w:eastAsia="Calibri" w:cstheme="minorHAnsi"/>
              </w:rPr>
              <w:t xml:space="preserve"> </w:t>
            </w:r>
            <w:r w:rsidRPr="00A26C26">
              <w:rPr>
                <w:rFonts w:eastAsia="Calibri" w:cstheme="minorHAnsi"/>
              </w:rPr>
              <w:t>kulturowego</w:t>
            </w:r>
            <w:r w:rsidR="003B50ED">
              <w:rPr>
                <w:rFonts w:eastAsia="Calibri" w:cstheme="minorHAnsi"/>
              </w:rPr>
              <w:t xml:space="preserve"> </w:t>
            </w:r>
            <w:r w:rsidRPr="00A26C26">
              <w:rPr>
                <w:rFonts w:eastAsia="Calibri" w:cstheme="minorHAnsi"/>
              </w:rPr>
              <w:t>do</w:t>
            </w:r>
            <w:r w:rsidR="003B50ED">
              <w:rPr>
                <w:rFonts w:eastAsia="Calibri" w:cstheme="minorHAnsi"/>
              </w:rPr>
              <w:t xml:space="preserve"> </w:t>
            </w:r>
            <w:r w:rsidRPr="00A26C26">
              <w:rPr>
                <w:rFonts w:eastAsia="Calibri" w:cstheme="minorHAnsi"/>
              </w:rPr>
              <w:t>rozwoju</w:t>
            </w:r>
          </w:p>
          <w:p w14:paraId="4D820E9B" w14:textId="5DB0C078" w:rsidR="00972EBA" w:rsidRPr="00A26C26" w:rsidRDefault="009C199B" w:rsidP="00A26C26">
            <w:pPr>
              <w:spacing w:line="276" w:lineRule="auto"/>
              <w:jc w:val="both"/>
              <w:rPr>
                <w:rFonts w:eastAsia="Calibri" w:cstheme="minorHAnsi"/>
              </w:rPr>
            </w:pPr>
            <w:r w:rsidRPr="00A26C26">
              <w:rPr>
                <w:rFonts w:eastAsia="Calibri" w:cstheme="minorHAnsi"/>
              </w:rPr>
              <w:t>gospodarczego</w:t>
            </w:r>
            <w:r w:rsidR="003B50ED">
              <w:rPr>
                <w:rFonts w:eastAsia="Calibri" w:cstheme="minorHAnsi"/>
              </w:rPr>
              <w:t xml:space="preserve"> </w:t>
            </w:r>
            <w:r w:rsidRPr="00A26C26">
              <w:rPr>
                <w:rFonts w:eastAsia="Calibri" w:cstheme="minorHAnsi"/>
              </w:rPr>
              <w:t>gminy</w:t>
            </w:r>
          </w:p>
          <w:p w14:paraId="64AC5237" w14:textId="593EEBB9" w:rsidR="00972EBA" w:rsidRPr="00A26C26" w:rsidRDefault="009C199B" w:rsidP="00A26C26">
            <w:pPr>
              <w:spacing w:line="276" w:lineRule="auto"/>
              <w:jc w:val="both"/>
              <w:rPr>
                <w:rFonts w:eastAsia="Calibri" w:cstheme="minorHAnsi"/>
              </w:rPr>
            </w:pPr>
            <w:r w:rsidRPr="00A26C26">
              <w:rPr>
                <w:rFonts w:eastAsia="Calibri" w:cstheme="minorHAnsi"/>
              </w:rPr>
              <w:t>rozwój</w:t>
            </w:r>
            <w:r w:rsidR="003B50ED">
              <w:rPr>
                <w:rFonts w:eastAsia="Calibri" w:cstheme="minorHAnsi"/>
              </w:rPr>
              <w:t xml:space="preserve"> </w:t>
            </w:r>
            <w:r w:rsidRPr="00A26C26">
              <w:rPr>
                <w:rFonts w:eastAsia="Calibri" w:cstheme="minorHAnsi"/>
              </w:rPr>
              <w:t>gminnej</w:t>
            </w:r>
            <w:r w:rsidR="003B50ED">
              <w:rPr>
                <w:rFonts w:eastAsia="Calibri" w:cstheme="minorHAnsi"/>
              </w:rPr>
              <w:t xml:space="preserve"> </w:t>
            </w:r>
            <w:r w:rsidRPr="00A26C26">
              <w:rPr>
                <w:rFonts w:eastAsia="Calibri" w:cstheme="minorHAnsi"/>
              </w:rPr>
              <w:t>oferty</w:t>
            </w:r>
            <w:r w:rsidR="003B50ED">
              <w:rPr>
                <w:rFonts w:eastAsia="Calibri" w:cstheme="minorHAnsi"/>
              </w:rPr>
              <w:t xml:space="preserve"> </w:t>
            </w:r>
            <w:r w:rsidRPr="00A26C26">
              <w:rPr>
                <w:rFonts w:eastAsia="Calibri" w:cstheme="minorHAnsi"/>
              </w:rPr>
              <w:t>kulturalno-sportowej</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wzmocnienie</w:t>
            </w:r>
            <w:r w:rsidR="003B50ED">
              <w:rPr>
                <w:rFonts w:eastAsia="Calibri" w:cstheme="minorHAnsi"/>
              </w:rPr>
              <w:t xml:space="preserve"> </w:t>
            </w:r>
            <w:r w:rsidRPr="00A26C26">
              <w:rPr>
                <w:rFonts w:eastAsia="Calibri" w:cstheme="minorHAnsi"/>
              </w:rPr>
              <w:t>kapitału</w:t>
            </w:r>
            <w:r w:rsidR="003B50ED">
              <w:rPr>
                <w:rFonts w:eastAsia="Calibri" w:cstheme="minorHAnsi"/>
              </w:rPr>
              <w:t xml:space="preserve"> </w:t>
            </w:r>
            <w:r w:rsidRPr="00A26C26">
              <w:rPr>
                <w:rFonts w:eastAsia="Calibri" w:cstheme="minorHAnsi"/>
              </w:rPr>
              <w:t>społecznego</w:t>
            </w:r>
          </w:p>
        </w:tc>
      </w:tr>
      <w:tr w:rsidR="00857736" w:rsidRPr="00A26C26" w14:paraId="22204A8A" w14:textId="77777777" w:rsidTr="00233140">
        <w:trPr>
          <w:trHeight w:val="249"/>
        </w:trPr>
        <w:tc>
          <w:tcPr>
            <w:tcW w:w="10201" w:type="dxa"/>
            <w:gridSpan w:val="2"/>
          </w:tcPr>
          <w:p w14:paraId="079FA9BD" w14:textId="77C476A4" w:rsidR="00857736" w:rsidRPr="00A26C26" w:rsidRDefault="00857736" w:rsidP="00A26C26">
            <w:pPr>
              <w:spacing w:line="276" w:lineRule="auto"/>
              <w:jc w:val="both"/>
              <w:rPr>
                <w:rFonts w:eastAsia="Calibri" w:cstheme="minorHAnsi"/>
                <w:lang w:eastAsia="pl-PL"/>
              </w:rPr>
            </w:pPr>
            <w:r w:rsidRPr="00A26C26">
              <w:rPr>
                <w:rFonts w:eastAsia="Calibri" w:cstheme="minorHAnsi"/>
                <w:lang w:eastAsia="pl-PL"/>
              </w:rPr>
              <w:t>Przedsięwzięcia</w:t>
            </w:r>
            <w:r w:rsidR="003B50ED">
              <w:rPr>
                <w:rFonts w:eastAsia="Calibri" w:cstheme="minorHAnsi"/>
                <w:lang w:eastAsia="pl-PL"/>
              </w:rPr>
              <w:t xml:space="preserve"> </w:t>
            </w:r>
            <w:r w:rsidRPr="00A26C26">
              <w:rPr>
                <w:rFonts w:eastAsia="Calibri" w:cstheme="minorHAnsi"/>
                <w:lang w:eastAsia="pl-PL"/>
              </w:rPr>
              <w:t>LSR</w:t>
            </w:r>
            <w:r w:rsidR="003B50ED">
              <w:rPr>
                <w:rFonts w:eastAsia="Calibri" w:cstheme="minorHAnsi"/>
                <w:lang w:eastAsia="pl-PL"/>
              </w:rPr>
              <w:t xml:space="preserve"> </w:t>
            </w:r>
            <w:r w:rsidRPr="00A26C26">
              <w:rPr>
                <w:rFonts w:eastAsia="Calibri" w:cstheme="minorHAnsi"/>
                <w:lang w:eastAsia="pl-PL"/>
              </w:rPr>
              <w:t>są</w:t>
            </w:r>
            <w:r w:rsidR="003B50ED">
              <w:rPr>
                <w:rFonts w:eastAsia="Calibri" w:cstheme="minorHAnsi"/>
                <w:lang w:eastAsia="pl-PL"/>
              </w:rPr>
              <w:t xml:space="preserve"> </w:t>
            </w:r>
            <w:r w:rsidRPr="00A26C26">
              <w:rPr>
                <w:rFonts w:eastAsia="Calibri" w:cstheme="minorHAnsi"/>
                <w:lang w:eastAsia="pl-PL"/>
              </w:rPr>
              <w:t>względem</w:t>
            </w:r>
            <w:r w:rsidR="003B50ED">
              <w:rPr>
                <w:rFonts w:eastAsia="Calibri" w:cstheme="minorHAnsi"/>
                <w:lang w:eastAsia="pl-PL"/>
              </w:rPr>
              <w:t xml:space="preserve"> </w:t>
            </w:r>
            <w:r w:rsidRPr="00A26C26">
              <w:rPr>
                <w:rFonts w:eastAsia="Calibri" w:cstheme="minorHAnsi"/>
                <w:lang w:eastAsia="pl-PL"/>
              </w:rPr>
              <w:t>celów</w:t>
            </w:r>
            <w:r w:rsidR="003B50ED">
              <w:rPr>
                <w:rFonts w:eastAsia="Calibri" w:cstheme="minorHAnsi"/>
                <w:lang w:eastAsia="pl-PL"/>
              </w:rPr>
              <w:t xml:space="preserve"> </w:t>
            </w:r>
            <w:r w:rsidRPr="00A26C26">
              <w:rPr>
                <w:rFonts w:eastAsia="Calibri" w:cstheme="minorHAnsi"/>
                <w:lang w:eastAsia="pl-PL"/>
              </w:rPr>
              <w:t>Strategii</w:t>
            </w:r>
            <w:r w:rsidR="003B50ED">
              <w:rPr>
                <w:rFonts w:eastAsia="Calibri" w:cstheme="minorHAnsi"/>
                <w:lang w:eastAsia="pl-PL"/>
              </w:rPr>
              <w:t xml:space="preserve"> </w:t>
            </w:r>
            <w:r w:rsidRPr="00A26C26">
              <w:rPr>
                <w:rFonts w:eastAsia="Calibri" w:cstheme="minorHAnsi"/>
                <w:lang w:eastAsia="pl-PL"/>
              </w:rPr>
              <w:t>gmin</w:t>
            </w:r>
            <w:r w:rsidR="003B50ED">
              <w:rPr>
                <w:rFonts w:eastAsia="Calibri" w:cstheme="minorHAnsi"/>
                <w:lang w:eastAsia="pl-PL"/>
              </w:rPr>
              <w:t xml:space="preserve"> </w:t>
            </w:r>
            <w:r w:rsidRPr="00A26C26">
              <w:rPr>
                <w:rFonts w:eastAsia="Calibri" w:cstheme="minorHAnsi"/>
                <w:lang w:eastAsia="pl-PL"/>
              </w:rPr>
              <w:t>komplementarne,</w:t>
            </w:r>
            <w:r w:rsidR="003B50ED">
              <w:rPr>
                <w:rFonts w:eastAsia="Calibri" w:cstheme="minorHAnsi"/>
                <w:lang w:eastAsia="pl-PL"/>
              </w:rPr>
              <w:t xml:space="preserve"> </w:t>
            </w:r>
            <w:r w:rsidRPr="00A26C26">
              <w:rPr>
                <w:rFonts w:eastAsia="Calibri" w:cstheme="minorHAnsi"/>
                <w:lang w:eastAsia="pl-PL"/>
              </w:rPr>
              <w:t>spójne</w:t>
            </w:r>
            <w:r w:rsidR="003B50ED">
              <w:rPr>
                <w:rFonts w:eastAsia="Calibri" w:cstheme="minorHAnsi"/>
                <w:lang w:eastAsia="pl-PL"/>
              </w:rPr>
              <w:t xml:space="preserve"> </w:t>
            </w:r>
            <w:r w:rsidRPr="00A26C26">
              <w:rPr>
                <w:rFonts w:eastAsia="Calibri" w:cstheme="minorHAnsi"/>
                <w:lang w:eastAsia="pl-PL"/>
              </w:rPr>
              <w:t>i</w:t>
            </w:r>
            <w:r w:rsidR="003B50ED">
              <w:rPr>
                <w:rFonts w:eastAsia="Calibri" w:cstheme="minorHAnsi"/>
                <w:lang w:eastAsia="pl-PL"/>
              </w:rPr>
              <w:t xml:space="preserve"> </w:t>
            </w:r>
            <w:r w:rsidRPr="00A26C26">
              <w:rPr>
                <w:rFonts w:eastAsia="Calibri" w:cstheme="minorHAnsi"/>
                <w:lang w:eastAsia="pl-PL"/>
              </w:rPr>
              <w:t>synergiczne.</w:t>
            </w:r>
            <w:r w:rsidR="003B50ED">
              <w:rPr>
                <w:rFonts w:eastAsia="Calibri" w:cstheme="minorHAnsi"/>
                <w:lang w:eastAsia="pl-PL"/>
              </w:rPr>
              <w:t xml:space="preserve"> </w:t>
            </w:r>
          </w:p>
          <w:p w14:paraId="133F600D" w14:textId="392C77C5" w:rsidR="00857736" w:rsidRPr="00A26C26" w:rsidRDefault="00857736" w:rsidP="00A26C26">
            <w:pPr>
              <w:spacing w:line="276" w:lineRule="auto"/>
              <w:jc w:val="both"/>
              <w:rPr>
                <w:rFonts w:eastAsia="Calibri" w:cstheme="minorHAnsi"/>
                <w:lang w:eastAsia="pl-PL"/>
              </w:rPr>
            </w:pPr>
            <w:r w:rsidRPr="00A26C26">
              <w:rPr>
                <w:rFonts w:eastAsia="Calibri" w:cstheme="minorHAnsi"/>
              </w:rPr>
              <w:t>Ze</w:t>
            </w:r>
            <w:r w:rsidR="003B50ED">
              <w:rPr>
                <w:rFonts w:eastAsia="Calibri" w:cstheme="minorHAnsi"/>
              </w:rPr>
              <w:t xml:space="preserve"> </w:t>
            </w:r>
            <w:r w:rsidRPr="00A26C26">
              <w:rPr>
                <w:rFonts w:eastAsia="Calibri" w:cstheme="minorHAnsi"/>
              </w:rPr>
              <w:t>względu</w:t>
            </w:r>
            <w:r w:rsidR="003B50ED">
              <w:rPr>
                <w:rFonts w:eastAsia="Calibri" w:cstheme="minorHAnsi"/>
              </w:rPr>
              <w:t xml:space="preserve"> </w:t>
            </w:r>
            <w:r w:rsidRPr="00A26C26">
              <w:rPr>
                <w:rFonts w:eastAsia="Calibri" w:cstheme="minorHAnsi"/>
              </w:rPr>
              <w:t>na</w:t>
            </w:r>
            <w:r w:rsidR="003B50ED">
              <w:rPr>
                <w:rFonts w:eastAsia="Calibri" w:cstheme="minorHAnsi"/>
              </w:rPr>
              <w:t xml:space="preserve"> </w:t>
            </w:r>
            <w:r w:rsidRPr="00A26C26">
              <w:rPr>
                <w:rFonts w:eastAsia="Calibri" w:cstheme="minorHAnsi"/>
              </w:rPr>
              <w:t>swoje</w:t>
            </w:r>
            <w:r w:rsidR="003B50ED">
              <w:rPr>
                <w:rFonts w:eastAsia="Calibri" w:cstheme="minorHAnsi"/>
              </w:rPr>
              <w:t xml:space="preserve"> </w:t>
            </w:r>
            <w:r w:rsidRPr="00A26C26">
              <w:rPr>
                <w:rFonts w:eastAsia="Calibri" w:cstheme="minorHAnsi"/>
              </w:rPr>
              <w:t>genezę,</w:t>
            </w:r>
            <w:r w:rsidR="003B50ED">
              <w:rPr>
                <w:rFonts w:eastAsia="Calibri" w:cstheme="minorHAnsi"/>
              </w:rPr>
              <w:t xml:space="preserve"> </w:t>
            </w:r>
            <w:r w:rsidRPr="00A26C26">
              <w:rPr>
                <w:rFonts w:eastAsia="Calibri" w:cstheme="minorHAnsi"/>
              </w:rPr>
              <w:t>LSR</w:t>
            </w:r>
            <w:r w:rsidR="003B50ED">
              <w:rPr>
                <w:rFonts w:eastAsia="Calibri" w:cstheme="minorHAnsi"/>
              </w:rPr>
              <w:t xml:space="preserve"> </w:t>
            </w:r>
            <w:r w:rsidRPr="00A26C26">
              <w:rPr>
                <w:rFonts w:eastAsia="Calibri" w:cstheme="minorHAnsi"/>
              </w:rPr>
              <w:t>powstała</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ścisłej</w:t>
            </w:r>
            <w:r w:rsidR="003B50ED">
              <w:rPr>
                <w:rFonts w:eastAsia="Calibri" w:cstheme="minorHAnsi"/>
              </w:rPr>
              <w:t xml:space="preserve"> </w:t>
            </w:r>
            <w:r w:rsidRPr="00A26C26">
              <w:rPr>
                <w:rFonts w:eastAsia="Calibri" w:cstheme="minorHAnsi"/>
              </w:rPr>
              <w:t>współpracy</w:t>
            </w:r>
            <w:r w:rsidR="003B50ED">
              <w:rPr>
                <w:rFonts w:eastAsia="Calibri" w:cstheme="minorHAnsi"/>
              </w:rPr>
              <w:t xml:space="preserve"> </w:t>
            </w:r>
            <w:r w:rsidRPr="00A26C26">
              <w:rPr>
                <w:rFonts w:eastAsia="Calibri" w:cstheme="minorHAnsi"/>
              </w:rPr>
              <w:t>z</w:t>
            </w:r>
            <w:r w:rsidR="003B50ED">
              <w:rPr>
                <w:rFonts w:eastAsia="Calibri" w:cstheme="minorHAnsi"/>
              </w:rPr>
              <w:t xml:space="preserve"> </w:t>
            </w:r>
            <w:r w:rsidRPr="00A26C26">
              <w:rPr>
                <w:rFonts w:eastAsia="Calibri" w:cstheme="minorHAnsi"/>
              </w:rPr>
              <w:t>lokalnymi</w:t>
            </w:r>
            <w:r w:rsidR="003B50ED">
              <w:rPr>
                <w:rFonts w:eastAsia="Calibri" w:cstheme="minorHAnsi"/>
              </w:rPr>
              <w:t xml:space="preserve"> </w:t>
            </w:r>
            <w:r w:rsidRPr="00A26C26">
              <w:rPr>
                <w:rFonts w:eastAsia="Calibri" w:cstheme="minorHAnsi"/>
              </w:rPr>
              <w:t>społecznościami</w:t>
            </w:r>
            <w:r w:rsidR="003B50ED">
              <w:rPr>
                <w:rFonts w:eastAsia="Calibri" w:cstheme="minorHAnsi"/>
              </w:rPr>
              <w:t xml:space="preserve"> </w:t>
            </w:r>
            <w:r w:rsidRPr="00A26C26">
              <w:rPr>
                <w:rFonts w:eastAsia="Calibri" w:cstheme="minorHAnsi"/>
              </w:rPr>
              <w:t>gmin</w:t>
            </w:r>
            <w:r w:rsidR="003B50ED">
              <w:rPr>
                <w:rFonts w:eastAsia="Calibri" w:cstheme="minorHAnsi"/>
              </w:rPr>
              <w:t xml:space="preserve"> </w:t>
            </w:r>
            <w:r w:rsidRPr="00A26C26">
              <w:rPr>
                <w:rFonts w:eastAsia="Calibri" w:cstheme="minorHAnsi"/>
              </w:rPr>
              <w:t>członkowskich,</w:t>
            </w:r>
            <w:r w:rsidR="003B50ED">
              <w:rPr>
                <w:rFonts w:eastAsia="Calibri" w:cstheme="minorHAnsi"/>
              </w:rPr>
              <w:t xml:space="preserve"> </w:t>
            </w:r>
            <w:r w:rsidRPr="00A26C26">
              <w:rPr>
                <w:rFonts w:eastAsia="Calibri" w:cstheme="minorHAnsi"/>
              </w:rPr>
              <w:t>które</w:t>
            </w:r>
            <w:r w:rsidR="003B50ED">
              <w:rPr>
                <w:rFonts w:eastAsia="Calibri" w:cstheme="minorHAnsi"/>
              </w:rPr>
              <w:t xml:space="preserve"> </w:t>
            </w:r>
            <w:r w:rsidRPr="00A26C26">
              <w:rPr>
                <w:rFonts w:eastAsia="Calibri" w:cstheme="minorHAnsi"/>
              </w:rPr>
              <w:t>reprezentują</w:t>
            </w:r>
            <w:r w:rsidR="003B50ED">
              <w:rPr>
                <w:rFonts w:eastAsia="Calibri" w:cstheme="minorHAnsi"/>
              </w:rPr>
              <w:t xml:space="preserve"> </w:t>
            </w:r>
            <w:r w:rsidRPr="00A26C26">
              <w:rPr>
                <w:rFonts w:eastAsia="Calibri" w:cstheme="minorHAnsi"/>
              </w:rPr>
              <w:t>różnorodne</w:t>
            </w:r>
            <w:r w:rsidR="003B50ED">
              <w:rPr>
                <w:rFonts w:eastAsia="Calibri" w:cstheme="minorHAnsi"/>
              </w:rPr>
              <w:t xml:space="preserve"> </w:t>
            </w:r>
            <w:r w:rsidRPr="00A26C26">
              <w:rPr>
                <w:rFonts w:eastAsia="Calibri" w:cstheme="minorHAnsi"/>
              </w:rPr>
              <w:t>sektory:</w:t>
            </w:r>
            <w:r w:rsidR="003B50ED">
              <w:rPr>
                <w:rFonts w:eastAsia="Calibri" w:cstheme="minorHAnsi"/>
              </w:rPr>
              <w:t xml:space="preserve"> </w:t>
            </w:r>
            <w:r w:rsidRPr="00A26C26">
              <w:rPr>
                <w:rFonts w:eastAsia="Calibri" w:cstheme="minorHAnsi"/>
              </w:rPr>
              <w:t>publiczny,</w:t>
            </w:r>
            <w:r w:rsidR="003B50ED">
              <w:rPr>
                <w:rFonts w:eastAsia="Calibri" w:cstheme="minorHAnsi"/>
              </w:rPr>
              <w:t xml:space="preserve"> </w:t>
            </w:r>
            <w:r w:rsidRPr="00A26C26">
              <w:rPr>
                <w:rFonts w:eastAsia="Calibri" w:cstheme="minorHAnsi"/>
              </w:rPr>
              <w:t>gospodarczy</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społeczny.</w:t>
            </w:r>
            <w:r w:rsidR="003B50ED">
              <w:rPr>
                <w:rFonts w:eastAsia="Calibri" w:cstheme="minorHAnsi"/>
              </w:rPr>
              <w:t xml:space="preserve"> </w:t>
            </w:r>
            <w:r w:rsidRPr="00A26C26">
              <w:rPr>
                <w:rFonts w:eastAsia="Calibri" w:cstheme="minorHAnsi"/>
              </w:rPr>
              <w:t>Właśnie</w:t>
            </w:r>
            <w:r w:rsidR="003B50ED">
              <w:rPr>
                <w:rFonts w:eastAsia="Calibri" w:cstheme="minorHAnsi"/>
              </w:rPr>
              <w:t xml:space="preserve"> </w:t>
            </w:r>
            <w:r w:rsidRPr="00A26C26">
              <w:rPr>
                <w:rFonts w:eastAsia="Calibri" w:cstheme="minorHAnsi"/>
              </w:rPr>
              <w:t>dzięki</w:t>
            </w:r>
            <w:r w:rsidR="003B50ED">
              <w:rPr>
                <w:rFonts w:eastAsia="Calibri" w:cstheme="minorHAnsi"/>
              </w:rPr>
              <w:t xml:space="preserve"> </w:t>
            </w:r>
            <w:r w:rsidRPr="00A26C26">
              <w:rPr>
                <w:rFonts w:eastAsia="Calibri" w:cstheme="minorHAnsi"/>
              </w:rPr>
              <w:t>temu</w:t>
            </w:r>
            <w:r w:rsidR="003B50ED">
              <w:rPr>
                <w:rFonts w:eastAsia="Calibri" w:cstheme="minorHAnsi"/>
              </w:rPr>
              <w:t xml:space="preserve"> </w:t>
            </w:r>
            <w:r w:rsidRPr="00A26C26">
              <w:rPr>
                <w:rFonts w:eastAsia="Calibri" w:cstheme="minorHAnsi"/>
              </w:rPr>
              <w:t>jej</w:t>
            </w:r>
            <w:r w:rsidR="003B50ED">
              <w:rPr>
                <w:rFonts w:eastAsia="Calibri" w:cstheme="minorHAnsi"/>
              </w:rPr>
              <w:t xml:space="preserve"> </w:t>
            </w:r>
            <w:r w:rsidRPr="00A26C26">
              <w:rPr>
                <w:rFonts w:eastAsia="Calibri" w:cstheme="minorHAnsi"/>
              </w:rPr>
              <w:t>cele</w:t>
            </w:r>
            <w:r w:rsidR="003B50ED">
              <w:rPr>
                <w:rFonts w:eastAsia="Calibri" w:cstheme="minorHAnsi"/>
              </w:rPr>
              <w:t xml:space="preserve"> </w:t>
            </w:r>
            <w:r w:rsidRPr="00A26C26">
              <w:rPr>
                <w:rFonts w:eastAsia="Calibri" w:cstheme="minorHAnsi"/>
              </w:rPr>
              <w:t>są</w:t>
            </w:r>
            <w:r w:rsidR="003B50ED">
              <w:rPr>
                <w:rFonts w:eastAsia="Calibri" w:cstheme="minorHAnsi"/>
              </w:rPr>
              <w:t xml:space="preserve"> </w:t>
            </w:r>
            <w:r w:rsidRPr="00A26C26">
              <w:rPr>
                <w:rFonts w:eastAsia="Calibri" w:cstheme="minorHAnsi"/>
              </w:rPr>
              <w:t>doskonale</w:t>
            </w:r>
            <w:r w:rsidR="003B50ED">
              <w:rPr>
                <w:rFonts w:eastAsia="Calibri" w:cstheme="minorHAnsi"/>
              </w:rPr>
              <w:t xml:space="preserve"> </w:t>
            </w:r>
            <w:r w:rsidRPr="00A26C26">
              <w:rPr>
                <w:rFonts w:eastAsia="Calibri" w:cstheme="minorHAnsi"/>
              </w:rPr>
              <w:t>dopasowane</w:t>
            </w:r>
            <w:r w:rsidR="003B50ED">
              <w:rPr>
                <w:rFonts w:eastAsia="Calibri" w:cstheme="minorHAnsi"/>
              </w:rPr>
              <w:t xml:space="preserve"> </w:t>
            </w:r>
            <w:r w:rsidRPr="00A26C26">
              <w:rPr>
                <w:rFonts w:eastAsia="Calibri" w:cstheme="minorHAnsi"/>
              </w:rPr>
              <w:t>do</w:t>
            </w:r>
            <w:r w:rsidR="003B50ED">
              <w:rPr>
                <w:rFonts w:eastAsia="Calibri" w:cstheme="minorHAnsi"/>
              </w:rPr>
              <w:t xml:space="preserve"> </w:t>
            </w:r>
            <w:r w:rsidRPr="00A26C26">
              <w:rPr>
                <w:rFonts w:eastAsia="Calibri" w:cstheme="minorHAnsi"/>
              </w:rPr>
              <w:t>ww.</w:t>
            </w:r>
            <w:r w:rsidR="003B50ED">
              <w:rPr>
                <w:rFonts w:eastAsia="Calibri" w:cstheme="minorHAnsi"/>
              </w:rPr>
              <w:t xml:space="preserve"> </w:t>
            </w:r>
            <w:r w:rsidRPr="00A26C26">
              <w:rPr>
                <w:rFonts w:eastAsia="Calibri" w:cstheme="minorHAnsi"/>
              </w:rPr>
              <w:t>celów</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stanowią</w:t>
            </w:r>
            <w:r w:rsidR="003B50ED">
              <w:rPr>
                <w:rFonts w:eastAsia="Calibri" w:cstheme="minorHAnsi"/>
              </w:rPr>
              <w:t xml:space="preserve"> </w:t>
            </w:r>
            <w:r w:rsidRPr="00A26C26">
              <w:rPr>
                <w:rFonts w:eastAsia="Calibri" w:cstheme="minorHAnsi"/>
              </w:rPr>
              <w:t>uzupełnienie</w:t>
            </w:r>
            <w:r w:rsidR="003B50ED">
              <w:rPr>
                <w:rFonts w:eastAsia="Calibri" w:cstheme="minorHAnsi"/>
              </w:rPr>
              <w:t xml:space="preserve"> </w:t>
            </w:r>
            <w:r w:rsidRPr="00A26C26">
              <w:rPr>
                <w:rFonts w:eastAsia="Calibri" w:cstheme="minorHAnsi"/>
              </w:rPr>
              <w:t>planowanych</w:t>
            </w:r>
            <w:r w:rsidR="003B50ED">
              <w:rPr>
                <w:rFonts w:eastAsia="Calibri" w:cstheme="minorHAnsi"/>
              </w:rPr>
              <w:t xml:space="preserve"> </w:t>
            </w:r>
            <w:r w:rsidRPr="00A26C26">
              <w:rPr>
                <w:rFonts w:eastAsia="Calibri" w:cstheme="minorHAnsi"/>
              </w:rPr>
              <w:t>działań</w:t>
            </w:r>
            <w:r w:rsidR="003B50ED">
              <w:rPr>
                <w:rFonts w:eastAsia="Calibri" w:cstheme="minorHAnsi"/>
              </w:rPr>
              <w:t xml:space="preserve"> </w:t>
            </w:r>
            <w:r w:rsidRPr="00A26C26">
              <w:rPr>
                <w:rFonts w:eastAsia="Calibri" w:cstheme="minorHAnsi"/>
              </w:rPr>
              <w:t>prowadzonych</w:t>
            </w:r>
            <w:r w:rsidR="003B50ED">
              <w:rPr>
                <w:rFonts w:eastAsia="Calibri" w:cstheme="minorHAnsi"/>
              </w:rPr>
              <w:t xml:space="preserve"> </w:t>
            </w:r>
            <w:r w:rsidRPr="00A26C26">
              <w:rPr>
                <w:rFonts w:eastAsia="Calibri" w:cstheme="minorHAnsi"/>
              </w:rPr>
              <w:t>przez</w:t>
            </w:r>
            <w:r w:rsidR="003B50ED">
              <w:rPr>
                <w:rFonts w:eastAsia="Calibri" w:cstheme="minorHAnsi"/>
              </w:rPr>
              <w:t xml:space="preserve"> </w:t>
            </w:r>
            <w:r w:rsidRPr="00A26C26">
              <w:rPr>
                <w:rFonts w:eastAsia="Calibri" w:cstheme="minorHAnsi"/>
              </w:rPr>
              <w:t>jednostki</w:t>
            </w:r>
            <w:r w:rsidR="003B50ED">
              <w:rPr>
                <w:rFonts w:eastAsia="Calibri" w:cstheme="minorHAnsi"/>
              </w:rPr>
              <w:t xml:space="preserve"> </w:t>
            </w:r>
            <w:r w:rsidRPr="00A26C26">
              <w:rPr>
                <w:rFonts w:eastAsia="Calibri" w:cstheme="minorHAnsi"/>
              </w:rPr>
              <w:t>samorządu</w:t>
            </w:r>
            <w:r w:rsidR="003B50ED">
              <w:rPr>
                <w:rFonts w:eastAsia="Calibri" w:cstheme="minorHAnsi"/>
              </w:rPr>
              <w:t xml:space="preserve"> </w:t>
            </w:r>
            <w:r w:rsidRPr="00A26C26">
              <w:rPr>
                <w:rFonts w:eastAsia="Calibri" w:cstheme="minorHAnsi"/>
              </w:rPr>
              <w:t>terytorialnego.</w:t>
            </w:r>
            <w:r w:rsidR="003B50ED">
              <w:rPr>
                <w:rFonts w:eastAsia="Calibri" w:cstheme="minorHAnsi"/>
              </w:rPr>
              <w:t xml:space="preserve"> </w:t>
            </w:r>
            <w:r w:rsidRPr="00A26C26">
              <w:rPr>
                <w:rFonts w:eastAsia="Calibri" w:cstheme="minorHAnsi"/>
              </w:rPr>
              <w:t>Ponadto,</w:t>
            </w:r>
            <w:r w:rsidR="003B50ED">
              <w:rPr>
                <w:rFonts w:eastAsia="Calibri" w:cstheme="minorHAnsi"/>
              </w:rPr>
              <w:t xml:space="preserve"> </w:t>
            </w:r>
            <w:r w:rsidRPr="00A26C26">
              <w:rPr>
                <w:rFonts w:eastAsia="Calibri" w:cstheme="minorHAnsi"/>
              </w:rPr>
              <w:t>LSR</w:t>
            </w:r>
            <w:r w:rsidR="003B50ED">
              <w:rPr>
                <w:rFonts w:eastAsia="Calibri" w:cstheme="minorHAnsi"/>
              </w:rPr>
              <w:t xml:space="preserve"> </w:t>
            </w:r>
            <w:r w:rsidRPr="00A26C26">
              <w:rPr>
                <w:rFonts w:eastAsia="Calibri" w:cstheme="minorHAnsi"/>
              </w:rPr>
              <w:t>uwzględnia</w:t>
            </w:r>
            <w:r w:rsidR="003B50ED">
              <w:rPr>
                <w:rFonts w:eastAsia="Calibri" w:cstheme="minorHAnsi"/>
              </w:rPr>
              <w:t xml:space="preserve"> </w:t>
            </w:r>
            <w:r w:rsidRPr="00A26C26">
              <w:rPr>
                <w:rFonts w:eastAsia="Calibri" w:cstheme="minorHAnsi"/>
              </w:rPr>
              <w:t>potrzeby</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oczekiwania</w:t>
            </w:r>
            <w:r w:rsidR="003B50ED">
              <w:rPr>
                <w:rFonts w:eastAsia="Calibri" w:cstheme="minorHAnsi"/>
              </w:rPr>
              <w:t xml:space="preserve"> </w:t>
            </w:r>
            <w:r w:rsidRPr="00A26C26">
              <w:rPr>
                <w:rFonts w:eastAsia="Calibri" w:cstheme="minorHAnsi"/>
              </w:rPr>
              <w:t>różnych</w:t>
            </w:r>
            <w:r w:rsidR="003B50ED">
              <w:rPr>
                <w:rFonts w:eastAsia="Calibri" w:cstheme="minorHAnsi"/>
              </w:rPr>
              <w:t xml:space="preserve"> </w:t>
            </w:r>
            <w:r w:rsidRPr="00A26C26">
              <w:rPr>
                <w:rFonts w:eastAsia="Calibri" w:cstheme="minorHAnsi"/>
              </w:rPr>
              <w:t>grup</w:t>
            </w:r>
            <w:r w:rsidR="003B50ED">
              <w:rPr>
                <w:rFonts w:eastAsia="Calibri" w:cstheme="minorHAnsi"/>
              </w:rPr>
              <w:t xml:space="preserve"> </w:t>
            </w:r>
            <w:r w:rsidRPr="00A26C26">
              <w:rPr>
                <w:rFonts w:eastAsia="Calibri" w:cstheme="minorHAnsi"/>
              </w:rPr>
              <w:t>mieszkańców,</w:t>
            </w:r>
            <w:r w:rsidR="003B50ED">
              <w:rPr>
                <w:rFonts w:eastAsia="Calibri" w:cstheme="minorHAnsi"/>
              </w:rPr>
              <w:t xml:space="preserve"> </w:t>
            </w:r>
            <w:r w:rsidRPr="00A26C26">
              <w:rPr>
                <w:rFonts w:eastAsia="Calibri" w:cstheme="minorHAnsi"/>
              </w:rPr>
              <w:t>takich</w:t>
            </w:r>
            <w:r w:rsidR="003B50ED">
              <w:rPr>
                <w:rFonts w:eastAsia="Calibri" w:cstheme="minorHAnsi"/>
              </w:rPr>
              <w:t xml:space="preserve"> </w:t>
            </w:r>
            <w:r w:rsidRPr="00A26C26">
              <w:rPr>
                <w:rFonts w:eastAsia="Calibri" w:cstheme="minorHAnsi"/>
              </w:rPr>
              <w:t>jak</w:t>
            </w:r>
            <w:r w:rsidR="003B50ED">
              <w:rPr>
                <w:rFonts w:eastAsia="Calibri" w:cstheme="minorHAnsi"/>
              </w:rPr>
              <w:t xml:space="preserve"> </w:t>
            </w:r>
            <w:r w:rsidRPr="00A26C26">
              <w:rPr>
                <w:rFonts w:eastAsia="Calibri" w:cstheme="minorHAnsi"/>
              </w:rPr>
              <w:t>młodzi</w:t>
            </w:r>
            <w:r w:rsidR="003B50ED">
              <w:rPr>
                <w:rFonts w:eastAsia="Calibri" w:cstheme="minorHAnsi"/>
              </w:rPr>
              <w:t xml:space="preserve"> </w:t>
            </w:r>
            <w:r w:rsidRPr="00A26C26">
              <w:rPr>
                <w:rFonts w:eastAsia="Calibri" w:cstheme="minorHAnsi"/>
              </w:rPr>
              <w:t>ludzie,</w:t>
            </w:r>
            <w:r w:rsidR="003B50ED">
              <w:rPr>
                <w:rFonts w:eastAsia="Calibri" w:cstheme="minorHAnsi"/>
              </w:rPr>
              <w:t xml:space="preserve"> </w:t>
            </w:r>
            <w:r w:rsidRPr="00A26C26">
              <w:rPr>
                <w:rFonts w:eastAsia="Calibri" w:cstheme="minorHAnsi"/>
              </w:rPr>
              <w:t>seniorzy</w:t>
            </w:r>
            <w:r w:rsidR="003B50ED">
              <w:rPr>
                <w:rFonts w:eastAsia="Calibri" w:cstheme="minorHAnsi"/>
              </w:rPr>
              <w:t xml:space="preserve"> </w:t>
            </w:r>
            <w:r w:rsidRPr="00A26C26">
              <w:rPr>
                <w:rFonts w:eastAsia="Calibri" w:cstheme="minorHAnsi"/>
              </w:rPr>
              <w:t>czy</w:t>
            </w:r>
            <w:r w:rsidR="003B50ED">
              <w:rPr>
                <w:rFonts w:eastAsia="Calibri" w:cstheme="minorHAnsi"/>
              </w:rPr>
              <w:t xml:space="preserve"> </w:t>
            </w:r>
            <w:r w:rsidRPr="00A26C26">
              <w:rPr>
                <w:rFonts w:eastAsia="Calibri" w:cstheme="minorHAnsi"/>
              </w:rPr>
              <w:t>osoby</w:t>
            </w:r>
            <w:r w:rsidR="003B50ED">
              <w:rPr>
                <w:rFonts w:eastAsia="Calibri" w:cstheme="minorHAnsi"/>
              </w:rPr>
              <w:t xml:space="preserve"> </w:t>
            </w:r>
            <w:r w:rsidRPr="00A26C26">
              <w:rPr>
                <w:rFonts w:eastAsia="Calibri" w:cstheme="minorHAnsi"/>
              </w:rPr>
              <w:t>znajdujące</w:t>
            </w:r>
            <w:r w:rsidR="003B50ED">
              <w:rPr>
                <w:rFonts w:eastAsia="Calibri" w:cstheme="minorHAnsi"/>
              </w:rPr>
              <w:t xml:space="preserve"> </w:t>
            </w:r>
            <w:r w:rsidRPr="00A26C26">
              <w:rPr>
                <w:rFonts w:eastAsia="Calibri" w:cstheme="minorHAnsi"/>
              </w:rPr>
              <w:t>się</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trudnej</w:t>
            </w:r>
            <w:r w:rsidR="003B50ED">
              <w:rPr>
                <w:rFonts w:eastAsia="Calibri" w:cstheme="minorHAnsi"/>
              </w:rPr>
              <w:t xml:space="preserve"> </w:t>
            </w:r>
            <w:r w:rsidRPr="00A26C26">
              <w:rPr>
                <w:rFonts w:eastAsia="Calibri" w:cstheme="minorHAnsi"/>
              </w:rPr>
              <w:t>sytuacji</w:t>
            </w:r>
            <w:r w:rsidR="003B50ED">
              <w:rPr>
                <w:rFonts w:eastAsia="Calibri" w:cstheme="minorHAnsi"/>
              </w:rPr>
              <w:t xml:space="preserve"> </w:t>
            </w:r>
            <w:r w:rsidRPr="00A26C26">
              <w:rPr>
                <w:rFonts w:eastAsia="Calibri" w:cstheme="minorHAnsi"/>
              </w:rPr>
              <w:t>życiowej</w:t>
            </w:r>
            <w:r w:rsidR="003B50ED">
              <w:rPr>
                <w:rFonts w:eastAsia="Calibri" w:cstheme="minorHAnsi"/>
              </w:rPr>
              <w:t>.</w:t>
            </w:r>
            <w:r w:rsidR="003B50ED">
              <w:rPr>
                <w:rFonts w:eastAsia="Calibri" w:cstheme="minorHAnsi"/>
                <w:lang w:eastAsia="pl-PL"/>
              </w:rPr>
              <w:t xml:space="preserve"> </w:t>
            </w:r>
          </w:p>
          <w:p w14:paraId="01548288" w14:textId="5E06A140" w:rsidR="00857736" w:rsidRPr="00A26C26" w:rsidRDefault="00857736" w:rsidP="00A26C26">
            <w:pPr>
              <w:spacing w:line="276" w:lineRule="auto"/>
              <w:jc w:val="both"/>
              <w:rPr>
                <w:rFonts w:eastAsia="Calibri" w:cstheme="minorHAnsi"/>
              </w:rPr>
            </w:pPr>
            <w:r w:rsidRPr="00A26C26">
              <w:rPr>
                <w:rFonts w:eastAsia="Calibri" w:cstheme="minorHAnsi"/>
                <w:lang w:eastAsia="pl-PL"/>
              </w:rPr>
              <w:t>LGD</w:t>
            </w:r>
            <w:r w:rsidR="003B50ED">
              <w:rPr>
                <w:rFonts w:eastAsia="Calibri" w:cstheme="minorHAnsi"/>
                <w:lang w:eastAsia="pl-PL"/>
              </w:rPr>
              <w:t xml:space="preserve"> </w:t>
            </w:r>
            <w:r w:rsidRPr="00A26C26">
              <w:rPr>
                <w:rFonts w:eastAsia="Calibri" w:cstheme="minorHAnsi"/>
                <w:lang w:eastAsia="pl-PL"/>
              </w:rPr>
              <w:t>w</w:t>
            </w:r>
            <w:r w:rsidR="003B50ED">
              <w:rPr>
                <w:rFonts w:eastAsia="Calibri" w:cstheme="minorHAnsi"/>
                <w:lang w:eastAsia="pl-PL"/>
              </w:rPr>
              <w:t xml:space="preserve"> </w:t>
            </w:r>
            <w:r w:rsidRPr="00A26C26">
              <w:rPr>
                <w:rFonts w:eastAsia="Calibri" w:cstheme="minorHAnsi"/>
                <w:lang w:eastAsia="pl-PL"/>
              </w:rPr>
              <w:t>ramach</w:t>
            </w:r>
            <w:r w:rsidR="003B50ED">
              <w:rPr>
                <w:rFonts w:eastAsia="Calibri" w:cstheme="minorHAnsi"/>
                <w:lang w:eastAsia="pl-PL"/>
              </w:rPr>
              <w:t xml:space="preserve"> </w:t>
            </w:r>
            <w:r w:rsidRPr="00A26C26">
              <w:rPr>
                <w:rFonts w:eastAsia="Calibri" w:cstheme="minorHAnsi"/>
                <w:lang w:eastAsia="pl-PL"/>
              </w:rPr>
              <w:t>swoich</w:t>
            </w:r>
            <w:r w:rsidR="003B50ED">
              <w:rPr>
                <w:rFonts w:eastAsia="Calibri" w:cstheme="minorHAnsi"/>
                <w:lang w:eastAsia="pl-PL"/>
              </w:rPr>
              <w:t xml:space="preserve"> </w:t>
            </w:r>
            <w:r w:rsidRPr="00A26C26">
              <w:rPr>
                <w:rFonts w:eastAsia="Calibri" w:cstheme="minorHAnsi"/>
                <w:lang w:eastAsia="pl-PL"/>
              </w:rPr>
              <w:t>przedsięwzięć</w:t>
            </w:r>
            <w:r w:rsidR="003B50ED">
              <w:rPr>
                <w:rFonts w:eastAsia="Calibri" w:cstheme="minorHAnsi"/>
                <w:lang w:eastAsia="pl-PL"/>
              </w:rPr>
              <w:t xml:space="preserve"> </w:t>
            </w:r>
            <w:r w:rsidRPr="00A26C26">
              <w:rPr>
                <w:rFonts w:eastAsia="Calibri" w:cstheme="minorHAnsi"/>
                <w:lang w:eastAsia="pl-PL"/>
              </w:rPr>
              <w:t>przewidziała</w:t>
            </w:r>
            <w:r w:rsidR="003B50ED">
              <w:rPr>
                <w:rFonts w:eastAsia="Calibri" w:cstheme="minorHAnsi"/>
                <w:lang w:eastAsia="pl-PL"/>
              </w:rPr>
              <w:t xml:space="preserve"> </w:t>
            </w:r>
            <w:r w:rsidRPr="00A26C26">
              <w:rPr>
                <w:rFonts w:eastAsia="Calibri" w:cstheme="minorHAnsi"/>
                <w:lang w:eastAsia="pl-PL"/>
              </w:rPr>
              <w:t>zarówno</w:t>
            </w:r>
            <w:r w:rsidR="003B50ED">
              <w:rPr>
                <w:rFonts w:eastAsia="Calibri" w:cstheme="minorHAnsi"/>
                <w:lang w:eastAsia="pl-PL"/>
              </w:rPr>
              <w:t xml:space="preserve"> </w:t>
            </w:r>
            <w:r w:rsidRPr="00A26C26">
              <w:rPr>
                <w:rFonts w:eastAsia="Calibri" w:cstheme="minorHAnsi"/>
                <w:lang w:eastAsia="pl-PL"/>
              </w:rPr>
              <w:t>wsparcie</w:t>
            </w:r>
            <w:r w:rsidR="003B50ED">
              <w:rPr>
                <w:rFonts w:eastAsia="Calibri" w:cstheme="minorHAnsi"/>
                <w:lang w:eastAsia="pl-PL"/>
              </w:rPr>
              <w:t xml:space="preserve"> </w:t>
            </w:r>
            <w:r w:rsidRPr="00A26C26">
              <w:rPr>
                <w:rFonts w:eastAsia="Calibri" w:cstheme="minorHAnsi"/>
                <w:lang w:eastAsia="pl-PL"/>
              </w:rPr>
              <w:t>na</w:t>
            </w:r>
            <w:r w:rsidR="003B50ED">
              <w:rPr>
                <w:rFonts w:eastAsia="Calibri" w:cstheme="minorHAnsi"/>
                <w:lang w:eastAsia="pl-PL"/>
              </w:rPr>
              <w:t xml:space="preserve"> </w:t>
            </w:r>
            <w:r w:rsidRPr="00A26C26">
              <w:rPr>
                <w:rFonts w:eastAsia="Calibri" w:cstheme="minorHAnsi"/>
                <w:lang w:eastAsia="pl-PL"/>
              </w:rPr>
              <w:t>rzecz</w:t>
            </w:r>
            <w:r w:rsidR="003B50ED">
              <w:rPr>
                <w:rFonts w:eastAsia="Calibri" w:cstheme="minorHAnsi"/>
                <w:lang w:eastAsia="pl-PL"/>
              </w:rPr>
              <w:t xml:space="preserve"> </w:t>
            </w:r>
            <w:r w:rsidRPr="00A26C26">
              <w:rPr>
                <w:rFonts w:eastAsia="Calibri" w:cstheme="minorHAnsi"/>
              </w:rPr>
              <w:t>rozwoju</w:t>
            </w:r>
            <w:r w:rsidR="003B50ED">
              <w:rPr>
                <w:rFonts w:eastAsia="Calibri" w:cstheme="minorHAnsi"/>
              </w:rPr>
              <w:t xml:space="preserve"> </w:t>
            </w:r>
            <w:r w:rsidRPr="00A26C26">
              <w:rPr>
                <w:rFonts w:eastAsia="Calibri" w:cstheme="minorHAnsi"/>
              </w:rPr>
              <w:t>przedsiębiorczości,</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tym</w:t>
            </w:r>
            <w:r w:rsidR="003B50ED">
              <w:rPr>
                <w:rFonts w:eastAsia="Calibri" w:cstheme="minorHAnsi"/>
              </w:rPr>
              <w:t xml:space="preserve"> </w:t>
            </w:r>
            <w:r w:rsidRPr="00A26C26">
              <w:rPr>
                <w:rFonts w:eastAsia="Calibri" w:cstheme="minorHAnsi"/>
              </w:rPr>
              <w:t>agroturystyki</w:t>
            </w:r>
            <w:r w:rsidR="003B50ED">
              <w:rPr>
                <w:rFonts w:eastAsia="Calibri" w:cstheme="minorHAnsi"/>
              </w:rPr>
              <w:t xml:space="preserve"> </w:t>
            </w:r>
            <w:r w:rsidR="009C199B" w:rsidRPr="00A26C26">
              <w:rPr>
                <w:rFonts w:eastAsia="Calibri" w:cstheme="minorHAnsi"/>
              </w:rPr>
              <w:t>i</w:t>
            </w:r>
            <w:r w:rsidR="003B50ED">
              <w:rPr>
                <w:rFonts w:eastAsia="Calibri" w:cstheme="minorHAnsi"/>
              </w:rPr>
              <w:t xml:space="preserve"> </w:t>
            </w:r>
            <w:r w:rsidR="009C199B" w:rsidRPr="00A26C26">
              <w:rPr>
                <w:rFonts w:eastAsia="Calibri" w:cstheme="minorHAnsi"/>
              </w:rPr>
              <w:t>zagród</w:t>
            </w:r>
            <w:r w:rsidR="003B50ED">
              <w:rPr>
                <w:rFonts w:eastAsia="Calibri" w:cstheme="minorHAnsi"/>
              </w:rPr>
              <w:t xml:space="preserve"> </w:t>
            </w:r>
            <w:r w:rsidR="009C199B" w:rsidRPr="00A26C26">
              <w:rPr>
                <w:rFonts w:eastAsia="Calibri" w:cstheme="minorHAnsi"/>
              </w:rPr>
              <w:t>edukacyjnych</w:t>
            </w:r>
            <w:r w:rsidR="003B50ED">
              <w:rPr>
                <w:rFonts w:eastAsia="Calibri" w:cstheme="minorHAnsi"/>
              </w:rPr>
              <w:t xml:space="preserve"> </w:t>
            </w:r>
            <w:r w:rsidRPr="00A26C26">
              <w:rPr>
                <w:rFonts w:eastAsia="Calibri" w:cstheme="minorHAnsi"/>
              </w:rPr>
              <w:t>(P.</w:t>
            </w:r>
            <w:r w:rsidR="009C199B" w:rsidRPr="00A26C26">
              <w:rPr>
                <w:rFonts w:eastAsia="Calibri" w:cstheme="minorHAnsi"/>
              </w:rPr>
              <w:t>2</w:t>
            </w:r>
            <w:r w:rsidRPr="00A26C26">
              <w:rPr>
                <w:rFonts w:eastAsia="Calibri" w:cstheme="minorHAnsi"/>
              </w:rPr>
              <w:t>.1.),</w:t>
            </w:r>
            <w:r w:rsidR="003B50ED">
              <w:rPr>
                <w:rFonts w:eastAsia="Calibri" w:cstheme="minorHAnsi"/>
              </w:rPr>
              <w:t xml:space="preserve"> </w:t>
            </w:r>
            <w:r w:rsidRPr="00A26C26">
              <w:rPr>
                <w:rFonts w:eastAsia="Calibri" w:cstheme="minorHAnsi"/>
              </w:rPr>
              <w:t>małej</w:t>
            </w:r>
            <w:r w:rsidR="003B50ED">
              <w:rPr>
                <w:rFonts w:eastAsia="Calibri" w:cstheme="minorHAnsi"/>
              </w:rPr>
              <w:t xml:space="preserve"> </w:t>
            </w:r>
            <w:r w:rsidRPr="00A26C26">
              <w:rPr>
                <w:rFonts w:eastAsia="Calibri" w:cstheme="minorHAnsi"/>
              </w:rPr>
              <w:t>infrastruktury</w:t>
            </w:r>
            <w:r w:rsidR="003B50ED">
              <w:rPr>
                <w:rFonts w:eastAsia="Calibri" w:cstheme="minorHAnsi"/>
              </w:rPr>
              <w:t xml:space="preserve"> </w:t>
            </w:r>
            <w:r w:rsidRPr="00A26C26">
              <w:rPr>
                <w:rFonts w:eastAsia="Calibri" w:cstheme="minorHAnsi"/>
              </w:rPr>
              <w:t>publicznej</w:t>
            </w:r>
            <w:r w:rsidR="003B50ED">
              <w:rPr>
                <w:rFonts w:eastAsia="Calibri" w:cstheme="minorHAnsi"/>
              </w:rPr>
              <w:t xml:space="preserve"> </w:t>
            </w:r>
            <w:r w:rsidRPr="00A26C26">
              <w:rPr>
                <w:rFonts w:eastAsia="Calibri" w:cstheme="minorHAnsi"/>
              </w:rPr>
              <w:t>(P.1.2.),</w:t>
            </w:r>
            <w:r w:rsidR="003B50ED">
              <w:rPr>
                <w:rFonts w:eastAsia="Calibri" w:cstheme="minorHAnsi"/>
              </w:rPr>
              <w:t xml:space="preserve"> </w:t>
            </w:r>
            <w:r w:rsidRPr="00A26C26">
              <w:rPr>
                <w:rFonts w:eastAsia="Calibri" w:cstheme="minorHAnsi"/>
              </w:rPr>
              <w:t>Ponadto,</w:t>
            </w:r>
            <w:r w:rsidR="003B50ED">
              <w:rPr>
                <w:rFonts w:eastAsia="Calibri" w:cstheme="minorHAnsi"/>
              </w:rPr>
              <w:t xml:space="preserve"> </w:t>
            </w:r>
            <w:r w:rsidRPr="00A26C26">
              <w:rPr>
                <w:rFonts w:eastAsia="Calibri" w:cstheme="minorHAnsi"/>
              </w:rPr>
              <w:t>LGD</w:t>
            </w:r>
            <w:r w:rsidR="003B50ED">
              <w:rPr>
                <w:rFonts w:eastAsia="Calibri" w:cstheme="minorHAnsi"/>
              </w:rPr>
              <w:t xml:space="preserve"> </w:t>
            </w:r>
            <w:r w:rsidRPr="00A26C26">
              <w:rPr>
                <w:rFonts w:eastAsia="Calibri" w:cstheme="minorHAnsi"/>
              </w:rPr>
              <w:t>zamierza</w:t>
            </w:r>
            <w:r w:rsidR="003B50ED">
              <w:rPr>
                <w:rFonts w:eastAsia="Calibri" w:cstheme="minorHAnsi"/>
              </w:rPr>
              <w:t xml:space="preserve"> </w:t>
            </w:r>
            <w:r w:rsidRPr="00A26C26">
              <w:rPr>
                <w:rFonts w:eastAsia="Calibri" w:cstheme="minorHAnsi"/>
              </w:rPr>
              <w:t>wspierać</w:t>
            </w:r>
            <w:r w:rsidR="003B50ED">
              <w:rPr>
                <w:rFonts w:eastAsia="Calibri" w:cstheme="minorHAnsi"/>
              </w:rPr>
              <w:t xml:space="preserve"> </w:t>
            </w:r>
            <w:r w:rsidRPr="00A26C26">
              <w:rPr>
                <w:rFonts w:eastAsia="Calibri" w:cstheme="minorHAnsi"/>
              </w:rPr>
              <w:t>rozwój</w:t>
            </w:r>
            <w:r w:rsidR="003B50ED">
              <w:rPr>
                <w:rFonts w:eastAsia="Calibri" w:cstheme="minorHAnsi"/>
              </w:rPr>
              <w:t xml:space="preserve"> </w:t>
            </w:r>
            <w:r w:rsidRPr="00A26C26">
              <w:rPr>
                <w:rFonts w:eastAsia="Calibri" w:cstheme="minorHAnsi"/>
              </w:rPr>
              <w:t>partnerstwa,</w:t>
            </w:r>
            <w:r w:rsidR="003B50ED">
              <w:rPr>
                <w:rFonts w:eastAsia="Calibri" w:cstheme="minorHAnsi"/>
              </w:rPr>
              <w:t xml:space="preserve"> </w:t>
            </w:r>
            <w:r w:rsidRPr="00A26C26">
              <w:rPr>
                <w:rFonts w:eastAsia="Calibri" w:cstheme="minorHAnsi"/>
              </w:rPr>
              <w:t>inicjatyw</w:t>
            </w:r>
            <w:r w:rsidR="003B50ED">
              <w:rPr>
                <w:rFonts w:eastAsia="Calibri" w:cstheme="minorHAnsi"/>
              </w:rPr>
              <w:t xml:space="preserve"> </w:t>
            </w:r>
            <w:r w:rsidRPr="00A26C26">
              <w:rPr>
                <w:rFonts w:eastAsia="Calibri" w:cstheme="minorHAnsi"/>
              </w:rPr>
              <w:t>edukacyjnych</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turystyki</w:t>
            </w:r>
            <w:r w:rsidR="003B50ED">
              <w:rPr>
                <w:rFonts w:eastAsia="Calibri" w:cstheme="minorHAnsi"/>
              </w:rPr>
              <w:t xml:space="preserve"> </w:t>
            </w:r>
            <w:r w:rsidRPr="00A26C26">
              <w:rPr>
                <w:rFonts w:eastAsia="Calibri" w:cstheme="minorHAnsi"/>
              </w:rPr>
              <w:t>na</w:t>
            </w:r>
            <w:r w:rsidR="003B50ED">
              <w:rPr>
                <w:rFonts w:eastAsia="Calibri" w:cstheme="minorHAnsi"/>
              </w:rPr>
              <w:t xml:space="preserve"> </w:t>
            </w:r>
            <w:r w:rsidRPr="00A26C26">
              <w:rPr>
                <w:rFonts w:eastAsia="Calibri" w:cstheme="minorHAnsi"/>
              </w:rPr>
              <w:t>obszarze</w:t>
            </w:r>
            <w:r w:rsidR="003B50ED">
              <w:rPr>
                <w:rFonts w:eastAsia="Calibri" w:cstheme="minorHAnsi"/>
              </w:rPr>
              <w:t xml:space="preserve"> </w:t>
            </w:r>
            <w:r w:rsidRPr="00A26C26">
              <w:rPr>
                <w:rFonts w:eastAsia="Calibri" w:cstheme="minorHAnsi"/>
              </w:rPr>
              <w:t>LSR</w:t>
            </w:r>
            <w:r w:rsidR="003B50ED">
              <w:rPr>
                <w:rFonts w:eastAsia="Calibri" w:cstheme="minorHAnsi"/>
              </w:rPr>
              <w:t xml:space="preserve"> </w:t>
            </w:r>
            <w:r w:rsidRPr="00A26C26">
              <w:rPr>
                <w:rFonts w:eastAsia="Calibri" w:cstheme="minorHAnsi"/>
              </w:rPr>
              <w:t>(P.</w:t>
            </w:r>
            <w:r w:rsidR="009C199B" w:rsidRPr="00A26C26">
              <w:rPr>
                <w:rFonts w:eastAsia="Calibri" w:cstheme="minorHAnsi"/>
              </w:rPr>
              <w:t>1</w:t>
            </w:r>
            <w:r w:rsidRPr="00A26C26">
              <w:rPr>
                <w:rFonts w:eastAsia="Calibri" w:cstheme="minorHAnsi"/>
              </w:rPr>
              <w:t>.</w:t>
            </w:r>
            <w:r w:rsidR="009C199B" w:rsidRPr="00A26C26">
              <w:rPr>
                <w:rFonts w:eastAsia="Calibri" w:cstheme="minorHAnsi"/>
              </w:rPr>
              <w:t>5.</w:t>
            </w:r>
            <w:r w:rsidRPr="00A26C26">
              <w:rPr>
                <w:rFonts w:eastAsia="Calibri" w:cstheme="minorHAnsi"/>
              </w:rPr>
              <w:t>),</w:t>
            </w:r>
            <w:r w:rsidR="003B50ED">
              <w:rPr>
                <w:rFonts w:eastAsia="Calibri" w:cstheme="minorHAnsi"/>
              </w:rPr>
              <w:t xml:space="preserve"> </w:t>
            </w:r>
            <w:r w:rsidRPr="00A26C26">
              <w:rPr>
                <w:rFonts w:eastAsia="Calibri" w:cstheme="minorHAnsi"/>
              </w:rPr>
              <w:t>aktywizację</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włączenie</w:t>
            </w:r>
            <w:r w:rsidR="003B50ED">
              <w:rPr>
                <w:rFonts w:eastAsia="Calibri" w:cstheme="minorHAnsi"/>
              </w:rPr>
              <w:t xml:space="preserve"> </w:t>
            </w:r>
            <w:r w:rsidRPr="00A26C26">
              <w:rPr>
                <w:rFonts w:eastAsia="Calibri" w:cstheme="minorHAnsi"/>
              </w:rPr>
              <w:t>społeczne</w:t>
            </w:r>
            <w:r w:rsidR="003B50ED">
              <w:rPr>
                <w:rFonts w:eastAsia="Calibri" w:cstheme="minorHAnsi"/>
              </w:rPr>
              <w:t xml:space="preserve"> </w:t>
            </w:r>
            <w:r w:rsidRPr="00A26C26">
              <w:rPr>
                <w:rFonts w:eastAsia="Calibri" w:cstheme="minorHAnsi"/>
              </w:rPr>
              <w:t>lokalnej</w:t>
            </w:r>
            <w:r w:rsidR="003B50ED">
              <w:rPr>
                <w:rFonts w:eastAsia="Calibri" w:cstheme="minorHAnsi"/>
              </w:rPr>
              <w:t xml:space="preserve"> </w:t>
            </w:r>
            <w:r w:rsidRPr="00A26C26">
              <w:rPr>
                <w:rFonts w:eastAsia="Calibri" w:cstheme="minorHAnsi"/>
              </w:rPr>
              <w:t>społeczności,</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tym</w:t>
            </w:r>
            <w:r w:rsidR="003B50ED">
              <w:rPr>
                <w:rFonts w:eastAsia="Calibri" w:cstheme="minorHAnsi"/>
              </w:rPr>
              <w:t xml:space="preserve"> </w:t>
            </w:r>
            <w:r w:rsidRPr="00A26C26">
              <w:rPr>
                <w:rFonts w:eastAsia="Calibri" w:cstheme="minorHAnsi"/>
              </w:rPr>
              <w:t>seniorów,</w:t>
            </w:r>
            <w:r w:rsidR="003B50ED">
              <w:rPr>
                <w:rFonts w:eastAsia="Calibri" w:cstheme="minorHAnsi"/>
              </w:rPr>
              <w:t xml:space="preserve"> </w:t>
            </w:r>
            <w:r w:rsidRPr="00A26C26">
              <w:rPr>
                <w:rFonts w:eastAsia="Calibri" w:cstheme="minorHAnsi"/>
              </w:rPr>
              <w:t>ludzi</w:t>
            </w:r>
            <w:r w:rsidR="003B50ED">
              <w:rPr>
                <w:rFonts w:eastAsia="Calibri" w:cstheme="minorHAnsi"/>
              </w:rPr>
              <w:t xml:space="preserve"> </w:t>
            </w:r>
            <w:r w:rsidRPr="00A26C26">
              <w:rPr>
                <w:rFonts w:eastAsia="Calibri" w:cstheme="minorHAnsi"/>
              </w:rPr>
              <w:t>młodych</w:t>
            </w:r>
            <w:r w:rsidR="003B50ED">
              <w:rPr>
                <w:rFonts w:eastAsia="Calibri" w:cstheme="minorHAnsi"/>
              </w:rPr>
              <w:t xml:space="preserve"> </w:t>
            </w:r>
            <w:r w:rsidRPr="00A26C26">
              <w:rPr>
                <w:rFonts w:eastAsia="Calibri" w:cstheme="minorHAnsi"/>
              </w:rPr>
              <w:t>lub</w:t>
            </w:r>
            <w:r w:rsidR="003B50ED">
              <w:rPr>
                <w:rFonts w:eastAsia="Calibri" w:cstheme="minorHAnsi"/>
              </w:rPr>
              <w:t xml:space="preserve"> </w:t>
            </w:r>
            <w:r w:rsidRPr="00A26C26">
              <w:rPr>
                <w:rFonts w:eastAsia="Calibri" w:cstheme="minorHAnsi"/>
              </w:rPr>
              <w:t>osób</w:t>
            </w:r>
            <w:r w:rsidR="003B50ED">
              <w:rPr>
                <w:rFonts w:eastAsia="Calibri" w:cstheme="minorHAnsi"/>
              </w:rPr>
              <w:t xml:space="preserve"> </w:t>
            </w:r>
            <w:r w:rsidRPr="00A26C26">
              <w:rPr>
                <w:rFonts w:eastAsia="Calibri" w:cstheme="minorHAnsi"/>
              </w:rPr>
              <w:t>w</w:t>
            </w:r>
            <w:r w:rsidR="003B50ED">
              <w:rPr>
                <w:rFonts w:eastAsia="Calibri" w:cstheme="minorHAnsi"/>
              </w:rPr>
              <w:t xml:space="preserve"> </w:t>
            </w:r>
            <w:r w:rsidRPr="00A26C26">
              <w:rPr>
                <w:rFonts w:eastAsia="Calibri" w:cstheme="minorHAnsi"/>
              </w:rPr>
              <w:t>niekorzystnej</w:t>
            </w:r>
            <w:r w:rsidR="003B50ED">
              <w:rPr>
                <w:rFonts w:eastAsia="Calibri" w:cstheme="minorHAnsi"/>
              </w:rPr>
              <w:t xml:space="preserve"> </w:t>
            </w:r>
            <w:r w:rsidRPr="00A26C26">
              <w:rPr>
                <w:rFonts w:eastAsia="Calibri" w:cstheme="minorHAnsi"/>
              </w:rPr>
              <w:t>sytuacji</w:t>
            </w:r>
            <w:r w:rsidR="003B50ED">
              <w:rPr>
                <w:rFonts w:eastAsia="Calibri" w:cstheme="minorHAnsi"/>
              </w:rPr>
              <w:t xml:space="preserve"> </w:t>
            </w:r>
            <w:r w:rsidRPr="00A26C26">
              <w:rPr>
                <w:rFonts w:eastAsia="Calibri" w:cstheme="minorHAnsi"/>
              </w:rPr>
              <w:t>(P.</w:t>
            </w:r>
            <w:r w:rsidR="009C199B" w:rsidRPr="00A26C26">
              <w:rPr>
                <w:rFonts w:eastAsia="Calibri" w:cstheme="minorHAnsi"/>
              </w:rPr>
              <w:t>1.4</w:t>
            </w:r>
            <w:r w:rsidRPr="00A26C26">
              <w:rPr>
                <w:rFonts w:eastAsia="Calibri" w:cstheme="minorHAnsi"/>
              </w:rPr>
              <w:t>.)</w:t>
            </w:r>
            <w:r w:rsidR="008F12F4">
              <w:rPr>
                <w:rFonts w:eastAsia="Calibri" w:cstheme="minorHAnsi"/>
              </w:rPr>
              <w:t xml:space="preserve">                                 </w:t>
            </w:r>
            <w:r w:rsidR="003B50ED">
              <w:rPr>
                <w:rFonts w:eastAsia="Calibri" w:cstheme="minorHAnsi"/>
              </w:rPr>
              <w:t xml:space="preserve"> </w:t>
            </w:r>
            <w:r w:rsidRPr="00A26C26">
              <w:rPr>
                <w:rFonts w:eastAsia="Calibri" w:cstheme="minorHAnsi"/>
              </w:rPr>
              <w:t>i</w:t>
            </w:r>
            <w:r w:rsidR="003B50ED">
              <w:rPr>
                <w:rFonts w:eastAsia="Calibri" w:cstheme="minorHAnsi"/>
              </w:rPr>
              <w:t xml:space="preserve"> </w:t>
            </w:r>
            <w:r w:rsidRPr="00A26C26">
              <w:rPr>
                <w:rFonts w:eastAsia="Calibri" w:cstheme="minorHAnsi"/>
              </w:rPr>
              <w:t>integrację</w:t>
            </w:r>
            <w:r w:rsidR="003B50ED">
              <w:rPr>
                <w:rFonts w:eastAsia="Calibri" w:cstheme="minorHAnsi"/>
              </w:rPr>
              <w:t xml:space="preserve"> </w:t>
            </w:r>
            <w:r w:rsidRPr="00A26C26">
              <w:rPr>
                <w:rFonts w:eastAsia="Calibri" w:cstheme="minorHAnsi"/>
              </w:rPr>
              <w:t>społeczną</w:t>
            </w:r>
            <w:r w:rsidR="003B50ED">
              <w:rPr>
                <w:rFonts w:eastAsia="Calibri" w:cstheme="minorHAnsi"/>
              </w:rPr>
              <w:t xml:space="preserve"> </w:t>
            </w:r>
            <w:r w:rsidRPr="00A26C26">
              <w:rPr>
                <w:rFonts w:eastAsia="Calibri" w:cstheme="minorHAnsi"/>
              </w:rPr>
              <w:t>na</w:t>
            </w:r>
            <w:r w:rsidR="003B50ED">
              <w:rPr>
                <w:rFonts w:eastAsia="Calibri" w:cstheme="minorHAnsi"/>
              </w:rPr>
              <w:t xml:space="preserve"> </w:t>
            </w:r>
            <w:r w:rsidRPr="00A26C26">
              <w:rPr>
                <w:rFonts w:eastAsia="Calibri" w:cstheme="minorHAnsi"/>
              </w:rPr>
              <w:t>obszarach</w:t>
            </w:r>
            <w:r w:rsidR="003B50ED">
              <w:rPr>
                <w:rFonts w:eastAsia="Calibri" w:cstheme="minorHAnsi"/>
              </w:rPr>
              <w:t xml:space="preserve"> </w:t>
            </w:r>
            <w:r w:rsidRPr="00A26C26">
              <w:rPr>
                <w:rFonts w:eastAsia="Calibri" w:cstheme="minorHAnsi"/>
              </w:rPr>
              <w:t>wiejskich</w:t>
            </w:r>
            <w:r w:rsidR="003B50ED">
              <w:rPr>
                <w:rFonts w:eastAsia="Calibri" w:cstheme="minorHAnsi"/>
              </w:rPr>
              <w:t xml:space="preserve"> </w:t>
            </w:r>
            <w:r w:rsidRPr="00A26C26">
              <w:rPr>
                <w:rFonts w:eastAsia="Calibri" w:cstheme="minorHAnsi"/>
              </w:rPr>
              <w:t>(P.</w:t>
            </w:r>
            <w:r w:rsidR="009C199B" w:rsidRPr="00A26C26">
              <w:rPr>
                <w:rFonts w:eastAsia="Calibri" w:cstheme="minorHAnsi"/>
              </w:rPr>
              <w:t>1.6</w:t>
            </w:r>
            <w:r w:rsidRPr="00A26C26">
              <w:rPr>
                <w:rFonts w:eastAsia="Calibri" w:cstheme="minorHAnsi"/>
              </w:rPr>
              <w:t>.)</w:t>
            </w:r>
            <w:r w:rsidR="003B50ED">
              <w:rPr>
                <w:rFonts w:eastAsia="Calibri" w:cstheme="minorHAnsi"/>
              </w:rPr>
              <w:t xml:space="preserve"> </w:t>
            </w:r>
            <w:r w:rsidRPr="00A26C26">
              <w:rPr>
                <w:rFonts w:eastAsia="Calibri" w:cstheme="minorHAnsi"/>
              </w:rPr>
              <w:t>oraz</w:t>
            </w:r>
            <w:r w:rsidR="003B50ED">
              <w:rPr>
                <w:rFonts w:eastAsia="Calibri" w:cstheme="minorHAnsi"/>
              </w:rPr>
              <w:t xml:space="preserve"> </w:t>
            </w:r>
            <w:r w:rsidRPr="00A26C26">
              <w:rPr>
                <w:rFonts w:eastAsia="Calibri" w:cstheme="minorHAnsi"/>
              </w:rPr>
              <w:t>ochronę</w:t>
            </w:r>
            <w:r w:rsidR="003B50ED">
              <w:rPr>
                <w:rFonts w:eastAsia="Calibri" w:cstheme="minorHAnsi"/>
              </w:rPr>
              <w:t xml:space="preserve"> </w:t>
            </w:r>
            <w:r w:rsidRPr="00A26C26">
              <w:rPr>
                <w:rFonts w:eastAsia="Calibri" w:cstheme="minorHAnsi"/>
              </w:rPr>
              <w:t>dziedzictwa</w:t>
            </w:r>
            <w:r w:rsidR="003B50ED">
              <w:rPr>
                <w:rFonts w:eastAsia="Calibri" w:cstheme="minorHAnsi"/>
              </w:rPr>
              <w:t xml:space="preserve"> </w:t>
            </w:r>
            <w:r w:rsidRPr="00A26C26">
              <w:rPr>
                <w:rFonts w:eastAsia="Calibri" w:cstheme="minorHAnsi"/>
              </w:rPr>
              <w:t>kulturowego</w:t>
            </w:r>
            <w:r w:rsidR="003B50ED">
              <w:rPr>
                <w:rFonts w:eastAsia="Calibri" w:cstheme="minorHAnsi"/>
              </w:rPr>
              <w:t xml:space="preserve"> </w:t>
            </w:r>
            <w:r w:rsidRPr="00A26C26">
              <w:rPr>
                <w:rFonts w:eastAsia="Calibri" w:cstheme="minorHAnsi"/>
              </w:rPr>
              <w:t>lub</w:t>
            </w:r>
            <w:r w:rsidR="003B50ED">
              <w:rPr>
                <w:rFonts w:eastAsia="Calibri" w:cstheme="minorHAnsi"/>
              </w:rPr>
              <w:t xml:space="preserve"> </w:t>
            </w:r>
            <w:r w:rsidRPr="00A26C26">
              <w:rPr>
                <w:rFonts w:eastAsia="Calibri" w:cstheme="minorHAnsi"/>
              </w:rPr>
              <w:t>przyrodniczego</w:t>
            </w:r>
            <w:r w:rsidR="003B50ED">
              <w:rPr>
                <w:rFonts w:eastAsia="Calibri" w:cstheme="minorHAnsi"/>
              </w:rPr>
              <w:t xml:space="preserve"> </w:t>
            </w:r>
            <w:r w:rsidRPr="00A26C26">
              <w:rPr>
                <w:rFonts w:eastAsia="Calibri" w:cstheme="minorHAnsi"/>
              </w:rPr>
              <w:t>polskiej</w:t>
            </w:r>
            <w:r w:rsidR="003B50ED">
              <w:rPr>
                <w:rFonts w:eastAsia="Calibri" w:cstheme="minorHAnsi"/>
              </w:rPr>
              <w:t xml:space="preserve"> </w:t>
            </w:r>
            <w:r w:rsidRPr="00A26C26">
              <w:rPr>
                <w:rFonts w:eastAsia="Calibri" w:cstheme="minorHAnsi"/>
              </w:rPr>
              <w:t>wsi</w:t>
            </w:r>
            <w:r w:rsidR="003B50ED">
              <w:rPr>
                <w:rFonts w:eastAsia="Calibri" w:cstheme="minorHAnsi"/>
              </w:rPr>
              <w:t xml:space="preserve"> </w:t>
            </w:r>
            <w:r w:rsidRPr="00A26C26">
              <w:rPr>
                <w:rFonts w:eastAsia="Calibri" w:cstheme="minorHAnsi"/>
              </w:rPr>
              <w:t>(P.</w:t>
            </w:r>
            <w:r w:rsidR="009C199B" w:rsidRPr="00A26C26">
              <w:rPr>
                <w:rFonts w:eastAsia="Calibri" w:cstheme="minorHAnsi"/>
              </w:rPr>
              <w:t>1.3</w:t>
            </w:r>
            <w:r w:rsidRPr="00A26C26">
              <w:rPr>
                <w:rFonts w:eastAsia="Calibri" w:cstheme="minorHAnsi"/>
              </w:rPr>
              <w:t>.)</w:t>
            </w:r>
            <w:r w:rsidR="003B50ED">
              <w:rPr>
                <w:rFonts w:eastAsia="Calibri" w:cstheme="minorHAnsi"/>
              </w:rPr>
              <w:t xml:space="preserve"> </w:t>
            </w:r>
          </w:p>
        </w:tc>
      </w:tr>
    </w:tbl>
    <w:p w14:paraId="4419642A" w14:textId="7BEDFFD7" w:rsidR="00857736" w:rsidRPr="00A26C26" w:rsidRDefault="00857736" w:rsidP="00A26C26">
      <w:pPr>
        <w:spacing w:line="276" w:lineRule="auto"/>
        <w:rPr>
          <w:rFonts w:eastAsia="Calibri" w:cstheme="minorHAnsi"/>
          <w:kern w:val="0"/>
          <w:lang w:eastAsia="pl-PL"/>
          <w14:ligatures w14:val="none"/>
        </w:rPr>
      </w:pPr>
    </w:p>
    <w:p w14:paraId="1D246671" w14:textId="0A97AA16" w:rsidR="00857736" w:rsidRPr="00A26C26" w:rsidRDefault="00857736" w:rsidP="008A412F">
      <w:pPr>
        <w:pStyle w:val="Nagwek2"/>
        <w:numPr>
          <w:ilvl w:val="0"/>
          <w:numId w:val="21"/>
        </w:numPr>
        <w:spacing w:before="0" w:line="276" w:lineRule="auto"/>
        <w:rPr>
          <w:rFonts w:asciiTheme="minorHAnsi" w:eastAsia="Times New Roman" w:hAnsiTheme="minorHAnsi" w:cstheme="minorHAnsi"/>
          <w:b/>
          <w:bCs/>
          <w:sz w:val="22"/>
          <w:szCs w:val="22"/>
        </w:rPr>
      </w:pPr>
      <w:bookmarkStart w:id="84" w:name="_Toc135619159"/>
      <w:bookmarkStart w:id="85" w:name="_Toc136212425"/>
      <w:bookmarkStart w:id="86" w:name="_Toc136944422"/>
      <w:r w:rsidRPr="00A26C26">
        <w:rPr>
          <w:rFonts w:asciiTheme="minorHAnsi" w:eastAsia="Times New Roman" w:hAnsiTheme="minorHAnsi" w:cstheme="minorHAnsi"/>
          <w:b/>
          <w:bCs/>
          <w:sz w:val="22"/>
          <w:szCs w:val="22"/>
        </w:rPr>
        <w:t>Komplementarność</w:t>
      </w:r>
      <w:r w:rsidR="003B50ED">
        <w:rPr>
          <w:rFonts w:asciiTheme="minorHAnsi" w:eastAsia="Times New Roman" w:hAnsiTheme="minorHAnsi" w:cstheme="minorHAnsi"/>
          <w:b/>
          <w:bCs/>
          <w:sz w:val="22"/>
          <w:szCs w:val="22"/>
        </w:rPr>
        <w:t xml:space="preserve"> </w:t>
      </w:r>
      <w:r w:rsidRPr="00A26C26">
        <w:rPr>
          <w:rFonts w:asciiTheme="minorHAnsi" w:eastAsia="Times New Roman" w:hAnsiTheme="minorHAnsi" w:cstheme="minorHAnsi"/>
          <w:b/>
          <w:bCs/>
          <w:sz w:val="22"/>
          <w:szCs w:val="22"/>
        </w:rPr>
        <w:t>i</w:t>
      </w:r>
      <w:r w:rsidR="003B50ED">
        <w:rPr>
          <w:rFonts w:asciiTheme="minorHAnsi" w:eastAsia="Times New Roman" w:hAnsiTheme="minorHAnsi" w:cstheme="minorHAnsi"/>
          <w:b/>
          <w:bCs/>
          <w:sz w:val="22"/>
          <w:szCs w:val="22"/>
        </w:rPr>
        <w:t xml:space="preserve"> </w:t>
      </w:r>
      <w:r w:rsidRPr="00A26C26">
        <w:rPr>
          <w:rFonts w:asciiTheme="minorHAnsi" w:eastAsia="Times New Roman" w:hAnsiTheme="minorHAnsi" w:cstheme="minorHAnsi"/>
          <w:b/>
          <w:bCs/>
          <w:sz w:val="22"/>
          <w:szCs w:val="22"/>
        </w:rPr>
        <w:t>synergia</w:t>
      </w:r>
      <w:r w:rsidR="003B50ED">
        <w:rPr>
          <w:rFonts w:asciiTheme="minorHAnsi" w:eastAsia="Times New Roman" w:hAnsiTheme="minorHAnsi" w:cstheme="minorHAnsi"/>
          <w:b/>
          <w:bCs/>
          <w:sz w:val="22"/>
          <w:szCs w:val="22"/>
        </w:rPr>
        <w:t xml:space="preserve"> </w:t>
      </w:r>
      <w:r w:rsidRPr="00A26C26">
        <w:rPr>
          <w:rFonts w:asciiTheme="minorHAnsi" w:eastAsia="Times New Roman" w:hAnsiTheme="minorHAnsi" w:cstheme="minorHAnsi"/>
          <w:b/>
          <w:bCs/>
          <w:sz w:val="22"/>
          <w:szCs w:val="22"/>
        </w:rPr>
        <w:t>przedsięwzięć</w:t>
      </w:r>
      <w:r w:rsidR="003B50ED">
        <w:rPr>
          <w:rFonts w:asciiTheme="minorHAnsi" w:eastAsia="Times New Roman" w:hAnsiTheme="minorHAnsi" w:cstheme="minorHAnsi"/>
          <w:b/>
          <w:bCs/>
          <w:sz w:val="22"/>
          <w:szCs w:val="22"/>
        </w:rPr>
        <w:t xml:space="preserve"> </w:t>
      </w:r>
      <w:r w:rsidRPr="00A26C26">
        <w:rPr>
          <w:rFonts w:asciiTheme="minorHAnsi" w:eastAsia="Times New Roman" w:hAnsiTheme="minorHAnsi" w:cstheme="minorHAnsi"/>
          <w:b/>
          <w:bCs/>
          <w:sz w:val="22"/>
          <w:szCs w:val="22"/>
        </w:rPr>
        <w:t>w</w:t>
      </w:r>
      <w:r w:rsidR="003B50ED">
        <w:rPr>
          <w:rFonts w:asciiTheme="minorHAnsi" w:eastAsia="Times New Roman" w:hAnsiTheme="minorHAnsi" w:cstheme="minorHAnsi"/>
          <w:b/>
          <w:bCs/>
          <w:sz w:val="22"/>
          <w:szCs w:val="22"/>
        </w:rPr>
        <w:t xml:space="preserve"> </w:t>
      </w:r>
      <w:r w:rsidRPr="00A26C26">
        <w:rPr>
          <w:rFonts w:asciiTheme="minorHAnsi" w:eastAsia="Times New Roman" w:hAnsiTheme="minorHAnsi" w:cstheme="minorHAnsi"/>
          <w:b/>
          <w:bCs/>
          <w:sz w:val="22"/>
          <w:szCs w:val="22"/>
        </w:rPr>
        <w:t>LSR</w:t>
      </w:r>
      <w:bookmarkEnd w:id="84"/>
      <w:bookmarkEnd w:id="85"/>
      <w:bookmarkEnd w:id="86"/>
    </w:p>
    <w:p w14:paraId="187AC5F5" w14:textId="02A37A57" w:rsidR="00857736" w:rsidRPr="00A26C26" w:rsidRDefault="00857736" w:rsidP="00A26C26">
      <w:pPr>
        <w:spacing w:line="276" w:lineRule="auto"/>
        <w:ind w:firstLine="284"/>
        <w:jc w:val="both"/>
        <w:rPr>
          <w:rFonts w:eastAsia="Calibri" w:cstheme="minorHAnsi"/>
          <w:color w:val="374151"/>
          <w:kern w:val="0"/>
          <w:shd w:val="clear" w:color="auto" w:fill="F7F7F8"/>
          <w14:ligatures w14:val="none"/>
        </w:rPr>
      </w:pPr>
      <w:r w:rsidRPr="00A26C26">
        <w:rPr>
          <w:rFonts w:eastAsia="Calibri" w:cstheme="minorHAnsi"/>
          <w:kern w:val="0"/>
          <w14:ligatures w14:val="none"/>
        </w:rPr>
        <w:t>W</w:t>
      </w:r>
      <w:r w:rsidR="003B50ED">
        <w:rPr>
          <w:rFonts w:eastAsia="Calibri" w:cstheme="minorHAnsi"/>
          <w:kern w:val="0"/>
          <w14:ligatures w14:val="none"/>
        </w:rPr>
        <w:t xml:space="preserve"> </w:t>
      </w:r>
      <w:r w:rsidRPr="00A26C26">
        <w:rPr>
          <w:rFonts w:eastAsia="Calibri" w:cstheme="minorHAnsi"/>
          <w:kern w:val="0"/>
          <w14:ligatures w14:val="none"/>
        </w:rPr>
        <w:t>ramach</w:t>
      </w:r>
      <w:r w:rsidR="003B50ED">
        <w:rPr>
          <w:rFonts w:eastAsia="Calibri" w:cstheme="minorHAnsi"/>
          <w:kern w:val="0"/>
          <w14:ligatures w14:val="none"/>
        </w:rPr>
        <w:t xml:space="preserve"> </w:t>
      </w:r>
      <w:r w:rsidRPr="00A26C26">
        <w:rPr>
          <w:rFonts w:eastAsia="Calibri" w:cstheme="minorHAnsi"/>
          <w:kern w:val="0"/>
          <w14:ligatures w14:val="none"/>
        </w:rPr>
        <w:t>LSR,</w:t>
      </w:r>
      <w:r w:rsidR="003B50ED">
        <w:rPr>
          <w:rFonts w:eastAsia="Calibri" w:cstheme="minorHAnsi"/>
          <w:kern w:val="0"/>
          <w14:ligatures w14:val="none"/>
        </w:rPr>
        <w:t xml:space="preserve"> </w:t>
      </w:r>
      <w:r w:rsidRPr="00A26C26">
        <w:rPr>
          <w:rFonts w:eastAsia="Calibri" w:cstheme="minorHAnsi"/>
          <w:kern w:val="0"/>
          <w14:ligatures w14:val="none"/>
        </w:rPr>
        <w:t>planowane</w:t>
      </w:r>
      <w:r w:rsidR="003B50ED">
        <w:rPr>
          <w:rFonts w:eastAsia="Calibri" w:cstheme="minorHAnsi"/>
          <w:kern w:val="0"/>
          <w14:ligatures w14:val="none"/>
        </w:rPr>
        <w:t xml:space="preserve"> </w:t>
      </w:r>
      <w:r w:rsidRPr="00A26C26">
        <w:rPr>
          <w:rFonts w:eastAsia="Calibri" w:cstheme="minorHAnsi"/>
          <w:kern w:val="0"/>
          <w14:ligatures w14:val="none"/>
        </w:rPr>
        <w:t>przedsięwzięcia</w:t>
      </w:r>
      <w:r w:rsidR="003B50ED">
        <w:rPr>
          <w:rFonts w:eastAsia="Calibri" w:cstheme="minorHAnsi"/>
          <w:kern w:val="0"/>
          <w14:ligatures w14:val="none"/>
        </w:rPr>
        <w:t xml:space="preserve"> </w:t>
      </w:r>
      <w:r w:rsidRPr="00A26C26">
        <w:rPr>
          <w:rFonts w:eastAsia="Calibri" w:cstheme="minorHAnsi"/>
          <w:kern w:val="0"/>
          <w14:ligatures w14:val="none"/>
        </w:rPr>
        <w:t>zostały</w:t>
      </w:r>
      <w:r w:rsidR="003B50ED">
        <w:rPr>
          <w:rFonts w:eastAsia="Calibri" w:cstheme="minorHAnsi"/>
          <w:kern w:val="0"/>
          <w14:ligatures w14:val="none"/>
        </w:rPr>
        <w:t xml:space="preserve"> </w:t>
      </w:r>
      <w:r w:rsidRPr="00A26C26">
        <w:rPr>
          <w:rFonts w:eastAsia="Calibri" w:cstheme="minorHAnsi"/>
          <w:kern w:val="0"/>
          <w14:ligatures w14:val="none"/>
        </w:rPr>
        <w:t>starannie</w:t>
      </w:r>
      <w:r w:rsidR="003B50ED">
        <w:rPr>
          <w:rFonts w:eastAsia="Calibri" w:cstheme="minorHAnsi"/>
          <w:kern w:val="0"/>
          <w14:ligatures w14:val="none"/>
        </w:rPr>
        <w:t xml:space="preserve"> </w:t>
      </w:r>
      <w:r w:rsidRPr="00A26C26">
        <w:rPr>
          <w:rFonts w:eastAsia="Calibri" w:cstheme="minorHAnsi"/>
          <w:kern w:val="0"/>
          <w14:ligatures w14:val="none"/>
        </w:rPr>
        <w:t>zaprojektowane</w:t>
      </w:r>
      <w:r w:rsidR="003B50ED">
        <w:rPr>
          <w:rFonts w:eastAsia="Calibri" w:cstheme="minorHAnsi"/>
          <w:kern w:val="0"/>
          <w14:ligatures w14:val="none"/>
        </w:rPr>
        <w:t xml:space="preserve"> </w:t>
      </w:r>
      <w:r w:rsidRPr="00A26C26">
        <w:rPr>
          <w:rFonts w:eastAsia="Calibri" w:cstheme="minorHAnsi"/>
          <w:kern w:val="0"/>
          <w14:ligatures w14:val="none"/>
        </w:rPr>
        <w:t>tak,</w:t>
      </w:r>
      <w:r w:rsidR="003B50ED">
        <w:rPr>
          <w:rFonts w:eastAsia="Calibri" w:cstheme="minorHAnsi"/>
          <w:kern w:val="0"/>
          <w14:ligatures w14:val="none"/>
        </w:rPr>
        <w:t xml:space="preserve"> </w:t>
      </w:r>
      <w:r w:rsidRPr="00A26C26">
        <w:rPr>
          <w:rFonts w:eastAsia="Calibri" w:cstheme="minorHAnsi"/>
          <w:kern w:val="0"/>
          <w14:ligatures w14:val="none"/>
        </w:rPr>
        <w:t>aby</w:t>
      </w:r>
      <w:r w:rsidR="003B50ED">
        <w:rPr>
          <w:rFonts w:eastAsia="Calibri" w:cstheme="minorHAnsi"/>
          <w:kern w:val="0"/>
          <w14:ligatures w14:val="none"/>
        </w:rPr>
        <w:t xml:space="preserve"> </w:t>
      </w:r>
      <w:r w:rsidRPr="00A26C26">
        <w:rPr>
          <w:rFonts w:eastAsia="Calibri" w:cstheme="minorHAnsi"/>
          <w:kern w:val="0"/>
          <w14:ligatures w14:val="none"/>
        </w:rPr>
        <w:t>efektywnie</w:t>
      </w:r>
      <w:r w:rsidR="003B50ED">
        <w:rPr>
          <w:rFonts w:eastAsia="Calibri" w:cstheme="minorHAnsi"/>
          <w:kern w:val="0"/>
          <w14:ligatures w14:val="none"/>
        </w:rPr>
        <w:t xml:space="preserve"> </w:t>
      </w:r>
      <w:r w:rsidRPr="00A26C26">
        <w:rPr>
          <w:rFonts w:eastAsia="Calibri" w:cstheme="minorHAnsi"/>
          <w:kern w:val="0"/>
          <w14:ligatures w14:val="none"/>
        </w:rPr>
        <w:t>wykorzystać</w:t>
      </w:r>
      <w:r w:rsidR="003B50ED">
        <w:rPr>
          <w:rFonts w:eastAsia="Calibri" w:cstheme="minorHAnsi"/>
          <w:kern w:val="0"/>
          <w14:ligatures w14:val="none"/>
        </w:rPr>
        <w:t xml:space="preserve"> </w:t>
      </w:r>
      <w:r w:rsidRPr="00A26C26">
        <w:rPr>
          <w:rFonts w:eastAsia="Calibri" w:cstheme="minorHAnsi"/>
          <w:kern w:val="0"/>
          <w14:ligatures w14:val="none"/>
        </w:rPr>
        <w:t>dostępne</w:t>
      </w:r>
      <w:r w:rsidR="003B50ED">
        <w:rPr>
          <w:rFonts w:eastAsia="Calibri" w:cstheme="minorHAnsi"/>
          <w:kern w:val="0"/>
          <w14:ligatures w14:val="none"/>
        </w:rPr>
        <w:t xml:space="preserve"> </w:t>
      </w:r>
      <w:r w:rsidRPr="00A26C26">
        <w:rPr>
          <w:rFonts w:eastAsia="Calibri" w:cstheme="minorHAnsi"/>
          <w:kern w:val="0"/>
          <w14:ligatures w14:val="none"/>
        </w:rPr>
        <w:t>środki</w:t>
      </w:r>
      <w:r w:rsidR="003B50ED">
        <w:rPr>
          <w:rFonts w:eastAsia="Calibri" w:cstheme="minorHAnsi"/>
          <w:kern w:val="0"/>
          <w14:ligatures w14:val="none"/>
        </w:rPr>
        <w:t xml:space="preserve"> </w:t>
      </w:r>
      <w:r w:rsidRPr="00A26C26">
        <w:rPr>
          <w:rFonts w:eastAsia="Calibri" w:cstheme="minorHAnsi"/>
          <w:kern w:val="0"/>
          <w14:ligatures w14:val="none"/>
        </w:rPr>
        <w:t>finansowe</w:t>
      </w:r>
      <w:r w:rsidR="003B50ED">
        <w:rPr>
          <w:rFonts w:eastAsia="Calibri" w:cstheme="minorHAnsi"/>
          <w:kern w:val="0"/>
          <w14:ligatures w14:val="none"/>
        </w:rPr>
        <w:t xml:space="preserve"> </w:t>
      </w:r>
      <w:r w:rsidRPr="00A26C26">
        <w:rPr>
          <w:rFonts w:eastAsia="Calibri" w:cstheme="minorHAnsi"/>
          <w:kern w:val="0"/>
          <w14:ligatures w14:val="none"/>
        </w:rPr>
        <w:t>i</w:t>
      </w:r>
      <w:r w:rsidR="003B50ED">
        <w:rPr>
          <w:rFonts w:eastAsia="Calibri" w:cstheme="minorHAnsi"/>
          <w:kern w:val="0"/>
          <w14:ligatures w14:val="none"/>
        </w:rPr>
        <w:t xml:space="preserve"> </w:t>
      </w:r>
      <w:r w:rsidRPr="00A26C26">
        <w:rPr>
          <w:rFonts w:eastAsia="Calibri" w:cstheme="minorHAnsi"/>
          <w:kern w:val="0"/>
          <w14:ligatures w14:val="none"/>
        </w:rPr>
        <w:t>jednocześnie</w:t>
      </w:r>
      <w:r w:rsidR="003B50ED">
        <w:rPr>
          <w:rFonts w:eastAsia="Calibri" w:cstheme="minorHAnsi"/>
          <w:kern w:val="0"/>
          <w14:ligatures w14:val="none"/>
        </w:rPr>
        <w:t xml:space="preserve"> </w:t>
      </w:r>
      <w:r w:rsidRPr="00A26C26">
        <w:rPr>
          <w:rFonts w:eastAsia="Calibri" w:cstheme="minorHAnsi"/>
          <w:kern w:val="0"/>
          <w14:ligatures w14:val="none"/>
        </w:rPr>
        <w:t>odpowiedzieć</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szeroki</w:t>
      </w:r>
      <w:r w:rsidR="003B50ED">
        <w:rPr>
          <w:rFonts w:eastAsia="Calibri" w:cstheme="minorHAnsi"/>
          <w:kern w:val="0"/>
          <w14:ligatures w14:val="none"/>
        </w:rPr>
        <w:t xml:space="preserve"> </w:t>
      </w:r>
      <w:r w:rsidRPr="00A26C26">
        <w:rPr>
          <w:rFonts w:eastAsia="Calibri" w:cstheme="minorHAnsi"/>
          <w:kern w:val="0"/>
          <w14:ligatures w14:val="none"/>
        </w:rPr>
        <w:t>zakres</w:t>
      </w:r>
      <w:r w:rsidR="003B50ED">
        <w:rPr>
          <w:rFonts w:eastAsia="Calibri" w:cstheme="minorHAnsi"/>
          <w:kern w:val="0"/>
          <w14:ligatures w14:val="none"/>
        </w:rPr>
        <w:t xml:space="preserve"> </w:t>
      </w:r>
      <w:r w:rsidRPr="00A26C26">
        <w:rPr>
          <w:rFonts w:eastAsia="Calibri" w:cstheme="minorHAnsi"/>
          <w:kern w:val="0"/>
          <w14:ligatures w14:val="none"/>
        </w:rPr>
        <w:t>zidentyfikowanych</w:t>
      </w:r>
      <w:r w:rsidR="003B50ED">
        <w:rPr>
          <w:rFonts w:eastAsia="Calibri" w:cstheme="minorHAnsi"/>
          <w:kern w:val="0"/>
          <w14:ligatures w14:val="none"/>
        </w:rPr>
        <w:t xml:space="preserve"> </w:t>
      </w:r>
      <w:r w:rsidRPr="00A26C26">
        <w:rPr>
          <w:rFonts w:eastAsia="Calibri" w:cstheme="minorHAnsi"/>
          <w:kern w:val="0"/>
          <w14:ligatures w14:val="none"/>
        </w:rPr>
        <w:t>potrzeb.</w:t>
      </w:r>
      <w:r w:rsidR="003B50ED">
        <w:rPr>
          <w:rFonts w:eastAsia="Calibri" w:cstheme="minorHAnsi"/>
          <w:kern w:val="0"/>
          <w14:ligatures w14:val="none"/>
        </w:rPr>
        <w:t xml:space="preserve"> </w:t>
      </w:r>
      <w:r w:rsidRPr="00A26C26">
        <w:rPr>
          <w:rFonts w:eastAsia="Calibri" w:cstheme="minorHAnsi"/>
          <w:kern w:val="0"/>
          <w14:ligatures w14:val="none"/>
        </w:rPr>
        <w:t>Celem</w:t>
      </w:r>
      <w:r w:rsidR="003B50ED">
        <w:rPr>
          <w:rFonts w:eastAsia="Calibri" w:cstheme="minorHAnsi"/>
          <w:kern w:val="0"/>
          <w14:ligatures w14:val="none"/>
        </w:rPr>
        <w:t xml:space="preserve"> </w:t>
      </w:r>
      <w:r w:rsidRPr="00A26C26">
        <w:rPr>
          <w:rFonts w:eastAsia="Calibri" w:cstheme="minorHAnsi"/>
          <w:kern w:val="0"/>
          <w14:ligatures w14:val="none"/>
        </w:rPr>
        <w:t>tych</w:t>
      </w:r>
      <w:r w:rsidR="003B50ED">
        <w:rPr>
          <w:rFonts w:eastAsia="Calibri" w:cstheme="minorHAnsi"/>
          <w:kern w:val="0"/>
          <w14:ligatures w14:val="none"/>
        </w:rPr>
        <w:t xml:space="preserve"> </w:t>
      </w:r>
      <w:r w:rsidRPr="00A26C26">
        <w:rPr>
          <w:rFonts w:eastAsia="Calibri" w:cstheme="minorHAnsi"/>
          <w:kern w:val="0"/>
          <w14:ligatures w14:val="none"/>
        </w:rPr>
        <w:t>działań</w:t>
      </w:r>
      <w:r w:rsidR="003B50ED">
        <w:rPr>
          <w:rFonts w:eastAsia="Calibri" w:cstheme="minorHAnsi"/>
          <w:kern w:val="0"/>
          <w14:ligatures w14:val="none"/>
        </w:rPr>
        <w:t xml:space="preserve"> </w:t>
      </w:r>
      <w:r w:rsidRPr="00A26C26">
        <w:rPr>
          <w:rFonts w:eastAsia="Calibri" w:cstheme="minorHAnsi"/>
          <w:kern w:val="0"/>
          <w14:ligatures w14:val="none"/>
        </w:rPr>
        <w:t>jest</w:t>
      </w:r>
      <w:r w:rsidR="003B50ED">
        <w:rPr>
          <w:rFonts w:eastAsia="Calibri" w:cstheme="minorHAnsi"/>
          <w:kern w:val="0"/>
          <w14:ligatures w14:val="none"/>
        </w:rPr>
        <w:t xml:space="preserve"> </w:t>
      </w:r>
      <w:r w:rsidRPr="00A26C26">
        <w:rPr>
          <w:rFonts w:eastAsia="Calibri" w:cstheme="minorHAnsi"/>
          <w:kern w:val="0"/>
          <w14:ligatures w14:val="none"/>
        </w:rPr>
        <w:t>poprawa</w:t>
      </w:r>
      <w:r w:rsidR="003B50ED">
        <w:rPr>
          <w:rFonts w:eastAsia="Calibri" w:cstheme="minorHAnsi"/>
          <w:kern w:val="0"/>
          <w14:ligatures w14:val="none"/>
        </w:rPr>
        <w:t xml:space="preserve"> </w:t>
      </w:r>
      <w:r w:rsidRPr="00A26C26">
        <w:rPr>
          <w:rFonts w:eastAsia="Calibri" w:cstheme="minorHAnsi"/>
          <w:kern w:val="0"/>
          <w14:ligatures w14:val="none"/>
        </w:rPr>
        <w:t>jakości</w:t>
      </w:r>
      <w:r w:rsidR="003B50ED">
        <w:rPr>
          <w:rFonts w:eastAsia="Calibri" w:cstheme="minorHAnsi"/>
          <w:kern w:val="0"/>
          <w14:ligatures w14:val="none"/>
        </w:rPr>
        <w:t xml:space="preserve"> </w:t>
      </w:r>
      <w:r w:rsidRPr="00A26C26">
        <w:rPr>
          <w:rFonts w:eastAsia="Calibri" w:cstheme="minorHAnsi"/>
          <w:kern w:val="0"/>
          <w14:ligatures w14:val="none"/>
        </w:rPr>
        <w:t>życia</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obszarze</w:t>
      </w:r>
      <w:r w:rsidR="003B50ED">
        <w:rPr>
          <w:rFonts w:eastAsia="Calibri" w:cstheme="minorHAnsi"/>
          <w:kern w:val="0"/>
          <w14:ligatures w14:val="none"/>
        </w:rPr>
        <w:t xml:space="preserve"> </w:t>
      </w:r>
      <w:r w:rsidRPr="00A26C26">
        <w:rPr>
          <w:rFonts w:eastAsia="Calibri" w:cstheme="minorHAnsi"/>
          <w:kern w:val="0"/>
          <w14:ligatures w14:val="none"/>
        </w:rPr>
        <w:t>objętym</w:t>
      </w:r>
      <w:r w:rsidR="003B50ED">
        <w:rPr>
          <w:rFonts w:eastAsia="Calibri" w:cstheme="minorHAnsi"/>
          <w:kern w:val="0"/>
          <w14:ligatures w14:val="none"/>
        </w:rPr>
        <w:t xml:space="preserve"> </w:t>
      </w:r>
      <w:r w:rsidRPr="00A26C26">
        <w:rPr>
          <w:rFonts w:eastAsia="Calibri" w:cstheme="minorHAnsi"/>
          <w:kern w:val="0"/>
          <w14:ligatures w14:val="none"/>
        </w:rPr>
        <w:t>strategią,</w:t>
      </w:r>
      <w:r w:rsidR="003B50ED">
        <w:rPr>
          <w:rFonts w:eastAsia="Calibri" w:cstheme="minorHAnsi"/>
          <w:kern w:val="0"/>
          <w14:ligatures w14:val="none"/>
        </w:rPr>
        <w:t xml:space="preserve"> </w:t>
      </w:r>
      <w:r w:rsidRPr="00A26C26">
        <w:rPr>
          <w:rFonts w:eastAsia="Calibri" w:cstheme="minorHAnsi"/>
          <w:kern w:val="0"/>
          <w14:ligatures w14:val="none"/>
        </w:rPr>
        <w:t>wykorzystując</w:t>
      </w:r>
      <w:r w:rsidR="003B50ED">
        <w:rPr>
          <w:rFonts w:eastAsia="Calibri" w:cstheme="minorHAnsi"/>
          <w:kern w:val="0"/>
          <w14:ligatures w14:val="none"/>
        </w:rPr>
        <w:t xml:space="preserve"> </w:t>
      </w:r>
      <w:r w:rsidRPr="00A26C26">
        <w:rPr>
          <w:rFonts w:eastAsia="Calibri" w:cstheme="minorHAnsi"/>
          <w:kern w:val="0"/>
          <w14:ligatures w14:val="none"/>
        </w:rPr>
        <w:t>lokalne</w:t>
      </w:r>
      <w:r w:rsidR="003B50ED">
        <w:rPr>
          <w:rFonts w:eastAsia="Calibri" w:cstheme="minorHAnsi"/>
          <w:kern w:val="0"/>
          <w14:ligatures w14:val="none"/>
        </w:rPr>
        <w:t xml:space="preserve"> </w:t>
      </w:r>
      <w:r w:rsidRPr="00A26C26">
        <w:rPr>
          <w:rFonts w:eastAsia="Calibri" w:cstheme="minorHAnsi"/>
          <w:kern w:val="0"/>
          <w14:ligatures w14:val="none"/>
        </w:rPr>
        <w:t>zasoby</w:t>
      </w:r>
      <w:r w:rsidR="003B50ED">
        <w:rPr>
          <w:rFonts w:eastAsia="Calibri" w:cstheme="minorHAnsi"/>
          <w:kern w:val="0"/>
          <w14:ligatures w14:val="none"/>
        </w:rPr>
        <w:t xml:space="preserve"> </w:t>
      </w:r>
      <w:r w:rsidRPr="00A26C26">
        <w:rPr>
          <w:rFonts w:eastAsia="Calibri" w:cstheme="minorHAnsi"/>
          <w:kern w:val="0"/>
          <w14:ligatures w14:val="none"/>
        </w:rPr>
        <w:t>w</w:t>
      </w:r>
      <w:r w:rsidR="003B50ED">
        <w:rPr>
          <w:rFonts w:eastAsia="Calibri" w:cstheme="minorHAnsi"/>
          <w:kern w:val="0"/>
          <w14:ligatures w14:val="none"/>
        </w:rPr>
        <w:t xml:space="preserve"> </w:t>
      </w:r>
      <w:r w:rsidRPr="00A26C26">
        <w:rPr>
          <w:rFonts w:eastAsia="Calibri" w:cstheme="minorHAnsi"/>
          <w:kern w:val="0"/>
          <w14:ligatures w14:val="none"/>
        </w:rPr>
        <w:t>sposób</w:t>
      </w:r>
      <w:r w:rsidR="003B50ED">
        <w:rPr>
          <w:rFonts w:eastAsia="Calibri" w:cstheme="minorHAnsi"/>
          <w:kern w:val="0"/>
          <w14:ligatures w14:val="none"/>
        </w:rPr>
        <w:t xml:space="preserve"> </w:t>
      </w:r>
      <w:r w:rsidRPr="00A26C26">
        <w:rPr>
          <w:rFonts w:eastAsia="Calibri" w:cstheme="minorHAnsi"/>
          <w:kern w:val="0"/>
          <w14:ligatures w14:val="none"/>
        </w:rPr>
        <w:t>efektywny.</w:t>
      </w:r>
    </w:p>
    <w:p w14:paraId="390917BA" w14:textId="22101D7A" w:rsidR="00857736" w:rsidRPr="00A26C26" w:rsidRDefault="00857736" w:rsidP="00A26C26">
      <w:pPr>
        <w:spacing w:line="276" w:lineRule="auto"/>
        <w:ind w:firstLine="284"/>
        <w:jc w:val="both"/>
        <w:rPr>
          <w:rFonts w:eastAsia="Calibri" w:cstheme="minorHAnsi"/>
          <w:kern w:val="0"/>
          <w14:ligatures w14:val="none"/>
        </w:rPr>
      </w:pPr>
      <w:r w:rsidRPr="00A26C26">
        <w:rPr>
          <w:rFonts w:eastAsia="Calibri" w:cstheme="minorHAnsi"/>
          <w:kern w:val="0"/>
          <w14:ligatures w14:val="none"/>
        </w:rPr>
        <w:t>Dodatkowo,</w:t>
      </w:r>
      <w:r w:rsidR="003B50ED">
        <w:rPr>
          <w:rFonts w:eastAsia="Calibri" w:cstheme="minorHAnsi"/>
          <w:kern w:val="0"/>
          <w14:ligatures w14:val="none"/>
        </w:rPr>
        <w:t xml:space="preserve"> </w:t>
      </w:r>
      <w:r w:rsidRPr="00A26C26">
        <w:rPr>
          <w:rFonts w:eastAsia="Calibri" w:cstheme="minorHAnsi"/>
          <w:kern w:val="0"/>
          <w14:ligatures w14:val="none"/>
        </w:rPr>
        <w:t>wiele</w:t>
      </w:r>
      <w:r w:rsidR="003B50ED">
        <w:rPr>
          <w:rFonts w:eastAsia="Calibri" w:cstheme="minorHAnsi"/>
          <w:kern w:val="0"/>
          <w14:ligatures w14:val="none"/>
        </w:rPr>
        <w:t xml:space="preserve"> </w:t>
      </w:r>
      <w:r w:rsidRPr="00A26C26">
        <w:rPr>
          <w:rFonts w:eastAsia="Calibri" w:cstheme="minorHAnsi"/>
          <w:kern w:val="0"/>
          <w14:ligatures w14:val="none"/>
        </w:rPr>
        <w:t>z</w:t>
      </w:r>
      <w:r w:rsidR="003B50ED">
        <w:rPr>
          <w:rFonts w:eastAsia="Calibri" w:cstheme="minorHAnsi"/>
          <w:kern w:val="0"/>
          <w14:ligatures w14:val="none"/>
        </w:rPr>
        <w:t xml:space="preserve"> </w:t>
      </w:r>
      <w:r w:rsidRPr="00A26C26">
        <w:rPr>
          <w:rFonts w:eastAsia="Calibri" w:cstheme="minorHAnsi"/>
          <w:kern w:val="0"/>
          <w14:ligatures w14:val="none"/>
        </w:rPr>
        <w:t>tych</w:t>
      </w:r>
      <w:r w:rsidR="003B50ED">
        <w:rPr>
          <w:rFonts w:eastAsia="Calibri" w:cstheme="minorHAnsi"/>
          <w:kern w:val="0"/>
          <w14:ligatures w14:val="none"/>
        </w:rPr>
        <w:t xml:space="preserve"> </w:t>
      </w:r>
      <w:r w:rsidRPr="00A26C26">
        <w:rPr>
          <w:rFonts w:eastAsia="Calibri" w:cstheme="minorHAnsi"/>
          <w:kern w:val="0"/>
          <w14:ligatures w14:val="none"/>
        </w:rPr>
        <w:t>działań</w:t>
      </w:r>
      <w:r w:rsidR="003B50ED">
        <w:rPr>
          <w:rFonts w:eastAsia="Calibri" w:cstheme="minorHAnsi"/>
          <w:kern w:val="0"/>
          <w14:ligatures w14:val="none"/>
        </w:rPr>
        <w:t xml:space="preserve"> </w:t>
      </w:r>
      <w:r w:rsidRPr="00A26C26">
        <w:rPr>
          <w:rFonts w:eastAsia="Calibri" w:cstheme="minorHAnsi"/>
          <w:kern w:val="0"/>
          <w14:ligatures w14:val="none"/>
        </w:rPr>
        <w:t>ma</w:t>
      </w:r>
      <w:r w:rsidR="003B50ED">
        <w:rPr>
          <w:rFonts w:eastAsia="Calibri" w:cstheme="minorHAnsi"/>
          <w:kern w:val="0"/>
          <w14:ligatures w14:val="none"/>
        </w:rPr>
        <w:t xml:space="preserve"> </w:t>
      </w:r>
      <w:r w:rsidRPr="00A26C26">
        <w:rPr>
          <w:rFonts w:eastAsia="Calibri" w:cstheme="minorHAnsi"/>
          <w:kern w:val="0"/>
          <w14:ligatures w14:val="none"/>
        </w:rPr>
        <w:t>charakter</w:t>
      </w:r>
      <w:r w:rsidR="003B50ED">
        <w:rPr>
          <w:rFonts w:eastAsia="Calibri" w:cstheme="minorHAnsi"/>
          <w:kern w:val="0"/>
          <w14:ligatures w14:val="none"/>
        </w:rPr>
        <w:t xml:space="preserve"> </w:t>
      </w:r>
      <w:r w:rsidRPr="00A26C26">
        <w:rPr>
          <w:rFonts w:eastAsia="Calibri" w:cstheme="minorHAnsi"/>
          <w:kern w:val="0"/>
          <w14:ligatures w14:val="none"/>
        </w:rPr>
        <w:t>uzupełniający,</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przykład</w:t>
      </w:r>
      <w:r w:rsidR="003B50ED">
        <w:rPr>
          <w:rFonts w:eastAsia="Calibri" w:cstheme="minorHAnsi"/>
          <w:kern w:val="0"/>
          <w14:ligatures w14:val="none"/>
        </w:rPr>
        <w:t xml:space="preserve"> </w:t>
      </w:r>
      <w:r w:rsidRPr="00A26C26">
        <w:rPr>
          <w:rFonts w:eastAsia="Calibri" w:cstheme="minorHAnsi"/>
          <w:kern w:val="0"/>
          <w14:ligatures w14:val="none"/>
        </w:rPr>
        <w:t>rozwój</w:t>
      </w:r>
      <w:r w:rsidR="003B50ED">
        <w:rPr>
          <w:rFonts w:eastAsia="Calibri" w:cstheme="minorHAnsi"/>
          <w:kern w:val="0"/>
          <w14:ligatures w14:val="none"/>
        </w:rPr>
        <w:t xml:space="preserve"> </w:t>
      </w:r>
      <w:r w:rsidRPr="00A26C26">
        <w:rPr>
          <w:rFonts w:eastAsia="Calibri" w:cstheme="minorHAnsi"/>
          <w:kern w:val="0"/>
          <w14:ligatures w14:val="none"/>
        </w:rPr>
        <w:t>oferty</w:t>
      </w:r>
      <w:r w:rsidR="003B50ED">
        <w:rPr>
          <w:rFonts w:eastAsia="Calibri" w:cstheme="minorHAnsi"/>
          <w:kern w:val="0"/>
          <w14:ligatures w14:val="none"/>
        </w:rPr>
        <w:t xml:space="preserve"> </w:t>
      </w:r>
      <w:r w:rsidRPr="00A26C26">
        <w:rPr>
          <w:rFonts w:eastAsia="Calibri" w:cstheme="minorHAnsi"/>
          <w:kern w:val="0"/>
          <w14:ligatures w14:val="none"/>
        </w:rPr>
        <w:t>agroturystycznej</w:t>
      </w:r>
      <w:r w:rsidR="003B50ED">
        <w:rPr>
          <w:rFonts w:eastAsia="Calibri" w:cstheme="minorHAnsi"/>
          <w:kern w:val="0"/>
          <w14:ligatures w14:val="none"/>
        </w:rPr>
        <w:t xml:space="preserve"> </w:t>
      </w:r>
      <w:r w:rsidRPr="00A26C26">
        <w:rPr>
          <w:rFonts w:eastAsia="Calibri" w:cstheme="minorHAnsi"/>
          <w:kern w:val="0"/>
          <w14:ligatures w14:val="none"/>
        </w:rPr>
        <w:t>pozytywnie</w:t>
      </w:r>
      <w:r w:rsidR="003B50ED">
        <w:rPr>
          <w:rFonts w:eastAsia="Calibri" w:cstheme="minorHAnsi"/>
          <w:kern w:val="0"/>
          <w14:ligatures w14:val="none"/>
        </w:rPr>
        <w:t xml:space="preserve"> </w:t>
      </w:r>
      <w:r w:rsidRPr="00A26C26">
        <w:rPr>
          <w:rFonts w:eastAsia="Calibri" w:cstheme="minorHAnsi"/>
          <w:kern w:val="0"/>
          <w14:ligatures w14:val="none"/>
        </w:rPr>
        <w:t>wpłynie</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promocję</w:t>
      </w:r>
      <w:r w:rsidR="003B50ED">
        <w:rPr>
          <w:rFonts w:eastAsia="Calibri" w:cstheme="minorHAnsi"/>
          <w:kern w:val="0"/>
          <w14:ligatures w14:val="none"/>
        </w:rPr>
        <w:t xml:space="preserve"> </w:t>
      </w:r>
      <w:r w:rsidRPr="00A26C26">
        <w:rPr>
          <w:rFonts w:eastAsia="Calibri" w:cstheme="minorHAnsi"/>
          <w:kern w:val="0"/>
          <w14:ligatures w14:val="none"/>
        </w:rPr>
        <w:t>turystyki</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obszarze</w:t>
      </w:r>
      <w:r w:rsidR="003B50ED">
        <w:rPr>
          <w:rFonts w:eastAsia="Calibri" w:cstheme="minorHAnsi"/>
          <w:kern w:val="0"/>
          <w14:ligatures w14:val="none"/>
        </w:rPr>
        <w:t xml:space="preserve"> </w:t>
      </w:r>
      <w:r w:rsidRPr="00A26C26">
        <w:rPr>
          <w:rFonts w:eastAsia="Calibri" w:cstheme="minorHAnsi"/>
          <w:kern w:val="0"/>
          <w14:ligatures w14:val="none"/>
        </w:rPr>
        <w:t>LSR,</w:t>
      </w:r>
      <w:r w:rsidR="003B50ED">
        <w:rPr>
          <w:rFonts w:eastAsia="Calibri" w:cstheme="minorHAnsi"/>
          <w:kern w:val="0"/>
          <w14:ligatures w14:val="none"/>
        </w:rPr>
        <w:t xml:space="preserve"> </w:t>
      </w:r>
      <w:r w:rsidRPr="00A26C26">
        <w:rPr>
          <w:rFonts w:eastAsia="Calibri" w:cstheme="minorHAnsi"/>
          <w:kern w:val="0"/>
          <w14:ligatures w14:val="none"/>
        </w:rPr>
        <w:t>z</w:t>
      </w:r>
      <w:r w:rsidR="003B50ED">
        <w:rPr>
          <w:rFonts w:eastAsia="Calibri" w:cstheme="minorHAnsi"/>
          <w:kern w:val="0"/>
          <w14:ligatures w14:val="none"/>
        </w:rPr>
        <w:t xml:space="preserve"> </w:t>
      </w:r>
      <w:r w:rsidRPr="00A26C26">
        <w:rPr>
          <w:rFonts w:eastAsia="Calibri" w:cstheme="minorHAnsi"/>
          <w:kern w:val="0"/>
          <w14:ligatures w14:val="none"/>
        </w:rPr>
        <w:t>kolei</w:t>
      </w:r>
      <w:r w:rsidR="003B50ED">
        <w:rPr>
          <w:rFonts w:eastAsia="Calibri" w:cstheme="minorHAnsi"/>
          <w:kern w:val="0"/>
          <w14:ligatures w14:val="none"/>
        </w:rPr>
        <w:t xml:space="preserve"> </w:t>
      </w:r>
      <w:r w:rsidRPr="00A26C26">
        <w:rPr>
          <w:rFonts w:eastAsia="Calibri" w:cstheme="minorHAnsi"/>
          <w:kern w:val="0"/>
          <w14:ligatures w14:val="none"/>
        </w:rPr>
        <w:t>opracowanie</w:t>
      </w:r>
      <w:r w:rsidR="003B50ED">
        <w:rPr>
          <w:rFonts w:eastAsia="Calibri" w:cstheme="minorHAnsi"/>
          <w:kern w:val="0"/>
          <w14:ligatures w14:val="none"/>
        </w:rPr>
        <w:t xml:space="preserve"> </w:t>
      </w:r>
      <w:r w:rsidRPr="00A26C26">
        <w:rPr>
          <w:rFonts w:eastAsia="Calibri" w:cstheme="minorHAnsi"/>
          <w:kern w:val="0"/>
          <w14:ligatures w14:val="none"/>
        </w:rPr>
        <w:t>koncepcji</w:t>
      </w:r>
      <w:r w:rsidR="003B50ED">
        <w:rPr>
          <w:rFonts w:eastAsia="Calibri" w:cstheme="minorHAnsi"/>
          <w:kern w:val="0"/>
          <w14:ligatures w14:val="none"/>
        </w:rPr>
        <w:t xml:space="preserve"> </w:t>
      </w:r>
      <w:r w:rsidRPr="00A26C26">
        <w:rPr>
          <w:rFonts w:eastAsia="Calibri" w:cstheme="minorHAnsi"/>
          <w:kern w:val="0"/>
          <w14:ligatures w14:val="none"/>
        </w:rPr>
        <w:t>inteligentnych</w:t>
      </w:r>
      <w:r w:rsidR="003B50ED">
        <w:rPr>
          <w:rFonts w:eastAsia="Calibri" w:cstheme="minorHAnsi"/>
          <w:kern w:val="0"/>
          <w14:ligatures w14:val="none"/>
        </w:rPr>
        <w:t xml:space="preserve"> </w:t>
      </w:r>
      <w:r w:rsidRPr="00A26C26">
        <w:rPr>
          <w:rFonts w:eastAsia="Calibri" w:cstheme="minorHAnsi"/>
          <w:kern w:val="0"/>
          <w14:ligatures w14:val="none"/>
        </w:rPr>
        <w:t>wsi</w:t>
      </w:r>
      <w:r w:rsidR="003B50ED">
        <w:rPr>
          <w:rFonts w:eastAsia="Calibri" w:cstheme="minorHAnsi"/>
          <w:kern w:val="0"/>
          <w14:ligatures w14:val="none"/>
        </w:rPr>
        <w:t xml:space="preserve"> </w:t>
      </w:r>
      <w:r w:rsidRPr="00A26C26">
        <w:rPr>
          <w:rFonts w:eastAsia="Calibri" w:cstheme="minorHAnsi"/>
          <w:kern w:val="0"/>
          <w14:ligatures w14:val="none"/>
        </w:rPr>
        <w:t>doskonale</w:t>
      </w:r>
      <w:r w:rsidR="003B50ED">
        <w:rPr>
          <w:rFonts w:eastAsia="Calibri" w:cstheme="minorHAnsi"/>
          <w:kern w:val="0"/>
          <w14:ligatures w14:val="none"/>
        </w:rPr>
        <w:t xml:space="preserve"> </w:t>
      </w:r>
      <w:r w:rsidRPr="00A26C26">
        <w:rPr>
          <w:rFonts w:eastAsia="Calibri" w:cstheme="minorHAnsi"/>
          <w:kern w:val="0"/>
          <w14:ligatures w14:val="none"/>
        </w:rPr>
        <w:t>koreluje</w:t>
      </w:r>
      <w:r w:rsidR="003B50ED">
        <w:rPr>
          <w:rFonts w:eastAsia="Calibri" w:cstheme="minorHAnsi"/>
          <w:kern w:val="0"/>
          <w14:ligatures w14:val="none"/>
        </w:rPr>
        <w:t xml:space="preserve"> </w:t>
      </w:r>
      <w:r w:rsidRPr="00A26C26">
        <w:rPr>
          <w:rFonts w:eastAsia="Calibri" w:cstheme="minorHAnsi"/>
          <w:kern w:val="0"/>
          <w14:ligatures w14:val="none"/>
        </w:rPr>
        <w:t>z</w:t>
      </w:r>
      <w:r w:rsidR="003B50ED">
        <w:rPr>
          <w:rFonts w:eastAsia="Calibri" w:cstheme="minorHAnsi"/>
          <w:kern w:val="0"/>
          <w14:ligatures w14:val="none"/>
        </w:rPr>
        <w:t xml:space="preserve"> </w:t>
      </w:r>
      <w:r w:rsidRPr="00A26C26">
        <w:rPr>
          <w:rFonts w:eastAsia="Calibri" w:cstheme="minorHAnsi"/>
          <w:kern w:val="0"/>
          <w14:ligatures w14:val="none"/>
        </w:rPr>
        <w:t>przedsięwzięciem</w:t>
      </w:r>
      <w:r w:rsidR="003B50ED">
        <w:rPr>
          <w:rFonts w:eastAsia="Calibri" w:cstheme="minorHAnsi"/>
          <w:kern w:val="0"/>
          <w14:ligatures w14:val="none"/>
        </w:rPr>
        <w:t xml:space="preserve"> </w:t>
      </w:r>
      <w:r w:rsidRPr="00A26C26">
        <w:rPr>
          <w:rFonts w:eastAsia="Calibri" w:cstheme="minorHAnsi"/>
          <w:kern w:val="0"/>
          <w14:ligatures w14:val="none"/>
        </w:rPr>
        <w:t>z</w:t>
      </w:r>
      <w:r w:rsidR="003B50ED">
        <w:rPr>
          <w:rFonts w:eastAsia="Calibri" w:cstheme="minorHAnsi"/>
          <w:kern w:val="0"/>
          <w14:ligatures w14:val="none"/>
        </w:rPr>
        <w:t xml:space="preserve"> </w:t>
      </w:r>
      <w:r w:rsidRPr="00A26C26">
        <w:rPr>
          <w:rFonts w:eastAsia="Calibri" w:cstheme="minorHAnsi"/>
          <w:kern w:val="0"/>
          <w14:ligatures w14:val="none"/>
        </w:rPr>
        <w:t>zakresu</w:t>
      </w:r>
      <w:r w:rsidR="003B50ED">
        <w:rPr>
          <w:rFonts w:eastAsia="Calibri" w:cstheme="minorHAnsi"/>
          <w:kern w:val="0"/>
          <w14:ligatures w14:val="none"/>
        </w:rPr>
        <w:t xml:space="preserve"> </w:t>
      </w:r>
      <w:r w:rsidRPr="00A26C26">
        <w:rPr>
          <w:rFonts w:eastAsia="Calibri" w:cstheme="minorHAnsi"/>
          <w:kern w:val="0"/>
          <w14:ligatures w14:val="none"/>
        </w:rPr>
        <w:t>wzmacniania</w:t>
      </w:r>
      <w:r w:rsidR="003B50ED">
        <w:rPr>
          <w:rFonts w:eastAsia="Calibri" w:cstheme="minorHAnsi"/>
          <w:kern w:val="0"/>
          <w14:ligatures w14:val="none"/>
        </w:rPr>
        <w:t xml:space="preserve"> </w:t>
      </w:r>
      <w:r w:rsidRPr="00A26C26">
        <w:rPr>
          <w:rFonts w:eastAsia="Calibri" w:cstheme="minorHAnsi"/>
          <w:kern w:val="0"/>
          <w14:ligatures w14:val="none"/>
        </w:rPr>
        <w:t>partnerstwa.</w:t>
      </w:r>
    </w:p>
    <w:p w14:paraId="4DA984BD" w14:textId="5C2B6229" w:rsidR="009C199B" w:rsidRPr="00A26C26" w:rsidRDefault="009C199B" w:rsidP="00A26C26">
      <w:pPr>
        <w:spacing w:line="276" w:lineRule="auto"/>
        <w:ind w:firstLine="284"/>
        <w:jc w:val="both"/>
        <w:rPr>
          <w:rFonts w:eastAsia="Calibri" w:cstheme="minorHAnsi"/>
          <w:kern w:val="0"/>
          <w14:ligatures w14:val="none"/>
        </w:rPr>
      </w:pPr>
      <w:r w:rsidRPr="00A26C26">
        <w:rPr>
          <w:rFonts w:eastAsia="Calibri" w:cstheme="minorHAnsi"/>
          <w:kern w:val="0"/>
          <w14:ligatures w14:val="none"/>
        </w:rPr>
        <w:t>Przedsięwzięcie</w:t>
      </w:r>
      <w:r w:rsidR="003B50ED">
        <w:rPr>
          <w:rFonts w:eastAsia="Calibri" w:cstheme="minorHAnsi"/>
          <w:kern w:val="0"/>
          <w14:ligatures w14:val="none"/>
        </w:rPr>
        <w:t xml:space="preserve"> </w:t>
      </w:r>
      <w:r w:rsidRPr="00A26C26">
        <w:rPr>
          <w:rFonts w:eastAsia="Calibri" w:cstheme="minorHAnsi"/>
          <w:kern w:val="0"/>
          <w14:ligatures w14:val="none"/>
        </w:rPr>
        <w:t>1.1</w:t>
      </w:r>
      <w:r w:rsidR="003B50ED">
        <w:rPr>
          <w:rFonts w:eastAsia="Calibri" w:cstheme="minorHAnsi"/>
          <w:kern w:val="0"/>
          <w14:ligatures w14:val="none"/>
        </w:rPr>
        <w:t xml:space="preserve"> </w:t>
      </w:r>
      <w:r w:rsidRPr="00A26C26">
        <w:rPr>
          <w:rFonts w:eastAsia="Calibri" w:cstheme="minorHAnsi"/>
          <w:kern w:val="0"/>
          <w14:ligatures w14:val="none"/>
        </w:rPr>
        <w:t>Opracowanie</w:t>
      </w:r>
      <w:r w:rsidR="003B50ED">
        <w:rPr>
          <w:rFonts w:eastAsia="Calibri" w:cstheme="minorHAnsi"/>
          <w:kern w:val="0"/>
          <w14:ligatures w14:val="none"/>
        </w:rPr>
        <w:t xml:space="preserve"> </w:t>
      </w:r>
      <w:r w:rsidRPr="00A26C26">
        <w:rPr>
          <w:rFonts w:eastAsia="Calibri" w:cstheme="minorHAnsi"/>
          <w:kern w:val="0"/>
          <w14:ligatures w14:val="none"/>
        </w:rPr>
        <w:t>koncepcji</w:t>
      </w:r>
      <w:r w:rsidR="003B50ED">
        <w:rPr>
          <w:rFonts w:eastAsia="Calibri" w:cstheme="minorHAnsi"/>
          <w:kern w:val="0"/>
          <w14:ligatures w14:val="none"/>
        </w:rPr>
        <w:t xml:space="preserve"> </w:t>
      </w:r>
      <w:r w:rsidRPr="00A26C26">
        <w:rPr>
          <w:rFonts w:eastAsia="Calibri" w:cstheme="minorHAnsi"/>
          <w:kern w:val="0"/>
          <w14:ligatures w14:val="none"/>
        </w:rPr>
        <w:t>inteligentnych</w:t>
      </w:r>
      <w:r w:rsidR="003B50ED">
        <w:rPr>
          <w:rFonts w:eastAsia="Calibri" w:cstheme="minorHAnsi"/>
          <w:kern w:val="0"/>
          <w14:ligatures w14:val="none"/>
        </w:rPr>
        <w:t xml:space="preserve"> </w:t>
      </w:r>
      <w:r w:rsidRPr="00A26C26">
        <w:rPr>
          <w:rFonts w:eastAsia="Calibri" w:cstheme="minorHAnsi"/>
          <w:kern w:val="0"/>
          <w14:ligatures w14:val="none"/>
        </w:rPr>
        <w:t>wsi</w:t>
      </w:r>
      <w:r w:rsidR="003B50ED">
        <w:rPr>
          <w:rFonts w:eastAsia="Calibri" w:cstheme="minorHAnsi"/>
          <w:kern w:val="0"/>
          <w14:ligatures w14:val="none"/>
        </w:rPr>
        <w:t xml:space="preserve"> </w:t>
      </w:r>
      <w:r w:rsidRPr="00A26C26">
        <w:rPr>
          <w:rFonts w:eastAsia="Calibri" w:cstheme="minorHAnsi"/>
          <w:kern w:val="0"/>
          <w14:ligatures w14:val="none"/>
        </w:rPr>
        <w:t>jest</w:t>
      </w:r>
      <w:r w:rsidR="003B50ED">
        <w:rPr>
          <w:rFonts w:eastAsia="Calibri" w:cstheme="minorHAnsi"/>
          <w:kern w:val="0"/>
          <w14:ligatures w14:val="none"/>
        </w:rPr>
        <w:t xml:space="preserve"> </w:t>
      </w:r>
      <w:r w:rsidRPr="00A26C26">
        <w:rPr>
          <w:rFonts w:eastAsia="Calibri" w:cstheme="minorHAnsi"/>
          <w:kern w:val="0"/>
          <w14:ligatures w14:val="none"/>
        </w:rPr>
        <w:t>komplementarne</w:t>
      </w:r>
      <w:r w:rsidR="003B50ED">
        <w:rPr>
          <w:rFonts w:eastAsia="Calibri" w:cstheme="minorHAnsi"/>
          <w:kern w:val="0"/>
          <w14:ligatures w14:val="none"/>
        </w:rPr>
        <w:t xml:space="preserve"> </w:t>
      </w:r>
      <w:r w:rsidRPr="00A26C26">
        <w:rPr>
          <w:rFonts w:eastAsia="Calibri" w:cstheme="minorHAnsi"/>
          <w:kern w:val="0"/>
          <w14:ligatures w14:val="none"/>
        </w:rPr>
        <w:t>z</w:t>
      </w:r>
      <w:r w:rsidR="003B50ED">
        <w:rPr>
          <w:rFonts w:eastAsia="Calibri" w:cstheme="minorHAnsi"/>
          <w:kern w:val="0"/>
          <w14:ligatures w14:val="none"/>
        </w:rPr>
        <w:t xml:space="preserve"> </w:t>
      </w:r>
      <w:r w:rsidRPr="00A26C26">
        <w:rPr>
          <w:rFonts w:eastAsia="Calibri" w:cstheme="minorHAnsi"/>
          <w:kern w:val="0"/>
          <w14:ligatures w14:val="none"/>
        </w:rPr>
        <w:t>zakresem</w:t>
      </w:r>
      <w:r w:rsidR="003B50ED">
        <w:rPr>
          <w:rFonts w:eastAsia="Calibri" w:cstheme="minorHAnsi"/>
          <w:kern w:val="0"/>
          <w14:ligatures w14:val="none"/>
        </w:rPr>
        <w:t xml:space="preserve"> </w:t>
      </w:r>
      <w:r w:rsidRPr="00A26C26">
        <w:rPr>
          <w:rFonts w:eastAsia="Calibri" w:cstheme="minorHAnsi"/>
          <w:kern w:val="0"/>
          <w14:ligatures w14:val="none"/>
        </w:rPr>
        <w:t>przedsięwzięcia</w:t>
      </w:r>
      <w:r w:rsidR="003B50ED">
        <w:rPr>
          <w:rFonts w:eastAsia="Calibri" w:cstheme="minorHAnsi"/>
          <w:kern w:val="0"/>
          <w14:ligatures w14:val="none"/>
        </w:rPr>
        <w:t xml:space="preserve"> </w:t>
      </w:r>
      <w:bookmarkStart w:id="87" w:name="_Hlk135772995"/>
      <w:r w:rsidR="00B70083" w:rsidRPr="00A26C26">
        <w:rPr>
          <w:rFonts w:eastAsia="Calibri" w:cstheme="minorHAnsi"/>
          <w:kern w:val="0"/>
          <w14:ligatures w14:val="none"/>
        </w:rPr>
        <w:t>1.5</w:t>
      </w:r>
      <w:r w:rsidR="003B50ED">
        <w:rPr>
          <w:rFonts w:eastAsia="Calibri" w:cstheme="minorHAnsi"/>
          <w:kern w:val="0"/>
          <w14:ligatures w14:val="none"/>
        </w:rPr>
        <w:t xml:space="preserve"> </w:t>
      </w:r>
      <w:r w:rsidRPr="00A26C26">
        <w:rPr>
          <w:rFonts w:eastAsia="Calibri" w:cstheme="minorHAnsi"/>
          <w:kern w:val="0"/>
          <w14:ligatures w14:val="none"/>
        </w:rPr>
        <w:t>Wspieranie</w:t>
      </w:r>
      <w:r w:rsidR="003B50ED">
        <w:rPr>
          <w:rFonts w:eastAsia="Calibri" w:cstheme="minorHAnsi"/>
          <w:kern w:val="0"/>
          <w14:ligatures w14:val="none"/>
        </w:rPr>
        <w:t xml:space="preserve"> </w:t>
      </w:r>
      <w:r w:rsidRPr="00A26C26">
        <w:rPr>
          <w:rFonts w:eastAsia="Calibri" w:cstheme="minorHAnsi"/>
          <w:kern w:val="0"/>
          <w14:ligatures w14:val="none"/>
        </w:rPr>
        <w:t>partnerstwa,</w:t>
      </w:r>
      <w:r w:rsidR="003B50ED">
        <w:rPr>
          <w:rFonts w:eastAsia="Calibri" w:cstheme="minorHAnsi"/>
          <w:kern w:val="0"/>
          <w14:ligatures w14:val="none"/>
        </w:rPr>
        <w:t xml:space="preserve"> </w:t>
      </w:r>
      <w:r w:rsidRPr="00A26C26">
        <w:rPr>
          <w:rFonts w:eastAsia="Calibri" w:cstheme="minorHAnsi"/>
          <w:kern w:val="0"/>
          <w14:ligatures w14:val="none"/>
        </w:rPr>
        <w:t>inicjatyw</w:t>
      </w:r>
      <w:r w:rsidR="003B50ED">
        <w:rPr>
          <w:rFonts w:eastAsia="Calibri" w:cstheme="minorHAnsi"/>
          <w:kern w:val="0"/>
          <w14:ligatures w14:val="none"/>
        </w:rPr>
        <w:t xml:space="preserve"> </w:t>
      </w:r>
      <w:r w:rsidRPr="00A26C26">
        <w:rPr>
          <w:rFonts w:eastAsia="Calibri" w:cstheme="minorHAnsi"/>
          <w:kern w:val="0"/>
          <w14:ligatures w14:val="none"/>
        </w:rPr>
        <w:t>edukacyjnych</w:t>
      </w:r>
      <w:r w:rsidR="003B50ED">
        <w:rPr>
          <w:rFonts w:eastAsia="Calibri" w:cstheme="minorHAnsi"/>
          <w:kern w:val="0"/>
          <w14:ligatures w14:val="none"/>
        </w:rPr>
        <w:t xml:space="preserve"> </w:t>
      </w:r>
      <w:r w:rsidRPr="00A26C26">
        <w:rPr>
          <w:rFonts w:eastAsia="Calibri" w:cstheme="minorHAnsi"/>
          <w:kern w:val="0"/>
          <w14:ligatures w14:val="none"/>
        </w:rPr>
        <w:t>i</w:t>
      </w:r>
      <w:r w:rsidR="003B50ED">
        <w:rPr>
          <w:rFonts w:eastAsia="Calibri" w:cstheme="minorHAnsi"/>
          <w:kern w:val="0"/>
          <w14:ligatures w14:val="none"/>
        </w:rPr>
        <w:t xml:space="preserve"> </w:t>
      </w:r>
      <w:r w:rsidRPr="00A26C26">
        <w:rPr>
          <w:rFonts w:eastAsia="Calibri" w:cstheme="minorHAnsi"/>
          <w:kern w:val="0"/>
          <w14:ligatures w14:val="none"/>
        </w:rPr>
        <w:t>turystyki</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obszarze</w:t>
      </w:r>
      <w:r w:rsidR="003B50ED">
        <w:rPr>
          <w:rFonts w:eastAsia="Calibri" w:cstheme="minorHAnsi"/>
          <w:kern w:val="0"/>
          <w14:ligatures w14:val="none"/>
        </w:rPr>
        <w:t xml:space="preserve"> </w:t>
      </w:r>
      <w:r w:rsidRPr="00A26C26">
        <w:rPr>
          <w:rFonts w:eastAsia="Calibri" w:cstheme="minorHAnsi"/>
          <w:kern w:val="0"/>
          <w14:ligatures w14:val="none"/>
        </w:rPr>
        <w:t>LSR</w:t>
      </w:r>
      <w:bookmarkEnd w:id="87"/>
      <w:r w:rsidR="003B50ED">
        <w:rPr>
          <w:rFonts w:eastAsia="Calibri" w:cstheme="minorHAnsi"/>
          <w:kern w:val="0"/>
          <w14:ligatures w14:val="none"/>
        </w:rPr>
        <w:t xml:space="preserve"> </w:t>
      </w:r>
      <w:r w:rsidRPr="00A26C26">
        <w:rPr>
          <w:rFonts w:eastAsia="Calibri" w:cstheme="minorHAnsi"/>
          <w:kern w:val="0"/>
          <w14:ligatures w14:val="none"/>
        </w:rPr>
        <w:t>oraz</w:t>
      </w:r>
      <w:r w:rsidR="003B50ED">
        <w:rPr>
          <w:rFonts w:eastAsia="Calibri" w:cstheme="minorHAnsi"/>
          <w:kern w:val="0"/>
          <w14:ligatures w14:val="none"/>
        </w:rPr>
        <w:t xml:space="preserve"> </w:t>
      </w:r>
      <w:r w:rsidR="00B70083" w:rsidRPr="00A26C26">
        <w:rPr>
          <w:rFonts w:eastAsia="Calibri" w:cstheme="minorHAnsi"/>
          <w:kern w:val="0"/>
          <w14:ligatures w14:val="none"/>
        </w:rPr>
        <w:t>1.3</w:t>
      </w:r>
      <w:r w:rsidR="003B50ED">
        <w:rPr>
          <w:rFonts w:eastAsia="Calibri" w:cstheme="minorHAnsi"/>
          <w:kern w:val="0"/>
          <w14:ligatures w14:val="none"/>
        </w:rPr>
        <w:t xml:space="preserve"> </w:t>
      </w:r>
      <w:r w:rsidRPr="00A26C26">
        <w:rPr>
          <w:rFonts w:eastAsia="Calibri" w:cstheme="minorHAnsi"/>
          <w:kern w:val="0"/>
          <w14:ligatures w14:val="none"/>
        </w:rPr>
        <w:t>Ochrona</w:t>
      </w:r>
      <w:r w:rsidR="003B50ED">
        <w:rPr>
          <w:rFonts w:eastAsia="Calibri" w:cstheme="minorHAnsi"/>
          <w:kern w:val="0"/>
          <w14:ligatures w14:val="none"/>
        </w:rPr>
        <w:t xml:space="preserve"> </w:t>
      </w:r>
      <w:r w:rsidRPr="00A26C26">
        <w:rPr>
          <w:rFonts w:eastAsia="Calibri" w:cstheme="minorHAnsi"/>
          <w:kern w:val="0"/>
          <w14:ligatures w14:val="none"/>
        </w:rPr>
        <w:t>dziedzictwa</w:t>
      </w:r>
      <w:r w:rsidR="003B50ED">
        <w:rPr>
          <w:rFonts w:eastAsia="Calibri" w:cstheme="minorHAnsi"/>
          <w:kern w:val="0"/>
          <w14:ligatures w14:val="none"/>
        </w:rPr>
        <w:t xml:space="preserve"> </w:t>
      </w:r>
      <w:r w:rsidRPr="00A26C26">
        <w:rPr>
          <w:rFonts w:eastAsia="Calibri" w:cstheme="minorHAnsi"/>
          <w:kern w:val="0"/>
          <w14:ligatures w14:val="none"/>
        </w:rPr>
        <w:t>kulturowego</w:t>
      </w:r>
      <w:r w:rsidR="003B50ED">
        <w:rPr>
          <w:rFonts w:eastAsia="Calibri" w:cstheme="minorHAnsi"/>
          <w:kern w:val="0"/>
          <w14:ligatures w14:val="none"/>
        </w:rPr>
        <w:t xml:space="preserve"> </w:t>
      </w:r>
      <w:r w:rsidRPr="00A26C26">
        <w:rPr>
          <w:rFonts w:eastAsia="Calibri" w:cstheme="minorHAnsi"/>
          <w:kern w:val="0"/>
          <w14:ligatures w14:val="none"/>
        </w:rPr>
        <w:t>lub</w:t>
      </w:r>
      <w:r w:rsidR="003B50ED">
        <w:rPr>
          <w:rFonts w:eastAsia="Calibri" w:cstheme="minorHAnsi"/>
          <w:kern w:val="0"/>
          <w14:ligatures w14:val="none"/>
        </w:rPr>
        <w:t xml:space="preserve"> </w:t>
      </w:r>
      <w:r w:rsidRPr="00A26C26">
        <w:rPr>
          <w:rFonts w:eastAsia="Calibri" w:cstheme="minorHAnsi"/>
          <w:kern w:val="0"/>
          <w14:ligatures w14:val="none"/>
        </w:rPr>
        <w:t>przyrodniczego</w:t>
      </w:r>
      <w:r w:rsidR="003B50ED">
        <w:rPr>
          <w:rFonts w:eastAsia="Calibri" w:cstheme="minorHAnsi"/>
          <w:kern w:val="0"/>
          <w14:ligatures w14:val="none"/>
        </w:rPr>
        <w:t xml:space="preserve"> </w:t>
      </w:r>
      <w:r w:rsidRPr="00A26C26">
        <w:rPr>
          <w:rFonts w:eastAsia="Calibri" w:cstheme="minorHAnsi"/>
          <w:kern w:val="0"/>
          <w14:ligatures w14:val="none"/>
        </w:rPr>
        <w:t>polskiej</w:t>
      </w:r>
      <w:r w:rsidR="003B50ED">
        <w:rPr>
          <w:rFonts w:eastAsia="Calibri" w:cstheme="minorHAnsi"/>
          <w:kern w:val="0"/>
          <w14:ligatures w14:val="none"/>
        </w:rPr>
        <w:t xml:space="preserve"> </w:t>
      </w:r>
      <w:r w:rsidRPr="00A26C26">
        <w:rPr>
          <w:rFonts w:eastAsia="Calibri" w:cstheme="minorHAnsi"/>
          <w:kern w:val="0"/>
          <w14:ligatures w14:val="none"/>
        </w:rPr>
        <w:t>wsi</w:t>
      </w:r>
      <w:r w:rsidR="003B50ED">
        <w:rPr>
          <w:rFonts w:eastAsia="Calibri" w:cstheme="minorHAnsi"/>
          <w:kern w:val="0"/>
          <w14:ligatures w14:val="none"/>
        </w:rPr>
        <w:t xml:space="preserve"> </w:t>
      </w:r>
      <w:r w:rsidRPr="00A26C26">
        <w:rPr>
          <w:rFonts w:eastAsia="Calibri" w:cstheme="minorHAnsi"/>
          <w:kern w:val="0"/>
          <w14:ligatures w14:val="none"/>
        </w:rPr>
        <w:t>z</w:t>
      </w:r>
      <w:r w:rsidR="003B50ED">
        <w:rPr>
          <w:rFonts w:eastAsia="Calibri" w:cstheme="minorHAnsi"/>
          <w:kern w:val="0"/>
          <w14:ligatures w14:val="none"/>
        </w:rPr>
        <w:t xml:space="preserve"> </w:t>
      </w:r>
      <w:r w:rsidRPr="00A26C26">
        <w:rPr>
          <w:rFonts w:eastAsia="Calibri" w:cstheme="minorHAnsi"/>
          <w:kern w:val="0"/>
          <w14:ligatures w14:val="none"/>
        </w:rPr>
        <w:t>uwagi</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fakt,</w:t>
      </w:r>
      <w:r w:rsidR="003B50ED">
        <w:rPr>
          <w:rFonts w:eastAsia="Calibri" w:cstheme="minorHAnsi"/>
          <w:kern w:val="0"/>
          <w14:ligatures w14:val="none"/>
        </w:rPr>
        <w:t xml:space="preserve"> </w:t>
      </w:r>
      <w:r w:rsidRPr="00A26C26">
        <w:rPr>
          <w:rFonts w:eastAsia="Calibri" w:cstheme="minorHAnsi"/>
          <w:kern w:val="0"/>
          <w14:ligatures w14:val="none"/>
        </w:rPr>
        <w:t>iż</w:t>
      </w:r>
      <w:r w:rsidR="003B50ED">
        <w:rPr>
          <w:rFonts w:eastAsia="Calibri" w:cstheme="minorHAnsi"/>
          <w:kern w:val="0"/>
          <w14:ligatures w14:val="none"/>
        </w:rPr>
        <w:t xml:space="preserve"> </w:t>
      </w:r>
      <w:r w:rsidRPr="00A26C26">
        <w:rPr>
          <w:rFonts w:eastAsia="Calibri" w:cstheme="minorHAnsi"/>
          <w:kern w:val="0"/>
          <w14:ligatures w14:val="none"/>
        </w:rPr>
        <w:t>sam</w:t>
      </w:r>
      <w:r w:rsidR="003B50ED">
        <w:rPr>
          <w:rFonts w:eastAsia="Calibri" w:cstheme="minorHAnsi"/>
          <w:kern w:val="0"/>
          <w14:ligatures w14:val="none"/>
        </w:rPr>
        <w:t xml:space="preserve"> </w:t>
      </w:r>
      <w:r w:rsidRPr="00A26C26">
        <w:rPr>
          <w:rFonts w:eastAsia="Calibri" w:cstheme="minorHAnsi"/>
          <w:kern w:val="0"/>
          <w14:ligatures w14:val="none"/>
        </w:rPr>
        <w:t>sposób</w:t>
      </w:r>
      <w:r w:rsidR="003B50ED">
        <w:rPr>
          <w:rFonts w:eastAsia="Calibri" w:cstheme="minorHAnsi"/>
          <w:kern w:val="0"/>
          <w14:ligatures w14:val="none"/>
        </w:rPr>
        <w:t xml:space="preserve"> </w:t>
      </w:r>
      <w:r w:rsidRPr="00A26C26">
        <w:rPr>
          <w:rFonts w:eastAsia="Calibri" w:cstheme="minorHAnsi"/>
          <w:kern w:val="0"/>
          <w14:ligatures w14:val="none"/>
        </w:rPr>
        <w:t>realizacji</w:t>
      </w:r>
      <w:r w:rsidR="003B50ED">
        <w:rPr>
          <w:rFonts w:eastAsia="Calibri" w:cstheme="minorHAnsi"/>
          <w:kern w:val="0"/>
          <w14:ligatures w14:val="none"/>
        </w:rPr>
        <w:t xml:space="preserve"> </w:t>
      </w:r>
      <w:r w:rsidRPr="00A26C26">
        <w:rPr>
          <w:rFonts w:eastAsia="Calibri" w:cstheme="minorHAnsi"/>
          <w:kern w:val="0"/>
          <w14:ligatures w14:val="none"/>
        </w:rPr>
        <w:t>niejako</w:t>
      </w:r>
      <w:r w:rsidR="003B50ED">
        <w:rPr>
          <w:rFonts w:eastAsia="Calibri" w:cstheme="minorHAnsi"/>
          <w:kern w:val="0"/>
          <w14:ligatures w14:val="none"/>
        </w:rPr>
        <w:t xml:space="preserve"> </w:t>
      </w:r>
      <w:r w:rsidRPr="00A26C26">
        <w:rPr>
          <w:rFonts w:eastAsia="Calibri" w:cstheme="minorHAnsi"/>
          <w:kern w:val="0"/>
          <w14:ligatures w14:val="none"/>
        </w:rPr>
        <w:t>wymusza</w:t>
      </w:r>
      <w:r w:rsidR="003B50ED">
        <w:rPr>
          <w:rFonts w:eastAsia="Calibri" w:cstheme="minorHAnsi"/>
          <w:kern w:val="0"/>
          <w14:ligatures w14:val="none"/>
        </w:rPr>
        <w:t xml:space="preserve"> </w:t>
      </w:r>
      <w:r w:rsidRPr="00A26C26">
        <w:rPr>
          <w:rFonts w:eastAsia="Calibri" w:cstheme="minorHAnsi"/>
          <w:kern w:val="0"/>
          <w14:ligatures w14:val="none"/>
        </w:rPr>
        <w:t>współdziałanie</w:t>
      </w:r>
      <w:r w:rsidR="003B50ED">
        <w:rPr>
          <w:rFonts w:eastAsia="Calibri" w:cstheme="minorHAnsi"/>
          <w:kern w:val="0"/>
          <w14:ligatures w14:val="none"/>
        </w:rPr>
        <w:t xml:space="preserve"> </w:t>
      </w:r>
      <w:r w:rsidRPr="00A26C26">
        <w:rPr>
          <w:rFonts w:eastAsia="Calibri" w:cstheme="minorHAnsi"/>
          <w:kern w:val="0"/>
          <w14:ligatures w14:val="none"/>
        </w:rPr>
        <w:t>różnych</w:t>
      </w:r>
      <w:r w:rsidR="003B50ED">
        <w:rPr>
          <w:rFonts w:eastAsia="Calibri" w:cstheme="minorHAnsi"/>
          <w:kern w:val="0"/>
          <w14:ligatures w14:val="none"/>
        </w:rPr>
        <w:t xml:space="preserve"> </w:t>
      </w:r>
      <w:r w:rsidRPr="00A26C26">
        <w:rPr>
          <w:rFonts w:eastAsia="Calibri" w:cstheme="minorHAnsi"/>
          <w:kern w:val="0"/>
          <w14:ligatures w14:val="none"/>
        </w:rPr>
        <w:t>podmiotów</w:t>
      </w:r>
      <w:r w:rsidR="003B50ED">
        <w:rPr>
          <w:rFonts w:eastAsia="Calibri" w:cstheme="minorHAnsi"/>
          <w:kern w:val="0"/>
          <w14:ligatures w14:val="none"/>
        </w:rPr>
        <w:t xml:space="preserve"> </w:t>
      </w:r>
      <w:r w:rsidRPr="00A26C26">
        <w:rPr>
          <w:rFonts w:eastAsia="Calibri" w:cstheme="minorHAnsi"/>
          <w:kern w:val="0"/>
          <w14:ligatures w14:val="none"/>
        </w:rPr>
        <w:t>oraz</w:t>
      </w:r>
      <w:r w:rsidR="003B50ED">
        <w:rPr>
          <w:rFonts w:eastAsia="Calibri" w:cstheme="minorHAnsi"/>
          <w:kern w:val="0"/>
          <w14:ligatures w14:val="none"/>
        </w:rPr>
        <w:t xml:space="preserve"> </w:t>
      </w:r>
      <w:r w:rsidRPr="00A26C26">
        <w:rPr>
          <w:rFonts w:eastAsia="Calibri" w:cstheme="minorHAnsi"/>
          <w:kern w:val="0"/>
          <w14:ligatures w14:val="none"/>
        </w:rPr>
        <w:t>z</w:t>
      </w:r>
      <w:r w:rsidR="003B50ED">
        <w:rPr>
          <w:rFonts w:eastAsia="Calibri" w:cstheme="minorHAnsi"/>
          <w:kern w:val="0"/>
          <w14:ligatures w14:val="none"/>
        </w:rPr>
        <w:t xml:space="preserve"> </w:t>
      </w:r>
      <w:r w:rsidRPr="00A26C26">
        <w:rPr>
          <w:rFonts w:eastAsia="Calibri" w:cstheme="minorHAnsi"/>
          <w:kern w:val="0"/>
          <w14:ligatures w14:val="none"/>
        </w:rPr>
        <w:t>samego</w:t>
      </w:r>
      <w:r w:rsidR="003B50ED">
        <w:rPr>
          <w:rFonts w:eastAsia="Calibri" w:cstheme="minorHAnsi"/>
          <w:kern w:val="0"/>
          <w14:ligatures w14:val="none"/>
        </w:rPr>
        <w:t xml:space="preserve"> </w:t>
      </w:r>
      <w:r w:rsidRPr="00A26C26">
        <w:rPr>
          <w:rFonts w:eastAsia="Calibri" w:cstheme="minorHAnsi"/>
          <w:kern w:val="0"/>
          <w14:ligatures w14:val="none"/>
        </w:rPr>
        <w:t>założenia</w:t>
      </w:r>
      <w:r w:rsidR="003B50ED">
        <w:rPr>
          <w:rFonts w:eastAsia="Calibri" w:cstheme="minorHAnsi"/>
          <w:kern w:val="0"/>
          <w14:ligatures w14:val="none"/>
        </w:rPr>
        <w:t xml:space="preserve"> </w:t>
      </w:r>
      <w:r w:rsidRPr="00A26C26">
        <w:rPr>
          <w:rFonts w:eastAsia="Calibri" w:cstheme="minorHAnsi"/>
          <w:kern w:val="0"/>
          <w14:ligatures w14:val="none"/>
        </w:rPr>
        <w:t>tj.</w:t>
      </w:r>
      <w:r w:rsidR="003B50ED">
        <w:rPr>
          <w:rFonts w:eastAsia="Calibri" w:cstheme="minorHAnsi"/>
          <w:kern w:val="0"/>
          <w14:ligatures w14:val="none"/>
        </w:rPr>
        <w:t xml:space="preserve"> </w:t>
      </w:r>
      <w:r w:rsidRPr="00A26C26">
        <w:rPr>
          <w:rFonts w:eastAsia="Calibri" w:cstheme="minorHAnsi"/>
          <w:kern w:val="0"/>
          <w14:ligatures w14:val="none"/>
        </w:rPr>
        <w:t>wykorzystania</w:t>
      </w:r>
      <w:r w:rsidR="003B50ED">
        <w:rPr>
          <w:rFonts w:eastAsia="Calibri" w:cstheme="minorHAnsi"/>
          <w:kern w:val="0"/>
          <w14:ligatures w14:val="none"/>
        </w:rPr>
        <w:t xml:space="preserve"> </w:t>
      </w:r>
      <w:r w:rsidRPr="00A26C26">
        <w:rPr>
          <w:rFonts w:eastAsia="Calibri" w:cstheme="minorHAnsi"/>
          <w:kern w:val="0"/>
          <w14:ligatures w14:val="none"/>
        </w:rPr>
        <w:t>zasobów</w:t>
      </w:r>
      <w:r w:rsidR="003B50ED">
        <w:rPr>
          <w:rFonts w:eastAsia="Calibri" w:cstheme="minorHAnsi"/>
          <w:kern w:val="0"/>
          <w14:ligatures w14:val="none"/>
        </w:rPr>
        <w:t xml:space="preserve"> </w:t>
      </w:r>
      <w:r w:rsidRPr="00A26C26">
        <w:rPr>
          <w:rFonts w:eastAsia="Calibri" w:cstheme="minorHAnsi"/>
          <w:kern w:val="0"/>
          <w14:ligatures w14:val="none"/>
        </w:rPr>
        <w:t>lokalnych</w:t>
      </w:r>
      <w:r w:rsidR="003B50ED">
        <w:rPr>
          <w:rFonts w:eastAsia="Calibri" w:cstheme="minorHAnsi"/>
          <w:kern w:val="0"/>
          <w14:ligatures w14:val="none"/>
        </w:rPr>
        <w:t xml:space="preserve"> </w:t>
      </w:r>
      <w:r w:rsidRPr="00A26C26">
        <w:rPr>
          <w:rFonts w:eastAsia="Calibri" w:cstheme="minorHAnsi"/>
          <w:kern w:val="0"/>
          <w14:ligatures w14:val="none"/>
        </w:rPr>
        <w:t>i</w:t>
      </w:r>
      <w:r w:rsidR="003B50ED">
        <w:rPr>
          <w:rFonts w:eastAsia="Calibri" w:cstheme="minorHAnsi"/>
          <w:kern w:val="0"/>
          <w14:ligatures w14:val="none"/>
        </w:rPr>
        <w:t xml:space="preserve"> </w:t>
      </w:r>
      <w:r w:rsidRPr="00A26C26">
        <w:rPr>
          <w:rFonts w:eastAsia="Calibri" w:cstheme="minorHAnsi"/>
          <w:kern w:val="0"/>
          <w14:ligatures w14:val="none"/>
        </w:rPr>
        <w:t>nowoczesnych</w:t>
      </w:r>
      <w:r w:rsidR="003B50ED">
        <w:rPr>
          <w:rFonts w:eastAsia="Calibri" w:cstheme="minorHAnsi"/>
          <w:kern w:val="0"/>
          <w14:ligatures w14:val="none"/>
        </w:rPr>
        <w:t xml:space="preserve"> </w:t>
      </w:r>
      <w:r w:rsidRPr="00A26C26">
        <w:rPr>
          <w:rFonts w:eastAsia="Calibri" w:cstheme="minorHAnsi"/>
          <w:kern w:val="0"/>
          <w14:ligatures w14:val="none"/>
        </w:rPr>
        <w:t>technologii</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rzecz</w:t>
      </w:r>
      <w:r w:rsidR="003B50ED">
        <w:rPr>
          <w:rFonts w:eastAsia="Calibri" w:cstheme="minorHAnsi"/>
          <w:kern w:val="0"/>
          <w14:ligatures w14:val="none"/>
        </w:rPr>
        <w:t xml:space="preserve"> </w:t>
      </w:r>
      <w:r w:rsidRPr="00A26C26">
        <w:rPr>
          <w:rFonts w:eastAsia="Calibri" w:cstheme="minorHAnsi"/>
          <w:kern w:val="0"/>
          <w14:ligatures w14:val="none"/>
        </w:rPr>
        <w:t>zrównoważonego</w:t>
      </w:r>
      <w:r w:rsidR="003B50ED">
        <w:rPr>
          <w:rFonts w:eastAsia="Calibri" w:cstheme="minorHAnsi"/>
          <w:kern w:val="0"/>
          <w14:ligatures w14:val="none"/>
        </w:rPr>
        <w:t xml:space="preserve"> </w:t>
      </w:r>
      <w:r w:rsidRPr="00A26C26">
        <w:rPr>
          <w:rFonts w:eastAsia="Calibri" w:cstheme="minorHAnsi"/>
          <w:kern w:val="0"/>
          <w14:ligatures w14:val="none"/>
        </w:rPr>
        <w:t>rozwoju</w:t>
      </w:r>
      <w:r w:rsidR="003B50ED">
        <w:rPr>
          <w:rFonts w:eastAsia="Calibri" w:cstheme="minorHAnsi"/>
          <w:kern w:val="0"/>
          <w14:ligatures w14:val="none"/>
        </w:rPr>
        <w:t xml:space="preserve"> </w:t>
      </w:r>
      <w:r w:rsidRPr="00A26C26">
        <w:rPr>
          <w:rFonts w:eastAsia="Calibri" w:cstheme="minorHAnsi"/>
          <w:kern w:val="0"/>
          <w14:ligatures w14:val="none"/>
        </w:rPr>
        <w:t>obszarów</w:t>
      </w:r>
      <w:r w:rsidR="003B50ED">
        <w:rPr>
          <w:rFonts w:eastAsia="Calibri" w:cstheme="minorHAnsi"/>
          <w:kern w:val="0"/>
          <w14:ligatures w14:val="none"/>
        </w:rPr>
        <w:t xml:space="preserve"> </w:t>
      </w:r>
      <w:r w:rsidRPr="00A26C26">
        <w:rPr>
          <w:rFonts w:eastAsia="Calibri" w:cstheme="minorHAnsi"/>
          <w:kern w:val="0"/>
          <w14:ligatures w14:val="none"/>
        </w:rPr>
        <w:t>wiejskich</w:t>
      </w:r>
      <w:r w:rsidR="003B50ED">
        <w:rPr>
          <w:rFonts w:eastAsia="Calibri" w:cstheme="minorHAnsi"/>
          <w:kern w:val="0"/>
          <w14:ligatures w14:val="none"/>
        </w:rPr>
        <w:t xml:space="preserve"> </w:t>
      </w:r>
      <w:r w:rsidRPr="00A26C26">
        <w:rPr>
          <w:rFonts w:eastAsia="Calibri" w:cstheme="minorHAnsi"/>
          <w:kern w:val="0"/>
          <w14:ligatures w14:val="none"/>
        </w:rPr>
        <w:t>przyczynia</w:t>
      </w:r>
      <w:r w:rsidR="003B50ED">
        <w:rPr>
          <w:rFonts w:eastAsia="Calibri" w:cstheme="minorHAnsi"/>
          <w:kern w:val="0"/>
          <w14:ligatures w14:val="none"/>
        </w:rPr>
        <w:t xml:space="preserve"> </w:t>
      </w:r>
      <w:r w:rsidRPr="00A26C26">
        <w:rPr>
          <w:rFonts w:eastAsia="Calibri" w:cstheme="minorHAnsi"/>
          <w:kern w:val="0"/>
          <w14:ligatures w14:val="none"/>
        </w:rPr>
        <w:t>się</w:t>
      </w:r>
      <w:r w:rsidR="003B50ED">
        <w:rPr>
          <w:rFonts w:eastAsia="Calibri" w:cstheme="minorHAnsi"/>
          <w:kern w:val="0"/>
          <w14:ligatures w14:val="none"/>
        </w:rPr>
        <w:t xml:space="preserve"> </w:t>
      </w:r>
      <w:r w:rsidRPr="00A26C26">
        <w:rPr>
          <w:rFonts w:eastAsia="Calibri" w:cstheme="minorHAnsi"/>
          <w:kern w:val="0"/>
          <w14:ligatures w14:val="none"/>
        </w:rPr>
        <w:t>do</w:t>
      </w:r>
      <w:r w:rsidR="003B50ED">
        <w:rPr>
          <w:rFonts w:eastAsia="Calibri" w:cstheme="minorHAnsi"/>
          <w:kern w:val="0"/>
          <w14:ligatures w14:val="none"/>
        </w:rPr>
        <w:t xml:space="preserve"> </w:t>
      </w:r>
      <w:r w:rsidRPr="00A26C26">
        <w:rPr>
          <w:rFonts w:eastAsia="Calibri" w:cstheme="minorHAnsi"/>
          <w:kern w:val="0"/>
          <w14:ligatures w14:val="none"/>
        </w:rPr>
        <w:t>ochrony</w:t>
      </w:r>
      <w:r w:rsidR="003B50ED">
        <w:rPr>
          <w:rFonts w:eastAsia="Calibri" w:cstheme="minorHAnsi"/>
          <w:kern w:val="0"/>
          <w14:ligatures w14:val="none"/>
        </w:rPr>
        <w:t xml:space="preserve"> </w:t>
      </w:r>
      <w:r w:rsidRPr="00A26C26">
        <w:rPr>
          <w:rFonts w:eastAsia="Calibri" w:cstheme="minorHAnsi"/>
          <w:kern w:val="0"/>
          <w14:ligatures w14:val="none"/>
        </w:rPr>
        <w:t>dziedzictwa</w:t>
      </w:r>
      <w:r w:rsidR="003B50ED">
        <w:rPr>
          <w:rFonts w:eastAsia="Calibri" w:cstheme="minorHAnsi"/>
          <w:kern w:val="0"/>
          <w14:ligatures w14:val="none"/>
        </w:rPr>
        <w:t xml:space="preserve"> </w:t>
      </w:r>
      <w:r w:rsidRPr="00A26C26">
        <w:rPr>
          <w:rFonts w:eastAsia="Calibri" w:cstheme="minorHAnsi"/>
          <w:kern w:val="0"/>
          <w14:ligatures w14:val="none"/>
        </w:rPr>
        <w:t>kulturowego</w:t>
      </w:r>
      <w:r w:rsidR="003B50ED">
        <w:rPr>
          <w:rFonts w:eastAsia="Calibri" w:cstheme="minorHAnsi"/>
          <w:kern w:val="0"/>
          <w14:ligatures w14:val="none"/>
        </w:rPr>
        <w:t xml:space="preserve"> </w:t>
      </w:r>
      <w:r w:rsidRPr="00A26C26">
        <w:rPr>
          <w:rFonts w:eastAsia="Calibri" w:cstheme="minorHAnsi"/>
          <w:kern w:val="0"/>
          <w14:ligatures w14:val="none"/>
        </w:rPr>
        <w:t>i</w:t>
      </w:r>
      <w:r w:rsidR="003B50ED">
        <w:rPr>
          <w:rFonts w:eastAsia="Calibri" w:cstheme="minorHAnsi"/>
          <w:kern w:val="0"/>
          <w14:ligatures w14:val="none"/>
        </w:rPr>
        <w:t xml:space="preserve"> </w:t>
      </w:r>
      <w:r w:rsidRPr="00A26C26">
        <w:rPr>
          <w:rFonts w:eastAsia="Calibri" w:cstheme="minorHAnsi"/>
          <w:kern w:val="0"/>
          <w14:ligatures w14:val="none"/>
        </w:rPr>
        <w:t>przyrodniczego</w:t>
      </w:r>
      <w:r w:rsidR="003B50ED">
        <w:rPr>
          <w:rFonts w:eastAsia="Calibri" w:cstheme="minorHAnsi"/>
          <w:kern w:val="0"/>
          <w14:ligatures w14:val="none"/>
        </w:rPr>
        <w:t xml:space="preserve"> </w:t>
      </w:r>
      <w:r w:rsidRPr="00A26C26">
        <w:rPr>
          <w:rFonts w:eastAsia="Calibri" w:cstheme="minorHAnsi"/>
          <w:kern w:val="0"/>
          <w14:ligatures w14:val="none"/>
        </w:rPr>
        <w:t>polskiej</w:t>
      </w:r>
      <w:r w:rsidR="003B50ED">
        <w:rPr>
          <w:rFonts w:eastAsia="Calibri" w:cstheme="minorHAnsi"/>
          <w:kern w:val="0"/>
          <w14:ligatures w14:val="none"/>
        </w:rPr>
        <w:t xml:space="preserve"> </w:t>
      </w:r>
      <w:r w:rsidRPr="00A26C26">
        <w:rPr>
          <w:rFonts w:eastAsia="Calibri" w:cstheme="minorHAnsi"/>
          <w:kern w:val="0"/>
          <w14:ligatures w14:val="none"/>
        </w:rPr>
        <w:t>wsi.</w:t>
      </w:r>
      <w:r w:rsidR="003B50ED">
        <w:rPr>
          <w:rFonts w:eastAsia="Calibri" w:cstheme="minorHAnsi"/>
          <w:kern w:val="0"/>
          <w14:ligatures w14:val="none"/>
        </w:rPr>
        <w:t xml:space="preserve"> </w:t>
      </w:r>
    </w:p>
    <w:p w14:paraId="599D8762" w14:textId="2146FC46" w:rsidR="00B70083" w:rsidRPr="00A26C26" w:rsidRDefault="00B70083" w:rsidP="00A26C26">
      <w:pPr>
        <w:spacing w:line="276" w:lineRule="auto"/>
        <w:ind w:firstLine="284"/>
        <w:jc w:val="both"/>
        <w:rPr>
          <w:rFonts w:eastAsia="Calibri" w:cstheme="minorHAnsi"/>
          <w:kern w:val="0"/>
          <w14:ligatures w14:val="none"/>
        </w:rPr>
      </w:pPr>
      <w:r w:rsidRPr="00A26C26">
        <w:rPr>
          <w:rFonts w:eastAsia="Calibri" w:cstheme="minorHAnsi"/>
          <w:kern w:val="0"/>
          <w14:ligatures w14:val="none"/>
        </w:rPr>
        <w:t>Przedsięwzięcie</w:t>
      </w:r>
      <w:r w:rsidR="003B50ED">
        <w:rPr>
          <w:rFonts w:eastAsia="Calibri" w:cstheme="minorHAnsi"/>
          <w:kern w:val="0"/>
          <w14:ligatures w14:val="none"/>
        </w:rPr>
        <w:t xml:space="preserve"> </w:t>
      </w:r>
      <w:r w:rsidRPr="00A26C26">
        <w:rPr>
          <w:rFonts w:eastAsia="Calibri" w:cstheme="minorHAnsi"/>
          <w:kern w:val="0"/>
          <w14:ligatures w14:val="none"/>
        </w:rPr>
        <w:t>1.2</w:t>
      </w:r>
      <w:r w:rsidR="003B50ED">
        <w:rPr>
          <w:rFonts w:eastAsia="Calibri" w:cstheme="minorHAnsi"/>
          <w:kern w:val="0"/>
          <w14:ligatures w14:val="none"/>
        </w:rPr>
        <w:t xml:space="preserve"> </w:t>
      </w:r>
      <w:r w:rsidRPr="00A26C26">
        <w:rPr>
          <w:rFonts w:eastAsia="Calibri" w:cstheme="minorHAnsi"/>
          <w:kern w:val="0"/>
          <w14:ligatures w14:val="none"/>
        </w:rPr>
        <w:t>Poprawa</w:t>
      </w:r>
      <w:r w:rsidR="003B50ED">
        <w:rPr>
          <w:rFonts w:eastAsia="Calibri" w:cstheme="minorHAnsi"/>
          <w:kern w:val="0"/>
          <w14:ligatures w14:val="none"/>
        </w:rPr>
        <w:t xml:space="preserve"> </w:t>
      </w:r>
      <w:r w:rsidRPr="00A26C26">
        <w:rPr>
          <w:rFonts w:eastAsia="Calibri" w:cstheme="minorHAnsi"/>
          <w:kern w:val="0"/>
          <w14:ligatures w14:val="none"/>
        </w:rPr>
        <w:t>dostępu</w:t>
      </w:r>
      <w:r w:rsidR="003B50ED">
        <w:rPr>
          <w:rFonts w:eastAsia="Calibri" w:cstheme="minorHAnsi"/>
          <w:kern w:val="0"/>
          <w14:ligatures w14:val="none"/>
        </w:rPr>
        <w:t xml:space="preserve"> </w:t>
      </w:r>
      <w:r w:rsidRPr="00A26C26">
        <w:rPr>
          <w:rFonts w:eastAsia="Calibri" w:cstheme="minorHAnsi"/>
          <w:kern w:val="0"/>
          <w14:ligatures w14:val="none"/>
        </w:rPr>
        <w:t>do</w:t>
      </w:r>
      <w:r w:rsidR="003B50ED">
        <w:rPr>
          <w:rFonts w:eastAsia="Calibri" w:cstheme="minorHAnsi"/>
          <w:kern w:val="0"/>
          <w14:ligatures w14:val="none"/>
        </w:rPr>
        <w:t xml:space="preserve"> </w:t>
      </w:r>
      <w:r w:rsidRPr="00A26C26">
        <w:rPr>
          <w:rFonts w:eastAsia="Calibri" w:cstheme="minorHAnsi"/>
          <w:kern w:val="0"/>
          <w14:ligatures w14:val="none"/>
        </w:rPr>
        <w:t>małej</w:t>
      </w:r>
      <w:r w:rsidR="003B50ED">
        <w:rPr>
          <w:rFonts w:eastAsia="Calibri" w:cstheme="minorHAnsi"/>
          <w:kern w:val="0"/>
          <w14:ligatures w14:val="none"/>
        </w:rPr>
        <w:t xml:space="preserve"> </w:t>
      </w:r>
      <w:r w:rsidRPr="00A26C26">
        <w:rPr>
          <w:rFonts w:eastAsia="Calibri" w:cstheme="minorHAnsi"/>
          <w:kern w:val="0"/>
          <w14:ligatures w14:val="none"/>
        </w:rPr>
        <w:t>infrastruktury</w:t>
      </w:r>
      <w:r w:rsidR="003B50ED">
        <w:rPr>
          <w:rFonts w:eastAsia="Calibri" w:cstheme="minorHAnsi"/>
          <w:kern w:val="0"/>
          <w14:ligatures w14:val="none"/>
        </w:rPr>
        <w:t xml:space="preserve"> </w:t>
      </w:r>
      <w:r w:rsidRPr="00A26C26">
        <w:rPr>
          <w:rFonts w:eastAsia="Calibri" w:cstheme="minorHAnsi"/>
          <w:kern w:val="0"/>
          <w14:ligatures w14:val="none"/>
        </w:rPr>
        <w:t>publicznej</w:t>
      </w:r>
      <w:r w:rsidR="003B50ED">
        <w:rPr>
          <w:rFonts w:eastAsia="Calibri" w:cstheme="minorHAnsi"/>
          <w:kern w:val="0"/>
          <w14:ligatures w14:val="none"/>
        </w:rPr>
        <w:t xml:space="preserve"> </w:t>
      </w:r>
      <w:r w:rsidRPr="00A26C26">
        <w:rPr>
          <w:rFonts w:eastAsia="Calibri" w:cstheme="minorHAnsi"/>
          <w:kern w:val="0"/>
          <w14:ligatures w14:val="none"/>
        </w:rPr>
        <w:t>jest</w:t>
      </w:r>
      <w:r w:rsidR="003B50ED">
        <w:rPr>
          <w:rFonts w:eastAsia="Calibri" w:cstheme="minorHAnsi"/>
          <w:kern w:val="0"/>
          <w14:ligatures w14:val="none"/>
        </w:rPr>
        <w:t xml:space="preserve"> </w:t>
      </w:r>
      <w:r w:rsidRPr="00A26C26">
        <w:rPr>
          <w:rFonts w:eastAsia="Calibri" w:cstheme="minorHAnsi"/>
          <w:kern w:val="0"/>
          <w14:ligatures w14:val="none"/>
        </w:rPr>
        <w:t>komplementarne</w:t>
      </w:r>
      <w:r w:rsidR="003B50ED">
        <w:rPr>
          <w:rFonts w:eastAsia="Calibri" w:cstheme="minorHAnsi"/>
          <w:kern w:val="0"/>
          <w14:ligatures w14:val="none"/>
        </w:rPr>
        <w:t xml:space="preserve"> </w:t>
      </w:r>
      <w:r w:rsidRPr="00A26C26">
        <w:rPr>
          <w:rFonts w:eastAsia="Calibri" w:cstheme="minorHAnsi"/>
          <w:kern w:val="0"/>
          <w14:ligatures w14:val="none"/>
        </w:rPr>
        <w:t>z</w:t>
      </w:r>
      <w:r w:rsidR="003B50ED">
        <w:rPr>
          <w:rFonts w:eastAsia="Calibri" w:cstheme="minorHAnsi"/>
          <w:kern w:val="0"/>
          <w14:ligatures w14:val="none"/>
        </w:rPr>
        <w:t xml:space="preserve"> </w:t>
      </w:r>
      <w:r w:rsidRPr="00A26C26">
        <w:rPr>
          <w:rFonts w:eastAsia="Calibri" w:cstheme="minorHAnsi"/>
          <w:kern w:val="0"/>
          <w14:ligatures w14:val="none"/>
        </w:rPr>
        <w:t>zakresem</w:t>
      </w:r>
      <w:r w:rsidR="003B50ED">
        <w:rPr>
          <w:rFonts w:eastAsia="Calibri" w:cstheme="minorHAnsi"/>
          <w:kern w:val="0"/>
          <w14:ligatures w14:val="none"/>
        </w:rPr>
        <w:t xml:space="preserve"> </w:t>
      </w:r>
      <w:r w:rsidRPr="00A26C26">
        <w:rPr>
          <w:rFonts w:eastAsia="Calibri" w:cstheme="minorHAnsi"/>
          <w:kern w:val="0"/>
          <w14:ligatures w14:val="none"/>
        </w:rPr>
        <w:t>przedsięwzięcia</w:t>
      </w:r>
      <w:r w:rsidR="003B50ED">
        <w:rPr>
          <w:rFonts w:eastAsia="Calibri" w:cstheme="minorHAnsi"/>
          <w:kern w:val="0"/>
          <w14:ligatures w14:val="none"/>
        </w:rPr>
        <w:t xml:space="preserve"> </w:t>
      </w:r>
      <w:r w:rsidRPr="00A26C26">
        <w:rPr>
          <w:rFonts w:eastAsia="Calibri" w:cstheme="minorHAnsi"/>
          <w:kern w:val="0"/>
          <w14:ligatures w14:val="none"/>
        </w:rPr>
        <w:t>1.5.</w:t>
      </w:r>
      <w:r w:rsidR="003B50ED">
        <w:rPr>
          <w:rFonts w:eastAsia="Calibri" w:cstheme="minorHAnsi"/>
          <w:kern w:val="0"/>
          <w14:ligatures w14:val="none"/>
        </w:rPr>
        <w:t xml:space="preserve"> </w:t>
      </w:r>
      <w:r w:rsidRPr="00A26C26">
        <w:rPr>
          <w:rFonts w:eastAsia="Calibri" w:cstheme="minorHAnsi"/>
          <w:kern w:val="0"/>
          <w14:ligatures w14:val="none"/>
        </w:rPr>
        <w:t>wspieranie</w:t>
      </w:r>
      <w:r w:rsidR="003B50ED">
        <w:rPr>
          <w:rFonts w:eastAsia="Calibri" w:cstheme="minorHAnsi"/>
          <w:kern w:val="0"/>
          <w14:ligatures w14:val="none"/>
        </w:rPr>
        <w:t xml:space="preserve"> </w:t>
      </w:r>
      <w:r w:rsidRPr="00A26C26">
        <w:rPr>
          <w:rFonts w:eastAsia="Calibri" w:cstheme="minorHAnsi"/>
          <w:kern w:val="0"/>
          <w14:ligatures w14:val="none"/>
        </w:rPr>
        <w:t>partnerstwa,</w:t>
      </w:r>
      <w:r w:rsidR="003B50ED">
        <w:rPr>
          <w:rFonts w:eastAsia="Calibri" w:cstheme="minorHAnsi"/>
          <w:kern w:val="0"/>
          <w14:ligatures w14:val="none"/>
        </w:rPr>
        <w:t xml:space="preserve"> </w:t>
      </w:r>
      <w:r w:rsidRPr="00A26C26">
        <w:rPr>
          <w:rFonts w:eastAsia="Calibri" w:cstheme="minorHAnsi"/>
          <w:kern w:val="0"/>
          <w14:ligatures w14:val="none"/>
        </w:rPr>
        <w:t>inicjatyw</w:t>
      </w:r>
      <w:r w:rsidR="003B50ED">
        <w:rPr>
          <w:rFonts w:eastAsia="Calibri" w:cstheme="minorHAnsi"/>
          <w:kern w:val="0"/>
          <w14:ligatures w14:val="none"/>
        </w:rPr>
        <w:t xml:space="preserve"> </w:t>
      </w:r>
      <w:r w:rsidRPr="00A26C26">
        <w:rPr>
          <w:rFonts w:eastAsia="Calibri" w:cstheme="minorHAnsi"/>
          <w:kern w:val="0"/>
          <w14:ligatures w14:val="none"/>
        </w:rPr>
        <w:t>edukacyjnych</w:t>
      </w:r>
      <w:r w:rsidR="003B50ED">
        <w:rPr>
          <w:rFonts w:eastAsia="Calibri" w:cstheme="minorHAnsi"/>
          <w:kern w:val="0"/>
          <w14:ligatures w14:val="none"/>
        </w:rPr>
        <w:t xml:space="preserve"> </w:t>
      </w:r>
      <w:r w:rsidRPr="00A26C26">
        <w:rPr>
          <w:rFonts w:eastAsia="Calibri" w:cstheme="minorHAnsi"/>
          <w:kern w:val="0"/>
          <w14:ligatures w14:val="none"/>
        </w:rPr>
        <w:t>i</w:t>
      </w:r>
      <w:r w:rsidR="003B50ED">
        <w:rPr>
          <w:rFonts w:eastAsia="Calibri" w:cstheme="minorHAnsi"/>
          <w:kern w:val="0"/>
          <w14:ligatures w14:val="none"/>
        </w:rPr>
        <w:t xml:space="preserve"> </w:t>
      </w:r>
      <w:r w:rsidRPr="00A26C26">
        <w:rPr>
          <w:rFonts w:eastAsia="Calibri" w:cstheme="minorHAnsi"/>
          <w:kern w:val="0"/>
          <w14:ligatures w14:val="none"/>
        </w:rPr>
        <w:t>turystyki</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obszarze</w:t>
      </w:r>
      <w:r w:rsidR="003B50ED">
        <w:rPr>
          <w:rFonts w:eastAsia="Calibri" w:cstheme="minorHAnsi"/>
          <w:kern w:val="0"/>
          <w14:ligatures w14:val="none"/>
        </w:rPr>
        <w:t xml:space="preserve"> </w:t>
      </w:r>
      <w:r w:rsidRPr="00A26C26">
        <w:rPr>
          <w:rFonts w:eastAsia="Calibri" w:cstheme="minorHAnsi"/>
          <w:kern w:val="0"/>
          <w14:ligatures w14:val="none"/>
        </w:rPr>
        <w:t>LSR</w:t>
      </w:r>
      <w:r w:rsidR="003B50ED">
        <w:rPr>
          <w:rFonts w:eastAsia="Calibri" w:cstheme="minorHAnsi"/>
          <w:kern w:val="0"/>
          <w14:ligatures w14:val="none"/>
        </w:rPr>
        <w:t xml:space="preserve"> </w:t>
      </w:r>
      <w:r w:rsidRPr="00A26C26">
        <w:rPr>
          <w:rFonts w:eastAsia="Calibri" w:cstheme="minorHAnsi"/>
          <w:kern w:val="0"/>
          <w14:ligatures w14:val="none"/>
        </w:rPr>
        <w:t>oraz</w:t>
      </w:r>
      <w:r w:rsidR="003B50ED">
        <w:rPr>
          <w:rFonts w:eastAsia="Calibri" w:cstheme="minorHAnsi"/>
          <w:kern w:val="0"/>
          <w14:ligatures w14:val="none"/>
        </w:rPr>
        <w:t xml:space="preserve"> </w:t>
      </w:r>
      <w:r w:rsidRPr="00A26C26">
        <w:rPr>
          <w:rFonts w:eastAsia="Calibri" w:cstheme="minorHAnsi"/>
          <w:kern w:val="0"/>
          <w14:ligatures w14:val="none"/>
        </w:rPr>
        <w:t>1.4</w:t>
      </w:r>
      <w:r w:rsidR="003B50ED">
        <w:rPr>
          <w:rFonts w:eastAsia="Calibri" w:cstheme="minorHAnsi"/>
          <w:kern w:val="0"/>
          <w14:ligatures w14:val="none"/>
        </w:rPr>
        <w:t xml:space="preserve"> </w:t>
      </w:r>
      <w:r w:rsidRPr="00A26C26">
        <w:rPr>
          <w:rFonts w:eastAsia="Calibri" w:cstheme="minorHAnsi"/>
          <w:kern w:val="0"/>
          <w14:ligatures w14:val="none"/>
        </w:rPr>
        <w:t>aktywizacja</w:t>
      </w:r>
      <w:r w:rsidR="003B50ED">
        <w:rPr>
          <w:rFonts w:eastAsia="Calibri" w:cstheme="minorHAnsi"/>
          <w:kern w:val="0"/>
          <w14:ligatures w14:val="none"/>
        </w:rPr>
        <w:t xml:space="preserve"> </w:t>
      </w:r>
      <w:r w:rsidRPr="00A26C26">
        <w:rPr>
          <w:rFonts w:eastAsia="Calibri" w:cstheme="minorHAnsi"/>
          <w:kern w:val="0"/>
          <w14:ligatures w14:val="none"/>
        </w:rPr>
        <w:t>i</w:t>
      </w:r>
      <w:r w:rsidR="003B50ED">
        <w:rPr>
          <w:rFonts w:eastAsia="Calibri" w:cstheme="minorHAnsi"/>
          <w:kern w:val="0"/>
          <w14:ligatures w14:val="none"/>
        </w:rPr>
        <w:t xml:space="preserve"> </w:t>
      </w:r>
      <w:r w:rsidRPr="00A26C26">
        <w:rPr>
          <w:rFonts w:eastAsia="Calibri" w:cstheme="minorHAnsi"/>
          <w:kern w:val="0"/>
          <w14:ligatures w14:val="none"/>
        </w:rPr>
        <w:t>włączenie</w:t>
      </w:r>
      <w:r w:rsidR="003B50ED">
        <w:rPr>
          <w:rFonts w:eastAsia="Calibri" w:cstheme="minorHAnsi"/>
          <w:kern w:val="0"/>
          <w14:ligatures w14:val="none"/>
        </w:rPr>
        <w:t xml:space="preserve"> </w:t>
      </w:r>
      <w:r w:rsidRPr="00A26C26">
        <w:rPr>
          <w:rFonts w:eastAsia="Calibri" w:cstheme="minorHAnsi"/>
          <w:kern w:val="0"/>
          <w14:ligatures w14:val="none"/>
        </w:rPr>
        <w:t>społeczne</w:t>
      </w:r>
      <w:r w:rsidR="003B50ED">
        <w:rPr>
          <w:rFonts w:eastAsia="Calibri" w:cstheme="minorHAnsi"/>
          <w:kern w:val="0"/>
          <w14:ligatures w14:val="none"/>
        </w:rPr>
        <w:t xml:space="preserve"> </w:t>
      </w:r>
      <w:r w:rsidRPr="00A26C26">
        <w:rPr>
          <w:rFonts w:eastAsia="Calibri" w:cstheme="minorHAnsi"/>
          <w:kern w:val="0"/>
          <w14:ligatures w14:val="none"/>
        </w:rPr>
        <w:t>lokalnej</w:t>
      </w:r>
      <w:r w:rsidR="003B50ED">
        <w:rPr>
          <w:rFonts w:eastAsia="Calibri" w:cstheme="minorHAnsi"/>
          <w:kern w:val="0"/>
          <w14:ligatures w14:val="none"/>
        </w:rPr>
        <w:t xml:space="preserve"> </w:t>
      </w:r>
      <w:r w:rsidRPr="00A26C26">
        <w:rPr>
          <w:rFonts w:eastAsia="Calibri" w:cstheme="minorHAnsi"/>
          <w:kern w:val="0"/>
          <w14:ligatures w14:val="none"/>
        </w:rPr>
        <w:t>społeczności,</w:t>
      </w:r>
      <w:r w:rsidR="003B50ED">
        <w:rPr>
          <w:rFonts w:eastAsia="Calibri" w:cstheme="minorHAnsi"/>
          <w:kern w:val="0"/>
          <w14:ligatures w14:val="none"/>
        </w:rPr>
        <w:t xml:space="preserve"> </w:t>
      </w:r>
      <w:r w:rsidRPr="00A26C26">
        <w:rPr>
          <w:rFonts w:eastAsia="Calibri" w:cstheme="minorHAnsi"/>
          <w:kern w:val="0"/>
          <w14:ligatures w14:val="none"/>
        </w:rPr>
        <w:t>w</w:t>
      </w:r>
      <w:r w:rsidR="003B50ED">
        <w:rPr>
          <w:rFonts w:eastAsia="Calibri" w:cstheme="minorHAnsi"/>
          <w:kern w:val="0"/>
          <w14:ligatures w14:val="none"/>
        </w:rPr>
        <w:t xml:space="preserve"> </w:t>
      </w:r>
      <w:r w:rsidRPr="00A26C26">
        <w:rPr>
          <w:rFonts w:eastAsia="Calibri" w:cstheme="minorHAnsi"/>
          <w:kern w:val="0"/>
          <w14:ligatures w14:val="none"/>
        </w:rPr>
        <w:t>tym</w:t>
      </w:r>
      <w:r w:rsidR="003B50ED">
        <w:rPr>
          <w:rFonts w:eastAsia="Calibri" w:cstheme="minorHAnsi"/>
          <w:kern w:val="0"/>
          <w14:ligatures w14:val="none"/>
        </w:rPr>
        <w:t xml:space="preserve"> </w:t>
      </w:r>
      <w:r w:rsidRPr="00A26C26">
        <w:rPr>
          <w:rFonts w:eastAsia="Calibri" w:cstheme="minorHAnsi"/>
          <w:kern w:val="0"/>
          <w14:ligatures w14:val="none"/>
        </w:rPr>
        <w:t>seniorów,</w:t>
      </w:r>
      <w:r w:rsidR="003B50ED">
        <w:rPr>
          <w:rFonts w:eastAsia="Calibri" w:cstheme="minorHAnsi"/>
          <w:kern w:val="0"/>
          <w14:ligatures w14:val="none"/>
        </w:rPr>
        <w:t xml:space="preserve"> </w:t>
      </w:r>
      <w:r w:rsidRPr="00A26C26">
        <w:rPr>
          <w:rFonts w:eastAsia="Calibri" w:cstheme="minorHAnsi"/>
          <w:kern w:val="0"/>
          <w14:ligatures w14:val="none"/>
        </w:rPr>
        <w:t>ludzi</w:t>
      </w:r>
      <w:r w:rsidR="003B50ED">
        <w:rPr>
          <w:rFonts w:eastAsia="Calibri" w:cstheme="minorHAnsi"/>
          <w:kern w:val="0"/>
          <w14:ligatures w14:val="none"/>
        </w:rPr>
        <w:t xml:space="preserve"> </w:t>
      </w:r>
      <w:r w:rsidRPr="00A26C26">
        <w:rPr>
          <w:rFonts w:eastAsia="Calibri" w:cstheme="minorHAnsi"/>
          <w:kern w:val="0"/>
          <w14:ligatures w14:val="none"/>
        </w:rPr>
        <w:t>młodych</w:t>
      </w:r>
      <w:r w:rsidR="003B50ED">
        <w:rPr>
          <w:rFonts w:eastAsia="Calibri" w:cstheme="minorHAnsi"/>
          <w:kern w:val="0"/>
          <w14:ligatures w14:val="none"/>
        </w:rPr>
        <w:t xml:space="preserve"> </w:t>
      </w:r>
      <w:r w:rsidRPr="00A26C26">
        <w:rPr>
          <w:rFonts w:eastAsia="Calibri" w:cstheme="minorHAnsi"/>
          <w:kern w:val="0"/>
          <w14:ligatures w14:val="none"/>
        </w:rPr>
        <w:t>lub</w:t>
      </w:r>
      <w:r w:rsidR="003B50ED">
        <w:rPr>
          <w:rFonts w:eastAsia="Calibri" w:cstheme="minorHAnsi"/>
          <w:kern w:val="0"/>
          <w14:ligatures w14:val="none"/>
        </w:rPr>
        <w:t xml:space="preserve"> </w:t>
      </w:r>
      <w:r w:rsidRPr="00A26C26">
        <w:rPr>
          <w:rFonts w:eastAsia="Calibri" w:cstheme="minorHAnsi"/>
          <w:kern w:val="0"/>
          <w14:ligatures w14:val="none"/>
        </w:rPr>
        <w:t>osób</w:t>
      </w:r>
      <w:r w:rsidR="003B50ED">
        <w:rPr>
          <w:rFonts w:eastAsia="Calibri" w:cstheme="minorHAnsi"/>
          <w:kern w:val="0"/>
          <w14:ligatures w14:val="none"/>
        </w:rPr>
        <w:t xml:space="preserve"> </w:t>
      </w:r>
      <w:r w:rsidRPr="00A26C26">
        <w:rPr>
          <w:rFonts w:eastAsia="Calibri" w:cstheme="minorHAnsi"/>
          <w:kern w:val="0"/>
          <w14:ligatures w14:val="none"/>
        </w:rPr>
        <w:t>w</w:t>
      </w:r>
      <w:r w:rsidR="003B50ED">
        <w:rPr>
          <w:rFonts w:eastAsia="Calibri" w:cstheme="minorHAnsi"/>
          <w:kern w:val="0"/>
          <w14:ligatures w14:val="none"/>
        </w:rPr>
        <w:t xml:space="preserve"> </w:t>
      </w:r>
      <w:r w:rsidRPr="00A26C26">
        <w:rPr>
          <w:rFonts w:eastAsia="Calibri" w:cstheme="minorHAnsi"/>
          <w:kern w:val="0"/>
          <w14:ligatures w14:val="none"/>
        </w:rPr>
        <w:t>niekorzystnej</w:t>
      </w:r>
      <w:r w:rsidR="003B50ED">
        <w:rPr>
          <w:rFonts w:eastAsia="Calibri" w:cstheme="minorHAnsi"/>
          <w:kern w:val="0"/>
          <w14:ligatures w14:val="none"/>
        </w:rPr>
        <w:t xml:space="preserve"> </w:t>
      </w:r>
      <w:r w:rsidRPr="00A26C26">
        <w:rPr>
          <w:rFonts w:eastAsia="Calibri" w:cstheme="minorHAnsi"/>
          <w:kern w:val="0"/>
          <w14:ligatures w14:val="none"/>
        </w:rPr>
        <w:lastRenderedPageBreak/>
        <w:t>sytuacji</w:t>
      </w:r>
      <w:r w:rsidR="003B50ED">
        <w:rPr>
          <w:rFonts w:eastAsia="Calibri" w:cstheme="minorHAnsi"/>
          <w:kern w:val="0"/>
          <w14:ligatures w14:val="none"/>
        </w:rPr>
        <w:t xml:space="preserve"> </w:t>
      </w:r>
      <w:r w:rsidRPr="00A26C26">
        <w:rPr>
          <w:rFonts w:eastAsia="Calibri" w:cstheme="minorHAnsi"/>
          <w:kern w:val="0"/>
          <w14:ligatures w14:val="none"/>
        </w:rPr>
        <w:t>i</w:t>
      </w:r>
      <w:r w:rsidR="003B50ED">
        <w:rPr>
          <w:rFonts w:eastAsia="Calibri" w:cstheme="minorHAnsi"/>
          <w:kern w:val="0"/>
          <w14:ligatures w14:val="none"/>
        </w:rPr>
        <w:t xml:space="preserve"> </w:t>
      </w:r>
      <w:r w:rsidRPr="00A26C26">
        <w:rPr>
          <w:rFonts w:eastAsia="Calibri" w:cstheme="minorHAnsi"/>
          <w:kern w:val="0"/>
          <w14:ligatures w14:val="none"/>
        </w:rPr>
        <w:t>1.6.</w:t>
      </w:r>
      <w:r w:rsidR="003B50ED">
        <w:rPr>
          <w:rFonts w:eastAsia="Calibri" w:cstheme="minorHAnsi"/>
          <w:kern w:val="0"/>
          <w14:ligatures w14:val="none"/>
        </w:rPr>
        <w:t xml:space="preserve"> </w:t>
      </w:r>
      <w:r w:rsidRPr="00A26C26">
        <w:rPr>
          <w:rFonts w:eastAsia="Calibri" w:cstheme="minorHAnsi"/>
          <w:kern w:val="0"/>
          <w14:ligatures w14:val="none"/>
        </w:rPr>
        <w:t>integracja</w:t>
      </w:r>
      <w:r w:rsidR="003B50ED">
        <w:rPr>
          <w:rFonts w:eastAsia="Calibri" w:cstheme="minorHAnsi"/>
          <w:kern w:val="0"/>
          <w14:ligatures w14:val="none"/>
        </w:rPr>
        <w:t xml:space="preserve"> </w:t>
      </w:r>
      <w:r w:rsidRPr="00A26C26">
        <w:rPr>
          <w:rFonts w:eastAsia="Calibri" w:cstheme="minorHAnsi"/>
          <w:kern w:val="0"/>
          <w14:ligatures w14:val="none"/>
        </w:rPr>
        <w:t>społeczna</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obszarach</w:t>
      </w:r>
      <w:r w:rsidR="003B50ED">
        <w:rPr>
          <w:rFonts w:eastAsia="Calibri" w:cstheme="minorHAnsi"/>
          <w:kern w:val="0"/>
          <w14:ligatures w14:val="none"/>
        </w:rPr>
        <w:t xml:space="preserve"> </w:t>
      </w:r>
      <w:r w:rsidRPr="00A26C26">
        <w:rPr>
          <w:rFonts w:eastAsia="Calibri" w:cstheme="minorHAnsi"/>
          <w:kern w:val="0"/>
          <w14:ligatures w14:val="none"/>
        </w:rPr>
        <w:t>wiejskich</w:t>
      </w:r>
      <w:r w:rsidR="003B50ED">
        <w:rPr>
          <w:rFonts w:eastAsia="Calibri" w:cstheme="minorHAnsi"/>
          <w:kern w:val="0"/>
          <w14:ligatures w14:val="none"/>
        </w:rPr>
        <w:t xml:space="preserve"> </w:t>
      </w:r>
      <w:r w:rsidRPr="00A26C26">
        <w:rPr>
          <w:rFonts w:eastAsia="Calibri" w:cstheme="minorHAnsi"/>
          <w:kern w:val="0"/>
          <w14:ligatures w14:val="none"/>
        </w:rPr>
        <w:t>z</w:t>
      </w:r>
      <w:r w:rsidR="003B50ED">
        <w:rPr>
          <w:rFonts w:eastAsia="Calibri" w:cstheme="minorHAnsi"/>
          <w:kern w:val="0"/>
          <w14:ligatures w14:val="none"/>
        </w:rPr>
        <w:t xml:space="preserve"> </w:t>
      </w:r>
      <w:r w:rsidRPr="00A26C26">
        <w:rPr>
          <w:rFonts w:eastAsia="Calibri" w:cstheme="minorHAnsi"/>
          <w:kern w:val="0"/>
          <w14:ligatures w14:val="none"/>
        </w:rPr>
        <w:t>uwagi</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fakt,</w:t>
      </w:r>
      <w:r w:rsidR="003B50ED">
        <w:rPr>
          <w:rFonts w:eastAsia="Calibri" w:cstheme="minorHAnsi"/>
          <w:kern w:val="0"/>
          <w14:ligatures w14:val="none"/>
        </w:rPr>
        <w:t xml:space="preserve"> </w:t>
      </w:r>
      <w:r w:rsidRPr="00A26C26">
        <w:rPr>
          <w:rFonts w:eastAsia="Calibri" w:cstheme="minorHAnsi"/>
          <w:kern w:val="0"/>
          <w14:ligatures w14:val="none"/>
        </w:rPr>
        <w:t>iż</w:t>
      </w:r>
      <w:r w:rsidR="003B50ED">
        <w:rPr>
          <w:rFonts w:eastAsia="Calibri" w:cstheme="minorHAnsi"/>
          <w:kern w:val="0"/>
          <w14:ligatures w14:val="none"/>
        </w:rPr>
        <w:t xml:space="preserve"> </w:t>
      </w:r>
      <w:r w:rsidRPr="00A26C26">
        <w:rPr>
          <w:rFonts w:eastAsia="Calibri" w:cstheme="minorHAnsi"/>
          <w:kern w:val="0"/>
          <w14:ligatures w14:val="none"/>
        </w:rPr>
        <w:t>z</w:t>
      </w:r>
      <w:r w:rsidR="003B50ED">
        <w:rPr>
          <w:rFonts w:eastAsia="Calibri" w:cstheme="minorHAnsi"/>
          <w:kern w:val="0"/>
          <w14:ligatures w14:val="none"/>
        </w:rPr>
        <w:t xml:space="preserve"> </w:t>
      </w:r>
      <w:r w:rsidRPr="00A26C26">
        <w:rPr>
          <w:rFonts w:eastAsia="Calibri" w:cstheme="minorHAnsi"/>
          <w:kern w:val="0"/>
          <w14:ligatures w14:val="none"/>
        </w:rPr>
        <w:t>jednej</w:t>
      </w:r>
      <w:r w:rsidR="003B50ED">
        <w:rPr>
          <w:rFonts w:eastAsia="Calibri" w:cstheme="minorHAnsi"/>
          <w:kern w:val="0"/>
          <w14:ligatures w14:val="none"/>
        </w:rPr>
        <w:t xml:space="preserve"> </w:t>
      </w:r>
      <w:r w:rsidRPr="00A26C26">
        <w:rPr>
          <w:rFonts w:eastAsia="Calibri" w:cstheme="minorHAnsi"/>
          <w:kern w:val="0"/>
          <w14:ligatures w14:val="none"/>
        </w:rPr>
        <w:t>strony</w:t>
      </w:r>
      <w:r w:rsidR="003B50ED">
        <w:rPr>
          <w:rFonts w:eastAsia="Calibri" w:cstheme="minorHAnsi"/>
          <w:kern w:val="0"/>
          <w14:ligatures w14:val="none"/>
        </w:rPr>
        <w:t xml:space="preserve"> </w:t>
      </w:r>
      <w:r w:rsidRPr="00A26C26">
        <w:rPr>
          <w:rFonts w:eastAsia="Calibri" w:cstheme="minorHAnsi"/>
          <w:kern w:val="0"/>
          <w14:ligatures w14:val="none"/>
        </w:rPr>
        <w:t>podnosi</w:t>
      </w:r>
      <w:r w:rsidR="003B50ED">
        <w:rPr>
          <w:rFonts w:eastAsia="Calibri" w:cstheme="minorHAnsi"/>
          <w:kern w:val="0"/>
          <w14:ligatures w14:val="none"/>
        </w:rPr>
        <w:t xml:space="preserve"> </w:t>
      </w:r>
      <w:r w:rsidRPr="00A26C26">
        <w:rPr>
          <w:rFonts w:eastAsia="Calibri" w:cstheme="minorHAnsi"/>
          <w:kern w:val="0"/>
          <w14:ligatures w14:val="none"/>
        </w:rPr>
        <w:t>atrakcyjność</w:t>
      </w:r>
      <w:r w:rsidR="003B50ED">
        <w:rPr>
          <w:rFonts w:eastAsia="Calibri" w:cstheme="minorHAnsi"/>
          <w:kern w:val="0"/>
          <w14:ligatures w14:val="none"/>
        </w:rPr>
        <w:t xml:space="preserve"> </w:t>
      </w:r>
      <w:r w:rsidRPr="00A26C26">
        <w:rPr>
          <w:rFonts w:eastAsia="Calibri" w:cstheme="minorHAnsi"/>
          <w:kern w:val="0"/>
          <w14:ligatures w14:val="none"/>
        </w:rPr>
        <w:t>obszaru</w:t>
      </w:r>
      <w:r w:rsidR="003B50ED">
        <w:rPr>
          <w:rFonts w:eastAsia="Calibri" w:cstheme="minorHAnsi"/>
          <w:kern w:val="0"/>
          <w14:ligatures w14:val="none"/>
        </w:rPr>
        <w:t xml:space="preserve"> </w:t>
      </w:r>
      <w:r w:rsidRPr="00A26C26">
        <w:rPr>
          <w:rFonts w:eastAsia="Calibri" w:cstheme="minorHAnsi"/>
          <w:kern w:val="0"/>
          <w14:ligatures w14:val="none"/>
        </w:rPr>
        <w:t>pod</w:t>
      </w:r>
      <w:r w:rsidR="003B50ED">
        <w:rPr>
          <w:rFonts w:eastAsia="Calibri" w:cstheme="minorHAnsi"/>
          <w:kern w:val="0"/>
          <w14:ligatures w14:val="none"/>
        </w:rPr>
        <w:t xml:space="preserve"> </w:t>
      </w:r>
      <w:r w:rsidRPr="00A26C26">
        <w:rPr>
          <w:rFonts w:eastAsia="Calibri" w:cstheme="minorHAnsi"/>
          <w:kern w:val="0"/>
          <w14:ligatures w14:val="none"/>
        </w:rPr>
        <w:t>względem</w:t>
      </w:r>
      <w:r w:rsidR="003B50ED">
        <w:rPr>
          <w:rFonts w:eastAsia="Calibri" w:cstheme="minorHAnsi"/>
          <w:kern w:val="0"/>
          <w14:ligatures w14:val="none"/>
        </w:rPr>
        <w:t xml:space="preserve"> </w:t>
      </w:r>
      <w:r w:rsidRPr="00A26C26">
        <w:rPr>
          <w:rFonts w:eastAsia="Calibri" w:cstheme="minorHAnsi"/>
          <w:kern w:val="0"/>
          <w14:ligatures w14:val="none"/>
        </w:rPr>
        <w:t>turystycznym,</w:t>
      </w:r>
      <w:r w:rsidR="003B50ED">
        <w:rPr>
          <w:rFonts w:eastAsia="Calibri" w:cstheme="minorHAnsi"/>
          <w:kern w:val="0"/>
          <w14:ligatures w14:val="none"/>
        </w:rPr>
        <w:t xml:space="preserve"> </w:t>
      </w:r>
      <w:r w:rsidRPr="00A26C26">
        <w:rPr>
          <w:rFonts w:eastAsia="Calibri" w:cstheme="minorHAnsi"/>
          <w:kern w:val="0"/>
          <w14:ligatures w14:val="none"/>
        </w:rPr>
        <w:t>z</w:t>
      </w:r>
      <w:r w:rsidR="003B50ED">
        <w:rPr>
          <w:rFonts w:eastAsia="Calibri" w:cstheme="minorHAnsi"/>
          <w:kern w:val="0"/>
          <w14:ligatures w14:val="none"/>
        </w:rPr>
        <w:t xml:space="preserve"> </w:t>
      </w:r>
      <w:r w:rsidRPr="00A26C26">
        <w:rPr>
          <w:rFonts w:eastAsia="Calibri" w:cstheme="minorHAnsi"/>
          <w:kern w:val="0"/>
          <w14:ligatures w14:val="none"/>
        </w:rPr>
        <w:t>drugiej</w:t>
      </w:r>
      <w:r w:rsidR="003B50ED">
        <w:rPr>
          <w:rFonts w:eastAsia="Calibri" w:cstheme="minorHAnsi"/>
          <w:kern w:val="0"/>
          <w14:ligatures w14:val="none"/>
        </w:rPr>
        <w:t xml:space="preserve"> </w:t>
      </w:r>
      <w:r w:rsidRPr="00A26C26">
        <w:rPr>
          <w:rFonts w:eastAsia="Calibri" w:cstheme="minorHAnsi"/>
          <w:kern w:val="0"/>
          <w14:ligatures w14:val="none"/>
        </w:rPr>
        <w:t>stanowi</w:t>
      </w:r>
      <w:r w:rsidR="003B50ED">
        <w:rPr>
          <w:rFonts w:eastAsia="Calibri" w:cstheme="minorHAnsi"/>
          <w:kern w:val="0"/>
          <w14:ligatures w14:val="none"/>
        </w:rPr>
        <w:t xml:space="preserve"> </w:t>
      </w:r>
      <w:r w:rsidRPr="00A26C26">
        <w:rPr>
          <w:rFonts w:eastAsia="Calibri" w:cstheme="minorHAnsi"/>
          <w:kern w:val="0"/>
          <w14:ligatures w14:val="none"/>
        </w:rPr>
        <w:t>dodatkowe</w:t>
      </w:r>
      <w:r w:rsidR="003B50ED">
        <w:rPr>
          <w:rFonts w:eastAsia="Calibri" w:cstheme="minorHAnsi"/>
          <w:kern w:val="0"/>
          <w14:ligatures w14:val="none"/>
        </w:rPr>
        <w:t xml:space="preserve"> </w:t>
      </w:r>
      <w:r w:rsidRPr="00A26C26">
        <w:rPr>
          <w:rFonts w:eastAsia="Calibri" w:cstheme="minorHAnsi"/>
          <w:kern w:val="0"/>
          <w14:ligatures w14:val="none"/>
        </w:rPr>
        <w:t>narzędzie</w:t>
      </w:r>
      <w:r w:rsidR="003B50ED">
        <w:rPr>
          <w:rFonts w:eastAsia="Calibri" w:cstheme="minorHAnsi"/>
          <w:kern w:val="0"/>
          <w14:ligatures w14:val="none"/>
        </w:rPr>
        <w:t xml:space="preserve"> </w:t>
      </w:r>
      <w:r w:rsidRPr="00A26C26">
        <w:rPr>
          <w:rFonts w:eastAsia="Calibri" w:cstheme="minorHAnsi"/>
          <w:kern w:val="0"/>
          <w14:ligatures w14:val="none"/>
        </w:rPr>
        <w:t>do</w:t>
      </w:r>
      <w:r w:rsidR="003B50ED">
        <w:rPr>
          <w:rFonts w:eastAsia="Calibri" w:cstheme="minorHAnsi"/>
          <w:kern w:val="0"/>
          <w14:ligatures w14:val="none"/>
        </w:rPr>
        <w:t xml:space="preserve"> </w:t>
      </w:r>
      <w:r w:rsidRPr="00A26C26">
        <w:rPr>
          <w:rFonts w:eastAsia="Calibri" w:cstheme="minorHAnsi"/>
          <w:kern w:val="0"/>
          <w14:ligatures w14:val="none"/>
        </w:rPr>
        <w:t>działań</w:t>
      </w:r>
      <w:r w:rsidR="003B50ED">
        <w:rPr>
          <w:rFonts w:eastAsia="Calibri" w:cstheme="minorHAnsi"/>
          <w:kern w:val="0"/>
          <w14:ligatures w14:val="none"/>
        </w:rPr>
        <w:t xml:space="preserve"> </w:t>
      </w:r>
      <w:r w:rsidRPr="00A26C26">
        <w:rPr>
          <w:rFonts w:eastAsia="Calibri" w:cstheme="minorHAnsi"/>
          <w:kern w:val="0"/>
          <w14:ligatures w14:val="none"/>
        </w:rPr>
        <w:t>integracyjnych</w:t>
      </w:r>
      <w:r w:rsidR="003B50ED">
        <w:rPr>
          <w:rFonts w:eastAsia="Calibri" w:cstheme="minorHAnsi"/>
          <w:kern w:val="0"/>
          <w14:ligatures w14:val="none"/>
        </w:rPr>
        <w:t xml:space="preserve"> </w:t>
      </w:r>
      <w:r w:rsidRPr="00A26C26">
        <w:rPr>
          <w:rFonts w:eastAsia="Calibri" w:cstheme="minorHAnsi"/>
          <w:kern w:val="0"/>
          <w14:ligatures w14:val="none"/>
        </w:rPr>
        <w:t>i</w:t>
      </w:r>
      <w:r w:rsidR="003B50ED">
        <w:rPr>
          <w:rFonts w:eastAsia="Calibri" w:cstheme="minorHAnsi"/>
          <w:kern w:val="0"/>
          <w14:ligatures w14:val="none"/>
        </w:rPr>
        <w:t xml:space="preserve"> </w:t>
      </w:r>
      <w:r w:rsidRPr="00A26C26">
        <w:rPr>
          <w:rFonts w:eastAsia="Calibri" w:cstheme="minorHAnsi"/>
          <w:kern w:val="0"/>
          <w14:ligatures w14:val="none"/>
        </w:rPr>
        <w:t>aktywizacyjnych</w:t>
      </w:r>
      <w:r w:rsidR="003B50ED">
        <w:rPr>
          <w:rFonts w:eastAsia="Calibri" w:cstheme="minorHAnsi"/>
          <w:kern w:val="0"/>
          <w14:ligatures w14:val="none"/>
        </w:rPr>
        <w:t xml:space="preserve"> </w:t>
      </w:r>
      <w:r w:rsidRPr="00A26C26">
        <w:rPr>
          <w:rFonts w:eastAsia="Calibri" w:cstheme="minorHAnsi"/>
          <w:kern w:val="0"/>
          <w14:ligatures w14:val="none"/>
        </w:rPr>
        <w:t>lokalnej</w:t>
      </w:r>
      <w:r w:rsidR="003B50ED">
        <w:rPr>
          <w:rFonts w:eastAsia="Calibri" w:cstheme="minorHAnsi"/>
          <w:kern w:val="0"/>
          <w14:ligatures w14:val="none"/>
        </w:rPr>
        <w:t xml:space="preserve"> </w:t>
      </w:r>
      <w:r w:rsidRPr="00A26C26">
        <w:rPr>
          <w:rFonts w:eastAsia="Calibri" w:cstheme="minorHAnsi"/>
          <w:kern w:val="0"/>
          <w14:ligatures w14:val="none"/>
        </w:rPr>
        <w:t>społeczności.</w:t>
      </w:r>
      <w:r w:rsidR="003B50ED">
        <w:rPr>
          <w:rFonts w:eastAsia="Calibri" w:cstheme="minorHAnsi"/>
          <w:kern w:val="0"/>
          <w14:ligatures w14:val="none"/>
        </w:rPr>
        <w:t xml:space="preserve"> </w:t>
      </w:r>
    </w:p>
    <w:p w14:paraId="767D817C" w14:textId="6667750D" w:rsidR="00857736" w:rsidRDefault="00857736" w:rsidP="001B22BD">
      <w:pPr>
        <w:spacing w:line="276" w:lineRule="auto"/>
        <w:ind w:firstLine="284"/>
        <w:jc w:val="both"/>
        <w:rPr>
          <w:rFonts w:eastAsia="Calibri" w:cstheme="minorHAnsi"/>
          <w:kern w:val="0"/>
          <w14:ligatures w14:val="none"/>
        </w:rPr>
      </w:pPr>
      <w:r w:rsidRPr="00A26C26">
        <w:rPr>
          <w:rFonts w:eastAsia="Calibri" w:cstheme="minorHAnsi"/>
          <w:kern w:val="0"/>
          <w14:ligatures w14:val="none"/>
        </w:rPr>
        <w:t>Przedsięwzięcie</w:t>
      </w:r>
      <w:r w:rsidR="003B50ED">
        <w:rPr>
          <w:rFonts w:eastAsia="Calibri" w:cstheme="minorHAnsi"/>
          <w:kern w:val="0"/>
          <w14:ligatures w14:val="none"/>
        </w:rPr>
        <w:t xml:space="preserve"> </w:t>
      </w:r>
      <w:r w:rsidR="00525C90" w:rsidRPr="00A26C26">
        <w:rPr>
          <w:rFonts w:eastAsia="Calibri" w:cstheme="minorHAnsi"/>
          <w:kern w:val="0"/>
          <w14:ligatures w14:val="none"/>
        </w:rPr>
        <w:t>2</w:t>
      </w:r>
      <w:r w:rsidRPr="00A26C26">
        <w:rPr>
          <w:rFonts w:eastAsia="Calibri" w:cstheme="minorHAnsi"/>
          <w:kern w:val="0"/>
          <w14:ligatures w14:val="none"/>
        </w:rPr>
        <w:t>.1.</w:t>
      </w:r>
      <w:r w:rsidR="003B50ED">
        <w:rPr>
          <w:rFonts w:eastAsia="Calibri" w:cstheme="minorHAnsi"/>
          <w:kern w:val="0"/>
          <w14:ligatures w14:val="none"/>
        </w:rPr>
        <w:t xml:space="preserve"> </w:t>
      </w:r>
      <w:r w:rsidRPr="00A26C26">
        <w:rPr>
          <w:rFonts w:eastAsia="Calibri" w:cstheme="minorHAnsi"/>
          <w:kern w:val="0"/>
          <w14:ligatures w14:val="none"/>
        </w:rPr>
        <w:t>rozwój</w:t>
      </w:r>
      <w:r w:rsidR="003B50ED">
        <w:rPr>
          <w:rFonts w:eastAsia="Calibri" w:cstheme="minorHAnsi"/>
          <w:kern w:val="0"/>
          <w14:ligatures w14:val="none"/>
        </w:rPr>
        <w:t xml:space="preserve"> </w:t>
      </w:r>
      <w:r w:rsidR="00525C90" w:rsidRPr="00A26C26">
        <w:rPr>
          <w:rFonts w:eastAsia="Calibri" w:cstheme="minorHAnsi"/>
          <w:kern w:val="0"/>
          <w14:ligatures w14:val="none"/>
        </w:rPr>
        <w:t>pozarolniczej</w:t>
      </w:r>
      <w:r w:rsidR="003B50ED">
        <w:rPr>
          <w:rFonts w:eastAsia="Calibri" w:cstheme="minorHAnsi"/>
          <w:kern w:val="0"/>
          <w14:ligatures w14:val="none"/>
        </w:rPr>
        <w:t xml:space="preserve"> </w:t>
      </w:r>
      <w:r w:rsidR="00525C90" w:rsidRPr="00A26C26">
        <w:rPr>
          <w:rFonts w:eastAsia="Calibri" w:cstheme="minorHAnsi"/>
          <w:kern w:val="0"/>
          <w14:ligatures w14:val="none"/>
        </w:rPr>
        <w:t>działalności</w:t>
      </w:r>
      <w:r w:rsidR="003B50ED">
        <w:rPr>
          <w:rFonts w:eastAsia="Calibri" w:cstheme="minorHAnsi"/>
          <w:kern w:val="0"/>
          <w14:ligatures w14:val="none"/>
        </w:rPr>
        <w:t xml:space="preserve"> </w:t>
      </w:r>
      <w:r w:rsidR="00525C90" w:rsidRPr="00A26C26">
        <w:rPr>
          <w:rFonts w:eastAsia="Calibri" w:cstheme="minorHAnsi"/>
          <w:kern w:val="0"/>
          <w14:ligatures w14:val="none"/>
        </w:rPr>
        <w:t>gospodarczej</w:t>
      </w:r>
      <w:r w:rsidR="003B50ED">
        <w:rPr>
          <w:rFonts w:eastAsia="Calibri" w:cstheme="minorHAnsi"/>
          <w:kern w:val="0"/>
          <w14:ligatures w14:val="none"/>
        </w:rPr>
        <w:t xml:space="preserve"> </w:t>
      </w:r>
      <w:r w:rsidR="00525C90" w:rsidRPr="00A26C26">
        <w:rPr>
          <w:rFonts w:eastAsia="Calibri" w:cstheme="minorHAnsi"/>
          <w:kern w:val="0"/>
          <w14:ligatures w14:val="none"/>
        </w:rPr>
        <w:t>w</w:t>
      </w:r>
      <w:r w:rsidR="003B50ED">
        <w:rPr>
          <w:rFonts w:eastAsia="Calibri" w:cstheme="minorHAnsi"/>
          <w:kern w:val="0"/>
          <w14:ligatures w14:val="none"/>
        </w:rPr>
        <w:t xml:space="preserve"> </w:t>
      </w:r>
      <w:r w:rsidR="00525C90" w:rsidRPr="00A26C26">
        <w:rPr>
          <w:rFonts w:eastAsia="Calibri" w:cstheme="minorHAnsi"/>
          <w:kern w:val="0"/>
          <w14:ligatures w14:val="none"/>
        </w:rPr>
        <w:t>tym</w:t>
      </w:r>
      <w:r w:rsidR="003B50ED">
        <w:rPr>
          <w:rFonts w:eastAsia="Calibri" w:cstheme="minorHAnsi"/>
          <w:kern w:val="0"/>
          <w14:ligatures w14:val="none"/>
        </w:rPr>
        <w:t xml:space="preserve"> </w:t>
      </w:r>
      <w:r w:rsidR="00525C90" w:rsidRPr="00A26C26">
        <w:rPr>
          <w:rFonts w:eastAsia="Calibri" w:cstheme="minorHAnsi"/>
          <w:kern w:val="0"/>
          <w14:ligatures w14:val="none"/>
        </w:rPr>
        <w:t>gospodarstw</w:t>
      </w:r>
      <w:r w:rsidR="003B50ED">
        <w:rPr>
          <w:rFonts w:eastAsia="Calibri" w:cstheme="minorHAnsi"/>
          <w:kern w:val="0"/>
          <w14:ligatures w14:val="none"/>
        </w:rPr>
        <w:t xml:space="preserve"> </w:t>
      </w:r>
      <w:r w:rsidR="00525C90" w:rsidRPr="00A26C26">
        <w:rPr>
          <w:rFonts w:eastAsia="Calibri" w:cstheme="minorHAnsi"/>
          <w:kern w:val="0"/>
          <w14:ligatures w14:val="none"/>
        </w:rPr>
        <w:t>agroturystycznych</w:t>
      </w:r>
      <w:r w:rsidR="003B50ED">
        <w:rPr>
          <w:rFonts w:eastAsia="Calibri" w:cstheme="minorHAnsi"/>
          <w:kern w:val="0"/>
          <w14:ligatures w14:val="none"/>
        </w:rPr>
        <w:t xml:space="preserve"> </w:t>
      </w:r>
      <w:r w:rsidR="00E737ED">
        <w:rPr>
          <w:rFonts w:eastAsia="Calibri" w:cstheme="minorHAnsi"/>
          <w:kern w:val="0"/>
          <w14:ligatures w14:val="none"/>
        </w:rPr>
        <w:t xml:space="preserve">                         </w:t>
      </w:r>
      <w:r w:rsidR="00525C90" w:rsidRPr="00A26C26">
        <w:rPr>
          <w:rFonts w:eastAsia="Calibri" w:cstheme="minorHAnsi"/>
          <w:kern w:val="0"/>
          <w14:ligatures w14:val="none"/>
        </w:rPr>
        <w:t>i</w:t>
      </w:r>
      <w:r w:rsidR="003B50ED">
        <w:rPr>
          <w:rFonts w:eastAsia="Calibri" w:cstheme="minorHAnsi"/>
          <w:kern w:val="0"/>
          <w14:ligatures w14:val="none"/>
        </w:rPr>
        <w:t xml:space="preserve"> </w:t>
      </w:r>
      <w:r w:rsidR="00525C90" w:rsidRPr="00A26C26">
        <w:rPr>
          <w:rFonts w:eastAsia="Calibri" w:cstheme="minorHAnsi"/>
          <w:kern w:val="0"/>
          <w14:ligatures w14:val="none"/>
        </w:rPr>
        <w:t>zagród</w:t>
      </w:r>
      <w:r w:rsidR="003B50ED">
        <w:rPr>
          <w:rFonts w:eastAsia="Calibri" w:cstheme="minorHAnsi"/>
          <w:kern w:val="0"/>
          <w14:ligatures w14:val="none"/>
        </w:rPr>
        <w:t xml:space="preserve"> </w:t>
      </w:r>
      <w:r w:rsidR="00525C90" w:rsidRPr="00A26C26">
        <w:rPr>
          <w:rFonts w:eastAsia="Calibri" w:cstheme="minorHAnsi"/>
          <w:kern w:val="0"/>
          <w14:ligatures w14:val="none"/>
        </w:rPr>
        <w:t>edukacyjnych</w:t>
      </w:r>
      <w:r w:rsidR="003B50ED">
        <w:rPr>
          <w:rFonts w:eastAsia="Calibri" w:cstheme="minorHAnsi"/>
          <w:kern w:val="0"/>
          <w14:ligatures w14:val="none"/>
        </w:rPr>
        <w:t xml:space="preserve"> </w:t>
      </w:r>
      <w:r w:rsidRPr="00A26C26">
        <w:rPr>
          <w:rFonts w:eastAsia="Calibri" w:cstheme="minorHAnsi"/>
          <w:kern w:val="0"/>
          <w14:ligatures w14:val="none"/>
        </w:rPr>
        <w:t>jest</w:t>
      </w:r>
      <w:r w:rsidR="003B50ED">
        <w:rPr>
          <w:rFonts w:eastAsia="Calibri" w:cstheme="minorHAnsi"/>
          <w:kern w:val="0"/>
          <w14:ligatures w14:val="none"/>
        </w:rPr>
        <w:t xml:space="preserve"> </w:t>
      </w:r>
      <w:r w:rsidRPr="00A26C26">
        <w:rPr>
          <w:rFonts w:eastAsia="Calibri" w:cstheme="minorHAnsi"/>
          <w:kern w:val="0"/>
          <w14:ligatures w14:val="none"/>
        </w:rPr>
        <w:t>komplementarne</w:t>
      </w:r>
      <w:r w:rsidR="003B50ED">
        <w:rPr>
          <w:rFonts w:eastAsia="Calibri" w:cstheme="minorHAnsi"/>
          <w:kern w:val="0"/>
          <w14:ligatures w14:val="none"/>
        </w:rPr>
        <w:t xml:space="preserve"> </w:t>
      </w:r>
      <w:r w:rsidRPr="00A26C26">
        <w:rPr>
          <w:rFonts w:eastAsia="Calibri" w:cstheme="minorHAnsi"/>
          <w:kern w:val="0"/>
          <w14:ligatures w14:val="none"/>
        </w:rPr>
        <w:t>w</w:t>
      </w:r>
      <w:r w:rsidR="003B50ED">
        <w:rPr>
          <w:rFonts w:eastAsia="Calibri" w:cstheme="minorHAnsi"/>
          <w:kern w:val="0"/>
          <w14:ligatures w14:val="none"/>
        </w:rPr>
        <w:t xml:space="preserve"> </w:t>
      </w:r>
      <w:r w:rsidRPr="00A26C26">
        <w:rPr>
          <w:rFonts w:eastAsia="Calibri" w:cstheme="minorHAnsi"/>
          <w:kern w:val="0"/>
          <w14:ligatures w14:val="none"/>
        </w:rPr>
        <w:t>zakresem</w:t>
      </w:r>
      <w:r w:rsidR="003B50ED">
        <w:rPr>
          <w:rFonts w:eastAsia="Calibri" w:cstheme="minorHAnsi"/>
          <w:kern w:val="0"/>
          <w14:ligatures w14:val="none"/>
        </w:rPr>
        <w:t xml:space="preserve"> </w:t>
      </w:r>
      <w:r w:rsidRPr="00A26C26">
        <w:rPr>
          <w:rFonts w:eastAsia="Calibri" w:cstheme="minorHAnsi"/>
          <w:kern w:val="0"/>
          <w14:ligatures w14:val="none"/>
        </w:rPr>
        <w:t>realizacji</w:t>
      </w:r>
      <w:r w:rsidR="003B50ED">
        <w:rPr>
          <w:rFonts w:eastAsia="Calibri" w:cstheme="minorHAnsi"/>
          <w:kern w:val="0"/>
          <w14:ligatures w14:val="none"/>
        </w:rPr>
        <w:t xml:space="preserve"> </w:t>
      </w:r>
      <w:r w:rsidRPr="00A26C26">
        <w:rPr>
          <w:rFonts w:eastAsia="Calibri" w:cstheme="minorHAnsi"/>
          <w:kern w:val="0"/>
          <w14:ligatures w14:val="none"/>
        </w:rPr>
        <w:t>przedsięwzięć</w:t>
      </w:r>
      <w:r w:rsidR="003B50ED">
        <w:rPr>
          <w:rFonts w:eastAsia="Calibri" w:cstheme="minorHAnsi"/>
          <w:kern w:val="0"/>
          <w14:ligatures w14:val="none"/>
        </w:rPr>
        <w:t xml:space="preserve"> </w:t>
      </w:r>
      <w:r w:rsidR="00525C90" w:rsidRPr="00A26C26">
        <w:rPr>
          <w:rFonts w:eastAsia="Calibri" w:cstheme="minorHAnsi"/>
          <w:kern w:val="0"/>
          <w14:ligatures w14:val="none"/>
        </w:rPr>
        <w:t>1.4.</w:t>
      </w:r>
      <w:r w:rsidR="003B50ED">
        <w:rPr>
          <w:rFonts w:eastAsia="Calibri" w:cstheme="minorHAnsi"/>
          <w:kern w:val="0"/>
          <w14:ligatures w14:val="none"/>
        </w:rPr>
        <w:t xml:space="preserve"> </w:t>
      </w:r>
      <w:r w:rsidR="00525C90" w:rsidRPr="00A26C26">
        <w:rPr>
          <w:rFonts w:eastAsia="Calibri" w:cstheme="minorHAnsi"/>
          <w:kern w:val="0"/>
          <w14:ligatures w14:val="none"/>
        </w:rPr>
        <w:t>aktywizacja</w:t>
      </w:r>
      <w:r w:rsidR="003B50ED">
        <w:rPr>
          <w:rFonts w:eastAsia="Calibri" w:cstheme="minorHAnsi"/>
          <w:kern w:val="0"/>
          <w14:ligatures w14:val="none"/>
        </w:rPr>
        <w:t xml:space="preserve"> </w:t>
      </w:r>
      <w:r w:rsidR="00525C90" w:rsidRPr="00A26C26">
        <w:rPr>
          <w:rFonts w:eastAsia="Calibri" w:cstheme="minorHAnsi"/>
          <w:kern w:val="0"/>
          <w14:ligatures w14:val="none"/>
        </w:rPr>
        <w:t>i</w:t>
      </w:r>
      <w:r w:rsidR="003B50ED">
        <w:rPr>
          <w:rFonts w:eastAsia="Calibri" w:cstheme="minorHAnsi"/>
          <w:kern w:val="0"/>
          <w14:ligatures w14:val="none"/>
        </w:rPr>
        <w:t xml:space="preserve"> </w:t>
      </w:r>
      <w:r w:rsidR="00525C90" w:rsidRPr="00A26C26">
        <w:rPr>
          <w:rFonts w:eastAsia="Calibri" w:cstheme="minorHAnsi"/>
          <w:kern w:val="0"/>
          <w14:ligatures w14:val="none"/>
        </w:rPr>
        <w:t>włączenie</w:t>
      </w:r>
      <w:r w:rsidR="003B50ED">
        <w:rPr>
          <w:rFonts w:eastAsia="Calibri" w:cstheme="minorHAnsi"/>
          <w:kern w:val="0"/>
          <w14:ligatures w14:val="none"/>
        </w:rPr>
        <w:t xml:space="preserve"> </w:t>
      </w:r>
      <w:r w:rsidR="00525C90" w:rsidRPr="00A26C26">
        <w:rPr>
          <w:rFonts w:eastAsia="Calibri" w:cstheme="minorHAnsi"/>
          <w:kern w:val="0"/>
          <w14:ligatures w14:val="none"/>
        </w:rPr>
        <w:t>społeczne</w:t>
      </w:r>
      <w:r w:rsidR="003B50ED">
        <w:rPr>
          <w:rFonts w:eastAsia="Calibri" w:cstheme="minorHAnsi"/>
          <w:kern w:val="0"/>
          <w14:ligatures w14:val="none"/>
        </w:rPr>
        <w:t xml:space="preserve"> </w:t>
      </w:r>
      <w:r w:rsidR="00525C90" w:rsidRPr="00A26C26">
        <w:rPr>
          <w:rFonts w:eastAsia="Calibri" w:cstheme="minorHAnsi"/>
          <w:kern w:val="0"/>
          <w14:ligatures w14:val="none"/>
        </w:rPr>
        <w:t>lokalnej</w:t>
      </w:r>
      <w:r w:rsidR="003B50ED">
        <w:rPr>
          <w:rFonts w:eastAsia="Calibri" w:cstheme="minorHAnsi"/>
          <w:kern w:val="0"/>
          <w14:ligatures w14:val="none"/>
        </w:rPr>
        <w:t xml:space="preserve"> </w:t>
      </w:r>
      <w:r w:rsidR="00525C90" w:rsidRPr="00A26C26">
        <w:rPr>
          <w:rFonts w:eastAsia="Calibri" w:cstheme="minorHAnsi"/>
          <w:kern w:val="0"/>
          <w14:ligatures w14:val="none"/>
        </w:rPr>
        <w:t>społeczności,</w:t>
      </w:r>
      <w:r w:rsidR="003B50ED">
        <w:rPr>
          <w:rFonts w:eastAsia="Calibri" w:cstheme="minorHAnsi"/>
          <w:kern w:val="0"/>
          <w14:ligatures w14:val="none"/>
        </w:rPr>
        <w:t xml:space="preserve"> </w:t>
      </w:r>
      <w:r w:rsidR="00525C90" w:rsidRPr="00A26C26">
        <w:rPr>
          <w:rFonts w:eastAsia="Calibri" w:cstheme="minorHAnsi"/>
          <w:kern w:val="0"/>
          <w14:ligatures w14:val="none"/>
        </w:rPr>
        <w:t>w</w:t>
      </w:r>
      <w:r w:rsidR="003B50ED">
        <w:rPr>
          <w:rFonts w:eastAsia="Calibri" w:cstheme="minorHAnsi"/>
          <w:kern w:val="0"/>
          <w14:ligatures w14:val="none"/>
        </w:rPr>
        <w:t xml:space="preserve"> </w:t>
      </w:r>
      <w:r w:rsidR="00525C90" w:rsidRPr="00A26C26">
        <w:rPr>
          <w:rFonts w:eastAsia="Calibri" w:cstheme="minorHAnsi"/>
          <w:kern w:val="0"/>
          <w14:ligatures w14:val="none"/>
        </w:rPr>
        <w:t>tym</w:t>
      </w:r>
      <w:r w:rsidR="003B50ED">
        <w:rPr>
          <w:rFonts w:eastAsia="Calibri" w:cstheme="minorHAnsi"/>
          <w:kern w:val="0"/>
          <w14:ligatures w14:val="none"/>
        </w:rPr>
        <w:t xml:space="preserve"> </w:t>
      </w:r>
      <w:r w:rsidR="00525C90" w:rsidRPr="00A26C26">
        <w:rPr>
          <w:rFonts w:eastAsia="Calibri" w:cstheme="minorHAnsi"/>
          <w:kern w:val="0"/>
          <w14:ligatures w14:val="none"/>
        </w:rPr>
        <w:t>seniorów,</w:t>
      </w:r>
      <w:r w:rsidR="003B50ED">
        <w:rPr>
          <w:rFonts w:eastAsia="Calibri" w:cstheme="minorHAnsi"/>
          <w:kern w:val="0"/>
          <w14:ligatures w14:val="none"/>
        </w:rPr>
        <w:t xml:space="preserve"> </w:t>
      </w:r>
      <w:r w:rsidR="00525C90" w:rsidRPr="00A26C26">
        <w:rPr>
          <w:rFonts w:eastAsia="Calibri" w:cstheme="minorHAnsi"/>
          <w:kern w:val="0"/>
          <w14:ligatures w14:val="none"/>
        </w:rPr>
        <w:t>ludzi</w:t>
      </w:r>
      <w:r w:rsidR="003B50ED">
        <w:rPr>
          <w:rFonts w:eastAsia="Calibri" w:cstheme="minorHAnsi"/>
          <w:kern w:val="0"/>
          <w14:ligatures w14:val="none"/>
        </w:rPr>
        <w:t xml:space="preserve"> </w:t>
      </w:r>
      <w:r w:rsidR="00525C90" w:rsidRPr="00A26C26">
        <w:rPr>
          <w:rFonts w:eastAsia="Calibri" w:cstheme="minorHAnsi"/>
          <w:kern w:val="0"/>
          <w14:ligatures w14:val="none"/>
        </w:rPr>
        <w:t>młodych</w:t>
      </w:r>
      <w:r w:rsidR="003B50ED">
        <w:rPr>
          <w:rFonts w:eastAsia="Calibri" w:cstheme="minorHAnsi"/>
          <w:kern w:val="0"/>
          <w14:ligatures w14:val="none"/>
        </w:rPr>
        <w:t xml:space="preserve"> </w:t>
      </w:r>
      <w:r w:rsidR="00525C90" w:rsidRPr="00A26C26">
        <w:rPr>
          <w:rFonts w:eastAsia="Calibri" w:cstheme="minorHAnsi"/>
          <w:kern w:val="0"/>
          <w14:ligatures w14:val="none"/>
        </w:rPr>
        <w:t>lub</w:t>
      </w:r>
      <w:r w:rsidR="003B50ED">
        <w:rPr>
          <w:rFonts w:eastAsia="Calibri" w:cstheme="minorHAnsi"/>
          <w:kern w:val="0"/>
          <w14:ligatures w14:val="none"/>
        </w:rPr>
        <w:t xml:space="preserve"> </w:t>
      </w:r>
      <w:r w:rsidR="00525C90" w:rsidRPr="00A26C26">
        <w:rPr>
          <w:rFonts w:eastAsia="Calibri" w:cstheme="minorHAnsi"/>
          <w:kern w:val="0"/>
          <w14:ligatures w14:val="none"/>
        </w:rPr>
        <w:t>osób</w:t>
      </w:r>
      <w:r w:rsidR="003B50ED">
        <w:rPr>
          <w:rFonts w:eastAsia="Calibri" w:cstheme="minorHAnsi"/>
          <w:kern w:val="0"/>
          <w14:ligatures w14:val="none"/>
        </w:rPr>
        <w:t xml:space="preserve"> </w:t>
      </w:r>
      <w:r w:rsidR="00525C90" w:rsidRPr="00A26C26">
        <w:rPr>
          <w:rFonts w:eastAsia="Calibri" w:cstheme="minorHAnsi"/>
          <w:kern w:val="0"/>
          <w14:ligatures w14:val="none"/>
        </w:rPr>
        <w:t>w</w:t>
      </w:r>
      <w:r w:rsidR="003B50ED">
        <w:rPr>
          <w:rFonts w:eastAsia="Calibri" w:cstheme="minorHAnsi"/>
          <w:kern w:val="0"/>
          <w14:ligatures w14:val="none"/>
        </w:rPr>
        <w:t xml:space="preserve"> </w:t>
      </w:r>
      <w:r w:rsidR="00525C90" w:rsidRPr="00A26C26">
        <w:rPr>
          <w:rFonts w:eastAsia="Calibri" w:cstheme="minorHAnsi"/>
          <w:kern w:val="0"/>
          <w14:ligatures w14:val="none"/>
        </w:rPr>
        <w:t>niekorzystnej</w:t>
      </w:r>
      <w:r w:rsidR="003B50ED">
        <w:rPr>
          <w:rFonts w:eastAsia="Calibri" w:cstheme="minorHAnsi"/>
          <w:kern w:val="0"/>
          <w14:ligatures w14:val="none"/>
        </w:rPr>
        <w:t xml:space="preserve"> </w:t>
      </w:r>
      <w:r w:rsidR="00525C90" w:rsidRPr="00A26C26">
        <w:rPr>
          <w:rFonts w:eastAsia="Calibri" w:cstheme="minorHAnsi"/>
          <w:kern w:val="0"/>
          <w14:ligatures w14:val="none"/>
        </w:rPr>
        <w:t>sytuacji</w:t>
      </w:r>
      <w:r w:rsidR="003B50ED">
        <w:rPr>
          <w:rFonts w:eastAsia="Calibri" w:cstheme="minorHAnsi"/>
          <w:kern w:val="0"/>
          <w14:ligatures w14:val="none"/>
        </w:rPr>
        <w:t xml:space="preserve"> </w:t>
      </w:r>
      <w:r w:rsidR="00525C90" w:rsidRPr="00A26C26">
        <w:rPr>
          <w:rFonts w:eastAsia="Calibri" w:cstheme="minorHAnsi"/>
          <w:kern w:val="0"/>
          <w14:ligatures w14:val="none"/>
        </w:rPr>
        <w:t>z</w:t>
      </w:r>
      <w:r w:rsidR="003B50ED">
        <w:rPr>
          <w:rFonts w:eastAsia="Calibri" w:cstheme="minorHAnsi"/>
          <w:kern w:val="0"/>
          <w14:ligatures w14:val="none"/>
        </w:rPr>
        <w:t xml:space="preserve"> </w:t>
      </w:r>
      <w:r w:rsidR="00525C90" w:rsidRPr="00A26C26">
        <w:rPr>
          <w:rFonts w:eastAsia="Calibri" w:cstheme="minorHAnsi"/>
          <w:kern w:val="0"/>
          <w14:ligatures w14:val="none"/>
        </w:rPr>
        <w:t>uwagi</w:t>
      </w:r>
      <w:r w:rsidR="003B50ED">
        <w:rPr>
          <w:rFonts w:eastAsia="Calibri" w:cstheme="minorHAnsi"/>
          <w:kern w:val="0"/>
          <w14:ligatures w14:val="none"/>
        </w:rPr>
        <w:t xml:space="preserve"> </w:t>
      </w:r>
      <w:r w:rsidR="00525C90" w:rsidRPr="00A26C26">
        <w:rPr>
          <w:rFonts w:eastAsia="Calibri" w:cstheme="minorHAnsi"/>
          <w:kern w:val="0"/>
          <w14:ligatures w14:val="none"/>
        </w:rPr>
        <w:t>na</w:t>
      </w:r>
      <w:r w:rsidR="003B50ED">
        <w:rPr>
          <w:rFonts w:eastAsia="Calibri" w:cstheme="minorHAnsi"/>
          <w:kern w:val="0"/>
          <w14:ligatures w14:val="none"/>
        </w:rPr>
        <w:t xml:space="preserve"> </w:t>
      </w:r>
      <w:r w:rsidR="00525C90" w:rsidRPr="00A26C26">
        <w:rPr>
          <w:rFonts w:eastAsia="Calibri" w:cstheme="minorHAnsi"/>
          <w:kern w:val="0"/>
          <w14:ligatures w14:val="none"/>
        </w:rPr>
        <w:t>tworzone</w:t>
      </w:r>
      <w:r w:rsidR="003B50ED">
        <w:rPr>
          <w:rFonts w:eastAsia="Calibri" w:cstheme="minorHAnsi"/>
          <w:kern w:val="0"/>
          <w14:ligatures w14:val="none"/>
        </w:rPr>
        <w:t xml:space="preserve"> </w:t>
      </w:r>
      <w:r w:rsidR="00525C90" w:rsidRPr="00A26C26">
        <w:rPr>
          <w:rFonts w:eastAsia="Calibri" w:cstheme="minorHAnsi"/>
          <w:kern w:val="0"/>
          <w14:ligatures w14:val="none"/>
        </w:rPr>
        <w:t>miejsca</w:t>
      </w:r>
      <w:r w:rsidR="003B50ED">
        <w:rPr>
          <w:rFonts w:eastAsia="Calibri" w:cstheme="minorHAnsi"/>
          <w:kern w:val="0"/>
          <w14:ligatures w14:val="none"/>
        </w:rPr>
        <w:t xml:space="preserve"> </w:t>
      </w:r>
      <w:r w:rsidR="00525C90" w:rsidRPr="00A26C26">
        <w:rPr>
          <w:rFonts w:eastAsia="Calibri" w:cstheme="minorHAnsi"/>
          <w:kern w:val="0"/>
          <w14:ligatures w14:val="none"/>
        </w:rPr>
        <w:t>pracy,</w:t>
      </w:r>
      <w:r w:rsidR="003B50ED">
        <w:rPr>
          <w:rFonts w:eastAsia="Calibri" w:cstheme="minorHAnsi"/>
          <w:kern w:val="0"/>
          <w14:ligatures w14:val="none"/>
        </w:rPr>
        <w:t xml:space="preserve"> </w:t>
      </w:r>
      <w:r w:rsidR="00525C90" w:rsidRPr="00A26C26">
        <w:rPr>
          <w:rFonts w:eastAsia="Calibri" w:cstheme="minorHAnsi"/>
          <w:kern w:val="0"/>
          <w14:ligatures w14:val="none"/>
        </w:rPr>
        <w:t>które</w:t>
      </w:r>
      <w:r w:rsidR="003B50ED">
        <w:rPr>
          <w:rFonts w:eastAsia="Calibri" w:cstheme="minorHAnsi"/>
          <w:kern w:val="0"/>
          <w14:ligatures w14:val="none"/>
        </w:rPr>
        <w:t xml:space="preserve"> </w:t>
      </w:r>
      <w:r w:rsidR="00525C90" w:rsidRPr="00A26C26">
        <w:rPr>
          <w:rFonts w:eastAsia="Calibri" w:cstheme="minorHAnsi"/>
          <w:kern w:val="0"/>
          <w14:ligatures w14:val="none"/>
        </w:rPr>
        <w:t>mogą</w:t>
      </w:r>
      <w:r w:rsidR="003B50ED">
        <w:rPr>
          <w:rFonts w:eastAsia="Calibri" w:cstheme="minorHAnsi"/>
          <w:kern w:val="0"/>
          <w14:ligatures w14:val="none"/>
        </w:rPr>
        <w:t xml:space="preserve"> </w:t>
      </w:r>
      <w:r w:rsidR="00525C90" w:rsidRPr="00A26C26">
        <w:rPr>
          <w:rFonts w:eastAsia="Calibri" w:cstheme="minorHAnsi"/>
          <w:kern w:val="0"/>
          <w14:ligatures w14:val="none"/>
        </w:rPr>
        <w:t>być</w:t>
      </w:r>
      <w:r w:rsidR="003B50ED">
        <w:rPr>
          <w:rFonts w:eastAsia="Calibri" w:cstheme="minorHAnsi"/>
          <w:kern w:val="0"/>
          <w14:ligatures w14:val="none"/>
        </w:rPr>
        <w:t xml:space="preserve"> </w:t>
      </w:r>
      <w:r w:rsidR="00525C90" w:rsidRPr="00A26C26">
        <w:rPr>
          <w:rFonts w:eastAsia="Calibri" w:cstheme="minorHAnsi"/>
          <w:kern w:val="0"/>
          <w14:ligatures w14:val="none"/>
        </w:rPr>
        <w:t>dedykowane</w:t>
      </w:r>
      <w:r w:rsidR="003B50ED">
        <w:rPr>
          <w:rFonts w:eastAsia="Calibri" w:cstheme="minorHAnsi"/>
          <w:kern w:val="0"/>
          <w14:ligatures w14:val="none"/>
        </w:rPr>
        <w:t xml:space="preserve"> </w:t>
      </w:r>
      <w:r w:rsidR="00525C90" w:rsidRPr="00A26C26">
        <w:rPr>
          <w:rFonts w:eastAsia="Calibri" w:cstheme="minorHAnsi"/>
          <w:kern w:val="0"/>
          <w14:ligatures w14:val="none"/>
        </w:rPr>
        <w:t>szczególnie</w:t>
      </w:r>
      <w:r w:rsidR="003B50ED">
        <w:rPr>
          <w:rFonts w:eastAsia="Calibri" w:cstheme="minorHAnsi"/>
          <w:kern w:val="0"/>
          <w14:ligatures w14:val="none"/>
        </w:rPr>
        <w:t xml:space="preserve"> </w:t>
      </w:r>
      <w:r w:rsidR="00525C90" w:rsidRPr="00A26C26">
        <w:rPr>
          <w:rFonts w:eastAsia="Calibri" w:cstheme="minorHAnsi"/>
          <w:kern w:val="0"/>
          <w14:ligatures w14:val="none"/>
        </w:rPr>
        <w:t>ludziom</w:t>
      </w:r>
      <w:r w:rsidR="003B50ED">
        <w:rPr>
          <w:rFonts w:eastAsia="Calibri" w:cstheme="minorHAnsi"/>
          <w:kern w:val="0"/>
          <w14:ligatures w14:val="none"/>
        </w:rPr>
        <w:t xml:space="preserve"> </w:t>
      </w:r>
      <w:r w:rsidR="00525C90" w:rsidRPr="00A26C26">
        <w:rPr>
          <w:rFonts w:eastAsia="Calibri" w:cstheme="minorHAnsi"/>
          <w:kern w:val="0"/>
          <w14:ligatures w14:val="none"/>
        </w:rPr>
        <w:t>młodym</w:t>
      </w:r>
      <w:r w:rsidR="003B50ED">
        <w:rPr>
          <w:rFonts w:eastAsia="Calibri" w:cstheme="minorHAnsi"/>
          <w:kern w:val="0"/>
          <w14:ligatures w14:val="none"/>
        </w:rPr>
        <w:t xml:space="preserve"> </w:t>
      </w:r>
      <w:r w:rsidR="00924C29" w:rsidRPr="00A26C26">
        <w:rPr>
          <w:rFonts w:eastAsia="Calibri" w:cstheme="minorHAnsi"/>
          <w:kern w:val="0"/>
          <w14:ligatures w14:val="none"/>
        </w:rPr>
        <w:t>co</w:t>
      </w:r>
      <w:r w:rsidR="003B50ED">
        <w:rPr>
          <w:rFonts w:eastAsia="Calibri" w:cstheme="minorHAnsi"/>
          <w:kern w:val="0"/>
          <w14:ligatures w14:val="none"/>
        </w:rPr>
        <w:t xml:space="preserve"> </w:t>
      </w:r>
      <w:r w:rsidR="00924C29" w:rsidRPr="00A26C26">
        <w:rPr>
          <w:rFonts w:eastAsia="Calibri" w:cstheme="minorHAnsi"/>
          <w:kern w:val="0"/>
          <w14:ligatures w14:val="none"/>
        </w:rPr>
        <w:t>w</w:t>
      </w:r>
      <w:r w:rsidR="003B50ED">
        <w:rPr>
          <w:rFonts w:eastAsia="Calibri" w:cstheme="minorHAnsi"/>
          <w:kern w:val="0"/>
          <w14:ligatures w14:val="none"/>
        </w:rPr>
        <w:t xml:space="preserve"> </w:t>
      </w:r>
      <w:r w:rsidR="00924C29" w:rsidRPr="00A26C26">
        <w:rPr>
          <w:rFonts w:eastAsia="Calibri" w:cstheme="minorHAnsi"/>
          <w:kern w:val="0"/>
          <w14:ligatures w14:val="none"/>
        </w:rPr>
        <w:t>przyszłości</w:t>
      </w:r>
      <w:r w:rsidR="003B50ED">
        <w:rPr>
          <w:rFonts w:eastAsia="Calibri" w:cstheme="minorHAnsi"/>
          <w:kern w:val="0"/>
          <w14:ligatures w14:val="none"/>
        </w:rPr>
        <w:t xml:space="preserve"> </w:t>
      </w:r>
      <w:r w:rsidR="00924C29" w:rsidRPr="00A26C26">
        <w:rPr>
          <w:rFonts w:eastAsia="Calibri" w:cstheme="minorHAnsi"/>
          <w:kern w:val="0"/>
          <w14:ligatures w14:val="none"/>
        </w:rPr>
        <w:t>ograniczy</w:t>
      </w:r>
      <w:r w:rsidR="003B50ED">
        <w:rPr>
          <w:rFonts w:eastAsia="Calibri" w:cstheme="minorHAnsi"/>
          <w:kern w:val="0"/>
          <w14:ligatures w14:val="none"/>
        </w:rPr>
        <w:t xml:space="preserve"> </w:t>
      </w:r>
      <w:r w:rsidR="00924C29" w:rsidRPr="00A26C26">
        <w:rPr>
          <w:rFonts w:eastAsia="Calibri" w:cstheme="minorHAnsi"/>
          <w:kern w:val="0"/>
          <w14:ligatures w14:val="none"/>
        </w:rPr>
        <w:t>migracje</w:t>
      </w:r>
      <w:r w:rsidR="003B50ED">
        <w:rPr>
          <w:rFonts w:eastAsia="Calibri" w:cstheme="minorHAnsi"/>
          <w:kern w:val="0"/>
          <w14:ligatures w14:val="none"/>
        </w:rPr>
        <w:t xml:space="preserve"> </w:t>
      </w:r>
      <w:r w:rsidR="00924C29" w:rsidRPr="00A26C26">
        <w:rPr>
          <w:rFonts w:eastAsia="Calibri" w:cstheme="minorHAnsi"/>
          <w:kern w:val="0"/>
          <w14:ligatures w14:val="none"/>
        </w:rPr>
        <w:t>do</w:t>
      </w:r>
      <w:r w:rsidR="003B50ED">
        <w:rPr>
          <w:rFonts w:eastAsia="Calibri" w:cstheme="minorHAnsi"/>
          <w:kern w:val="0"/>
          <w14:ligatures w14:val="none"/>
        </w:rPr>
        <w:t xml:space="preserve"> </w:t>
      </w:r>
      <w:r w:rsidR="00924C29" w:rsidRPr="00A26C26">
        <w:rPr>
          <w:rFonts w:eastAsia="Calibri" w:cstheme="minorHAnsi"/>
          <w:kern w:val="0"/>
          <w14:ligatures w14:val="none"/>
        </w:rPr>
        <w:t>miast.</w:t>
      </w:r>
      <w:r w:rsidR="003B50ED">
        <w:rPr>
          <w:rFonts w:eastAsia="Calibri" w:cstheme="minorHAnsi"/>
          <w:kern w:val="0"/>
          <w14:ligatures w14:val="none"/>
        </w:rPr>
        <w:t xml:space="preserve"> </w:t>
      </w:r>
      <w:r w:rsidR="00924C29" w:rsidRPr="00A26C26">
        <w:rPr>
          <w:rFonts w:eastAsia="Calibri" w:cstheme="minorHAnsi"/>
          <w:kern w:val="0"/>
          <w14:ligatures w14:val="none"/>
        </w:rPr>
        <w:t>Jest</w:t>
      </w:r>
      <w:r w:rsidR="003B50ED">
        <w:rPr>
          <w:rFonts w:eastAsia="Calibri" w:cstheme="minorHAnsi"/>
          <w:kern w:val="0"/>
          <w14:ligatures w14:val="none"/>
        </w:rPr>
        <w:t xml:space="preserve"> </w:t>
      </w:r>
      <w:r w:rsidR="00924C29" w:rsidRPr="00A26C26">
        <w:rPr>
          <w:rFonts w:eastAsia="Calibri" w:cstheme="minorHAnsi"/>
          <w:kern w:val="0"/>
          <w14:ligatures w14:val="none"/>
        </w:rPr>
        <w:t>również</w:t>
      </w:r>
      <w:r w:rsidR="003B50ED">
        <w:rPr>
          <w:rFonts w:eastAsia="Calibri" w:cstheme="minorHAnsi"/>
          <w:kern w:val="0"/>
          <w14:ligatures w14:val="none"/>
        </w:rPr>
        <w:t xml:space="preserve"> </w:t>
      </w:r>
      <w:r w:rsidR="00924C29" w:rsidRPr="00A26C26">
        <w:rPr>
          <w:rFonts w:eastAsia="Calibri" w:cstheme="minorHAnsi"/>
          <w:kern w:val="0"/>
          <w14:ligatures w14:val="none"/>
        </w:rPr>
        <w:t>komplementarne</w:t>
      </w:r>
      <w:r w:rsidR="003B50ED">
        <w:rPr>
          <w:rFonts w:eastAsia="Calibri" w:cstheme="minorHAnsi"/>
          <w:kern w:val="0"/>
          <w14:ligatures w14:val="none"/>
        </w:rPr>
        <w:t xml:space="preserve"> </w:t>
      </w:r>
      <w:r w:rsidR="00924C29" w:rsidRPr="00A26C26">
        <w:rPr>
          <w:rFonts w:eastAsia="Calibri" w:cstheme="minorHAnsi"/>
          <w:kern w:val="0"/>
          <w14:ligatures w14:val="none"/>
        </w:rPr>
        <w:t>z</w:t>
      </w:r>
      <w:r w:rsidR="003B50ED">
        <w:rPr>
          <w:rFonts w:eastAsia="Calibri" w:cstheme="minorHAnsi"/>
          <w:kern w:val="0"/>
          <w14:ligatures w14:val="none"/>
        </w:rPr>
        <w:t xml:space="preserve"> </w:t>
      </w:r>
      <w:r w:rsidR="00924C29" w:rsidRPr="00A26C26">
        <w:rPr>
          <w:rFonts w:cstheme="minorHAnsi"/>
        </w:rPr>
        <w:t>zakresem</w:t>
      </w:r>
      <w:r w:rsidR="003B50ED">
        <w:rPr>
          <w:rFonts w:cstheme="minorHAnsi"/>
        </w:rPr>
        <w:t xml:space="preserve"> </w:t>
      </w:r>
      <w:r w:rsidR="00924C29" w:rsidRPr="00A26C26">
        <w:rPr>
          <w:rFonts w:cstheme="minorHAnsi"/>
        </w:rPr>
        <w:t>przedsięwzięcia</w:t>
      </w:r>
      <w:r w:rsidR="003B50ED">
        <w:rPr>
          <w:rFonts w:cstheme="minorHAnsi"/>
        </w:rPr>
        <w:t xml:space="preserve"> </w:t>
      </w:r>
      <w:r w:rsidR="00924C29" w:rsidRPr="00A26C26">
        <w:rPr>
          <w:rFonts w:cstheme="minorHAnsi"/>
        </w:rPr>
        <w:t>1.3</w:t>
      </w:r>
      <w:r w:rsidR="003B50ED">
        <w:rPr>
          <w:rFonts w:cstheme="minorHAnsi"/>
        </w:rPr>
        <w:t xml:space="preserve"> </w:t>
      </w:r>
      <w:r w:rsidR="00924C29" w:rsidRPr="00A26C26">
        <w:rPr>
          <w:rFonts w:cstheme="minorHAnsi"/>
        </w:rPr>
        <w:t>o</w:t>
      </w:r>
      <w:r w:rsidR="00924C29" w:rsidRPr="00A26C26">
        <w:rPr>
          <w:rFonts w:eastAsia="Calibri" w:cstheme="minorHAnsi"/>
          <w:kern w:val="0"/>
          <w14:ligatures w14:val="none"/>
        </w:rPr>
        <w:t>chrona</w:t>
      </w:r>
      <w:r w:rsidR="003B50ED">
        <w:rPr>
          <w:rFonts w:eastAsia="Calibri" w:cstheme="minorHAnsi"/>
          <w:kern w:val="0"/>
          <w14:ligatures w14:val="none"/>
        </w:rPr>
        <w:t xml:space="preserve"> </w:t>
      </w:r>
      <w:r w:rsidR="00924C29" w:rsidRPr="00A26C26">
        <w:rPr>
          <w:rFonts w:eastAsia="Calibri" w:cstheme="minorHAnsi"/>
          <w:kern w:val="0"/>
          <w14:ligatures w14:val="none"/>
        </w:rPr>
        <w:t>dziedzictwa</w:t>
      </w:r>
      <w:r w:rsidR="003B50ED">
        <w:rPr>
          <w:rFonts w:eastAsia="Calibri" w:cstheme="minorHAnsi"/>
          <w:kern w:val="0"/>
          <w14:ligatures w14:val="none"/>
        </w:rPr>
        <w:t xml:space="preserve"> </w:t>
      </w:r>
      <w:r w:rsidR="00924C29" w:rsidRPr="00A26C26">
        <w:rPr>
          <w:rFonts w:eastAsia="Calibri" w:cstheme="minorHAnsi"/>
          <w:kern w:val="0"/>
          <w14:ligatures w14:val="none"/>
        </w:rPr>
        <w:t>kulturowego</w:t>
      </w:r>
      <w:r w:rsidR="003B50ED">
        <w:rPr>
          <w:rFonts w:eastAsia="Calibri" w:cstheme="minorHAnsi"/>
          <w:kern w:val="0"/>
          <w14:ligatures w14:val="none"/>
        </w:rPr>
        <w:t xml:space="preserve"> </w:t>
      </w:r>
      <w:r w:rsidR="00924C29" w:rsidRPr="00A26C26">
        <w:rPr>
          <w:rFonts w:eastAsia="Calibri" w:cstheme="minorHAnsi"/>
          <w:kern w:val="0"/>
          <w14:ligatures w14:val="none"/>
        </w:rPr>
        <w:t>lub</w:t>
      </w:r>
      <w:r w:rsidR="003B50ED">
        <w:rPr>
          <w:rFonts w:eastAsia="Calibri" w:cstheme="minorHAnsi"/>
          <w:kern w:val="0"/>
          <w14:ligatures w14:val="none"/>
        </w:rPr>
        <w:t xml:space="preserve"> </w:t>
      </w:r>
      <w:r w:rsidR="00924C29" w:rsidRPr="00A26C26">
        <w:rPr>
          <w:rFonts w:eastAsia="Calibri" w:cstheme="minorHAnsi"/>
          <w:kern w:val="0"/>
          <w14:ligatures w14:val="none"/>
        </w:rPr>
        <w:t>przyrodniczego</w:t>
      </w:r>
      <w:r w:rsidR="003B50ED">
        <w:rPr>
          <w:rFonts w:eastAsia="Calibri" w:cstheme="minorHAnsi"/>
          <w:kern w:val="0"/>
          <w14:ligatures w14:val="none"/>
        </w:rPr>
        <w:t xml:space="preserve"> </w:t>
      </w:r>
      <w:r w:rsidR="00924C29" w:rsidRPr="00A26C26">
        <w:rPr>
          <w:rFonts w:eastAsia="Calibri" w:cstheme="minorHAnsi"/>
          <w:kern w:val="0"/>
          <w14:ligatures w14:val="none"/>
        </w:rPr>
        <w:t>polskiej</w:t>
      </w:r>
      <w:r w:rsidR="003B50ED">
        <w:rPr>
          <w:rFonts w:eastAsia="Calibri" w:cstheme="minorHAnsi"/>
          <w:kern w:val="0"/>
          <w14:ligatures w14:val="none"/>
        </w:rPr>
        <w:t xml:space="preserve"> </w:t>
      </w:r>
      <w:r w:rsidR="00924C29" w:rsidRPr="00A26C26">
        <w:rPr>
          <w:rFonts w:eastAsia="Calibri" w:cstheme="minorHAnsi"/>
          <w:kern w:val="0"/>
          <w14:ligatures w14:val="none"/>
        </w:rPr>
        <w:t>wsi</w:t>
      </w:r>
      <w:r w:rsidR="003B50ED">
        <w:rPr>
          <w:rFonts w:eastAsia="Calibri" w:cstheme="minorHAnsi"/>
          <w:kern w:val="0"/>
          <w14:ligatures w14:val="none"/>
        </w:rPr>
        <w:t xml:space="preserve"> </w:t>
      </w:r>
      <w:r w:rsidR="00924C29" w:rsidRPr="00A26C26">
        <w:rPr>
          <w:rFonts w:eastAsia="Calibri" w:cstheme="minorHAnsi"/>
          <w:kern w:val="0"/>
          <w14:ligatures w14:val="none"/>
        </w:rPr>
        <w:t>z</w:t>
      </w:r>
      <w:r w:rsidR="003B50ED">
        <w:rPr>
          <w:rFonts w:eastAsia="Calibri" w:cstheme="minorHAnsi"/>
          <w:kern w:val="0"/>
          <w14:ligatures w14:val="none"/>
        </w:rPr>
        <w:t xml:space="preserve"> </w:t>
      </w:r>
      <w:r w:rsidR="00924C29" w:rsidRPr="00A26C26">
        <w:rPr>
          <w:rFonts w:eastAsia="Calibri" w:cstheme="minorHAnsi"/>
          <w:kern w:val="0"/>
          <w14:ligatures w14:val="none"/>
        </w:rPr>
        <w:t>uwagi</w:t>
      </w:r>
      <w:r w:rsidR="003B50ED">
        <w:rPr>
          <w:rFonts w:eastAsia="Calibri" w:cstheme="minorHAnsi"/>
          <w:kern w:val="0"/>
          <w14:ligatures w14:val="none"/>
        </w:rPr>
        <w:t xml:space="preserve"> </w:t>
      </w:r>
      <w:r w:rsidR="00924C29" w:rsidRPr="00A26C26">
        <w:rPr>
          <w:rFonts w:eastAsia="Calibri" w:cstheme="minorHAnsi"/>
          <w:kern w:val="0"/>
          <w14:ligatures w14:val="none"/>
        </w:rPr>
        <w:t>na</w:t>
      </w:r>
      <w:r w:rsidR="003B50ED">
        <w:rPr>
          <w:rFonts w:eastAsia="Calibri" w:cstheme="minorHAnsi"/>
          <w:kern w:val="0"/>
          <w14:ligatures w14:val="none"/>
        </w:rPr>
        <w:t xml:space="preserve"> </w:t>
      </w:r>
      <w:r w:rsidR="00924C29" w:rsidRPr="00A26C26">
        <w:rPr>
          <w:rFonts w:eastAsia="Calibri" w:cstheme="minorHAnsi"/>
          <w:kern w:val="0"/>
          <w14:ligatures w14:val="none"/>
        </w:rPr>
        <w:t>fakt,</w:t>
      </w:r>
      <w:r w:rsidR="003B50ED">
        <w:rPr>
          <w:rFonts w:eastAsia="Calibri" w:cstheme="minorHAnsi"/>
          <w:kern w:val="0"/>
          <w14:ligatures w14:val="none"/>
        </w:rPr>
        <w:t xml:space="preserve"> </w:t>
      </w:r>
      <w:r w:rsidR="00924C29" w:rsidRPr="00A26C26">
        <w:rPr>
          <w:rFonts w:eastAsia="Calibri" w:cstheme="minorHAnsi"/>
          <w:kern w:val="0"/>
          <w14:ligatures w14:val="none"/>
        </w:rPr>
        <w:t>iż</w:t>
      </w:r>
      <w:r w:rsidR="003B50ED">
        <w:rPr>
          <w:rFonts w:eastAsia="Calibri" w:cstheme="minorHAnsi"/>
          <w:kern w:val="0"/>
          <w14:ligatures w14:val="none"/>
        </w:rPr>
        <w:t xml:space="preserve"> </w:t>
      </w:r>
      <w:r w:rsidR="00924C29" w:rsidRPr="00A26C26">
        <w:rPr>
          <w:rFonts w:eastAsia="Calibri" w:cstheme="minorHAnsi"/>
          <w:kern w:val="0"/>
          <w14:ligatures w14:val="none"/>
        </w:rPr>
        <w:t>to</w:t>
      </w:r>
      <w:r w:rsidR="003B50ED">
        <w:rPr>
          <w:rFonts w:eastAsia="Calibri" w:cstheme="minorHAnsi"/>
          <w:kern w:val="0"/>
          <w14:ligatures w14:val="none"/>
        </w:rPr>
        <w:t xml:space="preserve"> </w:t>
      </w:r>
      <w:r w:rsidR="00924C29" w:rsidRPr="00A26C26">
        <w:rPr>
          <w:rFonts w:eastAsia="Calibri" w:cstheme="minorHAnsi"/>
          <w:kern w:val="0"/>
          <w14:ligatures w14:val="none"/>
        </w:rPr>
        <w:t>bardzo</w:t>
      </w:r>
      <w:r w:rsidR="003B50ED">
        <w:rPr>
          <w:rFonts w:eastAsia="Calibri" w:cstheme="minorHAnsi"/>
          <w:kern w:val="0"/>
          <w14:ligatures w14:val="none"/>
        </w:rPr>
        <w:t xml:space="preserve"> </w:t>
      </w:r>
      <w:r w:rsidR="00924C29" w:rsidRPr="00A26C26">
        <w:rPr>
          <w:rFonts w:eastAsia="Calibri" w:cstheme="minorHAnsi"/>
          <w:kern w:val="0"/>
          <w14:ligatures w14:val="none"/>
        </w:rPr>
        <w:t>często</w:t>
      </w:r>
      <w:r w:rsidR="003B50ED">
        <w:rPr>
          <w:rFonts w:eastAsia="Calibri" w:cstheme="minorHAnsi"/>
          <w:kern w:val="0"/>
          <w14:ligatures w14:val="none"/>
        </w:rPr>
        <w:t xml:space="preserve"> </w:t>
      </w:r>
      <w:r w:rsidR="00924C29" w:rsidRPr="00A26C26">
        <w:rPr>
          <w:rFonts w:eastAsia="Calibri" w:cstheme="minorHAnsi"/>
          <w:kern w:val="0"/>
          <w14:ligatures w14:val="none"/>
        </w:rPr>
        <w:t>gospodarstwa</w:t>
      </w:r>
      <w:r w:rsidR="003B50ED">
        <w:rPr>
          <w:rFonts w:eastAsia="Calibri" w:cstheme="minorHAnsi"/>
          <w:kern w:val="0"/>
          <w14:ligatures w14:val="none"/>
        </w:rPr>
        <w:t xml:space="preserve"> </w:t>
      </w:r>
      <w:r w:rsidR="00924C29" w:rsidRPr="00A26C26">
        <w:rPr>
          <w:rFonts w:eastAsia="Calibri" w:cstheme="minorHAnsi"/>
          <w:kern w:val="0"/>
          <w14:ligatures w14:val="none"/>
        </w:rPr>
        <w:t>agroturystyczne</w:t>
      </w:r>
      <w:r w:rsidR="003B50ED">
        <w:rPr>
          <w:rFonts w:eastAsia="Calibri" w:cstheme="minorHAnsi"/>
          <w:kern w:val="0"/>
          <w14:ligatures w14:val="none"/>
        </w:rPr>
        <w:t xml:space="preserve"> </w:t>
      </w:r>
      <w:r w:rsidR="00924C29" w:rsidRPr="00A26C26">
        <w:rPr>
          <w:rFonts w:eastAsia="Calibri" w:cstheme="minorHAnsi"/>
          <w:kern w:val="0"/>
          <w14:ligatures w14:val="none"/>
        </w:rPr>
        <w:t>i</w:t>
      </w:r>
      <w:r w:rsidR="003B50ED">
        <w:rPr>
          <w:rFonts w:eastAsia="Calibri" w:cstheme="minorHAnsi"/>
          <w:kern w:val="0"/>
          <w14:ligatures w14:val="none"/>
        </w:rPr>
        <w:t xml:space="preserve"> </w:t>
      </w:r>
      <w:r w:rsidR="00924C29" w:rsidRPr="00A26C26">
        <w:rPr>
          <w:rFonts w:eastAsia="Calibri" w:cstheme="minorHAnsi"/>
          <w:kern w:val="0"/>
          <w14:ligatures w14:val="none"/>
        </w:rPr>
        <w:t>zagrody</w:t>
      </w:r>
      <w:r w:rsidR="003B50ED">
        <w:rPr>
          <w:rFonts w:eastAsia="Calibri" w:cstheme="minorHAnsi"/>
          <w:kern w:val="0"/>
          <w14:ligatures w14:val="none"/>
        </w:rPr>
        <w:t xml:space="preserve"> </w:t>
      </w:r>
      <w:r w:rsidR="00924C29" w:rsidRPr="00A26C26">
        <w:rPr>
          <w:rFonts w:eastAsia="Calibri" w:cstheme="minorHAnsi"/>
          <w:kern w:val="0"/>
          <w14:ligatures w14:val="none"/>
        </w:rPr>
        <w:t>edukacyjne</w:t>
      </w:r>
      <w:r w:rsidR="003B50ED">
        <w:rPr>
          <w:rFonts w:eastAsia="Calibri" w:cstheme="minorHAnsi"/>
          <w:kern w:val="0"/>
          <w14:ligatures w14:val="none"/>
        </w:rPr>
        <w:t xml:space="preserve"> </w:t>
      </w:r>
      <w:r w:rsidR="00924C29" w:rsidRPr="00A26C26">
        <w:rPr>
          <w:rFonts w:eastAsia="Calibri" w:cstheme="minorHAnsi"/>
          <w:kern w:val="0"/>
          <w14:ligatures w14:val="none"/>
        </w:rPr>
        <w:t>kultywują</w:t>
      </w:r>
      <w:r w:rsidR="003B50ED">
        <w:rPr>
          <w:rFonts w:eastAsia="Calibri" w:cstheme="minorHAnsi"/>
          <w:kern w:val="0"/>
          <w14:ligatures w14:val="none"/>
        </w:rPr>
        <w:t xml:space="preserve"> </w:t>
      </w:r>
      <w:r w:rsidR="00924C29" w:rsidRPr="00A26C26">
        <w:rPr>
          <w:rFonts w:eastAsia="Calibri" w:cstheme="minorHAnsi"/>
          <w:kern w:val="0"/>
          <w14:ligatures w14:val="none"/>
        </w:rPr>
        <w:t>i</w:t>
      </w:r>
      <w:r w:rsidR="003B50ED">
        <w:rPr>
          <w:rFonts w:eastAsia="Calibri" w:cstheme="minorHAnsi"/>
          <w:kern w:val="0"/>
          <w14:ligatures w14:val="none"/>
        </w:rPr>
        <w:t xml:space="preserve"> </w:t>
      </w:r>
      <w:r w:rsidR="00924C29" w:rsidRPr="00A26C26">
        <w:rPr>
          <w:rFonts w:eastAsia="Calibri" w:cstheme="minorHAnsi"/>
          <w:kern w:val="0"/>
          <w14:ligatures w14:val="none"/>
        </w:rPr>
        <w:t>promują</w:t>
      </w:r>
      <w:r w:rsidR="003B50ED">
        <w:rPr>
          <w:rFonts w:eastAsia="Calibri" w:cstheme="minorHAnsi"/>
          <w:kern w:val="0"/>
          <w14:ligatures w14:val="none"/>
        </w:rPr>
        <w:t xml:space="preserve"> </w:t>
      </w:r>
      <w:r w:rsidR="00924C29" w:rsidRPr="00A26C26">
        <w:rPr>
          <w:rFonts w:eastAsia="Calibri" w:cstheme="minorHAnsi"/>
          <w:kern w:val="0"/>
          <w14:ligatures w14:val="none"/>
        </w:rPr>
        <w:t>dziedzictwo</w:t>
      </w:r>
      <w:r w:rsidR="003B50ED">
        <w:rPr>
          <w:rFonts w:eastAsia="Calibri" w:cstheme="minorHAnsi"/>
          <w:kern w:val="0"/>
          <w14:ligatures w14:val="none"/>
        </w:rPr>
        <w:t xml:space="preserve"> </w:t>
      </w:r>
      <w:r w:rsidR="00924C29" w:rsidRPr="00A26C26">
        <w:rPr>
          <w:rFonts w:eastAsia="Calibri" w:cstheme="minorHAnsi"/>
          <w:kern w:val="0"/>
          <w14:ligatures w14:val="none"/>
        </w:rPr>
        <w:t>kulturowe</w:t>
      </w:r>
      <w:r w:rsidR="003B50ED">
        <w:rPr>
          <w:rFonts w:eastAsia="Calibri" w:cstheme="minorHAnsi"/>
          <w:kern w:val="0"/>
          <w14:ligatures w14:val="none"/>
        </w:rPr>
        <w:t xml:space="preserve"> </w:t>
      </w:r>
      <w:r w:rsidR="00924C29" w:rsidRPr="00A26C26">
        <w:rPr>
          <w:rFonts w:eastAsia="Calibri" w:cstheme="minorHAnsi"/>
          <w:kern w:val="0"/>
          <w14:ligatures w14:val="none"/>
        </w:rPr>
        <w:t>obszarów</w:t>
      </w:r>
      <w:r w:rsidR="003B50ED">
        <w:rPr>
          <w:rFonts w:eastAsia="Calibri" w:cstheme="minorHAnsi"/>
          <w:kern w:val="0"/>
          <w14:ligatures w14:val="none"/>
        </w:rPr>
        <w:t xml:space="preserve"> </w:t>
      </w:r>
      <w:r w:rsidR="00924C29" w:rsidRPr="00A26C26">
        <w:rPr>
          <w:rFonts w:eastAsia="Calibri" w:cstheme="minorHAnsi"/>
          <w:kern w:val="0"/>
          <w14:ligatures w14:val="none"/>
        </w:rPr>
        <w:t>wiejskich.</w:t>
      </w:r>
    </w:p>
    <w:p w14:paraId="216841BC" w14:textId="77777777" w:rsidR="001B22BD" w:rsidRPr="00A26C26" w:rsidRDefault="001B22BD" w:rsidP="001B22BD">
      <w:pPr>
        <w:spacing w:line="276" w:lineRule="auto"/>
        <w:ind w:firstLine="284"/>
        <w:jc w:val="both"/>
        <w:rPr>
          <w:rFonts w:eastAsia="Calibri" w:cstheme="minorHAnsi"/>
          <w:kern w:val="0"/>
          <w14:ligatures w14:val="none"/>
        </w:rPr>
      </w:pPr>
    </w:p>
    <w:p w14:paraId="47DD6B81" w14:textId="6BAA76AE" w:rsidR="00857736" w:rsidRPr="00A26C26" w:rsidRDefault="00857736" w:rsidP="008A412F">
      <w:pPr>
        <w:pStyle w:val="Nagwek2"/>
        <w:numPr>
          <w:ilvl w:val="0"/>
          <w:numId w:val="21"/>
        </w:numPr>
        <w:spacing w:before="0" w:line="276" w:lineRule="auto"/>
        <w:rPr>
          <w:rFonts w:asciiTheme="minorHAnsi" w:eastAsia="Times New Roman" w:hAnsiTheme="minorHAnsi" w:cstheme="minorHAnsi"/>
          <w:b/>
          <w:bCs/>
          <w:sz w:val="22"/>
          <w:szCs w:val="22"/>
        </w:rPr>
      </w:pPr>
      <w:bookmarkStart w:id="88" w:name="_Toc135619160"/>
      <w:bookmarkStart w:id="89" w:name="_Toc136212426"/>
      <w:bookmarkStart w:id="90" w:name="_Toc136944423"/>
      <w:r w:rsidRPr="00A26C26">
        <w:rPr>
          <w:rFonts w:asciiTheme="minorHAnsi" w:eastAsia="Times New Roman" w:hAnsiTheme="minorHAnsi" w:cstheme="minorHAnsi"/>
          <w:b/>
          <w:bCs/>
          <w:sz w:val="22"/>
          <w:szCs w:val="22"/>
        </w:rPr>
        <w:t>Wartość</w:t>
      </w:r>
      <w:r w:rsidR="003B50ED">
        <w:rPr>
          <w:rFonts w:asciiTheme="minorHAnsi" w:eastAsia="Times New Roman" w:hAnsiTheme="minorHAnsi" w:cstheme="minorHAnsi"/>
          <w:b/>
          <w:bCs/>
          <w:sz w:val="22"/>
          <w:szCs w:val="22"/>
        </w:rPr>
        <w:t xml:space="preserve"> </w:t>
      </w:r>
      <w:r w:rsidRPr="00A26C26">
        <w:rPr>
          <w:rFonts w:asciiTheme="minorHAnsi" w:eastAsia="Times New Roman" w:hAnsiTheme="minorHAnsi" w:cstheme="minorHAnsi"/>
          <w:b/>
          <w:bCs/>
          <w:sz w:val="22"/>
          <w:szCs w:val="22"/>
        </w:rPr>
        <w:t>dodana</w:t>
      </w:r>
      <w:r w:rsidR="003B50ED">
        <w:rPr>
          <w:rFonts w:asciiTheme="minorHAnsi" w:eastAsia="Times New Roman" w:hAnsiTheme="minorHAnsi" w:cstheme="minorHAnsi"/>
          <w:b/>
          <w:bCs/>
          <w:sz w:val="22"/>
          <w:szCs w:val="22"/>
        </w:rPr>
        <w:t xml:space="preserve"> </w:t>
      </w:r>
      <w:r w:rsidRPr="00A26C26">
        <w:rPr>
          <w:rFonts w:asciiTheme="minorHAnsi" w:eastAsia="Times New Roman" w:hAnsiTheme="minorHAnsi" w:cstheme="minorHAnsi"/>
          <w:b/>
          <w:bCs/>
          <w:sz w:val="22"/>
          <w:szCs w:val="22"/>
        </w:rPr>
        <w:t>podejścia</w:t>
      </w:r>
      <w:r w:rsidR="003B50ED">
        <w:rPr>
          <w:rFonts w:asciiTheme="minorHAnsi" w:eastAsia="Times New Roman" w:hAnsiTheme="minorHAnsi" w:cstheme="minorHAnsi"/>
          <w:b/>
          <w:bCs/>
          <w:sz w:val="22"/>
          <w:szCs w:val="22"/>
        </w:rPr>
        <w:t xml:space="preserve"> </w:t>
      </w:r>
      <w:r w:rsidRPr="00A26C26">
        <w:rPr>
          <w:rFonts w:asciiTheme="minorHAnsi" w:eastAsia="Times New Roman" w:hAnsiTheme="minorHAnsi" w:cstheme="minorHAnsi"/>
          <w:b/>
          <w:bCs/>
          <w:sz w:val="22"/>
          <w:szCs w:val="22"/>
        </w:rPr>
        <w:t>LEADER</w:t>
      </w:r>
      <w:bookmarkEnd w:id="88"/>
      <w:bookmarkEnd w:id="89"/>
      <w:bookmarkEnd w:id="90"/>
    </w:p>
    <w:p w14:paraId="14721EA4" w14:textId="018A8764" w:rsidR="00857736" w:rsidRPr="00A26C26" w:rsidRDefault="00857736" w:rsidP="00A26C26">
      <w:pPr>
        <w:spacing w:line="276" w:lineRule="auto"/>
        <w:ind w:firstLine="284"/>
        <w:jc w:val="both"/>
        <w:rPr>
          <w:rFonts w:eastAsia="Calibri" w:cstheme="minorHAnsi"/>
          <w:kern w:val="0"/>
          <w14:ligatures w14:val="none"/>
        </w:rPr>
      </w:pPr>
      <w:r w:rsidRPr="00A26C26">
        <w:rPr>
          <w:rFonts w:eastAsia="Calibri" w:cstheme="minorHAnsi"/>
          <w:kern w:val="0"/>
          <w14:ligatures w14:val="none"/>
        </w:rPr>
        <w:t>Wartość</w:t>
      </w:r>
      <w:r w:rsidR="003B50ED">
        <w:rPr>
          <w:rFonts w:eastAsia="Calibri" w:cstheme="minorHAnsi"/>
          <w:kern w:val="0"/>
          <w14:ligatures w14:val="none"/>
        </w:rPr>
        <w:t xml:space="preserve"> </w:t>
      </w:r>
      <w:r w:rsidRPr="00A26C26">
        <w:rPr>
          <w:rFonts w:eastAsia="Calibri" w:cstheme="minorHAnsi"/>
          <w:kern w:val="0"/>
          <w14:ligatures w14:val="none"/>
        </w:rPr>
        <w:t>dodana</w:t>
      </w:r>
      <w:r w:rsidR="003B50ED">
        <w:rPr>
          <w:rFonts w:eastAsia="Calibri" w:cstheme="minorHAnsi"/>
          <w:kern w:val="0"/>
          <w14:ligatures w14:val="none"/>
        </w:rPr>
        <w:t xml:space="preserve"> </w:t>
      </w:r>
      <w:r w:rsidRPr="00A26C26">
        <w:rPr>
          <w:rFonts w:eastAsia="Calibri" w:cstheme="minorHAnsi"/>
          <w:kern w:val="0"/>
          <w14:ligatures w14:val="none"/>
        </w:rPr>
        <w:t>podejścia</w:t>
      </w:r>
      <w:r w:rsidR="003B50ED">
        <w:rPr>
          <w:rFonts w:eastAsia="Calibri" w:cstheme="minorHAnsi"/>
          <w:kern w:val="0"/>
          <w14:ligatures w14:val="none"/>
        </w:rPr>
        <w:t xml:space="preserve"> </w:t>
      </w:r>
      <w:r w:rsidRPr="00A26C26">
        <w:rPr>
          <w:rFonts w:eastAsia="Calibri" w:cstheme="minorHAnsi"/>
          <w:kern w:val="0"/>
          <w14:ligatures w14:val="none"/>
        </w:rPr>
        <w:t>LEADER</w:t>
      </w:r>
      <w:r w:rsidR="003B50ED">
        <w:rPr>
          <w:rFonts w:eastAsia="Calibri" w:cstheme="minorHAnsi"/>
          <w:kern w:val="0"/>
          <w14:ligatures w14:val="none"/>
        </w:rPr>
        <w:t xml:space="preserve"> </w:t>
      </w:r>
      <w:r w:rsidRPr="00A26C26">
        <w:rPr>
          <w:rFonts w:eastAsia="Calibri" w:cstheme="minorHAnsi"/>
          <w:kern w:val="0"/>
          <w14:ligatures w14:val="none"/>
        </w:rPr>
        <w:t>polega</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tym,</w:t>
      </w:r>
      <w:r w:rsidR="003B50ED">
        <w:rPr>
          <w:rFonts w:eastAsia="Calibri" w:cstheme="minorHAnsi"/>
          <w:kern w:val="0"/>
          <w14:ligatures w14:val="none"/>
        </w:rPr>
        <w:t xml:space="preserve"> </w:t>
      </w:r>
      <w:r w:rsidRPr="00A26C26">
        <w:rPr>
          <w:rFonts w:eastAsia="Calibri" w:cstheme="minorHAnsi"/>
          <w:kern w:val="0"/>
          <w14:ligatures w14:val="none"/>
        </w:rPr>
        <w:t>że</w:t>
      </w:r>
      <w:r w:rsidR="003B50ED">
        <w:rPr>
          <w:rFonts w:eastAsia="Calibri" w:cstheme="minorHAnsi"/>
          <w:kern w:val="0"/>
          <w14:ligatures w14:val="none"/>
        </w:rPr>
        <w:t xml:space="preserve"> </w:t>
      </w:r>
      <w:r w:rsidRPr="00A26C26">
        <w:rPr>
          <w:rFonts w:eastAsia="Calibri" w:cstheme="minorHAnsi"/>
          <w:kern w:val="0"/>
          <w14:ligatures w14:val="none"/>
        </w:rPr>
        <w:t>umożliwia</w:t>
      </w:r>
      <w:r w:rsidR="003B50ED">
        <w:rPr>
          <w:rFonts w:eastAsia="Calibri" w:cstheme="minorHAnsi"/>
          <w:kern w:val="0"/>
          <w14:ligatures w14:val="none"/>
        </w:rPr>
        <w:t xml:space="preserve"> </w:t>
      </w:r>
      <w:r w:rsidRPr="00A26C26">
        <w:rPr>
          <w:rFonts w:eastAsia="Calibri" w:cstheme="minorHAnsi"/>
          <w:kern w:val="0"/>
          <w14:ligatures w14:val="none"/>
        </w:rPr>
        <w:t>zaangażowanie</w:t>
      </w:r>
      <w:r w:rsidR="003B50ED">
        <w:rPr>
          <w:rFonts w:eastAsia="Calibri" w:cstheme="minorHAnsi"/>
          <w:kern w:val="0"/>
          <w14:ligatures w14:val="none"/>
        </w:rPr>
        <w:t xml:space="preserve"> </w:t>
      </w:r>
      <w:r w:rsidRPr="00A26C26">
        <w:rPr>
          <w:rFonts w:eastAsia="Calibri" w:cstheme="minorHAnsi"/>
          <w:kern w:val="0"/>
          <w14:ligatures w14:val="none"/>
        </w:rPr>
        <w:t>lokalnych</w:t>
      </w:r>
      <w:r w:rsidR="003B50ED">
        <w:rPr>
          <w:rFonts w:eastAsia="Calibri" w:cstheme="minorHAnsi"/>
          <w:kern w:val="0"/>
          <w14:ligatures w14:val="none"/>
        </w:rPr>
        <w:t xml:space="preserve"> </w:t>
      </w:r>
      <w:r w:rsidRPr="00A26C26">
        <w:rPr>
          <w:rFonts w:eastAsia="Calibri" w:cstheme="minorHAnsi"/>
          <w:kern w:val="0"/>
          <w14:ligatures w14:val="none"/>
        </w:rPr>
        <w:t>zasobów</w:t>
      </w:r>
      <w:r w:rsidR="003B50ED">
        <w:rPr>
          <w:rFonts w:eastAsia="Calibri" w:cstheme="minorHAnsi"/>
          <w:kern w:val="0"/>
          <w14:ligatures w14:val="none"/>
        </w:rPr>
        <w:t xml:space="preserve"> </w:t>
      </w:r>
      <w:r w:rsidRPr="00A26C26">
        <w:rPr>
          <w:rFonts w:eastAsia="Calibri" w:cstheme="minorHAnsi"/>
          <w:kern w:val="0"/>
          <w14:ligatures w14:val="none"/>
        </w:rPr>
        <w:t>i</w:t>
      </w:r>
      <w:r w:rsidR="003B50ED">
        <w:rPr>
          <w:rFonts w:eastAsia="Calibri" w:cstheme="minorHAnsi"/>
          <w:kern w:val="0"/>
          <w14:ligatures w14:val="none"/>
        </w:rPr>
        <w:t xml:space="preserve"> </w:t>
      </w:r>
      <w:r w:rsidRPr="00A26C26">
        <w:rPr>
          <w:rFonts w:eastAsia="Calibri" w:cstheme="minorHAnsi"/>
          <w:kern w:val="0"/>
          <w14:ligatures w14:val="none"/>
        </w:rPr>
        <w:t>potencjału</w:t>
      </w:r>
      <w:r w:rsidR="003B50ED">
        <w:rPr>
          <w:rFonts w:eastAsia="Calibri" w:cstheme="minorHAnsi"/>
          <w:kern w:val="0"/>
          <w14:ligatures w14:val="none"/>
        </w:rPr>
        <w:t xml:space="preserve"> </w:t>
      </w:r>
      <w:r w:rsidRPr="00A26C26">
        <w:rPr>
          <w:rFonts w:eastAsia="Calibri" w:cstheme="minorHAnsi"/>
          <w:kern w:val="0"/>
          <w14:ligatures w14:val="none"/>
        </w:rPr>
        <w:t>ludzi</w:t>
      </w:r>
      <w:r w:rsidR="003B50ED">
        <w:rPr>
          <w:rFonts w:eastAsia="Calibri" w:cstheme="minorHAnsi"/>
          <w:kern w:val="0"/>
          <w14:ligatures w14:val="none"/>
        </w:rPr>
        <w:t xml:space="preserve"> </w:t>
      </w:r>
      <w:r w:rsidRPr="00A26C26">
        <w:rPr>
          <w:rFonts w:eastAsia="Calibri" w:cstheme="minorHAnsi"/>
          <w:kern w:val="0"/>
          <w14:ligatures w14:val="none"/>
        </w:rPr>
        <w:t>oraz</w:t>
      </w:r>
      <w:r w:rsidR="003B50ED">
        <w:rPr>
          <w:rFonts w:eastAsia="Calibri" w:cstheme="minorHAnsi"/>
          <w:kern w:val="0"/>
          <w14:ligatures w14:val="none"/>
        </w:rPr>
        <w:t xml:space="preserve"> </w:t>
      </w:r>
      <w:r w:rsidRPr="00A26C26">
        <w:rPr>
          <w:rFonts w:eastAsia="Calibri" w:cstheme="minorHAnsi"/>
          <w:kern w:val="0"/>
          <w14:ligatures w14:val="none"/>
        </w:rPr>
        <w:t>organizacji</w:t>
      </w:r>
      <w:r w:rsidR="003B50ED">
        <w:rPr>
          <w:rFonts w:eastAsia="Calibri" w:cstheme="minorHAnsi"/>
          <w:kern w:val="0"/>
          <w14:ligatures w14:val="none"/>
        </w:rPr>
        <w:t xml:space="preserve"> </w:t>
      </w:r>
      <w:r w:rsidRPr="00A26C26">
        <w:rPr>
          <w:rFonts w:eastAsia="Calibri" w:cstheme="minorHAnsi"/>
          <w:kern w:val="0"/>
          <w14:ligatures w14:val="none"/>
        </w:rPr>
        <w:t>jako</w:t>
      </w:r>
      <w:r w:rsidR="003B50ED">
        <w:rPr>
          <w:rFonts w:eastAsia="Calibri" w:cstheme="minorHAnsi"/>
          <w:kern w:val="0"/>
          <w14:ligatures w14:val="none"/>
        </w:rPr>
        <w:t xml:space="preserve"> </w:t>
      </w:r>
      <w:r w:rsidRPr="00A26C26">
        <w:rPr>
          <w:rFonts w:eastAsia="Calibri" w:cstheme="minorHAnsi"/>
          <w:kern w:val="0"/>
          <w14:ligatures w14:val="none"/>
        </w:rPr>
        <w:t>aktywnych</w:t>
      </w:r>
      <w:r w:rsidR="003B50ED">
        <w:rPr>
          <w:rFonts w:eastAsia="Calibri" w:cstheme="minorHAnsi"/>
          <w:kern w:val="0"/>
          <w14:ligatures w14:val="none"/>
        </w:rPr>
        <w:t xml:space="preserve"> </w:t>
      </w:r>
      <w:r w:rsidRPr="00A26C26">
        <w:rPr>
          <w:rFonts w:eastAsia="Calibri" w:cstheme="minorHAnsi"/>
          <w:kern w:val="0"/>
          <w14:ligatures w14:val="none"/>
        </w:rPr>
        <w:t>uczestników</w:t>
      </w:r>
      <w:r w:rsidR="003B50ED">
        <w:rPr>
          <w:rFonts w:eastAsia="Calibri" w:cstheme="minorHAnsi"/>
          <w:kern w:val="0"/>
          <w14:ligatures w14:val="none"/>
        </w:rPr>
        <w:t xml:space="preserve"> </w:t>
      </w:r>
      <w:r w:rsidRPr="00A26C26">
        <w:rPr>
          <w:rFonts w:eastAsia="Calibri" w:cstheme="minorHAnsi"/>
          <w:kern w:val="0"/>
          <w14:ligatures w14:val="none"/>
        </w:rPr>
        <w:t>rozwoju.</w:t>
      </w:r>
      <w:r w:rsidR="003B50ED">
        <w:rPr>
          <w:rFonts w:eastAsia="Calibri" w:cstheme="minorHAnsi"/>
          <w:kern w:val="0"/>
          <w14:ligatures w14:val="none"/>
        </w:rPr>
        <w:t xml:space="preserve"> </w:t>
      </w:r>
      <w:r w:rsidRPr="00A26C26">
        <w:rPr>
          <w:rFonts w:eastAsia="Calibri" w:cstheme="minorHAnsi"/>
          <w:kern w:val="0"/>
          <w14:ligatures w14:val="none"/>
        </w:rPr>
        <w:t>To</w:t>
      </w:r>
      <w:r w:rsidR="003B50ED">
        <w:rPr>
          <w:rFonts w:eastAsia="Calibri" w:cstheme="minorHAnsi"/>
          <w:kern w:val="0"/>
          <w14:ligatures w14:val="none"/>
        </w:rPr>
        <w:t xml:space="preserve"> </w:t>
      </w:r>
      <w:r w:rsidRPr="00A26C26">
        <w:rPr>
          <w:rFonts w:eastAsia="Calibri" w:cstheme="minorHAnsi"/>
          <w:kern w:val="0"/>
          <w14:ligatures w14:val="none"/>
        </w:rPr>
        <w:t>oznacza,</w:t>
      </w:r>
      <w:r w:rsidR="003B50ED">
        <w:rPr>
          <w:rFonts w:eastAsia="Calibri" w:cstheme="minorHAnsi"/>
          <w:kern w:val="0"/>
          <w14:ligatures w14:val="none"/>
        </w:rPr>
        <w:t xml:space="preserve"> </w:t>
      </w:r>
      <w:r w:rsidRPr="00A26C26">
        <w:rPr>
          <w:rFonts w:eastAsia="Calibri" w:cstheme="minorHAnsi"/>
          <w:kern w:val="0"/>
          <w14:ligatures w14:val="none"/>
        </w:rPr>
        <w:t>że</w:t>
      </w:r>
      <w:r w:rsidR="003B50ED">
        <w:rPr>
          <w:rFonts w:eastAsia="Calibri" w:cstheme="minorHAnsi"/>
          <w:kern w:val="0"/>
          <w14:ligatures w14:val="none"/>
        </w:rPr>
        <w:t xml:space="preserve"> </w:t>
      </w:r>
      <w:r w:rsidRPr="00A26C26">
        <w:rPr>
          <w:rFonts w:eastAsia="Calibri" w:cstheme="minorHAnsi"/>
          <w:kern w:val="0"/>
          <w14:ligatures w14:val="none"/>
        </w:rPr>
        <w:t>społeczność</w:t>
      </w:r>
      <w:r w:rsidR="003B50ED">
        <w:rPr>
          <w:rFonts w:eastAsia="Calibri" w:cstheme="minorHAnsi"/>
          <w:kern w:val="0"/>
          <w14:ligatures w14:val="none"/>
        </w:rPr>
        <w:t xml:space="preserve"> </w:t>
      </w:r>
      <w:r w:rsidRPr="00A26C26">
        <w:rPr>
          <w:rFonts w:eastAsia="Calibri" w:cstheme="minorHAnsi"/>
          <w:kern w:val="0"/>
          <w14:ligatures w14:val="none"/>
        </w:rPr>
        <w:t>lokalna</w:t>
      </w:r>
      <w:r w:rsidR="003B50ED">
        <w:rPr>
          <w:rFonts w:eastAsia="Calibri" w:cstheme="minorHAnsi"/>
          <w:kern w:val="0"/>
          <w14:ligatures w14:val="none"/>
        </w:rPr>
        <w:t xml:space="preserve"> </w:t>
      </w:r>
      <w:r w:rsidRPr="00A26C26">
        <w:rPr>
          <w:rFonts w:eastAsia="Calibri" w:cstheme="minorHAnsi"/>
          <w:kern w:val="0"/>
          <w14:ligatures w14:val="none"/>
        </w:rPr>
        <w:t>nie</w:t>
      </w:r>
      <w:r w:rsidR="003B50ED">
        <w:rPr>
          <w:rFonts w:eastAsia="Calibri" w:cstheme="minorHAnsi"/>
          <w:kern w:val="0"/>
          <w14:ligatures w14:val="none"/>
        </w:rPr>
        <w:t xml:space="preserve"> </w:t>
      </w:r>
      <w:r w:rsidRPr="00A26C26">
        <w:rPr>
          <w:rFonts w:eastAsia="Calibri" w:cstheme="minorHAnsi"/>
          <w:kern w:val="0"/>
          <w14:ligatures w14:val="none"/>
        </w:rPr>
        <w:t>jest</w:t>
      </w:r>
      <w:r w:rsidR="003B50ED">
        <w:rPr>
          <w:rFonts w:eastAsia="Calibri" w:cstheme="minorHAnsi"/>
          <w:kern w:val="0"/>
          <w14:ligatures w14:val="none"/>
        </w:rPr>
        <w:t xml:space="preserve"> </w:t>
      </w:r>
      <w:r w:rsidRPr="00A26C26">
        <w:rPr>
          <w:rFonts w:eastAsia="Calibri" w:cstheme="minorHAnsi"/>
          <w:kern w:val="0"/>
          <w14:ligatures w14:val="none"/>
        </w:rPr>
        <w:t>jedynie</w:t>
      </w:r>
      <w:r w:rsidR="003B50ED">
        <w:rPr>
          <w:rFonts w:eastAsia="Calibri" w:cstheme="minorHAnsi"/>
          <w:kern w:val="0"/>
          <w14:ligatures w14:val="none"/>
        </w:rPr>
        <w:t xml:space="preserve"> </w:t>
      </w:r>
      <w:r w:rsidRPr="00A26C26">
        <w:rPr>
          <w:rFonts w:eastAsia="Calibri" w:cstheme="minorHAnsi"/>
          <w:kern w:val="0"/>
          <w14:ligatures w14:val="none"/>
        </w:rPr>
        <w:t>beneficjentem</w:t>
      </w:r>
      <w:r w:rsidR="003B50ED">
        <w:rPr>
          <w:rFonts w:eastAsia="Calibri" w:cstheme="minorHAnsi"/>
          <w:kern w:val="0"/>
          <w14:ligatures w14:val="none"/>
        </w:rPr>
        <w:t xml:space="preserve"> </w:t>
      </w:r>
      <w:r w:rsidRPr="00A26C26">
        <w:rPr>
          <w:rFonts w:eastAsia="Calibri" w:cstheme="minorHAnsi"/>
          <w:kern w:val="0"/>
          <w14:ligatures w14:val="none"/>
        </w:rPr>
        <w:t>działań,</w:t>
      </w:r>
      <w:r w:rsidR="003B50ED">
        <w:rPr>
          <w:rFonts w:eastAsia="Calibri" w:cstheme="minorHAnsi"/>
          <w:kern w:val="0"/>
          <w14:ligatures w14:val="none"/>
        </w:rPr>
        <w:t xml:space="preserve"> </w:t>
      </w:r>
      <w:r w:rsidRPr="00A26C26">
        <w:rPr>
          <w:rFonts w:eastAsia="Calibri" w:cstheme="minorHAnsi"/>
          <w:kern w:val="0"/>
          <w14:ligatures w14:val="none"/>
        </w:rPr>
        <w:t>ale</w:t>
      </w:r>
      <w:r w:rsidR="003B50ED">
        <w:rPr>
          <w:rFonts w:eastAsia="Calibri" w:cstheme="minorHAnsi"/>
          <w:kern w:val="0"/>
          <w14:ligatures w14:val="none"/>
        </w:rPr>
        <w:t xml:space="preserve"> </w:t>
      </w:r>
      <w:r w:rsidRPr="00A26C26">
        <w:rPr>
          <w:rFonts w:eastAsia="Calibri" w:cstheme="minorHAnsi"/>
          <w:kern w:val="0"/>
          <w14:ligatures w14:val="none"/>
        </w:rPr>
        <w:t>ma</w:t>
      </w:r>
      <w:r w:rsidR="003B50ED">
        <w:rPr>
          <w:rFonts w:eastAsia="Calibri" w:cstheme="minorHAnsi"/>
          <w:kern w:val="0"/>
          <w14:ligatures w14:val="none"/>
        </w:rPr>
        <w:t xml:space="preserve"> </w:t>
      </w:r>
      <w:r w:rsidRPr="00A26C26">
        <w:rPr>
          <w:rFonts w:eastAsia="Calibri" w:cstheme="minorHAnsi"/>
          <w:kern w:val="0"/>
          <w14:ligatures w14:val="none"/>
        </w:rPr>
        <w:t>możliwość</w:t>
      </w:r>
      <w:r w:rsidR="003B50ED">
        <w:rPr>
          <w:rFonts w:eastAsia="Calibri" w:cstheme="minorHAnsi"/>
          <w:kern w:val="0"/>
          <w14:ligatures w14:val="none"/>
        </w:rPr>
        <w:t xml:space="preserve"> </w:t>
      </w:r>
      <w:r w:rsidRPr="00A26C26">
        <w:rPr>
          <w:rFonts w:eastAsia="Calibri" w:cstheme="minorHAnsi"/>
          <w:kern w:val="0"/>
          <w14:ligatures w14:val="none"/>
        </w:rPr>
        <w:t>aktywnego</w:t>
      </w:r>
      <w:r w:rsidR="003B50ED">
        <w:rPr>
          <w:rFonts w:eastAsia="Calibri" w:cstheme="minorHAnsi"/>
          <w:kern w:val="0"/>
          <w14:ligatures w14:val="none"/>
        </w:rPr>
        <w:t xml:space="preserve"> </w:t>
      </w:r>
      <w:r w:rsidRPr="00A26C26">
        <w:rPr>
          <w:rFonts w:eastAsia="Calibri" w:cstheme="minorHAnsi"/>
          <w:kern w:val="0"/>
          <w14:ligatures w14:val="none"/>
        </w:rPr>
        <w:t>wniesienia</w:t>
      </w:r>
      <w:r w:rsidR="003B50ED">
        <w:rPr>
          <w:rFonts w:eastAsia="Calibri" w:cstheme="minorHAnsi"/>
          <w:kern w:val="0"/>
          <w14:ligatures w14:val="none"/>
        </w:rPr>
        <w:t xml:space="preserve"> </w:t>
      </w:r>
      <w:r w:rsidRPr="00A26C26">
        <w:rPr>
          <w:rFonts w:eastAsia="Calibri" w:cstheme="minorHAnsi"/>
          <w:kern w:val="0"/>
          <w14:ligatures w14:val="none"/>
        </w:rPr>
        <w:t>istotnego</w:t>
      </w:r>
      <w:r w:rsidR="003B50ED">
        <w:rPr>
          <w:rFonts w:eastAsia="Calibri" w:cstheme="minorHAnsi"/>
          <w:kern w:val="0"/>
          <w14:ligatures w14:val="none"/>
        </w:rPr>
        <w:t xml:space="preserve"> </w:t>
      </w:r>
      <w:r w:rsidRPr="00A26C26">
        <w:rPr>
          <w:rFonts w:eastAsia="Calibri" w:cstheme="minorHAnsi"/>
          <w:kern w:val="0"/>
          <w14:ligatures w14:val="none"/>
        </w:rPr>
        <w:t>wkładu</w:t>
      </w:r>
      <w:r w:rsidR="003B50ED">
        <w:rPr>
          <w:rFonts w:eastAsia="Calibri" w:cstheme="minorHAnsi"/>
          <w:kern w:val="0"/>
          <w14:ligatures w14:val="none"/>
        </w:rPr>
        <w:t xml:space="preserve"> </w:t>
      </w:r>
      <w:r w:rsidRPr="00A26C26">
        <w:rPr>
          <w:rFonts w:eastAsia="Calibri" w:cstheme="minorHAnsi"/>
          <w:kern w:val="0"/>
          <w14:ligatures w14:val="none"/>
        </w:rPr>
        <w:t>w</w:t>
      </w:r>
      <w:r w:rsidR="003B50ED">
        <w:rPr>
          <w:rFonts w:eastAsia="Calibri" w:cstheme="minorHAnsi"/>
          <w:kern w:val="0"/>
          <w14:ligatures w14:val="none"/>
        </w:rPr>
        <w:t xml:space="preserve"> </w:t>
      </w:r>
      <w:r w:rsidRPr="00A26C26">
        <w:rPr>
          <w:rFonts w:eastAsia="Calibri" w:cstheme="minorHAnsi"/>
          <w:kern w:val="0"/>
          <w14:ligatures w14:val="none"/>
        </w:rPr>
        <w:t>rozwój</w:t>
      </w:r>
      <w:r w:rsidR="003B50ED">
        <w:rPr>
          <w:rFonts w:eastAsia="Calibri" w:cstheme="minorHAnsi"/>
          <w:kern w:val="0"/>
          <w14:ligatures w14:val="none"/>
        </w:rPr>
        <w:t xml:space="preserve"> </w:t>
      </w:r>
      <w:r w:rsidRPr="00A26C26">
        <w:rPr>
          <w:rFonts w:eastAsia="Calibri" w:cstheme="minorHAnsi"/>
          <w:kern w:val="0"/>
          <w14:ligatures w14:val="none"/>
        </w:rPr>
        <w:t>swojego</w:t>
      </w:r>
      <w:r w:rsidR="003B50ED">
        <w:rPr>
          <w:rFonts w:eastAsia="Calibri" w:cstheme="minorHAnsi"/>
          <w:kern w:val="0"/>
          <w14:ligatures w14:val="none"/>
        </w:rPr>
        <w:t xml:space="preserve"> </w:t>
      </w:r>
      <w:r w:rsidRPr="00A26C26">
        <w:rPr>
          <w:rFonts w:eastAsia="Calibri" w:cstheme="minorHAnsi"/>
          <w:kern w:val="0"/>
          <w14:ligatures w14:val="none"/>
        </w:rPr>
        <w:t>obszaru.</w:t>
      </w:r>
      <w:r w:rsidR="003B50ED">
        <w:rPr>
          <w:rFonts w:eastAsia="Calibri" w:cstheme="minorHAnsi"/>
          <w:kern w:val="0"/>
          <w14:ligatures w14:val="none"/>
        </w:rPr>
        <w:t xml:space="preserve"> </w:t>
      </w:r>
      <w:r w:rsidRPr="00A26C26">
        <w:rPr>
          <w:rFonts w:eastAsia="Calibri" w:cstheme="minorHAnsi"/>
          <w:kern w:val="0"/>
          <w14:ligatures w14:val="none"/>
        </w:rPr>
        <w:t>Poprzez</w:t>
      </w:r>
      <w:r w:rsidR="003B50ED">
        <w:rPr>
          <w:rFonts w:eastAsia="Calibri" w:cstheme="minorHAnsi"/>
          <w:kern w:val="0"/>
          <w14:ligatures w14:val="none"/>
        </w:rPr>
        <w:t xml:space="preserve"> </w:t>
      </w:r>
      <w:r w:rsidRPr="00A26C26">
        <w:rPr>
          <w:rFonts w:eastAsia="Calibri" w:cstheme="minorHAnsi"/>
          <w:kern w:val="0"/>
          <w14:ligatures w14:val="none"/>
        </w:rPr>
        <w:t>tworzenie</w:t>
      </w:r>
      <w:r w:rsidR="003B50ED">
        <w:rPr>
          <w:rFonts w:eastAsia="Calibri" w:cstheme="minorHAnsi"/>
          <w:kern w:val="0"/>
          <w14:ligatures w14:val="none"/>
        </w:rPr>
        <w:t xml:space="preserve"> </w:t>
      </w:r>
      <w:r w:rsidRPr="00A26C26">
        <w:rPr>
          <w:rFonts w:eastAsia="Calibri" w:cstheme="minorHAnsi"/>
          <w:kern w:val="0"/>
          <w14:ligatures w14:val="none"/>
        </w:rPr>
        <w:t>partnerstw</w:t>
      </w:r>
      <w:r w:rsidR="003B50ED">
        <w:rPr>
          <w:rFonts w:eastAsia="Calibri" w:cstheme="minorHAnsi"/>
          <w:kern w:val="0"/>
          <w14:ligatures w14:val="none"/>
        </w:rPr>
        <w:t xml:space="preserve"> </w:t>
      </w:r>
      <w:r w:rsidRPr="00A26C26">
        <w:rPr>
          <w:rFonts w:eastAsia="Calibri" w:cstheme="minorHAnsi"/>
          <w:kern w:val="0"/>
          <w14:ligatures w14:val="none"/>
        </w:rPr>
        <w:t>opartych</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oddolnej</w:t>
      </w:r>
      <w:r w:rsidR="003B50ED">
        <w:rPr>
          <w:rFonts w:eastAsia="Calibri" w:cstheme="minorHAnsi"/>
          <w:kern w:val="0"/>
          <w14:ligatures w14:val="none"/>
        </w:rPr>
        <w:t xml:space="preserve"> </w:t>
      </w:r>
      <w:r w:rsidRPr="00A26C26">
        <w:rPr>
          <w:rFonts w:eastAsia="Calibri" w:cstheme="minorHAnsi"/>
          <w:kern w:val="0"/>
          <w14:ligatures w14:val="none"/>
        </w:rPr>
        <w:t>inicjatywie,</w:t>
      </w:r>
      <w:r w:rsidR="003B50ED">
        <w:rPr>
          <w:rFonts w:eastAsia="Calibri" w:cstheme="minorHAnsi"/>
          <w:kern w:val="0"/>
          <w14:ligatures w14:val="none"/>
        </w:rPr>
        <w:t xml:space="preserve"> </w:t>
      </w:r>
      <w:r w:rsidRPr="00A26C26">
        <w:rPr>
          <w:rFonts w:eastAsia="Calibri" w:cstheme="minorHAnsi"/>
          <w:kern w:val="0"/>
          <w14:ligatures w14:val="none"/>
        </w:rPr>
        <w:t>takich</w:t>
      </w:r>
      <w:r w:rsidR="003B50ED">
        <w:rPr>
          <w:rFonts w:eastAsia="Calibri" w:cstheme="minorHAnsi"/>
          <w:kern w:val="0"/>
          <w14:ligatures w14:val="none"/>
        </w:rPr>
        <w:t xml:space="preserve"> </w:t>
      </w:r>
      <w:r w:rsidRPr="00A26C26">
        <w:rPr>
          <w:rFonts w:eastAsia="Calibri" w:cstheme="minorHAnsi"/>
          <w:kern w:val="0"/>
          <w14:ligatures w14:val="none"/>
        </w:rPr>
        <w:t>jak</w:t>
      </w:r>
      <w:r w:rsidR="003B50ED">
        <w:rPr>
          <w:rFonts w:eastAsia="Calibri" w:cstheme="minorHAnsi"/>
          <w:kern w:val="0"/>
          <w14:ligatures w14:val="none"/>
        </w:rPr>
        <w:t xml:space="preserve"> </w:t>
      </w:r>
      <w:r w:rsidR="006568AD" w:rsidRPr="00A26C26">
        <w:rPr>
          <w:rFonts w:eastAsia="Calibri" w:cstheme="minorHAnsi"/>
          <w:kern w:val="0"/>
          <w14:ligatures w14:val="none"/>
        </w:rPr>
        <w:t>lokalne</w:t>
      </w:r>
      <w:r w:rsidR="006568AD">
        <w:rPr>
          <w:rFonts w:eastAsia="Calibri" w:cstheme="minorHAnsi"/>
          <w:kern w:val="0"/>
          <w14:ligatures w14:val="none"/>
        </w:rPr>
        <w:t xml:space="preserve"> </w:t>
      </w:r>
      <w:r w:rsidR="006568AD" w:rsidRPr="00A26C26">
        <w:rPr>
          <w:rFonts w:eastAsia="Calibri" w:cstheme="minorHAnsi"/>
          <w:kern w:val="0"/>
          <w14:ligatures w14:val="none"/>
        </w:rPr>
        <w:t>grupy</w:t>
      </w:r>
      <w:r w:rsidR="006568AD">
        <w:rPr>
          <w:rFonts w:eastAsia="Calibri" w:cstheme="minorHAnsi"/>
          <w:kern w:val="0"/>
          <w14:ligatures w14:val="none"/>
        </w:rPr>
        <w:t xml:space="preserve"> </w:t>
      </w:r>
      <w:r w:rsidR="006568AD" w:rsidRPr="00A26C26">
        <w:rPr>
          <w:rFonts w:eastAsia="Calibri" w:cstheme="minorHAnsi"/>
          <w:kern w:val="0"/>
          <w14:ligatures w14:val="none"/>
        </w:rPr>
        <w:t>działania</w:t>
      </w:r>
      <w:r w:rsidRPr="00A26C26">
        <w:rPr>
          <w:rFonts w:eastAsia="Calibri" w:cstheme="minorHAnsi"/>
          <w:kern w:val="0"/>
          <w14:ligatures w14:val="none"/>
        </w:rPr>
        <w:t>,</w:t>
      </w:r>
      <w:r w:rsidR="003B50ED">
        <w:rPr>
          <w:rFonts w:eastAsia="Calibri" w:cstheme="minorHAnsi"/>
          <w:kern w:val="0"/>
          <w14:ligatures w14:val="none"/>
        </w:rPr>
        <w:t xml:space="preserve"> </w:t>
      </w:r>
      <w:r w:rsidR="006568AD">
        <w:rPr>
          <w:rFonts w:eastAsia="Calibri" w:cstheme="minorHAnsi"/>
          <w:kern w:val="0"/>
          <w14:ligatures w14:val="none"/>
        </w:rPr>
        <w:t xml:space="preserve">jest możliwa </w:t>
      </w:r>
      <w:r w:rsidR="006568AD" w:rsidRPr="00A26C26">
        <w:rPr>
          <w:rFonts w:eastAsia="Calibri" w:cstheme="minorHAnsi"/>
          <w:kern w:val="0"/>
          <w14:ligatures w14:val="none"/>
        </w:rPr>
        <w:t>konsolida</w:t>
      </w:r>
      <w:r w:rsidR="006568AD">
        <w:rPr>
          <w:rFonts w:eastAsia="Calibri" w:cstheme="minorHAnsi"/>
          <w:kern w:val="0"/>
          <w14:ligatures w14:val="none"/>
        </w:rPr>
        <w:t>cja</w:t>
      </w:r>
      <w:r w:rsidR="003B50ED">
        <w:rPr>
          <w:rFonts w:eastAsia="Calibri" w:cstheme="minorHAnsi"/>
          <w:kern w:val="0"/>
          <w14:ligatures w14:val="none"/>
        </w:rPr>
        <w:t xml:space="preserve"> </w:t>
      </w:r>
      <w:r w:rsidR="006568AD">
        <w:rPr>
          <w:rFonts w:eastAsia="Calibri" w:cstheme="minorHAnsi"/>
          <w:kern w:val="0"/>
          <w14:ligatures w14:val="none"/>
        </w:rPr>
        <w:t xml:space="preserve">sił </w:t>
      </w:r>
      <w:r w:rsidRPr="00A26C26">
        <w:rPr>
          <w:rFonts w:eastAsia="Calibri" w:cstheme="minorHAnsi"/>
          <w:kern w:val="0"/>
          <w14:ligatures w14:val="none"/>
        </w:rPr>
        <w:t>i</w:t>
      </w:r>
      <w:r w:rsidR="003B50ED">
        <w:rPr>
          <w:rFonts w:eastAsia="Calibri" w:cstheme="minorHAnsi"/>
          <w:kern w:val="0"/>
          <w14:ligatures w14:val="none"/>
        </w:rPr>
        <w:t xml:space="preserve"> </w:t>
      </w:r>
      <w:r w:rsidR="006568AD">
        <w:rPr>
          <w:rFonts w:eastAsia="Calibri" w:cstheme="minorHAnsi"/>
          <w:kern w:val="0"/>
          <w14:ligatures w14:val="none"/>
        </w:rPr>
        <w:t>środków</w:t>
      </w:r>
      <w:r w:rsidRPr="00A26C26">
        <w:rPr>
          <w:rFonts w:eastAsia="Calibri" w:cstheme="minorHAnsi"/>
          <w:kern w:val="0"/>
          <w14:ligatures w14:val="none"/>
        </w:rPr>
        <w:t>,</w:t>
      </w:r>
      <w:r w:rsidR="003B50ED">
        <w:rPr>
          <w:rFonts w:eastAsia="Calibri" w:cstheme="minorHAnsi"/>
          <w:kern w:val="0"/>
          <w14:ligatures w14:val="none"/>
        </w:rPr>
        <w:t xml:space="preserve"> </w:t>
      </w:r>
      <w:r w:rsidR="006568AD">
        <w:rPr>
          <w:rFonts w:eastAsia="Calibri" w:cstheme="minorHAnsi"/>
          <w:kern w:val="0"/>
          <w14:ligatures w14:val="none"/>
        </w:rPr>
        <w:t xml:space="preserve">w </w:t>
      </w:r>
      <w:r w:rsidRPr="00A26C26">
        <w:rPr>
          <w:rFonts w:eastAsia="Calibri" w:cstheme="minorHAnsi"/>
          <w:kern w:val="0"/>
          <w14:ligatures w14:val="none"/>
        </w:rPr>
        <w:t>dąż</w:t>
      </w:r>
      <w:r w:rsidR="006568AD">
        <w:rPr>
          <w:rFonts w:eastAsia="Calibri" w:cstheme="minorHAnsi"/>
          <w:kern w:val="0"/>
          <w14:ligatures w14:val="none"/>
        </w:rPr>
        <w:t>eniu</w:t>
      </w:r>
      <w:r w:rsidR="003B50ED">
        <w:rPr>
          <w:rFonts w:eastAsia="Calibri" w:cstheme="minorHAnsi"/>
          <w:kern w:val="0"/>
          <w14:ligatures w14:val="none"/>
        </w:rPr>
        <w:t xml:space="preserve"> </w:t>
      </w:r>
      <w:r w:rsidRPr="00A26C26">
        <w:rPr>
          <w:rFonts w:eastAsia="Calibri" w:cstheme="minorHAnsi"/>
          <w:kern w:val="0"/>
          <w14:ligatures w14:val="none"/>
        </w:rPr>
        <w:t>do</w:t>
      </w:r>
      <w:r w:rsidR="003B50ED">
        <w:rPr>
          <w:rFonts w:eastAsia="Calibri" w:cstheme="minorHAnsi"/>
          <w:kern w:val="0"/>
          <w14:ligatures w14:val="none"/>
        </w:rPr>
        <w:t xml:space="preserve"> </w:t>
      </w:r>
      <w:r w:rsidRPr="00A26C26">
        <w:rPr>
          <w:rFonts w:eastAsia="Calibri" w:cstheme="minorHAnsi"/>
          <w:kern w:val="0"/>
          <w14:ligatures w14:val="none"/>
        </w:rPr>
        <w:t>osiągnięcia</w:t>
      </w:r>
      <w:r w:rsidR="003B50ED">
        <w:rPr>
          <w:rFonts w:eastAsia="Calibri" w:cstheme="minorHAnsi"/>
          <w:kern w:val="0"/>
          <w14:ligatures w14:val="none"/>
        </w:rPr>
        <w:t xml:space="preserve"> </w:t>
      </w:r>
      <w:r w:rsidRPr="00A26C26">
        <w:rPr>
          <w:rFonts w:eastAsia="Calibri" w:cstheme="minorHAnsi"/>
          <w:kern w:val="0"/>
          <w14:ligatures w14:val="none"/>
        </w:rPr>
        <w:t>wspólnego</w:t>
      </w:r>
      <w:r w:rsidR="003B50ED">
        <w:rPr>
          <w:rFonts w:eastAsia="Calibri" w:cstheme="minorHAnsi"/>
          <w:kern w:val="0"/>
          <w14:ligatures w14:val="none"/>
        </w:rPr>
        <w:t xml:space="preserve"> </w:t>
      </w:r>
      <w:r w:rsidRPr="00A26C26">
        <w:rPr>
          <w:rFonts w:eastAsia="Calibri" w:cstheme="minorHAnsi"/>
          <w:kern w:val="0"/>
          <w14:ligatures w14:val="none"/>
        </w:rPr>
        <w:t>celu.</w:t>
      </w:r>
      <w:r w:rsidR="003B50ED">
        <w:rPr>
          <w:rFonts w:eastAsia="Calibri" w:cstheme="minorHAnsi"/>
          <w:kern w:val="0"/>
          <w14:ligatures w14:val="none"/>
        </w:rPr>
        <w:t xml:space="preserve"> </w:t>
      </w:r>
      <w:r w:rsidRPr="00A26C26">
        <w:rPr>
          <w:rFonts w:eastAsia="Calibri" w:cstheme="minorHAnsi"/>
          <w:kern w:val="0"/>
          <w14:ligatures w14:val="none"/>
        </w:rPr>
        <w:t>Ta</w:t>
      </w:r>
      <w:r w:rsidR="003B50ED">
        <w:rPr>
          <w:rFonts w:eastAsia="Calibri" w:cstheme="minorHAnsi"/>
          <w:kern w:val="0"/>
          <w14:ligatures w14:val="none"/>
        </w:rPr>
        <w:t xml:space="preserve"> </w:t>
      </w:r>
      <w:r w:rsidRPr="00A26C26">
        <w:rPr>
          <w:rFonts w:eastAsia="Calibri" w:cstheme="minorHAnsi"/>
          <w:kern w:val="0"/>
          <w14:ligatures w14:val="none"/>
        </w:rPr>
        <w:t>współpraca</w:t>
      </w:r>
      <w:r w:rsidR="003B50ED">
        <w:rPr>
          <w:rFonts w:eastAsia="Calibri" w:cstheme="minorHAnsi"/>
          <w:kern w:val="0"/>
          <w14:ligatures w14:val="none"/>
        </w:rPr>
        <w:t xml:space="preserve"> </w:t>
      </w:r>
      <w:r w:rsidRPr="00A26C26">
        <w:rPr>
          <w:rFonts w:eastAsia="Calibri" w:cstheme="minorHAnsi"/>
          <w:kern w:val="0"/>
          <w14:ligatures w14:val="none"/>
        </w:rPr>
        <w:t>sektora</w:t>
      </w:r>
      <w:r w:rsidR="003B50ED">
        <w:rPr>
          <w:rFonts w:eastAsia="Calibri" w:cstheme="minorHAnsi"/>
          <w:kern w:val="0"/>
          <w14:ligatures w14:val="none"/>
        </w:rPr>
        <w:t xml:space="preserve"> </w:t>
      </w:r>
      <w:r w:rsidRPr="00A26C26">
        <w:rPr>
          <w:rFonts w:eastAsia="Calibri" w:cstheme="minorHAnsi"/>
          <w:kern w:val="0"/>
          <w14:ligatures w14:val="none"/>
        </w:rPr>
        <w:t>publicznego,</w:t>
      </w:r>
      <w:r w:rsidR="003B50ED">
        <w:rPr>
          <w:rFonts w:eastAsia="Calibri" w:cstheme="minorHAnsi"/>
          <w:kern w:val="0"/>
          <w14:ligatures w14:val="none"/>
        </w:rPr>
        <w:t xml:space="preserve"> </w:t>
      </w:r>
      <w:r w:rsidRPr="00A26C26">
        <w:rPr>
          <w:rFonts w:eastAsia="Calibri" w:cstheme="minorHAnsi"/>
          <w:kern w:val="0"/>
          <w14:ligatures w14:val="none"/>
        </w:rPr>
        <w:t>prywatnego</w:t>
      </w:r>
      <w:r w:rsidR="003B50ED">
        <w:rPr>
          <w:rFonts w:eastAsia="Calibri" w:cstheme="minorHAnsi"/>
          <w:kern w:val="0"/>
          <w14:ligatures w14:val="none"/>
        </w:rPr>
        <w:t xml:space="preserve"> </w:t>
      </w:r>
      <w:r w:rsidRPr="00A26C26">
        <w:rPr>
          <w:rFonts w:eastAsia="Calibri" w:cstheme="minorHAnsi"/>
          <w:kern w:val="0"/>
          <w14:ligatures w14:val="none"/>
        </w:rPr>
        <w:t>i</w:t>
      </w:r>
      <w:r w:rsidR="003B50ED">
        <w:rPr>
          <w:rFonts w:eastAsia="Calibri" w:cstheme="minorHAnsi"/>
          <w:kern w:val="0"/>
          <w14:ligatures w14:val="none"/>
        </w:rPr>
        <w:t xml:space="preserve"> </w:t>
      </w:r>
      <w:r w:rsidRPr="00A26C26">
        <w:rPr>
          <w:rFonts w:eastAsia="Calibri" w:cstheme="minorHAnsi"/>
          <w:kern w:val="0"/>
          <w14:ligatures w14:val="none"/>
        </w:rPr>
        <w:t>społecznego</w:t>
      </w:r>
      <w:r w:rsidR="003B50ED">
        <w:rPr>
          <w:rFonts w:eastAsia="Calibri" w:cstheme="minorHAnsi"/>
          <w:kern w:val="0"/>
          <w14:ligatures w14:val="none"/>
        </w:rPr>
        <w:t xml:space="preserve"> </w:t>
      </w:r>
      <w:r w:rsidRPr="00A26C26">
        <w:rPr>
          <w:rFonts w:eastAsia="Calibri" w:cstheme="minorHAnsi"/>
          <w:kern w:val="0"/>
          <w14:ligatures w14:val="none"/>
        </w:rPr>
        <w:t>przyczynia</w:t>
      </w:r>
      <w:r w:rsidR="003B50ED">
        <w:rPr>
          <w:rFonts w:eastAsia="Calibri" w:cstheme="minorHAnsi"/>
          <w:kern w:val="0"/>
          <w14:ligatures w14:val="none"/>
        </w:rPr>
        <w:t xml:space="preserve"> </w:t>
      </w:r>
      <w:r w:rsidRPr="00A26C26">
        <w:rPr>
          <w:rFonts w:eastAsia="Calibri" w:cstheme="minorHAnsi"/>
          <w:kern w:val="0"/>
          <w14:ligatures w14:val="none"/>
        </w:rPr>
        <w:t>się</w:t>
      </w:r>
      <w:r w:rsidR="003B50ED">
        <w:rPr>
          <w:rFonts w:eastAsia="Calibri" w:cstheme="minorHAnsi"/>
          <w:kern w:val="0"/>
          <w14:ligatures w14:val="none"/>
        </w:rPr>
        <w:t xml:space="preserve"> </w:t>
      </w:r>
      <w:r w:rsidRPr="00A26C26">
        <w:rPr>
          <w:rFonts w:eastAsia="Calibri" w:cstheme="minorHAnsi"/>
          <w:kern w:val="0"/>
          <w14:ligatures w14:val="none"/>
        </w:rPr>
        <w:t>do</w:t>
      </w:r>
      <w:r w:rsidR="003B50ED">
        <w:rPr>
          <w:rFonts w:eastAsia="Calibri" w:cstheme="minorHAnsi"/>
          <w:kern w:val="0"/>
          <w14:ligatures w14:val="none"/>
        </w:rPr>
        <w:t xml:space="preserve"> </w:t>
      </w:r>
      <w:r w:rsidRPr="00A26C26">
        <w:rPr>
          <w:rFonts w:eastAsia="Calibri" w:cstheme="minorHAnsi"/>
          <w:kern w:val="0"/>
          <w14:ligatures w14:val="none"/>
        </w:rPr>
        <w:t>skutecznego</w:t>
      </w:r>
      <w:r w:rsidR="003B50ED">
        <w:rPr>
          <w:rFonts w:eastAsia="Calibri" w:cstheme="minorHAnsi"/>
          <w:kern w:val="0"/>
          <w14:ligatures w14:val="none"/>
        </w:rPr>
        <w:t xml:space="preserve"> </w:t>
      </w:r>
      <w:r w:rsidRPr="00A26C26">
        <w:rPr>
          <w:rFonts w:eastAsia="Calibri" w:cstheme="minorHAnsi"/>
          <w:kern w:val="0"/>
          <w14:ligatures w14:val="none"/>
        </w:rPr>
        <w:t>rozwiązywania</w:t>
      </w:r>
      <w:r w:rsidR="003B50ED">
        <w:rPr>
          <w:rFonts w:eastAsia="Calibri" w:cstheme="minorHAnsi"/>
          <w:kern w:val="0"/>
          <w14:ligatures w14:val="none"/>
        </w:rPr>
        <w:t xml:space="preserve"> </w:t>
      </w:r>
      <w:r w:rsidRPr="00A26C26">
        <w:rPr>
          <w:rFonts w:eastAsia="Calibri" w:cstheme="minorHAnsi"/>
          <w:kern w:val="0"/>
          <w14:ligatures w14:val="none"/>
        </w:rPr>
        <w:t>zidentyfikowanych</w:t>
      </w:r>
      <w:r w:rsidR="003B50ED">
        <w:rPr>
          <w:rFonts w:eastAsia="Calibri" w:cstheme="minorHAnsi"/>
          <w:kern w:val="0"/>
          <w14:ligatures w14:val="none"/>
        </w:rPr>
        <w:t xml:space="preserve"> </w:t>
      </w:r>
      <w:r w:rsidRPr="00A26C26">
        <w:rPr>
          <w:rFonts w:eastAsia="Calibri" w:cstheme="minorHAnsi"/>
          <w:kern w:val="0"/>
          <w14:ligatures w14:val="none"/>
        </w:rPr>
        <w:t>problemów</w:t>
      </w:r>
      <w:r w:rsidR="003B50ED">
        <w:rPr>
          <w:rFonts w:eastAsia="Calibri" w:cstheme="minorHAnsi"/>
          <w:kern w:val="0"/>
          <w14:ligatures w14:val="none"/>
        </w:rPr>
        <w:t xml:space="preserve"> </w:t>
      </w:r>
      <w:r w:rsidRPr="00A26C26">
        <w:rPr>
          <w:rFonts w:eastAsia="Calibri" w:cstheme="minorHAnsi"/>
          <w:kern w:val="0"/>
          <w14:ligatures w14:val="none"/>
        </w:rPr>
        <w:t>społecznych,</w:t>
      </w:r>
      <w:r w:rsidR="003B50ED">
        <w:rPr>
          <w:rFonts w:eastAsia="Calibri" w:cstheme="minorHAnsi"/>
          <w:kern w:val="0"/>
          <w14:ligatures w14:val="none"/>
        </w:rPr>
        <w:t xml:space="preserve"> </w:t>
      </w:r>
      <w:r w:rsidRPr="00A26C26">
        <w:rPr>
          <w:rFonts w:eastAsia="Calibri" w:cstheme="minorHAnsi"/>
          <w:kern w:val="0"/>
          <w14:ligatures w14:val="none"/>
        </w:rPr>
        <w:t>gospodarczych</w:t>
      </w:r>
      <w:r w:rsidR="003B50ED">
        <w:rPr>
          <w:rFonts w:eastAsia="Calibri" w:cstheme="minorHAnsi"/>
          <w:kern w:val="0"/>
          <w14:ligatures w14:val="none"/>
        </w:rPr>
        <w:t xml:space="preserve"> </w:t>
      </w:r>
      <w:r w:rsidRPr="00A26C26">
        <w:rPr>
          <w:rFonts w:eastAsia="Calibri" w:cstheme="minorHAnsi"/>
          <w:kern w:val="0"/>
          <w14:ligatures w14:val="none"/>
        </w:rPr>
        <w:t>i</w:t>
      </w:r>
      <w:r w:rsidR="003B50ED">
        <w:rPr>
          <w:rFonts w:eastAsia="Calibri" w:cstheme="minorHAnsi"/>
          <w:kern w:val="0"/>
          <w14:ligatures w14:val="none"/>
        </w:rPr>
        <w:t xml:space="preserve"> </w:t>
      </w:r>
      <w:r w:rsidRPr="00A26C26">
        <w:rPr>
          <w:rFonts w:eastAsia="Calibri" w:cstheme="minorHAnsi"/>
          <w:kern w:val="0"/>
          <w14:ligatures w14:val="none"/>
        </w:rPr>
        <w:t>środowiskowych.</w:t>
      </w:r>
      <w:r w:rsidR="003B50ED">
        <w:rPr>
          <w:rFonts w:eastAsia="Calibri" w:cstheme="minorHAnsi"/>
          <w:kern w:val="0"/>
          <w14:ligatures w14:val="none"/>
        </w:rPr>
        <w:t xml:space="preserve"> </w:t>
      </w:r>
      <w:r w:rsidRPr="00A26C26">
        <w:rPr>
          <w:rFonts w:eastAsia="Calibri" w:cstheme="minorHAnsi"/>
          <w:kern w:val="0"/>
          <w14:ligatures w14:val="none"/>
        </w:rPr>
        <w:t>W</w:t>
      </w:r>
      <w:r w:rsidR="003B50ED">
        <w:rPr>
          <w:rFonts w:eastAsia="Calibri" w:cstheme="minorHAnsi"/>
          <w:kern w:val="0"/>
          <w14:ligatures w14:val="none"/>
        </w:rPr>
        <w:t xml:space="preserve"> </w:t>
      </w:r>
      <w:r w:rsidRPr="00A26C26">
        <w:rPr>
          <w:rFonts w:eastAsia="Calibri" w:cstheme="minorHAnsi"/>
          <w:kern w:val="0"/>
          <w14:ligatures w14:val="none"/>
        </w:rPr>
        <w:t>ten</w:t>
      </w:r>
      <w:r w:rsidR="003B50ED">
        <w:rPr>
          <w:rFonts w:eastAsia="Calibri" w:cstheme="minorHAnsi"/>
          <w:kern w:val="0"/>
          <w14:ligatures w14:val="none"/>
        </w:rPr>
        <w:t xml:space="preserve"> </w:t>
      </w:r>
      <w:r w:rsidRPr="00A26C26">
        <w:rPr>
          <w:rFonts w:eastAsia="Calibri" w:cstheme="minorHAnsi"/>
          <w:kern w:val="0"/>
          <w14:ligatures w14:val="none"/>
        </w:rPr>
        <w:t>sposób</w:t>
      </w:r>
      <w:r w:rsidR="003B50ED">
        <w:rPr>
          <w:rFonts w:eastAsia="Calibri" w:cstheme="minorHAnsi"/>
          <w:kern w:val="0"/>
          <w14:ligatures w14:val="none"/>
        </w:rPr>
        <w:t xml:space="preserve"> </w:t>
      </w:r>
      <w:r w:rsidRPr="00A26C26">
        <w:rPr>
          <w:rFonts w:eastAsia="Calibri" w:cstheme="minorHAnsi"/>
          <w:kern w:val="0"/>
          <w14:ligatures w14:val="none"/>
        </w:rPr>
        <w:t>podejście</w:t>
      </w:r>
      <w:r w:rsidR="003B50ED">
        <w:rPr>
          <w:rFonts w:eastAsia="Calibri" w:cstheme="minorHAnsi"/>
          <w:kern w:val="0"/>
          <w14:ligatures w14:val="none"/>
        </w:rPr>
        <w:t xml:space="preserve"> </w:t>
      </w:r>
      <w:r w:rsidRPr="00A26C26">
        <w:rPr>
          <w:rFonts w:eastAsia="Calibri" w:cstheme="minorHAnsi"/>
          <w:kern w:val="0"/>
          <w14:ligatures w14:val="none"/>
        </w:rPr>
        <w:t>LEADER</w:t>
      </w:r>
      <w:r w:rsidR="003B50ED">
        <w:rPr>
          <w:rFonts w:eastAsia="Calibri" w:cstheme="minorHAnsi"/>
          <w:kern w:val="0"/>
          <w14:ligatures w14:val="none"/>
        </w:rPr>
        <w:t xml:space="preserve"> </w:t>
      </w:r>
      <w:r w:rsidRPr="00A26C26">
        <w:rPr>
          <w:rFonts w:eastAsia="Calibri" w:cstheme="minorHAnsi"/>
          <w:kern w:val="0"/>
          <w14:ligatures w14:val="none"/>
        </w:rPr>
        <w:t>przyczynia</w:t>
      </w:r>
      <w:r w:rsidR="003B50ED">
        <w:rPr>
          <w:rFonts w:eastAsia="Calibri" w:cstheme="minorHAnsi"/>
          <w:kern w:val="0"/>
          <w14:ligatures w14:val="none"/>
        </w:rPr>
        <w:t xml:space="preserve"> </w:t>
      </w:r>
      <w:r w:rsidRPr="00A26C26">
        <w:rPr>
          <w:rFonts w:eastAsia="Calibri" w:cstheme="minorHAnsi"/>
          <w:kern w:val="0"/>
          <w14:ligatures w14:val="none"/>
        </w:rPr>
        <w:t>się</w:t>
      </w:r>
      <w:r w:rsidR="003B50ED">
        <w:rPr>
          <w:rFonts w:eastAsia="Calibri" w:cstheme="minorHAnsi"/>
          <w:kern w:val="0"/>
          <w14:ligatures w14:val="none"/>
        </w:rPr>
        <w:t xml:space="preserve"> </w:t>
      </w:r>
      <w:r w:rsidRPr="00A26C26">
        <w:rPr>
          <w:rFonts w:eastAsia="Calibri" w:cstheme="minorHAnsi"/>
          <w:kern w:val="0"/>
          <w14:ligatures w14:val="none"/>
        </w:rPr>
        <w:t>do</w:t>
      </w:r>
      <w:r w:rsidR="003B50ED">
        <w:rPr>
          <w:rFonts w:eastAsia="Calibri" w:cstheme="minorHAnsi"/>
          <w:kern w:val="0"/>
          <w14:ligatures w14:val="none"/>
        </w:rPr>
        <w:t xml:space="preserve"> </w:t>
      </w:r>
      <w:r w:rsidRPr="00A26C26">
        <w:rPr>
          <w:rFonts w:eastAsia="Calibri" w:cstheme="minorHAnsi"/>
          <w:kern w:val="0"/>
          <w14:ligatures w14:val="none"/>
        </w:rPr>
        <w:t>tworzenia</w:t>
      </w:r>
      <w:r w:rsidR="003B50ED">
        <w:rPr>
          <w:rFonts w:eastAsia="Calibri" w:cstheme="minorHAnsi"/>
          <w:kern w:val="0"/>
          <w14:ligatures w14:val="none"/>
        </w:rPr>
        <w:t xml:space="preserve"> </w:t>
      </w:r>
      <w:r w:rsidRPr="00A26C26">
        <w:rPr>
          <w:rFonts w:eastAsia="Calibri" w:cstheme="minorHAnsi"/>
          <w:kern w:val="0"/>
          <w14:ligatures w14:val="none"/>
        </w:rPr>
        <w:t>trwałego</w:t>
      </w:r>
      <w:r w:rsidR="003B50ED">
        <w:rPr>
          <w:rFonts w:eastAsia="Calibri" w:cstheme="minorHAnsi"/>
          <w:kern w:val="0"/>
          <w14:ligatures w14:val="none"/>
        </w:rPr>
        <w:t xml:space="preserve"> </w:t>
      </w:r>
      <w:r w:rsidRPr="00A26C26">
        <w:rPr>
          <w:rFonts w:eastAsia="Calibri" w:cstheme="minorHAnsi"/>
          <w:kern w:val="0"/>
          <w14:ligatures w14:val="none"/>
        </w:rPr>
        <w:t>i</w:t>
      </w:r>
      <w:r w:rsidR="003B50ED">
        <w:rPr>
          <w:rFonts w:eastAsia="Calibri" w:cstheme="minorHAnsi"/>
          <w:kern w:val="0"/>
          <w14:ligatures w14:val="none"/>
        </w:rPr>
        <w:t xml:space="preserve"> </w:t>
      </w:r>
      <w:r w:rsidRPr="00A26C26">
        <w:rPr>
          <w:rFonts w:eastAsia="Calibri" w:cstheme="minorHAnsi"/>
          <w:kern w:val="0"/>
          <w14:ligatures w14:val="none"/>
        </w:rPr>
        <w:t>zrównoważonego</w:t>
      </w:r>
      <w:r w:rsidR="003B50ED">
        <w:rPr>
          <w:rFonts w:eastAsia="Calibri" w:cstheme="minorHAnsi"/>
          <w:kern w:val="0"/>
          <w14:ligatures w14:val="none"/>
        </w:rPr>
        <w:t xml:space="preserve"> </w:t>
      </w:r>
      <w:r w:rsidRPr="00A26C26">
        <w:rPr>
          <w:rFonts w:eastAsia="Calibri" w:cstheme="minorHAnsi"/>
          <w:kern w:val="0"/>
          <w14:ligatures w14:val="none"/>
        </w:rPr>
        <w:t>rozwoju</w:t>
      </w:r>
      <w:r w:rsidR="003B50ED">
        <w:rPr>
          <w:rFonts w:eastAsia="Calibri" w:cstheme="minorHAnsi"/>
          <w:kern w:val="0"/>
          <w14:ligatures w14:val="none"/>
        </w:rPr>
        <w:t xml:space="preserve"> </w:t>
      </w:r>
      <w:r w:rsidRPr="00A26C26">
        <w:rPr>
          <w:rFonts w:eastAsia="Calibri" w:cstheme="minorHAnsi"/>
          <w:kern w:val="0"/>
          <w14:ligatures w14:val="none"/>
        </w:rPr>
        <w:t>lokalnych</w:t>
      </w:r>
      <w:r w:rsidR="003B50ED">
        <w:rPr>
          <w:rFonts w:eastAsia="Calibri" w:cstheme="minorHAnsi"/>
          <w:kern w:val="0"/>
          <w14:ligatures w14:val="none"/>
        </w:rPr>
        <w:t xml:space="preserve"> </w:t>
      </w:r>
      <w:r w:rsidRPr="00A26C26">
        <w:rPr>
          <w:rFonts w:eastAsia="Calibri" w:cstheme="minorHAnsi"/>
          <w:kern w:val="0"/>
          <w14:ligatures w14:val="none"/>
        </w:rPr>
        <w:t>społeczności,</w:t>
      </w:r>
      <w:r w:rsidR="003B50ED">
        <w:rPr>
          <w:rFonts w:eastAsia="Calibri" w:cstheme="minorHAnsi"/>
          <w:kern w:val="0"/>
          <w14:ligatures w14:val="none"/>
        </w:rPr>
        <w:t xml:space="preserve"> </w:t>
      </w:r>
      <w:r w:rsidRPr="00A26C26">
        <w:rPr>
          <w:rFonts w:eastAsia="Calibri" w:cstheme="minorHAnsi"/>
          <w:kern w:val="0"/>
          <w14:ligatures w14:val="none"/>
        </w:rPr>
        <w:t>poprawiając</w:t>
      </w:r>
      <w:r w:rsidR="003B50ED">
        <w:rPr>
          <w:rFonts w:eastAsia="Calibri" w:cstheme="minorHAnsi"/>
          <w:kern w:val="0"/>
          <w14:ligatures w14:val="none"/>
        </w:rPr>
        <w:t xml:space="preserve"> </w:t>
      </w:r>
      <w:r w:rsidRPr="00A26C26">
        <w:rPr>
          <w:rFonts w:eastAsia="Calibri" w:cstheme="minorHAnsi"/>
          <w:kern w:val="0"/>
          <w14:ligatures w14:val="none"/>
        </w:rPr>
        <w:t>jakość</w:t>
      </w:r>
      <w:r w:rsidR="003B50ED">
        <w:rPr>
          <w:rFonts w:eastAsia="Calibri" w:cstheme="minorHAnsi"/>
          <w:kern w:val="0"/>
          <w14:ligatures w14:val="none"/>
        </w:rPr>
        <w:t xml:space="preserve"> </w:t>
      </w:r>
      <w:r w:rsidRPr="00A26C26">
        <w:rPr>
          <w:rFonts w:eastAsia="Calibri" w:cstheme="minorHAnsi"/>
          <w:kern w:val="0"/>
          <w14:ligatures w14:val="none"/>
        </w:rPr>
        <w:t>życia</w:t>
      </w:r>
      <w:r w:rsidR="003B50ED">
        <w:rPr>
          <w:rFonts w:eastAsia="Calibri" w:cstheme="minorHAnsi"/>
          <w:kern w:val="0"/>
          <w14:ligatures w14:val="none"/>
        </w:rPr>
        <w:t xml:space="preserve"> </w:t>
      </w:r>
      <w:r w:rsidRPr="00A26C26">
        <w:rPr>
          <w:rFonts w:eastAsia="Calibri" w:cstheme="minorHAnsi"/>
          <w:kern w:val="0"/>
          <w14:ligatures w14:val="none"/>
        </w:rPr>
        <w:t>mieszkańców</w:t>
      </w:r>
      <w:r w:rsidR="003B50ED">
        <w:rPr>
          <w:rFonts w:eastAsia="Calibri" w:cstheme="minorHAnsi"/>
          <w:kern w:val="0"/>
          <w14:ligatures w14:val="none"/>
        </w:rPr>
        <w:t xml:space="preserve"> </w:t>
      </w:r>
      <w:r w:rsidRPr="00A26C26">
        <w:rPr>
          <w:rFonts w:eastAsia="Calibri" w:cstheme="minorHAnsi"/>
          <w:kern w:val="0"/>
          <w14:ligatures w14:val="none"/>
        </w:rPr>
        <w:t>i</w:t>
      </w:r>
      <w:r w:rsidR="003B50ED">
        <w:rPr>
          <w:rFonts w:eastAsia="Calibri" w:cstheme="minorHAnsi"/>
          <w:kern w:val="0"/>
          <w14:ligatures w14:val="none"/>
        </w:rPr>
        <w:t xml:space="preserve"> </w:t>
      </w:r>
      <w:r w:rsidRPr="00A26C26">
        <w:rPr>
          <w:rFonts w:eastAsia="Calibri" w:cstheme="minorHAnsi"/>
          <w:kern w:val="0"/>
          <w14:ligatures w14:val="none"/>
        </w:rPr>
        <w:t>tworząc</w:t>
      </w:r>
      <w:r w:rsidR="003B50ED">
        <w:rPr>
          <w:rFonts w:eastAsia="Calibri" w:cstheme="minorHAnsi"/>
          <w:kern w:val="0"/>
          <w14:ligatures w14:val="none"/>
        </w:rPr>
        <w:t xml:space="preserve"> </w:t>
      </w:r>
      <w:r w:rsidRPr="00A26C26">
        <w:rPr>
          <w:rFonts w:eastAsia="Calibri" w:cstheme="minorHAnsi"/>
          <w:kern w:val="0"/>
          <w14:ligatures w14:val="none"/>
        </w:rPr>
        <w:t>nowe</w:t>
      </w:r>
      <w:r w:rsidR="003B50ED">
        <w:rPr>
          <w:rFonts w:eastAsia="Calibri" w:cstheme="minorHAnsi"/>
          <w:kern w:val="0"/>
          <w14:ligatures w14:val="none"/>
        </w:rPr>
        <w:t xml:space="preserve"> </w:t>
      </w:r>
      <w:r w:rsidRPr="00A26C26">
        <w:rPr>
          <w:rFonts w:eastAsia="Calibri" w:cstheme="minorHAnsi"/>
          <w:kern w:val="0"/>
          <w14:ligatures w14:val="none"/>
        </w:rPr>
        <w:t>możliwości</w:t>
      </w:r>
      <w:r w:rsidR="003B50ED">
        <w:rPr>
          <w:rFonts w:eastAsia="Calibri" w:cstheme="minorHAnsi"/>
          <w:kern w:val="0"/>
          <w14:ligatures w14:val="none"/>
        </w:rPr>
        <w:t xml:space="preserve"> </w:t>
      </w:r>
      <w:r w:rsidRPr="00A26C26">
        <w:rPr>
          <w:rFonts w:eastAsia="Calibri" w:cstheme="minorHAnsi"/>
          <w:kern w:val="0"/>
          <w14:ligatures w14:val="none"/>
        </w:rPr>
        <w:t>zatrudnienia.</w:t>
      </w:r>
    </w:p>
    <w:p w14:paraId="790E26D5" w14:textId="06907488" w:rsidR="00857736" w:rsidRPr="00A26C26" w:rsidRDefault="00857736" w:rsidP="00A26C26">
      <w:pPr>
        <w:spacing w:line="276" w:lineRule="auto"/>
        <w:ind w:firstLine="284"/>
        <w:jc w:val="both"/>
        <w:rPr>
          <w:rFonts w:eastAsia="Calibri" w:cstheme="minorHAnsi"/>
          <w:kern w:val="0"/>
          <w14:ligatures w14:val="none"/>
        </w:rPr>
      </w:pPr>
      <w:r w:rsidRPr="00A26C26">
        <w:rPr>
          <w:rFonts w:eastAsia="Calibri" w:cstheme="minorHAnsi"/>
          <w:kern w:val="0"/>
          <w14:ligatures w14:val="none"/>
        </w:rPr>
        <w:t>Wśród</w:t>
      </w:r>
      <w:r w:rsidR="003B50ED">
        <w:rPr>
          <w:rFonts w:eastAsia="Calibri" w:cstheme="minorHAnsi"/>
          <w:kern w:val="0"/>
          <w14:ligatures w14:val="none"/>
        </w:rPr>
        <w:t xml:space="preserve"> </w:t>
      </w:r>
      <w:r w:rsidRPr="00A26C26">
        <w:rPr>
          <w:rFonts w:eastAsia="Calibri" w:cstheme="minorHAnsi"/>
          <w:kern w:val="0"/>
          <w14:ligatures w14:val="none"/>
        </w:rPr>
        <w:t>najważniejszych</w:t>
      </w:r>
      <w:r w:rsidR="003B50ED">
        <w:rPr>
          <w:rFonts w:eastAsia="Calibri" w:cstheme="minorHAnsi"/>
          <w:kern w:val="0"/>
          <w14:ligatures w14:val="none"/>
        </w:rPr>
        <w:t xml:space="preserve"> </w:t>
      </w:r>
      <w:r w:rsidRPr="00A26C26">
        <w:rPr>
          <w:rFonts w:eastAsia="Calibri" w:cstheme="minorHAnsi"/>
          <w:kern w:val="0"/>
          <w14:ligatures w14:val="none"/>
        </w:rPr>
        <w:t>korzyści</w:t>
      </w:r>
      <w:r w:rsidR="003B50ED">
        <w:rPr>
          <w:rFonts w:eastAsia="Calibri" w:cstheme="minorHAnsi"/>
          <w:kern w:val="0"/>
          <w14:ligatures w14:val="none"/>
        </w:rPr>
        <w:t xml:space="preserve"> </w:t>
      </w:r>
      <w:r w:rsidRPr="00A26C26">
        <w:rPr>
          <w:rFonts w:eastAsia="Calibri" w:cstheme="minorHAnsi"/>
          <w:kern w:val="0"/>
          <w14:ligatures w14:val="none"/>
        </w:rPr>
        <w:t>planowanych</w:t>
      </w:r>
      <w:r w:rsidR="003B50ED">
        <w:rPr>
          <w:rFonts w:eastAsia="Calibri" w:cstheme="minorHAnsi"/>
          <w:kern w:val="0"/>
          <w14:ligatures w14:val="none"/>
        </w:rPr>
        <w:t xml:space="preserve"> </w:t>
      </w:r>
      <w:r w:rsidRPr="00A26C26">
        <w:rPr>
          <w:rFonts w:eastAsia="Calibri" w:cstheme="minorHAnsi"/>
          <w:kern w:val="0"/>
          <w14:ligatures w14:val="none"/>
        </w:rPr>
        <w:t>do</w:t>
      </w:r>
      <w:r w:rsidR="003B50ED">
        <w:rPr>
          <w:rFonts w:eastAsia="Calibri" w:cstheme="minorHAnsi"/>
          <w:kern w:val="0"/>
          <w14:ligatures w14:val="none"/>
        </w:rPr>
        <w:t xml:space="preserve"> </w:t>
      </w:r>
      <w:r w:rsidRPr="00A26C26">
        <w:rPr>
          <w:rFonts w:eastAsia="Calibri" w:cstheme="minorHAnsi"/>
          <w:kern w:val="0"/>
          <w14:ligatures w14:val="none"/>
        </w:rPr>
        <w:t>osiągnięcia</w:t>
      </w:r>
      <w:r w:rsidR="003B50ED">
        <w:rPr>
          <w:rFonts w:eastAsia="Calibri" w:cstheme="minorHAnsi"/>
          <w:kern w:val="0"/>
          <w14:ligatures w14:val="none"/>
        </w:rPr>
        <w:t xml:space="preserve"> </w:t>
      </w:r>
      <w:r w:rsidRPr="00A26C26">
        <w:rPr>
          <w:rFonts w:eastAsia="Calibri" w:cstheme="minorHAnsi"/>
          <w:kern w:val="0"/>
          <w14:ligatures w14:val="none"/>
        </w:rPr>
        <w:t>należy</w:t>
      </w:r>
      <w:r w:rsidR="003B50ED">
        <w:rPr>
          <w:rFonts w:eastAsia="Calibri" w:cstheme="minorHAnsi"/>
          <w:kern w:val="0"/>
          <w14:ligatures w14:val="none"/>
        </w:rPr>
        <w:t xml:space="preserve"> </w:t>
      </w:r>
      <w:r w:rsidRPr="00A26C26">
        <w:rPr>
          <w:rFonts w:eastAsia="Calibri" w:cstheme="minorHAnsi"/>
          <w:kern w:val="0"/>
          <w14:ligatures w14:val="none"/>
        </w:rPr>
        <w:t>wskazać:</w:t>
      </w:r>
    </w:p>
    <w:p w14:paraId="2EF4AE7E" w14:textId="045539B4" w:rsidR="00857736" w:rsidRPr="00A26C26" w:rsidRDefault="00857736" w:rsidP="008A412F">
      <w:pPr>
        <w:numPr>
          <w:ilvl w:val="0"/>
          <w:numId w:val="20"/>
        </w:numPr>
        <w:spacing w:line="276" w:lineRule="auto"/>
        <w:jc w:val="both"/>
        <w:rPr>
          <w:rFonts w:eastAsia="Calibri" w:cstheme="minorHAnsi"/>
          <w:kern w:val="0"/>
          <w:lang w:eastAsia="pl-PL"/>
          <w14:ligatures w14:val="none"/>
        </w:rPr>
      </w:pPr>
      <w:r w:rsidRPr="00A26C26">
        <w:rPr>
          <w:rFonts w:eastAsia="Calibri" w:cstheme="minorHAnsi"/>
          <w:kern w:val="0"/>
          <w:lang w:eastAsia="pl-PL"/>
          <w14:ligatures w14:val="none"/>
        </w:rPr>
        <w:t>Stymulowanie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innowacji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poprzez</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wspieranie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lokalnych</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inicjatyw,</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pomysłów</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przedsięwzięć,</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które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mają</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na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celu</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rozwój</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obszarów</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wiejskich.</w:t>
      </w:r>
    </w:p>
    <w:p w14:paraId="7BD6EE03" w14:textId="4E87A4EC" w:rsidR="00857736" w:rsidRPr="00A26C26" w:rsidRDefault="00857736" w:rsidP="008A412F">
      <w:pPr>
        <w:numPr>
          <w:ilvl w:val="0"/>
          <w:numId w:val="20"/>
        </w:numPr>
        <w:spacing w:line="276" w:lineRule="auto"/>
        <w:jc w:val="both"/>
        <w:rPr>
          <w:rFonts w:eastAsia="Calibri" w:cstheme="minorHAnsi"/>
          <w:kern w:val="0"/>
          <w:lang w:eastAsia="pl-PL"/>
          <w14:ligatures w14:val="none"/>
        </w:rPr>
      </w:pPr>
      <w:r w:rsidRPr="00A26C26">
        <w:rPr>
          <w:rFonts w:eastAsia="Calibri" w:cstheme="minorHAnsi"/>
          <w:kern w:val="0"/>
          <w:lang w:eastAsia="pl-PL"/>
          <w14:ligatures w14:val="none"/>
        </w:rPr>
        <w:t>Wspieranie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przedsiębiorczości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lokalnej</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poprzez</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udzielanie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wsparcia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finansowego,</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szkolenia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doradztwo</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dla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lokalnych</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przedsiębiorców.</w:t>
      </w:r>
    </w:p>
    <w:p w14:paraId="7F75EBE9" w14:textId="6630047C" w:rsidR="00857736" w:rsidRPr="00A26C26" w:rsidRDefault="00857736" w:rsidP="008A412F">
      <w:pPr>
        <w:numPr>
          <w:ilvl w:val="0"/>
          <w:numId w:val="20"/>
        </w:numPr>
        <w:spacing w:line="276" w:lineRule="auto"/>
        <w:jc w:val="both"/>
        <w:rPr>
          <w:rFonts w:eastAsia="Calibri" w:cstheme="minorHAnsi"/>
          <w:kern w:val="0"/>
          <w:lang w:eastAsia="pl-PL"/>
          <w14:ligatures w14:val="none"/>
        </w:rPr>
      </w:pPr>
      <w:r w:rsidRPr="00A26C26">
        <w:rPr>
          <w:rFonts w:eastAsia="Calibri" w:cstheme="minorHAnsi"/>
          <w:kern w:val="0"/>
          <w:lang w:eastAsia="pl-PL"/>
          <w14:ligatures w14:val="none"/>
        </w:rPr>
        <w:t>Wprowadzanie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nowych</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technologii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rozwiązań,</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które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mogą</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przyczynić</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się</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do</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modernizacji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efektywności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działalności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gospodarczej</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na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obszarach</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wiejskich.</w:t>
      </w:r>
    </w:p>
    <w:p w14:paraId="69E84F8A" w14:textId="03C5EC30" w:rsidR="00857736" w:rsidRPr="00A26C26" w:rsidRDefault="00857736" w:rsidP="008A412F">
      <w:pPr>
        <w:numPr>
          <w:ilvl w:val="0"/>
          <w:numId w:val="20"/>
        </w:numPr>
        <w:spacing w:line="276" w:lineRule="auto"/>
        <w:jc w:val="both"/>
        <w:rPr>
          <w:rFonts w:eastAsia="Calibri" w:cstheme="minorHAnsi"/>
          <w:kern w:val="0"/>
          <w:lang w:eastAsia="pl-PL"/>
          <w14:ligatures w14:val="none"/>
        </w:rPr>
      </w:pPr>
      <w:r w:rsidRPr="00A26C26">
        <w:rPr>
          <w:rFonts w:eastAsia="Calibri" w:cstheme="minorHAnsi"/>
          <w:kern w:val="0"/>
          <w:lang w:eastAsia="pl-PL"/>
          <w14:ligatures w14:val="none"/>
        </w:rPr>
        <w:t>Włączenie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społeczne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osób</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z</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różnych</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grup</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wiekowych,</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zawodowych</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społecznych</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poprzez</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tworzenie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możliwości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uczestnictwa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współdecydowania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lokalnych</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projektach</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działaniach.</w:t>
      </w:r>
    </w:p>
    <w:p w14:paraId="104051C1" w14:textId="1CDE5EAC" w:rsidR="00857736" w:rsidRPr="00A26C26" w:rsidRDefault="00857736" w:rsidP="008A412F">
      <w:pPr>
        <w:numPr>
          <w:ilvl w:val="0"/>
          <w:numId w:val="20"/>
        </w:numPr>
        <w:spacing w:line="276" w:lineRule="auto"/>
        <w:jc w:val="both"/>
        <w:rPr>
          <w:rFonts w:eastAsia="Calibri" w:cstheme="minorHAnsi"/>
          <w:kern w:val="0"/>
          <w:lang w:eastAsia="pl-PL"/>
          <w14:ligatures w14:val="none"/>
        </w:rPr>
      </w:pPr>
      <w:r w:rsidRPr="00A26C26">
        <w:rPr>
          <w:rFonts w:eastAsia="Calibri" w:cstheme="minorHAnsi"/>
          <w:kern w:val="0"/>
          <w:lang w:eastAsia="pl-PL"/>
          <w14:ligatures w14:val="none"/>
        </w:rPr>
        <w:t>Wspieranie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integracji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społecznej</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osób</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znajdujących</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się</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niekorzystnej</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sytuacji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poprzez</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tworzenie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programów</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wsparcia,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szkoleń</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możliwości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zatrudnienia.</w:t>
      </w:r>
    </w:p>
    <w:p w14:paraId="0E8D0CD1" w14:textId="1C889B1F" w:rsidR="00857736" w:rsidRPr="00A26C26" w:rsidRDefault="00857736" w:rsidP="008A412F">
      <w:pPr>
        <w:numPr>
          <w:ilvl w:val="0"/>
          <w:numId w:val="20"/>
        </w:numPr>
        <w:spacing w:line="276" w:lineRule="auto"/>
        <w:jc w:val="both"/>
        <w:rPr>
          <w:rFonts w:eastAsia="Calibri" w:cstheme="minorHAnsi"/>
          <w:kern w:val="0"/>
          <w:lang w:eastAsia="pl-PL"/>
          <w14:ligatures w14:val="none"/>
        </w:rPr>
      </w:pPr>
      <w:r w:rsidRPr="00A26C26">
        <w:rPr>
          <w:rFonts w:eastAsia="Calibri" w:cstheme="minorHAnsi"/>
          <w:kern w:val="0"/>
          <w:lang w:eastAsia="pl-PL"/>
          <w14:ligatures w14:val="none"/>
        </w:rPr>
        <w:t>Budowanie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więzi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społecznych</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współpracy</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między</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różnymi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grupami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interesariuszy</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celu</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osiągnięcia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wspólnego</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celu</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rozwoju</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obszarów</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wiejskich.</w:t>
      </w:r>
    </w:p>
    <w:p w14:paraId="54316E23" w14:textId="2A0261B8" w:rsidR="00857736" w:rsidRPr="00A26C26" w:rsidRDefault="00857736" w:rsidP="008A412F">
      <w:pPr>
        <w:numPr>
          <w:ilvl w:val="0"/>
          <w:numId w:val="20"/>
        </w:numPr>
        <w:spacing w:line="276" w:lineRule="auto"/>
        <w:jc w:val="both"/>
        <w:rPr>
          <w:rFonts w:eastAsia="Calibri" w:cstheme="minorHAnsi"/>
          <w:kern w:val="0"/>
          <w:lang w:eastAsia="pl-PL"/>
          <w14:ligatures w14:val="none"/>
        </w:rPr>
      </w:pPr>
      <w:r w:rsidRPr="00A26C26">
        <w:rPr>
          <w:rFonts w:eastAsia="Calibri" w:cstheme="minorHAnsi"/>
          <w:kern w:val="0"/>
          <w:lang w:eastAsia="pl-PL"/>
          <w14:ligatures w14:val="none"/>
        </w:rPr>
        <w:t>Wzmacnianie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lokalnej</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tożsamości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dziedzictwa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kulturowego</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poprzez</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promowanie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dziedzictwa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kulturowego</w:t>
      </w:r>
      <w:r w:rsidR="003B50ED">
        <w:rPr>
          <w:rFonts w:eastAsia="Calibri" w:cstheme="minorHAnsi"/>
          <w:kern w:val="0"/>
          <w:lang w:eastAsia="pl-PL"/>
          <w14:ligatures w14:val="none"/>
        </w:rPr>
        <w:t xml:space="preserve"> </w:t>
      </w:r>
      <w:r w:rsidR="00E737ED">
        <w:rPr>
          <w:rFonts w:eastAsia="Calibri" w:cstheme="minorHAnsi"/>
          <w:kern w:val="0"/>
          <w:lang w:eastAsia="pl-PL"/>
          <w14:ligatures w14:val="none"/>
        </w:rPr>
        <w:t xml:space="preserve">                   </w:t>
      </w:r>
      <w:r w:rsidRPr="00A26C26">
        <w:rPr>
          <w:rFonts w:eastAsia="Calibri" w:cstheme="minorHAnsi"/>
          <w:kern w:val="0"/>
          <w:lang w:eastAsia="pl-PL"/>
          <w14:ligatures w14:val="none"/>
        </w:rPr>
        <w:t>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lokalnych</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produktów.</w:t>
      </w:r>
    </w:p>
    <w:p w14:paraId="075B281C" w14:textId="5E865A49" w:rsidR="00857736" w:rsidRPr="00A26C26" w:rsidRDefault="00857736" w:rsidP="008A412F">
      <w:pPr>
        <w:numPr>
          <w:ilvl w:val="0"/>
          <w:numId w:val="20"/>
        </w:numPr>
        <w:spacing w:line="276" w:lineRule="auto"/>
        <w:jc w:val="both"/>
        <w:rPr>
          <w:rFonts w:eastAsia="Calibri" w:cstheme="minorHAnsi"/>
          <w:kern w:val="0"/>
          <w:lang w:eastAsia="pl-PL"/>
          <w14:ligatures w14:val="none"/>
        </w:rPr>
      </w:pPr>
      <w:r w:rsidRPr="00A26C26">
        <w:rPr>
          <w:rFonts w:eastAsia="Calibri" w:cstheme="minorHAnsi"/>
          <w:kern w:val="0"/>
          <w:lang w:eastAsia="pl-PL"/>
          <w14:ligatures w14:val="none"/>
        </w:rPr>
        <w:t>Tworzenie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platform</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dialogu</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wymiany</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doświadczeń</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między</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lokalnymi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społecznościami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wiejskimi,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co</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sprzyja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uczeniu</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się</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od</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siebie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adaptacji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dobrych</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praktyk.</w:t>
      </w:r>
    </w:p>
    <w:p w14:paraId="4F1E6328" w14:textId="530EE0D4" w:rsidR="00857736" w:rsidRPr="00A26C26" w:rsidRDefault="00857736" w:rsidP="008A412F">
      <w:pPr>
        <w:numPr>
          <w:ilvl w:val="0"/>
          <w:numId w:val="20"/>
        </w:numPr>
        <w:spacing w:line="276" w:lineRule="auto"/>
        <w:jc w:val="both"/>
        <w:rPr>
          <w:rFonts w:eastAsia="Calibri" w:cstheme="minorHAnsi"/>
          <w:kern w:val="0"/>
          <w:lang w:eastAsia="pl-PL"/>
          <w14:ligatures w14:val="none"/>
        </w:rPr>
      </w:pPr>
      <w:r w:rsidRPr="00A26C26">
        <w:rPr>
          <w:rFonts w:eastAsia="Calibri" w:cstheme="minorHAnsi"/>
          <w:kern w:val="0"/>
          <w:lang w:eastAsia="pl-PL"/>
          <w14:ligatures w14:val="none"/>
        </w:rPr>
        <w:t>Wspieranie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innowacyjnych</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projektów</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związanych</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z</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obszarami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wiejskimi,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co</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przyczynia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się</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do</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generowania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nowej</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wiedzy</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rozwoju.</w:t>
      </w:r>
    </w:p>
    <w:p w14:paraId="5BCEDD15" w14:textId="638DA059" w:rsidR="00857736" w:rsidRPr="00A26C26" w:rsidRDefault="00857736" w:rsidP="008A412F">
      <w:pPr>
        <w:numPr>
          <w:ilvl w:val="0"/>
          <w:numId w:val="20"/>
        </w:numPr>
        <w:spacing w:line="276" w:lineRule="auto"/>
        <w:jc w:val="both"/>
        <w:rPr>
          <w:rFonts w:eastAsia="Calibri" w:cstheme="minorHAnsi"/>
          <w:kern w:val="0"/>
          <w:lang w:eastAsia="pl-PL"/>
          <w14:ligatures w14:val="none"/>
        </w:rPr>
      </w:pPr>
      <w:r w:rsidRPr="00A26C26">
        <w:rPr>
          <w:rFonts w:eastAsia="Calibri" w:cstheme="minorHAnsi"/>
          <w:kern w:val="0"/>
          <w:lang w:eastAsia="pl-PL"/>
          <w14:ligatures w14:val="none"/>
        </w:rPr>
        <w:t>Kreowanie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warunków</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sprzyjających</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powstawaniu</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rozwojowi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inicjatyw</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lokalnych,</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które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przyczyniają</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się</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do</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ożywienia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społeczno-gospodarczego</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obszarów</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wiejskich.</w:t>
      </w:r>
    </w:p>
    <w:p w14:paraId="2A044985" w14:textId="24D5CFC3" w:rsidR="00857736" w:rsidRPr="00A26C26" w:rsidRDefault="00857736" w:rsidP="008A412F">
      <w:pPr>
        <w:numPr>
          <w:ilvl w:val="0"/>
          <w:numId w:val="20"/>
        </w:numPr>
        <w:spacing w:line="276" w:lineRule="auto"/>
        <w:jc w:val="both"/>
        <w:rPr>
          <w:rFonts w:eastAsia="Calibri" w:cstheme="minorHAnsi"/>
          <w:kern w:val="0"/>
          <w:lang w:eastAsia="pl-PL"/>
          <w14:ligatures w14:val="none"/>
        </w:rPr>
      </w:pPr>
      <w:r w:rsidRPr="00A26C26">
        <w:rPr>
          <w:rFonts w:eastAsia="Calibri" w:cstheme="minorHAnsi"/>
          <w:kern w:val="0"/>
          <w:lang w:eastAsia="pl-PL"/>
          <w14:ligatures w14:val="none"/>
        </w:rPr>
        <w:t>Budowanie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poczucia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przynależności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do</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lokalnej</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społeczności,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co</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wzmacnia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więzi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społeczne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identyfikację</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br/>
        <w:t>z</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danym</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obszarem.</w:t>
      </w:r>
    </w:p>
    <w:p w14:paraId="01853376" w14:textId="386B9C32" w:rsidR="00857736" w:rsidRPr="00A26C26" w:rsidRDefault="00857736" w:rsidP="008A412F">
      <w:pPr>
        <w:numPr>
          <w:ilvl w:val="0"/>
          <w:numId w:val="20"/>
        </w:numPr>
        <w:spacing w:line="276" w:lineRule="auto"/>
        <w:jc w:val="both"/>
        <w:rPr>
          <w:rFonts w:eastAsia="Calibri" w:cstheme="minorHAnsi"/>
          <w:kern w:val="0"/>
          <w14:ligatures w14:val="none"/>
        </w:rPr>
      </w:pPr>
      <w:r w:rsidRPr="00A26C26">
        <w:rPr>
          <w:rFonts w:eastAsia="Calibri" w:cstheme="minorHAnsi"/>
          <w:kern w:val="0"/>
          <w:lang w:eastAsia="pl-PL"/>
          <w14:ligatures w14:val="none"/>
        </w:rPr>
        <w:t>Zmniejszenie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migracji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ludności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do</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wielkich</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ośrodków</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miejskich</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poprzez</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tworzenie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lepszych</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warunków</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życia</w:t>
      </w:r>
      <w:r w:rsidR="00E737ED">
        <w:rPr>
          <w:rFonts w:eastAsia="Calibri" w:cstheme="minorHAnsi"/>
          <w:kern w:val="0"/>
          <w:lang w:eastAsia="pl-PL"/>
          <w14:ligatures w14:val="none"/>
        </w:rPr>
        <w:t xml:space="preserve">                   </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pracy</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miejscowościach</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wiejskich.</w:t>
      </w:r>
    </w:p>
    <w:p w14:paraId="6E13D58F" w14:textId="54AA8DCF" w:rsidR="00857736" w:rsidRPr="00A26C26" w:rsidRDefault="00857736" w:rsidP="008A412F">
      <w:pPr>
        <w:numPr>
          <w:ilvl w:val="0"/>
          <w:numId w:val="20"/>
        </w:numPr>
        <w:spacing w:line="276" w:lineRule="auto"/>
        <w:jc w:val="both"/>
        <w:rPr>
          <w:rFonts w:eastAsia="Calibri" w:cstheme="minorHAnsi"/>
          <w:kern w:val="0"/>
          <w:lang w:eastAsia="pl-PL"/>
          <w14:ligatures w14:val="none"/>
        </w:rPr>
      </w:pPr>
      <w:r w:rsidRPr="00A26C26">
        <w:rPr>
          <w:rFonts w:eastAsia="Calibri" w:cstheme="minorHAnsi"/>
          <w:kern w:val="0"/>
          <w:lang w:eastAsia="pl-PL"/>
          <w14:ligatures w14:val="none"/>
        </w:rPr>
        <w:t>Rozwój</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umiejętności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podnoszenie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kompetencji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mieszkańców</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poprzez</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udział</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warsztatach,</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szkoleniach</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br/>
        <w:t>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różnorodnych</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przedsięwzięciach.</w:t>
      </w:r>
    </w:p>
    <w:p w14:paraId="09F4C8CA" w14:textId="314571B3" w:rsidR="00857736" w:rsidRPr="00A26C26" w:rsidRDefault="00857736" w:rsidP="008A412F">
      <w:pPr>
        <w:numPr>
          <w:ilvl w:val="0"/>
          <w:numId w:val="20"/>
        </w:numPr>
        <w:spacing w:line="276" w:lineRule="auto"/>
        <w:jc w:val="both"/>
        <w:rPr>
          <w:rFonts w:eastAsia="Calibri" w:cstheme="minorHAnsi"/>
          <w:kern w:val="0"/>
          <w:lang w:eastAsia="pl-PL"/>
          <w14:ligatures w14:val="none"/>
        </w:rPr>
      </w:pPr>
      <w:r w:rsidRPr="00A26C26">
        <w:rPr>
          <w:rFonts w:eastAsia="Calibri" w:cstheme="minorHAnsi"/>
          <w:kern w:val="0"/>
          <w:lang w:eastAsia="pl-PL"/>
          <w14:ligatures w14:val="none"/>
        </w:rPr>
        <w:lastRenderedPageBreak/>
        <w:t>Inspiracja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dla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mieszkańców</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do</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rozwoju</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na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poziomie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indywidualnym</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oraz</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motywacja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do</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działalności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społecznej.</w:t>
      </w:r>
    </w:p>
    <w:p w14:paraId="0EC79360" w14:textId="77777777" w:rsidR="00857736" w:rsidRPr="00A26C26" w:rsidRDefault="00857736" w:rsidP="00A26C26">
      <w:pPr>
        <w:spacing w:line="276" w:lineRule="auto"/>
        <w:jc w:val="both"/>
        <w:rPr>
          <w:rFonts w:eastAsia="Calibri" w:cstheme="minorHAnsi"/>
          <w:kern w:val="0"/>
          <w14:ligatures w14:val="none"/>
        </w:rPr>
      </w:pPr>
    </w:p>
    <w:p w14:paraId="196D80E0" w14:textId="26D8AC82" w:rsidR="00857736" w:rsidRPr="00A26C26" w:rsidRDefault="00857736" w:rsidP="00A26C26">
      <w:pPr>
        <w:spacing w:line="276" w:lineRule="auto"/>
        <w:ind w:firstLine="284"/>
        <w:jc w:val="both"/>
        <w:rPr>
          <w:rFonts w:eastAsia="Calibri" w:cstheme="minorHAnsi"/>
          <w:kern w:val="0"/>
          <w14:ligatures w14:val="none"/>
        </w:rPr>
      </w:pPr>
      <w:r w:rsidRPr="00A26C26">
        <w:rPr>
          <w:rFonts w:eastAsia="Calibri" w:cstheme="minorHAnsi"/>
          <w:kern w:val="0"/>
          <w14:ligatures w14:val="none"/>
        </w:rPr>
        <w:t>Mieszkańcy,</w:t>
      </w:r>
      <w:r w:rsidR="003B50ED">
        <w:rPr>
          <w:rFonts w:eastAsia="Calibri" w:cstheme="minorHAnsi"/>
          <w:kern w:val="0"/>
          <w14:ligatures w14:val="none"/>
        </w:rPr>
        <w:t xml:space="preserve"> </w:t>
      </w:r>
      <w:r w:rsidRPr="00A26C26">
        <w:rPr>
          <w:rFonts w:eastAsia="Calibri" w:cstheme="minorHAnsi"/>
          <w:kern w:val="0"/>
          <w14:ligatures w14:val="none"/>
        </w:rPr>
        <w:t>najpierw</w:t>
      </w:r>
      <w:r w:rsidR="003B50ED">
        <w:rPr>
          <w:rFonts w:eastAsia="Calibri" w:cstheme="minorHAnsi"/>
          <w:kern w:val="0"/>
          <w14:ligatures w14:val="none"/>
        </w:rPr>
        <w:t xml:space="preserve"> </w:t>
      </w:r>
      <w:r w:rsidRPr="00A26C26">
        <w:rPr>
          <w:rFonts w:eastAsia="Calibri" w:cstheme="minorHAnsi"/>
          <w:kern w:val="0"/>
          <w14:ligatures w14:val="none"/>
        </w:rPr>
        <w:t>poprzez</w:t>
      </w:r>
      <w:r w:rsidR="003B50ED">
        <w:rPr>
          <w:rFonts w:eastAsia="Calibri" w:cstheme="minorHAnsi"/>
          <w:kern w:val="0"/>
          <w14:ligatures w14:val="none"/>
        </w:rPr>
        <w:t xml:space="preserve"> </w:t>
      </w:r>
      <w:r w:rsidRPr="00A26C26">
        <w:rPr>
          <w:rFonts w:eastAsia="Calibri" w:cstheme="minorHAnsi"/>
          <w:kern w:val="0"/>
          <w14:ligatures w14:val="none"/>
        </w:rPr>
        <w:t>udział</w:t>
      </w:r>
      <w:r w:rsidR="003B50ED">
        <w:rPr>
          <w:rFonts w:eastAsia="Calibri" w:cstheme="minorHAnsi"/>
          <w:kern w:val="0"/>
          <w14:ligatures w14:val="none"/>
        </w:rPr>
        <w:t xml:space="preserve"> </w:t>
      </w:r>
      <w:r w:rsidRPr="00A26C26">
        <w:rPr>
          <w:rFonts w:eastAsia="Calibri" w:cstheme="minorHAnsi"/>
          <w:kern w:val="0"/>
          <w14:ligatures w14:val="none"/>
        </w:rPr>
        <w:t>w</w:t>
      </w:r>
      <w:r w:rsidR="003B50ED">
        <w:rPr>
          <w:rFonts w:eastAsia="Calibri" w:cstheme="minorHAnsi"/>
          <w:kern w:val="0"/>
          <w14:ligatures w14:val="none"/>
        </w:rPr>
        <w:t xml:space="preserve"> </w:t>
      </w:r>
      <w:r w:rsidRPr="00A26C26">
        <w:rPr>
          <w:rFonts w:eastAsia="Calibri" w:cstheme="minorHAnsi"/>
          <w:kern w:val="0"/>
          <w14:ligatures w14:val="none"/>
        </w:rPr>
        <w:t>budowie</w:t>
      </w:r>
      <w:r w:rsidR="003B50ED">
        <w:rPr>
          <w:rFonts w:eastAsia="Calibri" w:cstheme="minorHAnsi"/>
          <w:kern w:val="0"/>
          <w14:ligatures w14:val="none"/>
        </w:rPr>
        <w:t xml:space="preserve"> </w:t>
      </w:r>
      <w:r w:rsidRPr="00A26C26">
        <w:rPr>
          <w:rFonts w:eastAsia="Calibri" w:cstheme="minorHAnsi"/>
          <w:kern w:val="0"/>
          <w14:ligatures w14:val="none"/>
        </w:rPr>
        <w:t>LSR</w:t>
      </w:r>
      <w:r w:rsidR="003B50ED">
        <w:rPr>
          <w:rFonts w:eastAsia="Calibri" w:cstheme="minorHAnsi"/>
          <w:kern w:val="0"/>
          <w14:ligatures w14:val="none"/>
        </w:rPr>
        <w:t xml:space="preserve"> </w:t>
      </w:r>
      <w:r w:rsidRPr="00A26C26">
        <w:rPr>
          <w:rFonts w:eastAsia="Calibri" w:cstheme="minorHAnsi"/>
          <w:kern w:val="0"/>
          <w14:ligatures w14:val="none"/>
        </w:rPr>
        <w:t>następnie</w:t>
      </w:r>
      <w:r w:rsidR="003B50ED">
        <w:rPr>
          <w:rFonts w:eastAsia="Calibri" w:cstheme="minorHAnsi"/>
          <w:kern w:val="0"/>
          <w14:ligatures w14:val="none"/>
        </w:rPr>
        <w:t xml:space="preserve"> </w:t>
      </w:r>
      <w:r w:rsidRPr="00A26C26">
        <w:rPr>
          <w:rFonts w:eastAsia="Calibri" w:cstheme="minorHAnsi"/>
          <w:kern w:val="0"/>
          <w14:ligatures w14:val="none"/>
        </w:rPr>
        <w:t>poprzez</w:t>
      </w:r>
      <w:r w:rsidR="003B50ED">
        <w:rPr>
          <w:rFonts w:eastAsia="Calibri" w:cstheme="minorHAnsi"/>
          <w:kern w:val="0"/>
          <w14:ligatures w14:val="none"/>
        </w:rPr>
        <w:t xml:space="preserve"> </w:t>
      </w:r>
      <w:r w:rsidRPr="00A26C26">
        <w:rPr>
          <w:rFonts w:eastAsia="Calibri" w:cstheme="minorHAnsi"/>
          <w:kern w:val="0"/>
          <w14:ligatures w14:val="none"/>
        </w:rPr>
        <w:t>zaangażowanie</w:t>
      </w:r>
      <w:r w:rsidR="003B50ED">
        <w:rPr>
          <w:rFonts w:eastAsia="Calibri" w:cstheme="minorHAnsi"/>
          <w:kern w:val="0"/>
          <w14:ligatures w14:val="none"/>
        </w:rPr>
        <w:t xml:space="preserve"> </w:t>
      </w:r>
      <w:r w:rsidRPr="00A26C26">
        <w:rPr>
          <w:rFonts w:eastAsia="Calibri" w:cstheme="minorHAnsi"/>
          <w:kern w:val="0"/>
          <w14:ligatures w14:val="none"/>
        </w:rPr>
        <w:t>w</w:t>
      </w:r>
      <w:r w:rsidR="003B50ED">
        <w:rPr>
          <w:rFonts w:eastAsia="Calibri" w:cstheme="minorHAnsi"/>
          <w:kern w:val="0"/>
          <w14:ligatures w14:val="none"/>
        </w:rPr>
        <w:t xml:space="preserve"> </w:t>
      </w:r>
      <w:r w:rsidRPr="00A26C26">
        <w:rPr>
          <w:rFonts w:eastAsia="Calibri" w:cstheme="minorHAnsi"/>
          <w:kern w:val="0"/>
          <w14:ligatures w14:val="none"/>
        </w:rPr>
        <w:t>Radzie</w:t>
      </w:r>
      <w:r w:rsidR="003B50ED">
        <w:rPr>
          <w:rFonts w:eastAsia="Calibri" w:cstheme="minorHAnsi"/>
          <w:kern w:val="0"/>
          <w14:ligatures w14:val="none"/>
        </w:rPr>
        <w:t xml:space="preserve"> </w:t>
      </w:r>
      <w:r w:rsidRPr="00A26C26">
        <w:rPr>
          <w:rFonts w:eastAsia="Calibri" w:cstheme="minorHAnsi"/>
          <w:kern w:val="0"/>
          <w14:ligatures w14:val="none"/>
        </w:rPr>
        <w:t>LGD</w:t>
      </w:r>
      <w:r w:rsidR="003B50ED">
        <w:rPr>
          <w:rFonts w:eastAsia="Calibri" w:cstheme="minorHAnsi"/>
          <w:kern w:val="0"/>
          <w14:ligatures w14:val="none"/>
        </w:rPr>
        <w:t xml:space="preserve"> </w:t>
      </w:r>
      <w:r w:rsidRPr="00A26C26">
        <w:rPr>
          <w:rFonts w:eastAsia="Calibri" w:cstheme="minorHAnsi"/>
          <w:kern w:val="0"/>
          <w14:ligatures w14:val="none"/>
        </w:rPr>
        <w:t>mają</w:t>
      </w:r>
      <w:r w:rsidR="003B50ED">
        <w:rPr>
          <w:rFonts w:eastAsia="Calibri" w:cstheme="minorHAnsi"/>
          <w:kern w:val="0"/>
          <w14:ligatures w14:val="none"/>
        </w:rPr>
        <w:t xml:space="preserve"> </w:t>
      </w:r>
      <w:r w:rsidRPr="00A26C26">
        <w:rPr>
          <w:rFonts w:eastAsia="Calibri" w:cstheme="minorHAnsi"/>
          <w:kern w:val="0"/>
          <w14:ligatures w14:val="none"/>
        </w:rPr>
        <w:t>realny</w:t>
      </w:r>
      <w:r w:rsidR="003B50ED">
        <w:rPr>
          <w:rFonts w:eastAsia="Calibri" w:cstheme="minorHAnsi"/>
          <w:kern w:val="0"/>
          <w14:ligatures w14:val="none"/>
        </w:rPr>
        <w:t xml:space="preserve"> </w:t>
      </w:r>
      <w:r w:rsidRPr="00A26C26">
        <w:rPr>
          <w:rFonts w:eastAsia="Calibri" w:cstheme="minorHAnsi"/>
          <w:kern w:val="0"/>
          <w14:ligatures w14:val="none"/>
        </w:rPr>
        <w:t>wpływ</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wybór</w:t>
      </w:r>
      <w:r w:rsidR="003B50ED">
        <w:rPr>
          <w:rFonts w:eastAsia="Calibri" w:cstheme="minorHAnsi"/>
          <w:kern w:val="0"/>
          <w14:ligatures w14:val="none"/>
        </w:rPr>
        <w:t xml:space="preserve"> </w:t>
      </w:r>
      <w:r w:rsidRPr="00A26C26">
        <w:rPr>
          <w:rFonts w:eastAsia="Calibri" w:cstheme="minorHAnsi"/>
          <w:kern w:val="0"/>
          <w14:ligatures w14:val="none"/>
        </w:rPr>
        <w:t>projektów,</w:t>
      </w:r>
      <w:r w:rsidR="003B50ED">
        <w:rPr>
          <w:rFonts w:eastAsia="Calibri" w:cstheme="minorHAnsi"/>
          <w:kern w:val="0"/>
          <w14:ligatures w14:val="none"/>
        </w:rPr>
        <w:t xml:space="preserve"> </w:t>
      </w:r>
      <w:r w:rsidRPr="00A26C26">
        <w:rPr>
          <w:rFonts w:eastAsia="Calibri" w:cstheme="minorHAnsi"/>
          <w:kern w:val="0"/>
          <w14:ligatures w14:val="none"/>
        </w:rPr>
        <w:t>które</w:t>
      </w:r>
      <w:r w:rsidR="003B50ED">
        <w:rPr>
          <w:rFonts w:eastAsia="Calibri" w:cstheme="minorHAnsi"/>
          <w:kern w:val="0"/>
          <w14:ligatures w14:val="none"/>
        </w:rPr>
        <w:t xml:space="preserve"> </w:t>
      </w:r>
      <w:r w:rsidRPr="00A26C26">
        <w:rPr>
          <w:rFonts w:eastAsia="Calibri" w:cstheme="minorHAnsi"/>
          <w:kern w:val="0"/>
          <w14:ligatures w14:val="none"/>
        </w:rPr>
        <w:t>będą</w:t>
      </w:r>
      <w:r w:rsidR="003B50ED">
        <w:rPr>
          <w:rFonts w:eastAsia="Calibri" w:cstheme="minorHAnsi"/>
          <w:kern w:val="0"/>
          <w14:ligatures w14:val="none"/>
        </w:rPr>
        <w:t xml:space="preserve"> </w:t>
      </w:r>
      <w:r w:rsidRPr="00A26C26">
        <w:rPr>
          <w:rFonts w:eastAsia="Calibri" w:cstheme="minorHAnsi"/>
          <w:kern w:val="0"/>
          <w14:ligatures w14:val="none"/>
        </w:rPr>
        <w:t>realizowane</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obszarze</w:t>
      </w:r>
      <w:r w:rsidR="003B50ED">
        <w:rPr>
          <w:rFonts w:eastAsia="Calibri" w:cstheme="minorHAnsi"/>
          <w:kern w:val="0"/>
          <w14:ligatures w14:val="none"/>
        </w:rPr>
        <w:t xml:space="preserve"> </w:t>
      </w:r>
      <w:r w:rsidRPr="00A26C26">
        <w:rPr>
          <w:rFonts w:eastAsia="Calibri" w:cstheme="minorHAnsi"/>
          <w:kern w:val="0"/>
          <w14:ligatures w14:val="none"/>
        </w:rPr>
        <w:t>LSR.</w:t>
      </w:r>
      <w:r w:rsidR="003B50ED">
        <w:rPr>
          <w:rFonts w:eastAsia="Calibri" w:cstheme="minorHAnsi"/>
          <w:kern w:val="0"/>
          <w14:ligatures w14:val="none"/>
        </w:rPr>
        <w:t xml:space="preserve"> </w:t>
      </w:r>
      <w:r w:rsidRPr="00A26C26">
        <w:rPr>
          <w:rFonts w:eastAsia="Calibri" w:cstheme="minorHAnsi"/>
          <w:kern w:val="0"/>
          <w14:ligatures w14:val="none"/>
        </w:rPr>
        <w:t>Z</w:t>
      </w:r>
      <w:r w:rsidR="003B50ED">
        <w:rPr>
          <w:rFonts w:eastAsia="Calibri" w:cstheme="minorHAnsi"/>
          <w:kern w:val="0"/>
          <w14:ligatures w14:val="none"/>
        </w:rPr>
        <w:t xml:space="preserve"> </w:t>
      </w:r>
      <w:r w:rsidRPr="00A26C26">
        <w:rPr>
          <w:rFonts w:eastAsia="Calibri" w:cstheme="minorHAnsi"/>
          <w:kern w:val="0"/>
          <w14:ligatures w14:val="none"/>
        </w:rPr>
        <w:t>jednej</w:t>
      </w:r>
      <w:r w:rsidR="003B50ED">
        <w:rPr>
          <w:rFonts w:eastAsia="Calibri" w:cstheme="minorHAnsi"/>
          <w:kern w:val="0"/>
          <w14:ligatures w14:val="none"/>
        </w:rPr>
        <w:t xml:space="preserve"> </w:t>
      </w:r>
      <w:r w:rsidRPr="00A26C26">
        <w:rPr>
          <w:rFonts w:eastAsia="Calibri" w:cstheme="minorHAnsi"/>
          <w:kern w:val="0"/>
          <w14:ligatures w14:val="none"/>
        </w:rPr>
        <w:t>strony</w:t>
      </w:r>
      <w:r w:rsidR="003B50ED">
        <w:rPr>
          <w:rFonts w:eastAsia="Calibri" w:cstheme="minorHAnsi"/>
          <w:kern w:val="0"/>
          <w14:ligatures w14:val="none"/>
        </w:rPr>
        <w:t xml:space="preserve"> </w:t>
      </w:r>
      <w:r w:rsidRPr="00A26C26">
        <w:rPr>
          <w:rFonts w:eastAsia="Calibri" w:cstheme="minorHAnsi"/>
          <w:kern w:val="0"/>
          <w14:ligatures w14:val="none"/>
        </w:rPr>
        <w:t>jest</w:t>
      </w:r>
      <w:r w:rsidR="003B50ED">
        <w:rPr>
          <w:rFonts w:eastAsia="Calibri" w:cstheme="minorHAnsi"/>
          <w:kern w:val="0"/>
          <w14:ligatures w14:val="none"/>
        </w:rPr>
        <w:t xml:space="preserve"> </w:t>
      </w:r>
      <w:r w:rsidRPr="00A26C26">
        <w:rPr>
          <w:rFonts w:eastAsia="Calibri" w:cstheme="minorHAnsi"/>
          <w:kern w:val="0"/>
          <w14:ligatures w14:val="none"/>
        </w:rPr>
        <w:t>to</w:t>
      </w:r>
      <w:r w:rsidR="003B50ED">
        <w:rPr>
          <w:rFonts w:eastAsia="Calibri" w:cstheme="minorHAnsi"/>
          <w:kern w:val="0"/>
          <w14:ligatures w14:val="none"/>
        </w:rPr>
        <w:t xml:space="preserve"> </w:t>
      </w:r>
      <w:r w:rsidRPr="00A26C26">
        <w:rPr>
          <w:rFonts w:eastAsia="Calibri" w:cstheme="minorHAnsi"/>
          <w:kern w:val="0"/>
          <w14:ligatures w14:val="none"/>
        </w:rPr>
        <w:t>duża</w:t>
      </w:r>
      <w:r w:rsidR="003B50ED">
        <w:rPr>
          <w:rFonts w:eastAsia="Calibri" w:cstheme="minorHAnsi"/>
          <w:kern w:val="0"/>
          <w14:ligatures w14:val="none"/>
        </w:rPr>
        <w:t xml:space="preserve"> </w:t>
      </w:r>
      <w:r w:rsidRPr="00A26C26">
        <w:rPr>
          <w:rFonts w:eastAsia="Calibri" w:cstheme="minorHAnsi"/>
          <w:kern w:val="0"/>
          <w14:ligatures w14:val="none"/>
        </w:rPr>
        <w:t>odpowiedzialność,</w:t>
      </w:r>
      <w:r w:rsidR="003B50ED">
        <w:rPr>
          <w:rFonts w:eastAsia="Calibri" w:cstheme="minorHAnsi"/>
          <w:kern w:val="0"/>
          <w14:ligatures w14:val="none"/>
        </w:rPr>
        <w:t xml:space="preserve"> </w:t>
      </w:r>
      <w:r w:rsidRPr="00A26C26">
        <w:rPr>
          <w:rFonts w:eastAsia="Calibri" w:cstheme="minorHAnsi"/>
          <w:kern w:val="0"/>
          <w14:ligatures w14:val="none"/>
        </w:rPr>
        <w:t>ale</w:t>
      </w:r>
      <w:r w:rsidR="003B50ED">
        <w:rPr>
          <w:rFonts w:eastAsia="Calibri" w:cstheme="minorHAnsi"/>
          <w:kern w:val="0"/>
          <w14:ligatures w14:val="none"/>
        </w:rPr>
        <w:t xml:space="preserve"> </w:t>
      </w:r>
      <w:r w:rsidRPr="00A26C26">
        <w:rPr>
          <w:rFonts w:eastAsia="Calibri" w:cstheme="minorHAnsi"/>
          <w:kern w:val="0"/>
          <w14:ligatures w14:val="none"/>
        </w:rPr>
        <w:t>z</w:t>
      </w:r>
      <w:r w:rsidR="003B50ED">
        <w:rPr>
          <w:rFonts w:eastAsia="Calibri" w:cstheme="minorHAnsi"/>
          <w:kern w:val="0"/>
          <w14:ligatures w14:val="none"/>
        </w:rPr>
        <w:t xml:space="preserve"> </w:t>
      </w:r>
      <w:r w:rsidRPr="00A26C26">
        <w:rPr>
          <w:rFonts w:eastAsia="Calibri" w:cstheme="minorHAnsi"/>
          <w:kern w:val="0"/>
          <w14:ligatures w14:val="none"/>
        </w:rPr>
        <w:t>drugiej</w:t>
      </w:r>
      <w:r w:rsidR="003B50ED">
        <w:rPr>
          <w:rFonts w:eastAsia="Calibri" w:cstheme="minorHAnsi"/>
          <w:kern w:val="0"/>
          <w14:ligatures w14:val="none"/>
        </w:rPr>
        <w:t xml:space="preserve"> </w:t>
      </w:r>
      <w:r w:rsidRPr="00A26C26">
        <w:rPr>
          <w:rFonts w:eastAsia="Calibri" w:cstheme="minorHAnsi"/>
          <w:kern w:val="0"/>
          <w14:ligatures w14:val="none"/>
        </w:rPr>
        <w:t>kto</w:t>
      </w:r>
      <w:r w:rsidR="003B50ED">
        <w:rPr>
          <w:rFonts w:eastAsia="Calibri" w:cstheme="minorHAnsi"/>
          <w:kern w:val="0"/>
          <w14:ligatures w14:val="none"/>
        </w:rPr>
        <w:t xml:space="preserve"> </w:t>
      </w:r>
      <w:r w:rsidRPr="00A26C26">
        <w:rPr>
          <w:rFonts w:eastAsia="Calibri" w:cstheme="minorHAnsi"/>
          <w:kern w:val="0"/>
          <w14:ligatures w14:val="none"/>
        </w:rPr>
        <w:t>lepiej,</w:t>
      </w:r>
      <w:r w:rsidR="003B50ED">
        <w:rPr>
          <w:rFonts w:eastAsia="Calibri" w:cstheme="minorHAnsi"/>
          <w:kern w:val="0"/>
          <w14:ligatures w14:val="none"/>
        </w:rPr>
        <w:t xml:space="preserve"> </w:t>
      </w:r>
      <w:r w:rsidRPr="00A26C26">
        <w:rPr>
          <w:rFonts w:eastAsia="Calibri" w:cstheme="minorHAnsi"/>
          <w:kern w:val="0"/>
          <w14:ligatures w14:val="none"/>
        </w:rPr>
        <w:t>jak</w:t>
      </w:r>
      <w:r w:rsidR="003B50ED">
        <w:rPr>
          <w:rFonts w:eastAsia="Calibri" w:cstheme="minorHAnsi"/>
          <w:kern w:val="0"/>
          <w14:ligatures w14:val="none"/>
        </w:rPr>
        <w:t xml:space="preserve"> </w:t>
      </w:r>
      <w:r w:rsidRPr="00A26C26">
        <w:rPr>
          <w:rFonts w:eastAsia="Calibri" w:cstheme="minorHAnsi"/>
          <w:kern w:val="0"/>
          <w14:ligatures w14:val="none"/>
        </w:rPr>
        <w:t>nie</w:t>
      </w:r>
      <w:r w:rsidR="003B50ED">
        <w:rPr>
          <w:rFonts w:eastAsia="Calibri" w:cstheme="minorHAnsi"/>
          <w:kern w:val="0"/>
          <w14:ligatures w14:val="none"/>
        </w:rPr>
        <w:t xml:space="preserve"> </w:t>
      </w:r>
      <w:r w:rsidRPr="00A26C26">
        <w:rPr>
          <w:rFonts w:eastAsia="Calibri" w:cstheme="minorHAnsi"/>
          <w:kern w:val="0"/>
          <w14:ligatures w14:val="none"/>
        </w:rPr>
        <w:t>lokalna</w:t>
      </w:r>
      <w:r w:rsidR="003B50ED">
        <w:rPr>
          <w:rFonts w:eastAsia="Calibri" w:cstheme="minorHAnsi"/>
          <w:kern w:val="0"/>
          <w14:ligatures w14:val="none"/>
        </w:rPr>
        <w:t xml:space="preserve"> </w:t>
      </w:r>
      <w:r w:rsidRPr="00A26C26">
        <w:rPr>
          <w:rFonts w:eastAsia="Calibri" w:cstheme="minorHAnsi"/>
          <w:kern w:val="0"/>
          <w14:ligatures w14:val="none"/>
        </w:rPr>
        <w:t>społeczność</w:t>
      </w:r>
      <w:r w:rsidR="003B50ED">
        <w:rPr>
          <w:rFonts w:eastAsia="Calibri" w:cstheme="minorHAnsi"/>
          <w:kern w:val="0"/>
          <w14:ligatures w14:val="none"/>
        </w:rPr>
        <w:t xml:space="preserve"> </w:t>
      </w:r>
      <w:r w:rsidRPr="00A26C26">
        <w:rPr>
          <w:rFonts w:eastAsia="Calibri" w:cstheme="minorHAnsi"/>
          <w:kern w:val="0"/>
          <w14:ligatures w14:val="none"/>
        </w:rPr>
        <w:t>zna</w:t>
      </w:r>
      <w:r w:rsidR="003B50ED">
        <w:rPr>
          <w:rFonts w:eastAsia="Calibri" w:cstheme="minorHAnsi"/>
          <w:kern w:val="0"/>
          <w14:ligatures w14:val="none"/>
        </w:rPr>
        <w:t xml:space="preserve"> </w:t>
      </w:r>
      <w:r w:rsidRPr="00A26C26">
        <w:rPr>
          <w:rFonts w:eastAsia="Calibri" w:cstheme="minorHAnsi"/>
          <w:kern w:val="0"/>
          <w14:ligatures w14:val="none"/>
        </w:rPr>
        <w:t>problemy</w:t>
      </w:r>
      <w:r w:rsidR="003B50ED">
        <w:rPr>
          <w:rFonts w:eastAsia="Calibri" w:cstheme="minorHAnsi"/>
          <w:kern w:val="0"/>
          <w14:ligatures w14:val="none"/>
        </w:rPr>
        <w:t xml:space="preserve"> </w:t>
      </w:r>
      <w:r w:rsidRPr="00A26C26">
        <w:rPr>
          <w:rFonts w:eastAsia="Calibri" w:cstheme="minorHAnsi"/>
          <w:kern w:val="0"/>
          <w14:ligatures w14:val="none"/>
        </w:rPr>
        <w:t>z</w:t>
      </w:r>
      <w:r w:rsidR="003B50ED">
        <w:rPr>
          <w:rFonts w:eastAsia="Calibri" w:cstheme="minorHAnsi"/>
          <w:kern w:val="0"/>
          <w14:ligatures w14:val="none"/>
        </w:rPr>
        <w:t xml:space="preserve"> </w:t>
      </w:r>
      <w:r w:rsidRPr="00A26C26">
        <w:rPr>
          <w:rFonts w:eastAsia="Calibri" w:cstheme="minorHAnsi"/>
          <w:kern w:val="0"/>
          <w14:ligatures w14:val="none"/>
        </w:rPr>
        <w:t>jakimi</w:t>
      </w:r>
      <w:r w:rsidR="003B50ED">
        <w:rPr>
          <w:rFonts w:eastAsia="Calibri" w:cstheme="minorHAnsi"/>
          <w:kern w:val="0"/>
          <w14:ligatures w14:val="none"/>
        </w:rPr>
        <w:t xml:space="preserve"> </w:t>
      </w:r>
      <w:r w:rsidRPr="00A26C26">
        <w:rPr>
          <w:rFonts w:eastAsia="Calibri" w:cstheme="minorHAnsi"/>
          <w:kern w:val="0"/>
          <w14:ligatures w14:val="none"/>
        </w:rPr>
        <w:t>mierzy</w:t>
      </w:r>
      <w:r w:rsidR="003B50ED">
        <w:rPr>
          <w:rFonts w:eastAsia="Calibri" w:cstheme="minorHAnsi"/>
          <w:kern w:val="0"/>
          <w14:ligatures w14:val="none"/>
        </w:rPr>
        <w:t xml:space="preserve"> </w:t>
      </w:r>
      <w:r w:rsidRPr="00A26C26">
        <w:rPr>
          <w:rFonts w:eastAsia="Calibri" w:cstheme="minorHAnsi"/>
          <w:kern w:val="0"/>
          <w14:ligatures w14:val="none"/>
        </w:rPr>
        <w:t>się</w:t>
      </w:r>
      <w:r w:rsidR="003B50ED">
        <w:rPr>
          <w:rFonts w:eastAsia="Calibri" w:cstheme="minorHAnsi"/>
          <w:kern w:val="0"/>
          <w14:ligatures w14:val="none"/>
        </w:rPr>
        <w:t xml:space="preserve"> </w:t>
      </w:r>
      <w:r w:rsidRPr="00A26C26">
        <w:rPr>
          <w:rFonts w:eastAsia="Calibri" w:cstheme="minorHAnsi"/>
          <w:kern w:val="0"/>
          <w14:ligatures w14:val="none"/>
        </w:rPr>
        <w:t>dana</w:t>
      </w:r>
      <w:r w:rsidR="003B50ED">
        <w:rPr>
          <w:rFonts w:eastAsia="Calibri" w:cstheme="minorHAnsi"/>
          <w:kern w:val="0"/>
          <w14:ligatures w14:val="none"/>
        </w:rPr>
        <w:t xml:space="preserve"> </w:t>
      </w:r>
      <w:r w:rsidRPr="00A26C26">
        <w:rPr>
          <w:rFonts w:eastAsia="Calibri" w:cstheme="minorHAnsi"/>
          <w:kern w:val="0"/>
          <w14:ligatures w14:val="none"/>
        </w:rPr>
        <w:t>lokalna</w:t>
      </w:r>
      <w:r w:rsidR="003B50ED">
        <w:rPr>
          <w:rFonts w:eastAsia="Calibri" w:cstheme="minorHAnsi"/>
          <w:kern w:val="0"/>
          <w14:ligatures w14:val="none"/>
        </w:rPr>
        <w:t xml:space="preserve"> </w:t>
      </w:r>
      <w:r w:rsidRPr="00A26C26">
        <w:rPr>
          <w:rFonts w:eastAsia="Calibri" w:cstheme="minorHAnsi"/>
          <w:kern w:val="0"/>
          <w14:ligatures w14:val="none"/>
        </w:rPr>
        <w:t>wspólnota.</w:t>
      </w:r>
    </w:p>
    <w:p w14:paraId="18F5D14B" w14:textId="1BFFB0D4" w:rsidR="00857736" w:rsidRPr="00A26C26" w:rsidRDefault="00857736" w:rsidP="00A26C26">
      <w:pPr>
        <w:spacing w:line="276" w:lineRule="auto"/>
        <w:ind w:firstLine="284"/>
        <w:jc w:val="both"/>
        <w:rPr>
          <w:rFonts w:eastAsia="Calibri" w:cstheme="minorHAnsi"/>
          <w:kern w:val="0"/>
          <w14:ligatures w14:val="none"/>
        </w:rPr>
      </w:pPr>
      <w:r w:rsidRPr="00A26C26">
        <w:rPr>
          <w:rFonts w:eastAsia="Calibri" w:cstheme="minorHAnsi"/>
          <w:kern w:val="0"/>
          <w14:ligatures w14:val="none"/>
        </w:rPr>
        <w:t>Niewątpliwie,</w:t>
      </w:r>
      <w:r w:rsidR="003B50ED">
        <w:rPr>
          <w:rFonts w:eastAsia="Calibri" w:cstheme="minorHAnsi"/>
          <w:kern w:val="0"/>
          <w14:ligatures w14:val="none"/>
        </w:rPr>
        <w:t xml:space="preserve"> </w:t>
      </w:r>
      <w:r w:rsidRPr="00A26C26">
        <w:rPr>
          <w:rFonts w:eastAsia="Calibri" w:cstheme="minorHAnsi"/>
          <w:kern w:val="0"/>
          <w14:ligatures w14:val="none"/>
        </w:rPr>
        <w:t>wdrożenie</w:t>
      </w:r>
      <w:r w:rsidR="003B50ED">
        <w:rPr>
          <w:rFonts w:eastAsia="Calibri" w:cstheme="minorHAnsi"/>
          <w:kern w:val="0"/>
          <w14:ligatures w14:val="none"/>
        </w:rPr>
        <w:t xml:space="preserve"> </w:t>
      </w:r>
      <w:r w:rsidRPr="00A26C26">
        <w:rPr>
          <w:rFonts w:eastAsia="Calibri" w:cstheme="minorHAnsi"/>
          <w:kern w:val="0"/>
          <w14:ligatures w14:val="none"/>
        </w:rPr>
        <w:t>LSR</w:t>
      </w:r>
      <w:r w:rsidR="003B50ED">
        <w:rPr>
          <w:rFonts w:eastAsia="Calibri" w:cstheme="minorHAnsi"/>
          <w:kern w:val="0"/>
          <w14:ligatures w14:val="none"/>
        </w:rPr>
        <w:t xml:space="preserve"> </w:t>
      </w:r>
      <w:r w:rsidRPr="00A26C26">
        <w:rPr>
          <w:rFonts w:eastAsia="Calibri" w:cstheme="minorHAnsi"/>
          <w:kern w:val="0"/>
          <w14:ligatures w14:val="none"/>
        </w:rPr>
        <w:t>w</w:t>
      </w:r>
      <w:r w:rsidR="003B50ED">
        <w:rPr>
          <w:rFonts w:eastAsia="Calibri" w:cstheme="minorHAnsi"/>
          <w:kern w:val="0"/>
          <w14:ligatures w14:val="none"/>
        </w:rPr>
        <w:t xml:space="preserve"> </w:t>
      </w:r>
      <w:r w:rsidRPr="00A26C26">
        <w:rPr>
          <w:rFonts w:eastAsia="Calibri" w:cstheme="minorHAnsi"/>
          <w:kern w:val="0"/>
          <w14:ligatures w14:val="none"/>
        </w:rPr>
        <w:t>kontekście</w:t>
      </w:r>
      <w:r w:rsidR="003B50ED">
        <w:rPr>
          <w:rFonts w:eastAsia="Calibri" w:cstheme="minorHAnsi"/>
          <w:kern w:val="0"/>
          <w14:ligatures w14:val="none"/>
        </w:rPr>
        <w:t xml:space="preserve"> </w:t>
      </w:r>
      <w:r w:rsidRPr="00A26C26">
        <w:rPr>
          <w:rFonts w:eastAsia="Calibri" w:cstheme="minorHAnsi"/>
          <w:kern w:val="0"/>
          <w14:ligatures w14:val="none"/>
        </w:rPr>
        <w:t>podejścia</w:t>
      </w:r>
      <w:r w:rsidR="003B50ED">
        <w:rPr>
          <w:rFonts w:eastAsia="Calibri" w:cstheme="minorHAnsi"/>
          <w:kern w:val="0"/>
          <w14:ligatures w14:val="none"/>
        </w:rPr>
        <w:t xml:space="preserve"> </w:t>
      </w:r>
      <w:r w:rsidRPr="00A26C26">
        <w:rPr>
          <w:rFonts w:eastAsia="Calibri" w:cstheme="minorHAnsi"/>
          <w:kern w:val="0"/>
          <w14:ligatures w14:val="none"/>
        </w:rPr>
        <w:t>LEADER</w:t>
      </w:r>
      <w:r w:rsidR="003B50ED">
        <w:rPr>
          <w:rFonts w:eastAsia="Calibri" w:cstheme="minorHAnsi"/>
          <w:kern w:val="0"/>
          <w14:ligatures w14:val="none"/>
        </w:rPr>
        <w:t xml:space="preserve"> </w:t>
      </w:r>
      <w:r w:rsidRPr="00A26C26">
        <w:rPr>
          <w:rFonts w:eastAsia="Calibri" w:cstheme="minorHAnsi"/>
          <w:kern w:val="0"/>
          <w14:ligatures w14:val="none"/>
        </w:rPr>
        <w:t>przynosi</w:t>
      </w:r>
      <w:r w:rsidR="003B50ED">
        <w:rPr>
          <w:rFonts w:eastAsia="Calibri" w:cstheme="minorHAnsi"/>
          <w:kern w:val="0"/>
          <w14:ligatures w14:val="none"/>
        </w:rPr>
        <w:t xml:space="preserve"> </w:t>
      </w:r>
      <w:r w:rsidRPr="00A26C26">
        <w:rPr>
          <w:rFonts w:eastAsia="Calibri" w:cstheme="minorHAnsi"/>
          <w:kern w:val="0"/>
          <w14:ligatures w14:val="none"/>
        </w:rPr>
        <w:t>korzyści</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wielu</w:t>
      </w:r>
      <w:r w:rsidR="003B50ED">
        <w:rPr>
          <w:rFonts w:eastAsia="Calibri" w:cstheme="minorHAnsi"/>
          <w:kern w:val="0"/>
          <w14:ligatures w14:val="none"/>
        </w:rPr>
        <w:t xml:space="preserve"> </w:t>
      </w:r>
      <w:r w:rsidRPr="00A26C26">
        <w:rPr>
          <w:rFonts w:eastAsia="Calibri" w:cstheme="minorHAnsi"/>
          <w:kern w:val="0"/>
          <w14:ligatures w14:val="none"/>
        </w:rPr>
        <w:t>płaszczyznach.</w:t>
      </w:r>
      <w:r w:rsidR="003B50ED">
        <w:rPr>
          <w:rFonts w:eastAsia="Calibri" w:cstheme="minorHAnsi"/>
          <w:kern w:val="0"/>
          <w14:ligatures w14:val="none"/>
        </w:rPr>
        <w:t xml:space="preserve"> </w:t>
      </w:r>
      <w:r w:rsidRPr="00A26C26">
        <w:rPr>
          <w:rFonts w:eastAsia="Calibri" w:cstheme="minorHAnsi"/>
          <w:kern w:val="0"/>
          <w14:ligatures w14:val="none"/>
        </w:rPr>
        <w:t>Przede</w:t>
      </w:r>
      <w:r w:rsidR="003B50ED">
        <w:rPr>
          <w:rFonts w:eastAsia="Calibri" w:cstheme="minorHAnsi"/>
          <w:kern w:val="0"/>
          <w14:ligatures w14:val="none"/>
        </w:rPr>
        <w:t xml:space="preserve"> </w:t>
      </w:r>
      <w:r w:rsidRPr="00A26C26">
        <w:rPr>
          <w:rFonts w:eastAsia="Calibri" w:cstheme="minorHAnsi"/>
          <w:kern w:val="0"/>
          <w14:ligatures w14:val="none"/>
        </w:rPr>
        <w:t>wszystkim,</w:t>
      </w:r>
      <w:r w:rsidR="003B50ED">
        <w:rPr>
          <w:rFonts w:eastAsia="Calibri" w:cstheme="minorHAnsi"/>
          <w:kern w:val="0"/>
          <w14:ligatures w14:val="none"/>
        </w:rPr>
        <w:t xml:space="preserve"> </w:t>
      </w:r>
      <w:r w:rsidRPr="00A26C26">
        <w:rPr>
          <w:rFonts w:eastAsia="Calibri" w:cstheme="minorHAnsi"/>
          <w:kern w:val="0"/>
          <w14:ligatures w14:val="none"/>
        </w:rPr>
        <w:t>ta</w:t>
      </w:r>
      <w:r w:rsidR="003B50ED">
        <w:rPr>
          <w:rFonts w:eastAsia="Calibri" w:cstheme="minorHAnsi"/>
          <w:kern w:val="0"/>
          <w14:ligatures w14:val="none"/>
        </w:rPr>
        <w:t xml:space="preserve"> </w:t>
      </w:r>
      <w:r w:rsidRPr="00A26C26">
        <w:rPr>
          <w:rFonts w:eastAsia="Calibri" w:cstheme="minorHAnsi"/>
          <w:kern w:val="0"/>
          <w14:ligatures w14:val="none"/>
        </w:rPr>
        <w:t>inicjatywa</w:t>
      </w:r>
      <w:r w:rsidR="003B50ED">
        <w:rPr>
          <w:rFonts w:eastAsia="Calibri" w:cstheme="minorHAnsi"/>
          <w:kern w:val="0"/>
          <w14:ligatures w14:val="none"/>
        </w:rPr>
        <w:t xml:space="preserve"> </w:t>
      </w:r>
      <w:r w:rsidRPr="00A26C26">
        <w:rPr>
          <w:rFonts w:eastAsia="Calibri" w:cstheme="minorHAnsi"/>
          <w:kern w:val="0"/>
          <w14:ligatures w14:val="none"/>
        </w:rPr>
        <w:t>stanowi</w:t>
      </w:r>
      <w:r w:rsidR="003B50ED">
        <w:rPr>
          <w:rFonts w:eastAsia="Calibri" w:cstheme="minorHAnsi"/>
          <w:kern w:val="0"/>
          <w14:ligatures w14:val="none"/>
        </w:rPr>
        <w:t xml:space="preserve"> </w:t>
      </w:r>
      <w:r w:rsidRPr="00A26C26">
        <w:rPr>
          <w:rFonts w:eastAsia="Calibri" w:cstheme="minorHAnsi"/>
          <w:kern w:val="0"/>
          <w14:ligatures w14:val="none"/>
        </w:rPr>
        <w:t>silny</w:t>
      </w:r>
      <w:r w:rsidR="003B50ED">
        <w:rPr>
          <w:rFonts w:eastAsia="Calibri" w:cstheme="minorHAnsi"/>
          <w:kern w:val="0"/>
          <w14:ligatures w14:val="none"/>
        </w:rPr>
        <w:t xml:space="preserve"> </w:t>
      </w:r>
      <w:r w:rsidRPr="00A26C26">
        <w:rPr>
          <w:rFonts w:eastAsia="Calibri" w:cstheme="minorHAnsi"/>
          <w:kern w:val="0"/>
          <w14:ligatures w14:val="none"/>
        </w:rPr>
        <w:t>impuls</w:t>
      </w:r>
      <w:r w:rsidR="003B50ED">
        <w:rPr>
          <w:rFonts w:eastAsia="Calibri" w:cstheme="minorHAnsi"/>
          <w:kern w:val="0"/>
          <w14:ligatures w14:val="none"/>
        </w:rPr>
        <w:t xml:space="preserve"> </w:t>
      </w:r>
      <w:r w:rsidRPr="00A26C26">
        <w:rPr>
          <w:rFonts w:eastAsia="Calibri" w:cstheme="minorHAnsi"/>
          <w:kern w:val="0"/>
          <w14:ligatures w14:val="none"/>
        </w:rPr>
        <w:t>do</w:t>
      </w:r>
      <w:r w:rsidR="003B50ED">
        <w:rPr>
          <w:rFonts w:eastAsia="Calibri" w:cstheme="minorHAnsi"/>
          <w:kern w:val="0"/>
          <w14:ligatures w14:val="none"/>
        </w:rPr>
        <w:t xml:space="preserve"> </w:t>
      </w:r>
      <w:r w:rsidRPr="00A26C26">
        <w:rPr>
          <w:rFonts w:eastAsia="Calibri" w:cstheme="minorHAnsi"/>
          <w:kern w:val="0"/>
          <w14:ligatures w14:val="none"/>
        </w:rPr>
        <w:t>jeszcze</w:t>
      </w:r>
      <w:r w:rsidR="003B50ED">
        <w:rPr>
          <w:rFonts w:eastAsia="Calibri" w:cstheme="minorHAnsi"/>
          <w:kern w:val="0"/>
          <w14:ligatures w14:val="none"/>
        </w:rPr>
        <w:t xml:space="preserve"> </w:t>
      </w:r>
      <w:r w:rsidRPr="00A26C26">
        <w:rPr>
          <w:rFonts w:eastAsia="Calibri" w:cstheme="minorHAnsi"/>
          <w:kern w:val="0"/>
          <w14:ligatures w14:val="none"/>
        </w:rPr>
        <w:t>głębszej</w:t>
      </w:r>
      <w:r w:rsidR="003B50ED">
        <w:rPr>
          <w:rFonts w:eastAsia="Calibri" w:cstheme="minorHAnsi"/>
          <w:kern w:val="0"/>
          <w14:ligatures w14:val="none"/>
        </w:rPr>
        <w:t xml:space="preserve"> </w:t>
      </w:r>
      <w:r w:rsidRPr="00A26C26">
        <w:rPr>
          <w:rFonts w:eastAsia="Calibri" w:cstheme="minorHAnsi"/>
          <w:kern w:val="0"/>
          <w14:ligatures w14:val="none"/>
        </w:rPr>
        <w:t>współpracy</w:t>
      </w:r>
      <w:r w:rsidR="003B50ED">
        <w:rPr>
          <w:rFonts w:eastAsia="Calibri" w:cstheme="minorHAnsi"/>
          <w:kern w:val="0"/>
          <w14:ligatures w14:val="none"/>
        </w:rPr>
        <w:t xml:space="preserve"> </w:t>
      </w:r>
      <w:r w:rsidRPr="00A26C26">
        <w:rPr>
          <w:rFonts w:eastAsia="Calibri" w:cstheme="minorHAnsi"/>
          <w:kern w:val="0"/>
          <w14:ligatures w14:val="none"/>
        </w:rPr>
        <w:t>między</w:t>
      </w:r>
      <w:r w:rsidR="003B50ED">
        <w:rPr>
          <w:rFonts w:eastAsia="Calibri" w:cstheme="minorHAnsi"/>
          <w:kern w:val="0"/>
          <w14:ligatures w14:val="none"/>
        </w:rPr>
        <w:t xml:space="preserve"> </w:t>
      </w:r>
      <w:r w:rsidRPr="00A26C26">
        <w:rPr>
          <w:rFonts w:eastAsia="Calibri" w:cstheme="minorHAnsi"/>
          <w:kern w:val="0"/>
          <w14:ligatures w14:val="none"/>
        </w:rPr>
        <w:t>różnymi</w:t>
      </w:r>
      <w:r w:rsidR="003B50ED">
        <w:rPr>
          <w:rFonts w:eastAsia="Calibri" w:cstheme="minorHAnsi"/>
          <w:kern w:val="0"/>
          <w14:ligatures w14:val="none"/>
        </w:rPr>
        <w:t xml:space="preserve"> </w:t>
      </w:r>
      <w:r w:rsidRPr="00A26C26">
        <w:rPr>
          <w:rFonts w:eastAsia="Calibri" w:cstheme="minorHAnsi"/>
          <w:kern w:val="0"/>
          <w14:ligatures w14:val="none"/>
        </w:rPr>
        <w:t>podmiotami</w:t>
      </w:r>
      <w:r w:rsidR="003B50ED">
        <w:rPr>
          <w:rFonts w:eastAsia="Calibri" w:cstheme="minorHAnsi"/>
          <w:kern w:val="0"/>
          <w14:ligatures w14:val="none"/>
        </w:rPr>
        <w:t xml:space="preserve"> </w:t>
      </w:r>
      <w:r w:rsidRPr="00A26C26">
        <w:rPr>
          <w:rFonts w:eastAsia="Calibri" w:cstheme="minorHAnsi"/>
          <w:kern w:val="0"/>
          <w14:ligatures w14:val="none"/>
        </w:rPr>
        <w:t>zaangażowanymi</w:t>
      </w:r>
      <w:r w:rsidR="003B50ED">
        <w:rPr>
          <w:rFonts w:eastAsia="Calibri" w:cstheme="minorHAnsi"/>
          <w:kern w:val="0"/>
          <w14:ligatures w14:val="none"/>
        </w:rPr>
        <w:t xml:space="preserve"> </w:t>
      </w:r>
      <w:r w:rsidRPr="00A26C26">
        <w:rPr>
          <w:rFonts w:eastAsia="Calibri" w:cstheme="minorHAnsi"/>
          <w:kern w:val="0"/>
          <w14:ligatures w14:val="none"/>
        </w:rPr>
        <w:t>w</w:t>
      </w:r>
      <w:r w:rsidR="003B50ED">
        <w:rPr>
          <w:rFonts w:eastAsia="Calibri" w:cstheme="minorHAnsi"/>
          <w:kern w:val="0"/>
          <w14:ligatures w14:val="none"/>
        </w:rPr>
        <w:t xml:space="preserve"> </w:t>
      </w:r>
      <w:r w:rsidRPr="00A26C26">
        <w:rPr>
          <w:rFonts w:eastAsia="Calibri" w:cstheme="minorHAnsi"/>
          <w:kern w:val="0"/>
          <w14:ligatures w14:val="none"/>
        </w:rPr>
        <w:t>jej</w:t>
      </w:r>
      <w:r w:rsidR="003B50ED">
        <w:rPr>
          <w:rFonts w:eastAsia="Calibri" w:cstheme="minorHAnsi"/>
          <w:kern w:val="0"/>
          <w14:ligatures w14:val="none"/>
        </w:rPr>
        <w:t xml:space="preserve"> </w:t>
      </w:r>
      <w:r w:rsidRPr="00A26C26">
        <w:rPr>
          <w:rFonts w:eastAsia="Calibri" w:cstheme="minorHAnsi"/>
          <w:kern w:val="0"/>
          <w14:ligatures w14:val="none"/>
        </w:rPr>
        <w:t>realizację,</w:t>
      </w:r>
      <w:r w:rsidR="003B50ED">
        <w:rPr>
          <w:rFonts w:eastAsia="Calibri" w:cstheme="minorHAnsi"/>
          <w:kern w:val="0"/>
          <w14:ligatures w14:val="none"/>
        </w:rPr>
        <w:t xml:space="preserve"> </w:t>
      </w:r>
      <w:r w:rsidRPr="00A26C26">
        <w:rPr>
          <w:rFonts w:eastAsia="Calibri" w:cstheme="minorHAnsi"/>
          <w:kern w:val="0"/>
          <w14:ligatures w14:val="none"/>
        </w:rPr>
        <w:t>co</w:t>
      </w:r>
      <w:r w:rsidR="003B50ED">
        <w:rPr>
          <w:rFonts w:eastAsia="Calibri" w:cstheme="minorHAnsi"/>
          <w:kern w:val="0"/>
          <w14:ligatures w14:val="none"/>
        </w:rPr>
        <w:t xml:space="preserve"> </w:t>
      </w:r>
      <w:r w:rsidRPr="00A26C26">
        <w:rPr>
          <w:rFonts w:eastAsia="Calibri" w:cstheme="minorHAnsi"/>
          <w:kern w:val="0"/>
          <w14:ligatures w14:val="none"/>
        </w:rPr>
        <w:t>sprzyja</w:t>
      </w:r>
      <w:r w:rsidR="003B50ED">
        <w:rPr>
          <w:rFonts w:eastAsia="Calibri" w:cstheme="minorHAnsi"/>
          <w:kern w:val="0"/>
          <w14:ligatures w14:val="none"/>
        </w:rPr>
        <w:t xml:space="preserve"> </w:t>
      </w:r>
      <w:r w:rsidRPr="00A26C26">
        <w:rPr>
          <w:rFonts w:eastAsia="Calibri" w:cstheme="minorHAnsi"/>
          <w:kern w:val="0"/>
          <w14:ligatures w14:val="none"/>
        </w:rPr>
        <w:t>jeszcze</w:t>
      </w:r>
      <w:r w:rsidR="003B50ED">
        <w:rPr>
          <w:rFonts w:eastAsia="Calibri" w:cstheme="minorHAnsi"/>
          <w:kern w:val="0"/>
          <w14:ligatures w14:val="none"/>
        </w:rPr>
        <w:t xml:space="preserve"> </w:t>
      </w:r>
      <w:r w:rsidRPr="00A26C26">
        <w:rPr>
          <w:rFonts w:eastAsia="Calibri" w:cstheme="minorHAnsi"/>
          <w:kern w:val="0"/>
          <w14:ligatures w14:val="none"/>
        </w:rPr>
        <w:t>większej</w:t>
      </w:r>
      <w:r w:rsidR="003B50ED">
        <w:rPr>
          <w:rFonts w:eastAsia="Calibri" w:cstheme="minorHAnsi"/>
          <w:kern w:val="0"/>
          <w14:ligatures w14:val="none"/>
        </w:rPr>
        <w:t xml:space="preserve"> </w:t>
      </w:r>
      <w:r w:rsidRPr="00A26C26">
        <w:rPr>
          <w:rFonts w:eastAsia="Calibri" w:cstheme="minorHAnsi"/>
          <w:kern w:val="0"/>
          <w14:ligatures w14:val="none"/>
        </w:rPr>
        <w:t>integracji</w:t>
      </w:r>
      <w:r w:rsidR="003B50ED">
        <w:rPr>
          <w:rFonts w:eastAsia="Calibri" w:cstheme="minorHAnsi"/>
          <w:kern w:val="0"/>
          <w14:ligatures w14:val="none"/>
        </w:rPr>
        <w:t xml:space="preserve"> </w:t>
      </w:r>
      <w:r w:rsidRPr="00A26C26">
        <w:rPr>
          <w:rFonts w:eastAsia="Calibri" w:cstheme="minorHAnsi"/>
          <w:kern w:val="0"/>
          <w14:ligatures w14:val="none"/>
        </w:rPr>
        <w:t>i</w:t>
      </w:r>
      <w:r w:rsidR="003B50ED">
        <w:rPr>
          <w:rFonts w:eastAsia="Calibri" w:cstheme="minorHAnsi"/>
          <w:kern w:val="0"/>
          <w14:ligatures w14:val="none"/>
        </w:rPr>
        <w:t xml:space="preserve"> </w:t>
      </w:r>
      <w:r w:rsidRPr="00A26C26">
        <w:rPr>
          <w:rFonts w:eastAsia="Calibri" w:cstheme="minorHAnsi"/>
          <w:kern w:val="0"/>
          <w14:ligatures w14:val="none"/>
        </w:rPr>
        <w:t>synergii</w:t>
      </w:r>
      <w:r w:rsidR="003B50ED">
        <w:rPr>
          <w:rFonts w:eastAsia="Calibri" w:cstheme="minorHAnsi"/>
          <w:kern w:val="0"/>
          <w14:ligatures w14:val="none"/>
        </w:rPr>
        <w:t xml:space="preserve"> </w:t>
      </w:r>
      <w:r w:rsidRPr="00A26C26">
        <w:rPr>
          <w:rFonts w:eastAsia="Calibri" w:cstheme="minorHAnsi"/>
          <w:kern w:val="0"/>
          <w14:ligatures w14:val="none"/>
        </w:rPr>
        <w:t>działań</w:t>
      </w:r>
      <w:r w:rsidR="003B50ED">
        <w:rPr>
          <w:rFonts w:eastAsia="Calibri" w:cstheme="minorHAnsi"/>
          <w:kern w:val="0"/>
          <w14:ligatures w14:val="none"/>
        </w:rPr>
        <w:t xml:space="preserve">. </w:t>
      </w:r>
    </w:p>
    <w:p w14:paraId="296ADB67" w14:textId="4811B784" w:rsidR="00857736" w:rsidRPr="00A26C26" w:rsidRDefault="00857736" w:rsidP="00A26C26">
      <w:pPr>
        <w:spacing w:line="276" w:lineRule="auto"/>
        <w:ind w:firstLine="284"/>
        <w:jc w:val="both"/>
        <w:rPr>
          <w:rFonts w:eastAsia="Calibri" w:cstheme="minorHAnsi"/>
          <w:kern w:val="0"/>
          <w14:ligatures w14:val="none"/>
        </w:rPr>
      </w:pPr>
      <w:r w:rsidRPr="00A26C26">
        <w:rPr>
          <w:rFonts w:eastAsia="Calibri" w:cstheme="minorHAnsi"/>
          <w:kern w:val="0"/>
          <w14:ligatures w14:val="none"/>
        </w:rPr>
        <w:t>Dodatkowo,</w:t>
      </w:r>
      <w:r w:rsidR="003B50ED">
        <w:rPr>
          <w:rFonts w:eastAsia="Calibri" w:cstheme="minorHAnsi"/>
          <w:kern w:val="0"/>
          <w14:ligatures w14:val="none"/>
        </w:rPr>
        <w:t xml:space="preserve"> </w:t>
      </w:r>
      <w:r w:rsidRPr="00A26C26">
        <w:rPr>
          <w:rFonts w:eastAsia="Calibri" w:cstheme="minorHAnsi"/>
          <w:kern w:val="0"/>
          <w14:ligatures w14:val="none"/>
        </w:rPr>
        <w:t>realizacja</w:t>
      </w:r>
      <w:r w:rsidR="003B50ED">
        <w:rPr>
          <w:rFonts w:eastAsia="Calibri" w:cstheme="minorHAnsi"/>
          <w:kern w:val="0"/>
          <w14:ligatures w14:val="none"/>
        </w:rPr>
        <w:t xml:space="preserve"> </w:t>
      </w:r>
      <w:r w:rsidRPr="00A26C26">
        <w:rPr>
          <w:rFonts w:eastAsia="Calibri" w:cstheme="minorHAnsi"/>
          <w:kern w:val="0"/>
          <w14:ligatures w14:val="none"/>
        </w:rPr>
        <w:t>LSR</w:t>
      </w:r>
      <w:r w:rsidR="003B50ED">
        <w:rPr>
          <w:rFonts w:eastAsia="Calibri" w:cstheme="minorHAnsi"/>
          <w:kern w:val="0"/>
          <w14:ligatures w14:val="none"/>
        </w:rPr>
        <w:t xml:space="preserve"> </w:t>
      </w:r>
      <w:r w:rsidRPr="00A26C26">
        <w:rPr>
          <w:rFonts w:eastAsia="Calibri" w:cstheme="minorHAnsi"/>
          <w:kern w:val="0"/>
          <w14:ligatures w14:val="none"/>
        </w:rPr>
        <w:t>stanowi</w:t>
      </w:r>
      <w:r w:rsidR="003B50ED">
        <w:rPr>
          <w:rFonts w:eastAsia="Calibri" w:cstheme="minorHAnsi"/>
          <w:kern w:val="0"/>
          <w14:ligatures w14:val="none"/>
        </w:rPr>
        <w:t xml:space="preserve"> </w:t>
      </w:r>
      <w:r w:rsidRPr="00A26C26">
        <w:rPr>
          <w:rFonts w:eastAsia="Calibri" w:cstheme="minorHAnsi"/>
          <w:kern w:val="0"/>
          <w14:ligatures w14:val="none"/>
        </w:rPr>
        <w:t>niezwykle</w:t>
      </w:r>
      <w:r w:rsidR="003B50ED">
        <w:rPr>
          <w:rFonts w:eastAsia="Calibri" w:cstheme="minorHAnsi"/>
          <w:kern w:val="0"/>
          <w14:ligatures w14:val="none"/>
        </w:rPr>
        <w:t xml:space="preserve"> </w:t>
      </w:r>
      <w:r w:rsidRPr="00A26C26">
        <w:rPr>
          <w:rFonts w:eastAsia="Calibri" w:cstheme="minorHAnsi"/>
          <w:kern w:val="0"/>
          <w14:ligatures w14:val="none"/>
        </w:rPr>
        <w:t>cenne</w:t>
      </w:r>
      <w:r w:rsidR="003B50ED">
        <w:rPr>
          <w:rFonts w:eastAsia="Calibri" w:cstheme="minorHAnsi"/>
          <w:kern w:val="0"/>
          <w14:ligatures w14:val="none"/>
        </w:rPr>
        <w:t xml:space="preserve"> </w:t>
      </w:r>
      <w:r w:rsidRPr="00A26C26">
        <w:rPr>
          <w:rFonts w:eastAsia="Calibri" w:cstheme="minorHAnsi"/>
          <w:kern w:val="0"/>
          <w14:ligatures w14:val="none"/>
        </w:rPr>
        <w:t>narzędzie,</w:t>
      </w:r>
      <w:r w:rsidR="003B50ED">
        <w:rPr>
          <w:rFonts w:eastAsia="Calibri" w:cstheme="minorHAnsi"/>
          <w:kern w:val="0"/>
          <w14:ligatures w14:val="none"/>
        </w:rPr>
        <w:t xml:space="preserve"> </w:t>
      </w:r>
      <w:r w:rsidRPr="00A26C26">
        <w:rPr>
          <w:rFonts w:eastAsia="Calibri" w:cstheme="minorHAnsi"/>
          <w:kern w:val="0"/>
          <w14:ligatures w14:val="none"/>
        </w:rPr>
        <w:t>umożliwiające</w:t>
      </w:r>
      <w:r w:rsidR="003B50ED">
        <w:rPr>
          <w:rFonts w:eastAsia="Calibri" w:cstheme="minorHAnsi"/>
          <w:kern w:val="0"/>
          <w14:ligatures w14:val="none"/>
        </w:rPr>
        <w:t xml:space="preserve"> </w:t>
      </w:r>
      <w:r w:rsidRPr="00A26C26">
        <w:rPr>
          <w:rFonts w:eastAsia="Calibri" w:cstheme="minorHAnsi"/>
          <w:kern w:val="0"/>
          <w14:ligatures w14:val="none"/>
        </w:rPr>
        <w:t>kompleksowy</w:t>
      </w:r>
      <w:r w:rsidR="003B50ED">
        <w:rPr>
          <w:rFonts w:eastAsia="Calibri" w:cstheme="minorHAnsi"/>
          <w:kern w:val="0"/>
          <w14:ligatures w14:val="none"/>
        </w:rPr>
        <w:t xml:space="preserve"> </w:t>
      </w:r>
      <w:r w:rsidRPr="00A26C26">
        <w:rPr>
          <w:rFonts w:eastAsia="Calibri" w:cstheme="minorHAnsi"/>
          <w:kern w:val="0"/>
          <w14:ligatures w14:val="none"/>
        </w:rPr>
        <w:t>rozwój</w:t>
      </w:r>
      <w:r w:rsidR="003B50ED">
        <w:rPr>
          <w:rFonts w:eastAsia="Calibri" w:cstheme="minorHAnsi"/>
          <w:kern w:val="0"/>
          <w14:ligatures w14:val="none"/>
        </w:rPr>
        <w:t xml:space="preserve"> </w:t>
      </w:r>
      <w:r w:rsidRPr="00A26C26">
        <w:rPr>
          <w:rFonts w:eastAsia="Calibri" w:cstheme="minorHAnsi"/>
          <w:kern w:val="0"/>
          <w14:ligatures w14:val="none"/>
        </w:rPr>
        <w:t>obszaru</w:t>
      </w:r>
      <w:r w:rsidR="003B50ED">
        <w:rPr>
          <w:rFonts w:eastAsia="Calibri" w:cstheme="minorHAnsi"/>
          <w:kern w:val="0"/>
          <w14:ligatures w14:val="none"/>
        </w:rPr>
        <w:t xml:space="preserve"> </w:t>
      </w:r>
      <w:r w:rsidRPr="00A26C26">
        <w:rPr>
          <w:rFonts w:eastAsia="Calibri" w:cstheme="minorHAnsi"/>
          <w:kern w:val="0"/>
          <w14:ligatures w14:val="none"/>
        </w:rPr>
        <w:t>lokalnego.</w:t>
      </w:r>
      <w:r w:rsidR="003B50ED">
        <w:rPr>
          <w:rFonts w:eastAsia="Calibri" w:cstheme="minorHAnsi"/>
          <w:kern w:val="0"/>
          <w14:ligatures w14:val="none"/>
        </w:rPr>
        <w:t xml:space="preserve"> </w:t>
      </w:r>
      <w:r w:rsidRPr="00A26C26">
        <w:rPr>
          <w:rFonts w:eastAsia="Calibri" w:cstheme="minorHAnsi"/>
          <w:kern w:val="0"/>
          <w14:ligatures w14:val="none"/>
        </w:rPr>
        <w:t>Przede</w:t>
      </w:r>
      <w:r w:rsidR="003B50ED">
        <w:rPr>
          <w:rFonts w:eastAsia="Calibri" w:cstheme="minorHAnsi"/>
          <w:kern w:val="0"/>
          <w14:ligatures w14:val="none"/>
        </w:rPr>
        <w:t xml:space="preserve"> </w:t>
      </w:r>
      <w:r w:rsidRPr="00A26C26">
        <w:rPr>
          <w:rFonts w:eastAsia="Calibri" w:cstheme="minorHAnsi"/>
          <w:kern w:val="0"/>
          <w14:ligatures w14:val="none"/>
        </w:rPr>
        <w:t>wszystkim,</w:t>
      </w:r>
      <w:r w:rsidR="003B50ED">
        <w:rPr>
          <w:rFonts w:eastAsia="Calibri" w:cstheme="minorHAnsi"/>
          <w:kern w:val="0"/>
          <w14:ligatures w14:val="none"/>
        </w:rPr>
        <w:t xml:space="preserve"> </w:t>
      </w:r>
      <w:r w:rsidRPr="00A26C26">
        <w:rPr>
          <w:rFonts w:eastAsia="Calibri" w:cstheme="minorHAnsi"/>
          <w:kern w:val="0"/>
          <w14:ligatures w14:val="none"/>
        </w:rPr>
        <w:t>wprowadzenie</w:t>
      </w:r>
      <w:r w:rsidR="003B50ED">
        <w:rPr>
          <w:rFonts w:eastAsia="Calibri" w:cstheme="minorHAnsi"/>
          <w:kern w:val="0"/>
          <w14:ligatures w14:val="none"/>
        </w:rPr>
        <w:t xml:space="preserve"> </w:t>
      </w:r>
      <w:r w:rsidRPr="00A26C26">
        <w:rPr>
          <w:rFonts w:eastAsia="Calibri" w:cstheme="minorHAnsi"/>
          <w:kern w:val="0"/>
          <w14:ligatures w14:val="none"/>
        </w:rPr>
        <w:t>LSR</w:t>
      </w:r>
      <w:r w:rsidR="003B50ED">
        <w:rPr>
          <w:rFonts w:eastAsia="Calibri" w:cstheme="minorHAnsi"/>
          <w:kern w:val="0"/>
          <w14:ligatures w14:val="none"/>
        </w:rPr>
        <w:t xml:space="preserve"> </w:t>
      </w:r>
      <w:r w:rsidRPr="00A26C26">
        <w:rPr>
          <w:rFonts w:eastAsia="Calibri" w:cstheme="minorHAnsi"/>
          <w:kern w:val="0"/>
          <w14:ligatures w14:val="none"/>
        </w:rPr>
        <w:t>sprzyja</w:t>
      </w:r>
      <w:r w:rsidR="003B50ED">
        <w:rPr>
          <w:rFonts w:eastAsia="Calibri" w:cstheme="minorHAnsi"/>
          <w:kern w:val="0"/>
          <w14:ligatures w14:val="none"/>
        </w:rPr>
        <w:t xml:space="preserve"> </w:t>
      </w:r>
      <w:r w:rsidRPr="00A26C26">
        <w:rPr>
          <w:rFonts w:eastAsia="Calibri" w:cstheme="minorHAnsi"/>
          <w:kern w:val="0"/>
          <w14:ligatures w14:val="none"/>
        </w:rPr>
        <w:t>tworzeniu</w:t>
      </w:r>
      <w:r w:rsidR="003B50ED">
        <w:rPr>
          <w:rFonts w:eastAsia="Calibri" w:cstheme="minorHAnsi"/>
          <w:kern w:val="0"/>
          <w14:ligatures w14:val="none"/>
        </w:rPr>
        <w:t xml:space="preserve"> </w:t>
      </w:r>
      <w:r w:rsidRPr="00A26C26">
        <w:rPr>
          <w:rFonts w:eastAsia="Calibri" w:cstheme="minorHAnsi"/>
          <w:kern w:val="0"/>
          <w14:ligatures w14:val="none"/>
        </w:rPr>
        <w:t>innowacyjnych</w:t>
      </w:r>
      <w:r w:rsidR="003B50ED">
        <w:rPr>
          <w:rFonts w:eastAsia="Calibri" w:cstheme="minorHAnsi"/>
          <w:kern w:val="0"/>
          <w14:ligatures w14:val="none"/>
        </w:rPr>
        <w:t xml:space="preserve"> </w:t>
      </w:r>
      <w:r w:rsidRPr="00A26C26">
        <w:rPr>
          <w:rFonts w:eastAsia="Calibri" w:cstheme="minorHAnsi"/>
          <w:kern w:val="0"/>
          <w14:ligatures w14:val="none"/>
        </w:rPr>
        <w:t>i</w:t>
      </w:r>
      <w:r w:rsidR="003B50ED">
        <w:rPr>
          <w:rFonts w:eastAsia="Calibri" w:cstheme="minorHAnsi"/>
          <w:kern w:val="0"/>
          <w14:ligatures w14:val="none"/>
        </w:rPr>
        <w:t xml:space="preserve"> </w:t>
      </w:r>
      <w:r w:rsidRPr="00A26C26">
        <w:rPr>
          <w:rFonts w:eastAsia="Calibri" w:cstheme="minorHAnsi"/>
          <w:kern w:val="0"/>
          <w14:ligatures w14:val="none"/>
        </w:rPr>
        <w:t>uzupełniających</w:t>
      </w:r>
      <w:r w:rsidR="003B50ED">
        <w:rPr>
          <w:rFonts w:eastAsia="Calibri" w:cstheme="minorHAnsi"/>
          <w:kern w:val="0"/>
          <w14:ligatures w14:val="none"/>
        </w:rPr>
        <w:t xml:space="preserve"> </w:t>
      </w:r>
      <w:r w:rsidRPr="00A26C26">
        <w:rPr>
          <w:rFonts w:eastAsia="Calibri" w:cstheme="minorHAnsi"/>
          <w:kern w:val="0"/>
          <w14:ligatures w14:val="none"/>
        </w:rPr>
        <w:t>przedsięwzięć,</w:t>
      </w:r>
      <w:r w:rsidR="003B50ED">
        <w:rPr>
          <w:rFonts w:eastAsia="Calibri" w:cstheme="minorHAnsi"/>
          <w:kern w:val="0"/>
          <w14:ligatures w14:val="none"/>
        </w:rPr>
        <w:t xml:space="preserve"> </w:t>
      </w:r>
      <w:r w:rsidRPr="00A26C26">
        <w:rPr>
          <w:rFonts w:eastAsia="Calibri" w:cstheme="minorHAnsi"/>
          <w:kern w:val="0"/>
          <w14:ligatures w14:val="none"/>
        </w:rPr>
        <w:t>które</w:t>
      </w:r>
      <w:r w:rsidR="003B50ED">
        <w:rPr>
          <w:rFonts w:eastAsia="Calibri" w:cstheme="minorHAnsi"/>
          <w:kern w:val="0"/>
          <w14:ligatures w14:val="none"/>
        </w:rPr>
        <w:t xml:space="preserve"> </w:t>
      </w:r>
      <w:r w:rsidRPr="00A26C26">
        <w:rPr>
          <w:rFonts w:eastAsia="Calibri" w:cstheme="minorHAnsi"/>
          <w:kern w:val="0"/>
          <w14:ligatures w14:val="none"/>
        </w:rPr>
        <w:t>mają</w:t>
      </w:r>
      <w:r w:rsidR="003B50ED">
        <w:rPr>
          <w:rFonts w:eastAsia="Calibri" w:cstheme="minorHAnsi"/>
          <w:kern w:val="0"/>
          <w14:ligatures w14:val="none"/>
        </w:rPr>
        <w:t xml:space="preserve"> </w:t>
      </w:r>
      <w:r w:rsidRPr="00A26C26">
        <w:rPr>
          <w:rFonts w:eastAsia="Calibri" w:cstheme="minorHAnsi"/>
          <w:kern w:val="0"/>
          <w14:ligatures w14:val="none"/>
        </w:rPr>
        <w:t>pozytywny</w:t>
      </w:r>
      <w:r w:rsidR="003B50ED">
        <w:rPr>
          <w:rFonts w:eastAsia="Calibri" w:cstheme="minorHAnsi"/>
          <w:kern w:val="0"/>
          <w14:ligatures w14:val="none"/>
        </w:rPr>
        <w:t xml:space="preserve"> </w:t>
      </w:r>
      <w:r w:rsidRPr="00A26C26">
        <w:rPr>
          <w:rFonts w:eastAsia="Calibri" w:cstheme="minorHAnsi"/>
          <w:kern w:val="0"/>
          <w14:ligatures w14:val="none"/>
        </w:rPr>
        <w:t>wpływ</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całą</w:t>
      </w:r>
      <w:r w:rsidR="003B50ED">
        <w:rPr>
          <w:rFonts w:eastAsia="Calibri" w:cstheme="minorHAnsi"/>
          <w:kern w:val="0"/>
          <w14:ligatures w14:val="none"/>
        </w:rPr>
        <w:t xml:space="preserve"> </w:t>
      </w:r>
      <w:r w:rsidRPr="00A26C26">
        <w:rPr>
          <w:rFonts w:eastAsia="Calibri" w:cstheme="minorHAnsi"/>
          <w:kern w:val="0"/>
          <w14:ligatures w14:val="none"/>
        </w:rPr>
        <w:t>społeczność.</w:t>
      </w:r>
      <w:r w:rsidR="003B50ED">
        <w:rPr>
          <w:rFonts w:eastAsia="Calibri" w:cstheme="minorHAnsi"/>
          <w:kern w:val="0"/>
          <w14:ligatures w14:val="none"/>
        </w:rPr>
        <w:t xml:space="preserve"> </w:t>
      </w:r>
      <w:r w:rsidRPr="00A26C26">
        <w:rPr>
          <w:rFonts w:eastAsia="Calibri" w:cstheme="minorHAnsi"/>
          <w:kern w:val="0"/>
          <w14:ligatures w14:val="none"/>
        </w:rPr>
        <w:t>Dzięki</w:t>
      </w:r>
      <w:r w:rsidR="003B50ED">
        <w:rPr>
          <w:rFonts w:eastAsia="Calibri" w:cstheme="minorHAnsi"/>
          <w:kern w:val="0"/>
          <w14:ligatures w14:val="none"/>
        </w:rPr>
        <w:t xml:space="preserve"> </w:t>
      </w:r>
      <w:r w:rsidRPr="00A26C26">
        <w:rPr>
          <w:rFonts w:eastAsia="Calibri" w:cstheme="minorHAnsi"/>
          <w:kern w:val="0"/>
          <w14:ligatures w14:val="none"/>
        </w:rPr>
        <w:t>temu,</w:t>
      </w:r>
      <w:r w:rsidR="003B50ED">
        <w:rPr>
          <w:rFonts w:eastAsia="Calibri" w:cstheme="minorHAnsi"/>
          <w:kern w:val="0"/>
          <w14:ligatures w14:val="none"/>
        </w:rPr>
        <w:t xml:space="preserve"> </w:t>
      </w:r>
      <w:r w:rsidRPr="00A26C26">
        <w:rPr>
          <w:rFonts w:eastAsia="Calibri" w:cstheme="minorHAnsi"/>
          <w:kern w:val="0"/>
          <w14:ligatures w14:val="none"/>
        </w:rPr>
        <w:t>obszar</w:t>
      </w:r>
      <w:r w:rsidR="003B50ED">
        <w:rPr>
          <w:rFonts w:eastAsia="Calibri" w:cstheme="minorHAnsi"/>
          <w:kern w:val="0"/>
          <w14:ligatures w14:val="none"/>
        </w:rPr>
        <w:t xml:space="preserve"> </w:t>
      </w:r>
      <w:r w:rsidRPr="00A26C26">
        <w:rPr>
          <w:rFonts w:eastAsia="Calibri" w:cstheme="minorHAnsi"/>
          <w:kern w:val="0"/>
          <w14:ligatures w14:val="none"/>
        </w:rPr>
        <w:t>objęty</w:t>
      </w:r>
      <w:r w:rsidR="003B50ED">
        <w:rPr>
          <w:rFonts w:eastAsia="Calibri" w:cstheme="minorHAnsi"/>
          <w:kern w:val="0"/>
          <w14:ligatures w14:val="none"/>
        </w:rPr>
        <w:t xml:space="preserve"> </w:t>
      </w:r>
      <w:r w:rsidRPr="00A26C26">
        <w:rPr>
          <w:rFonts w:eastAsia="Calibri" w:cstheme="minorHAnsi"/>
          <w:kern w:val="0"/>
          <w14:ligatures w14:val="none"/>
        </w:rPr>
        <w:t>LSR</w:t>
      </w:r>
      <w:r w:rsidR="003B50ED">
        <w:rPr>
          <w:rFonts w:eastAsia="Calibri" w:cstheme="minorHAnsi"/>
          <w:kern w:val="0"/>
          <w14:ligatures w14:val="none"/>
        </w:rPr>
        <w:t xml:space="preserve"> </w:t>
      </w:r>
      <w:r w:rsidRPr="00A26C26">
        <w:rPr>
          <w:rFonts w:eastAsia="Calibri" w:cstheme="minorHAnsi"/>
          <w:kern w:val="0"/>
          <w14:ligatures w14:val="none"/>
        </w:rPr>
        <w:t>staje</w:t>
      </w:r>
      <w:r w:rsidR="003B50ED">
        <w:rPr>
          <w:rFonts w:eastAsia="Calibri" w:cstheme="minorHAnsi"/>
          <w:kern w:val="0"/>
          <w14:ligatures w14:val="none"/>
        </w:rPr>
        <w:t xml:space="preserve"> </w:t>
      </w:r>
      <w:r w:rsidRPr="00A26C26">
        <w:rPr>
          <w:rFonts w:eastAsia="Calibri" w:cstheme="minorHAnsi"/>
          <w:kern w:val="0"/>
          <w14:ligatures w14:val="none"/>
        </w:rPr>
        <w:t>się</w:t>
      </w:r>
      <w:r w:rsidR="003B50ED">
        <w:rPr>
          <w:rFonts w:eastAsia="Calibri" w:cstheme="minorHAnsi"/>
          <w:kern w:val="0"/>
          <w14:ligatures w14:val="none"/>
        </w:rPr>
        <w:t xml:space="preserve"> </w:t>
      </w:r>
      <w:r w:rsidRPr="00A26C26">
        <w:rPr>
          <w:rFonts w:eastAsia="Calibri" w:cstheme="minorHAnsi"/>
          <w:kern w:val="0"/>
          <w14:ligatures w14:val="none"/>
        </w:rPr>
        <w:t>prawdziwym</w:t>
      </w:r>
      <w:r w:rsidR="003B50ED">
        <w:rPr>
          <w:rFonts w:eastAsia="Calibri" w:cstheme="minorHAnsi"/>
          <w:kern w:val="0"/>
          <w14:ligatures w14:val="none"/>
        </w:rPr>
        <w:t xml:space="preserve"> </w:t>
      </w:r>
      <w:r w:rsidRPr="00A26C26">
        <w:rPr>
          <w:rFonts w:eastAsia="Calibri" w:cstheme="minorHAnsi"/>
          <w:kern w:val="0"/>
          <w14:ligatures w14:val="none"/>
        </w:rPr>
        <w:t>miejscem</w:t>
      </w:r>
      <w:r w:rsidR="003B50ED">
        <w:rPr>
          <w:rFonts w:eastAsia="Calibri" w:cstheme="minorHAnsi"/>
          <w:kern w:val="0"/>
          <w14:ligatures w14:val="none"/>
        </w:rPr>
        <w:t xml:space="preserve"> </w:t>
      </w:r>
      <w:r w:rsidRPr="00A26C26">
        <w:rPr>
          <w:rFonts w:eastAsia="Calibri" w:cstheme="minorHAnsi"/>
          <w:kern w:val="0"/>
          <w14:ligatures w14:val="none"/>
        </w:rPr>
        <w:t>twórczych</w:t>
      </w:r>
      <w:r w:rsidR="003B50ED">
        <w:rPr>
          <w:rFonts w:eastAsia="Calibri" w:cstheme="minorHAnsi"/>
          <w:kern w:val="0"/>
          <w14:ligatures w14:val="none"/>
        </w:rPr>
        <w:t xml:space="preserve"> </w:t>
      </w:r>
      <w:r w:rsidRPr="00A26C26">
        <w:rPr>
          <w:rFonts w:eastAsia="Calibri" w:cstheme="minorHAnsi"/>
          <w:kern w:val="0"/>
          <w14:ligatures w14:val="none"/>
        </w:rPr>
        <w:t>pomysłów,</w:t>
      </w:r>
      <w:r w:rsidR="003B50ED">
        <w:rPr>
          <w:rFonts w:eastAsia="Calibri" w:cstheme="minorHAnsi"/>
          <w:kern w:val="0"/>
          <w14:ligatures w14:val="none"/>
        </w:rPr>
        <w:t xml:space="preserve"> </w:t>
      </w:r>
      <w:r w:rsidRPr="00A26C26">
        <w:rPr>
          <w:rFonts w:eastAsia="Calibri" w:cstheme="minorHAnsi"/>
          <w:kern w:val="0"/>
          <w14:ligatures w14:val="none"/>
        </w:rPr>
        <w:t>inicjatyw</w:t>
      </w:r>
      <w:r w:rsidR="003B50ED">
        <w:rPr>
          <w:rFonts w:eastAsia="Calibri" w:cstheme="minorHAnsi"/>
          <w:kern w:val="0"/>
          <w14:ligatures w14:val="none"/>
        </w:rPr>
        <w:t xml:space="preserve"> </w:t>
      </w:r>
      <w:r w:rsidRPr="00A26C26">
        <w:rPr>
          <w:rFonts w:eastAsia="Calibri" w:cstheme="minorHAnsi"/>
          <w:kern w:val="0"/>
          <w14:ligatures w14:val="none"/>
        </w:rPr>
        <w:t>oraz</w:t>
      </w:r>
      <w:r w:rsidR="003B50ED">
        <w:rPr>
          <w:rFonts w:eastAsia="Calibri" w:cstheme="minorHAnsi"/>
          <w:kern w:val="0"/>
          <w14:ligatures w14:val="none"/>
        </w:rPr>
        <w:t xml:space="preserve"> </w:t>
      </w:r>
      <w:r w:rsidRPr="00A26C26">
        <w:rPr>
          <w:rFonts w:eastAsia="Calibri" w:cstheme="minorHAnsi"/>
          <w:kern w:val="0"/>
          <w14:ligatures w14:val="none"/>
        </w:rPr>
        <w:t>działań,</w:t>
      </w:r>
      <w:r w:rsidR="003B50ED">
        <w:rPr>
          <w:rFonts w:eastAsia="Calibri" w:cstheme="minorHAnsi"/>
          <w:kern w:val="0"/>
          <w14:ligatures w14:val="none"/>
        </w:rPr>
        <w:t xml:space="preserve"> </w:t>
      </w:r>
      <w:r w:rsidRPr="00A26C26">
        <w:rPr>
          <w:rFonts w:eastAsia="Calibri" w:cstheme="minorHAnsi"/>
          <w:kern w:val="0"/>
          <w14:ligatures w14:val="none"/>
        </w:rPr>
        <w:t>przynoszących</w:t>
      </w:r>
      <w:r w:rsidR="003B50ED">
        <w:rPr>
          <w:rFonts w:eastAsia="Calibri" w:cstheme="minorHAnsi"/>
          <w:kern w:val="0"/>
          <w14:ligatures w14:val="none"/>
        </w:rPr>
        <w:t xml:space="preserve"> </w:t>
      </w:r>
      <w:r w:rsidRPr="00A26C26">
        <w:rPr>
          <w:rFonts w:eastAsia="Calibri" w:cstheme="minorHAnsi"/>
          <w:kern w:val="0"/>
          <w14:ligatures w14:val="none"/>
        </w:rPr>
        <w:t>korzyści</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różnych</w:t>
      </w:r>
      <w:r w:rsidR="003B50ED">
        <w:rPr>
          <w:rFonts w:eastAsia="Calibri" w:cstheme="minorHAnsi"/>
          <w:kern w:val="0"/>
          <w14:ligatures w14:val="none"/>
        </w:rPr>
        <w:t xml:space="preserve"> </w:t>
      </w:r>
      <w:r w:rsidRPr="00A26C26">
        <w:rPr>
          <w:rFonts w:eastAsia="Calibri" w:cstheme="minorHAnsi"/>
          <w:kern w:val="0"/>
          <w14:ligatures w14:val="none"/>
        </w:rPr>
        <w:t>płaszczyznach.</w:t>
      </w:r>
      <w:r w:rsidR="003B50ED">
        <w:rPr>
          <w:rFonts w:eastAsia="Calibri" w:cstheme="minorHAnsi"/>
          <w:kern w:val="0"/>
          <w14:ligatures w14:val="none"/>
        </w:rPr>
        <w:t xml:space="preserve"> </w:t>
      </w:r>
      <w:r w:rsidRPr="00A26C26">
        <w:rPr>
          <w:rFonts w:eastAsia="Calibri" w:cstheme="minorHAnsi"/>
          <w:kern w:val="0"/>
          <w14:ligatures w14:val="none"/>
        </w:rPr>
        <w:t>Wdrażane</w:t>
      </w:r>
      <w:r w:rsidR="003B50ED">
        <w:rPr>
          <w:rFonts w:eastAsia="Calibri" w:cstheme="minorHAnsi"/>
          <w:kern w:val="0"/>
          <w14:ligatures w14:val="none"/>
        </w:rPr>
        <w:t xml:space="preserve"> </w:t>
      </w:r>
      <w:r w:rsidRPr="00A26C26">
        <w:rPr>
          <w:rFonts w:eastAsia="Calibri" w:cstheme="minorHAnsi"/>
          <w:kern w:val="0"/>
          <w14:ligatures w14:val="none"/>
        </w:rPr>
        <w:t>innowacje</w:t>
      </w:r>
      <w:r w:rsidR="003B50ED">
        <w:rPr>
          <w:rFonts w:eastAsia="Calibri" w:cstheme="minorHAnsi"/>
          <w:kern w:val="0"/>
          <w14:ligatures w14:val="none"/>
        </w:rPr>
        <w:t xml:space="preserve"> </w:t>
      </w:r>
      <w:r w:rsidRPr="00A26C26">
        <w:rPr>
          <w:rFonts w:eastAsia="Calibri" w:cstheme="minorHAnsi"/>
          <w:kern w:val="0"/>
          <w14:ligatures w14:val="none"/>
        </w:rPr>
        <w:t>i</w:t>
      </w:r>
      <w:r w:rsidR="003B50ED">
        <w:rPr>
          <w:rFonts w:eastAsia="Calibri" w:cstheme="minorHAnsi"/>
          <w:kern w:val="0"/>
          <w14:ligatures w14:val="none"/>
        </w:rPr>
        <w:t xml:space="preserve"> </w:t>
      </w:r>
      <w:r w:rsidRPr="00A26C26">
        <w:rPr>
          <w:rFonts w:eastAsia="Calibri" w:cstheme="minorHAnsi"/>
          <w:kern w:val="0"/>
          <w14:ligatures w14:val="none"/>
        </w:rPr>
        <w:t>różnorodne</w:t>
      </w:r>
      <w:r w:rsidR="003B50ED">
        <w:rPr>
          <w:rFonts w:eastAsia="Calibri" w:cstheme="minorHAnsi"/>
          <w:kern w:val="0"/>
          <w14:ligatures w14:val="none"/>
        </w:rPr>
        <w:t xml:space="preserve"> </w:t>
      </w:r>
      <w:r w:rsidRPr="00A26C26">
        <w:rPr>
          <w:rFonts w:eastAsia="Calibri" w:cstheme="minorHAnsi"/>
          <w:kern w:val="0"/>
          <w14:ligatures w14:val="none"/>
        </w:rPr>
        <w:t>projekty</w:t>
      </w:r>
      <w:r w:rsidR="003B50ED">
        <w:rPr>
          <w:rFonts w:eastAsia="Calibri" w:cstheme="minorHAnsi"/>
          <w:kern w:val="0"/>
          <w14:ligatures w14:val="none"/>
        </w:rPr>
        <w:t xml:space="preserve"> </w:t>
      </w:r>
      <w:r w:rsidRPr="00A26C26">
        <w:rPr>
          <w:rFonts w:eastAsia="Calibri" w:cstheme="minorHAnsi"/>
          <w:kern w:val="0"/>
          <w14:ligatures w14:val="none"/>
        </w:rPr>
        <w:t>wzmacniają</w:t>
      </w:r>
      <w:r w:rsidR="003B50ED">
        <w:rPr>
          <w:rFonts w:eastAsia="Calibri" w:cstheme="minorHAnsi"/>
          <w:kern w:val="0"/>
          <w14:ligatures w14:val="none"/>
        </w:rPr>
        <w:t xml:space="preserve"> </w:t>
      </w:r>
      <w:r w:rsidRPr="00A26C26">
        <w:rPr>
          <w:rFonts w:eastAsia="Calibri" w:cstheme="minorHAnsi"/>
          <w:kern w:val="0"/>
          <w14:ligatures w14:val="none"/>
        </w:rPr>
        <w:t>zarówno</w:t>
      </w:r>
      <w:r w:rsidR="003B50ED">
        <w:rPr>
          <w:rFonts w:eastAsia="Calibri" w:cstheme="minorHAnsi"/>
          <w:kern w:val="0"/>
          <w14:ligatures w14:val="none"/>
        </w:rPr>
        <w:t xml:space="preserve"> </w:t>
      </w:r>
      <w:r w:rsidRPr="00A26C26">
        <w:rPr>
          <w:rFonts w:eastAsia="Calibri" w:cstheme="minorHAnsi"/>
          <w:kern w:val="0"/>
          <w14:ligatures w14:val="none"/>
        </w:rPr>
        <w:t>sferę</w:t>
      </w:r>
      <w:r w:rsidR="003B50ED">
        <w:rPr>
          <w:rFonts w:eastAsia="Calibri" w:cstheme="minorHAnsi"/>
          <w:kern w:val="0"/>
          <w14:ligatures w14:val="none"/>
        </w:rPr>
        <w:t xml:space="preserve"> </w:t>
      </w:r>
      <w:r w:rsidRPr="00A26C26">
        <w:rPr>
          <w:rFonts w:eastAsia="Calibri" w:cstheme="minorHAnsi"/>
          <w:kern w:val="0"/>
          <w14:ligatures w14:val="none"/>
        </w:rPr>
        <w:t>ekonomiczną,</w:t>
      </w:r>
      <w:r w:rsidR="003B50ED">
        <w:rPr>
          <w:rFonts w:eastAsia="Calibri" w:cstheme="minorHAnsi"/>
          <w:kern w:val="0"/>
          <w14:ligatures w14:val="none"/>
        </w:rPr>
        <w:t xml:space="preserve"> </w:t>
      </w:r>
      <w:r w:rsidRPr="00A26C26">
        <w:rPr>
          <w:rFonts w:eastAsia="Calibri" w:cstheme="minorHAnsi"/>
          <w:kern w:val="0"/>
          <w14:ligatures w14:val="none"/>
        </w:rPr>
        <w:t>jak</w:t>
      </w:r>
      <w:r w:rsidR="003B50ED">
        <w:rPr>
          <w:rFonts w:eastAsia="Calibri" w:cstheme="minorHAnsi"/>
          <w:kern w:val="0"/>
          <w14:ligatures w14:val="none"/>
        </w:rPr>
        <w:t xml:space="preserve"> </w:t>
      </w:r>
      <w:r w:rsidRPr="00A26C26">
        <w:rPr>
          <w:rFonts w:eastAsia="Calibri" w:cstheme="minorHAnsi"/>
          <w:kern w:val="0"/>
          <w14:ligatures w14:val="none"/>
        </w:rPr>
        <w:t>i</w:t>
      </w:r>
      <w:r w:rsidR="003B50ED">
        <w:rPr>
          <w:rFonts w:eastAsia="Calibri" w:cstheme="minorHAnsi"/>
          <w:kern w:val="0"/>
          <w14:ligatures w14:val="none"/>
        </w:rPr>
        <w:t xml:space="preserve"> </w:t>
      </w:r>
      <w:r w:rsidRPr="00A26C26">
        <w:rPr>
          <w:rFonts w:eastAsia="Calibri" w:cstheme="minorHAnsi"/>
          <w:kern w:val="0"/>
          <w14:ligatures w14:val="none"/>
        </w:rPr>
        <w:t>społeczną</w:t>
      </w:r>
      <w:r w:rsidR="003B50ED">
        <w:rPr>
          <w:rFonts w:eastAsia="Calibri" w:cstheme="minorHAnsi"/>
          <w:kern w:val="0"/>
          <w14:ligatures w14:val="none"/>
        </w:rPr>
        <w:t xml:space="preserve"> </w:t>
      </w:r>
      <w:r w:rsidRPr="00A26C26">
        <w:rPr>
          <w:rFonts w:eastAsia="Calibri" w:cstheme="minorHAnsi"/>
          <w:kern w:val="0"/>
          <w14:ligatures w14:val="none"/>
        </w:rPr>
        <w:t>oraz</w:t>
      </w:r>
      <w:r w:rsidR="003B50ED">
        <w:rPr>
          <w:rFonts w:eastAsia="Calibri" w:cstheme="minorHAnsi"/>
          <w:kern w:val="0"/>
          <w14:ligatures w14:val="none"/>
        </w:rPr>
        <w:t xml:space="preserve"> </w:t>
      </w:r>
      <w:r w:rsidRPr="00A26C26">
        <w:rPr>
          <w:rFonts w:eastAsia="Calibri" w:cstheme="minorHAnsi"/>
          <w:kern w:val="0"/>
          <w14:ligatures w14:val="none"/>
        </w:rPr>
        <w:t>kulturalną</w:t>
      </w:r>
      <w:r w:rsidR="003B50ED">
        <w:rPr>
          <w:rFonts w:eastAsia="Calibri" w:cstheme="minorHAnsi"/>
          <w:kern w:val="0"/>
          <w14:ligatures w14:val="none"/>
        </w:rPr>
        <w:t xml:space="preserve"> </w:t>
      </w:r>
      <w:r w:rsidRPr="00A26C26">
        <w:rPr>
          <w:rFonts w:eastAsia="Calibri" w:cstheme="minorHAnsi"/>
          <w:kern w:val="0"/>
          <w14:ligatures w14:val="none"/>
        </w:rPr>
        <w:t>obszaru,</w:t>
      </w:r>
      <w:r w:rsidR="003B50ED">
        <w:rPr>
          <w:rFonts w:eastAsia="Calibri" w:cstheme="minorHAnsi"/>
          <w:kern w:val="0"/>
          <w14:ligatures w14:val="none"/>
        </w:rPr>
        <w:t xml:space="preserve"> </w:t>
      </w:r>
      <w:r w:rsidRPr="00A26C26">
        <w:rPr>
          <w:rFonts w:eastAsia="Calibri" w:cstheme="minorHAnsi"/>
          <w:kern w:val="0"/>
          <w14:ligatures w14:val="none"/>
        </w:rPr>
        <w:t>tworząc</w:t>
      </w:r>
      <w:r w:rsidR="003B50ED">
        <w:rPr>
          <w:rFonts w:eastAsia="Calibri" w:cstheme="minorHAnsi"/>
          <w:kern w:val="0"/>
          <w14:ligatures w14:val="none"/>
        </w:rPr>
        <w:t xml:space="preserve"> </w:t>
      </w:r>
      <w:r w:rsidRPr="00A26C26">
        <w:rPr>
          <w:rFonts w:eastAsia="Calibri" w:cstheme="minorHAnsi"/>
          <w:kern w:val="0"/>
          <w14:ligatures w14:val="none"/>
        </w:rPr>
        <w:t>dynamiczną</w:t>
      </w:r>
      <w:r w:rsidR="003B50ED">
        <w:rPr>
          <w:rFonts w:eastAsia="Calibri" w:cstheme="minorHAnsi"/>
          <w:kern w:val="0"/>
          <w14:ligatures w14:val="none"/>
        </w:rPr>
        <w:t xml:space="preserve"> </w:t>
      </w:r>
      <w:r w:rsidRPr="00A26C26">
        <w:rPr>
          <w:rFonts w:eastAsia="Calibri" w:cstheme="minorHAnsi"/>
          <w:kern w:val="0"/>
          <w14:ligatures w14:val="none"/>
        </w:rPr>
        <w:t>i</w:t>
      </w:r>
      <w:r w:rsidR="003B50ED">
        <w:rPr>
          <w:rFonts w:eastAsia="Calibri" w:cstheme="minorHAnsi"/>
          <w:kern w:val="0"/>
          <w14:ligatures w14:val="none"/>
        </w:rPr>
        <w:t xml:space="preserve"> </w:t>
      </w:r>
      <w:r w:rsidRPr="00A26C26">
        <w:rPr>
          <w:rFonts w:eastAsia="Calibri" w:cstheme="minorHAnsi"/>
          <w:kern w:val="0"/>
          <w14:ligatures w14:val="none"/>
        </w:rPr>
        <w:t>atrakcyjną</w:t>
      </w:r>
      <w:r w:rsidR="003B50ED">
        <w:rPr>
          <w:rFonts w:eastAsia="Calibri" w:cstheme="minorHAnsi"/>
          <w:kern w:val="0"/>
          <w14:ligatures w14:val="none"/>
        </w:rPr>
        <w:t xml:space="preserve"> </w:t>
      </w:r>
      <w:r w:rsidRPr="00A26C26">
        <w:rPr>
          <w:rFonts w:eastAsia="Calibri" w:cstheme="minorHAnsi"/>
          <w:kern w:val="0"/>
          <w14:ligatures w14:val="none"/>
        </w:rPr>
        <w:t>lokalną</w:t>
      </w:r>
      <w:r w:rsidR="003B50ED">
        <w:rPr>
          <w:rFonts w:eastAsia="Calibri" w:cstheme="minorHAnsi"/>
          <w:kern w:val="0"/>
          <w14:ligatures w14:val="none"/>
        </w:rPr>
        <w:t xml:space="preserve"> </w:t>
      </w:r>
      <w:r w:rsidRPr="00A26C26">
        <w:rPr>
          <w:rFonts w:eastAsia="Calibri" w:cstheme="minorHAnsi"/>
          <w:kern w:val="0"/>
          <w14:ligatures w14:val="none"/>
        </w:rPr>
        <w:t>rzeczywistość.</w:t>
      </w:r>
    </w:p>
    <w:p w14:paraId="036FB7E4" w14:textId="4532FC0B" w:rsidR="00857736" w:rsidRPr="00A26C26" w:rsidRDefault="00857736" w:rsidP="00A26C26">
      <w:pPr>
        <w:spacing w:line="276" w:lineRule="auto"/>
        <w:ind w:firstLine="284"/>
        <w:jc w:val="both"/>
        <w:rPr>
          <w:rFonts w:eastAsia="Calibri" w:cstheme="minorHAnsi"/>
          <w:kern w:val="0"/>
          <w14:ligatures w14:val="none"/>
        </w:rPr>
      </w:pPr>
      <w:r w:rsidRPr="00A26C26">
        <w:rPr>
          <w:rFonts w:eastAsia="Calibri" w:cstheme="minorHAnsi"/>
          <w:kern w:val="0"/>
          <w14:ligatures w14:val="none"/>
        </w:rPr>
        <w:t>W</w:t>
      </w:r>
      <w:r w:rsidR="003B50ED">
        <w:rPr>
          <w:rFonts w:eastAsia="Calibri" w:cstheme="minorHAnsi"/>
          <w:kern w:val="0"/>
          <w14:ligatures w14:val="none"/>
        </w:rPr>
        <w:t xml:space="preserve"> </w:t>
      </w:r>
      <w:r w:rsidRPr="00A26C26">
        <w:rPr>
          <w:rFonts w:eastAsia="Calibri" w:cstheme="minorHAnsi"/>
          <w:kern w:val="0"/>
          <w14:ligatures w14:val="none"/>
        </w:rPr>
        <w:t>konsekwencji,</w:t>
      </w:r>
      <w:r w:rsidR="003B50ED">
        <w:rPr>
          <w:rFonts w:eastAsia="Calibri" w:cstheme="minorHAnsi"/>
          <w:kern w:val="0"/>
          <w14:ligatures w14:val="none"/>
        </w:rPr>
        <w:t xml:space="preserve"> </w:t>
      </w:r>
      <w:r w:rsidRPr="00A26C26">
        <w:rPr>
          <w:rFonts w:eastAsia="Calibri" w:cstheme="minorHAnsi"/>
          <w:kern w:val="0"/>
          <w14:ligatures w14:val="none"/>
        </w:rPr>
        <w:t>realizacja</w:t>
      </w:r>
      <w:r w:rsidR="003B50ED">
        <w:rPr>
          <w:rFonts w:eastAsia="Calibri" w:cstheme="minorHAnsi"/>
          <w:kern w:val="0"/>
          <w14:ligatures w14:val="none"/>
        </w:rPr>
        <w:t xml:space="preserve"> </w:t>
      </w:r>
      <w:r w:rsidRPr="00A26C26">
        <w:rPr>
          <w:rFonts w:eastAsia="Calibri" w:cstheme="minorHAnsi"/>
          <w:kern w:val="0"/>
          <w14:ligatures w14:val="none"/>
        </w:rPr>
        <w:t>LSR</w:t>
      </w:r>
      <w:r w:rsidR="003B50ED">
        <w:rPr>
          <w:rFonts w:eastAsia="Calibri" w:cstheme="minorHAnsi"/>
          <w:kern w:val="0"/>
          <w14:ligatures w14:val="none"/>
        </w:rPr>
        <w:t xml:space="preserve"> </w:t>
      </w:r>
      <w:r w:rsidRPr="00A26C26">
        <w:rPr>
          <w:rFonts w:eastAsia="Calibri" w:cstheme="minorHAnsi"/>
          <w:kern w:val="0"/>
          <w14:ligatures w14:val="none"/>
        </w:rPr>
        <w:t>w</w:t>
      </w:r>
      <w:r w:rsidR="003B50ED">
        <w:rPr>
          <w:rFonts w:eastAsia="Calibri" w:cstheme="minorHAnsi"/>
          <w:kern w:val="0"/>
          <w14:ligatures w14:val="none"/>
        </w:rPr>
        <w:t xml:space="preserve"> </w:t>
      </w:r>
      <w:r w:rsidRPr="00A26C26">
        <w:rPr>
          <w:rFonts w:eastAsia="Calibri" w:cstheme="minorHAnsi"/>
          <w:kern w:val="0"/>
          <w14:ligatures w14:val="none"/>
        </w:rPr>
        <w:t>ramach</w:t>
      </w:r>
      <w:r w:rsidR="003B50ED">
        <w:rPr>
          <w:rFonts w:eastAsia="Calibri" w:cstheme="minorHAnsi"/>
          <w:kern w:val="0"/>
          <w14:ligatures w14:val="none"/>
        </w:rPr>
        <w:t xml:space="preserve"> </w:t>
      </w:r>
      <w:r w:rsidRPr="00A26C26">
        <w:rPr>
          <w:rFonts w:eastAsia="Calibri" w:cstheme="minorHAnsi"/>
          <w:kern w:val="0"/>
          <w14:ligatures w14:val="none"/>
        </w:rPr>
        <w:t>podejścia</w:t>
      </w:r>
      <w:r w:rsidR="003B50ED">
        <w:rPr>
          <w:rFonts w:eastAsia="Calibri" w:cstheme="minorHAnsi"/>
          <w:kern w:val="0"/>
          <w14:ligatures w14:val="none"/>
        </w:rPr>
        <w:t xml:space="preserve"> </w:t>
      </w:r>
      <w:r w:rsidRPr="00A26C26">
        <w:rPr>
          <w:rFonts w:eastAsia="Calibri" w:cstheme="minorHAnsi"/>
          <w:kern w:val="0"/>
          <w14:ligatures w14:val="none"/>
        </w:rPr>
        <w:t>LEADER</w:t>
      </w:r>
      <w:r w:rsidR="003B50ED">
        <w:rPr>
          <w:rFonts w:eastAsia="Calibri" w:cstheme="minorHAnsi"/>
          <w:kern w:val="0"/>
          <w14:ligatures w14:val="none"/>
        </w:rPr>
        <w:t xml:space="preserve"> </w:t>
      </w:r>
      <w:r w:rsidRPr="00A26C26">
        <w:rPr>
          <w:rFonts w:eastAsia="Calibri" w:cstheme="minorHAnsi"/>
          <w:kern w:val="0"/>
          <w14:ligatures w14:val="none"/>
        </w:rPr>
        <w:t>przynosi</w:t>
      </w:r>
      <w:r w:rsidR="003B50ED">
        <w:rPr>
          <w:rFonts w:eastAsia="Calibri" w:cstheme="minorHAnsi"/>
          <w:kern w:val="0"/>
          <w14:ligatures w14:val="none"/>
        </w:rPr>
        <w:t xml:space="preserve"> </w:t>
      </w:r>
      <w:r w:rsidRPr="00A26C26">
        <w:rPr>
          <w:rFonts w:eastAsia="Calibri" w:cstheme="minorHAnsi"/>
          <w:kern w:val="0"/>
          <w14:ligatures w14:val="none"/>
        </w:rPr>
        <w:t>szeroki</w:t>
      </w:r>
      <w:r w:rsidR="003B50ED">
        <w:rPr>
          <w:rFonts w:eastAsia="Calibri" w:cstheme="minorHAnsi"/>
          <w:kern w:val="0"/>
          <w14:ligatures w14:val="none"/>
        </w:rPr>
        <w:t xml:space="preserve"> </w:t>
      </w:r>
      <w:r w:rsidRPr="00A26C26">
        <w:rPr>
          <w:rFonts w:eastAsia="Calibri" w:cstheme="minorHAnsi"/>
          <w:kern w:val="0"/>
          <w14:ligatures w14:val="none"/>
        </w:rPr>
        <w:t>zakres</w:t>
      </w:r>
      <w:r w:rsidR="003B50ED">
        <w:rPr>
          <w:rFonts w:eastAsia="Calibri" w:cstheme="minorHAnsi"/>
          <w:kern w:val="0"/>
          <w14:ligatures w14:val="none"/>
        </w:rPr>
        <w:t xml:space="preserve"> </w:t>
      </w:r>
      <w:r w:rsidRPr="00A26C26">
        <w:rPr>
          <w:rFonts w:eastAsia="Calibri" w:cstheme="minorHAnsi"/>
          <w:kern w:val="0"/>
          <w14:ligatures w14:val="none"/>
        </w:rPr>
        <w:t>korzyści,</w:t>
      </w:r>
      <w:r w:rsidR="003B50ED">
        <w:rPr>
          <w:rFonts w:eastAsia="Calibri" w:cstheme="minorHAnsi"/>
          <w:kern w:val="0"/>
          <w14:ligatures w14:val="none"/>
        </w:rPr>
        <w:t xml:space="preserve"> </w:t>
      </w:r>
      <w:r w:rsidRPr="00A26C26">
        <w:rPr>
          <w:rFonts w:eastAsia="Calibri" w:cstheme="minorHAnsi"/>
          <w:kern w:val="0"/>
          <w14:ligatures w14:val="none"/>
        </w:rPr>
        <w:t>włączając</w:t>
      </w:r>
      <w:r w:rsidR="003B50ED">
        <w:rPr>
          <w:rFonts w:eastAsia="Calibri" w:cstheme="minorHAnsi"/>
          <w:kern w:val="0"/>
          <w14:ligatures w14:val="none"/>
        </w:rPr>
        <w:t xml:space="preserve"> </w:t>
      </w:r>
      <w:r w:rsidRPr="00A26C26">
        <w:rPr>
          <w:rFonts w:eastAsia="Calibri" w:cstheme="minorHAnsi"/>
          <w:kern w:val="0"/>
          <w14:ligatures w14:val="none"/>
        </w:rPr>
        <w:t>w</w:t>
      </w:r>
      <w:r w:rsidR="003B50ED">
        <w:rPr>
          <w:rFonts w:eastAsia="Calibri" w:cstheme="minorHAnsi"/>
          <w:kern w:val="0"/>
          <w14:ligatures w14:val="none"/>
        </w:rPr>
        <w:t xml:space="preserve"> </w:t>
      </w:r>
      <w:r w:rsidRPr="00A26C26">
        <w:rPr>
          <w:rFonts w:eastAsia="Calibri" w:cstheme="minorHAnsi"/>
          <w:kern w:val="0"/>
          <w14:ligatures w14:val="none"/>
        </w:rPr>
        <w:t>to</w:t>
      </w:r>
      <w:r w:rsidR="003B50ED">
        <w:rPr>
          <w:rFonts w:eastAsia="Calibri" w:cstheme="minorHAnsi"/>
          <w:kern w:val="0"/>
          <w14:ligatures w14:val="none"/>
        </w:rPr>
        <w:t xml:space="preserve"> </w:t>
      </w:r>
      <w:r w:rsidRPr="00A26C26">
        <w:rPr>
          <w:rFonts w:eastAsia="Calibri" w:cstheme="minorHAnsi"/>
          <w:kern w:val="0"/>
          <w14:ligatures w14:val="none"/>
        </w:rPr>
        <w:t>rozszerzenie</w:t>
      </w:r>
      <w:r w:rsidR="003B50ED">
        <w:rPr>
          <w:rFonts w:eastAsia="Calibri" w:cstheme="minorHAnsi"/>
          <w:kern w:val="0"/>
          <w14:ligatures w14:val="none"/>
        </w:rPr>
        <w:t xml:space="preserve"> </w:t>
      </w:r>
      <w:r w:rsidRPr="00A26C26">
        <w:rPr>
          <w:rFonts w:eastAsia="Calibri" w:cstheme="minorHAnsi"/>
          <w:kern w:val="0"/>
          <w14:ligatures w14:val="none"/>
        </w:rPr>
        <w:t>współpracy,</w:t>
      </w:r>
      <w:r w:rsidR="003B50ED">
        <w:rPr>
          <w:rFonts w:eastAsia="Calibri" w:cstheme="minorHAnsi"/>
          <w:kern w:val="0"/>
          <w14:ligatures w14:val="none"/>
        </w:rPr>
        <w:t xml:space="preserve"> </w:t>
      </w:r>
      <w:r w:rsidRPr="00A26C26">
        <w:rPr>
          <w:rFonts w:eastAsia="Calibri" w:cstheme="minorHAnsi"/>
          <w:kern w:val="0"/>
          <w14:ligatures w14:val="none"/>
        </w:rPr>
        <w:t>aktywne</w:t>
      </w:r>
      <w:r w:rsidR="003B50ED">
        <w:rPr>
          <w:rFonts w:eastAsia="Calibri" w:cstheme="minorHAnsi"/>
          <w:kern w:val="0"/>
          <w14:ligatures w14:val="none"/>
        </w:rPr>
        <w:t xml:space="preserve"> </w:t>
      </w:r>
      <w:r w:rsidRPr="00A26C26">
        <w:rPr>
          <w:rFonts w:eastAsia="Calibri" w:cstheme="minorHAnsi"/>
          <w:kern w:val="0"/>
          <w14:ligatures w14:val="none"/>
        </w:rPr>
        <w:t>zaangażowanie</w:t>
      </w:r>
      <w:r w:rsidR="003B50ED">
        <w:rPr>
          <w:rFonts w:eastAsia="Calibri" w:cstheme="minorHAnsi"/>
          <w:kern w:val="0"/>
          <w14:ligatures w14:val="none"/>
        </w:rPr>
        <w:t xml:space="preserve"> </w:t>
      </w:r>
      <w:r w:rsidRPr="00A26C26">
        <w:rPr>
          <w:rFonts w:eastAsia="Calibri" w:cstheme="minorHAnsi"/>
          <w:kern w:val="0"/>
          <w14:ligatures w14:val="none"/>
        </w:rPr>
        <w:t>mieszkańców,</w:t>
      </w:r>
      <w:r w:rsidR="003B50ED">
        <w:rPr>
          <w:rFonts w:eastAsia="Calibri" w:cstheme="minorHAnsi"/>
          <w:kern w:val="0"/>
          <w14:ligatures w14:val="none"/>
        </w:rPr>
        <w:t xml:space="preserve"> </w:t>
      </w:r>
      <w:r w:rsidRPr="00A26C26">
        <w:rPr>
          <w:rFonts w:eastAsia="Calibri" w:cstheme="minorHAnsi"/>
          <w:kern w:val="0"/>
          <w14:ligatures w14:val="none"/>
        </w:rPr>
        <w:t>rozwój</w:t>
      </w:r>
      <w:r w:rsidR="003B50ED">
        <w:rPr>
          <w:rFonts w:eastAsia="Calibri" w:cstheme="minorHAnsi"/>
          <w:kern w:val="0"/>
          <w14:ligatures w14:val="none"/>
        </w:rPr>
        <w:t xml:space="preserve"> </w:t>
      </w:r>
      <w:r w:rsidRPr="00A26C26">
        <w:rPr>
          <w:rFonts w:eastAsia="Calibri" w:cstheme="minorHAnsi"/>
          <w:kern w:val="0"/>
          <w14:ligatures w14:val="none"/>
        </w:rPr>
        <w:t>umiejętności</w:t>
      </w:r>
      <w:r w:rsidR="003B50ED">
        <w:rPr>
          <w:rFonts w:eastAsia="Calibri" w:cstheme="minorHAnsi"/>
          <w:kern w:val="0"/>
          <w14:ligatures w14:val="none"/>
        </w:rPr>
        <w:t xml:space="preserve"> </w:t>
      </w:r>
      <w:r w:rsidRPr="00A26C26">
        <w:rPr>
          <w:rFonts w:eastAsia="Calibri" w:cstheme="minorHAnsi"/>
          <w:kern w:val="0"/>
          <w14:ligatures w14:val="none"/>
        </w:rPr>
        <w:t>zarządzania</w:t>
      </w:r>
      <w:r w:rsidR="003B50ED">
        <w:rPr>
          <w:rFonts w:eastAsia="Calibri" w:cstheme="minorHAnsi"/>
          <w:kern w:val="0"/>
          <w14:ligatures w14:val="none"/>
        </w:rPr>
        <w:t xml:space="preserve"> </w:t>
      </w:r>
      <w:r w:rsidRPr="00A26C26">
        <w:rPr>
          <w:rFonts w:eastAsia="Calibri" w:cstheme="minorHAnsi"/>
          <w:kern w:val="0"/>
          <w14:ligatures w14:val="none"/>
        </w:rPr>
        <w:t>obszarem</w:t>
      </w:r>
      <w:r w:rsidR="003B50ED">
        <w:rPr>
          <w:rFonts w:eastAsia="Calibri" w:cstheme="minorHAnsi"/>
          <w:kern w:val="0"/>
          <w14:ligatures w14:val="none"/>
        </w:rPr>
        <w:t xml:space="preserve"> </w:t>
      </w:r>
      <w:r w:rsidRPr="00A26C26">
        <w:rPr>
          <w:rFonts w:eastAsia="Calibri" w:cstheme="minorHAnsi"/>
          <w:kern w:val="0"/>
          <w14:ligatures w14:val="none"/>
        </w:rPr>
        <w:t>oraz</w:t>
      </w:r>
      <w:r w:rsidR="003B50ED">
        <w:rPr>
          <w:rFonts w:eastAsia="Calibri" w:cstheme="minorHAnsi"/>
          <w:kern w:val="0"/>
          <w14:ligatures w14:val="none"/>
        </w:rPr>
        <w:t xml:space="preserve"> </w:t>
      </w:r>
      <w:r w:rsidRPr="00A26C26">
        <w:rPr>
          <w:rFonts w:eastAsia="Calibri" w:cstheme="minorHAnsi"/>
          <w:kern w:val="0"/>
          <w14:ligatures w14:val="none"/>
        </w:rPr>
        <w:t>generowanie</w:t>
      </w:r>
      <w:r w:rsidR="003B50ED">
        <w:rPr>
          <w:rFonts w:eastAsia="Calibri" w:cstheme="minorHAnsi"/>
          <w:kern w:val="0"/>
          <w14:ligatures w14:val="none"/>
        </w:rPr>
        <w:t xml:space="preserve"> </w:t>
      </w:r>
      <w:r w:rsidRPr="00A26C26">
        <w:rPr>
          <w:rFonts w:eastAsia="Calibri" w:cstheme="minorHAnsi"/>
          <w:kern w:val="0"/>
          <w14:ligatures w14:val="none"/>
        </w:rPr>
        <w:t>innowacyjnych</w:t>
      </w:r>
      <w:r w:rsidR="003B50ED">
        <w:rPr>
          <w:rFonts w:eastAsia="Calibri" w:cstheme="minorHAnsi"/>
          <w:kern w:val="0"/>
          <w14:ligatures w14:val="none"/>
        </w:rPr>
        <w:t xml:space="preserve"> </w:t>
      </w:r>
      <w:r w:rsidRPr="00A26C26">
        <w:rPr>
          <w:rFonts w:eastAsia="Calibri" w:cstheme="minorHAnsi"/>
          <w:kern w:val="0"/>
          <w14:ligatures w14:val="none"/>
        </w:rPr>
        <w:t>przedsięwzięć,</w:t>
      </w:r>
      <w:r w:rsidR="003B50ED">
        <w:rPr>
          <w:rFonts w:eastAsia="Calibri" w:cstheme="minorHAnsi"/>
          <w:kern w:val="0"/>
          <w14:ligatures w14:val="none"/>
        </w:rPr>
        <w:t xml:space="preserve"> </w:t>
      </w:r>
      <w:r w:rsidRPr="00A26C26">
        <w:rPr>
          <w:rFonts w:eastAsia="Calibri" w:cstheme="minorHAnsi"/>
          <w:kern w:val="0"/>
          <w14:ligatures w14:val="none"/>
        </w:rPr>
        <w:t>które</w:t>
      </w:r>
      <w:r w:rsidR="003B50ED">
        <w:rPr>
          <w:rFonts w:eastAsia="Calibri" w:cstheme="minorHAnsi"/>
          <w:kern w:val="0"/>
          <w14:ligatures w14:val="none"/>
        </w:rPr>
        <w:t xml:space="preserve"> </w:t>
      </w:r>
      <w:r w:rsidRPr="00A26C26">
        <w:rPr>
          <w:rFonts w:eastAsia="Calibri" w:cstheme="minorHAnsi"/>
          <w:kern w:val="0"/>
          <w14:ligatures w14:val="none"/>
        </w:rPr>
        <w:t>mają</w:t>
      </w:r>
      <w:r w:rsidR="003B50ED">
        <w:rPr>
          <w:rFonts w:eastAsia="Calibri" w:cstheme="minorHAnsi"/>
          <w:kern w:val="0"/>
          <w14:ligatures w14:val="none"/>
        </w:rPr>
        <w:t xml:space="preserve"> </w:t>
      </w:r>
      <w:r w:rsidRPr="00A26C26">
        <w:rPr>
          <w:rFonts w:eastAsia="Calibri" w:cstheme="minorHAnsi"/>
          <w:kern w:val="0"/>
          <w14:ligatures w14:val="none"/>
        </w:rPr>
        <w:t>istotny</w:t>
      </w:r>
      <w:r w:rsidR="003B50ED">
        <w:rPr>
          <w:rFonts w:eastAsia="Calibri" w:cstheme="minorHAnsi"/>
          <w:kern w:val="0"/>
          <w14:ligatures w14:val="none"/>
        </w:rPr>
        <w:t xml:space="preserve"> </w:t>
      </w:r>
      <w:r w:rsidRPr="00A26C26">
        <w:rPr>
          <w:rFonts w:eastAsia="Calibri" w:cstheme="minorHAnsi"/>
          <w:kern w:val="0"/>
          <w14:ligatures w14:val="none"/>
        </w:rPr>
        <w:t>wpływ</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całościowy</w:t>
      </w:r>
      <w:r w:rsidR="003B50ED">
        <w:rPr>
          <w:rFonts w:eastAsia="Calibri" w:cstheme="minorHAnsi"/>
          <w:kern w:val="0"/>
          <w14:ligatures w14:val="none"/>
        </w:rPr>
        <w:t xml:space="preserve"> </w:t>
      </w:r>
      <w:r w:rsidRPr="00A26C26">
        <w:rPr>
          <w:rFonts w:eastAsia="Calibri" w:cstheme="minorHAnsi"/>
          <w:kern w:val="0"/>
          <w14:ligatures w14:val="none"/>
        </w:rPr>
        <w:t>rozwój</w:t>
      </w:r>
      <w:r w:rsidR="003B50ED">
        <w:rPr>
          <w:rFonts w:eastAsia="Calibri" w:cstheme="minorHAnsi"/>
          <w:kern w:val="0"/>
          <w14:ligatures w14:val="none"/>
        </w:rPr>
        <w:t xml:space="preserve"> </w:t>
      </w:r>
      <w:r w:rsidRPr="00A26C26">
        <w:rPr>
          <w:rFonts w:eastAsia="Calibri" w:cstheme="minorHAnsi"/>
          <w:kern w:val="0"/>
          <w14:ligatures w14:val="none"/>
        </w:rPr>
        <w:t>lokalnej</w:t>
      </w:r>
      <w:r w:rsidR="003B50ED">
        <w:rPr>
          <w:rFonts w:eastAsia="Calibri" w:cstheme="minorHAnsi"/>
          <w:kern w:val="0"/>
          <w14:ligatures w14:val="none"/>
        </w:rPr>
        <w:t xml:space="preserve"> </w:t>
      </w:r>
      <w:r w:rsidRPr="00A26C26">
        <w:rPr>
          <w:rFonts w:eastAsia="Calibri" w:cstheme="minorHAnsi"/>
          <w:kern w:val="0"/>
          <w14:ligatures w14:val="none"/>
        </w:rPr>
        <w:t>społeczności.</w:t>
      </w:r>
    </w:p>
    <w:p w14:paraId="6FEE6584" w14:textId="3D5ED02F" w:rsidR="00857736" w:rsidRPr="00A26C26" w:rsidRDefault="00857736" w:rsidP="00A26C26">
      <w:pPr>
        <w:spacing w:line="276" w:lineRule="auto"/>
        <w:ind w:firstLine="284"/>
        <w:jc w:val="both"/>
        <w:rPr>
          <w:rFonts w:eastAsia="Calibri" w:cstheme="minorHAnsi"/>
          <w:kern w:val="0"/>
          <w14:ligatures w14:val="none"/>
        </w:rPr>
      </w:pPr>
      <w:r w:rsidRPr="00A26C26">
        <w:rPr>
          <w:rFonts w:eastAsia="Calibri" w:cstheme="minorHAnsi"/>
          <w:kern w:val="0"/>
          <w14:ligatures w14:val="none"/>
        </w:rPr>
        <w:t>Dodatkowo,</w:t>
      </w:r>
      <w:r w:rsidR="003B50ED">
        <w:rPr>
          <w:rFonts w:eastAsia="Calibri" w:cstheme="minorHAnsi"/>
          <w:kern w:val="0"/>
          <w14:ligatures w14:val="none"/>
        </w:rPr>
        <w:t xml:space="preserve"> </w:t>
      </w:r>
      <w:r w:rsidRPr="00A26C26">
        <w:rPr>
          <w:rFonts w:eastAsia="Calibri" w:cstheme="minorHAnsi"/>
          <w:kern w:val="0"/>
          <w14:ligatures w14:val="none"/>
        </w:rPr>
        <w:t>LSR</w:t>
      </w:r>
      <w:r w:rsidR="003B50ED">
        <w:rPr>
          <w:rFonts w:eastAsia="Calibri" w:cstheme="minorHAnsi"/>
          <w:kern w:val="0"/>
          <w14:ligatures w14:val="none"/>
        </w:rPr>
        <w:t xml:space="preserve"> </w:t>
      </w:r>
      <w:r w:rsidRPr="00A26C26">
        <w:rPr>
          <w:rFonts w:eastAsia="Calibri" w:cstheme="minorHAnsi"/>
          <w:kern w:val="0"/>
          <w14:ligatures w14:val="none"/>
        </w:rPr>
        <w:t>umożliwia</w:t>
      </w:r>
      <w:r w:rsidR="003B50ED">
        <w:rPr>
          <w:rFonts w:eastAsia="Calibri" w:cstheme="minorHAnsi"/>
          <w:kern w:val="0"/>
          <w14:ligatures w14:val="none"/>
        </w:rPr>
        <w:t xml:space="preserve"> </w:t>
      </w:r>
      <w:r w:rsidRPr="00A26C26">
        <w:rPr>
          <w:rFonts w:eastAsia="Calibri" w:cstheme="minorHAnsi"/>
          <w:kern w:val="0"/>
          <w14:ligatures w14:val="none"/>
        </w:rPr>
        <w:t>realizację</w:t>
      </w:r>
      <w:r w:rsidR="003B50ED">
        <w:rPr>
          <w:rFonts w:eastAsia="Calibri" w:cstheme="minorHAnsi"/>
          <w:kern w:val="0"/>
          <w14:ligatures w14:val="none"/>
        </w:rPr>
        <w:t xml:space="preserve"> </w:t>
      </w:r>
      <w:r w:rsidRPr="00A26C26">
        <w:rPr>
          <w:rFonts w:eastAsia="Calibri" w:cstheme="minorHAnsi"/>
          <w:kern w:val="0"/>
          <w14:ligatures w14:val="none"/>
        </w:rPr>
        <w:t>działań,</w:t>
      </w:r>
      <w:r w:rsidR="003B50ED">
        <w:rPr>
          <w:rFonts w:eastAsia="Calibri" w:cstheme="minorHAnsi"/>
          <w:kern w:val="0"/>
          <w14:ligatures w14:val="none"/>
        </w:rPr>
        <w:t xml:space="preserve"> </w:t>
      </w:r>
      <w:r w:rsidRPr="00A26C26">
        <w:rPr>
          <w:rFonts w:eastAsia="Calibri" w:cstheme="minorHAnsi"/>
          <w:kern w:val="0"/>
          <w14:ligatures w14:val="none"/>
        </w:rPr>
        <w:t>które</w:t>
      </w:r>
      <w:r w:rsidR="003B50ED">
        <w:rPr>
          <w:rFonts w:eastAsia="Calibri" w:cstheme="minorHAnsi"/>
          <w:kern w:val="0"/>
          <w14:ligatures w14:val="none"/>
        </w:rPr>
        <w:t xml:space="preserve"> </w:t>
      </w:r>
      <w:r w:rsidRPr="00A26C26">
        <w:rPr>
          <w:rFonts w:eastAsia="Calibri" w:cstheme="minorHAnsi"/>
          <w:kern w:val="0"/>
          <w14:ligatures w14:val="none"/>
        </w:rPr>
        <w:t>nie</w:t>
      </w:r>
      <w:r w:rsidR="003B50ED">
        <w:rPr>
          <w:rFonts w:eastAsia="Calibri" w:cstheme="minorHAnsi"/>
          <w:kern w:val="0"/>
          <w14:ligatures w14:val="none"/>
        </w:rPr>
        <w:t xml:space="preserve"> </w:t>
      </w:r>
      <w:r w:rsidRPr="00A26C26">
        <w:rPr>
          <w:rFonts w:eastAsia="Calibri" w:cstheme="minorHAnsi"/>
          <w:kern w:val="0"/>
          <w14:ligatures w14:val="none"/>
        </w:rPr>
        <w:t>są</w:t>
      </w:r>
      <w:r w:rsidR="003B50ED">
        <w:rPr>
          <w:rFonts w:eastAsia="Calibri" w:cstheme="minorHAnsi"/>
          <w:kern w:val="0"/>
          <w14:ligatures w14:val="none"/>
        </w:rPr>
        <w:t xml:space="preserve"> </w:t>
      </w:r>
      <w:r w:rsidRPr="00A26C26">
        <w:rPr>
          <w:rFonts w:eastAsia="Calibri" w:cstheme="minorHAnsi"/>
          <w:kern w:val="0"/>
          <w14:ligatures w14:val="none"/>
        </w:rPr>
        <w:t>dostępne</w:t>
      </w:r>
      <w:r w:rsidR="003B50ED">
        <w:rPr>
          <w:rFonts w:eastAsia="Calibri" w:cstheme="minorHAnsi"/>
          <w:kern w:val="0"/>
          <w14:ligatures w14:val="none"/>
        </w:rPr>
        <w:t xml:space="preserve"> </w:t>
      </w:r>
      <w:r w:rsidRPr="00A26C26">
        <w:rPr>
          <w:rFonts w:eastAsia="Calibri" w:cstheme="minorHAnsi"/>
          <w:kern w:val="0"/>
          <w14:ligatures w14:val="none"/>
        </w:rPr>
        <w:t>w</w:t>
      </w:r>
      <w:r w:rsidR="003B50ED">
        <w:rPr>
          <w:rFonts w:eastAsia="Calibri" w:cstheme="minorHAnsi"/>
          <w:kern w:val="0"/>
          <w14:ligatures w14:val="none"/>
        </w:rPr>
        <w:t xml:space="preserve"> </w:t>
      </w:r>
      <w:r w:rsidRPr="00A26C26">
        <w:rPr>
          <w:rFonts w:eastAsia="Calibri" w:cstheme="minorHAnsi"/>
          <w:kern w:val="0"/>
          <w14:ligatures w14:val="none"/>
        </w:rPr>
        <w:t>ramach</w:t>
      </w:r>
      <w:r w:rsidR="003B50ED">
        <w:rPr>
          <w:rFonts w:eastAsia="Calibri" w:cstheme="minorHAnsi"/>
          <w:kern w:val="0"/>
          <w14:ligatures w14:val="none"/>
        </w:rPr>
        <w:t xml:space="preserve"> </w:t>
      </w:r>
      <w:r w:rsidRPr="00A26C26">
        <w:rPr>
          <w:rFonts w:eastAsia="Calibri" w:cstheme="minorHAnsi"/>
          <w:kern w:val="0"/>
          <w14:ligatures w14:val="none"/>
        </w:rPr>
        <w:t>innych</w:t>
      </w:r>
      <w:r w:rsidR="003B50ED">
        <w:rPr>
          <w:rFonts w:eastAsia="Calibri" w:cstheme="minorHAnsi"/>
          <w:kern w:val="0"/>
          <w14:ligatures w14:val="none"/>
        </w:rPr>
        <w:t xml:space="preserve"> </w:t>
      </w:r>
      <w:r w:rsidRPr="00A26C26">
        <w:rPr>
          <w:rFonts w:eastAsia="Calibri" w:cstheme="minorHAnsi"/>
          <w:kern w:val="0"/>
          <w14:ligatures w14:val="none"/>
        </w:rPr>
        <w:t>źródeł</w:t>
      </w:r>
      <w:r w:rsidR="003B50ED">
        <w:rPr>
          <w:rFonts w:eastAsia="Calibri" w:cstheme="minorHAnsi"/>
          <w:kern w:val="0"/>
          <w14:ligatures w14:val="none"/>
        </w:rPr>
        <w:t xml:space="preserve"> </w:t>
      </w:r>
      <w:r w:rsidRPr="00A26C26">
        <w:rPr>
          <w:rFonts w:eastAsia="Calibri" w:cstheme="minorHAnsi"/>
          <w:kern w:val="0"/>
          <w14:ligatures w14:val="none"/>
        </w:rPr>
        <w:t>finansowania,</w:t>
      </w:r>
      <w:r w:rsidR="003B50ED">
        <w:rPr>
          <w:rFonts w:eastAsia="Calibri" w:cstheme="minorHAnsi"/>
          <w:kern w:val="0"/>
          <w14:ligatures w14:val="none"/>
        </w:rPr>
        <w:t xml:space="preserve"> </w:t>
      </w:r>
      <w:r w:rsidRPr="00A26C26">
        <w:rPr>
          <w:rFonts w:eastAsia="Calibri" w:cstheme="minorHAnsi"/>
          <w:kern w:val="0"/>
          <w14:ligatures w14:val="none"/>
        </w:rPr>
        <w:t>otwierając</w:t>
      </w:r>
      <w:r w:rsidR="003B50ED">
        <w:rPr>
          <w:rFonts w:eastAsia="Calibri" w:cstheme="minorHAnsi"/>
          <w:kern w:val="0"/>
          <w14:ligatures w14:val="none"/>
        </w:rPr>
        <w:t xml:space="preserve"> </w:t>
      </w:r>
      <w:r w:rsidRPr="00A26C26">
        <w:rPr>
          <w:rFonts w:eastAsia="Calibri" w:cstheme="minorHAnsi"/>
          <w:kern w:val="0"/>
          <w14:ligatures w14:val="none"/>
        </w:rPr>
        <w:t>nowe</w:t>
      </w:r>
      <w:r w:rsidR="003B50ED">
        <w:rPr>
          <w:rFonts w:eastAsia="Calibri" w:cstheme="minorHAnsi"/>
          <w:kern w:val="0"/>
          <w14:ligatures w14:val="none"/>
        </w:rPr>
        <w:t xml:space="preserve"> </w:t>
      </w:r>
      <w:r w:rsidRPr="00A26C26">
        <w:rPr>
          <w:rFonts w:eastAsia="Calibri" w:cstheme="minorHAnsi"/>
          <w:kern w:val="0"/>
          <w14:ligatures w14:val="none"/>
        </w:rPr>
        <w:t>możliwości</w:t>
      </w:r>
      <w:r w:rsidR="003B50ED">
        <w:rPr>
          <w:rFonts w:eastAsia="Calibri" w:cstheme="minorHAnsi"/>
          <w:kern w:val="0"/>
          <w14:ligatures w14:val="none"/>
        </w:rPr>
        <w:t xml:space="preserve"> </w:t>
      </w:r>
      <w:r w:rsidRPr="00A26C26">
        <w:rPr>
          <w:rFonts w:eastAsia="Calibri" w:cstheme="minorHAnsi"/>
          <w:kern w:val="0"/>
          <w14:ligatures w14:val="none"/>
        </w:rPr>
        <w:t>projektowe.</w:t>
      </w:r>
      <w:r w:rsidR="003B50ED">
        <w:rPr>
          <w:rFonts w:eastAsia="Calibri" w:cstheme="minorHAnsi"/>
          <w:kern w:val="0"/>
          <w14:ligatures w14:val="none"/>
        </w:rPr>
        <w:t xml:space="preserve"> </w:t>
      </w:r>
      <w:r w:rsidRPr="00A26C26">
        <w:rPr>
          <w:rFonts w:eastAsia="Calibri" w:cstheme="minorHAnsi"/>
          <w:kern w:val="0"/>
          <w14:ligatures w14:val="none"/>
        </w:rPr>
        <w:t>Ponadto,</w:t>
      </w:r>
      <w:r w:rsidR="003B50ED">
        <w:rPr>
          <w:rFonts w:eastAsia="Calibri" w:cstheme="minorHAnsi"/>
          <w:kern w:val="0"/>
          <w14:ligatures w14:val="none"/>
        </w:rPr>
        <w:t xml:space="preserve"> </w:t>
      </w:r>
      <w:r w:rsidRPr="00A26C26">
        <w:rPr>
          <w:rFonts w:eastAsia="Calibri" w:cstheme="minorHAnsi"/>
          <w:kern w:val="0"/>
          <w14:ligatures w14:val="none"/>
        </w:rPr>
        <w:t>umożliwia</w:t>
      </w:r>
      <w:r w:rsidR="003B50ED">
        <w:rPr>
          <w:rFonts w:eastAsia="Calibri" w:cstheme="minorHAnsi"/>
          <w:kern w:val="0"/>
          <w14:ligatures w14:val="none"/>
        </w:rPr>
        <w:t xml:space="preserve"> </w:t>
      </w:r>
      <w:r w:rsidRPr="00A26C26">
        <w:rPr>
          <w:rFonts w:eastAsia="Calibri" w:cstheme="minorHAnsi"/>
          <w:kern w:val="0"/>
          <w14:ligatures w14:val="none"/>
        </w:rPr>
        <w:t>ona</w:t>
      </w:r>
      <w:r w:rsidR="003B50ED">
        <w:rPr>
          <w:rFonts w:eastAsia="Calibri" w:cstheme="minorHAnsi"/>
          <w:kern w:val="0"/>
          <w14:ligatures w14:val="none"/>
        </w:rPr>
        <w:t xml:space="preserve"> </w:t>
      </w:r>
      <w:r w:rsidRPr="00A26C26">
        <w:rPr>
          <w:rFonts w:eastAsia="Calibri" w:cstheme="minorHAnsi"/>
          <w:kern w:val="0"/>
          <w14:ligatures w14:val="none"/>
        </w:rPr>
        <w:t>również</w:t>
      </w:r>
      <w:r w:rsidR="003B50ED">
        <w:rPr>
          <w:rFonts w:eastAsia="Calibri" w:cstheme="minorHAnsi"/>
          <w:kern w:val="0"/>
          <w14:ligatures w14:val="none"/>
        </w:rPr>
        <w:t xml:space="preserve"> </w:t>
      </w:r>
      <w:r w:rsidRPr="00A26C26">
        <w:rPr>
          <w:rFonts w:eastAsia="Calibri" w:cstheme="minorHAnsi"/>
          <w:kern w:val="0"/>
          <w14:ligatures w14:val="none"/>
        </w:rPr>
        <w:t>prowadzenie</w:t>
      </w:r>
      <w:r w:rsidR="003B50ED">
        <w:rPr>
          <w:rFonts w:eastAsia="Calibri" w:cstheme="minorHAnsi"/>
          <w:kern w:val="0"/>
          <w14:ligatures w14:val="none"/>
        </w:rPr>
        <w:t xml:space="preserve"> </w:t>
      </w:r>
      <w:r w:rsidRPr="00A26C26">
        <w:rPr>
          <w:rFonts w:eastAsia="Calibri" w:cstheme="minorHAnsi"/>
          <w:kern w:val="0"/>
          <w14:ligatures w14:val="none"/>
        </w:rPr>
        <w:t>projektów</w:t>
      </w:r>
      <w:r w:rsidR="003B50ED">
        <w:rPr>
          <w:rFonts w:eastAsia="Calibri" w:cstheme="minorHAnsi"/>
          <w:kern w:val="0"/>
          <w14:ligatures w14:val="none"/>
        </w:rPr>
        <w:t xml:space="preserve"> </w:t>
      </w:r>
      <w:r w:rsidRPr="00A26C26">
        <w:rPr>
          <w:rFonts w:eastAsia="Calibri" w:cstheme="minorHAnsi"/>
          <w:kern w:val="0"/>
          <w14:ligatures w14:val="none"/>
        </w:rPr>
        <w:t>komplementarnych</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obszarze</w:t>
      </w:r>
      <w:r w:rsidR="003B50ED">
        <w:rPr>
          <w:rFonts w:eastAsia="Calibri" w:cstheme="minorHAnsi"/>
          <w:kern w:val="0"/>
          <w14:ligatures w14:val="none"/>
        </w:rPr>
        <w:t xml:space="preserve"> </w:t>
      </w:r>
      <w:r w:rsidRPr="00A26C26">
        <w:rPr>
          <w:rFonts w:eastAsia="Calibri" w:cstheme="minorHAnsi"/>
          <w:kern w:val="0"/>
          <w14:ligatures w14:val="none"/>
        </w:rPr>
        <w:t>kilku</w:t>
      </w:r>
      <w:r w:rsidR="003B50ED">
        <w:rPr>
          <w:rFonts w:eastAsia="Calibri" w:cstheme="minorHAnsi"/>
          <w:kern w:val="0"/>
          <w14:ligatures w14:val="none"/>
        </w:rPr>
        <w:t xml:space="preserve"> </w:t>
      </w:r>
      <w:r w:rsidRPr="00A26C26">
        <w:rPr>
          <w:rFonts w:eastAsia="Calibri" w:cstheme="minorHAnsi"/>
          <w:kern w:val="0"/>
          <w14:ligatures w14:val="none"/>
        </w:rPr>
        <w:t>jednostek</w:t>
      </w:r>
      <w:r w:rsidR="003B50ED">
        <w:rPr>
          <w:rFonts w:eastAsia="Calibri" w:cstheme="minorHAnsi"/>
          <w:kern w:val="0"/>
          <w14:ligatures w14:val="none"/>
        </w:rPr>
        <w:t xml:space="preserve"> </w:t>
      </w:r>
      <w:r w:rsidRPr="00A26C26">
        <w:rPr>
          <w:rFonts w:eastAsia="Calibri" w:cstheme="minorHAnsi"/>
          <w:kern w:val="0"/>
          <w14:ligatures w14:val="none"/>
        </w:rPr>
        <w:t>samorządu</w:t>
      </w:r>
      <w:r w:rsidR="003B50ED">
        <w:rPr>
          <w:rFonts w:eastAsia="Calibri" w:cstheme="minorHAnsi"/>
          <w:kern w:val="0"/>
          <w14:ligatures w14:val="none"/>
        </w:rPr>
        <w:t xml:space="preserve"> </w:t>
      </w:r>
      <w:r w:rsidRPr="00A26C26">
        <w:rPr>
          <w:rFonts w:eastAsia="Calibri" w:cstheme="minorHAnsi"/>
          <w:kern w:val="0"/>
          <w14:ligatures w14:val="none"/>
        </w:rPr>
        <w:t>terytorialnego,</w:t>
      </w:r>
      <w:r w:rsidR="003B50ED">
        <w:rPr>
          <w:rFonts w:eastAsia="Calibri" w:cstheme="minorHAnsi"/>
          <w:kern w:val="0"/>
          <w14:ligatures w14:val="none"/>
        </w:rPr>
        <w:t xml:space="preserve"> </w:t>
      </w:r>
      <w:r w:rsidRPr="00A26C26">
        <w:rPr>
          <w:rFonts w:eastAsia="Calibri" w:cstheme="minorHAnsi"/>
          <w:kern w:val="0"/>
          <w14:ligatures w14:val="none"/>
        </w:rPr>
        <w:t>co</w:t>
      </w:r>
      <w:r w:rsidR="003B50ED">
        <w:rPr>
          <w:rFonts w:eastAsia="Calibri" w:cstheme="minorHAnsi"/>
          <w:kern w:val="0"/>
          <w14:ligatures w14:val="none"/>
        </w:rPr>
        <w:t xml:space="preserve"> </w:t>
      </w:r>
      <w:r w:rsidRPr="00A26C26">
        <w:rPr>
          <w:rFonts w:eastAsia="Calibri" w:cstheme="minorHAnsi"/>
          <w:kern w:val="0"/>
          <w14:ligatures w14:val="none"/>
        </w:rPr>
        <w:t>przyczynia</w:t>
      </w:r>
      <w:r w:rsidR="003B50ED">
        <w:rPr>
          <w:rFonts w:eastAsia="Calibri" w:cstheme="minorHAnsi"/>
          <w:kern w:val="0"/>
          <w14:ligatures w14:val="none"/>
        </w:rPr>
        <w:t xml:space="preserve"> </w:t>
      </w:r>
      <w:r w:rsidRPr="00A26C26">
        <w:rPr>
          <w:rFonts w:eastAsia="Calibri" w:cstheme="minorHAnsi"/>
          <w:kern w:val="0"/>
          <w14:ligatures w14:val="none"/>
        </w:rPr>
        <w:t>się</w:t>
      </w:r>
      <w:r w:rsidR="003B50ED">
        <w:rPr>
          <w:rFonts w:eastAsia="Calibri" w:cstheme="minorHAnsi"/>
          <w:kern w:val="0"/>
          <w14:ligatures w14:val="none"/>
        </w:rPr>
        <w:t xml:space="preserve"> </w:t>
      </w:r>
      <w:r w:rsidRPr="00A26C26">
        <w:rPr>
          <w:rFonts w:eastAsia="Calibri" w:cstheme="minorHAnsi"/>
          <w:kern w:val="0"/>
          <w14:ligatures w14:val="none"/>
        </w:rPr>
        <w:t>do</w:t>
      </w:r>
      <w:r w:rsidR="003B50ED">
        <w:rPr>
          <w:rFonts w:eastAsia="Calibri" w:cstheme="minorHAnsi"/>
          <w:kern w:val="0"/>
          <w14:ligatures w14:val="none"/>
        </w:rPr>
        <w:t xml:space="preserve"> </w:t>
      </w:r>
      <w:r w:rsidRPr="00A26C26">
        <w:rPr>
          <w:rFonts w:eastAsia="Calibri" w:cstheme="minorHAnsi"/>
          <w:kern w:val="0"/>
          <w14:ligatures w14:val="none"/>
        </w:rPr>
        <w:t>zwiększenia</w:t>
      </w:r>
      <w:r w:rsidR="003B50ED">
        <w:rPr>
          <w:rFonts w:eastAsia="Calibri" w:cstheme="minorHAnsi"/>
          <w:kern w:val="0"/>
          <w14:ligatures w14:val="none"/>
        </w:rPr>
        <w:t xml:space="preserve"> </w:t>
      </w:r>
      <w:r w:rsidRPr="00A26C26">
        <w:rPr>
          <w:rFonts w:eastAsia="Calibri" w:cstheme="minorHAnsi"/>
          <w:kern w:val="0"/>
          <w14:ligatures w14:val="none"/>
        </w:rPr>
        <w:t>synergii</w:t>
      </w:r>
      <w:r w:rsidR="003B50ED">
        <w:rPr>
          <w:rFonts w:eastAsia="Calibri" w:cstheme="minorHAnsi"/>
          <w:kern w:val="0"/>
          <w14:ligatures w14:val="none"/>
        </w:rPr>
        <w:t xml:space="preserve"> </w:t>
      </w:r>
      <w:r w:rsidRPr="00A26C26">
        <w:rPr>
          <w:rFonts w:eastAsia="Calibri" w:cstheme="minorHAnsi"/>
          <w:kern w:val="0"/>
          <w14:ligatures w14:val="none"/>
        </w:rPr>
        <w:t>i</w:t>
      </w:r>
      <w:r w:rsidR="003B50ED">
        <w:rPr>
          <w:rFonts w:eastAsia="Calibri" w:cstheme="minorHAnsi"/>
          <w:kern w:val="0"/>
          <w14:ligatures w14:val="none"/>
        </w:rPr>
        <w:t xml:space="preserve"> </w:t>
      </w:r>
      <w:r w:rsidRPr="00A26C26">
        <w:rPr>
          <w:rFonts w:eastAsia="Calibri" w:cstheme="minorHAnsi"/>
          <w:kern w:val="0"/>
          <w14:ligatures w14:val="none"/>
        </w:rPr>
        <w:t>efektywności</w:t>
      </w:r>
      <w:r w:rsidR="003B50ED">
        <w:rPr>
          <w:rFonts w:eastAsia="Calibri" w:cstheme="minorHAnsi"/>
          <w:kern w:val="0"/>
          <w14:ligatures w14:val="none"/>
        </w:rPr>
        <w:t xml:space="preserve"> </w:t>
      </w:r>
      <w:r w:rsidRPr="00A26C26">
        <w:rPr>
          <w:rFonts w:eastAsia="Calibri" w:cstheme="minorHAnsi"/>
          <w:kern w:val="0"/>
          <w14:ligatures w14:val="none"/>
        </w:rPr>
        <w:t>działań</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większą</w:t>
      </w:r>
      <w:r w:rsidR="003B50ED">
        <w:rPr>
          <w:rFonts w:eastAsia="Calibri" w:cstheme="minorHAnsi"/>
          <w:kern w:val="0"/>
          <w14:ligatures w14:val="none"/>
        </w:rPr>
        <w:t xml:space="preserve"> </w:t>
      </w:r>
      <w:r w:rsidRPr="00A26C26">
        <w:rPr>
          <w:rFonts w:eastAsia="Calibri" w:cstheme="minorHAnsi"/>
          <w:kern w:val="0"/>
          <w14:ligatures w14:val="none"/>
        </w:rPr>
        <w:t>skalę.</w:t>
      </w:r>
    </w:p>
    <w:p w14:paraId="27B961EE" w14:textId="2DC6BE5F" w:rsidR="00857736" w:rsidRPr="00A26C26" w:rsidRDefault="00857736" w:rsidP="00A26C26">
      <w:pPr>
        <w:spacing w:line="276" w:lineRule="auto"/>
        <w:ind w:firstLine="284"/>
        <w:jc w:val="both"/>
        <w:rPr>
          <w:rFonts w:eastAsia="Calibri" w:cstheme="minorHAnsi"/>
          <w:kern w:val="0"/>
          <w14:ligatures w14:val="none"/>
        </w:rPr>
      </w:pPr>
      <w:r w:rsidRPr="00A26C26">
        <w:rPr>
          <w:rFonts w:eastAsia="Calibri" w:cstheme="minorHAnsi"/>
          <w:kern w:val="0"/>
          <w14:ligatures w14:val="none"/>
        </w:rPr>
        <w:t>Zarówno</w:t>
      </w:r>
      <w:r w:rsidR="003B50ED">
        <w:rPr>
          <w:rFonts w:eastAsia="Calibri" w:cstheme="minorHAnsi"/>
          <w:kern w:val="0"/>
          <w14:ligatures w14:val="none"/>
        </w:rPr>
        <w:t xml:space="preserve"> </w:t>
      </w:r>
      <w:r w:rsidRPr="00A26C26">
        <w:rPr>
          <w:rFonts w:eastAsia="Calibri" w:cstheme="minorHAnsi"/>
          <w:kern w:val="0"/>
          <w14:ligatures w14:val="none"/>
        </w:rPr>
        <w:t>sposób</w:t>
      </w:r>
      <w:r w:rsidR="003B50ED">
        <w:rPr>
          <w:rFonts w:eastAsia="Calibri" w:cstheme="minorHAnsi"/>
          <w:kern w:val="0"/>
          <w14:ligatures w14:val="none"/>
        </w:rPr>
        <w:t xml:space="preserve"> </w:t>
      </w:r>
      <w:r w:rsidRPr="00A26C26">
        <w:rPr>
          <w:rFonts w:eastAsia="Calibri" w:cstheme="minorHAnsi"/>
          <w:kern w:val="0"/>
          <w14:ligatures w14:val="none"/>
        </w:rPr>
        <w:t>wdrażania</w:t>
      </w:r>
      <w:r w:rsidR="003B50ED">
        <w:rPr>
          <w:rFonts w:eastAsia="Calibri" w:cstheme="minorHAnsi"/>
          <w:kern w:val="0"/>
          <w14:ligatures w14:val="none"/>
        </w:rPr>
        <w:t xml:space="preserve"> </w:t>
      </w:r>
      <w:r w:rsidRPr="00A26C26">
        <w:rPr>
          <w:rFonts w:eastAsia="Calibri" w:cstheme="minorHAnsi"/>
          <w:kern w:val="0"/>
          <w14:ligatures w14:val="none"/>
        </w:rPr>
        <w:t>jak</w:t>
      </w:r>
      <w:r w:rsidR="003B50ED">
        <w:rPr>
          <w:rFonts w:eastAsia="Calibri" w:cstheme="minorHAnsi"/>
          <w:kern w:val="0"/>
          <w14:ligatures w14:val="none"/>
        </w:rPr>
        <w:t xml:space="preserve"> </w:t>
      </w:r>
      <w:r w:rsidRPr="00A26C26">
        <w:rPr>
          <w:rFonts w:eastAsia="Calibri" w:cstheme="minorHAnsi"/>
          <w:kern w:val="0"/>
          <w14:ligatures w14:val="none"/>
        </w:rPr>
        <w:t>i</w:t>
      </w:r>
      <w:r w:rsidR="003B50ED">
        <w:rPr>
          <w:rFonts w:eastAsia="Calibri" w:cstheme="minorHAnsi"/>
          <w:kern w:val="0"/>
          <w14:ligatures w14:val="none"/>
        </w:rPr>
        <w:t xml:space="preserve"> </w:t>
      </w:r>
      <w:r w:rsidRPr="00A26C26">
        <w:rPr>
          <w:rFonts w:eastAsia="Calibri" w:cstheme="minorHAnsi"/>
          <w:kern w:val="0"/>
          <w14:ligatures w14:val="none"/>
        </w:rPr>
        <w:t>dobór</w:t>
      </w:r>
      <w:r w:rsidR="003B50ED">
        <w:rPr>
          <w:rFonts w:eastAsia="Calibri" w:cstheme="minorHAnsi"/>
          <w:kern w:val="0"/>
          <w14:ligatures w14:val="none"/>
        </w:rPr>
        <w:t xml:space="preserve"> </w:t>
      </w:r>
      <w:r w:rsidRPr="00A26C26">
        <w:rPr>
          <w:rFonts w:eastAsia="Calibri" w:cstheme="minorHAnsi"/>
          <w:kern w:val="0"/>
          <w14:ligatures w14:val="none"/>
        </w:rPr>
        <w:t>dostępnych</w:t>
      </w:r>
      <w:r w:rsidR="003B50ED">
        <w:rPr>
          <w:rFonts w:eastAsia="Calibri" w:cstheme="minorHAnsi"/>
          <w:kern w:val="0"/>
          <w14:ligatures w14:val="none"/>
        </w:rPr>
        <w:t xml:space="preserve"> </w:t>
      </w:r>
      <w:r w:rsidRPr="00A26C26">
        <w:rPr>
          <w:rFonts w:eastAsia="Calibri" w:cstheme="minorHAnsi"/>
          <w:kern w:val="0"/>
          <w14:ligatures w14:val="none"/>
        </w:rPr>
        <w:t>metod</w:t>
      </w:r>
      <w:r w:rsidR="003B50ED">
        <w:rPr>
          <w:rFonts w:eastAsia="Calibri" w:cstheme="minorHAnsi"/>
          <w:kern w:val="0"/>
          <w14:ligatures w14:val="none"/>
        </w:rPr>
        <w:t xml:space="preserve"> </w:t>
      </w:r>
      <w:r w:rsidRPr="00A26C26">
        <w:rPr>
          <w:rFonts w:eastAsia="Calibri" w:cstheme="minorHAnsi"/>
          <w:kern w:val="0"/>
          <w14:ligatures w14:val="none"/>
        </w:rPr>
        <w:t>został</w:t>
      </w:r>
      <w:r w:rsidR="003B50ED">
        <w:rPr>
          <w:rFonts w:eastAsia="Calibri" w:cstheme="minorHAnsi"/>
          <w:kern w:val="0"/>
          <w14:ligatures w14:val="none"/>
        </w:rPr>
        <w:t xml:space="preserve"> </w:t>
      </w:r>
      <w:r w:rsidRPr="00A26C26">
        <w:rPr>
          <w:rFonts w:eastAsia="Calibri" w:cstheme="minorHAnsi"/>
          <w:kern w:val="0"/>
          <w14:ligatures w14:val="none"/>
        </w:rPr>
        <w:t>wybrany</w:t>
      </w:r>
      <w:r w:rsidR="003B50ED">
        <w:rPr>
          <w:rFonts w:eastAsia="Calibri" w:cstheme="minorHAnsi"/>
          <w:kern w:val="0"/>
          <w14:ligatures w14:val="none"/>
        </w:rPr>
        <w:t xml:space="preserve"> </w:t>
      </w:r>
      <w:r w:rsidRPr="00A26C26">
        <w:rPr>
          <w:rFonts w:eastAsia="Calibri" w:cstheme="minorHAnsi"/>
          <w:kern w:val="0"/>
          <w14:ligatures w14:val="none"/>
        </w:rPr>
        <w:t>w</w:t>
      </w:r>
      <w:r w:rsidR="003B50ED">
        <w:rPr>
          <w:rFonts w:eastAsia="Calibri" w:cstheme="minorHAnsi"/>
          <w:kern w:val="0"/>
          <w14:ligatures w14:val="none"/>
        </w:rPr>
        <w:t xml:space="preserve"> </w:t>
      </w:r>
      <w:r w:rsidRPr="00A26C26">
        <w:rPr>
          <w:rFonts w:eastAsia="Calibri" w:cstheme="minorHAnsi"/>
          <w:kern w:val="0"/>
          <w14:ligatures w14:val="none"/>
        </w:rPr>
        <w:t>oparciu</w:t>
      </w:r>
      <w:r w:rsidR="003B50ED">
        <w:rPr>
          <w:rFonts w:eastAsia="Calibri" w:cstheme="minorHAnsi"/>
          <w:kern w:val="0"/>
          <w14:ligatures w14:val="none"/>
        </w:rPr>
        <w:t xml:space="preserve"> </w:t>
      </w:r>
      <w:r w:rsidRPr="00A26C26">
        <w:rPr>
          <w:rFonts w:eastAsia="Calibri" w:cstheme="minorHAnsi"/>
          <w:kern w:val="0"/>
          <w14:ligatures w14:val="none"/>
        </w:rPr>
        <w:t>przede</w:t>
      </w:r>
      <w:r w:rsidR="003B50ED">
        <w:rPr>
          <w:rFonts w:eastAsia="Calibri" w:cstheme="minorHAnsi"/>
          <w:kern w:val="0"/>
          <w14:ligatures w14:val="none"/>
        </w:rPr>
        <w:t xml:space="preserve"> </w:t>
      </w:r>
      <w:r w:rsidRPr="00A26C26">
        <w:rPr>
          <w:rFonts w:eastAsia="Calibri" w:cstheme="minorHAnsi"/>
          <w:kern w:val="0"/>
          <w14:ligatures w14:val="none"/>
        </w:rPr>
        <w:t>wszystkim</w:t>
      </w:r>
      <w:r w:rsidR="003B50ED">
        <w:rPr>
          <w:rFonts w:eastAsia="Calibri" w:cstheme="minorHAnsi"/>
          <w:kern w:val="0"/>
          <w14:ligatures w14:val="none"/>
        </w:rPr>
        <w:t xml:space="preserve"> </w:t>
      </w:r>
      <w:r w:rsidRPr="00A26C26">
        <w:rPr>
          <w:rFonts w:eastAsia="Calibri" w:cstheme="minorHAnsi"/>
          <w:kern w:val="0"/>
          <w14:ligatures w14:val="none"/>
        </w:rPr>
        <w:br/>
        <w:t>o</w:t>
      </w:r>
      <w:r w:rsidR="003B50ED">
        <w:rPr>
          <w:rFonts w:eastAsia="Calibri" w:cstheme="minorHAnsi"/>
          <w:kern w:val="0"/>
          <w14:ligatures w14:val="none"/>
        </w:rPr>
        <w:t xml:space="preserve"> </w:t>
      </w:r>
      <w:r w:rsidRPr="00A26C26">
        <w:rPr>
          <w:rFonts w:eastAsia="Calibri" w:cstheme="minorHAnsi"/>
          <w:kern w:val="0"/>
          <w14:ligatures w14:val="none"/>
        </w:rPr>
        <w:t>obowiązujące</w:t>
      </w:r>
      <w:r w:rsidR="003B50ED">
        <w:rPr>
          <w:rFonts w:eastAsia="Calibri" w:cstheme="minorHAnsi"/>
          <w:kern w:val="0"/>
          <w14:ligatures w14:val="none"/>
        </w:rPr>
        <w:t xml:space="preserve"> </w:t>
      </w:r>
      <w:r w:rsidRPr="00A26C26">
        <w:rPr>
          <w:rFonts w:eastAsia="Calibri" w:cstheme="minorHAnsi"/>
          <w:kern w:val="0"/>
          <w14:ligatures w14:val="none"/>
        </w:rPr>
        <w:t>Wytyczne,</w:t>
      </w:r>
      <w:r w:rsidR="003B50ED">
        <w:rPr>
          <w:rFonts w:eastAsia="Calibri" w:cstheme="minorHAnsi"/>
          <w:kern w:val="0"/>
          <w14:ligatures w14:val="none"/>
        </w:rPr>
        <w:t xml:space="preserve"> </w:t>
      </w:r>
      <w:r w:rsidRPr="00A26C26">
        <w:rPr>
          <w:rFonts w:eastAsia="Calibri" w:cstheme="minorHAnsi"/>
          <w:kern w:val="0"/>
          <w14:ligatures w14:val="none"/>
        </w:rPr>
        <w:t>zapisy</w:t>
      </w:r>
      <w:r w:rsidR="003B50ED">
        <w:rPr>
          <w:rFonts w:eastAsia="Calibri" w:cstheme="minorHAnsi"/>
          <w:kern w:val="0"/>
          <w14:ligatures w14:val="none"/>
        </w:rPr>
        <w:t xml:space="preserve"> </w:t>
      </w:r>
      <w:r w:rsidRPr="00A26C26">
        <w:rPr>
          <w:rFonts w:eastAsia="Calibri" w:cstheme="minorHAnsi"/>
          <w:kern w:val="0"/>
          <w14:ligatures w14:val="none"/>
        </w:rPr>
        <w:t>PS</w:t>
      </w:r>
      <w:r w:rsidR="003B50ED">
        <w:rPr>
          <w:rFonts w:eastAsia="Calibri" w:cstheme="minorHAnsi"/>
          <w:kern w:val="0"/>
          <w14:ligatures w14:val="none"/>
        </w:rPr>
        <w:t xml:space="preserve"> </w:t>
      </w:r>
      <w:r w:rsidRPr="00A26C26">
        <w:rPr>
          <w:rFonts w:eastAsia="Calibri" w:cstheme="minorHAnsi"/>
          <w:kern w:val="0"/>
          <w14:ligatures w14:val="none"/>
        </w:rPr>
        <w:t>dla</w:t>
      </w:r>
      <w:r w:rsidR="003B50ED">
        <w:rPr>
          <w:rFonts w:eastAsia="Calibri" w:cstheme="minorHAnsi"/>
          <w:kern w:val="0"/>
          <w14:ligatures w14:val="none"/>
        </w:rPr>
        <w:t xml:space="preserve"> </w:t>
      </w:r>
      <w:r w:rsidRPr="00A26C26">
        <w:rPr>
          <w:rFonts w:eastAsia="Calibri" w:cstheme="minorHAnsi"/>
          <w:kern w:val="0"/>
          <w14:ligatures w14:val="none"/>
        </w:rPr>
        <w:t>WPR</w:t>
      </w:r>
      <w:r w:rsidR="003B50ED">
        <w:rPr>
          <w:rFonts w:eastAsia="Calibri" w:cstheme="minorHAnsi"/>
          <w:kern w:val="0"/>
          <w14:ligatures w14:val="none"/>
        </w:rPr>
        <w:t xml:space="preserve"> </w:t>
      </w:r>
      <w:r w:rsidRPr="00A26C26">
        <w:rPr>
          <w:rFonts w:eastAsia="Calibri" w:cstheme="minorHAnsi"/>
          <w:kern w:val="0"/>
          <w14:ligatures w14:val="none"/>
        </w:rPr>
        <w:t>2023-2027</w:t>
      </w:r>
      <w:r w:rsidR="003B50ED">
        <w:rPr>
          <w:rFonts w:eastAsia="Calibri" w:cstheme="minorHAnsi"/>
          <w:kern w:val="0"/>
          <w14:ligatures w14:val="none"/>
        </w:rPr>
        <w:t xml:space="preserve"> </w:t>
      </w:r>
      <w:r w:rsidRPr="00A26C26">
        <w:rPr>
          <w:rFonts w:eastAsia="Calibri" w:cstheme="minorHAnsi"/>
          <w:kern w:val="0"/>
          <w14:ligatures w14:val="none"/>
        </w:rPr>
        <w:t>oraz</w:t>
      </w:r>
      <w:r w:rsidR="003B50ED">
        <w:rPr>
          <w:rFonts w:eastAsia="Calibri" w:cstheme="minorHAnsi"/>
          <w:kern w:val="0"/>
          <w14:ligatures w14:val="none"/>
        </w:rPr>
        <w:t xml:space="preserve"> </w:t>
      </w:r>
      <w:r w:rsidR="00ED4002" w:rsidRPr="00A26C26">
        <w:rPr>
          <w:rFonts w:eastAsia="Calibri" w:cstheme="minorHAnsi"/>
          <w:kern w:val="0"/>
          <w14:ligatures w14:val="none"/>
        </w:rPr>
        <w:t>EFRR</w:t>
      </w:r>
      <w:r w:rsidR="003B50ED">
        <w:rPr>
          <w:rFonts w:eastAsia="Calibri" w:cstheme="minorHAnsi"/>
          <w:kern w:val="0"/>
          <w14:ligatures w14:val="none"/>
        </w:rPr>
        <w:t xml:space="preserve"> </w:t>
      </w:r>
      <w:r w:rsidR="00ED4002" w:rsidRPr="00A26C26">
        <w:rPr>
          <w:rFonts w:eastAsia="Calibri" w:cstheme="minorHAnsi"/>
          <w:kern w:val="0"/>
          <w14:ligatures w14:val="none"/>
        </w:rPr>
        <w:t>i</w:t>
      </w:r>
      <w:r w:rsidR="003B50ED">
        <w:rPr>
          <w:rFonts w:eastAsia="Calibri" w:cstheme="minorHAnsi"/>
          <w:kern w:val="0"/>
          <w14:ligatures w14:val="none"/>
        </w:rPr>
        <w:t xml:space="preserve"> </w:t>
      </w:r>
      <w:r w:rsidRPr="00A26C26">
        <w:rPr>
          <w:rFonts w:eastAsia="Calibri" w:cstheme="minorHAnsi"/>
          <w:kern w:val="0"/>
          <w14:ligatures w14:val="none"/>
        </w:rPr>
        <w:t>EFS+</w:t>
      </w:r>
      <w:r w:rsidR="003B50ED">
        <w:rPr>
          <w:rFonts w:eastAsia="Calibri" w:cstheme="minorHAnsi"/>
          <w:kern w:val="0"/>
          <w14:ligatures w14:val="none"/>
        </w:rPr>
        <w:t xml:space="preserve"> </w:t>
      </w:r>
      <w:r w:rsidRPr="00A26C26">
        <w:rPr>
          <w:rFonts w:eastAsia="Calibri" w:cstheme="minorHAnsi"/>
          <w:kern w:val="0"/>
          <w14:ligatures w14:val="none"/>
        </w:rPr>
        <w:t>ale</w:t>
      </w:r>
      <w:r w:rsidR="003B50ED">
        <w:rPr>
          <w:rFonts w:eastAsia="Calibri" w:cstheme="minorHAnsi"/>
          <w:kern w:val="0"/>
          <w14:ligatures w14:val="none"/>
        </w:rPr>
        <w:t xml:space="preserve"> </w:t>
      </w:r>
      <w:r w:rsidRPr="00A26C26">
        <w:rPr>
          <w:rFonts w:eastAsia="Calibri" w:cstheme="minorHAnsi"/>
          <w:kern w:val="0"/>
          <w14:ligatures w14:val="none"/>
        </w:rPr>
        <w:t>również</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podstawie</w:t>
      </w:r>
      <w:r w:rsidR="003B50ED">
        <w:rPr>
          <w:rFonts w:eastAsia="Calibri" w:cstheme="minorHAnsi"/>
          <w:kern w:val="0"/>
          <w14:ligatures w14:val="none"/>
        </w:rPr>
        <w:t xml:space="preserve"> </w:t>
      </w:r>
      <w:r w:rsidRPr="00A26C26">
        <w:rPr>
          <w:rFonts w:eastAsia="Calibri" w:cstheme="minorHAnsi"/>
          <w:kern w:val="0"/>
          <w14:ligatures w14:val="none"/>
        </w:rPr>
        <w:t>wieloletniego</w:t>
      </w:r>
      <w:r w:rsidR="003B50ED">
        <w:rPr>
          <w:rFonts w:eastAsia="Calibri" w:cstheme="minorHAnsi"/>
          <w:kern w:val="0"/>
          <w14:ligatures w14:val="none"/>
        </w:rPr>
        <w:t xml:space="preserve"> </w:t>
      </w:r>
      <w:r w:rsidRPr="00A26C26">
        <w:rPr>
          <w:rFonts w:eastAsia="Calibri" w:cstheme="minorHAnsi"/>
          <w:kern w:val="0"/>
          <w14:ligatures w14:val="none"/>
        </w:rPr>
        <w:t>doświadczenia</w:t>
      </w:r>
      <w:r w:rsidR="003B50ED">
        <w:rPr>
          <w:rFonts w:eastAsia="Calibri" w:cstheme="minorHAnsi"/>
          <w:kern w:val="0"/>
          <w14:ligatures w14:val="none"/>
        </w:rPr>
        <w:t xml:space="preserve"> </w:t>
      </w:r>
      <w:r w:rsidRPr="00A26C26">
        <w:rPr>
          <w:rFonts w:eastAsia="Calibri" w:cstheme="minorHAnsi"/>
          <w:kern w:val="0"/>
          <w14:ligatures w14:val="none"/>
        </w:rPr>
        <w:t>we</w:t>
      </w:r>
      <w:r w:rsidR="003B50ED">
        <w:rPr>
          <w:rFonts w:eastAsia="Calibri" w:cstheme="minorHAnsi"/>
          <w:kern w:val="0"/>
          <w14:ligatures w14:val="none"/>
        </w:rPr>
        <w:t xml:space="preserve"> </w:t>
      </w:r>
      <w:r w:rsidRPr="00A26C26">
        <w:rPr>
          <w:rFonts w:eastAsia="Calibri" w:cstheme="minorHAnsi"/>
          <w:kern w:val="0"/>
          <w14:ligatures w14:val="none"/>
        </w:rPr>
        <w:t>wdrażaniu</w:t>
      </w:r>
      <w:r w:rsidR="003B50ED">
        <w:rPr>
          <w:rFonts w:eastAsia="Calibri" w:cstheme="minorHAnsi"/>
          <w:kern w:val="0"/>
          <w14:ligatures w14:val="none"/>
        </w:rPr>
        <w:t xml:space="preserve"> </w:t>
      </w:r>
      <w:r w:rsidRPr="00A26C26">
        <w:rPr>
          <w:rFonts w:eastAsia="Calibri" w:cstheme="minorHAnsi"/>
          <w:kern w:val="0"/>
          <w14:ligatures w14:val="none"/>
        </w:rPr>
        <w:t>LSR.</w:t>
      </w:r>
      <w:r w:rsidR="003B50ED">
        <w:rPr>
          <w:rFonts w:eastAsia="Calibri" w:cstheme="minorHAnsi"/>
          <w:kern w:val="0"/>
          <w14:ligatures w14:val="none"/>
        </w:rPr>
        <w:t xml:space="preserve"> </w:t>
      </w:r>
    </w:p>
    <w:p w14:paraId="0DEEAD5F" w14:textId="758C2BEA" w:rsidR="00857736" w:rsidRPr="00A26C26" w:rsidRDefault="00857736" w:rsidP="00A26C26">
      <w:pPr>
        <w:spacing w:line="276" w:lineRule="auto"/>
        <w:ind w:firstLine="284"/>
        <w:jc w:val="both"/>
        <w:rPr>
          <w:rFonts w:eastAsia="Calibri" w:cstheme="minorHAnsi"/>
          <w:kern w:val="0"/>
          <w14:ligatures w14:val="none"/>
        </w:rPr>
      </w:pPr>
      <w:r w:rsidRPr="00A26C26">
        <w:rPr>
          <w:rFonts w:eastAsia="Calibri" w:cstheme="minorHAnsi"/>
          <w:kern w:val="0"/>
          <w14:ligatures w14:val="none"/>
        </w:rPr>
        <w:t>Należy</w:t>
      </w:r>
      <w:r w:rsidR="003B50ED">
        <w:rPr>
          <w:rFonts w:eastAsia="Calibri" w:cstheme="minorHAnsi"/>
          <w:kern w:val="0"/>
          <w14:ligatures w14:val="none"/>
        </w:rPr>
        <w:t xml:space="preserve"> </w:t>
      </w:r>
      <w:r w:rsidRPr="00A26C26">
        <w:rPr>
          <w:rFonts w:eastAsia="Calibri" w:cstheme="minorHAnsi"/>
          <w:kern w:val="0"/>
          <w14:ligatures w14:val="none"/>
        </w:rPr>
        <w:t>jednocześnie</w:t>
      </w:r>
      <w:r w:rsidR="003B50ED">
        <w:rPr>
          <w:rFonts w:eastAsia="Calibri" w:cstheme="minorHAnsi"/>
          <w:kern w:val="0"/>
          <w14:ligatures w14:val="none"/>
        </w:rPr>
        <w:t xml:space="preserve"> </w:t>
      </w:r>
      <w:r w:rsidRPr="00A26C26">
        <w:rPr>
          <w:rFonts w:eastAsia="Calibri" w:cstheme="minorHAnsi"/>
          <w:kern w:val="0"/>
          <w14:ligatures w14:val="none"/>
        </w:rPr>
        <w:t>podkreślić,</w:t>
      </w:r>
      <w:r w:rsidR="003B50ED">
        <w:rPr>
          <w:rFonts w:eastAsia="Calibri" w:cstheme="minorHAnsi"/>
          <w:kern w:val="0"/>
          <w14:ligatures w14:val="none"/>
        </w:rPr>
        <w:t xml:space="preserve"> </w:t>
      </w:r>
      <w:r w:rsidRPr="00A26C26">
        <w:rPr>
          <w:rFonts w:eastAsia="Calibri" w:cstheme="minorHAnsi"/>
          <w:kern w:val="0"/>
          <w14:ligatures w14:val="none"/>
        </w:rPr>
        <w:t>iż</w:t>
      </w:r>
      <w:r w:rsidR="003B50ED">
        <w:rPr>
          <w:rFonts w:eastAsia="Calibri" w:cstheme="minorHAnsi"/>
          <w:kern w:val="0"/>
          <w14:ligatures w14:val="none"/>
        </w:rPr>
        <w:t xml:space="preserve"> </w:t>
      </w:r>
      <w:r w:rsidR="006568AD">
        <w:rPr>
          <w:rFonts w:cstheme="minorHAnsi"/>
        </w:rPr>
        <w:t xml:space="preserve">Stowarzyszenie </w:t>
      </w:r>
      <w:r w:rsidR="006568AD" w:rsidRPr="00A26C26">
        <w:rPr>
          <w:rFonts w:cstheme="minorHAnsi"/>
        </w:rPr>
        <w:t>„Solidarni</w:t>
      </w:r>
      <w:r w:rsidR="006568AD">
        <w:rPr>
          <w:rFonts w:cstheme="minorHAnsi"/>
        </w:rPr>
        <w:t xml:space="preserve"> </w:t>
      </w:r>
      <w:r w:rsidR="006568AD" w:rsidRPr="00A26C26">
        <w:rPr>
          <w:rFonts w:cstheme="minorHAnsi"/>
        </w:rPr>
        <w:t>w</w:t>
      </w:r>
      <w:r w:rsidR="006568AD">
        <w:rPr>
          <w:rFonts w:cstheme="minorHAnsi"/>
        </w:rPr>
        <w:t xml:space="preserve"> </w:t>
      </w:r>
      <w:r w:rsidR="006568AD" w:rsidRPr="00A26C26">
        <w:rPr>
          <w:rFonts w:cstheme="minorHAnsi"/>
        </w:rPr>
        <w:t>Partnerstwie”</w:t>
      </w:r>
      <w:r w:rsidR="006568AD">
        <w:rPr>
          <w:rFonts w:cstheme="minorHAnsi"/>
        </w:rPr>
        <w:t xml:space="preserve"> </w:t>
      </w:r>
      <w:r w:rsidRPr="00A26C26">
        <w:rPr>
          <w:rFonts w:eastAsia="Calibri" w:cstheme="minorHAnsi"/>
          <w:kern w:val="0"/>
          <w14:ligatures w14:val="none"/>
        </w:rPr>
        <w:t>funkcjonując</w:t>
      </w:r>
      <w:r w:rsidR="003B50ED">
        <w:rPr>
          <w:rFonts w:eastAsia="Calibri" w:cstheme="minorHAnsi"/>
          <w:kern w:val="0"/>
          <w14:ligatures w14:val="none"/>
        </w:rPr>
        <w:t xml:space="preserve"> </w:t>
      </w:r>
      <w:r w:rsidRPr="00A26C26">
        <w:rPr>
          <w:rFonts w:eastAsia="Calibri" w:cstheme="minorHAnsi"/>
          <w:kern w:val="0"/>
          <w14:ligatures w14:val="none"/>
        </w:rPr>
        <w:t>przez</w:t>
      </w:r>
      <w:r w:rsidR="003B50ED">
        <w:rPr>
          <w:rFonts w:eastAsia="Calibri" w:cstheme="minorHAnsi"/>
          <w:kern w:val="0"/>
          <w14:ligatures w14:val="none"/>
        </w:rPr>
        <w:t xml:space="preserve"> </w:t>
      </w:r>
      <w:r w:rsidRPr="00A26C26">
        <w:rPr>
          <w:rFonts w:eastAsia="Calibri" w:cstheme="minorHAnsi"/>
          <w:kern w:val="0"/>
          <w14:ligatures w14:val="none"/>
        </w:rPr>
        <w:t>wiele</w:t>
      </w:r>
      <w:r w:rsidR="003B50ED">
        <w:rPr>
          <w:rFonts w:eastAsia="Calibri" w:cstheme="minorHAnsi"/>
          <w:kern w:val="0"/>
          <w14:ligatures w14:val="none"/>
        </w:rPr>
        <w:t xml:space="preserve"> </w:t>
      </w:r>
      <w:r w:rsidRPr="00A26C26">
        <w:rPr>
          <w:rFonts w:eastAsia="Calibri" w:cstheme="minorHAnsi"/>
          <w:kern w:val="0"/>
          <w14:ligatures w14:val="none"/>
        </w:rPr>
        <w:t>lat</w:t>
      </w:r>
      <w:r w:rsidR="003B50ED">
        <w:rPr>
          <w:rFonts w:eastAsia="Calibri" w:cstheme="minorHAnsi"/>
          <w:kern w:val="0"/>
          <w14:ligatures w14:val="none"/>
        </w:rPr>
        <w:t xml:space="preserve"> </w:t>
      </w:r>
      <w:r w:rsidR="006568AD">
        <w:rPr>
          <w:rFonts w:eastAsia="Calibri" w:cstheme="minorHAnsi"/>
          <w:kern w:val="0"/>
          <w14:ligatures w14:val="none"/>
        </w:rPr>
        <w:br/>
      </w:r>
      <w:r w:rsidRPr="00A26C26">
        <w:rPr>
          <w:rFonts w:eastAsia="Calibri" w:cstheme="minorHAnsi"/>
          <w:kern w:val="0"/>
          <w14:ligatures w14:val="none"/>
        </w:rPr>
        <w:t>w</w:t>
      </w:r>
      <w:r w:rsidR="003B50ED">
        <w:rPr>
          <w:rFonts w:eastAsia="Calibri" w:cstheme="minorHAnsi"/>
          <w:kern w:val="0"/>
          <w14:ligatures w14:val="none"/>
        </w:rPr>
        <w:t xml:space="preserve"> </w:t>
      </w:r>
      <w:r w:rsidRPr="00A26C26">
        <w:rPr>
          <w:rFonts w:eastAsia="Calibri" w:cstheme="minorHAnsi"/>
          <w:kern w:val="0"/>
          <w14:ligatures w14:val="none"/>
        </w:rPr>
        <w:t>społeczności</w:t>
      </w:r>
      <w:r w:rsidR="003B50ED">
        <w:rPr>
          <w:rFonts w:eastAsia="Calibri" w:cstheme="minorHAnsi"/>
          <w:kern w:val="0"/>
          <w14:ligatures w14:val="none"/>
        </w:rPr>
        <w:t xml:space="preserve"> </w:t>
      </w:r>
      <w:r w:rsidRPr="00A26C26">
        <w:rPr>
          <w:rFonts w:eastAsia="Calibri" w:cstheme="minorHAnsi"/>
          <w:kern w:val="0"/>
          <w14:ligatures w14:val="none"/>
        </w:rPr>
        <w:t>lokalnej</w:t>
      </w:r>
      <w:r w:rsidR="003B50ED">
        <w:rPr>
          <w:rFonts w:eastAsia="Calibri" w:cstheme="minorHAnsi"/>
          <w:kern w:val="0"/>
          <w14:ligatures w14:val="none"/>
        </w:rPr>
        <w:t xml:space="preserve"> </w:t>
      </w:r>
      <w:r w:rsidRPr="00A26C26">
        <w:rPr>
          <w:rFonts w:eastAsia="Calibri" w:cstheme="minorHAnsi"/>
          <w:kern w:val="0"/>
          <w14:ligatures w14:val="none"/>
        </w:rPr>
        <w:t>ma</w:t>
      </w:r>
      <w:r w:rsidR="003B50ED">
        <w:rPr>
          <w:rFonts w:eastAsia="Calibri" w:cstheme="minorHAnsi"/>
          <w:kern w:val="0"/>
          <w14:ligatures w14:val="none"/>
        </w:rPr>
        <w:t xml:space="preserve"> </w:t>
      </w:r>
      <w:r w:rsidRPr="00A26C26">
        <w:rPr>
          <w:rFonts w:eastAsia="Calibri" w:cstheme="minorHAnsi"/>
          <w:kern w:val="0"/>
          <w14:ligatures w14:val="none"/>
        </w:rPr>
        <w:t>świadomość</w:t>
      </w:r>
      <w:r w:rsidR="003B50ED">
        <w:rPr>
          <w:rFonts w:eastAsia="Calibri" w:cstheme="minorHAnsi"/>
          <w:kern w:val="0"/>
          <w14:ligatures w14:val="none"/>
        </w:rPr>
        <w:t xml:space="preserve"> </w:t>
      </w:r>
      <w:r w:rsidRPr="00A26C26">
        <w:rPr>
          <w:rFonts w:eastAsia="Calibri" w:cstheme="minorHAnsi"/>
          <w:kern w:val="0"/>
          <w14:ligatures w14:val="none"/>
        </w:rPr>
        <w:t>potencjału</w:t>
      </w:r>
      <w:r w:rsidR="003B50ED">
        <w:rPr>
          <w:rFonts w:eastAsia="Calibri" w:cstheme="minorHAnsi"/>
          <w:kern w:val="0"/>
          <w14:ligatures w14:val="none"/>
        </w:rPr>
        <w:t xml:space="preserve"> </w:t>
      </w:r>
      <w:r w:rsidRPr="00A26C26">
        <w:rPr>
          <w:rFonts w:eastAsia="Calibri" w:cstheme="minorHAnsi"/>
          <w:kern w:val="0"/>
          <w14:ligatures w14:val="none"/>
        </w:rPr>
        <w:t>partnerów</w:t>
      </w:r>
      <w:r w:rsidR="003B50ED">
        <w:rPr>
          <w:rFonts w:eastAsia="Calibri" w:cstheme="minorHAnsi"/>
          <w:kern w:val="0"/>
          <w14:ligatures w14:val="none"/>
        </w:rPr>
        <w:t xml:space="preserve"> </w:t>
      </w:r>
      <w:r w:rsidRPr="00A26C26">
        <w:rPr>
          <w:rFonts w:eastAsia="Calibri" w:cstheme="minorHAnsi"/>
          <w:kern w:val="0"/>
          <w14:ligatures w14:val="none"/>
        </w:rPr>
        <w:t>z</w:t>
      </w:r>
      <w:r w:rsidR="003B50ED">
        <w:rPr>
          <w:rFonts w:eastAsia="Calibri" w:cstheme="minorHAnsi"/>
          <w:kern w:val="0"/>
          <w14:ligatures w14:val="none"/>
        </w:rPr>
        <w:t xml:space="preserve"> </w:t>
      </w:r>
      <w:r w:rsidRPr="00A26C26">
        <w:rPr>
          <w:rFonts w:eastAsia="Calibri" w:cstheme="minorHAnsi"/>
          <w:kern w:val="0"/>
          <w14:ligatures w14:val="none"/>
        </w:rPr>
        <w:t>grup</w:t>
      </w:r>
      <w:r w:rsidR="003B50ED">
        <w:rPr>
          <w:rFonts w:eastAsia="Calibri" w:cstheme="minorHAnsi"/>
          <w:kern w:val="0"/>
          <w14:ligatures w14:val="none"/>
        </w:rPr>
        <w:t xml:space="preserve"> </w:t>
      </w:r>
      <w:r w:rsidRPr="00A26C26">
        <w:rPr>
          <w:rFonts w:eastAsia="Calibri" w:cstheme="minorHAnsi"/>
          <w:kern w:val="0"/>
          <w14:ligatures w14:val="none"/>
        </w:rPr>
        <w:t>interesu</w:t>
      </w:r>
      <w:r w:rsidR="003B50ED">
        <w:rPr>
          <w:rFonts w:eastAsia="Calibri" w:cstheme="minorHAnsi"/>
          <w:kern w:val="0"/>
          <w14:ligatures w14:val="none"/>
        </w:rPr>
        <w:t xml:space="preserve"> </w:t>
      </w:r>
      <w:r w:rsidRPr="00A26C26">
        <w:rPr>
          <w:rFonts w:eastAsia="Calibri" w:cstheme="minorHAnsi"/>
          <w:kern w:val="0"/>
          <w14:ligatures w14:val="none"/>
        </w:rPr>
        <w:t>poszczególnych</w:t>
      </w:r>
      <w:r w:rsidR="003B50ED">
        <w:rPr>
          <w:rFonts w:eastAsia="Calibri" w:cstheme="minorHAnsi"/>
          <w:kern w:val="0"/>
          <w14:ligatures w14:val="none"/>
        </w:rPr>
        <w:t xml:space="preserve"> </w:t>
      </w:r>
      <w:r w:rsidRPr="00A26C26">
        <w:rPr>
          <w:rFonts w:eastAsia="Calibri" w:cstheme="minorHAnsi"/>
          <w:kern w:val="0"/>
          <w14:ligatures w14:val="none"/>
        </w:rPr>
        <w:t>sektorów</w:t>
      </w:r>
      <w:r w:rsidR="003B50ED">
        <w:rPr>
          <w:rFonts w:eastAsia="Calibri" w:cstheme="minorHAnsi"/>
          <w:kern w:val="0"/>
          <w14:ligatures w14:val="none"/>
        </w:rPr>
        <w:t xml:space="preserve"> </w:t>
      </w:r>
      <w:r w:rsidRPr="00A26C26">
        <w:rPr>
          <w:rFonts w:eastAsia="Calibri" w:cstheme="minorHAnsi"/>
          <w:kern w:val="0"/>
          <w14:ligatures w14:val="none"/>
        </w:rPr>
        <w:t>oraz</w:t>
      </w:r>
      <w:r w:rsidR="003B50ED">
        <w:rPr>
          <w:rFonts w:eastAsia="Calibri" w:cstheme="minorHAnsi"/>
          <w:kern w:val="0"/>
          <w14:ligatures w14:val="none"/>
        </w:rPr>
        <w:t xml:space="preserve"> </w:t>
      </w:r>
      <w:r w:rsidRPr="00A26C26">
        <w:rPr>
          <w:rFonts w:eastAsia="Calibri" w:cstheme="minorHAnsi"/>
          <w:kern w:val="0"/>
          <w14:ligatures w14:val="none"/>
        </w:rPr>
        <w:t>realne</w:t>
      </w:r>
      <w:r w:rsidR="003B50ED">
        <w:rPr>
          <w:rFonts w:eastAsia="Calibri" w:cstheme="minorHAnsi"/>
          <w:kern w:val="0"/>
          <w14:ligatures w14:val="none"/>
        </w:rPr>
        <w:t xml:space="preserve"> </w:t>
      </w:r>
      <w:r w:rsidRPr="00A26C26">
        <w:rPr>
          <w:rFonts w:eastAsia="Calibri" w:cstheme="minorHAnsi"/>
          <w:kern w:val="0"/>
          <w14:ligatures w14:val="none"/>
        </w:rPr>
        <w:t>możliwości</w:t>
      </w:r>
      <w:r w:rsidR="003B50ED">
        <w:rPr>
          <w:rFonts w:eastAsia="Calibri" w:cstheme="minorHAnsi"/>
          <w:kern w:val="0"/>
          <w14:ligatures w14:val="none"/>
        </w:rPr>
        <w:t xml:space="preserve"> </w:t>
      </w:r>
      <w:r w:rsidRPr="00A26C26">
        <w:rPr>
          <w:rFonts w:eastAsia="Calibri" w:cstheme="minorHAnsi"/>
          <w:kern w:val="0"/>
          <w14:ligatures w14:val="none"/>
        </w:rPr>
        <w:t>wdrażania</w:t>
      </w:r>
      <w:r w:rsidR="003B50ED">
        <w:rPr>
          <w:rFonts w:eastAsia="Calibri" w:cstheme="minorHAnsi"/>
          <w:kern w:val="0"/>
          <w14:ligatures w14:val="none"/>
        </w:rPr>
        <w:t xml:space="preserve"> </w:t>
      </w:r>
      <w:r w:rsidRPr="00A26C26">
        <w:rPr>
          <w:rFonts w:eastAsia="Calibri" w:cstheme="minorHAnsi"/>
          <w:kern w:val="0"/>
          <w14:ligatures w14:val="none"/>
        </w:rPr>
        <w:t>konkretnych</w:t>
      </w:r>
      <w:r w:rsidR="003B50ED">
        <w:rPr>
          <w:rFonts w:eastAsia="Calibri" w:cstheme="minorHAnsi"/>
          <w:kern w:val="0"/>
          <w14:ligatures w14:val="none"/>
        </w:rPr>
        <w:t xml:space="preserve"> </w:t>
      </w:r>
      <w:r w:rsidRPr="00A26C26">
        <w:rPr>
          <w:rFonts w:eastAsia="Calibri" w:cstheme="minorHAnsi"/>
          <w:kern w:val="0"/>
          <w14:ligatures w14:val="none"/>
        </w:rPr>
        <w:t>operacji</w:t>
      </w:r>
      <w:r w:rsidR="006568AD">
        <w:rPr>
          <w:rFonts w:eastAsia="Calibri" w:cstheme="minorHAnsi"/>
          <w:kern w:val="0"/>
          <w14:ligatures w14:val="none"/>
        </w:rPr>
        <w:t>,</w:t>
      </w:r>
      <w:r w:rsidR="003B50ED">
        <w:rPr>
          <w:rFonts w:eastAsia="Calibri" w:cstheme="minorHAnsi"/>
          <w:kern w:val="0"/>
          <w14:ligatures w14:val="none"/>
        </w:rPr>
        <w:t xml:space="preserve"> </w:t>
      </w:r>
      <w:r w:rsidRPr="00A26C26">
        <w:rPr>
          <w:rFonts w:eastAsia="Calibri" w:cstheme="minorHAnsi"/>
          <w:kern w:val="0"/>
          <w14:ligatures w14:val="none"/>
        </w:rPr>
        <w:t>dlatego</w:t>
      </w:r>
      <w:r w:rsidR="003B50ED">
        <w:rPr>
          <w:rFonts w:eastAsia="Calibri" w:cstheme="minorHAnsi"/>
          <w:kern w:val="0"/>
          <w14:ligatures w14:val="none"/>
        </w:rPr>
        <w:t xml:space="preserve"> </w:t>
      </w:r>
      <w:r w:rsidRPr="00A26C26">
        <w:rPr>
          <w:rFonts w:eastAsia="Calibri" w:cstheme="minorHAnsi"/>
          <w:kern w:val="0"/>
          <w14:ligatures w14:val="none"/>
        </w:rPr>
        <w:t>też</w:t>
      </w:r>
      <w:r w:rsidR="003B50ED">
        <w:rPr>
          <w:rFonts w:eastAsia="Calibri" w:cstheme="minorHAnsi"/>
          <w:kern w:val="0"/>
          <w14:ligatures w14:val="none"/>
        </w:rPr>
        <w:t xml:space="preserve"> </w:t>
      </w:r>
      <w:r w:rsidRPr="00A26C26">
        <w:rPr>
          <w:rFonts w:eastAsia="Calibri" w:cstheme="minorHAnsi"/>
          <w:kern w:val="0"/>
          <w14:ligatures w14:val="none"/>
        </w:rPr>
        <w:t>wybór</w:t>
      </w:r>
      <w:r w:rsidR="003B50ED">
        <w:rPr>
          <w:rFonts w:eastAsia="Calibri" w:cstheme="minorHAnsi"/>
          <w:kern w:val="0"/>
          <w14:ligatures w14:val="none"/>
        </w:rPr>
        <w:t xml:space="preserve"> </w:t>
      </w:r>
      <w:r w:rsidRPr="00A26C26">
        <w:rPr>
          <w:rFonts w:eastAsia="Calibri" w:cstheme="minorHAnsi"/>
          <w:kern w:val="0"/>
          <w14:ligatures w14:val="none"/>
        </w:rPr>
        <w:t>metod</w:t>
      </w:r>
      <w:r w:rsidR="003B50ED">
        <w:rPr>
          <w:rFonts w:eastAsia="Calibri" w:cstheme="minorHAnsi"/>
          <w:kern w:val="0"/>
          <w14:ligatures w14:val="none"/>
        </w:rPr>
        <w:t xml:space="preserve"> </w:t>
      </w:r>
      <w:r w:rsidRPr="00A26C26">
        <w:rPr>
          <w:rFonts w:eastAsia="Calibri" w:cstheme="minorHAnsi"/>
          <w:kern w:val="0"/>
          <w14:ligatures w14:val="none"/>
        </w:rPr>
        <w:t>wsparcia</w:t>
      </w:r>
      <w:r w:rsidR="003B50ED">
        <w:rPr>
          <w:rFonts w:eastAsia="Calibri" w:cstheme="minorHAnsi"/>
          <w:kern w:val="0"/>
          <w14:ligatures w14:val="none"/>
        </w:rPr>
        <w:t xml:space="preserve"> </w:t>
      </w:r>
      <w:r w:rsidRPr="00A26C26">
        <w:rPr>
          <w:rFonts w:eastAsia="Calibri" w:cstheme="minorHAnsi"/>
          <w:kern w:val="0"/>
          <w14:ligatures w14:val="none"/>
        </w:rPr>
        <w:t>był</w:t>
      </w:r>
      <w:r w:rsidR="003B50ED">
        <w:rPr>
          <w:rFonts w:eastAsia="Calibri" w:cstheme="minorHAnsi"/>
          <w:kern w:val="0"/>
          <w14:ligatures w14:val="none"/>
        </w:rPr>
        <w:t xml:space="preserve"> </w:t>
      </w:r>
      <w:r w:rsidRPr="00A26C26">
        <w:rPr>
          <w:rFonts w:eastAsia="Calibri" w:cstheme="minorHAnsi"/>
          <w:kern w:val="0"/>
          <w14:ligatures w14:val="none"/>
        </w:rPr>
        <w:t>dokładanie</w:t>
      </w:r>
      <w:r w:rsidR="003B50ED">
        <w:rPr>
          <w:rFonts w:eastAsia="Calibri" w:cstheme="minorHAnsi"/>
          <w:kern w:val="0"/>
          <w14:ligatures w14:val="none"/>
        </w:rPr>
        <w:t xml:space="preserve"> </w:t>
      </w:r>
      <w:r w:rsidRPr="00A26C26">
        <w:rPr>
          <w:rFonts w:eastAsia="Calibri" w:cstheme="minorHAnsi"/>
          <w:kern w:val="0"/>
          <w14:ligatures w14:val="none"/>
        </w:rPr>
        <w:t>przemyślany,</w:t>
      </w:r>
      <w:r w:rsidR="003B50ED">
        <w:rPr>
          <w:rFonts w:eastAsia="Calibri" w:cstheme="minorHAnsi"/>
          <w:kern w:val="0"/>
          <w14:ligatures w14:val="none"/>
        </w:rPr>
        <w:t xml:space="preserve"> </w:t>
      </w:r>
      <w:r w:rsidRPr="00A26C26">
        <w:rPr>
          <w:rFonts w:eastAsia="Calibri" w:cstheme="minorHAnsi"/>
          <w:kern w:val="0"/>
          <w14:ligatures w14:val="none"/>
        </w:rPr>
        <w:t>przeanalizowany</w:t>
      </w:r>
      <w:r w:rsidR="003B50ED">
        <w:rPr>
          <w:rFonts w:eastAsia="Calibri" w:cstheme="minorHAnsi"/>
          <w:kern w:val="0"/>
          <w14:ligatures w14:val="none"/>
        </w:rPr>
        <w:t xml:space="preserve"> </w:t>
      </w:r>
      <w:r w:rsidRPr="00A26C26">
        <w:rPr>
          <w:rFonts w:eastAsia="Calibri" w:cstheme="minorHAnsi"/>
          <w:kern w:val="0"/>
          <w14:ligatures w14:val="none"/>
        </w:rPr>
        <w:t>i</w:t>
      </w:r>
      <w:r w:rsidR="003B50ED">
        <w:rPr>
          <w:rFonts w:eastAsia="Calibri" w:cstheme="minorHAnsi"/>
          <w:kern w:val="0"/>
          <w14:ligatures w14:val="none"/>
        </w:rPr>
        <w:t xml:space="preserve"> </w:t>
      </w:r>
      <w:r w:rsidRPr="00A26C26">
        <w:rPr>
          <w:rFonts w:eastAsia="Calibri" w:cstheme="minorHAnsi"/>
          <w:kern w:val="0"/>
          <w14:ligatures w14:val="none"/>
        </w:rPr>
        <w:t>również</w:t>
      </w:r>
      <w:r w:rsidR="003B50ED">
        <w:rPr>
          <w:rFonts w:eastAsia="Calibri" w:cstheme="minorHAnsi"/>
          <w:kern w:val="0"/>
          <w14:ligatures w14:val="none"/>
        </w:rPr>
        <w:t xml:space="preserve"> </w:t>
      </w:r>
      <w:r w:rsidRPr="00A26C26">
        <w:rPr>
          <w:rFonts w:eastAsia="Calibri" w:cstheme="minorHAnsi"/>
          <w:kern w:val="0"/>
          <w14:ligatures w14:val="none"/>
        </w:rPr>
        <w:t>przedyskutowany</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etapie</w:t>
      </w:r>
      <w:r w:rsidR="003B50ED">
        <w:rPr>
          <w:rFonts w:eastAsia="Calibri" w:cstheme="minorHAnsi"/>
          <w:kern w:val="0"/>
          <w14:ligatures w14:val="none"/>
        </w:rPr>
        <w:t xml:space="preserve"> </w:t>
      </w:r>
      <w:r w:rsidRPr="00A26C26">
        <w:rPr>
          <w:rFonts w:eastAsia="Calibri" w:cstheme="minorHAnsi"/>
          <w:kern w:val="0"/>
          <w14:ligatures w14:val="none"/>
        </w:rPr>
        <w:t>budowy</w:t>
      </w:r>
      <w:r w:rsidR="003B50ED">
        <w:rPr>
          <w:rFonts w:eastAsia="Calibri" w:cstheme="minorHAnsi"/>
          <w:kern w:val="0"/>
          <w14:ligatures w14:val="none"/>
        </w:rPr>
        <w:t xml:space="preserve"> </w:t>
      </w:r>
      <w:r w:rsidRPr="00A26C26">
        <w:rPr>
          <w:rFonts w:eastAsia="Calibri" w:cstheme="minorHAnsi"/>
          <w:kern w:val="0"/>
          <w14:ligatures w14:val="none"/>
        </w:rPr>
        <w:t>LSR</w:t>
      </w:r>
      <w:r w:rsidR="006568AD">
        <w:rPr>
          <w:rFonts w:eastAsia="Calibri" w:cstheme="minorHAnsi"/>
          <w:kern w:val="0"/>
          <w14:ligatures w14:val="none"/>
        </w:rPr>
        <w:t>.</w:t>
      </w:r>
    </w:p>
    <w:p w14:paraId="609C64A1" w14:textId="77777777" w:rsidR="00ED4002" w:rsidRPr="00A26C26" w:rsidRDefault="00ED4002" w:rsidP="00A26C26">
      <w:pPr>
        <w:spacing w:line="276" w:lineRule="auto"/>
        <w:ind w:firstLine="284"/>
        <w:jc w:val="both"/>
        <w:rPr>
          <w:rFonts w:eastAsia="Calibri" w:cstheme="minorHAnsi"/>
          <w:kern w:val="0"/>
          <w14:ligatures w14:val="none"/>
        </w:rPr>
      </w:pPr>
    </w:p>
    <w:p w14:paraId="2DFCE200" w14:textId="5624B59B" w:rsidR="00ED4002" w:rsidRDefault="00ED4002" w:rsidP="008A412F">
      <w:pPr>
        <w:pStyle w:val="Nagwek2"/>
        <w:numPr>
          <w:ilvl w:val="0"/>
          <w:numId w:val="21"/>
        </w:numPr>
        <w:spacing w:before="0" w:line="276" w:lineRule="auto"/>
        <w:rPr>
          <w:rFonts w:asciiTheme="minorHAnsi" w:eastAsia="Calibri" w:hAnsiTheme="minorHAnsi" w:cstheme="minorHAnsi"/>
          <w:b/>
          <w:bCs/>
          <w:sz w:val="22"/>
          <w:szCs w:val="22"/>
        </w:rPr>
      </w:pPr>
      <w:bookmarkStart w:id="91" w:name="_Toc135380300"/>
      <w:bookmarkStart w:id="92" w:name="_Toc136944424"/>
      <w:r w:rsidRPr="00A26C26">
        <w:rPr>
          <w:rFonts w:asciiTheme="minorHAnsi" w:eastAsia="Calibri" w:hAnsiTheme="minorHAnsi" w:cstheme="minorHAnsi"/>
          <w:b/>
          <w:bCs/>
          <w:sz w:val="22"/>
          <w:szCs w:val="22"/>
        </w:rPr>
        <w:t>Dywersyfikacja</w:t>
      </w:r>
      <w:r w:rsidR="003B50ED">
        <w:rPr>
          <w:rFonts w:asciiTheme="minorHAnsi" w:eastAsia="Calibri" w:hAnsiTheme="minorHAnsi" w:cstheme="minorHAnsi"/>
          <w:b/>
          <w:bCs/>
          <w:sz w:val="22"/>
          <w:szCs w:val="22"/>
        </w:rPr>
        <w:t xml:space="preserve"> </w:t>
      </w:r>
      <w:r w:rsidRPr="00A26C26">
        <w:rPr>
          <w:rFonts w:asciiTheme="minorHAnsi" w:eastAsia="Calibri" w:hAnsiTheme="minorHAnsi" w:cstheme="minorHAnsi"/>
          <w:b/>
          <w:bCs/>
          <w:sz w:val="22"/>
          <w:szCs w:val="22"/>
        </w:rPr>
        <w:t>źródeł</w:t>
      </w:r>
      <w:r w:rsidR="003B50ED">
        <w:rPr>
          <w:rFonts w:asciiTheme="minorHAnsi" w:eastAsia="Calibri" w:hAnsiTheme="minorHAnsi" w:cstheme="minorHAnsi"/>
          <w:b/>
          <w:bCs/>
          <w:sz w:val="22"/>
          <w:szCs w:val="22"/>
        </w:rPr>
        <w:t xml:space="preserve"> </w:t>
      </w:r>
      <w:r w:rsidRPr="00A26C26">
        <w:rPr>
          <w:rFonts w:asciiTheme="minorHAnsi" w:eastAsia="Calibri" w:hAnsiTheme="minorHAnsi" w:cstheme="minorHAnsi"/>
          <w:b/>
          <w:bCs/>
          <w:sz w:val="22"/>
          <w:szCs w:val="22"/>
        </w:rPr>
        <w:t>finansowania</w:t>
      </w:r>
      <w:r w:rsidR="003B50ED">
        <w:rPr>
          <w:rFonts w:asciiTheme="minorHAnsi" w:eastAsia="Calibri" w:hAnsiTheme="minorHAnsi" w:cstheme="minorHAnsi"/>
          <w:b/>
          <w:bCs/>
          <w:sz w:val="22"/>
          <w:szCs w:val="22"/>
        </w:rPr>
        <w:t xml:space="preserve"> </w:t>
      </w:r>
      <w:r w:rsidRPr="00A26C26">
        <w:rPr>
          <w:rFonts w:asciiTheme="minorHAnsi" w:eastAsia="Calibri" w:hAnsiTheme="minorHAnsi" w:cstheme="minorHAnsi"/>
          <w:b/>
          <w:bCs/>
          <w:sz w:val="22"/>
          <w:szCs w:val="22"/>
        </w:rPr>
        <w:t>LSR</w:t>
      </w:r>
      <w:bookmarkEnd w:id="91"/>
      <w:bookmarkEnd w:id="92"/>
      <w:r w:rsidR="003B50ED">
        <w:rPr>
          <w:rFonts w:asciiTheme="minorHAnsi" w:eastAsia="Calibri" w:hAnsiTheme="minorHAnsi" w:cstheme="minorHAnsi"/>
          <w:b/>
          <w:bCs/>
          <w:sz w:val="22"/>
          <w:szCs w:val="22"/>
        </w:rPr>
        <w:t xml:space="preserve"> </w:t>
      </w:r>
    </w:p>
    <w:p w14:paraId="5F7F66A7" w14:textId="16C9B475" w:rsidR="00E601CD" w:rsidRPr="00F16251" w:rsidRDefault="00E601CD" w:rsidP="00E601CD">
      <w:pPr>
        <w:spacing w:line="276" w:lineRule="auto"/>
        <w:ind w:firstLine="360"/>
        <w:jc w:val="both"/>
        <w:rPr>
          <w:rFonts w:ascii="Calibri" w:eastAsia="Calibri" w:hAnsi="Calibri" w:cs="Times New Roman"/>
          <w:kern w:val="0"/>
          <w14:ligatures w14:val="none"/>
        </w:rPr>
      </w:pPr>
      <w:r w:rsidRPr="00F16251">
        <w:rPr>
          <w:rFonts w:ascii="Calibri" w:eastAsia="Calibri" w:hAnsi="Calibri" w:cs="Times New Roman"/>
          <w:kern w:val="0"/>
          <w14:ligatures w14:val="none"/>
        </w:rPr>
        <w:t>Realizacja LSR finansowana będzie głównie z PS WPR, EFRR i EFS+. Jednakże LGD aby wzmocnić uzyskane rezultaty oraz dodatkowo wesprzeć skuteczność działań podejmowanych w ramach LSR, deklaruje również aplikowanie w konkursach w ramach programów rządowych, np.</w:t>
      </w:r>
    </w:p>
    <w:p w14:paraId="3592086F" w14:textId="77777777" w:rsidR="00E601CD" w:rsidRPr="00F16251" w:rsidRDefault="00E601CD" w:rsidP="00E601CD">
      <w:pPr>
        <w:spacing w:line="276" w:lineRule="auto"/>
        <w:jc w:val="both"/>
        <w:rPr>
          <w:rFonts w:ascii="Calibri" w:eastAsia="Calibri" w:hAnsi="Calibri" w:cs="Times New Roman"/>
          <w:kern w:val="0"/>
          <w14:ligatures w14:val="none"/>
        </w:rPr>
      </w:pPr>
      <w:r w:rsidRPr="00F16251">
        <w:rPr>
          <w:rFonts w:ascii="Calibri" w:eastAsia="Calibri" w:hAnsi="Calibri" w:cs="Times New Roman"/>
          <w:kern w:val="0"/>
          <w14:ligatures w14:val="none"/>
        </w:rPr>
        <w:t>- Rządowy Program Fundusz Inicjatyw Obywatelskich NOWEFIO na lata 2021-2030.</w:t>
      </w:r>
    </w:p>
    <w:p w14:paraId="2AA7E91D" w14:textId="77777777" w:rsidR="00E601CD" w:rsidRPr="00F16251" w:rsidRDefault="00E601CD" w:rsidP="00E601CD">
      <w:pPr>
        <w:spacing w:line="276" w:lineRule="auto"/>
        <w:jc w:val="both"/>
        <w:rPr>
          <w:rFonts w:ascii="Calibri" w:eastAsia="Calibri" w:hAnsi="Calibri" w:cs="Times New Roman"/>
          <w:kern w:val="0"/>
          <w14:ligatures w14:val="none"/>
        </w:rPr>
      </w:pPr>
      <w:r w:rsidRPr="00F16251">
        <w:rPr>
          <w:rFonts w:ascii="Calibri" w:eastAsia="Calibri" w:hAnsi="Calibri" w:cs="Times New Roman"/>
          <w:kern w:val="0"/>
          <w14:ligatures w14:val="none"/>
        </w:rPr>
        <w:t>oraz budżetu Polsko-Amerykańskiej Fundacji Wolności w ramach programów takich jak:</w:t>
      </w:r>
    </w:p>
    <w:p w14:paraId="06A6DA4D" w14:textId="7FF4CAA2" w:rsidR="00E601CD" w:rsidRPr="00F16251" w:rsidRDefault="00E601CD" w:rsidP="00E601CD">
      <w:pPr>
        <w:spacing w:line="276" w:lineRule="auto"/>
        <w:contextualSpacing/>
        <w:jc w:val="both"/>
        <w:rPr>
          <w:rFonts w:ascii="Calibri" w:eastAsia="Calibri" w:hAnsi="Calibri" w:cs="Times New Roman"/>
          <w:kern w:val="0"/>
          <w14:ligatures w14:val="none"/>
        </w:rPr>
      </w:pPr>
      <w:r w:rsidRPr="00F16251">
        <w:rPr>
          <w:rFonts w:ascii="Calibri" w:eastAsia="Calibri" w:hAnsi="Calibri" w:cs="Times New Roman"/>
          <w:b/>
          <w:kern w:val="0"/>
          <w14:ligatures w14:val="none"/>
        </w:rPr>
        <w:t>Program Stypendiów Pomostowych</w:t>
      </w:r>
      <w:r w:rsidRPr="00F16251">
        <w:rPr>
          <w:rFonts w:ascii="Calibri" w:eastAsia="Calibri" w:hAnsi="Calibri" w:cs="Times New Roman"/>
          <w:kern w:val="0"/>
          <w14:ligatures w14:val="none"/>
        </w:rPr>
        <w:t xml:space="preserve"> - Autor i Partner Strategiczny Programu Stypendiów Pomostowych to Polsko-Amerykańska Fundacja Wolności, kolejny</w:t>
      </w:r>
      <w:r w:rsidR="00396A11">
        <w:rPr>
          <w:rFonts w:ascii="Calibri" w:eastAsia="Calibri" w:hAnsi="Calibri" w:cs="Times New Roman"/>
          <w:kern w:val="0"/>
          <w14:ligatures w14:val="none"/>
        </w:rPr>
        <w:t xml:space="preserve"> </w:t>
      </w:r>
      <w:r w:rsidRPr="00F16251">
        <w:rPr>
          <w:rFonts w:ascii="Calibri" w:eastAsia="Calibri" w:hAnsi="Calibri" w:cs="Times New Roman"/>
          <w:kern w:val="0"/>
          <w14:ligatures w14:val="none"/>
        </w:rPr>
        <w:t>Partner Strategiczny:</w:t>
      </w:r>
      <w:r w:rsidR="00396A11">
        <w:rPr>
          <w:rFonts w:ascii="Calibri" w:eastAsia="Calibri" w:hAnsi="Calibri" w:cs="Times New Roman"/>
          <w:kern w:val="0"/>
          <w14:ligatures w14:val="none"/>
        </w:rPr>
        <w:t xml:space="preserve"> </w:t>
      </w:r>
      <w:r w:rsidRPr="00F16251">
        <w:rPr>
          <w:rFonts w:ascii="Calibri" w:eastAsia="Calibri" w:hAnsi="Calibri" w:cs="Times New Roman"/>
          <w:kern w:val="0"/>
          <w14:ligatures w14:val="none"/>
        </w:rPr>
        <w:t>Narodowy Bank Polski. Realizator:</w:t>
      </w:r>
      <w:r w:rsidR="00396A11">
        <w:rPr>
          <w:rFonts w:ascii="Calibri" w:eastAsia="Calibri" w:hAnsi="Calibri" w:cs="Times New Roman"/>
          <w:kern w:val="0"/>
          <w14:ligatures w14:val="none"/>
        </w:rPr>
        <w:t xml:space="preserve"> </w:t>
      </w:r>
      <w:r w:rsidRPr="00F16251">
        <w:rPr>
          <w:rFonts w:ascii="Calibri" w:eastAsia="Calibri" w:hAnsi="Calibri" w:cs="Times New Roman"/>
          <w:kern w:val="0"/>
          <w14:ligatures w14:val="none"/>
        </w:rPr>
        <w:t>Fundacja Edukacyjna Przedsiębiorczości.</w:t>
      </w:r>
    </w:p>
    <w:p w14:paraId="4A116A81" w14:textId="05AF84DC" w:rsidR="00E601CD" w:rsidRPr="00F16251" w:rsidRDefault="00E601CD" w:rsidP="00E601CD">
      <w:pPr>
        <w:spacing w:line="276" w:lineRule="auto"/>
        <w:contextualSpacing/>
        <w:jc w:val="both"/>
        <w:rPr>
          <w:rFonts w:ascii="Calibri" w:eastAsia="Calibri" w:hAnsi="Calibri" w:cs="Times New Roman"/>
          <w:kern w:val="0"/>
          <w14:ligatures w14:val="none"/>
        </w:rPr>
      </w:pPr>
      <w:r w:rsidRPr="00F16251">
        <w:rPr>
          <w:rFonts w:ascii="Calibri" w:eastAsia="Calibri" w:hAnsi="Calibri" w:cs="Times New Roman"/>
          <w:kern w:val="0"/>
          <w14:ligatures w14:val="none"/>
        </w:rPr>
        <w:t xml:space="preserve">Program Stypendiów Pomostowych to rozbudowany system stypendialny, oferujący studentom wsparcie finansowe na I rok i dalsze lata studiów. Stypendia pomostowe na pierwszy rok studiów otrzymują ambitni i zdolni maturzyści z małych miejscowości, pochodzących z niezamożnych rodzin, którzy rozpoczynają studia dzienne. </w:t>
      </w:r>
      <w:r w:rsidRPr="00F16251">
        <w:rPr>
          <w:rFonts w:ascii="Calibri" w:eastAsia="Calibri" w:hAnsi="Calibri" w:cs="Times New Roman"/>
          <w:kern w:val="0"/>
          <w14:ligatures w14:val="none"/>
        </w:rPr>
        <w:br/>
        <w:t xml:space="preserve">O stypendia na I rok studiów mogą ubiegać się maturzyści, którzy zostali przyjęci na stacjonarne studia w polskich akademickich uczelniach publicznych, pochodzą ze wsi lub małych miast do 20 tys. mieszkańców, z niezamożnych rodzin, osiągają dobre wyniki w nauce i dodatkowo spełniają jeden z warunków: pochodzą z rodziny byłego pracownika PGR; są finalistami olimpiad przedmiotowych w szkole ponadgimnazjalnej; pochodzą z rodziny wielodzietnej, są wychowankami rodziny zastępczej bądź państwowego domu dziecka; lub mają rekomendację </w:t>
      </w:r>
      <w:r w:rsidRPr="00F16251">
        <w:rPr>
          <w:rFonts w:ascii="Calibri" w:eastAsia="Calibri" w:hAnsi="Calibri" w:cs="Times New Roman"/>
          <w:kern w:val="0"/>
          <w14:ligatures w14:val="none"/>
        </w:rPr>
        <w:lastRenderedPageBreak/>
        <w:t xml:space="preserve">lokalnej organizacji pozarządowej ( tj. Stowarzyszenia „Solidarni w Partnerstwie”). Stypendium na I rok studiów wynosi 7000 zł i jest wypłacane w ratach przez 10 miesięcy roku akademickiego. Stowarzyszenie „Solidarni </w:t>
      </w:r>
      <w:r w:rsidR="006C4DC7">
        <w:rPr>
          <w:rFonts w:ascii="Calibri" w:eastAsia="Calibri" w:hAnsi="Calibri" w:cs="Times New Roman"/>
          <w:kern w:val="0"/>
          <w14:ligatures w14:val="none"/>
        </w:rPr>
        <w:t xml:space="preserve">                             </w:t>
      </w:r>
      <w:r w:rsidRPr="00F16251">
        <w:rPr>
          <w:rFonts w:ascii="Calibri" w:eastAsia="Calibri" w:hAnsi="Calibri" w:cs="Times New Roman"/>
          <w:kern w:val="0"/>
          <w14:ligatures w14:val="none"/>
        </w:rPr>
        <w:t>w Partnerstwie”</w:t>
      </w:r>
      <w:r w:rsidR="00396A11">
        <w:rPr>
          <w:rFonts w:ascii="Calibri" w:eastAsia="Calibri" w:hAnsi="Calibri" w:cs="Times New Roman"/>
          <w:kern w:val="0"/>
          <w14:ligatures w14:val="none"/>
        </w:rPr>
        <w:t xml:space="preserve"> </w:t>
      </w:r>
      <w:r w:rsidRPr="00F16251">
        <w:rPr>
          <w:rFonts w:ascii="Calibri" w:eastAsia="Calibri" w:hAnsi="Calibri" w:cs="Times New Roman"/>
          <w:kern w:val="0"/>
          <w14:ligatures w14:val="none"/>
        </w:rPr>
        <w:t>w pierwszym kwartale każdego roku deklaruje swój wkład finansowy chcąc pozyskać środki na stypendia pomostowe dla młodzieży z terenu działania LGD. Podpisuje umowę o współpracy z Fundacją Edukacyjną w Łodzi,</w:t>
      </w:r>
      <w:r w:rsidR="00396A11">
        <w:rPr>
          <w:rFonts w:ascii="Calibri" w:eastAsia="Calibri" w:hAnsi="Calibri" w:cs="Times New Roman"/>
          <w:kern w:val="0"/>
          <w14:ligatures w14:val="none"/>
        </w:rPr>
        <w:t xml:space="preserve"> </w:t>
      </w:r>
      <w:r w:rsidRPr="00F16251">
        <w:rPr>
          <w:rFonts w:ascii="Calibri" w:eastAsia="Calibri" w:hAnsi="Calibri" w:cs="Times New Roman"/>
          <w:kern w:val="0"/>
          <w14:ligatures w14:val="none"/>
        </w:rPr>
        <w:t>przyjmuje wnioski maturzystów (lipiec-sierpień) i rekomenduje maturzystów z obszaru działania do uzyskania stypendiów. W roku 2023 możemy pozyskać stypendia dla minimum 10 maturzystów.</w:t>
      </w:r>
    </w:p>
    <w:p w14:paraId="192FA8FD" w14:textId="0BA987EC" w:rsidR="00E601CD" w:rsidRPr="00F16251" w:rsidRDefault="00E601CD" w:rsidP="00E601CD">
      <w:pPr>
        <w:spacing w:line="276" w:lineRule="auto"/>
        <w:contextualSpacing/>
        <w:jc w:val="both"/>
        <w:rPr>
          <w:rFonts w:ascii="Calibri" w:eastAsia="Calibri" w:hAnsi="Calibri" w:cs="Times New Roman"/>
          <w:kern w:val="0"/>
          <w14:ligatures w14:val="none"/>
        </w:rPr>
      </w:pPr>
      <w:r w:rsidRPr="00F16251">
        <w:rPr>
          <w:rFonts w:ascii="Calibri" w:eastAsia="Calibri" w:hAnsi="Calibri" w:cs="Times New Roman"/>
          <w:kern w:val="0"/>
          <w14:ligatures w14:val="none"/>
        </w:rPr>
        <w:t xml:space="preserve">Program </w:t>
      </w:r>
      <w:r w:rsidRPr="00F16251">
        <w:rPr>
          <w:rFonts w:ascii="Calibri" w:eastAsia="Calibri" w:hAnsi="Calibri" w:cs="Times New Roman"/>
          <w:b/>
          <w:bCs/>
          <w:kern w:val="0"/>
          <w14:ligatures w14:val="none"/>
        </w:rPr>
        <w:t>„Działaj Lokalnie”</w:t>
      </w:r>
      <w:r w:rsidRPr="00F16251">
        <w:rPr>
          <w:rFonts w:ascii="Calibri" w:eastAsia="Calibri" w:hAnsi="Calibri" w:cs="Times New Roman"/>
          <w:kern w:val="0"/>
          <w14:ligatures w14:val="none"/>
        </w:rPr>
        <w:t xml:space="preserve"> powstał w 2000 roku i jest przedsięwzięciem Polsko-Amerykańskiej Fundacji Wolności (PAFW). Od początku realizuje go Akademia Rozwoju Filantropii w Polsce (ARFP).To program grantowy realizowany przez Stowarzyszenie „Solidarni w Partnerstwie” – które pełni rolę Ośrodka Działaj Lokalnie na obszarze</w:t>
      </w:r>
      <w:r w:rsidR="00396A11">
        <w:rPr>
          <w:rFonts w:ascii="Calibri" w:eastAsia="Calibri" w:hAnsi="Calibri" w:cs="Times New Roman"/>
          <w:kern w:val="0"/>
          <w14:ligatures w14:val="none"/>
        </w:rPr>
        <w:t xml:space="preserve"> </w:t>
      </w:r>
      <w:r w:rsidRPr="00F16251">
        <w:rPr>
          <w:rFonts w:ascii="Calibri" w:eastAsia="Calibri" w:hAnsi="Calibri" w:cs="Times New Roman"/>
          <w:kern w:val="0"/>
          <w14:ligatures w14:val="none"/>
        </w:rPr>
        <w:t>stowarzyszenia i pozyskuje środki z PAFW. Realizacja Programu polega na orga</w:t>
      </w:r>
      <w:r w:rsidR="006D2D0B">
        <w:rPr>
          <w:rFonts w:ascii="Calibri" w:eastAsia="Calibri" w:hAnsi="Calibri" w:cs="Times New Roman"/>
          <w:kern w:val="0"/>
          <w14:ligatures w14:val="none"/>
        </w:rPr>
        <w:t xml:space="preserve">nizowaniu konkursów grantowych </w:t>
      </w:r>
      <w:r w:rsidRPr="00F16251">
        <w:rPr>
          <w:rFonts w:ascii="Calibri" w:eastAsia="Calibri" w:hAnsi="Calibri" w:cs="Times New Roman"/>
          <w:kern w:val="0"/>
          <w14:ligatures w14:val="none"/>
        </w:rPr>
        <w:t>( maj – czerwiec) , w ramach których wspierane są działania inicjujące współp</w:t>
      </w:r>
      <w:r w:rsidR="006D2D0B">
        <w:rPr>
          <w:rFonts w:ascii="Calibri" w:eastAsia="Calibri" w:hAnsi="Calibri" w:cs="Times New Roman"/>
          <w:kern w:val="0"/>
          <w14:ligatures w14:val="none"/>
        </w:rPr>
        <w:t xml:space="preserve">racę mieszkańców min. seniorów </w:t>
      </w:r>
      <w:r w:rsidRPr="00F16251">
        <w:rPr>
          <w:rFonts w:ascii="Calibri" w:eastAsia="Calibri" w:hAnsi="Calibri" w:cs="Times New Roman"/>
          <w:kern w:val="0"/>
          <w14:ligatures w14:val="none"/>
        </w:rPr>
        <w:t>i młodzież oraz projekty aktywizujące lokalne społeczności wokół celów o charakterze dobra wspólnego. Program „Działaj Lokalnie” wspiera poprzez</w:t>
      </w:r>
      <w:r w:rsidR="00396A11">
        <w:rPr>
          <w:rFonts w:ascii="Calibri" w:eastAsia="Calibri" w:hAnsi="Calibri" w:cs="Times New Roman"/>
          <w:kern w:val="0"/>
          <w14:ligatures w14:val="none"/>
        </w:rPr>
        <w:t xml:space="preserve"> </w:t>
      </w:r>
      <w:r w:rsidRPr="00F16251">
        <w:rPr>
          <w:rFonts w:ascii="Calibri" w:eastAsia="Calibri" w:hAnsi="Calibri" w:cs="Times New Roman"/>
          <w:kern w:val="0"/>
          <w14:ligatures w14:val="none"/>
        </w:rPr>
        <w:t xml:space="preserve">dotacje ludzi, którzy chcą wspólnie działać na rzecz swojej społeczności. </w:t>
      </w:r>
      <w:r w:rsidRPr="00F16251">
        <w:rPr>
          <w:rFonts w:ascii="Calibri" w:eastAsia="Calibri" w:hAnsi="Calibri" w:cs="Times New Roman"/>
          <w:kern w:val="0"/>
          <w14:ligatures w14:val="none"/>
        </w:rPr>
        <w:br/>
        <w:t xml:space="preserve">O wsparcie finansowe mogą się ubiegać organizacje pozarządowe i grupy nieformalne, mające siedzibę i planujące prowadzić działania na obszarze Stowarzyszenia tj.: gminy Golina, Grodziec, Rychwał, Rzgów, Stare Miasto </w:t>
      </w:r>
      <w:r w:rsidRPr="00F16251">
        <w:rPr>
          <w:rFonts w:ascii="Calibri" w:eastAsia="Calibri" w:hAnsi="Calibri" w:cs="Times New Roman"/>
          <w:kern w:val="0"/>
          <w14:ligatures w14:val="none"/>
        </w:rPr>
        <w:br/>
        <w:t xml:space="preserve">i Tuliszków. Głównym celem Programu jest wspieranie i aktywizowanie lokalnych społeczności na terenach wiejskich i w małych miastach poprzez projekty obywatelskie, które służą pobudzaniu aspiracji rozwojowych </w:t>
      </w:r>
      <w:r w:rsidRPr="00F16251">
        <w:rPr>
          <w:rFonts w:ascii="Calibri" w:eastAsia="Calibri" w:hAnsi="Calibri" w:cs="Times New Roman"/>
          <w:kern w:val="0"/>
          <w14:ligatures w14:val="none"/>
        </w:rPr>
        <w:br/>
        <w:t>i poprawie jakości życia oraz przyczyniają się do budowy kapitału społecznego.</w:t>
      </w:r>
    </w:p>
    <w:p w14:paraId="5472A862" w14:textId="77777777" w:rsidR="00E601CD" w:rsidRPr="00E601CD" w:rsidRDefault="00E601CD" w:rsidP="00E601CD">
      <w:pPr>
        <w:spacing w:line="276" w:lineRule="auto"/>
        <w:jc w:val="both"/>
        <w:rPr>
          <w:rFonts w:ascii="Calibri" w:eastAsia="Calibri" w:hAnsi="Calibri" w:cs="Times New Roman"/>
          <w:b/>
          <w:kern w:val="0"/>
          <w14:ligatures w14:val="none"/>
        </w:rPr>
      </w:pPr>
      <w:r w:rsidRPr="00F16251">
        <w:rPr>
          <w:rFonts w:ascii="Calibri" w:eastAsia="Calibri" w:hAnsi="Calibri" w:cs="Times New Roman"/>
          <w:b/>
          <w:kern w:val="0"/>
          <w14:ligatures w14:val="none"/>
        </w:rPr>
        <w:t xml:space="preserve">NOWEFIO. </w:t>
      </w:r>
      <w:r w:rsidRPr="00F16251">
        <w:rPr>
          <w:rFonts w:ascii="Calibri" w:eastAsia="Calibri" w:hAnsi="Calibri" w:cs="Times New Roman"/>
          <w:kern w:val="0"/>
          <w14:ligatures w14:val="none"/>
        </w:rPr>
        <w:t>Rządowy Program Fundusz Inicjatyw Obywatelskich NOWEFIO na lata 2021-2030 jest kontynuacją programów rządowych skierowanych do sektora organizacji pozarządowych. Podstawowym celem programu jest promocja działalności społecznej, aktywizacja i formowanie postaw obywatelskich. Dotację można otrzymać na projekt społeczny. Zakres możliwych do zrealizowania działań obejmuje wszystkie obszary działalności pożytku publicznego.</w:t>
      </w:r>
      <w:r w:rsidRPr="00E601CD">
        <w:rPr>
          <w:rFonts w:ascii="Calibri" w:eastAsia="Calibri" w:hAnsi="Calibri" w:cs="Times New Roman"/>
          <w:kern w:val="0"/>
          <w14:ligatures w14:val="none"/>
        </w:rPr>
        <w:t xml:space="preserve"> </w:t>
      </w:r>
    </w:p>
    <w:p w14:paraId="2F49246A" w14:textId="77777777" w:rsidR="00857736" w:rsidRPr="00A26C26" w:rsidRDefault="00857736" w:rsidP="00A26C26">
      <w:pPr>
        <w:spacing w:line="276" w:lineRule="auto"/>
        <w:rPr>
          <w:rFonts w:eastAsia="Calibri" w:cstheme="minorHAnsi"/>
          <w:b/>
          <w:bCs/>
          <w:kern w:val="0"/>
          <w14:ligatures w14:val="none"/>
        </w:rPr>
      </w:pPr>
    </w:p>
    <w:p w14:paraId="35065169" w14:textId="4336290D" w:rsidR="00857736" w:rsidRPr="00A26C26" w:rsidRDefault="00857736" w:rsidP="008A412F">
      <w:pPr>
        <w:pStyle w:val="Nagwek2"/>
        <w:numPr>
          <w:ilvl w:val="0"/>
          <w:numId w:val="21"/>
        </w:numPr>
        <w:spacing w:before="0" w:line="276" w:lineRule="auto"/>
        <w:rPr>
          <w:rFonts w:asciiTheme="minorHAnsi" w:eastAsia="Times New Roman" w:hAnsiTheme="minorHAnsi" w:cstheme="minorHAnsi"/>
          <w:b/>
          <w:bCs/>
          <w:sz w:val="22"/>
          <w:szCs w:val="22"/>
        </w:rPr>
      </w:pPr>
      <w:bookmarkStart w:id="93" w:name="_Toc135619161"/>
      <w:bookmarkStart w:id="94" w:name="_Toc136212427"/>
      <w:bookmarkStart w:id="95" w:name="_Toc136944425"/>
      <w:r w:rsidRPr="00A26C26">
        <w:rPr>
          <w:rFonts w:asciiTheme="minorHAnsi" w:eastAsia="Times New Roman" w:hAnsiTheme="minorHAnsi" w:cstheme="minorHAnsi"/>
          <w:b/>
          <w:bCs/>
          <w:sz w:val="22"/>
          <w:szCs w:val="22"/>
        </w:rPr>
        <w:t>Metody</w:t>
      </w:r>
      <w:r w:rsidR="003B50ED">
        <w:rPr>
          <w:rFonts w:asciiTheme="minorHAnsi" w:eastAsia="Times New Roman" w:hAnsiTheme="minorHAnsi" w:cstheme="minorHAnsi"/>
          <w:b/>
          <w:bCs/>
          <w:sz w:val="22"/>
          <w:szCs w:val="22"/>
        </w:rPr>
        <w:t xml:space="preserve"> </w:t>
      </w:r>
      <w:r w:rsidRPr="00A26C26">
        <w:rPr>
          <w:rFonts w:asciiTheme="minorHAnsi" w:eastAsia="Times New Roman" w:hAnsiTheme="minorHAnsi" w:cstheme="minorHAnsi"/>
          <w:b/>
          <w:bCs/>
          <w:sz w:val="22"/>
          <w:szCs w:val="22"/>
        </w:rPr>
        <w:t>aktywizujące</w:t>
      </w:r>
      <w:bookmarkEnd w:id="93"/>
      <w:bookmarkEnd w:id="94"/>
      <w:bookmarkEnd w:id="95"/>
      <w:r w:rsidR="003B50ED">
        <w:rPr>
          <w:rFonts w:asciiTheme="minorHAnsi" w:eastAsia="Times New Roman" w:hAnsiTheme="minorHAnsi" w:cstheme="minorHAnsi"/>
          <w:b/>
          <w:bCs/>
          <w:sz w:val="22"/>
          <w:szCs w:val="22"/>
        </w:rPr>
        <w:t xml:space="preserve"> </w:t>
      </w:r>
    </w:p>
    <w:p w14:paraId="4E6DF02D" w14:textId="7198ECEE" w:rsidR="00857736" w:rsidRPr="00A26C26" w:rsidRDefault="00857736" w:rsidP="00A26C26">
      <w:pPr>
        <w:spacing w:line="276" w:lineRule="auto"/>
        <w:jc w:val="both"/>
        <w:rPr>
          <w:rFonts w:eastAsia="Calibri" w:cstheme="minorHAnsi"/>
          <w:kern w:val="0"/>
          <w14:ligatures w14:val="none"/>
        </w:rPr>
      </w:pPr>
      <w:r w:rsidRPr="00A26C26">
        <w:rPr>
          <w:rFonts w:eastAsia="Calibri" w:cstheme="minorHAnsi"/>
          <w:kern w:val="0"/>
          <w14:ligatures w14:val="none"/>
        </w:rPr>
        <w:t>W</w:t>
      </w:r>
      <w:r w:rsidR="003B50ED">
        <w:rPr>
          <w:rFonts w:eastAsia="Calibri" w:cstheme="minorHAnsi"/>
          <w:kern w:val="0"/>
          <w14:ligatures w14:val="none"/>
        </w:rPr>
        <w:t xml:space="preserve"> </w:t>
      </w:r>
      <w:r w:rsidRPr="00A26C26">
        <w:rPr>
          <w:rFonts w:eastAsia="Calibri" w:cstheme="minorHAnsi"/>
          <w:kern w:val="0"/>
          <w14:ligatures w14:val="none"/>
        </w:rPr>
        <w:t>ramach</w:t>
      </w:r>
      <w:r w:rsidR="003B50ED">
        <w:rPr>
          <w:rFonts w:eastAsia="Calibri" w:cstheme="minorHAnsi"/>
          <w:kern w:val="0"/>
          <w14:ligatures w14:val="none"/>
        </w:rPr>
        <w:t xml:space="preserve"> </w:t>
      </w:r>
      <w:r w:rsidRPr="00A26C26">
        <w:rPr>
          <w:rFonts w:eastAsia="Calibri" w:cstheme="minorHAnsi"/>
          <w:kern w:val="0"/>
          <w14:ligatures w14:val="none"/>
        </w:rPr>
        <w:t>LSR</w:t>
      </w:r>
      <w:r w:rsidR="003B50ED">
        <w:rPr>
          <w:rFonts w:eastAsia="Calibri" w:cstheme="minorHAnsi"/>
          <w:kern w:val="0"/>
          <w14:ligatures w14:val="none"/>
        </w:rPr>
        <w:t xml:space="preserve"> </w:t>
      </w:r>
      <w:r w:rsidRPr="00A26C26">
        <w:rPr>
          <w:rFonts w:eastAsia="Calibri" w:cstheme="minorHAnsi"/>
          <w:kern w:val="0"/>
          <w14:ligatures w14:val="none"/>
        </w:rPr>
        <w:t>wykorzystane</w:t>
      </w:r>
      <w:r w:rsidR="003B50ED">
        <w:rPr>
          <w:rFonts w:eastAsia="Calibri" w:cstheme="minorHAnsi"/>
          <w:kern w:val="0"/>
          <w14:ligatures w14:val="none"/>
        </w:rPr>
        <w:t xml:space="preserve"> </w:t>
      </w:r>
      <w:r w:rsidRPr="00A26C26">
        <w:rPr>
          <w:rFonts w:eastAsia="Calibri" w:cstheme="minorHAnsi"/>
          <w:kern w:val="0"/>
          <w14:ligatures w14:val="none"/>
        </w:rPr>
        <w:t>zostaną</w:t>
      </w:r>
      <w:r w:rsidR="003B50ED">
        <w:rPr>
          <w:rFonts w:eastAsia="Calibri" w:cstheme="minorHAnsi"/>
          <w:kern w:val="0"/>
          <w14:ligatures w14:val="none"/>
        </w:rPr>
        <w:t xml:space="preserve"> </w:t>
      </w:r>
      <w:r w:rsidRPr="00A26C26">
        <w:rPr>
          <w:rFonts w:eastAsia="Calibri" w:cstheme="minorHAnsi"/>
          <w:kern w:val="0"/>
          <w14:ligatures w14:val="none"/>
        </w:rPr>
        <w:t>następujące</w:t>
      </w:r>
      <w:r w:rsidR="003B50ED">
        <w:rPr>
          <w:rFonts w:eastAsia="Calibri" w:cstheme="minorHAnsi"/>
          <w:kern w:val="0"/>
          <w14:ligatures w14:val="none"/>
        </w:rPr>
        <w:t xml:space="preserve"> </w:t>
      </w:r>
      <w:r w:rsidRPr="00A26C26">
        <w:rPr>
          <w:rFonts w:eastAsia="Calibri" w:cstheme="minorHAnsi"/>
          <w:kern w:val="0"/>
          <w14:ligatures w14:val="none"/>
        </w:rPr>
        <w:t>metody</w:t>
      </w:r>
      <w:r w:rsidR="003B50ED">
        <w:rPr>
          <w:rFonts w:eastAsia="Calibri" w:cstheme="minorHAnsi"/>
          <w:kern w:val="0"/>
          <w14:ligatures w14:val="none"/>
        </w:rPr>
        <w:t xml:space="preserve"> </w:t>
      </w:r>
      <w:r w:rsidRPr="00A26C26">
        <w:rPr>
          <w:rFonts w:eastAsia="Calibri" w:cstheme="minorHAnsi"/>
          <w:kern w:val="0"/>
          <w14:ligatures w14:val="none"/>
        </w:rPr>
        <w:t>aktywizujące:</w:t>
      </w:r>
      <w:r w:rsidR="003B50ED">
        <w:rPr>
          <w:rFonts w:eastAsia="Calibri" w:cstheme="minorHAnsi"/>
          <w:kern w:val="0"/>
          <w14:ligatures w14:val="none"/>
        </w:rPr>
        <w:t xml:space="preserve"> </w:t>
      </w:r>
    </w:p>
    <w:p w14:paraId="6AA3CFAD" w14:textId="4CA65324" w:rsidR="00857736" w:rsidRPr="00717EE9" w:rsidRDefault="00857736" w:rsidP="00A26C26">
      <w:pPr>
        <w:spacing w:line="276" w:lineRule="auto"/>
        <w:jc w:val="both"/>
        <w:rPr>
          <w:rFonts w:eastAsia="Calibri" w:cstheme="minorHAnsi"/>
          <w:color w:val="FF0000"/>
          <w:kern w:val="0"/>
          <w14:ligatures w14:val="none"/>
        </w:rPr>
      </w:pPr>
      <w:r w:rsidRPr="00A26C26">
        <w:rPr>
          <w:rFonts w:eastAsia="Calibri" w:cstheme="minorHAnsi"/>
          <w:kern w:val="0"/>
          <w14:ligatures w14:val="none"/>
        </w:rPr>
        <w:t>-</w:t>
      </w:r>
      <w:r w:rsidR="003B50ED">
        <w:rPr>
          <w:rFonts w:eastAsia="Calibri" w:cstheme="minorHAnsi"/>
          <w:kern w:val="0"/>
          <w14:ligatures w14:val="none"/>
        </w:rPr>
        <w:t xml:space="preserve"> </w:t>
      </w:r>
      <w:r w:rsidRPr="00A26C26">
        <w:rPr>
          <w:rFonts w:eastAsia="Calibri" w:cstheme="minorHAnsi"/>
          <w:kern w:val="0"/>
          <w14:ligatures w14:val="none"/>
        </w:rPr>
        <w:t>operacje</w:t>
      </w:r>
      <w:r w:rsidR="003B50ED">
        <w:rPr>
          <w:rFonts w:eastAsia="Calibri" w:cstheme="minorHAnsi"/>
          <w:kern w:val="0"/>
          <w14:ligatures w14:val="none"/>
        </w:rPr>
        <w:t xml:space="preserve"> </w:t>
      </w:r>
      <w:r w:rsidRPr="00A26C26">
        <w:rPr>
          <w:rFonts w:eastAsia="Calibri" w:cstheme="minorHAnsi"/>
          <w:kern w:val="0"/>
          <w14:ligatures w14:val="none"/>
        </w:rPr>
        <w:t>klasyczne</w:t>
      </w:r>
      <w:r w:rsidR="003B50ED">
        <w:rPr>
          <w:rFonts w:eastAsia="Calibri" w:cstheme="minorHAnsi"/>
          <w:kern w:val="0"/>
          <w14:ligatures w14:val="none"/>
        </w:rPr>
        <w:t xml:space="preserve"> </w:t>
      </w:r>
      <w:r w:rsidRPr="00A26C26">
        <w:rPr>
          <w:rFonts w:eastAsia="Calibri" w:cstheme="minorHAnsi"/>
          <w:kern w:val="0"/>
          <w14:ligatures w14:val="none"/>
        </w:rPr>
        <w:t>–</w:t>
      </w:r>
      <w:r w:rsidR="003B50ED">
        <w:rPr>
          <w:rFonts w:eastAsia="Calibri" w:cstheme="minorHAnsi"/>
          <w:kern w:val="0"/>
          <w14:ligatures w14:val="none"/>
        </w:rPr>
        <w:t xml:space="preserve"> </w:t>
      </w:r>
      <w:r w:rsidRPr="00A26C26">
        <w:rPr>
          <w:rFonts w:eastAsia="Calibri" w:cstheme="minorHAnsi"/>
          <w:kern w:val="0"/>
          <w14:ligatures w14:val="none"/>
        </w:rPr>
        <w:t>EFRROW</w:t>
      </w:r>
      <w:r w:rsidR="00675D79" w:rsidRPr="00A26C26">
        <w:rPr>
          <w:rFonts w:eastAsia="Calibri" w:cstheme="minorHAnsi"/>
          <w:kern w:val="0"/>
          <w14:ligatures w14:val="none"/>
        </w:rPr>
        <w:t>,</w:t>
      </w:r>
      <w:r w:rsidR="003B50ED">
        <w:rPr>
          <w:rFonts w:eastAsia="Calibri" w:cstheme="minorHAnsi"/>
          <w:kern w:val="0"/>
          <w14:ligatures w14:val="none"/>
        </w:rPr>
        <w:t xml:space="preserve"> </w:t>
      </w:r>
      <w:r w:rsidR="00675D79" w:rsidRPr="00A26C26">
        <w:rPr>
          <w:rFonts w:eastAsia="Calibri" w:cstheme="minorHAnsi"/>
          <w:kern w:val="0"/>
          <w14:ligatures w14:val="none"/>
        </w:rPr>
        <w:t>EFRR</w:t>
      </w:r>
      <w:r w:rsidR="00717EE9">
        <w:rPr>
          <w:rFonts w:eastAsia="Calibri" w:cstheme="minorHAnsi"/>
          <w:kern w:val="0"/>
          <w14:ligatures w14:val="none"/>
        </w:rPr>
        <w:t xml:space="preserve">, </w:t>
      </w:r>
      <w:r w:rsidR="00717EE9" w:rsidRPr="00C17661">
        <w:rPr>
          <w:rFonts w:eastAsia="Calibri" w:cstheme="minorHAnsi"/>
          <w:kern w:val="0"/>
          <w14:ligatures w14:val="none"/>
        </w:rPr>
        <w:t>EFS+</w:t>
      </w:r>
    </w:p>
    <w:p w14:paraId="29631E2E" w14:textId="3F4AC998" w:rsidR="00857736" w:rsidRPr="00A26C26" w:rsidRDefault="00857736" w:rsidP="00A26C26">
      <w:pPr>
        <w:spacing w:line="276" w:lineRule="auto"/>
        <w:jc w:val="both"/>
        <w:rPr>
          <w:rFonts w:eastAsia="Calibri" w:cstheme="minorHAnsi"/>
          <w:kern w:val="0"/>
          <w14:ligatures w14:val="none"/>
        </w:rPr>
      </w:pPr>
      <w:r w:rsidRPr="00A26C26">
        <w:rPr>
          <w:rFonts w:eastAsia="Calibri" w:cstheme="minorHAnsi"/>
          <w:kern w:val="0"/>
          <w14:ligatures w14:val="none"/>
        </w:rPr>
        <w:t>-</w:t>
      </w:r>
      <w:r w:rsidR="003B50ED">
        <w:rPr>
          <w:rFonts w:eastAsia="Calibri" w:cstheme="minorHAnsi"/>
          <w:kern w:val="0"/>
          <w14:ligatures w14:val="none"/>
        </w:rPr>
        <w:t xml:space="preserve"> </w:t>
      </w:r>
      <w:r w:rsidRPr="00A26C26">
        <w:rPr>
          <w:rFonts w:eastAsia="Calibri" w:cstheme="minorHAnsi"/>
          <w:kern w:val="0"/>
          <w14:ligatures w14:val="none"/>
        </w:rPr>
        <w:t>projekty</w:t>
      </w:r>
      <w:r w:rsidR="003B50ED">
        <w:rPr>
          <w:rFonts w:eastAsia="Calibri" w:cstheme="minorHAnsi"/>
          <w:kern w:val="0"/>
          <w14:ligatures w14:val="none"/>
        </w:rPr>
        <w:t xml:space="preserve"> </w:t>
      </w:r>
      <w:r w:rsidRPr="00A26C26">
        <w:rPr>
          <w:rFonts w:eastAsia="Calibri" w:cstheme="minorHAnsi"/>
          <w:kern w:val="0"/>
          <w14:ligatures w14:val="none"/>
        </w:rPr>
        <w:t>grantowe</w:t>
      </w:r>
      <w:r w:rsidR="003B50ED">
        <w:rPr>
          <w:rFonts w:eastAsia="Calibri" w:cstheme="minorHAnsi"/>
          <w:kern w:val="0"/>
          <w14:ligatures w14:val="none"/>
        </w:rPr>
        <w:t xml:space="preserve"> </w:t>
      </w:r>
      <w:r w:rsidRPr="00A26C26">
        <w:rPr>
          <w:rFonts w:eastAsia="Calibri" w:cstheme="minorHAnsi"/>
          <w:kern w:val="0"/>
          <w14:ligatures w14:val="none"/>
        </w:rPr>
        <w:t>(tzw.</w:t>
      </w:r>
      <w:r w:rsidR="003B50ED">
        <w:rPr>
          <w:rFonts w:eastAsia="Calibri" w:cstheme="minorHAnsi"/>
          <w:kern w:val="0"/>
          <w14:ligatures w14:val="none"/>
        </w:rPr>
        <w:t xml:space="preserve"> </w:t>
      </w:r>
      <w:r w:rsidRPr="00A26C26">
        <w:rPr>
          <w:rFonts w:eastAsia="Calibri" w:cstheme="minorHAnsi"/>
          <w:kern w:val="0"/>
          <w14:ligatures w14:val="none"/>
        </w:rPr>
        <w:t>odwrócony</w:t>
      </w:r>
      <w:r w:rsidR="003B50ED">
        <w:rPr>
          <w:rFonts w:eastAsia="Calibri" w:cstheme="minorHAnsi"/>
          <w:kern w:val="0"/>
          <w14:ligatures w14:val="none"/>
        </w:rPr>
        <w:t xml:space="preserve"> </w:t>
      </w:r>
      <w:r w:rsidRPr="00A26C26">
        <w:rPr>
          <w:rFonts w:eastAsia="Calibri" w:cstheme="minorHAnsi"/>
          <w:kern w:val="0"/>
          <w14:ligatures w14:val="none"/>
        </w:rPr>
        <w:t>projekt</w:t>
      </w:r>
      <w:r w:rsidR="003B50ED">
        <w:rPr>
          <w:rFonts w:eastAsia="Calibri" w:cstheme="minorHAnsi"/>
          <w:kern w:val="0"/>
          <w14:ligatures w14:val="none"/>
        </w:rPr>
        <w:t xml:space="preserve"> </w:t>
      </w:r>
      <w:r w:rsidRPr="00A26C26">
        <w:rPr>
          <w:rFonts w:eastAsia="Calibri" w:cstheme="minorHAnsi"/>
          <w:kern w:val="0"/>
          <w14:ligatures w14:val="none"/>
        </w:rPr>
        <w:t>grantowy)</w:t>
      </w:r>
      <w:r w:rsidR="003B50ED">
        <w:rPr>
          <w:rFonts w:eastAsia="Calibri" w:cstheme="minorHAnsi"/>
          <w:kern w:val="0"/>
          <w14:ligatures w14:val="none"/>
        </w:rPr>
        <w:t xml:space="preserve"> </w:t>
      </w:r>
      <w:r w:rsidRPr="00A26C26">
        <w:rPr>
          <w:rFonts w:eastAsia="Calibri" w:cstheme="minorHAnsi"/>
          <w:kern w:val="0"/>
          <w14:ligatures w14:val="none"/>
        </w:rPr>
        <w:t>–</w:t>
      </w:r>
      <w:r w:rsidR="003B50ED">
        <w:rPr>
          <w:rFonts w:eastAsia="Calibri" w:cstheme="minorHAnsi"/>
          <w:kern w:val="0"/>
          <w14:ligatures w14:val="none"/>
        </w:rPr>
        <w:t xml:space="preserve"> </w:t>
      </w:r>
      <w:r w:rsidRPr="00A26C26">
        <w:rPr>
          <w:rFonts w:eastAsia="Calibri" w:cstheme="minorHAnsi"/>
          <w:kern w:val="0"/>
          <w14:ligatures w14:val="none"/>
        </w:rPr>
        <w:t>EFRROW</w:t>
      </w:r>
      <w:r w:rsidR="003B50ED">
        <w:rPr>
          <w:rFonts w:eastAsia="Calibri" w:cstheme="minorHAnsi"/>
          <w:kern w:val="0"/>
          <w14:ligatures w14:val="none"/>
        </w:rPr>
        <w:t xml:space="preserve"> </w:t>
      </w:r>
    </w:p>
    <w:p w14:paraId="5A8987A0" w14:textId="784FFB43" w:rsidR="00857736" w:rsidRPr="00A26C26" w:rsidRDefault="00857736" w:rsidP="00A26C26">
      <w:pPr>
        <w:spacing w:line="276" w:lineRule="auto"/>
        <w:jc w:val="both"/>
        <w:rPr>
          <w:rFonts w:eastAsia="Calibri" w:cstheme="minorHAnsi"/>
          <w:kern w:val="0"/>
          <w14:ligatures w14:val="none"/>
        </w:rPr>
      </w:pPr>
      <w:r w:rsidRPr="00A26C26">
        <w:rPr>
          <w:rFonts w:eastAsia="Calibri" w:cstheme="minorHAnsi"/>
          <w:kern w:val="0"/>
          <w14:ligatures w14:val="none"/>
        </w:rPr>
        <w:t>-</w:t>
      </w:r>
      <w:r w:rsidR="003B50ED">
        <w:rPr>
          <w:rFonts w:eastAsia="Calibri" w:cstheme="minorHAnsi"/>
          <w:kern w:val="0"/>
          <w14:ligatures w14:val="none"/>
        </w:rPr>
        <w:t xml:space="preserve"> </w:t>
      </w:r>
      <w:r w:rsidRPr="00A26C26">
        <w:rPr>
          <w:rFonts w:eastAsia="Calibri" w:cstheme="minorHAnsi"/>
          <w:kern w:val="0"/>
          <w14:ligatures w14:val="none"/>
        </w:rPr>
        <w:t>operacje</w:t>
      </w:r>
      <w:r w:rsidR="003B50ED">
        <w:rPr>
          <w:rFonts w:eastAsia="Calibri" w:cstheme="minorHAnsi"/>
          <w:kern w:val="0"/>
          <w14:ligatures w14:val="none"/>
        </w:rPr>
        <w:t xml:space="preserve"> </w:t>
      </w:r>
      <w:r w:rsidRPr="00A26C26">
        <w:rPr>
          <w:rFonts w:eastAsia="Calibri" w:cstheme="minorHAnsi"/>
          <w:kern w:val="0"/>
          <w14:ligatures w14:val="none"/>
        </w:rPr>
        <w:t>własne,</w:t>
      </w:r>
      <w:r w:rsidR="003B50ED">
        <w:rPr>
          <w:rFonts w:eastAsia="Calibri" w:cstheme="minorHAnsi"/>
          <w:kern w:val="0"/>
          <w14:ligatures w14:val="none"/>
        </w:rPr>
        <w:t xml:space="preserve"> </w:t>
      </w:r>
      <w:r w:rsidRPr="00A26C26">
        <w:rPr>
          <w:rFonts w:eastAsia="Calibri" w:cstheme="minorHAnsi"/>
          <w:kern w:val="0"/>
          <w14:ligatures w14:val="none"/>
        </w:rPr>
        <w:t>jeśli</w:t>
      </w:r>
      <w:r w:rsidR="003B50ED">
        <w:rPr>
          <w:rFonts w:eastAsia="Calibri" w:cstheme="minorHAnsi"/>
          <w:kern w:val="0"/>
          <w14:ligatures w14:val="none"/>
        </w:rPr>
        <w:t xml:space="preserve"> </w:t>
      </w:r>
      <w:r w:rsidRPr="00A26C26">
        <w:rPr>
          <w:rFonts w:eastAsia="Calibri" w:cstheme="minorHAnsi"/>
          <w:kern w:val="0"/>
          <w14:ligatures w14:val="none"/>
        </w:rPr>
        <w:t>nie</w:t>
      </w:r>
      <w:r w:rsidR="003B50ED">
        <w:rPr>
          <w:rFonts w:eastAsia="Calibri" w:cstheme="minorHAnsi"/>
          <w:kern w:val="0"/>
          <w14:ligatures w14:val="none"/>
        </w:rPr>
        <w:t xml:space="preserve"> </w:t>
      </w:r>
      <w:r w:rsidRPr="00A26C26">
        <w:rPr>
          <w:rFonts w:eastAsia="Calibri" w:cstheme="minorHAnsi"/>
          <w:kern w:val="0"/>
          <w14:ligatures w14:val="none"/>
        </w:rPr>
        <w:t>będzie</w:t>
      </w:r>
      <w:r w:rsidR="003B50ED">
        <w:rPr>
          <w:rFonts w:eastAsia="Calibri" w:cstheme="minorHAnsi"/>
          <w:kern w:val="0"/>
          <w14:ligatures w14:val="none"/>
        </w:rPr>
        <w:t xml:space="preserve"> </w:t>
      </w:r>
      <w:r w:rsidRPr="00A26C26">
        <w:rPr>
          <w:rFonts w:eastAsia="Calibri" w:cstheme="minorHAnsi"/>
          <w:kern w:val="0"/>
          <w14:ligatures w14:val="none"/>
        </w:rPr>
        <w:t>możliwości</w:t>
      </w:r>
      <w:r w:rsidR="003B50ED">
        <w:rPr>
          <w:rFonts w:eastAsia="Calibri" w:cstheme="minorHAnsi"/>
          <w:kern w:val="0"/>
          <w14:ligatures w14:val="none"/>
        </w:rPr>
        <w:t xml:space="preserve"> </w:t>
      </w:r>
      <w:r w:rsidRPr="00A26C26">
        <w:rPr>
          <w:rFonts w:eastAsia="Calibri" w:cstheme="minorHAnsi"/>
          <w:kern w:val="0"/>
          <w14:ligatures w14:val="none"/>
        </w:rPr>
        <w:t>osiągnięcia</w:t>
      </w:r>
      <w:r w:rsidR="003B50ED">
        <w:rPr>
          <w:rFonts w:eastAsia="Calibri" w:cstheme="minorHAnsi"/>
          <w:kern w:val="0"/>
          <w14:ligatures w14:val="none"/>
        </w:rPr>
        <w:t xml:space="preserve"> </w:t>
      </w:r>
      <w:r w:rsidRPr="00A26C26">
        <w:rPr>
          <w:rFonts w:eastAsia="Calibri" w:cstheme="minorHAnsi"/>
          <w:kern w:val="0"/>
          <w14:ligatures w14:val="none"/>
        </w:rPr>
        <w:t>określonych</w:t>
      </w:r>
      <w:r w:rsidR="003B50ED">
        <w:rPr>
          <w:rFonts w:eastAsia="Calibri" w:cstheme="minorHAnsi"/>
          <w:kern w:val="0"/>
          <w14:ligatures w14:val="none"/>
        </w:rPr>
        <w:t xml:space="preserve"> </w:t>
      </w:r>
      <w:r w:rsidRPr="00A26C26">
        <w:rPr>
          <w:rFonts w:eastAsia="Calibri" w:cstheme="minorHAnsi"/>
          <w:kern w:val="0"/>
          <w14:ligatures w14:val="none"/>
        </w:rPr>
        <w:t>celów</w:t>
      </w:r>
      <w:r w:rsidR="003B50ED">
        <w:rPr>
          <w:rFonts w:eastAsia="Calibri" w:cstheme="minorHAnsi"/>
          <w:kern w:val="0"/>
          <w14:ligatures w14:val="none"/>
        </w:rPr>
        <w:t xml:space="preserve"> </w:t>
      </w:r>
      <w:r w:rsidRPr="00A26C26">
        <w:rPr>
          <w:rFonts w:eastAsia="Calibri" w:cstheme="minorHAnsi"/>
          <w:kern w:val="0"/>
          <w14:ligatures w14:val="none"/>
        </w:rPr>
        <w:t>czy</w:t>
      </w:r>
      <w:r w:rsidR="003B50ED">
        <w:rPr>
          <w:rFonts w:eastAsia="Calibri" w:cstheme="minorHAnsi"/>
          <w:kern w:val="0"/>
          <w14:ligatures w14:val="none"/>
        </w:rPr>
        <w:t xml:space="preserve"> </w:t>
      </w:r>
      <w:r w:rsidRPr="00A26C26">
        <w:rPr>
          <w:rFonts w:eastAsia="Calibri" w:cstheme="minorHAnsi"/>
          <w:kern w:val="0"/>
          <w14:ligatures w14:val="none"/>
        </w:rPr>
        <w:t>wskaźników</w:t>
      </w:r>
      <w:r w:rsidR="003B50ED">
        <w:rPr>
          <w:rFonts w:eastAsia="Calibri" w:cstheme="minorHAnsi"/>
          <w:kern w:val="0"/>
          <w14:ligatures w14:val="none"/>
        </w:rPr>
        <w:t xml:space="preserve"> </w:t>
      </w:r>
      <w:r w:rsidRPr="00A26C26">
        <w:rPr>
          <w:rFonts w:eastAsia="Calibri" w:cstheme="minorHAnsi"/>
          <w:kern w:val="0"/>
          <w14:ligatures w14:val="none"/>
        </w:rPr>
        <w:t>–</w:t>
      </w:r>
      <w:r w:rsidR="003B50ED">
        <w:rPr>
          <w:rFonts w:eastAsia="Calibri" w:cstheme="minorHAnsi"/>
          <w:kern w:val="0"/>
          <w14:ligatures w14:val="none"/>
        </w:rPr>
        <w:t xml:space="preserve"> </w:t>
      </w:r>
      <w:r w:rsidRPr="00A26C26">
        <w:rPr>
          <w:rFonts w:eastAsia="Calibri" w:cstheme="minorHAnsi"/>
          <w:kern w:val="0"/>
          <w14:ligatures w14:val="none"/>
        </w:rPr>
        <w:t>EFRROW</w:t>
      </w:r>
    </w:p>
    <w:p w14:paraId="6924F8D0" w14:textId="7285940E" w:rsidR="00857736" w:rsidRPr="00A26C26" w:rsidRDefault="00857736" w:rsidP="00A26C26">
      <w:pPr>
        <w:spacing w:line="276" w:lineRule="auto"/>
        <w:jc w:val="both"/>
        <w:rPr>
          <w:rFonts w:eastAsia="Calibri" w:cstheme="minorHAnsi"/>
          <w:kern w:val="0"/>
          <w14:ligatures w14:val="none"/>
        </w:rPr>
      </w:pPr>
      <w:r w:rsidRPr="00A26C26">
        <w:rPr>
          <w:rFonts w:eastAsia="Calibri" w:cstheme="minorHAnsi"/>
          <w:kern w:val="0"/>
          <w14:ligatures w14:val="none"/>
        </w:rPr>
        <w:t>-</w:t>
      </w:r>
      <w:r w:rsidR="003B50ED">
        <w:rPr>
          <w:rFonts w:eastAsia="Calibri" w:cstheme="minorHAnsi"/>
          <w:kern w:val="0"/>
          <w14:ligatures w14:val="none"/>
        </w:rPr>
        <w:t xml:space="preserve"> </w:t>
      </w:r>
      <w:r w:rsidRPr="00A26C26">
        <w:rPr>
          <w:rFonts w:eastAsia="Calibri" w:cstheme="minorHAnsi"/>
          <w:kern w:val="0"/>
          <w14:ligatures w14:val="none"/>
        </w:rPr>
        <w:t>projekt</w:t>
      </w:r>
      <w:r w:rsidR="003B50ED">
        <w:rPr>
          <w:rFonts w:eastAsia="Calibri" w:cstheme="minorHAnsi"/>
          <w:kern w:val="0"/>
          <w14:ligatures w14:val="none"/>
        </w:rPr>
        <w:t xml:space="preserve"> </w:t>
      </w:r>
      <w:r w:rsidRPr="00A26C26">
        <w:rPr>
          <w:rFonts w:eastAsia="Calibri" w:cstheme="minorHAnsi"/>
          <w:kern w:val="0"/>
          <w14:ligatures w14:val="none"/>
        </w:rPr>
        <w:t>granatowy</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przygotowanie</w:t>
      </w:r>
      <w:r w:rsidR="003B50ED">
        <w:rPr>
          <w:rFonts w:eastAsia="Calibri" w:cstheme="minorHAnsi"/>
          <w:kern w:val="0"/>
          <w14:ligatures w14:val="none"/>
        </w:rPr>
        <w:t xml:space="preserve"> </w:t>
      </w:r>
      <w:r w:rsidRPr="00A26C26">
        <w:rPr>
          <w:rFonts w:eastAsia="Calibri" w:cstheme="minorHAnsi"/>
          <w:kern w:val="0"/>
          <w14:ligatures w14:val="none"/>
        </w:rPr>
        <w:t>koncepcji</w:t>
      </w:r>
      <w:r w:rsidR="003B50ED">
        <w:rPr>
          <w:rFonts w:eastAsia="Calibri" w:cstheme="minorHAnsi"/>
          <w:kern w:val="0"/>
          <w14:ligatures w14:val="none"/>
        </w:rPr>
        <w:t xml:space="preserve"> </w:t>
      </w:r>
      <w:r w:rsidRPr="00A26C26">
        <w:rPr>
          <w:rFonts w:eastAsia="Calibri" w:cstheme="minorHAnsi"/>
          <w:kern w:val="0"/>
          <w14:ligatures w14:val="none"/>
        </w:rPr>
        <w:t>Smart</w:t>
      </w:r>
      <w:r w:rsidR="003B50ED">
        <w:rPr>
          <w:rFonts w:eastAsia="Calibri" w:cstheme="minorHAnsi"/>
          <w:kern w:val="0"/>
          <w14:ligatures w14:val="none"/>
        </w:rPr>
        <w:t xml:space="preserve"> </w:t>
      </w:r>
      <w:proofErr w:type="spellStart"/>
      <w:r w:rsidRPr="00A26C26">
        <w:rPr>
          <w:rFonts w:eastAsia="Calibri" w:cstheme="minorHAnsi"/>
          <w:kern w:val="0"/>
          <w14:ligatures w14:val="none"/>
        </w:rPr>
        <w:t>Village</w:t>
      </w:r>
      <w:proofErr w:type="spellEnd"/>
      <w:r w:rsidR="003B50ED">
        <w:rPr>
          <w:rFonts w:eastAsia="Calibri" w:cstheme="minorHAnsi"/>
          <w:kern w:val="0"/>
          <w14:ligatures w14:val="none"/>
        </w:rPr>
        <w:t xml:space="preserve"> </w:t>
      </w:r>
      <w:r w:rsidRPr="00A26C26">
        <w:rPr>
          <w:rFonts w:eastAsia="Calibri" w:cstheme="minorHAnsi"/>
          <w:kern w:val="0"/>
          <w14:ligatures w14:val="none"/>
        </w:rPr>
        <w:t>–</w:t>
      </w:r>
      <w:r w:rsidR="003B50ED">
        <w:rPr>
          <w:rFonts w:eastAsia="Calibri" w:cstheme="minorHAnsi"/>
          <w:kern w:val="0"/>
          <w14:ligatures w14:val="none"/>
        </w:rPr>
        <w:t xml:space="preserve"> </w:t>
      </w:r>
      <w:r w:rsidRPr="00A26C26">
        <w:rPr>
          <w:rFonts w:eastAsia="Calibri" w:cstheme="minorHAnsi"/>
          <w:kern w:val="0"/>
          <w14:ligatures w14:val="none"/>
        </w:rPr>
        <w:t>EFRROW</w:t>
      </w:r>
    </w:p>
    <w:p w14:paraId="21F7B89E" w14:textId="212853AD" w:rsidR="00F56136" w:rsidRPr="00A26C26" w:rsidRDefault="00F56136" w:rsidP="00A26C26">
      <w:pPr>
        <w:spacing w:line="276" w:lineRule="auto"/>
        <w:ind w:firstLine="284"/>
        <w:jc w:val="both"/>
        <w:rPr>
          <w:rFonts w:eastAsia="Calibri" w:cstheme="minorHAnsi"/>
          <w:kern w:val="0"/>
          <w:lang w:eastAsia="pl-PL"/>
          <w14:ligatures w14:val="none"/>
        </w:rPr>
      </w:pPr>
      <w:r w:rsidRPr="00A26C26">
        <w:rPr>
          <w:rFonts w:eastAsia="Calibri" w:cstheme="minorHAnsi"/>
          <w:kern w:val="0"/>
          <w:lang w:eastAsia="pl-PL"/>
          <w14:ligatures w14:val="none"/>
        </w:rPr>
        <w:t>Taki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dobór</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metod</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jest</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uzasadniony</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doświadczeniami</w:t>
      </w:r>
      <w:r w:rsidR="003B50ED">
        <w:rPr>
          <w:rFonts w:eastAsia="Calibri" w:cstheme="minorHAnsi"/>
          <w:kern w:val="0"/>
          <w:lang w:eastAsia="pl-PL"/>
          <w14:ligatures w14:val="none"/>
        </w:rPr>
        <w:t xml:space="preserve"> </w:t>
      </w:r>
      <w:r w:rsidR="006568AD">
        <w:rPr>
          <w:rFonts w:cstheme="minorHAnsi"/>
        </w:rPr>
        <w:t xml:space="preserve">Stowarzyszenia </w:t>
      </w:r>
      <w:r w:rsidR="006568AD" w:rsidRPr="00A26C26">
        <w:rPr>
          <w:rFonts w:cstheme="minorHAnsi"/>
        </w:rPr>
        <w:t>„Solidarni</w:t>
      </w:r>
      <w:r w:rsidR="006568AD">
        <w:rPr>
          <w:rFonts w:cstheme="minorHAnsi"/>
        </w:rPr>
        <w:t xml:space="preserve"> </w:t>
      </w:r>
      <w:r w:rsidR="006568AD" w:rsidRPr="00A26C26">
        <w:rPr>
          <w:rFonts w:cstheme="minorHAnsi"/>
        </w:rPr>
        <w:t>w</w:t>
      </w:r>
      <w:r w:rsidR="006568AD">
        <w:rPr>
          <w:rFonts w:cstheme="minorHAnsi"/>
        </w:rPr>
        <w:t xml:space="preserve"> </w:t>
      </w:r>
      <w:r w:rsidR="006568AD" w:rsidRPr="00A26C26">
        <w:rPr>
          <w:rFonts w:cstheme="minorHAnsi"/>
        </w:rPr>
        <w:t>Partnerstwie”</w:t>
      </w:r>
      <w:r w:rsidR="006568AD">
        <w:rPr>
          <w:rFonts w:cstheme="minorHAnsi"/>
        </w:rPr>
        <w:t xml:space="preserve"> </w:t>
      </w:r>
      <w:r w:rsidRPr="00A26C26">
        <w:rPr>
          <w:rFonts w:eastAsia="Calibri" w:cstheme="minorHAnsi"/>
          <w:kern w:val="0"/>
          <w:lang w:eastAsia="pl-PL"/>
          <w14:ligatures w14:val="none"/>
        </w:rPr>
        <w:t>z</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poprzednich</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okresów</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programowania,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szczególności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2014-2020,</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gdzie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po</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raz</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pierwszy</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na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tak</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dużą</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skalę</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wnioskodawcami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były</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organizacje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pozarządowe,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oraz</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pozytywnymi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efektami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wdrażania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LSR,</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co</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potwierdzają</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wyniki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ewaluacji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ex-post.</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Ponadto,</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odpowiada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on</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na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potrzeby</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zgłaszane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przez</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lokalną</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społeczność</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oraz</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odzwierciedla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formy</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wsparcia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przewidziane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ramach</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PS</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dla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WPR</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na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lata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2023-2027.</w:t>
      </w:r>
    </w:p>
    <w:p w14:paraId="3772544C" w14:textId="190C539C" w:rsidR="00F56136" w:rsidRPr="00A26C26" w:rsidRDefault="00F56136" w:rsidP="00A26C26">
      <w:pPr>
        <w:spacing w:line="276" w:lineRule="auto"/>
        <w:ind w:firstLine="284"/>
        <w:jc w:val="both"/>
        <w:rPr>
          <w:rFonts w:eastAsia="Calibri" w:cstheme="minorHAnsi"/>
          <w:kern w:val="0"/>
          <w:lang w:eastAsia="pl-PL"/>
          <w14:ligatures w14:val="none"/>
        </w:rPr>
      </w:pPr>
      <w:r w:rsidRPr="00A26C26">
        <w:rPr>
          <w:rFonts w:eastAsia="Calibri" w:cstheme="minorHAnsi"/>
          <w:kern w:val="0"/>
          <w:lang w:eastAsia="pl-PL"/>
          <w14:ligatures w14:val="none"/>
        </w:rPr>
        <w:t>Z</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kolei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operacja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własna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dedykowana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jest</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LGD,</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momencie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kiedy</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odpowiedzi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na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ogłoszenie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o</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naborze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wniosków</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nie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zgłosi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się</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żaden</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podmiot</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zachodzi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ryzyko</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nie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osiągnięcia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wskaźników.</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Należy</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podkreślić,</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iż</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operacja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własna,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mimo</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że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beneficjentem</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jest</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LGD</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podlega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procedurom</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oceny</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wyboru</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na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równych</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zasadach</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jak</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br/>
        <w:t>w</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przypadku</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pozostałych</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beneficjentów.</w:t>
      </w:r>
      <w:r w:rsidR="003B50ED">
        <w:rPr>
          <w:rFonts w:eastAsia="Calibri" w:cstheme="minorHAnsi"/>
          <w:kern w:val="0"/>
          <w:lang w:eastAsia="pl-PL"/>
          <w14:ligatures w14:val="none"/>
        </w:rPr>
        <w:t xml:space="preserve"> </w:t>
      </w:r>
    </w:p>
    <w:p w14:paraId="3818CBB7" w14:textId="4CA1025D" w:rsidR="00F56136" w:rsidRPr="00A26C26" w:rsidRDefault="00F56136" w:rsidP="00A26C26">
      <w:pPr>
        <w:spacing w:line="276" w:lineRule="auto"/>
        <w:ind w:firstLine="284"/>
        <w:jc w:val="both"/>
        <w:rPr>
          <w:rFonts w:eastAsia="Calibri" w:cstheme="minorHAnsi"/>
          <w:kern w:val="0"/>
          <w:lang w:eastAsia="pl-PL"/>
          <w14:ligatures w14:val="none"/>
        </w:rPr>
      </w:pPr>
      <w:r w:rsidRPr="00A26C26">
        <w:rPr>
          <w:rFonts w:eastAsia="Calibri" w:cstheme="minorHAnsi"/>
          <w:kern w:val="0"/>
          <w:lang w:eastAsia="pl-PL"/>
          <w14:ligatures w14:val="none"/>
        </w:rPr>
        <w:t>Mając</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na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uwadze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opisaną</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wyżej</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ścisłą</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komplementarność</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zaplanowanych</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ramach</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LSR</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przedsięwzięć,</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planuje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się</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realizację</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wielozakresowych</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naborów,</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które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wzajemnie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się</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uzupełniając</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jeszcze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większym</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stopniu</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przyczynią</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się</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do</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osiągnięcia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nadrzędnego</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celu</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LSR,</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który</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można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sformułować</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jako</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poprawę</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jakości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życia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na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obszarze</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LSR</w:t>
      </w:r>
      <w:r w:rsidR="004002F3">
        <w:rPr>
          <w:rFonts w:eastAsia="Calibri" w:cstheme="minorHAnsi"/>
          <w:kern w:val="0"/>
          <w:lang w:eastAsia="pl-PL"/>
          <w14:ligatures w14:val="none"/>
        </w:rPr>
        <w:t>.</w:t>
      </w:r>
    </w:p>
    <w:p w14:paraId="2A4BF8BC" w14:textId="469FCC2F" w:rsidR="00F56136" w:rsidRPr="00A26C26" w:rsidRDefault="00F56136" w:rsidP="00A26C26">
      <w:pPr>
        <w:spacing w:line="276" w:lineRule="auto"/>
        <w:jc w:val="both"/>
        <w:rPr>
          <w:rFonts w:eastAsia="Calibri" w:cstheme="minorHAnsi"/>
          <w:kern w:val="0"/>
          <w:lang w:eastAsia="pl-PL"/>
          <w14:ligatures w14:val="none"/>
        </w:rPr>
      </w:pPr>
      <w:r w:rsidRPr="00A26C26">
        <w:rPr>
          <w:rFonts w:eastAsia="Calibri" w:cstheme="minorHAnsi"/>
          <w:kern w:val="0"/>
          <w:lang w:eastAsia="pl-PL"/>
          <w14:ligatures w14:val="none"/>
        </w:rPr>
        <w:t>Ponadto,</w:t>
      </w:r>
      <w:r w:rsidR="003B50ED">
        <w:rPr>
          <w:rFonts w:eastAsia="Calibri" w:cstheme="minorHAnsi"/>
          <w:kern w:val="0"/>
          <w:lang w:eastAsia="pl-PL"/>
          <w14:ligatures w14:val="none"/>
        </w:rPr>
        <w:t xml:space="preserve"> </w:t>
      </w:r>
      <w:r w:rsidR="006568AD">
        <w:rPr>
          <w:rFonts w:cstheme="minorHAnsi"/>
        </w:rPr>
        <w:t xml:space="preserve">Stowarzyszenie </w:t>
      </w:r>
      <w:r w:rsidR="006568AD" w:rsidRPr="00A26C26">
        <w:rPr>
          <w:rFonts w:cstheme="minorHAnsi"/>
        </w:rPr>
        <w:t>„Solidarni</w:t>
      </w:r>
      <w:r w:rsidR="006568AD">
        <w:rPr>
          <w:rFonts w:cstheme="minorHAnsi"/>
        </w:rPr>
        <w:t xml:space="preserve"> </w:t>
      </w:r>
      <w:r w:rsidR="006568AD" w:rsidRPr="00A26C26">
        <w:rPr>
          <w:rFonts w:cstheme="minorHAnsi"/>
        </w:rPr>
        <w:t>w</w:t>
      </w:r>
      <w:r w:rsidR="006568AD">
        <w:rPr>
          <w:rFonts w:cstheme="minorHAnsi"/>
        </w:rPr>
        <w:t xml:space="preserve"> </w:t>
      </w:r>
      <w:r w:rsidR="006568AD" w:rsidRPr="00A26C26">
        <w:rPr>
          <w:rFonts w:cstheme="minorHAnsi"/>
        </w:rPr>
        <w:t>Partnerstwie”</w:t>
      </w:r>
      <w:r w:rsidR="006568AD">
        <w:rPr>
          <w:rFonts w:cstheme="minorHAnsi"/>
        </w:rPr>
        <w:t xml:space="preserve"> </w:t>
      </w:r>
      <w:r w:rsidRPr="00A26C26">
        <w:rPr>
          <w:rFonts w:eastAsia="Calibri" w:cstheme="minorHAnsi"/>
          <w:kern w:val="0"/>
          <w:lang w:eastAsia="pl-PL"/>
          <w14:ligatures w14:val="none"/>
        </w:rPr>
        <w:t>dla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wzmocnienia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osiągniętych</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efektów,</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LGD</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wzorem</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lat</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ubiegłych</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zamierza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realizować</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szereg</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dodatkowych</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działań</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zarówno</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z</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zakresu</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integracji,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włączenia</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społecznego</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oraz</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promocji</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innowacyjnych</w:t>
      </w:r>
      <w:r w:rsidR="003B50ED">
        <w:rPr>
          <w:rFonts w:eastAsia="Calibri" w:cstheme="minorHAnsi"/>
          <w:kern w:val="0"/>
          <w:lang w:eastAsia="pl-PL"/>
          <w14:ligatures w14:val="none"/>
        </w:rPr>
        <w:t xml:space="preserve"> </w:t>
      </w:r>
      <w:r w:rsidRPr="00A26C26">
        <w:rPr>
          <w:rFonts w:eastAsia="Calibri" w:cstheme="minorHAnsi"/>
          <w:kern w:val="0"/>
          <w:lang w:eastAsia="pl-PL"/>
          <w14:ligatures w14:val="none"/>
        </w:rPr>
        <w:t>operacji.</w:t>
      </w:r>
      <w:r w:rsidR="003B50ED">
        <w:rPr>
          <w:rFonts w:eastAsia="Calibri" w:cstheme="minorHAnsi"/>
          <w:kern w:val="0"/>
          <w:lang w:eastAsia="pl-PL"/>
          <w14:ligatures w14:val="none"/>
        </w:rPr>
        <w:t xml:space="preserve"> </w:t>
      </w:r>
    </w:p>
    <w:p w14:paraId="2A33D137" w14:textId="77777777" w:rsidR="00857736" w:rsidRPr="00A26C26" w:rsidRDefault="00857736" w:rsidP="00A26C26">
      <w:pPr>
        <w:spacing w:line="276" w:lineRule="auto"/>
        <w:ind w:firstLine="284"/>
        <w:jc w:val="both"/>
        <w:rPr>
          <w:rFonts w:eastAsia="Calibri" w:cstheme="minorHAnsi"/>
          <w:kern w:val="0"/>
          <w14:ligatures w14:val="none"/>
        </w:rPr>
      </w:pPr>
    </w:p>
    <w:p w14:paraId="7C02A922" w14:textId="34077D5D" w:rsidR="00857736" w:rsidRDefault="00857736" w:rsidP="00203429">
      <w:pPr>
        <w:spacing w:line="276" w:lineRule="auto"/>
        <w:ind w:firstLine="284"/>
        <w:jc w:val="both"/>
        <w:rPr>
          <w:rFonts w:eastAsia="Calibri" w:cstheme="minorHAnsi"/>
          <w:kern w:val="0"/>
          <w14:ligatures w14:val="none"/>
        </w:rPr>
      </w:pPr>
      <w:r w:rsidRPr="00F16251">
        <w:rPr>
          <w:rFonts w:eastAsia="Calibri" w:cstheme="minorHAnsi"/>
          <w:kern w:val="0"/>
          <w:lang w:eastAsia="pl-PL"/>
          <w14:ligatures w14:val="none"/>
        </w:rPr>
        <w:lastRenderedPageBreak/>
        <w:t>LSR</w:t>
      </w:r>
      <w:r w:rsidR="003B50ED" w:rsidRPr="00F16251">
        <w:rPr>
          <w:rFonts w:eastAsia="Calibri" w:cstheme="minorHAnsi"/>
          <w:kern w:val="0"/>
          <w14:ligatures w14:val="none"/>
        </w:rPr>
        <w:t xml:space="preserve"> </w:t>
      </w:r>
      <w:r w:rsidRPr="00F16251">
        <w:rPr>
          <w:rFonts w:eastAsia="Calibri" w:cstheme="minorHAnsi"/>
          <w:kern w:val="0"/>
          <w14:ligatures w14:val="none"/>
        </w:rPr>
        <w:t>finansowana</w:t>
      </w:r>
      <w:r w:rsidR="003B50ED" w:rsidRPr="00F16251">
        <w:rPr>
          <w:rFonts w:eastAsia="Calibri" w:cstheme="minorHAnsi"/>
          <w:kern w:val="0"/>
          <w14:ligatures w14:val="none"/>
        </w:rPr>
        <w:t xml:space="preserve"> </w:t>
      </w:r>
      <w:r w:rsidR="003339ED" w:rsidRPr="00F16251">
        <w:rPr>
          <w:rFonts w:eastAsia="Calibri" w:cstheme="minorHAnsi"/>
          <w:kern w:val="0"/>
          <w14:ligatures w14:val="none"/>
        </w:rPr>
        <w:t xml:space="preserve">będzie </w:t>
      </w:r>
      <w:r w:rsidRPr="00F16251">
        <w:rPr>
          <w:rFonts w:eastAsia="Calibri" w:cstheme="minorHAnsi"/>
          <w:kern w:val="0"/>
          <w14:ligatures w14:val="none"/>
        </w:rPr>
        <w:t>zarówno</w:t>
      </w:r>
      <w:r w:rsidR="003B50ED" w:rsidRPr="00F16251">
        <w:rPr>
          <w:rFonts w:eastAsia="Calibri" w:cstheme="minorHAnsi"/>
          <w:kern w:val="0"/>
          <w14:ligatures w14:val="none"/>
        </w:rPr>
        <w:t xml:space="preserve"> </w:t>
      </w:r>
      <w:r w:rsidRPr="00F16251">
        <w:rPr>
          <w:rFonts w:eastAsia="Calibri" w:cstheme="minorHAnsi"/>
          <w:kern w:val="0"/>
          <w14:ligatures w14:val="none"/>
        </w:rPr>
        <w:t>z</w:t>
      </w:r>
      <w:r w:rsidR="003B50ED" w:rsidRPr="00F16251">
        <w:rPr>
          <w:rFonts w:eastAsia="Calibri" w:cstheme="minorHAnsi"/>
          <w:kern w:val="0"/>
          <w14:ligatures w14:val="none"/>
        </w:rPr>
        <w:t xml:space="preserve"> </w:t>
      </w:r>
      <w:r w:rsidRPr="00F16251">
        <w:rPr>
          <w:rFonts w:eastAsia="Calibri" w:cstheme="minorHAnsi"/>
          <w:kern w:val="0"/>
          <w14:ligatures w14:val="none"/>
        </w:rPr>
        <w:t>budżetu</w:t>
      </w:r>
      <w:r w:rsidR="003B50ED" w:rsidRPr="00F16251">
        <w:rPr>
          <w:rFonts w:eastAsia="Calibri" w:cstheme="minorHAnsi"/>
          <w:kern w:val="0"/>
          <w14:ligatures w14:val="none"/>
        </w:rPr>
        <w:t xml:space="preserve"> </w:t>
      </w:r>
      <w:r w:rsidRPr="00F16251">
        <w:rPr>
          <w:rFonts w:eastAsia="Calibri" w:cstheme="minorHAnsi"/>
          <w:kern w:val="0"/>
          <w14:ligatures w14:val="none"/>
        </w:rPr>
        <w:t>PS</w:t>
      </w:r>
      <w:r w:rsidR="003B50ED" w:rsidRPr="00F16251">
        <w:rPr>
          <w:rFonts w:eastAsia="Calibri" w:cstheme="minorHAnsi"/>
          <w:kern w:val="0"/>
          <w14:ligatures w14:val="none"/>
        </w:rPr>
        <w:t xml:space="preserve"> </w:t>
      </w:r>
      <w:r w:rsidRPr="00F16251">
        <w:rPr>
          <w:rFonts w:eastAsia="Calibri" w:cstheme="minorHAnsi"/>
          <w:kern w:val="0"/>
          <w14:ligatures w14:val="none"/>
        </w:rPr>
        <w:t>dla</w:t>
      </w:r>
      <w:r w:rsidR="003B50ED" w:rsidRPr="00F16251">
        <w:rPr>
          <w:rFonts w:eastAsia="Calibri" w:cstheme="minorHAnsi"/>
          <w:kern w:val="0"/>
          <w14:ligatures w14:val="none"/>
        </w:rPr>
        <w:t xml:space="preserve"> </w:t>
      </w:r>
      <w:r w:rsidRPr="00F16251">
        <w:rPr>
          <w:rFonts w:eastAsia="Calibri" w:cstheme="minorHAnsi"/>
          <w:kern w:val="0"/>
          <w14:ligatures w14:val="none"/>
        </w:rPr>
        <w:t>WPR</w:t>
      </w:r>
      <w:r w:rsidR="003B50ED" w:rsidRPr="00F16251">
        <w:rPr>
          <w:rFonts w:eastAsia="Calibri" w:cstheme="minorHAnsi"/>
          <w:kern w:val="0"/>
          <w14:ligatures w14:val="none"/>
        </w:rPr>
        <w:t xml:space="preserve"> </w:t>
      </w:r>
      <w:r w:rsidRPr="00F16251">
        <w:rPr>
          <w:rFonts w:eastAsia="Calibri" w:cstheme="minorHAnsi"/>
          <w:kern w:val="0"/>
          <w14:ligatures w14:val="none"/>
        </w:rPr>
        <w:t>na</w:t>
      </w:r>
      <w:r w:rsidR="003B50ED" w:rsidRPr="00F16251">
        <w:rPr>
          <w:rFonts w:eastAsia="Calibri" w:cstheme="minorHAnsi"/>
          <w:kern w:val="0"/>
          <w14:ligatures w14:val="none"/>
        </w:rPr>
        <w:t xml:space="preserve"> </w:t>
      </w:r>
      <w:r w:rsidRPr="00F16251">
        <w:rPr>
          <w:rFonts w:eastAsia="Calibri" w:cstheme="minorHAnsi"/>
          <w:kern w:val="0"/>
          <w14:ligatures w14:val="none"/>
        </w:rPr>
        <w:t>lata</w:t>
      </w:r>
      <w:r w:rsidR="003B50ED" w:rsidRPr="00F16251">
        <w:rPr>
          <w:rFonts w:eastAsia="Calibri" w:cstheme="minorHAnsi"/>
          <w:kern w:val="0"/>
          <w14:ligatures w14:val="none"/>
        </w:rPr>
        <w:t xml:space="preserve"> </w:t>
      </w:r>
      <w:r w:rsidRPr="00F16251">
        <w:rPr>
          <w:rFonts w:eastAsia="Calibri" w:cstheme="minorHAnsi"/>
          <w:kern w:val="0"/>
          <w14:ligatures w14:val="none"/>
        </w:rPr>
        <w:t>2023-2027</w:t>
      </w:r>
      <w:r w:rsidR="003B50ED" w:rsidRPr="00F16251">
        <w:rPr>
          <w:rFonts w:eastAsia="Calibri" w:cstheme="minorHAnsi"/>
          <w:kern w:val="0"/>
          <w14:ligatures w14:val="none"/>
        </w:rPr>
        <w:t xml:space="preserve"> </w:t>
      </w:r>
      <w:r w:rsidRPr="00F16251">
        <w:rPr>
          <w:rFonts w:eastAsia="Calibri" w:cstheme="minorHAnsi"/>
          <w:kern w:val="0"/>
          <w14:ligatures w14:val="none"/>
        </w:rPr>
        <w:t>oraz</w:t>
      </w:r>
      <w:r w:rsidR="00396A11">
        <w:rPr>
          <w:rFonts w:eastAsia="Calibri" w:cstheme="minorHAnsi"/>
          <w:kern w:val="0"/>
          <w14:ligatures w14:val="none"/>
        </w:rPr>
        <w:t xml:space="preserve"> </w:t>
      </w:r>
      <w:r w:rsidR="004002F3" w:rsidRPr="00F16251">
        <w:rPr>
          <w:rFonts w:eastAsia="Calibri" w:cstheme="minorHAnsi"/>
          <w:kern w:val="0"/>
          <w14:ligatures w14:val="none"/>
        </w:rPr>
        <w:t xml:space="preserve">EFRR </w:t>
      </w:r>
      <w:r w:rsidR="008C3A67" w:rsidRPr="00F16251">
        <w:rPr>
          <w:rFonts w:eastAsia="Calibri" w:cstheme="minorHAnsi"/>
          <w:kern w:val="0"/>
          <w14:ligatures w14:val="none"/>
        </w:rPr>
        <w:t xml:space="preserve">i </w:t>
      </w:r>
      <w:r w:rsidRPr="00F16251">
        <w:rPr>
          <w:rFonts w:eastAsia="Calibri" w:cstheme="minorHAnsi"/>
          <w:kern w:val="0"/>
          <w14:ligatures w14:val="none"/>
        </w:rPr>
        <w:t>EFS+.</w:t>
      </w:r>
      <w:r w:rsidR="003B50ED" w:rsidRPr="00F16251">
        <w:rPr>
          <w:rFonts w:eastAsia="Calibri" w:cstheme="minorHAnsi"/>
          <w:kern w:val="0"/>
          <w14:ligatures w14:val="none"/>
        </w:rPr>
        <w:t xml:space="preserve"> </w:t>
      </w:r>
      <w:r w:rsidR="008C3A67" w:rsidRPr="00F16251">
        <w:rPr>
          <w:rFonts w:eastAsia="Calibri" w:cstheme="minorHAnsi"/>
          <w:kern w:val="0"/>
          <w14:ligatures w14:val="none"/>
        </w:rPr>
        <w:t xml:space="preserve">Jednakże dla </w:t>
      </w:r>
      <w:r w:rsidR="00D91E61" w:rsidRPr="00F16251">
        <w:rPr>
          <w:rFonts w:eastAsia="Calibri" w:cstheme="minorHAnsi"/>
          <w:kern w:val="0"/>
          <w14:ligatures w14:val="none"/>
        </w:rPr>
        <w:t>wzmocnienia</w:t>
      </w:r>
      <w:r w:rsidR="008C3A67" w:rsidRPr="00F16251">
        <w:rPr>
          <w:rFonts w:eastAsia="Calibri" w:cstheme="minorHAnsi"/>
          <w:kern w:val="0"/>
          <w14:ligatures w14:val="none"/>
        </w:rPr>
        <w:t xml:space="preserve"> rezultatów </w:t>
      </w:r>
      <w:r w:rsidR="00D91E61" w:rsidRPr="00F16251">
        <w:rPr>
          <w:rFonts w:eastAsia="Calibri" w:cstheme="minorHAnsi"/>
          <w:kern w:val="0"/>
          <w14:ligatures w14:val="none"/>
        </w:rPr>
        <w:t>realizowanych</w:t>
      </w:r>
      <w:r w:rsidR="008C3A67" w:rsidRPr="00F16251">
        <w:rPr>
          <w:rFonts w:eastAsia="Calibri" w:cstheme="minorHAnsi"/>
          <w:kern w:val="0"/>
          <w14:ligatures w14:val="none"/>
        </w:rPr>
        <w:t xml:space="preserve"> przedsięwzięć, LGD będzie ubiegać się o dofinan</w:t>
      </w:r>
      <w:r w:rsidR="00D91E61" w:rsidRPr="00F16251">
        <w:rPr>
          <w:rFonts w:eastAsia="Calibri" w:cstheme="minorHAnsi"/>
          <w:kern w:val="0"/>
          <w14:ligatures w14:val="none"/>
        </w:rPr>
        <w:t>sowanie z innych źródeł, co zostało szczegółowo opisane z w</w:t>
      </w:r>
      <w:r w:rsidR="008C3A67" w:rsidRPr="00F16251">
        <w:rPr>
          <w:rFonts w:eastAsia="Calibri" w:cstheme="minorHAnsi"/>
          <w:kern w:val="0"/>
          <w14:ligatures w14:val="none"/>
        </w:rPr>
        <w:t xml:space="preserve"> rozdziale V pkt. 4 niniejsze</w:t>
      </w:r>
      <w:r w:rsidR="00781320" w:rsidRPr="00F16251">
        <w:rPr>
          <w:rFonts w:eastAsia="Calibri" w:cstheme="minorHAnsi"/>
          <w:kern w:val="0"/>
          <w14:ligatures w14:val="none"/>
        </w:rPr>
        <w:t>j</w:t>
      </w:r>
      <w:r w:rsidR="008C3A67" w:rsidRPr="00F16251">
        <w:rPr>
          <w:rFonts w:eastAsia="Calibri" w:cstheme="minorHAnsi"/>
          <w:kern w:val="0"/>
          <w14:ligatures w14:val="none"/>
        </w:rPr>
        <w:t xml:space="preserve"> strategii</w:t>
      </w:r>
      <w:r w:rsidR="00D91E61" w:rsidRPr="00F16251">
        <w:rPr>
          <w:rFonts w:eastAsia="Calibri" w:cstheme="minorHAnsi"/>
          <w:kern w:val="0"/>
          <w14:ligatures w14:val="none"/>
        </w:rPr>
        <w:t>.</w:t>
      </w:r>
      <w:r w:rsidR="00396A11">
        <w:rPr>
          <w:rFonts w:eastAsia="Calibri" w:cstheme="minorHAnsi"/>
          <w:kern w:val="0"/>
          <w14:ligatures w14:val="none"/>
        </w:rPr>
        <w:t xml:space="preserve"> </w:t>
      </w:r>
    </w:p>
    <w:p w14:paraId="674CD24B" w14:textId="77777777" w:rsidR="001B22BD" w:rsidRPr="00A26C26" w:rsidRDefault="001B22BD" w:rsidP="00A26C26">
      <w:pPr>
        <w:spacing w:line="276" w:lineRule="auto"/>
        <w:jc w:val="both"/>
        <w:rPr>
          <w:rFonts w:eastAsia="Calibri" w:cstheme="minorHAnsi"/>
          <w:kern w:val="0"/>
          <w14:ligatures w14:val="none"/>
        </w:rPr>
      </w:pPr>
    </w:p>
    <w:p w14:paraId="0B854952" w14:textId="3799D703" w:rsidR="00857736" w:rsidRPr="00A26C26" w:rsidRDefault="00857736" w:rsidP="008A412F">
      <w:pPr>
        <w:pStyle w:val="Nagwek2"/>
        <w:numPr>
          <w:ilvl w:val="0"/>
          <w:numId w:val="21"/>
        </w:numPr>
        <w:spacing w:before="0" w:line="276" w:lineRule="auto"/>
        <w:rPr>
          <w:rFonts w:asciiTheme="minorHAnsi" w:eastAsia="Times New Roman" w:hAnsiTheme="minorHAnsi" w:cstheme="minorHAnsi"/>
          <w:b/>
          <w:bCs/>
          <w:sz w:val="22"/>
          <w:szCs w:val="22"/>
        </w:rPr>
      </w:pPr>
      <w:bookmarkStart w:id="96" w:name="_Toc136133765"/>
      <w:bookmarkStart w:id="97" w:name="_Toc136212428"/>
      <w:bookmarkStart w:id="98" w:name="_Toc136944426"/>
      <w:r w:rsidRPr="00A26C26">
        <w:rPr>
          <w:rFonts w:asciiTheme="minorHAnsi" w:eastAsia="Times New Roman" w:hAnsiTheme="minorHAnsi" w:cstheme="minorHAnsi"/>
          <w:b/>
          <w:bCs/>
          <w:sz w:val="22"/>
          <w:szCs w:val="22"/>
        </w:rPr>
        <w:t>Integrowanie</w:t>
      </w:r>
      <w:r w:rsidR="003B50ED">
        <w:rPr>
          <w:rFonts w:asciiTheme="minorHAnsi" w:eastAsia="Times New Roman" w:hAnsiTheme="minorHAnsi" w:cstheme="minorHAnsi"/>
          <w:b/>
          <w:bCs/>
          <w:spacing w:val="1"/>
          <w:sz w:val="22"/>
          <w:szCs w:val="22"/>
        </w:rPr>
        <w:t xml:space="preserve"> </w:t>
      </w:r>
      <w:r w:rsidRPr="00A26C26">
        <w:rPr>
          <w:rFonts w:asciiTheme="minorHAnsi" w:eastAsia="Times New Roman" w:hAnsiTheme="minorHAnsi" w:cstheme="minorHAnsi"/>
          <w:b/>
          <w:bCs/>
          <w:sz w:val="22"/>
          <w:szCs w:val="22"/>
        </w:rPr>
        <w:t>sektorów,</w:t>
      </w:r>
      <w:r w:rsidR="003B50ED">
        <w:rPr>
          <w:rFonts w:asciiTheme="minorHAnsi" w:eastAsia="Times New Roman" w:hAnsiTheme="minorHAnsi" w:cstheme="minorHAnsi"/>
          <w:b/>
          <w:bCs/>
          <w:spacing w:val="1"/>
          <w:sz w:val="22"/>
          <w:szCs w:val="22"/>
        </w:rPr>
        <w:t xml:space="preserve"> </w:t>
      </w:r>
      <w:r w:rsidRPr="00A26C26">
        <w:rPr>
          <w:rFonts w:asciiTheme="minorHAnsi" w:eastAsia="Times New Roman" w:hAnsiTheme="minorHAnsi" w:cstheme="minorHAnsi"/>
          <w:b/>
          <w:bCs/>
          <w:sz w:val="22"/>
          <w:szCs w:val="22"/>
        </w:rPr>
        <w:t>partnerów,</w:t>
      </w:r>
      <w:r w:rsidR="003B50ED">
        <w:rPr>
          <w:rFonts w:asciiTheme="minorHAnsi" w:eastAsia="Times New Roman" w:hAnsiTheme="minorHAnsi" w:cstheme="minorHAnsi"/>
          <w:b/>
          <w:bCs/>
          <w:spacing w:val="1"/>
          <w:sz w:val="22"/>
          <w:szCs w:val="22"/>
        </w:rPr>
        <w:t xml:space="preserve"> </w:t>
      </w:r>
      <w:r w:rsidRPr="00A26C26">
        <w:rPr>
          <w:rFonts w:asciiTheme="minorHAnsi" w:eastAsia="Times New Roman" w:hAnsiTheme="minorHAnsi" w:cstheme="minorHAnsi"/>
          <w:b/>
          <w:bCs/>
          <w:sz w:val="22"/>
          <w:szCs w:val="22"/>
        </w:rPr>
        <w:t>zasobów</w:t>
      </w:r>
      <w:r w:rsidR="003B50ED">
        <w:rPr>
          <w:rFonts w:asciiTheme="minorHAnsi" w:eastAsia="Times New Roman" w:hAnsiTheme="minorHAnsi" w:cstheme="minorHAnsi"/>
          <w:b/>
          <w:bCs/>
          <w:spacing w:val="1"/>
          <w:sz w:val="22"/>
          <w:szCs w:val="22"/>
        </w:rPr>
        <w:t xml:space="preserve"> </w:t>
      </w:r>
      <w:r w:rsidRPr="00A26C26">
        <w:rPr>
          <w:rFonts w:asciiTheme="minorHAnsi" w:eastAsia="Times New Roman" w:hAnsiTheme="minorHAnsi" w:cstheme="minorHAnsi"/>
          <w:b/>
          <w:bCs/>
          <w:sz w:val="22"/>
          <w:szCs w:val="22"/>
        </w:rPr>
        <w:t>i</w:t>
      </w:r>
      <w:r w:rsidR="003B50ED">
        <w:rPr>
          <w:rFonts w:asciiTheme="minorHAnsi" w:eastAsia="Times New Roman" w:hAnsiTheme="minorHAnsi" w:cstheme="minorHAnsi"/>
          <w:b/>
          <w:bCs/>
          <w:sz w:val="22"/>
          <w:szCs w:val="22"/>
        </w:rPr>
        <w:t xml:space="preserve"> </w:t>
      </w:r>
      <w:r w:rsidRPr="00A26C26">
        <w:rPr>
          <w:rFonts w:asciiTheme="minorHAnsi" w:eastAsia="Times New Roman" w:hAnsiTheme="minorHAnsi" w:cstheme="minorHAnsi"/>
          <w:b/>
          <w:bCs/>
          <w:sz w:val="22"/>
          <w:szCs w:val="22"/>
        </w:rPr>
        <w:t>branż</w:t>
      </w:r>
      <w:r w:rsidR="003B50ED">
        <w:rPr>
          <w:rFonts w:asciiTheme="minorHAnsi" w:eastAsia="Times New Roman" w:hAnsiTheme="minorHAnsi" w:cstheme="minorHAnsi"/>
          <w:b/>
          <w:bCs/>
          <w:spacing w:val="1"/>
          <w:sz w:val="22"/>
          <w:szCs w:val="22"/>
        </w:rPr>
        <w:t xml:space="preserve"> </w:t>
      </w:r>
      <w:r w:rsidRPr="00A26C26">
        <w:rPr>
          <w:rFonts w:asciiTheme="minorHAnsi" w:eastAsia="Times New Roman" w:hAnsiTheme="minorHAnsi" w:cstheme="minorHAnsi"/>
          <w:b/>
          <w:bCs/>
          <w:sz w:val="22"/>
          <w:szCs w:val="22"/>
        </w:rPr>
        <w:t>w</w:t>
      </w:r>
      <w:r w:rsidR="003B50ED">
        <w:rPr>
          <w:rFonts w:asciiTheme="minorHAnsi" w:eastAsia="Times New Roman" w:hAnsiTheme="minorHAnsi" w:cstheme="minorHAnsi"/>
          <w:b/>
          <w:bCs/>
          <w:sz w:val="22"/>
          <w:szCs w:val="22"/>
        </w:rPr>
        <w:t xml:space="preserve"> </w:t>
      </w:r>
      <w:r w:rsidRPr="00A26C26">
        <w:rPr>
          <w:rFonts w:asciiTheme="minorHAnsi" w:eastAsia="Times New Roman" w:hAnsiTheme="minorHAnsi" w:cstheme="minorHAnsi"/>
          <w:b/>
          <w:bCs/>
          <w:sz w:val="22"/>
          <w:szCs w:val="22"/>
        </w:rPr>
        <w:t>celu</w:t>
      </w:r>
      <w:r w:rsidR="003B50ED">
        <w:rPr>
          <w:rFonts w:asciiTheme="minorHAnsi" w:eastAsia="Times New Roman" w:hAnsiTheme="minorHAnsi" w:cstheme="minorHAnsi"/>
          <w:b/>
          <w:bCs/>
          <w:spacing w:val="1"/>
          <w:sz w:val="22"/>
          <w:szCs w:val="22"/>
        </w:rPr>
        <w:t xml:space="preserve"> </w:t>
      </w:r>
      <w:r w:rsidRPr="00A26C26">
        <w:rPr>
          <w:rFonts w:asciiTheme="minorHAnsi" w:eastAsia="Times New Roman" w:hAnsiTheme="minorHAnsi" w:cstheme="minorHAnsi"/>
          <w:b/>
          <w:bCs/>
          <w:sz w:val="22"/>
          <w:szCs w:val="22"/>
        </w:rPr>
        <w:t>kompleksowej</w:t>
      </w:r>
      <w:r w:rsidR="003B50ED">
        <w:rPr>
          <w:rFonts w:asciiTheme="minorHAnsi" w:eastAsia="Times New Roman" w:hAnsiTheme="minorHAnsi" w:cstheme="minorHAnsi"/>
          <w:b/>
          <w:bCs/>
          <w:spacing w:val="1"/>
          <w:sz w:val="22"/>
          <w:szCs w:val="22"/>
        </w:rPr>
        <w:t xml:space="preserve"> </w:t>
      </w:r>
      <w:r w:rsidRPr="00A26C26">
        <w:rPr>
          <w:rFonts w:asciiTheme="minorHAnsi" w:eastAsia="Times New Roman" w:hAnsiTheme="minorHAnsi" w:cstheme="minorHAnsi"/>
          <w:b/>
          <w:bCs/>
          <w:sz w:val="22"/>
          <w:szCs w:val="22"/>
        </w:rPr>
        <w:t>realizacji</w:t>
      </w:r>
      <w:r w:rsidR="003B50ED">
        <w:rPr>
          <w:rFonts w:asciiTheme="minorHAnsi" w:eastAsia="Times New Roman" w:hAnsiTheme="minorHAnsi" w:cstheme="minorHAnsi"/>
          <w:b/>
          <w:bCs/>
          <w:spacing w:val="1"/>
          <w:sz w:val="22"/>
          <w:szCs w:val="22"/>
        </w:rPr>
        <w:t xml:space="preserve"> </w:t>
      </w:r>
      <w:r w:rsidRPr="00A26C26">
        <w:rPr>
          <w:rFonts w:asciiTheme="minorHAnsi" w:eastAsia="Times New Roman" w:hAnsiTheme="minorHAnsi" w:cstheme="minorHAnsi"/>
          <w:b/>
          <w:bCs/>
          <w:sz w:val="22"/>
          <w:szCs w:val="22"/>
        </w:rPr>
        <w:t>przedsięwzięć</w:t>
      </w:r>
      <w:bookmarkEnd w:id="96"/>
      <w:bookmarkEnd w:id="97"/>
      <w:bookmarkEnd w:id="98"/>
    </w:p>
    <w:p w14:paraId="12191E51" w14:textId="6619D771" w:rsidR="00857736" w:rsidRPr="00203429" w:rsidRDefault="00E66FB4" w:rsidP="00A26C26">
      <w:pPr>
        <w:spacing w:line="276" w:lineRule="auto"/>
        <w:ind w:firstLine="360"/>
        <w:jc w:val="both"/>
        <w:rPr>
          <w:rFonts w:eastAsia="Calibri" w:cstheme="minorHAnsi"/>
          <w:kern w:val="0"/>
          <w14:ligatures w14:val="none"/>
        </w:rPr>
      </w:pPr>
      <w:r>
        <w:rPr>
          <w:rFonts w:eastAsia="Calibri" w:cstheme="minorHAnsi"/>
          <w:kern w:val="0"/>
          <w14:ligatures w14:val="none"/>
        </w:rPr>
        <w:t>F</w:t>
      </w:r>
      <w:r w:rsidR="00857736" w:rsidRPr="00A26C26">
        <w:rPr>
          <w:rFonts w:eastAsia="Calibri" w:cstheme="minorHAnsi"/>
          <w:kern w:val="0"/>
          <w14:ligatures w14:val="none"/>
        </w:rPr>
        <w:t>undamentem</w:t>
      </w:r>
      <w:r w:rsidR="003B50ED">
        <w:rPr>
          <w:rFonts w:eastAsia="Calibri" w:cstheme="minorHAnsi"/>
          <w:kern w:val="0"/>
          <w14:ligatures w14:val="none"/>
        </w:rPr>
        <w:t xml:space="preserve"> </w:t>
      </w:r>
      <w:r w:rsidR="00857736" w:rsidRPr="00A26C26">
        <w:rPr>
          <w:rFonts w:eastAsia="Calibri" w:cstheme="minorHAnsi"/>
          <w:kern w:val="0"/>
          <w14:ligatures w14:val="none"/>
        </w:rPr>
        <w:t>idei</w:t>
      </w:r>
      <w:r w:rsidR="003B50ED">
        <w:rPr>
          <w:rFonts w:eastAsia="Calibri" w:cstheme="minorHAnsi"/>
          <w:kern w:val="0"/>
          <w14:ligatures w14:val="none"/>
        </w:rPr>
        <w:t xml:space="preserve"> </w:t>
      </w:r>
      <w:r w:rsidR="00857736" w:rsidRPr="00A26C26">
        <w:rPr>
          <w:rFonts w:eastAsia="Calibri" w:cstheme="minorHAnsi"/>
          <w:kern w:val="0"/>
          <w14:ligatures w14:val="none"/>
        </w:rPr>
        <w:t>LEADER</w:t>
      </w:r>
      <w:r w:rsidR="003B50ED">
        <w:rPr>
          <w:rFonts w:eastAsia="Calibri" w:cstheme="minorHAnsi"/>
          <w:kern w:val="0"/>
          <w14:ligatures w14:val="none"/>
        </w:rPr>
        <w:t xml:space="preserve"> </w:t>
      </w:r>
      <w:r w:rsidR="00857736" w:rsidRPr="00A26C26">
        <w:rPr>
          <w:rFonts w:eastAsia="Calibri" w:cstheme="minorHAnsi"/>
          <w:kern w:val="0"/>
          <w14:ligatures w14:val="none"/>
        </w:rPr>
        <w:t>jest</w:t>
      </w:r>
      <w:r w:rsidR="003B50ED">
        <w:rPr>
          <w:rFonts w:eastAsia="Calibri" w:cstheme="minorHAnsi"/>
          <w:kern w:val="0"/>
          <w14:ligatures w14:val="none"/>
        </w:rPr>
        <w:t xml:space="preserve"> </w:t>
      </w:r>
      <w:r w:rsidR="00857736" w:rsidRPr="00A26C26">
        <w:rPr>
          <w:rFonts w:eastAsia="Calibri" w:cstheme="minorHAnsi"/>
          <w:kern w:val="0"/>
          <w14:ligatures w14:val="none"/>
        </w:rPr>
        <w:t>partnerstwo</w:t>
      </w:r>
      <w:r w:rsidR="003B50ED">
        <w:rPr>
          <w:rFonts w:eastAsia="Calibri" w:cstheme="minorHAnsi"/>
          <w:kern w:val="0"/>
          <w14:ligatures w14:val="none"/>
        </w:rPr>
        <w:t xml:space="preserve"> </w:t>
      </w:r>
      <w:r w:rsidR="00857736" w:rsidRPr="00A26C26">
        <w:rPr>
          <w:rFonts w:eastAsia="Calibri" w:cstheme="minorHAnsi"/>
          <w:kern w:val="0"/>
          <w14:ligatures w14:val="none"/>
        </w:rPr>
        <w:t>i</w:t>
      </w:r>
      <w:r w:rsidR="003B50ED">
        <w:rPr>
          <w:rFonts w:eastAsia="Calibri" w:cstheme="minorHAnsi"/>
          <w:kern w:val="0"/>
          <w14:ligatures w14:val="none"/>
        </w:rPr>
        <w:t xml:space="preserve"> </w:t>
      </w:r>
      <w:r w:rsidR="00857736" w:rsidRPr="00A26C26">
        <w:rPr>
          <w:rFonts w:eastAsia="Calibri" w:cstheme="minorHAnsi"/>
          <w:kern w:val="0"/>
          <w14:ligatures w14:val="none"/>
        </w:rPr>
        <w:t>współpraca,</w:t>
      </w:r>
      <w:r w:rsidR="003B50ED">
        <w:rPr>
          <w:rFonts w:eastAsia="Calibri" w:cstheme="minorHAnsi"/>
          <w:kern w:val="0"/>
          <w14:ligatures w14:val="none"/>
        </w:rPr>
        <w:t xml:space="preserve"> </w:t>
      </w:r>
      <w:r w:rsidR="00857736" w:rsidRPr="00A26C26">
        <w:rPr>
          <w:rFonts w:eastAsia="Calibri" w:cstheme="minorHAnsi"/>
          <w:kern w:val="0"/>
          <w14:ligatures w14:val="none"/>
        </w:rPr>
        <w:t>zatem</w:t>
      </w:r>
      <w:r w:rsidR="003B50ED">
        <w:rPr>
          <w:rFonts w:eastAsia="Calibri" w:cstheme="minorHAnsi"/>
          <w:kern w:val="0"/>
          <w14:ligatures w14:val="none"/>
        </w:rPr>
        <w:t xml:space="preserve"> </w:t>
      </w:r>
      <w:r w:rsidR="00857736" w:rsidRPr="00A26C26">
        <w:rPr>
          <w:rFonts w:eastAsia="Calibri" w:cstheme="minorHAnsi"/>
          <w:kern w:val="0"/>
          <w14:ligatures w14:val="none"/>
        </w:rPr>
        <w:t>mając</w:t>
      </w:r>
      <w:r w:rsidR="003B50ED">
        <w:rPr>
          <w:rFonts w:eastAsia="Calibri" w:cstheme="minorHAnsi"/>
          <w:kern w:val="0"/>
          <w14:ligatures w14:val="none"/>
        </w:rPr>
        <w:t xml:space="preserve"> </w:t>
      </w:r>
      <w:r w:rsidR="00857736" w:rsidRPr="00A26C26">
        <w:rPr>
          <w:rFonts w:eastAsia="Calibri" w:cstheme="minorHAnsi"/>
          <w:kern w:val="0"/>
          <w14:ligatures w14:val="none"/>
        </w:rPr>
        <w:t>na</w:t>
      </w:r>
      <w:r w:rsidR="003B50ED">
        <w:rPr>
          <w:rFonts w:eastAsia="Calibri" w:cstheme="minorHAnsi"/>
          <w:kern w:val="0"/>
          <w14:ligatures w14:val="none"/>
        </w:rPr>
        <w:t xml:space="preserve"> </w:t>
      </w:r>
      <w:r w:rsidR="00857736" w:rsidRPr="00A26C26">
        <w:rPr>
          <w:rFonts w:eastAsia="Calibri" w:cstheme="minorHAnsi"/>
          <w:kern w:val="0"/>
          <w14:ligatures w14:val="none"/>
        </w:rPr>
        <w:t>uwadze</w:t>
      </w:r>
      <w:r w:rsidR="003B50ED">
        <w:rPr>
          <w:rFonts w:eastAsia="Calibri" w:cstheme="minorHAnsi"/>
          <w:kern w:val="0"/>
          <w14:ligatures w14:val="none"/>
        </w:rPr>
        <w:t xml:space="preserve"> </w:t>
      </w:r>
      <w:r w:rsidR="00857736" w:rsidRPr="00A26C26">
        <w:rPr>
          <w:rFonts w:eastAsia="Calibri" w:cstheme="minorHAnsi"/>
          <w:kern w:val="0"/>
          <w14:ligatures w14:val="none"/>
        </w:rPr>
        <w:t>bogate</w:t>
      </w:r>
      <w:r w:rsidR="003B50ED">
        <w:rPr>
          <w:rFonts w:eastAsia="Calibri" w:cstheme="minorHAnsi"/>
          <w:kern w:val="0"/>
          <w14:ligatures w14:val="none"/>
        </w:rPr>
        <w:t xml:space="preserve"> </w:t>
      </w:r>
      <w:r w:rsidR="00857736" w:rsidRPr="00A26C26">
        <w:rPr>
          <w:rFonts w:eastAsia="Calibri" w:cstheme="minorHAnsi"/>
          <w:kern w:val="0"/>
          <w14:ligatures w14:val="none"/>
        </w:rPr>
        <w:t>doświadczenie</w:t>
      </w:r>
      <w:r w:rsidR="003B50ED">
        <w:rPr>
          <w:rFonts w:eastAsia="Calibri" w:cstheme="minorHAnsi"/>
          <w:kern w:val="0"/>
          <w14:ligatures w14:val="none"/>
        </w:rPr>
        <w:t xml:space="preserve"> </w:t>
      </w:r>
      <w:r w:rsidR="006568AD">
        <w:rPr>
          <w:rFonts w:cstheme="minorHAnsi"/>
        </w:rPr>
        <w:t xml:space="preserve">Stowarzyszenia </w:t>
      </w:r>
      <w:r w:rsidR="006568AD" w:rsidRPr="00A26C26">
        <w:rPr>
          <w:rFonts w:cstheme="minorHAnsi"/>
        </w:rPr>
        <w:t>„Solidarni</w:t>
      </w:r>
      <w:r w:rsidR="006568AD">
        <w:rPr>
          <w:rFonts w:cstheme="minorHAnsi"/>
        </w:rPr>
        <w:t xml:space="preserve"> </w:t>
      </w:r>
      <w:r w:rsidR="006568AD" w:rsidRPr="00A26C26">
        <w:rPr>
          <w:rFonts w:cstheme="minorHAnsi"/>
        </w:rPr>
        <w:t>w</w:t>
      </w:r>
      <w:r w:rsidR="006568AD">
        <w:rPr>
          <w:rFonts w:cstheme="minorHAnsi"/>
        </w:rPr>
        <w:t xml:space="preserve"> </w:t>
      </w:r>
      <w:r w:rsidR="006568AD" w:rsidRPr="00A26C26">
        <w:rPr>
          <w:rFonts w:cstheme="minorHAnsi"/>
        </w:rPr>
        <w:t>Partnerstwie”</w:t>
      </w:r>
      <w:r w:rsidR="006568AD">
        <w:rPr>
          <w:rFonts w:cstheme="minorHAnsi"/>
        </w:rPr>
        <w:t xml:space="preserve"> </w:t>
      </w:r>
      <w:r w:rsidR="00857736" w:rsidRPr="00A26C26">
        <w:rPr>
          <w:rFonts w:eastAsia="Calibri" w:cstheme="minorHAnsi"/>
          <w:kern w:val="0"/>
          <w14:ligatures w14:val="none"/>
        </w:rPr>
        <w:t>w</w:t>
      </w:r>
      <w:r w:rsidR="003B50ED">
        <w:rPr>
          <w:rFonts w:eastAsia="Calibri" w:cstheme="minorHAnsi"/>
          <w:kern w:val="0"/>
          <w14:ligatures w14:val="none"/>
        </w:rPr>
        <w:t xml:space="preserve"> </w:t>
      </w:r>
      <w:r w:rsidR="00857736" w:rsidRPr="00A26C26">
        <w:rPr>
          <w:rFonts w:eastAsia="Calibri" w:cstheme="minorHAnsi"/>
          <w:kern w:val="0"/>
          <w14:ligatures w14:val="none"/>
        </w:rPr>
        <w:t>nawiązywaniu</w:t>
      </w:r>
      <w:r w:rsidR="003B50ED">
        <w:rPr>
          <w:rFonts w:eastAsia="Calibri" w:cstheme="minorHAnsi"/>
          <w:kern w:val="0"/>
          <w14:ligatures w14:val="none"/>
        </w:rPr>
        <w:t xml:space="preserve"> </w:t>
      </w:r>
      <w:r w:rsidR="00857736" w:rsidRPr="00A26C26">
        <w:rPr>
          <w:rFonts w:eastAsia="Calibri" w:cstheme="minorHAnsi"/>
          <w:kern w:val="0"/>
          <w14:ligatures w14:val="none"/>
        </w:rPr>
        <w:t>współpracy</w:t>
      </w:r>
      <w:r w:rsidR="003B50ED">
        <w:rPr>
          <w:rFonts w:eastAsia="Calibri" w:cstheme="minorHAnsi"/>
          <w:kern w:val="0"/>
          <w14:ligatures w14:val="none"/>
        </w:rPr>
        <w:t xml:space="preserve"> </w:t>
      </w:r>
      <w:r w:rsidR="00857736" w:rsidRPr="00A26C26">
        <w:rPr>
          <w:rFonts w:eastAsia="Calibri" w:cstheme="minorHAnsi"/>
          <w:kern w:val="0"/>
          <w14:ligatures w14:val="none"/>
        </w:rPr>
        <w:t>z</w:t>
      </w:r>
      <w:r w:rsidR="003B50ED">
        <w:rPr>
          <w:rFonts w:eastAsia="Calibri" w:cstheme="minorHAnsi"/>
          <w:kern w:val="0"/>
          <w14:ligatures w14:val="none"/>
        </w:rPr>
        <w:t xml:space="preserve"> </w:t>
      </w:r>
      <w:r w:rsidR="00857736" w:rsidRPr="00A26C26">
        <w:rPr>
          <w:rFonts w:eastAsia="Calibri" w:cstheme="minorHAnsi"/>
          <w:kern w:val="0"/>
          <w14:ligatures w14:val="none"/>
        </w:rPr>
        <w:t>różnymi</w:t>
      </w:r>
      <w:r w:rsidR="003B50ED">
        <w:rPr>
          <w:rFonts w:eastAsia="Calibri" w:cstheme="minorHAnsi"/>
          <w:kern w:val="0"/>
          <w14:ligatures w14:val="none"/>
        </w:rPr>
        <w:t xml:space="preserve"> </w:t>
      </w:r>
      <w:r w:rsidR="00857736" w:rsidRPr="00A26C26">
        <w:rPr>
          <w:rFonts w:eastAsia="Calibri" w:cstheme="minorHAnsi"/>
          <w:kern w:val="0"/>
          <w14:ligatures w14:val="none"/>
        </w:rPr>
        <w:t>podmiotami</w:t>
      </w:r>
      <w:r w:rsidR="003B50ED">
        <w:rPr>
          <w:rFonts w:eastAsia="Calibri" w:cstheme="minorHAnsi"/>
          <w:kern w:val="0"/>
          <w14:ligatures w14:val="none"/>
        </w:rPr>
        <w:t xml:space="preserve"> </w:t>
      </w:r>
      <w:r w:rsidR="00857736" w:rsidRPr="00A26C26">
        <w:rPr>
          <w:rFonts w:eastAsia="Calibri" w:cstheme="minorHAnsi"/>
          <w:kern w:val="0"/>
          <w14:ligatures w14:val="none"/>
        </w:rPr>
        <w:t>jak</w:t>
      </w:r>
      <w:r w:rsidR="003B50ED">
        <w:rPr>
          <w:rFonts w:eastAsia="Calibri" w:cstheme="minorHAnsi"/>
          <w:kern w:val="0"/>
          <w14:ligatures w14:val="none"/>
        </w:rPr>
        <w:t xml:space="preserve"> </w:t>
      </w:r>
      <w:r w:rsidR="00857736" w:rsidRPr="00A26C26">
        <w:rPr>
          <w:rFonts w:eastAsia="Calibri" w:cstheme="minorHAnsi"/>
          <w:kern w:val="0"/>
          <w14:ligatures w14:val="none"/>
        </w:rPr>
        <w:t>również</w:t>
      </w:r>
      <w:r w:rsidR="003B50ED">
        <w:rPr>
          <w:rFonts w:eastAsia="Calibri" w:cstheme="minorHAnsi"/>
          <w:kern w:val="0"/>
          <w14:ligatures w14:val="none"/>
        </w:rPr>
        <w:t xml:space="preserve"> </w:t>
      </w:r>
      <w:r w:rsidR="00857736" w:rsidRPr="00A26C26">
        <w:rPr>
          <w:rFonts w:eastAsia="Calibri" w:cstheme="minorHAnsi"/>
          <w:kern w:val="0"/>
          <w14:ligatures w14:val="none"/>
        </w:rPr>
        <w:t>prowadzeniu</w:t>
      </w:r>
      <w:r w:rsidR="003B50ED">
        <w:rPr>
          <w:rFonts w:eastAsia="Calibri" w:cstheme="minorHAnsi"/>
          <w:kern w:val="0"/>
          <w14:ligatures w14:val="none"/>
        </w:rPr>
        <w:t xml:space="preserve"> </w:t>
      </w:r>
      <w:r w:rsidR="00857736" w:rsidRPr="00A26C26">
        <w:rPr>
          <w:rFonts w:eastAsia="Calibri" w:cstheme="minorHAnsi"/>
          <w:kern w:val="0"/>
          <w14:ligatures w14:val="none"/>
        </w:rPr>
        <w:t>działań</w:t>
      </w:r>
      <w:r w:rsidR="003B50ED">
        <w:rPr>
          <w:rFonts w:eastAsia="Calibri" w:cstheme="minorHAnsi"/>
          <w:kern w:val="0"/>
          <w14:ligatures w14:val="none"/>
        </w:rPr>
        <w:t xml:space="preserve"> </w:t>
      </w:r>
      <w:r w:rsidR="00857736" w:rsidRPr="00203429">
        <w:rPr>
          <w:rFonts w:eastAsia="Calibri" w:cstheme="minorHAnsi"/>
          <w:kern w:val="0"/>
          <w14:ligatures w14:val="none"/>
        </w:rPr>
        <w:t>animacyjnych</w:t>
      </w:r>
      <w:r w:rsidR="003B50ED" w:rsidRPr="00203429">
        <w:rPr>
          <w:rFonts w:eastAsia="Calibri" w:cstheme="minorHAnsi"/>
          <w:kern w:val="0"/>
          <w14:ligatures w14:val="none"/>
        </w:rPr>
        <w:t xml:space="preserve"> </w:t>
      </w:r>
      <w:r w:rsidR="00857736" w:rsidRPr="00203429">
        <w:rPr>
          <w:rFonts w:eastAsia="Calibri" w:cstheme="minorHAnsi"/>
          <w:kern w:val="0"/>
          <w14:ligatures w14:val="none"/>
        </w:rPr>
        <w:t>i</w:t>
      </w:r>
      <w:r w:rsidR="003B50ED" w:rsidRPr="00203429">
        <w:rPr>
          <w:rFonts w:eastAsia="Calibri" w:cstheme="minorHAnsi"/>
          <w:kern w:val="0"/>
          <w14:ligatures w14:val="none"/>
        </w:rPr>
        <w:t xml:space="preserve"> </w:t>
      </w:r>
      <w:r w:rsidR="00857736" w:rsidRPr="00203429">
        <w:rPr>
          <w:rFonts w:eastAsia="Calibri" w:cstheme="minorHAnsi"/>
          <w:kern w:val="0"/>
          <w14:ligatures w14:val="none"/>
        </w:rPr>
        <w:t>integrujących</w:t>
      </w:r>
      <w:r w:rsidR="003B50ED" w:rsidRPr="00203429">
        <w:rPr>
          <w:rFonts w:eastAsia="Calibri" w:cstheme="minorHAnsi"/>
          <w:kern w:val="0"/>
          <w14:ligatures w14:val="none"/>
        </w:rPr>
        <w:t xml:space="preserve"> </w:t>
      </w:r>
      <w:r w:rsidR="00857736" w:rsidRPr="00203429">
        <w:rPr>
          <w:rFonts w:eastAsia="Calibri" w:cstheme="minorHAnsi"/>
          <w:kern w:val="0"/>
          <w14:ligatures w14:val="none"/>
        </w:rPr>
        <w:t>oraz</w:t>
      </w:r>
      <w:r w:rsidR="003B50ED" w:rsidRPr="00203429">
        <w:rPr>
          <w:rFonts w:eastAsia="Calibri" w:cstheme="minorHAnsi"/>
          <w:kern w:val="0"/>
          <w14:ligatures w14:val="none"/>
        </w:rPr>
        <w:t xml:space="preserve"> </w:t>
      </w:r>
      <w:r w:rsidR="00857736" w:rsidRPr="00203429">
        <w:rPr>
          <w:rFonts w:eastAsia="Calibri" w:cstheme="minorHAnsi"/>
          <w:kern w:val="0"/>
          <w14:ligatures w14:val="none"/>
        </w:rPr>
        <w:t>wykazaną</w:t>
      </w:r>
      <w:r w:rsidR="003B50ED" w:rsidRPr="00203429">
        <w:rPr>
          <w:rFonts w:eastAsia="Calibri" w:cstheme="minorHAnsi"/>
          <w:kern w:val="0"/>
          <w14:ligatures w14:val="none"/>
        </w:rPr>
        <w:t xml:space="preserve"> </w:t>
      </w:r>
      <w:r w:rsidR="00857736" w:rsidRPr="00203429">
        <w:rPr>
          <w:rFonts w:eastAsia="Calibri" w:cstheme="minorHAnsi"/>
          <w:kern w:val="0"/>
          <w14:ligatures w14:val="none"/>
        </w:rPr>
        <w:t>wyżej</w:t>
      </w:r>
      <w:r w:rsidR="003B50ED" w:rsidRPr="00203429">
        <w:rPr>
          <w:rFonts w:eastAsia="Calibri" w:cstheme="minorHAnsi"/>
          <w:kern w:val="0"/>
          <w14:ligatures w14:val="none"/>
        </w:rPr>
        <w:t xml:space="preserve"> </w:t>
      </w:r>
      <w:r w:rsidR="00857736" w:rsidRPr="00203429">
        <w:rPr>
          <w:rFonts w:eastAsia="Calibri" w:cstheme="minorHAnsi"/>
          <w:kern w:val="0"/>
          <w14:ligatures w14:val="none"/>
        </w:rPr>
        <w:t>komplementarność</w:t>
      </w:r>
      <w:r w:rsidR="003B50ED" w:rsidRPr="00203429">
        <w:rPr>
          <w:rFonts w:eastAsia="Calibri" w:cstheme="minorHAnsi"/>
          <w:kern w:val="0"/>
          <w14:ligatures w14:val="none"/>
        </w:rPr>
        <w:t xml:space="preserve"> </w:t>
      </w:r>
      <w:r w:rsidR="00857736" w:rsidRPr="00203429">
        <w:rPr>
          <w:rFonts w:eastAsia="Calibri" w:cstheme="minorHAnsi"/>
          <w:kern w:val="0"/>
          <w14:ligatures w14:val="none"/>
        </w:rPr>
        <w:t>przedsięwzięć,</w:t>
      </w:r>
      <w:r w:rsidR="003B50ED" w:rsidRPr="00203429">
        <w:rPr>
          <w:rFonts w:eastAsia="Calibri" w:cstheme="minorHAnsi"/>
          <w:kern w:val="0"/>
          <w14:ligatures w14:val="none"/>
        </w:rPr>
        <w:t xml:space="preserve"> </w:t>
      </w:r>
      <w:r w:rsidRPr="00203429">
        <w:rPr>
          <w:rFonts w:cstheme="minorHAnsi"/>
        </w:rPr>
        <w:t xml:space="preserve">zostanie podjętych </w:t>
      </w:r>
      <w:r w:rsidR="00857736" w:rsidRPr="00203429">
        <w:rPr>
          <w:rFonts w:eastAsia="Calibri" w:cstheme="minorHAnsi"/>
          <w:kern w:val="0"/>
          <w14:ligatures w14:val="none"/>
        </w:rPr>
        <w:t>szereg</w:t>
      </w:r>
      <w:r w:rsidR="003B50ED" w:rsidRPr="00203429">
        <w:rPr>
          <w:rFonts w:eastAsia="Calibri" w:cstheme="minorHAnsi"/>
          <w:kern w:val="0"/>
          <w14:ligatures w14:val="none"/>
        </w:rPr>
        <w:t xml:space="preserve"> </w:t>
      </w:r>
      <w:r w:rsidR="00857736" w:rsidRPr="00203429">
        <w:rPr>
          <w:rFonts w:eastAsia="Calibri" w:cstheme="minorHAnsi"/>
          <w:kern w:val="0"/>
          <w14:ligatures w14:val="none"/>
        </w:rPr>
        <w:t>działań</w:t>
      </w:r>
      <w:r w:rsidR="003B50ED" w:rsidRPr="00203429">
        <w:rPr>
          <w:rFonts w:eastAsia="Calibri" w:cstheme="minorHAnsi"/>
          <w:kern w:val="0"/>
          <w14:ligatures w14:val="none"/>
        </w:rPr>
        <w:t xml:space="preserve"> </w:t>
      </w:r>
      <w:r w:rsidR="00857736" w:rsidRPr="00203429">
        <w:rPr>
          <w:rFonts w:eastAsia="Calibri" w:cstheme="minorHAnsi"/>
          <w:kern w:val="0"/>
          <w14:ligatures w14:val="none"/>
        </w:rPr>
        <w:t>w</w:t>
      </w:r>
      <w:r w:rsidR="003B50ED" w:rsidRPr="00203429">
        <w:rPr>
          <w:rFonts w:eastAsia="Calibri" w:cstheme="minorHAnsi"/>
          <w:kern w:val="0"/>
          <w14:ligatures w14:val="none"/>
        </w:rPr>
        <w:t xml:space="preserve"> </w:t>
      </w:r>
      <w:r w:rsidR="00857736" w:rsidRPr="00203429">
        <w:rPr>
          <w:rFonts w:eastAsia="Calibri" w:cstheme="minorHAnsi"/>
          <w:kern w:val="0"/>
          <w14:ligatures w14:val="none"/>
        </w:rPr>
        <w:t>celu</w:t>
      </w:r>
      <w:r w:rsidR="003B50ED" w:rsidRPr="00203429">
        <w:rPr>
          <w:rFonts w:eastAsia="Calibri" w:cstheme="minorHAnsi"/>
          <w:kern w:val="0"/>
          <w14:ligatures w14:val="none"/>
        </w:rPr>
        <w:t xml:space="preserve"> </w:t>
      </w:r>
      <w:r w:rsidR="00857736" w:rsidRPr="00203429">
        <w:rPr>
          <w:rFonts w:eastAsia="Calibri" w:cstheme="minorHAnsi"/>
          <w:kern w:val="0"/>
          <w14:ligatures w14:val="none"/>
        </w:rPr>
        <w:t>integrowania</w:t>
      </w:r>
      <w:r w:rsidR="003B50ED" w:rsidRPr="00203429">
        <w:rPr>
          <w:rFonts w:eastAsia="Calibri" w:cstheme="minorHAnsi"/>
          <w:kern w:val="0"/>
          <w14:ligatures w14:val="none"/>
        </w:rPr>
        <w:t xml:space="preserve"> </w:t>
      </w:r>
      <w:r w:rsidR="00857736" w:rsidRPr="00203429">
        <w:rPr>
          <w:rFonts w:eastAsia="Calibri" w:cstheme="minorHAnsi"/>
          <w:kern w:val="0"/>
          <w14:ligatures w14:val="none"/>
        </w:rPr>
        <w:t>sektorów,</w:t>
      </w:r>
      <w:r w:rsidR="003B50ED" w:rsidRPr="00203429">
        <w:rPr>
          <w:rFonts w:eastAsia="Calibri" w:cstheme="minorHAnsi"/>
          <w:kern w:val="0"/>
          <w14:ligatures w14:val="none"/>
        </w:rPr>
        <w:t xml:space="preserve"> </w:t>
      </w:r>
      <w:r w:rsidR="00857736" w:rsidRPr="00203429">
        <w:rPr>
          <w:rFonts w:eastAsia="Calibri" w:cstheme="minorHAnsi"/>
          <w:kern w:val="0"/>
          <w14:ligatures w14:val="none"/>
        </w:rPr>
        <w:t>partnerów,</w:t>
      </w:r>
      <w:r w:rsidR="003B50ED" w:rsidRPr="00203429">
        <w:rPr>
          <w:rFonts w:eastAsia="Calibri" w:cstheme="minorHAnsi"/>
          <w:kern w:val="0"/>
          <w14:ligatures w14:val="none"/>
        </w:rPr>
        <w:t xml:space="preserve"> </w:t>
      </w:r>
      <w:r w:rsidR="00857736" w:rsidRPr="00203429">
        <w:rPr>
          <w:rFonts w:eastAsia="Calibri" w:cstheme="minorHAnsi"/>
          <w:kern w:val="0"/>
          <w14:ligatures w14:val="none"/>
        </w:rPr>
        <w:t>zasobów</w:t>
      </w:r>
      <w:r w:rsidR="003B50ED" w:rsidRPr="00203429">
        <w:rPr>
          <w:rFonts w:eastAsia="Calibri" w:cstheme="minorHAnsi"/>
          <w:kern w:val="0"/>
          <w14:ligatures w14:val="none"/>
        </w:rPr>
        <w:t xml:space="preserve"> </w:t>
      </w:r>
      <w:r w:rsidR="00857736" w:rsidRPr="00203429">
        <w:rPr>
          <w:rFonts w:eastAsia="Calibri" w:cstheme="minorHAnsi"/>
          <w:kern w:val="0"/>
          <w14:ligatures w14:val="none"/>
        </w:rPr>
        <w:t>i</w:t>
      </w:r>
      <w:r w:rsidR="003B50ED" w:rsidRPr="00203429">
        <w:rPr>
          <w:rFonts w:eastAsia="Calibri" w:cstheme="minorHAnsi"/>
          <w:kern w:val="0"/>
          <w14:ligatures w14:val="none"/>
        </w:rPr>
        <w:t xml:space="preserve"> </w:t>
      </w:r>
      <w:r w:rsidR="00857736" w:rsidRPr="00203429">
        <w:rPr>
          <w:rFonts w:eastAsia="Calibri" w:cstheme="minorHAnsi"/>
          <w:kern w:val="0"/>
          <w14:ligatures w14:val="none"/>
        </w:rPr>
        <w:t>branż</w:t>
      </w:r>
      <w:r w:rsidR="003B50ED" w:rsidRPr="00203429">
        <w:rPr>
          <w:rFonts w:eastAsia="Calibri" w:cstheme="minorHAnsi"/>
          <w:kern w:val="0"/>
          <w14:ligatures w14:val="none"/>
        </w:rPr>
        <w:t xml:space="preserve"> </w:t>
      </w:r>
      <w:r w:rsidR="00857736" w:rsidRPr="00203429">
        <w:rPr>
          <w:rFonts w:eastAsia="Calibri" w:cstheme="minorHAnsi"/>
          <w:kern w:val="0"/>
          <w14:ligatures w14:val="none"/>
        </w:rPr>
        <w:t>w</w:t>
      </w:r>
      <w:r w:rsidR="003B50ED" w:rsidRPr="00203429">
        <w:rPr>
          <w:rFonts w:eastAsia="Calibri" w:cstheme="minorHAnsi"/>
          <w:kern w:val="0"/>
          <w14:ligatures w14:val="none"/>
        </w:rPr>
        <w:t xml:space="preserve"> </w:t>
      </w:r>
      <w:r w:rsidR="00857736" w:rsidRPr="00203429">
        <w:rPr>
          <w:rFonts w:eastAsia="Calibri" w:cstheme="minorHAnsi"/>
          <w:kern w:val="0"/>
          <w14:ligatures w14:val="none"/>
        </w:rPr>
        <w:t>celu</w:t>
      </w:r>
      <w:r w:rsidR="003B50ED" w:rsidRPr="00203429">
        <w:rPr>
          <w:rFonts w:eastAsia="Calibri" w:cstheme="minorHAnsi"/>
          <w:kern w:val="0"/>
          <w14:ligatures w14:val="none"/>
        </w:rPr>
        <w:t xml:space="preserve"> </w:t>
      </w:r>
      <w:r w:rsidR="00857736" w:rsidRPr="00203429">
        <w:rPr>
          <w:rFonts w:eastAsia="Calibri" w:cstheme="minorHAnsi"/>
          <w:kern w:val="0"/>
          <w14:ligatures w14:val="none"/>
        </w:rPr>
        <w:t>kompleksowej</w:t>
      </w:r>
      <w:r w:rsidR="003B50ED" w:rsidRPr="00203429">
        <w:rPr>
          <w:rFonts w:eastAsia="Calibri" w:cstheme="minorHAnsi"/>
          <w:kern w:val="0"/>
          <w14:ligatures w14:val="none"/>
        </w:rPr>
        <w:t xml:space="preserve"> </w:t>
      </w:r>
      <w:r w:rsidR="00857736" w:rsidRPr="00203429">
        <w:rPr>
          <w:rFonts w:eastAsia="Calibri" w:cstheme="minorHAnsi"/>
          <w:kern w:val="0"/>
          <w14:ligatures w14:val="none"/>
        </w:rPr>
        <w:t>realizacji</w:t>
      </w:r>
      <w:r w:rsidR="003B50ED" w:rsidRPr="00203429">
        <w:rPr>
          <w:rFonts w:eastAsia="Calibri" w:cstheme="minorHAnsi"/>
          <w:kern w:val="0"/>
          <w14:ligatures w14:val="none"/>
        </w:rPr>
        <w:t xml:space="preserve"> </w:t>
      </w:r>
      <w:r w:rsidR="00857736" w:rsidRPr="00203429">
        <w:rPr>
          <w:rFonts w:eastAsia="Calibri" w:cstheme="minorHAnsi"/>
          <w:kern w:val="0"/>
          <w14:ligatures w14:val="none"/>
        </w:rPr>
        <w:t>przedsięwzięć.</w:t>
      </w:r>
      <w:r w:rsidR="003B50ED" w:rsidRPr="00203429">
        <w:rPr>
          <w:rFonts w:eastAsia="Calibri" w:cstheme="minorHAnsi"/>
          <w:kern w:val="0"/>
          <w14:ligatures w14:val="none"/>
        </w:rPr>
        <w:t xml:space="preserve"> </w:t>
      </w:r>
      <w:r w:rsidR="00857736" w:rsidRPr="00203429">
        <w:rPr>
          <w:rFonts w:eastAsia="Calibri" w:cstheme="minorHAnsi"/>
          <w:kern w:val="0"/>
          <w14:ligatures w14:val="none"/>
        </w:rPr>
        <w:t>W</w:t>
      </w:r>
      <w:r w:rsidR="003B50ED" w:rsidRPr="00203429">
        <w:rPr>
          <w:rFonts w:eastAsia="Calibri" w:cstheme="minorHAnsi"/>
          <w:kern w:val="0"/>
          <w14:ligatures w14:val="none"/>
        </w:rPr>
        <w:t xml:space="preserve"> </w:t>
      </w:r>
      <w:r w:rsidR="00857736" w:rsidRPr="00203429">
        <w:rPr>
          <w:rFonts w:eastAsia="Calibri" w:cstheme="minorHAnsi"/>
          <w:kern w:val="0"/>
          <w14:ligatures w14:val="none"/>
        </w:rPr>
        <w:t>przypadku</w:t>
      </w:r>
      <w:r w:rsidR="003B50ED" w:rsidRPr="00203429">
        <w:rPr>
          <w:rFonts w:eastAsia="Calibri" w:cstheme="minorHAnsi"/>
          <w:kern w:val="0"/>
          <w14:ligatures w14:val="none"/>
        </w:rPr>
        <w:t xml:space="preserve"> </w:t>
      </w:r>
      <w:r w:rsidR="00857736" w:rsidRPr="00203429">
        <w:rPr>
          <w:rFonts w:eastAsia="Calibri" w:cstheme="minorHAnsi"/>
          <w:kern w:val="0"/>
          <w14:ligatures w14:val="none"/>
        </w:rPr>
        <w:t>LSR</w:t>
      </w:r>
      <w:r w:rsidR="003B50ED" w:rsidRPr="00203429">
        <w:rPr>
          <w:rFonts w:eastAsia="Calibri" w:cstheme="minorHAnsi"/>
          <w:kern w:val="0"/>
          <w14:ligatures w14:val="none"/>
        </w:rPr>
        <w:t xml:space="preserve"> </w:t>
      </w:r>
      <w:r w:rsidRPr="00203429">
        <w:rPr>
          <w:rFonts w:eastAsia="Calibri" w:cstheme="minorHAnsi"/>
          <w:kern w:val="0"/>
          <w14:ligatures w14:val="none"/>
        </w:rPr>
        <w:t xml:space="preserve">na lata 2023-2027 </w:t>
      </w:r>
      <w:r w:rsidR="00857736" w:rsidRPr="00203429">
        <w:rPr>
          <w:rFonts w:eastAsia="Calibri" w:cstheme="minorHAnsi"/>
          <w:kern w:val="0"/>
          <w14:ligatures w14:val="none"/>
        </w:rPr>
        <w:t>ma</w:t>
      </w:r>
      <w:r w:rsidR="003B50ED" w:rsidRPr="00203429">
        <w:rPr>
          <w:rFonts w:eastAsia="Calibri" w:cstheme="minorHAnsi"/>
          <w:kern w:val="0"/>
          <w14:ligatures w14:val="none"/>
        </w:rPr>
        <w:t xml:space="preserve"> </w:t>
      </w:r>
      <w:r w:rsidR="00857736" w:rsidRPr="00203429">
        <w:rPr>
          <w:rFonts w:eastAsia="Calibri" w:cstheme="minorHAnsi"/>
          <w:kern w:val="0"/>
          <w14:ligatures w14:val="none"/>
        </w:rPr>
        <w:t>to</w:t>
      </w:r>
      <w:r w:rsidR="003B50ED" w:rsidRPr="00203429">
        <w:rPr>
          <w:rFonts w:eastAsia="Calibri" w:cstheme="minorHAnsi"/>
          <w:kern w:val="0"/>
          <w14:ligatures w14:val="none"/>
        </w:rPr>
        <w:t xml:space="preserve"> </w:t>
      </w:r>
      <w:r w:rsidRPr="00203429">
        <w:rPr>
          <w:rFonts w:eastAsia="Calibri" w:cstheme="minorHAnsi"/>
          <w:kern w:val="0"/>
          <w14:ligatures w14:val="none"/>
        </w:rPr>
        <w:t xml:space="preserve">szczególne </w:t>
      </w:r>
      <w:r w:rsidR="00857736" w:rsidRPr="00203429">
        <w:rPr>
          <w:rFonts w:eastAsia="Calibri" w:cstheme="minorHAnsi"/>
          <w:kern w:val="0"/>
          <w14:ligatures w14:val="none"/>
        </w:rPr>
        <w:t>znaczenie</w:t>
      </w:r>
      <w:r w:rsidR="003B50ED" w:rsidRPr="00203429">
        <w:rPr>
          <w:rFonts w:eastAsia="Calibri" w:cstheme="minorHAnsi"/>
          <w:kern w:val="0"/>
          <w14:ligatures w14:val="none"/>
        </w:rPr>
        <w:t xml:space="preserve"> </w:t>
      </w:r>
      <w:r w:rsidR="00857736" w:rsidRPr="00203429">
        <w:rPr>
          <w:rFonts w:eastAsia="Calibri" w:cstheme="minorHAnsi"/>
          <w:kern w:val="0"/>
          <w14:ligatures w14:val="none"/>
        </w:rPr>
        <w:t>z</w:t>
      </w:r>
      <w:r w:rsidR="003B50ED" w:rsidRPr="00203429">
        <w:rPr>
          <w:rFonts w:eastAsia="Calibri" w:cstheme="minorHAnsi"/>
          <w:kern w:val="0"/>
          <w14:ligatures w14:val="none"/>
        </w:rPr>
        <w:t xml:space="preserve"> </w:t>
      </w:r>
      <w:r w:rsidR="00857736" w:rsidRPr="00203429">
        <w:rPr>
          <w:rFonts w:eastAsia="Calibri" w:cstheme="minorHAnsi"/>
          <w:kern w:val="0"/>
          <w14:ligatures w14:val="none"/>
        </w:rPr>
        <w:t>uwagi</w:t>
      </w:r>
      <w:r w:rsidR="003B50ED" w:rsidRPr="00203429">
        <w:rPr>
          <w:rFonts w:eastAsia="Calibri" w:cstheme="minorHAnsi"/>
          <w:kern w:val="0"/>
          <w14:ligatures w14:val="none"/>
        </w:rPr>
        <w:t xml:space="preserve"> </w:t>
      </w:r>
      <w:r w:rsidR="00857736" w:rsidRPr="00203429">
        <w:rPr>
          <w:rFonts w:eastAsia="Calibri" w:cstheme="minorHAnsi"/>
          <w:kern w:val="0"/>
          <w14:ligatures w14:val="none"/>
        </w:rPr>
        <w:t>na</w:t>
      </w:r>
      <w:r w:rsidR="003B50ED" w:rsidRPr="00203429">
        <w:rPr>
          <w:rFonts w:eastAsia="Calibri" w:cstheme="minorHAnsi"/>
          <w:kern w:val="0"/>
          <w14:ligatures w14:val="none"/>
        </w:rPr>
        <w:t xml:space="preserve"> </w:t>
      </w:r>
      <w:r w:rsidR="00857736" w:rsidRPr="00203429">
        <w:rPr>
          <w:rFonts w:eastAsia="Calibri" w:cstheme="minorHAnsi"/>
          <w:kern w:val="0"/>
          <w14:ligatures w14:val="none"/>
        </w:rPr>
        <w:t>skrócony</w:t>
      </w:r>
      <w:r w:rsidR="003B50ED" w:rsidRPr="00203429">
        <w:rPr>
          <w:rFonts w:eastAsia="Calibri" w:cstheme="minorHAnsi"/>
          <w:kern w:val="0"/>
          <w14:ligatures w14:val="none"/>
        </w:rPr>
        <w:t xml:space="preserve"> </w:t>
      </w:r>
      <w:r w:rsidR="00857736" w:rsidRPr="00203429">
        <w:rPr>
          <w:rFonts w:eastAsia="Calibri" w:cstheme="minorHAnsi"/>
          <w:kern w:val="0"/>
          <w14:ligatures w14:val="none"/>
        </w:rPr>
        <w:t>okres</w:t>
      </w:r>
      <w:r w:rsidR="003B50ED" w:rsidRPr="00203429">
        <w:rPr>
          <w:rFonts w:eastAsia="Calibri" w:cstheme="minorHAnsi"/>
          <w:kern w:val="0"/>
          <w14:ligatures w14:val="none"/>
        </w:rPr>
        <w:t xml:space="preserve"> </w:t>
      </w:r>
      <w:r w:rsidR="00857736" w:rsidRPr="00203429">
        <w:rPr>
          <w:rFonts w:eastAsia="Calibri" w:cstheme="minorHAnsi"/>
          <w:kern w:val="0"/>
          <w14:ligatures w14:val="none"/>
        </w:rPr>
        <w:t>wdrażania</w:t>
      </w:r>
      <w:r w:rsidR="003B50ED" w:rsidRPr="00203429">
        <w:rPr>
          <w:rFonts w:eastAsia="Calibri" w:cstheme="minorHAnsi"/>
          <w:kern w:val="0"/>
          <w14:ligatures w14:val="none"/>
        </w:rPr>
        <w:t xml:space="preserve"> </w:t>
      </w:r>
      <w:r w:rsidR="00857736" w:rsidRPr="00203429">
        <w:rPr>
          <w:rFonts w:eastAsia="Calibri" w:cstheme="minorHAnsi"/>
          <w:kern w:val="0"/>
          <w14:ligatures w14:val="none"/>
        </w:rPr>
        <w:t>LSR</w:t>
      </w:r>
      <w:r w:rsidR="003B50ED" w:rsidRPr="00203429">
        <w:rPr>
          <w:rFonts w:eastAsia="Calibri" w:cstheme="minorHAnsi"/>
          <w:kern w:val="0"/>
          <w14:ligatures w14:val="none"/>
        </w:rPr>
        <w:t xml:space="preserve"> </w:t>
      </w:r>
      <w:r w:rsidR="00857736" w:rsidRPr="00203429">
        <w:rPr>
          <w:rFonts w:eastAsia="Calibri" w:cstheme="minorHAnsi"/>
          <w:kern w:val="0"/>
          <w14:ligatures w14:val="none"/>
        </w:rPr>
        <w:t>oraz</w:t>
      </w:r>
      <w:r w:rsidR="003B50ED" w:rsidRPr="00203429">
        <w:rPr>
          <w:rFonts w:eastAsia="Calibri" w:cstheme="minorHAnsi"/>
          <w:kern w:val="0"/>
          <w14:ligatures w14:val="none"/>
        </w:rPr>
        <w:t xml:space="preserve"> </w:t>
      </w:r>
      <w:r w:rsidR="00857736" w:rsidRPr="00203429">
        <w:rPr>
          <w:rFonts w:eastAsia="Calibri" w:cstheme="minorHAnsi"/>
          <w:kern w:val="0"/>
          <w14:ligatures w14:val="none"/>
        </w:rPr>
        <w:t>ograniczony</w:t>
      </w:r>
      <w:r w:rsidR="003B50ED" w:rsidRPr="00203429">
        <w:rPr>
          <w:rFonts w:eastAsia="Calibri" w:cstheme="minorHAnsi"/>
          <w:kern w:val="0"/>
          <w14:ligatures w14:val="none"/>
        </w:rPr>
        <w:t xml:space="preserve"> </w:t>
      </w:r>
      <w:r w:rsidR="00857736" w:rsidRPr="00203429">
        <w:rPr>
          <w:rFonts w:eastAsia="Calibri" w:cstheme="minorHAnsi"/>
          <w:kern w:val="0"/>
          <w14:ligatures w14:val="none"/>
        </w:rPr>
        <w:t>budżet</w:t>
      </w:r>
      <w:r w:rsidR="003B50ED" w:rsidRPr="00203429">
        <w:rPr>
          <w:rFonts w:eastAsia="Calibri" w:cstheme="minorHAnsi"/>
          <w:kern w:val="0"/>
          <w14:ligatures w14:val="none"/>
        </w:rPr>
        <w:t xml:space="preserve"> </w:t>
      </w:r>
      <w:r w:rsidR="00857736" w:rsidRPr="00203429">
        <w:rPr>
          <w:rFonts w:eastAsia="Calibri" w:cstheme="minorHAnsi"/>
          <w:kern w:val="0"/>
          <w14:ligatures w14:val="none"/>
        </w:rPr>
        <w:t>jaki</w:t>
      </w:r>
      <w:r w:rsidR="003B50ED" w:rsidRPr="00203429">
        <w:rPr>
          <w:rFonts w:eastAsia="Calibri" w:cstheme="minorHAnsi"/>
          <w:kern w:val="0"/>
          <w14:ligatures w14:val="none"/>
        </w:rPr>
        <w:t xml:space="preserve"> </w:t>
      </w:r>
      <w:r w:rsidR="00857736" w:rsidRPr="00203429">
        <w:rPr>
          <w:rFonts w:eastAsia="Calibri" w:cstheme="minorHAnsi"/>
          <w:kern w:val="0"/>
          <w14:ligatures w14:val="none"/>
        </w:rPr>
        <w:t>przypada</w:t>
      </w:r>
      <w:r w:rsidR="003B50ED" w:rsidRPr="00203429">
        <w:rPr>
          <w:rFonts w:eastAsia="Calibri" w:cstheme="minorHAnsi"/>
          <w:kern w:val="0"/>
          <w14:ligatures w14:val="none"/>
        </w:rPr>
        <w:t xml:space="preserve"> </w:t>
      </w:r>
      <w:r w:rsidR="00857736" w:rsidRPr="00203429">
        <w:rPr>
          <w:rFonts w:eastAsia="Calibri" w:cstheme="minorHAnsi"/>
          <w:kern w:val="0"/>
          <w14:ligatures w14:val="none"/>
        </w:rPr>
        <w:t>na</w:t>
      </w:r>
      <w:r w:rsidR="003B50ED" w:rsidRPr="00203429">
        <w:rPr>
          <w:rFonts w:eastAsia="Calibri" w:cstheme="minorHAnsi"/>
          <w:kern w:val="0"/>
          <w14:ligatures w14:val="none"/>
        </w:rPr>
        <w:t xml:space="preserve"> </w:t>
      </w:r>
      <w:r w:rsidR="00857736" w:rsidRPr="00203429">
        <w:rPr>
          <w:rFonts w:eastAsia="Calibri" w:cstheme="minorHAnsi"/>
          <w:kern w:val="0"/>
          <w14:ligatures w14:val="none"/>
        </w:rPr>
        <w:t>konkretny</w:t>
      </w:r>
      <w:r w:rsidR="003B50ED" w:rsidRPr="00203429">
        <w:rPr>
          <w:rFonts w:eastAsia="Calibri" w:cstheme="minorHAnsi"/>
          <w:kern w:val="0"/>
          <w14:ligatures w14:val="none"/>
        </w:rPr>
        <w:t xml:space="preserve"> </w:t>
      </w:r>
      <w:r w:rsidR="00857736" w:rsidRPr="00203429">
        <w:rPr>
          <w:rFonts w:eastAsia="Calibri" w:cstheme="minorHAnsi"/>
          <w:kern w:val="0"/>
          <w14:ligatures w14:val="none"/>
        </w:rPr>
        <w:t>obszar.</w:t>
      </w:r>
      <w:r w:rsidR="003B50ED" w:rsidRPr="00203429">
        <w:rPr>
          <w:rFonts w:eastAsia="Calibri" w:cstheme="minorHAnsi"/>
          <w:kern w:val="0"/>
          <w14:ligatures w14:val="none"/>
        </w:rPr>
        <w:t xml:space="preserve"> </w:t>
      </w:r>
    </w:p>
    <w:p w14:paraId="68ACD3E7" w14:textId="0A7FB3EC" w:rsidR="00857736" w:rsidRPr="00A26C26" w:rsidRDefault="00857736" w:rsidP="00A26C26">
      <w:pPr>
        <w:spacing w:line="276" w:lineRule="auto"/>
        <w:ind w:firstLine="360"/>
        <w:jc w:val="both"/>
        <w:rPr>
          <w:rFonts w:eastAsia="Calibri" w:cstheme="minorHAnsi"/>
          <w:kern w:val="0"/>
          <w14:ligatures w14:val="none"/>
        </w:rPr>
      </w:pPr>
      <w:r w:rsidRPr="00203429">
        <w:rPr>
          <w:rFonts w:eastAsia="Calibri" w:cstheme="minorHAnsi"/>
          <w:kern w:val="0"/>
          <w14:ligatures w14:val="none"/>
        </w:rPr>
        <w:t>Doskonałym</w:t>
      </w:r>
      <w:r w:rsidR="003B50ED" w:rsidRPr="00203429">
        <w:rPr>
          <w:rFonts w:eastAsia="Calibri" w:cstheme="minorHAnsi"/>
          <w:kern w:val="0"/>
          <w14:ligatures w14:val="none"/>
        </w:rPr>
        <w:t xml:space="preserve"> </w:t>
      </w:r>
      <w:r w:rsidRPr="00203429">
        <w:rPr>
          <w:rFonts w:eastAsia="Calibri" w:cstheme="minorHAnsi"/>
          <w:kern w:val="0"/>
          <w14:ligatures w14:val="none"/>
        </w:rPr>
        <w:t>narzędziem</w:t>
      </w:r>
      <w:r w:rsidR="003B50ED" w:rsidRPr="00203429">
        <w:rPr>
          <w:rFonts w:eastAsia="Calibri" w:cstheme="minorHAnsi"/>
          <w:kern w:val="0"/>
          <w14:ligatures w14:val="none"/>
        </w:rPr>
        <w:t xml:space="preserve"> </w:t>
      </w:r>
      <w:r w:rsidR="00E66FB4" w:rsidRPr="00203429">
        <w:rPr>
          <w:rFonts w:eastAsia="Calibri" w:cstheme="minorHAnsi"/>
          <w:kern w:val="0"/>
          <w14:ligatures w14:val="none"/>
        </w:rPr>
        <w:t xml:space="preserve">w tym zakresie będą </w:t>
      </w:r>
      <w:r w:rsidRPr="00203429">
        <w:rPr>
          <w:rFonts w:eastAsia="Calibri" w:cstheme="minorHAnsi"/>
          <w:kern w:val="0"/>
          <w14:ligatures w14:val="none"/>
        </w:rPr>
        <w:t>działania</w:t>
      </w:r>
      <w:r w:rsidR="003B50ED" w:rsidRPr="00203429">
        <w:rPr>
          <w:rFonts w:eastAsia="Calibri" w:cstheme="minorHAnsi"/>
          <w:kern w:val="0"/>
          <w14:ligatures w14:val="none"/>
        </w:rPr>
        <w:t xml:space="preserve"> </w:t>
      </w:r>
      <w:r w:rsidRPr="00203429">
        <w:rPr>
          <w:rFonts w:eastAsia="Calibri" w:cstheme="minorHAnsi"/>
          <w:kern w:val="0"/>
          <w14:ligatures w14:val="none"/>
        </w:rPr>
        <w:t>zaplanowane</w:t>
      </w:r>
      <w:r w:rsidR="003B50ED" w:rsidRPr="00203429">
        <w:rPr>
          <w:rFonts w:eastAsia="Calibri" w:cstheme="minorHAnsi"/>
          <w:kern w:val="0"/>
          <w14:ligatures w14:val="none"/>
        </w:rPr>
        <w:t xml:space="preserve"> </w:t>
      </w:r>
      <w:r w:rsidRPr="00203429">
        <w:rPr>
          <w:rFonts w:eastAsia="Calibri" w:cstheme="minorHAnsi"/>
          <w:kern w:val="0"/>
          <w14:ligatures w14:val="none"/>
        </w:rPr>
        <w:t>w</w:t>
      </w:r>
      <w:r w:rsidR="003B50ED" w:rsidRPr="00203429">
        <w:rPr>
          <w:rFonts w:eastAsia="Calibri" w:cstheme="minorHAnsi"/>
          <w:kern w:val="0"/>
          <w14:ligatures w14:val="none"/>
        </w:rPr>
        <w:t xml:space="preserve"> </w:t>
      </w:r>
      <w:r w:rsidRPr="00203429">
        <w:rPr>
          <w:rFonts w:eastAsia="Calibri" w:cstheme="minorHAnsi"/>
          <w:kern w:val="0"/>
          <w14:ligatures w14:val="none"/>
        </w:rPr>
        <w:t>ramach</w:t>
      </w:r>
      <w:r w:rsidR="003B50ED" w:rsidRPr="00203429">
        <w:rPr>
          <w:rFonts w:eastAsia="Calibri" w:cstheme="minorHAnsi"/>
          <w:kern w:val="0"/>
          <w14:ligatures w14:val="none"/>
        </w:rPr>
        <w:t xml:space="preserve"> </w:t>
      </w:r>
      <w:r w:rsidRPr="00203429">
        <w:rPr>
          <w:rFonts w:eastAsia="Calibri" w:cstheme="minorHAnsi"/>
          <w:kern w:val="0"/>
          <w14:ligatures w14:val="none"/>
        </w:rPr>
        <w:t>Planu</w:t>
      </w:r>
      <w:r w:rsidR="003B50ED" w:rsidRPr="00203429">
        <w:rPr>
          <w:rFonts w:eastAsia="Calibri" w:cstheme="minorHAnsi"/>
          <w:kern w:val="0"/>
          <w14:ligatures w14:val="none"/>
        </w:rPr>
        <w:t xml:space="preserve"> </w:t>
      </w:r>
      <w:r w:rsidRPr="00203429">
        <w:rPr>
          <w:rFonts w:eastAsia="Calibri" w:cstheme="minorHAnsi"/>
          <w:kern w:val="0"/>
          <w14:ligatures w14:val="none"/>
        </w:rPr>
        <w:t>komunikacji,</w:t>
      </w:r>
      <w:r w:rsidR="003B50ED" w:rsidRPr="00203429">
        <w:rPr>
          <w:rFonts w:eastAsia="Calibri" w:cstheme="minorHAnsi"/>
          <w:kern w:val="0"/>
          <w14:ligatures w14:val="none"/>
        </w:rPr>
        <w:t xml:space="preserve"> </w:t>
      </w:r>
      <w:r w:rsidRPr="00203429">
        <w:rPr>
          <w:rFonts w:eastAsia="Calibri" w:cstheme="minorHAnsi"/>
          <w:kern w:val="0"/>
          <w14:ligatures w14:val="none"/>
        </w:rPr>
        <w:t>których</w:t>
      </w:r>
      <w:r w:rsidR="003B50ED" w:rsidRPr="00203429">
        <w:rPr>
          <w:rFonts w:eastAsia="Calibri" w:cstheme="minorHAnsi"/>
          <w:kern w:val="0"/>
          <w14:ligatures w14:val="none"/>
        </w:rPr>
        <w:t xml:space="preserve"> </w:t>
      </w:r>
      <w:r w:rsidRPr="00203429">
        <w:rPr>
          <w:rFonts w:eastAsia="Calibri" w:cstheme="minorHAnsi"/>
          <w:kern w:val="0"/>
          <w14:ligatures w14:val="none"/>
        </w:rPr>
        <w:t>celem</w:t>
      </w:r>
      <w:r w:rsidR="003B50ED" w:rsidRPr="00203429">
        <w:rPr>
          <w:rFonts w:eastAsia="Calibri" w:cstheme="minorHAnsi"/>
          <w:kern w:val="0"/>
          <w14:ligatures w14:val="none"/>
        </w:rPr>
        <w:t xml:space="preserve"> </w:t>
      </w:r>
      <w:r w:rsidRPr="00203429">
        <w:rPr>
          <w:rFonts w:eastAsia="Calibri" w:cstheme="minorHAnsi"/>
          <w:kern w:val="0"/>
          <w14:ligatures w14:val="none"/>
        </w:rPr>
        <w:t>jest</w:t>
      </w:r>
      <w:r w:rsidR="003B50ED" w:rsidRPr="00203429">
        <w:rPr>
          <w:rFonts w:eastAsia="Calibri" w:cstheme="minorHAnsi"/>
          <w:kern w:val="0"/>
          <w14:ligatures w14:val="none"/>
        </w:rPr>
        <w:t xml:space="preserve"> </w:t>
      </w:r>
      <w:r w:rsidRPr="00203429">
        <w:rPr>
          <w:rFonts w:eastAsia="Calibri" w:cstheme="minorHAnsi"/>
          <w:kern w:val="0"/>
          <w14:ligatures w14:val="none"/>
        </w:rPr>
        <w:t>podnoszenie</w:t>
      </w:r>
      <w:r w:rsidR="003B50ED" w:rsidRPr="00203429">
        <w:rPr>
          <w:rFonts w:eastAsia="Calibri" w:cstheme="minorHAnsi"/>
          <w:kern w:val="0"/>
          <w14:ligatures w14:val="none"/>
        </w:rPr>
        <w:t xml:space="preserve"> </w:t>
      </w:r>
      <w:r w:rsidRPr="00203429">
        <w:rPr>
          <w:rFonts w:eastAsia="Calibri" w:cstheme="minorHAnsi"/>
          <w:kern w:val="0"/>
          <w14:ligatures w14:val="none"/>
        </w:rPr>
        <w:t>świadomości</w:t>
      </w:r>
      <w:r w:rsidR="003B50ED" w:rsidRPr="00203429">
        <w:rPr>
          <w:rFonts w:eastAsia="Calibri" w:cstheme="minorHAnsi"/>
          <w:kern w:val="0"/>
          <w14:ligatures w14:val="none"/>
        </w:rPr>
        <w:t xml:space="preserve"> </w:t>
      </w:r>
      <w:r w:rsidRPr="00203429">
        <w:rPr>
          <w:rFonts w:eastAsia="Calibri" w:cstheme="minorHAnsi"/>
          <w:kern w:val="0"/>
          <w14:ligatures w14:val="none"/>
        </w:rPr>
        <w:t>i</w:t>
      </w:r>
      <w:r w:rsidR="003B50ED" w:rsidRPr="00203429">
        <w:rPr>
          <w:rFonts w:eastAsia="Calibri" w:cstheme="minorHAnsi"/>
          <w:kern w:val="0"/>
          <w14:ligatures w14:val="none"/>
        </w:rPr>
        <w:t xml:space="preserve"> </w:t>
      </w:r>
      <w:r w:rsidRPr="00A26C26">
        <w:rPr>
          <w:rFonts w:eastAsia="Calibri" w:cstheme="minorHAnsi"/>
          <w:kern w:val="0"/>
          <w14:ligatures w14:val="none"/>
        </w:rPr>
        <w:t>wzmacnianie</w:t>
      </w:r>
      <w:r w:rsidR="003B50ED">
        <w:rPr>
          <w:rFonts w:eastAsia="Calibri" w:cstheme="minorHAnsi"/>
          <w:kern w:val="0"/>
          <w14:ligatures w14:val="none"/>
        </w:rPr>
        <w:t xml:space="preserve"> </w:t>
      </w:r>
      <w:r w:rsidRPr="00A26C26">
        <w:rPr>
          <w:rFonts w:eastAsia="Calibri" w:cstheme="minorHAnsi"/>
          <w:kern w:val="0"/>
          <w14:ligatures w14:val="none"/>
        </w:rPr>
        <w:t>kompetencji</w:t>
      </w:r>
      <w:r w:rsidR="003B50ED">
        <w:rPr>
          <w:rFonts w:eastAsia="Calibri" w:cstheme="minorHAnsi"/>
          <w:kern w:val="0"/>
          <w14:ligatures w14:val="none"/>
        </w:rPr>
        <w:t xml:space="preserve"> </w:t>
      </w:r>
      <w:r w:rsidRPr="00A26C26">
        <w:rPr>
          <w:rFonts w:eastAsia="Calibri" w:cstheme="minorHAnsi"/>
          <w:kern w:val="0"/>
          <w14:ligatures w14:val="none"/>
        </w:rPr>
        <w:t>lokalnej</w:t>
      </w:r>
      <w:r w:rsidR="003B50ED">
        <w:rPr>
          <w:rFonts w:eastAsia="Calibri" w:cstheme="minorHAnsi"/>
          <w:kern w:val="0"/>
          <w14:ligatures w14:val="none"/>
        </w:rPr>
        <w:t xml:space="preserve"> </w:t>
      </w:r>
      <w:r w:rsidRPr="00A26C26">
        <w:rPr>
          <w:rFonts w:eastAsia="Calibri" w:cstheme="minorHAnsi"/>
          <w:kern w:val="0"/>
          <w14:ligatures w14:val="none"/>
        </w:rPr>
        <w:t>społeczności</w:t>
      </w:r>
      <w:r w:rsidR="003B50ED">
        <w:rPr>
          <w:rFonts w:eastAsia="Calibri" w:cstheme="minorHAnsi"/>
          <w:kern w:val="0"/>
          <w14:ligatures w14:val="none"/>
        </w:rPr>
        <w:t xml:space="preserve"> </w:t>
      </w:r>
      <w:r w:rsidRPr="00A26C26">
        <w:rPr>
          <w:rFonts w:eastAsia="Calibri" w:cstheme="minorHAnsi"/>
          <w:kern w:val="0"/>
          <w14:ligatures w14:val="none"/>
        </w:rPr>
        <w:t>m.in.</w:t>
      </w:r>
      <w:r w:rsidR="003B50ED">
        <w:rPr>
          <w:rFonts w:eastAsia="Calibri" w:cstheme="minorHAnsi"/>
          <w:kern w:val="0"/>
          <w14:ligatures w14:val="none"/>
        </w:rPr>
        <w:t xml:space="preserve"> </w:t>
      </w:r>
      <w:r w:rsidRPr="00A26C26">
        <w:rPr>
          <w:rFonts w:eastAsia="Calibri" w:cstheme="minorHAnsi"/>
          <w:kern w:val="0"/>
          <w14:ligatures w14:val="none"/>
        </w:rPr>
        <w:t>w</w:t>
      </w:r>
      <w:r w:rsidR="003B50ED">
        <w:rPr>
          <w:rFonts w:eastAsia="Calibri" w:cstheme="minorHAnsi"/>
          <w:kern w:val="0"/>
          <w14:ligatures w14:val="none"/>
        </w:rPr>
        <w:t xml:space="preserve"> </w:t>
      </w:r>
      <w:r w:rsidRPr="00A26C26">
        <w:rPr>
          <w:rFonts w:eastAsia="Calibri" w:cstheme="minorHAnsi"/>
          <w:kern w:val="0"/>
          <w14:ligatures w14:val="none"/>
        </w:rPr>
        <w:t>zakresie</w:t>
      </w:r>
      <w:r w:rsidR="003B50ED">
        <w:rPr>
          <w:rFonts w:eastAsia="Calibri" w:cstheme="minorHAnsi"/>
          <w:kern w:val="0"/>
          <w14:ligatures w14:val="none"/>
        </w:rPr>
        <w:t xml:space="preserve"> </w:t>
      </w:r>
      <w:r w:rsidRPr="00A26C26">
        <w:rPr>
          <w:rFonts w:eastAsia="Calibri" w:cstheme="minorHAnsi"/>
          <w:kern w:val="0"/>
          <w14:ligatures w14:val="none"/>
        </w:rPr>
        <w:t>poznawania</w:t>
      </w:r>
      <w:r w:rsidR="003B50ED">
        <w:rPr>
          <w:rFonts w:eastAsia="Calibri" w:cstheme="minorHAnsi"/>
          <w:kern w:val="0"/>
          <w14:ligatures w14:val="none"/>
        </w:rPr>
        <w:t xml:space="preserve"> </w:t>
      </w:r>
      <w:r w:rsidRPr="00A26C26">
        <w:rPr>
          <w:rFonts w:eastAsia="Calibri" w:cstheme="minorHAnsi"/>
          <w:kern w:val="0"/>
          <w14:ligatures w14:val="none"/>
        </w:rPr>
        <w:t>dobrych</w:t>
      </w:r>
      <w:r w:rsidR="003B50ED">
        <w:rPr>
          <w:rFonts w:eastAsia="Calibri" w:cstheme="minorHAnsi"/>
          <w:kern w:val="0"/>
          <w14:ligatures w14:val="none"/>
        </w:rPr>
        <w:t xml:space="preserve"> </w:t>
      </w:r>
      <w:r w:rsidRPr="00A26C26">
        <w:rPr>
          <w:rFonts w:eastAsia="Calibri" w:cstheme="minorHAnsi"/>
          <w:kern w:val="0"/>
          <w14:ligatures w14:val="none"/>
        </w:rPr>
        <w:t>praktyk,</w:t>
      </w:r>
      <w:r w:rsidR="003B50ED">
        <w:rPr>
          <w:rFonts w:eastAsia="Calibri" w:cstheme="minorHAnsi"/>
          <w:kern w:val="0"/>
          <w14:ligatures w14:val="none"/>
        </w:rPr>
        <w:t xml:space="preserve"> </w:t>
      </w:r>
      <w:r w:rsidRPr="00A26C26">
        <w:rPr>
          <w:rFonts w:eastAsia="Calibri" w:cstheme="minorHAnsi"/>
          <w:kern w:val="0"/>
          <w14:ligatures w14:val="none"/>
        </w:rPr>
        <w:t>promowania</w:t>
      </w:r>
      <w:r w:rsidR="003B50ED">
        <w:rPr>
          <w:rFonts w:eastAsia="Calibri" w:cstheme="minorHAnsi"/>
          <w:kern w:val="0"/>
          <w14:ligatures w14:val="none"/>
        </w:rPr>
        <w:t xml:space="preserve"> </w:t>
      </w:r>
      <w:r w:rsidRPr="00A26C26">
        <w:rPr>
          <w:rFonts w:eastAsia="Calibri" w:cstheme="minorHAnsi"/>
          <w:kern w:val="0"/>
          <w14:ligatures w14:val="none"/>
        </w:rPr>
        <w:t>współpracy</w:t>
      </w:r>
      <w:r w:rsidR="003B50ED">
        <w:rPr>
          <w:rFonts w:eastAsia="Calibri" w:cstheme="minorHAnsi"/>
          <w:kern w:val="0"/>
          <w14:ligatures w14:val="none"/>
        </w:rPr>
        <w:t xml:space="preserve"> </w:t>
      </w:r>
      <w:r w:rsidRPr="00A26C26">
        <w:rPr>
          <w:rFonts w:eastAsia="Calibri" w:cstheme="minorHAnsi"/>
          <w:kern w:val="0"/>
          <w14:ligatures w14:val="none"/>
        </w:rPr>
        <w:t>oraz</w:t>
      </w:r>
      <w:r w:rsidR="003B50ED">
        <w:rPr>
          <w:rFonts w:eastAsia="Calibri" w:cstheme="minorHAnsi"/>
          <w:kern w:val="0"/>
          <w14:ligatures w14:val="none"/>
        </w:rPr>
        <w:t xml:space="preserve"> </w:t>
      </w:r>
      <w:r w:rsidRPr="00A26C26">
        <w:rPr>
          <w:rFonts w:eastAsia="Calibri" w:cstheme="minorHAnsi"/>
          <w:kern w:val="0"/>
          <w14:ligatures w14:val="none"/>
        </w:rPr>
        <w:t>innowacji</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obszarach</w:t>
      </w:r>
      <w:r w:rsidR="003B50ED">
        <w:rPr>
          <w:rFonts w:eastAsia="Calibri" w:cstheme="minorHAnsi"/>
          <w:kern w:val="0"/>
          <w14:ligatures w14:val="none"/>
        </w:rPr>
        <w:t xml:space="preserve"> </w:t>
      </w:r>
      <w:r w:rsidRPr="00A26C26">
        <w:rPr>
          <w:rFonts w:eastAsia="Calibri" w:cstheme="minorHAnsi"/>
          <w:kern w:val="0"/>
          <w14:ligatures w14:val="none"/>
        </w:rPr>
        <w:t>wiejskich.</w:t>
      </w:r>
      <w:r w:rsidR="003B50ED">
        <w:rPr>
          <w:rFonts w:eastAsia="Calibri" w:cstheme="minorHAnsi"/>
          <w:kern w:val="0"/>
          <w14:ligatures w14:val="none"/>
        </w:rPr>
        <w:t xml:space="preserve"> </w:t>
      </w:r>
      <w:r w:rsidRPr="00A26C26">
        <w:rPr>
          <w:rFonts w:eastAsia="Calibri" w:cstheme="minorHAnsi"/>
          <w:kern w:val="0"/>
          <w14:ligatures w14:val="none"/>
        </w:rPr>
        <w:t>Plan</w:t>
      </w:r>
      <w:r w:rsidR="003B50ED">
        <w:rPr>
          <w:rFonts w:eastAsia="Calibri" w:cstheme="minorHAnsi"/>
          <w:kern w:val="0"/>
          <w14:ligatures w14:val="none"/>
        </w:rPr>
        <w:t xml:space="preserve"> </w:t>
      </w:r>
      <w:r w:rsidRPr="00A26C26">
        <w:rPr>
          <w:rFonts w:eastAsia="Calibri" w:cstheme="minorHAnsi"/>
          <w:kern w:val="0"/>
          <w14:ligatures w14:val="none"/>
        </w:rPr>
        <w:t>komunikacji</w:t>
      </w:r>
      <w:r w:rsidR="003B50ED">
        <w:rPr>
          <w:rFonts w:eastAsia="Calibri" w:cstheme="minorHAnsi"/>
          <w:kern w:val="0"/>
          <w14:ligatures w14:val="none"/>
        </w:rPr>
        <w:t xml:space="preserve"> </w:t>
      </w:r>
      <w:r w:rsidRPr="00A26C26">
        <w:rPr>
          <w:rFonts w:eastAsia="Calibri" w:cstheme="minorHAnsi"/>
          <w:kern w:val="0"/>
          <w14:ligatures w14:val="none"/>
        </w:rPr>
        <w:t>zawiera</w:t>
      </w:r>
      <w:r w:rsidR="003B50ED">
        <w:rPr>
          <w:rFonts w:eastAsia="Calibri" w:cstheme="minorHAnsi"/>
          <w:kern w:val="0"/>
          <w14:ligatures w14:val="none"/>
        </w:rPr>
        <w:t xml:space="preserve"> </w:t>
      </w:r>
      <w:r w:rsidRPr="00A26C26">
        <w:rPr>
          <w:rFonts w:eastAsia="Calibri" w:cstheme="minorHAnsi"/>
          <w:kern w:val="0"/>
          <w14:ligatures w14:val="none"/>
        </w:rPr>
        <w:t>również</w:t>
      </w:r>
      <w:r w:rsidR="003B50ED">
        <w:rPr>
          <w:rFonts w:eastAsia="Calibri" w:cstheme="minorHAnsi"/>
          <w:kern w:val="0"/>
          <w14:ligatures w14:val="none"/>
        </w:rPr>
        <w:t xml:space="preserve"> </w:t>
      </w:r>
      <w:r w:rsidRPr="00A26C26">
        <w:rPr>
          <w:rFonts w:eastAsia="Calibri" w:cstheme="minorHAnsi"/>
          <w:kern w:val="0"/>
          <w14:ligatures w14:val="none"/>
        </w:rPr>
        <w:t>działania</w:t>
      </w:r>
      <w:r w:rsidR="003B50ED">
        <w:rPr>
          <w:rFonts w:eastAsia="Calibri" w:cstheme="minorHAnsi"/>
          <w:kern w:val="0"/>
          <w14:ligatures w14:val="none"/>
        </w:rPr>
        <w:t xml:space="preserve"> </w:t>
      </w:r>
      <w:r w:rsidRPr="00A26C26">
        <w:rPr>
          <w:rFonts w:eastAsia="Calibri" w:cstheme="minorHAnsi"/>
          <w:kern w:val="0"/>
          <w14:ligatures w14:val="none"/>
        </w:rPr>
        <w:t>informacyjne</w:t>
      </w:r>
      <w:r w:rsidR="003B50ED">
        <w:rPr>
          <w:rFonts w:eastAsia="Calibri" w:cstheme="minorHAnsi"/>
          <w:kern w:val="0"/>
          <w14:ligatures w14:val="none"/>
        </w:rPr>
        <w:t xml:space="preserve"> </w:t>
      </w:r>
      <w:r w:rsidRPr="00A26C26">
        <w:rPr>
          <w:rFonts w:eastAsia="Calibri" w:cstheme="minorHAnsi"/>
          <w:kern w:val="0"/>
          <w14:ligatures w14:val="none"/>
        </w:rPr>
        <w:t>i</w:t>
      </w:r>
      <w:r w:rsidR="003B50ED">
        <w:rPr>
          <w:rFonts w:eastAsia="Calibri" w:cstheme="minorHAnsi"/>
          <w:kern w:val="0"/>
          <w14:ligatures w14:val="none"/>
        </w:rPr>
        <w:t xml:space="preserve"> </w:t>
      </w:r>
      <w:r w:rsidRPr="00A26C26">
        <w:rPr>
          <w:rFonts w:eastAsia="Calibri" w:cstheme="minorHAnsi"/>
          <w:kern w:val="0"/>
          <w14:ligatures w14:val="none"/>
        </w:rPr>
        <w:t>promocyjne,</w:t>
      </w:r>
      <w:r w:rsidR="003B50ED">
        <w:rPr>
          <w:rFonts w:eastAsia="Calibri" w:cstheme="minorHAnsi"/>
          <w:kern w:val="0"/>
          <w14:ligatures w14:val="none"/>
        </w:rPr>
        <w:t xml:space="preserve"> </w:t>
      </w:r>
      <w:r w:rsidRPr="00A26C26">
        <w:rPr>
          <w:rFonts w:eastAsia="Calibri" w:cstheme="minorHAnsi"/>
          <w:kern w:val="0"/>
          <w14:ligatures w14:val="none"/>
        </w:rPr>
        <w:t>również</w:t>
      </w:r>
      <w:r w:rsidR="003B50ED">
        <w:rPr>
          <w:rFonts w:eastAsia="Calibri" w:cstheme="minorHAnsi"/>
          <w:kern w:val="0"/>
          <w14:ligatures w14:val="none"/>
        </w:rPr>
        <w:t xml:space="preserve"> </w:t>
      </w:r>
      <w:r w:rsidRPr="00A26C26">
        <w:rPr>
          <w:rFonts w:eastAsia="Calibri" w:cstheme="minorHAnsi"/>
          <w:kern w:val="0"/>
          <w14:ligatures w14:val="none"/>
        </w:rPr>
        <w:t>w</w:t>
      </w:r>
      <w:r w:rsidR="003B50ED">
        <w:rPr>
          <w:rFonts w:eastAsia="Calibri" w:cstheme="minorHAnsi"/>
          <w:kern w:val="0"/>
          <w14:ligatures w14:val="none"/>
        </w:rPr>
        <w:t xml:space="preserve"> </w:t>
      </w:r>
      <w:r w:rsidRPr="00A26C26">
        <w:rPr>
          <w:rFonts w:eastAsia="Calibri" w:cstheme="minorHAnsi"/>
          <w:kern w:val="0"/>
          <w14:ligatures w14:val="none"/>
        </w:rPr>
        <w:t>zakresie</w:t>
      </w:r>
      <w:r w:rsidR="003B50ED">
        <w:rPr>
          <w:rFonts w:eastAsia="Calibri" w:cstheme="minorHAnsi"/>
          <w:kern w:val="0"/>
          <w14:ligatures w14:val="none"/>
        </w:rPr>
        <w:t xml:space="preserve"> </w:t>
      </w:r>
      <w:r w:rsidRPr="00A26C26">
        <w:rPr>
          <w:rFonts w:eastAsia="Calibri" w:cstheme="minorHAnsi"/>
          <w:kern w:val="0"/>
          <w14:ligatures w14:val="none"/>
        </w:rPr>
        <w:t>integracji</w:t>
      </w:r>
      <w:r w:rsidR="003B50ED">
        <w:rPr>
          <w:rFonts w:eastAsia="Calibri" w:cstheme="minorHAnsi"/>
          <w:kern w:val="0"/>
          <w14:ligatures w14:val="none"/>
        </w:rPr>
        <w:t xml:space="preserve"> </w:t>
      </w:r>
      <w:r w:rsidRPr="00A26C26">
        <w:rPr>
          <w:rFonts w:eastAsia="Calibri" w:cstheme="minorHAnsi"/>
          <w:kern w:val="0"/>
          <w14:ligatures w14:val="none"/>
        </w:rPr>
        <w:t>i</w:t>
      </w:r>
      <w:r w:rsidR="003B50ED">
        <w:rPr>
          <w:rFonts w:eastAsia="Calibri" w:cstheme="minorHAnsi"/>
          <w:kern w:val="0"/>
          <w14:ligatures w14:val="none"/>
        </w:rPr>
        <w:t xml:space="preserve"> </w:t>
      </w:r>
      <w:r w:rsidRPr="00A26C26">
        <w:rPr>
          <w:rFonts w:eastAsia="Calibri" w:cstheme="minorHAnsi"/>
          <w:kern w:val="0"/>
          <w14:ligatures w14:val="none"/>
        </w:rPr>
        <w:t>współdziałania.</w:t>
      </w:r>
      <w:r w:rsidR="003B50ED">
        <w:rPr>
          <w:rFonts w:eastAsia="Calibri" w:cstheme="minorHAnsi"/>
          <w:kern w:val="0"/>
          <w14:ligatures w14:val="none"/>
        </w:rPr>
        <w:t xml:space="preserve"> </w:t>
      </w:r>
    </w:p>
    <w:p w14:paraId="494A33E3" w14:textId="7836CF8A" w:rsidR="00857736" w:rsidRPr="00A26C26" w:rsidRDefault="00857736" w:rsidP="00A26C26">
      <w:pPr>
        <w:spacing w:line="276" w:lineRule="auto"/>
        <w:ind w:firstLine="360"/>
        <w:jc w:val="both"/>
        <w:rPr>
          <w:rFonts w:eastAsia="Calibri" w:cstheme="minorHAnsi"/>
          <w:kern w:val="0"/>
          <w14:ligatures w14:val="none"/>
        </w:rPr>
      </w:pPr>
      <w:r w:rsidRPr="00A26C26">
        <w:rPr>
          <w:rFonts w:eastAsia="Calibri" w:cstheme="minorHAnsi"/>
          <w:kern w:val="0"/>
          <w14:ligatures w14:val="none"/>
        </w:rPr>
        <w:t>Dodatkowym</w:t>
      </w:r>
      <w:r w:rsidR="003B50ED">
        <w:rPr>
          <w:rFonts w:eastAsia="Calibri" w:cstheme="minorHAnsi"/>
          <w:kern w:val="0"/>
          <w14:ligatures w14:val="none"/>
        </w:rPr>
        <w:t xml:space="preserve"> </w:t>
      </w:r>
      <w:r w:rsidRPr="00A26C26">
        <w:rPr>
          <w:rFonts w:eastAsia="Calibri" w:cstheme="minorHAnsi"/>
          <w:kern w:val="0"/>
          <w14:ligatures w14:val="none"/>
        </w:rPr>
        <w:t>narzędziem</w:t>
      </w:r>
      <w:r w:rsidR="003B50ED">
        <w:rPr>
          <w:rFonts w:eastAsia="Calibri" w:cstheme="minorHAnsi"/>
          <w:kern w:val="0"/>
          <w14:ligatures w14:val="none"/>
        </w:rPr>
        <w:t xml:space="preserve"> </w:t>
      </w:r>
      <w:r w:rsidRPr="00A26C26">
        <w:rPr>
          <w:rFonts w:eastAsia="Calibri" w:cstheme="minorHAnsi"/>
          <w:kern w:val="0"/>
          <w14:ligatures w14:val="none"/>
        </w:rPr>
        <w:t>w</w:t>
      </w:r>
      <w:r w:rsidR="003B50ED">
        <w:rPr>
          <w:rFonts w:eastAsia="Calibri" w:cstheme="minorHAnsi"/>
          <w:kern w:val="0"/>
          <w14:ligatures w14:val="none"/>
        </w:rPr>
        <w:t xml:space="preserve"> </w:t>
      </w:r>
      <w:r w:rsidRPr="00A26C26">
        <w:rPr>
          <w:rFonts w:eastAsia="Calibri" w:cstheme="minorHAnsi"/>
          <w:kern w:val="0"/>
          <w14:ligatures w14:val="none"/>
        </w:rPr>
        <w:t>promocji</w:t>
      </w:r>
      <w:r w:rsidR="003B50ED">
        <w:rPr>
          <w:rFonts w:eastAsia="Calibri" w:cstheme="minorHAnsi"/>
          <w:kern w:val="0"/>
          <w14:ligatures w14:val="none"/>
        </w:rPr>
        <w:t xml:space="preserve"> </w:t>
      </w:r>
      <w:r w:rsidRPr="00A26C26">
        <w:rPr>
          <w:rFonts w:eastAsia="Calibri" w:cstheme="minorHAnsi"/>
          <w:kern w:val="0"/>
          <w14:ligatures w14:val="none"/>
        </w:rPr>
        <w:t>działań</w:t>
      </w:r>
      <w:r w:rsidR="003B50ED">
        <w:rPr>
          <w:rFonts w:eastAsia="Calibri" w:cstheme="minorHAnsi"/>
          <w:kern w:val="0"/>
          <w14:ligatures w14:val="none"/>
        </w:rPr>
        <w:t xml:space="preserve"> </w:t>
      </w:r>
      <w:r w:rsidRPr="00A26C26">
        <w:rPr>
          <w:rFonts w:eastAsia="Calibri" w:cstheme="minorHAnsi"/>
          <w:kern w:val="0"/>
          <w14:ligatures w14:val="none"/>
        </w:rPr>
        <w:t>kompleksowych</w:t>
      </w:r>
      <w:r w:rsidR="003B50ED">
        <w:rPr>
          <w:rFonts w:eastAsia="Calibri" w:cstheme="minorHAnsi"/>
          <w:kern w:val="0"/>
          <w14:ligatures w14:val="none"/>
        </w:rPr>
        <w:t xml:space="preserve"> </w:t>
      </w:r>
      <w:r w:rsidRPr="00A26C26">
        <w:rPr>
          <w:rFonts w:eastAsia="Calibri" w:cstheme="minorHAnsi"/>
          <w:kern w:val="0"/>
          <w14:ligatures w14:val="none"/>
        </w:rPr>
        <w:t>są</w:t>
      </w:r>
      <w:r w:rsidR="003B50ED">
        <w:rPr>
          <w:rFonts w:eastAsia="Calibri" w:cstheme="minorHAnsi"/>
          <w:kern w:val="0"/>
          <w14:ligatures w14:val="none"/>
        </w:rPr>
        <w:t xml:space="preserve"> </w:t>
      </w:r>
      <w:r w:rsidRPr="00A26C26">
        <w:rPr>
          <w:rFonts w:eastAsia="Calibri" w:cstheme="minorHAnsi"/>
          <w:kern w:val="0"/>
          <w14:ligatures w14:val="none"/>
        </w:rPr>
        <w:t>kryteria</w:t>
      </w:r>
      <w:r w:rsidR="003B50ED">
        <w:rPr>
          <w:rFonts w:eastAsia="Calibri" w:cstheme="minorHAnsi"/>
          <w:kern w:val="0"/>
          <w14:ligatures w14:val="none"/>
        </w:rPr>
        <w:t xml:space="preserve"> </w:t>
      </w:r>
      <w:r w:rsidRPr="00A26C26">
        <w:rPr>
          <w:rFonts w:eastAsia="Calibri" w:cstheme="minorHAnsi"/>
          <w:kern w:val="0"/>
          <w14:ligatures w14:val="none"/>
        </w:rPr>
        <w:t>wyboru,</w:t>
      </w:r>
      <w:r w:rsidR="003B50ED">
        <w:rPr>
          <w:rFonts w:eastAsia="Calibri" w:cstheme="minorHAnsi"/>
          <w:kern w:val="0"/>
          <w14:ligatures w14:val="none"/>
        </w:rPr>
        <w:t xml:space="preserve"> </w:t>
      </w:r>
      <w:r w:rsidRPr="00A26C26">
        <w:rPr>
          <w:rFonts w:eastAsia="Calibri" w:cstheme="minorHAnsi"/>
          <w:kern w:val="0"/>
          <w14:ligatures w14:val="none"/>
        </w:rPr>
        <w:t>które</w:t>
      </w:r>
      <w:r w:rsidR="003B50ED">
        <w:rPr>
          <w:rFonts w:eastAsia="Calibri" w:cstheme="minorHAnsi"/>
          <w:kern w:val="0"/>
          <w14:ligatures w14:val="none"/>
        </w:rPr>
        <w:t xml:space="preserve"> </w:t>
      </w:r>
      <w:r w:rsidRPr="00A26C26">
        <w:rPr>
          <w:rFonts w:eastAsia="Calibri" w:cstheme="minorHAnsi"/>
          <w:kern w:val="0"/>
          <w14:ligatures w14:val="none"/>
        </w:rPr>
        <w:t>premiują</w:t>
      </w:r>
      <w:r w:rsidR="003B50ED">
        <w:rPr>
          <w:rFonts w:eastAsia="Calibri" w:cstheme="minorHAnsi"/>
          <w:kern w:val="0"/>
          <w14:ligatures w14:val="none"/>
        </w:rPr>
        <w:t xml:space="preserve"> </w:t>
      </w:r>
      <w:r w:rsidRPr="00A26C26">
        <w:rPr>
          <w:rFonts w:eastAsia="Calibri" w:cstheme="minorHAnsi"/>
          <w:kern w:val="0"/>
          <w14:ligatures w14:val="none"/>
        </w:rPr>
        <w:t>operacje</w:t>
      </w:r>
      <w:r w:rsidR="003B50ED">
        <w:rPr>
          <w:rFonts w:eastAsia="Calibri" w:cstheme="minorHAnsi"/>
          <w:kern w:val="0"/>
          <w14:ligatures w14:val="none"/>
        </w:rPr>
        <w:t xml:space="preserve"> </w:t>
      </w:r>
      <w:r w:rsidRPr="00A26C26">
        <w:rPr>
          <w:rFonts w:eastAsia="Calibri" w:cstheme="minorHAnsi"/>
          <w:kern w:val="0"/>
          <w14:ligatures w14:val="none"/>
        </w:rPr>
        <w:t>ukierunkowane</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jak</w:t>
      </w:r>
      <w:r w:rsidR="003B50ED">
        <w:rPr>
          <w:rFonts w:eastAsia="Calibri" w:cstheme="minorHAnsi"/>
          <w:kern w:val="0"/>
          <w14:ligatures w14:val="none"/>
        </w:rPr>
        <w:t xml:space="preserve"> </w:t>
      </w:r>
      <w:r w:rsidRPr="00A26C26">
        <w:rPr>
          <w:rFonts w:eastAsia="Calibri" w:cstheme="minorHAnsi"/>
          <w:kern w:val="0"/>
          <w14:ligatures w14:val="none"/>
        </w:rPr>
        <w:t>najszerszy</w:t>
      </w:r>
      <w:r w:rsidR="003B50ED">
        <w:rPr>
          <w:rFonts w:eastAsia="Calibri" w:cstheme="minorHAnsi"/>
          <w:kern w:val="0"/>
          <w14:ligatures w14:val="none"/>
        </w:rPr>
        <w:t xml:space="preserve"> </w:t>
      </w:r>
      <w:r w:rsidRPr="00A26C26">
        <w:rPr>
          <w:rFonts w:eastAsia="Calibri" w:cstheme="minorHAnsi"/>
          <w:kern w:val="0"/>
          <w14:ligatures w14:val="none"/>
        </w:rPr>
        <w:t>poziom</w:t>
      </w:r>
      <w:r w:rsidR="003B50ED">
        <w:rPr>
          <w:rFonts w:eastAsia="Calibri" w:cstheme="minorHAnsi"/>
          <w:kern w:val="0"/>
          <w14:ligatures w14:val="none"/>
        </w:rPr>
        <w:t xml:space="preserve"> </w:t>
      </w:r>
      <w:r w:rsidRPr="00A26C26">
        <w:rPr>
          <w:rFonts w:eastAsia="Calibri" w:cstheme="minorHAnsi"/>
          <w:kern w:val="0"/>
          <w14:ligatures w14:val="none"/>
        </w:rPr>
        <w:t>zintegrowania.</w:t>
      </w:r>
      <w:r w:rsidR="003B50ED">
        <w:rPr>
          <w:rFonts w:eastAsia="Calibri" w:cstheme="minorHAnsi"/>
          <w:kern w:val="0"/>
          <w14:ligatures w14:val="none"/>
        </w:rPr>
        <w:t xml:space="preserve"> </w:t>
      </w:r>
    </w:p>
    <w:p w14:paraId="3EB565AE" w14:textId="75DB63C9" w:rsidR="00857736" w:rsidRPr="00F16251" w:rsidRDefault="00857736" w:rsidP="00A26C26">
      <w:pPr>
        <w:spacing w:line="276" w:lineRule="auto"/>
        <w:ind w:firstLine="360"/>
        <w:jc w:val="both"/>
        <w:rPr>
          <w:rFonts w:eastAsia="Calibri" w:cstheme="minorHAnsi"/>
          <w:kern w:val="0"/>
          <w14:ligatures w14:val="none"/>
        </w:rPr>
      </w:pPr>
      <w:r w:rsidRPr="00A26C26">
        <w:rPr>
          <w:rFonts w:eastAsia="Calibri" w:cstheme="minorHAnsi"/>
          <w:kern w:val="0"/>
          <w14:ligatures w14:val="none"/>
        </w:rPr>
        <w:t>Ponadto,</w:t>
      </w:r>
      <w:r w:rsidR="003B50ED">
        <w:rPr>
          <w:rFonts w:eastAsia="Calibri" w:cstheme="minorHAnsi"/>
          <w:kern w:val="0"/>
          <w14:ligatures w14:val="none"/>
        </w:rPr>
        <w:t xml:space="preserve"> </w:t>
      </w:r>
      <w:r w:rsidR="006568AD">
        <w:rPr>
          <w:rFonts w:cstheme="minorHAnsi"/>
        </w:rPr>
        <w:t xml:space="preserve">Stowarzyszenie </w:t>
      </w:r>
      <w:r w:rsidR="006568AD" w:rsidRPr="00A26C26">
        <w:rPr>
          <w:rFonts w:cstheme="minorHAnsi"/>
        </w:rPr>
        <w:t>„Solidarni</w:t>
      </w:r>
      <w:r w:rsidR="006568AD">
        <w:rPr>
          <w:rFonts w:cstheme="minorHAnsi"/>
        </w:rPr>
        <w:t xml:space="preserve"> </w:t>
      </w:r>
      <w:r w:rsidR="006568AD" w:rsidRPr="00A26C26">
        <w:rPr>
          <w:rFonts w:cstheme="minorHAnsi"/>
        </w:rPr>
        <w:t>w</w:t>
      </w:r>
      <w:r w:rsidR="006568AD">
        <w:rPr>
          <w:rFonts w:cstheme="minorHAnsi"/>
        </w:rPr>
        <w:t xml:space="preserve"> </w:t>
      </w:r>
      <w:r w:rsidR="006568AD" w:rsidRPr="00A26C26">
        <w:rPr>
          <w:rFonts w:cstheme="minorHAnsi"/>
        </w:rPr>
        <w:t>Partnerstwie”</w:t>
      </w:r>
      <w:r w:rsidR="006568AD">
        <w:rPr>
          <w:rFonts w:cstheme="minorHAnsi"/>
        </w:rPr>
        <w:t xml:space="preserve"> </w:t>
      </w:r>
      <w:r w:rsidRPr="00A26C26">
        <w:rPr>
          <w:rFonts w:eastAsia="Calibri" w:cstheme="minorHAnsi"/>
          <w:kern w:val="0"/>
          <w14:ligatures w14:val="none"/>
        </w:rPr>
        <w:t>wykorzystując</w:t>
      </w:r>
      <w:r w:rsidR="003B50ED">
        <w:rPr>
          <w:rFonts w:eastAsia="Calibri" w:cstheme="minorHAnsi"/>
          <w:kern w:val="0"/>
          <w14:ligatures w14:val="none"/>
        </w:rPr>
        <w:t xml:space="preserve"> </w:t>
      </w:r>
      <w:r w:rsidRPr="00A26C26">
        <w:rPr>
          <w:rFonts w:eastAsia="Calibri" w:cstheme="minorHAnsi"/>
          <w:kern w:val="0"/>
          <w14:ligatures w14:val="none"/>
        </w:rPr>
        <w:t>dobre</w:t>
      </w:r>
      <w:r w:rsidR="003B50ED">
        <w:rPr>
          <w:rFonts w:eastAsia="Calibri" w:cstheme="minorHAnsi"/>
          <w:kern w:val="0"/>
          <w14:ligatures w14:val="none"/>
        </w:rPr>
        <w:t xml:space="preserve"> </w:t>
      </w:r>
      <w:r w:rsidRPr="00A26C26">
        <w:rPr>
          <w:rFonts w:eastAsia="Calibri" w:cstheme="minorHAnsi"/>
          <w:kern w:val="0"/>
          <w14:ligatures w14:val="none"/>
        </w:rPr>
        <w:t>praktyki</w:t>
      </w:r>
      <w:r w:rsidR="003B50ED">
        <w:rPr>
          <w:rFonts w:eastAsia="Calibri" w:cstheme="minorHAnsi"/>
          <w:kern w:val="0"/>
          <w14:ligatures w14:val="none"/>
        </w:rPr>
        <w:t xml:space="preserve"> </w:t>
      </w:r>
      <w:r w:rsidRPr="00A26C26">
        <w:rPr>
          <w:rFonts w:eastAsia="Calibri" w:cstheme="minorHAnsi"/>
          <w:kern w:val="0"/>
          <w14:ligatures w14:val="none"/>
        </w:rPr>
        <w:t>w</w:t>
      </w:r>
      <w:r w:rsidR="003B50ED">
        <w:rPr>
          <w:rFonts w:eastAsia="Calibri" w:cstheme="minorHAnsi"/>
          <w:kern w:val="0"/>
          <w14:ligatures w14:val="none"/>
        </w:rPr>
        <w:t xml:space="preserve"> </w:t>
      </w:r>
      <w:r w:rsidRPr="00A26C26">
        <w:rPr>
          <w:rFonts w:eastAsia="Calibri" w:cstheme="minorHAnsi"/>
          <w:kern w:val="0"/>
          <w14:ligatures w14:val="none"/>
        </w:rPr>
        <w:t>zakresie</w:t>
      </w:r>
      <w:r w:rsidR="003B50ED">
        <w:rPr>
          <w:rFonts w:eastAsia="Calibri" w:cstheme="minorHAnsi"/>
          <w:kern w:val="0"/>
          <w14:ligatures w14:val="none"/>
        </w:rPr>
        <w:t xml:space="preserve"> </w:t>
      </w:r>
      <w:r w:rsidRPr="00A26C26">
        <w:rPr>
          <w:rFonts w:eastAsia="Calibri" w:cstheme="minorHAnsi"/>
          <w:kern w:val="0"/>
          <w14:ligatures w14:val="none"/>
        </w:rPr>
        <w:t>partycypacji</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etapie</w:t>
      </w:r>
      <w:r w:rsidR="003B50ED">
        <w:rPr>
          <w:rFonts w:eastAsia="Calibri" w:cstheme="minorHAnsi"/>
          <w:kern w:val="0"/>
          <w14:ligatures w14:val="none"/>
        </w:rPr>
        <w:t xml:space="preserve"> </w:t>
      </w:r>
      <w:r w:rsidRPr="00A26C26">
        <w:rPr>
          <w:rFonts w:eastAsia="Calibri" w:cstheme="minorHAnsi"/>
          <w:kern w:val="0"/>
          <w14:ligatures w14:val="none"/>
        </w:rPr>
        <w:t>budowy</w:t>
      </w:r>
      <w:r w:rsidR="003B50ED">
        <w:rPr>
          <w:rFonts w:eastAsia="Calibri" w:cstheme="minorHAnsi"/>
          <w:kern w:val="0"/>
          <w14:ligatures w14:val="none"/>
        </w:rPr>
        <w:t xml:space="preserve"> </w:t>
      </w:r>
      <w:r w:rsidRPr="00A26C26">
        <w:rPr>
          <w:rFonts w:eastAsia="Calibri" w:cstheme="minorHAnsi"/>
          <w:kern w:val="0"/>
          <w14:ligatures w14:val="none"/>
        </w:rPr>
        <w:t>LSR,</w:t>
      </w:r>
      <w:r w:rsidR="003B50ED">
        <w:rPr>
          <w:rFonts w:eastAsia="Calibri" w:cstheme="minorHAnsi"/>
          <w:kern w:val="0"/>
          <w14:ligatures w14:val="none"/>
        </w:rPr>
        <w:t xml:space="preserve"> </w:t>
      </w:r>
      <w:r w:rsidRPr="00A26C26">
        <w:rPr>
          <w:rFonts w:eastAsia="Calibri" w:cstheme="minorHAnsi"/>
          <w:kern w:val="0"/>
          <w14:ligatures w14:val="none"/>
        </w:rPr>
        <w:t>planuje</w:t>
      </w:r>
      <w:r w:rsidR="003B50ED">
        <w:rPr>
          <w:rFonts w:eastAsia="Calibri" w:cstheme="minorHAnsi"/>
          <w:kern w:val="0"/>
          <w14:ligatures w14:val="none"/>
        </w:rPr>
        <w:t xml:space="preserve"> </w:t>
      </w:r>
      <w:r w:rsidRPr="00A26C26">
        <w:rPr>
          <w:rFonts w:eastAsia="Calibri" w:cstheme="minorHAnsi"/>
          <w:kern w:val="0"/>
          <w14:ligatures w14:val="none"/>
        </w:rPr>
        <w:t>udostępnić</w:t>
      </w:r>
      <w:r w:rsidR="003B50ED">
        <w:rPr>
          <w:rFonts w:eastAsia="Calibri" w:cstheme="minorHAnsi"/>
          <w:kern w:val="0"/>
          <w14:ligatures w14:val="none"/>
        </w:rPr>
        <w:t xml:space="preserve"> </w:t>
      </w:r>
      <w:r w:rsidRPr="00A26C26">
        <w:rPr>
          <w:rFonts w:eastAsia="Calibri" w:cstheme="minorHAnsi"/>
          <w:kern w:val="0"/>
          <w14:ligatures w14:val="none"/>
        </w:rPr>
        <w:t>możliwość</w:t>
      </w:r>
      <w:r w:rsidR="003B50ED">
        <w:rPr>
          <w:rFonts w:eastAsia="Calibri" w:cstheme="minorHAnsi"/>
          <w:kern w:val="0"/>
          <w14:ligatures w14:val="none"/>
        </w:rPr>
        <w:t xml:space="preserve"> </w:t>
      </w:r>
      <w:r w:rsidRPr="00A26C26">
        <w:rPr>
          <w:rFonts w:eastAsia="Calibri" w:cstheme="minorHAnsi"/>
          <w:kern w:val="0"/>
          <w14:ligatures w14:val="none"/>
        </w:rPr>
        <w:t>dyżurów</w:t>
      </w:r>
      <w:r w:rsidR="006568AD">
        <w:rPr>
          <w:rFonts w:eastAsia="Calibri" w:cstheme="minorHAnsi"/>
          <w:kern w:val="0"/>
          <w14:ligatures w14:val="none"/>
        </w:rPr>
        <w:t xml:space="preserve"> </w:t>
      </w:r>
      <w:r w:rsidRPr="00A26C26">
        <w:rPr>
          <w:rFonts w:eastAsia="Calibri" w:cstheme="minorHAnsi"/>
          <w:kern w:val="0"/>
          <w14:ligatures w14:val="none"/>
        </w:rPr>
        <w:t>/</w:t>
      </w:r>
      <w:r w:rsidR="003B50ED">
        <w:rPr>
          <w:rFonts w:eastAsia="Calibri" w:cstheme="minorHAnsi"/>
          <w:kern w:val="0"/>
          <w14:ligatures w14:val="none"/>
        </w:rPr>
        <w:t xml:space="preserve"> </w:t>
      </w:r>
      <w:r w:rsidRPr="00A26C26">
        <w:rPr>
          <w:rFonts w:eastAsia="Calibri" w:cstheme="minorHAnsi"/>
          <w:kern w:val="0"/>
          <w14:ligatures w14:val="none"/>
        </w:rPr>
        <w:t>konsultacji</w:t>
      </w:r>
      <w:r w:rsidR="003B50ED">
        <w:rPr>
          <w:rFonts w:eastAsia="Calibri" w:cstheme="minorHAnsi"/>
          <w:kern w:val="0"/>
          <w14:ligatures w14:val="none"/>
        </w:rPr>
        <w:t xml:space="preserve"> </w:t>
      </w:r>
      <w:r w:rsidRPr="00A26C26">
        <w:rPr>
          <w:rFonts w:eastAsia="Calibri" w:cstheme="minorHAnsi"/>
          <w:kern w:val="0"/>
          <w14:ligatures w14:val="none"/>
        </w:rPr>
        <w:t>z</w:t>
      </w:r>
      <w:r w:rsidR="003B50ED">
        <w:rPr>
          <w:rFonts w:eastAsia="Calibri" w:cstheme="minorHAnsi"/>
          <w:kern w:val="0"/>
          <w14:ligatures w14:val="none"/>
        </w:rPr>
        <w:t xml:space="preserve"> </w:t>
      </w:r>
      <w:r w:rsidRPr="00A26C26">
        <w:rPr>
          <w:rFonts w:eastAsia="Calibri" w:cstheme="minorHAnsi"/>
          <w:kern w:val="0"/>
          <w14:ligatures w14:val="none"/>
        </w:rPr>
        <w:t>ekspertem,</w:t>
      </w:r>
      <w:r w:rsidR="003B50ED">
        <w:rPr>
          <w:rFonts w:eastAsia="Calibri" w:cstheme="minorHAnsi"/>
          <w:kern w:val="0"/>
          <w14:ligatures w14:val="none"/>
        </w:rPr>
        <w:t xml:space="preserve"> </w:t>
      </w:r>
      <w:r w:rsidRPr="00A26C26">
        <w:rPr>
          <w:rFonts w:eastAsia="Calibri" w:cstheme="minorHAnsi"/>
          <w:kern w:val="0"/>
          <w14:ligatures w14:val="none"/>
        </w:rPr>
        <w:t>który</w:t>
      </w:r>
      <w:r w:rsidR="003B50ED">
        <w:rPr>
          <w:rFonts w:eastAsia="Calibri" w:cstheme="minorHAnsi"/>
          <w:kern w:val="0"/>
          <w14:ligatures w14:val="none"/>
        </w:rPr>
        <w:t xml:space="preserve"> </w:t>
      </w:r>
      <w:r w:rsidRPr="00A26C26">
        <w:rPr>
          <w:rFonts w:eastAsia="Calibri" w:cstheme="minorHAnsi"/>
          <w:kern w:val="0"/>
          <w14:ligatures w14:val="none"/>
        </w:rPr>
        <w:t>będzie</w:t>
      </w:r>
      <w:r w:rsidR="003B50ED">
        <w:rPr>
          <w:rFonts w:eastAsia="Calibri" w:cstheme="minorHAnsi"/>
          <w:kern w:val="0"/>
          <w14:ligatures w14:val="none"/>
        </w:rPr>
        <w:t xml:space="preserve"> </w:t>
      </w:r>
      <w:r w:rsidRPr="00A26C26">
        <w:rPr>
          <w:rFonts w:eastAsia="Calibri" w:cstheme="minorHAnsi"/>
          <w:kern w:val="0"/>
          <w14:ligatures w14:val="none"/>
        </w:rPr>
        <w:t>w</w:t>
      </w:r>
      <w:r w:rsidR="003B50ED">
        <w:rPr>
          <w:rFonts w:eastAsia="Calibri" w:cstheme="minorHAnsi"/>
          <w:kern w:val="0"/>
          <w14:ligatures w14:val="none"/>
        </w:rPr>
        <w:t xml:space="preserve"> </w:t>
      </w:r>
      <w:r w:rsidRPr="00A26C26">
        <w:rPr>
          <w:rFonts w:eastAsia="Calibri" w:cstheme="minorHAnsi"/>
          <w:kern w:val="0"/>
          <w14:ligatures w14:val="none"/>
        </w:rPr>
        <w:t>stanie</w:t>
      </w:r>
      <w:r w:rsidR="003B50ED">
        <w:rPr>
          <w:rFonts w:eastAsia="Calibri" w:cstheme="minorHAnsi"/>
          <w:kern w:val="0"/>
          <w14:ligatures w14:val="none"/>
        </w:rPr>
        <w:t xml:space="preserve"> </w:t>
      </w:r>
      <w:r w:rsidRPr="00A26C26">
        <w:rPr>
          <w:rFonts w:eastAsia="Calibri" w:cstheme="minorHAnsi"/>
          <w:kern w:val="0"/>
          <w14:ligatures w14:val="none"/>
        </w:rPr>
        <w:t>rozwiać</w:t>
      </w:r>
      <w:r w:rsidR="003B50ED">
        <w:rPr>
          <w:rFonts w:eastAsia="Calibri" w:cstheme="minorHAnsi"/>
          <w:kern w:val="0"/>
          <w14:ligatures w14:val="none"/>
        </w:rPr>
        <w:t xml:space="preserve"> </w:t>
      </w:r>
      <w:r w:rsidRPr="00A26C26">
        <w:rPr>
          <w:rFonts w:eastAsia="Calibri" w:cstheme="minorHAnsi"/>
          <w:kern w:val="0"/>
          <w14:ligatures w14:val="none"/>
        </w:rPr>
        <w:t>wszelkie</w:t>
      </w:r>
      <w:r w:rsidR="003B50ED">
        <w:rPr>
          <w:rFonts w:eastAsia="Calibri" w:cstheme="minorHAnsi"/>
          <w:kern w:val="0"/>
          <w14:ligatures w14:val="none"/>
        </w:rPr>
        <w:t xml:space="preserve"> </w:t>
      </w:r>
      <w:r w:rsidRPr="00A26C26">
        <w:rPr>
          <w:rFonts w:eastAsia="Calibri" w:cstheme="minorHAnsi"/>
          <w:kern w:val="0"/>
          <w14:ligatures w14:val="none"/>
        </w:rPr>
        <w:t>wątpliwości</w:t>
      </w:r>
      <w:r w:rsidR="003B50ED">
        <w:rPr>
          <w:rFonts w:eastAsia="Calibri" w:cstheme="minorHAnsi"/>
          <w:kern w:val="0"/>
          <w14:ligatures w14:val="none"/>
        </w:rPr>
        <w:t xml:space="preserve"> </w:t>
      </w:r>
      <w:r w:rsidRPr="00A26C26">
        <w:rPr>
          <w:rFonts w:eastAsia="Calibri" w:cstheme="minorHAnsi"/>
          <w:kern w:val="0"/>
          <w14:ligatures w14:val="none"/>
        </w:rPr>
        <w:t>natury</w:t>
      </w:r>
      <w:r w:rsidR="003B50ED">
        <w:rPr>
          <w:rFonts w:eastAsia="Calibri" w:cstheme="minorHAnsi"/>
          <w:kern w:val="0"/>
          <w14:ligatures w14:val="none"/>
        </w:rPr>
        <w:t xml:space="preserve"> </w:t>
      </w:r>
      <w:r w:rsidRPr="00A26C26">
        <w:rPr>
          <w:rFonts w:eastAsia="Calibri" w:cstheme="minorHAnsi"/>
          <w:kern w:val="0"/>
          <w14:ligatures w14:val="none"/>
        </w:rPr>
        <w:t>formalno-prawnej.</w:t>
      </w:r>
      <w:r w:rsidR="003B50ED">
        <w:rPr>
          <w:rFonts w:eastAsia="Calibri" w:cstheme="minorHAnsi"/>
          <w:kern w:val="0"/>
          <w14:ligatures w14:val="none"/>
        </w:rPr>
        <w:t xml:space="preserve"> </w:t>
      </w:r>
      <w:r w:rsidRPr="00A26C26">
        <w:rPr>
          <w:rFonts w:eastAsia="Calibri" w:cstheme="minorHAnsi"/>
          <w:kern w:val="0"/>
          <w14:ligatures w14:val="none"/>
        </w:rPr>
        <w:t>Również</w:t>
      </w:r>
      <w:r w:rsidR="003B50ED">
        <w:rPr>
          <w:rFonts w:eastAsia="Calibri" w:cstheme="minorHAnsi"/>
          <w:kern w:val="0"/>
          <w14:ligatures w14:val="none"/>
        </w:rPr>
        <w:t xml:space="preserve"> </w:t>
      </w:r>
      <w:r w:rsidRPr="00A26C26">
        <w:rPr>
          <w:rFonts w:eastAsia="Calibri" w:cstheme="minorHAnsi"/>
          <w:kern w:val="0"/>
          <w14:ligatures w14:val="none"/>
        </w:rPr>
        <w:t>bazując</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partnerskich</w:t>
      </w:r>
      <w:r w:rsidR="003B50ED">
        <w:rPr>
          <w:rFonts w:eastAsia="Calibri" w:cstheme="minorHAnsi"/>
          <w:kern w:val="0"/>
          <w14:ligatures w14:val="none"/>
        </w:rPr>
        <w:t xml:space="preserve"> </w:t>
      </w:r>
      <w:r w:rsidRPr="00A26C26">
        <w:rPr>
          <w:rFonts w:eastAsia="Calibri" w:cstheme="minorHAnsi"/>
          <w:kern w:val="0"/>
          <w14:ligatures w14:val="none"/>
        </w:rPr>
        <w:t>relacjach</w:t>
      </w:r>
      <w:r w:rsidR="003B50ED">
        <w:rPr>
          <w:rFonts w:eastAsia="Calibri" w:cstheme="minorHAnsi"/>
          <w:kern w:val="0"/>
          <w14:ligatures w14:val="none"/>
        </w:rPr>
        <w:t xml:space="preserve"> </w:t>
      </w:r>
      <w:r w:rsidRPr="00A26C26">
        <w:rPr>
          <w:rFonts w:eastAsia="Calibri" w:cstheme="minorHAnsi"/>
          <w:kern w:val="0"/>
          <w14:ligatures w14:val="none"/>
        </w:rPr>
        <w:t>z</w:t>
      </w:r>
      <w:r w:rsidR="003B50ED">
        <w:rPr>
          <w:rFonts w:eastAsia="Calibri" w:cstheme="minorHAnsi"/>
          <w:kern w:val="0"/>
          <w14:ligatures w14:val="none"/>
        </w:rPr>
        <w:t xml:space="preserve"> </w:t>
      </w:r>
      <w:r w:rsidRPr="00A26C26">
        <w:rPr>
          <w:rFonts w:eastAsia="Calibri" w:cstheme="minorHAnsi"/>
          <w:kern w:val="0"/>
          <w14:ligatures w14:val="none"/>
        </w:rPr>
        <w:t>gminami</w:t>
      </w:r>
      <w:r w:rsidR="003B50ED">
        <w:rPr>
          <w:rFonts w:eastAsia="Calibri" w:cstheme="minorHAnsi"/>
          <w:kern w:val="0"/>
          <w14:ligatures w14:val="none"/>
        </w:rPr>
        <w:t xml:space="preserve"> </w:t>
      </w:r>
      <w:r w:rsidRPr="00A26C26">
        <w:rPr>
          <w:rFonts w:eastAsia="Calibri" w:cstheme="minorHAnsi"/>
          <w:kern w:val="0"/>
          <w14:ligatures w14:val="none"/>
        </w:rPr>
        <w:t>członkowskimi,</w:t>
      </w:r>
      <w:r w:rsidR="003B50ED">
        <w:rPr>
          <w:rFonts w:eastAsia="Calibri" w:cstheme="minorHAnsi"/>
          <w:kern w:val="0"/>
          <w14:ligatures w14:val="none"/>
        </w:rPr>
        <w:t xml:space="preserve"> </w:t>
      </w:r>
      <w:r w:rsidR="006568AD">
        <w:rPr>
          <w:rFonts w:cstheme="minorHAnsi"/>
        </w:rPr>
        <w:t xml:space="preserve">Stowarzyszenie </w:t>
      </w:r>
      <w:r w:rsidR="006568AD" w:rsidRPr="00A26C26">
        <w:rPr>
          <w:rFonts w:cstheme="minorHAnsi"/>
        </w:rPr>
        <w:t>„Solidarni</w:t>
      </w:r>
      <w:r w:rsidR="006568AD">
        <w:rPr>
          <w:rFonts w:cstheme="minorHAnsi"/>
        </w:rPr>
        <w:t xml:space="preserve"> </w:t>
      </w:r>
      <w:r w:rsidR="006568AD" w:rsidRPr="00A26C26">
        <w:rPr>
          <w:rFonts w:cstheme="minorHAnsi"/>
        </w:rPr>
        <w:t>w</w:t>
      </w:r>
      <w:r w:rsidR="006568AD">
        <w:rPr>
          <w:rFonts w:cstheme="minorHAnsi"/>
        </w:rPr>
        <w:t xml:space="preserve"> </w:t>
      </w:r>
      <w:r w:rsidR="006568AD" w:rsidRPr="00A26C26">
        <w:rPr>
          <w:rFonts w:cstheme="minorHAnsi"/>
        </w:rPr>
        <w:t>Partnerstwie”</w:t>
      </w:r>
      <w:r w:rsidR="006568AD">
        <w:rPr>
          <w:rFonts w:cstheme="minorHAnsi"/>
        </w:rPr>
        <w:t xml:space="preserve"> </w:t>
      </w:r>
      <w:r w:rsidRPr="00A26C26">
        <w:rPr>
          <w:rFonts w:eastAsia="Calibri" w:cstheme="minorHAnsi"/>
          <w:kern w:val="0"/>
          <w14:ligatures w14:val="none"/>
        </w:rPr>
        <w:t>będzie</w:t>
      </w:r>
      <w:r w:rsidR="003B50ED">
        <w:rPr>
          <w:rFonts w:eastAsia="Calibri" w:cstheme="minorHAnsi"/>
          <w:kern w:val="0"/>
          <w14:ligatures w14:val="none"/>
        </w:rPr>
        <w:t xml:space="preserve"> </w:t>
      </w:r>
      <w:r w:rsidRPr="00A26C26">
        <w:rPr>
          <w:rFonts w:eastAsia="Calibri" w:cstheme="minorHAnsi"/>
          <w:kern w:val="0"/>
          <w14:ligatures w14:val="none"/>
        </w:rPr>
        <w:t>mog</w:t>
      </w:r>
      <w:r w:rsidR="006568AD">
        <w:rPr>
          <w:rFonts w:eastAsia="Calibri" w:cstheme="minorHAnsi"/>
          <w:kern w:val="0"/>
          <w14:ligatures w14:val="none"/>
        </w:rPr>
        <w:t>ło</w:t>
      </w:r>
      <w:r w:rsidR="003B50ED">
        <w:rPr>
          <w:rFonts w:eastAsia="Calibri" w:cstheme="minorHAnsi"/>
          <w:kern w:val="0"/>
          <w14:ligatures w14:val="none"/>
        </w:rPr>
        <w:t xml:space="preserve"> </w:t>
      </w:r>
      <w:r w:rsidRPr="00A26C26">
        <w:rPr>
          <w:rFonts w:eastAsia="Calibri" w:cstheme="minorHAnsi"/>
          <w:kern w:val="0"/>
          <w14:ligatures w14:val="none"/>
        </w:rPr>
        <w:t>zasięgnąć</w:t>
      </w:r>
      <w:r w:rsidR="003B50ED">
        <w:rPr>
          <w:rFonts w:eastAsia="Calibri" w:cstheme="minorHAnsi"/>
          <w:kern w:val="0"/>
          <w14:ligatures w14:val="none"/>
        </w:rPr>
        <w:t xml:space="preserve"> </w:t>
      </w:r>
      <w:r w:rsidRPr="00A26C26">
        <w:rPr>
          <w:rFonts w:eastAsia="Calibri" w:cstheme="minorHAnsi"/>
          <w:kern w:val="0"/>
          <w14:ligatures w14:val="none"/>
        </w:rPr>
        <w:t>opinii</w:t>
      </w:r>
      <w:r w:rsidR="003B50ED">
        <w:rPr>
          <w:rFonts w:eastAsia="Calibri" w:cstheme="minorHAnsi"/>
          <w:kern w:val="0"/>
          <w14:ligatures w14:val="none"/>
        </w:rPr>
        <w:t xml:space="preserve"> </w:t>
      </w:r>
      <w:r w:rsidRPr="00A26C26">
        <w:rPr>
          <w:rFonts w:eastAsia="Calibri" w:cstheme="minorHAnsi"/>
          <w:kern w:val="0"/>
          <w14:ligatures w14:val="none"/>
        </w:rPr>
        <w:t>prawnej</w:t>
      </w:r>
      <w:r w:rsidR="003B50ED">
        <w:rPr>
          <w:rFonts w:eastAsia="Calibri" w:cstheme="minorHAnsi"/>
          <w:kern w:val="0"/>
          <w14:ligatures w14:val="none"/>
        </w:rPr>
        <w:t xml:space="preserve"> </w:t>
      </w:r>
      <w:r w:rsidR="00665A15">
        <w:rPr>
          <w:rFonts w:eastAsia="Calibri" w:cstheme="minorHAnsi"/>
          <w:kern w:val="0"/>
          <w14:ligatures w14:val="none"/>
        </w:rPr>
        <w:br/>
      </w:r>
      <w:r w:rsidRPr="00A26C26">
        <w:rPr>
          <w:rFonts w:eastAsia="Calibri" w:cstheme="minorHAnsi"/>
          <w:kern w:val="0"/>
          <w14:ligatures w14:val="none"/>
        </w:rPr>
        <w:t>w</w:t>
      </w:r>
      <w:r w:rsidR="003B50ED">
        <w:rPr>
          <w:rFonts w:eastAsia="Calibri" w:cstheme="minorHAnsi"/>
          <w:kern w:val="0"/>
          <w14:ligatures w14:val="none"/>
        </w:rPr>
        <w:t xml:space="preserve"> </w:t>
      </w:r>
      <w:r w:rsidRPr="00F16251">
        <w:rPr>
          <w:rFonts w:eastAsia="Calibri" w:cstheme="minorHAnsi"/>
          <w:kern w:val="0"/>
          <w14:ligatures w14:val="none"/>
        </w:rPr>
        <w:t>skomplikowanych</w:t>
      </w:r>
      <w:r w:rsidR="003B50ED" w:rsidRPr="00F16251">
        <w:rPr>
          <w:rFonts w:eastAsia="Calibri" w:cstheme="minorHAnsi"/>
          <w:kern w:val="0"/>
          <w14:ligatures w14:val="none"/>
        </w:rPr>
        <w:t xml:space="preserve"> </w:t>
      </w:r>
      <w:r w:rsidRPr="00F16251">
        <w:rPr>
          <w:rFonts w:eastAsia="Calibri" w:cstheme="minorHAnsi"/>
          <w:kern w:val="0"/>
          <w14:ligatures w14:val="none"/>
        </w:rPr>
        <w:t>przypadkach</w:t>
      </w:r>
      <w:r w:rsidR="003B50ED" w:rsidRPr="00F16251">
        <w:rPr>
          <w:rFonts w:eastAsia="Calibri" w:cstheme="minorHAnsi"/>
          <w:kern w:val="0"/>
          <w14:ligatures w14:val="none"/>
        </w:rPr>
        <w:t xml:space="preserve"> </w:t>
      </w:r>
      <w:r w:rsidRPr="00F16251">
        <w:rPr>
          <w:rFonts w:eastAsia="Calibri" w:cstheme="minorHAnsi"/>
          <w:kern w:val="0"/>
          <w14:ligatures w14:val="none"/>
        </w:rPr>
        <w:t>operacji,</w:t>
      </w:r>
      <w:r w:rsidR="003B50ED" w:rsidRPr="00F16251">
        <w:rPr>
          <w:rFonts w:eastAsia="Calibri" w:cstheme="minorHAnsi"/>
          <w:kern w:val="0"/>
          <w14:ligatures w14:val="none"/>
        </w:rPr>
        <w:t xml:space="preserve"> </w:t>
      </w:r>
      <w:r w:rsidRPr="00F16251">
        <w:rPr>
          <w:rFonts w:eastAsia="Calibri" w:cstheme="minorHAnsi"/>
          <w:kern w:val="0"/>
          <w14:ligatures w14:val="none"/>
        </w:rPr>
        <w:t>które</w:t>
      </w:r>
      <w:r w:rsidR="003B50ED" w:rsidRPr="00F16251">
        <w:rPr>
          <w:rFonts w:eastAsia="Calibri" w:cstheme="minorHAnsi"/>
          <w:kern w:val="0"/>
          <w14:ligatures w14:val="none"/>
        </w:rPr>
        <w:t xml:space="preserve"> </w:t>
      </w:r>
      <w:r w:rsidRPr="00F16251">
        <w:rPr>
          <w:rFonts w:eastAsia="Calibri" w:cstheme="minorHAnsi"/>
          <w:kern w:val="0"/>
          <w14:ligatures w14:val="none"/>
        </w:rPr>
        <w:t>swoim</w:t>
      </w:r>
      <w:r w:rsidR="003B50ED" w:rsidRPr="00F16251">
        <w:rPr>
          <w:rFonts w:eastAsia="Calibri" w:cstheme="minorHAnsi"/>
          <w:kern w:val="0"/>
          <w14:ligatures w14:val="none"/>
        </w:rPr>
        <w:t xml:space="preserve"> </w:t>
      </w:r>
      <w:r w:rsidRPr="00F16251">
        <w:rPr>
          <w:rFonts w:eastAsia="Calibri" w:cstheme="minorHAnsi"/>
          <w:kern w:val="0"/>
          <w14:ligatures w14:val="none"/>
        </w:rPr>
        <w:t>zasięgiem</w:t>
      </w:r>
      <w:r w:rsidR="003B50ED" w:rsidRPr="00F16251">
        <w:rPr>
          <w:rFonts w:eastAsia="Calibri" w:cstheme="minorHAnsi"/>
          <w:kern w:val="0"/>
          <w14:ligatures w14:val="none"/>
        </w:rPr>
        <w:t xml:space="preserve"> </w:t>
      </w:r>
      <w:r w:rsidRPr="00F16251">
        <w:rPr>
          <w:rFonts w:eastAsia="Calibri" w:cstheme="minorHAnsi"/>
          <w:kern w:val="0"/>
          <w14:ligatures w14:val="none"/>
        </w:rPr>
        <w:t>obejmują</w:t>
      </w:r>
      <w:r w:rsidR="003B50ED" w:rsidRPr="00F16251">
        <w:rPr>
          <w:rFonts w:eastAsia="Calibri" w:cstheme="minorHAnsi"/>
          <w:kern w:val="0"/>
          <w14:ligatures w14:val="none"/>
        </w:rPr>
        <w:t xml:space="preserve"> </w:t>
      </w:r>
      <w:r w:rsidRPr="00F16251">
        <w:rPr>
          <w:rFonts w:eastAsia="Calibri" w:cstheme="minorHAnsi"/>
          <w:kern w:val="0"/>
          <w14:ligatures w14:val="none"/>
        </w:rPr>
        <w:t>np.</w:t>
      </w:r>
      <w:r w:rsidR="003B50ED" w:rsidRPr="00F16251">
        <w:rPr>
          <w:rFonts w:eastAsia="Calibri" w:cstheme="minorHAnsi"/>
          <w:kern w:val="0"/>
          <w14:ligatures w14:val="none"/>
        </w:rPr>
        <w:t xml:space="preserve"> </w:t>
      </w:r>
      <w:r w:rsidRPr="00F16251">
        <w:rPr>
          <w:rFonts w:eastAsia="Calibri" w:cstheme="minorHAnsi"/>
          <w:kern w:val="0"/>
          <w14:ligatures w14:val="none"/>
        </w:rPr>
        <w:t>obszar</w:t>
      </w:r>
      <w:r w:rsidR="003B50ED" w:rsidRPr="00F16251">
        <w:rPr>
          <w:rFonts w:eastAsia="Calibri" w:cstheme="minorHAnsi"/>
          <w:kern w:val="0"/>
          <w14:ligatures w14:val="none"/>
        </w:rPr>
        <w:t xml:space="preserve"> </w:t>
      </w:r>
      <w:r w:rsidRPr="00F16251">
        <w:rPr>
          <w:rFonts w:eastAsia="Calibri" w:cstheme="minorHAnsi"/>
          <w:kern w:val="0"/>
          <w14:ligatures w14:val="none"/>
        </w:rPr>
        <w:t>kilku</w:t>
      </w:r>
      <w:r w:rsidR="003B50ED" w:rsidRPr="00F16251">
        <w:rPr>
          <w:rFonts w:eastAsia="Calibri" w:cstheme="minorHAnsi"/>
          <w:kern w:val="0"/>
          <w14:ligatures w14:val="none"/>
        </w:rPr>
        <w:t xml:space="preserve"> </w:t>
      </w:r>
      <w:r w:rsidRPr="00F16251">
        <w:rPr>
          <w:rFonts w:eastAsia="Calibri" w:cstheme="minorHAnsi"/>
          <w:kern w:val="0"/>
          <w14:ligatures w14:val="none"/>
        </w:rPr>
        <w:t>gmin.</w:t>
      </w:r>
      <w:r w:rsidR="003B50ED" w:rsidRPr="00F16251">
        <w:rPr>
          <w:rFonts w:eastAsia="Calibri" w:cstheme="minorHAnsi"/>
          <w:kern w:val="0"/>
          <w14:ligatures w14:val="none"/>
        </w:rPr>
        <w:t xml:space="preserve"> </w:t>
      </w:r>
    </w:p>
    <w:p w14:paraId="77F62F76" w14:textId="77777777" w:rsidR="000A6E57" w:rsidRPr="00F16251" w:rsidRDefault="000A6E57" w:rsidP="00A26C26">
      <w:pPr>
        <w:spacing w:line="276" w:lineRule="auto"/>
        <w:ind w:firstLine="360"/>
        <w:jc w:val="both"/>
        <w:rPr>
          <w:rFonts w:eastAsia="Calibri" w:cstheme="minorHAnsi"/>
          <w:kern w:val="0"/>
          <w14:ligatures w14:val="none"/>
        </w:rPr>
      </w:pPr>
    </w:p>
    <w:p w14:paraId="310F91F2" w14:textId="2D54C597" w:rsidR="00665A15" w:rsidRPr="00E2622D" w:rsidRDefault="00665A15" w:rsidP="00665A15">
      <w:pPr>
        <w:spacing w:line="276" w:lineRule="auto"/>
        <w:ind w:firstLine="360"/>
        <w:jc w:val="both"/>
        <w:rPr>
          <w:rFonts w:ascii="Calibri" w:eastAsia="Calibri" w:hAnsi="Calibri" w:cs="Calibri"/>
          <w:kern w:val="0"/>
          <w14:ligatures w14:val="none"/>
        </w:rPr>
      </w:pPr>
      <w:r w:rsidRPr="00E2622D">
        <w:rPr>
          <w:rFonts w:eastAsia="Calibri" w:cstheme="minorHAnsi"/>
        </w:rPr>
        <w:t>Należy podkreślić, iż LGD na każdym etapie wdrażania LSR i komunikacji będzie stosować</w:t>
      </w:r>
      <w:r w:rsidRPr="00E2622D">
        <w:rPr>
          <w:rFonts w:eastAsia="Calibri" w:cstheme="minorHAnsi"/>
          <w:b/>
          <w:bCs/>
        </w:rPr>
        <w:t xml:space="preserve"> standardy dostępności </w:t>
      </w:r>
      <w:r w:rsidRPr="00E2622D">
        <w:rPr>
          <w:rFonts w:eastAsia="Calibri" w:cstheme="minorHAnsi"/>
        </w:rPr>
        <w:t>w tym</w:t>
      </w:r>
      <w:r w:rsidRPr="00E2622D">
        <w:rPr>
          <w:rFonts w:eastAsia="Calibri" w:cstheme="minorHAnsi"/>
          <w:b/>
          <w:bCs/>
        </w:rPr>
        <w:t xml:space="preserve"> </w:t>
      </w:r>
      <w:r w:rsidRPr="00E2622D">
        <w:rPr>
          <w:rFonts w:eastAsia="Calibri" w:cstheme="minorHAnsi"/>
        </w:rPr>
        <w:t>w szczególności</w:t>
      </w:r>
      <w:r w:rsidRPr="00E2622D">
        <w:rPr>
          <w:rFonts w:ascii="Calibri" w:eastAsia="Calibri" w:hAnsi="Calibri" w:cs="Calibri"/>
          <w:kern w:val="0"/>
          <w14:ligatures w14:val="none"/>
        </w:rPr>
        <w:t xml:space="preserve"> zasady horyzontalne, wynikającego z art. 9 ww. rozporządzenia 2021/1060, w tym:</w:t>
      </w:r>
    </w:p>
    <w:p w14:paraId="3D5EB5B3" w14:textId="77777777" w:rsidR="00665A15" w:rsidRPr="00E2622D" w:rsidRDefault="00665A15" w:rsidP="00665A15">
      <w:pPr>
        <w:numPr>
          <w:ilvl w:val="0"/>
          <w:numId w:val="48"/>
        </w:numPr>
        <w:spacing w:after="200" w:line="276" w:lineRule="auto"/>
        <w:contextualSpacing/>
        <w:jc w:val="both"/>
        <w:rPr>
          <w:rFonts w:ascii="Calibri" w:eastAsia="Calibri" w:hAnsi="Calibri" w:cs="Calibri"/>
          <w:kern w:val="0"/>
          <w14:ligatures w14:val="none"/>
        </w:rPr>
      </w:pPr>
      <w:r w:rsidRPr="00E2622D">
        <w:rPr>
          <w:rFonts w:ascii="Calibri" w:eastAsia="Calibri" w:hAnsi="Calibri" w:cs="Calibri"/>
          <w:kern w:val="0"/>
          <w14:ligatures w14:val="none"/>
        </w:rPr>
        <w:t>poszanowania praw podstawowych oraz przestrzeganie Karty praw podstawowych Unii Europejskiej;</w:t>
      </w:r>
    </w:p>
    <w:p w14:paraId="756D641F" w14:textId="77777777" w:rsidR="00665A15" w:rsidRPr="00E2622D" w:rsidRDefault="00665A15" w:rsidP="00665A15">
      <w:pPr>
        <w:numPr>
          <w:ilvl w:val="0"/>
          <w:numId w:val="48"/>
        </w:numPr>
        <w:spacing w:after="200" w:line="276" w:lineRule="auto"/>
        <w:contextualSpacing/>
        <w:jc w:val="both"/>
        <w:rPr>
          <w:rFonts w:ascii="Calibri" w:eastAsia="Calibri" w:hAnsi="Calibri" w:cs="Calibri"/>
          <w:kern w:val="0"/>
          <w14:ligatures w14:val="none"/>
        </w:rPr>
      </w:pPr>
      <w:r w:rsidRPr="00E2622D">
        <w:rPr>
          <w:rFonts w:ascii="Calibri" w:eastAsia="Calibri" w:hAnsi="Calibri" w:cs="Calibri"/>
          <w:kern w:val="0"/>
          <w14:ligatures w14:val="none"/>
        </w:rPr>
        <w:t>zasady równości kobiet i mężczyzn,</w:t>
      </w:r>
    </w:p>
    <w:p w14:paraId="00A70023" w14:textId="77777777" w:rsidR="00665A15" w:rsidRPr="00E2622D" w:rsidRDefault="00665A15" w:rsidP="00665A15">
      <w:pPr>
        <w:numPr>
          <w:ilvl w:val="0"/>
          <w:numId w:val="48"/>
        </w:numPr>
        <w:spacing w:after="200" w:line="276" w:lineRule="auto"/>
        <w:contextualSpacing/>
        <w:jc w:val="both"/>
        <w:rPr>
          <w:rFonts w:ascii="Calibri" w:eastAsia="Calibri" w:hAnsi="Calibri" w:cs="Calibri"/>
          <w:kern w:val="0"/>
          <w14:ligatures w14:val="none"/>
        </w:rPr>
      </w:pPr>
      <w:r w:rsidRPr="00E2622D">
        <w:rPr>
          <w:rFonts w:ascii="Calibri" w:eastAsia="Calibri" w:hAnsi="Calibri" w:cs="Calibri"/>
          <w:kern w:val="0"/>
          <w14:ligatures w14:val="none"/>
        </w:rPr>
        <w:t xml:space="preserve">zasady równości szans i niedyskryminacji ze względu na płeć, rasę lub pochodzenie etniczne, religię lub światopogląd, niepełnosprawność, wiek lub orientację seksualną, w tym zasadę dostępności dla osób </w:t>
      </w:r>
      <w:r w:rsidRPr="00E2622D">
        <w:rPr>
          <w:rFonts w:ascii="Calibri" w:eastAsia="Calibri" w:hAnsi="Calibri" w:cs="Calibri"/>
          <w:kern w:val="0"/>
          <w14:ligatures w14:val="none"/>
        </w:rPr>
        <w:br/>
        <w:t>z niepełnosprawnościami,</w:t>
      </w:r>
    </w:p>
    <w:p w14:paraId="21BCF065" w14:textId="77777777" w:rsidR="00665A15" w:rsidRPr="00E2622D" w:rsidRDefault="00665A15" w:rsidP="00665A15">
      <w:pPr>
        <w:numPr>
          <w:ilvl w:val="0"/>
          <w:numId w:val="48"/>
        </w:numPr>
        <w:spacing w:after="200" w:line="276" w:lineRule="auto"/>
        <w:contextualSpacing/>
        <w:jc w:val="both"/>
        <w:rPr>
          <w:rFonts w:ascii="Calibri" w:eastAsia="Calibri" w:hAnsi="Calibri" w:cs="Calibri"/>
          <w:kern w:val="0"/>
          <w14:ligatures w14:val="none"/>
        </w:rPr>
      </w:pPr>
      <w:r w:rsidRPr="00E2622D">
        <w:rPr>
          <w:rFonts w:ascii="Calibri" w:eastAsia="Calibri" w:hAnsi="Calibri" w:cs="Calibri"/>
          <w:kern w:val="0"/>
          <w14:ligatures w14:val="none"/>
        </w:rPr>
        <w:t xml:space="preserve">zgodności działań z celem wspierania zrównoważonego rozwoju określonego w art. 11 TFUE oraz </w:t>
      </w:r>
      <w:r w:rsidRPr="00E2622D">
        <w:rPr>
          <w:rFonts w:ascii="Calibri" w:eastAsia="Calibri" w:hAnsi="Calibri" w:cs="Calibri"/>
          <w:kern w:val="0"/>
          <w14:ligatures w14:val="none"/>
        </w:rPr>
        <w:br/>
        <w:t>z uwzględnieniem celów ONZ dotyczących zrównoważonego rozwoju, a także porozumienia paryskiego i zasady „nie czyń poważnych szkód”,</w:t>
      </w:r>
    </w:p>
    <w:p w14:paraId="685F1693" w14:textId="77777777" w:rsidR="00665A15" w:rsidRPr="00E2622D" w:rsidRDefault="00665A15" w:rsidP="00665A15">
      <w:pPr>
        <w:numPr>
          <w:ilvl w:val="0"/>
          <w:numId w:val="48"/>
        </w:numPr>
        <w:spacing w:after="200" w:line="276" w:lineRule="auto"/>
        <w:contextualSpacing/>
        <w:jc w:val="both"/>
        <w:rPr>
          <w:rFonts w:ascii="Calibri" w:eastAsia="Calibri" w:hAnsi="Calibri" w:cs="Calibri"/>
          <w:kern w:val="0"/>
          <w14:ligatures w14:val="none"/>
        </w:rPr>
      </w:pPr>
      <w:r w:rsidRPr="00E2622D">
        <w:rPr>
          <w:rFonts w:ascii="Calibri" w:eastAsia="Calibri" w:hAnsi="Calibri" w:cs="Calibri"/>
          <w:kern w:val="0"/>
          <w14:ligatures w14:val="none"/>
        </w:rPr>
        <w:t>Informacji dot. konsultacji projektowanego LSR z mieszkańcami.</w:t>
      </w:r>
    </w:p>
    <w:p w14:paraId="5043F2CC" w14:textId="77777777" w:rsidR="00E66FB4" w:rsidRPr="00F16251" w:rsidRDefault="00E66FB4" w:rsidP="00A26C26">
      <w:pPr>
        <w:spacing w:line="276" w:lineRule="auto"/>
        <w:rPr>
          <w:rFonts w:eastAsia="Calibri" w:cstheme="minorHAnsi"/>
          <w:kern w:val="0"/>
          <w14:ligatures w14:val="none"/>
        </w:rPr>
      </w:pPr>
    </w:p>
    <w:p w14:paraId="4406D5FE" w14:textId="125B20C8" w:rsidR="001E07AA" w:rsidRPr="00F16251" w:rsidRDefault="001E07AA" w:rsidP="006B3C3B">
      <w:pPr>
        <w:pStyle w:val="Nagwek2"/>
        <w:numPr>
          <w:ilvl w:val="0"/>
          <w:numId w:val="21"/>
        </w:numPr>
        <w:spacing w:before="0" w:line="276" w:lineRule="auto"/>
        <w:rPr>
          <w:rFonts w:asciiTheme="minorHAnsi" w:eastAsia="Times New Roman" w:hAnsiTheme="minorHAnsi" w:cstheme="minorHAnsi"/>
          <w:b/>
          <w:bCs/>
          <w:color w:val="auto"/>
          <w:sz w:val="22"/>
          <w:szCs w:val="22"/>
        </w:rPr>
      </w:pPr>
      <w:bookmarkStart w:id="99" w:name="_Toc136944427"/>
      <w:bookmarkStart w:id="100" w:name="_Hlk136200420"/>
      <w:r w:rsidRPr="00F16251">
        <w:rPr>
          <w:rFonts w:asciiTheme="minorHAnsi" w:eastAsia="Times New Roman" w:hAnsiTheme="minorHAnsi" w:cstheme="minorHAnsi"/>
          <w:b/>
          <w:bCs/>
          <w:color w:val="auto"/>
          <w:sz w:val="22"/>
          <w:szCs w:val="22"/>
        </w:rPr>
        <w:t>Uzasadnienie doborów zakresów wsparcia, źródeł finansowania i sposobów wdrażania.</w:t>
      </w:r>
      <w:bookmarkEnd w:id="99"/>
    </w:p>
    <w:p w14:paraId="554C41BF" w14:textId="0256EED0" w:rsidR="001E07AA" w:rsidRPr="00F16251" w:rsidRDefault="001E07AA" w:rsidP="001E07AA">
      <w:pPr>
        <w:spacing w:line="276" w:lineRule="auto"/>
        <w:ind w:firstLine="360"/>
        <w:jc w:val="both"/>
        <w:rPr>
          <w:rFonts w:cstheme="minorHAnsi"/>
        </w:rPr>
      </w:pPr>
      <w:r w:rsidRPr="00F16251">
        <w:rPr>
          <w:rFonts w:cstheme="minorHAnsi"/>
        </w:rPr>
        <w:t>Przedsięwzięcia w ramach LSR będą realizowane za pomocą konkursów, projektów grantowych, projektów partnerskich i operacji w pa</w:t>
      </w:r>
      <w:r w:rsidR="00956CD9">
        <w:rPr>
          <w:rFonts w:cstheme="minorHAnsi"/>
        </w:rPr>
        <w:t>rtnerst</w:t>
      </w:r>
      <w:r w:rsidRPr="00F16251">
        <w:rPr>
          <w:rFonts w:cstheme="minorHAnsi"/>
        </w:rPr>
        <w:t xml:space="preserve">wie, operacji własnych oraz projektów grantowych na opracowanie koncepcji smart </w:t>
      </w:r>
      <w:proofErr w:type="spellStart"/>
      <w:r w:rsidRPr="00F16251">
        <w:rPr>
          <w:rFonts w:cstheme="minorHAnsi"/>
        </w:rPr>
        <w:t>village</w:t>
      </w:r>
      <w:proofErr w:type="spellEnd"/>
      <w:r w:rsidRPr="00F16251">
        <w:rPr>
          <w:rFonts w:cstheme="minorHAnsi"/>
        </w:rPr>
        <w:t xml:space="preserve">. Taki dobór metod jest uzasadniony doświadczeniami w poprzednich okresach programowania, potrzebami zgłaszanymi przez lokalną społeczność oraz dostępnymi formami wsparcia w ramach PS dla WPR 2023-2027 oraz FEWP 2021-2027. </w:t>
      </w:r>
    </w:p>
    <w:p w14:paraId="6983195F" w14:textId="2C3C932D" w:rsidR="001E07AA" w:rsidRDefault="001E07AA" w:rsidP="001E07AA">
      <w:pPr>
        <w:spacing w:line="276" w:lineRule="auto"/>
        <w:ind w:firstLine="360"/>
        <w:jc w:val="both"/>
        <w:rPr>
          <w:rFonts w:eastAsia="Times New Roman" w:cstheme="minorHAnsi"/>
          <w:szCs w:val="24"/>
          <w:lang w:eastAsia="pl-PL"/>
        </w:rPr>
      </w:pPr>
      <w:r w:rsidRPr="00F16251">
        <w:rPr>
          <w:rFonts w:eastAsia="Times New Roman" w:cstheme="minorHAnsi"/>
          <w:szCs w:val="24"/>
          <w:lang w:eastAsia="pl-PL"/>
        </w:rPr>
        <w:t>Przyjęto sposób wdrażania LSR poprzez stosowanie harmonizacji zakresów tematycznych następujących po sobie naborów wniosków. Planuje się, np. w pierwszej kolejności realizację projektów dotyczących doinwestowania infrastruktury publicznej, której stan uniemożliwia jej wykorzystanie na cele społeczne, a następnie wyposażenie tychże obiektów i przestrzeni, miejsc aktywności lokalnej w sprzęt do prowadzenia działalności ważnej dla edukacji i aktywności kulturalnej co pozwoli na rozwój lokalnej społeczności. Należy zwrócić uwagę, iż w strategii nastąpi kontynuacja działań rozpoczętych w perspektywie 2014-2020</w:t>
      </w:r>
      <w:bookmarkEnd w:id="100"/>
      <w:r w:rsidR="00E2622D">
        <w:rPr>
          <w:rFonts w:eastAsia="Times New Roman" w:cstheme="minorHAnsi"/>
          <w:szCs w:val="24"/>
          <w:lang w:eastAsia="pl-PL"/>
        </w:rPr>
        <w:t>.</w:t>
      </w:r>
    </w:p>
    <w:p w14:paraId="67B6BCE8" w14:textId="77777777" w:rsidR="00BD17DA" w:rsidRPr="00F16251" w:rsidRDefault="00BD17DA" w:rsidP="001E07AA">
      <w:pPr>
        <w:spacing w:line="276" w:lineRule="auto"/>
        <w:ind w:firstLine="360"/>
        <w:jc w:val="both"/>
        <w:rPr>
          <w:rFonts w:cstheme="minorHAnsi"/>
        </w:rPr>
      </w:pPr>
    </w:p>
    <w:p w14:paraId="3BBABAC7" w14:textId="726F5843" w:rsidR="002C63F4" w:rsidRPr="006207FD" w:rsidRDefault="00E924BA" w:rsidP="006207FD">
      <w:pPr>
        <w:rPr>
          <w:rFonts w:eastAsiaTheme="majorEastAsia" w:cstheme="minorHAnsi"/>
          <w:b/>
          <w:bCs/>
          <w:webHidden/>
          <w:color w:val="2F5496" w:themeColor="accent1" w:themeShade="BF"/>
        </w:rPr>
      </w:pPr>
      <w:bookmarkStart w:id="101" w:name="_Toc136944428"/>
      <w:r w:rsidRPr="006207FD">
        <w:rPr>
          <w:rFonts w:cstheme="minorHAnsi"/>
          <w:b/>
          <w:bCs/>
          <w:color w:val="4472C4" w:themeColor="accent1"/>
        </w:rPr>
        <w:t>ROZDZIAŁ</w:t>
      </w:r>
      <w:r w:rsidR="003B50ED" w:rsidRPr="006207FD">
        <w:rPr>
          <w:rFonts w:cstheme="minorHAnsi"/>
          <w:b/>
          <w:bCs/>
          <w:color w:val="4472C4" w:themeColor="accent1"/>
        </w:rPr>
        <w:t xml:space="preserve"> </w:t>
      </w:r>
      <w:r w:rsidRPr="006207FD">
        <w:rPr>
          <w:rFonts w:cstheme="minorHAnsi"/>
          <w:b/>
          <w:bCs/>
          <w:color w:val="4472C4" w:themeColor="accent1"/>
        </w:rPr>
        <w:t>VI</w:t>
      </w:r>
      <w:r w:rsidR="003B50ED" w:rsidRPr="006207FD">
        <w:rPr>
          <w:rFonts w:cstheme="minorHAnsi"/>
          <w:b/>
          <w:bCs/>
          <w:color w:val="4472C4" w:themeColor="accent1"/>
        </w:rPr>
        <w:t xml:space="preserve"> </w:t>
      </w:r>
      <w:r w:rsidRPr="006207FD">
        <w:rPr>
          <w:rFonts w:cstheme="minorHAnsi"/>
          <w:b/>
          <w:bCs/>
          <w:color w:val="4472C4" w:themeColor="accent1"/>
        </w:rPr>
        <w:t>-</w:t>
      </w:r>
      <w:r w:rsidR="003B50ED" w:rsidRPr="006207FD">
        <w:rPr>
          <w:rFonts w:cstheme="minorHAnsi"/>
          <w:b/>
          <w:bCs/>
          <w:color w:val="4472C4" w:themeColor="accent1"/>
        </w:rPr>
        <w:t xml:space="preserve"> </w:t>
      </w:r>
      <w:r w:rsidRPr="006207FD">
        <w:rPr>
          <w:rFonts w:cstheme="minorHAnsi"/>
          <w:b/>
          <w:bCs/>
          <w:color w:val="4472C4" w:themeColor="accent1"/>
        </w:rPr>
        <w:t>CELE</w:t>
      </w:r>
      <w:r w:rsidR="003B50ED" w:rsidRPr="006207FD">
        <w:rPr>
          <w:rFonts w:cstheme="minorHAnsi"/>
          <w:b/>
          <w:bCs/>
          <w:color w:val="4472C4" w:themeColor="accent1"/>
        </w:rPr>
        <w:t xml:space="preserve"> </w:t>
      </w:r>
      <w:r w:rsidRPr="006207FD">
        <w:rPr>
          <w:rFonts w:cstheme="minorHAnsi"/>
          <w:b/>
          <w:bCs/>
          <w:color w:val="4472C4" w:themeColor="accent1"/>
        </w:rPr>
        <w:t>I</w:t>
      </w:r>
      <w:r w:rsidR="003B50ED" w:rsidRPr="006207FD">
        <w:rPr>
          <w:rFonts w:cstheme="minorHAnsi"/>
          <w:b/>
          <w:bCs/>
          <w:color w:val="4472C4" w:themeColor="accent1"/>
        </w:rPr>
        <w:t xml:space="preserve"> </w:t>
      </w:r>
      <w:r w:rsidRPr="006207FD">
        <w:rPr>
          <w:rFonts w:cstheme="minorHAnsi"/>
          <w:b/>
          <w:bCs/>
          <w:color w:val="4472C4" w:themeColor="accent1"/>
        </w:rPr>
        <w:t>WSKAŹNIKI</w:t>
      </w:r>
      <w:bookmarkEnd w:id="101"/>
    </w:p>
    <w:p w14:paraId="24455F8B" w14:textId="43D624D2" w:rsidR="002C63F4" w:rsidRPr="00F16251" w:rsidRDefault="002C63F4" w:rsidP="00C55B6F">
      <w:pPr>
        <w:spacing w:line="276" w:lineRule="auto"/>
        <w:ind w:firstLine="360"/>
        <w:jc w:val="both"/>
        <w:rPr>
          <w:rFonts w:eastAsia="Calibri" w:cstheme="minorHAnsi"/>
          <w:kern w:val="0"/>
          <w14:ligatures w14:val="none"/>
        </w:rPr>
      </w:pPr>
      <w:bookmarkStart w:id="102" w:name="_Hlk134698918"/>
      <w:r w:rsidRPr="00F16251">
        <w:rPr>
          <w:rFonts w:eastAsia="Calibri" w:cstheme="minorHAnsi"/>
          <w:kern w:val="0"/>
          <w14:ligatures w14:val="none"/>
        </w:rPr>
        <w:t>Przedstawione</w:t>
      </w:r>
      <w:r w:rsidR="003B50ED" w:rsidRPr="00F16251">
        <w:rPr>
          <w:rFonts w:eastAsia="Calibri" w:cstheme="minorHAnsi"/>
          <w:kern w:val="0"/>
          <w14:ligatures w14:val="none"/>
        </w:rPr>
        <w:t xml:space="preserve"> </w:t>
      </w:r>
      <w:r w:rsidRPr="00F16251">
        <w:rPr>
          <w:rFonts w:eastAsia="Calibri" w:cstheme="minorHAnsi"/>
          <w:kern w:val="0"/>
          <w14:ligatures w14:val="none"/>
        </w:rPr>
        <w:t>poniżej</w:t>
      </w:r>
      <w:r w:rsidR="003B50ED" w:rsidRPr="00F16251">
        <w:rPr>
          <w:rFonts w:eastAsia="Calibri" w:cstheme="minorHAnsi"/>
          <w:kern w:val="0"/>
          <w14:ligatures w14:val="none"/>
        </w:rPr>
        <w:t xml:space="preserve"> </w:t>
      </w:r>
      <w:r w:rsidRPr="00F16251">
        <w:rPr>
          <w:rFonts w:eastAsia="Calibri" w:cstheme="minorHAnsi"/>
          <w:kern w:val="0"/>
          <w14:ligatures w14:val="none"/>
        </w:rPr>
        <w:t>cele</w:t>
      </w:r>
      <w:r w:rsidR="003B50ED" w:rsidRPr="00F16251">
        <w:rPr>
          <w:rFonts w:eastAsia="Calibri" w:cstheme="minorHAnsi"/>
          <w:kern w:val="0"/>
          <w14:ligatures w14:val="none"/>
        </w:rPr>
        <w:t xml:space="preserve"> </w:t>
      </w:r>
      <w:r w:rsidRPr="00F16251">
        <w:rPr>
          <w:rFonts w:eastAsia="Calibri" w:cstheme="minorHAnsi"/>
          <w:kern w:val="0"/>
          <w14:ligatures w14:val="none"/>
        </w:rPr>
        <w:t>oraz</w:t>
      </w:r>
      <w:r w:rsidR="003B50ED" w:rsidRPr="00F16251">
        <w:rPr>
          <w:rFonts w:eastAsia="Calibri" w:cstheme="minorHAnsi"/>
          <w:kern w:val="0"/>
          <w14:ligatures w14:val="none"/>
        </w:rPr>
        <w:t xml:space="preserve"> </w:t>
      </w:r>
      <w:r w:rsidRPr="00F16251">
        <w:rPr>
          <w:rFonts w:eastAsia="Calibri" w:cstheme="minorHAnsi"/>
          <w:kern w:val="0"/>
          <w14:ligatures w14:val="none"/>
        </w:rPr>
        <w:t>przedsięwzięcia</w:t>
      </w:r>
      <w:r w:rsidR="003B50ED" w:rsidRPr="00F16251">
        <w:rPr>
          <w:rFonts w:eastAsia="Calibri" w:cstheme="minorHAnsi"/>
          <w:kern w:val="0"/>
          <w14:ligatures w14:val="none"/>
        </w:rPr>
        <w:t xml:space="preserve"> </w:t>
      </w:r>
      <w:r w:rsidRPr="00F16251">
        <w:rPr>
          <w:rFonts w:eastAsia="Calibri" w:cstheme="minorHAnsi"/>
          <w:kern w:val="0"/>
          <w14:ligatures w14:val="none"/>
        </w:rPr>
        <w:t>są</w:t>
      </w:r>
      <w:r w:rsidR="003B50ED" w:rsidRPr="00F16251">
        <w:rPr>
          <w:rFonts w:eastAsia="Calibri" w:cstheme="minorHAnsi"/>
          <w:kern w:val="0"/>
          <w14:ligatures w14:val="none"/>
        </w:rPr>
        <w:t xml:space="preserve"> </w:t>
      </w:r>
      <w:r w:rsidRPr="00F16251">
        <w:rPr>
          <w:rFonts w:eastAsia="Calibri" w:cstheme="minorHAnsi"/>
          <w:kern w:val="0"/>
          <w14:ligatures w14:val="none"/>
        </w:rPr>
        <w:t>efektem</w:t>
      </w:r>
      <w:r w:rsidR="003B50ED" w:rsidRPr="00F16251">
        <w:rPr>
          <w:rFonts w:eastAsia="Calibri" w:cstheme="minorHAnsi"/>
          <w:kern w:val="0"/>
          <w14:ligatures w14:val="none"/>
        </w:rPr>
        <w:t xml:space="preserve"> </w:t>
      </w:r>
      <w:r w:rsidRPr="00F16251">
        <w:rPr>
          <w:rFonts w:eastAsia="Calibri" w:cstheme="minorHAnsi"/>
          <w:kern w:val="0"/>
          <w14:ligatures w14:val="none"/>
        </w:rPr>
        <w:t>wielomiesięcznej</w:t>
      </w:r>
      <w:r w:rsidR="003B50ED" w:rsidRPr="00F16251">
        <w:rPr>
          <w:rFonts w:eastAsia="Calibri" w:cstheme="minorHAnsi"/>
          <w:kern w:val="0"/>
          <w14:ligatures w14:val="none"/>
        </w:rPr>
        <w:t xml:space="preserve"> </w:t>
      </w:r>
      <w:r w:rsidRPr="00F16251">
        <w:rPr>
          <w:rFonts w:eastAsia="Calibri" w:cstheme="minorHAnsi"/>
          <w:kern w:val="0"/>
          <w14:ligatures w14:val="none"/>
        </w:rPr>
        <w:t>pracy</w:t>
      </w:r>
      <w:r w:rsidR="003B50ED" w:rsidRPr="00F16251">
        <w:rPr>
          <w:rFonts w:eastAsia="Calibri" w:cstheme="minorHAnsi"/>
          <w:kern w:val="0"/>
          <w14:ligatures w14:val="none"/>
        </w:rPr>
        <w:t xml:space="preserve"> </w:t>
      </w:r>
      <w:r w:rsidR="006568AD" w:rsidRPr="00F16251">
        <w:rPr>
          <w:rFonts w:cstheme="minorHAnsi"/>
        </w:rPr>
        <w:t xml:space="preserve">Stowarzyszenia „Solidarni w Partnerstwie” </w:t>
      </w:r>
      <w:r w:rsidRPr="00F16251">
        <w:rPr>
          <w:rFonts w:eastAsia="Calibri" w:cstheme="minorHAnsi"/>
          <w:kern w:val="0"/>
          <w14:ligatures w14:val="none"/>
        </w:rPr>
        <w:t>oraz</w:t>
      </w:r>
      <w:r w:rsidR="003B50ED" w:rsidRPr="00F16251">
        <w:rPr>
          <w:rFonts w:eastAsia="Calibri" w:cstheme="minorHAnsi"/>
          <w:kern w:val="0"/>
          <w14:ligatures w14:val="none"/>
        </w:rPr>
        <w:t xml:space="preserve"> </w:t>
      </w:r>
      <w:r w:rsidRPr="00F16251">
        <w:rPr>
          <w:rFonts w:eastAsia="Calibri" w:cstheme="minorHAnsi"/>
          <w:kern w:val="0"/>
          <w14:ligatures w14:val="none"/>
        </w:rPr>
        <w:t>uczestników</w:t>
      </w:r>
      <w:r w:rsidR="003B50ED" w:rsidRPr="00F16251">
        <w:rPr>
          <w:rFonts w:eastAsia="Calibri" w:cstheme="minorHAnsi"/>
          <w:kern w:val="0"/>
          <w14:ligatures w14:val="none"/>
        </w:rPr>
        <w:t xml:space="preserve"> </w:t>
      </w:r>
      <w:r w:rsidRPr="00F16251">
        <w:rPr>
          <w:rFonts w:eastAsia="Calibri" w:cstheme="minorHAnsi"/>
          <w:kern w:val="0"/>
          <w14:ligatures w14:val="none"/>
        </w:rPr>
        <w:t>konsultacji</w:t>
      </w:r>
      <w:r w:rsidR="003B50ED" w:rsidRPr="00F16251">
        <w:rPr>
          <w:rFonts w:eastAsia="Calibri" w:cstheme="minorHAnsi"/>
          <w:kern w:val="0"/>
          <w14:ligatures w14:val="none"/>
        </w:rPr>
        <w:t xml:space="preserve"> </w:t>
      </w:r>
      <w:r w:rsidRPr="00F16251">
        <w:rPr>
          <w:rFonts w:eastAsia="Calibri" w:cstheme="minorHAnsi"/>
          <w:kern w:val="0"/>
          <w14:ligatures w14:val="none"/>
        </w:rPr>
        <w:t>społecznych</w:t>
      </w:r>
      <w:r w:rsidR="003B50ED" w:rsidRPr="00F16251">
        <w:rPr>
          <w:rFonts w:eastAsia="Calibri" w:cstheme="minorHAnsi"/>
          <w:kern w:val="0"/>
          <w14:ligatures w14:val="none"/>
        </w:rPr>
        <w:t xml:space="preserve"> </w:t>
      </w:r>
      <w:r w:rsidRPr="00F16251">
        <w:rPr>
          <w:rFonts w:eastAsia="Calibri" w:cstheme="minorHAnsi"/>
          <w:kern w:val="0"/>
          <w14:ligatures w14:val="none"/>
        </w:rPr>
        <w:t>przeprowadzonych</w:t>
      </w:r>
      <w:r w:rsidR="003B50ED" w:rsidRPr="00F16251">
        <w:rPr>
          <w:rFonts w:eastAsia="Calibri" w:cstheme="minorHAnsi"/>
          <w:kern w:val="0"/>
          <w14:ligatures w14:val="none"/>
        </w:rPr>
        <w:t xml:space="preserve"> </w:t>
      </w:r>
      <w:r w:rsidRPr="00F16251">
        <w:rPr>
          <w:rFonts w:eastAsia="Calibri" w:cstheme="minorHAnsi"/>
          <w:kern w:val="0"/>
          <w14:ligatures w14:val="none"/>
        </w:rPr>
        <w:t>dla</w:t>
      </w:r>
      <w:r w:rsidR="003B50ED" w:rsidRPr="00F16251">
        <w:rPr>
          <w:rFonts w:eastAsia="Calibri" w:cstheme="minorHAnsi"/>
          <w:kern w:val="0"/>
          <w14:ligatures w14:val="none"/>
        </w:rPr>
        <w:t xml:space="preserve"> </w:t>
      </w:r>
      <w:r w:rsidRPr="00F16251">
        <w:rPr>
          <w:rFonts w:eastAsia="Calibri" w:cstheme="minorHAnsi"/>
          <w:kern w:val="0"/>
          <w14:ligatures w14:val="none"/>
        </w:rPr>
        <w:t>potrzeb</w:t>
      </w:r>
      <w:r w:rsidR="003B50ED" w:rsidRPr="00F16251">
        <w:rPr>
          <w:rFonts w:eastAsia="Calibri" w:cstheme="minorHAnsi"/>
          <w:kern w:val="0"/>
          <w14:ligatures w14:val="none"/>
        </w:rPr>
        <w:t xml:space="preserve"> </w:t>
      </w:r>
      <w:r w:rsidRPr="00F16251">
        <w:rPr>
          <w:rFonts w:eastAsia="Calibri" w:cstheme="minorHAnsi"/>
          <w:kern w:val="0"/>
          <w14:ligatures w14:val="none"/>
        </w:rPr>
        <w:t>przygotowania</w:t>
      </w:r>
      <w:r w:rsidR="003B50ED" w:rsidRPr="00F16251">
        <w:rPr>
          <w:rFonts w:eastAsia="Calibri" w:cstheme="minorHAnsi"/>
          <w:kern w:val="0"/>
          <w14:ligatures w14:val="none"/>
        </w:rPr>
        <w:t xml:space="preserve"> </w:t>
      </w:r>
      <w:r w:rsidRPr="00F16251">
        <w:rPr>
          <w:rFonts w:eastAsia="Calibri" w:cstheme="minorHAnsi"/>
          <w:kern w:val="0"/>
          <w14:ligatures w14:val="none"/>
        </w:rPr>
        <w:t>nowej</w:t>
      </w:r>
      <w:r w:rsidR="003B50ED" w:rsidRPr="00F16251">
        <w:rPr>
          <w:rFonts w:eastAsia="Calibri" w:cstheme="minorHAnsi"/>
          <w:kern w:val="0"/>
          <w14:ligatures w14:val="none"/>
        </w:rPr>
        <w:t xml:space="preserve"> </w:t>
      </w:r>
      <w:r w:rsidRPr="00F16251">
        <w:rPr>
          <w:rFonts w:eastAsia="Calibri" w:cstheme="minorHAnsi"/>
          <w:kern w:val="0"/>
          <w14:ligatures w14:val="none"/>
        </w:rPr>
        <w:t>LSR</w:t>
      </w:r>
      <w:r w:rsidR="003B50ED" w:rsidRPr="00F16251">
        <w:rPr>
          <w:rFonts w:eastAsia="Calibri" w:cstheme="minorHAnsi"/>
          <w:kern w:val="0"/>
          <w14:ligatures w14:val="none"/>
        </w:rPr>
        <w:t xml:space="preserve"> </w:t>
      </w:r>
      <w:r w:rsidRPr="00F16251">
        <w:rPr>
          <w:rFonts w:eastAsia="Calibri" w:cstheme="minorHAnsi"/>
          <w:kern w:val="0"/>
          <w14:ligatures w14:val="none"/>
        </w:rPr>
        <w:t>na</w:t>
      </w:r>
      <w:r w:rsidR="003B50ED" w:rsidRPr="00F16251">
        <w:rPr>
          <w:rFonts w:eastAsia="Calibri" w:cstheme="minorHAnsi"/>
          <w:kern w:val="0"/>
          <w14:ligatures w14:val="none"/>
        </w:rPr>
        <w:t xml:space="preserve"> </w:t>
      </w:r>
      <w:r w:rsidRPr="00F16251">
        <w:rPr>
          <w:rFonts w:eastAsia="Calibri" w:cstheme="minorHAnsi"/>
          <w:kern w:val="0"/>
          <w14:ligatures w14:val="none"/>
        </w:rPr>
        <w:t>lata</w:t>
      </w:r>
      <w:r w:rsidR="003B50ED" w:rsidRPr="00F16251">
        <w:rPr>
          <w:rFonts w:eastAsia="Calibri" w:cstheme="minorHAnsi"/>
          <w:kern w:val="0"/>
          <w14:ligatures w14:val="none"/>
        </w:rPr>
        <w:t xml:space="preserve"> </w:t>
      </w:r>
      <w:r w:rsidRPr="00F16251">
        <w:rPr>
          <w:rFonts w:eastAsia="Calibri" w:cstheme="minorHAnsi"/>
          <w:kern w:val="0"/>
          <w14:ligatures w14:val="none"/>
        </w:rPr>
        <w:t>2023-2027.</w:t>
      </w:r>
      <w:r w:rsidR="003B50ED" w:rsidRPr="00F16251">
        <w:rPr>
          <w:rFonts w:eastAsia="Calibri" w:cstheme="minorHAnsi"/>
          <w:kern w:val="0"/>
          <w14:ligatures w14:val="none"/>
        </w:rPr>
        <w:t xml:space="preserve"> </w:t>
      </w:r>
      <w:r w:rsidRPr="00F16251">
        <w:rPr>
          <w:rFonts w:eastAsia="Calibri" w:cstheme="minorHAnsi"/>
          <w:kern w:val="0"/>
          <w14:ligatures w14:val="none"/>
        </w:rPr>
        <w:t>Zastosowanie</w:t>
      </w:r>
      <w:r w:rsidR="003B50ED" w:rsidRPr="00F16251">
        <w:rPr>
          <w:rFonts w:eastAsia="Calibri" w:cstheme="minorHAnsi"/>
          <w:kern w:val="0"/>
          <w14:ligatures w14:val="none"/>
        </w:rPr>
        <w:t xml:space="preserve"> </w:t>
      </w:r>
      <w:r w:rsidRPr="00F16251">
        <w:rPr>
          <w:rFonts w:eastAsia="Calibri" w:cstheme="minorHAnsi"/>
          <w:kern w:val="0"/>
          <w14:ligatures w14:val="none"/>
        </w:rPr>
        <w:t>partycypacyjnej</w:t>
      </w:r>
      <w:r w:rsidR="003B50ED" w:rsidRPr="00F16251">
        <w:rPr>
          <w:rFonts w:eastAsia="Calibri" w:cstheme="minorHAnsi"/>
          <w:kern w:val="0"/>
          <w14:ligatures w14:val="none"/>
        </w:rPr>
        <w:t xml:space="preserve"> </w:t>
      </w:r>
      <w:r w:rsidRPr="00F16251">
        <w:rPr>
          <w:rFonts w:eastAsia="Calibri" w:cstheme="minorHAnsi"/>
          <w:kern w:val="0"/>
          <w14:ligatures w14:val="none"/>
        </w:rPr>
        <w:t>metody</w:t>
      </w:r>
      <w:r w:rsidR="003B50ED" w:rsidRPr="00F16251">
        <w:rPr>
          <w:rFonts w:eastAsia="Calibri" w:cstheme="minorHAnsi"/>
          <w:kern w:val="0"/>
          <w14:ligatures w14:val="none"/>
        </w:rPr>
        <w:t xml:space="preserve"> </w:t>
      </w:r>
      <w:r w:rsidRPr="00F16251">
        <w:rPr>
          <w:rFonts w:eastAsia="Calibri" w:cstheme="minorHAnsi"/>
          <w:kern w:val="0"/>
          <w14:ligatures w14:val="none"/>
        </w:rPr>
        <w:t>przy</w:t>
      </w:r>
      <w:r w:rsidR="003B50ED" w:rsidRPr="00F16251">
        <w:rPr>
          <w:rFonts w:eastAsia="Calibri" w:cstheme="minorHAnsi"/>
          <w:kern w:val="0"/>
          <w14:ligatures w14:val="none"/>
        </w:rPr>
        <w:t xml:space="preserve"> </w:t>
      </w:r>
      <w:r w:rsidRPr="00F16251">
        <w:rPr>
          <w:rFonts w:eastAsia="Calibri" w:cstheme="minorHAnsi"/>
          <w:kern w:val="0"/>
          <w14:ligatures w14:val="none"/>
        </w:rPr>
        <w:t>tworzeniu</w:t>
      </w:r>
      <w:r w:rsidR="003B50ED" w:rsidRPr="00F16251">
        <w:rPr>
          <w:rFonts w:eastAsia="Calibri" w:cstheme="minorHAnsi"/>
          <w:kern w:val="0"/>
          <w14:ligatures w14:val="none"/>
        </w:rPr>
        <w:t xml:space="preserve"> </w:t>
      </w:r>
      <w:r w:rsidRPr="00F16251">
        <w:rPr>
          <w:rFonts w:eastAsia="Calibri" w:cstheme="minorHAnsi"/>
          <w:kern w:val="0"/>
          <w14:ligatures w14:val="none"/>
        </w:rPr>
        <w:t>LSR</w:t>
      </w:r>
      <w:r w:rsidR="003B50ED" w:rsidRPr="00F16251">
        <w:rPr>
          <w:rFonts w:eastAsia="Calibri" w:cstheme="minorHAnsi"/>
          <w:kern w:val="0"/>
          <w14:ligatures w14:val="none"/>
        </w:rPr>
        <w:t xml:space="preserve"> </w:t>
      </w:r>
      <w:r w:rsidR="00C55B6F" w:rsidRPr="00F16251">
        <w:rPr>
          <w:rFonts w:eastAsia="Calibri" w:cstheme="minorHAnsi"/>
          <w:kern w:val="0"/>
          <w14:ligatures w14:val="none"/>
        </w:rPr>
        <w:t xml:space="preserve">dało </w:t>
      </w:r>
      <w:r w:rsidRPr="00F16251">
        <w:rPr>
          <w:rFonts w:eastAsia="Calibri" w:cstheme="minorHAnsi"/>
          <w:kern w:val="0"/>
          <w14:ligatures w14:val="none"/>
        </w:rPr>
        <w:t>gwarancję,</w:t>
      </w:r>
      <w:r w:rsidR="003B50ED" w:rsidRPr="00F16251">
        <w:rPr>
          <w:rFonts w:eastAsia="Calibri" w:cstheme="minorHAnsi"/>
          <w:kern w:val="0"/>
          <w14:ligatures w14:val="none"/>
        </w:rPr>
        <w:t xml:space="preserve"> </w:t>
      </w:r>
      <w:r w:rsidRPr="00F16251">
        <w:rPr>
          <w:rFonts w:eastAsia="Calibri" w:cstheme="minorHAnsi"/>
          <w:kern w:val="0"/>
          <w14:ligatures w14:val="none"/>
        </w:rPr>
        <w:t>że</w:t>
      </w:r>
      <w:r w:rsidR="003B50ED" w:rsidRPr="00F16251">
        <w:rPr>
          <w:rFonts w:eastAsia="Calibri" w:cstheme="minorHAnsi"/>
          <w:kern w:val="0"/>
          <w14:ligatures w14:val="none"/>
        </w:rPr>
        <w:t xml:space="preserve"> </w:t>
      </w:r>
      <w:r w:rsidRPr="00F16251">
        <w:rPr>
          <w:rFonts w:eastAsia="Calibri" w:cstheme="minorHAnsi"/>
          <w:kern w:val="0"/>
          <w14:ligatures w14:val="none"/>
        </w:rPr>
        <w:t>przygotowany</w:t>
      </w:r>
      <w:r w:rsidR="003B50ED" w:rsidRPr="00F16251">
        <w:rPr>
          <w:rFonts w:eastAsia="Calibri" w:cstheme="minorHAnsi"/>
          <w:kern w:val="0"/>
          <w14:ligatures w14:val="none"/>
        </w:rPr>
        <w:t xml:space="preserve"> </w:t>
      </w:r>
      <w:r w:rsidRPr="00F16251">
        <w:rPr>
          <w:rFonts w:eastAsia="Calibri" w:cstheme="minorHAnsi"/>
          <w:kern w:val="0"/>
          <w14:ligatures w14:val="none"/>
        </w:rPr>
        <w:t>dokument</w:t>
      </w:r>
      <w:r w:rsidR="003B50ED" w:rsidRPr="00F16251">
        <w:rPr>
          <w:rFonts w:eastAsia="Calibri" w:cstheme="minorHAnsi"/>
          <w:kern w:val="0"/>
          <w14:ligatures w14:val="none"/>
        </w:rPr>
        <w:t xml:space="preserve"> </w:t>
      </w:r>
      <w:r w:rsidRPr="00F16251">
        <w:rPr>
          <w:rFonts w:eastAsia="Calibri" w:cstheme="minorHAnsi"/>
          <w:kern w:val="0"/>
          <w14:ligatures w14:val="none"/>
        </w:rPr>
        <w:t>jest</w:t>
      </w:r>
      <w:r w:rsidR="003B50ED" w:rsidRPr="00F16251">
        <w:rPr>
          <w:rFonts w:eastAsia="Calibri" w:cstheme="minorHAnsi"/>
          <w:kern w:val="0"/>
          <w14:ligatures w14:val="none"/>
        </w:rPr>
        <w:t xml:space="preserve"> </w:t>
      </w:r>
      <w:r w:rsidRPr="00F16251">
        <w:rPr>
          <w:rFonts w:eastAsia="Calibri" w:cstheme="minorHAnsi"/>
          <w:kern w:val="0"/>
          <w14:ligatures w14:val="none"/>
        </w:rPr>
        <w:t>odzwierciedleniem</w:t>
      </w:r>
      <w:r w:rsidR="003B50ED" w:rsidRPr="00F16251">
        <w:rPr>
          <w:rFonts w:eastAsia="Calibri" w:cstheme="minorHAnsi"/>
          <w:kern w:val="0"/>
          <w14:ligatures w14:val="none"/>
        </w:rPr>
        <w:t xml:space="preserve"> </w:t>
      </w:r>
      <w:r w:rsidRPr="00F16251">
        <w:rPr>
          <w:rFonts w:eastAsia="Calibri" w:cstheme="minorHAnsi"/>
          <w:kern w:val="0"/>
          <w14:ligatures w14:val="none"/>
        </w:rPr>
        <w:t>rzeczywistych</w:t>
      </w:r>
      <w:r w:rsidR="003B50ED" w:rsidRPr="00F16251">
        <w:rPr>
          <w:rFonts w:eastAsia="Calibri" w:cstheme="minorHAnsi"/>
          <w:kern w:val="0"/>
          <w14:ligatures w14:val="none"/>
        </w:rPr>
        <w:t xml:space="preserve"> </w:t>
      </w:r>
      <w:r w:rsidRPr="00F16251">
        <w:rPr>
          <w:rFonts w:eastAsia="Calibri" w:cstheme="minorHAnsi"/>
          <w:kern w:val="0"/>
          <w14:ligatures w14:val="none"/>
        </w:rPr>
        <w:t>potrzeb</w:t>
      </w:r>
      <w:r w:rsidR="003B50ED" w:rsidRPr="00F16251">
        <w:rPr>
          <w:rFonts w:eastAsia="Calibri" w:cstheme="minorHAnsi"/>
          <w:kern w:val="0"/>
          <w14:ligatures w14:val="none"/>
        </w:rPr>
        <w:t xml:space="preserve"> </w:t>
      </w:r>
      <w:r w:rsidRPr="00F16251">
        <w:rPr>
          <w:rFonts w:eastAsia="Calibri" w:cstheme="minorHAnsi"/>
          <w:kern w:val="0"/>
          <w14:ligatures w14:val="none"/>
        </w:rPr>
        <w:t>i</w:t>
      </w:r>
      <w:r w:rsidR="003B50ED" w:rsidRPr="00F16251">
        <w:rPr>
          <w:rFonts w:eastAsia="Calibri" w:cstheme="minorHAnsi"/>
          <w:kern w:val="0"/>
          <w14:ligatures w14:val="none"/>
        </w:rPr>
        <w:t xml:space="preserve"> </w:t>
      </w:r>
      <w:r w:rsidRPr="00F16251">
        <w:rPr>
          <w:rFonts w:eastAsia="Calibri" w:cstheme="minorHAnsi"/>
          <w:kern w:val="0"/>
          <w14:ligatures w14:val="none"/>
        </w:rPr>
        <w:t>oczekiwań</w:t>
      </w:r>
      <w:r w:rsidR="003B50ED" w:rsidRPr="00F16251">
        <w:rPr>
          <w:rFonts w:eastAsia="Calibri" w:cstheme="minorHAnsi"/>
          <w:kern w:val="0"/>
          <w14:ligatures w14:val="none"/>
        </w:rPr>
        <w:t xml:space="preserve"> </w:t>
      </w:r>
      <w:r w:rsidRPr="00F16251">
        <w:rPr>
          <w:rFonts w:eastAsia="Calibri" w:cstheme="minorHAnsi"/>
          <w:kern w:val="0"/>
          <w14:ligatures w14:val="none"/>
        </w:rPr>
        <w:t>lokalnej</w:t>
      </w:r>
      <w:r w:rsidR="003B50ED" w:rsidRPr="00F16251">
        <w:rPr>
          <w:rFonts w:eastAsia="Calibri" w:cstheme="minorHAnsi"/>
          <w:kern w:val="0"/>
          <w14:ligatures w14:val="none"/>
        </w:rPr>
        <w:t xml:space="preserve"> </w:t>
      </w:r>
      <w:r w:rsidRPr="00F16251">
        <w:rPr>
          <w:rFonts w:eastAsia="Calibri" w:cstheme="minorHAnsi"/>
          <w:kern w:val="0"/>
          <w14:ligatures w14:val="none"/>
        </w:rPr>
        <w:t>społeczności.</w:t>
      </w:r>
      <w:r w:rsidR="003B50ED" w:rsidRPr="00F16251">
        <w:rPr>
          <w:rFonts w:eastAsia="Calibri" w:cstheme="minorHAnsi"/>
          <w:kern w:val="0"/>
          <w14:ligatures w14:val="none"/>
        </w:rPr>
        <w:t xml:space="preserve"> </w:t>
      </w:r>
      <w:r w:rsidRPr="00F16251">
        <w:rPr>
          <w:rFonts w:eastAsia="Calibri" w:cstheme="minorHAnsi"/>
          <w:kern w:val="0"/>
          <w14:ligatures w14:val="none"/>
        </w:rPr>
        <w:t>Zaangażowanie</w:t>
      </w:r>
      <w:r w:rsidR="003B50ED" w:rsidRPr="00F16251">
        <w:rPr>
          <w:rFonts w:eastAsia="Calibri" w:cstheme="minorHAnsi"/>
          <w:kern w:val="0"/>
          <w14:ligatures w14:val="none"/>
        </w:rPr>
        <w:t xml:space="preserve"> </w:t>
      </w:r>
      <w:r w:rsidRPr="00F16251">
        <w:rPr>
          <w:rFonts w:eastAsia="Calibri" w:cstheme="minorHAnsi"/>
          <w:kern w:val="0"/>
          <w14:ligatures w14:val="none"/>
        </w:rPr>
        <w:t>w</w:t>
      </w:r>
      <w:r w:rsidR="003B50ED" w:rsidRPr="00F16251">
        <w:rPr>
          <w:rFonts w:eastAsia="Calibri" w:cstheme="minorHAnsi"/>
          <w:kern w:val="0"/>
          <w14:ligatures w14:val="none"/>
        </w:rPr>
        <w:t xml:space="preserve"> </w:t>
      </w:r>
      <w:r w:rsidRPr="00F16251">
        <w:rPr>
          <w:rFonts w:eastAsia="Calibri" w:cstheme="minorHAnsi"/>
          <w:kern w:val="0"/>
          <w14:ligatures w14:val="none"/>
        </w:rPr>
        <w:t>proces</w:t>
      </w:r>
      <w:r w:rsidR="003B50ED" w:rsidRPr="00F16251">
        <w:rPr>
          <w:rFonts w:eastAsia="Calibri" w:cstheme="minorHAnsi"/>
          <w:kern w:val="0"/>
          <w14:ligatures w14:val="none"/>
        </w:rPr>
        <w:t xml:space="preserve"> </w:t>
      </w:r>
      <w:r w:rsidRPr="00F16251">
        <w:rPr>
          <w:rFonts w:eastAsia="Calibri" w:cstheme="minorHAnsi"/>
          <w:kern w:val="0"/>
          <w14:ligatures w14:val="none"/>
        </w:rPr>
        <w:t>przygotowywania</w:t>
      </w:r>
      <w:r w:rsidR="003B50ED" w:rsidRPr="00F16251">
        <w:rPr>
          <w:rFonts w:eastAsia="Calibri" w:cstheme="minorHAnsi"/>
          <w:kern w:val="0"/>
          <w14:ligatures w14:val="none"/>
        </w:rPr>
        <w:t xml:space="preserve"> </w:t>
      </w:r>
      <w:r w:rsidRPr="00F16251">
        <w:rPr>
          <w:rFonts w:eastAsia="Calibri" w:cstheme="minorHAnsi"/>
          <w:kern w:val="0"/>
          <w14:ligatures w14:val="none"/>
        </w:rPr>
        <w:t>założeń</w:t>
      </w:r>
      <w:r w:rsidR="003B50ED" w:rsidRPr="00F16251">
        <w:rPr>
          <w:rFonts w:eastAsia="Calibri" w:cstheme="minorHAnsi"/>
          <w:kern w:val="0"/>
          <w14:ligatures w14:val="none"/>
        </w:rPr>
        <w:t xml:space="preserve"> </w:t>
      </w:r>
      <w:r w:rsidRPr="00F16251">
        <w:rPr>
          <w:rFonts w:eastAsia="Calibri" w:cstheme="minorHAnsi"/>
          <w:kern w:val="0"/>
          <w14:ligatures w14:val="none"/>
        </w:rPr>
        <w:t>dokumentu</w:t>
      </w:r>
      <w:r w:rsidR="003B50ED" w:rsidRPr="00F16251">
        <w:rPr>
          <w:rFonts w:eastAsia="Calibri" w:cstheme="minorHAnsi"/>
          <w:kern w:val="0"/>
          <w14:ligatures w14:val="none"/>
        </w:rPr>
        <w:t xml:space="preserve"> </w:t>
      </w:r>
      <w:r w:rsidRPr="00F16251">
        <w:rPr>
          <w:rFonts w:eastAsia="Calibri" w:cstheme="minorHAnsi"/>
          <w:kern w:val="0"/>
          <w14:ligatures w14:val="none"/>
        </w:rPr>
        <w:t>mieszkańców</w:t>
      </w:r>
      <w:r w:rsidR="003B50ED" w:rsidRPr="00F16251">
        <w:rPr>
          <w:rFonts w:eastAsia="Calibri" w:cstheme="minorHAnsi"/>
          <w:kern w:val="0"/>
          <w14:ligatures w14:val="none"/>
        </w:rPr>
        <w:t xml:space="preserve"> </w:t>
      </w:r>
      <w:r w:rsidRPr="00F16251">
        <w:rPr>
          <w:rFonts w:eastAsia="Calibri" w:cstheme="minorHAnsi"/>
          <w:kern w:val="0"/>
          <w14:ligatures w14:val="none"/>
        </w:rPr>
        <w:t>gmin</w:t>
      </w:r>
      <w:r w:rsidR="003B50ED" w:rsidRPr="00F16251">
        <w:rPr>
          <w:rFonts w:eastAsia="Calibri" w:cstheme="minorHAnsi"/>
          <w:kern w:val="0"/>
          <w14:ligatures w14:val="none"/>
        </w:rPr>
        <w:t xml:space="preserve"> </w:t>
      </w:r>
      <w:r w:rsidRPr="00F16251">
        <w:rPr>
          <w:rFonts w:eastAsia="Calibri" w:cstheme="minorHAnsi"/>
          <w:kern w:val="0"/>
          <w14:ligatures w14:val="none"/>
        </w:rPr>
        <w:t>tworzących</w:t>
      </w:r>
      <w:r w:rsidR="003B50ED" w:rsidRPr="00F16251">
        <w:rPr>
          <w:rFonts w:eastAsia="Calibri" w:cstheme="minorHAnsi"/>
          <w:kern w:val="0"/>
          <w14:ligatures w14:val="none"/>
        </w:rPr>
        <w:t xml:space="preserve"> </w:t>
      </w:r>
      <w:r w:rsidR="006568AD" w:rsidRPr="00F16251">
        <w:rPr>
          <w:rFonts w:cstheme="minorHAnsi"/>
        </w:rPr>
        <w:t xml:space="preserve">Stowarzyszenie „Solidarni w Partnerstwie” </w:t>
      </w:r>
      <w:r w:rsidRPr="00F16251">
        <w:rPr>
          <w:rFonts w:eastAsia="Calibri" w:cstheme="minorHAnsi"/>
          <w:kern w:val="0"/>
          <w14:ligatures w14:val="none"/>
        </w:rPr>
        <w:t>ułatwił</w:t>
      </w:r>
      <w:r w:rsidR="00C55B6F" w:rsidRPr="00F16251">
        <w:rPr>
          <w:rFonts w:eastAsia="Calibri" w:cstheme="minorHAnsi"/>
          <w:kern w:val="0"/>
          <w14:ligatures w14:val="none"/>
        </w:rPr>
        <w:t>o</w:t>
      </w:r>
      <w:r w:rsidR="003B50ED" w:rsidRPr="00F16251">
        <w:rPr>
          <w:rFonts w:eastAsia="Calibri" w:cstheme="minorHAnsi"/>
          <w:kern w:val="0"/>
          <w14:ligatures w14:val="none"/>
        </w:rPr>
        <w:t xml:space="preserve"> </w:t>
      </w:r>
      <w:r w:rsidRPr="00F16251">
        <w:rPr>
          <w:rFonts w:eastAsia="Calibri" w:cstheme="minorHAnsi"/>
          <w:kern w:val="0"/>
          <w14:ligatures w14:val="none"/>
        </w:rPr>
        <w:t>prace</w:t>
      </w:r>
      <w:r w:rsidR="003B50ED" w:rsidRPr="00F16251">
        <w:rPr>
          <w:rFonts w:eastAsia="Calibri" w:cstheme="minorHAnsi"/>
          <w:kern w:val="0"/>
          <w14:ligatures w14:val="none"/>
        </w:rPr>
        <w:t xml:space="preserve"> </w:t>
      </w:r>
      <w:r w:rsidRPr="00F16251">
        <w:rPr>
          <w:rFonts w:eastAsia="Calibri" w:cstheme="minorHAnsi"/>
          <w:kern w:val="0"/>
          <w14:ligatures w14:val="none"/>
        </w:rPr>
        <w:t>analityczne</w:t>
      </w:r>
      <w:r w:rsidR="003B50ED" w:rsidRPr="00F16251">
        <w:rPr>
          <w:rFonts w:eastAsia="Calibri" w:cstheme="minorHAnsi"/>
          <w:kern w:val="0"/>
          <w14:ligatures w14:val="none"/>
        </w:rPr>
        <w:t xml:space="preserve"> </w:t>
      </w:r>
      <w:r w:rsidRPr="00F16251">
        <w:rPr>
          <w:rFonts w:eastAsia="Calibri" w:cstheme="minorHAnsi"/>
          <w:kern w:val="0"/>
          <w14:ligatures w14:val="none"/>
        </w:rPr>
        <w:t>i</w:t>
      </w:r>
      <w:r w:rsidR="003B50ED" w:rsidRPr="00F16251">
        <w:rPr>
          <w:rFonts w:eastAsia="Calibri" w:cstheme="minorHAnsi"/>
          <w:kern w:val="0"/>
          <w14:ligatures w14:val="none"/>
        </w:rPr>
        <w:t xml:space="preserve"> </w:t>
      </w:r>
      <w:r w:rsidRPr="00F16251">
        <w:rPr>
          <w:rFonts w:eastAsia="Calibri" w:cstheme="minorHAnsi"/>
          <w:kern w:val="0"/>
          <w14:ligatures w14:val="none"/>
        </w:rPr>
        <w:t>sformułowanie</w:t>
      </w:r>
      <w:r w:rsidR="003B50ED" w:rsidRPr="00F16251">
        <w:rPr>
          <w:rFonts w:eastAsia="Calibri" w:cstheme="minorHAnsi"/>
          <w:kern w:val="0"/>
          <w14:ligatures w14:val="none"/>
        </w:rPr>
        <w:t xml:space="preserve"> </w:t>
      </w:r>
      <w:r w:rsidRPr="00F16251">
        <w:rPr>
          <w:rFonts w:eastAsia="Calibri" w:cstheme="minorHAnsi"/>
          <w:kern w:val="0"/>
          <w14:ligatures w14:val="none"/>
        </w:rPr>
        <w:t>najważniejszych</w:t>
      </w:r>
      <w:r w:rsidR="003B50ED" w:rsidRPr="00F16251">
        <w:rPr>
          <w:rFonts w:eastAsia="Calibri" w:cstheme="minorHAnsi"/>
          <w:kern w:val="0"/>
          <w14:ligatures w14:val="none"/>
        </w:rPr>
        <w:t xml:space="preserve"> </w:t>
      </w:r>
      <w:r w:rsidRPr="00F16251">
        <w:rPr>
          <w:rFonts w:eastAsia="Calibri" w:cstheme="minorHAnsi"/>
          <w:kern w:val="0"/>
          <w14:ligatures w14:val="none"/>
        </w:rPr>
        <w:t>potrzeb</w:t>
      </w:r>
      <w:r w:rsidR="003B50ED" w:rsidRPr="00F16251">
        <w:rPr>
          <w:rFonts w:eastAsia="Calibri" w:cstheme="minorHAnsi"/>
          <w:kern w:val="0"/>
          <w14:ligatures w14:val="none"/>
        </w:rPr>
        <w:t xml:space="preserve"> </w:t>
      </w:r>
      <w:r w:rsidRPr="00F16251">
        <w:rPr>
          <w:rFonts w:eastAsia="Calibri" w:cstheme="minorHAnsi"/>
          <w:kern w:val="0"/>
          <w14:ligatures w14:val="none"/>
        </w:rPr>
        <w:t>i</w:t>
      </w:r>
      <w:r w:rsidR="003B50ED" w:rsidRPr="00F16251">
        <w:rPr>
          <w:rFonts w:eastAsia="Calibri" w:cstheme="minorHAnsi"/>
          <w:kern w:val="0"/>
          <w14:ligatures w14:val="none"/>
        </w:rPr>
        <w:t xml:space="preserve"> </w:t>
      </w:r>
      <w:r w:rsidRPr="00F16251">
        <w:rPr>
          <w:rFonts w:eastAsia="Calibri" w:cstheme="minorHAnsi"/>
          <w:kern w:val="0"/>
          <w14:ligatures w14:val="none"/>
        </w:rPr>
        <w:t>problemów</w:t>
      </w:r>
      <w:r w:rsidR="003B50ED" w:rsidRPr="00F16251">
        <w:rPr>
          <w:rFonts w:eastAsia="Calibri" w:cstheme="minorHAnsi"/>
          <w:kern w:val="0"/>
          <w14:ligatures w14:val="none"/>
        </w:rPr>
        <w:t xml:space="preserve"> </w:t>
      </w:r>
      <w:r w:rsidRPr="00F16251">
        <w:rPr>
          <w:rFonts w:eastAsia="Calibri" w:cstheme="minorHAnsi"/>
          <w:kern w:val="0"/>
          <w14:ligatures w14:val="none"/>
        </w:rPr>
        <w:t>obszaru,</w:t>
      </w:r>
      <w:r w:rsidR="006207FD">
        <w:rPr>
          <w:rFonts w:eastAsia="Calibri" w:cstheme="minorHAnsi"/>
          <w:kern w:val="0"/>
          <w14:ligatures w14:val="none"/>
        </w:rPr>
        <w:t xml:space="preserve">  </w:t>
      </w:r>
      <w:r w:rsidRPr="00F16251">
        <w:rPr>
          <w:rFonts w:eastAsia="Calibri" w:cstheme="minorHAnsi"/>
          <w:kern w:val="0"/>
          <w14:ligatures w14:val="none"/>
        </w:rPr>
        <w:t>co</w:t>
      </w:r>
      <w:r w:rsidR="003B50ED" w:rsidRPr="00F16251">
        <w:rPr>
          <w:rFonts w:eastAsia="Calibri" w:cstheme="minorHAnsi"/>
          <w:kern w:val="0"/>
          <w14:ligatures w14:val="none"/>
        </w:rPr>
        <w:t xml:space="preserve"> </w:t>
      </w:r>
      <w:r w:rsidRPr="00F16251">
        <w:rPr>
          <w:rFonts w:eastAsia="Calibri" w:cstheme="minorHAnsi"/>
          <w:kern w:val="0"/>
          <w14:ligatures w14:val="none"/>
        </w:rPr>
        <w:t>z</w:t>
      </w:r>
      <w:r w:rsidR="003B50ED" w:rsidRPr="00F16251">
        <w:rPr>
          <w:rFonts w:eastAsia="Calibri" w:cstheme="minorHAnsi"/>
          <w:kern w:val="0"/>
          <w14:ligatures w14:val="none"/>
        </w:rPr>
        <w:t xml:space="preserve"> </w:t>
      </w:r>
      <w:r w:rsidRPr="00F16251">
        <w:rPr>
          <w:rFonts w:eastAsia="Calibri" w:cstheme="minorHAnsi"/>
          <w:kern w:val="0"/>
          <w14:ligatures w14:val="none"/>
        </w:rPr>
        <w:t>kolei</w:t>
      </w:r>
      <w:r w:rsidR="003B50ED" w:rsidRPr="00F16251">
        <w:rPr>
          <w:rFonts w:eastAsia="Calibri" w:cstheme="minorHAnsi"/>
          <w:kern w:val="0"/>
          <w14:ligatures w14:val="none"/>
        </w:rPr>
        <w:t xml:space="preserve"> </w:t>
      </w:r>
      <w:r w:rsidRPr="00F16251">
        <w:rPr>
          <w:rFonts w:eastAsia="Calibri" w:cstheme="minorHAnsi"/>
          <w:kern w:val="0"/>
          <w14:ligatures w14:val="none"/>
        </w:rPr>
        <w:t>umożliwiło</w:t>
      </w:r>
      <w:r w:rsidR="003B50ED" w:rsidRPr="00F16251">
        <w:rPr>
          <w:rFonts w:eastAsia="Calibri" w:cstheme="minorHAnsi"/>
          <w:kern w:val="0"/>
          <w14:ligatures w14:val="none"/>
        </w:rPr>
        <w:t xml:space="preserve"> </w:t>
      </w:r>
      <w:r w:rsidRPr="00F16251">
        <w:rPr>
          <w:rFonts w:eastAsia="Calibri" w:cstheme="minorHAnsi"/>
          <w:kern w:val="0"/>
          <w14:ligatures w14:val="none"/>
        </w:rPr>
        <w:t>wykreowanie</w:t>
      </w:r>
      <w:r w:rsidR="003B50ED" w:rsidRPr="00F16251">
        <w:rPr>
          <w:rFonts w:eastAsia="Calibri" w:cstheme="minorHAnsi"/>
          <w:kern w:val="0"/>
          <w14:ligatures w14:val="none"/>
        </w:rPr>
        <w:t xml:space="preserve"> </w:t>
      </w:r>
      <w:r w:rsidRPr="00F16251">
        <w:rPr>
          <w:rFonts w:eastAsia="Calibri" w:cstheme="minorHAnsi"/>
          <w:kern w:val="0"/>
          <w14:ligatures w14:val="none"/>
        </w:rPr>
        <w:t>pożądanych</w:t>
      </w:r>
      <w:r w:rsidR="003B50ED" w:rsidRPr="00F16251">
        <w:rPr>
          <w:rFonts w:eastAsia="Calibri" w:cstheme="minorHAnsi"/>
          <w:kern w:val="0"/>
          <w14:ligatures w14:val="none"/>
        </w:rPr>
        <w:t xml:space="preserve"> </w:t>
      </w:r>
      <w:r w:rsidRPr="00F16251">
        <w:rPr>
          <w:rFonts w:eastAsia="Calibri" w:cstheme="minorHAnsi"/>
          <w:kern w:val="0"/>
          <w14:ligatures w14:val="none"/>
        </w:rPr>
        <w:t>kierunków</w:t>
      </w:r>
      <w:r w:rsidR="003B50ED" w:rsidRPr="00F16251">
        <w:rPr>
          <w:rFonts w:eastAsia="Calibri" w:cstheme="minorHAnsi"/>
          <w:kern w:val="0"/>
          <w14:ligatures w14:val="none"/>
        </w:rPr>
        <w:t xml:space="preserve"> </w:t>
      </w:r>
      <w:r w:rsidRPr="00F16251">
        <w:rPr>
          <w:rFonts w:eastAsia="Calibri" w:cstheme="minorHAnsi"/>
          <w:kern w:val="0"/>
          <w14:ligatures w14:val="none"/>
        </w:rPr>
        <w:t>rozwojowych</w:t>
      </w:r>
      <w:r w:rsidR="003B50ED" w:rsidRPr="00F16251">
        <w:rPr>
          <w:rFonts w:eastAsia="Calibri" w:cstheme="minorHAnsi"/>
          <w:kern w:val="0"/>
          <w14:ligatures w14:val="none"/>
        </w:rPr>
        <w:t xml:space="preserve"> </w:t>
      </w:r>
      <w:r w:rsidRPr="00F16251">
        <w:rPr>
          <w:rFonts w:eastAsia="Calibri" w:cstheme="minorHAnsi"/>
          <w:kern w:val="0"/>
          <w14:ligatures w14:val="none"/>
        </w:rPr>
        <w:t>na</w:t>
      </w:r>
      <w:r w:rsidR="003B50ED" w:rsidRPr="00F16251">
        <w:rPr>
          <w:rFonts w:eastAsia="Calibri" w:cstheme="minorHAnsi"/>
          <w:kern w:val="0"/>
          <w14:ligatures w14:val="none"/>
        </w:rPr>
        <w:t xml:space="preserve"> </w:t>
      </w:r>
      <w:r w:rsidRPr="00F16251">
        <w:rPr>
          <w:rFonts w:eastAsia="Calibri" w:cstheme="minorHAnsi"/>
          <w:kern w:val="0"/>
          <w14:ligatures w14:val="none"/>
        </w:rPr>
        <w:t>najbliższe</w:t>
      </w:r>
      <w:r w:rsidR="003B50ED" w:rsidRPr="00F16251">
        <w:rPr>
          <w:rFonts w:eastAsia="Calibri" w:cstheme="minorHAnsi"/>
          <w:kern w:val="0"/>
          <w14:ligatures w14:val="none"/>
        </w:rPr>
        <w:t xml:space="preserve"> </w:t>
      </w:r>
      <w:r w:rsidRPr="00F16251">
        <w:rPr>
          <w:rFonts w:eastAsia="Calibri" w:cstheme="minorHAnsi"/>
          <w:kern w:val="0"/>
          <w14:ligatures w14:val="none"/>
        </w:rPr>
        <w:t>lata.</w:t>
      </w:r>
      <w:r w:rsidR="003B50ED" w:rsidRPr="00F16251">
        <w:rPr>
          <w:rFonts w:eastAsia="Calibri" w:cstheme="minorHAnsi"/>
          <w:kern w:val="0"/>
          <w14:ligatures w14:val="none"/>
        </w:rPr>
        <w:t xml:space="preserve"> </w:t>
      </w:r>
      <w:r w:rsidR="00C55B6F" w:rsidRPr="00F16251">
        <w:rPr>
          <w:rFonts w:eastAsia="Calibri" w:cstheme="minorHAnsi"/>
          <w:kern w:val="0"/>
          <w14:ligatures w14:val="none"/>
        </w:rPr>
        <w:t xml:space="preserve">Cele i przedsięwzięcia są </w:t>
      </w:r>
      <w:r w:rsidRPr="00F16251">
        <w:rPr>
          <w:rFonts w:eastAsia="Calibri" w:cstheme="minorHAnsi"/>
          <w:kern w:val="0"/>
          <w14:ligatures w14:val="none"/>
        </w:rPr>
        <w:t>odpowiedzią</w:t>
      </w:r>
      <w:r w:rsidR="003B50ED" w:rsidRPr="00F16251">
        <w:rPr>
          <w:rFonts w:eastAsia="Calibri" w:cstheme="minorHAnsi"/>
          <w:kern w:val="0"/>
          <w14:ligatures w14:val="none"/>
        </w:rPr>
        <w:t xml:space="preserve"> </w:t>
      </w:r>
      <w:r w:rsidRPr="00F16251">
        <w:rPr>
          <w:rFonts w:eastAsia="Calibri" w:cstheme="minorHAnsi"/>
          <w:kern w:val="0"/>
          <w14:ligatures w14:val="none"/>
        </w:rPr>
        <w:t>na</w:t>
      </w:r>
      <w:r w:rsidR="003B50ED" w:rsidRPr="00F16251">
        <w:rPr>
          <w:rFonts w:eastAsia="Calibri" w:cstheme="minorHAnsi"/>
          <w:kern w:val="0"/>
          <w14:ligatures w14:val="none"/>
        </w:rPr>
        <w:t xml:space="preserve"> </w:t>
      </w:r>
      <w:r w:rsidRPr="00F16251">
        <w:rPr>
          <w:rFonts w:eastAsia="Calibri" w:cstheme="minorHAnsi"/>
          <w:kern w:val="0"/>
          <w14:ligatures w14:val="none"/>
        </w:rPr>
        <w:t>współczesne</w:t>
      </w:r>
      <w:r w:rsidR="003B50ED" w:rsidRPr="00F16251">
        <w:rPr>
          <w:rFonts w:eastAsia="Calibri" w:cstheme="minorHAnsi"/>
          <w:kern w:val="0"/>
          <w14:ligatures w14:val="none"/>
        </w:rPr>
        <w:t xml:space="preserve"> </w:t>
      </w:r>
      <w:r w:rsidRPr="00F16251">
        <w:rPr>
          <w:rFonts w:eastAsia="Calibri" w:cstheme="minorHAnsi"/>
          <w:kern w:val="0"/>
          <w14:ligatures w14:val="none"/>
        </w:rPr>
        <w:t>wyzwania,</w:t>
      </w:r>
      <w:r w:rsidR="003B50ED" w:rsidRPr="00F16251">
        <w:rPr>
          <w:rFonts w:eastAsia="Calibri" w:cstheme="minorHAnsi"/>
          <w:kern w:val="0"/>
          <w14:ligatures w14:val="none"/>
        </w:rPr>
        <w:t xml:space="preserve"> </w:t>
      </w:r>
      <w:r w:rsidRPr="00F16251">
        <w:rPr>
          <w:rFonts w:eastAsia="Calibri" w:cstheme="minorHAnsi"/>
          <w:kern w:val="0"/>
          <w14:ligatures w14:val="none"/>
        </w:rPr>
        <w:t>z</w:t>
      </w:r>
      <w:r w:rsidR="003B50ED" w:rsidRPr="00F16251">
        <w:rPr>
          <w:rFonts w:eastAsia="Calibri" w:cstheme="minorHAnsi"/>
          <w:kern w:val="0"/>
          <w14:ligatures w14:val="none"/>
        </w:rPr>
        <w:t xml:space="preserve"> </w:t>
      </w:r>
      <w:r w:rsidRPr="00F16251">
        <w:rPr>
          <w:rFonts w:eastAsia="Calibri" w:cstheme="minorHAnsi"/>
          <w:kern w:val="0"/>
          <w14:ligatures w14:val="none"/>
        </w:rPr>
        <w:t>jakimi</w:t>
      </w:r>
      <w:r w:rsidR="003B50ED" w:rsidRPr="00F16251">
        <w:rPr>
          <w:rFonts w:eastAsia="Calibri" w:cstheme="minorHAnsi"/>
          <w:kern w:val="0"/>
          <w14:ligatures w14:val="none"/>
        </w:rPr>
        <w:t xml:space="preserve"> </w:t>
      </w:r>
      <w:r w:rsidRPr="00F16251">
        <w:rPr>
          <w:rFonts w:eastAsia="Calibri" w:cstheme="minorHAnsi"/>
          <w:kern w:val="0"/>
          <w14:ligatures w14:val="none"/>
        </w:rPr>
        <w:t>przyszło</w:t>
      </w:r>
      <w:r w:rsidR="003B50ED" w:rsidRPr="00F16251">
        <w:rPr>
          <w:rFonts w:eastAsia="Calibri" w:cstheme="minorHAnsi"/>
          <w:kern w:val="0"/>
          <w14:ligatures w14:val="none"/>
        </w:rPr>
        <w:t xml:space="preserve"> </w:t>
      </w:r>
      <w:r w:rsidRPr="00F16251">
        <w:rPr>
          <w:rFonts w:eastAsia="Calibri" w:cstheme="minorHAnsi"/>
          <w:kern w:val="0"/>
          <w14:ligatures w14:val="none"/>
        </w:rPr>
        <w:t>nam</w:t>
      </w:r>
      <w:r w:rsidR="003B50ED" w:rsidRPr="00F16251">
        <w:rPr>
          <w:rFonts w:eastAsia="Calibri" w:cstheme="minorHAnsi"/>
          <w:kern w:val="0"/>
          <w14:ligatures w14:val="none"/>
        </w:rPr>
        <w:t xml:space="preserve"> </w:t>
      </w:r>
      <w:r w:rsidRPr="00F16251">
        <w:rPr>
          <w:rFonts w:eastAsia="Calibri" w:cstheme="minorHAnsi"/>
          <w:kern w:val="0"/>
          <w14:ligatures w14:val="none"/>
        </w:rPr>
        <w:t>się</w:t>
      </w:r>
      <w:r w:rsidR="003B50ED" w:rsidRPr="00F16251">
        <w:rPr>
          <w:rFonts w:eastAsia="Calibri" w:cstheme="minorHAnsi"/>
          <w:kern w:val="0"/>
          <w14:ligatures w14:val="none"/>
        </w:rPr>
        <w:t xml:space="preserve"> </w:t>
      </w:r>
      <w:r w:rsidRPr="00F16251">
        <w:rPr>
          <w:rFonts w:eastAsia="Calibri" w:cstheme="minorHAnsi"/>
          <w:kern w:val="0"/>
          <w14:ligatures w14:val="none"/>
        </w:rPr>
        <w:t>mierzyć</w:t>
      </w:r>
      <w:r w:rsidR="003B50ED" w:rsidRPr="00F16251">
        <w:rPr>
          <w:rFonts w:eastAsia="Calibri" w:cstheme="minorHAnsi"/>
          <w:kern w:val="0"/>
          <w14:ligatures w14:val="none"/>
        </w:rPr>
        <w:t xml:space="preserve"> </w:t>
      </w:r>
      <w:r w:rsidRPr="00F16251">
        <w:rPr>
          <w:rFonts w:eastAsia="Calibri" w:cstheme="minorHAnsi"/>
          <w:kern w:val="0"/>
          <w14:ligatures w14:val="none"/>
        </w:rPr>
        <w:t>po</w:t>
      </w:r>
      <w:r w:rsidR="003B50ED" w:rsidRPr="00F16251">
        <w:rPr>
          <w:rFonts w:eastAsia="Calibri" w:cstheme="minorHAnsi"/>
          <w:kern w:val="0"/>
          <w14:ligatures w14:val="none"/>
        </w:rPr>
        <w:t xml:space="preserve"> </w:t>
      </w:r>
      <w:r w:rsidRPr="00F16251">
        <w:rPr>
          <w:rFonts w:eastAsia="Calibri" w:cstheme="minorHAnsi"/>
          <w:kern w:val="0"/>
          <w14:ligatures w14:val="none"/>
        </w:rPr>
        <w:t>okresie</w:t>
      </w:r>
      <w:r w:rsidR="003B50ED" w:rsidRPr="00F16251">
        <w:rPr>
          <w:rFonts w:eastAsia="Calibri" w:cstheme="minorHAnsi"/>
          <w:kern w:val="0"/>
          <w14:ligatures w14:val="none"/>
        </w:rPr>
        <w:t xml:space="preserve"> </w:t>
      </w:r>
      <w:r w:rsidR="00C55B6F" w:rsidRPr="00F16251">
        <w:rPr>
          <w:rFonts w:eastAsia="Calibri" w:cstheme="minorHAnsi"/>
          <w:kern w:val="0"/>
          <w14:ligatures w14:val="none"/>
        </w:rPr>
        <w:t>P</w:t>
      </w:r>
      <w:r w:rsidRPr="00F16251">
        <w:rPr>
          <w:rFonts w:eastAsia="Calibri" w:cstheme="minorHAnsi"/>
          <w:kern w:val="0"/>
          <w14:ligatures w14:val="none"/>
        </w:rPr>
        <w:t>andemii</w:t>
      </w:r>
      <w:r w:rsidR="003B50ED" w:rsidRPr="00F16251">
        <w:rPr>
          <w:rFonts w:eastAsia="Calibri" w:cstheme="minorHAnsi"/>
          <w:kern w:val="0"/>
          <w14:ligatures w14:val="none"/>
        </w:rPr>
        <w:t xml:space="preserve"> </w:t>
      </w:r>
      <w:r w:rsidR="00C55B6F" w:rsidRPr="00F16251">
        <w:rPr>
          <w:rFonts w:eastAsia="Calibri" w:cstheme="minorHAnsi"/>
          <w:kern w:val="0"/>
          <w14:ligatures w14:val="none"/>
        </w:rPr>
        <w:t>C</w:t>
      </w:r>
      <w:r w:rsidRPr="00F16251">
        <w:rPr>
          <w:rFonts w:eastAsia="Calibri" w:cstheme="minorHAnsi"/>
          <w:kern w:val="0"/>
          <w14:ligatures w14:val="none"/>
        </w:rPr>
        <w:t>ovid</w:t>
      </w:r>
      <w:r w:rsidR="00C55B6F" w:rsidRPr="00F16251">
        <w:rPr>
          <w:rFonts w:eastAsia="Calibri" w:cstheme="minorHAnsi"/>
          <w:kern w:val="0"/>
          <w14:ligatures w14:val="none"/>
        </w:rPr>
        <w:t>-19</w:t>
      </w:r>
      <w:r w:rsidR="003B50ED" w:rsidRPr="00F16251">
        <w:rPr>
          <w:rFonts w:eastAsia="Calibri" w:cstheme="minorHAnsi"/>
          <w:kern w:val="0"/>
          <w14:ligatures w14:val="none"/>
        </w:rPr>
        <w:t xml:space="preserve"> </w:t>
      </w:r>
      <w:r w:rsidR="00C55B6F" w:rsidRPr="00F16251">
        <w:rPr>
          <w:rFonts w:eastAsia="Calibri" w:cstheme="minorHAnsi"/>
          <w:kern w:val="0"/>
          <w14:ligatures w14:val="none"/>
        </w:rPr>
        <w:t xml:space="preserve">oraz następstw ekonomicznych trwającej </w:t>
      </w:r>
      <w:r w:rsidRPr="00F16251">
        <w:rPr>
          <w:rFonts w:eastAsia="Calibri" w:cstheme="minorHAnsi"/>
          <w:kern w:val="0"/>
          <w14:ligatures w14:val="none"/>
        </w:rPr>
        <w:t>wojny</w:t>
      </w:r>
      <w:r w:rsidR="003B50ED" w:rsidRPr="00F16251">
        <w:rPr>
          <w:rFonts w:eastAsia="Calibri" w:cstheme="minorHAnsi"/>
          <w:kern w:val="0"/>
          <w14:ligatures w14:val="none"/>
        </w:rPr>
        <w:t xml:space="preserve"> </w:t>
      </w:r>
      <w:r w:rsidRPr="00F16251">
        <w:rPr>
          <w:rFonts w:eastAsia="Calibri" w:cstheme="minorHAnsi"/>
          <w:kern w:val="0"/>
          <w14:ligatures w14:val="none"/>
        </w:rPr>
        <w:t>w</w:t>
      </w:r>
      <w:r w:rsidR="003B50ED" w:rsidRPr="00F16251">
        <w:rPr>
          <w:rFonts w:eastAsia="Calibri" w:cstheme="minorHAnsi"/>
          <w:kern w:val="0"/>
          <w14:ligatures w14:val="none"/>
        </w:rPr>
        <w:t xml:space="preserve"> </w:t>
      </w:r>
      <w:r w:rsidRPr="00F16251">
        <w:rPr>
          <w:rFonts w:eastAsia="Calibri" w:cstheme="minorHAnsi"/>
          <w:kern w:val="0"/>
          <w14:ligatures w14:val="none"/>
        </w:rPr>
        <w:t>Ukrainie.</w:t>
      </w:r>
    </w:p>
    <w:p w14:paraId="146F1038" w14:textId="46660571" w:rsidR="002C63F4" w:rsidRPr="00F16251" w:rsidRDefault="002C63F4" w:rsidP="00C55B6F">
      <w:pPr>
        <w:spacing w:line="276" w:lineRule="auto"/>
        <w:ind w:firstLine="360"/>
        <w:jc w:val="both"/>
        <w:rPr>
          <w:rFonts w:eastAsia="Calibri" w:cstheme="minorHAnsi"/>
          <w:kern w:val="0"/>
          <w14:ligatures w14:val="none"/>
        </w:rPr>
      </w:pPr>
      <w:r w:rsidRPr="00F16251">
        <w:rPr>
          <w:rFonts w:eastAsia="Calibri" w:cstheme="minorHAnsi"/>
          <w:kern w:val="0"/>
          <w14:ligatures w14:val="none"/>
        </w:rPr>
        <w:t>Obszarami</w:t>
      </w:r>
      <w:r w:rsidR="003B50ED" w:rsidRPr="00F16251">
        <w:rPr>
          <w:rFonts w:eastAsia="Calibri" w:cstheme="minorHAnsi"/>
          <w:kern w:val="0"/>
          <w14:ligatures w14:val="none"/>
        </w:rPr>
        <w:t xml:space="preserve"> </w:t>
      </w:r>
      <w:r w:rsidRPr="00F16251">
        <w:rPr>
          <w:rFonts w:eastAsia="Calibri" w:cstheme="minorHAnsi"/>
          <w:kern w:val="0"/>
          <w14:ligatures w14:val="none"/>
        </w:rPr>
        <w:t>problemowymi,</w:t>
      </w:r>
      <w:r w:rsidR="003B50ED" w:rsidRPr="00F16251">
        <w:rPr>
          <w:rFonts w:eastAsia="Calibri" w:cstheme="minorHAnsi"/>
          <w:kern w:val="0"/>
          <w14:ligatures w14:val="none"/>
        </w:rPr>
        <w:t xml:space="preserve"> </w:t>
      </w:r>
      <w:r w:rsidRPr="00F16251">
        <w:rPr>
          <w:rFonts w:eastAsia="Calibri" w:cstheme="minorHAnsi"/>
          <w:kern w:val="0"/>
          <w14:ligatures w14:val="none"/>
        </w:rPr>
        <w:t>które</w:t>
      </w:r>
      <w:r w:rsidR="003B50ED" w:rsidRPr="00F16251">
        <w:rPr>
          <w:rFonts w:eastAsia="Calibri" w:cstheme="minorHAnsi"/>
          <w:kern w:val="0"/>
          <w14:ligatures w14:val="none"/>
        </w:rPr>
        <w:t xml:space="preserve"> </w:t>
      </w:r>
      <w:r w:rsidRPr="00F16251">
        <w:rPr>
          <w:rFonts w:eastAsia="Calibri" w:cstheme="minorHAnsi"/>
          <w:kern w:val="0"/>
          <w14:ligatures w14:val="none"/>
        </w:rPr>
        <w:t>w</w:t>
      </w:r>
      <w:r w:rsidR="003B50ED" w:rsidRPr="00F16251">
        <w:rPr>
          <w:rFonts w:eastAsia="Calibri" w:cstheme="minorHAnsi"/>
          <w:kern w:val="0"/>
          <w14:ligatures w14:val="none"/>
        </w:rPr>
        <w:t xml:space="preserve"> </w:t>
      </w:r>
      <w:r w:rsidRPr="00F16251">
        <w:rPr>
          <w:rFonts w:eastAsia="Calibri" w:cstheme="minorHAnsi"/>
          <w:kern w:val="0"/>
          <w14:ligatures w14:val="none"/>
        </w:rPr>
        <w:t>ostatnich</w:t>
      </w:r>
      <w:r w:rsidR="003B50ED" w:rsidRPr="00F16251">
        <w:rPr>
          <w:rFonts w:eastAsia="Calibri" w:cstheme="minorHAnsi"/>
          <w:kern w:val="0"/>
          <w14:ligatures w14:val="none"/>
        </w:rPr>
        <w:t xml:space="preserve"> </w:t>
      </w:r>
      <w:r w:rsidRPr="00F16251">
        <w:rPr>
          <w:rFonts w:eastAsia="Calibri" w:cstheme="minorHAnsi"/>
          <w:kern w:val="0"/>
          <w14:ligatures w14:val="none"/>
        </w:rPr>
        <w:t>latach</w:t>
      </w:r>
      <w:r w:rsidR="003B50ED" w:rsidRPr="00F16251">
        <w:rPr>
          <w:rFonts w:eastAsia="Calibri" w:cstheme="minorHAnsi"/>
          <w:kern w:val="0"/>
          <w14:ligatures w14:val="none"/>
        </w:rPr>
        <w:t xml:space="preserve"> </w:t>
      </w:r>
      <w:r w:rsidRPr="00F16251">
        <w:rPr>
          <w:rFonts w:eastAsia="Calibri" w:cstheme="minorHAnsi"/>
          <w:kern w:val="0"/>
          <w14:ligatures w14:val="none"/>
        </w:rPr>
        <w:t>okazały</w:t>
      </w:r>
      <w:r w:rsidR="003B50ED" w:rsidRPr="00F16251">
        <w:rPr>
          <w:rFonts w:eastAsia="Calibri" w:cstheme="minorHAnsi"/>
          <w:kern w:val="0"/>
          <w14:ligatures w14:val="none"/>
        </w:rPr>
        <w:t xml:space="preserve"> </w:t>
      </w:r>
      <w:r w:rsidRPr="00F16251">
        <w:rPr>
          <w:rFonts w:eastAsia="Calibri" w:cstheme="minorHAnsi"/>
          <w:kern w:val="0"/>
          <w14:ligatures w14:val="none"/>
        </w:rPr>
        <w:t>się</w:t>
      </w:r>
      <w:r w:rsidR="003B50ED" w:rsidRPr="00F16251">
        <w:rPr>
          <w:rFonts w:eastAsia="Calibri" w:cstheme="minorHAnsi"/>
          <w:kern w:val="0"/>
          <w14:ligatures w14:val="none"/>
        </w:rPr>
        <w:t xml:space="preserve"> </w:t>
      </w:r>
      <w:r w:rsidRPr="00F16251">
        <w:rPr>
          <w:rFonts w:eastAsia="Calibri" w:cstheme="minorHAnsi"/>
          <w:kern w:val="0"/>
          <w14:ligatures w14:val="none"/>
        </w:rPr>
        <w:t>kluczowe</w:t>
      </w:r>
      <w:r w:rsidR="003B50ED" w:rsidRPr="00F16251">
        <w:rPr>
          <w:rFonts w:eastAsia="Calibri" w:cstheme="minorHAnsi"/>
          <w:kern w:val="0"/>
          <w14:ligatures w14:val="none"/>
        </w:rPr>
        <w:t xml:space="preserve"> </w:t>
      </w:r>
      <w:r w:rsidRPr="00F16251">
        <w:rPr>
          <w:rFonts w:eastAsia="Calibri" w:cstheme="minorHAnsi"/>
          <w:kern w:val="0"/>
          <w14:ligatures w14:val="none"/>
        </w:rPr>
        <w:t>na</w:t>
      </w:r>
      <w:r w:rsidR="003B50ED" w:rsidRPr="00F16251">
        <w:rPr>
          <w:rFonts w:eastAsia="Calibri" w:cstheme="minorHAnsi"/>
          <w:kern w:val="0"/>
          <w14:ligatures w14:val="none"/>
        </w:rPr>
        <w:t xml:space="preserve"> </w:t>
      </w:r>
      <w:r w:rsidRPr="00F16251">
        <w:rPr>
          <w:rFonts w:eastAsia="Calibri" w:cstheme="minorHAnsi"/>
          <w:kern w:val="0"/>
          <w14:ligatures w14:val="none"/>
        </w:rPr>
        <w:t>obszarze</w:t>
      </w:r>
      <w:r w:rsidR="003B50ED" w:rsidRPr="00F16251">
        <w:rPr>
          <w:rFonts w:eastAsia="Calibri" w:cstheme="minorHAnsi"/>
          <w:kern w:val="0"/>
          <w14:ligatures w14:val="none"/>
        </w:rPr>
        <w:t xml:space="preserve"> </w:t>
      </w:r>
      <w:r w:rsidRPr="00F16251">
        <w:rPr>
          <w:rFonts w:eastAsia="Calibri" w:cstheme="minorHAnsi"/>
          <w:kern w:val="0"/>
          <w14:ligatures w14:val="none"/>
        </w:rPr>
        <w:t>LSR</w:t>
      </w:r>
      <w:r w:rsidR="003B50ED" w:rsidRPr="00F16251">
        <w:rPr>
          <w:rFonts w:eastAsia="Calibri" w:cstheme="minorHAnsi"/>
          <w:kern w:val="0"/>
          <w14:ligatures w14:val="none"/>
        </w:rPr>
        <w:t xml:space="preserve"> </w:t>
      </w:r>
      <w:r w:rsidRPr="00F16251">
        <w:rPr>
          <w:rFonts w:eastAsia="Calibri" w:cstheme="minorHAnsi"/>
          <w:kern w:val="0"/>
          <w14:ligatures w14:val="none"/>
        </w:rPr>
        <w:t>są</w:t>
      </w:r>
      <w:r w:rsidR="003B50ED" w:rsidRPr="00F16251">
        <w:rPr>
          <w:rFonts w:eastAsia="Calibri" w:cstheme="minorHAnsi"/>
          <w:kern w:val="0"/>
          <w14:ligatures w14:val="none"/>
        </w:rPr>
        <w:t xml:space="preserve"> </w:t>
      </w:r>
      <w:r w:rsidRPr="00F16251">
        <w:rPr>
          <w:rFonts w:eastAsia="Calibri" w:cstheme="minorHAnsi"/>
          <w:kern w:val="0"/>
          <w14:ligatures w14:val="none"/>
        </w:rPr>
        <w:t>w</w:t>
      </w:r>
      <w:r w:rsidR="003B50ED" w:rsidRPr="00F16251">
        <w:rPr>
          <w:rFonts w:eastAsia="Calibri" w:cstheme="minorHAnsi"/>
          <w:kern w:val="0"/>
          <w14:ligatures w14:val="none"/>
        </w:rPr>
        <w:t xml:space="preserve"> </w:t>
      </w:r>
      <w:r w:rsidRPr="00F16251">
        <w:rPr>
          <w:rFonts w:eastAsia="Calibri" w:cstheme="minorHAnsi"/>
          <w:kern w:val="0"/>
          <w14:ligatures w14:val="none"/>
        </w:rPr>
        <w:t>szczególności:</w:t>
      </w:r>
      <w:r w:rsidR="003B50ED" w:rsidRPr="00F16251">
        <w:rPr>
          <w:rFonts w:eastAsia="Calibri" w:cstheme="minorHAnsi"/>
          <w:kern w:val="0"/>
          <w14:ligatures w14:val="none"/>
        </w:rPr>
        <w:t xml:space="preserve"> </w:t>
      </w:r>
    </w:p>
    <w:p w14:paraId="03CDFB14" w14:textId="7687AB8F" w:rsidR="002C63F4" w:rsidRPr="00F16251" w:rsidRDefault="002C63F4" w:rsidP="008A412F">
      <w:pPr>
        <w:numPr>
          <w:ilvl w:val="0"/>
          <w:numId w:val="44"/>
        </w:numPr>
        <w:spacing w:line="276" w:lineRule="auto"/>
        <w:jc w:val="both"/>
        <w:rPr>
          <w:rFonts w:eastAsia="Calibri" w:cstheme="minorHAnsi"/>
          <w:kern w:val="0"/>
          <w14:ligatures w14:val="none"/>
        </w:rPr>
      </w:pPr>
      <w:r w:rsidRPr="00F16251">
        <w:rPr>
          <w:rFonts w:eastAsia="Calibri" w:cstheme="minorHAnsi"/>
          <w:kern w:val="0"/>
          <w14:ligatures w14:val="none"/>
        </w:rPr>
        <w:t>Mała</w:t>
      </w:r>
      <w:r w:rsidR="003B50ED" w:rsidRPr="00F16251">
        <w:rPr>
          <w:rFonts w:eastAsia="Calibri" w:cstheme="minorHAnsi"/>
          <w:kern w:val="0"/>
          <w14:ligatures w14:val="none"/>
        </w:rPr>
        <w:t xml:space="preserve"> </w:t>
      </w:r>
      <w:r w:rsidRPr="00F16251">
        <w:rPr>
          <w:rFonts w:eastAsia="Calibri" w:cstheme="minorHAnsi"/>
          <w:kern w:val="0"/>
          <w14:ligatures w14:val="none"/>
        </w:rPr>
        <w:t>aktywność</w:t>
      </w:r>
      <w:r w:rsidR="003B50ED" w:rsidRPr="00F16251">
        <w:rPr>
          <w:rFonts w:eastAsia="Calibri" w:cstheme="minorHAnsi"/>
          <w:kern w:val="0"/>
          <w14:ligatures w14:val="none"/>
        </w:rPr>
        <w:t xml:space="preserve"> </w:t>
      </w:r>
      <w:r w:rsidRPr="00F16251">
        <w:rPr>
          <w:rFonts w:eastAsia="Calibri" w:cstheme="minorHAnsi"/>
          <w:kern w:val="0"/>
          <w14:ligatures w14:val="none"/>
        </w:rPr>
        <w:t>obywatelska</w:t>
      </w:r>
      <w:r w:rsidR="003B50ED" w:rsidRPr="00F16251">
        <w:rPr>
          <w:rFonts w:eastAsia="Calibri" w:cstheme="minorHAnsi"/>
          <w:kern w:val="0"/>
          <w14:ligatures w14:val="none"/>
        </w:rPr>
        <w:t xml:space="preserve"> </w:t>
      </w:r>
      <w:r w:rsidRPr="00F16251">
        <w:rPr>
          <w:rFonts w:eastAsia="Calibri" w:cstheme="minorHAnsi"/>
          <w:kern w:val="0"/>
          <w14:ligatures w14:val="none"/>
        </w:rPr>
        <w:t>mieszkańców</w:t>
      </w:r>
      <w:r w:rsidR="003B50ED" w:rsidRPr="00F16251">
        <w:rPr>
          <w:rFonts w:eastAsia="Calibri" w:cstheme="minorHAnsi"/>
          <w:kern w:val="0"/>
          <w14:ligatures w14:val="none"/>
        </w:rPr>
        <w:t xml:space="preserve"> </w:t>
      </w:r>
      <w:r w:rsidRPr="00F16251">
        <w:rPr>
          <w:rFonts w:eastAsia="Calibri" w:cstheme="minorHAnsi"/>
          <w:kern w:val="0"/>
          <w14:ligatures w14:val="none"/>
        </w:rPr>
        <w:t>obszaru</w:t>
      </w:r>
      <w:r w:rsidR="003B50ED" w:rsidRPr="00F16251">
        <w:rPr>
          <w:rFonts w:eastAsia="Calibri" w:cstheme="minorHAnsi"/>
          <w:kern w:val="0"/>
          <w14:ligatures w14:val="none"/>
        </w:rPr>
        <w:t xml:space="preserve"> </w:t>
      </w:r>
      <w:r w:rsidRPr="00F16251">
        <w:rPr>
          <w:rFonts w:eastAsia="Calibri" w:cstheme="minorHAnsi"/>
          <w:kern w:val="0"/>
          <w14:ligatures w14:val="none"/>
        </w:rPr>
        <w:t>LGD;</w:t>
      </w:r>
    </w:p>
    <w:p w14:paraId="1025F3BA" w14:textId="3C061C4D" w:rsidR="002C63F4" w:rsidRPr="00F16251" w:rsidRDefault="002C63F4" w:rsidP="008A412F">
      <w:pPr>
        <w:numPr>
          <w:ilvl w:val="0"/>
          <w:numId w:val="44"/>
        </w:numPr>
        <w:spacing w:line="276" w:lineRule="auto"/>
        <w:jc w:val="both"/>
        <w:rPr>
          <w:rFonts w:eastAsia="Calibri" w:cstheme="minorHAnsi"/>
          <w:kern w:val="0"/>
          <w14:ligatures w14:val="none"/>
        </w:rPr>
      </w:pPr>
      <w:r w:rsidRPr="00F16251">
        <w:rPr>
          <w:rFonts w:eastAsia="Calibri" w:cstheme="minorHAnsi"/>
          <w:kern w:val="0"/>
          <w14:ligatures w14:val="none"/>
        </w:rPr>
        <w:t>Bierność</w:t>
      </w:r>
      <w:r w:rsidR="003B50ED" w:rsidRPr="00F16251">
        <w:rPr>
          <w:rFonts w:eastAsia="Calibri" w:cstheme="minorHAnsi"/>
          <w:kern w:val="0"/>
          <w14:ligatures w14:val="none"/>
        </w:rPr>
        <w:t xml:space="preserve"> </w:t>
      </w:r>
      <w:r w:rsidRPr="00F16251">
        <w:rPr>
          <w:rFonts w:eastAsia="Calibri" w:cstheme="minorHAnsi"/>
          <w:kern w:val="0"/>
          <w14:ligatures w14:val="none"/>
        </w:rPr>
        <w:t>grup</w:t>
      </w:r>
      <w:r w:rsidR="003B50ED" w:rsidRPr="00F16251">
        <w:rPr>
          <w:rFonts w:eastAsia="Calibri" w:cstheme="minorHAnsi"/>
          <w:kern w:val="0"/>
          <w14:ligatures w14:val="none"/>
        </w:rPr>
        <w:t xml:space="preserve"> </w:t>
      </w:r>
      <w:r w:rsidRPr="00F16251">
        <w:rPr>
          <w:rFonts w:eastAsia="Calibri" w:cstheme="minorHAnsi"/>
          <w:kern w:val="0"/>
          <w14:ligatures w14:val="none"/>
        </w:rPr>
        <w:t>zagrożonych</w:t>
      </w:r>
      <w:r w:rsidR="003B50ED" w:rsidRPr="00F16251">
        <w:rPr>
          <w:rFonts w:eastAsia="Calibri" w:cstheme="minorHAnsi"/>
          <w:kern w:val="0"/>
          <w14:ligatures w14:val="none"/>
        </w:rPr>
        <w:t xml:space="preserve"> </w:t>
      </w:r>
      <w:r w:rsidRPr="00F16251">
        <w:rPr>
          <w:rFonts w:eastAsia="Calibri" w:cstheme="minorHAnsi"/>
          <w:kern w:val="0"/>
          <w14:ligatures w14:val="none"/>
        </w:rPr>
        <w:t>wykluczeniem</w:t>
      </w:r>
      <w:r w:rsidR="003B50ED" w:rsidRPr="00F16251">
        <w:rPr>
          <w:rFonts w:eastAsia="Calibri" w:cstheme="minorHAnsi"/>
          <w:kern w:val="0"/>
          <w14:ligatures w14:val="none"/>
        </w:rPr>
        <w:t xml:space="preserve"> </w:t>
      </w:r>
      <w:r w:rsidRPr="00F16251">
        <w:rPr>
          <w:rFonts w:eastAsia="Calibri" w:cstheme="minorHAnsi"/>
          <w:kern w:val="0"/>
          <w14:ligatures w14:val="none"/>
        </w:rPr>
        <w:t>społecznym:</w:t>
      </w:r>
      <w:r w:rsidR="003B50ED" w:rsidRPr="00F16251">
        <w:rPr>
          <w:rFonts w:eastAsia="Calibri" w:cstheme="minorHAnsi"/>
          <w:kern w:val="0"/>
          <w14:ligatures w14:val="none"/>
        </w:rPr>
        <w:t xml:space="preserve"> </w:t>
      </w:r>
      <w:r w:rsidRPr="00F16251">
        <w:rPr>
          <w:rFonts w:eastAsia="Calibri" w:cstheme="minorHAnsi"/>
          <w:kern w:val="0"/>
          <w14:ligatures w14:val="none"/>
        </w:rPr>
        <w:t>seniorzy,</w:t>
      </w:r>
      <w:r w:rsidR="003B50ED" w:rsidRPr="00F16251">
        <w:rPr>
          <w:rFonts w:eastAsia="Calibri" w:cstheme="minorHAnsi"/>
          <w:kern w:val="0"/>
          <w14:ligatures w14:val="none"/>
        </w:rPr>
        <w:t xml:space="preserve"> </w:t>
      </w:r>
      <w:r w:rsidRPr="00F16251">
        <w:rPr>
          <w:rFonts w:eastAsia="Calibri" w:cstheme="minorHAnsi"/>
          <w:kern w:val="0"/>
          <w14:ligatures w14:val="none"/>
        </w:rPr>
        <w:t>osoby</w:t>
      </w:r>
      <w:r w:rsidR="003B50ED" w:rsidRPr="00F16251">
        <w:rPr>
          <w:rFonts w:eastAsia="Calibri" w:cstheme="minorHAnsi"/>
          <w:kern w:val="0"/>
          <w14:ligatures w14:val="none"/>
        </w:rPr>
        <w:t xml:space="preserve"> </w:t>
      </w:r>
      <w:r w:rsidRPr="00F16251">
        <w:rPr>
          <w:rFonts w:eastAsia="Calibri" w:cstheme="minorHAnsi"/>
          <w:kern w:val="0"/>
          <w14:ligatures w14:val="none"/>
        </w:rPr>
        <w:t>do</w:t>
      </w:r>
      <w:r w:rsidR="003B50ED" w:rsidRPr="00F16251">
        <w:rPr>
          <w:rFonts w:eastAsia="Calibri" w:cstheme="minorHAnsi"/>
          <w:kern w:val="0"/>
          <w14:ligatures w14:val="none"/>
        </w:rPr>
        <w:t xml:space="preserve"> </w:t>
      </w:r>
      <w:r w:rsidRPr="00F16251">
        <w:rPr>
          <w:rFonts w:eastAsia="Calibri" w:cstheme="minorHAnsi"/>
          <w:kern w:val="0"/>
          <w14:ligatures w14:val="none"/>
        </w:rPr>
        <w:t>25</w:t>
      </w:r>
      <w:r w:rsidR="003B50ED" w:rsidRPr="00F16251">
        <w:rPr>
          <w:rFonts w:eastAsia="Calibri" w:cstheme="minorHAnsi"/>
          <w:kern w:val="0"/>
          <w14:ligatures w14:val="none"/>
        </w:rPr>
        <w:t xml:space="preserve"> </w:t>
      </w:r>
      <w:r w:rsidRPr="00F16251">
        <w:rPr>
          <w:rFonts w:eastAsia="Calibri" w:cstheme="minorHAnsi"/>
          <w:kern w:val="0"/>
          <w14:ligatures w14:val="none"/>
        </w:rPr>
        <w:t>roku</w:t>
      </w:r>
      <w:r w:rsidR="003B50ED" w:rsidRPr="00F16251">
        <w:rPr>
          <w:rFonts w:eastAsia="Calibri" w:cstheme="minorHAnsi"/>
          <w:kern w:val="0"/>
          <w14:ligatures w14:val="none"/>
        </w:rPr>
        <w:t xml:space="preserve"> </w:t>
      </w:r>
      <w:r w:rsidRPr="00F16251">
        <w:rPr>
          <w:rFonts w:eastAsia="Calibri" w:cstheme="minorHAnsi"/>
          <w:kern w:val="0"/>
          <w14:ligatures w14:val="none"/>
        </w:rPr>
        <w:t>życia;</w:t>
      </w:r>
    </w:p>
    <w:p w14:paraId="1B03E8A9" w14:textId="76E69119" w:rsidR="002C63F4" w:rsidRPr="00F16251" w:rsidRDefault="002C63F4" w:rsidP="008A412F">
      <w:pPr>
        <w:numPr>
          <w:ilvl w:val="0"/>
          <w:numId w:val="44"/>
        </w:numPr>
        <w:spacing w:line="276" w:lineRule="auto"/>
        <w:jc w:val="both"/>
        <w:rPr>
          <w:rFonts w:eastAsia="Calibri" w:cstheme="minorHAnsi"/>
          <w:kern w:val="0"/>
          <w14:ligatures w14:val="none"/>
        </w:rPr>
      </w:pPr>
      <w:r w:rsidRPr="00F16251">
        <w:rPr>
          <w:rFonts w:eastAsia="Calibri" w:cstheme="minorHAnsi"/>
          <w:kern w:val="0"/>
          <w14:ligatures w14:val="none"/>
        </w:rPr>
        <w:t>Zauważalna</w:t>
      </w:r>
      <w:r w:rsidR="003B50ED" w:rsidRPr="00F16251">
        <w:rPr>
          <w:rFonts w:eastAsia="Calibri" w:cstheme="minorHAnsi"/>
          <w:kern w:val="0"/>
          <w14:ligatures w14:val="none"/>
        </w:rPr>
        <w:t xml:space="preserve"> </w:t>
      </w:r>
      <w:r w:rsidRPr="00F16251">
        <w:rPr>
          <w:rFonts w:eastAsia="Calibri" w:cstheme="minorHAnsi"/>
          <w:kern w:val="0"/>
          <w14:ligatures w14:val="none"/>
        </w:rPr>
        <w:t>depopulacja</w:t>
      </w:r>
      <w:r w:rsidR="003B50ED" w:rsidRPr="00F16251">
        <w:rPr>
          <w:rFonts w:eastAsia="Calibri" w:cstheme="minorHAnsi"/>
          <w:kern w:val="0"/>
          <w14:ligatures w14:val="none"/>
        </w:rPr>
        <w:t xml:space="preserve"> </w:t>
      </w:r>
      <w:r w:rsidRPr="00F16251">
        <w:rPr>
          <w:rFonts w:eastAsia="Calibri" w:cstheme="minorHAnsi"/>
          <w:kern w:val="0"/>
          <w14:ligatures w14:val="none"/>
        </w:rPr>
        <w:t>i</w:t>
      </w:r>
      <w:r w:rsidR="003B50ED" w:rsidRPr="00F16251">
        <w:rPr>
          <w:rFonts w:eastAsia="Calibri" w:cstheme="minorHAnsi"/>
          <w:kern w:val="0"/>
          <w14:ligatures w14:val="none"/>
        </w:rPr>
        <w:t xml:space="preserve"> </w:t>
      </w:r>
      <w:r w:rsidRPr="00F16251">
        <w:rPr>
          <w:rFonts w:eastAsia="Calibri" w:cstheme="minorHAnsi"/>
          <w:kern w:val="0"/>
          <w14:ligatures w14:val="none"/>
        </w:rPr>
        <w:t>rosnąca</w:t>
      </w:r>
      <w:r w:rsidR="003B50ED" w:rsidRPr="00F16251">
        <w:rPr>
          <w:rFonts w:eastAsia="Calibri" w:cstheme="minorHAnsi"/>
          <w:kern w:val="0"/>
          <w14:ligatures w14:val="none"/>
        </w:rPr>
        <w:t xml:space="preserve"> </w:t>
      </w:r>
      <w:r w:rsidRPr="00F16251">
        <w:rPr>
          <w:rFonts w:eastAsia="Calibri" w:cstheme="minorHAnsi"/>
          <w:kern w:val="0"/>
          <w14:ligatures w14:val="none"/>
        </w:rPr>
        <w:t>liczba</w:t>
      </w:r>
      <w:r w:rsidR="003B50ED" w:rsidRPr="00F16251">
        <w:rPr>
          <w:rFonts w:eastAsia="Calibri" w:cstheme="minorHAnsi"/>
          <w:kern w:val="0"/>
          <w14:ligatures w14:val="none"/>
        </w:rPr>
        <w:t xml:space="preserve"> </w:t>
      </w:r>
      <w:r w:rsidRPr="00F16251">
        <w:rPr>
          <w:rFonts w:eastAsia="Calibri" w:cstheme="minorHAnsi"/>
          <w:kern w:val="0"/>
          <w14:ligatures w14:val="none"/>
        </w:rPr>
        <w:t>seniorów</w:t>
      </w:r>
      <w:r w:rsidR="003B50ED" w:rsidRPr="00F16251">
        <w:rPr>
          <w:rFonts w:eastAsia="Calibri" w:cstheme="minorHAnsi"/>
          <w:kern w:val="0"/>
          <w14:ligatures w14:val="none"/>
        </w:rPr>
        <w:t xml:space="preserve"> </w:t>
      </w:r>
      <w:r w:rsidRPr="00F16251">
        <w:rPr>
          <w:rFonts w:eastAsia="Calibri" w:cstheme="minorHAnsi"/>
          <w:kern w:val="0"/>
          <w14:ligatures w14:val="none"/>
        </w:rPr>
        <w:t>w</w:t>
      </w:r>
      <w:r w:rsidR="003B50ED" w:rsidRPr="00F16251">
        <w:rPr>
          <w:rFonts w:eastAsia="Calibri" w:cstheme="minorHAnsi"/>
          <w:kern w:val="0"/>
          <w14:ligatures w14:val="none"/>
        </w:rPr>
        <w:t xml:space="preserve"> </w:t>
      </w:r>
      <w:r w:rsidRPr="00F16251">
        <w:rPr>
          <w:rFonts w:eastAsia="Calibri" w:cstheme="minorHAnsi"/>
          <w:kern w:val="0"/>
          <w14:ligatures w14:val="none"/>
        </w:rPr>
        <w:t>społecznościach</w:t>
      </w:r>
      <w:r w:rsidR="003B50ED" w:rsidRPr="00F16251">
        <w:rPr>
          <w:rFonts w:eastAsia="Calibri" w:cstheme="minorHAnsi"/>
          <w:kern w:val="0"/>
          <w14:ligatures w14:val="none"/>
        </w:rPr>
        <w:t xml:space="preserve"> </w:t>
      </w:r>
      <w:r w:rsidRPr="00F16251">
        <w:rPr>
          <w:rFonts w:eastAsia="Calibri" w:cstheme="minorHAnsi"/>
          <w:kern w:val="0"/>
          <w14:ligatures w14:val="none"/>
        </w:rPr>
        <w:t>lokalnych;</w:t>
      </w:r>
    </w:p>
    <w:p w14:paraId="000156D1" w14:textId="1C47DE95" w:rsidR="002C63F4" w:rsidRPr="00F16251" w:rsidRDefault="002C63F4" w:rsidP="008A412F">
      <w:pPr>
        <w:numPr>
          <w:ilvl w:val="0"/>
          <w:numId w:val="44"/>
        </w:numPr>
        <w:spacing w:line="276" w:lineRule="auto"/>
        <w:jc w:val="both"/>
        <w:rPr>
          <w:rFonts w:eastAsia="Calibri" w:cstheme="minorHAnsi"/>
          <w:kern w:val="0"/>
          <w14:ligatures w14:val="none"/>
        </w:rPr>
      </w:pPr>
      <w:r w:rsidRPr="00F16251">
        <w:rPr>
          <w:rFonts w:eastAsia="Calibri" w:cstheme="minorHAnsi"/>
          <w:kern w:val="0"/>
          <w14:ligatures w14:val="none"/>
        </w:rPr>
        <w:t>Ograniczenie</w:t>
      </w:r>
      <w:r w:rsidR="003B50ED" w:rsidRPr="00F16251">
        <w:rPr>
          <w:rFonts w:eastAsia="Calibri" w:cstheme="minorHAnsi"/>
          <w:kern w:val="0"/>
          <w14:ligatures w14:val="none"/>
        </w:rPr>
        <w:t xml:space="preserve"> </w:t>
      </w:r>
      <w:r w:rsidRPr="00F16251">
        <w:rPr>
          <w:rFonts w:eastAsia="Calibri" w:cstheme="minorHAnsi"/>
          <w:kern w:val="0"/>
          <w14:ligatures w14:val="none"/>
        </w:rPr>
        <w:t>w</w:t>
      </w:r>
      <w:r w:rsidR="003B50ED" w:rsidRPr="00F16251">
        <w:rPr>
          <w:rFonts w:eastAsia="Calibri" w:cstheme="minorHAnsi"/>
          <w:kern w:val="0"/>
          <w14:ligatures w14:val="none"/>
        </w:rPr>
        <w:t xml:space="preserve"> </w:t>
      </w:r>
      <w:r w:rsidRPr="00F16251">
        <w:rPr>
          <w:rFonts w:eastAsia="Calibri" w:cstheme="minorHAnsi"/>
          <w:kern w:val="0"/>
          <w14:ligatures w14:val="none"/>
        </w:rPr>
        <w:t>dostępie</w:t>
      </w:r>
      <w:r w:rsidR="003B50ED" w:rsidRPr="00F16251">
        <w:rPr>
          <w:rFonts w:eastAsia="Calibri" w:cstheme="minorHAnsi"/>
          <w:kern w:val="0"/>
          <w14:ligatures w14:val="none"/>
        </w:rPr>
        <w:t xml:space="preserve"> </w:t>
      </w:r>
      <w:r w:rsidRPr="00F16251">
        <w:rPr>
          <w:rFonts w:eastAsia="Calibri" w:cstheme="minorHAnsi"/>
          <w:kern w:val="0"/>
          <w14:ligatures w14:val="none"/>
        </w:rPr>
        <w:t>edukacji,</w:t>
      </w:r>
      <w:r w:rsidR="003B50ED" w:rsidRPr="00F16251">
        <w:rPr>
          <w:rFonts w:eastAsia="Calibri" w:cstheme="minorHAnsi"/>
          <w:kern w:val="0"/>
          <w14:ligatures w14:val="none"/>
        </w:rPr>
        <w:t xml:space="preserve"> </w:t>
      </w:r>
      <w:r w:rsidRPr="00F16251">
        <w:rPr>
          <w:rFonts w:eastAsia="Calibri" w:cstheme="minorHAnsi"/>
          <w:kern w:val="0"/>
          <w14:ligatures w14:val="none"/>
        </w:rPr>
        <w:t>kultury</w:t>
      </w:r>
      <w:r w:rsidR="003B50ED" w:rsidRPr="00F16251">
        <w:rPr>
          <w:rFonts w:eastAsia="Calibri" w:cstheme="minorHAnsi"/>
          <w:kern w:val="0"/>
          <w14:ligatures w14:val="none"/>
        </w:rPr>
        <w:t xml:space="preserve"> </w:t>
      </w:r>
      <w:r w:rsidRPr="00F16251">
        <w:rPr>
          <w:rFonts w:eastAsia="Calibri" w:cstheme="minorHAnsi"/>
          <w:kern w:val="0"/>
          <w14:ligatures w14:val="none"/>
        </w:rPr>
        <w:t>na</w:t>
      </w:r>
      <w:r w:rsidR="003B50ED" w:rsidRPr="00F16251">
        <w:rPr>
          <w:rFonts w:eastAsia="Calibri" w:cstheme="minorHAnsi"/>
          <w:kern w:val="0"/>
          <w14:ligatures w14:val="none"/>
        </w:rPr>
        <w:t xml:space="preserve"> </w:t>
      </w:r>
      <w:r w:rsidRPr="00F16251">
        <w:rPr>
          <w:rFonts w:eastAsia="Calibri" w:cstheme="minorHAnsi"/>
          <w:kern w:val="0"/>
          <w14:ligatures w14:val="none"/>
        </w:rPr>
        <w:t>obszarach</w:t>
      </w:r>
      <w:r w:rsidR="003B50ED" w:rsidRPr="00F16251">
        <w:rPr>
          <w:rFonts w:eastAsia="Calibri" w:cstheme="minorHAnsi"/>
          <w:kern w:val="0"/>
          <w14:ligatures w14:val="none"/>
        </w:rPr>
        <w:t xml:space="preserve"> </w:t>
      </w:r>
      <w:r w:rsidRPr="00F16251">
        <w:rPr>
          <w:rFonts w:eastAsia="Calibri" w:cstheme="minorHAnsi"/>
          <w:kern w:val="0"/>
          <w14:ligatures w14:val="none"/>
        </w:rPr>
        <w:t>wiejskich;</w:t>
      </w:r>
    </w:p>
    <w:p w14:paraId="4E6C44F9" w14:textId="378A2D44" w:rsidR="002C63F4" w:rsidRPr="00F16251" w:rsidRDefault="002C63F4" w:rsidP="008A412F">
      <w:pPr>
        <w:numPr>
          <w:ilvl w:val="0"/>
          <w:numId w:val="44"/>
        </w:numPr>
        <w:spacing w:line="276" w:lineRule="auto"/>
        <w:jc w:val="both"/>
        <w:rPr>
          <w:rFonts w:eastAsia="Calibri" w:cstheme="minorHAnsi"/>
          <w:kern w:val="0"/>
          <w14:ligatures w14:val="none"/>
        </w:rPr>
      </w:pPr>
      <w:r w:rsidRPr="00F16251">
        <w:rPr>
          <w:rFonts w:eastAsia="Calibri" w:cstheme="minorHAnsi"/>
          <w:kern w:val="0"/>
          <w14:ligatures w14:val="none"/>
        </w:rPr>
        <w:t>Rosnące</w:t>
      </w:r>
      <w:r w:rsidR="003B50ED" w:rsidRPr="00F16251">
        <w:rPr>
          <w:rFonts w:eastAsia="Calibri" w:cstheme="minorHAnsi"/>
          <w:kern w:val="0"/>
          <w14:ligatures w14:val="none"/>
        </w:rPr>
        <w:t xml:space="preserve"> </w:t>
      </w:r>
      <w:r w:rsidRPr="00F16251">
        <w:rPr>
          <w:rFonts w:eastAsia="Calibri" w:cstheme="minorHAnsi"/>
          <w:kern w:val="0"/>
          <w14:ligatures w14:val="none"/>
        </w:rPr>
        <w:t>dysproporcje</w:t>
      </w:r>
      <w:r w:rsidR="003B50ED" w:rsidRPr="00F16251">
        <w:rPr>
          <w:rFonts w:eastAsia="Calibri" w:cstheme="minorHAnsi"/>
          <w:kern w:val="0"/>
          <w14:ligatures w14:val="none"/>
        </w:rPr>
        <w:t xml:space="preserve"> </w:t>
      </w:r>
      <w:r w:rsidRPr="00F16251">
        <w:rPr>
          <w:rFonts w:eastAsia="Calibri" w:cstheme="minorHAnsi"/>
          <w:kern w:val="0"/>
          <w14:ligatures w14:val="none"/>
        </w:rPr>
        <w:t>w</w:t>
      </w:r>
      <w:r w:rsidR="003B50ED" w:rsidRPr="00F16251">
        <w:rPr>
          <w:rFonts w:eastAsia="Calibri" w:cstheme="minorHAnsi"/>
          <w:kern w:val="0"/>
          <w14:ligatures w14:val="none"/>
        </w:rPr>
        <w:t xml:space="preserve"> </w:t>
      </w:r>
      <w:r w:rsidRPr="00F16251">
        <w:rPr>
          <w:rFonts w:eastAsia="Calibri" w:cstheme="minorHAnsi"/>
          <w:kern w:val="0"/>
          <w14:ligatures w14:val="none"/>
        </w:rPr>
        <w:t>rozwoju</w:t>
      </w:r>
      <w:r w:rsidR="003B50ED" w:rsidRPr="00F16251">
        <w:rPr>
          <w:rFonts w:eastAsia="Calibri" w:cstheme="minorHAnsi"/>
          <w:kern w:val="0"/>
          <w14:ligatures w14:val="none"/>
        </w:rPr>
        <w:t xml:space="preserve"> </w:t>
      </w:r>
      <w:r w:rsidRPr="00F16251">
        <w:rPr>
          <w:rFonts w:eastAsia="Calibri" w:cstheme="minorHAnsi"/>
          <w:kern w:val="0"/>
          <w14:ligatures w14:val="none"/>
        </w:rPr>
        <w:t>pomiędzy</w:t>
      </w:r>
      <w:r w:rsidR="003B50ED" w:rsidRPr="00F16251">
        <w:rPr>
          <w:rFonts w:eastAsia="Calibri" w:cstheme="minorHAnsi"/>
          <w:kern w:val="0"/>
          <w14:ligatures w14:val="none"/>
        </w:rPr>
        <w:t xml:space="preserve"> </w:t>
      </w:r>
      <w:r w:rsidRPr="00F16251">
        <w:rPr>
          <w:rFonts w:eastAsia="Calibri" w:cstheme="minorHAnsi"/>
          <w:kern w:val="0"/>
          <w14:ligatures w14:val="none"/>
        </w:rPr>
        <w:t>wsią</w:t>
      </w:r>
      <w:r w:rsidR="003B50ED" w:rsidRPr="00F16251">
        <w:rPr>
          <w:rFonts w:eastAsia="Calibri" w:cstheme="minorHAnsi"/>
          <w:kern w:val="0"/>
          <w14:ligatures w14:val="none"/>
        </w:rPr>
        <w:t xml:space="preserve"> </w:t>
      </w:r>
      <w:r w:rsidRPr="00F16251">
        <w:rPr>
          <w:rFonts w:eastAsia="Calibri" w:cstheme="minorHAnsi"/>
          <w:kern w:val="0"/>
          <w14:ligatures w14:val="none"/>
        </w:rPr>
        <w:t>a</w:t>
      </w:r>
      <w:r w:rsidR="003B50ED" w:rsidRPr="00F16251">
        <w:rPr>
          <w:rFonts w:eastAsia="Calibri" w:cstheme="minorHAnsi"/>
          <w:kern w:val="0"/>
          <w14:ligatures w14:val="none"/>
        </w:rPr>
        <w:t xml:space="preserve"> </w:t>
      </w:r>
      <w:r w:rsidRPr="00F16251">
        <w:rPr>
          <w:rFonts w:eastAsia="Calibri" w:cstheme="minorHAnsi"/>
          <w:kern w:val="0"/>
          <w14:ligatures w14:val="none"/>
        </w:rPr>
        <w:t>miastem;</w:t>
      </w:r>
    </w:p>
    <w:p w14:paraId="2A9EF561" w14:textId="7756E6F4" w:rsidR="002C63F4" w:rsidRPr="00F16251" w:rsidRDefault="002C63F4" w:rsidP="008A412F">
      <w:pPr>
        <w:numPr>
          <w:ilvl w:val="0"/>
          <w:numId w:val="44"/>
        </w:numPr>
        <w:spacing w:line="276" w:lineRule="auto"/>
        <w:jc w:val="both"/>
        <w:rPr>
          <w:rFonts w:eastAsia="Calibri" w:cstheme="minorHAnsi"/>
          <w:kern w:val="0"/>
          <w14:ligatures w14:val="none"/>
        </w:rPr>
      </w:pPr>
      <w:r w:rsidRPr="00F16251">
        <w:rPr>
          <w:rFonts w:eastAsia="Calibri" w:cstheme="minorHAnsi"/>
          <w:kern w:val="0"/>
          <w14:ligatures w14:val="none"/>
        </w:rPr>
        <w:t>Wykluczenie</w:t>
      </w:r>
      <w:r w:rsidR="003B50ED" w:rsidRPr="00F16251">
        <w:rPr>
          <w:rFonts w:eastAsia="Calibri" w:cstheme="minorHAnsi"/>
          <w:kern w:val="0"/>
          <w14:ligatures w14:val="none"/>
        </w:rPr>
        <w:t xml:space="preserve"> </w:t>
      </w:r>
      <w:r w:rsidRPr="00F16251">
        <w:rPr>
          <w:rFonts w:eastAsia="Calibri" w:cstheme="minorHAnsi"/>
          <w:kern w:val="0"/>
          <w14:ligatures w14:val="none"/>
        </w:rPr>
        <w:t>i</w:t>
      </w:r>
      <w:r w:rsidR="003B50ED" w:rsidRPr="00F16251">
        <w:rPr>
          <w:rFonts w:eastAsia="Calibri" w:cstheme="minorHAnsi"/>
          <w:kern w:val="0"/>
          <w14:ligatures w14:val="none"/>
        </w:rPr>
        <w:t xml:space="preserve"> </w:t>
      </w:r>
      <w:r w:rsidRPr="00F16251">
        <w:rPr>
          <w:rFonts w:eastAsia="Calibri" w:cstheme="minorHAnsi"/>
          <w:kern w:val="0"/>
          <w14:ligatures w14:val="none"/>
        </w:rPr>
        <w:t>marginalizacja</w:t>
      </w:r>
      <w:r w:rsidR="003B50ED" w:rsidRPr="00F16251">
        <w:rPr>
          <w:rFonts w:eastAsia="Calibri" w:cstheme="minorHAnsi"/>
          <w:kern w:val="0"/>
          <w14:ligatures w14:val="none"/>
        </w:rPr>
        <w:t xml:space="preserve"> </w:t>
      </w:r>
      <w:r w:rsidRPr="00F16251">
        <w:rPr>
          <w:rFonts w:eastAsia="Calibri" w:cstheme="minorHAnsi"/>
          <w:kern w:val="0"/>
          <w14:ligatures w14:val="none"/>
        </w:rPr>
        <w:t>grup</w:t>
      </w:r>
      <w:r w:rsidR="003B50ED" w:rsidRPr="00F16251">
        <w:rPr>
          <w:rFonts w:eastAsia="Calibri" w:cstheme="minorHAnsi"/>
          <w:kern w:val="0"/>
          <w14:ligatures w14:val="none"/>
        </w:rPr>
        <w:t xml:space="preserve"> </w:t>
      </w:r>
      <w:r w:rsidRPr="00F16251">
        <w:rPr>
          <w:rFonts w:eastAsia="Calibri" w:cstheme="minorHAnsi"/>
          <w:kern w:val="0"/>
          <w14:ligatures w14:val="none"/>
        </w:rPr>
        <w:t>znajdujących</w:t>
      </w:r>
      <w:r w:rsidR="003B50ED" w:rsidRPr="00F16251">
        <w:rPr>
          <w:rFonts w:eastAsia="Calibri" w:cstheme="minorHAnsi"/>
          <w:kern w:val="0"/>
          <w14:ligatures w14:val="none"/>
        </w:rPr>
        <w:t xml:space="preserve"> </w:t>
      </w:r>
      <w:r w:rsidRPr="00F16251">
        <w:rPr>
          <w:rFonts w:eastAsia="Calibri" w:cstheme="minorHAnsi"/>
          <w:kern w:val="0"/>
          <w14:ligatures w14:val="none"/>
        </w:rPr>
        <w:t>się</w:t>
      </w:r>
      <w:r w:rsidR="003B50ED" w:rsidRPr="00F16251">
        <w:rPr>
          <w:rFonts w:eastAsia="Calibri" w:cstheme="minorHAnsi"/>
          <w:kern w:val="0"/>
          <w14:ligatures w14:val="none"/>
        </w:rPr>
        <w:t xml:space="preserve"> </w:t>
      </w:r>
      <w:r w:rsidRPr="00F16251">
        <w:rPr>
          <w:rFonts w:eastAsia="Calibri" w:cstheme="minorHAnsi"/>
          <w:kern w:val="0"/>
          <w14:ligatures w14:val="none"/>
        </w:rPr>
        <w:t>w</w:t>
      </w:r>
      <w:r w:rsidR="003B50ED" w:rsidRPr="00F16251">
        <w:rPr>
          <w:rFonts w:eastAsia="Calibri" w:cstheme="minorHAnsi"/>
          <w:kern w:val="0"/>
          <w14:ligatures w14:val="none"/>
        </w:rPr>
        <w:t xml:space="preserve"> </w:t>
      </w:r>
      <w:r w:rsidR="00AB742D" w:rsidRPr="00F16251">
        <w:rPr>
          <w:rFonts w:eastAsia="Calibri" w:cstheme="minorHAnsi"/>
          <w:kern w:val="0"/>
          <w14:ligatures w14:val="none"/>
        </w:rPr>
        <w:t>niekorzyst</w:t>
      </w:r>
      <w:r w:rsidRPr="00F16251">
        <w:rPr>
          <w:rFonts w:eastAsia="Calibri" w:cstheme="minorHAnsi"/>
          <w:kern w:val="0"/>
          <w14:ligatures w14:val="none"/>
        </w:rPr>
        <w:t>nej</w:t>
      </w:r>
      <w:r w:rsidR="003B50ED" w:rsidRPr="00F16251">
        <w:rPr>
          <w:rFonts w:eastAsia="Calibri" w:cstheme="minorHAnsi"/>
          <w:kern w:val="0"/>
          <w14:ligatures w14:val="none"/>
        </w:rPr>
        <w:t xml:space="preserve"> </w:t>
      </w:r>
      <w:r w:rsidRPr="00F16251">
        <w:rPr>
          <w:rFonts w:eastAsia="Calibri" w:cstheme="minorHAnsi"/>
          <w:kern w:val="0"/>
          <w14:ligatures w14:val="none"/>
        </w:rPr>
        <w:t>sytuacji;</w:t>
      </w:r>
    </w:p>
    <w:p w14:paraId="2F384150" w14:textId="6C73824A" w:rsidR="002C63F4" w:rsidRPr="00F16251" w:rsidRDefault="002C63F4" w:rsidP="008A412F">
      <w:pPr>
        <w:numPr>
          <w:ilvl w:val="0"/>
          <w:numId w:val="44"/>
        </w:numPr>
        <w:spacing w:line="276" w:lineRule="auto"/>
        <w:jc w:val="both"/>
        <w:rPr>
          <w:rFonts w:eastAsia="Calibri" w:cstheme="minorHAnsi"/>
          <w:kern w:val="0"/>
          <w14:ligatures w14:val="none"/>
        </w:rPr>
      </w:pPr>
      <w:r w:rsidRPr="00F16251">
        <w:rPr>
          <w:rFonts w:eastAsia="Calibri" w:cstheme="minorHAnsi"/>
          <w:kern w:val="0"/>
          <w14:ligatures w14:val="none"/>
        </w:rPr>
        <w:t>Wymagająca</w:t>
      </w:r>
      <w:r w:rsidR="003B50ED" w:rsidRPr="00F16251">
        <w:rPr>
          <w:rFonts w:eastAsia="Calibri" w:cstheme="minorHAnsi"/>
          <w:kern w:val="0"/>
          <w14:ligatures w14:val="none"/>
        </w:rPr>
        <w:t xml:space="preserve"> </w:t>
      </w:r>
      <w:r w:rsidRPr="00F16251">
        <w:rPr>
          <w:rFonts w:eastAsia="Calibri" w:cstheme="minorHAnsi"/>
          <w:kern w:val="0"/>
          <w14:ligatures w14:val="none"/>
        </w:rPr>
        <w:t>dalszych</w:t>
      </w:r>
      <w:r w:rsidR="003B50ED" w:rsidRPr="00F16251">
        <w:rPr>
          <w:rFonts w:eastAsia="Calibri" w:cstheme="minorHAnsi"/>
          <w:kern w:val="0"/>
          <w14:ligatures w14:val="none"/>
        </w:rPr>
        <w:t xml:space="preserve"> </w:t>
      </w:r>
      <w:r w:rsidRPr="00F16251">
        <w:rPr>
          <w:rFonts w:eastAsia="Calibri" w:cstheme="minorHAnsi"/>
          <w:kern w:val="0"/>
          <w14:ligatures w14:val="none"/>
        </w:rPr>
        <w:t>inwestycji</w:t>
      </w:r>
      <w:r w:rsidR="003B50ED" w:rsidRPr="00F16251">
        <w:rPr>
          <w:rFonts w:eastAsia="Calibri" w:cstheme="minorHAnsi"/>
          <w:kern w:val="0"/>
          <w14:ligatures w14:val="none"/>
        </w:rPr>
        <w:t xml:space="preserve"> </w:t>
      </w:r>
      <w:r w:rsidRPr="00F16251">
        <w:rPr>
          <w:rFonts w:eastAsia="Calibri" w:cstheme="minorHAnsi"/>
          <w:kern w:val="0"/>
          <w14:ligatures w14:val="none"/>
        </w:rPr>
        <w:t>infrastruktura</w:t>
      </w:r>
      <w:r w:rsidR="003B50ED" w:rsidRPr="00F16251">
        <w:rPr>
          <w:rFonts w:eastAsia="Calibri" w:cstheme="minorHAnsi"/>
          <w:kern w:val="0"/>
          <w14:ligatures w14:val="none"/>
        </w:rPr>
        <w:t xml:space="preserve"> </w:t>
      </w:r>
      <w:r w:rsidRPr="00F16251">
        <w:rPr>
          <w:rFonts w:eastAsia="Calibri" w:cstheme="minorHAnsi"/>
          <w:kern w:val="0"/>
          <w14:ligatures w14:val="none"/>
        </w:rPr>
        <w:t>techniczna</w:t>
      </w:r>
      <w:r w:rsidR="003B50ED" w:rsidRPr="00F16251">
        <w:rPr>
          <w:rFonts w:eastAsia="Calibri" w:cstheme="minorHAnsi"/>
          <w:kern w:val="0"/>
          <w14:ligatures w14:val="none"/>
        </w:rPr>
        <w:t xml:space="preserve"> </w:t>
      </w:r>
      <w:r w:rsidRPr="00F16251">
        <w:rPr>
          <w:rFonts w:eastAsia="Calibri" w:cstheme="minorHAnsi"/>
          <w:kern w:val="0"/>
          <w14:ligatures w14:val="none"/>
        </w:rPr>
        <w:t>w</w:t>
      </w:r>
      <w:r w:rsidR="003B50ED" w:rsidRPr="00F16251">
        <w:rPr>
          <w:rFonts w:eastAsia="Calibri" w:cstheme="minorHAnsi"/>
          <w:kern w:val="0"/>
          <w14:ligatures w14:val="none"/>
        </w:rPr>
        <w:t xml:space="preserve"> </w:t>
      </w:r>
      <w:r w:rsidRPr="00F16251">
        <w:rPr>
          <w:rFonts w:eastAsia="Calibri" w:cstheme="minorHAnsi"/>
          <w:kern w:val="0"/>
          <w14:ligatures w14:val="none"/>
        </w:rPr>
        <w:t>gminach;</w:t>
      </w:r>
    </w:p>
    <w:p w14:paraId="1C2E60F2" w14:textId="602147FB" w:rsidR="002C63F4" w:rsidRPr="00F16251" w:rsidRDefault="002C63F4" w:rsidP="008A412F">
      <w:pPr>
        <w:numPr>
          <w:ilvl w:val="0"/>
          <w:numId w:val="44"/>
        </w:numPr>
        <w:spacing w:line="276" w:lineRule="auto"/>
        <w:jc w:val="both"/>
        <w:rPr>
          <w:rFonts w:eastAsia="Calibri" w:cstheme="minorHAnsi"/>
          <w:kern w:val="0"/>
          <w14:ligatures w14:val="none"/>
        </w:rPr>
      </w:pPr>
      <w:r w:rsidRPr="00F16251">
        <w:rPr>
          <w:rFonts w:eastAsia="Calibri" w:cstheme="minorHAnsi"/>
          <w:kern w:val="0"/>
          <w14:ligatures w14:val="none"/>
        </w:rPr>
        <w:t>Potrzeba</w:t>
      </w:r>
      <w:r w:rsidR="003B50ED" w:rsidRPr="00F16251">
        <w:rPr>
          <w:rFonts w:eastAsia="Calibri" w:cstheme="minorHAnsi"/>
          <w:kern w:val="0"/>
          <w14:ligatures w14:val="none"/>
        </w:rPr>
        <w:t xml:space="preserve"> </w:t>
      </w:r>
      <w:r w:rsidRPr="00F16251">
        <w:rPr>
          <w:rFonts w:eastAsia="Calibri" w:cstheme="minorHAnsi"/>
          <w:kern w:val="0"/>
          <w14:ligatures w14:val="none"/>
        </w:rPr>
        <w:t>zwiększenia</w:t>
      </w:r>
      <w:r w:rsidR="003B50ED" w:rsidRPr="00F16251">
        <w:rPr>
          <w:rFonts w:eastAsia="Calibri" w:cstheme="minorHAnsi"/>
          <w:kern w:val="0"/>
          <w14:ligatures w14:val="none"/>
        </w:rPr>
        <w:t xml:space="preserve"> </w:t>
      </w:r>
      <w:r w:rsidRPr="00F16251">
        <w:rPr>
          <w:rFonts w:eastAsia="Calibri" w:cstheme="minorHAnsi"/>
          <w:kern w:val="0"/>
          <w14:ligatures w14:val="none"/>
        </w:rPr>
        <w:t>wydarzeń</w:t>
      </w:r>
      <w:r w:rsidR="003B50ED" w:rsidRPr="00F16251">
        <w:rPr>
          <w:rFonts w:eastAsia="Calibri" w:cstheme="minorHAnsi"/>
          <w:kern w:val="0"/>
          <w14:ligatures w14:val="none"/>
        </w:rPr>
        <w:t xml:space="preserve"> </w:t>
      </w:r>
      <w:r w:rsidRPr="00F16251">
        <w:rPr>
          <w:rFonts w:eastAsia="Calibri" w:cstheme="minorHAnsi"/>
          <w:kern w:val="0"/>
          <w14:ligatures w14:val="none"/>
        </w:rPr>
        <w:t>o</w:t>
      </w:r>
      <w:r w:rsidR="003B50ED" w:rsidRPr="00F16251">
        <w:rPr>
          <w:rFonts w:eastAsia="Calibri" w:cstheme="minorHAnsi"/>
          <w:kern w:val="0"/>
          <w14:ligatures w14:val="none"/>
        </w:rPr>
        <w:t xml:space="preserve"> </w:t>
      </w:r>
      <w:r w:rsidRPr="00F16251">
        <w:rPr>
          <w:rFonts w:eastAsia="Calibri" w:cstheme="minorHAnsi"/>
          <w:kern w:val="0"/>
          <w14:ligatures w14:val="none"/>
        </w:rPr>
        <w:t>charakterze</w:t>
      </w:r>
      <w:r w:rsidR="003B50ED" w:rsidRPr="00F16251">
        <w:rPr>
          <w:rFonts w:eastAsia="Calibri" w:cstheme="minorHAnsi"/>
          <w:kern w:val="0"/>
          <w14:ligatures w14:val="none"/>
        </w:rPr>
        <w:t xml:space="preserve"> </w:t>
      </w:r>
      <w:r w:rsidRPr="00F16251">
        <w:rPr>
          <w:rFonts w:eastAsia="Calibri" w:cstheme="minorHAnsi"/>
          <w:kern w:val="0"/>
          <w14:ligatures w14:val="none"/>
        </w:rPr>
        <w:t>aktywizującym</w:t>
      </w:r>
      <w:r w:rsidR="003B50ED" w:rsidRPr="00F16251">
        <w:rPr>
          <w:rFonts w:eastAsia="Calibri" w:cstheme="minorHAnsi"/>
          <w:kern w:val="0"/>
          <w14:ligatures w14:val="none"/>
        </w:rPr>
        <w:t xml:space="preserve"> </w:t>
      </w:r>
      <w:r w:rsidRPr="00F16251">
        <w:rPr>
          <w:rFonts w:eastAsia="Calibri" w:cstheme="minorHAnsi"/>
          <w:kern w:val="0"/>
          <w14:ligatures w14:val="none"/>
        </w:rPr>
        <w:t>i</w:t>
      </w:r>
      <w:r w:rsidR="003B50ED" w:rsidRPr="00F16251">
        <w:rPr>
          <w:rFonts w:eastAsia="Calibri" w:cstheme="minorHAnsi"/>
          <w:kern w:val="0"/>
          <w14:ligatures w14:val="none"/>
        </w:rPr>
        <w:t xml:space="preserve"> </w:t>
      </w:r>
      <w:r w:rsidRPr="00F16251">
        <w:rPr>
          <w:rFonts w:eastAsia="Calibri" w:cstheme="minorHAnsi"/>
          <w:kern w:val="0"/>
          <w14:ligatures w14:val="none"/>
        </w:rPr>
        <w:t>integrującym;</w:t>
      </w:r>
    </w:p>
    <w:p w14:paraId="3A49F74F" w14:textId="02B37973" w:rsidR="002C63F4" w:rsidRPr="00F16251" w:rsidRDefault="002C63F4" w:rsidP="008A412F">
      <w:pPr>
        <w:numPr>
          <w:ilvl w:val="0"/>
          <w:numId w:val="44"/>
        </w:numPr>
        <w:spacing w:line="276" w:lineRule="auto"/>
        <w:jc w:val="both"/>
        <w:rPr>
          <w:rFonts w:eastAsia="Calibri" w:cstheme="minorHAnsi"/>
          <w:kern w:val="0"/>
          <w14:ligatures w14:val="none"/>
        </w:rPr>
      </w:pPr>
      <w:r w:rsidRPr="00F16251">
        <w:rPr>
          <w:rFonts w:eastAsia="Calibri" w:cstheme="minorHAnsi"/>
          <w:kern w:val="0"/>
          <w14:ligatures w14:val="none"/>
        </w:rPr>
        <w:t>Potrzeba</w:t>
      </w:r>
      <w:r w:rsidR="003B50ED" w:rsidRPr="00F16251">
        <w:rPr>
          <w:rFonts w:eastAsia="Calibri" w:cstheme="minorHAnsi"/>
          <w:kern w:val="0"/>
          <w14:ligatures w14:val="none"/>
        </w:rPr>
        <w:t xml:space="preserve"> </w:t>
      </w:r>
      <w:r w:rsidR="004002F3" w:rsidRPr="00F16251">
        <w:rPr>
          <w:rFonts w:eastAsia="Calibri" w:cstheme="minorHAnsi"/>
          <w:kern w:val="0"/>
          <w14:ligatures w14:val="none"/>
        </w:rPr>
        <w:t>wsparcia</w:t>
      </w:r>
      <w:r w:rsidR="003B50ED" w:rsidRPr="00F16251">
        <w:rPr>
          <w:rFonts w:eastAsia="Calibri" w:cstheme="minorHAnsi"/>
          <w:kern w:val="0"/>
          <w14:ligatures w14:val="none"/>
        </w:rPr>
        <w:t xml:space="preserve"> </w:t>
      </w:r>
      <w:r w:rsidRPr="00F16251">
        <w:rPr>
          <w:rFonts w:eastAsia="Calibri" w:cstheme="minorHAnsi"/>
          <w:kern w:val="0"/>
          <w14:ligatures w14:val="none"/>
        </w:rPr>
        <w:t>rozwoju</w:t>
      </w:r>
      <w:r w:rsidR="003B50ED" w:rsidRPr="00F16251">
        <w:rPr>
          <w:rFonts w:eastAsia="Calibri" w:cstheme="minorHAnsi"/>
          <w:kern w:val="0"/>
          <w14:ligatures w14:val="none"/>
        </w:rPr>
        <w:t xml:space="preserve"> </w:t>
      </w:r>
      <w:r w:rsidRPr="00F16251">
        <w:rPr>
          <w:rFonts w:eastAsia="Calibri" w:cstheme="minorHAnsi"/>
          <w:kern w:val="0"/>
          <w14:ligatures w14:val="none"/>
        </w:rPr>
        <w:t>przedsiębiorczości.</w:t>
      </w:r>
      <w:r w:rsidR="003B50ED" w:rsidRPr="00F16251">
        <w:rPr>
          <w:rFonts w:eastAsia="Calibri" w:cstheme="minorHAnsi"/>
          <w:kern w:val="0"/>
          <w14:ligatures w14:val="none"/>
        </w:rPr>
        <w:t xml:space="preserve"> </w:t>
      </w:r>
    </w:p>
    <w:p w14:paraId="469BB3D0" w14:textId="4CC3BBD7" w:rsidR="002C63F4" w:rsidRPr="00F16251" w:rsidRDefault="002C63F4" w:rsidP="00C55B6F">
      <w:pPr>
        <w:spacing w:line="276" w:lineRule="auto"/>
        <w:ind w:firstLine="360"/>
        <w:jc w:val="both"/>
        <w:rPr>
          <w:rFonts w:eastAsia="Calibri" w:cstheme="minorHAnsi"/>
          <w:kern w:val="0"/>
          <w14:ligatures w14:val="none"/>
        </w:rPr>
      </w:pPr>
      <w:r w:rsidRPr="00F16251">
        <w:rPr>
          <w:rFonts w:eastAsia="Calibri" w:cstheme="minorHAnsi"/>
          <w:kern w:val="0"/>
          <w14:ligatures w14:val="none"/>
        </w:rPr>
        <w:t>Powyższe</w:t>
      </w:r>
      <w:r w:rsidR="003B50ED" w:rsidRPr="00F16251">
        <w:rPr>
          <w:rFonts w:eastAsia="Calibri" w:cstheme="minorHAnsi"/>
          <w:kern w:val="0"/>
          <w14:ligatures w14:val="none"/>
        </w:rPr>
        <w:t xml:space="preserve"> </w:t>
      </w:r>
      <w:r w:rsidRPr="00F16251">
        <w:rPr>
          <w:rFonts w:eastAsia="Calibri" w:cstheme="minorHAnsi"/>
          <w:kern w:val="0"/>
          <w14:ligatures w14:val="none"/>
        </w:rPr>
        <w:t>problemy</w:t>
      </w:r>
      <w:r w:rsidR="003B50ED" w:rsidRPr="00F16251">
        <w:rPr>
          <w:rFonts w:eastAsia="Calibri" w:cstheme="minorHAnsi"/>
          <w:kern w:val="0"/>
          <w14:ligatures w14:val="none"/>
        </w:rPr>
        <w:t xml:space="preserve"> </w:t>
      </w:r>
      <w:r w:rsidRPr="00F16251">
        <w:rPr>
          <w:rFonts w:eastAsia="Calibri" w:cstheme="minorHAnsi"/>
          <w:kern w:val="0"/>
          <w14:ligatures w14:val="none"/>
        </w:rPr>
        <w:t>były</w:t>
      </w:r>
      <w:r w:rsidR="003B50ED" w:rsidRPr="00F16251">
        <w:rPr>
          <w:rFonts w:eastAsia="Calibri" w:cstheme="minorHAnsi"/>
          <w:kern w:val="0"/>
          <w14:ligatures w14:val="none"/>
        </w:rPr>
        <w:t xml:space="preserve"> </w:t>
      </w:r>
      <w:r w:rsidRPr="00F16251">
        <w:rPr>
          <w:rFonts w:eastAsia="Calibri" w:cstheme="minorHAnsi"/>
          <w:kern w:val="0"/>
          <w14:ligatures w14:val="none"/>
        </w:rPr>
        <w:t>podstawą</w:t>
      </w:r>
      <w:r w:rsidR="003B50ED" w:rsidRPr="00F16251">
        <w:rPr>
          <w:rFonts w:eastAsia="Calibri" w:cstheme="minorHAnsi"/>
          <w:kern w:val="0"/>
          <w14:ligatures w14:val="none"/>
        </w:rPr>
        <w:t xml:space="preserve"> </w:t>
      </w:r>
      <w:r w:rsidRPr="00F16251">
        <w:rPr>
          <w:rFonts w:eastAsia="Calibri" w:cstheme="minorHAnsi"/>
          <w:kern w:val="0"/>
          <w14:ligatures w14:val="none"/>
        </w:rPr>
        <w:t>sformułowania</w:t>
      </w:r>
      <w:r w:rsidR="003B50ED" w:rsidRPr="00F16251">
        <w:rPr>
          <w:rFonts w:eastAsia="Calibri" w:cstheme="minorHAnsi"/>
          <w:kern w:val="0"/>
          <w14:ligatures w14:val="none"/>
        </w:rPr>
        <w:t xml:space="preserve"> </w:t>
      </w:r>
      <w:r w:rsidRPr="00F16251">
        <w:rPr>
          <w:rFonts w:eastAsia="Calibri" w:cstheme="minorHAnsi"/>
          <w:kern w:val="0"/>
          <w14:ligatures w14:val="none"/>
        </w:rPr>
        <w:t>celów</w:t>
      </w:r>
      <w:r w:rsidR="003B50ED" w:rsidRPr="00F16251">
        <w:rPr>
          <w:rFonts w:eastAsia="Calibri" w:cstheme="minorHAnsi"/>
          <w:kern w:val="0"/>
          <w14:ligatures w14:val="none"/>
        </w:rPr>
        <w:t xml:space="preserve"> </w:t>
      </w:r>
      <w:r w:rsidRPr="00F16251">
        <w:rPr>
          <w:rFonts w:eastAsia="Calibri" w:cstheme="minorHAnsi"/>
          <w:kern w:val="0"/>
          <w14:ligatures w14:val="none"/>
        </w:rPr>
        <w:t>i</w:t>
      </w:r>
      <w:r w:rsidR="003B50ED" w:rsidRPr="00F16251">
        <w:rPr>
          <w:rFonts w:eastAsia="Calibri" w:cstheme="minorHAnsi"/>
          <w:kern w:val="0"/>
          <w14:ligatures w14:val="none"/>
        </w:rPr>
        <w:t xml:space="preserve"> </w:t>
      </w:r>
      <w:r w:rsidRPr="00F16251">
        <w:rPr>
          <w:rFonts w:eastAsia="Calibri" w:cstheme="minorHAnsi"/>
          <w:kern w:val="0"/>
          <w14:ligatures w14:val="none"/>
        </w:rPr>
        <w:t>przedsięwzięć</w:t>
      </w:r>
      <w:r w:rsidR="003B50ED" w:rsidRPr="00F16251">
        <w:rPr>
          <w:rFonts w:eastAsia="Calibri" w:cstheme="minorHAnsi"/>
          <w:kern w:val="0"/>
          <w14:ligatures w14:val="none"/>
        </w:rPr>
        <w:t xml:space="preserve"> </w:t>
      </w:r>
      <w:r w:rsidRPr="00F16251">
        <w:rPr>
          <w:rFonts w:eastAsia="Calibri" w:cstheme="minorHAnsi"/>
          <w:kern w:val="0"/>
          <w14:ligatures w14:val="none"/>
        </w:rPr>
        <w:t>LSR,</w:t>
      </w:r>
      <w:r w:rsidR="003B50ED" w:rsidRPr="00F16251">
        <w:rPr>
          <w:rFonts w:eastAsia="Calibri" w:cstheme="minorHAnsi"/>
          <w:kern w:val="0"/>
          <w14:ligatures w14:val="none"/>
        </w:rPr>
        <w:t xml:space="preserve"> </w:t>
      </w:r>
      <w:r w:rsidRPr="00F16251">
        <w:rPr>
          <w:rFonts w:eastAsia="Calibri" w:cstheme="minorHAnsi"/>
          <w:kern w:val="0"/>
          <w14:ligatures w14:val="none"/>
        </w:rPr>
        <w:t>które</w:t>
      </w:r>
      <w:r w:rsidR="003B50ED" w:rsidRPr="00F16251">
        <w:rPr>
          <w:rFonts w:eastAsia="Calibri" w:cstheme="minorHAnsi"/>
          <w:kern w:val="0"/>
          <w14:ligatures w14:val="none"/>
        </w:rPr>
        <w:t xml:space="preserve"> </w:t>
      </w:r>
      <w:r w:rsidRPr="00F16251">
        <w:rPr>
          <w:rFonts w:eastAsia="Calibri" w:cstheme="minorHAnsi"/>
          <w:kern w:val="0"/>
          <w14:ligatures w14:val="none"/>
        </w:rPr>
        <w:t>zostały</w:t>
      </w:r>
      <w:r w:rsidR="003B50ED" w:rsidRPr="00F16251">
        <w:rPr>
          <w:rFonts w:eastAsia="Calibri" w:cstheme="minorHAnsi"/>
          <w:kern w:val="0"/>
          <w14:ligatures w14:val="none"/>
        </w:rPr>
        <w:t xml:space="preserve"> </w:t>
      </w:r>
      <w:r w:rsidRPr="00F16251">
        <w:rPr>
          <w:rFonts w:eastAsia="Calibri" w:cstheme="minorHAnsi"/>
          <w:kern w:val="0"/>
          <w14:ligatures w14:val="none"/>
        </w:rPr>
        <w:t>odzwierciedlone</w:t>
      </w:r>
      <w:r w:rsidR="003B50ED" w:rsidRPr="00F16251">
        <w:rPr>
          <w:rFonts w:eastAsia="Calibri" w:cstheme="minorHAnsi"/>
          <w:kern w:val="0"/>
          <w14:ligatures w14:val="none"/>
        </w:rPr>
        <w:t xml:space="preserve"> </w:t>
      </w:r>
      <w:r w:rsidR="00C55B6F" w:rsidRPr="00F16251">
        <w:rPr>
          <w:rFonts w:eastAsia="Calibri" w:cstheme="minorHAnsi"/>
          <w:kern w:val="0"/>
          <w14:ligatures w14:val="none"/>
        </w:rPr>
        <w:br/>
      </w:r>
      <w:r w:rsidRPr="00F16251">
        <w:rPr>
          <w:rFonts w:eastAsia="Calibri" w:cstheme="minorHAnsi"/>
          <w:kern w:val="0"/>
          <w14:ligatures w14:val="none"/>
        </w:rPr>
        <w:t>w</w:t>
      </w:r>
      <w:r w:rsidR="003B50ED" w:rsidRPr="00F16251">
        <w:rPr>
          <w:rFonts w:eastAsia="Calibri" w:cstheme="minorHAnsi"/>
          <w:kern w:val="0"/>
          <w14:ligatures w14:val="none"/>
        </w:rPr>
        <w:t xml:space="preserve"> </w:t>
      </w:r>
      <w:r w:rsidRPr="00F16251">
        <w:rPr>
          <w:rFonts w:eastAsia="Calibri" w:cstheme="minorHAnsi"/>
          <w:kern w:val="0"/>
          <w14:ligatures w14:val="none"/>
        </w:rPr>
        <w:t>Załączniku</w:t>
      </w:r>
      <w:r w:rsidR="003B50ED" w:rsidRPr="00F16251">
        <w:rPr>
          <w:rFonts w:eastAsia="Calibri" w:cstheme="minorHAnsi"/>
          <w:kern w:val="0"/>
          <w14:ligatures w14:val="none"/>
        </w:rPr>
        <w:t xml:space="preserve"> </w:t>
      </w:r>
      <w:r w:rsidRPr="00F16251">
        <w:rPr>
          <w:rFonts w:eastAsia="Calibri" w:cstheme="minorHAnsi"/>
          <w:kern w:val="0"/>
          <w14:ligatures w14:val="none"/>
        </w:rPr>
        <w:t>do</w:t>
      </w:r>
      <w:r w:rsidR="003B50ED" w:rsidRPr="00F16251">
        <w:rPr>
          <w:rFonts w:eastAsia="Calibri" w:cstheme="minorHAnsi"/>
          <w:kern w:val="0"/>
          <w14:ligatures w14:val="none"/>
        </w:rPr>
        <w:t xml:space="preserve"> </w:t>
      </w:r>
      <w:r w:rsidRPr="00F16251">
        <w:rPr>
          <w:rFonts w:eastAsia="Calibri" w:cstheme="minorHAnsi"/>
          <w:kern w:val="0"/>
          <w14:ligatures w14:val="none"/>
        </w:rPr>
        <w:t>LSR</w:t>
      </w:r>
      <w:r w:rsidR="003B50ED" w:rsidRPr="00F16251">
        <w:rPr>
          <w:rFonts w:eastAsia="Calibri" w:cstheme="minorHAnsi"/>
          <w:kern w:val="0"/>
          <w14:ligatures w14:val="none"/>
        </w:rPr>
        <w:t xml:space="preserve"> </w:t>
      </w:r>
      <w:r w:rsidRPr="00F16251">
        <w:rPr>
          <w:rFonts w:eastAsia="Calibri" w:cstheme="minorHAnsi"/>
          <w:kern w:val="0"/>
          <w14:ligatures w14:val="none"/>
        </w:rPr>
        <w:t>pn.</w:t>
      </w:r>
      <w:r w:rsidR="003B50ED" w:rsidRPr="00F16251">
        <w:rPr>
          <w:rFonts w:eastAsia="Calibri" w:cstheme="minorHAnsi"/>
          <w:kern w:val="0"/>
          <w14:ligatures w14:val="none"/>
        </w:rPr>
        <w:t xml:space="preserve"> </w:t>
      </w:r>
      <w:r w:rsidRPr="00F16251">
        <w:rPr>
          <w:rFonts w:eastAsia="Calibri" w:cstheme="minorHAnsi"/>
          <w:kern w:val="0"/>
          <w14:ligatures w14:val="none"/>
        </w:rPr>
        <w:t>Formularz</w:t>
      </w:r>
      <w:r w:rsidR="003B50ED" w:rsidRPr="00F16251">
        <w:rPr>
          <w:rFonts w:eastAsia="Calibri" w:cstheme="minorHAnsi"/>
          <w:kern w:val="0"/>
          <w14:ligatures w14:val="none"/>
        </w:rPr>
        <w:t xml:space="preserve"> </w:t>
      </w:r>
      <w:r w:rsidRPr="00F16251">
        <w:rPr>
          <w:rFonts w:eastAsia="Calibri" w:cstheme="minorHAnsi"/>
          <w:kern w:val="0"/>
          <w14:ligatures w14:val="none"/>
        </w:rPr>
        <w:t>1.</w:t>
      </w:r>
      <w:r w:rsidR="003B50ED" w:rsidRPr="00F16251">
        <w:rPr>
          <w:rFonts w:eastAsia="Calibri" w:cstheme="minorHAnsi"/>
          <w:kern w:val="0"/>
          <w14:ligatures w14:val="none"/>
        </w:rPr>
        <w:t xml:space="preserve"> </w:t>
      </w:r>
      <w:r w:rsidRPr="00F16251">
        <w:rPr>
          <w:rFonts w:eastAsia="Calibri" w:cstheme="minorHAnsi"/>
          <w:kern w:val="0"/>
          <w14:ligatures w14:val="none"/>
        </w:rPr>
        <w:t>Cele</w:t>
      </w:r>
      <w:r w:rsidR="003B50ED" w:rsidRPr="00F16251">
        <w:rPr>
          <w:rFonts w:eastAsia="Calibri" w:cstheme="minorHAnsi"/>
          <w:kern w:val="0"/>
          <w14:ligatures w14:val="none"/>
        </w:rPr>
        <w:t xml:space="preserve"> </w:t>
      </w:r>
      <w:r w:rsidRPr="00F16251">
        <w:rPr>
          <w:rFonts w:eastAsia="Calibri" w:cstheme="minorHAnsi"/>
          <w:kern w:val="0"/>
          <w14:ligatures w14:val="none"/>
        </w:rPr>
        <w:t>i</w:t>
      </w:r>
      <w:r w:rsidR="003B50ED" w:rsidRPr="00F16251">
        <w:rPr>
          <w:rFonts w:eastAsia="Calibri" w:cstheme="minorHAnsi"/>
          <w:kern w:val="0"/>
          <w14:ligatures w14:val="none"/>
        </w:rPr>
        <w:t xml:space="preserve"> </w:t>
      </w:r>
      <w:r w:rsidRPr="00F16251">
        <w:rPr>
          <w:rFonts w:eastAsia="Calibri" w:cstheme="minorHAnsi"/>
          <w:kern w:val="0"/>
          <w14:ligatures w14:val="none"/>
        </w:rPr>
        <w:t>przedsięwzięcia.</w:t>
      </w:r>
    </w:p>
    <w:p w14:paraId="04C31F83" w14:textId="4FB159C6" w:rsidR="00C55B6F" w:rsidRPr="00F16251" w:rsidRDefault="002C63F4" w:rsidP="00C55B6F">
      <w:pPr>
        <w:spacing w:line="276" w:lineRule="auto"/>
        <w:ind w:firstLine="360"/>
        <w:jc w:val="both"/>
        <w:rPr>
          <w:rFonts w:eastAsia="Calibri" w:cstheme="minorHAnsi"/>
          <w:kern w:val="0"/>
          <w14:ligatures w14:val="none"/>
        </w:rPr>
      </w:pPr>
      <w:r w:rsidRPr="00F16251">
        <w:rPr>
          <w:rFonts w:eastAsia="Calibri" w:cstheme="minorHAnsi"/>
          <w:kern w:val="0"/>
          <w14:ligatures w14:val="none"/>
        </w:rPr>
        <w:t>Na</w:t>
      </w:r>
      <w:r w:rsidR="003B50ED" w:rsidRPr="00F16251">
        <w:rPr>
          <w:rFonts w:eastAsia="Calibri" w:cstheme="minorHAnsi"/>
          <w:kern w:val="0"/>
          <w14:ligatures w14:val="none"/>
        </w:rPr>
        <w:t xml:space="preserve"> </w:t>
      </w:r>
      <w:r w:rsidRPr="00F16251">
        <w:rPr>
          <w:rFonts w:eastAsia="Calibri" w:cstheme="minorHAnsi"/>
          <w:kern w:val="0"/>
          <w14:ligatures w14:val="none"/>
        </w:rPr>
        <w:t>podstawie</w:t>
      </w:r>
      <w:r w:rsidR="003B50ED" w:rsidRPr="00F16251">
        <w:rPr>
          <w:rFonts w:eastAsia="Calibri" w:cstheme="minorHAnsi"/>
          <w:kern w:val="0"/>
          <w14:ligatures w14:val="none"/>
        </w:rPr>
        <w:t xml:space="preserve"> </w:t>
      </w:r>
      <w:r w:rsidRPr="00F16251">
        <w:rPr>
          <w:rFonts w:eastAsia="Calibri" w:cstheme="minorHAnsi"/>
          <w:kern w:val="0"/>
          <w14:ligatures w14:val="none"/>
        </w:rPr>
        <w:t>zidentyfikowanych</w:t>
      </w:r>
      <w:r w:rsidR="003B50ED" w:rsidRPr="00F16251">
        <w:rPr>
          <w:rFonts w:eastAsia="Calibri" w:cstheme="minorHAnsi"/>
          <w:kern w:val="0"/>
          <w14:ligatures w14:val="none"/>
        </w:rPr>
        <w:t xml:space="preserve"> </w:t>
      </w:r>
      <w:r w:rsidRPr="00F16251">
        <w:rPr>
          <w:rFonts w:eastAsia="Calibri" w:cstheme="minorHAnsi"/>
          <w:kern w:val="0"/>
          <w14:ligatures w14:val="none"/>
        </w:rPr>
        <w:t>kwestii</w:t>
      </w:r>
      <w:r w:rsidR="003B50ED" w:rsidRPr="00F16251">
        <w:rPr>
          <w:rFonts w:eastAsia="Calibri" w:cstheme="minorHAnsi"/>
          <w:kern w:val="0"/>
          <w14:ligatures w14:val="none"/>
        </w:rPr>
        <w:t xml:space="preserve"> </w:t>
      </w:r>
      <w:r w:rsidRPr="00F16251">
        <w:rPr>
          <w:rFonts w:eastAsia="Calibri" w:cstheme="minorHAnsi"/>
          <w:kern w:val="0"/>
          <w14:ligatures w14:val="none"/>
        </w:rPr>
        <w:t>problemowych,</w:t>
      </w:r>
      <w:r w:rsidR="003B50ED" w:rsidRPr="00F16251">
        <w:rPr>
          <w:rFonts w:eastAsia="Calibri" w:cstheme="minorHAnsi"/>
          <w:kern w:val="0"/>
          <w14:ligatures w14:val="none"/>
        </w:rPr>
        <w:t xml:space="preserve"> </w:t>
      </w:r>
      <w:r w:rsidRPr="00F16251">
        <w:rPr>
          <w:rFonts w:eastAsia="Calibri" w:cstheme="minorHAnsi"/>
          <w:kern w:val="0"/>
          <w14:ligatures w14:val="none"/>
        </w:rPr>
        <w:t>po</w:t>
      </w:r>
      <w:r w:rsidR="003B50ED" w:rsidRPr="00F16251">
        <w:rPr>
          <w:rFonts w:eastAsia="Calibri" w:cstheme="minorHAnsi"/>
          <w:kern w:val="0"/>
          <w14:ligatures w14:val="none"/>
        </w:rPr>
        <w:t xml:space="preserve"> </w:t>
      </w:r>
      <w:r w:rsidRPr="00F16251">
        <w:rPr>
          <w:rFonts w:eastAsia="Calibri" w:cstheme="minorHAnsi"/>
          <w:kern w:val="0"/>
          <w14:ligatures w14:val="none"/>
        </w:rPr>
        <w:t>weryfikacji</w:t>
      </w:r>
      <w:r w:rsidR="003B50ED" w:rsidRPr="00F16251">
        <w:rPr>
          <w:rFonts w:eastAsia="Calibri" w:cstheme="minorHAnsi"/>
          <w:kern w:val="0"/>
          <w14:ligatures w14:val="none"/>
        </w:rPr>
        <w:t xml:space="preserve"> </w:t>
      </w:r>
      <w:r w:rsidRPr="00F16251">
        <w:rPr>
          <w:rFonts w:eastAsia="Calibri" w:cstheme="minorHAnsi"/>
          <w:kern w:val="0"/>
          <w14:ligatures w14:val="none"/>
        </w:rPr>
        <w:t>mocnych</w:t>
      </w:r>
      <w:r w:rsidR="003B50ED" w:rsidRPr="00F16251">
        <w:rPr>
          <w:rFonts w:eastAsia="Calibri" w:cstheme="minorHAnsi"/>
          <w:kern w:val="0"/>
          <w14:ligatures w14:val="none"/>
        </w:rPr>
        <w:t xml:space="preserve"> </w:t>
      </w:r>
      <w:r w:rsidRPr="00F16251">
        <w:rPr>
          <w:rFonts w:eastAsia="Calibri" w:cstheme="minorHAnsi"/>
          <w:kern w:val="0"/>
          <w14:ligatures w14:val="none"/>
        </w:rPr>
        <w:t>i</w:t>
      </w:r>
      <w:r w:rsidR="003B50ED" w:rsidRPr="00F16251">
        <w:rPr>
          <w:rFonts w:eastAsia="Calibri" w:cstheme="minorHAnsi"/>
          <w:kern w:val="0"/>
          <w14:ligatures w14:val="none"/>
        </w:rPr>
        <w:t xml:space="preserve"> </w:t>
      </w:r>
      <w:r w:rsidRPr="00F16251">
        <w:rPr>
          <w:rFonts w:eastAsia="Calibri" w:cstheme="minorHAnsi"/>
          <w:kern w:val="0"/>
          <w14:ligatures w14:val="none"/>
        </w:rPr>
        <w:t>słabych</w:t>
      </w:r>
      <w:r w:rsidR="003B50ED" w:rsidRPr="00F16251">
        <w:rPr>
          <w:rFonts w:eastAsia="Calibri" w:cstheme="minorHAnsi"/>
          <w:kern w:val="0"/>
          <w14:ligatures w14:val="none"/>
        </w:rPr>
        <w:t xml:space="preserve"> </w:t>
      </w:r>
      <w:r w:rsidRPr="00F16251">
        <w:rPr>
          <w:rFonts w:eastAsia="Calibri" w:cstheme="minorHAnsi"/>
          <w:kern w:val="0"/>
          <w14:ligatures w14:val="none"/>
        </w:rPr>
        <w:t>stron</w:t>
      </w:r>
      <w:r w:rsidR="003B50ED" w:rsidRPr="00F16251">
        <w:rPr>
          <w:rFonts w:eastAsia="Calibri" w:cstheme="minorHAnsi"/>
          <w:kern w:val="0"/>
          <w14:ligatures w14:val="none"/>
        </w:rPr>
        <w:t xml:space="preserve"> </w:t>
      </w:r>
      <w:r w:rsidRPr="00F16251">
        <w:rPr>
          <w:rFonts w:eastAsia="Calibri" w:cstheme="minorHAnsi"/>
          <w:kern w:val="0"/>
          <w14:ligatures w14:val="none"/>
        </w:rPr>
        <w:t>oraz</w:t>
      </w:r>
      <w:r w:rsidR="003B50ED" w:rsidRPr="00F16251">
        <w:rPr>
          <w:rFonts w:eastAsia="Calibri" w:cstheme="minorHAnsi"/>
          <w:kern w:val="0"/>
          <w14:ligatures w14:val="none"/>
        </w:rPr>
        <w:t xml:space="preserve"> </w:t>
      </w:r>
      <w:r w:rsidRPr="00F16251">
        <w:rPr>
          <w:rFonts w:eastAsia="Calibri" w:cstheme="minorHAnsi"/>
          <w:kern w:val="0"/>
          <w14:ligatures w14:val="none"/>
        </w:rPr>
        <w:t>szans</w:t>
      </w:r>
      <w:r w:rsidR="003B50ED" w:rsidRPr="00F16251">
        <w:rPr>
          <w:rFonts w:eastAsia="Calibri" w:cstheme="minorHAnsi"/>
          <w:kern w:val="0"/>
          <w14:ligatures w14:val="none"/>
        </w:rPr>
        <w:t xml:space="preserve"> </w:t>
      </w:r>
      <w:r w:rsidR="00C55B6F" w:rsidRPr="00F16251">
        <w:rPr>
          <w:rFonts w:eastAsia="Calibri" w:cstheme="minorHAnsi"/>
          <w:kern w:val="0"/>
          <w14:ligatures w14:val="none"/>
        </w:rPr>
        <w:br/>
      </w:r>
      <w:r w:rsidRPr="00F16251">
        <w:rPr>
          <w:rFonts w:eastAsia="Calibri" w:cstheme="minorHAnsi"/>
          <w:kern w:val="0"/>
          <w14:ligatures w14:val="none"/>
        </w:rPr>
        <w:t>i</w:t>
      </w:r>
      <w:r w:rsidR="003B50ED" w:rsidRPr="00F16251">
        <w:rPr>
          <w:rFonts w:eastAsia="Calibri" w:cstheme="minorHAnsi"/>
          <w:kern w:val="0"/>
          <w14:ligatures w14:val="none"/>
        </w:rPr>
        <w:t xml:space="preserve"> </w:t>
      </w:r>
      <w:r w:rsidRPr="00F16251">
        <w:rPr>
          <w:rFonts w:eastAsia="Calibri" w:cstheme="minorHAnsi"/>
          <w:kern w:val="0"/>
          <w14:ligatures w14:val="none"/>
        </w:rPr>
        <w:t>zagrożeń,</w:t>
      </w:r>
      <w:r w:rsidR="003B50ED" w:rsidRPr="00F16251">
        <w:rPr>
          <w:rFonts w:eastAsia="Calibri" w:cstheme="minorHAnsi"/>
          <w:kern w:val="0"/>
          <w14:ligatures w14:val="none"/>
        </w:rPr>
        <w:t xml:space="preserve"> </w:t>
      </w:r>
      <w:r w:rsidRPr="00F16251">
        <w:rPr>
          <w:rFonts w:eastAsia="Calibri" w:cstheme="minorHAnsi"/>
          <w:kern w:val="0"/>
          <w14:ligatures w14:val="none"/>
        </w:rPr>
        <w:t>zostały</w:t>
      </w:r>
      <w:r w:rsidR="003B50ED" w:rsidRPr="00F16251">
        <w:rPr>
          <w:rFonts w:eastAsia="Calibri" w:cstheme="minorHAnsi"/>
          <w:kern w:val="0"/>
          <w14:ligatures w14:val="none"/>
        </w:rPr>
        <w:t xml:space="preserve"> </w:t>
      </w:r>
      <w:r w:rsidRPr="00F16251">
        <w:rPr>
          <w:rFonts w:eastAsia="Calibri" w:cstheme="minorHAnsi"/>
          <w:kern w:val="0"/>
          <w14:ligatures w14:val="none"/>
        </w:rPr>
        <w:t>wyznaczone</w:t>
      </w:r>
      <w:r w:rsidR="003B50ED" w:rsidRPr="00F16251">
        <w:rPr>
          <w:rFonts w:eastAsia="Calibri" w:cstheme="minorHAnsi"/>
          <w:kern w:val="0"/>
          <w14:ligatures w14:val="none"/>
        </w:rPr>
        <w:t xml:space="preserve"> </w:t>
      </w:r>
      <w:r w:rsidRPr="00F16251">
        <w:rPr>
          <w:rFonts w:eastAsia="Calibri" w:cstheme="minorHAnsi"/>
          <w:kern w:val="0"/>
          <w14:ligatures w14:val="none"/>
        </w:rPr>
        <w:t>dwa</w:t>
      </w:r>
      <w:r w:rsidR="003B50ED" w:rsidRPr="00F16251">
        <w:rPr>
          <w:rFonts w:eastAsia="Calibri" w:cstheme="minorHAnsi"/>
          <w:kern w:val="0"/>
          <w14:ligatures w14:val="none"/>
        </w:rPr>
        <w:t xml:space="preserve"> </w:t>
      </w:r>
      <w:r w:rsidRPr="00F16251">
        <w:rPr>
          <w:rFonts w:eastAsia="Calibri" w:cstheme="minorHAnsi"/>
          <w:kern w:val="0"/>
          <w14:ligatures w14:val="none"/>
        </w:rPr>
        <w:t>cele,</w:t>
      </w:r>
      <w:r w:rsidR="003B50ED" w:rsidRPr="00F16251">
        <w:rPr>
          <w:rFonts w:eastAsia="Calibri" w:cstheme="minorHAnsi"/>
          <w:kern w:val="0"/>
          <w14:ligatures w14:val="none"/>
        </w:rPr>
        <w:t xml:space="preserve"> </w:t>
      </w:r>
      <w:r w:rsidRPr="00F16251">
        <w:rPr>
          <w:rFonts w:eastAsia="Calibri" w:cstheme="minorHAnsi"/>
          <w:kern w:val="0"/>
          <w14:ligatures w14:val="none"/>
        </w:rPr>
        <w:t>w</w:t>
      </w:r>
      <w:r w:rsidR="003B50ED" w:rsidRPr="00F16251">
        <w:rPr>
          <w:rFonts w:eastAsia="Calibri" w:cstheme="minorHAnsi"/>
          <w:kern w:val="0"/>
          <w14:ligatures w14:val="none"/>
        </w:rPr>
        <w:t xml:space="preserve"> </w:t>
      </w:r>
      <w:r w:rsidRPr="00F16251">
        <w:rPr>
          <w:rFonts w:eastAsia="Calibri" w:cstheme="minorHAnsi"/>
          <w:kern w:val="0"/>
          <w14:ligatures w14:val="none"/>
        </w:rPr>
        <w:t>ramach</w:t>
      </w:r>
      <w:r w:rsidR="003B50ED" w:rsidRPr="00F16251">
        <w:rPr>
          <w:rFonts w:eastAsia="Calibri" w:cstheme="minorHAnsi"/>
          <w:kern w:val="0"/>
          <w14:ligatures w14:val="none"/>
        </w:rPr>
        <w:t xml:space="preserve"> </w:t>
      </w:r>
      <w:r w:rsidRPr="00F16251">
        <w:rPr>
          <w:rFonts w:eastAsia="Calibri" w:cstheme="minorHAnsi"/>
          <w:kern w:val="0"/>
          <w14:ligatures w14:val="none"/>
        </w:rPr>
        <w:t>których</w:t>
      </w:r>
      <w:r w:rsidR="003B50ED" w:rsidRPr="00F16251">
        <w:rPr>
          <w:rFonts w:eastAsia="Calibri" w:cstheme="minorHAnsi"/>
          <w:kern w:val="0"/>
          <w14:ligatures w14:val="none"/>
        </w:rPr>
        <w:t xml:space="preserve"> </w:t>
      </w:r>
      <w:r w:rsidRPr="00F16251">
        <w:rPr>
          <w:rFonts w:eastAsia="Calibri" w:cstheme="minorHAnsi"/>
          <w:kern w:val="0"/>
          <w14:ligatures w14:val="none"/>
        </w:rPr>
        <w:t>zaproponowano</w:t>
      </w:r>
      <w:r w:rsidR="003B50ED" w:rsidRPr="00F16251">
        <w:rPr>
          <w:rFonts w:eastAsia="Calibri" w:cstheme="minorHAnsi"/>
          <w:kern w:val="0"/>
          <w14:ligatures w14:val="none"/>
        </w:rPr>
        <w:t xml:space="preserve"> </w:t>
      </w:r>
      <w:r w:rsidRPr="00F16251">
        <w:rPr>
          <w:rFonts w:eastAsia="Calibri" w:cstheme="minorHAnsi"/>
          <w:kern w:val="0"/>
          <w14:ligatures w14:val="none"/>
        </w:rPr>
        <w:t>realizację</w:t>
      </w:r>
      <w:r w:rsidR="003B50ED" w:rsidRPr="00F16251">
        <w:rPr>
          <w:rFonts w:eastAsia="Calibri" w:cstheme="minorHAnsi"/>
          <w:kern w:val="0"/>
          <w14:ligatures w14:val="none"/>
        </w:rPr>
        <w:t xml:space="preserve"> </w:t>
      </w:r>
      <w:r w:rsidRPr="00F16251">
        <w:rPr>
          <w:rFonts w:eastAsia="Calibri" w:cstheme="minorHAnsi"/>
          <w:kern w:val="0"/>
          <w14:ligatures w14:val="none"/>
        </w:rPr>
        <w:t>konkretnych</w:t>
      </w:r>
      <w:r w:rsidR="003B50ED" w:rsidRPr="00F16251">
        <w:rPr>
          <w:rFonts w:eastAsia="Calibri" w:cstheme="minorHAnsi"/>
          <w:kern w:val="0"/>
          <w14:ligatures w14:val="none"/>
        </w:rPr>
        <w:t xml:space="preserve"> </w:t>
      </w:r>
      <w:r w:rsidRPr="00F16251">
        <w:rPr>
          <w:rFonts w:eastAsia="Calibri" w:cstheme="minorHAnsi"/>
          <w:kern w:val="0"/>
          <w14:ligatures w14:val="none"/>
        </w:rPr>
        <w:t>przedsięwzięć.</w:t>
      </w:r>
      <w:r w:rsidR="00C55B6F" w:rsidRPr="00F16251">
        <w:rPr>
          <w:rFonts w:eastAsia="Calibri" w:cstheme="minorHAnsi"/>
          <w:kern w:val="0"/>
          <w14:ligatures w14:val="none"/>
        </w:rPr>
        <w:t xml:space="preserve"> </w:t>
      </w:r>
      <w:r w:rsidRPr="00F16251">
        <w:rPr>
          <w:rFonts w:eastAsia="Calibri" w:cstheme="minorHAnsi"/>
          <w:kern w:val="0"/>
          <w14:ligatures w14:val="none"/>
        </w:rPr>
        <w:t>Ich</w:t>
      </w:r>
      <w:r w:rsidR="003B50ED" w:rsidRPr="00F16251">
        <w:rPr>
          <w:rFonts w:eastAsia="Calibri" w:cstheme="minorHAnsi"/>
          <w:kern w:val="0"/>
          <w14:ligatures w14:val="none"/>
        </w:rPr>
        <w:t xml:space="preserve"> </w:t>
      </w:r>
      <w:r w:rsidRPr="00F16251">
        <w:rPr>
          <w:rFonts w:eastAsia="Calibri" w:cstheme="minorHAnsi"/>
          <w:kern w:val="0"/>
          <w14:ligatures w14:val="none"/>
        </w:rPr>
        <w:t>kierunkiem</w:t>
      </w:r>
      <w:r w:rsidR="003B50ED" w:rsidRPr="00F16251">
        <w:rPr>
          <w:rFonts w:eastAsia="Calibri" w:cstheme="minorHAnsi"/>
          <w:kern w:val="0"/>
          <w14:ligatures w14:val="none"/>
        </w:rPr>
        <w:t xml:space="preserve"> </w:t>
      </w:r>
      <w:r w:rsidRPr="00F16251">
        <w:rPr>
          <w:rFonts w:eastAsia="Calibri" w:cstheme="minorHAnsi"/>
          <w:kern w:val="0"/>
          <w14:ligatures w14:val="none"/>
        </w:rPr>
        <w:t>jest</w:t>
      </w:r>
      <w:r w:rsidR="003B50ED" w:rsidRPr="00F16251">
        <w:rPr>
          <w:rFonts w:eastAsia="Calibri" w:cstheme="minorHAnsi"/>
          <w:kern w:val="0"/>
          <w14:ligatures w14:val="none"/>
        </w:rPr>
        <w:t xml:space="preserve"> </w:t>
      </w:r>
      <w:r w:rsidRPr="00F16251">
        <w:rPr>
          <w:rFonts w:eastAsia="Calibri" w:cstheme="minorHAnsi"/>
          <w:kern w:val="0"/>
          <w14:ligatures w14:val="none"/>
        </w:rPr>
        <w:t>zrównoważony</w:t>
      </w:r>
      <w:r w:rsidR="003B50ED" w:rsidRPr="00F16251">
        <w:rPr>
          <w:rFonts w:eastAsia="Calibri" w:cstheme="minorHAnsi"/>
          <w:kern w:val="0"/>
          <w14:ligatures w14:val="none"/>
        </w:rPr>
        <w:t xml:space="preserve"> </w:t>
      </w:r>
      <w:r w:rsidRPr="00F16251">
        <w:rPr>
          <w:rFonts w:eastAsia="Calibri" w:cstheme="minorHAnsi"/>
          <w:kern w:val="0"/>
          <w14:ligatures w14:val="none"/>
        </w:rPr>
        <w:t>rozwój</w:t>
      </w:r>
      <w:r w:rsidR="003B50ED" w:rsidRPr="00F16251">
        <w:rPr>
          <w:rFonts w:eastAsia="Calibri" w:cstheme="minorHAnsi"/>
          <w:kern w:val="0"/>
          <w14:ligatures w14:val="none"/>
        </w:rPr>
        <w:t xml:space="preserve"> </w:t>
      </w:r>
      <w:r w:rsidRPr="00F16251">
        <w:rPr>
          <w:rFonts w:eastAsia="Calibri" w:cstheme="minorHAnsi"/>
          <w:kern w:val="0"/>
          <w14:ligatures w14:val="none"/>
        </w:rPr>
        <w:t>obszaru</w:t>
      </w:r>
      <w:r w:rsidR="003B50ED" w:rsidRPr="00F16251">
        <w:rPr>
          <w:rFonts w:eastAsia="Calibri" w:cstheme="minorHAnsi"/>
          <w:kern w:val="0"/>
          <w14:ligatures w14:val="none"/>
        </w:rPr>
        <w:t xml:space="preserve"> </w:t>
      </w:r>
      <w:r w:rsidRPr="00F16251">
        <w:rPr>
          <w:rFonts w:eastAsia="Calibri" w:cstheme="minorHAnsi"/>
          <w:kern w:val="0"/>
          <w14:ligatures w14:val="none"/>
        </w:rPr>
        <w:t>LSR,</w:t>
      </w:r>
      <w:r w:rsidR="003B50ED" w:rsidRPr="00F16251">
        <w:rPr>
          <w:rFonts w:eastAsia="Calibri" w:cstheme="minorHAnsi"/>
          <w:kern w:val="0"/>
          <w14:ligatures w14:val="none"/>
        </w:rPr>
        <w:t xml:space="preserve"> </w:t>
      </w:r>
      <w:r w:rsidRPr="00F16251">
        <w:rPr>
          <w:rFonts w:eastAsia="Calibri" w:cstheme="minorHAnsi"/>
          <w:kern w:val="0"/>
          <w14:ligatures w14:val="none"/>
        </w:rPr>
        <w:t>wyrównywanie</w:t>
      </w:r>
      <w:r w:rsidR="003B50ED" w:rsidRPr="00F16251">
        <w:rPr>
          <w:rFonts w:eastAsia="Calibri" w:cstheme="minorHAnsi"/>
          <w:kern w:val="0"/>
          <w14:ligatures w14:val="none"/>
        </w:rPr>
        <w:t xml:space="preserve"> </w:t>
      </w:r>
      <w:r w:rsidRPr="00F16251">
        <w:rPr>
          <w:rFonts w:eastAsia="Calibri" w:cstheme="minorHAnsi"/>
          <w:kern w:val="0"/>
          <w14:ligatures w14:val="none"/>
        </w:rPr>
        <w:t>szans,</w:t>
      </w:r>
      <w:r w:rsidR="003B50ED" w:rsidRPr="00F16251">
        <w:rPr>
          <w:rFonts w:eastAsia="Calibri" w:cstheme="minorHAnsi"/>
          <w:kern w:val="0"/>
          <w14:ligatures w14:val="none"/>
        </w:rPr>
        <w:t xml:space="preserve"> </w:t>
      </w:r>
      <w:r w:rsidRPr="00F16251">
        <w:rPr>
          <w:rFonts w:eastAsia="Calibri" w:cstheme="minorHAnsi"/>
          <w:kern w:val="0"/>
          <w14:ligatures w14:val="none"/>
        </w:rPr>
        <w:t>wykorzystanie</w:t>
      </w:r>
      <w:r w:rsidR="003B50ED" w:rsidRPr="00F16251">
        <w:rPr>
          <w:rFonts w:eastAsia="Calibri" w:cstheme="minorHAnsi"/>
          <w:kern w:val="0"/>
          <w14:ligatures w14:val="none"/>
        </w:rPr>
        <w:t xml:space="preserve"> </w:t>
      </w:r>
      <w:r w:rsidRPr="00F16251">
        <w:rPr>
          <w:rFonts w:eastAsia="Calibri" w:cstheme="minorHAnsi"/>
          <w:kern w:val="0"/>
          <w14:ligatures w14:val="none"/>
        </w:rPr>
        <w:t>potencjału</w:t>
      </w:r>
      <w:r w:rsidR="003B50ED" w:rsidRPr="00F16251">
        <w:rPr>
          <w:rFonts w:eastAsia="Calibri" w:cstheme="minorHAnsi"/>
          <w:kern w:val="0"/>
          <w14:ligatures w14:val="none"/>
        </w:rPr>
        <w:t xml:space="preserve"> </w:t>
      </w:r>
      <w:r w:rsidRPr="00F16251">
        <w:rPr>
          <w:rFonts w:eastAsia="Calibri" w:cstheme="minorHAnsi"/>
          <w:kern w:val="0"/>
          <w14:ligatures w14:val="none"/>
        </w:rPr>
        <w:t>oraz</w:t>
      </w:r>
      <w:r w:rsidR="003B50ED" w:rsidRPr="00F16251">
        <w:rPr>
          <w:rFonts w:eastAsia="Calibri" w:cstheme="minorHAnsi"/>
          <w:kern w:val="0"/>
          <w14:ligatures w14:val="none"/>
        </w:rPr>
        <w:t xml:space="preserve"> </w:t>
      </w:r>
      <w:r w:rsidRPr="00F16251">
        <w:rPr>
          <w:rFonts w:eastAsia="Calibri" w:cstheme="minorHAnsi"/>
          <w:kern w:val="0"/>
          <w14:ligatures w14:val="none"/>
        </w:rPr>
        <w:t>niwelowanie</w:t>
      </w:r>
      <w:r w:rsidR="003B50ED" w:rsidRPr="00F16251">
        <w:rPr>
          <w:rFonts w:eastAsia="Calibri" w:cstheme="minorHAnsi"/>
          <w:kern w:val="0"/>
          <w14:ligatures w14:val="none"/>
        </w:rPr>
        <w:t xml:space="preserve"> </w:t>
      </w:r>
      <w:r w:rsidRPr="00F16251">
        <w:rPr>
          <w:rFonts w:eastAsia="Calibri" w:cstheme="minorHAnsi"/>
          <w:kern w:val="0"/>
          <w14:ligatures w14:val="none"/>
        </w:rPr>
        <w:t>negatywnych</w:t>
      </w:r>
      <w:r w:rsidR="003B50ED" w:rsidRPr="00F16251">
        <w:rPr>
          <w:rFonts w:eastAsia="Calibri" w:cstheme="minorHAnsi"/>
          <w:kern w:val="0"/>
          <w14:ligatures w14:val="none"/>
        </w:rPr>
        <w:t xml:space="preserve"> </w:t>
      </w:r>
      <w:r w:rsidRPr="00F16251">
        <w:rPr>
          <w:rFonts w:eastAsia="Calibri" w:cstheme="minorHAnsi"/>
          <w:kern w:val="0"/>
          <w14:ligatures w14:val="none"/>
        </w:rPr>
        <w:t>zjawisk</w:t>
      </w:r>
      <w:r w:rsidR="003B50ED" w:rsidRPr="00F16251">
        <w:rPr>
          <w:rFonts w:eastAsia="Calibri" w:cstheme="minorHAnsi"/>
          <w:kern w:val="0"/>
          <w14:ligatures w14:val="none"/>
        </w:rPr>
        <w:t xml:space="preserve"> </w:t>
      </w:r>
      <w:r w:rsidRPr="00F16251">
        <w:rPr>
          <w:rFonts w:eastAsia="Calibri" w:cstheme="minorHAnsi"/>
          <w:kern w:val="0"/>
          <w14:ligatures w14:val="none"/>
        </w:rPr>
        <w:t>demograficznych.</w:t>
      </w:r>
      <w:r w:rsidR="003B50ED" w:rsidRPr="00F16251">
        <w:rPr>
          <w:rFonts w:eastAsia="Calibri" w:cstheme="minorHAnsi"/>
          <w:kern w:val="0"/>
          <w14:ligatures w14:val="none"/>
        </w:rPr>
        <w:t xml:space="preserve"> </w:t>
      </w:r>
      <w:r w:rsidRPr="00F16251">
        <w:rPr>
          <w:rFonts w:eastAsia="Calibri" w:cstheme="minorHAnsi"/>
          <w:kern w:val="0"/>
          <w14:ligatures w14:val="none"/>
        </w:rPr>
        <w:t>Założone</w:t>
      </w:r>
      <w:r w:rsidR="003B50ED" w:rsidRPr="00F16251">
        <w:rPr>
          <w:rFonts w:eastAsia="Calibri" w:cstheme="minorHAnsi"/>
          <w:kern w:val="0"/>
          <w14:ligatures w14:val="none"/>
        </w:rPr>
        <w:t xml:space="preserve"> </w:t>
      </w:r>
      <w:r w:rsidRPr="00F16251">
        <w:rPr>
          <w:rFonts w:eastAsia="Calibri" w:cstheme="minorHAnsi"/>
          <w:kern w:val="0"/>
          <w14:ligatures w14:val="none"/>
        </w:rPr>
        <w:t>cele</w:t>
      </w:r>
      <w:r w:rsidR="003B50ED" w:rsidRPr="00F16251">
        <w:rPr>
          <w:rFonts w:eastAsia="Calibri" w:cstheme="minorHAnsi"/>
          <w:kern w:val="0"/>
          <w14:ligatures w14:val="none"/>
        </w:rPr>
        <w:t xml:space="preserve"> </w:t>
      </w:r>
      <w:r w:rsidRPr="00F16251">
        <w:rPr>
          <w:rFonts w:eastAsia="Calibri" w:cstheme="minorHAnsi"/>
          <w:kern w:val="0"/>
          <w14:ligatures w14:val="none"/>
        </w:rPr>
        <w:t>są</w:t>
      </w:r>
      <w:r w:rsidR="003B50ED" w:rsidRPr="00F16251">
        <w:rPr>
          <w:rFonts w:eastAsia="Calibri" w:cstheme="minorHAnsi"/>
          <w:kern w:val="0"/>
          <w14:ligatures w14:val="none"/>
        </w:rPr>
        <w:t xml:space="preserve"> </w:t>
      </w:r>
      <w:r w:rsidRPr="00F16251">
        <w:rPr>
          <w:rFonts w:eastAsia="Calibri" w:cstheme="minorHAnsi"/>
          <w:kern w:val="0"/>
          <w14:ligatures w14:val="none"/>
        </w:rPr>
        <w:t>metodyczne</w:t>
      </w:r>
      <w:r w:rsidR="003B50ED" w:rsidRPr="00F16251">
        <w:rPr>
          <w:rFonts w:eastAsia="Calibri" w:cstheme="minorHAnsi"/>
          <w:kern w:val="0"/>
          <w14:ligatures w14:val="none"/>
        </w:rPr>
        <w:t xml:space="preserve"> </w:t>
      </w:r>
      <w:r w:rsidRPr="00F16251">
        <w:rPr>
          <w:rFonts w:eastAsia="Calibri" w:cstheme="minorHAnsi"/>
          <w:kern w:val="0"/>
          <w14:ligatures w14:val="none"/>
        </w:rPr>
        <w:t>i</w:t>
      </w:r>
      <w:r w:rsidR="003B50ED" w:rsidRPr="00F16251">
        <w:rPr>
          <w:rFonts w:eastAsia="Calibri" w:cstheme="minorHAnsi"/>
          <w:kern w:val="0"/>
          <w14:ligatures w14:val="none"/>
        </w:rPr>
        <w:t xml:space="preserve"> </w:t>
      </w:r>
      <w:r w:rsidRPr="00F16251">
        <w:rPr>
          <w:rFonts w:eastAsia="Calibri" w:cstheme="minorHAnsi"/>
          <w:kern w:val="0"/>
          <w14:ligatures w14:val="none"/>
        </w:rPr>
        <w:t>zostały</w:t>
      </w:r>
      <w:r w:rsidR="003B50ED" w:rsidRPr="00F16251">
        <w:rPr>
          <w:rFonts w:eastAsia="Calibri" w:cstheme="minorHAnsi"/>
          <w:kern w:val="0"/>
          <w14:ligatures w14:val="none"/>
        </w:rPr>
        <w:t xml:space="preserve"> </w:t>
      </w:r>
      <w:r w:rsidRPr="00F16251">
        <w:rPr>
          <w:rFonts w:eastAsia="Calibri" w:cstheme="minorHAnsi"/>
          <w:kern w:val="0"/>
          <w14:ligatures w14:val="none"/>
        </w:rPr>
        <w:t>ukierunkowane</w:t>
      </w:r>
      <w:r w:rsidR="003B50ED" w:rsidRPr="00F16251">
        <w:rPr>
          <w:rFonts w:eastAsia="Calibri" w:cstheme="minorHAnsi"/>
          <w:kern w:val="0"/>
          <w14:ligatures w14:val="none"/>
        </w:rPr>
        <w:t xml:space="preserve"> </w:t>
      </w:r>
      <w:r w:rsidR="006207FD">
        <w:rPr>
          <w:rFonts w:eastAsia="Calibri" w:cstheme="minorHAnsi"/>
          <w:kern w:val="0"/>
          <w14:ligatures w14:val="none"/>
        </w:rPr>
        <w:t xml:space="preserve">   </w:t>
      </w:r>
      <w:r w:rsidRPr="00F16251">
        <w:rPr>
          <w:rFonts w:eastAsia="Calibri" w:cstheme="minorHAnsi"/>
          <w:kern w:val="0"/>
          <w14:ligatures w14:val="none"/>
        </w:rPr>
        <w:t>na</w:t>
      </w:r>
      <w:r w:rsidR="003B50ED" w:rsidRPr="00F16251">
        <w:rPr>
          <w:rFonts w:eastAsia="Calibri" w:cstheme="minorHAnsi"/>
          <w:kern w:val="0"/>
          <w14:ligatures w14:val="none"/>
        </w:rPr>
        <w:t xml:space="preserve"> </w:t>
      </w:r>
      <w:r w:rsidRPr="00F16251">
        <w:rPr>
          <w:rFonts w:eastAsia="Calibri" w:cstheme="minorHAnsi"/>
          <w:kern w:val="0"/>
          <w14:ligatures w14:val="none"/>
        </w:rPr>
        <w:t>zaspokojenie</w:t>
      </w:r>
      <w:r w:rsidR="003B50ED" w:rsidRPr="00F16251">
        <w:rPr>
          <w:rFonts w:eastAsia="Calibri" w:cstheme="minorHAnsi"/>
          <w:kern w:val="0"/>
          <w14:ligatures w14:val="none"/>
        </w:rPr>
        <w:t xml:space="preserve"> </w:t>
      </w:r>
      <w:r w:rsidRPr="00F16251">
        <w:rPr>
          <w:rFonts w:eastAsia="Calibri" w:cstheme="minorHAnsi"/>
          <w:kern w:val="0"/>
          <w14:ligatures w14:val="none"/>
        </w:rPr>
        <w:t>potrzeb</w:t>
      </w:r>
      <w:r w:rsidR="003B50ED" w:rsidRPr="00F16251">
        <w:rPr>
          <w:rFonts w:eastAsia="Calibri" w:cstheme="minorHAnsi"/>
          <w:kern w:val="0"/>
          <w14:ligatures w14:val="none"/>
        </w:rPr>
        <w:t xml:space="preserve"> </w:t>
      </w:r>
      <w:r w:rsidRPr="00F16251">
        <w:rPr>
          <w:rFonts w:eastAsia="Calibri" w:cstheme="minorHAnsi"/>
          <w:kern w:val="0"/>
          <w14:ligatures w14:val="none"/>
        </w:rPr>
        <w:t>i</w:t>
      </w:r>
      <w:r w:rsidR="003B50ED" w:rsidRPr="00F16251">
        <w:rPr>
          <w:rFonts w:eastAsia="Calibri" w:cstheme="minorHAnsi"/>
          <w:kern w:val="0"/>
          <w14:ligatures w14:val="none"/>
        </w:rPr>
        <w:t xml:space="preserve"> </w:t>
      </w:r>
      <w:r w:rsidRPr="00F16251">
        <w:rPr>
          <w:rFonts w:eastAsia="Calibri" w:cstheme="minorHAnsi"/>
          <w:kern w:val="0"/>
          <w14:ligatures w14:val="none"/>
        </w:rPr>
        <w:t>oczekiwań</w:t>
      </w:r>
      <w:r w:rsidR="003B50ED" w:rsidRPr="00F16251">
        <w:rPr>
          <w:rFonts w:eastAsia="Calibri" w:cstheme="minorHAnsi"/>
          <w:kern w:val="0"/>
          <w14:ligatures w14:val="none"/>
        </w:rPr>
        <w:t xml:space="preserve"> </w:t>
      </w:r>
      <w:r w:rsidRPr="00F16251">
        <w:rPr>
          <w:rFonts w:eastAsia="Calibri" w:cstheme="minorHAnsi"/>
          <w:kern w:val="0"/>
          <w14:ligatures w14:val="none"/>
        </w:rPr>
        <w:t>lokalnej</w:t>
      </w:r>
      <w:r w:rsidR="003B50ED" w:rsidRPr="00F16251">
        <w:rPr>
          <w:rFonts w:eastAsia="Calibri" w:cstheme="minorHAnsi"/>
          <w:kern w:val="0"/>
          <w14:ligatures w14:val="none"/>
        </w:rPr>
        <w:t xml:space="preserve"> </w:t>
      </w:r>
      <w:r w:rsidRPr="00F16251">
        <w:rPr>
          <w:rFonts w:eastAsia="Calibri" w:cstheme="minorHAnsi"/>
          <w:kern w:val="0"/>
          <w14:ligatures w14:val="none"/>
        </w:rPr>
        <w:t>społeczności.</w:t>
      </w:r>
      <w:r w:rsidR="003B50ED" w:rsidRPr="00F16251">
        <w:rPr>
          <w:rFonts w:eastAsia="Calibri" w:cstheme="minorHAnsi"/>
          <w:kern w:val="0"/>
          <w14:ligatures w14:val="none"/>
        </w:rPr>
        <w:t xml:space="preserve"> </w:t>
      </w:r>
      <w:r w:rsidRPr="00F16251">
        <w:rPr>
          <w:rFonts w:eastAsia="Calibri" w:cstheme="minorHAnsi"/>
          <w:kern w:val="0"/>
          <w14:ligatures w14:val="none"/>
        </w:rPr>
        <w:t>Cele</w:t>
      </w:r>
      <w:r w:rsidR="003B50ED" w:rsidRPr="00F16251">
        <w:rPr>
          <w:rFonts w:eastAsia="Calibri" w:cstheme="minorHAnsi"/>
          <w:kern w:val="0"/>
          <w14:ligatures w14:val="none"/>
        </w:rPr>
        <w:t xml:space="preserve"> </w:t>
      </w:r>
      <w:r w:rsidRPr="00F16251">
        <w:rPr>
          <w:rFonts w:eastAsia="Calibri" w:cstheme="minorHAnsi"/>
          <w:kern w:val="0"/>
          <w14:ligatures w14:val="none"/>
        </w:rPr>
        <w:t>i</w:t>
      </w:r>
      <w:r w:rsidR="003B50ED" w:rsidRPr="00F16251">
        <w:rPr>
          <w:rFonts w:eastAsia="Calibri" w:cstheme="minorHAnsi"/>
          <w:kern w:val="0"/>
          <w14:ligatures w14:val="none"/>
        </w:rPr>
        <w:t xml:space="preserve"> </w:t>
      </w:r>
      <w:r w:rsidRPr="00F16251">
        <w:rPr>
          <w:rFonts w:eastAsia="Calibri" w:cstheme="minorHAnsi"/>
          <w:kern w:val="0"/>
          <w14:ligatures w14:val="none"/>
        </w:rPr>
        <w:t>przedsięwzięcia</w:t>
      </w:r>
      <w:r w:rsidR="003B50ED" w:rsidRPr="00F16251">
        <w:rPr>
          <w:rFonts w:eastAsia="Calibri" w:cstheme="minorHAnsi"/>
          <w:kern w:val="0"/>
          <w14:ligatures w14:val="none"/>
        </w:rPr>
        <w:t xml:space="preserve"> </w:t>
      </w:r>
      <w:r w:rsidRPr="00F16251">
        <w:rPr>
          <w:rFonts w:eastAsia="Calibri" w:cstheme="minorHAnsi"/>
          <w:kern w:val="0"/>
          <w14:ligatures w14:val="none"/>
        </w:rPr>
        <w:t>są</w:t>
      </w:r>
      <w:r w:rsidR="003B50ED" w:rsidRPr="00F16251">
        <w:rPr>
          <w:rFonts w:eastAsia="Calibri" w:cstheme="minorHAnsi"/>
          <w:kern w:val="0"/>
          <w14:ligatures w14:val="none"/>
        </w:rPr>
        <w:t xml:space="preserve"> </w:t>
      </w:r>
      <w:r w:rsidRPr="00F16251">
        <w:rPr>
          <w:rFonts w:eastAsia="Calibri" w:cstheme="minorHAnsi"/>
          <w:kern w:val="0"/>
          <w14:ligatures w14:val="none"/>
        </w:rPr>
        <w:t>zgodne</w:t>
      </w:r>
      <w:r w:rsidR="003B50ED" w:rsidRPr="00F16251">
        <w:rPr>
          <w:rFonts w:eastAsia="Calibri" w:cstheme="minorHAnsi"/>
          <w:kern w:val="0"/>
          <w14:ligatures w14:val="none"/>
        </w:rPr>
        <w:t xml:space="preserve"> </w:t>
      </w:r>
      <w:r w:rsidRPr="00F16251">
        <w:rPr>
          <w:rFonts w:eastAsia="Calibri" w:cstheme="minorHAnsi"/>
          <w:kern w:val="0"/>
          <w14:ligatures w14:val="none"/>
        </w:rPr>
        <w:t>i</w:t>
      </w:r>
      <w:r w:rsidR="003B50ED" w:rsidRPr="00F16251">
        <w:rPr>
          <w:rFonts w:eastAsia="Calibri" w:cstheme="minorHAnsi"/>
          <w:kern w:val="0"/>
          <w14:ligatures w14:val="none"/>
        </w:rPr>
        <w:t xml:space="preserve"> </w:t>
      </w:r>
      <w:r w:rsidRPr="00F16251">
        <w:rPr>
          <w:rFonts w:eastAsia="Calibri" w:cstheme="minorHAnsi"/>
          <w:kern w:val="0"/>
          <w14:ligatures w14:val="none"/>
        </w:rPr>
        <w:t>wpisują</w:t>
      </w:r>
      <w:r w:rsidR="003B50ED" w:rsidRPr="00F16251">
        <w:rPr>
          <w:rFonts w:eastAsia="Calibri" w:cstheme="minorHAnsi"/>
          <w:kern w:val="0"/>
          <w14:ligatures w14:val="none"/>
        </w:rPr>
        <w:t xml:space="preserve"> </w:t>
      </w:r>
      <w:r w:rsidRPr="00F16251">
        <w:rPr>
          <w:rFonts w:eastAsia="Calibri" w:cstheme="minorHAnsi"/>
          <w:kern w:val="0"/>
          <w14:ligatures w14:val="none"/>
        </w:rPr>
        <w:t>się</w:t>
      </w:r>
      <w:r w:rsidR="003B50ED" w:rsidRPr="00F16251">
        <w:rPr>
          <w:rFonts w:eastAsia="Calibri" w:cstheme="minorHAnsi"/>
          <w:kern w:val="0"/>
          <w14:ligatures w14:val="none"/>
        </w:rPr>
        <w:t xml:space="preserve"> </w:t>
      </w:r>
      <w:r w:rsidRPr="00F16251">
        <w:rPr>
          <w:rFonts w:eastAsia="Calibri" w:cstheme="minorHAnsi"/>
          <w:kern w:val="0"/>
          <w14:ligatures w14:val="none"/>
        </w:rPr>
        <w:t>w</w:t>
      </w:r>
      <w:r w:rsidR="003B50ED" w:rsidRPr="00F16251">
        <w:rPr>
          <w:rFonts w:eastAsia="Calibri" w:cstheme="minorHAnsi"/>
          <w:kern w:val="0"/>
          <w14:ligatures w14:val="none"/>
        </w:rPr>
        <w:t xml:space="preserve"> </w:t>
      </w:r>
      <w:r w:rsidRPr="00F16251">
        <w:rPr>
          <w:rFonts w:eastAsia="Calibri" w:cstheme="minorHAnsi"/>
          <w:kern w:val="0"/>
          <w14:ligatures w14:val="none"/>
        </w:rPr>
        <w:t>cele</w:t>
      </w:r>
      <w:r w:rsidR="003B50ED" w:rsidRPr="00F16251">
        <w:rPr>
          <w:rFonts w:eastAsia="Calibri" w:cstheme="minorHAnsi"/>
          <w:kern w:val="0"/>
          <w14:ligatures w14:val="none"/>
        </w:rPr>
        <w:t xml:space="preserve"> </w:t>
      </w:r>
      <w:r w:rsidRPr="00F16251">
        <w:rPr>
          <w:rFonts w:eastAsia="Calibri" w:cstheme="minorHAnsi"/>
          <w:kern w:val="0"/>
          <w14:ligatures w14:val="none"/>
        </w:rPr>
        <w:t>PS</w:t>
      </w:r>
      <w:r w:rsidR="003B50ED" w:rsidRPr="00F16251">
        <w:rPr>
          <w:rFonts w:eastAsia="Calibri" w:cstheme="minorHAnsi"/>
          <w:kern w:val="0"/>
          <w14:ligatures w14:val="none"/>
        </w:rPr>
        <w:t xml:space="preserve"> </w:t>
      </w:r>
      <w:r w:rsidRPr="00F16251">
        <w:rPr>
          <w:rFonts w:eastAsia="Calibri" w:cstheme="minorHAnsi"/>
          <w:kern w:val="0"/>
          <w14:ligatures w14:val="none"/>
        </w:rPr>
        <w:t>dla</w:t>
      </w:r>
      <w:r w:rsidR="003B50ED" w:rsidRPr="00F16251">
        <w:rPr>
          <w:rFonts w:eastAsia="Calibri" w:cstheme="minorHAnsi"/>
          <w:kern w:val="0"/>
          <w14:ligatures w14:val="none"/>
        </w:rPr>
        <w:t xml:space="preserve"> </w:t>
      </w:r>
      <w:r w:rsidRPr="00F16251">
        <w:rPr>
          <w:rFonts w:eastAsia="Calibri" w:cstheme="minorHAnsi"/>
          <w:kern w:val="0"/>
          <w14:ligatures w14:val="none"/>
        </w:rPr>
        <w:t>WPR</w:t>
      </w:r>
      <w:r w:rsidR="003B50ED" w:rsidRPr="00F16251">
        <w:rPr>
          <w:rFonts w:eastAsia="Calibri" w:cstheme="minorHAnsi"/>
          <w:kern w:val="0"/>
          <w14:ligatures w14:val="none"/>
        </w:rPr>
        <w:t xml:space="preserve"> </w:t>
      </w:r>
      <w:r w:rsidRPr="00F16251">
        <w:rPr>
          <w:rFonts w:eastAsia="Calibri" w:cstheme="minorHAnsi"/>
          <w:kern w:val="0"/>
          <w14:ligatures w14:val="none"/>
        </w:rPr>
        <w:t>na</w:t>
      </w:r>
      <w:r w:rsidR="003B50ED" w:rsidRPr="00F16251">
        <w:rPr>
          <w:rFonts w:eastAsia="Calibri" w:cstheme="minorHAnsi"/>
          <w:kern w:val="0"/>
          <w14:ligatures w14:val="none"/>
        </w:rPr>
        <w:t xml:space="preserve"> </w:t>
      </w:r>
      <w:r w:rsidRPr="00F16251">
        <w:rPr>
          <w:rFonts w:eastAsia="Calibri" w:cstheme="minorHAnsi"/>
          <w:kern w:val="0"/>
          <w14:ligatures w14:val="none"/>
        </w:rPr>
        <w:t>lata</w:t>
      </w:r>
      <w:r w:rsidR="003B50ED" w:rsidRPr="00F16251">
        <w:rPr>
          <w:rFonts w:eastAsia="Calibri" w:cstheme="minorHAnsi"/>
          <w:kern w:val="0"/>
          <w14:ligatures w14:val="none"/>
        </w:rPr>
        <w:t xml:space="preserve"> </w:t>
      </w:r>
      <w:r w:rsidRPr="00F16251">
        <w:rPr>
          <w:rFonts w:eastAsia="Calibri" w:cstheme="minorHAnsi"/>
          <w:kern w:val="0"/>
          <w14:ligatures w14:val="none"/>
        </w:rPr>
        <w:t>2023-2027</w:t>
      </w:r>
      <w:r w:rsidR="00C55B6F" w:rsidRPr="00F16251">
        <w:rPr>
          <w:rFonts w:eastAsia="Calibri" w:cstheme="minorHAnsi"/>
          <w:kern w:val="0"/>
          <w14:ligatures w14:val="none"/>
        </w:rPr>
        <w:t>, FEWP 2021-2023 oraz są zgodne z innymi dokumentami strategicznymi obowiązującymi na obszarze objętym LSR</w:t>
      </w:r>
      <w:r w:rsidRPr="00F16251">
        <w:rPr>
          <w:rFonts w:eastAsia="Calibri" w:cstheme="minorHAnsi"/>
          <w:kern w:val="0"/>
          <w14:ligatures w14:val="none"/>
        </w:rPr>
        <w:t>.</w:t>
      </w:r>
      <w:r w:rsidR="003B50ED" w:rsidRPr="00F16251">
        <w:rPr>
          <w:rFonts w:eastAsia="Calibri" w:cstheme="minorHAnsi"/>
          <w:kern w:val="0"/>
          <w14:ligatures w14:val="none"/>
        </w:rPr>
        <w:t xml:space="preserve"> </w:t>
      </w:r>
    </w:p>
    <w:p w14:paraId="520922BA" w14:textId="2348568B" w:rsidR="002C63F4" w:rsidRPr="00F16251" w:rsidRDefault="002C63F4" w:rsidP="00C55B6F">
      <w:pPr>
        <w:spacing w:line="276" w:lineRule="auto"/>
        <w:ind w:firstLine="360"/>
        <w:jc w:val="both"/>
        <w:rPr>
          <w:rFonts w:eastAsia="Calibri" w:cstheme="minorHAnsi"/>
          <w:kern w:val="0"/>
          <w14:ligatures w14:val="none"/>
        </w:rPr>
      </w:pPr>
      <w:r w:rsidRPr="00F16251">
        <w:rPr>
          <w:rFonts w:eastAsia="Calibri" w:cstheme="minorHAnsi"/>
          <w:kern w:val="0"/>
          <w14:ligatures w14:val="none"/>
        </w:rPr>
        <w:t>Zidentyfikowane</w:t>
      </w:r>
      <w:r w:rsidR="003B50ED" w:rsidRPr="00F16251">
        <w:rPr>
          <w:rFonts w:eastAsia="Calibri" w:cstheme="minorHAnsi"/>
          <w:kern w:val="0"/>
          <w14:ligatures w14:val="none"/>
        </w:rPr>
        <w:t xml:space="preserve"> </w:t>
      </w:r>
      <w:r w:rsidRPr="00F16251">
        <w:rPr>
          <w:rFonts w:eastAsia="Calibri" w:cstheme="minorHAnsi"/>
          <w:kern w:val="0"/>
          <w14:ligatures w14:val="none"/>
        </w:rPr>
        <w:t>przedsięwzięcia</w:t>
      </w:r>
      <w:r w:rsidR="003B50ED" w:rsidRPr="00F16251">
        <w:rPr>
          <w:rFonts w:eastAsia="Calibri" w:cstheme="minorHAnsi"/>
          <w:kern w:val="0"/>
          <w14:ligatures w14:val="none"/>
        </w:rPr>
        <w:t xml:space="preserve"> </w:t>
      </w:r>
      <w:r w:rsidRPr="00F16251">
        <w:rPr>
          <w:rFonts w:eastAsia="Calibri" w:cstheme="minorHAnsi"/>
          <w:kern w:val="0"/>
          <w14:ligatures w14:val="none"/>
        </w:rPr>
        <w:t>są</w:t>
      </w:r>
      <w:r w:rsidR="003B50ED" w:rsidRPr="00F16251">
        <w:rPr>
          <w:rFonts w:eastAsia="Calibri" w:cstheme="minorHAnsi"/>
          <w:kern w:val="0"/>
          <w14:ligatures w14:val="none"/>
        </w:rPr>
        <w:t xml:space="preserve"> </w:t>
      </w:r>
      <w:r w:rsidRPr="00F16251">
        <w:rPr>
          <w:rFonts w:eastAsia="Calibri" w:cstheme="minorHAnsi"/>
          <w:kern w:val="0"/>
          <w14:ligatures w14:val="none"/>
        </w:rPr>
        <w:t>klarownymi</w:t>
      </w:r>
      <w:r w:rsidR="003B50ED" w:rsidRPr="00F16251">
        <w:rPr>
          <w:rFonts w:eastAsia="Calibri" w:cstheme="minorHAnsi"/>
          <w:kern w:val="0"/>
          <w14:ligatures w14:val="none"/>
        </w:rPr>
        <w:t xml:space="preserve"> </w:t>
      </w:r>
      <w:r w:rsidRPr="00F16251">
        <w:rPr>
          <w:rFonts w:eastAsia="Calibri" w:cstheme="minorHAnsi"/>
          <w:kern w:val="0"/>
          <w14:ligatures w14:val="none"/>
        </w:rPr>
        <w:t>działaniami</w:t>
      </w:r>
      <w:r w:rsidR="003B50ED" w:rsidRPr="00F16251">
        <w:rPr>
          <w:rFonts w:eastAsia="Calibri" w:cstheme="minorHAnsi"/>
          <w:kern w:val="0"/>
          <w14:ligatures w14:val="none"/>
        </w:rPr>
        <w:t xml:space="preserve"> </w:t>
      </w:r>
      <w:r w:rsidRPr="00F16251">
        <w:rPr>
          <w:rFonts w:eastAsia="Calibri" w:cstheme="minorHAnsi"/>
          <w:kern w:val="0"/>
          <w14:ligatures w14:val="none"/>
        </w:rPr>
        <w:t>obejmującymi</w:t>
      </w:r>
      <w:r w:rsidR="003B50ED" w:rsidRPr="00F16251">
        <w:rPr>
          <w:rFonts w:eastAsia="Calibri" w:cstheme="minorHAnsi"/>
          <w:kern w:val="0"/>
          <w14:ligatures w14:val="none"/>
        </w:rPr>
        <w:t xml:space="preserve"> </w:t>
      </w:r>
      <w:r w:rsidRPr="00F16251">
        <w:rPr>
          <w:rFonts w:eastAsia="Calibri" w:cstheme="minorHAnsi"/>
          <w:kern w:val="0"/>
          <w14:ligatures w14:val="none"/>
        </w:rPr>
        <w:t>pakiety</w:t>
      </w:r>
      <w:r w:rsidR="003B50ED" w:rsidRPr="00F16251">
        <w:rPr>
          <w:rFonts w:eastAsia="Calibri" w:cstheme="minorHAnsi"/>
          <w:kern w:val="0"/>
          <w14:ligatures w14:val="none"/>
        </w:rPr>
        <w:t xml:space="preserve"> </w:t>
      </w:r>
      <w:r w:rsidRPr="00F16251">
        <w:rPr>
          <w:rFonts w:eastAsia="Calibri" w:cstheme="minorHAnsi"/>
          <w:kern w:val="0"/>
          <w14:ligatures w14:val="none"/>
        </w:rPr>
        <w:t>powiązanych</w:t>
      </w:r>
      <w:r w:rsidR="003B50ED" w:rsidRPr="00F16251">
        <w:rPr>
          <w:rFonts w:eastAsia="Calibri" w:cstheme="minorHAnsi"/>
          <w:kern w:val="0"/>
          <w14:ligatures w14:val="none"/>
        </w:rPr>
        <w:t xml:space="preserve"> </w:t>
      </w:r>
      <w:r w:rsidRPr="00F16251">
        <w:rPr>
          <w:rFonts w:eastAsia="Calibri" w:cstheme="minorHAnsi"/>
          <w:kern w:val="0"/>
          <w14:ligatures w14:val="none"/>
        </w:rPr>
        <w:t>operacji,</w:t>
      </w:r>
      <w:r w:rsidR="003B50ED" w:rsidRPr="00F16251">
        <w:rPr>
          <w:rFonts w:eastAsia="Calibri" w:cstheme="minorHAnsi"/>
          <w:kern w:val="0"/>
          <w14:ligatures w14:val="none"/>
        </w:rPr>
        <w:t xml:space="preserve"> </w:t>
      </w:r>
      <w:r w:rsidRPr="00F16251">
        <w:rPr>
          <w:rFonts w:eastAsia="Calibri" w:cstheme="minorHAnsi"/>
          <w:kern w:val="0"/>
          <w14:ligatures w14:val="none"/>
        </w:rPr>
        <w:t>służącym</w:t>
      </w:r>
      <w:r w:rsidR="001E07AA" w:rsidRPr="00F16251">
        <w:rPr>
          <w:rFonts w:eastAsia="Calibri" w:cstheme="minorHAnsi"/>
          <w:kern w:val="0"/>
          <w14:ligatures w14:val="none"/>
        </w:rPr>
        <w:t>i</w:t>
      </w:r>
      <w:r w:rsidR="003B50ED" w:rsidRPr="00F16251">
        <w:rPr>
          <w:rFonts w:eastAsia="Calibri" w:cstheme="minorHAnsi"/>
          <w:kern w:val="0"/>
          <w14:ligatures w14:val="none"/>
        </w:rPr>
        <w:t xml:space="preserve"> </w:t>
      </w:r>
      <w:r w:rsidRPr="00F16251">
        <w:rPr>
          <w:rFonts w:eastAsia="Calibri" w:cstheme="minorHAnsi"/>
          <w:kern w:val="0"/>
          <w14:ligatures w14:val="none"/>
        </w:rPr>
        <w:t>rozwiązaniu</w:t>
      </w:r>
      <w:r w:rsidR="003B50ED" w:rsidRPr="00F16251">
        <w:rPr>
          <w:rFonts w:eastAsia="Calibri" w:cstheme="minorHAnsi"/>
          <w:kern w:val="0"/>
          <w14:ligatures w14:val="none"/>
        </w:rPr>
        <w:t xml:space="preserve"> </w:t>
      </w:r>
      <w:r w:rsidRPr="00F16251">
        <w:rPr>
          <w:rFonts w:eastAsia="Calibri" w:cstheme="minorHAnsi"/>
          <w:kern w:val="0"/>
          <w14:ligatures w14:val="none"/>
        </w:rPr>
        <w:t>problemów</w:t>
      </w:r>
      <w:r w:rsidR="003B50ED" w:rsidRPr="00F16251">
        <w:rPr>
          <w:rFonts w:eastAsia="Calibri" w:cstheme="minorHAnsi"/>
          <w:kern w:val="0"/>
          <w14:ligatures w14:val="none"/>
        </w:rPr>
        <w:t xml:space="preserve"> </w:t>
      </w:r>
      <w:r w:rsidRPr="00F16251">
        <w:rPr>
          <w:rFonts w:eastAsia="Calibri" w:cstheme="minorHAnsi"/>
          <w:kern w:val="0"/>
          <w14:ligatures w14:val="none"/>
        </w:rPr>
        <w:t>zidentyfikowanych</w:t>
      </w:r>
      <w:r w:rsidR="003B50ED" w:rsidRPr="00F16251">
        <w:rPr>
          <w:rFonts w:eastAsia="Calibri" w:cstheme="minorHAnsi"/>
          <w:kern w:val="0"/>
          <w14:ligatures w14:val="none"/>
        </w:rPr>
        <w:t xml:space="preserve"> </w:t>
      </w:r>
      <w:r w:rsidRPr="00F16251">
        <w:rPr>
          <w:rFonts w:eastAsia="Calibri" w:cstheme="minorHAnsi"/>
          <w:kern w:val="0"/>
          <w14:ligatures w14:val="none"/>
        </w:rPr>
        <w:t>w</w:t>
      </w:r>
      <w:r w:rsidR="003B50ED" w:rsidRPr="00F16251">
        <w:rPr>
          <w:rFonts w:eastAsia="Calibri" w:cstheme="minorHAnsi"/>
          <w:kern w:val="0"/>
          <w14:ligatures w14:val="none"/>
        </w:rPr>
        <w:t xml:space="preserve"> </w:t>
      </w:r>
      <w:r w:rsidRPr="00F16251">
        <w:rPr>
          <w:rFonts w:eastAsia="Calibri" w:cstheme="minorHAnsi"/>
          <w:kern w:val="0"/>
          <w14:ligatures w14:val="none"/>
        </w:rPr>
        <w:t>LSR.</w:t>
      </w:r>
      <w:r w:rsidR="003B50ED" w:rsidRPr="00F16251">
        <w:rPr>
          <w:rFonts w:eastAsia="Calibri" w:cstheme="minorHAnsi"/>
          <w:kern w:val="0"/>
          <w14:ligatures w14:val="none"/>
        </w:rPr>
        <w:t xml:space="preserve"> </w:t>
      </w:r>
      <w:r w:rsidRPr="00F16251">
        <w:rPr>
          <w:rFonts w:eastAsia="Calibri" w:cstheme="minorHAnsi"/>
          <w:kern w:val="0"/>
          <w14:ligatures w14:val="none"/>
        </w:rPr>
        <w:t>Stopień</w:t>
      </w:r>
      <w:r w:rsidR="003B50ED" w:rsidRPr="00F16251">
        <w:rPr>
          <w:rFonts w:eastAsia="Calibri" w:cstheme="minorHAnsi"/>
          <w:kern w:val="0"/>
          <w14:ligatures w14:val="none"/>
        </w:rPr>
        <w:t xml:space="preserve"> </w:t>
      </w:r>
      <w:r w:rsidRPr="00F16251">
        <w:rPr>
          <w:rFonts w:eastAsia="Calibri" w:cstheme="minorHAnsi"/>
          <w:kern w:val="0"/>
          <w14:ligatures w14:val="none"/>
        </w:rPr>
        <w:t>realizacji</w:t>
      </w:r>
      <w:r w:rsidR="003B50ED" w:rsidRPr="00F16251">
        <w:rPr>
          <w:rFonts w:eastAsia="Calibri" w:cstheme="minorHAnsi"/>
          <w:kern w:val="0"/>
          <w14:ligatures w14:val="none"/>
        </w:rPr>
        <w:t xml:space="preserve"> </w:t>
      </w:r>
      <w:r w:rsidRPr="00F16251">
        <w:rPr>
          <w:rFonts w:eastAsia="Calibri" w:cstheme="minorHAnsi"/>
          <w:kern w:val="0"/>
          <w14:ligatures w14:val="none"/>
        </w:rPr>
        <w:t>przedsięwzięć</w:t>
      </w:r>
      <w:r w:rsidR="003B50ED" w:rsidRPr="00F16251">
        <w:rPr>
          <w:rFonts w:eastAsia="Calibri" w:cstheme="minorHAnsi"/>
          <w:kern w:val="0"/>
          <w14:ligatures w14:val="none"/>
        </w:rPr>
        <w:t xml:space="preserve"> </w:t>
      </w:r>
      <w:r w:rsidRPr="00F16251">
        <w:rPr>
          <w:rFonts w:eastAsia="Calibri" w:cstheme="minorHAnsi"/>
          <w:kern w:val="0"/>
          <w14:ligatures w14:val="none"/>
        </w:rPr>
        <w:t>mierzony</w:t>
      </w:r>
      <w:r w:rsidR="003B50ED" w:rsidRPr="00F16251">
        <w:rPr>
          <w:rFonts w:eastAsia="Calibri" w:cstheme="minorHAnsi"/>
          <w:kern w:val="0"/>
          <w14:ligatures w14:val="none"/>
        </w:rPr>
        <w:t xml:space="preserve"> </w:t>
      </w:r>
      <w:r w:rsidRPr="00F16251">
        <w:rPr>
          <w:rFonts w:eastAsia="Calibri" w:cstheme="minorHAnsi"/>
          <w:kern w:val="0"/>
          <w14:ligatures w14:val="none"/>
        </w:rPr>
        <w:t>jest</w:t>
      </w:r>
      <w:r w:rsidR="003B50ED" w:rsidRPr="00F16251">
        <w:rPr>
          <w:rFonts w:eastAsia="Calibri" w:cstheme="minorHAnsi"/>
          <w:kern w:val="0"/>
          <w14:ligatures w14:val="none"/>
        </w:rPr>
        <w:t xml:space="preserve"> </w:t>
      </w:r>
      <w:r w:rsidRPr="00F16251">
        <w:rPr>
          <w:rFonts w:eastAsia="Calibri" w:cstheme="minorHAnsi"/>
          <w:kern w:val="0"/>
          <w14:ligatures w14:val="none"/>
        </w:rPr>
        <w:t>przy</w:t>
      </w:r>
      <w:r w:rsidR="003B50ED" w:rsidRPr="00F16251">
        <w:rPr>
          <w:rFonts w:eastAsia="Calibri" w:cstheme="minorHAnsi"/>
          <w:kern w:val="0"/>
          <w14:ligatures w14:val="none"/>
        </w:rPr>
        <w:t xml:space="preserve"> </w:t>
      </w:r>
      <w:r w:rsidRPr="00F16251">
        <w:rPr>
          <w:rFonts w:eastAsia="Calibri" w:cstheme="minorHAnsi"/>
          <w:kern w:val="0"/>
          <w14:ligatures w14:val="none"/>
        </w:rPr>
        <w:t>pomocy</w:t>
      </w:r>
      <w:r w:rsidR="003B50ED" w:rsidRPr="00F16251">
        <w:rPr>
          <w:rFonts w:eastAsia="Calibri" w:cstheme="minorHAnsi"/>
          <w:kern w:val="0"/>
          <w14:ligatures w14:val="none"/>
        </w:rPr>
        <w:t xml:space="preserve"> </w:t>
      </w:r>
      <w:r w:rsidRPr="00F16251">
        <w:rPr>
          <w:rFonts w:eastAsia="Calibri" w:cstheme="minorHAnsi"/>
          <w:kern w:val="0"/>
          <w14:ligatures w14:val="none"/>
        </w:rPr>
        <w:t>wskaźników</w:t>
      </w:r>
      <w:r w:rsidR="003B50ED" w:rsidRPr="00F16251">
        <w:rPr>
          <w:rFonts w:eastAsia="Calibri" w:cstheme="minorHAnsi"/>
          <w:kern w:val="0"/>
          <w14:ligatures w14:val="none"/>
        </w:rPr>
        <w:t xml:space="preserve"> </w:t>
      </w:r>
      <w:r w:rsidRPr="00F16251">
        <w:rPr>
          <w:rFonts w:eastAsia="Calibri" w:cstheme="minorHAnsi"/>
          <w:kern w:val="0"/>
          <w14:ligatures w14:val="none"/>
        </w:rPr>
        <w:t>produktu,</w:t>
      </w:r>
      <w:r w:rsidR="003B50ED" w:rsidRPr="00F16251">
        <w:rPr>
          <w:rFonts w:eastAsia="Calibri" w:cstheme="minorHAnsi"/>
          <w:kern w:val="0"/>
          <w14:ligatures w14:val="none"/>
        </w:rPr>
        <w:t xml:space="preserve"> </w:t>
      </w:r>
      <w:r w:rsidRPr="00F16251">
        <w:rPr>
          <w:rFonts w:eastAsia="Calibri" w:cstheme="minorHAnsi"/>
          <w:kern w:val="0"/>
          <w14:ligatures w14:val="none"/>
        </w:rPr>
        <w:t>które</w:t>
      </w:r>
      <w:r w:rsidR="003B50ED" w:rsidRPr="00F16251">
        <w:rPr>
          <w:rFonts w:eastAsia="Calibri" w:cstheme="minorHAnsi"/>
          <w:kern w:val="0"/>
          <w14:ligatures w14:val="none"/>
        </w:rPr>
        <w:t xml:space="preserve"> </w:t>
      </w:r>
      <w:r w:rsidRPr="00F16251">
        <w:rPr>
          <w:rFonts w:eastAsia="Calibri" w:cstheme="minorHAnsi"/>
          <w:kern w:val="0"/>
          <w14:ligatures w14:val="none"/>
        </w:rPr>
        <w:t>zostały</w:t>
      </w:r>
      <w:r w:rsidR="003B50ED" w:rsidRPr="00F16251">
        <w:rPr>
          <w:rFonts w:eastAsia="Calibri" w:cstheme="minorHAnsi"/>
          <w:kern w:val="0"/>
          <w14:ligatures w14:val="none"/>
        </w:rPr>
        <w:t xml:space="preserve"> </w:t>
      </w:r>
      <w:r w:rsidRPr="00F16251">
        <w:rPr>
          <w:rFonts w:eastAsia="Calibri" w:cstheme="minorHAnsi"/>
          <w:kern w:val="0"/>
          <w14:ligatures w14:val="none"/>
        </w:rPr>
        <w:t>sformułowane</w:t>
      </w:r>
      <w:r w:rsidR="003B50ED" w:rsidRPr="00F16251">
        <w:rPr>
          <w:rFonts w:eastAsia="Calibri" w:cstheme="minorHAnsi"/>
          <w:kern w:val="0"/>
          <w14:ligatures w14:val="none"/>
        </w:rPr>
        <w:t xml:space="preserve"> </w:t>
      </w:r>
      <w:r w:rsidRPr="00F16251">
        <w:rPr>
          <w:rFonts w:eastAsia="Calibri" w:cstheme="minorHAnsi"/>
          <w:kern w:val="0"/>
          <w14:ligatures w14:val="none"/>
        </w:rPr>
        <w:t>w</w:t>
      </w:r>
      <w:r w:rsidR="003B50ED" w:rsidRPr="00F16251">
        <w:rPr>
          <w:rFonts w:eastAsia="Calibri" w:cstheme="minorHAnsi"/>
          <w:kern w:val="0"/>
          <w14:ligatures w14:val="none"/>
        </w:rPr>
        <w:t xml:space="preserve"> </w:t>
      </w:r>
      <w:r w:rsidRPr="00F16251">
        <w:rPr>
          <w:rFonts w:eastAsia="Calibri" w:cstheme="minorHAnsi"/>
          <w:kern w:val="0"/>
          <w14:ligatures w14:val="none"/>
        </w:rPr>
        <w:t>taki</w:t>
      </w:r>
      <w:r w:rsidR="003B50ED" w:rsidRPr="00F16251">
        <w:rPr>
          <w:rFonts w:eastAsia="Calibri" w:cstheme="minorHAnsi"/>
          <w:kern w:val="0"/>
          <w14:ligatures w14:val="none"/>
        </w:rPr>
        <w:t xml:space="preserve"> </w:t>
      </w:r>
      <w:r w:rsidRPr="00F16251">
        <w:rPr>
          <w:rFonts w:eastAsia="Calibri" w:cstheme="minorHAnsi"/>
          <w:kern w:val="0"/>
          <w14:ligatures w14:val="none"/>
        </w:rPr>
        <w:t>sposób,</w:t>
      </w:r>
      <w:r w:rsidR="003B50ED" w:rsidRPr="00F16251">
        <w:rPr>
          <w:rFonts w:eastAsia="Calibri" w:cstheme="minorHAnsi"/>
          <w:kern w:val="0"/>
          <w14:ligatures w14:val="none"/>
        </w:rPr>
        <w:t xml:space="preserve"> </w:t>
      </w:r>
      <w:r w:rsidRPr="00F16251">
        <w:rPr>
          <w:rFonts w:eastAsia="Calibri" w:cstheme="minorHAnsi"/>
          <w:kern w:val="0"/>
          <w14:ligatures w14:val="none"/>
        </w:rPr>
        <w:t>żeby</w:t>
      </w:r>
      <w:r w:rsidR="003B50ED" w:rsidRPr="00F16251">
        <w:rPr>
          <w:rFonts w:eastAsia="Calibri" w:cstheme="minorHAnsi"/>
          <w:kern w:val="0"/>
          <w14:ligatures w14:val="none"/>
        </w:rPr>
        <w:t xml:space="preserve"> </w:t>
      </w:r>
      <w:r w:rsidRPr="00F16251">
        <w:rPr>
          <w:rFonts w:eastAsia="Calibri" w:cstheme="minorHAnsi"/>
          <w:kern w:val="0"/>
          <w14:ligatures w14:val="none"/>
        </w:rPr>
        <w:t>było</w:t>
      </w:r>
      <w:r w:rsidR="003B50ED" w:rsidRPr="00F16251">
        <w:rPr>
          <w:rFonts w:eastAsia="Calibri" w:cstheme="minorHAnsi"/>
          <w:kern w:val="0"/>
          <w14:ligatures w14:val="none"/>
        </w:rPr>
        <w:t xml:space="preserve"> </w:t>
      </w:r>
      <w:r w:rsidRPr="00F16251">
        <w:rPr>
          <w:rFonts w:eastAsia="Calibri" w:cstheme="minorHAnsi"/>
          <w:kern w:val="0"/>
          <w14:ligatures w14:val="none"/>
        </w:rPr>
        <w:t>możliwe</w:t>
      </w:r>
      <w:r w:rsidR="003B50ED" w:rsidRPr="00F16251">
        <w:rPr>
          <w:rFonts w:eastAsia="Calibri" w:cstheme="minorHAnsi"/>
          <w:kern w:val="0"/>
          <w14:ligatures w14:val="none"/>
        </w:rPr>
        <w:t xml:space="preserve"> </w:t>
      </w:r>
      <w:r w:rsidRPr="00F16251">
        <w:rPr>
          <w:rFonts w:eastAsia="Calibri" w:cstheme="minorHAnsi"/>
          <w:kern w:val="0"/>
          <w14:ligatures w14:val="none"/>
        </w:rPr>
        <w:t>ich</w:t>
      </w:r>
      <w:r w:rsidR="003B50ED" w:rsidRPr="00F16251">
        <w:rPr>
          <w:rFonts w:eastAsia="Calibri" w:cstheme="minorHAnsi"/>
          <w:kern w:val="0"/>
          <w14:ligatures w14:val="none"/>
        </w:rPr>
        <w:t xml:space="preserve"> </w:t>
      </w:r>
      <w:r w:rsidRPr="00F16251">
        <w:rPr>
          <w:rFonts w:eastAsia="Calibri" w:cstheme="minorHAnsi"/>
          <w:kern w:val="0"/>
          <w14:ligatures w14:val="none"/>
        </w:rPr>
        <w:t>zmierzenie</w:t>
      </w:r>
      <w:r w:rsidR="003B50ED" w:rsidRPr="00F16251">
        <w:rPr>
          <w:rFonts w:eastAsia="Calibri" w:cstheme="minorHAnsi"/>
          <w:kern w:val="0"/>
          <w14:ligatures w14:val="none"/>
        </w:rPr>
        <w:t xml:space="preserve"> </w:t>
      </w:r>
      <w:r w:rsidR="00C55B6F" w:rsidRPr="00F16251">
        <w:rPr>
          <w:rFonts w:eastAsia="Calibri" w:cstheme="minorHAnsi"/>
          <w:kern w:val="0"/>
          <w14:ligatures w14:val="none"/>
        </w:rPr>
        <w:br/>
      </w:r>
      <w:r w:rsidRPr="00F16251">
        <w:rPr>
          <w:rFonts w:eastAsia="Calibri" w:cstheme="minorHAnsi"/>
          <w:kern w:val="0"/>
          <w14:ligatures w14:val="none"/>
        </w:rPr>
        <w:t>w</w:t>
      </w:r>
      <w:r w:rsidR="003B50ED" w:rsidRPr="00F16251">
        <w:rPr>
          <w:rFonts w:eastAsia="Calibri" w:cstheme="minorHAnsi"/>
          <w:kern w:val="0"/>
          <w14:ligatures w14:val="none"/>
        </w:rPr>
        <w:t xml:space="preserve"> </w:t>
      </w:r>
      <w:r w:rsidRPr="00F16251">
        <w:rPr>
          <w:rFonts w:eastAsia="Calibri" w:cstheme="minorHAnsi"/>
          <w:kern w:val="0"/>
          <w14:ligatures w14:val="none"/>
        </w:rPr>
        <w:t>danym</w:t>
      </w:r>
      <w:r w:rsidR="003B50ED" w:rsidRPr="00F16251">
        <w:rPr>
          <w:rFonts w:eastAsia="Calibri" w:cstheme="minorHAnsi"/>
          <w:kern w:val="0"/>
          <w14:ligatures w14:val="none"/>
        </w:rPr>
        <w:t xml:space="preserve"> </w:t>
      </w:r>
      <w:r w:rsidRPr="00F16251">
        <w:rPr>
          <w:rFonts w:eastAsia="Calibri" w:cstheme="minorHAnsi"/>
          <w:kern w:val="0"/>
          <w14:ligatures w14:val="none"/>
        </w:rPr>
        <w:t>roku</w:t>
      </w:r>
      <w:r w:rsidR="003B50ED" w:rsidRPr="00F16251">
        <w:rPr>
          <w:rFonts w:eastAsia="Calibri" w:cstheme="minorHAnsi"/>
          <w:kern w:val="0"/>
          <w14:ligatures w14:val="none"/>
        </w:rPr>
        <w:t xml:space="preserve"> </w:t>
      </w:r>
      <w:r w:rsidRPr="00F16251">
        <w:rPr>
          <w:rFonts w:eastAsia="Calibri" w:cstheme="minorHAnsi"/>
          <w:kern w:val="0"/>
          <w14:ligatures w14:val="none"/>
        </w:rPr>
        <w:t>sprawozdawczym.</w:t>
      </w:r>
      <w:r w:rsidR="003B50ED" w:rsidRPr="00F16251">
        <w:rPr>
          <w:rFonts w:eastAsia="Calibri" w:cstheme="minorHAnsi"/>
          <w:kern w:val="0"/>
          <w14:ligatures w14:val="none"/>
        </w:rPr>
        <w:t xml:space="preserve"> </w:t>
      </w:r>
      <w:r w:rsidRPr="00F16251">
        <w:rPr>
          <w:rFonts w:eastAsia="Calibri" w:cstheme="minorHAnsi"/>
          <w:kern w:val="0"/>
          <w14:ligatures w14:val="none"/>
        </w:rPr>
        <w:t>Jednocześnie</w:t>
      </w:r>
      <w:r w:rsidR="003B50ED" w:rsidRPr="00F16251">
        <w:rPr>
          <w:rFonts w:eastAsia="Calibri" w:cstheme="minorHAnsi"/>
          <w:kern w:val="0"/>
          <w14:ligatures w14:val="none"/>
        </w:rPr>
        <w:t xml:space="preserve"> </w:t>
      </w:r>
      <w:r w:rsidRPr="00F16251">
        <w:rPr>
          <w:rFonts w:eastAsia="Calibri" w:cstheme="minorHAnsi"/>
          <w:kern w:val="0"/>
          <w14:ligatures w14:val="none"/>
        </w:rPr>
        <w:t>zidentyfikowane</w:t>
      </w:r>
      <w:r w:rsidR="003B50ED" w:rsidRPr="00F16251">
        <w:rPr>
          <w:rFonts w:eastAsia="Calibri" w:cstheme="minorHAnsi"/>
          <w:kern w:val="0"/>
          <w14:ligatures w14:val="none"/>
        </w:rPr>
        <w:t xml:space="preserve"> </w:t>
      </w:r>
      <w:r w:rsidRPr="00F16251">
        <w:rPr>
          <w:rFonts w:eastAsia="Calibri" w:cstheme="minorHAnsi"/>
          <w:kern w:val="0"/>
          <w14:ligatures w14:val="none"/>
        </w:rPr>
        <w:t>przedsięwzięcia</w:t>
      </w:r>
      <w:r w:rsidR="003B50ED" w:rsidRPr="00F16251">
        <w:rPr>
          <w:rFonts w:eastAsia="Calibri" w:cstheme="minorHAnsi"/>
          <w:kern w:val="0"/>
          <w14:ligatures w14:val="none"/>
        </w:rPr>
        <w:t xml:space="preserve"> </w:t>
      </w:r>
      <w:r w:rsidRPr="00F16251">
        <w:rPr>
          <w:rFonts w:eastAsia="Calibri" w:cstheme="minorHAnsi"/>
          <w:kern w:val="0"/>
          <w14:ligatures w14:val="none"/>
        </w:rPr>
        <w:t>pozwalają</w:t>
      </w:r>
      <w:r w:rsidR="003B50ED" w:rsidRPr="00F16251">
        <w:rPr>
          <w:rFonts w:eastAsia="Calibri" w:cstheme="minorHAnsi"/>
          <w:kern w:val="0"/>
          <w14:ligatures w14:val="none"/>
        </w:rPr>
        <w:t xml:space="preserve"> </w:t>
      </w:r>
      <w:r w:rsidRPr="00F16251">
        <w:rPr>
          <w:rFonts w:eastAsia="Calibri" w:cstheme="minorHAnsi"/>
          <w:kern w:val="0"/>
          <w14:ligatures w14:val="none"/>
        </w:rPr>
        <w:t>na</w:t>
      </w:r>
      <w:r w:rsidR="003B50ED" w:rsidRPr="00F16251">
        <w:rPr>
          <w:rFonts w:eastAsia="Calibri" w:cstheme="minorHAnsi"/>
          <w:kern w:val="0"/>
          <w14:ligatures w14:val="none"/>
        </w:rPr>
        <w:t xml:space="preserve"> </w:t>
      </w:r>
      <w:r w:rsidRPr="00F16251">
        <w:rPr>
          <w:rFonts w:eastAsia="Calibri" w:cstheme="minorHAnsi"/>
          <w:kern w:val="0"/>
          <w14:ligatures w14:val="none"/>
        </w:rPr>
        <w:t>osiągnięcie</w:t>
      </w:r>
      <w:r w:rsidR="003B50ED" w:rsidRPr="00F16251">
        <w:rPr>
          <w:rFonts w:eastAsia="Calibri" w:cstheme="minorHAnsi"/>
          <w:kern w:val="0"/>
          <w14:ligatures w14:val="none"/>
        </w:rPr>
        <w:t xml:space="preserve"> </w:t>
      </w:r>
      <w:r w:rsidRPr="00F16251">
        <w:rPr>
          <w:rFonts w:eastAsia="Calibri" w:cstheme="minorHAnsi"/>
          <w:kern w:val="0"/>
          <w14:ligatures w14:val="none"/>
        </w:rPr>
        <w:t>wskaźników</w:t>
      </w:r>
      <w:r w:rsidR="003B50ED" w:rsidRPr="00F16251">
        <w:rPr>
          <w:rFonts w:eastAsia="Calibri" w:cstheme="minorHAnsi"/>
          <w:kern w:val="0"/>
          <w14:ligatures w14:val="none"/>
        </w:rPr>
        <w:t xml:space="preserve"> </w:t>
      </w:r>
      <w:r w:rsidRPr="00F16251">
        <w:rPr>
          <w:rFonts w:eastAsia="Calibri" w:cstheme="minorHAnsi"/>
          <w:kern w:val="0"/>
          <w14:ligatures w14:val="none"/>
        </w:rPr>
        <w:t>rezultatu</w:t>
      </w:r>
      <w:r w:rsidR="003B50ED" w:rsidRPr="00F16251">
        <w:rPr>
          <w:rFonts w:eastAsia="Calibri" w:cstheme="minorHAnsi"/>
          <w:kern w:val="0"/>
          <w14:ligatures w14:val="none"/>
        </w:rPr>
        <w:t xml:space="preserve"> </w:t>
      </w:r>
      <w:r w:rsidRPr="00F16251">
        <w:rPr>
          <w:rFonts w:eastAsia="Calibri" w:cstheme="minorHAnsi"/>
          <w:kern w:val="0"/>
          <w14:ligatures w14:val="none"/>
        </w:rPr>
        <w:t>określonych</w:t>
      </w:r>
      <w:r w:rsidR="003B50ED" w:rsidRPr="00F16251">
        <w:rPr>
          <w:rFonts w:eastAsia="Calibri" w:cstheme="minorHAnsi"/>
          <w:kern w:val="0"/>
          <w14:ligatures w14:val="none"/>
        </w:rPr>
        <w:t xml:space="preserve"> </w:t>
      </w:r>
      <w:r w:rsidRPr="00F16251">
        <w:rPr>
          <w:rFonts w:eastAsia="Calibri" w:cstheme="minorHAnsi"/>
          <w:kern w:val="0"/>
          <w14:ligatures w14:val="none"/>
        </w:rPr>
        <w:t>dla</w:t>
      </w:r>
      <w:r w:rsidR="003B50ED" w:rsidRPr="00F16251">
        <w:rPr>
          <w:rFonts w:eastAsia="Calibri" w:cstheme="minorHAnsi"/>
          <w:kern w:val="0"/>
          <w14:ligatures w14:val="none"/>
        </w:rPr>
        <w:t xml:space="preserve"> </w:t>
      </w:r>
      <w:r w:rsidRPr="00F16251">
        <w:rPr>
          <w:rFonts w:eastAsia="Calibri" w:cstheme="minorHAnsi"/>
          <w:kern w:val="0"/>
          <w14:ligatures w14:val="none"/>
        </w:rPr>
        <w:t>komponentu</w:t>
      </w:r>
      <w:r w:rsidR="003B50ED" w:rsidRPr="00F16251">
        <w:rPr>
          <w:rFonts w:eastAsia="Calibri" w:cstheme="minorHAnsi"/>
          <w:kern w:val="0"/>
          <w14:ligatures w14:val="none"/>
        </w:rPr>
        <w:t xml:space="preserve"> </w:t>
      </w:r>
      <w:r w:rsidRPr="00F16251">
        <w:rPr>
          <w:rFonts w:eastAsia="Calibri" w:cstheme="minorHAnsi"/>
          <w:kern w:val="0"/>
          <w14:ligatures w14:val="none"/>
        </w:rPr>
        <w:t>Wdrażanie</w:t>
      </w:r>
      <w:r w:rsidR="003B50ED" w:rsidRPr="00F16251">
        <w:rPr>
          <w:rFonts w:eastAsia="Calibri" w:cstheme="minorHAnsi"/>
          <w:kern w:val="0"/>
          <w14:ligatures w14:val="none"/>
        </w:rPr>
        <w:t xml:space="preserve"> </w:t>
      </w:r>
      <w:r w:rsidRPr="00F16251">
        <w:rPr>
          <w:rFonts w:eastAsia="Calibri" w:cstheme="minorHAnsi"/>
          <w:kern w:val="0"/>
          <w14:ligatures w14:val="none"/>
        </w:rPr>
        <w:t>Lokalnych</w:t>
      </w:r>
      <w:r w:rsidR="003B50ED" w:rsidRPr="00F16251">
        <w:rPr>
          <w:rFonts w:eastAsia="Calibri" w:cstheme="minorHAnsi"/>
          <w:kern w:val="0"/>
          <w14:ligatures w14:val="none"/>
        </w:rPr>
        <w:t xml:space="preserve"> </w:t>
      </w:r>
      <w:r w:rsidRPr="00F16251">
        <w:rPr>
          <w:rFonts w:eastAsia="Calibri" w:cstheme="minorHAnsi"/>
          <w:kern w:val="0"/>
          <w14:ligatures w14:val="none"/>
        </w:rPr>
        <w:t>Strategii</w:t>
      </w:r>
      <w:r w:rsidR="003B50ED" w:rsidRPr="00F16251">
        <w:rPr>
          <w:rFonts w:eastAsia="Calibri" w:cstheme="minorHAnsi"/>
          <w:kern w:val="0"/>
          <w14:ligatures w14:val="none"/>
        </w:rPr>
        <w:t xml:space="preserve"> </w:t>
      </w:r>
      <w:r w:rsidRPr="00F16251">
        <w:rPr>
          <w:rFonts w:eastAsia="Calibri" w:cstheme="minorHAnsi"/>
          <w:kern w:val="0"/>
          <w14:ligatures w14:val="none"/>
        </w:rPr>
        <w:t>Rozwoju.</w:t>
      </w:r>
      <w:r w:rsidR="003B50ED" w:rsidRPr="00F16251">
        <w:rPr>
          <w:rFonts w:eastAsia="Calibri" w:cstheme="minorHAnsi"/>
          <w:kern w:val="0"/>
          <w14:ligatures w14:val="none"/>
        </w:rPr>
        <w:t xml:space="preserve"> </w:t>
      </w:r>
      <w:r w:rsidRPr="00F16251">
        <w:rPr>
          <w:rFonts w:eastAsia="Calibri" w:cstheme="minorHAnsi"/>
          <w:kern w:val="0"/>
          <w14:ligatures w14:val="none"/>
        </w:rPr>
        <w:t>Ich</w:t>
      </w:r>
      <w:r w:rsidR="003B50ED" w:rsidRPr="00F16251">
        <w:rPr>
          <w:rFonts w:eastAsia="Calibri" w:cstheme="minorHAnsi"/>
          <w:kern w:val="0"/>
          <w14:ligatures w14:val="none"/>
        </w:rPr>
        <w:t xml:space="preserve"> </w:t>
      </w:r>
      <w:r w:rsidRPr="00F16251">
        <w:rPr>
          <w:rFonts w:eastAsia="Calibri" w:cstheme="minorHAnsi"/>
          <w:kern w:val="0"/>
          <w14:ligatures w14:val="none"/>
        </w:rPr>
        <w:t>wspólna</w:t>
      </w:r>
      <w:r w:rsidR="003B50ED" w:rsidRPr="00F16251">
        <w:rPr>
          <w:rFonts w:eastAsia="Calibri" w:cstheme="minorHAnsi"/>
          <w:kern w:val="0"/>
          <w14:ligatures w14:val="none"/>
        </w:rPr>
        <w:t xml:space="preserve"> </w:t>
      </w:r>
      <w:r w:rsidRPr="00F16251">
        <w:rPr>
          <w:rFonts w:eastAsia="Calibri" w:cstheme="minorHAnsi"/>
          <w:kern w:val="0"/>
          <w14:ligatures w14:val="none"/>
        </w:rPr>
        <w:t>realizacja</w:t>
      </w:r>
      <w:r w:rsidR="003B50ED" w:rsidRPr="00F16251">
        <w:rPr>
          <w:rFonts w:eastAsia="Calibri" w:cstheme="minorHAnsi"/>
          <w:kern w:val="0"/>
          <w14:ligatures w14:val="none"/>
        </w:rPr>
        <w:t xml:space="preserve"> </w:t>
      </w:r>
      <w:r w:rsidRPr="00F16251">
        <w:rPr>
          <w:rFonts w:eastAsia="Calibri" w:cstheme="minorHAnsi"/>
          <w:kern w:val="0"/>
          <w14:ligatures w14:val="none"/>
        </w:rPr>
        <w:t>na</w:t>
      </w:r>
      <w:r w:rsidR="003B50ED" w:rsidRPr="00F16251">
        <w:rPr>
          <w:rFonts w:eastAsia="Calibri" w:cstheme="minorHAnsi"/>
          <w:kern w:val="0"/>
          <w14:ligatures w14:val="none"/>
        </w:rPr>
        <w:t xml:space="preserve"> </w:t>
      </w:r>
      <w:r w:rsidRPr="00F16251">
        <w:rPr>
          <w:rFonts w:eastAsia="Calibri" w:cstheme="minorHAnsi"/>
          <w:kern w:val="0"/>
          <w14:ligatures w14:val="none"/>
        </w:rPr>
        <w:t>poziomie</w:t>
      </w:r>
      <w:r w:rsidR="003B50ED" w:rsidRPr="00F16251">
        <w:rPr>
          <w:rFonts w:eastAsia="Calibri" w:cstheme="minorHAnsi"/>
          <w:kern w:val="0"/>
          <w14:ligatures w14:val="none"/>
        </w:rPr>
        <w:t xml:space="preserve"> </w:t>
      </w:r>
      <w:r w:rsidRPr="00F16251">
        <w:rPr>
          <w:rFonts w:eastAsia="Calibri" w:cstheme="minorHAnsi"/>
          <w:kern w:val="0"/>
          <w14:ligatures w14:val="none"/>
        </w:rPr>
        <w:t>LSR</w:t>
      </w:r>
      <w:r w:rsidR="003B50ED" w:rsidRPr="00F16251">
        <w:rPr>
          <w:rFonts w:eastAsia="Calibri" w:cstheme="minorHAnsi"/>
          <w:kern w:val="0"/>
          <w14:ligatures w14:val="none"/>
        </w:rPr>
        <w:t xml:space="preserve"> </w:t>
      </w:r>
      <w:r w:rsidRPr="00F16251">
        <w:rPr>
          <w:rFonts w:eastAsia="Calibri" w:cstheme="minorHAnsi"/>
          <w:kern w:val="0"/>
          <w14:ligatures w14:val="none"/>
        </w:rPr>
        <w:t>zapewni</w:t>
      </w:r>
      <w:r w:rsidR="003B50ED" w:rsidRPr="00F16251">
        <w:rPr>
          <w:rFonts w:eastAsia="Calibri" w:cstheme="minorHAnsi"/>
          <w:kern w:val="0"/>
          <w14:ligatures w14:val="none"/>
        </w:rPr>
        <w:t xml:space="preserve"> </w:t>
      </w:r>
      <w:r w:rsidRPr="00F16251">
        <w:rPr>
          <w:rFonts w:eastAsia="Calibri" w:cstheme="minorHAnsi"/>
          <w:kern w:val="0"/>
          <w14:ligatures w14:val="none"/>
        </w:rPr>
        <w:t>osiągniecie</w:t>
      </w:r>
      <w:r w:rsidR="003B50ED" w:rsidRPr="00F16251">
        <w:rPr>
          <w:rFonts w:eastAsia="Calibri" w:cstheme="minorHAnsi"/>
          <w:kern w:val="0"/>
          <w14:ligatures w14:val="none"/>
        </w:rPr>
        <w:t xml:space="preserve"> </w:t>
      </w:r>
      <w:r w:rsidRPr="00F16251">
        <w:rPr>
          <w:rFonts w:eastAsia="Calibri" w:cstheme="minorHAnsi"/>
          <w:kern w:val="0"/>
          <w14:ligatures w14:val="none"/>
        </w:rPr>
        <w:t>zamierzonej</w:t>
      </w:r>
      <w:r w:rsidR="003B50ED" w:rsidRPr="00F16251">
        <w:rPr>
          <w:rFonts w:eastAsia="Calibri" w:cstheme="minorHAnsi"/>
          <w:kern w:val="0"/>
          <w14:ligatures w14:val="none"/>
        </w:rPr>
        <w:t xml:space="preserve"> </w:t>
      </w:r>
      <w:r w:rsidRPr="00F16251">
        <w:rPr>
          <w:rFonts w:eastAsia="Calibri" w:cstheme="minorHAnsi"/>
          <w:kern w:val="0"/>
          <w14:ligatures w14:val="none"/>
        </w:rPr>
        <w:t>zmiany,</w:t>
      </w:r>
      <w:r w:rsidR="003B50ED" w:rsidRPr="00F16251">
        <w:rPr>
          <w:rFonts w:eastAsia="Calibri" w:cstheme="minorHAnsi"/>
          <w:kern w:val="0"/>
          <w14:ligatures w14:val="none"/>
        </w:rPr>
        <w:t xml:space="preserve"> </w:t>
      </w:r>
      <w:r w:rsidRPr="00F16251">
        <w:rPr>
          <w:rFonts w:eastAsia="Calibri" w:cstheme="minorHAnsi"/>
          <w:kern w:val="0"/>
          <w14:ligatures w14:val="none"/>
        </w:rPr>
        <w:t>która</w:t>
      </w:r>
      <w:r w:rsidR="003B50ED" w:rsidRPr="00F16251">
        <w:rPr>
          <w:rFonts w:eastAsia="Calibri" w:cstheme="minorHAnsi"/>
          <w:kern w:val="0"/>
          <w14:ligatures w14:val="none"/>
        </w:rPr>
        <w:t xml:space="preserve"> </w:t>
      </w:r>
      <w:r w:rsidRPr="00F16251">
        <w:rPr>
          <w:rFonts w:eastAsia="Calibri" w:cstheme="minorHAnsi"/>
          <w:kern w:val="0"/>
          <w14:ligatures w14:val="none"/>
        </w:rPr>
        <w:t>zostanie</w:t>
      </w:r>
      <w:r w:rsidR="003B50ED" w:rsidRPr="00F16251">
        <w:rPr>
          <w:rFonts w:eastAsia="Calibri" w:cstheme="minorHAnsi"/>
          <w:kern w:val="0"/>
          <w14:ligatures w14:val="none"/>
        </w:rPr>
        <w:t xml:space="preserve"> </w:t>
      </w:r>
      <w:r w:rsidRPr="00F16251">
        <w:rPr>
          <w:rFonts w:eastAsia="Calibri" w:cstheme="minorHAnsi"/>
          <w:kern w:val="0"/>
          <w14:ligatures w14:val="none"/>
        </w:rPr>
        <w:t>uzyskana</w:t>
      </w:r>
      <w:r w:rsidR="003B50ED" w:rsidRPr="00F16251">
        <w:rPr>
          <w:rFonts w:eastAsia="Calibri" w:cstheme="minorHAnsi"/>
          <w:kern w:val="0"/>
          <w14:ligatures w14:val="none"/>
        </w:rPr>
        <w:t xml:space="preserve"> </w:t>
      </w:r>
      <w:r w:rsidRPr="00F16251">
        <w:rPr>
          <w:rFonts w:eastAsia="Calibri" w:cstheme="minorHAnsi"/>
          <w:kern w:val="0"/>
          <w14:ligatures w14:val="none"/>
        </w:rPr>
        <w:t>dzięki</w:t>
      </w:r>
      <w:r w:rsidR="003B50ED" w:rsidRPr="00F16251">
        <w:rPr>
          <w:rFonts w:eastAsia="Calibri" w:cstheme="minorHAnsi"/>
          <w:kern w:val="0"/>
          <w14:ligatures w14:val="none"/>
        </w:rPr>
        <w:t xml:space="preserve"> </w:t>
      </w:r>
      <w:r w:rsidRPr="00F16251">
        <w:rPr>
          <w:rFonts w:eastAsia="Calibri" w:cstheme="minorHAnsi"/>
          <w:kern w:val="0"/>
          <w14:ligatures w14:val="none"/>
        </w:rPr>
        <w:t>realizacji</w:t>
      </w:r>
      <w:r w:rsidR="003B50ED" w:rsidRPr="00F16251">
        <w:rPr>
          <w:rFonts w:eastAsia="Calibri" w:cstheme="minorHAnsi"/>
          <w:kern w:val="0"/>
          <w14:ligatures w14:val="none"/>
        </w:rPr>
        <w:t xml:space="preserve"> </w:t>
      </w:r>
      <w:r w:rsidRPr="00F16251">
        <w:rPr>
          <w:rFonts w:eastAsia="Calibri" w:cstheme="minorHAnsi"/>
          <w:kern w:val="0"/>
          <w14:ligatures w14:val="none"/>
        </w:rPr>
        <w:t>wszystkich</w:t>
      </w:r>
      <w:r w:rsidR="003B50ED" w:rsidRPr="00F16251">
        <w:rPr>
          <w:rFonts w:eastAsia="Calibri" w:cstheme="minorHAnsi"/>
          <w:kern w:val="0"/>
          <w14:ligatures w14:val="none"/>
        </w:rPr>
        <w:t xml:space="preserve"> </w:t>
      </w:r>
      <w:r w:rsidR="00C55B6F" w:rsidRPr="00F16251">
        <w:rPr>
          <w:rFonts w:eastAsia="Calibri" w:cstheme="minorHAnsi"/>
          <w:kern w:val="0"/>
          <w14:ligatures w14:val="none"/>
        </w:rPr>
        <w:t>działań</w:t>
      </w:r>
      <w:r w:rsidRPr="00F16251">
        <w:rPr>
          <w:rFonts w:eastAsia="Calibri" w:cstheme="minorHAnsi"/>
          <w:kern w:val="0"/>
          <w14:ligatures w14:val="none"/>
        </w:rPr>
        <w:t>.</w:t>
      </w:r>
      <w:r w:rsidR="003B50ED" w:rsidRPr="00F16251">
        <w:rPr>
          <w:rFonts w:eastAsia="Calibri" w:cstheme="minorHAnsi"/>
          <w:kern w:val="0"/>
          <w14:ligatures w14:val="none"/>
        </w:rPr>
        <w:t xml:space="preserve"> </w:t>
      </w:r>
      <w:r w:rsidRPr="00F16251">
        <w:rPr>
          <w:rFonts w:eastAsia="Calibri" w:cstheme="minorHAnsi"/>
          <w:kern w:val="0"/>
          <w14:ligatures w14:val="none"/>
        </w:rPr>
        <w:t>Zaplanowane</w:t>
      </w:r>
      <w:r w:rsidR="003B50ED" w:rsidRPr="00F16251">
        <w:rPr>
          <w:rFonts w:eastAsia="Calibri" w:cstheme="minorHAnsi"/>
          <w:kern w:val="0"/>
          <w14:ligatures w14:val="none"/>
        </w:rPr>
        <w:t xml:space="preserve"> </w:t>
      </w:r>
      <w:r w:rsidRPr="00F16251">
        <w:rPr>
          <w:rFonts w:eastAsia="Calibri" w:cstheme="minorHAnsi"/>
          <w:kern w:val="0"/>
          <w14:ligatures w14:val="none"/>
        </w:rPr>
        <w:t>przedsięwzięcia</w:t>
      </w:r>
      <w:r w:rsidR="003B50ED" w:rsidRPr="00F16251">
        <w:rPr>
          <w:rFonts w:eastAsia="Calibri" w:cstheme="minorHAnsi"/>
          <w:kern w:val="0"/>
          <w14:ligatures w14:val="none"/>
        </w:rPr>
        <w:t xml:space="preserve"> </w:t>
      </w:r>
      <w:r w:rsidRPr="00F16251">
        <w:rPr>
          <w:rFonts w:eastAsia="Calibri" w:cstheme="minorHAnsi"/>
          <w:kern w:val="0"/>
          <w14:ligatures w14:val="none"/>
        </w:rPr>
        <w:t>zapewniają</w:t>
      </w:r>
      <w:r w:rsidR="003B50ED" w:rsidRPr="00F16251">
        <w:rPr>
          <w:rFonts w:eastAsia="Calibri" w:cstheme="minorHAnsi"/>
          <w:kern w:val="0"/>
          <w14:ligatures w14:val="none"/>
        </w:rPr>
        <w:t xml:space="preserve"> </w:t>
      </w:r>
      <w:r w:rsidRPr="00F16251">
        <w:rPr>
          <w:rFonts w:eastAsia="Calibri" w:cstheme="minorHAnsi"/>
          <w:kern w:val="0"/>
          <w14:ligatures w14:val="none"/>
        </w:rPr>
        <w:t>uzyskanie</w:t>
      </w:r>
      <w:r w:rsidR="003B50ED" w:rsidRPr="00F16251">
        <w:rPr>
          <w:rFonts w:eastAsia="Calibri" w:cstheme="minorHAnsi"/>
          <w:kern w:val="0"/>
          <w14:ligatures w14:val="none"/>
        </w:rPr>
        <w:t xml:space="preserve"> </w:t>
      </w:r>
      <w:r w:rsidRPr="00F16251">
        <w:rPr>
          <w:rFonts w:eastAsia="Calibri" w:cstheme="minorHAnsi"/>
          <w:kern w:val="0"/>
          <w14:ligatures w14:val="none"/>
        </w:rPr>
        <w:t>efektu</w:t>
      </w:r>
      <w:r w:rsidR="003B50ED" w:rsidRPr="00F16251">
        <w:rPr>
          <w:rFonts w:eastAsia="Calibri" w:cstheme="minorHAnsi"/>
          <w:kern w:val="0"/>
          <w14:ligatures w14:val="none"/>
        </w:rPr>
        <w:t xml:space="preserve"> </w:t>
      </w:r>
      <w:r w:rsidRPr="00F16251">
        <w:rPr>
          <w:rFonts w:eastAsia="Calibri" w:cstheme="minorHAnsi"/>
          <w:kern w:val="0"/>
          <w14:ligatures w14:val="none"/>
        </w:rPr>
        <w:t>synergii,</w:t>
      </w:r>
      <w:r w:rsidR="003B50ED" w:rsidRPr="00F16251">
        <w:rPr>
          <w:rFonts w:eastAsia="Calibri" w:cstheme="minorHAnsi"/>
          <w:kern w:val="0"/>
          <w14:ligatures w14:val="none"/>
        </w:rPr>
        <w:t xml:space="preserve"> </w:t>
      </w:r>
      <w:r w:rsidRPr="00F16251">
        <w:rPr>
          <w:rFonts w:eastAsia="Calibri" w:cstheme="minorHAnsi"/>
          <w:kern w:val="0"/>
          <w14:ligatures w14:val="none"/>
        </w:rPr>
        <w:t>natomiast</w:t>
      </w:r>
      <w:r w:rsidR="003B50ED" w:rsidRPr="00F16251">
        <w:rPr>
          <w:rFonts w:eastAsia="Calibri" w:cstheme="minorHAnsi"/>
          <w:kern w:val="0"/>
          <w14:ligatures w14:val="none"/>
        </w:rPr>
        <w:t xml:space="preserve"> </w:t>
      </w:r>
      <w:r w:rsidRPr="00F16251">
        <w:rPr>
          <w:rFonts w:eastAsia="Calibri" w:cstheme="minorHAnsi"/>
          <w:kern w:val="0"/>
          <w14:ligatures w14:val="none"/>
        </w:rPr>
        <w:t>komplementarne</w:t>
      </w:r>
      <w:r w:rsidR="003B50ED" w:rsidRPr="00F16251">
        <w:rPr>
          <w:rFonts w:eastAsia="Calibri" w:cstheme="minorHAnsi"/>
          <w:kern w:val="0"/>
          <w14:ligatures w14:val="none"/>
        </w:rPr>
        <w:t xml:space="preserve"> </w:t>
      </w:r>
      <w:r w:rsidRPr="00F16251">
        <w:rPr>
          <w:rFonts w:eastAsia="Calibri" w:cstheme="minorHAnsi"/>
          <w:kern w:val="0"/>
          <w14:ligatures w14:val="none"/>
        </w:rPr>
        <w:t>cele</w:t>
      </w:r>
      <w:r w:rsidR="003B50ED" w:rsidRPr="00F16251">
        <w:rPr>
          <w:rFonts w:eastAsia="Calibri" w:cstheme="minorHAnsi"/>
          <w:kern w:val="0"/>
          <w14:ligatures w14:val="none"/>
        </w:rPr>
        <w:t xml:space="preserve"> </w:t>
      </w:r>
      <w:r w:rsidR="00C55B6F" w:rsidRPr="00F16251">
        <w:rPr>
          <w:rFonts w:eastAsia="Calibri" w:cstheme="minorHAnsi"/>
          <w:kern w:val="0"/>
          <w14:ligatures w14:val="none"/>
        </w:rPr>
        <w:br/>
      </w:r>
      <w:r w:rsidRPr="00F16251">
        <w:rPr>
          <w:rFonts w:eastAsia="Calibri" w:cstheme="minorHAnsi"/>
          <w:kern w:val="0"/>
          <w14:ligatures w14:val="none"/>
        </w:rPr>
        <w:t>z</w:t>
      </w:r>
      <w:r w:rsidR="003B50ED" w:rsidRPr="00F16251">
        <w:rPr>
          <w:rFonts w:eastAsia="Calibri" w:cstheme="minorHAnsi"/>
          <w:kern w:val="0"/>
          <w14:ligatures w14:val="none"/>
        </w:rPr>
        <w:t xml:space="preserve"> </w:t>
      </w:r>
      <w:r w:rsidRPr="00F16251">
        <w:rPr>
          <w:rFonts w:eastAsia="Calibri" w:cstheme="minorHAnsi"/>
          <w:kern w:val="0"/>
          <w14:ligatures w14:val="none"/>
        </w:rPr>
        <w:t>jednej</w:t>
      </w:r>
      <w:r w:rsidR="003B50ED" w:rsidRPr="00F16251">
        <w:rPr>
          <w:rFonts w:eastAsia="Calibri" w:cstheme="minorHAnsi"/>
          <w:kern w:val="0"/>
          <w14:ligatures w14:val="none"/>
        </w:rPr>
        <w:t xml:space="preserve"> </w:t>
      </w:r>
      <w:r w:rsidRPr="00F16251">
        <w:rPr>
          <w:rFonts w:eastAsia="Calibri" w:cstheme="minorHAnsi"/>
          <w:kern w:val="0"/>
          <w14:ligatures w14:val="none"/>
        </w:rPr>
        <w:t>strony</w:t>
      </w:r>
      <w:r w:rsidR="003B50ED" w:rsidRPr="00F16251">
        <w:rPr>
          <w:rFonts w:eastAsia="Calibri" w:cstheme="minorHAnsi"/>
          <w:kern w:val="0"/>
          <w14:ligatures w14:val="none"/>
        </w:rPr>
        <w:t xml:space="preserve"> </w:t>
      </w:r>
      <w:r w:rsidRPr="00F16251">
        <w:rPr>
          <w:rFonts w:eastAsia="Calibri" w:cstheme="minorHAnsi"/>
          <w:kern w:val="0"/>
          <w14:ligatures w14:val="none"/>
        </w:rPr>
        <w:t>się</w:t>
      </w:r>
      <w:r w:rsidR="003B50ED" w:rsidRPr="00F16251">
        <w:rPr>
          <w:rFonts w:eastAsia="Calibri" w:cstheme="minorHAnsi"/>
          <w:kern w:val="0"/>
          <w14:ligatures w14:val="none"/>
        </w:rPr>
        <w:t xml:space="preserve"> </w:t>
      </w:r>
      <w:r w:rsidRPr="00F16251">
        <w:rPr>
          <w:rFonts w:eastAsia="Calibri" w:cstheme="minorHAnsi"/>
          <w:kern w:val="0"/>
          <w14:ligatures w14:val="none"/>
        </w:rPr>
        <w:t>uzupełniają</w:t>
      </w:r>
      <w:r w:rsidR="003B50ED" w:rsidRPr="00F16251">
        <w:rPr>
          <w:rFonts w:eastAsia="Calibri" w:cstheme="minorHAnsi"/>
          <w:kern w:val="0"/>
          <w14:ligatures w14:val="none"/>
        </w:rPr>
        <w:t xml:space="preserve"> </w:t>
      </w:r>
      <w:r w:rsidRPr="00F16251">
        <w:rPr>
          <w:rFonts w:eastAsia="Calibri" w:cstheme="minorHAnsi"/>
          <w:kern w:val="0"/>
          <w14:ligatures w14:val="none"/>
        </w:rPr>
        <w:t>by</w:t>
      </w:r>
      <w:r w:rsidR="003B50ED" w:rsidRPr="00F16251">
        <w:rPr>
          <w:rFonts w:eastAsia="Calibri" w:cstheme="minorHAnsi"/>
          <w:kern w:val="0"/>
          <w14:ligatures w14:val="none"/>
        </w:rPr>
        <w:t xml:space="preserve"> </w:t>
      </w:r>
      <w:r w:rsidRPr="00F16251">
        <w:rPr>
          <w:rFonts w:eastAsia="Calibri" w:cstheme="minorHAnsi"/>
          <w:kern w:val="0"/>
          <w14:ligatures w14:val="none"/>
        </w:rPr>
        <w:t>z</w:t>
      </w:r>
      <w:r w:rsidR="003B50ED" w:rsidRPr="00F16251">
        <w:rPr>
          <w:rFonts w:eastAsia="Calibri" w:cstheme="minorHAnsi"/>
          <w:kern w:val="0"/>
          <w14:ligatures w14:val="none"/>
        </w:rPr>
        <w:t xml:space="preserve"> </w:t>
      </w:r>
      <w:r w:rsidRPr="00F16251">
        <w:rPr>
          <w:rFonts w:eastAsia="Calibri" w:cstheme="minorHAnsi"/>
          <w:kern w:val="0"/>
          <w14:ligatures w14:val="none"/>
        </w:rPr>
        <w:t>drugiej</w:t>
      </w:r>
      <w:r w:rsidR="003B50ED" w:rsidRPr="00F16251">
        <w:rPr>
          <w:rFonts w:eastAsia="Calibri" w:cstheme="minorHAnsi"/>
          <w:kern w:val="0"/>
          <w14:ligatures w14:val="none"/>
        </w:rPr>
        <w:t xml:space="preserve"> </w:t>
      </w:r>
      <w:r w:rsidRPr="00F16251">
        <w:rPr>
          <w:rFonts w:eastAsia="Calibri" w:cstheme="minorHAnsi"/>
          <w:kern w:val="0"/>
          <w14:ligatures w14:val="none"/>
        </w:rPr>
        <w:t>wzmacniać</w:t>
      </w:r>
      <w:r w:rsidR="003B50ED" w:rsidRPr="00F16251">
        <w:rPr>
          <w:rFonts w:eastAsia="Calibri" w:cstheme="minorHAnsi"/>
          <w:kern w:val="0"/>
          <w14:ligatures w14:val="none"/>
        </w:rPr>
        <w:t xml:space="preserve"> </w:t>
      </w:r>
      <w:r w:rsidRPr="00F16251">
        <w:rPr>
          <w:rFonts w:eastAsia="Calibri" w:cstheme="minorHAnsi"/>
          <w:kern w:val="0"/>
          <w14:ligatures w14:val="none"/>
        </w:rPr>
        <w:t>efekty</w:t>
      </w:r>
      <w:r w:rsidR="003B50ED" w:rsidRPr="00F16251">
        <w:rPr>
          <w:rFonts w:eastAsia="Calibri" w:cstheme="minorHAnsi"/>
          <w:kern w:val="0"/>
          <w14:ligatures w14:val="none"/>
        </w:rPr>
        <w:t xml:space="preserve"> </w:t>
      </w:r>
      <w:r w:rsidRPr="00F16251">
        <w:rPr>
          <w:rFonts w:eastAsia="Calibri" w:cstheme="minorHAnsi"/>
          <w:kern w:val="0"/>
          <w14:ligatures w14:val="none"/>
        </w:rPr>
        <w:t>podejmowanych</w:t>
      </w:r>
      <w:r w:rsidR="003B50ED" w:rsidRPr="00F16251">
        <w:rPr>
          <w:rFonts w:eastAsia="Calibri" w:cstheme="minorHAnsi"/>
          <w:kern w:val="0"/>
          <w14:ligatures w14:val="none"/>
        </w:rPr>
        <w:t xml:space="preserve"> </w:t>
      </w:r>
      <w:r w:rsidRPr="00F16251">
        <w:rPr>
          <w:rFonts w:eastAsia="Calibri" w:cstheme="minorHAnsi"/>
          <w:kern w:val="0"/>
          <w14:ligatures w14:val="none"/>
        </w:rPr>
        <w:t>działań.</w:t>
      </w:r>
      <w:r w:rsidR="003B50ED" w:rsidRPr="00F16251">
        <w:rPr>
          <w:rFonts w:eastAsia="Calibri" w:cstheme="minorHAnsi"/>
          <w:kern w:val="0"/>
          <w14:ligatures w14:val="none"/>
        </w:rPr>
        <w:t xml:space="preserve"> </w:t>
      </w:r>
    </w:p>
    <w:p w14:paraId="438612CF" w14:textId="2FBC9481" w:rsidR="002C63F4" w:rsidRPr="00F16251" w:rsidRDefault="002C63F4" w:rsidP="00B03AE6">
      <w:pPr>
        <w:spacing w:line="276" w:lineRule="auto"/>
        <w:ind w:firstLine="360"/>
        <w:jc w:val="both"/>
        <w:rPr>
          <w:rFonts w:eastAsia="Calibri" w:cstheme="minorHAnsi"/>
          <w:kern w:val="0"/>
          <w14:ligatures w14:val="none"/>
        </w:rPr>
      </w:pPr>
      <w:r w:rsidRPr="00F16251">
        <w:rPr>
          <w:rFonts w:eastAsia="Calibri" w:cstheme="minorHAnsi"/>
          <w:kern w:val="0"/>
          <w14:ligatures w14:val="none"/>
        </w:rPr>
        <w:t>Planowane</w:t>
      </w:r>
      <w:r w:rsidR="003B50ED" w:rsidRPr="00F16251">
        <w:rPr>
          <w:rFonts w:eastAsia="Calibri" w:cstheme="minorHAnsi"/>
          <w:kern w:val="0"/>
          <w14:ligatures w14:val="none"/>
        </w:rPr>
        <w:t xml:space="preserve"> </w:t>
      </w:r>
      <w:r w:rsidRPr="00F16251">
        <w:rPr>
          <w:rFonts w:eastAsia="Calibri" w:cstheme="minorHAnsi"/>
          <w:kern w:val="0"/>
          <w14:ligatures w14:val="none"/>
        </w:rPr>
        <w:t>cele</w:t>
      </w:r>
      <w:r w:rsidR="003B50ED" w:rsidRPr="00F16251">
        <w:rPr>
          <w:rFonts w:eastAsia="Calibri" w:cstheme="minorHAnsi"/>
          <w:kern w:val="0"/>
          <w14:ligatures w14:val="none"/>
        </w:rPr>
        <w:t xml:space="preserve"> </w:t>
      </w:r>
      <w:r w:rsidRPr="00F16251">
        <w:rPr>
          <w:rFonts w:eastAsia="Calibri" w:cstheme="minorHAnsi"/>
          <w:kern w:val="0"/>
          <w14:ligatures w14:val="none"/>
        </w:rPr>
        <w:t>i</w:t>
      </w:r>
      <w:r w:rsidR="003B50ED" w:rsidRPr="00F16251">
        <w:rPr>
          <w:rFonts w:eastAsia="Calibri" w:cstheme="minorHAnsi"/>
          <w:kern w:val="0"/>
          <w14:ligatures w14:val="none"/>
        </w:rPr>
        <w:t xml:space="preserve"> </w:t>
      </w:r>
      <w:r w:rsidRPr="00F16251">
        <w:rPr>
          <w:rFonts w:eastAsia="Calibri" w:cstheme="minorHAnsi"/>
          <w:kern w:val="0"/>
          <w14:ligatures w14:val="none"/>
        </w:rPr>
        <w:t>przedsięwzięcia</w:t>
      </w:r>
      <w:r w:rsidR="003B50ED" w:rsidRPr="00F16251">
        <w:rPr>
          <w:rFonts w:eastAsia="Calibri" w:cstheme="minorHAnsi"/>
          <w:kern w:val="0"/>
          <w14:ligatures w14:val="none"/>
        </w:rPr>
        <w:t xml:space="preserve"> </w:t>
      </w:r>
      <w:r w:rsidRPr="00F16251">
        <w:rPr>
          <w:rFonts w:eastAsia="Calibri" w:cstheme="minorHAnsi"/>
          <w:kern w:val="0"/>
          <w14:ligatures w14:val="none"/>
        </w:rPr>
        <w:t>zostały</w:t>
      </w:r>
      <w:r w:rsidR="003B50ED" w:rsidRPr="00F16251">
        <w:rPr>
          <w:rFonts w:eastAsia="Calibri" w:cstheme="minorHAnsi"/>
          <w:kern w:val="0"/>
          <w14:ligatures w14:val="none"/>
        </w:rPr>
        <w:t xml:space="preserve"> </w:t>
      </w:r>
      <w:r w:rsidRPr="00F16251">
        <w:rPr>
          <w:rFonts w:eastAsia="Calibri" w:cstheme="minorHAnsi"/>
          <w:kern w:val="0"/>
          <w14:ligatures w14:val="none"/>
        </w:rPr>
        <w:t>skwantyfikowane</w:t>
      </w:r>
      <w:r w:rsidR="003B50ED" w:rsidRPr="00F16251">
        <w:rPr>
          <w:rFonts w:eastAsia="Calibri" w:cstheme="minorHAnsi"/>
          <w:kern w:val="0"/>
          <w14:ligatures w14:val="none"/>
        </w:rPr>
        <w:t xml:space="preserve"> </w:t>
      </w:r>
      <w:r w:rsidRPr="00F16251">
        <w:rPr>
          <w:rFonts w:eastAsia="Calibri" w:cstheme="minorHAnsi"/>
          <w:kern w:val="0"/>
          <w14:ligatures w14:val="none"/>
        </w:rPr>
        <w:t>poprzez</w:t>
      </w:r>
      <w:r w:rsidR="003B50ED" w:rsidRPr="00F16251">
        <w:rPr>
          <w:rFonts w:eastAsia="Calibri" w:cstheme="minorHAnsi"/>
          <w:kern w:val="0"/>
          <w14:ligatures w14:val="none"/>
        </w:rPr>
        <w:t xml:space="preserve"> </w:t>
      </w:r>
      <w:r w:rsidRPr="00F16251">
        <w:rPr>
          <w:rFonts w:eastAsia="Calibri" w:cstheme="minorHAnsi"/>
          <w:kern w:val="0"/>
          <w14:ligatures w14:val="none"/>
        </w:rPr>
        <w:t>wybór</w:t>
      </w:r>
      <w:r w:rsidR="003B50ED" w:rsidRPr="00F16251">
        <w:rPr>
          <w:rFonts w:eastAsia="Calibri" w:cstheme="minorHAnsi"/>
          <w:kern w:val="0"/>
          <w14:ligatures w14:val="none"/>
        </w:rPr>
        <w:t xml:space="preserve"> </w:t>
      </w:r>
      <w:r w:rsidRPr="00F16251">
        <w:rPr>
          <w:rFonts w:eastAsia="Calibri" w:cstheme="minorHAnsi"/>
          <w:kern w:val="0"/>
          <w14:ligatures w14:val="none"/>
        </w:rPr>
        <w:t>odpowiednych</w:t>
      </w:r>
      <w:r w:rsidR="003B50ED" w:rsidRPr="00F16251">
        <w:rPr>
          <w:rFonts w:eastAsia="Calibri" w:cstheme="minorHAnsi"/>
          <w:kern w:val="0"/>
          <w14:ligatures w14:val="none"/>
        </w:rPr>
        <w:t xml:space="preserve"> </w:t>
      </w:r>
      <w:r w:rsidRPr="00F16251">
        <w:rPr>
          <w:rFonts w:eastAsia="Calibri" w:cstheme="minorHAnsi"/>
          <w:kern w:val="0"/>
          <w14:ligatures w14:val="none"/>
        </w:rPr>
        <w:t>wskaźników</w:t>
      </w:r>
      <w:r w:rsidR="003B50ED" w:rsidRPr="00F16251">
        <w:rPr>
          <w:rFonts w:eastAsia="Calibri" w:cstheme="minorHAnsi"/>
          <w:kern w:val="0"/>
          <w14:ligatures w14:val="none"/>
        </w:rPr>
        <w:t xml:space="preserve"> </w:t>
      </w:r>
      <w:r w:rsidRPr="00F16251">
        <w:rPr>
          <w:rFonts w:eastAsia="Calibri" w:cstheme="minorHAnsi"/>
          <w:kern w:val="0"/>
          <w14:ligatures w14:val="none"/>
        </w:rPr>
        <w:t>rezultatu</w:t>
      </w:r>
      <w:r w:rsidR="003B50ED" w:rsidRPr="00F16251">
        <w:rPr>
          <w:rFonts w:eastAsia="Calibri" w:cstheme="minorHAnsi"/>
          <w:kern w:val="0"/>
          <w14:ligatures w14:val="none"/>
        </w:rPr>
        <w:t xml:space="preserve"> </w:t>
      </w:r>
      <w:r w:rsidRPr="00F16251">
        <w:rPr>
          <w:rFonts w:eastAsia="Calibri" w:cstheme="minorHAnsi"/>
          <w:kern w:val="0"/>
          <w14:ligatures w14:val="none"/>
        </w:rPr>
        <w:t>i</w:t>
      </w:r>
      <w:r w:rsidR="003B50ED" w:rsidRPr="00F16251">
        <w:rPr>
          <w:rFonts w:eastAsia="Calibri" w:cstheme="minorHAnsi"/>
          <w:kern w:val="0"/>
          <w14:ligatures w14:val="none"/>
        </w:rPr>
        <w:t xml:space="preserve"> </w:t>
      </w:r>
      <w:r w:rsidRPr="00F16251">
        <w:rPr>
          <w:rFonts w:eastAsia="Calibri" w:cstheme="minorHAnsi"/>
          <w:kern w:val="0"/>
          <w14:ligatures w14:val="none"/>
        </w:rPr>
        <w:t>produktu.</w:t>
      </w:r>
      <w:r w:rsidR="003B50ED" w:rsidRPr="00F16251">
        <w:rPr>
          <w:rFonts w:eastAsia="Calibri" w:cstheme="minorHAnsi"/>
          <w:kern w:val="0"/>
          <w14:ligatures w14:val="none"/>
        </w:rPr>
        <w:t xml:space="preserve"> </w:t>
      </w:r>
      <w:r w:rsidRPr="00F16251">
        <w:rPr>
          <w:rFonts w:eastAsia="Calibri" w:cstheme="minorHAnsi"/>
          <w:kern w:val="0"/>
          <w14:ligatures w14:val="none"/>
        </w:rPr>
        <w:t>Rezultaty</w:t>
      </w:r>
      <w:r w:rsidR="003B50ED" w:rsidRPr="00F16251">
        <w:rPr>
          <w:rFonts w:eastAsia="Calibri" w:cstheme="minorHAnsi"/>
          <w:kern w:val="0"/>
          <w14:ligatures w14:val="none"/>
        </w:rPr>
        <w:t xml:space="preserve"> </w:t>
      </w:r>
      <w:r w:rsidRPr="00F16251">
        <w:rPr>
          <w:rFonts w:eastAsia="Calibri" w:cstheme="minorHAnsi"/>
          <w:kern w:val="0"/>
          <w14:ligatures w14:val="none"/>
        </w:rPr>
        <w:t>zostały</w:t>
      </w:r>
      <w:r w:rsidR="003B50ED" w:rsidRPr="00F16251">
        <w:rPr>
          <w:rFonts w:eastAsia="Calibri" w:cstheme="minorHAnsi"/>
          <w:kern w:val="0"/>
          <w14:ligatures w14:val="none"/>
        </w:rPr>
        <w:t xml:space="preserve"> </w:t>
      </w:r>
      <w:r w:rsidRPr="00F16251">
        <w:rPr>
          <w:rFonts w:eastAsia="Calibri" w:cstheme="minorHAnsi"/>
          <w:kern w:val="0"/>
          <w14:ligatures w14:val="none"/>
        </w:rPr>
        <w:t>wybrane</w:t>
      </w:r>
      <w:r w:rsidR="003B50ED" w:rsidRPr="00F16251">
        <w:rPr>
          <w:rFonts w:eastAsia="Calibri" w:cstheme="minorHAnsi"/>
          <w:kern w:val="0"/>
          <w14:ligatures w14:val="none"/>
        </w:rPr>
        <w:t xml:space="preserve"> </w:t>
      </w:r>
      <w:r w:rsidRPr="00F16251">
        <w:rPr>
          <w:rFonts w:eastAsia="Calibri" w:cstheme="minorHAnsi"/>
          <w:kern w:val="0"/>
          <w14:ligatures w14:val="none"/>
        </w:rPr>
        <w:t>zgodnie</w:t>
      </w:r>
      <w:r w:rsidR="003B50ED" w:rsidRPr="00F16251">
        <w:rPr>
          <w:rFonts w:eastAsia="Calibri" w:cstheme="minorHAnsi"/>
          <w:kern w:val="0"/>
          <w14:ligatures w14:val="none"/>
        </w:rPr>
        <w:t xml:space="preserve"> </w:t>
      </w:r>
      <w:r w:rsidR="004002F3" w:rsidRPr="00F16251">
        <w:rPr>
          <w:rFonts w:eastAsia="Calibri" w:cstheme="minorHAnsi"/>
          <w:kern w:val="0"/>
          <w14:ligatures w14:val="none"/>
        </w:rPr>
        <w:t xml:space="preserve">z </w:t>
      </w:r>
      <w:r w:rsidR="00B03AE6" w:rsidRPr="00F16251">
        <w:rPr>
          <w:rFonts w:eastAsia="Calibri" w:cstheme="minorHAnsi"/>
          <w:kern w:val="0"/>
          <w14:ligatures w14:val="none"/>
        </w:rPr>
        <w:t xml:space="preserve">Załącznikiem nr 4 Sposób ustalania wysokości dostępnych środków przeznaczonych na realizację LSR. Dodatkowo posiłkowano się informacjami przekazywanymi przez Instytucje zaradzające programami. </w:t>
      </w:r>
      <w:r w:rsidRPr="00F16251">
        <w:rPr>
          <w:rFonts w:eastAsia="Calibri" w:cstheme="minorHAnsi"/>
          <w:kern w:val="0"/>
          <w14:ligatures w14:val="none"/>
        </w:rPr>
        <w:t>Zgodnie</w:t>
      </w:r>
      <w:r w:rsidR="003B50ED" w:rsidRPr="00F16251">
        <w:rPr>
          <w:rFonts w:eastAsia="Calibri" w:cstheme="minorHAnsi"/>
          <w:kern w:val="0"/>
          <w14:ligatures w14:val="none"/>
        </w:rPr>
        <w:t xml:space="preserve"> </w:t>
      </w:r>
      <w:r w:rsidRPr="00F16251">
        <w:rPr>
          <w:rFonts w:eastAsia="Calibri" w:cstheme="minorHAnsi"/>
          <w:kern w:val="0"/>
          <w14:ligatures w14:val="none"/>
        </w:rPr>
        <w:t>z</w:t>
      </w:r>
      <w:r w:rsidR="003B50ED" w:rsidRPr="00F16251">
        <w:rPr>
          <w:rFonts w:eastAsia="Calibri" w:cstheme="minorHAnsi"/>
          <w:kern w:val="0"/>
          <w14:ligatures w14:val="none"/>
        </w:rPr>
        <w:t xml:space="preserve"> </w:t>
      </w:r>
      <w:r w:rsidRPr="00F16251">
        <w:rPr>
          <w:rFonts w:eastAsia="Calibri" w:cstheme="minorHAnsi"/>
          <w:kern w:val="0"/>
          <w14:ligatures w14:val="none"/>
        </w:rPr>
        <w:t>zaleceniami</w:t>
      </w:r>
      <w:r w:rsidR="003B50ED" w:rsidRPr="00F16251">
        <w:rPr>
          <w:rFonts w:eastAsia="Calibri" w:cstheme="minorHAnsi"/>
          <w:kern w:val="0"/>
          <w14:ligatures w14:val="none"/>
        </w:rPr>
        <w:t xml:space="preserve"> </w:t>
      </w:r>
      <w:r w:rsidRPr="00F16251">
        <w:rPr>
          <w:rFonts w:eastAsia="Calibri" w:cstheme="minorHAnsi"/>
          <w:kern w:val="0"/>
          <w14:ligatures w14:val="none"/>
        </w:rPr>
        <w:t>z</w:t>
      </w:r>
      <w:r w:rsidR="003B50ED" w:rsidRPr="00F16251">
        <w:rPr>
          <w:rFonts w:eastAsia="Calibri" w:cstheme="minorHAnsi"/>
          <w:kern w:val="0"/>
          <w14:ligatures w14:val="none"/>
        </w:rPr>
        <w:t xml:space="preserve"> </w:t>
      </w:r>
      <w:r w:rsidRPr="00F16251">
        <w:rPr>
          <w:rFonts w:eastAsia="Calibri" w:cstheme="minorHAnsi"/>
          <w:kern w:val="0"/>
          <w14:ligatures w14:val="none"/>
        </w:rPr>
        <w:t>katalogu</w:t>
      </w:r>
      <w:r w:rsidR="003B50ED" w:rsidRPr="00F16251">
        <w:rPr>
          <w:rFonts w:eastAsia="Calibri" w:cstheme="minorHAnsi"/>
          <w:kern w:val="0"/>
          <w14:ligatures w14:val="none"/>
        </w:rPr>
        <w:t xml:space="preserve"> </w:t>
      </w:r>
      <w:r w:rsidRPr="00F16251">
        <w:rPr>
          <w:rFonts w:eastAsia="Calibri" w:cstheme="minorHAnsi"/>
          <w:kern w:val="0"/>
          <w14:ligatures w14:val="none"/>
        </w:rPr>
        <w:t>obowiązkowych</w:t>
      </w:r>
      <w:r w:rsidR="003B50ED" w:rsidRPr="00F16251">
        <w:rPr>
          <w:rFonts w:eastAsia="Calibri" w:cstheme="minorHAnsi"/>
          <w:kern w:val="0"/>
          <w14:ligatures w14:val="none"/>
        </w:rPr>
        <w:t xml:space="preserve"> </w:t>
      </w:r>
      <w:r w:rsidRPr="00F16251">
        <w:rPr>
          <w:rFonts w:eastAsia="Calibri" w:cstheme="minorHAnsi"/>
          <w:kern w:val="0"/>
          <w14:ligatures w14:val="none"/>
        </w:rPr>
        <w:t>wskaźników</w:t>
      </w:r>
      <w:r w:rsidR="003B50ED" w:rsidRPr="00F16251">
        <w:rPr>
          <w:rFonts w:eastAsia="Calibri" w:cstheme="minorHAnsi"/>
          <w:kern w:val="0"/>
          <w14:ligatures w14:val="none"/>
        </w:rPr>
        <w:t xml:space="preserve"> </w:t>
      </w:r>
      <w:r w:rsidRPr="00F16251">
        <w:rPr>
          <w:rFonts w:eastAsia="Calibri" w:cstheme="minorHAnsi"/>
          <w:kern w:val="0"/>
          <w14:ligatures w14:val="none"/>
        </w:rPr>
        <w:t>dokonano</w:t>
      </w:r>
      <w:r w:rsidR="003B50ED" w:rsidRPr="00F16251">
        <w:rPr>
          <w:rFonts w:eastAsia="Calibri" w:cstheme="minorHAnsi"/>
          <w:kern w:val="0"/>
          <w14:ligatures w14:val="none"/>
        </w:rPr>
        <w:t xml:space="preserve"> </w:t>
      </w:r>
      <w:r w:rsidRPr="00F16251">
        <w:rPr>
          <w:rFonts w:eastAsia="Calibri" w:cstheme="minorHAnsi"/>
          <w:kern w:val="0"/>
          <w14:ligatures w14:val="none"/>
        </w:rPr>
        <w:t>wyboru</w:t>
      </w:r>
      <w:r w:rsidR="003B50ED" w:rsidRPr="00F16251">
        <w:rPr>
          <w:rFonts w:eastAsia="Calibri" w:cstheme="minorHAnsi"/>
          <w:kern w:val="0"/>
          <w14:ligatures w14:val="none"/>
        </w:rPr>
        <w:t xml:space="preserve"> </w:t>
      </w:r>
      <w:r w:rsidRPr="00F16251">
        <w:rPr>
          <w:rFonts w:eastAsia="Calibri" w:cstheme="minorHAnsi"/>
          <w:kern w:val="0"/>
          <w14:ligatures w14:val="none"/>
        </w:rPr>
        <w:t>przynajmniej</w:t>
      </w:r>
      <w:r w:rsidR="003B50ED" w:rsidRPr="00F16251">
        <w:rPr>
          <w:rFonts w:eastAsia="Calibri" w:cstheme="minorHAnsi"/>
          <w:kern w:val="0"/>
          <w14:ligatures w14:val="none"/>
        </w:rPr>
        <w:t xml:space="preserve"> </w:t>
      </w:r>
      <w:r w:rsidRPr="00F16251">
        <w:rPr>
          <w:rFonts w:eastAsia="Calibri" w:cstheme="minorHAnsi"/>
          <w:kern w:val="0"/>
          <w14:ligatures w14:val="none"/>
        </w:rPr>
        <w:t>jednego</w:t>
      </w:r>
      <w:r w:rsidR="003B50ED" w:rsidRPr="00F16251">
        <w:rPr>
          <w:rFonts w:eastAsia="Calibri" w:cstheme="minorHAnsi"/>
          <w:kern w:val="0"/>
          <w14:ligatures w14:val="none"/>
        </w:rPr>
        <w:t xml:space="preserve"> </w:t>
      </w:r>
      <w:r w:rsidRPr="00F16251">
        <w:rPr>
          <w:rFonts w:eastAsia="Calibri" w:cstheme="minorHAnsi"/>
          <w:kern w:val="0"/>
          <w14:ligatures w14:val="none"/>
        </w:rPr>
        <w:t>wskaźnika</w:t>
      </w:r>
      <w:r w:rsidR="003B50ED" w:rsidRPr="00F16251">
        <w:rPr>
          <w:rFonts w:eastAsia="Calibri" w:cstheme="minorHAnsi"/>
          <w:kern w:val="0"/>
          <w14:ligatures w14:val="none"/>
        </w:rPr>
        <w:t xml:space="preserve"> </w:t>
      </w:r>
      <w:r w:rsidRPr="00F16251">
        <w:rPr>
          <w:rFonts w:eastAsia="Calibri" w:cstheme="minorHAnsi"/>
          <w:kern w:val="0"/>
          <w14:ligatures w14:val="none"/>
        </w:rPr>
        <w:t>rezultatu.</w:t>
      </w:r>
      <w:r w:rsidR="003B50ED" w:rsidRPr="00F16251">
        <w:rPr>
          <w:rFonts w:eastAsia="Calibri" w:cstheme="minorHAnsi"/>
          <w:kern w:val="0"/>
          <w14:ligatures w14:val="none"/>
        </w:rPr>
        <w:t xml:space="preserve"> </w:t>
      </w:r>
      <w:r w:rsidRPr="00F16251">
        <w:rPr>
          <w:rFonts w:eastAsia="Calibri" w:cstheme="minorHAnsi"/>
          <w:kern w:val="0"/>
          <w14:ligatures w14:val="none"/>
        </w:rPr>
        <w:t>Scharakteryzowane</w:t>
      </w:r>
      <w:r w:rsidR="003B50ED" w:rsidRPr="00F16251">
        <w:rPr>
          <w:rFonts w:eastAsia="Calibri" w:cstheme="minorHAnsi"/>
          <w:kern w:val="0"/>
          <w14:ligatures w14:val="none"/>
        </w:rPr>
        <w:t xml:space="preserve"> </w:t>
      </w:r>
      <w:r w:rsidRPr="00F16251">
        <w:rPr>
          <w:rFonts w:eastAsia="Calibri" w:cstheme="minorHAnsi"/>
          <w:kern w:val="0"/>
          <w14:ligatures w14:val="none"/>
        </w:rPr>
        <w:t>cele</w:t>
      </w:r>
      <w:r w:rsidR="00137086">
        <w:rPr>
          <w:rFonts w:eastAsia="Calibri" w:cstheme="minorHAnsi"/>
          <w:kern w:val="0"/>
          <w14:ligatures w14:val="none"/>
        </w:rPr>
        <w:t xml:space="preserve">                                  </w:t>
      </w:r>
      <w:r w:rsidR="003B50ED" w:rsidRPr="00F16251">
        <w:rPr>
          <w:rFonts w:eastAsia="Calibri" w:cstheme="minorHAnsi"/>
          <w:kern w:val="0"/>
          <w14:ligatures w14:val="none"/>
        </w:rPr>
        <w:t xml:space="preserve"> </w:t>
      </w:r>
      <w:r w:rsidRPr="00F16251">
        <w:rPr>
          <w:rFonts w:eastAsia="Calibri" w:cstheme="minorHAnsi"/>
          <w:kern w:val="0"/>
          <w14:ligatures w14:val="none"/>
        </w:rPr>
        <w:t>i</w:t>
      </w:r>
      <w:r w:rsidR="003B50ED" w:rsidRPr="00F16251">
        <w:rPr>
          <w:rFonts w:eastAsia="Calibri" w:cstheme="minorHAnsi"/>
          <w:kern w:val="0"/>
          <w14:ligatures w14:val="none"/>
        </w:rPr>
        <w:t xml:space="preserve"> </w:t>
      </w:r>
      <w:r w:rsidRPr="00F16251">
        <w:rPr>
          <w:rFonts w:eastAsia="Calibri" w:cstheme="minorHAnsi"/>
          <w:kern w:val="0"/>
          <w14:ligatures w14:val="none"/>
        </w:rPr>
        <w:t>przedsięwzięcia</w:t>
      </w:r>
      <w:r w:rsidR="003B50ED" w:rsidRPr="00F16251">
        <w:rPr>
          <w:rFonts w:eastAsia="Calibri" w:cstheme="minorHAnsi"/>
          <w:kern w:val="0"/>
          <w14:ligatures w14:val="none"/>
        </w:rPr>
        <w:t xml:space="preserve"> </w:t>
      </w:r>
      <w:r w:rsidRPr="00F16251">
        <w:rPr>
          <w:rFonts w:eastAsia="Calibri" w:cstheme="minorHAnsi"/>
          <w:kern w:val="0"/>
          <w14:ligatures w14:val="none"/>
        </w:rPr>
        <w:t>zostały</w:t>
      </w:r>
      <w:r w:rsidR="003B50ED" w:rsidRPr="00F16251">
        <w:rPr>
          <w:rFonts w:eastAsia="Calibri" w:cstheme="minorHAnsi"/>
          <w:kern w:val="0"/>
          <w14:ligatures w14:val="none"/>
        </w:rPr>
        <w:t xml:space="preserve"> </w:t>
      </w:r>
      <w:r w:rsidRPr="00F16251">
        <w:rPr>
          <w:rFonts w:eastAsia="Calibri" w:cstheme="minorHAnsi"/>
          <w:kern w:val="0"/>
          <w14:ligatures w14:val="none"/>
        </w:rPr>
        <w:t>zatem</w:t>
      </w:r>
      <w:r w:rsidR="003B50ED" w:rsidRPr="00F16251">
        <w:rPr>
          <w:rFonts w:eastAsia="Calibri" w:cstheme="minorHAnsi"/>
          <w:kern w:val="0"/>
          <w14:ligatures w14:val="none"/>
        </w:rPr>
        <w:t xml:space="preserve"> </w:t>
      </w:r>
      <w:r w:rsidRPr="00F16251">
        <w:rPr>
          <w:rFonts w:eastAsia="Calibri" w:cstheme="minorHAnsi"/>
          <w:kern w:val="0"/>
          <w14:ligatures w14:val="none"/>
        </w:rPr>
        <w:t>opatrzone</w:t>
      </w:r>
      <w:r w:rsidR="003B50ED" w:rsidRPr="00F16251">
        <w:rPr>
          <w:rFonts w:eastAsia="Calibri" w:cstheme="minorHAnsi"/>
          <w:kern w:val="0"/>
          <w14:ligatures w14:val="none"/>
        </w:rPr>
        <w:t xml:space="preserve"> </w:t>
      </w:r>
      <w:r w:rsidR="00B03AE6" w:rsidRPr="00F16251">
        <w:rPr>
          <w:rFonts w:eastAsia="Calibri" w:cstheme="minorHAnsi"/>
          <w:kern w:val="0"/>
          <w14:ligatures w14:val="none"/>
        </w:rPr>
        <w:t xml:space="preserve">mierzalnymi </w:t>
      </w:r>
      <w:r w:rsidRPr="00F16251">
        <w:rPr>
          <w:rFonts w:eastAsia="Calibri" w:cstheme="minorHAnsi"/>
          <w:kern w:val="0"/>
          <w14:ligatures w14:val="none"/>
        </w:rPr>
        <w:t>i</w:t>
      </w:r>
      <w:r w:rsidR="003B50ED" w:rsidRPr="00F16251">
        <w:rPr>
          <w:rFonts w:eastAsia="Calibri" w:cstheme="minorHAnsi"/>
          <w:kern w:val="0"/>
          <w14:ligatures w14:val="none"/>
        </w:rPr>
        <w:t xml:space="preserve"> </w:t>
      </w:r>
      <w:r w:rsidRPr="00F16251">
        <w:rPr>
          <w:rFonts w:eastAsia="Calibri" w:cstheme="minorHAnsi"/>
          <w:kern w:val="0"/>
          <w14:ligatures w14:val="none"/>
        </w:rPr>
        <w:t>efektywnymi</w:t>
      </w:r>
      <w:r w:rsidR="003B50ED" w:rsidRPr="00F16251">
        <w:rPr>
          <w:rFonts w:eastAsia="Calibri" w:cstheme="minorHAnsi"/>
          <w:kern w:val="0"/>
          <w14:ligatures w14:val="none"/>
        </w:rPr>
        <w:t xml:space="preserve"> </w:t>
      </w:r>
      <w:r w:rsidRPr="00F16251">
        <w:rPr>
          <w:rFonts w:eastAsia="Calibri" w:cstheme="minorHAnsi"/>
          <w:kern w:val="0"/>
          <w14:ligatures w14:val="none"/>
        </w:rPr>
        <w:t>wskaźnikami.</w:t>
      </w:r>
      <w:r w:rsidR="003B50ED" w:rsidRPr="00F16251">
        <w:rPr>
          <w:rFonts w:eastAsia="Calibri" w:cstheme="minorHAnsi"/>
          <w:kern w:val="0"/>
          <w14:ligatures w14:val="none"/>
        </w:rPr>
        <w:t xml:space="preserve"> </w:t>
      </w:r>
    </w:p>
    <w:p w14:paraId="7EE9923C" w14:textId="77777777" w:rsidR="00B03AE6" w:rsidRPr="00F16251" w:rsidRDefault="002C63F4" w:rsidP="00B03AE6">
      <w:pPr>
        <w:spacing w:line="276" w:lineRule="auto"/>
        <w:ind w:firstLine="360"/>
        <w:jc w:val="both"/>
        <w:rPr>
          <w:rFonts w:eastAsia="Calibri" w:cstheme="minorHAnsi"/>
          <w:kern w:val="0"/>
          <w14:ligatures w14:val="none"/>
        </w:rPr>
      </w:pPr>
      <w:r w:rsidRPr="00F16251">
        <w:rPr>
          <w:rFonts w:eastAsia="Calibri" w:cstheme="minorHAnsi"/>
          <w:kern w:val="0"/>
          <w14:ligatures w14:val="none"/>
        </w:rPr>
        <w:t>Cele</w:t>
      </w:r>
      <w:r w:rsidR="003B50ED" w:rsidRPr="00F16251">
        <w:rPr>
          <w:rFonts w:eastAsia="Calibri" w:cstheme="minorHAnsi"/>
          <w:kern w:val="0"/>
          <w14:ligatures w14:val="none"/>
        </w:rPr>
        <w:t xml:space="preserve"> </w:t>
      </w:r>
      <w:r w:rsidRPr="00F16251">
        <w:rPr>
          <w:rFonts w:eastAsia="Calibri" w:cstheme="minorHAnsi"/>
          <w:kern w:val="0"/>
          <w14:ligatures w14:val="none"/>
        </w:rPr>
        <w:t>zostały</w:t>
      </w:r>
      <w:r w:rsidR="003B50ED" w:rsidRPr="00F16251">
        <w:rPr>
          <w:rFonts w:eastAsia="Calibri" w:cstheme="minorHAnsi"/>
          <w:kern w:val="0"/>
          <w14:ligatures w14:val="none"/>
        </w:rPr>
        <w:t xml:space="preserve"> </w:t>
      </w:r>
      <w:r w:rsidRPr="00F16251">
        <w:rPr>
          <w:rFonts w:eastAsia="Calibri" w:cstheme="minorHAnsi"/>
          <w:kern w:val="0"/>
          <w14:ligatures w14:val="none"/>
        </w:rPr>
        <w:t>ustalone</w:t>
      </w:r>
      <w:r w:rsidR="003B50ED" w:rsidRPr="00F16251">
        <w:rPr>
          <w:rFonts w:eastAsia="Calibri" w:cstheme="minorHAnsi"/>
          <w:kern w:val="0"/>
          <w14:ligatures w14:val="none"/>
        </w:rPr>
        <w:t xml:space="preserve"> </w:t>
      </w:r>
      <w:r w:rsidRPr="00F16251">
        <w:rPr>
          <w:rFonts w:eastAsia="Calibri" w:cstheme="minorHAnsi"/>
          <w:kern w:val="0"/>
          <w14:ligatures w14:val="none"/>
        </w:rPr>
        <w:t>przy</w:t>
      </w:r>
      <w:r w:rsidR="003B50ED" w:rsidRPr="00F16251">
        <w:rPr>
          <w:rFonts w:eastAsia="Calibri" w:cstheme="minorHAnsi"/>
          <w:kern w:val="0"/>
          <w14:ligatures w14:val="none"/>
        </w:rPr>
        <w:t xml:space="preserve"> </w:t>
      </w:r>
      <w:r w:rsidRPr="00F16251">
        <w:rPr>
          <w:rFonts w:eastAsia="Calibri" w:cstheme="minorHAnsi"/>
          <w:kern w:val="0"/>
          <w14:ligatures w14:val="none"/>
        </w:rPr>
        <w:t>wykorzystaniu</w:t>
      </w:r>
      <w:r w:rsidR="003B50ED" w:rsidRPr="00F16251">
        <w:rPr>
          <w:rFonts w:eastAsia="Calibri" w:cstheme="minorHAnsi"/>
          <w:kern w:val="0"/>
          <w14:ligatures w14:val="none"/>
        </w:rPr>
        <w:t xml:space="preserve"> </w:t>
      </w:r>
      <w:r w:rsidRPr="00F16251">
        <w:rPr>
          <w:rFonts w:eastAsia="Calibri" w:cstheme="minorHAnsi"/>
          <w:kern w:val="0"/>
          <w14:ligatures w14:val="none"/>
        </w:rPr>
        <w:t>metody</w:t>
      </w:r>
      <w:r w:rsidR="003B50ED" w:rsidRPr="00F16251">
        <w:rPr>
          <w:rFonts w:eastAsia="Calibri" w:cstheme="minorHAnsi"/>
          <w:kern w:val="0"/>
          <w14:ligatures w14:val="none"/>
        </w:rPr>
        <w:t xml:space="preserve"> </w:t>
      </w:r>
      <w:r w:rsidRPr="00F16251">
        <w:rPr>
          <w:rFonts w:eastAsia="Calibri" w:cstheme="minorHAnsi"/>
          <w:kern w:val="0"/>
          <w14:ligatures w14:val="none"/>
        </w:rPr>
        <w:t>SMART,</w:t>
      </w:r>
      <w:r w:rsidR="003B50ED" w:rsidRPr="00F16251">
        <w:rPr>
          <w:rFonts w:eastAsia="Calibri" w:cstheme="minorHAnsi"/>
          <w:kern w:val="0"/>
          <w14:ligatures w14:val="none"/>
        </w:rPr>
        <w:t xml:space="preserve"> </w:t>
      </w:r>
      <w:r w:rsidRPr="00F16251">
        <w:rPr>
          <w:rFonts w:eastAsia="Calibri" w:cstheme="minorHAnsi"/>
          <w:kern w:val="0"/>
          <w14:ligatures w14:val="none"/>
        </w:rPr>
        <w:t>po</w:t>
      </w:r>
      <w:r w:rsidR="003B50ED" w:rsidRPr="00F16251">
        <w:rPr>
          <w:rFonts w:eastAsia="Calibri" w:cstheme="minorHAnsi"/>
          <w:kern w:val="0"/>
          <w14:ligatures w14:val="none"/>
        </w:rPr>
        <w:t xml:space="preserve"> </w:t>
      </w:r>
      <w:r w:rsidRPr="00F16251">
        <w:rPr>
          <w:rFonts w:eastAsia="Calibri" w:cstheme="minorHAnsi"/>
          <w:kern w:val="0"/>
          <w14:ligatures w14:val="none"/>
        </w:rPr>
        <w:t>przeprowadzeniu</w:t>
      </w:r>
      <w:r w:rsidR="003B50ED" w:rsidRPr="00F16251">
        <w:rPr>
          <w:rFonts w:eastAsia="Calibri" w:cstheme="minorHAnsi"/>
          <w:kern w:val="0"/>
          <w14:ligatures w14:val="none"/>
        </w:rPr>
        <w:t xml:space="preserve"> </w:t>
      </w:r>
      <w:r w:rsidRPr="00F16251">
        <w:rPr>
          <w:rFonts w:eastAsia="Calibri" w:cstheme="minorHAnsi"/>
          <w:kern w:val="0"/>
          <w14:ligatures w14:val="none"/>
        </w:rPr>
        <w:t>analizy</w:t>
      </w:r>
      <w:r w:rsidR="003B50ED" w:rsidRPr="00F16251">
        <w:rPr>
          <w:rFonts w:eastAsia="Calibri" w:cstheme="minorHAnsi"/>
          <w:kern w:val="0"/>
          <w14:ligatures w14:val="none"/>
        </w:rPr>
        <w:t xml:space="preserve"> </w:t>
      </w:r>
      <w:r w:rsidRPr="00F16251">
        <w:rPr>
          <w:rFonts w:eastAsia="Calibri" w:cstheme="minorHAnsi"/>
          <w:kern w:val="0"/>
          <w14:ligatures w14:val="none"/>
        </w:rPr>
        <w:t>SWOT</w:t>
      </w:r>
      <w:r w:rsidR="00B03AE6" w:rsidRPr="00F16251">
        <w:rPr>
          <w:rFonts w:eastAsia="Calibri" w:cstheme="minorHAnsi"/>
          <w:kern w:val="0"/>
          <w14:ligatures w14:val="none"/>
        </w:rPr>
        <w:t xml:space="preserve">, </w:t>
      </w:r>
      <w:r w:rsidRPr="00F16251">
        <w:rPr>
          <w:rFonts w:eastAsia="Calibri" w:cstheme="minorHAnsi"/>
          <w:kern w:val="0"/>
          <w14:ligatures w14:val="none"/>
        </w:rPr>
        <w:t>w</w:t>
      </w:r>
      <w:r w:rsidR="003B50ED" w:rsidRPr="00F16251">
        <w:rPr>
          <w:rFonts w:eastAsia="Calibri" w:cstheme="minorHAnsi"/>
          <w:kern w:val="0"/>
          <w14:ligatures w14:val="none"/>
        </w:rPr>
        <w:t xml:space="preserve"> </w:t>
      </w:r>
      <w:r w:rsidRPr="00F16251">
        <w:rPr>
          <w:rFonts w:eastAsia="Calibri" w:cstheme="minorHAnsi"/>
          <w:kern w:val="0"/>
          <w14:ligatures w14:val="none"/>
        </w:rPr>
        <w:t>taki</w:t>
      </w:r>
      <w:r w:rsidR="003B50ED" w:rsidRPr="00F16251">
        <w:rPr>
          <w:rFonts w:eastAsia="Calibri" w:cstheme="minorHAnsi"/>
          <w:kern w:val="0"/>
          <w14:ligatures w14:val="none"/>
        </w:rPr>
        <w:t xml:space="preserve"> </w:t>
      </w:r>
      <w:r w:rsidRPr="00F16251">
        <w:rPr>
          <w:rFonts w:eastAsia="Calibri" w:cstheme="minorHAnsi"/>
          <w:kern w:val="0"/>
          <w14:ligatures w14:val="none"/>
        </w:rPr>
        <w:t>sposób,</w:t>
      </w:r>
      <w:r w:rsidR="003B50ED" w:rsidRPr="00F16251">
        <w:rPr>
          <w:rFonts w:eastAsia="Calibri" w:cstheme="minorHAnsi"/>
          <w:kern w:val="0"/>
          <w14:ligatures w14:val="none"/>
        </w:rPr>
        <w:t xml:space="preserve"> </w:t>
      </w:r>
      <w:r w:rsidRPr="00F16251">
        <w:rPr>
          <w:rFonts w:eastAsia="Calibri" w:cstheme="minorHAnsi"/>
          <w:kern w:val="0"/>
          <w14:ligatures w14:val="none"/>
        </w:rPr>
        <w:t>aby</w:t>
      </w:r>
      <w:r w:rsidR="003B50ED" w:rsidRPr="00F16251">
        <w:rPr>
          <w:rFonts w:eastAsia="Calibri" w:cstheme="minorHAnsi"/>
          <w:kern w:val="0"/>
          <w14:ligatures w14:val="none"/>
        </w:rPr>
        <w:t xml:space="preserve"> </w:t>
      </w:r>
      <w:r w:rsidRPr="00F16251">
        <w:rPr>
          <w:rFonts w:eastAsia="Calibri" w:cstheme="minorHAnsi"/>
          <w:kern w:val="0"/>
          <w14:ligatures w14:val="none"/>
        </w:rPr>
        <w:t>były</w:t>
      </w:r>
      <w:r w:rsidR="003B50ED" w:rsidRPr="00F16251">
        <w:rPr>
          <w:rFonts w:eastAsia="Calibri" w:cstheme="minorHAnsi"/>
          <w:kern w:val="0"/>
          <w14:ligatures w14:val="none"/>
        </w:rPr>
        <w:t xml:space="preserve"> </w:t>
      </w:r>
      <w:r w:rsidRPr="00F16251">
        <w:rPr>
          <w:rFonts w:eastAsia="Calibri" w:cstheme="minorHAnsi"/>
          <w:kern w:val="0"/>
          <w14:ligatures w14:val="none"/>
        </w:rPr>
        <w:t>względem</w:t>
      </w:r>
      <w:r w:rsidR="003B50ED" w:rsidRPr="00F16251">
        <w:rPr>
          <w:rFonts w:eastAsia="Calibri" w:cstheme="minorHAnsi"/>
          <w:kern w:val="0"/>
          <w14:ligatures w14:val="none"/>
        </w:rPr>
        <w:t xml:space="preserve"> </w:t>
      </w:r>
      <w:r w:rsidRPr="00F16251">
        <w:rPr>
          <w:rFonts w:eastAsia="Calibri" w:cstheme="minorHAnsi"/>
          <w:kern w:val="0"/>
          <w14:ligatures w14:val="none"/>
        </w:rPr>
        <w:t>siebie</w:t>
      </w:r>
      <w:r w:rsidR="003B50ED" w:rsidRPr="00F16251">
        <w:rPr>
          <w:rFonts w:eastAsia="Calibri" w:cstheme="minorHAnsi"/>
          <w:kern w:val="0"/>
          <w14:ligatures w14:val="none"/>
        </w:rPr>
        <w:t xml:space="preserve"> </w:t>
      </w:r>
      <w:r w:rsidRPr="00F16251">
        <w:rPr>
          <w:rFonts w:eastAsia="Calibri" w:cstheme="minorHAnsi"/>
          <w:kern w:val="0"/>
          <w14:ligatures w14:val="none"/>
        </w:rPr>
        <w:t>komplementarne.</w:t>
      </w:r>
      <w:r w:rsidR="003B50ED" w:rsidRPr="00F16251">
        <w:rPr>
          <w:rFonts w:eastAsia="Calibri" w:cstheme="minorHAnsi"/>
          <w:kern w:val="0"/>
          <w14:ligatures w14:val="none"/>
        </w:rPr>
        <w:t xml:space="preserve"> </w:t>
      </w:r>
      <w:r w:rsidRPr="00F16251">
        <w:rPr>
          <w:rFonts w:eastAsia="Calibri" w:cstheme="minorHAnsi"/>
          <w:kern w:val="0"/>
          <w14:ligatures w14:val="none"/>
        </w:rPr>
        <w:t>Przedsięwzięcia</w:t>
      </w:r>
      <w:r w:rsidR="003B50ED" w:rsidRPr="00F16251">
        <w:rPr>
          <w:rFonts w:eastAsia="Calibri" w:cstheme="minorHAnsi"/>
          <w:kern w:val="0"/>
          <w14:ligatures w14:val="none"/>
        </w:rPr>
        <w:t xml:space="preserve"> </w:t>
      </w:r>
      <w:r w:rsidRPr="00F16251">
        <w:rPr>
          <w:rFonts w:eastAsia="Calibri" w:cstheme="minorHAnsi"/>
          <w:kern w:val="0"/>
          <w14:ligatures w14:val="none"/>
        </w:rPr>
        <w:t>zakładają</w:t>
      </w:r>
      <w:r w:rsidR="003B50ED" w:rsidRPr="00F16251">
        <w:rPr>
          <w:rFonts w:eastAsia="Calibri" w:cstheme="minorHAnsi"/>
          <w:kern w:val="0"/>
          <w14:ligatures w14:val="none"/>
        </w:rPr>
        <w:t xml:space="preserve"> </w:t>
      </w:r>
      <w:r w:rsidRPr="00F16251">
        <w:rPr>
          <w:rFonts w:eastAsia="Calibri" w:cstheme="minorHAnsi"/>
          <w:kern w:val="0"/>
          <w14:ligatures w14:val="none"/>
        </w:rPr>
        <w:t>realizację</w:t>
      </w:r>
      <w:r w:rsidR="003B50ED" w:rsidRPr="00F16251">
        <w:rPr>
          <w:rFonts w:eastAsia="Calibri" w:cstheme="minorHAnsi"/>
          <w:kern w:val="0"/>
          <w14:ligatures w14:val="none"/>
        </w:rPr>
        <w:t xml:space="preserve"> </w:t>
      </w:r>
      <w:r w:rsidRPr="00F16251">
        <w:rPr>
          <w:rFonts w:eastAsia="Calibri" w:cstheme="minorHAnsi"/>
          <w:kern w:val="0"/>
          <w14:ligatures w14:val="none"/>
        </w:rPr>
        <w:t>spójnych</w:t>
      </w:r>
      <w:r w:rsidR="003B50ED" w:rsidRPr="00F16251">
        <w:rPr>
          <w:rFonts w:eastAsia="Calibri" w:cstheme="minorHAnsi"/>
          <w:kern w:val="0"/>
          <w14:ligatures w14:val="none"/>
        </w:rPr>
        <w:t xml:space="preserve"> </w:t>
      </w:r>
      <w:r w:rsidRPr="00F16251">
        <w:rPr>
          <w:rFonts w:eastAsia="Calibri" w:cstheme="minorHAnsi"/>
          <w:kern w:val="0"/>
          <w14:ligatures w14:val="none"/>
        </w:rPr>
        <w:t>operacji</w:t>
      </w:r>
      <w:r w:rsidR="003B50ED" w:rsidRPr="00F16251">
        <w:rPr>
          <w:rFonts w:eastAsia="Calibri" w:cstheme="minorHAnsi"/>
          <w:kern w:val="0"/>
          <w14:ligatures w14:val="none"/>
        </w:rPr>
        <w:t xml:space="preserve"> </w:t>
      </w:r>
      <w:r w:rsidRPr="00F16251">
        <w:rPr>
          <w:rFonts w:eastAsia="Calibri" w:cstheme="minorHAnsi"/>
          <w:kern w:val="0"/>
          <w14:ligatures w14:val="none"/>
        </w:rPr>
        <w:t>/</w:t>
      </w:r>
      <w:r w:rsidR="003B50ED" w:rsidRPr="00F16251">
        <w:rPr>
          <w:rFonts w:eastAsia="Calibri" w:cstheme="minorHAnsi"/>
          <w:kern w:val="0"/>
          <w14:ligatures w14:val="none"/>
        </w:rPr>
        <w:t xml:space="preserve"> </w:t>
      </w:r>
      <w:r w:rsidRPr="00F16251">
        <w:rPr>
          <w:rFonts w:eastAsia="Calibri" w:cstheme="minorHAnsi"/>
          <w:kern w:val="0"/>
          <w14:ligatures w14:val="none"/>
        </w:rPr>
        <w:t>projektów</w:t>
      </w:r>
      <w:r w:rsidR="003B50ED" w:rsidRPr="00F16251">
        <w:rPr>
          <w:rFonts w:eastAsia="Calibri" w:cstheme="minorHAnsi"/>
          <w:kern w:val="0"/>
          <w14:ligatures w14:val="none"/>
        </w:rPr>
        <w:t xml:space="preserve">, </w:t>
      </w:r>
      <w:r w:rsidRPr="00F16251">
        <w:rPr>
          <w:rFonts w:eastAsia="Calibri" w:cstheme="minorHAnsi"/>
          <w:kern w:val="0"/>
          <w14:ligatures w14:val="none"/>
        </w:rPr>
        <w:t>które</w:t>
      </w:r>
      <w:r w:rsidR="003B50ED" w:rsidRPr="00F16251">
        <w:rPr>
          <w:rFonts w:eastAsia="Calibri" w:cstheme="minorHAnsi"/>
          <w:kern w:val="0"/>
          <w14:ligatures w14:val="none"/>
        </w:rPr>
        <w:t xml:space="preserve"> </w:t>
      </w:r>
      <w:r w:rsidRPr="00F16251">
        <w:rPr>
          <w:rFonts w:eastAsia="Calibri" w:cstheme="minorHAnsi"/>
          <w:kern w:val="0"/>
          <w14:ligatures w14:val="none"/>
        </w:rPr>
        <w:t>dodatkowo</w:t>
      </w:r>
      <w:r w:rsidR="003B50ED" w:rsidRPr="00F16251">
        <w:rPr>
          <w:rFonts w:eastAsia="Calibri" w:cstheme="minorHAnsi"/>
          <w:kern w:val="0"/>
          <w14:ligatures w14:val="none"/>
        </w:rPr>
        <w:t xml:space="preserve"> </w:t>
      </w:r>
      <w:r w:rsidRPr="00F16251">
        <w:rPr>
          <w:rFonts w:eastAsia="Calibri" w:cstheme="minorHAnsi"/>
          <w:kern w:val="0"/>
          <w14:ligatures w14:val="none"/>
        </w:rPr>
        <w:t>w</w:t>
      </w:r>
      <w:r w:rsidR="003B50ED" w:rsidRPr="00F16251">
        <w:rPr>
          <w:rFonts w:eastAsia="Calibri" w:cstheme="minorHAnsi"/>
          <w:kern w:val="0"/>
          <w14:ligatures w14:val="none"/>
        </w:rPr>
        <w:t xml:space="preserve"> </w:t>
      </w:r>
      <w:r w:rsidRPr="00F16251">
        <w:rPr>
          <w:rFonts w:eastAsia="Calibri" w:cstheme="minorHAnsi"/>
          <w:kern w:val="0"/>
          <w14:ligatures w14:val="none"/>
        </w:rPr>
        <w:t>ramach</w:t>
      </w:r>
      <w:r w:rsidR="003B50ED" w:rsidRPr="00F16251">
        <w:rPr>
          <w:rFonts w:eastAsia="Calibri" w:cstheme="minorHAnsi"/>
          <w:kern w:val="0"/>
          <w14:ligatures w14:val="none"/>
        </w:rPr>
        <w:t xml:space="preserve"> </w:t>
      </w:r>
      <w:r w:rsidRPr="00F16251">
        <w:rPr>
          <w:rFonts w:eastAsia="Calibri" w:cstheme="minorHAnsi"/>
          <w:kern w:val="0"/>
          <w14:ligatures w14:val="none"/>
        </w:rPr>
        <w:t>danego</w:t>
      </w:r>
      <w:r w:rsidR="003B50ED" w:rsidRPr="00F16251">
        <w:rPr>
          <w:rFonts w:eastAsia="Calibri" w:cstheme="minorHAnsi"/>
          <w:kern w:val="0"/>
          <w14:ligatures w14:val="none"/>
        </w:rPr>
        <w:t xml:space="preserve"> </w:t>
      </w:r>
      <w:r w:rsidRPr="00F16251">
        <w:rPr>
          <w:rFonts w:eastAsia="Calibri" w:cstheme="minorHAnsi"/>
          <w:kern w:val="0"/>
          <w14:ligatures w14:val="none"/>
        </w:rPr>
        <w:t>celu</w:t>
      </w:r>
      <w:r w:rsidR="003B50ED" w:rsidRPr="00F16251">
        <w:rPr>
          <w:rFonts w:eastAsia="Calibri" w:cstheme="minorHAnsi"/>
          <w:kern w:val="0"/>
          <w14:ligatures w14:val="none"/>
        </w:rPr>
        <w:t xml:space="preserve"> </w:t>
      </w:r>
      <w:r w:rsidRPr="00F16251">
        <w:rPr>
          <w:rFonts w:eastAsia="Calibri" w:cstheme="minorHAnsi"/>
          <w:kern w:val="0"/>
          <w14:ligatures w14:val="none"/>
        </w:rPr>
        <w:t>wykazują</w:t>
      </w:r>
      <w:r w:rsidR="003B50ED" w:rsidRPr="00F16251">
        <w:rPr>
          <w:rFonts w:eastAsia="Calibri" w:cstheme="minorHAnsi"/>
          <w:kern w:val="0"/>
          <w14:ligatures w14:val="none"/>
        </w:rPr>
        <w:t xml:space="preserve"> </w:t>
      </w:r>
      <w:r w:rsidRPr="00F16251">
        <w:rPr>
          <w:rFonts w:eastAsia="Calibri" w:cstheme="minorHAnsi"/>
          <w:kern w:val="0"/>
          <w14:ligatures w14:val="none"/>
        </w:rPr>
        <w:t>się</w:t>
      </w:r>
      <w:r w:rsidR="003B50ED" w:rsidRPr="00F16251">
        <w:rPr>
          <w:rFonts w:eastAsia="Calibri" w:cstheme="minorHAnsi"/>
          <w:kern w:val="0"/>
          <w14:ligatures w14:val="none"/>
        </w:rPr>
        <w:t xml:space="preserve"> </w:t>
      </w:r>
      <w:r w:rsidRPr="00F16251">
        <w:rPr>
          <w:rFonts w:eastAsia="Calibri" w:cstheme="minorHAnsi"/>
          <w:kern w:val="0"/>
          <w14:ligatures w14:val="none"/>
        </w:rPr>
        <w:t>efektem</w:t>
      </w:r>
      <w:r w:rsidR="003B50ED" w:rsidRPr="00F16251">
        <w:rPr>
          <w:rFonts w:eastAsia="Calibri" w:cstheme="minorHAnsi"/>
          <w:kern w:val="0"/>
          <w14:ligatures w14:val="none"/>
        </w:rPr>
        <w:t xml:space="preserve"> </w:t>
      </w:r>
      <w:r w:rsidRPr="00F16251">
        <w:rPr>
          <w:rFonts w:eastAsia="Calibri" w:cstheme="minorHAnsi"/>
          <w:kern w:val="0"/>
          <w14:ligatures w14:val="none"/>
        </w:rPr>
        <w:t>synergii.</w:t>
      </w:r>
      <w:r w:rsidR="003B50ED" w:rsidRPr="00F16251">
        <w:rPr>
          <w:rFonts w:eastAsia="Calibri" w:cstheme="minorHAnsi"/>
          <w:kern w:val="0"/>
          <w14:ligatures w14:val="none"/>
        </w:rPr>
        <w:t xml:space="preserve"> </w:t>
      </w:r>
    </w:p>
    <w:p w14:paraId="098C75DB" w14:textId="20087126" w:rsidR="002C63F4" w:rsidRPr="00F16251" w:rsidRDefault="002C63F4" w:rsidP="00B03AE6">
      <w:pPr>
        <w:spacing w:line="276" w:lineRule="auto"/>
        <w:ind w:firstLine="360"/>
        <w:jc w:val="both"/>
        <w:rPr>
          <w:rFonts w:eastAsia="Calibri" w:cstheme="minorHAnsi"/>
          <w:kern w:val="0"/>
          <w14:ligatures w14:val="none"/>
        </w:rPr>
      </w:pPr>
      <w:r w:rsidRPr="00F16251">
        <w:rPr>
          <w:rFonts w:eastAsia="Calibri" w:cstheme="minorHAnsi"/>
          <w:kern w:val="0"/>
          <w14:ligatures w14:val="none"/>
        </w:rPr>
        <w:lastRenderedPageBreak/>
        <w:t>Ponadto,</w:t>
      </w:r>
      <w:r w:rsidR="003B50ED" w:rsidRPr="00F16251">
        <w:rPr>
          <w:rFonts w:eastAsia="Calibri" w:cstheme="minorHAnsi"/>
          <w:kern w:val="0"/>
          <w14:ligatures w14:val="none"/>
        </w:rPr>
        <w:t xml:space="preserve"> </w:t>
      </w:r>
      <w:r w:rsidRPr="00F16251">
        <w:rPr>
          <w:rFonts w:eastAsia="Calibri" w:cstheme="minorHAnsi"/>
          <w:kern w:val="0"/>
          <w14:ligatures w14:val="none"/>
        </w:rPr>
        <w:t>mają</w:t>
      </w:r>
      <w:r w:rsidR="003B50ED" w:rsidRPr="00F16251">
        <w:rPr>
          <w:rFonts w:eastAsia="Calibri" w:cstheme="minorHAnsi"/>
          <w:kern w:val="0"/>
          <w14:ligatures w14:val="none"/>
        </w:rPr>
        <w:t xml:space="preserve"> </w:t>
      </w:r>
      <w:r w:rsidRPr="00F16251">
        <w:rPr>
          <w:rFonts w:eastAsia="Calibri" w:cstheme="minorHAnsi"/>
          <w:kern w:val="0"/>
          <w14:ligatures w14:val="none"/>
        </w:rPr>
        <w:t>zachęcać</w:t>
      </w:r>
      <w:r w:rsidR="003B50ED" w:rsidRPr="00F16251">
        <w:rPr>
          <w:rFonts w:eastAsia="Calibri" w:cstheme="minorHAnsi"/>
          <w:kern w:val="0"/>
          <w14:ligatures w14:val="none"/>
        </w:rPr>
        <w:t xml:space="preserve"> </w:t>
      </w:r>
      <w:r w:rsidRPr="00F16251">
        <w:rPr>
          <w:rFonts w:eastAsia="Calibri" w:cstheme="minorHAnsi"/>
          <w:kern w:val="0"/>
          <w14:ligatures w14:val="none"/>
        </w:rPr>
        <w:t>potencjalnych</w:t>
      </w:r>
      <w:r w:rsidR="003B50ED" w:rsidRPr="00F16251">
        <w:rPr>
          <w:rFonts w:eastAsia="Calibri" w:cstheme="minorHAnsi"/>
          <w:kern w:val="0"/>
          <w14:ligatures w14:val="none"/>
        </w:rPr>
        <w:t xml:space="preserve"> </w:t>
      </w:r>
      <w:r w:rsidRPr="00F16251">
        <w:rPr>
          <w:rFonts w:eastAsia="Calibri" w:cstheme="minorHAnsi"/>
          <w:kern w:val="0"/>
          <w14:ligatures w14:val="none"/>
        </w:rPr>
        <w:t>beneficjentów</w:t>
      </w:r>
      <w:r w:rsidR="003B50ED" w:rsidRPr="00F16251">
        <w:rPr>
          <w:rFonts w:eastAsia="Calibri" w:cstheme="minorHAnsi"/>
          <w:kern w:val="0"/>
          <w14:ligatures w14:val="none"/>
        </w:rPr>
        <w:t xml:space="preserve"> </w:t>
      </w:r>
      <w:r w:rsidRPr="00F16251">
        <w:rPr>
          <w:rFonts w:eastAsia="Calibri" w:cstheme="minorHAnsi"/>
          <w:kern w:val="0"/>
          <w14:ligatures w14:val="none"/>
        </w:rPr>
        <w:t>do</w:t>
      </w:r>
      <w:r w:rsidR="003B50ED" w:rsidRPr="00F16251">
        <w:rPr>
          <w:rFonts w:eastAsia="Calibri" w:cstheme="minorHAnsi"/>
          <w:kern w:val="0"/>
          <w14:ligatures w14:val="none"/>
        </w:rPr>
        <w:t xml:space="preserve"> </w:t>
      </w:r>
      <w:r w:rsidRPr="00F16251">
        <w:rPr>
          <w:rFonts w:eastAsia="Calibri" w:cstheme="minorHAnsi"/>
          <w:kern w:val="0"/>
          <w14:ligatures w14:val="none"/>
        </w:rPr>
        <w:t>aktywności</w:t>
      </w:r>
      <w:r w:rsidR="003B50ED" w:rsidRPr="00F16251">
        <w:rPr>
          <w:rFonts w:eastAsia="Calibri" w:cstheme="minorHAnsi"/>
          <w:kern w:val="0"/>
          <w14:ligatures w14:val="none"/>
        </w:rPr>
        <w:t xml:space="preserve"> </w:t>
      </w:r>
      <w:r w:rsidRPr="00F16251">
        <w:rPr>
          <w:rFonts w:eastAsia="Calibri" w:cstheme="minorHAnsi"/>
          <w:kern w:val="0"/>
          <w14:ligatures w14:val="none"/>
        </w:rPr>
        <w:t>i</w:t>
      </w:r>
      <w:r w:rsidR="003B50ED" w:rsidRPr="00F16251">
        <w:rPr>
          <w:rFonts w:eastAsia="Calibri" w:cstheme="minorHAnsi"/>
          <w:kern w:val="0"/>
          <w14:ligatures w14:val="none"/>
        </w:rPr>
        <w:t xml:space="preserve"> </w:t>
      </w:r>
      <w:r w:rsidRPr="00F16251">
        <w:rPr>
          <w:rFonts w:eastAsia="Calibri" w:cstheme="minorHAnsi"/>
          <w:kern w:val="0"/>
          <w14:ligatures w14:val="none"/>
        </w:rPr>
        <w:t>podejmowania</w:t>
      </w:r>
      <w:r w:rsidR="003B50ED" w:rsidRPr="00F16251">
        <w:rPr>
          <w:rFonts w:eastAsia="Calibri" w:cstheme="minorHAnsi"/>
          <w:kern w:val="0"/>
          <w14:ligatures w14:val="none"/>
        </w:rPr>
        <w:t xml:space="preserve"> </w:t>
      </w:r>
      <w:r w:rsidRPr="00F16251">
        <w:rPr>
          <w:rFonts w:eastAsia="Calibri" w:cstheme="minorHAnsi"/>
          <w:kern w:val="0"/>
          <w14:ligatures w14:val="none"/>
        </w:rPr>
        <w:t>się</w:t>
      </w:r>
      <w:r w:rsidR="003B50ED" w:rsidRPr="00F16251">
        <w:rPr>
          <w:rFonts w:eastAsia="Calibri" w:cstheme="minorHAnsi"/>
          <w:kern w:val="0"/>
          <w14:ligatures w14:val="none"/>
        </w:rPr>
        <w:t xml:space="preserve"> </w:t>
      </w:r>
      <w:r w:rsidRPr="00F16251">
        <w:rPr>
          <w:rFonts w:eastAsia="Calibri" w:cstheme="minorHAnsi"/>
          <w:kern w:val="0"/>
          <w14:ligatures w14:val="none"/>
        </w:rPr>
        <w:t>realizacji</w:t>
      </w:r>
      <w:r w:rsidR="003B50ED" w:rsidRPr="00F16251">
        <w:rPr>
          <w:rFonts w:eastAsia="Calibri" w:cstheme="minorHAnsi"/>
          <w:kern w:val="0"/>
          <w14:ligatures w14:val="none"/>
        </w:rPr>
        <w:t xml:space="preserve"> </w:t>
      </w:r>
      <w:r w:rsidRPr="00F16251">
        <w:rPr>
          <w:rFonts w:eastAsia="Calibri" w:cstheme="minorHAnsi"/>
          <w:kern w:val="0"/>
          <w14:ligatures w14:val="none"/>
        </w:rPr>
        <w:t>potrzebnych</w:t>
      </w:r>
      <w:r w:rsidR="003B50ED" w:rsidRPr="00F16251">
        <w:rPr>
          <w:rFonts w:eastAsia="Calibri" w:cstheme="minorHAnsi"/>
          <w:kern w:val="0"/>
          <w14:ligatures w14:val="none"/>
        </w:rPr>
        <w:t xml:space="preserve"> </w:t>
      </w:r>
      <w:r w:rsidRPr="00F16251">
        <w:rPr>
          <w:rFonts w:eastAsia="Calibri" w:cstheme="minorHAnsi"/>
          <w:kern w:val="0"/>
          <w14:ligatures w14:val="none"/>
        </w:rPr>
        <w:t>na</w:t>
      </w:r>
      <w:r w:rsidR="003B50ED" w:rsidRPr="00F16251">
        <w:rPr>
          <w:rFonts w:eastAsia="Calibri" w:cstheme="minorHAnsi"/>
          <w:kern w:val="0"/>
          <w14:ligatures w14:val="none"/>
        </w:rPr>
        <w:t xml:space="preserve"> </w:t>
      </w:r>
      <w:r w:rsidRPr="00F16251">
        <w:rPr>
          <w:rFonts w:eastAsia="Calibri" w:cstheme="minorHAnsi"/>
          <w:kern w:val="0"/>
          <w14:ligatures w14:val="none"/>
        </w:rPr>
        <w:t>obszarze</w:t>
      </w:r>
      <w:r w:rsidR="003B50ED" w:rsidRPr="00F16251">
        <w:rPr>
          <w:rFonts w:eastAsia="Calibri" w:cstheme="minorHAnsi"/>
          <w:kern w:val="0"/>
          <w14:ligatures w14:val="none"/>
        </w:rPr>
        <w:t xml:space="preserve"> </w:t>
      </w:r>
      <w:r w:rsidRPr="00F16251">
        <w:rPr>
          <w:rFonts w:eastAsia="Calibri" w:cstheme="minorHAnsi"/>
          <w:kern w:val="0"/>
          <w14:ligatures w14:val="none"/>
        </w:rPr>
        <w:t>LSR</w:t>
      </w:r>
      <w:r w:rsidR="003B50ED" w:rsidRPr="00F16251">
        <w:rPr>
          <w:rFonts w:eastAsia="Calibri" w:cstheme="minorHAnsi"/>
          <w:kern w:val="0"/>
          <w14:ligatures w14:val="none"/>
        </w:rPr>
        <w:t xml:space="preserve"> </w:t>
      </w:r>
      <w:r w:rsidRPr="00F16251">
        <w:rPr>
          <w:rFonts w:eastAsia="Calibri" w:cstheme="minorHAnsi"/>
          <w:kern w:val="0"/>
          <w14:ligatures w14:val="none"/>
        </w:rPr>
        <w:t>inicjatyw</w:t>
      </w:r>
      <w:r w:rsidR="003B50ED" w:rsidRPr="00F16251">
        <w:rPr>
          <w:rFonts w:eastAsia="Calibri" w:cstheme="minorHAnsi"/>
          <w:kern w:val="0"/>
          <w14:ligatures w14:val="none"/>
        </w:rPr>
        <w:t xml:space="preserve"> </w:t>
      </w:r>
      <w:r w:rsidRPr="00F16251">
        <w:rPr>
          <w:rFonts w:eastAsia="Calibri" w:cstheme="minorHAnsi"/>
          <w:kern w:val="0"/>
          <w14:ligatures w14:val="none"/>
        </w:rPr>
        <w:t>społecznych.</w:t>
      </w:r>
      <w:r w:rsidR="003B50ED" w:rsidRPr="00F16251">
        <w:rPr>
          <w:rFonts w:eastAsia="Calibri" w:cstheme="minorHAnsi"/>
          <w:kern w:val="0"/>
          <w14:ligatures w14:val="none"/>
        </w:rPr>
        <w:t xml:space="preserve"> </w:t>
      </w:r>
      <w:r w:rsidRPr="00F16251">
        <w:rPr>
          <w:rFonts w:eastAsia="Calibri" w:cstheme="minorHAnsi"/>
          <w:kern w:val="0"/>
          <w14:ligatures w14:val="none"/>
        </w:rPr>
        <w:t>Właśnie</w:t>
      </w:r>
      <w:r w:rsidR="003B50ED" w:rsidRPr="00F16251">
        <w:rPr>
          <w:rFonts w:eastAsia="Calibri" w:cstheme="minorHAnsi"/>
          <w:kern w:val="0"/>
          <w14:ligatures w14:val="none"/>
        </w:rPr>
        <w:t xml:space="preserve"> </w:t>
      </w:r>
      <w:r w:rsidRPr="00F16251">
        <w:rPr>
          <w:rFonts w:eastAsia="Calibri" w:cstheme="minorHAnsi"/>
          <w:kern w:val="0"/>
          <w14:ligatures w14:val="none"/>
        </w:rPr>
        <w:t>takie</w:t>
      </w:r>
      <w:r w:rsidR="003B50ED" w:rsidRPr="00F16251">
        <w:rPr>
          <w:rFonts w:eastAsia="Calibri" w:cstheme="minorHAnsi"/>
          <w:kern w:val="0"/>
          <w14:ligatures w14:val="none"/>
        </w:rPr>
        <w:t xml:space="preserve"> </w:t>
      </w:r>
      <w:r w:rsidRPr="00F16251">
        <w:rPr>
          <w:rFonts w:eastAsia="Calibri" w:cstheme="minorHAnsi"/>
          <w:kern w:val="0"/>
          <w14:ligatures w14:val="none"/>
        </w:rPr>
        <w:t>podejście</w:t>
      </w:r>
      <w:r w:rsidR="003B50ED" w:rsidRPr="00F16251">
        <w:rPr>
          <w:rFonts w:eastAsia="Calibri" w:cstheme="minorHAnsi"/>
          <w:kern w:val="0"/>
          <w14:ligatures w14:val="none"/>
        </w:rPr>
        <w:t xml:space="preserve"> </w:t>
      </w:r>
      <w:r w:rsidRPr="00F16251">
        <w:rPr>
          <w:rFonts w:eastAsia="Calibri" w:cstheme="minorHAnsi"/>
          <w:kern w:val="0"/>
          <w14:ligatures w14:val="none"/>
        </w:rPr>
        <w:t>zapewni</w:t>
      </w:r>
      <w:r w:rsidR="003B50ED" w:rsidRPr="00F16251">
        <w:rPr>
          <w:rFonts w:eastAsia="Calibri" w:cstheme="minorHAnsi"/>
          <w:kern w:val="0"/>
          <w14:ligatures w14:val="none"/>
        </w:rPr>
        <w:t xml:space="preserve"> </w:t>
      </w:r>
      <w:r w:rsidRPr="00F16251">
        <w:rPr>
          <w:rFonts w:eastAsia="Calibri" w:cstheme="minorHAnsi"/>
          <w:kern w:val="0"/>
          <w14:ligatures w14:val="none"/>
        </w:rPr>
        <w:t>dalszy</w:t>
      </w:r>
      <w:r w:rsidR="003B50ED" w:rsidRPr="00F16251">
        <w:rPr>
          <w:rFonts w:eastAsia="Calibri" w:cstheme="minorHAnsi"/>
          <w:kern w:val="0"/>
          <w14:ligatures w14:val="none"/>
        </w:rPr>
        <w:t xml:space="preserve"> </w:t>
      </w:r>
      <w:r w:rsidRPr="00F16251">
        <w:rPr>
          <w:rFonts w:eastAsia="Calibri" w:cstheme="minorHAnsi"/>
          <w:kern w:val="0"/>
          <w14:ligatures w14:val="none"/>
        </w:rPr>
        <w:t>zrównoważony</w:t>
      </w:r>
      <w:r w:rsidR="003B50ED" w:rsidRPr="00F16251">
        <w:rPr>
          <w:rFonts w:eastAsia="Calibri" w:cstheme="minorHAnsi"/>
          <w:kern w:val="0"/>
          <w14:ligatures w14:val="none"/>
        </w:rPr>
        <w:t xml:space="preserve"> </w:t>
      </w:r>
      <w:r w:rsidRPr="00F16251">
        <w:rPr>
          <w:rFonts w:eastAsia="Calibri" w:cstheme="minorHAnsi"/>
          <w:kern w:val="0"/>
          <w14:ligatures w14:val="none"/>
        </w:rPr>
        <w:t>rozwój</w:t>
      </w:r>
      <w:r w:rsidR="003B50ED" w:rsidRPr="00F16251">
        <w:rPr>
          <w:rFonts w:eastAsia="Calibri" w:cstheme="minorHAnsi"/>
          <w:kern w:val="0"/>
          <w14:ligatures w14:val="none"/>
        </w:rPr>
        <w:t xml:space="preserve"> </w:t>
      </w:r>
      <w:r w:rsidRPr="00F16251">
        <w:rPr>
          <w:rFonts w:eastAsia="Calibri" w:cstheme="minorHAnsi"/>
          <w:kern w:val="0"/>
          <w14:ligatures w14:val="none"/>
        </w:rPr>
        <w:t>obszaru</w:t>
      </w:r>
      <w:r w:rsidR="003B50ED" w:rsidRPr="00F16251">
        <w:rPr>
          <w:rFonts w:eastAsia="Calibri" w:cstheme="minorHAnsi"/>
          <w:kern w:val="0"/>
          <w14:ligatures w14:val="none"/>
        </w:rPr>
        <w:t xml:space="preserve"> </w:t>
      </w:r>
      <w:r w:rsidRPr="00F16251">
        <w:rPr>
          <w:rFonts w:eastAsia="Calibri" w:cstheme="minorHAnsi"/>
          <w:kern w:val="0"/>
          <w14:ligatures w14:val="none"/>
        </w:rPr>
        <w:t>LSR.</w:t>
      </w:r>
      <w:r w:rsidR="003B50ED" w:rsidRPr="00F16251">
        <w:rPr>
          <w:rFonts w:eastAsia="Calibri" w:cstheme="minorHAnsi"/>
          <w:kern w:val="0"/>
          <w14:ligatures w14:val="none"/>
        </w:rPr>
        <w:t xml:space="preserve"> </w:t>
      </w:r>
    </w:p>
    <w:bookmarkEnd w:id="102"/>
    <w:p w14:paraId="6C920030" w14:textId="5312C5CD" w:rsidR="002C63F4" w:rsidRPr="00F16251" w:rsidRDefault="002C63F4" w:rsidP="00A26C26">
      <w:pPr>
        <w:spacing w:line="276" w:lineRule="auto"/>
        <w:jc w:val="both"/>
        <w:rPr>
          <w:rFonts w:eastAsia="Calibri" w:cstheme="minorHAnsi"/>
          <w:b/>
          <w:bCs/>
          <w:kern w:val="0"/>
          <w:u w:val="single"/>
          <w14:ligatures w14:val="none"/>
        </w:rPr>
      </w:pPr>
      <w:r w:rsidRPr="00F16251">
        <w:rPr>
          <w:rFonts w:eastAsia="Calibri" w:cstheme="minorHAnsi"/>
          <w:b/>
          <w:bCs/>
          <w:kern w:val="0"/>
          <w:u w:val="single"/>
          <w14:ligatures w14:val="none"/>
        </w:rPr>
        <w:t>Cel</w:t>
      </w:r>
      <w:r w:rsidR="003B50ED" w:rsidRPr="00F16251">
        <w:rPr>
          <w:rFonts w:eastAsia="Calibri" w:cstheme="minorHAnsi"/>
          <w:b/>
          <w:bCs/>
          <w:kern w:val="0"/>
          <w:u w:val="single"/>
          <w14:ligatures w14:val="none"/>
        </w:rPr>
        <w:t xml:space="preserve"> </w:t>
      </w:r>
      <w:r w:rsidRPr="00F16251">
        <w:rPr>
          <w:rFonts w:eastAsia="Calibri" w:cstheme="minorHAnsi"/>
          <w:b/>
          <w:bCs/>
          <w:kern w:val="0"/>
          <w:u w:val="single"/>
          <w14:ligatures w14:val="none"/>
        </w:rPr>
        <w:t>1.</w:t>
      </w:r>
      <w:r w:rsidR="003B50ED" w:rsidRPr="00F16251">
        <w:rPr>
          <w:rFonts w:eastAsia="Calibri" w:cstheme="minorHAnsi"/>
          <w:b/>
          <w:bCs/>
          <w:kern w:val="0"/>
          <w:u w:val="single"/>
          <w14:ligatures w14:val="none"/>
        </w:rPr>
        <w:t xml:space="preserve"> </w:t>
      </w:r>
      <w:r w:rsidRPr="00F16251">
        <w:rPr>
          <w:rFonts w:eastAsia="Calibri" w:cstheme="minorHAnsi"/>
          <w:b/>
          <w:bCs/>
          <w:kern w:val="0"/>
          <w:u w:val="single"/>
          <w14:ligatures w14:val="none"/>
        </w:rPr>
        <w:t>Poprawa</w:t>
      </w:r>
      <w:r w:rsidR="003B50ED" w:rsidRPr="00F16251">
        <w:rPr>
          <w:rFonts w:eastAsia="Calibri" w:cstheme="minorHAnsi"/>
          <w:b/>
          <w:bCs/>
          <w:kern w:val="0"/>
          <w:u w:val="single"/>
          <w14:ligatures w14:val="none"/>
        </w:rPr>
        <w:t xml:space="preserve"> </w:t>
      </w:r>
      <w:r w:rsidRPr="00F16251">
        <w:rPr>
          <w:rFonts w:eastAsia="Calibri" w:cstheme="minorHAnsi"/>
          <w:b/>
          <w:bCs/>
          <w:kern w:val="0"/>
          <w:u w:val="single"/>
          <w14:ligatures w14:val="none"/>
        </w:rPr>
        <w:t>jakości</w:t>
      </w:r>
      <w:r w:rsidR="003B50ED" w:rsidRPr="00F16251">
        <w:rPr>
          <w:rFonts w:eastAsia="Calibri" w:cstheme="minorHAnsi"/>
          <w:b/>
          <w:bCs/>
          <w:kern w:val="0"/>
          <w:u w:val="single"/>
          <w14:ligatures w14:val="none"/>
        </w:rPr>
        <w:t xml:space="preserve"> </w:t>
      </w:r>
      <w:r w:rsidRPr="00F16251">
        <w:rPr>
          <w:rFonts w:eastAsia="Calibri" w:cstheme="minorHAnsi"/>
          <w:b/>
          <w:bCs/>
          <w:kern w:val="0"/>
          <w:u w:val="single"/>
          <w14:ligatures w14:val="none"/>
        </w:rPr>
        <w:t>życia</w:t>
      </w:r>
      <w:r w:rsidR="003B50ED" w:rsidRPr="00F16251">
        <w:rPr>
          <w:rFonts w:eastAsia="Calibri" w:cstheme="minorHAnsi"/>
          <w:b/>
          <w:bCs/>
          <w:kern w:val="0"/>
          <w:u w:val="single"/>
          <w14:ligatures w14:val="none"/>
        </w:rPr>
        <w:t xml:space="preserve"> </w:t>
      </w:r>
      <w:r w:rsidRPr="00F16251">
        <w:rPr>
          <w:rFonts w:eastAsia="Calibri" w:cstheme="minorHAnsi"/>
          <w:b/>
          <w:bCs/>
          <w:kern w:val="0"/>
          <w:u w:val="single"/>
          <w14:ligatures w14:val="none"/>
        </w:rPr>
        <w:t>na</w:t>
      </w:r>
      <w:r w:rsidR="003B50ED" w:rsidRPr="00F16251">
        <w:rPr>
          <w:rFonts w:eastAsia="Calibri" w:cstheme="minorHAnsi"/>
          <w:b/>
          <w:bCs/>
          <w:kern w:val="0"/>
          <w:u w:val="single"/>
          <w14:ligatures w14:val="none"/>
        </w:rPr>
        <w:t xml:space="preserve"> </w:t>
      </w:r>
      <w:r w:rsidRPr="00F16251">
        <w:rPr>
          <w:rFonts w:eastAsia="Calibri" w:cstheme="minorHAnsi"/>
          <w:b/>
          <w:bCs/>
          <w:kern w:val="0"/>
          <w:u w:val="single"/>
          <w14:ligatures w14:val="none"/>
        </w:rPr>
        <w:t>obszarze</w:t>
      </w:r>
      <w:r w:rsidR="003B50ED" w:rsidRPr="00F16251">
        <w:rPr>
          <w:rFonts w:eastAsia="Calibri" w:cstheme="minorHAnsi"/>
          <w:b/>
          <w:bCs/>
          <w:kern w:val="0"/>
          <w:u w:val="single"/>
          <w14:ligatures w14:val="none"/>
        </w:rPr>
        <w:t xml:space="preserve"> </w:t>
      </w:r>
      <w:r w:rsidRPr="00F16251">
        <w:rPr>
          <w:rFonts w:eastAsia="Calibri" w:cstheme="minorHAnsi"/>
          <w:b/>
          <w:bCs/>
          <w:kern w:val="0"/>
          <w:u w:val="single"/>
          <w14:ligatures w14:val="none"/>
        </w:rPr>
        <w:t>LSR,</w:t>
      </w:r>
      <w:r w:rsidR="003B50ED" w:rsidRPr="00F16251">
        <w:rPr>
          <w:rFonts w:eastAsia="Calibri" w:cstheme="minorHAnsi"/>
          <w:b/>
          <w:bCs/>
          <w:kern w:val="0"/>
          <w:u w:val="single"/>
          <w14:ligatures w14:val="none"/>
        </w:rPr>
        <w:t xml:space="preserve"> </w:t>
      </w:r>
      <w:r w:rsidRPr="00F16251">
        <w:rPr>
          <w:rFonts w:eastAsia="Calibri" w:cstheme="minorHAnsi"/>
          <w:b/>
          <w:bCs/>
          <w:kern w:val="0"/>
          <w:u w:val="single"/>
          <w14:ligatures w14:val="none"/>
        </w:rPr>
        <w:t>aktywizacja</w:t>
      </w:r>
      <w:r w:rsidR="003B50ED" w:rsidRPr="00F16251">
        <w:rPr>
          <w:rFonts w:eastAsia="Calibri" w:cstheme="minorHAnsi"/>
          <w:b/>
          <w:bCs/>
          <w:kern w:val="0"/>
          <w:u w:val="single"/>
          <w14:ligatures w14:val="none"/>
        </w:rPr>
        <w:t xml:space="preserve"> </w:t>
      </w:r>
      <w:r w:rsidRPr="00F16251">
        <w:rPr>
          <w:rFonts w:eastAsia="Calibri" w:cstheme="minorHAnsi"/>
          <w:b/>
          <w:bCs/>
          <w:kern w:val="0"/>
          <w:u w:val="single"/>
          <w14:ligatures w14:val="none"/>
        </w:rPr>
        <w:t>i</w:t>
      </w:r>
      <w:r w:rsidR="003B50ED" w:rsidRPr="00F16251">
        <w:rPr>
          <w:rFonts w:eastAsia="Calibri" w:cstheme="minorHAnsi"/>
          <w:b/>
          <w:bCs/>
          <w:kern w:val="0"/>
          <w:u w:val="single"/>
          <w14:ligatures w14:val="none"/>
        </w:rPr>
        <w:t xml:space="preserve"> </w:t>
      </w:r>
      <w:r w:rsidRPr="00F16251">
        <w:rPr>
          <w:rFonts w:eastAsia="Calibri" w:cstheme="minorHAnsi"/>
          <w:b/>
          <w:bCs/>
          <w:kern w:val="0"/>
          <w:u w:val="single"/>
          <w14:ligatures w14:val="none"/>
        </w:rPr>
        <w:t>zwiększenie</w:t>
      </w:r>
      <w:r w:rsidR="003B50ED" w:rsidRPr="00F16251">
        <w:rPr>
          <w:rFonts w:eastAsia="Calibri" w:cstheme="minorHAnsi"/>
          <w:b/>
          <w:bCs/>
          <w:kern w:val="0"/>
          <w:u w:val="single"/>
          <w14:ligatures w14:val="none"/>
        </w:rPr>
        <w:t xml:space="preserve"> </w:t>
      </w:r>
      <w:r w:rsidRPr="00F16251">
        <w:rPr>
          <w:rFonts w:eastAsia="Calibri" w:cstheme="minorHAnsi"/>
          <w:b/>
          <w:bCs/>
          <w:kern w:val="0"/>
          <w:u w:val="single"/>
          <w14:ligatures w14:val="none"/>
        </w:rPr>
        <w:t>włączenia</w:t>
      </w:r>
      <w:r w:rsidR="003B50ED" w:rsidRPr="00F16251">
        <w:rPr>
          <w:rFonts w:eastAsia="Calibri" w:cstheme="minorHAnsi"/>
          <w:b/>
          <w:bCs/>
          <w:kern w:val="0"/>
          <w:u w:val="single"/>
          <w14:ligatures w14:val="none"/>
        </w:rPr>
        <w:t xml:space="preserve"> </w:t>
      </w:r>
      <w:r w:rsidRPr="00F16251">
        <w:rPr>
          <w:rFonts w:eastAsia="Calibri" w:cstheme="minorHAnsi"/>
          <w:b/>
          <w:bCs/>
          <w:kern w:val="0"/>
          <w:u w:val="single"/>
          <w14:ligatures w14:val="none"/>
        </w:rPr>
        <w:t>społecznego.</w:t>
      </w:r>
    </w:p>
    <w:p w14:paraId="381E2308" w14:textId="4AE8709D" w:rsidR="002C63F4" w:rsidRPr="00F16251" w:rsidRDefault="002C63F4" w:rsidP="00A26C26">
      <w:pPr>
        <w:spacing w:line="276" w:lineRule="auto"/>
        <w:jc w:val="both"/>
        <w:rPr>
          <w:rFonts w:eastAsia="Calibri" w:cstheme="minorHAnsi"/>
          <w:color w:val="000000"/>
          <w:kern w:val="0"/>
          <w14:ligatures w14:val="none"/>
        </w:rPr>
      </w:pPr>
      <w:r w:rsidRPr="00F16251">
        <w:rPr>
          <w:rFonts w:eastAsia="Calibri" w:cstheme="minorHAnsi"/>
          <w:kern w:val="0"/>
          <w14:ligatures w14:val="none"/>
        </w:rPr>
        <w:t>Społeczeństwo</w:t>
      </w:r>
      <w:r w:rsidR="003B50ED" w:rsidRPr="00F16251">
        <w:rPr>
          <w:rFonts w:eastAsia="Calibri" w:cstheme="minorHAnsi"/>
          <w:kern w:val="0"/>
          <w14:ligatures w14:val="none"/>
        </w:rPr>
        <w:t xml:space="preserve"> </w:t>
      </w:r>
      <w:r w:rsidRPr="00F16251">
        <w:rPr>
          <w:rFonts w:eastAsia="Calibri" w:cstheme="minorHAnsi"/>
          <w:kern w:val="0"/>
          <w14:ligatures w14:val="none"/>
        </w:rPr>
        <w:t>obywatelskie</w:t>
      </w:r>
      <w:r w:rsidR="003B50ED" w:rsidRPr="00F16251">
        <w:rPr>
          <w:rFonts w:eastAsia="Calibri" w:cstheme="minorHAnsi"/>
          <w:kern w:val="0"/>
          <w14:ligatures w14:val="none"/>
        </w:rPr>
        <w:t xml:space="preserve"> </w:t>
      </w:r>
      <w:r w:rsidRPr="00F16251">
        <w:rPr>
          <w:rFonts w:eastAsia="Calibri" w:cstheme="minorHAnsi"/>
          <w:kern w:val="0"/>
          <w14:ligatures w14:val="none"/>
        </w:rPr>
        <w:t>jest</w:t>
      </w:r>
      <w:r w:rsidR="003B50ED" w:rsidRPr="00F16251">
        <w:rPr>
          <w:rFonts w:eastAsia="Calibri" w:cstheme="minorHAnsi"/>
          <w:kern w:val="0"/>
          <w14:ligatures w14:val="none"/>
        </w:rPr>
        <w:t xml:space="preserve"> </w:t>
      </w:r>
      <w:r w:rsidRPr="00F16251">
        <w:rPr>
          <w:rFonts w:eastAsia="Calibri" w:cstheme="minorHAnsi"/>
          <w:kern w:val="0"/>
          <w14:ligatures w14:val="none"/>
        </w:rPr>
        <w:t>rozumiane</w:t>
      </w:r>
      <w:r w:rsidR="003B50ED" w:rsidRPr="00F16251">
        <w:rPr>
          <w:rFonts w:eastAsia="Calibri" w:cstheme="minorHAnsi"/>
          <w:kern w:val="0"/>
          <w14:ligatures w14:val="none"/>
        </w:rPr>
        <w:t xml:space="preserve"> </w:t>
      </w:r>
      <w:r w:rsidRPr="00F16251">
        <w:rPr>
          <w:rFonts w:eastAsia="Calibri" w:cstheme="minorHAnsi"/>
          <w:kern w:val="0"/>
          <w14:ligatures w14:val="none"/>
        </w:rPr>
        <w:t>jako</w:t>
      </w:r>
      <w:r w:rsidR="003B50ED" w:rsidRPr="00F16251">
        <w:rPr>
          <w:rFonts w:eastAsia="Calibri" w:cstheme="minorHAnsi"/>
          <w:kern w:val="0"/>
          <w14:ligatures w14:val="none"/>
        </w:rPr>
        <w:t xml:space="preserve"> </w:t>
      </w:r>
      <w:r w:rsidRPr="00F16251">
        <w:rPr>
          <w:rFonts w:eastAsia="Calibri" w:cstheme="minorHAnsi"/>
          <w:kern w:val="0"/>
          <w14:ligatures w14:val="none"/>
        </w:rPr>
        <w:t>cechujące</w:t>
      </w:r>
      <w:r w:rsidR="003B50ED" w:rsidRPr="00F16251">
        <w:rPr>
          <w:rFonts w:eastAsia="Calibri" w:cstheme="minorHAnsi"/>
          <w:kern w:val="0"/>
          <w14:ligatures w14:val="none"/>
        </w:rPr>
        <w:t xml:space="preserve"> </w:t>
      </w:r>
      <w:r w:rsidRPr="00F16251">
        <w:rPr>
          <w:rFonts w:eastAsia="Calibri" w:cstheme="minorHAnsi"/>
          <w:kern w:val="0"/>
          <w14:ligatures w14:val="none"/>
        </w:rPr>
        <w:t>się</w:t>
      </w:r>
      <w:r w:rsidR="003B50ED" w:rsidRPr="00F16251">
        <w:rPr>
          <w:rFonts w:eastAsia="Calibri" w:cstheme="minorHAnsi"/>
          <w:kern w:val="0"/>
          <w14:ligatures w14:val="none"/>
        </w:rPr>
        <w:t xml:space="preserve"> </w:t>
      </w:r>
      <w:r w:rsidRPr="00F16251">
        <w:rPr>
          <w:rFonts w:eastAsia="Calibri" w:cstheme="minorHAnsi"/>
          <w:kern w:val="0"/>
          <w14:ligatures w14:val="none"/>
        </w:rPr>
        <w:t>gotowością</w:t>
      </w:r>
      <w:r w:rsidR="003B50ED" w:rsidRPr="00F16251">
        <w:rPr>
          <w:rFonts w:eastAsia="Calibri" w:cstheme="minorHAnsi"/>
          <w:kern w:val="0"/>
          <w14:ligatures w14:val="none"/>
        </w:rPr>
        <w:t xml:space="preserve"> </w:t>
      </w:r>
      <w:r w:rsidRPr="00F16251">
        <w:rPr>
          <w:rFonts w:eastAsia="Calibri" w:cstheme="minorHAnsi"/>
          <w:kern w:val="0"/>
          <w14:ligatures w14:val="none"/>
        </w:rPr>
        <w:t>i</w:t>
      </w:r>
      <w:r w:rsidR="003B50ED" w:rsidRPr="00F16251">
        <w:rPr>
          <w:rFonts w:eastAsia="Calibri" w:cstheme="minorHAnsi"/>
          <w:kern w:val="0"/>
          <w14:ligatures w14:val="none"/>
        </w:rPr>
        <w:t xml:space="preserve"> </w:t>
      </w:r>
      <w:r w:rsidRPr="00F16251">
        <w:rPr>
          <w:rFonts w:eastAsia="Calibri" w:cstheme="minorHAnsi"/>
          <w:kern w:val="0"/>
          <w14:ligatures w14:val="none"/>
        </w:rPr>
        <w:t>zdolnością</w:t>
      </w:r>
      <w:r w:rsidR="003B50ED" w:rsidRPr="00F16251">
        <w:rPr>
          <w:rFonts w:eastAsia="Calibri" w:cstheme="minorHAnsi"/>
          <w:kern w:val="0"/>
          <w14:ligatures w14:val="none"/>
        </w:rPr>
        <w:t xml:space="preserve"> </w:t>
      </w:r>
      <w:r w:rsidRPr="00F16251">
        <w:rPr>
          <w:rFonts w:eastAsia="Calibri" w:cstheme="minorHAnsi"/>
          <w:kern w:val="0"/>
          <w14:ligatures w14:val="none"/>
        </w:rPr>
        <w:t>jednostek</w:t>
      </w:r>
      <w:r w:rsidR="003B50ED" w:rsidRPr="00F16251">
        <w:rPr>
          <w:rFonts w:eastAsia="Calibri" w:cstheme="minorHAnsi"/>
          <w:kern w:val="0"/>
          <w14:ligatures w14:val="none"/>
        </w:rPr>
        <w:t xml:space="preserve"> </w:t>
      </w:r>
      <w:r w:rsidRPr="00F16251">
        <w:rPr>
          <w:rFonts w:eastAsia="Calibri" w:cstheme="minorHAnsi"/>
          <w:kern w:val="0"/>
          <w14:ligatures w14:val="none"/>
        </w:rPr>
        <w:t>do</w:t>
      </w:r>
      <w:r w:rsidR="003B50ED" w:rsidRPr="00F16251">
        <w:rPr>
          <w:rFonts w:eastAsia="Calibri" w:cstheme="minorHAnsi"/>
          <w:kern w:val="0"/>
          <w14:ligatures w14:val="none"/>
        </w:rPr>
        <w:t xml:space="preserve"> </w:t>
      </w:r>
      <w:r w:rsidRPr="00F16251">
        <w:rPr>
          <w:rFonts w:eastAsia="Calibri" w:cstheme="minorHAnsi"/>
          <w:kern w:val="0"/>
          <w14:ligatures w14:val="none"/>
        </w:rPr>
        <w:t>świadomego,</w:t>
      </w:r>
      <w:r w:rsidR="003B50ED" w:rsidRPr="00F16251">
        <w:rPr>
          <w:rFonts w:eastAsia="Calibri" w:cstheme="minorHAnsi"/>
          <w:kern w:val="0"/>
          <w14:ligatures w14:val="none"/>
        </w:rPr>
        <w:t xml:space="preserve"> </w:t>
      </w:r>
      <w:r w:rsidRPr="00F16251">
        <w:rPr>
          <w:rFonts w:eastAsia="Calibri" w:cstheme="minorHAnsi"/>
          <w:color w:val="000000"/>
          <w:kern w:val="0"/>
          <w14:ligatures w14:val="none"/>
        </w:rPr>
        <w:t>pełnego</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odpowiedzialnego</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uczestnictwa</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społeczeństwie.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Dlatego</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tak</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ważne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jest</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promowanie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uczenie</w:t>
      </w:r>
      <w:r w:rsidR="003B50ED" w:rsidRPr="00F16251">
        <w:rPr>
          <w:rFonts w:eastAsia="Calibri" w:cstheme="minorHAnsi"/>
          <w:color w:val="000000"/>
          <w:kern w:val="0"/>
          <w14:ligatures w14:val="none"/>
        </w:rPr>
        <w:t xml:space="preserve"> </w:t>
      </w:r>
      <w:r w:rsidR="006207FD">
        <w:rPr>
          <w:rFonts w:eastAsia="Calibri" w:cstheme="minorHAnsi"/>
          <w:color w:val="000000"/>
          <w:kern w:val="0"/>
          <w14:ligatures w14:val="none"/>
        </w:rPr>
        <w:t xml:space="preserve">                        </w:t>
      </w:r>
      <w:r w:rsidRPr="00F16251">
        <w:rPr>
          <w:rFonts w:eastAsia="Calibri" w:cstheme="minorHAnsi"/>
          <w:color w:val="000000"/>
          <w:kern w:val="0"/>
          <w14:ligatures w14:val="none"/>
        </w:rPr>
        <w:t>od</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najmłodszych</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lat</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młodego</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pokolenia,</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że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społeczne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zaangażowanie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jest</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wartością.</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Kluczem</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do</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sukcesu</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rozwoju</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gmin</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tworzących</w:t>
      </w:r>
      <w:r w:rsidR="003B50ED" w:rsidRPr="00F16251">
        <w:rPr>
          <w:rFonts w:eastAsia="Calibri" w:cstheme="minorHAnsi"/>
          <w:color w:val="000000"/>
          <w:kern w:val="0"/>
          <w14:ligatures w14:val="none"/>
        </w:rPr>
        <w:t xml:space="preserve"> </w:t>
      </w:r>
      <w:r w:rsidR="006568AD" w:rsidRPr="00F16251">
        <w:rPr>
          <w:rFonts w:cstheme="minorHAnsi"/>
        </w:rPr>
        <w:t xml:space="preserve">Stowarzyszenie „Solidarni w Partnerstwie” </w:t>
      </w:r>
      <w:r w:rsidRPr="00F16251">
        <w:rPr>
          <w:rFonts w:eastAsia="Calibri" w:cstheme="minorHAnsi"/>
          <w:color w:val="000000"/>
          <w:kern w:val="0"/>
          <w14:ligatures w14:val="none"/>
        </w:rPr>
        <w:t>jest</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zrównoważonych</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rozwój</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ramach</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którego</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odbywa</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się</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równoczesne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wsparcie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społeczne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inwestycyjne.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ramach</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zdefiniowanego</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celu</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LSR</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przewiduje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realizację</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bardzo</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zróżnicowanych</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przedsięwzięć</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dotyczących</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małej</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infrastruktury</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publicznej,</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dzięki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czemu</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poprawi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się</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jakość</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życia</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mieszkańców.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Ważnym</w:t>
      </w:r>
      <w:r w:rsidR="003B50ED" w:rsidRPr="00F16251">
        <w:rPr>
          <w:rFonts w:eastAsia="Calibri" w:cstheme="minorHAnsi"/>
          <w:color w:val="000000"/>
          <w:kern w:val="0"/>
          <w14:ligatures w14:val="none"/>
        </w:rPr>
        <w:t xml:space="preserve"> </w:t>
      </w:r>
      <w:r w:rsidR="0035174A" w:rsidRPr="00F16251">
        <w:rPr>
          <w:rFonts w:eastAsia="Calibri" w:cstheme="minorHAnsi"/>
          <w:color w:val="000000"/>
          <w:kern w:val="0"/>
          <w14:ligatures w14:val="none"/>
        </w:rPr>
        <w:t>aspektem</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będzie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zadbanie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o</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dziedzictwo</w:t>
      </w:r>
      <w:r w:rsidR="00B275F4" w:rsidRPr="00F16251">
        <w:rPr>
          <w:rFonts w:eastAsia="Calibri" w:cstheme="minorHAnsi"/>
          <w:color w:val="000000"/>
          <w:kern w:val="0"/>
          <w14:ligatures w14:val="none"/>
        </w:rPr>
        <w:t>.</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Ponadto</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będą</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realizowane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operacje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aktywizujące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integrujące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mieszkańców,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rozwój</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projektów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partnerskich</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oraz</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jako</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innowacyjne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podejście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pilotażowe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opracowanie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strategii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inteligentnych</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wsi.</w:t>
      </w:r>
    </w:p>
    <w:p w14:paraId="7732AB77" w14:textId="468DD638" w:rsidR="002C63F4" w:rsidRPr="00F16251" w:rsidRDefault="002C63F4" w:rsidP="00A26C26">
      <w:pPr>
        <w:spacing w:line="276" w:lineRule="auto"/>
        <w:jc w:val="both"/>
        <w:rPr>
          <w:rFonts w:eastAsia="Calibri" w:cstheme="minorHAnsi"/>
          <w:color w:val="000000"/>
          <w:kern w:val="0"/>
          <w14:ligatures w14:val="none"/>
        </w:rPr>
      </w:pPr>
      <w:r w:rsidRPr="00F16251">
        <w:rPr>
          <w:rFonts w:eastAsia="Calibri" w:cstheme="minorHAnsi"/>
          <w:color w:val="000000"/>
          <w:kern w:val="0"/>
          <w14:ligatures w14:val="none"/>
        </w:rPr>
        <w:t>Planuje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się</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także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organizację</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wydarzeń</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sprzyjających</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wzrostowi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atrakcyjności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obszaru</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LSR</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integracji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mieszkańców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LSR,</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działania</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dedykowane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lokalnej</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społeczności,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włączenie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społeczne,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przeciwdziałanie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wykluczeniu,</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tym</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integracja</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społeczna,</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kształtowanie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postaw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obywatelskich,</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ekologicznych.</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Wartością</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dodaną</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będzie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podjęcie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działań</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zmierzających</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do</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zaangażowania</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mieszkańców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przygotowanie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koncepcji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inteligentnych</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wsi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tzw.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Smart</w:t>
      </w:r>
      <w:r w:rsidR="003B50ED" w:rsidRPr="00F16251">
        <w:rPr>
          <w:rFonts w:eastAsia="Calibri" w:cstheme="minorHAnsi"/>
          <w:color w:val="000000"/>
          <w:kern w:val="0"/>
          <w14:ligatures w14:val="none"/>
        </w:rPr>
        <w:t xml:space="preserve"> </w:t>
      </w:r>
      <w:proofErr w:type="spellStart"/>
      <w:r w:rsidRPr="00F16251">
        <w:rPr>
          <w:rFonts w:eastAsia="Calibri" w:cstheme="minorHAnsi"/>
          <w:color w:val="000000"/>
          <w:kern w:val="0"/>
          <w14:ligatures w14:val="none"/>
        </w:rPr>
        <w:t>Village</w:t>
      </w:r>
      <w:proofErr w:type="spellEnd"/>
      <w:r w:rsidRPr="00F16251">
        <w:rPr>
          <w:rFonts w:eastAsia="Calibri" w:cstheme="minorHAnsi"/>
          <w:color w:val="000000"/>
          <w:kern w:val="0"/>
          <w14:ligatures w14:val="none"/>
        </w:rPr>
        <w:t>.</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Szczególna</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rolą</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opieką</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zostaną</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otoczone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osoby</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starsze,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młode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oraz</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z</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grup</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znajdujących</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się</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w:t>
      </w:r>
      <w:r w:rsidR="003B50ED" w:rsidRPr="00F16251">
        <w:rPr>
          <w:rFonts w:eastAsia="Calibri" w:cstheme="minorHAnsi"/>
          <w:color w:val="000000"/>
          <w:kern w:val="0"/>
          <w14:ligatures w14:val="none"/>
        </w:rPr>
        <w:t xml:space="preserve"> </w:t>
      </w:r>
      <w:r w:rsidR="00AB742D" w:rsidRPr="00F16251">
        <w:rPr>
          <w:rFonts w:eastAsia="Calibri" w:cstheme="minorHAnsi"/>
          <w:color w:val="000000"/>
          <w:kern w:val="0"/>
          <w14:ligatures w14:val="none"/>
        </w:rPr>
        <w:t>niekorzyst</w:t>
      </w:r>
      <w:r w:rsidRPr="00F16251">
        <w:rPr>
          <w:rFonts w:eastAsia="Calibri" w:cstheme="minorHAnsi"/>
          <w:color w:val="000000"/>
          <w:kern w:val="0"/>
          <w14:ligatures w14:val="none"/>
        </w:rPr>
        <w:t>nej</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sytuacji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tj.:</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osoby</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z</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niepełnosprawnościami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ich</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opiekunów,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kobiety,</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migranci,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rolnicy</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z</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małych</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gospodarstw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lub</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osoby</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poszukujące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zatrudnienia</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np.</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mieszkańcy</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osiedli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po-PGR.</w:t>
      </w:r>
    </w:p>
    <w:p w14:paraId="6DE8F1F5" w14:textId="17142E5D" w:rsidR="002C63F4" w:rsidRPr="00F16251" w:rsidRDefault="002C63F4" w:rsidP="00A26C26">
      <w:pPr>
        <w:spacing w:line="276" w:lineRule="auto"/>
        <w:jc w:val="both"/>
        <w:rPr>
          <w:rFonts w:eastAsia="Calibri" w:cstheme="minorHAnsi"/>
          <w:b/>
          <w:bCs/>
          <w:kern w:val="0"/>
          <w14:ligatures w14:val="none"/>
        </w:rPr>
      </w:pPr>
      <w:r w:rsidRPr="00F16251">
        <w:rPr>
          <w:rFonts w:eastAsia="Calibri" w:cstheme="minorHAnsi"/>
          <w:b/>
          <w:bCs/>
          <w:kern w:val="0"/>
          <w14:ligatures w14:val="none"/>
        </w:rPr>
        <w:t>Wskaźnik</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rezultatu:</w:t>
      </w:r>
    </w:p>
    <w:p w14:paraId="1C973C6B" w14:textId="234E4E6F" w:rsidR="002C63F4" w:rsidRPr="00F16251" w:rsidRDefault="002C63F4" w:rsidP="00A26C26">
      <w:pPr>
        <w:spacing w:line="276" w:lineRule="auto"/>
        <w:jc w:val="both"/>
        <w:rPr>
          <w:rFonts w:eastAsia="Calibri" w:cstheme="minorHAnsi"/>
          <w:b/>
          <w:bCs/>
          <w:kern w:val="0"/>
          <w14:ligatures w14:val="none"/>
        </w:rPr>
      </w:pPr>
      <w:r w:rsidRPr="00F16251">
        <w:rPr>
          <w:rFonts w:eastAsia="Calibri" w:cstheme="minorHAnsi"/>
          <w:b/>
          <w:bCs/>
          <w:kern w:val="0"/>
          <w14:ligatures w14:val="none"/>
        </w:rPr>
        <w:t>R.40</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Inteligentna</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przemiana</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gospodarki</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wiejskiej:</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liczba</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wspieranych</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strategii</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inteligentnych</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wsi;</w:t>
      </w:r>
    </w:p>
    <w:p w14:paraId="70F58473" w14:textId="22DE0A92" w:rsidR="002C63F4" w:rsidRPr="00F16251" w:rsidRDefault="002C63F4" w:rsidP="00A26C26">
      <w:pPr>
        <w:spacing w:line="276" w:lineRule="auto"/>
        <w:jc w:val="both"/>
        <w:rPr>
          <w:rFonts w:eastAsia="Calibri" w:cstheme="minorHAnsi"/>
          <w:b/>
          <w:bCs/>
          <w:kern w:val="0"/>
          <w14:ligatures w14:val="none"/>
        </w:rPr>
      </w:pPr>
      <w:r w:rsidRPr="00F16251">
        <w:rPr>
          <w:rFonts w:eastAsia="Calibri" w:cstheme="minorHAnsi"/>
          <w:b/>
          <w:bCs/>
          <w:kern w:val="0"/>
          <w14:ligatures w14:val="none"/>
        </w:rPr>
        <w:t>R.41</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Łączenie</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obszarów</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wiejskich</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w</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Europie:</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odsetek</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ludności</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wiejskiej</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korzystającej</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z</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lepszego</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dostępu</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do</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usług</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i</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infrastruktury</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dzięki</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wsparciu</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z</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WPR;</w:t>
      </w:r>
    </w:p>
    <w:p w14:paraId="15E716BB" w14:textId="006A4ACC" w:rsidR="002C63F4" w:rsidRPr="00F16251" w:rsidRDefault="002C63F4" w:rsidP="00A26C26">
      <w:pPr>
        <w:spacing w:line="276" w:lineRule="auto"/>
        <w:jc w:val="both"/>
        <w:rPr>
          <w:rFonts w:eastAsia="Calibri" w:cstheme="minorHAnsi"/>
          <w:b/>
          <w:bCs/>
          <w:kern w:val="0"/>
          <w14:ligatures w14:val="none"/>
        </w:rPr>
      </w:pPr>
      <w:r w:rsidRPr="00F16251">
        <w:rPr>
          <w:rFonts w:eastAsia="Calibri" w:cstheme="minorHAnsi"/>
          <w:b/>
          <w:bCs/>
          <w:kern w:val="0"/>
          <w14:ligatures w14:val="none"/>
        </w:rPr>
        <w:t>R.42</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Promowanie</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włączenia</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społecznego:</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liczba</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osób</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objętych</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wspieranymi</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projektami</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włączenia</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społecznego;</w:t>
      </w:r>
    </w:p>
    <w:p w14:paraId="5D5FCD96" w14:textId="28CF81E2" w:rsidR="002C63F4" w:rsidRPr="00F16251" w:rsidRDefault="002C63F4" w:rsidP="00A26C26">
      <w:pPr>
        <w:spacing w:line="276" w:lineRule="auto"/>
        <w:jc w:val="both"/>
        <w:rPr>
          <w:rFonts w:eastAsia="Calibri" w:cstheme="minorHAnsi"/>
          <w:b/>
          <w:bCs/>
          <w:kern w:val="0"/>
          <w14:ligatures w14:val="none"/>
        </w:rPr>
      </w:pPr>
      <w:r w:rsidRPr="00F16251">
        <w:rPr>
          <w:rFonts w:eastAsia="Calibri" w:cstheme="minorHAnsi"/>
          <w:b/>
          <w:bCs/>
          <w:kern w:val="0"/>
          <w14:ligatures w14:val="none"/>
        </w:rPr>
        <w:t>R.1</w:t>
      </w:r>
      <w:r w:rsidR="00C339C9">
        <w:rPr>
          <w:rFonts w:eastAsia="Calibri" w:cstheme="minorHAnsi"/>
          <w:b/>
          <w:bCs/>
          <w:kern w:val="0"/>
          <w14:ligatures w14:val="none"/>
        </w:rPr>
        <w:t xml:space="preserve">PR </w:t>
      </w:r>
      <w:r w:rsidRPr="00F16251">
        <w:rPr>
          <w:rFonts w:eastAsia="Calibri" w:cstheme="minorHAnsi"/>
          <w:b/>
          <w:bCs/>
          <w:kern w:val="0"/>
          <w14:ligatures w14:val="none"/>
        </w:rPr>
        <w:t>Poprawa</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realizacji</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celów</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dzięki</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wiedzy</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i</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innowacjom:</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liczba</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osób</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korzystających</w:t>
      </w:r>
    </w:p>
    <w:p w14:paraId="581D94AB" w14:textId="37443C83" w:rsidR="002C63F4" w:rsidRDefault="002C63F4" w:rsidP="00A26C26">
      <w:pPr>
        <w:spacing w:line="276" w:lineRule="auto"/>
        <w:jc w:val="both"/>
        <w:rPr>
          <w:rFonts w:eastAsia="Calibri" w:cstheme="minorHAnsi"/>
          <w:b/>
          <w:bCs/>
          <w:kern w:val="0"/>
          <w14:ligatures w14:val="none"/>
        </w:rPr>
      </w:pPr>
      <w:r w:rsidRPr="00F16251">
        <w:rPr>
          <w:rFonts w:eastAsia="Calibri" w:cstheme="minorHAnsi"/>
          <w:b/>
          <w:bCs/>
          <w:kern w:val="0"/>
          <w14:ligatures w14:val="none"/>
        </w:rPr>
        <w:t>z</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doradztwa,</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szkoleń,</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wymiany</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wiedzy</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lub</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biorących</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udział</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w</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grupach</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operacyjnych</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europejskiego</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partnerstwa</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innowacyjnego</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(EPI)</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wspieranych</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w</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ramach</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WPR,</w:t>
      </w:r>
      <w:r w:rsidR="003B50ED" w:rsidRPr="00F16251">
        <w:rPr>
          <w:rFonts w:eastAsia="Calibri" w:cstheme="minorHAnsi"/>
          <w:b/>
          <w:bCs/>
          <w:kern w:val="0"/>
          <w14:ligatures w14:val="none"/>
        </w:rPr>
        <w:t xml:space="preserve"> </w:t>
      </w:r>
      <w:r w:rsidR="00B275F4" w:rsidRPr="00F16251">
        <w:rPr>
          <w:rFonts w:eastAsia="Calibri" w:cstheme="minorHAnsi"/>
          <w:b/>
          <w:bCs/>
          <w:kern w:val="0"/>
          <w14:ligatures w14:val="none"/>
        </w:rPr>
        <w:t xml:space="preserve">by </w:t>
      </w:r>
      <w:r w:rsidRPr="00F16251">
        <w:rPr>
          <w:rFonts w:eastAsia="Calibri" w:cstheme="minorHAnsi"/>
          <w:b/>
          <w:bCs/>
          <w:kern w:val="0"/>
          <w14:ligatures w14:val="none"/>
        </w:rPr>
        <w:t>zwiększyć</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zrównoważoną</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efektywność</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gospodarczą,</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społeczną,</w:t>
      </w:r>
      <w:r w:rsidR="003B50ED" w:rsidRPr="00F16251">
        <w:rPr>
          <w:rFonts w:eastAsia="Calibri" w:cstheme="minorHAnsi"/>
          <w:b/>
          <w:bCs/>
          <w:kern w:val="0"/>
          <w14:ligatures w14:val="none"/>
        </w:rPr>
        <w:t xml:space="preserve"> </w:t>
      </w:r>
      <w:r w:rsidR="00B275F4" w:rsidRPr="00F16251">
        <w:rPr>
          <w:rFonts w:eastAsia="Calibri" w:cstheme="minorHAnsi"/>
          <w:b/>
          <w:bCs/>
          <w:kern w:val="0"/>
          <w14:ligatures w14:val="none"/>
        </w:rPr>
        <w:t xml:space="preserve">środowiskową, </w:t>
      </w:r>
      <w:r w:rsidRPr="00F16251">
        <w:rPr>
          <w:rFonts w:eastAsia="Calibri" w:cstheme="minorHAnsi"/>
          <w:b/>
          <w:bCs/>
          <w:kern w:val="0"/>
          <w14:ligatures w14:val="none"/>
        </w:rPr>
        <w:t>klimatyczną</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i</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w</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zakresie</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gospodarowania</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zasobami.</w:t>
      </w:r>
    </w:p>
    <w:p w14:paraId="2B135FDB" w14:textId="622A0503" w:rsidR="00F65DB9" w:rsidRDefault="00F65DB9" w:rsidP="00A26C26">
      <w:pPr>
        <w:spacing w:line="276" w:lineRule="auto"/>
        <w:jc w:val="both"/>
        <w:rPr>
          <w:rFonts w:eastAsia="Calibri" w:cstheme="minorHAnsi"/>
          <w:b/>
          <w:bCs/>
          <w:kern w:val="0"/>
          <w14:ligatures w14:val="none"/>
        </w:rPr>
      </w:pPr>
      <w:r>
        <w:rPr>
          <w:rFonts w:eastAsia="Calibri" w:cstheme="minorHAnsi"/>
          <w:b/>
          <w:bCs/>
          <w:kern w:val="0"/>
          <w14:ligatures w14:val="none"/>
        </w:rPr>
        <w:t>RC</w:t>
      </w:r>
      <w:r w:rsidR="00C339C9">
        <w:rPr>
          <w:rFonts w:eastAsia="Calibri" w:cstheme="minorHAnsi"/>
          <w:b/>
          <w:bCs/>
          <w:kern w:val="0"/>
          <w14:ligatures w14:val="none"/>
        </w:rPr>
        <w:t>R</w:t>
      </w:r>
      <w:r>
        <w:rPr>
          <w:rFonts w:eastAsia="Calibri" w:cstheme="minorHAnsi"/>
          <w:b/>
          <w:bCs/>
          <w:kern w:val="0"/>
          <w14:ligatures w14:val="none"/>
        </w:rPr>
        <w:t xml:space="preserve">77 – </w:t>
      </w:r>
      <w:r w:rsidRPr="00F65DB9">
        <w:rPr>
          <w:rFonts w:eastAsia="Calibri" w:cstheme="minorHAnsi"/>
          <w:b/>
          <w:bCs/>
          <w:kern w:val="0"/>
          <w14:ligatures w14:val="none"/>
        </w:rPr>
        <w:t>Liczba osób odwiedzających obiekty kulturalne i turystyczne objęte wsparciem ( osoby odwiedzające/rok.</w:t>
      </w:r>
    </w:p>
    <w:p w14:paraId="1F784F7C" w14:textId="311C0978" w:rsidR="00F65DB9" w:rsidRPr="00F16251" w:rsidRDefault="00B36F26" w:rsidP="00A26C26">
      <w:pPr>
        <w:spacing w:line="276" w:lineRule="auto"/>
        <w:jc w:val="both"/>
        <w:rPr>
          <w:rFonts w:eastAsia="Calibri" w:cstheme="minorHAnsi"/>
          <w:b/>
          <w:bCs/>
          <w:kern w:val="0"/>
          <w14:ligatures w14:val="none"/>
        </w:rPr>
      </w:pPr>
      <w:r>
        <w:rPr>
          <w:rFonts w:eastAsia="Calibri" w:cstheme="minorHAnsi"/>
          <w:b/>
          <w:bCs/>
          <w:kern w:val="0"/>
          <w14:ligatures w14:val="none"/>
        </w:rPr>
        <w:t>FEW 4L – R</w:t>
      </w:r>
      <w:r w:rsidR="00F65DB9">
        <w:rPr>
          <w:rFonts w:eastAsia="Calibri" w:cstheme="minorHAnsi"/>
          <w:b/>
          <w:bCs/>
          <w:kern w:val="0"/>
          <w14:ligatures w14:val="none"/>
        </w:rPr>
        <w:t xml:space="preserve">1 </w:t>
      </w:r>
      <w:r w:rsidR="00F65DB9" w:rsidRPr="00F65DB9">
        <w:rPr>
          <w:rFonts w:eastAsia="Calibri" w:cstheme="minorHAnsi"/>
          <w:b/>
          <w:bCs/>
          <w:kern w:val="0"/>
          <w14:ligatures w14:val="none"/>
        </w:rPr>
        <w:t>Liczba gmin, które zostały objęte inicjatywą w zakresie aktywizacji społeczności na rzecz rozwoju lokalnego</w:t>
      </w:r>
      <w:r w:rsidR="00F65DB9">
        <w:rPr>
          <w:rFonts w:eastAsia="Calibri" w:cstheme="minorHAnsi"/>
          <w:b/>
          <w:bCs/>
          <w:kern w:val="0"/>
          <w14:ligatures w14:val="none"/>
        </w:rPr>
        <w:t>.</w:t>
      </w:r>
    </w:p>
    <w:p w14:paraId="01DD4FA6" w14:textId="2A5CE7E5" w:rsidR="002C63F4" w:rsidRPr="00F16251" w:rsidRDefault="002C63F4" w:rsidP="00A26C26">
      <w:pPr>
        <w:spacing w:line="276" w:lineRule="auto"/>
        <w:jc w:val="both"/>
        <w:rPr>
          <w:rFonts w:eastAsia="Calibri" w:cstheme="minorHAnsi"/>
          <w:color w:val="000000"/>
          <w:kern w:val="0"/>
          <w:u w:val="single"/>
          <w14:ligatures w14:val="none"/>
        </w:rPr>
      </w:pPr>
      <w:r w:rsidRPr="00F16251">
        <w:rPr>
          <w:rFonts w:eastAsia="Calibri" w:cstheme="minorHAnsi"/>
          <w:color w:val="000000"/>
          <w:kern w:val="0"/>
          <w:u w:val="single"/>
          <w14:ligatures w14:val="none"/>
        </w:rPr>
        <w:t>Do</w:t>
      </w:r>
      <w:r w:rsidR="003B50ED" w:rsidRPr="00F16251">
        <w:rPr>
          <w:rFonts w:eastAsia="Calibri" w:cstheme="minorHAnsi"/>
          <w:color w:val="000000"/>
          <w:kern w:val="0"/>
          <w:u w:val="single"/>
          <w14:ligatures w14:val="none"/>
        </w:rPr>
        <w:t xml:space="preserve"> </w:t>
      </w:r>
      <w:r w:rsidRPr="00F16251">
        <w:rPr>
          <w:rFonts w:eastAsia="Calibri" w:cstheme="minorHAnsi"/>
          <w:color w:val="000000"/>
          <w:kern w:val="0"/>
          <w:u w:val="single"/>
          <w14:ligatures w14:val="none"/>
        </w:rPr>
        <w:t>osiągniecia</w:t>
      </w:r>
      <w:r w:rsidR="003B50ED" w:rsidRPr="00F16251">
        <w:rPr>
          <w:rFonts w:eastAsia="Calibri" w:cstheme="minorHAnsi"/>
          <w:color w:val="000000"/>
          <w:kern w:val="0"/>
          <w:u w:val="single"/>
          <w14:ligatures w14:val="none"/>
        </w:rPr>
        <w:t xml:space="preserve"> </w:t>
      </w:r>
      <w:r w:rsidRPr="00F16251">
        <w:rPr>
          <w:rFonts w:eastAsia="Calibri" w:cstheme="minorHAnsi"/>
          <w:color w:val="000000"/>
          <w:kern w:val="0"/>
          <w:u w:val="single"/>
          <w14:ligatures w14:val="none"/>
        </w:rPr>
        <w:t>celu</w:t>
      </w:r>
      <w:r w:rsidR="003B50ED" w:rsidRPr="00F16251">
        <w:rPr>
          <w:rFonts w:eastAsia="Calibri" w:cstheme="minorHAnsi"/>
          <w:color w:val="000000"/>
          <w:kern w:val="0"/>
          <w:u w:val="single"/>
          <w14:ligatures w14:val="none"/>
        </w:rPr>
        <w:t xml:space="preserve"> </w:t>
      </w:r>
      <w:r w:rsidRPr="00F16251">
        <w:rPr>
          <w:rFonts w:eastAsia="Calibri" w:cstheme="minorHAnsi"/>
          <w:color w:val="000000"/>
          <w:kern w:val="0"/>
          <w:u w:val="single"/>
          <w14:ligatures w14:val="none"/>
        </w:rPr>
        <w:t>1</w:t>
      </w:r>
      <w:r w:rsidR="003B50ED" w:rsidRPr="00F16251">
        <w:rPr>
          <w:rFonts w:eastAsia="Calibri" w:cstheme="minorHAnsi"/>
          <w:color w:val="000000"/>
          <w:kern w:val="0"/>
          <w:u w:val="single"/>
          <w14:ligatures w14:val="none"/>
        </w:rPr>
        <w:t xml:space="preserve"> </w:t>
      </w:r>
      <w:r w:rsidRPr="00F16251">
        <w:rPr>
          <w:rFonts w:eastAsia="Calibri" w:cstheme="minorHAnsi"/>
          <w:color w:val="000000"/>
          <w:kern w:val="0"/>
          <w:u w:val="single"/>
          <w14:ligatures w14:val="none"/>
        </w:rPr>
        <w:t>przyczyni</w:t>
      </w:r>
      <w:r w:rsidR="003B50ED" w:rsidRPr="00F16251">
        <w:rPr>
          <w:rFonts w:eastAsia="Calibri" w:cstheme="minorHAnsi"/>
          <w:color w:val="000000"/>
          <w:kern w:val="0"/>
          <w:u w:val="single"/>
          <w14:ligatures w14:val="none"/>
        </w:rPr>
        <w:t xml:space="preserve"> </w:t>
      </w:r>
      <w:r w:rsidRPr="00F16251">
        <w:rPr>
          <w:rFonts w:eastAsia="Calibri" w:cstheme="minorHAnsi"/>
          <w:color w:val="000000"/>
          <w:kern w:val="0"/>
          <w:u w:val="single"/>
          <w14:ligatures w14:val="none"/>
        </w:rPr>
        <w:t>się</w:t>
      </w:r>
      <w:r w:rsidR="003B50ED" w:rsidRPr="00F16251">
        <w:rPr>
          <w:rFonts w:eastAsia="Calibri" w:cstheme="minorHAnsi"/>
          <w:color w:val="000000"/>
          <w:kern w:val="0"/>
          <w:u w:val="single"/>
          <w14:ligatures w14:val="none"/>
        </w:rPr>
        <w:t xml:space="preserve"> </w:t>
      </w:r>
      <w:r w:rsidRPr="00F16251">
        <w:rPr>
          <w:rFonts w:eastAsia="Calibri" w:cstheme="minorHAnsi"/>
          <w:color w:val="000000"/>
          <w:kern w:val="0"/>
          <w:u w:val="single"/>
          <w14:ligatures w14:val="none"/>
        </w:rPr>
        <w:t>realizacja</w:t>
      </w:r>
      <w:r w:rsidR="003B50ED" w:rsidRPr="00F16251">
        <w:rPr>
          <w:rFonts w:eastAsia="Calibri" w:cstheme="minorHAnsi"/>
          <w:color w:val="000000"/>
          <w:kern w:val="0"/>
          <w:u w:val="single"/>
          <w14:ligatures w14:val="none"/>
        </w:rPr>
        <w:t xml:space="preserve"> </w:t>
      </w:r>
      <w:r w:rsidR="00B03AE6" w:rsidRPr="00F16251">
        <w:rPr>
          <w:rFonts w:eastAsia="Calibri" w:cstheme="minorHAnsi"/>
          <w:color w:val="000000"/>
          <w:kern w:val="0"/>
          <w:u w:val="single"/>
          <w14:ligatures w14:val="none"/>
        </w:rPr>
        <w:t>6</w:t>
      </w:r>
      <w:r w:rsidR="003B50ED" w:rsidRPr="00F16251">
        <w:rPr>
          <w:rFonts w:eastAsia="Calibri" w:cstheme="minorHAnsi"/>
          <w:color w:val="000000"/>
          <w:kern w:val="0"/>
          <w:u w:val="single"/>
          <w14:ligatures w14:val="none"/>
        </w:rPr>
        <w:t xml:space="preserve"> </w:t>
      </w:r>
      <w:r w:rsidRPr="00F16251">
        <w:rPr>
          <w:rFonts w:eastAsia="Calibri" w:cstheme="minorHAnsi"/>
          <w:color w:val="000000"/>
          <w:kern w:val="0"/>
          <w:u w:val="single"/>
          <w14:ligatures w14:val="none"/>
        </w:rPr>
        <w:t>przedsięwzięć</w:t>
      </w:r>
      <w:r w:rsidR="00B03AE6" w:rsidRPr="00F16251">
        <w:rPr>
          <w:rFonts w:eastAsia="Calibri" w:cstheme="minorHAnsi"/>
          <w:color w:val="000000"/>
          <w:kern w:val="0"/>
          <w:u w:val="single"/>
          <w14:ligatures w14:val="none"/>
        </w:rPr>
        <w:t>.</w:t>
      </w:r>
    </w:p>
    <w:p w14:paraId="22453985" w14:textId="3DE99B7E" w:rsidR="002C63F4" w:rsidRPr="00F16251" w:rsidRDefault="002C63F4" w:rsidP="00A26C26">
      <w:pPr>
        <w:spacing w:line="276" w:lineRule="auto"/>
        <w:rPr>
          <w:rFonts w:eastAsia="Calibri" w:cstheme="minorHAnsi"/>
          <w:color w:val="000000"/>
          <w:kern w:val="0"/>
          <w14:ligatures w14:val="none"/>
        </w:rPr>
      </w:pPr>
      <w:r w:rsidRPr="00F16251">
        <w:rPr>
          <w:rFonts w:eastAsia="Calibri" w:cstheme="minorHAnsi"/>
          <w:color w:val="000000"/>
          <w:kern w:val="0"/>
          <w14:ligatures w14:val="none"/>
        </w:rPr>
        <w:t>1.</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Przedsięwzięcie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1.1.</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Opracowanie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koncepcji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inteligentnych</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wsi;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2.</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Przedsięwzięcie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1.2.</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Poprawa</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dostępu</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do</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małej</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infrastruktury</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publicznej;</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3.</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Przedsięwzięcie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1.3.</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Ochrona</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dziedzictwa</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kulturowego</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lub</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przyrodniczego</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polskiej</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wsi;</w:t>
      </w:r>
    </w:p>
    <w:p w14:paraId="54BC6F38" w14:textId="542542F2" w:rsidR="002C63F4" w:rsidRPr="00F16251" w:rsidRDefault="002C63F4" w:rsidP="00A26C26">
      <w:pPr>
        <w:spacing w:line="276" w:lineRule="auto"/>
        <w:rPr>
          <w:rFonts w:eastAsia="Calibri" w:cstheme="minorHAnsi"/>
          <w:color w:val="000000"/>
          <w:kern w:val="0"/>
          <w14:ligatures w14:val="none"/>
        </w:rPr>
      </w:pPr>
      <w:r w:rsidRPr="00F16251">
        <w:rPr>
          <w:rFonts w:eastAsia="Calibri" w:cstheme="minorHAnsi"/>
          <w:color w:val="000000"/>
          <w:kern w:val="0"/>
          <w14:ligatures w14:val="none"/>
        </w:rPr>
        <w:t>4.</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Przedsięwzięcie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1.4.</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Aktywizacja</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włączenie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społeczne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lokalnej</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społeczności,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tym</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seniorów,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ludzi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młodych</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lub</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osób</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niekorzystnej</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sytuacji;</w:t>
      </w:r>
    </w:p>
    <w:p w14:paraId="5C03A842" w14:textId="09303226" w:rsidR="002C63F4" w:rsidRPr="00F16251" w:rsidRDefault="002C63F4" w:rsidP="00A26C26">
      <w:pPr>
        <w:spacing w:line="276" w:lineRule="auto"/>
        <w:rPr>
          <w:rFonts w:eastAsia="Calibri" w:cstheme="minorHAnsi"/>
          <w:color w:val="000000"/>
          <w:kern w:val="0"/>
          <w14:ligatures w14:val="none"/>
        </w:rPr>
      </w:pPr>
      <w:r w:rsidRPr="00F16251">
        <w:rPr>
          <w:rFonts w:eastAsia="Calibri" w:cstheme="minorHAnsi"/>
          <w:color w:val="000000"/>
          <w:kern w:val="0"/>
          <w14:ligatures w14:val="none"/>
        </w:rPr>
        <w:t>5.</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Przedsięwzięcie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1.5.</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Wspieranie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partnerstwa,</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inicjatyw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edukacyjnych</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turystyki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na</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obszarze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LSR;</w:t>
      </w:r>
    </w:p>
    <w:p w14:paraId="135AE1EB" w14:textId="54F2EF56" w:rsidR="002C63F4" w:rsidRPr="00F16251" w:rsidRDefault="002C63F4" w:rsidP="00A26C26">
      <w:pPr>
        <w:spacing w:line="276" w:lineRule="auto"/>
        <w:rPr>
          <w:rFonts w:eastAsia="Calibri" w:cstheme="minorHAnsi"/>
          <w:color w:val="000000"/>
          <w:kern w:val="0"/>
          <w14:ligatures w14:val="none"/>
        </w:rPr>
      </w:pPr>
      <w:r w:rsidRPr="00F16251">
        <w:rPr>
          <w:rFonts w:eastAsia="Calibri" w:cstheme="minorHAnsi"/>
          <w:color w:val="000000"/>
          <w:kern w:val="0"/>
          <w14:ligatures w14:val="none"/>
        </w:rPr>
        <w:t>6.</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Przedsięwzięcie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1.6.</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Integracja</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społeczna</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na</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obszarach</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wiejskich.</w:t>
      </w:r>
      <w:r w:rsidR="003B50ED" w:rsidRPr="00F16251">
        <w:rPr>
          <w:rFonts w:eastAsia="Calibri" w:cstheme="minorHAnsi"/>
          <w:color w:val="000000"/>
          <w:kern w:val="0"/>
          <w14:ligatures w14:val="none"/>
        </w:rPr>
        <w:t xml:space="preserve"> </w:t>
      </w:r>
    </w:p>
    <w:p w14:paraId="413947F8" w14:textId="638C7AC0" w:rsidR="002C63F4" w:rsidRPr="00F16251" w:rsidRDefault="002C63F4" w:rsidP="00A26C26">
      <w:pPr>
        <w:spacing w:line="276" w:lineRule="auto"/>
        <w:jc w:val="both"/>
        <w:rPr>
          <w:rFonts w:eastAsia="Calibri" w:cstheme="minorHAnsi"/>
          <w:b/>
          <w:bCs/>
          <w:color w:val="000000"/>
          <w:kern w:val="0"/>
          <w14:ligatures w14:val="none"/>
        </w:rPr>
      </w:pPr>
      <w:r w:rsidRPr="00F16251">
        <w:rPr>
          <w:rFonts w:eastAsia="Calibri" w:cstheme="minorHAnsi"/>
          <w:b/>
          <w:bCs/>
          <w:color w:val="000000"/>
          <w:kern w:val="0"/>
          <w14:ligatures w14:val="none"/>
        </w:rPr>
        <w:t>Ad.</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1.</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Przedsięwzięcie</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1.1</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Opracowanie</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koncepcji</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inteligentnych</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wsi:</w:t>
      </w:r>
    </w:p>
    <w:p w14:paraId="4D8ADCB8" w14:textId="34C090C0" w:rsidR="002C63F4" w:rsidRPr="00A26C26" w:rsidRDefault="002C63F4" w:rsidP="00A26C26">
      <w:pPr>
        <w:autoSpaceDE w:val="0"/>
        <w:autoSpaceDN w:val="0"/>
        <w:adjustRightInd w:val="0"/>
        <w:spacing w:line="276" w:lineRule="auto"/>
        <w:jc w:val="both"/>
        <w:rPr>
          <w:rFonts w:eastAsia="Calibri" w:cstheme="minorHAnsi"/>
          <w:color w:val="000000"/>
          <w:kern w:val="0"/>
          <w14:ligatures w14:val="none"/>
        </w:rPr>
      </w:pPr>
      <w:r w:rsidRPr="00F16251">
        <w:rPr>
          <w:rFonts w:eastAsia="Calibri" w:cstheme="minorHAnsi"/>
          <w:color w:val="000000"/>
          <w:kern w:val="0"/>
          <w14:ligatures w14:val="none"/>
        </w:rPr>
        <w:t>Idea</w:t>
      </w:r>
      <w:r w:rsidR="003B50ED" w:rsidRPr="00F16251">
        <w:rPr>
          <w:rFonts w:eastAsia="Calibri" w:cstheme="minorHAnsi"/>
          <w:color w:val="000000"/>
          <w:kern w:val="0"/>
          <w14:ligatures w14:val="none"/>
        </w:rPr>
        <w:t xml:space="preserve"> </w:t>
      </w:r>
      <w:r w:rsidRPr="00F16251">
        <w:rPr>
          <w:rFonts w:eastAsia="Calibri" w:cstheme="minorHAnsi"/>
          <w:b/>
          <w:bCs/>
          <w:i/>
          <w:iCs/>
          <w:color w:val="000000"/>
          <w:kern w:val="0"/>
          <w14:ligatures w14:val="none"/>
        </w:rPr>
        <w:t>Smart</w:t>
      </w:r>
      <w:r w:rsidR="003B50ED" w:rsidRPr="00F16251">
        <w:rPr>
          <w:rFonts w:eastAsia="Calibri" w:cstheme="minorHAnsi"/>
          <w:b/>
          <w:bCs/>
          <w:i/>
          <w:iCs/>
          <w:color w:val="000000"/>
          <w:kern w:val="0"/>
          <w14:ligatures w14:val="none"/>
        </w:rPr>
        <w:t xml:space="preserve"> </w:t>
      </w:r>
      <w:proofErr w:type="spellStart"/>
      <w:r w:rsidRPr="00F16251">
        <w:rPr>
          <w:rFonts w:eastAsia="Calibri" w:cstheme="minorHAnsi"/>
          <w:b/>
          <w:bCs/>
          <w:i/>
          <w:iCs/>
          <w:color w:val="000000"/>
          <w:kern w:val="0"/>
          <w14:ligatures w14:val="none"/>
        </w:rPr>
        <w:t>Village</w:t>
      </w:r>
      <w:proofErr w:type="spellEnd"/>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ma</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się</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przyczynić</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do</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rozwoju</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obszarów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wiejskich</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oraz</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wyrównywaniu</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dysproporcji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br/>
        <w:t>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porównaniu</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z</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obszarami</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zurbanizowanymi.</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Koncepcje</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tworzone</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w</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sposób</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oddolny</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przy</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zaangażowania</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mieszkańców</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danej</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miejscowości</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mają</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dać</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szanse</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na</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poprawę</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warunków</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życia</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mieszkańców.</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Szczególnym</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obszarem</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ma</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być</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przeciwdziałanie</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wykluczeniu</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cyfrowemu</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terenów</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wiejskich</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oraz</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problemom</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w</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zakresie</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ochrony</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środowiska</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i</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klimatu.</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Wprowadzenie</w:t>
      </w:r>
      <w:r w:rsidR="003B50ED">
        <w:rPr>
          <w:rFonts w:eastAsia="Calibri" w:cstheme="minorHAnsi"/>
          <w:color w:val="000000"/>
          <w:kern w:val="0"/>
          <w14:ligatures w14:val="none"/>
        </w:rPr>
        <w:t xml:space="preserve"> </w:t>
      </w:r>
      <w:r w:rsidR="00B275F4">
        <w:rPr>
          <w:rFonts w:eastAsia="Calibri" w:cstheme="minorHAnsi"/>
          <w:color w:val="000000"/>
          <w:kern w:val="0"/>
          <w14:ligatures w14:val="none"/>
        </w:rPr>
        <w:t>przedsięwzięcia</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związanego</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z</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inteligentnymi</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wsiami</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jest</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odpowiedzią</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na</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oczekiwania</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lokalnej</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społeczności</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w</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zakresie</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wykorzystywania</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innowacyjnych</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rozwiązań</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na</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lastRenderedPageBreak/>
        <w:t>obszarze</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LSR.</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Koncepcje</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pozwolą</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wykorzystać</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lokalny</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potencjał,</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uporządkować</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potrzeby</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i</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oczekiwania</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mieszkańców</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w</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zakresie</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rozwoju</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miejscowości,</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sołectwa.</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Przygotowane</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opracowania</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mają</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nadać</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nowe</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kierunki</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rozwoju,</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usprawnić</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proces</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pozyskiwania</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grantów</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na</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działania</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twarde</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i</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miękkie.</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Kluczowym</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atutem</w:t>
      </w:r>
      <w:r w:rsidR="003B50ED">
        <w:rPr>
          <w:rFonts w:eastAsia="Calibri" w:cstheme="minorHAnsi"/>
          <w:color w:val="000000"/>
          <w:kern w:val="0"/>
          <w14:ligatures w14:val="none"/>
        </w:rPr>
        <w:t xml:space="preserve"> </w:t>
      </w:r>
      <w:r w:rsidR="00B275F4" w:rsidRPr="001E07AA">
        <w:rPr>
          <w:rFonts w:eastAsia="Calibri" w:cstheme="minorHAnsi"/>
          <w:color w:val="000000"/>
          <w:kern w:val="0"/>
          <w14:ligatures w14:val="none"/>
        </w:rPr>
        <w:t>przedsięwzięcia</w:t>
      </w:r>
      <w:r w:rsidR="003B50ED" w:rsidRPr="001E07AA">
        <w:rPr>
          <w:rFonts w:eastAsia="Calibri" w:cstheme="minorHAnsi"/>
          <w:color w:val="000000"/>
          <w:kern w:val="0"/>
          <w14:ligatures w14:val="none"/>
        </w:rPr>
        <w:t xml:space="preserve"> </w:t>
      </w:r>
      <w:r w:rsidRPr="001E07AA">
        <w:rPr>
          <w:rFonts w:eastAsia="Calibri" w:cstheme="minorHAnsi"/>
          <w:color w:val="000000"/>
          <w:kern w:val="0"/>
          <w14:ligatures w14:val="none"/>
        </w:rPr>
        <w:t>jest</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proces</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włączenia</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samych</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mieszkańców</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w</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przygotowanie</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koncepcji</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a</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samo</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działanie</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ma</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wysoki</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czynnik</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innowacyjności</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na</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obszarze</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LSR.</w:t>
      </w:r>
    </w:p>
    <w:p w14:paraId="634260B3" w14:textId="6FBF1CF4" w:rsidR="002C63F4" w:rsidRPr="00A26C26" w:rsidRDefault="002C63F4" w:rsidP="00A26C26">
      <w:pPr>
        <w:autoSpaceDE w:val="0"/>
        <w:autoSpaceDN w:val="0"/>
        <w:adjustRightInd w:val="0"/>
        <w:spacing w:line="276" w:lineRule="auto"/>
        <w:jc w:val="both"/>
        <w:rPr>
          <w:rFonts w:eastAsia="Calibri" w:cstheme="minorHAnsi"/>
          <w:kern w:val="0"/>
          <w14:ligatures w14:val="none"/>
        </w:rPr>
      </w:pPr>
      <w:r w:rsidRPr="00A26C26">
        <w:rPr>
          <w:rFonts w:eastAsia="Calibri" w:cstheme="minorHAnsi"/>
          <w:kern w:val="0"/>
          <w14:ligatures w14:val="none"/>
        </w:rPr>
        <w:t>Przedsięwzięcie</w:t>
      </w:r>
      <w:r w:rsidR="003B50ED">
        <w:rPr>
          <w:rFonts w:eastAsia="Calibri" w:cstheme="minorHAnsi"/>
          <w:kern w:val="0"/>
          <w14:ligatures w14:val="none"/>
        </w:rPr>
        <w:t xml:space="preserve"> </w:t>
      </w:r>
      <w:r w:rsidRPr="00A26C26">
        <w:rPr>
          <w:rFonts w:eastAsia="Calibri" w:cstheme="minorHAnsi"/>
          <w:kern w:val="0"/>
          <w14:ligatures w14:val="none"/>
        </w:rPr>
        <w:t>realizowane</w:t>
      </w:r>
      <w:r w:rsidR="003B50ED">
        <w:rPr>
          <w:rFonts w:eastAsia="Calibri" w:cstheme="minorHAnsi"/>
          <w:kern w:val="0"/>
          <w14:ligatures w14:val="none"/>
        </w:rPr>
        <w:t xml:space="preserve"> </w:t>
      </w:r>
      <w:r w:rsidRPr="00A26C26">
        <w:rPr>
          <w:rFonts w:eastAsia="Calibri" w:cstheme="minorHAnsi"/>
          <w:kern w:val="0"/>
          <w14:ligatures w14:val="none"/>
        </w:rPr>
        <w:t>będzie</w:t>
      </w:r>
      <w:r w:rsidR="003B50ED">
        <w:rPr>
          <w:rFonts w:eastAsia="Calibri" w:cstheme="minorHAnsi"/>
          <w:kern w:val="0"/>
          <w14:ligatures w14:val="none"/>
        </w:rPr>
        <w:t xml:space="preserve"> </w:t>
      </w:r>
      <w:r w:rsidRPr="00A26C26">
        <w:rPr>
          <w:rFonts w:eastAsia="Calibri" w:cstheme="minorHAnsi"/>
          <w:kern w:val="0"/>
          <w14:ligatures w14:val="none"/>
        </w:rPr>
        <w:t>w</w:t>
      </w:r>
      <w:r w:rsidR="003B50ED">
        <w:rPr>
          <w:rFonts w:eastAsia="Calibri" w:cstheme="minorHAnsi"/>
          <w:kern w:val="0"/>
          <w14:ligatures w14:val="none"/>
        </w:rPr>
        <w:t xml:space="preserve"> </w:t>
      </w:r>
      <w:r w:rsidRPr="00A26C26">
        <w:rPr>
          <w:rFonts w:eastAsia="Calibri" w:cstheme="minorHAnsi"/>
          <w:kern w:val="0"/>
          <w14:ligatures w14:val="none"/>
        </w:rPr>
        <w:t>formie</w:t>
      </w:r>
      <w:r w:rsidR="003B50ED">
        <w:rPr>
          <w:rFonts w:eastAsia="Calibri" w:cstheme="minorHAnsi"/>
          <w:kern w:val="0"/>
          <w14:ligatures w14:val="none"/>
        </w:rPr>
        <w:t xml:space="preserve"> </w:t>
      </w:r>
      <w:r w:rsidRPr="00A26C26">
        <w:rPr>
          <w:rFonts w:eastAsia="Calibri" w:cstheme="minorHAnsi"/>
          <w:kern w:val="0"/>
          <w14:ligatures w14:val="none"/>
        </w:rPr>
        <w:t>projektu</w:t>
      </w:r>
      <w:r w:rsidR="003B50ED">
        <w:rPr>
          <w:rFonts w:eastAsia="Calibri" w:cstheme="minorHAnsi"/>
          <w:kern w:val="0"/>
          <w14:ligatures w14:val="none"/>
        </w:rPr>
        <w:t xml:space="preserve"> </w:t>
      </w:r>
      <w:r w:rsidRPr="00A26C26">
        <w:rPr>
          <w:rFonts w:eastAsia="Calibri" w:cstheme="minorHAnsi"/>
          <w:kern w:val="0"/>
          <w14:ligatures w14:val="none"/>
        </w:rPr>
        <w:t>grantowego.</w:t>
      </w:r>
      <w:r w:rsidR="003B50ED">
        <w:rPr>
          <w:rFonts w:eastAsia="Calibri" w:cstheme="minorHAnsi"/>
          <w:kern w:val="0"/>
          <w14:ligatures w14:val="none"/>
        </w:rPr>
        <w:t xml:space="preserve"> </w:t>
      </w:r>
      <w:r w:rsidRPr="00A26C26">
        <w:rPr>
          <w:rFonts w:eastAsia="Calibri" w:cstheme="minorHAnsi"/>
          <w:kern w:val="0"/>
          <w14:ligatures w14:val="none"/>
        </w:rPr>
        <w:t>Będą</w:t>
      </w:r>
      <w:r w:rsidR="003B50ED">
        <w:rPr>
          <w:rFonts w:eastAsia="Calibri" w:cstheme="minorHAnsi"/>
          <w:kern w:val="0"/>
          <w14:ligatures w14:val="none"/>
        </w:rPr>
        <w:t xml:space="preserve"> </w:t>
      </w:r>
      <w:r w:rsidRPr="00A26C26">
        <w:rPr>
          <w:rFonts w:eastAsia="Calibri" w:cstheme="minorHAnsi"/>
          <w:kern w:val="0"/>
          <w14:ligatures w14:val="none"/>
        </w:rPr>
        <w:t>to</w:t>
      </w:r>
      <w:r w:rsidR="003B50ED">
        <w:rPr>
          <w:rFonts w:eastAsia="Calibri" w:cstheme="minorHAnsi"/>
          <w:kern w:val="0"/>
          <w14:ligatures w14:val="none"/>
        </w:rPr>
        <w:t xml:space="preserve"> </w:t>
      </w:r>
      <w:r w:rsidRPr="00A26C26">
        <w:rPr>
          <w:rFonts w:eastAsia="Calibri" w:cstheme="minorHAnsi"/>
          <w:kern w:val="0"/>
          <w14:ligatures w14:val="none"/>
        </w:rPr>
        <w:t>operacje</w:t>
      </w:r>
      <w:r w:rsidR="003B50ED">
        <w:rPr>
          <w:rFonts w:eastAsia="Calibri" w:cstheme="minorHAnsi"/>
          <w:kern w:val="0"/>
          <w14:ligatures w14:val="none"/>
        </w:rPr>
        <w:t xml:space="preserve"> </w:t>
      </w:r>
      <w:proofErr w:type="spellStart"/>
      <w:r w:rsidRPr="00A26C26">
        <w:rPr>
          <w:rFonts w:eastAsia="Calibri" w:cstheme="minorHAnsi"/>
          <w:kern w:val="0"/>
          <w14:ligatures w14:val="none"/>
        </w:rPr>
        <w:t>nieinwestycyjne</w:t>
      </w:r>
      <w:proofErr w:type="spellEnd"/>
      <w:r w:rsidRPr="00A26C26">
        <w:rPr>
          <w:rFonts w:eastAsia="Calibri" w:cstheme="minorHAnsi"/>
          <w:kern w:val="0"/>
          <w14:ligatures w14:val="none"/>
        </w:rPr>
        <w:t>.</w:t>
      </w:r>
      <w:r w:rsidR="003B50ED">
        <w:rPr>
          <w:rFonts w:eastAsia="Calibri" w:cstheme="minorHAnsi"/>
          <w:kern w:val="0"/>
          <w14:ligatures w14:val="none"/>
        </w:rPr>
        <w:t xml:space="preserve"> </w:t>
      </w:r>
      <w:r w:rsidRPr="00A26C26">
        <w:rPr>
          <w:rFonts w:eastAsia="Calibri" w:cstheme="minorHAnsi"/>
          <w:kern w:val="0"/>
          <w14:ligatures w14:val="none"/>
        </w:rPr>
        <w:t>Źródłem</w:t>
      </w:r>
      <w:r w:rsidR="003B50ED">
        <w:rPr>
          <w:rFonts w:eastAsia="Calibri" w:cstheme="minorHAnsi"/>
          <w:kern w:val="0"/>
          <w14:ligatures w14:val="none"/>
        </w:rPr>
        <w:t xml:space="preserve"> </w:t>
      </w:r>
      <w:r w:rsidRPr="00A26C26">
        <w:rPr>
          <w:rFonts w:eastAsia="Calibri" w:cstheme="minorHAnsi"/>
          <w:kern w:val="0"/>
          <w14:ligatures w14:val="none"/>
        </w:rPr>
        <w:t>finansowania</w:t>
      </w:r>
      <w:r w:rsidR="003B50ED">
        <w:rPr>
          <w:rFonts w:eastAsia="Calibri" w:cstheme="minorHAnsi"/>
          <w:kern w:val="0"/>
          <w14:ligatures w14:val="none"/>
        </w:rPr>
        <w:t xml:space="preserve"> </w:t>
      </w:r>
      <w:r w:rsidRPr="00A26C26">
        <w:rPr>
          <w:rFonts w:eastAsia="Calibri" w:cstheme="minorHAnsi"/>
          <w:kern w:val="0"/>
          <w14:ligatures w14:val="none"/>
        </w:rPr>
        <w:t>będzie</w:t>
      </w:r>
      <w:r w:rsidR="003B50ED">
        <w:rPr>
          <w:rFonts w:eastAsia="Calibri" w:cstheme="minorHAnsi"/>
          <w:kern w:val="0"/>
          <w14:ligatures w14:val="none"/>
        </w:rPr>
        <w:t xml:space="preserve"> </w:t>
      </w:r>
      <w:r w:rsidRPr="00A26C26">
        <w:rPr>
          <w:rFonts w:eastAsia="Calibri" w:cstheme="minorHAnsi"/>
          <w:kern w:val="0"/>
          <w14:ligatures w14:val="none"/>
        </w:rPr>
        <w:t>EFRROW.</w:t>
      </w:r>
      <w:r w:rsidR="003B50ED">
        <w:rPr>
          <w:rFonts w:eastAsia="Calibri" w:cstheme="minorHAnsi"/>
          <w:kern w:val="0"/>
          <w14:ligatures w14:val="none"/>
        </w:rPr>
        <w:t xml:space="preserve"> </w:t>
      </w:r>
      <w:r w:rsidRPr="00A26C26">
        <w:rPr>
          <w:rFonts w:eastAsia="Calibri" w:cstheme="minorHAnsi"/>
          <w:kern w:val="0"/>
          <w14:ligatures w14:val="none"/>
        </w:rPr>
        <w:t>Wnioskodawcami</w:t>
      </w:r>
      <w:r w:rsidR="003B50ED">
        <w:rPr>
          <w:rFonts w:eastAsia="Calibri" w:cstheme="minorHAnsi"/>
          <w:kern w:val="0"/>
          <w14:ligatures w14:val="none"/>
        </w:rPr>
        <w:t xml:space="preserve"> </w:t>
      </w:r>
      <w:r w:rsidRPr="00A26C26">
        <w:rPr>
          <w:rFonts w:eastAsia="Calibri" w:cstheme="minorHAnsi"/>
          <w:kern w:val="0"/>
          <w14:ligatures w14:val="none"/>
        </w:rPr>
        <w:t>będą</w:t>
      </w:r>
      <w:r w:rsidR="003B50ED">
        <w:rPr>
          <w:rFonts w:eastAsia="Calibri" w:cstheme="minorHAnsi"/>
          <w:kern w:val="0"/>
          <w14:ligatures w14:val="none"/>
        </w:rPr>
        <w:t xml:space="preserve"> </w:t>
      </w:r>
      <w:r w:rsidRPr="00A26C26">
        <w:rPr>
          <w:rFonts w:eastAsia="Calibri" w:cstheme="minorHAnsi"/>
          <w:kern w:val="0"/>
          <w14:ligatures w14:val="none"/>
        </w:rPr>
        <w:t>jednostki</w:t>
      </w:r>
      <w:r w:rsidR="003B50ED">
        <w:rPr>
          <w:rFonts w:eastAsia="Calibri" w:cstheme="minorHAnsi"/>
          <w:kern w:val="0"/>
          <w14:ligatures w14:val="none"/>
        </w:rPr>
        <w:t xml:space="preserve"> </w:t>
      </w:r>
      <w:r w:rsidRPr="00A26C26">
        <w:rPr>
          <w:rFonts w:eastAsia="Calibri" w:cstheme="minorHAnsi"/>
          <w:kern w:val="0"/>
          <w14:ligatures w14:val="none"/>
        </w:rPr>
        <w:t>sektora</w:t>
      </w:r>
      <w:r w:rsidR="003B50ED">
        <w:rPr>
          <w:rFonts w:eastAsia="Calibri" w:cstheme="minorHAnsi"/>
          <w:kern w:val="0"/>
          <w14:ligatures w14:val="none"/>
        </w:rPr>
        <w:t xml:space="preserve"> </w:t>
      </w:r>
      <w:r w:rsidRPr="00A26C26">
        <w:rPr>
          <w:rFonts w:eastAsia="Calibri" w:cstheme="minorHAnsi"/>
          <w:kern w:val="0"/>
          <w14:ligatures w14:val="none"/>
        </w:rPr>
        <w:t>finansów</w:t>
      </w:r>
      <w:r w:rsidR="003B50ED">
        <w:rPr>
          <w:rFonts w:eastAsia="Calibri" w:cstheme="minorHAnsi"/>
          <w:kern w:val="0"/>
          <w14:ligatures w14:val="none"/>
        </w:rPr>
        <w:t xml:space="preserve"> </w:t>
      </w:r>
      <w:r w:rsidRPr="00A26C26">
        <w:rPr>
          <w:rFonts w:eastAsia="Calibri" w:cstheme="minorHAnsi"/>
          <w:kern w:val="0"/>
          <w14:ligatures w14:val="none"/>
        </w:rPr>
        <w:t>publicznych,</w:t>
      </w:r>
      <w:r w:rsidR="003B50ED">
        <w:rPr>
          <w:rFonts w:eastAsia="Calibri" w:cstheme="minorHAnsi"/>
          <w:kern w:val="0"/>
          <w14:ligatures w14:val="none"/>
        </w:rPr>
        <w:t xml:space="preserve"> </w:t>
      </w:r>
      <w:r w:rsidRPr="00A26C26">
        <w:rPr>
          <w:rFonts w:eastAsia="Calibri" w:cstheme="minorHAnsi"/>
          <w:kern w:val="0"/>
          <w14:ligatures w14:val="none"/>
        </w:rPr>
        <w:t>organizacje</w:t>
      </w:r>
      <w:r w:rsidR="003B50ED">
        <w:rPr>
          <w:rFonts w:eastAsia="Calibri" w:cstheme="minorHAnsi"/>
          <w:kern w:val="0"/>
          <w14:ligatures w14:val="none"/>
        </w:rPr>
        <w:t xml:space="preserve"> </w:t>
      </w:r>
      <w:r w:rsidRPr="00A26C26">
        <w:rPr>
          <w:rFonts w:eastAsia="Calibri" w:cstheme="minorHAnsi"/>
          <w:kern w:val="0"/>
          <w14:ligatures w14:val="none"/>
        </w:rPr>
        <w:t>pozarządowe,</w:t>
      </w:r>
      <w:r w:rsidR="003B50ED">
        <w:rPr>
          <w:rFonts w:eastAsia="Calibri" w:cstheme="minorHAnsi"/>
          <w:kern w:val="0"/>
          <w14:ligatures w14:val="none"/>
        </w:rPr>
        <w:t xml:space="preserve"> </w:t>
      </w:r>
      <w:r w:rsidRPr="00A26C26">
        <w:rPr>
          <w:rFonts w:eastAsia="Calibri" w:cstheme="minorHAnsi"/>
          <w:kern w:val="0"/>
          <w14:ligatures w14:val="none"/>
        </w:rPr>
        <w:t>osoby</w:t>
      </w:r>
      <w:r w:rsidR="003B50ED">
        <w:rPr>
          <w:rFonts w:eastAsia="Calibri" w:cstheme="minorHAnsi"/>
          <w:kern w:val="0"/>
          <w14:ligatures w14:val="none"/>
        </w:rPr>
        <w:t xml:space="preserve"> </w:t>
      </w:r>
      <w:r w:rsidRPr="00A26C26">
        <w:rPr>
          <w:rFonts w:eastAsia="Calibri" w:cstheme="minorHAnsi"/>
          <w:kern w:val="0"/>
          <w14:ligatures w14:val="none"/>
        </w:rPr>
        <w:t>fizyczne.</w:t>
      </w:r>
      <w:r w:rsidR="003B50ED">
        <w:rPr>
          <w:rFonts w:eastAsia="Calibri" w:cstheme="minorHAnsi"/>
          <w:kern w:val="0"/>
          <w14:ligatures w14:val="none"/>
        </w:rPr>
        <w:t xml:space="preserve"> </w:t>
      </w:r>
      <w:r w:rsidRPr="00A26C26">
        <w:rPr>
          <w:rFonts w:eastAsia="Calibri" w:cstheme="minorHAnsi"/>
          <w:kern w:val="0"/>
          <w14:ligatures w14:val="none"/>
        </w:rPr>
        <w:t>Grupy</w:t>
      </w:r>
      <w:r w:rsidR="003B50ED">
        <w:rPr>
          <w:rFonts w:eastAsia="Calibri" w:cstheme="minorHAnsi"/>
          <w:kern w:val="0"/>
          <w14:ligatures w14:val="none"/>
        </w:rPr>
        <w:t xml:space="preserve"> </w:t>
      </w:r>
      <w:r w:rsidRPr="00A26C26">
        <w:rPr>
          <w:rFonts w:eastAsia="Calibri" w:cstheme="minorHAnsi"/>
          <w:kern w:val="0"/>
          <w14:ligatures w14:val="none"/>
        </w:rPr>
        <w:t>docelowe:</w:t>
      </w:r>
      <w:r w:rsidR="003B50ED">
        <w:rPr>
          <w:rFonts w:eastAsia="Calibri" w:cstheme="minorHAnsi"/>
          <w:kern w:val="0"/>
          <w14:ligatures w14:val="none"/>
        </w:rPr>
        <w:t xml:space="preserve"> </w:t>
      </w:r>
      <w:r w:rsidRPr="00A26C26">
        <w:rPr>
          <w:rFonts w:eastAsia="Calibri" w:cstheme="minorHAnsi"/>
          <w:kern w:val="0"/>
          <w14:ligatures w14:val="none"/>
        </w:rPr>
        <w:t>mieszkańcy,</w:t>
      </w:r>
      <w:r w:rsidR="003B50ED">
        <w:rPr>
          <w:rFonts w:eastAsia="Calibri" w:cstheme="minorHAnsi"/>
          <w:kern w:val="0"/>
          <w14:ligatures w14:val="none"/>
        </w:rPr>
        <w:t xml:space="preserve"> </w:t>
      </w:r>
      <w:r w:rsidRPr="00A26C26">
        <w:rPr>
          <w:rFonts w:eastAsia="Calibri" w:cstheme="minorHAnsi"/>
          <w:kern w:val="0"/>
          <w14:ligatures w14:val="none"/>
        </w:rPr>
        <w:t>organizacje</w:t>
      </w:r>
      <w:r w:rsidR="003B50ED">
        <w:rPr>
          <w:rFonts w:eastAsia="Calibri" w:cstheme="minorHAnsi"/>
          <w:kern w:val="0"/>
          <w14:ligatures w14:val="none"/>
        </w:rPr>
        <w:t xml:space="preserve"> </w:t>
      </w:r>
      <w:r w:rsidRPr="00A26C26">
        <w:rPr>
          <w:rFonts w:eastAsia="Calibri" w:cstheme="minorHAnsi"/>
          <w:kern w:val="0"/>
          <w14:ligatures w14:val="none"/>
        </w:rPr>
        <w:t>pozarządowe,</w:t>
      </w:r>
      <w:r w:rsidR="003B50ED">
        <w:rPr>
          <w:rFonts w:eastAsia="Calibri" w:cstheme="minorHAnsi"/>
          <w:kern w:val="0"/>
          <w14:ligatures w14:val="none"/>
        </w:rPr>
        <w:t xml:space="preserve"> </w:t>
      </w:r>
      <w:r w:rsidRPr="00A26C26">
        <w:rPr>
          <w:rFonts w:eastAsia="Calibri" w:cstheme="minorHAnsi"/>
          <w:kern w:val="0"/>
          <w14:ligatures w14:val="none"/>
        </w:rPr>
        <w:t>jednostki</w:t>
      </w:r>
      <w:r w:rsidR="003B50ED">
        <w:rPr>
          <w:rFonts w:eastAsia="Calibri" w:cstheme="minorHAnsi"/>
          <w:kern w:val="0"/>
          <w14:ligatures w14:val="none"/>
        </w:rPr>
        <w:t xml:space="preserve"> </w:t>
      </w:r>
      <w:r w:rsidRPr="00A26C26">
        <w:rPr>
          <w:rFonts w:eastAsia="Calibri" w:cstheme="minorHAnsi"/>
          <w:kern w:val="0"/>
          <w14:ligatures w14:val="none"/>
        </w:rPr>
        <w:t>samorządu</w:t>
      </w:r>
      <w:r w:rsidR="003B50ED">
        <w:rPr>
          <w:rFonts w:eastAsia="Calibri" w:cstheme="minorHAnsi"/>
          <w:kern w:val="0"/>
          <w14:ligatures w14:val="none"/>
        </w:rPr>
        <w:t xml:space="preserve"> </w:t>
      </w:r>
      <w:r w:rsidRPr="00A26C26">
        <w:rPr>
          <w:rFonts w:eastAsia="Calibri" w:cstheme="minorHAnsi"/>
          <w:kern w:val="0"/>
          <w14:ligatures w14:val="none"/>
        </w:rPr>
        <w:t>terytorialnego.</w:t>
      </w:r>
      <w:r w:rsidR="003B50ED">
        <w:rPr>
          <w:rFonts w:eastAsia="Calibri" w:cstheme="minorHAnsi"/>
          <w:kern w:val="0"/>
          <w14:ligatures w14:val="none"/>
        </w:rPr>
        <w:t xml:space="preserve"> </w:t>
      </w:r>
    </w:p>
    <w:p w14:paraId="0484956A" w14:textId="05609049" w:rsidR="002C63F4" w:rsidRPr="00A26C26" w:rsidRDefault="002C63F4" w:rsidP="00A26C26">
      <w:pPr>
        <w:autoSpaceDE w:val="0"/>
        <w:autoSpaceDN w:val="0"/>
        <w:adjustRightInd w:val="0"/>
        <w:spacing w:line="276" w:lineRule="auto"/>
        <w:jc w:val="both"/>
        <w:rPr>
          <w:rFonts w:eastAsia="Calibri" w:cstheme="minorHAnsi"/>
          <w:color w:val="000000"/>
          <w:kern w:val="0"/>
          <w14:ligatures w14:val="none"/>
        </w:rPr>
      </w:pPr>
      <w:r w:rsidRPr="00A26C26">
        <w:rPr>
          <w:rFonts w:eastAsia="Calibri" w:cstheme="minorHAnsi"/>
          <w:b/>
          <w:bCs/>
          <w:color w:val="000000"/>
          <w:kern w:val="0"/>
          <w14:ligatures w14:val="none"/>
        </w:rPr>
        <w:t>Wskaźnik</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PRODUKTU:</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Liczba</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przygotowanych</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koncepcji</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Smart</w:t>
      </w:r>
      <w:r w:rsidR="003B50ED">
        <w:rPr>
          <w:rFonts w:eastAsia="Calibri" w:cstheme="minorHAnsi"/>
          <w:color w:val="000000"/>
          <w:kern w:val="0"/>
          <w14:ligatures w14:val="none"/>
        </w:rPr>
        <w:t xml:space="preserve"> </w:t>
      </w:r>
      <w:proofErr w:type="spellStart"/>
      <w:r w:rsidRPr="00A26C26">
        <w:rPr>
          <w:rFonts w:eastAsia="Calibri" w:cstheme="minorHAnsi"/>
          <w:color w:val="000000"/>
          <w:kern w:val="0"/>
          <w14:ligatures w14:val="none"/>
        </w:rPr>
        <w:t>Villages</w:t>
      </w:r>
      <w:proofErr w:type="spellEnd"/>
      <w:r w:rsidRPr="00A26C26">
        <w:rPr>
          <w:rFonts w:eastAsia="Calibri" w:cstheme="minorHAnsi"/>
          <w:color w:val="000000"/>
          <w:kern w:val="0"/>
          <w14:ligatures w14:val="none"/>
        </w:rPr>
        <w:t>.</w:t>
      </w:r>
    </w:p>
    <w:p w14:paraId="6D64A393" w14:textId="3139A06E" w:rsidR="002C63F4" w:rsidRPr="00A26C26" w:rsidRDefault="002C63F4" w:rsidP="00A26C26">
      <w:pPr>
        <w:autoSpaceDE w:val="0"/>
        <w:autoSpaceDN w:val="0"/>
        <w:adjustRightInd w:val="0"/>
        <w:spacing w:line="276" w:lineRule="auto"/>
        <w:jc w:val="both"/>
        <w:rPr>
          <w:rFonts w:eastAsia="Calibri" w:cstheme="minorHAnsi"/>
          <w:b/>
          <w:bCs/>
          <w:color w:val="000000"/>
          <w:kern w:val="0"/>
          <w14:ligatures w14:val="none"/>
        </w:rPr>
      </w:pPr>
      <w:r w:rsidRPr="00A26C26">
        <w:rPr>
          <w:rFonts w:eastAsia="Calibri" w:cstheme="minorHAnsi"/>
          <w:b/>
          <w:bCs/>
          <w:color w:val="000000"/>
          <w:kern w:val="0"/>
          <w14:ligatures w14:val="none"/>
        </w:rPr>
        <w:t>Ad.2.</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Przedsięwzięcie</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1.2.</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Poprawa</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dostępu</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do</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małej</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infrastruktury</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publicznej:</w:t>
      </w:r>
    </w:p>
    <w:p w14:paraId="48E434B7" w14:textId="53AD1D83" w:rsidR="002C63F4" w:rsidRPr="00F16251" w:rsidRDefault="002C63F4" w:rsidP="00A26C26">
      <w:pPr>
        <w:spacing w:line="276" w:lineRule="auto"/>
        <w:jc w:val="both"/>
        <w:rPr>
          <w:rFonts w:eastAsia="Calibri" w:cstheme="minorHAnsi"/>
          <w:kern w:val="0"/>
          <w14:ligatures w14:val="none"/>
        </w:rPr>
      </w:pPr>
      <w:r w:rsidRPr="00A26C26">
        <w:rPr>
          <w:rFonts w:eastAsia="Calibri" w:cstheme="minorHAnsi"/>
          <w:kern w:val="0"/>
          <w14:ligatures w14:val="none"/>
        </w:rPr>
        <w:t>Planowane</w:t>
      </w:r>
      <w:r w:rsidR="003B50ED">
        <w:rPr>
          <w:rFonts w:eastAsia="Calibri" w:cstheme="minorHAnsi"/>
          <w:kern w:val="0"/>
          <w14:ligatures w14:val="none"/>
        </w:rPr>
        <w:t xml:space="preserve"> </w:t>
      </w:r>
      <w:r w:rsidRPr="00A26C26">
        <w:rPr>
          <w:rFonts w:eastAsia="Calibri" w:cstheme="minorHAnsi"/>
          <w:kern w:val="0"/>
          <w14:ligatures w14:val="none"/>
        </w:rPr>
        <w:t>wsparcie</w:t>
      </w:r>
      <w:r w:rsidR="003B50ED">
        <w:rPr>
          <w:rFonts w:eastAsia="Calibri" w:cstheme="minorHAnsi"/>
          <w:kern w:val="0"/>
          <w14:ligatures w14:val="none"/>
        </w:rPr>
        <w:t xml:space="preserve"> </w:t>
      </w:r>
      <w:r w:rsidRPr="00A26C26">
        <w:rPr>
          <w:rFonts w:eastAsia="Calibri" w:cstheme="minorHAnsi"/>
          <w:kern w:val="0"/>
          <w14:ligatures w14:val="none"/>
        </w:rPr>
        <w:t>będzie</w:t>
      </w:r>
      <w:r w:rsidR="003B50ED">
        <w:rPr>
          <w:rFonts w:eastAsia="Calibri" w:cstheme="minorHAnsi"/>
          <w:kern w:val="0"/>
          <w14:ligatures w14:val="none"/>
        </w:rPr>
        <w:t xml:space="preserve"> </w:t>
      </w:r>
      <w:r w:rsidRPr="00A26C26">
        <w:rPr>
          <w:rFonts w:eastAsia="Calibri" w:cstheme="minorHAnsi"/>
          <w:kern w:val="0"/>
          <w14:ligatures w14:val="none"/>
        </w:rPr>
        <w:t>przeznaczone</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działania</w:t>
      </w:r>
      <w:r w:rsidR="003B50ED">
        <w:rPr>
          <w:rFonts w:eastAsia="Calibri" w:cstheme="minorHAnsi"/>
          <w:kern w:val="0"/>
          <w14:ligatures w14:val="none"/>
        </w:rPr>
        <w:t xml:space="preserve"> </w:t>
      </w:r>
      <w:r w:rsidRPr="00A26C26">
        <w:rPr>
          <w:rFonts w:eastAsia="Calibri" w:cstheme="minorHAnsi"/>
          <w:kern w:val="0"/>
          <w14:ligatures w14:val="none"/>
        </w:rPr>
        <w:t>związane</w:t>
      </w:r>
      <w:r w:rsidR="003B50ED">
        <w:rPr>
          <w:rFonts w:eastAsia="Calibri" w:cstheme="minorHAnsi"/>
          <w:kern w:val="0"/>
          <w14:ligatures w14:val="none"/>
        </w:rPr>
        <w:t xml:space="preserve"> </w:t>
      </w:r>
      <w:r w:rsidRPr="00A26C26">
        <w:rPr>
          <w:rFonts w:eastAsia="Calibri" w:cstheme="minorHAnsi"/>
          <w:kern w:val="0"/>
          <w14:ligatures w14:val="none"/>
        </w:rPr>
        <w:t>z</w:t>
      </w:r>
      <w:r w:rsidR="003B50ED">
        <w:rPr>
          <w:rFonts w:eastAsia="Calibri" w:cstheme="minorHAnsi"/>
          <w:kern w:val="0"/>
          <w14:ligatures w14:val="none"/>
        </w:rPr>
        <w:t xml:space="preserve"> </w:t>
      </w:r>
      <w:r w:rsidRPr="00A26C26">
        <w:rPr>
          <w:rFonts w:eastAsia="Calibri" w:cstheme="minorHAnsi"/>
          <w:kern w:val="0"/>
          <w14:ligatures w14:val="none"/>
        </w:rPr>
        <w:t>poprawą</w:t>
      </w:r>
      <w:r w:rsidR="003B50ED">
        <w:rPr>
          <w:rFonts w:eastAsia="Calibri" w:cstheme="minorHAnsi"/>
          <w:kern w:val="0"/>
          <w14:ligatures w14:val="none"/>
        </w:rPr>
        <w:t xml:space="preserve"> </w:t>
      </w:r>
      <w:r w:rsidRPr="00A26C26">
        <w:rPr>
          <w:rFonts w:eastAsia="Calibri" w:cstheme="minorHAnsi"/>
          <w:kern w:val="0"/>
          <w14:ligatures w14:val="none"/>
        </w:rPr>
        <w:t>dostępu</w:t>
      </w:r>
      <w:r w:rsidR="003B50ED">
        <w:rPr>
          <w:rFonts w:eastAsia="Calibri" w:cstheme="minorHAnsi"/>
          <w:kern w:val="0"/>
          <w14:ligatures w14:val="none"/>
        </w:rPr>
        <w:t xml:space="preserve"> </w:t>
      </w:r>
      <w:r w:rsidRPr="00A26C26">
        <w:rPr>
          <w:rFonts w:eastAsia="Calibri" w:cstheme="minorHAnsi"/>
          <w:kern w:val="0"/>
          <w14:ligatures w14:val="none"/>
        </w:rPr>
        <w:t>do</w:t>
      </w:r>
      <w:r w:rsidR="003B50ED">
        <w:rPr>
          <w:rFonts w:eastAsia="Calibri" w:cstheme="minorHAnsi"/>
          <w:kern w:val="0"/>
          <w14:ligatures w14:val="none"/>
        </w:rPr>
        <w:t xml:space="preserve"> </w:t>
      </w:r>
      <w:r w:rsidRPr="00A26C26">
        <w:rPr>
          <w:rFonts w:eastAsia="Calibri" w:cstheme="minorHAnsi"/>
          <w:kern w:val="0"/>
          <w14:ligatures w14:val="none"/>
        </w:rPr>
        <w:t>małej</w:t>
      </w:r>
      <w:r w:rsidR="003B50ED">
        <w:rPr>
          <w:rFonts w:eastAsia="Calibri" w:cstheme="minorHAnsi"/>
          <w:kern w:val="0"/>
          <w14:ligatures w14:val="none"/>
        </w:rPr>
        <w:t xml:space="preserve"> </w:t>
      </w:r>
      <w:r w:rsidRPr="00A26C26">
        <w:rPr>
          <w:rFonts w:eastAsia="Calibri" w:cstheme="minorHAnsi"/>
          <w:kern w:val="0"/>
          <w14:ligatures w14:val="none"/>
        </w:rPr>
        <w:t>infrastruktury</w:t>
      </w:r>
      <w:r w:rsidR="003B50ED">
        <w:rPr>
          <w:rFonts w:eastAsia="Calibri" w:cstheme="minorHAnsi"/>
          <w:kern w:val="0"/>
          <w14:ligatures w14:val="none"/>
        </w:rPr>
        <w:t xml:space="preserve"> </w:t>
      </w:r>
      <w:r w:rsidRPr="00A26C26">
        <w:rPr>
          <w:rFonts w:eastAsia="Calibri" w:cstheme="minorHAnsi"/>
          <w:kern w:val="0"/>
          <w14:ligatures w14:val="none"/>
        </w:rPr>
        <w:t>publicznej.</w:t>
      </w:r>
      <w:r w:rsidR="003B50ED">
        <w:rPr>
          <w:rFonts w:eastAsia="Calibri" w:cstheme="minorHAnsi"/>
          <w:kern w:val="0"/>
          <w14:ligatures w14:val="none"/>
        </w:rPr>
        <w:t xml:space="preserve"> </w:t>
      </w:r>
      <w:r w:rsidRPr="00A26C26">
        <w:rPr>
          <w:rFonts w:eastAsia="Calibri" w:cstheme="minorHAnsi"/>
          <w:kern w:val="0"/>
          <w14:ligatures w14:val="none"/>
        </w:rPr>
        <w:t>Założeniem</w:t>
      </w:r>
      <w:r w:rsidR="003B50ED">
        <w:rPr>
          <w:rFonts w:eastAsia="Calibri" w:cstheme="minorHAnsi"/>
          <w:kern w:val="0"/>
          <w14:ligatures w14:val="none"/>
        </w:rPr>
        <w:t xml:space="preserve"> </w:t>
      </w:r>
      <w:r w:rsidRPr="00A26C26">
        <w:rPr>
          <w:rFonts w:eastAsia="Calibri" w:cstheme="minorHAnsi"/>
          <w:kern w:val="0"/>
          <w14:ligatures w14:val="none"/>
        </w:rPr>
        <w:t>jest</w:t>
      </w:r>
      <w:r w:rsidR="003B50ED">
        <w:rPr>
          <w:rFonts w:eastAsia="Calibri" w:cstheme="minorHAnsi"/>
          <w:kern w:val="0"/>
          <w14:ligatures w14:val="none"/>
        </w:rPr>
        <w:t xml:space="preserve"> </w:t>
      </w:r>
      <w:r w:rsidRPr="00A26C26">
        <w:rPr>
          <w:rFonts w:eastAsia="Calibri" w:cstheme="minorHAnsi"/>
          <w:kern w:val="0"/>
          <w14:ligatures w14:val="none"/>
        </w:rPr>
        <w:t>podniesienie</w:t>
      </w:r>
      <w:r w:rsidR="003B50ED">
        <w:rPr>
          <w:rFonts w:eastAsia="Calibri" w:cstheme="minorHAnsi"/>
          <w:kern w:val="0"/>
          <w14:ligatures w14:val="none"/>
        </w:rPr>
        <w:t xml:space="preserve"> </w:t>
      </w:r>
      <w:r w:rsidRPr="00A26C26">
        <w:rPr>
          <w:rFonts w:eastAsia="Calibri" w:cstheme="minorHAnsi"/>
          <w:kern w:val="0"/>
          <w14:ligatures w14:val="none"/>
        </w:rPr>
        <w:t>atrakcyjność</w:t>
      </w:r>
      <w:r w:rsidR="003B50ED">
        <w:rPr>
          <w:rFonts w:eastAsia="Calibri" w:cstheme="minorHAnsi"/>
          <w:kern w:val="0"/>
          <w14:ligatures w14:val="none"/>
        </w:rPr>
        <w:t xml:space="preserve"> </w:t>
      </w:r>
      <w:r w:rsidRPr="00A26C26">
        <w:rPr>
          <w:rFonts w:eastAsia="Calibri" w:cstheme="minorHAnsi"/>
          <w:kern w:val="0"/>
          <w14:ligatures w14:val="none"/>
        </w:rPr>
        <w:t>gmin</w:t>
      </w:r>
      <w:r w:rsidR="003B50ED">
        <w:rPr>
          <w:rFonts w:eastAsia="Calibri" w:cstheme="minorHAnsi"/>
          <w:kern w:val="0"/>
          <w14:ligatures w14:val="none"/>
        </w:rPr>
        <w:t xml:space="preserve"> </w:t>
      </w:r>
      <w:r w:rsidRPr="00A26C26">
        <w:rPr>
          <w:rFonts w:eastAsia="Calibri" w:cstheme="minorHAnsi"/>
          <w:kern w:val="0"/>
          <w14:ligatures w14:val="none"/>
        </w:rPr>
        <w:t>dla</w:t>
      </w:r>
      <w:r w:rsidR="003B50ED">
        <w:rPr>
          <w:rFonts w:eastAsia="Calibri" w:cstheme="minorHAnsi"/>
          <w:kern w:val="0"/>
          <w14:ligatures w14:val="none"/>
        </w:rPr>
        <w:t xml:space="preserve"> </w:t>
      </w:r>
      <w:r w:rsidRPr="00A26C26">
        <w:rPr>
          <w:rFonts w:eastAsia="Calibri" w:cstheme="minorHAnsi"/>
          <w:kern w:val="0"/>
          <w14:ligatures w14:val="none"/>
        </w:rPr>
        <w:t>mieszkańców</w:t>
      </w:r>
      <w:r w:rsidR="003B50ED">
        <w:rPr>
          <w:rFonts w:eastAsia="Calibri" w:cstheme="minorHAnsi"/>
          <w:kern w:val="0"/>
          <w14:ligatures w14:val="none"/>
        </w:rPr>
        <w:t xml:space="preserve"> </w:t>
      </w:r>
      <w:r w:rsidRPr="00A26C26">
        <w:rPr>
          <w:rFonts w:eastAsia="Calibri" w:cstheme="minorHAnsi"/>
          <w:kern w:val="0"/>
          <w14:ligatures w14:val="none"/>
        </w:rPr>
        <w:t>oraz</w:t>
      </w:r>
      <w:r w:rsidR="003B50ED">
        <w:rPr>
          <w:rFonts w:eastAsia="Calibri" w:cstheme="minorHAnsi"/>
          <w:kern w:val="0"/>
          <w14:ligatures w14:val="none"/>
        </w:rPr>
        <w:t xml:space="preserve"> </w:t>
      </w:r>
      <w:r w:rsidRPr="00A26C26">
        <w:rPr>
          <w:rFonts w:eastAsia="Calibri" w:cstheme="minorHAnsi"/>
          <w:kern w:val="0"/>
          <w14:ligatures w14:val="none"/>
        </w:rPr>
        <w:t>turystów.</w:t>
      </w:r>
      <w:r w:rsidR="003B50ED">
        <w:rPr>
          <w:rFonts w:eastAsia="Calibri" w:cstheme="minorHAnsi"/>
          <w:kern w:val="0"/>
          <w14:ligatures w14:val="none"/>
        </w:rPr>
        <w:t xml:space="preserve"> </w:t>
      </w:r>
      <w:r w:rsidRPr="00A26C26">
        <w:rPr>
          <w:rFonts w:eastAsia="Calibri" w:cstheme="minorHAnsi"/>
          <w:kern w:val="0"/>
          <w14:ligatures w14:val="none"/>
        </w:rPr>
        <w:t>Budowa</w:t>
      </w:r>
      <w:r w:rsidR="003B50ED">
        <w:rPr>
          <w:rFonts w:eastAsia="Calibri" w:cstheme="minorHAnsi"/>
          <w:kern w:val="0"/>
          <w14:ligatures w14:val="none"/>
        </w:rPr>
        <w:t xml:space="preserve"> </w:t>
      </w:r>
      <w:r w:rsidRPr="00A26C26">
        <w:rPr>
          <w:rFonts w:eastAsia="Calibri" w:cstheme="minorHAnsi"/>
          <w:kern w:val="0"/>
          <w14:ligatures w14:val="none"/>
        </w:rPr>
        <w:t>nowych</w:t>
      </w:r>
      <w:r w:rsidR="003B50ED">
        <w:rPr>
          <w:rFonts w:eastAsia="Calibri" w:cstheme="minorHAnsi"/>
          <w:kern w:val="0"/>
          <w14:ligatures w14:val="none"/>
        </w:rPr>
        <w:t xml:space="preserve"> </w:t>
      </w:r>
      <w:r w:rsidRPr="00A26C26">
        <w:rPr>
          <w:rFonts w:eastAsia="Calibri" w:cstheme="minorHAnsi"/>
          <w:kern w:val="0"/>
          <w14:ligatures w14:val="none"/>
        </w:rPr>
        <w:t>obiektów,</w:t>
      </w:r>
      <w:r w:rsidR="003B50ED">
        <w:rPr>
          <w:rFonts w:eastAsia="Calibri" w:cstheme="minorHAnsi"/>
          <w:kern w:val="0"/>
          <w14:ligatures w14:val="none"/>
        </w:rPr>
        <w:t xml:space="preserve"> </w:t>
      </w:r>
      <w:r w:rsidRPr="00A26C26">
        <w:rPr>
          <w:rFonts w:eastAsia="Calibri" w:cstheme="minorHAnsi"/>
          <w:kern w:val="0"/>
          <w14:ligatures w14:val="none"/>
        </w:rPr>
        <w:t>modernizacja</w:t>
      </w:r>
      <w:r w:rsidR="003B50ED">
        <w:rPr>
          <w:rFonts w:eastAsia="Calibri" w:cstheme="minorHAnsi"/>
          <w:kern w:val="0"/>
          <w14:ligatures w14:val="none"/>
        </w:rPr>
        <w:t xml:space="preserve"> </w:t>
      </w:r>
      <w:r w:rsidRPr="00A26C26">
        <w:rPr>
          <w:rFonts w:eastAsia="Calibri" w:cstheme="minorHAnsi"/>
          <w:kern w:val="0"/>
          <w14:ligatures w14:val="none"/>
        </w:rPr>
        <w:t>już</w:t>
      </w:r>
      <w:r w:rsidR="003B50ED">
        <w:rPr>
          <w:rFonts w:eastAsia="Calibri" w:cstheme="minorHAnsi"/>
          <w:kern w:val="0"/>
          <w14:ligatures w14:val="none"/>
        </w:rPr>
        <w:t xml:space="preserve"> </w:t>
      </w:r>
      <w:r w:rsidRPr="00A26C26">
        <w:rPr>
          <w:rFonts w:eastAsia="Calibri" w:cstheme="minorHAnsi"/>
          <w:kern w:val="0"/>
          <w14:ligatures w14:val="none"/>
        </w:rPr>
        <w:t>istniejących,</w:t>
      </w:r>
      <w:r w:rsidR="003B50ED">
        <w:rPr>
          <w:rFonts w:eastAsia="Calibri" w:cstheme="minorHAnsi"/>
          <w:kern w:val="0"/>
          <w14:ligatures w14:val="none"/>
        </w:rPr>
        <w:t xml:space="preserve"> </w:t>
      </w:r>
      <w:r w:rsidRPr="00A26C26">
        <w:rPr>
          <w:rFonts w:eastAsia="Calibri" w:cstheme="minorHAnsi"/>
          <w:kern w:val="0"/>
          <w14:ligatures w14:val="none"/>
        </w:rPr>
        <w:t>o</w:t>
      </w:r>
      <w:r w:rsidR="003B50ED">
        <w:rPr>
          <w:rFonts w:eastAsia="Calibri" w:cstheme="minorHAnsi"/>
          <w:kern w:val="0"/>
          <w14:ligatures w14:val="none"/>
        </w:rPr>
        <w:t xml:space="preserve"> </w:t>
      </w:r>
      <w:r w:rsidRPr="00A26C26">
        <w:rPr>
          <w:rFonts w:eastAsia="Calibri" w:cstheme="minorHAnsi"/>
          <w:kern w:val="0"/>
          <w14:ligatures w14:val="none"/>
        </w:rPr>
        <w:t>charakterze</w:t>
      </w:r>
      <w:r w:rsidR="003B50ED">
        <w:rPr>
          <w:rFonts w:eastAsia="Calibri" w:cstheme="minorHAnsi"/>
          <w:kern w:val="0"/>
          <w14:ligatures w14:val="none"/>
        </w:rPr>
        <w:t xml:space="preserve"> </w:t>
      </w:r>
      <w:r w:rsidRPr="00A26C26">
        <w:rPr>
          <w:rFonts w:eastAsia="Calibri" w:cstheme="minorHAnsi"/>
          <w:kern w:val="0"/>
          <w14:ligatures w14:val="none"/>
        </w:rPr>
        <w:t>rekreacyjnym</w:t>
      </w:r>
      <w:r w:rsidR="003B50ED">
        <w:rPr>
          <w:rFonts w:eastAsia="Calibri" w:cstheme="minorHAnsi"/>
          <w:kern w:val="0"/>
          <w14:ligatures w14:val="none"/>
        </w:rPr>
        <w:t xml:space="preserve"> </w:t>
      </w:r>
      <w:r w:rsidRPr="00A26C26">
        <w:rPr>
          <w:rFonts w:eastAsia="Calibri" w:cstheme="minorHAnsi"/>
          <w:kern w:val="0"/>
          <w14:ligatures w14:val="none"/>
        </w:rPr>
        <w:t>i</w:t>
      </w:r>
      <w:r w:rsidR="003B50ED">
        <w:rPr>
          <w:rFonts w:eastAsia="Calibri" w:cstheme="minorHAnsi"/>
          <w:kern w:val="0"/>
          <w14:ligatures w14:val="none"/>
        </w:rPr>
        <w:t xml:space="preserve"> </w:t>
      </w:r>
      <w:r w:rsidRPr="00A26C26">
        <w:rPr>
          <w:rFonts w:eastAsia="Calibri" w:cstheme="minorHAnsi"/>
          <w:kern w:val="0"/>
          <w14:ligatures w14:val="none"/>
        </w:rPr>
        <w:t>turystycznym,</w:t>
      </w:r>
      <w:r w:rsidR="003B50ED">
        <w:rPr>
          <w:rFonts w:eastAsia="Calibri" w:cstheme="minorHAnsi"/>
          <w:kern w:val="0"/>
          <w14:ligatures w14:val="none"/>
        </w:rPr>
        <w:t xml:space="preserve"> </w:t>
      </w:r>
      <w:r w:rsidRPr="00A26C26">
        <w:rPr>
          <w:rFonts w:eastAsia="Calibri" w:cstheme="minorHAnsi"/>
          <w:kern w:val="0"/>
          <w14:ligatures w14:val="none"/>
        </w:rPr>
        <w:t>kulturalnym</w:t>
      </w:r>
      <w:r w:rsidR="003B50ED">
        <w:rPr>
          <w:rFonts w:eastAsia="Calibri" w:cstheme="minorHAnsi"/>
          <w:kern w:val="0"/>
          <w14:ligatures w14:val="none"/>
        </w:rPr>
        <w:t xml:space="preserve"> </w:t>
      </w:r>
      <w:r w:rsidRPr="00A26C26">
        <w:rPr>
          <w:rFonts w:eastAsia="Calibri" w:cstheme="minorHAnsi"/>
          <w:kern w:val="0"/>
          <w14:ligatures w14:val="none"/>
        </w:rPr>
        <w:t>będzie</w:t>
      </w:r>
      <w:r w:rsidR="003B50ED">
        <w:rPr>
          <w:rFonts w:eastAsia="Calibri" w:cstheme="minorHAnsi"/>
          <w:kern w:val="0"/>
          <w14:ligatures w14:val="none"/>
        </w:rPr>
        <w:t xml:space="preserve"> </w:t>
      </w:r>
      <w:r w:rsidRPr="00A26C26">
        <w:rPr>
          <w:rFonts w:eastAsia="Calibri" w:cstheme="minorHAnsi"/>
          <w:kern w:val="0"/>
          <w14:ligatures w14:val="none"/>
        </w:rPr>
        <w:t>miała</w:t>
      </w:r>
      <w:r w:rsidR="003B50ED">
        <w:rPr>
          <w:rFonts w:eastAsia="Calibri" w:cstheme="minorHAnsi"/>
          <w:kern w:val="0"/>
          <w14:ligatures w14:val="none"/>
        </w:rPr>
        <w:t xml:space="preserve"> </w:t>
      </w:r>
      <w:r w:rsidRPr="00A26C26">
        <w:rPr>
          <w:rFonts w:eastAsia="Calibri" w:cstheme="minorHAnsi"/>
          <w:kern w:val="0"/>
          <w14:ligatures w14:val="none"/>
        </w:rPr>
        <w:t>pozytywny</w:t>
      </w:r>
      <w:r w:rsidR="003B50ED">
        <w:rPr>
          <w:rFonts w:eastAsia="Calibri" w:cstheme="minorHAnsi"/>
          <w:kern w:val="0"/>
          <w14:ligatures w14:val="none"/>
        </w:rPr>
        <w:t xml:space="preserve"> </w:t>
      </w:r>
      <w:r w:rsidRPr="00A26C26">
        <w:rPr>
          <w:rFonts w:eastAsia="Calibri" w:cstheme="minorHAnsi"/>
          <w:kern w:val="0"/>
          <w14:ligatures w14:val="none"/>
        </w:rPr>
        <w:t>wpływ</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rozwój</w:t>
      </w:r>
      <w:r w:rsidR="003B50ED">
        <w:rPr>
          <w:rFonts w:eastAsia="Calibri" w:cstheme="minorHAnsi"/>
          <w:kern w:val="0"/>
          <w14:ligatures w14:val="none"/>
        </w:rPr>
        <w:t xml:space="preserve"> </w:t>
      </w:r>
      <w:r w:rsidRPr="00A26C26">
        <w:rPr>
          <w:rFonts w:eastAsia="Calibri" w:cstheme="minorHAnsi"/>
          <w:kern w:val="0"/>
          <w14:ligatures w14:val="none"/>
        </w:rPr>
        <w:t>obszaru</w:t>
      </w:r>
      <w:r w:rsidR="003B50ED">
        <w:rPr>
          <w:rFonts w:eastAsia="Calibri" w:cstheme="minorHAnsi"/>
          <w:kern w:val="0"/>
          <w14:ligatures w14:val="none"/>
        </w:rPr>
        <w:t xml:space="preserve"> </w:t>
      </w:r>
      <w:r w:rsidRPr="00A26C26">
        <w:rPr>
          <w:rFonts w:eastAsia="Calibri" w:cstheme="minorHAnsi"/>
          <w:kern w:val="0"/>
          <w14:ligatures w14:val="none"/>
        </w:rPr>
        <w:t>LSR.</w:t>
      </w:r>
      <w:r w:rsidR="003B50ED">
        <w:rPr>
          <w:rFonts w:eastAsia="Calibri" w:cstheme="minorHAnsi"/>
          <w:kern w:val="0"/>
          <w14:ligatures w14:val="none"/>
        </w:rPr>
        <w:t xml:space="preserve"> </w:t>
      </w:r>
      <w:r w:rsidRPr="00A26C26">
        <w:rPr>
          <w:rFonts w:eastAsia="Calibri" w:cstheme="minorHAnsi"/>
          <w:bCs/>
          <w:kern w:val="0"/>
          <w14:ligatures w14:val="none"/>
        </w:rPr>
        <w:t>Poprawa</w:t>
      </w:r>
      <w:r w:rsidR="003B50ED">
        <w:rPr>
          <w:rFonts w:eastAsia="Calibri" w:cstheme="minorHAnsi"/>
          <w:bCs/>
          <w:kern w:val="0"/>
          <w14:ligatures w14:val="none"/>
        </w:rPr>
        <w:t xml:space="preserve"> </w:t>
      </w:r>
      <w:r w:rsidRPr="00A26C26">
        <w:rPr>
          <w:rFonts w:eastAsia="Calibri" w:cstheme="minorHAnsi"/>
          <w:bCs/>
          <w:kern w:val="0"/>
          <w14:ligatures w14:val="none"/>
        </w:rPr>
        <w:t>warunków</w:t>
      </w:r>
      <w:r w:rsidR="003B50ED">
        <w:rPr>
          <w:rFonts w:eastAsia="Calibri" w:cstheme="minorHAnsi"/>
          <w:bCs/>
          <w:kern w:val="0"/>
          <w14:ligatures w14:val="none"/>
        </w:rPr>
        <w:t xml:space="preserve"> </w:t>
      </w:r>
      <w:r w:rsidRPr="00A26C26">
        <w:rPr>
          <w:rFonts w:eastAsia="Calibri" w:cstheme="minorHAnsi"/>
          <w:bCs/>
          <w:kern w:val="0"/>
          <w14:ligatures w14:val="none"/>
        </w:rPr>
        <w:t>życia</w:t>
      </w:r>
      <w:r w:rsidR="003B50ED">
        <w:rPr>
          <w:rFonts w:eastAsia="Calibri" w:cstheme="minorHAnsi"/>
          <w:bCs/>
          <w:kern w:val="0"/>
          <w14:ligatures w14:val="none"/>
        </w:rPr>
        <w:t xml:space="preserve"> </w:t>
      </w:r>
      <w:r w:rsidRPr="00A26C26">
        <w:rPr>
          <w:rFonts w:eastAsia="Calibri" w:cstheme="minorHAnsi"/>
          <w:bCs/>
          <w:kern w:val="0"/>
          <w14:ligatures w14:val="none"/>
        </w:rPr>
        <w:t>na</w:t>
      </w:r>
      <w:r w:rsidR="003B50ED">
        <w:rPr>
          <w:rFonts w:eastAsia="Calibri" w:cstheme="minorHAnsi"/>
          <w:bCs/>
          <w:kern w:val="0"/>
          <w14:ligatures w14:val="none"/>
        </w:rPr>
        <w:t xml:space="preserve"> </w:t>
      </w:r>
      <w:r w:rsidRPr="00A26C26">
        <w:rPr>
          <w:rFonts w:eastAsia="Calibri" w:cstheme="minorHAnsi"/>
          <w:bCs/>
          <w:kern w:val="0"/>
          <w14:ligatures w14:val="none"/>
        </w:rPr>
        <w:t>obszarach</w:t>
      </w:r>
      <w:r w:rsidR="003B50ED">
        <w:rPr>
          <w:rFonts w:eastAsia="Calibri" w:cstheme="minorHAnsi"/>
          <w:bCs/>
          <w:kern w:val="0"/>
          <w14:ligatures w14:val="none"/>
        </w:rPr>
        <w:t xml:space="preserve"> </w:t>
      </w:r>
      <w:r w:rsidRPr="00A26C26">
        <w:rPr>
          <w:rFonts w:eastAsia="Calibri" w:cstheme="minorHAnsi"/>
          <w:bCs/>
          <w:kern w:val="0"/>
          <w14:ligatures w14:val="none"/>
        </w:rPr>
        <w:t>wiejskich</w:t>
      </w:r>
      <w:r w:rsidR="003B50ED">
        <w:rPr>
          <w:rFonts w:eastAsia="Calibri" w:cstheme="minorHAnsi"/>
          <w:bCs/>
          <w:kern w:val="0"/>
          <w14:ligatures w14:val="none"/>
        </w:rPr>
        <w:t xml:space="preserve"> </w:t>
      </w:r>
      <w:r w:rsidRPr="00A26C26">
        <w:rPr>
          <w:rFonts w:eastAsia="Calibri" w:cstheme="minorHAnsi"/>
          <w:bCs/>
          <w:kern w:val="0"/>
          <w14:ligatures w14:val="none"/>
        </w:rPr>
        <w:t>jest</w:t>
      </w:r>
      <w:r w:rsidR="003B50ED">
        <w:rPr>
          <w:rFonts w:eastAsia="Calibri" w:cstheme="minorHAnsi"/>
          <w:bCs/>
          <w:kern w:val="0"/>
          <w14:ligatures w14:val="none"/>
        </w:rPr>
        <w:t xml:space="preserve"> </w:t>
      </w:r>
      <w:r w:rsidRPr="00A26C26">
        <w:rPr>
          <w:rFonts w:eastAsia="Calibri" w:cstheme="minorHAnsi"/>
          <w:bCs/>
          <w:kern w:val="0"/>
          <w14:ligatures w14:val="none"/>
        </w:rPr>
        <w:t>bezpośrednio</w:t>
      </w:r>
      <w:r w:rsidR="003B50ED">
        <w:rPr>
          <w:rFonts w:eastAsia="Calibri" w:cstheme="minorHAnsi"/>
          <w:bCs/>
          <w:kern w:val="0"/>
          <w14:ligatures w14:val="none"/>
        </w:rPr>
        <w:t xml:space="preserve"> </w:t>
      </w:r>
      <w:r w:rsidRPr="00A26C26">
        <w:rPr>
          <w:rFonts w:eastAsia="Calibri" w:cstheme="minorHAnsi"/>
          <w:bCs/>
          <w:kern w:val="0"/>
          <w14:ligatures w14:val="none"/>
        </w:rPr>
        <w:t>związana</w:t>
      </w:r>
      <w:r w:rsidR="003B50ED">
        <w:rPr>
          <w:rFonts w:eastAsia="Calibri" w:cstheme="minorHAnsi"/>
          <w:bCs/>
          <w:kern w:val="0"/>
          <w14:ligatures w14:val="none"/>
        </w:rPr>
        <w:t xml:space="preserve"> </w:t>
      </w:r>
      <w:r w:rsidRPr="00A26C26">
        <w:rPr>
          <w:rFonts w:eastAsia="Calibri" w:cstheme="minorHAnsi"/>
          <w:bCs/>
          <w:kern w:val="0"/>
          <w14:ligatures w14:val="none"/>
        </w:rPr>
        <w:t>z</w:t>
      </w:r>
      <w:r w:rsidR="003B50ED">
        <w:rPr>
          <w:rFonts w:eastAsia="Calibri" w:cstheme="minorHAnsi"/>
          <w:bCs/>
          <w:kern w:val="0"/>
          <w14:ligatures w14:val="none"/>
        </w:rPr>
        <w:t xml:space="preserve"> </w:t>
      </w:r>
      <w:r w:rsidRPr="00A26C26">
        <w:rPr>
          <w:rFonts w:eastAsia="Calibri" w:cstheme="minorHAnsi"/>
          <w:bCs/>
          <w:kern w:val="0"/>
          <w14:ligatures w14:val="none"/>
        </w:rPr>
        <w:t>tak</w:t>
      </w:r>
      <w:r w:rsidRPr="00F16251">
        <w:rPr>
          <w:rFonts w:eastAsia="Calibri" w:cstheme="minorHAnsi"/>
          <w:bCs/>
          <w:kern w:val="0"/>
          <w14:ligatures w14:val="none"/>
        </w:rPr>
        <w:t>imi</w:t>
      </w:r>
      <w:r w:rsidR="003B50ED" w:rsidRPr="00F16251">
        <w:rPr>
          <w:rFonts w:eastAsia="Calibri" w:cstheme="minorHAnsi"/>
          <w:bCs/>
          <w:kern w:val="0"/>
          <w14:ligatures w14:val="none"/>
        </w:rPr>
        <w:t xml:space="preserve"> </w:t>
      </w:r>
      <w:r w:rsidRPr="00F16251">
        <w:rPr>
          <w:rFonts w:eastAsia="Calibri" w:cstheme="minorHAnsi"/>
          <w:bCs/>
          <w:kern w:val="0"/>
          <w14:ligatures w14:val="none"/>
        </w:rPr>
        <w:t>wyzwaniami</w:t>
      </w:r>
      <w:r w:rsidR="003B50ED" w:rsidRPr="00F16251">
        <w:rPr>
          <w:rFonts w:eastAsia="Calibri" w:cstheme="minorHAnsi"/>
          <w:bCs/>
          <w:kern w:val="0"/>
          <w14:ligatures w14:val="none"/>
        </w:rPr>
        <w:t xml:space="preserve"> </w:t>
      </w:r>
      <w:r w:rsidRPr="00F16251">
        <w:rPr>
          <w:rFonts w:eastAsia="Calibri" w:cstheme="minorHAnsi"/>
          <w:bCs/>
          <w:kern w:val="0"/>
          <w14:ligatures w14:val="none"/>
        </w:rPr>
        <w:t>jak:</w:t>
      </w:r>
      <w:r w:rsidR="003B50ED" w:rsidRPr="00F16251">
        <w:rPr>
          <w:rFonts w:eastAsia="Calibri" w:cstheme="minorHAnsi"/>
          <w:bCs/>
          <w:kern w:val="0"/>
          <w14:ligatures w14:val="none"/>
        </w:rPr>
        <w:t xml:space="preserve"> </w:t>
      </w:r>
      <w:r w:rsidRPr="00F16251">
        <w:rPr>
          <w:rFonts w:eastAsia="Calibri" w:cstheme="minorHAnsi"/>
          <w:bCs/>
          <w:kern w:val="0"/>
          <w14:ligatures w14:val="none"/>
        </w:rPr>
        <w:t>poprawa</w:t>
      </w:r>
      <w:r w:rsidR="003B50ED" w:rsidRPr="00F16251">
        <w:rPr>
          <w:rFonts w:eastAsia="Calibri" w:cstheme="minorHAnsi"/>
          <w:bCs/>
          <w:kern w:val="0"/>
          <w14:ligatures w14:val="none"/>
        </w:rPr>
        <w:t xml:space="preserve"> </w:t>
      </w:r>
      <w:r w:rsidRPr="00F16251">
        <w:rPr>
          <w:rFonts w:eastAsia="Calibri" w:cstheme="minorHAnsi"/>
          <w:bCs/>
          <w:kern w:val="0"/>
          <w14:ligatures w14:val="none"/>
        </w:rPr>
        <w:t>dostępu</w:t>
      </w:r>
      <w:r w:rsidR="003B50ED" w:rsidRPr="00F16251">
        <w:rPr>
          <w:rFonts w:eastAsia="Calibri" w:cstheme="minorHAnsi"/>
          <w:bCs/>
          <w:kern w:val="0"/>
          <w14:ligatures w14:val="none"/>
        </w:rPr>
        <w:t xml:space="preserve"> </w:t>
      </w:r>
      <w:r w:rsidRPr="00F16251">
        <w:rPr>
          <w:rFonts w:eastAsia="Calibri" w:cstheme="minorHAnsi"/>
          <w:bCs/>
          <w:kern w:val="0"/>
          <w14:ligatures w14:val="none"/>
        </w:rPr>
        <w:t>do</w:t>
      </w:r>
      <w:r w:rsidR="003B50ED" w:rsidRPr="00F16251">
        <w:rPr>
          <w:rFonts w:eastAsia="Calibri" w:cstheme="minorHAnsi"/>
          <w:bCs/>
          <w:kern w:val="0"/>
          <w14:ligatures w14:val="none"/>
        </w:rPr>
        <w:t xml:space="preserve"> </w:t>
      </w:r>
      <w:r w:rsidRPr="00F16251">
        <w:rPr>
          <w:rFonts w:eastAsia="Calibri" w:cstheme="minorHAnsi"/>
          <w:bCs/>
          <w:kern w:val="0"/>
          <w14:ligatures w14:val="none"/>
        </w:rPr>
        <w:t>infrastruktury</w:t>
      </w:r>
      <w:r w:rsidR="003B50ED" w:rsidRPr="00F16251">
        <w:rPr>
          <w:rFonts w:eastAsia="Calibri" w:cstheme="minorHAnsi"/>
          <w:bCs/>
          <w:kern w:val="0"/>
          <w14:ligatures w14:val="none"/>
        </w:rPr>
        <w:t xml:space="preserve"> </w:t>
      </w:r>
      <w:r w:rsidRPr="00F16251">
        <w:rPr>
          <w:rFonts w:eastAsia="Calibri" w:cstheme="minorHAnsi"/>
          <w:bCs/>
          <w:kern w:val="0"/>
          <w14:ligatures w14:val="none"/>
        </w:rPr>
        <w:t>publicznej</w:t>
      </w:r>
      <w:r w:rsidR="003B50ED" w:rsidRPr="00F16251">
        <w:rPr>
          <w:rFonts w:eastAsia="Calibri" w:cstheme="minorHAnsi"/>
          <w:bCs/>
          <w:kern w:val="0"/>
          <w14:ligatures w14:val="none"/>
        </w:rPr>
        <w:t xml:space="preserve"> </w:t>
      </w:r>
      <w:r w:rsidRPr="00F16251">
        <w:rPr>
          <w:rFonts w:eastAsia="Calibri" w:cstheme="minorHAnsi"/>
          <w:bCs/>
          <w:kern w:val="0"/>
          <w14:ligatures w14:val="none"/>
        </w:rPr>
        <w:t>poprzez</w:t>
      </w:r>
      <w:r w:rsidR="003B50ED" w:rsidRPr="00F16251">
        <w:rPr>
          <w:rFonts w:eastAsia="Calibri" w:cstheme="minorHAnsi"/>
          <w:bCs/>
          <w:kern w:val="0"/>
          <w14:ligatures w14:val="none"/>
        </w:rPr>
        <w:t xml:space="preserve"> </w:t>
      </w:r>
      <w:r w:rsidRPr="00F16251">
        <w:rPr>
          <w:rFonts w:eastAsia="Calibri" w:cstheme="minorHAnsi"/>
          <w:bCs/>
          <w:kern w:val="0"/>
          <w14:ligatures w14:val="none"/>
        </w:rPr>
        <w:t>budowę,</w:t>
      </w:r>
      <w:r w:rsidR="003B50ED" w:rsidRPr="00F16251">
        <w:rPr>
          <w:rFonts w:eastAsia="Calibri" w:cstheme="minorHAnsi"/>
          <w:bCs/>
          <w:kern w:val="0"/>
          <w14:ligatures w14:val="none"/>
        </w:rPr>
        <w:t xml:space="preserve"> </w:t>
      </w:r>
      <w:r w:rsidRPr="00F16251">
        <w:rPr>
          <w:rFonts w:eastAsia="Calibri" w:cstheme="minorHAnsi"/>
          <w:bCs/>
          <w:kern w:val="0"/>
          <w14:ligatures w14:val="none"/>
        </w:rPr>
        <w:t>rozbudowę,</w:t>
      </w:r>
      <w:r w:rsidR="003B50ED" w:rsidRPr="00F16251">
        <w:rPr>
          <w:rFonts w:eastAsia="Calibri" w:cstheme="minorHAnsi"/>
          <w:bCs/>
          <w:kern w:val="0"/>
          <w14:ligatures w14:val="none"/>
        </w:rPr>
        <w:t xml:space="preserve"> </w:t>
      </w:r>
      <w:r w:rsidRPr="00F16251">
        <w:rPr>
          <w:rFonts w:eastAsia="Calibri" w:cstheme="minorHAnsi"/>
          <w:bCs/>
          <w:kern w:val="0"/>
          <w14:ligatures w14:val="none"/>
        </w:rPr>
        <w:t>modernizację,</w:t>
      </w:r>
      <w:r w:rsidR="003B50ED" w:rsidRPr="00F16251">
        <w:rPr>
          <w:rFonts w:eastAsia="Calibri" w:cstheme="minorHAnsi"/>
          <w:bCs/>
          <w:kern w:val="0"/>
          <w14:ligatures w14:val="none"/>
        </w:rPr>
        <w:t xml:space="preserve"> </w:t>
      </w:r>
      <w:r w:rsidRPr="00F16251">
        <w:rPr>
          <w:rFonts w:eastAsia="Calibri" w:cstheme="minorHAnsi"/>
          <w:bCs/>
          <w:kern w:val="0"/>
          <w14:ligatures w14:val="none"/>
        </w:rPr>
        <w:t>doposażenie</w:t>
      </w:r>
      <w:r w:rsidR="003B50ED" w:rsidRPr="00F16251">
        <w:rPr>
          <w:rFonts w:eastAsia="Calibri" w:cstheme="minorHAnsi"/>
          <w:bCs/>
          <w:kern w:val="0"/>
          <w14:ligatures w14:val="none"/>
        </w:rPr>
        <w:t xml:space="preserve"> </w:t>
      </w:r>
      <w:r w:rsidRPr="00F16251">
        <w:rPr>
          <w:rFonts w:eastAsia="Calibri" w:cstheme="minorHAnsi"/>
          <w:bCs/>
          <w:kern w:val="0"/>
          <w14:ligatures w14:val="none"/>
        </w:rPr>
        <w:t>czy</w:t>
      </w:r>
      <w:r w:rsidR="003B50ED" w:rsidRPr="00F16251">
        <w:rPr>
          <w:rFonts w:eastAsia="Calibri" w:cstheme="minorHAnsi"/>
          <w:bCs/>
          <w:kern w:val="0"/>
          <w14:ligatures w14:val="none"/>
        </w:rPr>
        <w:t xml:space="preserve"> </w:t>
      </w:r>
      <w:r w:rsidRPr="00F16251">
        <w:rPr>
          <w:rFonts w:eastAsia="Calibri" w:cstheme="minorHAnsi"/>
          <w:bCs/>
          <w:kern w:val="0"/>
          <w14:ligatures w14:val="none"/>
        </w:rPr>
        <w:t>dostosowanie</w:t>
      </w:r>
      <w:r w:rsidR="003B50ED" w:rsidRPr="00F16251">
        <w:rPr>
          <w:rFonts w:eastAsia="Calibri" w:cstheme="minorHAnsi"/>
          <w:bCs/>
          <w:kern w:val="0"/>
          <w14:ligatures w14:val="none"/>
        </w:rPr>
        <w:t xml:space="preserve"> </w:t>
      </w:r>
      <w:r w:rsidRPr="00F16251">
        <w:rPr>
          <w:rFonts w:eastAsia="Calibri" w:cstheme="minorHAnsi"/>
          <w:bCs/>
          <w:kern w:val="0"/>
          <w14:ligatures w14:val="none"/>
        </w:rPr>
        <w:t>do</w:t>
      </w:r>
      <w:r w:rsidR="003B50ED" w:rsidRPr="00F16251">
        <w:rPr>
          <w:rFonts w:eastAsia="Calibri" w:cstheme="minorHAnsi"/>
          <w:bCs/>
          <w:kern w:val="0"/>
          <w14:ligatures w14:val="none"/>
        </w:rPr>
        <w:t xml:space="preserve"> </w:t>
      </w:r>
      <w:r w:rsidRPr="00F16251">
        <w:rPr>
          <w:rFonts w:eastAsia="Calibri" w:cstheme="minorHAnsi"/>
          <w:bCs/>
          <w:kern w:val="0"/>
          <w14:ligatures w14:val="none"/>
        </w:rPr>
        <w:t>zmian</w:t>
      </w:r>
      <w:r w:rsidR="003B50ED" w:rsidRPr="00F16251">
        <w:rPr>
          <w:rFonts w:eastAsia="Calibri" w:cstheme="minorHAnsi"/>
          <w:bCs/>
          <w:kern w:val="0"/>
          <w14:ligatures w14:val="none"/>
        </w:rPr>
        <w:t xml:space="preserve"> </w:t>
      </w:r>
      <w:r w:rsidRPr="00F16251">
        <w:rPr>
          <w:rFonts w:eastAsia="Calibri" w:cstheme="minorHAnsi"/>
          <w:bCs/>
          <w:kern w:val="0"/>
          <w14:ligatures w14:val="none"/>
        </w:rPr>
        <w:t>klimatycznych,</w:t>
      </w:r>
      <w:r w:rsidR="003B50ED" w:rsidRPr="00F16251">
        <w:rPr>
          <w:rFonts w:eastAsia="Calibri" w:cstheme="minorHAnsi"/>
          <w:bCs/>
          <w:kern w:val="0"/>
          <w14:ligatures w14:val="none"/>
        </w:rPr>
        <w:t xml:space="preserve"> </w:t>
      </w:r>
      <w:r w:rsidRPr="00F16251">
        <w:rPr>
          <w:rFonts w:eastAsia="Calibri" w:cstheme="minorHAnsi"/>
          <w:bCs/>
          <w:kern w:val="0"/>
          <w14:ligatures w14:val="none"/>
        </w:rPr>
        <w:t>w</w:t>
      </w:r>
      <w:r w:rsidR="003B50ED" w:rsidRPr="00F16251">
        <w:rPr>
          <w:rFonts w:eastAsia="Calibri" w:cstheme="minorHAnsi"/>
          <w:bCs/>
          <w:kern w:val="0"/>
          <w14:ligatures w14:val="none"/>
        </w:rPr>
        <w:t xml:space="preserve"> </w:t>
      </w:r>
      <w:r w:rsidRPr="00F16251">
        <w:rPr>
          <w:rFonts w:eastAsia="Calibri" w:cstheme="minorHAnsi"/>
          <w:bCs/>
          <w:kern w:val="0"/>
          <w14:ligatures w14:val="none"/>
        </w:rPr>
        <w:t>tym</w:t>
      </w:r>
      <w:r w:rsidR="003B50ED" w:rsidRPr="00F16251">
        <w:rPr>
          <w:rFonts w:eastAsia="Calibri" w:cstheme="minorHAnsi"/>
          <w:bCs/>
          <w:kern w:val="0"/>
          <w14:ligatures w14:val="none"/>
        </w:rPr>
        <w:t xml:space="preserve"> </w:t>
      </w:r>
      <w:r w:rsidRPr="00F16251">
        <w:rPr>
          <w:rFonts w:eastAsia="Calibri" w:cstheme="minorHAnsi"/>
          <w:bCs/>
          <w:kern w:val="0"/>
          <w14:ligatures w14:val="none"/>
        </w:rPr>
        <w:t>efektywne</w:t>
      </w:r>
      <w:r w:rsidR="003B50ED" w:rsidRPr="00F16251">
        <w:rPr>
          <w:rFonts w:eastAsia="Calibri" w:cstheme="minorHAnsi"/>
          <w:bCs/>
          <w:kern w:val="0"/>
          <w14:ligatures w14:val="none"/>
        </w:rPr>
        <w:t xml:space="preserve"> </w:t>
      </w:r>
      <w:r w:rsidRPr="00F16251">
        <w:rPr>
          <w:rFonts w:eastAsia="Calibri" w:cstheme="minorHAnsi"/>
          <w:bCs/>
          <w:kern w:val="0"/>
          <w14:ligatures w14:val="none"/>
        </w:rPr>
        <w:t>gospodarowanie</w:t>
      </w:r>
      <w:r w:rsidR="003B50ED" w:rsidRPr="00F16251">
        <w:rPr>
          <w:rFonts w:eastAsia="Calibri" w:cstheme="minorHAnsi"/>
          <w:bCs/>
          <w:kern w:val="0"/>
          <w14:ligatures w14:val="none"/>
        </w:rPr>
        <w:t xml:space="preserve"> </w:t>
      </w:r>
      <w:r w:rsidRPr="00F16251">
        <w:rPr>
          <w:rFonts w:eastAsia="Calibri" w:cstheme="minorHAnsi"/>
          <w:bCs/>
          <w:kern w:val="0"/>
          <w14:ligatures w14:val="none"/>
        </w:rPr>
        <w:t>zasobami.</w:t>
      </w:r>
      <w:r w:rsidR="003B50ED" w:rsidRPr="00F16251">
        <w:rPr>
          <w:rFonts w:eastAsia="Calibri" w:cstheme="minorHAnsi"/>
          <w:bCs/>
          <w:kern w:val="0"/>
          <w14:ligatures w14:val="none"/>
        </w:rPr>
        <w:t xml:space="preserve"> </w:t>
      </w:r>
      <w:r w:rsidRPr="00F16251">
        <w:rPr>
          <w:rFonts w:eastAsia="Calibri" w:cstheme="minorHAnsi"/>
          <w:bCs/>
          <w:kern w:val="0"/>
          <w14:ligatures w14:val="none"/>
        </w:rPr>
        <w:t>Wsparcie</w:t>
      </w:r>
      <w:r w:rsidR="003B50ED" w:rsidRPr="00F16251">
        <w:rPr>
          <w:rFonts w:eastAsia="Calibri" w:cstheme="minorHAnsi"/>
          <w:bCs/>
          <w:kern w:val="0"/>
          <w14:ligatures w14:val="none"/>
        </w:rPr>
        <w:t xml:space="preserve"> </w:t>
      </w:r>
      <w:r w:rsidRPr="00F16251">
        <w:rPr>
          <w:rFonts w:eastAsia="Calibri" w:cstheme="minorHAnsi"/>
          <w:bCs/>
          <w:kern w:val="0"/>
          <w14:ligatures w14:val="none"/>
        </w:rPr>
        <w:t>lokalnej</w:t>
      </w:r>
      <w:r w:rsidR="003B50ED" w:rsidRPr="00F16251">
        <w:rPr>
          <w:rFonts w:eastAsia="Calibri" w:cstheme="minorHAnsi"/>
          <w:bCs/>
          <w:kern w:val="0"/>
          <w14:ligatures w14:val="none"/>
        </w:rPr>
        <w:t xml:space="preserve"> </w:t>
      </w:r>
      <w:r w:rsidRPr="00F16251">
        <w:rPr>
          <w:rFonts w:eastAsia="Calibri" w:cstheme="minorHAnsi"/>
          <w:bCs/>
          <w:kern w:val="0"/>
          <w14:ligatures w14:val="none"/>
        </w:rPr>
        <w:t>społeczności</w:t>
      </w:r>
      <w:r w:rsidR="003B50ED" w:rsidRPr="00F16251">
        <w:rPr>
          <w:rFonts w:eastAsia="Calibri" w:cstheme="minorHAnsi"/>
          <w:bCs/>
          <w:kern w:val="0"/>
          <w14:ligatures w14:val="none"/>
        </w:rPr>
        <w:t xml:space="preserve"> </w:t>
      </w:r>
      <w:r w:rsidRPr="00F16251">
        <w:rPr>
          <w:rFonts w:eastAsia="Calibri" w:cstheme="minorHAnsi"/>
          <w:bCs/>
          <w:kern w:val="0"/>
          <w14:ligatures w14:val="none"/>
        </w:rPr>
        <w:t>będzie</w:t>
      </w:r>
      <w:r w:rsidR="003B50ED" w:rsidRPr="00F16251">
        <w:rPr>
          <w:rFonts w:eastAsia="Calibri" w:cstheme="minorHAnsi"/>
          <w:bCs/>
          <w:kern w:val="0"/>
          <w14:ligatures w14:val="none"/>
        </w:rPr>
        <w:t xml:space="preserve"> </w:t>
      </w:r>
      <w:r w:rsidRPr="00F16251">
        <w:rPr>
          <w:rFonts w:eastAsia="Calibri" w:cstheme="minorHAnsi"/>
          <w:bCs/>
          <w:kern w:val="0"/>
          <w14:ligatures w14:val="none"/>
        </w:rPr>
        <w:t>dotyczyć</w:t>
      </w:r>
      <w:r w:rsidR="003B50ED" w:rsidRPr="00F16251">
        <w:rPr>
          <w:rFonts w:eastAsia="Calibri" w:cstheme="minorHAnsi"/>
          <w:bCs/>
          <w:kern w:val="0"/>
          <w14:ligatures w14:val="none"/>
        </w:rPr>
        <w:t xml:space="preserve"> </w:t>
      </w:r>
      <w:r w:rsidRPr="00F16251">
        <w:rPr>
          <w:rFonts w:eastAsia="Calibri" w:cstheme="minorHAnsi"/>
          <w:bCs/>
          <w:kern w:val="0"/>
          <w14:ligatures w14:val="none"/>
        </w:rPr>
        <w:t>różnych</w:t>
      </w:r>
      <w:r w:rsidR="003B50ED" w:rsidRPr="00F16251">
        <w:rPr>
          <w:rFonts w:eastAsia="Calibri" w:cstheme="minorHAnsi"/>
          <w:bCs/>
          <w:kern w:val="0"/>
          <w14:ligatures w14:val="none"/>
        </w:rPr>
        <w:t xml:space="preserve"> </w:t>
      </w:r>
      <w:r w:rsidRPr="00F16251">
        <w:rPr>
          <w:rFonts w:eastAsia="Calibri" w:cstheme="minorHAnsi"/>
          <w:bCs/>
          <w:kern w:val="0"/>
          <w14:ligatures w14:val="none"/>
        </w:rPr>
        <w:t>obszarów,</w:t>
      </w:r>
      <w:r w:rsidR="003B50ED" w:rsidRPr="00F16251">
        <w:rPr>
          <w:rFonts w:eastAsia="Calibri" w:cstheme="minorHAnsi"/>
          <w:bCs/>
          <w:kern w:val="0"/>
          <w14:ligatures w14:val="none"/>
        </w:rPr>
        <w:t xml:space="preserve"> </w:t>
      </w:r>
      <w:r w:rsidRPr="00F16251">
        <w:rPr>
          <w:rFonts w:eastAsia="Calibri" w:cstheme="minorHAnsi"/>
          <w:bCs/>
          <w:kern w:val="0"/>
          <w14:ligatures w14:val="none"/>
        </w:rPr>
        <w:t>w</w:t>
      </w:r>
      <w:r w:rsidR="003B50ED" w:rsidRPr="00F16251">
        <w:rPr>
          <w:rFonts w:eastAsia="Calibri" w:cstheme="minorHAnsi"/>
          <w:bCs/>
          <w:kern w:val="0"/>
          <w14:ligatures w14:val="none"/>
        </w:rPr>
        <w:t xml:space="preserve"> </w:t>
      </w:r>
      <w:r w:rsidRPr="00F16251">
        <w:rPr>
          <w:rFonts w:eastAsia="Calibri" w:cstheme="minorHAnsi"/>
          <w:bCs/>
          <w:kern w:val="0"/>
          <w14:ligatures w14:val="none"/>
        </w:rPr>
        <w:t>tym</w:t>
      </w:r>
      <w:r w:rsidR="003B50ED" w:rsidRPr="00F16251">
        <w:rPr>
          <w:rFonts w:eastAsia="Calibri" w:cstheme="minorHAnsi"/>
          <w:bCs/>
          <w:kern w:val="0"/>
          <w14:ligatures w14:val="none"/>
        </w:rPr>
        <w:t xml:space="preserve"> </w:t>
      </w:r>
      <w:r w:rsidRPr="00F16251">
        <w:rPr>
          <w:rFonts w:eastAsia="Calibri" w:cstheme="minorHAnsi"/>
          <w:bCs/>
          <w:kern w:val="0"/>
          <w14:ligatures w14:val="none"/>
        </w:rPr>
        <w:t>sportu,</w:t>
      </w:r>
      <w:r w:rsidR="003B50ED" w:rsidRPr="00F16251">
        <w:rPr>
          <w:rFonts w:eastAsia="Calibri" w:cstheme="minorHAnsi"/>
          <w:bCs/>
          <w:kern w:val="0"/>
          <w14:ligatures w14:val="none"/>
        </w:rPr>
        <w:t xml:space="preserve"> </w:t>
      </w:r>
      <w:r w:rsidRPr="00F16251">
        <w:rPr>
          <w:rFonts w:eastAsia="Calibri" w:cstheme="minorHAnsi"/>
          <w:bCs/>
          <w:kern w:val="0"/>
          <w14:ligatures w14:val="none"/>
        </w:rPr>
        <w:t>rekreacji.</w:t>
      </w:r>
      <w:r w:rsidR="003B50ED" w:rsidRPr="00F16251">
        <w:rPr>
          <w:rFonts w:eastAsia="Calibri" w:cstheme="minorHAnsi"/>
          <w:bCs/>
          <w:kern w:val="0"/>
          <w14:ligatures w14:val="none"/>
        </w:rPr>
        <w:t xml:space="preserve"> </w:t>
      </w:r>
      <w:r w:rsidRPr="00F16251">
        <w:rPr>
          <w:rFonts w:eastAsia="Calibri" w:cstheme="minorHAnsi"/>
          <w:bCs/>
          <w:kern w:val="0"/>
          <w14:ligatures w14:val="none"/>
        </w:rPr>
        <w:t>Efektem</w:t>
      </w:r>
      <w:r w:rsidR="003B50ED" w:rsidRPr="00F16251">
        <w:rPr>
          <w:rFonts w:eastAsia="Calibri" w:cstheme="minorHAnsi"/>
          <w:bCs/>
          <w:kern w:val="0"/>
          <w14:ligatures w14:val="none"/>
        </w:rPr>
        <w:t xml:space="preserve"> </w:t>
      </w:r>
      <w:r w:rsidRPr="00F16251">
        <w:rPr>
          <w:rFonts w:eastAsia="Calibri" w:cstheme="minorHAnsi"/>
          <w:bCs/>
          <w:kern w:val="0"/>
          <w14:ligatures w14:val="none"/>
        </w:rPr>
        <w:t>podejmowanych</w:t>
      </w:r>
      <w:r w:rsidR="003B50ED" w:rsidRPr="00F16251">
        <w:rPr>
          <w:rFonts w:eastAsia="Calibri" w:cstheme="minorHAnsi"/>
          <w:bCs/>
          <w:kern w:val="0"/>
          <w14:ligatures w14:val="none"/>
        </w:rPr>
        <w:t xml:space="preserve"> </w:t>
      </w:r>
      <w:r w:rsidRPr="00F16251">
        <w:rPr>
          <w:rFonts w:eastAsia="Calibri" w:cstheme="minorHAnsi"/>
          <w:bCs/>
          <w:kern w:val="0"/>
          <w14:ligatures w14:val="none"/>
        </w:rPr>
        <w:t>przedsięwzięć</w:t>
      </w:r>
      <w:r w:rsidR="003B50ED" w:rsidRPr="00F16251">
        <w:rPr>
          <w:rFonts w:eastAsia="Calibri" w:cstheme="minorHAnsi"/>
          <w:bCs/>
          <w:kern w:val="0"/>
          <w14:ligatures w14:val="none"/>
        </w:rPr>
        <w:t xml:space="preserve"> </w:t>
      </w:r>
      <w:r w:rsidRPr="00F16251">
        <w:rPr>
          <w:rFonts w:eastAsia="Calibri" w:cstheme="minorHAnsi"/>
          <w:bCs/>
          <w:kern w:val="0"/>
          <w14:ligatures w14:val="none"/>
        </w:rPr>
        <w:t>będzie</w:t>
      </w:r>
      <w:r w:rsidR="003B50ED" w:rsidRPr="00F16251">
        <w:rPr>
          <w:rFonts w:eastAsia="Calibri" w:cstheme="minorHAnsi"/>
          <w:bCs/>
          <w:kern w:val="0"/>
          <w14:ligatures w14:val="none"/>
        </w:rPr>
        <w:t xml:space="preserve"> </w:t>
      </w:r>
      <w:r w:rsidRPr="00F16251">
        <w:rPr>
          <w:rFonts w:eastAsia="Calibri" w:cstheme="minorHAnsi"/>
          <w:bCs/>
          <w:kern w:val="0"/>
          <w14:ligatures w14:val="none"/>
        </w:rPr>
        <w:t>wprowadzenie</w:t>
      </w:r>
      <w:r w:rsidR="003B50ED" w:rsidRPr="00F16251">
        <w:rPr>
          <w:rFonts w:eastAsia="Calibri" w:cstheme="minorHAnsi"/>
          <w:bCs/>
          <w:kern w:val="0"/>
          <w14:ligatures w14:val="none"/>
        </w:rPr>
        <w:t xml:space="preserve"> </w:t>
      </w:r>
      <w:r w:rsidRPr="00F16251">
        <w:rPr>
          <w:rFonts w:eastAsia="Calibri" w:cstheme="minorHAnsi"/>
          <w:bCs/>
          <w:kern w:val="0"/>
          <w14:ligatures w14:val="none"/>
        </w:rPr>
        <w:t>lub</w:t>
      </w:r>
      <w:r w:rsidR="003B50ED" w:rsidRPr="00F16251">
        <w:rPr>
          <w:rFonts w:eastAsia="Calibri" w:cstheme="minorHAnsi"/>
          <w:bCs/>
          <w:kern w:val="0"/>
          <w14:ligatures w14:val="none"/>
        </w:rPr>
        <w:t xml:space="preserve"> </w:t>
      </w:r>
      <w:r w:rsidRPr="00F16251">
        <w:rPr>
          <w:rFonts w:eastAsia="Calibri" w:cstheme="minorHAnsi"/>
          <w:bCs/>
          <w:kern w:val="0"/>
          <w14:ligatures w14:val="none"/>
        </w:rPr>
        <w:t>przywrócenie</w:t>
      </w:r>
      <w:r w:rsidR="003B50ED" w:rsidRPr="00F16251">
        <w:rPr>
          <w:rFonts w:eastAsia="Calibri" w:cstheme="minorHAnsi"/>
          <w:bCs/>
          <w:kern w:val="0"/>
          <w14:ligatures w14:val="none"/>
        </w:rPr>
        <w:t xml:space="preserve"> </w:t>
      </w:r>
      <w:r w:rsidRPr="00F16251">
        <w:rPr>
          <w:rFonts w:eastAsia="Calibri" w:cstheme="minorHAnsi"/>
          <w:bCs/>
          <w:kern w:val="0"/>
          <w14:ligatures w14:val="none"/>
        </w:rPr>
        <w:t>na</w:t>
      </w:r>
      <w:r w:rsidR="003B50ED" w:rsidRPr="00F16251">
        <w:rPr>
          <w:rFonts w:eastAsia="Calibri" w:cstheme="minorHAnsi"/>
          <w:bCs/>
          <w:kern w:val="0"/>
          <w14:ligatures w14:val="none"/>
        </w:rPr>
        <w:t xml:space="preserve"> </w:t>
      </w:r>
      <w:r w:rsidRPr="00F16251">
        <w:rPr>
          <w:rFonts w:eastAsia="Calibri" w:cstheme="minorHAnsi"/>
          <w:bCs/>
          <w:kern w:val="0"/>
          <w14:ligatures w14:val="none"/>
        </w:rPr>
        <w:t>obszarach</w:t>
      </w:r>
      <w:r w:rsidR="003B50ED" w:rsidRPr="00F16251">
        <w:rPr>
          <w:rFonts w:eastAsia="Calibri" w:cstheme="minorHAnsi"/>
          <w:bCs/>
          <w:kern w:val="0"/>
          <w14:ligatures w14:val="none"/>
        </w:rPr>
        <w:t xml:space="preserve"> </w:t>
      </w:r>
      <w:r w:rsidRPr="00F16251">
        <w:rPr>
          <w:rFonts w:eastAsia="Calibri" w:cstheme="minorHAnsi"/>
          <w:bCs/>
          <w:kern w:val="0"/>
          <w14:ligatures w14:val="none"/>
        </w:rPr>
        <w:t>wiejskich</w:t>
      </w:r>
      <w:r w:rsidR="003B50ED" w:rsidRPr="00F16251">
        <w:rPr>
          <w:rFonts w:eastAsia="Calibri" w:cstheme="minorHAnsi"/>
          <w:bCs/>
          <w:kern w:val="0"/>
          <w14:ligatures w14:val="none"/>
        </w:rPr>
        <w:t xml:space="preserve"> </w:t>
      </w:r>
      <w:r w:rsidRPr="00F16251">
        <w:rPr>
          <w:rFonts w:eastAsia="Calibri" w:cstheme="minorHAnsi"/>
          <w:bCs/>
          <w:kern w:val="0"/>
          <w14:ligatures w14:val="none"/>
        </w:rPr>
        <w:t>funkcji</w:t>
      </w:r>
      <w:r w:rsidR="003B50ED" w:rsidRPr="00F16251">
        <w:rPr>
          <w:rFonts w:eastAsia="Calibri" w:cstheme="minorHAnsi"/>
          <w:bCs/>
          <w:kern w:val="0"/>
          <w14:ligatures w14:val="none"/>
        </w:rPr>
        <w:t xml:space="preserve"> </w:t>
      </w:r>
      <w:r w:rsidRPr="00F16251">
        <w:rPr>
          <w:rFonts w:eastAsia="Calibri" w:cstheme="minorHAnsi"/>
          <w:bCs/>
          <w:kern w:val="0"/>
          <w14:ligatures w14:val="none"/>
        </w:rPr>
        <w:t>społecznych</w:t>
      </w:r>
      <w:r w:rsidR="003B50ED" w:rsidRPr="00F16251">
        <w:rPr>
          <w:rFonts w:eastAsia="Calibri" w:cstheme="minorHAnsi"/>
          <w:bCs/>
          <w:kern w:val="0"/>
          <w14:ligatures w14:val="none"/>
        </w:rPr>
        <w:t xml:space="preserve"> </w:t>
      </w:r>
      <w:r w:rsidRPr="00F16251">
        <w:rPr>
          <w:rFonts w:eastAsia="Calibri" w:cstheme="minorHAnsi"/>
          <w:bCs/>
          <w:kern w:val="0"/>
          <w14:ligatures w14:val="none"/>
        </w:rPr>
        <w:t>i</w:t>
      </w:r>
      <w:r w:rsidR="003B50ED" w:rsidRPr="00F16251">
        <w:rPr>
          <w:rFonts w:eastAsia="Calibri" w:cstheme="minorHAnsi"/>
          <w:bCs/>
          <w:kern w:val="0"/>
          <w14:ligatures w14:val="none"/>
        </w:rPr>
        <w:t xml:space="preserve"> </w:t>
      </w:r>
      <w:r w:rsidRPr="00F16251">
        <w:rPr>
          <w:rFonts w:eastAsia="Calibri" w:cstheme="minorHAnsi"/>
          <w:bCs/>
          <w:kern w:val="0"/>
          <w14:ligatures w14:val="none"/>
        </w:rPr>
        <w:t>edukacyjnych,</w:t>
      </w:r>
      <w:r w:rsidR="003B50ED" w:rsidRPr="00F16251">
        <w:rPr>
          <w:rFonts w:eastAsia="Calibri" w:cstheme="minorHAnsi"/>
          <w:bCs/>
          <w:kern w:val="0"/>
          <w14:ligatures w14:val="none"/>
        </w:rPr>
        <w:t xml:space="preserve"> </w:t>
      </w:r>
      <w:r w:rsidRPr="00F16251">
        <w:rPr>
          <w:rFonts w:eastAsia="Calibri" w:cstheme="minorHAnsi"/>
          <w:bCs/>
          <w:kern w:val="0"/>
          <w14:ligatures w14:val="none"/>
        </w:rPr>
        <w:t>kulturalnych,</w:t>
      </w:r>
      <w:r w:rsidR="003B50ED" w:rsidRPr="00F16251">
        <w:rPr>
          <w:rFonts w:eastAsia="Calibri" w:cstheme="minorHAnsi"/>
          <w:bCs/>
          <w:kern w:val="0"/>
          <w14:ligatures w14:val="none"/>
        </w:rPr>
        <w:t xml:space="preserve"> </w:t>
      </w:r>
      <w:r w:rsidRPr="00F16251">
        <w:rPr>
          <w:rFonts w:eastAsia="Calibri" w:cstheme="minorHAnsi"/>
          <w:bCs/>
          <w:kern w:val="0"/>
          <w14:ligatures w14:val="none"/>
        </w:rPr>
        <w:t>rekreacyjnych.</w:t>
      </w:r>
      <w:r w:rsidR="003B50ED" w:rsidRPr="00F16251">
        <w:rPr>
          <w:rFonts w:eastAsia="Calibri" w:cstheme="minorHAnsi"/>
          <w:bCs/>
          <w:kern w:val="0"/>
          <w14:ligatures w14:val="none"/>
        </w:rPr>
        <w:t xml:space="preserve"> </w:t>
      </w:r>
      <w:r w:rsidRPr="00F16251">
        <w:rPr>
          <w:rFonts w:eastAsia="Calibri" w:cstheme="minorHAnsi"/>
          <w:bCs/>
          <w:kern w:val="0"/>
          <w14:ligatures w14:val="none"/>
        </w:rPr>
        <w:t>Osiągnięcie</w:t>
      </w:r>
      <w:r w:rsidR="003B50ED" w:rsidRPr="00F16251">
        <w:rPr>
          <w:rFonts w:eastAsia="Calibri" w:cstheme="minorHAnsi"/>
          <w:bCs/>
          <w:kern w:val="0"/>
          <w14:ligatures w14:val="none"/>
        </w:rPr>
        <w:t xml:space="preserve"> </w:t>
      </w:r>
      <w:r w:rsidRPr="00F16251">
        <w:rPr>
          <w:rFonts w:eastAsia="Calibri" w:cstheme="minorHAnsi"/>
          <w:bCs/>
          <w:kern w:val="0"/>
          <w14:ligatures w14:val="none"/>
        </w:rPr>
        <w:t>zakładanego</w:t>
      </w:r>
      <w:r w:rsidR="003B50ED" w:rsidRPr="00F16251">
        <w:rPr>
          <w:rFonts w:eastAsia="Calibri" w:cstheme="minorHAnsi"/>
          <w:bCs/>
          <w:kern w:val="0"/>
          <w14:ligatures w14:val="none"/>
        </w:rPr>
        <w:t xml:space="preserve"> </w:t>
      </w:r>
      <w:r w:rsidRPr="00F16251">
        <w:rPr>
          <w:rFonts w:eastAsia="Calibri" w:cstheme="minorHAnsi"/>
          <w:bCs/>
          <w:kern w:val="0"/>
          <w14:ligatures w14:val="none"/>
        </w:rPr>
        <w:t>celu</w:t>
      </w:r>
      <w:r w:rsidR="003B50ED" w:rsidRPr="00F16251">
        <w:rPr>
          <w:rFonts w:eastAsia="Calibri" w:cstheme="minorHAnsi"/>
          <w:bCs/>
          <w:kern w:val="0"/>
          <w14:ligatures w14:val="none"/>
        </w:rPr>
        <w:t xml:space="preserve"> </w:t>
      </w:r>
      <w:r w:rsidRPr="00F16251">
        <w:rPr>
          <w:rFonts w:eastAsia="Calibri" w:cstheme="minorHAnsi"/>
          <w:bCs/>
          <w:kern w:val="0"/>
          <w14:ligatures w14:val="none"/>
        </w:rPr>
        <w:t>będzie</w:t>
      </w:r>
      <w:r w:rsidR="003B50ED" w:rsidRPr="00F16251">
        <w:rPr>
          <w:rFonts w:eastAsia="Calibri" w:cstheme="minorHAnsi"/>
          <w:bCs/>
          <w:kern w:val="0"/>
          <w14:ligatures w14:val="none"/>
        </w:rPr>
        <w:t xml:space="preserve"> </w:t>
      </w:r>
      <w:r w:rsidRPr="00F16251">
        <w:rPr>
          <w:rFonts w:eastAsia="Calibri" w:cstheme="minorHAnsi"/>
          <w:bCs/>
          <w:kern w:val="0"/>
          <w14:ligatures w14:val="none"/>
        </w:rPr>
        <w:t>możliwe</w:t>
      </w:r>
      <w:r w:rsidR="003B50ED" w:rsidRPr="00F16251">
        <w:rPr>
          <w:rFonts w:eastAsia="Calibri" w:cstheme="minorHAnsi"/>
          <w:bCs/>
          <w:kern w:val="0"/>
          <w14:ligatures w14:val="none"/>
        </w:rPr>
        <w:t xml:space="preserve"> </w:t>
      </w:r>
      <w:r w:rsidRPr="00F16251">
        <w:rPr>
          <w:rFonts w:eastAsia="Calibri" w:cstheme="minorHAnsi"/>
          <w:bCs/>
          <w:kern w:val="0"/>
          <w14:ligatures w14:val="none"/>
        </w:rPr>
        <w:t>poprzez</w:t>
      </w:r>
      <w:r w:rsidR="003B50ED" w:rsidRPr="00F16251">
        <w:rPr>
          <w:rFonts w:eastAsia="Calibri" w:cstheme="minorHAnsi"/>
          <w:bCs/>
          <w:kern w:val="0"/>
          <w14:ligatures w14:val="none"/>
        </w:rPr>
        <w:t xml:space="preserve"> </w:t>
      </w:r>
      <w:r w:rsidRPr="00F16251">
        <w:rPr>
          <w:rFonts w:eastAsia="Calibri" w:cstheme="minorHAnsi"/>
          <w:bCs/>
          <w:kern w:val="0"/>
          <w14:ligatures w14:val="none"/>
        </w:rPr>
        <w:t>realizację</w:t>
      </w:r>
      <w:r w:rsidR="003B50ED" w:rsidRPr="00F16251">
        <w:rPr>
          <w:rFonts w:eastAsia="Calibri" w:cstheme="minorHAnsi"/>
          <w:bCs/>
          <w:kern w:val="0"/>
          <w14:ligatures w14:val="none"/>
        </w:rPr>
        <w:t xml:space="preserve"> </w:t>
      </w:r>
      <w:r w:rsidRPr="00F16251">
        <w:rPr>
          <w:rFonts w:eastAsia="Calibri" w:cstheme="minorHAnsi"/>
          <w:bCs/>
          <w:kern w:val="0"/>
          <w14:ligatures w14:val="none"/>
        </w:rPr>
        <w:t>inwestycji</w:t>
      </w:r>
      <w:r w:rsidR="003B50ED" w:rsidRPr="00F16251">
        <w:rPr>
          <w:rFonts w:eastAsia="Calibri" w:cstheme="minorHAnsi"/>
          <w:bCs/>
          <w:kern w:val="0"/>
          <w14:ligatures w14:val="none"/>
        </w:rPr>
        <w:t xml:space="preserve"> </w:t>
      </w:r>
      <w:r w:rsidRPr="00F16251">
        <w:rPr>
          <w:rFonts w:eastAsia="Calibri" w:cstheme="minorHAnsi"/>
          <w:bCs/>
          <w:kern w:val="0"/>
          <w14:ligatures w14:val="none"/>
        </w:rPr>
        <w:t>obejmujących</w:t>
      </w:r>
      <w:r w:rsidR="003B50ED" w:rsidRPr="00F16251">
        <w:rPr>
          <w:rFonts w:eastAsia="Calibri" w:cstheme="minorHAnsi"/>
          <w:bCs/>
          <w:kern w:val="0"/>
          <w14:ligatures w14:val="none"/>
        </w:rPr>
        <w:t xml:space="preserve"> </w:t>
      </w:r>
      <w:r w:rsidRPr="00F16251">
        <w:rPr>
          <w:rFonts w:eastAsia="Calibri" w:cstheme="minorHAnsi"/>
          <w:kern w:val="0"/>
          <w14:ligatures w14:val="none"/>
        </w:rPr>
        <w:t>zwiększenie</w:t>
      </w:r>
      <w:r w:rsidR="003B50ED" w:rsidRPr="00F16251">
        <w:rPr>
          <w:rFonts w:eastAsia="Calibri" w:cstheme="minorHAnsi"/>
          <w:kern w:val="0"/>
          <w14:ligatures w14:val="none"/>
        </w:rPr>
        <w:t xml:space="preserve"> </w:t>
      </w:r>
      <w:r w:rsidRPr="00F16251">
        <w:rPr>
          <w:rFonts w:eastAsia="Calibri" w:cstheme="minorHAnsi"/>
          <w:kern w:val="0"/>
          <w14:ligatures w14:val="none"/>
        </w:rPr>
        <w:t>dostępności</w:t>
      </w:r>
      <w:r w:rsidR="003B50ED" w:rsidRPr="00F16251">
        <w:rPr>
          <w:rFonts w:eastAsia="Calibri" w:cstheme="minorHAnsi"/>
          <w:kern w:val="0"/>
          <w14:ligatures w14:val="none"/>
        </w:rPr>
        <w:t xml:space="preserve"> </w:t>
      </w:r>
      <w:r w:rsidRPr="00F16251">
        <w:rPr>
          <w:rFonts w:eastAsia="Calibri" w:cstheme="minorHAnsi"/>
          <w:kern w:val="0"/>
          <w14:ligatures w14:val="none"/>
        </w:rPr>
        <w:t>do</w:t>
      </w:r>
      <w:r w:rsidR="003B50ED" w:rsidRPr="00F16251">
        <w:rPr>
          <w:rFonts w:eastAsia="Calibri" w:cstheme="minorHAnsi"/>
          <w:kern w:val="0"/>
          <w14:ligatures w14:val="none"/>
        </w:rPr>
        <w:t xml:space="preserve"> </w:t>
      </w:r>
      <w:r w:rsidRPr="00F16251">
        <w:rPr>
          <w:rFonts w:eastAsia="Calibri" w:cstheme="minorHAnsi"/>
          <w:kern w:val="0"/>
          <w14:ligatures w14:val="none"/>
        </w:rPr>
        <w:t>małej</w:t>
      </w:r>
      <w:r w:rsidR="003B50ED" w:rsidRPr="00F16251">
        <w:rPr>
          <w:rFonts w:eastAsia="Calibri" w:cstheme="minorHAnsi"/>
          <w:kern w:val="0"/>
          <w14:ligatures w14:val="none"/>
        </w:rPr>
        <w:t xml:space="preserve"> </w:t>
      </w:r>
      <w:r w:rsidRPr="00F16251">
        <w:rPr>
          <w:rFonts w:eastAsia="Calibri" w:cstheme="minorHAnsi"/>
          <w:kern w:val="0"/>
          <w14:ligatures w14:val="none"/>
        </w:rPr>
        <w:t>infrastruktury</w:t>
      </w:r>
      <w:r w:rsidR="003B50ED" w:rsidRPr="00F16251">
        <w:rPr>
          <w:rFonts w:eastAsia="Calibri" w:cstheme="minorHAnsi"/>
          <w:kern w:val="0"/>
          <w14:ligatures w14:val="none"/>
        </w:rPr>
        <w:t xml:space="preserve"> </w:t>
      </w:r>
      <w:r w:rsidRPr="00F16251">
        <w:rPr>
          <w:rFonts w:eastAsia="Calibri" w:cstheme="minorHAnsi"/>
          <w:kern w:val="0"/>
          <w14:ligatures w14:val="none"/>
        </w:rPr>
        <w:t>publicznej</w:t>
      </w:r>
      <w:r w:rsidR="003B50ED" w:rsidRPr="00F16251">
        <w:rPr>
          <w:rFonts w:eastAsia="Calibri" w:cstheme="minorHAnsi"/>
          <w:kern w:val="0"/>
          <w14:ligatures w14:val="none"/>
        </w:rPr>
        <w:t xml:space="preserve"> </w:t>
      </w:r>
      <w:r w:rsidRPr="00F16251">
        <w:rPr>
          <w:rFonts w:eastAsia="Calibri" w:cstheme="minorHAnsi"/>
          <w:kern w:val="0"/>
          <w14:ligatures w14:val="none"/>
        </w:rPr>
        <w:t>(np.</w:t>
      </w:r>
      <w:r w:rsidR="003B50ED" w:rsidRPr="00F16251">
        <w:rPr>
          <w:rFonts w:eastAsia="Calibri" w:cstheme="minorHAnsi"/>
          <w:kern w:val="0"/>
          <w14:ligatures w14:val="none"/>
        </w:rPr>
        <w:t xml:space="preserve"> </w:t>
      </w:r>
      <w:r w:rsidRPr="00F16251">
        <w:rPr>
          <w:rFonts w:eastAsia="Calibri" w:cstheme="minorHAnsi"/>
          <w:kern w:val="0"/>
          <w14:ligatures w14:val="none"/>
        </w:rPr>
        <w:t>turystycznej,</w:t>
      </w:r>
      <w:r w:rsidR="003B50ED" w:rsidRPr="00F16251">
        <w:rPr>
          <w:rFonts w:eastAsia="Calibri" w:cstheme="minorHAnsi"/>
          <w:kern w:val="0"/>
          <w14:ligatures w14:val="none"/>
        </w:rPr>
        <w:t xml:space="preserve"> </w:t>
      </w:r>
      <w:r w:rsidRPr="00F16251">
        <w:rPr>
          <w:rFonts w:eastAsia="Calibri" w:cstheme="minorHAnsi"/>
          <w:kern w:val="0"/>
          <w14:ligatures w14:val="none"/>
        </w:rPr>
        <w:t>rekreacyjnej,</w:t>
      </w:r>
      <w:r w:rsidR="003B50ED" w:rsidRPr="00F16251">
        <w:rPr>
          <w:rFonts w:eastAsia="Calibri" w:cstheme="minorHAnsi"/>
          <w:kern w:val="0"/>
          <w14:ligatures w14:val="none"/>
        </w:rPr>
        <w:t xml:space="preserve"> </w:t>
      </w:r>
      <w:r w:rsidRPr="00F16251">
        <w:rPr>
          <w:rFonts w:eastAsia="Calibri" w:cstheme="minorHAnsi"/>
          <w:kern w:val="0"/>
          <w14:ligatures w14:val="none"/>
        </w:rPr>
        <w:t>sportowej</w:t>
      </w:r>
      <w:r w:rsidR="003B50ED" w:rsidRPr="00F16251">
        <w:rPr>
          <w:rFonts w:eastAsia="Calibri" w:cstheme="minorHAnsi"/>
          <w:kern w:val="0"/>
          <w14:ligatures w14:val="none"/>
        </w:rPr>
        <w:t xml:space="preserve"> </w:t>
      </w:r>
      <w:r w:rsidRPr="00F16251">
        <w:rPr>
          <w:rFonts w:eastAsia="Calibri" w:cstheme="minorHAnsi"/>
          <w:kern w:val="0"/>
          <w14:ligatures w14:val="none"/>
        </w:rPr>
        <w:t>czy</w:t>
      </w:r>
      <w:r w:rsidR="003B50ED" w:rsidRPr="00F16251">
        <w:rPr>
          <w:rFonts w:eastAsia="Calibri" w:cstheme="minorHAnsi"/>
          <w:kern w:val="0"/>
          <w14:ligatures w14:val="none"/>
        </w:rPr>
        <w:t xml:space="preserve"> </w:t>
      </w:r>
      <w:r w:rsidRPr="00F16251">
        <w:rPr>
          <w:rFonts w:eastAsia="Calibri" w:cstheme="minorHAnsi"/>
          <w:kern w:val="0"/>
          <w14:ligatures w14:val="none"/>
        </w:rPr>
        <w:t>kulturalnej).</w:t>
      </w:r>
      <w:r w:rsidR="003B50ED" w:rsidRPr="00F16251">
        <w:rPr>
          <w:rFonts w:eastAsia="Calibri" w:cstheme="minorHAnsi"/>
          <w:kern w:val="0"/>
          <w14:ligatures w14:val="none"/>
        </w:rPr>
        <w:t xml:space="preserve"> </w:t>
      </w:r>
    </w:p>
    <w:p w14:paraId="75C72320" w14:textId="74184CF5" w:rsidR="002C63F4" w:rsidRPr="00F16251" w:rsidRDefault="002C63F4" w:rsidP="00A26C26">
      <w:pPr>
        <w:spacing w:line="276" w:lineRule="auto"/>
        <w:jc w:val="both"/>
        <w:rPr>
          <w:rFonts w:eastAsia="Calibri" w:cstheme="minorHAnsi"/>
          <w:kern w:val="0"/>
          <w14:ligatures w14:val="none"/>
        </w:rPr>
      </w:pPr>
      <w:r w:rsidRPr="00F16251">
        <w:rPr>
          <w:rFonts w:eastAsia="Calibri" w:cstheme="minorHAnsi"/>
          <w:kern w:val="0"/>
          <w14:ligatures w14:val="none"/>
        </w:rPr>
        <w:t>Do</w:t>
      </w:r>
      <w:r w:rsidR="003B50ED" w:rsidRPr="00F16251">
        <w:rPr>
          <w:rFonts w:eastAsia="Calibri" w:cstheme="minorHAnsi"/>
          <w:kern w:val="0"/>
          <w14:ligatures w14:val="none"/>
        </w:rPr>
        <w:t xml:space="preserve"> </w:t>
      </w:r>
      <w:r w:rsidRPr="00F16251">
        <w:rPr>
          <w:rFonts w:eastAsia="Calibri" w:cstheme="minorHAnsi"/>
          <w:kern w:val="0"/>
          <w14:ligatures w14:val="none"/>
        </w:rPr>
        <w:t>przykładowych</w:t>
      </w:r>
      <w:r w:rsidR="003B50ED" w:rsidRPr="00F16251">
        <w:rPr>
          <w:rFonts w:eastAsia="Calibri" w:cstheme="minorHAnsi"/>
          <w:kern w:val="0"/>
          <w14:ligatures w14:val="none"/>
        </w:rPr>
        <w:t xml:space="preserve"> </w:t>
      </w:r>
      <w:r w:rsidRPr="00F16251">
        <w:rPr>
          <w:rFonts w:eastAsia="Calibri" w:cstheme="minorHAnsi"/>
          <w:kern w:val="0"/>
          <w14:ligatures w14:val="none"/>
        </w:rPr>
        <w:t>projektów</w:t>
      </w:r>
      <w:r w:rsidR="003B50ED" w:rsidRPr="00F16251">
        <w:rPr>
          <w:rFonts w:eastAsia="Calibri" w:cstheme="minorHAnsi"/>
          <w:kern w:val="0"/>
          <w14:ligatures w14:val="none"/>
        </w:rPr>
        <w:t xml:space="preserve"> </w:t>
      </w:r>
      <w:r w:rsidRPr="00F16251">
        <w:rPr>
          <w:rFonts w:eastAsia="Calibri" w:cstheme="minorHAnsi"/>
          <w:kern w:val="0"/>
          <w14:ligatures w14:val="none"/>
        </w:rPr>
        <w:t>można</w:t>
      </w:r>
      <w:r w:rsidR="003B50ED" w:rsidRPr="00F16251">
        <w:rPr>
          <w:rFonts w:eastAsia="Calibri" w:cstheme="minorHAnsi"/>
          <w:kern w:val="0"/>
          <w14:ligatures w14:val="none"/>
        </w:rPr>
        <w:t xml:space="preserve"> </w:t>
      </w:r>
      <w:r w:rsidRPr="00F16251">
        <w:rPr>
          <w:rFonts w:eastAsia="Calibri" w:cstheme="minorHAnsi"/>
          <w:kern w:val="0"/>
          <w14:ligatures w14:val="none"/>
        </w:rPr>
        <w:t>zaliczyć:</w:t>
      </w:r>
      <w:r w:rsidR="003B50ED" w:rsidRPr="00F16251">
        <w:rPr>
          <w:rFonts w:eastAsia="Calibri" w:cstheme="minorHAnsi"/>
          <w:kern w:val="0"/>
          <w14:ligatures w14:val="none"/>
        </w:rPr>
        <w:t xml:space="preserve"> </w:t>
      </w:r>
      <w:r w:rsidRPr="00F16251">
        <w:rPr>
          <w:rFonts w:eastAsia="Calibri" w:cstheme="minorHAnsi"/>
          <w:kern w:val="0"/>
          <w14:ligatures w14:val="none"/>
        </w:rPr>
        <w:t>place</w:t>
      </w:r>
      <w:r w:rsidR="003B50ED" w:rsidRPr="00F16251">
        <w:rPr>
          <w:rFonts w:eastAsia="Calibri" w:cstheme="minorHAnsi"/>
          <w:kern w:val="0"/>
          <w14:ligatures w14:val="none"/>
        </w:rPr>
        <w:t xml:space="preserve"> </w:t>
      </w:r>
      <w:r w:rsidRPr="00F16251">
        <w:rPr>
          <w:rFonts w:eastAsia="Calibri" w:cstheme="minorHAnsi"/>
          <w:kern w:val="0"/>
          <w14:ligatures w14:val="none"/>
        </w:rPr>
        <w:t>zabaw,</w:t>
      </w:r>
      <w:r w:rsidR="003B50ED" w:rsidRPr="00F16251">
        <w:rPr>
          <w:rFonts w:eastAsia="Calibri" w:cstheme="minorHAnsi"/>
          <w:kern w:val="0"/>
          <w14:ligatures w14:val="none"/>
        </w:rPr>
        <w:t xml:space="preserve"> </w:t>
      </w:r>
      <w:r w:rsidRPr="00F16251">
        <w:rPr>
          <w:rFonts w:eastAsia="Calibri" w:cstheme="minorHAnsi"/>
          <w:kern w:val="0"/>
          <w14:ligatures w14:val="none"/>
        </w:rPr>
        <w:t>siłownie</w:t>
      </w:r>
      <w:r w:rsidR="003B50ED" w:rsidRPr="00F16251">
        <w:rPr>
          <w:rFonts w:eastAsia="Calibri" w:cstheme="minorHAnsi"/>
          <w:kern w:val="0"/>
          <w14:ligatures w14:val="none"/>
        </w:rPr>
        <w:t xml:space="preserve"> </w:t>
      </w:r>
      <w:r w:rsidRPr="00F16251">
        <w:rPr>
          <w:rFonts w:eastAsia="Calibri" w:cstheme="minorHAnsi"/>
          <w:kern w:val="0"/>
          <w14:ligatures w14:val="none"/>
        </w:rPr>
        <w:t>plenerowe,</w:t>
      </w:r>
      <w:r w:rsidR="003B50ED" w:rsidRPr="00F16251">
        <w:rPr>
          <w:rFonts w:eastAsia="Calibri" w:cstheme="minorHAnsi"/>
          <w:kern w:val="0"/>
          <w14:ligatures w14:val="none"/>
        </w:rPr>
        <w:t xml:space="preserve"> </w:t>
      </w:r>
      <w:r w:rsidRPr="00F16251">
        <w:rPr>
          <w:rFonts w:eastAsia="Calibri" w:cstheme="minorHAnsi"/>
          <w:kern w:val="0"/>
          <w14:ligatures w14:val="none"/>
        </w:rPr>
        <w:t>altany</w:t>
      </w:r>
      <w:r w:rsidR="003B50ED" w:rsidRPr="00F16251">
        <w:rPr>
          <w:rFonts w:eastAsia="Calibri" w:cstheme="minorHAnsi"/>
          <w:kern w:val="0"/>
          <w14:ligatures w14:val="none"/>
        </w:rPr>
        <w:t xml:space="preserve"> </w:t>
      </w:r>
      <w:r w:rsidRPr="00F16251">
        <w:rPr>
          <w:rFonts w:eastAsia="Calibri" w:cstheme="minorHAnsi"/>
          <w:kern w:val="0"/>
          <w14:ligatures w14:val="none"/>
        </w:rPr>
        <w:t>ogólnodostępne</w:t>
      </w:r>
      <w:r w:rsidR="003B50ED" w:rsidRPr="00F16251">
        <w:rPr>
          <w:rFonts w:eastAsia="Calibri" w:cstheme="minorHAnsi"/>
          <w:kern w:val="0"/>
          <w14:ligatures w14:val="none"/>
        </w:rPr>
        <w:t xml:space="preserve"> </w:t>
      </w:r>
      <w:r w:rsidRPr="00F16251">
        <w:rPr>
          <w:rFonts w:eastAsia="Calibri" w:cstheme="minorHAnsi"/>
          <w:kern w:val="0"/>
          <w14:ligatures w14:val="none"/>
        </w:rPr>
        <w:t>-</w:t>
      </w:r>
      <w:r w:rsidR="003B50ED" w:rsidRPr="00F16251">
        <w:rPr>
          <w:rFonts w:eastAsia="Calibri" w:cstheme="minorHAnsi"/>
          <w:kern w:val="0"/>
          <w14:ligatures w14:val="none"/>
        </w:rPr>
        <w:t xml:space="preserve"> </w:t>
      </w:r>
      <w:r w:rsidRPr="00F16251">
        <w:rPr>
          <w:rFonts w:eastAsia="Calibri" w:cstheme="minorHAnsi"/>
          <w:kern w:val="0"/>
          <w14:ligatures w14:val="none"/>
        </w:rPr>
        <w:t>miejsca</w:t>
      </w:r>
      <w:r w:rsidR="003B50ED" w:rsidRPr="00F16251">
        <w:rPr>
          <w:rFonts w:eastAsia="Calibri" w:cstheme="minorHAnsi"/>
          <w:kern w:val="0"/>
          <w14:ligatures w14:val="none"/>
        </w:rPr>
        <w:t xml:space="preserve"> </w:t>
      </w:r>
      <w:r w:rsidRPr="00F16251">
        <w:rPr>
          <w:rFonts w:eastAsia="Calibri" w:cstheme="minorHAnsi"/>
          <w:kern w:val="0"/>
          <w14:ligatures w14:val="none"/>
        </w:rPr>
        <w:t>spotkań</w:t>
      </w:r>
      <w:r w:rsidR="003B50ED" w:rsidRPr="00F16251">
        <w:rPr>
          <w:rFonts w:eastAsia="Calibri" w:cstheme="minorHAnsi"/>
          <w:kern w:val="0"/>
          <w14:ligatures w14:val="none"/>
        </w:rPr>
        <w:t xml:space="preserve"> </w:t>
      </w:r>
      <w:r w:rsidRPr="00F16251">
        <w:rPr>
          <w:rFonts w:eastAsia="Calibri" w:cstheme="minorHAnsi"/>
          <w:kern w:val="0"/>
          <w14:ligatures w14:val="none"/>
        </w:rPr>
        <w:t>i</w:t>
      </w:r>
      <w:r w:rsidR="003B50ED" w:rsidRPr="00F16251">
        <w:rPr>
          <w:rFonts w:eastAsia="Calibri" w:cstheme="minorHAnsi"/>
          <w:kern w:val="0"/>
          <w14:ligatures w14:val="none"/>
        </w:rPr>
        <w:t xml:space="preserve"> </w:t>
      </w:r>
      <w:r w:rsidRPr="00F16251">
        <w:rPr>
          <w:rFonts w:eastAsia="Calibri" w:cstheme="minorHAnsi"/>
          <w:kern w:val="0"/>
          <w14:ligatures w14:val="none"/>
        </w:rPr>
        <w:t>rekreacji,</w:t>
      </w:r>
      <w:r w:rsidR="003B50ED" w:rsidRPr="00F16251">
        <w:rPr>
          <w:rFonts w:eastAsia="Calibri" w:cstheme="minorHAnsi"/>
          <w:kern w:val="0"/>
          <w14:ligatures w14:val="none"/>
        </w:rPr>
        <w:t xml:space="preserve"> </w:t>
      </w:r>
      <w:r w:rsidRPr="00F16251">
        <w:rPr>
          <w:rFonts w:eastAsia="Calibri" w:cstheme="minorHAnsi"/>
          <w:kern w:val="0"/>
          <w14:ligatures w14:val="none"/>
        </w:rPr>
        <w:t>tężnia</w:t>
      </w:r>
      <w:r w:rsidR="003B50ED" w:rsidRPr="00F16251">
        <w:rPr>
          <w:rFonts w:eastAsia="Calibri" w:cstheme="minorHAnsi"/>
          <w:kern w:val="0"/>
          <w14:ligatures w14:val="none"/>
        </w:rPr>
        <w:t xml:space="preserve"> </w:t>
      </w:r>
      <w:r w:rsidRPr="00F16251">
        <w:rPr>
          <w:rFonts w:eastAsia="Calibri" w:cstheme="minorHAnsi"/>
          <w:kern w:val="0"/>
          <w14:ligatures w14:val="none"/>
        </w:rPr>
        <w:t>solankowa,</w:t>
      </w:r>
      <w:r w:rsidR="003B50ED" w:rsidRPr="00F16251">
        <w:rPr>
          <w:rFonts w:eastAsia="Calibri" w:cstheme="minorHAnsi"/>
          <w:kern w:val="0"/>
          <w14:ligatures w14:val="none"/>
        </w:rPr>
        <w:t xml:space="preserve"> </w:t>
      </w:r>
      <w:r w:rsidRPr="00F16251">
        <w:rPr>
          <w:rFonts w:eastAsia="Calibri" w:cstheme="minorHAnsi"/>
          <w:kern w:val="0"/>
          <w14:ligatures w14:val="none"/>
        </w:rPr>
        <w:t>miejsca</w:t>
      </w:r>
      <w:r w:rsidR="003B50ED" w:rsidRPr="00F16251">
        <w:rPr>
          <w:rFonts w:eastAsia="Calibri" w:cstheme="minorHAnsi"/>
          <w:kern w:val="0"/>
          <w14:ligatures w14:val="none"/>
        </w:rPr>
        <w:t xml:space="preserve"> </w:t>
      </w:r>
      <w:r w:rsidRPr="00F16251">
        <w:rPr>
          <w:rFonts w:eastAsia="Calibri" w:cstheme="minorHAnsi"/>
          <w:kern w:val="0"/>
          <w14:ligatures w14:val="none"/>
        </w:rPr>
        <w:t>obsługi</w:t>
      </w:r>
      <w:r w:rsidR="003B50ED" w:rsidRPr="00F16251">
        <w:rPr>
          <w:rFonts w:eastAsia="Calibri" w:cstheme="minorHAnsi"/>
          <w:kern w:val="0"/>
          <w14:ligatures w14:val="none"/>
        </w:rPr>
        <w:t xml:space="preserve"> </w:t>
      </w:r>
      <w:r w:rsidRPr="00F16251">
        <w:rPr>
          <w:rFonts w:eastAsia="Calibri" w:cstheme="minorHAnsi"/>
          <w:kern w:val="0"/>
          <w14:ligatures w14:val="none"/>
        </w:rPr>
        <w:t>rowerzystów,</w:t>
      </w:r>
      <w:r w:rsidR="003B50ED" w:rsidRPr="00F16251">
        <w:rPr>
          <w:rFonts w:eastAsia="Calibri" w:cstheme="minorHAnsi"/>
          <w:kern w:val="0"/>
          <w14:ligatures w14:val="none"/>
        </w:rPr>
        <w:t xml:space="preserve"> </w:t>
      </w:r>
      <w:r w:rsidRPr="00F16251">
        <w:rPr>
          <w:rFonts w:eastAsia="Calibri" w:cstheme="minorHAnsi"/>
          <w:kern w:val="0"/>
          <w14:ligatures w14:val="none"/>
        </w:rPr>
        <w:t>przebudowa/modernizacja</w:t>
      </w:r>
      <w:r w:rsidR="003B50ED" w:rsidRPr="00F16251">
        <w:rPr>
          <w:rFonts w:eastAsia="Calibri" w:cstheme="minorHAnsi"/>
          <w:kern w:val="0"/>
          <w14:ligatures w14:val="none"/>
        </w:rPr>
        <w:t xml:space="preserve"> </w:t>
      </w:r>
      <w:r w:rsidRPr="00F16251">
        <w:rPr>
          <w:rFonts w:eastAsia="Calibri" w:cstheme="minorHAnsi"/>
          <w:kern w:val="0"/>
          <w14:ligatures w14:val="none"/>
        </w:rPr>
        <w:t>świetlic</w:t>
      </w:r>
      <w:r w:rsidR="003B50ED" w:rsidRPr="00F16251">
        <w:rPr>
          <w:rFonts w:eastAsia="Calibri" w:cstheme="minorHAnsi"/>
          <w:kern w:val="0"/>
          <w14:ligatures w14:val="none"/>
        </w:rPr>
        <w:t xml:space="preserve"> </w:t>
      </w:r>
      <w:r w:rsidRPr="00F16251">
        <w:rPr>
          <w:rFonts w:eastAsia="Calibri" w:cstheme="minorHAnsi"/>
          <w:kern w:val="0"/>
          <w14:ligatures w14:val="none"/>
        </w:rPr>
        <w:t>wiejskich,</w:t>
      </w:r>
      <w:r w:rsidR="003B50ED" w:rsidRPr="00F16251">
        <w:rPr>
          <w:rFonts w:eastAsia="Calibri" w:cstheme="minorHAnsi"/>
          <w:kern w:val="0"/>
          <w14:ligatures w14:val="none"/>
        </w:rPr>
        <w:t xml:space="preserve"> </w:t>
      </w:r>
      <w:r w:rsidRPr="00F16251">
        <w:rPr>
          <w:rFonts w:eastAsia="Calibri" w:cstheme="minorHAnsi"/>
          <w:kern w:val="0"/>
          <w14:ligatures w14:val="none"/>
        </w:rPr>
        <w:t>przebudowa/modernizacja</w:t>
      </w:r>
      <w:r w:rsidR="003B50ED" w:rsidRPr="00F16251">
        <w:rPr>
          <w:rFonts w:eastAsia="Calibri" w:cstheme="minorHAnsi"/>
          <w:kern w:val="0"/>
          <w14:ligatures w14:val="none"/>
        </w:rPr>
        <w:t xml:space="preserve"> </w:t>
      </w:r>
      <w:r w:rsidRPr="00F16251">
        <w:rPr>
          <w:rFonts w:eastAsia="Calibri" w:cstheme="minorHAnsi"/>
          <w:kern w:val="0"/>
          <w14:ligatures w14:val="none"/>
        </w:rPr>
        <w:t>boisk</w:t>
      </w:r>
      <w:r w:rsidR="003B50ED" w:rsidRPr="00F16251">
        <w:rPr>
          <w:rFonts w:eastAsia="Calibri" w:cstheme="minorHAnsi"/>
          <w:kern w:val="0"/>
          <w14:ligatures w14:val="none"/>
        </w:rPr>
        <w:t xml:space="preserve"> </w:t>
      </w:r>
      <w:r w:rsidRPr="00F16251">
        <w:rPr>
          <w:rFonts w:eastAsia="Calibri" w:cstheme="minorHAnsi"/>
          <w:kern w:val="0"/>
          <w14:ligatures w14:val="none"/>
        </w:rPr>
        <w:t>sportowych,</w:t>
      </w:r>
      <w:r w:rsidR="003B50ED" w:rsidRPr="00F16251">
        <w:rPr>
          <w:rFonts w:eastAsia="Calibri" w:cstheme="minorHAnsi"/>
          <w:kern w:val="0"/>
          <w14:ligatures w14:val="none"/>
        </w:rPr>
        <w:t xml:space="preserve"> </w:t>
      </w:r>
      <w:r w:rsidRPr="00F16251">
        <w:rPr>
          <w:rFonts w:eastAsia="Calibri" w:cstheme="minorHAnsi"/>
          <w:kern w:val="0"/>
          <w14:ligatures w14:val="none"/>
        </w:rPr>
        <w:t>ciągi</w:t>
      </w:r>
      <w:r w:rsidR="003B50ED" w:rsidRPr="00F16251">
        <w:rPr>
          <w:rFonts w:eastAsia="Calibri" w:cstheme="minorHAnsi"/>
          <w:kern w:val="0"/>
          <w14:ligatures w14:val="none"/>
        </w:rPr>
        <w:t xml:space="preserve"> </w:t>
      </w:r>
      <w:r w:rsidRPr="00F16251">
        <w:rPr>
          <w:rFonts w:eastAsia="Calibri" w:cstheme="minorHAnsi"/>
          <w:kern w:val="0"/>
          <w14:ligatures w14:val="none"/>
        </w:rPr>
        <w:t>pieszo-rowerowe,</w:t>
      </w:r>
      <w:r w:rsidR="003B50ED" w:rsidRPr="00F16251">
        <w:rPr>
          <w:rFonts w:eastAsia="Calibri" w:cstheme="minorHAnsi"/>
          <w:kern w:val="0"/>
          <w14:ligatures w14:val="none"/>
        </w:rPr>
        <w:t xml:space="preserve"> </w:t>
      </w:r>
      <w:r w:rsidRPr="00F16251">
        <w:rPr>
          <w:rFonts w:eastAsia="Calibri" w:cstheme="minorHAnsi"/>
          <w:kern w:val="0"/>
          <w14:ligatures w14:val="none"/>
        </w:rPr>
        <w:t>wiaty</w:t>
      </w:r>
      <w:r w:rsidR="003B50ED" w:rsidRPr="00F16251">
        <w:rPr>
          <w:rFonts w:eastAsia="Calibri" w:cstheme="minorHAnsi"/>
          <w:kern w:val="0"/>
          <w14:ligatures w14:val="none"/>
        </w:rPr>
        <w:t xml:space="preserve"> </w:t>
      </w:r>
      <w:r w:rsidRPr="00F16251">
        <w:rPr>
          <w:rFonts w:eastAsia="Calibri" w:cstheme="minorHAnsi"/>
          <w:kern w:val="0"/>
          <w14:ligatures w14:val="none"/>
        </w:rPr>
        <w:t>przystankowe.</w:t>
      </w:r>
    </w:p>
    <w:p w14:paraId="739B69E0" w14:textId="5F6CBB52" w:rsidR="002C63F4" w:rsidRPr="00F16251" w:rsidRDefault="002C63F4" w:rsidP="00A26C26">
      <w:pPr>
        <w:spacing w:line="276" w:lineRule="auto"/>
        <w:jc w:val="both"/>
        <w:rPr>
          <w:rFonts w:eastAsia="Calibri" w:cstheme="minorHAnsi"/>
          <w:kern w:val="0"/>
          <w14:ligatures w14:val="none"/>
        </w:rPr>
      </w:pPr>
      <w:r w:rsidRPr="00F16251">
        <w:rPr>
          <w:rFonts w:eastAsia="Calibri" w:cstheme="minorHAnsi"/>
          <w:kern w:val="0"/>
          <w14:ligatures w14:val="none"/>
        </w:rPr>
        <w:t>Przedsięwzięcie</w:t>
      </w:r>
      <w:r w:rsidR="003B50ED" w:rsidRPr="00F16251">
        <w:rPr>
          <w:rFonts w:eastAsia="Calibri" w:cstheme="minorHAnsi"/>
          <w:kern w:val="0"/>
          <w14:ligatures w14:val="none"/>
        </w:rPr>
        <w:t xml:space="preserve"> </w:t>
      </w:r>
      <w:r w:rsidRPr="00F16251">
        <w:rPr>
          <w:rFonts w:eastAsia="Calibri" w:cstheme="minorHAnsi"/>
          <w:kern w:val="0"/>
          <w14:ligatures w14:val="none"/>
        </w:rPr>
        <w:t>realizowane</w:t>
      </w:r>
      <w:r w:rsidR="003B50ED" w:rsidRPr="00F16251">
        <w:rPr>
          <w:rFonts w:eastAsia="Calibri" w:cstheme="minorHAnsi"/>
          <w:kern w:val="0"/>
          <w14:ligatures w14:val="none"/>
        </w:rPr>
        <w:t xml:space="preserve"> </w:t>
      </w:r>
      <w:r w:rsidRPr="00F16251">
        <w:rPr>
          <w:rFonts w:eastAsia="Calibri" w:cstheme="minorHAnsi"/>
          <w:kern w:val="0"/>
          <w14:ligatures w14:val="none"/>
        </w:rPr>
        <w:t>będzie</w:t>
      </w:r>
      <w:r w:rsidR="003B50ED" w:rsidRPr="00F16251">
        <w:rPr>
          <w:rFonts w:eastAsia="Calibri" w:cstheme="minorHAnsi"/>
          <w:kern w:val="0"/>
          <w14:ligatures w14:val="none"/>
        </w:rPr>
        <w:t xml:space="preserve"> </w:t>
      </w:r>
      <w:r w:rsidRPr="00F16251">
        <w:rPr>
          <w:rFonts w:eastAsia="Calibri" w:cstheme="minorHAnsi"/>
          <w:kern w:val="0"/>
          <w14:ligatures w14:val="none"/>
        </w:rPr>
        <w:t>w</w:t>
      </w:r>
      <w:r w:rsidR="003B50ED" w:rsidRPr="00F16251">
        <w:rPr>
          <w:rFonts w:eastAsia="Calibri" w:cstheme="minorHAnsi"/>
          <w:kern w:val="0"/>
          <w14:ligatures w14:val="none"/>
        </w:rPr>
        <w:t xml:space="preserve"> </w:t>
      </w:r>
      <w:r w:rsidRPr="00F16251">
        <w:rPr>
          <w:rFonts w:eastAsia="Calibri" w:cstheme="minorHAnsi"/>
          <w:kern w:val="0"/>
          <w14:ligatures w14:val="none"/>
        </w:rPr>
        <w:t>formie</w:t>
      </w:r>
      <w:r w:rsidR="003B50ED" w:rsidRPr="00F16251">
        <w:rPr>
          <w:rFonts w:eastAsia="Calibri" w:cstheme="minorHAnsi"/>
          <w:kern w:val="0"/>
          <w14:ligatures w14:val="none"/>
        </w:rPr>
        <w:t xml:space="preserve"> </w:t>
      </w:r>
      <w:r w:rsidRPr="00F16251">
        <w:rPr>
          <w:rFonts w:eastAsia="Calibri" w:cstheme="minorHAnsi"/>
          <w:kern w:val="0"/>
          <w14:ligatures w14:val="none"/>
        </w:rPr>
        <w:t>konkursów.</w:t>
      </w:r>
      <w:r w:rsidR="003B50ED" w:rsidRPr="00F16251">
        <w:rPr>
          <w:rFonts w:eastAsia="Calibri" w:cstheme="minorHAnsi"/>
          <w:kern w:val="0"/>
          <w14:ligatures w14:val="none"/>
        </w:rPr>
        <w:t xml:space="preserve"> </w:t>
      </w:r>
      <w:r w:rsidRPr="00F16251">
        <w:rPr>
          <w:rFonts w:eastAsia="Calibri" w:cstheme="minorHAnsi"/>
          <w:kern w:val="0"/>
          <w14:ligatures w14:val="none"/>
        </w:rPr>
        <w:t>Będą</w:t>
      </w:r>
      <w:r w:rsidR="003B50ED" w:rsidRPr="00F16251">
        <w:rPr>
          <w:rFonts w:eastAsia="Calibri" w:cstheme="minorHAnsi"/>
          <w:kern w:val="0"/>
          <w14:ligatures w14:val="none"/>
        </w:rPr>
        <w:t xml:space="preserve"> </w:t>
      </w:r>
      <w:r w:rsidRPr="00F16251">
        <w:rPr>
          <w:rFonts w:eastAsia="Calibri" w:cstheme="minorHAnsi"/>
          <w:kern w:val="0"/>
          <w14:ligatures w14:val="none"/>
        </w:rPr>
        <w:t>to</w:t>
      </w:r>
      <w:r w:rsidR="003B50ED" w:rsidRPr="00F16251">
        <w:rPr>
          <w:rFonts w:eastAsia="Calibri" w:cstheme="minorHAnsi"/>
          <w:kern w:val="0"/>
          <w14:ligatures w14:val="none"/>
        </w:rPr>
        <w:t xml:space="preserve"> </w:t>
      </w:r>
      <w:r w:rsidRPr="00F16251">
        <w:rPr>
          <w:rFonts w:eastAsia="Calibri" w:cstheme="minorHAnsi"/>
          <w:kern w:val="0"/>
          <w14:ligatures w14:val="none"/>
        </w:rPr>
        <w:t>operacje</w:t>
      </w:r>
      <w:r w:rsidR="003B50ED" w:rsidRPr="00F16251">
        <w:rPr>
          <w:rFonts w:eastAsia="Calibri" w:cstheme="minorHAnsi"/>
          <w:kern w:val="0"/>
          <w14:ligatures w14:val="none"/>
        </w:rPr>
        <w:t xml:space="preserve"> </w:t>
      </w:r>
      <w:r w:rsidRPr="00F16251">
        <w:rPr>
          <w:rFonts w:eastAsia="Calibri" w:cstheme="minorHAnsi"/>
          <w:kern w:val="0"/>
          <w14:ligatures w14:val="none"/>
        </w:rPr>
        <w:t>infrastrukturalne</w:t>
      </w:r>
      <w:r w:rsidR="003B50ED" w:rsidRPr="00F16251">
        <w:rPr>
          <w:rFonts w:eastAsia="Calibri" w:cstheme="minorHAnsi"/>
          <w:kern w:val="0"/>
          <w14:ligatures w14:val="none"/>
        </w:rPr>
        <w:t xml:space="preserve"> </w:t>
      </w:r>
      <w:r w:rsidRPr="00F16251">
        <w:rPr>
          <w:rFonts w:eastAsia="Calibri" w:cstheme="minorHAnsi"/>
          <w:kern w:val="0"/>
          <w14:ligatures w14:val="none"/>
        </w:rPr>
        <w:t>lub</w:t>
      </w:r>
      <w:r w:rsidR="003B50ED" w:rsidRPr="00F16251">
        <w:rPr>
          <w:rFonts w:eastAsia="Calibri" w:cstheme="minorHAnsi"/>
          <w:kern w:val="0"/>
          <w14:ligatures w14:val="none"/>
        </w:rPr>
        <w:t xml:space="preserve"> </w:t>
      </w:r>
      <w:r w:rsidRPr="00F16251">
        <w:rPr>
          <w:rFonts w:eastAsia="Calibri" w:cstheme="minorHAnsi"/>
          <w:kern w:val="0"/>
          <w14:ligatures w14:val="none"/>
        </w:rPr>
        <w:t>nieprodukcyjne.</w:t>
      </w:r>
      <w:r w:rsidR="003B50ED" w:rsidRPr="00F16251">
        <w:rPr>
          <w:rFonts w:eastAsia="Calibri" w:cstheme="minorHAnsi"/>
          <w:kern w:val="0"/>
          <w14:ligatures w14:val="none"/>
        </w:rPr>
        <w:t xml:space="preserve"> </w:t>
      </w:r>
      <w:r w:rsidRPr="00F16251">
        <w:rPr>
          <w:rFonts w:eastAsia="Calibri" w:cstheme="minorHAnsi"/>
          <w:kern w:val="0"/>
          <w14:ligatures w14:val="none"/>
        </w:rPr>
        <w:t>Źródłem</w:t>
      </w:r>
      <w:r w:rsidR="003B50ED" w:rsidRPr="00F16251">
        <w:rPr>
          <w:rFonts w:eastAsia="Calibri" w:cstheme="minorHAnsi"/>
          <w:kern w:val="0"/>
          <w14:ligatures w14:val="none"/>
        </w:rPr>
        <w:t xml:space="preserve"> </w:t>
      </w:r>
      <w:r w:rsidRPr="00F16251">
        <w:rPr>
          <w:rFonts w:eastAsia="Calibri" w:cstheme="minorHAnsi"/>
          <w:kern w:val="0"/>
          <w14:ligatures w14:val="none"/>
        </w:rPr>
        <w:t>finansowania</w:t>
      </w:r>
      <w:r w:rsidR="003B50ED" w:rsidRPr="00F16251">
        <w:rPr>
          <w:rFonts w:eastAsia="Calibri" w:cstheme="minorHAnsi"/>
          <w:kern w:val="0"/>
          <w14:ligatures w14:val="none"/>
        </w:rPr>
        <w:t xml:space="preserve"> </w:t>
      </w:r>
      <w:r w:rsidRPr="00F16251">
        <w:rPr>
          <w:rFonts w:eastAsia="Calibri" w:cstheme="minorHAnsi"/>
          <w:kern w:val="0"/>
          <w14:ligatures w14:val="none"/>
        </w:rPr>
        <w:t>będzie</w:t>
      </w:r>
      <w:r w:rsidR="003B50ED" w:rsidRPr="00F16251">
        <w:rPr>
          <w:rFonts w:eastAsia="Calibri" w:cstheme="minorHAnsi"/>
          <w:kern w:val="0"/>
          <w14:ligatures w14:val="none"/>
        </w:rPr>
        <w:t xml:space="preserve"> </w:t>
      </w:r>
      <w:r w:rsidRPr="00F16251">
        <w:rPr>
          <w:rFonts w:eastAsia="Calibri" w:cstheme="minorHAnsi"/>
          <w:kern w:val="0"/>
          <w14:ligatures w14:val="none"/>
        </w:rPr>
        <w:t>EFRROW</w:t>
      </w:r>
      <w:r w:rsidR="003B50ED" w:rsidRPr="00F16251">
        <w:rPr>
          <w:rFonts w:eastAsia="Calibri" w:cstheme="minorHAnsi"/>
          <w:kern w:val="0"/>
          <w14:ligatures w14:val="none"/>
        </w:rPr>
        <w:t xml:space="preserve"> </w:t>
      </w:r>
      <w:r w:rsidRPr="00F16251">
        <w:rPr>
          <w:rFonts w:eastAsia="Calibri" w:cstheme="minorHAnsi"/>
          <w:kern w:val="0"/>
          <w14:ligatures w14:val="none"/>
        </w:rPr>
        <w:t>i</w:t>
      </w:r>
      <w:r w:rsidR="003B50ED" w:rsidRPr="00F16251">
        <w:rPr>
          <w:rFonts w:eastAsia="Calibri" w:cstheme="minorHAnsi"/>
          <w:kern w:val="0"/>
          <w14:ligatures w14:val="none"/>
        </w:rPr>
        <w:t xml:space="preserve"> </w:t>
      </w:r>
      <w:r w:rsidRPr="00F16251">
        <w:rPr>
          <w:rFonts w:eastAsia="Calibri" w:cstheme="minorHAnsi"/>
          <w:kern w:val="0"/>
          <w14:ligatures w14:val="none"/>
        </w:rPr>
        <w:t>EFRR.</w:t>
      </w:r>
      <w:r w:rsidR="003B50ED" w:rsidRPr="00F16251">
        <w:rPr>
          <w:rFonts w:eastAsia="Calibri" w:cstheme="minorHAnsi"/>
          <w:kern w:val="0"/>
          <w14:ligatures w14:val="none"/>
        </w:rPr>
        <w:t xml:space="preserve"> </w:t>
      </w:r>
      <w:r w:rsidRPr="00F16251">
        <w:rPr>
          <w:rFonts w:eastAsia="Calibri" w:cstheme="minorHAnsi"/>
          <w:kern w:val="0"/>
          <w14:ligatures w14:val="none"/>
        </w:rPr>
        <w:t>Wnioskodawcami</w:t>
      </w:r>
      <w:r w:rsidR="003B50ED" w:rsidRPr="00F16251">
        <w:rPr>
          <w:rFonts w:eastAsia="Calibri" w:cstheme="minorHAnsi"/>
          <w:kern w:val="0"/>
          <w14:ligatures w14:val="none"/>
        </w:rPr>
        <w:t xml:space="preserve"> </w:t>
      </w:r>
      <w:r w:rsidRPr="00F16251">
        <w:rPr>
          <w:rFonts w:eastAsia="Calibri" w:cstheme="minorHAnsi"/>
          <w:kern w:val="0"/>
          <w14:ligatures w14:val="none"/>
        </w:rPr>
        <w:t>będą</w:t>
      </w:r>
      <w:r w:rsidR="003B50ED" w:rsidRPr="00F16251">
        <w:rPr>
          <w:rFonts w:eastAsia="Calibri" w:cstheme="minorHAnsi"/>
          <w:kern w:val="0"/>
          <w14:ligatures w14:val="none"/>
        </w:rPr>
        <w:t xml:space="preserve"> </w:t>
      </w:r>
      <w:r w:rsidRPr="00F16251">
        <w:rPr>
          <w:rFonts w:eastAsia="Calibri" w:cstheme="minorHAnsi"/>
          <w:kern w:val="0"/>
          <w14:ligatures w14:val="none"/>
        </w:rPr>
        <w:t>jednostki</w:t>
      </w:r>
      <w:r w:rsidR="003B50ED" w:rsidRPr="00F16251">
        <w:rPr>
          <w:rFonts w:eastAsia="Calibri" w:cstheme="minorHAnsi"/>
          <w:kern w:val="0"/>
          <w14:ligatures w14:val="none"/>
        </w:rPr>
        <w:t xml:space="preserve"> </w:t>
      </w:r>
      <w:r w:rsidRPr="00F16251">
        <w:rPr>
          <w:rFonts w:eastAsia="Calibri" w:cstheme="minorHAnsi"/>
          <w:kern w:val="0"/>
          <w14:ligatures w14:val="none"/>
        </w:rPr>
        <w:t>sektora</w:t>
      </w:r>
      <w:r w:rsidR="003B50ED" w:rsidRPr="00F16251">
        <w:rPr>
          <w:rFonts w:eastAsia="Calibri" w:cstheme="minorHAnsi"/>
          <w:kern w:val="0"/>
          <w14:ligatures w14:val="none"/>
        </w:rPr>
        <w:t xml:space="preserve"> </w:t>
      </w:r>
      <w:r w:rsidRPr="00F16251">
        <w:rPr>
          <w:rFonts w:eastAsia="Calibri" w:cstheme="minorHAnsi"/>
          <w:kern w:val="0"/>
          <w14:ligatures w14:val="none"/>
        </w:rPr>
        <w:t>finansów</w:t>
      </w:r>
      <w:r w:rsidR="003B50ED" w:rsidRPr="00F16251">
        <w:rPr>
          <w:rFonts w:eastAsia="Calibri" w:cstheme="minorHAnsi"/>
          <w:kern w:val="0"/>
          <w14:ligatures w14:val="none"/>
        </w:rPr>
        <w:t xml:space="preserve"> </w:t>
      </w:r>
      <w:r w:rsidRPr="00F16251">
        <w:rPr>
          <w:rFonts w:eastAsia="Calibri" w:cstheme="minorHAnsi"/>
          <w:kern w:val="0"/>
          <w14:ligatures w14:val="none"/>
        </w:rPr>
        <w:t>publicznych.</w:t>
      </w:r>
      <w:r w:rsidR="003B50ED" w:rsidRPr="00F16251">
        <w:rPr>
          <w:rFonts w:eastAsia="Calibri" w:cstheme="minorHAnsi"/>
          <w:kern w:val="0"/>
          <w14:ligatures w14:val="none"/>
        </w:rPr>
        <w:t xml:space="preserve"> </w:t>
      </w:r>
      <w:r w:rsidRPr="00F16251">
        <w:rPr>
          <w:rFonts w:eastAsia="Calibri" w:cstheme="minorHAnsi"/>
          <w:kern w:val="0"/>
          <w14:ligatures w14:val="none"/>
        </w:rPr>
        <w:t>Grupy</w:t>
      </w:r>
      <w:r w:rsidR="003B50ED" w:rsidRPr="00F16251">
        <w:rPr>
          <w:rFonts w:eastAsia="Calibri" w:cstheme="minorHAnsi"/>
          <w:kern w:val="0"/>
          <w14:ligatures w14:val="none"/>
        </w:rPr>
        <w:t xml:space="preserve"> </w:t>
      </w:r>
      <w:r w:rsidRPr="00F16251">
        <w:rPr>
          <w:rFonts w:eastAsia="Calibri" w:cstheme="minorHAnsi"/>
          <w:kern w:val="0"/>
          <w14:ligatures w14:val="none"/>
        </w:rPr>
        <w:t>docelowe:</w:t>
      </w:r>
      <w:r w:rsidR="003B50ED" w:rsidRPr="00F16251">
        <w:rPr>
          <w:rFonts w:eastAsia="Calibri" w:cstheme="minorHAnsi"/>
          <w:kern w:val="0"/>
          <w14:ligatures w14:val="none"/>
        </w:rPr>
        <w:t xml:space="preserve"> </w:t>
      </w:r>
      <w:r w:rsidRPr="00F16251">
        <w:rPr>
          <w:rFonts w:eastAsia="Calibri" w:cstheme="minorHAnsi"/>
          <w:kern w:val="0"/>
          <w14:ligatures w14:val="none"/>
        </w:rPr>
        <w:t>mieszkańcy,</w:t>
      </w:r>
      <w:r w:rsidR="003B50ED" w:rsidRPr="00F16251">
        <w:rPr>
          <w:rFonts w:eastAsia="Calibri" w:cstheme="minorHAnsi"/>
          <w:kern w:val="0"/>
          <w14:ligatures w14:val="none"/>
        </w:rPr>
        <w:t xml:space="preserve"> </w:t>
      </w:r>
      <w:r w:rsidRPr="00F16251">
        <w:rPr>
          <w:rFonts w:eastAsia="Calibri" w:cstheme="minorHAnsi"/>
          <w:kern w:val="0"/>
          <w14:ligatures w14:val="none"/>
        </w:rPr>
        <w:t>turyści.</w:t>
      </w:r>
    </w:p>
    <w:p w14:paraId="2C399BE8" w14:textId="37E7020B" w:rsidR="002C63F4" w:rsidRPr="00F16251" w:rsidRDefault="002C63F4" w:rsidP="00A26C26">
      <w:pPr>
        <w:spacing w:line="276" w:lineRule="auto"/>
        <w:jc w:val="both"/>
        <w:rPr>
          <w:rFonts w:eastAsia="Calibri" w:cstheme="minorHAnsi"/>
          <w:kern w:val="0"/>
          <w14:ligatures w14:val="none"/>
        </w:rPr>
      </w:pPr>
      <w:r w:rsidRPr="00F16251">
        <w:rPr>
          <w:rFonts w:eastAsia="Calibri" w:cstheme="minorHAnsi"/>
          <w:kern w:val="0"/>
          <w14:ligatures w14:val="none"/>
        </w:rPr>
        <w:t>W</w:t>
      </w:r>
      <w:r w:rsidR="003B50ED" w:rsidRPr="00F16251">
        <w:rPr>
          <w:rFonts w:eastAsia="Calibri" w:cstheme="minorHAnsi"/>
          <w:kern w:val="0"/>
          <w14:ligatures w14:val="none"/>
        </w:rPr>
        <w:t xml:space="preserve"> </w:t>
      </w:r>
      <w:r w:rsidRPr="00F16251">
        <w:rPr>
          <w:rFonts w:eastAsia="Calibri" w:cstheme="minorHAnsi"/>
          <w:kern w:val="0"/>
          <w14:ligatures w14:val="none"/>
        </w:rPr>
        <w:t>ramach</w:t>
      </w:r>
      <w:r w:rsidR="003B50ED" w:rsidRPr="00F16251">
        <w:rPr>
          <w:rFonts w:eastAsia="Calibri" w:cstheme="minorHAnsi"/>
          <w:kern w:val="0"/>
          <w14:ligatures w14:val="none"/>
        </w:rPr>
        <w:t xml:space="preserve"> </w:t>
      </w:r>
      <w:r w:rsidRPr="00F16251">
        <w:rPr>
          <w:rFonts w:eastAsia="Calibri" w:cstheme="minorHAnsi"/>
          <w:kern w:val="0"/>
          <w14:ligatures w14:val="none"/>
        </w:rPr>
        <w:t>EFRR</w:t>
      </w:r>
      <w:r w:rsidR="003B50ED" w:rsidRPr="00F16251">
        <w:rPr>
          <w:rFonts w:eastAsia="Calibri" w:cstheme="minorHAnsi"/>
          <w:kern w:val="0"/>
          <w14:ligatures w14:val="none"/>
        </w:rPr>
        <w:t xml:space="preserve"> </w:t>
      </w:r>
      <w:r w:rsidRPr="00F16251">
        <w:rPr>
          <w:rFonts w:eastAsia="Calibri" w:cstheme="minorHAnsi"/>
          <w:kern w:val="0"/>
          <w14:ligatures w14:val="none"/>
        </w:rPr>
        <w:t>finansowane</w:t>
      </w:r>
      <w:r w:rsidR="003B50ED" w:rsidRPr="00F16251">
        <w:rPr>
          <w:rFonts w:eastAsia="Calibri" w:cstheme="minorHAnsi"/>
          <w:kern w:val="0"/>
          <w14:ligatures w14:val="none"/>
        </w:rPr>
        <w:t xml:space="preserve"> </w:t>
      </w:r>
      <w:r w:rsidRPr="00F16251">
        <w:rPr>
          <w:rFonts w:eastAsia="Calibri" w:cstheme="minorHAnsi"/>
          <w:kern w:val="0"/>
          <w14:ligatures w14:val="none"/>
        </w:rPr>
        <w:t>będą:</w:t>
      </w:r>
      <w:r w:rsidR="003B50ED" w:rsidRPr="00F16251">
        <w:rPr>
          <w:rFonts w:eastAsia="Calibri" w:cstheme="minorHAnsi"/>
          <w:kern w:val="0"/>
          <w14:ligatures w14:val="none"/>
        </w:rPr>
        <w:t xml:space="preserve"> </w:t>
      </w:r>
    </w:p>
    <w:p w14:paraId="391ECB8E" w14:textId="3350C469" w:rsidR="002C63F4" w:rsidRPr="00F16251" w:rsidRDefault="002C63F4" w:rsidP="00A26C26">
      <w:pPr>
        <w:spacing w:line="276" w:lineRule="auto"/>
        <w:jc w:val="both"/>
        <w:rPr>
          <w:rFonts w:eastAsia="Calibri" w:cstheme="minorHAnsi"/>
          <w:kern w:val="0"/>
          <w14:ligatures w14:val="none"/>
        </w:rPr>
      </w:pPr>
      <w:r w:rsidRPr="00F16251">
        <w:rPr>
          <w:rFonts w:eastAsia="Calibri" w:cstheme="minorHAnsi"/>
          <w:kern w:val="0"/>
          <w14:ligatures w14:val="none"/>
        </w:rPr>
        <w:t>-</w:t>
      </w:r>
      <w:r w:rsidR="003B50ED" w:rsidRPr="00F16251">
        <w:rPr>
          <w:rFonts w:eastAsia="Calibri" w:cstheme="minorHAnsi"/>
          <w:kern w:val="0"/>
          <w14:ligatures w14:val="none"/>
        </w:rPr>
        <w:t xml:space="preserve"> </w:t>
      </w:r>
      <w:r w:rsidRPr="00F16251">
        <w:rPr>
          <w:rFonts w:eastAsia="Calibri" w:cstheme="minorHAnsi"/>
          <w:kern w:val="0"/>
          <w14:ligatures w14:val="none"/>
        </w:rPr>
        <w:t>operacje</w:t>
      </w:r>
      <w:r w:rsidR="003B50ED" w:rsidRPr="00F16251">
        <w:rPr>
          <w:rFonts w:eastAsia="Calibri" w:cstheme="minorHAnsi"/>
          <w:kern w:val="0"/>
          <w14:ligatures w14:val="none"/>
        </w:rPr>
        <w:t xml:space="preserve"> </w:t>
      </w:r>
      <w:r w:rsidRPr="00F16251">
        <w:rPr>
          <w:rFonts w:eastAsia="Calibri" w:cstheme="minorHAnsi"/>
          <w:kern w:val="0"/>
          <w14:ligatures w14:val="none"/>
        </w:rPr>
        <w:t>z</w:t>
      </w:r>
      <w:r w:rsidR="003B50ED" w:rsidRPr="00F16251">
        <w:rPr>
          <w:rFonts w:eastAsia="Calibri" w:cstheme="minorHAnsi"/>
          <w:kern w:val="0"/>
          <w14:ligatures w14:val="none"/>
        </w:rPr>
        <w:t xml:space="preserve"> </w:t>
      </w:r>
      <w:r w:rsidRPr="00F16251">
        <w:rPr>
          <w:rFonts w:eastAsia="Calibri" w:cstheme="minorHAnsi"/>
          <w:kern w:val="0"/>
          <w14:ligatures w14:val="none"/>
        </w:rPr>
        <w:t>zakresu</w:t>
      </w:r>
      <w:r w:rsidR="003B50ED" w:rsidRPr="00F16251">
        <w:rPr>
          <w:rFonts w:eastAsia="Calibri" w:cstheme="minorHAnsi"/>
          <w:kern w:val="0"/>
          <w14:ligatures w14:val="none"/>
        </w:rPr>
        <w:t xml:space="preserve"> </w:t>
      </w:r>
      <w:r w:rsidRPr="00F16251">
        <w:rPr>
          <w:rFonts w:eastAsia="Calibri" w:cstheme="minorHAnsi"/>
          <w:kern w:val="0"/>
          <w14:ligatures w14:val="none"/>
        </w:rPr>
        <w:t>kultury</w:t>
      </w:r>
      <w:r w:rsidR="003B50ED" w:rsidRPr="00F16251">
        <w:rPr>
          <w:rFonts w:eastAsia="Calibri" w:cstheme="minorHAnsi"/>
          <w:kern w:val="0"/>
          <w14:ligatures w14:val="none"/>
        </w:rPr>
        <w:t xml:space="preserve"> </w:t>
      </w:r>
      <w:r w:rsidRPr="00F16251">
        <w:rPr>
          <w:rFonts w:eastAsia="Calibri" w:cstheme="minorHAnsi"/>
          <w:kern w:val="0"/>
          <w14:ligatures w14:val="none"/>
        </w:rPr>
        <w:t>(wspierane</w:t>
      </w:r>
      <w:r w:rsidR="003B50ED" w:rsidRPr="00F16251">
        <w:rPr>
          <w:rFonts w:eastAsia="Calibri" w:cstheme="minorHAnsi"/>
          <w:kern w:val="0"/>
          <w14:ligatures w14:val="none"/>
        </w:rPr>
        <w:t xml:space="preserve"> </w:t>
      </w:r>
      <w:r w:rsidRPr="00F16251">
        <w:rPr>
          <w:rFonts w:eastAsia="Calibri" w:cstheme="minorHAnsi"/>
          <w:kern w:val="0"/>
          <w14:ligatures w14:val="none"/>
        </w:rPr>
        <w:t>będą</w:t>
      </w:r>
      <w:r w:rsidR="003B50ED" w:rsidRPr="00F16251">
        <w:rPr>
          <w:rFonts w:eastAsia="Calibri" w:cstheme="minorHAnsi"/>
          <w:kern w:val="0"/>
          <w14:ligatures w14:val="none"/>
        </w:rPr>
        <w:t xml:space="preserve"> </w:t>
      </w:r>
      <w:r w:rsidRPr="00F16251">
        <w:rPr>
          <w:rFonts w:eastAsia="Calibri" w:cstheme="minorHAnsi"/>
          <w:kern w:val="0"/>
          <w14:ligatures w14:val="none"/>
        </w:rPr>
        <w:t>projekty</w:t>
      </w:r>
      <w:r w:rsidR="003B50ED" w:rsidRPr="00F16251">
        <w:rPr>
          <w:rFonts w:eastAsia="Calibri" w:cstheme="minorHAnsi"/>
          <w:kern w:val="0"/>
          <w14:ligatures w14:val="none"/>
        </w:rPr>
        <w:t xml:space="preserve"> </w:t>
      </w:r>
      <w:r w:rsidRPr="00F16251">
        <w:rPr>
          <w:rFonts w:eastAsia="Calibri" w:cstheme="minorHAnsi"/>
          <w:kern w:val="0"/>
          <w14:ligatures w14:val="none"/>
        </w:rPr>
        <w:t>dotyczące</w:t>
      </w:r>
      <w:r w:rsidR="003B50ED" w:rsidRPr="00F16251">
        <w:rPr>
          <w:rFonts w:eastAsia="Calibri" w:cstheme="minorHAnsi"/>
          <w:kern w:val="0"/>
          <w14:ligatures w14:val="none"/>
        </w:rPr>
        <w:t xml:space="preserve"> </w:t>
      </w:r>
      <w:r w:rsidRPr="00F16251">
        <w:rPr>
          <w:rFonts w:eastAsia="Calibri" w:cstheme="minorHAnsi"/>
          <w:kern w:val="0"/>
          <w14:ligatures w14:val="none"/>
        </w:rPr>
        <w:t>dziedzictwa</w:t>
      </w:r>
      <w:r w:rsidR="003B50ED" w:rsidRPr="00F16251">
        <w:rPr>
          <w:rFonts w:eastAsia="Calibri" w:cstheme="minorHAnsi"/>
          <w:kern w:val="0"/>
          <w14:ligatures w14:val="none"/>
        </w:rPr>
        <w:t xml:space="preserve"> </w:t>
      </w:r>
      <w:r w:rsidRPr="00F16251">
        <w:rPr>
          <w:rFonts w:eastAsia="Calibri" w:cstheme="minorHAnsi"/>
          <w:kern w:val="0"/>
          <w14:ligatures w14:val="none"/>
        </w:rPr>
        <w:t>kulturowego</w:t>
      </w:r>
      <w:r w:rsidR="003B50ED" w:rsidRPr="00F16251">
        <w:rPr>
          <w:rFonts w:eastAsia="Calibri" w:cstheme="minorHAnsi"/>
          <w:kern w:val="0"/>
          <w14:ligatures w14:val="none"/>
        </w:rPr>
        <w:t xml:space="preserve"> </w:t>
      </w:r>
      <w:r w:rsidRPr="00F16251">
        <w:rPr>
          <w:rFonts w:eastAsia="Calibri" w:cstheme="minorHAnsi"/>
          <w:kern w:val="0"/>
          <w14:ligatures w14:val="none"/>
        </w:rPr>
        <w:t>i</w:t>
      </w:r>
      <w:r w:rsidR="003B50ED" w:rsidRPr="00F16251">
        <w:rPr>
          <w:rFonts w:eastAsia="Calibri" w:cstheme="minorHAnsi"/>
          <w:kern w:val="0"/>
          <w14:ligatures w14:val="none"/>
        </w:rPr>
        <w:t xml:space="preserve"> </w:t>
      </w:r>
      <w:r w:rsidRPr="00F16251">
        <w:rPr>
          <w:rFonts w:eastAsia="Calibri" w:cstheme="minorHAnsi"/>
          <w:kern w:val="0"/>
          <w14:ligatures w14:val="none"/>
        </w:rPr>
        <w:t>infrastruktury</w:t>
      </w:r>
      <w:r w:rsidR="003B50ED" w:rsidRPr="00F16251">
        <w:rPr>
          <w:rFonts w:eastAsia="Calibri" w:cstheme="minorHAnsi"/>
          <w:kern w:val="0"/>
          <w14:ligatures w14:val="none"/>
        </w:rPr>
        <w:t xml:space="preserve"> </w:t>
      </w:r>
      <w:r w:rsidRPr="00F16251">
        <w:rPr>
          <w:rFonts w:eastAsia="Calibri" w:cstheme="minorHAnsi"/>
          <w:kern w:val="0"/>
          <w14:ligatures w14:val="none"/>
        </w:rPr>
        <w:t>kultury,</w:t>
      </w:r>
      <w:r w:rsidR="003B50ED" w:rsidRPr="00F16251">
        <w:rPr>
          <w:rFonts w:eastAsia="Calibri" w:cstheme="minorHAnsi"/>
          <w:kern w:val="0"/>
          <w14:ligatures w14:val="none"/>
        </w:rPr>
        <w:t xml:space="preserve"> </w:t>
      </w:r>
      <w:r w:rsidRPr="00F16251">
        <w:rPr>
          <w:rFonts w:eastAsia="Calibri" w:cstheme="minorHAnsi"/>
          <w:kern w:val="0"/>
          <w14:ligatures w14:val="none"/>
        </w:rPr>
        <w:t>w</w:t>
      </w:r>
      <w:r w:rsidR="003B50ED" w:rsidRPr="00F16251">
        <w:rPr>
          <w:rFonts w:eastAsia="Calibri" w:cstheme="minorHAnsi"/>
          <w:kern w:val="0"/>
          <w14:ligatures w14:val="none"/>
        </w:rPr>
        <w:t xml:space="preserve"> </w:t>
      </w:r>
      <w:r w:rsidRPr="00F16251">
        <w:rPr>
          <w:rFonts w:eastAsia="Calibri" w:cstheme="minorHAnsi"/>
          <w:kern w:val="0"/>
          <w14:ligatures w14:val="none"/>
        </w:rPr>
        <w:t>tym</w:t>
      </w:r>
      <w:r w:rsidR="003B50ED" w:rsidRPr="00F16251">
        <w:rPr>
          <w:rFonts w:eastAsia="Calibri" w:cstheme="minorHAnsi"/>
          <w:kern w:val="0"/>
          <w14:ligatures w14:val="none"/>
        </w:rPr>
        <w:t xml:space="preserve"> </w:t>
      </w:r>
      <w:r w:rsidRPr="00F16251">
        <w:rPr>
          <w:rFonts w:eastAsia="Calibri" w:cstheme="minorHAnsi"/>
          <w:kern w:val="0"/>
          <w14:ligatures w14:val="none"/>
        </w:rPr>
        <w:t>usług</w:t>
      </w:r>
      <w:r w:rsidR="003B50ED" w:rsidRPr="00F16251">
        <w:rPr>
          <w:rFonts w:eastAsia="Calibri" w:cstheme="minorHAnsi"/>
          <w:kern w:val="0"/>
          <w14:ligatures w14:val="none"/>
        </w:rPr>
        <w:t xml:space="preserve"> </w:t>
      </w:r>
      <w:r w:rsidRPr="00F16251">
        <w:rPr>
          <w:rFonts w:eastAsia="Calibri" w:cstheme="minorHAnsi"/>
          <w:kern w:val="0"/>
          <w14:ligatures w14:val="none"/>
        </w:rPr>
        <w:t>w</w:t>
      </w:r>
      <w:r w:rsidR="003B50ED" w:rsidRPr="00F16251">
        <w:rPr>
          <w:rFonts w:eastAsia="Calibri" w:cstheme="minorHAnsi"/>
          <w:kern w:val="0"/>
          <w14:ligatures w14:val="none"/>
        </w:rPr>
        <w:t xml:space="preserve"> </w:t>
      </w:r>
      <w:r w:rsidRPr="00F16251">
        <w:rPr>
          <w:rFonts w:eastAsia="Calibri" w:cstheme="minorHAnsi"/>
          <w:kern w:val="0"/>
          <w14:ligatures w14:val="none"/>
        </w:rPr>
        <w:t>dziedzinie</w:t>
      </w:r>
      <w:r w:rsidR="003B50ED" w:rsidRPr="00F16251">
        <w:rPr>
          <w:rFonts w:eastAsia="Calibri" w:cstheme="minorHAnsi"/>
          <w:kern w:val="0"/>
          <w14:ligatures w14:val="none"/>
        </w:rPr>
        <w:t xml:space="preserve"> </w:t>
      </w:r>
      <w:r w:rsidRPr="00F16251">
        <w:rPr>
          <w:rFonts w:eastAsia="Calibri" w:cstheme="minorHAnsi"/>
          <w:kern w:val="0"/>
          <w14:ligatures w14:val="none"/>
        </w:rPr>
        <w:t>kultury</w:t>
      </w:r>
      <w:r w:rsidR="003B50ED" w:rsidRPr="00F16251">
        <w:rPr>
          <w:rFonts w:eastAsia="Calibri" w:cstheme="minorHAnsi"/>
          <w:kern w:val="0"/>
          <w14:ligatures w14:val="none"/>
        </w:rPr>
        <w:t xml:space="preserve"> </w:t>
      </w:r>
      <w:r w:rsidRPr="00F16251">
        <w:rPr>
          <w:rFonts w:eastAsia="Calibri" w:cstheme="minorHAnsi"/>
          <w:kern w:val="0"/>
          <w14:ligatures w14:val="none"/>
        </w:rPr>
        <w:t>np.</w:t>
      </w:r>
      <w:r w:rsidR="003B50ED" w:rsidRPr="00F16251">
        <w:rPr>
          <w:rFonts w:eastAsia="Calibri" w:cstheme="minorHAnsi"/>
          <w:kern w:val="0"/>
          <w14:ligatures w14:val="none"/>
        </w:rPr>
        <w:t xml:space="preserve"> </w:t>
      </w:r>
      <w:r w:rsidRPr="00F16251">
        <w:rPr>
          <w:rFonts w:eastAsia="Calibri" w:cstheme="minorHAnsi"/>
          <w:kern w:val="0"/>
          <w14:ligatures w14:val="none"/>
        </w:rPr>
        <w:t>organizacji</w:t>
      </w:r>
      <w:r w:rsidR="003B50ED" w:rsidRPr="00F16251">
        <w:rPr>
          <w:rFonts w:eastAsia="Calibri" w:cstheme="minorHAnsi"/>
          <w:kern w:val="0"/>
          <w14:ligatures w14:val="none"/>
        </w:rPr>
        <w:t xml:space="preserve"> </w:t>
      </w:r>
      <w:r w:rsidRPr="00F16251">
        <w:rPr>
          <w:rFonts w:eastAsia="Calibri" w:cstheme="minorHAnsi"/>
          <w:kern w:val="0"/>
          <w14:ligatures w14:val="none"/>
        </w:rPr>
        <w:t>wydarzeń</w:t>
      </w:r>
      <w:r w:rsidR="003B50ED" w:rsidRPr="00F16251">
        <w:rPr>
          <w:rFonts w:eastAsia="Calibri" w:cstheme="minorHAnsi"/>
          <w:kern w:val="0"/>
          <w14:ligatures w14:val="none"/>
        </w:rPr>
        <w:t xml:space="preserve"> </w:t>
      </w:r>
      <w:r w:rsidRPr="00F16251">
        <w:rPr>
          <w:rFonts w:eastAsia="Calibri" w:cstheme="minorHAnsi"/>
          <w:kern w:val="0"/>
          <w14:ligatures w14:val="none"/>
        </w:rPr>
        <w:t>kulturalnych</w:t>
      </w:r>
      <w:r w:rsidR="003B50ED" w:rsidRPr="00F16251">
        <w:rPr>
          <w:rFonts w:eastAsia="Calibri" w:cstheme="minorHAnsi"/>
          <w:kern w:val="0"/>
          <w14:ligatures w14:val="none"/>
        </w:rPr>
        <w:t xml:space="preserve"> </w:t>
      </w:r>
      <w:r w:rsidRPr="00F16251">
        <w:rPr>
          <w:rFonts w:eastAsia="Calibri" w:cstheme="minorHAnsi"/>
          <w:kern w:val="0"/>
          <w14:ligatures w14:val="none"/>
        </w:rPr>
        <w:t>dla</w:t>
      </w:r>
      <w:r w:rsidR="003B50ED" w:rsidRPr="00F16251">
        <w:rPr>
          <w:rFonts w:eastAsia="Calibri" w:cstheme="minorHAnsi"/>
          <w:kern w:val="0"/>
          <w14:ligatures w14:val="none"/>
        </w:rPr>
        <w:t xml:space="preserve"> </w:t>
      </w:r>
      <w:r w:rsidRPr="00F16251">
        <w:rPr>
          <w:rFonts w:eastAsia="Calibri" w:cstheme="minorHAnsi"/>
          <w:kern w:val="0"/>
          <w14:ligatures w14:val="none"/>
        </w:rPr>
        <w:t>mieszkańców</w:t>
      </w:r>
      <w:r w:rsidR="003B50ED" w:rsidRPr="00F16251">
        <w:rPr>
          <w:rFonts w:eastAsia="Calibri" w:cstheme="minorHAnsi"/>
          <w:kern w:val="0"/>
          <w14:ligatures w14:val="none"/>
        </w:rPr>
        <w:t xml:space="preserve"> </w:t>
      </w:r>
      <w:r w:rsidRPr="00F16251">
        <w:rPr>
          <w:rFonts w:eastAsia="Calibri" w:cstheme="minorHAnsi"/>
          <w:kern w:val="0"/>
          <w14:ligatures w14:val="none"/>
        </w:rPr>
        <w:t>obszaru</w:t>
      </w:r>
      <w:r w:rsidR="003B50ED" w:rsidRPr="00F16251">
        <w:rPr>
          <w:rFonts w:eastAsia="Calibri" w:cstheme="minorHAnsi"/>
          <w:kern w:val="0"/>
          <w14:ligatures w14:val="none"/>
        </w:rPr>
        <w:t xml:space="preserve"> </w:t>
      </w:r>
      <w:r w:rsidRPr="00F16251">
        <w:rPr>
          <w:rFonts w:eastAsia="Calibri" w:cstheme="minorHAnsi"/>
          <w:kern w:val="0"/>
          <w14:ligatures w14:val="none"/>
        </w:rPr>
        <w:t>LSR,</w:t>
      </w:r>
      <w:r w:rsidR="003B50ED" w:rsidRPr="00F16251">
        <w:rPr>
          <w:rFonts w:eastAsia="Calibri" w:cstheme="minorHAnsi"/>
          <w:kern w:val="0"/>
          <w14:ligatures w14:val="none"/>
        </w:rPr>
        <w:t xml:space="preserve"> </w:t>
      </w:r>
      <w:r w:rsidRPr="00F16251">
        <w:rPr>
          <w:rFonts w:eastAsia="Calibri" w:cstheme="minorHAnsi"/>
          <w:kern w:val="0"/>
          <w14:ligatures w14:val="none"/>
        </w:rPr>
        <w:t>promujących</w:t>
      </w:r>
      <w:r w:rsidR="003B50ED" w:rsidRPr="00F16251">
        <w:rPr>
          <w:rFonts w:eastAsia="Calibri" w:cstheme="minorHAnsi"/>
          <w:kern w:val="0"/>
          <w14:ligatures w14:val="none"/>
        </w:rPr>
        <w:t xml:space="preserve"> </w:t>
      </w:r>
      <w:r w:rsidRPr="00F16251">
        <w:rPr>
          <w:rFonts w:eastAsia="Calibri" w:cstheme="minorHAnsi"/>
          <w:kern w:val="0"/>
          <w14:ligatures w14:val="none"/>
        </w:rPr>
        <w:t>lokalną</w:t>
      </w:r>
      <w:r w:rsidR="003B50ED" w:rsidRPr="00F16251">
        <w:rPr>
          <w:rFonts w:eastAsia="Calibri" w:cstheme="minorHAnsi"/>
          <w:kern w:val="0"/>
          <w14:ligatures w14:val="none"/>
        </w:rPr>
        <w:t xml:space="preserve"> </w:t>
      </w:r>
      <w:r w:rsidRPr="00F16251">
        <w:rPr>
          <w:rFonts w:eastAsia="Calibri" w:cstheme="minorHAnsi"/>
          <w:kern w:val="0"/>
          <w14:ligatures w14:val="none"/>
        </w:rPr>
        <w:t>kreatywność,</w:t>
      </w:r>
      <w:r w:rsidR="003B50ED" w:rsidRPr="00F16251">
        <w:rPr>
          <w:rFonts w:eastAsia="Calibri" w:cstheme="minorHAnsi"/>
          <w:kern w:val="0"/>
          <w14:ligatures w14:val="none"/>
        </w:rPr>
        <w:t xml:space="preserve"> </w:t>
      </w:r>
      <w:r w:rsidRPr="00F16251">
        <w:rPr>
          <w:rFonts w:eastAsia="Calibri" w:cstheme="minorHAnsi"/>
          <w:kern w:val="0"/>
          <w14:ligatures w14:val="none"/>
        </w:rPr>
        <w:t>a</w:t>
      </w:r>
      <w:r w:rsidR="003B50ED" w:rsidRPr="00F16251">
        <w:rPr>
          <w:rFonts w:eastAsia="Calibri" w:cstheme="minorHAnsi"/>
          <w:kern w:val="0"/>
          <w14:ligatures w14:val="none"/>
        </w:rPr>
        <w:t xml:space="preserve"> </w:t>
      </w:r>
      <w:r w:rsidRPr="00F16251">
        <w:rPr>
          <w:rFonts w:eastAsia="Calibri" w:cstheme="minorHAnsi"/>
          <w:kern w:val="0"/>
          <w14:ligatures w14:val="none"/>
        </w:rPr>
        <w:t>także</w:t>
      </w:r>
      <w:r w:rsidR="003B50ED" w:rsidRPr="00F16251">
        <w:rPr>
          <w:rFonts w:eastAsia="Calibri" w:cstheme="minorHAnsi"/>
          <w:kern w:val="0"/>
          <w14:ligatures w14:val="none"/>
        </w:rPr>
        <w:t xml:space="preserve"> </w:t>
      </w:r>
      <w:r w:rsidRPr="00F16251">
        <w:rPr>
          <w:rFonts w:eastAsia="Calibri" w:cstheme="minorHAnsi"/>
          <w:kern w:val="0"/>
          <w14:ligatures w14:val="none"/>
        </w:rPr>
        <w:t>wspierających</w:t>
      </w:r>
      <w:r w:rsidR="003B50ED" w:rsidRPr="00F16251">
        <w:rPr>
          <w:rFonts w:eastAsia="Calibri" w:cstheme="minorHAnsi"/>
          <w:kern w:val="0"/>
          <w14:ligatures w14:val="none"/>
        </w:rPr>
        <w:t xml:space="preserve"> </w:t>
      </w:r>
      <w:r w:rsidRPr="00F16251">
        <w:rPr>
          <w:rFonts w:eastAsia="Calibri" w:cstheme="minorHAnsi"/>
          <w:kern w:val="0"/>
          <w14:ligatures w14:val="none"/>
        </w:rPr>
        <w:t>świadomość</w:t>
      </w:r>
      <w:r w:rsidR="003B50ED" w:rsidRPr="00F16251">
        <w:rPr>
          <w:rFonts w:eastAsia="Calibri" w:cstheme="minorHAnsi"/>
          <w:kern w:val="0"/>
          <w14:ligatures w14:val="none"/>
        </w:rPr>
        <w:t xml:space="preserve"> </w:t>
      </w:r>
      <w:r w:rsidRPr="00F16251">
        <w:rPr>
          <w:rFonts w:eastAsia="Calibri" w:cstheme="minorHAnsi"/>
          <w:kern w:val="0"/>
          <w14:ligatures w14:val="none"/>
        </w:rPr>
        <w:t>znaczenia</w:t>
      </w:r>
      <w:r w:rsidR="003B50ED" w:rsidRPr="00F16251">
        <w:rPr>
          <w:rFonts w:eastAsia="Calibri" w:cstheme="minorHAnsi"/>
          <w:kern w:val="0"/>
          <w14:ligatures w14:val="none"/>
        </w:rPr>
        <w:t xml:space="preserve"> </w:t>
      </w:r>
      <w:r w:rsidRPr="00F16251">
        <w:rPr>
          <w:rFonts w:eastAsia="Calibri" w:cstheme="minorHAnsi"/>
          <w:kern w:val="0"/>
          <w14:ligatures w14:val="none"/>
        </w:rPr>
        <w:t>dziedzictwa</w:t>
      </w:r>
      <w:r w:rsidR="003B50ED" w:rsidRPr="00F16251">
        <w:rPr>
          <w:rFonts w:eastAsia="Calibri" w:cstheme="minorHAnsi"/>
          <w:kern w:val="0"/>
          <w14:ligatures w14:val="none"/>
        </w:rPr>
        <w:t xml:space="preserve"> </w:t>
      </w:r>
      <w:r w:rsidRPr="00F16251">
        <w:rPr>
          <w:rFonts w:eastAsia="Calibri" w:cstheme="minorHAnsi"/>
          <w:kern w:val="0"/>
          <w14:ligatures w14:val="none"/>
        </w:rPr>
        <w:t>kulturowego</w:t>
      </w:r>
      <w:r w:rsidR="003B50ED" w:rsidRPr="00F16251">
        <w:rPr>
          <w:rFonts w:eastAsia="Calibri" w:cstheme="minorHAnsi"/>
          <w:kern w:val="0"/>
          <w14:ligatures w14:val="none"/>
        </w:rPr>
        <w:t xml:space="preserve"> </w:t>
      </w:r>
      <w:r w:rsidRPr="00F16251">
        <w:rPr>
          <w:rFonts w:eastAsia="Calibri" w:cstheme="minorHAnsi"/>
          <w:kern w:val="0"/>
          <w14:ligatures w14:val="none"/>
        </w:rPr>
        <w:t>i</w:t>
      </w:r>
      <w:r w:rsidR="003B50ED" w:rsidRPr="00F16251">
        <w:rPr>
          <w:rFonts w:eastAsia="Calibri" w:cstheme="minorHAnsi"/>
          <w:kern w:val="0"/>
          <w14:ligatures w14:val="none"/>
        </w:rPr>
        <w:t xml:space="preserve"> </w:t>
      </w:r>
      <w:r w:rsidRPr="00F16251">
        <w:rPr>
          <w:rFonts w:eastAsia="Calibri" w:cstheme="minorHAnsi"/>
          <w:kern w:val="0"/>
          <w14:ligatures w14:val="none"/>
        </w:rPr>
        <w:t>przyrodniczego</w:t>
      </w:r>
      <w:r w:rsidR="003B50ED" w:rsidRPr="00F16251">
        <w:rPr>
          <w:rFonts w:eastAsia="Calibri" w:cstheme="minorHAnsi"/>
          <w:kern w:val="0"/>
          <w14:ligatures w14:val="none"/>
        </w:rPr>
        <w:t xml:space="preserve"> </w:t>
      </w:r>
      <w:r w:rsidRPr="00F16251">
        <w:rPr>
          <w:rFonts w:eastAsia="Calibri" w:cstheme="minorHAnsi"/>
          <w:kern w:val="0"/>
          <w14:ligatures w14:val="none"/>
        </w:rPr>
        <w:t>polskiej</w:t>
      </w:r>
      <w:r w:rsidR="003B50ED" w:rsidRPr="00F16251">
        <w:rPr>
          <w:rFonts w:eastAsia="Calibri" w:cstheme="minorHAnsi"/>
          <w:kern w:val="0"/>
          <w14:ligatures w14:val="none"/>
        </w:rPr>
        <w:t xml:space="preserve"> </w:t>
      </w:r>
      <w:r w:rsidRPr="00F16251">
        <w:rPr>
          <w:rFonts w:eastAsia="Calibri" w:cstheme="minorHAnsi"/>
          <w:kern w:val="0"/>
          <w14:ligatures w14:val="none"/>
        </w:rPr>
        <w:t>wsi);</w:t>
      </w:r>
    </w:p>
    <w:p w14:paraId="6D73C9DE" w14:textId="1D444980" w:rsidR="002C63F4" w:rsidRPr="00F16251" w:rsidRDefault="002C63F4" w:rsidP="00A26C26">
      <w:pPr>
        <w:spacing w:line="276" w:lineRule="auto"/>
        <w:jc w:val="both"/>
        <w:rPr>
          <w:rFonts w:eastAsia="Calibri" w:cstheme="minorHAnsi"/>
          <w:kern w:val="0"/>
          <w14:ligatures w14:val="none"/>
        </w:rPr>
      </w:pPr>
      <w:r w:rsidRPr="00F16251">
        <w:rPr>
          <w:rFonts w:eastAsia="Calibri" w:cstheme="minorHAnsi"/>
          <w:kern w:val="0"/>
          <w14:ligatures w14:val="none"/>
        </w:rPr>
        <w:t>-</w:t>
      </w:r>
      <w:r w:rsidR="003B50ED" w:rsidRPr="00F16251">
        <w:rPr>
          <w:rFonts w:eastAsia="Calibri" w:cstheme="minorHAnsi"/>
          <w:kern w:val="0"/>
          <w14:ligatures w14:val="none"/>
        </w:rPr>
        <w:t xml:space="preserve"> </w:t>
      </w:r>
      <w:r w:rsidRPr="00F16251">
        <w:rPr>
          <w:rFonts w:eastAsia="Calibri" w:cstheme="minorHAnsi"/>
          <w:kern w:val="0"/>
          <w14:ligatures w14:val="none"/>
        </w:rPr>
        <w:t>operacje</w:t>
      </w:r>
      <w:r w:rsidR="003B50ED" w:rsidRPr="00F16251">
        <w:rPr>
          <w:rFonts w:eastAsia="Calibri" w:cstheme="minorHAnsi"/>
          <w:kern w:val="0"/>
          <w14:ligatures w14:val="none"/>
        </w:rPr>
        <w:t xml:space="preserve"> </w:t>
      </w:r>
      <w:r w:rsidRPr="00F16251">
        <w:rPr>
          <w:rFonts w:eastAsia="Calibri" w:cstheme="minorHAnsi"/>
          <w:kern w:val="0"/>
          <w14:ligatures w14:val="none"/>
        </w:rPr>
        <w:t>z</w:t>
      </w:r>
      <w:r w:rsidR="003B50ED" w:rsidRPr="00F16251">
        <w:rPr>
          <w:rFonts w:eastAsia="Calibri" w:cstheme="minorHAnsi"/>
          <w:kern w:val="0"/>
          <w14:ligatures w14:val="none"/>
        </w:rPr>
        <w:t xml:space="preserve"> </w:t>
      </w:r>
      <w:r w:rsidRPr="00F16251">
        <w:rPr>
          <w:rFonts w:eastAsia="Calibri" w:cstheme="minorHAnsi"/>
          <w:kern w:val="0"/>
          <w14:ligatures w14:val="none"/>
        </w:rPr>
        <w:t>zakresu</w:t>
      </w:r>
      <w:r w:rsidR="003B50ED" w:rsidRPr="00F16251">
        <w:rPr>
          <w:rFonts w:eastAsia="Calibri" w:cstheme="minorHAnsi"/>
          <w:kern w:val="0"/>
          <w14:ligatures w14:val="none"/>
        </w:rPr>
        <w:t xml:space="preserve"> </w:t>
      </w:r>
      <w:r w:rsidRPr="00F16251">
        <w:rPr>
          <w:rFonts w:eastAsia="Calibri" w:cstheme="minorHAnsi"/>
          <w:kern w:val="0"/>
          <w14:ligatures w14:val="none"/>
        </w:rPr>
        <w:t>turystyki</w:t>
      </w:r>
      <w:r w:rsidR="003B50ED" w:rsidRPr="00F16251">
        <w:rPr>
          <w:rFonts w:eastAsia="Calibri" w:cstheme="minorHAnsi"/>
          <w:kern w:val="0"/>
          <w14:ligatures w14:val="none"/>
        </w:rPr>
        <w:t xml:space="preserve"> </w:t>
      </w:r>
      <w:r w:rsidRPr="00F16251">
        <w:rPr>
          <w:rFonts w:eastAsia="Calibri" w:cstheme="minorHAnsi"/>
          <w:kern w:val="0"/>
          <w14:ligatures w14:val="none"/>
        </w:rPr>
        <w:t>(wspierane</w:t>
      </w:r>
      <w:r w:rsidR="003B50ED" w:rsidRPr="00F16251">
        <w:rPr>
          <w:rFonts w:eastAsia="Calibri" w:cstheme="minorHAnsi"/>
          <w:kern w:val="0"/>
          <w14:ligatures w14:val="none"/>
        </w:rPr>
        <w:t xml:space="preserve"> </w:t>
      </w:r>
      <w:r w:rsidRPr="00F16251">
        <w:rPr>
          <w:rFonts w:eastAsia="Calibri" w:cstheme="minorHAnsi"/>
          <w:kern w:val="0"/>
          <w14:ligatures w14:val="none"/>
        </w:rPr>
        <w:t>będą</w:t>
      </w:r>
      <w:r w:rsidR="003B50ED" w:rsidRPr="00F16251">
        <w:rPr>
          <w:rFonts w:eastAsia="Calibri" w:cstheme="minorHAnsi"/>
          <w:kern w:val="0"/>
          <w14:ligatures w14:val="none"/>
        </w:rPr>
        <w:t xml:space="preserve"> </w:t>
      </w:r>
      <w:r w:rsidRPr="00F16251">
        <w:rPr>
          <w:rFonts w:eastAsia="Calibri" w:cstheme="minorHAnsi"/>
          <w:kern w:val="0"/>
          <w14:ligatures w14:val="none"/>
        </w:rPr>
        <w:t>projekty</w:t>
      </w:r>
      <w:r w:rsidR="003B50ED" w:rsidRPr="00F16251">
        <w:rPr>
          <w:rFonts w:eastAsia="Calibri" w:cstheme="minorHAnsi"/>
          <w:kern w:val="0"/>
          <w14:ligatures w14:val="none"/>
        </w:rPr>
        <w:t xml:space="preserve"> </w:t>
      </w:r>
      <w:r w:rsidRPr="00F16251">
        <w:rPr>
          <w:rFonts w:eastAsia="Calibri" w:cstheme="minorHAnsi"/>
          <w:kern w:val="0"/>
          <w14:ligatures w14:val="none"/>
        </w:rPr>
        <w:t>związane</w:t>
      </w:r>
      <w:r w:rsidR="003B50ED" w:rsidRPr="00F16251">
        <w:rPr>
          <w:rFonts w:eastAsia="Calibri" w:cstheme="minorHAnsi"/>
          <w:kern w:val="0"/>
          <w14:ligatures w14:val="none"/>
        </w:rPr>
        <w:t xml:space="preserve"> </w:t>
      </w:r>
      <w:r w:rsidRPr="00F16251">
        <w:rPr>
          <w:rFonts w:eastAsia="Calibri" w:cstheme="minorHAnsi"/>
          <w:kern w:val="0"/>
          <w14:ligatures w14:val="none"/>
        </w:rPr>
        <w:t>z</w:t>
      </w:r>
      <w:r w:rsidR="003B50ED" w:rsidRPr="00F16251">
        <w:rPr>
          <w:rFonts w:eastAsia="Calibri" w:cstheme="minorHAnsi"/>
          <w:kern w:val="0"/>
          <w14:ligatures w14:val="none"/>
        </w:rPr>
        <w:t xml:space="preserve"> </w:t>
      </w:r>
      <w:r w:rsidRPr="00F16251">
        <w:rPr>
          <w:rFonts w:eastAsia="Calibri" w:cstheme="minorHAnsi"/>
          <w:kern w:val="0"/>
          <w14:ligatures w14:val="none"/>
        </w:rPr>
        <w:t>ochroną,</w:t>
      </w:r>
      <w:r w:rsidR="003B50ED" w:rsidRPr="00F16251">
        <w:rPr>
          <w:rFonts w:eastAsia="Calibri" w:cstheme="minorHAnsi"/>
          <w:kern w:val="0"/>
          <w14:ligatures w14:val="none"/>
        </w:rPr>
        <w:t xml:space="preserve"> </w:t>
      </w:r>
      <w:r w:rsidRPr="00F16251">
        <w:rPr>
          <w:rFonts w:eastAsia="Calibri" w:cstheme="minorHAnsi"/>
          <w:kern w:val="0"/>
          <w14:ligatures w14:val="none"/>
        </w:rPr>
        <w:t>rozwojem</w:t>
      </w:r>
      <w:r w:rsidR="003B50ED" w:rsidRPr="00F16251">
        <w:rPr>
          <w:rFonts w:eastAsia="Calibri" w:cstheme="minorHAnsi"/>
          <w:kern w:val="0"/>
          <w14:ligatures w14:val="none"/>
        </w:rPr>
        <w:t xml:space="preserve"> </w:t>
      </w:r>
      <w:r w:rsidRPr="00F16251">
        <w:rPr>
          <w:rFonts w:eastAsia="Calibri" w:cstheme="minorHAnsi"/>
          <w:kern w:val="0"/>
          <w14:ligatures w14:val="none"/>
        </w:rPr>
        <w:t>i</w:t>
      </w:r>
      <w:r w:rsidR="003B50ED" w:rsidRPr="00F16251">
        <w:rPr>
          <w:rFonts w:eastAsia="Calibri" w:cstheme="minorHAnsi"/>
          <w:kern w:val="0"/>
          <w14:ligatures w14:val="none"/>
        </w:rPr>
        <w:t xml:space="preserve"> </w:t>
      </w:r>
      <w:r w:rsidRPr="00F16251">
        <w:rPr>
          <w:rFonts w:eastAsia="Calibri" w:cstheme="minorHAnsi"/>
          <w:kern w:val="0"/>
          <w14:ligatures w14:val="none"/>
        </w:rPr>
        <w:t>promowaniem</w:t>
      </w:r>
      <w:r w:rsidR="003B50ED" w:rsidRPr="00F16251">
        <w:rPr>
          <w:rFonts w:eastAsia="Calibri" w:cstheme="minorHAnsi"/>
          <w:kern w:val="0"/>
          <w14:ligatures w14:val="none"/>
        </w:rPr>
        <w:t xml:space="preserve"> </w:t>
      </w:r>
      <w:r w:rsidRPr="00F16251">
        <w:rPr>
          <w:rFonts w:eastAsia="Calibri" w:cstheme="minorHAnsi"/>
          <w:kern w:val="0"/>
          <w14:ligatures w14:val="none"/>
        </w:rPr>
        <w:t>dziedzictwa</w:t>
      </w:r>
      <w:r w:rsidR="003B50ED" w:rsidRPr="00F16251">
        <w:rPr>
          <w:rFonts w:eastAsia="Calibri" w:cstheme="minorHAnsi"/>
          <w:kern w:val="0"/>
          <w14:ligatures w14:val="none"/>
        </w:rPr>
        <w:t xml:space="preserve"> </w:t>
      </w:r>
      <w:r w:rsidRPr="00F16251">
        <w:rPr>
          <w:rFonts w:eastAsia="Calibri" w:cstheme="minorHAnsi"/>
          <w:kern w:val="0"/>
          <w14:ligatures w14:val="none"/>
        </w:rPr>
        <w:t>naturalnego</w:t>
      </w:r>
      <w:r w:rsidR="003B50ED" w:rsidRPr="00F16251">
        <w:rPr>
          <w:rFonts w:eastAsia="Calibri" w:cstheme="minorHAnsi"/>
          <w:kern w:val="0"/>
          <w14:ligatures w14:val="none"/>
        </w:rPr>
        <w:t xml:space="preserve"> </w:t>
      </w:r>
      <w:r w:rsidRPr="00F16251">
        <w:rPr>
          <w:rFonts w:eastAsia="Calibri" w:cstheme="minorHAnsi"/>
          <w:kern w:val="0"/>
          <w14:ligatures w14:val="none"/>
        </w:rPr>
        <w:t>i</w:t>
      </w:r>
      <w:r w:rsidR="003B50ED" w:rsidRPr="00F16251">
        <w:rPr>
          <w:rFonts w:eastAsia="Calibri" w:cstheme="minorHAnsi"/>
          <w:kern w:val="0"/>
          <w14:ligatures w14:val="none"/>
        </w:rPr>
        <w:t xml:space="preserve"> </w:t>
      </w:r>
      <w:r w:rsidRPr="00F16251">
        <w:rPr>
          <w:rFonts w:eastAsia="Calibri" w:cstheme="minorHAnsi"/>
          <w:kern w:val="0"/>
          <w14:ligatures w14:val="none"/>
        </w:rPr>
        <w:t>ekoturystyki,</w:t>
      </w:r>
      <w:r w:rsidR="003B50ED" w:rsidRPr="00F16251">
        <w:rPr>
          <w:rFonts w:eastAsia="Calibri" w:cstheme="minorHAnsi"/>
          <w:kern w:val="0"/>
          <w14:ligatures w14:val="none"/>
        </w:rPr>
        <w:t xml:space="preserve"> </w:t>
      </w:r>
      <w:r w:rsidRPr="00F16251">
        <w:rPr>
          <w:rFonts w:eastAsia="Calibri" w:cstheme="minorHAnsi"/>
          <w:kern w:val="0"/>
          <w14:ligatures w14:val="none"/>
        </w:rPr>
        <w:t>w</w:t>
      </w:r>
      <w:r w:rsidR="003B50ED" w:rsidRPr="00F16251">
        <w:rPr>
          <w:rFonts w:eastAsia="Calibri" w:cstheme="minorHAnsi"/>
          <w:kern w:val="0"/>
          <w14:ligatures w14:val="none"/>
        </w:rPr>
        <w:t xml:space="preserve"> </w:t>
      </w:r>
      <w:r w:rsidRPr="00F16251">
        <w:rPr>
          <w:rFonts w:eastAsia="Calibri" w:cstheme="minorHAnsi"/>
          <w:kern w:val="0"/>
          <w14:ligatures w14:val="none"/>
        </w:rPr>
        <w:t>oparciu</w:t>
      </w:r>
      <w:r w:rsidR="003B50ED" w:rsidRPr="00F16251">
        <w:rPr>
          <w:rFonts w:eastAsia="Calibri" w:cstheme="minorHAnsi"/>
          <w:kern w:val="0"/>
          <w14:ligatures w14:val="none"/>
        </w:rPr>
        <w:t xml:space="preserve"> </w:t>
      </w:r>
      <w:r w:rsidRPr="00F16251">
        <w:rPr>
          <w:rFonts w:eastAsia="Calibri" w:cstheme="minorHAnsi"/>
          <w:kern w:val="0"/>
          <w14:ligatures w14:val="none"/>
        </w:rPr>
        <w:t>o</w:t>
      </w:r>
      <w:r w:rsidR="003B50ED" w:rsidRPr="00F16251">
        <w:rPr>
          <w:rFonts w:eastAsia="Calibri" w:cstheme="minorHAnsi"/>
          <w:kern w:val="0"/>
          <w14:ligatures w14:val="none"/>
        </w:rPr>
        <w:t xml:space="preserve"> </w:t>
      </w:r>
      <w:r w:rsidRPr="00F16251">
        <w:rPr>
          <w:rFonts w:eastAsia="Calibri" w:cstheme="minorHAnsi"/>
          <w:kern w:val="0"/>
          <w14:ligatures w14:val="none"/>
        </w:rPr>
        <w:t>walory</w:t>
      </w:r>
      <w:r w:rsidR="003B50ED" w:rsidRPr="00F16251">
        <w:rPr>
          <w:rFonts w:eastAsia="Calibri" w:cstheme="minorHAnsi"/>
          <w:kern w:val="0"/>
          <w14:ligatures w14:val="none"/>
        </w:rPr>
        <w:t xml:space="preserve"> </w:t>
      </w:r>
      <w:r w:rsidRPr="00F16251">
        <w:rPr>
          <w:rFonts w:eastAsia="Calibri" w:cstheme="minorHAnsi"/>
          <w:kern w:val="0"/>
          <w14:ligatures w14:val="none"/>
        </w:rPr>
        <w:t>krajobrazowe</w:t>
      </w:r>
      <w:r w:rsidR="003B50ED" w:rsidRPr="00F16251">
        <w:rPr>
          <w:rFonts w:eastAsia="Calibri" w:cstheme="minorHAnsi"/>
          <w:kern w:val="0"/>
          <w14:ligatures w14:val="none"/>
        </w:rPr>
        <w:t xml:space="preserve"> </w:t>
      </w:r>
      <w:r w:rsidRPr="00F16251">
        <w:rPr>
          <w:rFonts w:eastAsia="Calibri" w:cstheme="minorHAnsi"/>
          <w:kern w:val="0"/>
          <w14:ligatures w14:val="none"/>
        </w:rPr>
        <w:t>i</w:t>
      </w:r>
      <w:r w:rsidR="003B50ED" w:rsidRPr="00F16251">
        <w:rPr>
          <w:rFonts w:eastAsia="Calibri" w:cstheme="minorHAnsi"/>
          <w:kern w:val="0"/>
          <w14:ligatures w14:val="none"/>
        </w:rPr>
        <w:t xml:space="preserve"> </w:t>
      </w:r>
      <w:r w:rsidRPr="00F16251">
        <w:rPr>
          <w:rFonts w:eastAsia="Calibri" w:cstheme="minorHAnsi"/>
          <w:kern w:val="0"/>
          <w14:ligatures w14:val="none"/>
        </w:rPr>
        <w:t>miejscowy</w:t>
      </w:r>
      <w:r w:rsidR="003B50ED" w:rsidRPr="00F16251">
        <w:rPr>
          <w:rFonts w:eastAsia="Calibri" w:cstheme="minorHAnsi"/>
          <w:kern w:val="0"/>
          <w14:ligatures w14:val="none"/>
        </w:rPr>
        <w:t xml:space="preserve"> </w:t>
      </w:r>
      <w:r w:rsidRPr="00F16251">
        <w:rPr>
          <w:rFonts w:eastAsia="Calibri" w:cstheme="minorHAnsi"/>
          <w:kern w:val="0"/>
          <w14:ligatures w14:val="none"/>
        </w:rPr>
        <w:t>potencjał</w:t>
      </w:r>
      <w:r w:rsidR="003B50ED" w:rsidRPr="00F16251">
        <w:rPr>
          <w:rFonts w:eastAsia="Calibri" w:cstheme="minorHAnsi"/>
          <w:kern w:val="0"/>
          <w14:ligatures w14:val="none"/>
        </w:rPr>
        <w:t xml:space="preserve"> </w:t>
      </w:r>
      <w:r w:rsidRPr="00F16251">
        <w:rPr>
          <w:rFonts w:eastAsia="Calibri" w:cstheme="minorHAnsi"/>
          <w:kern w:val="0"/>
          <w14:ligatures w14:val="none"/>
        </w:rPr>
        <w:t>turystyczny</w:t>
      </w:r>
      <w:r w:rsidR="003B50ED" w:rsidRPr="00F16251">
        <w:rPr>
          <w:rFonts w:eastAsia="Calibri" w:cstheme="minorHAnsi"/>
          <w:kern w:val="0"/>
          <w14:ligatures w14:val="none"/>
        </w:rPr>
        <w:t xml:space="preserve"> </w:t>
      </w:r>
      <w:r w:rsidRPr="00F16251">
        <w:rPr>
          <w:rFonts w:eastAsia="Calibri" w:cstheme="minorHAnsi"/>
          <w:kern w:val="0"/>
          <w14:ligatures w14:val="none"/>
        </w:rPr>
        <w:t>).</w:t>
      </w:r>
    </w:p>
    <w:p w14:paraId="0E144E33" w14:textId="25808421" w:rsidR="002C63F4" w:rsidRPr="00F16251" w:rsidRDefault="002C63F4" w:rsidP="00A26C26">
      <w:pPr>
        <w:autoSpaceDE w:val="0"/>
        <w:autoSpaceDN w:val="0"/>
        <w:adjustRightInd w:val="0"/>
        <w:spacing w:line="276" w:lineRule="auto"/>
        <w:jc w:val="both"/>
        <w:rPr>
          <w:rFonts w:eastAsia="Calibri" w:cstheme="minorHAnsi"/>
          <w:b/>
          <w:bCs/>
          <w:color w:val="000000"/>
          <w:kern w:val="0"/>
          <w14:ligatures w14:val="none"/>
        </w:rPr>
      </w:pPr>
      <w:r w:rsidRPr="00F16251">
        <w:rPr>
          <w:rFonts w:eastAsia="Calibri" w:cstheme="minorHAnsi"/>
          <w:b/>
          <w:bCs/>
          <w:color w:val="000000"/>
          <w:kern w:val="0"/>
          <w14:ligatures w14:val="none"/>
        </w:rPr>
        <w:t>Wskaźnik</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PRODUKTU:</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Liczba</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utworzonych/dostosowanych/doposażonych</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obiektów</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ogólnodostępnej</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infrastruktury</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publicznej,</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w</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tym</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turystycznej/rekreacyjnej/kulturalnej</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lub</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innej</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publicznej;</w:t>
      </w:r>
    </w:p>
    <w:p w14:paraId="3C08BA71" w14:textId="6A6FF8FA" w:rsidR="002C63F4" w:rsidRPr="00F16251" w:rsidRDefault="002C63F4" w:rsidP="00A26C26">
      <w:pPr>
        <w:autoSpaceDE w:val="0"/>
        <w:autoSpaceDN w:val="0"/>
        <w:adjustRightInd w:val="0"/>
        <w:spacing w:line="276" w:lineRule="auto"/>
        <w:jc w:val="both"/>
        <w:rPr>
          <w:rFonts w:eastAsia="Calibri" w:cstheme="minorHAnsi"/>
          <w:b/>
          <w:bCs/>
          <w:color w:val="000000"/>
          <w:kern w:val="0"/>
          <w14:ligatures w14:val="none"/>
        </w:rPr>
      </w:pPr>
      <w:r w:rsidRPr="00F16251">
        <w:rPr>
          <w:rFonts w:eastAsia="Calibri" w:cstheme="minorHAnsi"/>
          <w:b/>
          <w:bCs/>
          <w:color w:val="000000"/>
          <w:kern w:val="0"/>
          <w14:ligatures w14:val="none"/>
        </w:rPr>
        <w:t>Wskaźnik</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PRODUKTU:</w:t>
      </w:r>
      <w:r w:rsidR="003B50ED" w:rsidRPr="00F16251">
        <w:rPr>
          <w:rFonts w:eastAsia="Calibri" w:cstheme="minorHAnsi"/>
          <w:b/>
          <w:bCs/>
          <w:color w:val="000000"/>
          <w:kern w:val="0"/>
          <w14:ligatures w14:val="none"/>
        </w:rPr>
        <w:t xml:space="preserve"> </w:t>
      </w:r>
      <w:r w:rsidR="00B36F26">
        <w:rPr>
          <w:rFonts w:eastAsia="Calibri" w:cstheme="minorHAnsi"/>
          <w:b/>
          <w:bCs/>
          <w:color w:val="000000"/>
          <w:kern w:val="0"/>
          <w14:ligatures w14:val="none"/>
        </w:rPr>
        <w:t xml:space="preserve">RC077 </w:t>
      </w:r>
      <w:r w:rsidRPr="00F16251">
        <w:rPr>
          <w:rFonts w:eastAsia="Calibri" w:cstheme="minorHAnsi"/>
          <w:b/>
          <w:bCs/>
          <w:color w:val="000000"/>
          <w:kern w:val="0"/>
          <w14:ligatures w14:val="none"/>
        </w:rPr>
        <w:t>Liczba</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obiektów</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kulturalnych</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i</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turystycznych</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objętych</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wsparciem.</w:t>
      </w:r>
    </w:p>
    <w:p w14:paraId="35E55891" w14:textId="50D40FEA" w:rsidR="002C63F4" w:rsidRPr="00F16251" w:rsidRDefault="002C63F4" w:rsidP="00A26C26">
      <w:pPr>
        <w:autoSpaceDE w:val="0"/>
        <w:autoSpaceDN w:val="0"/>
        <w:adjustRightInd w:val="0"/>
        <w:spacing w:line="276" w:lineRule="auto"/>
        <w:jc w:val="both"/>
        <w:rPr>
          <w:rFonts w:eastAsia="Calibri" w:cstheme="minorHAnsi"/>
          <w:b/>
          <w:bCs/>
          <w:color w:val="000000"/>
          <w:kern w:val="0"/>
          <w14:ligatures w14:val="none"/>
        </w:rPr>
      </w:pPr>
      <w:r w:rsidRPr="00F16251">
        <w:rPr>
          <w:rFonts w:eastAsia="Calibri" w:cstheme="minorHAnsi"/>
          <w:b/>
          <w:bCs/>
          <w:color w:val="000000"/>
          <w:kern w:val="0"/>
          <w14:ligatures w14:val="none"/>
        </w:rPr>
        <w:t>Ad.</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3.</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Przedsięwzięcie</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1.3.</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Ochrona</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dziedzictwa</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kulturowego</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lub</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przyrodniczego</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polskiej</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wsi:</w:t>
      </w:r>
    </w:p>
    <w:p w14:paraId="3A839282" w14:textId="3B6519B1" w:rsidR="002C63F4" w:rsidRPr="00F16251" w:rsidRDefault="002C63F4" w:rsidP="00A26C26">
      <w:pPr>
        <w:spacing w:line="276" w:lineRule="auto"/>
        <w:jc w:val="both"/>
        <w:rPr>
          <w:rFonts w:eastAsia="Calibri" w:cstheme="minorHAnsi"/>
          <w:color w:val="000000"/>
          <w:kern w:val="0"/>
          <w14:ligatures w14:val="none"/>
        </w:rPr>
      </w:pPr>
      <w:r w:rsidRPr="00F16251">
        <w:rPr>
          <w:rFonts w:eastAsia="Calibri" w:cstheme="minorHAnsi"/>
          <w:color w:val="000000"/>
          <w:kern w:val="0"/>
          <w14:ligatures w14:val="none"/>
        </w:rPr>
        <w:t>Dziedzictwo</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kulturowe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przyrodnicze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są</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istotnymi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zasobami,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które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mają</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wpływ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na</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rozwój.</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Atrakcje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kulturalne,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przyrodnicze,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tym</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krajobrazowe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często</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przesądzają</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o</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atrakcyjności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turystycznej,</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rekreacyjnej</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oraz</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inwestycyjnej</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danego</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obszaru.</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Wskazuje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się</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także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na</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ważne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korzyści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pozaekonomiczne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generowane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przez</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dziedzictwo</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kulturowe,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takie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jak:</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wpływ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na</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zachowanie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tożsamości,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a</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przez</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to</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oddziaływanie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na</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spójność</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społeczną,</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rolę</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dziedzictwa</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przeciwdziałaniu</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wykluczeniu</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społecznemu,</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działaniach</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na</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rzecz</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rozwoju</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kapitału</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społecznego</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oraz</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stymulowaniu</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kreatywności.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Założeniem</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jest</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realizacja</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operacji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dotyczących:</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konserwacji,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restauracji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zabytków,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wyposażenia</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zespołów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ludowych,</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zespołów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muzycznych,</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tworzenia</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muzeów,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izb</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tradycji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ramach</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operacji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będą</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mogły</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inwestycje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dotyczące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ochrony</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zabytków,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obiektów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kultury,</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walorów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przyrodniczych.</w:t>
      </w:r>
      <w:r w:rsidR="003B50ED" w:rsidRPr="00F16251">
        <w:rPr>
          <w:rFonts w:eastAsia="Calibri" w:cstheme="minorHAnsi"/>
          <w:color w:val="000000"/>
          <w:kern w:val="0"/>
          <w14:ligatures w14:val="none"/>
        </w:rPr>
        <w:t xml:space="preserve"> </w:t>
      </w:r>
    </w:p>
    <w:p w14:paraId="64986B47" w14:textId="39745CBC" w:rsidR="002C63F4" w:rsidRPr="00F16251" w:rsidRDefault="002C63F4" w:rsidP="00A26C26">
      <w:pPr>
        <w:spacing w:line="276" w:lineRule="auto"/>
        <w:jc w:val="both"/>
        <w:rPr>
          <w:rFonts w:eastAsia="Calibri" w:cstheme="minorHAnsi"/>
          <w:color w:val="000000"/>
          <w:kern w:val="0"/>
          <w14:ligatures w14:val="none"/>
        </w:rPr>
      </w:pPr>
      <w:r w:rsidRPr="00F16251">
        <w:rPr>
          <w:rFonts w:eastAsia="Calibri" w:cstheme="minorHAnsi"/>
          <w:kern w:val="0"/>
          <w14:ligatures w14:val="none"/>
        </w:rPr>
        <w:lastRenderedPageBreak/>
        <w:t>Przedsięwzięcie</w:t>
      </w:r>
      <w:r w:rsidR="003B50ED" w:rsidRPr="00F16251">
        <w:rPr>
          <w:rFonts w:eastAsia="Calibri" w:cstheme="minorHAnsi"/>
          <w:kern w:val="0"/>
          <w14:ligatures w14:val="none"/>
        </w:rPr>
        <w:t xml:space="preserve"> </w:t>
      </w:r>
      <w:r w:rsidRPr="00F16251">
        <w:rPr>
          <w:rFonts w:eastAsia="Calibri" w:cstheme="minorHAnsi"/>
          <w:kern w:val="0"/>
          <w14:ligatures w14:val="none"/>
        </w:rPr>
        <w:t>realizowane</w:t>
      </w:r>
      <w:r w:rsidR="003B50ED" w:rsidRPr="00F16251">
        <w:rPr>
          <w:rFonts w:eastAsia="Calibri" w:cstheme="minorHAnsi"/>
          <w:kern w:val="0"/>
          <w14:ligatures w14:val="none"/>
        </w:rPr>
        <w:t xml:space="preserve"> </w:t>
      </w:r>
      <w:r w:rsidRPr="00F16251">
        <w:rPr>
          <w:rFonts w:eastAsia="Calibri" w:cstheme="minorHAnsi"/>
          <w:kern w:val="0"/>
          <w14:ligatures w14:val="none"/>
        </w:rPr>
        <w:t>będzie</w:t>
      </w:r>
      <w:r w:rsidR="003B50ED" w:rsidRPr="00F16251">
        <w:rPr>
          <w:rFonts w:eastAsia="Calibri" w:cstheme="minorHAnsi"/>
          <w:kern w:val="0"/>
          <w14:ligatures w14:val="none"/>
        </w:rPr>
        <w:t xml:space="preserve"> </w:t>
      </w:r>
      <w:r w:rsidRPr="00F16251">
        <w:rPr>
          <w:rFonts w:eastAsia="Calibri" w:cstheme="minorHAnsi"/>
          <w:kern w:val="0"/>
          <w14:ligatures w14:val="none"/>
        </w:rPr>
        <w:t>w</w:t>
      </w:r>
      <w:r w:rsidR="003B50ED" w:rsidRPr="00F16251">
        <w:rPr>
          <w:rFonts w:eastAsia="Calibri" w:cstheme="minorHAnsi"/>
          <w:kern w:val="0"/>
          <w14:ligatures w14:val="none"/>
        </w:rPr>
        <w:t xml:space="preserve"> </w:t>
      </w:r>
      <w:r w:rsidRPr="00F16251">
        <w:rPr>
          <w:rFonts w:eastAsia="Calibri" w:cstheme="minorHAnsi"/>
          <w:kern w:val="0"/>
          <w14:ligatures w14:val="none"/>
        </w:rPr>
        <w:t>formie</w:t>
      </w:r>
      <w:r w:rsidR="003B50ED" w:rsidRPr="00F16251">
        <w:rPr>
          <w:rFonts w:eastAsia="Calibri" w:cstheme="minorHAnsi"/>
          <w:kern w:val="0"/>
          <w14:ligatures w14:val="none"/>
        </w:rPr>
        <w:t xml:space="preserve"> </w:t>
      </w:r>
      <w:r w:rsidRPr="00F16251">
        <w:rPr>
          <w:rFonts w:eastAsia="Calibri" w:cstheme="minorHAnsi"/>
          <w:kern w:val="0"/>
          <w14:ligatures w14:val="none"/>
        </w:rPr>
        <w:t>konkursów.</w:t>
      </w:r>
      <w:r w:rsidR="003B50ED" w:rsidRPr="00F16251">
        <w:rPr>
          <w:rFonts w:eastAsia="Calibri" w:cstheme="minorHAnsi"/>
          <w:kern w:val="0"/>
          <w14:ligatures w14:val="none"/>
        </w:rPr>
        <w:t xml:space="preserve"> </w:t>
      </w:r>
      <w:r w:rsidRPr="00F16251">
        <w:rPr>
          <w:rFonts w:eastAsia="Calibri" w:cstheme="minorHAnsi"/>
          <w:kern w:val="0"/>
          <w14:ligatures w14:val="none"/>
        </w:rPr>
        <w:t>Będą</w:t>
      </w:r>
      <w:r w:rsidR="003B50ED" w:rsidRPr="00F16251">
        <w:rPr>
          <w:rFonts w:eastAsia="Calibri" w:cstheme="minorHAnsi"/>
          <w:kern w:val="0"/>
          <w14:ligatures w14:val="none"/>
        </w:rPr>
        <w:t xml:space="preserve"> </w:t>
      </w:r>
      <w:r w:rsidRPr="00F16251">
        <w:rPr>
          <w:rFonts w:eastAsia="Calibri" w:cstheme="minorHAnsi"/>
          <w:kern w:val="0"/>
          <w14:ligatures w14:val="none"/>
        </w:rPr>
        <w:t>to</w:t>
      </w:r>
      <w:r w:rsidR="003B50ED" w:rsidRPr="00F16251">
        <w:rPr>
          <w:rFonts w:eastAsia="Calibri" w:cstheme="minorHAnsi"/>
          <w:kern w:val="0"/>
          <w14:ligatures w14:val="none"/>
        </w:rPr>
        <w:t xml:space="preserve"> </w:t>
      </w:r>
      <w:r w:rsidRPr="00F16251">
        <w:rPr>
          <w:rFonts w:eastAsia="Calibri" w:cstheme="minorHAnsi"/>
          <w:kern w:val="0"/>
          <w14:ligatures w14:val="none"/>
        </w:rPr>
        <w:t>operacje</w:t>
      </w:r>
      <w:r w:rsidR="003B50ED" w:rsidRPr="00F16251">
        <w:rPr>
          <w:rFonts w:eastAsia="Calibri" w:cstheme="minorHAnsi"/>
          <w:kern w:val="0"/>
          <w14:ligatures w14:val="none"/>
        </w:rPr>
        <w:t xml:space="preserve"> </w:t>
      </w:r>
      <w:r w:rsidRPr="00F16251">
        <w:rPr>
          <w:rFonts w:eastAsia="Calibri" w:cstheme="minorHAnsi"/>
          <w:kern w:val="0"/>
          <w14:ligatures w14:val="none"/>
        </w:rPr>
        <w:t>nieprodukcyjne.</w:t>
      </w:r>
      <w:r w:rsidR="003B50ED" w:rsidRPr="00F16251">
        <w:rPr>
          <w:rFonts w:eastAsia="Calibri" w:cstheme="minorHAnsi"/>
          <w:kern w:val="0"/>
          <w14:ligatures w14:val="none"/>
        </w:rPr>
        <w:t xml:space="preserve"> </w:t>
      </w:r>
      <w:r w:rsidRPr="00F16251">
        <w:rPr>
          <w:rFonts w:eastAsia="Calibri" w:cstheme="minorHAnsi"/>
          <w:kern w:val="0"/>
          <w14:ligatures w14:val="none"/>
        </w:rPr>
        <w:t>Źródłem</w:t>
      </w:r>
      <w:r w:rsidR="003B50ED" w:rsidRPr="00F16251">
        <w:rPr>
          <w:rFonts w:eastAsia="Calibri" w:cstheme="minorHAnsi"/>
          <w:kern w:val="0"/>
          <w14:ligatures w14:val="none"/>
        </w:rPr>
        <w:t xml:space="preserve"> </w:t>
      </w:r>
      <w:r w:rsidRPr="00F16251">
        <w:rPr>
          <w:rFonts w:eastAsia="Calibri" w:cstheme="minorHAnsi"/>
          <w:kern w:val="0"/>
          <w14:ligatures w14:val="none"/>
        </w:rPr>
        <w:t>finansowania</w:t>
      </w:r>
      <w:r w:rsidR="003B50ED" w:rsidRPr="00F16251">
        <w:rPr>
          <w:rFonts w:eastAsia="Calibri" w:cstheme="minorHAnsi"/>
          <w:kern w:val="0"/>
          <w14:ligatures w14:val="none"/>
        </w:rPr>
        <w:t xml:space="preserve"> </w:t>
      </w:r>
      <w:r w:rsidRPr="00F16251">
        <w:rPr>
          <w:rFonts w:eastAsia="Calibri" w:cstheme="minorHAnsi"/>
          <w:kern w:val="0"/>
          <w14:ligatures w14:val="none"/>
        </w:rPr>
        <w:t>będzie</w:t>
      </w:r>
      <w:r w:rsidR="003B50ED" w:rsidRPr="00F16251">
        <w:rPr>
          <w:rFonts w:eastAsia="Calibri" w:cstheme="minorHAnsi"/>
          <w:kern w:val="0"/>
          <w14:ligatures w14:val="none"/>
        </w:rPr>
        <w:t xml:space="preserve"> </w:t>
      </w:r>
      <w:r w:rsidRPr="00F16251">
        <w:rPr>
          <w:rFonts w:eastAsia="Calibri" w:cstheme="minorHAnsi"/>
          <w:kern w:val="0"/>
          <w14:ligatures w14:val="none"/>
        </w:rPr>
        <w:t>EFRROW.</w:t>
      </w:r>
      <w:r w:rsidR="003B50ED" w:rsidRPr="00F16251">
        <w:rPr>
          <w:rFonts w:eastAsia="Calibri" w:cstheme="minorHAnsi"/>
          <w:kern w:val="0"/>
          <w14:ligatures w14:val="none"/>
        </w:rPr>
        <w:t xml:space="preserve"> </w:t>
      </w:r>
      <w:r w:rsidRPr="00F16251">
        <w:rPr>
          <w:rFonts w:eastAsia="Calibri" w:cstheme="minorHAnsi"/>
          <w:kern w:val="0"/>
          <w14:ligatures w14:val="none"/>
        </w:rPr>
        <w:t>Wnioskodawcami</w:t>
      </w:r>
      <w:r w:rsidR="003B50ED" w:rsidRPr="00F16251">
        <w:rPr>
          <w:rFonts w:eastAsia="Calibri" w:cstheme="minorHAnsi"/>
          <w:kern w:val="0"/>
          <w14:ligatures w14:val="none"/>
        </w:rPr>
        <w:t xml:space="preserve"> </w:t>
      </w:r>
      <w:r w:rsidRPr="00F16251">
        <w:rPr>
          <w:rFonts w:eastAsia="Calibri" w:cstheme="minorHAnsi"/>
          <w:kern w:val="0"/>
          <w14:ligatures w14:val="none"/>
        </w:rPr>
        <w:t>będą</w:t>
      </w:r>
      <w:r w:rsidR="003B50ED" w:rsidRPr="00F16251">
        <w:rPr>
          <w:rFonts w:eastAsia="Calibri" w:cstheme="minorHAnsi"/>
          <w:kern w:val="0"/>
          <w14:ligatures w14:val="none"/>
        </w:rPr>
        <w:t xml:space="preserve"> </w:t>
      </w:r>
      <w:r w:rsidRPr="00F16251">
        <w:rPr>
          <w:rFonts w:eastAsia="Calibri" w:cstheme="minorHAnsi"/>
          <w:kern w:val="0"/>
          <w14:ligatures w14:val="none"/>
        </w:rPr>
        <w:t>samorządy,</w:t>
      </w:r>
      <w:r w:rsidR="003B50ED" w:rsidRPr="00F16251">
        <w:rPr>
          <w:rFonts w:eastAsia="Calibri" w:cstheme="minorHAnsi"/>
          <w:kern w:val="0"/>
          <w14:ligatures w14:val="none"/>
        </w:rPr>
        <w:t xml:space="preserve"> </w:t>
      </w:r>
      <w:r w:rsidRPr="00F16251">
        <w:rPr>
          <w:rFonts w:eastAsia="Calibri" w:cstheme="minorHAnsi"/>
          <w:kern w:val="0"/>
          <w14:ligatures w14:val="none"/>
        </w:rPr>
        <w:t>organizacje</w:t>
      </w:r>
      <w:r w:rsidR="003B50ED" w:rsidRPr="00F16251">
        <w:rPr>
          <w:rFonts w:eastAsia="Calibri" w:cstheme="minorHAnsi"/>
          <w:kern w:val="0"/>
          <w14:ligatures w14:val="none"/>
        </w:rPr>
        <w:t xml:space="preserve"> </w:t>
      </w:r>
      <w:r w:rsidRPr="00F16251">
        <w:rPr>
          <w:rFonts w:eastAsia="Calibri" w:cstheme="minorHAnsi"/>
          <w:kern w:val="0"/>
          <w14:ligatures w14:val="none"/>
        </w:rPr>
        <w:t>pozarządowe,</w:t>
      </w:r>
      <w:r w:rsidR="003B50ED" w:rsidRPr="00F16251">
        <w:rPr>
          <w:rFonts w:eastAsia="Calibri" w:cstheme="minorHAnsi"/>
          <w:kern w:val="0"/>
          <w14:ligatures w14:val="none"/>
        </w:rPr>
        <w:t xml:space="preserve"> </w:t>
      </w:r>
      <w:r w:rsidRPr="00F16251">
        <w:rPr>
          <w:rFonts w:eastAsia="Calibri" w:cstheme="minorHAnsi"/>
          <w:kern w:val="0"/>
          <w14:ligatures w14:val="none"/>
        </w:rPr>
        <w:t>kościoły</w:t>
      </w:r>
      <w:r w:rsidR="003B50ED" w:rsidRPr="00F16251">
        <w:rPr>
          <w:rFonts w:eastAsia="Calibri" w:cstheme="minorHAnsi"/>
          <w:kern w:val="0"/>
          <w14:ligatures w14:val="none"/>
        </w:rPr>
        <w:t xml:space="preserve"> </w:t>
      </w:r>
      <w:r w:rsidRPr="00F16251">
        <w:rPr>
          <w:rFonts w:eastAsia="Calibri" w:cstheme="minorHAnsi"/>
          <w:kern w:val="0"/>
          <w14:ligatures w14:val="none"/>
        </w:rPr>
        <w:t>i</w:t>
      </w:r>
      <w:r w:rsidR="003B50ED" w:rsidRPr="00F16251">
        <w:rPr>
          <w:rFonts w:eastAsia="Calibri" w:cstheme="minorHAnsi"/>
          <w:kern w:val="0"/>
          <w14:ligatures w14:val="none"/>
        </w:rPr>
        <w:t xml:space="preserve"> </w:t>
      </w:r>
      <w:r w:rsidRPr="00F16251">
        <w:rPr>
          <w:rFonts w:eastAsia="Calibri" w:cstheme="minorHAnsi"/>
          <w:kern w:val="0"/>
          <w14:ligatures w14:val="none"/>
        </w:rPr>
        <w:t>związku</w:t>
      </w:r>
      <w:r w:rsidR="003B50ED" w:rsidRPr="00F16251">
        <w:rPr>
          <w:rFonts w:eastAsia="Calibri" w:cstheme="minorHAnsi"/>
          <w:kern w:val="0"/>
          <w14:ligatures w14:val="none"/>
        </w:rPr>
        <w:t xml:space="preserve"> </w:t>
      </w:r>
      <w:r w:rsidRPr="00F16251">
        <w:rPr>
          <w:rFonts w:eastAsia="Calibri" w:cstheme="minorHAnsi"/>
          <w:kern w:val="0"/>
          <w14:ligatures w14:val="none"/>
        </w:rPr>
        <w:t>wyznaniowe.</w:t>
      </w:r>
      <w:r w:rsidR="003B50ED" w:rsidRPr="00F16251">
        <w:rPr>
          <w:rFonts w:eastAsia="Calibri" w:cstheme="minorHAnsi"/>
          <w:kern w:val="0"/>
          <w14:ligatures w14:val="none"/>
        </w:rPr>
        <w:t xml:space="preserve"> </w:t>
      </w:r>
      <w:r w:rsidRPr="00F16251">
        <w:rPr>
          <w:rFonts w:eastAsia="Calibri" w:cstheme="minorHAnsi"/>
          <w:kern w:val="0"/>
          <w14:ligatures w14:val="none"/>
        </w:rPr>
        <w:t>Grupy</w:t>
      </w:r>
      <w:r w:rsidR="003B50ED" w:rsidRPr="00F16251">
        <w:rPr>
          <w:rFonts w:eastAsia="Calibri" w:cstheme="minorHAnsi"/>
          <w:kern w:val="0"/>
          <w14:ligatures w14:val="none"/>
        </w:rPr>
        <w:t xml:space="preserve"> </w:t>
      </w:r>
      <w:r w:rsidRPr="00F16251">
        <w:rPr>
          <w:rFonts w:eastAsia="Calibri" w:cstheme="minorHAnsi"/>
          <w:kern w:val="0"/>
          <w14:ligatures w14:val="none"/>
        </w:rPr>
        <w:t>docelowe:</w:t>
      </w:r>
      <w:r w:rsidR="003B50ED" w:rsidRPr="00F16251">
        <w:rPr>
          <w:rFonts w:eastAsia="Calibri" w:cstheme="minorHAnsi"/>
          <w:kern w:val="0"/>
          <w14:ligatures w14:val="none"/>
        </w:rPr>
        <w:t xml:space="preserve"> </w:t>
      </w:r>
      <w:r w:rsidRPr="00F16251">
        <w:rPr>
          <w:rFonts w:eastAsia="Calibri" w:cstheme="minorHAnsi"/>
          <w:kern w:val="0"/>
          <w14:ligatures w14:val="none"/>
        </w:rPr>
        <w:t>mieszkańcy,</w:t>
      </w:r>
      <w:r w:rsidR="003B50ED" w:rsidRPr="00F16251">
        <w:rPr>
          <w:rFonts w:eastAsia="Calibri" w:cstheme="minorHAnsi"/>
          <w:kern w:val="0"/>
          <w14:ligatures w14:val="none"/>
        </w:rPr>
        <w:t xml:space="preserve"> </w:t>
      </w:r>
      <w:r w:rsidRPr="00F16251">
        <w:rPr>
          <w:rFonts w:eastAsia="Calibri" w:cstheme="minorHAnsi"/>
          <w:kern w:val="0"/>
          <w14:ligatures w14:val="none"/>
        </w:rPr>
        <w:t>organizacje</w:t>
      </w:r>
      <w:r w:rsidR="003B50ED" w:rsidRPr="00F16251">
        <w:rPr>
          <w:rFonts w:eastAsia="Calibri" w:cstheme="minorHAnsi"/>
          <w:kern w:val="0"/>
          <w14:ligatures w14:val="none"/>
        </w:rPr>
        <w:t xml:space="preserve"> </w:t>
      </w:r>
      <w:r w:rsidRPr="00F16251">
        <w:rPr>
          <w:rFonts w:eastAsia="Calibri" w:cstheme="minorHAnsi"/>
          <w:kern w:val="0"/>
          <w14:ligatures w14:val="none"/>
        </w:rPr>
        <w:t>pozarządowe,</w:t>
      </w:r>
      <w:r w:rsidR="003B50ED" w:rsidRPr="00F16251">
        <w:rPr>
          <w:rFonts w:eastAsia="Calibri" w:cstheme="minorHAnsi"/>
          <w:kern w:val="0"/>
          <w14:ligatures w14:val="none"/>
        </w:rPr>
        <w:t xml:space="preserve"> </w:t>
      </w:r>
      <w:r w:rsidRPr="00F16251">
        <w:rPr>
          <w:rFonts w:eastAsia="Calibri" w:cstheme="minorHAnsi"/>
          <w:kern w:val="0"/>
          <w14:ligatures w14:val="none"/>
        </w:rPr>
        <w:t>jednostki</w:t>
      </w:r>
      <w:r w:rsidR="003B50ED" w:rsidRPr="00F16251">
        <w:rPr>
          <w:rFonts w:eastAsia="Calibri" w:cstheme="minorHAnsi"/>
          <w:kern w:val="0"/>
          <w14:ligatures w14:val="none"/>
        </w:rPr>
        <w:t xml:space="preserve"> </w:t>
      </w:r>
      <w:r w:rsidRPr="00F16251">
        <w:rPr>
          <w:rFonts w:eastAsia="Calibri" w:cstheme="minorHAnsi"/>
          <w:kern w:val="0"/>
          <w14:ligatures w14:val="none"/>
        </w:rPr>
        <w:t>samorządu</w:t>
      </w:r>
      <w:r w:rsidR="003B50ED" w:rsidRPr="00F16251">
        <w:rPr>
          <w:rFonts w:eastAsia="Calibri" w:cstheme="minorHAnsi"/>
          <w:kern w:val="0"/>
          <w14:ligatures w14:val="none"/>
        </w:rPr>
        <w:t xml:space="preserve"> </w:t>
      </w:r>
      <w:r w:rsidRPr="00F16251">
        <w:rPr>
          <w:rFonts w:eastAsia="Calibri" w:cstheme="minorHAnsi"/>
          <w:kern w:val="0"/>
          <w14:ligatures w14:val="none"/>
        </w:rPr>
        <w:t>terytorialnego,</w:t>
      </w:r>
      <w:r w:rsidR="003B50ED" w:rsidRPr="00F16251">
        <w:rPr>
          <w:rFonts w:eastAsia="Calibri" w:cstheme="minorHAnsi"/>
          <w:kern w:val="0"/>
          <w14:ligatures w14:val="none"/>
        </w:rPr>
        <w:t xml:space="preserve"> </w:t>
      </w:r>
      <w:r w:rsidRPr="00F16251">
        <w:rPr>
          <w:rFonts w:eastAsia="Calibri" w:cstheme="minorHAnsi"/>
          <w:kern w:val="0"/>
          <w14:ligatures w14:val="none"/>
        </w:rPr>
        <w:t>parafie.</w:t>
      </w:r>
    </w:p>
    <w:p w14:paraId="46586BC4" w14:textId="4EE0E2CD" w:rsidR="002C63F4" w:rsidRPr="00F16251" w:rsidRDefault="002C63F4" w:rsidP="00A26C26">
      <w:pPr>
        <w:autoSpaceDE w:val="0"/>
        <w:autoSpaceDN w:val="0"/>
        <w:adjustRightInd w:val="0"/>
        <w:spacing w:line="276" w:lineRule="auto"/>
        <w:jc w:val="both"/>
        <w:rPr>
          <w:rFonts w:eastAsia="Calibri" w:cstheme="minorHAnsi"/>
          <w:b/>
          <w:bCs/>
          <w:color w:val="000000"/>
          <w:kern w:val="0"/>
          <w14:ligatures w14:val="none"/>
        </w:rPr>
      </w:pPr>
      <w:r w:rsidRPr="00F16251">
        <w:rPr>
          <w:rFonts w:eastAsia="Calibri" w:cstheme="minorHAnsi"/>
          <w:b/>
          <w:bCs/>
          <w:color w:val="000000"/>
          <w:kern w:val="0"/>
          <w14:ligatures w14:val="none"/>
        </w:rPr>
        <w:t>Wskaźnik</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PRODUKTU:</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Liczba</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zabytków</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poddanych</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pracom</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konserwatorskim</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lub</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restauratorskim’</w:t>
      </w:r>
    </w:p>
    <w:p w14:paraId="492B2A66" w14:textId="39F02E84" w:rsidR="002C63F4" w:rsidRPr="00F16251" w:rsidRDefault="002C63F4" w:rsidP="00A26C26">
      <w:pPr>
        <w:autoSpaceDE w:val="0"/>
        <w:autoSpaceDN w:val="0"/>
        <w:adjustRightInd w:val="0"/>
        <w:spacing w:line="276" w:lineRule="auto"/>
        <w:jc w:val="both"/>
        <w:rPr>
          <w:rFonts w:eastAsia="Calibri" w:cstheme="minorHAnsi"/>
          <w:b/>
          <w:bCs/>
          <w:color w:val="000000"/>
          <w:kern w:val="0"/>
          <w14:ligatures w14:val="none"/>
        </w:rPr>
      </w:pPr>
      <w:r w:rsidRPr="00F16251">
        <w:rPr>
          <w:rFonts w:eastAsia="Calibri" w:cstheme="minorHAnsi"/>
          <w:b/>
          <w:bCs/>
          <w:color w:val="000000"/>
          <w:kern w:val="0"/>
          <w14:ligatures w14:val="none"/>
        </w:rPr>
        <w:t>Wskaźnik</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PRODUKTU:</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Liczba</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zrealizowanych</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operacji</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obejmujących</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wyposażenie</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mające</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na</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celu</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szerzenie</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lokalnej</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kultury</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i</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dziedzictwa</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lokalnego</w:t>
      </w:r>
    </w:p>
    <w:p w14:paraId="18066FFC" w14:textId="65205C68" w:rsidR="002C63F4" w:rsidRPr="00F16251" w:rsidRDefault="002C63F4" w:rsidP="00A26C26">
      <w:pPr>
        <w:spacing w:line="276" w:lineRule="auto"/>
        <w:jc w:val="both"/>
        <w:rPr>
          <w:rFonts w:eastAsia="Calibri" w:cstheme="minorHAnsi"/>
          <w:b/>
          <w:bCs/>
          <w:kern w:val="0"/>
          <w14:ligatures w14:val="none"/>
        </w:rPr>
      </w:pPr>
      <w:r w:rsidRPr="00F16251">
        <w:rPr>
          <w:rFonts w:eastAsia="Calibri" w:cstheme="minorHAnsi"/>
          <w:b/>
          <w:bCs/>
          <w:kern w:val="0"/>
          <w14:ligatures w14:val="none"/>
        </w:rPr>
        <w:t>Ad.</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4.</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Przedsięwzięcie</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1.4.</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Aktywizacja</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i</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włączenie</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społeczne</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lokalnej</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społeczności,</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w</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tym</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seniorów,</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ludzi</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młodych</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lub</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osób</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w</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niekorzystnej</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sytuacji:</w:t>
      </w:r>
    </w:p>
    <w:p w14:paraId="4A02E3B9" w14:textId="5F772774" w:rsidR="002C63F4" w:rsidRPr="00F16251" w:rsidRDefault="002C63F4" w:rsidP="00A26C26">
      <w:pPr>
        <w:spacing w:line="276" w:lineRule="auto"/>
        <w:jc w:val="both"/>
        <w:rPr>
          <w:rFonts w:eastAsia="Calibri" w:cstheme="minorHAnsi"/>
          <w:kern w:val="0"/>
          <w14:ligatures w14:val="none"/>
        </w:rPr>
      </w:pPr>
      <w:r w:rsidRPr="00F16251">
        <w:rPr>
          <w:rFonts w:eastAsia="Calibri" w:cstheme="minorHAnsi"/>
          <w:bCs/>
          <w:kern w:val="0"/>
          <w14:ligatures w14:val="none"/>
        </w:rPr>
        <w:t>Cel</w:t>
      </w:r>
      <w:r w:rsidR="003B50ED" w:rsidRPr="00F16251">
        <w:rPr>
          <w:rFonts w:eastAsia="Calibri" w:cstheme="minorHAnsi"/>
          <w:bCs/>
          <w:kern w:val="0"/>
          <w14:ligatures w14:val="none"/>
        </w:rPr>
        <w:t xml:space="preserve"> </w:t>
      </w:r>
      <w:r w:rsidRPr="00F16251">
        <w:rPr>
          <w:rFonts w:eastAsia="Calibri" w:cstheme="minorHAnsi"/>
          <w:bCs/>
          <w:kern w:val="0"/>
          <w14:ligatures w14:val="none"/>
        </w:rPr>
        <w:t>wpłynie</w:t>
      </w:r>
      <w:r w:rsidR="003B50ED" w:rsidRPr="00F16251">
        <w:rPr>
          <w:rFonts w:eastAsia="Calibri" w:cstheme="minorHAnsi"/>
          <w:bCs/>
          <w:kern w:val="0"/>
          <w14:ligatures w14:val="none"/>
        </w:rPr>
        <w:t xml:space="preserve"> </w:t>
      </w:r>
      <w:r w:rsidRPr="00F16251">
        <w:rPr>
          <w:rFonts w:eastAsia="Calibri" w:cstheme="minorHAnsi"/>
          <w:bCs/>
          <w:kern w:val="0"/>
          <w14:ligatures w14:val="none"/>
        </w:rPr>
        <w:t>na</w:t>
      </w:r>
      <w:r w:rsidR="003B50ED" w:rsidRPr="00F16251">
        <w:rPr>
          <w:rFonts w:eastAsia="Calibri" w:cstheme="minorHAnsi"/>
          <w:bCs/>
          <w:kern w:val="0"/>
          <w14:ligatures w14:val="none"/>
        </w:rPr>
        <w:t xml:space="preserve"> </w:t>
      </w:r>
      <w:r w:rsidRPr="00F16251">
        <w:rPr>
          <w:rFonts w:eastAsia="Calibri" w:cstheme="minorHAnsi"/>
          <w:bCs/>
          <w:kern w:val="0"/>
          <w14:ligatures w14:val="none"/>
        </w:rPr>
        <w:t>wzrost</w:t>
      </w:r>
      <w:r w:rsidR="003B50ED" w:rsidRPr="00F16251">
        <w:rPr>
          <w:rFonts w:eastAsia="Calibri" w:cstheme="minorHAnsi"/>
          <w:bCs/>
          <w:kern w:val="0"/>
          <w14:ligatures w14:val="none"/>
        </w:rPr>
        <w:t xml:space="preserve"> </w:t>
      </w:r>
      <w:r w:rsidRPr="00F16251">
        <w:rPr>
          <w:rFonts w:eastAsia="Calibri" w:cstheme="minorHAnsi"/>
          <w:bCs/>
          <w:kern w:val="0"/>
          <w14:ligatures w14:val="none"/>
        </w:rPr>
        <w:t>świadomości</w:t>
      </w:r>
      <w:r w:rsidR="003B50ED" w:rsidRPr="00F16251">
        <w:rPr>
          <w:rFonts w:eastAsia="Calibri" w:cstheme="minorHAnsi"/>
          <w:bCs/>
          <w:kern w:val="0"/>
          <w14:ligatures w14:val="none"/>
        </w:rPr>
        <w:t xml:space="preserve"> </w:t>
      </w:r>
      <w:r w:rsidRPr="00F16251">
        <w:rPr>
          <w:rFonts w:eastAsia="Calibri" w:cstheme="minorHAnsi"/>
          <w:bCs/>
          <w:kern w:val="0"/>
          <w14:ligatures w14:val="none"/>
        </w:rPr>
        <w:t>mieszkańców</w:t>
      </w:r>
      <w:r w:rsidR="003B50ED" w:rsidRPr="00F16251">
        <w:rPr>
          <w:rFonts w:eastAsia="Calibri" w:cstheme="minorHAnsi"/>
          <w:bCs/>
          <w:kern w:val="0"/>
          <w14:ligatures w14:val="none"/>
        </w:rPr>
        <w:t xml:space="preserve"> </w:t>
      </w:r>
      <w:r w:rsidRPr="00F16251">
        <w:rPr>
          <w:rFonts w:eastAsia="Calibri" w:cstheme="minorHAnsi"/>
          <w:bCs/>
          <w:kern w:val="0"/>
          <w14:ligatures w14:val="none"/>
        </w:rPr>
        <w:t>w</w:t>
      </w:r>
      <w:r w:rsidR="003B50ED" w:rsidRPr="00F16251">
        <w:rPr>
          <w:rFonts w:eastAsia="Calibri" w:cstheme="minorHAnsi"/>
          <w:bCs/>
          <w:kern w:val="0"/>
          <w14:ligatures w14:val="none"/>
        </w:rPr>
        <w:t xml:space="preserve"> </w:t>
      </w:r>
      <w:r w:rsidRPr="00F16251">
        <w:rPr>
          <w:rFonts w:eastAsia="Calibri" w:cstheme="minorHAnsi"/>
          <w:bCs/>
          <w:kern w:val="0"/>
          <w14:ligatures w14:val="none"/>
        </w:rPr>
        <w:t>wymiarze</w:t>
      </w:r>
      <w:r w:rsidR="003B50ED" w:rsidRPr="00F16251">
        <w:rPr>
          <w:rFonts w:eastAsia="Calibri" w:cstheme="minorHAnsi"/>
          <w:bCs/>
          <w:kern w:val="0"/>
          <w14:ligatures w14:val="none"/>
        </w:rPr>
        <w:t xml:space="preserve"> </w:t>
      </w:r>
      <w:r w:rsidRPr="00F16251">
        <w:rPr>
          <w:rFonts w:eastAsia="Calibri" w:cstheme="minorHAnsi"/>
          <w:bCs/>
          <w:kern w:val="0"/>
          <w14:ligatures w14:val="none"/>
        </w:rPr>
        <w:t>społecznym</w:t>
      </w:r>
      <w:r w:rsidR="003B50ED" w:rsidRPr="00F16251">
        <w:rPr>
          <w:rFonts w:eastAsia="Calibri" w:cstheme="minorHAnsi"/>
          <w:bCs/>
          <w:kern w:val="0"/>
          <w14:ligatures w14:val="none"/>
        </w:rPr>
        <w:t xml:space="preserve"> </w:t>
      </w:r>
      <w:r w:rsidRPr="00F16251">
        <w:rPr>
          <w:rFonts w:eastAsia="Calibri" w:cstheme="minorHAnsi"/>
          <w:bCs/>
          <w:kern w:val="0"/>
          <w14:ligatures w14:val="none"/>
        </w:rPr>
        <w:t>i</w:t>
      </w:r>
      <w:r w:rsidR="003B50ED" w:rsidRPr="00F16251">
        <w:rPr>
          <w:rFonts w:eastAsia="Calibri" w:cstheme="minorHAnsi"/>
          <w:bCs/>
          <w:kern w:val="0"/>
          <w14:ligatures w14:val="none"/>
        </w:rPr>
        <w:t xml:space="preserve"> </w:t>
      </w:r>
      <w:r w:rsidRPr="00F16251">
        <w:rPr>
          <w:rFonts w:eastAsia="Calibri" w:cstheme="minorHAnsi"/>
          <w:bCs/>
          <w:kern w:val="0"/>
          <w14:ligatures w14:val="none"/>
        </w:rPr>
        <w:t>obywatelskim</w:t>
      </w:r>
      <w:r w:rsidR="003B50ED" w:rsidRPr="00F16251">
        <w:rPr>
          <w:rFonts w:eastAsia="Calibri" w:cstheme="minorHAnsi"/>
          <w:bCs/>
          <w:kern w:val="0"/>
          <w14:ligatures w14:val="none"/>
        </w:rPr>
        <w:t xml:space="preserve"> </w:t>
      </w:r>
      <w:r w:rsidRPr="00F16251">
        <w:rPr>
          <w:rFonts w:eastAsia="Calibri" w:cstheme="minorHAnsi"/>
          <w:bCs/>
          <w:kern w:val="0"/>
          <w14:ligatures w14:val="none"/>
        </w:rPr>
        <w:t>oraz</w:t>
      </w:r>
      <w:r w:rsidR="003B50ED" w:rsidRPr="00F16251">
        <w:rPr>
          <w:rFonts w:eastAsia="Calibri" w:cstheme="minorHAnsi"/>
          <w:bCs/>
          <w:kern w:val="0"/>
          <w14:ligatures w14:val="none"/>
        </w:rPr>
        <w:t xml:space="preserve"> </w:t>
      </w:r>
      <w:r w:rsidRPr="00F16251">
        <w:rPr>
          <w:rFonts w:eastAsia="Calibri" w:cstheme="minorHAnsi"/>
          <w:bCs/>
          <w:kern w:val="0"/>
          <w14:ligatures w14:val="none"/>
        </w:rPr>
        <w:t>ograniczenie</w:t>
      </w:r>
      <w:r w:rsidR="003B50ED" w:rsidRPr="00F16251">
        <w:rPr>
          <w:rFonts w:eastAsia="Calibri" w:cstheme="minorHAnsi"/>
          <w:bCs/>
          <w:kern w:val="0"/>
          <w14:ligatures w14:val="none"/>
        </w:rPr>
        <w:t xml:space="preserve"> </w:t>
      </w:r>
      <w:proofErr w:type="spellStart"/>
      <w:r w:rsidRPr="00F16251">
        <w:rPr>
          <w:rFonts w:eastAsia="Calibri" w:cstheme="minorHAnsi"/>
          <w:bCs/>
          <w:kern w:val="0"/>
          <w14:ligatures w14:val="none"/>
        </w:rPr>
        <w:t>wykluczeń</w:t>
      </w:r>
      <w:proofErr w:type="spellEnd"/>
      <w:r w:rsidRPr="00F16251">
        <w:rPr>
          <w:rFonts w:eastAsia="Calibri" w:cstheme="minorHAnsi"/>
          <w:bCs/>
          <w:kern w:val="0"/>
          <w14:ligatures w14:val="none"/>
        </w:rPr>
        <w:t>.</w:t>
      </w:r>
      <w:r w:rsidR="003B50ED" w:rsidRPr="00F16251">
        <w:rPr>
          <w:rFonts w:eastAsia="Calibri" w:cstheme="minorHAnsi"/>
          <w:bCs/>
          <w:kern w:val="0"/>
          <w14:ligatures w14:val="none"/>
        </w:rPr>
        <w:t xml:space="preserve"> </w:t>
      </w:r>
      <w:r w:rsidRPr="00F16251">
        <w:rPr>
          <w:rFonts w:eastAsia="Calibri" w:cstheme="minorHAnsi"/>
          <w:kern w:val="0"/>
          <w14:ligatures w14:val="none"/>
        </w:rPr>
        <w:t>Szczególna</w:t>
      </w:r>
      <w:r w:rsidR="003B50ED" w:rsidRPr="00F16251">
        <w:rPr>
          <w:rFonts w:eastAsia="Calibri" w:cstheme="minorHAnsi"/>
          <w:kern w:val="0"/>
          <w14:ligatures w14:val="none"/>
        </w:rPr>
        <w:t xml:space="preserve"> </w:t>
      </w:r>
      <w:r w:rsidRPr="00F16251">
        <w:rPr>
          <w:rFonts w:eastAsia="Calibri" w:cstheme="minorHAnsi"/>
          <w:kern w:val="0"/>
          <w14:ligatures w14:val="none"/>
        </w:rPr>
        <w:t>uwaga</w:t>
      </w:r>
      <w:r w:rsidR="003B50ED" w:rsidRPr="00F16251">
        <w:rPr>
          <w:rFonts w:eastAsia="Calibri" w:cstheme="minorHAnsi"/>
          <w:kern w:val="0"/>
          <w14:ligatures w14:val="none"/>
        </w:rPr>
        <w:t xml:space="preserve"> </w:t>
      </w:r>
      <w:r w:rsidRPr="00F16251">
        <w:rPr>
          <w:rFonts w:eastAsia="Calibri" w:cstheme="minorHAnsi"/>
          <w:kern w:val="0"/>
          <w14:ligatures w14:val="none"/>
        </w:rPr>
        <w:t>zostanie</w:t>
      </w:r>
      <w:r w:rsidR="003B50ED" w:rsidRPr="00F16251">
        <w:rPr>
          <w:rFonts w:eastAsia="Calibri" w:cstheme="minorHAnsi"/>
          <w:kern w:val="0"/>
          <w14:ligatures w14:val="none"/>
        </w:rPr>
        <w:t xml:space="preserve"> </w:t>
      </w:r>
      <w:r w:rsidRPr="00F16251">
        <w:rPr>
          <w:rFonts w:eastAsia="Calibri" w:cstheme="minorHAnsi"/>
          <w:kern w:val="0"/>
          <w14:ligatures w14:val="none"/>
        </w:rPr>
        <w:t>zwrócona</w:t>
      </w:r>
      <w:r w:rsidR="003B50ED" w:rsidRPr="00F16251">
        <w:rPr>
          <w:rFonts w:eastAsia="Calibri" w:cstheme="minorHAnsi"/>
          <w:kern w:val="0"/>
          <w14:ligatures w14:val="none"/>
        </w:rPr>
        <w:t xml:space="preserve"> </w:t>
      </w:r>
      <w:r w:rsidRPr="00F16251">
        <w:rPr>
          <w:rFonts w:eastAsia="Calibri" w:cstheme="minorHAnsi"/>
          <w:kern w:val="0"/>
          <w14:ligatures w14:val="none"/>
        </w:rPr>
        <w:t>na</w:t>
      </w:r>
      <w:r w:rsidR="003B50ED" w:rsidRPr="00F16251">
        <w:rPr>
          <w:rFonts w:eastAsia="Calibri" w:cstheme="minorHAnsi"/>
          <w:kern w:val="0"/>
          <w14:ligatures w14:val="none"/>
        </w:rPr>
        <w:t xml:space="preserve"> </w:t>
      </w:r>
      <w:r w:rsidRPr="00F16251">
        <w:rPr>
          <w:rFonts w:eastAsia="Calibri" w:cstheme="minorHAnsi"/>
          <w:kern w:val="0"/>
          <w14:ligatures w14:val="none"/>
        </w:rPr>
        <w:t>aktywizację</w:t>
      </w:r>
      <w:r w:rsidR="003B50ED" w:rsidRPr="00F16251">
        <w:rPr>
          <w:rFonts w:eastAsia="Calibri" w:cstheme="minorHAnsi"/>
          <w:kern w:val="0"/>
          <w14:ligatures w14:val="none"/>
        </w:rPr>
        <w:t xml:space="preserve"> </w:t>
      </w:r>
      <w:r w:rsidRPr="00F16251">
        <w:rPr>
          <w:rFonts w:eastAsia="Calibri" w:cstheme="minorHAnsi"/>
          <w:kern w:val="0"/>
          <w14:ligatures w14:val="none"/>
        </w:rPr>
        <w:t>i</w:t>
      </w:r>
      <w:r w:rsidR="003B50ED" w:rsidRPr="00F16251">
        <w:rPr>
          <w:rFonts w:eastAsia="Calibri" w:cstheme="minorHAnsi"/>
          <w:kern w:val="0"/>
          <w14:ligatures w14:val="none"/>
        </w:rPr>
        <w:t xml:space="preserve"> </w:t>
      </w:r>
      <w:r w:rsidRPr="00F16251">
        <w:rPr>
          <w:rFonts w:eastAsia="Calibri" w:cstheme="minorHAnsi"/>
          <w:kern w:val="0"/>
          <w14:ligatures w14:val="none"/>
        </w:rPr>
        <w:t>edukację</w:t>
      </w:r>
      <w:r w:rsidR="003B50ED" w:rsidRPr="00F16251">
        <w:rPr>
          <w:rFonts w:eastAsia="Calibri" w:cstheme="minorHAnsi"/>
          <w:kern w:val="0"/>
          <w14:ligatures w14:val="none"/>
        </w:rPr>
        <w:t xml:space="preserve"> </w:t>
      </w:r>
      <w:r w:rsidRPr="00F16251">
        <w:rPr>
          <w:rFonts w:eastAsia="Calibri" w:cstheme="minorHAnsi"/>
          <w:kern w:val="0"/>
          <w14:ligatures w14:val="none"/>
        </w:rPr>
        <w:t>seniorów</w:t>
      </w:r>
      <w:r w:rsidR="003B50ED" w:rsidRPr="00F16251">
        <w:rPr>
          <w:rFonts w:eastAsia="Calibri" w:cstheme="minorHAnsi"/>
          <w:kern w:val="0"/>
          <w14:ligatures w14:val="none"/>
        </w:rPr>
        <w:t xml:space="preserve"> </w:t>
      </w:r>
      <w:r w:rsidRPr="00F16251">
        <w:rPr>
          <w:rFonts w:eastAsia="Calibri" w:cstheme="minorHAnsi"/>
          <w:kern w:val="0"/>
          <w14:ligatures w14:val="none"/>
        </w:rPr>
        <w:t>oraz</w:t>
      </w:r>
      <w:r w:rsidR="003B50ED" w:rsidRPr="00F16251">
        <w:rPr>
          <w:rFonts w:eastAsia="Calibri" w:cstheme="minorHAnsi"/>
          <w:kern w:val="0"/>
          <w14:ligatures w14:val="none"/>
        </w:rPr>
        <w:t xml:space="preserve"> </w:t>
      </w:r>
      <w:r w:rsidRPr="00F16251">
        <w:rPr>
          <w:rFonts w:eastAsia="Calibri" w:cstheme="minorHAnsi"/>
          <w:kern w:val="0"/>
          <w14:ligatures w14:val="none"/>
        </w:rPr>
        <w:t>ludzi</w:t>
      </w:r>
      <w:r w:rsidR="003B50ED" w:rsidRPr="00F16251">
        <w:rPr>
          <w:rFonts w:eastAsia="Calibri" w:cstheme="minorHAnsi"/>
          <w:kern w:val="0"/>
          <w14:ligatures w14:val="none"/>
        </w:rPr>
        <w:t xml:space="preserve"> </w:t>
      </w:r>
      <w:r w:rsidRPr="00F16251">
        <w:rPr>
          <w:rFonts w:eastAsia="Calibri" w:cstheme="minorHAnsi"/>
          <w:kern w:val="0"/>
          <w14:ligatures w14:val="none"/>
        </w:rPr>
        <w:t>młodych.</w:t>
      </w:r>
      <w:r w:rsidR="003B50ED" w:rsidRPr="00F16251">
        <w:rPr>
          <w:rFonts w:eastAsia="Calibri" w:cstheme="minorHAnsi"/>
          <w:kern w:val="0"/>
          <w14:ligatures w14:val="none"/>
        </w:rPr>
        <w:t xml:space="preserve"> </w:t>
      </w:r>
      <w:r w:rsidRPr="00F16251">
        <w:rPr>
          <w:rFonts w:eastAsia="Calibri" w:cstheme="minorHAnsi"/>
          <w:kern w:val="0"/>
          <w14:ligatures w14:val="none"/>
        </w:rPr>
        <w:t>Kluczowe</w:t>
      </w:r>
      <w:r w:rsidR="003B50ED" w:rsidRPr="00F16251">
        <w:rPr>
          <w:rFonts w:eastAsia="Calibri" w:cstheme="minorHAnsi"/>
          <w:kern w:val="0"/>
          <w14:ligatures w14:val="none"/>
        </w:rPr>
        <w:t xml:space="preserve"> </w:t>
      </w:r>
      <w:r w:rsidRPr="00F16251">
        <w:rPr>
          <w:rFonts w:eastAsia="Calibri" w:cstheme="minorHAnsi"/>
          <w:kern w:val="0"/>
          <w14:ligatures w14:val="none"/>
        </w:rPr>
        <w:t>będzie</w:t>
      </w:r>
      <w:r w:rsidR="003B50ED" w:rsidRPr="00F16251">
        <w:rPr>
          <w:rFonts w:eastAsia="Calibri" w:cstheme="minorHAnsi"/>
          <w:kern w:val="0"/>
          <w14:ligatures w14:val="none"/>
        </w:rPr>
        <w:t xml:space="preserve"> </w:t>
      </w:r>
      <w:r w:rsidRPr="00F16251">
        <w:rPr>
          <w:rFonts w:eastAsia="Calibri" w:cstheme="minorHAnsi"/>
          <w:kern w:val="0"/>
          <w14:ligatures w14:val="none"/>
        </w:rPr>
        <w:t>również</w:t>
      </w:r>
      <w:r w:rsidR="003B50ED" w:rsidRPr="00F16251">
        <w:rPr>
          <w:rFonts w:eastAsia="Calibri" w:cstheme="minorHAnsi"/>
          <w:kern w:val="0"/>
          <w14:ligatures w14:val="none"/>
        </w:rPr>
        <w:t xml:space="preserve"> </w:t>
      </w:r>
      <w:r w:rsidRPr="00F16251">
        <w:rPr>
          <w:rFonts w:eastAsia="Calibri" w:cstheme="minorHAnsi"/>
          <w:kern w:val="0"/>
          <w14:ligatures w14:val="none"/>
        </w:rPr>
        <w:t>włączenie</w:t>
      </w:r>
      <w:r w:rsidR="003B50ED" w:rsidRPr="00F16251">
        <w:rPr>
          <w:rFonts w:eastAsia="Calibri" w:cstheme="minorHAnsi"/>
          <w:kern w:val="0"/>
          <w14:ligatures w14:val="none"/>
        </w:rPr>
        <w:t xml:space="preserve"> </w:t>
      </w:r>
      <w:r w:rsidRPr="00F16251">
        <w:rPr>
          <w:rFonts w:eastAsia="Calibri" w:cstheme="minorHAnsi"/>
          <w:kern w:val="0"/>
          <w14:ligatures w14:val="none"/>
        </w:rPr>
        <w:t>osób</w:t>
      </w:r>
      <w:r w:rsidR="003B50ED" w:rsidRPr="00F16251">
        <w:rPr>
          <w:rFonts w:eastAsia="Calibri" w:cstheme="minorHAnsi"/>
          <w:kern w:val="0"/>
          <w14:ligatures w14:val="none"/>
        </w:rPr>
        <w:t xml:space="preserve"> </w:t>
      </w:r>
      <w:r w:rsidRPr="00F16251">
        <w:rPr>
          <w:rFonts w:eastAsia="Calibri" w:cstheme="minorHAnsi"/>
          <w:kern w:val="0"/>
          <w14:ligatures w14:val="none"/>
        </w:rPr>
        <w:t>w</w:t>
      </w:r>
      <w:r w:rsidR="003B50ED" w:rsidRPr="00F16251">
        <w:rPr>
          <w:rFonts w:eastAsia="Calibri" w:cstheme="minorHAnsi"/>
          <w:kern w:val="0"/>
          <w14:ligatures w14:val="none"/>
        </w:rPr>
        <w:t xml:space="preserve"> </w:t>
      </w:r>
      <w:r w:rsidR="00AB742D" w:rsidRPr="00F16251">
        <w:rPr>
          <w:rFonts w:eastAsia="Calibri" w:cstheme="minorHAnsi"/>
          <w:kern w:val="0"/>
          <w14:ligatures w14:val="none"/>
        </w:rPr>
        <w:t>niekorzyst</w:t>
      </w:r>
      <w:r w:rsidRPr="00F16251">
        <w:rPr>
          <w:rFonts w:eastAsia="Calibri" w:cstheme="minorHAnsi"/>
          <w:kern w:val="0"/>
          <w14:ligatures w14:val="none"/>
        </w:rPr>
        <w:t>nej</w:t>
      </w:r>
      <w:r w:rsidR="003B50ED" w:rsidRPr="00F16251">
        <w:rPr>
          <w:rFonts w:eastAsia="Calibri" w:cstheme="minorHAnsi"/>
          <w:kern w:val="0"/>
          <w14:ligatures w14:val="none"/>
        </w:rPr>
        <w:t xml:space="preserve"> </w:t>
      </w:r>
      <w:r w:rsidRPr="00F16251">
        <w:rPr>
          <w:rFonts w:eastAsia="Calibri" w:cstheme="minorHAnsi"/>
          <w:kern w:val="0"/>
          <w14:ligatures w14:val="none"/>
        </w:rPr>
        <w:t>sytuacji.</w:t>
      </w:r>
      <w:r w:rsidR="003B50ED" w:rsidRPr="00F16251">
        <w:rPr>
          <w:rFonts w:eastAsia="Calibri" w:cstheme="minorHAnsi"/>
          <w:kern w:val="0"/>
          <w14:ligatures w14:val="none"/>
        </w:rPr>
        <w:t xml:space="preserve"> </w:t>
      </w:r>
      <w:r w:rsidRPr="00F16251">
        <w:rPr>
          <w:rFonts w:eastAsia="Calibri" w:cstheme="minorHAnsi"/>
          <w:kern w:val="0"/>
          <w14:ligatures w14:val="none"/>
        </w:rPr>
        <w:t>Ważnym</w:t>
      </w:r>
      <w:r w:rsidR="003B50ED" w:rsidRPr="00F16251">
        <w:rPr>
          <w:rFonts w:eastAsia="Calibri" w:cstheme="minorHAnsi"/>
          <w:kern w:val="0"/>
          <w14:ligatures w14:val="none"/>
        </w:rPr>
        <w:t xml:space="preserve"> </w:t>
      </w:r>
      <w:r w:rsidRPr="00F16251">
        <w:rPr>
          <w:rFonts w:eastAsia="Calibri" w:cstheme="minorHAnsi"/>
          <w:kern w:val="0"/>
          <w14:ligatures w14:val="none"/>
        </w:rPr>
        <w:t>założeniem</w:t>
      </w:r>
      <w:r w:rsidR="003B50ED" w:rsidRPr="00F16251">
        <w:rPr>
          <w:rFonts w:eastAsia="Calibri" w:cstheme="minorHAnsi"/>
          <w:kern w:val="0"/>
          <w14:ligatures w14:val="none"/>
        </w:rPr>
        <w:t xml:space="preserve"> </w:t>
      </w:r>
      <w:r w:rsidRPr="00F16251">
        <w:rPr>
          <w:rFonts w:eastAsia="Calibri" w:cstheme="minorHAnsi"/>
          <w:kern w:val="0"/>
          <w14:ligatures w14:val="none"/>
        </w:rPr>
        <w:t>jest</w:t>
      </w:r>
      <w:r w:rsidR="003B50ED" w:rsidRPr="00F16251">
        <w:rPr>
          <w:rFonts w:eastAsia="Calibri" w:cstheme="minorHAnsi"/>
          <w:kern w:val="0"/>
          <w14:ligatures w14:val="none"/>
        </w:rPr>
        <w:t xml:space="preserve"> </w:t>
      </w:r>
      <w:r w:rsidRPr="00F16251">
        <w:rPr>
          <w:rFonts w:eastAsia="Calibri" w:cstheme="minorHAnsi"/>
          <w:color w:val="000000"/>
          <w:kern w:val="0"/>
          <w14:ligatures w14:val="none"/>
        </w:rPr>
        <w:t>podejmowanie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działań</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aktywizacyjnych,</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integracyjnych</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wśród</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mieszkańców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poprzez</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ich</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aktywny</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udział</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organizowanych</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wydarzeniach</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edukacyjno-aktywizujących.</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Planowane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działania</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mają</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się</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przyczynić</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do</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wzrostu</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świadomości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zakresie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podnoszenia</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kwalifikacji,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kompetencji,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rozwoju</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zawodowego,</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mieszkańców.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Realizacja</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przedsięwzięcia</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pozwoli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na</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stworzenie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warunków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przestrzeni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do</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zaangażowania</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partycypacji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lokalnej</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społeczności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życiu</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swoich</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„małych</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ojczyzn”.</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Planuje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się</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realizację</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projektów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obejmujących</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warsztaty,</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szkolenia,</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prelekcje,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wyjazdy</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studyjne,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spotkania</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międzypokoleniowe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z</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zakresów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obejmujących</w:t>
      </w:r>
      <w:r w:rsidR="003B50ED" w:rsidRPr="00F16251">
        <w:rPr>
          <w:rFonts w:eastAsia="Calibri" w:cstheme="minorHAnsi"/>
          <w:color w:val="000000"/>
          <w:kern w:val="0"/>
          <w14:ligatures w14:val="none"/>
        </w:rPr>
        <w:t xml:space="preserve"> </w:t>
      </w:r>
      <w:r w:rsidRPr="00F16251">
        <w:rPr>
          <w:rFonts w:eastAsia="Calibri" w:cstheme="minorHAnsi"/>
          <w:kern w:val="0"/>
          <w14:ligatures w14:val="none"/>
        </w:rPr>
        <w:t>wyjazdy</w:t>
      </w:r>
      <w:r w:rsidR="003B50ED" w:rsidRPr="00F16251">
        <w:rPr>
          <w:rFonts w:eastAsia="Calibri" w:cstheme="minorHAnsi"/>
          <w:kern w:val="0"/>
          <w14:ligatures w14:val="none"/>
        </w:rPr>
        <w:t xml:space="preserve"> </w:t>
      </w:r>
      <w:r w:rsidRPr="00F16251">
        <w:rPr>
          <w:rFonts w:eastAsia="Calibri" w:cstheme="minorHAnsi"/>
          <w:kern w:val="0"/>
          <w14:ligatures w14:val="none"/>
        </w:rPr>
        <w:t>studyjne,</w:t>
      </w:r>
      <w:r w:rsidR="003B50ED" w:rsidRPr="00F16251">
        <w:rPr>
          <w:rFonts w:eastAsia="Calibri" w:cstheme="minorHAnsi"/>
          <w:kern w:val="0"/>
          <w14:ligatures w14:val="none"/>
        </w:rPr>
        <w:t xml:space="preserve"> </w:t>
      </w:r>
      <w:r w:rsidRPr="00F16251">
        <w:rPr>
          <w:rFonts w:eastAsia="Calibri" w:cstheme="minorHAnsi"/>
          <w:kern w:val="0"/>
          <w14:ligatures w14:val="none"/>
        </w:rPr>
        <w:t>imprezy,</w:t>
      </w:r>
      <w:r w:rsidR="003B50ED" w:rsidRPr="00F16251">
        <w:rPr>
          <w:rFonts w:eastAsia="Calibri" w:cstheme="minorHAnsi"/>
          <w:kern w:val="0"/>
          <w14:ligatures w14:val="none"/>
        </w:rPr>
        <w:t xml:space="preserve"> </w:t>
      </w:r>
      <w:r w:rsidRPr="00F16251">
        <w:rPr>
          <w:rFonts w:eastAsia="Calibri" w:cstheme="minorHAnsi"/>
          <w:kern w:val="0"/>
          <w14:ligatures w14:val="none"/>
        </w:rPr>
        <w:t>warsztaty,</w:t>
      </w:r>
      <w:r w:rsidR="003B50ED" w:rsidRPr="00F16251">
        <w:rPr>
          <w:rFonts w:eastAsia="Calibri" w:cstheme="minorHAnsi"/>
          <w:kern w:val="0"/>
          <w14:ligatures w14:val="none"/>
        </w:rPr>
        <w:t xml:space="preserve"> </w:t>
      </w:r>
      <w:r w:rsidRPr="00F16251">
        <w:rPr>
          <w:rFonts w:eastAsia="Calibri" w:cstheme="minorHAnsi"/>
          <w:kern w:val="0"/>
          <w14:ligatures w14:val="none"/>
        </w:rPr>
        <w:t>spotkania</w:t>
      </w:r>
      <w:r w:rsidR="003B50ED" w:rsidRPr="00F16251">
        <w:rPr>
          <w:rFonts w:eastAsia="Calibri" w:cstheme="minorHAnsi"/>
          <w:kern w:val="0"/>
          <w14:ligatures w14:val="none"/>
        </w:rPr>
        <w:t xml:space="preserve"> </w:t>
      </w:r>
      <w:r w:rsidRPr="00F16251">
        <w:rPr>
          <w:rFonts w:eastAsia="Calibri" w:cstheme="minorHAnsi"/>
          <w:kern w:val="0"/>
          <w14:ligatures w14:val="none"/>
        </w:rPr>
        <w:t>tematyczne,</w:t>
      </w:r>
      <w:r w:rsidR="003B50ED" w:rsidRPr="00F16251">
        <w:rPr>
          <w:rFonts w:eastAsia="Calibri" w:cstheme="minorHAnsi"/>
          <w:kern w:val="0"/>
          <w14:ligatures w14:val="none"/>
        </w:rPr>
        <w:t xml:space="preserve"> </w:t>
      </w:r>
      <w:r w:rsidRPr="00F16251">
        <w:rPr>
          <w:rFonts w:eastAsia="Calibri" w:cstheme="minorHAnsi"/>
          <w:kern w:val="0"/>
          <w14:ligatures w14:val="none"/>
        </w:rPr>
        <w:t>recitale,</w:t>
      </w:r>
      <w:r w:rsidR="003B50ED" w:rsidRPr="00F16251">
        <w:rPr>
          <w:rFonts w:eastAsia="Calibri" w:cstheme="minorHAnsi"/>
          <w:kern w:val="0"/>
          <w14:ligatures w14:val="none"/>
        </w:rPr>
        <w:t xml:space="preserve"> </w:t>
      </w:r>
      <w:r w:rsidRPr="00F16251">
        <w:rPr>
          <w:rFonts w:eastAsia="Calibri" w:cstheme="minorHAnsi"/>
          <w:kern w:val="0"/>
          <w14:ligatures w14:val="none"/>
        </w:rPr>
        <w:t>imprezy</w:t>
      </w:r>
      <w:r w:rsidR="003B50ED" w:rsidRPr="00F16251">
        <w:rPr>
          <w:rFonts w:eastAsia="Calibri" w:cstheme="minorHAnsi"/>
          <w:kern w:val="0"/>
          <w14:ligatures w14:val="none"/>
        </w:rPr>
        <w:t xml:space="preserve"> </w:t>
      </w:r>
      <w:proofErr w:type="spellStart"/>
      <w:r w:rsidRPr="00F16251">
        <w:rPr>
          <w:rFonts w:eastAsia="Calibri" w:cstheme="minorHAnsi"/>
          <w:kern w:val="0"/>
          <w14:ligatures w14:val="none"/>
        </w:rPr>
        <w:t>driftingowe</w:t>
      </w:r>
      <w:proofErr w:type="spellEnd"/>
      <w:r w:rsidRPr="00F16251">
        <w:rPr>
          <w:rFonts w:eastAsia="Calibri" w:cstheme="minorHAnsi"/>
          <w:kern w:val="0"/>
          <w14:ligatures w14:val="none"/>
        </w:rPr>
        <w:t>,</w:t>
      </w:r>
      <w:r w:rsidR="003B50ED" w:rsidRPr="00F16251">
        <w:rPr>
          <w:rFonts w:eastAsia="Calibri" w:cstheme="minorHAnsi"/>
          <w:kern w:val="0"/>
          <w14:ligatures w14:val="none"/>
        </w:rPr>
        <w:t xml:space="preserve"> </w:t>
      </w:r>
      <w:r w:rsidRPr="00F16251">
        <w:rPr>
          <w:rFonts w:eastAsia="Calibri" w:cstheme="minorHAnsi"/>
          <w:kern w:val="0"/>
          <w14:ligatures w14:val="none"/>
        </w:rPr>
        <w:t>konkursy,</w:t>
      </w:r>
      <w:r w:rsidR="003B50ED" w:rsidRPr="00F16251">
        <w:rPr>
          <w:rFonts w:eastAsia="Calibri" w:cstheme="minorHAnsi"/>
          <w:kern w:val="0"/>
          <w14:ligatures w14:val="none"/>
        </w:rPr>
        <w:t xml:space="preserve"> </w:t>
      </w:r>
      <w:r w:rsidRPr="00F16251">
        <w:rPr>
          <w:rFonts w:eastAsia="Calibri" w:cstheme="minorHAnsi"/>
          <w:kern w:val="0"/>
          <w14:ligatures w14:val="none"/>
        </w:rPr>
        <w:t>plenery</w:t>
      </w:r>
      <w:r w:rsidR="003B50ED" w:rsidRPr="00F16251">
        <w:rPr>
          <w:rFonts w:eastAsia="Calibri" w:cstheme="minorHAnsi"/>
          <w:kern w:val="0"/>
          <w14:ligatures w14:val="none"/>
        </w:rPr>
        <w:t xml:space="preserve"> </w:t>
      </w:r>
      <w:r w:rsidRPr="00F16251">
        <w:rPr>
          <w:rFonts w:eastAsia="Calibri" w:cstheme="minorHAnsi"/>
          <w:kern w:val="0"/>
          <w14:ligatures w14:val="none"/>
        </w:rPr>
        <w:t>malarskie,</w:t>
      </w:r>
      <w:r w:rsidR="003B50ED" w:rsidRPr="00F16251">
        <w:rPr>
          <w:rFonts w:eastAsia="Calibri" w:cstheme="minorHAnsi"/>
          <w:kern w:val="0"/>
          <w14:ligatures w14:val="none"/>
        </w:rPr>
        <w:t xml:space="preserve"> </w:t>
      </w:r>
      <w:r w:rsidRPr="00F16251">
        <w:rPr>
          <w:rFonts w:eastAsia="Calibri" w:cstheme="minorHAnsi"/>
          <w:kern w:val="0"/>
          <w14:ligatures w14:val="none"/>
        </w:rPr>
        <w:t>wycieczki,</w:t>
      </w:r>
      <w:r w:rsidR="003B50ED" w:rsidRPr="00F16251">
        <w:rPr>
          <w:rFonts w:eastAsia="Calibri" w:cstheme="minorHAnsi"/>
          <w:kern w:val="0"/>
          <w14:ligatures w14:val="none"/>
        </w:rPr>
        <w:t xml:space="preserve"> </w:t>
      </w:r>
      <w:r w:rsidRPr="00F16251">
        <w:rPr>
          <w:rFonts w:eastAsia="Calibri" w:cstheme="minorHAnsi"/>
          <w:kern w:val="0"/>
          <w14:ligatures w14:val="none"/>
        </w:rPr>
        <w:t>wykłady,</w:t>
      </w:r>
      <w:r w:rsidR="003B50ED" w:rsidRPr="00F16251">
        <w:rPr>
          <w:rFonts w:eastAsia="Calibri" w:cstheme="minorHAnsi"/>
          <w:kern w:val="0"/>
          <w14:ligatures w14:val="none"/>
        </w:rPr>
        <w:t xml:space="preserve"> </w:t>
      </w:r>
      <w:r w:rsidRPr="00F16251">
        <w:rPr>
          <w:rFonts w:eastAsia="Calibri" w:cstheme="minorHAnsi"/>
          <w:kern w:val="0"/>
          <w14:ligatures w14:val="none"/>
        </w:rPr>
        <w:t>gry</w:t>
      </w:r>
      <w:r w:rsidR="003B50ED" w:rsidRPr="00F16251">
        <w:rPr>
          <w:rFonts w:eastAsia="Calibri" w:cstheme="minorHAnsi"/>
          <w:kern w:val="0"/>
          <w14:ligatures w14:val="none"/>
        </w:rPr>
        <w:t xml:space="preserve"> </w:t>
      </w:r>
      <w:r w:rsidRPr="00F16251">
        <w:rPr>
          <w:rFonts w:eastAsia="Calibri" w:cstheme="minorHAnsi"/>
          <w:kern w:val="0"/>
          <w14:ligatures w14:val="none"/>
        </w:rPr>
        <w:t>terenowe,</w:t>
      </w:r>
      <w:r w:rsidR="003B50ED" w:rsidRPr="00F16251">
        <w:rPr>
          <w:rFonts w:eastAsia="Calibri" w:cstheme="minorHAnsi"/>
          <w:kern w:val="0"/>
          <w14:ligatures w14:val="none"/>
        </w:rPr>
        <w:t xml:space="preserve"> </w:t>
      </w:r>
      <w:r w:rsidRPr="00F16251">
        <w:rPr>
          <w:rFonts w:eastAsia="Calibri" w:cstheme="minorHAnsi"/>
          <w:kern w:val="0"/>
          <w14:ligatures w14:val="none"/>
        </w:rPr>
        <w:t>festiwale,</w:t>
      </w:r>
      <w:r w:rsidR="003B50ED" w:rsidRPr="00F16251">
        <w:rPr>
          <w:rFonts w:eastAsia="Calibri" w:cstheme="minorHAnsi"/>
          <w:kern w:val="0"/>
          <w14:ligatures w14:val="none"/>
        </w:rPr>
        <w:t xml:space="preserve"> </w:t>
      </w:r>
      <w:r w:rsidRPr="00F16251">
        <w:rPr>
          <w:rFonts w:eastAsia="Calibri" w:cstheme="minorHAnsi"/>
          <w:kern w:val="0"/>
          <w14:ligatures w14:val="none"/>
        </w:rPr>
        <w:t>inne,</w:t>
      </w:r>
      <w:r w:rsidR="003B50ED" w:rsidRPr="00F16251">
        <w:rPr>
          <w:rFonts w:eastAsia="Calibri" w:cstheme="minorHAnsi"/>
          <w:kern w:val="0"/>
          <w14:ligatures w14:val="none"/>
        </w:rPr>
        <w:t xml:space="preserve"> </w:t>
      </w:r>
      <w:r w:rsidRPr="00F16251">
        <w:rPr>
          <w:rFonts w:eastAsia="Calibri" w:cstheme="minorHAnsi"/>
          <w:kern w:val="0"/>
          <w14:ligatures w14:val="none"/>
        </w:rPr>
        <w:t>turystykę</w:t>
      </w:r>
      <w:r w:rsidR="003B50ED" w:rsidRPr="00F16251">
        <w:rPr>
          <w:rFonts w:eastAsia="Calibri" w:cstheme="minorHAnsi"/>
          <w:kern w:val="0"/>
          <w14:ligatures w14:val="none"/>
        </w:rPr>
        <w:t xml:space="preserve"> </w:t>
      </w:r>
      <w:r w:rsidRPr="00F16251">
        <w:rPr>
          <w:rFonts w:eastAsia="Calibri" w:cstheme="minorHAnsi"/>
          <w:kern w:val="0"/>
          <w14:ligatures w14:val="none"/>
        </w:rPr>
        <w:t>wiejską,</w:t>
      </w:r>
      <w:r w:rsidR="003B50ED" w:rsidRPr="00F16251">
        <w:rPr>
          <w:rFonts w:eastAsia="Calibri" w:cstheme="minorHAnsi"/>
          <w:kern w:val="0"/>
          <w14:ligatures w14:val="none"/>
        </w:rPr>
        <w:t xml:space="preserve"> </w:t>
      </w:r>
      <w:r w:rsidRPr="00F16251">
        <w:rPr>
          <w:rFonts w:eastAsia="Calibri" w:cstheme="minorHAnsi"/>
          <w:kern w:val="0"/>
          <w14:ligatures w14:val="none"/>
        </w:rPr>
        <w:t>wymianę</w:t>
      </w:r>
      <w:r w:rsidR="003B50ED" w:rsidRPr="00F16251">
        <w:rPr>
          <w:rFonts w:eastAsia="Calibri" w:cstheme="minorHAnsi"/>
          <w:kern w:val="0"/>
          <w14:ligatures w14:val="none"/>
        </w:rPr>
        <w:t xml:space="preserve"> </w:t>
      </w:r>
      <w:r w:rsidRPr="00F16251">
        <w:rPr>
          <w:rFonts w:eastAsia="Calibri" w:cstheme="minorHAnsi"/>
          <w:kern w:val="0"/>
          <w14:ligatures w14:val="none"/>
        </w:rPr>
        <w:t>doświadczeń</w:t>
      </w:r>
      <w:r w:rsidR="003B50ED" w:rsidRPr="00F16251">
        <w:rPr>
          <w:rFonts w:eastAsia="Calibri" w:cstheme="minorHAnsi"/>
          <w:kern w:val="0"/>
          <w14:ligatures w14:val="none"/>
        </w:rPr>
        <w:t xml:space="preserve"> </w:t>
      </w:r>
      <w:r w:rsidRPr="00F16251">
        <w:rPr>
          <w:rFonts w:eastAsia="Calibri" w:cstheme="minorHAnsi"/>
          <w:kern w:val="0"/>
          <w14:ligatures w14:val="none"/>
        </w:rPr>
        <w:t>w</w:t>
      </w:r>
      <w:r w:rsidR="003B50ED" w:rsidRPr="00F16251">
        <w:rPr>
          <w:rFonts w:eastAsia="Calibri" w:cstheme="minorHAnsi"/>
          <w:kern w:val="0"/>
          <w14:ligatures w14:val="none"/>
        </w:rPr>
        <w:t xml:space="preserve"> </w:t>
      </w:r>
      <w:r w:rsidRPr="00F16251">
        <w:rPr>
          <w:rFonts w:eastAsia="Calibri" w:cstheme="minorHAnsi"/>
          <w:kern w:val="0"/>
          <w14:ligatures w14:val="none"/>
        </w:rPr>
        <w:t>zakresie</w:t>
      </w:r>
      <w:r w:rsidR="003B50ED" w:rsidRPr="00F16251">
        <w:rPr>
          <w:rFonts w:eastAsia="Calibri" w:cstheme="minorHAnsi"/>
          <w:kern w:val="0"/>
          <w14:ligatures w14:val="none"/>
        </w:rPr>
        <w:t xml:space="preserve"> </w:t>
      </w:r>
      <w:r w:rsidRPr="00F16251">
        <w:rPr>
          <w:rFonts w:eastAsia="Calibri" w:cstheme="minorHAnsi"/>
          <w:kern w:val="0"/>
          <w14:ligatures w14:val="none"/>
        </w:rPr>
        <w:t>dziedzictwa</w:t>
      </w:r>
      <w:r w:rsidR="003B50ED" w:rsidRPr="00F16251">
        <w:rPr>
          <w:rFonts w:eastAsia="Calibri" w:cstheme="minorHAnsi"/>
          <w:kern w:val="0"/>
          <w14:ligatures w14:val="none"/>
        </w:rPr>
        <w:t xml:space="preserve"> </w:t>
      </w:r>
      <w:r w:rsidRPr="00F16251">
        <w:rPr>
          <w:rFonts w:eastAsia="Calibri" w:cstheme="minorHAnsi"/>
          <w:kern w:val="0"/>
          <w14:ligatures w14:val="none"/>
        </w:rPr>
        <w:t>kulturowego,</w:t>
      </w:r>
      <w:r w:rsidR="003B50ED" w:rsidRPr="00F16251">
        <w:rPr>
          <w:rFonts w:eastAsia="Calibri" w:cstheme="minorHAnsi"/>
          <w:kern w:val="0"/>
          <w14:ligatures w14:val="none"/>
        </w:rPr>
        <w:t xml:space="preserve"> </w:t>
      </w:r>
      <w:r w:rsidRPr="00F16251">
        <w:rPr>
          <w:rFonts w:eastAsia="Calibri" w:cstheme="minorHAnsi"/>
          <w:kern w:val="0"/>
          <w14:ligatures w14:val="none"/>
        </w:rPr>
        <w:t>kulinarnego,</w:t>
      </w:r>
      <w:r w:rsidR="003B50ED" w:rsidRPr="00F16251">
        <w:rPr>
          <w:rFonts w:eastAsia="Calibri" w:cstheme="minorHAnsi"/>
          <w:kern w:val="0"/>
          <w14:ligatures w14:val="none"/>
        </w:rPr>
        <w:t xml:space="preserve"> </w:t>
      </w:r>
      <w:r w:rsidRPr="00F16251">
        <w:rPr>
          <w:rFonts w:eastAsia="Calibri" w:cstheme="minorHAnsi"/>
          <w:kern w:val="0"/>
          <w14:ligatures w14:val="none"/>
        </w:rPr>
        <w:t>przyrodniczego,</w:t>
      </w:r>
      <w:r w:rsidR="003B50ED" w:rsidRPr="00F16251">
        <w:rPr>
          <w:rFonts w:eastAsia="Calibri" w:cstheme="minorHAnsi"/>
          <w:kern w:val="0"/>
          <w14:ligatures w14:val="none"/>
        </w:rPr>
        <w:t xml:space="preserve"> </w:t>
      </w:r>
      <w:r w:rsidRPr="00F16251">
        <w:rPr>
          <w:rFonts w:eastAsia="Calibri" w:cstheme="minorHAnsi"/>
          <w:kern w:val="0"/>
          <w14:ligatures w14:val="none"/>
        </w:rPr>
        <w:t>organizacja</w:t>
      </w:r>
      <w:r w:rsidR="003B50ED" w:rsidRPr="00F16251">
        <w:rPr>
          <w:rFonts w:eastAsia="Calibri" w:cstheme="minorHAnsi"/>
          <w:kern w:val="0"/>
          <w14:ligatures w14:val="none"/>
        </w:rPr>
        <w:t xml:space="preserve"> </w:t>
      </w:r>
      <w:r w:rsidRPr="00F16251">
        <w:rPr>
          <w:rFonts w:eastAsia="Calibri" w:cstheme="minorHAnsi"/>
          <w:kern w:val="0"/>
          <w14:ligatures w14:val="none"/>
        </w:rPr>
        <w:t>warsztatów/</w:t>
      </w:r>
      <w:r w:rsidR="003B50ED" w:rsidRPr="00F16251">
        <w:rPr>
          <w:rFonts w:eastAsia="Calibri" w:cstheme="minorHAnsi"/>
          <w:kern w:val="0"/>
          <w14:ligatures w14:val="none"/>
        </w:rPr>
        <w:t xml:space="preserve"> </w:t>
      </w:r>
      <w:r w:rsidRPr="00F16251">
        <w:rPr>
          <w:rFonts w:eastAsia="Calibri" w:cstheme="minorHAnsi"/>
          <w:kern w:val="0"/>
          <w14:ligatures w14:val="none"/>
        </w:rPr>
        <w:t>imprez</w:t>
      </w:r>
      <w:r w:rsidR="003B50ED" w:rsidRPr="00F16251">
        <w:rPr>
          <w:rFonts w:eastAsia="Calibri" w:cstheme="minorHAnsi"/>
          <w:kern w:val="0"/>
          <w14:ligatures w14:val="none"/>
        </w:rPr>
        <w:t xml:space="preserve"> </w:t>
      </w:r>
      <w:r w:rsidRPr="00F16251">
        <w:rPr>
          <w:rFonts w:eastAsia="Calibri" w:cstheme="minorHAnsi"/>
          <w:kern w:val="0"/>
          <w14:ligatures w14:val="none"/>
        </w:rPr>
        <w:t>tematycznych.</w:t>
      </w:r>
    </w:p>
    <w:p w14:paraId="6BE70D7E" w14:textId="2AB1A0A2" w:rsidR="002C63F4" w:rsidRPr="00F16251" w:rsidRDefault="002C63F4" w:rsidP="00A26C26">
      <w:pPr>
        <w:spacing w:line="276" w:lineRule="auto"/>
        <w:jc w:val="both"/>
        <w:rPr>
          <w:rFonts w:eastAsia="Calibri" w:cstheme="minorHAnsi"/>
          <w:kern w:val="0"/>
          <w14:ligatures w14:val="none"/>
        </w:rPr>
      </w:pPr>
      <w:r w:rsidRPr="00F16251">
        <w:rPr>
          <w:rFonts w:eastAsia="Calibri" w:cstheme="minorHAnsi"/>
          <w:color w:val="000000"/>
          <w:kern w:val="0"/>
          <w14:ligatures w14:val="none"/>
        </w:rPr>
        <w:t>Przedsięwzięcie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realizowane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będzie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formie</w:t>
      </w:r>
      <w:r w:rsidR="004D6762" w:rsidRPr="00F16251">
        <w:rPr>
          <w:rFonts w:eastAsia="Calibri" w:cstheme="minorHAnsi"/>
          <w:color w:val="000000"/>
          <w:kern w:val="0"/>
          <w14:ligatures w14:val="none"/>
        </w:rPr>
        <w:t xml:space="preserve"> grantów,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konkursów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operacji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własnych.</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Będą</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to</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tzw.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projekty</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miękkie.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Źródłem</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finansowania</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będzie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EFRROW.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Wnioskodawcami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będą</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jednostki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sektora</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finansów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publicznych.</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organizacje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pozarządowe.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Grupy</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docelowe: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Mieszkańcy,</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organizacje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pozarządowe,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przedsiębiorcy,</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jednostki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samorządu</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terytorialnego.</w:t>
      </w:r>
    </w:p>
    <w:p w14:paraId="19FD7A16" w14:textId="7311FDCB" w:rsidR="002C63F4" w:rsidRPr="00F16251" w:rsidRDefault="002C63F4" w:rsidP="00A26C26">
      <w:pPr>
        <w:spacing w:line="276" w:lineRule="auto"/>
        <w:rPr>
          <w:rFonts w:eastAsia="Calibri" w:cstheme="minorHAnsi"/>
          <w:b/>
          <w:bCs/>
          <w:color w:val="000000"/>
          <w:kern w:val="0"/>
          <w14:ligatures w14:val="none"/>
        </w:rPr>
      </w:pPr>
      <w:r w:rsidRPr="00F16251">
        <w:rPr>
          <w:rFonts w:eastAsia="Calibri" w:cstheme="minorHAnsi"/>
          <w:b/>
          <w:bCs/>
          <w:color w:val="000000"/>
          <w:kern w:val="0"/>
          <w14:ligatures w14:val="none"/>
        </w:rPr>
        <w:t>Wskaźnik</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PRODUKTU:</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Liczba</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wydarzeń</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integrujących</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i</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animujących</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ludzi</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młodych/seniorów/osoby</w:t>
      </w:r>
      <w:r w:rsidR="00F65DB9">
        <w:rPr>
          <w:rFonts w:eastAsia="Calibri" w:cstheme="minorHAnsi"/>
          <w:b/>
          <w:bCs/>
          <w:color w:val="000000"/>
          <w:kern w:val="0"/>
          <w14:ligatures w14:val="none"/>
        </w:rPr>
        <w:t xml:space="preserve">                            </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w</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niekorzystnej</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sytuacji</w:t>
      </w:r>
      <w:r w:rsidR="00F65DB9">
        <w:rPr>
          <w:rFonts w:eastAsia="Calibri" w:cstheme="minorHAnsi"/>
          <w:b/>
          <w:bCs/>
          <w:color w:val="000000"/>
          <w:kern w:val="0"/>
          <w14:ligatures w14:val="none"/>
        </w:rPr>
        <w:t>.</w:t>
      </w:r>
    </w:p>
    <w:p w14:paraId="2C415345" w14:textId="228CD502" w:rsidR="002C63F4" w:rsidRPr="00F16251" w:rsidRDefault="002C63F4" w:rsidP="00A26C26">
      <w:pPr>
        <w:spacing w:line="276" w:lineRule="auto"/>
        <w:jc w:val="both"/>
        <w:rPr>
          <w:rFonts w:eastAsia="Calibri" w:cstheme="minorHAnsi"/>
          <w:b/>
          <w:bCs/>
          <w:kern w:val="0"/>
          <w14:ligatures w14:val="none"/>
        </w:rPr>
      </w:pPr>
      <w:r w:rsidRPr="00F16251">
        <w:rPr>
          <w:rFonts w:eastAsia="Calibri" w:cstheme="minorHAnsi"/>
          <w:b/>
          <w:bCs/>
          <w:color w:val="000000"/>
          <w:kern w:val="0"/>
          <w14:ligatures w14:val="none"/>
        </w:rPr>
        <w:t>Wskaźnik</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PRODUKTU:</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Liczba</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operacji</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ukierunkowanych</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na</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aktywizację</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mieszkańców</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i</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poznawanie</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dobrych</w:t>
      </w:r>
      <w:r w:rsidR="003B50ED" w:rsidRPr="00F16251">
        <w:rPr>
          <w:rFonts w:eastAsia="Calibri" w:cstheme="minorHAnsi"/>
          <w:b/>
          <w:bCs/>
          <w:color w:val="000000"/>
          <w:kern w:val="0"/>
          <w14:ligatures w14:val="none"/>
        </w:rPr>
        <w:t xml:space="preserve"> </w:t>
      </w:r>
      <w:r w:rsidRPr="00F16251">
        <w:rPr>
          <w:rFonts w:eastAsia="Calibri" w:cstheme="minorHAnsi"/>
          <w:b/>
          <w:bCs/>
          <w:color w:val="000000"/>
          <w:kern w:val="0"/>
          <w14:ligatures w14:val="none"/>
        </w:rPr>
        <w:t>praktyk.</w:t>
      </w:r>
    </w:p>
    <w:p w14:paraId="61243729" w14:textId="24DC3F6D" w:rsidR="002C63F4" w:rsidRPr="00F16251" w:rsidRDefault="002C63F4" w:rsidP="00A26C26">
      <w:pPr>
        <w:spacing w:line="276" w:lineRule="auto"/>
        <w:jc w:val="both"/>
        <w:rPr>
          <w:rFonts w:eastAsia="Calibri" w:cstheme="minorHAnsi"/>
          <w:b/>
          <w:bCs/>
          <w:kern w:val="0"/>
          <w14:ligatures w14:val="none"/>
        </w:rPr>
      </w:pPr>
      <w:r w:rsidRPr="00F16251">
        <w:rPr>
          <w:rFonts w:eastAsia="Calibri" w:cstheme="minorHAnsi"/>
          <w:b/>
          <w:bCs/>
          <w:kern w:val="0"/>
          <w14:ligatures w14:val="none"/>
        </w:rPr>
        <w:t>Ad.</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5.</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Przedsięwzięcie</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1.5.</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Wspieranie</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partnerstwa,</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inicjatyw</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edukacyjnych</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i</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turystyki</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na</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obszarze</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LSR:</w:t>
      </w:r>
    </w:p>
    <w:p w14:paraId="45650978" w14:textId="195C0D8B" w:rsidR="002C63F4" w:rsidRPr="00A26C26" w:rsidRDefault="002C63F4" w:rsidP="00A26C26">
      <w:pPr>
        <w:spacing w:line="276" w:lineRule="auto"/>
        <w:jc w:val="both"/>
        <w:rPr>
          <w:rFonts w:eastAsia="Calibri" w:cstheme="minorHAnsi"/>
          <w:kern w:val="0"/>
          <w14:ligatures w14:val="none"/>
        </w:rPr>
      </w:pPr>
      <w:r w:rsidRPr="00F16251">
        <w:rPr>
          <w:rFonts w:eastAsia="Calibri" w:cstheme="minorHAnsi"/>
          <w:bCs/>
          <w:kern w:val="0"/>
          <w14:ligatures w14:val="none"/>
        </w:rPr>
        <w:t>Planowane</w:t>
      </w:r>
      <w:r w:rsidR="003B50ED" w:rsidRPr="00F16251">
        <w:rPr>
          <w:rFonts w:eastAsia="Calibri" w:cstheme="minorHAnsi"/>
          <w:bCs/>
          <w:kern w:val="0"/>
          <w14:ligatures w14:val="none"/>
        </w:rPr>
        <w:t xml:space="preserve"> </w:t>
      </w:r>
      <w:r w:rsidRPr="00F16251">
        <w:rPr>
          <w:rFonts w:eastAsia="Calibri" w:cstheme="minorHAnsi"/>
          <w:bCs/>
          <w:kern w:val="0"/>
          <w14:ligatures w14:val="none"/>
        </w:rPr>
        <w:t>projekty</w:t>
      </w:r>
      <w:r w:rsidR="003B50ED" w:rsidRPr="00F16251">
        <w:rPr>
          <w:rFonts w:eastAsia="Calibri" w:cstheme="minorHAnsi"/>
          <w:bCs/>
          <w:kern w:val="0"/>
          <w14:ligatures w14:val="none"/>
        </w:rPr>
        <w:t xml:space="preserve"> </w:t>
      </w:r>
      <w:r w:rsidRPr="00F16251">
        <w:rPr>
          <w:rFonts w:eastAsia="Calibri" w:cstheme="minorHAnsi"/>
          <w:bCs/>
          <w:kern w:val="0"/>
          <w14:ligatures w14:val="none"/>
        </w:rPr>
        <w:t>mają</w:t>
      </w:r>
      <w:r w:rsidR="003B50ED" w:rsidRPr="00F16251">
        <w:rPr>
          <w:rFonts w:eastAsia="Calibri" w:cstheme="minorHAnsi"/>
          <w:bCs/>
          <w:kern w:val="0"/>
          <w14:ligatures w14:val="none"/>
        </w:rPr>
        <w:t xml:space="preserve"> </w:t>
      </w:r>
      <w:r w:rsidRPr="00F16251">
        <w:rPr>
          <w:rFonts w:eastAsia="Calibri" w:cstheme="minorHAnsi"/>
          <w:bCs/>
          <w:kern w:val="0"/>
          <w14:ligatures w14:val="none"/>
        </w:rPr>
        <w:t>mieć</w:t>
      </w:r>
      <w:r w:rsidR="003B50ED" w:rsidRPr="00F16251">
        <w:rPr>
          <w:rFonts w:eastAsia="Calibri" w:cstheme="minorHAnsi"/>
          <w:bCs/>
          <w:kern w:val="0"/>
          <w14:ligatures w14:val="none"/>
        </w:rPr>
        <w:t xml:space="preserve"> </w:t>
      </w:r>
      <w:r w:rsidRPr="00F16251">
        <w:rPr>
          <w:rFonts w:eastAsia="Calibri" w:cstheme="minorHAnsi"/>
          <w:bCs/>
          <w:kern w:val="0"/>
          <w14:ligatures w14:val="none"/>
        </w:rPr>
        <w:t>charakter</w:t>
      </w:r>
      <w:r w:rsidR="003B50ED" w:rsidRPr="00F16251">
        <w:rPr>
          <w:rFonts w:eastAsia="Calibri" w:cstheme="minorHAnsi"/>
          <w:bCs/>
          <w:kern w:val="0"/>
          <w14:ligatures w14:val="none"/>
        </w:rPr>
        <w:t xml:space="preserve"> </w:t>
      </w:r>
      <w:r w:rsidRPr="00F16251">
        <w:rPr>
          <w:rFonts w:eastAsia="Calibri" w:cstheme="minorHAnsi"/>
          <w:bCs/>
          <w:kern w:val="0"/>
          <w14:ligatures w14:val="none"/>
        </w:rPr>
        <w:t>partnerskiej</w:t>
      </w:r>
      <w:r w:rsidR="003B50ED" w:rsidRPr="00F16251">
        <w:rPr>
          <w:rFonts w:eastAsia="Calibri" w:cstheme="minorHAnsi"/>
          <w:bCs/>
          <w:kern w:val="0"/>
          <w14:ligatures w14:val="none"/>
        </w:rPr>
        <w:t xml:space="preserve"> </w:t>
      </w:r>
      <w:r w:rsidRPr="00F16251">
        <w:rPr>
          <w:rFonts w:eastAsia="Calibri" w:cstheme="minorHAnsi"/>
          <w:bCs/>
          <w:kern w:val="0"/>
          <w14:ligatures w14:val="none"/>
        </w:rPr>
        <w:t>współpracy</w:t>
      </w:r>
      <w:r w:rsidR="003B50ED" w:rsidRPr="00F16251">
        <w:rPr>
          <w:rFonts w:eastAsia="Calibri" w:cstheme="minorHAnsi"/>
          <w:bCs/>
          <w:kern w:val="0"/>
          <w14:ligatures w14:val="none"/>
        </w:rPr>
        <w:t xml:space="preserve"> </w:t>
      </w:r>
      <w:r w:rsidRPr="00F16251">
        <w:rPr>
          <w:rFonts w:eastAsia="Calibri" w:cstheme="minorHAnsi"/>
          <w:bCs/>
          <w:kern w:val="0"/>
          <w14:ligatures w14:val="none"/>
        </w:rPr>
        <w:t>podczas</w:t>
      </w:r>
      <w:r w:rsidR="003B50ED" w:rsidRPr="00F16251">
        <w:rPr>
          <w:rFonts w:eastAsia="Calibri" w:cstheme="minorHAnsi"/>
          <w:bCs/>
          <w:kern w:val="0"/>
          <w14:ligatures w14:val="none"/>
        </w:rPr>
        <w:t xml:space="preserve"> </w:t>
      </w:r>
      <w:r w:rsidRPr="00F16251">
        <w:rPr>
          <w:rFonts w:eastAsia="Calibri" w:cstheme="minorHAnsi"/>
          <w:bCs/>
          <w:kern w:val="0"/>
          <w14:ligatures w14:val="none"/>
        </w:rPr>
        <w:t>których</w:t>
      </w:r>
      <w:r w:rsidR="003B50ED" w:rsidRPr="00F16251">
        <w:rPr>
          <w:rFonts w:eastAsia="Calibri" w:cstheme="minorHAnsi"/>
          <w:bCs/>
          <w:kern w:val="0"/>
          <w14:ligatures w14:val="none"/>
        </w:rPr>
        <w:t xml:space="preserve"> </w:t>
      </w:r>
      <w:r w:rsidRPr="00F16251">
        <w:rPr>
          <w:rFonts w:eastAsia="Calibri" w:cstheme="minorHAnsi"/>
          <w:bCs/>
          <w:kern w:val="0"/>
          <w14:ligatures w14:val="none"/>
        </w:rPr>
        <w:t>będzie</w:t>
      </w:r>
      <w:r w:rsidR="003B50ED" w:rsidRPr="00F16251">
        <w:rPr>
          <w:rFonts w:eastAsia="Calibri" w:cstheme="minorHAnsi"/>
          <w:bCs/>
          <w:kern w:val="0"/>
          <w14:ligatures w14:val="none"/>
        </w:rPr>
        <w:t xml:space="preserve"> </w:t>
      </w:r>
      <w:r w:rsidRPr="00F16251">
        <w:rPr>
          <w:rFonts w:eastAsia="Calibri" w:cstheme="minorHAnsi"/>
          <w:bCs/>
          <w:kern w:val="0"/>
          <w14:ligatures w14:val="none"/>
        </w:rPr>
        <w:t>można</w:t>
      </w:r>
      <w:r w:rsidR="003B50ED" w:rsidRPr="00F16251">
        <w:rPr>
          <w:rFonts w:eastAsia="Calibri" w:cstheme="minorHAnsi"/>
          <w:bCs/>
          <w:kern w:val="0"/>
          <w14:ligatures w14:val="none"/>
        </w:rPr>
        <w:t xml:space="preserve"> </w:t>
      </w:r>
      <w:r w:rsidRPr="00F16251">
        <w:rPr>
          <w:rFonts w:eastAsia="Calibri" w:cstheme="minorHAnsi"/>
          <w:bCs/>
          <w:kern w:val="0"/>
          <w14:ligatures w14:val="none"/>
        </w:rPr>
        <w:t>skorzystać</w:t>
      </w:r>
      <w:r w:rsidR="003B50ED" w:rsidRPr="00F16251">
        <w:rPr>
          <w:rFonts w:eastAsia="Calibri" w:cstheme="minorHAnsi"/>
          <w:bCs/>
          <w:kern w:val="0"/>
          <w14:ligatures w14:val="none"/>
        </w:rPr>
        <w:t xml:space="preserve"> </w:t>
      </w:r>
      <w:r w:rsidR="00F65DB9">
        <w:rPr>
          <w:rFonts w:eastAsia="Calibri" w:cstheme="minorHAnsi"/>
          <w:bCs/>
          <w:kern w:val="0"/>
          <w14:ligatures w14:val="none"/>
        </w:rPr>
        <w:t xml:space="preserve">                         </w:t>
      </w:r>
      <w:r w:rsidRPr="00F16251">
        <w:rPr>
          <w:rFonts w:eastAsia="Calibri" w:cstheme="minorHAnsi"/>
          <w:bCs/>
          <w:kern w:val="0"/>
          <w14:ligatures w14:val="none"/>
        </w:rPr>
        <w:t>z</w:t>
      </w:r>
      <w:r w:rsidR="003B50ED" w:rsidRPr="00F16251">
        <w:rPr>
          <w:rFonts w:eastAsia="Calibri" w:cstheme="minorHAnsi"/>
          <w:bCs/>
          <w:kern w:val="0"/>
          <w14:ligatures w14:val="none"/>
        </w:rPr>
        <w:t xml:space="preserve"> </w:t>
      </w:r>
      <w:r w:rsidRPr="00F16251">
        <w:rPr>
          <w:rFonts w:eastAsia="Calibri" w:cstheme="minorHAnsi"/>
          <w:bCs/>
          <w:kern w:val="0"/>
          <w14:ligatures w14:val="none"/>
        </w:rPr>
        <w:t>dobrych</w:t>
      </w:r>
      <w:r w:rsidR="003B50ED" w:rsidRPr="00F16251">
        <w:rPr>
          <w:rFonts w:eastAsia="Calibri" w:cstheme="minorHAnsi"/>
          <w:bCs/>
          <w:kern w:val="0"/>
          <w14:ligatures w14:val="none"/>
        </w:rPr>
        <w:t xml:space="preserve"> </w:t>
      </w:r>
      <w:r w:rsidRPr="00F16251">
        <w:rPr>
          <w:rFonts w:eastAsia="Calibri" w:cstheme="minorHAnsi"/>
          <w:bCs/>
          <w:kern w:val="0"/>
          <w14:ligatures w14:val="none"/>
        </w:rPr>
        <w:t>praktyk</w:t>
      </w:r>
      <w:r w:rsidR="003B50ED" w:rsidRPr="00F16251">
        <w:rPr>
          <w:rFonts w:eastAsia="Calibri" w:cstheme="minorHAnsi"/>
          <w:bCs/>
          <w:kern w:val="0"/>
          <w14:ligatures w14:val="none"/>
        </w:rPr>
        <w:t xml:space="preserve"> </w:t>
      </w:r>
      <w:r w:rsidRPr="00F16251">
        <w:rPr>
          <w:rFonts w:eastAsia="Calibri" w:cstheme="minorHAnsi"/>
          <w:bCs/>
          <w:kern w:val="0"/>
          <w14:ligatures w14:val="none"/>
        </w:rPr>
        <w:t>m.in.</w:t>
      </w:r>
      <w:r w:rsidR="003B50ED" w:rsidRPr="00F16251">
        <w:rPr>
          <w:rFonts w:eastAsia="Calibri" w:cstheme="minorHAnsi"/>
          <w:bCs/>
          <w:kern w:val="0"/>
          <w14:ligatures w14:val="none"/>
        </w:rPr>
        <w:t xml:space="preserve"> </w:t>
      </w:r>
      <w:r w:rsidRPr="00F16251">
        <w:rPr>
          <w:rFonts w:eastAsia="Calibri" w:cstheme="minorHAnsi"/>
          <w:bCs/>
          <w:kern w:val="0"/>
          <w14:ligatures w14:val="none"/>
        </w:rPr>
        <w:t>z</w:t>
      </w:r>
      <w:r w:rsidR="003B50ED" w:rsidRPr="00F16251">
        <w:rPr>
          <w:rFonts w:eastAsia="Calibri" w:cstheme="minorHAnsi"/>
          <w:bCs/>
          <w:kern w:val="0"/>
          <w14:ligatures w14:val="none"/>
        </w:rPr>
        <w:t xml:space="preserve"> </w:t>
      </w:r>
      <w:r w:rsidRPr="00F16251">
        <w:rPr>
          <w:rFonts w:eastAsia="Calibri" w:cstheme="minorHAnsi"/>
          <w:bCs/>
          <w:kern w:val="0"/>
          <w14:ligatures w14:val="none"/>
        </w:rPr>
        <w:t>wizyt</w:t>
      </w:r>
      <w:r w:rsidR="003B50ED" w:rsidRPr="00F16251">
        <w:rPr>
          <w:rFonts w:eastAsia="Calibri" w:cstheme="minorHAnsi"/>
          <w:bCs/>
          <w:kern w:val="0"/>
          <w14:ligatures w14:val="none"/>
        </w:rPr>
        <w:t xml:space="preserve"> </w:t>
      </w:r>
      <w:r w:rsidRPr="00F16251">
        <w:rPr>
          <w:rFonts w:eastAsia="Calibri" w:cstheme="minorHAnsi"/>
          <w:bCs/>
          <w:kern w:val="0"/>
          <w14:ligatures w14:val="none"/>
        </w:rPr>
        <w:t>studyjnych.</w:t>
      </w:r>
      <w:r w:rsidR="003B50ED" w:rsidRPr="00F16251">
        <w:rPr>
          <w:rFonts w:eastAsia="Calibri" w:cstheme="minorHAnsi"/>
          <w:bCs/>
          <w:kern w:val="0"/>
          <w14:ligatures w14:val="none"/>
        </w:rPr>
        <w:t xml:space="preserve"> </w:t>
      </w:r>
      <w:r w:rsidRPr="00F16251">
        <w:rPr>
          <w:rFonts w:eastAsia="Calibri" w:cstheme="minorHAnsi"/>
          <w:bCs/>
          <w:kern w:val="0"/>
          <w14:ligatures w14:val="none"/>
        </w:rPr>
        <w:t>Ich</w:t>
      </w:r>
      <w:r w:rsidR="003B50ED" w:rsidRPr="00F16251">
        <w:rPr>
          <w:rFonts w:eastAsia="Calibri" w:cstheme="minorHAnsi"/>
          <w:bCs/>
          <w:kern w:val="0"/>
          <w14:ligatures w14:val="none"/>
        </w:rPr>
        <w:t xml:space="preserve"> </w:t>
      </w:r>
      <w:r w:rsidRPr="00F16251">
        <w:rPr>
          <w:rFonts w:eastAsia="Calibri" w:cstheme="minorHAnsi"/>
          <w:bCs/>
          <w:kern w:val="0"/>
          <w14:ligatures w14:val="none"/>
        </w:rPr>
        <w:t>celem</w:t>
      </w:r>
      <w:r w:rsidR="003B50ED" w:rsidRPr="00F16251">
        <w:rPr>
          <w:rFonts w:eastAsia="Calibri" w:cstheme="minorHAnsi"/>
          <w:bCs/>
          <w:kern w:val="0"/>
          <w14:ligatures w14:val="none"/>
        </w:rPr>
        <w:t xml:space="preserve"> </w:t>
      </w:r>
      <w:r w:rsidRPr="00F16251">
        <w:rPr>
          <w:rFonts w:eastAsia="Calibri" w:cstheme="minorHAnsi"/>
          <w:bCs/>
          <w:kern w:val="0"/>
          <w14:ligatures w14:val="none"/>
        </w:rPr>
        <w:t>będzie</w:t>
      </w:r>
      <w:r w:rsidR="003B50ED" w:rsidRPr="00F16251">
        <w:rPr>
          <w:rFonts w:eastAsia="Calibri" w:cstheme="minorHAnsi"/>
          <w:bCs/>
          <w:kern w:val="0"/>
          <w14:ligatures w14:val="none"/>
        </w:rPr>
        <w:t xml:space="preserve"> </w:t>
      </w:r>
      <w:r w:rsidRPr="00F16251">
        <w:rPr>
          <w:rFonts w:eastAsia="Calibri" w:cstheme="minorHAnsi"/>
          <w:bCs/>
          <w:kern w:val="0"/>
          <w14:ligatures w14:val="none"/>
        </w:rPr>
        <w:t>zachęcenie</w:t>
      </w:r>
      <w:r w:rsidR="003B50ED" w:rsidRPr="00F16251">
        <w:rPr>
          <w:rFonts w:eastAsia="Calibri" w:cstheme="minorHAnsi"/>
          <w:bCs/>
          <w:kern w:val="0"/>
          <w14:ligatures w14:val="none"/>
        </w:rPr>
        <w:t xml:space="preserve"> </w:t>
      </w:r>
      <w:r w:rsidRPr="00F16251">
        <w:rPr>
          <w:rFonts w:eastAsia="Calibri" w:cstheme="minorHAnsi"/>
          <w:bCs/>
          <w:kern w:val="0"/>
          <w14:ligatures w14:val="none"/>
        </w:rPr>
        <w:t>do</w:t>
      </w:r>
      <w:r w:rsidR="003B50ED" w:rsidRPr="00F16251">
        <w:rPr>
          <w:rFonts w:eastAsia="Calibri" w:cstheme="minorHAnsi"/>
          <w:bCs/>
          <w:kern w:val="0"/>
          <w14:ligatures w14:val="none"/>
        </w:rPr>
        <w:t xml:space="preserve"> </w:t>
      </w:r>
      <w:r w:rsidRPr="00F16251">
        <w:rPr>
          <w:rFonts w:eastAsia="Calibri" w:cstheme="minorHAnsi"/>
          <w:bCs/>
          <w:kern w:val="0"/>
          <w14:ligatures w14:val="none"/>
        </w:rPr>
        <w:t>poszukiwania</w:t>
      </w:r>
      <w:r w:rsidR="003B50ED" w:rsidRPr="00F16251">
        <w:rPr>
          <w:rFonts w:eastAsia="Calibri" w:cstheme="minorHAnsi"/>
          <w:bCs/>
          <w:kern w:val="0"/>
          <w14:ligatures w14:val="none"/>
        </w:rPr>
        <w:t xml:space="preserve"> </w:t>
      </w:r>
      <w:r w:rsidRPr="00F16251">
        <w:rPr>
          <w:rFonts w:eastAsia="Calibri" w:cstheme="minorHAnsi"/>
          <w:bCs/>
          <w:kern w:val="0"/>
          <w14:ligatures w14:val="none"/>
        </w:rPr>
        <w:t>nowych</w:t>
      </w:r>
      <w:r w:rsidR="003B50ED" w:rsidRPr="00F16251">
        <w:rPr>
          <w:rFonts w:eastAsia="Calibri" w:cstheme="minorHAnsi"/>
          <w:bCs/>
          <w:kern w:val="0"/>
          <w14:ligatures w14:val="none"/>
        </w:rPr>
        <w:t xml:space="preserve"> </w:t>
      </w:r>
      <w:r w:rsidRPr="00F16251">
        <w:rPr>
          <w:rFonts w:eastAsia="Calibri" w:cstheme="minorHAnsi"/>
          <w:bCs/>
          <w:kern w:val="0"/>
          <w14:ligatures w14:val="none"/>
        </w:rPr>
        <w:t>rozwiązań.</w:t>
      </w:r>
      <w:r w:rsidR="003B50ED" w:rsidRPr="00F16251">
        <w:rPr>
          <w:rFonts w:eastAsia="Calibri" w:cstheme="minorHAnsi"/>
          <w:bCs/>
          <w:kern w:val="0"/>
          <w14:ligatures w14:val="none"/>
        </w:rPr>
        <w:t xml:space="preserve"> </w:t>
      </w:r>
      <w:r w:rsidRPr="00F16251">
        <w:rPr>
          <w:rFonts w:eastAsia="Calibri" w:cstheme="minorHAnsi"/>
          <w:bCs/>
          <w:kern w:val="0"/>
          <w14:ligatures w14:val="none"/>
        </w:rPr>
        <w:t>Projekty</w:t>
      </w:r>
      <w:r w:rsidR="003B50ED" w:rsidRPr="00F16251">
        <w:rPr>
          <w:rFonts w:eastAsia="Calibri" w:cstheme="minorHAnsi"/>
          <w:bCs/>
          <w:kern w:val="0"/>
          <w14:ligatures w14:val="none"/>
        </w:rPr>
        <w:t xml:space="preserve"> </w:t>
      </w:r>
      <w:r w:rsidRPr="00F16251">
        <w:rPr>
          <w:rFonts w:eastAsia="Calibri" w:cstheme="minorHAnsi"/>
          <w:bCs/>
          <w:kern w:val="0"/>
          <w14:ligatures w14:val="none"/>
        </w:rPr>
        <w:t>partnerskie</w:t>
      </w:r>
      <w:r w:rsidR="003B50ED" w:rsidRPr="00F16251">
        <w:rPr>
          <w:rFonts w:eastAsia="Calibri" w:cstheme="minorHAnsi"/>
          <w:bCs/>
          <w:kern w:val="0"/>
          <w14:ligatures w14:val="none"/>
        </w:rPr>
        <w:t xml:space="preserve"> </w:t>
      </w:r>
      <w:r w:rsidRPr="00F16251">
        <w:rPr>
          <w:rFonts w:eastAsia="Calibri" w:cstheme="minorHAnsi"/>
          <w:bCs/>
          <w:kern w:val="0"/>
          <w14:ligatures w14:val="none"/>
        </w:rPr>
        <w:t>mają</w:t>
      </w:r>
      <w:r w:rsidR="003B50ED" w:rsidRPr="00F16251">
        <w:rPr>
          <w:rFonts w:eastAsia="Calibri" w:cstheme="minorHAnsi"/>
          <w:bCs/>
          <w:kern w:val="0"/>
          <w14:ligatures w14:val="none"/>
        </w:rPr>
        <w:t xml:space="preserve"> </w:t>
      </w:r>
      <w:r w:rsidRPr="00F16251">
        <w:rPr>
          <w:rFonts w:eastAsia="Calibri" w:cstheme="minorHAnsi"/>
          <w:bCs/>
          <w:kern w:val="0"/>
          <w14:ligatures w14:val="none"/>
        </w:rPr>
        <w:t>się</w:t>
      </w:r>
      <w:r w:rsidR="003B50ED" w:rsidRPr="00F16251">
        <w:rPr>
          <w:rFonts w:eastAsia="Calibri" w:cstheme="minorHAnsi"/>
          <w:bCs/>
          <w:kern w:val="0"/>
          <w14:ligatures w14:val="none"/>
        </w:rPr>
        <w:t xml:space="preserve"> </w:t>
      </w:r>
      <w:r w:rsidRPr="00F16251">
        <w:rPr>
          <w:rFonts w:eastAsia="Calibri" w:cstheme="minorHAnsi"/>
          <w:bCs/>
          <w:kern w:val="0"/>
          <w14:ligatures w14:val="none"/>
        </w:rPr>
        <w:t>przyczynić</w:t>
      </w:r>
      <w:r w:rsidR="003B50ED" w:rsidRPr="00F16251">
        <w:rPr>
          <w:rFonts w:eastAsia="Calibri" w:cstheme="minorHAnsi"/>
          <w:bCs/>
          <w:kern w:val="0"/>
          <w14:ligatures w14:val="none"/>
        </w:rPr>
        <w:t xml:space="preserve"> </w:t>
      </w:r>
      <w:r w:rsidRPr="00F16251">
        <w:rPr>
          <w:rFonts w:eastAsia="Calibri" w:cstheme="minorHAnsi"/>
          <w:bCs/>
          <w:kern w:val="0"/>
          <w14:ligatures w14:val="none"/>
        </w:rPr>
        <w:t>to</w:t>
      </w:r>
      <w:r w:rsidR="003B50ED" w:rsidRPr="00F16251">
        <w:rPr>
          <w:rFonts w:eastAsia="Calibri" w:cstheme="minorHAnsi"/>
          <w:bCs/>
          <w:kern w:val="0"/>
          <w14:ligatures w14:val="none"/>
        </w:rPr>
        <w:t xml:space="preserve"> </w:t>
      </w:r>
      <w:r w:rsidRPr="00F16251">
        <w:rPr>
          <w:rFonts w:eastAsia="Calibri" w:cstheme="minorHAnsi"/>
          <w:bCs/>
          <w:kern w:val="0"/>
          <w14:ligatures w14:val="none"/>
        </w:rPr>
        <w:t>kreacji</w:t>
      </w:r>
      <w:r w:rsidR="003B50ED" w:rsidRPr="00F16251">
        <w:rPr>
          <w:rFonts w:eastAsia="Calibri" w:cstheme="minorHAnsi"/>
          <w:bCs/>
          <w:kern w:val="0"/>
          <w14:ligatures w14:val="none"/>
        </w:rPr>
        <w:t xml:space="preserve"> </w:t>
      </w:r>
      <w:r w:rsidRPr="00F16251">
        <w:rPr>
          <w:rFonts w:eastAsia="Calibri" w:cstheme="minorHAnsi"/>
          <w:bCs/>
          <w:kern w:val="0"/>
          <w14:ligatures w14:val="none"/>
        </w:rPr>
        <w:t>ciekawych</w:t>
      </w:r>
      <w:r w:rsidR="003B50ED" w:rsidRPr="00F16251">
        <w:rPr>
          <w:rFonts w:eastAsia="Calibri" w:cstheme="minorHAnsi"/>
          <w:bCs/>
          <w:kern w:val="0"/>
          <w14:ligatures w14:val="none"/>
        </w:rPr>
        <w:t xml:space="preserve"> </w:t>
      </w:r>
      <w:r w:rsidRPr="00F16251">
        <w:rPr>
          <w:rFonts w:eastAsia="Calibri" w:cstheme="minorHAnsi"/>
          <w:bCs/>
          <w:kern w:val="0"/>
          <w14:ligatures w14:val="none"/>
        </w:rPr>
        <w:t>rozwiązań</w:t>
      </w:r>
      <w:r w:rsidR="003B50ED" w:rsidRPr="00F16251">
        <w:rPr>
          <w:rFonts w:eastAsia="Calibri" w:cstheme="minorHAnsi"/>
          <w:bCs/>
          <w:kern w:val="0"/>
          <w14:ligatures w14:val="none"/>
        </w:rPr>
        <w:t xml:space="preserve"> </w:t>
      </w:r>
      <w:r w:rsidRPr="00F16251">
        <w:rPr>
          <w:rFonts w:eastAsia="Calibri" w:cstheme="minorHAnsi"/>
          <w:bCs/>
          <w:kern w:val="0"/>
          <w14:ligatures w14:val="none"/>
        </w:rPr>
        <w:t>społecznych</w:t>
      </w:r>
      <w:r w:rsidR="003B50ED" w:rsidRPr="00F16251">
        <w:rPr>
          <w:rFonts w:eastAsia="Calibri" w:cstheme="minorHAnsi"/>
          <w:bCs/>
          <w:kern w:val="0"/>
          <w14:ligatures w14:val="none"/>
        </w:rPr>
        <w:t xml:space="preserve"> </w:t>
      </w:r>
      <w:r w:rsidRPr="00F16251">
        <w:rPr>
          <w:rFonts w:eastAsia="Calibri" w:cstheme="minorHAnsi"/>
          <w:bCs/>
          <w:kern w:val="0"/>
          <w14:ligatures w14:val="none"/>
        </w:rPr>
        <w:t>i</w:t>
      </w:r>
      <w:r w:rsidR="003B50ED" w:rsidRPr="00F16251">
        <w:rPr>
          <w:rFonts w:eastAsia="Calibri" w:cstheme="minorHAnsi"/>
          <w:bCs/>
          <w:kern w:val="0"/>
          <w14:ligatures w14:val="none"/>
        </w:rPr>
        <w:t xml:space="preserve"> </w:t>
      </w:r>
      <w:r w:rsidRPr="00F16251">
        <w:rPr>
          <w:rFonts w:eastAsia="Calibri" w:cstheme="minorHAnsi"/>
          <w:bCs/>
          <w:kern w:val="0"/>
          <w14:ligatures w14:val="none"/>
        </w:rPr>
        <w:t>gospodarczych.</w:t>
      </w:r>
      <w:r w:rsidR="003B50ED" w:rsidRPr="00F16251">
        <w:rPr>
          <w:rFonts w:eastAsia="Calibri" w:cstheme="minorHAnsi"/>
          <w:bCs/>
          <w:kern w:val="0"/>
          <w14:ligatures w14:val="none"/>
        </w:rPr>
        <w:t xml:space="preserve"> </w:t>
      </w:r>
      <w:r w:rsidRPr="00F16251">
        <w:rPr>
          <w:rFonts w:eastAsia="Calibri" w:cstheme="minorHAnsi"/>
          <w:bCs/>
          <w:kern w:val="0"/>
          <w14:ligatures w14:val="none"/>
        </w:rPr>
        <w:t>Planowana</w:t>
      </w:r>
      <w:r w:rsidR="003B50ED" w:rsidRPr="00F16251">
        <w:rPr>
          <w:rFonts w:eastAsia="Calibri" w:cstheme="minorHAnsi"/>
          <w:bCs/>
          <w:kern w:val="0"/>
          <w14:ligatures w14:val="none"/>
        </w:rPr>
        <w:t xml:space="preserve"> </w:t>
      </w:r>
      <w:r w:rsidRPr="00F16251">
        <w:rPr>
          <w:rFonts w:eastAsia="Calibri" w:cstheme="minorHAnsi"/>
          <w:bCs/>
          <w:kern w:val="0"/>
          <w14:ligatures w14:val="none"/>
        </w:rPr>
        <w:t>jest</w:t>
      </w:r>
      <w:r w:rsidR="003B50ED" w:rsidRPr="00F16251">
        <w:rPr>
          <w:rFonts w:eastAsia="Calibri" w:cstheme="minorHAnsi"/>
          <w:bCs/>
          <w:kern w:val="0"/>
          <w14:ligatures w14:val="none"/>
        </w:rPr>
        <w:t xml:space="preserve"> </w:t>
      </w:r>
      <w:r w:rsidRPr="00F16251">
        <w:rPr>
          <w:rFonts w:eastAsia="Calibri" w:cstheme="minorHAnsi"/>
          <w:bCs/>
          <w:kern w:val="0"/>
          <w14:ligatures w14:val="none"/>
        </w:rPr>
        <w:t>organizacja</w:t>
      </w:r>
      <w:r w:rsidR="003B50ED" w:rsidRPr="00F16251">
        <w:rPr>
          <w:rFonts w:eastAsia="Calibri" w:cstheme="minorHAnsi"/>
          <w:bCs/>
          <w:kern w:val="0"/>
          <w14:ligatures w14:val="none"/>
        </w:rPr>
        <w:t xml:space="preserve"> </w:t>
      </w:r>
      <w:r w:rsidRPr="00F16251">
        <w:rPr>
          <w:rFonts w:eastAsia="Calibri" w:cstheme="minorHAnsi"/>
          <w:kern w:val="0"/>
          <w14:ligatures w14:val="none"/>
        </w:rPr>
        <w:t>wizyty</w:t>
      </w:r>
      <w:r w:rsidR="003B50ED" w:rsidRPr="00F16251">
        <w:rPr>
          <w:rFonts w:eastAsia="Calibri" w:cstheme="minorHAnsi"/>
          <w:kern w:val="0"/>
          <w14:ligatures w14:val="none"/>
        </w:rPr>
        <w:t xml:space="preserve"> </w:t>
      </w:r>
      <w:r w:rsidRPr="00F16251">
        <w:rPr>
          <w:rFonts w:eastAsia="Calibri" w:cstheme="minorHAnsi"/>
          <w:kern w:val="0"/>
          <w14:ligatures w14:val="none"/>
        </w:rPr>
        <w:t>studyjnej</w:t>
      </w:r>
      <w:r w:rsidR="003B50ED" w:rsidRPr="00F16251">
        <w:rPr>
          <w:rFonts w:eastAsia="Calibri" w:cstheme="minorHAnsi"/>
          <w:kern w:val="0"/>
          <w14:ligatures w14:val="none"/>
        </w:rPr>
        <w:t xml:space="preserve"> </w:t>
      </w:r>
      <w:r w:rsidRPr="00F16251">
        <w:rPr>
          <w:rFonts w:eastAsia="Calibri" w:cstheme="minorHAnsi"/>
          <w:kern w:val="0"/>
          <w14:ligatures w14:val="none"/>
        </w:rPr>
        <w:t>mającej</w:t>
      </w:r>
      <w:r w:rsidR="003B50ED" w:rsidRPr="00F16251">
        <w:rPr>
          <w:rFonts w:eastAsia="Calibri" w:cstheme="minorHAnsi"/>
          <w:kern w:val="0"/>
          <w14:ligatures w14:val="none"/>
        </w:rPr>
        <w:t xml:space="preserve"> </w:t>
      </w:r>
      <w:r w:rsidRPr="00F16251">
        <w:rPr>
          <w:rFonts w:eastAsia="Calibri" w:cstheme="minorHAnsi"/>
          <w:kern w:val="0"/>
          <w14:ligatures w14:val="none"/>
        </w:rPr>
        <w:t>na</w:t>
      </w:r>
      <w:r w:rsidR="003B50ED" w:rsidRPr="00F16251">
        <w:rPr>
          <w:rFonts w:eastAsia="Calibri" w:cstheme="minorHAnsi"/>
          <w:kern w:val="0"/>
          <w14:ligatures w14:val="none"/>
        </w:rPr>
        <w:t xml:space="preserve"> </w:t>
      </w:r>
      <w:r w:rsidRPr="00F16251">
        <w:rPr>
          <w:rFonts w:eastAsia="Calibri" w:cstheme="minorHAnsi"/>
          <w:kern w:val="0"/>
          <w14:ligatures w14:val="none"/>
        </w:rPr>
        <w:t>celu</w:t>
      </w:r>
      <w:r w:rsidR="003B50ED" w:rsidRPr="00F16251">
        <w:rPr>
          <w:rFonts w:eastAsia="Calibri" w:cstheme="minorHAnsi"/>
          <w:kern w:val="0"/>
          <w14:ligatures w14:val="none"/>
        </w:rPr>
        <w:t xml:space="preserve"> </w:t>
      </w:r>
      <w:r w:rsidRPr="00F16251">
        <w:rPr>
          <w:rFonts w:eastAsia="Calibri" w:cstheme="minorHAnsi"/>
          <w:kern w:val="0"/>
          <w14:ligatures w14:val="none"/>
        </w:rPr>
        <w:t>wymianę</w:t>
      </w:r>
      <w:r w:rsidR="003B50ED" w:rsidRPr="00F16251">
        <w:rPr>
          <w:rFonts w:eastAsia="Calibri" w:cstheme="minorHAnsi"/>
          <w:kern w:val="0"/>
          <w14:ligatures w14:val="none"/>
        </w:rPr>
        <w:t xml:space="preserve"> </w:t>
      </w:r>
      <w:r w:rsidRPr="00F16251">
        <w:rPr>
          <w:rFonts w:eastAsia="Calibri" w:cstheme="minorHAnsi"/>
          <w:kern w:val="0"/>
          <w14:ligatures w14:val="none"/>
        </w:rPr>
        <w:t>doświadczeń</w:t>
      </w:r>
      <w:r w:rsidR="003B50ED" w:rsidRPr="00F16251">
        <w:rPr>
          <w:rFonts w:eastAsia="Calibri" w:cstheme="minorHAnsi"/>
          <w:kern w:val="0"/>
          <w14:ligatures w14:val="none"/>
        </w:rPr>
        <w:t xml:space="preserve"> </w:t>
      </w:r>
      <w:r w:rsidRPr="00F16251">
        <w:rPr>
          <w:rFonts w:eastAsia="Calibri" w:cstheme="minorHAnsi"/>
          <w:kern w:val="0"/>
          <w14:ligatures w14:val="none"/>
        </w:rPr>
        <w:t>w</w:t>
      </w:r>
      <w:r w:rsidR="003B50ED" w:rsidRPr="00F16251">
        <w:rPr>
          <w:rFonts w:eastAsia="Calibri" w:cstheme="minorHAnsi"/>
          <w:kern w:val="0"/>
          <w14:ligatures w14:val="none"/>
        </w:rPr>
        <w:t xml:space="preserve"> </w:t>
      </w:r>
      <w:r w:rsidRPr="00F16251">
        <w:rPr>
          <w:rFonts w:eastAsia="Calibri" w:cstheme="minorHAnsi"/>
          <w:kern w:val="0"/>
          <w14:ligatures w14:val="none"/>
        </w:rPr>
        <w:t>zakresie</w:t>
      </w:r>
      <w:r w:rsidR="003B50ED" w:rsidRPr="00F16251">
        <w:rPr>
          <w:rFonts w:eastAsia="Calibri" w:cstheme="minorHAnsi"/>
          <w:kern w:val="0"/>
          <w14:ligatures w14:val="none"/>
        </w:rPr>
        <w:t xml:space="preserve"> </w:t>
      </w:r>
      <w:r w:rsidRPr="00F16251">
        <w:rPr>
          <w:rFonts w:eastAsia="Calibri" w:cstheme="minorHAnsi"/>
          <w:kern w:val="0"/>
          <w14:ligatures w14:val="none"/>
        </w:rPr>
        <w:t>sposobów</w:t>
      </w:r>
      <w:r w:rsidR="003B50ED" w:rsidRPr="00F16251">
        <w:rPr>
          <w:rFonts w:eastAsia="Calibri" w:cstheme="minorHAnsi"/>
          <w:kern w:val="0"/>
          <w14:ligatures w14:val="none"/>
        </w:rPr>
        <w:t xml:space="preserve"> </w:t>
      </w:r>
      <w:r w:rsidRPr="00F16251">
        <w:rPr>
          <w:rFonts w:eastAsia="Calibri" w:cstheme="minorHAnsi"/>
          <w:kern w:val="0"/>
          <w14:ligatures w14:val="none"/>
        </w:rPr>
        <w:t>wykorzystania</w:t>
      </w:r>
      <w:r w:rsidR="003B50ED" w:rsidRPr="00F16251">
        <w:rPr>
          <w:rFonts w:eastAsia="Calibri" w:cstheme="minorHAnsi"/>
          <w:kern w:val="0"/>
          <w14:ligatures w14:val="none"/>
        </w:rPr>
        <w:t xml:space="preserve"> </w:t>
      </w:r>
      <w:r w:rsidRPr="00F16251">
        <w:rPr>
          <w:rFonts w:eastAsia="Calibri" w:cstheme="minorHAnsi"/>
          <w:kern w:val="0"/>
          <w14:ligatures w14:val="none"/>
        </w:rPr>
        <w:t>lokalnych</w:t>
      </w:r>
      <w:r w:rsidR="003B50ED" w:rsidRPr="00F16251">
        <w:rPr>
          <w:rFonts w:eastAsia="Calibri" w:cstheme="minorHAnsi"/>
          <w:kern w:val="0"/>
          <w14:ligatures w14:val="none"/>
        </w:rPr>
        <w:t xml:space="preserve"> </w:t>
      </w:r>
      <w:r w:rsidRPr="00F16251">
        <w:rPr>
          <w:rFonts w:eastAsia="Calibri" w:cstheme="minorHAnsi"/>
          <w:kern w:val="0"/>
          <w14:ligatures w14:val="none"/>
        </w:rPr>
        <w:t>walorów,</w:t>
      </w:r>
      <w:r w:rsidR="003B50ED" w:rsidRPr="00F16251">
        <w:rPr>
          <w:rFonts w:eastAsia="Calibri" w:cstheme="minorHAnsi"/>
          <w:kern w:val="0"/>
          <w14:ligatures w14:val="none"/>
        </w:rPr>
        <w:t xml:space="preserve"> </w:t>
      </w:r>
      <w:r w:rsidRPr="00F16251">
        <w:rPr>
          <w:rFonts w:eastAsia="Calibri" w:cstheme="minorHAnsi"/>
          <w:kern w:val="0"/>
          <w14:ligatures w14:val="none"/>
        </w:rPr>
        <w:t>możliwości</w:t>
      </w:r>
      <w:r w:rsidR="003B50ED" w:rsidRPr="00F16251">
        <w:rPr>
          <w:rFonts w:eastAsia="Calibri" w:cstheme="minorHAnsi"/>
          <w:kern w:val="0"/>
          <w14:ligatures w14:val="none"/>
        </w:rPr>
        <w:t xml:space="preserve"> </w:t>
      </w:r>
      <w:r w:rsidRPr="00F16251">
        <w:rPr>
          <w:rFonts w:eastAsia="Calibri" w:cstheme="minorHAnsi"/>
          <w:kern w:val="0"/>
          <w14:ligatures w14:val="none"/>
        </w:rPr>
        <w:t>rozwoju</w:t>
      </w:r>
      <w:r w:rsidR="003B50ED">
        <w:rPr>
          <w:rFonts w:eastAsia="Calibri" w:cstheme="minorHAnsi"/>
          <w:kern w:val="0"/>
          <w14:ligatures w14:val="none"/>
        </w:rPr>
        <w:t xml:space="preserve"> </w:t>
      </w:r>
      <w:r w:rsidRPr="00A26C26">
        <w:rPr>
          <w:rFonts w:eastAsia="Calibri" w:cstheme="minorHAnsi"/>
          <w:kern w:val="0"/>
          <w14:ligatures w14:val="none"/>
        </w:rPr>
        <w:t>turystyki</w:t>
      </w:r>
      <w:r w:rsidR="003B50ED">
        <w:rPr>
          <w:rFonts w:eastAsia="Calibri" w:cstheme="minorHAnsi"/>
          <w:kern w:val="0"/>
          <w14:ligatures w14:val="none"/>
        </w:rPr>
        <w:t xml:space="preserve"> </w:t>
      </w:r>
      <w:r w:rsidRPr="00A26C26">
        <w:rPr>
          <w:rFonts w:eastAsia="Calibri" w:cstheme="minorHAnsi"/>
          <w:kern w:val="0"/>
          <w14:ligatures w14:val="none"/>
        </w:rPr>
        <w:t>wiejskiej,</w:t>
      </w:r>
      <w:r w:rsidR="003B50ED">
        <w:rPr>
          <w:rFonts w:eastAsia="Calibri" w:cstheme="minorHAnsi"/>
          <w:kern w:val="0"/>
          <w14:ligatures w14:val="none"/>
        </w:rPr>
        <w:t xml:space="preserve"> </w:t>
      </w:r>
      <w:r w:rsidRPr="00A26C26">
        <w:rPr>
          <w:rFonts w:eastAsia="Calibri" w:cstheme="minorHAnsi"/>
          <w:kern w:val="0"/>
          <w14:ligatures w14:val="none"/>
        </w:rPr>
        <w:t>wymiany</w:t>
      </w:r>
      <w:r w:rsidR="003B50ED">
        <w:rPr>
          <w:rFonts w:eastAsia="Calibri" w:cstheme="minorHAnsi"/>
          <w:kern w:val="0"/>
          <w14:ligatures w14:val="none"/>
        </w:rPr>
        <w:t xml:space="preserve"> </w:t>
      </w:r>
      <w:r w:rsidRPr="00A26C26">
        <w:rPr>
          <w:rFonts w:eastAsia="Calibri" w:cstheme="minorHAnsi"/>
          <w:kern w:val="0"/>
          <w14:ligatures w14:val="none"/>
        </w:rPr>
        <w:t>doświadczeń</w:t>
      </w:r>
      <w:r w:rsidR="003B50ED">
        <w:rPr>
          <w:rFonts w:eastAsia="Calibri" w:cstheme="minorHAnsi"/>
          <w:kern w:val="0"/>
          <w14:ligatures w14:val="none"/>
        </w:rPr>
        <w:t xml:space="preserve"> </w:t>
      </w:r>
      <w:r w:rsidRPr="00A26C26">
        <w:rPr>
          <w:rFonts w:eastAsia="Calibri" w:cstheme="minorHAnsi"/>
          <w:kern w:val="0"/>
          <w14:ligatures w14:val="none"/>
        </w:rPr>
        <w:t>w</w:t>
      </w:r>
      <w:r w:rsidR="003B50ED">
        <w:rPr>
          <w:rFonts w:eastAsia="Calibri" w:cstheme="minorHAnsi"/>
          <w:kern w:val="0"/>
          <w14:ligatures w14:val="none"/>
        </w:rPr>
        <w:t xml:space="preserve"> </w:t>
      </w:r>
      <w:r w:rsidRPr="00A26C26">
        <w:rPr>
          <w:rFonts w:eastAsia="Calibri" w:cstheme="minorHAnsi"/>
          <w:kern w:val="0"/>
          <w14:ligatures w14:val="none"/>
        </w:rPr>
        <w:t>zakresie</w:t>
      </w:r>
      <w:r w:rsidR="003B50ED">
        <w:rPr>
          <w:rFonts w:eastAsia="Calibri" w:cstheme="minorHAnsi"/>
          <w:kern w:val="0"/>
          <w14:ligatures w14:val="none"/>
        </w:rPr>
        <w:t xml:space="preserve"> </w:t>
      </w:r>
      <w:r w:rsidRPr="00A26C26">
        <w:rPr>
          <w:rFonts w:eastAsia="Calibri" w:cstheme="minorHAnsi"/>
          <w:kern w:val="0"/>
          <w14:ligatures w14:val="none"/>
        </w:rPr>
        <w:t>dziedzictwa</w:t>
      </w:r>
      <w:r w:rsidR="003B50ED">
        <w:rPr>
          <w:rFonts w:eastAsia="Calibri" w:cstheme="minorHAnsi"/>
          <w:kern w:val="0"/>
          <w14:ligatures w14:val="none"/>
        </w:rPr>
        <w:t xml:space="preserve"> </w:t>
      </w:r>
      <w:r w:rsidRPr="00A26C26">
        <w:rPr>
          <w:rFonts w:eastAsia="Calibri" w:cstheme="minorHAnsi"/>
          <w:kern w:val="0"/>
          <w14:ligatures w14:val="none"/>
        </w:rPr>
        <w:t>kulturowego,</w:t>
      </w:r>
      <w:r w:rsidR="003B50ED">
        <w:rPr>
          <w:rFonts w:eastAsia="Calibri" w:cstheme="minorHAnsi"/>
          <w:kern w:val="0"/>
          <w14:ligatures w14:val="none"/>
        </w:rPr>
        <w:t xml:space="preserve"> </w:t>
      </w:r>
      <w:r w:rsidRPr="00A26C26">
        <w:rPr>
          <w:rFonts w:eastAsia="Calibri" w:cstheme="minorHAnsi"/>
          <w:kern w:val="0"/>
          <w14:ligatures w14:val="none"/>
        </w:rPr>
        <w:t>kulinarnego,</w:t>
      </w:r>
      <w:r w:rsidR="003B50ED">
        <w:rPr>
          <w:rFonts w:eastAsia="Calibri" w:cstheme="minorHAnsi"/>
          <w:kern w:val="0"/>
          <w14:ligatures w14:val="none"/>
        </w:rPr>
        <w:t xml:space="preserve"> </w:t>
      </w:r>
      <w:r w:rsidRPr="00A26C26">
        <w:rPr>
          <w:rFonts w:eastAsia="Calibri" w:cstheme="minorHAnsi"/>
          <w:kern w:val="0"/>
          <w14:ligatures w14:val="none"/>
        </w:rPr>
        <w:t>przyrodniczego,</w:t>
      </w:r>
      <w:r w:rsidR="003B50ED">
        <w:rPr>
          <w:rFonts w:eastAsia="Calibri" w:cstheme="minorHAnsi"/>
          <w:kern w:val="0"/>
          <w14:ligatures w14:val="none"/>
        </w:rPr>
        <w:t xml:space="preserve"> </w:t>
      </w:r>
      <w:r w:rsidRPr="00A26C26">
        <w:rPr>
          <w:rFonts w:eastAsia="Calibri" w:cstheme="minorHAnsi"/>
          <w:kern w:val="0"/>
          <w14:ligatures w14:val="none"/>
        </w:rPr>
        <w:t>a</w:t>
      </w:r>
      <w:r w:rsidR="003B50ED">
        <w:rPr>
          <w:rFonts w:eastAsia="Calibri" w:cstheme="minorHAnsi"/>
          <w:kern w:val="0"/>
          <w14:ligatures w14:val="none"/>
        </w:rPr>
        <w:t xml:space="preserve"> </w:t>
      </w:r>
      <w:r w:rsidRPr="00A26C26">
        <w:rPr>
          <w:rFonts w:eastAsia="Calibri" w:cstheme="minorHAnsi"/>
          <w:kern w:val="0"/>
          <w14:ligatures w14:val="none"/>
        </w:rPr>
        <w:t>także</w:t>
      </w:r>
      <w:r w:rsidR="003B50ED">
        <w:rPr>
          <w:rFonts w:eastAsia="Calibri" w:cstheme="minorHAnsi"/>
          <w:kern w:val="0"/>
          <w14:ligatures w14:val="none"/>
        </w:rPr>
        <w:t xml:space="preserve"> </w:t>
      </w:r>
      <w:r w:rsidRPr="00A26C26">
        <w:rPr>
          <w:rFonts w:eastAsia="Calibri" w:cstheme="minorHAnsi"/>
          <w:kern w:val="0"/>
          <w14:ligatures w14:val="none"/>
        </w:rPr>
        <w:t>organizacja</w:t>
      </w:r>
      <w:r w:rsidR="003B50ED">
        <w:rPr>
          <w:rFonts w:eastAsia="Calibri" w:cstheme="minorHAnsi"/>
          <w:kern w:val="0"/>
          <w14:ligatures w14:val="none"/>
        </w:rPr>
        <w:t xml:space="preserve"> </w:t>
      </w:r>
      <w:r w:rsidRPr="00A26C26">
        <w:rPr>
          <w:rFonts w:eastAsia="Calibri" w:cstheme="minorHAnsi"/>
          <w:kern w:val="0"/>
          <w14:ligatures w14:val="none"/>
        </w:rPr>
        <w:t>warsztatów,</w:t>
      </w:r>
      <w:r w:rsidR="003B50ED">
        <w:rPr>
          <w:rFonts w:eastAsia="Calibri" w:cstheme="minorHAnsi"/>
          <w:kern w:val="0"/>
          <w14:ligatures w14:val="none"/>
        </w:rPr>
        <w:t xml:space="preserve"> </w:t>
      </w:r>
      <w:r w:rsidRPr="00A26C26">
        <w:rPr>
          <w:rFonts w:eastAsia="Calibri" w:cstheme="minorHAnsi"/>
          <w:kern w:val="0"/>
          <w14:ligatures w14:val="none"/>
        </w:rPr>
        <w:t>imprez</w:t>
      </w:r>
      <w:r w:rsidR="003B50ED">
        <w:rPr>
          <w:rFonts w:eastAsia="Calibri" w:cstheme="minorHAnsi"/>
          <w:kern w:val="0"/>
          <w14:ligatures w14:val="none"/>
        </w:rPr>
        <w:t xml:space="preserve"> </w:t>
      </w:r>
      <w:r w:rsidRPr="00A26C26">
        <w:rPr>
          <w:rFonts w:eastAsia="Calibri" w:cstheme="minorHAnsi"/>
          <w:kern w:val="0"/>
          <w14:ligatures w14:val="none"/>
        </w:rPr>
        <w:t>tematycznych.</w:t>
      </w:r>
    </w:p>
    <w:p w14:paraId="502917CF" w14:textId="20973BBE" w:rsidR="002C63F4" w:rsidRPr="00A26C26" w:rsidRDefault="002C63F4" w:rsidP="00A26C26">
      <w:pPr>
        <w:spacing w:line="276" w:lineRule="auto"/>
        <w:jc w:val="both"/>
        <w:rPr>
          <w:rFonts w:eastAsia="Calibri" w:cstheme="minorHAnsi"/>
          <w:kern w:val="0"/>
          <w14:ligatures w14:val="none"/>
        </w:rPr>
      </w:pPr>
      <w:r w:rsidRPr="00A26C26">
        <w:rPr>
          <w:rFonts w:eastAsia="Calibri" w:cstheme="minorHAnsi"/>
          <w:kern w:val="0"/>
          <w14:ligatures w14:val="none"/>
        </w:rPr>
        <w:t>Przedsięwzięcie</w:t>
      </w:r>
      <w:r w:rsidR="003B50ED">
        <w:rPr>
          <w:rFonts w:eastAsia="Calibri" w:cstheme="minorHAnsi"/>
          <w:kern w:val="0"/>
          <w14:ligatures w14:val="none"/>
        </w:rPr>
        <w:t xml:space="preserve"> </w:t>
      </w:r>
      <w:r w:rsidRPr="00A26C26">
        <w:rPr>
          <w:rFonts w:eastAsia="Calibri" w:cstheme="minorHAnsi"/>
          <w:kern w:val="0"/>
          <w14:ligatures w14:val="none"/>
        </w:rPr>
        <w:t>realizowane</w:t>
      </w:r>
      <w:r w:rsidR="003B50ED">
        <w:rPr>
          <w:rFonts w:eastAsia="Calibri" w:cstheme="minorHAnsi"/>
          <w:kern w:val="0"/>
          <w14:ligatures w14:val="none"/>
        </w:rPr>
        <w:t xml:space="preserve"> </w:t>
      </w:r>
      <w:r w:rsidRPr="00A26C26">
        <w:rPr>
          <w:rFonts w:eastAsia="Calibri" w:cstheme="minorHAnsi"/>
          <w:kern w:val="0"/>
          <w14:ligatures w14:val="none"/>
        </w:rPr>
        <w:t>będzie</w:t>
      </w:r>
      <w:r w:rsidR="003B50ED">
        <w:rPr>
          <w:rFonts w:eastAsia="Calibri" w:cstheme="minorHAnsi"/>
          <w:kern w:val="0"/>
          <w14:ligatures w14:val="none"/>
        </w:rPr>
        <w:t xml:space="preserve"> </w:t>
      </w:r>
      <w:r w:rsidRPr="00A26C26">
        <w:rPr>
          <w:rFonts w:eastAsia="Calibri" w:cstheme="minorHAnsi"/>
          <w:kern w:val="0"/>
          <w14:ligatures w14:val="none"/>
        </w:rPr>
        <w:t>w</w:t>
      </w:r>
      <w:r w:rsidR="003B50ED">
        <w:rPr>
          <w:rFonts w:eastAsia="Calibri" w:cstheme="minorHAnsi"/>
          <w:kern w:val="0"/>
          <w14:ligatures w14:val="none"/>
        </w:rPr>
        <w:t xml:space="preserve"> </w:t>
      </w:r>
      <w:r w:rsidRPr="00A26C26">
        <w:rPr>
          <w:rFonts w:eastAsia="Calibri" w:cstheme="minorHAnsi"/>
          <w:kern w:val="0"/>
          <w14:ligatures w14:val="none"/>
        </w:rPr>
        <w:t>formie</w:t>
      </w:r>
      <w:r w:rsidR="003B50ED">
        <w:rPr>
          <w:rFonts w:eastAsia="Calibri" w:cstheme="minorHAnsi"/>
          <w:kern w:val="0"/>
          <w14:ligatures w14:val="none"/>
        </w:rPr>
        <w:t xml:space="preserve"> </w:t>
      </w:r>
      <w:r w:rsidRPr="00A26C26">
        <w:rPr>
          <w:rFonts w:eastAsia="Calibri" w:cstheme="minorHAnsi"/>
          <w:kern w:val="0"/>
          <w14:ligatures w14:val="none"/>
        </w:rPr>
        <w:t>konkursów.</w:t>
      </w:r>
      <w:r w:rsidR="003B50ED">
        <w:rPr>
          <w:rFonts w:eastAsia="Calibri" w:cstheme="minorHAnsi"/>
          <w:kern w:val="0"/>
          <w14:ligatures w14:val="none"/>
        </w:rPr>
        <w:t xml:space="preserve"> </w:t>
      </w:r>
      <w:r w:rsidRPr="00A26C26">
        <w:rPr>
          <w:rFonts w:eastAsia="Calibri" w:cstheme="minorHAnsi"/>
          <w:kern w:val="0"/>
          <w14:ligatures w14:val="none"/>
        </w:rPr>
        <w:t>Będą</w:t>
      </w:r>
      <w:r w:rsidR="003B50ED">
        <w:rPr>
          <w:rFonts w:eastAsia="Calibri" w:cstheme="minorHAnsi"/>
          <w:kern w:val="0"/>
          <w14:ligatures w14:val="none"/>
        </w:rPr>
        <w:t xml:space="preserve"> </w:t>
      </w:r>
      <w:r w:rsidRPr="00A26C26">
        <w:rPr>
          <w:rFonts w:eastAsia="Calibri" w:cstheme="minorHAnsi"/>
          <w:kern w:val="0"/>
          <w14:ligatures w14:val="none"/>
        </w:rPr>
        <w:t>to</w:t>
      </w:r>
      <w:r w:rsidR="003B50ED">
        <w:rPr>
          <w:rFonts w:eastAsia="Calibri" w:cstheme="minorHAnsi"/>
          <w:kern w:val="0"/>
          <w14:ligatures w14:val="none"/>
        </w:rPr>
        <w:t xml:space="preserve"> </w:t>
      </w:r>
      <w:r w:rsidRPr="00A26C26">
        <w:rPr>
          <w:rFonts w:eastAsia="Calibri" w:cstheme="minorHAnsi"/>
          <w:kern w:val="0"/>
          <w14:ligatures w14:val="none"/>
        </w:rPr>
        <w:t>operacje</w:t>
      </w:r>
      <w:r w:rsidR="003B50ED">
        <w:rPr>
          <w:rFonts w:eastAsia="Calibri" w:cstheme="minorHAnsi"/>
          <w:kern w:val="0"/>
          <w14:ligatures w14:val="none"/>
        </w:rPr>
        <w:t xml:space="preserve"> </w:t>
      </w:r>
      <w:r w:rsidRPr="00A26C26">
        <w:rPr>
          <w:rFonts w:eastAsia="Calibri" w:cstheme="minorHAnsi"/>
          <w:kern w:val="0"/>
          <w14:ligatures w14:val="none"/>
        </w:rPr>
        <w:t>nieprodukcyjne.</w:t>
      </w:r>
      <w:r w:rsidR="003B50ED">
        <w:rPr>
          <w:rFonts w:eastAsia="Calibri" w:cstheme="minorHAnsi"/>
          <w:kern w:val="0"/>
          <w14:ligatures w14:val="none"/>
        </w:rPr>
        <w:t xml:space="preserve"> </w:t>
      </w:r>
      <w:r w:rsidRPr="00A26C26">
        <w:rPr>
          <w:rFonts w:eastAsia="Calibri" w:cstheme="minorHAnsi"/>
          <w:kern w:val="0"/>
          <w14:ligatures w14:val="none"/>
        </w:rPr>
        <w:t>Źródłem</w:t>
      </w:r>
      <w:r w:rsidR="003B50ED">
        <w:rPr>
          <w:rFonts w:eastAsia="Calibri" w:cstheme="minorHAnsi"/>
          <w:kern w:val="0"/>
          <w14:ligatures w14:val="none"/>
        </w:rPr>
        <w:t xml:space="preserve"> </w:t>
      </w:r>
      <w:r w:rsidRPr="00A26C26">
        <w:rPr>
          <w:rFonts w:eastAsia="Calibri" w:cstheme="minorHAnsi"/>
          <w:kern w:val="0"/>
          <w14:ligatures w14:val="none"/>
        </w:rPr>
        <w:t>finansowania</w:t>
      </w:r>
      <w:r w:rsidR="003B50ED">
        <w:rPr>
          <w:rFonts w:eastAsia="Calibri" w:cstheme="minorHAnsi"/>
          <w:kern w:val="0"/>
          <w14:ligatures w14:val="none"/>
        </w:rPr>
        <w:t xml:space="preserve"> </w:t>
      </w:r>
      <w:r w:rsidRPr="00A26C26">
        <w:rPr>
          <w:rFonts w:eastAsia="Calibri" w:cstheme="minorHAnsi"/>
          <w:kern w:val="0"/>
          <w14:ligatures w14:val="none"/>
        </w:rPr>
        <w:t>będzie</w:t>
      </w:r>
      <w:r w:rsidR="003B50ED">
        <w:rPr>
          <w:rFonts w:eastAsia="Calibri" w:cstheme="minorHAnsi"/>
          <w:kern w:val="0"/>
          <w14:ligatures w14:val="none"/>
        </w:rPr>
        <w:t xml:space="preserve"> </w:t>
      </w:r>
      <w:r w:rsidRPr="00A26C26">
        <w:rPr>
          <w:rFonts w:eastAsia="Calibri" w:cstheme="minorHAnsi"/>
          <w:kern w:val="0"/>
          <w14:ligatures w14:val="none"/>
        </w:rPr>
        <w:t>EFRROW.</w:t>
      </w:r>
      <w:r w:rsidR="003B50ED">
        <w:rPr>
          <w:rFonts w:eastAsia="Calibri" w:cstheme="minorHAnsi"/>
          <w:kern w:val="0"/>
          <w14:ligatures w14:val="none"/>
        </w:rPr>
        <w:t xml:space="preserve"> </w:t>
      </w:r>
      <w:r w:rsidRPr="00A26C26">
        <w:rPr>
          <w:rFonts w:eastAsia="Calibri" w:cstheme="minorHAnsi"/>
          <w:kern w:val="0"/>
          <w14:ligatures w14:val="none"/>
        </w:rPr>
        <w:t>Wnioskodawcami</w:t>
      </w:r>
      <w:r w:rsidR="003B50ED">
        <w:rPr>
          <w:rFonts w:eastAsia="Calibri" w:cstheme="minorHAnsi"/>
          <w:kern w:val="0"/>
          <w14:ligatures w14:val="none"/>
        </w:rPr>
        <w:t xml:space="preserve"> </w:t>
      </w:r>
      <w:r w:rsidRPr="00A26C26">
        <w:rPr>
          <w:rFonts w:eastAsia="Calibri" w:cstheme="minorHAnsi"/>
          <w:kern w:val="0"/>
          <w14:ligatures w14:val="none"/>
        </w:rPr>
        <w:t>będą</w:t>
      </w:r>
      <w:r w:rsidR="003B50ED">
        <w:rPr>
          <w:rFonts w:eastAsia="Calibri" w:cstheme="minorHAnsi"/>
          <w:kern w:val="0"/>
          <w14:ligatures w14:val="none"/>
        </w:rPr>
        <w:t xml:space="preserve"> </w:t>
      </w:r>
      <w:r w:rsidRPr="00A26C26">
        <w:rPr>
          <w:rFonts w:eastAsia="Calibri" w:cstheme="minorHAnsi"/>
          <w:kern w:val="0"/>
          <w14:ligatures w14:val="none"/>
        </w:rPr>
        <w:t>samorządy,</w:t>
      </w:r>
      <w:r w:rsidR="003B50ED">
        <w:rPr>
          <w:rFonts w:eastAsia="Calibri" w:cstheme="minorHAnsi"/>
          <w:kern w:val="0"/>
          <w14:ligatures w14:val="none"/>
        </w:rPr>
        <w:t xml:space="preserve"> </w:t>
      </w:r>
      <w:r w:rsidRPr="00A26C26">
        <w:rPr>
          <w:rFonts w:eastAsia="Calibri" w:cstheme="minorHAnsi"/>
          <w:kern w:val="0"/>
          <w14:ligatures w14:val="none"/>
        </w:rPr>
        <w:t>organizacje</w:t>
      </w:r>
      <w:r w:rsidR="003B50ED">
        <w:rPr>
          <w:rFonts w:eastAsia="Calibri" w:cstheme="minorHAnsi"/>
          <w:kern w:val="0"/>
          <w14:ligatures w14:val="none"/>
        </w:rPr>
        <w:t xml:space="preserve"> </w:t>
      </w:r>
      <w:r w:rsidRPr="00A26C26">
        <w:rPr>
          <w:rFonts w:eastAsia="Calibri" w:cstheme="minorHAnsi"/>
          <w:kern w:val="0"/>
          <w14:ligatures w14:val="none"/>
        </w:rPr>
        <w:t>pozarządowe.</w:t>
      </w:r>
      <w:r w:rsidR="003B50ED">
        <w:rPr>
          <w:rFonts w:eastAsia="Calibri" w:cstheme="minorHAnsi"/>
          <w:kern w:val="0"/>
          <w14:ligatures w14:val="none"/>
        </w:rPr>
        <w:t xml:space="preserve"> </w:t>
      </w:r>
      <w:r w:rsidRPr="00A26C26">
        <w:rPr>
          <w:rFonts w:eastAsia="Calibri" w:cstheme="minorHAnsi"/>
          <w:kern w:val="0"/>
          <w14:ligatures w14:val="none"/>
        </w:rPr>
        <w:t>Grupy</w:t>
      </w:r>
      <w:r w:rsidR="003B50ED">
        <w:rPr>
          <w:rFonts w:eastAsia="Calibri" w:cstheme="minorHAnsi"/>
          <w:kern w:val="0"/>
          <w14:ligatures w14:val="none"/>
        </w:rPr>
        <w:t xml:space="preserve"> </w:t>
      </w:r>
      <w:r w:rsidRPr="00A26C26">
        <w:rPr>
          <w:rFonts w:eastAsia="Calibri" w:cstheme="minorHAnsi"/>
          <w:kern w:val="0"/>
          <w14:ligatures w14:val="none"/>
        </w:rPr>
        <w:t>docelowe:</w:t>
      </w:r>
      <w:r w:rsidR="003B50ED">
        <w:rPr>
          <w:rFonts w:eastAsia="Calibri" w:cstheme="minorHAnsi"/>
          <w:kern w:val="0"/>
          <w14:ligatures w14:val="none"/>
        </w:rPr>
        <w:t xml:space="preserve"> </w:t>
      </w:r>
      <w:r w:rsidRPr="00A26C26">
        <w:rPr>
          <w:rFonts w:eastAsia="Calibri" w:cstheme="minorHAnsi"/>
          <w:kern w:val="0"/>
          <w14:ligatures w14:val="none"/>
        </w:rPr>
        <w:t>Organizacje</w:t>
      </w:r>
      <w:r w:rsidR="003B50ED">
        <w:rPr>
          <w:rFonts w:eastAsia="Calibri" w:cstheme="minorHAnsi"/>
          <w:kern w:val="0"/>
          <w14:ligatures w14:val="none"/>
        </w:rPr>
        <w:t xml:space="preserve"> </w:t>
      </w:r>
      <w:r w:rsidRPr="00A26C26">
        <w:rPr>
          <w:rFonts w:eastAsia="Calibri" w:cstheme="minorHAnsi"/>
          <w:kern w:val="0"/>
          <w14:ligatures w14:val="none"/>
        </w:rPr>
        <w:t>pozarządowe</w:t>
      </w:r>
      <w:r w:rsidR="003B50ED">
        <w:rPr>
          <w:rFonts w:eastAsia="Calibri" w:cstheme="minorHAnsi"/>
          <w:kern w:val="0"/>
          <w14:ligatures w14:val="none"/>
        </w:rPr>
        <w:t xml:space="preserve"> </w:t>
      </w:r>
      <w:r w:rsidRPr="00A26C26">
        <w:rPr>
          <w:rFonts w:eastAsia="Calibri" w:cstheme="minorHAnsi"/>
          <w:kern w:val="0"/>
          <w14:ligatures w14:val="none"/>
        </w:rPr>
        <w:t>(w</w:t>
      </w:r>
      <w:r w:rsidR="003B50ED">
        <w:rPr>
          <w:rFonts w:eastAsia="Calibri" w:cstheme="minorHAnsi"/>
          <w:kern w:val="0"/>
          <w14:ligatures w14:val="none"/>
        </w:rPr>
        <w:t xml:space="preserve"> </w:t>
      </w:r>
      <w:r w:rsidRPr="00A26C26">
        <w:rPr>
          <w:rFonts w:eastAsia="Calibri" w:cstheme="minorHAnsi"/>
          <w:kern w:val="0"/>
          <w14:ligatures w14:val="none"/>
        </w:rPr>
        <w:t>tym</w:t>
      </w:r>
      <w:r w:rsidR="003B50ED">
        <w:rPr>
          <w:rFonts w:eastAsia="Calibri" w:cstheme="minorHAnsi"/>
          <w:kern w:val="0"/>
          <w14:ligatures w14:val="none"/>
        </w:rPr>
        <w:t xml:space="preserve"> </w:t>
      </w:r>
      <w:r w:rsidRPr="00A26C26">
        <w:rPr>
          <w:rFonts w:eastAsia="Calibri" w:cstheme="minorHAnsi"/>
          <w:kern w:val="0"/>
          <w14:ligatures w14:val="none"/>
        </w:rPr>
        <w:t>grupy</w:t>
      </w:r>
      <w:r w:rsidR="003B50ED">
        <w:rPr>
          <w:rFonts w:eastAsia="Calibri" w:cstheme="minorHAnsi"/>
          <w:kern w:val="0"/>
          <w14:ligatures w14:val="none"/>
        </w:rPr>
        <w:t xml:space="preserve"> </w:t>
      </w:r>
      <w:r w:rsidRPr="00A26C26">
        <w:rPr>
          <w:rFonts w:eastAsia="Calibri" w:cstheme="minorHAnsi"/>
          <w:kern w:val="0"/>
          <w14:ligatures w14:val="none"/>
        </w:rPr>
        <w:t>nieformalne),</w:t>
      </w:r>
      <w:r w:rsidR="003B50ED">
        <w:rPr>
          <w:rFonts w:eastAsia="Calibri" w:cstheme="minorHAnsi"/>
          <w:kern w:val="0"/>
          <w14:ligatures w14:val="none"/>
        </w:rPr>
        <w:t xml:space="preserve"> </w:t>
      </w:r>
      <w:r w:rsidRPr="00A26C26">
        <w:rPr>
          <w:rFonts w:eastAsia="Calibri" w:cstheme="minorHAnsi"/>
          <w:kern w:val="0"/>
          <w14:ligatures w14:val="none"/>
        </w:rPr>
        <w:t>przedsiębiorcy,</w:t>
      </w:r>
      <w:r w:rsidR="003B50ED">
        <w:rPr>
          <w:rFonts w:eastAsia="Calibri" w:cstheme="minorHAnsi"/>
          <w:kern w:val="0"/>
          <w14:ligatures w14:val="none"/>
        </w:rPr>
        <w:t xml:space="preserve"> </w:t>
      </w:r>
      <w:r w:rsidRPr="00A26C26">
        <w:rPr>
          <w:rFonts w:eastAsia="Calibri" w:cstheme="minorHAnsi"/>
          <w:kern w:val="0"/>
          <w14:ligatures w14:val="none"/>
        </w:rPr>
        <w:t>jednostki</w:t>
      </w:r>
      <w:r w:rsidR="003B50ED">
        <w:rPr>
          <w:rFonts w:eastAsia="Calibri" w:cstheme="minorHAnsi"/>
          <w:kern w:val="0"/>
          <w14:ligatures w14:val="none"/>
        </w:rPr>
        <w:t xml:space="preserve"> </w:t>
      </w:r>
      <w:r w:rsidRPr="00A26C26">
        <w:rPr>
          <w:rFonts w:eastAsia="Calibri" w:cstheme="minorHAnsi"/>
          <w:kern w:val="0"/>
          <w14:ligatures w14:val="none"/>
        </w:rPr>
        <w:t>samorządu</w:t>
      </w:r>
      <w:r w:rsidR="003B50ED">
        <w:rPr>
          <w:rFonts w:eastAsia="Calibri" w:cstheme="minorHAnsi"/>
          <w:kern w:val="0"/>
          <w14:ligatures w14:val="none"/>
        </w:rPr>
        <w:t xml:space="preserve"> </w:t>
      </w:r>
      <w:r w:rsidRPr="00A26C26">
        <w:rPr>
          <w:rFonts w:eastAsia="Calibri" w:cstheme="minorHAnsi"/>
          <w:kern w:val="0"/>
          <w14:ligatures w14:val="none"/>
        </w:rPr>
        <w:t>terytorialnego.</w:t>
      </w:r>
    </w:p>
    <w:p w14:paraId="53834A86" w14:textId="7B805D84" w:rsidR="002C63F4" w:rsidRPr="00A26C26" w:rsidRDefault="002C63F4" w:rsidP="00A26C26">
      <w:pPr>
        <w:spacing w:line="276" w:lineRule="auto"/>
        <w:jc w:val="both"/>
        <w:rPr>
          <w:rFonts w:eastAsia="Calibri" w:cstheme="minorHAnsi"/>
          <w:b/>
          <w:bCs/>
          <w:color w:val="000000"/>
          <w:kern w:val="0"/>
          <w14:ligatures w14:val="none"/>
        </w:rPr>
      </w:pPr>
      <w:r w:rsidRPr="00A26C26">
        <w:rPr>
          <w:rFonts w:eastAsia="Calibri" w:cstheme="minorHAnsi"/>
          <w:b/>
          <w:bCs/>
          <w:color w:val="000000"/>
          <w:kern w:val="0"/>
          <w14:ligatures w14:val="none"/>
        </w:rPr>
        <w:t>Wskaźnik</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PRODUKTU:</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Liczba</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projektów</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partnerskich</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ukierunkowanych</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na</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aktywizację</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mieszkańców</w:t>
      </w:r>
      <w:r w:rsidR="003B50ED">
        <w:rPr>
          <w:rFonts w:eastAsia="Calibri" w:cstheme="minorHAnsi"/>
          <w:b/>
          <w:bCs/>
          <w:color w:val="000000"/>
          <w:kern w:val="0"/>
          <w14:ligatures w14:val="none"/>
        </w:rPr>
        <w:t xml:space="preserve"> </w:t>
      </w:r>
      <w:r w:rsidR="00F65DB9">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i</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poznawanie</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dobrych</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praktyk</w:t>
      </w:r>
    </w:p>
    <w:p w14:paraId="6ECEC6DA" w14:textId="398A47DF" w:rsidR="002C63F4" w:rsidRPr="00A26C26" w:rsidRDefault="002C63F4" w:rsidP="00A26C26">
      <w:pPr>
        <w:spacing w:line="276" w:lineRule="auto"/>
        <w:jc w:val="both"/>
        <w:rPr>
          <w:rFonts w:eastAsia="Calibri" w:cstheme="minorHAnsi"/>
          <w:b/>
          <w:bCs/>
          <w:kern w:val="0"/>
          <w14:ligatures w14:val="none"/>
        </w:rPr>
      </w:pPr>
      <w:r w:rsidRPr="00A26C26">
        <w:rPr>
          <w:rFonts w:eastAsia="Calibri" w:cstheme="minorHAnsi"/>
          <w:b/>
          <w:bCs/>
          <w:kern w:val="0"/>
          <w14:ligatures w14:val="none"/>
        </w:rPr>
        <w:t>Ad.</w:t>
      </w:r>
      <w:r w:rsidR="003B50ED">
        <w:rPr>
          <w:rFonts w:eastAsia="Calibri" w:cstheme="minorHAnsi"/>
          <w:b/>
          <w:bCs/>
          <w:kern w:val="0"/>
          <w14:ligatures w14:val="none"/>
        </w:rPr>
        <w:t xml:space="preserve"> </w:t>
      </w:r>
      <w:r w:rsidRPr="00A26C26">
        <w:rPr>
          <w:rFonts w:eastAsia="Calibri" w:cstheme="minorHAnsi"/>
          <w:b/>
          <w:bCs/>
          <w:kern w:val="0"/>
          <w14:ligatures w14:val="none"/>
        </w:rPr>
        <w:t>6.</w:t>
      </w:r>
      <w:r w:rsidR="003B50ED">
        <w:rPr>
          <w:rFonts w:eastAsia="Calibri" w:cstheme="minorHAnsi"/>
          <w:b/>
          <w:bCs/>
          <w:kern w:val="0"/>
          <w14:ligatures w14:val="none"/>
        </w:rPr>
        <w:t xml:space="preserve"> </w:t>
      </w:r>
      <w:r w:rsidRPr="00A26C26">
        <w:rPr>
          <w:rFonts w:eastAsia="Calibri" w:cstheme="minorHAnsi"/>
          <w:b/>
          <w:bCs/>
          <w:kern w:val="0"/>
          <w14:ligatures w14:val="none"/>
        </w:rPr>
        <w:t>Przedsięwzięcie</w:t>
      </w:r>
      <w:r w:rsidR="003B50ED">
        <w:rPr>
          <w:rFonts w:eastAsia="Calibri" w:cstheme="minorHAnsi"/>
          <w:b/>
          <w:bCs/>
          <w:kern w:val="0"/>
          <w14:ligatures w14:val="none"/>
        </w:rPr>
        <w:t xml:space="preserve"> </w:t>
      </w:r>
      <w:r w:rsidRPr="00A26C26">
        <w:rPr>
          <w:rFonts w:eastAsia="Calibri" w:cstheme="minorHAnsi"/>
          <w:b/>
          <w:bCs/>
          <w:kern w:val="0"/>
          <w14:ligatures w14:val="none"/>
        </w:rPr>
        <w:t>1.6.</w:t>
      </w:r>
      <w:r w:rsidR="003B50ED">
        <w:rPr>
          <w:rFonts w:eastAsia="Calibri" w:cstheme="minorHAnsi"/>
          <w:b/>
          <w:bCs/>
          <w:kern w:val="0"/>
          <w14:ligatures w14:val="none"/>
        </w:rPr>
        <w:t xml:space="preserve"> </w:t>
      </w:r>
      <w:r w:rsidRPr="00A26C26">
        <w:rPr>
          <w:rFonts w:eastAsia="Calibri" w:cstheme="minorHAnsi"/>
          <w:b/>
          <w:bCs/>
          <w:kern w:val="0"/>
          <w14:ligatures w14:val="none"/>
        </w:rPr>
        <w:t>Integracja</w:t>
      </w:r>
      <w:r w:rsidR="003B50ED">
        <w:rPr>
          <w:rFonts w:eastAsia="Calibri" w:cstheme="minorHAnsi"/>
          <w:b/>
          <w:bCs/>
          <w:kern w:val="0"/>
          <w14:ligatures w14:val="none"/>
        </w:rPr>
        <w:t xml:space="preserve"> </w:t>
      </w:r>
      <w:r w:rsidRPr="00A26C26">
        <w:rPr>
          <w:rFonts w:eastAsia="Calibri" w:cstheme="minorHAnsi"/>
          <w:b/>
          <w:bCs/>
          <w:kern w:val="0"/>
          <w14:ligatures w14:val="none"/>
        </w:rPr>
        <w:t>społeczna</w:t>
      </w:r>
      <w:r w:rsidR="003B50ED">
        <w:rPr>
          <w:rFonts w:eastAsia="Calibri" w:cstheme="minorHAnsi"/>
          <w:b/>
          <w:bCs/>
          <w:kern w:val="0"/>
          <w14:ligatures w14:val="none"/>
        </w:rPr>
        <w:t xml:space="preserve"> </w:t>
      </w:r>
      <w:r w:rsidRPr="00A26C26">
        <w:rPr>
          <w:rFonts w:eastAsia="Calibri" w:cstheme="minorHAnsi"/>
          <w:b/>
          <w:bCs/>
          <w:kern w:val="0"/>
          <w14:ligatures w14:val="none"/>
        </w:rPr>
        <w:t>na</w:t>
      </w:r>
      <w:r w:rsidR="003B50ED">
        <w:rPr>
          <w:rFonts w:eastAsia="Calibri" w:cstheme="minorHAnsi"/>
          <w:b/>
          <w:bCs/>
          <w:kern w:val="0"/>
          <w14:ligatures w14:val="none"/>
        </w:rPr>
        <w:t xml:space="preserve"> </w:t>
      </w:r>
      <w:r w:rsidRPr="00A26C26">
        <w:rPr>
          <w:rFonts w:eastAsia="Calibri" w:cstheme="minorHAnsi"/>
          <w:b/>
          <w:bCs/>
          <w:kern w:val="0"/>
          <w14:ligatures w14:val="none"/>
        </w:rPr>
        <w:t>obszarach</w:t>
      </w:r>
      <w:r w:rsidR="003B50ED">
        <w:rPr>
          <w:rFonts w:eastAsia="Calibri" w:cstheme="minorHAnsi"/>
          <w:b/>
          <w:bCs/>
          <w:kern w:val="0"/>
          <w14:ligatures w14:val="none"/>
        </w:rPr>
        <w:t xml:space="preserve"> </w:t>
      </w:r>
      <w:r w:rsidRPr="00A26C26">
        <w:rPr>
          <w:rFonts w:eastAsia="Calibri" w:cstheme="minorHAnsi"/>
          <w:b/>
          <w:bCs/>
          <w:kern w:val="0"/>
          <w14:ligatures w14:val="none"/>
        </w:rPr>
        <w:t>wiejskich:</w:t>
      </w:r>
    </w:p>
    <w:p w14:paraId="0DAF80AD" w14:textId="14424597" w:rsidR="002C63F4" w:rsidRPr="00F16251" w:rsidRDefault="002C63F4" w:rsidP="00A26C26">
      <w:pPr>
        <w:spacing w:line="276" w:lineRule="auto"/>
        <w:jc w:val="both"/>
        <w:rPr>
          <w:rFonts w:eastAsia="Calibri" w:cstheme="minorHAnsi"/>
          <w:kern w:val="0"/>
          <w14:ligatures w14:val="none"/>
        </w:rPr>
      </w:pPr>
      <w:r w:rsidRPr="00A26C26">
        <w:rPr>
          <w:rFonts w:eastAsia="Calibri" w:cstheme="minorHAnsi"/>
          <w:color w:val="000000"/>
          <w:kern w:val="0"/>
          <w14:ligatures w14:val="none"/>
        </w:rPr>
        <w:t>Założeniem</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przedsięwzięcia</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jest</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inicjowanie</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do</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podejmowania</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działań</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integracyjnych</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wśród</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mieszkańców</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poprzez</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ich</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aktywny</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udział</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w</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organizowanych</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wydarzeniach</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edukacyjno-aktywizujących</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np.</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szkolenia,</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warsztaty,</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wydarzenia,</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działania</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animacyjne,</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turnieje</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i</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inne</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inicjatywy</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ukierunkowane</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na</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wspieranie</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włączenia</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społecznego</w:t>
      </w:r>
      <w:r w:rsidR="00F65DB9">
        <w:rPr>
          <w:rFonts w:eastAsia="Calibri" w:cstheme="minorHAnsi"/>
          <w:color w:val="000000"/>
          <w:kern w:val="0"/>
          <w14:ligatures w14:val="none"/>
        </w:rPr>
        <w:t xml:space="preserve">              </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i</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aktywizację</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mieszkańców.</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Przewidziane</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są</w:t>
      </w:r>
      <w:r w:rsidR="003B50ED">
        <w:rPr>
          <w:rFonts w:eastAsia="Calibri" w:cstheme="minorHAnsi"/>
          <w:color w:val="000000"/>
          <w:kern w:val="0"/>
          <w14:ligatures w14:val="none"/>
        </w:rPr>
        <w:t xml:space="preserve"> </w:t>
      </w:r>
      <w:r w:rsidRPr="00A26C26">
        <w:rPr>
          <w:rFonts w:eastAsia="Calibri" w:cstheme="minorHAnsi"/>
          <w:kern w:val="0"/>
          <w14:ligatures w14:val="none"/>
        </w:rPr>
        <w:t>także</w:t>
      </w:r>
      <w:r w:rsidR="003B50ED">
        <w:rPr>
          <w:rFonts w:eastAsia="Calibri" w:cstheme="minorHAnsi"/>
          <w:kern w:val="0"/>
          <w14:ligatures w14:val="none"/>
        </w:rPr>
        <w:t xml:space="preserve"> </w:t>
      </w:r>
      <w:r w:rsidRPr="00A26C26">
        <w:rPr>
          <w:rFonts w:eastAsia="Calibri" w:cstheme="minorHAnsi"/>
          <w:kern w:val="0"/>
          <w14:ligatures w14:val="none"/>
        </w:rPr>
        <w:t>projekty</w:t>
      </w:r>
      <w:r w:rsidR="003B50ED">
        <w:rPr>
          <w:rFonts w:eastAsia="Calibri" w:cstheme="minorHAnsi"/>
          <w:kern w:val="0"/>
          <w14:ligatures w14:val="none"/>
        </w:rPr>
        <w:t xml:space="preserve"> </w:t>
      </w:r>
      <w:r w:rsidRPr="00A26C26">
        <w:rPr>
          <w:rFonts w:eastAsia="Calibri" w:cstheme="minorHAnsi"/>
          <w:kern w:val="0"/>
          <w14:ligatures w14:val="none"/>
        </w:rPr>
        <w:t>obejmujące</w:t>
      </w:r>
      <w:r w:rsidR="003B50ED">
        <w:rPr>
          <w:rFonts w:eastAsia="Calibri" w:cstheme="minorHAnsi"/>
          <w:kern w:val="0"/>
          <w14:ligatures w14:val="none"/>
        </w:rPr>
        <w:t xml:space="preserve"> </w:t>
      </w:r>
      <w:r w:rsidRPr="00A26C26">
        <w:rPr>
          <w:rFonts w:eastAsia="Calibri" w:cstheme="minorHAnsi"/>
          <w:kern w:val="0"/>
          <w14:ligatures w14:val="none"/>
        </w:rPr>
        <w:t>wspieranie</w:t>
      </w:r>
      <w:r w:rsidR="003B50ED">
        <w:rPr>
          <w:rFonts w:eastAsia="Calibri" w:cstheme="minorHAnsi"/>
          <w:kern w:val="0"/>
          <w14:ligatures w14:val="none"/>
        </w:rPr>
        <w:t xml:space="preserve"> </w:t>
      </w:r>
      <w:r w:rsidRPr="00A26C26">
        <w:rPr>
          <w:rFonts w:eastAsia="Calibri" w:cstheme="minorHAnsi"/>
          <w:kern w:val="0"/>
          <w14:ligatures w14:val="none"/>
        </w:rPr>
        <w:t>i</w:t>
      </w:r>
      <w:r w:rsidR="003B50ED">
        <w:rPr>
          <w:rFonts w:eastAsia="Calibri" w:cstheme="minorHAnsi"/>
          <w:kern w:val="0"/>
          <w14:ligatures w14:val="none"/>
        </w:rPr>
        <w:t xml:space="preserve"> </w:t>
      </w:r>
      <w:r w:rsidRPr="00A26C26">
        <w:rPr>
          <w:rFonts w:eastAsia="Calibri" w:cstheme="minorHAnsi"/>
          <w:kern w:val="0"/>
          <w14:ligatures w14:val="none"/>
        </w:rPr>
        <w:t>tworzenie</w:t>
      </w:r>
      <w:r w:rsidR="003B50ED">
        <w:rPr>
          <w:rFonts w:eastAsia="Calibri" w:cstheme="minorHAnsi"/>
          <w:kern w:val="0"/>
          <w14:ligatures w14:val="none"/>
        </w:rPr>
        <w:t xml:space="preserve"> </w:t>
      </w:r>
      <w:r w:rsidRPr="00A26C26">
        <w:rPr>
          <w:rFonts w:eastAsia="Calibri" w:cstheme="minorHAnsi"/>
          <w:kern w:val="0"/>
          <w14:ligatures w14:val="none"/>
        </w:rPr>
        <w:t>miejsc</w:t>
      </w:r>
      <w:r w:rsidR="003B50ED">
        <w:rPr>
          <w:rFonts w:eastAsia="Calibri" w:cstheme="minorHAnsi"/>
          <w:kern w:val="0"/>
          <w14:ligatures w14:val="none"/>
        </w:rPr>
        <w:t xml:space="preserve"> </w:t>
      </w:r>
      <w:r w:rsidRPr="00A26C26">
        <w:rPr>
          <w:rFonts w:eastAsia="Calibri" w:cstheme="minorHAnsi"/>
          <w:kern w:val="0"/>
          <w14:ligatures w14:val="none"/>
        </w:rPr>
        <w:t>integracji</w:t>
      </w:r>
      <w:r w:rsidR="003B50ED">
        <w:rPr>
          <w:rFonts w:eastAsia="Calibri" w:cstheme="minorHAnsi"/>
          <w:kern w:val="0"/>
          <w14:ligatures w14:val="none"/>
        </w:rPr>
        <w:t xml:space="preserve"> </w:t>
      </w:r>
      <w:r w:rsidRPr="00A26C26">
        <w:rPr>
          <w:rFonts w:eastAsia="Calibri" w:cstheme="minorHAnsi"/>
          <w:kern w:val="0"/>
          <w14:ligatures w14:val="none"/>
        </w:rPr>
        <w:t>społecznej</w:t>
      </w:r>
      <w:r w:rsidR="003B50ED">
        <w:rPr>
          <w:rFonts w:eastAsia="Calibri" w:cstheme="minorHAnsi"/>
          <w:kern w:val="0"/>
          <w14:ligatures w14:val="none"/>
        </w:rPr>
        <w:t xml:space="preserve"> </w:t>
      </w:r>
      <w:r w:rsidRPr="00A26C26">
        <w:rPr>
          <w:rFonts w:eastAsia="Calibri" w:cstheme="minorHAnsi"/>
          <w:kern w:val="0"/>
          <w14:ligatures w14:val="none"/>
        </w:rPr>
        <w:t>umożliwiające</w:t>
      </w:r>
      <w:r w:rsidR="003B50ED">
        <w:rPr>
          <w:rFonts w:eastAsia="Calibri" w:cstheme="minorHAnsi"/>
          <w:kern w:val="0"/>
          <w14:ligatures w14:val="none"/>
        </w:rPr>
        <w:t xml:space="preserve"> </w:t>
      </w:r>
      <w:r w:rsidRPr="00A26C26">
        <w:rPr>
          <w:rFonts w:eastAsia="Calibri" w:cstheme="minorHAnsi"/>
          <w:kern w:val="0"/>
          <w14:ligatures w14:val="none"/>
        </w:rPr>
        <w:t>wspólne</w:t>
      </w:r>
      <w:r w:rsidR="003B50ED">
        <w:rPr>
          <w:rFonts w:eastAsia="Calibri" w:cstheme="minorHAnsi"/>
          <w:kern w:val="0"/>
          <w14:ligatures w14:val="none"/>
        </w:rPr>
        <w:t xml:space="preserve"> </w:t>
      </w:r>
      <w:r w:rsidRPr="00A26C26">
        <w:rPr>
          <w:rFonts w:eastAsia="Calibri" w:cstheme="minorHAnsi"/>
          <w:kern w:val="0"/>
          <w14:ligatures w14:val="none"/>
        </w:rPr>
        <w:t>spędzanie</w:t>
      </w:r>
      <w:r w:rsidR="003B50ED">
        <w:rPr>
          <w:rFonts w:eastAsia="Calibri" w:cstheme="minorHAnsi"/>
          <w:kern w:val="0"/>
          <w14:ligatures w14:val="none"/>
        </w:rPr>
        <w:t xml:space="preserve"> </w:t>
      </w:r>
      <w:r w:rsidRPr="00A26C26">
        <w:rPr>
          <w:rFonts w:eastAsia="Calibri" w:cstheme="minorHAnsi"/>
          <w:kern w:val="0"/>
          <w14:ligatures w14:val="none"/>
        </w:rPr>
        <w:t>czasu</w:t>
      </w:r>
      <w:r w:rsidR="003B50ED">
        <w:rPr>
          <w:rFonts w:eastAsia="Calibri" w:cstheme="minorHAnsi"/>
          <w:kern w:val="0"/>
          <w14:ligatures w14:val="none"/>
        </w:rPr>
        <w:t xml:space="preserve"> </w:t>
      </w:r>
      <w:r w:rsidRPr="00A26C26">
        <w:rPr>
          <w:rFonts w:eastAsia="Calibri" w:cstheme="minorHAnsi"/>
          <w:kern w:val="0"/>
          <w14:ligatures w14:val="none"/>
        </w:rPr>
        <w:t>wolnego</w:t>
      </w:r>
      <w:r w:rsidR="003B50ED">
        <w:rPr>
          <w:rFonts w:eastAsia="Calibri" w:cstheme="minorHAnsi"/>
          <w:kern w:val="0"/>
          <w14:ligatures w14:val="none"/>
        </w:rPr>
        <w:t xml:space="preserve"> </w:t>
      </w:r>
      <w:r w:rsidRPr="00A26C26">
        <w:rPr>
          <w:rFonts w:eastAsia="Calibri" w:cstheme="minorHAnsi"/>
          <w:kern w:val="0"/>
          <w14:ligatures w14:val="none"/>
        </w:rPr>
        <w:t>w</w:t>
      </w:r>
      <w:r w:rsidR="003B50ED">
        <w:rPr>
          <w:rFonts w:eastAsia="Calibri" w:cstheme="minorHAnsi"/>
          <w:kern w:val="0"/>
          <w14:ligatures w14:val="none"/>
        </w:rPr>
        <w:t xml:space="preserve"> </w:t>
      </w:r>
      <w:r w:rsidRPr="00A26C26">
        <w:rPr>
          <w:rFonts w:eastAsia="Calibri" w:cstheme="minorHAnsi"/>
          <w:kern w:val="0"/>
          <w14:ligatures w14:val="none"/>
        </w:rPr>
        <w:t>przestrzeni</w:t>
      </w:r>
      <w:r w:rsidR="003B50ED">
        <w:rPr>
          <w:rFonts w:eastAsia="Calibri" w:cstheme="minorHAnsi"/>
          <w:kern w:val="0"/>
          <w14:ligatures w14:val="none"/>
        </w:rPr>
        <w:t xml:space="preserve"> </w:t>
      </w:r>
      <w:r w:rsidRPr="00A26C26">
        <w:rPr>
          <w:rFonts w:eastAsia="Calibri" w:cstheme="minorHAnsi"/>
          <w:kern w:val="0"/>
          <w14:ligatures w14:val="none"/>
        </w:rPr>
        <w:t>publicznej,</w:t>
      </w:r>
      <w:r w:rsidR="003B50ED">
        <w:rPr>
          <w:rFonts w:eastAsia="Calibri" w:cstheme="minorHAnsi"/>
          <w:kern w:val="0"/>
          <w14:ligatures w14:val="none"/>
        </w:rPr>
        <w:t xml:space="preserve"> </w:t>
      </w:r>
      <w:r w:rsidRPr="00A26C26">
        <w:rPr>
          <w:rFonts w:eastAsia="Calibri" w:cstheme="minorHAnsi"/>
          <w:kern w:val="0"/>
          <w14:ligatures w14:val="none"/>
        </w:rPr>
        <w:t>m.in.</w:t>
      </w:r>
      <w:r w:rsidR="003B50ED">
        <w:rPr>
          <w:rFonts w:eastAsia="Calibri" w:cstheme="minorHAnsi"/>
          <w:kern w:val="0"/>
          <w14:ligatures w14:val="none"/>
        </w:rPr>
        <w:t xml:space="preserve"> </w:t>
      </w:r>
      <w:r w:rsidRPr="00A26C26">
        <w:rPr>
          <w:rFonts w:eastAsia="Calibri" w:cstheme="minorHAnsi"/>
          <w:kern w:val="0"/>
          <w14:ligatures w14:val="none"/>
        </w:rPr>
        <w:t>kluby</w:t>
      </w:r>
      <w:r w:rsidR="003B50ED">
        <w:rPr>
          <w:rFonts w:eastAsia="Calibri" w:cstheme="minorHAnsi"/>
          <w:kern w:val="0"/>
          <w14:ligatures w14:val="none"/>
        </w:rPr>
        <w:t xml:space="preserve"> </w:t>
      </w:r>
      <w:r w:rsidRPr="00A26C26">
        <w:rPr>
          <w:rFonts w:eastAsia="Calibri" w:cstheme="minorHAnsi"/>
          <w:kern w:val="0"/>
          <w14:ligatures w14:val="none"/>
        </w:rPr>
        <w:t>seniora,</w:t>
      </w:r>
      <w:r w:rsidR="003B50ED">
        <w:rPr>
          <w:rFonts w:eastAsia="Calibri" w:cstheme="minorHAnsi"/>
          <w:kern w:val="0"/>
          <w14:ligatures w14:val="none"/>
        </w:rPr>
        <w:t xml:space="preserve"> </w:t>
      </w:r>
      <w:r w:rsidRPr="00A26C26">
        <w:rPr>
          <w:rFonts w:eastAsia="Calibri" w:cstheme="minorHAnsi"/>
          <w:kern w:val="0"/>
          <w14:ligatures w14:val="none"/>
        </w:rPr>
        <w:t>świetlice.</w:t>
      </w:r>
      <w:r w:rsidR="003B50ED">
        <w:rPr>
          <w:rFonts w:eastAsia="Calibri" w:cstheme="minorHAnsi"/>
          <w:kern w:val="0"/>
          <w14:ligatures w14:val="none"/>
        </w:rPr>
        <w:t xml:space="preserve"> </w:t>
      </w:r>
      <w:r w:rsidRPr="00A26C26">
        <w:rPr>
          <w:rFonts w:eastAsia="Calibri" w:cstheme="minorHAnsi"/>
          <w:color w:val="000000"/>
          <w:kern w:val="0"/>
          <w14:ligatures w14:val="none"/>
        </w:rPr>
        <w:t>Podejmowane</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działania</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mają</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się</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przyczynić</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do</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poprawy</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jakości</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życia.</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Realizacja</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przedsięwzięcia</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pozwoli</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lastRenderedPageBreak/>
        <w:t>na</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stworzenie</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warunków</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i</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przestrzeni</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do</w:t>
      </w:r>
      <w:r w:rsidR="003B50ED">
        <w:rPr>
          <w:rFonts w:eastAsia="Calibri" w:cstheme="minorHAnsi"/>
          <w:color w:val="000000"/>
          <w:kern w:val="0"/>
          <w14:ligatures w14:val="none"/>
        </w:rPr>
        <w:t xml:space="preserve"> </w:t>
      </w:r>
      <w:r w:rsidRPr="00F16251">
        <w:rPr>
          <w:rFonts w:eastAsia="Calibri" w:cstheme="minorHAnsi"/>
          <w:color w:val="000000"/>
          <w:kern w:val="0"/>
          <w14:ligatures w14:val="none"/>
        </w:rPr>
        <w:t>zaangażowania</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partycypacji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lokalnej</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społeczności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życiu</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swoich</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„małych</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ojczyzn”.</w:t>
      </w:r>
    </w:p>
    <w:p w14:paraId="20E81A7B" w14:textId="08909AD3" w:rsidR="002C63F4" w:rsidRPr="00A26C26" w:rsidRDefault="002C63F4" w:rsidP="00A26C26">
      <w:pPr>
        <w:spacing w:line="276" w:lineRule="auto"/>
        <w:jc w:val="both"/>
        <w:rPr>
          <w:rFonts w:eastAsia="Calibri" w:cstheme="minorHAnsi"/>
          <w:color w:val="000000"/>
          <w:kern w:val="0"/>
          <w14:ligatures w14:val="none"/>
        </w:rPr>
      </w:pPr>
      <w:r w:rsidRPr="00F16251">
        <w:rPr>
          <w:rFonts w:eastAsia="Calibri" w:cstheme="minorHAnsi"/>
          <w:color w:val="000000"/>
          <w:kern w:val="0"/>
          <w14:ligatures w14:val="none"/>
        </w:rPr>
        <w:t>Przedsięwzięcie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realizowane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będzie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formie</w:t>
      </w:r>
      <w:r w:rsidR="003B50ED" w:rsidRPr="00F16251">
        <w:rPr>
          <w:rFonts w:eastAsia="Calibri" w:cstheme="minorHAnsi"/>
          <w:color w:val="000000"/>
          <w:kern w:val="0"/>
          <w14:ligatures w14:val="none"/>
        </w:rPr>
        <w:t xml:space="preserve"> </w:t>
      </w:r>
      <w:r w:rsidR="003A3590" w:rsidRPr="00F16251">
        <w:rPr>
          <w:rFonts w:eastAsia="Calibri" w:cstheme="minorHAnsi"/>
          <w:color w:val="000000"/>
          <w:kern w:val="0"/>
          <w14:ligatures w14:val="none"/>
        </w:rPr>
        <w:t>konkursu</w:t>
      </w:r>
      <w:r w:rsidRPr="00F16251">
        <w:rPr>
          <w:rFonts w:eastAsia="Calibri" w:cstheme="minorHAnsi"/>
          <w:color w:val="000000"/>
          <w:kern w:val="0"/>
          <w14:ligatures w14:val="none"/>
        </w:rPr>
        <w:t>.</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Będą</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to</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tzw.</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projekty</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miękkie.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Źródłem</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finansowania</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będzie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EFS</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Wnioskodawcami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będą</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jednostki</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sektora</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finansów</w:t>
      </w:r>
      <w:r w:rsidR="003B50ED" w:rsidRPr="00F16251">
        <w:rPr>
          <w:rFonts w:eastAsia="Calibri" w:cstheme="minorHAnsi"/>
          <w:color w:val="000000"/>
          <w:kern w:val="0"/>
          <w14:ligatures w14:val="none"/>
        </w:rPr>
        <w:t xml:space="preserve"> </w:t>
      </w:r>
      <w:r w:rsidR="00F65DB9">
        <w:rPr>
          <w:rFonts w:eastAsia="Calibri" w:cstheme="minorHAnsi"/>
          <w:color w:val="000000"/>
          <w:kern w:val="0"/>
          <w14:ligatures w14:val="none"/>
        </w:rPr>
        <w:t>publicznych,</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organizacje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pozarządowe.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Grupy</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docelowe: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mieszkańcy,</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organizacje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pozarządowe</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oraz</w:t>
      </w:r>
      <w:r w:rsidR="003B50ED" w:rsidRPr="00F16251">
        <w:rPr>
          <w:rFonts w:eastAsia="Calibri" w:cstheme="minorHAnsi"/>
          <w:color w:val="000000"/>
          <w:kern w:val="0"/>
          <w14:ligatures w14:val="none"/>
        </w:rPr>
        <w:t xml:space="preserve"> </w:t>
      </w:r>
      <w:r w:rsidRPr="00F16251">
        <w:rPr>
          <w:rFonts w:eastAsia="Calibri" w:cstheme="minorHAnsi"/>
          <w:color w:val="000000"/>
          <w:kern w:val="0"/>
          <w14:ligatures w14:val="none"/>
        </w:rPr>
        <w:t>grupy</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nieformalne.</w:t>
      </w:r>
    </w:p>
    <w:p w14:paraId="034CABEA" w14:textId="3F5F67E5" w:rsidR="002C63F4" w:rsidRDefault="002C63F4" w:rsidP="00A26C26">
      <w:pPr>
        <w:spacing w:line="276" w:lineRule="auto"/>
        <w:jc w:val="both"/>
        <w:rPr>
          <w:rFonts w:eastAsia="Calibri" w:cstheme="minorHAnsi"/>
          <w:b/>
          <w:bCs/>
          <w:color w:val="000000"/>
          <w:kern w:val="0"/>
          <w14:ligatures w14:val="none"/>
        </w:rPr>
      </w:pPr>
      <w:r w:rsidRPr="00A26C26">
        <w:rPr>
          <w:rFonts w:eastAsia="Calibri" w:cstheme="minorHAnsi"/>
          <w:b/>
          <w:bCs/>
          <w:color w:val="000000"/>
          <w:kern w:val="0"/>
          <w14:ligatures w14:val="none"/>
        </w:rPr>
        <w:t>Wskaźnik</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PRODUKTU:</w:t>
      </w:r>
      <w:r w:rsidR="003B50ED">
        <w:rPr>
          <w:rFonts w:eastAsia="Calibri" w:cstheme="minorHAnsi"/>
          <w:b/>
          <w:bCs/>
          <w:color w:val="000000"/>
          <w:kern w:val="0"/>
          <w14:ligatures w14:val="none"/>
        </w:rPr>
        <w:t xml:space="preserve"> </w:t>
      </w:r>
      <w:r w:rsidR="00B36F26">
        <w:rPr>
          <w:rFonts w:eastAsia="Calibri" w:cstheme="minorHAnsi"/>
          <w:b/>
          <w:bCs/>
          <w:color w:val="000000"/>
          <w:kern w:val="0"/>
          <w14:ligatures w14:val="none"/>
        </w:rPr>
        <w:t xml:space="preserve">FEW 4l-P1 </w:t>
      </w:r>
      <w:r w:rsidRPr="00A26C26">
        <w:rPr>
          <w:rFonts w:eastAsia="Calibri" w:cstheme="minorHAnsi"/>
          <w:b/>
          <w:bCs/>
          <w:color w:val="000000"/>
          <w:kern w:val="0"/>
          <w14:ligatures w14:val="none"/>
        </w:rPr>
        <w:t>Liczba</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inicjatyw</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w</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zakresie</w:t>
      </w:r>
      <w:r w:rsidR="003B50ED">
        <w:rPr>
          <w:rFonts w:eastAsia="Calibri" w:cstheme="minorHAnsi"/>
          <w:b/>
          <w:bCs/>
          <w:color w:val="000000"/>
          <w:kern w:val="0"/>
          <w14:ligatures w14:val="none"/>
        </w:rPr>
        <w:t xml:space="preserve"> </w:t>
      </w:r>
      <w:r w:rsidR="00B36F26">
        <w:rPr>
          <w:rFonts w:eastAsia="Calibri" w:cstheme="minorHAnsi"/>
          <w:b/>
          <w:bCs/>
          <w:color w:val="000000"/>
          <w:kern w:val="0"/>
          <w14:ligatures w14:val="none"/>
        </w:rPr>
        <w:t xml:space="preserve">aktywizacji </w:t>
      </w:r>
      <w:r w:rsidRPr="00A26C26">
        <w:rPr>
          <w:rFonts w:eastAsia="Calibri" w:cstheme="minorHAnsi"/>
          <w:b/>
          <w:bCs/>
          <w:color w:val="000000"/>
          <w:kern w:val="0"/>
          <w14:ligatures w14:val="none"/>
        </w:rPr>
        <w:t>społeczności</w:t>
      </w:r>
      <w:r w:rsidR="003B50ED">
        <w:rPr>
          <w:rFonts w:eastAsia="Calibri" w:cstheme="minorHAnsi"/>
          <w:b/>
          <w:bCs/>
          <w:color w:val="000000"/>
          <w:kern w:val="0"/>
          <w14:ligatures w14:val="none"/>
        </w:rPr>
        <w:t xml:space="preserve"> </w:t>
      </w:r>
      <w:r w:rsidR="00B36F26">
        <w:rPr>
          <w:rFonts w:eastAsia="Calibri" w:cstheme="minorHAnsi"/>
          <w:b/>
          <w:bCs/>
          <w:color w:val="000000"/>
          <w:kern w:val="0"/>
          <w14:ligatures w14:val="none"/>
        </w:rPr>
        <w:t>na rzecz rozwoju lokalnego</w:t>
      </w:r>
      <w:r w:rsidRPr="00A26C26">
        <w:rPr>
          <w:rFonts w:eastAsia="Calibri" w:cstheme="minorHAnsi"/>
          <w:b/>
          <w:bCs/>
          <w:color w:val="000000"/>
          <w:kern w:val="0"/>
          <w14:ligatures w14:val="none"/>
        </w:rPr>
        <w:t>.</w:t>
      </w:r>
    </w:p>
    <w:p w14:paraId="3054FD7E" w14:textId="77777777" w:rsidR="00E43C42" w:rsidRDefault="00E43C42" w:rsidP="00A26C26">
      <w:pPr>
        <w:spacing w:line="276" w:lineRule="auto"/>
        <w:jc w:val="both"/>
        <w:rPr>
          <w:rFonts w:eastAsia="Calibri" w:cstheme="minorHAnsi"/>
          <w:b/>
          <w:bCs/>
          <w:kern w:val="0"/>
          <w:u w:val="single"/>
          <w14:ligatures w14:val="none"/>
        </w:rPr>
      </w:pPr>
    </w:p>
    <w:p w14:paraId="2F6BF192" w14:textId="6068D234" w:rsidR="002C63F4" w:rsidRPr="00A26C26" w:rsidRDefault="002C63F4" w:rsidP="00A26C26">
      <w:pPr>
        <w:spacing w:line="276" w:lineRule="auto"/>
        <w:jc w:val="both"/>
        <w:rPr>
          <w:rFonts w:eastAsia="Calibri" w:cstheme="minorHAnsi"/>
          <w:b/>
          <w:bCs/>
          <w:kern w:val="0"/>
          <w:u w:val="single"/>
          <w14:ligatures w14:val="none"/>
        </w:rPr>
      </w:pPr>
      <w:r w:rsidRPr="00A26C26">
        <w:rPr>
          <w:rFonts w:eastAsia="Calibri" w:cstheme="minorHAnsi"/>
          <w:b/>
          <w:bCs/>
          <w:kern w:val="0"/>
          <w:u w:val="single"/>
          <w14:ligatures w14:val="none"/>
        </w:rPr>
        <w:t>Cel</w:t>
      </w:r>
      <w:r w:rsidR="003B50ED">
        <w:rPr>
          <w:rFonts w:eastAsia="Calibri" w:cstheme="minorHAnsi"/>
          <w:b/>
          <w:bCs/>
          <w:kern w:val="0"/>
          <w:u w:val="single"/>
          <w14:ligatures w14:val="none"/>
        </w:rPr>
        <w:t xml:space="preserve"> </w:t>
      </w:r>
      <w:r w:rsidRPr="00A26C26">
        <w:rPr>
          <w:rFonts w:eastAsia="Calibri" w:cstheme="minorHAnsi"/>
          <w:b/>
          <w:bCs/>
          <w:kern w:val="0"/>
          <w:u w:val="single"/>
          <w14:ligatures w14:val="none"/>
        </w:rPr>
        <w:t>2.</w:t>
      </w:r>
      <w:r w:rsidR="003B50ED">
        <w:rPr>
          <w:rFonts w:eastAsia="Calibri" w:cstheme="minorHAnsi"/>
          <w:b/>
          <w:bCs/>
          <w:kern w:val="0"/>
          <w:u w:val="single"/>
          <w14:ligatures w14:val="none"/>
        </w:rPr>
        <w:t xml:space="preserve"> </w:t>
      </w:r>
      <w:r w:rsidRPr="00A26C26">
        <w:rPr>
          <w:rFonts w:eastAsia="Calibri" w:cstheme="minorHAnsi"/>
          <w:b/>
          <w:bCs/>
          <w:kern w:val="0"/>
          <w:u w:val="single"/>
          <w14:ligatures w14:val="none"/>
        </w:rPr>
        <w:t>Zwiększenie</w:t>
      </w:r>
      <w:r w:rsidR="003B50ED">
        <w:rPr>
          <w:rFonts w:eastAsia="Calibri" w:cstheme="minorHAnsi"/>
          <w:b/>
          <w:bCs/>
          <w:kern w:val="0"/>
          <w:u w:val="single"/>
          <w14:ligatures w14:val="none"/>
        </w:rPr>
        <w:t xml:space="preserve"> </w:t>
      </w:r>
      <w:r w:rsidRPr="00A26C26">
        <w:rPr>
          <w:rFonts w:eastAsia="Calibri" w:cstheme="minorHAnsi"/>
          <w:b/>
          <w:bCs/>
          <w:kern w:val="0"/>
          <w:u w:val="single"/>
          <w14:ligatures w14:val="none"/>
        </w:rPr>
        <w:t>dostępności</w:t>
      </w:r>
      <w:r w:rsidR="003B50ED">
        <w:rPr>
          <w:rFonts w:eastAsia="Calibri" w:cstheme="minorHAnsi"/>
          <w:b/>
          <w:bCs/>
          <w:kern w:val="0"/>
          <w:u w:val="single"/>
          <w14:ligatures w14:val="none"/>
        </w:rPr>
        <w:t xml:space="preserve"> </w:t>
      </w:r>
      <w:r w:rsidRPr="00A26C26">
        <w:rPr>
          <w:rFonts w:eastAsia="Calibri" w:cstheme="minorHAnsi"/>
          <w:b/>
          <w:bCs/>
          <w:kern w:val="0"/>
          <w:u w:val="single"/>
          <w14:ligatures w14:val="none"/>
        </w:rPr>
        <w:t>do</w:t>
      </w:r>
      <w:r w:rsidR="003B50ED">
        <w:rPr>
          <w:rFonts w:eastAsia="Calibri" w:cstheme="minorHAnsi"/>
          <w:b/>
          <w:bCs/>
          <w:kern w:val="0"/>
          <w:u w:val="single"/>
          <w14:ligatures w14:val="none"/>
        </w:rPr>
        <w:t xml:space="preserve"> </w:t>
      </w:r>
      <w:r w:rsidRPr="00A26C26">
        <w:rPr>
          <w:rFonts w:eastAsia="Calibri" w:cstheme="minorHAnsi"/>
          <w:b/>
          <w:bCs/>
          <w:kern w:val="0"/>
          <w:u w:val="single"/>
          <w14:ligatures w14:val="none"/>
        </w:rPr>
        <w:t>usług</w:t>
      </w:r>
      <w:r w:rsidR="003B50ED">
        <w:rPr>
          <w:rFonts w:eastAsia="Calibri" w:cstheme="minorHAnsi"/>
          <w:b/>
          <w:bCs/>
          <w:kern w:val="0"/>
          <w:u w:val="single"/>
          <w14:ligatures w14:val="none"/>
        </w:rPr>
        <w:t xml:space="preserve"> </w:t>
      </w:r>
      <w:r w:rsidRPr="00A26C26">
        <w:rPr>
          <w:rFonts w:eastAsia="Calibri" w:cstheme="minorHAnsi"/>
          <w:b/>
          <w:bCs/>
          <w:kern w:val="0"/>
          <w:u w:val="single"/>
          <w14:ligatures w14:val="none"/>
        </w:rPr>
        <w:t>i</w:t>
      </w:r>
      <w:r w:rsidR="003B50ED">
        <w:rPr>
          <w:rFonts w:eastAsia="Calibri" w:cstheme="minorHAnsi"/>
          <w:b/>
          <w:bCs/>
          <w:kern w:val="0"/>
          <w:u w:val="single"/>
          <w14:ligatures w14:val="none"/>
        </w:rPr>
        <w:t xml:space="preserve"> </w:t>
      </w:r>
      <w:r w:rsidRPr="00A26C26">
        <w:rPr>
          <w:rFonts w:eastAsia="Calibri" w:cstheme="minorHAnsi"/>
          <w:b/>
          <w:bCs/>
          <w:kern w:val="0"/>
          <w:u w:val="single"/>
          <w14:ligatures w14:val="none"/>
        </w:rPr>
        <w:t>produktów</w:t>
      </w:r>
      <w:r w:rsidR="003B50ED">
        <w:rPr>
          <w:rFonts w:eastAsia="Calibri" w:cstheme="minorHAnsi"/>
          <w:b/>
          <w:bCs/>
          <w:kern w:val="0"/>
          <w:u w:val="single"/>
          <w14:ligatures w14:val="none"/>
        </w:rPr>
        <w:t xml:space="preserve"> </w:t>
      </w:r>
      <w:r w:rsidRPr="00A26C26">
        <w:rPr>
          <w:rFonts w:eastAsia="Calibri" w:cstheme="minorHAnsi"/>
          <w:b/>
          <w:bCs/>
          <w:kern w:val="0"/>
          <w:u w:val="single"/>
          <w14:ligatures w14:val="none"/>
        </w:rPr>
        <w:t>na</w:t>
      </w:r>
      <w:r w:rsidR="003B50ED">
        <w:rPr>
          <w:rFonts w:eastAsia="Calibri" w:cstheme="minorHAnsi"/>
          <w:b/>
          <w:bCs/>
          <w:kern w:val="0"/>
          <w:u w:val="single"/>
          <w14:ligatures w14:val="none"/>
        </w:rPr>
        <w:t xml:space="preserve"> </w:t>
      </w:r>
      <w:r w:rsidRPr="00A26C26">
        <w:rPr>
          <w:rFonts w:eastAsia="Calibri" w:cstheme="minorHAnsi"/>
          <w:b/>
          <w:bCs/>
          <w:kern w:val="0"/>
          <w:u w:val="single"/>
          <w14:ligatures w14:val="none"/>
        </w:rPr>
        <w:t>obszarze</w:t>
      </w:r>
      <w:r w:rsidR="003B50ED">
        <w:rPr>
          <w:rFonts w:eastAsia="Calibri" w:cstheme="minorHAnsi"/>
          <w:b/>
          <w:bCs/>
          <w:kern w:val="0"/>
          <w:u w:val="single"/>
          <w14:ligatures w14:val="none"/>
        </w:rPr>
        <w:t xml:space="preserve"> </w:t>
      </w:r>
      <w:r w:rsidRPr="00A26C26">
        <w:rPr>
          <w:rFonts w:eastAsia="Calibri" w:cstheme="minorHAnsi"/>
          <w:b/>
          <w:bCs/>
          <w:kern w:val="0"/>
          <w:u w:val="single"/>
          <w14:ligatures w14:val="none"/>
        </w:rPr>
        <w:t>LSR</w:t>
      </w:r>
    </w:p>
    <w:p w14:paraId="5B1F4568" w14:textId="252FAE57" w:rsidR="002C63F4" w:rsidRPr="00A26C26" w:rsidRDefault="002C63F4" w:rsidP="00A26C26">
      <w:pPr>
        <w:spacing w:line="276" w:lineRule="auto"/>
        <w:jc w:val="both"/>
        <w:rPr>
          <w:rFonts w:eastAsia="Calibri" w:cstheme="minorHAnsi"/>
          <w:kern w:val="0"/>
          <w14:ligatures w14:val="none"/>
        </w:rPr>
      </w:pPr>
      <w:r w:rsidRPr="00A26C26">
        <w:rPr>
          <w:rFonts w:eastAsia="Calibri" w:cstheme="minorHAnsi"/>
          <w:kern w:val="0"/>
          <w14:ligatures w14:val="none"/>
        </w:rPr>
        <w:t>Głównym</w:t>
      </w:r>
      <w:r w:rsidR="003B50ED">
        <w:rPr>
          <w:rFonts w:eastAsia="Calibri" w:cstheme="minorHAnsi"/>
          <w:kern w:val="0"/>
          <w14:ligatures w14:val="none"/>
        </w:rPr>
        <w:t xml:space="preserve"> </w:t>
      </w:r>
      <w:r w:rsidRPr="00A26C26">
        <w:rPr>
          <w:rFonts w:eastAsia="Calibri" w:cstheme="minorHAnsi"/>
          <w:kern w:val="0"/>
          <w14:ligatures w14:val="none"/>
        </w:rPr>
        <w:t>założeniem</w:t>
      </w:r>
      <w:r w:rsidR="003B50ED">
        <w:rPr>
          <w:rFonts w:eastAsia="Calibri" w:cstheme="minorHAnsi"/>
          <w:kern w:val="0"/>
          <w14:ligatures w14:val="none"/>
        </w:rPr>
        <w:t xml:space="preserve"> </w:t>
      </w:r>
      <w:r w:rsidRPr="00A26C26">
        <w:rPr>
          <w:rFonts w:eastAsia="Calibri" w:cstheme="minorHAnsi"/>
          <w:kern w:val="0"/>
          <w14:ligatures w14:val="none"/>
        </w:rPr>
        <w:t>jest</w:t>
      </w:r>
      <w:r w:rsidR="003B50ED">
        <w:rPr>
          <w:rFonts w:eastAsia="Calibri" w:cstheme="minorHAnsi"/>
          <w:kern w:val="0"/>
          <w14:ligatures w14:val="none"/>
        </w:rPr>
        <w:t xml:space="preserve"> </w:t>
      </w:r>
      <w:r w:rsidRPr="00A26C26">
        <w:rPr>
          <w:rFonts w:eastAsia="Calibri" w:cstheme="minorHAnsi"/>
          <w:kern w:val="0"/>
          <w14:ligatures w14:val="none"/>
        </w:rPr>
        <w:t>podniesienie</w:t>
      </w:r>
      <w:r w:rsidR="003B50ED">
        <w:rPr>
          <w:rFonts w:eastAsia="Calibri" w:cstheme="minorHAnsi"/>
          <w:kern w:val="0"/>
          <w14:ligatures w14:val="none"/>
        </w:rPr>
        <w:t xml:space="preserve"> </w:t>
      </w:r>
      <w:r w:rsidRPr="00A26C26">
        <w:rPr>
          <w:rFonts w:eastAsia="Calibri" w:cstheme="minorHAnsi"/>
          <w:kern w:val="0"/>
          <w14:ligatures w14:val="none"/>
        </w:rPr>
        <w:t>konkurencyjności</w:t>
      </w:r>
      <w:r w:rsidR="003B50ED">
        <w:rPr>
          <w:rFonts w:eastAsia="Calibri" w:cstheme="minorHAnsi"/>
          <w:kern w:val="0"/>
          <w14:ligatures w14:val="none"/>
        </w:rPr>
        <w:t xml:space="preserve"> </w:t>
      </w:r>
      <w:r w:rsidRPr="00A26C26">
        <w:rPr>
          <w:rFonts w:eastAsia="Calibri" w:cstheme="minorHAnsi"/>
          <w:kern w:val="0"/>
          <w14:ligatures w14:val="none"/>
        </w:rPr>
        <w:t>istniejących</w:t>
      </w:r>
      <w:r w:rsidR="003B50ED">
        <w:rPr>
          <w:rFonts w:eastAsia="Calibri" w:cstheme="minorHAnsi"/>
          <w:kern w:val="0"/>
          <w14:ligatures w14:val="none"/>
        </w:rPr>
        <w:t xml:space="preserve"> </w:t>
      </w:r>
      <w:r w:rsidRPr="00A26C26">
        <w:rPr>
          <w:rFonts w:eastAsia="Calibri" w:cstheme="minorHAnsi"/>
          <w:kern w:val="0"/>
          <w14:ligatures w14:val="none"/>
        </w:rPr>
        <w:t>podmiotów</w:t>
      </w:r>
      <w:r w:rsidR="003B50ED">
        <w:rPr>
          <w:rFonts w:eastAsia="Calibri" w:cstheme="minorHAnsi"/>
          <w:kern w:val="0"/>
          <w14:ligatures w14:val="none"/>
        </w:rPr>
        <w:t xml:space="preserve"> </w:t>
      </w:r>
      <w:r w:rsidRPr="00A26C26">
        <w:rPr>
          <w:rFonts w:eastAsia="Calibri" w:cstheme="minorHAnsi"/>
          <w:kern w:val="0"/>
          <w14:ligatures w14:val="none"/>
        </w:rPr>
        <w:t>gospodarczych</w:t>
      </w:r>
      <w:r w:rsidR="003B50ED">
        <w:rPr>
          <w:rFonts w:eastAsia="Calibri" w:cstheme="minorHAnsi"/>
          <w:kern w:val="0"/>
          <w14:ligatures w14:val="none"/>
        </w:rPr>
        <w:t xml:space="preserve"> </w:t>
      </w:r>
      <w:r w:rsidRPr="00A26C26">
        <w:rPr>
          <w:rFonts w:eastAsia="Calibri" w:cstheme="minorHAnsi"/>
          <w:kern w:val="0"/>
          <w14:ligatures w14:val="none"/>
        </w:rPr>
        <w:t>oraz</w:t>
      </w:r>
      <w:r w:rsidR="003B50ED">
        <w:rPr>
          <w:rFonts w:eastAsia="Calibri" w:cstheme="minorHAnsi"/>
          <w:kern w:val="0"/>
          <w14:ligatures w14:val="none"/>
        </w:rPr>
        <w:t xml:space="preserve"> </w:t>
      </w:r>
      <w:r w:rsidRPr="00A26C26">
        <w:rPr>
          <w:rFonts w:eastAsia="Calibri" w:cstheme="minorHAnsi"/>
          <w:kern w:val="0"/>
          <w14:ligatures w14:val="none"/>
        </w:rPr>
        <w:t>powstawanie</w:t>
      </w:r>
      <w:r w:rsidR="003B50ED">
        <w:rPr>
          <w:rFonts w:eastAsia="Calibri" w:cstheme="minorHAnsi"/>
          <w:kern w:val="0"/>
          <w14:ligatures w14:val="none"/>
        </w:rPr>
        <w:t xml:space="preserve"> </w:t>
      </w:r>
      <w:r w:rsidRPr="00A26C26">
        <w:rPr>
          <w:rFonts w:eastAsia="Calibri" w:cstheme="minorHAnsi"/>
          <w:kern w:val="0"/>
          <w14:ligatures w14:val="none"/>
        </w:rPr>
        <w:t>nowych.</w:t>
      </w:r>
      <w:r w:rsidR="003B50ED">
        <w:rPr>
          <w:rFonts w:eastAsia="Calibri" w:cstheme="minorHAnsi"/>
          <w:kern w:val="0"/>
          <w14:ligatures w14:val="none"/>
        </w:rPr>
        <w:t xml:space="preserve"> </w:t>
      </w:r>
      <w:r w:rsidRPr="00A26C26">
        <w:rPr>
          <w:rFonts w:eastAsia="Calibri" w:cstheme="minorHAnsi"/>
          <w:kern w:val="0"/>
          <w14:ligatures w14:val="none"/>
        </w:rPr>
        <w:t>Dzięki</w:t>
      </w:r>
      <w:r w:rsidR="003B50ED">
        <w:rPr>
          <w:rFonts w:eastAsia="Calibri" w:cstheme="minorHAnsi"/>
          <w:kern w:val="0"/>
          <w14:ligatures w14:val="none"/>
        </w:rPr>
        <w:t xml:space="preserve"> </w:t>
      </w:r>
      <w:r w:rsidRPr="00A26C26">
        <w:rPr>
          <w:rFonts w:eastAsia="Calibri" w:cstheme="minorHAnsi"/>
          <w:kern w:val="0"/>
          <w14:ligatures w14:val="none"/>
        </w:rPr>
        <w:t>temu</w:t>
      </w:r>
      <w:r w:rsidR="003B50ED">
        <w:rPr>
          <w:rFonts w:eastAsia="Calibri" w:cstheme="minorHAnsi"/>
          <w:kern w:val="0"/>
          <w14:ligatures w14:val="none"/>
        </w:rPr>
        <w:t xml:space="preserve"> </w:t>
      </w:r>
      <w:r w:rsidRPr="00A26C26">
        <w:rPr>
          <w:rFonts w:eastAsia="Calibri" w:cstheme="minorHAnsi"/>
          <w:kern w:val="0"/>
          <w14:ligatures w14:val="none"/>
        </w:rPr>
        <w:t>lokalny</w:t>
      </w:r>
      <w:r w:rsidR="003B50ED">
        <w:rPr>
          <w:rFonts w:eastAsia="Calibri" w:cstheme="minorHAnsi"/>
          <w:kern w:val="0"/>
          <w14:ligatures w14:val="none"/>
        </w:rPr>
        <w:t xml:space="preserve"> </w:t>
      </w:r>
      <w:r w:rsidRPr="00A26C26">
        <w:rPr>
          <w:rFonts w:eastAsia="Calibri" w:cstheme="minorHAnsi"/>
          <w:kern w:val="0"/>
          <w14:ligatures w14:val="none"/>
        </w:rPr>
        <w:t>biznes</w:t>
      </w:r>
      <w:r w:rsidR="003B50ED">
        <w:rPr>
          <w:rFonts w:eastAsia="Calibri" w:cstheme="minorHAnsi"/>
          <w:kern w:val="0"/>
          <w14:ligatures w14:val="none"/>
        </w:rPr>
        <w:t xml:space="preserve"> </w:t>
      </w:r>
      <w:r w:rsidRPr="00A26C26">
        <w:rPr>
          <w:rFonts w:eastAsia="Calibri" w:cstheme="minorHAnsi"/>
          <w:kern w:val="0"/>
          <w14:ligatures w14:val="none"/>
        </w:rPr>
        <w:t>ma</w:t>
      </w:r>
      <w:r w:rsidR="003B50ED">
        <w:rPr>
          <w:rFonts w:eastAsia="Calibri" w:cstheme="minorHAnsi"/>
          <w:kern w:val="0"/>
          <w14:ligatures w14:val="none"/>
        </w:rPr>
        <w:t xml:space="preserve"> </w:t>
      </w:r>
      <w:r w:rsidRPr="00A26C26">
        <w:rPr>
          <w:rFonts w:eastAsia="Calibri" w:cstheme="minorHAnsi"/>
          <w:kern w:val="0"/>
          <w14:ligatures w14:val="none"/>
        </w:rPr>
        <w:t>zyskać</w:t>
      </w:r>
      <w:r w:rsidR="003B50ED">
        <w:rPr>
          <w:rFonts w:eastAsia="Calibri" w:cstheme="minorHAnsi"/>
          <w:kern w:val="0"/>
          <w14:ligatures w14:val="none"/>
        </w:rPr>
        <w:t xml:space="preserve"> </w:t>
      </w:r>
      <w:r w:rsidRPr="00A26C26">
        <w:rPr>
          <w:rFonts w:eastAsia="Calibri" w:cstheme="minorHAnsi"/>
          <w:kern w:val="0"/>
          <w14:ligatures w14:val="none"/>
        </w:rPr>
        <w:t>lepszą</w:t>
      </w:r>
      <w:r w:rsidR="003B50ED">
        <w:rPr>
          <w:rFonts w:eastAsia="Calibri" w:cstheme="minorHAnsi"/>
          <w:kern w:val="0"/>
          <w14:ligatures w14:val="none"/>
        </w:rPr>
        <w:t xml:space="preserve"> </w:t>
      </w:r>
      <w:r w:rsidRPr="00A26C26">
        <w:rPr>
          <w:rFonts w:eastAsia="Calibri" w:cstheme="minorHAnsi"/>
          <w:kern w:val="0"/>
          <w14:ligatures w14:val="none"/>
        </w:rPr>
        <w:t>konkurencyjność</w:t>
      </w:r>
      <w:r w:rsidR="003B50ED">
        <w:rPr>
          <w:rFonts w:eastAsia="Calibri" w:cstheme="minorHAnsi"/>
          <w:kern w:val="0"/>
          <w14:ligatures w14:val="none"/>
        </w:rPr>
        <w:t xml:space="preserve"> </w:t>
      </w:r>
      <w:r w:rsidRPr="00A26C26">
        <w:rPr>
          <w:rFonts w:eastAsia="Calibri" w:cstheme="minorHAnsi"/>
          <w:kern w:val="0"/>
          <w14:ligatures w14:val="none"/>
        </w:rPr>
        <w:t>i</w:t>
      </w:r>
      <w:r w:rsidR="003B50ED">
        <w:rPr>
          <w:rFonts w:eastAsia="Calibri" w:cstheme="minorHAnsi"/>
          <w:kern w:val="0"/>
          <w14:ligatures w14:val="none"/>
        </w:rPr>
        <w:t xml:space="preserve"> </w:t>
      </w:r>
      <w:r w:rsidRPr="00A26C26">
        <w:rPr>
          <w:rFonts w:eastAsia="Calibri" w:cstheme="minorHAnsi"/>
          <w:kern w:val="0"/>
          <w14:ligatures w14:val="none"/>
        </w:rPr>
        <w:t>pozycję</w:t>
      </w:r>
      <w:r w:rsidR="003B50ED">
        <w:rPr>
          <w:rFonts w:eastAsia="Calibri" w:cstheme="minorHAnsi"/>
          <w:kern w:val="0"/>
          <w14:ligatures w14:val="none"/>
        </w:rPr>
        <w:t xml:space="preserve"> </w:t>
      </w:r>
      <w:r w:rsidRPr="00A26C26">
        <w:rPr>
          <w:rFonts w:eastAsia="Calibri" w:cstheme="minorHAnsi"/>
          <w:kern w:val="0"/>
          <w14:ligatures w14:val="none"/>
        </w:rPr>
        <w:t>rynkową.</w:t>
      </w:r>
      <w:r w:rsidR="003B50ED">
        <w:rPr>
          <w:rFonts w:eastAsia="Calibri" w:cstheme="minorHAnsi"/>
          <w:kern w:val="0"/>
          <w14:ligatures w14:val="none"/>
        </w:rPr>
        <w:t xml:space="preserve"> </w:t>
      </w:r>
      <w:r w:rsidRPr="00A26C26">
        <w:rPr>
          <w:rFonts w:eastAsia="Calibri" w:cstheme="minorHAnsi"/>
          <w:kern w:val="0"/>
          <w14:ligatures w14:val="none"/>
        </w:rPr>
        <w:t>Poza</w:t>
      </w:r>
      <w:r w:rsidR="003B50ED">
        <w:rPr>
          <w:rFonts w:eastAsia="Calibri" w:cstheme="minorHAnsi"/>
          <w:kern w:val="0"/>
          <w14:ligatures w14:val="none"/>
        </w:rPr>
        <w:t xml:space="preserve"> </w:t>
      </w:r>
      <w:r w:rsidRPr="00A26C26">
        <w:rPr>
          <w:rFonts w:eastAsia="Calibri" w:cstheme="minorHAnsi"/>
          <w:kern w:val="0"/>
          <w14:ligatures w14:val="none"/>
        </w:rPr>
        <w:t>tym</w:t>
      </w:r>
      <w:r w:rsidR="003B50ED">
        <w:rPr>
          <w:rFonts w:eastAsia="Calibri" w:cstheme="minorHAnsi"/>
          <w:kern w:val="0"/>
          <w14:ligatures w14:val="none"/>
        </w:rPr>
        <w:t xml:space="preserve"> </w:t>
      </w:r>
      <w:r w:rsidRPr="00A26C26">
        <w:rPr>
          <w:rFonts w:eastAsia="Calibri" w:cstheme="minorHAnsi"/>
          <w:kern w:val="0"/>
          <w14:ligatures w14:val="none"/>
        </w:rPr>
        <w:t>promocja</w:t>
      </w:r>
      <w:r w:rsidR="003B50ED">
        <w:rPr>
          <w:rFonts w:eastAsia="Calibri" w:cstheme="minorHAnsi"/>
          <w:kern w:val="0"/>
          <w14:ligatures w14:val="none"/>
        </w:rPr>
        <w:t xml:space="preserve"> </w:t>
      </w:r>
      <w:r w:rsidRPr="00A26C26">
        <w:rPr>
          <w:rFonts w:eastAsia="Calibri" w:cstheme="minorHAnsi"/>
          <w:kern w:val="0"/>
          <w14:ligatures w14:val="none"/>
        </w:rPr>
        <w:t>przedsiębiorczych</w:t>
      </w:r>
      <w:r w:rsidR="003B50ED">
        <w:rPr>
          <w:rFonts w:eastAsia="Calibri" w:cstheme="minorHAnsi"/>
          <w:kern w:val="0"/>
          <w14:ligatures w14:val="none"/>
        </w:rPr>
        <w:t xml:space="preserve"> </w:t>
      </w:r>
      <w:r w:rsidRPr="00A26C26">
        <w:rPr>
          <w:rFonts w:eastAsia="Calibri" w:cstheme="minorHAnsi"/>
          <w:kern w:val="0"/>
          <w14:ligatures w14:val="none"/>
        </w:rPr>
        <w:t>postaw</w:t>
      </w:r>
      <w:r w:rsidR="003B50ED">
        <w:rPr>
          <w:rFonts w:eastAsia="Calibri" w:cstheme="minorHAnsi"/>
          <w:kern w:val="0"/>
          <w14:ligatures w14:val="none"/>
        </w:rPr>
        <w:t xml:space="preserve"> </w:t>
      </w:r>
      <w:r w:rsidRPr="00A26C26">
        <w:rPr>
          <w:rFonts w:eastAsia="Calibri" w:cstheme="minorHAnsi"/>
          <w:kern w:val="0"/>
          <w14:ligatures w14:val="none"/>
        </w:rPr>
        <w:t>zwiększy</w:t>
      </w:r>
      <w:r w:rsidR="003B50ED">
        <w:rPr>
          <w:rFonts w:eastAsia="Calibri" w:cstheme="minorHAnsi"/>
          <w:kern w:val="0"/>
          <w14:ligatures w14:val="none"/>
        </w:rPr>
        <w:t xml:space="preserve"> </w:t>
      </w:r>
      <w:r w:rsidRPr="00A26C26">
        <w:rPr>
          <w:rFonts w:eastAsia="Calibri" w:cstheme="minorHAnsi"/>
          <w:kern w:val="0"/>
          <w14:ligatures w14:val="none"/>
        </w:rPr>
        <w:t>zainteresowanie</w:t>
      </w:r>
      <w:r w:rsidR="003B50ED">
        <w:rPr>
          <w:rFonts w:eastAsia="Calibri" w:cstheme="minorHAnsi"/>
          <w:kern w:val="0"/>
          <w14:ligatures w14:val="none"/>
        </w:rPr>
        <w:t xml:space="preserve"> </w:t>
      </w:r>
      <w:r w:rsidRPr="00A26C26">
        <w:rPr>
          <w:rFonts w:eastAsia="Calibri" w:cstheme="minorHAnsi"/>
          <w:kern w:val="0"/>
          <w14:ligatures w14:val="none"/>
        </w:rPr>
        <w:t>podmiotów</w:t>
      </w:r>
      <w:r w:rsidR="003B50ED">
        <w:rPr>
          <w:rFonts w:eastAsia="Calibri" w:cstheme="minorHAnsi"/>
          <w:kern w:val="0"/>
          <w14:ligatures w14:val="none"/>
        </w:rPr>
        <w:t xml:space="preserve"> </w:t>
      </w:r>
      <w:r w:rsidRPr="00A26C26">
        <w:rPr>
          <w:rFonts w:eastAsia="Calibri" w:cstheme="minorHAnsi"/>
          <w:kern w:val="0"/>
          <w14:ligatures w14:val="none"/>
        </w:rPr>
        <w:t>z</w:t>
      </w:r>
      <w:r w:rsidR="003B50ED">
        <w:rPr>
          <w:rFonts w:eastAsia="Calibri" w:cstheme="minorHAnsi"/>
          <w:kern w:val="0"/>
          <w14:ligatures w14:val="none"/>
        </w:rPr>
        <w:t xml:space="preserve"> </w:t>
      </w:r>
      <w:r w:rsidRPr="00A26C26">
        <w:rPr>
          <w:rFonts w:eastAsia="Calibri" w:cstheme="minorHAnsi"/>
          <w:kern w:val="0"/>
          <w14:ligatures w14:val="none"/>
        </w:rPr>
        <w:t>obszaru</w:t>
      </w:r>
      <w:r w:rsidR="003B50ED">
        <w:rPr>
          <w:rFonts w:eastAsia="Calibri" w:cstheme="minorHAnsi"/>
          <w:kern w:val="0"/>
          <w14:ligatures w14:val="none"/>
        </w:rPr>
        <w:t xml:space="preserve"> </w:t>
      </w:r>
      <w:r w:rsidRPr="00A26C26">
        <w:rPr>
          <w:rFonts w:eastAsia="Calibri" w:cstheme="minorHAnsi"/>
          <w:kern w:val="0"/>
          <w14:ligatures w14:val="none"/>
        </w:rPr>
        <w:t>LSR</w:t>
      </w:r>
      <w:r w:rsidR="003B50ED">
        <w:rPr>
          <w:rFonts w:eastAsia="Calibri" w:cstheme="minorHAnsi"/>
          <w:kern w:val="0"/>
          <w14:ligatures w14:val="none"/>
        </w:rPr>
        <w:t xml:space="preserve"> </w:t>
      </w:r>
      <w:r w:rsidRPr="00A26C26">
        <w:rPr>
          <w:rFonts w:eastAsia="Calibri" w:cstheme="minorHAnsi"/>
          <w:kern w:val="0"/>
          <w14:ligatures w14:val="none"/>
        </w:rPr>
        <w:t>zakładaniem</w:t>
      </w:r>
      <w:r w:rsidR="003B50ED">
        <w:rPr>
          <w:rFonts w:eastAsia="Calibri" w:cstheme="minorHAnsi"/>
          <w:kern w:val="0"/>
          <w14:ligatures w14:val="none"/>
        </w:rPr>
        <w:t xml:space="preserve"> </w:t>
      </w:r>
      <w:r w:rsidRPr="00A26C26">
        <w:rPr>
          <w:rFonts w:eastAsia="Calibri" w:cstheme="minorHAnsi"/>
          <w:kern w:val="0"/>
          <w14:ligatures w14:val="none"/>
        </w:rPr>
        <w:t>lub</w:t>
      </w:r>
      <w:r w:rsidR="003B50ED">
        <w:rPr>
          <w:rFonts w:eastAsia="Calibri" w:cstheme="minorHAnsi"/>
          <w:kern w:val="0"/>
          <w14:ligatures w14:val="none"/>
        </w:rPr>
        <w:t xml:space="preserve"> </w:t>
      </w:r>
      <w:r w:rsidRPr="00A26C26">
        <w:rPr>
          <w:rFonts w:eastAsia="Calibri" w:cstheme="minorHAnsi"/>
          <w:kern w:val="0"/>
          <w14:ligatures w14:val="none"/>
        </w:rPr>
        <w:t>rozwijaniem</w:t>
      </w:r>
      <w:r w:rsidR="003B50ED">
        <w:rPr>
          <w:rFonts w:eastAsia="Calibri" w:cstheme="minorHAnsi"/>
          <w:kern w:val="0"/>
          <w14:ligatures w14:val="none"/>
        </w:rPr>
        <w:t xml:space="preserve"> </w:t>
      </w:r>
      <w:r w:rsidRPr="00A26C26">
        <w:rPr>
          <w:rFonts w:eastAsia="Calibri" w:cstheme="minorHAnsi"/>
          <w:kern w:val="0"/>
          <w14:ligatures w14:val="none"/>
        </w:rPr>
        <w:t>działalności</w:t>
      </w:r>
      <w:r w:rsidR="003B50ED">
        <w:rPr>
          <w:rFonts w:eastAsia="Calibri" w:cstheme="minorHAnsi"/>
          <w:kern w:val="0"/>
          <w14:ligatures w14:val="none"/>
        </w:rPr>
        <w:t xml:space="preserve"> </w:t>
      </w:r>
      <w:r w:rsidRPr="00A26C26">
        <w:rPr>
          <w:rFonts w:eastAsia="Calibri" w:cstheme="minorHAnsi"/>
          <w:kern w:val="0"/>
          <w14:ligatures w14:val="none"/>
        </w:rPr>
        <w:t>gospodarczej,</w:t>
      </w:r>
      <w:r w:rsidR="003B50ED">
        <w:rPr>
          <w:rFonts w:eastAsia="Calibri" w:cstheme="minorHAnsi"/>
          <w:kern w:val="0"/>
          <w14:ligatures w14:val="none"/>
        </w:rPr>
        <w:t xml:space="preserve"> </w:t>
      </w:r>
      <w:r w:rsidRPr="00A26C26">
        <w:rPr>
          <w:rFonts w:eastAsia="Calibri" w:cstheme="minorHAnsi"/>
          <w:kern w:val="0"/>
          <w14:ligatures w14:val="none"/>
        </w:rPr>
        <w:t>w</w:t>
      </w:r>
      <w:r w:rsidR="003B50ED">
        <w:rPr>
          <w:rFonts w:eastAsia="Calibri" w:cstheme="minorHAnsi"/>
          <w:kern w:val="0"/>
          <w14:ligatures w14:val="none"/>
        </w:rPr>
        <w:t xml:space="preserve"> </w:t>
      </w:r>
      <w:r w:rsidRPr="00A26C26">
        <w:rPr>
          <w:rFonts w:eastAsia="Calibri" w:cstheme="minorHAnsi"/>
          <w:kern w:val="0"/>
          <w14:ligatures w14:val="none"/>
        </w:rPr>
        <w:t>tym</w:t>
      </w:r>
      <w:r w:rsidR="003B50ED">
        <w:rPr>
          <w:rFonts w:eastAsia="Calibri" w:cstheme="minorHAnsi"/>
          <w:kern w:val="0"/>
          <w14:ligatures w14:val="none"/>
        </w:rPr>
        <w:t xml:space="preserve"> </w:t>
      </w:r>
      <w:r w:rsidRPr="00A26C26">
        <w:rPr>
          <w:rFonts w:eastAsia="Calibri" w:cstheme="minorHAnsi"/>
          <w:kern w:val="0"/>
          <w14:ligatures w14:val="none"/>
        </w:rPr>
        <w:t>związanych</w:t>
      </w:r>
      <w:r w:rsidR="003B50ED">
        <w:rPr>
          <w:rFonts w:eastAsia="Calibri" w:cstheme="minorHAnsi"/>
          <w:kern w:val="0"/>
          <w14:ligatures w14:val="none"/>
        </w:rPr>
        <w:t xml:space="preserve"> </w:t>
      </w:r>
      <w:r w:rsidRPr="00A26C26">
        <w:rPr>
          <w:rFonts w:eastAsia="Calibri" w:cstheme="minorHAnsi"/>
          <w:kern w:val="0"/>
          <w14:ligatures w14:val="none"/>
        </w:rPr>
        <w:t>z</w:t>
      </w:r>
      <w:r w:rsidR="003B50ED">
        <w:rPr>
          <w:rFonts w:eastAsia="Calibri" w:cstheme="minorHAnsi"/>
          <w:kern w:val="0"/>
          <w14:ligatures w14:val="none"/>
        </w:rPr>
        <w:t xml:space="preserve"> </w:t>
      </w:r>
      <w:r w:rsidRPr="00A26C26">
        <w:rPr>
          <w:rFonts w:eastAsia="Calibri" w:cstheme="minorHAnsi"/>
          <w:kern w:val="0"/>
          <w14:ligatures w14:val="none"/>
        </w:rPr>
        <w:t>turystyką</w:t>
      </w:r>
      <w:r w:rsidR="003B50ED">
        <w:rPr>
          <w:rFonts w:eastAsia="Calibri" w:cstheme="minorHAnsi"/>
          <w:kern w:val="0"/>
          <w14:ligatures w14:val="none"/>
        </w:rPr>
        <w:t xml:space="preserve"> </w:t>
      </w:r>
      <w:r w:rsidRPr="00A26C26">
        <w:rPr>
          <w:rFonts w:eastAsia="Calibri" w:cstheme="minorHAnsi"/>
          <w:kern w:val="0"/>
          <w14:ligatures w14:val="none"/>
        </w:rPr>
        <w:t>wiejską.</w:t>
      </w:r>
      <w:r w:rsidR="003B50ED">
        <w:rPr>
          <w:rFonts w:eastAsia="Calibri" w:cstheme="minorHAnsi"/>
          <w:kern w:val="0"/>
          <w14:ligatures w14:val="none"/>
        </w:rPr>
        <w:t xml:space="preserve"> </w:t>
      </w:r>
      <w:r w:rsidRPr="00A26C26">
        <w:rPr>
          <w:rFonts w:eastAsia="Calibri" w:cstheme="minorHAnsi"/>
          <w:kern w:val="0"/>
          <w14:ligatures w14:val="none"/>
        </w:rPr>
        <w:t>Realizacja</w:t>
      </w:r>
      <w:r w:rsidR="003B50ED">
        <w:rPr>
          <w:rFonts w:eastAsia="Calibri" w:cstheme="minorHAnsi"/>
          <w:kern w:val="0"/>
          <w14:ligatures w14:val="none"/>
        </w:rPr>
        <w:t xml:space="preserve"> </w:t>
      </w:r>
      <w:r w:rsidRPr="00A26C26">
        <w:rPr>
          <w:rFonts w:eastAsia="Calibri" w:cstheme="minorHAnsi"/>
          <w:kern w:val="0"/>
          <w14:ligatures w14:val="none"/>
        </w:rPr>
        <w:t>celu</w:t>
      </w:r>
      <w:r w:rsidR="003B50ED">
        <w:rPr>
          <w:rFonts w:eastAsia="Calibri" w:cstheme="minorHAnsi"/>
          <w:kern w:val="0"/>
          <w14:ligatures w14:val="none"/>
        </w:rPr>
        <w:t xml:space="preserve"> </w:t>
      </w:r>
      <w:r w:rsidRPr="00A26C26">
        <w:rPr>
          <w:rFonts w:eastAsia="Calibri" w:cstheme="minorHAnsi"/>
          <w:kern w:val="0"/>
          <w14:ligatures w14:val="none"/>
        </w:rPr>
        <w:t>przyczyni</w:t>
      </w:r>
      <w:r w:rsidR="003B50ED">
        <w:rPr>
          <w:rFonts w:eastAsia="Calibri" w:cstheme="minorHAnsi"/>
          <w:kern w:val="0"/>
          <w14:ligatures w14:val="none"/>
        </w:rPr>
        <w:t xml:space="preserve"> </w:t>
      </w:r>
      <w:r w:rsidRPr="00A26C26">
        <w:rPr>
          <w:rFonts w:eastAsia="Calibri" w:cstheme="minorHAnsi"/>
          <w:kern w:val="0"/>
          <w14:ligatures w14:val="none"/>
        </w:rPr>
        <w:t>się</w:t>
      </w:r>
      <w:r w:rsidR="003B50ED">
        <w:rPr>
          <w:rFonts w:eastAsia="Calibri" w:cstheme="minorHAnsi"/>
          <w:kern w:val="0"/>
          <w14:ligatures w14:val="none"/>
        </w:rPr>
        <w:t xml:space="preserve"> </w:t>
      </w:r>
      <w:r w:rsidRPr="00A26C26">
        <w:rPr>
          <w:rFonts w:eastAsia="Calibri" w:cstheme="minorHAnsi"/>
          <w:kern w:val="0"/>
          <w14:ligatures w14:val="none"/>
        </w:rPr>
        <w:t>do</w:t>
      </w:r>
      <w:r w:rsidR="003B50ED">
        <w:rPr>
          <w:rFonts w:eastAsia="Calibri" w:cstheme="minorHAnsi"/>
          <w:kern w:val="0"/>
          <w14:ligatures w14:val="none"/>
        </w:rPr>
        <w:t xml:space="preserve"> </w:t>
      </w:r>
      <w:r w:rsidRPr="00A26C26">
        <w:rPr>
          <w:rFonts w:eastAsia="Calibri" w:cstheme="minorHAnsi"/>
          <w:kern w:val="0"/>
          <w14:ligatures w14:val="none"/>
        </w:rPr>
        <w:t>ożywienia</w:t>
      </w:r>
      <w:r w:rsidR="003B50ED">
        <w:rPr>
          <w:rFonts w:eastAsia="Calibri" w:cstheme="minorHAnsi"/>
          <w:kern w:val="0"/>
          <w14:ligatures w14:val="none"/>
        </w:rPr>
        <w:t xml:space="preserve"> </w:t>
      </w:r>
      <w:r w:rsidRPr="00A26C26">
        <w:rPr>
          <w:rFonts w:eastAsia="Calibri" w:cstheme="minorHAnsi"/>
          <w:kern w:val="0"/>
          <w14:ligatures w14:val="none"/>
        </w:rPr>
        <w:t>gospodarczego,</w:t>
      </w:r>
      <w:r w:rsidR="003B50ED">
        <w:rPr>
          <w:rFonts w:eastAsia="Calibri" w:cstheme="minorHAnsi"/>
          <w:kern w:val="0"/>
          <w14:ligatures w14:val="none"/>
        </w:rPr>
        <w:t xml:space="preserve"> </w:t>
      </w:r>
      <w:r w:rsidRPr="00A26C26">
        <w:rPr>
          <w:rFonts w:eastAsia="Calibri" w:cstheme="minorHAnsi"/>
          <w:kern w:val="0"/>
          <w14:ligatures w14:val="none"/>
        </w:rPr>
        <w:t>zwiększenia</w:t>
      </w:r>
      <w:r w:rsidR="003B50ED">
        <w:rPr>
          <w:rFonts w:eastAsia="Calibri" w:cstheme="minorHAnsi"/>
          <w:kern w:val="0"/>
          <w14:ligatures w14:val="none"/>
        </w:rPr>
        <w:t xml:space="preserve"> </w:t>
      </w:r>
      <w:r w:rsidRPr="00A26C26">
        <w:rPr>
          <w:rFonts w:eastAsia="Calibri" w:cstheme="minorHAnsi"/>
          <w:kern w:val="0"/>
          <w14:ligatures w14:val="none"/>
        </w:rPr>
        <w:t>wiedzy</w:t>
      </w:r>
      <w:r w:rsidR="003B50ED">
        <w:rPr>
          <w:rFonts w:eastAsia="Calibri" w:cstheme="minorHAnsi"/>
          <w:kern w:val="0"/>
          <w14:ligatures w14:val="none"/>
        </w:rPr>
        <w:t xml:space="preserve"> </w:t>
      </w:r>
      <w:r w:rsidRPr="00A26C26">
        <w:rPr>
          <w:rFonts w:eastAsia="Calibri" w:cstheme="minorHAnsi"/>
          <w:kern w:val="0"/>
          <w14:ligatures w14:val="none"/>
        </w:rPr>
        <w:t>z</w:t>
      </w:r>
      <w:r w:rsidR="003B50ED">
        <w:rPr>
          <w:rFonts w:eastAsia="Calibri" w:cstheme="minorHAnsi"/>
          <w:kern w:val="0"/>
          <w14:ligatures w14:val="none"/>
        </w:rPr>
        <w:t xml:space="preserve"> </w:t>
      </w:r>
      <w:r w:rsidRPr="00A26C26">
        <w:rPr>
          <w:rFonts w:eastAsia="Calibri" w:cstheme="minorHAnsi"/>
          <w:kern w:val="0"/>
          <w14:ligatures w14:val="none"/>
        </w:rPr>
        <w:t>zakresu</w:t>
      </w:r>
      <w:r w:rsidR="003B50ED">
        <w:rPr>
          <w:rFonts w:eastAsia="Calibri" w:cstheme="minorHAnsi"/>
          <w:kern w:val="0"/>
          <w14:ligatures w14:val="none"/>
        </w:rPr>
        <w:t xml:space="preserve"> </w:t>
      </w:r>
      <w:r w:rsidRPr="00A26C26">
        <w:rPr>
          <w:rFonts w:eastAsia="Calibri" w:cstheme="minorHAnsi"/>
          <w:kern w:val="0"/>
          <w14:ligatures w14:val="none"/>
        </w:rPr>
        <w:t>przedsiębiorczości,</w:t>
      </w:r>
      <w:r w:rsidR="003B50ED">
        <w:rPr>
          <w:rFonts w:eastAsia="Calibri" w:cstheme="minorHAnsi"/>
          <w:kern w:val="0"/>
          <w14:ligatures w14:val="none"/>
        </w:rPr>
        <w:t xml:space="preserve"> </w:t>
      </w:r>
      <w:r w:rsidRPr="00A26C26">
        <w:rPr>
          <w:rFonts w:eastAsia="Calibri" w:cstheme="minorHAnsi"/>
          <w:kern w:val="0"/>
          <w14:ligatures w14:val="none"/>
        </w:rPr>
        <w:t>generowania</w:t>
      </w:r>
      <w:r w:rsidR="003B50ED">
        <w:rPr>
          <w:rFonts w:eastAsia="Calibri" w:cstheme="minorHAnsi"/>
          <w:kern w:val="0"/>
          <w14:ligatures w14:val="none"/>
        </w:rPr>
        <w:t xml:space="preserve"> </w:t>
      </w:r>
      <w:r w:rsidRPr="00A26C26">
        <w:rPr>
          <w:rFonts w:eastAsia="Calibri" w:cstheme="minorHAnsi"/>
          <w:kern w:val="0"/>
          <w14:ligatures w14:val="none"/>
        </w:rPr>
        <w:t>nowych</w:t>
      </w:r>
      <w:r w:rsidR="003B50ED">
        <w:rPr>
          <w:rFonts w:eastAsia="Calibri" w:cstheme="minorHAnsi"/>
          <w:kern w:val="0"/>
          <w14:ligatures w14:val="none"/>
        </w:rPr>
        <w:t xml:space="preserve"> </w:t>
      </w:r>
      <w:r w:rsidRPr="00A26C26">
        <w:rPr>
          <w:rFonts w:eastAsia="Calibri" w:cstheme="minorHAnsi"/>
          <w:kern w:val="0"/>
          <w14:ligatures w14:val="none"/>
        </w:rPr>
        <w:t>miejsc</w:t>
      </w:r>
      <w:r w:rsidR="003B50ED">
        <w:rPr>
          <w:rFonts w:eastAsia="Calibri" w:cstheme="minorHAnsi"/>
          <w:kern w:val="0"/>
          <w14:ligatures w14:val="none"/>
        </w:rPr>
        <w:t xml:space="preserve"> </w:t>
      </w:r>
      <w:r w:rsidRPr="00A26C26">
        <w:rPr>
          <w:rFonts w:eastAsia="Calibri" w:cstheme="minorHAnsi"/>
          <w:kern w:val="0"/>
          <w14:ligatures w14:val="none"/>
        </w:rPr>
        <w:t>pracy,</w:t>
      </w:r>
      <w:r w:rsidR="003B50ED">
        <w:rPr>
          <w:rFonts w:eastAsia="Calibri" w:cstheme="minorHAnsi"/>
          <w:kern w:val="0"/>
          <w14:ligatures w14:val="none"/>
        </w:rPr>
        <w:t xml:space="preserve"> </w:t>
      </w:r>
      <w:r w:rsidRPr="00A26C26">
        <w:rPr>
          <w:rFonts w:eastAsia="Calibri" w:cstheme="minorHAnsi"/>
          <w:kern w:val="0"/>
          <w14:ligatures w14:val="none"/>
        </w:rPr>
        <w:t>zmniejszenia</w:t>
      </w:r>
      <w:r w:rsidR="003B50ED">
        <w:rPr>
          <w:rFonts w:eastAsia="Calibri" w:cstheme="minorHAnsi"/>
          <w:kern w:val="0"/>
          <w14:ligatures w14:val="none"/>
        </w:rPr>
        <w:t xml:space="preserve"> </w:t>
      </w:r>
      <w:r w:rsidRPr="00A26C26">
        <w:rPr>
          <w:rFonts w:eastAsia="Calibri" w:cstheme="minorHAnsi"/>
          <w:kern w:val="0"/>
          <w14:ligatures w14:val="none"/>
        </w:rPr>
        <w:t>bezrobocia,</w:t>
      </w:r>
      <w:r w:rsidR="003B50ED">
        <w:rPr>
          <w:rFonts w:eastAsia="Calibri" w:cstheme="minorHAnsi"/>
          <w:kern w:val="0"/>
          <w14:ligatures w14:val="none"/>
        </w:rPr>
        <w:t xml:space="preserve"> </w:t>
      </w:r>
      <w:r w:rsidRPr="00A26C26">
        <w:rPr>
          <w:rFonts w:eastAsia="Calibri" w:cstheme="minorHAnsi"/>
          <w:kern w:val="0"/>
          <w14:ligatures w14:val="none"/>
        </w:rPr>
        <w:t>podniesienia</w:t>
      </w:r>
      <w:r w:rsidR="003B50ED">
        <w:rPr>
          <w:rFonts w:eastAsia="Calibri" w:cstheme="minorHAnsi"/>
          <w:kern w:val="0"/>
          <w14:ligatures w14:val="none"/>
        </w:rPr>
        <w:t xml:space="preserve"> </w:t>
      </w:r>
      <w:r w:rsidRPr="00A26C26">
        <w:rPr>
          <w:rFonts w:eastAsia="Calibri" w:cstheme="minorHAnsi"/>
          <w:kern w:val="0"/>
          <w14:ligatures w14:val="none"/>
        </w:rPr>
        <w:t>kompetencji</w:t>
      </w:r>
      <w:r w:rsidR="003B50ED">
        <w:rPr>
          <w:rFonts w:eastAsia="Calibri" w:cstheme="minorHAnsi"/>
          <w:kern w:val="0"/>
          <w14:ligatures w14:val="none"/>
        </w:rPr>
        <w:t xml:space="preserve"> </w:t>
      </w:r>
      <w:r w:rsidRPr="00A26C26">
        <w:rPr>
          <w:rFonts w:eastAsia="Calibri" w:cstheme="minorHAnsi"/>
          <w:kern w:val="0"/>
          <w14:ligatures w14:val="none"/>
        </w:rPr>
        <w:t>mieszkańców</w:t>
      </w:r>
      <w:r w:rsidR="003B50ED">
        <w:rPr>
          <w:rFonts w:eastAsia="Calibri" w:cstheme="minorHAnsi"/>
          <w:kern w:val="0"/>
          <w14:ligatures w14:val="none"/>
        </w:rPr>
        <w:t xml:space="preserve"> </w:t>
      </w:r>
      <w:r w:rsidRPr="00A26C26">
        <w:rPr>
          <w:rFonts w:eastAsia="Calibri" w:cstheme="minorHAnsi"/>
          <w:kern w:val="0"/>
          <w14:ligatures w14:val="none"/>
        </w:rPr>
        <w:t>w</w:t>
      </w:r>
      <w:r w:rsidR="003B50ED">
        <w:rPr>
          <w:rFonts w:eastAsia="Calibri" w:cstheme="minorHAnsi"/>
          <w:kern w:val="0"/>
          <w14:ligatures w14:val="none"/>
        </w:rPr>
        <w:t xml:space="preserve"> </w:t>
      </w:r>
      <w:r w:rsidRPr="00A26C26">
        <w:rPr>
          <w:rFonts w:eastAsia="Calibri" w:cstheme="minorHAnsi"/>
          <w:kern w:val="0"/>
          <w14:ligatures w14:val="none"/>
        </w:rPr>
        <w:t>obszarze</w:t>
      </w:r>
      <w:r w:rsidR="003B50ED">
        <w:rPr>
          <w:rFonts w:eastAsia="Calibri" w:cstheme="minorHAnsi"/>
          <w:kern w:val="0"/>
          <w14:ligatures w14:val="none"/>
        </w:rPr>
        <w:t xml:space="preserve"> </w:t>
      </w:r>
      <w:r w:rsidRPr="00A26C26">
        <w:rPr>
          <w:rFonts w:eastAsia="Calibri" w:cstheme="minorHAnsi"/>
          <w:kern w:val="0"/>
          <w14:ligatures w14:val="none"/>
        </w:rPr>
        <w:t>prowadzenia</w:t>
      </w:r>
      <w:r w:rsidR="003B50ED">
        <w:rPr>
          <w:rFonts w:eastAsia="Calibri" w:cstheme="minorHAnsi"/>
          <w:kern w:val="0"/>
          <w14:ligatures w14:val="none"/>
        </w:rPr>
        <w:t xml:space="preserve"> </w:t>
      </w:r>
      <w:r w:rsidRPr="00A26C26">
        <w:rPr>
          <w:rFonts w:eastAsia="Calibri" w:cstheme="minorHAnsi"/>
          <w:kern w:val="0"/>
          <w14:ligatures w14:val="none"/>
        </w:rPr>
        <w:t>działalności</w:t>
      </w:r>
      <w:r w:rsidR="003B50ED">
        <w:rPr>
          <w:rFonts w:eastAsia="Calibri" w:cstheme="minorHAnsi"/>
          <w:kern w:val="0"/>
          <w14:ligatures w14:val="none"/>
        </w:rPr>
        <w:t xml:space="preserve"> </w:t>
      </w:r>
      <w:r w:rsidRPr="00A26C26">
        <w:rPr>
          <w:rFonts w:eastAsia="Calibri" w:cstheme="minorHAnsi"/>
          <w:kern w:val="0"/>
          <w14:ligatures w14:val="none"/>
        </w:rPr>
        <w:t>gospodarczej.</w:t>
      </w:r>
      <w:r w:rsidR="003B50ED">
        <w:rPr>
          <w:rFonts w:eastAsia="Calibri" w:cstheme="minorHAnsi"/>
          <w:kern w:val="0"/>
          <w14:ligatures w14:val="none"/>
        </w:rPr>
        <w:t xml:space="preserve"> </w:t>
      </w:r>
      <w:r w:rsidRPr="00A26C26">
        <w:rPr>
          <w:rFonts w:eastAsia="Calibri" w:cstheme="minorHAnsi"/>
          <w:kern w:val="0"/>
          <w14:ligatures w14:val="none"/>
        </w:rPr>
        <w:t>Pomoc</w:t>
      </w:r>
      <w:r w:rsidR="003B50ED">
        <w:rPr>
          <w:rFonts w:eastAsia="Calibri" w:cstheme="minorHAnsi"/>
          <w:kern w:val="0"/>
          <w14:ligatures w14:val="none"/>
        </w:rPr>
        <w:t xml:space="preserve"> </w:t>
      </w:r>
      <w:r w:rsidRPr="00A26C26">
        <w:rPr>
          <w:rFonts w:eastAsia="Calibri" w:cstheme="minorHAnsi"/>
          <w:kern w:val="0"/>
          <w14:ligatures w14:val="none"/>
        </w:rPr>
        <w:t>będzie</w:t>
      </w:r>
      <w:r w:rsidR="003B50ED">
        <w:rPr>
          <w:rFonts w:eastAsia="Calibri" w:cstheme="minorHAnsi"/>
          <w:kern w:val="0"/>
          <w14:ligatures w14:val="none"/>
        </w:rPr>
        <w:t xml:space="preserve"> </w:t>
      </w:r>
      <w:r w:rsidRPr="00A26C26">
        <w:rPr>
          <w:rFonts w:eastAsia="Calibri" w:cstheme="minorHAnsi"/>
          <w:kern w:val="0"/>
          <w14:ligatures w14:val="none"/>
        </w:rPr>
        <w:t>skierowana</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rozwój</w:t>
      </w:r>
      <w:r w:rsidR="003B50ED">
        <w:rPr>
          <w:rFonts w:eastAsia="Calibri" w:cstheme="minorHAnsi"/>
          <w:kern w:val="0"/>
          <w14:ligatures w14:val="none"/>
        </w:rPr>
        <w:t xml:space="preserve"> </w:t>
      </w:r>
      <w:r w:rsidRPr="00A26C26">
        <w:rPr>
          <w:rFonts w:eastAsia="Calibri" w:cstheme="minorHAnsi"/>
          <w:kern w:val="0"/>
          <w14:ligatures w14:val="none"/>
        </w:rPr>
        <w:t>komercyjnych</w:t>
      </w:r>
      <w:r w:rsidR="003B50ED">
        <w:rPr>
          <w:rFonts w:eastAsia="Calibri" w:cstheme="minorHAnsi"/>
          <w:kern w:val="0"/>
          <w14:ligatures w14:val="none"/>
        </w:rPr>
        <w:t xml:space="preserve"> </w:t>
      </w:r>
      <w:r w:rsidRPr="00A26C26">
        <w:rPr>
          <w:rFonts w:eastAsia="Calibri" w:cstheme="minorHAnsi"/>
          <w:kern w:val="0"/>
          <w14:ligatures w14:val="none"/>
        </w:rPr>
        <w:t>usług</w:t>
      </w:r>
      <w:r w:rsidR="003B50ED">
        <w:rPr>
          <w:rFonts w:eastAsia="Calibri" w:cstheme="minorHAnsi"/>
          <w:kern w:val="0"/>
          <w14:ligatures w14:val="none"/>
        </w:rPr>
        <w:t xml:space="preserve"> </w:t>
      </w:r>
      <w:r w:rsidRPr="00A26C26">
        <w:rPr>
          <w:rFonts w:eastAsia="Calibri" w:cstheme="minorHAnsi"/>
          <w:kern w:val="0"/>
          <w14:ligatures w14:val="none"/>
        </w:rPr>
        <w:t>mających</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celu</w:t>
      </w:r>
      <w:r w:rsidR="003B50ED">
        <w:rPr>
          <w:rFonts w:eastAsia="Calibri" w:cstheme="minorHAnsi"/>
          <w:kern w:val="0"/>
          <w14:ligatures w14:val="none"/>
        </w:rPr>
        <w:t xml:space="preserve"> </w:t>
      </w:r>
      <w:r w:rsidRPr="00A26C26">
        <w:rPr>
          <w:rFonts w:eastAsia="Calibri" w:cstheme="minorHAnsi"/>
          <w:kern w:val="0"/>
          <w14:ligatures w14:val="none"/>
        </w:rPr>
        <w:t>poprawę</w:t>
      </w:r>
      <w:r w:rsidR="003B50ED">
        <w:rPr>
          <w:rFonts w:eastAsia="Calibri" w:cstheme="minorHAnsi"/>
          <w:kern w:val="0"/>
          <w14:ligatures w14:val="none"/>
        </w:rPr>
        <w:t xml:space="preserve"> </w:t>
      </w:r>
      <w:r w:rsidRPr="00A26C26">
        <w:rPr>
          <w:rFonts w:eastAsia="Calibri" w:cstheme="minorHAnsi"/>
          <w:kern w:val="0"/>
          <w14:ligatures w14:val="none"/>
        </w:rPr>
        <w:t>jakości</w:t>
      </w:r>
      <w:r w:rsidR="003B50ED">
        <w:rPr>
          <w:rFonts w:eastAsia="Calibri" w:cstheme="minorHAnsi"/>
          <w:kern w:val="0"/>
          <w14:ligatures w14:val="none"/>
        </w:rPr>
        <w:t xml:space="preserve"> </w:t>
      </w:r>
      <w:r w:rsidRPr="00A26C26">
        <w:rPr>
          <w:rFonts w:eastAsia="Calibri" w:cstheme="minorHAnsi"/>
          <w:kern w:val="0"/>
          <w14:ligatures w14:val="none"/>
        </w:rPr>
        <w:t>życia</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obszarze.</w:t>
      </w:r>
      <w:r w:rsidR="003B50ED">
        <w:rPr>
          <w:rFonts w:eastAsia="Calibri" w:cstheme="minorHAnsi"/>
          <w:kern w:val="0"/>
          <w14:ligatures w14:val="none"/>
        </w:rPr>
        <w:t xml:space="preserve"> </w:t>
      </w:r>
      <w:r w:rsidRPr="00A26C26">
        <w:rPr>
          <w:rFonts w:eastAsia="Calibri" w:cstheme="minorHAnsi"/>
          <w:kern w:val="0"/>
          <w14:ligatures w14:val="none"/>
        </w:rPr>
        <w:t>Dzięki</w:t>
      </w:r>
      <w:r w:rsidR="003B50ED">
        <w:rPr>
          <w:rFonts w:eastAsia="Calibri" w:cstheme="minorHAnsi"/>
          <w:kern w:val="0"/>
          <w14:ligatures w14:val="none"/>
        </w:rPr>
        <w:t xml:space="preserve"> </w:t>
      </w:r>
      <w:r w:rsidRPr="00A26C26">
        <w:rPr>
          <w:rFonts w:eastAsia="Calibri" w:cstheme="minorHAnsi"/>
          <w:kern w:val="0"/>
          <w14:ligatures w14:val="none"/>
        </w:rPr>
        <w:t>temu</w:t>
      </w:r>
      <w:r w:rsidR="003B50ED">
        <w:rPr>
          <w:rFonts w:eastAsia="Calibri" w:cstheme="minorHAnsi"/>
          <w:kern w:val="0"/>
          <w14:ligatures w14:val="none"/>
        </w:rPr>
        <w:t xml:space="preserve"> </w:t>
      </w:r>
      <w:r w:rsidRPr="00A26C26">
        <w:rPr>
          <w:rFonts w:eastAsia="Calibri" w:cstheme="minorHAnsi"/>
          <w:kern w:val="0"/>
          <w14:ligatures w14:val="none"/>
        </w:rPr>
        <w:t>powstaną</w:t>
      </w:r>
      <w:r w:rsidR="003B50ED">
        <w:rPr>
          <w:rFonts w:eastAsia="Calibri" w:cstheme="minorHAnsi"/>
          <w:kern w:val="0"/>
          <w14:ligatures w14:val="none"/>
        </w:rPr>
        <w:t xml:space="preserve"> </w:t>
      </w:r>
      <w:r w:rsidRPr="00A26C26">
        <w:rPr>
          <w:rFonts w:eastAsia="Calibri" w:cstheme="minorHAnsi"/>
          <w:kern w:val="0"/>
          <w14:ligatures w14:val="none"/>
        </w:rPr>
        <w:t>nowe</w:t>
      </w:r>
      <w:r w:rsidR="003B50ED">
        <w:rPr>
          <w:rFonts w:eastAsia="Calibri" w:cstheme="minorHAnsi"/>
          <w:kern w:val="0"/>
          <w14:ligatures w14:val="none"/>
        </w:rPr>
        <w:t xml:space="preserve"> </w:t>
      </w:r>
      <w:r w:rsidRPr="00A26C26">
        <w:rPr>
          <w:rFonts w:eastAsia="Calibri" w:cstheme="minorHAnsi"/>
          <w:kern w:val="0"/>
          <w14:ligatures w14:val="none"/>
        </w:rPr>
        <w:t>firmy</w:t>
      </w:r>
      <w:r w:rsidR="003B50ED">
        <w:rPr>
          <w:rFonts w:eastAsia="Calibri" w:cstheme="minorHAnsi"/>
          <w:kern w:val="0"/>
          <w14:ligatures w14:val="none"/>
        </w:rPr>
        <w:t xml:space="preserve"> </w:t>
      </w:r>
      <w:r w:rsidRPr="00A26C26">
        <w:rPr>
          <w:rFonts w:eastAsia="Calibri" w:cstheme="minorHAnsi"/>
          <w:kern w:val="0"/>
          <w14:ligatures w14:val="none"/>
        </w:rPr>
        <w:t>z</w:t>
      </w:r>
      <w:r w:rsidR="003B50ED">
        <w:rPr>
          <w:rFonts w:eastAsia="Calibri" w:cstheme="minorHAnsi"/>
          <w:kern w:val="0"/>
          <w14:ligatures w14:val="none"/>
        </w:rPr>
        <w:t xml:space="preserve"> </w:t>
      </w:r>
      <w:r w:rsidRPr="00A26C26">
        <w:rPr>
          <w:rFonts w:eastAsia="Calibri" w:cstheme="minorHAnsi"/>
          <w:kern w:val="0"/>
          <w14:ligatures w14:val="none"/>
        </w:rPr>
        <w:t>ofertą</w:t>
      </w:r>
      <w:r w:rsidR="003B50ED">
        <w:rPr>
          <w:rFonts w:eastAsia="Calibri" w:cstheme="minorHAnsi"/>
          <w:kern w:val="0"/>
          <w14:ligatures w14:val="none"/>
        </w:rPr>
        <w:t xml:space="preserve"> </w:t>
      </w:r>
      <w:r w:rsidRPr="00A26C26">
        <w:rPr>
          <w:rFonts w:eastAsia="Calibri" w:cstheme="minorHAnsi"/>
          <w:kern w:val="0"/>
          <w14:ligatures w14:val="none"/>
        </w:rPr>
        <w:t>skierowaną</w:t>
      </w:r>
      <w:r w:rsidR="003B50ED">
        <w:rPr>
          <w:rFonts w:eastAsia="Calibri" w:cstheme="minorHAnsi"/>
          <w:kern w:val="0"/>
          <w14:ligatures w14:val="none"/>
        </w:rPr>
        <w:t xml:space="preserve"> </w:t>
      </w:r>
      <w:r w:rsidRPr="00A26C26">
        <w:rPr>
          <w:rFonts w:eastAsia="Calibri" w:cstheme="minorHAnsi"/>
          <w:kern w:val="0"/>
          <w14:ligatures w14:val="none"/>
        </w:rPr>
        <w:t>bezpośrednio</w:t>
      </w:r>
      <w:r w:rsidR="003B50ED">
        <w:rPr>
          <w:rFonts w:eastAsia="Calibri" w:cstheme="minorHAnsi"/>
          <w:kern w:val="0"/>
          <w14:ligatures w14:val="none"/>
        </w:rPr>
        <w:t xml:space="preserve"> </w:t>
      </w:r>
      <w:r w:rsidRPr="00A26C26">
        <w:rPr>
          <w:rFonts w:eastAsia="Calibri" w:cstheme="minorHAnsi"/>
          <w:kern w:val="0"/>
          <w14:ligatures w14:val="none"/>
        </w:rPr>
        <w:t>do</w:t>
      </w:r>
      <w:r w:rsidR="003B50ED">
        <w:rPr>
          <w:rFonts w:eastAsia="Calibri" w:cstheme="minorHAnsi"/>
          <w:kern w:val="0"/>
          <w14:ligatures w14:val="none"/>
        </w:rPr>
        <w:t xml:space="preserve"> </w:t>
      </w:r>
      <w:r w:rsidRPr="00A26C26">
        <w:rPr>
          <w:rFonts w:eastAsia="Calibri" w:cstheme="minorHAnsi"/>
          <w:kern w:val="0"/>
          <w14:ligatures w14:val="none"/>
        </w:rPr>
        <w:t>mieszkańców,</w:t>
      </w:r>
      <w:r w:rsidR="003B50ED">
        <w:rPr>
          <w:rFonts w:eastAsia="Calibri" w:cstheme="minorHAnsi"/>
          <w:kern w:val="0"/>
          <w14:ligatures w14:val="none"/>
        </w:rPr>
        <w:t xml:space="preserve"> </w:t>
      </w:r>
      <w:r w:rsidRPr="00A26C26">
        <w:rPr>
          <w:rFonts w:eastAsia="Calibri" w:cstheme="minorHAnsi"/>
          <w:kern w:val="0"/>
          <w14:ligatures w14:val="none"/>
        </w:rPr>
        <w:t>a</w:t>
      </w:r>
      <w:r w:rsidR="003B50ED">
        <w:rPr>
          <w:rFonts w:eastAsia="Calibri" w:cstheme="minorHAnsi"/>
          <w:kern w:val="0"/>
          <w14:ligatures w14:val="none"/>
        </w:rPr>
        <w:t xml:space="preserve"> </w:t>
      </w:r>
      <w:r w:rsidRPr="00A26C26">
        <w:rPr>
          <w:rFonts w:eastAsia="Calibri" w:cstheme="minorHAnsi"/>
          <w:kern w:val="0"/>
          <w14:ligatures w14:val="none"/>
        </w:rPr>
        <w:t>istniejące</w:t>
      </w:r>
      <w:r w:rsidR="003B50ED">
        <w:rPr>
          <w:rFonts w:eastAsia="Calibri" w:cstheme="minorHAnsi"/>
          <w:kern w:val="0"/>
          <w14:ligatures w14:val="none"/>
        </w:rPr>
        <w:t xml:space="preserve"> </w:t>
      </w:r>
      <w:r w:rsidRPr="00A26C26">
        <w:rPr>
          <w:rFonts w:eastAsia="Calibri" w:cstheme="minorHAnsi"/>
          <w:kern w:val="0"/>
          <w14:ligatures w14:val="none"/>
        </w:rPr>
        <w:t>podmioty</w:t>
      </w:r>
      <w:r w:rsidR="003B50ED">
        <w:rPr>
          <w:rFonts w:eastAsia="Calibri" w:cstheme="minorHAnsi"/>
          <w:kern w:val="0"/>
          <w14:ligatures w14:val="none"/>
        </w:rPr>
        <w:t xml:space="preserve"> </w:t>
      </w:r>
      <w:r w:rsidRPr="00A26C26">
        <w:rPr>
          <w:rFonts w:eastAsia="Calibri" w:cstheme="minorHAnsi"/>
          <w:kern w:val="0"/>
          <w14:ligatures w14:val="none"/>
        </w:rPr>
        <w:t>będą</w:t>
      </w:r>
      <w:r w:rsidR="003B50ED">
        <w:rPr>
          <w:rFonts w:eastAsia="Calibri" w:cstheme="minorHAnsi"/>
          <w:kern w:val="0"/>
          <w14:ligatures w14:val="none"/>
        </w:rPr>
        <w:t xml:space="preserve"> </w:t>
      </w:r>
      <w:r w:rsidRPr="00A26C26">
        <w:rPr>
          <w:rFonts w:eastAsia="Calibri" w:cstheme="minorHAnsi"/>
          <w:kern w:val="0"/>
          <w14:ligatures w14:val="none"/>
        </w:rPr>
        <w:t>miały</w:t>
      </w:r>
      <w:r w:rsidR="003B50ED">
        <w:rPr>
          <w:rFonts w:eastAsia="Calibri" w:cstheme="minorHAnsi"/>
          <w:kern w:val="0"/>
          <w14:ligatures w14:val="none"/>
        </w:rPr>
        <w:t xml:space="preserve"> </w:t>
      </w:r>
      <w:r w:rsidRPr="00A26C26">
        <w:rPr>
          <w:rFonts w:eastAsia="Calibri" w:cstheme="minorHAnsi"/>
          <w:kern w:val="0"/>
          <w14:ligatures w14:val="none"/>
        </w:rPr>
        <w:t>szanse</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dywersyfikację</w:t>
      </w:r>
      <w:r w:rsidR="003B50ED">
        <w:rPr>
          <w:rFonts w:eastAsia="Calibri" w:cstheme="minorHAnsi"/>
          <w:kern w:val="0"/>
          <w14:ligatures w14:val="none"/>
        </w:rPr>
        <w:t xml:space="preserve"> </w:t>
      </w:r>
      <w:r w:rsidRPr="00A26C26">
        <w:rPr>
          <w:rFonts w:eastAsia="Calibri" w:cstheme="minorHAnsi"/>
          <w:kern w:val="0"/>
          <w14:ligatures w14:val="none"/>
        </w:rPr>
        <w:t>swojej</w:t>
      </w:r>
      <w:r w:rsidR="003B50ED">
        <w:rPr>
          <w:rFonts w:eastAsia="Calibri" w:cstheme="minorHAnsi"/>
          <w:kern w:val="0"/>
          <w14:ligatures w14:val="none"/>
        </w:rPr>
        <w:t xml:space="preserve"> </w:t>
      </w:r>
      <w:r w:rsidRPr="00A26C26">
        <w:rPr>
          <w:rFonts w:eastAsia="Calibri" w:cstheme="minorHAnsi"/>
          <w:kern w:val="0"/>
          <w14:ligatures w14:val="none"/>
        </w:rPr>
        <w:t>działalności</w:t>
      </w:r>
      <w:r w:rsidR="003B50ED">
        <w:rPr>
          <w:rFonts w:eastAsia="Calibri" w:cstheme="minorHAnsi"/>
          <w:kern w:val="0"/>
          <w14:ligatures w14:val="none"/>
        </w:rPr>
        <w:t xml:space="preserve"> </w:t>
      </w:r>
      <w:r w:rsidRPr="00A26C26">
        <w:rPr>
          <w:rFonts w:eastAsia="Calibri" w:cstheme="minorHAnsi"/>
          <w:kern w:val="0"/>
          <w14:ligatures w14:val="none"/>
        </w:rPr>
        <w:t>lub</w:t>
      </w:r>
      <w:r w:rsidR="003B50ED">
        <w:rPr>
          <w:rFonts w:eastAsia="Calibri" w:cstheme="minorHAnsi"/>
          <w:kern w:val="0"/>
          <w14:ligatures w14:val="none"/>
        </w:rPr>
        <w:t xml:space="preserve"> </w:t>
      </w:r>
      <w:r w:rsidRPr="00A26C26">
        <w:rPr>
          <w:rFonts w:eastAsia="Calibri" w:cstheme="minorHAnsi"/>
          <w:kern w:val="0"/>
          <w14:ligatures w14:val="none"/>
        </w:rPr>
        <w:t>zwiększenie</w:t>
      </w:r>
      <w:r w:rsidR="003B50ED">
        <w:rPr>
          <w:rFonts w:eastAsia="Calibri" w:cstheme="minorHAnsi"/>
          <w:kern w:val="0"/>
          <w14:ligatures w14:val="none"/>
        </w:rPr>
        <w:t xml:space="preserve"> </w:t>
      </w:r>
      <w:r w:rsidRPr="00A26C26">
        <w:rPr>
          <w:rFonts w:eastAsia="Calibri" w:cstheme="minorHAnsi"/>
          <w:kern w:val="0"/>
          <w14:ligatures w14:val="none"/>
        </w:rPr>
        <w:t>konkurencyjności</w:t>
      </w:r>
      <w:r w:rsidR="003B50ED">
        <w:rPr>
          <w:rFonts w:eastAsia="Calibri" w:cstheme="minorHAnsi"/>
          <w:kern w:val="0"/>
          <w14:ligatures w14:val="none"/>
        </w:rPr>
        <w:t xml:space="preserve"> </w:t>
      </w:r>
      <w:r w:rsidRPr="00A26C26">
        <w:rPr>
          <w:rFonts w:eastAsia="Calibri" w:cstheme="minorHAnsi"/>
          <w:kern w:val="0"/>
          <w14:ligatures w14:val="none"/>
        </w:rPr>
        <w:t>świadczonych</w:t>
      </w:r>
      <w:r w:rsidR="003B50ED">
        <w:rPr>
          <w:rFonts w:eastAsia="Calibri" w:cstheme="minorHAnsi"/>
          <w:kern w:val="0"/>
          <w14:ligatures w14:val="none"/>
        </w:rPr>
        <w:t xml:space="preserve"> </w:t>
      </w:r>
      <w:r w:rsidRPr="00A26C26">
        <w:rPr>
          <w:rFonts w:eastAsia="Calibri" w:cstheme="minorHAnsi"/>
          <w:kern w:val="0"/>
          <w14:ligatures w14:val="none"/>
        </w:rPr>
        <w:t>usług.</w:t>
      </w:r>
      <w:r w:rsidR="003B50ED">
        <w:rPr>
          <w:rFonts w:eastAsia="Calibri" w:cstheme="minorHAnsi"/>
          <w:kern w:val="0"/>
          <w14:ligatures w14:val="none"/>
        </w:rPr>
        <w:t xml:space="preserve"> </w:t>
      </w:r>
      <w:r w:rsidRPr="00A26C26">
        <w:rPr>
          <w:rFonts w:eastAsia="Calibri" w:cstheme="minorHAnsi"/>
          <w:color w:val="000000"/>
          <w:kern w:val="0"/>
          <w14:ligatures w14:val="none"/>
        </w:rPr>
        <w:t>Ważnym</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elementem</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rozwoju</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obszaru</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będzie</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wsparcie</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kierowane</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do</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małych</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gospodarstw</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rolnych</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poprzez</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tworzenie</w:t>
      </w:r>
      <w:r w:rsidR="003B50ED">
        <w:rPr>
          <w:rFonts w:eastAsia="Calibri" w:cstheme="minorHAnsi"/>
          <w:color w:val="000000"/>
          <w:kern w:val="0"/>
          <w14:ligatures w14:val="none"/>
        </w:rPr>
        <w:t xml:space="preserve"> </w:t>
      </w:r>
      <w:r w:rsidRPr="00137086">
        <w:rPr>
          <w:rFonts w:eastAsia="Calibri" w:cstheme="minorHAnsi"/>
          <w:strike/>
          <w:color w:val="FF0000"/>
          <w:kern w:val="0"/>
          <w14:ligatures w14:val="none"/>
        </w:rPr>
        <w:t>i</w:t>
      </w:r>
      <w:r w:rsidR="003B50ED" w:rsidRPr="00137086">
        <w:rPr>
          <w:rFonts w:eastAsia="Calibri" w:cstheme="minorHAnsi"/>
          <w:strike/>
          <w:color w:val="FF0000"/>
          <w:kern w:val="0"/>
          <w14:ligatures w14:val="none"/>
        </w:rPr>
        <w:t xml:space="preserve"> </w:t>
      </w:r>
      <w:r w:rsidRPr="00137086">
        <w:rPr>
          <w:rFonts w:eastAsia="Calibri" w:cstheme="minorHAnsi"/>
          <w:strike/>
          <w:color w:val="FF0000"/>
          <w:kern w:val="0"/>
          <w14:ligatures w14:val="none"/>
        </w:rPr>
        <w:t>rozwijanie</w:t>
      </w:r>
      <w:r w:rsidR="003B50ED" w:rsidRPr="00137086">
        <w:rPr>
          <w:rFonts w:eastAsia="Calibri" w:cstheme="minorHAnsi"/>
          <w:color w:val="FF0000"/>
          <w:kern w:val="0"/>
          <w14:ligatures w14:val="none"/>
        </w:rPr>
        <w:t xml:space="preserve"> </w:t>
      </w:r>
      <w:r w:rsidRPr="00A26C26">
        <w:rPr>
          <w:rFonts w:eastAsia="Calibri" w:cstheme="minorHAnsi"/>
          <w:color w:val="000000"/>
          <w:kern w:val="0"/>
          <w14:ligatures w14:val="none"/>
        </w:rPr>
        <w:t>gospodarstw</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agroturystycznych</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i</w:t>
      </w:r>
      <w:r w:rsidR="003B50ED">
        <w:rPr>
          <w:rFonts w:eastAsia="Calibri" w:cstheme="minorHAnsi"/>
          <w:color w:val="000000"/>
          <w:kern w:val="0"/>
          <w14:ligatures w14:val="none"/>
        </w:rPr>
        <w:t xml:space="preserve"> </w:t>
      </w:r>
      <w:r w:rsidR="00A539E1" w:rsidRPr="00357EE3">
        <w:rPr>
          <w:rFonts w:eastAsia="Calibri" w:cstheme="minorHAnsi"/>
          <w:kern w:val="0"/>
          <w14:ligatures w14:val="none"/>
        </w:rPr>
        <w:t>tworzenie</w:t>
      </w:r>
      <w:r w:rsidR="00A539E1">
        <w:rPr>
          <w:rFonts w:eastAsia="Calibri" w:cstheme="minorHAnsi"/>
          <w:color w:val="FF0000"/>
          <w:kern w:val="0"/>
          <w14:ligatures w14:val="none"/>
        </w:rPr>
        <w:t xml:space="preserve"> </w:t>
      </w:r>
      <w:r w:rsidRPr="00A26C26">
        <w:rPr>
          <w:rFonts w:eastAsia="Calibri" w:cstheme="minorHAnsi"/>
          <w:color w:val="000000"/>
          <w:kern w:val="0"/>
          <w14:ligatures w14:val="none"/>
        </w:rPr>
        <w:t>zagród</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edukacyjnych.</w:t>
      </w:r>
      <w:r w:rsidR="003B50ED">
        <w:rPr>
          <w:rFonts w:eastAsia="Calibri" w:cstheme="minorHAnsi"/>
          <w:color w:val="000000"/>
          <w:kern w:val="0"/>
          <w14:ligatures w14:val="none"/>
        </w:rPr>
        <w:t xml:space="preserve"> </w:t>
      </w:r>
    </w:p>
    <w:p w14:paraId="59B68FAE" w14:textId="34AB6164" w:rsidR="002C63F4" w:rsidRPr="00A26C26" w:rsidRDefault="002C63F4" w:rsidP="00A26C26">
      <w:pPr>
        <w:spacing w:line="276" w:lineRule="auto"/>
        <w:jc w:val="both"/>
        <w:rPr>
          <w:rFonts w:eastAsia="Calibri" w:cstheme="minorHAnsi"/>
          <w:b/>
          <w:bCs/>
          <w:color w:val="000000"/>
          <w:kern w:val="0"/>
          <w14:ligatures w14:val="none"/>
        </w:rPr>
      </w:pPr>
      <w:r w:rsidRPr="00A26C26">
        <w:rPr>
          <w:rFonts w:eastAsia="Calibri" w:cstheme="minorHAnsi"/>
          <w:b/>
          <w:bCs/>
          <w:color w:val="000000"/>
          <w:kern w:val="0"/>
          <w14:ligatures w14:val="none"/>
        </w:rPr>
        <w:t>Wskaźniki</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REZULTATU:</w:t>
      </w:r>
      <w:r w:rsidR="003B50ED">
        <w:rPr>
          <w:rFonts w:eastAsia="Calibri" w:cstheme="minorHAnsi"/>
          <w:b/>
          <w:bCs/>
          <w:color w:val="000000"/>
          <w:kern w:val="0"/>
          <w14:ligatures w14:val="none"/>
        </w:rPr>
        <w:t xml:space="preserve"> </w:t>
      </w:r>
    </w:p>
    <w:p w14:paraId="3931EF76" w14:textId="31460BAE" w:rsidR="002C63F4" w:rsidRPr="00A26C26" w:rsidRDefault="002C63F4" w:rsidP="00A26C26">
      <w:pPr>
        <w:spacing w:line="276" w:lineRule="auto"/>
        <w:jc w:val="both"/>
        <w:rPr>
          <w:rFonts w:eastAsia="Calibri" w:cstheme="minorHAnsi"/>
          <w:b/>
          <w:bCs/>
          <w:color w:val="000000"/>
          <w:kern w:val="0"/>
          <w14:ligatures w14:val="none"/>
        </w:rPr>
      </w:pPr>
      <w:r w:rsidRPr="00A26C26">
        <w:rPr>
          <w:rFonts w:eastAsia="Calibri" w:cstheme="minorHAnsi"/>
          <w:b/>
          <w:bCs/>
          <w:color w:val="000000"/>
          <w:kern w:val="0"/>
          <w14:ligatures w14:val="none"/>
        </w:rPr>
        <w:t>R.37</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Wzrost</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gospodarczy</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i</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zatrudnienie</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na</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obszarach</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wiejskich:</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nowe</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miejsca</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pracy</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objęte</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wsparciem</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w</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ramach</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projektów</w:t>
      </w:r>
      <w:r w:rsidR="003B50ED">
        <w:rPr>
          <w:rFonts w:eastAsia="Calibri" w:cstheme="minorHAnsi"/>
          <w:b/>
          <w:bCs/>
          <w:color w:val="000000"/>
          <w:kern w:val="0"/>
          <w14:ligatures w14:val="none"/>
        </w:rPr>
        <w:t xml:space="preserve"> </w:t>
      </w:r>
      <w:r w:rsidR="00B36F26">
        <w:rPr>
          <w:rFonts w:eastAsia="Calibri" w:cstheme="minorHAnsi"/>
          <w:b/>
          <w:bCs/>
          <w:color w:val="000000"/>
          <w:kern w:val="0"/>
          <w14:ligatures w14:val="none"/>
        </w:rPr>
        <w:t>WPR</w:t>
      </w:r>
      <w:r w:rsidR="0015244D">
        <w:rPr>
          <w:rFonts w:eastAsia="Calibri" w:cstheme="minorHAnsi"/>
          <w:b/>
          <w:bCs/>
          <w:color w:val="000000"/>
          <w:kern w:val="0"/>
          <w14:ligatures w14:val="none"/>
        </w:rPr>
        <w:t xml:space="preserve"> </w:t>
      </w:r>
    </w:p>
    <w:p w14:paraId="4BBC62AD" w14:textId="53D7E534" w:rsidR="002C63F4" w:rsidRPr="00A26C26" w:rsidRDefault="002C63F4" w:rsidP="00A26C26">
      <w:pPr>
        <w:spacing w:line="276" w:lineRule="auto"/>
        <w:rPr>
          <w:rFonts w:eastAsia="Calibri" w:cstheme="minorHAnsi"/>
          <w:b/>
          <w:bCs/>
          <w:color w:val="000000"/>
          <w:kern w:val="0"/>
          <w14:ligatures w14:val="none"/>
        </w:rPr>
      </w:pPr>
      <w:r w:rsidRPr="00A26C26">
        <w:rPr>
          <w:rFonts w:eastAsia="Calibri" w:cstheme="minorHAnsi"/>
          <w:b/>
          <w:bCs/>
          <w:color w:val="000000"/>
          <w:kern w:val="0"/>
          <w14:ligatures w14:val="none"/>
        </w:rPr>
        <w:t>R.39</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Rozwój</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gospodarki</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wiejskiej:</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liczba</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przedsiębiorstw</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rolnych,</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w</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tym</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przedsiębiorstw</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zajmujących</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się</w:t>
      </w:r>
      <w:r w:rsidR="003B50ED">
        <w:rPr>
          <w:rFonts w:eastAsia="Calibri" w:cstheme="minorHAnsi"/>
          <w:b/>
          <w:bCs/>
          <w:color w:val="000000"/>
          <w:kern w:val="0"/>
          <w14:ligatures w14:val="none"/>
        </w:rPr>
        <w:t xml:space="preserve"> </w:t>
      </w:r>
      <w:proofErr w:type="spellStart"/>
      <w:r w:rsidRPr="00A26C26">
        <w:rPr>
          <w:rFonts w:eastAsia="Calibri" w:cstheme="minorHAnsi"/>
          <w:b/>
          <w:bCs/>
          <w:color w:val="000000"/>
          <w:kern w:val="0"/>
          <w14:ligatures w14:val="none"/>
        </w:rPr>
        <w:t>biogospodarką</w:t>
      </w:r>
      <w:proofErr w:type="spellEnd"/>
      <w:r w:rsidRPr="00A26C26">
        <w:rPr>
          <w:rFonts w:eastAsia="Calibri" w:cstheme="minorHAnsi"/>
          <w:b/>
          <w:bCs/>
          <w:color w:val="000000"/>
          <w:kern w:val="0"/>
          <w14:ligatures w14:val="none"/>
        </w:rPr>
        <w:t>,</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rozwiniętych</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dzięki</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wsparciu</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w</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ramach</w:t>
      </w:r>
      <w:r w:rsidR="003B50ED">
        <w:rPr>
          <w:rFonts w:eastAsia="Calibri" w:cstheme="minorHAnsi"/>
          <w:b/>
          <w:bCs/>
          <w:color w:val="000000"/>
          <w:kern w:val="0"/>
          <w14:ligatures w14:val="none"/>
        </w:rPr>
        <w:t xml:space="preserve"> </w:t>
      </w:r>
      <w:r w:rsidRPr="00A26C26">
        <w:rPr>
          <w:rFonts w:eastAsia="Calibri" w:cstheme="minorHAnsi"/>
          <w:b/>
          <w:bCs/>
          <w:color w:val="000000"/>
          <w:kern w:val="0"/>
          <w14:ligatures w14:val="none"/>
        </w:rPr>
        <w:t>WPR.</w:t>
      </w:r>
    </w:p>
    <w:p w14:paraId="15225467" w14:textId="0A496063" w:rsidR="002C63F4" w:rsidRPr="00A26C26" w:rsidRDefault="002C63F4" w:rsidP="00A26C26">
      <w:pPr>
        <w:spacing w:line="276" w:lineRule="auto"/>
        <w:jc w:val="both"/>
        <w:rPr>
          <w:rFonts w:eastAsia="Calibri" w:cstheme="minorHAnsi"/>
          <w:color w:val="000000"/>
          <w:kern w:val="0"/>
          <w14:ligatures w14:val="none"/>
        </w:rPr>
      </w:pPr>
      <w:r w:rsidRPr="00A26C26">
        <w:rPr>
          <w:rFonts w:eastAsia="Calibri" w:cstheme="minorHAnsi"/>
          <w:color w:val="000000"/>
          <w:kern w:val="0"/>
          <w14:ligatures w14:val="none"/>
        </w:rPr>
        <w:t>Do</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osiągniecia</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celu</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2</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przyczyni</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się</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realizacja</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przedsięwzięcia:</w:t>
      </w:r>
      <w:r w:rsidR="003B50ED">
        <w:rPr>
          <w:rFonts w:eastAsia="Calibri" w:cstheme="minorHAnsi"/>
          <w:color w:val="000000"/>
          <w:kern w:val="0"/>
          <w14:ligatures w14:val="none"/>
        </w:rPr>
        <w:t xml:space="preserve"> </w:t>
      </w:r>
    </w:p>
    <w:p w14:paraId="610CA6D1" w14:textId="2AADC982" w:rsidR="002C63F4" w:rsidRPr="00A26C26" w:rsidRDefault="002C63F4" w:rsidP="00A26C26">
      <w:pPr>
        <w:spacing w:line="276" w:lineRule="auto"/>
        <w:jc w:val="both"/>
        <w:rPr>
          <w:rFonts w:eastAsia="Calibri" w:cstheme="minorHAnsi"/>
          <w:b/>
          <w:bCs/>
          <w:kern w:val="0"/>
          <w14:ligatures w14:val="none"/>
        </w:rPr>
      </w:pPr>
      <w:r w:rsidRPr="00A26C26">
        <w:rPr>
          <w:rFonts w:eastAsia="Calibri" w:cstheme="minorHAnsi"/>
          <w:b/>
          <w:bCs/>
          <w:kern w:val="0"/>
          <w14:ligatures w14:val="none"/>
        </w:rPr>
        <w:t>Przedsięwzięcie</w:t>
      </w:r>
      <w:r w:rsidR="003B50ED">
        <w:rPr>
          <w:rFonts w:eastAsia="Calibri" w:cstheme="minorHAnsi"/>
          <w:b/>
          <w:bCs/>
          <w:kern w:val="0"/>
          <w14:ligatures w14:val="none"/>
        </w:rPr>
        <w:t xml:space="preserve"> </w:t>
      </w:r>
      <w:r w:rsidRPr="00A26C26">
        <w:rPr>
          <w:rFonts w:eastAsia="Calibri" w:cstheme="minorHAnsi"/>
          <w:b/>
          <w:bCs/>
          <w:kern w:val="0"/>
          <w14:ligatures w14:val="none"/>
        </w:rPr>
        <w:t>2.1.</w:t>
      </w:r>
      <w:r w:rsidR="003B50ED">
        <w:rPr>
          <w:rFonts w:eastAsia="Calibri" w:cstheme="minorHAnsi"/>
          <w:b/>
          <w:bCs/>
          <w:kern w:val="0"/>
          <w14:ligatures w14:val="none"/>
        </w:rPr>
        <w:t xml:space="preserve"> </w:t>
      </w:r>
      <w:r w:rsidRPr="00A26C26">
        <w:rPr>
          <w:rFonts w:eastAsia="Calibri" w:cstheme="minorHAnsi"/>
          <w:b/>
          <w:bCs/>
          <w:kern w:val="0"/>
          <w14:ligatures w14:val="none"/>
        </w:rPr>
        <w:t>Rozwój</w:t>
      </w:r>
      <w:r w:rsidR="003B50ED">
        <w:rPr>
          <w:rFonts w:eastAsia="Calibri" w:cstheme="minorHAnsi"/>
          <w:b/>
          <w:bCs/>
          <w:kern w:val="0"/>
          <w14:ligatures w14:val="none"/>
        </w:rPr>
        <w:t xml:space="preserve"> </w:t>
      </w:r>
      <w:r w:rsidRPr="00A26C26">
        <w:rPr>
          <w:rFonts w:eastAsia="Calibri" w:cstheme="minorHAnsi"/>
          <w:b/>
          <w:bCs/>
          <w:kern w:val="0"/>
          <w14:ligatures w14:val="none"/>
        </w:rPr>
        <w:t>pozarolniczej</w:t>
      </w:r>
      <w:r w:rsidR="003B50ED">
        <w:rPr>
          <w:rFonts w:eastAsia="Calibri" w:cstheme="minorHAnsi"/>
          <w:b/>
          <w:bCs/>
          <w:kern w:val="0"/>
          <w14:ligatures w14:val="none"/>
        </w:rPr>
        <w:t xml:space="preserve"> </w:t>
      </w:r>
      <w:r w:rsidRPr="00A26C26">
        <w:rPr>
          <w:rFonts w:eastAsia="Calibri" w:cstheme="minorHAnsi"/>
          <w:b/>
          <w:bCs/>
          <w:kern w:val="0"/>
          <w14:ligatures w14:val="none"/>
        </w:rPr>
        <w:t>działalności</w:t>
      </w:r>
      <w:r w:rsidR="003B50ED">
        <w:rPr>
          <w:rFonts w:eastAsia="Calibri" w:cstheme="minorHAnsi"/>
          <w:b/>
          <w:bCs/>
          <w:kern w:val="0"/>
          <w14:ligatures w14:val="none"/>
        </w:rPr>
        <w:t xml:space="preserve"> </w:t>
      </w:r>
      <w:r w:rsidRPr="00A26C26">
        <w:rPr>
          <w:rFonts w:eastAsia="Calibri" w:cstheme="minorHAnsi"/>
          <w:b/>
          <w:bCs/>
          <w:kern w:val="0"/>
          <w14:ligatures w14:val="none"/>
        </w:rPr>
        <w:t>gospodarczej</w:t>
      </w:r>
      <w:r w:rsidR="003B50ED">
        <w:rPr>
          <w:rFonts w:eastAsia="Calibri" w:cstheme="minorHAnsi"/>
          <w:b/>
          <w:bCs/>
          <w:kern w:val="0"/>
          <w14:ligatures w14:val="none"/>
        </w:rPr>
        <w:t xml:space="preserve"> </w:t>
      </w:r>
      <w:r w:rsidRPr="00A26C26">
        <w:rPr>
          <w:rFonts w:eastAsia="Calibri" w:cstheme="minorHAnsi"/>
          <w:b/>
          <w:bCs/>
          <w:kern w:val="0"/>
          <w14:ligatures w14:val="none"/>
        </w:rPr>
        <w:t>w</w:t>
      </w:r>
      <w:r w:rsidR="003B50ED">
        <w:rPr>
          <w:rFonts w:eastAsia="Calibri" w:cstheme="minorHAnsi"/>
          <w:b/>
          <w:bCs/>
          <w:kern w:val="0"/>
          <w14:ligatures w14:val="none"/>
        </w:rPr>
        <w:t xml:space="preserve"> </w:t>
      </w:r>
      <w:r w:rsidRPr="00A26C26">
        <w:rPr>
          <w:rFonts w:eastAsia="Calibri" w:cstheme="minorHAnsi"/>
          <w:b/>
          <w:bCs/>
          <w:kern w:val="0"/>
          <w14:ligatures w14:val="none"/>
        </w:rPr>
        <w:t>tym</w:t>
      </w:r>
      <w:r w:rsidR="003B50ED">
        <w:rPr>
          <w:rFonts w:eastAsia="Calibri" w:cstheme="minorHAnsi"/>
          <w:b/>
          <w:bCs/>
          <w:kern w:val="0"/>
          <w14:ligatures w14:val="none"/>
        </w:rPr>
        <w:t xml:space="preserve"> </w:t>
      </w:r>
      <w:r w:rsidRPr="00A26C26">
        <w:rPr>
          <w:rFonts w:eastAsia="Calibri" w:cstheme="minorHAnsi"/>
          <w:b/>
          <w:bCs/>
          <w:kern w:val="0"/>
          <w14:ligatures w14:val="none"/>
        </w:rPr>
        <w:t>gospodarstw</w:t>
      </w:r>
      <w:r w:rsidR="003B50ED">
        <w:rPr>
          <w:rFonts w:eastAsia="Calibri" w:cstheme="minorHAnsi"/>
          <w:b/>
          <w:bCs/>
          <w:kern w:val="0"/>
          <w14:ligatures w14:val="none"/>
        </w:rPr>
        <w:t xml:space="preserve"> </w:t>
      </w:r>
      <w:r w:rsidRPr="00A26C26">
        <w:rPr>
          <w:rFonts w:eastAsia="Calibri" w:cstheme="minorHAnsi"/>
          <w:b/>
          <w:bCs/>
          <w:kern w:val="0"/>
          <w14:ligatures w14:val="none"/>
        </w:rPr>
        <w:t>agroturystycznych</w:t>
      </w:r>
      <w:r w:rsidR="003B50ED">
        <w:rPr>
          <w:rFonts w:eastAsia="Calibri" w:cstheme="minorHAnsi"/>
          <w:b/>
          <w:bCs/>
          <w:kern w:val="0"/>
          <w14:ligatures w14:val="none"/>
        </w:rPr>
        <w:t xml:space="preserve"> </w:t>
      </w:r>
      <w:r w:rsidR="00B03AE6">
        <w:rPr>
          <w:rFonts w:eastAsia="Calibri" w:cstheme="minorHAnsi"/>
          <w:b/>
          <w:bCs/>
          <w:kern w:val="0"/>
          <w14:ligatures w14:val="none"/>
        </w:rPr>
        <w:br/>
      </w:r>
      <w:r w:rsidRPr="00A26C26">
        <w:rPr>
          <w:rFonts w:eastAsia="Calibri" w:cstheme="minorHAnsi"/>
          <w:b/>
          <w:bCs/>
          <w:kern w:val="0"/>
          <w14:ligatures w14:val="none"/>
        </w:rPr>
        <w:t>i</w:t>
      </w:r>
      <w:r w:rsidR="003B50ED">
        <w:rPr>
          <w:rFonts w:eastAsia="Calibri" w:cstheme="minorHAnsi"/>
          <w:b/>
          <w:bCs/>
          <w:kern w:val="0"/>
          <w14:ligatures w14:val="none"/>
        </w:rPr>
        <w:t xml:space="preserve"> </w:t>
      </w:r>
      <w:r w:rsidRPr="00A26C26">
        <w:rPr>
          <w:rFonts w:eastAsia="Calibri" w:cstheme="minorHAnsi"/>
          <w:b/>
          <w:bCs/>
          <w:kern w:val="0"/>
          <w14:ligatures w14:val="none"/>
        </w:rPr>
        <w:t>zagród</w:t>
      </w:r>
      <w:r w:rsidR="003B50ED">
        <w:rPr>
          <w:rFonts w:eastAsia="Calibri" w:cstheme="minorHAnsi"/>
          <w:b/>
          <w:bCs/>
          <w:kern w:val="0"/>
          <w14:ligatures w14:val="none"/>
        </w:rPr>
        <w:t xml:space="preserve"> </w:t>
      </w:r>
      <w:r w:rsidRPr="00A26C26">
        <w:rPr>
          <w:rFonts w:eastAsia="Calibri" w:cstheme="minorHAnsi"/>
          <w:b/>
          <w:bCs/>
          <w:kern w:val="0"/>
          <w14:ligatures w14:val="none"/>
        </w:rPr>
        <w:t>edukacyjnych:</w:t>
      </w:r>
    </w:p>
    <w:p w14:paraId="3D6890FE" w14:textId="0A6B6DED" w:rsidR="002C63F4" w:rsidRPr="00B03AE6" w:rsidRDefault="002C63F4" w:rsidP="00A26C26">
      <w:pPr>
        <w:spacing w:line="276" w:lineRule="auto"/>
        <w:jc w:val="both"/>
        <w:rPr>
          <w:rFonts w:eastAsia="Calibri" w:cstheme="minorHAnsi"/>
          <w:kern w:val="0"/>
          <w14:ligatures w14:val="none"/>
        </w:rPr>
      </w:pPr>
      <w:r w:rsidRPr="00A26C26">
        <w:rPr>
          <w:rFonts w:eastAsia="Calibri" w:cstheme="minorHAnsi"/>
          <w:kern w:val="0"/>
          <w14:ligatures w14:val="none"/>
        </w:rPr>
        <w:t>Planowane</w:t>
      </w:r>
      <w:r w:rsidR="003B50ED">
        <w:rPr>
          <w:rFonts w:eastAsia="Calibri" w:cstheme="minorHAnsi"/>
          <w:kern w:val="0"/>
          <w14:ligatures w14:val="none"/>
        </w:rPr>
        <w:t xml:space="preserve"> </w:t>
      </w:r>
      <w:r w:rsidRPr="00A26C26">
        <w:rPr>
          <w:rFonts w:eastAsia="Calibri" w:cstheme="minorHAnsi"/>
          <w:kern w:val="0"/>
          <w14:ligatures w14:val="none"/>
        </w:rPr>
        <w:t>wsparcie</w:t>
      </w:r>
      <w:r w:rsidR="003B50ED">
        <w:rPr>
          <w:rFonts w:eastAsia="Calibri" w:cstheme="minorHAnsi"/>
          <w:kern w:val="0"/>
          <w14:ligatures w14:val="none"/>
        </w:rPr>
        <w:t xml:space="preserve"> </w:t>
      </w:r>
      <w:r w:rsidRPr="00A26C26">
        <w:rPr>
          <w:rFonts w:eastAsia="Calibri" w:cstheme="minorHAnsi"/>
          <w:kern w:val="0"/>
          <w14:ligatures w14:val="none"/>
        </w:rPr>
        <w:t>będzie</w:t>
      </w:r>
      <w:r w:rsidR="003B50ED">
        <w:rPr>
          <w:rFonts w:eastAsia="Calibri" w:cstheme="minorHAnsi"/>
          <w:kern w:val="0"/>
          <w14:ligatures w14:val="none"/>
        </w:rPr>
        <w:t xml:space="preserve"> </w:t>
      </w:r>
      <w:r w:rsidRPr="00A26C26">
        <w:rPr>
          <w:rFonts w:eastAsia="Calibri" w:cstheme="minorHAnsi"/>
          <w:kern w:val="0"/>
          <w14:ligatures w14:val="none"/>
        </w:rPr>
        <w:t>przeznaczone</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działania</w:t>
      </w:r>
      <w:r w:rsidR="003B50ED">
        <w:rPr>
          <w:rFonts w:eastAsia="Calibri" w:cstheme="minorHAnsi"/>
          <w:kern w:val="0"/>
          <w14:ligatures w14:val="none"/>
        </w:rPr>
        <w:t xml:space="preserve"> </w:t>
      </w:r>
      <w:r w:rsidRPr="00A26C26">
        <w:rPr>
          <w:rFonts w:eastAsia="Calibri" w:cstheme="minorHAnsi"/>
          <w:kern w:val="0"/>
          <w14:ligatures w14:val="none"/>
        </w:rPr>
        <w:t>związane</w:t>
      </w:r>
      <w:r w:rsidR="003B50ED">
        <w:rPr>
          <w:rFonts w:eastAsia="Calibri" w:cstheme="minorHAnsi"/>
          <w:kern w:val="0"/>
          <w14:ligatures w14:val="none"/>
        </w:rPr>
        <w:t xml:space="preserve"> </w:t>
      </w:r>
      <w:r w:rsidRPr="00A26C26">
        <w:rPr>
          <w:rFonts w:eastAsia="Calibri" w:cstheme="minorHAnsi"/>
          <w:kern w:val="0"/>
          <w14:ligatures w14:val="none"/>
        </w:rPr>
        <w:t>z</w:t>
      </w:r>
      <w:r w:rsidR="003B50ED">
        <w:rPr>
          <w:rFonts w:eastAsia="Calibri" w:cstheme="minorHAnsi"/>
          <w:kern w:val="0"/>
          <w14:ligatures w14:val="none"/>
        </w:rPr>
        <w:t xml:space="preserve"> </w:t>
      </w:r>
      <w:r w:rsidRPr="00A26C26">
        <w:rPr>
          <w:rFonts w:eastAsia="Calibri" w:cstheme="minorHAnsi"/>
          <w:kern w:val="0"/>
          <w14:ligatures w14:val="none"/>
        </w:rPr>
        <w:t>pozarolniczą</w:t>
      </w:r>
      <w:r w:rsidR="003B50ED">
        <w:rPr>
          <w:rFonts w:eastAsia="Calibri" w:cstheme="minorHAnsi"/>
          <w:kern w:val="0"/>
          <w14:ligatures w14:val="none"/>
        </w:rPr>
        <w:t xml:space="preserve"> </w:t>
      </w:r>
      <w:r w:rsidRPr="00A26C26">
        <w:rPr>
          <w:rFonts w:eastAsia="Calibri" w:cstheme="minorHAnsi"/>
          <w:kern w:val="0"/>
          <w14:ligatures w14:val="none"/>
        </w:rPr>
        <w:t>działalnością</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obszarze</w:t>
      </w:r>
      <w:r w:rsidR="003B50ED">
        <w:rPr>
          <w:rFonts w:eastAsia="Calibri" w:cstheme="minorHAnsi"/>
          <w:kern w:val="0"/>
          <w14:ligatures w14:val="none"/>
        </w:rPr>
        <w:t xml:space="preserve"> </w:t>
      </w:r>
      <w:r w:rsidRPr="00A26C26">
        <w:rPr>
          <w:rFonts w:eastAsia="Calibri" w:cstheme="minorHAnsi"/>
          <w:kern w:val="0"/>
          <w14:ligatures w14:val="none"/>
        </w:rPr>
        <w:t>LSR</w:t>
      </w:r>
      <w:r w:rsidR="003B50ED">
        <w:rPr>
          <w:rFonts w:eastAsia="Calibri" w:cstheme="minorHAnsi"/>
          <w:kern w:val="0"/>
          <w14:ligatures w14:val="none"/>
        </w:rPr>
        <w:t xml:space="preserve"> </w:t>
      </w:r>
      <w:r w:rsidRPr="00A26C26">
        <w:rPr>
          <w:rFonts w:eastAsia="Calibri" w:cstheme="minorHAnsi"/>
          <w:kern w:val="0"/>
          <w14:ligatures w14:val="none"/>
        </w:rPr>
        <w:t>poprzez</w:t>
      </w:r>
      <w:r w:rsidR="003B50ED">
        <w:rPr>
          <w:rFonts w:eastAsia="Calibri" w:cstheme="minorHAnsi"/>
          <w:kern w:val="0"/>
          <w14:ligatures w14:val="none"/>
        </w:rPr>
        <w:t xml:space="preserve"> </w:t>
      </w:r>
      <w:r w:rsidRPr="00A26C26">
        <w:rPr>
          <w:rFonts w:eastAsia="Calibri" w:cstheme="minorHAnsi"/>
          <w:kern w:val="0"/>
          <w14:ligatures w14:val="none"/>
        </w:rPr>
        <w:t>wdrożenie</w:t>
      </w:r>
      <w:r w:rsidR="003B50ED">
        <w:rPr>
          <w:rFonts w:eastAsia="Calibri" w:cstheme="minorHAnsi"/>
          <w:kern w:val="0"/>
          <w14:ligatures w14:val="none"/>
        </w:rPr>
        <w:t xml:space="preserve"> </w:t>
      </w:r>
      <w:r w:rsidRPr="00A26C26">
        <w:rPr>
          <w:rFonts w:eastAsia="Calibri" w:cstheme="minorHAnsi"/>
          <w:kern w:val="0"/>
          <w14:ligatures w14:val="none"/>
        </w:rPr>
        <w:t>nowych</w:t>
      </w:r>
      <w:r w:rsidR="003B50ED">
        <w:rPr>
          <w:rFonts w:eastAsia="Calibri" w:cstheme="minorHAnsi"/>
          <w:kern w:val="0"/>
          <w14:ligatures w14:val="none"/>
        </w:rPr>
        <w:t xml:space="preserve"> </w:t>
      </w:r>
      <w:r w:rsidRPr="00A26C26">
        <w:rPr>
          <w:rFonts w:eastAsia="Calibri" w:cstheme="minorHAnsi"/>
          <w:kern w:val="0"/>
          <w14:ligatures w14:val="none"/>
        </w:rPr>
        <w:t>rozwiązań.</w:t>
      </w:r>
      <w:r w:rsidR="003B50ED">
        <w:rPr>
          <w:rFonts w:eastAsia="Calibri" w:cstheme="minorHAnsi"/>
          <w:kern w:val="0"/>
          <w14:ligatures w14:val="none"/>
        </w:rPr>
        <w:t xml:space="preserve"> </w:t>
      </w:r>
      <w:r w:rsidRPr="00A26C26">
        <w:rPr>
          <w:rFonts w:eastAsia="Calibri" w:cstheme="minorHAnsi"/>
          <w:color w:val="000000"/>
          <w:kern w:val="0"/>
          <w14:ligatures w14:val="none"/>
        </w:rPr>
        <w:t>Ważnym</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elementem</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wspieranych</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projektów</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będzie</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podnoszenie</w:t>
      </w:r>
      <w:r w:rsidR="003B50ED">
        <w:rPr>
          <w:rFonts w:eastAsia="Calibri" w:cstheme="minorHAnsi"/>
          <w:color w:val="000000"/>
          <w:kern w:val="0"/>
          <w14:ligatures w14:val="none"/>
        </w:rPr>
        <w:t xml:space="preserve"> </w:t>
      </w:r>
      <w:r w:rsidRPr="00A26C26">
        <w:rPr>
          <w:rFonts w:eastAsia="Calibri" w:cstheme="minorHAnsi"/>
          <w:color w:val="000000"/>
          <w:kern w:val="0"/>
          <w14:ligatures w14:val="none"/>
        </w:rPr>
        <w:t>kwalifikacji.</w:t>
      </w:r>
      <w:r w:rsidR="003B50ED">
        <w:rPr>
          <w:rFonts w:eastAsia="Calibri" w:cstheme="minorHAnsi"/>
          <w:color w:val="FF0000"/>
          <w:kern w:val="0"/>
          <w14:ligatures w14:val="none"/>
        </w:rPr>
        <w:t xml:space="preserve"> </w:t>
      </w:r>
      <w:r w:rsidRPr="00A26C26">
        <w:rPr>
          <w:rFonts w:eastAsia="Calibri" w:cstheme="minorHAnsi"/>
          <w:kern w:val="0"/>
          <w14:ligatures w14:val="none"/>
        </w:rPr>
        <w:t>Założeniem</w:t>
      </w:r>
      <w:r w:rsidR="003B50ED">
        <w:rPr>
          <w:rFonts w:eastAsia="Calibri" w:cstheme="minorHAnsi"/>
          <w:kern w:val="0"/>
          <w14:ligatures w14:val="none"/>
        </w:rPr>
        <w:t xml:space="preserve"> </w:t>
      </w:r>
      <w:r w:rsidRPr="00A26C26">
        <w:rPr>
          <w:rFonts w:eastAsia="Calibri" w:cstheme="minorHAnsi"/>
          <w:kern w:val="0"/>
          <w14:ligatures w14:val="none"/>
        </w:rPr>
        <w:t>planowanego</w:t>
      </w:r>
      <w:r w:rsidR="003B50ED">
        <w:rPr>
          <w:rFonts w:eastAsia="Calibri" w:cstheme="minorHAnsi"/>
          <w:kern w:val="0"/>
          <w14:ligatures w14:val="none"/>
        </w:rPr>
        <w:t xml:space="preserve"> </w:t>
      </w:r>
      <w:r w:rsidRPr="00A26C26">
        <w:rPr>
          <w:rFonts w:eastAsia="Calibri" w:cstheme="minorHAnsi"/>
          <w:kern w:val="0"/>
          <w14:ligatures w14:val="none"/>
        </w:rPr>
        <w:t>przedsięwzięcia</w:t>
      </w:r>
      <w:r w:rsidR="003B50ED">
        <w:rPr>
          <w:rFonts w:eastAsia="Calibri" w:cstheme="minorHAnsi"/>
          <w:kern w:val="0"/>
          <w14:ligatures w14:val="none"/>
        </w:rPr>
        <w:t xml:space="preserve"> </w:t>
      </w:r>
      <w:r w:rsidRPr="00A26C26">
        <w:rPr>
          <w:rFonts w:eastAsia="Calibri" w:cstheme="minorHAnsi"/>
          <w:kern w:val="0"/>
          <w14:ligatures w14:val="none"/>
        </w:rPr>
        <w:t>jest</w:t>
      </w:r>
      <w:r w:rsidR="003B50ED">
        <w:rPr>
          <w:rFonts w:eastAsia="Calibri" w:cstheme="minorHAnsi"/>
          <w:kern w:val="0"/>
          <w14:ligatures w14:val="none"/>
        </w:rPr>
        <w:t xml:space="preserve"> </w:t>
      </w:r>
      <w:r w:rsidRPr="00A26C26">
        <w:rPr>
          <w:rFonts w:eastAsia="Calibri" w:cstheme="minorHAnsi"/>
          <w:kern w:val="0"/>
          <w14:ligatures w14:val="none"/>
        </w:rPr>
        <w:t>efektywne</w:t>
      </w:r>
      <w:r w:rsidR="003B50ED">
        <w:rPr>
          <w:rFonts w:eastAsia="Calibri" w:cstheme="minorHAnsi"/>
          <w:kern w:val="0"/>
          <w14:ligatures w14:val="none"/>
        </w:rPr>
        <w:t xml:space="preserve"> </w:t>
      </w:r>
      <w:r w:rsidRPr="00A26C26">
        <w:rPr>
          <w:rFonts w:eastAsia="Calibri" w:cstheme="minorHAnsi"/>
          <w:kern w:val="0"/>
          <w14:ligatures w14:val="none"/>
        </w:rPr>
        <w:t>wykorzystanie</w:t>
      </w:r>
      <w:r w:rsidR="003B50ED">
        <w:rPr>
          <w:rFonts w:eastAsia="Calibri" w:cstheme="minorHAnsi"/>
          <w:kern w:val="0"/>
          <w14:ligatures w14:val="none"/>
        </w:rPr>
        <w:t xml:space="preserve"> </w:t>
      </w:r>
      <w:r w:rsidRPr="00A26C26">
        <w:rPr>
          <w:rFonts w:eastAsia="Calibri" w:cstheme="minorHAnsi"/>
          <w:kern w:val="0"/>
          <w14:ligatures w14:val="none"/>
        </w:rPr>
        <w:t>walorów</w:t>
      </w:r>
      <w:r w:rsidR="003B50ED">
        <w:rPr>
          <w:rFonts w:eastAsia="Calibri" w:cstheme="minorHAnsi"/>
          <w:kern w:val="0"/>
          <w14:ligatures w14:val="none"/>
        </w:rPr>
        <w:t xml:space="preserve"> </w:t>
      </w:r>
      <w:r w:rsidRPr="00A26C26">
        <w:rPr>
          <w:rFonts w:eastAsia="Calibri" w:cstheme="minorHAnsi"/>
          <w:kern w:val="0"/>
          <w14:ligatures w14:val="none"/>
        </w:rPr>
        <w:t>przyrodniczych</w:t>
      </w:r>
      <w:r w:rsidR="00F65DB9">
        <w:rPr>
          <w:rFonts w:eastAsia="Calibri" w:cstheme="minorHAnsi"/>
          <w:kern w:val="0"/>
          <w14:ligatures w14:val="none"/>
        </w:rPr>
        <w:t xml:space="preserve">                      </w:t>
      </w:r>
      <w:r w:rsidR="003B50ED">
        <w:rPr>
          <w:rFonts w:eastAsia="Calibri" w:cstheme="minorHAnsi"/>
          <w:kern w:val="0"/>
          <w14:ligatures w14:val="none"/>
        </w:rPr>
        <w:t xml:space="preserve"> </w:t>
      </w:r>
      <w:r w:rsidRPr="00A26C26">
        <w:rPr>
          <w:rFonts w:eastAsia="Calibri" w:cstheme="minorHAnsi"/>
          <w:kern w:val="0"/>
          <w14:ligatures w14:val="none"/>
        </w:rPr>
        <w:t>i</w:t>
      </w:r>
      <w:r w:rsidR="003B50ED">
        <w:rPr>
          <w:rFonts w:eastAsia="Calibri" w:cstheme="minorHAnsi"/>
          <w:kern w:val="0"/>
          <w14:ligatures w14:val="none"/>
        </w:rPr>
        <w:t xml:space="preserve"> </w:t>
      </w:r>
      <w:r w:rsidRPr="00A26C26">
        <w:rPr>
          <w:rFonts w:eastAsia="Calibri" w:cstheme="minorHAnsi"/>
          <w:kern w:val="0"/>
          <w14:ligatures w14:val="none"/>
        </w:rPr>
        <w:t>kulturowych</w:t>
      </w:r>
      <w:r w:rsidR="003B50ED">
        <w:rPr>
          <w:rFonts w:eastAsia="Calibri" w:cstheme="minorHAnsi"/>
          <w:kern w:val="0"/>
          <w14:ligatures w14:val="none"/>
        </w:rPr>
        <w:t xml:space="preserve"> </w:t>
      </w:r>
      <w:r w:rsidRPr="00A26C26">
        <w:rPr>
          <w:rFonts w:eastAsia="Calibri" w:cstheme="minorHAnsi"/>
          <w:kern w:val="0"/>
          <w14:ligatures w14:val="none"/>
        </w:rPr>
        <w:t>obszaru</w:t>
      </w:r>
      <w:r w:rsidR="003B50ED">
        <w:rPr>
          <w:rFonts w:eastAsia="Calibri" w:cstheme="minorHAnsi"/>
          <w:kern w:val="0"/>
          <w14:ligatures w14:val="none"/>
        </w:rPr>
        <w:t xml:space="preserve"> </w:t>
      </w:r>
      <w:r w:rsidRPr="00A26C26">
        <w:rPr>
          <w:rFonts w:eastAsia="Calibri" w:cstheme="minorHAnsi"/>
          <w:kern w:val="0"/>
          <w14:ligatures w14:val="none"/>
        </w:rPr>
        <w:t>LSR</w:t>
      </w:r>
      <w:r w:rsidR="003B50ED">
        <w:rPr>
          <w:rFonts w:eastAsia="Calibri" w:cstheme="minorHAnsi"/>
          <w:kern w:val="0"/>
          <w14:ligatures w14:val="none"/>
        </w:rPr>
        <w:t xml:space="preserve"> </w:t>
      </w:r>
      <w:r w:rsidRPr="00A26C26">
        <w:rPr>
          <w:rFonts w:eastAsia="Calibri" w:cstheme="minorHAnsi"/>
          <w:kern w:val="0"/>
          <w14:ligatures w14:val="none"/>
        </w:rPr>
        <w:t>dla</w:t>
      </w:r>
      <w:r w:rsidR="003B50ED">
        <w:rPr>
          <w:rFonts w:eastAsia="Calibri" w:cstheme="minorHAnsi"/>
          <w:kern w:val="0"/>
          <w14:ligatures w14:val="none"/>
        </w:rPr>
        <w:t xml:space="preserve"> </w:t>
      </w:r>
      <w:r w:rsidRPr="00A26C26">
        <w:rPr>
          <w:rFonts w:eastAsia="Calibri" w:cstheme="minorHAnsi"/>
          <w:kern w:val="0"/>
          <w14:ligatures w14:val="none"/>
        </w:rPr>
        <w:t>rozwoju</w:t>
      </w:r>
      <w:r w:rsidR="003B50ED">
        <w:rPr>
          <w:rFonts w:eastAsia="Calibri" w:cstheme="minorHAnsi"/>
          <w:kern w:val="0"/>
          <w14:ligatures w14:val="none"/>
        </w:rPr>
        <w:t xml:space="preserve"> </w:t>
      </w:r>
      <w:r w:rsidRPr="00A26C26">
        <w:rPr>
          <w:rFonts w:eastAsia="Calibri" w:cstheme="minorHAnsi"/>
          <w:kern w:val="0"/>
          <w14:ligatures w14:val="none"/>
        </w:rPr>
        <w:t>oferty</w:t>
      </w:r>
      <w:r w:rsidR="003B50ED">
        <w:rPr>
          <w:rFonts w:eastAsia="Calibri" w:cstheme="minorHAnsi"/>
          <w:kern w:val="0"/>
          <w14:ligatures w14:val="none"/>
        </w:rPr>
        <w:t xml:space="preserve"> </w:t>
      </w:r>
      <w:r w:rsidRPr="00A26C26">
        <w:rPr>
          <w:rFonts w:eastAsia="Calibri" w:cstheme="minorHAnsi"/>
          <w:kern w:val="0"/>
          <w14:ligatures w14:val="none"/>
        </w:rPr>
        <w:t>usługowej,</w:t>
      </w:r>
      <w:r w:rsidR="003B50ED">
        <w:rPr>
          <w:rFonts w:eastAsia="Calibri" w:cstheme="minorHAnsi"/>
          <w:kern w:val="0"/>
          <w14:ligatures w14:val="none"/>
        </w:rPr>
        <w:t xml:space="preserve"> </w:t>
      </w:r>
      <w:r w:rsidRPr="00A26C26">
        <w:rPr>
          <w:rFonts w:eastAsia="Calibri" w:cstheme="minorHAnsi"/>
          <w:kern w:val="0"/>
          <w14:ligatures w14:val="none"/>
        </w:rPr>
        <w:t>ze</w:t>
      </w:r>
      <w:r w:rsidR="003B50ED">
        <w:rPr>
          <w:rFonts w:eastAsia="Calibri" w:cstheme="minorHAnsi"/>
          <w:kern w:val="0"/>
          <w14:ligatures w14:val="none"/>
        </w:rPr>
        <w:t xml:space="preserve"> </w:t>
      </w:r>
      <w:r w:rsidRPr="00A26C26">
        <w:rPr>
          <w:rFonts w:eastAsia="Calibri" w:cstheme="minorHAnsi"/>
          <w:kern w:val="0"/>
          <w14:ligatures w14:val="none"/>
        </w:rPr>
        <w:t>szczególnym</w:t>
      </w:r>
      <w:r w:rsidR="003B50ED">
        <w:rPr>
          <w:rFonts w:eastAsia="Calibri" w:cstheme="minorHAnsi"/>
          <w:kern w:val="0"/>
          <w14:ligatures w14:val="none"/>
        </w:rPr>
        <w:t xml:space="preserve"> </w:t>
      </w:r>
      <w:r w:rsidRPr="00A26C26">
        <w:rPr>
          <w:rFonts w:eastAsia="Calibri" w:cstheme="minorHAnsi"/>
          <w:kern w:val="0"/>
          <w14:ligatures w14:val="none"/>
        </w:rPr>
        <w:t>uwzględnieniem</w:t>
      </w:r>
      <w:r w:rsidR="003B50ED">
        <w:rPr>
          <w:rFonts w:eastAsia="Calibri" w:cstheme="minorHAnsi"/>
          <w:kern w:val="0"/>
          <w14:ligatures w14:val="none"/>
        </w:rPr>
        <w:t xml:space="preserve"> </w:t>
      </w:r>
      <w:r w:rsidRPr="00A26C26">
        <w:rPr>
          <w:rFonts w:eastAsia="Calibri" w:cstheme="minorHAnsi"/>
          <w:kern w:val="0"/>
          <w14:ligatures w14:val="none"/>
        </w:rPr>
        <w:t>gospodarki</w:t>
      </w:r>
      <w:r w:rsidR="003B50ED">
        <w:rPr>
          <w:rFonts w:eastAsia="Calibri" w:cstheme="minorHAnsi"/>
          <w:kern w:val="0"/>
          <w14:ligatures w14:val="none"/>
        </w:rPr>
        <w:t xml:space="preserve"> </w:t>
      </w:r>
      <w:r w:rsidRPr="00A26C26">
        <w:rPr>
          <w:rFonts w:eastAsia="Calibri" w:cstheme="minorHAnsi"/>
          <w:kern w:val="0"/>
          <w14:ligatures w14:val="none"/>
        </w:rPr>
        <w:t>rekreacyjnej</w:t>
      </w:r>
      <w:r w:rsidR="003B50ED">
        <w:rPr>
          <w:rFonts w:eastAsia="Calibri" w:cstheme="minorHAnsi"/>
          <w:kern w:val="0"/>
          <w14:ligatures w14:val="none"/>
        </w:rPr>
        <w:t xml:space="preserve"> </w:t>
      </w:r>
      <w:r w:rsidRPr="00A26C26">
        <w:rPr>
          <w:rFonts w:eastAsia="Calibri" w:cstheme="minorHAnsi"/>
          <w:kern w:val="0"/>
          <w14:ligatures w14:val="none"/>
        </w:rPr>
        <w:t>i</w:t>
      </w:r>
      <w:r w:rsidR="003B50ED">
        <w:rPr>
          <w:rFonts w:eastAsia="Calibri" w:cstheme="minorHAnsi"/>
          <w:kern w:val="0"/>
          <w14:ligatures w14:val="none"/>
        </w:rPr>
        <w:t xml:space="preserve"> </w:t>
      </w:r>
      <w:r w:rsidRPr="00A26C26">
        <w:rPr>
          <w:rFonts w:eastAsia="Calibri" w:cstheme="minorHAnsi"/>
          <w:kern w:val="0"/>
          <w14:ligatures w14:val="none"/>
        </w:rPr>
        <w:t>turystycznej,</w:t>
      </w:r>
      <w:r w:rsidR="003B50ED">
        <w:rPr>
          <w:rFonts w:eastAsia="Calibri" w:cstheme="minorHAnsi"/>
          <w:kern w:val="0"/>
          <w14:ligatures w14:val="none"/>
        </w:rPr>
        <w:t xml:space="preserve"> </w:t>
      </w:r>
      <w:r w:rsidRPr="00A26C26">
        <w:rPr>
          <w:rFonts w:eastAsia="Calibri" w:cstheme="minorHAnsi"/>
          <w:kern w:val="0"/>
          <w14:ligatures w14:val="none"/>
        </w:rPr>
        <w:t>ukierunkowanej</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rozwój</w:t>
      </w:r>
      <w:r w:rsidR="003B50ED">
        <w:rPr>
          <w:rFonts w:eastAsia="Calibri" w:cstheme="minorHAnsi"/>
          <w:kern w:val="0"/>
          <w14:ligatures w14:val="none"/>
        </w:rPr>
        <w:t xml:space="preserve"> </w:t>
      </w:r>
      <w:r w:rsidRPr="00A26C26">
        <w:rPr>
          <w:rFonts w:eastAsia="Calibri" w:cstheme="minorHAnsi"/>
          <w:kern w:val="0"/>
          <w14:ligatures w14:val="none"/>
        </w:rPr>
        <w:t>agroturystyki</w:t>
      </w:r>
      <w:r w:rsidR="003B50ED">
        <w:rPr>
          <w:rFonts w:eastAsia="Calibri" w:cstheme="minorHAnsi"/>
          <w:kern w:val="0"/>
          <w14:ligatures w14:val="none"/>
        </w:rPr>
        <w:t xml:space="preserve"> </w:t>
      </w:r>
      <w:r w:rsidRPr="00A26C26">
        <w:rPr>
          <w:rFonts w:eastAsia="Calibri" w:cstheme="minorHAnsi"/>
          <w:kern w:val="0"/>
          <w14:ligatures w14:val="none"/>
        </w:rPr>
        <w:t>i</w:t>
      </w:r>
      <w:r w:rsidR="003B50ED">
        <w:rPr>
          <w:rFonts w:eastAsia="Calibri" w:cstheme="minorHAnsi"/>
          <w:kern w:val="0"/>
          <w14:ligatures w14:val="none"/>
        </w:rPr>
        <w:t xml:space="preserve"> </w:t>
      </w:r>
      <w:r w:rsidRPr="00B03AE6">
        <w:rPr>
          <w:rFonts w:eastAsia="Calibri" w:cstheme="minorHAnsi"/>
          <w:kern w:val="0"/>
          <w14:ligatures w14:val="none"/>
        </w:rPr>
        <w:t>turystyki</w:t>
      </w:r>
      <w:r w:rsidR="003B50ED" w:rsidRPr="00B03AE6">
        <w:rPr>
          <w:rFonts w:eastAsia="Calibri" w:cstheme="minorHAnsi"/>
          <w:kern w:val="0"/>
          <w14:ligatures w14:val="none"/>
        </w:rPr>
        <w:t xml:space="preserve"> </w:t>
      </w:r>
      <w:r w:rsidRPr="00B03AE6">
        <w:rPr>
          <w:rFonts w:eastAsia="Calibri" w:cstheme="minorHAnsi"/>
          <w:kern w:val="0"/>
          <w14:ligatures w14:val="none"/>
        </w:rPr>
        <w:t>wiejskiej.</w:t>
      </w:r>
      <w:r w:rsidR="003B50ED" w:rsidRPr="00B03AE6">
        <w:rPr>
          <w:rFonts w:eastAsia="Calibri" w:cstheme="minorHAnsi"/>
          <w:kern w:val="0"/>
          <w14:ligatures w14:val="none"/>
        </w:rPr>
        <w:t xml:space="preserve"> </w:t>
      </w:r>
      <w:r w:rsidRPr="00B03AE6">
        <w:rPr>
          <w:rFonts w:eastAsia="Calibri" w:cstheme="minorHAnsi"/>
          <w:kern w:val="0"/>
          <w14:ligatures w14:val="none"/>
        </w:rPr>
        <w:t>Wsparciem</w:t>
      </w:r>
      <w:r w:rsidR="003B50ED" w:rsidRPr="00B03AE6">
        <w:rPr>
          <w:rFonts w:eastAsia="Calibri" w:cstheme="minorHAnsi"/>
          <w:kern w:val="0"/>
          <w14:ligatures w14:val="none"/>
        </w:rPr>
        <w:t xml:space="preserve"> </w:t>
      </w:r>
      <w:r w:rsidRPr="00B03AE6">
        <w:rPr>
          <w:rFonts w:eastAsia="Calibri" w:cstheme="minorHAnsi"/>
          <w:kern w:val="0"/>
          <w14:ligatures w14:val="none"/>
        </w:rPr>
        <w:t>będą</w:t>
      </w:r>
      <w:r w:rsidR="003B50ED" w:rsidRPr="00B03AE6">
        <w:rPr>
          <w:rFonts w:eastAsia="Calibri" w:cstheme="minorHAnsi"/>
          <w:kern w:val="0"/>
          <w14:ligatures w14:val="none"/>
        </w:rPr>
        <w:t xml:space="preserve"> </w:t>
      </w:r>
      <w:r w:rsidRPr="00B03AE6">
        <w:rPr>
          <w:rFonts w:eastAsia="Calibri" w:cstheme="minorHAnsi"/>
          <w:kern w:val="0"/>
          <w14:ligatures w14:val="none"/>
        </w:rPr>
        <w:t>objęte</w:t>
      </w:r>
      <w:r w:rsidR="003B50ED" w:rsidRPr="00B03AE6">
        <w:rPr>
          <w:rFonts w:eastAsia="Calibri" w:cstheme="minorHAnsi"/>
          <w:kern w:val="0"/>
          <w14:ligatures w14:val="none"/>
        </w:rPr>
        <w:t xml:space="preserve"> </w:t>
      </w:r>
      <w:r w:rsidRPr="00B03AE6">
        <w:rPr>
          <w:rFonts w:eastAsia="Calibri" w:cstheme="minorHAnsi"/>
          <w:kern w:val="0"/>
          <w14:ligatures w14:val="none"/>
        </w:rPr>
        <w:t>inwestycje</w:t>
      </w:r>
      <w:r w:rsidR="003B50ED" w:rsidRPr="00B03AE6">
        <w:rPr>
          <w:rFonts w:eastAsia="Calibri" w:cstheme="minorHAnsi"/>
          <w:kern w:val="0"/>
          <w14:ligatures w14:val="none"/>
        </w:rPr>
        <w:t xml:space="preserve"> </w:t>
      </w:r>
      <w:r w:rsidRPr="00B03AE6">
        <w:rPr>
          <w:rFonts w:eastAsia="Calibri" w:cstheme="minorHAnsi"/>
          <w:kern w:val="0"/>
          <w14:ligatures w14:val="none"/>
        </w:rPr>
        <w:t>dotyczące</w:t>
      </w:r>
      <w:r w:rsidR="003B50ED" w:rsidRPr="00B03AE6">
        <w:rPr>
          <w:rFonts w:eastAsia="Calibri" w:cstheme="minorHAnsi"/>
          <w:kern w:val="0"/>
          <w14:ligatures w14:val="none"/>
        </w:rPr>
        <w:t xml:space="preserve"> </w:t>
      </w:r>
      <w:r w:rsidRPr="00B03AE6">
        <w:rPr>
          <w:rFonts w:eastAsia="Calibri" w:cstheme="minorHAnsi"/>
          <w:kern w:val="0"/>
          <w14:ligatures w14:val="none"/>
        </w:rPr>
        <w:t>tworzenia</w:t>
      </w:r>
      <w:r w:rsidR="003B50ED" w:rsidRPr="00B03AE6">
        <w:rPr>
          <w:rFonts w:eastAsia="Calibri" w:cstheme="minorHAnsi"/>
          <w:kern w:val="0"/>
          <w14:ligatures w14:val="none"/>
        </w:rPr>
        <w:t xml:space="preserve"> </w:t>
      </w:r>
      <w:r w:rsidRPr="00B03AE6">
        <w:rPr>
          <w:rFonts w:eastAsia="Calibri" w:cstheme="minorHAnsi"/>
          <w:kern w:val="0"/>
          <w14:ligatures w14:val="none"/>
        </w:rPr>
        <w:t>i</w:t>
      </w:r>
      <w:r w:rsidR="003B50ED" w:rsidRPr="00B03AE6">
        <w:rPr>
          <w:rFonts w:eastAsia="Calibri" w:cstheme="minorHAnsi"/>
          <w:kern w:val="0"/>
          <w14:ligatures w14:val="none"/>
        </w:rPr>
        <w:t xml:space="preserve"> </w:t>
      </w:r>
      <w:r w:rsidRPr="00B03AE6">
        <w:rPr>
          <w:rFonts w:eastAsia="Calibri" w:cstheme="minorHAnsi"/>
          <w:kern w:val="0"/>
          <w14:ligatures w14:val="none"/>
        </w:rPr>
        <w:t>rozwijania</w:t>
      </w:r>
      <w:r w:rsidR="003B50ED" w:rsidRPr="00B03AE6">
        <w:rPr>
          <w:rFonts w:eastAsia="Calibri" w:cstheme="minorHAnsi"/>
          <w:kern w:val="0"/>
          <w14:ligatures w14:val="none"/>
        </w:rPr>
        <w:t xml:space="preserve"> </w:t>
      </w:r>
      <w:r w:rsidRPr="00B03AE6">
        <w:rPr>
          <w:rFonts w:eastAsia="Calibri" w:cstheme="minorHAnsi"/>
          <w:kern w:val="0"/>
          <w14:ligatures w14:val="none"/>
        </w:rPr>
        <w:t>gospodarstw</w:t>
      </w:r>
      <w:r w:rsidR="003B50ED" w:rsidRPr="00B03AE6">
        <w:rPr>
          <w:rFonts w:eastAsia="Calibri" w:cstheme="minorHAnsi"/>
          <w:kern w:val="0"/>
          <w14:ligatures w14:val="none"/>
        </w:rPr>
        <w:t xml:space="preserve"> </w:t>
      </w:r>
      <w:r w:rsidR="00A539E1" w:rsidRPr="00AA737D">
        <w:rPr>
          <w:rFonts w:eastAsia="Calibri" w:cstheme="minorHAnsi"/>
          <w:kern w:val="0"/>
          <w14:ligatures w14:val="none"/>
        </w:rPr>
        <w:t xml:space="preserve">agroturystycznych i tworzenia </w:t>
      </w:r>
      <w:r w:rsidRPr="00B03AE6">
        <w:rPr>
          <w:rFonts w:eastAsia="Calibri" w:cstheme="minorHAnsi"/>
          <w:kern w:val="0"/>
          <w14:ligatures w14:val="none"/>
        </w:rPr>
        <w:t>zagród</w:t>
      </w:r>
      <w:r w:rsidR="003B50ED" w:rsidRPr="00B03AE6">
        <w:rPr>
          <w:rFonts w:eastAsia="Calibri" w:cstheme="minorHAnsi"/>
          <w:kern w:val="0"/>
          <w14:ligatures w14:val="none"/>
        </w:rPr>
        <w:t xml:space="preserve"> </w:t>
      </w:r>
      <w:r w:rsidRPr="00B03AE6">
        <w:rPr>
          <w:rFonts w:eastAsia="Calibri" w:cstheme="minorHAnsi"/>
          <w:kern w:val="0"/>
          <w14:ligatures w14:val="none"/>
        </w:rPr>
        <w:t>edukacyjnych.</w:t>
      </w:r>
      <w:r w:rsidR="003B50ED" w:rsidRPr="00B03AE6">
        <w:rPr>
          <w:rFonts w:eastAsia="Calibri" w:cstheme="minorHAnsi"/>
          <w:kern w:val="0"/>
          <w14:ligatures w14:val="none"/>
        </w:rPr>
        <w:t xml:space="preserve"> </w:t>
      </w:r>
      <w:r w:rsidRPr="00B03AE6">
        <w:rPr>
          <w:rFonts w:eastAsia="Calibri" w:cstheme="minorHAnsi"/>
          <w:kern w:val="0"/>
          <w14:ligatures w14:val="none"/>
        </w:rPr>
        <w:t>Ważną</w:t>
      </w:r>
      <w:r w:rsidR="003B50ED" w:rsidRPr="00B03AE6">
        <w:rPr>
          <w:rFonts w:eastAsia="Calibri" w:cstheme="minorHAnsi"/>
          <w:kern w:val="0"/>
          <w14:ligatures w14:val="none"/>
        </w:rPr>
        <w:t xml:space="preserve"> </w:t>
      </w:r>
      <w:r w:rsidRPr="00B03AE6">
        <w:rPr>
          <w:rFonts w:eastAsia="Calibri" w:cstheme="minorHAnsi"/>
          <w:kern w:val="0"/>
          <w14:ligatures w14:val="none"/>
        </w:rPr>
        <w:t>częścią</w:t>
      </w:r>
      <w:r w:rsidR="003B50ED" w:rsidRPr="00B03AE6">
        <w:rPr>
          <w:rFonts w:eastAsia="Calibri" w:cstheme="minorHAnsi"/>
          <w:kern w:val="0"/>
          <w14:ligatures w14:val="none"/>
        </w:rPr>
        <w:t xml:space="preserve"> </w:t>
      </w:r>
      <w:r w:rsidRPr="00B03AE6">
        <w:rPr>
          <w:rFonts w:eastAsia="Calibri" w:cstheme="minorHAnsi"/>
          <w:kern w:val="0"/>
          <w14:ligatures w14:val="none"/>
        </w:rPr>
        <w:t>będzie</w:t>
      </w:r>
      <w:r w:rsidR="003B50ED" w:rsidRPr="00B03AE6">
        <w:rPr>
          <w:rFonts w:eastAsia="Calibri" w:cstheme="minorHAnsi"/>
          <w:kern w:val="0"/>
          <w14:ligatures w14:val="none"/>
        </w:rPr>
        <w:t xml:space="preserve"> </w:t>
      </w:r>
      <w:r w:rsidRPr="00B03AE6">
        <w:rPr>
          <w:rFonts w:eastAsia="Calibri" w:cstheme="minorHAnsi"/>
          <w:kern w:val="0"/>
          <w14:ligatures w14:val="none"/>
        </w:rPr>
        <w:t>tworzenie</w:t>
      </w:r>
      <w:r w:rsidR="003B50ED" w:rsidRPr="00B03AE6">
        <w:rPr>
          <w:rFonts w:eastAsia="Calibri" w:cstheme="minorHAnsi"/>
          <w:kern w:val="0"/>
          <w14:ligatures w14:val="none"/>
        </w:rPr>
        <w:t xml:space="preserve"> </w:t>
      </w:r>
      <w:r w:rsidRPr="00B03AE6">
        <w:rPr>
          <w:rFonts w:eastAsia="Calibri" w:cstheme="minorHAnsi"/>
          <w:kern w:val="0"/>
          <w14:ligatures w14:val="none"/>
        </w:rPr>
        <w:t>warunków</w:t>
      </w:r>
      <w:r w:rsidR="003B50ED" w:rsidRPr="00B03AE6">
        <w:rPr>
          <w:rFonts w:eastAsia="Calibri" w:cstheme="minorHAnsi"/>
          <w:kern w:val="0"/>
          <w14:ligatures w14:val="none"/>
        </w:rPr>
        <w:t xml:space="preserve"> </w:t>
      </w:r>
      <w:r w:rsidRPr="00B03AE6">
        <w:rPr>
          <w:rFonts w:eastAsia="Calibri" w:cstheme="minorHAnsi"/>
          <w:kern w:val="0"/>
          <w14:ligatures w14:val="none"/>
        </w:rPr>
        <w:t>dla</w:t>
      </w:r>
      <w:r w:rsidR="003B50ED" w:rsidRPr="00B03AE6">
        <w:rPr>
          <w:rFonts w:eastAsia="Calibri" w:cstheme="minorHAnsi"/>
          <w:kern w:val="0"/>
          <w14:ligatures w14:val="none"/>
        </w:rPr>
        <w:t xml:space="preserve"> </w:t>
      </w:r>
      <w:r w:rsidRPr="00B03AE6">
        <w:rPr>
          <w:rFonts w:eastAsia="Calibri" w:cstheme="minorHAnsi"/>
          <w:kern w:val="0"/>
          <w14:ligatures w14:val="none"/>
        </w:rPr>
        <w:t>powstawania</w:t>
      </w:r>
      <w:r w:rsidR="003B50ED" w:rsidRPr="00B03AE6">
        <w:rPr>
          <w:rFonts w:eastAsia="Calibri" w:cstheme="minorHAnsi"/>
          <w:kern w:val="0"/>
          <w14:ligatures w14:val="none"/>
        </w:rPr>
        <w:t xml:space="preserve"> </w:t>
      </w:r>
      <w:r w:rsidRPr="00B03AE6">
        <w:rPr>
          <w:rFonts w:eastAsia="Calibri" w:cstheme="minorHAnsi"/>
          <w:kern w:val="0"/>
          <w14:ligatures w14:val="none"/>
        </w:rPr>
        <w:t>nowych</w:t>
      </w:r>
      <w:r w:rsidR="003B50ED" w:rsidRPr="00B03AE6">
        <w:rPr>
          <w:rFonts w:eastAsia="Calibri" w:cstheme="minorHAnsi"/>
          <w:kern w:val="0"/>
          <w14:ligatures w14:val="none"/>
        </w:rPr>
        <w:t xml:space="preserve"> </w:t>
      </w:r>
      <w:r w:rsidRPr="00B03AE6">
        <w:rPr>
          <w:rFonts w:eastAsia="Calibri" w:cstheme="minorHAnsi"/>
          <w:kern w:val="0"/>
          <w14:ligatures w14:val="none"/>
        </w:rPr>
        <w:t>miejsc</w:t>
      </w:r>
      <w:r w:rsidR="003B50ED" w:rsidRPr="00B03AE6">
        <w:rPr>
          <w:rFonts w:eastAsia="Calibri" w:cstheme="minorHAnsi"/>
          <w:kern w:val="0"/>
          <w14:ligatures w14:val="none"/>
        </w:rPr>
        <w:t xml:space="preserve"> </w:t>
      </w:r>
      <w:r w:rsidRPr="00B03AE6">
        <w:rPr>
          <w:rFonts w:eastAsia="Calibri" w:cstheme="minorHAnsi"/>
          <w:kern w:val="0"/>
          <w14:ligatures w14:val="none"/>
        </w:rPr>
        <w:t>pracy</w:t>
      </w:r>
      <w:r w:rsidR="003B50ED" w:rsidRPr="00B03AE6">
        <w:rPr>
          <w:rFonts w:eastAsia="Calibri" w:cstheme="minorHAnsi"/>
          <w:kern w:val="0"/>
          <w14:ligatures w14:val="none"/>
        </w:rPr>
        <w:t xml:space="preserve"> </w:t>
      </w:r>
      <w:r w:rsidRPr="00B03AE6">
        <w:rPr>
          <w:rFonts w:eastAsia="Calibri" w:cstheme="minorHAnsi"/>
          <w:kern w:val="0"/>
          <w14:ligatures w14:val="none"/>
        </w:rPr>
        <w:t>w</w:t>
      </w:r>
      <w:r w:rsidR="003B50ED" w:rsidRPr="00B03AE6">
        <w:rPr>
          <w:rFonts w:eastAsia="Calibri" w:cstheme="minorHAnsi"/>
          <w:kern w:val="0"/>
          <w14:ligatures w14:val="none"/>
        </w:rPr>
        <w:t xml:space="preserve"> </w:t>
      </w:r>
      <w:r w:rsidRPr="00B03AE6">
        <w:rPr>
          <w:rFonts w:eastAsia="Calibri" w:cstheme="minorHAnsi"/>
          <w:kern w:val="0"/>
          <w14:ligatures w14:val="none"/>
        </w:rPr>
        <w:t>tym</w:t>
      </w:r>
      <w:r w:rsidR="003B50ED" w:rsidRPr="00B03AE6">
        <w:rPr>
          <w:rFonts w:eastAsia="Calibri" w:cstheme="minorHAnsi"/>
          <w:kern w:val="0"/>
          <w14:ligatures w14:val="none"/>
        </w:rPr>
        <w:t xml:space="preserve"> </w:t>
      </w:r>
      <w:r w:rsidRPr="00B03AE6">
        <w:rPr>
          <w:rFonts w:eastAsia="Calibri" w:cstheme="minorHAnsi"/>
          <w:kern w:val="0"/>
          <w14:ligatures w14:val="none"/>
        </w:rPr>
        <w:t>sektorze.</w:t>
      </w:r>
      <w:r w:rsidR="003B50ED" w:rsidRPr="00B03AE6">
        <w:rPr>
          <w:rFonts w:eastAsia="Calibri" w:cstheme="minorHAnsi"/>
          <w:kern w:val="0"/>
          <w14:ligatures w14:val="none"/>
        </w:rPr>
        <w:t xml:space="preserve"> </w:t>
      </w:r>
      <w:r w:rsidRPr="00B03AE6">
        <w:rPr>
          <w:rFonts w:eastAsia="Calibri" w:cstheme="minorHAnsi"/>
          <w:kern w:val="0"/>
          <w14:ligatures w14:val="none"/>
        </w:rPr>
        <w:t>Turystyka</w:t>
      </w:r>
      <w:r w:rsidR="003B50ED" w:rsidRPr="00B03AE6">
        <w:rPr>
          <w:rFonts w:eastAsia="Calibri" w:cstheme="minorHAnsi"/>
          <w:kern w:val="0"/>
          <w14:ligatures w14:val="none"/>
        </w:rPr>
        <w:t xml:space="preserve"> </w:t>
      </w:r>
      <w:r w:rsidRPr="00B03AE6">
        <w:rPr>
          <w:rFonts w:eastAsia="Calibri" w:cstheme="minorHAnsi"/>
          <w:kern w:val="0"/>
          <w14:ligatures w14:val="none"/>
        </w:rPr>
        <w:t>wiejska</w:t>
      </w:r>
      <w:r w:rsidR="003B50ED" w:rsidRPr="00B03AE6">
        <w:rPr>
          <w:rFonts w:eastAsia="Calibri" w:cstheme="minorHAnsi"/>
          <w:kern w:val="0"/>
          <w14:ligatures w14:val="none"/>
        </w:rPr>
        <w:t xml:space="preserve"> </w:t>
      </w:r>
      <w:r w:rsidRPr="00B03AE6">
        <w:rPr>
          <w:rFonts w:eastAsia="Calibri" w:cstheme="minorHAnsi"/>
          <w:kern w:val="0"/>
          <w14:ligatures w14:val="none"/>
        </w:rPr>
        <w:t>poprzez</w:t>
      </w:r>
      <w:r w:rsidR="003B50ED" w:rsidRPr="00B03AE6">
        <w:rPr>
          <w:rFonts w:eastAsia="Calibri" w:cstheme="minorHAnsi"/>
          <w:kern w:val="0"/>
          <w14:ligatures w14:val="none"/>
        </w:rPr>
        <w:t xml:space="preserve"> </w:t>
      </w:r>
      <w:r w:rsidRPr="00B03AE6">
        <w:rPr>
          <w:rFonts w:eastAsia="Calibri" w:cstheme="minorHAnsi"/>
          <w:kern w:val="0"/>
          <w14:ligatures w14:val="none"/>
        </w:rPr>
        <w:t>swój</w:t>
      </w:r>
      <w:r w:rsidR="003B50ED" w:rsidRPr="00B03AE6">
        <w:rPr>
          <w:rFonts w:eastAsia="Calibri" w:cstheme="minorHAnsi"/>
          <w:kern w:val="0"/>
          <w14:ligatures w14:val="none"/>
        </w:rPr>
        <w:t xml:space="preserve"> </w:t>
      </w:r>
      <w:r w:rsidRPr="00B03AE6">
        <w:rPr>
          <w:rFonts w:eastAsia="Calibri" w:cstheme="minorHAnsi"/>
          <w:kern w:val="0"/>
          <w14:ligatures w14:val="none"/>
        </w:rPr>
        <w:t>dynamiczny</w:t>
      </w:r>
      <w:r w:rsidR="003B50ED" w:rsidRPr="00B03AE6">
        <w:rPr>
          <w:rFonts w:eastAsia="Calibri" w:cstheme="minorHAnsi"/>
          <w:kern w:val="0"/>
          <w14:ligatures w14:val="none"/>
        </w:rPr>
        <w:t xml:space="preserve"> </w:t>
      </w:r>
      <w:r w:rsidRPr="00B03AE6">
        <w:rPr>
          <w:rFonts w:eastAsia="Calibri" w:cstheme="minorHAnsi"/>
          <w:kern w:val="0"/>
          <w14:ligatures w14:val="none"/>
        </w:rPr>
        <w:t>rozwój</w:t>
      </w:r>
      <w:r w:rsidR="003B50ED" w:rsidRPr="00B03AE6">
        <w:rPr>
          <w:rFonts w:eastAsia="Calibri" w:cstheme="minorHAnsi"/>
          <w:kern w:val="0"/>
          <w14:ligatures w14:val="none"/>
        </w:rPr>
        <w:t xml:space="preserve"> </w:t>
      </w:r>
      <w:r w:rsidRPr="00B03AE6">
        <w:rPr>
          <w:rFonts w:eastAsia="Calibri" w:cstheme="minorHAnsi"/>
          <w:kern w:val="0"/>
          <w14:ligatures w14:val="none"/>
        </w:rPr>
        <w:t>będzie</w:t>
      </w:r>
      <w:r w:rsidR="003B50ED" w:rsidRPr="00B03AE6">
        <w:rPr>
          <w:rFonts w:eastAsia="Calibri" w:cstheme="minorHAnsi"/>
          <w:kern w:val="0"/>
          <w14:ligatures w14:val="none"/>
        </w:rPr>
        <w:t xml:space="preserve"> </w:t>
      </w:r>
      <w:r w:rsidRPr="00B03AE6">
        <w:rPr>
          <w:rFonts w:eastAsia="Calibri" w:cstheme="minorHAnsi"/>
          <w:kern w:val="0"/>
          <w14:ligatures w14:val="none"/>
        </w:rPr>
        <w:t>kreować́</w:t>
      </w:r>
      <w:r w:rsidR="003B50ED" w:rsidRPr="00B03AE6">
        <w:rPr>
          <w:rFonts w:eastAsia="Calibri" w:cstheme="minorHAnsi"/>
          <w:kern w:val="0"/>
          <w14:ligatures w14:val="none"/>
        </w:rPr>
        <w:t xml:space="preserve"> </w:t>
      </w:r>
      <w:r w:rsidRPr="00B03AE6">
        <w:rPr>
          <w:rFonts w:eastAsia="Calibri" w:cstheme="minorHAnsi"/>
          <w:kern w:val="0"/>
          <w14:ligatures w14:val="none"/>
        </w:rPr>
        <w:t>nową</w:t>
      </w:r>
      <w:r w:rsidR="003B50ED" w:rsidRPr="00B03AE6">
        <w:rPr>
          <w:rFonts w:eastAsia="Calibri" w:cstheme="minorHAnsi"/>
          <w:kern w:val="0"/>
          <w14:ligatures w14:val="none"/>
        </w:rPr>
        <w:t xml:space="preserve"> </w:t>
      </w:r>
      <w:r w:rsidRPr="00B03AE6">
        <w:rPr>
          <w:rFonts w:eastAsia="Calibri" w:cstheme="minorHAnsi"/>
          <w:kern w:val="0"/>
          <w14:ligatures w14:val="none"/>
        </w:rPr>
        <w:t>jakość</w:t>
      </w:r>
      <w:r w:rsidR="003B50ED" w:rsidRPr="00B03AE6">
        <w:rPr>
          <w:rFonts w:eastAsia="Calibri" w:cstheme="minorHAnsi"/>
          <w:kern w:val="0"/>
          <w14:ligatures w14:val="none"/>
        </w:rPr>
        <w:t xml:space="preserve"> </w:t>
      </w:r>
      <w:r w:rsidRPr="00B03AE6">
        <w:rPr>
          <w:rFonts w:eastAsia="Calibri" w:cstheme="minorHAnsi"/>
          <w:kern w:val="0"/>
          <w14:ligatures w14:val="none"/>
        </w:rPr>
        <w:t>i</w:t>
      </w:r>
      <w:r w:rsidR="003B50ED" w:rsidRPr="00B03AE6">
        <w:rPr>
          <w:rFonts w:eastAsia="Calibri" w:cstheme="minorHAnsi"/>
          <w:kern w:val="0"/>
          <w14:ligatures w14:val="none"/>
        </w:rPr>
        <w:t xml:space="preserve"> </w:t>
      </w:r>
      <w:r w:rsidRPr="00B03AE6">
        <w:rPr>
          <w:rFonts w:eastAsia="Calibri" w:cstheme="minorHAnsi"/>
          <w:kern w:val="0"/>
          <w14:ligatures w14:val="none"/>
        </w:rPr>
        <w:t>nowe</w:t>
      </w:r>
      <w:r w:rsidR="003B50ED" w:rsidRPr="00B03AE6">
        <w:rPr>
          <w:rFonts w:eastAsia="Calibri" w:cstheme="minorHAnsi"/>
          <w:kern w:val="0"/>
          <w14:ligatures w14:val="none"/>
        </w:rPr>
        <w:t xml:space="preserve"> </w:t>
      </w:r>
      <w:r w:rsidRPr="00B03AE6">
        <w:rPr>
          <w:rFonts w:eastAsia="Calibri" w:cstheme="minorHAnsi"/>
          <w:kern w:val="0"/>
          <w14:ligatures w14:val="none"/>
        </w:rPr>
        <w:t>miejsca</w:t>
      </w:r>
      <w:r w:rsidR="003B50ED" w:rsidRPr="00B03AE6">
        <w:rPr>
          <w:rFonts w:eastAsia="Calibri" w:cstheme="minorHAnsi"/>
          <w:kern w:val="0"/>
          <w14:ligatures w14:val="none"/>
        </w:rPr>
        <w:t xml:space="preserve"> </w:t>
      </w:r>
      <w:r w:rsidRPr="00B03AE6">
        <w:rPr>
          <w:rFonts w:eastAsia="Calibri" w:cstheme="minorHAnsi"/>
          <w:kern w:val="0"/>
          <w14:ligatures w14:val="none"/>
        </w:rPr>
        <w:t>pracy.</w:t>
      </w:r>
      <w:r w:rsidR="003B50ED" w:rsidRPr="00B03AE6">
        <w:rPr>
          <w:rFonts w:eastAsia="Calibri" w:cstheme="minorHAnsi"/>
          <w:kern w:val="0"/>
          <w14:ligatures w14:val="none"/>
        </w:rPr>
        <w:t xml:space="preserve"> </w:t>
      </w:r>
      <w:r w:rsidRPr="00B03AE6">
        <w:rPr>
          <w:rFonts w:eastAsia="Calibri" w:cstheme="minorHAnsi"/>
          <w:kern w:val="0"/>
          <w14:ligatures w14:val="none"/>
        </w:rPr>
        <w:t>Dlatego</w:t>
      </w:r>
      <w:r w:rsidR="003B50ED" w:rsidRPr="00B03AE6">
        <w:rPr>
          <w:rFonts w:eastAsia="Calibri" w:cstheme="minorHAnsi"/>
          <w:kern w:val="0"/>
          <w14:ligatures w14:val="none"/>
        </w:rPr>
        <w:t xml:space="preserve"> </w:t>
      </w:r>
      <w:r w:rsidRPr="00B03AE6">
        <w:rPr>
          <w:rFonts w:eastAsia="Calibri" w:cstheme="minorHAnsi"/>
          <w:kern w:val="0"/>
          <w14:ligatures w14:val="none"/>
        </w:rPr>
        <w:t>ważne</w:t>
      </w:r>
      <w:r w:rsidR="003B50ED" w:rsidRPr="00B03AE6">
        <w:rPr>
          <w:rFonts w:eastAsia="Calibri" w:cstheme="minorHAnsi"/>
          <w:kern w:val="0"/>
          <w14:ligatures w14:val="none"/>
        </w:rPr>
        <w:t xml:space="preserve"> </w:t>
      </w:r>
      <w:r w:rsidRPr="00B03AE6">
        <w:rPr>
          <w:rFonts w:eastAsia="Calibri" w:cstheme="minorHAnsi"/>
          <w:kern w:val="0"/>
          <w14:ligatures w14:val="none"/>
        </w:rPr>
        <w:t>będzie</w:t>
      </w:r>
      <w:r w:rsidR="003B50ED" w:rsidRPr="00B03AE6">
        <w:rPr>
          <w:rFonts w:eastAsia="Calibri" w:cstheme="minorHAnsi"/>
          <w:kern w:val="0"/>
          <w14:ligatures w14:val="none"/>
        </w:rPr>
        <w:t xml:space="preserve"> </w:t>
      </w:r>
      <w:r w:rsidRPr="00B03AE6">
        <w:rPr>
          <w:rFonts w:eastAsia="Calibri" w:cstheme="minorHAnsi"/>
          <w:kern w:val="0"/>
          <w14:ligatures w14:val="none"/>
        </w:rPr>
        <w:t>tworzenie</w:t>
      </w:r>
      <w:r w:rsidR="003B50ED" w:rsidRPr="00B03AE6">
        <w:rPr>
          <w:rFonts w:eastAsia="Calibri" w:cstheme="minorHAnsi"/>
          <w:kern w:val="0"/>
          <w14:ligatures w14:val="none"/>
        </w:rPr>
        <w:t xml:space="preserve"> </w:t>
      </w:r>
      <w:r w:rsidRPr="00B03AE6">
        <w:rPr>
          <w:rFonts w:eastAsia="Calibri" w:cstheme="minorHAnsi"/>
          <w:kern w:val="0"/>
          <w14:ligatures w14:val="none"/>
        </w:rPr>
        <w:t>zintegrowanych</w:t>
      </w:r>
      <w:r w:rsidR="003B50ED" w:rsidRPr="00B03AE6">
        <w:rPr>
          <w:rFonts w:eastAsia="Calibri" w:cstheme="minorHAnsi"/>
          <w:kern w:val="0"/>
          <w14:ligatures w14:val="none"/>
        </w:rPr>
        <w:t xml:space="preserve"> </w:t>
      </w:r>
      <w:r w:rsidRPr="00B03AE6">
        <w:rPr>
          <w:rFonts w:eastAsia="Calibri" w:cstheme="minorHAnsi"/>
          <w:kern w:val="0"/>
          <w14:ligatures w14:val="none"/>
        </w:rPr>
        <w:t>produktów</w:t>
      </w:r>
      <w:r w:rsidR="003B50ED" w:rsidRPr="00B03AE6">
        <w:rPr>
          <w:rFonts w:eastAsia="Calibri" w:cstheme="minorHAnsi"/>
          <w:kern w:val="0"/>
          <w14:ligatures w14:val="none"/>
        </w:rPr>
        <w:t xml:space="preserve"> </w:t>
      </w:r>
      <w:r w:rsidRPr="00B03AE6">
        <w:rPr>
          <w:rFonts w:eastAsia="Calibri" w:cstheme="minorHAnsi"/>
          <w:kern w:val="0"/>
          <w14:ligatures w14:val="none"/>
        </w:rPr>
        <w:t>i</w:t>
      </w:r>
      <w:r w:rsidR="003B50ED" w:rsidRPr="00B03AE6">
        <w:rPr>
          <w:rFonts w:eastAsia="Calibri" w:cstheme="minorHAnsi"/>
          <w:kern w:val="0"/>
          <w14:ligatures w14:val="none"/>
        </w:rPr>
        <w:t xml:space="preserve"> </w:t>
      </w:r>
      <w:r w:rsidRPr="00B03AE6">
        <w:rPr>
          <w:rFonts w:eastAsia="Calibri" w:cstheme="minorHAnsi"/>
          <w:kern w:val="0"/>
          <w14:ligatures w14:val="none"/>
        </w:rPr>
        <w:t>marek</w:t>
      </w:r>
      <w:r w:rsidR="003B50ED" w:rsidRPr="00B03AE6">
        <w:rPr>
          <w:rFonts w:eastAsia="Calibri" w:cstheme="minorHAnsi"/>
          <w:kern w:val="0"/>
          <w14:ligatures w14:val="none"/>
        </w:rPr>
        <w:t xml:space="preserve"> </w:t>
      </w:r>
      <w:r w:rsidRPr="00B03AE6">
        <w:rPr>
          <w:rFonts w:eastAsia="Calibri" w:cstheme="minorHAnsi"/>
          <w:kern w:val="0"/>
          <w14:ligatures w14:val="none"/>
        </w:rPr>
        <w:t>o</w:t>
      </w:r>
      <w:r w:rsidR="003B50ED" w:rsidRPr="00B03AE6">
        <w:rPr>
          <w:rFonts w:eastAsia="Calibri" w:cstheme="minorHAnsi"/>
          <w:kern w:val="0"/>
          <w14:ligatures w14:val="none"/>
        </w:rPr>
        <w:t xml:space="preserve"> </w:t>
      </w:r>
      <w:r w:rsidRPr="00B03AE6">
        <w:rPr>
          <w:rFonts w:eastAsia="Calibri" w:cstheme="minorHAnsi"/>
          <w:kern w:val="0"/>
          <w14:ligatures w14:val="none"/>
        </w:rPr>
        <w:t>lokalnym</w:t>
      </w:r>
      <w:r w:rsidR="003B50ED" w:rsidRPr="00B03AE6">
        <w:rPr>
          <w:rFonts w:eastAsia="Calibri" w:cstheme="minorHAnsi"/>
          <w:kern w:val="0"/>
          <w14:ligatures w14:val="none"/>
        </w:rPr>
        <w:t xml:space="preserve"> </w:t>
      </w:r>
      <w:r w:rsidRPr="00B03AE6">
        <w:rPr>
          <w:rFonts w:eastAsia="Calibri" w:cstheme="minorHAnsi"/>
          <w:kern w:val="0"/>
          <w14:ligatures w14:val="none"/>
        </w:rPr>
        <w:t>znaczeniu.</w:t>
      </w:r>
      <w:r w:rsidR="003B50ED" w:rsidRPr="00B03AE6">
        <w:rPr>
          <w:rFonts w:eastAsia="Calibri" w:cstheme="minorHAnsi"/>
          <w:kern w:val="0"/>
          <w14:ligatures w14:val="none"/>
        </w:rPr>
        <w:t xml:space="preserve"> </w:t>
      </w:r>
      <w:r w:rsidRPr="00B03AE6">
        <w:rPr>
          <w:rFonts w:eastAsia="Calibri" w:cstheme="minorHAnsi"/>
          <w:kern w:val="0"/>
          <w14:ligatures w14:val="none"/>
        </w:rPr>
        <w:t>Musi</w:t>
      </w:r>
      <w:r w:rsidR="003B50ED" w:rsidRPr="00B03AE6">
        <w:rPr>
          <w:rFonts w:eastAsia="Calibri" w:cstheme="minorHAnsi"/>
          <w:kern w:val="0"/>
          <w14:ligatures w14:val="none"/>
        </w:rPr>
        <w:t xml:space="preserve"> </w:t>
      </w:r>
      <w:r w:rsidRPr="00B03AE6">
        <w:rPr>
          <w:rFonts w:eastAsia="Calibri" w:cstheme="minorHAnsi"/>
          <w:kern w:val="0"/>
          <w14:ligatures w14:val="none"/>
        </w:rPr>
        <w:t>to</w:t>
      </w:r>
      <w:r w:rsidR="003B50ED" w:rsidRPr="00B03AE6">
        <w:rPr>
          <w:rFonts w:eastAsia="Calibri" w:cstheme="minorHAnsi"/>
          <w:kern w:val="0"/>
          <w14:ligatures w14:val="none"/>
        </w:rPr>
        <w:t xml:space="preserve"> </w:t>
      </w:r>
      <w:r w:rsidRPr="00B03AE6">
        <w:rPr>
          <w:rFonts w:eastAsia="Calibri" w:cstheme="minorHAnsi"/>
          <w:kern w:val="0"/>
          <w14:ligatures w14:val="none"/>
        </w:rPr>
        <w:t>być</w:t>
      </w:r>
      <w:r w:rsidR="003B50ED" w:rsidRPr="00B03AE6">
        <w:rPr>
          <w:rFonts w:eastAsia="Calibri" w:cstheme="minorHAnsi"/>
          <w:kern w:val="0"/>
          <w14:ligatures w14:val="none"/>
        </w:rPr>
        <w:t xml:space="preserve"> </w:t>
      </w:r>
      <w:r w:rsidRPr="00B03AE6">
        <w:rPr>
          <w:rFonts w:eastAsia="Calibri" w:cstheme="minorHAnsi"/>
          <w:kern w:val="0"/>
          <w14:ligatures w14:val="none"/>
        </w:rPr>
        <w:t>wsparte</w:t>
      </w:r>
      <w:r w:rsidR="003B50ED" w:rsidRPr="00B03AE6">
        <w:rPr>
          <w:rFonts w:eastAsia="Calibri" w:cstheme="minorHAnsi"/>
          <w:kern w:val="0"/>
          <w14:ligatures w14:val="none"/>
        </w:rPr>
        <w:t xml:space="preserve"> </w:t>
      </w:r>
      <w:r w:rsidRPr="00B03AE6">
        <w:rPr>
          <w:rFonts w:eastAsia="Calibri" w:cstheme="minorHAnsi"/>
          <w:kern w:val="0"/>
          <w14:ligatures w14:val="none"/>
        </w:rPr>
        <w:t>rozwojem</w:t>
      </w:r>
      <w:r w:rsidR="003B50ED" w:rsidRPr="00B03AE6">
        <w:rPr>
          <w:rFonts w:eastAsia="Calibri" w:cstheme="minorHAnsi"/>
          <w:kern w:val="0"/>
          <w14:ligatures w14:val="none"/>
        </w:rPr>
        <w:t xml:space="preserve"> </w:t>
      </w:r>
      <w:r w:rsidRPr="00B03AE6">
        <w:rPr>
          <w:rFonts w:eastAsia="Calibri" w:cstheme="minorHAnsi"/>
          <w:kern w:val="0"/>
          <w14:ligatures w14:val="none"/>
        </w:rPr>
        <w:t>infrastruktury</w:t>
      </w:r>
      <w:r w:rsidR="003B50ED" w:rsidRPr="00B03AE6">
        <w:rPr>
          <w:rFonts w:eastAsia="Calibri" w:cstheme="minorHAnsi"/>
          <w:kern w:val="0"/>
          <w14:ligatures w14:val="none"/>
        </w:rPr>
        <w:t xml:space="preserve"> </w:t>
      </w:r>
      <w:r w:rsidRPr="00B03AE6">
        <w:rPr>
          <w:rFonts w:eastAsia="Calibri" w:cstheme="minorHAnsi"/>
          <w:kern w:val="0"/>
          <w14:ligatures w14:val="none"/>
        </w:rPr>
        <w:t>noclegowej,</w:t>
      </w:r>
      <w:r w:rsidR="003B50ED" w:rsidRPr="00B03AE6">
        <w:rPr>
          <w:rFonts w:eastAsia="Calibri" w:cstheme="minorHAnsi"/>
          <w:kern w:val="0"/>
          <w14:ligatures w14:val="none"/>
        </w:rPr>
        <w:t xml:space="preserve"> </w:t>
      </w:r>
      <w:r w:rsidRPr="00B03AE6">
        <w:rPr>
          <w:rFonts w:eastAsia="Calibri" w:cstheme="minorHAnsi"/>
          <w:kern w:val="0"/>
          <w14:ligatures w14:val="none"/>
        </w:rPr>
        <w:t>turystycznej,</w:t>
      </w:r>
      <w:r w:rsidR="003B50ED" w:rsidRPr="00B03AE6">
        <w:rPr>
          <w:rFonts w:eastAsia="Calibri" w:cstheme="minorHAnsi"/>
          <w:kern w:val="0"/>
          <w14:ligatures w14:val="none"/>
        </w:rPr>
        <w:t xml:space="preserve"> </w:t>
      </w:r>
      <w:r w:rsidRPr="00B03AE6">
        <w:rPr>
          <w:rFonts w:eastAsia="Calibri" w:cstheme="minorHAnsi"/>
          <w:kern w:val="0"/>
          <w14:ligatures w14:val="none"/>
        </w:rPr>
        <w:t>rekreacyjnej</w:t>
      </w:r>
      <w:r w:rsidR="003B50ED" w:rsidRPr="00B03AE6">
        <w:rPr>
          <w:rFonts w:eastAsia="Calibri" w:cstheme="minorHAnsi"/>
          <w:kern w:val="0"/>
          <w14:ligatures w14:val="none"/>
        </w:rPr>
        <w:t xml:space="preserve"> </w:t>
      </w:r>
      <w:r w:rsidRPr="00B03AE6">
        <w:rPr>
          <w:rFonts w:eastAsia="Calibri" w:cstheme="minorHAnsi"/>
          <w:kern w:val="0"/>
          <w14:ligatures w14:val="none"/>
        </w:rPr>
        <w:t>i</w:t>
      </w:r>
      <w:r w:rsidR="003B50ED" w:rsidRPr="00B03AE6">
        <w:rPr>
          <w:rFonts w:eastAsia="Calibri" w:cstheme="minorHAnsi"/>
          <w:kern w:val="0"/>
          <w14:ligatures w14:val="none"/>
        </w:rPr>
        <w:t xml:space="preserve"> </w:t>
      </w:r>
      <w:r w:rsidRPr="00B03AE6">
        <w:rPr>
          <w:rFonts w:eastAsia="Calibri" w:cstheme="minorHAnsi"/>
          <w:kern w:val="0"/>
          <w14:ligatures w14:val="none"/>
        </w:rPr>
        <w:t>dostępowej</w:t>
      </w:r>
      <w:r w:rsidR="003B50ED" w:rsidRPr="00B03AE6">
        <w:rPr>
          <w:rFonts w:eastAsia="Calibri" w:cstheme="minorHAnsi"/>
          <w:kern w:val="0"/>
          <w14:ligatures w14:val="none"/>
        </w:rPr>
        <w:t xml:space="preserve"> </w:t>
      </w:r>
      <w:r w:rsidRPr="00B03AE6">
        <w:rPr>
          <w:rFonts w:eastAsia="Calibri" w:cstheme="minorHAnsi"/>
          <w:kern w:val="0"/>
          <w14:ligatures w14:val="none"/>
        </w:rPr>
        <w:t>oraz</w:t>
      </w:r>
      <w:r w:rsidR="003B50ED" w:rsidRPr="00B03AE6">
        <w:rPr>
          <w:rFonts w:eastAsia="Calibri" w:cstheme="minorHAnsi"/>
          <w:kern w:val="0"/>
          <w14:ligatures w14:val="none"/>
        </w:rPr>
        <w:t xml:space="preserve"> </w:t>
      </w:r>
      <w:r w:rsidRPr="00B03AE6">
        <w:rPr>
          <w:rFonts w:eastAsia="Calibri" w:cstheme="minorHAnsi"/>
          <w:kern w:val="0"/>
          <w14:ligatures w14:val="none"/>
        </w:rPr>
        <w:t>podniesienie</w:t>
      </w:r>
      <w:r w:rsidR="003B50ED" w:rsidRPr="00B03AE6">
        <w:rPr>
          <w:rFonts w:eastAsia="Calibri" w:cstheme="minorHAnsi"/>
          <w:kern w:val="0"/>
          <w14:ligatures w14:val="none"/>
        </w:rPr>
        <w:t xml:space="preserve"> </w:t>
      </w:r>
      <w:r w:rsidRPr="00B03AE6">
        <w:rPr>
          <w:rFonts w:eastAsia="Calibri" w:cstheme="minorHAnsi"/>
          <w:kern w:val="0"/>
          <w14:ligatures w14:val="none"/>
        </w:rPr>
        <w:t>jej</w:t>
      </w:r>
      <w:r w:rsidR="003B50ED" w:rsidRPr="00B03AE6">
        <w:rPr>
          <w:rFonts w:eastAsia="Calibri" w:cstheme="minorHAnsi"/>
          <w:kern w:val="0"/>
          <w14:ligatures w14:val="none"/>
        </w:rPr>
        <w:t xml:space="preserve"> </w:t>
      </w:r>
      <w:r w:rsidRPr="00B03AE6">
        <w:rPr>
          <w:rFonts w:eastAsia="Calibri" w:cstheme="minorHAnsi"/>
          <w:kern w:val="0"/>
          <w14:ligatures w14:val="none"/>
        </w:rPr>
        <w:t>standardów.</w:t>
      </w:r>
      <w:r w:rsidR="003B50ED" w:rsidRPr="00B03AE6">
        <w:rPr>
          <w:rFonts w:eastAsia="Calibri" w:cstheme="minorHAnsi"/>
          <w:kern w:val="0"/>
          <w14:ligatures w14:val="none"/>
        </w:rPr>
        <w:t xml:space="preserve"> </w:t>
      </w:r>
      <w:r w:rsidRPr="00B03AE6">
        <w:rPr>
          <w:rFonts w:eastAsia="Calibri" w:cstheme="minorHAnsi"/>
          <w:kern w:val="0"/>
          <w14:ligatures w14:val="none"/>
        </w:rPr>
        <w:t>Istotną</w:t>
      </w:r>
      <w:r w:rsidR="003B50ED" w:rsidRPr="00B03AE6">
        <w:rPr>
          <w:rFonts w:eastAsia="Calibri" w:cstheme="minorHAnsi"/>
          <w:kern w:val="0"/>
          <w14:ligatures w14:val="none"/>
        </w:rPr>
        <w:t xml:space="preserve"> </w:t>
      </w:r>
      <w:r w:rsidRPr="00B03AE6">
        <w:rPr>
          <w:rFonts w:eastAsia="Calibri" w:cstheme="minorHAnsi"/>
          <w:kern w:val="0"/>
          <w14:ligatures w14:val="none"/>
        </w:rPr>
        <w:t>częścią</w:t>
      </w:r>
      <w:r w:rsidR="003B50ED" w:rsidRPr="00B03AE6">
        <w:rPr>
          <w:rFonts w:eastAsia="Calibri" w:cstheme="minorHAnsi"/>
          <w:kern w:val="0"/>
          <w14:ligatures w14:val="none"/>
        </w:rPr>
        <w:t xml:space="preserve"> </w:t>
      </w:r>
      <w:r w:rsidRPr="00B03AE6">
        <w:rPr>
          <w:rFonts w:eastAsia="Calibri" w:cstheme="minorHAnsi"/>
          <w:kern w:val="0"/>
          <w14:ligatures w14:val="none"/>
        </w:rPr>
        <w:t>wspieranych</w:t>
      </w:r>
      <w:r w:rsidR="003B50ED" w:rsidRPr="00B03AE6">
        <w:rPr>
          <w:rFonts w:eastAsia="Calibri" w:cstheme="minorHAnsi"/>
          <w:kern w:val="0"/>
          <w14:ligatures w14:val="none"/>
        </w:rPr>
        <w:t xml:space="preserve"> </w:t>
      </w:r>
      <w:r w:rsidRPr="00B03AE6">
        <w:rPr>
          <w:rFonts w:eastAsia="Calibri" w:cstheme="minorHAnsi"/>
          <w:kern w:val="0"/>
          <w14:ligatures w14:val="none"/>
        </w:rPr>
        <w:t>projektów</w:t>
      </w:r>
      <w:r w:rsidR="003B50ED" w:rsidRPr="00B03AE6">
        <w:rPr>
          <w:rFonts w:eastAsia="Calibri" w:cstheme="minorHAnsi"/>
          <w:kern w:val="0"/>
          <w14:ligatures w14:val="none"/>
        </w:rPr>
        <w:t xml:space="preserve"> </w:t>
      </w:r>
      <w:r w:rsidRPr="00B03AE6">
        <w:rPr>
          <w:rFonts w:eastAsia="Calibri" w:cstheme="minorHAnsi"/>
          <w:kern w:val="0"/>
          <w14:ligatures w14:val="none"/>
        </w:rPr>
        <w:t>będzie</w:t>
      </w:r>
      <w:r w:rsidR="003B50ED" w:rsidRPr="00B03AE6">
        <w:rPr>
          <w:rFonts w:eastAsia="Calibri" w:cstheme="minorHAnsi"/>
          <w:kern w:val="0"/>
          <w14:ligatures w14:val="none"/>
        </w:rPr>
        <w:t xml:space="preserve"> </w:t>
      </w:r>
      <w:r w:rsidRPr="00B03AE6">
        <w:rPr>
          <w:rFonts w:eastAsia="Calibri" w:cstheme="minorHAnsi"/>
          <w:kern w:val="0"/>
          <w14:ligatures w14:val="none"/>
        </w:rPr>
        <w:t>podnoszenie</w:t>
      </w:r>
      <w:r w:rsidR="003B50ED" w:rsidRPr="00B03AE6">
        <w:rPr>
          <w:rFonts w:eastAsia="Calibri" w:cstheme="minorHAnsi"/>
          <w:kern w:val="0"/>
          <w14:ligatures w14:val="none"/>
        </w:rPr>
        <w:t xml:space="preserve"> </w:t>
      </w:r>
      <w:r w:rsidRPr="00B03AE6">
        <w:rPr>
          <w:rFonts w:eastAsia="Calibri" w:cstheme="minorHAnsi"/>
          <w:kern w:val="0"/>
          <w14:ligatures w14:val="none"/>
        </w:rPr>
        <w:t>kwalifikacji.</w:t>
      </w:r>
      <w:r w:rsidR="003B50ED" w:rsidRPr="00B03AE6">
        <w:rPr>
          <w:rFonts w:eastAsia="Calibri" w:cstheme="minorHAnsi"/>
          <w:kern w:val="0"/>
          <w14:ligatures w14:val="none"/>
        </w:rPr>
        <w:t xml:space="preserve"> </w:t>
      </w:r>
    </w:p>
    <w:p w14:paraId="6F8F3DC8" w14:textId="2EF119A7" w:rsidR="002C63F4" w:rsidRPr="00A26C26" w:rsidRDefault="002C63F4" w:rsidP="00A26C26">
      <w:pPr>
        <w:spacing w:line="276" w:lineRule="auto"/>
        <w:ind w:firstLine="708"/>
        <w:jc w:val="both"/>
        <w:rPr>
          <w:rFonts w:eastAsia="Calibri" w:cstheme="minorHAnsi"/>
          <w:kern w:val="0"/>
          <w14:ligatures w14:val="none"/>
        </w:rPr>
      </w:pPr>
      <w:r w:rsidRPr="00B03AE6">
        <w:rPr>
          <w:rFonts w:eastAsia="Calibri" w:cstheme="minorHAnsi"/>
          <w:kern w:val="0"/>
          <w14:ligatures w14:val="none"/>
        </w:rPr>
        <w:t>Agroturystyka</w:t>
      </w:r>
      <w:r w:rsidR="003B50ED" w:rsidRPr="00B03AE6">
        <w:rPr>
          <w:rFonts w:eastAsia="Calibri" w:cstheme="minorHAnsi"/>
          <w:kern w:val="0"/>
          <w14:ligatures w14:val="none"/>
        </w:rPr>
        <w:t xml:space="preserve"> </w:t>
      </w:r>
      <w:r w:rsidRPr="00B03AE6">
        <w:rPr>
          <w:rFonts w:eastAsia="Calibri" w:cstheme="minorHAnsi"/>
          <w:kern w:val="0"/>
          <w14:ligatures w14:val="none"/>
        </w:rPr>
        <w:t>jest</w:t>
      </w:r>
      <w:r w:rsidR="003B50ED" w:rsidRPr="00B03AE6">
        <w:rPr>
          <w:rFonts w:eastAsia="Calibri" w:cstheme="minorHAnsi"/>
          <w:kern w:val="0"/>
          <w14:ligatures w14:val="none"/>
        </w:rPr>
        <w:t xml:space="preserve"> </w:t>
      </w:r>
      <w:r w:rsidRPr="00B03AE6">
        <w:rPr>
          <w:rFonts w:eastAsia="Calibri" w:cstheme="minorHAnsi"/>
          <w:kern w:val="0"/>
          <w14:ligatures w14:val="none"/>
        </w:rPr>
        <w:t>bezpośrednio</w:t>
      </w:r>
      <w:r w:rsidR="003B50ED" w:rsidRPr="00B03AE6">
        <w:rPr>
          <w:rFonts w:eastAsia="Calibri" w:cstheme="minorHAnsi"/>
          <w:kern w:val="0"/>
          <w14:ligatures w14:val="none"/>
        </w:rPr>
        <w:t xml:space="preserve"> </w:t>
      </w:r>
      <w:r w:rsidRPr="00B03AE6">
        <w:rPr>
          <w:rFonts w:eastAsia="Calibri" w:cstheme="minorHAnsi"/>
          <w:kern w:val="0"/>
          <w14:ligatures w14:val="none"/>
        </w:rPr>
        <w:t>powiązana</w:t>
      </w:r>
      <w:r w:rsidR="003B50ED" w:rsidRPr="00B03AE6">
        <w:rPr>
          <w:rFonts w:eastAsia="Calibri" w:cstheme="minorHAnsi"/>
          <w:kern w:val="0"/>
          <w14:ligatures w14:val="none"/>
        </w:rPr>
        <w:t xml:space="preserve"> </w:t>
      </w:r>
      <w:r w:rsidRPr="00B03AE6">
        <w:rPr>
          <w:rFonts w:eastAsia="Calibri" w:cstheme="minorHAnsi"/>
          <w:kern w:val="0"/>
          <w14:ligatures w14:val="none"/>
        </w:rPr>
        <w:t>z</w:t>
      </w:r>
      <w:r w:rsidR="003B50ED" w:rsidRPr="00B03AE6">
        <w:rPr>
          <w:rFonts w:eastAsia="Calibri" w:cstheme="minorHAnsi"/>
          <w:kern w:val="0"/>
          <w14:ligatures w14:val="none"/>
        </w:rPr>
        <w:t xml:space="preserve"> </w:t>
      </w:r>
      <w:r w:rsidRPr="00B03AE6">
        <w:rPr>
          <w:rFonts w:eastAsia="Calibri" w:cstheme="minorHAnsi"/>
          <w:kern w:val="0"/>
          <w14:ligatures w14:val="none"/>
        </w:rPr>
        <w:t>rozwojem</w:t>
      </w:r>
      <w:r w:rsidR="003B50ED" w:rsidRPr="00B03AE6">
        <w:rPr>
          <w:rFonts w:eastAsia="Calibri" w:cstheme="minorHAnsi"/>
          <w:kern w:val="0"/>
          <w14:ligatures w14:val="none"/>
        </w:rPr>
        <w:t xml:space="preserve"> </w:t>
      </w:r>
      <w:r w:rsidRPr="00B03AE6">
        <w:rPr>
          <w:rFonts w:eastAsia="Calibri" w:cstheme="minorHAnsi"/>
          <w:kern w:val="0"/>
          <w14:ligatures w14:val="none"/>
        </w:rPr>
        <w:t>turystyki</w:t>
      </w:r>
      <w:r w:rsidR="003B50ED" w:rsidRPr="00B03AE6">
        <w:rPr>
          <w:rFonts w:eastAsia="Calibri" w:cstheme="minorHAnsi"/>
          <w:kern w:val="0"/>
          <w14:ligatures w14:val="none"/>
        </w:rPr>
        <w:t xml:space="preserve"> </w:t>
      </w:r>
      <w:r w:rsidRPr="00A26C26">
        <w:rPr>
          <w:rFonts w:eastAsia="Calibri" w:cstheme="minorHAnsi"/>
          <w:kern w:val="0"/>
          <w14:ligatures w14:val="none"/>
        </w:rPr>
        <w:t>przyjaznej</w:t>
      </w:r>
      <w:r w:rsidR="003B50ED">
        <w:rPr>
          <w:rFonts w:eastAsia="Calibri" w:cstheme="minorHAnsi"/>
          <w:kern w:val="0"/>
          <w14:ligatures w14:val="none"/>
        </w:rPr>
        <w:t xml:space="preserve"> </w:t>
      </w:r>
      <w:r w:rsidRPr="00A26C26">
        <w:rPr>
          <w:rFonts w:eastAsia="Calibri" w:cstheme="minorHAnsi"/>
          <w:kern w:val="0"/>
          <w14:ligatures w14:val="none"/>
        </w:rPr>
        <w:t>środowisku,</w:t>
      </w:r>
      <w:r w:rsidR="003B50ED">
        <w:rPr>
          <w:rFonts w:eastAsia="Calibri" w:cstheme="minorHAnsi"/>
          <w:kern w:val="0"/>
          <w14:ligatures w14:val="none"/>
        </w:rPr>
        <w:t xml:space="preserve"> </w:t>
      </w:r>
      <w:r w:rsidRPr="00A26C26">
        <w:rPr>
          <w:rFonts w:eastAsia="Calibri" w:cstheme="minorHAnsi"/>
          <w:kern w:val="0"/>
          <w14:ligatures w14:val="none"/>
        </w:rPr>
        <w:t>ze</w:t>
      </w:r>
      <w:r w:rsidR="003B50ED">
        <w:rPr>
          <w:rFonts w:eastAsia="Calibri" w:cstheme="minorHAnsi"/>
          <w:kern w:val="0"/>
          <w14:ligatures w14:val="none"/>
        </w:rPr>
        <w:t xml:space="preserve"> </w:t>
      </w:r>
      <w:r w:rsidRPr="00A26C26">
        <w:rPr>
          <w:rFonts w:eastAsia="Calibri" w:cstheme="minorHAnsi"/>
          <w:kern w:val="0"/>
          <w14:ligatures w14:val="none"/>
        </w:rPr>
        <w:t>szczególnym</w:t>
      </w:r>
      <w:r w:rsidR="003B50ED">
        <w:rPr>
          <w:rFonts w:eastAsia="Calibri" w:cstheme="minorHAnsi"/>
          <w:kern w:val="0"/>
          <w14:ligatures w14:val="none"/>
        </w:rPr>
        <w:t xml:space="preserve"> </w:t>
      </w:r>
      <w:r w:rsidRPr="00A26C26">
        <w:rPr>
          <w:rFonts w:eastAsia="Calibri" w:cstheme="minorHAnsi"/>
          <w:kern w:val="0"/>
          <w14:ligatures w14:val="none"/>
        </w:rPr>
        <w:t>nastawieniem</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zaangażowanie</w:t>
      </w:r>
      <w:r w:rsidR="003B50ED">
        <w:rPr>
          <w:rFonts w:eastAsia="Calibri" w:cstheme="minorHAnsi"/>
          <w:kern w:val="0"/>
          <w14:ligatures w14:val="none"/>
        </w:rPr>
        <w:t xml:space="preserve"> </w:t>
      </w:r>
      <w:r w:rsidRPr="00A26C26">
        <w:rPr>
          <w:rFonts w:eastAsia="Calibri" w:cstheme="minorHAnsi"/>
          <w:kern w:val="0"/>
          <w14:ligatures w14:val="none"/>
        </w:rPr>
        <w:t>walorów</w:t>
      </w:r>
      <w:r w:rsidR="003B50ED">
        <w:rPr>
          <w:rFonts w:eastAsia="Calibri" w:cstheme="minorHAnsi"/>
          <w:kern w:val="0"/>
          <w14:ligatures w14:val="none"/>
        </w:rPr>
        <w:t xml:space="preserve"> </w:t>
      </w:r>
      <w:r w:rsidRPr="00A26C26">
        <w:rPr>
          <w:rFonts w:eastAsia="Calibri" w:cstheme="minorHAnsi"/>
          <w:kern w:val="0"/>
          <w14:ligatures w14:val="none"/>
        </w:rPr>
        <w:t>dziedzictwa</w:t>
      </w:r>
      <w:r w:rsidR="003B50ED">
        <w:rPr>
          <w:rFonts w:eastAsia="Calibri" w:cstheme="minorHAnsi"/>
          <w:kern w:val="0"/>
          <w14:ligatures w14:val="none"/>
        </w:rPr>
        <w:t xml:space="preserve"> </w:t>
      </w:r>
      <w:r w:rsidRPr="00A26C26">
        <w:rPr>
          <w:rFonts w:eastAsia="Calibri" w:cstheme="minorHAnsi"/>
          <w:kern w:val="0"/>
          <w14:ligatures w14:val="none"/>
        </w:rPr>
        <w:t>kulturowego</w:t>
      </w:r>
      <w:r w:rsidR="003B50ED">
        <w:rPr>
          <w:rFonts w:eastAsia="Calibri" w:cstheme="minorHAnsi"/>
          <w:kern w:val="0"/>
          <w14:ligatures w14:val="none"/>
        </w:rPr>
        <w:t xml:space="preserve"> </w:t>
      </w:r>
      <w:r w:rsidRPr="00A26C26">
        <w:rPr>
          <w:rFonts w:eastAsia="Calibri" w:cstheme="minorHAnsi"/>
          <w:kern w:val="0"/>
          <w14:ligatures w14:val="none"/>
        </w:rPr>
        <w:t>i</w:t>
      </w:r>
      <w:r w:rsidR="003B50ED">
        <w:rPr>
          <w:rFonts w:eastAsia="Calibri" w:cstheme="minorHAnsi"/>
          <w:kern w:val="0"/>
          <w14:ligatures w14:val="none"/>
        </w:rPr>
        <w:t xml:space="preserve"> </w:t>
      </w:r>
      <w:r w:rsidRPr="00A26C26">
        <w:rPr>
          <w:rFonts w:eastAsia="Calibri" w:cstheme="minorHAnsi"/>
          <w:kern w:val="0"/>
          <w14:ligatures w14:val="none"/>
        </w:rPr>
        <w:t>różnorodności</w:t>
      </w:r>
      <w:r w:rsidR="003B50ED">
        <w:rPr>
          <w:rFonts w:eastAsia="Calibri" w:cstheme="minorHAnsi"/>
          <w:kern w:val="0"/>
          <w14:ligatures w14:val="none"/>
        </w:rPr>
        <w:t xml:space="preserve"> </w:t>
      </w:r>
      <w:r w:rsidRPr="00A26C26">
        <w:rPr>
          <w:rFonts w:eastAsia="Calibri" w:cstheme="minorHAnsi"/>
          <w:kern w:val="0"/>
          <w14:ligatures w14:val="none"/>
        </w:rPr>
        <w:t>przyrodniczej.</w:t>
      </w:r>
      <w:r w:rsidR="003B50ED">
        <w:rPr>
          <w:rFonts w:eastAsia="Calibri" w:cstheme="minorHAnsi"/>
          <w:kern w:val="0"/>
          <w14:ligatures w14:val="none"/>
        </w:rPr>
        <w:t xml:space="preserve"> </w:t>
      </w:r>
      <w:r w:rsidRPr="00A26C26">
        <w:rPr>
          <w:rFonts w:eastAsia="Calibri" w:cstheme="minorHAnsi"/>
          <w:kern w:val="0"/>
          <w14:ligatures w14:val="none"/>
        </w:rPr>
        <w:t>Dopełnieniem</w:t>
      </w:r>
      <w:r w:rsidR="003B50ED">
        <w:rPr>
          <w:rFonts w:eastAsia="Calibri" w:cstheme="minorHAnsi"/>
          <w:kern w:val="0"/>
          <w14:ligatures w14:val="none"/>
        </w:rPr>
        <w:t xml:space="preserve"> </w:t>
      </w:r>
      <w:r w:rsidRPr="00A26C26">
        <w:rPr>
          <w:rFonts w:eastAsia="Calibri" w:cstheme="minorHAnsi"/>
          <w:kern w:val="0"/>
          <w14:ligatures w14:val="none"/>
        </w:rPr>
        <w:t>tej</w:t>
      </w:r>
      <w:r w:rsidR="003B50ED">
        <w:rPr>
          <w:rFonts w:eastAsia="Calibri" w:cstheme="minorHAnsi"/>
          <w:kern w:val="0"/>
          <w14:ligatures w14:val="none"/>
        </w:rPr>
        <w:t xml:space="preserve"> </w:t>
      </w:r>
      <w:r w:rsidRPr="00A26C26">
        <w:rPr>
          <w:rFonts w:eastAsia="Calibri" w:cstheme="minorHAnsi"/>
          <w:kern w:val="0"/>
          <w14:ligatures w14:val="none"/>
        </w:rPr>
        <w:t>formuły</w:t>
      </w:r>
      <w:r w:rsidR="003B50ED">
        <w:rPr>
          <w:rFonts w:eastAsia="Calibri" w:cstheme="minorHAnsi"/>
          <w:kern w:val="0"/>
          <w14:ligatures w14:val="none"/>
        </w:rPr>
        <w:t xml:space="preserve"> </w:t>
      </w:r>
      <w:r w:rsidRPr="00A26C26">
        <w:rPr>
          <w:rFonts w:eastAsia="Calibri" w:cstheme="minorHAnsi"/>
          <w:kern w:val="0"/>
          <w14:ligatures w14:val="none"/>
        </w:rPr>
        <w:t>obok</w:t>
      </w:r>
      <w:r w:rsidR="003B50ED">
        <w:rPr>
          <w:rFonts w:eastAsia="Calibri" w:cstheme="minorHAnsi"/>
          <w:kern w:val="0"/>
          <w14:ligatures w14:val="none"/>
        </w:rPr>
        <w:t xml:space="preserve"> </w:t>
      </w:r>
      <w:r w:rsidRPr="00A26C26">
        <w:rPr>
          <w:rFonts w:eastAsia="Calibri" w:cstheme="minorHAnsi"/>
          <w:kern w:val="0"/>
          <w14:ligatures w14:val="none"/>
        </w:rPr>
        <w:t>gospodarstw</w:t>
      </w:r>
      <w:r w:rsidR="003B50ED">
        <w:rPr>
          <w:rFonts w:eastAsia="Calibri" w:cstheme="minorHAnsi"/>
          <w:kern w:val="0"/>
          <w14:ligatures w14:val="none"/>
        </w:rPr>
        <w:t xml:space="preserve"> </w:t>
      </w:r>
      <w:r w:rsidRPr="00A26C26">
        <w:rPr>
          <w:rFonts w:eastAsia="Calibri" w:cstheme="minorHAnsi"/>
          <w:kern w:val="0"/>
          <w14:ligatures w14:val="none"/>
        </w:rPr>
        <w:t>agroturystycznych</w:t>
      </w:r>
      <w:r w:rsidR="003B50ED">
        <w:rPr>
          <w:rFonts w:eastAsia="Calibri" w:cstheme="minorHAnsi"/>
          <w:kern w:val="0"/>
          <w14:ligatures w14:val="none"/>
        </w:rPr>
        <w:t xml:space="preserve"> </w:t>
      </w:r>
      <w:r w:rsidRPr="00A26C26">
        <w:rPr>
          <w:rFonts w:eastAsia="Calibri" w:cstheme="minorHAnsi"/>
          <w:kern w:val="0"/>
          <w14:ligatures w14:val="none"/>
        </w:rPr>
        <w:t>są</w:t>
      </w:r>
      <w:r w:rsidR="003B50ED">
        <w:rPr>
          <w:rFonts w:eastAsia="Calibri" w:cstheme="minorHAnsi"/>
          <w:kern w:val="0"/>
          <w14:ligatures w14:val="none"/>
        </w:rPr>
        <w:t xml:space="preserve"> </w:t>
      </w:r>
      <w:r w:rsidRPr="00A26C26">
        <w:rPr>
          <w:rFonts w:eastAsia="Calibri" w:cstheme="minorHAnsi"/>
          <w:kern w:val="0"/>
          <w14:ligatures w14:val="none"/>
        </w:rPr>
        <w:t>również</w:t>
      </w:r>
      <w:r w:rsidR="003B50ED">
        <w:rPr>
          <w:rFonts w:eastAsia="Calibri" w:cstheme="minorHAnsi"/>
          <w:kern w:val="0"/>
          <w14:ligatures w14:val="none"/>
        </w:rPr>
        <w:t xml:space="preserve"> </w:t>
      </w:r>
      <w:r w:rsidRPr="00A26C26">
        <w:rPr>
          <w:rFonts w:eastAsia="Calibri" w:cstheme="minorHAnsi"/>
          <w:kern w:val="0"/>
          <w14:ligatures w14:val="none"/>
        </w:rPr>
        <w:t>zagrody</w:t>
      </w:r>
      <w:r w:rsidR="003B50ED">
        <w:rPr>
          <w:rFonts w:eastAsia="Calibri" w:cstheme="minorHAnsi"/>
          <w:kern w:val="0"/>
          <w14:ligatures w14:val="none"/>
        </w:rPr>
        <w:t xml:space="preserve"> </w:t>
      </w:r>
      <w:r w:rsidRPr="00A26C26">
        <w:rPr>
          <w:rFonts w:eastAsia="Calibri" w:cstheme="minorHAnsi"/>
          <w:kern w:val="0"/>
          <w14:ligatures w14:val="none"/>
        </w:rPr>
        <w:t>edukacyjne,</w:t>
      </w:r>
      <w:r w:rsidR="003B50ED">
        <w:rPr>
          <w:rFonts w:eastAsia="Calibri" w:cstheme="minorHAnsi"/>
          <w:kern w:val="0"/>
          <w14:ligatures w14:val="none"/>
        </w:rPr>
        <w:t xml:space="preserve"> </w:t>
      </w:r>
      <w:r w:rsidRPr="00A26C26">
        <w:rPr>
          <w:rFonts w:eastAsia="Calibri" w:cstheme="minorHAnsi"/>
          <w:kern w:val="0"/>
          <w14:ligatures w14:val="none"/>
        </w:rPr>
        <w:t>których</w:t>
      </w:r>
      <w:r w:rsidR="003B50ED">
        <w:rPr>
          <w:rFonts w:eastAsia="Calibri" w:cstheme="minorHAnsi"/>
          <w:kern w:val="0"/>
          <w14:ligatures w14:val="none"/>
        </w:rPr>
        <w:t xml:space="preserve"> </w:t>
      </w:r>
      <w:r w:rsidRPr="00A26C26">
        <w:rPr>
          <w:rFonts w:eastAsia="Calibri" w:cstheme="minorHAnsi"/>
          <w:kern w:val="0"/>
          <w14:ligatures w14:val="none"/>
        </w:rPr>
        <w:t>oferta</w:t>
      </w:r>
      <w:r w:rsidR="003B50ED">
        <w:rPr>
          <w:rFonts w:eastAsia="Calibri" w:cstheme="minorHAnsi"/>
          <w:kern w:val="0"/>
          <w14:ligatures w14:val="none"/>
        </w:rPr>
        <w:t xml:space="preserve"> </w:t>
      </w:r>
      <w:r w:rsidRPr="00A26C26">
        <w:rPr>
          <w:rFonts w:eastAsia="Calibri" w:cstheme="minorHAnsi"/>
          <w:kern w:val="0"/>
          <w14:ligatures w14:val="none"/>
        </w:rPr>
        <w:t>jest</w:t>
      </w:r>
      <w:r w:rsidR="003B50ED">
        <w:rPr>
          <w:rFonts w:eastAsia="Calibri" w:cstheme="minorHAnsi"/>
          <w:kern w:val="0"/>
          <w14:ligatures w14:val="none"/>
        </w:rPr>
        <w:t xml:space="preserve"> </w:t>
      </w:r>
      <w:r w:rsidRPr="00A26C26">
        <w:rPr>
          <w:rFonts w:eastAsia="Calibri" w:cstheme="minorHAnsi"/>
          <w:kern w:val="0"/>
          <w14:ligatures w14:val="none"/>
        </w:rPr>
        <w:t>budowana</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bazie</w:t>
      </w:r>
      <w:r w:rsidR="003B50ED">
        <w:rPr>
          <w:rFonts w:eastAsia="Calibri" w:cstheme="minorHAnsi"/>
          <w:kern w:val="0"/>
          <w14:ligatures w14:val="none"/>
        </w:rPr>
        <w:t xml:space="preserve"> </w:t>
      </w:r>
      <w:r w:rsidRPr="00A26C26">
        <w:rPr>
          <w:rFonts w:eastAsia="Calibri" w:cstheme="minorHAnsi"/>
          <w:kern w:val="0"/>
          <w14:ligatures w14:val="none"/>
        </w:rPr>
        <w:t>zasobów</w:t>
      </w:r>
      <w:r w:rsidR="003B50ED">
        <w:rPr>
          <w:rFonts w:eastAsia="Calibri" w:cstheme="minorHAnsi"/>
          <w:kern w:val="0"/>
          <w14:ligatures w14:val="none"/>
        </w:rPr>
        <w:t xml:space="preserve"> </w:t>
      </w:r>
      <w:r w:rsidRPr="00A26C26">
        <w:rPr>
          <w:rFonts w:eastAsia="Calibri" w:cstheme="minorHAnsi"/>
          <w:kern w:val="0"/>
          <w14:ligatures w14:val="none"/>
        </w:rPr>
        <w:t>gospodarstwa,</w:t>
      </w:r>
      <w:r w:rsidR="003B50ED">
        <w:rPr>
          <w:rFonts w:eastAsia="Calibri" w:cstheme="minorHAnsi"/>
          <w:kern w:val="0"/>
          <w14:ligatures w14:val="none"/>
        </w:rPr>
        <w:t xml:space="preserve"> </w:t>
      </w:r>
      <w:r w:rsidRPr="00A26C26">
        <w:rPr>
          <w:rFonts w:eastAsia="Calibri" w:cstheme="minorHAnsi"/>
          <w:kern w:val="0"/>
          <w14:ligatures w14:val="none"/>
        </w:rPr>
        <w:t>jak</w:t>
      </w:r>
      <w:r w:rsidR="003B50ED">
        <w:rPr>
          <w:rFonts w:eastAsia="Calibri" w:cstheme="minorHAnsi"/>
          <w:kern w:val="0"/>
          <w14:ligatures w14:val="none"/>
        </w:rPr>
        <w:t xml:space="preserve"> </w:t>
      </w:r>
      <w:r w:rsidRPr="00A26C26">
        <w:rPr>
          <w:rFonts w:eastAsia="Calibri" w:cstheme="minorHAnsi"/>
          <w:kern w:val="0"/>
          <w14:ligatures w14:val="none"/>
        </w:rPr>
        <w:t>również</w:t>
      </w:r>
      <w:r w:rsidR="003B50ED">
        <w:rPr>
          <w:rFonts w:eastAsia="Calibri" w:cstheme="minorHAnsi"/>
          <w:kern w:val="0"/>
          <w14:ligatures w14:val="none"/>
        </w:rPr>
        <w:t xml:space="preserve"> </w:t>
      </w:r>
      <w:r w:rsidRPr="00A26C26">
        <w:rPr>
          <w:rFonts w:eastAsia="Calibri" w:cstheme="minorHAnsi"/>
          <w:kern w:val="0"/>
          <w14:ligatures w14:val="none"/>
        </w:rPr>
        <w:t>walorów</w:t>
      </w:r>
      <w:r w:rsidR="003B50ED">
        <w:rPr>
          <w:rFonts w:eastAsia="Calibri" w:cstheme="minorHAnsi"/>
          <w:kern w:val="0"/>
          <w14:ligatures w14:val="none"/>
        </w:rPr>
        <w:t xml:space="preserve"> </w:t>
      </w:r>
      <w:r w:rsidRPr="00A26C26">
        <w:rPr>
          <w:rFonts w:eastAsia="Calibri" w:cstheme="minorHAnsi"/>
          <w:kern w:val="0"/>
          <w14:ligatures w14:val="none"/>
        </w:rPr>
        <w:t>przyrodniczych,</w:t>
      </w:r>
      <w:r w:rsidR="003B50ED">
        <w:rPr>
          <w:rFonts w:eastAsia="Calibri" w:cstheme="minorHAnsi"/>
          <w:kern w:val="0"/>
          <w14:ligatures w14:val="none"/>
        </w:rPr>
        <w:t xml:space="preserve"> </w:t>
      </w:r>
      <w:r w:rsidRPr="00A26C26">
        <w:rPr>
          <w:rFonts w:eastAsia="Calibri" w:cstheme="minorHAnsi"/>
          <w:kern w:val="0"/>
          <w14:ligatures w14:val="none"/>
        </w:rPr>
        <w:t>kulturowych</w:t>
      </w:r>
      <w:r w:rsidR="003B50ED">
        <w:rPr>
          <w:rFonts w:eastAsia="Calibri" w:cstheme="minorHAnsi"/>
          <w:kern w:val="0"/>
          <w14:ligatures w14:val="none"/>
        </w:rPr>
        <w:t xml:space="preserve"> </w:t>
      </w:r>
      <w:r w:rsidRPr="00A26C26">
        <w:rPr>
          <w:rFonts w:eastAsia="Calibri" w:cstheme="minorHAnsi"/>
          <w:kern w:val="0"/>
          <w14:ligatures w14:val="none"/>
        </w:rPr>
        <w:t>i</w:t>
      </w:r>
      <w:r w:rsidR="003B50ED">
        <w:rPr>
          <w:rFonts w:eastAsia="Calibri" w:cstheme="minorHAnsi"/>
          <w:kern w:val="0"/>
          <w14:ligatures w14:val="none"/>
        </w:rPr>
        <w:t xml:space="preserve"> </w:t>
      </w:r>
      <w:r w:rsidRPr="00A26C26">
        <w:rPr>
          <w:rFonts w:eastAsia="Calibri" w:cstheme="minorHAnsi"/>
          <w:kern w:val="0"/>
          <w14:ligatures w14:val="none"/>
        </w:rPr>
        <w:t>historycznych</w:t>
      </w:r>
      <w:r w:rsidR="003B50ED">
        <w:rPr>
          <w:rFonts w:eastAsia="Calibri" w:cstheme="minorHAnsi"/>
          <w:kern w:val="0"/>
          <w14:ligatures w14:val="none"/>
        </w:rPr>
        <w:t xml:space="preserve"> </w:t>
      </w:r>
      <w:r w:rsidRPr="00A26C26">
        <w:rPr>
          <w:rFonts w:eastAsia="Calibri" w:cstheme="minorHAnsi"/>
          <w:kern w:val="0"/>
          <w14:ligatures w14:val="none"/>
        </w:rPr>
        <w:t>danej</w:t>
      </w:r>
      <w:r w:rsidR="003B50ED">
        <w:rPr>
          <w:rFonts w:eastAsia="Calibri" w:cstheme="minorHAnsi"/>
          <w:kern w:val="0"/>
          <w14:ligatures w14:val="none"/>
        </w:rPr>
        <w:t xml:space="preserve"> </w:t>
      </w:r>
      <w:r w:rsidRPr="00A26C26">
        <w:rPr>
          <w:rFonts w:eastAsia="Calibri" w:cstheme="minorHAnsi"/>
          <w:kern w:val="0"/>
          <w14:ligatures w14:val="none"/>
        </w:rPr>
        <w:t>miejscowości</w:t>
      </w:r>
      <w:r w:rsidR="003B50ED">
        <w:rPr>
          <w:rFonts w:eastAsia="Calibri" w:cstheme="minorHAnsi"/>
          <w:kern w:val="0"/>
          <w14:ligatures w14:val="none"/>
        </w:rPr>
        <w:t xml:space="preserve"> </w:t>
      </w:r>
      <w:r w:rsidRPr="00A26C26">
        <w:rPr>
          <w:rFonts w:eastAsia="Calibri" w:cstheme="minorHAnsi"/>
          <w:kern w:val="0"/>
          <w14:ligatures w14:val="none"/>
        </w:rPr>
        <w:t>–</w:t>
      </w:r>
      <w:r w:rsidR="003B50ED">
        <w:rPr>
          <w:rFonts w:eastAsia="Calibri" w:cstheme="minorHAnsi"/>
          <w:kern w:val="0"/>
          <w14:ligatures w14:val="none"/>
        </w:rPr>
        <w:t xml:space="preserve"> </w:t>
      </w:r>
      <w:r w:rsidRPr="00A26C26">
        <w:rPr>
          <w:rFonts w:eastAsia="Calibri" w:cstheme="minorHAnsi"/>
          <w:kern w:val="0"/>
          <w14:ligatures w14:val="none"/>
        </w:rPr>
        <w:t>pozwala</w:t>
      </w:r>
      <w:r w:rsidR="003B50ED">
        <w:rPr>
          <w:rFonts w:eastAsia="Calibri" w:cstheme="minorHAnsi"/>
          <w:kern w:val="0"/>
          <w14:ligatures w14:val="none"/>
        </w:rPr>
        <w:t xml:space="preserve"> </w:t>
      </w:r>
      <w:r w:rsidRPr="00A26C26">
        <w:rPr>
          <w:rFonts w:eastAsia="Calibri" w:cstheme="minorHAnsi"/>
          <w:kern w:val="0"/>
          <w14:ligatures w14:val="none"/>
        </w:rPr>
        <w:t>przyciągnąć</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tereny</w:t>
      </w:r>
      <w:r w:rsidR="003B50ED">
        <w:rPr>
          <w:rFonts w:eastAsia="Calibri" w:cstheme="minorHAnsi"/>
          <w:kern w:val="0"/>
          <w14:ligatures w14:val="none"/>
        </w:rPr>
        <w:t xml:space="preserve"> </w:t>
      </w:r>
      <w:r w:rsidRPr="00A26C26">
        <w:rPr>
          <w:rFonts w:eastAsia="Calibri" w:cstheme="minorHAnsi"/>
          <w:kern w:val="0"/>
          <w14:ligatures w14:val="none"/>
        </w:rPr>
        <w:t>wiejskie</w:t>
      </w:r>
      <w:r w:rsidR="003B50ED">
        <w:rPr>
          <w:rFonts w:eastAsia="Calibri" w:cstheme="minorHAnsi"/>
          <w:kern w:val="0"/>
          <w14:ligatures w14:val="none"/>
        </w:rPr>
        <w:t xml:space="preserve"> </w:t>
      </w:r>
      <w:r w:rsidRPr="00A26C26">
        <w:rPr>
          <w:rFonts w:eastAsia="Calibri" w:cstheme="minorHAnsi"/>
          <w:kern w:val="0"/>
          <w14:ligatures w14:val="none"/>
        </w:rPr>
        <w:t>turystów</w:t>
      </w:r>
      <w:r w:rsidR="003B50ED">
        <w:rPr>
          <w:rFonts w:eastAsia="Calibri" w:cstheme="minorHAnsi"/>
          <w:kern w:val="0"/>
          <w14:ligatures w14:val="none"/>
        </w:rPr>
        <w:t xml:space="preserve"> </w:t>
      </w:r>
      <w:r w:rsidRPr="00A26C26">
        <w:rPr>
          <w:rFonts w:eastAsia="Calibri" w:cstheme="minorHAnsi"/>
          <w:kern w:val="0"/>
          <w14:ligatures w14:val="none"/>
        </w:rPr>
        <w:t>oraz</w:t>
      </w:r>
      <w:r w:rsidR="003B50ED">
        <w:rPr>
          <w:rFonts w:eastAsia="Calibri" w:cstheme="minorHAnsi"/>
          <w:kern w:val="0"/>
          <w14:ligatures w14:val="none"/>
        </w:rPr>
        <w:t xml:space="preserve"> </w:t>
      </w:r>
      <w:r w:rsidRPr="00A26C26">
        <w:rPr>
          <w:rFonts w:eastAsia="Calibri" w:cstheme="minorHAnsi"/>
          <w:kern w:val="0"/>
          <w14:ligatures w14:val="none"/>
        </w:rPr>
        <w:t>zintegrować</w:t>
      </w:r>
      <w:r w:rsidR="003B50ED">
        <w:rPr>
          <w:rFonts w:eastAsia="Calibri" w:cstheme="minorHAnsi"/>
          <w:kern w:val="0"/>
          <w14:ligatures w14:val="none"/>
        </w:rPr>
        <w:t xml:space="preserve"> </w:t>
      </w:r>
      <w:r w:rsidRPr="00A26C26">
        <w:rPr>
          <w:rFonts w:eastAsia="Calibri" w:cstheme="minorHAnsi"/>
          <w:kern w:val="0"/>
          <w14:ligatures w14:val="none"/>
        </w:rPr>
        <w:t>mieszkańców</w:t>
      </w:r>
      <w:r w:rsidR="003B50ED">
        <w:rPr>
          <w:rFonts w:eastAsia="Calibri" w:cstheme="minorHAnsi"/>
          <w:kern w:val="0"/>
          <w14:ligatures w14:val="none"/>
        </w:rPr>
        <w:t xml:space="preserve"> </w:t>
      </w:r>
      <w:r w:rsidRPr="00A26C26">
        <w:rPr>
          <w:rFonts w:eastAsia="Calibri" w:cstheme="minorHAnsi"/>
          <w:kern w:val="0"/>
          <w14:ligatures w14:val="none"/>
        </w:rPr>
        <w:t>z</w:t>
      </w:r>
      <w:r w:rsidR="003B50ED">
        <w:rPr>
          <w:rFonts w:eastAsia="Calibri" w:cstheme="minorHAnsi"/>
          <w:kern w:val="0"/>
          <w14:ligatures w14:val="none"/>
        </w:rPr>
        <w:t xml:space="preserve"> </w:t>
      </w:r>
      <w:r w:rsidRPr="00A26C26">
        <w:rPr>
          <w:rFonts w:eastAsia="Calibri" w:cstheme="minorHAnsi"/>
          <w:kern w:val="0"/>
          <w14:ligatures w14:val="none"/>
        </w:rPr>
        <w:t>innych</w:t>
      </w:r>
      <w:r w:rsidR="003B50ED">
        <w:rPr>
          <w:rFonts w:eastAsia="Calibri" w:cstheme="minorHAnsi"/>
          <w:kern w:val="0"/>
          <w14:ligatures w14:val="none"/>
        </w:rPr>
        <w:t xml:space="preserve"> </w:t>
      </w:r>
      <w:r w:rsidRPr="00A26C26">
        <w:rPr>
          <w:rFonts w:eastAsia="Calibri" w:cstheme="minorHAnsi"/>
          <w:kern w:val="0"/>
          <w14:ligatures w14:val="none"/>
        </w:rPr>
        <w:t>obszarów.</w:t>
      </w:r>
      <w:r w:rsidR="003B50ED">
        <w:rPr>
          <w:rFonts w:eastAsia="Calibri" w:cstheme="minorHAnsi"/>
          <w:kern w:val="0"/>
          <w14:ligatures w14:val="none"/>
        </w:rPr>
        <w:t xml:space="preserve"> </w:t>
      </w:r>
      <w:r w:rsidRPr="00A26C26">
        <w:rPr>
          <w:rFonts w:eastAsia="Calibri" w:cstheme="minorHAnsi"/>
          <w:kern w:val="0"/>
          <w14:ligatures w14:val="none"/>
        </w:rPr>
        <w:t>Ważną</w:t>
      </w:r>
      <w:r w:rsidR="003B50ED">
        <w:rPr>
          <w:rFonts w:eastAsia="Calibri" w:cstheme="minorHAnsi"/>
          <w:kern w:val="0"/>
          <w14:ligatures w14:val="none"/>
        </w:rPr>
        <w:t xml:space="preserve"> </w:t>
      </w:r>
      <w:r w:rsidRPr="00A26C26">
        <w:rPr>
          <w:rFonts w:eastAsia="Calibri" w:cstheme="minorHAnsi"/>
          <w:kern w:val="0"/>
          <w14:ligatures w14:val="none"/>
        </w:rPr>
        <w:t>częścią</w:t>
      </w:r>
      <w:r w:rsidR="003B50ED">
        <w:rPr>
          <w:rFonts w:eastAsia="Calibri" w:cstheme="minorHAnsi"/>
          <w:kern w:val="0"/>
          <w14:ligatures w14:val="none"/>
        </w:rPr>
        <w:t xml:space="preserve"> </w:t>
      </w:r>
      <w:r w:rsidRPr="00A26C26">
        <w:rPr>
          <w:rFonts w:eastAsia="Calibri" w:cstheme="minorHAnsi"/>
          <w:kern w:val="0"/>
          <w14:ligatures w14:val="none"/>
        </w:rPr>
        <w:t>tych</w:t>
      </w:r>
      <w:r w:rsidR="003B50ED">
        <w:rPr>
          <w:rFonts w:eastAsia="Calibri" w:cstheme="minorHAnsi"/>
          <w:kern w:val="0"/>
          <w14:ligatures w14:val="none"/>
        </w:rPr>
        <w:t xml:space="preserve"> </w:t>
      </w:r>
      <w:r w:rsidRPr="00A26C26">
        <w:rPr>
          <w:rFonts w:eastAsia="Calibri" w:cstheme="minorHAnsi"/>
          <w:kern w:val="0"/>
          <w14:ligatures w14:val="none"/>
        </w:rPr>
        <w:t>działań</w:t>
      </w:r>
      <w:r w:rsidR="003B50ED">
        <w:rPr>
          <w:rFonts w:eastAsia="Calibri" w:cstheme="minorHAnsi"/>
          <w:kern w:val="0"/>
          <w14:ligatures w14:val="none"/>
        </w:rPr>
        <w:t xml:space="preserve"> </w:t>
      </w:r>
      <w:r w:rsidRPr="00A26C26">
        <w:rPr>
          <w:rFonts w:eastAsia="Calibri" w:cstheme="minorHAnsi"/>
          <w:kern w:val="0"/>
          <w14:ligatures w14:val="none"/>
        </w:rPr>
        <w:t>jest</w:t>
      </w:r>
      <w:r w:rsidR="003B50ED">
        <w:rPr>
          <w:rFonts w:eastAsia="Calibri" w:cstheme="minorHAnsi"/>
          <w:kern w:val="0"/>
          <w14:ligatures w14:val="none"/>
        </w:rPr>
        <w:t xml:space="preserve"> </w:t>
      </w:r>
      <w:r w:rsidRPr="00A26C26">
        <w:rPr>
          <w:rFonts w:eastAsia="Calibri" w:cstheme="minorHAnsi"/>
          <w:kern w:val="0"/>
          <w14:ligatures w14:val="none"/>
        </w:rPr>
        <w:t>agroturystyka,</w:t>
      </w:r>
      <w:r w:rsidR="003B50ED">
        <w:rPr>
          <w:rFonts w:eastAsia="Calibri" w:cstheme="minorHAnsi"/>
          <w:kern w:val="0"/>
          <w14:ligatures w14:val="none"/>
        </w:rPr>
        <w:t xml:space="preserve"> </w:t>
      </w:r>
      <w:r w:rsidRPr="00A26C26">
        <w:rPr>
          <w:rFonts w:eastAsia="Calibri" w:cstheme="minorHAnsi"/>
          <w:kern w:val="0"/>
          <w14:ligatures w14:val="none"/>
        </w:rPr>
        <w:t>będąca</w:t>
      </w:r>
      <w:r w:rsidR="003B50ED">
        <w:rPr>
          <w:rFonts w:eastAsia="Calibri" w:cstheme="minorHAnsi"/>
          <w:kern w:val="0"/>
          <w14:ligatures w14:val="none"/>
        </w:rPr>
        <w:t xml:space="preserve"> </w:t>
      </w:r>
      <w:r w:rsidRPr="00A26C26">
        <w:rPr>
          <w:rFonts w:eastAsia="Calibri" w:cstheme="minorHAnsi"/>
          <w:kern w:val="0"/>
          <w14:ligatures w14:val="none"/>
        </w:rPr>
        <w:t>jedną</w:t>
      </w:r>
      <w:r w:rsidR="003B50ED">
        <w:rPr>
          <w:rFonts w:eastAsia="Calibri" w:cstheme="minorHAnsi"/>
          <w:kern w:val="0"/>
          <w14:ligatures w14:val="none"/>
        </w:rPr>
        <w:t xml:space="preserve"> </w:t>
      </w:r>
      <w:r w:rsidRPr="00A26C26">
        <w:rPr>
          <w:rFonts w:eastAsia="Calibri" w:cstheme="minorHAnsi"/>
          <w:kern w:val="0"/>
          <w14:ligatures w14:val="none"/>
        </w:rPr>
        <w:t>z</w:t>
      </w:r>
      <w:r w:rsidR="003B50ED">
        <w:rPr>
          <w:rFonts w:eastAsia="Calibri" w:cstheme="minorHAnsi"/>
          <w:kern w:val="0"/>
          <w14:ligatures w14:val="none"/>
        </w:rPr>
        <w:t xml:space="preserve"> </w:t>
      </w:r>
      <w:r w:rsidRPr="00A26C26">
        <w:rPr>
          <w:rFonts w:eastAsia="Calibri" w:cstheme="minorHAnsi"/>
          <w:kern w:val="0"/>
          <w14:ligatures w14:val="none"/>
        </w:rPr>
        <w:t>form</w:t>
      </w:r>
      <w:r w:rsidR="003B50ED">
        <w:rPr>
          <w:rFonts w:eastAsia="Calibri" w:cstheme="minorHAnsi"/>
          <w:kern w:val="0"/>
          <w14:ligatures w14:val="none"/>
        </w:rPr>
        <w:t xml:space="preserve"> </w:t>
      </w:r>
      <w:r w:rsidRPr="00A26C26">
        <w:rPr>
          <w:rFonts w:eastAsia="Calibri" w:cstheme="minorHAnsi"/>
          <w:kern w:val="0"/>
          <w14:ligatures w14:val="none"/>
        </w:rPr>
        <w:t>turystyki</w:t>
      </w:r>
      <w:r w:rsidR="003B50ED">
        <w:rPr>
          <w:rFonts w:eastAsia="Calibri" w:cstheme="minorHAnsi"/>
          <w:kern w:val="0"/>
          <w14:ligatures w14:val="none"/>
        </w:rPr>
        <w:t xml:space="preserve"> </w:t>
      </w:r>
      <w:r w:rsidRPr="00A26C26">
        <w:rPr>
          <w:rFonts w:eastAsia="Calibri" w:cstheme="minorHAnsi"/>
          <w:kern w:val="0"/>
          <w14:ligatures w14:val="none"/>
        </w:rPr>
        <w:t>wiejskiej.</w:t>
      </w:r>
      <w:r w:rsidR="003B50ED">
        <w:rPr>
          <w:rFonts w:eastAsia="Calibri" w:cstheme="minorHAnsi"/>
          <w:kern w:val="0"/>
          <w14:ligatures w14:val="none"/>
        </w:rPr>
        <w:t xml:space="preserve"> </w:t>
      </w:r>
      <w:r w:rsidRPr="00A26C26">
        <w:rPr>
          <w:rFonts w:eastAsia="Calibri" w:cstheme="minorHAnsi"/>
          <w:kern w:val="0"/>
          <w14:ligatures w14:val="none"/>
        </w:rPr>
        <w:t>Agroturystyka,</w:t>
      </w:r>
      <w:r w:rsidR="003B50ED">
        <w:rPr>
          <w:rFonts w:eastAsia="Calibri" w:cstheme="minorHAnsi"/>
          <w:kern w:val="0"/>
          <w14:ligatures w14:val="none"/>
        </w:rPr>
        <w:t xml:space="preserve"> </w:t>
      </w:r>
      <w:r w:rsidRPr="00A26C26">
        <w:rPr>
          <w:rFonts w:eastAsia="Calibri" w:cstheme="minorHAnsi"/>
          <w:kern w:val="0"/>
          <w14:ligatures w14:val="none"/>
        </w:rPr>
        <w:t>to</w:t>
      </w:r>
      <w:r w:rsidR="003B50ED">
        <w:rPr>
          <w:rFonts w:eastAsia="Calibri" w:cstheme="minorHAnsi"/>
          <w:kern w:val="0"/>
          <w14:ligatures w14:val="none"/>
        </w:rPr>
        <w:t xml:space="preserve"> </w:t>
      </w:r>
      <w:r w:rsidRPr="00A26C26">
        <w:rPr>
          <w:rFonts w:eastAsia="Calibri" w:cstheme="minorHAnsi"/>
          <w:kern w:val="0"/>
          <w14:ligatures w14:val="none"/>
        </w:rPr>
        <w:t>turystyczna</w:t>
      </w:r>
      <w:r w:rsidR="003B50ED">
        <w:rPr>
          <w:rFonts w:eastAsia="Calibri" w:cstheme="minorHAnsi"/>
          <w:kern w:val="0"/>
          <w14:ligatures w14:val="none"/>
        </w:rPr>
        <w:t xml:space="preserve"> </w:t>
      </w:r>
      <w:r w:rsidRPr="00A26C26">
        <w:rPr>
          <w:rFonts w:eastAsia="Calibri" w:cstheme="minorHAnsi"/>
          <w:kern w:val="0"/>
          <w14:ligatures w14:val="none"/>
        </w:rPr>
        <w:t>działalność́</w:t>
      </w:r>
      <w:r w:rsidR="003B50ED">
        <w:rPr>
          <w:rFonts w:eastAsia="Calibri" w:cstheme="minorHAnsi"/>
          <w:kern w:val="0"/>
          <w14:ligatures w14:val="none"/>
        </w:rPr>
        <w:t xml:space="preserve"> </w:t>
      </w:r>
      <w:r w:rsidRPr="00A26C26">
        <w:rPr>
          <w:rFonts w:eastAsia="Calibri" w:cstheme="minorHAnsi"/>
          <w:kern w:val="0"/>
          <w14:ligatures w14:val="none"/>
        </w:rPr>
        <w:t>realizowana</w:t>
      </w:r>
      <w:r w:rsidR="003B50ED">
        <w:rPr>
          <w:rFonts w:eastAsia="Calibri" w:cstheme="minorHAnsi"/>
          <w:kern w:val="0"/>
          <w14:ligatures w14:val="none"/>
        </w:rPr>
        <w:t xml:space="preserve"> </w:t>
      </w:r>
      <w:r w:rsidRPr="00A26C26">
        <w:rPr>
          <w:rFonts w:eastAsia="Calibri" w:cstheme="minorHAnsi"/>
          <w:kern w:val="0"/>
          <w14:ligatures w14:val="none"/>
        </w:rPr>
        <w:t>w</w:t>
      </w:r>
      <w:r w:rsidR="003B50ED">
        <w:rPr>
          <w:rFonts w:eastAsia="Calibri" w:cstheme="minorHAnsi"/>
          <w:kern w:val="0"/>
          <w14:ligatures w14:val="none"/>
        </w:rPr>
        <w:t xml:space="preserve"> </w:t>
      </w:r>
      <w:r w:rsidRPr="00A26C26">
        <w:rPr>
          <w:rFonts w:eastAsia="Calibri" w:cstheme="minorHAnsi"/>
          <w:kern w:val="0"/>
          <w14:ligatures w14:val="none"/>
        </w:rPr>
        <w:t>gospodarkach</w:t>
      </w:r>
      <w:r w:rsidR="003B50ED">
        <w:rPr>
          <w:rFonts w:eastAsia="Calibri" w:cstheme="minorHAnsi"/>
          <w:kern w:val="0"/>
          <w14:ligatures w14:val="none"/>
        </w:rPr>
        <w:t xml:space="preserve"> </w:t>
      </w:r>
      <w:r w:rsidRPr="00A26C26">
        <w:rPr>
          <w:rFonts w:eastAsia="Calibri" w:cstheme="minorHAnsi"/>
          <w:kern w:val="0"/>
          <w14:ligatures w14:val="none"/>
        </w:rPr>
        <w:t>rolnych</w:t>
      </w:r>
      <w:r w:rsidR="003B50ED">
        <w:rPr>
          <w:rFonts w:eastAsia="Calibri" w:cstheme="minorHAnsi"/>
          <w:kern w:val="0"/>
          <w14:ligatures w14:val="none"/>
        </w:rPr>
        <w:t xml:space="preserve"> </w:t>
      </w:r>
      <w:r w:rsidRPr="00A26C26">
        <w:rPr>
          <w:rFonts w:eastAsia="Calibri" w:cstheme="minorHAnsi"/>
          <w:kern w:val="0"/>
          <w14:ligatures w14:val="none"/>
        </w:rPr>
        <w:t>naszego</w:t>
      </w:r>
      <w:r w:rsidR="003B50ED">
        <w:rPr>
          <w:rFonts w:eastAsia="Calibri" w:cstheme="minorHAnsi"/>
          <w:kern w:val="0"/>
          <w14:ligatures w14:val="none"/>
        </w:rPr>
        <w:t xml:space="preserve"> </w:t>
      </w:r>
      <w:r w:rsidRPr="00A26C26">
        <w:rPr>
          <w:rFonts w:eastAsia="Calibri" w:cstheme="minorHAnsi"/>
          <w:kern w:val="0"/>
          <w14:ligatures w14:val="none"/>
        </w:rPr>
        <w:t>kraju.</w:t>
      </w:r>
      <w:r w:rsidR="003B50ED">
        <w:rPr>
          <w:rFonts w:eastAsia="Calibri" w:cstheme="minorHAnsi"/>
          <w:kern w:val="0"/>
          <w14:ligatures w14:val="none"/>
        </w:rPr>
        <w:t xml:space="preserve"> </w:t>
      </w:r>
      <w:r w:rsidRPr="00A26C26">
        <w:rPr>
          <w:rFonts w:eastAsia="Calibri" w:cstheme="minorHAnsi"/>
          <w:kern w:val="0"/>
          <w14:ligatures w14:val="none"/>
        </w:rPr>
        <w:t>Rozwój</w:t>
      </w:r>
      <w:r w:rsidR="003B50ED">
        <w:rPr>
          <w:rFonts w:eastAsia="Calibri" w:cstheme="minorHAnsi"/>
          <w:kern w:val="0"/>
          <w14:ligatures w14:val="none"/>
        </w:rPr>
        <w:t xml:space="preserve"> </w:t>
      </w:r>
      <w:r w:rsidRPr="00A26C26">
        <w:rPr>
          <w:rFonts w:eastAsia="Calibri" w:cstheme="minorHAnsi"/>
          <w:kern w:val="0"/>
          <w14:ligatures w14:val="none"/>
        </w:rPr>
        <w:t>agroturystyki</w:t>
      </w:r>
      <w:r w:rsidR="003B50ED">
        <w:rPr>
          <w:rFonts w:eastAsia="Calibri" w:cstheme="minorHAnsi"/>
          <w:kern w:val="0"/>
          <w14:ligatures w14:val="none"/>
        </w:rPr>
        <w:t xml:space="preserve"> </w:t>
      </w:r>
      <w:r w:rsidRPr="00A26C26">
        <w:rPr>
          <w:rFonts w:eastAsia="Calibri" w:cstheme="minorHAnsi"/>
          <w:kern w:val="0"/>
          <w14:ligatures w14:val="none"/>
        </w:rPr>
        <w:t>w</w:t>
      </w:r>
      <w:r w:rsidR="003B50ED">
        <w:rPr>
          <w:rFonts w:eastAsia="Calibri" w:cstheme="minorHAnsi"/>
          <w:kern w:val="0"/>
          <w14:ligatures w14:val="none"/>
        </w:rPr>
        <w:t xml:space="preserve"> </w:t>
      </w:r>
      <w:r w:rsidRPr="00A26C26">
        <w:rPr>
          <w:rFonts w:eastAsia="Calibri" w:cstheme="minorHAnsi"/>
          <w:kern w:val="0"/>
          <w14:ligatures w14:val="none"/>
        </w:rPr>
        <w:t>Polsce</w:t>
      </w:r>
      <w:r w:rsidR="003B50ED">
        <w:rPr>
          <w:rFonts w:eastAsia="Calibri" w:cstheme="minorHAnsi"/>
          <w:kern w:val="0"/>
          <w14:ligatures w14:val="none"/>
        </w:rPr>
        <w:t xml:space="preserve"> </w:t>
      </w:r>
      <w:r w:rsidRPr="00A26C26">
        <w:rPr>
          <w:rFonts w:eastAsia="Calibri" w:cstheme="minorHAnsi"/>
          <w:kern w:val="0"/>
          <w14:ligatures w14:val="none"/>
        </w:rPr>
        <w:t>w</w:t>
      </w:r>
      <w:r w:rsidR="003B50ED">
        <w:rPr>
          <w:rFonts w:eastAsia="Calibri" w:cstheme="minorHAnsi"/>
          <w:kern w:val="0"/>
          <w14:ligatures w14:val="none"/>
        </w:rPr>
        <w:t xml:space="preserve"> </w:t>
      </w:r>
      <w:r w:rsidRPr="00A26C26">
        <w:rPr>
          <w:rFonts w:eastAsia="Calibri" w:cstheme="minorHAnsi"/>
          <w:kern w:val="0"/>
          <w14:ligatures w14:val="none"/>
        </w:rPr>
        <w:t>ostatnich</w:t>
      </w:r>
      <w:r w:rsidR="003B50ED">
        <w:rPr>
          <w:rFonts w:eastAsia="Calibri" w:cstheme="minorHAnsi"/>
          <w:kern w:val="0"/>
          <w14:ligatures w14:val="none"/>
        </w:rPr>
        <w:t xml:space="preserve"> </w:t>
      </w:r>
      <w:r w:rsidRPr="00A26C26">
        <w:rPr>
          <w:rFonts w:eastAsia="Calibri" w:cstheme="minorHAnsi"/>
          <w:kern w:val="0"/>
          <w14:ligatures w14:val="none"/>
        </w:rPr>
        <w:t>latach</w:t>
      </w:r>
      <w:r w:rsidR="003B50ED">
        <w:rPr>
          <w:rFonts w:eastAsia="Calibri" w:cstheme="minorHAnsi"/>
          <w:kern w:val="0"/>
          <w14:ligatures w14:val="none"/>
        </w:rPr>
        <w:t xml:space="preserve"> </w:t>
      </w:r>
      <w:r w:rsidRPr="00A26C26">
        <w:rPr>
          <w:rFonts w:eastAsia="Calibri" w:cstheme="minorHAnsi"/>
          <w:kern w:val="0"/>
          <w14:ligatures w14:val="none"/>
        </w:rPr>
        <w:t>staje</w:t>
      </w:r>
      <w:r w:rsidR="003B50ED">
        <w:rPr>
          <w:rFonts w:eastAsia="Calibri" w:cstheme="minorHAnsi"/>
          <w:kern w:val="0"/>
          <w14:ligatures w14:val="none"/>
        </w:rPr>
        <w:t xml:space="preserve"> </w:t>
      </w:r>
      <w:r w:rsidR="0035174A" w:rsidRPr="00A26C26">
        <w:rPr>
          <w:rFonts w:eastAsia="Calibri" w:cstheme="minorHAnsi"/>
          <w:kern w:val="0"/>
          <w14:ligatures w14:val="none"/>
        </w:rPr>
        <w:t>się</w:t>
      </w:r>
      <w:r w:rsidRPr="00A26C26">
        <w:rPr>
          <w:rFonts w:eastAsia="Calibri" w:cstheme="minorHAnsi"/>
          <w:kern w:val="0"/>
          <w14:ligatures w14:val="none"/>
        </w:rPr>
        <w:t>̨</w:t>
      </w:r>
      <w:r w:rsidR="003B50ED">
        <w:rPr>
          <w:rFonts w:eastAsia="Calibri" w:cstheme="minorHAnsi"/>
          <w:kern w:val="0"/>
          <w14:ligatures w14:val="none"/>
        </w:rPr>
        <w:t xml:space="preserve"> </w:t>
      </w:r>
      <w:r w:rsidRPr="00A26C26">
        <w:rPr>
          <w:rFonts w:eastAsia="Calibri" w:cstheme="minorHAnsi"/>
          <w:kern w:val="0"/>
          <w14:ligatures w14:val="none"/>
        </w:rPr>
        <w:t>bardzo</w:t>
      </w:r>
      <w:r w:rsidR="003B50ED">
        <w:rPr>
          <w:rFonts w:eastAsia="Calibri" w:cstheme="minorHAnsi"/>
          <w:kern w:val="0"/>
          <w14:ligatures w14:val="none"/>
        </w:rPr>
        <w:t xml:space="preserve"> </w:t>
      </w:r>
      <w:r w:rsidRPr="00A26C26">
        <w:rPr>
          <w:rFonts w:eastAsia="Calibri" w:cstheme="minorHAnsi"/>
          <w:kern w:val="0"/>
          <w14:ligatures w14:val="none"/>
        </w:rPr>
        <w:t>znaczący.</w:t>
      </w:r>
      <w:r w:rsidR="003B50ED">
        <w:rPr>
          <w:rFonts w:eastAsia="Calibri" w:cstheme="minorHAnsi"/>
          <w:kern w:val="0"/>
          <w14:ligatures w14:val="none"/>
        </w:rPr>
        <w:t xml:space="preserve"> </w:t>
      </w:r>
      <w:r w:rsidRPr="00A26C26">
        <w:rPr>
          <w:rFonts w:eastAsia="Calibri" w:cstheme="minorHAnsi"/>
          <w:kern w:val="0"/>
          <w14:ligatures w14:val="none"/>
        </w:rPr>
        <w:t>Aktualnie</w:t>
      </w:r>
      <w:r w:rsidR="003B50ED">
        <w:rPr>
          <w:rFonts w:eastAsia="Calibri" w:cstheme="minorHAnsi"/>
          <w:kern w:val="0"/>
          <w14:ligatures w14:val="none"/>
        </w:rPr>
        <w:t xml:space="preserve"> </w:t>
      </w:r>
      <w:r w:rsidRPr="00A26C26">
        <w:rPr>
          <w:rFonts w:eastAsia="Calibri" w:cstheme="minorHAnsi"/>
          <w:kern w:val="0"/>
          <w14:ligatures w14:val="none"/>
        </w:rPr>
        <w:t>stan</w:t>
      </w:r>
      <w:r w:rsidR="003B50ED">
        <w:rPr>
          <w:rFonts w:eastAsia="Calibri" w:cstheme="minorHAnsi"/>
          <w:kern w:val="0"/>
          <w14:ligatures w14:val="none"/>
        </w:rPr>
        <w:t xml:space="preserve"> </w:t>
      </w:r>
      <w:r w:rsidRPr="00A26C26">
        <w:rPr>
          <w:rFonts w:eastAsia="Calibri" w:cstheme="minorHAnsi"/>
          <w:kern w:val="0"/>
          <w14:ligatures w14:val="none"/>
        </w:rPr>
        <w:t>infrastruktury</w:t>
      </w:r>
      <w:r w:rsidR="003B50ED">
        <w:rPr>
          <w:rFonts w:eastAsia="Calibri" w:cstheme="minorHAnsi"/>
          <w:kern w:val="0"/>
          <w14:ligatures w14:val="none"/>
        </w:rPr>
        <w:t xml:space="preserve"> </w:t>
      </w:r>
      <w:r w:rsidRPr="00A26C26">
        <w:rPr>
          <w:rFonts w:eastAsia="Calibri" w:cstheme="minorHAnsi"/>
          <w:kern w:val="0"/>
          <w14:ligatures w14:val="none"/>
        </w:rPr>
        <w:t>jest</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pewno</w:t>
      </w:r>
      <w:r w:rsidR="003B50ED">
        <w:rPr>
          <w:rFonts w:eastAsia="Calibri" w:cstheme="minorHAnsi"/>
          <w:kern w:val="0"/>
          <w14:ligatures w14:val="none"/>
        </w:rPr>
        <w:t xml:space="preserve"> </w:t>
      </w:r>
      <w:r w:rsidRPr="00A26C26">
        <w:rPr>
          <w:rFonts w:eastAsia="Calibri" w:cstheme="minorHAnsi"/>
          <w:kern w:val="0"/>
          <w14:ligatures w14:val="none"/>
        </w:rPr>
        <w:t>niewystarczający</w:t>
      </w:r>
      <w:r w:rsidR="003B50ED">
        <w:rPr>
          <w:rFonts w:eastAsia="Calibri" w:cstheme="minorHAnsi"/>
          <w:kern w:val="0"/>
          <w14:ligatures w14:val="none"/>
        </w:rPr>
        <w:t xml:space="preserve"> </w:t>
      </w:r>
      <w:r w:rsidRPr="00A26C26">
        <w:rPr>
          <w:rFonts w:eastAsia="Calibri" w:cstheme="minorHAnsi"/>
          <w:kern w:val="0"/>
          <w14:ligatures w14:val="none"/>
        </w:rPr>
        <w:t>i</w:t>
      </w:r>
      <w:r w:rsidR="003B50ED">
        <w:rPr>
          <w:rFonts w:eastAsia="Calibri" w:cstheme="minorHAnsi"/>
          <w:kern w:val="0"/>
          <w14:ligatures w14:val="none"/>
        </w:rPr>
        <w:t xml:space="preserve"> </w:t>
      </w:r>
      <w:r w:rsidRPr="00A26C26">
        <w:rPr>
          <w:rFonts w:eastAsia="Calibri" w:cstheme="minorHAnsi"/>
          <w:kern w:val="0"/>
          <w14:ligatures w14:val="none"/>
        </w:rPr>
        <w:t>należy</w:t>
      </w:r>
      <w:r w:rsidR="003B50ED">
        <w:rPr>
          <w:rFonts w:eastAsia="Calibri" w:cstheme="minorHAnsi"/>
          <w:kern w:val="0"/>
          <w14:ligatures w14:val="none"/>
        </w:rPr>
        <w:t xml:space="preserve"> </w:t>
      </w:r>
      <w:r w:rsidRPr="00A26C26">
        <w:rPr>
          <w:rFonts w:eastAsia="Calibri" w:cstheme="minorHAnsi"/>
          <w:kern w:val="0"/>
          <w14:ligatures w14:val="none"/>
        </w:rPr>
        <w:lastRenderedPageBreak/>
        <w:t>dołożyć́</w:t>
      </w:r>
      <w:r w:rsidR="003B50ED">
        <w:rPr>
          <w:rFonts w:eastAsia="Calibri" w:cstheme="minorHAnsi"/>
          <w:kern w:val="0"/>
          <w14:ligatures w14:val="none"/>
        </w:rPr>
        <w:t xml:space="preserve"> </w:t>
      </w:r>
      <w:r w:rsidRPr="00A26C26">
        <w:rPr>
          <w:rFonts w:eastAsia="Calibri" w:cstheme="minorHAnsi"/>
          <w:kern w:val="0"/>
          <w14:ligatures w14:val="none"/>
        </w:rPr>
        <w:t>starań́,</w:t>
      </w:r>
      <w:r w:rsidR="003B50ED">
        <w:rPr>
          <w:rFonts w:eastAsia="Calibri" w:cstheme="minorHAnsi"/>
          <w:kern w:val="0"/>
          <w14:ligatures w14:val="none"/>
        </w:rPr>
        <w:t xml:space="preserve"> </w:t>
      </w:r>
      <w:r w:rsidRPr="00A26C26">
        <w:rPr>
          <w:rFonts w:eastAsia="Calibri" w:cstheme="minorHAnsi"/>
          <w:kern w:val="0"/>
          <w14:ligatures w14:val="none"/>
        </w:rPr>
        <w:t>aby</w:t>
      </w:r>
      <w:r w:rsidR="003B50ED">
        <w:rPr>
          <w:rFonts w:eastAsia="Calibri" w:cstheme="minorHAnsi"/>
          <w:kern w:val="0"/>
          <w14:ligatures w14:val="none"/>
        </w:rPr>
        <w:t xml:space="preserve"> </w:t>
      </w:r>
      <w:r w:rsidRPr="00A26C26">
        <w:rPr>
          <w:rFonts w:eastAsia="Calibri" w:cstheme="minorHAnsi"/>
          <w:kern w:val="0"/>
          <w14:ligatures w14:val="none"/>
        </w:rPr>
        <w:t>możliwości</w:t>
      </w:r>
      <w:r w:rsidR="003B50ED">
        <w:rPr>
          <w:rFonts w:eastAsia="Calibri" w:cstheme="minorHAnsi"/>
          <w:kern w:val="0"/>
          <w14:ligatures w14:val="none"/>
        </w:rPr>
        <w:t xml:space="preserve"> </w:t>
      </w:r>
      <w:r w:rsidRPr="00A26C26">
        <w:rPr>
          <w:rFonts w:eastAsia="Calibri" w:cstheme="minorHAnsi"/>
          <w:kern w:val="0"/>
          <w14:ligatures w14:val="none"/>
        </w:rPr>
        <w:t>pozyskania</w:t>
      </w:r>
      <w:r w:rsidR="003B50ED">
        <w:rPr>
          <w:rFonts w:eastAsia="Calibri" w:cstheme="minorHAnsi"/>
          <w:kern w:val="0"/>
          <w14:ligatures w14:val="none"/>
        </w:rPr>
        <w:t xml:space="preserve"> </w:t>
      </w:r>
      <w:r w:rsidRPr="00A26C26">
        <w:rPr>
          <w:rFonts w:eastAsia="Calibri" w:cstheme="minorHAnsi"/>
          <w:kern w:val="0"/>
          <w14:ligatures w14:val="none"/>
        </w:rPr>
        <w:t>środków</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rozwój</w:t>
      </w:r>
      <w:r w:rsidR="003B50ED">
        <w:rPr>
          <w:rFonts w:eastAsia="Calibri" w:cstheme="minorHAnsi"/>
          <w:kern w:val="0"/>
          <w14:ligatures w14:val="none"/>
        </w:rPr>
        <w:t xml:space="preserve"> </w:t>
      </w:r>
      <w:r w:rsidRPr="00A26C26">
        <w:rPr>
          <w:rFonts w:eastAsia="Calibri" w:cstheme="minorHAnsi"/>
          <w:kern w:val="0"/>
          <w14:ligatures w14:val="none"/>
        </w:rPr>
        <w:t>gospodarki</w:t>
      </w:r>
      <w:r w:rsidR="003B50ED">
        <w:rPr>
          <w:rFonts w:eastAsia="Calibri" w:cstheme="minorHAnsi"/>
          <w:kern w:val="0"/>
          <w14:ligatures w14:val="none"/>
        </w:rPr>
        <w:t xml:space="preserve"> </w:t>
      </w:r>
      <w:r w:rsidRPr="00A26C26">
        <w:rPr>
          <w:rFonts w:eastAsia="Calibri" w:cstheme="minorHAnsi"/>
          <w:kern w:val="0"/>
          <w14:ligatures w14:val="none"/>
        </w:rPr>
        <w:t>turystycznej</w:t>
      </w:r>
      <w:r w:rsidR="003B50ED">
        <w:rPr>
          <w:rFonts w:eastAsia="Calibri" w:cstheme="minorHAnsi"/>
          <w:kern w:val="0"/>
          <w14:ligatures w14:val="none"/>
        </w:rPr>
        <w:t xml:space="preserve"> </w:t>
      </w:r>
      <w:r w:rsidRPr="00A26C26">
        <w:rPr>
          <w:rFonts w:eastAsia="Calibri" w:cstheme="minorHAnsi"/>
          <w:kern w:val="0"/>
          <w14:ligatures w14:val="none"/>
        </w:rPr>
        <w:t>w</w:t>
      </w:r>
      <w:r w:rsidR="003B50ED">
        <w:rPr>
          <w:rFonts w:eastAsia="Calibri" w:cstheme="minorHAnsi"/>
          <w:kern w:val="0"/>
          <w14:ligatures w14:val="none"/>
        </w:rPr>
        <w:t xml:space="preserve"> </w:t>
      </w:r>
      <w:r w:rsidRPr="00A26C26">
        <w:rPr>
          <w:rFonts w:eastAsia="Calibri" w:cstheme="minorHAnsi"/>
          <w:kern w:val="0"/>
          <w14:ligatures w14:val="none"/>
        </w:rPr>
        <w:t>perspektywie</w:t>
      </w:r>
      <w:r w:rsidR="003B50ED">
        <w:rPr>
          <w:rFonts w:eastAsia="Calibri" w:cstheme="minorHAnsi"/>
          <w:kern w:val="0"/>
          <w14:ligatures w14:val="none"/>
        </w:rPr>
        <w:t xml:space="preserve"> </w:t>
      </w:r>
      <w:r w:rsidRPr="00A26C26">
        <w:rPr>
          <w:rFonts w:eastAsia="Calibri" w:cstheme="minorHAnsi"/>
          <w:kern w:val="0"/>
          <w14:ligatures w14:val="none"/>
        </w:rPr>
        <w:t>finansowej</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lata</w:t>
      </w:r>
      <w:r w:rsidR="003B50ED">
        <w:rPr>
          <w:rFonts w:eastAsia="Calibri" w:cstheme="minorHAnsi"/>
          <w:kern w:val="0"/>
          <w14:ligatures w14:val="none"/>
        </w:rPr>
        <w:t xml:space="preserve"> </w:t>
      </w:r>
      <w:r w:rsidRPr="00A26C26">
        <w:rPr>
          <w:rFonts w:eastAsia="Calibri" w:cstheme="minorHAnsi"/>
          <w:kern w:val="0"/>
          <w14:ligatures w14:val="none"/>
        </w:rPr>
        <w:t>2023</w:t>
      </w:r>
      <w:r w:rsidR="003B50ED">
        <w:rPr>
          <w:rFonts w:eastAsia="Calibri" w:cstheme="minorHAnsi"/>
          <w:kern w:val="0"/>
          <w14:ligatures w14:val="none"/>
        </w:rPr>
        <w:t xml:space="preserve"> </w:t>
      </w:r>
      <w:r w:rsidRPr="00A26C26">
        <w:rPr>
          <w:rFonts w:eastAsia="Calibri" w:cstheme="minorHAnsi"/>
          <w:kern w:val="0"/>
          <w14:ligatures w14:val="none"/>
        </w:rPr>
        <w:t>-</w:t>
      </w:r>
      <w:r w:rsidR="003B50ED">
        <w:rPr>
          <w:rFonts w:eastAsia="Calibri" w:cstheme="minorHAnsi"/>
          <w:kern w:val="0"/>
          <w14:ligatures w14:val="none"/>
        </w:rPr>
        <w:t xml:space="preserve"> </w:t>
      </w:r>
      <w:r w:rsidRPr="00A26C26">
        <w:rPr>
          <w:rFonts w:eastAsia="Calibri" w:cstheme="minorHAnsi"/>
          <w:kern w:val="0"/>
          <w14:ligatures w14:val="none"/>
        </w:rPr>
        <w:t>2027</w:t>
      </w:r>
      <w:r w:rsidR="003B50ED">
        <w:rPr>
          <w:rFonts w:eastAsia="Calibri" w:cstheme="minorHAnsi"/>
          <w:kern w:val="0"/>
          <w14:ligatures w14:val="none"/>
        </w:rPr>
        <w:t xml:space="preserve"> </w:t>
      </w:r>
      <w:r w:rsidRPr="00A26C26">
        <w:rPr>
          <w:rFonts w:eastAsia="Calibri" w:cstheme="minorHAnsi"/>
          <w:kern w:val="0"/>
          <w14:ligatures w14:val="none"/>
        </w:rPr>
        <w:t>były</w:t>
      </w:r>
      <w:r w:rsidR="003B50ED">
        <w:rPr>
          <w:rFonts w:eastAsia="Calibri" w:cstheme="minorHAnsi"/>
          <w:kern w:val="0"/>
          <w14:ligatures w14:val="none"/>
        </w:rPr>
        <w:t xml:space="preserve"> </w:t>
      </w:r>
      <w:r w:rsidRPr="00A26C26">
        <w:rPr>
          <w:rFonts w:eastAsia="Calibri" w:cstheme="minorHAnsi"/>
          <w:kern w:val="0"/>
          <w14:ligatures w14:val="none"/>
        </w:rPr>
        <w:t>bardziej</w:t>
      </w:r>
      <w:r w:rsidR="003B50ED">
        <w:rPr>
          <w:rFonts w:eastAsia="Calibri" w:cstheme="minorHAnsi"/>
          <w:kern w:val="0"/>
          <w14:ligatures w14:val="none"/>
        </w:rPr>
        <w:t xml:space="preserve"> </w:t>
      </w:r>
      <w:r w:rsidRPr="00A26C26">
        <w:rPr>
          <w:rFonts w:eastAsia="Calibri" w:cstheme="minorHAnsi"/>
          <w:kern w:val="0"/>
          <w14:ligatures w14:val="none"/>
        </w:rPr>
        <w:t>efektywne.</w:t>
      </w:r>
      <w:r w:rsidR="003B50ED">
        <w:rPr>
          <w:rFonts w:eastAsia="Calibri" w:cstheme="minorHAnsi"/>
          <w:kern w:val="0"/>
          <w14:ligatures w14:val="none"/>
        </w:rPr>
        <w:t xml:space="preserve"> </w:t>
      </w:r>
      <w:r w:rsidRPr="00A26C26">
        <w:rPr>
          <w:rFonts w:eastAsia="Calibri" w:cstheme="minorHAnsi"/>
          <w:kern w:val="0"/>
          <w14:ligatures w14:val="none"/>
        </w:rPr>
        <w:t>Wyróżnia</w:t>
      </w:r>
      <w:r w:rsidR="003B50ED">
        <w:rPr>
          <w:rFonts w:eastAsia="Calibri" w:cstheme="minorHAnsi"/>
          <w:kern w:val="0"/>
          <w14:ligatures w14:val="none"/>
        </w:rPr>
        <w:t xml:space="preserve"> </w:t>
      </w:r>
      <w:r w:rsidRPr="00A26C26">
        <w:rPr>
          <w:rFonts w:eastAsia="Calibri" w:cstheme="minorHAnsi"/>
          <w:kern w:val="0"/>
          <w14:ligatures w14:val="none"/>
        </w:rPr>
        <w:t>się̨</w:t>
      </w:r>
      <w:r w:rsidR="003B50ED">
        <w:rPr>
          <w:rFonts w:eastAsia="Calibri" w:cstheme="minorHAnsi"/>
          <w:kern w:val="0"/>
          <w14:ligatures w14:val="none"/>
        </w:rPr>
        <w:t xml:space="preserve"> </w:t>
      </w:r>
      <w:r w:rsidRPr="00A26C26">
        <w:rPr>
          <w:rFonts w:eastAsia="Calibri" w:cstheme="minorHAnsi"/>
          <w:kern w:val="0"/>
          <w14:ligatures w14:val="none"/>
        </w:rPr>
        <w:t>trzy</w:t>
      </w:r>
      <w:r w:rsidR="003B50ED">
        <w:rPr>
          <w:rFonts w:eastAsia="Calibri" w:cstheme="minorHAnsi"/>
          <w:kern w:val="0"/>
          <w14:ligatures w14:val="none"/>
        </w:rPr>
        <w:t xml:space="preserve"> </w:t>
      </w:r>
      <w:r w:rsidRPr="00A26C26">
        <w:rPr>
          <w:rFonts w:eastAsia="Calibri" w:cstheme="minorHAnsi"/>
          <w:kern w:val="0"/>
          <w14:ligatures w14:val="none"/>
        </w:rPr>
        <w:t>podstawowe</w:t>
      </w:r>
      <w:r w:rsidR="003B50ED">
        <w:rPr>
          <w:rFonts w:eastAsia="Calibri" w:cstheme="minorHAnsi"/>
          <w:kern w:val="0"/>
          <w14:ligatures w14:val="none"/>
        </w:rPr>
        <w:t xml:space="preserve"> </w:t>
      </w:r>
      <w:r w:rsidRPr="00A26C26">
        <w:rPr>
          <w:rFonts w:eastAsia="Calibri" w:cstheme="minorHAnsi"/>
          <w:kern w:val="0"/>
          <w14:ligatures w14:val="none"/>
        </w:rPr>
        <w:t>rodzaje</w:t>
      </w:r>
      <w:r w:rsidR="003B50ED">
        <w:rPr>
          <w:rFonts w:eastAsia="Calibri" w:cstheme="minorHAnsi"/>
          <w:kern w:val="0"/>
          <w14:ligatures w14:val="none"/>
        </w:rPr>
        <w:t xml:space="preserve"> </w:t>
      </w:r>
      <w:r w:rsidRPr="00A26C26">
        <w:rPr>
          <w:rFonts w:eastAsia="Calibri" w:cstheme="minorHAnsi"/>
          <w:kern w:val="0"/>
          <w14:ligatures w14:val="none"/>
        </w:rPr>
        <w:t>agroturystyki:</w:t>
      </w:r>
      <w:r w:rsidR="003B50ED">
        <w:rPr>
          <w:rFonts w:eastAsia="Calibri" w:cstheme="minorHAnsi"/>
          <w:kern w:val="0"/>
          <w14:ligatures w14:val="none"/>
        </w:rPr>
        <w:t xml:space="preserve"> </w:t>
      </w:r>
    </w:p>
    <w:p w14:paraId="654215DE" w14:textId="06848866" w:rsidR="002C63F4" w:rsidRPr="00A26C26" w:rsidRDefault="002C63F4" w:rsidP="00A26C26">
      <w:pPr>
        <w:spacing w:line="276" w:lineRule="auto"/>
        <w:jc w:val="both"/>
        <w:rPr>
          <w:rFonts w:eastAsia="Calibri" w:cstheme="minorHAnsi"/>
          <w:kern w:val="0"/>
          <w14:ligatures w14:val="none"/>
        </w:rPr>
      </w:pPr>
      <w:r w:rsidRPr="00A26C26">
        <w:rPr>
          <w:rFonts w:eastAsia="Calibri" w:cstheme="minorHAnsi"/>
          <w:kern w:val="0"/>
          <w14:ligatures w14:val="none"/>
        </w:rPr>
        <w:t>-</w:t>
      </w:r>
      <w:r w:rsidR="003B50ED">
        <w:rPr>
          <w:rFonts w:eastAsia="Calibri" w:cstheme="minorHAnsi"/>
          <w:kern w:val="0"/>
          <w14:ligatures w14:val="none"/>
        </w:rPr>
        <w:t xml:space="preserve"> </w:t>
      </w:r>
      <w:r w:rsidRPr="00A26C26">
        <w:rPr>
          <w:rFonts w:eastAsia="Calibri" w:cstheme="minorHAnsi"/>
          <w:kern w:val="0"/>
          <w14:ligatures w14:val="none"/>
        </w:rPr>
        <w:t>turystykę̨</w:t>
      </w:r>
      <w:r w:rsidR="003B50ED">
        <w:rPr>
          <w:rFonts w:eastAsia="Calibri" w:cstheme="minorHAnsi"/>
          <w:kern w:val="0"/>
          <w14:ligatures w14:val="none"/>
        </w:rPr>
        <w:t xml:space="preserve"> </w:t>
      </w:r>
      <w:r w:rsidRPr="00A26C26">
        <w:rPr>
          <w:rFonts w:eastAsia="Calibri" w:cstheme="minorHAnsi"/>
          <w:kern w:val="0"/>
          <w14:ligatures w14:val="none"/>
        </w:rPr>
        <w:t>na</w:t>
      </w:r>
      <w:r w:rsidR="003B50ED">
        <w:rPr>
          <w:rFonts w:eastAsia="Calibri" w:cstheme="minorHAnsi"/>
          <w:kern w:val="0"/>
          <w14:ligatures w14:val="none"/>
        </w:rPr>
        <w:t xml:space="preserve"> </w:t>
      </w:r>
      <w:r w:rsidRPr="00A26C26">
        <w:rPr>
          <w:rFonts w:eastAsia="Calibri" w:cstheme="minorHAnsi"/>
          <w:kern w:val="0"/>
          <w14:ligatures w14:val="none"/>
        </w:rPr>
        <w:t>terenach</w:t>
      </w:r>
      <w:r w:rsidR="003B50ED">
        <w:rPr>
          <w:rFonts w:eastAsia="Calibri" w:cstheme="minorHAnsi"/>
          <w:kern w:val="0"/>
          <w14:ligatures w14:val="none"/>
        </w:rPr>
        <w:t xml:space="preserve"> </w:t>
      </w:r>
      <w:r w:rsidRPr="00A26C26">
        <w:rPr>
          <w:rFonts w:eastAsia="Calibri" w:cstheme="minorHAnsi"/>
          <w:kern w:val="0"/>
          <w14:ligatures w14:val="none"/>
        </w:rPr>
        <w:t>wiejskich,</w:t>
      </w:r>
      <w:r w:rsidR="003B50ED">
        <w:rPr>
          <w:rFonts w:eastAsia="Calibri" w:cstheme="minorHAnsi"/>
          <w:kern w:val="0"/>
          <w14:ligatures w14:val="none"/>
        </w:rPr>
        <w:t xml:space="preserve"> </w:t>
      </w:r>
      <w:r w:rsidRPr="00A26C26">
        <w:rPr>
          <w:rFonts w:eastAsia="Calibri" w:cstheme="minorHAnsi"/>
          <w:kern w:val="0"/>
          <w14:ligatures w14:val="none"/>
        </w:rPr>
        <w:t>rozumianą</w:t>
      </w:r>
      <w:r w:rsidR="003B50ED">
        <w:rPr>
          <w:rFonts w:eastAsia="Calibri" w:cstheme="minorHAnsi"/>
          <w:kern w:val="0"/>
          <w14:ligatures w14:val="none"/>
        </w:rPr>
        <w:t xml:space="preserve"> </w:t>
      </w:r>
      <w:r w:rsidRPr="00A26C26">
        <w:rPr>
          <w:rFonts w:eastAsia="Calibri" w:cstheme="minorHAnsi"/>
          <w:kern w:val="0"/>
          <w14:ligatures w14:val="none"/>
        </w:rPr>
        <w:t>jako</w:t>
      </w:r>
      <w:r w:rsidR="003B50ED">
        <w:rPr>
          <w:rFonts w:eastAsia="Calibri" w:cstheme="minorHAnsi"/>
          <w:kern w:val="0"/>
          <w14:ligatures w14:val="none"/>
        </w:rPr>
        <w:t xml:space="preserve"> </w:t>
      </w:r>
      <w:r w:rsidRPr="00A26C26">
        <w:rPr>
          <w:rFonts w:eastAsia="Calibri" w:cstheme="minorHAnsi"/>
          <w:kern w:val="0"/>
          <w14:ligatures w14:val="none"/>
        </w:rPr>
        <w:t>wszelkie</w:t>
      </w:r>
      <w:r w:rsidR="003B50ED">
        <w:rPr>
          <w:rFonts w:eastAsia="Calibri" w:cstheme="minorHAnsi"/>
          <w:kern w:val="0"/>
          <w14:ligatures w14:val="none"/>
        </w:rPr>
        <w:t xml:space="preserve"> </w:t>
      </w:r>
      <w:r w:rsidRPr="00A26C26">
        <w:rPr>
          <w:rFonts w:eastAsia="Calibri" w:cstheme="minorHAnsi"/>
          <w:kern w:val="0"/>
          <w14:ligatures w14:val="none"/>
        </w:rPr>
        <w:t>formy</w:t>
      </w:r>
      <w:r w:rsidR="003B50ED">
        <w:rPr>
          <w:rFonts w:eastAsia="Calibri" w:cstheme="minorHAnsi"/>
          <w:kern w:val="0"/>
          <w14:ligatures w14:val="none"/>
        </w:rPr>
        <w:t xml:space="preserve"> </w:t>
      </w:r>
      <w:r w:rsidRPr="00A26C26">
        <w:rPr>
          <w:rFonts w:eastAsia="Calibri" w:cstheme="minorHAnsi"/>
          <w:kern w:val="0"/>
          <w14:ligatures w14:val="none"/>
        </w:rPr>
        <w:t>rekreacji</w:t>
      </w:r>
      <w:r w:rsidR="003B50ED">
        <w:rPr>
          <w:rFonts w:eastAsia="Calibri" w:cstheme="minorHAnsi"/>
          <w:kern w:val="0"/>
          <w14:ligatures w14:val="none"/>
        </w:rPr>
        <w:t xml:space="preserve"> </w:t>
      </w:r>
      <w:r w:rsidRPr="00A26C26">
        <w:rPr>
          <w:rFonts w:eastAsia="Calibri" w:cstheme="minorHAnsi"/>
          <w:kern w:val="0"/>
          <w14:ligatures w14:val="none"/>
        </w:rPr>
        <w:t>w</w:t>
      </w:r>
      <w:r w:rsidR="003B50ED">
        <w:rPr>
          <w:rFonts w:eastAsia="Calibri" w:cstheme="minorHAnsi"/>
          <w:kern w:val="0"/>
          <w14:ligatures w14:val="none"/>
        </w:rPr>
        <w:t xml:space="preserve"> </w:t>
      </w:r>
      <w:r w:rsidRPr="00A26C26">
        <w:rPr>
          <w:rFonts w:eastAsia="Calibri" w:cstheme="minorHAnsi"/>
          <w:kern w:val="0"/>
          <w14:ligatures w14:val="none"/>
        </w:rPr>
        <w:t>rejonie</w:t>
      </w:r>
      <w:r w:rsidR="003B50ED">
        <w:rPr>
          <w:rFonts w:eastAsia="Calibri" w:cstheme="minorHAnsi"/>
          <w:kern w:val="0"/>
          <w14:ligatures w14:val="none"/>
        </w:rPr>
        <w:t xml:space="preserve"> </w:t>
      </w:r>
      <w:r w:rsidRPr="00A26C26">
        <w:rPr>
          <w:rFonts w:eastAsia="Calibri" w:cstheme="minorHAnsi"/>
          <w:kern w:val="0"/>
          <w14:ligatures w14:val="none"/>
        </w:rPr>
        <w:t>niezurbanizowanym;</w:t>
      </w:r>
      <w:r w:rsidR="003B50ED">
        <w:rPr>
          <w:rFonts w:eastAsia="Calibri" w:cstheme="minorHAnsi"/>
          <w:kern w:val="0"/>
          <w14:ligatures w14:val="none"/>
        </w:rPr>
        <w:t xml:space="preserve"> </w:t>
      </w:r>
    </w:p>
    <w:p w14:paraId="334DDB5D" w14:textId="08834F13" w:rsidR="002C63F4" w:rsidRPr="00A26C26" w:rsidRDefault="002C63F4" w:rsidP="00A26C26">
      <w:pPr>
        <w:spacing w:line="276" w:lineRule="auto"/>
        <w:jc w:val="both"/>
        <w:rPr>
          <w:rFonts w:eastAsia="Calibri" w:cstheme="minorHAnsi"/>
          <w:kern w:val="0"/>
          <w14:ligatures w14:val="none"/>
        </w:rPr>
      </w:pPr>
      <w:r w:rsidRPr="00A26C26">
        <w:rPr>
          <w:rFonts w:eastAsia="Calibri" w:cstheme="minorHAnsi"/>
          <w:kern w:val="0"/>
          <w14:ligatures w14:val="none"/>
        </w:rPr>
        <w:t>-</w:t>
      </w:r>
      <w:r w:rsidR="003B50ED">
        <w:rPr>
          <w:rFonts w:eastAsia="Calibri" w:cstheme="minorHAnsi"/>
          <w:kern w:val="0"/>
          <w14:ligatures w14:val="none"/>
        </w:rPr>
        <w:t xml:space="preserve"> </w:t>
      </w:r>
      <w:r w:rsidRPr="00A26C26">
        <w:rPr>
          <w:rFonts w:eastAsia="Calibri" w:cstheme="minorHAnsi"/>
          <w:kern w:val="0"/>
          <w14:ligatures w14:val="none"/>
        </w:rPr>
        <w:t>turystykę̨</w:t>
      </w:r>
      <w:r w:rsidR="003B50ED">
        <w:rPr>
          <w:rFonts w:eastAsia="Calibri" w:cstheme="minorHAnsi"/>
          <w:kern w:val="0"/>
          <w14:ligatures w14:val="none"/>
        </w:rPr>
        <w:t xml:space="preserve"> </w:t>
      </w:r>
      <w:r w:rsidRPr="00A26C26">
        <w:rPr>
          <w:rFonts w:eastAsia="Calibri" w:cstheme="minorHAnsi"/>
          <w:kern w:val="0"/>
          <w14:ligatures w14:val="none"/>
        </w:rPr>
        <w:t>związaną̨</w:t>
      </w:r>
      <w:r w:rsidR="003B50ED">
        <w:rPr>
          <w:rFonts w:eastAsia="Calibri" w:cstheme="minorHAnsi"/>
          <w:kern w:val="0"/>
          <w14:ligatures w14:val="none"/>
        </w:rPr>
        <w:t xml:space="preserve"> </w:t>
      </w:r>
      <w:r w:rsidRPr="00A26C26">
        <w:rPr>
          <w:rFonts w:eastAsia="Calibri" w:cstheme="minorHAnsi"/>
          <w:kern w:val="0"/>
          <w14:ligatures w14:val="none"/>
        </w:rPr>
        <w:t>z</w:t>
      </w:r>
      <w:r w:rsidR="003B50ED">
        <w:rPr>
          <w:rFonts w:eastAsia="Calibri" w:cstheme="minorHAnsi"/>
          <w:kern w:val="0"/>
          <w14:ligatures w14:val="none"/>
        </w:rPr>
        <w:t xml:space="preserve"> </w:t>
      </w:r>
      <w:r w:rsidRPr="00A26C26">
        <w:rPr>
          <w:rFonts w:eastAsia="Calibri" w:cstheme="minorHAnsi"/>
          <w:kern w:val="0"/>
          <w14:ligatures w14:val="none"/>
        </w:rPr>
        <w:t>rolnictwem,</w:t>
      </w:r>
      <w:r w:rsidR="003B50ED">
        <w:rPr>
          <w:rFonts w:eastAsia="Calibri" w:cstheme="minorHAnsi"/>
          <w:kern w:val="0"/>
          <w14:ligatures w14:val="none"/>
        </w:rPr>
        <w:t xml:space="preserve"> </w:t>
      </w:r>
      <w:r w:rsidRPr="00A26C26">
        <w:rPr>
          <w:rFonts w:eastAsia="Calibri" w:cstheme="minorHAnsi"/>
          <w:kern w:val="0"/>
          <w14:ligatures w14:val="none"/>
        </w:rPr>
        <w:t>gdzie</w:t>
      </w:r>
      <w:r w:rsidR="003B50ED">
        <w:rPr>
          <w:rFonts w:eastAsia="Calibri" w:cstheme="minorHAnsi"/>
          <w:kern w:val="0"/>
          <w14:ligatures w14:val="none"/>
        </w:rPr>
        <w:t xml:space="preserve"> </w:t>
      </w:r>
      <w:r w:rsidRPr="00A26C26">
        <w:rPr>
          <w:rFonts w:eastAsia="Calibri" w:cstheme="minorHAnsi"/>
          <w:kern w:val="0"/>
          <w14:ligatures w14:val="none"/>
        </w:rPr>
        <w:t>poza</w:t>
      </w:r>
      <w:r w:rsidR="003B50ED">
        <w:rPr>
          <w:rFonts w:eastAsia="Calibri" w:cstheme="minorHAnsi"/>
          <w:kern w:val="0"/>
          <w14:ligatures w14:val="none"/>
        </w:rPr>
        <w:t xml:space="preserve"> </w:t>
      </w:r>
      <w:r w:rsidRPr="00A26C26">
        <w:rPr>
          <w:rFonts w:eastAsia="Calibri" w:cstheme="minorHAnsi"/>
          <w:kern w:val="0"/>
          <w14:ligatures w14:val="none"/>
        </w:rPr>
        <w:t>produktem</w:t>
      </w:r>
      <w:r w:rsidR="003B50ED">
        <w:rPr>
          <w:rFonts w:eastAsia="Calibri" w:cstheme="minorHAnsi"/>
          <w:kern w:val="0"/>
          <w14:ligatures w14:val="none"/>
        </w:rPr>
        <w:t xml:space="preserve"> </w:t>
      </w:r>
      <w:r w:rsidRPr="00A26C26">
        <w:rPr>
          <w:rFonts w:eastAsia="Calibri" w:cstheme="minorHAnsi"/>
          <w:kern w:val="0"/>
          <w14:ligatures w14:val="none"/>
        </w:rPr>
        <w:t>turystycznym</w:t>
      </w:r>
      <w:r w:rsidR="003B50ED">
        <w:rPr>
          <w:rFonts w:eastAsia="Calibri" w:cstheme="minorHAnsi"/>
          <w:kern w:val="0"/>
          <w14:ligatures w14:val="none"/>
        </w:rPr>
        <w:t xml:space="preserve"> </w:t>
      </w:r>
      <w:r w:rsidRPr="00A26C26">
        <w:rPr>
          <w:rFonts w:eastAsia="Calibri" w:cstheme="minorHAnsi"/>
          <w:kern w:val="0"/>
          <w14:ligatures w14:val="none"/>
        </w:rPr>
        <w:t>oferuje</w:t>
      </w:r>
      <w:r w:rsidR="003B50ED">
        <w:rPr>
          <w:rFonts w:eastAsia="Calibri" w:cstheme="minorHAnsi"/>
          <w:kern w:val="0"/>
          <w14:ligatures w14:val="none"/>
        </w:rPr>
        <w:t xml:space="preserve"> </w:t>
      </w:r>
      <w:r w:rsidRPr="00A26C26">
        <w:rPr>
          <w:rFonts w:eastAsia="Calibri" w:cstheme="minorHAnsi"/>
          <w:kern w:val="0"/>
          <w14:ligatures w14:val="none"/>
        </w:rPr>
        <w:t>się̨</w:t>
      </w:r>
      <w:r w:rsidR="003B50ED">
        <w:rPr>
          <w:rFonts w:eastAsia="Calibri" w:cstheme="minorHAnsi"/>
          <w:kern w:val="0"/>
          <w14:ligatures w14:val="none"/>
        </w:rPr>
        <w:t xml:space="preserve"> </w:t>
      </w:r>
      <w:r w:rsidRPr="00A26C26">
        <w:rPr>
          <w:rFonts w:eastAsia="Calibri" w:cstheme="minorHAnsi"/>
          <w:kern w:val="0"/>
          <w14:ligatures w14:val="none"/>
        </w:rPr>
        <w:t>możliwości</w:t>
      </w:r>
      <w:r w:rsidR="003B50ED">
        <w:rPr>
          <w:rFonts w:eastAsia="Calibri" w:cstheme="minorHAnsi"/>
          <w:kern w:val="0"/>
          <w14:ligatures w14:val="none"/>
        </w:rPr>
        <w:t xml:space="preserve"> </w:t>
      </w:r>
      <w:r w:rsidRPr="00A26C26">
        <w:rPr>
          <w:rFonts w:eastAsia="Calibri" w:cstheme="minorHAnsi"/>
          <w:kern w:val="0"/>
          <w14:ligatures w14:val="none"/>
        </w:rPr>
        <w:t>poznawania</w:t>
      </w:r>
      <w:r w:rsidR="003B50ED">
        <w:rPr>
          <w:rFonts w:eastAsia="Calibri" w:cstheme="minorHAnsi"/>
          <w:kern w:val="0"/>
          <w14:ligatures w14:val="none"/>
        </w:rPr>
        <w:t xml:space="preserve"> </w:t>
      </w:r>
      <w:r w:rsidRPr="00A26C26">
        <w:rPr>
          <w:rFonts w:eastAsia="Calibri" w:cstheme="minorHAnsi"/>
          <w:kern w:val="0"/>
          <w14:ligatures w14:val="none"/>
        </w:rPr>
        <w:t>specyfiki</w:t>
      </w:r>
      <w:r w:rsidR="003B50ED">
        <w:rPr>
          <w:rFonts w:eastAsia="Calibri" w:cstheme="minorHAnsi"/>
          <w:kern w:val="0"/>
          <w14:ligatures w14:val="none"/>
        </w:rPr>
        <w:t xml:space="preserve"> </w:t>
      </w:r>
      <w:r w:rsidRPr="00A26C26">
        <w:rPr>
          <w:rFonts w:eastAsia="Calibri" w:cstheme="minorHAnsi"/>
          <w:kern w:val="0"/>
          <w14:ligatures w14:val="none"/>
        </w:rPr>
        <w:t>zawodu</w:t>
      </w:r>
      <w:r w:rsidR="003B50ED">
        <w:rPr>
          <w:rFonts w:eastAsia="Calibri" w:cstheme="minorHAnsi"/>
          <w:kern w:val="0"/>
          <w14:ligatures w14:val="none"/>
        </w:rPr>
        <w:t xml:space="preserve"> </w:t>
      </w:r>
      <w:r w:rsidRPr="00A26C26">
        <w:rPr>
          <w:rFonts w:eastAsia="Calibri" w:cstheme="minorHAnsi"/>
          <w:kern w:val="0"/>
          <w14:ligatures w14:val="none"/>
        </w:rPr>
        <w:t>rolnika</w:t>
      </w:r>
      <w:r w:rsidR="003B50ED">
        <w:rPr>
          <w:rFonts w:eastAsia="Calibri" w:cstheme="minorHAnsi"/>
          <w:kern w:val="0"/>
          <w14:ligatures w14:val="none"/>
        </w:rPr>
        <w:t xml:space="preserve"> </w:t>
      </w:r>
      <w:r w:rsidRPr="00A26C26">
        <w:rPr>
          <w:rFonts w:eastAsia="Calibri" w:cstheme="minorHAnsi"/>
          <w:kern w:val="0"/>
          <w14:ligatures w14:val="none"/>
        </w:rPr>
        <w:t>łącznie</w:t>
      </w:r>
      <w:r w:rsidR="003B50ED">
        <w:rPr>
          <w:rFonts w:eastAsia="Calibri" w:cstheme="minorHAnsi"/>
          <w:kern w:val="0"/>
          <w14:ligatures w14:val="none"/>
        </w:rPr>
        <w:t xml:space="preserve"> </w:t>
      </w:r>
      <w:r w:rsidRPr="00A26C26">
        <w:rPr>
          <w:rFonts w:eastAsia="Calibri" w:cstheme="minorHAnsi"/>
          <w:kern w:val="0"/>
          <w14:ligatures w14:val="none"/>
        </w:rPr>
        <w:t>z</w:t>
      </w:r>
      <w:r w:rsidR="003B50ED">
        <w:rPr>
          <w:rFonts w:eastAsia="Calibri" w:cstheme="minorHAnsi"/>
          <w:kern w:val="0"/>
          <w14:ligatures w14:val="none"/>
        </w:rPr>
        <w:t xml:space="preserve"> </w:t>
      </w:r>
      <w:r w:rsidRPr="00A26C26">
        <w:rPr>
          <w:rFonts w:eastAsia="Calibri" w:cstheme="minorHAnsi"/>
          <w:kern w:val="0"/>
          <w14:ligatures w14:val="none"/>
        </w:rPr>
        <w:t>wykonywaniem</w:t>
      </w:r>
      <w:r w:rsidR="003B50ED">
        <w:rPr>
          <w:rFonts w:eastAsia="Calibri" w:cstheme="minorHAnsi"/>
          <w:kern w:val="0"/>
          <w14:ligatures w14:val="none"/>
        </w:rPr>
        <w:t xml:space="preserve"> </w:t>
      </w:r>
      <w:r w:rsidRPr="00A26C26">
        <w:rPr>
          <w:rFonts w:eastAsia="Calibri" w:cstheme="minorHAnsi"/>
          <w:kern w:val="0"/>
          <w14:ligatures w14:val="none"/>
        </w:rPr>
        <w:t>pewnych</w:t>
      </w:r>
      <w:r w:rsidR="003B50ED">
        <w:rPr>
          <w:rFonts w:eastAsia="Calibri" w:cstheme="minorHAnsi"/>
          <w:kern w:val="0"/>
          <w14:ligatures w14:val="none"/>
        </w:rPr>
        <w:t xml:space="preserve"> </w:t>
      </w:r>
      <w:r w:rsidRPr="00A26C26">
        <w:rPr>
          <w:rFonts w:eastAsia="Calibri" w:cstheme="minorHAnsi"/>
          <w:kern w:val="0"/>
          <w14:ligatures w14:val="none"/>
        </w:rPr>
        <w:t>funkcji</w:t>
      </w:r>
      <w:r w:rsidR="003B50ED">
        <w:rPr>
          <w:rFonts w:eastAsia="Calibri" w:cstheme="minorHAnsi"/>
          <w:kern w:val="0"/>
          <w14:ligatures w14:val="none"/>
        </w:rPr>
        <w:t xml:space="preserve"> </w:t>
      </w:r>
      <w:r w:rsidRPr="00A26C26">
        <w:rPr>
          <w:rFonts w:eastAsia="Calibri" w:cstheme="minorHAnsi"/>
          <w:kern w:val="0"/>
          <w14:ligatures w14:val="none"/>
        </w:rPr>
        <w:t>produkcyjnych;</w:t>
      </w:r>
      <w:r w:rsidR="003B50ED">
        <w:rPr>
          <w:rFonts w:eastAsia="Calibri" w:cstheme="minorHAnsi"/>
          <w:kern w:val="0"/>
          <w14:ligatures w14:val="none"/>
        </w:rPr>
        <w:t xml:space="preserve"> </w:t>
      </w:r>
    </w:p>
    <w:p w14:paraId="4CE53FF9" w14:textId="0AC68E8A" w:rsidR="002C63F4" w:rsidRPr="00A26C26" w:rsidRDefault="002C63F4" w:rsidP="00A26C26">
      <w:pPr>
        <w:spacing w:line="276" w:lineRule="auto"/>
        <w:jc w:val="both"/>
        <w:rPr>
          <w:rFonts w:eastAsia="Calibri" w:cstheme="minorHAnsi"/>
          <w:kern w:val="0"/>
          <w14:ligatures w14:val="none"/>
        </w:rPr>
      </w:pPr>
      <w:r w:rsidRPr="00A26C26">
        <w:rPr>
          <w:rFonts w:eastAsia="Calibri" w:cstheme="minorHAnsi"/>
          <w:kern w:val="0"/>
          <w14:ligatures w14:val="none"/>
        </w:rPr>
        <w:t>-</w:t>
      </w:r>
      <w:r w:rsidR="003B50ED">
        <w:rPr>
          <w:rFonts w:eastAsia="Calibri" w:cstheme="minorHAnsi"/>
          <w:kern w:val="0"/>
          <w14:ligatures w14:val="none"/>
        </w:rPr>
        <w:t xml:space="preserve"> </w:t>
      </w:r>
      <w:r w:rsidRPr="00A26C26">
        <w:rPr>
          <w:rFonts w:eastAsia="Calibri" w:cstheme="minorHAnsi"/>
          <w:kern w:val="0"/>
          <w14:ligatures w14:val="none"/>
        </w:rPr>
        <w:t>turystykę̨</w:t>
      </w:r>
      <w:r w:rsidR="003B50ED">
        <w:rPr>
          <w:rFonts w:eastAsia="Calibri" w:cstheme="minorHAnsi"/>
          <w:kern w:val="0"/>
          <w14:ligatures w14:val="none"/>
        </w:rPr>
        <w:t xml:space="preserve"> </w:t>
      </w:r>
      <w:r w:rsidRPr="00A26C26">
        <w:rPr>
          <w:rFonts w:eastAsia="Calibri" w:cstheme="minorHAnsi"/>
          <w:kern w:val="0"/>
          <w14:ligatures w14:val="none"/>
        </w:rPr>
        <w:t>wiejską</w:t>
      </w:r>
      <w:r w:rsidR="003B50ED">
        <w:rPr>
          <w:rFonts w:eastAsia="Calibri" w:cstheme="minorHAnsi"/>
          <w:kern w:val="0"/>
          <w14:ligatures w14:val="none"/>
        </w:rPr>
        <w:t xml:space="preserve"> </w:t>
      </w:r>
      <w:r w:rsidRPr="00A26C26">
        <w:rPr>
          <w:rFonts w:eastAsia="Calibri" w:cstheme="minorHAnsi"/>
          <w:kern w:val="0"/>
          <w14:ligatures w14:val="none"/>
        </w:rPr>
        <w:t>z</w:t>
      </w:r>
      <w:r w:rsidR="003B50ED">
        <w:rPr>
          <w:rFonts w:eastAsia="Calibri" w:cstheme="minorHAnsi"/>
          <w:kern w:val="0"/>
          <w14:ligatures w14:val="none"/>
        </w:rPr>
        <w:t xml:space="preserve"> </w:t>
      </w:r>
      <w:r w:rsidRPr="00A26C26">
        <w:rPr>
          <w:rFonts w:eastAsia="Calibri" w:cstheme="minorHAnsi"/>
          <w:kern w:val="0"/>
          <w14:ligatures w14:val="none"/>
        </w:rPr>
        <w:t>uwzględnieniem</w:t>
      </w:r>
      <w:r w:rsidR="003B50ED">
        <w:rPr>
          <w:rFonts w:eastAsia="Calibri" w:cstheme="minorHAnsi"/>
          <w:kern w:val="0"/>
          <w14:ligatures w14:val="none"/>
        </w:rPr>
        <w:t xml:space="preserve"> </w:t>
      </w:r>
      <w:r w:rsidRPr="00A26C26">
        <w:rPr>
          <w:rFonts w:eastAsia="Calibri" w:cstheme="minorHAnsi"/>
          <w:kern w:val="0"/>
          <w14:ligatures w14:val="none"/>
        </w:rPr>
        <w:t>elementów</w:t>
      </w:r>
      <w:r w:rsidR="003B50ED">
        <w:rPr>
          <w:rFonts w:eastAsia="Calibri" w:cstheme="minorHAnsi"/>
          <w:kern w:val="0"/>
          <w14:ligatures w14:val="none"/>
        </w:rPr>
        <w:t xml:space="preserve"> </w:t>
      </w:r>
      <w:r w:rsidRPr="00A26C26">
        <w:rPr>
          <w:rFonts w:eastAsia="Calibri" w:cstheme="minorHAnsi"/>
          <w:kern w:val="0"/>
          <w14:ligatures w14:val="none"/>
        </w:rPr>
        <w:t>kultury</w:t>
      </w:r>
      <w:r w:rsidR="003B50ED">
        <w:rPr>
          <w:rFonts w:eastAsia="Calibri" w:cstheme="minorHAnsi"/>
          <w:kern w:val="0"/>
          <w14:ligatures w14:val="none"/>
        </w:rPr>
        <w:t xml:space="preserve"> </w:t>
      </w:r>
      <w:r w:rsidRPr="00A26C26">
        <w:rPr>
          <w:rFonts w:eastAsia="Calibri" w:cstheme="minorHAnsi"/>
          <w:kern w:val="0"/>
          <w14:ligatures w14:val="none"/>
        </w:rPr>
        <w:t>lokalnej</w:t>
      </w:r>
      <w:r w:rsidR="003B50ED">
        <w:rPr>
          <w:rFonts w:eastAsia="Calibri" w:cstheme="minorHAnsi"/>
          <w:kern w:val="0"/>
          <w14:ligatures w14:val="none"/>
        </w:rPr>
        <w:t xml:space="preserve"> </w:t>
      </w:r>
      <w:r w:rsidRPr="00A26C26">
        <w:rPr>
          <w:rFonts w:eastAsia="Calibri" w:cstheme="minorHAnsi"/>
          <w:kern w:val="0"/>
          <w14:ligatures w14:val="none"/>
        </w:rPr>
        <w:t>i</w:t>
      </w:r>
      <w:r w:rsidR="003B50ED">
        <w:rPr>
          <w:rFonts w:eastAsia="Calibri" w:cstheme="minorHAnsi"/>
          <w:kern w:val="0"/>
          <w14:ligatures w14:val="none"/>
        </w:rPr>
        <w:t xml:space="preserve"> </w:t>
      </w:r>
      <w:r w:rsidRPr="00A26C26">
        <w:rPr>
          <w:rFonts w:eastAsia="Calibri" w:cstheme="minorHAnsi"/>
          <w:kern w:val="0"/>
          <w14:ligatures w14:val="none"/>
        </w:rPr>
        <w:t>formami</w:t>
      </w:r>
      <w:r w:rsidR="003B50ED">
        <w:rPr>
          <w:rFonts w:eastAsia="Calibri" w:cstheme="minorHAnsi"/>
          <w:kern w:val="0"/>
          <w14:ligatures w14:val="none"/>
        </w:rPr>
        <w:t xml:space="preserve"> </w:t>
      </w:r>
      <w:r w:rsidRPr="00A26C26">
        <w:rPr>
          <w:rFonts w:eastAsia="Calibri" w:cstheme="minorHAnsi"/>
          <w:kern w:val="0"/>
          <w14:ligatures w14:val="none"/>
        </w:rPr>
        <w:t>integracji</w:t>
      </w:r>
      <w:r w:rsidR="003B50ED">
        <w:rPr>
          <w:rFonts w:eastAsia="Calibri" w:cstheme="minorHAnsi"/>
          <w:kern w:val="0"/>
          <w14:ligatures w14:val="none"/>
        </w:rPr>
        <w:t xml:space="preserve"> </w:t>
      </w:r>
      <w:r w:rsidRPr="00A26C26">
        <w:rPr>
          <w:rFonts w:eastAsia="Calibri" w:cstheme="minorHAnsi"/>
          <w:kern w:val="0"/>
          <w14:ligatures w14:val="none"/>
        </w:rPr>
        <w:t>ze</w:t>
      </w:r>
      <w:r w:rsidR="003B50ED">
        <w:rPr>
          <w:rFonts w:eastAsia="Calibri" w:cstheme="minorHAnsi"/>
          <w:kern w:val="0"/>
          <w14:ligatures w14:val="none"/>
        </w:rPr>
        <w:t xml:space="preserve"> </w:t>
      </w:r>
      <w:r w:rsidRPr="00A26C26">
        <w:rPr>
          <w:rFonts w:eastAsia="Calibri" w:cstheme="minorHAnsi"/>
          <w:kern w:val="0"/>
          <w14:ligatures w14:val="none"/>
        </w:rPr>
        <w:t>społecznością̨</w:t>
      </w:r>
      <w:r w:rsidR="003B50ED">
        <w:rPr>
          <w:rFonts w:eastAsia="Calibri" w:cstheme="minorHAnsi"/>
          <w:kern w:val="0"/>
          <w14:ligatures w14:val="none"/>
        </w:rPr>
        <w:t xml:space="preserve"> </w:t>
      </w:r>
      <w:r w:rsidRPr="00A26C26">
        <w:rPr>
          <w:rFonts w:eastAsia="Calibri" w:cstheme="minorHAnsi"/>
          <w:kern w:val="0"/>
          <w14:ligatures w14:val="none"/>
        </w:rPr>
        <w:t>obszarów</w:t>
      </w:r>
      <w:r w:rsidR="003B50ED">
        <w:rPr>
          <w:rFonts w:eastAsia="Calibri" w:cstheme="minorHAnsi"/>
          <w:kern w:val="0"/>
          <w14:ligatures w14:val="none"/>
        </w:rPr>
        <w:t xml:space="preserve"> </w:t>
      </w:r>
      <w:r w:rsidRPr="00A26C26">
        <w:rPr>
          <w:rFonts w:eastAsia="Calibri" w:cstheme="minorHAnsi"/>
          <w:kern w:val="0"/>
          <w14:ligatures w14:val="none"/>
        </w:rPr>
        <w:t>wiejskich.</w:t>
      </w:r>
      <w:r w:rsidR="003B50ED">
        <w:rPr>
          <w:rFonts w:eastAsia="Calibri" w:cstheme="minorHAnsi"/>
          <w:kern w:val="0"/>
          <w14:ligatures w14:val="none"/>
        </w:rPr>
        <w:t xml:space="preserve"> </w:t>
      </w:r>
    </w:p>
    <w:p w14:paraId="11D40E59" w14:textId="1A58B733" w:rsidR="002C63F4" w:rsidRPr="00F16251" w:rsidRDefault="002C63F4" w:rsidP="00A26C26">
      <w:pPr>
        <w:spacing w:line="276" w:lineRule="auto"/>
        <w:jc w:val="both"/>
        <w:rPr>
          <w:rFonts w:eastAsia="Calibri" w:cstheme="minorHAnsi"/>
          <w:kern w:val="0"/>
          <w14:ligatures w14:val="none"/>
        </w:rPr>
      </w:pPr>
      <w:r w:rsidRPr="00A26C26">
        <w:rPr>
          <w:rFonts w:eastAsia="Calibri" w:cstheme="minorHAnsi"/>
          <w:kern w:val="0"/>
          <w14:ligatures w14:val="none"/>
        </w:rPr>
        <w:t>Przedsięwzięcie</w:t>
      </w:r>
      <w:r w:rsidR="003B50ED">
        <w:rPr>
          <w:rFonts w:eastAsia="Calibri" w:cstheme="minorHAnsi"/>
          <w:kern w:val="0"/>
          <w14:ligatures w14:val="none"/>
        </w:rPr>
        <w:t xml:space="preserve"> </w:t>
      </w:r>
      <w:r w:rsidRPr="00A26C26">
        <w:rPr>
          <w:rFonts w:eastAsia="Calibri" w:cstheme="minorHAnsi"/>
          <w:kern w:val="0"/>
          <w14:ligatures w14:val="none"/>
        </w:rPr>
        <w:t>realizowane</w:t>
      </w:r>
      <w:r w:rsidR="003B50ED">
        <w:rPr>
          <w:rFonts w:eastAsia="Calibri" w:cstheme="minorHAnsi"/>
          <w:kern w:val="0"/>
          <w14:ligatures w14:val="none"/>
        </w:rPr>
        <w:t xml:space="preserve"> </w:t>
      </w:r>
      <w:r w:rsidRPr="00A26C26">
        <w:rPr>
          <w:rFonts w:eastAsia="Calibri" w:cstheme="minorHAnsi"/>
          <w:kern w:val="0"/>
          <w14:ligatures w14:val="none"/>
        </w:rPr>
        <w:t>będzie</w:t>
      </w:r>
      <w:r w:rsidR="003B50ED">
        <w:rPr>
          <w:rFonts w:eastAsia="Calibri" w:cstheme="minorHAnsi"/>
          <w:kern w:val="0"/>
          <w14:ligatures w14:val="none"/>
        </w:rPr>
        <w:t xml:space="preserve"> </w:t>
      </w:r>
      <w:r w:rsidRPr="00A26C26">
        <w:rPr>
          <w:rFonts w:eastAsia="Calibri" w:cstheme="minorHAnsi"/>
          <w:kern w:val="0"/>
          <w14:ligatures w14:val="none"/>
        </w:rPr>
        <w:t>w</w:t>
      </w:r>
      <w:r w:rsidR="003B50ED">
        <w:rPr>
          <w:rFonts w:eastAsia="Calibri" w:cstheme="minorHAnsi"/>
          <w:kern w:val="0"/>
          <w14:ligatures w14:val="none"/>
        </w:rPr>
        <w:t xml:space="preserve"> </w:t>
      </w:r>
      <w:r w:rsidRPr="00A26C26">
        <w:rPr>
          <w:rFonts w:eastAsia="Calibri" w:cstheme="minorHAnsi"/>
          <w:kern w:val="0"/>
          <w14:ligatures w14:val="none"/>
        </w:rPr>
        <w:t>formie</w:t>
      </w:r>
      <w:r w:rsidR="003B50ED">
        <w:rPr>
          <w:rFonts w:eastAsia="Calibri" w:cstheme="minorHAnsi"/>
          <w:kern w:val="0"/>
          <w14:ligatures w14:val="none"/>
        </w:rPr>
        <w:t xml:space="preserve"> </w:t>
      </w:r>
      <w:r w:rsidRPr="00A26C26">
        <w:rPr>
          <w:rFonts w:eastAsia="Calibri" w:cstheme="minorHAnsi"/>
          <w:kern w:val="0"/>
          <w14:ligatures w14:val="none"/>
        </w:rPr>
        <w:t>konkursów.</w:t>
      </w:r>
      <w:r w:rsidR="003B50ED">
        <w:rPr>
          <w:rFonts w:eastAsia="Calibri" w:cstheme="minorHAnsi"/>
          <w:kern w:val="0"/>
          <w14:ligatures w14:val="none"/>
        </w:rPr>
        <w:t xml:space="preserve"> </w:t>
      </w:r>
      <w:r w:rsidRPr="00A26C26">
        <w:rPr>
          <w:rFonts w:eastAsia="Calibri" w:cstheme="minorHAnsi"/>
          <w:kern w:val="0"/>
          <w14:ligatures w14:val="none"/>
        </w:rPr>
        <w:t>Będą</w:t>
      </w:r>
      <w:r w:rsidR="003B50ED">
        <w:rPr>
          <w:rFonts w:eastAsia="Calibri" w:cstheme="minorHAnsi"/>
          <w:kern w:val="0"/>
          <w14:ligatures w14:val="none"/>
        </w:rPr>
        <w:t xml:space="preserve"> </w:t>
      </w:r>
      <w:r w:rsidRPr="00A26C26">
        <w:rPr>
          <w:rFonts w:eastAsia="Calibri" w:cstheme="minorHAnsi"/>
          <w:kern w:val="0"/>
          <w14:ligatures w14:val="none"/>
        </w:rPr>
        <w:t>to</w:t>
      </w:r>
      <w:r w:rsidR="003B50ED">
        <w:rPr>
          <w:rFonts w:eastAsia="Calibri" w:cstheme="minorHAnsi"/>
          <w:kern w:val="0"/>
          <w14:ligatures w14:val="none"/>
        </w:rPr>
        <w:t xml:space="preserve"> </w:t>
      </w:r>
      <w:r w:rsidRPr="00A26C26">
        <w:rPr>
          <w:rFonts w:eastAsia="Calibri" w:cstheme="minorHAnsi"/>
          <w:kern w:val="0"/>
          <w14:ligatures w14:val="none"/>
        </w:rPr>
        <w:t>operacje</w:t>
      </w:r>
      <w:r w:rsidR="003B50ED">
        <w:rPr>
          <w:rFonts w:eastAsia="Calibri" w:cstheme="minorHAnsi"/>
          <w:kern w:val="0"/>
          <w14:ligatures w14:val="none"/>
        </w:rPr>
        <w:t xml:space="preserve"> </w:t>
      </w:r>
      <w:r w:rsidRPr="00A26C26">
        <w:rPr>
          <w:rFonts w:eastAsia="Calibri" w:cstheme="minorHAnsi"/>
          <w:kern w:val="0"/>
          <w14:ligatures w14:val="none"/>
        </w:rPr>
        <w:t>produkcyjne.</w:t>
      </w:r>
      <w:r w:rsidR="003B50ED">
        <w:rPr>
          <w:rFonts w:eastAsia="Calibri" w:cstheme="minorHAnsi"/>
          <w:kern w:val="0"/>
          <w14:ligatures w14:val="none"/>
        </w:rPr>
        <w:t xml:space="preserve"> </w:t>
      </w:r>
      <w:r w:rsidRPr="00A26C26">
        <w:rPr>
          <w:rFonts w:eastAsia="Calibri" w:cstheme="minorHAnsi"/>
          <w:kern w:val="0"/>
          <w14:ligatures w14:val="none"/>
        </w:rPr>
        <w:t>Źródłem</w:t>
      </w:r>
      <w:r w:rsidR="003B50ED">
        <w:rPr>
          <w:rFonts w:eastAsia="Calibri" w:cstheme="minorHAnsi"/>
          <w:kern w:val="0"/>
          <w14:ligatures w14:val="none"/>
        </w:rPr>
        <w:t xml:space="preserve"> </w:t>
      </w:r>
      <w:r w:rsidRPr="00A26C26">
        <w:rPr>
          <w:rFonts w:eastAsia="Calibri" w:cstheme="minorHAnsi"/>
          <w:kern w:val="0"/>
          <w14:ligatures w14:val="none"/>
        </w:rPr>
        <w:t>finansowania</w:t>
      </w:r>
      <w:r w:rsidR="003B50ED">
        <w:rPr>
          <w:rFonts w:eastAsia="Calibri" w:cstheme="minorHAnsi"/>
          <w:kern w:val="0"/>
          <w14:ligatures w14:val="none"/>
        </w:rPr>
        <w:t xml:space="preserve"> </w:t>
      </w:r>
      <w:r w:rsidRPr="00F16251">
        <w:rPr>
          <w:rFonts w:eastAsia="Calibri" w:cstheme="minorHAnsi"/>
          <w:kern w:val="0"/>
          <w14:ligatures w14:val="none"/>
        </w:rPr>
        <w:t>będzie</w:t>
      </w:r>
      <w:r w:rsidR="003B50ED" w:rsidRPr="00F16251">
        <w:rPr>
          <w:rFonts w:eastAsia="Calibri" w:cstheme="minorHAnsi"/>
          <w:kern w:val="0"/>
          <w14:ligatures w14:val="none"/>
        </w:rPr>
        <w:t xml:space="preserve"> </w:t>
      </w:r>
      <w:r w:rsidRPr="00F16251">
        <w:rPr>
          <w:rFonts w:eastAsia="Calibri" w:cstheme="minorHAnsi"/>
          <w:kern w:val="0"/>
          <w14:ligatures w14:val="none"/>
        </w:rPr>
        <w:t>EFRROW.</w:t>
      </w:r>
      <w:r w:rsidR="003B50ED" w:rsidRPr="00F16251">
        <w:rPr>
          <w:rFonts w:eastAsia="Calibri" w:cstheme="minorHAnsi"/>
          <w:kern w:val="0"/>
          <w14:ligatures w14:val="none"/>
        </w:rPr>
        <w:t xml:space="preserve"> </w:t>
      </w:r>
      <w:r w:rsidRPr="00F16251">
        <w:rPr>
          <w:rFonts w:eastAsia="Calibri" w:cstheme="minorHAnsi"/>
          <w:kern w:val="0"/>
          <w14:ligatures w14:val="none"/>
        </w:rPr>
        <w:t>Wnioskodawcy:</w:t>
      </w:r>
      <w:r w:rsidR="003B50ED" w:rsidRPr="00F16251">
        <w:rPr>
          <w:rFonts w:eastAsia="Calibri" w:cstheme="minorHAnsi"/>
          <w:kern w:val="0"/>
          <w14:ligatures w14:val="none"/>
        </w:rPr>
        <w:t xml:space="preserve"> </w:t>
      </w:r>
      <w:r w:rsidRPr="00F16251">
        <w:rPr>
          <w:rFonts w:eastAsia="Calibri" w:cstheme="minorHAnsi"/>
          <w:kern w:val="0"/>
          <w14:ligatures w14:val="none"/>
        </w:rPr>
        <w:t>osoby</w:t>
      </w:r>
      <w:r w:rsidR="003B50ED" w:rsidRPr="00F16251">
        <w:rPr>
          <w:rFonts w:eastAsia="Calibri" w:cstheme="minorHAnsi"/>
          <w:kern w:val="0"/>
          <w14:ligatures w14:val="none"/>
        </w:rPr>
        <w:t xml:space="preserve"> </w:t>
      </w:r>
      <w:r w:rsidRPr="00F16251">
        <w:rPr>
          <w:rFonts w:eastAsia="Calibri" w:cstheme="minorHAnsi"/>
          <w:kern w:val="0"/>
          <w14:ligatures w14:val="none"/>
        </w:rPr>
        <w:t>fizyczne(w</w:t>
      </w:r>
      <w:r w:rsidR="003B50ED" w:rsidRPr="00F16251">
        <w:rPr>
          <w:rFonts w:eastAsia="Calibri" w:cstheme="minorHAnsi"/>
          <w:kern w:val="0"/>
          <w14:ligatures w14:val="none"/>
        </w:rPr>
        <w:t xml:space="preserve"> </w:t>
      </w:r>
      <w:r w:rsidRPr="00F16251">
        <w:rPr>
          <w:rFonts w:eastAsia="Calibri" w:cstheme="minorHAnsi"/>
          <w:kern w:val="0"/>
          <w14:ligatures w14:val="none"/>
        </w:rPr>
        <w:t>tym</w:t>
      </w:r>
      <w:r w:rsidR="003B50ED" w:rsidRPr="00F16251">
        <w:rPr>
          <w:rFonts w:eastAsia="Calibri" w:cstheme="minorHAnsi"/>
          <w:kern w:val="0"/>
          <w14:ligatures w14:val="none"/>
        </w:rPr>
        <w:t xml:space="preserve"> </w:t>
      </w:r>
      <w:r w:rsidRPr="00F16251">
        <w:rPr>
          <w:rFonts w:eastAsia="Calibri" w:cstheme="minorHAnsi"/>
          <w:kern w:val="0"/>
          <w14:ligatures w14:val="none"/>
        </w:rPr>
        <w:t>rolnicy),</w:t>
      </w:r>
      <w:r w:rsidR="003B50ED" w:rsidRPr="00F16251">
        <w:rPr>
          <w:rFonts w:eastAsia="Calibri" w:cstheme="minorHAnsi"/>
          <w:kern w:val="0"/>
          <w14:ligatures w14:val="none"/>
        </w:rPr>
        <w:t xml:space="preserve"> </w:t>
      </w:r>
      <w:r w:rsidRPr="00F16251">
        <w:rPr>
          <w:rFonts w:eastAsia="Calibri" w:cstheme="minorHAnsi"/>
          <w:kern w:val="0"/>
          <w14:ligatures w14:val="none"/>
        </w:rPr>
        <w:t>mikroprzedsiębiorstwa,</w:t>
      </w:r>
      <w:r w:rsidR="003B50ED" w:rsidRPr="00F16251">
        <w:rPr>
          <w:rFonts w:eastAsia="Calibri" w:cstheme="minorHAnsi"/>
          <w:kern w:val="0"/>
          <w14:ligatures w14:val="none"/>
        </w:rPr>
        <w:t xml:space="preserve"> </w:t>
      </w:r>
      <w:r w:rsidRPr="00F16251">
        <w:rPr>
          <w:rFonts w:eastAsia="Calibri" w:cstheme="minorHAnsi"/>
          <w:kern w:val="0"/>
          <w14:ligatures w14:val="none"/>
        </w:rPr>
        <w:t>małe</w:t>
      </w:r>
      <w:r w:rsidR="003B50ED" w:rsidRPr="00F16251">
        <w:rPr>
          <w:rFonts w:eastAsia="Calibri" w:cstheme="minorHAnsi"/>
          <w:kern w:val="0"/>
          <w14:ligatures w14:val="none"/>
        </w:rPr>
        <w:t xml:space="preserve"> </w:t>
      </w:r>
      <w:r w:rsidRPr="00F16251">
        <w:rPr>
          <w:rFonts w:eastAsia="Calibri" w:cstheme="minorHAnsi"/>
          <w:kern w:val="0"/>
          <w14:ligatures w14:val="none"/>
        </w:rPr>
        <w:t>przedsiębiorstwa.</w:t>
      </w:r>
      <w:r w:rsidR="003B50ED" w:rsidRPr="00F16251">
        <w:rPr>
          <w:rFonts w:eastAsia="Calibri" w:cstheme="minorHAnsi"/>
          <w:kern w:val="0"/>
          <w14:ligatures w14:val="none"/>
        </w:rPr>
        <w:t xml:space="preserve"> </w:t>
      </w:r>
      <w:r w:rsidRPr="00F16251">
        <w:rPr>
          <w:rFonts w:eastAsia="Calibri" w:cstheme="minorHAnsi"/>
          <w:kern w:val="0"/>
          <w14:ligatures w14:val="none"/>
        </w:rPr>
        <w:t>Grupy</w:t>
      </w:r>
      <w:r w:rsidR="003B50ED" w:rsidRPr="00F16251">
        <w:rPr>
          <w:rFonts w:eastAsia="Calibri" w:cstheme="minorHAnsi"/>
          <w:kern w:val="0"/>
          <w14:ligatures w14:val="none"/>
        </w:rPr>
        <w:t xml:space="preserve"> </w:t>
      </w:r>
      <w:r w:rsidRPr="00F16251">
        <w:rPr>
          <w:rFonts w:eastAsia="Calibri" w:cstheme="minorHAnsi"/>
          <w:kern w:val="0"/>
          <w14:ligatures w14:val="none"/>
        </w:rPr>
        <w:t>docelowe:</w:t>
      </w:r>
      <w:r w:rsidR="003B50ED" w:rsidRPr="00F16251">
        <w:rPr>
          <w:rFonts w:eastAsia="Calibri" w:cstheme="minorHAnsi"/>
          <w:kern w:val="0"/>
          <w14:ligatures w14:val="none"/>
        </w:rPr>
        <w:t xml:space="preserve"> </w:t>
      </w:r>
      <w:r w:rsidRPr="00F16251">
        <w:rPr>
          <w:rFonts w:eastAsia="Calibri" w:cstheme="minorHAnsi"/>
          <w:kern w:val="0"/>
          <w14:ligatures w14:val="none"/>
        </w:rPr>
        <w:t>mieszkańcy,</w:t>
      </w:r>
      <w:r w:rsidR="003B50ED" w:rsidRPr="00F16251">
        <w:rPr>
          <w:rFonts w:eastAsia="Calibri" w:cstheme="minorHAnsi"/>
          <w:kern w:val="0"/>
          <w14:ligatures w14:val="none"/>
        </w:rPr>
        <w:t xml:space="preserve"> </w:t>
      </w:r>
      <w:r w:rsidRPr="00F16251">
        <w:rPr>
          <w:rFonts w:eastAsia="Calibri" w:cstheme="minorHAnsi"/>
          <w:kern w:val="0"/>
          <w14:ligatures w14:val="none"/>
        </w:rPr>
        <w:t>turyści.</w:t>
      </w:r>
    </w:p>
    <w:p w14:paraId="0F372C79" w14:textId="6809FB56" w:rsidR="002C63F4" w:rsidRPr="00F16251" w:rsidRDefault="002C63F4" w:rsidP="00A26C26">
      <w:pPr>
        <w:spacing w:line="276" w:lineRule="auto"/>
        <w:jc w:val="both"/>
        <w:rPr>
          <w:rFonts w:eastAsia="Calibri" w:cstheme="minorHAnsi"/>
          <w:b/>
          <w:bCs/>
          <w:kern w:val="0"/>
          <w14:ligatures w14:val="none"/>
        </w:rPr>
      </w:pPr>
      <w:r w:rsidRPr="00F16251">
        <w:rPr>
          <w:rFonts w:eastAsia="Calibri" w:cstheme="minorHAnsi"/>
          <w:b/>
          <w:bCs/>
          <w:kern w:val="0"/>
          <w14:ligatures w14:val="none"/>
        </w:rPr>
        <w:t>Wskaźnik</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PRODUKTU:</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Liczba</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operacji</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polegających</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na</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utworzeniu</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przedsiębiorstwa</w:t>
      </w:r>
    </w:p>
    <w:p w14:paraId="52B1E404" w14:textId="0B991113" w:rsidR="002C63F4" w:rsidRPr="00F16251" w:rsidRDefault="002C63F4" w:rsidP="00A26C26">
      <w:pPr>
        <w:spacing w:line="276" w:lineRule="auto"/>
        <w:jc w:val="both"/>
        <w:rPr>
          <w:rFonts w:eastAsia="Calibri" w:cstheme="minorHAnsi"/>
          <w:b/>
          <w:bCs/>
          <w:kern w:val="0"/>
          <w14:ligatures w14:val="none"/>
        </w:rPr>
      </w:pPr>
      <w:r w:rsidRPr="00F16251">
        <w:rPr>
          <w:rFonts w:eastAsia="Calibri" w:cstheme="minorHAnsi"/>
          <w:b/>
          <w:bCs/>
          <w:kern w:val="0"/>
          <w14:ligatures w14:val="none"/>
        </w:rPr>
        <w:t>Wskaźnik</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PRODUKTU:</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Liczba</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operacji</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polegających</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na</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rozwoju</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przedsiębiorstwa</w:t>
      </w:r>
    </w:p>
    <w:p w14:paraId="0D8540ED" w14:textId="5F4BD183" w:rsidR="002C63F4" w:rsidRPr="00F16251" w:rsidRDefault="002C63F4" w:rsidP="00A26C26">
      <w:pPr>
        <w:spacing w:line="276" w:lineRule="auto"/>
        <w:jc w:val="both"/>
        <w:rPr>
          <w:rFonts w:eastAsia="Calibri" w:cstheme="minorHAnsi"/>
          <w:b/>
          <w:bCs/>
          <w:kern w:val="0"/>
          <w14:ligatures w14:val="none"/>
        </w:rPr>
      </w:pPr>
      <w:r w:rsidRPr="00F16251">
        <w:rPr>
          <w:rFonts w:eastAsia="Calibri" w:cstheme="minorHAnsi"/>
          <w:b/>
          <w:bCs/>
          <w:kern w:val="0"/>
          <w14:ligatures w14:val="none"/>
        </w:rPr>
        <w:t>Wskaźnik</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PRODUKTU:</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Liczba</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operacji</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polegających</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na</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utworzeniu</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gospodarstw</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agroturystycznych</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i</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zagród</w:t>
      </w:r>
      <w:r w:rsidR="003B50ED" w:rsidRPr="00F16251">
        <w:rPr>
          <w:rFonts w:eastAsia="Calibri" w:cstheme="minorHAnsi"/>
          <w:b/>
          <w:bCs/>
          <w:kern w:val="0"/>
          <w14:ligatures w14:val="none"/>
        </w:rPr>
        <w:t xml:space="preserve"> </w:t>
      </w:r>
      <w:r w:rsidRPr="00F16251">
        <w:rPr>
          <w:rFonts w:eastAsia="Calibri" w:cstheme="minorHAnsi"/>
          <w:b/>
          <w:bCs/>
          <w:kern w:val="0"/>
          <w14:ligatures w14:val="none"/>
        </w:rPr>
        <w:t>edukacyjnych</w:t>
      </w:r>
    </w:p>
    <w:p w14:paraId="4C1884E9" w14:textId="349A052A" w:rsidR="002C63F4" w:rsidRPr="00137086" w:rsidRDefault="002C63F4" w:rsidP="00A26C26">
      <w:pPr>
        <w:spacing w:line="276" w:lineRule="auto"/>
        <w:jc w:val="both"/>
        <w:rPr>
          <w:rFonts w:eastAsia="Calibri" w:cstheme="minorHAnsi"/>
          <w:b/>
          <w:bCs/>
          <w:strike/>
          <w:color w:val="FF0000"/>
          <w:kern w:val="0"/>
          <w14:ligatures w14:val="none"/>
        </w:rPr>
      </w:pPr>
      <w:r w:rsidRPr="00137086">
        <w:rPr>
          <w:rFonts w:eastAsia="Calibri" w:cstheme="minorHAnsi"/>
          <w:b/>
          <w:bCs/>
          <w:strike/>
          <w:color w:val="FF0000"/>
          <w:kern w:val="0"/>
          <w14:ligatures w14:val="none"/>
        </w:rPr>
        <w:t>Wskaźnik</w:t>
      </w:r>
      <w:r w:rsidR="003B50ED" w:rsidRPr="00137086">
        <w:rPr>
          <w:rFonts w:eastAsia="Calibri" w:cstheme="minorHAnsi"/>
          <w:b/>
          <w:bCs/>
          <w:strike/>
          <w:color w:val="FF0000"/>
          <w:kern w:val="0"/>
          <w14:ligatures w14:val="none"/>
        </w:rPr>
        <w:t xml:space="preserve"> </w:t>
      </w:r>
      <w:r w:rsidRPr="00137086">
        <w:rPr>
          <w:rFonts w:eastAsia="Calibri" w:cstheme="minorHAnsi"/>
          <w:b/>
          <w:bCs/>
          <w:strike/>
          <w:color w:val="FF0000"/>
          <w:kern w:val="0"/>
          <w14:ligatures w14:val="none"/>
        </w:rPr>
        <w:t>PRODUKTU:</w:t>
      </w:r>
      <w:r w:rsidR="003B50ED" w:rsidRPr="00137086">
        <w:rPr>
          <w:rFonts w:eastAsia="Calibri" w:cstheme="minorHAnsi"/>
          <w:b/>
          <w:bCs/>
          <w:strike/>
          <w:color w:val="FF0000"/>
          <w:kern w:val="0"/>
          <w14:ligatures w14:val="none"/>
        </w:rPr>
        <w:t xml:space="preserve"> </w:t>
      </w:r>
      <w:r w:rsidRPr="00137086">
        <w:rPr>
          <w:rFonts w:eastAsia="Calibri" w:cstheme="minorHAnsi"/>
          <w:b/>
          <w:bCs/>
          <w:strike/>
          <w:color w:val="FF0000"/>
          <w:kern w:val="0"/>
          <w14:ligatures w14:val="none"/>
        </w:rPr>
        <w:t>Liczba</w:t>
      </w:r>
      <w:r w:rsidR="003B50ED" w:rsidRPr="00137086">
        <w:rPr>
          <w:rFonts w:eastAsia="Calibri" w:cstheme="minorHAnsi"/>
          <w:b/>
          <w:bCs/>
          <w:strike/>
          <w:color w:val="FF0000"/>
          <w:kern w:val="0"/>
          <w14:ligatures w14:val="none"/>
        </w:rPr>
        <w:t xml:space="preserve"> </w:t>
      </w:r>
      <w:r w:rsidRPr="00137086">
        <w:rPr>
          <w:rFonts w:eastAsia="Calibri" w:cstheme="minorHAnsi"/>
          <w:b/>
          <w:bCs/>
          <w:strike/>
          <w:color w:val="FF0000"/>
          <w:kern w:val="0"/>
          <w14:ligatures w14:val="none"/>
        </w:rPr>
        <w:t>operacji</w:t>
      </w:r>
      <w:r w:rsidR="003B50ED" w:rsidRPr="00137086">
        <w:rPr>
          <w:rFonts w:eastAsia="Calibri" w:cstheme="minorHAnsi"/>
          <w:b/>
          <w:bCs/>
          <w:strike/>
          <w:color w:val="FF0000"/>
          <w:kern w:val="0"/>
          <w14:ligatures w14:val="none"/>
        </w:rPr>
        <w:t xml:space="preserve"> </w:t>
      </w:r>
      <w:r w:rsidRPr="00137086">
        <w:rPr>
          <w:rFonts w:eastAsia="Calibri" w:cstheme="minorHAnsi"/>
          <w:b/>
          <w:bCs/>
          <w:strike/>
          <w:color w:val="FF0000"/>
          <w:kern w:val="0"/>
          <w14:ligatures w14:val="none"/>
        </w:rPr>
        <w:t>polegających</w:t>
      </w:r>
      <w:r w:rsidR="003B50ED" w:rsidRPr="00137086">
        <w:rPr>
          <w:rFonts w:eastAsia="Calibri" w:cstheme="minorHAnsi"/>
          <w:b/>
          <w:bCs/>
          <w:strike/>
          <w:color w:val="FF0000"/>
          <w:kern w:val="0"/>
          <w14:ligatures w14:val="none"/>
        </w:rPr>
        <w:t xml:space="preserve"> </w:t>
      </w:r>
      <w:r w:rsidRPr="00137086">
        <w:rPr>
          <w:rFonts w:eastAsia="Calibri" w:cstheme="minorHAnsi"/>
          <w:b/>
          <w:bCs/>
          <w:strike/>
          <w:color w:val="FF0000"/>
          <w:kern w:val="0"/>
          <w14:ligatures w14:val="none"/>
        </w:rPr>
        <w:t>na</w:t>
      </w:r>
      <w:r w:rsidR="003B50ED" w:rsidRPr="00137086">
        <w:rPr>
          <w:rFonts w:eastAsia="Calibri" w:cstheme="minorHAnsi"/>
          <w:b/>
          <w:bCs/>
          <w:strike/>
          <w:color w:val="FF0000"/>
          <w:kern w:val="0"/>
          <w14:ligatures w14:val="none"/>
        </w:rPr>
        <w:t xml:space="preserve"> </w:t>
      </w:r>
      <w:r w:rsidRPr="00137086">
        <w:rPr>
          <w:rFonts w:eastAsia="Calibri" w:cstheme="minorHAnsi"/>
          <w:b/>
          <w:bCs/>
          <w:strike/>
          <w:color w:val="FF0000"/>
          <w:kern w:val="0"/>
          <w14:ligatures w14:val="none"/>
        </w:rPr>
        <w:t>rozwoju</w:t>
      </w:r>
      <w:r w:rsidR="003B50ED" w:rsidRPr="00137086">
        <w:rPr>
          <w:rFonts w:eastAsia="Calibri" w:cstheme="minorHAnsi"/>
          <w:b/>
          <w:bCs/>
          <w:strike/>
          <w:color w:val="FF0000"/>
          <w:kern w:val="0"/>
          <w14:ligatures w14:val="none"/>
        </w:rPr>
        <w:t xml:space="preserve"> </w:t>
      </w:r>
      <w:r w:rsidRPr="00137086">
        <w:rPr>
          <w:rFonts w:eastAsia="Calibri" w:cstheme="minorHAnsi"/>
          <w:b/>
          <w:bCs/>
          <w:strike/>
          <w:color w:val="FF0000"/>
          <w:kern w:val="0"/>
          <w14:ligatures w14:val="none"/>
        </w:rPr>
        <w:t>gospodarstw</w:t>
      </w:r>
      <w:r w:rsidR="003B50ED" w:rsidRPr="00137086">
        <w:rPr>
          <w:rFonts w:eastAsia="Calibri" w:cstheme="minorHAnsi"/>
          <w:b/>
          <w:bCs/>
          <w:strike/>
          <w:color w:val="FF0000"/>
          <w:kern w:val="0"/>
          <w14:ligatures w14:val="none"/>
        </w:rPr>
        <w:t xml:space="preserve"> </w:t>
      </w:r>
      <w:r w:rsidRPr="00137086">
        <w:rPr>
          <w:rFonts w:eastAsia="Calibri" w:cstheme="minorHAnsi"/>
          <w:b/>
          <w:bCs/>
          <w:strike/>
          <w:color w:val="FF0000"/>
          <w:kern w:val="0"/>
          <w14:ligatures w14:val="none"/>
        </w:rPr>
        <w:t>agroturystycznych</w:t>
      </w:r>
      <w:r w:rsidR="003B50ED" w:rsidRPr="00137086">
        <w:rPr>
          <w:rFonts w:eastAsia="Calibri" w:cstheme="minorHAnsi"/>
          <w:b/>
          <w:bCs/>
          <w:strike/>
          <w:color w:val="FF0000"/>
          <w:kern w:val="0"/>
          <w14:ligatures w14:val="none"/>
        </w:rPr>
        <w:t xml:space="preserve"> </w:t>
      </w:r>
    </w:p>
    <w:p w14:paraId="37D72171" w14:textId="6D09AC7F" w:rsidR="002C63F4" w:rsidRPr="00F16251" w:rsidRDefault="002C63F4" w:rsidP="00A26C26">
      <w:pPr>
        <w:spacing w:line="276" w:lineRule="auto"/>
        <w:rPr>
          <w:rFonts w:eastAsia="Calibri" w:cstheme="minorHAnsi"/>
          <w:b/>
          <w:bCs/>
          <w:kern w:val="0"/>
          <w14:ligatures w14:val="none"/>
        </w:rPr>
      </w:pPr>
    </w:p>
    <w:p w14:paraId="66612D68" w14:textId="77777777" w:rsidR="00BD17DA" w:rsidRDefault="00BD17DA">
      <w:pPr>
        <w:rPr>
          <w:rFonts w:eastAsiaTheme="majorEastAsia" w:cstheme="minorHAnsi"/>
          <w:b/>
          <w:bCs/>
        </w:rPr>
      </w:pPr>
      <w:r>
        <w:rPr>
          <w:rFonts w:cstheme="minorHAnsi"/>
          <w:b/>
          <w:bCs/>
        </w:rPr>
        <w:br w:type="page"/>
      </w:r>
    </w:p>
    <w:p w14:paraId="7B747F61" w14:textId="506C50B6" w:rsidR="00E924BA" w:rsidRPr="00BD17DA" w:rsidRDefault="00E924BA" w:rsidP="00A26C26">
      <w:pPr>
        <w:pStyle w:val="Nagwek1"/>
        <w:spacing w:before="0" w:line="276" w:lineRule="auto"/>
        <w:rPr>
          <w:rFonts w:asciiTheme="minorHAnsi" w:hAnsiTheme="minorHAnsi" w:cstheme="minorHAnsi"/>
          <w:b/>
          <w:bCs/>
          <w:sz w:val="22"/>
          <w:szCs w:val="22"/>
        </w:rPr>
      </w:pPr>
      <w:bookmarkStart w:id="103" w:name="_Toc136944429"/>
      <w:r w:rsidRPr="00BD17DA">
        <w:rPr>
          <w:rFonts w:asciiTheme="minorHAnsi" w:hAnsiTheme="minorHAnsi" w:cstheme="minorHAnsi"/>
          <w:b/>
          <w:bCs/>
          <w:sz w:val="22"/>
          <w:szCs w:val="22"/>
        </w:rPr>
        <w:lastRenderedPageBreak/>
        <w:t>ROZDZIAŁ</w:t>
      </w:r>
      <w:r w:rsidR="003B50ED" w:rsidRPr="00BD17DA">
        <w:rPr>
          <w:rFonts w:asciiTheme="minorHAnsi" w:hAnsiTheme="minorHAnsi" w:cstheme="minorHAnsi"/>
          <w:b/>
          <w:bCs/>
          <w:sz w:val="22"/>
          <w:szCs w:val="22"/>
        </w:rPr>
        <w:t xml:space="preserve"> </w:t>
      </w:r>
      <w:r w:rsidRPr="00BD17DA">
        <w:rPr>
          <w:rFonts w:asciiTheme="minorHAnsi" w:hAnsiTheme="minorHAnsi" w:cstheme="minorHAnsi"/>
          <w:b/>
          <w:bCs/>
          <w:sz w:val="22"/>
          <w:szCs w:val="22"/>
        </w:rPr>
        <w:t>VII</w:t>
      </w:r>
      <w:r w:rsidR="003B50ED" w:rsidRPr="00BD17DA">
        <w:rPr>
          <w:rFonts w:asciiTheme="minorHAnsi" w:hAnsiTheme="minorHAnsi" w:cstheme="minorHAnsi"/>
          <w:b/>
          <w:bCs/>
          <w:sz w:val="22"/>
          <w:szCs w:val="22"/>
        </w:rPr>
        <w:t xml:space="preserve"> </w:t>
      </w:r>
      <w:r w:rsidRPr="00BD17DA">
        <w:rPr>
          <w:rFonts w:asciiTheme="minorHAnsi" w:hAnsiTheme="minorHAnsi" w:cstheme="minorHAnsi"/>
          <w:b/>
          <w:bCs/>
          <w:sz w:val="22"/>
          <w:szCs w:val="22"/>
        </w:rPr>
        <w:t>-</w:t>
      </w:r>
      <w:r w:rsidR="003B50ED" w:rsidRPr="00BD17DA">
        <w:rPr>
          <w:rFonts w:asciiTheme="minorHAnsi" w:hAnsiTheme="minorHAnsi" w:cstheme="minorHAnsi"/>
          <w:b/>
          <w:bCs/>
          <w:sz w:val="22"/>
          <w:szCs w:val="22"/>
        </w:rPr>
        <w:t xml:space="preserve"> </w:t>
      </w:r>
      <w:r w:rsidRPr="00BD17DA">
        <w:rPr>
          <w:rFonts w:asciiTheme="minorHAnsi" w:hAnsiTheme="minorHAnsi" w:cstheme="minorHAnsi"/>
          <w:b/>
          <w:bCs/>
          <w:sz w:val="22"/>
          <w:szCs w:val="22"/>
        </w:rPr>
        <w:t>SPOSÓB</w:t>
      </w:r>
      <w:r w:rsidR="003B50ED" w:rsidRPr="00BD17DA">
        <w:rPr>
          <w:rFonts w:asciiTheme="minorHAnsi" w:hAnsiTheme="minorHAnsi" w:cstheme="minorHAnsi"/>
          <w:b/>
          <w:bCs/>
          <w:sz w:val="22"/>
          <w:szCs w:val="22"/>
        </w:rPr>
        <w:t xml:space="preserve"> </w:t>
      </w:r>
      <w:r w:rsidRPr="00BD17DA">
        <w:rPr>
          <w:rFonts w:asciiTheme="minorHAnsi" w:hAnsiTheme="minorHAnsi" w:cstheme="minorHAnsi"/>
          <w:b/>
          <w:bCs/>
          <w:sz w:val="22"/>
          <w:szCs w:val="22"/>
        </w:rPr>
        <w:t>WYBORU</w:t>
      </w:r>
      <w:r w:rsidR="003B50ED" w:rsidRPr="00BD17DA">
        <w:rPr>
          <w:rFonts w:asciiTheme="minorHAnsi" w:hAnsiTheme="minorHAnsi" w:cstheme="minorHAnsi"/>
          <w:b/>
          <w:bCs/>
          <w:sz w:val="22"/>
          <w:szCs w:val="22"/>
        </w:rPr>
        <w:t xml:space="preserve"> </w:t>
      </w:r>
      <w:r w:rsidRPr="00BD17DA">
        <w:rPr>
          <w:rFonts w:asciiTheme="minorHAnsi" w:hAnsiTheme="minorHAnsi" w:cstheme="minorHAnsi"/>
          <w:b/>
          <w:bCs/>
          <w:sz w:val="22"/>
          <w:szCs w:val="22"/>
        </w:rPr>
        <w:t>I</w:t>
      </w:r>
      <w:r w:rsidR="003B50ED" w:rsidRPr="00BD17DA">
        <w:rPr>
          <w:rFonts w:asciiTheme="minorHAnsi" w:hAnsiTheme="minorHAnsi" w:cstheme="minorHAnsi"/>
          <w:b/>
          <w:bCs/>
          <w:sz w:val="22"/>
          <w:szCs w:val="22"/>
        </w:rPr>
        <w:t xml:space="preserve"> </w:t>
      </w:r>
      <w:r w:rsidRPr="00BD17DA">
        <w:rPr>
          <w:rFonts w:asciiTheme="minorHAnsi" w:hAnsiTheme="minorHAnsi" w:cstheme="minorHAnsi"/>
          <w:b/>
          <w:bCs/>
          <w:sz w:val="22"/>
          <w:szCs w:val="22"/>
        </w:rPr>
        <w:t>OCENY</w:t>
      </w:r>
      <w:r w:rsidR="003B50ED" w:rsidRPr="00BD17DA">
        <w:rPr>
          <w:rFonts w:asciiTheme="minorHAnsi" w:hAnsiTheme="minorHAnsi" w:cstheme="minorHAnsi"/>
          <w:b/>
          <w:bCs/>
          <w:sz w:val="22"/>
          <w:szCs w:val="22"/>
        </w:rPr>
        <w:t xml:space="preserve"> </w:t>
      </w:r>
      <w:r w:rsidRPr="00BD17DA">
        <w:rPr>
          <w:rFonts w:asciiTheme="minorHAnsi" w:hAnsiTheme="minorHAnsi" w:cstheme="minorHAnsi"/>
          <w:b/>
          <w:bCs/>
          <w:sz w:val="22"/>
          <w:szCs w:val="22"/>
        </w:rPr>
        <w:t>OPERACJI</w:t>
      </w:r>
      <w:r w:rsidR="003B50ED" w:rsidRPr="00BD17DA">
        <w:rPr>
          <w:rFonts w:asciiTheme="minorHAnsi" w:hAnsiTheme="minorHAnsi" w:cstheme="minorHAnsi"/>
          <w:b/>
          <w:bCs/>
          <w:sz w:val="22"/>
          <w:szCs w:val="22"/>
        </w:rPr>
        <w:t xml:space="preserve"> </w:t>
      </w:r>
      <w:r w:rsidRPr="00BD17DA">
        <w:rPr>
          <w:rFonts w:asciiTheme="minorHAnsi" w:hAnsiTheme="minorHAnsi" w:cstheme="minorHAnsi"/>
          <w:b/>
          <w:bCs/>
          <w:sz w:val="22"/>
          <w:szCs w:val="22"/>
        </w:rPr>
        <w:t>ORAZ</w:t>
      </w:r>
      <w:r w:rsidR="003B50ED" w:rsidRPr="00BD17DA">
        <w:rPr>
          <w:rFonts w:asciiTheme="minorHAnsi" w:hAnsiTheme="minorHAnsi" w:cstheme="minorHAnsi"/>
          <w:b/>
          <w:bCs/>
          <w:sz w:val="22"/>
          <w:szCs w:val="22"/>
        </w:rPr>
        <w:t xml:space="preserve"> </w:t>
      </w:r>
      <w:r w:rsidRPr="00BD17DA">
        <w:rPr>
          <w:rFonts w:asciiTheme="minorHAnsi" w:hAnsiTheme="minorHAnsi" w:cstheme="minorHAnsi"/>
          <w:b/>
          <w:bCs/>
          <w:sz w:val="22"/>
          <w:szCs w:val="22"/>
        </w:rPr>
        <w:t>SPOSÓB</w:t>
      </w:r>
      <w:r w:rsidR="003B50ED" w:rsidRPr="00BD17DA">
        <w:rPr>
          <w:rFonts w:asciiTheme="minorHAnsi" w:hAnsiTheme="minorHAnsi" w:cstheme="minorHAnsi"/>
          <w:b/>
          <w:bCs/>
          <w:sz w:val="22"/>
          <w:szCs w:val="22"/>
        </w:rPr>
        <w:t xml:space="preserve"> </w:t>
      </w:r>
      <w:r w:rsidRPr="00BD17DA">
        <w:rPr>
          <w:rFonts w:asciiTheme="minorHAnsi" w:hAnsiTheme="minorHAnsi" w:cstheme="minorHAnsi"/>
          <w:b/>
          <w:bCs/>
          <w:sz w:val="22"/>
          <w:szCs w:val="22"/>
        </w:rPr>
        <w:t>USTANAWIANIA</w:t>
      </w:r>
      <w:r w:rsidR="003B50ED" w:rsidRPr="00BD17DA">
        <w:rPr>
          <w:rFonts w:asciiTheme="minorHAnsi" w:hAnsiTheme="minorHAnsi" w:cstheme="minorHAnsi"/>
          <w:b/>
          <w:bCs/>
          <w:sz w:val="22"/>
          <w:szCs w:val="22"/>
        </w:rPr>
        <w:t xml:space="preserve"> </w:t>
      </w:r>
      <w:r w:rsidRPr="00BD17DA">
        <w:rPr>
          <w:rFonts w:asciiTheme="minorHAnsi" w:hAnsiTheme="minorHAnsi" w:cstheme="minorHAnsi"/>
          <w:b/>
          <w:bCs/>
          <w:sz w:val="22"/>
          <w:szCs w:val="22"/>
        </w:rPr>
        <w:t>KRYTERIÓW</w:t>
      </w:r>
      <w:r w:rsidR="003B50ED" w:rsidRPr="00BD17DA">
        <w:rPr>
          <w:rFonts w:asciiTheme="minorHAnsi" w:hAnsiTheme="minorHAnsi" w:cstheme="minorHAnsi"/>
          <w:b/>
          <w:bCs/>
          <w:sz w:val="22"/>
          <w:szCs w:val="22"/>
        </w:rPr>
        <w:t xml:space="preserve"> </w:t>
      </w:r>
      <w:r w:rsidRPr="00BD17DA">
        <w:rPr>
          <w:rFonts w:asciiTheme="minorHAnsi" w:hAnsiTheme="minorHAnsi" w:cstheme="minorHAnsi"/>
          <w:b/>
          <w:bCs/>
          <w:sz w:val="22"/>
          <w:szCs w:val="22"/>
        </w:rPr>
        <w:t>OCENY</w:t>
      </w:r>
      <w:bookmarkEnd w:id="103"/>
    </w:p>
    <w:p w14:paraId="4C661BD8" w14:textId="31BA9CFC" w:rsidR="00E15C1D" w:rsidRPr="002945C9" w:rsidRDefault="00E15C1D" w:rsidP="00E15C1D">
      <w:pPr>
        <w:autoSpaceDE w:val="0"/>
        <w:autoSpaceDN w:val="0"/>
        <w:adjustRightInd w:val="0"/>
        <w:ind w:firstLine="426"/>
        <w:jc w:val="both"/>
        <w:rPr>
          <w:rFonts w:cstheme="minorHAnsi"/>
          <w:color w:val="000000"/>
        </w:rPr>
      </w:pPr>
      <w:r w:rsidRPr="002945C9">
        <w:rPr>
          <w:rFonts w:cstheme="minorHAnsi"/>
          <w:color w:val="000000"/>
        </w:rPr>
        <w:t xml:space="preserve">Wewnętrzna organizacja pracy </w:t>
      </w:r>
      <w:r w:rsidR="00E2622D">
        <w:rPr>
          <w:rFonts w:cstheme="minorHAnsi"/>
          <w:color w:val="000000"/>
        </w:rPr>
        <w:t xml:space="preserve">Stowarzyszenia „Solidarni w Partnerstwie” </w:t>
      </w:r>
      <w:r w:rsidRPr="002945C9">
        <w:rPr>
          <w:rFonts w:cstheme="minorHAnsi"/>
          <w:color w:val="000000"/>
        </w:rPr>
        <w:t xml:space="preserve">została szczegółowo opisana </w:t>
      </w:r>
      <w:r w:rsidR="00B90149">
        <w:rPr>
          <w:rFonts w:cstheme="minorHAnsi"/>
          <w:color w:val="000000"/>
        </w:rPr>
        <w:t xml:space="preserve">                           </w:t>
      </w:r>
      <w:r w:rsidRPr="002945C9">
        <w:rPr>
          <w:rFonts w:cstheme="minorHAnsi"/>
          <w:color w:val="000000"/>
        </w:rPr>
        <w:t xml:space="preserve">w Rozdziale I w częściach: Struktura LGD, Organ decyzyjny oraz Proces decyzyjny. </w:t>
      </w:r>
    </w:p>
    <w:p w14:paraId="679E74D5" w14:textId="13260183" w:rsidR="007B5C54" w:rsidRPr="00F16251" w:rsidRDefault="0077296E" w:rsidP="007B5C54">
      <w:pPr>
        <w:spacing w:line="276" w:lineRule="auto"/>
        <w:ind w:firstLine="360"/>
        <w:jc w:val="both"/>
        <w:rPr>
          <w:rFonts w:cstheme="minorHAnsi"/>
          <w:kern w:val="0"/>
          <w14:ligatures w14:val="none"/>
        </w:rPr>
      </w:pPr>
      <w:r w:rsidRPr="00F16251">
        <w:rPr>
          <w:rFonts w:cstheme="minorHAnsi"/>
          <w:kern w:val="0"/>
          <w14:ligatures w14:val="none"/>
        </w:rPr>
        <w:t>W zakresie PS dla WPR na lata 2023-2027 wybór i ocena operacji będą się odbywały w ramach komponentu Wdrażanie LSR, natomiast w przypadku FEW</w:t>
      </w:r>
      <w:r w:rsidR="007B5C54" w:rsidRPr="00F16251">
        <w:rPr>
          <w:rFonts w:cstheme="minorHAnsi"/>
          <w:kern w:val="0"/>
          <w14:ligatures w14:val="none"/>
        </w:rPr>
        <w:t>P</w:t>
      </w:r>
      <w:r w:rsidRPr="00F16251">
        <w:rPr>
          <w:rFonts w:cstheme="minorHAnsi"/>
          <w:kern w:val="0"/>
          <w14:ligatures w14:val="none"/>
        </w:rPr>
        <w:t xml:space="preserve"> 2021-2023 </w:t>
      </w:r>
      <w:r w:rsidR="007B5C54" w:rsidRPr="00F16251">
        <w:rPr>
          <w:rFonts w:cstheme="minorHAnsi"/>
          <w:kern w:val="0"/>
          <w14:ligatures w14:val="none"/>
        </w:rPr>
        <w:t>-</w:t>
      </w:r>
      <w:r w:rsidR="006066AE">
        <w:rPr>
          <w:rFonts w:cstheme="minorHAnsi"/>
          <w:kern w:val="0"/>
          <w14:ligatures w14:val="none"/>
        </w:rPr>
        <w:t xml:space="preserve"> </w:t>
      </w:r>
      <w:r w:rsidR="007B5C54" w:rsidRPr="00F16251">
        <w:rPr>
          <w:rFonts w:cstheme="minorHAnsi"/>
          <w:kern w:val="0"/>
          <w14:ligatures w14:val="none"/>
        </w:rPr>
        <w:t>będzie obejmować Priorytet 08 Rozwój Lokalny Kierowany przez Społeczność (EFRR) oraz Priorytet 09 Rozwój Lokalny Kierowany przez Społeczność (EFS+).</w:t>
      </w:r>
    </w:p>
    <w:p w14:paraId="4B02703F" w14:textId="23A9A393" w:rsidR="002C63F4" w:rsidRPr="00F16251" w:rsidRDefault="007B5C54" w:rsidP="0077296E">
      <w:pPr>
        <w:spacing w:line="276" w:lineRule="auto"/>
        <w:ind w:firstLine="360"/>
        <w:jc w:val="both"/>
        <w:rPr>
          <w:rFonts w:cstheme="minorHAnsi"/>
          <w:kern w:val="0"/>
          <w14:ligatures w14:val="none"/>
        </w:rPr>
      </w:pPr>
      <w:r w:rsidRPr="00F16251">
        <w:rPr>
          <w:rFonts w:cstheme="minorHAnsi"/>
          <w:kern w:val="0"/>
          <w14:ligatures w14:val="none"/>
        </w:rPr>
        <w:t>O</w:t>
      </w:r>
      <w:r w:rsidR="002C63F4" w:rsidRPr="00F16251">
        <w:rPr>
          <w:rFonts w:cstheme="minorHAnsi"/>
          <w:kern w:val="0"/>
          <w14:ligatures w14:val="none"/>
        </w:rPr>
        <w:t>siągniecie</w:t>
      </w:r>
      <w:r w:rsidR="003B50ED" w:rsidRPr="00F16251">
        <w:rPr>
          <w:rFonts w:cstheme="minorHAnsi"/>
          <w:kern w:val="0"/>
          <w14:ligatures w14:val="none"/>
        </w:rPr>
        <w:t xml:space="preserve"> </w:t>
      </w:r>
      <w:r w:rsidR="002C63F4" w:rsidRPr="00F16251">
        <w:rPr>
          <w:rFonts w:cstheme="minorHAnsi"/>
          <w:kern w:val="0"/>
          <w14:ligatures w14:val="none"/>
        </w:rPr>
        <w:t>zaplanowanych</w:t>
      </w:r>
      <w:r w:rsidR="003B50ED" w:rsidRPr="00F16251">
        <w:rPr>
          <w:rFonts w:cstheme="minorHAnsi"/>
          <w:kern w:val="0"/>
          <w14:ligatures w14:val="none"/>
        </w:rPr>
        <w:t xml:space="preserve"> </w:t>
      </w:r>
      <w:r w:rsidR="002C63F4" w:rsidRPr="00F16251">
        <w:rPr>
          <w:rFonts w:cstheme="minorHAnsi"/>
          <w:kern w:val="0"/>
          <w14:ligatures w14:val="none"/>
        </w:rPr>
        <w:t>celów</w:t>
      </w:r>
      <w:r w:rsidR="003B50ED" w:rsidRPr="00F16251">
        <w:rPr>
          <w:rFonts w:cstheme="minorHAnsi"/>
          <w:kern w:val="0"/>
          <w14:ligatures w14:val="none"/>
        </w:rPr>
        <w:t xml:space="preserve"> </w:t>
      </w:r>
      <w:r w:rsidR="002C63F4" w:rsidRPr="00F16251">
        <w:rPr>
          <w:rFonts w:cstheme="minorHAnsi"/>
          <w:kern w:val="0"/>
          <w14:ligatures w14:val="none"/>
        </w:rPr>
        <w:t>i</w:t>
      </w:r>
      <w:r w:rsidR="003B50ED" w:rsidRPr="00F16251">
        <w:rPr>
          <w:rFonts w:cstheme="minorHAnsi"/>
          <w:kern w:val="0"/>
          <w14:ligatures w14:val="none"/>
        </w:rPr>
        <w:t xml:space="preserve"> </w:t>
      </w:r>
      <w:r w:rsidR="002C63F4" w:rsidRPr="00F16251">
        <w:rPr>
          <w:rFonts w:cstheme="minorHAnsi"/>
          <w:kern w:val="0"/>
          <w14:ligatures w14:val="none"/>
        </w:rPr>
        <w:t>wskaźników</w:t>
      </w:r>
      <w:r w:rsidR="003B50ED" w:rsidRPr="00F16251">
        <w:rPr>
          <w:rFonts w:cstheme="minorHAnsi"/>
          <w:kern w:val="0"/>
          <w14:ligatures w14:val="none"/>
        </w:rPr>
        <w:t xml:space="preserve"> </w:t>
      </w:r>
      <w:r w:rsidR="002C63F4" w:rsidRPr="00F16251">
        <w:rPr>
          <w:rFonts w:cstheme="minorHAnsi"/>
          <w:kern w:val="0"/>
          <w14:ligatures w14:val="none"/>
        </w:rPr>
        <w:t>ich</w:t>
      </w:r>
      <w:r w:rsidR="003B50ED" w:rsidRPr="00F16251">
        <w:rPr>
          <w:rFonts w:cstheme="minorHAnsi"/>
          <w:kern w:val="0"/>
          <w14:ligatures w14:val="none"/>
        </w:rPr>
        <w:t xml:space="preserve"> </w:t>
      </w:r>
      <w:r w:rsidR="002C63F4" w:rsidRPr="00F16251">
        <w:rPr>
          <w:rFonts w:cstheme="minorHAnsi"/>
          <w:kern w:val="0"/>
          <w14:ligatures w14:val="none"/>
        </w:rPr>
        <w:t>realizacji</w:t>
      </w:r>
      <w:r w:rsidR="003B50ED" w:rsidRPr="00F16251">
        <w:rPr>
          <w:rFonts w:cstheme="minorHAnsi"/>
          <w:kern w:val="0"/>
          <w14:ligatures w14:val="none"/>
        </w:rPr>
        <w:t xml:space="preserve"> </w:t>
      </w:r>
      <w:r w:rsidR="002C63F4" w:rsidRPr="00F16251">
        <w:rPr>
          <w:rFonts w:cstheme="minorHAnsi"/>
          <w:kern w:val="0"/>
          <w14:ligatures w14:val="none"/>
        </w:rPr>
        <w:t>będzie</w:t>
      </w:r>
      <w:r w:rsidR="003B50ED" w:rsidRPr="00F16251">
        <w:rPr>
          <w:rFonts w:cstheme="minorHAnsi"/>
          <w:kern w:val="0"/>
          <w14:ligatures w14:val="none"/>
        </w:rPr>
        <w:t xml:space="preserve"> </w:t>
      </w:r>
      <w:r w:rsidR="002C63F4" w:rsidRPr="00F16251">
        <w:rPr>
          <w:rFonts w:cstheme="minorHAnsi"/>
          <w:kern w:val="0"/>
          <w14:ligatures w14:val="none"/>
        </w:rPr>
        <w:t>możliwe</w:t>
      </w:r>
      <w:r w:rsidR="003B50ED" w:rsidRPr="00F16251">
        <w:rPr>
          <w:rFonts w:cstheme="minorHAnsi"/>
          <w:kern w:val="0"/>
          <w14:ligatures w14:val="none"/>
        </w:rPr>
        <w:t xml:space="preserve"> </w:t>
      </w:r>
      <w:r w:rsidR="002C63F4" w:rsidRPr="00F16251">
        <w:rPr>
          <w:rFonts w:cstheme="minorHAnsi"/>
          <w:kern w:val="0"/>
          <w14:ligatures w14:val="none"/>
        </w:rPr>
        <w:t>poprzez</w:t>
      </w:r>
      <w:r w:rsidR="003B50ED" w:rsidRPr="00F16251">
        <w:rPr>
          <w:rFonts w:cstheme="minorHAnsi"/>
          <w:kern w:val="0"/>
          <w14:ligatures w14:val="none"/>
        </w:rPr>
        <w:t xml:space="preserve"> </w:t>
      </w:r>
      <w:r w:rsidR="002C63F4" w:rsidRPr="00F16251">
        <w:rPr>
          <w:rFonts w:cstheme="minorHAnsi"/>
          <w:kern w:val="0"/>
          <w14:ligatures w14:val="none"/>
        </w:rPr>
        <w:t>realizację</w:t>
      </w:r>
      <w:r w:rsidR="003B50ED" w:rsidRPr="00F16251">
        <w:rPr>
          <w:rFonts w:cstheme="minorHAnsi"/>
          <w:kern w:val="0"/>
          <w14:ligatures w14:val="none"/>
        </w:rPr>
        <w:t xml:space="preserve"> </w:t>
      </w:r>
      <w:r w:rsidR="002C63F4" w:rsidRPr="00F16251">
        <w:rPr>
          <w:rFonts w:cstheme="minorHAnsi"/>
          <w:kern w:val="0"/>
          <w14:ligatures w14:val="none"/>
        </w:rPr>
        <w:t>adekwatnych</w:t>
      </w:r>
      <w:r w:rsidR="003B50ED" w:rsidRPr="00F16251">
        <w:rPr>
          <w:rFonts w:cstheme="minorHAnsi"/>
          <w:kern w:val="0"/>
          <w14:ligatures w14:val="none"/>
        </w:rPr>
        <w:t xml:space="preserve"> </w:t>
      </w:r>
      <w:r w:rsidR="002C63F4" w:rsidRPr="00F16251">
        <w:rPr>
          <w:rFonts w:cstheme="minorHAnsi"/>
          <w:kern w:val="0"/>
          <w14:ligatures w14:val="none"/>
        </w:rPr>
        <w:t>do</w:t>
      </w:r>
      <w:r w:rsidR="003B50ED" w:rsidRPr="00F16251">
        <w:rPr>
          <w:rFonts w:cstheme="minorHAnsi"/>
          <w:kern w:val="0"/>
          <w14:ligatures w14:val="none"/>
        </w:rPr>
        <w:t xml:space="preserve"> </w:t>
      </w:r>
      <w:r w:rsidR="002C63F4" w:rsidRPr="00F16251">
        <w:rPr>
          <w:rFonts w:cstheme="minorHAnsi"/>
          <w:kern w:val="0"/>
          <w14:ligatures w14:val="none"/>
        </w:rPr>
        <w:t>lokalnych</w:t>
      </w:r>
      <w:r w:rsidR="003B50ED" w:rsidRPr="00F16251">
        <w:rPr>
          <w:rFonts w:cstheme="minorHAnsi"/>
          <w:kern w:val="0"/>
          <w14:ligatures w14:val="none"/>
        </w:rPr>
        <w:t xml:space="preserve"> </w:t>
      </w:r>
      <w:r w:rsidR="002C63F4" w:rsidRPr="00F16251">
        <w:rPr>
          <w:rFonts w:cstheme="minorHAnsi"/>
          <w:kern w:val="0"/>
          <w14:ligatures w14:val="none"/>
        </w:rPr>
        <w:t>potrzeb</w:t>
      </w:r>
      <w:r w:rsidR="003B50ED" w:rsidRPr="00F16251">
        <w:rPr>
          <w:rFonts w:cstheme="minorHAnsi"/>
          <w:kern w:val="0"/>
          <w14:ligatures w14:val="none"/>
        </w:rPr>
        <w:t xml:space="preserve"> </w:t>
      </w:r>
      <w:r w:rsidR="002C63F4" w:rsidRPr="00F16251">
        <w:rPr>
          <w:rFonts w:cstheme="minorHAnsi"/>
          <w:kern w:val="0"/>
          <w14:ligatures w14:val="none"/>
        </w:rPr>
        <w:t>różnorodnych</w:t>
      </w:r>
      <w:r w:rsidR="003B50ED" w:rsidRPr="00F16251">
        <w:rPr>
          <w:rFonts w:cstheme="minorHAnsi"/>
          <w:kern w:val="0"/>
          <w14:ligatures w14:val="none"/>
        </w:rPr>
        <w:t xml:space="preserve"> </w:t>
      </w:r>
      <w:r w:rsidR="002C63F4" w:rsidRPr="00F16251">
        <w:rPr>
          <w:rFonts w:cstheme="minorHAnsi"/>
          <w:kern w:val="0"/>
          <w14:ligatures w14:val="none"/>
        </w:rPr>
        <w:t>metod</w:t>
      </w:r>
      <w:r w:rsidR="003B50ED" w:rsidRPr="00F16251">
        <w:rPr>
          <w:rFonts w:cstheme="minorHAnsi"/>
          <w:kern w:val="0"/>
          <w14:ligatures w14:val="none"/>
        </w:rPr>
        <w:t xml:space="preserve"> </w:t>
      </w:r>
      <w:r w:rsidR="002C63F4" w:rsidRPr="00F16251">
        <w:rPr>
          <w:rFonts w:cstheme="minorHAnsi"/>
          <w:kern w:val="0"/>
          <w14:ligatures w14:val="none"/>
        </w:rPr>
        <w:t>realizacji</w:t>
      </w:r>
      <w:r w:rsidR="003B50ED" w:rsidRPr="00F16251">
        <w:rPr>
          <w:rFonts w:cstheme="minorHAnsi"/>
          <w:kern w:val="0"/>
          <w14:ligatures w14:val="none"/>
        </w:rPr>
        <w:t xml:space="preserve"> </w:t>
      </w:r>
      <w:r w:rsidR="002C63F4" w:rsidRPr="00F16251">
        <w:rPr>
          <w:rFonts w:cstheme="minorHAnsi"/>
          <w:kern w:val="0"/>
          <w14:ligatures w14:val="none"/>
        </w:rPr>
        <w:t>operacji</w:t>
      </w:r>
      <w:r w:rsidR="003B50ED" w:rsidRPr="00F16251">
        <w:rPr>
          <w:rFonts w:cstheme="minorHAnsi"/>
          <w:kern w:val="0"/>
          <w14:ligatures w14:val="none"/>
        </w:rPr>
        <w:t xml:space="preserve"> </w:t>
      </w:r>
      <w:r w:rsidR="002C63F4" w:rsidRPr="00F16251">
        <w:rPr>
          <w:rFonts w:cstheme="minorHAnsi"/>
          <w:kern w:val="0"/>
          <w14:ligatures w14:val="none"/>
        </w:rPr>
        <w:t>aktywizujących</w:t>
      </w:r>
      <w:r w:rsidR="003B50ED" w:rsidRPr="00F16251">
        <w:rPr>
          <w:rFonts w:cstheme="minorHAnsi"/>
          <w:kern w:val="0"/>
          <w14:ligatures w14:val="none"/>
        </w:rPr>
        <w:t xml:space="preserve"> </w:t>
      </w:r>
      <w:r w:rsidR="002C63F4" w:rsidRPr="00F16251">
        <w:rPr>
          <w:rFonts w:cstheme="minorHAnsi"/>
          <w:kern w:val="0"/>
          <w14:ligatures w14:val="none"/>
        </w:rPr>
        <w:t>społeczność</w:t>
      </w:r>
      <w:r w:rsidR="003B50ED" w:rsidRPr="00F16251">
        <w:rPr>
          <w:rFonts w:cstheme="minorHAnsi"/>
          <w:kern w:val="0"/>
          <w14:ligatures w14:val="none"/>
        </w:rPr>
        <w:t xml:space="preserve"> </w:t>
      </w:r>
      <w:r w:rsidR="002C63F4" w:rsidRPr="00F16251">
        <w:rPr>
          <w:rFonts w:cstheme="minorHAnsi"/>
          <w:kern w:val="0"/>
          <w14:ligatures w14:val="none"/>
        </w:rPr>
        <w:t>lokalną</w:t>
      </w:r>
      <w:r w:rsidR="003B50ED" w:rsidRPr="00F16251">
        <w:rPr>
          <w:rFonts w:cstheme="minorHAnsi"/>
          <w:kern w:val="0"/>
          <w14:ligatures w14:val="none"/>
        </w:rPr>
        <w:t xml:space="preserve"> </w:t>
      </w:r>
      <w:r w:rsidR="002C63F4" w:rsidRPr="00F16251">
        <w:rPr>
          <w:rFonts w:cstheme="minorHAnsi"/>
          <w:kern w:val="0"/>
          <w14:ligatures w14:val="none"/>
        </w:rPr>
        <w:t>w</w:t>
      </w:r>
      <w:r w:rsidR="003B50ED" w:rsidRPr="00F16251">
        <w:rPr>
          <w:rFonts w:cstheme="minorHAnsi"/>
          <w:kern w:val="0"/>
          <w14:ligatures w14:val="none"/>
        </w:rPr>
        <w:t xml:space="preserve"> </w:t>
      </w:r>
      <w:r w:rsidR="002C63F4" w:rsidRPr="00F16251">
        <w:rPr>
          <w:rFonts w:cstheme="minorHAnsi"/>
          <w:kern w:val="0"/>
          <w14:ligatures w14:val="none"/>
        </w:rPr>
        <w:t>ramach</w:t>
      </w:r>
      <w:r w:rsidR="003B50ED" w:rsidRPr="00F16251">
        <w:rPr>
          <w:rFonts w:cstheme="minorHAnsi"/>
          <w:kern w:val="0"/>
          <w14:ligatures w14:val="none"/>
        </w:rPr>
        <w:t xml:space="preserve"> </w:t>
      </w:r>
      <w:r w:rsidR="002C63F4" w:rsidRPr="00F16251">
        <w:rPr>
          <w:rFonts w:cstheme="minorHAnsi"/>
          <w:kern w:val="0"/>
          <w14:ligatures w14:val="none"/>
        </w:rPr>
        <w:t>LSR,</w:t>
      </w:r>
      <w:r w:rsidR="003B50ED" w:rsidRPr="00F16251">
        <w:rPr>
          <w:rFonts w:cstheme="minorHAnsi"/>
          <w:kern w:val="0"/>
          <w14:ligatures w14:val="none"/>
        </w:rPr>
        <w:t xml:space="preserve"> </w:t>
      </w:r>
      <w:r w:rsidR="002C63F4" w:rsidRPr="00F16251">
        <w:rPr>
          <w:rFonts w:cstheme="minorHAnsi"/>
          <w:kern w:val="0"/>
          <w14:ligatures w14:val="none"/>
        </w:rPr>
        <w:t>tj.:</w:t>
      </w:r>
      <w:r w:rsidR="003B50ED" w:rsidRPr="00F16251">
        <w:rPr>
          <w:rFonts w:cstheme="minorHAnsi"/>
          <w:kern w:val="0"/>
          <w14:ligatures w14:val="none"/>
        </w:rPr>
        <w:t xml:space="preserve"> </w:t>
      </w:r>
    </w:p>
    <w:p w14:paraId="37990165" w14:textId="5182B36E" w:rsidR="002C63F4" w:rsidRPr="00F16251" w:rsidRDefault="002C63F4" w:rsidP="00A26C26">
      <w:pPr>
        <w:spacing w:line="276" w:lineRule="auto"/>
        <w:jc w:val="both"/>
        <w:rPr>
          <w:rFonts w:cstheme="minorHAnsi"/>
          <w:kern w:val="0"/>
          <w14:ligatures w14:val="none"/>
        </w:rPr>
      </w:pPr>
      <w:r w:rsidRPr="00F16251">
        <w:rPr>
          <w:rFonts w:cstheme="minorHAnsi"/>
          <w:kern w:val="0"/>
          <w14:ligatures w14:val="none"/>
        </w:rPr>
        <w:t>-</w:t>
      </w:r>
      <w:r w:rsidR="003B50ED" w:rsidRPr="00F16251">
        <w:rPr>
          <w:rFonts w:cstheme="minorHAnsi"/>
          <w:kern w:val="0"/>
          <w14:ligatures w14:val="none"/>
        </w:rPr>
        <w:t xml:space="preserve"> </w:t>
      </w:r>
      <w:r w:rsidRPr="00F16251">
        <w:rPr>
          <w:rFonts w:cstheme="minorHAnsi"/>
          <w:kern w:val="0"/>
          <w14:ligatures w14:val="none"/>
        </w:rPr>
        <w:t>operacje</w:t>
      </w:r>
      <w:r w:rsidR="003B50ED" w:rsidRPr="00F16251">
        <w:rPr>
          <w:rFonts w:cstheme="minorHAnsi"/>
          <w:kern w:val="0"/>
          <w14:ligatures w14:val="none"/>
        </w:rPr>
        <w:t xml:space="preserve"> </w:t>
      </w:r>
      <w:r w:rsidRPr="00F16251">
        <w:rPr>
          <w:rFonts w:cstheme="minorHAnsi"/>
          <w:kern w:val="0"/>
          <w14:ligatures w14:val="none"/>
        </w:rPr>
        <w:t>konkursowe</w:t>
      </w:r>
      <w:r w:rsidR="003B50ED" w:rsidRPr="00F16251">
        <w:rPr>
          <w:rFonts w:cstheme="minorHAnsi"/>
          <w:kern w:val="0"/>
          <w14:ligatures w14:val="none"/>
        </w:rPr>
        <w:t xml:space="preserve"> </w:t>
      </w:r>
      <w:r w:rsidRPr="00F16251">
        <w:rPr>
          <w:rFonts w:cstheme="minorHAnsi"/>
          <w:kern w:val="0"/>
          <w14:ligatures w14:val="none"/>
        </w:rPr>
        <w:t>realizowane</w:t>
      </w:r>
      <w:r w:rsidR="003B50ED" w:rsidRPr="00F16251">
        <w:rPr>
          <w:rFonts w:cstheme="minorHAnsi"/>
          <w:kern w:val="0"/>
          <w14:ligatures w14:val="none"/>
        </w:rPr>
        <w:t xml:space="preserve"> </w:t>
      </w:r>
      <w:r w:rsidRPr="00F16251">
        <w:rPr>
          <w:rFonts w:cstheme="minorHAnsi"/>
          <w:kern w:val="0"/>
          <w14:ligatures w14:val="none"/>
        </w:rPr>
        <w:t>przez</w:t>
      </w:r>
      <w:r w:rsidR="003B50ED" w:rsidRPr="00F16251">
        <w:rPr>
          <w:rFonts w:cstheme="minorHAnsi"/>
          <w:kern w:val="0"/>
          <w14:ligatures w14:val="none"/>
        </w:rPr>
        <w:t xml:space="preserve"> </w:t>
      </w:r>
      <w:r w:rsidRPr="00F16251">
        <w:rPr>
          <w:rFonts w:cstheme="minorHAnsi"/>
          <w:kern w:val="0"/>
          <w14:ligatures w14:val="none"/>
        </w:rPr>
        <w:t>podmioty</w:t>
      </w:r>
      <w:r w:rsidR="003B50ED" w:rsidRPr="00F16251">
        <w:rPr>
          <w:rFonts w:cstheme="minorHAnsi"/>
          <w:kern w:val="0"/>
          <w14:ligatures w14:val="none"/>
        </w:rPr>
        <w:t xml:space="preserve"> </w:t>
      </w:r>
      <w:r w:rsidRPr="00F16251">
        <w:rPr>
          <w:rFonts w:cstheme="minorHAnsi"/>
          <w:kern w:val="0"/>
          <w14:ligatures w14:val="none"/>
        </w:rPr>
        <w:t>inne</w:t>
      </w:r>
      <w:r w:rsidR="003B50ED" w:rsidRPr="00F16251">
        <w:rPr>
          <w:rFonts w:cstheme="minorHAnsi"/>
          <w:kern w:val="0"/>
          <w14:ligatures w14:val="none"/>
        </w:rPr>
        <w:t xml:space="preserve"> </w:t>
      </w:r>
      <w:r w:rsidRPr="00F16251">
        <w:rPr>
          <w:rFonts w:cstheme="minorHAnsi"/>
          <w:kern w:val="0"/>
          <w14:ligatures w14:val="none"/>
        </w:rPr>
        <w:t>niż</w:t>
      </w:r>
      <w:r w:rsidR="003B50ED" w:rsidRPr="00F16251">
        <w:rPr>
          <w:rFonts w:cstheme="minorHAnsi"/>
          <w:kern w:val="0"/>
          <w14:ligatures w14:val="none"/>
        </w:rPr>
        <w:t xml:space="preserve"> </w:t>
      </w:r>
      <w:r w:rsidRPr="00F16251">
        <w:rPr>
          <w:rFonts w:cstheme="minorHAnsi"/>
          <w:kern w:val="0"/>
          <w14:ligatures w14:val="none"/>
        </w:rPr>
        <w:t>LGD</w:t>
      </w:r>
      <w:r w:rsidR="00717EE9">
        <w:rPr>
          <w:rFonts w:cstheme="minorHAnsi"/>
          <w:kern w:val="0"/>
          <w14:ligatures w14:val="none"/>
        </w:rPr>
        <w:t xml:space="preserve"> (EFR</w:t>
      </w:r>
      <w:r w:rsidR="00130167" w:rsidRPr="00F16251">
        <w:rPr>
          <w:rFonts w:cstheme="minorHAnsi"/>
          <w:kern w:val="0"/>
          <w14:ligatures w14:val="none"/>
        </w:rPr>
        <w:t>ROW</w:t>
      </w:r>
      <w:r w:rsidR="00DC06BB">
        <w:rPr>
          <w:rFonts w:cstheme="minorHAnsi"/>
          <w:kern w:val="0"/>
          <w14:ligatures w14:val="none"/>
        </w:rPr>
        <w:t>, EFRR</w:t>
      </w:r>
      <w:r w:rsidR="00717EE9">
        <w:rPr>
          <w:rFonts w:cstheme="minorHAnsi"/>
          <w:kern w:val="0"/>
          <w14:ligatures w14:val="none"/>
        </w:rPr>
        <w:t xml:space="preserve">, </w:t>
      </w:r>
      <w:r w:rsidR="00717EE9" w:rsidRPr="00C17661">
        <w:rPr>
          <w:rFonts w:cstheme="minorHAnsi"/>
          <w:kern w:val="0"/>
          <w14:ligatures w14:val="none"/>
        </w:rPr>
        <w:t>EFS+</w:t>
      </w:r>
      <w:r w:rsidR="00130167" w:rsidRPr="00C17661">
        <w:rPr>
          <w:rFonts w:cstheme="minorHAnsi"/>
          <w:kern w:val="0"/>
          <w14:ligatures w14:val="none"/>
        </w:rPr>
        <w:t>)</w:t>
      </w:r>
      <w:r w:rsidRPr="00C17661">
        <w:rPr>
          <w:rFonts w:cstheme="minorHAnsi"/>
          <w:kern w:val="0"/>
          <w14:ligatures w14:val="none"/>
        </w:rPr>
        <w:t>,</w:t>
      </w:r>
      <w:r w:rsidR="003B50ED" w:rsidRPr="00C17661">
        <w:rPr>
          <w:rFonts w:cstheme="minorHAnsi"/>
          <w:kern w:val="0"/>
          <w14:ligatures w14:val="none"/>
        </w:rPr>
        <w:t xml:space="preserve"> </w:t>
      </w:r>
    </w:p>
    <w:p w14:paraId="2CD51D80" w14:textId="29502A44" w:rsidR="00130167" w:rsidRPr="00F16251" w:rsidRDefault="00130167" w:rsidP="00A26C26">
      <w:pPr>
        <w:spacing w:line="276" w:lineRule="auto"/>
        <w:jc w:val="both"/>
        <w:rPr>
          <w:rFonts w:cstheme="minorHAnsi"/>
          <w:kern w:val="0"/>
          <w14:ligatures w14:val="none"/>
        </w:rPr>
      </w:pPr>
      <w:r w:rsidRPr="00F16251">
        <w:rPr>
          <w:rFonts w:cstheme="minorHAnsi"/>
          <w:kern w:val="0"/>
          <w14:ligatures w14:val="none"/>
        </w:rPr>
        <w:t>- projekty partnerski</w:t>
      </w:r>
      <w:r w:rsidR="00717EE9">
        <w:rPr>
          <w:rFonts w:cstheme="minorHAnsi"/>
          <w:kern w:val="0"/>
          <w14:ligatures w14:val="none"/>
        </w:rPr>
        <w:t>e / operacje w partnerstwie (EFR</w:t>
      </w:r>
      <w:r w:rsidRPr="00F16251">
        <w:rPr>
          <w:rFonts w:cstheme="minorHAnsi"/>
          <w:kern w:val="0"/>
          <w14:ligatures w14:val="none"/>
        </w:rPr>
        <w:t xml:space="preserve">ROW), </w:t>
      </w:r>
    </w:p>
    <w:p w14:paraId="03D757BC" w14:textId="26BE864F" w:rsidR="002C63F4" w:rsidRPr="00F16251" w:rsidRDefault="002C63F4" w:rsidP="00A26C26">
      <w:pPr>
        <w:spacing w:line="276" w:lineRule="auto"/>
        <w:jc w:val="both"/>
        <w:rPr>
          <w:rFonts w:cstheme="minorHAnsi"/>
          <w:kern w:val="0"/>
          <w14:ligatures w14:val="none"/>
        </w:rPr>
      </w:pPr>
      <w:r w:rsidRPr="00F16251">
        <w:rPr>
          <w:rFonts w:cstheme="minorHAnsi"/>
          <w:kern w:val="0"/>
          <w14:ligatures w14:val="none"/>
        </w:rPr>
        <w:t>-</w:t>
      </w:r>
      <w:r w:rsidR="003B50ED" w:rsidRPr="00F16251">
        <w:rPr>
          <w:rFonts w:cstheme="minorHAnsi"/>
          <w:kern w:val="0"/>
          <w14:ligatures w14:val="none"/>
        </w:rPr>
        <w:t xml:space="preserve"> </w:t>
      </w:r>
      <w:r w:rsidRPr="00F16251">
        <w:rPr>
          <w:rFonts w:cstheme="minorHAnsi"/>
          <w:kern w:val="0"/>
          <w14:ligatures w14:val="none"/>
        </w:rPr>
        <w:t>projekty</w:t>
      </w:r>
      <w:r w:rsidR="003B50ED" w:rsidRPr="00F16251">
        <w:rPr>
          <w:rFonts w:cstheme="minorHAnsi"/>
          <w:kern w:val="0"/>
          <w14:ligatures w14:val="none"/>
        </w:rPr>
        <w:t xml:space="preserve"> </w:t>
      </w:r>
      <w:r w:rsidRPr="00F16251">
        <w:rPr>
          <w:rFonts w:cstheme="minorHAnsi"/>
          <w:kern w:val="0"/>
          <w14:ligatures w14:val="none"/>
        </w:rPr>
        <w:t>grantowe</w:t>
      </w:r>
      <w:r w:rsidR="003B50ED" w:rsidRPr="00F16251">
        <w:rPr>
          <w:rFonts w:cstheme="minorHAnsi"/>
          <w:kern w:val="0"/>
          <w14:ligatures w14:val="none"/>
        </w:rPr>
        <w:t xml:space="preserve"> </w:t>
      </w:r>
      <w:r w:rsidRPr="00F16251">
        <w:rPr>
          <w:rFonts w:cstheme="minorHAnsi"/>
          <w:kern w:val="0"/>
          <w14:ligatures w14:val="none"/>
        </w:rPr>
        <w:t>wdrażane</w:t>
      </w:r>
      <w:r w:rsidR="003B50ED" w:rsidRPr="00F16251">
        <w:rPr>
          <w:rFonts w:cstheme="minorHAnsi"/>
          <w:kern w:val="0"/>
          <w14:ligatures w14:val="none"/>
        </w:rPr>
        <w:t xml:space="preserve"> </w:t>
      </w:r>
      <w:r w:rsidRPr="00F16251">
        <w:rPr>
          <w:rFonts w:cstheme="minorHAnsi"/>
          <w:kern w:val="0"/>
          <w14:ligatures w14:val="none"/>
        </w:rPr>
        <w:t>przez</w:t>
      </w:r>
      <w:r w:rsidR="003B50ED" w:rsidRPr="00F16251">
        <w:rPr>
          <w:rFonts w:cstheme="minorHAnsi"/>
          <w:kern w:val="0"/>
          <w14:ligatures w14:val="none"/>
        </w:rPr>
        <w:t xml:space="preserve"> </w:t>
      </w:r>
      <w:r w:rsidRPr="00F16251">
        <w:rPr>
          <w:rFonts w:cstheme="minorHAnsi"/>
          <w:kern w:val="0"/>
          <w14:ligatures w14:val="none"/>
        </w:rPr>
        <w:t>LGD</w:t>
      </w:r>
      <w:r w:rsidR="003B50ED" w:rsidRPr="00F16251">
        <w:rPr>
          <w:rFonts w:cstheme="minorHAnsi"/>
          <w:kern w:val="0"/>
          <w14:ligatures w14:val="none"/>
        </w:rPr>
        <w:t xml:space="preserve"> </w:t>
      </w:r>
      <w:r w:rsidRPr="00F16251">
        <w:rPr>
          <w:rFonts w:cstheme="minorHAnsi"/>
          <w:kern w:val="0"/>
          <w14:ligatures w14:val="none"/>
        </w:rPr>
        <w:t>poprzez</w:t>
      </w:r>
      <w:r w:rsidR="003B50ED" w:rsidRPr="00F16251">
        <w:rPr>
          <w:rFonts w:cstheme="minorHAnsi"/>
          <w:kern w:val="0"/>
          <w14:ligatures w14:val="none"/>
        </w:rPr>
        <w:t xml:space="preserve"> </w:t>
      </w:r>
      <w:r w:rsidRPr="00F16251">
        <w:rPr>
          <w:rFonts w:cstheme="minorHAnsi"/>
          <w:kern w:val="0"/>
          <w14:ligatures w14:val="none"/>
        </w:rPr>
        <w:t>konkurencyjny</w:t>
      </w:r>
      <w:r w:rsidR="003B50ED" w:rsidRPr="00F16251">
        <w:rPr>
          <w:rFonts w:cstheme="minorHAnsi"/>
          <w:kern w:val="0"/>
          <w14:ligatures w14:val="none"/>
        </w:rPr>
        <w:t xml:space="preserve"> </w:t>
      </w:r>
      <w:r w:rsidRPr="00F16251">
        <w:rPr>
          <w:rFonts w:cstheme="minorHAnsi"/>
          <w:kern w:val="0"/>
          <w14:ligatures w14:val="none"/>
        </w:rPr>
        <w:t>wybór</w:t>
      </w:r>
      <w:r w:rsidR="003B50ED" w:rsidRPr="00F16251">
        <w:rPr>
          <w:rFonts w:cstheme="minorHAnsi"/>
          <w:kern w:val="0"/>
          <w14:ligatures w14:val="none"/>
        </w:rPr>
        <w:t xml:space="preserve"> </w:t>
      </w:r>
      <w:proofErr w:type="spellStart"/>
      <w:r w:rsidRPr="00F16251">
        <w:rPr>
          <w:rFonts w:cstheme="minorHAnsi"/>
          <w:kern w:val="0"/>
          <w14:ligatures w14:val="none"/>
        </w:rPr>
        <w:t>Grantobiorców</w:t>
      </w:r>
      <w:proofErr w:type="spellEnd"/>
      <w:r w:rsidR="003B50ED" w:rsidRPr="00F16251">
        <w:rPr>
          <w:rFonts w:cstheme="minorHAnsi"/>
          <w:kern w:val="0"/>
          <w14:ligatures w14:val="none"/>
        </w:rPr>
        <w:t xml:space="preserve"> </w:t>
      </w:r>
      <w:r w:rsidRPr="00F16251">
        <w:rPr>
          <w:rFonts w:cstheme="minorHAnsi"/>
          <w:kern w:val="0"/>
          <w14:ligatures w14:val="none"/>
        </w:rPr>
        <w:t>realizujących</w:t>
      </w:r>
      <w:r w:rsidR="003B50ED" w:rsidRPr="00F16251">
        <w:rPr>
          <w:rFonts w:cstheme="minorHAnsi"/>
          <w:kern w:val="0"/>
          <w14:ligatures w14:val="none"/>
        </w:rPr>
        <w:t xml:space="preserve"> </w:t>
      </w:r>
      <w:r w:rsidRPr="00F16251">
        <w:rPr>
          <w:rFonts w:cstheme="minorHAnsi"/>
          <w:kern w:val="0"/>
          <w14:ligatures w14:val="none"/>
        </w:rPr>
        <w:t>pojedyncze</w:t>
      </w:r>
      <w:r w:rsidR="003B50ED" w:rsidRPr="00F16251">
        <w:rPr>
          <w:rFonts w:cstheme="minorHAnsi"/>
          <w:kern w:val="0"/>
          <w14:ligatures w14:val="none"/>
        </w:rPr>
        <w:t xml:space="preserve"> </w:t>
      </w:r>
      <w:r w:rsidRPr="00F16251">
        <w:rPr>
          <w:rFonts w:cstheme="minorHAnsi"/>
          <w:kern w:val="0"/>
          <w14:ligatures w14:val="none"/>
        </w:rPr>
        <w:t>zadania</w:t>
      </w:r>
      <w:r w:rsidR="003B50ED" w:rsidRPr="00F16251">
        <w:rPr>
          <w:rFonts w:cstheme="minorHAnsi"/>
          <w:kern w:val="0"/>
          <w14:ligatures w14:val="none"/>
        </w:rPr>
        <w:t xml:space="preserve"> </w:t>
      </w:r>
      <w:r w:rsidRPr="00F16251">
        <w:rPr>
          <w:rFonts w:cstheme="minorHAnsi"/>
          <w:kern w:val="0"/>
          <w14:ligatures w14:val="none"/>
        </w:rPr>
        <w:t>składające</w:t>
      </w:r>
      <w:r w:rsidR="003B50ED" w:rsidRPr="00F16251">
        <w:rPr>
          <w:rFonts w:cstheme="minorHAnsi"/>
          <w:kern w:val="0"/>
          <w14:ligatures w14:val="none"/>
        </w:rPr>
        <w:t xml:space="preserve"> </w:t>
      </w:r>
      <w:r w:rsidRPr="00F16251">
        <w:rPr>
          <w:rFonts w:cstheme="minorHAnsi"/>
          <w:kern w:val="0"/>
          <w14:ligatures w14:val="none"/>
        </w:rPr>
        <w:t>się</w:t>
      </w:r>
      <w:r w:rsidR="003B50ED" w:rsidRPr="00F16251">
        <w:rPr>
          <w:rFonts w:cstheme="minorHAnsi"/>
          <w:kern w:val="0"/>
          <w14:ligatures w14:val="none"/>
        </w:rPr>
        <w:t xml:space="preserve"> </w:t>
      </w:r>
      <w:r w:rsidRPr="00F16251">
        <w:rPr>
          <w:rFonts w:cstheme="minorHAnsi"/>
          <w:kern w:val="0"/>
          <w14:ligatures w14:val="none"/>
        </w:rPr>
        <w:t>na</w:t>
      </w:r>
      <w:r w:rsidR="003B50ED" w:rsidRPr="00F16251">
        <w:rPr>
          <w:rFonts w:cstheme="minorHAnsi"/>
          <w:kern w:val="0"/>
          <w14:ligatures w14:val="none"/>
        </w:rPr>
        <w:t xml:space="preserve"> </w:t>
      </w:r>
      <w:r w:rsidRPr="00F16251">
        <w:rPr>
          <w:rFonts w:cstheme="minorHAnsi"/>
          <w:kern w:val="0"/>
          <w14:ligatures w14:val="none"/>
        </w:rPr>
        <w:t>projekt</w:t>
      </w:r>
      <w:r w:rsidR="003B50ED" w:rsidRPr="00F16251">
        <w:rPr>
          <w:rFonts w:cstheme="minorHAnsi"/>
          <w:kern w:val="0"/>
          <w14:ligatures w14:val="none"/>
        </w:rPr>
        <w:t xml:space="preserve"> </w:t>
      </w:r>
      <w:r w:rsidRPr="00F16251">
        <w:rPr>
          <w:rFonts w:cstheme="minorHAnsi"/>
          <w:kern w:val="0"/>
          <w14:ligatures w14:val="none"/>
        </w:rPr>
        <w:t>grantowy</w:t>
      </w:r>
      <w:r w:rsidR="00717EE9">
        <w:rPr>
          <w:rFonts w:cstheme="minorHAnsi"/>
          <w:kern w:val="0"/>
          <w14:ligatures w14:val="none"/>
        </w:rPr>
        <w:t xml:space="preserve"> (EFR</w:t>
      </w:r>
      <w:r w:rsidR="00C17661">
        <w:rPr>
          <w:rFonts w:cstheme="minorHAnsi"/>
          <w:kern w:val="0"/>
          <w14:ligatures w14:val="none"/>
        </w:rPr>
        <w:t>ROW</w:t>
      </w:r>
      <w:r w:rsidR="00130167" w:rsidRPr="00F16251">
        <w:rPr>
          <w:rFonts w:cstheme="minorHAnsi"/>
          <w:kern w:val="0"/>
          <w14:ligatures w14:val="none"/>
        </w:rPr>
        <w:t>)</w:t>
      </w:r>
      <w:r w:rsidRPr="00F16251">
        <w:rPr>
          <w:rFonts w:cstheme="minorHAnsi"/>
          <w:kern w:val="0"/>
          <w14:ligatures w14:val="none"/>
        </w:rPr>
        <w:t>;</w:t>
      </w:r>
      <w:r w:rsidR="003B50ED" w:rsidRPr="00F16251">
        <w:rPr>
          <w:rFonts w:cstheme="minorHAnsi"/>
          <w:kern w:val="0"/>
          <w14:ligatures w14:val="none"/>
        </w:rPr>
        <w:t xml:space="preserve"> </w:t>
      </w:r>
    </w:p>
    <w:p w14:paraId="774D8B2E" w14:textId="6521B491" w:rsidR="002C63F4" w:rsidRPr="00F16251" w:rsidRDefault="002C63F4" w:rsidP="00A26C26">
      <w:pPr>
        <w:spacing w:line="276" w:lineRule="auto"/>
        <w:jc w:val="both"/>
        <w:rPr>
          <w:rFonts w:cstheme="minorHAnsi"/>
          <w:kern w:val="0"/>
          <w14:ligatures w14:val="none"/>
        </w:rPr>
      </w:pPr>
      <w:r w:rsidRPr="00F16251">
        <w:rPr>
          <w:rFonts w:cstheme="minorHAnsi"/>
          <w:kern w:val="0"/>
          <w14:ligatures w14:val="none"/>
        </w:rPr>
        <w:t>-</w:t>
      </w:r>
      <w:r w:rsidR="003B50ED" w:rsidRPr="00F16251">
        <w:rPr>
          <w:rFonts w:cstheme="minorHAnsi"/>
          <w:kern w:val="0"/>
          <w14:ligatures w14:val="none"/>
        </w:rPr>
        <w:t xml:space="preserve"> </w:t>
      </w:r>
      <w:r w:rsidRPr="00F16251">
        <w:rPr>
          <w:rFonts w:cstheme="minorHAnsi"/>
          <w:kern w:val="0"/>
          <w14:ligatures w14:val="none"/>
        </w:rPr>
        <w:t>projekty</w:t>
      </w:r>
      <w:r w:rsidR="003B50ED" w:rsidRPr="00F16251">
        <w:rPr>
          <w:rFonts w:cstheme="minorHAnsi"/>
          <w:kern w:val="0"/>
          <w14:ligatures w14:val="none"/>
        </w:rPr>
        <w:t xml:space="preserve"> </w:t>
      </w:r>
      <w:r w:rsidRPr="00F16251">
        <w:rPr>
          <w:rFonts w:cstheme="minorHAnsi"/>
          <w:kern w:val="0"/>
          <w14:ligatures w14:val="none"/>
        </w:rPr>
        <w:t>grantowe</w:t>
      </w:r>
      <w:r w:rsidR="003B50ED" w:rsidRPr="00F16251">
        <w:rPr>
          <w:rFonts w:cstheme="minorHAnsi"/>
          <w:kern w:val="0"/>
          <w14:ligatures w14:val="none"/>
        </w:rPr>
        <w:t xml:space="preserve"> </w:t>
      </w:r>
      <w:r w:rsidRPr="00F16251">
        <w:rPr>
          <w:rFonts w:cstheme="minorHAnsi"/>
          <w:kern w:val="0"/>
          <w14:ligatures w14:val="none"/>
        </w:rPr>
        <w:t>realizowane</w:t>
      </w:r>
      <w:r w:rsidR="003B50ED" w:rsidRPr="00F16251">
        <w:rPr>
          <w:rFonts w:cstheme="minorHAnsi"/>
          <w:kern w:val="0"/>
          <w14:ligatures w14:val="none"/>
        </w:rPr>
        <w:t xml:space="preserve"> </w:t>
      </w:r>
      <w:r w:rsidRPr="00F16251">
        <w:rPr>
          <w:rFonts w:cstheme="minorHAnsi"/>
          <w:kern w:val="0"/>
          <w14:ligatures w14:val="none"/>
        </w:rPr>
        <w:t>przez</w:t>
      </w:r>
      <w:r w:rsidR="003B50ED" w:rsidRPr="00F16251">
        <w:rPr>
          <w:rFonts w:cstheme="minorHAnsi"/>
          <w:kern w:val="0"/>
          <w14:ligatures w14:val="none"/>
        </w:rPr>
        <w:t xml:space="preserve"> </w:t>
      </w:r>
      <w:r w:rsidRPr="00F16251">
        <w:rPr>
          <w:rFonts w:cstheme="minorHAnsi"/>
          <w:kern w:val="0"/>
          <w14:ligatures w14:val="none"/>
        </w:rPr>
        <w:t>LGD</w:t>
      </w:r>
      <w:r w:rsidR="003B50ED" w:rsidRPr="00F16251">
        <w:rPr>
          <w:rFonts w:cstheme="minorHAnsi"/>
          <w:kern w:val="0"/>
          <w14:ligatures w14:val="none"/>
        </w:rPr>
        <w:t xml:space="preserve"> </w:t>
      </w:r>
      <w:r w:rsidRPr="00F16251">
        <w:rPr>
          <w:rFonts w:cstheme="minorHAnsi"/>
          <w:kern w:val="0"/>
          <w14:ligatures w14:val="none"/>
        </w:rPr>
        <w:t>zgodnie</w:t>
      </w:r>
      <w:r w:rsidR="003B50ED" w:rsidRPr="00F16251">
        <w:rPr>
          <w:rFonts w:cstheme="minorHAnsi"/>
          <w:kern w:val="0"/>
          <w14:ligatures w14:val="none"/>
        </w:rPr>
        <w:t xml:space="preserve"> </w:t>
      </w:r>
      <w:r w:rsidRPr="00F16251">
        <w:rPr>
          <w:rFonts w:cstheme="minorHAnsi"/>
          <w:kern w:val="0"/>
          <w14:ligatures w14:val="none"/>
        </w:rPr>
        <w:t>z</w:t>
      </w:r>
      <w:r w:rsidR="003B50ED" w:rsidRPr="00F16251">
        <w:rPr>
          <w:rFonts w:cstheme="minorHAnsi"/>
          <w:kern w:val="0"/>
          <w14:ligatures w14:val="none"/>
        </w:rPr>
        <w:t xml:space="preserve"> </w:t>
      </w:r>
      <w:r w:rsidRPr="00F16251">
        <w:rPr>
          <w:rFonts w:cstheme="minorHAnsi"/>
          <w:kern w:val="0"/>
          <w14:ligatures w14:val="none"/>
        </w:rPr>
        <w:t>powyższymi</w:t>
      </w:r>
      <w:r w:rsidR="003B50ED" w:rsidRPr="00F16251">
        <w:rPr>
          <w:rFonts w:cstheme="minorHAnsi"/>
          <w:kern w:val="0"/>
          <w14:ligatures w14:val="none"/>
        </w:rPr>
        <w:t xml:space="preserve"> </w:t>
      </w:r>
      <w:r w:rsidRPr="00F16251">
        <w:rPr>
          <w:rFonts w:cstheme="minorHAnsi"/>
          <w:kern w:val="0"/>
          <w14:ligatures w14:val="none"/>
        </w:rPr>
        <w:t>zasadami,</w:t>
      </w:r>
      <w:r w:rsidR="003B50ED" w:rsidRPr="00F16251">
        <w:rPr>
          <w:rFonts w:cstheme="minorHAnsi"/>
          <w:kern w:val="0"/>
          <w14:ligatures w14:val="none"/>
        </w:rPr>
        <w:t xml:space="preserve"> </w:t>
      </w:r>
      <w:r w:rsidRPr="00F16251">
        <w:rPr>
          <w:rFonts w:cstheme="minorHAnsi"/>
          <w:kern w:val="0"/>
          <w14:ligatures w14:val="none"/>
        </w:rPr>
        <w:t>jednak</w:t>
      </w:r>
      <w:r w:rsidR="003B50ED" w:rsidRPr="00F16251">
        <w:rPr>
          <w:rFonts w:cstheme="minorHAnsi"/>
          <w:kern w:val="0"/>
          <w14:ligatures w14:val="none"/>
        </w:rPr>
        <w:t xml:space="preserve"> </w:t>
      </w:r>
      <w:r w:rsidRPr="00F16251">
        <w:rPr>
          <w:rFonts w:cstheme="minorHAnsi"/>
          <w:kern w:val="0"/>
          <w14:ligatures w14:val="none"/>
        </w:rPr>
        <w:t>ukierunkowane</w:t>
      </w:r>
      <w:r w:rsidR="003B50ED" w:rsidRPr="00F16251">
        <w:rPr>
          <w:rFonts w:cstheme="minorHAnsi"/>
          <w:kern w:val="0"/>
          <w14:ligatures w14:val="none"/>
        </w:rPr>
        <w:t xml:space="preserve"> </w:t>
      </w:r>
      <w:r w:rsidR="00B90149">
        <w:rPr>
          <w:rFonts w:cstheme="minorHAnsi"/>
          <w:kern w:val="0"/>
          <w14:ligatures w14:val="none"/>
        </w:rPr>
        <w:t xml:space="preserve">                                           </w:t>
      </w:r>
      <w:r w:rsidRPr="00F16251">
        <w:rPr>
          <w:rFonts w:cstheme="minorHAnsi"/>
          <w:kern w:val="0"/>
          <w14:ligatures w14:val="none"/>
        </w:rPr>
        <w:t>na</w:t>
      </w:r>
      <w:r w:rsidR="003B50ED" w:rsidRPr="00F16251">
        <w:rPr>
          <w:rFonts w:cstheme="minorHAnsi"/>
          <w:kern w:val="0"/>
          <w14:ligatures w14:val="none"/>
        </w:rPr>
        <w:t xml:space="preserve"> </w:t>
      </w:r>
      <w:r w:rsidRPr="00F16251">
        <w:rPr>
          <w:rFonts w:cstheme="minorHAnsi"/>
          <w:kern w:val="0"/>
          <w14:ligatures w14:val="none"/>
        </w:rPr>
        <w:t>przygotowanie</w:t>
      </w:r>
      <w:r w:rsidR="003B50ED" w:rsidRPr="00F16251">
        <w:rPr>
          <w:rFonts w:cstheme="minorHAnsi"/>
          <w:kern w:val="0"/>
          <w14:ligatures w14:val="none"/>
        </w:rPr>
        <w:t xml:space="preserve"> </w:t>
      </w:r>
      <w:r w:rsidRPr="00F16251">
        <w:rPr>
          <w:rFonts w:cstheme="minorHAnsi"/>
          <w:kern w:val="0"/>
          <w14:ligatures w14:val="none"/>
        </w:rPr>
        <w:t>innowacyjnych</w:t>
      </w:r>
      <w:r w:rsidR="003B50ED" w:rsidRPr="00F16251">
        <w:rPr>
          <w:rFonts w:cstheme="minorHAnsi"/>
          <w:kern w:val="0"/>
          <w14:ligatures w14:val="none"/>
        </w:rPr>
        <w:t xml:space="preserve"> </w:t>
      </w:r>
      <w:r w:rsidRPr="00F16251">
        <w:rPr>
          <w:rFonts w:cstheme="minorHAnsi"/>
          <w:kern w:val="0"/>
          <w14:ligatures w14:val="none"/>
        </w:rPr>
        <w:t>koncepcji</w:t>
      </w:r>
      <w:r w:rsidR="003B50ED" w:rsidRPr="00F16251">
        <w:rPr>
          <w:rFonts w:cstheme="minorHAnsi"/>
          <w:kern w:val="0"/>
          <w14:ligatures w14:val="none"/>
        </w:rPr>
        <w:t xml:space="preserve"> </w:t>
      </w:r>
      <w:r w:rsidRPr="00F16251">
        <w:rPr>
          <w:rFonts w:cstheme="minorHAnsi"/>
          <w:kern w:val="0"/>
          <w14:ligatures w14:val="none"/>
        </w:rPr>
        <w:t>inteligentnych</w:t>
      </w:r>
      <w:r w:rsidR="003B50ED" w:rsidRPr="00F16251">
        <w:rPr>
          <w:rFonts w:cstheme="minorHAnsi"/>
          <w:kern w:val="0"/>
          <w14:ligatures w14:val="none"/>
        </w:rPr>
        <w:t xml:space="preserve"> </w:t>
      </w:r>
      <w:r w:rsidRPr="00F16251">
        <w:rPr>
          <w:rFonts w:cstheme="minorHAnsi"/>
          <w:kern w:val="0"/>
          <w14:ligatures w14:val="none"/>
        </w:rPr>
        <w:t>wsi</w:t>
      </w:r>
      <w:r w:rsidR="00717EE9">
        <w:rPr>
          <w:rFonts w:cstheme="minorHAnsi"/>
          <w:kern w:val="0"/>
          <w14:ligatures w14:val="none"/>
        </w:rPr>
        <w:t xml:space="preserve"> (EFR</w:t>
      </w:r>
      <w:r w:rsidR="00130167" w:rsidRPr="00F16251">
        <w:rPr>
          <w:rFonts w:cstheme="minorHAnsi"/>
          <w:kern w:val="0"/>
          <w14:ligatures w14:val="none"/>
        </w:rPr>
        <w:t>ROW)</w:t>
      </w:r>
      <w:r w:rsidRPr="00F16251">
        <w:rPr>
          <w:rFonts w:cstheme="minorHAnsi"/>
          <w:kern w:val="0"/>
          <w14:ligatures w14:val="none"/>
        </w:rPr>
        <w:t>,</w:t>
      </w:r>
    </w:p>
    <w:p w14:paraId="0344B678" w14:textId="47D3D7A7" w:rsidR="002C63F4" w:rsidRPr="00F16251" w:rsidRDefault="002C63F4" w:rsidP="00130167">
      <w:pPr>
        <w:spacing w:line="276" w:lineRule="auto"/>
        <w:ind w:firstLine="360"/>
        <w:jc w:val="both"/>
        <w:rPr>
          <w:rFonts w:cstheme="minorHAnsi"/>
          <w:kern w:val="0"/>
          <w14:ligatures w14:val="none"/>
        </w:rPr>
      </w:pP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LSR</w:t>
      </w:r>
      <w:r w:rsidR="003B50ED" w:rsidRPr="00F16251">
        <w:rPr>
          <w:rFonts w:cstheme="minorHAnsi"/>
          <w:kern w:val="0"/>
          <w14:ligatures w14:val="none"/>
        </w:rPr>
        <w:t xml:space="preserve"> </w:t>
      </w:r>
      <w:r w:rsidRPr="00F16251">
        <w:rPr>
          <w:rFonts w:cstheme="minorHAnsi"/>
          <w:kern w:val="0"/>
          <w14:ligatures w14:val="none"/>
        </w:rPr>
        <w:t>przewidziano</w:t>
      </w:r>
      <w:r w:rsidR="003B50ED" w:rsidRPr="00F16251">
        <w:rPr>
          <w:rFonts w:cstheme="minorHAnsi"/>
          <w:kern w:val="0"/>
          <w14:ligatures w14:val="none"/>
        </w:rPr>
        <w:t xml:space="preserve"> </w:t>
      </w:r>
      <w:r w:rsidRPr="00F16251">
        <w:rPr>
          <w:rFonts w:cstheme="minorHAnsi"/>
          <w:kern w:val="0"/>
          <w14:ligatures w14:val="none"/>
        </w:rPr>
        <w:t>również</w:t>
      </w:r>
      <w:r w:rsidR="003B50ED" w:rsidRPr="00F16251">
        <w:rPr>
          <w:rFonts w:cstheme="minorHAnsi"/>
          <w:kern w:val="0"/>
          <w14:ligatures w14:val="none"/>
        </w:rPr>
        <w:t xml:space="preserve"> </w:t>
      </w:r>
      <w:r w:rsidRPr="00F16251">
        <w:rPr>
          <w:rFonts w:cstheme="minorHAnsi"/>
          <w:kern w:val="0"/>
          <w14:ligatures w14:val="none"/>
        </w:rPr>
        <w:t>możliwość</w:t>
      </w:r>
      <w:r w:rsidR="003B50ED" w:rsidRPr="00F16251">
        <w:rPr>
          <w:rFonts w:cstheme="minorHAnsi"/>
          <w:kern w:val="0"/>
          <w14:ligatures w14:val="none"/>
        </w:rPr>
        <w:t xml:space="preserve"> </w:t>
      </w:r>
      <w:r w:rsidRPr="00F16251">
        <w:rPr>
          <w:rFonts w:cstheme="minorHAnsi"/>
          <w:kern w:val="0"/>
          <w14:ligatures w14:val="none"/>
        </w:rPr>
        <w:t>realizacji</w:t>
      </w:r>
      <w:r w:rsidR="003B50ED" w:rsidRPr="00F16251">
        <w:rPr>
          <w:rFonts w:cstheme="minorHAnsi"/>
          <w:kern w:val="0"/>
          <w14:ligatures w14:val="none"/>
        </w:rPr>
        <w:t xml:space="preserve"> </w:t>
      </w:r>
      <w:r w:rsidRPr="00F16251">
        <w:rPr>
          <w:rFonts w:cstheme="minorHAnsi"/>
          <w:kern w:val="0"/>
          <w14:ligatures w14:val="none"/>
        </w:rPr>
        <w:t>operacji</w:t>
      </w:r>
      <w:r w:rsidR="003B50ED" w:rsidRPr="00F16251">
        <w:rPr>
          <w:rFonts w:cstheme="minorHAnsi"/>
          <w:kern w:val="0"/>
          <w14:ligatures w14:val="none"/>
        </w:rPr>
        <w:t xml:space="preserve"> </w:t>
      </w:r>
      <w:r w:rsidRPr="00F16251">
        <w:rPr>
          <w:rFonts w:cstheme="minorHAnsi"/>
          <w:kern w:val="0"/>
          <w14:ligatures w14:val="none"/>
        </w:rPr>
        <w:t>własnych</w:t>
      </w:r>
      <w:r w:rsidR="003B50ED" w:rsidRPr="00F16251">
        <w:rPr>
          <w:rFonts w:cstheme="minorHAnsi"/>
          <w:kern w:val="0"/>
          <w14:ligatures w14:val="none"/>
        </w:rPr>
        <w:t xml:space="preserve"> </w:t>
      </w:r>
      <w:r w:rsidRPr="00F16251">
        <w:rPr>
          <w:rFonts w:cstheme="minorHAnsi"/>
          <w:kern w:val="0"/>
          <w14:ligatures w14:val="none"/>
        </w:rPr>
        <w:t>LGD,</w:t>
      </w:r>
      <w:r w:rsidR="003B50ED" w:rsidRPr="00F16251">
        <w:rPr>
          <w:rFonts w:cstheme="minorHAnsi"/>
          <w:kern w:val="0"/>
          <w14:ligatures w14:val="none"/>
        </w:rPr>
        <w:t xml:space="preserve"> </w:t>
      </w:r>
      <w:r w:rsidRPr="00F16251">
        <w:rPr>
          <w:rFonts w:cstheme="minorHAnsi"/>
          <w:kern w:val="0"/>
          <w14:ligatures w14:val="none"/>
        </w:rPr>
        <w:t>które</w:t>
      </w:r>
      <w:r w:rsidR="003B50ED" w:rsidRPr="00F16251">
        <w:rPr>
          <w:rFonts w:cstheme="minorHAnsi"/>
          <w:kern w:val="0"/>
          <w14:ligatures w14:val="none"/>
        </w:rPr>
        <w:t xml:space="preserve"> </w:t>
      </w:r>
      <w:r w:rsidRPr="00F16251">
        <w:rPr>
          <w:rFonts w:cstheme="minorHAnsi"/>
          <w:kern w:val="0"/>
          <w14:ligatures w14:val="none"/>
        </w:rPr>
        <w:t>zapewnią</w:t>
      </w:r>
      <w:r w:rsidR="003B50ED" w:rsidRPr="00F16251">
        <w:rPr>
          <w:rFonts w:cstheme="minorHAnsi"/>
          <w:kern w:val="0"/>
          <w14:ligatures w14:val="none"/>
        </w:rPr>
        <w:t xml:space="preserve"> </w:t>
      </w:r>
      <w:r w:rsidRPr="00F16251">
        <w:rPr>
          <w:rFonts w:cstheme="minorHAnsi"/>
          <w:kern w:val="0"/>
          <w14:ligatures w14:val="none"/>
        </w:rPr>
        <w:t>osiągnięcie</w:t>
      </w:r>
      <w:r w:rsidR="003B50ED" w:rsidRPr="00F16251">
        <w:rPr>
          <w:rFonts w:cstheme="minorHAnsi"/>
          <w:kern w:val="0"/>
          <w14:ligatures w14:val="none"/>
        </w:rPr>
        <w:t xml:space="preserve"> </w:t>
      </w:r>
      <w:r w:rsidRPr="00F16251">
        <w:rPr>
          <w:rFonts w:cstheme="minorHAnsi"/>
          <w:kern w:val="0"/>
          <w14:ligatures w14:val="none"/>
        </w:rPr>
        <w:t>danego</w:t>
      </w:r>
      <w:r w:rsidR="003B50ED" w:rsidRPr="00F16251">
        <w:rPr>
          <w:rFonts w:cstheme="minorHAnsi"/>
          <w:kern w:val="0"/>
          <w14:ligatures w14:val="none"/>
        </w:rPr>
        <w:t xml:space="preserve"> </w:t>
      </w:r>
      <w:r w:rsidRPr="00F16251">
        <w:rPr>
          <w:rFonts w:cstheme="minorHAnsi"/>
          <w:kern w:val="0"/>
          <w14:ligatures w14:val="none"/>
        </w:rPr>
        <w:t>celu/przedsięwzięcia</w:t>
      </w:r>
      <w:r w:rsidR="003B50ED" w:rsidRPr="00F16251">
        <w:rPr>
          <w:rFonts w:cstheme="minorHAnsi"/>
          <w:kern w:val="0"/>
          <w14:ligatures w14:val="none"/>
        </w:rPr>
        <w:t xml:space="preserve"> </w:t>
      </w:r>
      <w:r w:rsidRPr="00F16251">
        <w:rPr>
          <w:rFonts w:cstheme="minorHAnsi"/>
          <w:kern w:val="0"/>
          <w14:ligatures w14:val="none"/>
        </w:rPr>
        <w:t>LSR,</w:t>
      </w:r>
      <w:r w:rsidR="003B50ED" w:rsidRPr="00F16251">
        <w:rPr>
          <w:rFonts w:cstheme="minorHAnsi"/>
          <w:kern w:val="0"/>
          <w14:ligatures w14:val="none"/>
        </w:rPr>
        <w:t xml:space="preserve"> </w:t>
      </w:r>
      <w:r w:rsidRPr="00F16251">
        <w:rPr>
          <w:rFonts w:cstheme="minorHAnsi"/>
          <w:kern w:val="0"/>
          <w14:ligatures w14:val="none"/>
        </w:rPr>
        <w:t>jeśli</w:t>
      </w:r>
      <w:r w:rsidR="003B50ED" w:rsidRPr="00F16251">
        <w:rPr>
          <w:rFonts w:cstheme="minorHAnsi"/>
          <w:kern w:val="0"/>
          <w14:ligatures w14:val="none"/>
        </w:rPr>
        <w:t xml:space="preserve"> </w:t>
      </w:r>
      <w:r w:rsidRPr="00F16251">
        <w:rPr>
          <w:rFonts w:cstheme="minorHAnsi"/>
          <w:kern w:val="0"/>
          <w14:ligatures w14:val="none"/>
        </w:rPr>
        <w:t>nikt</w:t>
      </w:r>
      <w:r w:rsidR="003B50ED" w:rsidRPr="00F16251">
        <w:rPr>
          <w:rFonts w:cstheme="minorHAnsi"/>
          <w:kern w:val="0"/>
          <w14:ligatures w14:val="none"/>
        </w:rPr>
        <w:t xml:space="preserve"> </w:t>
      </w:r>
      <w:r w:rsidRPr="00F16251">
        <w:rPr>
          <w:rFonts w:cstheme="minorHAnsi"/>
          <w:kern w:val="0"/>
          <w14:ligatures w14:val="none"/>
        </w:rPr>
        <w:t>inny</w:t>
      </w:r>
      <w:r w:rsidR="003B50ED" w:rsidRPr="00F16251">
        <w:rPr>
          <w:rFonts w:cstheme="minorHAnsi"/>
          <w:kern w:val="0"/>
          <w14:ligatures w14:val="none"/>
        </w:rPr>
        <w:t xml:space="preserve"> </w:t>
      </w:r>
      <w:r w:rsidRPr="00F16251">
        <w:rPr>
          <w:rFonts w:cstheme="minorHAnsi"/>
          <w:kern w:val="0"/>
          <w14:ligatures w14:val="none"/>
        </w:rPr>
        <w:t>nie</w:t>
      </w:r>
      <w:r w:rsidR="003B50ED" w:rsidRPr="00F16251">
        <w:rPr>
          <w:rFonts w:cstheme="minorHAnsi"/>
          <w:kern w:val="0"/>
          <w14:ligatures w14:val="none"/>
        </w:rPr>
        <w:t xml:space="preserve"> </w:t>
      </w:r>
      <w:r w:rsidRPr="00F16251">
        <w:rPr>
          <w:rFonts w:cstheme="minorHAnsi"/>
          <w:kern w:val="0"/>
          <w14:ligatures w14:val="none"/>
        </w:rPr>
        <w:t>będzie</w:t>
      </w:r>
      <w:r w:rsidR="003B50ED" w:rsidRPr="00F16251">
        <w:rPr>
          <w:rFonts w:cstheme="minorHAnsi"/>
          <w:kern w:val="0"/>
          <w14:ligatures w14:val="none"/>
        </w:rPr>
        <w:t xml:space="preserve"> </w:t>
      </w:r>
      <w:r w:rsidRPr="00F16251">
        <w:rPr>
          <w:rFonts w:cstheme="minorHAnsi"/>
          <w:kern w:val="0"/>
          <w14:ligatures w14:val="none"/>
        </w:rPr>
        <w:t>chciał</w:t>
      </w:r>
      <w:r w:rsidR="003B50ED" w:rsidRPr="00F16251">
        <w:rPr>
          <w:rFonts w:cstheme="minorHAnsi"/>
          <w:kern w:val="0"/>
          <w14:ligatures w14:val="none"/>
        </w:rPr>
        <w:t xml:space="preserve"> </w:t>
      </w:r>
      <w:r w:rsidRPr="00F16251">
        <w:rPr>
          <w:rFonts w:cstheme="minorHAnsi"/>
          <w:kern w:val="0"/>
          <w14:ligatures w14:val="none"/>
        </w:rPr>
        <w:t>zrealizować</w:t>
      </w:r>
      <w:r w:rsidR="003B50ED" w:rsidRPr="00F16251">
        <w:rPr>
          <w:rFonts w:cstheme="minorHAnsi"/>
          <w:kern w:val="0"/>
          <w14:ligatures w14:val="none"/>
        </w:rPr>
        <w:t xml:space="preserve"> </w:t>
      </w:r>
      <w:r w:rsidR="00B90149">
        <w:rPr>
          <w:rFonts w:cstheme="minorHAnsi"/>
          <w:kern w:val="0"/>
          <w14:ligatures w14:val="none"/>
        </w:rPr>
        <w:t>projektów</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tym</w:t>
      </w:r>
      <w:r w:rsidR="003B50ED" w:rsidRPr="00F16251">
        <w:rPr>
          <w:rFonts w:cstheme="minorHAnsi"/>
          <w:kern w:val="0"/>
          <w14:ligatures w14:val="none"/>
        </w:rPr>
        <w:t xml:space="preserve"> </w:t>
      </w:r>
      <w:r w:rsidRPr="00F16251">
        <w:rPr>
          <w:rFonts w:cstheme="minorHAnsi"/>
          <w:kern w:val="0"/>
          <w14:ligatures w14:val="none"/>
        </w:rPr>
        <w:t>zakresie.</w:t>
      </w:r>
      <w:r w:rsidR="003B50ED" w:rsidRPr="00F16251">
        <w:rPr>
          <w:rFonts w:cstheme="minorHAnsi"/>
          <w:kern w:val="0"/>
          <w14:ligatures w14:val="none"/>
        </w:rPr>
        <w:t xml:space="preserve"> </w:t>
      </w:r>
      <w:r w:rsidRPr="00F16251">
        <w:rPr>
          <w:rFonts w:cstheme="minorHAnsi"/>
          <w:kern w:val="0"/>
          <w14:ligatures w14:val="none"/>
        </w:rPr>
        <w:t>Będą</w:t>
      </w:r>
      <w:r w:rsidR="003B50ED" w:rsidRPr="00F16251">
        <w:rPr>
          <w:rFonts w:cstheme="minorHAnsi"/>
          <w:kern w:val="0"/>
          <w14:ligatures w14:val="none"/>
        </w:rPr>
        <w:t xml:space="preserve"> </w:t>
      </w:r>
      <w:r w:rsidRPr="00F16251">
        <w:rPr>
          <w:rFonts w:cstheme="minorHAnsi"/>
          <w:kern w:val="0"/>
          <w14:ligatures w14:val="none"/>
        </w:rPr>
        <w:t>one</w:t>
      </w:r>
      <w:r w:rsidR="003B50ED" w:rsidRPr="00F16251">
        <w:rPr>
          <w:rFonts w:cstheme="minorHAnsi"/>
          <w:kern w:val="0"/>
          <w14:ligatures w14:val="none"/>
        </w:rPr>
        <w:t xml:space="preserve"> </w:t>
      </w:r>
      <w:r w:rsidRPr="00F16251">
        <w:rPr>
          <w:rFonts w:cstheme="minorHAnsi"/>
          <w:kern w:val="0"/>
          <w14:ligatures w14:val="none"/>
        </w:rPr>
        <w:t>spełniać</w:t>
      </w:r>
      <w:r w:rsidR="003B50ED" w:rsidRPr="00F16251">
        <w:rPr>
          <w:rFonts w:cstheme="minorHAnsi"/>
          <w:kern w:val="0"/>
          <w14:ligatures w14:val="none"/>
        </w:rPr>
        <w:t xml:space="preserve"> </w:t>
      </w:r>
      <w:r w:rsidRPr="00F16251">
        <w:rPr>
          <w:rFonts w:cstheme="minorHAnsi"/>
          <w:kern w:val="0"/>
          <w14:ligatures w14:val="none"/>
        </w:rPr>
        <w:t>podstawowe</w:t>
      </w:r>
      <w:r w:rsidR="003B50ED" w:rsidRPr="00F16251">
        <w:rPr>
          <w:rFonts w:cstheme="minorHAnsi"/>
          <w:kern w:val="0"/>
          <w14:ligatures w14:val="none"/>
        </w:rPr>
        <w:t xml:space="preserve"> </w:t>
      </w:r>
      <w:r w:rsidRPr="00F16251">
        <w:rPr>
          <w:rFonts w:cstheme="minorHAnsi"/>
          <w:kern w:val="0"/>
          <w14:ligatures w14:val="none"/>
        </w:rPr>
        <w:t>warunki</w:t>
      </w:r>
      <w:r w:rsidR="003B50ED" w:rsidRPr="00F16251">
        <w:rPr>
          <w:rFonts w:cstheme="minorHAnsi"/>
          <w:kern w:val="0"/>
          <w14:ligatures w14:val="none"/>
        </w:rPr>
        <w:t xml:space="preserve"> </w:t>
      </w:r>
      <w:r w:rsidRPr="00F16251">
        <w:rPr>
          <w:rFonts w:cstheme="minorHAnsi"/>
          <w:kern w:val="0"/>
          <w14:ligatures w14:val="none"/>
        </w:rPr>
        <w:t>przyznania</w:t>
      </w:r>
      <w:r w:rsidR="003B50ED" w:rsidRPr="00F16251">
        <w:rPr>
          <w:rFonts w:cstheme="minorHAnsi"/>
          <w:kern w:val="0"/>
          <w14:ligatures w14:val="none"/>
        </w:rPr>
        <w:t xml:space="preserve"> </w:t>
      </w:r>
      <w:r w:rsidRPr="00F16251">
        <w:rPr>
          <w:rFonts w:cstheme="minorHAnsi"/>
          <w:kern w:val="0"/>
          <w14:ligatures w14:val="none"/>
        </w:rPr>
        <w:t>pomocy</w:t>
      </w:r>
      <w:r w:rsidR="003B50ED" w:rsidRPr="00F16251">
        <w:rPr>
          <w:rFonts w:cstheme="minorHAnsi"/>
          <w:kern w:val="0"/>
          <w14:ligatures w14:val="none"/>
        </w:rPr>
        <w:t xml:space="preserve"> </w:t>
      </w:r>
      <w:r w:rsidRPr="00F16251">
        <w:rPr>
          <w:rFonts w:cstheme="minorHAnsi"/>
          <w:kern w:val="0"/>
          <w14:ligatures w14:val="none"/>
        </w:rPr>
        <w:t>oraz</w:t>
      </w:r>
      <w:r w:rsidR="003B50ED" w:rsidRPr="00F16251">
        <w:rPr>
          <w:rFonts w:cstheme="minorHAnsi"/>
          <w:kern w:val="0"/>
          <w14:ligatures w14:val="none"/>
        </w:rPr>
        <w:t xml:space="preserve"> </w:t>
      </w:r>
      <w:r w:rsidRPr="00F16251">
        <w:rPr>
          <w:rFonts w:cstheme="minorHAnsi"/>
          <w:kern w:val="0"/>
          <w14:ligatures w14:val="none"/>
        </w:rPr>
        <w:t>zostaną</w:t>
      </w:r>
      <w:r w:rsidR="003B50ED" w:rsidRPr="00F16251">
        <w:rPr>
          <w:rFonts w:cstheme="minorHAnsi"/>
          <w:kern w:val="0"/>
          <w14:ligatures w14:val="none"/>
        </w:rPr>
        <w:t xml:space="preserve"> </w:t>
      </w:r>
      <w:r w:rsidRPr="00F16251">
        <w:rPr>
          <w:rFonts w:cstheme="minorHAnsi"/>
          <w:kern w:val="0"/>
          <w14:ligatures w14:val="none"/>
        </w:rPr>
        <w:t>zachowane</w:t>
      </w:r>
      <w:r w:rsidR="003B50ED" w:rsidRPr="00F16251">
        <w:rPr>
          <w:rFonts w:cstheme="minorHAnsi"/>
          <w:kern w:val="0"/>
          <w14:ligatures w14:val="none"/>
        </w:rPr>
        <w:t xml:space="preserve"> </w:t>
      </w:r>
      <w:r w:rsidRPr="00F16251">
        <w:rPr>
          <w:rFonts w:cstheme="minorHAnsi"/>
          <w:kern w:val="0"/>
          <w14:ligatures w14:val="none"/>
        </w:rPr>
        <w:t>przy</w:t>
      </w:r>
      <w:r w:rsidR="003B50ED" w:rsidRPr="00F16251">
        <w:rPr>
          <w:rFonts w:cstheme="minorHAnsi"/>
          <w:kern w:val="0"/>
          <w14:ligatures w14:val="none"/>
        </w:rPr>
        <w:t xml:space="preserve"> </w:t>
      </w:r>
      <w:r w:rsidRPr="00F16251">
        <w:rPr>
          <w:rFonts w:cstheme="minorHAnsi"/>
          <w:kern w:val="0"/>
          <w14:ligatures w14:val="none"/>
        </w:rPr>
        <w:t>ich</w:t>
      </w:r>
      <w:r w:rsidR="003B50ED" w:rsidRPr="00F16251">
        <w:rPr>
          <w:rFonts w:cstheme="minorHAnsi"/>
          <w:kern w:val="0"/>
          <w14:ligatures w14:val="none"/>
        </w:rPr>
        <w:t xml:space="preserve"> </w:t>
      </w:r>
      <w:r w:rsidRPr="00F16251">
        <w:rPr>
          <w:rFonts w:cstheme="minorHAnsi"/>
          <w:kern w:val="0"/>
          <w14:ligatures w14:val="none"/>
        </w:rPr>
        <w:t>wyborze</w:t>
      </w:r>
      <w:r w:rsidR="003B50ED" w:rsidRPr="00F16251">
        <w:rPr>
          <w:rFonts w:cstheme="minorHAnsi"/>
          <w:kern w:val="0"/>
          <w14:ligatures w14:val="none"/>
        </w:rPr>
        <w:t xml:space="preserve"> </w:t>
      </w:r>
      <w:r w:rsidRPr="00F16251">
        <w:rPr>
          <w:rFonts w:cstheme="minorHAnsi"/>
          <w:kern w:val="0"/>
          <w14:ligatures w14:val="none"/>
        </w:rPr>
        <w:t>zasady</w:t>
      </w:r>
      <w:r w:rsidR="003B50ED" w:rsidRPr="00F16251">
        <w:rPr>
          <w:rFonts w:cstheme="minorHAnsi"/>
          <w:kern w:val="0"/>
          <w14:ligatures w14:val="none"/>
        </w:rPr>
        <w:t xml:space="preserve"> </w:t>
      </w:r>
      <w:r w:rsidRPr="00F16251">
        <w:rPr>
          <w:rFonts w:cstheme="minorHAnsi"/>
          <w:kern w:val="0"/>
          <w14:ligatures w14:val="none"/>
        </w:rPr>
        <w:t>konkurencyjności</w:t>
      </w:r>
      <w:r w:rsidR="003B50ED" w:rsidRPr="00F16251">
        <w:rPr>
          <w:rFonts w:cstheme="minorHAnsi"/>
          <w:kern w:val="0"/>
          <w14:ligatures w14:val="none"/>
        </w:rPr>
        <w:t xml:space="preserve"> </w:t>
      </w:r>
      <w:r w:rsidRPr="00F16251">
        <w:rPr>
          <w:rFonts w:cstheme="minorHAnsi"/>
          <w:kern w:val="0"/>
          <w14:ligatures w14:val="none"/>
        </w:rPr>
        <w:t>względem</w:t>
      </w:r>
      <w:r w:rsidR="003B50ED" w:rsidRPr="00F16251">
        <w:rPr>
          <w:rFonts w:cstheme="minorHAnsi"/>
          <w:kern w:val="0"/>
          <w14:ligatures w14:val="none"/>
        </w:rPr>
        <w:t xml:space="preserve"> </w:t>
      </w:r>
      <w:r w:rsidRPr="00F16251">
        <w:rPr>
          <w:rFonts w:cstheme="minorHAnsi"/>
          <w:kern w:val="0"/>
          <w14:ligatures w14:val="none"/>
        </w:rPr>
        <w:t>operacji</w:t>
      </w:r>
      <w:r w:rsidR="003B50ED" w:rsidRPr="00F16251">
        <w:rPr>
          <w:rFonts w:cstheme="minorHAnsi"/>
          <w:kern w:val="0"/>
          <w14:ligatures w14:val="none"/>
        </w:rPr>
        <w:t xml:space="preserve"> </w:t>
      </w:r>
      <w:r w:rsidRPr="00F16251">
        <w:rPr>
          <w:rFonts w:cstheme="minorHAnsi"/>
          <w:kern w:val="0"/>
          <w14:ligatures w14:val="none"/>
        </w:rPr>
        <w:t>planowanych</w:t>
      </w:r>
      <w:r w:rsidR="003B50ED" w:rsidRPr="00F16251">
        <w:rPr>
          <w:rFonts w:cstheme="minorHAnsi"/>
          <w:kern w:val="0"/>
          <w14:ligatures w14:val="none"/>
        </w:rPr>
        <w:t xml:space="preserve"> </w:t>
      </w:r>
      <w:r w:rsidRPr="00F16251">
        <w:rPr>
          <w:rFonts w:cstheme="minorHAnsi"/>
          <w:kern w:val="0"/>
          <w14:ligatures w14:val="none"/>
        </w:rPr>
        <w:t>przez</w:t>
      </w:r>
      <w:r w:rsidR="003B50ED" w:rsidRPr="00F16251">
        <w:rPr>
          <w:rFonts w:cstheme="minorHAnsi"/>
          <w:kern w:val="0"/>
          <w14:ligatures w14:val="none"/>
        </w:rPr>
        <w:t xml:space="preserve"> </w:t>
      </w:r>
      <w:r w:rsidRPr="00F16251">
        <w:rPr>
          <w:rFonts w:cstheme="minorHAnsi"/>
          <w:kern w:val="0"/>
          <w14:ligatures w14:val="none"/>
        </w:rPr>
        <w:t>innych</w:t>
      </w:r>
      <w:r w:rsidR="003B50ED" w:rsidRPr="00F16251">
        <w:rPr>
          <w:rFonts w:cstheme="minorHAnsi"/>
          <w:kern w:val="0"/>
          <w14:ligatures w14:val="none"/>
        </w:rPr>
        <w:t xml:space="preserve"> </w:t>
      </w:r>
      <w:r w:rsidRPr="00F16251">
        <w:rPr>
          <w:rFonts w:cstheme="minorHAnsi"/>
          <w:kern w:val="0"/>
          <w14:ligatures w14:val="none"/>
        </w:rPr>
        <w:t>Wnioskodawców.</w:t>
      </w:r>
      <w:r w:rsidR="003B50ED" w:rsidRPr="00F16251">
        <w:rPr>
          <w:rFonts w:cstheme="minorHAnsi"/>
          <w:kern w:val="0"/>
          <w14:ligatures w14:val="none"/>
        </w:rPr>
        <w:t xml:space="preserve"> </w:t>
      </w:r>
      <w:r w:rsidRPr="00F16251">
        <w:rPr>
          <w:rFonts w:cstheme="minorHAnsi"/>
          <w:kern w:val="0"/>
          <w14:ligatures w14:val="none"/>
        </w:rPr>
        <w:t>Będą</w:t>
      </w:r>
      <w:r w:rsidR="003B50ED" w:rsidRPr="00F16251">
        <w:rPr>
          <w:rFonts w:cstheme="minorHAnsi"/>
          <w:kern w:val="0"/>
          <w14:ligatures w14:val="none"/>
        </w:rPr>
        <w:t xml:space="preserve"> </w:t>
      </w:r>
      <w:r w:rsidRPr="00F16251">
        <w:rPr>
          <w:rFonts w:cstheme="minorHAnsi"/>
          <w:kern w:val="0"/>
          <w14:ligatures w14:val="none"/>
        </w:rPr>
        <w:t>one</w:t>
      </w:r>
      <w:r w:rsidR="003B50ED" w:rsidRPr="00F16251">
        <w:rPr>
          <w:rFonts w:cstheme="minorHAnsi"/>
          <w:kern w:val="0"/>
          <w14:ligatures w14:val="none"/>
        </w:rPr>
        <w:t xml:space="preserve"> </w:t>
      </w:r>
      <w:r w:rsidRPr="00F16251">
        <w:rPr>
          <w:rFonts w:cstheme="minorHAnsi"/>
          <w:kern w:val="0"/>
          <w14:ligatures w14:val="none"/>
        </w:rPr>
        <w:t>składane</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ramach</w:t>
      </w:r>
      <w:r w:rsidR="003B50ED" w:rsidRPr="00F16251">
        <w:rPr>
          <w:rFonts w:cstheme="minorHAnsi"/>
          <w:kern w:val="0"/>
          <w14:ligatures w14:val="none"/>
        </w:rPr>
        <w:t xml:space="preserve"> </w:t>
      </w:r>
      <w:r w:rsidRPr="00F16251">
        <w:rPr>
          <w:rFonts w:cstheme="minorHAnsi"/>
          <w:kern w:val="0"/>
          <w14:ligatures w14:val="none"/>
        </w:rPr>
        <w:t>naborów</w:t>
      </w:r>
      <w:r w:rsidR="003B50ED" w:rsidRPr="00F16251">
        <w:rPr>
          <w:rFonts w:cstheme="minorHAnsi"/>
          <w:kern w:val="0"/>
          <w14:ligatures w14:val="none"/>
        </w:rPr>
        <w:t xml:space="preserve"> </w:t>
      </w:r>
      <w:r w:rsidRPr="00F16251">
        <w:rPr>
          <w:rFonts w:cstheme="minorHAnsi"/>
          <w:kern w:val="0"/>
          <w14:ligatures w14:val="none"/>
        </w:rPr>
        <w:t>ogłaszanych</w:t>
      </w:r>
      <w:r w:rsidR="003B50ED" w:rsidRPr="00F16251">
        <w:rPr>
          <w:rFonts w:cstheme="minorHAnsi"/>
          <w:kern w:val="0"/>
          <w14:ligatures w14:val="none"/>
        </w:rPr>
        <w:t xml:space="preserve"> </w:t>
      </w:r>
      <w:r w:rsidRPr="00F16251">
        <w:rPr>
          <w:rFonts w:cstheme="minorHAnsi"/>
          <w:kern w:val="0"/>
          <w14:ligatures w14:val="none"/>
        </w:rPr>
        <w:t>przez</w:t>
      </w:r>
      <w:r w:rsidR="003B50ED" w:rsidRPr="00F16251">
        <w:rPr>
          <w:rFonts w:cstheme="minorHAnsi"/>
          <w:kern w:val="0"/>
          <w14:ligatures w14:val="none"/>
        </w:rPr>
        <w:t xml:space="preserve"> </w:t>
      </w:r>
      <w:r w:rsidRPr="00F16251">
        <w:rPr>
          <w:rFonts w:cstheme="minorHAnsi"/>
          <w:kern w:val="0"/>
          <w14:ligatures w14:val="none"/>
        </w:rPr>
        <w:t>LGD</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podlegać</w:t>
      </w:r>
      <w:r w:rsidR="003B50ED" w:rsidRPr="00F16251">
        <w:rPr>
          <w:rFonts w:cstheme="minorHAnsi"/>
          <w:kern w:val="0"/>
          <w14:ligatures w14:val="none"/>
        </w:rPr>
        <w:t xml:space="preserve"> </w:t>
      </w:r>
      <w:r w:rsidRPr="00F16251">
        <w:rPr>
          <w:rFonts w:cstheme="minorHAnsi"/>
          <w:kern w:val="0"/>
          <w14:ligatures w14:val="none"/>
        </w:rPr>
        <w:t>pełnej</w:t>
      </w:r>
      <w:r w:rsidR="003B50ED" w:rsidRPr="00F16251">
        <w:rPr>
          <w:rFonts w:cstheme="minorHAnsi"/>
          <w:kern w:val="0"/>
          <w14:ligatures w14:val="none"/>
        </w:rPr>
        <w:t xml:space="preserve"> </w:t>
      </w:r>
      <w:r w:rsidRPr="00F16251">
        <w:rPr>
          <w:rFonts w:cstheme="minorHAnsi"/>
          <w:kern w:val="0"/>
          <w14:ligatures w14:val="none"/>
        </w:rPr>
        <w:t>procedurze</w:t>
      </w:r>
      <w:r w:rsidR="003B50ED" w:rsidRPr="00F16251">
        <w:rPr>
          <w:rFonts w:cstheme="minorHAnsi"/>
          <w:kern w:val="0"/>
          <w14:ligatures w14:val="none"/>
        </w:rPr>
        <w:t xml:space="preserve"> </w:t>
      </w:r>
      <w:r w:rsidRPr="00F16251">
        <w:rPr>
          <w:rFonts w:cstheme="minorHAnsi"/>
          <w:kern w:val="0"/>
          <w14:ligatures w14:val="none"/>
        </w:rPr>
        <w:t>wyboru</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oceny</w:t>
      </w:r>
      <w:r w:rsidR="003B50ED" w:rsidRPr="00F16251">
        <w:rPr>
          <w:rFonts w:cstheme="minorHAnsi"/>
          <w:kern w:val="0"/>
          <w14:ligatures w14:val="none"/>
        </w:rPr>
        <w:t xml:space="preserve"> </w:t>
      </w:r>
      <w:r w:rsidRPr="00F16251">
        <w:rPr>
          <w:rFonts w:cstheme="minorHAnsi"/>
          <w:kern w:val="0"/>
          <w14:ligatures w14:val="none"/>
        </w:rPr>
        <w:t>przez</w:t>
      </w:r>
      <w:r w:rsidR="003B50ED" w:rsidRPr="00F16251">
        <w:rPr>
          <w:rFonts w:cstheme="minorHAnsi"/>
          <w:kern w:val="0"/>
          <w14:ligatures w14:val="none"/>
        </w:rPr>
        <w:t xml:space="preserve"> </w:t>
      </w:r>
      <w:r w:rsidRPr="00F16251">
        <w:rPr>
          <w:rFonts w:cstheme="minorHAnsi"/>
          <w:kern w:val="0"/>
          <w14:ligatures w14:val="none"/>
        </w:rPr>
        <w:t>Radę</w:t>
      </w:r>
      <w:r w:rsidR="003B50ED" w:rsidRPr="00F16251">
        <w:rPr>
          <w:rFonts w:cstheme="minorHAnsi"/>
          <w:kern w:val="0"/>
          <w14:ligatures w14:val="none"/>
        </w:rPr>
        <w:t xml:space="preserve"> </w:t>
      </w:r>
      <w:r w:rsidRPr="00F16251">
        <w:rPr>
          <w:rFonts w:cstheme="minorHAnsi"/>
          <w:kern w:val="0"/>
          <w14:ligatures w14:val="none"/>
        </w:rPr>
        <w:t>LGD</w:t>
      </w:r>
      <w:r w:rsidR="003B50ED" w:rsidRPr="00F16251">
        <w:rPr>
          <w:rFonts w:cstheme="minorHAnsi"/>
          <w:kern w:val="0"/>
          <w14:ligatures w14:val="none"/>
        </w:rPr>
        <w:t xml:space="preserve"> </w:t>
      </w:r>
      <w:r w:rsidRPr="00F16251">
        <w:rPr>
          <w:rFonts w:cstheme="minorHAnsi"/>
          <w:kern w:val="0"/>
          <w14:ligatures w14:val="none"/>
        </w:rPr>
        <w:t>(organ</w:t>
      </w:r>
      <w:r w:rsidR="003B50ED" w:rsidRPr="00F16251">
        <w:rPr>
          <w:rFonts w:cstheme="minorHAnsi"/>
          <w:kern w:val="0"/>
          <w14:ligatures w14:val="none"/>
        </w:rPr>
        <w:t xml:space="preserve"> </w:t>
      </w:r>
      <w:r w:rsidRPr="00F16251">
        <w:rPr>
          <w:rFonts w:cstheme="minorHAnsi"/>
          <w:kern w:val="0"/>
          <w14:ligatures w14:val="none"/>
        </w:rPr>
        <w:t>decyzyjny).</w:t>
      </w:r>
      <w:r w:rsidR="003B50ED" w:rsidRPr="00F16251">
        <w:rPr>
          <w:rFonts w:cstheme="minorHAnsi"/>
          <w:kern w:val="0"/>
          <w14:ligatures w14:val="none"/>
        </w:rPr>
        <w:t xml:space="preserve"> </w:t>
      </w:r>
      <w:r w:rsidRPr="00F16251">
        <w:rPr>
          <w:rFonts w:cstheme="minorHAnsi"/>
          <w:kern w:val="0"/>
          <w14:ligatures w14:val="none"/>
        </w:rPr>
        <w:t>Zostały</w:t>
      </w:r>
      <w:r w:rsidR="003B50ED" w:rsidRPr="00F16251">
        <w:rPr>
          <w:rFonts w:cstheme="minorHAnsi"/>
          <w:kern w:val="0"/>
          <w14:ligatures w14:val="none"/>
        </w:rPr>
        <w:t xml:space="preserve"> </w:t>
      </w:r>
      <w:r w:rsidRPr="00F16251">
        <w:rPr>
          <w:rFonts w:cstheme="minorHAnsi"/>
          <w:kern w:val="0"/>
          <w14:ligatures w14:val="none"/>
        </w:rPr>
        <w:t>przypisane</w:t>
      </w:r>
      <w:r w:rsidR="003B50ED" w:rsidRPr="00F16251">
        <w:rPr>
          <w:rFonts w:cstheme="minorHAnsi"/>
          <w:kern w:val="0"/>
          <w14:ligatures w14:val="none"/>
        </w:rPr>
        <w:t xml:space="preserve"> </w:t>
      </w:r>
      <w:r w:rsidRPr="00F16251">
        <w:rPr>
          <w:rFonts w:cstheme="minorHAnsi"/>
          <w:kern w:val="0"/>
          <w14:ligatures w14:val="none"/>
        </w:rPr>
        <w:t>do</w:t>
      </w:r>
      <w:r w:rsidR="003B50ED" w:rsidRPr="00F16251">
        <w:rPr>
          <w:rFonts w:cstheme="minorHAnsi"/>
          <w:kern w:val="0"/>
          <w14:ligatures w14:val="none"/>
        </w:rPr>
        <w:t xml:space="preserve"> </w:t>
      </w:r>
      <w:r w:rsidRPr="00F16251">
        <w:rPr>
          <w:rFonts w:cstheme="minorHAnsi"/>
          <w:kern w:val="0"/>
          <w14:ligatures w14:val="none"/>
        </w:rPr>
        <w:t>zakresów,</w:t>
      </w:r>
      <w:r w:rsidR="003B50ED" w:rsidRPr="00F16251">
        <w:rPr>
          <w:rFonts w:cstheme="minorHAnsi"/>
          <w:kern w:val="0"/>
          <w14:ligatures w14:val="none"/>
        </w:rPr>
        <w:t xml:space="preserve"> </w:t>
      </w:r>
      <w:r w:rsidRPr="00F16251">
        <w:rPr>
          <w:rFonts w:cstheme="minorHAnsi"/>
          <w:kern w:val="0"/>
          <w14:ligatures w14:val="none"/>
        </w:rPr>
        <w:t>które</w:t>
      </w:r>
      <w:r w:rsidR="003B50ED" w:rsidRPr="00F16251">
        <w:rPr>
          <w:rFonts w:cstheme="minorHAnsi"/>
          <w:kern w:val="0"/>
          <w14:ligatures w14:val="none"/>
        </w:rPr>
        <w:t xml:space="preserve"> </w:t>
      </w:r>
      <w:r w:rsidRPr="00F16251">
        <w:rPr>
          <w:rFonts w:cstheme="minorHAnsi"/>
          <w:kern w:val="0"/>
          <w14:ligatures w14:val="none"/>
        </w:rPr>
        <w:t>pozytywnie</w:t>
      </w:r>
      <w:r w:rsidR="003B50ED" w:rsidRPr="00F16251">
        <w:rPr>
          <w:rFonts w:cstheme="minorHAnsi"/>
          <w:kern w:val="0"/>
          <w14:ligatures w14:val="none"/>
        </w:rPr>
        <w:t xml:space="preserve"> </w:t>
      </w:r>
      <w:r w:rsidRPr="00F16251">
        <w:rPr>
          <w:rFonts w:cstheme="minorHAnsi"/>
          <w:kern w:val="0"/>
          <w14:ligatures w14:val="none"/>
        </w:rPr>
        <w:t>oddziałują</w:t>
      </w:r>
      <w:r w:rsidR="003B50ED" w:rsidRPr="00F16251">
        <w:rPr>
          <w:rFonts w:cstheme="minorHAnsi"/>
          <w:kern w:val="0"/>
          <w14:ligatures w14:val="none"/>
        </w:rPr>
        <w:t xml:space="preserve"> </w:t>
      </w:r>
      <w:r w:rsidRPr="00F16251">
        <w:rPr>
          <w:rFonts w:cstheme="minorHAnsi"/>
          <w:kern w:val="0"/>
          <w14:ligatures w14:val="none"/>
        </w:rPr>
        <w:t>na</w:t>
      </w:r>
      <w:r w:rsidR="003B50ED" w:rsidRPr="00F16251">
        <w:rPr>
          <w:rFonts w:cstheme="minorHAnsi"/>
          <w:kern w:val="0"/>
          <w14:ligatures w14:val="none"/>
        </w:rPr>
        <w:t xml:space="preserve"> </w:t>
      </w:r>
      <w:r w:rsidRPr="00F16251">
        <w:rPr>
          <w:rFonts w:cstheme="minorHAnsi"/>
          <w:kern w:val="0"/>
          <w14:ligatures w14:val="none"/>
        </w:rPr>
        <w:t>lokalną</w:t>
      </w:r>
      <w:r w:rsidR="003B50ED" w:rsidRPr="00F16251">
        <w:rPr>
          <w:rFonts w:cstheme="minorHAnsi"/>
          <w:kern w:val="0"/>
          <w14:ligatures w14:val="none"/>
        </w:rPr>
        <w:t xml:space="preserve"> </w:t>
      </w:r>
      <w:r w:rsidRPr="00F16251">
        <w:rPr>
          <w:rFonts w:cstheme="minorHAnsi"/>
          <w:kern w:val="0"/>
          <w14:ligatures w14:val="none"/>
        </w:rPr>
        <w:t>społeczność,</w:t>
      </w:r>
      <w:r w:rsidR="003B50ED" w:rsidRPr="00F16251">
        <w:rPr>
          <w:rFonts w:cstheme="minorHAnsi"/>
          <w:kern w:val="0"/>
          <w14:ligatures w14:val="none"/>
        </w:rPr>
        <w:t xml:space="preserve"> </w:t>
      </w:r>
      <w:r w:rsidRPr="00F16251">
        <w:rPr>
          <w:rFonts w:cstheme="minorHAnsi"/>
          <w:kern w:val="0"/>
          <w14:ligatures w14:val="none"/>
        </w:rPr>
        <w:t>realizując</w:t>
      </w:r>
      <w:r w:rsidR="003B50ED" w:rsidRPr="00F16251">
        <w:rPr>
          <w:rFonts w:cstheme="minorHAnsi"/>
          <w:kern w:val="0"/>
          <w14:ligatures w14:val="none"/>
        </w:rPr>
        <w:t xml:space="preserve"> </w:t>
      </w:r>
      <w:r w:rsidRPr="00F16251">
        <w:rPr>
          <w:rFonts w:cstheme="minorHAnsi"/>
          <w:kern w:val="0"/>
          <w14:ligatures w14:val="none"/>
        </w:rPr>
        <w:t>cele</w:t>
      </w:r>
      <w:r w:rsidR="003B50ED" w:rsidRPr="00F16251">
        <w:rPr>
          <w:rFonts w:cstheme="minorHAnsi"/>
          <w:kern w:val="0"/>
          <w14:ligatures w14:val="none"/>
        </w:rPr>
        <w:t xml:space="preserve"> </w:t>
      </w:r>
      <w:r w:rsidRPr="00F16251">
        <w:rPr>
          <w:rFonts w:cstheme="minorHAnsi"/>
          <w:kern w:val="0"/>
          <w14:ligatures w14:val="none"/>
        </w:rPr>
        <w:t>publiczne</w:t>
      </w:r>
      <w:r w:rsidR="003B50ED" w:rsidRPr="00F16251">
        <w:rPr>
          <w:rFonts w:cstheme="minorHAnsi"/>
          <w:kern w:val="0"/>
          <w14:ligatures w14:val="none"/>
        </w:rPr>
        <w:t xml:space="preserve"> </w:t>
      </w:r>
      <w:r w:rsidRPr="00F16251">
        <w:rPr>
          <w:rFonts w:cstheme="minorHAnsi"/>
          <w:kern w:val="0"/>
          <w14:ligatures w14:val="none"/>
        </w:rPr>
        <w:t>lub</w:t>
      </w:r>
      <w:r w:rsidR="003B50ED" w:rsidRPr="00F16251">
        <w:rPr>
          <w:rFonts w:cstheme="minorHAnsi"/>
          <w:kern w:val="0"/>
          <w14:ligatures w14:val="none"/>
        </w:rPr>
        <w:t xml:space="preserve"> </w:t>
      </w:r>
      <w:r w:rsidRPr="00F16251">
        <w:rPr>
          <w:rFonts w:cstheme="minorHAnsi"/>
          <w:kern w:val="0"/>
          <w14:ligatures w14:val="none"/>
        </w:rPr>
        <w:t>niekomercyjne.</w:t>
      </w:r>
      <w:r w:rsidR="003B50ED" w:rsidRPr="00F16251">
        <w:rPr>
          <w:rFonts w:cstheme="minorHAnsi"/>
          <w:kern w:val="0"/>
          <w14:ligatures w14:val="none"/>
        </w:rPr>
        <w:t xml:space="preserve"> </w:t>
      </w:r>
    </w:p>
    <w:p w14:paraId="7E18CDD1" w14:textId="44A21BF0" w:rsidR="002C63F4" w:rsidRPr="00F16251" w:rsidRDefault="002C63F4" w:rsidP="00130167">
      <w:pPr>
        <w:spacing w:line="276" w:lineRule="auto"/>
        <w:ind w:firstLine="360"/>
        <w:jc w:val="both"/>
        <w:rPr>
          <w:rFonts w:cstheme="minorHAnsi"/>
          <w:kern w:val="0"/>
          <w14:ligatures w14:val="none"/>
        </w:rPr>
      </w:pP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LSR</w:t>
      </w:r>
      <w:r w:rsidR="003B50ED" w:rsidRPr="00F16251">
        <w:rPr>
          <w:rFonts w:cstheme="minorHAnsi"/>
          <w:kern w:val="0"/>
          <w14:ligatures w14:val="none"/>
        </w:rPr>
        <w:t xml:space="preserve"> </w:t>
      </w:r>
      <w:r w:rsidRPr="00F16251">
        <w:rPr>
          <w:rFonts w:cstheme="minorHAnsi"/>
          <w:kern w:val="0"/>
          <w14:ligatures w14:val="none"/>
        </w:rPr>
        <w:t>dopuszczono</w:t>
      </w:r>
      <w:r w:rsidR="003B50ED" w:rsidRPr="00F16251">
        <w:rPr>
          <w:rFonts w:cstheme="minorHAnsi"/>
          <w:kern w:val="0"/>
          <w14:ligatures w14:val="none"/>
        </w:rPr>
        <w:t xml:space="preserve"> </w:t>
      </w:r>
      <w:r w:rsidRPr="00F16251">
        <w:rPr>
          <w:rFonts w:cstheme="minorHAnsi"/>
          <w:kern w:val="0"/>
          <w14:ligatures w14:val="none"/>
        </w:rPr>
        <w:t>realizację</w:t>
      </w:r>
      <w:r w:rsidR="003B50ED" w:rsidRPr="00F16251">
        <w:rPr>
          <w:rFonts w:cstheme="minorHAnsi"/>
          <w:kern w:val="0"/>
          <w14:ligatures w14:val="none"/>
        </w:rPr>
        <w:t xml:space="preserve"> </w:t>
      </w:r>
      <w:r w:rsidRPr="00F16251">
        <w:rPr>
          <w:rFonts w:cstheme="minorHAnsi"/>
          <w:kern w:val="0"/>
          <w14:ligatures w14:val="none"/>
        </w:rPr>
        <w:t>wszystkich</w:t>
      </w:r>
      <w:r w:rsidR="003B50ED" w:rsidRPr="00F16251">
        <w:rPr>
          <w:rFonts w:cstheme="minorHAnsi"/>
          <w:kern w:val="0"/>
          <w14:ligatures w14:val="none"/>
        </w:rPr>
        <w:t xml:space="preserve"> </w:t>
      </w:r>
      <w:r w:rsidRPr="00F16251">
        <w:rPr>
          <w:rFonts w:cstheme="minorHAnsi"/>
          <w:kern w:val="0"/>
          <w14:ligatures w14:val="none"/>
        </w:rPr>
        <w:t>rodzajów</w:t>
      </w:r>
      <w:r w:rsidR="003B50ED" w:rsidRPr="00F16251">
        <w:rPr>
          <w:rFonts w:cstheme="minorHAnsi"/>
          <w:kern w:val="0"/>
          <w14:ligatures w14:val="none"/>
        </w:rPr>
        <w:t xml:space="preserve"> </w:t>
      </w:r>
      <w:r w:rsidRPr="00F16251">
        <w:rPr>
          <w:rFonts w:cstheme="minorHAnsi"/>
          <w:kern w:val="0"/>
          <w14:ligatures w14:val="none"/>
        </w:rPr>
        <w:t>operacji,</w:t>
      </w:r>
      <w:r w:rsidR="003B50ED" w:rsidRPr="00F16251">
        <w:rPr>
          <w:rFonts w:cstheme="minorHAnsi"/>
          <w:kern w:val="0"/>
          <w14:ligatures w14:val="none"/>
        </w:rPr>
        <w:t xml:space="preserve"> </w:t>
      </w:r>
      <w:r w:rsidRPr="00F16251">
        <w:rPr>
          <w:rFonts w:cstheme="minorHAnsi"/>
          <w:kern w:val="0"/>
          <w14:ligatures w14:val="none"/>
        </w:rPr>
        <w:t>tj.:</w:t>
      </w:r>
    </w:p>
    <w:p w14:paraId="189CBBEC" w14:textId="5A780D28" w:rsidR="002C63F4" w:rsidRPr="00F16251" w:rsidRDefault="002C63F4" w:rsidP="00A26C26">
      <w:pPr>
        <w:spacing w:line="276" w:lineRule="auto"/>
        <w:jc w:val="both"/>
        <w:rPr>
          <w:rFonts w:cstheme="minorHAnsi"/>
          <w:kern w:val="0"/>
          <w14:ligatures w14:val="none"/>
        </w:rPr>
      </w:pPr>
      <w:r w:rsidRPr="00F16251">
        <w:rPr>
          <w:rFonts w:cstheme="minorHAnsi"/>
          <w:kern w:val="0"/>
          <w14:ligatures w14:val="none"/>
        </w:rPr>
        <w:t>-</w:t>
      </w:r>
      <w:r w:rsidR="003B50ED" w:rsidRPr="00F16251">
        <w:rPr>
          <w:rFonts w:cstheme="minorHAnsi"/>
          <w:kern w:val="0"/>
          <w14:ligatures w14:val="none"/>
        </w:rPr>
        <w:t xml:space="preserve"> </w:t>
      </w:r>
      <w:r w:rsidRPr="00F16251">
        <w:rPr>
          <w:rFonts w:cstheme="minorHAnsi"/>
          <w:b/>
          <w:bCs/>
          <w:kern w:val="0"/>
          <w14:ligatures w14:val="none"/>
        </w:rPr>
        <w:t>operacji</w:t>
      </w:r>
      <w:r w:rsidR="003B50ED" w:rsidRPr="00F16251">
        <w:rPr>
          <w:rFonts w:cstheme="minorHAnsi"/>
          <w:b/>
          <w:bCs/>
          <w:kern w:val="0"/>
          <w14:ligatures w14:val="none"/>
        </w:rPr>
        <w:t xml:space="preserve"> </w:t>
      </w:r>
      <w:r w:rsidRPr="00F16251">
        <w:rPr>
          <w:rFonts w:cstheme="minorHAnsi"/>
          <w:b/>
          <w:bCs/>
          <w:kern w:val="0"/>
          <w14:ligatures w14:val="none"/>
        </w:rPr>
        <w:t>produkcyjnych</w:t>
      </w:r>
      <w:r w:rsidR="003B50ED" w:rsidRPr="00F16251">
        <w:rPr>
          <w:rFonts w:cstheme="minorHAnsi"/>
          <w:b/>
          <w:bCs/>
          <w:kern w:val="0"/>
          <w14:ligatures w14:val="none"/>
        </w:rPr>
        <w:t xml:space="preserve"> </w:t>
      </w:r>
      <w:r w:rsidRPr="00F16251">
        <w:rPr>
          <w:rFonts w:cstheme="minorHAnsi"/>
          <w:kern w:val="0"/>
          <w14:ligatures w14:val="none"/>
        </w:rPr>
        <w:t>–</w:t>
      </w:r>
      <w:r w:rsidR="003B50ED" w:rsidRPr="00F16251">
        <w:rPr>
          <w:rFonts w:cstheme="minorHAnsi"/>
          <w:kern w:val="0"/>
          <w14:ligatures w14:val="none"/>
        </w:rPr>
        <w:t xml:space="preserve"> </w:t>
      </w:r>
      <w:r w:rsidRPr="00F16251">
        <w:rPr>
          <w:rFonts w:cstheme="minorHAnsi"/>
          <w:kern w:val="0"/>
          <w14:ligatures w14:val="none"/>
        </w:rPr>
        <w:t>obejmujących</w:t>
      </w:r>
      <w:r w:rsidR="003B50ED" w:rsidRPr="00F16251">
        <w:rPr>
          <w:rFonts w:cstheme="minorHAnsi"/>
          <w:kern w:val="0"/>
          <w14:ligatures w14:val="none"/>
        </w:rPr>
        <w:t xml:space="preserve"> </w:t>
      </w:r>
      <w:r w:rsidRPr="00F16251">
        <w:rPr>
          <w:rFonts w:cstheme="minorHAnsi"/>
          <w:kern w:val="0"/>
          <w14:ligatures w14:val="none"/>
        </w:rPr>
        <w:t>inwestycje</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środki</w:t>
      </w:r>
      <w:r w:rsidR="003B50ED" w:rsidRPr="00F16251">
        <w:rPr>
          <w:rFonts w:cstheme="minorHAnsi"/>
          <w:kern w:val="0"/>
          <w14:ligatures w14:val="none"/>
        </w:rPr>
        <w:t xml:space="preserve"> </w:t>
      </w:r>
      <w:r w:rsidRPr="00F16251">
        <w:rPr>
          <w:rFonts w:cstheme="minorHAnsi"/>
          <w:kern w:val="0"/>
          <w14:ligatures w14:val="none"/>
        </w:rPr>
        <w:t>trwałe</w:t>
      </w:r>
      <w:r w:rsidR="003B50ED" w:rsidRPr="00F16251">
        <w:rPr>
          <w:rFonts w:cstheme="minorHAnsi"/>
          <w:kern w:val="0"/>
          <w14:ligatures w14:val="none"/>
        </w:rPr>
        <w:t xml:space="preserve"> </w:t>
      </w:r>
      <w:r w:rsidRPr="00F16251">
        <w:rPr>
          <w:rFonts w:cstheme="minorHAnsi"/>
          <w:kern w:val="0"/>
          <w14:ligatures w14:val="none"/>
        </w:rPr>
        <w:t>lub</w:t>
      </w:r>
      <w:r w:rsidR="003B50ED" w:rsidRPr="00F16251">
        <w:rPr>
          <w:rFonts w:cstheme="minorHAnsi"/>
          <w:kern w:val="0"/>
          <w14:ligatures w14:val="none"/>
        </w:rPr>
        <w:t xml:space="preserve"> </w:t>
      </w:r>
      <w:r w:rsidRPr="00F16251">
        <w:rPr>
          <w:rFonts w:cstheme="minorHAnsi"/>
          <w:kern w:val="0"/>
          <w14:ligatures w14:val="none"/>
        </w:rPr>
        <w:t>aktywa</w:t>
      </w:r>
      <w:r w:rsidR="003B50ED" w:rsidRPr="00F16251">
        <w:rPr>
          <w:rFonts w:cstheme="minorHAnsi"/>
          <w:kern w:val="0"/>
          <w14:ligatures w14:val="none"/>
        </w:rPr>
        <w:t xml:space="preserve"> </w:t>
      </w:r>
      <w:r w:rsidRPr="00F16251">
        <w:rPr>
          <w:rFonts w:cstheme="minorHAnsi"/>
          <w:kern w:val="0"/>
          <w14:ligatures w14:val="none"/>
        </w:rPr>
        <w:t>niematerialne</w:t>
      </w:r>
      <w:r w:rsidR="003B50ED" w:rsidRPr="00F16251">
        <w:rPr>
          <w:rFonts w:cstheme="minorHAnsi"/>
          <w:kern w:val="0"/>
          <w14:ligatures w14:val="none"/>
        </w:rPr>
        <w:t xml:space="preserve"> </w:t>
      </w:r>
      <w:r w:rsidRPr="00F16251">
        <w:rPr>
          <w:rFonts w:cstheme="minorHAnsi"/>
          <w:kern w:val="0"/>
          <w14:ligatures w14:val="none"/>
        </w:rPr>
        <w:t>na</w:t>
      </w:r>
      <w:r w:rsidR="003B50ED" w:rsidRPr="00F16251">
        <w:rPr>
          <w:rFonts w:cstheme="minorHAnsi"/>
          <w:kern w:val="0"/>
          <w14:ligatures w14:val="none"/>
        </w:rPr>
        <w:t xml:space="preserve"> </w:t>
      </w:r>
      <w:r w:rsidRPr="00F16251">
        <w:rPr>
          <w:rFonts w:cstheme="minorHAnsi"/>
          <w:kern w:val="0"/>
          <w14:ligatures w14:val="none"/>
        </w:rPr>
        <w:t>rzecz</w:t>
      </w:r>
      <w:r w:rsidR="003B50ED" w:rsidRPr="00F16251">
        <w:rPr>
          <w:rFonts w:cstheme="minorHAnsi"/>
          <w:kern w:val="0"/>
          <w14:ligatures w14:val="none"/>
        </w:rPr>
        <w:t xml:space="preserve"> </w:t>
      </w:r>
      <w:r w:rsidRPr="00F16251">
        <w:rPr>
          <w:rFonts w:cstheme="minorHAnsi"/>
          <w:kern w:val="0"/>
          <w14:ligatures w14:val="none"/>
        </w:rPr>
        <w:t>przedsiębiorstw,</w:t>
      </w:r>
      <w:r w:rsidR="003B50ED" w:rsidRPr="00F16251">
        <w:rPr>
          <w:rFonts w:cstheme="minorHAnsi"/>
          <w:kern w:val="0"/>
          <w14:ligatures w14:val="none"/>
        </w:rPr>
        <w:t xml:space="preserve"> </w:t>
      </w:r>
      <w:r w:rsidRPr="00F16251">
        <w:rPr>
          <w:rFonts w:cstheme="minorHAnsi"/>
          <w:kern w:val="0"/>
          <w14:ligatures w14:val="none"/>
        </w:rPr>
        <w:t>które</w:t>
      </w:r>
      <w:r w:rsidR="003B50ED" w:rsidRPr="00F16251">
        <w:rPr>
          <w:rFonts w:cstheme="minorHAnsi"/>
          <w:kern w:val="0"/>
          <w14:ligatures w14:val="none"/>
        </w:rPr>
        <w:t xml:space="preserve"> </w:t>
      </w:r>
      <w:r w:rsidRPr="00F16251">
        <w:rPr>
          <w:rFonts w:cstheme="minorHAnsi"/>
          <w:kern w:val="0"/>
          <w14:ligatures w14:val="none"/>
        </w:rPr>
        <w:t>będą</w:t>
      </w:r>
      <w:r w:rsidR="003B50ED" w:rsidRPr="00F16251">
        <w:rPr>
          <w:rFonts w:cstheme="minorHAnsi"/>
          <w:kern w:val="0"/>
          <w14:ligatures w14:val="none"/>
        </w:rPr>
        <w:t xml:space="preserve"> </w:t>
      </w:r>
      <w:r w:rsidRPr="00F16251">
        <w:rPr>
          <w:rFonts w:cstheme="minorHAnsi"/>
          <w:kern w:val="0"/>
          <w14:ligatures w14:val="none"/>
        </w:rPr>
        <w:t>wykorzystywane</w:t>
      </w:r>
      <w:r w:rsidR="003B50ED" w:rsidRPr="00F16251">
        <w:rPr>
          <w:rFonts w:cstheme="minorHAnsi"/>
          <w:kern w:val="0"/>
          <w14:ligatures w14:val="none"/>
        </w:rPr>
        <w:t xml:space="preserve"> </w:t>
      </w:r>
      <w:r w:rsidRPr="00F16251">
        <w:rPr>
          <w:rFonts w:cstheme="minorHAnsi"/>
          <w:kern w:val="0"/>
          <w14:ligatures w14:val="none"/>
        </w:rPr>
        <w:t>do</w:t>
      </w:r>
      <w:r w:rsidR="003B50ED" w:rsidRPr="00F16251">
        <w:rPr>
          <w:rFonts w:cstheme="minorHAnsi"/>
          <w:kern w:val="0"/>
          <w14:ligatures w14:val="none"/>
        </w:rPr>
        <w:t xml:space="preserve"> </w:t>
      </w:r>
      <w:r w:rsidRPr="00F16251">
        <w:rPr>
          <w:rFonts w:cstheme="minorHAnsi"/>
          <w:kern w:val="0"/>
          <w14:ligatures w14:val="none"/>
        </w:rPr>
        <w:t>produkcji</w:t>
      </w:r>
      <w:r w:rsidR="003B50ED" w:rsidRPr="00F16251">
        <w:rPr>
          <w:rFonts w:cstheme="minorHAnsi"/>
          <w:kern w:val="0"/>
          <w14:ligatures w14:val="none"/>
        </w:rPr>
        <w:t xml:space="preserve"> </w:t>
      </w:r>
      <w:r w:rsidRPr="00F16251">
        <w:rPr>
          <w:rFonts w:cstheme="minorHAnsi"/>
          <w:kern w:val="0"/>
          <w14:ligatures w14:val="none"/>
        </w:rPr>
        <w:t>towarów</w:t>
      </w:r>
      <w:r w:rsidR="003B50ED" w:rsidRPr="00F16251">
        <w:rPr>
          <w:rFonts w:cstheme="minorHAnsi"/>
          <w:kern w:val="0"/>
          <w14:ligatures w14:val="none"/>
        </w:rPr>
        <w:t xml:space="preserve"> </w:t>
      </w:r>
      <w:r w:rsidRPr="00F16251">
        <w:rPr>
          <w:rFonts w:cstheme="minorHAnsi"/>
          <w:kern w:val="0"/>
          <w14:ligatures w14:val="none"/>
        </w:rPr>
        <w:t>lub</w:t>
      </w:r>
      <w:r w:rsidR="003B50ED" w:rsidRPr="00F16251">
        <w:rPr>
          <w:rFonts w:cstheme="minorHAnsi"/>
          <w:kern w:val="0"/>
          <w14:ligatures w14:val="none"/>
        </w:rPr>
        <w:t xml:space="preserve"> </w:t>
      </w:r>
      <w:r w:rsidRPr="00F16251">
        <w:rPr>
          <w:rFonts w:cstheme="minorHAnsi"/>
          <w:kern w:val="0"/>
          <w14:ligatures w14:val="none"/>
        </w:rPr>
        <w:t>świadczenia</w:t>
      </w:r>
      <w:r w:rsidR="003B50ED" w:rsidRPr="00F16251">
        <w:rPr>
          <w:rFonts w:cstheme="minorHAnsi"/>
          <w:kern w:val="0"/>
          <w14:ligatures w14:val="none"/>
        </w:rPr>
        <w:t xml:space="preserve"> </w:t>
      </w:r>
      <w:r w:rsidRPr="00F16251">
        <w:rPr>
          <w:rFonts w:cstheme="minorHAnsi"/>
          <w:kern w:val="0"/>
          <w14:ligatures w14:val="none"/>
        </w:rPr>
        <w:t>usług,</w:t>
      </w:r>
    </w:p>
    <w:p w14:paraId="4FE213FE" w14:textId="00CADAD9" w:rsidR="002C63F4" w:rsidRPr="00F16251" w:rsidRDefault="002C63F4" w:rsidP="00A26C26">
      <w:pPr>
        <w:spacing w:line="276" w:lineRule="auto"/>
        <w:jc w:val="both"/>
        <w:rPr>
          <w:rFonts w:cstheme="minorHAnsi"/>
          <w:kern w:val="0"/>
          <w14:ligatures w14:val="none"/>
        </w:rPr>
      </w:pPr>
      <w:r w:rsidRPr="00F16251">
        <w:rPr>
          <w:rFonts w:cstheme="minorHAnsi"/>
          <w:kern w:val="0"/>
          <w14:ligatures w14:val="none"/>
        </w:rPr>
        <w:t>-</w:t>
      </w:r>
      <w:r w:rsidR="003B50ED" w:rsidRPr="00F16251">
        <w:rPr>
          <w:rFonts w:cstheme="minorHAnsi"/>
          <w:kern w:val="0"/>
          <w14:ligatures w14:val="none"/>
        </w:rPr>
        <w:t xml:space="preserve"> </w:t>
      </w:r>
      <w:r w:rsidRPr="00F16251">
        <w:rPr>
          <w:rFonts w:cstheme="minorHAnsi"/>
          <w:b/>
          <w:bCs/>
          <w:kern w:val="0"/>
          <w14:ligatures w14:val="none"/>
        </w:rPr>
        <w:t>operacji</w:t>
      </w:r>
      <w:r w:rsidR="003B50ED" w:rsidRPr="00F16251">
        <w:rPr>
          <w:rFonts w:cstheme="minorHAnsi"/>
          <w:b/>
          <w:bCs/>
          <w:kern w:val="0"/>
          <w14:ligatures w14:val="none"/>
        </w:rPr>
        <w:t xml:space="preserve"> </w:t>
      </w:r>
      <w:r w:rsidRPr="00F16251">
        <w:rPr>
          <w:rFonts w:cstheme="minorHAnsi"/>
          <w:b/>
          <w:bCs/>
          <w:kern w:val="0"/>
          <w14:ligatures w14:val="none"/>
        </w:rPr>
        <w:t>nieprodukcyjnych</w:t>
      </w:r>
      <w:r w:rsidR="003B50ED" w:rsidRPr="00F16251">
        <w:rPr>
          <w:rFonts w:cstheme="minorHAnsi"/>
          <w:kern w:val="0"/>
          <w14:ligatures w14:val="none"/>
        </w:rPr>
        <w:t xml:space="preserve"> </w:t>
      </w:r>
      <w:r w:rsidRPr="00F16251">
        <w:rPr>
          <w:rFonts w:cstheme="minorHAnsi"/>
          <w:kern w:val="0"/>
          <w14:ligatures w14:val="none"/>
        </w:rPr>
        <w:t>–</w:t>
      </w:r>
      <w:r w:rsidR="003B50ED" w:rsidRPr="00F16251">
        <w:rPr>
          <w:rFonts w:cstheme="minorHAnsi"/>
          <w:kern w:val="0"/>
          <w14:ligatures w14:val="none"/>
        </w:rPr>
        <w:t xml:space="preserve"> </w:t>
      </w:r>
      <w:r w:rsidRPr="00F16251">
        <w:rPr>
          <w:rFonts w:cstheme="minorHAnsi"/>
          <w:kern w:val="0"/>
          <w14:ligatures w14:val="none"/>
        </w:rPr>
        <w:t>obejmujących</w:t>
      </w:r>
      <w:r w:rsidR="003B50ED" w:rsidRPr="00F16251">
        <w:rPr>
          <w:rFonts w:cstheme="minorHAnsi"/>
          <w:kern w:val="0"/>
          <w14:ligatures w14:val="none"/>
        </w:rPr>
        <w:t xml:space="preserve"> </w:t>
      </w:r>
      <w:r w:rsidRPr="00F16251">
        <w:rPr>
          <w:rFonts w:cstheme="minorHAnsi"/>
          <w:kern w:val="0"/>
          <w14:ligatures w14:val="none"/>
        </w:rPr>
        <w:t>operacje</w:t>
      </w:r>
      <w:r w:rsidR="003B50ED" w:rsidRPr="00F16251">
        <w:rPr>
          <w:rFonts w:cstheme="minorHAnsi"/>
          <w:kern w:val="0"/>
          <w14:ligatures w14:val="none"/>
        </w:rPr>
        <w:t xml:space="preserve"> </w:t>
      </w:r>
      <w:r w:rsidRPr="00F16251">
        <w:rPr>
          <w:rFonts w:cstheme="minorHAnsi"/>
          <w:kern w:val="0"/>
          <w14:ligatures w14:val="none"/>
        </w:rPr>
        <w:t>niekomercyjne</w:t>
      </w:r>
      <w:r w:rsidR="003B50ED" w:rsidRPr="00F16251">
        <w:rPr>
          <w:rFonts w:cstheme="minorHAnsi"/>
          <w:kern w:val="0"/>
          <w14:ligatures w14:val="none"/>
        </w:rPr>
        <w:t xml:space="preserve"> </w:t>
      </w:r>
      <w:r w:rsidRPr="00F16251">
        <w:rPr>
          <w:rFonts w:cstheme="minorHAnsi"/>
          <w:kern w:val="0"/>
          <w14:ligatures w14:val="none"/>
        </w:rPr>
        <w:t>realizowane</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celu</w:t>
      </w:r>
      <w:r w:rsidR="003B50ED" w:rsidRPr="00F16251">
        <w:rPr>
          <w:rFonts w:cstheme="minorHAnsi"/>
          <w:kern w:val="0"/>
          <w14:ligatures w14:val="none"/>
        </w:rPr>
        <w:t xml:space="preserve"> </w:t>
      </w:r>
      <w:r w:rsidRPr="00F16251">
        <w:rPr>
          <w:rFonts w:cstheme="minorHAnsi"/>
          <w:kern w:val="0"/>
          <w14:ligatures w14:val="none"/>
        </w:rPr>
        <w:t>innym</w:t>
      </w:r>
      <w:r w:rsidR="003B50ED" w:rsidRPr="00F16251">
        <w:rPr>
          <w:rFonts w:cstheme="minorHAnsi"/>
          <w:kern w:val="0"/>
          <w14:ligatures w14:val="none"/>
        </w:rPr>
        <w:t xml:space="preserve"> </w:t>
      </w:r>
      <w:r w:rsidRPr="00F16251">
        <w:rPr>
          <w:rFonts w:cstheme="minorHAnsi"/>
          <w:kern w:val="0"/>
          <w14:ligatures w14:val="none"/>
        </w:rPr>
        <w:t>niż</w:t>
      </w:r>
      <w:r w:rsidR="003B50ED" w:rsidRPr="00F16251">
        <w:rPr>
          <w:rFonts w:cstheme="minorHAnsi"/>
          <w:kern w:val="0"/>
          <w14:ligatures w14:val="none"/>
        </w:rPr>
        <w:t xml:space="preserve"> </w:t>
      </w:r>
      <w:r w:rsidRPr="00F16251">
        <w:rPr>
          <w:rFonts w:cstheme="minorHAnsi"/>
          <w:kern w:val="0"/>
          <w14:ligatures w14:val="none"/>
        </w:rPr>
        <w:t>uzyskanie</w:t>
      </w:r>
      <w:r w:rsidR="003B50ED" w:rsidRPr="00F16251">
        <w:rPr>
          <w:rFonts w:cstheme="minorHAnsi"/>
          <w:kern w:val="0"/>
          <w14:ligatures w14:val="none"/>
        </w:rPr>
        <w:t xml:space="preserve"> </w:t>
      </w:r>
      <w:r w:rsidRPr="00F16251">
        <w:rPr>
          <w:rFonts w:cstheme="minorHAnsi"/>
          <w:kern w:val="0"/>
          <w14:ligatures w14:val="none"/>
        </w:rPr>
        <w:t>zysku</w:t>
      </w:r>
      <w:r w:rsidR="003B50ED" w:rsidRPr="00F16251">
        <w:rPr>
          <w:rFonts w:cstheme="minorHAnsi"/>
          <w:kern w:val="0"/>
          <w14:ligatures w14:val="none"/>
        </w:rPr>
        <w:t xml:space="preserve"> </w:t>
      </w:r>
      <w:r w:rsidRPr="00F16251">
        <w:rPr>
          <w:rFonts w:cstheme="minorHAnsi"/>
          <w:kern w:val="0"/>
          <w14:ligatures w14:val="none"/>
        </w:rPr>
        <w:t>oraz</w:t>
      </w:r>
      <w:r w:rsidR="003B50ED" w:rsidRPr="00F16251">
        <w:rPr>
          <w:rFonts w:cstheme="minorHAnsi"/>
          <w:kern w:val="0"/>
          <w14:ligatures w14:val="none"/>
        </w:rPr>
        <w:t xml:space="preserve"> </w:t>
      </w:r>
      <w:r w:rsidRPr="00F16251">
        <w:rPr>
          <w:rFonts w:cstheme="minorHAnsi"/>
          <w:kern w:val="0"/>
          <w14:ligatures w14:val="none"/>
        </w:rPr>
        <w:t>nie</w:t>
      </w:r>
      <w:r w:rsidR="003B50ED" w:rsidRPr="00F16251">
        <w:rPr>
          <w:rFonts w:cstheme="minorHAnsi"/>
          <w:kern w:val="0"/>
          <w14:ligatures w14:val="none"/>
        </w:rPr>
        <w:t xml:space="preserve"> </w:t>
      </w:r>
      <w:r w:rsidRPr="00F16251">
        <w:rPr>
          <w:rFonts w:cstheme="minorHAnsi"/>
          <w:kern w:val="0"/>
          <w14:ligatures w14:val="none"/>
        </w:rPr>
        <w:t>wykonywane</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ramach</w:t>
      </w:r>
      <w:r w:rsidR="003B50ED" w:rsidRPr="00F16251">
        <w:rPr>
          <w:rFonts w:cstheme="minorHAnsi"/>
          <w:kern w:val="0"/>
          <w14:ligatures w14:val="none"/>
        </w:rPr>
        <w:t xml:space="preserve"> </w:t>
      </w:r>
      <w:r w:rsidRPr="00F16251">
        <w:rPr>
          <w:rFonts w:cstheme="minorHAnsi"/>
          <w:kern w:val="0"/>
          <w14:ligatures w14:val="none"/>
        </w:rPr>
        <w:t>prowadzonej</w:t>
      </w:r>
      <w:r w:rsidR="003B50ED" w:rsidRPr="00F16251">
        <w:rPr>
          <w:rFonts w:cstheme="minorHAnsi"/>
          <w:kern w:val="0"/>
          <w14:ligatures w14:val="none"/>
        </w:rPr>
        <w:t xml:space="preserve"> </w:t>
      </w:r>
      <w:r w:rsidRPr="00F16251">
        <w:rPr>
          <w:rFonts w:cstheme="minorHAnsi"/>
          <w:kern w:val="0"/>
          <w14:ligatures w14:val="none"/>
        </w:rPr>
        <w:t>działalności</w:t>
      </w:r>
      <w:r w:rsidR="003B50ED" w:rsidRPr="00F16251">
        <w:rPr>
          <w:rFonts w:cstheme="minorHAnsi"/>
          <w:kern w:val="0"/>
          <w14:ligatures w14:val="none"/>
        </w:rPr>
        <w:t xml:space="preserve"> </w:t>
      </w:r>
      <w:r w:rsidRPr="00F16251">
        <w:rPr>
          <w:rFonts w:cstheme="minorHAnsi"/>
          <w:kern w:val="0"/>
          <w14:ligatures w14:val="none"/>
        </w:rPr>
        <w:t>gospodarczej,</w:t>
      </w:r>
    </w:p>
    <w:p w14:paraId="2F25C726" w14:textId="53483FA2" w:rsidR="002C63F4" w:rsidRPr="00F16251" w:rsidRDefault="002C63F4" w:rsidP="00A26C26">
      <w:pPr>
        <w:spacing w:line="276" w:lineRule="auto"/>
        <w:jc w:val="both"/>
        <w:rPr>
          <w:rFonts w:cstheme="minorHAnsi"/>
          <w:kern w:val="0"/>
          <w14:ligatures w14:val="none"/>
        </w:rPr>
      </w:pPr>
      <w:r w:rsidRPr="00F16251">
        <w:rPr>
          <w:rFonts w:cstheme="minorHAnsi"/>
          <w:kern w:val="0"/>
          <w14:ligatures w14:val="none"/>
        </w:rPr>
        <w:t>-</w:t>
      </w:r>
      <w:r w:rsidR="003B50ED" w:rsidRPr="00F16251">
        <w:rPr>
          <w:rFonts w:cstheme="minorHAnsi"/>
          <w:kern w:val="0"/>
          <w14:ligatures w14:val="none"/>
        </w:rPr>
        <w:t xml:space="preserve"> </w:t>
      </w:r>
      <w:r w:rsidRPr="00F16251">
        <w:rPr>
          <w:rFonts w:cstheme="minorHAnsi"/>
          <w:b/>
          <w:bCs/>
          <w:kern w:val="0"/>
          <w14:ligatures w14:val="none"/>
        </w:rPr>
        <w:t>inwestycji</w:t>
      </w:r>
      <w:r w:rsidR="003B50ED" w:rsidRPr="00F16251">
        <w:rPr>
          <w:rFonts w:cstheme="minorHAnsi"/>
          <w:b/>
          <w:bCs/>
          <w:kern w:val="0"/>
          <w14:ligatures w14:val="none"/>
        </w:rPr>
        <w:t xml:space="preserve"> </w:t>
      </w:r>
      <w:r w:rsidRPr="00F16251">
        <w:rPr>
          <w:rFonts w:cstheme="minorHAnsi"/>
          <w:b/>
          <w:bCs/>
          <w:kern w:val="0"/>
          <w14:ligatures w14:val="none"/>
        </w:rPr>
        <w:t>w</w:t>
      </w:r>
      <w:r w:rsidR="003B50ED" w:rsidRPr="00F16251">
        <w:rPr>
          <w:rFonts w:cstheme="minorHAnsi"/>
          <w:b/>
          <w:bCs/>
          <w:kern w:val="0"/>
          <w14:ligatures w14:val="none"/>
        </w:rPr>
        <w:t xml:space="preserve"> </w:t>
      </w:r>
      <w:r w:rsidRPr="00F16251">
        <w:rPr>
          <w:rFonts w:cstheme="minorHAnsi"/>
          <w:b/>
          <w:bCs/>
          <w:kern w:val="0"/>
          <w14:ligatures w14:val="none"/>
        </w:rPr>
        <w:t>małą</w:t>
      </w:r>
      <w:r w:rsidR="003B50ED" w:rsidRPr="00F16251">
        <w:rPr>
          <w:rFonts w:cstheme="minorHAnsi"/>
          <w:b/>
          <w:bCs/>
          <w:kern w:val="0"/>
          <w14:ligatures w14:val="none"/>
        </w:rPr>
        <w:t xml:space="preserve"> </w:t>
      </w:r>
      <w:r w:rsidRPr="00F16251">
        <w:rPr>
          <w:rFonts w:cstheme="minorHAnsi"/>
          <w:b/>
          <w:bCs/>
          <w:kern w:val="0"/>
          <w14:ligatures w14:val="none"/>
        </w:rPr>
        <w:t>infrastrukturę</w:t>
      </w:r>
      <w:r w:rsidR="003B50ED" w:rsidRPr="00F16251">
        <w:rPr>
          <w:rFonts w:cstheme="minorHAnsi"/>
          <w:kern w:val="0"/>
          <w14:ligatures w14:val="none"/>
        </w:rPr>
        <w:t xml:space="preserve"> </w:t>
      </w:r>
      <w:r w:rsidRPr="00F16251">
        <w:rPr>
          <w:rFonts w:cstheme="minorHAnsi"/>
          <w:kern w:val="0"/>
          <w14:ligatures w14:val="none"/>
        </w:rPr>
        <w:t>–</w:t>
      </w:r>
      <w:r w:rsidR="003B50ED" w:rsidRPr="00F16251">
        <w:rPr>
          <w:rFonts w:cstheme="minorHAnsi"/>
          <w:kern w:val="0"/>
          <w14:ligatures w14:val="none"/>
        </w:rPr>
        <w:t xml:space="preserve"> </w:t>
      </w:r>
      <w:r w:rsidRPr="00F16251">
        <w:rPr>
          <w:rFonts w:cstheme="minorHAnsi"/>
          <w:kern w:val="0"/>
          <w14:ligatures w14:val="none"/>
        </w:rPr>
        <w:t>obejmujących</w:t>
      </w:r>
      <w:r w:rsidR="003B50ED" w:rsidRPr="00F16251">
        <w:rPr>
          <w:rFonts w:cstheme="minorHAnsi"/>
          <w:kern w:val="0"/>
          <w14:ligatures w14:val="none"/>
        </w:rPr>
        <w:t xml:space="preserve"> </w:t>
      </w:r>
      <w:r w:rsidRPr="00F16251">
        <w:rPr>
          <w:rFonts w:cstheme="minorHAnsi"/>
          <w:kern w:val="0"/>
          <w14:ligatures w14:val="none"/>
        </w:rPr>
        <w:t>inwestycje</w:t>
      </w:r>
      <w:r w:rsidR="003B50ED" w:rsidRPr="00F16251">
        <w:rPr>
          <w:rFonts w:cstheme="minorHAnsi"/>
          <w:kern w:val="0"/>
          <w14:ligatures w14:val="none"/>
        </w:rPr>
        <w:t xml:space="preserve"> </w:t>
      </w:r>
      <w:r w:rsidRPr="00F16251">
        <w:rPr>
          <w:rFonts w:cstheme="minorHAnsi"/>
          <w:kern w:val="0"/>
          <w14:ligatures w14:val="none"/>
        </w:rPr>
        <w:t>infrastrukturalne,</w:t>
      </w:r>
      <w:r w:rsidR="003B50ED" w:rsidRPr="00F16251">
        <w:rPr>
          <w:rFonts w:cstheme="minorHAnsi"/>
          <w:kern w:val="0"/>
          <w14:ligatures w14:val="none"/>
        </w:rPr>
        <w:t xml:space="preserve"> </w:t>
      </w:r>
      <w:r w:rsidRPr="00F16251">
        <w:rPr>
          <w:rFonts w:cstheme="minorHAnsi"/>
          <w:kern w:val="0"/>
          <w14:ligatures w14:val="none"/>
        </w:rPr>
        <w:t>których</w:t>
      </w:r>
      <w:r w:rsidR="003B50ED" w:rsidRPr="00F16251">
        <w:rPr>
          <w:rFonts w:cstheme="minorHAnsi"/>
          <w:kern w:val="0"/>
          <w14:ligatures w14:val="none"/>
        </w:rPr>
        <w:t xml:space="preserve"> </w:t>
      </w:r>
      <w:r w:rsidRPr="00F16251">
        <w:rPr>
          <w:rFonts w:cstheme="minorHAnsi"/>
          <w:kern w:val="0"/>
          <w14:ligatures w14:val="none"/>
        </w:rPr>
        <w:t>koszty</w:t>
      </w:r>
      <w:r w:rsidR="003B50ED" w:rsidRPr="00F16251">
        <w:rPr>
          <w:rFonts w:cstheme="minorHAnsi"/>
          <w:kern w:val="0"/>
          <w14:ligatures w14:val="none"/>
        </w:rPr>
        <w:t xml:space="preserve"> </w:t>
      </w:r>
      <w:r w:rsidRPr="00F16251">
        <w:rPr>
          <w:rFonts w:cstheme="minorHAnsi"/>
          <w:kern w:val="0"/>
          <w14:ligatures w14:val="none"/>
        </w:rPr>
        <w:t>całkowite</w:t>
      </w:r>
      <w:r w:rsidR="003B50ED" w:rsidRPr="00F16251">
        <w:rPr>
          <w:rFonts w:cstheme="minorHAnsi"/>
          <w:kern w:val="0"/>
          <w14:ligatures w14:val="none"/>
        </w:rPr>
        <w:t xml:space="preserve"> </w:t>
      </w:r>
      <w:r w:rsidRPr="00F16251">
        <w:rPr>
          <w:rFonts w:cstheme="minorHAnsi"/>
          <w:kern w:val="0"/>
          <w14:ligatures w14:val="none"/>
        </w:rPr>
        <w:t>nie</w:t>
      </w:r>
      <w:r w:rsidR="003B50ED" w:rsidRPr="00F16251">
        <w:rPr>
          <w:rFonts w:cstheme="minorHAnsi"/>
          <w:kern w:val="0"/>
          <w14:ligatures w14:val="none"/>
        </w:rPr>
        <w:t xml:space="preserve"> </w:t>
      </w:r>
      <w:r w:rsidRPr="00F16251">
        <w:rPr>
          <w:rFonts w:cstheme="minorHAnsi"/>
          <w:kern w:val="0"/>
          <w14:ligatures w14:val="none"/>
        </w:rPr>
        <w:t>przekraczają</w:t>
      </w:r>
      <w:r w:rsidR="003B50ED" w:rsidRPr="00F16251">
        <w:rPr>
          <w:rFonts w:cstheme="minorHAnsi"/>
          <w:kern w:val="0"/>
          <w14:ligatures w14:val="none"/>
        </w:rPr>
        <w:t xml:space="preserve"> </w:t>
      </w:r>
      <w:r w:rsidRPr="00F16251">
        <w:rPr>
          <w:rFonts w:cstheme="minorHAnsi"/>
          <w:kern w:val="0"/>
          <w14:ligatures w14:val="none"/>
        </w:rPr>
        <w:t>1</w:t>
      </w:r>
      <w:r w:rsidR="003B50ED" w:rsidRPr="00F16251">
        <w:rPr>
          <w:rFonts w:cstheme="minorHAnsi"/>
          <w:kern w:val="0"/>
          <w14:ligatures w14:val="none"/>
        </w:rPr>
        <w:t xml:space="preserve"> </w:t>
      </w:r>
      <w:r w:rsidRPr="00F16251">
        <w:rPr>
          <w:rFonts w:cstheme="minorHAnsi"/>
          <w:kern w:val="0"/>
          <w14:ligatures w14:val="none"/>
        </w:rPr>
        <w:t>mln</w:t>
      </w:r>
      <w:r w:rsidR="003B50ED" w:rsidRPr="00F16251">
        <w:rPr>
          <w:rFonts w:cstheme="minorHAnsi"/>
          <w:kern w:val="0"/>
          <w14:ligatures w14:val="none"/>
        </w:rPr>
        <w:t xml:space="preserve"> </w:t>
      </w:r>
      <w:r w:rsidRPr="00F16251">
        <w:rPr>
          <w:rFonts w:cstheme="minorHAnsi"/>
          <w:kern w:val="0"/>
          <w14:ligatures w14:val="none"/>
        </w:rPr>
        <w:t>euro,</w:t>
      </w:r>
    </w:p>
    <w:p w14:paraId="5755C868" w14:textId="32EB92EE" w:rsidR="002C63F4" w:rsidRPr="00F16251" w:rsidRDefault="002C63F4" w:rsidP="00130167">
      <w:pPr>
        <w:spacing w:line="276" w:lineRule="auto"/>
        <w:ind w:firstLine="360"/>
        <w:jc w:val="both"/>
        <w:rPr>
          <w:rFonts w:cstheme="minorHAnsi"/>
          <w:kern w:val="0"/>
          <w14:ligatures w14:val="none"/>
        </w:rPr>
      </w:pPr>
      <w:r w:rsidRPr="00F16251">
        <w:rPr>
          <w:rFonts w:cstheme="minorHAnsi"/>
          <w:kern w:val="0"/>
          <w14:ligatures w14:val="none"/>
        </w:rPr>
        <w:t>Wskutek</w:t>
      </w:r>
      <w:r w:rsidR="003B50ED" w:rsidRPr="00F16251">
        <w:rPr>
          <w:rFonts w:cstheme="minorHAnsi"/>
          <w:kern w:val="0"/>
          <w14:ligatures w14:val="none"/>
        </w:rPr>
        <w:t xml:space="preserve"> </w:t>
      </w:r>
      <w:r w:rsidRPr="00F16251">
        <w:rPr>
          <w:rFonts w:cstheme="minorHAnsi"/>
          <w:kern w:val="0"/>
          <w14:ligatures w14:val="none"/>
        </w:rPr>
        <w:t>identyfikacji</w:t>
      </w:r>
      <w:r w:rsidR="003B50ED" w:rsidRPr="00F16251">
        <w:rPr>
          <w:rFonts w:cstheme="minorHAnsi"/>
          <w:kern w:val="0"/>
          <w14:ligatures w14:val="none"/>
        </w:rPr>
        <w:t xml:space="preserve"> </w:t>
      </w:r>
      <w:r w:rsidRPr="00F16251">
        <w:rPr>
          <w:rFonts w:cstheme="minorHAnsi"/>
          <w:kern w:val="0"/>
          <w14:ligatures w14:val="none"/>
        </w:rPr>
        <w:t>wielu</w:t>
      </w:r>
      <w:r w:rsidR="003B50ED" w:rsidRPr="00F16251">
        <w:rPr>
          <w:rFonts w:cstheme="minorHAnsi"/>
          <w:kern w:val="0"/>
          <w14:ligatures w14:val="none"/>
        </w:rPr>
        <w:t xml:space="preserve"> </w:t>
      </w:r>
      <w:r w:rsidRPr="00F16251">
        <w:rPr>
          <w:rFonts w:cstheme="minorHAnsi"/>
          <w:kern w:val="0"/>
          <w14:ligatures w14:val="none"/>
        </w:rPr>
        <w:t>niekorzystnych</w:t>
      </w:r>
      <w:r w:rsidR="003B50ED" w:rsidRPr="00F16251">
        <w:rPr>
          <w:rFonts w:cstheme="minorHAnsi"/>
          <w:kern w:val="0"/>
          <w14:ligatures w14:val="none"/>
        </w:rPr>
        <w:t xml:space="preserve"> </w:t>
      </w:r>
      <w:r w:rsidRPr="00F16251">
        <w:rPr>
          <w:rFonts w:cstheme="minorHAnsi"/>
          <w:kern w:val="0"/>
          <w14:ligatures w14:val="none"/>
        </w:rPr>
        <w:t>zjawisk</w:t>
      </w:r>
      <w:r w:rsidR="003B50ED" w:rsidRPr="00F16251">
        <w:rPr>
          <w:rFonts w:cstheme="minorHAnsi"/>
          <w:kern w:val="0"/>
          <w14:ligatures w14:val="none"/>
        </w:rPr>
        <w:t xml:space="preserve"> </w:t>
      </w:r>
      <w:r w:rsidRPr="00F16251">
        <w:rPr>
          <w:rFonts w:cstheme="minorHAnsi"/>
          <w:kern w:val="0"/>
          <w14:ligatures w14:val="none"/>
        </w:rPr>
        <w:t>demograficznych</w:t>
      </w:r>
      <w:r w:rsidR="003B50ED" w:rsidRPr="00F16251">
        <w:rPr>
          <w:rFonts w:cstheme="minorHAnsi"/>
          <w:kern w:val="0"/>
          <w14:ligatures w14:val="none"/>
        </w:rPr>
        <w:t xml:space="preserve"> </w:t>
      </w:r>
      <w:r w:rsidRPr="00F16251">
        <w:rPr>
          <w:rFonts w:cstheme="minorHAnsi"/>
          <w:kern w:val="0"/>
          <w14:ligatures w14:val="none"/>
        </w:rPr>
        <w:t>na</w:t>
      </w:r>
      <w:r w:rsidR="003B50ED" w:rsidRPr="00F16251">
        <w:rPr>
          <w:rFonts w:cstheme="minorHAnsi"/>
          <w:kern w:val="0"/>
          <w14:ligatures w14:val="none"/>
        </w:rPr>
        <w:t xml:space="preserve"> </w:t>
      </w:r>
      <w:r w:rsidRPr="00F16251">
        <w:rPr>
          <w:rFonts w:cstheme="minorHAnsi"/>
          <w:kern w:val="0"/>
          <w14:ligatures w14:val="none"/>
        </w:rPr>
        <w:t>obszarach</w:t>
      </w:r>
      <w:r w:rsidR="003B50ED" w:rsidRPr="00F16251">
        <w:rPr>
          <w:rFonts w:cstheme="minorHAnsi"/>
          <w:kern w:val="0"/>
          <w14:ligatures w14:val="none"/>
        </w:rPr>
        <w:t xml:space="preserve"> </w:t>
      </w:r>
      <w:r w:rsidRPr="00F16251">
        <w:rPr>
          <w:rFonts w:cstheme="minorHAnsi"/>
          <w:kern w:val="0"/>
          <w14:ligatures w14:val="none"/>
        </w:rPr>
        <w:t>wiejskich</w:t>
      </w:r>
      <w:r w:rsidR="003B50ED" w:rsidRPr="00F16251">
        <w:rPr>
          <w:rFonts w:cstheme="minorHAnsi"/>
          <w:kern w:val="0"/>
          <w14:ligatures w14:val="none"/>
        </w:rPr>
        <w:t xml:space="preserve"> </w:t>
      </w:r>
      <w:r w:rsidRPr="00F16251">
        <w:rPr>
          <w:rFonts w:cstheme="minorHAnsi"/>
          <w:kern w:val="0"/>
          <w14:ligatures w14:val="none"/>
        </w:rPr>
        <w:t>przewidziano</w:t>
      </w:r>
      <w:r w:rsidR="003B50ED" w:rsidRPr="00F16251">
        <w:rPr>
          <w:rFonts w:cstheme="minorHAnsi"/>
          <w:kern w:val="0"/>
          <w14:ligatures w14:val="none"/>
        </w:rPr>
        <w:t xml:space="preserve"> </w:t>
      </w:r>
      <w:r w:rsidRPr="00F16251">
        <w:rPr>
          <w:rFonts w:cstheme="minorHAnsi"/>
          <w:kern w:val="0"/>
          <w14:ligatures w14:val="none"/>
        </w:rPr>
        <w:t>również</w:t>
      </w:r>
      <w:r w:rsidR="003B50ED" w:rsidRPr="00F16251">
        <w:rPr>
          <w:rFonts w:cstheme="minorHAnsi"/>
          <w:kern w:val="0"/>
          <w14:ligatures w14:val="none"/>
        </w:rPr>
        <w:t xml:space="preserve"> </w:t>
      </w:r>
      <w:r w:rsidRPr="00F16251">
        <w:rPr>
          <w:rFonts w:cstheme="minorHAnsi"/>
          <w:kern w:val="0"/>
          <w14:ligatures w14:val="none"/>
        </w:rPr>
        <w:t>wsparcie</w:t>
      </w:r>
      <w:r w:rsidR="003B50ED" w:rsidRPr="00F16251">
        <w:rPr>
          <w:rFonts w:cstheme="minorHAnsi"/>
          <w:kern w:val="0"/>
          <w14:ligatures w14:val="none"/>
        </w:rPr>
        <w:t xml:space="preserve"> </w:t>
      </w:r>
      <w:r w:rsidRPr="00F16251">
        <w:rPr>
          <w:rFonts w:cstheme="minorHAnsi"/>
          <w:kern w:val="0"/>
          <w14:ligatures w14:val="none"/>
        </w:rPr>
        <w:t>dla</w:t>
      </w:r>
      <w:r w:rsidR="003B50ED" w:rsidRPr="00F16251">
        <w:rPr>
          <w:rFonts w:cstheme="minorHAnsi"/>
          <w:kern w:val="0"/>
          <w14:ligatures w14:val="none"/>
        </w:rPr>
        <w:t xml:space="preserve"> </w:t>
      </w:r>
      <w:r w:rsidRPr="00F16251">
        <w:rPr>
          <w:rFonts w:cstheme="minorHAnsi"/>
          <w:kern w:val="0"/>
          <w14:ligatures w14:val="none"/>
        </w:rPr>
        <w:t>osób</w:t>
      </w:r>
      <w:r w:rsidR="003B50ED" w:rsidRPr="00F16251">
        <w:rPr>
          <w:rFonts w:cstheme="minorHAnsi"/>
          <w:kern w:val="0"/>
          <w14:ligatures w14:val="none"/>
        </w:rPr>
        <w:t xml:space="preserve"> </w:t>
      </w:r>
      <w:r w:rsidRPr="00F16251">
        <w:rPr>
          <w:rFonts w:cstheme="minorHAnsi"/>
          <w:kern w:val="0"/>
          <w14:ligatures w14:val="none"/>
        </w:rPr>
        <w:t>młodych,</w:t>
      </w:r>
      <w:r w:rsidR="003B50ED" w:rsidRPr="00F16251">
        <w:rPr>
          <w:rFonts w:cstheme="minorHAnsi"/>
          <w:kern w:val="0"/>
          <w14:ligatures w14:val="none"/>
        </w:rPr>
        <w:t xml:space="preserve"> </w:t>
      </w:r>
      <w:r w:rsidRPr="00F16251">
        <w:rPr>
          <w:rFonts w:cstheme="minorHAnsi"/>
          <w:kern w:val="0"/>
          <w14:ligatures w14:val="none"/>
        </w:rPr>
        <w:t>seniorów</w:t>
      </w:r>
      <w:r w:rsidR="003B50ED" w:rsidRPr="00F16251">
        <w:rPr>
          <w:rFonts w:cstheme="minorHAnsi"/>
          <w:kern w:val="0"/>
          <w14:ligatures w14:val="none"/>
        </w:rPr>
        <w:t xml:space="preserve"> </w:t>
      </w:r>
      <w:r w:rsidRPr="00F16251">
        <w:rPr>
          <w:rFonts w:cstheme="minorHAnsi"/>
          <w:kern w:val="0"/>
          <w14:ligatures w14:val="none"/>
        </w:rPr>
        <w:t>oraz</w:t>
      </w:r>
      <w:r w:rsidR="003B50ED" w:rsidRPr="00F16251">
        <w:rPr>
          <w:rFonts w:cstheme="minorHAnsi"/>
          <w:kern w:val="0"/>
          <w14:ligatures w14:val="none"/>
        </w:rPr>
        <w:t xml:space="preserve"> </w:t>
      </w:r>
      <w:r w:rsidRPr="00F16251">
        <w:rPr>
          <w:rFonts w:cstheme="minorHAnsi"/>
          <w:kern w:val="0"/>
          <w14:ligatures w14:val="none"/>
        </w:rPr>
        <w:t>osób</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niekorzystnej</w:t>
      </w:r>
      <w:r w:rsidR="003B50ED" w:rsidRPr="00F16251">
        <w:rPr>
          <w:rFonts w:cstheme="minorHAnsi"/>
          <w:kern w:val="0"/>
          <w14:ligatures w14:val="none"/>
        </w:rPr>
        <w:t xml:space="preserve"> </w:t>
      </w:r>
      <w:r w:rsidRPr="00F16251">
        <w:rPr>
          <w:rFonts w:cstheme="minorHAnsi"/>
          <w:kern w:val="0"/>
          <w14:ligatures w14:val="none"/>
        </w:rPr>
        <w:t>sytuacji</w:t>
      </w:r>
      <w:r w:rsidR="003B50ED" w:rsidRPr="00F16251">
        <w:rPr>
          <w:rFonts w:cstheme="minorHAnsi"/>
          <w:kern w:val="0"/>
          <w14:ligatures w14:val="none"/>
        </w:rPr>
        <w:t xml:space="preserve"> </w:t>
      </w:r>
      <w:r w:rsidRPr="00F16251">
        <w:rPr>
          <w:rFonts w:cstheme="minorHAnsi"/>
          <w:kern w:val="0"/>
          <w14:ligatures w14:val="none"/>
        </w:rPr>
        <w:t>(osób</w:t>
      </w:r>
      <w:r w:rsidR="003B50ED" w:rsidRPr="00F16251">
        <w:rPr>
          <w:rFonts w:cstheme="minorHAnsi"/>
          <w:kern w:val="0"/>
          <w14:ligatures w14:val="none"/>
        </w:rPr>
        <w:t xml:space="preserve"> </w:t>
      </w:r>
      <w:r w:rsidRPr="00F16251">
        <w:rPr>
          <w:rFonts w:cstheme="minorHAnsi"/>
          <w:kern w:val="0"/>
          <w14:ligatures w14:val="none"/>
        </w:rPr>
        <w:t>z</w:t>
      </w:r>
      <w:r w:rsidR="003B50ED" w:rsidRPr="00F16251">
        <w:rPr>
          <w:rFonts w:cstheme="minorHAnsi"/>
          <w:kern w:val="0"/>
          <w14:ligatures w14:val="none"/>
        </w:rPr>
        <w:t xml:space="preserve"> </w:t>
      </w:r>
      <w:r w:rsidRPr="00F16251">
        <w:rPr>
          <w:rFonts w:cstheme="minorHAnsi"/>
          <w:kern w:val="0"/>
          <w14:ligatures w14:val="none"/>
        </w:rPr>
        <w:t>niepełnosprawnościami</w:t>
      </w:r>
      <w:r w:rsidR="003B50ED" w:rsidRPr="00F16251">
        <w:rPr>
          <w:rFonts w:cstheme="minorHAnsi"/>
          <w:kern w:val="0"/>
          <w14:ligatures w14:val="none"/>
        </w:rPr>
        <w:t xml:space="preserve"> </w:t>
      </w:r>
      <w:r w:rsidRPr="00F16251">
        <w:rPr>
          <w:rFonts w:cstheme="minorHAnsi"/>
          <w:kern w:val="0"/>
          <w14:ligatures w14:val="none"/>
        </w:rPr>
        <w:t>oraz</w:t>
      </w:r>
      <w:r w:rsidR="003B50ED" w:rsidRPr="00F16251">
        <w:rPr>
          <w:rFonts w:cstheme="minorHAnsi"/>
          <w:kern w:val="0"/>
          <w14:ligatures w14:val="none"/>
        </w:rPr>
        <w:t xml:space="preserve"> </w:t>
      </w:r>
      <w:r w:rsidRPr="00F16251">
        <w:rPr>
          <w:rFonts w:cstheme="minorHAnsi"/>
          <w:kern w:val="0"/>
          <w14:ligatures w14:val="none"/>
        </w:rPr>
        <w:t>ich</w:t>
      </w:r>
      <w:r w:rsidR="003B50ED" w:rsidRPr="00F16251">
        <w:rPr>
          <w:rFonts w:cstheme="minorHAnsi"/>
          <w:kern w:val="0"/>
          <w14:ligatures w14:val="none"/>
        </w:rPr>
        <w:t xml:space="preserve"> </w:t>
      </w:r>
      <w:r w:rsidRPr="00F16251">
        <w:rPr>
          <w:rFonts w:cstheme="minorHAnsi"/>
          <w:kern w:val="0"/>
          <w14:ligatures w14:val="none"/>
        </w:rPr>
        <w:t>opiekunów,</w:t>
      </w:r>
      <w:r w:rsidR="003B50ED" w:rsidRPr="00F16251">
        <w:rPr>
          <w:rFonts w:cstheme="minorHAnsi"/>
          <w:kern w:val="0"/>
          <w14:ligatures w14:val="none"/>
        </w:rPr>
        <w:t xml:space="preserve"> </w:t>
      </w:r>
      <w:r w:rsidRPr="00F16251">
        <w:rPr>
          <w:rFonts w:cstheme="minorHAnsi"/>
          <w:kern w:val="0"/>
          <w14:ligatures w14:val="none"/>
        </w:rPr>
        <w:t>kobiet,</w:t>
      </w:r>
      <w:r w:rsidR="003B50ED" w:rsidRPr="00F16251">
        <w:rPr>
          <w:rFonts w:cstheme="minorHAnsi"/>
          <w:kern w:val="0"/>
          <w14:ligatures w14:val="none"/>
        </w:rPr>
        <w:t xml:space="preserve"> </w:t>
      </w:r>
      <w:r w:rsidRPr="00F16251">
        <w:rPr>
          <w:rFonts w:cstheme="minorHAnsi"/>
          <w:kern w:val="0"/>
          <w14:ligatures w14:val="none"/>
        </w:rPr>
        <w:t>migrantów,</w:t>
      </w:r>
      <w:r w:rsidR="003B50ED" w:rsidRPr="00F16251">
        <w:rPr>
          <w:rFonts w:cstheme="minorHAnsi"/>
          <w:kern w:val="0"/>
          <w14:ligatures w14:val="none"/>
        </w:rPr>
        <w:t xml:space="preserve"> </w:t>
      </w:r>
      <w:r w:rsidRPr="00F16251">
        <w:rPr>
          <w:rFonts w:cstheme="minorHAnsi"/>
          <w:kern w:val="0"/>
          <w14:ligatures w14:val="none"/>
        </w:rPr>
        <w:t>rolników</w:t>
      </w:r>
      <w:r w:rsidR="003B50ED" w:rsidRPr="00F16251">
        <w:rPr>
          <w:rFonts w:cstheme="minorHAnsi"/>
          <w:kern w:val="0"/>
          <w14:ligatures w14:val="none"/>
        </w:rPr>
        <w:t xml:space="preserve"> </w:t>
      </w:r>
      <w:r w:rsidRPr="00F16251">
        <w:rPr>
          <w:rFonts w:cstheme="minorHAnsi"/>
          <w:kern w:val="0"/>
          <w14:ligatures w14:val="none"/>
        </w:rPr>
        <w:t>z</w:t>
      </w:r>
      <w:r w:rsidR="003B50ED" w:rsidRPr="00F16251">
        <w:rPr>
          <w:rFonts w:cstheme="minorHAnsi"/>
          <w:kern w:val="0"/>
          <w14:ligatures w14:val="none"/>
        </w:rPr>
        <w:t xml:space="preserve"> </w:t>
      </w:r>
      <w:r w:rsidRPr="00F16251">
        <w:rPr>
          <w:rFonts w:cstheme="minorHAnsi"/>
          <w:kern w:val="0"/>
          <w14:ligatures w14:val="none"/>
        </w:rPr>
        <w:t>małych</w:t>
      </w:r>
      <w:r w:rsidR="003B50ED" w:rsidRPr="00F16251">
        <w:rPr>
          <w:rFonts w:cstheme="minorHAnsi"/>
          <w:kern w:val="0"/>
          <w14:ligatures w14:val="none"/>
        </w:rPr>
        <w:t xml:space="preserve"> </w:t>
      </w:r>
      <w:r w:rsidRPr="00F16251">
        <w:rPr>
          <w:rFonts w:cstheme="minorHAnsi"/>
          <w:kern w:val="0"/>
          <w14:ligatures w14:val="none"/>
        </w:rPr>
        <w:t>gospodarstw</w:t>
      </w:r>
      <w:r w:rsidR="003B50ED" w:rsidRPr="00F16251">
        <w:rPr>
          <w:rFonts w:cstheme="minorHAnsi"/>
          <w:kern w:val="0"/>
          <w14:ligatures w14:val="none"/>
        </w:rPr>
        <w:t xml:space="preserve"> </w:t>
      </w:r>
      <w:r w:rsidRPr="00F16251">
        <w:rPr>
          <w:rFonts w:cstheme="minorHAnsi"/>
          <w:kern w:val="0"/>
          <w14:ligatures w14:val="none"/>
        </w:rPr>
        <w:t>lub</w:t>
      </w:r>
      <w:r w:rsidR="003B50ED" w:rsidRPr="00F16251">
        <w:rPr>
          <w:rFonts w:cstheme="minorHAnsi"/>
          <w:kern w:val="0"/>
          <w14:ligatures w14:val="none"/>
        </w:rPr>
        <w:t xml:space="preserve"> </w:t>
      </w:r>
      <w:r w:rsidRPr="00F16251">
        <w:rPr>
          <w:rFonts w:cstheme="minorHAnsi"/>
          <w:kern w:val="0"/>
          <w14:ligatures w14:val="none"/>
        </w:rPr>
        <w:t>osób</w:t>
      </w:r>
      <w:r w:rsidR="003B50ED" w:rsidRPr="00F16251">
        <w:rPr>
          <w:rFonts w:cstheme="minorHAnsi"/>
          <w:kern w:val="0"/>
          <w14:ligatures w14:val="none"/>
        </w:rPr>
        <w:t xml:space="preserve"> </w:t>
      </w:r>
      <w:r w:rsidRPr="00F16251">
        <w:rPr>
          <w:rFonts w:cstheme="minorHAnsi"/>
          <w:kern w:val="0"/>
          <w14:ligatures w14:val="none"/>
        </w:rPr>
        <w:t>poszukujących</w:t>
      </w:r>
      <w:r w:rsidR="003B50ED" w:rsidRPr="00F16251">
        <w:rPr>
          <w:rFonts w:cstheme="minorHAnsi"/>
          <w:kern w:val="0"/>
          <w14:ligatures w14:val="none"/>
        </w:rPr>
        <w:t xml:space="preserve"> </w:t>
      </w:r>
      <w:r w:rsidRPr="00F16251">
        <w:rPr>
          <w:rFonts w:cstheme="minorHAnsi"/>
          <w:kern w:val="0"/>
          <w14:ligatures w14:val="none"/>
        </w:rPr>
        <w:t>zatrudnienia).</w:t>
      </w:r>
      <w:r w:rsidR="003B50ED" w:rsidRPr="00F16251">
        <w:rPr>
          <w:rFonts w:cstheme="minorHAnsi"/>
          <w:kern w:val="0"/>
          <w14:ligatures w14:val="none"/>
        </w:rPr>
        <w:t xml:space="preserve"> </w:t>
      </w:r>
    </w:p>
    <w:p w14:paraId="4D5CB997" w14:textId="77777777" w:rsidR="00130167" w:rsidRPr="00F16251" w:rsidRDefault="002C63F4" w:rsidP="00130167">
      <w:pPr>
        <w:spacing w:line="276" w:lineRule="auto"/>
        <w:ind w:firstLine="360"/>
        <w:jc w:val="both"/>
        <w:rPr>
          <w:rFonts w:cstheme="minorHAnsi"/>
          <w:kern w:val="0"/>
          <w14:ligatures w14:val="none"/>
        </w:rPr>
      </w:pPr>
      <w:r w:rsidRPr="00F16251">
        <w:rPr>
          <w:rFonts w:cstheme="minorHAnsi"/>
          <w:kern w:val="0"/>
          <w14:ligatures w14:val="none"/>
        </w:rPr>
        <w:t>Na</w:t>
      </w:r>
      <w:r w:rsidR="003B50ED" w:rsidRPr="00F16251">
        <w:rPr>
          <w:rFonts w:cstheme="minorHAnsi"/>
          <w:kern w:val="0"/>
          <w14:ligatures w14:val="none"/>
        </w:rPr>
        <w:t xml:space="preserve"> </w:t>
      </w:r>
      <w:r w:rsidRPr="00F16251">
        <w:rPr>
          <w:rFonts w:cstheme="minorHAnsi"/>
          <w:kern w:val="0"/>
          <w14:ligatures w14:val="none"/>
        </w:rPr>
        <w:t>etapie</w:t>
      </w:r>
      <w:r w:rsidR="003B50ED" w:rsidRPr="00F16251">
        <w:rPr>
          <w:rFonts w:cstheme="minorHAnsi"/>
          <w:kern w:val="0"/>
          <w14:ligatures w14:val="none"/>
        </w:rPr>
        <w:t xml:space="preserve"> </w:t>
      </w:r>
      <w:r w:rsidRPr="00F16251">
        <w:rPr>
          <w:rFonts w:cstheme="minorHAnsi"/>
          <w:kern w:val="0"/>
          <w14:ligatures w14:val="none"/>
        </w:rPr>
        <w:t>budowy</w:t>
      </w:r>
      <w:r w:rsidR="003B50ED" w:rsidRPr="00F16251">
        <w:rPr>
          <w:rFonts w:cstheme="minorHAnsi"/>
          <w:kern w:val="0"/>
          <w14:ligatures w14:val="none"/>
        </w:rPr>
        <w:t xml:space="preserve"> </w:t>
      </w:r>
      <w:r w:rsidRPr="00F16251">
        <w:rPr>
          <w:rFonts w:cstheme="minorHAnsi"/>
          <w:kern w:val="0"/>
          <w14:ligatures w14:val="none"/>
        </w:rPr>
        <w:t>LSR</w:t>
      </w:r>
      <w:r w:rsidR="003B50ED" w:rsidRPr="00F16251">
        <w:rPr>
          <w:rFonts w:cstheme="minorHAnsi"/>
          <w:kern w:val="0"/>
          <w14:ligatures w14:val="none"/>
        </w:rPr>
        <w:t xml:space="preserve"> </w:t>
      </w:r>
      <w:r w:rsidRPr="00F16251">
        <w:rPr>
          <w:rFonts w:cstheme="minorHAnsi"/>
          <w:kern w:val="0"/>
          <w14:ligatures w14:val="none"/>
        </w:rPr>
        <w:t>nie</w:t>
      </w:r>
      <w:r w:rsidR="003B50ED" w:rsidRPr="00F16251">
        <w:rPr>
          <w:rFonts w:cstheme="minorHAnsi"/>
          <w:kern w:val="0"/>
          <w14:ligatures w14:val="none"/>
        </w:rPr>
        <w:t xml:space="preserve"> </w:t>
      </w:r>
      <w:r w:rsidRPr="00F16251">
        <w:rPr>
          <w:rFonts w:cstheme="minorHAnsi"/>
          <w:kern w:val="0"/>
          <w14:ligatures w14:val="none"/>
        </w:rPr>
        <w:t>były</w:t>
      </w:r>
      <w:r w:rsidR="003B50ED" w:rsidRPr="00F16251">
        <w:rPr>
          <w:rFonts w:cstheme="minorHAnsi"/>
          <w:kern w:val="0"/>
          <w14:ligatures w14:val="none"/>
        </w:rPr>
        <w:t xml:space="preserve"> </w:t>
      </w:r>
      <w:r w:rsidRPr="00F16251">
        <w:rPr>
          <w:rFonts w:cstheme="minorHAnsi"/>
          <w:kern w:val="0"/>
          <w14:ligatures w14:val="none"/>
        </w:rPr>
        <w:t>dostępne</w:t>
      </w:r>
      <w:r w:rsidR="003B50ED" w:rsidRPr="00F16251">
        <w:rPr>
          <w:rFonts w:cstheme="minorHAnsi"/>
          <w:kern w:val="0"/>
          <w14:ligatures w14:val="none"/>
        </w:rPr>
        <w:t xml:space="preserve"> </w:t>
      </w:r>
      <w:r w:rsidRPr="00F16251">
        <w:rPr>
          <w:rFonts w:cstheme="minorHAnsi"/>
          <w:kern w:val="0"/>
          <w14:ligatures w14:val="none"/>
        </w:rPr>
        <w:t>szczegółowe</w:t>
      </w:r>
      <w:r w:rsidR="003B50ED" w:rsidRPr="00F16251">
        <w:rPr>
          <w:rFonts w:cstheme="minorHAnsi"/>
          <w:kern w:val="0"/>
          <w14:ligatures w14:val="none"/>
        </w:rPr>
        <w:t xml:space="preserve"> </w:t>
      </w:r>
      <w:r w:rsidRPr="00F16251">
        <w:rPr>
          <w:rFonts w:cstheme="minorHAnsi"/>
          <w:kern w:val="0"/>
          <w14:ligatures w14:val="none"/>
        </w:rPr>
        <w:t>Wytyczne</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zakresie</w:t>
      </w:r>
      <w:r w:rsidR="003B50ED" w:rsidRPr="00F16251">
        <w:rPr>
          <w:rFonts w:cstheme="minorHAnsi"/>
          <w:kern w:val="0"/>
          <w14:ligatures w14:val="none"/>
        </w:rPr>
        <w:t xml:space="preserve"> </w:t>
      </w:r>
      <w:r w:rsidRPr="00F16251">
        <w:rPr>
          <w:rFonts w:cstheme="minorHAnsi"/>
          <w:kern w:val="0"/>
          <w14:ligatures w14:val="none"/>
        </w:rPr>
        <w:t>przyznawania</w:t>
      </w:r>
      <w:r w:rsidR="003B50ED" w:rsidRPr="00F16251">
        <w:rPr>
          <w:rFonts w:cstheme="minorHAnsi"/>
          <w:kern w:val="0"/>
          <w14:ligatures w14:val="none"/>
        </w:rPr>
        <w:t xml:space="preserve"> </w:t>
      </w:r>
      <w:r w:rsidRPr="00F16251">
        <w:rPr>
          <w:rFonts w:cstheme="minorHAnsi"/>
          <w:kern w:val="0"/>
          <w14:ligatures w14:val="none"/>
        </w:rPr>
        <w:t>wypłaty</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zwrotu</w:t>
      </w:r>
      <w:r w:rsidR="003B50ED" w:rsidRPr="00F16251">
        <w:rPr>
          <w:rFonts w:cstheme="minorHAnsi"/>
          <w:kern w:val="0"/>
          <w14:ligatures w14:val="none"/>
        </w:rPr>
        <w:t xml:space="preserve"> </w:t>
      </w:r>
      <w:r w:rsidRPr="00F16251">
        <w:rPr>
          <w:rFonts w:cstheme="minorHAnsi"/>
          <w:kern w:val="0"/>
          <w14:ligatures w14:val="none"/>
        </w:rPr>
        <w:t>pomocy</w:t>
      </w:r>
      <w:r w:rsidR="003B50ED" w:rsidRPr="00F16251">
        <w:rPr>
          <w:rFonts w:cstheme="minorHAnsi"/>
          <w:kern w:val="0"/>
          <w14:ligatures w14:val="none"/>
        </w:rPr>
        <w:t xml:space="preserve"> </w:t>
      </w:r>
      <w:r w:rsidRPr="00F16251">
        <w:rPr>
          <w:rFonts w:cstheme="minorHAnsi"/>
          <w:kern w:val="0"/>
          <w14:ligatures w14:val="none"/>
        </w:rPr>
        <w:t>finansowej</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ramach</w:t>
      </w:r>
      <w:r w:rsidR="003B50ED" w:rsidRPr="00F16251">
        <w:rPr>
          <w:rFonts w:cstheme="minorHAnsi"/>
          <w:kern w:val="0"/>
          <w14:ligatures w14:val="none"/>
        </w:rPr>
        <w:t xml:space="preserve"> </w:t>
      </w:r>
      <w:r w:rsidRPr="00F16251">
        <w:rPr>
          <w:rFonts w:cstheme="minorHAnsi"/>
          <w:kern w:val="0"/>
          <w14:ligatures w14:val="none"/>
        </w:rPr>
        <w:t>Planu</w:t>
      </w:r>
      <w:r w:rsidR="003B50ED" w:rsidRPr="00F16251">
        <w:rPr>
          <w:rFonts w:cstheme="minorHAnsi"/>
          <w:kern w:val="0"/>
          <w14:ligatures w14:val="none"/>
        </w:rPr>
        <w:t xml:space="preserve"> </w:t>
      </w:r>
      <w:r w:rsidRPr="00F16251">
        <w:rPr>
          <w:rFonts w:cstheme="minorHAnsi"/>
          <w:kern w:val="0"/>
          <w14:ligatures w14:val="none"/>
        </w:rPr>
        <w:t>Strategicznego</w:t>
      </w:r>
      <w:r w:rsidR="003B50ED" w:rsidRPr="00F16251">
        <w:rPr>
          <w:rFonts w:cstheme="minorHAnsi"/>
          <w:kern w:val="0"/>
          <w14:ligatures w14:val="none"/>
        </w:rPr>
        <w:t xml:space="preserve"> </w:t>
      </w:r>
      <w:r w:rsidRPr="00F16251">
        <w:rPr>
          <w:rFonts w:cstheme="minorHAnsi"/>
          <w:kern w:val="0"/>
          <w14:ligatures w14:val="none"/>
        </w:rPr>
        <w:t>dla</w:t>
      </w:r>
      <w:r w:rsidR="003B50ED" w:rsidRPr="00F16251">
        <w:rPr>
          <w:rFonts w:cstheme="minorHAnsi"/>
          <w:kern w:val="0"/>
          <w14:ligatures w14:val="none"/>
        </w:rPr>
        <w:t xml:space="preserve"> </w:t>
      </w:r>
      <w:r w:rsidRPr="00F16251">
        <w:rPr>
          <w:rFonts w:cstheme="minorHAnsi"/>
          <w:kern w:val="0"/>
          <w14:ligatures w14:val="none"/>
        </w:rPr>
        <w:t>Wspólnej</w:t>
      </w:r>
      <w:r w:rsidR="003B50ED" w:rsidRPr="00F16251">
        <w:rPr>
          <w:rFonts w:cstheme="minorHAnsi"/>
          <w:kern w:val="0"/>
          <w14:ligatures w14:val="none"/>
        </w:rPr>
        <w:t xml:space="preserve"> </w:t>
      </w:r>
      <w:r w:rsidRPr="00F16251">
        <w:rPr>
          <w:rFonts w:cstheme="minorHAnsi"/>
          <w:kern w:val="0"/>
          <w14:ligatures w14:val="none"/>
        </w:rPr>
        <w:t>Polityki</w:t>
      </w:r>
      <w:r w:rsidR="003B50ED" w:rsidRPr="00F16251">
        <w:rPr>
          <w:rFonts w:cstheme="minorHAnsi"/>
          <w:kern w:val="0"/>
          <w14:ligatures w14:val="none"/>
        </w:rPr>
        <w:t xml:space="preserve"> </w:t>
      </w:r>
      <w:r w:rsidRPr="00F16251">
        <w:rPr>
          <w:rFonts w:cstheme="minorHAnsi"/>
          <w:kern w:val="0"/>
          <w14:ligatures w14:val="none"/>
        </w:rPr>
        <w:t>Rolnej</w:t>
      </w:r>
      <w:r w:rsidR="003B50ED" w:rsidRPr="00F16251">
        <w:rPr>
          <w:rFonts w:cstheme="minorHAnsi"/>
          <w:kern w:val="0"/>
          <w14:ligatures w14:val="none"/>
        </w:rPr>
        <w:t xml:space="preserve"> </w:t>
      </w:r>
      <w:r w:rsidRPr="00F16251">
        <w:rPr>
          <w:rFonts w:cstheme="minorHAnsi"/>
          <w:kern w:val="0"/>
          <w14:ligatures w14:val="none"/>
        </w:rPr>
        <w:t>na</w:t>
      </w:r>
      <w:r w:rsidR="003B50ED" w:rsidRPr="00F16251">
        <w:rPr>
          <w:rFonts w:cstheme="minorHAnsi"/>
          <w:kern w:val="0"/>
          <w14:ligatures w14:val="none"/>
        </w:rPr>
        <w:t xml:space="preserve"> </w:t>
      </w:r>
      <w:r w:rsidRPr="00F16251">
        <w:rPr>
          <w:rFonts w:cstheme="minorHAnsi"/>
          <w:kern w:val="0"/>
          <w14:ligatures w14:val="none"/>
        </w:rPr>
        <w:t>lata</w:t>
      </w:r>
      <w:r w:rsidR="003B50ED" w:rsidRPr="00F16251">
        <w:rPr>
          <w:rFonts w:cstheme="minorHAnsi"/>
          <w:kern w:val="0"/>
          <w14:ligatures w14:val="none"/>
        </w:rPr>
        <w:t xml:space="preserve"> </w:t>
      </w:r>
      <w:r w:rsidRPr="00F16251">
        <w:rPr>
          <w:rFonts w:cstheme="minorHAnsi"/>
          <w:kern w:val="0"/>
          <w14:ligatures w14:val="none"/>
        </w:rPr>
        <w:t>2023–2027</w:t>
      </w:r>
      <w:r w:rsidR="003B50ED" w:rsidRPr="00F16251">
        <w:rPr>
          <w:rFonts w:cstheme="minorHAnsi"/>
          <w:kern w:val="0"/>
          <w14:ligatures w14:val="none"/>
        </w:rPr>
        <w:t xml:space="preserve"> </w:t>
      </w:r>
      <w:r w:rsidRPr="00F16251">
        <w:rPr>
          <w:rFonts w:cstheme="minorHAnsi"/>
          <w:kern w:val="0"/>
          <w14:ligatures w14:val="none"/>
        </w:rPr>
        <w:t>dla</w:t>
      </w:r>
      <w:r w:rsidR="003B50ED" w:rsidRPr="00F16251">
        <w:rPr>
          <w:rFonts w:cstheme="minorHAnsi"/>
          <w:kern w:val="0"/>
          <w14:ligatures w14:val="none"/>
        </w:rPr>
        <w:t xml:space="preserve"> </w:t>
      </w:r>
      <w:r w:rsidRPr="00F16251">
        <w:rPr>
          <w:rFonts w:cstheme="minorHAnsi"/>
          <w:kern w:val="0"/>
          <w14:ligatures w14:val="none"/>
        </w:rPr>
        <w:t>interwencji</w:t>
      </w:r>
      <w:r w:rsidR="003B50ED" w:rsidRPr="00F16251">
        <w:rPr>
          <w:rFonts w:cstheme="minorHAnsi"/>
          <w:kern w:val="0"/>
          <w14:ligatures w14:val="none"/>
        </w:rPr>
        <w:t xml:space="preserve"> </w:t>
      </w:r>
      <w:r w:rsidRPr="00F16251">
        <w:rPr>
          <w:rFonts w:cstheme="minorHAnsi"/>
          <w:kern w:val="0"/>
          <w14:ligatures w14:val="none"/>
        </w:rPr>
        <w:t>I.13.1</w:t>
      </w:r>
      <w:r w:rsidR="003B50ED" w:rsidRPr="00F16251">
        <w:rPr>
          <w:rFonts w:cstheme="minorHAnsi"/>
          <w:kern w:val="0"/>
          <w14:ligatures w14:val="none"/>
        </w:rPr>
        <w:t xml:space="preserve"> </w:t>
      </w:r>
      <w:r w:rsidRPr="00F16251">
        <w:rPr>
          <w:rFonts w:cstheme="minorHAnsi"/>
          <w:kern w:val="0"/>
          <w14:ligatures w14:val="none"/>
        </w:rPr>
        <w:t>LEADER/Rozwój</w:t>
      </w:r>
      <w:r w:rsidR="003B50ED" w:rsidRPr="00F16251">
        <w:rPr>
          <w:rFonts w:cstheme="minorHAnsi"/>
          <w:kern w:val="0"/>
          <w14:ligatures w14:val="none"/>
        </w:rPr>
        <w:t xml:space="preserve"> </w:t>
      </w:r>
      <w:r w:rsidRPr="00F16251">
        <w:rPr>
          <w:rFonts w:cstheme="minorHAnsi"/>
          <w:kern w:val="0"/>
          <w14:ligatures w14:val="none"/>
        </w:rPr>
        <w:t>Lokalny</w:t>
      </w:r>
      <w:r w:rsidR="003B50ED" w:rsidRPr="00F16251">
        <w:rPr>
          <w:rFonts w:cstheme="minorHAnsi"/>
          <w:kern w:val="0"/>
          <w14:ligatures w14:val="none"/>
        </w:rPr>
        <w:t xml:space="preserve"> </w:t>
      </w:r>
      <w:r w:rsidRPr="00F16251">
        <w:rPr>
          <w:rFonts w:cstheme="minorHAnsi"/>
          <w:kern w:val="0"/>
          <w14:ligatures w14:val="none"/>
        </w:rPr>
        <w:t>Kierowany</w:t>
      </w:r>
      <w:r w:rsidR="003B50ED" w:rsidRPr="00F16251">
        <w:rPr>
          <w:rFonts w:cstheme="minorHAnsi"/>
          <w:kern w:val="0"/>
          <w14:ligatures w14:val="none"/>
        </w:rPr>
        <w:t xml:space="preserve"> </w:t>
      </w:r>
      <w:r w:rsidRPr="00F16251">
        <w:rPr>
          <w:rFonts w:cstheme="minorHAnsi"/>
          <w:kern w:val="0"/>
          <w14:ligatures w14:val="none"/>
        </w:rPr>
        <w:t>przez</w:t>
      </w:r>
      <w:r w:rsidR="003B50ED" w:rsidRPr="00F16251">
        <w:rPr>
          <w:rFonts w:cstheme="minorHAnsi"/>
          <w:kern w:val="0"/>
          <w14:ligatures w14:val="none"/>
        </w:rPr>
        <w:t xml:space="preserve"> </w:t>
      </w:r>
      <w:r w:rsidRPr="00F16251">
        <w:rPr>
          <w:rFonts w:cstheme="minorHAnsi"/>
          <w:kern w:val="0"/>
          <w14:ligatures w14:val="none"/>
        </w:rPr>
        <w:t>Społeczność</w:t>
      </w:r>
      <w:r w:rsidR="003B50ED" w:rsidRPr="00F16251">
        <w:rPr>
          <w:rFonts w:cstheme="minorHAnsi"/>
          <w:kern w:val="0"/>
          <w14:ligatures w14:val="none"/>
        </w:rPr>
        <w:t xml:space="preserve"> </w:t>
      </w:r>
      <w:r w:rsidRPr="00F16251">
        <w:rPr>
          <w:rFonts w:cstheme="minorHAnsi"/>
          <w:kern w:val="0"/>
          <w14:ligatures w14:val="none"/>
        </w:rPr>
        <w:t>(RLKS)</w:t>
      </w:r>
      <w:r w:rsidR="003B50ED" w:rsidRPr="00F16251">
        <w:rPr>
          <w:rFonts w:cstheme="minorHAnsi"/>
          <w:kern w:val="0"/>
          <w14:ligatures w14:val="none"/>
        </w:rPr>
        <w:t xml:space="preserve"> </w:t>
      </w:r>
      <w:r w:rsidRPr="00F16251">
        <w:rPr>
          <w:rFonts w:cstheme="minorHAnsi"/>
          <w:kern w:val="0"/>
          <w14:ligatures w14:val="none"/>
        </w:rPr>
        <w:t>–</w:t>
      </w:r>
      <w:r w:rsidR="003B50ED" w:rsidRPr="00F16251">
        <w:rPr>
          <w:rFonts w:cstheme="minorHAnsi"/>
          <w:kern w:val="0"/>
          <w14:ligatures w14:val="none"/>
        </w:rPr>
        <w:t xml:space="preserve"> </w:t>
      </w:r>
      <w:r w:rsidRPr="00F16251">
        <w:rPr>
          <w:rFonts w:cstheme="minorHAnsi"/>
          <w:kern w:val="0"/>
          <w14:ligatures w14:val="none"/>
        </w:rPr>
        <w:t>komponent</w:t>
      </w:r>
      <w:r w:rsidR="003B50ED" w:rsidRPr="00F16251">
        <w:rPr>
          <w:rFonts w:cstheme="minorHAnsi"/>
          <w:kern w:val="0"/>
          <w14:ligatures w14:val="none"/>
        </w:rPr>
        <w:t xml:space="preserve"> </w:t>
      </w:r>
      <w:r w:rsidRPr="00F16251">
        <w:rPr>
          <w:rFonts w:cstheme="minorHAnsi"/>
          <w:kern w:val="0"/>
          <w14:ligatures w14:val="none"/>
        </w:rPr>
        <w:t>Zarządzanie</w:t>
      </w:r>
      <w:r w:rsidR="003B50ED" w:rsidRPr="00F16251">
        <w:rPr>
          <w:rFonts w:cstheme="minorHAnsi"/>
          <w:kern w:val="0"/>
          <w14:ligatures w14:val="none"/>
        </w:rPr>
        <w:t xml:space="preserve"> </w:t>
      </w:r>
      <w:r w:rsidRPr="00F16251">
        <w:rPr>
          <w:rFonts w:cstheme="minorHAnsi"/>
          <w:kern w:val="0"/>
          <w14:ligatures w14:val="none"/>
        </w:rPr>
        <w:t>LSR</w:t>
      </w:r>
      <w:r w:rsidR="003B50ED" w:rsidRPr="00F16251">
        <w:rPr>
          <w:rFonts w:cstheme="minorHAnsi"/>
          <w:kern w:val="0"/>
          <w14:ligatures w14:val="none"/>
        </w:rPr>
        <w:t xml:space="preserve"> </w:t>
      </w:r>
      <w:r w:rsidRPr="00F16251">
        <w:rPr>
          <w:rFonts w:cstheme="minorHAnsi"/>
          <w:kern w:val="0"/>
          <w14:ligatures w14:val="none"/>
        </w:rPr>
        <w:t>oraz</w:t>
      </w:r>
      <w:r w:rsidR="003B50ED" w:rsidRPr="00F16251">
        <w:rPr>
          <w:rFonts w:cstheme="minorHAnsi"/>
          <w:kern w:val="0"/>
          <w14:ligatures w14:val="none"/>
        </w:rPr>
        <w:t xml:space="preserve"> </w:t>
      </w:r>
      <w:r w:rsidRPr="00F16251">
        <w:rPr>
          <w:rFonts w:cstheme="minorHAnsi"/>
          <w:kern w:val="0"/>
          <w14:ligatures w14:val="none"/>
        </w:rPr>
        <w:t>Wytyczne</w:t>
      </w:r>
      <w:r w:rsidR="003B50ED" w:rsidRPr="00F16251">
        <w:rPr>
          <w:rFonts w:cstheme="minorHAnsi"/>
          <w:kern w:val="0"/>
          <w14:ligatures w14:val="none"/>
        </w:rPr>
        <w:t xml:space="preserve"> </w:t>
      </w:r>
      <w:r w:rsidRPr="00F16251">
        <w:rPr>
          <w:rFonts w:cstheme="minorHAnsi"/>
          <w:kern w:val="0"/>
          <w14:ligatures w14:val="none"/>
        </w:rPr>
        <w:t>szczegółowe</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zakresie</w:t>
      </w:r>
      <w:r w:rsidR="003B50ED" w:rsidRPr="00F16251">
        <w:rPr>
          <w:rFonts w:cstheme="minorHAnsi"/>
          <w:kern w:val="0"/>
          <w14:ligatures w14:val="none"/>
        </w:rPr>
        <w:t xml:space="preserve"> </w:t>
      </w:r>
      <w:r w:rsidRPr="00F16251">
        <w:rPr>
          <w:rFonts w:cstheme="minorHAnsi"/>
          <w:kern w:val="0"/>
          <w14:ligatures w14:val="none"/>
        </w:rPr>
        <w:t>przyznawania</w:t>
      </w:r>
      <w:r w:rsidR="003B50ED" w:rsidRPr="00F16251">
        <w:rPr>
          <w:rFonts w:cstheme="minorHAnsi"/>
          <w:kern w:val="0"/>
          <w14:ligatures w14:val="none"/>
        </w:rPr>
        <w:t xml:space="preserve"> </w:t>
      </w:r>
      <w:r w:rsidRPr="00F16251">
        <w:rPr>
          <w:rFonts w:cstheme="minorHAnsi"/>
          <w:kern w:val="0"/>
          <w14:ligatures w14:val="none"/>
        </w:rPr>
        <w:t>wypłaty</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zwrotu</w:t>
      </w:r>
      <w:r w:rsidR="003B50ED" w:rsidRPr="00F16251">
        <w:rPr>
          <w:rFonts w:cstheme="minorHAnsi"/>
          <w:kern w:val="0"/>
          <w14:ligatures w14:val="none"/>
        </w:rPr>
        <w:t xml:space="preserve"> </w:t>
      </w:r>
      <w:r w:rsidRPr="00F16251">
        <w:rPr>
          <w:rFonts w:cstheme="minorHAnsi"/>
          <w:kern w:val="0"/>
          <w14:ligatures w14:val="none"/>
        </w:rPr>
        <w:t>pomocy</w:t>
      </w:r>
      <w:r w:rsidR="003B50ED" w:rsidRPr="00F16251">
        <w:rPr>
          <w:rFonts w:cstheme="minorHAnsi"/>
          <w:kern w:val="0"/>
          <w14:ligatures w14:val="none"/>
        </w:rPr>
        <w:t xml:space="preserve"> </w:t>
      </w:r>
      <w:r w:rsidRPr="00F16251">
        <w:rPr>
          <w:rFonts w:cstheme="minorHAnsi"/>
          <w:kern w:val="0"/>
          <w14:ligatures w14:val="none"/>
        </w:rPr>
        <w:t>finansowej</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ramach</w:t>
      </w:r>
      <w:r w:rsidR="003B50ED" w:rsidRPr="00F16251">
        <w:rPr>
          <w:rFonts w:cstheme="minorHAnsi"/>
          <w:kern w:val="0"/>
          <w14:ligatures w14:val="none"/>
        </w:rPr>
        <w:t xml:space="preserve"> </w:t>
      </w:r>
      <w:r w:rsidRPr="00F16251">
        <w:rPr>
          <w:rFonts w:cstheme="minorHAnsi"/>
          <w:kern w:val="0"/>
          <w14:ligatures w14:val="none"/>
        </w:rPr>
        <w:t>Planu</w:t>
      </w:r>
      <w:r w:rsidR="003B50ED" w:rsidRPr="00F16251">
        <w:rPr>
          <w:rFonts w:cstheme="minorHAnsi"/>
          <w:kern w:val="0"/>
          <w14:ligatures w14:val="none"/>
        </w:rPr>
        <w:t xml:space="preserve"> </w:t>
      </w:r>
      <w:r w:rsidRPr="00F16251">
        <w:rPr>
          <w:rFonts w:cstheme="minorHAnsi"/>
          <w:kern w:val="0"/>
          <w14:ligatures w14:val="none"/>
        </w:rPr>
        <w:t>Strategicznego</w:t>
      </w:r>
      <w:r w:rsidR="003B50ED" w:rsidRPr="00F16251">
        <w:rPr>
          <w:rFonts w:cstheme="minorHAnsi"/>
          <w:kern w:val="0"/>
          <w14:ligatures w14:val="none"/>
        </w:rPr>
        <w:t xml:space="preserve"> </w:t>
      </w:r>
      <w:r w:rsidRPr="00F16251">
        <w:rPr>
          <w:rFonts w:cstheme="minorHAnsi"/>
          <w:kern w:val="0"/>
          <w14:ligatures w14:val="none"/>
        </w:rPr>
        <w:t>dla</w:t>
      </w:r>
      <w:r w:rsidR="003B50ED" w:rsidRPr="00F16251">
        <w:rPr>
          <w:rFonts w:cstheme="minorHAnsi"/>
          <w:kern w:val="0"/>
          <w14:ligatures w14:val="none"/>
        </w:rPr>
        <w:t xml:space="preserve"> </w:t>
      </w:r>
      <w:r w:rsidRPr="00F16251">
        <w:rPr>
          <w:rFonts w:cstheme="minorHAnsi"/>
          <w:kern w:val="0"/>
          <w14:ligatures w14:val="none"/>
        </w:rPr>
        <w:t>Wspólnej</w:t>
      </w:r>
      <w:r w:rsidR="003B50ED" w:rsidRPr="00F16251">
        <w:rPr>
          <w:rFonts w:cstheme="minorHAnsi"/>
          <w:kern w:val="0"/>
          <w14:ligatures w14:val="none"/>
        </w:rPr>
        <w:t xml:space="preserve"> </w:t>
      </w:r>
      <w:r w:rsidRPr="00F16251">
        <w:rPr>
          <w:rFonts w:cstheme="minorHAnsi"/>
          <w:kern w:val="0"/>
          <w14:ligatures w14:val="none"/>
        </w:rPr>
        <w:t>Polityki</w:t>
      </w:r>
      <w:r w:rsidR="003B50ED" w:rsidRPr="00F16251">
        <w:rPr>
          <w:rFonts w:cstheme="minorHAnsi"/>
          <w:kern w:val="0"/>
          <w14:ligatures w14:val="none"/>
        </w:rPr>
        <w:t xml:space="preserve"> </w:t>
      </w:r>
      <w:r w:rsidRPr="00F16251">
        <w:rPr>
          <w:rFonts w:cstheme="minorHAnsi"/>
          <w:kern w:val="0"/>
          <w14:ligatures w14:val="none"/>
        </w:rPr>
        <w:t>Rolnej</w:t>
      </w:r>
      <w:r w:rsidR="003B50ED" w:rsidRPr="00F16251">
        <w:rPr>
          <w:rFonts w:cstheme="minorHAnsi"/>
          <w:kern w:val="0"/>
          <w14:ligatures w14:val="none"/>
        </w:rPr>
        <w:t xml:space="preserve"> </w:t>
      </w:r>
      <w:r w:rsidRPr="00F16251">
        <w:rPr>
          <w:rFonts w:cstheme="minorHAnsi"/>
          <w:kern w:val="0"/>
          <w14:ligatures w14:val="none"/>
        </w:rPr>
        <w:t>na</w:t>
      </w:r>
      <w:r w:rsidR="003B50ED" w:rsidRPr="00F16251">
        <w:rPr>
          <w:rFonts w:cstheme="minorHAnsi"/>
          <w:kern w:val="0"/>
          <w14:ligatures w14:val="none"/>
        </w:rPr>
        <w:t xml:space="preserve"> </w:t>
      </w:r>
      <w:r w:rsidRPr="00F16251">
        <w:rPr>
          <w:rFonts w:cstheme="minorHAnsi"/>
          <w:kern w:val="0"/>
          <w14:ligatures w14:val="none"/>
        </w:rPr>
        <w:t>lata</w:t>
      </w:r>
      <w:r w:rsidR="003B50ED" w:rsidRPr="00F16251">
        <w:rPr>
          <w:rFonts w:cstheme="minorHAnsi"/>
          <w:kern w:val="0"/>
          <w14:ligatures w14:val="none"/>
        </w:rPr>
        <w:t xml:space="preserve"> </w:t>
      </w:r>
      <w:r w:rsidRPr="00F16251">
        <w:rPr>
          <w:rFonts w:cstheme="minorHAnsi"/>
          <w:kern w:val="0"/>
          <w14:ligatures w14:val="none"/>
        </w:rPr>
        <w:t>2023–2027</w:t>
      </w:r>
      <w:r w:rsidR="003B50ED" w:rsidRPr="00F16251">
        <w:rPr>
          <w:rFonts w:cstheme="minorHAnsi"/>
          <w:kern w:val="0"/>
          <w14:ligatures w14:val="none"/>
        </w:rPr>
        <w:t xml:space="preserve"> </w:t>
      </w:r>
      <w:r w:rsidRPr="00F16251">
        <w:rPr>
          <w:rFonts w:cstheme="minorHAnsi"/>
          <w:kern w:val="0"/>
          <w14:ligatures w14:val="none"/>
        </w:rPr>
        <w:t>dla</w:t>
      </w:r>
      <w:r w:rsidR="003B50ED" w:rsidRPr="00F16251">
        <w:rPr>
          <w:rFonts w:cstheme="minorHAnsi"/>
          <w:kern w:val="0"/>
          <w14:ligatures w14:val="none"/>
        </w:rPr>
        <w:t xml:space="preserve"> </w:t>
      </w:r>
      <w:r w:rsidRPr="00F16251">
        <w:rPr>
          <w:rFonts w:cstheme="minorHAnsi"/>
          <w:kern w:val="0"/>
          <w14:ligatures w14:val="none"/>
        </w:rPr>
        <w:t>interwencji</w:t>
      </w:r>
      <w:r w:rsidR="003B50ED" w:rsidRPr="00F16251">
        <w:rPr>
          <w:rFonts w:cstheme="minorHAnsi"/>
          <w:kern w:val="0"/>
          <w14:ligatures w14:val="none"/>
        </w:rPr>
        <w:t xml:space="preserve"> </w:t>
      </w:r>
      <w:r w:rsidRPr="00F16251">
        <w:rPr>
          <w:rFonts w:cstheme="minorHAnsi"/>
          <w:kern w:val="0"/>
          <w14:ligatures w14:val="none"/>
        </w:rPr>
        <w:t>I.13.1</w:t>
      </w:r>
      <w:r w:rsidR="003B50ED" w:rsidRPr="00F16251">
        <w:rPr>
          <w:rFonts w:cstheme="minorHAnsi"/>
          <w:kern w:val="0"/>
          <w14:ligatures w14:val="none"/>
        </w:rPr>
        <w:t xml:space="preserve"> </w:t>
      </w:r>
      <w:r w:rsidRPr="00F16251">
        <w:rPr>
          <w:rFonts w:cstheme="minorHAnsi"/>
          <w:kern w:val="0"/>
          <w14:ligatures w14:val="none"/>
        </w:rPr>
        <w:t>LEADER/Rozwój</w:t>
      </w:r>
      <w:r w:rsidR="003B50ED" w:rsidRPr="00F16251">
        <w:rPr>
          <w:rFonts w:cstheme="minorHAnsi"/>
          <w:kern w:val="0"/>
          <w14:ligatures w14:val="none"/>
        </w:rPr>
        <w:t xml:space="preserve"> </w:t>
      </w:r>
      <w:r w:rsidRPr="00F16251">
        <w:rPr>
          <w:rFonts w:cstheme="minorHAnsi"/>
          <w:kern w:val="0"/>
          <w14:ligatures w14:val="none"/>
        </w:rPr>
        <w:t>Lokalny</w:t>
      </w:r>
      <w:r w:rsidR="003B50ED" w:rsidRPr="00F16251">
        <w:rPr>
          <w:rFonts w:cstheme="minorHAnsi"/>
          <w:kern w:val="0"/>
          <w14:ligatures w14:val="none"/>
        </w:rPr>
        <w:t xml:space="preserve"> </w:t>
      </w:r>
      <w:r w:rsidRPr="00F16251">
        <w:rPr>
          <w:rFonts w:cstheme="minorHAnsi"/>
          <w:kern w:val="0"/>
          <w14:ligatures w14:val="none"/>
        </w:rPr>
        <w:t>Kierowany</w:t>
      </w:r>
      <w:r w:rsidR="003B50ED" w:rsidRPr="00F16251">
        <w:rPr>
          <w:rFonts w:cstheme="minorHAnsi"/>
          <w:kern w:val="0"/>
          <w14:ligatures w14:val="none"/>
        </w:rPr>
        <w:t xml:space="preserve"> </w:t>
      </w:r>
      <w:r w:rsidRPr="00F16251">
        <w:rPr>
          <w:rFonts w:cstheme="minorHAnsi"/>
          <w:kern w:val="0"/>
          <w14:ligatures w14:val="none"/>
        </w:rPr>
        <w:t>przez</w:t>
      </w:r>
      <w:r w:rsidR="003B50ED" w:rsidRPr="00F16251">
        <w:rPr>
          <w:rFonts w:cstheme="minorHAnsi"/>
          <w:kern w:val="0"/>
          <w14:ligatures w14:val="none"/>
        </w:rPr>
        <w:t xml:space="preserve"> </w:t>
      </w:r>
      <w:r w:rsidRPr="00F16251">
        <w:rPr>
          <w:rFonts w:cstheme="minorHAnsi"/>
          <w:kern w:val="0"/>
          <w14:ligatures w14:val="none"/>
        </w:rPr>
        <w:t>Społeczność</w:t>
      </w:r>
      <w:r w:rsidR="003B50ED" w:rsidRPr="00F16251">
        <w:rPr>
          <w:rFonts w:cstheme="minorHAnsi"/>
          <w:kern w:val="0"/>
          <w14:ligatures w14:val="none"/>
        </w:rPr>
        <w:t xml:space="preserve"> </w:t>
      </w:r>
      <w:r w:rsidRPr="00F16251">
        <w:rPr>
          <w:rFonts w:cstheme="minorHAnsi"/>
          <w:kern w:val="0"/>
          <w14:ligatures w14:val="none"/>
        </w:rPr>
        <w:t>(RLKS)</w:t>
      </w:r>
      <w:r w:rsidR="003B50ED" w:rsidRPr="00F16251">
        <w:rPr>
          <w:rFonts w:cstheme="minorHAnsi"/>
          <w:kern w:val="0"/>
          <w14:ligatures w14:val="none"/>
        </w:rPr>
        <w:t xml:space="preserve"> </w:t>
      </w:r>
      <w:r w:rsidRPr="00F16251">
        <w:rPr>
          <w:rFonts w:cstheme="minorHAnsi"/>
          <w:kern w:val="0"/>
          <w14:ligatures w14:val="none"/>
        </w:rPr>
        <w:t>–</w:t>
      </w:r>
      <w:r w:rsidR="003B50ED" w:rsidRPr="00F16251">
        <w:rPr>
          <w:rFonts w:cstheme="minorHAnsi"/>
          <w:kern w:val="0"/>
          <w14:ligatures w14:val="none"/>
        </w:rPr>
        <w:t xml:space="preserve"> </w:t>
      </w:r>
      <w:r w:rsidRPr="00F16251">
        <w:rPr>
          <w:rFonts w:cstheme="minorHAnsi"/>
          <w:kern w:val="0"/>
          <w14:ligatures w14:val="none"/>
        </w:rPr>
        <w:t>komponent</w:t>
      </w:r>
      <w:r w:rsidR="003B50ED" w:rsidRPr="00F16251">
        <w:rPr>
          <w:rFonts w:cstheme="minorHAnsi"/>
          <w:kern w:val="0"/>
          <w14:ligatures w14:val="none"/>
        </w:rPr>
        <w:t xml:space="preserve"> </w:t>
      </w:r>
      <w:r w:rsidRPr="00F16251">
        <w:rPr>
          <w:rFonts w:cstheme="minorHAnsi"/>
          <w:kern w:val="0"/>
          <w14:ligatures w14:val="none"/>
        </w:rPr>
        <w:t>Wdrażanie</w:t>
      </w:r>
      <w:r w:rsidR="003B50ED" w:rsidRPr="00F16251">
        <w:rPr>
          <w:rFonts w:cstheme="minorHAnsi"/>
          <w:kern w:val="0"/>
          <w14:ligatures w14:val="none"/>
        </w:rPr>
        <w:t xml:space="preserve"> </w:t>
      </w:r>
      <w:r w:rsidRPr="00F16251">
        <w:rPr>
          <w:rFonts w:cstheme="minorHAnsi"/>
          <w:kern w:val="0"/>
          <w14:ligatures w14:val="none"/>
        </w:rPr>
        <w:t>LSR.</w:t>
      </w:r>
      <w:r w:rsidR="003B50ED" w:rsidRPr="00F16251">
        <w:rPr>
          <w:rFonts w:cstheme="minorHAnsi"/>
          <w:kern w:val="0"/>
          <w14:ligatures w14:val="none"/>
        </w:rPr>
        <w:t xml:space="preserve"> </w:t>
      </w:r>
    </w:p>
    <w:p w14:paraId="2AF87CCA" w14:textId="77777777" w:rsidR="00130167" w:rsidRPr="00F16251" w:rsidRDefault="002C63F4" w:rsidP="00130167">
      <w:pPr>
        <w:spacing w:line="276" w:lineRule="auto"/>
        <w:ind w:firstLine="360"/>
        <w:jc w:val="both"/>
        <w:rPr>
          <w:rFonts w:cstheme="minorHAnsi"/>
          <w:kern w:val="0"/>
          <w14:ligatures w14:val="none"/>
        </w:rPr>
      </w:pPr>
      <w:r w:rsidRPr="00F16251">
        <w:rPr>
          <w:rFonts w:cstheme="minorHAnsi"/>
          <w:kern w:val="0"/>
          <w14:ligatures w14:val="none"/>
        </w:rPr>
        <w:t>Udostępniane</w:t>
      </w:r>
      <w:r w:rsidR="003B50ED" w:rsidRPr="00F16251">
        <w:rPr>
          <w:rFonts w:cstheme="minorHAnsi"/>
          <w:kern w:val="0"/>
          <w14:ligatures w14:val="none"/>
        </w:rPr>
        <w:t xml:space="preserve"> </w:t>
      </w:r>
      <w:r w:rsidRPr="00F16251">
        <w:rPr>
          <w:rFonts w:cstheme="minorHAnsi"/>
          <w:kern w:val="0"/>
          <w14:ligatures w14:val="none"/>
        </w:rPr>
        <w:t>projekty</w:t>
      </w:r>
      <w:r w:rsidR="003B50ED" w:rsidRPr="00F16251">
        <w:rPr>
          <w:rFonts w:cstheme="minorHAnsi"/>
          <w:kern w:val="0"/>
          <w14:ligatures w14:val="none"/>
        </w:rPr>
        <w:t xml:space="preserve"> </w:t>
      </w:r>
      <w:r w:rsidRPr="00F16251">
        <w:rPr>
          <w:rFonts w:cstheme="minorHAnsi"/>
          <w:kern w:val="0"/>
          <w14:ligatures w14:val="none"/>
        </w:rPr>
        <w:t>wskazały</w:t>
      </w:r>
      <w:r w:rsidR="003B50ED" w:rsidRPr="00F16251">
        <w:rPr>
          <w:rFonts w:cstheme="minorHAnsi"/>
          <w:kern w:val="0"/>
          <w14:ligatures w14:val="none"/>
        </w:rPr>
        <w:t xml:space="preserve"> </w:t>
      </w:r>
      <w:r w:rsidRPr="00F16251">
        <w:rPr>
          <w:rFonts w:cstheme="minorHAnsi"/>
          <w:kern w:val="0"/>
          <w14:ligatures w14:val="none"/>
        </w:rPr>
        <w:t>na</w:t>
      </w:r>
      <w:r w:rsidR="003B50ED" w:rsidRPr="00F16251">
        <w:rPr>
          <w:rFonts w:cstheme="minorHAnsi"/>
          <w:kern w:val="0"/>
          <w14:ligatures w14:val="none"/>
        </w:rPr>
        <w:t xml:space="preserve"> </w:t>
      </w:r>
      <w:r w:rsidRPr="00F16251">
        <w:rPr>
          <w:rFonts w:cstheme="minorHAnsi"/>
          <w:kern w:val="0"/>
          <w14:ligatures w14:val="none"/>
        </w:rPr>
        <w:t>kierunki</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zasadach</w:t>
      </w:r>
      <w:r w:rsidR="003B50ED" w:rsidRPr="00F16251">
        <w:rPr>
          <w:rFonts w:cstheme="minorHAnsi"/>
          <w:kern w:val="0"/>
          <w14:ligatures w14:val="none"/>
        </w:rPr>
        <w:t xml:space="preserve"> </w:t>
      </w:r>
      <w:r w:rsidRPr="00F16251">
        <w:rPr>
          <w:rFonts w:cstheme="minorHAnsi"/>
          <w:kern w:val="0"/>
          <w14:ligatures w14:val="none"/>
        </w:rPr>
        <w:t>oceny</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wyboru</w:t>
      </w:r>
      <w:r w:rsidR="003B50ED" w:rsidRPr="00F16251">
        <w:rPr>
          <w:rFonts w:cstheme="minorHAnsi"/>
          <w:kern w:val="0"/>
          <w14:ligatures w14:val="none"/>
        </w:rPr>
        <w:t xml:space="preserve"> </w:t>
      </w:r>
      <w:r w:rsidRPr="00F16251">
        <w:rPr>
          <w:rFonts w:cstheme="minorHAnsi"/>
          <w:kern w:val="0"/>
          <w14:ligatures w14:val="none"/>
        </w:rPr>
        <w:t>projektów,</w:t>
      </w:r>
      <w:r w:rsidR="003B50ED" w:rsidRPr="00F16251">
        <w:rPr>
          <w:rFonts w:cstheme="minorHAnsi"/>
          <w:kern w:val="0"/>
          <w14:ligatures w14:val="none"/>
        </w:rPr>
        <w:t xml:space="preserve"> </w:t>
      </w:r>
      <w:r w:rsidRPr="00F16251">
        <w:rPr>
          <w:rFonts w:cstheme="minorHAnsi"/>
          <w:kern w:val="0"/>
          <w14:ligatures w14:val="none"/>
        </w:rPr>
        <w:t>jednak</w:t>
      </w:r>
      <w:r w:rsidR="003B50ED" w:rsidRPr="00F16251">
        <w:rPr>
          <w:rFonts w:cstheme="minorHAnsi"/>
          <w:kern w:val="0"/>
          <w14:ligatures w14:val="none"/>
        </w:rPr>
        <w:t xml:space="preserve"> </w:t>
      </w:r>
      <w:r w:rsidRPr="00F16251">
        <w:rPr>
          <w:rFonts w:cstheme="minorHAnsi"/>
          <w:kern w:val="0"/>
          <w14:ligatures w14:val="none"/>
        </w:rPr>
        <w:t>etap</w:t>
      </w:r>
      <w:r w:rsidR="003B50ED" w:rsidRPr="00F16251">
        <w:rPr>
          <w:rFonts w:cstheme="minorHAnsi"/>
          <w:kern w:val="0"/>
          <w14:ligatures w14:val="none"/>
        </w:rPr>
        <w:t xml:space="preserve"> </w:t>
      </w:r>
      <w:r w:rsidRPr="00F16251">
        <w:rPr>
          <w:rFonts w:cstheme="minorHAnsi"/>
          <w:kern w:val="0"/>
          <w14:ligatures w14:val="none"/>
        </w:rPr>
        <w:t>konsultacji</w:t>
      </w:r>
      <w:r w:rsidR="003B50ED" w:rsidRPr="00F16251">
        <w:rPr>
          <w:rFonts w:cstheme="minorHAnsi"/>
          <w:kern w:val="0"/>
          <w14:ligatures w14:val="none"/>
        </w:rPr>
        <w:t xml:space="preserve"> </w:t>
      </w:r>
      <w:r w:rsidRPr="00F16251">
        <w:rPr>
          <w:rFonts w:cstheme="minorHAnsi"/>
          <w:kern w:val="0"/>
          <w14:ligatures w14:val="none"/>
        </w:rPr>
        <w:t>nie</w:t>
      </w:r>
      <w:r w:rsidR="003B50ED" w:rsidRPr="00F16251">
        <w:rPr>
          <w:rFonts w:cstheme="minorHAnsi"/>
          <w:kern w:val="0"/>
          <w14:ligatures w14:val="none"/>
        </w:rPr>
        <w:t xml:space="preserve"> </w:t>
      </w:r>
      <w:r w:rsidRPr="00F16251">
        <w:rPr>
          <w:rFonts w:cstheme="minorHAnsi"/>
          <w:kern w:val="0"/>
          <w14:ligatures w14:val="none"/>
        </w:rPr>
        <w:t>zakończył</w:t>
      </w:r>
      <w:r w:rsidR="003B50ED" w:rsidRPr="00F16251">
        <w:rPr>
          <w:rFonts w:cstheme="minorHAnsi"/>
          <w:kern w:val="0"/>
          <w14:ligatures w14:val="none"/>
        </w:rPr>
        <w:t xml:space="preserve"> </w:t>
      </w:r>
      <w:r w:rsidRPr="00F16251">
        <w:rPr>
          <w:rFonts w:cstheme="minorHAnsi"/>
          <w:kern w:val="0"/>
          <w14:ligatures w14:val="none"/>
        </w:rPr>
        <w:t>się</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trakcie</w:t>
      </w:r>
      <w:r w:rsidR="003B50ED" w:rsidRPr="00F16251">
        <w:rPr>
          <w:rFonts w:cstheme="minorHAnsi"/>
          <w:kern w:val="0"/>
          <w14:ligatures w14:val="none"/>
        </w:rPr>
        <w:t xml:space="preserve"> </w:t>
      </w:r>
      <w:r w:rsidRPr="00F16251">
        <w:rPr>
          <w:rFonts w:cstheme="minorHAnsi"/>
          <w:kern w:val="0"/>
          <w14:ligatures w14:val="none"/>
        </w:rPr>
        <w:t>zatwierdzania</w:t>
      </w:r>
      <w:r w:rsidR="003B50ED" w:rsidRPr="00F16251">
        <w:rPr>
          <w:rFonts w:cstheme="minorHAnsi"/>
          <w:kern w:val="0"/>
          <w14:ligatures w14:val="none"/>
        </w:rPr>
        <w:t xml:space="preserve"> </w:t>
      </w:r>
      <w:r w:rsidRPr="00F16251">
        <w:rPr>
          <w:rFonts w:cstheme="minorHAnsi"/>
          <w:kern w:val="0"/>
          <w14:ligatures w14:val="none"/>
        </w:rPr>
        <w:t>LSR.</w:t>
      </w:r>
      <w:r w:rsidR="003B50ED" w:rsidRPr="00F16251">
        <w:rPr>
          <w:rFonts w:cstheme="minorHAnsi"/>
          <w:kern w:val="0"/>
          <w14:ligatures w14:val="none"/>
        </w:rPr>
        <w:t xml:space="preserve"> </w:t>
      </w:r>
      <w:r w:rsidRPr="00F16251">
        <w:rPr>
          <w:rFonts w:cstheme="minorHAnsi"/>
          <w:kern w:val="0"/>
          <w14:ligatures w14:val="none"/>
        </w:rPr>
        <w:t>Utrudniło</w:t>
      </w:r>
      <w:r w:rsidR="003B50ED" w:rsidRPr="00F16251">
        <w:rPr>
          <w:rFonts w:cstheme="minorHAnsi"/>
          <w:kern w:val="0"/>
          <w14:ligatures w14:val="none"/>
        </w:rPr>
        <w:t xml:space="preserve"> </w:t>
      </w:r>
      <w:r w:rsidRPr="00F16251">
        <w:rPr>
          <w:rFonts w:cstheme="minorHAnsi"/>
          <w:kern w:val="0"/>
          <w14:ligatures w14:val="none"/>
        </w:rPr>
        <w:t>to</w:t>
      </w:r>
      <w:r w:rsidR="003B50ED" w:rsidRPr="00F16251">
        <w:rPr>
          <w:rFonts w:cstheme="minorHAnsi"/>
          <w:kern w:val="0"/>
          <w14:ligatures w14:val="none"/>
        </w:rPr>
        <w:t xml:space="preserve"> </w:t>
      </w:r>
      <w:r w:rsidRPr="00F16251">
        <w:rPr>
          <w:rFonts w:cstheme="minorHAnsi"/>
          <w:kern w:val="0"/>
          <w14:ligatures w14:val="none"/>
        </w:rPr>
        <w:t>przygotowanie</w:t>
      </w:r>
      <w:r w:rsidR="003B50ED" w:rsidRPr="00F16251">
        <w:rPr>
          <w:rFonts w:cstheme="minorHAnsi"/>
          <w:kern w:val="0"/>
          <w14:ligatures w14:val="none"/>
        </w:rPr>
        <w:t xml:space="preserve"> </w:t>
      </w:r>
      <w:r w:rsidRPr="00F16251">
        <w:rPr>
          <w:rFonts w:cstheme="minorHAnsi"/>
          <w:kern w:val="0"/>
          <w14:ligatures w14:val="none"/>
        </w:rPr>
        <w:t>rozwiązań.</w:t>
      </w:r>
      <w:r w:rsidR="003B50ED" w:rsidRPr="00F16251">
        <w:rPr>
          <w:rFonts w:cstheme="minorHAnsi"/>
          <w:kern w:val="0"/>
          <w14:ligatures w14:val="none"/>
        </w:rPr>
        <w:t xml:space="preserve"> </w:t>
      </w:r>
      <w:r w:rsidR="00130167" w:rsidRPr="00F16251">
        <w:rPr>
          <w:rFonts w:cstheme="minorHAnsi"/>
          <w:kern w:val="0"/>
          <w14:ligatures w14:val="none"/>
        </w:rPr>
        <w:t>Nie było również szczegółowych zasad dotyczących wdrażania projektów w ramach EFRR oraz EFS+.</w:t>
      </w:r>
    </w:p>
    <w:p w14:paraId="10F62230" w14:textId="19D823F5" w:rsidR="002C63F4" w:rsidRPr="00F16251" w:rsidRDefault="002C63F4" w:rsidP="00130167">
      <w:pPr>
        <w:spacing w:line="276" w:lineRule="auto"/>
        <w:ind w:firstLine="360"/>
        <w:jc w:val="both"/>
        <w:rPr>
          <w:rFonts w:cstheme="minorHAnsi"/>
          <w:kern w:val="0"/>
          <w14:ligatures w14:val="none"/>
        </w:rPr>
      </w:pPr>
      <w:r w:rsidRPr="00F16251">
        <w:rPr>
          <w:rFonts w:cstheme="minorHAnsi"/>
          <w:kern w:val="0"/>
          <w14:ligatures w14:val="none"/>
        </w:rPr>
        <w:t>To</w:t>
      </w:r>
      <w:r w:rsidR="003B50ED" w:rsidRPr="00F16251">
        <w:rPr>
          <w:rFonts w:cstheme="minorHAnsi"/>
          <w:kern w:val="0"/>
          <w14:ligatures w14:val="none"/>
        </w:rPr>
        <w:t xml:space="preserve"> </w:t>
      </w:r>
      <w:r w:rsidRPr="00F16251">
        <w:rPr>
          <w:rFonts w:cstheme="minorHAnsi"/>
          <w:kern w:val="0"/>
          <w14:ligatures w14:val="none"/>
        </w:rPr>
        <w:t>skłoniło</w:t>
      </w:r>
      <w:r w:rsidR="003B50ED" w:rsidRPr="00F16251">
        <w:rPr>
          <w:rFonts w:cstheme="minorHAnsi"/>
          <w:kern w:val="0"/>
          <w14:ligatures w14:val="none"/>
        </w:rPr>
        <w:t xml:space="preserve"> </w:t>
      </w:r>
      <w:r w:rsidRPr="00F16251">
        <w:rPr>
          <w:rFonts w:cstheme="minorHAnsi"/>
          <w:kern w:val="0"/>
          <w14:ligatures w14:val="none"/>
        </w:rPr>
        <w:t>do</w:t>
      </w:r>
      <w:r w:rsidR="003B50ED" w:rsidRPr="00F16251">
        <w:rPr>
          <w:rFonts w:cstheme="minorHAnsi"/>
          <w:kern w:val="0"/>
          <w14:ligatures w14:val="none"/>
        </w:rPr>
        <w:t xml:space="preserve"> </w:t>
      </w:r>
      <w:r w:rsidRPr="00F16251">
        <w:rPr>
          <w:rFonts w:cstheme="minorHAnsi"/>
          <w:kern w:val="0"/>
          <w14:ligatures w14:val="none"/>
        </w:rPr>
        <w:t>przygotowania</w:t>
      </w:r>
      <w:r w:rsidR="003B50ED" w:rsidRPr="00F16251">
        <w:rPr>
          <w:rFonts w:cstheme="minorHAnsi"/>
          <w:kern w:val="0"/>
          <w14:ligatures w14:val="none"/>
        </w:rPr>
        <w:t xml:space="preserve"> </w:t>
      </w:r>
      <w:r w:rsidRPr="00F16251">
        <w:rPr>
          <w:rFonts w:cstheme="minorHAnsi"/>
          <w:kern w:val="0"/>
          <w14:ligatures w14:val="none"/>
        </w:rPr>
        <w:t>rozwiązań</w:t>
      </w:r>
      <w:r w:rsidR="003B50ED" w:rsidRPr="00F16251">
        <w:rPr>
          <w:rFonts w:cstheme="minorHAnsi"/>
          <w:kern w:val="0"/>
          <w14:ligatures w14:val="none"/>
        </w:rPr>
        <w:t xml:space="preserve"> </w:t>
      </w:r>
      <w:r w:rsidRPr="00F16251">
        <w:rPr>
          <w:rFonts w:cstheme="minorHAnsi"/>
          <w:kern w:val="0"/>
          <w14:ligatures w14:val="none"/>
        </w:rPr>
        <w:t>wspólnych,</w:t>
      </w:r>
      <w:r w:rsidR="003B50ED" w:rsidRPr="00F16251">
        <w:rPr>
          <w:rFonts w:cstheme="minorHAnsi"/>
          <w:kern w:val="0"/>
          <w14:ligatures w14:val="none"/>
        </w:rPr>
        <w:t xml:space="preserve"> </w:t>
      </w:r>
      <w:r w:rsidRPr="00F16251">
        <w:rPr>
          <w:rFonts w:cstheme="minorHAnsi"/>
          <w:kern w:val="0"/>
          <w14:ligatures w14:val="none"/>
        </w:rPr>
        <w:t>uniwersalnych,</w:t>
      </w:r>
      <w:r w:rsidR="003B50ED" w:rsidRPr="00F16251">
        <w:rPr>
          <w:rFonts w:cstheme="minorHAnsi"/>
          <w:kern w:val="0"/>
          <w14:ligatures w14:val="none"/>
        </w:rPr>
        <w:t xml:space="preserve"> </w:t>
      </w:r>
      <w:r w:rsidRPr="00F16251">
        <w:rPr>
          <w:rFonts w:cstheme="minorHAnsi"/>
          <w:kern w:val="0"/>
          <w14:ligatures w14:val="none"/>
        </w:rPr>
        <w:t>które</w:t>
      </w:r>
      <w:r w:rsidR="003B50ED" w:rsidRPr="00F16251">
        <w:rPr>
          <w:rFonts w:cstheme="minorHAnsi"/>
          <w:kern w:val="0"/>
          <w14:ligatures w14:val="none"/>
        </w:rPr>
        <w:t xml:space="preserve"> </w:t>
      </w:r>
      <w:r w:rsidRPr="00F16251">
        <w:rPr>
          <w:rFonts w:cstheme="minorHAnsi"/>
          <w:kern w:val="0"/>
          <w14:ligatures w14:val="none"/>
        </w:rPr>
        <w:t>zapewnią</w:t>
      </w:r>
      <w:r w:rsidR="003B50ED" w:rsidRPr="00F16251">
        <w:rPr>
          <w:rFonts w:cstheme="minorHAnsi"/>
          <w:kern w:val="0"/>
          <w14:ligatures w14:val="none"/>
        </w:rPr>
        <w:t xml:space="preserve"> </w:t>
      </w:r>
      <w:r w:rsidRPr="00F16251">
        <w:rPr>
          <w:rFonts w:cstheme="minorHAnsi"/>
          <w:kern w:val="0"/>
          <w14:ligatures w14:val="none"/>
        </w:rPr>
        <w:t>wybór</w:t>
      </w:r>
      <w:r w:rsidR="003B50ED" w:rsidRPr="00F16251">
        <w:rPr>
          <w:rFonts w:cstheme="minorHAnsi"/>
          <w:kern w:val="0"/>
          <w14:ligatures w14:val="none"/>
        </w:rPr>
        <w:t xml:space="preserve"> </w:t>
      </w:r>
      <w:r w:rsidRPr="00F16251">
        <w:rPr>
          <w:rFonts w:cstheme="minorHAnsi"/>
          <w:kern w:val="0"/>
          <w14:ligatures w14:val="none"/>
        </w:rPr>
        <w:t>projektów</w:t>
      </w:r>
      <w:r w:rsidR="003B50ED" w:rsidRPr="00F16251">
        <w:rPr>
          <w:rFonts w:cstheme="minorHAnsi"/>
          <w:kern w:val="0"/>
          <w14:ligatures w14:val="none"/>
        </w:rPr>
        <w:t xml:space="preserve"> </w:t>
      </w:r>
      <w:r w:rsidRPr="00F16251">
        <w:rPr>
          <w:rFonts w:cstheme="minorHAnsi"/>
          <w:kern w:val="0"/>
          <w14:ligatures w14:val="none"/>
        </w:rPr>
        <w:t>zgodnych</w:t>
      </w:r>
      <w:r w:rsidR="003B50ED" w:rsidRPr="00F16251">
        <w:rPr>
          <w:rFonts w:cstheme="minorHAnsi"/>
          <w:kern w:val="0"/>
          <w14:ligatures w14:val="none"/>
        </w:rPr>
        <w:t xml:space="preserve"> </w:t>
      </w:r>
      <w:r w:rsidRPr="00F16251">
        <w:rPr>
          <w:rFonts w:cstheme="minorHAnsi"/>
          <w:kern w:val="0"/>
          <w14:ligatures w14:val="none"/>
        </w:rPr>
        <w:t>z</w:t>
      </w:r>
      <w:r w:rsidR="003B50ED" w:rsidRPr="00F16251">
        <w:rPr>
          <w:rFonts w:cstheme="minorHAnsi"/>
          <w:kern w:val="0"/>
          <w14:ligatures w14:val="none"/>
        </w:rPr>
        <w:t xml:space="preserve"> </w:t>
      </w:r>
      <w:r w:rsidRPr="00F16251">
        <w:rPr>
          <w:rFonts w:cstheme="minorHAnsi"/>
          <w:kern w:val="0"/>
          <w14:ligatures w14:val="none"/>
        </w:rPr>
        <w:t>obowiązującymi</w:t>
      </w:r>
      <w:r w:rsidR="003B50ED" w:rsidRPr="00F16251">
        <w:rPr>
          <w:rFonts w:cstheme="minorHAnsi"/>
          <w:kern w:val="0"/>
          <w14:ligatures w14:val="none"/>
        </w:rPr>
        <w:t xml:space="preserve"> </w:t>
      </w:r>
      <w:r w:rsidRPr="00F16251">
        <w:rPr>
          <w:rFonts w:cstheme="minorHAnsi"/>
          <w:kern w:val="0"/>
          <w14:ligatures w14:val="none"/>
        </w:rPr>
        <w:t>zasadami.</w:t>
      </w:r>
      <w:r w:rsidR="003B50ED" w:rsidRPr="00F16251">
        <w:rPr>
          <w:rFonts w:cstheme="minorHAnsi"/>
          <w:kern w:val="0"/>
          <w14:ligatures w14:val="none"/>
        </w:rPr>
        <w:t xml:space="preserve"> </w:t>
      </w:r>
      <w:r w:rsidRPr="00F16251">
        <w:rPr>
          <w:rFonts w:cstheme="minorHAnsi"/>
          <w:kern w:val="0"/>
          <w14:ligatures w14:val="none"/>
        </w:rPr>
        <w:t>Wybór</w:t>
      </w:r>
      <w:r w:rsidR="003B50ED" w:rsidRPr="00F16251">
        <w:rPr>
          <w:rFonts w:cstheme="minorHAnsi"/>
          <w:kern w:val="0"/>
          <w14:ligatures w14:val="none"/>
        </w:rPr>
        <w:t xml:space="preserve"> </w:t>
      </w:r>
      <w:r w:rsidRPr="00F16251">
        <w:rPr>
          <w:rFonts w:cstheme="minorHAnsi"/>
          <w:kern w:val="0"/>
          <w14:ligatures w14:val="none"/>
        </w:rPr>
        <w:t>mechanizmów</w:t>
      </w:r>
      <w:r w:rsidR="003B50ED" w:rsidRPr="00F16251">
        <w:rPr>
          <w:rFonts w:cstheme="minorHAnsi"/>
          <w:kern w:val="0"/>
          <w14:ligatures w14:val="none"/>
        </w:rPr>
        <w:t xml:space="preserve"> </w:t>
      </w:r>
      <w:r w:rsidRPr="00F16251">
        <w:rPr>
          <w:rFonts w:cstheme="minorHAnsi"/>
          <w:kern w:val="0"/>
          <w14:ligatures w14:val="none"/>
        </w:rPr>
        <w:t>wdrażania</w:t>
      </w:r>
      <w:r w:rsidR="003B50ED" w:rsidRPr="00F16251">
        <w:rPr>
          <w:rFonts w:cstheme="minorHAnsi"/>
          <w:kern w:val="0"/>
          <w14:ligatures w14:val="none"/>
        </w:rPr>
        <w:t xml:space="preserve"> </w:t>
      </w:r>
      <w:r w:rsidRPr="00F16251">
        <w:rPr>
          <w:rFonts w:cstheme="minorHAnsi"/>
          <w:kern w:val="0"/>
          <w14:ligatures w14:val="none"/>
        </w:rPr>
        <w:t>był</w:t>
      </w:r>
      <w:r w:rsidR="003B50ED" w:rsidRPr="00F16251">
        <w:rPr>
          <w:rFonts w:cstheme="minorHAnsi"/>
          <w:kern w:val="0"/>
          <w14:ligatures w14:val="none"/>
        </w:rPr>
        <w:t xml:space="preserve"> </w:t>
      </w:r>
      <w:r w:rsidRPr="00F16251">
        <w:rPr>
          <w:rFonts w:cstheme="minorHAnsi"/>
          <w:kern w:val="0"/>
          <w14:ligatures w14:val="none"/>
        </w:rPr>
        <w:t>realizowany</w:t>
      </w:r>
      <w:r w:rsidR="003B50ED" w:rsidRPr="00F16251">
        <w:rPr>
          <w:rFonts w:cstheme="minorHAnsi"/>
          <w:kern w:val="0"/>
          <w14:ligatures w14:val="none"/>
        </w:rPr>
        <w:t xml:space="preserve"> </w:t>
      </w:r>
      <w:r w:rsidRPr="00F16251">
        <w:rPr>
          <w:rFonts w:cstheme="minorHAnsi"/>
          <w:kern w:val="0"/>
          <w14:ligatures w14:val="none"/>
        </w:rPr>
        <w:t>indywidualnie</w:t>
      </w:r>
      <w:r w:rsidR="003B50ED" w:rsidRPr="00F16251">
        <w:rPr>
          <w:rFonts w:cstheme="minorHAnsi"/>
          <w:kern w:val="0"/>
          <w14:ligatures w14:val="none"/>
        </w:rPr>
        <w:t xml:space="preserve"> </w:t>
      </w:r>
      <w:r w:rsidRPr="00F16251">
        <w:rPr>
          <w:rFonts w:cstheme="minorHAnsi"/>
          <w:kern w:val="0"/>
          <w14:ligatures w14:val="none"/>
        </w:rPr>
        <w:t>przez</w:t>
      </w:r>
      <w:r w:rsidR="003B50ED" w:rsidRPr="00F16251">
        <w:rPr>
          <w:rFonts w:cstheme="minorHAnsi"/>
          <w:kern w:val="0"/>
          <w14:ligatures w14:val="none"/>
        </w:rPr>
        <w:t xml:space="preserve"> </w:t>
      </w:r>
      <w:r w:rsidRPr="00F16251">
        <w:rPr>
          <w:rFonts w:cstheme="minorHAnsi"/>
          <w:kern w:val="0"/>
          <w14:ligatures w14:val="none"/>
        </w:rPr>
        <w:t>każdą</w:t>
      </w:r>
      <w:r w:rsidR="003B50ED" w:rsidRPr="00F16251">
        <w:rPr>
          <w:rFonts w:cstheme="minorHAnsi"/>
          <w:kern w:val="0"/>
          <w14:ligatures w14:val="none"/>
        </w:rPr>
        <w:t xml:space="preserve"> </w:t>
      </w:r>
      <w:r w:rsidRPr="00F16251">
        <w:rPr>
          <w:rFonts w:cstheme="minorHAnsi"/>
          <w:kern w:val="0"/>
          <w14:ligatures w14:val="none"/>
        </w:rPr>
        <w:t>LGD,</w:t>
      </w:r>
      <w:r w:rsidR="003B50ED" w:rsidRPr="00F16251">
        <w:rPr>
          <w:rFonts w:cstheme="minorHAnsi"/>
          <w:kern w:val="0"/>
          <w14:ligatures w14:val="none"/>
        </w:rPr>
        <w:t xml:space="preserve"> </w:t>
      </w:r>
      <w:r w:rsidRPr="00F16251">
        <w:rPr>
          <w:rFonts w:cstheme="minorHAnsi"/>
          <w:kern w:val="0"/>
          <w14:ligatures w14:val="none"/>
        </w:rPr>
        <w:t>ale</w:t>
      </w:r>
      <w:r w:rsidR="003B50ED" w:rsidRPr="00F16251">
        <w:rPr>
          <w:rFonts w:cstheme="minorHAnsi"/>
          <w:kern w:val="0"/>
          <w14:ligatures w14:val="none"/>
        </w:rPr>
        <w:t xml:space="preserve"> </w:t>
      </w:r>
      <w:r w:rsidRPr="00F16251">
        <w:rPr>
          <w:rFonts w:cstheme="minorHAnsi"/>
          <w:kern w:val="0"/>
          <w14:ligatures w14:val="none"/>
        </w:rPr>
        <w:t>przebieg</w:t>
      </w:r>
      <w:r w:rsidR="003B50ED" w:rsidRPr="00F16251">
        <w:rPr>
          <w:rFonts w:cstheme="minorHAnsi"/>
          <w:kern w:val="0"/>
          <w14:ligatures w14:val="none"/>
        </w:rPr>
        <w:t xml:space="preserve"> </w:t>
      </w:r>
      <w:r w:rsidRPr="00F16251">
        <w:rPr>
          <w:rFonts w:cstheme="minorHAnsi"/>
          <w:kern w:val="0"/>
          <w14:ligatures w14:val="none"/>
        </w:rPr>
        <w:t>procesu</w:t>
      </w:r>
      <w:r w:rsidR="003B50ED" w:rsidRPr="00F16251">
        <w:rPr>
          <w:rFonts w:cstheme="minorHAnsi"/>
          <w:kern w:val="0"/>
          <w14:ligatures w14:val="none"/>
        </w:rPr>
        <w:t xml:space="preserve"> </w:t>
      </w:r>
      <w:r w:rsidRPr="00F16251">
        <w:rPr>
          <w:rFonts w:cstheme="minorHAnsi"/>
          <w:kern w:val="0"/>
          <w14:ligatures w14:val="none"/>
        </w:rPr>
        <w:t>oceny</w:t>
      </w:r>
      <w:r w:rsidR="003B50ED" w:rsidRPr="00F16251">
        <w:rPr>
          <w:rFonts w:cstheme="minorHAnsi"/>
          <w:kern w:val="0"/>
          <w14:ligatures w14:val="none"/>
        </w:rPr>
        <w:t xml:space="preserve"> </w:t>
      </w:r>
      <w:r w:rsidRPr="00F16251">
        <w:rPr>
          <w:rFonts w:cstheme="minorHAnsi"/>
          <w:kern w:val="0"/>
          <w14:ligatures w14:val="none"/>
        </w:rPr>
        <w:t>jest</w:t>
      </w:r>
      <w:r w:rsidR="003B50ED" w:rsidRPr="00F16251">
        <w:rPr>
          <w:rFonts w:cstheme="minorHAnsi"/>
          <w:kern w:val="0"/>
          <w14:ligatures w14:val="none"/>
        </w:rPr>
        <w:t xml:space="preserve"> </w:t>
      </w:r>
      <w:r w:rsidRPr="00F16251">
        <w:rPr>
          <w:rFonts w:cstheme="minorHAnsi"/>
          <w:kern w:val="0"/>
          <w14:ligatures w14:val="none"/>
        </w:rPr>
        <w:t>efektem</w:t>
      </w:r>
      <w:r w:rsidR="003B50ED" w:rsidRPr="00F16251">
        <w:rPr>
          <w:rFonts w:cstheme="minorHAnsi"/>
          <w:kern w:val="0"/>
          <w14:ligatures w14:val="none"/>
        </w:rPr>
        <w:t xml:space="preserve"> </w:t>
      </w:r>
      <w:r w:rsidRPr="00F16251">
        <w:rPr>
          <w:rFonts w:cstheme="minorHAnsi"/>
          <w:kern w:val="0"/>
          <w14:ligatures w14:val="none"/>
        </w:rPr>
        <w:t>współpracy</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wymiany</w:t>
      </w:r>
      <w:r w:rsidR="003B50ED" w:rsidRPr="00F16251">
        <w:rPr>
          <w:rFonts w:cstheme="minorHAnsi"/>
          <w:kern w:val="0"/>
          <w14:ligatures w14:val="none"/>
        </w:rPr>
        <w:t xml:space="preserve"> </w:t>
      </w:r>
      <w:r w:rsidRPr="00F16251">
        <w:rPr>
          <w:rFonts w:cstheme="minorHAnsi"/>
          <w:kern w:val="0"/>
          <w14:ligatures w14:val="none"/>
        </w:rPr>
        <w:t>doświadczeń</w:t>
      </w:r>
      <w:r w:rsidR="003B50ED" w:rsidRPr="00F16251">
        <w:rPr>
          <w:rFonts w:cstheme="minorHAnsi"/>
          <w:kern w:val="0"/>
          <w14:ligatures w14:val="none"/>
        </w:rPr>
        <w:t xml:space="preserve"> </w:t>
      </w:r>
      <w:r w:rsidRPr="00F16251">
        <w:rPr>
          <w:rFonts w:cstheme="minorHAnsi"/>
          <w:kern w:val="0"/>
          <w14:ligatures w14:val="none"/>
        </w:rPr>
        <w:t>z</w:t>
      </w:r>
      <w:r w:rsidR="003B50ED" w:rsidRPr="00F16251">
        <w:rPr>
          <w:rFonts w:cstheme="minorHAnsi"/>
          <w:kern w:val="0"/>
          <w14:ligatures w14:val="none"/>
        </w:rPr>
        <w:t xml:space="preserve"> </w:t>
      </w:r>
      <w:r w:rsidRPr="00F16251">
        <w:rPr>
          <w:rFonts w:cstheme="minorHAnsi"/>
          <w:kern w:val="0"/>
          <w14:ligatures w14:val="none"/>
        </w:rPr>
        <w:t>innymi</w:t>
      </w:r>
      <w:r w:rsidR="003B50ED" w:rsidRPr="00F16251">
        <w:rPr>
          <w:rFonts w:cstheme="minorHAnsi"/>
          <w:kern w:val="0"/>
          <w14:ligatures w14:val="none"/>
        </w:rPr>
        <w:t xml:space="preserve"> </w:t>
      </w:r>
      <w:r w:rsidRPr="00F16251">
        <w:rPr>
          <w:rFonts w:cstheme="minorHAnsi"/>
          <w:kern w:val="0"/>
          <w14:ligatures w14:val="none"/>
        </w:rPr>
        <w:t>grupami.</w:t>
      </w:r>
    </w:p>
    <w:p w14:paraId="4D8A4E33" w14:textId="77777777" w:rsidR="002C63F4" w:rsidRPr="00F16251" w:rsidRDefault="002C63F4" w:rsidP="00A26C26">
      <w:pPr>
        <w:spacing w:line="276" w:lineRule="auto"/>
        <w:jc w:val="both"/>
        <w:rPr>
          <w:rFonts w:cstheme="minorHAnsi"/>
          <w:kern w:val="0"/>
          <w14:ligatures w14:val="none"/>
        </w:rPr>
      </w:pPr>
    </w:p>
    <w:p w14:paraId="4DE6CE4C" w14:textId="1AB17C1E" w:rsidR="002C63F4" w:rsidRPr="00F16251" w:rsidRDefault="002C63F4" w:rsidP="00A26C26">
      <w:pPr>
        <w:spacing w:line="276" w:lineRule="auto"/>
        <w:jc w:val="both"/>
        <w:rPr>
          <w:rFonts w:cstheme="minorHAnsi"/>
          <w:b/>
          <w:bCs/>
          <w:kern w:val="0"/>
          <w14:ligatures w14:val="none"/>
        </w:rPr>
      </w:pPr>
      <w:r w:rsidRPr="00F16251">
        <w:rPr>
          <w:rFonts w:cstheme="minorHAnsi"/>
          <w:b/>
          <w:bCs/>
          <w:kern w:val="0"/>
          <w14:ligatures w14:val="none"/>
        </w:rPr>
        <w:t>Zasady</w:t>
      </w:r>
      <w:r w:rsidR="003B50ED" w:rsidRPr="00F16251">
        <w:rPr>
          <w:rFonts w:cstheme="minorHAnsi"/>
          <w:b/>
          <w:bCs/>
          <w:kern w:val="0"/>
          <w14:ligatures w14:val="none"/>
        </w:rPr>
        <w:t xml:space="preserve"> </w:t>
      </w:r>
      <w:r w:rsidRPr="00F16251">
        <w:rPr>
          <w:rFonts w:cstheme="minorHAnsi"/>
          <w:b/>
          <w:bCs/>
          <w:kern w:val="0"/>
          <w14:ligatures w14:val="none"/>
        </w:rPr>
        <w:t>wyboru</w:t>
      </w:r>
      <w:r w:rsidR="003B50ED" w:rsidRPr="00F16251">
        <w:rPr>
          <w:rFonts w:cstheme="minorHAnsi"/>
          <w:b/>
          <w:bCs/>
          <w:kern w:val="0"/>
          <w14:ligatures w14:val="none"/>
        </w:rPr>
        <w:t xml:space="preserve"> </w:t>
      </w:r>
      <w:r w:rsidRPr="00F16251">
        <w:rPr>
          <w:rFonts w:cstheme="minorHAnsi"/>
          <w:b/>
          <w:bCs/>
          <w:kern w:val="0"/>
          <w14:ligatures w14:val="none"/>
        </w:rPr>
        <w:t>i</w:t>
      </w:r>
      <w:r w:rsidR="003B50ED" w:rsidRPr="00F16251">
        <w:rPr>
          <w:rFonts w:cstheme="minorHAnsi"/>
          <w:b/>
          <w:bCs/>
          <w:kern w:val="0"/>
          <w14:ligatures w14:val="none"/>
        </w:rPr>
        <w:t xml:space="preserve"> </w:t>
      </w:r>
      <w:r w:rsidRPr="00F16251">
        <w:rPr>
          <w:rFonts w:cstheme="minorHAnsi"/>
          <w:b/>
          <w:bCs/>
          <w:kern w:val="0"/>
          <w14:ligatures w14:val="none"/>
        </w:rPr>
        <w:t>oceny</w:t>
      </w:r>
      <w:r w:rsidR="003B50ED" w:rsidRPr="00F16251">
        <w:rPr>
          <w:rFonts w:cstheme="minorHAnsi"/>
          <w:b/>
          <w:bCs/>
          <w:kern w:val="0"/>
          <w14:ligatures w14:val="none"/>
        </w:rPr>
        <w:t xml:space="preserve"> </w:t>
      </w:r>
      <w:r w:rsidRPr="00F16251">
        <w:rPr>
          <w:rFonts w:cstheme="minorHAnsi"/>
          <w:b/>
          <w:bCs/>
          <w:kern w:val="0"/>
          <w14:ligatures w14:val="none"/>
        </w:rPr>
        <w:t>operacji</w:t>
      </w:r>
      <w:r w:rsidR="003B50ED" w:rsidRPr="00F16251">
        <w:rPr>
          <w:rFonts w:cstheme="minorHAnsi"/>
          <w:b/>
          <w:bCs/>
          <w:kern w:val="0"/>
          <w14:ligatures w14:val="none"/>
        </w:rPr>
        <w:t xml:space="preserve"> </w:t>
      </w:r>
    </w:p>
    <w:p w14:paraId="2A85164C" w14:textId="3548A2A8" w:rsidR="002C63F4" w:rsidRPr="00F16251" w:rsidRDefault="002C63F4" w:rsidP="00130167">
      <w:pPr>
        <w:spacing w:line="276" w:lineRule="auto"/>
        <w:ind w:firstLine="360"/>
        <w:jc w:val="both"/>
        <w:rPr>
          <w:rFonts w:cstheme="minorHAnsi"/>
          <w:kern w:val="0"/>
          <w14:ligatures w14:val="none"/>
        </w:rPr>
      </w:pPr>
      <w:r w:rsidRPr="00F16251">
        <w:rPr>
          <w:rFonts w:cstheme="minorHAnsi"/>
          <w:kern w:val="0"/>
          <w14:ligatures w14:val="none"/>
        </w:rPr>
        <w:t>Wybór</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ocena</w:t>
      </w:r>
      <w:r w:rsidR="003B50ED" w:rsidRPr="00F16251">
        <w:rPr>
          <w:rFonts w:cstheme="minorHAnsi"/>
          <w:kern w:val="0"/>
          <w14:ligatures w14:val="none"/>
        </w:rPr>
        <w:t xml:space="preserve"> </w:t>
      </w:r>
      <w:r w:rsidRPr="00F16251">
        <w:rPr>
          <w:rFonts w:cstheme="minorHAnsi"/>
          <w:kern w:val="0"/>
          <w14:ligatures w14:val="none"/>
        </w:rPr>
        <w:t>będą</w:t>
      </w:r>
      <w:r w:rsidR="003B50ED" w:rsidRPr="00F16251">
        <w:rPr>
          <w:rFonts w:cstheme="minorHAnsi"/>
          <w:kern w:val="0"/>
          <w14:ligatures w14:val="none"/>
        </w:rPr>
        <w:t xml:space="preserve"> </w:t>
      </w:r>
      <w:r w:rsidRPr="00F16251">
        <w:rPr>
          <w:rFonts w:cstheme="minorHAnsi"/>
          <w:kern w:val="0"/>
          <w14:ligatures w14:val="none"/>
        </w:rPr>
        <w:t>prowadzane</w:t>
      </w:r>
      <w:r w:rsidR="003B50ED" w:rsidRPr="00F16251">
        <w:rPr>
          <w:rFonts w:cstheme="minorHAnsi"/>
          <w:kern w:val="0"/>
          <w14:ligatures w14:val="none"/>
        </w:rPr>
        <w:t xml:space="preserve"> </w:t>
      </w:r>
      <w:r w:rsidRPr="00F16251">
        <w:rPr>
          <w:rFonts w:cstheme="minorHAnsi"/>
          <w:kern w:val="0"/>
          <w14:ligatures w14:val="none"/>
        </w:rPr>
        <w:t>na</w:t>
      </w:r>
      <w:r w:rsidR="003B50ED" w:rsidRPr="00F16251">
        <w:rPr>
          <w:rFonts w:cstheme="minorHAnsi"/>
          <w:kern w:val="0"/>
          <w14:ligatures w14:val="none"/>
        </w:rPr>
        <w:t xml:space="preserve"> </w:t>
      </w:r>
      <w:r w:rsidRPr="00F16251">
        <w:rPr>
          <w:rFonts w:cstheme="minorHAnsi"/>
          <w:kern w:val="0"/>
          <w14:ligatures w14:val="none"/>
        </w:rPr>
        <w:t>podstawie</w:t>
      </w:r>
      <w:r w:rsidR="003B50ED" w:rsidRPr="00F16251">
        <w:rPr>
          <w:rFonts w:cstheme="minorHAnsi"/>
          <w:kern w:val="0"/>
          <w14:ligatures w14:val="none"/>
        </w:rPr>
        <w:t xml:space="preserve"> </w:t>
      </w:r>
      <w:r w:rsidRPr="00F16251">
        <w:rPr>
          <w:rFonts w:cstheme="minorHAnsi"/>
          <w:kern w:val="0"/>
          <w14:ligatures w14:val="none"/>
        </w:rPr>
        <w:t>obowiązujących</w:t>
      </w:r>
      <w:r w:rsidR="003B50ED" w:rsidRPr="00F16251">
        <w:rPr>
          <w:rFonts w:cstheme="minorHAnsi"/>
          <w:kern w:val="0"/>
          <w14:ligatures w14:val="none"/>
        </w:rPr>
        <w:t xml:space="preserve"> </w:t>
      </w:r>
      <w:r w:rsidRPr="00F16251">
        <w:rPr>
          <w:rFonts w:cstheme="minorHAnsi"/>
          <w:kern w:val="0"/>
          <w14:ligatures w14:val="none"/>
        </w:rPr>
        <w:t>przepisów</w:t>
      </w:r>
      <w:r w:rsidR="003B50ED" w:rsidRPr="00F16251">
        <w:rPr>
          <w:rFonts w:cstheme="minorHAnsi"/>
          <w:kern w:val="0"/>
          <w14:ligatures w14:val="none"/>
        </w:rPr>
        <w:t xml:space="preserve"> </w:t>
      </w:r>
      <w:r w:rsidRPr="00F16251">
        <w:rPr>
          <w:rFonts w:cstheme="minorHAnsi"/>
          <w:kern w:val="0"/>
          <w14:ligatures w14:val="none"/>
        </w:rPr>
        <w:t>oraz</w:t>
      </w:r>
      <w:r w:rsidR="003B50ED" w:rsidRPr="00F16251">
        <w:rPr>
          <w:rFonts w:cstheme="minorHAnsi"/>
          <w:kern w:val="0"/>
          <w14:ligatures w14:val="none"/>
        </w:rPr>
        <w:t xml:space="preserve"> </w:t>
      </w:r>
      <w:r w:rsidRPr="00F16251">
        <w:rPr>
          <w:rFonts w:cstheme="minorHAnsi"/>
          <w:kern w:val="0"/>
          <w14:ligatures w14:val="none"/>
        </w:rPr>
        <w:t>zgodnie</w:t>
      </w:r>
      <w:r w:rsidR="003B50ED" w:rsidRPr="00F16251">
        <w:rPr>
          <w:rFonts w:cstheme="minorHAnsi"/>
          <w:kern w:val="0"/>
          <w14:ligatures w14:val="none"/>
        </w:rPr>
        <w:t xml:space="preserve"> </w:t>
      </w:r>
      <w:r w:rsidRPr="00F16251">
        <w:rPr>
          <w:rFonts w:cstheme="minorHAnsi"/>
          <w:kern w:val="0"/>
          <w14:ligatures w14:val="none"/>
        </w:rPr>
        <w:t>z</w:t>
      </w:r>
      <w:r w:rsidR="003B50ED" w:rsidRPr="00F16251">
        <w:rPr>
          <w:rFonts w:cstheme="minorHAnsi"/>
          <w:kern w:val="0"/>
          <w14:ligatures w14:val="none"/>
        </w:rPr>
        <w:t xml:space="preserve"> </w:t>
      </w:r>
      <w:r w:rsidRPr="00F16251">
        <w:rPr>
          <w:rFonts w:cstheme="minorHAnsi"/>
          <w:kern w:val="0"/>
          <w14:ligatures w14:val="none"/>
        </w:rPr>
        <w:t>Wytycznymi</w:t>
      </w:r>
      <w:r w:rsidR="003B50ED" w:rsidRPr="00F16251">
        <w:rPr>
          <w:rFonts w:cstheme="minorHAnsi"/>
          <w:kern w:val="0"/>
          <w14:ligatures w14:val="none"/>
        </w:rPr>
        <w:t xml:space="preserve"> </w:t>
      </w:r>
      <w:proofErr w:type="spellStart"/>
      <w:r w:rsidRPr="00F16251">
        <w:rPr>
          <w:rFonts w:cstheme="minorHAnsi"/>
          <w:kern w:val="0"/>
          <w14:ligatures w14:val="none"/>
        </w:rPr>
        <w:t>MRiRW</w:t>
      </w:r>
      <w:proofErr w:type="spellEnd"/>
      <w:r w:rsidRPr="00F16251">
        <w:rPr>
          <w:rFonts w:cstheme="minorHAnsi"/>
          <w:kern w:val="0"/>
          <w14:ligatures w14:val="none"/>
        </w:rPr>
        <w:t>.</w:t>
      </w:r>
      <w:r w:rsidR="003B50ED" w:rsidRPr="00F16251">
        <w:rPr>
          <w:rFonts w:cstheme="minorHAnsi"/>
          <w:kern w:val="0"/>
          <w14:ligatures w14:val="none"/>
        </w:rPr>
        <w:t xml:space="preserve"> </w:t>
      </w:r>
      <w:r w:rsidR="006568AD" w:rsidRPr="00F16251">
        <w:rPr>
          <w:rFonts w:cstheme="minorHAnsi"/>
        </w:rPr>
        <w:t xml:space="preserve">Stowarzyszenie „Solidarni w Partnerstwie” </w:t>
      </w:r>
      <w:r w:rsidRPr="00F16251">
        <w:rPr>
          <w:rFonts w:cstheme="minorHAnsi"/>
          <w:kern w:val="0"/>
          <w14:ligatures w14:val="none"/>
        </w:rPr>
        <w:t>będzie</w:t>
      </w:r>
      <w:r w:rsidR="003B50ED" w:rsidRPr="00F16251">
        <w:rPr>
          <w:rFonts w:cstheme="minorHAnsi"/>
          <w:kern w:val="0"/>
          <w14:ligatures w14:val="none"/>
        </w:rPr>
        <w:t xml:space="preserve"> </w:t>
      </w:r>
      <w:r w:rsidRPr="00F16251">
        <w:rPr>
          <w:rFonts w:cstheme="minorHAnsi"/>
          <w:kern w:val="0"/>
          <w14:ligatures w14:val="none"/>
        </w:rPr>
        <w:t>podawać</w:t>
      </w:r>
      <w:r w:rsidR="003B50ED" w:rsidRPr="00F16251">
        <w:rPr>
          <w:rFonts w:cstheme="minorHAnsi"/>
          <w:kern w:val="0"/>
          <w14:ligatures w14:val="none"/>
        </w:rPr>
        <w:t xml:space="preserve"> </w:t>
      </w:r>
      <w:r w:rsidRPr="00F16251">
        <w:rPr>
          <w:rFonts w:cstheme="minorHAnsi"/>
          <w:kern w:val="0"/>
          <w14:ligatures w14:val="none"/>
        </w:rPr>
        <w:t>do</w:t>
      </w:r>
      <w:r w:rsidR="003B50ED" w:rsidRPr="00F16251">
        <w:rPr>
          <w:rFonts w:cstheme="minorHAnsi"/>
          <w:kern w:val="0"/>
          <w14:ligatures w14:val="none"/>
        </w:rPr>
        <w:t xml:space="preserve"> </w:t>
      </w:r>
      <w:r w:rsidRPr="00F16251">
        <w:rPr>
          <w:rFonts w:cstheme="minorHAnsi"/>
          <w:kern w:val="0"/>
          <w14:ligatures w14:val="none"/>
        </w:rPr>
        <w:t>publicznej</w:t>
      </w:r>
      <w:r w:rsidR="003B50ED" w:rsidRPr="00F16251">
        <w:rPr>
          <w:rFonts w:cstheme="minorHAnsi"/>
          <w:kern w:val="0"/>
          <w14:ligatures w14:val="none"/>
        </w:rPr>
        <w:t xml:space="preserve"> </w:t>
      </w:r>
      <w:r w:rsidRPr="00F16251">
        <w:rPr>
          <w:rFonts w:cstheme="minorHAnsi"/>
          <w:kern w:val="0"/>
          <w14:ligatures w14:val="none"/>
        </w:rPr>
        <w:t>wiadomości</w:t>
      </w:r>
      <w:r w:rsidR="003B50ED" w:rsidRPr="00F16251">
        <w:rPr>
          <w:rFonts w:cstheme="minorHAnsi"/>
          <w:kern w:val="0"/>
          <w14:ligatures w14:val="none"/>
        </w:rPr>
        <w:t xml:space="preserve"> </w:t>
      </w:r>
      <w:r w:rsidRPr="00F16251">
        <w:rPr>
          <w:rFonts w:cstheme="minorHAnsi"/>
          <w:kern w:val="0"/>
          <w14:ligatures w14:val="none"/>
        </w:rPr>
        <w:t>na</w:t>
      </w:r>
      <w:r w:rsidR="003B50ED" w:rsidRPr="00F16251">
        <w:rPr>
          <w:rFonts w:cstheme="minorHAnsi"/>
          <w:kern w:val="0"/>
          <w14:ligatures w14:val="none"/>
        </w:rPr>
        <w:t xml:space="preserve"> </w:t>
      </w:r>
      <w:r w:rsidRPr="00F16251">
        <w:rPr>
          <w:rFonts w:cstheme="minorHAnsi"/>
          <w:kern w:val="0"/>
          <w14:ligatures w14:val="none"/>
        </w:rPr>
        <w:t>swojej</w:t>
      </w:r>
      <w:r w:rsidR="003B50ED" w:rsidRPr="00F16251">
        <w:rPr>
          <w:rFonts w:cstheme="minorHAnsi"/>
          <w:kern w:val="0"/>
          <w14:ligatures w14:val="none"/>
        </w:rPr>
        <w:t xml:space="preserve"> </w:t>
      </w:r>
      <w:r w:rsidRPr="00F16251">
        <w:rPr>
          <w:rFonts w:cstheme="minorHAnsi"/>
          <w:kern w:val="0"/>
          <w14:ligatures w14:val="none"/>
        </w:rPr>
        <w:t>stronie</w:t>
      </w:r>
      <w:r w:rsidR="003B50ED" w:rsidRPr="00F16251">
        <w:rPr>
          <w:rFonts w:cstheme="minorHAnsi"/>
          <w:kern w:val="0"/>
          <w14:ligatures w14:val="none"/>
        </w:rPr>
        <w:t xml:space="preserve"> </w:t>
      </w:r>
      <w:r w:rsidRPr="00F16251">
        <w:rPr>
          <w:rFonts w:cstheme="minorHAnsi"/>
          <w:kern w:val="0"/>
          <w14:ligatures w14:val="none"/>
        </w:rPr>
        <w:t>internetowej,</w:t>
      </w:r>
      <w:r w:rsidR="003B50ED" w:rsidRPr="00F16251">
        <w:rPr>
          <w:rFonts w:cstheme="minorHAnsi"/>
          <w:kern w:val="0"/>
          <w14:ligatures w14:val="none"/>
        </w:rPr>
        <w:t xml:space="preserve"> </w:t>
      </w:r>
      <w:r w:rsidRPr="00F16251">
        <w:rPr>
          <w:rFonts w:cstheme="minorHAnsi"/>
          <w:kern w:val="0"/>
          <w14:ligatures w14:val="none"/>
        </w:rPr>
        <w:t>uzgodniony</w:t>
      </w:r>
      <w:r w:rsidR="003B50ED" w:rsidRPr="00F16251">
        <w:rPr>
          <w:rFonts w:cstheme="minorHAnsi"/>
          <w:kern w:val="0"/>
          <w14:ligatures w14:val="none"/>
        </w:rPr>
        <w:t xml:space="preserve"> </w:t>
      </w:r>
      <w:r w:rsidRPr="00F16251">
        <w:rPr>
          <w:rFonts w:cstheme="minorHAnsi"/>
          <w:kern w:val="0"/>
          <w14:ligatures w14:val="none"/>
        </w:rPr>
        <w:t>z</w:t>
      </w:r>
      <w:r w:rsidR="003B50ED" w:rsidRPr="00F16251">
        <w:rPr>
          <w:rFonts w:cstheme="minorHAnsi"/>
          <w:kern w:val="0"/>
          <w14:ligatures w14:val="none"/>
        </w:rPr>
        <w:t xml:space="preserve"> </w:t>
      </w:r>
      <w:r w:rsidRPr="00F16251">
        <w:rPr>
          <w:rFonts w:cstheme="minorHAnsi"/>
          <w:b/>
          <w:bCs/>
          <w:kern w:val="0"/>
          <w14:ligatures w14:val="none"/>
        </w:rPr>
        <w:t>Zarządem</w:t>
      </w:r>
      <w:r w:rsidR="003B50ED" w:rsidRPr="00F16251">
        <w:rPr>
          <w:rFonts w:cstheme="minorHAnsi"/>
          <w:b/>
          <w:bCs/>
          <w:kern w:val="0"/>
          <w14:ligatures w14:val="none"/>
        </w:rPr>
        <w:t xml:space="preserve"> </w:t>
      </w:r>
      <w:r w:rsidRPr="00F16251">
        <w:rPr>
          <w:rFonts w:cstheme="minorHAnsi"/>
          <w:b/>
          <w:bCs/>
          <w:kern w:val="0"/>
          <w14:ligatures w14:val="none"/>
        </w:rPr>
        <w:t>Województwa</w:t>
      </w:r>
      <w:r w:rsidR="003B50ED" w:rsidRPr="00F16251">
        <w:rPr>
          <w:rFonts w:cstheme="minorHAnsi"/>
          <w:kern w:val="0"/>
          <w14:ligatures w14:val="none"/>
        </w:rPr>
        <w:t xml:space="preserve"> </w:t>
      </w:r>
      <w:r w:rsidR="006568AD" w:rsidRPr="00F16251">
        <w:rPr>
          <w:rFonts w:cstheme="minorHAnsi"/>
          <w:b/>
          <w:bCs/>
          <w:kern w:val="0"/>
          <w14:ligatures w14:val="none"/>
        </w:rPr>
        <w:t>Wielkopolskiego</w:t>
      </w:r>
      <w:r w:rsidR="006568AD" w:rsidRPr="00F16251">
        <w:rPr>
          <w:rFonts w:cstheme="minorHAnsi"/>
          <w:kern w:val="0"/>
          <w14:ligatures w14:val="none"/>
        </w:rPr>
        <w:t xml:space="preserve"> </w:t>
      </w:r>
      <w:r w:rsidRPr="00F16251">
        <w:rPr>
          <w:rFonts w:cstheme="minorHAnsi"/>
          <w:kern w:val="0"/>
          <w14:ligatures w14:val="none"/>
        </w:rPr>
        <w:t>(dalej</w:t>
      </w:r>
      <w:r w:rsidR="003B50ED" w:rsidRPr="00F16251">
        <w:rPr>
          <w:rFonts w:cstheme="minorHAnsi"/>
          <w:kern w:val="0"/>
          <w14:ligatures w14:val="none"/>
        </w:rPr>
        <w:t xml:space="preserve"> </w:t>
      </w:r>
      <w:r w:rsidRPr="00F16251">
        <w:rPr>
          <w:rFonts w:cstheme="minorHAnsi"/>
          <w:kern w:val="0"/>
          <w14:ligatures w14:val="none"/>
        </w:rPr>
        <w:t>ZW</w:t>
      </w:r>
      <w:r w:rsidR="005768FC" w:rsidRPr="00F16251">
        <w:rPr>
          <w:rFonts w:cstheme="minorHAnsi"/>
          <w:kern w:val="0"/>
          <w14:ligatures w14:val="none"/>
        </w:rPr>
        <w:t>W</w:t>
      </w:r>
      <w:r w:rsidRPr="00F16251">
        <w:rPr>
          <w:rFonts w:cstheme="minorHAnsi"/>
          <w:kern w:val="0"/>
          <w14:ligatures w14:val="none"/>
        </w:rPr>
        <w:t>),</w:t>
      </w:r>
      <w:r w:rsidR="003B50ED" w:rsidRPr="00F16251">
        <w:rPr>
          <w:rFonts w:cstheme="minorHAnsi"/>
          <w:kern w:val="0"/>
          <w14:ligatures w14:val="none"/>
        </w:rPr>
        <w:t xml:space="preserve"> </w:t>
      </w:r>
      <w:r w:rsidRPr="00F16251">
        <w:rPr>
          <w:rFonts w:cstheme="minorHAnsi"/>
          <w:kern w:val="0"/>
          <w14:ligatures w14:val="none"/>
        </w:rPr>
        <w:t>harmonogram</w:t>
      </w:r>
      <w:r w:rsidR="003B50ED" w:rsidRPr="00F16251">
        <w:rPr>
          <w:rFonts w:cstheme="minorHAnsi"/>
          <w:kern w:val="0"/>
          <w14:ligatures w14:val="none"/>
        </w:rPr>
        <w:t xml:space="preserve"> </w:t>
      </w:r>
      <w:r w:rsidRPr="00F16251">
        <w:rPr>
          <w:rFonts w:cstheme="minorHAnsi"/>
          <w:kern w:val="0"/>
          <w14:ligatures w14:val="none"/>
        </w:rPr>
        <w:t>naborów</w:t>
      </w:r>
      <w:r w:rsidR="003B50ED" w:rsidRPr="00F16251">
        <w:rPr>
          <w:rFonts w:cstheme="minorHAnsi"/>
          <w:kern w:val="0"/>
          <w14:ligatures w14:val="none"/>
        </w:rPr>
        <w:t xml:space="preserve"> </w:t>
      </w:r>
      <w:r w:rsidRPr="00F16251">
        <w:rPr>
          <w:rFonts w:cstheme="minorHAnsi"/>
          <w:kern w:val="0"/>
          <w14:ligatures w14:val="none"/>
        </w:rPr>
        <w:lastRenderedPageBreak/>
        <w:t>wniosków</w:t>
      </w:r>
      <w:r w:rsidR="003B50ED" w:rsidRPr="00F16251">
        <w:rPr>
          <w:rFonts w:cstheme="minorHAnsi"/>
          <w:kern w:val="0"/>
          <w14:ligatures w14:val="none"/>
        </w:rPr>
        <w:t xml:space="preserve"> </w:t>
      </w:r>
      <w:r w:rsidRPr="00F16251">
        <w:rPr>
          <w:rFonts w:cstheme="minorHAnsi"/>
          <w:kern w:val="0"/>
          <w14:ligatures w14:val="none"/>
        </w:rPr>
        <w:t>o</w:t>
      </w:r>
      <w:r w:rsidR="003B50ED" w:rsidRPr="00F16251">
        <w:rPr>
          <w:rFonts w:cstheme="minorHAnsi"/>
          <w:kern w:val="0"/>
          <w14:ligatures w14:val="none"/>
        </w:rPr>
        <w:t xml:space="preserve"> </w:t>
      </w:r>
      <w:r w:rsidRPr="00F16251">
        <w:rPr>
          <w:rFonts w:cstheme="minorHAnsi"/>
          <w:kern w:val="0"/>
          <w14:ligatures w14:val="none"/>
        </w:rPr>
        <w:t>wsparcie</w:t>
      </w:r>
      <w:r w:rsidR="003B50ED" w:rsidRPr="00F16251">
        <w:rPr>
          <w:rFonts w:cstheme="minorHAnsi"/>
          <w:kern w:val="0"/>
          <w14:ligatures w14:val="none"/>
        </w:rPr>
        <w:t xml:space="preserve"> </w:t>
      </w:r>
      <w:r w:rsidRPr="00F16251">
        <w:rPr>
          <w:rFonts w:cstheme="minorHAnsi"/>
          <w:kern w:val="0"/>
          <w14:ligatures w14:val="none"/>
        </w:rPr>
        <w:t>na</w:t>
      </w:r>
      <w:r w:rsidR="003B50ED" w:rsidRPr="00F16251">
        <w:rPr>
          <w:rFonts w:cstheme="minorHAnsi"/>
          <w:kern w:val="0"/>
          <w14:ligatures w14:val="none"/>
        </w:rPr>
        <w:t xml:space="preserve"> </w:t>
      </w:r>
      <w:r w:rsidRPr="00F16251">
        <w:rPr>
          <w:rFonts w:cstheme="minorHAnsi"/>
          <w:kern w:val="0"/>
          <w14:ligatures w14:val="none"/>
        </w:rPr>
        <w:t>kolejny</w:t>
      </w:r>
      <w:r w:rsidR="003B50ED" w:rsidRPr="00F16251">
        <w:rPr>
          <w:rFonts w:cstheme="minorHAnsi"/>
          <w:kern w:val="0"/>
          <w14:ligatures w14:val="none"/>
        </w:rPr>
        <w:t xml:space="preserve"> </w:t>
      </w:r>
      <w:r w:rsidRPr="00F16251">
        <w:rPr>
          <w:rFonts w:cstheme="minorHAnsi"/>
          <w:kern w:val="0"/>
          <w14:ligatures w14:val="none"/>
        </w:rPr>
        <w:t>rok,</w:t>
      </w:r>
      <w:r w:rsidR="003B50ED" w:rsidRPr="00F16251">
        <w:rPr>
          <w:rFonts w:cstheme="minorHAnsi"/>
          <w:kern w:val="0"/>
          <w14:ligatures w14:val="none"/>
        </w:rPr>
        <w:t xml:space="preserve"> </w:t>
      </w:r>
      <w:r w:rsidRPr="00F16251">
        <w:rPr>
          <w:rFonts w:cstheme="minorHAnsi"/>
          <w:kern w:val="0"/>
          <w14:ligatures w14:val="none"/>
        </w:rPr>
        <w:t>nie</w:t>
      </w:r>
      <w:r w:rsidR="003B50ED" w:rsidRPr="00F16251">
        <w:rPr>
          <w:rFonts w:cstheme="minorHAnsi"/>
          <w:kern w:val="0"/>
          <w14:ligatures w14:val="none"/>
        </w:rPr>
        <w:t xml:space="preserve"> </w:t>
      </w:r>
      <w:r w:rsidRPr="00F16251">
        <w:rPr>
          <w:rFonts w:cstheme="minorHAnsi"/>
          <w:kern w:val="0"/>
          <w14:ligatures w14:val="none"/>
        </w:rPr>
        <w:t>później</w:t>
      </w:r>
      <w:r w:rsidR="003B50ED" w:rsidRPr="00F16251">
        <w:rPr>
          <w:rFonts w:cstheme="minorHAnsi"/>
          <w:kern w:val="0"/>
          <w14:ligatures w14:val="none"/>
        </w:rPr>
        <w:t xml:space="preserve"> </w:t>
      </w:r>
      <w:r w:rsidRPr="00F16251">
        <w:rPr>
          <w:rFonts w:cstheme="minorHAnsi"/>
          <w:kern w:val="0"/>
          <w14:ligatures w14:val="none"/>
        </w:rPr>
        <w:t>niż</w:t>
      </w:r>
      <w:r w:rsidR="003B50ED" w:rsidRPr="00F16251">
        <w:rPr>
          <w:rFonts w:cstheme="minorHAnsi"/>
          <w:kern w:val="0"/>
          <w14:ligatures w14:val="none"/>
        </w:rPr>
        <w:t xml:space="preserve"> </w:t>
      </w:r>
      <w:r w:rsidRPr="00F16251">
        <w:rPr>
          <w:rFonts w:cstheme="minorHAnsi"/>
          <w:kern w:val="0"/>
          <w14:ligatures w14:val="none"/>
        </w:rPr>
        <w:t>do</w:t>
      </w:r>
      <w:r w:rsidR="003B50ED" w:rsidRPr="00F16251">
        <w:rPr>
          <w:rFonts w:cstheme="minorHAnsi"/>
          <w:kern w:val="0"/>
          <w14:ligatures w14:val="none"/>
        </w:rPr>
        <w:t xml:space="preserve"> </w:t>
      </w:r>
      <w:r w:rsidRPr="00F16251">
        <w:rPr>
          <w:rFonts w:cstheme="minorHAnsi"/>
          <w:kern w:val="0"/>
          <w14:ligatures w14:val="none"/>
        </w:rPr>
        <w:t>końca</w:t>
      </w:r>
      <w:r w:rsidR="003B50ED" w:rsidRPr="00F16251">
        <w:rPr>
          <w:rFonts w:cstheme="minorHAnsi"/>
          <w:kern w:val="0"/>
          <w14:ligatures w14:val="none"/>
        </w:rPr>
        <w:t xml:space="preserve"> </w:t>
      </w:r>
      <w:r w:rsidRPr="00F16251">
        <w:rPr>
          <w:rFonts w:cstheme="minorHAnsi"/>
          <w:kern w:val="0"/>
          <w14:ligatures w14:val="none"/>
        </w:rPr>
        <w:t>danego</w:t>
      </w:r>
      <w:r w:rsidR="003B50ED" w:rsidRPr="00F16251">
        <w:rPr>
          <w:rFonts w:cstheme="minorHAnsi"/>
          <w:kern w:val="0"/>
          <w14:ligatures w14:val="none"/>
        </w:rPr>
        <w:t xml:space="preserve"> </w:t>
      </w:r>
      <w:r w:rsidRPr="00F16251">
        <w:rPr>
          <w:rFonts w:cstheme="minorHAnsi"/>
          <w:kern w:val="0"/>
          <w14:ligatures w14:val="none"/>
        </w:rPr>
        <w:t>roku.</w:t>
      </w:r>
      <w:r w:rsidR="003B50ED" w:rsidRPr="00F16251">
        <w:rPr>
          <w:rFonts w:cstheme="minorHAnsi"/>
          <w:kern w:val="0"/>
          <w14:ligatures w14:val="none"/>
        </w:rPr>
        <w:t xml:space="preserve"> </w:t>
      </w:r>
      <w:r w:rsidRPr="00F16251">
        <w:rPr>
          <w:rFonts w:cstheme="minorHAnsi"/>
          <w:kern w:val="0"/>
          <w14:ligatures w14:val="none"/>
        </w:rPr>
        <w:t>Ewentualne</w:t>
      </w:r>
      <w:r w:rsidR="003B50ED" w:rsidRPr="00F16251">
        <w:rPr>
          <w:rFonts w:cstheme="minorHAnsi"/>
          <w:kern w:val="0"/>
          <w14:ligatures w14:val="none"/>
        </w:rPr>
        <w:t xml:space="preserve"> </w:t>
      </w:r>
      <w:r w:rsidRPr="00F16251">
        <w:rPr>
          <w:rFonts w:cstheme="minorHAnsi"/>
          <w:kern w:val="0"/>
          <w14:ligatures w14:val="none"/>
        </w:rPr>
        <w:t>aktualizacje</w:t>
      </w:r>
      <w:r w:rsidR="003B50ED" w:rsidRPr="00F16251">
        <w:rPr>
          <w:rFonts w:cstheme="minorHAnsi"/>
          <w:kern w:val="0"/>
          <w14:ligatures w14:val="none"/>
        </w:rPr>
        <w:t xml:space="preserve"> </w:t>
      </w:r>
      <w:r w:rsidRPr="00F16251">
        <w:rPr>
          <w:rFonts w:cstheme="minorHAnsi"/>
          <w:kern w:val="0"/>
          <w14:ligatures w14:val="none"/>
        </w:rPr>
        <w:t>harmonogramu,</w:t>
      </w:r>
      <w:r w:rsidR="003B50ED" w:rsidRPr="00F16251">
        <w:rPr>
          <w:rFonts w:cstheme="minorHAnsi"/>
          <w:kern w:val="0"/>
          <w14:ligatures w14:val="none"/>
        </w:rPr>
        <w:t xml:space="preserve"> </w:t>
      </w:r>
      <w:r w:rsidRPr="00F16251">
        <w:rPr>
          <w:rFonts w:cstheme="minorHAnsi"/>
          <w:kern w:val="0"/>
          <w14:ligatures w14:val="none"/>
        </w:rPr>
        <w:t>uzgodnionego</w:t>
      </w:r>
      <w:r w:rsidR="003B50ED" w:rsidRPr="00F16251">
        <w:rPr>
          <w:rFonts w:cstheme="minorHAnsi"/>
          <w:kern w:val="0"/>
          <w14:ligatures w14:val="none"/>
        </w:rPr>
        <w:t xml:space="preserve"> </w:t>
      </w:r>
      <w:r w:rsidRPr="00F16251">
        <w:rPr>
          <w:rFonts w:cstheme="minorHAnsi"/>
          <w:kern w:val="0"/>
          <w14:ligatures w14:val="none"/>
        </w:rPr>
        <w:t>z</w:t>
      </w:r>
      <w:r w:rsidR="003B50ED" w:rsidRPr="00F16251">
        <w:rPr>
          <w:rFonts w:cstheme="minorHAnsi"/>
          <w:kern w:val="0"/>
          <w14:ligatures w14:val="none"/>
        </w:rPr>
        <w:t xml:space="preserve"> </w:t>
      </w:r>
      <w:r w:rsidR="005768FC" w:rsidRPr="00F16251">
        <w:rPr>
          <w:rFonts w:cstheme="minorHAnsi"/>
          <w:kern w:val="0"/>
          <w14:ligatures w14:val="none"/>
        </w:rPr>
        <w:t>ZWW</w:t>
      </w:r>
      <w:r w:rsidRPr="00F16251">
        <w:rPr>
          <w:rFonts w:cstheme="minorHAnsi"/>
          <w:kern w:val="0"/>
          <w14:ligatures w14:val="none"/>
        </w:rPr>
        <w:t>,</w:t>
      </w:r>
      <w:r w:rsidR="003B50ED" w:rsidRPr="00F16251">
        <w:rPr>
          <w:rFonts w:cstheme="minorHAnsi"/>
          <w:kern w:val="0"/>
          <w14:ligatures w14:val="none"/>
        </w:rPr>
        <w:t xml:space="preserve"> </w:t>
      </w:r>
      <w:r w:rsidRPr="00F16251">
        <w:rPr>
          <w:rFonts w:cstheme="minorHAnsi"/>
          <w:kern w:val="0"/>
          <w14:ligatures w14:val="none"/>
        </w:rPr>
        <w:t>będą</w:t>
      </w:r>
      <w:r w:rsidR="003B50ED" w:rsidRPr="00F16251">
        <w:rPr>
          <w:rFonts w:cstheme="minorHAnsi"/>
          <w:kern w:val="0"/>
          <w14:ligatures w14:val="none"/>
        </w:rPr>
        <w:t xml:space="preserve"> </w:t>
      </w:r>
      <w:r w:rsidRPr="00F16251">
        <w:rPr>
          <w:rFonts w:cstheme="minorHAnsi"/>
          <w:kern w:val="0"/>
          <w14:ligatures w14:val="none"/>
        </w:rPr>
        <w:t>zamieszczane</w:t>
      </w:r>
      <w:r w:rsidR="003B50ED" w:rsidRPr="00F16251">
        <w:rPr>
          <w:rFonts w:cstheme="minorHAnsi"/>
          <w:kern w:val="0"/>
          <w14:ligatures w14:val="none"/>
        </w:rPr>
        <w:t xml:space="preserve"> </w:t>
      </w:r>
      <w:r w:rsidRPr="00F16251">
        <w:rPr>
          <w:rFonts w:cstheme="minorHAnsi"/>
          <w:kern w:val="0"/>
          <w14:ligatures w14:val="none"/>
        </w:rPr>
        <w:t>na</w:t>
      </w:r>
      <w:r w:rsidR="003B50ED" w:rsidRPr="00F16251">
        <w:rPr>
          <w:rFonts w:cstheme="minorHAnsi"/>
          <w:kern w:val="0"/>
          <w14:ligatures w14:val="none"/>
        </w:rPr>
        <w:t xml:space="preserve"> </w:t>
      </w:r>
      <w:r w:rsidRPr="00F16251">
        <w:rPr>
          <w:rFonts w:cstheme="minorHAnsi"/>
          <w:kern w:val="0"/>
          <w14:ligatures w14:val="none"/>
        </w:rPr>
        <w:t>stronie</w:t>
      </w:r>
      <w:r w:rsidR="003B50ED" w:rsidRPr="00F16251">
        <w:rPr>
          <w:rFonts w:cstheme="minorHAnsi"/>
          <w:kern w:val="0"/>
          <w14:ligatures w14:val="none"/>
        </w:rPr>
        <w:t xml:space="preserve"> </w:t>
      </w:r>
      <w:r w:rsidRPr="00F16251">
        <w:rPr>
          <w:rFonts w:cstheme="minorHAnsi"/>
          <w:kern w:val="0"/>
          <w14:ligatures w14:val="none"/>
        </w:rPr>
        <w:t>internetowej</w:t>
      </w:r>
      <w:r w:rsidR="003B50ED" w:rsidRPr="00F16251">
        <w:rPr>
          <w:rFonts w:cstheme="minorHAnsi"/>
          <w:kern w:val="0"/>
          <w14:ligatures w14:val="none"/>
        </w:rPr>
        <w:t xml:space="preserve"> </w:t>
      </w:r>
      <w:r w:rsidRPr="00F16251">
        <w:rPr>
          <w:rFonts w:cstheme="minorHAnsi"/>
          <w:kern w:val="0"/>
          <w14:ligatures w14:val="none"/>
        </w:rPr>
        <w:t>LGD</w:t>
      </w:r>
      <w:r w:rsidR="003B50ED" w:rsidRPr="00F16251">
        <w:rPr>
          <w:rFonts w:cstheme="minorHAnsi"/>
          <w:kern w:val="0"/>
          <w14:ligatures w14:val="none"/>
        </w:rPr>
        <w:t xml:space="preserve"> </w:t>
      </w:r>
      <w:r w:rsidRPr="00F16251">
        <w:rPr>
          <w:rFonts w:cstheme="minorHAnsi"/>
          <w:kern w:val="0"/>
          <w14:ligatures w14:val="none"/>
        </w:rPr>
        <w:t>nie</w:t>
      </w:r>
      <w:r w:rsidR="003B50ED" w:rsidRPr="00F16251">
        <w:rPr>
          <w:rFonts w:cstheme="minorHAnsi"/>
          <w:kern w:val="0"/>
          <w14:ligatures w14:val="none"/>
        </w:rPr>
        <w:t xml:space="preserve"> </w:t>
      </w:r>
      <w:r w:rsidRPr="00F16251">
        <w:rPr>
          <w:rFonts w:cstheme="minorHAnsi"/>
          <w:kern w:val="0"/>
          <w14:ligatures w14:val="none"/>
        </w:rPr>
        <w:t>rzadziej</w:t>
      </w:r>
      <w:r w:rsidR="003B50ED" w:rsidRPr="00F16251">
        <w:rPr>
          <w:rFonts w:cstheme="minorHAnsi"/>
          <w:kern w:val="0"/>
          <w14:ligatures w14:val="none"/>
        </w:rPr>
        <w:t xml:space="preserve"> </w:t>
      </w:r>
      <w:r w:rsidRPr="00F16251">
        <w:rPr>
          <w:rFonts w:cstheme="minorHAnsi"/>
          <w:kern w:val="0"/>
          <w14:ligatures w14:val="none"/>
        </w:rPr>
        <w:t>niż</w:t>
      </w:r>
      <w:r w:rsidR="003B50ED" w:rsidRPr="00F16251">
        <w:rPr>
          <w:rFonts w:cstheme="minorHAnsi"/>
          <w:kern w:val="0"/>
          <w14:ligatures w14:val="none"/>
        </w:rPr>
        <w:t xml:space="preserve"> </w:t>
      </w:r>
      <w:r w:rsidRPr="00F16251">
        <w:rPr>
          <w:rFonts w:cstheme="minorHAnsi"/>
          <w:kern w:val="0"/>
          <w14:ligatures w14:val="none"/>
        </w:rPr>
        <w:t>na</w:t>
      </w:r>
      <w:r w:rsidR="003B50ED" w:rsidRPr="00F16251">
        <w:rPr>
          <w:rFonts w:cstheme="minorHAnsi"/>
          <w:kern w:val="0"/>
          <w14:ligatures w14:val="none"/>
        </w:rPr>
        <w:t xml:space="preserve"> </w:t>
      </w:r>
      <w:r w:rsidRPr="00F16251">
        <w:rPr>
          <w:rFonts w:cstheme="minorHAnsi"/>
          <w:kern w:val="0"/>
          <w14:ligatures w14:val="none"/>
        </w:rPr>
        <w:t>koniec</w:t>
      </w:r>
      <w:r w:rsidR="003B50ED" w:rsidRPr="00F16251">
        <w:rPr>
          <w:rFonts w:cstheme="minorHAnsi"/>
          <w:kern w:val="0"/>
          <w14:ligatures w14:val="none"/>
        </w:rPr>
        <w:t xml:space="preserve"> </w:t>
      </w:r>
      <w:r w:rsidRPr="00F16251">
        <w:rPr>
          <w:rFonts w:cstheme="minorHAnsi"/>
          <w:kern w:val="0"/>
          <w14:ligatures w14:val="none"/>
        </w:rPr>
        <w:t>każdego</w:t>
      </w:r>
      <w:r w:rsidR="003B50ED" w:rsidRPr="00F16251">
        <w:rPr>
          <w:rFonts w:cstheme="minorHAnsi"/>
          <w:kern w:val="0"/>
          <w14:ligatures w14:val="none"/>
        </w:rPr>
        <w:t xml:space="preserve"> </w:t>
      </w:r>
      <w:r w:rsidRPr="00F16251">
        <w:rPr>
          <w:rFonts w:cstheme="minorHAnsi"/>
          <w:kern w:val="0"/>
          <w14:ligatures w14:val="none"/>
        </w:rPr>
        <w:t>kwartału.</w:t>
      </w:r>
      <w:r w:rsidR="003B50ED" w:rsidRPr="00F16251">
        <w:rPr>
          <w:rFonts w:cstheme="minorHAnsi"/>
          <w:kern w:val="0"/>
          <w14:ligatures w14:val="none"/>
        </w:rPr>
        <w:t xml:space="preserve"> </w:t>
      </w:r>
    </w:p>
    <w:p w14:paraId="70DBDADD" w14:textId="3D684D6A" w:rsidR="00130167" w:rsidRPr="00F16251" w:rsidRDefault="002C63F4" w:rsidP="00130167">
      <w:pPr>
        <w:spacing w:line="276" w:lineRule="auto"/>
        <w:ind w:firstLine="360"/>
        <w:jc w:val="both"/>
        <w:rPr>
          <w:rFonts w:cstheme="minorHAnsi"/>
          <w:kern w:val="0"/>
          <w14:ligatures w14:val="none"/>
        </w:rPr>
      </w:pPr>
      <w:r w:rsidRPr="00F16251">
        <w:rPr>
          <w:rFonts w:cstheme="minorHAnsi"/>
          <w:kern w:val="0"/>
          <w14:ligatures w14:val="none"/>
        </w:rPr>
        <w:t>Wybór</w:t>
      </w:r>
      <w:r w:rsidR="003B50ED" w:rsidRPr="00F16251">
        <w:rPr>
          <w:rFonts w:cstheme="minorHAnsi"/>
          <w:kern w:val="0"/>
          <w14:ligatures w14:val="none"/>
        </w:rPr>
        <w:t xml:space="preserve"> </w:t>
      </w:r>
      <w:r w:rsidRPr="00F16251">
        <w:rPr>
          <w:rFonts w:cstheme="minorHAnsi"/>
          <w:kern w:val="0"/>
          <w14:ligatures w14:val="none"/>
        </w:rPr>
        <w:t>operacji</w:t>
      </w:r>
      <w:r w:rsidR="003B50ED" w:rsidRPr="00F16251">
        <w:rPr>
          <w:rFonts w:cstheme="minorHAnsi"/>
          <w:kern w:val="0"/>
          <w14:ligatures w14:val="none"/>
        </w:rPr>
        <w:t xml:space="preserve"> </w:t>
      </w:r>
      <w:r w:rsidRPr="00F16251">
        <w:rPr>
          <w:rFonts w:cstheme="minorHAnsi"/>
          <w:kern w:val="0"/>
          <w14:ligatures w14:val="none"/>
        </w:rPr>
        <w:t>będzie</w:t>
      </w:r>
      <w:r w:rsidR="003B50ED" w:rsidRPr="00F16251">
        <w:rPr>
          <w:rFonts w:cstheme="minorHAnsi"/>
          <w:kern w:val="0"/>
          <w14:ligatures w14:val="none"/>
        </w:rPr>
        <w:t xml:space="preserve"> </w:t>
      </w:r>
      <w:r w:rsidRPr="00F16251">
        <w:rPr>
          <w:rFonts w:cstheme="minorHAnsi"/>
          <w:kern w:val="0"/>
          <w14:ligatures w14:val="none"/>
        </w:rPr>
        <w:t>poprzedzać</w:t>
      </w:r>
      <w:r w:rsidR="003B50ED" w:rsidRPr="00F16251">
        <w:rPr>
          <w:rFonts w:cstheme="minorHAnsi"/>
          <w:kern w:val="0"/>
          <w14:ligatures w14:val="none"/>
        </w:rPr>
        <w:t xml:space="preserve"> </w:t>
      </w:r>
      <w:r w:rsidRPr="00F16251">
        <w:rPr>
          <w:rFonts w:cstheme="minorHAnsi"/>
          <w:kern w:val="0"/>
          <w14:ligatures w14:val="none"/>
        </w:rPr>
        <w:t>ogłoszenie</w:t>
      </w:r>
      <w:r w:rsidR="003B50ED" w:rsidRPr="00F16251">
        <w:rPr>
          <w:rFonts w:cstheme="minorHAnsi"/>
          <w:kern w:val="0"/>
          <w14:ligatures w14:val="none"/>
        </w:rPr>
        <w:t xml:space="preserve"> </w:t>
      </w:r>
      <w:r w:rsidRPr="00F16251">
        <w:rPr>
          <w:rFonts w:cstheme="minorHAnsi"/>
          <w:kern w:val="0"/>
          <w14:ligatures w14:val="none"/>
        </w:rPr>
        <w:t>naboru</w:t>
      </w:r>
      <w:r w:rsidR="003B50ED" w:rsidRPr="00F16251">
        <w:rPr>
          <w:rFonts w:cstheme="minorHAnsi"/>
          <w:kern w:val="0"/>
          <w14:ligatures w14:val="none"/>
        </w:rPr>
        <w:t xml:space="preserve"> </w:t>
      </w:r>
      <w:r w:rsidRPr="00F16251">
        <w:rPr>
          <w:rFonts w:cstheme="minorHAnsi"/>
          <w:kern w:val="0"/>
          <w14:ligatures w14:val="none"/>
        </w:rPr>
        <w:t>wniosków.</w:t>
      </w:r>
      <w:r w:rsidR="003B50ED" w:rsidRPr="00F16251">
        <w:rPr>
          <w:rFonts w:cstheme="minorHAnsi"/>
          <w:kern w:val="0"/>
          <w14:ligatures w14:val="none"/>
        </w:rPr>
        <w:t xml:space="preserve"> </w:t>
      </w:r>
      <w:r w:rsidRPr="00F16251">
        <w:rPr>
          <w:rFonts w:cstheme="minorHAnsi"/>
          <w:kern w:val="0"/>
          <w14:ligatures w14:val="none"/>
        </w:rPr>
        <w:t>LGD</w:t>
      </w:r>
      <w:r w:rsidR="003B50ED" w:rsidRPr="00F16251">
        <w:rPr>
          <w:rFonts w:cstheme="minorHAnsi"/>
          <w:kern w:val="0"/>
          <w14:ligatures w14:val="none"/>
        </w:rPr>
        <w:t xml:space="preserve"> </w:t>
      </w:r>
      <w:r w:rsidRPr="00F16251">
        <w:rPr>
          <w:rFonts w:cstheme="minorHAnsi"/>
          <w:kern w:val="0"/>
          <w14:ligatures w14:val="none"/>
        </w:rPr>
        <w:t>będzie</w:t>
      </w:r>
      <w:r w:rsidR="003B50ED" w:rsidRPr="00F16251">
        <w:rPr>
          <w:rFonts w:cstheme="minorHAnsi"/>
          <w:kern w:val="0"/>
          <w14:ligatures w14:val="none"/>
        </w:rPr>
        <w:t xml:space="preserve"> </w:t>
      </w:r>
      <w:r w:rsidRPr="00F16251">
        <w:rPr>
          <w:rFonts w:cstheme="minorHAnsi"/>
          <w:kern w:val="0"/>
          <w14:ligatures w14:val="none"/>
        </w:rPr>
        <w:t>podawać</w:t>
      </w:r>
      <w:r w:rsidR="003B50ED" w:rsidRPr="00F16251">
        <w:rPr>
          <w:rFonts w:cstheme="minorHAnsi"/>
          <w:kern w:val="0"/>
          <w14:ligatures w14:val="none"/>
        </w:rPr>
        <w:t xml:space="preserve"> </w:t>
      </w:r>
      <w:r w:rsidRPr="00F16251">
        <w:rPr>
          <w:rFonts w:cstheme="minorHAnsi"/>
          <w:kern w:val="0"/>
          <w14:ligatures w14:val="none"/>
        </w:rPr>
        <w:t>do</w:t>
      </w:r>
      <w:r w:rsidR="003B50ED" w:rsidRPr="00F16251">
        <w:rPr>
          <w:rFonts w:cstheme="minorHAnsi"/>
          <w:kern w:val="0"/>
          <w14:ligatures w14:val="none"/>
        </w:rPr>
        <w:t xml:space="preserve"> </w:t>
      </w:r>
      <w:r w:rsidRPr="00F16251">
        <w:rPr>
          <w:rFonts w:cstheme="minorHAnsi"/>
          <w:kern w:val="0"/>
          <w14:ligatures w14:val="none"/>
        </w:rPr>
        <w:t>publicznej</w:t>
      </w:r>
      <w:r w:rsidR="003B50ED" w:rsidRPr="00F16251">
        <w:rPr>
          <w:rFonts w:cstheme="minorHAnsi"/>
          <w:kern w:val="0"/>
          <w14:ligatures w14:val="none"/>
        </w:rPr>
        <w:t xml:space="preserve"> </w:t>
      </w:r>
      <w:r w:rsidRPr="00F16251">
        <w:rPr>
          <w:rFonts w:cstheme="minorHAnsi"/>
          <w:kern w:val="0"/>
          <w14:ligatures w14:val="none"/>
        </w:rPr>
        <w:t>wiadomości</w:t>
      </w:r>
      <w:r w:rsidR="003B50ED" w:rsidRPr="00F16251">
        <w:rPr>
          <w:rFonts w:cstheme="minorHAnsi"/>
          <w:kern w:val="0"/>
          <w14:ligatures w14:val="none"/>
        </w:rPr>
        <w:t xml:space="preserve"> </w:t>
      </w:r>
      <w:r w:rsidRPr="00F16251">
        <w:rPr>
          <w:rFonts w:cstheme="minorHAnsi"/>
          <w:kern w:val="0"/>
          <w14:ligatures w14:val="none"/>
        </w:rPr>
        <w:t>ogłoszenie</w:t>
      </w:r>
      <w:r w:rsidR="003B50ED" w:rsidRPr="00F16251">
        <w:rPr>
          <w:rFonts w:cstheme="minorHAnsi"/>
          <w:kern w:val="0"/>
          <w14:ligatures w14:val="none"/>
        </w:rPr>
        <w:t xml:space="preserve"> </w:t>
      </w:r>
      <w:r w:rsidRPr="00F16251">
        <w:rPr>
          <w:rFonts w:cstheme="minorHAnsi"/>
          <w:kern w:val="0"/>
          <w14:ligatures w14:val="none"/>
        </w:rPr>
        <w:t>o</w:t>
      </w:r>
      <w:r w:rsidR="003B50ED" w:rsidRPr="00F16251">
        <w:rPr>
          <w:rFonts w:cstheme="minorHAnsi"/>
          <w:kern w:val="0"/>
          <w14:ligatures w14:val="none"/>
        </w:rPr>
        <w:t xml:space="preserve"> </w:t>
      </w:r>
      <w:r w:rsidRPr="00F16251">
        <w:rPr>
          <w:rFonts w:cstheme="minorHAnsi"/>
          <w:kern w:val="0"/>
          <w14:ligatures w14:val="none"/>
        </w:rPr>
        <w:t>naborze</w:t>
      </w:r>
      <w:r w:rsidR="003B50ED" w:rsidRPr="00F16251">
        <w:rPr>
          <w:rFonts w:cstheme="minorHAnsi"/>
          <w:kern w:val="0"/>
          <w14:ligatures w14:val="none"/>
        </w:rPr>
        <w:t xml:space="preserve"> </w:t>
      </w:r>
      <w:r w:rsidRPr="00F16251">
        <w:rPr>
          <w:rFonts w:cstheme="minorHAnsi"/>
          <w:kern w:val="0"/>
          <w14:ligatures w14:val="none"/>
        </w:rPr>
        <w:t>wniosków</w:t>
      </w:r>
      <w:r w:rsidR="003B50ED" w:rsidRPr="00F16251">
        <w:rPr>
          <w:rFonts w:cstheme="minorHAnsi"/>
          <w:kern w:val="0"/>
          <w14:ligatures w14:val="none"/>
        </w:rPr>
        <w:t xml:space="preserve"> </w:t>
      </w:r>
      <w:r w:rsidRPr="00F16251">
        <w:rPr>
          <w:rFonts w:cstheme="minorHAnsi"/>
          <w:kern w:val="0"/>
          <w14:ligatures w14:val="none"/>
        </w:rPr>
        <w:t>o</w:t>
      </w:r>
      <w:r w:rsidR="003B50ED" w:rsidRPr="00F16251">
        <w:rPr>
          <w:rFonts w:cstheme="minorHAnsi"/>
          <w:kern w:val="0"/>
          <w14:ligatures w14:val="none"/>
        </w:rPr>
        <w:t xml:space="preserve"> </w:t>
      </w:r>
      <w:r w:rsidRPr="00F16251">
        <w:rPr>
          <w:rFonts w:cstheme="minorHAnsi"/>
          <w:kern w:val="0"/>
          <w14:ligatures w14:val="none"/>
        </w:rPr>
        <w:t>wsparcie</w:t>
      </w:r>
      <w:r w:rsidR="00130167" w:rsidRPr="00F16251">
        <w:rPr>
          <w:rFonts w:cstheme="minorHAnsi"/>
          <w:kern w:val="0"/>
          <w14:ligatures w14:val="none"/>
        </w:rPr>
        <w:t xml:space="preserve"> zgodnie z ww. ustawą o RLKS oraz Wytycznymi</w:t>
      </w:r>
      <w:r w:rsidRPr="00F16251">
        <w:rPr>
          <w:rFonts w:cstheme="minorHAnsi"/>
          <w:kern w:val="0"/>
          <w14:ligatures w14:val="none"/>
        </w:rPr>
        <w:t>.</w:t>
      </w:r>
      <w:r w:rsidR="003B50ED" w:rsidRPr="00F16251">
        <w:rPr>
          <w:rFonts w:cstheme="minorHAnsi"/>
          <w:kern w:val="0"/>
          <w14:ligatures w14:val="none"/>
        </w:rPr>
        <w:t xml:space="preserve"> </w:t>
      </w:r>
      <w:r w:rsidRPr="00F16251">
        <w:rPr>
          <w:rFonts w:cstheme="minorHAnsi"/>
          <w:kern w:val="0"/>
          <w14:ligatures w14:val="none"/>
        </w:rPr>
        <w:t>Ogłoszenie</w:t>
      </w:r>
      <w:r w:rsidR="003B50ED" w:rsidRPr="00F16251">
        <w:rPr>
          <w:rFonts w:cstheme="minorHAnsi"/>
          <w:kern w:val="0"/>
          <w14:ligatures w14:val="none"/>
        </w:rPr>
        <w:t xml:space="preserve"> </w:t>
      </w:r>
      <w:r w:rsidRPr="00F16251">
        <w:rPr>
          <w:rFonts w:cstheme="minorHAnsi"/>
          <w:kern w:val="0"/>
          <w14:ligatures w14:val="none"/>
        </w:rPr>
        <w:t>będzie</w:t>
      </w:r>
      <w:r w:rsidR="003B50ED" w:rsidRPr="00F16251">
        <w:rPr>
          <w:rFonts w:cstheme="minorHAnsi"/>
          <w:kern w:val="0"/>
          <w14:ligatures w14:val="none"/>
        </w:rPr>
        <w:t xml:space="preserve"> </w:t>
      </w:r>
      <w:r w:rsidRPr="00F16251">
        <w:rPr>
          <w:rFonts w:cstheme="minorHAnsi"/>
          <w:kern w:val="0"/>
          <w14:ligatures w14:val="none"/>
        </w:rPr>
        <w:t>spełniać</w:t>
      </w:r>
      <w:r w:rsidR="003B50ED" w:rsidRPr="00F16251">
        <w:rPr>
          <w:rFonts w:cstheme="minorHAnsi"/>
          <w:kern w:val="0"/>
          <w14:ligatures w14:val="none"/>
        </w:rPr>
        <w:t xml:space="preserve"> </w:t>
      </w:r>
      <w:r w:rsidRPr="00F16251">
        <w:rPr>
          <w:rFonts w:cstheme="minorHAnsi"/>
          <w:kern w:val="0"/>
          <w14:ligatures w14:val="none"/>
        </w:rPr>
        <w:t>wymogi</w:t>
      </w:r>
      <w:r w:rsidR="003B50ED" w:rsidRPr="00F16251">
        <w:rPr>
          <w:rFonts w:cstheme="minorHAnsi"/>
          <w:kern w:val="0"/>
          <w14:ligatures w14:val="none"/>
        </w:rPr>
        <w:t xml:space="preserve"> </w:t>
      </w:r>
      <w:r w:rsidRPr="00F16251">
        <w:rPr>
          <w:rFonts w:cstheme="minorHAnsi"/>
          <w:kern w:val="0"/>
          <w14:ligatures w14:val="none"/>
        </w:rPr>
        <w:t>określone</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ww.</w:t>
      </w:r>
      <w:r w:rsidR="003B50ED" w:rsidRPr="00F16251">
        <w:rPr>
          <w:rFonts w:cstheme="minorHAnsi"/>
          <w:kern w:val="0"/>
          <w14:ligatures w14:val="none"/>
        </w:rPr>
        <w:t xml:space="preserve"> </w:t>
      </w:r>
      <w:r w:rsidRPr="00F16251">
        <w:rPr>
          <w:rFonts w:cstheme="minorHAnsi"/>
          <w:kern w:val="0"/>
          <w14:ligatures w14:val="none"/>
        </w:rPr>
        <w:t>ustawie</w:t>
      </w:r>
      <w:r w:rsidR="003B50ED" w:rsidRPr="00F16251">
        <w:rPr>
          <w:rFonts w:cstheme="minorHAnsi"/>
          <w:kern w:val="0"/>
          <w14:ligatures w14:val="none"/>
        </w:rPr>
        <w:t xml:space="preserve"> </w:t>
      </w:r>
      <w:r w:rsidRPr="00F16251">
        <w:rPr>
          <w:rFonts w:cstheme="minorHAnsi"/>
          <w:kern w:val="0"/>
          <w14:ligatures w14:val="none"/>
        </w:rPr>
        <w:t>o</w:t>
      </w:r>
      <w:r w:rsidR="003B50ED" w:rsidRPr="00F16251">
        <w:rPr>
          <w:rFonts w:cstheme="minorHAnsi"/>
          <w:kern w:val="0"/>
          <w14:ligatures w14:val="none"/>
        </w:rPr>
        <w:t xml:space="preserve"> </w:t>
      </w:r>
      <w:r w:rsidRPr="00F16251">
        <w:rPr>
          <w:rFonts w:cstheme="minorHAnsi"/>
          <w:kern w:val="0"/>
          <w14:ligatures w14:val="none"/>
        </w:rPr>
        <w:t>RLKS.</w:t>
      </w:r>
      <w:r w:rsidR="003B50ED" w:rsidRPr="00F16251">
        <w:rPr>
          <w:rFonts w:cstheme="minorHAnsi"/>
          <w:kern w:val="0"/>
          <w14:ligatures w14:val="none"/>
        </w:rPr>
        <w:t xml:space="preserve"> </w:t>
      </w:r>
    </w:p>
    <w:p w14:paraId="38E13C4D" w14:textId="3E94C945" w:rsidR="00130167" w:rsidRPr="00F16251" w:rsidRDefault="002C63F4" w:rsidP="00130167">
      <w:pPr>
        <w:spacing w:line="276" w:lineRule="auto"/>
        <w:ind w:firstLine="360"/>
        <w:jc w:val="both"/>
        <w:rPr>
          <w:rFonts w:cstheme="minorHAnsi"/>
          <w:kern w:val="0"/>
          <w14:ligatures w14:val="none"/>
        </w:rPr>
      </w:pPr>
      <w:r w:rsidRPr="00F16251">
        <w:rPr>
          <w:rFonts w:cstheme="minorHAnsi"/>
          <w:kern w:val="0"/>
          <w14:ligatures w14:val="none"/>
        </w:rPr>
        <w:t>Kluczowym</w:t>
      </w:r>
      <w:r w:rsidR="003B50ED" w:rsidRPr="00F16251">
        <w:rPr>
          <w:rFonts w:cstheme="minorHAnsi"/>
          <w:kern w:val="0"/>
          <w14:ligatures w14:val="none"/>
        </w:rPr>
        <w:t xml:space="preserve"> </w:t>
      </w:r>
      <w:r w:rsidRPr="00F16251">
        <w:rPr>
          <w:rFonts w:cstheme="minorHAnsi"/>
          <w:kern w:val="0"/>
          <w14:ligatures w14:val="none"/>
        </w:rPr>
        <w:t>elementem</w:t>
      </w:r>
      <w:r w:rsidR="003B50ED" w:rsidRPr="00F16251">
        <w:rPr>
          <w:rFonts w:cstheme="minorHAnsi"/>
          <w:kern w:val="0"/>
          <w14:ligatures w14:val="none"/>
        </w:rPr>
        <w:t xml:space="preserve"> </w:t>
      </w:r>
      <w:r w:rsidRPr="00F16251">
        <w:rPr>
          <w:rFonts w:cstheme="minorHAnsi"/>
          <w:kern w:val="0"/>
          <w14:ligatures w14:val="none"/>
        </w:rPr>
        <w:t>ogłoszenia</w:t>
      </w:r>
      <w:r w:rsidR="003B50ED" w:rsidRPr="00F16251">
        <w:rPr>
          <w:rFonts w:cstheme="minorHAnsi"/>
          <w:kern w:val="0"/>
          <w14:ligatures w14:val="none"/>
        </w:rPr>
        <w:t xml:space="preserve"> </w:t>
      </w:r>
      <w:r w:rsidRPr="00F16251">
        <w:rPr>
          <w:rFonts w:cstheme="minorHAnsi"/>
          <w:kern w:val="0"/>
          <w14:ligatures w14:val="none"/>
        </w:rPr>
        <w:t>będzie</w:t>
      </w:r>
      <w:r w:rsidR="003B50ED" w:rsidRPr="00F16251">
        <w:rPr>
          <w:rFonts w:cstheme="minorHAnsi"/>
          <w:kern w:val="0"/>
          <w14:ligatures w14:val="none"/>
        </w:rPr>
        <w:t xml:space="preserve"> </w:t>
      </w:r>
      <w:r w:rsidRPr="00F16251">
        <w:rPr>
          <w:rFonts w:cstheme="minorHAnsi"/>
          <w:kern w:val="0"/>
          <w14:ligatures w14:val="none"/>
        </w:rPr>
        <w:t>Regulamin</w:t>
      </w:r>
      <w:r w:rsidR="003B50ED" w:rsidRPr="00F16251">
        <w:rPr>
          <w:rFonts w:cstheme="minorHAnsi"/>
          <w:kern w:val="0"/>
          <w14:ligatures w14:val="none"/>
        </w:rPr>
        <w:t xml:space="preserve"> </w:t>
      </w:r>
      <w:r w:rsidRPr="00F16251">
        <w:rPr>
          <w:rFonts w:cstheme="minorHAnsi"/>
          <w:kern w:val="0"/>
          <w14:ligatures w14:val="none"/>
        </w:rPr>
        <w:t>naboru</w:t>
      </w:r>
      <w:r w:rsidR="003B50ED" w:rsidRPr="00F16251">
        <w:rPr>
          <w:rFonts w:cstheme="minorHAnsi"/>
          <w:kern w:val="0"/>
          <w14:ligatures w14:val="none"/>
        </w:rPr>
        <w:t xml:space="preserve"> </w:t>
      </w:r>
      <w:r w:rsidRPr="00F16251">
        <w:rPr>
          <w:rFonts w:cstheme="minorHAnsi"/>
          <w:kern w:val="0"/>
          <w14:ligatures w14:val="none"/>
        </w:rPr>
        <w:t>wniosków</w:t>
      </w:r>
      <w:r w:rsidR="003B50ED" w:rsidRPr="00F16251">
        <w:rPr>
          <w:rFonts w:cstheme="minorHAnsi"/>
          <w:kern w:val="0"/>
          <w14:ligatures w14:val="none"/>
        </w:rPr>
        <w:t xml:space="preserve"> </w:t>
      </w:r>
      <w:r w:rsidRPr="00F16251">
        <w:rPr>
          <w:rFonts w:cstheme="minorHAnsi"/>
          <w:kern w:val="0"/>
          <w14:ligatures w14:val="none"/>
        </w:rPr>
        <w:t>o</w:t>
      </w:r>
      <w:r w:rsidR="003B50ED" w:rsidRPr="00F16251">
        <w:rPr>
          <w:rFonts w:cstheme="minorHAnsi"/>
          <w:kern w:val="0"/>
          <w14:ligatures w14:val="none"/>
        </w:rPr>
        <w:t xml:space="preserve"> </w:t>
      </w:r>
      <w:r w:rsidRPr="00F16251">
        <w:rPr>
          <w:rFonts w:cstheme="minorHAnsi"/>
          <w:kern w:val="0"/>
          <w14:ligatures w14:val="none"/>
        </w:rPr>
        <w:t>wsparcie.</w:t>
      </w:r>
      <w:r w:rsidR="003B50ED" w:rsidRPr="00F16251">
        <w:rPr>
          <w:rFonts w:cstheme="minorHAnsi"/>
          <w:kern w:val="0"/>
          <w14:ligatures w14:val="none"/>
        </w:rPr>
        <w:t xml:space="preserve"> </w:t>
      </w:r>
      <w:r w:rsidRPr="00F16251">
        <w:rPr>
          <w:rFonts w:cstheme="minorHAnsi"/>
          <w:kern w:val="0"/>
          <w14:ligatures w14:val="none"/>
        </w:rPr>
        <w:t>Będzie</w:t>
      </w:r>
      <w:r w:rsidR="003B50ED" w:rsidRPr="00F16251">
        <w:rPr>
          <w:rFonts w:cstheme="minorHAnsi"/>
          <w:kern w:val="0"/>
          <w14:ligatures w14:val="none"/>
        </w:rPr>
        <w:t xml:space="preserve"> </w:t>
      </w:r>
      <w:r w:rsidRPr="00F16251">
        <w:rPr>
          <w:rFonts w:cstheme="minorHAnsi"/>
          <w:kern w:val="0"/>
          <w14:ligatures w14:val="none"/>
        </w:rPr>
        <w:t>on</w:t>
      </w:r>
      <w:r w:rsidR="003B50ED" w:rsidRPr="00F16251">
        <w:rPr>
          <w:rFonts w:cstheme="minorHAnsi"/>
          <w:kern w:val="0"/>
          <w14:ligatures w14:val="none"/>
        </w:rPr>
        <w:t xml:space="preserve"> </w:t>
      </w:r>
      <w:r w:rsidRPr="00F16251">
        <w:rPr>
          <w:rFonts w:cstheme="minorHAnsi"/>
          <w:kern w:val="0"/>
          <w14:ligatures w14:val="none"/>
        </w:rPr>
        <w:t>uzgadniany</w:t>
      </w:r>
      <w:r w:rsidR="003B50ED" w:rsidRPr="00F16251">
        <w:rPr>
          <w:rFonts w:cstheme="minorHAnsi"/>
          <w:kern w:val="0"/>
          <w14:ligatures w14:val="none"/>
        </w:rPr>
        <w:t xml:space="preserve"> </w:t>
      </w:r>
      <w:r w:rsidR="00130167" w:rsidRPr="00F16251">
        <w:rPr>
          <w:rFonts w:cstheme="minorHAnsi"/>
          <w:kern w:val="0"/>
          <w14:ligatures w14:val="none"/>
        </w:rPr>
        <w:br/>
      </w:r>
      <w:r w:rsidRPr="00F16251">
        <w:rPr>
          <w:rFonts w:cstheme="minorHAnsi"/>
          <w:kern w:val="0"/>
          <w14:ligatures w14:val="none"/>
        </w:rPr>
        <w:t>z</w:t>
      </w:r>
      <w:r w:rsidR="003B50ED" w:rsidRPr="00F16251">
        <w:rPr>
          <w:rFonts w:cstheme="minorHAnsi"/>
          <w:kern w:val="0"/>
          <w14:ligatures w14:val="none"/>
        </w:rPr>
        <w:t xml:space="preserve"> </w:t>
      </w:r>
      <w:r w:rsidR="005768FC" w:rsidRPr="00F16251">
        <w:rPr>
          <w:rFonts w:cstheme="minorHAnsi"/>
          <w:kern w:val="0"/>
          <w14:ligatures w14:val="none"/>
        </w:rPr>
        <w:t xml:space="preserve">ZWW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będzie</w:t>
      </w:r>
      <w:r w:rsidR="003B50ED" w:rsidRPr="00F16251">
        <w:rPr>
          <w:rFonts w:cstheme="minorHAnsi"/>
          <w:kern w:val="0"/>
          <w14:ligatures w14:val="none"/>
        </w:rPr>
        <w:t xml:space="preserve"> </w:t>
      </w:r>
      <w:r w:rsidRPr="00F16251">
        <w:rPr>
          <w:rFonts w:cstheme="minorHAnsi"/>
          <w:kern w:val="0"/>
          <w14:ligatures w14:val="none"/>
        </w:rPr>
        <w:t>zawierał</w:t>
      </w:r>
      <w:r w:rsidR="003B50ED" w:rsidRPr="00F16251">
        <w:rPr>
          <w:rFonts w:cstheme="minorHAnsi"/>
          <w:kern w:val="0"/>
          <w14:ligatures w14:val="none"/>
        </w:rPr>
        <w:t xml:space="preserve"> </w:t>
      </w:r>
      <w:r w:rsidRPr="00F16251">
        <w:rPr>
          <w:rFonts w:cstheme="minorHAnsi"/>
          <w:kern w:val="0"/>
          <w14:ligatures w14:val="none"/>
        </w:rPr>
        <w:t>co</w:t>
      </w:r>
      <w:r w:rsidR="003B50ED" w:rsidRPr="00F16251">
        <w:rPr>
          <w:rFonts w:cstheme="minorHAnsi"/>
          <w:kern w:val="0"/>
          <w14:ligatures w14:val="none"/>
        </w:rPr>
        <w:t xml:space="preserve"> </w:t>
      </w:r>
      <w:r w:rsidRPr="00F16251">
        <w:rPr>
          <w:rFonts w:cstheme="minorHAnsi"/>
          <w:kern w:val="0"/>
          <w14:ligatures w14:val="none"/>
        </w:rPr>
        <w:t>najmniej:</w:t>
      </w:r>
      <w:r w:rsidR="003B50ED" w:rsidRPr="00F16251">
        <w:rPr>
          <w:rFonts w:cstheme="minorHAnsi"/>
          <w:kern w:val="0"/>
          <w14:ligatures w14:val="none"/>
        </w:rPr>
        <w:t xml:space="preserve"> </w:t>
      </w:r>
      <w:r w:rsidRPr="00F16251">
        <w:rPr>
          <w:rFonts w:cstheme="minorHAnsi"/>
          <w:kern w:val="0"/>
          <w14:ligatures w14:val="none"/>
        </w:rPr>
        <w:t>zakresy</w:t>
      </w:r>
      <w:r w:rsidR="003B50ED" w:rsidRPr="00F16251">
        <w:rPr>
          <w:rFonts w:cstheme="minorHAnsi"/>
          <w:kern w:val="0"/>
          <w14:ligatures w14:val="none"/>
        </w:rPr>
        <w:t xml:space="preserve"> </w:t>
      </w:r>
      <w:r w:rsidRPr="00F16251">
        <w:rPr>
          <w:rFonts w:cstheme="minorHAnsi"/>
          <w:kern w:val="0"/>
          <w14:ligatures w14:val="none"/>
        </w:rPr>
        <w:t>wsparcia;</w:t>
      </w:r>
      <w:r w:rsidR="003B50ED" w:rsidRPr="00F16251">
        <w:rPr>
          <w:rFonts w:cstheme="minorHAnsi"/>
          <w:kern w:val="0"/>
          <w14:ligatures w14:val="none"/>
        </w:rPr>
        <w:t xml:space="preserve"> </w:t>
      </w:r>
      <w:r w:rsidRPr="00F16251">
        <w:rPr>
          <w:rFonts w:cstheme="minorHAnsi"/>
          <w:kern w:val="0"/>
          <w14:ligatures w14:val="none"/>
        </w:rPr>
        <w:t>limit</w:t>
      </w:r>
      <w:r w:rsidR="003B50ED" w:rsidRPr="00F16251">
        <w:rPr>
          <w:rFonts w:cstheme="minorHAnsi"/>
          <w:kern w:val="0"/>
          <w14:ligatures w14:val="none"/>
        </w:rPr>
        <w:t xml:space="preserve"> </w:t>
      </w:r>
      <w:r w:rsidRPr="00F16251">
        <w:rPr>
          <w:rFonts w:cstheme="minorHAnsi"/>
          <w:kern w:val="0"/>
          <w14:ligatures w14:val="none"/>
        </w:rPr>
        <w:t>środków;</w:t>
      </w:r>
      <w:r w:rsidR="003B50ED" w:rsidRPr="00F16251">
        <w:rPr>
          <w:rFonts w:cstheme="minorHAnsi"/>
          <w:kern w:val="0"/>
          <w14:ligatures w14:val="none"/>
        </w:rPr>
        <w:t xml:space="preserve"> </w:t>
      </w:r>
      <w:r w:rsidRPr="00F16251">
        <w:rPr>
          <w:rFonts w:cstheme="minorHAnsi"/>
          <w:kern w:val="0"/>
          <w14:ligatures w14:val="none"/>
        </w:rPr>
        <w:t>maksymalny</w:t>
      </w:r>
      <w:r w:rsidR="003B50ED" w:rsidRPr="00F16251">
        <w:rPr>
          <w:rFonts w:cstheme="minorHAnsi"/>
          <w:kern w:val="0"/>
          <w14:ligatures w14:val="none"/>
        </w:rPr>
        <w:t xml:space="preserve"> </w:t>
      </w:r>
      <w:r w:rsidRPr="00F16251">
        <w:rPr>
          <w:rFonts w:cstheme="minorHAnsi"/>
          <w:kern w:val="0"/>
          <w14:ligatures w14:val="none"/>
        </w:rPr>
        <w:t>poziom</w:t>
      </w:r>
      <w:r w:rsidR="003B50ED" w:rsidRPr="00F16251">
        <w:rPr>
          <w:rFonts w:cstheme="minorHAnsi"/>
          <w:kern w:val="0"/>
          <w14:ligatures w14:val="none"/>
        </w:rPr>
        <w:t xml:space="preserve"> </w:t>
      </w:r>
      <w:r w:rsidRPr="00F16251">
        <w:rPr>
          <w:rFonts w:cstheme="minorHAnsi"/>
          <w:kern w:val="0"/>
          <w14:ligatures w14:val="none"/>
        </w:rPr>
        <w:t>wsparcia,</w:t>
      </w:r>
      <w:r w:rsidR="003B50ED" w:rsidRPr="00F16251">
        <w:rPr>
          <w:rFonts w:cstheme="minorHAnsi"/>
          <w:kern w:val="0"/>
          <w14:ligatures w14:val="none"/>
        </w:rPr>
        <w:t xml:space="preserve"> </w:t>
      </w:r>
      <w:r w:rsidRPr="00F16251">
        <w:rPr>
          <w:rFonts w:cstheme="minorHAnsi"/>
          <w:kern w:val="0"/>
          <w14:ligatures w14:val="none"/>
        </w:rPr>
        <w:t>kwotę</w:t>
      </w:r>
      <w:r w:rsidR="003B50ED" w:rsidRPr="00F16251">
        <w:rPr>
          <w:rFonts w:cstheme="minorHAnsi"/>
          <w:kern w:val="0"/>
          <w14:ligatures w14:val="none"/>
        </w:rPr>
        <w:t xml:space="preserve"> </w:t>
      </w:r>
      <w:r w:rsidRPr="00F16251">
        <w:rPr>
          <w:rFonts w:cstheme="minorHAnsi"/>
          <w:kern w:val="0"/>
          <w14:ligatures w14:val="none"/>
        </w:rPr>
        <w:t>wsparcia;</w:t>
      </w:r>
      <w:r w:rsidR="003B50ED" w:rsidRPr="00F16251">
        <w:rPr>
          <w:rFonts w:cstheme="minorHAnsi"/>
          <w:kern w:val="0"/>
          <w14:ligatures w14:val="none"/>
        </w:rPr>
        <w:t xml:space="preserve"> </w:t>
      </w:r>
      <w:r w:rsidRPr="00F16251">
        <w:rPr>
          <w:rFonts w:cstheme="minorHAnsi"/>
          <w:kern w:val="0"/>
          <w14:ligatures w14:val="none"/>
        </w:rPr>
        <w:t>formę</w:t>
      </w:r>
      <w:r w:rsidR="003B50ED" w:rsidRPr="00F16251">
        <w:rPr>
          <w:rFonts w:cstheme="minorHAnsi"/>
          <w:kern w:val="0"/>
          <w14:ligatures w14:val="none"/>
        </w:rPr>
        <w:t xml:space="preserve"> </w:t>
      </w:r>
      <w:r w:rsidRPr="00F16251">
        <w:rPr>
          <w:rFonts w:cstheme="minorHAnsi"/>
          <w:kern w:val="0"/>
          <w14:ligatures w14:val="none"/>
        </w:rPr>
        <w:t>wsparcia;</w:t>
      </w:r>
      <w:r w:rsidR="003B50ED" w:rsidRPr="00F16251">
        <w:rPr>
          <w:rFonts w:cstheme="minorHAnsi"/>
          <w:kern w:val="0"/>
          <w14:ligatures w14:val="none"/>
        </w:rPr>
        <w:t xml:space="preserve"> </w:t>
      </w:r>
      <w:r w:rsidRPr="00F16251">
        <w:rPr>
          <w:rFonts w:cstheme="minorHAnsi"/>
          <w:kern w:val="0"/>
          <w14:ligatures w14:val="none"/>
        </w:rPr>
        <w:t>warunki</w:t>
      </w:r>
      <w:r w:rsidR="003B50ED" w:rsidRPr="00F16251">
        <w:rPr>
          <w:rFonts w:cstheme="minorHAnsi"/>
          <w:kern w:val="0"/>
          <w14:ligatures w14:val="none"/>
        </w:rPr>
        <w:t xml:space="preserve"> </w:t>
      </w:r>
      <w:r w:rsidRPr="00F16251">
        <w:rPr>
          <w:rFonts w:cstheme="minorHAnsi"/>
          <w:kern w:val="0"/>
          <w14:ligatures w14:val="none"/>
        </w:rPr>
        <w:t>udzielenia</w:t>
      </w:r>
      <w:r w:rsidR="003B50ED" w:rsidRPr="00F16251">
        <w:rPr>
          <w:rFonts w:cstheme="minorHAnsi"/>
          <w:kern w:val="0"/>
          <w14:ligatures w14:val="none"/>
        </w:rPr>
        <w:t xml:space="preserve"> </w:t>
      </w:r>
      <w:r w:rsidRPr="00F16251">
        <w:rPr>
          <w:rFonts w:cstheme="minorHAnsi"/>
          <w:kern w:val="0"/>
          <w14:ligatures w14:val="none"/>
        </w:rPr>
        <w:t>wsparcia;</w:t>
      </w:r>
      <w:r w:rsidR="003B50ED" w:rsidRPr="00F16251">
        <w:rPr>
          <w:rFonts w:cstheme="minorHAnsi"/>
          <w:kern w:val="0"/>
          <w14:ligatures w14:val="none"/>
        </w:rPr>
        <w:t xml:space="preserve"> </w:t>
      </w:r>
      <w:r w:rsidRPr="00F16251">
        <w:rPr>
          <w:rFonts w:cstheme="minorHAnsi"/>
          <w:kern w:val="0"/>
          <w14:ligatures w14:val="none"/>
        </w:rPr>
        <w:t>kryteria</w:t>
      </w:r>
      <w:r w:rsidR="003B50ED" w:rsidRPr="00F16251">
        <w:rPr>
          <w:rFonts w:cstheme="minorHAnsi"/>
          <w:kern w:val="0"/>
          <w14:ligatures w14:val="none"/>
        </w:rPr>
        <w:t xml:space="preserve"> </w:t>
      </w:r>
      <w:r w:rsidRPr="00F16251">
        <w:rPr>
          <w:rFonts w:cstheme="minorHAnsi"/>
          <w:kern w:val="0"/>
          <w14:ligatures w14:val="none"/>
        </w:rPr>
        <w:t>wyboru</w:t>
      </w:r>
      <w:r w:rsidR="003B50ED" w:rsidRPr="00F16251">
        <w:rPr>
          <w:rFonts w:cstheme="minorHAnsi"/>
          <w:kern w:val="0"/>
          <w14:ligatures w14:val="none"/>
        </w:rPr>
        <w:t xml:space="preserve"> </w:t>
      </w:r>
      <w:r w:rsidRPr="00F16251">
        <w:rPr>
          <w:rFonts w:cstheme="minorHAnsi"/>
          <w:kern w:val="0"/>
          <w14:ligatures w14:val="none"/>
        </w:rPr>
        <w:t>operacji;</w:t>
      </w:r>
      <w:r w:rsidR="003B50ED" w:rsidRPr="00F16251">
        <w:rPr>
          <w:rFonts w:cstheme="minorHAnsi"/>
          <w:kern w:val="0"/>
          <w14:ligatures w14:val="none"/>
        </w:rPr>
        <w:t xml:space="preserve"> </w:t>
      </w:r>
      <w:r w:rsidRPr="00F16251">
        <w:rPr>
          <w:rFonts w:cstheme="minorHAnsi"/>
          <w:kern w:val="0"/>
          <w14:ligatures w14:val="none"/>
        </w:rPr>
        <w:t>opis</w:t>
      </w:r>
      <w:r w:rsidR="003B50ED" w:rsidRPr="00F16251">
        <w:rPr>
          <w:rFonts w:cstheme="minorHAnsi"/>
          <w:kern w:val="0"/>
          <w14:ligatures w14:val="none"/>
        </w:rPr>
        <w:t xml:space="preserve"> </w:t>
      </w:r>
      <w:r w:rsidRPr="00F16251">
        <w:rPr>
          <w:rFonts w:cstheme="minorHAnsi"/>
          <w:kern w:val="0"/>
          <w14:ligatures w14:val="none"/>
        </w:rPr>
        <w:t>procedury</w:t>
      </w:r>
      <w:r w:rsidR="003B50ED" w:rsidRPr="00F16251">
        <w:rPr>
          <w:rFonts w:cstheme="minorHAnsi"/>
          <w:kern w:val="0"/>
          <w14:ligatures w14:val="none"/>
        </w:rPr>
        <w:t xml:space="preserve"> </w:t>
      </w:r>
      <w:r w:rsidRPr="00F16251">
        <w:rPr>
          <w:rFonts w:cstheme="minorHAnsi"/>
          <w:kern w:val="0"/>
          <w14:ligatures w14:val="none"/>
        </w:rPr>
        <w:t>udzielania</w:t>
      </w:r>
      <w:r w:rsidR="003B50ED" w:rsidRPr="00F16251">
        <w:rPr>
          <w:rFonts w:cstheme="minorHAnsi"/>
          <w:kern w:val="0"/>
          <w14:ligatures w14:val="none"/>
        </w:rPr>
        <w:t xml:space="preserve"> </w:t>
      </w:r>
      <w:r w:rsidRPr="00F16251">
        <w:rPr>
          <w:rFonts w:cstheme="minorHAnsi"/>
          <w:kern w:val="0"/>
          <w14:ligatures w14:val="none"/>
        </w:rPr>
        <w:t>wsparcia,</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tym</w:t>
      </w:r>
      <w:r w:rsidR="003B50ED" w:rsidRPr="00F16251">
        <w:rPr>
          <w:rFonts w:cstheme="minorHAnsi"/>
          <w:kern w:val="0"/>
          <w14:ligatures w14:val="none"/>
        </w:rPr>
        <w:t xml:space="preserve"> </w:t>
      </w:r>
      <w:r w:rsidRPr="00F16251">
        <w:rPr>
          <w:rFonts w:cstheme="minorHAnsi"/>
          <w:kern w:val="0"/>
          <w14:ligatures w14:val="none"/>
        </w:rPr>
        <w:t>wskazanie</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opis</w:t>
      </w:r>
      <w:r w:rsidR="003B50ED" w:rsidRPr="00F16251">
        <w:rPr>
          <w:rFonts w:cstheme="minorHAnsi"/>
          <w:kern w:val="0"/>
          <w14:ligatures w14:val="none"/>
        </w:rPr>
        <w:t xml:space="preserve"> </w:t>
      </w:r>
      <w:r w:rsidRPr="00F16251">
        <w:rPr>
          <w:rFonts w:cstheme="minorHAnsi"/>
          <w:kern w:val="0"/>
          <w14:ligatures w14:val="none"/>
        </w:rPr>
        <w:t>etapów</w:t>
      </w:r>
      <w:r w:rsidR="003B50ED" w:rsidRPr="00F16251">
        <w:rPr>
          <w:rFonts w:cstheme="minorHAnsi"/>
          <w:kern w:val="0"/>
          <w14:ligatures w14:val="none"/>
        </w:rPr>
        <w:t xml:space="preserve"> </w:t>
      </w:r>
      <w:r w:rsidRPr="00F16251">
        <w:rPr>
          <w:rFonts w:cstheme="minorHAnsi"/>
          <w:kern w:val="0"/>
          <w14:ligatures w14:val="none"/>
        </w:rPr>
        <w:t>oceny</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LGD</w:t>
      </w:r>
      <w:r w:rsidR="003B50ED" w:rsidRPr="00F16251">
        <w:rPr>
          <w:rFonts w:cstheme="minorHAnsi"/>
          <w:kern w:val="0"/>
          <w14:ligatures w14:val="none"/>
        </w:rPr>
        <w:t xml:space="preserve"> </w:t>
      </w:r>
      <w:r w:rsidRPr="00F16251">
        <w:rPr>
          <w:rFonts w:cstheme="minorHAnsi"/>
          <w:kern w:val="0"/>
          <w14:ligatures w14:val="none"/>
        </w:rPr>
        <w:t>oraz</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005768FC" w:rsidRPr="00F16251">
        <w:rPr>
          <w:rFonts w:cstheme="minorHAnsi"/>
          <w:kern w:val="0"/>
          <w14:ligatures w14:val="none"/>
        </w:rPr>
        <w:t>ZWW</w:t>
      </w:r>
      <w:r w:rsidRPr="00F16251">
        <w:rPr>
          <w:rFonts w:cstheme="minorHAnsi"/>
          <w:kern w:val="0"/>
          <w14:ligatures w14:val="none"/>
        </w:rPr>
        <w:t>;</w:t>
      </w:r>
      <w:r w:rsidR="003B50ED" w:rsidRPr="00F16251">
        <w:rPr>
          <w:rFonts w:cstheme="minorHAnsi"/>
          <w:kern w:val="0"/>
          <w14:ligatures w14:val="none"/>
        </w:rPr>
        <w:t xml:space="preserve"> </w:t>
      </w:r>
      <w:r w:rsidRPr="00F16251">
        <w:rPr>
          <w:rFonts w:cstheme="minorHAnsi"/>
          <w:kern w:val="0"/>
          <w14:ligatures w14:val="none"/>
        </w:rPr>
        <w:t>termin</w:t>
      </w:r>
      <w:r w:rsidR="003B50ED" w:rsidRPr="00F16251">
        <w:rPr>
          <w:rFonts w:cstheme="minorHAnsi"/>
          <w:kern w:val="0"/>
          <w14:ligatures w14:val="none"/>
        </w:rPr>
        <w:t xml:space="preserve"> </w:t>
      </w:r>
      <w:r w:rsidRPr="00F16251">
        <w:rPr>
          <w:rFonts w:cstheme="minorHAnsi"/>
          <w:kern w:val="0"/>
          <w14:ligatures w14:val="none"/>
        </w:rPr>
        <w:t>składania</w:t>
      </w:r>
      <w:r w:rsidR="003B50ED" w:rsidRPr="00F16251">
        <w:rPr>
          <w:rFonts w:cstheme="minorHAnsi"/>
          <w:kern w:val="0"/>
          <w14:ligatures w14:val="none"/>
        </w:rPr>
        <w:t xml:space="preserve"> </w:t>
      </w:r>
      <w:r w:rsidRPr="00F16251">
        <w:rPr>
          <w:rFonts w:cstheme="minorHAnsi"/>
          <w:kern w:val="0"/>
          <w14:ligatures w14:val="none"/>
        </w:rPr>
        <w:t>wniosków;</w:t>
      </w:r>
      <w:r w:rsidR="003B50ED" w:rsidRPr="00F16251">
        <w:rPr>
          <w:rFonts w:cstheme="minorHAnsi"/>
          <w:kern w:val="0"/>
          <w14:ligatures w14:val="none"/>
        </w:rPr>
        <w:t xml:space="preserve"> </w:t>
      </w:r>
      <w:r w:rsidRPr="00F16251">
        <w:rPr>
          <w:rFonts w:cstheme="minorHAnsi"/>
          <w:kern w:val="0"/>
          <w14:ligatures w14:val="none"/>
        </w:rPr>
        <w:t>sposób</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formę</w:t>
      </w:r>
      <w:r w:rsidR="003B50ED" w:rsidRPr="00F16251">
        <w:rPr>
          <w:rFonts w:cstheme="minorHAnsi"/>
          <w:kern w:val="0"/>
          <w14:ligatures w14:val="none"/>
        </w:rPr>
        <w:t xml:space="preserve"> </w:t>
      </w:r>
      <w:r w:rsidRPr="00F16251">
        <w:rPr>
          <w:rFonts w:cstheme="minorHAnsi"/>
          <w:kern w:val="0"/>
          <w14:ligatures w14:val="none"/>
        </w:rPr>
        <w:t>składania</w:t>
      </w:r>
      <w:r w:rsidR="003B50ED" w:rsidRPr="00F16251">
        <w:rPr>
          <w:rFonts w:cstheme="minorHAnsi"/>
          <w:kern w:val="0"/>
          <w14:ligatures w14:val="none"/>
        </w:rPr>
        <w:t xml:space="preserve"> </w:t>
      </w:r>
      <w:r w:rsidRPr="00F16251">
        <w:rPr>
          <w:rFonts w:cstheme="minorHAnsi"/>
          <w:kern w:val="0"/>
          <w14:ligatures w14:val="none"/>
        </w:rPr>
        <w:t>oraz</w:t>
      </w:r>
      <w:r w:rsidR="003B50ED" w:rsidRPr="00F16251">
        <w:rPr>
          <w:rFonts w:cstheme="minorHAnsi"/>
          <w:kern w:val="0"/>
          <w14:ligatures w14:val="none"/>
        </w:rPr>
        <w:t xml:space="preserve"> </w:t>
      </w:r>
      <w:r w:rsidRPr="00F16251">
        <w:rPr>
          <w:rFonts w:cstheme="minorHAnsi"/>
          <w:kern w:val="0"/>
          <w14:ligatures w14:val="none"/>
        </w:rPr>
        <w:t>informację</w:t>
      </w:r>
      <w:r w:rsidR="003B50ED" w:rsidRPr="00F16251">
        <w:rPr>
          <w:rFonts w:cstheme="minorHAnsi"/>
          <w:kern w:val="0"/>
          <w14:ligatures w14:val="none"/>
        </w:rPr>
        <w:t xml:space="preserve"> </w:t>
      </w:r>
      <w:r w:rsidRPr="00F16251">
        <w:rPr>
          <w:rFonts w:cstheme="minorHAnsi"/>
          <w:kern w:val="0"/>
          <w14:ligatures w14:val="none"/>
        </w:rPr>
        <w:t>o</w:t>
      </w:r>
      <w:r w:rsidR="003B50ED" w:rsidRPr="00F16251">
        <w:rPr>
          <w:rFonts w:cstheme="minorHAnsi"/>
          <w:kern w:val="0"/>
          <w14:ligatures w14:val="none"/>
        </w:rPr>
        <w:t xml:space="preserve"> </w:t>
      </w:r>
      <w:r w:rsidRPr="00F16251">
        <w:rPr>
          <w:rFonts w:cstheme="minorHAnsi"/>
          <w:kern w:val="0"/>
          <w14:ligatures w14:val="none"/>
        </w:rPr>
        <w:t>wymaganych</w:t>
      </w:r>
      <w:r w:rsidR="003B50ED" w:rsidRPr="00F16251">
        <w:rPr>
          <w:rFonts w:cstheme="minorHAnsi"/>
          <w:kern w:val="0"/>
          <w14:ligatures w14:val="none"/>
        </w:rPr>
        <w:t xml:space="preserve"> </w:t>
      </w:r>
      <w:r w:rsidRPr="00F16251">
        <w:rPr>
          <w:rFonts w:cstheme="minorHAnsi"/>
          <w:kern w:val="0"/>
          <w14:ligatures w14:val="none"/>
        </w:rPr>
        <w:t>załącznikach;</w:t>
      </w:r>
      <w:r w:rsidR="003B50ED" w:rsidRPr="00F16251">
        <w:rPr>
          <w:rFonts w:cstheme="minorHAnsi"/>
          <w:kern w:val="0"/>
          <w14:ligatures w14:val="none"/>
        </w:rPr>
        <w:t xml:space="preserve"> </w:t>
      </w:r>
      <w:r w:rsidRPr="00F16251">
        <w:rPr>
          <w:rFonts w:cstheme="minorHAnsi"/>
          <w:kern w:val="0"/>
          <w14:ligatures w14:val="none"/>
        </w:rPr>
        <w:t>zakres</w:t>
      </w:r>
      <w:r w:rsidR="003B50ED" w:rsidRPr="00F16251">
        <w:rPr>
          <w:rFonts w:cstheme="minorHAnsi"/>
          <w:kern w:val="0"/>
          <w14:ligatures w14:val="none"/>
        </w:rPr>
        <w:t xml:space="preserve"> </w:t>
      </w:r>
      <w:r w:rsidRPr="00F16251">
        <w:rPr>
          <w:rFonts w:cstheme="minorHAnsi"/>
          <w:kern w:val="0"/>
          <w14:ligatures w14:val="none"/>
        </w:rPr>
        <w:t>możliwych</w:t>
      </w:r>
      <w:r w:rsidR="003B50ED" w:rsidRPr="00F16251">
        <w:rPr>
          <w:rFonts w:cstheme="minorHAnsi"/>
          <w:kern w:val="0"/>
          <w14:ligatures w14:val="none"/>
        </w:rPr>
        <w:t xml:space="preserve"> </w:t>
      </w:r>
      <w:r w:rsidRPr="00F16251">
        <w:rPr>
          <w:rFonts w:cstheme="minorHAnsi"/>
          <w:kern w:val="0"/>
          <w14:ligatures w14:val="none"/>
        </w:rPr>
        <w:t>poprawek</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uzupełnień</w:t>
      </w:r>
      <w:r w:rsidR="003B50ED" w:rsidRPr="00F16251">
        <w:rPr>
          <w:rFonts w:cstheme="minorHAnsi"/>
          <w:kern w:val="0"/>
          <w14:ligatures w14:val="none"/>
        </w:rPr>
        <w:t xml:space="preserve"> </w:t>
      </w:r>
      <w:r w:rsidRPr="00F16251">
        <w:rPr>
          <w:rFonts w:cstheme="minorHAnsi"/>
          <w:kern w:val="0"/>
          <w14:ligatures w14:val="none"/>
        </w:rPr>
        <w:t>oraz</w:t>
      </w:r>
      <w:r w:rsidR="003B50ED" w:rsidRPr="00F16251">
        <w:rPr>
          <w:rFonts w:cstheme="minorHAnsi"/>
          <w:kern w:val="0"/>
          <w14:ligatures w14:val="none"/>
        </w:rPr>
        <w:t xml:space="preserve"> </w:t>
      </w:r>
      <w:r w:rsidRPr="00F16251">
        <w:rPr>
          <w:rFonts w:cstheme="minorHAnsi"/>
          <w:kern w:val="0"/>
          <w14:ligatures w14:val="none"/>
        </w:rPr>
        <w:t>sposób,</w:t>
      </w:r>
      <w:r w:rsidR="003B50ED" w:rsidRPr="00F16251">
        <w:rPr>
          <w:rFonts w:cstheme="minorHAnsi"/>
          <w:kern w:val="0"/>
          <w14:ligatures w14:val="none"/>
        </w:rPr>
        <w:t xml:space="preserve"> </w:t>
      </w:r>
      <w:r w:rsidRPr="00F16251">
        <w:rPr>
          <w:rFonts w:cstheme="minorHAnsi"/>
          <w:kern w:val="0"/>
          <w14:ligatures w14:val="none"/>
        </w:rPr>
        <w:t>formę</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termin</w:t>
      </w:r>
      <w:r w:rsidR="003B50ED" w:rsidRPr="00F16251">
        <w:rPr>
          <w:rFonts w:cstheme="minorHAnsi"/>
          <w:kern w:val="0"/>
          <w14:ligatures w14:val="none"/>
        </w:rPr>
        <w:t xml:space="preserve"> </w:t>
      </w:r>
      <w:r w:rsidRPr="00F16251">
        <w:rPr>
          <w:rFonts w:cstheme="minorHAnsi"/>
          <w:kern w:val="0"/>
          <w14:ligatures w14:val="none"/>
        </w:rPr>
        <w:t>ich</w:t>
      </w:r>
      <w:r w:rsidR="003B50ED" w:rsidRPr="00F16251">
        <w:rPr>
          <w:rFonts w:cstheme="minorHAnsi"/>
          <w:kern w:val="0"/>
          <w14:ligatures w14:val="none"/>
        </w:rPr>
        <w:t xml:space="preserve"> </w:t>
      </w:r>
      <w:r w:rsidRPr="00F16251">
        <w:rPr>
          <w:rFonts w:cstheme="minorHAnsi"/>
          <w:kern w:val="0"/>
          <w14:ligatures w14:val="none"/>
        </w:rPr>
        <w:t>złożenia;</w:t>
      </w:r>
      <w:r w:rsidR="003B50ED" w:rsidRPr="00F16251">
        <w:rPr>
          <w:rFonts w:cstheme="minorHAnsi"/>
          <w:kern w:val="0"/>
          <w14:ligatures w14:val="none"/>
        </w:rPr>
        <w:t xml:space="preserve"> </w:t>
      </w:r>
      <w:r w:rsidRPr="00F16251">
        <w:rPr>
          <w:rFonts w:cstheme="minorHAnsi"/>
          <w:kern w:val="0"/>
          <w14:ligatures w14:val="none"/>
        </w:rPr>
        <w:t>sposób</w:t>
      </w:r>
      <w:r w:rsidR="003B50ED" w:rsidRPr="00F16251">
        <w:rPr>
          <w:rFonts w:cstheme="minorHAnsi"/>
          <w:kern w:val="0"/>
          <w14:ligatures w14:val="none"/>
        </w:rPr>
        <w:t xml:space="preserve"> </w:t>
      </w:r>
      <w:r w:rsidRPr="00F16251">
        <w:rPr>
          <w:rFonts w:cstheme="minorHAnsi"/>
          <w:kern w:val="0"/>
          <w14:ligatures w14:val="none"/>
        </w:rPr>
        <w:t>wymiany</w:t>
      </w:r>
      <w:r w:rsidR="003B50ED" w:rsidRPr="00F16251">
        <w:rPr>
          <w:rFonts w:cstheme="minorHAnsi"/>
          <w:kern w:val="0"/>
          <w14:ligatures w14:val="none"/>
        </w:rPr>
        <w:t xml:space="preserve"> </w:t>
      </w:r>
      <w:r w:rsidRPr="00F16251">
        <w:rPr>
          <w:rFonts w:cstheme="minorHAnsi"/>
          <w:kern w:val="0"/>
          <w14:ligatures w14:val="none"/>
        </w:rPr>
        <w:t>korespondencji</w:t>
      </w:r>
      <w:r w:rsidR="003B50ED" w:rsidRPr="00F16251">
        <w:rPr>
          <w:rFonts w:cstheme="minorHAnsi"/>
          <w:kern w:val="0"/>
          <w14:ligatures w14:val="none"/>
        </w:rPr>
        <w:t xml:space="preserve"> </w:t>
      </w:r>
      <w:r w:rsidRPr="00F16251">
        <w:rPr>
          <w:rFonts w:cstheme="minorHAnsi"/>
          <w:kern w:val="0"/>
          <w14:ligatures w14:val="none"/>
        </w:rPr>
        <w:t>między</w:t>
      </w:r>
      <w:r w:rsidR="003B50ED" w:rsidRPr="00F16251">
        <w:rPr>
          <w:rFonts w:cstheme="minorHAnsi"/>
          <w:kern w:val="0"/>
          <w14:ligatures w14:val="none"/>
        </w:rPr>
        <w:t xml:space="preserve"> </w:t>
      </w:r>
      <w:r w:rsidRPr="00F16251">
        <w:rPr>
          <w:rFonts w:cstheme="minorHAnsi"/>
          <w:kern w:val="0"/>
          <w14:ligatures w14:val="none"/>
        </w:rPr>
        <w:t>wnioskodawcą</w:t>
      </w:r>
      <w:r w:rsidR="003B50ED" w:rsidRPr="00F16251">
        <w:rPr>
          <w:rFonts w:cstheme="minorHAnsi"/>
          <w:kern w:val="0"/>
          <w14:ligatures w14:val="none"/>
        </w:rPr>
        <w:t xml:space="preserve"> </w:t>
      </w:r>
      <w:r w:rsidRPr="00F16251">
        <w:rPr>
          <w:rFonts w:cstheme="minorHAnsi"/>
          <w:kern w:val="0"/>
          <w14:ligatures w14:val="none"/>
        </w:rPr>
        <w:t>a</w:t>
      </w:r>
      <w:r w:rsidR="003B50ED" w:rsidRPr="00F16251">
        <w:rPr>
          <w:rFonts w:cstheme="minorHAnsi"/>
          <w:kern w:val="0"/>
          <w14:ligatures w14:val="none"/>
        </w:rPr>
        <w:t xml:space="preserve"> </w:t>
      </w:r>
      <w:r w:rsidRPr="00F16251">
        <w:rPr>
          <w:rFonts w:cstheme="minorHAnsi"/>
          <w:kern w:val="0"/>
          <w14:ligatures w14:val="none"/>
        </w:rPr>
        <w:t>LGD</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005768FC" w:rsidRPr="00F16251">
        <w:rPr>
          <w:rFonts w:cstheme="minorHAnsi"/>
          <w:kern w:val="0"/>
          <w14:ligatures w14:val="none"/>
        </w:rPr>
        <w:t>ZWW</w:t>
      </w:r>
      <w:r w:rsidRPr="00F16251">
        <w:rPr>
          <w:rFonts w:cstheme="minorHAnsi"/>
          <w:kern w:val="0"/>
          <w14:ligatures w14:val="none"/>
        </w:rPr>
        <w:t>;</w:t>
      </w:r>
      <w:r w:rsidR="003B50ED" w:rsidRPr="00F16251">
        <w:rPr>
          <w:rFonts w:cstheme="minorHAnsi"/>
          <w:kern w:val="0"/>
          <w14:ligatures w14:val="none"/>
        </w:rPr>
        <w:t xml:space="preserve"> </w:t>
      </w:r>
      <w:r w:rsidRPr="00F16251">
        <w:rPr>
          <w:rFonts w:cstheme="minorHAnsi"/>
          <w:kern w:val="0"/>
          <w14:ligatures w14:val="none"/>
        </w:rPr>
        <w:t>czynności</w:t>
      </w:r>
      <w:r w:rsidR="003B50ED" w:rsidRPr="00F16251">
        <w:rPr>
          <w:rFonts w:cstheme="minorHAnsi"/>
          <w:kern w:val="0"/>
          <w14:ligatures w14:val="none"/>
        </w:rPr>
        <w:t xml:space="preserve"> </w:t>
      </w:r>
      <w:r w:rsidRPr="00F16251">
        <w:rPr>
          <w:rFonts w:cstheme="minorHAnsi"/>
          <w:kern w:val="0"/>
          <w14:ligatures w14:val="none"/>
        </w:rPr>
        <w:t>poprzedzające</w:t>
      </w:r>
      <w:r w:rsidR="003B50ED" w:rsidRPr="00F16251">
        <w:rPr>
          <w:rFonts w:cstheme="minorHAnsi"/>
          <w:kern w:val="0"/>
          <w14:ligatures w14:val="none"/>
        </w:rPr>
        <w:t xml:space="preserve"> </w:t>
      </w:r>
      <w:r w:rsidRPr="00F16251">
        <w:rPr>
          <w:rFonts w:cstheme="minorHAnsi"/>
          <w:kern w:val="0"/>
          <w14:ligatures w14:val="none"/>
        </w:rPr>
        <w:t>udzielenie</w:t>
      </w:r>
      <w:r w:rsidR="003B50ED" w:rsidRPr="00F16251">
        <w:rPr>
          <w:rFonts w:cstheme="minorHAnsi"/>
          <w:kern w:val="0"/>
          <w14:ligatures w14:val="none"/>
        </w:rPr>
        <w:t xml:space="preserve"> </w:t>
      </w:r>
      <w:r w:rsidRPr="00F16251">
        <w:rPr>
          <w:rFonts w:cstheme="minorHAnsi"/>
          <w:kern w:val="0"/>
          <w14:ligatures w14:val="none"/>
        </w:rPr>
        <w:t>wsparcia</w:t>
      </w:r>
      <w:r w:rsidR="003B50ED" w:rsidRPr="00F16251">
        <w:rPr>
          <w:rFonts w:cstheme="minorHAnsi"/>
          <w:kern w:val="0"/>
          <w14:ligatures w14:val="none"/>
        </w:rPr>
        <w:t xml:space="preserve"> </w:t>
      </w:r>
      <w:r w:rsidRPr="00F16251">
        <w:rPr>
          <w:rFonts w:cstheme="minorHAnsi"/>
          <w:kern w:val="0"/>
          <w14:ligatures w14:val="none"/>
        </w:rPr>
        <w:t>oraz</w:t>
      </w:r>
      <w:r w:rsidR="003B50ED" w:rsidRPr="00F16251">
        <w:rPr>
          <w:rFonts w:cstheme="minorHAnsi"/>
          <w:kern w:val="0"/>
          <w14:ligatures w14:val="none"/>
        </w:rPr>
        <w:t xml:space="preserve"> </w:t>
      </w:r>
      <w:r w:rsidRPr="00F16251">
        <w:rPr>
          <w:rFonts w:cstheme="minorHAnsi"/>
          <w:kern w:val="0"/>
          <w14:ligatures w14:val="none"/>
        </w:rPr>
        <w:t>termin</w:t>
      </w:r>
      <w:r w:rsidR="003B50ED" w:rsidRPr="00F16251">
        <w:rPr>
          <w:rFonts w:cstheme="minorHAnsi"/>
          <w:kern w:val="0"/>
          <w14:ligatures w14:val="none"/>
        </w:rPr>
        <w:t xml:space="preserve"> </w:t>
      </w:r>
      <w:r w:rsidRPr="00F16251">
        <w:rPr>
          <w:rFonts w:cstheme="minorHAnsi"/>
          <w:kern w:val="0"/>
          <w14:ligatures w14:val="none"/>
        </w:rPr>
        <w:t>ich</w:t>
      </w:r>
      <w:r w:rsidR="003B50ED" w:rsidRPr="00F16251">
        <w:rPr>
          <w:rFonts w:cstheme="minorHAnsi"/>
          <w:kern w:val="0"/>
          <w14:ligatures w14:val="none"/>
        </w:rPr>
        <w:t xml:space="preserve"> </w:t>
      </w:r>
      <w:r w:rsidRPr="00F16251">
        <w:rPr>
          <w:rFonts w:cstheme="minorHAnsi"/>
          <w:kern w:val="0"/>
          <w14:ligatures w14:val="none"/>
        </w:rPr>
        <w:t>dokonania;</w:t>
      </w:r>
      <w:r w:rsidR="003B50ED" w:rsidRPr="00F16251">
        <w:rPr>
          <w:rFonts w:cstheme="minorHAnsi"/>
          <w:kern w:val="0"/>
          <w14:ligatures w14:val="none"/>
        </w:rPr>
        <w:t xml:space="preserve"> </w:t>
      </w:r>
      <w:r w:rsidRPr="00F16251">
        <w:rPr>
          <w:rFonts w:cstheme="minorHAnsi"/>
          <w:kern w:val="0"/>
          <w14:ligatures w14:val="none"/>
        </w:rPr>
        <w:t>informację</w:t>
      </w:r>
      <w:r w:rsidR="003B50ED" w:rsidRPr="00F16251">
        <w:rPr>
          <w:rFonts w:cstheme="minorHAnsi"/>
          <w:kern w:val="0"/>
          <w14:ligatures w14:val="none"/>
        </w:rPr>
        <w:t xml:space="preserve"> </w:t>
      </w:r>
      <w:r w:rsidRPr="00F16251">
        <w:rPr>
          <w:rFonts w:cstheme="minorHAnsi"/>
          <w:kern w:val="0"/>
          <w14:ligatures w14:val="none"/>
        </w:rPr>
        <w:t>o</w:t>
      </w:r>
      <w:r w:rsidR="003B50ED" w:rsidRPr="00F16251">
        <w:rPr>
          <w:rFonts w:cstheme="minorHAnsi"/>
          <w:kern w:val="0"/>
          <w14:ligatures w14:val="none"/>
        </w:rPr>
        <w:t xml:space="preserve"> </w:t>
      </w:r>
      <w:r w:rsidRPr="00F16251">
        <w:rPr>
          <w:rFonts w:cstheme="minorHAnsi"/>
          <w:kern w:val="0"/>
          <w14:ligatures w14:val="none"/>
        </w:rPr>
        <w:t>miejscu</w:t>
      </w:r>
      <w:r w:rsidR="003B50ED" w:rsidRPr="00F16251">
        <w:rPr>
          <w:rFonts w:cstheme="minorHAnsi"/>
          <w:kern w:val="0"/>
          <w14:ligatures w14:val="none"/>
        </w:rPr>
        <w:t xml:space="preserve"> </w:t>
      </w:r>
      <w:r w:rsidRPr="00F16251">
        <w:rPr>
          <w:rFonts w:cstheme="minorHAnsi"/>
          <w:kern w:val="0"/>
          <w14:ligatures w14:val="none"/>
        </w:rPr>
        <w:t>udostępnienia</w:t>
      </w:r>
      <w:r w:rsidR="003B50ED" w:rsidRPr="00F16251">
        <w:rPr>
          <w:rFonts w:cstheme="minorHAnsi"/>
          <w:kern w:val="0"/>
          <w14:ligatures w14:val="none"/>
        </w:rPr>
        <w:t xml:space="preserve"> </w:t>
      </w:r>
      <w:r w:rsidRPr="00F16251">
        <w:rPr>
          <w:rFonts w:cstheme="minorHAnsi"/>
          <w:kern w:val="0"/>
          <w14:ligatures w14:val="none"/>
        </w:rPr>
        <w:t>LSR,</w:t>
      </w:r>
      <w:r w:rsidR="003B50ED" w:rsidRPr="00F16251">
        <w:rPr>
          <w:rFonts w:cstheme="minorHAnsi"/>
          <w:kern w:val="0"/>
          <w14:ligatures w14:val="none"/>
        </w:rPr>
        <w:t xml:space="preserve"> </w:t>
      </w:r>
      <w:r w:rsidRPr="00F16251">
        <w:rPr>
          <w:rFonts w:cstheme="minorHAnsi"/>
          <w:kern w:val="0"/>
          <w14:ligatures w14:val="none"/>
        </w:rPr>
        <w:t>formularza</w:t>
      </w:r>
      <w:r w:rsidR="003B50ED" w:rsidRPr="00F16251">
        <w:rPr>
          <w:rFonts w:cstheme="minorHAnsi"/>
          <w:kern w:val="0"/>
          <w14:ligatures w14:val="none"/>
        </w:rPr>
        <w:t xml:space="preserve"> </w:t>
      </w:r>
      <w:r w:rsidRPr="00F16251">
        <w:rPr>
          <w:rFonts w:cstheme="minorHAnsi"/>
          <w:kern w:val="0"/>
          <w14:ligatures w14:val="none"/>
        </w:rPr>
        <w:t>wniosku</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wzoru</w:t>
      </w:r>
      <w:r w:rsidR="003B50ED" w:rsidRPr="00F16251">
        <w:rPr>
          <w:rFonts w:cstheme="minorHAnsi"/>
          <w:kern w:val="0"/>
          <w14:ligatures w14:val="none"/>
        </w:rPr>
        <w:t xml:space="preserve"> </w:t>
      </w:r>
      <w:r w:rsidRPr="00F16251">
        <w:rPr>
          <w:rFonts w:cstheme="minorHAnsi"/>
          <w:kern w:val="0"/>
          <w14:ligatures w14:val="none"/>
        </w:rPr>
        <w:t>umowy;</w:t>
      </w:r>
      <w:r w:rsidR="003B50ED" w:rsidRPr="00F16251">
        <w:rPr>
          <w:rFonts w:cstheme="minorHAnsi"/>
          <w:kern w:val="0"/>
          <w14:ligatures w14:val="none"/>
        </w:rPr>
        <w:t xml:space="preserve"> </w:t>
      </w:r>
      <w:r w:rsidRPr="00F16251">
        <w:rPr>
          <w:rFonts w:cstheme="minorHAnsi"/>
          <w:kern w:val="0"/>
          <w14:ligatures w14:val="none"/>
        </w:rPr>
        <w:t>a</w:t>
      </w:r>
      <w:r w:rsidR="003B50ED" w:rsidRPr="00F16251">
        <w:rPr>
          <w:rFonts w:cstheme="minorHAnsi"/>
          <w:kern w:val="0"/>
          <w14:ligatures w14:val="none"/>
        </w:rPr>
        <w:t xml:space="preserve"> </w:t>
      </w:r>
      <w:r w:rsidRPr="00F16251">
        <w:rPr>
          <w:rFonts w:cstheme="minorHAnsi"/>
          <w:kern w:val="0"/>
          <w14:ligatures w14:val="none"/>
        </w:rPr>
        <w:t>także</w:t>
      </w:r>
      <w:r w:rsidR="003B50ED" w:rsidRPr="00F16251">
        <w:rPr>
          <w:rFonts w:cstheme="minorHAnsi"/>
          <w:kern w:val="0"/>
          <w14:ligatures w14:val="none"/>
        </w:rPr>
        <w:t xml:space="preserve"> </w:t>
      </w:r>
      <w:r w:rsidRPr="00F16251">
        <w:rPr>
          <w:rFonts w:cstheme="minorHAnsi"/>
          <w:kern w:val="0"/>
          <w14:ligatures w14:val="none"/>
        </w:rPr>
        <w:t>informację</w:t>
      </w:r>
      <w:r w:rsidR="003B50ED" w:rsidRPr="00F16251">
        <w:rPr>
          <w:rFonts w:cstheme="minorHAnsi"/>
          <w:kern w:val="0"/>
          <w14:ligatures w14:val="none"/>
        </w:rPr>
        <w:t xml:space="preserve"> </w:t>
      </w:r>
      <w:r w:rsidRPr="00F16251">
        <w:rPr>
          <w:rFonts w:cstheme="minorHAnsi"/>
          <w:kern w:val="0"/>
          <w14:ligatures w14:val="none"/>
        </w:rPr>
        <w:t>o</w:t>
      </w:r>
      <w:r w:rsidR="003B50ED" w:rsidRPr="00F16251">
        <w:rPr>
          <w:rFonts w:cstheme="minorHAnsi"/>
          <w:kern w:val="0"/>
          <w14:ligatures w14:val="none"/>
        </w:rPr>
        <w:t xml:space="preserve"> </w:t>
      </w:r>
      <w:r w:rsidRPr="00F16251">
        <w:rPr>
          <w:rFonts w:cstheme="minorHAnsi"/>
          <w:kern w:val="0"/>
          <w14:ligatures w14:val="none"/>
        </w:rPr>
        <w:t>środkach</w:t>
      </w:r>
      <w:r w:rsidR="003B50ED" w:rsidRPr="00F16251">
        <w:rPr>
          <w:rFonts w:cstheme="minorHAnsi"/>
          <w:kern w:val="0"/>
          <w14:ligatures w14:val="none"/>
        </w:rPr>
        <w:t xml:space="preserve"> </w:t>
      </w:r>
      <w:r w:rsidRPr="00F16251">
        <w:rPr>
          <w:rFonts w:cstheme="minorHAnsi"/>
          <w:kern w:val="0"/>
          <w14:ligatures w14:val="none"/>
        </w:rPr>
        <w:t>zaskarżenia</w:t>
      </w:r>
      <w:r w:rsidR="003B50ED" w:rsidRPr="00F16251">
        <w:rPr>
          <w:rFonts w:cstheme="minorHAnsi"/>
          <w:kern w:val="0"/>
          <w14:ligatures w14:val="none"/>
        </w:rPr>
        <w:t xml:space="preserve"> </w:t>
      </w:r>
      <w:r w:rsidRPr="00F16251">
        <w:rPr>
          <w:rFonts w:cstheme="minorHAnsi"/>
          <w:kern w:val="0"/>
          <w14:ligatures w14:val="none"/>
        </w:rPr>
        <w:t>przysługujących</w:t>
      </w:r>
      <w:r w:rsidR="003B50ED" w:rsidRPr="00F16251">
        <w:rPr>
          <w:rFonts w:cstheme="minorHAnsi"/>
          <w:kern w:val="0"/>
          <w14:ligatures w14:val="none"/>
        </w:rPr>
        <w:t xml:space="preserve"> </w:t>
      </w:r>
      <w:r w:rsidRPr="00F16251">
        <w:rPr>
          <w:rFonts w:cstheme="minorHAnsi"/>
          <w:kern w:val="0"/>
          <w14:ligatures w14:val="none"/>
        </w:rPr>
        <w:t>wnioskodawcy</w:t>
      </w:r>
      <w:r w:rsidR="003B50ED" w:rsidRPr="00F16251">
        <w:rPr>
          <w:rFonts w:cstheme="minorHAnsi"/>
          <w:kern w:val="0"/>
          <w14:ligatures w14:val="none"/>
        </w:rPr>
        <w:t xml:space="preserve"> </w:t>
      </w:r>
      <w:r w:rsidRPr="00F16251">
        <w:rPr>
          <w:rFonts w:cstheme="minorHAnsi"/>
          <w:kern w:val="0"/>
          <w14:ligatures w14:val="none"/>
        </w:rPr>
        <w:t>oraz</w:t>
      </w:r>
      <w:r w:rsidR="003B50ED" w:rsidRPr="00F16251">
        <w:rPr>
          <w:rFonts w:cstheme="minorHAnsi"/>
          <w:kern w:val="0"/>
          <w14:ligatures w14:val="none"/>
        </w:rPr>
        <w:t xml:space="preserve"> </w:t>
      </w:r>
      <w:r w:rsidRPr="00F16251">
        <w:rPr>
          <w:rFonts w:cstheme="minorHAnsi"/>
          <w:kern w:val="0"/>
          <w14:ligatures w14:val="none"/>
        </w:rPr>
        <w:t>wskazanie</w:t>
      </w:r>
      <w:r w:rsidR="003B50ED" w:rsidRPr="00F16251">
        <w:rPr>
          <w:rFonts w:cstheme="minorHAnsi"/>
          <w:kern w:val="0"/>
          <w14:ligatures w14:val="none"/>
        </w:rPr>
        <w:t xml:space="preserve"> </w:t>
      </w:r>
      <w:r w:rsidRPr="00F16251">
        <w:rPr>
          <w:rFonts w:cstheme="minorHAnsi"/>
          <w:kern w:val="0"/>
          <w14:ligatures w14:val="none"/>
        </w:rPr>
        <w:t>podmiotu</w:t>
      </w:r>
      <w:r w:rsidR="003B50ED" w:rsidRPr="00F16251">
        <w:rPr>
          <w:rFonts w:cstheme="minorHAnsi"/>
          <w:kern w:val="0"/>
          <w14:ligatures w14:val="none"/>
        </w:rPr>
        <w:t xml:space="preserve"> </w:t>
      </w:r>
      <w:r w:rsidRPr="00F16251">
        <w:rPr>
          <w:rFonts w:cstheme="minorHAnsi"/>
          <w:kern w:val="0"/>
          <w14:ligatures w14:val="none"/>
        </w:rPr>
        <w:t>właściwego</w:t>
      </w:r>
      <w:r w:rsidR="003B50ED" w:rsidRPr="00F16251">
        <w:rPr>
          <w:rFonts w:cstheme="minorHAnsi"/>
          <w:kern w:val="0"/>
          <w14:ligatures w14:val="none"/>
        </w:rPr>
        <w:t xml:space="preserve"> </w:t>
      </w:r>
      <w:r w:rsidRPr="00F16251">
        <w:rPr>
          <w:rFonts w:cstheme="minorHAnsi"/>
          <w:kern w:val="0"/>
          <w14:ligatures w14:val="none"/>
        </w:rPr>
        <w:t>do</w:t>
      </w:r>
      <w:r w:rsidR="003B50ED" w:rsidRPr="00F16251">
        <w:rPr>
          <w:rFonts w:cstheme="minorHAnsi"/>
          <w:kern w:val="0"/>
          <w14:ligatures w14:val="none"/>
        </w:rPr>
        <w:t xml:space="preserve"> </w:t>
      </w:r>
      <w:r w:rsidRPr="00F16251">
        <w:rPr>
          <w:rFonts w:cstheme="minorHAnsi"/>
          <w:kern w:val="0"/>
          <w14:ligatures w14:val="none"/>
        </w:rPr>
        <w:t>ich</w:t>
      </w:r>
      <w:r w:rsidR="003B50ED" w:rsidRPr="00F16251">
        <w:rPr>
          <w:rFonts w:cstheme="minorHAnsi"/>
          <w:kern w:val="0"/>
          <w14:ligatures w14:val="none"/>
        </w:rPr>
        <w:t xml:space="preserve"> </w:t>
      </w:r>
      <w:r w:rsidRPr="00F16251">
        <w:rPr>
          <w:rFonts w:cstheme="minorHAnsi"/>
          <w:kern w:val="0"/>
          <w14:ligatures w14:val="none"/>
        </w:rPr>
        <w:t>rozpatrzenia.</w:t>
      </w:r>
      <w:r w:rsidR="003B50ED" w:rsidRPr="00F16251">
        <w:rPr>
          <w:rFonts w:cstheme="minorHAnsi"/>
          <w:kern w:val="0"/>
          <w14:ligatures w14:val="none"/>
        </w:rPr>
        <w:t xml:space="preserve"> </w:t>
      </w:r>
    </w:p>
    <w:p w14:paraId="273CC756" w14:textId="2B039E65" w:rsidR="00130167" w:rsidRPr="00F16251" w:rsidRDefault="00130167" w:rsidP="00130167">
      <w:pPr>
        <w:spacing w:line="276" w:lineRule="auto"/>
        <w:ind w:firstLine="360"/>
        <w:jc w:val="both"/>
        <w:rPr>
          <w:rFonts w:cstheme="minorHAnsi"/>
          <w:kern w:val="0"/>
          <w14:ligatures w14:val="none"/>
        </w:rPr>
      </w:pPr>
      <w:r w:rsidRPr="00F16251">
        <w:rPr>
          <w:rFonts w:cstheme="minorHAnsi"/>
          <w:kern w:val="0"/>
          <w14:ligatures w14:val="none"/>
        </w:rPr>
        <w:t xml:space="preserve">Zasady zmiany regulaminu zostaną zawarte w procedurach i będą zgodne z przepisami ww. ustawy o RLKS. </w:t>
      </w:r>
      <w:r w:rsidR="002C63F4" w:rsidRPr="00F16251">
        <w:rPr>
          <w:rFonts w:cstheme="minorHAnsi"/>
          <w:kern w:val="0"/>
          <w14:ligatures w14:val="none"/>
        </w:rPr>
        <w:t>Zmiana</w:t>
      </w:r>
      <w:r w:rsidR="003B50ED" w:rsidRPr="00F16251">
        <w:rPr>
          <w:rFonts w:cstheme="minorHAnsi"/>
          <w:kern w:val="0"/>
          <w14:ligatures w14:val="none"/>
        </w:rPr>
        <w:t xml:space="preserve"> </w:t>
      </w:r>
      <w:r w:rsidR="002C63F4" w:rsidRPr="00F16251">
        <w:rPr>
          <w:rFonts w:cstheme="minorHAnsi"/>
          <w:kern w:val="0"/>
          <w14:ligatures w14:val="none"/>
        </w:rPr>
        <w:t>dotycząca</w:t>
      </w:r>
      <w:r w:rsidR="003B50ED" w:rsidRPr="00F16251">
        <w:rPr>
          <w:rFonts w:cstheme="minorHAnsi"/>
          <w:kern w:val="0"/>
          <w14:ligatures w14:val="none"/>
        </w:rPr>
        <w:t xml:space="preserve"> </w:t>
      </w:r>
      <w:r w:rsidR="002C63F4" w:rsidRPr="00F16251">
        <w:rPr>
          <w:rFonts w:cstheme="minorHAnsi"/>
          <w:kern w:val="0"/>
          <w14:ligatures w14:val="none"/>
        </w:rPr>
        <w:t>zwiększenia</w:t>
      </w:r>
      <w:r w:rsidR="003B50ED" w:rsidRPr="00F16251">
        <w:rPr>
          <w:rFonts w:cstheme="minorHAnsi"/>
          <w:kern w:val="0"/>
          <w14:ligatures w14:val="none"/>
        </w:rPr>
        <w:t xml:space="preserve"> </w:t>
      </w:r>
      <w:r w:rsidR="002C63F4" w:rsidRPr="00F16251">
        <w:rPr>
          <w:rFonts w:cstheme="minorHAnsi"/>
          <w:kern w:val="0"/>
          <w14:ligatures w14:val="none"/>
        </w:rPr>
        <w:t>limitu</w:t>
      </w:r>
      <w:r w:rsidR="003B50ED" w:rsidRPr="00F16251">
        <w:rPr>
          <w:rFonts w:cstheme="minorHAnsi"/>
          <w:kern w:val="0"/>
          <w14:ligatures w14:val="none"/>
        </w:rPr>
        <w:t xml:space="preserve"> </w:t>
      </w:r>
      <w:r w:rsidR="002C63F4" w:rsidRPr="00F16251">
        <w:rPr>
          <w:rFonts w:cstheme="minorHAnsi"/>
          <w:kern w:val="0"/>
          <w14:ligatures w14:val="none"/>
        </w:rPr>
        <w:t>z</w:t>
      </w:r>
      <w:r w:rsidR="003B50ED" w:rsidRPr="00F16251">
        <w:rPr>
          <w:rFonts w:cstheme="minorHAnsi"/>
          <w:kern w:val="0"/>
          <w14:ligatures w14:val="none"/>
        </w:rPr>
        <w:t xml:space="preserve"> </w:t>
      </w:r>
      <w:r w:rsidR="002C63F4" w:rsidRPr="00F16251">
        <w:rPr>
          <w:rFonts w:cstheme="minorHAnsi"/>
          <w:kern w:val="0"/>
          <w14:ligatures w14:val="none"/>
        </w:rPr>
        <w:t>ogłoszenia,</w:t>
      </w:r>
      <w:r w:rsidR="003B50ED" w:rsidRPr="00F16251">
        <w:rPr>
          <w:rFonts w:cstheme="minorHAnsi"/>
          <w:kern w:val="0"/>
          <w14:ligatures w14:val="none"/>
        </w:rPr>
        <w:t xml:space="preserve"> </w:t>
      </w:r>
      <w:r w:rsidR="002C63F4" w:rsidRPr="00F16251">
        <w:rPr>
          <w:rFonts w:cstheme="minorHAnsi"/>
          <w:kern w:val="0"/>
          <w14:ligatures w14:val="none"/>
        </w:rPr>
        <w:t>uzgodniona</w:t>
      </w:r>
      <w:r w:rsidR="003B50ED" w:rsidRPr="00F16251">
        <w:rPr>
          <w:rFonts w:cstheme="minorHAnsi"/>
          <w:kern w:val="0"/>
          <w14:ligatures w14:val="none"/>
        </w:rPr>
        <w:t xml:space="preserve"> </w:t>
      </w:r>
      <w:r w:rsidR="002C63F4" w:rsidRPr="00F16251">
        <w:rPr>
          <w:rFonts w:cstheme="minorHAnsi"/>
          <w:kern w:val="0"/>
          <w14:ligatures w14:val="none"/>
        </w:rPr>
        <w:t>z</w:t>
      </w:r>
      <w:r w:rsidR="003B50ED" w:rsidRPr="00F16251">
        <w:rPr>
          <w:rFonts w:cstheme="minorHAnsi"/>
          <w:kern w:val="0"/>
          <w14:ligatures w14:val="none"/>
        </w:rPr>
        <w:t xml:space="preserve"> </w:t>
      </w:r>
      <w:r w:rsidR="005768FC" w:rsidRPr="00F16251">
        <w:rPr>
          <w:rFonts w:cstheme="minorHAnsi"/>
          <w:kern w:val="0"/>
          <w14:ligatures w14:val="none"/>
        </w:rPr>
        <w:t>ZWW</w:t>
      </w:r>
      <w:r w:rsidR="002C63F4" w:rsidRPr="00F16251">
        <w:rPr>
          <w:rFonts w:cstheme="minorHAnsi"/>
          <w:kern w:val="0"/>
          <w14:ligatures w14:val="none"/>
        </w:rPr>
        <w:t>,</w:t>
      </w:r>
      <w:r w:rsidR="003B50ED" w:rsidRPr="00F16251">
        <w:rPr>
          <w:rFonts w:cstheme="minorHAnsi"/>
          <w:kern w:val="0"/>
          <w14:ligatures w14:val="none"/>
        </w:rPr>
        <w:t xml:space="preserve"> </w:t>
      </w:r>
      <w:r w:rsidR="002C63F4" w:rsidRPr="00F16251">
        <w:rPr>
          <w:rFonts w:cstheme="minorHAnsi"/>
          <w:kern w:val="0"/>
          <w14:ligatures w14:val="none"/>
        </w:rPr>
        <w:t>będzie</w:t>
      </w:r>
      <w:r w:rsidR="003B50ED" w:rsidRPr="00F16251">
        <w:rPr>
          <w:rFonts w:cstheme="minorHAnsi"/>
          <w:kern w:val="0"/>
          <w14:ligatures w14:val="none"/>
        </w:rPr>
        <w:t xml:space="preserve"> </w:t>
      </w:r>
      <w:r w:rsidR="002C63F4" w:rsidRPr="00F16251">
        <w:rPr>
          <w:rFonts w:cstheme="minorHAnsi"/>
          <w:kern w:val="0"/>
          <w14:ligatures w14:val="none"/>
        </w:rPr>
        <w:t>możliwa</w:t>
      </w:r>
      <w:r w:rsidR="003B50ED" w:rsidRPr="00F16251">
        <w:rPr>
          <w:rFonts w:cstheme="minorHAnsi"/>
          <w:kern w:val="0"/>
          <w14:ligatures w14:val="none"/>
        </w:rPr>
        <w:t xml:space="preserve"> </w:t>
      </w:r>
      <w:r w:rsidR="002C63F4" w:rsidRPr="00F16251">
        <w:rPr>
          <w:rFonts w:cstheme="minorHAnsi"/>
          <w:kern w:val="0"/>
          <w14:ligatures w14:val="none"/>
        </w:rPr>
        <w:t>jeśli</w:t>
      </w:r>
      <w:r w:rsidR="003B50ED" w:rsidRPr="00F16251">
        <w:rPr>
          <w:rFonts w:cstheme="minorHAnsi"/>
          <w:kern w:val="0"/>
          <w14:ligatures w14:val="none"/>
        </w:rPr>
        <w:t xml:space="preserve"> </w:t>
      </w:r>
      <w:r w:rsidR="002C63F4" w:rsidRPr="00F16251">
        <w:rPr>
          <w:rFonts w:cstheme="minorHAnsi"/>
          <w:kern w:val="0"/>
          <w14:ligatures w14:val="none"/>
        </w:rPr>
        <w:t>nie</w:t>
      </w:r>
      <w:r w:rsidR="003B50ED" w:rsidRPr="00F16251">
        <w:rPr>
          <w:rFonts w:cstheme="minorHAnsi"/>
          <w:kern w:val="0"/>
          <w14:ligatures w14:val="none"/>
        </w:rPr>
        <w:t xml:space="preserve"> </w:t>
      </w:r>
      <w:r w:rsidR="002C63F4" w:rsidRPr="00F16251">
        <w:rPr>
          <w:rFonts w:cstheme="minorHAnsi"/>
          <w:kern w:val="0"/>
          <w14:ligatures w14:val="none"/>
        </w:rPr>
        <w:t>wpłynie</w:t>
      </w:r>
      <w:r w:rsidR="003B50ED" w:rsidRPr="00F16251">
        <w:rPr>
          <w:rFonts w:cstheme="minorHAnsi"/>
          <w:kern w:val="0"/>
          <w14:ligatures w14:val="none"/>
        </w:rPr>
        <w:t xml:space="preserve"> </w:t>
      </w:r>
      <w:r w:rsidR="002C63F4" w:rsidRPr="00F16251">
        <w:rPr>
          <w:rFonts w:cstheme="minorHAnsi"/>
          <w:kern w:val="0"/>
          <w14:ligatures w14:val="none"/>
        </w:rPr>
        <w:t>żaden</w:t>
      </w:r>
      <w:r w:rsidR="003B50ED" w:rsidRPr="00F16251">
        <w:rPr>
          <w:rFonts w:cstheme="minorHAnsi"/>
          <w:kern w:val="0"/>
          <w14:ligatures w14:val="none"/>
        </w:rPr>
        <w:t xml:space="preserve"> </w:t>
      </w:r>
      <w:r w:rsidR="002C63F4" w:rsidRPr="00F16251">
        <w:rPr>
          <w:rFonts w:cstheme="minorHAnsi"/>
          <w:kern w:val="0"/>
          <w14:ligatures w14:val="none"/>
        </w:rPr>
        <w:t>wniosek</w:t>
      </w:r>
      <w:r w:rsidR="003B50ED" w:rsidRPr="00F16251">
        <w:rPr>
          <w:rFonts w:cstheme="minorHAnsi"/>
          <w:kern w:val="0"/>
          <w14:ligatures w14:val="none"/>
        </w:rPr>
        <w:t xml:space="preserve"> </w:t>
      </w:r>
      <w:r w:rsidR="002C63F4" w:rsidRPr="00F16251">
        <w:rPr>
          <w:rFonts w:cstheme="minorHAnsi"/>
          <w:kern w:val="0"/>
          <w14:ligatures w14:val="none"/>
        </w:rPr>
        <w:t>o</w:t>
      </w:r>
      <w:r w:rsidR="003B50ED" w:rsidRPr="00F16251">
        <w:rPr>
          <w:rFonts w:cstheme="minorHAnsi"/>
          <w:kern w:val="0"/>
          <w14:ligatures w14:val="none"/>
        </w:rPr>
        <w:t xml:space="preserve"> </w:t>
      </w:r>
      <w:r w:rsidR="002C63F4" w:rsidRPr="00F16251">
        <w:rPr>
          <w:rFonts w:cstheme="minorHAnsi"/>
          <w:kern w:val="0"/>
          <w14:ligatures w14:val="none"/>
        </w:rPr>
        <w:t>wsparcie</w:t>
      </w:r>
      <w:r w:rsidR="003B50ED" w:rsidRPr="00F16251">
        <w:rPr>
          <w:rFonts w:cstheme="minorHAnsi"/>
          <w:kern w:val="0"/>
          <w14:ligatures w14:val="none"/>
        </w:rPr>
        <w:t xml:space="preserve"> </w:t>
      </w:r>
      <w:r w:rsidR="002C63F4" w:rsidRPr="00F16251">
        <w:rPr>
          <w:rFonts w:cstheme="minorHAnsi"/>
          <w:kern w:val="0"/>
          <w14:ligatures w14:val="none"/>
        </w:rPr>
        <w:t>i</w:t>
      </w:r>
      <w:r w:rsidR="003B50ED" w:rsidRPr="00F16251">
        <w:rPr>
          <w:rFonts w:cstheme="minorHAnsi"/>
          <w:kern w:val="0"/>
          <w14:ligatures w14:val="none"/>
        </w:rPr>
        <w:t xml:space="preserve"> </w:t>
      </w:r>
      <w:r w:rsidR="002C63F4" w:rsidRPr="00F16251">
        <w:rPr>
          <w:rFonts w:cstheme="minorHAnsi"/>
          <w:kern w:val="0"/>
          <w14:ligatures w14:val="none"/>
        </w:rPr>
        <w:t>będzie</w:t>
      </w:r>
      <w:r w:rsidR="003B50ED" w:rsidRPr="00F16251">
        <w:rPr>
          <w:rFonts w:cstheme="minorHAnsi"/>
          <w:kern w:val="0"/>
          <w14:ligatures w14:val="none"/>
        </w:rPr>
        <w:t xml:space="preserve"> </w:t>
      </w:r>
      <w:r w:rsidR="002C63F4" w:rsidRPr="00F16251">
        <w:rPr>
          <w:rFonts w:cstheme="minorHAnsi"/>
          <w:kern w:val="0"/>
          <w14:ligatures w14:val="none"/>
        </w:rPr>
        <w:t>wymagać</w:t>
      </w:r>
      <w:r w:rsidR="003B50ED" w:rsidRPr="00F16251">
        <w:rPr>
          <w:rFonts w:cstheme="minorHAnsi"/>
          <w:kern w:val="0"/>
          <w14:ligatures w14:val="none"/>
        </w:rPr>
        <w:t xml:space="preserve"> </w:t>
      </w:r>
      <w:r w:rsidR="002C63F4" w:rsidRPr="00F16251">
        <w:rPr>
          <w:rFonts w:cstheme="minorHAnsi"/>
          <w:kern w:val="0"/>
          <w14:ligatures w14:val="none"/>
        </w:rPr>
        <w:t>wydłużeniem</w:t>
      </w:r>
      <w:r w:rsidR="003B50ED" w:rsidRPr="00F16251">
        <w:rPr>
          <w:rFonts w:cstheme="minorHAnsi"/>
          <w:kern w:val="0"/>
          <w14:ligatures w14:val="none"/>
        </w:rPr>
        <w:t xml:space="preserve"> </w:t>
      </w:r>
      <w:r w:rsidR="002C63F4" w:rsidRPr="00F16251">
        <w:rPr>
          <w:rFonts w:cstheme="minorHAnsi"/>
          <w:kern w:val="0"/>
          <w14:ligatures w14:val="none"/>
        </w:rPr>
        <w:t>terminu</w:t>
      </w:r>
      <w:r w:rsidR="003B50ED" w:rsidRPr="00F16251">
        <w:rPr>
          <w:rFonts w:cstheme="minorHAnsi"/>
          <w:kern w:val="0"/>
          <w14:ligatures w14:val="none"/>
        </w:rPr>
        <w:t xml:space="preserve"> </w:t>
      </w:r>
      <w:r w:rsidR="002C63F4" w:rsidRPr="00F16251">
        <w:rPr>
          <w:rFonts w:cstheme="minorHAnsi"/>
          <w:kern w:val="0"/>
          <w14:ligatures w14:val="none"/>
        </w:rPr>
        <w:t>składania</w:t>
      </w:r>
      <w:r w:rsidR="003B50ED" w:rsidRPr="00F16251">
        <w:rPr>
          <w:rFonts w:cstheme="minorHAnsi"/>
          <w:kern w:val="0"/>
          <w14:ligatures w14:val="none"/>
        </w:rPr>
        <w:t xml:space="preserve"> </w:t>
      </w:r>
      <w:r w:rsidR="002C63F4" w:rsidRPr="00F16251">
        <w:rPr>
          <w:rFonts w:cstheme="minorHAnsi"/>
          <w:kern w:val="0"/>
          <w14:ligatures w14:val="none"/>
        </w:rPr>
        <w:t>wniosków.</w:t>
      </w:r>
      <w:r w:rsidR="003B50ED" w:rsidRPr="00F16251">
        <w:rPr>
          <w:rFonts w:cstheme="minorHAnsi"/>
          <w:kern w:val="0"/>
          <w14:ligatures w14:val="none"/>
        </w:rPr>
        <w:t xml:space="preserve"> </w:t>
      </w:r>
      <w:r w:rsidR="002C63F4" w:rsidRPr="00F16251">
        <w:rPr>
          <w:rFonts w:cstheme="minorHAnsi"/>
          <w:kern w:val="0"/>
          <w14:ligatures w14:val="none"/>
        </w:rPr>
        <w:t>Zmiany</w:t>
      </w:r>
      <w:r w:rsidR="003B50ED" w:rsidRPr="00F16251">
        <w:rPr>
          <w:rFonts w:cstheme="minorHAnsi"/>
          <w:kern w:val="0"/>
          <w14:ligatures w14:val="none"/>
        </w:rPr>
        <w:t xml:space="preserve"> </w:t>
      </w:r>
      <w:r w:rsidR="002C63F4" w:rsidRPr="00F16251">
        <w:rPr>
          <w:rFonts w:cstheme="minorHAnsi"/>
          <w:kern w:val="0"/>
          <w14:ligatures w14:val="none"/>
        </w:rPr>
        <w:t>Regulaminu</w:t>
      </w:r>
      <w:r w:rsidR="003B50ED" w:rsidRPr="00F16251">
        <w:rPr>
          <w:rFonts w:cstheme="minorHAnsi"/>
          <w:kern w:val="0"/>
          <w14:ligatures w14:val="none"/>
        </w:rPr>
        <w:t xml:space="preserve"> </w:t>
      </w:r>
      <w:r w:rsidR="002C63F4" w:rsidRPr="00F16251">
        <w:rPr>
          <w:rFonts w:cstheme="minorHAnsi"/>
          <w:kern w:val="0"/>
          <w14:ligatures w14:val="none"/>
        </w:rPr>
        <w:t>wynikające</w:t>
      </w:r>
      <w:r w:rsidR="003B50ED" w:rsidRPr="00F16251">
        <w:rPr>
          <w:rFonts w:cstheme="minorHAnsi"/>
          <w:kern w:val="0"/>
          <w14:ligatures w14:val="none"/>
        </w:rPr>
        <w:t xml:space="preserve"> </w:t>
      </w:r>
      <w:r w:rsidR="002C63F4" w:rsidRPr="00F16251">
        <w:rPr>
          <w:rFonts w:cstheme="minorHAnsi"/>
          <w:kern w:val="0"/>
          <w14:ligatures w14:val="none"/>
        </w:rPr>
        <w:t>z</w:t>
      </w:r>
      <w:r w:rsidR="003B50ED" w:rsidRPr="00F16251">
        <w:rPr>
          <w:rFonts w:cstheme="minorHAnsi"/>
          <w:kern w:val="0"/>
          <w14:ligatures w14:val="none"/>
        </w:rPr>
        <w:t xml:space="preserve"> </w:t>
      </w:r>
      <w:r w:rsidR="002C63F4" w:rsidRPr="00F16251">
        <w:rPr>
          <w:rFonts w:cstheme="minorHAnsi"/>
          <w:kern w:val="0"/>
          <w14:ligatures w14:val="none"/>
        </w:rPr>
        <w:t>odrębnych</w:t>
      </w:r>
      <w:r w:rsidR="003B50ED" w:rsidRPr="00F16251">
        <w:rPr>
          <w:rFonts w:cstheme="minorHAnsi"/>
          <w:kern w:val="0"/>
          <w14:ligatures w14:val="none"/>
        </w:rPr>
        <w:t xml:space="preserve"> </w:t>
      </w:r>
      <w:r w:rsidR="002C63F4" w:rsidRPr="00F16251">
        <w:rPr>
          <w:rFonts w:cstheme="minorHAnsi"/>
          <w:kern w:val="0"/>
          <w14:ligatures w14:val="none"/>
        </w:rPr>
        <w:t>przepisów</w:t>
      </w:r>
      <w:r w:rsidR="003B50ED" w:rsidRPr="00F16251">
        <w:rPr>
          <w:rFonts w:cstheme="minorHAnsi"/>
          <w:kern w:val="0"/>
          <w14:ligatures w14:val="none"/>
        </w:rPr>
        <w:t xml:space="preserve"> </w:t>
      </w:r>
      <w:r w:rsidR="002C63F4" w:rsidRPr="00F16251">
        <w:rPr>
          <w:rFonts w:cstheme="minorHAnsi"/>
          <w:kern w:val="0"/>
          <w14:ligatures w14:val="none"/>
        </w:rPr>
        <w:t>lub</w:t>
      </w:r>
      <w:r w:rsidR="003B50ED" w:rsidRPr="00F16251">
        <w:rPr>
          <w:rFonts w:cstheme="minorHAnsi"/>
          <w:kern w:val="0"/>
          <w14:ligatures w14:val="none"/>
        </w:rPr>
        <w:t xml:space="preserve"> </w:t>
      </w:r>
      <w:r w:rsidR="002C63F4" w:rsidRPr="00F16251">
        <w:rPr>
          <w:rFonts w:cstheme="minorHAnsi"/>
          <w:kern w:val="0"/>
          <w14:ligatures w14:val="none"/>
        </w:rPr>
        <w:t>ze</w:t>
      </w:r>
      <w:r w:rsidR="003B50ED" w:rsidRPr="00F16251">
        <w:rPr>
          <w:rFonts w:cstheme="minorHAnsi"/>
          <w:kern w:val="0"/>
          <w14:ligatures w14:val="none"/>
        </w:rPr>
        <w:t xml:space="preserve"> </w:t>
      </w:r>
      <w:r w:rsidR="002C63F4" w:rsidRPr="00F16251">
        <w:rPr>
          <w:rFonts w:cstheme="minorHAnsi"/>
          <w:kern w:val="0"/>
          <w14:ligatures w14:val="none"/>
        </w:rPr>
        <w:t>zmiany</w:t>
      </w:r>
      <w:r w:rsidR="003B50ED" w:rsidRPr="00F16251">
        <w:rPr>
          <w:rFonts w:cstheme="minorHAnsi"/>
          <w:kern w:val="0"/>
          <w14:ligatures w14:val="none"/>
        </w:rPr>
        <w:t xml:space="preserve"> </w:t>
      </w:r>
      <w:r w:rsidR="002C63F4" w:rsidRPr="00F16251">
        <w:rPr>
          <w:rFonts w:cstheme="minorHAnsi"/>
          <w:kern w:val="0"/>
          <w14:ligatures w14:val="none"/>
        </w:rPr>
        <w:t>warunków</w:t>
      </w:r>
      <w:r w:rsidR="003B50ED" w:rsidRPr="00F16251">
        <w:rPr>
          <w:rFonts w:cstheme="minorHAnsi"/>
          <w:kern w:val="0"/>
          <w14:ligatures w14:val="none"/>
        </w:rPr>
        <w:t xml:space="preserve"> </w:t>
      </w:r>
      <w:r w:rsidR="002C63F4" w:rsidRPr="00F16251">
        <w:rPr>
          <w:rFonts w:cstheme="minorHAnsi"/>
          <w:kern w:val="0"/>
          <w14:ligatures w14:val="none"/>
        </w:rPr>
        <w:t>określonych</w:t>
      </w:r>
      <w:r w:rsidR="003B50ED" w:rsidRPr="00F16251">
        <w:rPr>
          <w:rFonts w:cstheme="minorHAnsi"/>
          <w:kern w:val="0"/>
          <w14:ligatures w14:val="none"/>
        </w:rPr>
        <w:t xml:space="preserve"> </w:t>
      </w:r>
      <w:r w:rsidR="002C63F4" w:rsidRPr="00F16251">
        <w:rPr>
          <w:rFonts w:cstheme="minorHAnsi"/>
          <w:kern w:val="0"/>
          <w14:ligatures w14:val="none"/>
        </w:rPr>
        <w:t>w</w:t>
      </w:r>
      <w:r w:rsidR="003B50ED" w:rsidRPr="00F16251">
        <w:rPr>
          <w:rFonts w:cstheme="minorHAnsi"/>
          <w:kern w:val="0"/>
          <w14:ligatures w14:val="none"/>
        </w:rPr>
        <w:t xml:space="preserve"> </w:t>
      </w:r>
      <w:r w:rsidR="002C63F4" w:rsidRPr="00F16251">
        <w:rPr>
          <w:rFonts w:cstheme="minorHAnsi"/>
          <w:kern w:val="0"/>
          <w14:ligatures w14:val="none"/>
        </w:rPr>
        <w:t>przepisach</w:t>
      </w:r>
      <w:r w:rsidR="003B50ED" w:rsidRPr="00F16251">
        <w:rPr>
          <w:rFonts w:cstheme="minorHAnsi"/>
          <w:kern w:val="0"/>
          <w14:ligatures w14:val="none"/>
        </w:rPr>
        <w:t xml:space="preserve"> </w:t>
      </w:r>
      <w:r w:rsidR="002C63F4" w:rsidRPr="00F16251">
        <w:rPr>
          <w:rFonts w:cstheme="minorHAnsi"/>
          <w:kern w:val="0"/>
          <w14:ligatures w14:val="none"/>
        </w:rPr>
        <w:t>regulujących</w:t>
      </w:r>
      <w:r w:rsidR="003B50ED" w:rsidRPr="00F16251">
        <w:rPr>
          <w:rFonts w:cstheme="minorHAnsi"/>
          <w:kern w:val="0"/>
          <w14:ligatures w14:val="none"/>
        </w:rPr>
        <w:t xml:space="preserve"> </w:t>
      </w:r>
      <w:r w:rsidR="002C63F4" w:rsidRPr="00F16251">
        <w:rPr>
          <w:rFonts w:cstheme="minorHAnsi"/>
          <w:kern w:val="0"/>
          <w14:ligatures w14:val="none"/>
        </w:rPr>
        <w:t>zasady</w:t>
      </w:r>
      <w:r w:rsidR="003B50ED" w:rsidRPr="00F16251">
        <w:rPr>
          <w:rFonts w:cstheme="minorHAnsi"/>
          <w:kern w:val="0"/>
          <w14:ligatures w14:val="none"/>
        </w:rPr>
        <w:t xml:space="preserve"> </w:t>
      </w:r>
      <w:r w:rsidR="002C63F4" w:rsidRPr="00F16251">
        <w:rPr>
          <w:rFonts w:cstheme="minorHAnsi"/>
          <w:kern w:val="0"/>
          <w14:ligatures w14:val="none"/>
        </w:rPr>
        <w:t>wsparcia</w:t>
      </w:r>
      <w:r w:rsidR="003B50ED" w:rsidRPr="00F16251">
        <w:rPr>
          <w:rFonts w:cstheme="minorHAnsi"/>
          <w:kern w:val="0"/>
          <w14:ligatures w14:val="none"/>
        </w:rPr>
        <w:t xml:space="preserve"> </w:t>
      </w:r>
      <w:r w:rsidR="002C63F4" w:rsidRPr="00F16251">
        <w:rPr>
          <w:rFonts w:cstheme="minorHAnsi"/>
          <w:kern w:val="0"/>
          <w14:ligatures w14:val="none"/>
        </w:rPr>
        <w:t>-</w:t>
      </w:r>
      <w:r w:rsidR="003B50ED" w:rsidRPr="00F16251">
        <w:rPr>
          <w:rFonts w:cstheme="minorHAnsi"/>
          <w:kern w:val="0"/>
          <w14:ligatures w14:val="none"/>
        </w:rPr>
        <w:t xml:space="preserve"> </w:t>
      </w:r>
      <w:r w:rsidR="002C63F4" w:rsidRPr="00F16251">
        <w:rPr>
          <w:rFonts w:cstheme="minorHAnsi"/>
          <w:kern w:val="0"/>
          <w14:ligatures w14:val="none"/>
        </w:rPr>
        <w:t>będą</w:t>
      </w:r>
      <w:r w:rsidR="003B50ED" w:rsidRPr="00F16251">
        <w:rPr>
          <w:rFonts w:cstheme="minorHAnsi"/>
          <w:kern w:val="0"/>
          <w14:ligatures w14:val="none"/>
        </w:rPr>
        <w:t xml:space="preserve"> </w:t>
      </w:r>
      <w:r w:rsidR="002C63F4" w:rsidRPr="00F16251">
        <w:rPr>
          <w:rFonts w:cstheme="minorHAnsi"/>
          <w:kern w:val="0"/>
          <w14:ligatures w14:val="none"/>
        </w:rPr>
        <w:t>dokonywane</w:t>
      </w:r>
      <w:r w:rsidR="003B50ED" w:rsidRPr="00F16251">
        <w:rPr>
          <w:rFonts w:cstheme="minorHAnsi"/>
          <w:kern w:val="0"/>
          <w14:ligatures w14:val="none"/>
        </w:rPr>
        <w:t xml:space="preserve"> </w:t>
      </w:r>
      <w:r w:rsidR="002C63F4" w:rsidRPr="00F16251">
        <w:rPr>
          <w:rFonts w:cstheme="minorHAnsi"/>
          <w:kern w:val="0"/>
          <w14:ligatures w14:val="none"/>
        </w:rPr>
        <w:t>niezwłocznie</w:t>
      </w:r>
      <w:r w:rsidR="003B50ED" w:rsidRPr="00F16251">
        <w:rPr>
          <w:rFonts w:cstheme="minorHAnsi"/>
          <w:kern w:val="0"/>
          <w14:ligatures w14:val="none"/>
        </w:rPr>
        <w:t xml:space="preserve"> </w:t>
      </w:r>
      <w:r w:rsidR="002C63F4" w:rsidRPr="00F16251">
        <w:rPr>
          <w:rFonts w:cstheme="minorHAnsi"/>
          <w:kern w:val="0"/>
          <w14:ligatures w14:val="none"/>
        </w:rPr>
        <w:t>ze</w:t>
      </w:r>
      <w:r w:rsidR="003B50ED" w:rsidRPr="00F16251">
        <w:rPr>
          <w:rFonts w:cstheme="minorHAnsi"/>
          <w:kern w:val="0"/>
          <w14:ligatures w14:val="none"/>
        </w:rPr>
        <w:t xml:space="preserve"> </w:t>
      </w:r>
      <w:r w:rsidR="002C63F4" w:rsidRPr="00F16251">
        <w:rPr>
          <w:rFonts w:cstheme="minorHAnsi"/>
          <w:kern w:val="0"/>
          <w14:ligatures w14:val="none"/>
        </w:rPr>
        <w:t>wskazaniem</w:t>
      </w:r>
      <w:r w:rsidR="003B50ED" w:rsidRPr="00F16251">
        <w:rPr>
          <w:rFonts w:cstheme="minorHAnsi"/>
          <w:kern w:val="0"/>
          <w14:ligatures w14:val="none"/>
        </w:rPr>
        <w:t xml:space="preserve"> </w:t>
      </w:r>
      <w:r w:rsidR="002C63F4" w:rsidRPr="00F16251">
        <w:rPr>
          <w:rFonts w:cstheme="minorHAnsi"/>
          <w:kern w:val="0"/>
          <w14:ligatures w14:val="none"/>
        </w:rPr>
        <w:t>terminu</w:t>
      </w:r>
      <w:r w:rsidR="003B50ED" w:rsidRPr="00F16251">
        <w:rPr>
          <w:rFonts w:cstheme="minorHAnsi"/>
          <w:kern w:val="0"/>
          <w14:ligatures w14:val="none"/>
        </w:rPr>
        <w:t xml:space="preserve"> </w:t>
      </w:r>
      <w:r w:rsidR="002C63F4" w:rsidRPr="00F16251">
        <w:rPr>
          <w:rFonts w:cstheme="minorHAnsi"/>
          <w:kern w:val="0"/>
          <w14:ligatures w14:val="none"/>
        </w:rPr>
        <w:t>ich</w:t>
      </w:r>
      <w:r w:rsidR="003B50ED" w:rsidRPr="00F16251">
        <w:rPr>
          <w:rFonts w:cstheme="minorHAnsi"/>
          <w:kern w:val="0"/>
          <w14:ligatures w14:val="none"/>
        </w:rPr>
        <w:t xml:space="preserve"> </w:t>
      </w:r>
      <w:r w:rsidR="002C63F4" w:rsidRPr="00F16251">
        <w:rPr>
          <w:rFonts w:cstheme="minorHAnsi"/>
          <w:kern w:val="0"/>
          <w14:ligatures w14:val="none"/>
        </w:rPr>
        <w:t>obowiązywania.</w:t>
      </w:r>
      <w:r w:rsidR="003B50ED" w:rsidRPr="00F16251">
        <w:rPr>
          <w:rFonts w:cstheme="minorHAnsi"/>
          <w:kern w:val="0"/>
          <w14:ligatures w14:val="none"/>
        </w:rPr>
        <w:t xml:space="preserve"> </w:t>
      </w:r>
    </w:p>
    <w:p w14:paraId="6C9BE2FC" w14:textId="1BAA283D" w:rsidR="00130167" w:rsidRPr="00F16251" w:rsidRDefault="002C63F4" w:rsidP="00130167">
      <w:pPr>
        <w:spacing w:line="276" w:lineRule="auto"/>
        <w:ind w:firstLine="360"/>
        <w:jc w:val="both"/>
        <w:rPr>
          <w:rFonts w:cstheme="minorHAnsi"/>
          <w:kern w:val="0"/>
          <w14:ligatures w14:val="none"/>
        </w:rPr>
      </w:pPr>
      <w:r w:rsidRPr="00F16251">
        <w:rPr>
          <w:rFonts w:cstheme="minorHAnsi"/>
          <w:kern w:val="0"/>
          <w14:ligatures w14:val="none"/>
        </w:rPr>
        <w:t>LGD</w:t>
      </w:r>
      <w:r w:rsidR="003B50ED" w:rsidRPr="00F16251">
        <w:rPr>
          <w:rFonts w:cstheme="minorHAnsi"/>
          <w:kern w:val="0"/>
          <w14:ligatures w14:val="none"/>
        </w:rPr>
        <w:t xml:space="preserve"> </w:t>
      </w:r>
      <w:r w:rsidRPr="00F16251">
        <w:rPr>
          <w:rFonts w:cstheme="minorHAnsi"/>
          <w:kern w:val="0"/>
          <w14:ligatures w14:val="none"/>
        </w:rPr>
        <w:t>będzie</w:t>
      </w:r>
      <w:r w:rsidR="003B50ED" w:rsidRPr="00F16251">
        <w:rPr>
          <w:rFonts w:cstheme="minorHAnsi"/>
          <w:kern w:val="0"/>
          <w14:ligatures w14:val="none"/>
        </w:rPr>
        <w:t xml:space="preserve"> </w:t>
      </w:r>
      <w:r w:rsidRPr="00F16251">
        <w:rPr>
          <w:rFonts w:cstheme="minorHAnsi"/>
          <w:kern w:val="0"/>
          <w14:ligatures w14:val="none"/>
        </w:rPr>
        <w:t>mogła</w:t>
      </w:r>
      <w:r w:rsidR="003B50ED" w:rsidRPr="00F16251">
        <w:rPr>
          <w:rFonts w:cstheme="minorHAnsi"/>
          <w:kern w:val="0"/>
          <w14:ligatures w14:val="none"/>
        </w:rPr>
        <w:t xml:space="preserve"> </w:t>
      </w:r>
      <w:r w:rsidRPr="00F16251">
        <w:rPr>
          <w:rFonts w:cstheme="minorHAnsi"/>
          <w:kern w:val="0"/>
          <w14:ligatures w14:val="none"/>
        </w:rPr>
        <w:t>po</w:t>
      </w:r>
      <w:r w:rsidR="003B50ED" w:rsidRPr="00F16251">
        <w:rPr>
          <w:rFonts w:cstheme="minorHAnsi"/>
          <w:kern w:val="0"/>
          <w14:ligatures w14:val="none"/>
        </w:rPr>
        <w:t xml:space="preserve"> </w:t>
      </w:r>
      <w:r w:rsidRPr="00F16251">
        <w:rPr>
          <w:rFonts w:cstheme="minorHAnsi"/>
          <w:kern w:val="0"/>
          <w14:ligatures w14:val="none"/>
        </w:rPr>
        <w:t>akceptacji</w:t>
      </w:r>
      <w:r w:rsidR="003B50ED" w:rsidRPr="00F16251">
        <w:rPr>
          <w:rFonts w:cstheme="minorHAnsi"/>
          <w:kern w:val="0"/>
          <w14:ligatures w14:val="none"/>
        </w:rPr>
        <w:t xml:space="preserve"> </w:t>
      </w:r>
      <w:r w:rsidR="005768FC" w:rsidRPr="00F16251">
        <w:rPr>
          <w:rFonts w:cstheme="minorHAnsi"/>
          <w:kern w:val="0"/>
          <w14:ligatures w14:val="none"/>
        </w:rPr>
        <w:t xml:space="preserve">ZWW </w:t>
      </w:r>
      <w:r w:rsidRPr="00F16251">
        <w:rPr>
          <w:rFonts w:cstheme="minorHAnsi"/>
          <w:kern w:val="0"/>
          <w14:ligatures w14:val="none"/>
        </w:rPr>
        <w:t>unieważnić</w:t>
      </w:r>
      <w:r w:rsidR="003B50ED" w:rsidRPr="00F16251">
        <w:rPr>
          <w:rFonts w:cstheme="minorHAnsi"/>
          <w:kern w:val="0"/>
          <w14:ligatures w14:val="none"/>
        </w:rPr>
        <w:t xml:space="preserve"> </w:t>
      </w:r>
      <w:r w:rsidRPr="00F16251">
        <w:rPr>
          <w:rFonts w:cstheme="minorHAnsi"/>
          <w:kern w:val="0"/>
          <w14:ligatures w14:val="none"/>
        </w:rPr>
        <w:t>nabór</w:t>
      </w:r>
      <w:r w:rsidR="003B50ED" w:rsidRPr="00F16251">
        <w:rPr>
          <w:rFonts w:cstheme="minorHAnsi"/>
          <w:kern w:val="0"/>
          <w14:ligatures w14:val="none"/>
        </w:rPr>
        <w:t xml:space="preserve"> </w:t>
      </w:r>
      <w:r w:rsidRPr="00F16251">
        <w:rPr>
          <w:rFonts w:cstheme="minorHAnsi"/>
          <w:kern w:val="0"/>
          <w14:ligatures w14:val="none"/>
        </w:rPr>
        <w:t>wniosków</w:t>
      </w:r>
      <w:r w:rsidR="003B50ED" w:rsidRPr="00F16251">
        <w:rPr>
          <w:rFonts w:cstheme="minorHAnsi"/>
          <w:kern w:val="0"/>
          <w14:ligatures w14:val="none"/>
        </w:rPr>
        <w:t xml:space="preserve"> </w:t>
      </w:r>
      <w:r w:rsidRPr="00F16251">
        <w:rPr>
          <w:rFonts w:cstheme="minorHAnsi"/>
          <w:kern w:val="0"/>
          <w14:ligatures w14:val="none"/>
        </w:rPr>
        <w:t>o</w:t>
      </w:r>
      <w:r w:rsidR="003B50ED" w:rsidRPr="00F16251">
        <w:rPr>
          <w:rFonts w:cstheme="minorHAnsi"/>
          <w:kern w:val="0"/>
          <w14:ligatures w14:val="none"/>
        </w:rPr>
        <w:t xml:space="preserve"> </w:t>
      </w:r>
      <w:r w:rsidRPr="00F16251">
        <w:rPr>
          <w:rFonts w:cstheme="minorHAnsi"/>
          <w:kern w:val="0"/>
          <w14:ligatures w14:val="none"/>
        </w:rPr>
        <w:t>wsparcie,</w:t>
      </w:r>
      <w:r w:rsidR="003B50ED" w:rsidRPr="00F16251">
        <w:rPr>
          <w:rFonts w:cstheme="minorHAnsi"/>
          <w:kern w:val="0"/>
          <w14:ligatures w14:val="none"/>
        </w:rPr>
        <w:t xml:space="preserve"> </w:t>
      </w:r>
      <w:r w:rsidRPr="00F16251">
        <w:rPr>
          <w:rFonts w:cstheme="minorHAnsi"/>
          <w:kern w:val="0"/>
          <w14:ligatures w14:val="none"/>
        </w:rPr>
        <w:t>jeżeli:</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terminie</w:t>
      </w:r>
      <w:r w:rsidR="003B50ED" w:rsidRPr="00F16251">
        <w:rPr>
          <w:rFonts w:cstheme="minorHAnsi"/>
          <w:kern w:val="0"/>
          <w14:ligatures w14:val="none"/>
        </w:rPr>
        <w:t xml:space="preserve"> </w:t>
      </w:r>
      <w:r w:rsidRPr="00F16251">
        <w:rPr>
          <w:rFonts w:cstheme="minorHAnsi"/>
          <w:kern w:val="0"/>
          <w14:ligatures w14:val="none"/>
        </w:rPr>
        <w:t>składania</w:t>
      </w:r>
      <w:r w:rsidR="003B50ED" w:rsidRPr="00F16251">
        <w:rPr>
          <w:rFonts w:cstheme="minorHAnsi"/>
          <w:kern w:val="0"/>
          <w14:ligatures w14:val="none"/>
        </w:rPr>
        <w:t xml:space="preserve"> </w:t>
      </w:r>
      <w:r w:rsidRPr="00F16251">
        <w:rPr>
          <w:rFonts w:cstheme="minorHAnsi"/>
          <w:kern w:val="0"/>
          <w14:ligatures w14:val="none"/>
        </w:rPr>
        <w:t>wniosków</w:t>
      </w:r>
      <w:r w:rsidR="003B50ED" w:rsidRPr="00F16251">
        <w:rPr>
          <w:rFonts w:cstheme="minorHAnsi"/>
          <w:kern w:val="0"/>
          <w14:ligatures w14:val="none"/>
        </w:rPr>
        <w:t xml:space="preserve"> </w:t>
      </w:r>
      <w:r w:rsidRPr="00F16251">
        <w:rPr>
          <w:rFonts w:cstheme="minorHAnsi"/>
          <w:kern w:val="0"/>
          <w14:ligatures w14:val="none"/>
        </w:rPr>
        <w:t>o</w:t>
      </w:r>
      <w:r w:rsidR="003B50ED" w:rsidRPr="00F16251">
        <w:rPr>
          <w:rFonts w:cstheme="minorHAnsi"/>
          <w:kern w:val="0"/>
          <w14:ligatures w14:val="none"/>
        </w:rPr>
        <w:t xml:space="preserve"> </w:t>
      </w:r>
      <w:r w:rsidRPr="00F16251">
        <w:rPr>
          <w:rFonts w:cstheme="minorHAnsi"/>
          <w:kern w:val="0"/>
          <w14:ligatures w14:val="none"/>
        </w:rPr>
        <w:t>wsparcie</w:t>
      </w:r>
      <w:r w:rsidR="003B50ED" w:rsidRPr="00F16251">
        <w:rPr>
          <w:rFonts w:cstheme="minorHAnsi"/>
          <w:kern w:val="0"/>
          <w14:ligatures w14:val="none"/>
        </w:rPr>
        <w:t xml:space="preserve"> </w:t>
      </w:r>
      <w:r w:rsidRPr="00F16251">
        <w:rPr>
          <w:rFonts w:cstheme="minorHAnsi"/>
          <w:kern w:val="0"/>
          <w14:ligatures w14:val="none"/>
        </w:rPr>
        <w:t>nie</w:t>
      </w:r>
      <w:r w:rsidR="003B50ED" w:rsidRPr="00F16251">
        <w:rPr>
          <w:rFonts w:cstheme="minorHAnsi"/>
          <w:kern w:val="0"/>
          <w14:ligatures w14:val="none"/>
        </w:rPr>
        <w:t xml:space="preserve"> </w:t>
      </w:r>
      <w:r w:rsidRPr="00F16251">
        <w:rPr>
          <w:rFonts w:cstheme="minorHAnsi"/>
          <w:kern w:val="0"/>
          <w14:ligatures w14:val="none"/>
        </w:rPr>
        <w:t>złożono</w:t>
      </w:r>
      <w:r w:rsidR="003B50ED" w:rsidRPr="00F16251">
        <w:rPr>
          <w:rFonts w:cstheme="minorHAnsi"/>
          <w:kern w:val="0"/>
          <w14:ligatures w14:val="none"/>
        </w:rPr>
        <w:t xml:space="preserve"> </w:t>
      </w:r>
      <w:r w:rsidRPr="00F16251">
        <w:rPr>
          <w:rFonts w:cstheme="minorHAnsi"/>
          <w:kern w:val="0"/>
          <w14:ligatures w14:val="none"/>
        </w:rPr>
        <w:t>wniosku</w:t>
      </w:r>
      <w:r w:rsidR="003B50ED" w:rsidRPr="00F16251">
        <w:rPr>
          <w:rFonts w:cstheme="minorHAnsi"/>
          <w:kern w:val="0"/>
          <w14:ligatures w14:val="none"/>
        </w:rPr>
        <w:t xml:space="preserve"> </w:t>
      </w:r>
      <w:r w:rsidRPr="00F16251">
        <w:rPr>
          <w:rFonts w:cstheme="minorHAnsi"/>
          <w:kern w:val="0"/>
          <w14:ligatures w14:val="none"/>
        </w:rPr>
        <w:t>o</w:t>
      </w:r>
      <w:r w:rsidR="003B50ED" w:rsidRPr="00F16251">
        <w:rPr>
          <w:rFonts w:cstheme="minorHAnsi"/>
          <w:kern w:val="0"/>
          <w14:ligatures w14:val="none"/>
        </w:rPr>
        <w:t xml:space="preserve"> </w:t>
      </w:r>
      <w:r w:rsidRPr="00F16251">
        <w:rPr>
          <w:rFonts w:cstheme="minorHAnsi"/>
          <w:kern w:val="0"/>
          <w14:ligatures w14:val="none"/>
        </w:rPr>
        <w:t>wsparcie</w:t>
      </w:r>
      <w:r w:rsidR="003B50ED" w:rsidRPr="00F16251">
        <w:rPr>
          <w:rFonts w:cstheme="minorHAnsi"/>
          <w:kern w:val="0"/>
          <w14:ligatures w14:val="none"/>
        </w:rPr>
        <w:t xml:space="preserve"> </w:t>
      </w:r>
      <w:r w:rsidRPr="00F16251">
        <w:rPr>
          <w:rFonts w:cstheme="minorHAnsi"/>
          <w:kern w:val="0"/>
          <w14:ligatures w14:val="none"/>
        </w:rPr>
        <w:t>lub</w:t>
      </w:r>
      <w:r w:rsidR="003B50ED" w:rsidRPr="00F16251">
        <w:rPr>
          <w:rFonts w:cstheme="minorHAnsi"/>
          <w:kern w:val="0"/>
          <w14:ligatures w14:val="none"/>
        </w:rPr>
        <w:t xml:space="preserve"> </w:t>
      </w:r>
      <w:r w:rsidRPr="00F16251">
        <w:rPr>
          <w:rFonts w:cstheme="minorHAnsi"/>
          <w:kern w:val="0"/>
          <w14:ligatures w14:val="none"/>
        </w:rPr>
        <w:t>wystąpiła</w:t>
      </w:r>
      <w:r w:rsidR="003B50ED" w:rsidRPr="00F16251">
        <w:rPr>
          <w:rFonts w:cstheme="minorHAnsi"/>
          <w:kern w:val="0"/>
          <w14:ligatures w14:val="none"/>
        </w:rPr>
        <w:t xml:space="preserve"> </w:t>
      </w:r>
      <w:r w:rsidRPr="00F16251">
        <w:rPr>
          <w:rFonts w:cstheme="minorHAnsi"/>
          <w:kern w:val="0"/>
          <w14:ligatures w14:val="none"/>
        </w:rPr>
        <w:t>istotna</w:t>
      </w:r>
      <w:r w:rsidR="003B50ED" w:rsidRPr="00F16251">
        <w:rPr>
          <w:rFonts w:cstheme="minorHAnsi"/>
          <w:kern w:val="0"/>
          <w14:ligatures w14:val="none"/>
        </w:rPr>
        <w:t xml:space="preserve"> </w:t>
      </w:r>
      <w:r w:rsidRPr="00F16251">
        <w:rPr>
          <w:rFonts w:cstheme="minorHAnsi"/>
          <w:kern w:val="0"/>
          <w14:ligatures w14:val="none"/>
        </w:rPr>
        <w:t>zmiana</w:t>
      </w:r>
      <w:r w:rsidR="003B50ED" w:rsidRPr="00F16251">
        <w:rPr>
          <w:rFonts w:cstheme="minorHAnsi"/>
          <w:kern w:val="0"/>
          <w14:ligatures w14:val="none"/>
        </w:rPr>
        <w:t xml:space="preserve"> </w:t>
      </w:r>
      <w:r w:rsidRPr="00F16251">
        <w:rPr>
          <w:rFonts w:cstheme="minorHAnsi"/>
          <w:kern w:val="0"/>
          <w14:ligatures w14:val="none"/>
        </w:rPr>
        <w:t>okoliczności</w:t>
      </w:r>
      <w:r w:rsidR="003B50ED" w:rsidRPr="00F16251">
        <w:rPr>
          <w:rFonts w:cstheme="minorHAnsi"/>
          <w:kern w:val="0"/>
          <w14:ligatures w14:val="none"/>
        </w:rPr>
        <w:t xml:space="preserve"> </w:t>
      </w:r>
      <w:r w:rsidRPr="00F16251">
        <w:rPr>
          <w:rFonts w:cstheme="minorHAnsi"/>
          <w:kern w:val="0"/>
          <w14:ligatures w14:val="none"/>
        </w:rPr>
        <w:t>powodująca,</w:t>
      </w:r>
      <w:r w:rsidR="003B50ED" w:rsidRPr="00F16251">
        <w:rPr>
          <w:rFonts w:cstheme="minorHAnsi"/>
          <w:kern w:val="0"/>
          <w14:ligatures w14:val="none"/>
        </w:rPr>
        <w:t xml:space="preserve"> </w:t>
      </w:r>
      <w:r w:rsidRPr="00F16251">
        <w:rPr>
          <w:rFonts w:cstheme="minorHAnsi"/>
          <w:kern w:val="0"/>
          <w14:ligatures w14:val="none"/>
        </w:rPr>
        <w:t>że</w:t>
      </w:r>
      <w:r w:rsidR="003B50ED" w:rsidRPr="00F16251">
        <w:rPr>
          <w:rFonts w:cstheme="minorHAnsi"/>
          <w:kern w:val="0"/>
          <w14:ligatures w14:val="none"/>
        </w:rPr>
        <w:t xml:space="preserve"> </w:t>
      </w:r>
      <w:r w:rsidRPr="00F16251">
        <w:rPr>
          <w:rFonts w:cstheme="minorHAnsi"/>
          <w:kern w:val="0"/>
          <w14:ligatures w14:val="none"/>
        </w:rPr>
        <w:t>wybór</w:t>
      </w:r>
      <w:r w:rsidR="003B50ED" w:rsidRPr="00F16251">
        <w:rPr>
          <w:rFonts w:cstheme="minorHAnsi"/>
          <w:kern w:val="0"/>
          <w14:ligatures w14:val="none"/>
        </w:rPr>
        <w:t xml:space="preserve"> </w:t>
      </w:r>
      <w:r w:rsidRPr="00F16251">
        <w:rPr>
          <w:rFonts w:cstheme="minorHAnsi"/>
          <w:kern w:val="0"/>
          <w14:ligatures w14:val="none"/>
        </w:rPr>
        <w:t>operacji</w:t>
      </w:r>
      <w:r w:rsidR="003B50ED" w:rsidRPr="00F16251">
        <w:rPr>
          <w:rFonts w:cstheme="minorHAnsi"/>
          <w:kern w:val="0"/>
          <w14:ligatures w14:val="none"/>
        </w:rPr>
        <w:t xml:space="preserve"> </w:t>
      </w:r>
      <w:r w:rsidRPr="00F16251">
        <w:rPr>
          <w:rFonts w:cstheme="minorHAnsi"/>
          <w:kern w:val="0"/>
          <w14:ligatures w14:val="none"/>
        </w:rPr>
        <w:t>nie</w:t>
      </w:r>
      <w:r w:rsidR="003B50ED" w:rsidRPr="00F16251">
        <w:rPr>
          <w:rFonts w:cstheme="minorHAnsi"/>
          <w:kern w:val="0"/>
          <w14:ligatures w14:val="none"/>
        </w:rPr>
        <w:t xml:space="preserve"> </w:t>
      </w:r>
      <w:r w:rsidRPr="00F16251">
        <w:rPr>
          <w:rFonts w:cstheme="minorHAnsi"/>
          <w:kern w:val="0"/>
          <w14:ligatures w14:val="none"/>
        </w:rPr>
        <w:t>leży</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interesie</w:t>
      </w:r>
      <w:r w:rsidR="003B50ED" w:rsidRPr="00F16251">
        <w:rPr>
          <w:rFonts w:cstheme="minorHAnsi"/>
          <w:kern w:val="0"/>
          <w14:ligatures w14:val="none"/>
        </w:rPr>
        <w:t xml:space="preserve"> </w:t>
      </w:r>
      <w:r w:rsidRPr="00F16251">
        <w:rPr>
          <w:rFonts w:cstheme="minorHAnsi"/>
          <w:kern w:val="0"/>
          <w14:ligatures w14:val="none"/>
        </w:rPr>
        <w:t>publicznym,</w:t>
      </w:r>
      <w:r w:rsidR="003B50ED" w:rsidRPr="00F16251">
        <w:rPr>
          <w:rFonts w:cstheme="minorHAnsi"/>
          <w:kern w:val="0"/>
          <w14:ligatures w14:val="none"/>
        </w:rPr>
        <w:t xml:space="preserve"> </w:t>
      </w:r>
      <w:r w:rsidRPr="00F16251">
        <w:rPr>
          <w:rFonts w:cstheme="minorHAnsi"/>
          <w:kern w:val="0"/>
          <w14:ligatures w14:val="none"/>
        </w:rPr>
        <w:t>czego</w:t>
      </w:r>
      <w:r w:rsidR="003B50ED" w:rsidRPr="00F16251">
        <w:rPr>
          <w:rFonts w:cstheme="minorHAnsi"/>
          <w:kern w:val="0"/>
          <w14:ligatures w14:val="none"/>
        </w:rPr>
        <w:t xml:space="preserve"> </w:t>
      </w:r>
      <w:r w:rsidRPr="00F16251">
        <w:rPr>
          <w:rFonts w:cstheme="minorHAnsi"/>
          <w:kern w:val="0"/>
          <w14:ligatures w14:val="none"/>
        </w:rPr>
        <w:t>nie</w:t>
      </w:r>
      <w:r w:rsidR="003B50ED" w:rsidRPr="00F16251">
        <w:rPr>
          <w:rFonts w:cstheme="minorHAnsi"/>
          <w:kern w:val="0"/>
          <w14:ligatures w14:val="none"/>
        </w:rPr>
        <w:t xml:space="preserve"> </w:t>
      </w:r>
      <w:r w:rsidRPr="00F16251">
        <w:rPr>
          <w:rFonts w:cstheme="minorHAnsi"/>
          <w:kern w:val="0"/>
          <w14:ligatures w14:val="none"/>
        </w:rPr>
        <w:t>można</w:t>
      </w:r>
      <w:r w:rsidR="003B50ED" w:rsidRPr="00F16251">
        <w:rPr>
          <w:rFonts w:cstheme="minorHAnsi"/>
          <w:kern w:val="0"/>
          <w14:ligatures w14:val="none"/>
        </w:rPr>
        <w:t xml:space="preserve"> </w:t>
      </w:r>
      <w:r w:rsidRPr="00F16251">
        <w:rPr>
          <w:rFonts w:cstheme="minorHAnsi"/>
          <w:kern w:val="0"/>
          <w14:ligatures w14:val="none"/>
        </w:rPr>
        <w:t>było</w:t>
      </w:r>
      <w:r w:rsidR="003B50ED" w:rsidRPr="00F16251">
        <w:rPr>
          <w:rFonts w:cstheme="minorHAnsi"/>
          <w:kern w:val="0"/>
          <w14:ligatures w14:val="none"/>
        </w:rPr>
        <w:t xml:space="preserve"> </w:t>
      </w:r>
      <w:r w:rsidRPr="00F16251">
        <w:rPr>
          <w:rFonts w:cstheme="minorHAnsi"/>
          <w:kern w:val="0"/>
          <w14:ligatures w14:val="none"/>
        </w:rPr>
        <w:t>wcześniej</w:t>
      </w:r>
      <w:r w:rsidR="003B50ED" w:rsidRPr="00F16251">
        <w:rPr>
          <w:rFonts w:cstheme="minorHAnsi"/>
          <w:kern w:val="0"/>
          <w14:ligatures w14:val="none"/>
        </w:rPr>
        <w:t xml:space="preserve"> </w:t>
      </w:r>
      <w:r w:rsidRPr="00F16251">
        <w:rPr>
          <w:rFonts w:cstheme="minorHAnsi"/>
          <w:kern w:val="0"/>
          <w14:ligatures w14:val="none"/>
        </w:rPr>
        <w:t>przewidzieć,</w:t>
      </w:r>
      <w:r w:rsidR="003B50ED" w:rsidRPr="00F16251">
        <w:rPr>
          <w:rFonts w:cstheme="minorHAnsi"/>
          <w:kern w:val="0"/>
          <w14:ligatures w14:val="none"/>
        </w:rPr>
        <w:t xml:space="preserve"> </w:t>
      </w:r>
      <w:r w:rsidRPr="00F16251">
        <w:rPr>
          <w:rFonts w:cstheme="minorHAnsi"/>
          <w:kern w:val="0"/>
          <w14:ligatures w14:val="none"/>
        </w:rPr>
        <w:t>lub</w:t>
      </w:r>
      <w:r w:rsidR="003B50ED" w:rsidRPr="00F16251">
        <w:rPr>
          <w:rFonts w:cstheme="minorHAnsi"/>
          <w:kern w:val="0"/>
          <w14:ligatures w14:val="none"/>
        </w:rPr>
        <w:t xml:space="preserve"> </w:t>
      </w:r>
      <w:r w:rsidRPr="00F16251">
        <w:rPr>
          <w:rFonts w:cstheme="minorHAnsi"/>
          <w:kern w:val="0"/>
          <w14:ligatures w14:val="none"/>
        </w:rPr>
        <w:t>postępowanie</w:t>
      </w:r>
      <w:r w:rsidR="003B50ED" w:rsidRPr="00F16251">
        <w:rPr>
          <w:rFonts w:cstheme="minorHAnsi"/>
          <w:kern w:val="0"/>
          <w14:ligatures w14:val="none"/>
        </w:rPr>
        <w:t xml:space="preserve"> </w:t>
      </w:r>
      <w:r w:rsidRPr="00F16251">
        <w:rPr>
          <w:rFonts w:cstheme="minorHAnsi"/>
          <w:kern w:val="0"/>
          <w14:ligatures w14:val="none"/>
        </w:rPr>
        <w:t>jest</w:t>
      </w:r>
      <w:r w:rsidR="003B50ED" w:rsidRPr="00F16251">
        <w:rPr>
          <w:rFonts w:cstheme="minorHAnsi"/>
          <w:kern w:val="0"/>
          <w14:ligatures w14:val="none"/>
        </w:rPr>
        <w:t xml:space="preserve"> </w:t>
      </w:r>
      <w:r w:rsidRPr="00F16251">
        <w:rPr>
          <w:rFonts w:cstheme="minorHAnsi"/>
          <w:kern w:val="0"/>
          <w14:ligatures w14:val="none"/>
        </w:rPr>
        <w:t>obarczone</w:t>
      </w:r>
      <w:r w:rsidR="003B50ED" w:rsidRPr="00F16251">
        <w:rPr>
          <w:rFonts w:cstheme="minorHAnsi"/>
          <w:kern w:val="0"/>
          <w14:ligatures w14:val="none"/>
        </w:rPr>
        <w:t xml:space="preserve"> </w:t>
      </w:r>
      <w:r w:rsidRPr="00F16251">
        <w:rPr>
          <w:rFonts w:cstheme="minorHAnsi"/>
          <w:kern w:val="0"/>
          <w14:ligatures w14:val="none"/>
        </w:rPr>
        <w:t>niemożliwą</w:t>
      </w:r>
      <w:r w:rsidR="003B50ED" w:rsidRPr="00F16251">
        <w:rPr>
          <w:rFonts w:cstheme="minorHAnsi"/>
          <w:kern w:val="0"/>
          <w14:ligatures w14:val="none"/>
        </w:rPr>
        <w:t xml:space="preserve"> </w:t>
      </w:r>
      <w:r w:rsidRPr="00F16251">
        <w:rPr>
          <w:rFonts w:cstheme="minorHAnsi"/>
          <w:kern w:val="0"/>
          <w14:ligatures w14:val="none"/>
        </w:rPr>
        <w:t>do</w:t>
      </w:r>
      <w:r w:rsidR="003B50ED" w:rsidRPr="00F16251">
        <w:rPr>
          <w:rFonts w:cstheme="minorHAnsi"/>
          <w:kern w:val="0"/>
          <w14:ligatures w14:val="none"/>
        </w:rPr>
        <w:t xml:space="preserve"> </w:t>
      </w:r>
      <w:r w:rsidRPr="00F16251">
        <w:rPr>
          <w:rFonts w:cstheme="minorHAnsi"/>
          <w:kern w:val="0"/>
          <w14:ligatures w14:val="none"/>
        </w:rPr>
        <w:t>usunięcia</w:t>
      </w:r>
      <w:r w:rsidR="003B50ED" w:rsidRPr="00F16251">
        <w:rPr>
          <w:rFonts w:cstheme="minorHAnsi"/>
          <w:kern w:val="0"/>
          <w14:ligatures w14:val="none"/>
        </w:rPr>
        <w:t xml:space="preserve"> </w:t>
      </w:r>
      <w:r w:rsidRPr="00F16251">
        <w:rPr>
          <w:rFonts w:cstheme="minorHAnsi"/>
          <w:kern w:val="0"/>
          <w14:ligatures w14:val="none"/>
        </w:rPr>
        <w:t>wadą</w:t>
      </w:r>
      <w:r w:rsidR="003B50ED" w:rsidRPr="00F16251">
        <w:rPr>
          <w:rFonts w:cstheme="minorHAnsi"/>
          <w:kern w:val="0"/>
          <w14:ligatures w14:val="none"/>
        </w:rPr>
        <w:t xml:space="preserve"> </w:t>
      </w:r>
      <w:r w:rsidRPr="00F16251">
        <w:rPr>
          <w:rFonts w:cstheme="minorHAnsi"/>
          <w:kern w:val="0"/>
          <w14:ligatures w14:val="none"/>
        </w:rPr>
        <w:t>prawną.</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przypadku</w:t>
      </w:r>
      <w:r w:rsidR="003B50ED" w:rsidRPr="00F16251">
        <w:rPr>
          <w:rFonts w:cstheme="minorHAnsi"/>
          <w:kern w:val="0"/>
          <w14:ligatures w14:val="none"/>
        </w:rPr>
        <w:t xml:space="preserve"> </w:t>
      </w:r>
      <w:r w:rsidRPr="00F16251">
        <w:rPr>
          <w:rFonts w:cstheme="minorHAnsi"/>
          <w:kern w:val="0"/>
          <w14:ligatures w14:val="none"/>
        </w:rPr>
        <w:t>unieważnienia</w:t>
      </w:r>
      <w:r w:rsidR="003B50ED" w:rsidRPr="00F16251">
        <w:rPr>
          <w:rFonts w:cstheme="minorHAnsi"/>
          <w:kern w:val="0"/>
          <w14:ligatures w14:val="none"/>
        </w:rPr>
        <w:t xml:space="preserve"> </w:t>
      </w:r>
      <w:r w:rsidRPr="00F16251">
        <w:rPr>
          <w:rFonts w:cstheme="minorHAnsi"/>
          <w:kern w:val="0"/>
          <w14:ligatures w14:val="none"/>
        </w:rPr>
        <w:t>naboru</w:t>
      </w:r>
      <w:r w:rsidR="003B50ED" w:rsidRPr="00F16251">
        <w:rPr>
          <w:rFonts w:cstheme="minorHAnsi"/>
          <w:kern w:val="0"/>
          <w14:ligatures w14:val="none"/>
        </w:rPr>
        <w:t xml:space="preserve"> </w:t>
      </w:r>
      <w:r w:rsidRPr="00F16251">
        <w:rPr>
          <w:rFonts w:cstheme="minorHAnsi"/>
          <w:kern w:val="0"/>
          <w14:ligatures w14:val="none"/>
        </w:rPr>
        <w:t>Wnioskodawcom</w:t>
      </w:r>
      <w:r w:rsidR="003B50ED" w:rsidRPr="00F16251">
        <w:rPr>
          <w:rFonts w:cstheme="minorHAnsi"/>
          <w:kern w:val="0"/>
          <w14:ligatures w14:val="none"/>
        </w:rPr>
        <w:t xml:space="preserve"> </w:t>
      </w:r>
      <w:r w:rsidRPr="00F16251">
        <w:rPr>
          <w:rFonts w:cstheme="minorHAnsi"/>
          <w:kern w:val="0"/>
          <w14:ligatures w14:val="none"/>
        </w:rPr>
        <w:t>nie</w:t>
      </w:r>
      <w:r w:rsidR="003B50ED" w:rsidRPr="00F16251">
        <w:rPr>
          <w:rFonts w:cstheme="minorHAnsi"/>
          <w:kern w:val="0"/>
          <w14:ligatures w14:val="none"/>
        </w:rPr>
        <w:t xml:space="preserve"> </w:t>
      </w:r>
      <w:r w:rsidRPr="00F16251">
        <w:rPr>
          <w:rFonts w:cstheme="minorHAnsi"/>
          <w:kern w:val="0"/>
          <w14:ligatures w14:val="none"/>
        </w:rPr>
        <w:t>będzie</w:t>
      </w:r>
      <w:r w:rsidR="003B50ED" w:rsidRPr="00F16251">
        <w:rPr>
          <w:rFonts w:cstheme="minorHAnsi"/>
          <w:kern w:val="0"/>
          <w14:ligatures w14:val="none"/>
        </w:rPr>
        <w:t xml:space="preserve"> </w:t>
      </w:r>
      <w:r w:rsidRPr="00F16251">
        <w:rPr>
          <w:rFonts w:cstheme="minorHAnsi"/>
          <w:kern w:val="0"/>
          <w14:ligatures w14:val="none"/>
        </w:rPr>
        <w:t>przysługiwać</w:t>
      </w:r>
      <w:r w:rsidR="003B50ED" w:rsidRPr="00F16251">
        <w:rPr>
          <w:rFonts w:cstheme="minorHAnsi"/>
          <w:kern w:val="0"/>
          <w14:ligatures w14:val="none"/>
        </w:rPr>
        <w:t xml:space="preserve"> </w:t>
      </w:r>
      <w:r w:rsidRPr="00F16251">
        <w:rPr>
          <w:rFonts w:cstheme="minorHAnsi"/>
          <w:kern w:val="0"/>
          <w14:ligatures w14:val="none"/>
        </w:rPr>
        <w:t>prawo</w:t>
      </w:r>
      <w:r w:rsidR="003B50ED" w:rsidRPr="00F16251">
        <w:rPr>
          <w:rFonts w:cstheme="minorHAnsi"/>
          <w:kern w:val="0"/>
          <w14:ligatures w14:val="none"/>
        </w:rPr>
        <w:t xml:space="preserve"> </w:t>
      </w:r>
      <w:r w:rsidRPr="00F16251">
        <w:rPr>
          <w:rFonts w:cstheme="minorHAnsi"/>
          <w:kern w:val="0"/>
          <w14:ligatures w14:val="none"/>
        </w:rPr>
        <w:t>wniesienia</w:t>
      </w:r>
      <w:r w:rsidR="003B50ED" w:rsidRPr="00F16251">
        <w:rPr>
          <w:rFonts w:cstheme="minorHAnsi"/>
          <w:kern w:val="0"/>
          <w14:ligatures w14:val="none"/>
        </w:rPr>
        <w:t xml:space="preserve"> </w:t>
      </w:r>
      <w:r w:rsidRPr="00F16251">
        <w:rPr>
          <w:rFonts w:cstheme="minorHAnsi"/>
          <w:kern w:val="0"/>
          <w14:ligatures w14:val="none"/>
        </w:rPr>
        <w:t>protestu.</w:t>
      </w:r>
    </w:p>
    <w:p w14:paraId="4D8C6C9B" w14:textId="66E7FB2D" w:rsidR="002C63F4" w:rsidRPr="00F16251" w:rsidRDefault="002C63F4" w:rsidP="00130167">
      <w:pPr>
        <w:spacing w:line="276" w:lineRule="auto"/>
        <w:ind w:firstLine="360"/>
        <w:jc w:val="both"/>
        <w:rPr>
          <w:rFonts w:cstheme="minorHAnsi"/>
          <w:kern w:val="0"/>
          <w14:ligatures w14:val="none"/>
        </w:rPr>
      </w:pPr>
      <w:r w:rsidRPr="00F16251">
        <w:rPr>
          <w:rFonts w:cstheme="minorHAnsi"/>
          <w:kern w:val="0"/>
          <w14:ligatures w14:val="none"/>
        </w:rPr>
        <w:t>Wsparcie</w:t>
      </w:r>
      <w:r w:rsidR="003B50ED" w:rsidRPr="00F16251">
        <w:rPr>
          <w:rFonts w:cstheme="minorHAnsi"/>
          <w:kern w:val="0"/>
          <w14:ligatures w14:val="none"/>
        </w:rPr>
        <w:t xml:space="preserve"> </w:t>
      </w:r>
      <w:r w:rsidRPr="00F16251">
        <w:rPr>
          <w:rFonts w:cstheme="minorHAnsi"/>
          <w:kern w:val="0"/>
          <w14:ligatures w14:val="none"/>
        </w:rPr>
        <w:t>na</w:t>
      </w:r>
      <w:r w:rsidR="003B50ED" w:rsidRPr="00F16251">
        <w:rPr>
          <w:rFonts w:cstheme="minorHAnsi"/>
          <w:kern w:val="0"/>
          <w14:ligatures w14:val="none"/>
        </w:rPr>
        <w:t xml:space="preserve"> </w:t>
      </w:r>
      <w:r w:rsidRPr="00F16251">
        <w:rPr>
          <w:rFonts w:cstheme="minorHAnsi"/>
          <w:kern w:val="0"/>
          <w14:ligatures w14:val="none"/>
        </w:rPr>
        <w:t>Wdrażanie</w:t>
      </w:r>
      <w:r w:rsidR="003B50ED" w:rsidRPr="00F16251">
        <w:rPr>
          <w:rFonts w:cstheme="minorHAnsi"/>
          <w:kern w:val="0"/>
          <w14:ligatures w14:val="none"/>
        </w:rPr>
        <w:t xml:space="preserve"> </w:t>
      </w:r>
      <w:r w:rsidRPr="00F16251">
        <w:rPr>
          <w:rFonts w:cstheme="minorHAnsi"/>
          <w:kern w:val="0"/>
          <w14:ligatures w14:val="none"/>
        </w:rPr>
        <w:t>LSR</w:t>
      </w:r>
      <w:r w:rsidR="003B50ED" w:rsidRPr="00F16251">
        <w:rPr>
          <w:rFonts w:cstheme="minorHAnsi"/>
          <w:kern w:val="0"/>
          <w14:ligatures w14:val="none"/>
        </w:rPr>
        <w:t xml:space="preserve"> </w:t>
      </w:r>
      <w:r w:rsidRPr="00F16251">
        <w:rPr>
          <w:rFonts w:cstheme="minorHAnsi"/>
          <w:kern w:val="0"/>
          <w14:ligatures w14:val="none"/>
        </w:rPr>
        <w:t>będzie</w:t>
      </w:r>
      <w:r w:rsidR="003B50ED" w:rsidRPr="00F16251">
        <w:rPr>
          <w:rFonts w:cstheme="minorHAnsi"/>
          <w:kern w:val="0"/>
          <w14:ligatures w14:val="none"/>
        </w:rPr>
        <w:t xml:space="preserve"> </w:t>
      </w:r>
      <w:r w:rsidRPr="00F16251">
        <w:rPr>
          <w:rFonts w:cstheme="minorHAnsi"/>
          <w:kern w:val="0"/>
          <w14:ligatures w14:val="none"/>
        </w:rPr>
        <w:t>udzielane</w:t>
      </w:r>
      <w:r w:rsidR="003B50ED" w:rsidRPr="00F16251">
        <w:rPr>
          <w:rFonts w:cstheme="minorHAnsi"/>
          <w:kern w:val="0"/>
          <w14:ligatures w14:val="none"/>
        </w:rPr>
        <w:t xml:space="preserve"> </w:t>
      </w:r>
      <w:r w:rsidRPr="00F16251">
        <w:rPr>
          <w:rFonts w:cstheme="minorHAnsi"/>
          <w:kern w:val="0"/>
          <w14:ligatures w14:val="none"/>
        </w:rPr>
        <w:t>Wnioskodawcy,</w:t>
      </w:r>
      <w:r w:rsidR="003B50ED" w:rsidRPr="00F16251">
        <w:rPr>
          <w:rFonts w:cstheme="minorHAnsi"/>
          <w:kern w:val="0"/>
          <w14:ligatures w14:val="none"/>
        </w:rPr>
        <w:t xml:space="preserve"> </w:t>
      </w:r>
      <w:r w:rsidRPr="00F16251">
        <w:rPr>
          <w:rFonts w:cstheme="minorHAnsi"/>
          <w:kern w:val="0"/>
          <w14:ligatures w14:val="none"/>
        </w:rPr>
        <w:t>na</w:t>
      </w:r>
      <w:r w:rsidR="003B50ED" w:rsidRPr="00F16251">
        <w:rPr>
          <w:rFonts w:cstheme="minorHAnsi"/>
          <w:kern w:val="0"/>
          <w14:ligatures w14:val="none"/>
        </w:rPr>
        <w:t xml:space="preserve"> </w:t>
      </w:r>
      <w:r w:rsidRPr="00F16251">
        <w:rPr>
          <w:rFonts w:cstheme="minorHAnsi"/>
          <w:kern w:val="0"/>
          <w14:ligatures w14:val="none"/>
        </w:rPr>
        <w:t>jego</w:t>
      </w:r>
      <w:r w:rsidR="003B50ED" w:rsidRPr="00F16251">
        <w:rPr>
          <w:rFonts w:cstheme="minorHAnsi"/>
          <w:kern w:val="0"/>
          <w14:ligatures w14:val="none"/>
        </w:rPr>
        <w:t xml:space="preserve"> </w:t>
      </w:r>
      <w:r w:rsidRPr="00F16251">
        <w:rPr>
          <w:rFonts w:cstheme="minorHAnsi"/>
          <w:kern w:val="0"/>
          <w14:ligatures w14:val="none"/>
        </w:rPr>
        <w:t>wniosek,</w:t>
      </w:r>
      <w:r w:rsidR="003B50ED" w:rsidRPr="00F16251">
        <w:rPr>
          <w:rFonts w:cstheme="minorHAnsi"/>
          <w:kern w:val="0"/>
          <w14:ligatures w14:val="none"/>
        </w:rPr>
        <w:t xml:space="preserve"> </w:t>
      </w:r>
      <w:r w:rsidRPr="00F16251">
        <w:rPr>
          <w:rFonts w:cstheme="minorHAnsi"/>
          <w:kern w:val="0"/>
          <w14:ligatures w14:val="none"/>
        </w:rPr>
        <w:t>jeżeli</w:t>
      </w:r>
      <w:r w:rsidR="003B50ED" w:rsidRPr="00F16251">
        <w:rPr>
          <w:rFonts w:cstheme="minorHAnsi"/>
          <w:kern w:val="0"/>
          <w14:ligatures w14:val="none"/>
        </w:rPr>
        <w:t xml:space="preserve"> </w:t>
      </w:r>
      <w:r w:rsidRPr="00F16251">
        <w:rPr>
          <w:rFonts w:cstheme="minorHAnsi"/>
          <w:kern w:val="0"/>
          <w14:ligatures w14:val="none"/>
        </w:rPr>
        <w:t>będą</w:t>
      </w:r>
      <w:r w:rsidR="003B50ED" w:rsidRPr="00F16251">
        <w:rPr>
          <w:rFonts w:cstheme="minorHAnsi"/>
          <w:kern w:val="0"/>
          <w14:ligatures w14:val="none"/>
        </w:rPr>
        <w:t xml:space="preserve"> </w:t>
      </w:r>
      <w:r w:rsidRPr="00F16251">
        <w:rPr>
          <w:rFonts w:cstheme="minorHAnsi"/>
          <w:kern w:val="0"/>
          <w14:ligatures w14:val="none"/>
        </w:rPr>
        <w:t>spełnione</w:t>
      </w:r>
      <w:r w:rsidR="003B50ED" w:rsidRPr="00F16251">
        <w:rPr>
          <w:rFonts w:cstheme="minorHAnsi"/>
          <w:kern w:val="0"/>
          <w14:ligatures w14:val="none"/>
        </w:rPr>
        <w:t xml:space="preserve"> </w:t>
      </w:r>
      <w:r w:rsidRPr="00F16251">
        <w:rPr>
          <w:rFonts w:cstheme="minorHAnsi"/>
          <w:kern w:val="0"/>
          <w14:ligatures w14:val="none"/>
        </w:rPr>
        <w:t>warunki</w:t>
      </w:r>
      <w:r w:rsidR="003B50ED" w:rsidRPr="00F16251">
        <w:rPr>
          <w:rFonts w:cstheme="minorHAnsi"/>
          <w:kern w:val="0"/>
          <w14:ligatures w14:val="none"/>
        </w:rPr>
        <w:t xml:space="preserve"> </w:t>
      </w:r>
      <w:r w:rsidRPr="00F16251">
        <w:rPr>
          <w:rFonts w:cstheme="minorHAnsi"/>
          <w:kern w:val="0"/>
          <w14:ligatures w14:val="none"/>
        </w:rPr>
        <w:t>udzielenia</w:t>
      </w:r>
      <w:r w:rsidR="003B50ED" w:rsidRPr="00F16251">
        <w:rPr>
          <w:rFonts w:cstheme="minorHAnsi"/>
          <w:kern w:val="0"/>
          <w14:ligatures w14:val="none"/>
        </w:rPr>
        <w:t xml:space="preserve"> </w:t>
      </w:r>
      <w:r w:rsidRPr="00F16251">
        <w:rPr>
          <w:rFonts w:cstheme="minorHAnsi"/>
          <w:kern w:val="0"/>
          <w14:ligatures w14:val="none"/>
        </w:rPr>
        <w:t>tego</w:t>
      </w:r>
      <w:r w:rsidR="003B50ED" w:rsidRPr="00F16251">
        <w:rPr>
          <w:rFonts w:cstheme="minorHAnsi"/>
          <w:kern w:val="0"/>
          <w14:ligatures w14:val="none"/>
        </w:rPr>
        <w:t xml:space="preserve"> </w:t>
      </w:r>
      <w:r w:rsidRPr="00F16251">
        <w:rPr>
          <w:rFonts w:cstheme="minorHAnsi"/>
          <w:kern w:val="0"/>
          <w14:ligatures w14:val="none"/>
        </w:rPr>
        <w:t>wsparcia</w:t>
      </w:r>
      <w:r w:rsidR="003B50ED" w:rsidRPr="00F16251">
        <w:rPr>
          <w:rFonts w:cstheme="minorHAnsi"/>
          <w:kern w:val="0"/>
          <w14:ligatures w14:val="none"/>
        </w:rPr>
        <w:t xml:space="preserve"> </w:t>
      </w:r>
      <w:r w:rsidRPr="00F16251">
        <w:rPr>
          <w:rFonts w:cstheme="minorHAnsi"/>
          <w:kern w:val="0"/>
          <w14:ligatures w14:val="none"/>
        </w:rPr>
        <w:t>określone</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Regulaminie</w:t>
      </w:r>
      <w:r w:rsidR="003B50ED" w:rsidRPr="00F16251">
        <w:rPr>
          <w:rFonts w:cstheme="minorHAnsi"/>
          <w:kern w:val="0"/>
          <w14:ligatures w14:val="none"/>
        </w:rPr>
        <w:t xml:space="preserve"> </w:t>
      </w:r>
      <w:r w:rsidRPr="00F16251">
        <w:rPr>
          <w:rFonts w:cstheme="minorHAnsi"/>
          <w:kern w:val="0"/>
          <w14:ligatures w14:val="none"/>
        </w:rPr>
        <w:t>naboru</w:t>
      </w:r>
      <w:r w:rsidR="003B50ED" w:rsidRPr="00F16251">
        <w:rPr>
          <w:rFonts w:cstheme="minorHAnsi"/>
          <w:kern w:val="0"/>
          <w14:ligatures w14:val="none"/>
        </w:rPr>
        <w:t xml:space="preserve"> </w:t>
      </w:r>
      <w:r w:rsidRPr="00F16251">
        <w:rPr>
          <w:rFonts w:cstheme="minorHAnsi"/>
          <w:kern w:val="0"/>
          <w14:ligatures w14:val="none"/>
        </w:rPr>
        <w:t>wniosków</w:t>
      </w:r>
      <w:r w:rsidR="003B50ED" w:rsidRPr="00F16251">
        <w:rPr>
          <w:rFonts w:cstheme="minorHAnsi"/>
          <w:kern w:val="0"/>
          <w14:ligatures w14:val="none"/>
        </w:rPr>
        <w:t xml:space="preserve"> </w:t>
      </w:r>
      <w:r w:rsidRPr="00F16251">
        <w:rPr>
          <w:rFonts w:cstheme="minorHAnsi"/>
          <w:kern w:val="0"/>
          <w14:ligatures w14:val="none"/>
        </w:rPr>
        <w:t>o</w:t>
      </w:r>
      <w:r w:rsidR="003B50ED" w:rsidRPr="00F16251">
        <w:rPr>
          <w:rFonts w:cstheme="minorHAnsi"/>
          <w:kern w:val="0"/>
          <w14:ligatures w14:val="none"/>
        </w:rPr>
        <w:t xml:space="preserve"> </w:t>
      </w:r>
      <w:r w:rsidRPr="00F16251">
        <w:rPr>
          <w:rFonts w:cstheme="minorHAnsi"/>
          <w:kern w:val="0"/>
          <w14:ligatures w14:val="none"/>
        </w:rPr>
        <w:t>wsparcie,</w:t>
      </w:r>
      <w:r w:rsidR="003B50ED" w:rsidRPr="00F16251">
        <w:rPr>
          <w:rFonts w:cstheme="minorHAnsi"/>
          <w:kern w:val="0"/>
          <w14:ligatures w14:val="none"/>
        </w:rPr>
        <w:t xml:space="preserve"> </w:t>
      </w:r>
      <w:r w:rsidRPr="00F16251">
        <w:rPr>
          <w:rFonts w:cstheme="minorHAnsi"/>
          <w:kern w:val="0"/>
          <w14:ligatures w14:val="none"/>
        </w:rPr>
        <w:t>tj.:</w:t>
      </w:r>
      <w:r w:rsidR="003B50ED" w:rsidRPr="00F16251">
        <w:rPr>
          <w:rFonts w:cstheme="minorHAnsi"/>
          <w:kern w:val="0"/>
          <w14:ligatures w14:val="none"/>
        </w:rPr>
        <w:t xml:space="preserve"> </w:t>
      </w:r>
    </w:p>
    <w:p w14:paraId="1F2F58EB" w14:textId="23D019BF" w:rsidR="002C63F4" w:rsidRPr="00F16251" w:rsidRDefault="002C63F4" w:rsidP="00A26C26">
      <w:pPr>
        <w:spacing w:line="276" w:lineRule="auto"/>
        <w:jc w:val="both"/>
        <w:rPr>
          <w:rFonts w:cstheme="minorHAnsi"/>
          <w:kern w:val="0"/>
          <w14:ligatures w14:val="none"/>
        </w:rPr>
      </w:pPr>
      <w:r w:rsidRPr="00F16251">
        <w:rPr>
          <w:rFonts w:cstheme="minorHAnsi"/>
          <w:kern w:val="0"/>
          <w14:ligatures w14:val="none"/>
        </w:rPr>
        <w:t>1)</w:t>
      </w:r>
      <w:r w:rsidR="003B50ED" w:rsidRPr="00F16251">
        <w:rPr>
          <w:rFonts w:cstheme="minorHAnsi"/>
          <w:kern w:val="0"/>
          <w14:ligatures w14:val="none"/>
        </w:rPr>
        <w:t xml:space="preserve"> </w:t>
      </w:r>
      <w:r w:rsidRPr="00F16251">
        <w:rPr>
          <w:rFonts w:cstheme="minorHAnsi"/>
          <w:kern w:val="0"/>
          <w14:ligatures w14:val="none"/>
        </w:rPr>
        <w:t>na</w:t>
      </w:r>
      <w:r w:rsidR="003B50ED" w:rsidRPr="00F16251">
        <w:rPr>
          <w:rFonts w:cstheme="minorHAnsi"/>
          <w:kern w:val="0"/>
          <w14:ligatures w14:val="none"/>
        </w:rPr>
        <w:t xml:space="preserve"> </w:t>
      </w:r>
      <w:r w:rsidRPr="00F16251">
        <w:rPr>
          <w:rFonts w:cstheme="minorHAnsi"/>
          <w:kern w:val="0"/>
          <w14:ligatures w14:val="none"/>
        </w:rPr>
        <w:t>operację</w:t>
      </w:r>
      <w:r w:rsidR="003B50ED" w:rsidRPr="00F16251">
        <w:rPr>
          <w:rFonts w:cstheme="minorHAnsi"/>
          <w:kern w:val="0"/>
          <w14:ligatures w14:val="none"/>
        </w:rPr>
        <w:t xml:space="preserve"> </w:t>
      </w:r>
      <w:r w:rsidRPr="00F16251">
        <w:rPr>
          <w:rFonts w:cstheme="minorHAnsi"/>
          <w:kern w:val="0"/>
          <w14:ligatures w14:val="none"/>
        </w:rPr>
        <w:t>wybraną</w:t>
      </w:r>
      <w:r w:rsidR="003B50ED" w:rsidRPr="00F16251">
        <w:rPr>
          <w:rFonts w:cstheme="minorHAnsi"/>
          <w:kern w:val="0"/>
          <w14:ligatures w14:val="none"/>
        </w:rPr>
        <w:t xml:space="preserve"> </w:t>
      </w:r>
      <w:r w:rsidRPr="00F16251">
        <w:rPr>
          <w:rFonts w:cstheme="minorHAnsi"/>
          <w:kern w:val="0"/>
          <w14:ligatures w14:val="none"/>
        </w:rPr>
        <w:t>przez</w:t>
      </w:r>
      <w:r w:rsidR="003B50ED" w:rsidRPr="00F16251">
        <w:rPr>
          <w:rFonts w:cstheme="minorHAnsi"/>
          <w:kern w:val="0"/>
          <w14:ligatures w14:val="none"/>
        </w:rPr>
        <w:t xml:space="preserve"> </w:t>
      </w:r>
      <w:r w:rsidRPr="00F16251">
        <w:rPr>
          <w:rFonts w:cstheme="minorHAnsi"/>
          <w:kern w:val="0"/>
          <w14:ligatures w14:val="none"/>
        </w:rPr>
        <w:t>LGD,</w:t>
      </w:r>
      <w:r w:rsidR="003B50ED" w:rsidRPr="00F16251">
        <w:rPr>
          <w:rFonts w:cstheme="minorHAnsi"/>
          <w:kern w:val="0"/>
          <w14:ligatures w14:val="none"/>
        </w:rPr>
        <w:t xml:space="preserve"> </w:t>
      </w:r>
      <w:r w:rsidRPr="00F16251">
        <w:rPr>
          <w:rFonts w:cstheme="minorHAnsi"/>
          <w:kern w:val="0"/>
          <w14:ligatures w14:val="none"/>
        </w:rPr>
        <w:t>która</w:t>
      </w:r>
      <w:r w:rsidR="003B50ED" w:rsidRPr="00F16251">
        <w:rPr>
          <w:rFonts w:cstheme="minorHAnsi"/>
          <w:kern w:val="0"/>
          <w14:ligatures w14:val="none"/>
        </w:rPr>
        <w:t xml:space="preserve"> </w:t>
      </w:r>
      <w:r w:rsidRPr="00F16251">
        <w:rPr>
          <w:rFonts w:cstheme="minorHAnsi"/>
          <w:kern w:val="0"/>
          <w14:ligatures w14:val="none"/>
        </w:rPr>
        <w:t>jest</w:t>
      </w:r>
      <w:r w:rsidR="003B50ED" w:rsidRPr="00F16251">
        <w:rPr>
          <w:rFonts w:cstheme="minorHAnsi"/>
          <w:kern w:val="0"/>
          <w14:ligatures w14:val="none"/>
        </w:rPr>
        <w:t xml:space="preserve"> </w:t>
      </w:r>
      <w:r w:rsidRPr="00F16251">
        <w:rPr>
          <w:rFonts w:cstheme="minorHAnsi"/>
          <w:kern w:val="0"/>
          <w14:ligatures w14:val="none"/>
        </w:rPr>
        <w:t>stroną</w:t>
      </w:r>
      <w:r w:rsidR="003B50ED" w:rsidRPr="00F16251">
        <w:rPr>
          <w:rFonts w:cstheme="minorHAnsi"/>
          <w:kern w:val="0"/>
          <w14:ligatures w14:val="none"/>
        </w:rPr>
        <w:t xml:space="preserve"> </w:t>
      </w:r>
      <w:r w:rsidRPr="00F16251">
        <w:rPr>
          <w:rFonts w:cstheme="minorHAnsi"/>
          <w:kern w:val="0"/>
          <w14:ligatures w14:val="none"/>
        </w:rPr>
        <w:t>umowy</w:t>
      </w:r>
      <w:r w:rsidR="003B50ED" w:rsidRPr="00F16251">
        <w:rPr>
          <w:rFonts w:cstheme="minorHAnsi"/>
          <w:kern w:val="0"/>
          <w14:ligatures w14:val="none"/>
        </w:rPr>
        <w:t xml:space="preserve"> </w:t>
      </w:r>
      <w:r w:rsidRPr="00F16251">
        <w:rPr>
          <w:rFonts w:cstheme="minorHAnsi"/>
          <w:kern w:val="0"/>
          <w14:ligatures w14:val="none"/>
        </w:rPr>
        <w:t>ramowej;</w:t>
      </w:r>
      <w:r w:rsidR="003B50ED" w:rsidRPr="00F16251">
        <w:rPr>
          <w:rFonts w:cstheme="minorHAnsi"/>
          <w:kern w:val="0"/>
          <w14:ligatures w14:val="none"/>
        </w:rPr>
        <w:t xml:space="preserve"> </w:t>
      </w:r>
    </w:p>
    <w:p w14:paraId="7672E458" w14:textId="49F4034B" w:rsidR="002C63F4" w:rsidRPr="00F16251" w:rsidRDefault="002C63F4" w:rsidP="00A26C26">
      <w:pPr>
        <w:spacing w:line="276" w:lineRule="auto"/>
        <w:jc w:val="both"/>
        <w:rPr>
          <w:rFonts w:cstheme="minorHAnsi"/>
          <w:kern w:val="0"/>
          <w14:ligatures w14:val="none"/>
        </w:rPr>
      </w:pPr>
      <w:r w:rsidRPr="00F16251">
        <w:rPr>
          <w:rFonts w:cstheme="minorHAnsi"/>
          <w:kern w:val="0"/>
          <w14:ligatures w14:val="none"/>
        </w:rPr>
        <w:t>2)</w:t>
      </w:r>
      <w:r w:rsidR="003B50ED" w:rsidRPr="00F16251">
        <w:rPr>
          <w:rFonts w:cstheme="minorHAnsi"/>
          <w:kern w:val="0"/>
          <w14:ligatures w14:val="none"/>
        </w:rPr>
        <w:t xml:space="preserve"> </w:t>
      </w:r>
      <w:r w:rsidRPr="00F16251">
        <w:rPr>
          <w:rFonts w:cstheme="minorHAnsi"/>
          <w:kern w:val="0"/>
          <w14:ligatures w14:val="none"/>
        </w:rPr>
        <w:t>do</w:t>
      </w:r>
      <w:r w:rsidR="003B50ED" w:rsidRPr="00F16251">
        <w:rPr>
          <w:rFonts w:cstheme="minorHAnsi"/>
          <w:kern w:val="0"/>
          <w14:ligatures w14:val="none"/>
        </w:rPr>
        <w:t xml:space="preserve"> </w:t>
      </w:r>
      <w:r w:rsidRPr="00F16251">
        <w:rPr>
          <w:rFonts w:cstheme="minorHAnsi"/>
          <w:kern w:val="0"/>
          <w14:ligatures w14:val="none"/>
        </w:rPr>
        <w:t>wysokości</w:t>
      </w:r>
      <w:r w:rsidR="003B50ED" w:rsidRPr="00F16251">
        <w:rPr>
          <w:rFonts w:cstheme="minorHAnsi"/>
          <w:kern w:val="0"/>
          <w14:ligatures w14:val="none"/>
        </w:rPr>
        <w:t xml:space="preserve"> </w:t>
      </w:r>
      <w:r w:rsidRPr="00F16251">
        <w:rPr>
          <w:rFonts w:cstheme="minorHAnsi"/>
          <w:kern w:val="0"/>
          <w14:ligatures w14:val="none"/>
        </w:rPr>
        <w:t>środków</w:t>
      </w:r>
      <w:r w:rsidR="003B50ED" w:rsidRPr="00F16251">
        <w:rPr>
          <w:rFonts w:cstheme="minorHAnsi"/>
          <w:kern w:val="0"/>
          <w14:ligatures w14:val="none"/>
        </w:rPr>
        <w:t xml:space="preserve"> </w:t>
      </w:r>
      <w:r w:rsidRPr="00F16251">
        <w:rPr>
          <w:rFonts w:cstheme="minorHAnsi"/>
          <w:kern w:val="0"/>
          <w14:ligatures w14:val="none"/>
        </w:rPr>
        <w:t>przewidzianych</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umowie</w:t>
      </w:r>
      <w:r w:rsidR="003B50ED" w:rsidRPr="00F16251">
        <w:rPr>
          <w:rFonts w:cstheme="minorHAnsi"/>
          <w:kern w:val="0"/>
          <w14:ligatures w14:val="none"/>
        </w:rPr>
        <w:t xml:space="preserve"> </w:t>
      </w:r>
      <w:r w:rsidRPr="00F16251">
        <w:rPr>
          <w:rFonts w:cstheme="minorHAnsi"/>
          <w:kern w:val="0"/>
          <w14:ligatures w14:val="none"/>
        </w:rPr>
        <w:t>ramowej.</w:t>
      </w:r>
      <w:r w:rsidR="003B50ED" w:rsidRPr="00F16251">
        <w:rPr>
          <w:rFonts w:cstheme="minorHAnsi"/>
          <w:kern w:val="0"/>
          <w14:ligatures w14:val="none"/>
        </w:rPr>
        <w:t xml:space="preserve"> </w:t>
      </w:r>
    </w:p>
    <w:p w14:paraId="6249246A" w14:textId="77777777" w:rsidR="00130167" w:rsidRPr="00F16251" w:rsidRDefault="002C63F4" w:rsidP="00130167">
      <w:pPr>
        <w:spacing w:line="276" w:lineRule="auto"/>
        <w:ind w:firstLine="360"/>
        <w:jc w:val="both"/>
        <w:rPr>
          <w:rFonts w:cstheme="minorHAnsi"/>
          <w:kern w:val="0"/>
          <w14:ligatures w14:val="none"/>
        </w:rPr>
      </w:pPr>
      <w:r w:rsidRPr="00F16251">
        <w:rPr>
          <w:rFonts w:cstheme="minorHAnsi"/>
          <w:kern w:val="0"/>
          <w14:ligatures w14:val="none"/>
        </w:rPr>
        <w:t>Wyboru</w:t>
      </w:r>
      <w:r w:rsidR="003B50ED" w:rsidRPr="00F16251">
        <w:rPr>
          <w:rFonts w:cstheme="minorHAnsi"/>
          <w:kern w:val="0"/>
          <w14:ligatures w14:val="none"/>
        </w:rPr>
        <w:t xml:space="preserve"> </w:t>
      </w:r>
      <w:r w:rsidRPr="00F16251">
        <w:rPr>
          <w:rFonts w:cstheme="minorHAnsi"/>
          <w:kern w:val="0"/>
          <w14:ligatures w14:val="none"/>
        </w:rPr>
        <w:t>operacji</w:t>
      </w:r>
      <w:r w:rsidR="003B50ED" w:rsidRPr="00F16251">
        <w:rPr>
          <w:rFonts w:cstheme="minorHAnsi"/>
          <w:kern w:val="0"/>
          <w14:ligatures w14:val="none"/>
        </w:rPr>
        <w:t xml:space="preserve"> </w:t>
      </w:r>
      <w:r w:rsidRPr="00F16251">
        <w:rPr>
          <w:rFonts w:cstheme="minorHAnsi"/>
          <w:kern w:val="0"/>
          <w14:ligatures w14:val="none"/>
        </w:rPr>
        <w:t>będzie</w:t>
      </w:r>
      <w:r w:rsidR="003B50ED" w:rsidRPr="00F16251">
        <w:rPr>
          <w:rFonts w:cstheme="minorHAnsi"/>
          <w:kern w:val="0"/>
          <w14:ligatures w14:val="none"/>
        </w:rPr>
        <w:t xml:space="preserve"> </w:t>
      </w:r>
      <w:r w:rsidRPr="00F16251">
        <w:rPr>
          <w:rFonts w:cstheme="minorHAnsi"/>
          <w:kern w:val="0"/>
          <w14:ligatures w14:val="none"/>
        </w:rPr>
        <w:t>dokonywać</w:t>
      </w:r>
      <w:r w:rsidR="003B50ED" w:rsidRPr="00F16251">
        <w:rPr>
          <w:rFonts w:cstheme="minorHAnsi"/>
          <w:kern w:val="0"/>
          <w14:ligatures w14:val="none"/>
        </w:rPr>
        <w:t xml:space="preserve"> </w:t>
      </w:r>
      <w:r w:rsidRPr="00F16251">
        <w:rPr>
          <w:rFonts w:cstheme="minorHAnsi"/>
          <w:kern w:val="0"/>
          <w14:ligatures w14:val="none"/>
        </w:rPr>
        <w:t>Rada</w:t>
      </w:r>
      <w:r w:rsidR="003B50ED" w:rsidRPr="00F16251">
        <w:rPr>
          <w:rFonts w:cstheme="minorHAnsi"/>
          <w:kern w:val="0"/>
          <w14:ligatures w14:val="none"/>
        </w:rPr>
        <w:t xml:space="preserve"> </w:t>
      </w:r>
      <w:r w:rsidRPr="00F16251">
        <w:rPr>
          <w:rFonts w:cstheme="minorHAnsi"/>
          <w:kern w:val="0"/>
          <w14:ligatures w14:val="none"/>
        </w:rPr>
        <w:t>LGD</w:t>
      </w:r>
      <w:r w:rsidR="003B50ED" w:rsidRPr="00F16251">
        <w:rPr>
          <w:rFonts w:cstheme="minorHAnsi"/>
          <w:kern w:val="0"/>
          <w14:ligatures w14:val="none"/>
        </w:rPr>
        <w:t xml:space="preserve"> </w:t>
      </w:r>
      <w:r w:rsidRPr="00F16251">
        <w:rPr>
          <w:rFonts w:cstheme="minorHAnsi"/>
          <w:kern w:val="0"/>
          <w14:ligatures w14:val="none"/>
        </w:rPr>
        <w:t>(organ</w:t>
      </w:r>
      <w:r w:rsidR="003B50ED" w:rsidRPr="00F16251">
        <w:rPr>
          <w:rFonts w:cstheme="minorHAnsi"/>
          <w:kern w:val="0"/>
          <w14:ligatures w14:val="none"/>
        </w:rPr>
        <w:t xml:space="preserve"> </w:t>
      </w:r>
      <w:r w:rsidRPr="00F16251">
        <w:rPr>
          <w:rFonts w:cstheme="minorHAnsi"/>
          <w:kern w:val="0"/>
          <w14:ligatures w14:val="none"/>
        </w:rPr>
        <w:t>decyzyjny).</w:t>
      </w:r>
      <w:r w:rsidR="003B50ED" w:rsidRPr="00F16251">
        <w:rPr>
          <w:rFonts w:cstheme="minorHAnsi"/>
          <w:kern w:val="0"/>
          <w14:ligatures w14:val="none"/>
        </w:rPr>
        <w:t xml:space="preserve"> </w:t>
      </w:r>
      <w:r w:rsidRPr="00F16251">
        <w:rPr>
          <w:rFonts w:cstheme="minorHAnsi"/>
          <w:kern w:val="0"/>
          <w14:ligatures w14:val="none"/>
        </w:rPr>
        <w:t>Do</w:t>
      </w:r>
      <w:r w:rsidR="003B50ED" w:rsidRPr="00F16251">
        <w:rPr>
          <w:rFonts w:cstheme="minorHAnsi"/>
          <w:kern w:val="0"/>
          <w14:ligatures w14:val="none"/>
        </w:rPr>
        <w:t xml:space="preserve"> </w:t>
      </w:r>
      <w:r w:rsidRPr="00F16251">
        <w:rPr>
          <w:rFonts w:cstheme="minorHAnsi"/>
          <w:kern w:val="0"/>
          <w14:ligatures w14:val="none"/>
        </w:rPr>
        <w:t>wyłącznej</w:t>
      </w:r>
      <w:r w:rsidR="003B50ED" w:rsidRPr="00F16251">
        <w:rPr>
          <w:rFonts w:cstheme="minorHAnsi"/>
          <w:kern w:val="0"/>
          <w14:ligatures w14:val="none"/>
        </w:rPr>
        <w:t xml:space="preserve"> </w:t>
      </w:r>
      <w:r w:rsidRPr="00F16251">
        <w:rPr>
          <w:rFonts w:cstheme="minorHAnsi"/>
          <w:kern w:val="0"/>
          <w14:ligatures w14:val="none"/>
        </w:rPr>
        <w:t>kompetencji</w:t>
      </w:r>
      <w:r w:rsidR="003B50ED" w:rsidRPr="00F16251">
        <w:rPr>
          <w:rFonts w:cstheme="minorHAnsi"/>
          <w:kern w:val="0"/>
          <w14:ligatures w14:val="none"/>
        </w:rPr>
        <w:t xml:space="preserve"> </w:t>
      </w:r>
      <w:r w:rsidRPr="00F16251">
        <w:rPr>
          <w:rFonts w:cstheme="minorHAnsi"/>
          <w:kern w:val="0"/>
          <w14:ligatures w14:val="none"/>
        </w:rPr>
        <w:t>Rady</w:t>
      </w:r>
      <w:r w:rsidR="003B50ED" w:rsidRPr="00F16251">
        <w:rPr>
          <w:rFonts w:cstheme="minorHAnsi"/>
          <w:kern w:val="0"/>
          <w14:ligatures w14:val="none"/>
        </w:rPr>
        <w:t xml:space="preserve"> </w:t>
      </w:r>
      <w:r w:rsidRPr="00F16251">
        <w:rPr>
          <w:rFonts w:cstheme="minorHAnsi"/>
          <w:kern w:val="0"/>
          <w14:ligatures w14:val="none"/>
        </w:rPr>
        <w:t>będzie</w:t>
      </w:r>
      <w:r w:rsidR="003B50ED" w:rsidRPr="00F16251">
        <w:rPr>
          <w:rFonts w:cstheme="minorHAnsi"/>
          <w:kern w:val="0"/>
          <w14:ligatures w14:val="none"/>
        </w:rPr>
        <w:t xml:space="preserve"> </w:t>
      </w:r>
      <w:r w:rsidRPr="00F16251">
        <w:rPr>
          <w:rFonts w:cstheme="minorHAnsi"/>
          <w:kern w:val="0"/>
          <w14:ligatures w14:val="none"/>
        </w:rPr>
        <w:t>należał</w:t>
      </w:r>
      <w:r w:rsidR="00130167" w:rsidRPr="00F16251">
        <w:rPr>
          <w:rFonts w:cstheme="minorHAnsi"/>
          <w:kern w:val="0"/>
          <w14:ligatures w14:val="none"/>
        </w:rPr>
        <w:t xml:space="preserve"> </w:t>
      </w:r>
      <w:r w:rsidRPr="00F16251">
        <w:rPr>
          <w:rFonts w:cstheme="minorHAnsi"/>
          <w:kern w:val="0"/>
          <w14:ligatures w14:val="none"/>
        </w:rPr>
        <w:t>wybór</w:t>
      </w:r>
      <w:r w:rsidR="003B50ED" w:rsidRPr="00F16251">
        <w:rPr>
          <w:rFonts w:cstheme="minorHAnsi"/>
          <w:kern w:val="0"/>
          <w14:ligatures w14:val="none"/>
        </w:rPr>
        <w:t xml:space="preserve"> </w:t>
      </w:r>
      <w:r w:rsidRPr="00F16251">
        <w:rPr>
          <w:rFonts w:cstheme="minorHAnsi"/>
          <w:kern w:val="0"/>
          <w14:ligatures w14:val="none"/>
        </w:rPr>
        <w:t>operacji</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rozumieniu</w:t>
      </w:r>
      <w:r w:rsidR="003B50ED" w:rsidRPr="00F16251">
        <w:rPr>
          <w:rFonts w:cstheme="minorHAnsi"/>
          <w:kern w:val="0"/>
          <w14:ligatures w14:val="none"/>
        </w:rPr>
        <w:t xml:space="preserve"> </w:t>
      </w:r>
      <w:r w:rsidRPr="00F16251">
        <w:rPr>
          <w:rFonts w:cstheme="minorHAnsi"/>
          <w:kern w:val="0"/>
          <w14:ligatures w14:val="none"/>
        </w:rPr>
        <w:t>art.</w:t>
      </w:r>
      <w:r w:rsidR="003B50ED" w:rsidRPr="00F16251">
        <w:rPr>
          <w:rFonts w:cstheme="minorHAnsi"/>
          <w:kern w:val="0"/>
          <w14:ligatures w14:val="none"/>
        </w:rPr>
        <w:t xml:space="preserve"> </w:t>
      </w:r>
      <w:r w:rsidRPr="00F16251">
        <w:rPr>
          <w:rFonts w:cstheme="minorHAnsi"/>
          <w:kern w:val="0"/>
          <w14:ligatures w14:val="none"/>
        </w:rPr>
        <w:t>2</w:t>
      </w:r>
      <w:r w:rsidR="003B50ED" w:rsidRPr="00F16251">
        <w:rPr>
          <w:rFonts w:cstheme="minorHAnsi"/>
          <w:kern w:val="0"/>
          <w14:ligatures w14:val="none"/>
        </w:rPr>
        <w:t xml:space="preserve"> </w:t>
      </w:r>
      <w:r w:rsidRPr="00F16251">
        <w:rPr>
          <w:rFonts w:cstheme="minorHAnsi"/>
          <w:kern w:val="0"/>
          <w14:ligatures w14:val="none"/>
        </w:rPr>
        <w:t>pkt</w:t>
      </w:r>
      <w:r w:rsidR="003B50ED" w:rsidRPr="00F16251">
        <w:rPr>
          <w:rFonts w:cstheme="minorHAnsi"/>
          <w:kern w:val="0"/>
          <w14:ligatures w14:val="none"/>
        </w:rPr>
        <w:t xml:space="preserve"> </w:t>
      </w:r>
      <w:r w:rsidRPr="00F16251">
        <w:rPr>
          <w:rFonts w:cstheme="minorHAnsi"/>
          <w:kern w:val="0"/>
          <w14:ligatures w14:val="none"/>
        </w:rPr>
        <w:t>4</w:t>
      </w:r>
      <w:r w:rsidR="003B50ED" w:rsidRPr="00F16251">
        <w:rPr>
          <w:rFonts w:cstheme="minorHAnsi"/>
          <w:kern w:val="0"/>
          <w14:ligatures w14:val="none"/>
        </w:rPr>
        <w:t xml:space="preserve"> </w:t>
      </w:r>
      <w:r w:rsidRPr="00F16251">
        <w:rPr>
          <w:rFonts w:cstheme="minorHAnsi"/>
          <w:kern w:val="0"/>
          <w14:ligatures w14:val="none"/>
        </w:rPr>
        <w:t>ww.</w:t>
      </w:r>
      <w:r w:rsidR="003B50ED" w:rsidRPr="00F16251">
        <w:rPr>
          <w:rFonts w:cstheme="minorHAnsi"/>
          <w:kern w:val="0"/>
          <w14:ligatures w14:val="none"/>
        </w:rPr>
        <w:t xml:space="preserve"> </w:t>
      </w:r>
      <w:r w:rsidRPr="00F16251">
        <w:rPr>
          <w:rFonts w:cstheme="minorHAnsi"/>
          <w:kern w:val="0"/>
          <w14:ligatures w14:val="none"/>
        </w:rPr>
        <w:t>rozporządzenia</w:t>
      </w:r>
      <w:r w:rsidR="003B50ED" w:rsidRPr="00F16251">
        <w:rPr>
          <w:rFonts w:cstheme="minorHAnsi"/>
          <w:kern w:val="0"/>
          <w14:ligatures w14:val="none"/>
        </w:rPr>
        <w:t xml:space="preserve"> </w:t>
      </w:r>
      <w:r w:rsidRPr="00F16251">
        <w:rPr>
          <w:rFonts w:cstheme="minorHAnsi"/>
          <w:kern w:val="0"/>
          <w14:ligatures w14:val="none"/>
        </w:rPr>
        <w:t>2021/1060,</w:t>
      </w:r>
      <w:r w:rsidR="003B50ED" w:rsidRPr="00F16251">
        <w:rPr>
          <w:rFonts w:cstheme="minorHAnsi"/>
          <w:kern w:val="0"/>
          <w14:ligatures w14:val="none"/>
        </w:rPr>
        <w:t xml:space="preserve"> </w:t>
      </w:r>
      <w:r w:rsidRPr="00F16251">
        <w:rPr>
          <w:rFonts w:cstheme="minorHAnsi"/>
          <w:kern w:val="0"/>
          <w14:ligatures w14:val="none"/>
        </w:rPr>
        <w:t>zwanych</w:t>
      </w:r>
      <w:r w:rsidR="003B50ED" w:rsidRPr="00F16251">
        <w:rPr>
          <w:rFonts w:cstheme="minorHAnsi"/>
          <w:kern w:val="0"/>
          <w14:ligatures w14:val="none"/>
        </w:rPr>
        <w:t xml:space="preserve"> </w:t>
      </w:r>
      <w:r w:rsidRPr="00F16251">
        <w:rPr>
          <w:rFonts w:cstheme="minorHAnsi"/>
          <w:kern w:val="0"/>
          <w14:ligatures w14:val="none"/>
        </w:rPr>
        <w:t>dalej</w:t>
      </w:r>
      <w:r w:rsidR="003B50ED" w:rsidRPr="00F16251">
        <w:rPr>
          <w:rFonts w:cstheme="minorHAnsi"/>
          <w:kern w:val="0"/>
          <w14:ligatures w14:val="none"/>
        </w:rPr>
        <w:t xml:space="preserve"> </w:t>
      </w:r>
      <w:r w:rsidRPr="00F16251">
        <w:rPr>
          <w:rFonts w:cstheme="minorHAnsi"/>
          <w:kern w:val="0"/>
          <w14:ligatures w14:val="none"/>
        </w:rPr>
        <w:t>„operacjami”,</w:t>
      </w:r>
      <w:r w:rsidR="003B50ED" w:rsidRPr="00F16251">
        <w:rPr>
          <w:rFonts w:cstheme="minorHAnsi"/>
          <w:kern w:val="0"/>
          <w14:ligatures w14:val="none"/>
        </w:rPr>
        <w:t xml:space="preserve"> </w:t>
      </w:r>
      <w:r w:rsidRPr="00F16251">
        <w:rPr>
          <w:rFonts w:cstheme="minorHAnsi"/>
          <w:kern w:val="0"/>
          <w14:ligatures w14:val="none"/>
        </w:rPr>
        <w:t>które</w:t>
      </w:r>
      <w:r w:rsidR="003B50ED" w:rsidRPr="00F16251">
        <w:rPr>
          <w:rFonts w:cstheme="minorHAnsi"/>
          <w:kern w:val="0"/>
          <w14:ligatures w14:val="none"/>
        </w:rPr>
        <w:t xml:space="preserve"> </w:t>
      </w:r>
      <w:r w:rsidRPr="00F16251">
        <w:rPr>
          <w:rFonts w:cstheme="minorHAnsi"/>
          <w:kern w:val="0"/>
          <w14:ligatures w14:val="none"/>
        </w:rPr>
        <w:t>mają</w:t>
      </w:r>
      <w:r w:rsidR="003B50ED" w:rsidRPr="00F16251">
        <w:rPr>
          <w:rFonts w:cstheme="minorHAnsi"/>
          <w:kern w:val="0"/>
          <w14:ligatures w14:val="none"/>
        </w:rPr>
        <w:t xml:space="preserve"> </w:t>
      </w:r>
      <w:r w:rsidRPr="00F16251">
        <w:rPr>
          <w:rFonts w:cstheme="minorHAnsi"/>
          <w:kern w:val="0"/>
          <w14:ligatures w14:val="none"/>
        </w:rPr>
        <w:t>być</w:t>
      </w:r>
      <w:r w:rsidR="003B50ED" w:rsidRPr="00F16251">
        <w:rPr>
          <w:rFonts w:cstheme="minorHAnsi"/>
          <w:kern w:val="0"/>
          <w14:ligatures w14:val="none"/>
        </w:rPr>
        <w:t xml:space="preserve"> </w:t>
      </w:r>
      <w:r w:rsidRPr="00F16251">
        <w:rPr>
          <w:rFonts w:cstheme="minorHAnsi"/>
          <w:kern w:val="0"/>
          <w14:ligatures w14:val="none"/>
        </w:rPr>
        <w:t>realizowane</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ramach</w:t>
      </w:r>
      <w:r w:rsidR="003B50ED" w:rsidRPr="00F16251">
        <w:rPr>
          <w:rFonts w:cstheme="minorHAnsi"/>
          <w:kern w:val="0"/>
          <w14:ligatures w14:val="none"/>
        </w:rPr>
        <w:t xml:space="preserve"> </w:t>
      </w:r>
      <w:r w:rsidRPr="00F16251">
        <w:rPr>
          <w:rFonts w:cstheme="minorHAnsi"/>
          <w:kern w:val="0"/>
          <w14:ligatures w14:val="none"/>
        </w:rPr>
        <w:t>LSR,</w:t>
      </w:r>
      <w:r w:rsidR="003B50ED" w:rsidRPr="00F16251">
        <w:rPr>
          <w:rFonts w:cstheme="minorHAnsi"/>
          <w:kern w:val="0"/>
          <w14:ligatures w14:val="none"/>
        </w:rPr>
        <w:t xml:space="preserve"> </w:t>
      </w:r>
      <w:r w:rsidRPr="00F16251">
        <w:rPr>
          <w:rFonts w:cstheme="minorHAnsi"/>
          <w:kern w:val="0"/>
          <w14:ligatures w14:val="none"/>
        </w:rPr>
        <w:t>oraz</w:t>
      </w:r>
      <w:r w:rsidR="00130167" w:rsidRPr="00F16251">
        <w:rPr>
          <w:rFonts w:cstheme="minorHAnsi"/>
          <w:kern w:val="0"/>
          <w14:ligatures w14:val="none"/>
        </w:rPr>
        <w:t xml:space="preserve"> </w:t>
      </w:r>
      <w:r w:rsidRPr="00F16251">
        <w:rPr>
          <w:rFonts w:cstheme="minorHAnsi"/>
          <w:kern w:val="0"/>
          <w14:ligatures w14:val="none"/>
        </w:rPr>
        <w:t>ustalenie</w:t>
      </w:r>
      <w:r w:rsidR="003B50ED" w:rsidRPr="00F16251">
        <w:rPr>
          <w:rFonts w:cstheme="minorHAnsi"/>
          <w:kern w:val="0"/>
          <w14:ligatures w14:val="none"/>
        </w:rPr>
        <w:t xml:space="preserve"> </w:t>
      </w:r>
      <w:r w:rsidRPr="00F16251">
        <w:rPr>
          <w:rFonts w:cstheme="minorHAnsi"/>
          <w:kern w:val="0"/>
          <w14:ligatures w14:val="none"/>
        </w:rPr>
        <w:t>kwoty</w:t>
      </w:r>
      <w:r w:rsidR="003B50ED" w:rsidRPr="00F16251">
        <w:rPr>
          <w:rFonts w:cstheme="minorHAnsi"/>
          <w:kern w:val="0"/>
          <w14:ligatures w14:val="none"/>
        </w:rPr>
        <w:t xml:space="preserve"> </w:t>
      </w:r>
      <w:r w:rsidRPr="00F16251">
        <w:rPr>
          <w:rFonts w:cstheme="minorHAnsi"/>
          <w:kern w:val="0"/>
          <w14:ligatures w14:val="none"/>
        </w:rPr>
        <w:t>wsparcia.</w:t>
      </w:r>
    </w:p>
    <w:p w14:paraId="029AB282" w14:textId="3F64F701" w:rsidR="00130167" w:rsidRPr="00F16251" w:rsidRDefault="002C63F4" w:rsidP="00130167">
      <w:pPr>
        <w:spacing w:line="276" w:lineRule="auto"/>
        <w:ind w:firstLine="360"/>
        <w:jc w:val="both"/>
        <w:rPr>
          <w:rFonts w:cstheme="minorHAnsi"/>
          <w:kern w:val="0"/>
          <w14:ligatures w14:val="none"/>
        </w:rPr>
      </w:pPr>
      <w:r w:rsidRPr="00F16251">
        <w:rPr>
          <w:rFonts w:cstheme="minorHAnsi"/>
          <w:kern w:val="0"/>
          <w14:ligatures w14:val="none"/>
        </w:rPr>
        <w:t>Skład</w:t>
      </w:r>
      <w:r w:rsidR="003B50ED" w:rsidRPr="00F16251">
        <w:rPr>
          <w:rFonts w:cstheme="minorHAnsi"/>
          <w:kern w:val="0"/>
          <w14:ligatures w14:val="none"/>
        </w:rPr>
        <w:t xml:space="preserve"> </w:t>
      </w:r>
      <w:r w:rsidRPr="00F16251">
        <w:rPr>
          <w:rFonts w:cstheme="minorHAnsi"/>
          <w:kern w:val="0"/>
          <w14:ligatures w14:val="none"/>
        </w:rPr>
        <w:t>osobowy</w:t>
      </w:r>
      <w:r w:rsidR="003B50ED" w:rsidRPr="00F16251">
        <w:rPr>
          <w:rFonts w:cstheme="minorHAnsi"/>
          <w:kern w:val="0"/>
          <w14:ligatures w14:val="none"/>
        </w:rPr>
        <w:t xml:space="preserve"> </w:t>
      </w:r>
      <w:r w:rsidRPr="00F16251">
        <w:rPr>
          <w:rFonts w:cstheme="minorHAnsi"/>
          <w:kern w:val="0"/>
          <w14:ligatures w14:val="none"/>
        </w:rPr>
        <w:t>Rady,</w:t>
      </w:r>
      <w:r w:rsidR="003B50ED" w:rsidRPr="00F16251">
        <w:rPr>
          <w:rFonts w:cstheme="minorHAnsi"/>
          <w:kern w:val="0"/>
          <w14:ligatures w14:val="none"/>
        </w:rPr>
        <w:t xml:space="preserve"> </w:t>
      </w:r>
      <w:r w:rsidRPr="00F16251">
        <w:rPr>
          <w:rFonts w:cstheme="minorHAnsi"/>
          <w:kern w:val="0"/>
          <w14:ligatures w14:val="none"/>
        </w:rPr>
        <w:t>zasady</w:t>
      </w:r>
      <w:r w:rsidR="003B50ED" w:rsidRPr="00F16251">
        <w:rPr>
          <w:rFonts w:cstheme="minorHAnsi"/>
          <w:kern w:val="0"/>
          <w14:ligatures w14:val="none"/>
        </w:rPr>
        <w:t xml:space="preserve"> </w:t>
      </w:r>
      <w:r w:rsidRPr="00F16251">
        <w:rPr>
          <w:rFonts w:cstheme="minorHAnsi"/>
          <w:kern w:val="0"/>
          <w14:ligatures w14:val="none"/>
        </w:rPr>
        <w:t>powoływania</w:t>
      </w:r>
      <w:r w:rsidR="003B50ED" w:rsidRPr="00F16251">
        <w:rPr>
          <w:rFonts w:cstheme="minorHAnsi"/>
          <w:kern w:val="0"/>
          <w14:ligatures w14:val="none"/>
        </w:rPr>
        <w:t xml:space="preserve"> </w:t>
      </w:r>
      <w:r w:rsidRPr="00F16251">
        <w:rPr>
          <w:rFonts w:cstheme="minorHAnsi"/>
          <w:kern w:val="0"/>
          <w14:ligatures w14:val="none"/>
        </w:rPr>
        <w:t>członków</w:t>
      </w:r>
      <w:r w:rsidR="003B50ED" w:rsidRPr="00F16251">
        <w:rPr>
          <w:rFonts w:cstheme="minorHAnsi"/>
          <w:kern w:val="0"/>
          <w14:ligatures w14:val="none"/>
        </w:rPr>
        <w:t xml:space="preserve"> </w:t>
      </w:r>
      <w:r w:rsidRPr="00F16251">
        <w:rPr>
          <w:rFonts w:cstheme="minorHAnsi"/>
          <w:kern w:val="0"/>
          <w14:ligatures w14:val="none"/>
        </w:rPr>
        <w:t>Rady</w:t>
      </w:r>
      <w:r w:rsidR="003B50ED" w:rsidRPr="00F16251">
        <w:rPr>
          <w:rFonts w:cstheme="minorHAnsi"/>
          <w:kern w:val="0"/>
          <w14:ligatures w14:val="none"/>
        </w:rPr>
        <w:t xml:space="preserve"> </w:t>
      </w:r>
      <w:r w:rsidRPr="00F16251">
        <w:rPr>
          <w:rFonts w:cstheme="minorHAnsi"/>
          <w:kern w:val="0"/>
          <w14:ligatures w14:val="none"/>
        </w:rPr>
        <w:t>oraz</w:t>
      </w:r>
      <w:r w:rsidR="003B50ED" w:rsidRPr="00F16251">
        <w:rPr>
          <w:rFonts w:cstheme="minorHAnsi"/>
          <w:kern w:val="0"/>
          <w14:ligatures w14:val="none"/>
        </w:rPr>
        <w:t xml:space="preserve"> </w:t>
      </w:r>
      <w:r w:rsidRPr="00F16251">
        <w:rPr>
          <w:rFonts w:cstheme="minorHAnsi"/>
          <w:kern w:val="0"/>
          <w14:ligatures w14:val="none"/>
        </w:rPr>
        <w:t>sposób</w:t>
      </w:r>
      <w:r w:rsidR="003B50ED" w:rsidRPr="00F16251">
        <w:rPr>
          <w:rFonts w:cstheme="minorHAnsi"/>
          <w:kern w:val="0"/>
          <w14:ligatures w14:val="none"/>
        </w:rPr>
        <w:t xml:space="preserve"> </w:t>
      </w:r>
      <w:r w:rsidRPr="00F16251">
        <w:rPr>
          <w:rFonts w:cstheme="minorHAnsi"/>
          <w:kern w:val="0"/>
          <w14:ligatures w14:val="none"/>
        </w:rPr>
        <w:t>ich</w:t>
      </w:r>
      <w:r w:rsidR="003B50ED" w:rsidRPr="00F16251">
        <w:rPr>
          <w:rFonts w:cstheme="minorHAnsi"/>
          <w:kern w:val="0"/>
          <w14:ligatures w14:val="none"/>
        </w:rPr>
        <w:t xml:space="preserve"> </w:t>
      </w:r>
      <w:r w:rsidRPr="00F16251">
        <w:rPr>
          <w:rFonts w:cstheme="minorHAnsi"/>
          <w:kern w:val="0"/>
          <w14:ligatures w14:val="none"/>
        </w:rPr>
        <w:t>przyporządkowania</w:t>
      </w:r>
      <w:r w:rsidR="003B50ED" w:rsidRPr="00F16251">
        <w:rPr>
          <w:rFonts w:cstheme="minorHAnsi"/>
          <w:kern w:val="0"/>
          <w14:ligatures w14:val="none"/>
        </w:rPr>
        <w:t xml:space="preserve"> </w:t>
      </w:r>
      <w:r w:rsidR="008F12F4">
        <w:rPr>
          <w:rFonts w:cstheme="minorHAnsi"/>
          <w:kern w:val="0"/>
          <w14:ligatures w14:val="none"/>
        </w:rPr>
        <w:t xml:space="preserve">                                              </w:t>
      </w:r>
      <w:r w:rsidRPr="00F16251">
        <w:rPr>
          <w:rFonts w:cstheme="minorHAnsi"/>
          <w:kern w:val="0"/>
          <w14:ligatures w14:val="none"/>
        </w:rPr>
        <w:t>do</w:t>
      </w:r>
      <w:r w:rsidR="003B50ED" w:rsidRPr="00F16251">
        <w:rPr>
          <w:rFonts w:cstheme="minorHAnsi"/>
          <w:kern w:val="0"/>
          <w14:ligatures w14:val="none"/>
        </w:rPr>
        <w:t xml:space="preserve"> </w:t>
      </w:r>
      <w:r w:rsidRPr="00F16251">
        <w:rPr>
          <w:rFonts w:cstheme="minorHAnsi"/>
          <w:kern w:val="0"/>
          <w14:ligatures w14:val="none"/>
        </w:rPr>
        <w:t>poszczególnych</w:t>
      </w:r>
      <w:r w:rsidR="003B50ED" w:rsidRPr="00F16251">
        <w:rPr>
          <w:rFonts w:cstheme="minorHAnsi"/>
          <w:kern w:val="0"/>
          <w14:ligatures w14:val="none"/>
        </w:rPr>
        <w:t xml:space="preserve"> </w:t>
      </w:r>
      <w:r w:rsidRPr="00F16251">
        <w:rPr>
          <w:rFonts w:cstheme="minorHAnsi"/>
          <w:kern w:val="0"/>
          <w14:ligatures w14:val="none"/>
        </w:rPr>
        <w:t>grup</w:t>
      </w:r>
      <w:r w:rsidR="003B50ED" w:rsidRPr="00F16251">
        <w:rPr>
          <w:rFonts w:cstheme="minorHAnsi"/>
          <w:kern w:val="0"/>
          <w14:ligatures w14:val="none"/>
        </w:rPr>
        <w:t xml:space="preserve"> </w:t>
      </w:r>
      <w:r w:rsidRPr="00F16251">
        <w:rPr>
          <w:rFonts w:cstheme="minorHAnsi"/>
          <w:kern w:val="0"/>
          <w14:ligatures w14:val="none"/>
        </w:rPr>
        <w:t>interesów</w:t>
      </w:r>
      <w:r w:rsidR="003B50ED" w:rsidRPr="00F16251">
        <w:rPr>
          <w:rFonts w:cstheme="minorHAnsi"/>
          <w:kern w:val="0"/>
          <w14:ligatures w14:val="none"/>
        </w:rPr>
        <w:t xml:space="preserve"> </w:t>
      </w:r>
      <w:r w:rsidRPr="00F16251">
        <w:rPr>
          <w:rFonts w:cstheme="minorHAnsi"/>
          <w:kern w:val="0"/>
          <w14:ligatures w14:val="none"/>
        </w:rPr>
        <w:t>zostały</w:t>
      </w:r>
      <w:r w:rsidR="003B50ED" w:rsidRPr="00F16251">
        <w:rPr>
          <w:rFonts w:cstheme="minorHAnsi"/>
          <w:kern w:val="0"/>
          <w14:ligatures w14:val="none"/>
        </w:rPr>
        <w:t xml:space="preserve"> </w:t>
      </w:r>
      <w:r w:rsidRPr="00F16251">
        <w:rPr>
          <w:rFonts w:cstheme="minorHAnsi"/>
          <w:kern w:val="0"/>
          <w14:ligatures w14:val="none"/>
        </w:rPr>
        <w:t>opisane</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Rozdziale</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części</w:t>
      </w:r>
      <w:r w:rsidR="003B50ED" w:rsidRPr="00F16251">
        <w:rPr>
          <w:rFonts w:cstheme="minorHAnsi"/>
          <w:kern w:val="0"/>
          <w14:ligatures w14:val="none"/>
        </w:rPr>
        <w:t xml:space="preserve"> </w:t>
      </w:r>
      <w:r w:rsidRPr="00F16251">
        <w:rPr>
          <w:rFonts w:cstheme="minorHAnsi"/>
          <w:kern w:val="0"/>
          <w14:ligatures w14:val="none"/>
        </w:rPr>
        <w:t>1.7</w:t>
      </w:r>
      <w:r w:rsidR="003B50ED" w:rsidRPr="00F16251">
        <w:rPr>
          <w:rFonts w:cstheme="minorHAnsi"/>
          <w:kern w:val="0"/>
          <w14:ligatures w14:val="none"/>
        </w:rPr>
        <w:t xml:space="preserve"> </w:t>
      </w:r>
      <w:r w:rsidRPr="00F16251">
        <w:rPr>
          <w:rFonts w:cstheme="minorHAnsi"/>
          <w:kern w:val="0"/>
          <w14:ligatures w14:val="none"/>
        </w:rPr>
        <w:t>Skład</w:t>
      </w:r>
      <w:r w:rsidR="003B50ED" w:rsidRPr="00F16251">
        <w:rPr>
          <w:rFonts w:cstheme="minorHAnsi"/>
          <w:kern w:val="0"/>
          <w14:ligatures w14:val="none"/>
        </w:rPr>
        <w:t xml:space="preserve"> </w:t>
      </w:r>
      <w:r w:rsidRPr="00F16251">
        <w:rPr>
          <w:rFonts w:cstheme="minorHAnsi"/>
          <w:kern w:val="0"/>
          <w14:ligatures w14:val="none"/>
        </w:rPr>
        <w:t>organu</w:t>
      </w:r>
      <w:r w:rsidR="003B50ED" w:rsidRPr="00F16251">
        <w:rPr>
          <w:rFonts w:cstheme="minorHAnsi"/>
          <w:kern w:val="0"/>
          <w14:ligatures w14:val="none"/>
        </w:rPr>
        <w:t xml:space="preserve"> </w:t>
      </w:r>
      <w:r w:rsidRPr="00F16251">
        <w:rPr>
          <w:rFonts w:cstheme="minorHAnsi"/>
          <w:kern w:val="0"/>
          <w14:ligatures w14:val="none"/>
        </w:rPr>
        <w:t>decyzyjnego.</w:t>
      </w:r>
      <w:r w:rsidR="003B50ED" w:rsidRPr="00F16251">
        <w:rPr>
          <w:rFonts w:cstheme="minorHAnsi"/>
          <w:kern w:val="0"/>
          <w14:ligatures w14:val="none"/>
        </w:rPr>
        <w:t xml:space="preserve"> </w:t>
      </w:r>
    </w:p>
    <w:p w14:paraId="5B632E6F" w14:textId="3FFDB1CC" w:rsidR="002C63F4" w:rsidRPr="00F16251" w:rsidRDefault="002C63F4" w:rsidP="00130167">
      <w:pPr>
        <w:spacing w:line="276" w:lineRule="auto"/>
        <w:ind w:firstLine="360"/>
        <w:jc w:val="both"/>
        <w:rPr>
          <w:rFonts w:cstheme="minorHAnsi"/>
          <w:kern w:val="0"/>
          <w14:ligatures w14:val="none"/>
        </w:rPr>
      </w:pPr>
      <w:r w:rsidRPr="00F16251">
        <w:rPr>
          <w:rFonts w:cstheme="minorHAnsi"/>
          <w:kern w:val="0"/>
          <w14:ligatures w14:val="none"/>
        </w:rPr>
        <w:t>Podstawą</w:t>
      </w:r>
      <w:r w:rsidR="003B50ED" w:rsidRPr="00F16251">
        <w:rPr>
          <w:rFonts w:cstheme="minorHAnsi"/>
          <w:kern w:val="0"/>
          <w14:ligatures w14:val="none"/>
        </w:rPr>
        <w:t xml:space="preserve"> </w:t>
      </w:r>
      <w:r w:rsidRPr="00F16251">
        <w:rPr>
          <w:rFonts w:cstheme="minorHAnsi"/>
          <w:kern w:val="0"/>
          <w14:ligatures w14:val="none"/>
        </w:rPr>
        <w:t>dokonywanego</w:t>
      </w:r>
      <w:r w:rsidR="003B50ED" w:rsidRPr="00F16251">
        <w:rPr>
          <w:rFonts w:cstheme="minorHAnsi"/>
          <w:kern w:val="0"/>
          <w14:ligatures w14:val="none"/>
        </w:rPr>
        <w:t xml:space="preserve"> </w:t>
      </w:r>
      <w:r w:rsidRPr="00F16251">
        <w:rPr>
          <w:rFonts w:cstheme="minorHAnsi"/>
          <w:kern w:val="0"/>
          <w14:ligatures w14:val="none"/>
        </w:rPr>
        <w:t>wyboru</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oceny</w:t>
      </w:r>
      <w:r w:rsidR="003B50ED" w:rsidRPr="00F16251">
        <w:rPr>
          <w:rFonts w:cstheme="minorHAnsi"/>
          <w:kern w:val="0"/>
          <w14:ligatures w14:val="none"/>
        </w:rPr>
        <w:t xml:space="preserve"> </w:t>
      </w:r>
      <w:r w:rsidRPr="00F16251">
        <w:rPr>
          <w:rFonts w:cstheme="minorHAnsi"/>
          <w:kern w:val="0"/>
          <w14:ligatures w14:val="none"/>
        </w:rPr>
        <w:t>operacji</w:t>
      </w:r>
      <w:r w:rsidR="003B50ED" w:rsidRPr="00F16251">
        <w:rPr>
          <w:rFonts w:cstheme="minorHAnsi"/>
          <w:kern w:val="0"/>
          <w14:ligatures w14:val="none"/>
        </w:rPr>
        <w:t xml:space="preserve"> </w:t>
      </w:r>
      <w:r w:rsidRPr="00F16251">
        <w:rPr>
          <w:rFonts w:cstheme="minorHAnsi"/>
          <w:kern w:val="0"/>
          <w14:ligatures w14:val="none"/>
        </w:rPr>
        <w:t>będzie</w:t>
      </w:r>
      <w:r w:rsidR="003B50ED" w:rsidRPr="00F16251">
        <w:rPr>
          <w:rFonts w:cstheme="minorHAnsi"/>
          <w:kern w:val="0"/>
          <w14:ligatures w14:val="none"/>
        </w:rPr>
        <w:t xml:space="preserve"> </w:t>
      </w:r>
      <w:r w:rsidRPr="00F16251">
        <w:rPr>
          <w:rFonts w:cstheme="minorHAnsi"/>
          <w:kern w:val="0"/>
          <w14:ligatures w14:val="none"/>
        </w:rPr>
        <w:t>ww.</w:t>
      </w:r>
      <w:r w:rsidR="003B50ED" w:rsidRPr="00F16251">
        <w:rPr>
          <w:rFonts w:cstheme="minorHAnsi"/>
          <w:kern w:val="0"/>
          <w14:ligatures w14:val="none"/>
        </w:rPr>
        <w:t xml:space="preserve"> </w:t>
      </w:r>
      <w:r w:rsidRPr="00F16251">
        <w:rPr>
          <w:rFonts w:cstheme="minorHAnsi"/>
          <w:kern w:val="0"/>
          <w14:ligatures w14:val="none"/>
        </w:rPr>
        <w:t>ustawa</w:t>
      </w:r>
      <w:r w:rsidR="003B50ED" w:rsidRPr="00F16251">
        <w:rPr>
          <w:rFonts w:cstheme="minorHAnsi"/>
          <w:kern w:val="0"/>
          <w14:ligatures w14:val="none"/>
        </w:rPr>
        <w:t xml:space="preserve"> </w:t>
      </w:r>
      <w:r w:rsidRPr="00F16251">
        <w:rPr>
          <w:rFonts w:cstheme="minorHAnsi"/>
          <w:kern w:val="0"/>
          <w14:ligatures w14:val="none"/>
        </w:rPr>
        <w:t>o</w:t>
      </w:r>
      <w:r w:rsidR="003B50ED" w:rsidRPr="00F16251">
        <w:rPr>
          <w:rFonts w:cstheme="minorHAnsi"/>
          <w:kern w:val="0"/>
          <w14:ligatures w14:val="none"/>
        </w:rPr>
        <w:t xml:space="preserve"> </w:t>
      </w:r>
      <w:r w:rsidRPr="00F16251">
        <w:rPr>
          <w:rFonts w:cstheme="minorHAnsi"/>
          <w:kern w:val="0"/>
          <w14:ligatures w14:val="none"/>
        </w:rPr>
        <w:t>RLKS.</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zakresie</w:t>
      </w:r>
      <w:r w:rsidR="003B50ED" w:rsidRPr="00F16251">
        <w:rPr>
          <w:rFonts w:cstheme="minorHAnsi"/>
          <w:kern w:val="0"/>
          <w14:ligatures w14:val="none"/>
        </w:rPr>
        <w:t xml:space="preserve"> </w:t>
      </w:r>
      <w:r w:rsidRPr="00F16251">
        <w:rPr>
          <w:rFonts w:cstheme="minorHAnsi"/>
          <w:kern w:val="0"/>
          <w14:ligatures w14:val="none"/>
        </w:rPr>
        <w:t>dokonywanego</w:t>
      </w:r>
      <w:r w:rsidR="003B50ED" w:rsidRPr="00F16251">
        <w:rPr>
          <w:rFonts w:cstheme="minorHAnsi"/>
          <w:kern w:val="0"/>
          <w14:ligatures w14:val="none"/>
        </w:rPr>
        <w:t xml:space="preserve"> </w:t>
      </w:r>
      <w:r w:rsidRPr="00F16251">
        <w:rPr>
          <w:rFonts w:cstheme="minorHAnsi"/>
          <w:kern w:val="0"/>
          <w14:ligatures w14:val="none"/>
        </w:rPr>
        <w:t>przez</w:t>
      </w:r>
      <w:r w:rsidR="003B50ED" w:rsidRPr="00F16251">
        <w:rPr>
          <w:rFonts w:cstheme="minorHAnsi"/>
          <w:kern w:val="0"/>
          <w14:ligatures w14:val="none"/>
        </w:rPr>
        <w:t xml:space="preserve"> </w:t>
      </w:r>
      <w:r w:rsidRPr="00F16251">
        <w:rPr>
          <w:rFonts w:cstheme="minorHAnsi"/>
          <w:kern w:val="0"/>
          <w14:ligatures w14:val="none"/>
        </w:rPr>
        <w:t>LGD</w:t>
      </w:r>
      <w:r w:rsidR="003B50ED" w:rsidRPr="00F16251">
        <w:rPr>
          <w:rFonts w:cstheme="minorHAnsi"/>
          <w:kern w:val="0"/>
          <w14:ligatures w14:val="none"/>
        </w:rPr>
        <w:t xml:space="preserve"> </w:t>
      </w:r>
      <w:r w:rsidRPr="00F16251">
        <w:rPr>
          <w:rFonts w:cstheme="minorHAnsi"/>
          <w:kern w:val="0"/>
          <w14:ligatures w14:val="none"/>
        </w:rPr>
        <w:t>wyboru:</w:t>
      </w:r>
      <w:r w:rsidR="003B50ED" w:rsidRPr="00F16251">
        <w:rPr>
          <w:rFonts w:cstheme="minorHAnsi"/>
          <w:kern w:val="0"/>
          <w14:ligatures w14:val="none"/>
        </w:rPr>
        <w:t xml:space="preserve"> </w:t>
      </w:r>
    </w:p>
    <w:p w14:paraId="06F93145" w14:textId="7FB40549" w:rsidR="002C63F4" w:rsidRPr="00F16251" w:rsidRDefault="002C63F4" w:rsidP="00A26C26">
      <w:pPr>
        <w:spacing w:line="276" w:lineRule="auto"/>
        <w:jc w:val="both"/>
        <w:rPr>
          <w:rFonts w:cstheme="minorHAnsi"/>
          <w:kern w:val="0"/>
          <w14:ligatures w14:val="none"/>
        </w:rPr>
      </w:pPr>
      <w:r w:rsidRPr="00F16251">
        <w:rPr>
          <w:rFonts w:cstheme="minorHAnsi"/>
          <w:kern w:val="0"/>
          <w14:ligatures w14:val="none"/>
        </w:rPr>
        <w:t>a)</w:t>
      </w:r>
      <w:r w:rsidR="003B50ED" w:rsidRPr="00F16251">
        <w:rPr>
          <w:rFonts w:cstheme="minorHAnsi"/>
          <w:kern w:val="0"/>
          <w14:ligatures w14:val="none"/>
        </w:rPr>
        <w:t xml:space="preserve"> </w:t>
      </w:r>
      <w:r w:rsidRPr="00F16251">
        <w:rPr>
          <w:rFonts w:cstheme="minorHAnsi"/>
          <w:kern w:val="0"/>
          <w14:ligatures w14:val="none"/>
        </w:rPr>
        <w:t>zostanie</w:t>
      </w:r>
      <w:r w:rsidR="003B50ED" w:rsidRPr="00F16251">
        <w:rPr>
          <w:rFonts w:cstheme="minorHAnsi"/>
          <w:kern w:val="0"/>
          <w14:ligatures w14:val="none"/>
        </w:rPr>
        <w:t xml:space="preserve"> </w:t>
      </w:r>
      <w:r w:rsidRPr="00F16251">
        <w:rPr>
          <w:rFonts w:cstheme="minorHAnsi"/>
          <w:kern w:val="0"/>
          <w14:ligatures w14:val="none"/>
        </w:rPr>
        <w:t>zastosowana</w:t>
      </w:r>
      <w:r w:rsidR="003B50ED" w:rsidRPr="00F16251">
        <w:rPr>
          <w:rFonts w:cstheme="minorHAnsi"/>
          <w:kern w:val="0"/>
          <w14:ligatures w14:val="none"/>
        </w:rPr>
        <w:t xml:space="preserve"> </w:t>
      </w:r>
      <w:r w:rsidRPr="00F16251">
        <w:rPr>
          <w:rFonts w:cstheme="minorHAnsi"/>
          <w:kern w:val="0"/>
          <w14:ligatures w14:val="none"/>
        </w:rPr>
        <w:t>procedura</w:t>
      </w:r>
      <w:r w:rsidR="003B50ED" w:rsidRPr="00F16251">
        <w:rPr>
          <w:rFonts w:cstheme="minorHAnsi"/>
          <w:kern w:val="0"/>
          <w14:ligatures w14:val="none"/>
        </w:rPr>
        <w:t xml:space="preserve"> </w:t>
      </w:r>
      <w:r w:rsidRPr="00F16251">
        <w:rPr>
          <w:rFonts w:cstheme="minorHAnsi"/>
          <w:kern w:val="0"/>
          <w14:ligatures w14:val="none"/>
        </w:rPr>
        <w:t>zapewniająca</w:t>
      </w:r>
      <w:r w:rsidR="003B50ED" w:rsidRPr="00F16251">
        <w:rPr>
          <w:rFonts w:cstheme="minorHAnsi"/>
          <w:kern w:val="0"/>
          <w14:ligatures w14:val="none"/>
        </w:rPr>
        <w:t xml:space="preserve"> </w:t>
      </w:r>
      <w:r w:rsidRPr="00F16251">
        <w:rPr>
          <w:rFonts w:cstheme="minorHAnsi"/>
          <w:kern w:val="0"/>
          <w14:ligatures w14:val="none"/>
        </w:rPr>
        <w:t>bezstronność</w:t>
      </w:r>
      <w:r w:rsidR="003B50ED" w:rsidRPr="00F16251">
        <w:rPr>
          <w:rFonts w:cstheme="minorHAnsi"/>
          <w:kern w:val="0"/>
          <w14:ligatures w14:val="none"/>
        </w:rPr>
        <w:t xml:space="preserve"> </w:t>
      </w:r>
      <w:r w:rsidRPr="00F16251">
        <w:rPr>
          <w:rFonts w:cstheme="minorHAnsi"/>
          <w:kern w:val="0"/>
          <w14:ligatures w14:val="none"/>
        </w:rPr>
        <w:t>członków</w:t>
      </w:r>
      <w:r w:rsidR="003B50ED" w:rsidRPr="00F16251">
        <w:rPr>
          <w:rFonts w:cstheme="minorHAnsi"/>
          <w:kern w:val="0"/>
          <w14:ligatures w14:val="none"/>
        </w:rPr>
        <w:t xml:space="preserve"> </w:t>
      </w:r>
      <w:r w:rsidRPr="00F16251">
        <w:rPr>
          <w:rFonts w:cstheme="minorHAnsi"/>
          <w:kern w:val="0"/>
          <w14:ligatures w14:val="none"/>
        </w:rPr>
        <w:t>Rady</w:t>
      </w:r>
      <w:r w:rsidR="003B50ED" w:rsidRPr="00F16251">
        <w:rPr>
          <w:rFonts w:cstheme="minorHAnsi"/>
          <w:kern w:val="0"/>
          <w14:ligatures w14:val="none"/>
        </w:rPr>
        <w:t xml:space="preserve"> </w:t>
      </w:r>
      <w:r w:rsidRPr="00F16251">
        <w:rPr>
          <w:rFonts w:cstheme="minorHAnsi"/>
          <w:kern w:val="0"/>
          <w14:ligatures w14:val="none"/>
        </w:rPr>
        <w:t>(będzie</w:t>
      </w:r>
      <w:r w:rsidR="003B50ED" w:rsidRPr="00F16251">
        <w:rPr>
          <w:rFonts w:cstheme="minorHAnsi"/>
          <w:kern w:val="0"/>
          <w14:ligatures w14:val="none"/>
        </w:rPr>
        <w:t xml:space="preserve"> </w:t>
      </w:r>
      <w:r w:rsidRPr="00F16251">
        <w:rPr>
          <w:rFonts w:cstheme="minorHAnsi"/>
          <w:kern w:val="0"/>
          <w14:ligatures w14:val="none"/>
        </w:rPr>
        <w:t>prowadzony</w:t>
      </w:r>
      <w:r w:rsidR="003B50ED" w:rsidRPr="00F16251">
        <w:rPr>
          <w:rFonts w:cstheme="minorHAnsi"/>
          <w:kern w:val="0"/>
          <w14:ligatures w14:val="none"/>
        </w:rPr>
        <w:t xml:space="preserve"> </w:t>
      </w:r>
      <w:r w:rsidRPr="00F16251">
        <w:rPr>
          <w:rFonts w:cstheme="minorHAnsi"/>
          <w:kern w:val="0"/>
          <w14:ligatures w14:val="none"/>
        </w:rPr>
        <w:t>Rejestr</w:t>
      </w:r>
      <w:r w:rsidR="003B50ED" w:rsidRPr="00F16251">
        <w:rPr>
          <w:rFonts w:cstheme="minorHAnsi"/>
          <w:kern w:val="0"/>
          <w14:ligatures w14:val="none"/>
        </w:rPr>
        <w:t xml:space="preserve"> </w:t>
      </w:r>
      <w:r w:rsidRPr="00F16251">
        <w:rPr>
          <w:rFonts w:cstheme="minorHAnsi"/>
          <w:kern w:val="0"/>
          <w14:ligatures w14:val="none"/>
        </w:rPr>
        <w:t>interesów</w:t>
      </w:r>
      <w:r w:rsidR="003B50ED" w:rsidRPr="00F16251">
        <w:rPr>
          <w:rFonts w:cstheme="minorHAnsi"/>
          <w:kern w:val="0"/>
          <w14:ligatures w14:val="none"/>
        </w:rPr>
        <w:t xml:space="preserve"> </w:t>
      </w:r>
      <w:r w:rsidRPr="00F16251">
        <w:rPr>
          <w:rFonts w:cstheme="minorHAnsi"/>
          <w:kern w:val="0"/>
          <w14:ligatures w14:val="none"/>
        </w:rPr>
        <w:t>Członków</w:t>
      </w:r>
      <w:r w:rsidR="003B50ED" w:rsidRPr="00F16251">
        <w:rPr>
          <w:rFonts w:cstheme="minorHAnsi"/>
          <w:kern w:val="0"/>
          <w14:ligatures w14:val="none"/>
        </w:rPr>
        <w:t xml:space="preserve"> </w:t>
      </w:r>
      <w:r w:rsidRPr="00F16251">
        <w:rPr>
          <w:rFonts w:cstheme="minorHAnsi"/>
          <w:kern w:val="0"/>
          <w14:ligatures w14:val="none"/>
        </w:rPr>
        <w:t>Rady),</w:t>
      </w:r>
    </w:p>
    <w:p w14:paraId="20E3C87C" w14:textId="7AEEF9AD" w:rsidR="002C63F4" w:rsidRPr="00F16251" w:rsidRDefault="002C63F4" w:rsidP="00A26C26">
      <w:pPr>
        <w:spacing w:line="276" w:lineRule="auto"/>
        <w:jc w:val="both"/>
        <w:rPr>
          <w:rFonts w:cstheme="minorHAnsi"/>
          <w:kern w:val="0"/>
          <w14:ligatures w14:val="none"/>
        </w:rPr>
      </w:pPr>
      <w:r w:rsidRPr="00F16251">
        <w:rPr>
          <w:rFonts w:cstheme="minorHAnsi"/>
          <w:kern w:val="0"/>
          <w14:ligatures w14:val="none"/>
        </w:rPr>
        <w:t>b)</w:t>
      </w:r>
      <w:r w:rsidR="003B50ED" w:rsidRPr="00F16251">
        <w:rPr>
          <w:rFonts w:cstheme="minorHAnsi"/>
          <w:kern w:val="0"/>
          <w14:ligatures w14:val="none"/>
        </w:rPr>
        <w:t xml:space="preserve"> </w:t>
      </w:r>
      <w:r w:rsidRPr="00F16251">
        <w:rPr>
          <w:rFonts w:cstheme="minorHAnsi"/>
          <w:kern w:val="0"/>
          <w14:ligatures w14:val="none"/>
        </w:rPr>
        <w:t>zostaną</w:t>
      </w:r>
      <w:r w:rsidR="003B50ED" w:rsidRPr="00F16251">
        <w:rPr>
          <w:rFonts w:cstheme="minorHAnsi"/>
          <w:kern w:val="0"/>
          <w14:ligatures w14:val="none"/>
        </w:rPr>
        <w:t xml:space="preserve"> </w:t>
      </w:r>
      <w:r w:rsidRPr="00F16251">
        <w:rPr>
          <w:rFonts w:cstheme="minorHAnsi"/>
          <w:kern w:val="0"/>
          <w14:ligatures w14:val="none"/>
        </w:rPr>
        <w:t>zastosowane</w:t>
      </w:r>
      <w:r w:rsidR="003B50ED" w:rsidRPr="00F16251">
        <w:rPr>
          <w:rFonts w:cstheme="minorHAnsi"/>
          <w:kern w:val="0"/>
          <w14:ligatures w14:val="none"/>
        </w:rPr>
        <w:t xml:space="preserve"> </w:t>
      </w:r>
      <w:r w:rsidRPr="00F16251">
        <w:rPr>
          <w:rFonts w:cstheme="minorHAnsi"/>
          <w:kern w:val="0"/>
          <w14:ligatures w14:val="none"/>
        </w:rPr>
        <w:t>kryteria</w:t>
      </w:r>
      <w:r w:rsidR="003B50ED" w:rsidRPr="00F16251">
        <w:rPr>
          <w:rFonts w:cstheme="minorHAnsi"/>
          <w:kern w:val="0"/>
          <w14:ligatures w14:val="none"/>
        </w:rPr>
        <w:t xml:space="preserve"> </w:t>
      </w:r>
      <w:r w:rsidRPr="00F16251">
        <w:rPr>
          <w:rFonts w:cstheme="minorHAnsi"/>
          <w:kern w:val="0"/>
          <w14:ligatures w14:val="none"/>
        </w:rPr>
        <w:t>wyboru</w:t>
      </w:r>
      <w:r w:rsidR="003B50ED" w:rsidRPr="00F16251">
        <w:rPr>
          <w:rFonts w:cstheme="minorHAnsi"/>
          <w:kern w:val="0"/>
          <w14:ligatures w14:val="none"/>
        </w:rPr>
        <w:t xml:space="preserve"> </w:t>
      </w:r>
      <w:r w:rsidRPr="00F16251">
        <w:rPr>
          <w:rFonts w:cstheme="minorHAnsi"/>
          <w:kern w:val="0"/>
          <w14:ligatures w14:val="none"/>
        </w:rPr>
        <w:t>operacji,</w:t>
      </w:r>
      <w:r w:rsidR="003B50ED" w:rsidRPr="00F16251">
        <w:rPr>
          <w:rFonts w:cstheme="minorHAnsi"/>
          <w:kern w:val="0"/>
          <w14:ligatures w14:val="none"/>
        </w:rPr>
        <w:t xml:space="preserve"> </w:t>
      </w:r>
      <w:r w:rsidRPr="00F16251">
        <w:rPr>
          <w:rFonts w:cstheme="minorHAnsi"/>
          <w:kern w:val="0"/>
          <w14:ligatures w14:val="none"/>
        </w:rPr>
        <w:t>opracowane</w:t>
      </w:r>
      <w:r w:rsidR="003B50ED" w:rsidRPr="00F16251">
        <w:rPr>
          <w:rFonts w:cstheme="minorHAnsi"/>
          <w:kern w:val="0"/>
          <w14:ligatures w14:val="none"/>
        </w:rPr>
        <w:t xml:space="preserve"> </w:t>
      </w:r>
      <w:r w:rsidRPr="00F16251">
        <w:rPr>
          <w:rFonts w:cstheme="minorHAnsi"/>
          <w:kern w:val="0"/>
          <w14:ligatures w14:val="none"/>
        </w:rPr>
        <w:t>z</w:t>
      </w:r>
      <w:r w:rsidR="003B50ED" w:rsidRPr="00F16251">
        <w:rPr>
          <w:rFonts w:cstheme="minorHAnsi"/>
          <w:kern w:val="0"/>
          <w14:ligatures w14:val="none"/>
        </w:rPr>
        <w:t xml:space="preserve"> </w:t>
      </w:r>
      <w:r w:rsidRPr="00F16251">
        <w:rPr>
          <w:rFonts w:cstheme="minorHAnsi"/>
          <w:kern w:val="0"/>
          <w14:ligatures w14:val="none"/>
        </w:rPr>
        <w:t>wykorzystaniem</w:t>
      </w:r>
      <w:r w:rsidR="003B50ED" w:rsidRPr="00F16251">
        <w:rPr>
          <w:rFonts w:cstheme="minorHAnsi"/>
          <w:kern w:val="0"/>
          <w14:ligatures w14:val="none"/>
        </w:rPr>
        <w:t xml:space="preserve"> </w:t>
      </w:r>
      <w:r w:rsidRPr="00F16251">
        <w:rPr>
          <w:rFonts w:cstheme="minorHAnsi"/>
          <w:kern w:val="0"/>
          <w14:ligatures w14:val="none"/>
        </w:rPr>
        <w:t>szeregu</w:t>
      </w:r>
      <w:r w:rsidR="003B50ED" w:rsidRPr="00F16251">
        <w:rPr>
          <w:rFonts w:cstheme="minorHAnsi"/>
          <w:kern w:val="0"/>
          <w14:ligatures w14:val="none"/>
        </w:rPr>
        <w:t xml:space="preserve"> </w:t>
      </w:r>
      <w:r w:rsidRPr="00F16251">
        <w:rPr>
          <w:rFonts w:cstheme="minorHAnsi"/>
          <w:kern w:val="0"/>
          <w14:ligatures w14:val="none"/>
        </w:rPr>
        <w:t>partycypacyjnych</w:t>
      </w:r>
      <w:r w:rsidR="003B50ED" w:rsidRPr="00F16251">
        <w:rPr>
          <w:rFonts w:cstheme="minorHAnsi"/>
          <w:kern w:val="0"/>
          <w14:ligatures w14:val="none"/>
        </w:rPr>
        <w:t xml:space="preserve"> </w:t>
      </w:r>
      <w:r w:rsidRPr="00F16251">
        <w:rPr>
          <w:rFonts w:cstheme="minorHAnsi"/>
          <w:kern w:val="0"/>
          <w14:ligatures w14:val="none"/>
        </w:rPr>
        <w:t>metod</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udziału</w:t>
      </w:r>
      <w:r w:rsidR="003B50ED" w:rsidRPr="00F16251">
        <w:rPr>
          <w:rFonts w:cstheme="minorHAnsi"/>
          <w:kern w:val="0"/>
          <w14:ligatures w14:val="none"/>
        </w:rPr>
        <w:t xml:space="preserve"> </w:t>
      </w:r>
      <w:r w:rsidRPr="00F16251">
        <w:rPr>
          <w:rFonts w:cstheme="minorHAnsi"/>
          <w:kern w:val="0"/>
          <w14:ligatures w14:val="none"/>
        </w:rPr>
        <w:t>wszystkich</w:t>
      </w:r>
      <w:r w:rsidR="003B50ED" w:rsidRPr="00F16251">
        <w:rPr>
          <w:rFonts w:cstheme="minorHAnsi"/>
          <w:kern w:val="0"/>
          <w14:ligatures w14:val="none"/>
        </w:rPr>
        <w:t xml:space="preserve"> </w:t>
      </w:r>
      <w:r w:rsidRPr="00F16251">
        <w:rPr>
          <w:rFonts w:cstheme="minorHAnsi"/>
          <w:kern w:val="0"/>
          <w14:ligatures w14:val="none"/>
        </w:rPr>
        <w:t>interesariuszy,</w:t>
      </w:r>
    </w:p>
    <w:p w14:paraId="5D8EFB29" w14:textId="35FCAF58" w:rsidR="002C63F4" w:rsidRPr="00F16251" w:rsidRDefault="002C63F4" w:rsidP="00A26C26">
      <w:pPr>
        <w:spacing w:line="276" w:lineRule="auto"/>
        <w:jc w:val="both"/>
        <w:rPr>
          <w:rFonts w:cstheme="minorHAnsi"/>
          <w:kern w:val="0"/>
          <w14:ligatures w14:val="none"/>
        </w:rPr>
      </w:pPr>
      <w:r w:rsidRPr="00F16251">
        <w:rPr>
          <w:rFonts w:cstheme="minorHAnsi"/>
          <w:kern w:val="0"/>
          <w14:ligatures w14:val="none"/>
        </w:rPr>
        <w:t>a)</w:t>
      </w:r>
      <w:r w:rsidR="003B50ED" w:rsidRPr="00F16251">
        <w:rPr>
          <w:rFonts w:cstheme="minorHAnsi"/>
          <w:kern w:val="0"/>
          <w14:ligatures w14:val="none"/>
        </w:rPr>
        <w:t xml:space="preserve"> </w:t>
      </w:r>
      <w:r w:rsidRPr="00F16251">
        <w:rPr>
          <w:rFonts w:cstheme="minorHAnsi"/>
          <w:kern w:val="0"/>
          <w14:ligatures w14:val="none"/>
        </w:rPr>
        <w:t>zapewnimy</w:t>
      </w:r>
      <w:r w:rsidR="003B50ED" w:rsidRPr="00F16251">
        <w:rPr>
          <w:rFonts w:cstheme="minorHAnsi"/>
          <w:kern w:val="0"/>
          <w14:ligatures w14:val="none"/>
        </w:rPr>
        <w:t xml:space="preserve"> </w:t>
      </w:r>
      <w:r w:rsidRPr="00F16251">
        <w:rPr>
          <w:rFonts w:cstheme="minorHAnsi"/>
          <w:kern w:val="0"/>
          <w14:ligatures w14:val="none"/>
        </w:rPr>
        <w:t>zachowanie</w:t>
      </w:r>
      <w:r w:rsidR="003B50ED" w:rsidRPr="00F16251">
        <w:rPr>
          <w:rFonts w:cstheme="minorHAnsi"/>
          <w:kern w:val="0"/>
          <w14:ligatures w14:val="none"/>
        </w:rPr>
        <w:t xml:space="preserve"> </w:t>
      </w:r>
      <w:r w:rsidRPr="00F16251">
        <w:rPr>
          <w:rFonts w:cstheme="minorHAnsi"/>
          <w:kern w:val="0"/>
          <w14:ligatures w14:val="none"/>
        </w:rPr>
        <w:t>składu</w:t>
      </w:r>
      <w:r w:rsidR="003B50ED" w:rsidRPr="00F16251">
        <w:rPr>
          <w:rFonts w:cstheme="minorHAnsi"/>
          <w:kern w:val="0"/>
          <w14:ligatures w14:val="none"/>
        </w:rPr>
        <w:t xml:space="preserve"> </w:t>
      </w:r>
      <w:r w:rsidRPr="00F16251">
        <w:rPr>
          <w:rFonts w:cstheme="minorHAnsi"/>
          <w:kern w:val="0"/>
          <w14:ligatures w14:val="none"/>
        </w:rPr>
        <w:t>Rady</w:t>
      </w:r>
      <w:r w:rsidR="003B50ED" w:rsidRPr="00F16251">
        <w:rPr>
          <w:rFonts w:cstheme="minorHAnsi"/>
          <w:kern w:val="0"/>
          <w14:ligatures w14:val="none"/>
        </w:rPr>
        <w:t xml:space="preserve"> </w:t>
      </w:r>
      <w:r w:rsidRPr="00F16251">
        <w:rPr>
          <w:rFonts w:cstheme="minorHAnsi"/>
          <w:kern w:val="0"/>
          <w14:ligatures w14:val="none"/>
        </w:rPr>
        <w:t>zgodnego</w:t>
      </w:r>
      <w:r w:rsidR="003B50ED" w:rsidRPr="00F16251">
        <w:rPr>
          <w:rFonts w:cstheme="minorHAnsi"/>
          <w:kern w:val="0"/>
          <w14:ligatures w14:val="none"/>
        </w:rPr>
        <w:t xml:space="preserve"> </w:t>
      </w:r>
      <w:r w:rsidRPr="00F16251">
        <w:rPr>
          <w:rFonts w:cstheme="minorHAnsi"/>
          <w:kern w:val="0"/>
          <w14:ligatures w14:val="none"/>
        </w:rPr>
        <w:t>z</w:t>
      </w:r>
      <w:r w:rsidR="003B50ED" w:rsidRPr="00F16251">
        <w:rPr>
          <w:rFonts w:cstheme="minorHAnsi"/>
          <w:kern w:val="0"/>
          <w14:ligatures w14:val="none"/>
        </w:rPr>
        <w:t xml:space="preserve"> </w:t>
      </w:r>
      <w:r w:rsidRPr="00F16251">
        <w:rPr>
          <w:rFonts w:cstheme="minorHAnsi"/>
          <w:kern w:val="0"/>
          <w14:ligatures w14:val="none"/>
        </w:rPr>
        <w:t>wymaganiami</w:t>
      </w:r>
      <w:r w:rsidR="003B50ED" w:rsidRPr="00F16251">
        <w:rPr>
          <w:rFonts w:cstheme="minorHAnsi"/>
          <w:kern w:val="0"/>
          <w14:ligatures w14:val="none"/>
        </w:rPr>
        <w:t xml:space="preserve"> </w:t>
      </w:r>
      <w:r w:rsidRPr="00F16251">
        <w:rPr>
          <w:rFonts w:cstheme="minorHAnsi"/>
          <w:kern w:val="0"/>
          <w14:ligatures w14:val="none"/>
        </w:rPr>
        <w:t>określonymi</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art.</w:t>
      </w:r>
      <w:r w:rsidR="003B50ED" w:rsidRPr="00F16251">
        <w:rPr>
          <w:rFonts w:cstheme="minorHAnsi"/>
          <w:kern w:val="0"/>
          <w14:ligatures w14:val="none"/>
        </w:rPr>
        <w:t xml:space="preserve"> </w:t>
      </w:r>
      <w:r w:rsidRPr="00F16251">
        <w:rPr>
          <w:rFonts w:cstheme="minorHAnsi"/>
          <w:kern w:val="0"/>
          <w14:ligatures w14:val="none"/>
        </w:rPr>
        <w:t>31</w:t>
      </w:r>
      <w:r w:rsidR="003B50ED" w:rsidRPr="00F16251">
        <w:rPr>
          <w:rFonts w:cstheme="minorHAnsi"/>
          <w:kern w:val="0"/>
          <w14:ligatures w14:val="none"/>
        </w:rPr>
        <w:t xml:space="preserve"> </w:t>
      </w:r>
      <w:r w:rsidRPr="00F16251">
        <w:rPr>
          <w:rFonts w:cstheme="minorHAnsi"/>
          <w:kern w:val="0"/>
          <w14:ligatures w14:val="none"/>
        </w:rPr>
        <w:t>ust.</w:t>
      </w:r>
      <w:r w:rsidR="003B50ED" w:rsidRPr="00F16251">
        <w:rPr>
          <w:rFonts w:cstheme="minorHAnsi"/>
          <w:kern w:val="0"/>
          <w14:ligatures w14:val="none"/>
        </w:rPr>
        <w:t xml:space="preserve"> </w:t>
      </w:r>
      <w:r w:rsidRPr="00F16251">
        <w:rPr>
          <w:rFonts w:cstheme="minorHAnsi"/>
          <w:kern w:val="0"/>
          <w14:ligatures w14:val="none"/>
        </w:rPr>
        <w:t>2</w:t>
      </w:r>
      <w:r w:rsidR="003B50ED" w:rsidRPr="00F16251">
        <w:rPr>
          <w:rFonts w:cstheme="minorHAnsi"/>
          <w:kern w:val="0"/>
          <w14:ligatures w14:val="none"/>
        </w:rPr>
        <w:t xml:space="preserve"> </w:t>
      </w:r>
      <w:r w:rsidRPr="00F16251">
        <w:rPr>
          <w:rFonts w:cstheme="minorHAnsi"/>
          <w:kern w:val="0"/>
          <w14:ligatures w14:val="none"/>
        </w:rPr>
        <w:t>lit.</w:t>
      </w:r>
      <w:r w:rsidR="003B50ED" w:rsidRPr="00F16251">
        <w:rPr>
          <w:rFonts w:cstheme="minorHAnsi"/>
          <w:kern w:val="0"/>
          <w14:ligatures w14:val="none"/>
        </w:rPr>
        <w:t xml:space="preserve"> </w:t>
      </w:r>
      <w:r w:rsidRPr="00F16251">
        <w:rPr>
          <w:rFonts w:cstheme="minorHAnsi"/>
          <w:kern w:val="0"/>
          <w14:ligatures w14:val="none"/>
        </w:rPr>
        <w:t>b</w:t>
      </w:r>
      <w:r w:rsidR="003B50ED" w:rsidRPr="00F16251">
        <w:rPr>
          <w:rFonts w:cstheme="minorHAnsi"/>
          <w:kern w:val="0"/>
          <w14:ligatures w14:val="none"/>
        </w:rPr>
        <w:t xml:space="preserve"> </w:t>
      </w:r>
      <w:r w:rsidRPr="00F16251">
        <w:rPr>
          <w:rFonts w:cstheme="minorHAnsi"/>
          <w:kern w:val="0"/>
          <w14:ligatures w14:val="none"/>
        </w:rPr>
        <w:t>ww.</w:t>
      </w:r>
      <w:r w:rsidR="003B50ED" w:rsidRPr="00F16251">
        <w:rPr>
          <w:rFonts w:cstheme="minorHAnsi"/>
          <w:kern w:val="0"/>
          <w14:ligatures w14:val="none"/>
        </w:rPr>
        <w:t xml:space="preserve"> </w:t>
      </w:r>
      <w:r w:rsidRPr="00F16251">
        <w:rPr>
          <w:rFonts w:cstheme="minorHAnsi"/>
          <w:kern w:val="0"/>
          <w14:ligatures w14:val="none"/>
        </w:rPr>
        <w:t>rozporządzenia</w:t>
      </w:r>
      <w:r w:rsidR="003B50ED" w:rsidRPr="00F16251">
        <w:rPr>
          <w:rFonts w:cstheme="minorHAnsi"/>
          <w:kern w:val="0"/>
          <w14:ligatures w14:val="none"/>
        </w:rPr>
        <w:t xml:space="preserve"> </w:t>
      </w:r>
      <w:r w:rsidRPr="00F16251">
        <w:rPr>
          <w:rFonts w:cstheme="minorHAnsi"/>
          <w:kern w:val="0"/>
          <w14:ligatures w14:val="none"/>
        </w:rPr>
        <w:t>2021/1060,</w:t>
      </w:r>
    </w:p>
    <w:p w14:paraId="514643FD" w14:textId="77949F73" w:rsidR="002C63F4" w:rsidRPr="00F16251" w:rsidRDefault="002C63F4" w:rsidP="00A26C26">
      <w:pPr>
        <w:spacing w:line="276" w:lineRule="auto"/>
        <w:jc w:val="both"/>
        <w:rPr>
          <w:rFonts w:cstheme="minorHAnsi"/>
          <w:kern w:val="0"/>
          <w14:ligatures w14:val="none"/>
        </w:rPr>
      </w:pPr>
      <w:r w:rsidRPr="00F16251">
        <w:rPr>
          <w:rFonts w:cstheme="minorHAnsi"/>
          <w:kern w:val="0"/>
          <w14:ligatures w14:val="none"/>
        </w:rPr>
        <w:t>b)</w:t>
      </w:r>
      <w:r w:rsidR="003B50ED" w:rsidRPr="00F16251">
        <w:rPr>
          <w:rFonts w:cstheme="minorHAnsi"/>
          <w:kern w:val="0"/>
          <w14:ligatures w14:val="none"/>
        </w:rPr>
        <w:t xml:space="preserve"> </w:t>
      </w:r>
      <w:r w:rsidRPr="00F16251">
        <w:rPr>
          <w:rFonts w:cstheme="minorHAnsi"/>
          <w:kern w:val="0"/>
          <w14:ligatures w14:val="none"/>
        </w:rPr>
        <w:t>zapewnimy</w:t>
      </w:r>
      <w:r w:rsidR="003B50ED" w:rsidRPr="00F16251">
        <w:rPr>
          <w:rFonts w:cstheme="minorHAnsi"/>
          <w:kern w:val="0"/>
          <w14:ligatures w14:val="none"/>
        </w:rPr>
        <w:t xml:space="preserve"> </w:t>
      </w:r>
      <w:r w:rsidRPr="00F16251">
        <w:rPr>
          <w:rFonts w:cstheme="minorHAnsi"/>
          <w:kern w:val="0"/>
          <w14:ligatures w14:val="none"/>
        </w:rPr>
        <w:t>realizację</w:t>
      </w:r>
      <w:r w:rsidR="003B50ED" w:rsidRPr="00F16251">
        <w:rPr>
          <w:rFonts w:cstheme="minorHAnsi"/>
          <w:kern w:val="0"/>
          <w14:ligatures w14:val="none"/>
        </w:rPr>
        <w:t xml:space="preserve"> </w:t>
      </w:r>
      <w:r w:rsidRPr="00F16251">
        <w:rPr>
          <w:rFonts w:cstheme="minorHAnsi"/>
          <w:kern w:val="0"/>
          <w14:ligatures w14:val="none"/>
        </w:rPr>
        <w:t>wymogu,</w:t>
      </w:r>
      <w:r w:rsidR="003B50ED" w:rsidRPr="00F16251">
        <w:rPr>
          <w:rFonts w:cstheme="minorHAnsi"/>
          <w:kern w:val="0"/>
          <w14:ligatures w14:val="none"/>
        </w:rPr>
        <w:t xml:space="preserve"> </w:t>
      </w:r>
      <w:r w:rsidRPr="00F16251">
        <w:rPr>
          <w:rFonts w:cstheme="minorHAnsi"/>
          <w:kern w:val="0"/>
          <w14:ligatures w14:val="none"/>
        </w:rPr>
        <w:t>zgodnie</w:t>
      </w:r>
      <w:r w:rsidR="003B50ED" w:rsidRPr="00F16251">
        <w:rPr>
          <w:rFonts w:cstheme="minorHAnsi"/>
          <w:kern w:val="0"/>
          <w14:ligatures w14:val="none"/>
        </w:rPr>
        <w:t xml:space="preserve"> </w:t>
      </w:r>
      <w:r w:rsidRPr="00F16251">
        <w:rPr>
          <w:rFonts w:cstheme="minorHAnsi"/>
          <w:kern w:val="0"/>
          <w14:ligatures w14:val="none"/>
        </w:rPr>
        <w:t>z</w:t>
      </w:r>
      <w:r w:rsidR="003B50ED" w:rsidRPr="00F16251">
        <w:rPr>
          <w:rFonts w:cstheme="minorHAnsi"/>
          <w:kern w:val="0"/>
          <w14:ligatures w14:val="none"/>
        </w:rPr>
        <w:t xml:space="preserve"> </w:t>
      </w:r>
      <w:r w:rsidRPr="00F16251">
        <w:rPr>
          <w:rFonts w:cstheme="minorHAnsi"/>
          <w:kern w:val="0"/>
          <w14:ligatures w14:val="none"/>
        </w:rPr>
        <w:t>którym</w:t>
      </w:r>
      <w:r w:rsidR="003B50ED" w:rsidRPr="00F16251">
        <w:rPr>
          <w:rFonts w:cstheme="minorHAnsi"/>
          <w:kern w:val="0"/>
          <w14:ligatures w14:val="none"/>
        </w:rPr>
        <w:t xml:space="preserve"> </w:t>
      </w:r>
      <w:r w:rsidRPr="00F16251">
        <w:rPr>
          <w:rFonts w:cstheme="minorHAnsi"/>
          <w:kern w:val="0"/>
          <w14:ligatures w14:val="none"/>
        </w:rPr>
        <w:t>pojedyncza</w:t>
      </w:r>
      <w:r w:rsidR="003B50ED" w:rsidRPr="00F16251">
        <w:rPr>
          <w:rFonts w:cstheme="minorHAnsi"/>
          <w:kern w:val="0"/>
          <w14:ligatures w14:val="none"/>
        </w:rPr>
        <w:t xml:space="preserve"> </w:t>
      </w:r>
      <w:r w:rsidRPr="00F16251">
        <w:rPr>
          <w:rFonts w:cstheme="minorHAnsi"/>
          <w:kern w:val="0"/>
          <w14:ligatures w14:val="none"/>
        </w:rPr>
        <w:t>grupa</w:t>
      </w:r>
      <w:r w:rsidR="003B50ED" w:rsidRPr="00F16251">
        <w:rPr>
          <w:rFonts w:cstheme="minorHAnsi"/>
          <w:kern w:val="0"/>
          <w14:ligatures w14:val="none"/>
        </w:rPr>
        <w:t xml:space="preserve"> </w:t>
      </w:r>
      <w:r w:rsidRPr="00F16251">
        <w:rPr>
          <w:rFonts w:cstheme="minorHAnsi"/>
          <w:kern w:val="0"/>
          <w14:ligatures w14:val="none"/>
        </w:rPr>
        <w:t>interesu</w:t>
      </w:r>
      <w:r w:rsidR="003B50ED" w:rsidRPr="00F16251">
        <w:rPr>
          <w:rFonts w:cstheme="minorHAnsi"/>
          <w:kern w:val="0"/>
          <w14:ligatures w14:val="none"/>
        </w:rPr>
        <w:t xml:space="preserve"> </w:t>
      </w:r>
      <w:r w:rsidRPr="00F16251">
        <w:rPr>
          <w:rFonts w:cstheme="minorHAnsi"/>
          <w:kern w:val="0"/>
          <w14:ligatures w14:val="none"/>
        </w:rPr>
        <w:t>nie</w:t>
      </w:r>
      <w:r w:rsidR="003B50ED" w:rsidRPr="00F16251">
        <w:rPr>
          <w:rFonts w:cstheme="minorHAnsi"/>
          <w:kern w:val="0"/>
          <w14:ligatures w14:val="none"/>
        </w:rPr>
        <w:t xml:space="preserve"> </w:t>
      </w:r>
      <w:r w:rsidRPr="00F16251">
        <w:rPr>
          <w:rFonts w:cstheme="minorHAnsi"/>
          <w:kern w:val="0"/>
          <w14:ligatures w14:val="none"/>
        </w:rPr>
        <w:t>kontroluje</w:t>
      </w:r>
      <w:r w:rsidR="003B50ED" w:rsidRPr="00F16251">
        <w:rPr>
          <w:rFonts w:cstheme="minorHAnsi"/>
          <w:kern w:val="0"/>
          <w14:ligatures w14:val="none"/>
        </w:rPr>
        <w:t xml:space="preserve"> </w:t>
      </w:r>
      <w:r w:rsidRPr="00F16251">
        <w:rPr>
          <w:rFonts w:cstheme="minorHAnsi"/>
          <w:kern w:val="0"/>
          <w14:ligatures w14:val="none"/>
        </w:rPr>
        <w:t>decyzji</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sprawie</w:t>
      </w:r>
      <w:r w:rsidR="003B50ED" w:rsidRPr="00F16251">
        <w:rPr>
          <w:rFonts w:cstheme="minorHAnsi"/>
          <w:kern w:val="0"/>
          <w14:ligatures w14:val="none"/>
        </w:rPr>
        <w:t xml:space="preserve"> </w:t>
      </w:r>
      <w:r w:rsidRPr="00F16251">
        <w:rPr>
          <w:rFonts w:cstheme="minorHAnsi"/>
          <w:kern w:val="0"/>
          <w14:ligatures w14:val="none"/>
        </w:rPr>
        <w:t>wyboru</w:t>
      </w:r>
      <w:r w:rsidR="003B50ED" w:rsidRPr="00F16251">
        <w:rPr>
          <w:rFonts w:cstheme="minorHAnsi"/>
          <w:kern w:val="0"/>
          <w14:ligatures w14:val="none"/>
        </w:rPr>
        <w:t xml:space="preserve"> </w:t>
      </w:r>
      <w:r w:rsidRPr="00F16251">
        <w:rPr>
          <w:rFonts w:cstheme="minorHAnsi"/>
          <w:kern w:val="0"/>
          <w14:ligatures w14:val="none"/>
        </w:rPr>
        <w:t>operacji,</w:t>
      </w:r>
      <w:r w:rsidR="003B50ED" w:rsidRPr="00F16251">
        <w:rPr>
          <w:rFonts w:cstheme="minorHAnsi"/>
          <w:kern w:val="0"/>
          <w14:ligatures w14:val="none"/>
        </w:rPr>
        <w:t xml:space="preserve"> </w:t>
      </w:r>
      <w:r w:rsidRPr="00F16251">
        <w:rPr>
          <w:rFonts w:cstheme="minorHAnsi"/>
          <w:kern w:val="0"/>
          <w14:ligatures w14:val="none"/>
        </w:rPr>
        <w:t>określonego</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art.</w:t>
      </w:r>
      <w:r w:rsidR="003B50ED" w:rsidRPr="00F16251">
        <w:rPr>
          <w:rFonts w:cstheme="minorHAnsi"/>
          <w:kern w:val="0"/>
          <w14:ligatures w14:val="none"/>
        </w:rPr>
        <w:t xml:space="preserve"> </w:t>
      </w:r>
      <w:r w:rsidRPr="00F16251">
        <w:rPr>
          <w:rFonts w:cstheme="minorHAnsi"/>
          <w:kern w:val="0"/>
          <w14:ligatures w14:val="none"/>
        </w:rPr>
        <w:t>33</w:t>
      </w:r>
      <w:r w:rsidR="003B50ED" w:rsidRPr="00F16251">
        <w:rPr>
          <w:rFonts w:cstheme="minorHAnsi"/>
          <w:kern w:val="0"/>
          <w14:ligatures w14:val="none"/>
        </w:rPr>
        <w:t xml:space="preserve"> </w:t>
      </w:r>
      <w:r w:rsidRPr="00F16251">
        <w:rPr>
          <w:rFonts w:cstheme="minorHAnsi"/>
          <w:kern w:val="0"/>
          <w14:ligatures w14:val="none"/>
        </w:rPr>
        <w:t>ust.</w:t>
      </w:r>
      <w:r w:rsidR="003B50ED" w:rsidRPr="00F16251">
        <w:rPr>
          <w:rFonts w:cstheme="minorHAnsi"/>
          <w:kern w:val="0"/>
          <w14:ligatures w14:val="none"/>
        </w:rPr>
        <w:t xml:space="preserve"> </w:t>
      </w:r>
      <w:r w:rsidRPr="00F16251">
        <w:rPr>
          <w:rFonts w:cstheme="minorHAnsi"/>
          <w:kern w:val="0"/>
          <w14:ligatures w14:val="none"/>
        </w:rPr>
        <w:t>3</w:t>
      </w:r>
      <w:r w:rsidR="003B50ED" w:rsidRPr="00F16251">
        <w:rPr>
          <w:rFonts w:cstheme="minorHAnsi"/>
          <w:kern w:val="0"/>
          <w14:ligatures w14:val="none"/>
        </w:rPr>
        <w:t xml:space="preserve"> </w:t>
      </w:r>
      <w:r w:rsidRPr="00F16251">
        <w:rPr>
          <w:rFonts w:cstheme="minorHAnsi"/>
          <w:kern w:val="0"/>
          <w14:ligatures w14:val="none"/>
        </w:rPr>
        <w:t>lit.</w:t>
      </w:r>
      <w:r w:rsidR="003B50ED" w:rsidRPr="00F16251">
        <w:rPr>
          <w:rFonts w:cstheme="minorHAnsi"/>
          <w:kern w:val="0"/>
          <w14:ligatures w14:val="none"/>
        </w:rPr>
        <w:t xml:space="preserve"> </w:t>
      </w:r>
      <w:r w:rsidRPr="00F16251">
        <w:rPr>
          <w:rFonts w:cstheme="minorHAnsi"/>
          <w:kern w:val="0"/>
          <w14:ligatures w14:val="none"/>
        </w:rPr>
        <w:t>b</w:t>
      </w:r>
      <w:r w:rsidR="003B50ED" w:rsidRPr="00F16251">
        <w:rPr>
          <w:rFonts w:cstheme="minorHAnsi"/>
          <w:kern w:val="0"/>
          <w14:ligatures w14:val="none"/>
        </w:rPr>
        <w:t xml:space="preserve"> </w:t>
      </w:r>
      <w:r w:rsidRPr="00F16251">
        <w:rPr>
          <w:rFonts w:cstheme="minorHAnsi"/>
          <w:kern w:val="0"/>
          <w14:ligatures w14:val="none"/>
        </w:rPr>
        <w:t>ww.</w:t>
      </w:r>
      <w:r w:rsidR="003B50ED" w:rsidRPr="00F16251">
        <w:rPr>
          <w:rFonts w:cstheme="minorHAnsi"/>
          <w:kern w:val="0"/>
          <w14:ligatures w14:val="none"/>
        </w:rPr>
        <w:t xml:space="preserve"> </w:t>
      </w:r>
      <w:r w:rsidRPr="00F16251">
        <w:rPr>
          <w:rFonts w:cstheme="minorHAnsi"/>
          <w:kern w:val="0"/>
          <w14:ligatures w14:val="none"/>
        </w:rPr>
        <w:t>rozporządzenia</w:t>
      </w:r>
      <w:r w:rsidR="003B50ED" w:rsidRPr="00F16251">
        <w:rPr>
          <w:rFonts w:cstheme="minorHAnsi"/>
          <w:kern w:val="0"/>
          <w14:ligatures w14:val="none"/>
        </w:rPr>
        <w:t xml:space="preserve"> </w:t>
      </w:r>
      <w:r w:rsidRPr="00F16251">
        <w:rPr>
          <w:rFonts w:cstheme="minorHAnsi"/>
          <w:kern w:val="0"/>
          <w14:ligatures w14:val="none"/>
        </w:rPr>
        <w:t>2021/1060.</w:t>
      </w:r>
    </w:p>
    <w:p w14:paraId="19E06891" w14:textId="77777777" w:rsidR="00130167" w:rsidRPr="00F16251" w:rsidRDefault="002C63F4" w:rsidP="00130167">
      <w:pPr>
        <w:spacing w:line="276" w:lineRule="auto"/>
        <w:ind w:firstLine="360"/>
        <w:jc w:val="both"/>
        <w:rPr>
          <w:rFonts w:cstheme="minorHAnsi"/>
          <w:kern w:val="0"/>
          <w14:ligatures w14:val="none"/>
        </w:rPr>
      </w:pPr>
      <w:r w:rsidRPr="00F16251">
        <w:rPr>
          <w:rFonts w:cstheme="minorHAnsi"/>
          <w:kern w:val="0"/>
          <w14:ligatures w14:val="none"/>
        </w:rPr>
        <w:t>Ww.</w:t>
      </w:r>
      <w:r w:rsidR="003B50ED" w:rsidRPr="00F16251">
        <w:rPr>
          <w:rFonts w:cstheme="minorHAnsi"/>
          <w:kern w:val="0"/>
          <w14:ligatures w14:val="none"/>
        </w:rPr>
        <w:t xml:space="preserve"> </w:t>
      </w:r>
      <w:r w:rsidRPr="00F16251">
        <w:rPr>
          <w:rFonts w:cstheme="minorHAnsi"/>
          <w:kern w:val="0"/>
          <w14:ligatures w14:val="none"/>
        </w:rPr>
        <w:t>wymogi</w:t>
      </w:r>
      <w:r w:rsidR="003B50ED" w:rsidRPr="00F16251">
        <w:rPr>
          <w:rFonts w:cstheme="minorHAnsi"/>
          <w:kern w:val="0"/>
          <w14:ligatures w14:val="none"/>
        </w:rPr>
        <w:t xml:space="preserve"> </w:t>
      </w:r>
      <w:r w:rsidRPr="00F16251">
        <w:rPr>
          <w:rFonts w:cstheme="minorHAnsi"/>
          <w:kern w:val="0"/>
          <w14:ligatures w14:val="none"/>
        </w:rPr>
        <w:t>zostaną</w:t>
      </w:r>
      <w:r w:rsidR="003B50ED" w:rsidRPr="00F16251">
        <w:rPr>
          <w:rFonts w:cstheme="minorHAnsi"/>
          <w:kern w:val="0"/>
          <w14:ligatures w14:val="none"/>
        </w:rPr>
        <w:t xml:space="preserve"> </w:t>
      </w:r>
      <w:r w:rsidRPr="00F16251">
        <w:rPr>
          <w:rFonts w:cstheme="minorHAnsi"/>
          <w:kern w:val="0"/>
          <w14:ligatures w14:val="none"/>
        </w:rPr>
        <w:t>zawarte</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Regulaminie</w:t>
      </w:r>
      <w:r w:rsidR="003B50ED" w:rsidRPr="00F16251">
        <w:rPr>
          <w:rFonts w:cstheme="minorHAnsi"/>
          <w:kern w:val="0"/>
          <w14:ligatures w14:val="none"/>
        </w:rPr>
        <w:t xml:space="preserve"> </w:t>
      </w:r>
      <w:r w:rsidRPr="00F16251">
        <w:rPr>
          <w:rFonts w:cstheme="minorHAnsi"/>
          <w:kern w:val="0"/>
          <w14:ligatures w14:val="none"/>
        </w:rPr>
        <w:t>Rady</w:t>
      </w:r>
      <w:r w:rsidR="003B50ED" w:rsidRPr="00F16251">
        <w:rPr>
          <w:rFonts w:cstheme="minorHAnsi"/>
          <w:kern w:val="0"/>
          <w14:ligatures w14:val="none"/>
        </w:rPr>
        <w:t xml:space="preserve"> </w:t>
      </w:r>
      <w:r w:rsidRPr="00F16251">
        <w:rPr>
          <w:rFonts w:cstheme="minorHAnsi"/>
          <w:kern w:val="0"/>
          <w14:ligatures w14:val="none"/>
        </w:rPr>
        <w:t>oraz</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procedurach</w:t>
      </w:r>
      <w:r w:rsidR="003B50ED" w:rsidRPr="00F16251">
        <w:rPr>
          <w:rFonts w:cstheme="minorHAnsi"/>
          <w:kern w:val="0"/>
          <w14:ligatures w14:val="none"/>
        </w:rPr>
        <w:t xml:space="preserve"> </w:t>
      </w:r>
      <w:r w:rsidRPr="00F16251">
        <w:rPr>
          <w:rFonts w:cstheme="minorHAnsi"/>
          <w:kern w:val="0"/>
          <w14:ligatures w14:val="none"/>
        </w:rPr>
        <w:t>wyboru</w:t>
      </w:r>
      <w:r w:rsidR="003B50ED" w:rsidRPr="00F16251">
        <w:rPr>
          <w:rFonts w:cstheme="minorHAnsi"/>
          <w:kern w:val="0"/>
          <w14:ligatures w14:val="none"/>
        </w:rPr>
        <w:t xml:space="preserve"> </w:t>
      </w:r>
      <w:r w:rsidRPr="00F16251">
        <w:rPr>
          <w:rFonts w:cstheme="minorHAnsi"/>
          <w:kern w:val="0"/>
          <w14:ligatures w14:val="none"/>
        </w:rPr>
        <w:t>oraz</w:t>
      </w:r>
      <w:r w:rsidR="003B50ED" w:rsidRPr="00F16251">
        <w:rPr>
          <w:rFonts w:cstheme="minorHAnsi"/>
          <w:kern w:val="0"/>
          <w14:ligatures w14:val="none"/>
        </w:rPr>
        <w:t xml:space="preserve"> </w:t>
      </w:r>
      <w:r w:rsidRPr="00F16251">
        <w:rPr>
          <w:rFonts w:cstheme="minorHAnsi"/>
          <w:kern w:val="0"/>
          <w14:ligatures w14:val="none"/>
        </w:rPr>
        <w:t>ustalenia</w:t>
      </w:r>
      <w:r w:rsidR="003B50ED" w:rsidRPr="00F16251">
        <w:rPr>
          <w:rFonts w:cstheme="minorHAnsi"/>
          <w:kern w:val="0"/>
          <w14:ligatures w14:val="none"/>
        </w:rPr>
        <w:t xml:space="preserve"> </w:t>
      </w:r>
      <w:r w:rsidRPr="00F16251">
        <w:rPr>
          <w:rFonts w:cstheme="minorHAnsi"/>
          <w:kern w:val="0"/>
          <w14:ligatures w14:val="none"/>
        </w:rPr>
        <w:t>kwoty</w:t>
      </w:r>
      <w:r w:rsidR="003B50ED" w:rsidRPr="00F16251">
        <w:rPr>
          <w:rFonts w:cstheme="minorHAnsi"/>
          <w:kern w:val="0"/>
          <w14:ligatures w14:val="none"/>
        </w:rPr>
        <w:t xml:space="preserve"> </w:t>
      </w:r>
      <w:r w:rsidRPr="00F16251">
        <w:rPr>
          <w:rFonts w:cstheme="minorHAnsi"/>
          <w:kern w:val="0"/>
          <w14:ligatures w14:val="none"/>
        </w:rPr>
        <w:t>wsparcia</w:t>
      </w:r>
      <w:r w:rsidR="003B50ED" w:rsidRPr="00F16251">
        <w:rPr>
          <w:rFonts w:cstheme="minorHAnsi"/>
          <w:kern w:val="0"/>
          <w14:ligatures w14:val="none"/>
        </w:rPr>
        <w:t xml:space="preserve"> </w:t>
      </w:r>
      <w:r w:rsidRPr="00F16251">
        <w:rPr>
          <w:rFonts w:cstheme="minorHAnsi"/>
          <w:kern w:val="0"/>
          <w14:ligatures w14:val="none"/>
        </w:rPr>
        <w:t>oraz</w:t>
      </w:r>
      <w:r w:rsidR="003B50ED" w:rsidRPr="00F16251">
        <w:rPr>
          <w:rFonts w:cstheme="minorHAnsi"/>
          <w:kern w:val="0"/>
          <w14:ligatures w14:val="none"/>
        </w:rPr>
        <w:t xml:space="preserve"> </w:t>
      </w:r>
      <w:r w:rsidRPr="00F16251">
        <w:rPr>
          <w:rFonts w:cstheme="minorHAnsi"/>
          <w:kern w:val="0"/>
          <w14:ligatures w14:val="none"/>
        </w:rPr>
        <w:t>procedurach</w:t>
      </w:r>
      <w:r w:rsidR="003B50ED" w:rsidRPr="00F16251">
        <w:rPr>
          <w:rFonts w:cstheme="minorHAnsi"/>
          <w:kern w:val="0"/>
          <w14:ligatures w14:val="none"/>
        </w:rPr>
        <w:t xml:space="preserve">. </w:t>
      </w:r>
    </w:p>
    <w:p w14:paraId="26B3F03F" w14:textId="77777777" w:rsidR="00130167" w:rsidRPr="00F16251" w:rsidRDefault="002C63F4" w:rsidP="00130167">
      <w:pPr>
        <w:spacing w:line="276" w:lineRule="auto"/>
        <w:ind w:firstLine="360"/>
        <w:jc w:val="both"/>
        <w:rPr>
          <w:rFonts w:cstheme="minorHAnsi"/>
          <w:kern w:val="0"/>
          <w14:ligatures w14:val="none"/>
        </w:rPr>
      </w:pPr>
      <w:r w:rsidRPr="00F16251">
        <w:rPr>
          <w:rFonts w:cstheme="minorHAnsi"/>
          <w:kern w:val="0"/>
          <w14:ligatures w14:val="none"/>
        </w:rPr>
        <w:t>LGD</w:t>
      </w:r>
      <w:r w:rsidR="003B50ED" w:rsidRPr="00F16251">
        <w:rPr>
          <w:rFonts w:cstheme="minorHAnsi"/>
          <w:kern w:val="0"/>
          <w14:ligatures w14:val="none"/>
        </w:rPr>
        <w:t xml:space="preserve"> </w:t>
      </w:r>
      <w:r w:rsidRPr="00F16251">
        <w:rPr>
          <w:rFonts w:cstheme="minorHAnsi"/>
          <w:kern w:val="0"/>
          <w14:ligatures w14:val="none"/>
        </w:rPr>
        <w:t>będzie</w:t>
      </w:r>
      <w:r w:rsidR="003B50ED" w:rsidRPr="00F16251">
        <w:rPr>
          <w:rFonts w:cstheme="minorHAnsi"/>
          <w:kern w:val="0"/>
          <w14:ligatures w14:val="none"/>
        </w:rPr>
        <w:t xml:space="preserve"> </w:t>
      </w:r>
      <w:r w:rsidRPr="00F16251">
        <w:rPr>
          <w:rFonts w:cstheme="minorHAnsi"/>
          <w:kern w:val="0"/>
          <w14:ligatures w14:val="none"/>
        </w:rPr>
        <w:t>dążyć</w:t>
      </w:r>
      <w:r w:rsidR="003B50ED" w:rsidRPr="00F16251">
        <w:rPr>
          <w:rFonts w:cstheme="minorHAnsi"/>
          <w:kern w:val="0"/>
          <w14:ligatures w14:val="none"/>
        </w:rPr>
        <w:t xml:space="preserve"> </w:t>
      </w:r>
      <w:r w:rsidRPr="00F16251">
        <w:rPr>
          <w:rFonts w:cstheme="minorHAnsi"/>
          <w:kern w:val="0"/>
          <w14:ligatures w14:val="none"/>
        </w:rPr>
        <w:t>do</w:t>
      </w:r>
      <w:r w:rsidR="003B50ED" w:rsidRPr="00F16251">
        <w:rPr>
          <w:rFonts w:cstheme="minorHAnsi"/>
          <w:kern w:val="0"/>
          <w14:ligatures w14:val="none"/>
        </w:rPr>
        <w:t xml:space="preserve"> </w:t>
      </w:r>
      <w:r w:rsidRPr="00F16251">
        <w:rPr>
          <w:rFonts w:cstheme="minorHAnsi"/>
          <w:kern w:val="0"/>
          <w14:ligatures w14:val="none"/>
        </w:rPr>
        <w:t>opracowania</w:t>
      </w:r>
      <w:r w:rsidR="003B50ED" w:rsidRPr="00F16251">
        <w:rPr>
          <w:rFonts w:cstheme="minorHAnsi"/>
          <w:kern w:val="0"/>
          <w14:ligatures w14:val="none"/>
        </w:rPr>
        <w:t xml:space="preserve"> </w:t>
      </w:r>
      <w:r w:rsidRPr="00F16251">
        <w:rPr>
          <w:rFonts w:cstheme="minorHAnsi"/>
          <w:kern w:val="0"/>
          <w14:ligatures w14:val="none"/>
        </w:rPr>
        <w:t>jednolitej</w:t>
      </w:r>
      <w:r w:rsidR="003B50ED" w:rsidRPr="00F16251">
        <w:rPr>
          <w:rFonts w:cstheme="minorHAnsi"/>
          <w:kern w:val="0"/>
          <w14:ligatures w14:val="none"/>
        </w:rPr>
        <w:t xml:space="preserve"> </w:t>
      </w:r>
      <w:r w:rsidRPr="00F16251">
        <w:rPr>
          <w:rFonts w:cstheme="minorHAnsi"/>
          <w:kern w:val="0"/>
          <w14:ligatures w14:val="none"/>
        </w:rPr>
        <w:t>dla</w:t>
      </w:r>
      <w:r w:rsidR="003B50ED" w:rsidRPr="00F16251">
        <w:rPr>
          <w:rFonts w:cstheme="minorHAnsi"/>
          <w:kern w:val="0"/>
          <w14:ligatures w14:val="none"/>
        </w:rPr>
        <w:t xml:space="preserve"> </w:t>
      </w:r>
      <w:r w:rsidRPr="00F16251">
        <w:rPr>
          <w:rFonts w:cstheme="minorHAnsi"/>
          <w:kern w:val="0"/>
          <w14:ligatures w14:val="none"/>
        </w:rPr>
        <w:t>województwa</w:t>
      </w:r>
      <w:r w:rsidR="003B50ED" w:rsidRPr="00F16251">
        <w:rPr>
          <w:rFonts w:cstheme="minorHAnsi"/>
          <w:kern w:val="0"/>
          <w14:ligatures w14:val="none"/>
        </w:rPr>
        <w:t xml:space="preserve"> </w:t>
      </w:r>
      <w:r w:rsidRPr="00F16251">
        <w:rPr>
          <w:rFonts w:cstheme="minorHAnsi"/>
          <w:kern w:val="0"/>
          <w14:ligatures w14:val="none"/>
        </w:rPr>
        <w:t>lub</w:t>
      </w:r>
      <w:r w:rsidR="003B50ED" w:rsidRPr="00F16251">
        <w:rPr>
          <w:rFonts w:cstheme="minorHAnsi"/>
          <w:kern w:val="0"/>
          <w14:ligatures w14:val="none"/>
        </w:rPr>
        <w:t xml:space="preserve"> </w:t>
      </w:r>
      <w:r w:rsidRPr="00F16251">
        <w:rPr>
          <w:rFonts w:cstheme="minorHAnsi"/>
          <w:kern w:val="0"/>
          <w14:ligatures w14:val="none"/>
        </w:rPr>
        <w:t>regionu</w:t>
      </w:r>
      <w:r w:rsidR="003B50ED" w:rsidRPr="00F16251">
        <w:rPr>
          <w:rFonts w:cstheme="minorHAnsi"/>
          <w:kern w:val="0"/>
          <w14:ligatures w14:val="none"/>
        </w:rPr>
        <w:t xml:space="preserve"> </w:t>
      </w:r>
      <w:r w:rsidRPr="00F16251">
        <w:rPr>
          <w:rFonts w:cstheme="minorHAnsi"/>
          <w:kern w:val="0"/>
          <w14:ligatures w14:val="none"/>
        </w:rPr>
        <w:t>procedury,</w:t>
      </w:r>
      <w:r w:rsidR="003B50ED" w:rsidRPr="00F16251">
        <w:rPr>
          <w:rFonts w:cstheme="minorHAnsi"/>
          <w:kern w:val="0"/>
          <w14:ligatures w14:val="none"/>
        </w:rPr>
        <w:t xml:space="preserve"> </w:t>
      </w:r>
      <w:r w:rsidRPr="00F16251">
        <w:rPr>
          <w:rFonts w:cstheme="minorHAnsi"/>
          <w:kern w:val="0"/>
          <w14:ligatures w14:val="none"/>
        </w:rPr>
        <w:t>wykorzystując</w:t>
      </w:r>
      <w:r w:rsidR="003B50ED" w:rsidRPr="00F16251">
        <w:rPr>
          <w:rFonts w:cstheme="minorHAnsi"/>
          <w:kern w:val="0"/>
          <w14:ligatures w14:val="none"/>
        </w:rPr>
        <w:t xml:space="preserve"> </w:t>
      </w:r>
      <w:r w:rsidRPr="00F16251">
        <w:rPr>
          <w:rFonts w:cstheme="minorHAnsi"/>
          <w:kern w:val="0"/>
          <w14:ligatures w14:val="none"/>
        </w:rPr>
        <w:t>doświadczenia</w:t>
      </w:r>
      <w:r w:rsidR="003B50ED" w:rsidRPr="00F16251">
        <w:rPr>
          <w:rFonts w:cstheme="minorHAnsi"/>
          <w:kern w:val="0"/>
          <w14:ligatures w14:val="none"/>
        </w:rPr>
        <w:t xml:space="preserve"> </w:t>
      </w:r>
      <w:r w:rsidRPr="00F16251">
        <w:rPr>
          <w:rFonts w:cstheme="minorHAnsi"/>
          <w:kern w:val="0"/>
          <w14:ligatures w14:val="none"/>
        </w:rPr>
        <w:t>z</w:t>
      </w:r>
      <w:r w:rsidR="003B50ED" w:rsidRPr="00F16251">
        <w:rPr>
          <w:rFonts w:cstheme="minorHAnsi"/>
          <w:kern w:val="0"/>
          <w14:ligatures w14:val="none"/>
        </w:rPr>
        <w:t xml:space="preserve"> </w:t>
      </w:r>
      <w:r w:rsidRPr="00F16251">
        <w:rPr>
          <w:rFonts w:cstheme="minorHAnsi"/>
          <w:kern w:val="0"/>
          <w14:ligatures w14:val="none"/>
        </w:rPr>
        <w:t>obecnego</w:t>
      </w:r>
      <w:r w:rsidR="003B50ED" w:rsidRPr="00F16251">
        <w:rPr>
          <w:rFonts w:cstheme="minorHAnsi"/>
          <w:kern w:val="0"/>
          <w14:ligatures w14:val="none"/>
        </w:rPr>
        <w:t xml:space="preserve"> </w:t>
      </w:r>
      <w:r w:rsidRPr="00F16251">
        <w:rPr>
          <w:rFonts w:cstheme="minorHAnsi"/>
          <w:kern w:val="0"/>
          <w14:ligatures w14:val="none"/>
        </w:rPr>
        <w:t>okresu</w:t>
      </w:r>
      <w:r w:rsidR="003B50ED" w:rsidRPr="00F16251">
        <w:rPr>
          <w:rFonts w:cstheme="minorHAnsi"/>
          <w:kern w:val="0"/>
          <w14:ligatures w14:val="none"/>
        </w:rPr>
        <w:t xml:space="preserve"> </w:t>
      </w:r>
      <w:r w:rsidRPr="00F16251">
        <w:rPr>
          <w:rFonts w:cstheme="minorHAnsi"/>
          <w:kern w:val="0"/>
          <w14:ligatures w14:val="none"/>
        </w:rPr>
        <w:t>programowania.</w:t>
      </w:r>
      <w:r w:rsidR="003B50ED" w:rsidRPr="00F16251">
        <w:rPr>
          <w:rFonts w:cstheme="minorHAnsi"/>
          <w:kern w:val="0"/>
          <w14:ligatures w14:val="none"/>
        </w:rPr>
        <w:t xml:space="preserve"> </w:t>
      </w:r>
      <w:r w:rsidRPr="00F16251">
        <w:rPr>
          <w:rFonts w:cstheme="minorHAnsi"/>
          <w:kern w:val="0"/>
          <w14:ligatures w14:val="none"/>
        </w:rPr>
        <w:t>Umożliwi</w:t>
      </w:r>
      <w:r w:rsidR="003B50ED" w:rsidRPr="00F16251">
        <w:rPr>
          <w:rFonts w:cstheme="minorHAnsi"/>
          <w:kern w:val="0"/>
          <w14:ligatures w14:val="none"/>
        </w:rPr>
        <w:t xml:space="preserve"> </w:t>
      </w:r>
      <w:r w:rsidRPr="00F16251">
        <w:rPr>
          <w:rFonts w:cstheme="minorHAnsi"/>
          <w:kern w:val="0"/>
          <w14:ligatures w14:val="none"/>
        </w:rPr>
        <w:t>to</w:t>
      </w:r>
      <w:r w:rsidR="003B50ED" w:rsidRPr="00F16251">
        <w:rPr>
          <w:rFonts w:cstheme="minorHAnsi"/>
          <w:kern w:val="0"/>
          <w14:ligatures w14:val="none"/>
        </w:rPr>
        <w:t xml:space="preserve"> </w:t>
      </w:r>
      <w:r w:rsidRPr="00F16251">
        <w:rPr>
          <w:rFonts w:cstheme="minorHAnsi"/>
          <w:kern w:val="0"/>
          <w14:ligatures w14:val="none"/>
        </w:rPr>
        <w:t>zachowanie</w:t>
      </w:r>
      <w:r w:rsidR="003B50ED" w:rsidRPr="00F16251">
        <w:rPr>
          <w:rFonts w:cstheme="minorHAnsi"/>
          <w:kern w:val="0"/>
          <w14:ligatures w14:val="none"/>
        </w:rPr>
        <w:t xml:space="preserve"> </w:t>
      </w:r>
      <w:r w:rsidRPr="00F16251">
        <w:rPr>
          <w:rFonts w:cstheme="minorHAnsi"/>
          <w:kern w:val="0"/>
          <w14:ligatures w14:val="none"/>
        </w:rPr>
        <w:t>odpowiedniego</w:t>
      </w:r>
      <w:r w:rsidR="003B50ED" w:rsidRPr="00F16251">
        <w:rPr>
          <w:rFonts w:cstheme="minorHAnsi"/>
          <w:kern w:val="0"/>
          <w14:ligatures w14:val="none"/>
        </w:rPr>
        <w:t xml:space="preserve"> </w:t>
      </w:r>
      <w:r w:rsidRPr="00F16251">
        <w:rPr>
          <w:rFonts w:cstheme="minorHAnsi"/>
          <w:kern w:val="0"/>
          <w14:ligatures w14:val="none"/>
        </w:rPr>
        <w:t>standardu</w:t>
      </w:r>
      <w:r w:rsidR="003B50ED" w:rsidRPr="00F16251">
        <w:rPr>
          <w:rFonts w:cstheme="minorHAnsi"/>
          <w:kern w:val="0"/>
          <w14:ligatures w14:val="none"/>
        </w:rPr>
        <w:t xml:space="preserve"> </w:t>
      </w:r>
      <w:r w:rsidRPr="00F16251">
        <w:rPr>
          <w:rFonts w:cstheme="minorHAnsi"/>
          <w:kern w:val="0"/>
          <w14:ligatures w14:val="none"/>
        </w:rPr>
        <w:t>oceny,</w:t>
      </w:r>
      <w:r w:rsidR="003B50ED" w:rsidRPr="00F16251">
        <w:rPr>
          <w:rFonts w:cstheme="minorHAnsi"/>
          <w:kern w:val="0"/>
          <w14:ligatures w14:val="none"/>
        </w:rPr>
        <w:t xml:space="preserve"> </w:t>
      </w:r>
      <w:r w:rsidR="00130167" w:rsidRPr="00F16251">
        <w:rPr>
          <w:rFonts w:cstheme="minorHAnsi"/>
          <w:kern w:val="0"/>
          <w14:ligatures w14:val="none"/>
        </w:rPr>
        <w:br/>
      </w:r>
      <w:r w:rsidRPr="00F16251">
        <w:rPr>
          <w:rFonts w:cstheme="minorHAnsi"/>
          <w:kern w:val="0"/>
          <w14:ligatures w14:val="none"/>
        </w:rPr>
        <w:lastRenderedPageBreak/>
        <w:t>a</w:t>
      </w:r>
      <w:r w:rsidR="003B50ED" w:rsidRPr="00F16251">
        <w:rPr>
          <w:rFonts w:cstheme="minorHAnsi"/>
          <w:kern w:val="0"/>
          <w14:ligatures w14:val="none"/>
        </w:rPr>
        <w:t xml:space="preserve"> </w:t>
      </w:r>
      <w:r w:rsidRPr="00F16251">
        <w:rPr>
          <w:rFonts w:cstheme="minorHAnsi"/>
          <w:kern w:val="0"/>
          <w14:ligatures w14:val="none"/>
        </w:rPr>
        <w:t>także</w:t>
      </w:r>
      <w:r w:rsidR="003B50ED" w:rsidRPr="00F16251">
        <w:rPr>
          <w:rFonts w:cstheme="minorHAnsi"/>
          <w:kern w:val="0"/>
          <w14:ligatures w14:val="none"/>
        </w:rPr>
        <w:t xml:space="preserve"> </w:t>
      </w:r>
      <w:r w:rsidRPr="00F16251">
        <w:rPr>
          <w:rFonts w:cstheme="minorHAnsi"/>
          <w:kern w:val="0"/>
          <w14:ligatures w14:val="none"/>
        </w:rPr>
        <w:t>przyspieszy</w:t>
      </w:r>
      <w:r w:rsidR="003B50ED" w:rsidRPr="00F16251">
        <w:rPr>
          <w:rFonts w:cstheme="minorHAnsi"/>
          <w:kern w:val="0"/>
          <w14:ligatures w14:val="none"/>
        </w:rPr>
        <w:t xml:space="preserve"> </w:t>
      </w:r>
      <w:r w:rsidRPr="00F16251">
        <w:rPr>
          <w:rFonts w:cstheme="minorHAnsi"/>
          <w:kern w:val="0"/>
          <w14:ligatures w14:val="none"/>
        </w:rPr>
        <w:t>proces</w:t>
      </w:r>
      <w:r w:rsidR="003B50ED" w:rsidRPr="00F16251">
        <w:rPr>
          <w:rFonts w:cstheme="minorHAnsi"/>
          <w:kern w:val="0"/>
          <w14:ligatures w14:val="none"/>
        </w:rPr>
        <w:t xml:space="preserve"> </w:t>
      </w:r>
      <w:r w:rsidRPr="00F16251">
        <w:rPr>
          <w:rFonts w:cstheme="minorHAnsi"/>
          <w:kern w:val="0"/>
          <w14:ligatures w14:val="none"/>
        </w:rPr>
        <w:t>oceny</w:t>
      </w:r>
      <w:r w:rsidR="003B50ED" w:rsidRPr="00F16251">
        <w:rPr>
          <w:rFonts w:cstheme="minorHAnsi"/>
          <w:kern w:val="0"/>
          <w14:ligatures w14:val="none"/>
        </w:rPr>
        <w:t xml:space="preserve"> </w:t>
      </w:r>
      <w:r w:rsidRPr="00F16251">
        <w:rPr>
          <w:rFonts w:cstheme="minorHAnsi"/>
          <w:kern w:val="0"/>
          <w14:ligatures w14:val="none"/>
        </w:rPr>
        <w:t>wniosków.</w:t>
      </w:r>
      <w:r w:rsidR="003B50ED" w:rsidRPr="00F16251">
        <w:rPr>
          <w:rFonts w:cstheme="minorHAnsi"/>
          <w:kern w:val="0"/>
          <w14:ligatures w14:val="none"/>
        </w:rPr>
        <w:t xml:space="preserve"> </w:t>
      </w:r>
      <w:r w:rsidRPr="00F16251">
        <w:rPr>
          <w:rFonts w:cstheme="minorHAnsi"/>
          <w:kern w:val="0"/>
          <w14:ligatures w14:val="none"/>
        </w:rPr>
        <w:t>Ma</w:t>
      </w:r>
      <w:r w:rsidR="003B50ED" w:rsidRPr="00F16251">
        <w:rPr>
          <w:rFonts w:cstheme="minorHAnsi"/>
          <w:kern w:val="0"/>
          <w14:ligatures w14:val="none"/>
        </w:rPr>
        <w:t xml:space="preserve"> </w:t>
      </w:r>
      <w:r w:rsidRPr="00F16251">
        <w:rPr>
          <w:rFonts w:cstheme="minorHAnsi"/>
          <w:kern w:val="0"/>
          <w14:ligatures w14:val="none"/>
        </w:rPr>
        <w:t>to</w:t>
      </w:r>
      <w:r w:rsidR="003B50ED" w:rsidRPr="00F16251">
        <w:rPr>
          <w:rFonts w:cstheme="minorHAnsi"/>
          <w:kern w:val="0"/>
          <w14:ligatures w14:val="none"/>
        </w:rPr>
        <w:t xml:space="preserve"> </w:t>
      </w:r>
      <w:r w:rsidRPr="00F16251">
        <w:rPr>
          <w:rFonts w:cstheme="minorHAnsi"/>
          <w:kern w:val="0"/>
          <w14:ligatures w14:val="none"/>
        </w:rPr>
        <w:t>znaczenie</w:t>
      </w:r>
      <w:r w:rsidR="003B50ED" w:rsidRPr="00F16251">
        <w:rPr>
          <w:rFonts w:cstheme="minorHAnsi"/>
          <w:kern w:val="0"/>
          <w14:ligatures w14:val="none"/>
        </w:rPr>
        <w:t xml:space="preserve"> </w:t>
      </w:r>
      <w:r w:rsidRPr="00F16251">
        <w:rPr>
          <w:rFonts w:cstheme="minorHAnsi"/>
          <w:kern w:val="0"/>
          <w14:ligatures w14:val="none"/>
        </w:rPr>
        <w:t>dla</w:t>
      </w:r>
      <w:r w:rsidR="003B50ED" w:rsidRPr="00F16251">
        <w:rPr>
          <w:rFonts w:cstheme="minorHAnsi"/>
          <w:kern w:val="0"/>
          <w14:ligatures w14:val="none"/>
        </w:rPr>
        <w:t xml:space="preserve"> </w:t>
      </w:r>
      <w:r w:rsidRPr="00F16251">
        <w:rPr>
          <w:rFonts w:cstheme="minorHAnsi"/>
          <w:kern w:val="0"/>
          <w14:ligatures w14:val="none"/>
        </w:rPr>
        <w:t>budowania</w:t>
      </w:r>
      <w:r w:rsidR="003B50ED" w:rsidRPr="00F16251">
        <w:rPr>
          <w:rFonts w:cstheme="minorHAnsi"/>
          <w:kern w:val="0"/>
          <w14:ligatures w14:val="none"/>
        </w:rPr>
        <w:t xml:space="preserve"> </w:t>
      </w:r>
      <w:r w:rsidRPr="00F16251">
        <w:rPr>
          <w:rFonts w:cstheme="minorHAnsi"/>
          <w:kern w:val="0"/>
          <w14:ligatures w14:val="none"/>
        </w:rPr>
        <w:t>wartości</w:t>
      </w:r>
      <w:r w:rsidR="003B50ED" w:rsidRPr="00F16251">
        <w:rPr>
          <w:rFonts w:cstheme="minorHAnsi"/>
          <w:kern w:val="0"/>
          <w14:ligatures w14:val="none"/>
        </w:rPr>
        <w:t xml:space="preserve"> </w:t>
      </w:r>
      <w:r w:rsidRPr="00F16251">
        <w:rPr>
          <w:rFonts w:cstheme="minorHAnsi"/>
          <w:kern w:val="0"/>
          <w14:ligatures w14:val="none"/>
        </w:rPr>
        <w:t>dodanej</w:t>
      </w:r>
      <w:r w:rsidR="003B50ED" w:rsidRPr="00F16251">
        <w:rPr>
          <w:rFonts w:cstheme="minorHAnsi"/>
          <w:kern w:val="0"/>
          <w14:ligatures w14:val="none"/>
        </w:rPr>
        <w:t xml:space="preserve"> </w:t>
      </w:r>
      <w:r w:rsidRPr="00F16251">
        <w:rPr>
          <w:rFonts w:cstheme="minorHAnsi"/>
          <w:kern w:val="0"/>
          <w14:ligatures w14:val="none"/>
        </w:rPr>
        <w:t>Podejścia</w:t>
      </w:r>
      <w:r w:rsidR="003B50ED" w:rsidRPr="00F16251">
        <w:rPr>
          <w:rFonts w:cstheme="minorHAnsi"/>
          <w:kern w:val="0"/>
          <w14:ligatures w14:val="none"/>
        </w:rPr>
        <w:t xml:space="preserve"> </w:t>
      </w:r>
      <w:r w:rsidRPr="00F16251">
        <w:rPr>
          <w:rFonts w:cstheme="minorHAnsi"/>
          <w:kern w:val="0"/>
          <w14:ligatures w14:val="none"/>
        </w:rPr>
        <w:t>Leader</w:t>
      </w:r>
      <w:r w:rsidR="003B50ED" w:rsidRPr="00F16251">
        <w:rPr>
          <w:rFonts w:cstheme="minorHAnsi"/>
          <w:kern w:val="0"/>
          <w14:ligatures w14:val="none"/>
        </w:rPr>
        <w:t xml:space="preserve"> </w:t>
      </w:r>
      <w:r w:rsidRPr="00F16251">
        <w:rPr>
          <w:rFonts w:cstheme="minorHAnsi"/>
          <w:kern w:val="0"/>
          <w14:ligatures w14:val="none"/>
        </w:rPr>
        <w:t>poprzez</w:t>
      </w:r>
      <w:r w:rsidR="003B50ED" w:rsidRPr="00F16251">
        <w:rPr>
          <w:rFonts w:cstheme="minorHAnsi"/>
          <w:kern w:val="0"/>
          <w14:ligatures w14:val="none"/>
        </w:rPr>
        <w:t xml:space="preserve"> </w:t>
      </w:r>
      <w:r w:rsidRPr="00F16251">
        <w:rPr>
          <w:rFonts w:cstheme="minorHAnsi"/>
          <w:kern w:val="0"/>
          <w14:ligatures w14:val="none"/>
        </w:rPr>
        <w:t>współpracę,</w:t>
      </w:r>
      <w:r w:rsidR="003B50ED" w:rsidRPr="00F16251">
        <w:rPr>
          <w:rFonts w:cstheme="minorHAnsi"/>
          <w:kern w:val="0"/>
          <w14:ligatures w14:val="none"/>
        </w:rPr>
        <w:t xml:space="preserve"> </w:t>
      </w:r>
      <w:r w:rsidRPr="00F16251">
        <w:rPr>
          <w:rFonts w:cstheme="minorHAnsi"/>
          <w:kern w:val="0"/>
          <w14:ligatures w14:val="none"/>
        </w:rPr>
        <w:t>wymianę</w:t>
      </w:r>
      <w:r w:rsidR="003B50ED" w:rsidRPr="00F16251">
        <w:rPr>
          <w:rFonts w:cstheme="minorHAnsi"/>
          <w:kern w:val="0"/>
          <w14:ligatures w14:val="none"/>
        </w:rPr>
        <w:t xml:space="preserve"> </w:t>
      </w:r>
      <w:r w:rsidRPr="00F16251">
        <w:rPr>
          <w:rFonts w:cstheme="minorHAnsi"/>
          <w:kern w:val="0"/>
          <w14:ligatures w14:val="none"/>
        </w:rPr>
        <w:t>wiedzy</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doświadczeń.</w:t>
      </w:r>
      <w:r w:rsidR="003B50ED" w:rsidRPr="00F16251">
        <w:rPr>
          <w:rFonts w:cstheme="minorHAnsi"/>
          <w:kern w:val="0"/>
          <w14:ligatures w14:val="none"/>
        </w:rPr>
        <w:t xml:space="preserve"> </w:t>
      </w:r>
    </w:p>
    <w:p w14:paraId="15C40C7F" w14:textId="16B48736" w:rsidR="002C63F4" w:rsidRPr="00F16251" w:rsidRDefault="002C63F4" w:rsidP="00130167">
      <w:pPr>
        <w:spacing w:line="276" w:lineRule="auto"/>
        <w:ind w:firstLine="360"/>
        <w:jc w:val="both"/>
        <w:rPr>
          <w:rFonts w:cstheme="minorHAnsi"/>
          <w:kern w:val="0"/>
          <w14:ligatures w14:val="none"/>
        </w:rPr>
      </w:pPr>
      <w:r w:rsidRPr="00F16251">
        <w:rPr>
          <w:rFonts w:cstheme="minorHAnsi"/>
          <w:kern w:val="0"/>
          <w14:ligatures w14:val="none"/>
        </w:rPr>
        <w:t>Wybór</w:t>
      </w:r>
      <w:r w:rsidR="003B50ED" w:rsidRPr="00F16251">
        <w:rPr>
          <w:rFonts w:cstheme="minorHAnsi"/>
          <w:kern w:val="0"/>
          <w14:ligatures w14:val="none"/>
        </w:rPr>
        <w:t xml:space="preserve"> </w:t>
      </w:r>
      <w:r w:rsidRPr="00F16251">
        <w:rPr>
          <w:rFonts w:cstheme="minorHAnsi"/>
          <w:kern w:val="0"/>
          <w14:ligatures w14:val="none"/>
        </w:rPr>
        <w:t>będzie</w:t>
      </w:r>
      <w:r w:rsidR="003B50ED" w:rsidRPr="00F16251">
        <w:rPr>
          <w:rFonts w:cstheme="minorHAnsi"/>
          <w:kern w:val="0"/>
          <w14:ligatures w14:val="none"/>
        </w:rPr>
        <w:t xml:space="preserve"> </w:t>
      </w:r>
      <w:r w:rsidRPr="00F16251">
        <w:rPr>
          <w:rFonts w:cstheme="minorHAnsi"/>
          <w:kern w:val="0"/>
          <w14:ligatures w14:val="none"/>
        </w:rPr>
        <w:t>dokonywany</w:t>
      </w:r>
      <w:r w:rsidR="003B50ED" w:rsidRPr="00F16251">
        <w:rPr>
          <w:rFonts w:cstheme="minorHAnsi"/>
          <w:kern w:val="0"/>
          <w14:ligatures w14:val="none"/>
        </w:rPr>
        <w:t xml:space="preserve"> </w:t>
      </w:r>
      <w:r w:rsidRPr="00F16251">
        <w:rPr>
          <w:rFonts w:cstheme="minorHAnsi"/>
          <w:kern w:val="0"/>
          <w14:ligatures w14:val="none"/>
        </w:rPr>
        <w:t>przez</w:t>
      </w:r>
      <w:r w:rsidR="003B50ED" w:rsidRPr="00F16251">
        <w:rPr>
          <w:rFonts w:cstheme="minorHAnsi"/>
          <w:kern w:val="0"/>
          <w14:ligatures w14:val="none"/>
        </w:rPr>
        <w:t xml:space="preserve"> </w:t>
      </w:r>
      <w:r w:rsidRPr="00F16251">
        <w:rPr>
          <w:rFonts w:cstheme="minorHAnsi"/>
          <w:kern w:val="0"/>
          <w14:ligatures w14:val="none"/>
        </w:rPr>
        <w:t>Radę</w:t>
      </w:r>
      <w:r w:rsidR="003B50ED" w:rsidRPr="00F16251">
        <w:rPr>
          <w:rFonts w:cstheme="minorHAnsi"/>
          <w:kern w:val="0"/>
          <w14:ligatures w14:val="none"/>
        </w:rPr>
        <w:t xml:space="preserve"> </w:t>
      </w:r>
      <w:r w:rsidRPr="00F16251">
        <w:rPr>
          <w:rFonts w:cstheme="minorHAnsi"/>
          <w:kern w:val="0"/>
          <w14:ligatures w14:val="none"/>
        </w:rPr>
        <w:t>LGD:</w:t>
      </w:r>
      <w:r w:rsidR="003B50ED" w:rsidRPr="00F16251">
        <w:rPr>
          <w:rFonts w:cstheme="minorHAnsi"/>
          <w:kern w:val="0"/>
          <w14:ligatures w14:val="none"/>
        </w:rPr>
        <w:t xml:space="preserve"> </w:t>
      </w:r>
    </w:p>
    <w:p w14:paraId="1D2025C7" w14:textId="4E437BE1" w:rsidR="002C63F4" w:rsidRPr="00F16251" w:rsidRDefault="002C63F4" w:rsidP="00A26C26">
      <w:pPr>
        <w:spacing w:line="276" w:lineRule="auto"/>
        <w:jc w:val="both"/>
        <w:rPr>
          <w:rFonts w:cstheme="minorHAnsi"/>
          <w:kern w:val="0"/>
          <w14:ligatures w14:val="none"/>
        </w:rPr>
      </w:pPr>
      <w:r w:rsidRPr="00F16251">
        <w:rPr>
          <w:rFonts w:cstheme="minorHAnsi"/>
          <w:kern w:val="0"/>
          <w14:ligatures w14:val="none"/>
        </w:rPr>
        <w:t>1)</w:t>
      </w:r>
      <w:r w:rsidR="003B50ED" w:rsidRPr="00F16251">
        <w:rPr>
          <w:rFonts w:cstheme="minorHAnsi"/>
          <w:kern w:val="0"/>
          <w14:ligatures w14:val="none"/>
        </w:rPr>
        <w:t xml:space="preserve"> </w:t>
      </w:r>
      <w:r w:rsidRPr="00F16251">
        <w:rPr>
          <w:rFonts w:cstheme="minorHAnsi"/>
          <w:kern w:val="0"/>
          <w14:ligatures w14:val="none"/>
        </w:rPr>
        <w:t>spośród</w:t>
      </w:r>
      <w:r w:rsidR="003B50ED" w:rsidRPr="00F16251">
        <w:rPr>
          <w:rFonts w:cstheme="minorHAnsi"/>
          <w:kern w:val="0"/>
          <w14:ligatures w14:val="none"/>
        </w:rPr>
        <w:t xml:space="preserve"> </w:t>
      </w:r>
      <w:r w:rsidRPr="00F16251">
        <w:rPr>
          <w:rFonts w:cstheme="minorHAnsi"/>
          <w:kern w:val="0"/>
          <w14:ligatures w14:val="none"/>
        </w:rPr>
        <w:t>operacji,</w:t>
      </w:r>
      <w:r w:rsidR="003B50ED" w:rsidRPr="00F16251">
        <w:rPr>
          <w:rFonts w:cstheme="minorHAnsi"/>
          <w:kern w:val="0"/>
          <w14:ligatures w14:val="none"/>
        </w:rPr>
        <w:t xml:space="preserve"> </w:t>
      </w:r>
      <w:r w:rsidRPr="00F16251">
        <w:rPr>
          <w:rFonts w:cstheme="minorHAnsi"/>
          <w:kern w:val="0"/>
          <w14:ligatures w14:val="none"/>
        </w:rPr>
        <w:t>które</w:t>
      </w:r>
      <w:r w:rsidR="003B50ED" w:rsidRPr="00F16251">
        <w:rPr>
          <w:rFonts w:cstheme="minorHAnsi"/>
          <w:kern w:val="0"/>
          <w14:ligatures w14:val="none"/>
        </w:rPr>
        <w:t xml:space="preserve"> </w:t>
      </w:r>
      <w:r w:rsidRPr="00F16251">
        <w:rPr>
          <w:rFonts w:cstheme="minorHAnsi"/>
          <w:kern w:val="0"/>
          <w14:ligatures w14:val="none"/>
        </w:rPr>
        <w:t>są</w:t>
      </w:r>
      <w:r w:rsidR="003B50ED" w:rsidRPr="00F16251">
        <w:rPr>
          <w:rFonts w:cstheme="minorHAnsi"/>
          <w:kern w:val="0"/>
          <w14:ligatures w14:val="none"/>
        </w:rPr>
        <w:t xml:space="preserve"> </w:t>
      </w:r>
      <w:r w:rsidRPr="00F16251">
        <w:rPr>
          <w:rFonts w:cstheme="minorHAnsi"/>
          <w:kern w:val="0"/>
          <w14:ligatures w14:val="none"/>
        </w:rPr>
        <w:t>objęte</w:t>
      </w:r>
      <w:r w:rsidR="003B50ED" w:rsidRPr="00F16251">
        <w:rPr>
          <w:rFonts w:cstheme="minorHAnsi"/>
          <w:kern w:val="0"/>
          <w14:ligatures w14:val="none"/>
        </w:rPr>
        <w:t xml:space="preserve"> </w:t>
      </w:r>
      <w:r w:rsidRPr="00F16251">
        <w:rPr>
          <w:rFonts w:cstheme="minorHAnsi"/>
          <w:kern w:val="0"/>
          <w14:ligatures w14:val="none"/>
        </w:rPr>
        <w:t>wnioskami</w:t>
      </w:r>
      <w:r w:rsidR="003B50ED" w:rsidRPr="00F16251">
        <w:rPr>
          <w:rFonts w:cstheme="minorHAnsi"/>
          <w:kern w:val="0"/>
          <w14:ligatures w14:val="none"/>
        </w:rPr>
        <w:t xml:space="preserve"> </w:t>
      </w:r>
      <w:r w:rsidRPr="00F16251">
        <w:rPr>
          <w:rFonts w:cstheme="minorHAnsi"/>
          <w:kern w:val="0"/>
          <w14:ligatures w14:val="none"/>
        </w:rPr>
        <w:t>o</w:t>
      </w:r>
      <w:r w:rsidR="003B50ED" w:rsidRPr="00F16251">
        <w:rPr>
          <w:rFonts w:cstheme="minorHAnsi"/>
          <w:kern w:val="0"/>
          <w14:ligatures w14:val="none"/>
        </w:rPr>
        <w:t xml:space="preserve"> </w:t>
      </w:r>
      <w:r w:rsidRPr="00F16251">
        <w:rPr>
          <w:rFonts w:cstheme="minorHAnsi"/>
          <w:kern w:val="0"/>
          <w14:ligatures w14:val="none"/>
        </w:rPr>
        <w:t>wsparcie</w:t>
      </w:r>
      <w:r w:rsidR="003B50ED" w:rsidRPr="00F16251">
        <w:rPr>
          <w:rFonts w:cstheme="minorHAnsi"/>
          <w:kern w:val="0"/>
          <w14:ligatures w14:val="none"/>
        </w:rPr>
        <w:t xml:space="preserve"> </w:t>
      </w:r>
      <w:r w:rsidRPr="00F16251">
        <w:rPr>
          <w:rFonts w:cstheme="minorHAnsi"/>
          <w:kern w:val="0"/>
          <w14:ligatures w14:val="none"/>
        </w:rPr>
        <w:t>złożonymi</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terminie,</w:t>
      </w:r>
      <w:r w:rsidR="003B50ED" w:rsidRPr="00F16251">
        <w:rPr>
          <w:rFonts w:cstheme="minorHAnsi"/>
          <w:kern w:val="0"/>
          <w14:ligatures w14:val="none"/>
        </w:rPr>
        <w:t xml:space="preserve"> </w:t>
      </w:r>
      <w:r w:rsidRPr="00F16251">
        <w:rPr>
          <w:rFonts w:cstheme="minorHAnsi"/>
          <w:kern w:val="0"/>
          <w14:ligatures w14:val="none"/>
        </w:rPr>
        <w:t>miejscu</w:t>
      </w:r>
      <w:r w:rsidR="003B50ED" w:rsidRPr="00F16251">
        <w:rPr>
          <w:rFonts w:cstheme="minorHAnsi"/>
          <w:kern w:val="0"/>
          <w14:ligatures w14:val="none"/>
        </w:rPr>
        <w:t xml:space="preserve"> </w:t>
      </w:r>
      <w:r w:rsidRPr="00F16251">
        <w:rPr>
          <w:rFonts w:cstheme="minorHAnsi"/>
          <w:kern w:val="0"/>
          <w14:ligatures w14:val="none"/>
        </w:rPr>
        <w:t>oraz</w:t>
      </w:r>
      <w:r w:rsidR="003B50ED" w:rsidRPr="00F16251">
        <w:rPr>
          <w:rFonts w:cstheme="minorHAnsi"/>
          <w:kern w:val="0"/>
          <w14:ligatures w14:val="none"/>
        </w:rPr>
        <w:t xml:space="preserve"> </w:t>
      </w:r>
      <w:r w:rsidRPr="00F16251">
        <w:rPr>
          <w:rFonts w:cstheme="minorHAnsi"/>
          <w:kern w:val="0"/>
          <w14:ligatures w14:val="none"/>
        </w:rPr>
        <w:t>formie,</w:t>
      </w:r>
      <w:r w:rsidR="003B50ED" w:rsidRPr="00F16251">
        <w:rPr>
          <w:rFonts w:cstheme="minorHAnsi"/>
          <w:kern w:val="0"/>
          <w14:ligatures w14:val="none"/>
        </w:rPr>
        <w:t xml:space="preserve"> </w:t>
      </w:r>
      <w:r w:rsidRPr="00F16251">
        <w:rPr>
          <w:rFonts w:cstheme="minorHAnsi"/>
          <w:kern w:val="0"/>
          <w14:ligatures w14:val="none"/>
        </w:rPr>
        <w:t>o</w:t>
      </w:r>
      <w:r w:rsidR="003B50ED" w:rsidRPr="00F16251">
        <w:rPr>
          <w:rFonts w:cstheme="minorHAnsi"/>
          <w:kern w:val="0"/>
          <w14:ligatures w14:val="none"/>
        </w:rPr>
        <w:t xml:space="preserve"> </w:t>
      </w:r>
      <w:r w:rsidRPr="00F16251">
        <w:rPr>
          <w:rFonts w:cstheme="minorHAnsi"/>
          <w:kern w:val="0"/>
          <w14:ligatures w14:val="none"/>
        </w:rPr>
        <w:t>których</w:t>
      </w:r>
      <w:r w:rsidR="003B50ED" w:rsidRPr="00F16251">
        <w:rPr>
          <w:rFonts w:cstheme="minorHAnsi"/>
          <w:kern w:val="0"/>
          <w14:ligatures w14:val="none"/>
        </w:rPr>
        <w:t xml:space="preserve"> </w:t>
      </w:r>
      <w:r w:rsidRPr="00F16251">
        <w:rPr>
          <w:rFonts w:cstheme="minorHAnsi"/>
          <w:kern w:val="0"/>
          <w14:ligatures w14:val="none"/>
        </w:rPr>
        <w:t>mowa</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ogłoszeniu</w:t>
      </w:r>
      <w:r w:rsidR="003B50ED" w:rsidRPr="00F16251">
        <w:rPr>
          <w:rFonts w:cstheme="minorHAnsi"/>
          <w:kern w:val="0"/>
          <w14:ligatures w14:val="none"/>
        </w:rPr>
        <w:t xml:space="preserve"> </w:t>
      </w:r>
      <w:r w:rsidRPr="00F16251">
        <w:rPr>
          <w:rFonts w:cstheme="minorHAnsi"/>
          <w:kern w:val="0"/>
          <w14:ligatures w14:val="none"/>
        </w:rPr>
        <w:t>o</w:t>
      </w:r>
      <w:r w:rsidR="003B50ED" w:rsidRPr="00F16251">
        <w:rPr>
          <w:rFonts w:cstheme="minorHAnsi"/>
          <w:kern w:val="0"/>
          <w14:ligatures w14:val="none"/>
        </w:rPr>
        <w:t xml:space="preserve"> </w:t>
      </w:r>
      <w:r w:rsidRPr="00F16251">
        <w:rPr>
          <w:rFonts w:cstheme="minorHAnsi"/>
          <w:kern w:val="0"/>
          <w14:ligatures w14:val="none"/>
        </w:rPr>
        <w:t>naborze</w:t>
      </w:r>
      <w:r w:rsidR="003B50ED" w:rsidRPr="00F16251">
        <w:rPr>
          <w:rFonts w:cstheme="minorHAnsi"/>
          <w:kern w:val="0"/>
          <w14:ligatures w14:val="none"/>
        </w:rPr>
        <w:t xml:space="preserve"> </w:t>
      </w:r>
      <w:r w:rsidRPr="00F16251">
        <w:rPr>
          <w:rFonts w:cstheme="minorHAnsi"/>
          <w:kern w:val="0"/>
          <w14:ligatures w14:val="none"/>
        </w:rPr>
        <w:t>wniosków</w:t>
      </w:r>
      <w:r w:rsidR="003B50ED" w:rsidRPr="00F16251">
        <w:rPr>
          <w:rFonts w:cstheme="minorHAnsi"/>
          <w:kern w:val="0"/>
          <w14:ligatures w14:val="none"/>
        </w:rPr>
        <w:t xml:space="preserve"> </w:t>
      </w:r>
      <w:r w:rsidRPr="00F16251">
        <w:rPr>
          <w:rFonts w:cstheme="minorHAnsi"/>
          <w:kern w:val="0"/>
          <w14:ligatures w14:val="none"/>
        </w:rPr>
        <w:t>o</w:t>
      </w:r>
      <w:r w:rsidR="003B50ED" w:rsidRPr="00F16251">
        <w:rPr>
          <w:rFonts w:cstheme="minorHAnsi"/>
          <w:kern w:val="0"/>
          <w14:ligatures w14:val="none"/>
        </w:rPr>
        <w:t xml:space="preserve"> </w:t>
      </w:r>
      <w:r w:rsidRPr="00F16251">
        <w:rPr>
          <w:rFonts w:cstheme="minorHAnsi"/>
          <w:kern w:val="0"/>
          <w14:ligatures w14:val="none"/>
        </w:rPr>
        <w:t>wsparcie</w:t>
      </w:r>
      <w:r w:rsidR="003B50ED" w:rsidRPr="00F16251">
        <w:rPr>
          <w:rFonts w:cstheme="minorHAnsi"/>
          <w:kern w:val="0"/>
          <w14:ligatures w14:val="none"/>
        </w:rPr>
        <w:t xml:space="preserve"> </w:t>
      </w:r>
      <w:r w:rsidRPr="00F16251">
        <w:rPr>
          <w:rFonts w:cstheme="minorHAnsi"/>
          <w:kern w:val="0"/>
          <w14:ligatures w14:val="none"/>
        </w:rPr>
        <w:t>oraz</w:t>
      </w:r>
      <w:r w:rsidR="003B50ED" w:rsidRPr="00F16251">
        <w:rPr>
          <w:rFonts w:cstheme="minorHAnsi"/>
          <w:kern w:val="0"/>
          <w14:ligatures w14:val="none"/>
        </w:rPr>
        <w:t xml:space="preserve"> </w:t>
      </w:r>
      <w:r w:rsidRPr="00F16251">
        <w:rPr>
          <w:rFonts w:cstheme="minorHAnsi"/>
          <w:kern w:val="0"/>
          <w14:ligatures w14:val="none"/>
        </w:rPr>
        <w:t>spełniają</w:t>
      </w:r>
      <w:r w:rsidR="003B50ED" w:rsidRPr="00F16251">
        <w:rPr>
          <w:rFonts w:cstheme="minorHAnsi"/>
          <w:kern w:val="0"/>
          <w14:ligatures w14:val="none"/>
        </w:rPr>
        <w:t xml:space="preserve"> </w:t>
      </w:r>
      <w:r w:rsidRPr="00F16251">
        <w:rPr>
          <w:rFonts w:cstheme="minorHAnsi"/>
          <w:kern w:val="0"/>
          <w14:ligatures w14:val="none"/>
        </w:rPr>
        <w:t>warunki</w:t>
      </w:r>
      <w:r w:rsidR="003B50ED" w:rsidRPr="00F16251">
        <w:rPr>
          <w:rFonts w:cstheme="minorHAnsi"/>
          <w:kern w:val="0"/>
          <w14:ligatures w14:val="none"/>
        </w:rPr>
        <w:t xml:space="preserve"> </w:t>
      </w:r>
      <w:r w:rsidRPr="00F16251">
        <w:rPr>
          <w:rFonts w:cstheme="minorHAnsi"/>
          <w:kern w:val="0"/>
          <w14:ligatures w14:val="none"/>
        </w:rPr>
        <w:t>udzielenia</w:t>
      </w:r>
      <w:r w:rsidR="003B50ED" w:rsidRPr="00F16251">
        <w:rPr>
          <w:rFonts w:cstheme="minorHAnsi"/>
          <w:kern w:val="0"/>
          <w14:ligatures w14:val="none"/>
        </w:rPr>
        <w:t xml:space="preserve"> </w:t>
      </w:r>
      <w:r w:rsidRPr="00F16251">
        <w:rPr>
          <w:rFonts w:cstheme="minorHAnsi"/>
          <w:kern w:val="0"/>
          <w14:ligatures w14:val="none"/>
        </w:rPr>
        <w:t>wsparcia</w:t>
      </w:r>
      <w:r w:rsidR="003B50ED" w:rsidRPr="00F16251">
        <w:rPr>
          <w:rFonts w:cstheme="minorHAnsi"/>
          <w:kern w:val="0"/>
          <w14:ligatures w14:val="none"/>
        </w:rPr>
        <w:t xml:space="preserve"> </w:t>
      </w:r>
      <w:r w:rsidRPr="00F16251">
        <w:rPr>
          <w:rFonts w:cstheme="minorHAnsi"/>
          <w:kern w:val="0"/>
          <w14:ligatures w14:val="none"/>
        </w:rPr>
        <w:t>na</w:t>
      </w:r>
      <w:r w:rsidR="003B50ED" w:rsidRPr="00F16251">
        <w:rPr>
          <w:rFonts w:cstheme="minorHAnsi"/>
          <w:kern w:val="0"/>
          <w14:ligatures w14:val="none"/>
        </w:rPr>
        <w:t xml:space="preserve"> </w:t>
      </w:r>
      <w:r w:rsidRPr="00F16251">
        <w:rPr>
          <w:rFonts w:cstheme="minorHAnsi"/>
          <w:kern w:val="0"/>
          <w14:ligatures w14:val="none"/>
        </w:rPr>
        <w:t>wdrażanie</w:t>
      </w:r>
      <w:r w:rsidR="003B50ED" w:rsidRPr="00F16251">
        <w:rPr>
          <w:rFonts w:cstheme="minorHAnsi"/>
          <w:kern w:val="0"/>
          <w14:ligatures w14:val="none"/>
        </w:rPr>
        <w:t xml:space="preserve"> </w:t>
      </w:r>
      <w:r w:rsidRPr="00F16251">
        <w:rPr>
          <w:rFonts w:cstheme="minorHAnsi"/>
          <w:kern w:val="0"/>
          <w14:ligatures w14:val="none"/>
        </w:rPr>
        <w:t>LSR,</w:t>
      </w:r>
      <w:r w:rsidR="003B50ED" w:rsidRPr="00F16251">
        <w:rPr>
          <w:rFonts w:cstheme="minorHAnsi"/>
          <w:kern w:val="0"/>
          <w14:ligatures w14:val="none"/>
        </w:rPr>
        <w:t xml:space="preserve"> </w:t>
      </w:r>
    </w:p>
    <w:p w14:paraId="7555FB43" w14:textId="76689F6D" w:rsidR="002C63F4" w:rsidRPr="00F16251" w:rsidRDefault="002C63F4" w:rsidP="00A26C26">
      <w:pPr>
        <w:spacing w:line="276" w:lineRule="auto"/>
        <w:jc w:val="both"/>
        <w:rPr>
          <w:rFonts w:cstheme="minorHAnsi"/>
          <w:kern w:val="0"/>
          <w14:ligatures w14:val="none"/>
        </w:rPr>
      </w:pPr>
      <w:r w:rsidRPr="00F16251">
        <w:rPr>
          <w:rFonts w:cstheme="minorHAnsi"/>
          <w:kern w:val="0"/>
          <w14:ligatures w14:val="none"/>
        </w:rPr>
        <w:t>2)</w:t>
      </w:r>
      <w:r w:rsidR="003B50ED" w:rsidRPr="00F16251">
        <w:rPr>
          <w:rFonts w:cstheme="minorHAnsi"/>
          <w:kern w:val="0"/>
          <w14:ligatures w14:val="none"/>
        </w:rPr>
        <w:t xml:space="preserve"> </w:t>
      </w:r>
      <w:r w:rsidRPr="00F16251">
        <w:rPr>
          <w:rFonts w:cstheme="minorHAnsi"/>
          <w:kern w:val="0"/>
          <w14:ligatures w14:val="none"/>
        </w:rPr>
        <w:t>przy</w:t>
      </w:r>
      <w:r w:rsidR="003B50ED" w:rsidRPr="00F16251">
        <w:rPr>
          <w:rFonts w:cstheme="minorHAnsi"/>
          <w:kern w:val="0"/>
          <w14:ligatures w14:val="none"/>
        </w:rPr>
        <w:t xml:space="preserve"> </w:t>
      </w:r>
      <w:r w:rsidRPr="00F16251">
        <w:rPr>
          <w:rFonts w:cstheme="minorHAnsi"/>
          <w:kern w:val="0"/>
          <w14:ligatures w14:val="none"/>
        </w:rPr>
        <w:t>zastosowaniu</w:t>
      </w:r>
      <w:r w:rsidR="003B50ED" w:rsidRPr="00F16251">
        <w:rPr>
          <w:rFonts w:cstheme="minorHAnsi"/>
          <w:kern w:val="0"/>
          <w14:ligatures w14:val="none"/>
        </w:rPr>
        <w:t xml:space="preserve"> </w:t>
      </w:r>
      <w:r w:rsidRPr="00F16251">
        <w:rPr>
          <w:rFonts w:cstheme="minorHAnsi"/>
          <w:kern w:val="0"/>
          <w14:ligatures w14:val="none"/>
        </w:rPr>
        <w:t>kryteriów</w:t>
      </w:r>
      <w:r w:rsidR="003B50ED" w:rsidRPr="00F16251">
        <w:rPr>
          <w:rFonts w:cstheme="minorHAnsi"/>
          <w:kern w:val="0"/>
          <w14:ligatures w14:val="none"/>
        </w:rPr>
        <w:t xml:space="preserve"> </w:t>
      </w:r>
      <w:r w:rsidRPr="00F16251">
        <w:rPr>
          <w:rFonts w:cstheme="minorHAnsi"/>
          <w:kern w:val="0"/>
          <w14:ligatures w14:val="none"/>
        </w:rPr>
        <w:t>wyboru</w:t>
      </w:r>
      <w:r w:rsidR="003B50ED" w:rsidRPr="00F16251">
        <w:rPr>
          <w:rFonts w:cstheme="minorHAnsi"/>
          <w:kern w:val="0"/>
          <w14:ligatures w14:val="none"/>
        </w:rPr>
        <w:t xml:space="preserve"> </w:t>
      </w:r>
      <w:r w:rsidRPr="00F16251">
        <w:rPr>
          <w:rFonts w:cstheme="minorHAnsi"/>
          <w:kern w:val="0"/>
          <w14:ligatures w14:val="none"/>
        </w:rPr>
        <w:t>operacji.</w:t>
      </w:r>
    </w:p>
    <w:p w14:paraId="7E952D7A" w14:textId="07FDB990" w:rsidR="002C63F4" w:rsidRPr="00F16251" w:rsidRDefault="002C63F4" w:rsidP="00130167">
      <w:pPr>
        <w:spacing w:line="276" w:lineRule="auto"/>
        <w:ind w:firstLine="360"/>
        <w:jc w:val="both"/>
        <w:rPr>
          <w:rFonts w:cstheme="minorHAnsi"/>
          <w:kern w:val="0"/>
          <w14:ligatures w14:val="none"/>
        </w:rPr>
      </w:pP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zakresie</w:t>
      </w:r>
      <w:r w:rsidR="003B50ED" w:rsidRPr="00F16251">
        <w:rPr>
          <w:rFonts w:cstheme="minorHAnsi"/>
          <w:kern w:val="0"/>
          <w14:ligatures w14:val="none"/>
        </w:rPr>
        <w:t xml:space="preserve"> </w:t>
      </w:r>
      <w:r w:rsidRPr="00F16251">
        <w:rPr>
          <w:rFonts w:cstheme="minorHAnsi"/>
          <w:kern w:val="0"/>
          <w14:ligatures w14:val="none"/>
        </w:rPr>
        <w:t>oceny</w:t>
      </w:r>
      <w:r w:rsidR="003B50ED" w:rsidRPr="00F16251">
        <w:rPr>
          <w:rFonts w:cstheme="minorHAnsi"/>
          <w:kern w:val="0"/>
          <w14:ligatures w14:val="none"/>
        </w:rPr>
        <w:t xml:space="preserve"> </w:t>
      </w:r>
      <w:r w:rsidRPr="00F16251">
        <w:rPr>
          <w:rFonts w:cstheme="minorHAnsi"/>
          <w:kern w:val="0"/>
          <w14:ligatures w14:val="none"/>
        </w:rPr>
        <w:t>będzie</w:t>
      </w:r>
      <w:r w:rsidR="003B50ED" w:rsidRPr="00F16251">
        <w:rPr>
          <w:rFonts w:cstheme="minorHAnsi"/>
          <w:kern w:val="0"/>
          <w14:ligatures w14:val="none"/>
        </w:rPr>
        <w:t xml:space="preserve"> </w:t>
      </w:r>
      <w:r w:rsidRPr="00F16251">
        <w:rPr>
          <w:rFonts w:cstheme="minorHAnsi"/>
          <w:kern w:val="0"/>
          <w14:ligatures w14:val="none"/>
        </w:rPr>
        <w:t>również</w:t>
      </w:r>
      <w:r w:rsidR="003B50ED" w:rsidRPr="00F16251">
        <w:rPr>
          <w:rFonts w:cstheme="minorHAnsi"/>
          <w:kern w:val="0"/>
          <w14:ligatures w14:val="none"/>
        </w:rPr>
        <w:t xml:space="preserve"> </w:t>
      </w:r>
      <w:r w:rsidRPr="00F16251">
        <w:rPr>
          <w:rFonts w:cstheme="minorHAnsi"/>
          <w:kern w:val="0"/>
          <w14:ligatures w14:val="none"/>
        </w:rPr>
        <w:t>dokonanie</w:t>
      </w:r>
      <w:r w:rsidR="003B50ED" w:rsidRPr="00F16251">
        <w:rPr>
          <w:rFonts w:cstheme="minorHAnsi"/>
          <w:kern w:val="0"/>
          <w14:ligatures w14:val="none"/>
        </w:rPr>
        <w:t xml:space="preserve"> </w:t>
      </w:r>
      <w:r w:rsidRPr="00F16251">
        <w:rPr>
          <w:rFonts w:cstheme="minorHAnsi"/>
          <w:kern w:val="0"/>
          <w14:ligatures w14:val="none"/>
        </w:rPr>
        <w:t>ustalenia</w:t>
      </w:r>
      <w:r w:rsidR="003B50ED" w:rsidRPr="00F16251">
        <w:rPr>
          <w:rFonts w:cstheme="minorHAnsi"/>
          <w:kern w:val="0"/>
          <w14:ligatures w14:val="none"/>
        </w:rPr>
        <w:t xml:space="preserve"> </w:t>
      </w:r>
      <w:r w:rsidRPr="00F16251">
        <w:rPr>
          <w:rFonts w:cstheme="minorHAnsi"/>
          <w:kern w:val="0"/>
          <w14:ligatures w14:val="none"/>
        </w:rPr>
        <w:t>kwoty</w:t>
      </w:r>
      <w:r w:rsidR="003B50ED" w:rsidRPr="00F16251">
        <w:rPr>
          <w:rFonts w:cstheme="minorHAnsi"/>
          <w:kern w:val="0"/>
          <w14:ligatures w14:val="none"/>
        </w:rPr>
        <w:t xml:space="preserve"> </w:t>
      </w:r>
      <w:r w:rsidRPr="00F16251">
        <w:rPr>
          <w:rFonts w:cstheme="minorHAnsi"/>
          <w:kern w:val="0"/>
          <w14:ligatures w14:val="none"/>
        </w:rPr>
        <w:t>wsparcia.</w:t>
      </w:r>
      <w:r w:rsidR="003B50ED" w:rsidRPr="00F16251">
        <w:rPr>
          <w:rFonts w:cstheme="minorHAnsi"/>
          <w:kern w:val="0"/>
          <w14:ligatures w14:val="none"/>
        </w:rPr>
        <w:t xml:space="preserve"> </w:t>
      </w:r>
    </w:p>
    <w:p w14:paraId="3BFE9024" w14:textId="624E82CF" w:rsidR="002C63F4" w:rsidRPr="00F16251" w:rsidRDefault="002C63F4" w:rsidP="00130167">
      <w:pPr>
        <w:spacing w:line="276" w:lineRule="auto"/>
        <w:ind w:firstLine="360"/>
        <w:jc w:val="both"/>
        <w:rPr>
          <w:rFonts w:cstheme="minorHAnsi"/>
          <w:kern w:val="0"/>
          <w14:ligatures w14:val="none"/>
        </w:rPr>
      </w:pPr>
      <w:r w:rsidRPr="00F16251">
        <w:rPr>
          <w:rFonts w:cstheme="minorHAnsi"/>
          <w:kern w:val="0"/>
          <w14:ligatures w14:val="none"/>
        </w:rPr>
        <w:t>Jeżeli</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trakcie</w:t>
      </w:r>
      <w:r w:rsidR="003B50ED" w:rsidRPr="00F16251">
        <w:rPr>
          <w:rFonts w:cstheme="minorHAnsi"/>
          <w:kern w:val="0"/>
          <w14:ligatures w14:val="none"/>
        </w:rPr>
        <w:t xml:space="preserve"> </w:t>
      </w:r>
      <w:r w:rsidRPr="00F16251">
        <w:rPr>
          <w:rFonts w:cstheme="minorHAnsi"/>
          <w:kern w:val="0"/>
          <w14:ligatures w14:val="none"/>
        </w:rPr>
        <w:t>oceny</w:t>
      </w:r>
      <w:r w:rsidR="003B50ED" w:rsidRPr="00F16251">
        <w:rPr>
          <w:rFonts w:cstheme="minorHAnsi"/>
          <w:kern w:val="0"/>
          <w14:ligatures w14:val="none"/>
        </w:rPr>
        <w:t xml:space="preserve"> </w:t>
      </w:r>
      <w:r w:rsidRPr="00F16251">
        <w:rPr>
          <w:rFonts w:cstheme="minorHAnsi"/>
          <w:kern w:val="0"/>
          <w14:ligatures w14:val="none"/>
        </w:rPr>
        <w:t>konieczne</w:t>
      </w:r>
      <w:r w:rsidR="003B50ED" w:rsidRPr="00F16251">
        <w:rPr>
          <w:rFonts w:cstheme="minorHAnsi"/>
          <w:kern w:val="0"/>
          <w14:ligatures w14:val="none"/>
        </w:rPr>
        <w:t xml:space="preserve"> </w:t>
      </w:r>
      <w:r w:rsidRPr="00F16251">
        <w:rPr>
          <w:rFonts w:cstheme="minorHAnsi"/>
          <w:kern w:val="0"/>
          <w14:ligatures w14:val="none"/>
        </w:rPr>
        <w:t>będzie</w:t>
      </w:r>
      <w:r w:rsidR="003B50ED" w:rsidRPr="00F16251">
        <w:rPr>
          <w:rFonts w:cstheme="minorHAnsi"/>
          <w:kern w:val="0"/>
          <w14:ligatures w14:val="none"/>
        </w:rPr>
        <w:t xml:space="preserve"> </w:t>
      </w:r>
      <w:r w:rsidRPr="00F16251">
        <w:rPr>
          <w:rFonts w:cstheme="minorHAnsi"/>
          <w:kern w:val="0"/>
          <w14:ligatures w14:val="none"/>
        </w:rPr>
        <w:t>uzyskanie</w:t>
      </w:r>
      <w:r w:rsidR="003B50ED" w:rsidRPr="00F16251">
        <w:rPr>
          <w:rFonts w:cstheme="minorHAnsi"/>
          <w:kern w:val="0"/>
          <w14:ligatures w14:val="none"/>
        </w:rPr>
        <w:t xml:space="preserve"> </w:t>
      </w:r>
      <w:r w:rsidRPr="00F16251">
        <w:rPr>
          <w:rFonts w:cstheme="minorHAnsi"/>
          <w:kern w:val="0"/>
          <w14:ligatures w14:val="none"/>
        </w:rPr>
        <w:t>wyjaśnień</w:t>
      </w:r>
      <w:r w:rsidR="003B50ED" w:rsidRPr="00F16251">
        <w:rPr>
          <w:rFonts w:cstheme="minorHAnsi"/>
          <w:kern w:val="0"/>
          <w14:ligatures w14:val="none"/>
        </w:rPr>
        <w:t xml:space="preserve"> </w:t>
      </w:r>
      <w:r w:rsidRPr="00F16251">
        <w:rPr>
          <w:rFonts w:cstheme="minorHAnsi"/>
          <w:kern w:val="0"/>
          <w14:ligatures w14:val="none"/>
        </w:rPr>
        <w:t>lub</w:t>
      </w:r>
      <w:r w:rsidR="003B50ED" w:rsidRPr="00F16251">
        <w:rPr>
          <w:rFonts w:cstheme="minorHAnsi"/>
          <w:kern w:val="0"/>
          <w14:ligatures w14:val="none"/>
        </w:rPr>
        <w:t xml:space="preserve"> </w:t>
      </w:r>
      <w:r w:rsidRPr="00F16251">
        <w:rPr>
          <w:rFonts w:cstheme="minorHAnsi"/>
          <w:kern w:val="0"/>
          <w14:ligatures w14:val="none"/>
        </w:rPr>
        <w:t>dokumentów</w:t>
      </w:r>
      <w:r w:rsidR="003B50ED" w:rsidRPr="00F16251">
        <w:rPr>
          <w:rFonts w:cstheme="minorHAnsi"/>
          <w:kern w:val="0"/>
          <w14:ligatures w14:val="none"/>
        </w:rPr>
        <w:t xml:space="preserve"> </w:t>
      </w:r>
      <w:r w:rsidRPr="00F16251">
        <w:rPr>
          <w:rFonts w:cstheme="minorHAnsi"/>
          <w:kern w:val="0"/>
          <w14:ligatures w14:val="none"/>
        </w:rPr>
        <w:t>niezbędnych</w:t>
      </w:r>
      <w:r w:rsidR="003B50ED" w:rsidRPr="00F16251">
        <w:rPr>
          <w:rFonts w:cstheme="minorHAnsi"/>
          <w:kern w:val="0"/>
          <w14:ligatures w14:val="none"/>
        </w:rPr>
        <w:t xml:space="preserve"> </w:t>
      </w:r>
      <w:r w:rsidRPr="00F16251">
        <w:rPr>
          <w:rFonts w:cstheme="minorHAnsi"/>
          <w:kern w:val="0"/>
          <w14:ligatures w14:val="none"/>
        </w:rPr>
        <w:t>do</w:t>
      </w:r>
      <w:r w:rsidR="003B50ED" w:rsidRPr="00F16251">
        <w:rPr>
          <w:rFonts w:cstheme="minorHAnsi"/>
          <w:kern w:val="0"/>
          <w14:ligatures w14:val="none"/>
        </w:rPr>
        <w:t xml:space="preserve"> </w:t>
      </w:r>
      <w:r w:rsidRPr="00F16251">
        <w:rPr>
          <w:rFonts w:cstheme="minorHAnsi"/>
          <w:kern w:val="0"/>
          <w14:ligatures w14:val="none"/>
        </w:rPr>
        <w:t>oceny</w:t>
      </w:r>
      <w:r w:rsidR="003B50ED" w:rsidRPr="00F16251">
        <w:rPr>
          <w:rFonts w:cstheme="minorHAnsi"/>
          <w:kern w:val="0"/>
          <w14:ligatures w14:val="none"/>
        </w:rPr>
        <w:t xml:space="preserve"> </w:t>
      </w:r>
      <w:r w:rsidRPr="00F16251">
        <w:rPr>
          <w:rFonts w:cstheme="minorHAnsi"/>
          <w:kern w:val="0"/>
          <w14:ligatures w14:val="none"/>
        </w:rPr>
        <w:t>wniosku,</w:t>
      </w:r>
      <w:r w:rsidR="003B50ED" w:rsidRPr="00F16251">
        <w:rPr>
          <w:rFonts w:cstheme="minorHAnsi"/>
          <w:kern w:val="0"/>
          <w14:ligatures w14:val="none"/>
        </w:rPr>
        <w:t xml:space="preserve"> </w:t>
      </w:r>
      <w:r w:rsidRPr="00F16251">
        <w:rPr>
          <w:rFonts w:cstheme="minorHAnsi"/>
          <w:kern w:val="0"/>
          <w14:ligatures w14:val="none"/>
        </w:rPr>
        <w:t>wyboru</w:t>
      </w:r>
      <w:r w:rsidR="003B50ED" w:rsidRPr="00F16251">
        <w:rPr>
          <w:rFonts w:cstheme="minorHAnsi"/>
          <w:kern w:val="0"/>
          <w14:ligatures w14:val="none"/>
        </w:rPr>
        <w:t xml:space="preserve"> </w:t>
      </w:r>
      <w:r w:rsidRPr="00F16251">
        <w:rPr>
          <w:rFonts w:cstheme="minorHAnsi"/>
          <w:kern w:val="0"/>
          <w14:ligatures w14:val="none"/>
        </w:rPr>
        <w:t>operacji</w:t>
      </w:r>
      <w:r w:rsidR="003B50ED" w:rsidRPr="00F16251">
        <w:rPr>
          <w:rFonts w:cstheme="minorHAnsi"/>
          <w:kern w:val="0"/>
          <w14:ligatures w14:val="none"/>
        </w:rPr>
        <w:t xml:space="preserve"> </w:t>
      </w:r>
      <w:r w:rsidRPr="00F16251">
        <w:rPr>
          <w:rFonts w:cstheme="minorHAnsi"/>
          <w:kern w:val="0"/>
          <w14:ligatures w14:val="none"/>
        </w:rPr>
        <w:t>lub</w:t>
      </w:r>
      <w:r w:rsidR="003B50ED" w:rsidRPr="00F16251">
        <w:rPr>
          <w:rFonts w:cstheme="minorHAnsi"/>
          <w:kern w:val="0"/>
          <w14:ligatures w14:val="none"/>
        </w:rPr>
        <w:t xml:space="preserve"> </w:t>
      </w:r>
      <w:r w:rsidRPr="00F16251">
        <w:rPr>
          <w:rFonts w:cstheme="minorHAnsi"/>
          <w:kern w:val="0"/>
          <w14:ligatures w14:val="none"/>
        </w:rPr>
        <w:t>ustalenia</w:t>
      </w:r>
      <w:r w:rsidR="003B50ED" w:rsidRPr="00F16251">
        <w:rPr>
          <w:rFonts w:cstheme="minorHAnsi"/>
          <w:kern w:val="0"/>
          <w14:ligatures w14:val="none"/>
        </w:rPr>
        <w:t xml:space="preserve"> </w:t>
      </w:r>
      <w:r w:rsidRPr="00F16251">
        <w:rPr>
          <w:rFonts w:cstheme="minorHAnsi"/>
          <w:kern w:val="0"/>
          <w14:ligatures w14:val="none"/>
        </w:rPr>
        <w:t>kwoty</w:t>
      </w:r>
      <w:r w:rsidR="003B50ED" w:rsidRPr="00F16251">
        <w:rPr>
          <w:rFonts w:cstheme="minorHAnsi"/>
          <w:kern w:val="0"/>
          <w14:ligatures w14:val="none"/>
        </w:rPr>
        <w:t xml:space="preserve"> </w:t>
      </w:r>
      <w:r w:rsidRPr="00F16251">
        <w:rPr>
          <w:rFonts w:cstheme="minorHAnsi"/>
          <w:kern w:val="0"/>
          <w14:ligatures w14:val="none"/>
        </w:rPr>
        <w:t>wsparcia</w:t>
      </w:r>
      <w:r w:rsidR="003B50ED" w:rsidRPr="00F16251">
        <w:rPr>
          <w:rFonts w:cstheme="minorHAnsi"/>
          <w:kern w:val="0"/>
          <w14:ligatures w14:val="none"/>
        </w:rPr>
        <w:t xml:space="preserve"> </w:t>
      </w:r>
      <w:r w:rsidRPr="00F16251">
        <w:rPr>
          <w:rFonts w:cstheme="minorHAnsi"/>
          <w:kern w:val="0"/>
          <w14:ligatures w14:val="none"/>
        </w:rPr>
        <w:t>LGD</w:t>
      </w:r>
      <w:r w:rsidR="003B50ED" w:rsidRPr="00F16251">
        <w:rPr>
          <w:rFonts w:cstheme="minorHAnsi"/>
          <w:kern w:val="0"/>
          <w14:ligatures w14:val="none"/>
        </w:rPr>
        <w:t xml:space="preserve"> </w:t>
      </w:r>
      <w:r w:rsidRPr="00F16251">
        <w:rPr>
          <w:rFonts w:cstheme="minorHAnsi"/>
          <w:kern w:val="0"/>
          <w14:ligatures w14:val="none"/>
        </w:rPr>
        <w:t>będzie</w:t>
      </w:r>
      <w:r w:rsidR="003B50ED" w:rsidRPr="00F16251">
        <w:rPr>
          <w:rFonts w:cstheme="minorHAnsi"/>
          <w:kern w:val="0"/>
          <w14:ligatures w14:val="none"/>
        </w:rPr>
        <w:t xml:space="preserve"> </w:t>
      </w:r>
      <w:r w:rsidRPr="00F16251">
        <w:rPr>
          <w:rFonts w:cstheme="minorHAnsi"/>
          <w:kern w:val="0"/>
          <w14:ligatures w14:val="none"/>
        </w:rPr>
        <w:t>miała</w:t>
      </w:r>
      <w:r w:rsidR="003B50ED" w:rsidRPr="00F16251">
        <w:rPr>
          <w:rFonts w:cstheme="minorHAnsi"/>
          <w:kern w:val="0"/>
          <w14:ligatures w14:val="none"/>
        </w:rPr>
        <w:t xml:space="preserve"> </w:t>
      </w:r>
      <w:r w:rsidRPr="00F16251">
        <w:rPr>
          <w:rFonts w:cstheme="minorHAnsi"/>
          <w:kern w:val="0"/>
          <w14:ligatures w14:val="none"/>
        </w:rPr>
        <w:t>możliwość</w:t>
      </w:r>
      <w:r w:rsidR="003B50ED" w:rsidRPr="00F16251">
        <w:rPr>
          <w:rFonts w:cstheme="minorHAnsi"/>
          <w:kern w:val="0"/>
          <w14:ligatures w14:val="none"/>
        </w:rPr>
        <w:t xml:space="preserve"> </w:t>
      </w:r>
      <w:r w:rsidRPr="00F16251">
        <w:rPr>
          <w:rFonts w:cstheme="minorHAnsi"/>
          <w:kern w:val="0"/>
          <w14:ligatures w14:val="none"/>
        </w:rPr>
        <w:t>wezwania</w:t>
      </w:r>
      <w:r w:rsidR="003B50ED" w:rsidRPr="00F16251">
        <w:rPr>
          <w:rFonts w:cstheme="minorHAnsi"/>
          <w:kern w:val="0"/>
          <w14:ligatures w14:val="none"/>
        </w:rPr>
        <w:t xml:space="preserve"> </w:t>
      </w:r>
      <w:r w:rsidRPr="00F16251">
        <w:rPr>
          <w:rFonts w:cstheme="minorHAnsi"/>
          <w:kern w:val="0"/>
          <w14:ligatures w14:val="none"/>
        </w:rPr>
        <w:t>Wnioskodawcę</w:t>
      </w:r>
      <w:r w:rsidR="003B50ED" w:rsidRPr="00F16251">
        <w:rPr>
          <w:rFonts w:cstheme="minorHAnsi"/>
          <w:kern w:val="0"/>
          <w14:ligatures w14:val="none"/>
        </w:rPr>
        <w:t xml:space="preserve"> </w:t>
      </w:r>
      <w:r w:rsidRPr="00F16251">
        <w:rPr>
          <w:rFonts w:cstheme="minorHAnsi"/>
          <w:kern w:val="0"/>
          <w14:ligatures w14:val="none"/>
        </w:rPr>
        <w:t>do</w:t>
      </w:r>
      <w:r w:rsidR="003B50ED" w:rsidRPr="00F16251">
        <w:rPr>
          <w:rFonts w:cstheme="minorHAnsi"/>
          <w:kern w:val="0"/>
          <w14:ligatures w14:val="none"/>
        </w:rPr>
        <w:t xml:space="preserve"> </w:t>
      </w:r>
      <w:r w:rsidRPr="00F16251">
        <w:rPr>
          <w:rFonts w:cstheme="minorHAnsi"/>
          <w:kern w:val="0"/>
          <w14:ligatures w14:val="none"/>
        </w:rPr>
        <w:t>złożenia</w:t>
      </w:r>
      <w:r w:rsidR="003B50ED" w:rsidRPr="00F16251">
        <w:rPr>
          <w:rFonts w:cstheme="minorHAnsi"/>
          <w:kern w:val="0"/>
          <w14:ligatures w14:val="none"/>
        </w:rPr>
        <w:t xml:space="preserve"> </w:t>
      </w:r>
      <w:r w:rsidRPr="00F16251">
        <w:rPr>
          <w:rFonts w:cstheme="minorHAnsi"/>
          <w:kern w:val="0"/>
          <w14:ligatures w14:val="none"/>
        </w:rPr>
        <w:t>tych</w:t>
      </w:r>
      <w:r w:rsidR="003B50ED" w:rsidRPr="00F16251">
        <w:rPr>
          <w:rFonts w:cstheme="minorHAnsi"/>
          <w:kern w:val="0"/>
          <w14:ligatures w14:val="none"/>
        </w:rPr>
        <w:t xml:space="preserve"> </w:t>
      </w:r>
      <w:r w:rsidRPr="00F16251">
        <w:rPr>
          <w:rFonts w:cstheme="minorHAnsi"/>
          <w:kern w:val="0"/>
          <w14:ligatures w14:val="none"/>
        </w:rPr>
        <w:t>wyjaśnień</w:t>
      </w:r>
      <w:r w:rsidR="003B50ED" w:rsidRPr="00F16251">
        <w:rPr>
          <w:rFonts w:cstheme="minorHAnsi"/>
          <w:kern w:val="0"/>
          <w14:ligatures w14:val="none"/>
        </w:rPr>
        <w:t xml:space="preserve"> </w:t>
      </w:r>
      <w:r w:rsidRPr="00F16251">
        <w:rPr>
          <w:rFonts w:cstheme="minorHAnsi"/>
          <w:kern w:val="0"/>
          <w14:ligatures w14:val="none"/>
        </w:rPr>
        <w:t>lub</w:t>
      </w:r>
      <w:r w:rsidR="003B50ED" w:rsidRPr="00F16251">
        <w:rPr>
          <w:rFonts w:cstheme="minorHAnsi"/>
          <w:kern w:val="0"/>
          <w14:ligatures w14:val="none"/>
        </w:rPr>
        <w:t xml:space="preserve"> </w:t>
      </w:r>
      <w:r w:rsidRPr="00F16251">
        <w:rPr>
          <w:rFonts w:cstheme="minorHAnsi"/>
          <w:kern w:val="0"/>
          <w14:ligatures w14:val="none"/>
        </w:rPr>
        <w:t>dokumentów.</w:t>
      </w:r>
      <w:r w:rsidR="003B50ED" w:rsidRPr="00F16251">
        <w:rPr>
          <w:rFonts w:cstheme="minorHAnsi"/>
          <w:kern w:val="0"/>
          <w14:ligatures w14:val="none"/>
        </w:rPr>
        <w:t xml:space="preserve"> </w:t>
      </w:r>
      <w:r w:rsidRPr="00F16251">
        <w:rPr>
          <w:rFonts w:cstheme="minorHAnsi"/>
          <w:kern w:val="0"/>
          <w14:ligatures w14:val="none"/>
        </w:rPr>
        <w:t>Wnioskodawca</w:t>
      </w:r>
      <w:r w:rsidR="003B50ED" w:rsidRPr="00F16251">
        <w:rPr>
          <w:rFonts w:cstheme="minorHAnsi"/>
          <w:kern w:val="0"/>
          <w14:ligatures w14:val="none"/>
        </w:rPr>
        <w:t xml:space="preserve"> </w:t>
      </w:r>
      <w:r w:rsidRPr="00F16251">
        <w:rPr>
          <w:rFonts w:cstheme="minorHAnsi"/>
          <w:kern w:val="0"/>
          <w14:ligatures w14:val="none"/>
        </w:rPr>
        <w:t>będzie</w:t>
      </w:r>
      <w:r w:rsidR="003B50ED" w:rsidRPr="00F16251">
        <w:rPr>
          <w:rFonts w:cstheme="minorHAnsi"/>
          <w:kern w:val="0"/>
          <w14:ligatures w14:val="none"/>
        </w:rPr>
        <w:t xml:space="preserve"> </w:t>
      </w:r>
      <w:r w:rsidRPr="00F16251">
        <w:rPr>
          <w:rFonts w:cstheme="minorHAnsi"/>
          <w:kern w:val="0"/>
          <w14:ligatures w14:val="none"/>
        </w:rPr>
        <w:t>zobowiązany</w:t>
      </w:r>
      <w:r w:rsidR="003B50ED" w:rsidRPr="00F16251">
        <w:rPr>
          <w:rFonts w:cstheme="minorHAnsi"/>
          <w:kern w:val="0"/>
          <w14:ligatures w14:val="none"/>
        </w:rPr>
        <w:t xml:space="preserve"> </w:t>
      </w:r>
      <w:r w:rsidRPr="00F16251">
        <w:rPr>
          <w:rFonts w:cstheme="minorHAnsi"/>
          <w:kern w:val="0"/>
          <w14:ligatures w14:val="none"/>
        </w:rPr>
        <w:t>przedstawiać</w:t>
      </w:r>
      <w:r w:rsidR="003B50ED" w:rsidRPr="00F16251">
        <w:rPr>
          <w:rFonts w:cstheme="minorHAnsi"/>
          <w:kern w:val="0"/>
          <w14:ligatures w14:val="none"/>
        </w:rPr>
        <w:t xml:space="preserve"> </w:t>
      </w:r>
      <w:r w:rsidRPr="00F16251">
        <w:rPr>
          <w:rFonts w:cstheme="minorHAnsi"/>
          <w:kern w:val="0"/>
          <w14:ligatures w14:val="none"/>
        </w:rPr>
        <w:t>dowody</w:t>
      </w:r>
      <w:r w:rsidR="003B50ED" w:rsidRPr="00F16251">
        <w:rPr>
          <w:rFonts w:cstheme="minorHAnsi"/>
          <w:kern w:val="0"/>
          <w14:ligatures w14:val="none"/>
        </w:rPr>
        <w:t xml:space="preserve"> </w:t>
      </w:r>
      <w:r w:rsidRPr="00F16251">
        <w:rPr>
          <w:rFonts w:cstheme="minorHAnsi"/>
          <w:kern w:val="0"/>
          <w14:ligatures w14:val="none"/>
        </w:rPr>
        <w:t>oraz</w:t>
      </w:r>
      <w:r w:rsidR="003B50ED" w:rsidRPr="00F16251">
        <w:rPr>
          <w:rFonts w:cstheme="minorHAnsi"/>
          <w:kern w:val="0"/>
          <w14:ligatures w14:val="none"/>
        </w:rPr>
        <w:t xml:space="preserve"> </w:t>
      </w:r>
      <w:r w:rsidRPr="00F16251">
        <w:rPr>
          <w:rFonts w:cstheme="minorHAnsi"/>
          <w:kern w:val="0"/>
          <w14:ligatures w14:val="none"/>
        </w:rPr>
        <w:t>składać</w:t>
      </w:r>
      <w:r w:rsidR="003B50ED" w:rsidRPr="00F16251">
        <w:rPr>
          <w:rFonts w:cstheme="minorHAnsi"/>
          <w:kern w:val="0"/>
          <w14:ligatures w14:val="none"/>
        </w:rPr>
        <w:t xml:space="preserve"> </w:t>
      </w:r>
      <w:r w:rsidRPr="00F16251">
        <w:rPr>
          <w:rFonts w:cstheme="minorHAnsi"/>
          <w:kern w:val="0"/>
          <w14:ligatures w14:val="none"/>
        </w:rPr>
        <w:t>wyjaśnienia</w:t>
      </w:r>
      <w:r w:rsidR="003B50ED" w:rsidRPr="00F16251">
        <w:rPr>
          <w:rFonts w:cstheme="minorHAnsi"/>
          <w:kern w:val="0"/>
          <w14:ligatures w14:val="none"/>
        </w:rPr>
        <w:t xml:space="preserve"> </w:t>
      </w:r>
      <w:r w:rsidRPr="00F16251">
        <w:rPr>
          <w:rFonts w:cstheme="minorHAnsi"/>
          <w:kern w:val="0"/>
          <w14:ligatures w14:val="none"/>
        </w:rPr>
        <w:t>niezbędne</w:t>
      </w:r>
      <w:r w:rsidR="003B50ED" w:rsidRPr="00F16251">
        <w:rPr>
          <w:rFonts w:cstheme="minorHAnsi"/>
          <w:kern w:val="0"/>
          <w14:ligatures w14:val="none"/>
        </w:rPr>
        <w:t xml:space="preserve"> </w:t>
      </w:r>
      <w:r w:rsidRPr="00F16251">
        <w:rPr>
          <w:rFonts w:cstheme="minorHAnsi"/>
          <w:kern w:val="0"/>
          <w14:ligatures w14:val="none"/>
        </w:rPr>
        <w:t>do</w:t>
      </w:r>
      <w:r w:rsidR="003B50ED" w:rsidRPr="00F16251">
        <w:rPr>
          <w:rFonts w:cstheme="minorHAnsi"/>
          <w:kern w:val="0"/>
          <w14:ligatures w14:val="none"/>
        </w:rPr>
        <w:t xml:space="preserve"> </w:t>
      </w:r>
      <w:r w:rsidRPr="00F16251">
        <w:rPr>
          <w:rFonts w:cstheme="minorHAnsi"/>
          <w:kern w:val="0"/>
          <w14:ligatures w14:val="none"/>
        </w:rPr>
        <w:t>oceny</w:t>
      </w:r>
      <w:r w:rsidR="003B50ED" w:rsidRPr="00F16251">
        <w:rPr>
          <w:rFonts w:cstheme="minorHAnsi"/>
          <w:kern w:val="0"/>
          <w14:ligatures w14:val="none"/>
        </w:rPr>
        <w:t xml:space="preserve"> </w:t>
      </w:r>
      <w:r w:rsidRPr="00F16251">
        <w:rPr>
          <w:rFonts w:cstheme="minorHAnsi"/>
          <w:kern w:val="0"/>
          <w14:ligatures w14:val="none"/>
        </w:rPr>
        <w:t>wniosku,</w:t>
      </w:r>
      <w:r w:rsidR="003B50ED" w:rsidRPr="00F16251">
        <w:rPr>
          <w:rFonts w:cstheme="minorHAnsi"/>
          <w:kern w:val="0"/>
          <w14:ligatures w14:val="none"/>
        </w:rPr>
        <w:t xml:space="preserve"> </w:t>
      </w:r>
      <w:r w:rsidRPr="00F16251">
        <w:rPr>
          <w:rFonts w:cstheme="minorHAnsi"/>
          <w:kern w:val="0"/>
          <w14:ligatures w14:val="none"/>
        </w:rPr>
        <w:t>wyboru</w:t>
      </w:r>
      <w:r w:rsidR="003B50ED" w:rsidRPr="00F16251">
        <w:rPr>
          <w:rFonts w:cstheme="minorHAnsi"/>
          <w:kern w:val="0"/>
          <w14:ligatures w14:val="none"/>
        </w:rPr>
        <w:t xml:space="preserve"> </w:t>
      </w:r>
      <w:r w:rsidRPr="00F16251">
        <w:rPr>
          <w:rFonts w:cstheme="minorHAnsi"/>
          <w:kern w:val="0"/>
          <w14:ligatures w14:val="none"/>
        </w:rPr>
        <w:t>operacji</w:t>
      </w:r>
      <w:r w:rsidR="003B50ED" w:rsidRPr="00F16251">
        <w:rPr>
          <w:rFonts w:cstheme="minorHAnsi"/>
          <w:kern w:val="0"/>
          <w14:ligatures w14:val="none"/>
        </w:rPr>
        <w:t xml:space="preserve"> </w:t>
      </w:r>
      <w:r w:rsidRPr="00F16251">
        <w:rPr>
          <w:rFonts w:cstheme="minorHAnsi"/>
          <w:kern w:val="0"/>
          <w14:ligatures w14:val="none"/>
        </w:rPr>
        <w:t>lub</w:t>
      </w:r>
      <w:r w:rsidR="003B50ED" w:rsidRPr="00F16251">
        <w:rPr>
          <w:rFonts w:cstheme="minorHAnsi"/>
          <w:kern w:val="0"/>
          <w14:ligatures w14:val="none"/>
        </w:rPr>
        <w:t xml:space="preserve"> </w:t>
      </w:r>
      <w:r w:rsidRPr="00F16251">
        <w:rPr>
          <w:rFonts w:cstheme="minorHAnsi"/>
          <w:kern w:val="0"/>
          <w14:ligatures w14:val="none"/>
        </w:rPr>
        <w:t>ustalenia</w:t>
      </w:r>
      <w:r w:rsidR="003B50ED" w:rsidRPr="00F16251">
        <w:rPr>
          <w:rFonts w:cstheme="minorHAnsi"/>
          <w:kern w:val="0"/>
          <w14:ligatures w14:val="none"/>
        </w:rPr>
        <w:t xml:space="preserve"> </w:t>
      </w:r>
      <w:r w:rsidRPr="00F16251">
        <w:rPr>
          <w:rFonts w:cstheme="minorHAnsi"/>
          <w:kern w:val="0"/>
          <w14:ligatures w14:val="none"/>
        </w:rPr>
        <w:t>kwoty</w:t>
      </w:r>
      <w:r w:rsidR="003B50ED" w:rsidRPr="00F16251">
        <w:rPr>
          <w:rFonts w:cstheme="minorHAnsi"/>
          <w:kern w:val="0"/>
          <w14:ligatures w14:val="none"/>
        </w:rPr>
        <w:t xml:space="preserve"> </w:t>
      </w:r>
      <w:r w:rsidRPr="00F16251">
        <w:rPr>
          <w:rFonts w:cstheme="minorHAnsi"/>
          <w:kern w:val="0"/>
          <w14:ligatures w14:val="none"/>
        </w:rPr>
        <w:t>wsparcia</w:t>
      </w:r>
      <w:r w:rsidR="003B50ED" w:rsidRPr="00F16251">
        <w:rPr>
          <w:rFonts w:cstheme="minorHAnsi"/>
          <w:kern w:val="0"/>
          <w14:ligatures w14:val="none"/>
        </w:rPr>
        <w:t xml:space="preserve"> </w:t>
      </w:r>
      <w:r w:rsidRPr="00F16251">
        <w:rPr>
          <w:rFonts w:cstheme="minorHAnsi"/>
          <w:kern w:val="0"/>
          <w14:ligatures w14:val="none"/>
        </w:rPr>
        <w:t>zgodnie</w:t>
      </w:r>
      <w:r w:rsidR="003B50ED" w:rsidRPr="00F16251">
        <w:rPr>
          <w:rFonts w:cstheme="minorHAnsi"/>
          <w:kern w:val="0"/>
          <w14:ligatures w14:val="none"/>
        </w:rPr>
        <w:t xml:space="preserve"> </w:t>
      </w:r>
      <w:r w:rsidRPr="00F16251">
        <w:rPr>
          <w:rFonts w:cstheme="minorHAnsi"/>
          <w:kern w:val="0"/>
          <w14:ligatures w14:val="none"/>
        </w:rPr>
        <w:t>z</w:t>
      </w:r>
      <w:r w:rsidR="003B50ED" w:rsidRPr="00F16251">
        <w:rPr>
          <w:rFonts w:cstheme="minorHAnsi"/>
          <w:kern w:val="0"/>
          <w14:ligatures w14:val="none"/>
        </w:rPr>
        <w:t xml:space="preserve"> </w:t>
      </w:r>
      <w:r w:rsidRPr="00F16251">
        <w:rPr>
          <w:rFonts w:cstheme="minorHAnsi"/>
          <w:kern w:val="0"/>
          <w14:ligatures w14:val="none"/>
        </w:rPr>
        <w:t>prawdą</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bez</w:t>
      </w:r>
      <w:r w:rsidR="003B50ED" w:rsidRPr="00F16251">
        <w:rPr>
          <w:rFonts w:cstheme="minorHAnsi"/>
          <w:kern w:val="0"/>
          <w14:ligatures w14:val="none"/>
        </w:rPr>
        <w:t xml:space="preserve"> </w:t>
      </w:r>
      <w:r w:rsidRPr="00F16251">
        <w:rPr>
          <w:rFonts w:cstheme="minorHAnsi"/>
          <w:kern w:val="0"/>
          <w14:ligatures w14:val="none"/>
        </w:rPr>
        <w:t>zatajania</w:t>
      </w:r>
      <w:r w:rsidR="003B50ED" w:rsidRPr="00F16251">
        <w:rPr>
          <w:rFonts w:cstheme="minorHAnsi"/>
          <w:kern w:val="0"/>
          <w14:ligatures w14:val="none"/>
        </w:rPr>
        <w:t xml:space="preserve"> </w:t>
      </w:r>
      <w:r w:rsidRPr="00F16251">
        <w:rPr>
          <w:rFonts w:cstheme="minorHAnsi"/>
          <w:kern w:val="0"/>
          <w14:ligatures w14:val="none"/>
        </w:rPr>
        <w:t>czegokolwiek.</w:t>
      </w:r>
      <w:r w:rsidR="003B50ED" w:rsidRPr="00F16251">
        <w:rPr>
          <w:rFonts w:cstheme="minorHAnsi"/>
          <w:kern w:val="0"/>
          <w14:ligatures w14:val="none"/>
        </w:rPr>
        <w:t xml:space="preserve"> </w:t>
      </w:r>
      <w:r w:rsidRPr="00F16251">
        <w:rPr>
          <w:rFonts w:cstheme="minorHAnsi"/>
          <w:kern w:val="0"/>
          <w14:ligatures w14:val="none"/>
        </w:rPr>
        <w:t>Ciężar</w:t>
      </w:r>
      <w:r w:rsidR="003B50ED" w:rsidRPr="00F16251">
        <w:rPr>
          <w:rFonts w:cstheme="minorHAnsi"/>
          <w:kern w:val="0"/>
          <w14:ligatures w14:val="none"/>
        </w:rPr>
        <w:t xml:space="preserve"> </w:t>
      </w:r>
      <w:r w:rsidRPr="00F16251">
        <w:rPr>
          <w:rFonts w:cstheme="minorHAnsi"/>
          <w:kern w:val="0"/>
          <w14:ligatures w14:val="none"/>
        </w:rPr>
        <w:t>udowodnienia</w:t>
      </w:r>
      <w:r w:rsidR="003B50ED" w:rsidRPr="00F16251">
        <w:rPr>
          <w:rFonts w:cstheme="minorHAnsi"/>
          <w:kern w:val="0"/>
          <w14:ligatures w14:val="none"/>
        </w:rPr>
        <w:t xml:space="preserve"> </w:t>
      </w:r>
      <w:r w:rsidRPr="00F16251">
        <w:rPr>
          <w:rFonts w:cstheme="minorHAnsi"/>
          <w:kern w:val="0"/>
          <w14:ligatures w14:val="none"/>
        </w:rPr>
        <w:t>faktu</w:t>
      </w:r>
      <w:r w:rsidR="003B50ED" w:rsidRPr="00F16251">
        <w:rPr>
          <w:rFonts w:cstheme="minorHAnsi"/>
          <w:kern w:val="0"/>
          <w14:ligatures w14:val="none"/>
        </w:rPr>
        <w:t xml:space="preserve"> </w:t>
      </w:r>
      <w:r w:rsidRPr="00F16251">
        <w:rPr>
          <w:rFonts w:cstheme="minorHAnsi"/>
          <w:kern w:val="0"/>
          <w14:ligatures w14:val="none"/>
        </w:rPr>
        <w:t>będzie</w:t>
      </w:r>
      <w:r w:rsidR="003B50ED" w:rsidRPr="00F16251">
        <w:rPr>
          <w:rFonts w:cstheme="minorHAnsi"/>
          <w:kern w:val="0"/>
          <w14:ligatures w14:val="none"/>
        </w:rPr>
        <w:t xml:space="preserve"> </w:t>
      </w:r>
      <w:r w:rsidRPr="00F16251">
        <w:rPr>
          <w:rFonts w:cstheme="minorHAnsi"/>
          <w:kern w:val="0"/>
          <w14:ligatures w14:val="none"/>
        </w:rPr>
        <w:t>spoczywać</w:t>
      </w:r>
      <w:r w:rsidR="003B50ED" w:rsidRPr="00F16251">
        <w:rPr>
          <w:rFonts w:cstheme="minorHAnsi"/>
          <w:kern w:val="0"/>
          <w14:ligatures w14:val="none"/>
        </w:rPr>
        <w:t xml:space="preserve"> </w:t>
      </w:r>
      <w:r w:rsidRPr="00F16251">
        <w:rPr>
          <w:rFonts w:cstheme="minorHAnsi"/>
          <w:kern w:val="0"/>
          <w14:ligatures w14:val="none"/>
        </w:rPr>
        <w:t>na</w:t>
      </w:r>
      <w:r w:rsidR="003B50ED" w:rsidRPr="00F16251">
        <w:rPr>
          <w:rFonts w:cstheme="minorHAnsi"/>
          <w:kern w:val="0"/>
          <w14:ligatures w14:val="none"/>
        </w:rPr>
        <w:t xml:space="preserve"> </w:t>
      </w:r>
      <w:r w:rsidRPr="00F16251">
        <w:rPr>
          <w:rFonts w:cstheme="minorHAnsi"/>
          <w:kern w:val="0"/>
          <w14:ligatures w14:val="none"/>
        </w:rPr>
        <w:t>podmiocie,</w:t>
      </w:r>
      <w:r w:rsidR="003B50ED" w:rsidRPr="00F16251">
        <w:rPr>
          <w:rFonts w:cstheme="minorHAnsi"/>
          <w:kern w:val="0"/>
          <w14:ligatures w14:val="none"/>
        </w:rPr>
        <w:t xml:space="preserve"> </w:t>
      </w:r>
      <w:r w:rsidRPr="00F16251">
        <w:rPr>
          <w:rFonts w:cstheme="minorHAnsi"/>
          <w:kern w:val="0"/>
          <w14:ligatures w14:val="none"/>
        </w:rPr>
        <w:t>który</w:t>
      </w:r>
      <w:r w:rsidR="003B50ED" w:rsidRPr="00F16251">
        <w:rPr>
          <w:rFonts w:cstheme="minorHAnsi"/>
          <w:kern w:val="0"/>
          <w14:ligatures w14:val="none"/>
        </w:rPr>
        <w:t xml:space="preserve"> </w:t>
      </w:r>
      <w:r w:rsidRPr="00F16251">
        <w:rPr>
          <w:rFonts w:cstheme="minorHAnsi"/>
          <w:kern w:val="0"/>
          <w14:ligatures w14:val="none"/>
        </w:rPr>
        <w:t>z</w:t>
      </w:r>
      <w:r w:rsidR="003B50ED" w:rsidRPr="00F16251">
        <w:rPr>
          <w:rFonts w:cstheme="minorHAnsi"/>
          <w:kern w:val="0"/>
          <w14:ligatures w14:val="none"/>
        </w:rPr>
        <w:t xml:space="preserve"> </w:t>
      </w:r>
      <w:r w:rsidRPr="00F16251">
        <w:rPr>
          <w:rFonts w:cstheme="minorHAnsi"/>
          <w:kern w:val="0"/>
          <w14:ligatures w14:val="none"/>
        </w:rPr>
        <w:t>tego</w:t>
      </w:r>
      <w:r w:rsidR="003B50ED" w:rsidRPr="00F16251">
        <w:rPr>
          <w:rFonts w:cstheme="minorHAnsi"/>
          <w:kern w:val="0"/>
          <w14:ligatures w14:val="none"/>
        </w:rPr>
        <w:t xml:space="preserve"> </w:t>
      </w:r>
      <w:r w:rsidRPr="00F16251">
        <w:rPr>
          <w:rFonts w:cstheme="minorHAnsi"/>
          <w:kern w:val="0"/>
          <w14:ligatures w14:val="none"/>
        </w:rPr>
        <w:t>faktu</w:t>
      </w:r>
      <w:r w:rsidR="003B50ED" w:rsidRPr="00F16251">
        <w:rPr>
          <w:rFonts w:cstheme="minorHAnsi"/>
          <w:kern w:val="0"/>
          <w14:ligatures w14:val="none"/>
        </w:rPr>
        <w:t xml:space="preserve"> </w:t>
      </w:r>
      <w:r w:rsidRPr="00F16251">
        <w:rPr>
          <w:rFonts w:cstheme="minorHAnsi"/>
          <w:kern w:val="0"/>
          <w14:ligatures w14:val="none"/>
        </w:rPr>
        <w:t>wywodzi</w:t>
      </w:r>
      <w:r w:rsidR="003B50ED" w:rsidRPr="00F16251">
        <w:rPr>
          <w:rFonts w:cstheme="minorHAnsi"/>
          <w:kern w:val="0"/>
          <w14:ligatures w14:val="none"/>
        </w:rPr>
        <w:t xml:space="preserve"> </w:t>
      </w:r>
      <w:r w:rsidRPr="00F16251">
        <w:rPr>
          <w:rFonts w:cstheme="minorHAnsi"/>
          <w:kern w:val="0"/>
          <w14:ligatures w14:val="none"/>
        </w:rPr>
        <w:t>skutki</w:t>
      </w:r>
      <w:r w:rsidR="003B50ED" w:rsidRPr="00F16251">
        <w:rPr>
          <w:rFonts w:cstheme="minorHAnsi"/>
          <w:kern w:val="0"/>
          <w14:ligatures w14:val="none"/>
        </w:rPr>
        <w:t xml:space="preserve"> </w:t>
      </w:r>
      <w:r w:rsidRPr="00F16251">
        <w:rPr>
          <w:rFonts w:cstheme="minorHAnsi"/>
          <w:kern w:val="0"/>
          <w14:ligatures w14:val="none"/>
        </w:rPr>
        <w:t>prawne.</w:t>
      </w:r>
      <w:r w:rsidR="003B50ED" w:rsidRPr="00F16251">
        <w:rPr>
          <w:rFonts w:cstheme="minorHAnsi"/>
          <w:kern w:val="0"/>
          <w14:ligatures w14:val="none"/>
        </w:rPr>
        <w:t xml:space="preserve"> </w:t>
      </w:r>
    </w:p>
    <w:p w14:paraId="2FEC816E" w14:textId="31E1C986" w:rsidR="002C63F4" w:rsidRPr="00F16251" w:rsidRDefault="002C63F4" w:rsidP="00130167">
      <w:pPr>
        <w:spacing w:line="276" w:lineRule="auto"/>
        <w:ind w:firstLine="360"/>
        <w:jc w:val="both"/>
        <w:rPr>
          <w:rFonts w:cstheme="minorHAnsi"/>
          <w:kern w:val="0"/>
          <w14:ligatures w14:val="none"/>
        </w:rPr>
      </w:pPr>
      <w:r w:rsidRPr="00F16251">
        <w:rPr>
          <w:rFonts w:cstheme="minorHAnsi"/>
          <w:kern w:val="0"/>
          <w14:ligatures w14:val="none"/>
        </w:rPr>
        <w:t>Po</w:t>
      </w:r>
      <w:r w:rsidR="003B50ED" w:rsidRPr="00F16251">
        <w:rPr>
          <w:rFonts w:cstheme="minorHAnsi"/>
          <w:kern w:val="0"/>
          <w14:ligatures w14:val="none"/>
        </w:rPr>
        <w:t xml:space="preserve"> </w:t>
      </w:r>
      <w:r w:rsidRPr="00F16251">
        <w:rPr>
          <w:rFonts w:cstheme="minorHAnsi"/>
          <w:kern w:val="0"/>
          <w14:ligatures w14:val="none"/>
        </w:rPr>
        <w:t>dokonaniu</w:t>
      </w:r>
      <w:r w:rsidR="003B50ED" w:rsidRPr="00F16251">
        <w:rPr>
          <w:rFonts w:cstheme="minorHAnsi"/>
          <w:kern w:val="0"/>
          <w14:ligatures w14:val="none"/>
        </w:rPr>
        <w:t xml:space="preserve"> </w:t>
      </w:r>
      <w:r w:rsidRPr="00F16251">
        <w:rPr>
          <w:rFonts w:cstheme="minorHAnsi"/>
          <w:kern w:val="0"/>
          <w14:ligatures w14:val="none"/>
        </w:rPr>
        <w:t>oceny</w:t>
      </w:r>
      <w:r w:rsidR="003B50ED" w:rsidRPr="00F16251">
        <w:rPr>
          <w:rFonts w:cstheme="minorHAnsi"/>
          <w:kern w:val="0"/>
          <w14:ligatures w14:val="none"/>
        </w:rPr>
        <w:t xml:space="preserve"> </w:t>
      </w:r>
      <w:r w:rsidRPr="00F16251">
        <w:rPr>
          <w:rFonts w:cstheme="minorHAnsi"/>
          <w:kern w:val="0"/>
          <w14:ligatures w14:val="none"/>
        </w:rPr>
        <w:t>LGD</w:t>
      </w:r>
      <w:r w:rsidR="003B50ED" w:rsidRPr="00F16251">
        <w:rPr>
          <w:rFonts w:cstheme="minorHAnsi"/>
          <w:kern w:val="0"/>
          <w14:ligatures w14:val="none"/>
        </w:rPr>
        <w:t xml:space="preserve"> </w:t>
      </w:r>
      <w:r w:rsidRPr="00F16251">
        <w:rPr>
          <w:rFonts w:cstheme="minorHAnsi"/>
          <w:kern w:val="0"/>
          <w14:ligatures w14:val="none"/>
        </w:rPr>
        <w:t>przekazuje</w:t>
      </w:r>
      <w:r w:rsidR="003B50ED" w:rsidRPr="00F16251">
        <w:rPr>
          <w:rFonts w:cstheme="minorHAnsi"/>
          <w:kern w:val="0"/>
          <w14:ligatures w14:val="none"/>
        </w:rPr>
        <w:t xml:space="preserve"> </w:t>
      </w:r>
      <w:r w:rsidRPr="00F16251">
        <w:rPr>
          <w:rFonts w:cstheme="minorHAnsi"/>
          <w:kern w:val="0"/>
          <w14:ligatures w14:val="none"/>
        </w:rPr>
        <w:t>Wnioskodawcy</w:t>
      </w:r>
      <w:r w:rsidR="003B50ED" w:rsidRPr="00F16251">
        <w:rPr>
          <w:rFonts w:cstheme="minorHAnsi"/>
          <w:kern w:val="0"/>
          <w14:ligatures w14:val="none"/>
        </w:rPr>
        <w:t xml:space="preserve"> </w:t>
      </w:r>
      <w:r w:rsidRPr="00F16251">
        <w:rPr>
          <w:rFonts w:cstheme="minorHAnsi"/>
          <w:kern w:val="0"/>
          <w14:ligatures w14:val="none"/>
        </w:rPr>
        <w:t>informację</w:t>
      </w:r>
      <w:r w:rsidR="003B50ED" w:rsidRPr="00F16251">
        <w:rPr>
          <w:rFonts w:cstheme="minorHAnsi"/>
          <w:kern w:val="0"/>
          <w14:ligatures w14:val="none"/>
        </w:rPr>
        <w:t xml:space="preserve"> </w:t>
      </w:r>
      <w:r w:rsidRPr="00F16251">
        <w:rPr>
          <w:rFonts w:cstheme="minorHAnsi"/>
          <w:kern w:val="0"/>
          <w14:ligatures w14:val="none"/>
        </w:rPr>
        <w:t>o</w:t>
      </w:r>
      <w:r w:rsidR="003B50ED" w:rsidRPr="00F16251">
        <w:rPr>
          <w:rFonts w:cstheme="minorHAnsi"/>
          <w:kern w:val="0"/>
          <w14:ligatures w14:val="none"/>
        </w:rPr>
        <w:t xml:space="preserve"> </w:t>
      </w:r>
      <w:r w:rsidRPr="00F16251">
        <w:rPr>
          <w:rFonts w:cstheme="minorHAnsi"/>
          <w:kern w:val="0"/>
          <w14:ligatures w14:val="none"/>
        </w:rPr>
        <w:t>wyniku</w:t>
      </w:r>
      <w:r w:rsidR="003B50ED" w:rsidRPr="00F16251">
        <w:rPr>
          <w:rFonts w:cstheme="minorHAnsi"/>
          <w:kern w:val="0"/>
          <w14:ligatures w14:val="none"/>
        </w:rPr>
        <w:t xml:space="preserve"> </w:t>
      </w:r>
      <w:r w:rsidRPr="00F16251">
        <w:rPr>
          <w:rFonts w:cstheme="minorHAnsi"/>
          <w:kern w:val="0"/>
          <w14:ligatures w14:val="none"/>
        </w:rPr>
        <w:t>oceny</w:t>
      </w:r>
      <w:r w:rsidR="003B50ED" w:rsidRPr="00F16251">
        <w:rPr>
          <w:rFonts w:cstheme="minorHAnsi"/>
          <w:kern w:val="0"/>
          <w14:ligatures w14:val="none"/>
        </w:rPr>
        <w:t xml:space="preserve"> </w:t>
      </w:r>
      <w:r w:rsidRPr="00F16251">
        <w:rPr>
          <w:rFonts w:cstheme="minorHAnsi"/>
          <w:kern w:val="0"/>
          <w14:ligatures w14:val="none"/>
        </w:rPr>
        <w:t>spełnienia</w:t>
      </w:r>
      <w:r w:rsidR="003B50ED" w:rsidRPr="00F16251">
        <w:rPr>
          <w:rFonts w:cstheme="minorHAnsi"/>
          <w:kern w:val="0"/>
          <w14:ligatures w14:val="none"/>
        </w:rPr>
        <w:t xml:space="preserve"> </w:t>
      </w:r>
      <w:r w:rsidRPr="00F16251">
        <w:rPr>
          <w:rFonts w:cstheme="minorHAnsi"/>
          <w:kern w:val="0"/>
          <w14:ligatures w14:val="none"/>
        </w:rPr>
        <w:t>warunków</w:t>
      </w:r>
      <w:r w:rsidR="003B50ED" w:rsidRPr="00F16251">
        <w:rPr>
          <w:rFonts w:cstheme="minorHAnsi"/>
          <w:kern w:val="0"/>
          <w14:ligatures w14:val="none"/>
        </w:rPr>
        <w:t xml:space="preserve"> </w:t>
      </w:r>
      <w:r w:rsidRPr="00F16251">
        <w:rPr>
          <w:rFonts w:cstheme="minorHAnsi"/>
          <w:kern w:val="0"/>
          <w14:ligatures w14:val="none"/>
        </w:rPr>
        <w:t>udzielenia</w:t>
      </w:r>
      <w:r w:rsidR="003B50ED" w:rsidRPr="00F16251">
        <w:rPr>
          <w:rFonts w:cstheme="minorHAnsi"/>
          <w:kern w:val="0"/>
          <w14:ligatures w14:val="none"/>
        </w:rPr>
        <w:t xml:space="preserve"> </w:t>
      </w:r>
      <w:r w:rsidRPr="00F16251">
        <w:rPr>
          <w:rFonts w:cstheme="minorHAnsi"/>
          <w:kern w:val="0"/>
          <w14:ligatures w14:val="none"/>
        </w:rPr>
        <w:t>wsparcia</w:t>
      </w:r>
      <w:r w:rsidR="003B50ED" w:rsidRPr="00F16251">
        <w:rPr>
          <w:rFonts w:cstheme="minorHAnsi"/>
          <w:kern w:val="0"/>
          <w14:ligatures w14:val="none"/>
        </w:rPr>
        <w:t xml:space="preserve"> </w:t>
      </w:r>
      <w:r w:rsidRPr="00F16251">
        <w:rPr>
          <w:rFonts w:cstheme="minorHAnsi"/>
          <w:kern w:val="0"/>
          <w14:ligatures w14:val="none"/>
        </w:rPr>
        <w:t>lub</w:t>
      </w:r>
      <w:r w:rsidR="003B50ED" w:rsidRPr="00F16251">
        <w:rPr>
          <w:rFonts w:cstheme="minorHAnsi"/>
          <w:kern w:val="0"/>
          <w14:ligatures w14:val="none"/>
        </w:rPr>
        <w:t xml:space="preserve"> </w:t>
      </w:r>
      <w:r w:rsidRPr="00F16251">
        <w:rPr>
          <w:rFonts w:cstheme="minorHAnsi"/>
          <w:kern w:val="0"/>
          <w14:ligatures w14:val="none"/>
        </w:rPr>
        <w:t>wyniku</w:t>
      </w:r>
      <w:r w:rsidR="003B50ED" w:rsidRPr="00F16251">
        <w:rPr>
          <w:rFonts w:cstheme="minorHAnsi"/>
          <w:kern w:val="0"/>
          <w14:ligatures w14:val="none"/>
        </w:rPr>
        <w:t xml:space="preserve"> </w:t>
      </w:r>
      <w:r w:rsidRPr="00F16251">
        <w:rPr>
          <w:rFonts w:cstheme="minorHAnsi"/>
          <w:kern w:val="0"/>
          <w14:ligatures w14:val="none"/>
        </w:rPr>
        <w:t>wyboru</w:t>
      </w:r>
      <w:r w:rsidR="003B50ED" w:rsidRPr="00F16251">
        <w:rPr>
          <w:rFonts w:cstheme="minorHAnsi"/>
          <w:kern w:val="0"/>
          <w14:ligatures w14:val="none"/>
        </w:rPr>
        <w:t xml:space="preserve"> </w:t>
      </w:r>
      <w:r w:rsidRPr="00F16251">
        <w:rPr>
          <w:rFonts w:cstheme="minorHAnsi"/>
          <w:kern w:val="0"/>
          <w14:ligatures w14:val="none"/>
        </w:rPr>
        <w:t>wraz</w:t>
      </w:r>
      <w:r w:rsidR="003B50ED" w:rsidRPr="00F16251">
        <w:rPr>
          <w:rFonts w:cstheme="minorHAnsi"/>
          <w:kern w:val="0"/>
          <w14:ligatures w14:val="none"/>
        </w:rPr>
        <w:t xml:space="preserve"> </w:t>
      </w:r>
      <w:r w:rsidRPr="00F16251">
        <w:rPr>
          <w:rFonts w:cstheme="minorHAnsi"/>
          <w:kern w:val="0"/>
          <w14:ligatures w14:val="none"/>
        </w:rPr>
        <w:t>z</w:t>
      </w:r>
      <w:r w:rsidR="003B50ED" w:rsidRPr="00F16251">
        <w:rPr>
          <w:rFonts w:cstheme="minorHAnsi"/>
          <w:kern w:val="0"/>
          <w14:ligatures w14:val="none"/>
        </w:rPr>
        <w:t xml:space="preserve"> </w:t>
      </w:r>
      <w:r w:rsidRPr="00F16251">
        <w:rPr>
          <w:rFonts w:cstheme="minorHAnsi"/>
          <w:kern w:val="0"/>
          <w14:ligatures w14:val="none"/>
        </w:rPr>
        <w:t>uzasadnieniem</w:t>
      </w:r>
      <w:r w:rsidR="003B50ED" w:rsidRPr="00F16251">
        <w:rPr>
          <w:rFonts w:cstheme="minorHAnsi"/>
          <w:kern w:val="0"/>
          <w14:ligatures w14:val="none"/>
        </w:rPr>
        <w:t xml:space="preserve"> </w:t>
      </w:r>
      <w:r w:rsidRPr="00F16251">
        <w:rPr>
          <w:rFonts w:cstheme="minorHAnsi"/>
          <w:kern w:val="0"/>
          <w14:ligatures w14:val="none"/>
        </w:rPr>
        <w:t>oceny</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podaniem</w:t>
      </w:r>
      <w:r w:rsidR="003B50ED" w:rsidRPr="00F16251">
        <w:rPr>
          <w:rFonts w:cstheme="minorHAnsi"/>
          <w:kern w:val="0"/>
          <w14:ligatures w14:val="none"/>
        </w:rPr>
        <w:t xml:space="preserve"> </w:t>
      </w:r>
      <w:r w:rsidRPr="00F16251">
        <w:rPr>
          <w:rFonts w:cstheme="minorHAnsi"/>
          <w:kern w:val="0"/>
          <w14:ligatures w14:val="none"/>
        </w:rPr>
        <w:t>liczby</w:t>
      </w:r>
      <w:r w:rsidR="003B50ED" w:rsidRPr="00F16251">
        <w:rPr>
          <w:rFonts w:cstheme="minorHAnsi"/>
          <w:kern w:val="0"/>
          <w14:ligatures w14:val="none"/>
        </w:rPr>
        <w:t xml:space="preserve"> </w:t>
      </w:r>
      <w:r w:rsidRPr="00F16251">
        <w:rPr>
          <w:rFonts w:cstheme="minorHAnsi"/>
          <w:kern w:val="0"/>
          <w14:ligatures w14:val="none"/>
        </w:rPr>
        <w:t>punktów</w:t>
      </w:r>
      <w:r w:rsidR="003B50ED" w:rsidRPr="00F16251">
        <w:rPr>
          <w:rFonts w:cstheme="minorHAnsi"/>
          <w:kern w:val="0"/>
          <w14:ligatures w14:val="none"/>
        </w:rPr>
        <w:t xml:space="preserve"> </w:t>
      </w:r>
      <w:r w:rsidRPr="00F16251">
        <w:rPr>
          <w:rFonts w:cstheme="minorHAnsi"/>
          <w:kern w:val="0"/>
          <w14:ligatures w14:val="none"/>
        </w:rPr>
        <w:t>otrzymanych</w:t>
      </w:r>
      <w:r w:rsidR="003B50ED" w:rsidRPr="00F16251">
        <w:rPr>
          <w:rFonts w:cstheme="minorHAnsi"/>
          <w:kern w:val="0"/>
          <w14:ligatures w14:val="none"/>
        </w:rPr>
        <w:t xml:space="preserve"> </w:t>
      </w:r>
      <w:r w:rsidRPr="00F16251">
        <w:rPr>
          <w:rFonts w:cstheme="minorHAnsi"/>
          <w:kern w:val="0"/>
          <w14:ligatures w14:val="none"/>
        </w:rPr>
        <w:t>przez</w:t>
      </w:r>
      <w:r w:rsidR="003B50ED" w:rsidRPr="00F16251">
        <w:rPr>
          <w:rFonts w:cstheme="minorHAnsi"/>
          <w:kern w:val="0"/>
          <w14:ligatures w14:val="none"/>
        </w:rPr>
        <w:t xml:space="preserve"> </w:t>
      </w:r>
      <w:r w:rsidRPr="00F16251">
        <w:rPr>
          <w:rFonts w:cstheme="minorHAnsi"/>
          <w:kern w:val="0"/>
          <w14:ligatures w14:val="none"/>
        </w:rPr>
        <w:t>operację</w:t>
      </w:r>
      <w:r w:rsidR="003B50ED" w:rsidRPr="00F16251">
        <w:rPr>
          <w:rFonts w:cstheme="minorHAnsi"/>
          <w:kern w:val="0"/>
          <w14:ligatures w14:val="none"/>
        </w:rPr>
        <w:t xml:space="preserve"> </w:t>
      </w:r>
      <w:r w:rsidRPr="00F16251">
        <w:rPr>
          <w:rFonts w:cstheme="minorHAnsi"/>
          <w:kern w:val="0"/>
          <w14:ligatures w14:val="none"/>
        </w:rPr>
        <w:t>oraz</w:t>
      </w:r>
      <w:r w:rsidR="003B50ED" w:rsidRPr="00F16251">
        <w:rPr>
          <w:rFonts w:cstheme="minorHAnsi"/>
          <w:kern w:val="0"/>
          <w14:ligatures w14:val="none"/>
        </w:rPr>
        <w:t xml:space="preserve"> </w:t>
      </w:r>
      <w:r w:rsidRPr="00F16251">
        <w:rPr>
          <w:rFonts w:cstheme="minorHAnsi"/>
          <w:kern w:val="0"/>
          <w14:ligatures w14:val="none"/>
        </w:rPr>
        <w:t>wskazaniem</w:t>
      </w:r>
      <w:r w:rsidR="003B50ED" w:rsidRPr="00F16251">
        <w:rPr>
          <w:rFonts w:cstheme="minorHAnsi"/>
          <w:kern w:val="0"/>
          <w14:ligatures w14:val="none"/>
        </w:rPr>
        <w:t xml:space="preserve"> </w:t>
      </w:r>
      <w:r w:rsidRPr="00F16251">
        <w:rPr>
          <w:rFonts w:cstheme="minorHAnsi"/>
          <w:kern w:val="0"/>
          <w14:ligatures w14:val="none"/>
        </w:rPr>
        <w:t>ustalonej</w:t>
      </w:r>
      <w:r w:rsidR="003B50ED" w:rsidRPr="00F16251">
        <w:rPr>
          <w:rFonts w:cstheme="minorHAnsi"/>
          <w:kern w:val="0"/>
          <w14:ligatures w14:val="none"/>
        </w:rPr>
        <w:t xml:space="preserve"> </w:t>
      </w:r>
      <w:r w:rsidRPr="00F16251">
        <w:rPr>
          <w:rFonts w:cstheme="minorHAnsi"/>
          <w:kern w:val="0"/>
          <w14:ligatures w14:val="none"/>
        </w:rPr>
        <w:t>przez</w:t>
      </w:r>
      <w:r w:rsidR="003B50ED" w:rsidRPr="00F16251">
        <w:rPr>
          <w:rFonts w:cstheme="minorHAnsi"/>
          <w:kern w:val="0"/>
          <w14:ligatures w14:val="none"/>
        </w:rPr>
        <w:t xml:space="preserve"> </w:t>
      </w:r>
      <w:r w:rsidRPr="00F16251">
        <w:rPr>
          <w:rFonts w:cstheme="minorHAnsi"/>
          <w:kern w:val="0"/>
          <w14:ligatures w14:val="none"/>
        </w:rPr>
        <w:t>LGD</w:t>
      </w:r>
      <w:r w:rsidR="003B50ED" w:rsidRPr="00F16251">
        <w:rPr>
          <w:rFonts w:cstheme="minorHAnsi"/>
          <w:kern w:val="0"/>
          <w14:ligatures w14:val="none"/>
        </w:rPr>
        <w:t xml:space="preserve"> </w:t>
      </w:r>
      <w:r w:rsidRPr="00F16251">
        <w:rPr>
          <w:rFonts w:cstheme="minorHAnsi"/>
          <w:kern w:val="0"/>
          <w14:ligatures w14:val="none"/>
        </w:rPr>
        <w:t>kwoty</w:t>
      </w:r>
      <w:r w:rsidR="003B50ED" w:rsidRPr="00F16251">
        <w:rPr>
          <w:rFonts w:cstheme="minorHAnsi"/>
          <w:kern w:val="0"/>
          <w14:ligatures w14:val="none"/>
        </w:rPr>
        <w:t xml:space="preserve"> </w:t>
      </w:r>
      <w:r w:rsidRPr="00F16251">
        <w:rPr>
          <w:rFonts w:cstheme="minorHAnsi"/>
          <w:kern w:val="0"/>
          <w14:ligatures w14:val="none"/>
        </w:rPr>
        <w:t>wsparcia</w:t>
      </w:r>
      <w:r w:rsidR="003B50ED" w:rsidRPr="00F16251">
        <w:rPr>
          <w:rFonts w:cstheme="minorHAnsi"/>
          <w:kern w:val="0"/>
          <w14:ligatures w14:val="none"/>
        </w:rPr>
        <w:t xml:space="preserve"> </w:t>
      </w:r>
      <w:r w:rsidRPr="00F16251">
        <w:rPr>
          <w:rFonts w:cstheme="minorHAnsi"/>
          <w:kern w:val="0"/>
          <w14:ligatures w14:val="none"/>
        </w:rPr>
        <w:t>na</w:t>
      </w:r>
      <w:r w:rsidR="003B50ED" w:rsidRPr="00F16251">
        <w:rPr>
          <w:rFonts w:cstheme="minorHAnsi"/>
          <w:kern w:val="0"/>
          <w14:ligatures w14:val="none"/>
        </w:rPr>
        <w:t xml:space="preserve"> </w:t>
      </w:r>
      <w:r w:rsidRPr="00F16251">
        <w:rPr>
          <w:rFonts w:cstheme="minorHAnsi"/>
          <w:kern w:val="0"/>
          <w14:ligatures w14:val="none"/>
        </w:rPr>
        <w:t>wdrażanie</w:t>
      </w:r>
      <w:r w:rsidR="003B50ED" w:rsidRPr="00F16251">
        <w:rPr>
          <w:rFonts w:cstheme="minorHAnsi"/>
          <w:kern w:val="0"/>
          <w14:ligatures w14:val="none"/>
        </w:rPr>
        <w:t xml:space="preserve"> </w:t>
      </w:r>
      <w:r w:rsidRPr="00F16251">
        <w:rPr>
          <w:rFonts w:cstheme="minorHAnsi"/>
          <w:kern w:val="0"/>
          <w14:ligatures w14:val="none"/>
        </w:rPr>
        <w:t>LSR.</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przypadku</w:t>
      </w:r>
      <w:r w:rsidR="003B50ED" w:rsidRPr="00F16251">
        <w:rPr>
          <w:rFonts w:cstheme="minorHAnsi"/>
          <w:kern w:val="0"/>
          <w14:ligatures w14:val="none"/>
        </w:rPr>
        <w:t xml:space="preserve"> </w:t>
      </w:r>
      <w:r w:rsidRPr="00F16251">
        <w:rPr>
          <w:rFonts w:cstheme="minorHAnsi"/>
          <w:kern w:val="0"/>
          <w14:ligatures w14:val="none"/>
        </w:rPr>
        <w:t>pozytywnego</w:t>
      </w:r>
      <w:r w:rsidR="003B50ED" w:rsidRPr="00F16251">
        <w:rPr>
          <w:rFonts w:cstheme="minorHAnsi"/>
          <w:kern w:val="0"/>
          <w14:ligatures w14:val="none"/>
        </w:rPr>
        <w:t xml:space="preserve"> </w:t>
      </w:r>
      <w:r w:rsidRPr="00F16251">
        <w:rPr>
          <w:rFonts w:cstheme="minorHAnsi"/>
          <w:kern w:val="0"/>
          <w14:ligatures w14:val="none"/>
        </w:rPr>
        <w:t>wyniku</w:t>
      </w:r>
      <w:r w:rsidR="003B50ED" w:rsidRPr="00F16251">
        <w:rPr>
          <w:rFonts w:cstheme="minorHAnsi"/>
          <w:kern w:val="0"/>
          <w14:ligatures w14:val="none"/>
        </w:rPr>
        <w:t xml:space="preserve"> </w:t>
      </w:r>
      <w:r w:rsidRPr="00F16251">
        <w:rPr>
          <w:rFonts w:cstheme="minorHAnsi"/>
          <w:kern w:val="0"/>
          <w14:ligatures w14:val="none"/>
        </w:rPr>
        <w:t>wyboru</w:t>
      </w:r>
      <w:r w:rsidR="003B50ED" w:rsidRPr="00F16251">
        <w:rPr>
          <w:rFonts w:cstheme="minorHAnsi"/>
          <w:kern w:val="0"/>
          <w14:ligatures w14:val="none"/>
        </w:rPr>
        <w:t xml:space="preserve"> </w:t>
      </w:r>
      <w:r w:rsidRPr="00F16251">
        <w:rPr>
          <w:rFonts w:cstheme="minorHAnsi"/>
          <w:kern w:val="0"/>
          <w14:ligatures w14:val="none"/>
        </w:rPr>
        <w:t>informuje</w:t>
      </w:r>
      <w:r w:rsidR="003B50ED" w:rsidRPr="00F16251">
        <w:rPr>
          <w:rFonts w:cstheme="minorHAnsi"/>
          <w:kern w:val="0"/>
          <w14:ligatures w14:val="none"/>
        </w:rPr>
        <w:t xml:space="preserve"> </w:t>
      </w:r>
      <w:r w:rsidRPr="00F16251">
        <w:rPr>
          <w:rFonts w:cstheme="minorHAnsi"/>
          <w:kern w:val="0"/>
          <w14:ligatures w14:val="none"/>
        </w:rPr>
        <w:t>dodatkowo,</w:t>
      </w:r>
      <w:r w:rsidR="003B50ED" w:rsidRPr="00F16251">
        <w:rPr>
          <w:rFonts w:cstheme="minorHAnsi"/>
          <w:kern w:val="0"/>
          <w14:ligatures w14:val="none"/>
        </w:rPr>
        <w:t xml:space="preserve"> </w:t>
      </w:r>
      <w:r w:rsidRPr="00F16251">
        <w:rPr>
          <w:rFonts w:cstheme="minorHAnsi"/>
          <w:kern w:val="0"/>
          <w14:ligatures w14:val="none"/>
        </w:rPr>
        <w:t>czy</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dniu</w:t>
      </w:r>
      <w:r w:rsidR="003B50ED" w:rsidRPr="00F16251">
        <w:rPr>
          <w:rFonts w:cstheme="minorHAnsi"/>
          <w:kern w:val="0"/>
          <w14:ligatures w14:val="none"/>
        </w:rPr>
        <w:t xml:space="preserve"> </w:t>
      </w:r>
      <w:r w:rsidRPr="00F16251">
        <w:rPr>
          <w:rFonts w:cstheme="minorHAnsi"/>
          <w:kern w:val="0"/>
          <w14:ligatures w14:val="none"/>
        </w:rPr>
        <w:t>przekazania</w:t>
      </w:r>
      <w:r w:rsidR="003B50ED" w:rsidRPr="00F16251">
        <w:rPr>
          <w:rFonts w:cstheme="minorHAnsi"/>
          <w:kern w:val="0"/>
          <w14:ligatures w14:val="none"/>
        </w:rPr>
        <w:t xml:space="preserve"> </w:t>
      </w:r>
      <w:r w:rsidRPr="00F16251">
        <w:rPr>
          <w:rFonts w:cstheme="minorHAnsi"/>
          <w:kern w:val="0"/>
          <w14:ligatures w14:val="none"/>
        </w:rPr>
        <w:t>wniosków</w:t>
      </w:r>
      <w:r w:rsidR="003B50ED" w:rsidRPr="00F16251">
        <w:rPr>
          <w:rFonts w:cstheme="minorHAnsi"/>
          <w:kern w:val="0"/>
          <w14:ligatures w14:val="none"/>
        </w:rPr>
        <w:t xml:space="preserve"> </w:t>
      </w:r>
      <w:r w:rsidRPr="00F16251">
        <w:rPr>
          <w:rFonts w:cstheme="minorHAnsi"/>
          <w:kern w:val="0"/>
          <w14:ligatures w14:val="none"/>
        </w:rPr>
        <w:t>do</w:t>
      </w:r>
      <w:r w:rsidR="003B50ED" w:rsidRPr="00F16251">
        <w:rPr>
          <w:rFonts w:cstheme="minorHAnsi"/>
          <w:kern w:val="0"/>
          <w14:ligatures w14:val="none"/>
        </w:rPr>
        <w:t xml:space="preserve"> </w:t>
      </w:r>
      <w:r w:rsidR="005768FC" w:rsidRPr="00F16251">
        <w:rPr>
          <w:rFonts w:cstheme="minorHAnsi"/>
          <w:kern w:val="0"/>
          <w14:ligatures w14:val="none"/>
        </w:rPr>
        <w:t>ZWW</w:t>
      </w:r>
      <w:r w:rsidR="006C70DD" w:rsidRPr="00F16251">
        <w:rPr>
          <w:rFonts w:cstheme="minorHAnsi"/>
          <w:kern w:val="0"/>
          <w14:ligatures w14:val="none"/>
        </w:rPr>
        <w:t xml:space="preserve"> </w:t>
      </w:r>
      <w:r w:rsidRPr="00F16251">
        <w:rPr>
          <w:rFonts w:cstheme="minorHAnsi"/>
          <w:kern w:val="0"/>
          <w14:ligatures w14:val="none"/>
        </w:rPr>
        <w:t>operacja</w:t>
      </w:r>
      <w:r w:rsidR="003B50ED" w:rsidRPr="00F16251">
        <w:rPr>
          <w:rFonts w:cstheme="minorHAnsi"/>
          <w:kern w:val="0"/>
          <w14:ligatures w14:val="none"/>
        </w:rPr>
        <w:t xml:space="preserve"> </w:t>
      </w:r>
      <w:r w:rsidRPr="00F16251">
        <w:rPr>
          <w:rFonts w:cstheme="minorHAnsi"/>
          <w:kern w:val="0"/>
          <w14:ligatures w14:val="none"/>
        </w:rPr>
        <w:t>mieści</w:t>
      </w:r>
      <w:r w:rsidR="003B50ED" w:rsidRPr="00F16251">
        <w:rPr>
          <w:rFonts w:cstheme="minorHAnsi"/>
          <w:kern w:val="0"/>
          <w14:ligatures w14:val="none"/>
        </w:rPr>
        <w:t xml:space="preserve"> </w:t>
      </w:r>
      <w:r w:rsidRPr="00F16251">
        <w:rPr>
          <w:rFonts w:cstheme="minorHAnsi"/>
          <w:kern w:val="0"/>
          <w14:ligatures w14:val="none"/>
        </w:rPr>
        <w:t>się</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limicie</w:t>
      </w:r>
      <w:r w:rsidR="003B50ED" w:rsidRPr="00F16251">
        <w:rPr>
          <w:rFonts w:cstheme="minorHAnsi"/>
          <w:kern w:val="0"/>
          <w14:ligatures w14:val="none"/>
        </w:rPr>
        <w:t xml:space="preserve"> </w:t>
      </w:r>
      <w:r w:rsidRPr="00F16251">
        <w:rPr>
          <w:rFonts w:cstheme="minorHAnsi"/>
          <w:kern w:val="0"/>
          <w14:ligatures w14:val="none"/>
        </w:rPr>
        <w:t>środków.</w:t>
      </w:r>
      <w:r w:rsidR="003B50ED" w:rsidRPr="00F16251">
        <w:rPr>
          <w:rFonts w:cstheme="minorHAnsi"/>
          <w:kern w:val="0"/>
          <w14:ligatures w14:val="none"/>
        </w:rPr>
        <w:t xml:space="preserve"> </w:t>
      </w:r>
      <w:r w:rsidRPr="00F16251">
        <w:rPr>
          <w:rFonts w:cstheme="minorHAnsi"/>
          <w:kern w:val="0"/>
          <w14:ligatures w14:val="none"/>
        </w:rPr>
        <w:t>Jeśli</w:t>
      </w:r>
      <w:r w:rsidR="003B50ED" w:rsidRPr="00F16251">
        <w:rPr>
          <w:rFonts w:cstheme="minorHAnsi"/>
          <w:kern w:val="0"/>
          <w14:ligatures w14:val="none"/>
        </w:rPr>
        <w:t xml:space="preserve"> </w:t>
      </w:r>
      <w:r w:rsidRPr="00F16251">
        <w:rPr>
          <w:rFonts w:cstheme="minorHAnsi"/>
          <w:kern w:val="0"/>
          <w14:ligatures w14:val="none"/>
        </w:rPr>
        <w:t>kwota</w:t>
      </w:r>
      <w:r w:rsidR="003B50ED" w:rsidRPr="00F16251">
        <w:rPr>
          <w:rFonts w:cstheme="minorHAnsi"/>
          <w:kern w:val="0"/>
          <w14:ligatures w14:val="none"/>
        </w:rPr>
        <w:t xml:space="preserve"> </w:t>
      </w:r>
      <w:r w:rsidRPr="00F16251">
        <w:rPr>
          <w:rFonts w:cstheme="minorHAnsi"/>
          <w:kern w:val="0"/>
          <w14:ligatures w14:val="none"/>
        </w:rPr>
        <w:t>wsparcia</w:t>
      </w:r>
      <w:r w:rsidR="003B50ED" w:rsidRPr="00F16251">
        <w:rPr>
          <w:rFonts w:cstheme="minorHAnsi"/>
          <w:kern w:val="0"/>
          <w14:ligatures w14:val="none"/>
        </w:rPr>
        <w:t xml:space="preserve"> </w:t>
      </w:r>
      <w:r w:rsidRPr="00F16251">
        <w:rPr>
          <w:rFonts w:cstheme="minorHAnsi"/>
          <w:kern w:val="0"/>
          <w14:ligatures w14:val="none"/>
        </w:rPr>
        <w:t>będzie</w:t>
      </w:r>
      <w:r w:rsidR="003B50ED" w:rsidRPr="00F16251">
        <w:rPr>
          <w:rFonts w:cstheme="minorHAnsi"/>
          <w:kern w:val="0"/>
          <w14:ligatures w14:val="none"/>
        </w:rPr>
        <w:t xml:space="preserve"> </w:t>
      </w:r>
      <w:r w:rsidR="006057CC">
        <w:rPr>
          <w:rFonts w:cstheme="minorHAnsi"/>
          <w:kern w:val="0"/>
          <w14:ligatures w14:val="none"/>
        </w:rPr>
        <w:t>niższa</w:t>
      </w:r>
      <w:r w:rsidR="003B50ED" w:rsidRPr="00F16251">
        <w:rPr>
          <w:rFonts w:cstheme="minorHAnsi"/>
          <w:kern w:val="0"/>
          <w14:ligatures w14:val="none"/>
        </w:rPr>
        <w:t xml:space="preserve"> </w:t>
      </w:r>
      <w:r w:rsidRPr="00F16251">
        <w:rPr>
          <w:rFonts w:cstheme="minorHAnsi"/>
          <w:kern w:val="0"/>
          <w14:ligatures w14:val="none"/>
        </w:rPr>
        <w:t>niż</w:t>
      </w:r>
      <w:r w:rsidR="003B50ED" w:rsidRPr="00F16251">
        <w:rPr>
          <w:rFonts w:cstheme="minorHAnsi"/>
          <w:kern w:val="0"/>
          <w14:ligatures w14:val="none"/>
        </w:rPr>
        <w:t xml:space="preserve"> </w:t>
      </w:r>
      <w:r w:rsidRPr="00F16251">
        <w:rPr>
          <w:rFonts w:cstheme="minorHAnsi"/>
          <w:kern w:val="0"/>
          <w14:ligatures w14:val="none"/>
        </w:rPr>
        <w:t>wnioskowana</w:t>
      </w:r>
      <w:r w:rsidR="003B50ED" w:rsidRPr="00F16251">
        <w:rPr>
          <w:rFonts w:cstheme="minorHAnsi"/>
          <w:kern w:val="0"/>
          <w14:ligatures w14:val="none"/>
        </w:rPr>
        <w:t xml:space="preserve"> </w:t>
      </w:r>
      <w:r w:rsidRPr="00F16251">
        <w:rPr>
          <w:rFonts w:cstheme="minorHAnsi"/>
          <w:kern w:val="0"/>
          <w14:ligatures w14:val="none"/>
        </w:rPr>
        <w:t>LGD</w:t>
      </w:r>
      <w:r w:rsidR="003B50ED" w:rsidRPr="00F16251">
        <w:rPr>
          <w:rFonts w:cstheme="minorHAnsi"/>
          <w:kern w:val="0"/>
          <w14:ligatures w14:val="none"/>
        </w:rPr>
        <w:t xml:space="preserve"> </w:t>
      </w:r>
      <w:r w:rsidRPr="00F16251">
        <w:rPr>
          <w:rFonts w:cstheme="minorHAnsi"/>
          <w:kern w:val="0"/>
          <w14:ligatures w14:val="none"/>
        </w:rPr>
        <w:t>zamieszcza</w:t>
      </w:r>
      <w:r w:rsidR="003B50ED" w:rsidRPr="00F16251">
        <w:rPr>
          <w:rFonts w:cstheme="minorHAnsi"/>
          <w:kern w:val="0"/>
          <w14:ligatures w14:val="none"/>
        </w:rPr>
        <w:t xml:space="preserve"> </w:t>
      </w:r>
      <w:r w:rsidRPr="00F16251">
        <w:rPr>
          <w:rFonts w:cstheme="minorHAnsi"/>
          <w:kern w:val="0"/>
          <w14:ligatures w14:val="none"/>
        </w:rPr>
        <w:t>dodatkowo</w:t>
      </w:r>
      <w:r w:rsidR="003B50ED" w:rsidRPr="00F16251">
        <w:rPr>
          <w:rFonts w:cstheme="minorHAnsi"/>
          <w:kern w:val="0"/>
          <w14:ligatures w14:val="none"/>
        </w:rPr>
        <w:t xml:space="preserve"> </w:t>
      </w:r>
      <w:r w:rsidRPr="00F16251">
        <w:rPr>
          <w:rFonts w:cstheme="minorHAnsi"/>
          <w:kern w:val="0"/>
          <w14:ligatures w14:val="none"/>
        </w:rPr>
        <w:t>uzasadnienie</w:t>
      </w:r>
      <w:r w:rsidR="003B50ED" w:rsidRPr="00F16251">
        <w:rPr>
          <w:rFonts w:cstheme="minorHAnsi"/>
          <w:kern w:val="0"/>
          <w14:ligatures w14:val="none"/>
        </w:rPr>
        <w:t xml:space="preserve"> </w:t>
      </w:r>
      <w:r w:rsidRPr="00F16251">
        <w:rPr>
          <w:rFonts w:cstheme="minorHAnsi"/>
          <w:kern w:val="0"/>
          <w14:ligatures w14:val="none"/>
        </w:rPr>
        <w:t>tej</w:t>
      </w:r>
      <w:r w:rsidR="003B50ED" w:rsidRPr="00F16251">
        <w:rPr>
          <w:rFonts w:cstheme="minorHAnsi"/>
          <w:kern w:val="0"/>
          <w14:ligatures w14:val="none"/>
        </w:rPr>
        <w:t xml:space="preserve"> </w:t>
      </w:r>
      <w:r w:rsidRPr="00F16251">
        <w:rPr>
          <w:rFonts w:cstheme="minorHAnsi"/>
          <w:kern w:val="0"/>
          <w14:ligatures w14:val="none"/>
        </w:rPr>
        <w:t>wysokości.</w:t>
      </w:r>
      <w:r w:rsidR="003B50ED" w:rsidRPr="00F16251">
        <w:rPr>
          <w:rFonts w:cstheme="minorHAnsi"/>
          <w:kern w:val="0"/>
          <w14:ligatures w14:val="none"/>
        </w:rPr>
        <w:t xml:space="preserve"> </w:t>
      </w:r>
    </w:p>
    <w:p w14:paraId="70A6A33B" w14:textId="6AC7ED3C" w:rsidR="00130167" w:rsidRPr="00F16251" w:rsidRDefault="002C63F4" w:rsidP="00130167">
      <w:pPr>
        <w:spacing w:line="276" w:lineRule="auto"/>
        <w:ind w:firstLine="360"/>
        <w:jc w:val="both"/>
        <w:rPr>
          <w:rFonts w:cstheme="minorHAnsi"/>
          <w:kern w:val="0"/>
          <w14:ligatures w14:val="none"/>
        </w:rPr>
      </w:pPr>
      <w:r w:rsidRPr="00F16251">
        <w:rPr>
          <w:rFonts w:cstheme="minorHAnsi"/>
          <w:kern w:val="0"/>
          <w14:ligatures w14:val="none"/>
        </w:rPr>
        <w:t>Na</w:t>
      </w:r>
      <w:r w:rsidR="003B50ED" w:rsidRPr="00F16251">
        <w:rPr>
          <w:rFonts w:cstheme="minorHAnsi"/>
          <w:kern w:val="0"/>
          <w14:ligatures w14:val="none"/>
        </w:rPr>
        <w:t xml:space="preserve"> </w:t>
      </w:r>
      <w:r w:rsidRPr="00F16251">
        <w:rPr>
          <w:rFonts w:cstheme="minorHAnsi"/>
          <w:kern w:val="0"/>
          <w14:ligatures w14:val="none"/>
        </w:rPr>
        <w:t>swojej</w:t>
      </w:r>
      <w:r w:rsidR="003B50ED" w:rsidRPr="00F16251">
        <w:rPr>
          <w:rFonts w:cstheme="minorHAnsi"/>
          <w:kern w:val="0"/>
          <w14:ligatures w14:val="none"/>
        </w:rPr>
        <w:t xml:space="preserve"> </w:t>
      </w:r>
      <w:r w:rsidRPr="00F16251">
        <w:rPr>
          <w:rFonts w:cstheme="minorHAnsi"/>
          <w:kern w:val="0"/>
          <w14:ligatures w14:val="none"/>
        </w:rPr>
        <w:t>stronie</w:t>
      </w:r>
      <w:r w:rsidR="003B50ED" w:rsidRPr="00F16251">
        <w:rPr>
          <w:rFonts w:cstheme="minorHAnsi"/>
          <w:kern w:val="0"/>
          <w14:ligatures w14:val="none"/>
        </w:rPr>
        <w:t xml:space="preserve"> </w:t>
      </w:r>
      <w:r w:rsidRPr="00F16251">
        <w:rPr>
          <w:rFonts w:cstheme="minorHAnsi"/>
          <w:kern w:val="0"/>
          <w14:ligatures w14:val="none"/>
        </w:rPr>
        <w:t>internetowej</w:t>
      </w:r>
      <w:r w:rsidR="003B50ED" w:rsidRPr="00F16251">
        <w:rPr>
          <w:rFonts w:cstheme="minorHAnsi"/>
          <w:kern w:val="0"/>
          <w14:ligatures w14:val="none"/>
        </w:rPr>
        <w:t xml:space="preserve"> </w:t>
      </w:r>
      <w:r w:rsidRPr="00F16251">
        <w:rPr>
          <w:rFonts w:cstheme="minorHAnsi"/>
          <w:kern w:val="0"/>
          <w14:ligatures w14:val="none"/>
        </w:rPr>
        <w:t>LGD</w:t>
      </w:r>
      <w:r w:rsidR="003B50ED" w:rsidRPr="00F16251">
        <w:rPr>
          <w:rFonts w:cstheme="minorHAnsi"/>
          <w:kern w:val="0"/>
          <w14:ligatures w14:val="none"/>
        </w:rPr>
        <w:t xml:space="preserve"> </w:t>
      </w:r>
      <w:r w:rsidRPr="00F16251">
        <w:rPr>
          <w:rFonts w:cstheme="minorHAnsi"/>
          <w:kern w:val="0"/>
          <w14:ligatures w14:val="none"/>
        </w:rPr>
        <w:t>będzie</w:t>
      </w:r>
      <w:r w:rsidR="003B50ED" w:rsidRPr="00F16251">
        <w:rPr>
          <w:rFonts w:cstheme="minorHAnsi"/>
          <w:kern w:val="0"/>
          <w14:ligatures w14:val="none"/>
        </w:rPr>
        <w:t xml:space="preserve"> </w:t>
      </w:r>
      <w:r w:rsidRPr="00F16251">
        <w:rPr>
          <w:rFonts w:cstheme="minorHAnsi"/>
          <w:kern w:val="0"/>
          <w14:ligatures w14:val="none"/>
        </w:rPr>
        <w:t>zamieszczać</w:t>
      </w:r>
      <w:r w:rsidR="003B50ED" w:rsidRPr="00F16251">
        <w:rPr>
          <w:rFonts w:cstheme="minorHAnsi"/>
          <w:kern w:val="0"/>
          <w14:ligatures w14:val="none"/>
        </w:rPr>
        <w:t xml:space="preserve"> </w:t>
      </w:r>
      <w:r w:rsidRPr="00F16251">
        <w:rPr>
          <w:rFonts w:cstheme="minorHAnsi"/>
          <w:kern w:val="0"/>
          <w14:ligatures w14:val="none"/>
        </w:rPr>
        <w:t>listę</w:t>
      </w:r>
      <w:r w:rsidR="003B50ED" w:rsidRPr="00F16251">
        <w:rPr>
          <w:rFonts w:cstheme="minorHAnsi"/>
          <w:kern w:val="0"/>
          <w14:ligatures w14:val="none"/>
        </w:rPr>
        <w:t xml:space="preserve"> </w:t>
      </w:r>
      <w:r w:rsidRPr="00F16251">
        <w:rPr>
          <w:rFonts w:cstheme="minorHAnsi"/>
          <w:kern w:val="0"/>
          <w14:ligatures w14:val="none"/>
        </w:rPr>
        <w:t>operacji</w:t>
      </w:r>
      <w:r w:rsidR="003B50ED" w:rsidRPr="00F16251">
        <w:rPr>
          <w:rFonts w:cstheme="minorHAnsi"/>
          <w:kern w:val="0"/>
          <w14:ligatures w14:val="none"/>
        </w:rPr>
        <w:t xml:space="preserve"> </w:t>
      </w:r>
      <w:r w:rsidRPr="00F16251">
        <w:rPr>
          <w:rFonts w:cstheme="minorHAnsi"/>
          <w:kern w:val="0"/>
          <w14:ligatures w14:val="none"/>
        </w:rPr>
        <w:t>spełniających</w:t>
      </w:r>
      <w:r w:rsidR="003B50ED" w:rsidRPr="00F16251">
        <w:rPr>
          <w:rFonts w:cstheme="minorHAnsi"/>
          <w:kern w:val="0"/>
          <w14:ligatures w14:val="none"/>
        </w:rPr>
        <w:t xml:space="preserve"> </w:t>
      </w:r>
      <w:r w:rsidRPr="00F16251">
        <w:rPr>
          <w:rFonts w:cstheme="minorHAnsi"/>
          <w:kern w:val="0"/>
          <w14:ligatures w14:val="none"/>
        </w:rPr>
        <w:t>warunki</w:t>
      </w:r>
      <w:r w:rsidR="003B50ED" w:rsidRPr="00F16251">
        <w:rPr>
          <w:rFonts w:cstheme="minorHAnsi"/>
          <w:kern w:val="0"/>
          <w14:ligatures w14:val="none"/>
        </w:rPr>
        <w:t xml:space="preserve"> </w:t>
      </w:r>
      <w:r w:rsidRPr="00F16251">
        <w:rPr>
          <w:rFonts w:cstheme="minorHAnsi"/>
          <w:kern w:val="0"/>
          <w14:ligatures w14:val="none"/>
        </w:rPr>
        <w:t>udzielenia</w:t>
      </w:r>
      <w:r w:rsidR="003B50ED" w:rsidRPr="00F16251">
        <w:rPr>
          <w:rFonts w:cstheme="minorHAnsi"/>
          <w:kern w:val="0"/>
          <w14:ligatures w14:val="none"/>
        </w:rPr>
        <w:t xml:space="preserve"> </w:t>
      </w:r>
      <w:r w:rsidRPr="00F16251">
        <w:rPr>
          <w:rFonts w:cstheme="minorHAnsi"/>
          <w:kern w:val="0"/>
          <w14:ligatures w14:val="none"/>
        </w:rPr>
        <w:t>wsparcia</w:t>
      </w:r>
      <w:r w:rsidR="003B50ED" w:rsidRPr="00F16251">
        <w:rPr>
          <w:rFonts w:cstheme="minorHAnsi"/>
          <w:kern w:val="0"/>
          <w14:ligatures w14:val="none"/>
        </w:rPr>
        <w:t xml:space="preserve"> </w:t>
      </w:r>
      <w:r w:rsidRPr="00F16251">
        <w:rPr>
          <w:rFonts w:cstheme="minorHAnsi"/>
          <w:kern w:val="0"/>
          <w14:ligatures w14:val="none"/>
        </w:rPr>
        <w:t>na</w:t>
      </w:r>
      <w:r w:rsidR="003B50ED" w:rsidRPr="00F16251">
        <w:rPr>
          <w:rFonts w:cstheme="minorHAnsi"/>
          <w:kern w:val="0"/>
          <w14:ligatures w14:val="none"/>
        </w:rPr>
        <w:t xml:space="preserve"> </w:t>
      </w:r>
      <w:r w:rsidRPr="00F16251">
        <w:rPr>
          <w:rFonts w:cstheme="minorHAnsi"/>
          <w:kern w:val="0"/>
          <w14:ligatures w14:val="none"/>
        </w:rPr>
        <w:t>wdrażanie</w:t>
      </w:r>
      <w:r w:rsidR="003B50ED" w:rsidRPr="00F16251">
        <w:rPr>
          <w:rFonts w:cstheme="minorHAnsi"/>
          <w:kern w:val="0"/>
          <w14:ligatures w14:val="none"/>
        </w:rPr>
        <w:t xml:space="preserve"> </w:t>
      </w:r>
      <w:r w:rsidRPr="00F16251">
        <w:rPr>
          <w:rFonts w:cstheme="minorHAnsi"/>
          <w:kern w:val="0"/>
          <w14:ligatures w14:val="none"/>
        </w:rPr>
        <w:t>LSR</w:t>
      </w:r>
      <w:r w:rsidR="003B50ED" w:rsidRPr="00F16251">
        <w:rPr>
          <w:rFonts w:cstheme="minorHAnsi"/>
          <w:kern w:val="0"/>
          <w14:ligatures w14:val="none"/>
        </w:rPr>
        <w:t xml:space="preserve"> </w:t>
      </w:r>
      <w:r w:rsidRPr="00F16251">
        <w:rPr>
          <w:rFonts w:cstheme="minorHAnsi"/>
          <w:kern w:val="0"/>
          <w14:ligatures w14:val="none"/>
        </w:rPr>
        <w:t>oraz</w:t>
      </w:r>
      <w:r w:rsidR="003B50ED" w:rsidRPr="00F16251">
        <w:rPr>
          <w:rFonts w:cstheme="minorHAnsi"/>
          <w:kern w:val="0"/>
          <w14:ligatures w14:val="none"/>
        </w:rPr>
        <w:t xml:space="preserve"> </w:t>
      </w:r>
      <w:r w:rsidRPr="00F16251">
        <w:rPr>
          <w:rFonts w:cstheme="minorHAnsi"/>
          <w:kern w:val="0"/>
          <w14:ligatures w14:val="none"/>
        </w:rPr>
        <w:t>listę</w:t>
      </w:r>
      <w:r w:rsidR="003B50ED" w:rsidRPr="00F16251">
        <w:rPr>
          <w:rFonts w:cstheme="minorHAnsi"/>
          <w:kern w:val="0"/>
          <w14:ligatures w14:val="none"/>
        </w:rPr>
        <w:t xml:space="preserve"> </w:t>
      </w:r>
      <w:r w:rsidRPr="00F16251">
        <w:rPr>
          <w:rFonts w:cstheme="minorHAnsi"/>
          <w:kern w:val="0"/>
          <w14:ligatures w14:val="none"/>
        </w:rPr>
        <w:t>operacji</w:t>
      </w:r>
      <w:r w:rsidR="003B50ED" w:rsidRPr="00F16251">
        <w:rPr>
          <w:rFonts w:cstheme="minorHAnsi"/>
          <w:kern w:val="0"/>
          <w14:ligatures w14:val="none"/>
        </w:rPr>
        <w:t xml:space="preserve"> </w:t>
      </w:r>
      <w:r w:rsidRPr="00F16251">
        <w:rPr>
          <w:rFonts w:cstheme="minorHAnsi"/>
          <w:kern w:val="0"/>
          <w14:ligatures w14:val="none"/>
        </w:rPr>
        <w:t>wybranych,</w:t>
      </w:r>
      <w:r w:rsidR="003B50ED" w:rsidRPr="00F16251">
        <w:rPr>
          <w:rFonts w:cstheme="minorHAnsi"/>
          <w:kern w:val="0"/>
          <w14:ligatures w14:val="none"/>
        </w:rPr>
        <w:t xml:space="preserve"> </w:t>
      </w:r>
      <w:r w:rsidRPr="00F16251">
        <w:rPr>
          <w:rFonts w:cstheme="minorHAnsi"/>
          <w:kern w:val="0"/>
          <w14:ligatures w14:val="none"/>
        </w:rPr>
        <w:t>ze</w:t>
      </w:r>
      <w:r w:rsidR="003B50ED" w:rsidRPr="00F16251">
        <w:rPr>
          <w:rFonts w:cstheme="minorHAnsi"/>
          <w:kern w:val="0"/>
          <w14:ligatures w14:val="none"/>
        </w:rPr>
        <w:t xml:space="preserve"> </w:t>
      </w:r>
      <w:r w:rsidRPr="00F16251">
        <w:rPr>
          <w:rFonts w:cstheme="minorHAnsi"/>
          <w:kern w:val="0"/>
          <w14:ligatures w14:val="none"/>
        </w:rPr>
        <w:t>wskazaniem,</w:t>
      </w:r>
      <w:r w:rsidR="003B50ED" w:rsidRPr="00F16251">
        <w:rPr>
          <w:rFonts w:cstheme="minorHAnsi"/>
          <w:kern w:val="0"/>
          <w14:ligatures w14:val="none"/>
        </w:rPr>
        <w:t xml:space="preserve"> </w:t>
      </w:r>
      <w:r w:rsidRPr="00F16251">
        <w:rPr>
          <w:rFonts w:cstheme="minorHAnsi"/>
          <w:kern w:val="0"/>
          <w14:ligatures w14:val="none"/>
        </w:rPr>
        <w:t>które</w:t>
      </w:r>
      <w:r w:rsidR="003B50ED" w:rsidRPr="00F16251">
        <w:rPr>
          <w:rFonts w:cstheme="minorHAnsi"/>
          <w:kern w:val="0"/>
          <w14:ligatures w14:val="none"/>
        </w:rPr>
        <w:t xml:space="preserve"> </w:t>
      </w:r>
      <w:r w:rsidRPr="00F16251">
        <w:rPr>
          <w:rFonts w:cstheme="minorHAnsi"/>
          <w:kern w:val="0"/>
          <w14:ligatures w14:val="none"/>
        </w:rPr>
        <w:t>z</w:t>
      </w:r>
      <w:r w:rsidR="003B50ED" w:rsidRPr="00F16251">
        <w:rPr>
          <w:rFonts w:cstheme="minorHAnsi"/>
          <w:kern w:val="0"/>
          <w14:ligatures w14:val="none"/>
        </w:rPr>
        <w:t xml:space="preserve"> </w:t>
      </w:r>
      <w:r w:rsidRPr="00F16251">
        <w:rPr>
          <w:rFonts w:cstheme="minorHAnsi"/>
          <w:kern w:val="0"/>
          <w14:ligatures w14:val="none"/>
        </w:rPr>
        <w:t>operacji</w:t>
      </w:r>
      <w:r w:rsidR="003B50ED" w:rsidRPr="00F16251">
        <w:rPr>
          <w:rFonts w:cstheme="minorHAnsi"/>
          <w:kern w:val="0"/>
          <w14:ligatures w14:val="none"/>
        </w:rPr>
        <w:t xml:space="preserve"> </w:t>
      </w:r>
      <w:r w:rsidRPr="00F16251">
        <w:rPr>
          <w:rFonts w:cstheme="minorHAnsi"/>
          <w:kern w:val="0"/>
          <w14:ligatures w14:val="none"/>
        </w:rPr>
        <w:t>mieszczą</w:t>
      </w:r>
      <w:r w:rsidR="003B50ED" w:rsidRPr="00F16251">
        <w:rPr>
          <w:rFonts w:cstheme="minorHAnsi"/>
          <w:kern w:val="0"/>
          <w14:ligatures w14:val="none"/>
        </w:rPr>
        <w:t xml:space="preserve"> </w:t>
      </w:r>
      <w:r w:rsidRPr="00F16251">
        <w:rPr>
          <w:rFonts w:cstheme="minorHAnsi"/>
          <w:kern w:val="0"/>
          <w14:ligatures w14:val="none"/>
        </w:rPr>
        <w:t>się</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limicie</w:t>
      </w:r>
      <w:r w:rsidR="003B50ED" w:rsidRPr="00F16251">
        <w:rPr>
          <w:rFonts w:cstheme="minorHAnsi"/>
          <w:kern w:val="0"/>
          <w14:ligatures w14:val="none"/>
        </w:rPr>
        <w:t xml:space="preserve"> </w:t>
      </w:r>
      <w:r w:rsidRPr="00F16251">
        <w:rPr>
          <w:rFonts w:cstheme="minorHAnsi"/>
          <w:kern w:val="0"/>
          <w14:ligatures w14:val="none"/>
        </w:rPr>
        <w:t>środków.</w:t>
      </w:r>
      <w:r w:rsidR="003B50ED" w:rsidRPr="00F16251">
        <w:rPr>
          <w:rFonts w:cstheme="minorHAnsi"/>
          <w:kern w:val="0"/>
          <w14:ligatures w14:val="none"/>
        </w:rPr>
        <w:t xml:space="preserve"> </w:t>
      </w:r>
      <w:r w:rsidRPr="00F16251">
        <w:rPr>
          <w:rFonts w:cstheme="minorHAnsi"/>
          <w:kern w:val="0"/>
          <w14:ligatures w14:val="none"/>
        </w:rPr>
        <w:t>Dokumentacja</w:t>
      </w:r>
      <w:r w:rsidR="003B50ED" w:rsidRPr="00F16251">
        <w:rPr>
          <w:rFonts w:cstheme="minorHAnsi"/>
          <w:kern w:val="0"/>
          <w14:ligatures w14:val="none"/>
        </w:rPr>
        <w:t xml:space="preserve"> </w:t>
      </w:r>
      <w:r w:rsidRPr="00F16251">
        <w:rPr>
          <w:rFonts w:cstheme="minorHAnsi"/>
          <w:kern w:val="0"/>
          <w14:ligatures w14:val="none"/>
        </w:rPr>
        <w:t>konkursowa</w:t>
      </w:r>
      <w:r w:rsidR="003B50ED" w:rsidRPr="00F16251">
        <w:rPr>
          <w:rFonts w:cstheme="minorHAnsi"/>
          <w:kern w:val="0"/>
          <w14:ligatures w14:val="none"/>
        </w:rPr>
        <w:t xml:space="preserve"> </w:t>
      </w:r>
      <w:r w:rsidRPr="00F16251">
        <w:rPr>
          <w:rFonts w:cstheme="minorHAnsi"/>
          <w:kern w:val="0"/>
          <w14:ligatures w14:val="none"/>
        </w:rPr>
        <w:t>będzie</w:t>
      </w:r>
      <w:r w:rsidR="003B50ED" w:rsidRPr="00F16251">
        <w:rPr>
          <w:rFonts w:cstheme="minorHAnsi"/>
          <w:kern w:val="0"/>
          <w14:ligatures w14:val="none"/>
        </w:rPr>
        <w:t xml:space="preserve"> </w:t>
      </w:r>
      <w:r w:rsidRPr="00F16251">
        <w:rPr>
          <w:rFonts w:cstheme="minorHAnsi"/>
          <w:kern w:val="0"/>
          <w14:ligatures w14:val="none"/>
        </w:rPr>
        <w:t>przekazywania</w:t>
      </w:r>
      <w:r w:rsidR="003B50ED" w:rsidRPr="00F16251">
        <w:rPr>
          <w:rFonts w:cstheme="minorHAnsi"/>
          <w:kern w:val="0"/>
          <w14:ligatures w14:val="none"/>
        </w:rPr>
        <w:t xml:space="preserve"> </w:t>
      </w:r>
      <w:r w:rsidRPr="00F16251">
        <w:rPr>
          <w:rFonts w:cstheme="minorHAnsi"/>
          <w:kern w:val="0"/>
          <w14:ligatures w14:val="none"/>
        </w:rPr>
        <w:t>do</w:t>
      </w:r>
      <w:r w:rsidR="003B50ED" w:rsidRPr="00F16251">
        <w:rPr>
          <w:rFonts w:cstheme="minorHAnsi"/>
          <w:kern w:val="0"/>
          <w14:ligatures w14:val="none"/>
        </w:rPr>
        <w:t xml:space="preserve"> </w:t>
      </w:r>
      <w:r w:rsidR="005768FC" w:rsidRPr="00F16251">
        <w:rPr>
          <w:rFonts w:cstheme="minorHAnsi"/>
          <w:kern w:val="0"/>
          <w14:ligatures w14:val="none"/>
        </w:rPr>
        <w:t>ZWW</w:t>
      </w:r>
      <w:r w:rsidR="006C70D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terminie</w:t>
      </w:r>
      <w:r w:rsidR="003B50ED" w:rsidRPr="00F16251">
        <w:rPr>
          <w:rFonts w:cstheme="minorHAnsi"/>
          <w:kern w:val="0"/>
          <w14:ligatures w14:val="none"/>
        </w:rPr>
        <w:t xml:space="preserve"> </w:t>
      </w:r>
      <w:r w:rsidRPr="00F16251">
        <w:rPr>
          <w:rFonts w:cstheme="minorHAnsi"/>
          <w:kern w:val="0"/>
          <w14:ligatures w14:val="none"/>
        </w:rPr>
        <w:t>60</w:t>
      </w:r>
      <w:r w:rsidR="003B50ED" w:rsidRPr="00F16251">
        <w:rPr>
          <w:rFonts w:cstheme="minorHAnsi"/>
          <w:kern w:val="0"/>
          <w14:ligatures w14:val="none"/>
        </w:rPr>
        <w:t xml:space="preserve"> </w:t>
      </w:r>
      <w:r w:rsidRPr="00F16251">
        <w:rPr>
          <w:rFonts w:cstheme="minorHAnsi"/>
          <w:kern w:val="0"/>
          <w14:ligatures w14:val="none"/>
        </w:rPr>
        <w:t>dni</w:t>
      </w:r>
      <w:r w:rsidR="003B50ED" w:rsidRPr="00F16251">
        <w:rPr>
          <w:rFonts w:cstheme="minorHAnsi"/>
          <w:kern w:val="0"/>
          <w14:ligatures w14:val="none"/>
        </w:rPr>
        <w:t xml:space="preserve"> </w:t>
      </w:r>
      <w:r w:rsidRPr="00F16251">
        <w:rPr>
          <w:rFonts w:cstheme="minorHAnsi"/>
          <w:kern w:val="0"/>
          <w14:ligatures w14:val="none"/>
        </w:rPr>
        <w:t>od</w:t>
      </w:r>
      <w:r w:rsidR="003B50ED" w:rsidRPr="00F16251">
        <w:rPr>
          <w:rFonts w:cstheme="minorHAnsi"/>
          <w:kern w:val="0"/>
          <w14:ligatures w14:val="none"/>
        </w:rPr>
        <w:t xml:space="preserve"> </w:t>
      </w:r>
      <w:r w:rsidRPr="00F16251">
        <w:rPr>
          <w:rFonts w:cstheme="minorHAnsi"/>
          <w:kern w:val="0"/>
          <w14:ligatures w14:val="none"/>
        </w:rPr>
        <w:t>dnia</w:t>
      </w:r>
      <w:r w:rsidR="003B50ED" w:rsidRPr="00F16251">
        <w:rPr>
          <w:rFonts w:cstheme="minorHAnsi"/>
          <w:kern w:val="0"/>
          <w14:ligatures w14:val="none"/>
        </w:rPr>
        <w:t xml:space="preserve"> </w:t>
      </w:r>
      <w:r w:rsidRPr="00F16251">
        <w:rPr>
          <w:rFonts w:cstheme="minorHAnsi"/>
          <w:kern w:val="0"/>
          <w14:ligatures w14:val="none"/>
        </w:rPr>
        <w:t>następującego</w:t>
      </w:r>
      <w:r w:rsidR="003B50ED" w:rsidRPr="00F16251">
        <w:rPr>
          <w:rFonts w:cstheme="minorHAnsi"/>
          <w:kern w:val="0"/>
          <w14:ligatures w14:val="none"/>
        </w:rPr>
        <w:t xml:space="preserve"> </w:t>
      </w:r>
      <w:r w:rsidRPr="00F16251">
        <w:rPr>
          <w:rFonts w:cstheme="minorHAnsi"/>
          <w:kern w:val="0"/>
          <w14:ligatures w14:val="none"/>
        </w:rPr>
        <w:t>po</w:t>
      </w:r>
      <w:r w:rsidR="003B50ED" w:rsidRPr="00F16251">
        <w:rPr>
          <w:rFonts w:cstheme="minorHAnsi"/>
          <w:kern w:val="0"/>
          <w14:ligatures w14:val="none"/>
        </w:rPr>
        <w:t xml:space="preserve"> </w:t>
      </w:r>
      <w:r w:rsidRPr="00F16251">
        <w:rPr>
          <w:rFonts w:cstheme="minorHAnsi"/>
          <w:kern w:val="0"/>
          <w14:ligatures w14:val="none"/>
        </w:rPr>
        <w:t>ostatnim</w:t>
      </w:r>
      <w:r w:rsidR="003B50ED" w:rsidRPr="00F16251">
        <w:rPr>
          <w:rFonts w:cstheme="minorHAnsi"/>
          <w:kern w:val="0"/>
          <w14:ligatures w14:val="none"/>
        </w:rPr>
        <w:t xml:space="preserve"> </w:t>
      </w:r>
      <w:r w:rsidRPr="00F16251">
        <w:rPr>
          <w:rFonts w:cstheme="minorHAnsi"/>
          <w:kern w:val="0"/>
          <w14:ligatures w14:val="none"/>
        </w:rPr>
        <w:t>dniu</w:t>
      </w:r>
      <w:r w:rsidR="003B50ED" w:rsidRPr="00F16251">
        <w:rPr>
          <w:rFonts w:cstheme="minorHAnsi"/>
          <w:kern w:val="0"/>
          <w14:ligatures w14:val="none"/>
        </w:rPr>
        <w:t xml:space="preserve"> </w:t>
      </w:r>
      <w:r w:rsidRPr="00F16251">
        <w:rPr>
          <w:rFonts w:cstheme="minorHAnsi"/>
          <w:kern w:val="0"/>
          <w14:ligatures w14:val="none"/>
        </w:rPr>
        <w:t>terminu</w:t>
      </w:r>
      <w:r w:rsidR="003B50ED" w:rsidRPr="00F16251">
        <w:rPr>
          <w:rFonts w:cstheme="minorHAnsi"/>
          <w:kern w:val="0"/>
          <w14:ligatures w14:val="none"/>
        </w:rPr>
        <w:t xml:space="preserve"> </w:t>
      </w:r>
      <w:r w:rsidRPr="00F16251">
        <w:rPr>
          <w:rFonts w:cstheme="minorHAnsi"/>
          <w:kern w:val="0"/>
          <w14:ligatures w14:val="none"/>
        </w:rPr>
        <w:t>składania</w:t>
      </w:r>
      <w:r w:rsidR="003B50ED" w:rsidRPr="00F16251">
        <w:rPr>
          <w:rFonts w:cstheme="minorHAnsi"/>
          <w:kern w:val="0"/>
          <w14:ligatures w14:val="none"/>
        </w:rPr>
        <w:t xml:space="preserve"> </w:t>
      </w:r>
      <w:r w:rsidRPr="00F16251">
        <w:rPr>
          <w:rFonts w:cstheme="minorHAnsi"/>
          <w:kern w:val="0"/>
          <w14:ligatures w14:val="none"/>
        </w:rPr>
        <w:t>wniosków</w:t>
      </w:r>
      <w:r w:rsidR="003B50ED" w:rsidRPr="00F16251">
        <w:rPr>
          <w:rFonts w:cstheme="minorHAnsi"/>
          <w:kern w:val="0"/>
          <w14:ligatures w14:val="none"/>
        </w:rPr>
        <w:t xml:space="preserve"> </w:t>
      </w:r>
      <w:r w:rsidRPr="00F16251">
        <w:rPr>
          <w:rFonts w:cstheme="minorHAnsi"/>
          <w:kern w:val="0"/>
          <w14:ligatures w14:val="none"/>
        </w:rPr>
        <w:t>o</w:t>
      </w:r>
      <w:r w:rsidR="003B50ED" w:rsidRPr="00F16251">
        <w:rPr>
          <w:rFonts w:cstheme="minorHAnsi"/>
          <w:kern w:val="0"/>
          <w14:ligatures w14:val="none"/>
        </w:rPr>
        <w:t xml:space="preserve"> </w:t>
      </w:r>
      <w:r w:rsidRPr="00F16251">
        <w:rPr>
          <w:rFonts w:cstheme="minorHAnsi"/>
          <w:kern w:val="0"/>
          <w14:ligatures w14:val="none"/>
        </w:rPr>
        <w:t>wsparcie.</w:t>
      </w:r>
      <w:r w:rsidR="003B50ED" w:rsidRPr="00F16251">
        <w:rPr>
          <w:rFonts w:cstheme="minorHAnsi"/>
          <w:kern w:val="0"/>
          <w14:ligatures w14:val="none"/>
        </w:rPr>
        <w:t xml:space="preserve"> </w:t>
      </w:r>
    </w:p>
    <w:p w14:paraId="06A73D07" w14:textId="7831DE05" w:rsidR="00785CAB" w:rsidRPr="00F16251" w:rsidRDefault="00785CAB" w:rsidP="00785CAB">
      <w:pPr>
        <w:spacing w:line="276" w:lineRule="auto"/>
        <w:ind w:firstLine="360"/>
        <w:jc w:val="both"/>
        <w:rPr>
          <w:rFonts w:cstheme="minorHAnsi"/>
          <w:kern w:val="0"/>
          <w14:ligatures w14:val="none"/>
        </w:rPr>
      </w:pPr>
      <w:r w:rsidRPr="00F16251">
        <w:rPr>
          <w:rFonts w:cstheme="minorHAnsi"/>
          <w:kern w:val="0"/>
          <w14:ligatures w14:val="none"/>
        </w:rPr>
        <w:t xml:space="preserve">Jeżeli po upływie 6 miesięcy od dnia udostępnienia </w:t>
      </w:r>
      <w:r w:rsidR="005768FC" w:rsidRPr="00F16251">
        <w:rPr>
          <w:rFonts w:cstheme="minorHAnsi"/>
          <w:kern w:val="0"/>
          <w14:ligatures w14:val="none"/>
        </w:rPr>
        <w:t>ZWW</w:t>
      </w:r>
      <w:r w:rsidR="006C70DD" w:rsidRPr="00F16251">
        <w:rPr>
          <w:rFonts w:cstheme="minorHAnsi"/>
          <w:kern w:val="0"/>
          <w14:ligatures w14:val="none"/>
        </w:rPr>
        <w:t xml:space="preserve"> </w:t>
      </w:r>
      <w:r w:rsidRPr="00F16251">
        <w:rPr>
          <w:rFonts w:cstheme="minorHAnsi"/>
          <w:kern w:val="0"/>
          <w14:ligatures w14:val="none"/>
        </w:rPr>
        <w:t xml:space="preserve">dokumentów potwierdzających dokonanie wyboru przez LGD operacji okaże się, że nie jest możliwe udzielenie wsparcia w ramach limitu środków, </w:t>
      </w:r>
      <w:r w:rsidR="005768FC" w:rsidRPr="00F16251">
        <w:rPr>
          <w:rFonts w:cstheme="minorHAnsi"/>
          <w:kern w:val="0"/>
          <w14:ligatures w14:val="none"/>
        </w:rPr>
        <w:t>ZWW</w:t>
      </w:r>
      <w:r w:rsidR="006C70DD" w:rsidRPr="00F16251">
        <w:rPr>
          <w:rFonts w:cstheme="minorHAnsi"/>
          <w:kern w:val="0"/>
          <w14:ligatures w14:val="none"/>
        </w:rPr>
        <w:t xml:space="preserve"> </w:t>
      </w:r>
      <w:r w:rsidRPr="00F16251">
        <w:rPr>
          <w:rFonts w:cstheme="minorHAnsi"/>
          <w:kern w:val="0"/>
          <w14:ligatures w14:val="none"/>
        </w:rPr>
        <w:t xml:space="preserve">informuje Wnioskodawcę o braku dostępnych środków na udzielenie tego wsparcia i pozostawia wniosek bez rozpatrzenia. </w:t>
      </w:r>
    </w:p>
    <w:p w14:paraId="5660238E" w14:textId="77777777" w:rsidR="00785CAB" w:rsidRPr="00F16251" w:rsidRDefault="00785CAB" w:rsidP="00785CAB">
      <w:pPr>
        <w:spacing w:line="276" w:lineRule="auto"/>
        <w:ind w:firstLine="360"/>
        <w:jc w:val="both"/>
        <w:rPr>
          <w:rFonts w:cstheme="minorHAnsi"/>
          <w:kern w:val="0"/>
          <w14:ligatures w14:val="none"/>
        </w:rPr>
      </w:pPr>
      <w:r w:rsidRPr="00F16251">
        <w:rPr>
          <w:rFonts w:cstheme="minorHAnsi"/>
          <w:kern w:val="0"/>
          <w14:ligatures w14:val="none"/>
        </w:rPr>
        <w:t xml:space="preserve">Wnioskodawcy będzie przysługiwać prawo wniesienia protestu od: </w:t>
      </w:r>
    </w:p>
    <w:p w14:paraId="4140D99B" w14:textId="77777777" w:rsidR="00785CAB" w:rsidRPr="00F16251" w:rsidRDefault="00785CAB" w:rsidP="00785CAB">
      <w:pPr>
        <w:spacing w:line="276" w:lineRule="auto"/>
        <w:jc w:val="both"/>
        <w:rPr>
          <w:rFonts w:cstheme="minorHAnsi"/>
          <w:kern w:val="0"/>
          <w14:ligatures w14:val="none"/>
        </w:rPr>
      </w:pPr>
      <w:r w:rsidRPr="00F16251">
        <w:rPr>
          <w:rFonts w:cstheme="minorHAnsi"/>
          <w:kern w:val="0"/>
          <w14:ligatures w14:val="none"/>
        </w:rPr>
        <w:t xml:space="preserve">1) negatywnego wyniku oceny albo </w:t>
      </w:r>
    </w:p>
    <w:p w14:paraId="6FE8E540" w14:textId="77777777" w:rsidR="00785CAB" w:rsidRPr="00F16251" w:rsidRDefault="00785CAB" w:rsidP="00785CAB">
      <w:pPr>
        <w:spacing w:line="276" w:lineRule="auto"/>
        <w:jc w:val="both"/>
        <w:rPr>
          <w:rFonts w:cstheme="minorHAnsi"/>
          <w:kern w:val="0"/>
          <w14:ligatures w14:val="none"/>
        </w:rPr>
      </w:pPr>
      <w:r w:rsidRPr="00F16251">
        <w:rPr>
          <w:rFonts w:cstheme="minorHAnsi"/>
          <w:kern w:val="0"/>
          <w14:ligatures w14:val="none"/>
        </w:rPr>
        <w:t xml:space="preserve">2) wyniku oceny spełnienia kryteriów wyboru operacji, na skutek której operacja nie została wybrana, albo </w:t>
      </w:r>
    </w:p>
    <w:p w14:paraId="54AFAF33" w14:textId="77777777" w:rsidR="00785CAB" w:rsidRPr="00F16251" w:rsidRDefault="00785CAB" w:rsidP="00785CAB">
      <w:pPr>
        <w:spacing w:line="276" w:lineRule="auto"/>
        <w:jc w:val="both"/>
        <w:rPr>
          <w:rFonts w:cstheme="minorHAnsi"/>
          <w:kern w:val="0"/>
          <w14:ligatures w14:val="none"/>
        </w:rPr>
      </w:pPr>
      <w:r w:rsidRPr="00F16251">
        <w:rPr>
          <w:rFonts w:cstheme="minorHAnsi"/>
          <w:kern w:val="0"/>
          <w14:ligatures w14:val="none"/>
        </w:rPr>
        <w:t xml:space="preserve">3) wyniku wyboru operacji, na skutek którego operacja nie mieści się w limicie środków przeznaczonych na udzielenie wsparcia na wdrażanie LSR w ramach danego naboru wniosków o wsparcie, lub ustalenia przez LGD kwoty wsparcia na wdrażanie LSR niższej niż wnioskowana. </w:t>
      </w:r>
    </w:p>
    <w:p w14:paraId="42B6EE8A" w14:textId="1223026B" w:rsidR="00785CAB" w:rsidRPr="00F16251" w:rsidRDefault="00785CAB" w:rsidP="00785CAB">
      <w:pPr>
        <w:spacing w:line="276" w:lineRule="auto"/>
        <w:ind w:firstLine="360"/>
        <w:jc w:val="both"/>
        <w:rPr>
          <w:rFonts w:cstheme="minorHAnsi"/>
          <w:kern w:val="0"/>
          <w14:ligatures w14:val="none"/>
        </w:rPr>
      </w:pPr>
      <w:r w:rsidRPr="00F16251">
        <w:rPr>
          <w:rFonts w:cstheme="minorHAnsi"/>
          <w:kern w:val="0"/>
          <w14:ligatures w14:val="none"/>
        </w:rPr>
        <w:t xml:space="preserve">Niewystarczający limit w naborze nie może stanowić wyłącznej przesłanki wniesienia protestu. Prawo wniesienia protestu nie będzie przysługiwało LGD. </w:t>
      </w:r>
    </w:p>
    <w:p w14:paraId="7EEA0576" w14:textId="77777777" w:rsidR="00785CAB" w:rsidRPr="00F16251" w:rsidRDefault="00785CAB" w:rsidP="00785CAB">
      <w:pPr>
        <w:spacing w:line="276" w:lineRule="auto"/>
        <w:ind w:firstLine="360"/>
        <w:jc w:val="both"/>
        <w:rPr>
          <w:rFonts w:cstheme="minorHAnsi"/>
          <w:kern w:val="0"/>
          <w14:ligatures w14:val="none"/>
        </w:rPr>
      </w:pPr>
      <w:r w:rsidRPr="00F16251">
        <w:rPr>
          <w:rFonts w:cstheme="minorHAnsi"/>
          <w:kern w:val="0"/>
          <w14:ligatures w14:val="none"/>
        </w:rPr>
        <w:t xml:space="preserve">Wymogi formalne wniesienia protestu, okoliczności wezwania do uzupełnień, pozostawienia protestu bez rozpatrzenia, wycofania protestu, tryb doręczeń, możliwość wniesienia skargi do sądu administracyjnego oraz czas rozpatrzenia protestu – będą wynikać z przyjętych procedur. </w:t>
      </w:r>
    </w:p>
    <w:p w14:paraId="72E07E32" w14:textId="6EE050B2" w:rsidR="00785CAB" w:rsidRPr="00F16251" w:rsidRDefault="00785CAB" w:rsidP="00785CAB">
      <w:pPr>
        <w:spacing w:line="276" w:lineRule="auto"/>
        <w:ind w:firstLine="360"/>
        <w:jc w:val="both"/>
        <w:rPr>
          <w:rFonts w:cstheme="minorHAnsi"/>
          <w:kern w:val="0"/>
          <w14:ligatures w14:val="none"/>
        </w:rPr>
      </w:pPr>
      <w:r w:rsidRPr="00F16251">
        <w:rPr>
          <w:rFonts w:cstheme="minorHAnsi"/>
          <w:kern w:val="0"/>
          <w14:ligatures w14:val="none"/>
        </w:rPr>
        <w:t xml:space="preserve">Procedura odwoławcza będzie wstrzymywać zawierania umów z Wnioskodawcami, których operacje zostały wybrane przez LGD. Jedynie w przypadku wniesionego protestu od negatywnego wyniku oceny spełnienia warunków udzielenia wsparcia, procedura odwoławcza wstrzyma zawieranie umów z Wnioskodawcami do czasu uwzględnienia przez LGD stanowiska </w:t>
      </w:r>
      <w:r w:rsidR="005768FC" w:rsidRPr="00F16251">
        <w:rPr>
          <w:rFonts w:cstheme="minorHAnsi"/>
          <w:kern w:val="0"/>
          <w14:ligatures w14:val="none"/>
        </w:rPr>
        <w:t>ZWW</w:t>
      </w:r>
      <w:r w:rsidRPr="00F16251">
        <w:rPr>
          <w:rFonts w:cstheme="minorHAnsi"/>
          <w:kern w:val="0"/>
          <w14:ligatures w14:val="none"/>
        </w:rPr>
        <w:t>.</w:t>
      </w:r>
    </w:p>
    <w:p w14:paraId="29562798" w14:textId="185E2E10" w:rsidR="00785CAB" w:rsidRPr="00F16251" w:rsidRDefault="00785CAB" w:rsidP="00785CAB">
      <w:pPr>
        <w:spacing w:line="276" w:lineRule="auto"/>
        <w:ind w:firstLine="360"/>
        <w:jc w:val="both"/>
        <w:rPr>
          <w:rFonts w:cstheme="minorHAnsi"/>
          <w:kern w:val="0"/>
          <w14:ligatures w14:val="none"/>
        </w:rPr>
      </w:pPr>
      <w:r w:rsidRPr="00F16251">
        <w:rPr>
          <w:rFonts w:cstheme="minorHAnsi"/>
          <w:kern w:val="0"/>
          <w14:ligatures w14:val="none"/>
        </w:rPr>
        <w:t xml:space="preserve">Wyczerpanie limitu środków w ramach danego naboru wniosków nie będzie stanowić przeszkody w udzieleniu wsparcia na daną operację, jeżeli w wyniku wniesienia protestu albo uwzględnienia skargi przez sąd administracyjny LGD wybrała tę operację, a </w:t>
      </w:r>
      <w:r w:rsidR="005768FC" w:rsidRPr="00F16251">
        <w:rPr>
          <w:rFonts w:cstheme="minorHAnsi"/>
          <w:kern w:val="0"/>
          <w14:ligatures w14:val="none"/>
        </w:rPr>
        <w:t>ZWW</w:t>
      </w:r>
      <w:r w:rsidR="006C70DD" w:rsidRPr="00F16251">
        <w:rPr>
          <w:rFonts w:cstheme="minorHAnsi"/>
          <w:kern w:val="0"/>
          <w14:ligatures w14:val="none"/>
        </w:rPr>
        <w:t xml:space="preserve"> </w:t>
      </w:r>
      <w:r w:rsidRPr="00F16251">
        <w:rPr>
          <w:rFonts w:cstheme="minorHAnsi"/>
          <w:kern w:val="0"/>
          <w14:ligatures w14:val="none"/>
        </w:rPr>
        <w:t xml:space="preserve">ustalił, że są spełnione pozostałe warunki udzielenia tego wsparcia, a kryteria wyboru operacji zostały spełnione w takim stopniu, że wsparcie na wdrażanie LSR na tę operację powinno zostać udzielone oraz jeżeli nie zostanie wyczerpany określony w umowie ramowej limit na Wdrażanie LSR. </w:t>
      </w:r>
    </w:p>
    <w:p w14:paraId="61A4B2F9" w14:textId="2EAB91C5" w:rsidR="00785CAB" w:rsidRPr="00F16251" w:rsidRDefault="00785CAB" w:rsidP="00785CAB">
      <w:pPr>
        <w:spacing w:line="276" w:lineRule="auto"/>
        <w:ind w:firstLine="360"/>
        <w:jc w:val="both"/>
        <w:rPr>
          <w:rFonts w:cstheme="minorHAnsi"/>
          <w:kern w:val="0"/>
          <w14:ligatures w14:val="none"/>
        </w:rPr>
      </w:pPr>
      <w:r w:rsidRPr="00F16251">
        <w:rPr>
          <w:rFonts w:cstheme="minorHAnsi"/>
          <w:kern w:val="0"/>
          <w14:ligatures w14:val="none"/>
        </w:rPr>
        <w:lastRenderedPageBreak/>
        <w:t xml:space="preserve">Po dokonaniu przez LGD wyboru operacji </w:t>
      </w:r>
      <w:r w:rsidR="005768FC" w:rsidRPr="00F16251">
        <w:rPr>
          <w:rFonts w:cstheme="minorHAnsi"/>
          <w:kern w:val="0"/>
          <w14:ligatures w14:val="none"/>
        </w:rPr>
        <w:t>ZWW</w:t>
      </w:r>
      <w:r w:rsidR="006C70DD" w:rsidRPr="00F16251">
        <w:rPr>
          <w:rFonts w:cstheme="minorHAnsi"/>
          <w:kern w:val="0"/>
          <w14:ligatures w14:val="none"/>
        </w:rPr>
        <w:t xml:space="preserve"> </w:t>
      </w:r>
      <w:r w:rsidRPr="00F16251">
        <w:rPr>
          <w:rFonts w:cstheme="minorHAnsi"/>
          <w:kern w:val="0"/>
          <w14:ligatures w14:val="none"/>
        </w:rPr>
        <w:t xml:space="preserve">dokonuje ostatecznej weryfikacji kwalifikowalności i udziela lub odmawia udzielenia wsparcia. Jeśli wniosek zawiera braki, jest wypełniony nieprawidłowo lub zawiera oczywiste omyłki, </w:t>
      </w:r>
      <w:r w:rsidR="005768FC" w:rsidRPr="00F16251">
        <w:rPr>
          <w:rFonts w:cstheme="minorHAnsi"/>
          <w:kern w:val="0"/>
          <w14:ligatures w14:val="none"/>
        </w:rPr>
        <w:t>ZWW</w:t>
      </w:r>
      <w:r w:rsidR="006C70DD" w:rsidRPr="00F16251">
        <w:rPr>
          <w:rFonts w:cstheme="minorHAnsi"/>
          <w:kern w:val="0"/>
          <w14:ligatures w14:val="none"/>
        </w:rPr>
        <w:t xml:space="preserve"> </w:t>
      </w:r>
      <w:r w:rsidRPr="00F16251">
        <w:rPr>
          <w:rFonts w:cstheme="minorHAnsi"/>
          <w:kern w:val="0"/>
          <w14:ligatures w14:val="none"/>
        </w:rPr>
        <w:t xml:space="preserve">wzywa Wnioskodawcę do usunięcia tych braków lub nieprawidłowości lub poprawienia oczywistych omyłek w wyznaczonym terminie, nie krótszym niż 7 dni i nie dłuższym niż 14 dni, pod rygorem pozostawienia wniosku bez rozpatrzenia. Wezwanie może również dotyczyć modyfikacji kwoty wsparcia, jeśli LGD ustaliła kwotę niższą niż wnioskowana (LGD tryb postępowania w tym zakresie zawrze w swoich procedurach). Wnioskodawca nie będzie mógł dokonywać istotnych modyfikacji mających wpływ na wynik wyboru operacji dokonany przez LGD. </w:t>
      </w:r>
    </w:p>
    <w:p w14:paraId="41B0687D" w14:textId="77777777" w:rsidR="00130167" w:rsidRPr="00F16251" w:rsidRDefault="00130167" w:rsidP="00130167">
      <w:pPr>
        <w:spacing w:line="276" w:lineRule="auto"/>
        <w:ind w:firstLine="360"/>
        <w:jc w:val="both"/>
        <w:rPr>
          <w:rFonts w:cstheme="minorHAnsi"/>
          <w:kern w:val="0"/>
          <w14:ligatures w14:val="none"/>
        </w:rPr>
      </w:pPr>
    </w:p>
    <w:p w14:paraId="5B23CD67" w14:textId="10E56C25" w:rsidR="002C63F4" w:rsidRPr="00F16251" w:rsidRDefault="002C63F4" w:rsidP="00785CAB">
      <w:pPr>
        <w:spacing w:line="276" w:lineRule="auto"/>
        <w:ind w:firstLine="360"/>
        <w:jc w:val="both"/>
        <w:rPr>
          <w:rFonts w:cstheme="minorHAnsi"/>
          <w:kern w:val="0"/>
          <w14:ligatures w14:val="none"/>
        </w:rPr>
      </w:pPr>
      <w:r w:rsidRPr="00F16251">
        <w:rPr>
          <w:rFonts w:cstheme="minorHAnsi"/>
          <w:kern w:val="0"/>
          <w14:ligatures w14:val="none"/>
        </w:rPr>
        <w:t>Podobny</w:t>
      </w:r>
      <w:r w:rsidR="003B50ED" w:rsidRPr="00F16251">
        <w:rPr>
          <w:rFonts w:cstheme="minorHAnsi"/>
          <w:kern w:val="0"/>
          <w14:ligatures w14:val="none"/>
        </w:rPr>
        <w:t xml:space="preserve"> </w:t>
      </w:r>
      <w:r w:rsidRPr="00F16251">
        <w:rPr>
          <w:rFonts w:cstheme="minorHAnsi"/>
          <w:kern w:val="0"/>
          <w14:ligatures w14:val="none"/>
        </w:rPr>
        <w:t>sposób</w:t>
      </w:r>
      <w:r w:rsidR="003B50ED" w:rsidRPr="00F16251">
        <w:rPr>
          <w:rFonts w:cstheme="minorHAnsi"/>
          <w:kern w:val="0"/>
          <w14:ligatures w14:val="none"/>
        </w:rPr>
        <w:t xml:space="preserve"> </w:t>
      </w:r>
      <w:r w:rsidRPr="00F16251">
        <w:rPr>
          <w:rFonts w:cstheme="minorHAnsi"/>
          <w:kern w:val="0"/>
          <w14:ligatures w14:val="none"/>
        </w:rPr>
        <w:t>postępowania</w:t>
      </w:r>
      <w:r w:rsidR="003B50ED" w:rsidRPr="00F16251">
        <w:rPr>
          <w:rFonts w:cstheme="minorHAnsi"/>
          <w:kern w:val="0"/>
          <w14:ligatures w14:val="none"/>
        </w:rPr>
        <w:t xml:space="preserve"> </w:t>
      </w:r>
      <w:r w:rsidRPr="00F16251">
        <w:rPr>
          <w:rFonts w:cstheme="minorHAnsi"/>
          <w:kern w:val="0"/>
          <w14:ligatures w14:val="none"/>
        </w:rPr>
        <w:t>będzie</w:t>
      </w:r>
      <w:r w:rsidR="003B50ED" w:rsidRPr="00F16251">
        <w:rPr>
          <w:rFonts w:cstheme="minorHAnsi"/>
          <w:kern w:val="0"/>
          <w14:ligatures w14:val="none"/>
        </w:rPr>
        <w:t xml:space="preserve"> </w:t>
      </w:r>
      <w:r w:rsidRPr="00F16251">
        <w:rPr>
          <w:rFonts w:cstheme="minorHAnsi"/>
          <w:kern w:val="0"/>
          <w14:ligatures w14:val="none"/>
        </w:rPr>
        <w:t>dotyczyć</w:t>
      </w:r>
      <w:r w:rsidR="003B50ED" w:rsidRPr="00F16251">
        <w:rPr>
          <w:rFonts w:cstheme="minorHAnsi"/>
          <w:kern w:val="0"/>
          <w14:ligatures w14:val="none"/>
        </w:rPr>
        <w:t xml:space="preserve"> </w:t>
      </w:r>
      <w:r w:rsidRPr="00F16251">
        <w:rPr>
          <w:rFonts w:cstheme="minorHAnsi"/>
          <w:kern w:val="0"/>
          <w14:ligatures w14:val="none"/>
        </w:rPr>
        <w:t>procedur</w:t>
      </w:r>
      <w:r w:rsidR="003B50ED" w:rsidRPr="00F16251">
        <w:rPr>
          <w:rFonts w:cstheme="minorHAnsi"/>
          <w:kern w:val="0"/>
          <w14:ligatures w14:val="none"/>
        </w:rPr>
        <w:t xml:space="preserve"> </w:t>
      </w:r>
      <w:r w:rsidRPr="00F16251">
        <w:rPr>
          <w:rFonts w:cstheme="minorHAnsi"/>
          <w:kern w:val="0"/>
          <w14:ligatures w14:val="none"/>
        </w:rPr>
        <w:t>wyboru</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oceny</w:t>
      </w:r>
      <w:r w:rsidR="003B50ED" w:rsidRPr="00F16251">
        <w:rPr>
          <w:rFonts w:cstheme="minorHAnsi"/>
          <w:kern w:val="0"/>
          <w14:ligatures w14:val="none"/>
        </w:rPr>
        <w:t xml:space="preserve"> </w:t>
      </w:r>
      <w:proofErr w:type="spellStart"/>
      <w:r w:rsidRPr="00F16251">
        <w:rPr>
          <w:rFonts w:cstheme="minorHAnsi"/>
          <w:kern w:val="0"/>
          <w14:ligatures w14:val="none"/>
        </w:rPr>
        <w:t>Grantobiorców</w:t>
      </w:r>
      <w:proofErr w:type="spellEnd"/>
      <w:r w:rsidR="003B50ED" w:rsidRPr="00F16251">
        <w:rPr>
          <w:rFonts w:cstheme="minorHAnsi"/>
          <w:kern w:val="0"/>
          <w14:ligatures w14:val="none"/>
        </w:rPr>
        <w:t xml:space="preserve"> </w:t>
      </w:r>
      <w:r w:rsidRPr="00F16251">
        <w:rPr>
          <w:rFonts w:cstheme="minorHAnsi"/>
          <w:kern w:val="0"/>
          <w14:ligatures w14:val="none"/>
        </w:rPr>
        <w:t>uwzględniających</w:t>
      </w:r>
      <w:r w:rsidR="003B50ED" w:rsidRPr="00F16251">
        <w:rPr>
          <w:rFonts w:cstheme="minorHAnsi"/>
          <w:kern w:val="0"/>
          <w14:ligatures w14:val="none"/>
        </w:rPr>
        <w:t xml:space="preserve"> </w:t>
      </w:r>
      <w:r w:rsidRPr="00F16251">
        <w:rPr>
          <w:rFonts w:cstheme="minorHAnsi"/>
          <w:kern w:val="0"/>
          <w14:ligatures w14:val="none"/>
        </w:rPr>
        <w:t>kryteria</w:t>
      </w:r>
      <w:r w:rsidR="003B50ED" w:rsidRPr="00F16251">
        <w:rPr>
          <w:rFonts w:cstheme="minorHAnsi"/>
          <w:kern w:val="0"/>
          <w14:ligatures w14:val="none"/>
        </w:rPr>
        <w:t xml:space="preserve"> </w:t>
      </w:r>
      <w:r w:rsidRPr="00F16251">
        <w:rPr>
          <w:rFonts w:cstheme="minorHAnsi"/>
          <w:kern w:val="0"/>
          <w14:ligatures w14:val="none"/>
        </w:rPr>
        <w:t>wyboru</w:t>
      </w:r>
      <w:r w:rsidR="003B50ED" w:rsidRPr="00F16251">
        <w:rPr>
          <w:rFonts w:cstheme="minorHAnsi"/>
          <w:kern w:val="0"/>
          <w14:ligatures w14:val="none"/>
        </w:rPr>
        <w:t xml:space="preserve"> </w:t>
      </w:r>
      <w:proofErr w:type="spellStart"/>
      <w:r w:rsidRPr="00F16251">
        <w:rPr>
          <w:rFonts w:cstheme="minorHAnsi"/>
          <w:kern w:val="0"/>
          <w14:ligatures w14:val="none"/>
        </w:rPr>
        <w:t>grantobiorców</w:t>
      </w:r>
      <w:proofErr w:type="spellEnd"/>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ramach</w:t>
      </w:r>
      <w:r w:rsidR="003B50ED" w:rsidRPr="00F16251">
        <w:rPr>
          <w:rFonts w:cstheme="minorHAnsi"/>
          <w:kern w:val="0"/>
          <w14:ligatures w14:val="none"/>
        </w:rPr>
        <w:t xml:space="preserve"> </w:t>
      </w:r>
      <w:r w:rsidRPr="00F16251">
        <w:rPr>
          <w:rFonts w:cstheme="minorHAnsi"/>
          <w:kern w:val="0"/>
          <w14:ligatures w14:val="none"/>
        </w:rPr>
        <w:t>projektów</w:t>
      </w:r>
      <w:r w:rsidR="003B50ED" w:rsidRPr="00F16251">
        <w:rPr>
          <w:rFonts w:cstheme="minorHAnsi"/>
          <w:kern w:val="0"/>
          <w14:ligatures w14:val="none"/>
        </w:rPr>
        <w:t xml:space="preserve"> </w:t>
      </w:r>
      <w:r w:rsidRPr="00F16251">
        <w:rPr>
          <w:rFonts w:cstheme="minorHAnsi"/>
          <w:kern w:val="0"/>
          <w14:ligatures w14:val="none"/>
        </w:rPr>
        <w:t>grantowych,</w:t>
      </w:r>
      <w:r w:rsidR="003B50ED" w:rsidRPr="00F16251">
        <w:rPr>
          <w:rFonts w:cstheme="minorHAnsi"/>
          <w:kern w:val="0"/>
          <w14:ligatures w14:val="none"/>
        </w:rPr>
        <w:t xml:space="preserve"> </w:t>
      </w:r>
      <w:r w:rsidRPr="00F16251">
        <w:rPr>
          <w:rFonts w:cstheme="minorHAnsi"/>
          <w:kern w:val="0"/>
          <w14:ligatures w14:val="none"/>
        </w:rPr>
        <w:t>wraz</w:t>
      </w:r>
      <w:r w:rsidR="003B50ED" w:rsidRPr="00F16251">
        <w:rPr>
          <w:rFonts w:cstheme="minorHAnsi"/>
          <w:kern w:val="0"/>
          <w14:ligatures w14:val="none"/>
        </w:rPr>
        <w:t xml:space="preserve"> </w:t>
      </w:r>
      <w:r w:rsidRPr="00F16251">
        <w:rPr>
          <w:rFonts w:cstheme="minorHAnsi"/>
          <w:kern w:val="0"/>
          <w14:ligatures w14:val="none"/>
        </w:rPr>
        <w:t>z</w:t>
      </w:r>
      <w:r w:rsidR="003B50ED" w:rsidRPr="00F16251">
        <w:rPr>
          <w:rFonts w:cstheme="minorHAnsi"/>
          <w:kern w:val="0"/>
          <w14:ligatures w14:val="none"/>
        </w:rPr>
        <w:t xml:space="preserve"> </w:t>
      </w:r>
      <w:r w:rsidRPr="00F16251">
        <w:rPr>
          <w:rFonts w:cstheme="minorHAnsi"/>
          <w:kern w:val="0"/>
          <w14:ligatures w14:val="none"/>
        </w:rPr>
        <w:t>procedurą</w:t>
      </w:r>
      <w:r w:rsidR="003B50ED" w:rsidRPr="00F16251">
        <w:rPr>
          <w:rFonts w:cstheme="minorHAnsi"/>
          <w:kern w:val="0"/>
          <w14:ligatures w14:val="none"/>
        </w:rPr>
        <w:t xml:space="preserve"> </w:t>
      </w:r>
      <w:r w:rsidRPr="00F16251">
        <w:rPr>
          <w:rFonts w:cstheme="minorHAnsi"/>
          <w:kern w:val="0"/>
          <w14:ligatures w14:val="none"/>
        </w:rPr>
        <w:t>ustalania</w:t>
      </w:r>
      <w:r w:rsidR="003B50ED" w:rsidRPr="00F16251">
        <w:rPr>
          <w:rFonts w:cstheme="minorHAnsi"/>
          <w:kern w:val="0"/>
          <w14:ligatures w14:val="none"/>
        </w:rPr>
        <w:t xml:space="preserve"> </w:t>
      </w:r>
      <w:r w:rsidRPr="00F16251">
        <w:rPr>
          <w:rFonts w:cstheme="minorHAnsi"/>
          <w:kern w:val="0"/>
          <w14:ligatures w14:val="none"/>
        </w:rPr>
        <w:t>lub</w:t>
      </w:r>
      <w:r w:rsidR="003B50ED" w:rsidRPr="00F16251">
        <w:rPr>
          <w:rFonts w:cstheme="minorHAnsi"/>
          <w:kern w:val="0"/>
          <w14:ligatures w14:val="none"/>
        </w:rPr>
        <w:t xml:space="preserve"> </w:t>
      </w:r>
      <w:r w:rsidRPr="00F16251">
        <w:rPr>
          <w:rFonts w:cstheme="minorHAnsi"/>
          <w:kern w:val="0"/>
          <w14:ligatures w14:val="none"/>
        </w:rPr>
        <w:t>zmiany</w:t>
      </w:r>
      <w:r w:rsidR="003B50ED" w:rsidRPr="00F16251">
        <w:rPr>
          <w:rFonts w:cstheme="minorHAnsi"/>
          <w:kern w:val="0"/>
          <w14:ligatures w14:val="none"/>
        </w:rPr>
        <w:t xml:space="preserve"> </w:t>
      </w:r>
      <w:r w:rsidRPr="00F16251">
        <w:rPr>
          <w:rFonts w:cstheme="minorHAnsi"/>
          <w:kern w:val="0"/>
          <w14:ligatures w14:val="none"/>
        </w:rPr>
        <w:t>tych</w:t>
      </w:r>
      <w:r w:rsidR="003B50ED" w:rsidRPr="00F16251">
        <w:rPr>
          <w:rFonts w:cstheme="minorHAnsi"/>
          <w:kern w:val="0"/>
          <w14:ligatures w14:val="none"/>
        </w:rPr>
        <w:t xml:space="preserve"> </w:t>
      </w:r>
      <w:r w:rsidRPr="00F16251">
        <w:rPr>
          <w:rFonts w:cstheme="minorHAnsi"/>
          <w:kern w:val="0"/>
          <w14:ligatures w14:val="none"/>
        </w:rPr>
        <w:t>kryteriów</w:t>
      </w:r>
      <w:r w:rsidR="003B50ED" w:rsidRPr="00F16251">
        <w:rPr>
          <w:rFonts w:cstheme="minorHAnsi"/>
          <w:kern w:val="0"/>
          <w14:ligatures w14:val="none"/>
        </w:rPr>
        <w:t xml:space="preserve"> </w:t>
      </w:r>
      <w:r w:rsidRPr="00F16251">
        <w:rPr>
          <w:rFonts w:cstheme="minorHAnsi"/>
          <w:kern w:val="0"/>
          <w14:ligatures w14:val="none"/>
        </w:rPr>
        <w:t>oraz</w:t>
      </w:r>
      <w:r w:rsidR="003B50ED" w:rsidRPr="00F16251">
        <w:rPr>
          <w:rFonts w:cstheme="minorHAnsi"/>
          <w:kern w:val="0"/>
          <w14:ligatures w14:val="none"/>
        </w:rPr>
        <w:t xml:space="preserve"> </w:t>
      </w:r>
      <w:r w:rsidRPr="00F16251">
        <w:rPr>
          <w:rFonts w:cstheme="minorHAnsi"/>
          <w:kern w:val="0"/>
          <w14:ligatures w14:val="none"/>
        </w:rPr>
        <w:t>zasady</w:t>
      </w:r>
      <w:r w:rsidR="003B50ED" w:rsidRPr="00F16251">
        <w:rPr>
          <w:rFonts w:cstheme="minorHAnsi"/>
          <w:kern w:val="0"/>
          <w14:ligatures w14:val="none"/>
        </w:rPr>
        <w:t xml:space="preserve"> </w:t>
      </w:r>
      <w:r w:rsidRPr="00F16251">
        <w:rPr>
          <w:rFonts w:cstheme="minorHAnsi"/>
          <w:kern w:val="0"/>
          <w14:ligatures w14:val="none"/>
        </w:rPr>
        <w:t>ustalenia</w:t>
      </w:r>
      <w:r w:rsidR="003B50ED" w:rsidRPr="00F16251">
        <w:rPr>
          <w:rFonts w:cstheme="minorHAnsi"/>
          <w:kern w:val="0"/>
          <w14:ligatures w14:val="none"/>
        </w:rPr>
        <w:t xml:space="preserve"> </w:t>
      </w:r>
      <w:r w:rsidRPr="00F16251">
        <w:rPr>
          <w:rFonts w:cstheme="minorHAnsi"/>
          <w:kern w:val="0"/>
          <w14:ligatures w14:val="none"/>
        </w:rPr>
        <w:t>kwoty</w:t>
      </w:r>
      <w:r w:rsidR="003B50ED" w:rsidRPr="00F16251">
        <w:rPr>
          <w:rFonts w:cstheme="minorHAnsi"/>
          <w:kern w:val="0"/>
          <w14:ligatures w14:val="none"/>
        </w:rPr>
        <w:t xml:space="preserve"> </w:t>
      </w:r>
      <w:r w:rsidRPr="00F16251">
        <w:rPr>
          <w:rFonts w:cstheme="minorHAnsi"/>
          <w:kern w:val="0"/>
          <w14:ligatures w14:val="none"/>
        </w:rPr>
        <w:t>grantu.</w:t>
      </w:r>
      <w:r w:rsidR="003B50ED" w:rsidRPr="00F16251">
        <w:rPr>
          <w:rFonts w:cstheme="minorHAnsi"/>
          <w:kern w:val="0"/>
          <w14:ligatures w14:val="none"/>
        </w:rPr>
        <w:t xml:space="preserve"> </w:t>
      </w:r>
      <w:r w:rsidRPr="00F16251">
        <w:rPr>
          <w:rFonts w:cstheme="minorHAnsi"/>
          <w:kern w:val="0"/>
          <w14:ligatures w14:val="none"/>
        </w:rPr>
        <w:t>LGD</w:t>
      </w:r>
      <w:r w:rsidR="003B50ED" w:rsidRPr="00F16251">
        <w:rPr>
          <w:rFonts w:cstheme="minorHAnsi"/>
          <w:kern w:val="0"/>
          <w14:ligatures w14:val="none"/>
        </w:rPr>
        <w:t xml:space="preserve"> </w:t>
      </w:r>
      <w:r w:rsidRPr="00F16251">
        <w:rPr>
          <w:rFonts w:cstheme="minorHAnsi"/>
          <w:kern w:val="0"/>
          <w14:ligatures w14:val="none"/>
        </w:rPr>
        <w:t>będzie</w:t>
      </w:r>
      <w:r w:rsidR="003B50ED" w:rsidRPr="00F16251">
        <w:rPr>
          <w:rFonts w:cstheme="minorHAnsi"/>
          <w:kern w:val="0"/>
          <w14:ligatures w14:val="none"/>
        </w:rPr>
        <w:t xml:space="preserve"> </w:t>
      </w:r>
      <w:r w:rsidR="00E43C42">
        <w:rPr>
          <w:rFonts w:cstheme="minorHAnsi"/>
          <w:kern w:val="0"/>
          <w14:ligatures w14:val="none"/>
        </w:rPr>
        <w:t xml:space="preserve">jednak </w:t>
      </w:r>
      <w:r w:rsidRPr="00F16251">
        <w:rPr>
          <w:rFonts w:cstheme="minorHAnsi"/>
          <w:kern w:val="0"/>
          <w14:ligatures w14:val="none"/>
        </w:rPr>
        <w:t>odpowiadać</w:t>
      </w:r>
      <w:r w:rsidR="003B50ED" w:rsidRPr="00F16251">
        <w:rPr>
          <w:rFonts w:cstheme="minorHAnsi"/>
          <w:kern w:val="0"/>
          <w14:ligatures w14:val="none"/>
        </w:rPr>
        <w:t xml:space="preserve"> </w:t>
      </w:r>
      <w:r w:rsidR="00E43C42">
        <w:rPr>
          <w:rFonts w:cstheme="minorHAnsi"/>
          <w:kern w:val="0"/>
          <w14:ligatures w14:val="none"/>
        </w:rPr>
        <w:t xml:space="preserve">za proces wyboru i oceny </w:t>
      </w:r>
      <w:proofErr w:type="spellStart"/>
      <w:r w:rsidR="00E43C42">
        <w:rPr>
          <w:rFonts w:cstheme="minorHAnsi"/>
          <w:kern w:val="0"/>
          <w14:ligatures w14:val="none"/>
        </w:rPr>
        <w:t>Grantobiorców</w:t>
      </w:r>
      <w:proofErr w:type="spellEnd"/>
      <w:r w:rsidR="00E43C42">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szczególności</w:t>
      </w:r>
      <w:r w:rsidR="003B50ED" w:rsidRPr="00F16251">
        <w:rPr>
          <w:rFonts w:cstheme="minorHAnsi"/>
          <w:kern w:val="0"/>
          <w14:ligatures w14:val="none"/>
        </w:rPr>
        <w:t xml:space="preserve"> </w:t>
      </w:r>
      <w:r w:rsidRPr="00F16251">
        <w:rPr>
          <w:rFonts w:cstheme="minorHAnsi"/>
          <w:kern w:val="0"/>
          <w14:ligatures w14:val="none"/>
        </w:rPr>
        <w:t>za:</w:t>
      </w:r>
      <w:r w:rsidR="003B50ED" w:rsidRPr="00F16251">
        <w:rPr>
          <w:rFonts w:cstheme="minorHAnsi"/>
          <w:kern w:val="0"/>
          <w14:ligatures w14:val="none"/>
        </w:rPr>
        <w:t xml:space="preserve"> </w:t>
      </w:r>
    </w:p>
    <w:p w14:paraId="078BD165" w14:textId="5BB04FD4" w:rsidR="002C63F4" w:rsidRPr="00F16251" w:rsidRDefault="002C63F4" w:rsidP="00A26C26">
      <w:pPr>
        <w:spacing w:line="276" w:lineRule="auto"/>
        <w:jc w:val="both"/>
        <w:rPr>
          <w:rFonts w:cstheme="minorHAnsi"/>
          <w:kern w:val="0"/>
          <w14:ligatures w14:val="none"/>
        </w:rPr>
      </w:pPr>
      <w:r w:rsidRPr="00F16251">
        <w:rPr>
          <w:rFonts w:cstheme="minorHAnsi"/>
          <w:kern w:val="0"/>
          <w14:ligatures w14:val="none"/>
        </w:rPr>
        <w:t>1)</w:t>
      </w:r>
      <w:r w:rsidR="003B50ED" w:rsidRPr="00F16251">
        <w:rPr>
          <w:rFonts w:cstheme="minorHAnsi"/>
          <w:kern w:val="0"/>
          <w14:ligatures w14:val="none"/>
        </w:rPr>
        <w:t xml:space="preserve"> </w:t>
      </w:r>
      <w:r w:rsidRPr="00F16251">
        <w:rPr>
          <w:rFonts w:cstheme="minorHAnsi"/>
          <w:kern w:val="0"/>
          <w14:ligatures w14:val="none"/>
        </w:rPr>
        <w:t>realizację</w:t>
      </w:r>
      <w:r w:rsidR="003B50ED" w:rsidRPr="00F16251">
        <w:rPr>
          <w:rFonts w:cstheme="minorHAnsi"/>
          <w:kern w:val="0"/>
          <w14:ligatures w14:val="none"/>
        </w:rPr>
        <w:t xml:space="preserve"> </w:t>
      </w:r>
      <w:r w:rsidRPr="00F16251">
        <w:rPr>
          <w:rFonts w:cstheme="minorHAnsi"/>
          <w:kern w:val="0"/>
          <w14:ligatures w14:val="none"/>
        </w:rPr>
        <w:t>projektu</w:t>
      </w:r>
      <w:r w:rsidR="003B50ED" w:rsidRPr="00F16251">
        <w:rPr>
          <w:rFonts w:cstheme="minorHAnsi"/>
          <w:kern w:val="0"/>
          <w14:ligatures w14:val="none"/>
        </w:rPr>
        <w:t xml:space="preserve"> </w:t>
      </w:r>
      <w:r w:rsidRPr="00F16251">
        <w:rPr>
          <w:rFonts w:cstheme="minorHAnsi"/>
          <w:kern w:val="0"/>
          <w14:ligatures w14:val="none"/>
        </w:rPr>
        <w:t>grantowego</w:t>
      </w:r>
      <w:r w:rsidR="003B50ED" w:rsidRPr="00F16251">
        <w:rPr>
          <w:rFonts w:cstheme="minorHAnsi"/>
          <w:kern w:val="0"/>
          <w14:ligatures w14:val="none"/>
        </w:rPr>
        <w:t xml:space="preserve"> </w:t>
      </w:r>
      <w:r w:rsidRPr="00F16251">
        <w:rPr>
          <w:rFonts w:cstheme="minorHAnsi"/>
          <w:kern w:val="0"/>
          <w14:ligatures w14:val="none"/>
        </w:rPr>
        <w:t>zgodnie</w:t>
      </w:r>
      <w:r w:rsidR="003B50ED" w:rsidRPr="00F16251">
        <w:rPr>
          <w:rFonts w:cstheme="minorHAnsi"/>
          <w:kern w:val="0"/>
          <w14:ligatures w14:val="none"/>
        </w:rPr>
        <w:t xml:space="preserve"> </w:t>
      </w:r>
      <w:r w:rsidRPr="00F16251">
        <w:rPr>
          <w:rFonts w:cstheme="minorHAnsi"/>
          <w:kern w:val="0"/>
          <w14:ligatures w14:val="none"/>
        </w:rPr>
        <w:t>z</w:t>
      </w:r>
      <w:r w:rsidR="003B50ED" w:rsidRPr="00F16251">
        <w:rPr>
          <w:rFonts w:cstheme="minorHAnsi"/>
          <w:kern w:val="0"/>
          <w14:ligatures w14:val="none"/>
        </w:rPr>
        <w:t xml:space="preserve"> </w:t>
      </w:r>
      <w:r w:rsidRPr="00F16251">
        <w:rPr>
          <w:rFonts w:cstheme="minorHAnsi"/>
          <w:kern w:val="0"/>
          <w14:ligatures w14:val="none"/>
        </w:rPr>
        <w:t>założonym</w:t>
      </w:r>
      <w:r w:rsidR="003B50ED" w:rsidRPr="00F16251">
        <w:rPr>
          <w:rFonts w:cstheme="minorHAnsi"/>
          <w:kern w:val="0"/>
          <w14:ligatures w14:val="none"/>
        </w:rPr>
        <w:t xml:space="preserve"> </w:t>
      </w:r>
      <w:r w:rsidRPr="00F16251">
        <w:rPr>
          <w:rFonts w:cstheme="minorHAnsi"/>
          <w:kern w:val="0"/>
          <w14:ligatures w14:val="none"/>
        </w:rPr>
        <w:t>celem;</w:t>
      </w:r>
    </w:p>
    <w:p w14:paraId="19ECD587" w14:textId="0703FFF9" w:rsidR="002C63F4" w:rsidRPr="00F16251" w:rsidRDefault="002C63F4" w:rsidP="00A26C26">
      <w:pPr>
        <w:spacing w:line="276" w:lineRule="auto"/>
        <w:jc w:val="both"/>
        <w:rPr>
          <w:rFonts w:cstheme="minorHAnsi"/>
          <w:kern w:val="0"/>
          <w14:ligatures w14:val="none"/>
        </w:rPr>
      </w:pPr>
      <w:r w:rsidRPr="00F16251">
        <w:rPr>
          <w:rFonts w:cstheme="minorHAnsi"/>
          <w:kern w:val="0"/>
          <w14:ligatures w14:val="none"/>
        </w:rPr>
        <w:t>2)</w:t>
      </w:r>
      <w:r w:rsidR="003B50ED" w:rsidRPr="00F16251">
        <w:rPr>
          <w:rFonts w:cstheme="minorHAnsi"/>
          <w:kern w:val="0"/>
          <w14:ligatures w14:val="none"/>
        </w:rPr>
        <w:t xml:space="preserve"> </w:t>
      </w:r>
      <w:r w:rsidRPr="00F16251">
        <w:rPr>
          <w:rFonts w:cstheme="minorHAnsi"/>
          <w:kern w:val="0"/>
          <w14:ligatures w14:val="none"/>
        </w:rPr>
        <w:t>przygotowanie</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przekazanie</w:t>
      </w:r>
      <w:r w:rsidR="003B50ED" w:rsidRPr="00F16251">
        <w:rPr>
          <w:rFonts w:cstheme="minorHAnsi"/>
          <w:kern w:val="0"/>
          <w14:ligatures w14:val="none"/>
        </w:rPr>
        <w:t xml:space="preserve"> </w:t>
      </w:r>
      <w:r w:rsidR="005768FC" w:rsidRPr="00F16251">
        <w:rPr>
          <w:rFonts w:cstheme="minorHAnsi"/>
          <w:kern w:val="0"/>
          <w14:ligatures w14:val="none"/>
        </w:rPr>
        <w:t>ZWW</w:t>
      </w:r>
      <w:r w:rsidR="006C70DD" w:rsidRPr="00F16251">
        <w:rPr>
          <w:rFonts w:cstheme="minorHAnsi"/>
          <w:kern w:val="0"/>
          <w14:ligatures w14:val="none"/>
        </w:rPr>
        <w:t xml:space="preserve"> </w:t>
      </w:r>
      <w:r w:rsidRPr="00F16251">
        <w:rPr>
          <w:rFonts w:cstheme="minorHAnsi"/>
          <w:kern w:val="0"/>
          <w14:ligatures w14:val="none"/>
        </w:rPr>
        <w:t>do</w:t>
      </w:r>
      <w:r w:rsidR="003B50ED" w:rsidRPr="00F16251">
        <w:rPr>
          <w:rFonts w:cstheme="minorHAnsi"/>
          <w:kern w:val="0"/>
          <w14:ligatures w14:val="none"/>
        </w:rPr>
        <w:t xml:space="preserve"> </w:t>
      </w:r>
      <w:r w:rsidRPr="00F16251">
        <w:rPr>
          <w:rFonts w:cstheme="minorHAnsi"/>
          <w:kern w:val="0"/>
          <w14:ligatures w14:val="none"/>
        </w:rPr>
        <w:t>zatwierdzenia</w:t>
      </w:r>
      <w:r w:rsidR="003B50ED" w:rsidRPr="00F16251">
        <w:rPr>
          <w:rFonts w:cstheme="minorHAnsi"/>
          <w:kern w:val="0"/>
          <w14:ligatures w14:val="none"/>
        </w:rPr>
        <w:t xml:space="preserve"> </w:t>
      </w:r>
      <w:r w:rsidRPr="00F16251">
        <w:rPr>
          <w:rFonts w:cstheme="minorHAnsi"/>
          <w:kern w:val="0"/>
          <w14:ligatures w14:val="none"/>
        </w:rPr>
        <w:t>procedur</w:t>
      </w:r>
      <w:r w:rsidR="003B50ED" w:rsidRPr="00F16251">
        <w:rPr>
          <w:rFonts w:cstheme="minorHAnsi"/>
          <w:kern w:val="0"/>
          <w14:ligatures w14:val="none"/>
        </w:rPr>
        <w:t xml:space="preserve"> </w:t>
      </w:r>
      <w:r w:rsidRPr="00F16251">
        <w:rPr>
          <w:rFonts w:cstheme="minorHAnsi"/>
          <w:kern w:val="0"/>
          <w14:ligatures w14:val="none"/>
        </w:rPr>
        <w:t>wyboru</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oceny</w:t>
      </w:r>
      <w:r w:rsidR="003B50ED" w:rsidRPr="00F16251">
        <w:rPr>
          <w:rFonts w:cstheme="minorHAnsi"/>
          <w:kern w:val="0"/>
          <w14:ligatures w14:val="none"/>
        </w:rPr>
        <w:t xml:space="preserve"> </w:t>
      </w:r>
      <w:proofErr w:type="spellStart"/>
      <w:r w:rsidRPr="00F16251">
        <w:rPr>
          <w:rFonts w:cstheme="minorHAnsi"/>
          <w:kern w:val="0"/>
          <w14:ligatures w14:val="none"/>
        </w:rPr>
        <w:t>grantobiorców</w:t>
      </w:r>
      <w:proofErr w:type="spellEnd"/>
      <w:r w:rsidR="003B50ED" w:rsidRPr="00F16251">
        <w:rPr>
          <w:rFonts w:cstheme="minorHAnsi"/>
          <w:kern w:val="0"/>
          <w14:ligatures w14:val="none"/>
        </w:rPr>
        <w:t xml:space="preserve"> </w:t>
      </w:r>
      <w:r w:rsidRPr="00F16251">
        <w:rPr>
          <w:rFonts w:cstheme="minorHAnsi"/>
          <w:kern w:val="0"/>
          <w14:ligatures w14:val="none"/>
        </w:rPr>
        <w:t>uwzględniających</w:t>
      </w:r>
      <w:r w:rsidR="003B50ED" w:rsidRPr="00F16251">
        <w:rPr>
          <w:rFonts w:cstheme="minorHAnsi"/>
          <w:kern w:val="0"/>
          <w14:ligatures w14:val="none"/>
        </w:rPr>
        <w:t xml:space="preserve"> </w:t>
      </w:r>
      <w:r w:rsidRPr="00F16251">
        <w:rPr>
          <w:rFonts w:cstheme="minorHAnsi"/>
          <w:kern w:val="0"/>
          <w14:ligatures w14:val="none"/>
        </w:rPr>
        <w:t>kryteria</w:t>
      </w:r>
      <w:r w:rsidR="003B50ED" w:rsidRPr="00F16251">
        <w:rPr>
          <w:rFonts w:cstheme="minorHAnsi"/>
          <w:kern w:val="0"/>
          <w14:ligatures w14:val="none"/>
        </w:rPr>
        <w:t xml:space="preserve"> </w:t>
      </w:r>
      <w:r w:rsidRPr="00F16251">
        <w:rPr>
          <w:rFonts w:cstheme="minorHAnsi"/>
          <w:kern w:val="0"/>
          <w14:ligatures w14:val="none"/>
        </w:rPr>
        <w:t>wyboru</w:t>
      </w:r>
      <w:r w:rsidR="003B50ED" w:rsidRPr="00F16251">
        <w:rPr>
          <w:rFonts w:cstheme="minorHAnsi"/>
          <w:kern w:val="0"/>
          <w14:ligatures w14:val="none"/>
        </w:rPr>
        <w:t xml:space="preserve"> </w:t>
      </w:r>
      <w:proofErr w:type="spellStart"/>
      <w:r w:rsidRPr="00F16251">
        <w:rPr>
          <w:rFonts w:cstheme="minorHAnsi"/>
          <w:kern w:val="0"/>
          <w14:ligatures w14:val="none"/>
        </w:rPr>
        <w:t>grantobiorców</w:t>
      </w:r>
      <w:proofErr w:type="spellEnd"/>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ramach</w:t>
      </w:r>
      <w:r w:rsidR="003B50ED" w:rsidRPr="00F16251">
        <w:rPr>
          <w:rFonts w:cstheme="minorHAnsi"/>
          <w:kern w:val="0"/>
          <w14:ligatures w14:val="none"/>
        </w:rPr>
        <w:t xml:space="preserve"> </w:t>
      </w:r>
      <w:r w:rsidRPr="00F16251">
        <w:rPr>
          <w:rFonts w:cstheme="minorHAnsi"/>
          <w:kern w:val="0"/>
          <w14:ligatures w14:val="none"/>
        </w:rPr>
        <w:t>projektów</w:t>
      </w:r>
      <w:r w:rsidR="003B50ED" w:rsidRPr="00F16251">
        <w:rPr>
          <w:rFonts w:cstheme="minorHAnsi"/>
          <w:kern w:val="0"/>
          <w14:ligatures w14:val="none"/>
        </w:rPr>
        <w:t xml:space="preserve"> </w:t>
      </w:r>
      <w:r w:rsidRPr="00F16251">
        <w:rPr>
          <w:rFonts w:cstheme="minorHAnsi"/>
          <w:kern w:val="0"/>
          <w14:ligatures w14:val="none"/>
        </w:rPr>
        <w:t>grantowych,</w:t>
      </w:r>
      <w:r w:rsidR="003B50ED" w:rsidRPr="00F16251">
        <w:rPr>
          <w:rFonts w:cstheme="minorHAnsi"/>
          <w:kern w:val="0"/>
          <w14:ligatures w14:val="none"/>
        </w:rPr>
        <w:t xml:space="preserve"> </w:t>
      </w:r>
      <w:r w:rsidRPr="00F16251">
        <w:rPr>
          <w:rFonts w:cstheme="minorHAnsi"/>
          <w:kern w:val="0"/>
          <w14:ligatures w14:val="none"/>
        </w:rPr>
        <w:t>wraz</w:t>
      </w:r>
      <w:r w:rsidR="003B50ED" w:rsidRPr="00F16251">
        <w:rPr>
          <w:rFonts w:cstheme="minorHAnsi"/>
          <w:kern w:val="0"/>
          <w14:ligatures w14:val="none"/>
        </w:rPr>
        <w:t xml:space="preserve"> </w:t>
      </w:r>
      <w:r w:rsidRPr="00F16251">
        <w:rPr>
          <w:rFonts w:cstheme="minorHAnsi"/>
          <w:kern w:val="0"/>
          <w14:ligatures w14:val="none"/>
        </w:rPr>
        <w:t>z</w:t>
      </w:r>
      <w:r w:rsidR="003B50ED" w:rsidRPr="00F16251">
        <w:rPr>
          <w:rFonts w:cstheme="minorHAnsi"/>
          <w:kern w:val="0"/>
          <w14:ligatures w14:val="none"/>
        </w:rPr>
        <w:t xml:space="preserve"> </w:t>
      </w:r>
      <w:r w:rsidRPr="00F16251">
        <w:rPr>
          <w:rFonts w:cstheme="minorHAnsi"/>
          <w:kern w:val="0"/>
          <w14:ligatures w14:val="none"/>
        </w:rPr>
        <w:t>procedurą</w:t>
      </w:r>
      <w:r w:rsidR="003B50ED" w:rsidRPr="00F16251">
        <w:rPr>
          <w:rFonts w:cstheme="minorHAnsi"/>
          <w:kern w:val="0"/>
          <w14:ligatures w14:val="none"/>
        </w:rPr>
        <w:t xml:space="preserve"> </w:t>
      </w:r>
      <w:r w:rsidRPr="00F16251">
        <w:rPr>
          <w:rFonts w:cstheme="minorHAnsi"/>
          <w:kern w:val="0"/>
          <w14:ligatures w14:val="none"/>
        </w:rPr>
        <w:t>ustalania</w:t>
      </w:r>
      <w:r w:rsidR="003B50ED" w:rsidRPr="00F16251">
        <w:rPr>
          <w:rFonts w:cstheme="minorHAnsi"/>
          <w:kern w:val="0"/>
          <w14:ligatures w14:val="none"/>
        </w:rPr>
        <w:t xml:space="preserve"> </w:t>
      </w:r>
      <w:r w:rsidRPr="00F16251">
        <w:rPr>
          <w:rFonts w:cstheme="minorHAnsi"/>
          <w:kern w:val="0"/>
          <w14:ligatures w14:val="none"/>
        </w:rPr>
        <w:t>lub</w:t>
      </w:r>
      <w:r w:rsidR="003B50ED" w:rsidRPr="00F16251">
        <w:rPr>
          <w:rFonts w:cstheme="minorHAnsi"/>
          <w:kern w:val="0"/>
          <w14:ligatures w14:val="none"/>
        </w:rPr>
        <w:t xml:space="preserve"> </w:t>
      </w:r>
      <w:r w:rsidRPr="00F16251">
        <w:rPr>
          <w:rFonts w:cstheme="minorHAnsi"/>
          <w:kern w:val="0"/>
          <w14:ligatures w14:val="none"/>
        </w:rPr>
        <w:t>zmiany</w:t>
      </w:r>
      <w:r w:rsidR="003B50ED" w:rsidRPr="00F16251">
        <w:rPr>
          <w:rFonts w:cstheme="minorHAnsi"/>
          <w:kern w:val="0"/>
          <w14:ligatures w14:val="none"/>
        </w:rPr>
        <w:t xml:space="preserve"> </w:t>
      </w:r>
      <w:r w:rsidRPr="00F16251">
        <w:rPr>
          <w:rFonts w:cstheme="minorHAnsi"/>
          <w:kern w:val="0"/>
          <w14:ligatures w14:val="none"/>
        </w:rPr>
        <w:t>tych</w:t>
      </w:r>
      <w:r w:rsidR="003B50ED" w:rsidRPr="00F16251">
        <w:rPr>
          <w:rFonts w:cstheme="minorHAnsi"/>
          <w:kern w:val="0"/>
          <w14:ligatures w14:val="none"/>
        </w:rPr>
        <w:t xml:space="preserve"> </w:t>
      </w:r>
      <w:r w:rsidRPr="00F16251">
        <w:rPr>
          <w:rFonts w:cstheme="minorHAnsi"/>
          <w:kern w:val="0"/>
          <w14:ligatures w14:val="none"/>
        </w:rPr>
        <w:t>kryteriów;</w:t>
      </w:r>
      <w:r w:rsidR="003B50ED" w:rsidRPr="00F16251">
        <w:rPr>
          <w:rFonts w:cstheme="minorHAnsi"/>
          <w:kern w:val="0"/>
          <w14:ligatures w14:val="none"/>
        </w:rPr>
        <w:t xml:space="preserve"> </w:t>
      </w:r>
    </w:p>
    <w:p w14:paraId="2DC85A9C" w14:textId="491CFC01" w:rsidR="002C63F4" w:rsidRPr="00F16251" w:rsidRDefault="002C63F4" w:rsidP="00A26C26">
      <w:pPr>
        <w:spacing w:line="276" w:lineRule="auto"/>
        <w:jc w:val="both"/>
        <w:rPr>
          <w:rFonts w:cstheme="minorHAnsi"/>
          <w:kern w:val="0"/>
          <w14:ligatures w14:val="none"/>
        </w:rPr>
      </w:pPr>
      <w:r w:rsidRPr="00F16251">
        <w:rPr>
          <w:rFonts w:cstheme="minorHAnsi"/>
          <w:kern w:val="0"/>
          <w14:ligatures w14:val="none"/>
        </w:rPr>
        <w:t>3)</w:t>
      </w:r>
      <w:r w:rsidR="003B50ED" w:rsidRPr="00F16251">
        <w:rPr>
          <w:rFonts w:cstheme="minorHAnsi"/>
          <w:kern w:val="0"/>
          <w14:ligatures w14:val="none"/>
        </w:rPr>
        <w:t xml:space="preserve"> </w:t>
      </w:r>
      <w:r w:rsidRPr="00F16251">
        <w:rPr>
          <w:rFonts w:cstheme="minorHAnsi"/>
          <w:kern w:val="0"/>
          <w14:ligatures w14:val="none"/>
        </w:rPr>
        <w:t>wybór</w:t>
      </w:r>
      <w:r w:rsidR="003B50ED" w:rsidRPr="00F16251">
        <w:rPr>
          <w:rFonts w:cstheme="minorHAnsi"/>
          <w:kern w:val="0"/>
          <w14:ligatures w14:val="none"/>
        </w:rPr>
        <w:t xml:space="preserve"> </w:t>
      </w:r>
      <w:proofErr w:type="spellStart"/>
      <w:r w:rsidRPr="00F16251">
        <w:rPr>
          <w:rFonts w:cstheme="minorHAnsi"/>
          <w:kern w:val="0"/>
          <w14:ligatures w14:val="none"/>
        </w:rPr>
        <w:t>grantobiorców</w:t>
      </w:r>
      <w:proofErr w:type="spellEnd"/>
      <w:r w:rsidR="003B50ED" w:rsidRPr="00F16251">
        <w:rPr>
          <w:rFonts w:cstheme="minorHAnsi"/>
          <w:kern w:val="0"/>
          <w14:ligatures w14:val="none"/>
        </w:rPr>
        <w:t xml:space="preserve"> </w:t>
      </w:r>
      <w:r w:rsidRPr="00F16251">
        <w:rPr>
          <w:rFonts w:cstheme="minorHAnsi"/>
          <w:kern w:val="0"/>
          <w14:ligatures w14:val="none"/>
        </w:rPr>
        <w:t>na</w:t>
      </w:r>
      <w:r w:rsidR="003B50ED" w:rsidRPr="00F16251">
        <w:rPr>
          <w:rFonts w:cstheme="minorHAnsi"/>
          <w:kern w:val="0"/>
          <w14:ligatures w14:val="none"/>
        </w:rPr>
        <w:t xml:space="preserve"> </w:t>
      </w:r>
      <w:r w:rsidRPr="00F16251">
        <w:rPr>
          <w:rFonts w:cstheme="minorHAnsi"/>
          <w:kern w:val="0"/>
          <w14:ligatures w14:val="none"/>
        </w:rPr>
        <w:t>podstawie</w:t>
      </w:r>
      <w:r w:rsidR="003B50ED" w:rsidRPr="00F16251">
        <w:rPr>
          <w:rFonts w:cstheme="minorHAnsi"/>
          <w:kern w:val="0"/>
          <w14:ligatures w14:val="none"/>
        </w:rPr>
        <w:t xml:space="preserve"> </w:t>
      </w:r>
      <w:r w:rsidRPr="00F16251">
        <w:rPr>
          <w:rFonts w:cstheme="minorHAnsi"/>
          <w:kern w:val="0"/>
          <w14:ligatures w14:val="none"/>
        </w:rPr>
        <w:t>ww.</w:t>
      </w:r>
      <w:r w:rsidR="003B50ED" w:rsidRPr="00F16251">
        <w:rPr>
          <w:rFonts w:cstheme="minorHAnsi"/>
          <w:kern w:val="0"/>
          <w14:ligatures w14:val="none"/>
        </w:rPr>
        <w:t xml:space="preserve"> </w:t>
      </w:r>
      <w:r w:rsidRPr="00F16251">
        <w:rPr>
          <w:rFonts w:cstheme="minorHAnsi"/>
          <w:kern w:val="0"/>
          <w14:ligatures w14:val="none"/>
        </w:rPr>
        <w:t>kryteriów;</w:t>
      </w:r>
      <w:r w:rsidR="003B50ED" w:rsidRPr="00F16251">
        <w:rPr>
          <w:rFonts w:cstheme="minorHAnsi"/>
          <w:kern w:val="0"/>
          <w14:ligatures w14:val="none"/>
        </w:rPr>
        <w:t xml:space="preserve"> </w:t>
      </w:r>
    </w:p>
    <w:p w14:paraId="7A48DFD8" w14:textId="14991EB0" w:rsidR="002C63F4" w:rsidRPr="00F16251" w:rsidRDefault="002C63F4" w:rsidP="00A26C26">
      <w:pPr>
        <w:spacing w:line="276" w:lineRule="auto"/>
        <w:jc w:val="both"/>
        <w:rPr>
          <w:rFonts w:cstheme="minorHAnsi"/>
          <w:kern w:val="0"/>
          <w14:ligatures w14:val="none"/>
        </w:rPr>
      </w:pPr>
      <w:r w:rsidRPr="00F16251">
        <w:rPr>
          <w:rFonts w:cstheme="minorHAnsi"/>
          <w:kern w:val="0"/>
          <w14:ligatures w14:val="none"/>
        </w:rPr>
        <w:t>4)</w:t>
      </w:r>
      <w:r w:rsidR="003B50ED" w:rsidRPr="00F16251">
        <w:rPr>
          <w:rFonts w:cstheme="minorHAnsi"/>
          <w:kern w:val="0"/>
          <w14:ligatures w14:val="none"/>
        </w:rPr>
        <w:t xml:space="preserve"> </w:t>
      </w:r>
      <w:r w:rsidRPr="00F16251">
        <w:rPr>
          <w:rFonts w:cstheme="minorHAnsi"/>
          <w:kern w:val="0"/>
          <w14:ligatures w14:val="none"/>
        </w:rPr>
        <w:t>zawieranie</w:t>
      </w:r>
      <w:r w:rsidR="003B50ED" w:rsidRPr="00F16251">
        <w:rPr>
          <w:rFonts w:cstheme="minorHAnsi"/>
          <w:kern w:val="0"/>
          <w14:ligatures w14:val="none"/>
        </w:rPr>
        <w:t xml:space="preserve"> </w:t>
      </w:r>
      <w:r w:rsidRPr="00F16251">
        <w:rPr>
          <w:rFonts w:cstheme="minorHAnsi"/>
          <w:kern w:val="0"/>
          <w14:ligatures w14:val="none"/>
        </w:rPr>
        <w:t>z</w:t>
      </w:r>
      <w:r w:rsidR="003B50ED" w:rsidRPr="00F16251">
        <w:rPr>
          <w:rFonts w:cstheme="minorHAnsi"/>
          <w:kern w:val="0"/>
          <w14:ligatures w14:val="none"/>
        </w:rPr>
        <w:t xml:space="preserve"> </w:t>
      </w:r>
      <w:proofErr w:type="spellStart"/>
      <w:r w:rsidRPr="00F16251">
        <w:rPr>
          <w:rFonts w:cstheme="minorHAnsi"/>
          <w:kern w:val="0"/>
          <w14:ligatures w14:val="none"/>
        </w:rPr>
        <w:t>grantobiorcami</w:t>
      </w:r>
      <w:proofErr w:type="spellEnd"/>
      <w:r w:rsidR="003B50ED" w:rsidRPr="00F16251">
        <w:rPr>
          <w:rFonts w:cstheme="minorHAnsi"/>
          <w:kern w:val="0"/>
          <w14:ligatures w14:val="none"/>
        </w:rPr>
        <w:t xml:space="preserve"> </w:t>
      </w:r>
      <w:r w:rsidRPr="00F16251">
        <w:rPr>
          <w:rFonts w:cstheme="minorHAnsi"/>
          <w:kern w:val="0"/>
          <w14:ligatures w14:val="none"/>
        </w:rPr>
        <w:t>umów</w:t>
      </w:r>
      <w:r w:rsidR="003B50ED" w:rsidRPr="00F16251">
        <w:rPr>
          <w:rFonts w:cstheme="minorHAnsi"/>
          <w:kern w:val="0"/>
          <w14:ligatures w14:val="none"/>
        </w:rPr>
        <w:t xml:space="preserve"> </w:t>
      </w:r>
      <w:r w:rsidRPr="00F16251">
        <w:rPr>
          <w:rFonts w:cstheme="minorHAnsi"/>
          <w:kern w:val="0"/>
          <w14:ligatures w14:val="none"/>
        </w:rPr>
        <w:t>o</w:t>
      </w:r>
      <w:r w:rsidR="003B50ED" w:rsidRPr="00F16251">
        <w:rPr>
          <w:rFonts w:cstheme="minorHAnsi"/>
          <w:kern w:val="0"/>
          <w14:ligatures w14:val="none"/>
        </w:rPr>
        <w:t xml:space="preserve"> </w:t>
      </w:r>
      <w:r w:rsidRPr="00F16251">
        <w:rPr>
          <w:rFonts w:cstheme="minorHAnsi"/>
          <w:kern w:val="0"/>
          <w14:ligatures w14:val="none"/>
        </w:rPr>
        <w:t>powierzenie</w:t>
      </w:r>
      <w:r w:rsidR="003B50ED" w:rsidRPr="00F16251">
        <w:rPr>
          <w:rFonts w:cstheme="minorHAnsi"/>
          <w:kern w:val="0"/>
          <w14:ligatures w14:val="none"/>
        </w:rPr>
        <w:t xml:space="preserve"> </w:t>
      </w:r>
      <w:r w:rsidRPr="00F16251">
        <w:rPr>
          <w:rFonts w:cstheme="minorHAnsi"/>
          <w:kern w:val="0"/>
          <w14:ligatures w14:val="none"/>
        </w:rPr>
        <w:t>grantu;</w:t>
      </w:r>
      <w:r w:rsidR="003B50ED" w:rsidRPr="00F16251">
        <w:rPr>
          <w:rFonts w:cstheme="minorHAnsi"/>
          <w:kern w:val="0"/>
          <w14:ligatures w14:val="none"/>
        </w:rPr>
        <w:t xml:space="preserve"> </w:t>
      </w:r>
    </w:p>
    <w:p w14:paraId="58C0651E" w14:textId="10F38104" w:rsidR="002C63F4" w:rsidRPr="00F16251" w:rsidRDefault="002C63F4" w:rsidP="00A26C26">
      <w:pPr>
        <w:spacing w:line="276" w:lineRule="auto"/>
        <w:jc w:val="both"/>
        <w:rPr>
          <w:rFonts w:cstheme="minorHAnsi"/>
          <w:kern w:val="0"/>
          <w14:ligatures w14:val="none"/>
        </w:rPr>
      </w:pPr>
      <w:r w:rsidRPr="00F16251">
        <w:rPr>
          <w:rFonts w:cstheme="minorHAnsi"/>
          <w:kern w:val="0"/>
          <w14:ligatures w14:val="none"/>
        </w:rPr>
        <w:t>5)</w:t>
      </w:r>
      <w:r w:rsidR="003B50ED" w:rsidRPr="00F16251">
        <w:rPr>
          <w:rFonts w:cstheme="minorHAnsi"/>
          <w:kern w:val="0"/>
          <w14:ligatures w14:val="none"/>
        </w:rPr>
        <w:t xml:space="preserve"> </w:t>
      </w:r>
      <w:r w:rsidRPr="00F16251">
        <w:rPr>
          <w:rFonts w:cstheme="minorHAnsi"/>
          <w:kern w:val="0"/>
          <w14:ligatures w14:val="none"/>
        </w:rPr>
        <w:t>rozliczanie</w:t>
      </w:r>
      <w:r w:rsidR="003B50ED" w:rsidRPr="00F16251">
        <w:rPr>
          <w:rFonts w:cstheme="minorHAnsi"/>
          <w:kern w:val="0"/>
          <w14:ligatures w14:val="none"/>
        </w:rPr>
        <w:t xml:space="preserve"> </w:t>
      </w:r>
      <w:r w:rsidRPr="00F16251">
        <w:rPr>
          <w:rFonts w:cstheme="minorHAnsi"/>
          <w:kern w:val="0"/>
          <w14:ligatures w14:val="none"/>
        </w:rPr>
        <w:t>wydatków</w:t>
      </w:r>
      <w:r w:rsidR="003B50ED" w:rsidRPr="00F16251">
        <w:rPr>
          <w:rFonts w:cstheme="minorHAnsi"/>
          <w:kern w:val="0"/>
          <w14:ligatures w14:val="none"/>
        </w:rPr>
        <w:t xml:space="preserve"> </w:t>
      </w:r>
      <w:r w:rsidRPr="00F16251">
        <w:rPr>
          <w:rFonts w:cstheme="minorHAnsi"/>
          <w:kern w:val="0"/>
          <w14:ligatures w14:val="none"/>
        </w:rPr>
        <w:t>poniesionych</w:t>
      </w:r>
      <w:r w:rsidR="003B50ED" w:rsidRPr="00F16251">
        <w:rPr>
          <w:rFonts w:cstheme="minorHAnsi"/>
          <w:kern w:val="0"/>
          <w14:ligatures w14:val="none"/>
        </w:rPr>
        <w:t xml:space="preserve"> </w:t>
      </w:r>
      <w:r w:rsidRPr="00F16251">
        <w:rPr>
          <w:rFonts w:cstheme="minorHAnsi"/>
          <w:kern w:val="0"/>
          <w14:ligatures w14:val="none"/>
        </w:rPr>
        <w:t>przez</w:t>
      </w:r>
      <w:r w:rsidR="003B50ED" w:rsidRPr="00F16251">
        <w:rPr>
          <w:rFonts w:cstheme="minorHAnsi"/>
          <w:kern w:val="0"/>
          <w14:ligatures w14:val="none"/>
        </w:rPr>
        <w:t xml:space="preserve"> </w:t>
      </w:r>
      <w:proofErr w:type="spellStart"/>
      <w:r w:rsidRPr="00F16251">
        <w:rPr>
          <w:rFonts w:cstheme="minorHAnsi"/>
          <w:kern w:val="0"/>
          <w14:ligatures w14:val="none"/>
        </w:rPr>
        <w:t>grantobiorców</w:t>
      </w:r>
      <w:proofErr w:type="spellEnd"/>
      <w:r w:rsidRPr="00F16251">
        <w:rPr>
          <w:rFonts w:cstheme="minorHAnsi"/>
          <w:kern w:val="0"/>
          <w14:ligatures w14:val="none"/>
        </w:rPr>
        <w:t>;</w:t>
      </w:r>
      <w:r w:rsidR="003B50ED" w:rsidRPr="00F16251">
        <w:rPr>
          <w:rFonts w:cstheme="minorHAnsi"/>
          <w:kern w:val="0"/>
          <w14:ligatures w14:val="none"/>
        </w:rPr>
        <w:t xml:space="preserve"> </w:t>
      </w:r>
    </w:p>
    <w:p w14:paraId="67F40F48" w14:textId="765C0BB1" w:rsidR="002C63F4" w:rsidRPr="00F16251" w:rsidRDefault="002C63F4" w:rsidP="00A26C26">
      <w:pPr>
        <w:spacing w:line="276" w:lineRule="auto"/>
        <w:jc w:val="both"/>
        <w:rPr>
          <w:rFonts w:cstheme="minorHAnsi"/>
          <w:kern w:val="0"/>
          <w14:ligatures w14:val="none"/>
        </w:rPr>
      </w:pPr>
      <w:r w:rsidRPr="00F16251">
        <w:rPr>
          <w:rFonts w:cstheme="minorHAnsi"/>
          <w:kern w:val="0"/>
          <w14:ligatures w14:val="none"/>
        </w:rPr>
        <w:t>6)</w:t>
      </w:r>
      <w:r w:rsidR="003B50ED" w:rsidRPr="00F16251">
        <w:rPr>
          <w:rFonts w:cstheme="minorHAnsi"/>
          <w:kern w:val="0"/>
          <w14:ligatures w14:val="none"/>
        </w:rPr>
        <w:t xml:space="preserve"> </w:t>
      </w:r>
      <w:r w:rsidRPr="00F16251">
        <w:rPr>
          <w:rFonts w:cstheme="minorHAnsi"/>
          <w:kern w:val="0"/>
          <w14:ligatures w14:val="none"/>
        </w:rPr>
        <w:t>monitorowanie</w:t>
      </w:r>
      <w:r w:rsidR="003B50ED" w:rsidRPr="00F16251">
        <w:rPr>
          <w:rFonts w:cstheme="minorHAnsi"/>
          <w:kern w:val="0"/>
          <w14:ligatures w14:val="none"/>
        </w:rPr>
        <w:t xml:space="preserve"> </w:t>
      </w:r>
      <w:r w:rsidRPr="00F16251">
        <w:rPr>
          <w:rFonts w:cstheme="minorHAnsi"/>
          <w:kern w:val="0"/>
          <w14:ligatures w14:val="none"/>
        </w:rPr>
        <w:t>realizacji</w:t>
      </w:r>
      <w:r w:rsidR="003B50ED" w:rsidRPr="00F16251">
        <w:rPr>
          <w:rFonts w:cstheme="minorHAnsi"/>
          <w:kern w:val="0"/>
          <w14:ligatures w14:val="none"/>
        </w:rPr>
        <w:t xml:space="preserve"> </w:t>
      </w:r>
      <w:r w:rsidRPr="00F16251">
        <w:rPr>
          <w:rFonts w:cstheme="minorHAnsi"/>
          <w:kern w:val="0"/>
          <w14:ligatures w14:val="none"/>
        </w:rPr>
        <w:t>zadań</w:t>
      </w:r>
      <w:r w:rsidR="003B50ED" w:rsidRPr="00F16251">
        <w:rPr>
          <w:rFonts w:cstheme="minorHAnsi"/>
          <w:kern w:val="0"/>
          <w14:ligatures w14:val="none"/>
        </w:rPr>
        <w:t xml:space="preserve"> </w:t>
      </w:r>
      <w:r w:rsidRPr="00F16251">
        <w:rPr>
          <w:rFonts w:cstheme="minorHAnsi"/>
          <w:kern w:val="0"/>
          <w14:ligatures w14:val="none"/>
        </w:rPr>
        <w:t>przez</w:t>
      </w:r>
      <w:r w:rsidR="003B50ED" w:rsidRPr="00F16251">
        <w:rPr>
          <w:rFonts w:cstheme="minorHAnsi"/>
          <w:kern w:val="0"/>
          <w14:ligatures w14:val="none"/>
        </w:rPr>
        <w:t xml:space="preserve"> </w:t>
      </w:r>
      <w:proofErr w:type="spellStart"/>
      <w:r w:rsidRPr="00F16251">
        <w:rPr>
          <w:rFonts w:cstheme="minorHAnsi"/>
          <w:kern w:val="0"/>
          <w14:ligatures w14:val="none"/>
        </w:rPr>
        <w:t>grantobiorców</w:t>
      </w:r>
      <w:proofErr w:type="spellEnd"/>
      <w:r w:rsidRPr="00F16251">
        <w:rPr>
          <w:rFonts w:cstheme="minorHAnsi"/>
          <w:kern w:val="0"/>
          <w14:ligatures w14:val="none"/>
        </w:rPr>
        <w:t>;</w:t>
      </w:r>
      <w:r w:rsidR="003B50ED" w:rsidRPr="00F16251">
        <w:rPr>
          <w:rFonts w:cstheme="minorHAnsi"/>
          <w:kern w:val="0"/>
          <w14:ligatures w14:val="none"/>
        </w:rPr>
        <w:t xml:space="preserve"> </w:t>
      </w:r>
    </w:p>
    <w:p w14:paraId="18FB1FC4" w14:textId="14D6F528" w:rsidR="002C63F4" w:rsidRPr="00F16251" w:rsidRDefault="002C63F4" w:rsidP="00A26C26">
      <w:pPr>
        <w:spacing w:line="276" w:lineRule="auto"/>
        <w:jc w:val="both"/>
        <w:rPr>
          <w:rFonts w:cstheme="minorHAnsi"/>
          <w:kern w:val="0"/>
          <w14:ligatures w14:val="none"/>
        </w:rPr>
      </w:pPr>
      <w:r w:rsidRPr="00F16251">
        <w:rPr>
          <w:rFonts w:cstheme="minorHAnsi"/>
          <w:kern w:val="0"/>
          <w14:ligatures w14:val="none"/>
        </w:rPr>
        <w:t>7)</w:t>
      </w:r>
      <w:r w:rsidR="003B50ED" w:rsidRPr="00F16251">
        <w:rPr>
          <w:rFonts w:cstheme="minorHAnsi"/>
          <w:kern w:val="0"/>
          <w14:ligatures w14:val="none"/>
        </w:rPr>
        <w:t xml:space="preserve"> </w:t>
      </w:r>
      <w:r w:rsidRPr="00F16251">
        <w:rPr>
          <w:rFonts w:cstheme="minorHAnsi"/>
          <w:kern w:val="0"/>
          <w14:ligatures w14:val="none"/>
        </w:rPr>
        <w:t>kontrolę</w:t>
      </w:r>
      <w:r w:rsidR="003B50ED" w:rsidRPr="00F16251">
        <w:rPr>
          <w:rFonts w:cstheme="minorHAnsi"/>
          <w:kern w:val="0"/>
          <w14:ligatures w14:val="none"/>
        </w:rPr>
        <w:t xml:space="preserve"> </w:t>
      </w:r>
      <w:r w:rsidRPr="00F16251">
        <w:rPr>
          <w:rFonts w:cstheme="minorHAnsi"/>
          <w:kern w:val="0"/>
          <w14:ligatures w14:val="none"/>
        </w:rPr>
        <w:t>realizacji</w:t>
      </w:r>
      <w:r w:rsidR="003B50ED" w:rsidRPr="00F16251">
        <w:rPr>
          <w:rFonts w:cstheme="minorHAnsi"/>
          <w:kern w:val="0"/>
          <w14:ligatures w14:val="none"/>
        </w:rPr>
        <w:t xml:space="preserve"> </w:t>
      </w:r>
      <w:r w:rsidRPr="00F16251">
        <w:rPr>
          <w:rFonts w:cstheme="minorHAnsi"/>
          <w:kern w:val="0"/>
          <w14:ligatures w14:val="none"/>
        </w:rPr>
        <w:t>zadań</w:t>
      </w:r>
      <w:r w:rsidR="003B50ED" w:rsidRPr="00F16251">
        <w:rPr>
          <w:rFonts w:cstheme="minorHAnsi"/>
          <w:kern w:val="0"/>
          <w14:ligatures w14:val="none"/>
        </w:rPr>
        <w:t xml:space="preserve"> </w:t>
      </w:r>
      <w:r w:rsidRPr="00F16251">
        <w:rPr>
          <w:rFonts w:cstheme="minorHAnsi"/>
          <w:kern w:val="0"/>
          <w14:ligatures w14:val="none"/>
        </w:rPr>
        <w:t>przez</w:t>
      </w:r>
      <w:r w:rsidR="003B50ED" w:rsidRPr="00F16251">
        <w:rPr>
          <w:rFonts w:cstheme="minorHAnsi"/>
          <w:kern w:val="0"/>
          <w14:ligatures w14:val="none"/>
        </w:rPr>
        <w:t xml:space="preserve"> </w:t>
      </w:r>
      <w:proofErr w:type="spellStart"/>
      <w:r w:rsidRPr="00F16251">
        <w:rPr>
          <w:rFonts w:cstheme="minorHAnsi"/>
          <w:kern w:val="0"/>
          <w14:ligatures w14:val="none"/>
        </w:rPr>
        <w:t>grantobiorców</w:t>
      </w:r>
      <w:proofErr w:type="spellEnd"/>
      <w:r w:rsidRPr="00F16251">
        <w:rPr>
          <w:rFonts w:cstheme="minorHAnsi"/>
          <w:kern w:val="0"/>
          <w14:ligatures w14:val="none"/>
        </w:rPr>
        <w:t>;</w:t>
      </w:r>
      <w:r w:rsidR="003B50ED" w:rsidRPr="00F16251">
        <w:rPr>
          <w:rFonts w:cstheme="minorHAnsi"/>
          <w:kern w:val="0"/>
          <w14:ligatures w14:val="none"/>
        </w:rPr>
        <w:t xml:space="preserve"> </w:t>
      </w:r>
    </w:p>
    <w:p w14:paraId="74FE572D" w14:textId="07E5285C" w:rsidR="002C63F4" w:rsidRPr="00F16251" w:rsidRDefault="002C63F4" w:rsidP="00A26C26">
      <w:pPr>
        <w:spacing w:line="276" w:lineRule="auto"/>
        <w:jc w:val="both"/>
        <w:rPr>
          <w:rFonts w:cstheme="minorHAnsi"/>
          <w:kern w:val="0"/>
          <w14:ligatures w14:val="none"/>
        </w:rPr>
      </w:pPr>
      <w:r w:rsidRPr="00F16251">
        <w:rPr>
          <w:rFonts w:cstheme="minorHAnsi"/>
          <w:kern w:val="0"/>
          <w14:ligatures w14:val="none"/>
        </w:rPr>
        <w:t>8)</w:t>
      </w:r>
      <w:r w:rsidR="003B50ED" w:rsidRPr="00F16251">
        <w:rPr>
          <w:rFonts w:cstheme="minorHAnsi"/>
          <w:kern w:val="0"/>
          <w14:ligatures w14:val="none"/>
        </w:rPr>
        <w:t xml:space="preserve"> </w:t>
      </w:r>
      <w:r w:rsidRPr="00F16251">
        <w:rPr>
          <w:rFonts w:cstheme="minorHAnsi"/>
          <w:kern w:val="0"/>
          <w14:ligatures w14:val="none"/>
        </w:rPr>
        <w:t>odzyskiwanie</w:t>
      </w:r>
      <w:r w:rsidR="003B50ED" w:rsidRPr="00F16251">
        <w:rPr>
          <w:rFonts w:cstheme="minorHAnsi"/>
          <w:kern w:val="0"/>
          <w14:ligatures w14:val="none"/>
        </w:rPr>
        <w:t xml:space="preserve"> </w:t>
      </w:r>
      <w:r w:rsidRPr="00F16251">
        <w:rPr>
          <w:rFonts w:cstheme="minorHAnsi"/>
          <w:kern w:val="0"/>
          <w14:ligatures w14:val="none"/>
        </w:rPr>
        <w:t>grantów</w:t>
      </w:r>
      <w:r w:rsidR="003B50ED" w:rsidRPr="00F16251">
        <w:rPr>
          <w:rFonts w:cstheme="minorHAnsi"/>
          <w:kern w:val="0"/>
          <w14:ligatures w14:val="none"/>
        </w:rPr>
        <w:t xml:space="preserve"> </w:t>
      </w:r>
      <w:r w:rsidRPr="00F16251">
        <w:rPr>
          <w:rFonts w:cstheme="minorHAnsi"/>
          <w:kern w:val="0"/>
          <w14:ligatures w14:val="none"/>
        </w:rPr>
        <w:t>–</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przypadku</w:t>
      </w:r>
      <w:r w:rsidR="003B50ED" w:rsidRPr="00F16251">
        <w:rPr>
          <w:rFonts w:cstheme="minorHAnsi"/>
          <w:kern w:val="0"/>
          <w14:ligatures w14:val="none"/>
        </w:rPr>
        <w:t xml:space="preserve"> </w:t>
      </w:r>
      <w:r w:rsidRPr="00F16251">
        <w:rPr>
          <w:rFonts w:cstheme="minorHAnsi"/>
          <w:kern w:val="0"/>
          <w14:ligatures w14:val="none"/>
        </w:rPr>
        <w:t>ich</w:t>
      </w:r>
      <w:r w:rsidR="003B50ED" w:rsidRPr="00F16251">
        <w:rPr>
          <w:rFonts w:cstheme="minorHAnsi"/>
          <w:kern w:val="0"/>
          <w14:ligatures w14:val="none"/>
        </w:rPr>
        <w:t xml:space="preserve"> </w:t>
      </w:r>
      <w:r w:rsidRPr="00F16251">
        <w:rPr>
          <w:rFonts w:cstheme="minorHAnsi"/>
          <w:kern w:val="0"/>
          <w14:ligatures w14:val="none"/>
        </w:rPr>
        <w:t>wykorzystania</w:t>
      </w:r>
      <w:r w:rsidR="003B50ED" w:rsidRPr="00F16251">
        <w:rPr>
          <w:rFonts w:cstheme="minorHAnsi"/>
          <w:kern w:val="0"/>
          <w14:ligatures w14:val="none"/>
        </w:rPr>
        <w:t xml:space="preserve"> </w:t>
      </w:r>
      <w:r w:rsidRPr="00F16251">
        <w:rPr>
          <w:rFonts w:cstheme="minorHAnsi"/>
          <w:kern w:val="0"/>
          <w14:ligatures w14:val="none"/>
        </w:rPr>
        <w:t>niezgodnie</w:t>
      </w:r>
      <w:r w:rsidR="003B50ED" w:rsidRPr="00F16251">
        <w:rPr>
          <w:rFonts w:cstheme="minorHAnsi"/>
          <w:kern w:val="0"/>
          <w14:ligatures w14:val="none"/>
        </w:rPr>
        <w:t xml:space="preserve"> </w:t>
      </w:r>
      <w:r w:rsidRPr="00F16251">
        <w:rPr>
          <w:rFonts w:cstheme="minorHAnsi"/>
          <w:kern w:val="0"/>
          <w14:ligatures w14:val="none"/>
        </w:rPr>
        <w:t>z</w:t>
      </w:r>
      <w:r w:rsidR="003B50ED" w:rsidRPr="00F16251">
        <w:rPr>
          <w:rFonts w:cstheme="minorHAnsi"/>
          <w:kern w:val="0"/>
          <w14:ligatures w14:val="none"/>
        </w:rPr>
        <w:t xml:space="preserve"> </w:t>
      </w:r>
      <w:r w:rsidRPr="00F16251">
        <w:rPr>
          <w:rFonts w:cstheme="minorHAnsi"/>
          <w:kern w:val="0"/>
          <w14:ligatures w14:val="none"/>
        </w:rPr>
        <w:t>celem</w:t>
      </w:r>
      <w:r w:rsidR="003B50ED" w:rsidRPr="00F16251">
        <w:rPr>
          <w:rFonts w:cstheme="minorHAnsi"/>
          <w:kern w:val="0"/>
          <w14:ligatures w14:val="none"/>
        </w:rPr>
        <w:t xml:space="preserve"> </w:t>
      </w:r>
      <w:r w:rsidRPr="00F16251">
        <w:rPr>
          <w:rFonts w:cstheme="minorHAnsi"/>
          <w:kern w:val="0"/>
          <w14:ligatures w14:val="none"/>
        </w:rPr>
        <w:t>projektu</w:t>
      </w:r>
      <w:r w:rsidR="003B50ED" w:rsidRPr="00F16251">
        <w:rPr>
          <w:rFonts w:cstheme="minorHAnsi"/>
          <w:kern w:val="0"/>
          <w14:ligatures w14:val="none"/>
        </w:rPr>
        <w:t xml:space="preserve"> </w:t>
      </w:r>
      <w:r w:rsidRPr="00F16251">
        <w:rPr>
          <w:rFonts w:cstheme="minorHAnsi"/>
          <w:kern w:val="0"/>
          <w14:ligatures w14:val="none"/>
        </w:rPr>
        <w:t>grantowego.</w:t>
      </w:r>
      <w:r w:rsidR="003B50ED" w:rsidRPr="00F16251">
        <w:rPr>
          <w:rFonts w:cstheme="minorHAnsi"/>
          <w:kern w:val="0"/>
          <w14:ligatures w14:val="none"/>
        </w:rPr>
        <w:t xml:space="preserve"> </w:t>
      </w:r>
    </w:p>
    <w:p w14:paraId="67198E74" w14:textId="72660400" w:rsidR="002C63F4" w:rsidRPr="00F16251" w:rsidRDefault="002C63F4" w:rsidP="00785CAB">
      <w:pPr>
        <w:spacing w:line="276" w:lineRule="auto"/>
        <w:ind w:firstLine="360"/>
        <w:jc w:val="both"/>
        <w:rPr>
          <w:rFonts w:cstheme="minorHAnsi"/>
          <w:kern w:val="0"/>
          <w14:ligatures w14:val="none"/>
        </w:rPr>
      </w:pPr>
      <w:proofErr w:type="spellStart"/>
      <w:r w:rsidRPr="00F16251">
        <w:rPr>
          <w:rFonts w:cstheme="minorHAnsi"/>
          <w:kern w:val="0"/>
          <w14:ligatures w14:val="none"/>
        </w:rPr>
        <w:t>Grantobiorca</w:t>
      </w:r>
      <w:proofErr w:type="spellEnd"/>
      <w:r w:rsidR="003B50ED" w:rsidRPr="00F16251">
        <w:rPr>
          <w:rFonts w:cstheme="minorHAnsi"/>
          <w:kern w:val="0"/>
          <w14:ligatures w14:val="none"/>
        </w:rPr>
        <w:t xml:space="preserve"> </w:t>
      </w:r>
      <w:r w:rsidRPr="00F16251">
        <w:rPr>
          <w:rFonts w:cstheme="minorHAnsi"/>
          <w:kern w:val="0"/>
          <w14:ligatures w14:val="none"/>
        </w:rPr>
        <w:t>będzie</w:t>
      </w:r>
      <w:r w:rsidR="003B50ED" w:rsidRPr="00F16251">
        <w:rPr>
          <w:rFonts w:cstheme="minorHAnsi"/>
          <w:kern w:val="0"/>
          <w14:ligatures w14:val="none"/>
        </w:rPr>
        <w:t xml:space="preserve"> </w:t>
      </w:r>
      <w:r w:rsidRPr="00F16251">
        <w:rPr>
          <w:rFonts w:cstheme="minorHAnsi"/>
          <w:kern w:val="0"/>
          <w14:ligatures w14:val="none"/>
        </w:rPr>
        <w:t>mógł</w:t>
      </w:r>
      <w:r w:rsidR="003B50ED" w:rsidRPr="00F16251">
        <w:rPr>
          <w:rFonts w:cstheme="minorHAnsi"/>
          <w:kern w:val="0"/>
          <w14:ligatures w14:val="none"/>
        </w:rPr>
        <w:t xml:space="preserve"> </w:t>
      </w:r>
      <w:r w:rsidRPr="00F16251">
        <w:rPr>
          <w:rFonts w:cstheme="minorHAnsi"/>
          <w:kern w:val="0"/>
          <w14:ligatures w14:val="none"/>
        </w:rPr>
        <w:t>złożyć</w:t>
      </w:r>
      <w:r w:rsidR="003B50ED" w:rsidRPr="00F16251">
        <w:rPr>
          <w:rFonts w:cstheme="minorHAnsi"/>
          <w:kern w:val="0"/>
          <w14:ligatures w14:val="none"/>
        </w:rPr>
        <w:t xml:space="preserve"> </w:t>
      </w:r>
      <w:r w:rsidRPr="00F16251">
        <w:rPr>
          <w:rFonts w:cstheme="minorHAnsi"/>
          <w:kern w:val="0"/>
          <w14:ligatures w14:val="none"/>
        </w:rPr>
        <w:t>odwołanie</w:t>
      </w:r>
      <w:r w:rsidR="003B50ED" w:rsidRPr="00F16251">
        <w:rPr>
          <w:rFonts w:cstheme="minorHAnsi"/>
          <w:kern w:val="0"/>
          <w14:ligatures w14:val="none"/>
        </w:rPr>
        <w:t xml:space="preserve"> </w:t>
      </w:r>
      <w:r w:rsidRPr="00F16251">
        <w:rPr>
          <w:rFonts w:cstheme="minorHAnsi"/>
          <w:kern w:val="0"/>
          <w14:ligatures w14:val="none"/>
        </w:rPr>
        <w:t>od</w:t>
      </w:r>
      <w:r w:rsidR="003B50ED" w:rsidRPr="00F16251">
        <w:rPr>
          <w:rFonts w:cstheme="minorHAnsi"/>
          <w:kern w:val="0"/>
          <w14:ligatures w14:val="none"/>
        </w:rPr>
        <w:t xml:space="preserve"> </w:t>
      </w:r>
      <w:r w:rsidRPr="00F16251">
        <w:rPr>
          <w:rFonts w:cstheme="minorHAnsi"/>
          <w:kern w:val="0"/>
          <w14:ligatures w14:val="none"/>
        </w:rPr>
        <w:t>wyniku</w:t>
      </w:r>
      <w:r w:rsidR="003B50ED" w:rsidRPr="00F16251">
        <w:rPr>
          <w:rFonts w:cstheme="minorHAnsi"/>
          <w:kern w:val="0"/>
          <w14:ligatures w14:val="none"/>
        </w:rPr>
        <w:t xml:space="preserve"> </w:t>
      </w:r>
      <w:r w:rsidRPr="00F16251">
        <w:rPr>
          <w:rFonts w:cstheme="minorHAnsi"/>
          <w:kern w:val="0"/>
          <w14:ligatures w14:val="none"/>
        </w:rPr>
        <w:t>oceny</w:t>
      </w:r>
      <w:r w:rsidR="003B50ED" w:rsidRPr="00F16251">
        <w:rPr>
          <w:rFonts w:cstheme="minorHAnsi"/>
          <w:kern w:val="0"/>
          <w14:ligatures w14:val="none"/>
        </w:rPr>
        <w:t xml:space="preserve"> </w:t>
      </w:r>
      <w:r w:rsidRPr="00F16251">
        <w:rPr>
          <w:rFonts w:cstheme="minorHAnsi"/>
          <w:kern w:val="0"/>
          <w14:ligatures w14:val="none"/>
        </w:rPr>
        <w:t>do</w:t>
      </w:r>
      <w:r w:rsidR="003B50ED" w:rsidRPr="00F16251">
        <w:rPr>
          <w:rFonts w:cstheme="minorHAnsi"/>
          <w:kern w:val="0"/>
          <w14:ligatures w14:val="none"/>
        </w:rPr>
        <w:t xml:space="preserve"> </w:t>
      </w:r>
      <w:r w:rsidRPr="00F16251">
        <w:rPr>
          <w:rFonts w:cstheme="minorHAnsi"/>
          <w:kern w:val="0"/>
          <w14:ligatures w14:val="none"/>
        </w:rPr>
        <w:t>Rady</w:t>
      </w:r>
      <w:r w:rsidR="003B50ED" w:rsidRPr="00F16251">
        <w:rPr>
          <w:rFonts w:cstheme="minorHAnsi"/>
          <w:kern w:val="0"/>
          <w14:ligatures w14:val="none"/>
        </w:rPr>
        <w:t xml:space="preserve"> </w:t>
      </w:r>
      <w:r w:rsidRPr="00F16251">
        <w:rPr>
          <w:rFonts w:cstheme="minorHAnsi"/>
          <w:kern w:val="0"/>
          <w14:ligatures w14:val="none"/>
        </w:rPr>
        <w:t>LGD.</w:t>
      </w:r>
      <w:r w:rsidR="003B50ED" w:rsidRPr="00F16251">
        <w:rPr>
          <w:rFonts w:cstheme="minorHAnsi"/>
          <w:kern w:val="0"/>
          <w14:ligatures w14:val="none"/>
        </w:rPr>
        <w:t xml:space="preserve"> </w:t>
      </w:r>
      <w:r w:rsidRPr="00F16251">
        <w:rPr>
          <w:rFonts w:cstheme="minorHAnsi"/>
          <w:kern w:val="0"/>
          <w14:ligatures w14:val="none"/>
        </w:rPr>
        <w:t>Po</w:t>
      </w:r>
      <w:r w:rsidR="003B50ED" w:rsidRPr="00F16251">
        <w:rPr>
          <w:rFonts w:cstheme="minorHAnsi"/>
          <w:kern w:val="0"/>
          <w14:ligatures w14:val="none"/>
        </w:rPr>
        <w:t xml:space="preserve"> </w:t>
      </w:r>
      <w:r w:rsidRPr="00F16251">
        <w:rPr>
          <w:rFonts w:cstheme="minorHAnsi"/>
          <w:kern w:val="0"/>
          <w14:ligatures w14:val="none"/>
        </w:rPr>
        <w:t>dokonaniu</w:t>
      </w:r>
      <w:r w:rsidR="003B50ED" w:rsidRPr="00F16251">
        <w:rPr>
          <w:rFonts w:cstheme="minorHAnsi"/>
          <w:kern w:val="0"/>
          <w14:ligatures w14:val="none"/>
        </w:rPr>
        <w:t xml:space="preserve"> </w:t>
      </w:r>
      <w:r w:rsidRPr="00F16251">
        <w:rPr>
          <w:rFonts w:cstheme="minorHAnsi"/>
          <w:kern w:val="0"/>
          <w14:ligatures w14:val="none"/>
        </w:rPr>
        <w:t>wyboru</w:t>
      </w:r>
      <w:r w:rsidR="003B50ED" w:rsidRPr="00F16251">
        <w:rPr>
          <w:rFonts w:cstheme="minorHAnsi"/>
          <w:kern w:val="0"/>
          <w14:ligatures w14:val="none"/>
        </w:rPr>
        <w:t xml:space="preserve"> </w:t>
      </w:r>
      <w:r w:rsidRPr="00F16251">
        <w:rPr>
          <w:rFonts w:cstheme="minorHAnsi"/>
          <w:kern w:val="0"/>
          <w14:ligatures w14:val="none"/>
        </w:rPr>
        <w:t>będą</w:t>
      </w:r>
      <w:r w:rsidR="003B50ED" w:rsidRPr="00F16251">
        <w:rPr>
          <w:rFonts w:cstheme="minorHAnsi"/>
          <w:kern w:val="0"/>
          <w14:ligatures w14:val="none"/>
        </w:rPr>
        <w:t xml:space="preserve"> </w:t>
      </w:r>
      <w:r w:rsidRPr="00F16251">
        <w:rPr>
          <w:rFonts w:cstheme="minorHAnsi"/>
          <w:kern w:val="0"/>
          <w14:ligatures w14:val="none"/>
        </w:rPr>
        <w:t>zawierane</w:t>
      </w:r>
      <w:r w:rsidR="003B50ED" w:rsidRPr="00F16251">
        <w:rPr>
          <w:rFonts w:cstheme="minorHAnsi"/>
          <w:kern w:val="0"/>
          <w14:ligatures w14:val="none"/>
        </w:rPr>
        <w:t xml:space="preserve"> </w:t>
      </w:r>
      <w:r w:rsidRPr="00F16251">
        <w:rPr>
          <w:rFonts w:cstheme="minorHAnsi"/>
          <w:kern w:val="0"/>
          <w14:ligatures w14:val="none"/>
        </w:rPr>
        <w:t>umowy</w:t>
      </w:r>
      <w:r w:rsidR="003B50ED" w:rsidRPr="00F16251">
        <w:rPr>
          <w:rFonts w:cstheme="minorHAnsi"/>
          <w:kern w:val="0"/>
          <w14:ligatures w14:val="none"/>
        </w:rPr>
        <w:t xml:space="preserve"> </w:t>
      </w:r>
      <w:r w:rsidRPr="00F16251">
        <w:rPr>
          <w:rFonts w:cstheme="minorHAnsi"/>
          <w:kern w:val="0"/>
          <w14:ligatures w14:val="none"/>
        </w:rPr>
        <w:t>o</w:t>
      </w:r>
      <w:r w:rsidR="003B50ED" w:rsidRPr="00F16251">
        <w:rPr>
          <w:rFonts w:cstheme="minorHAnsi"/>
          <w:kern w:val="0"/>
          <w14:ligatures w14:val="none"/>
        </w:rPr>
        <w:t xml:space="preserve"> </w:t>
      </w:r>
      <w:r w:rsidRPr="00F16251">
        <w:rPr>
          <w:rFonts w:cstheme="minorHAnsi"/>
          <w:kern w:val="0"/>
          <w14:ligatures w14:val="none"/>
        </w:rPr>
        <w:t>powierzenie</w:t>
      </w:r>
      <w:r w:rsidR="003B50ED" w:rsidRPr="00F16251">
        <w:rPr>
          <w:rFonts w:cstheme="minorHAnsi"/>
          <w:kern w:val="0"/>
          <w14:ligatures w14:val="none"/>
        </w:rPr>
        <w:t xml:space="preserve"> </w:t>
      </w:r>
      <w:r w:rsidRPr="00F16251">
        <w:rPr>
          <w:rFonts w:cstheme="minorHAnsi"/>
          <w:kern w:val="0"/>
          <w14:ligatures w14:val="none"/>
        </w:rPr>
        <w:t>grantu</w:t>
      </w:r>
      <w:r w:rsidR="003B50ED" w:rsidRPr="00F16251">
        <w:rPr>
          <w:rFonts w:cstheme="minorHAnsi"/>
          <w:kern w:val="0"/>
          <w14:ligatures w14:val="none"/>
        </w:rPr>
        <w:t xml:space="preserve"> </w:t>
      </w:r>
      <w:r w:rsidRPr="00F16251">
        <w:rPr>
          <w:rFonts w:cstheme="minorHAnsi"/>
          <w:kern w:val="0"/>
          <w14:ligatures w14:val="none"/>
        </w:rPr>
        <w:t>spełniającej</w:t>
      </w:r>
      <w:r w:rsidR="003B50ED" w:rsidRPr="00F16251">
        <w:rPr>
          <w:rFonts w:cstheme="minorHAnsi"/>
          <w:kern w:val="0"/>
          <w14:ligatures w14:val="none"/>
        </w:rPr>
        <w:t xml:space="preserve"> </w:t>
      </w:r>
      <w:r w:rsidRPr="00F16251">
        <w:rPr>
          <w:rFonts w:cstheme="minorHAnsi"/>
          <w:kern w:val="0"/>
          <w14:ligatures w14:val="none"/>
        </w:rPr>
        <w:t>wymogi</w:t>
      </w:r>
      <w:r w:rsidR="003B50ED" w:rsidRPr="00F16251">
        <w:rPr>
          <w:rFonts w:cstheme="minorHAnsi"/>
          <w:kern w:val="0"/>
          <w14:ligatures w14:val="none"/>
        </w:rPr>
        <w:t xml:space="preserve"> </w:t>
      </w:r>
      <w:r w:rsidRPr="00F16251">
        <w:rPr>
          <w:rFonts w:cstheme="minorHAnsi"/>
          <w:kern w:val="0"/>
          <w14:ligatures w14:val="none"/>
        </w:rPr>
        <w:t>wynikające</w:t>
      </w:r>
      <w:r w:rsidR="003B50ED" w:rsidRPr="00F16251">
        <w:rPr>
          <w:rFonts w:cstheme="minorHAnsi"/>
          <w:kern w:val="0"/>
          <w14:ligatures w14:val="none"/>
        </w:rPr>
        <w:t xml:space="preserve"> </w:t>
      </w:r>
      <w:r w:rsidRPr="00F16251">
        <w:rPr>
          <w:rFonts w:cstheme="minorHAnsi"/>
          <w:kern w:val="0"/>
          <w14:ligatures w14:val="none"/>
        </w:rPr>
        <w:t>z</w:t>
      </w:r>
      <w:r w:rsidR="003B50ED" w:rsidRPr="00F16251">
        <w:rPr>
          <w:rFonts w:cstheme="minorHAnsi"/>
          <w:kern w:val="0"/>
          <w14:ligatures w14:val="none"/>
        </w:rPr>
        <w:t xml:space="preserve"> </w:t>
      </w:r>
      <w:r w:rsidRPr="00F16251">
        <w:rPr>
          <w:rFonts w:cstheme="minorHAnsi"/>
          <w:kern w:val="0"/>
          <w14:ligatures w14:val="none"/>
        </w:rPr>
        <w:t>ustawy</w:t>
      </w:r>
      <w:r w:rsidR="003B50ED" w:rsidRPr="00F16251">
        <w:rPr>
          <w:rFonts w:cstheme="minorHAnsi"/>
          <w:kern w:val="0"/>
          <w14:ligatures w14:val="none"/>
        </w:rPr>
        <w:t xml:space="preserve"> </w:t>
      </w:r>
      <w:r w:rsidRPr="00F16251">
        <w:rPr>
          <w:rFonts w:cstheme="minorHAnsi"/>
          <w:kern w:val="0"/>
          <w14:ligatures w14:val="none"/>
        </w:rPr>
        <w:t>o</w:t>
      </w:r>
      <w:r w:rsidR="003B50ED" w:rsidRPr="00F16251">
        <w:rPr>
          <w:rFonts w:cstheme="minorHAnsi"/>
          <w:kern w:val="0"/>
          <w14:ligatures w14:val="none"/>
        </w:rPr>
        <w:t xml:space="preserve"> </w:t>
      </w:r>
      <w:r w:rsidRPr="00F16251">
        <w:rPr>
          <w:rFonts w:cstheme="minorHAnsi"/>
          <w:kern w:val="0"/>
          <w14:ligatures w14:val="none"/>
        </w:rPr>
        <w:t>RLKS.</w:t>
      </w:r>
      <w:r w:rsidR="003B50ED" w:rsidRPr="00F16251">
        <w:rPr>
          <w:rFonts w:cstheme="minorHAnsi"/>
          <w:kern w:val="0"/>
          <w14:ligatures w14:val="none"/>
        </w:rPr>
        <w:t xml:space="preserve"> </w:t>
      </w:r>
    </w:p>
    <w:p w14:paraId="0B987A32" w14:textId="77777777" w:rsidR="002C63F4" w:rsidRPr="00F16251" w:rsidRDefault="002C63F4" w:rsidP="00A26C26">
      <w:pPr>
        <w:spacing w:line="276" w:lineRule="auto"/>
        <w:jc w:val="both"/>
        <w:rPr>
          <w:rFonts w:cstheme="minorHAnsi"/>
          <w:kern w:val="0"/>
          <w14:ligatures w14:val="none"/>
        </w:rPr>
      </w:pPr>
    </w:p>
    <w:p w14:paraId="73947793" w14:textId="6DB14A9A" w:rsidR="002C63F4" w:rsidRPr="00F16251" w:rsidRDefault="002C63F4" w:rsidP="00A26C26">
      <w:pPr>
        <w:spacing w:line="276" w:lineRule="auto"/>
        <w:jc w:val="both"/>
        <w:rPr>
          <w:rFonts w:cstheme="minorHAnsi"/>
          <w:b/>
          <w:bCs/>
          <w:kern w:val="0"/>
          <w14:ligatures w14:val="none"/>
        </w:rPr>
      </w:pPr>
      <w:r w:rsidRPr="00F16251">
        <w:rPr>
          <w:rFonts w:cstheme="minorHAnsi"/>
          <w:kern w:val="0"/>
          <w14:ligatures w14:val="none"/>
        </w:rPr>
        <w:t>K</w:t>
      </w:r>
      <w:r w:rsidRPr="00F16251">
        <w:rPr>
          <w:rFonts w:cstheme="minorHAnsi"/>
          <w:b/>
          <w:bCs/>
          <w:kern w:val="0"/>
          <w14:ligatures w14:val="none"/>
        </w:rPr>
        <w:t>luczowe</w:t>
      </w:r>
      <w:r w:rsidR="003B50ED" w:rsidRPr="00F16251">
        <w:rPr>
          <w:rFonts w:cstheme="minorHAnsi"/>
          <w:b/>
          <w:bCs/>
          <w:kern w:val="0"/>
          <w14:ligatures w14:val="none"/>
        </w:rPr>
        <w:t xml:space="preserve"> </w:t>
      </w:r>
      <w:r w:rsidRPr="00F16251">
        <w:rPr>
          <w:rFonts w:cstheme="minorHAnsi"/>
          <w:b/>
          <w:bCs/>
          <w:kern w:val="0"/>
          <w14:ligatures w14:val="none"/>
        </w:rPr>
        <w:t>cele</w:t>
      </w:r>
      <w:r w:rsidR="003B50ED" w:rsidRPr="00F16251">
        <w:rPr>
          <w:rFonts w:cstheme="minorHAnsi"/>
          <w:b/>
          <w:bCs/>
          <w:kern w:val="0"/>
          <w14:ligatures w14:val="none"/>
        </w:rPr>
        <w:t xml:space="preserve"> </w:t>
      </w:r>
      <w:r w:rsidRPr="00F16251">
        <w:rPr>
          <w:rFonts w:cstheme="minorHAnsi"/>
          <w:b/>
          <w:bCs/>
          <w:kern w:val="0"/>
          <w14:ligatures w14:val="none"/>
        </w:rPr>
        <w:t>i</w:t>
      </w:r>
      <w:r w:rsidR="003B50ED" w:rsidRPr="00F16251">
        <w:rPr>
          <w:rFonts w:cstheme="minorHAnsi"/>
          <w:b/>
          <w:bCs/>
          <w:kern w:val="0"/>
          <w14:ligatures w14:val="none"/>
        </w:rPr>
        <w:t xml:space="preserve"> </w:t>
      </w:r>
      <w:r w:rsidRPr="00F16251">
        <w:rPr>
          <w:rFonts w:cstheme="minorHAnsi"/>
          <w:b/>
          <w:bCs/>
          <w:kern w:val="0"/>
          <w14:ligatures w14:val="none"/>
        </w:rPr>
        <w:t>założenia</w:t>
      </w:r>
      <w:r w:rsidR="003B50ED" w:rsidRPr="00F16251">
        <w:rPr>
          <w:rFonts w:cstheme="minorHAnsi"/>
          <w:b/>
          <w:bCs/>
          <w:kern w:val="0"/>
          <w14:ligatures w14:val="none"/>
        </w:rPr>
        <w:t xml:space="preserve"> </w:t>
      </w:r>
      <w:r w:rsidRPr="00F16251">
        <w:rPr>
          <w:rFonts w:cstheme="minorHAnsi"/>
          <w:b/>
          <w:bCs/>
          <w:kern w:val="0"/>
          <w14:ligatures w14:val="none"/>
        </w:rPr>
        <w:t>procedur</w:t>
      </w:r>
      <w:r w:rsidR="003B50ED" w:rsidRPr="00F16251">
        <w:rPr>
          <w:rFonts w:cstheme="minorHAnsi"/>
          <w:b/>
          <w:bCs/>
          <w:kern w:val="0"/>
          <w14:ligatures w14:val="none"/>
        </w:rPr>
        <w:t xml:space="preserve"> </w:t>
      </w:r>
      <w:r w:rsidRPr="00F16251">
        <w:rPr>
          <w:rFonts w:cstheme="minorHAnsi"/>
          <w:b/>
          <w:bCs/>
          <w:kern w:val="0"/>
          <w14:ligatures w14:val="none"/>
        </w:rPr>
        <w:t>i</w:t>
      </w:r>
      <w:r w:rsidR="003B50ED" w:rsidRPr="00F16251">
        <w:rPr>
          <w:rFonts w:cstheme="minorHAnsi"/>
          <w:b/>
          <w:bCs/>
          <w:kern w:val="0"/>
          <w14:ligatures w14:val="none"/>
        </w:rPr>
        <w:t xml:space="preserve"> </w:t>
      </w:r>
      <w:r w:rsidRPr="00F16251">
        <w:rPr>
          <w:rFonts w:cstheme="minorHAnsi"/>
          <w:b/>
          <w:bCs/>
          <w:kern w:val="0"/>
          <w14:ligatures w14:val="none"/>
        </w:rPr>
        <w:t>lokalnych</w:t>
      </w:r>
      <w:r w:rsidR="003B50ED" w:rsidRPr="00F16251">
        <w:rPr>
          <w:rFonts w:cstheme="minorHAnsi"/>
          <w:b/>
          <w:bCs/>
          <w:kern w:val="0"/>
          <w14:ligatures w14:val="none"/>
        </w:rPr>
        <w:t xml:space="preserve"> </w:t>
      </w:r>
      <w:r w:rsidRPr="00F16251">
        <w:rPr>
          <w:rFonts w:cstheme="minorHAnsi"/>
          <w:b/>
          <w:bCs/>
          <w:kern w:val="0"/>
          <w14:ligatures w14:val="none"/>
        </w:rPr>
        <w:t>kryteriów</w:t>
      </w:r>
      <w:r w:rsidR="003B50ED" w:rsidRPr="00F16251">
        <w:rPr>
          <w:rFonts w:cstheme="minorHAnsi"/>
          <w:b/>
          <w:bCs/>
          <w:kern w:val="0"/>
          <w14:ligatures w14:val="none"/>
        </w:rPr>
        <w:t xml:space="preserve"> </w:t>
      </w:r>
      <w:r w:rsidRPr="00F16251">
        <w:rPr>
          <w:rFonts w:cstheme="minorHAnsi"/>
          <w:b/>
          <w:bCs/>
          <w:kern w:val="0"/>
          <w14:ligatures w14:val="none"/>
        </w:rPr>
        <w:t>wyboru</w:t>
      </w:r>
    </w:p>
    <w:p w14:paraId="29D633F0" w14:textId="78AB3E47" w:rsidR="00785CAB" w:rsidRPr="00F16251" w:rsidRDefault="002C63F4" w:rsidP="00785CAB">
      <w:pPr>
        <w:spacing w:line="276" w:lineRule="auto"/>
        <w:ind w:firstLine="360"/>
        <w:jc w:val="both"/>
        <w:rPr>
          <w:rFonts w:cstheme="minorHAnsi"/>
          <w:kern w:val="0"/>
          <w14:ligatures w14:val="none"/>
        </w:rPr>
      </w:pP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procedurach</w:t>
      </w:r>
      <w:r w:rsidR="003B50ED" w:rsidRPr="00F16251">
        <w:rPr>
          <w:rFonts w:cstheme="minorHAnsi"/>
          <w:kern w:val="0"/>
          <w14:ligatures w14:val="none"/>
        </w:rPr>
        <w:t xml:space="preserve"> </w:t>
      </w:r>
      <w:r w:rsidRPr="00F16251">
        <w:rPr>
          <w:rFonts w:cstheme="minorHAnsi"/>
          <w:kern w:val="0"/>
          <w14:ligatures w14:val="none"/>
        </w:rPr>
        <w:t>wyboru</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oceny</w:t>
      </w:r>
      <w:r w:rsidR="003B50ED" w:rsidRPr="00F16251">
        <w:rPr>
          <w:rFonts w:cstheme="minorHAnsi"/>
          <w:kern w:val="0"/>
          <w14:ligatures w14:val="none"/>
        </w:rPr>
        <w:t xml:space="preserve"> </w:t>
      </w:r>
      <w:r w:rsidRPr="00F16251">
        <w:rPr>
          <w:rFonts w:cstheme="minorHAnsi"/>
          <w:kern w:val="0"/>
          <w14:ligatures w14:val="none"/>
        </w:rPr>
        <w:t>operacji</w:t>
      </w:r>
      <w:r w:rsidR="003B50ED" w:rsidRPr="00F16251">
        <w:rPr>
          <w:rFonts w:cstheme="minorHAnsi"/>
          <w:kern w:val="0"/>
          <w14:ligatures w14:val="none"/>
        </w:rPr>
        <w:t xml:space="preserve"> </w:t>
      </w:r>
      <w:r w:rsidRPr="00F16251">
        <w:rPr>
          <w:rFonts w:cstheme="minorHAnsi"/>
          <w:kern w:val="0"/>
          <w14:ligatures w14:val="none"/>
        </w:rPr>
        <w:t>/</w:t>
      </w:r>
      <w:r w:rsidR="003B50ED" w:rsidRPr="00F16251">
        <w:rPr>
          <w:rFonts w:cstheme="minorHAnsi"/>
          <w:kern w:val="0"/>
          <w14:ligatures w14:val="none"/>
        </w:rPr>
        <w:t xml:space="preserve"> </w:t>
      </w:r>
      <w:proofErr w:type="spellStart"/>
      <w:r w:rsidRPr="00F16251">
        <w:rPr>
          <w:rFonts w:cstheme="minorHAnsi"/>
          <w:kern w:val="0"/>
          <w14:ligatures w14:val="none"/>
        </w:rPr>
        <w:t>Grantobiorców</w:t>
      </w:r>
      <w:proofErr w:type="spellEnd"/>
      <w:r w:rsidR="003B50ED" w:rsidRPr="00F16251">
        <w:rPr>
          <w:rFonts w:cstheme="minorHAnsi"/>
          <w:kern w:val="0"/>
          <w14:ligatures w14:val="none"/>
        </w:rPr>
        <w:t xml:space="preserve"> </w:t>
      </w:r>
      <w:r w:rsidRPr="00F16251">
        <w:rPr>
          <w:rFonts w:cstheme="minorHAnsi"/>
          <w:kern w:val="0"/>
          <w14:ligatures w14:val="none"/>
        </w:rPr>
        <w:t>zostaną</w:t>
      </w:r>
      <w:r w:rsidR="003B50ED" w:rsidRPr="00F16251">
        <w:rPr>
          <w:rFonts w:cstheme="minorHAnsi"/>
          <w:kern w:val="0"/>
          <w14:ligatures w14:val="none"/>
        </w:rPr>
        <w:t xml:space="preserve"> </w:t>
      </w:r>
      <w:r w:rsidRPr="00F16251">
        <w:rPr>
          <w:rFonts w:cstheme="minorHAnsi"/>
          <w:kern w:val="0"/>
          <w14:ligatures w14:val="none"/>
        </w:rPr>
        <w:t>określone</w:t>
      </w:r>
      <w:r w:rsidR="003B50ED" w:rsidRPr="00F16251">
        <w:rPr>
          <w:rFonts w:cstheme="minorHAnsi"/>
          <w:kern w:val="0"/>
          <w14:ligatures w14:val="none"/>
        </w:rPr>
        <w:t xml:space="preserve"> </w:t>
      </w:r>
      <w:r w:rsidRPr="00F16251">
        <w:rPr>
          <w:rFonts w:cstheme="minorHAnsi"/>
          <w:kern w:val="0"/>
          <w14:ligatures w14:val="none"/>
        </w:rPr>
        <w:t>zasady</w:t>
      </w:r>
      <w:r w:rsidR="003B50ED" w:rsidRPr="00F16251">
        <w:rPr>
          <w:rFonts w:cstheme="minorHAnsi"/>
          <w:kern w:val="0"/>
          <w14:ligatures w14:val="none"/>
        </w:rPr>
        <w:t xml:space="preserve"> </w:t>
      </w:r>
      <w:r w:rsidRPr="00F16251">
        <w:rPr>
          <w:rFonts w:cstheme="minorHAnsi"/>
          <w:kern w:val="0"/>
          <w14:ligatures w14:val="none"/>
        </w:rPr>
        <w:t>gwarantujące</w:t>
      </w:r>
      <w:r w:rsidR="003B50ED" w:rsidRPr="00F16251">
        <w:rPr>
          <w:rFonts w:cstheme="minorHAnsi"/>
          <w:kern w:val="0"/>
          <w14:ligatures w14:val="none"/>
        </w:rPr>
        <w:t xml:space="preserve"> </w:t>
      </w:r>
      <w:r w:rsidRPr="00F16251">
        <w:rPr>
          <w:rFonts w:cstheme="minorHAnsi"/>
          <w:kern w:val="0"/>
          <w14:ligatures w14:val="none"/>
        </w:rPr>
        <w:t>prawidłowość</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przejrzystość</w:t>
      </w:r>
      <w:r w:rsidR="003B50ED" w:rsidRPr="00F16251">
        <w:rPr>
          <w:rFonts w:cstheme="minorHAnsi"/>
          <w:kern w:val="0"/>
          <w14:ligatures w14:val="none"/>
        </w:rPr>
        <w:t xml:space="preserve"> </w:t>
      </w:r>
      <w:r w:rsidRPr="00F16251">
        <w:rPr>
          <w:rFonts w:cstheme="minorHAnsi"/>
          <w:kern w:val="0"/>
          <w14:ligatures w14:val="none"/>
        </w:rPr>
        <w:t>całego</w:t>
      </w:r>
      <w:r w:rsidR="003B50ED" w:rsidRPr="00F16251">
        <w:rPr>
          <w:rFonts w:cstheme="minorHAnsi"/>
          <w:kern w:val="0"/>
          <w14:ligatures w14:val="none"/>
        </w:rPr>
        <w:t xml:space="preserve"> </w:t>
      </w:r>
      <w:r w:rsidRPr="00F16251">
        <w:rPr>
          <w:rFonts w:cstheme="minorHAnsi"/>
          <w:kern w:val="0"/>
          <w14:ligatures w14:val="none"/>
        </w:rPr>
        <w:t>procesu.</w:t>
      </w:r>
      <w:r w:rsidR="003B50ED" w:rsidRPr="00F16251">
        <w:rPr>
          <w:rFonts w:cstheme="minorHAnsi"/>
          <w:kern w:val="0"/>
          <w14:ligatures w14:val="none"/>
        </w:rPr>
        <w:t xml:space="preserve"> </w:t>
      </w:r>
      <w:r w:rsidRPr="00F16251">
        <w:rPr>
          <w:rFonts w:cstheme="minorHAnsi"/>
          <w:kern w:val="0"/>
          <w14:ligatures w14:val="none"/>
        </w:rPr>
        <w:t>Poza</w:t>
      </w:r>
      <w:r w:rsidR="003B50ED" w:rsidRPr="00F16251">
        <w:rPr>
          <w:rFonts w:cstheme="minorHAnsi"/>
          <w:kern w:val="0"/>
          <w14:ligatures w14:val="none"/>
        </w:rPr>
        <w:t xml:space="preserve"> </w:t>
      </w:r>
      <w:r w:rsidRPr="00F16251">
        <w:rPr>
          <w:rFonts w:cstheme="minorHAnsi"/>
          <w:kern w:val="0"/>
          <w14:ligatures w14:val="none"/>
        </w:rPr>
        <w:t>sprawnością</w:t>
      </w:r>
      <w:r w:rsidR="003B50ED" w:rsidRPr="00F16251">
        <w:rPr>
          <w:rFonts w:cstheme="minorHAnsi"/>
          <w:kern w:val="0"/>
          <w14:ligatures w14:val="none"/>
        </w:rPr>
        <w:t xml:space="preserve"> </w:t>
      </w:r>
      <w:r w:rsidRPr="00F16251">
        <w:rPr>
          <w:rFonts w:cstheme="minorHAnsi"/>
          <w:kern w:val="0"/>
          <w14:ligatures w14:val="none"/>
        </w:rPr>
        <w:t>procedury</w:t>
      </w:r>
      <w:r w:rsidR="003B50ED" w:rsidRPr="00F16251">
        <w:rPr>
          <w:rFonts w:cstheme="minorHAnsi"/>
          <w:kern w:val="0"/>
          <w14:ligatures w14:val="none"/>
        </w:rPr>
        <w:t xml:space="preserve"> </w:t>
      </w:r>
      <w:r w:rsidRPr="00F16251">
        <w:rPr>
          <w:rFonts w:cstheme="minorHAnsi"/>
          <w:kern w:val="0"/>
          <w14:ligatures w14:val="none"/>
        </w:rPr>
        <w:t>istotna</w:t>
      </w:r>
      <w:r w:rsidR="003B50ED" w:rsidRPr="00F16251">
        <w:rPr>
          <w:rFonts w:cstheme="minorHAnsi"/>
          <w:kern w:val="0"/>
          <w14:ligatures w14:val="none"/>
        </w:rPr>
        <w:t xml:space="preserve"> </w:t>
      </w:r>
      <w:r w:rsidRPr="00F16251">
        <w:rPr>
          <w:rFonts w:cstheme="minorHAnsi"/>
          <w:kern w:val="0"/>
          <w14:ligatures w14:val="none"/>
        </w:rPr>
        <w:t>będzie</w:t>
      </w:r>
      <w:r w:rsidR="003B50ED" w:rsidRPr="00F16251">
        <w:rPr>
          <w:rFonts w:cstheme="minorHAnsi"/>
          <w:kern w:val="0"/>
          <w14:ligatures w14:val="none"/>
        </w:rPr>
        <w:t xml:space="preserve"> </w:t>
      </w:r>
      <w:r w:rsidRPr="00F16251">
        <w:rPr>
          <w:rFonts w:cstheme="minorHAnsi"/>
          <w:kern w:val="0"/>
          <w14:ligatures w14:val="none"/>
        </w:rPr>
        <w:t>również</w:t>
      </w:r>
      <w:r w:rsidR="003B50ED" w:rsidRPr="00F16251">
        <w:rPr>
          <w:rFonts w:cstheme="minorHAnsi"/>
          <w:kern w:val="0"/>
          <w14:ligatures w14:val="none"/>
        </w:rPr>
        <w:t xml:space="preserve"> </w:t>
      </w:r>
      <w:r w:rsidRPr="00F16251">
        <w:rPr>
          <w:rFonts w:cstheme="minorHAnsi"/>
          <w:kern w:val="0"/>
          <w14:ligatures w14:val="none"/>
        </w:rPr>
        <w:t>jej</w:t>
      </w:r>
      <w:r w:rsidR="003B50ED" w:rsidRPr="00F16251">
        <w:rPr>
          <w:rFonts w:cstheme="minorHAnsi"/>
          <w:kern w:val="0"/>
          <w14:ligatures w14:val="none"/>
        </w:rPr>
        <w:t xml:space="preserve"> </w:t>
      </w:r>
      <w:r w:rsidRPr="00F16251">
        <w:rPr>
          <w:rFonts w:cstheme="minorHAnsi"/>
          <w:kern w:val="0"/>
          <w14:ligatures w14:val="none"/>
        </w:rPr>
        <w:t>transparentność</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skuteczność.</w:t>
      </w:r>
      <w:r w:rsidR="003B50ED" w:rsidRPr="00F16251">
        <w:rPr>
          <w:rFonts w:cstheme="minorHAnsi"/>
          <w:kern w:val="0"/>
          <w14:ligatures w14:val="none"/>
        </w:rPr>
        <w:t xml:space="preserve"> </w:t>
      </w:r>
      <w:r w:rsidRPr="00F16251">
        <w:rPr>
          <w:rFonts w:cstheme="minorHAnsi"/>
          <w:kern w:val="0"/>
          <w14:ligatures w14:val="none"/>
        </w:rPr>
        <w:t>Procedury</w:t>
      </w:r>
      <w:r w:rsidR="003B50ED" w:rsidRPr="00F16251">
        <w:rPr>
          <w:rFonts w:cstheme="minorHAnsi"/>
          <w:kern w:val="0"/>
          <w14:ligatures w14:val="none"/>
        </w:rPr>
        <w:t xml:space="preserve"> </w:t>
      </w:r>
      <w:r w:rsidRPr="00F16251">
        <w:rPr>
          <w:rFonts w:cstheme="minorHAnsi"/>
          <w:kern w:val="0"/>
          <w14:ligatures w14:val="none"/>
        </w:rPr>
        <w:t>będą</w:t>
      </w:r>
      <w:r w:rsidR="003B50ED" w:rsidRPr="00F16251">
        <w:rPr>
          <w:rFonts w:cstheme="minorHAnsi"/>
          <w:kern w:val="0"/>
          <w14:ligatures w14:val="none"/>
        </w:rPr>
        <w:t xml:space="preserve"> </w:t>
      </w:r>
      <w:r w:rsidRPr="00F16251">
        <w:rPr>
          <w:rFonts w:cstheme="minorHAnsi"/>
          <w:kern w:val="0"/>
          <w14:ligatures w14:val="none"/>
        </w:rPr>
        <w:t>czytelne</w:t>
      </w:r>
      <w:r w:rsidR="003B50ED" w:rsidRPr="00F16251">
        <w:rPr>
          <w:rFonts w:cstheme="minorHAnsi"/>
          <w:kern w:val="0"/>
          <w14:ligatures w14:val="none"/>
        </w:rPr>
        <w:t xml:space="preserve"> </w:t>
      </w:r>
      <w:r w:rsidRPr="00F16251">
        <w:rPr>
          <w:rFonts w:cstheme="minorHAnsi"/>
          <w:kern w:val="0"/>
          <w14:ligatures w14:val="none"/>
        </w:rPr>
        <w:t>dla</w:t>
      </w:r>
      <w:r w:rsidR="003B50ED" w:rsidRPr="00F16251">
        <w:rPr>
          <w:rFonts w:cstheme="minorHAnsi"/>
          <w:kern w:val="0"/>
          <w14:ligatures w14:val="none"/>
        </w:rPr>
        <w:t xml:space="preserve"> </w:t>
      </w:r>
      <w:r w:rsidRPr="00F16251">
        <w:rPr>
          <w:rFonts w:cstheme="minorHAnsi"/>
          <w:kern w:val="0"/>
          <w14:ligatures w14:val="none"/>
        </w:rPr>
        <w:t>wszystkich</w:t>
      </w:r>
      <w:r w:rsidR="003B50ED" w:rsidRPr="00F16251">
        <w:rPr>
          <w:rFonts w:cstheme="minorHAnsi"/>
          <w:kern w:val="0"/>
          <w14:ligatures w14:val="none"/>
        </w:rPr>
        <w:t xml:space="preserve"> </w:t>
      </w:r>
      <w:r w:rsidRPr="00F16251">
        <w:rPr>
          <w:rFonts w:cstheme="minorHAnsi"/>
          <w:kern w:val="0"/>
          <w14:ligatures w14:val="none"/>
        </w:rPr>
        <w:t>zainteresowanych</w:t>
      </w:r>
      <w:r w:rsidR="003B50ED" w:rsidRPr="00F16251">
        <w:rPr>
          <w:rFonts w:cstheme="minorHAnsi"/>
          <w:kern w:val="0"/>
          <w14:ligatures w14:val="none"/>
        </w:rPr>
        <w:t xml:space="preserve"> </w:t>
      </w:r>
      <w:r w:rsidRPr="00F16251">
        <w:rPr>
          <w:rFonts w:cstheme="minorHAnsi"/>
          <w:kern w:val="0"/>
          <w14:ligatures w14:val="none"/>
        </w:rPr>
        <w:t>stron,</w:t>
      </w:r>
      <w:r w:rsidR="003B50ED" w:rsidRPr="00F16251">
        <w:rPr>
          <w:rFonts w:cstheme="minorHAnsi"/>
          <w:kern w:val="0"/>
          <w14:ligatures w14:val="none"/>
        </w:rPr>
        <w:t xml:space="preserve"> </w:t>
      </w:r>
      <w:r w:rsidRPr="00F16251">
        <w:rPr>
          <w:rFonts w:cstheme="minorHAnsi"/>
          <w:kern w:val="0"/>
          <w14:ligatures w14:val="none"/>
        </w:rPr>
        <w:t>biorących</w:t>
      </w:r>
      <w:r w:rsidR="003B50ED" w:rsidRPr="00F16251">
        <w:rPr>
          <w:rFonts w:cstheme="minorHAnsi"/>
          <w:kern w:val="0"/>
          <w14:ligatures w14:val="none"/>
        </w:rPr>
        <w:t xml:space="preserve"> </w:t>
      </w:r>
      <w:r w:rsidRPr="00F16251">
        <w:rPr>
          <w:rFonts w:cstheme="minorHAnsi"/>
          <w:kern w:val="0"/>
          <w14:ligatures w14:val="none"/>
        </w:rPr>
        <w:t>udział</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procesie</w:t>
      </w:r>
      <w:r w:rsidR="003B50ED" w:rsidRPr="00F16251">
        <w:rPr>
          <w:rFonts w:cstheme="minorHAnsi"/>
          <w:kern w:val="0"/>
          <w14:ligatures w14:val="none"/>
        </w:rPr>
        <w:t xml:space="preserve"> </w:t>
      </w:r>
      <w:r w:rsidRPr="00F16251">
        <w:rPr>
          <w:rFonts w:cstheme="minorHAnsi"/>
          <w:kern w:val="0"/>
          <w14:ligatures w14:val="none"/>
        </w:rPr>
        <w:t>wyboru</w:t>
      </w:r>
      <w:r w:rsidR="003B50ED" w:rsidRPr="00F16251">
        <w:rPr>
          <w:rFonts w:cstheme="minorHAnsi"/>
          <w:kern w:val="0"/>
          <w14:ligatures w14:val="none"/>
        </w:rPr>
        <w:t xml:space="preserve"> </w:t>
      </w:r>
      <w:r w:rsidRPr="00F16251">
        <w:rPr>
          <w:rFonts w:cstheme="minorHAnsi"/>
          <w:kern w:val="0"/>
          <w14:ligatures w14:val="none"/>
        </w:rPr>
        <w:t>operacji,</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szczególności</w:t>
      </w:r>
      <w:r w:rsidR="003B50ED" w:rsidRPr="00F16251">
        <w:rPr>
          <w:rFonts w:cstheme="minorHAnsi"/>
          <w:kern w:val="0"/>
          <w14:ligatures w14:val="none"/>
        </w:rPr>
        <w:t xml:space="preserve"> </w:t>
      </w:r>
      <w:r w:rsidRPr="00F16251">
        <w:rPr>
          <w:rFonts w:cstheme="minorHAnsi"/>
          <w:kern w:val="0"/>
          <w14:ligatures w14:val="none"/>
        </w:rPr>
        <w:t>dla</w:t>
      </w:r>
      <w:r w:rsidR="003B50ED" w:rsidRPr="00F16251">
        <w:rPr>
          <w:rFonts w:cstheme="minorHAnsi"/>
          <w:kern w:val="0"/>
          <w14:ligatures w14:val="none"/>
        </w:rPr>
        <w:t xml:space="preserve"> </w:t>
      </w:r>
      <w:r w:rsidRPr="00F16251">
        <w:rPr>
          <w:rFonts w:cstheme="minorHAnsi"/>
          <w:kern w:val="0"/>
          <w14:ligatures w14:val="none"/>
        </w:rPr>
        <w:t>Wnioskodawców.</w:t>
      </w:r>
      <w:r w:rsidR="003B50ED" w:rsidRPr="00F16251">
        <w:rPr>
          <w:rFonts w:cstheme="minorHAnsi"/>
          <w:kern w:val="0"/>
          <w14:ligatures w14:val="none"/>
        </w:rPr>
        <w:t xml:space="preserve"> </w:t>
      </w:r>
      <w:r w:rsidRPr="00F16251">
        <w:rPr>
          <w:rFonts w:cstheme="minorHAnsi"/>
          <w:kern w:val="0"/>
          <w14:ligatures w14:val="none"/>
        </w:rPr>
        <w:t>Każdy</w:t>
      </w:r>
      <w:r w:rsidR="003B50ED" w:rsidRPr="00F16251">
        <w:rPr>
          <w:rFonts w:cstheme="minorHAnsi"/>
          <w:kern w:val="0"/>
          <w14:ligatures w14:val="none"/>
        </w:rPr>
        <w:t xml:space="preserve"> </w:t>
      </w:r>
      <w:r w:rsidRPr="00F16251">
        <w:rPr>
          <w:rFonts w:cstheme="minorHAnsi"/>
          <w:kern w:val="0"/>
          <w14:ligatures w14:val="none"/>
        </w:rPr>
        <w:t>nabór</w:t>
      </w:r>
      <w:r w:rsidR="003B50ED" w:rsidRPr="00F16251">
        <w:rPr>
          <w:rFonts w:cstheme="minorHAnsi"/>
          <w:kern w:val="0"/>
          <w14:ligatures w14:val="none"/>
        </w:rPr>
        <w:t xml:space="preserve"> </w:t>
      </w:r>
      <w:r w:rsidRPr="00F16251">
        <w:rPr>
          <w:rFonts w:cstheme="minorHAnsi"/>
          <w:kern w:val="0"/>
          <w14:ligatures w14:val="none"/>
        </w:rPr>
        <w:t>będzie</w:t>
      </w:r>
      <w:r w:rsidR="003B50ED" w:rsidRPr="00F16251">
        <w:rPr>
          <w:rFonts w:cstheme="minorHAnsi"/>
          <w:kern w:val="0"/>
          <w14:ligatures w14:val="none"/>
        </w:rPr>
        <w:t xml:space="preserve"> </w:t>
      </w:r>
      <w:r w:rsidRPr="00F16251">
        <w:rPr>
          <w:rFonts w:cstheme="minorHAnsi"/>
          <w:kern w:val="0"/>
          <w14:ligatures w14:val="none"/>
        </w:rPr>
        <w:t>poprzedzony</w:t>
      </w:r>
      <w:r w:rsidR="003B50ED" w:rsidRPr="00F16251">
        <w:rPr>
          <w:rFonts w:cstheme="minorHAnsi"/>
          <w:kern w:val="0"/>
          <w14:ligatures w14:val="none"/>
        </w:rPr>
        <w:t xml:space="preserve"> </w:t>
      </w:r>
      <w:r w:rsidRPr="00F16251">
        <w:rPr>
          <w:rFonts w:cstheme="minorHAnsi"/>
          <w:kern w:val="0"/>
          <w14:ligatures w14:val="none"/>
        </w:rPr>
        <w:t>szkoleniem</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możliwością</w:t>
      </w:r>
      <w:r w:rsidR="003B50ED" w:rsidRPr="00F16251">
        <w:rPr>
          <w:rFonts w:cstheme="minorHAnsi"/>
          <w:kern w:val="0"/>
          <w14:ligatures w14:val="none"/>
        </w:rPr>
        <w:t xml:space="preserve"> </w:t>
      </w:r>
      <w:r w:rsidRPr="00F16251">
        <w:rPr>
          <w:rFonts w:cstheme="minorHAnsi"/>
          <w:kern w:val="0"/>
          <w14:ligatures w14:val="none"/>
        </w:rPr>
        <w:t>skorzystania</w:t>
      </w:r>
      <w:r w:rsidR="003B50ED" w:rsidRPr="00F16251">
        <w:rPr>
          <w:rFonts w:cstheme="minorHAnsi"/>
          <w:kern w:val="0"/>
          <w14:ligatures w14:val="none"/>
        </w:rPr>
        <w:t xml:space="preserve"> </w:t>
      </w:r>
      <w:r w:rsidRPr="00F16251">
        <w:rPr>
          <w:rFonts w:cstheme="minorHAnsi"/>
          <w:kern w:val="0"/>
          <w14:ligatures w14:val="none"/>
        </w:rPr>
        <w:t>z</w:t>
      </w:r>
      <w:r w:rsidR="003B50ED" w:rsidRPr="00F16251">
        <w:rPr>
          <w:rFonts w:cstheme="minorHAnsi"/>
          <w:kern w:val="0"/>
          <w14:ligatures w14:val="none"/>
        </w:rPr>
        <w:t xml:space="preserve"> </w:t>
      </w:r>
      <w:r w:rsidRPr="00F16251">
        <w:rPr>
          <w:rFonts w:cstheme="minorHAnsi"/>
          <w:kern w:val="0"/>
          <w14:ligatures w14:val="none"/>
        </w:rPr>
        <w:t>doradztwa,</w:t>
      </w:r>
      <w:r w:rsidR="003B50ED" w:rsidRPr="00F16251">
        <w:rPr>
          <w:rFonts w:cstheme="minorHAnsi"/>
          <w:kern w:val="0"/>
          <w14:ligatures w14:val="none"/>
        </w:rPr>
        <w:t xml:space="preserve"> </w:t>
      </w:r>
      <w:r w:rsidRPr="00F16251">
        <w:rPr>
          <w:rFonts w:cstheme="minorHAnsi"/>
          <w:kern w:val="0"/>
          <w14:ligatures w14:val="none"/>
        </w:rPr>
        <w:t>żeby</w:t>
      </w:r>
      <w:r w:rsidR="003B50ED" w:rsidRPr="00F16251">
        <w:rPr>
          <w:rFonts w:cstheme="minorHAnsi"/>
          <w:kern w:val="0"/>
          <w14:ligatures w14:val="none"/>
        </w:rPr>
        <w:t xml:space="preserve"> </w:t>
      </w:r>
      <w:r w:rsidRPr="00F16251">
        <w:rPr>
          <w:rFonts w:cstheme="minorHAnsi"/>
          <w:kern w:val="0"/>
          <w14:ligatures w14:val="none"/>
        </w:rPr>
        <w:t>obowiązujące</w:t>
      </w:r>
      <w:r w:rsidR="003B50ED" w:rsidRPr="00F16251">
        <w:rPr>
          <w:rFonts w:cstheme="minorHAnsi"/>
          <w:kern w:val="0"/>
          <w14:ligatures w14:val="none"/>
        </w:rPr>
        <w:t xml:space="preserve"> </w:t>
      </w:r>
      <w:r w:rsidRPr="00F16251">
        <w:rPr>
          <w:rFonts w:cstheme="minorHAnsi"/>
          <w:kern w:val="0"/>
          <w14:ligatures w14:val="none"/>
        </w:rPr>
        <w:t>zasady</w:t>
      </w:r>
      <w:r w:rsidR="003B50ED" w:rsidRPr="00F16251">
        <w:rPr>
          <w:rFonts w:cstheme="minorHAnsi"/>
          <w:kern w:val="0"/>
          <w14:ligatures w14:val="none"/>
        </w:rPr>
        <w:t xml:space="preserve"> </w:t>
      </w:r>
      <w:r w:rsidRPr="00F16251">
        <w:rPr>
          <w:rFonts w:cstheme="minorHAnsi"/>
          <w:kern w:val="0"/>
          <w14:ligatures w14:val="none"/>
        </w:rPr>
        <w:t>były</w:t>
      </w:r>
      <w:r w:rsidR="003B50ED" w:rsidRPr="00F16251">
        <w:rPr>
          <w:rFonts w:cstheme="minorHAnsi"/>
          <w:kern w:val="0"/>
          <w14:ligatures w14:val="none"/>
        </w:rPr>
        <w:t xml:space="preserve"> </w:t>
      </w:r>
      <w:r w:rsidRPr="00F16251">
        <w:rPr>
          <w:rFonts w:cstheme="minorHAnsi"/>
          <w:kern w:val="0"/>
          <w14:ligatures w14:val="none"/>
        </w:rPr>
        <w:t>bardziej</w:t>
      </w:r>
      <w:r w:rsidR="003B50ED" w:rsidRPr="00F16251">
        <w:rPr>
          <w:rFonts w:cstheme="minorHAnsi"/>
          <w:kern w:val="0"/>
          <w14:ligatures w14:val="none"/>
        </w:rPr>
        <w:t xml:space="preserve"> </w:t>
      </w:r>
      <w:r w:rsidRPr="00F16251">
        <w:rPr>
          <w:rFonts w:cstheme="minorHAnsi"/>
          <w:kern w:val="0"/>
          <w14:ligatures w14:val="none"/>
        </w:rPr>
        <w:t>dostępne.</w:t>
      </w:r>
      <w:r w:rsidR="003B50ED" w:rsidRPr="00F16251">
        <w:rPr>
          <w:rFonts w:cstheme="minorHAnsi"/>
          <w:kern w:val="0"/>
          <w14:ligatures w14:val="none"/>
        </w:rPr>
        <w:t xml:space="preserve"> </w:t>
      </w:r>
    </w:p>
    <w:p w14:paraId="437AA2D1" w14:textId="77777777" w:rsidR="00785CAB" w:rsidRPr="00F16251" w:rsidRDefault="002C63F4" w:rsidP="00785CAB">
      <w:pPr>
        <w:spacing w:line="276" w:lineRule="auto"/>
        <w:ind w:firstLine="360"/>
        <w:jc w:val="both"/>
        <w:rPr>
          <w:rFonts w:cstheme="minorHAnsi"/>
          <w:kern w:val="0"/>
          <w14:ligatures w14:val="none"/>
        </w:rPr>
      </w:pPr>
      <w:r w:rsidRPr="00F16251">
        <w:rPr>
          <w:rFonts w:cstheme="minorHAnsi"/>
          <w:kern w:val="0"/>
          <w14:ligatures w14:val="none"/>
        </w:rPr>
        <w:t>Wynik</w:t>
      </w:r>
      <w:r w:rsidR="003B50ED" w:rsidRPr="00F16251">
        <w:rPr>
          <w:rFonts w:cstheme="minorHAnsi"/>
          <w:kern w:val="0"/>
          <w14:ligatures w14:val="none"/>
        </w:rPr>
        <w:t xml:space="preserve"> </w:t>
      </w:r>
      <w:r w:rsidRPr="00F16251">
        <w:rPr>
          <w:rFonts w:cstheme="minorHAnsi"/>
          <w:kern w:val="0"/>
          <w14:ligatures w14:val="none"/>
        </w:rPr>
        <w:t>oceny</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wyboru</w:t>
      </w:r>
      <w:r w:rsidR="003B50ED" w:rsidRPr="00F16251">
        <w:rPr>
          <w:rFonts w:cstheme="minorHAnsi"/>
          <w:kern w:val="0"/>
          <w14:ligatures w14:val="none"/>
        </w:rPr>
        <w:t xml:space="preserve"> </w:t>
      </w:r>
      <w:r w:rsidRPr="00F16251">
        <w:rPr>
          <w:rFonts w:cstheme="minorHAnsi"/>
          <w:kern w:val="0"/>
          <w14:ligatures w14:val="none"/>
        </w:rPr>
        <w:t>operacji</w:t>
      </w:r>
      <w:r w:rsidR="003B50ED" w:rsidRPr="00F16251">
        <w:rPr>
          <w:rFonts w:cstheme="minorHAnsi"/>
          <w:kern w:val="0"/>
          <w14:ligatures w14:val="none"/>
        </w:rPr>
        <w:t xml:space="preserve"> </w:t>
      </w:r>
      <w:r w:rsidRPr="00F16251">
        <w:rPr>
          <w:rFonts w:cstheme="minorHAnsi"/>
          <w:kern w:val="0"/>
          <w14:ligatures w14:val="none"/>
        </w:rPr>
        <w:t>/</w:t>
      </w:r>
      <w:r w:rsidR="003B50ED" w:rsidRPr="00F16251">
        <w:rPr>
          <w:rFonts w:cstheme="minorHAnsi"/>
          <w:kern w:val="0"/>
          <w14:ligatures w14:val="none"/>
        </w:rPr>
        <w:t xml:space="preserve"> </w:t>
      </w:r>
      <w:proofErr w:type="spellStart"/>
      <w:r w:rsidRPr="00F16251">
        <w:rPr>
          <w:rFonts w:cstheme="minorHAnsi"/>
          <w:kern w:val="0"/>
          <w14:ligatures w14:val="none"/>
        </w:rPr>
        <w:t>Grantobiorcy</w:t>
      </w:r>
      <w:proofErr w:type="spellEnd"/>
      <w:r w:rsidR="003B50ED" w:rsidRPr="00F16251">
        <w:rPr>
          <w:rFonts w:cstheme="minorHAnsi"/>
          <w:kern w:val="0"/>
          <w14:ligatures w14:val="none"/>
        </w:rPr>
        <w:t xml:space="preserve"> </w:t>
      </w:r>
      <w:r w:rsidRPr="00F16251">
        <w:rPr>
          <w:rFonts w:cstheme="minorHAnsi"/>
          <w:kern w:val="0"/>
          <w14:ligatures w14:val="none"/>
        </w:rPr>
        <w:t>będzie</w:t>
      </w:r>
      <w:r w:rsidR="003B50ED" w:rsidRPr="00F16251">
        <w:rPr>
          <w:rFonts w:cstheme="minorHAnsi"/>
          <w:kern w:val="0"/>
          <w14:ligatures w14:val="none"/>
        </w:rPr>
        <w:t xml:space="preserve"> </w:t>
      </w:r>
      <w:r w:rsidRPr="00F16251">
        <w:rPr>
          <w:rFonts w:cstheme="minorHAnsi"/>
          <w:kern w:val="0"/>
          <w14:ligatures w14:val="none"/>
        </w:rPr>
        <w:t>potwierdzany</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formie</w:t>
      </w:r>
      <w:r w:rsidR="003B50ED" w:rsidRPr="00F16251">
        <w:rPr>
          <w:rFonts w:cstheme="minorHAnsi"/>
          <w:kern w:val="0"/>
          <w14:ligatures w14:val="none"/>
        </w:rPr>
        <w:t xml:space="preserve"> </w:t>
      </w:r>
      <w:r w:rsidRPr="00F16251">
        <w:rPr>
          <w:rFonts w:cstheme="minorHAnsi"/>
          <w:kern w:val="0"/>
          <w14:ligatures w14:val="none"/>
        </w:rPr>
        <w:t>Uchwały</w:t>
      </w:r>
      <w:r w:rsidR="003B50ED" w:rsidRPr="00F16251">
        <w:rPr>
          <w:rFonts w:cstheme="minorHAnsi"/>
          <w:kern w:val="0"/>
          <w14:ligatures w14:val="none"/>
        </w:rPr>
        <w:t xml:space="preserve"> </w:t>
      </w:r>
      <w:r w:rsidRPr="00F16251">
        <w:rPr>
          <w:rFonts w:cstheme="minorHAnsi"/>
          <w:kern w:val="0"/>
          <w14:ligatures w14:val="none"/>
        </w:rPr>
        <w:t>Rady</w:t>
      </w:r>
      <w:r w:rsidR="003B50ED" w:rsidRPr="00F16251">
        <w:rPr>
          <w:rFonts w:cstheme="minorHAnsi"/>
          <w:kern w:val="0"/>
          <w14:ligatures w14:val="none"/>
        </w:rPr>
        <w:t xml:space="preserve"> </w:t>
      </w:r>
      <w:r w:rsidRPr="00F16251">
        <w:rPr>
          <w:rFonts w:cstheme="minorHAnsi"/>
          <w:kern w:val="0"/>
          <w14:ligatures w14:val="none"/>
        </w:rPr>
        <w:t>podczas</w:t>
      </w:r>
      <w:r w:rsidR="003B50ED" w:rsidRPr="00F16251">
        <w:rPr>
          <w:rFonts w:cstheme="minorHAnsi"/>
          <w:kern w:val="0"/>
          <w14:ligatures w14:val="none"/>
        </w:rPr>
        <w:t xml:space="preserve"> </w:t>
      </w:r>
      <w:r w:rsidRPr="00F16251">
        <w:rPr>
          <w:rFonts w:cstheme="minorHAnsi"/>
          <w:kern w:val="0"/>
          <w14:ligatures w14:val="none"/>
        </w:rPr>
        <w:t>posiedzenia</w:t>
      </w:r>
      <w:r w:rsidR="003B50ED" w:rsidRPr="00F16251">
        <w:rPr>
          <w:rFonts w:cstheme="minorHAnsi"/>
          <w:kern w:val="0"/>
          <w14:ligatures w14:val="none"/>
        </w:rPr>
        <w:t xml:space="preserve"> </w:t>
      </w:r>
      <w:r w:rsidRPr="00F16251">
        <w:rPr>
          <w:rFonts w:cstheme="minorHAnsi"/>
          <w:kern w:val="0"/>
          <w14:ligatures w14:val="none"/>
        </w:rPr>
        <w:t>prowadzonego</w:t>
      </w:r>
      <w:r w:rsidR="003B50ED" w:rsidRPr="00F16251">
        <w:rPr>
          <w:rFonts w:cstheme="minorHAnsi"/>
          <w:kern w:val="0"/>
          <w14:ligatures w14:val="none"/>
        </w:rPr>
        <w:t xml:space="preserve"> </w:t>
      </w:r>
      <w:r w:rsidRPr="00F16251">
        <w:rPr>
          <w:rFonts w:cstheme="minorHAnsi"/>
          <w:kern w:val="0"/>
          <w14:ligatures w14:val="none"/>
        </w:rPr>
        <w:t>zgodnie</w:t>
      </w:r>
      <w:r w:rsidR="003B50ED" w:rsidRPr="00F16251">
        <w:rPr>
          <w:rFonts w:cstheme="minorHAnsi"/>
          <w:kern w:val="0"/>
          <w14:ligatures w14:val="none"/>
        </w:rPr>
        <w:t xml:space="preserve"> </w:t>
      </w:r>
      <w:r w:rsidRPr="00F16251">
        <w:rPr>
          <w:rFonts w:cstheme="minorHAnsi"/>
          <w:kern w:val="0"/>
          <w14:ligatures w14:val="none"/>
        </w:rPr>
        <w:t>z</w:t>
      </w:r>
      <w:r w:rsidR="003B50ED" w:rsidRPr="00F16251">
        <w:rPr>
          <w:rFonts w:cstheme="minorHAnsi"/>
          <w:kern w:val="0"/>
          <w14:ligatures w14:val="none"/>
        </w:rPr>
        <w:t xml:space="preserve"> </w:t>
      </w:r>
      <w:r w:rsidRPr="00F16251">
        <w:rPr>
          <w:rFonts w:cstheme="minorHAnsi"/>
          <w:kern w:val="0"/>
          <w14:ligatures w14:val="none"/>
        </w:rPr>
        <w:t>zasadami</w:t>
      </w:r>
      <w:r w:rsidR="003B50ED" w:rsidRPr="00F16251">
        <w:rPr>
          <w:rFonts w:cstheme="minorHAnsi"/>
          <w:kern w:val="0"/>
          <w14:ligatures w14:val="none"/>
        </w:rPr>
        <w:t xml:space="preserve"> </w:t>
      </w:r>
      <w:r w:rsidRPr="00F16251">
        <w:rPr>
          <w:rFonts w:cstheme="minorHAnsi"/>
          <w:kern w:val="0"/>
          <w14:ligatures w14:val="none"/>
        </w:rPr>
        <w:t>szczegółowo</w:t>
      </w:r>
      <w:r w:rsidR="003B50ED" w:rsidRPr="00F16251">
        <w:rPr>
          <w:rFonts w:cstheme="minorHAnsi"/>
          <w:kern w:val="0"/>
          <w14:ligatures w14:val="none"/>
        </w:rPr>
        <w:t xml:space="preserve"> </w:t>
      </w:r>
      <w:r w:rsidRPr="00F16251">
        <w:rPr>
          <w:rFonts w:cstheme="minorHAnsi"/>
          <w:kern w:val="0"/>
          <w14:ligatures w14:val="none"/>
        </w:rPr>
        <w:t>określonymi</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Regulaminie</w:t>
      </w:r>
      <w:r w:rsidR="003B50ED" w:rsidRPr="00F16251">
        <w:rPr>
          <w:rFonts w:cstheme="minorHAnsi"/>
          <w:kern w:val="0"/>
          <w14:ligatures w14:val="none"/>
        </w:rPr>
        <w:t xml:space="preserve"> </w:t>
      </w:r>
      <w:r w:rsidRPr="00F16251">
        <w:rPr>
          <w:rFonts w:cstheme="minorHAnsi"/>
          <w:kern w:val="0"/>
          <w14:ligatures w14:val="none"/>
        </w:rPr>
        <w:t>Rady,</w:t>
      </w:r>
      <w:r w:rsidR="003B50ED" w:rsidRPr="00F16251">
        <w:rPr>
          <w:rFonts w:cstheme="minorHAnsi"/>
          <w:kern w:val="0"/>
          <w14:ligatures w14:val="none"/>
        </w:rPr>
        <w:t xml:space="preserve"> </w:t>
      </w:r>
      <w:r w:rsidRPr="00F16251">
        <w:rPr>
          <w:rFonts w:cstheme="minorHAnsi"/>
          <w:kern w:val="0"/>
          <w14:ligatures w14:val="none"/>
        </w:rPr>
        <w:t>który</w:t>
      </w:r>
      <w:r w:rsidR="003B50ED" w:rsidRPr="00F16251">
        <w:rPr>
          <w:rFonts w:cstheme="minorHAnsi"/>
          <w:kern w:val="0"/>
          <w14:ligatures w14:val="none"/>
        </w:rPr>
        <w:t xml:space="preserve"> </w:t>
      </w:r>
      <w:r w:rsidRPr="00F16251">
        <w:rPr>
          <w:rFonts w:cstheme="minorHAnsi"/>
          <w:kern w:val="0"/>
          <w14:ligatures w14:val="none"/>
        </w:rPr>
        <w:t>dodatkowo</w:t>
      </w:r>
      <w:r w:rsidR="003B50ED" w:rsidRPr="00F16251">
        <w:rPr>
          <w:rFonts w:cstheme="minorHAnsi"/>
          <w:kern w:val="0"/>
          <w14:ligatures w14:val="none"/>
        </w:rPr>
        <w:t xml:space="preserve"> </w:t>
      </w:r>
      <w:r w:rsidRPr="00F16251">
        <w:rPr>
          <w:rFonts w:cstheme="minorHAnsi"/>
          <w:kern w:val="0"/>
          <w14:ligatures w14:val="none"/>
        </w:rPr>
        <w:t>określi</w:t>
      </w:r>
      <w:r w:rsidR="003B50ED" w:rsidRPr="00F16251">
        <w:rPr>
          <w:rFonts w:cstheme="minorHAnsi"/>
          <w:kern w:val="0"/>
          <w14:ligatures w14:val="none"/>
        </w:rPr>
        <w:t xml:space="preserve"> </w:t>
      </w:r>
      <w:r w:rsidRPr="00F16251">
        <w:rPr>
          <w:rFonts w:cstheme="minorHAnsi"/>
          <w:kern w:val="0"/>
          <w14:ligatures w14:val="none"/>
        </w:rPr>
        <w:t>szczegółowe</w:t>
      </w:r>
      <w:r w:rsidR="003B50ED" w:rsidRPr="00F16251">
        <w:rPr>
          <w:rFonts w:cstheme="minorHAnsi"/>
          <w:kern w:val="0"/>
          <w14:ligatures w14:val="none"/>
        </w:rPr>
        <w:t xml:space="preserve"> </w:t>
      </w:r>
      <w:r w:rsidRPr="00F16251">
        <w:rPr>
          <w:rFonts w:cstheme="minorHAnsi"/>
          <w:kern w:val="0"/>
          <w14:ligatures w14:val="none"/>
        </w:rPr>
        <w:t>zasady</w:t>
      </w:r>
      <w:r w:rsidR="003B50ED" w:rsidRPr="00F16251">
        <w:rPr>
          <w:rFonts w:cstheme="minorHAnsi"/>
          <w:kern w:val="0"/>
          <w14:ligatures w14:val="none"/>
        </w:rPr>
        <w:t xml:space="preserve"> </w:t>
      </w:r>
      <w:r w:rsidRPr="00F16251">
        <w:rPr>
          <w:rFonts w:cstheme="minorHAnsi"/>
          <w:kern w:val="0"/>
          <w14:ligatures w14:val="none"/>
        </w:rPr>
        <w:t>zwoływania</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organizacji</w:t>
      </w:r>
      <w:r w:rsidR="003B50ED" w:rsidRPr="00F16251">
        <w:rPr>
          <w:rFonts w:cstheme="minorHAnsi"/>
          <w:kern w:val="0"/>
          <w14:ligatures w14:val="none"/>
        </w:rPr>
        <w:t xml:space="preserve"> </w:t>
      </w:r>
      <w:r w:rsidRPr="00F16251">
        <w:rPr>
          <w:rFonts w:cstheme="minorHAnsi"/>
          <w:kern w:val="0"/>
          <w14:ligatures w14:val="none"/>
        </w:rPr>
        <w:t>posiedzeń</w:t>
      </w:r>
      <w:r w:rsidR="003B50ED" w:rsidRPr="00F16251">
        <w:rPr>
          <w:rFonts w:cstheme="minorHAnsi"/>
          <w:kern w:val="0"/>
          <w14:ligatures w14:val="none"/>
        </w:rPr>
        <w:t xml:space="preserve"> </w:t>
      </w:r>
      <w:r w:rsidRPr="00F16251">
        <w:rPr>
          <w:rFonts w:cstheme="minorHAnsi"/>
          <w:kern w:val="0"/>
          <w14:ligatures w14:val="none"/>
        </w:rPr>
        <w:t>Rady</w:t>
      </w:r>
      <w:r w:rsidR="003B50ED" w:rsidRPr="00F16251">
        <w:rPr>
          <w:rFonts w:cstheme="minorHAnsi"/>
          <w:kern w:val="0"/>
          <w14:ligatures w14:val="none"/>
        </w:rPr>
        <w:t xml:space="preserve"> </w:t>
      </w:r>
      <w:r w:rsidRPr="00F16251">
        <w:rPr>
          <w:rFonts w:cstheme="minorHAnsi"/>
          <w:kern w:val="0"/>
          <w14:ligatures w14:val="none"/>
        </w:rPr>
        <w:t>związanych</w:t>
      </w:r>
      <w:r w:rsidR="003B50ED" w:rsidRPr="00F16251">
        <w:rPr>
          <w:rFonts w:cstheme="minorHAnsi"/>
          <w:kern w:val="0"/>
          <w14:ligatures w14:val="none"/>
        </w:rPr>
        <w:t xml:space="preserve"> </w:t>
      </w:r>
      <w:r w:rsidRPr="00F16251">
        <w:rPr>
          <w:rFonts w:cstheme="minorHAnsi"/>
          <w:kern w:val="0"/>
          <w14:ligatures w14:val="none"/>
        </w:rPr>
        <w:t>z</w:t>
      </w:r>
      <w:r w:rsidR="003B50ED" w:rsidRPr="00F16251">
        <w:rPr>
          <w:rFonts w:cstheme="minorHAnsi"/>
          <w:kern w:val="0"/>
          <w14:ligatures w14:val="none"/>
        </w:rPr>
        <w:t xml:space="preserve"> </w:t>
      </w:r>
      <w:r w:rsidRPr="00F16251">
        <w:rPr>
          <w:rFonts w:cstheme="minorHAnsi"/>
          <w:kern w:val="0"/>
          <w14:ligatures w14:val="none"/>
        </w:rPr>
        <w:t>oceną</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wyborem</w:t>
      </w:r>
      <w:r w:rsidR="003B50ED" w:rsidRPr="00F16251">
        <w:rPr>
          <w:rFonts w:cstheme="minorHAnsi"/>
          <w:kern w:val="0"/>
          <w14:ligatures w14:val="none"/>
        </w:rPr>
        <w:t xml:space="preserve"> </w:t>
      </w:r>
      <w:r w:rsidRPr="00F16251">
        <w:rPr>
          <w:rFonts w:cstheme="minorHAnsi"/>
          <w:kern w:val="0"/>
          <w14:ligatures w14:val="none"/>
        </w:rPr>
        <w:t>operacji.</w:t>
      </w:r>
      <w:r w:rsidR="003B50ED" w:rsidRPr="00F16251">
        <w:rPr>
          <w:rFonts w:cstheme="minorHAnsi"/>
          <w:kern w:val="0"/>
          <w14:ligatures w14:val="none"/>
        </w:rPr>
        <w:t xml:space="preserve"> </w:t>
      </w:r>
    </w:p>
    <w:p w14:paraId="4A94C97B" w14:textId="77777777" w:rsidR="00785CAB" w:rsidRPr="00F16251" w:rsidRDefault="002C63F4" w:rsidP="00785CAB">
      <w:pPr>
        <w:spacing w:line="276" w:lineRule="auto"/>
        <w:ind w:firstLine="360"/>
        <w:jc w:val="both"/>
        <w:rPr>
          <w:rFonts w:cstheme="minorHAnsi"/>
          <w:kern w:val="0"/>
          <w14:ligatures w14:val="none"/>
        </w:rPr>
      </w:pPr>
      <w:r w:rsidRPr="00F16251">
        <w:rPr>
          <w:rFonts w:cstheme="minorHAnsi"/>
          <w:kern w:val="0"/>
          <w14:ligatures w14:val="none"/>
        </w:rPr>
        <w:t>Przygotowanie</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aktualizacja</w:t>
      </w:r>
      <w:r w:rsidR="003B50ED" w:rsidRPr="00F16251">
        <w:rPr>
          <w:rFonts w:cstheme="minorHAnsi"/>
          <w:kern w:val="0"/>
          <w14:ligatures w14:val="none"/>
        </w:rPr>
        <w:t xml:space="preserve"> </w:t>
      </w:r>
      <w:r w:rsidRPr="00F16251">
        <w:rPr>
          <w:rFonts w:cstheme="minorHAnsi"/>
          <w:kern w:val="0"/>
          <w14:ligatures w14:val="none"/>
        </w:rPr>
        <w:t>procedur</w:t>
      </w:r>
      <w:r w:rsidR="003B50ED" w:rsidRPr="00F16251">
        <w:rPr>
          <w:rFonts w:cstheme="minorHAnsi"/>
          <w:kern w:val="0"/>
          <w14:ligatures w14:val="none"/>
        </w:rPr>
        <w:t xml:space="preserve"> </w:t>
      </w:r>
      <w:r w:rsidRPr="00F16251">
        <w:rPr>
          <w:rFonts w:cstheme="minorHAnsi"/>
          <w:kern w:val="0"/>
          <w14:ligatures w14:val="none"/>
        </w:rPr>
        <w:t>oceny</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wyboru</w:t>
      </w:r>
      <w:r w:rsidR="003B50ED" w:rsidRPr="00F16251">
        <w:rPr>
          <w:rFonts w:cstheme="minorHAnsi"/>
          <w:kern w:val="0"/>
          <w14:ligatures w14:val="none"/>
        </w:rPr>
        <w:t xml:space="preserve"> </w:t>
      </w:r>
      <w:r w:rsidRPr="00F16251">
        <w:rPr>
          <w:rFonts w:cstheme="minorHAnsi"/>
          <w:kern w:val="0"/>
          <w14:ligatures w14:val="none"/>
        </w:rPr>
        <w:t>operacji</w:t>
      </w:r>
      <w:r w:rsidR="003B50ED" w:rsidRPr="00F16251">
        <w:rPr>
          <w:rFonts w:cstheme="minorHAnsi"/>
          <w:kern w:val="0"/>
          <w14:ligatures w14:val="none"/>
        </w:rPr>
        <w:t xml:space="preserve"> </w:t>
      </w:r>
      <w:r w:rsidRPr="00F16251">
        <w:rPr>
          <w:rFonts w:cstheme="minorHAnsi"/>
          <w:kern w:val="0"/>
          <w14:ligatures w14:val="none"/>
        </w:rPr>
        <w:t>/</w:t>
      </w:r>
      <w:r w:rsidR="003B50ED" w:rsidRPr="00F16251">
        <w:rPr>
          <w:rFonts w:cstheme="minorHAnsi"/>
          <w:kern w:val="0"/>
          <w14:ligatures w14:val="none"/>
        </w:rPr>
        <w:t xml:space="preserve"> </w:t>
      </w:r>
      <w:proofErr w:type="spellStart"/>
      <w:r w:rsidRPr="00F16251">
        <w:rPr>
          <w:rFonts w:cstheme="minorHAnsi"/>
          <w:kern w:val="0"/>
          <w14:ligatures w14:val="none"/>
        </w:rPr>
        <w:t>Grantobiorców</w:t>
      </w:r>
      <w:proofErr w:type="spellEnd"/>
      <w:r w:rsidR="003B50ED" w:rsidRPr="00F16251">
        <w:rPr>
          <w:rFonts w:cstheme="minorHAnsi"/>
          <w:kern w:val="0"/>
          <w14:ligatures w14:val="none"/>
        </w:rPr>
        <w:t xml:space="preserve"> </w:t>
      </w:r>
      <w:r w:rsidRPr="00F16251">
        <w:rPr>
          <w:rFonts w:cstheme="minorHAnsi"/>
          <w:kern w:val="0"/>
          <w14:ligatures w14:val="none"/>
        </w:rPr>
        <w:t>będą</w:t>
      </w:r>
      <w:r w:rsidR="003B50ED" w:rsidRPr="00F16251">
        <w:rPr>
          <w:rFonts w:cstheme="minorHAnsi"/>
          <w:kern w:val="0"/>
          <w14:ligatures w14:val="none"/>
        </w:rPr>
        <w:t xml:space="preserve"> </w:t>
      </w:r>
      <w:r w:rsidRPr="00F16251">
        <w:rPr>
          <w:rFonts w:cstheme="minorHAnsi"/>
          <w:kern w:val="0"/>
          <w14:ligatures w14:val="none"/>
        </w:rPr>
        <w:t>dokonywane</w:t>
      </w:r>
      <w:r w:rsidR="003B50ED" w:rsidRPr="00F16251">
        <w:rPr>
          <w:rFonts w:cstheme="minorHAnsi"/>
          <w:kern w:val="0"/>
          <w14:ligatures w14:val="none"/>
        </w:rPr>
        <w:t xml:space="preserve"> </w:t>
      </w:r>
      <w:r w:rsidRPr="00F16251">
        <w:rPr>
          <w:rFonts w:cstheme="minorHAnsi"/>
          <w:kern w:val="0"/>
          <w14:ligatures w14:val="none"/>
        </w:rPr>
        <w:t>przy</w:t>
      </w:r>
      <w:r w:rsidR="003B50ED" w:rsidRPr="00F16251">
        <w:rPr>
          <w:rFonts w:cstheme="minorHAnsi"/>
          <w:kern w:val="0"/>
          <w14:ligatures w14:val="none"/>
        </w:rPr>
        <w:t xml:space="preserve"> </w:t>
      </w:r>
      <w:r w:rsidRPr="00F16251">
        <w:rPr>
          <w:rFonts w:cstheme="minorHAnsi"/>
          <w:kern w:val="0"/>
          <w14:ligatures w14:val="none"/>
        </w:rPr>
        <w:t>zapewnieniu</w:t>
      </w:r>
      <w:r w:rsidR="003B50ED" w:rsidRPr="00F16251">
        <w:rPr>
          <w:rFonts w:cstheme="minorHAnsi"/>
          <w:kern w:val="0"/>
          <w14:ligatures w14:val="none"/>
        </w:rPr>
        <w:t xml:space="preserve"> </w:t>
      </w:r>
      <w:r w:rsidRPr="00F16251">
        <w:rPr>
          <w:rFonts w:cstheme="minorHAnsi"/>
          <w:kern w:val="0"/>
          <w14:ligatures w14:val="none"/>
        </w:rPr>
        <w:t>udziału</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procesie</w:t>
      </w:r>
      <w:r w:rsidR="003B50ED" w:rsidRPr="00F16251">
        <w:rPr>
          <w:rFonts w:cstheme="minorHAnsi"/>
          <w:kern w:val="0"/>
          <w14:ligatures w14:val="none"/>
        </w:rPr>
        <w:t xml:space="preserve"> </w:t>
      </w:r>
      <w:r w:rsidRPr="00F16251">
        <w:rPr>
          <w:rFonts w:cstheme="minorHAnsi"/>
          <w:kern w:val="0"/>
          <w14:ligatures w14:val="none"/>
        </w:rPr>
        <w:t>opiniowania</w:t>
      </w:r>
      <w:r w:rsidR="003B50ED" w:rsidRPr="00F16251">
        <w:rPr>
          <w:rFonts w:cstheme="minorHAnsi"/>
          <w:kern w:val="0"/>
          <w14:ligatures w14:val="none"/>
        </w:rPr>
        <w:t xml:space="preserve"> </w:t>
      </w:r>
      <w:r w:rsidRPr="00F16251">
        <w:rPr>
          <w:rFonts w:cstheme="minorHAnsi"/>
          <w:kern w:val="0"/>
          <w14:ligatures w14:val="none"/>
        </w:rPr>
        <w:t>wszystkim</w:t>
      </w:r>
      <w:r w:rsidR="003B50ED" w:rsidRPr="00F16251">
        <w:rPr>
          <w:rFonts w:cstheme="minorHAnsi"/>
          <w:kern w:val="0"/>
          <w14:ligatures w14:val="none"/>
        </w:rPr>
        <w:t xml:space="preserve"> </w:t>
      </w:r>
      <w:r w:rsidRPr="00F16251">
        <w:rPr>
          <w:rFonts w:cstheme="minorHAnsi"/>
          <w:kern w:val="0"/>
          <w14:ligatures w14:val="none"/>
        </w:rPr>
        <w:t>interesariuszom.</w:t>
      </w:r>
      <w:r w:rsidR="003B50ED" w:rsidRPr="00F16251">
        <w:rPr>
          <w:rFonts w:cstheme="minorHAnsi"/>
          <w:kern w:val="0"/>
          <w14:ligatures w14:val="none"/>
        </w:rPr>
        <w:t xml:space="preserve"> </w:t>
      </w:r>
      <w:r w:rsidR="00785CAB" w:rsidRPr="00F16251">
        <w:rPr>
          <w:rFonts w:cstheme="minorHAnsi"/>
          <w:kern w:val="0"/>
          <w14:ligatures w14:val="none"/>
        </w:rPr>
        <w:t xml:space="preserve">Możliwe będzie </w:t>
      </w:r>
      <w:r w:rsidRPr="00F16251">
        <w:rPr>
          <w:rFonts w:cstheme="minorHAnsi"/>
          <w:kern w:val="0"/>
          <w14:ligatures w14:val="none"/>
        </w:rPr>
        <w:t>zgłaszani</w:t>
      </w:r>
      <w:r w:rsidR="00785CAB" w:rsidRPr="00F16251">
        <w:rPr>
          <w:rFonts w:cstheme="minorHAnsi"/>
          <w:kern w:val="0"/>
          <w14:ligatures w14:val="none"/>
        </w:rPr>
        <w:t>e</w:t>
      </w:r>
      <w:r w:rsidR="003B50ED" w:rsidRPr="00F16251">
        <w:rPr>
          <w:rFonts w:cstheme="minorHAnsi"/>
          <w:kern w:val="0"/>
          <w14:ligatures w14:val="none"/>
        </w:rPr>
        <w:t xml:space="preserve"> </w:t>
      </w:r>
      <w:r w:rsidR="00785CAB" w:rsidRPr="00F16251">
        <w:rPr>
          <w:rFonts w:cstheme="minorHAnsi"/>
          <w:kern w:val="0"/>
          <w14:ligatures w14:val="none"/>
        </w:rPr>
        <w:t xml:space="preserve">inicjatyw lub pomysłów </w:t>
      </w:r>
      <w:r w:rsidRPr="00F16251">
        <w:rPr>
          <w:rFonts w:cstheme="minorHAnsi"/>
          <w:kern w:val="0"/>
          <w14:ligatures w14:val="none"/>
        </w:rPr>
        <w:t>na</w:t>
      </w:r>
      <w:r w:rsidR="003B50ED" w:rsidRPr="00F16251">
        <w:rPr>
          <w:rFonts w:cstheme="minorHAnsi"/>
          <w:kern w:val="0"/>
          <w14:ligatures w14:val="none"/>
        </w:rPr>
        <w:t xml:space="preserve"> </w:t>
      </w:r>
      <w:r w:rsidRPr="00F16251">
        <w:rPr>
          <w:rFonts w:cstheme="minorHAnsi"/>
          <w:kern w:val="0"/>
          <w14:ligatures w14:val="none"/>
        </w:rPr>
        <w:t>każdym</w:t>
      </w:r>
      <w:r w:rsidR="003B50ED" w:rsidRPr="00F16251">
        <w:rPr>
          <w:rFonts w:cstheme="minorHAnsi"/>
          <w:kern w:val="0"/>
          <w14:ligatures w14:val="none"/>
        </w:rPr>
        <w:t xml:space="preserve"> </w:t>
      </w:r>
      <w:r w:rsidRPr="00F16251">
        <w:rPr>
          <w:rFonts w:cstheme="minorHAnsi"/>
          <w:kern w:val="0"/>
          <w14:ligatures w14:val="none"/>
        </w:rPr>
        <w:t>etapie,</w:t>
      </w:r>
      <w:r w:rsidR="003B50ED" w:rsidRPr="00F16251">
        <w:rPr>
          <w:rFonts w:cstheme="minorHAnsi"/>
          <w:kern w:val="0"/>
          <w14:ligatures w14:val="none"/>
        </w:rPr>
        <w:t xml:space="preserve"> </w:t>
      </w:r>
      <w:r w:rsidRPr="00F16251">
        <w:rPr>
          <w:rFonts w:cstheme="minorHAnsi"/>
          <w:kern w:val="0"/>
          <w14:ligatures w14:val="none"/>
        </w:rPr>
        <w:t>nie</w:t>
      </w:r>
      <w:r w:rsidR="003B50ED" w:rsidRPr="00F16251">
        <w:rPr>
          <w:rFonts w:cstheme="minorHAnsi"/>
          <w:kern w:val="0"/>
          <w14:ligatures w14:val="none"/>
        </w:rPr>
        <w:t xml:space="preserve"> </w:t>
      </w:r>
      <w:r w:rsidRPr="00F16251">
        <w:rPr>
          <w:rFonts w:cstheme="minorHAnsi"/>
          <w:kern w:val="0"/>
          <w14:ligatures w14:val="none"/>
        </w:rPr>
        <w:t>tylko</w:t>
      </w:r>
      <w:r w:rsidR="003B50ED" w:rsidRPr="00F16251">
        <w:rPr>
          <w:rFonts w:cstheme="minorHAnsi"/>
          <w:kern w:val="0"/>
          <w14:ligatures w14:val="none"/>
        </w:rPr>
        <w:t xml:space="preserve"> </w:t>
      </w:r>
      <w:r w:rsidRPr="00F16251">
        <w:rPr>
          <w:rFonts w:cstheme="minorHAnsi"/>
          <w:kern w:val="0"/>
          <w14:ligatures w14:val="none"/>
        </w:rPr>
        <w:t>opiniowania.</w:t>
      </w:r>
      <w:r w:rsidR="003B50ED" w:rsidRPr="00F16251">
        <w:rPr>
          <w:rFonts w:cstheme="minorHAnsi"/>
          <w:kern w:val="0"/>
          <w14:ligatures w14:val="none"/>
        </w:rPr>
        <w:t xml:space="preserve"> </w:t>
      </w:r>
    </w:p>
    <w:p w14:paraId="3745F882" w14:textId="77777777" w:rsidR="00785CAB" w:rsidRPr="00F16251" w:rsidRDefault="002C63F4" w:rsidP="00785CAB">
      <w:pPr>
        <w:spacing w:line="276" w:lineRule="auto"/>
        <w:ind w:firstLine="360"/>
        <w:jc w:val="both"/>
        <w:rPr>
          <w:rFonts w:cstheme="minorHAnsi"/>
          <w:kern w:val="0"/>
          <w14:ligatures w14:val="none"/>
        </w:rPr>
      </w:pPr>
      <w:r w:rsidRPr="00F16251">
        <w:rPr>
          <w:rFonts w:cstheme="minorHAnsi"/>
          <w:kern w:val="0"/>
          <w14:ligatures w14:val="none"/>
        </w:rPr>
        <w:t>Procedury</w:t>
      </w:r>
      <w:r w:rsidR="003B50ED" w:rsidRPr="00F16251">
        <w:rPr>
          <w:rFonts w:cstheme="minorHAnsi"/>
          <w:kern w:val="0"/>
          <w14:ligatures w14:val="none"/>
        </w:rPr>
        <w:t xml:space="preserve"> </w:t>
      </w:r>
      <w:r w:rsidRPr="00F16251">
        <w:rPr>
          <w:rFonts w:cstheme="minorHAnsi"/>
          <w:kern w:val="0"/>
          <w14:ligatures w14:val="none"/>
        </w:rPr>
        <w:t>będą</w:t>
      </w:r>
      <w:r w:rsidR="003B50ED" w:rsidRPr="00F16251">
        <w:rPr>
          <w:rFonts w:cstheme="minorHAnsi"/>
          <w:kern w:val="0"/>
          <w14:ligatures w14:val="none"/>
        </w:rPr>
        <w:t xml:space="preserve"> </w:t>
      </w:r>
      <w:r w:rsidRPr="00F16251">
        <w:rPr>
          <w:rFonts w:cstheme="minorHAnsi"/>
          <w:kern w:val="0"/>
          <w14:ligatures w14:val="none"/>
        </w:rPr>
        <w:t>jawne</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powszechnie</w:t>
      </w:r>
      <w:r w:rsidR="003B50ED" w:rsidRPr="00F16251">
        <w:rPr>
          <w:rFonts w:cstheme="minorHAnsi"/>
          <w:kern w:val="0"/>
          <w14:ligatures w14:val="none"/>
        </w:rPr>
        <w:t xml:space="preserve"> </w:t>
      </w:r>
      <w:r w:rsidRPr="00F16251">
        <w:rPr>
          <w:rFonts w:cstheme="minorHAnsi"/>
          <w:kern w:val="0"/>
          <w14:ligatures w14:val="none"/>
        </w:rPr>
        <w:t>dostępne</w:t>
      </w:r>
      <w:r w:rsidR="003B50ED" w:rsidRPr="00F16251">
        <w:rPr>
          <w:rFonts w:cstheme="minorHAnsi"/>
          <w:kern w:val="0"/>
          <w14:ligatures w14:val="none"/>
        </w:rPr>
        <w:t xml:space="preserve"> </w:t>
      </w:r>
      <w:r w:rsidRPr="00F16251">
        <w:rPr>
          <w:rFonts w:cstheme="minorHAnsi"/>
          <w:kern w:val="0"/>
          <w14:ligatures w14:val="none"/>
        </w:rPr>
        <w:t>dla</w:t>
      </w:r>
      <w:r w:rsidR="003B50ED" w:rsidRPr="00F16251">
        <w:rPr>
          <w:rFonts w:cstheme="minorHAnsi"/>
          <w:kern w:val="0"/>
          <w14:ligatures w14:val="none"/>
        </w:rPr>
        <w:t xml:space="preserve"> </w:t>
      </w:r>
      <w:r w:rsidRPr="00F16251">
        <w:rPr>
          <w:rFonts w:cstheme="minorHAnsi"/>
          <w:kern w:val="0"/>
          <w14:ligatures w14:val="none"/>
        </w:rPr>
        <w:t>wszystkich</w:t>
      </w:r>
      <w:r w:rsidR="003B50ED" w:rsidRPr="00F16251">
        <w:rPr>
          <w:rFonts w:cstheme="minorHAnsi"/>
          <w:kern w:val="0"/>
          <w14:ligatures w14:val="none"/>
        </w:rPr>
        <w:t xml:space="preserve"> </w:t>
      </w:r>
      <w:r w:rsidRPr="00F16251">
        <w:rPr>
          <w:rFonts w:cstheme="minorHAnsi"/>
          <w:kern w:val="0"/>
          <w14:ligatures w14:val="none"/>
        </w:rPr>
        <w:t>zainteresowanych.</w:t>
      </w:r>
      <w:r w:rsidR="003B50ED" w:rsidRPr="00F16251">
        <w:rPr>
          <w:rFonts w:cstheme="minorHAnsi"/>
          <w:kern w:val="0"/>
          <w14:ligatures w14:val="none"/>
        </w:rPr>
        <w:t xml:space="preserve"> </w:t>
      </w:r>
      <w:r w:rsidRPr="00F16251">
        <w:rPr>
          <w:rFonts w:cstheme="minorHAnsi"/>
          <w:kern w:val="0"/>
          <w14:ligatures w14:val="none"/>
        </w:rPr>
        <w:t>Zostaną</w:t>
      </w:r>
      <w:r w:rsidR="003B50ED" w:rsidRPr="00F16251">
        <w:rPr>
          <w:rFonts w:cstheme="minorHAnsi"/>
          <w:kern w:val="0"/>
          <w14:ligatures w14:val="none"/>
        </w:rPr>
        <w:t xml:space="preserve"> </w:t>
      </w:r>
      <w:r w:rsidRPr="00F16251">
        <w:rPr>
          <w:rFonts w:cstheme="minorHAnsi"/>
          <w:kern w:val="0"/>
          <w14:ligatures w14:val="none"/>
        </w:rPr>
        <w:t>udostępnione</w:t>
      </w:r>
      <w:r w:rsidR="003B50ED" w:rsidRPr="00F16251">
        <w:rPr>
          <w:rFonts w:cstheme="minorHAnsi"/>
          <w:kern w:val="0"/>
          <w14:ligatures w14:val="none"/>
        </w:rPr>
        <w:t xml:space="preserve"> </w:t>
      </w:r>
      <w:r w:rsidRPr="00F16251">
        <w:rPr>
          <w:rFonts w:cstheme="minorHAnsi"/>
          <w:kern w:val="0"/>
          <w14:ligatures w14:val="none"/>
        </w:rPr>
        <w:t>na</w:t>
      </w:r>
      <w:r w:rsidR="003B50ED" w:rsidRPr="00F16251">
        <w:rPr>
          <w:rFonts w:cstheme="minorHAnsi"/>
          <w:kern w:val="0"/>
          <w14:ligatures w14:val="none"/>
        </w:rPr>
        <w:t xml:space="preserve"> </w:t>
      </w:r>
      <w:r w:rsidRPr="00F16251">
        <w:rPr>
          <w:rFonts w:cstheme="minorHAnsi"/>
          <w:kern w:val="0"/>
          <w14:ligatures w14:val="none"/>
        </w:rPr>
        <w:t>stronie</w:t>
      </w:r>
      <w:r w:rsidR="003B50ED" w:rsidRPr="00F16251">
        <w:rPr>
          <w:rFonts w:cstheme="minorHAnsi"/>
          <w:kern w:val="0"/>
          <w14:ligatures w14:val="none"/>
        </w:rPr>
        <w:t xml:space="preserve"> </w:t>
      </w:r>
      <w:r w:rsidRPr="00F16251">
        <w:rPr>
          <w:rFonts w:cstheme="minorHAnsi"/>
          <w:kern w:val="0"/>
          <w14:ligatures w14:val="none"/>
        </w:rPr>
        <w:t>internetowej</w:t>
      </w:r>
      <w:r w:rsidR="003B50ED" w:rsidRPr="00F16251">
        <w:rPr>
          <w:rFonts w:cstheme="minorHAnsi"/>
          <w:kern w:val="0"/>
          <w14:ligatures w14:val="none"/>
        </w:rPr>
        <w:t xml:space="preserve"> </w:t>
      </w:r>
      <w:r w:rsidRPr="00F16251">
        <w:rPr>
          <w:rFonts w:cstheme="minorHAnsi"/>
          <w:kern w:val="0"/>
          <w14:ligatures w14:val="none"/>
        </w:rPr>
        <w:t>oraz</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Biurze</w:t>
      </w:r>
      <w:r w:rsidR="003B50ED" w:rsidRPr="00F16251">
        <w:rPr>
          <w:rFonts w:cstheme="minorHAnsi"/>
          <w:kern w:val="0"/>
          <w14:ligatures w14:val="none"/>
        </w:rPr>
        <w:t xml:space="preserve"> </w:t>
      </w:r>
      <w:r w:rsidRPr="00F16251">
        <w:rPr>
          <w:rFonts w:cstheme="minorHAnsi"/>
          <w:kern w:val="0"/>
          <w14:ligatures w14:val="none"/>
        </w:rPr>
        <w:t>LGD.</w:t>
      </w:r>
      <w:r w:rsidR="003B50ED" w:rsidRPr="00F16251">
        <w:rPr>
          <w:rFonts w:cstheme="minorHAnsi"/>
          <w:kern w:val="0"/>
          <w14:ligatures w14:val="none"/>
        </w:rPr>
        <w:t xml:space="preserve"> </w:t>
      </w:r>
      <w:r w:rsidRPr="00F16251">
        <w:rPr>
          <w:rFonts w:cstheme="minorHAnsi"/>
          <w:kern w:val="0"/>
          <w14:ligatures w14:val="none"/>
        </w:rPr>
        <w:t>Każdorazowo</w:t>
      </w:r>
      <w:r w:rsidR="003B50ED" w:rsidRPr="00F16251">
        <w:rPr>
          <w:rFonts w:cstheme="minorHAnsi"/>
          <w:kern w:val="0"/>
          <w14:ligatures w14:val="none"/>
        </w:rPr>
        <w:t xml:space="preserve"> </w:t>
      </w:r>
      <w:r w:rsidRPr="00F16251">
        <w:rPr>
          <w:rFonts w:cstheme="minorHAnsi"/>
          <w:kern w:val="0"/>
          <w14:ligatures w14:val="none"/>
        </w:rPr>
        <w:t>będą</w:t>
      </w:r>
      <w:r w:rsidR="003B50ED" w:rsidRPr="00F16251">
        <w:rPr>
          <w:rFonts w:cstheme="minorHAnsi"/>
          <w:kern w:val="0"/>
          <w14:ligatures w14:val="none"/>
        </w:rPr>
        <w:t xml:space="preserve"> </w:t>
      </w:r>
      <w:r w:rsidRPr="00F16251">
        <w:rPr>
          <w:rFonts w:cstheme="minorHAnsi"/>
          <w:kern w:val="0"/>
          <w14:ligatures w14:val="none"/>
        </w:rPr>
        <w:t>udostępniane</w:t>
      </w:r>
      <w:r w:rsidR="003B50ED" w:rsidRPr="00F16251">
        <w:rPr>
          <w:rFonts w:cstheme="minorHAnsi"/>
          <w:kern w:val="0"/>
          <w14:ligatures w14:val="none"/>
        </w:rPr>
        <w:t xml:space="preserve"> </w:t>
      </w:r>
      <w:r w:rsidRPr="00F16251">
        <w:rPr>
          <w:rFonts w:cstheme="minorHAnsi"/>
          <w:kern w:val="0"/>
          <w14:ligatures w14:val="none"/>
        </w:rPr>
        <w:t>wraz</w:t>
      </w:r>
      <w:r w:rsidR="003B50ED" w:rsidRPr="00F16251">
        <w:rPr>
          <w:rFonts w:cstheme="minorHAnsi"/>
          <w:kern w:val="0"/>
          <w14:ligatures w14:val="none"/>
        </w:rPr>
        <w:t xml:space="preserve"> </w:t>
      </w:r>
      <w:r w:rsidRPr="00F16251">
        <w:rPr>
          <w:rFonts w:cstheme="minorHAnsi"/>
          <w:kern w:val="0"/>
          <w14:ligatures w14:val="none"/>
        </w:rPr>
        <w:t>z</w:t>
      </w:r>
      <w:r w:rsidR="003B50ED" w:rsidRPr="00F16251">
        <w:rPr>
          <w:rFonts w:cstheme="minorHAnsi"/>
          <w:kern w:val="0"/>
          <w14:ligatures w14:val="none"/>
        </w:rPr>
        <w:t xml:space="preserve"> </w:t>
      </w:r>
      <w:r w:rsidRPr="00F16251">
        <w:rPr>
          <w:rFonts w:cstheme="minorHAnsi"/>
          <w:kern w:val="0"/>
          <w14:ligatures w14:val="none"/>
        </w:rPr>
        <w:t>dokumentacją</w:t>
      </w:r>
      <w:r w:rsidR="003B50ED" w:rsidRPr="00F16251">
        <w:rPr>
          <w:rFonts w:cstheme="minorHAnsi"/>
          <w:kern w:val="0"/>
          <w14:ligatures w14:val="none"/>
        </w:rPr>
        <w:t xml:space="preserve"> </w:t>
      </w:r>
      <w:r w:rsidRPr="00F16251">
        <w:rPr>
          <w:rFonts w:cstheme="minorHAnsi"/>
          <w:kern w:val="0"/>
          <w14:ligatures w14:val="none"/>
        </w:rPr>
        <w:t>konkursową.</w:t>
      </w:r>
      <w:r w:rsidR="003B50ED" w:rsidRPr="00F16251">
        <w:rPr>
          <w:rFonts w:cstheme="minorHAnsi"/>
          <w:kern w:val="0"/>
          <w14:ligatures w14:val="none"/>
        </w:rPr>
        <w:t xml:space="preserve"> </w:t>
      </w:r>
    </w:p>
    <w:p w14:paraId="06FA801A" w14:textId="47BDF919" w:rsidR="002C63F4" w:rsidRPr="00D61194" w:rsidRDefault="002C63F4" w:rsidP="00D61194">
      <w:pPr>
        <w:pStyle w:val="Akapitzlist"/>
        <w:numPr>
          <w:ilvl w:val="0"/>
          <w:numId w:val="55"/>
        </w:numPr>
        <w:spacing w:after="160" w:line="256" w:lineRule="auto"/>
        <w:jc w:val="both"/>
        <w:rPr>
          <w:rFonts w:asciiTheme="majorHAnsi" w:hAnsiTheme="majorHAnsi" w:cstheme="majorHAnsi"/>
          <w:strike/>
          <w:color w:val="FF0000"/>
        </w:rPr>
      </w:pPr>
      <w:r w:rsidRPr="00F16251">
        <w:rPr>
          <w:rFonts w:cstheme="minorHAnsi"/>
          <w:kern w:val="0"/>
          <w14:ligatures w14:val="none"/>
        </w:rPr>
        <w:t>Ocena</w:t>
      </w:r>
      <w:r w:rsidR="003B50ED" w:rsidRPr="00F16251">
        <w:rPr>
          <w:rFonts w:cstheme="minorHAnsi"/>
          <w:kern w:val="0"/>
          <w14:ligatures w14:val="none"/>
        </w:rPr>
        <w:t xml:space="preserve"> </w:t>
      </w:r>
      <w:r w:rsidRPr="00F16251">
        <w:rPr>
          <w:rFonts w:cstheme="minorHAnsi"/>
          <w:kern w:val="0"/>
          <w14:ligatures w14:val="none"/>
        </w:rPr>
        <w:t>będzie</w:t>
      </w:r>
      <w:r w:rsidR="003B50ED" w:rsidRPr="00F16251">
        <w:rPr>
          <w:rFonts w:cstheme="minorHAnsi"/>
          <w:kern w:val="0"/>
          <w14:ligatures w14:val="none"/>
        </w:rPr>
        <w:t xml:space="preserve"> </w:t>
      </w:r>
      <w:r w:rsidRPr="00F16251">
        <w:rPr>
          <w:rFonts w:cstheme="minorHAnsi"/>
          <w:kern w:val="0"/>
          <w14:ligatures w14:val="none"/>
        </w:rPr>
        <w:t>dokonywana</w:t>
      </w:r>
      <w:r w:rsidR="003B50ED" w:rsidRPr="00F16251">
        <w:rPr>
          <w:rFonts w:cstheme="minorHAnsi"/>
          <w:kern w:val="0"/>
          <w14:ligatures w14:val="none"/>
        </w:rPr>
        <w:t xml:space="preserve"> </w:t>
      </w:r>
      <w:r w:rsidRPr="00F16251">
        <w:rPr>
          <w:rFonts w:cstheme="minorHAnsi"/>
          <w:kern w:val="0"/>
          <w14:ligatures w14:val="none"/>
        </w:rPr>
        <w:t>przez</w:t>
      </w:r>
      <w:r w:rsidR="003B50ED" w:rsidRPr="00F16251">
        <w:rPr>
          <w:rFonts w:cstheme="minorHAnsi"/>
          <w:kern w:val="0"/>
          <w14:ligatures w14:val="none"/>
        </w:rPr>
        <w:t xml:space="preserve"> </w:t>
      </w:r>
      <w:r w:rsidRPr="00F16251">
        <w:rPr>
          <w:rFonts w:cstheme="minorHAnsi"/>
          <w:kern w:val="0"/>
          <w14:ligatures w14:val="none"/>
        </w:rPr>
        <w:t>członków</w:t>
      </w:r>
      <w:r w:rsidR="003B50ED" w:rsidRPr="00F16251">
        <w:rPr>
          <w:rFonts w:cstheme="minorHAnsi"/>
          <w:kern w:val="0"/>
          <w14:ligatures w14:val="none"/>
        </w:rPr>
        <w:t xml:space="preserve"> </w:t>
      </w:r>
      <w:r w:rsidRPr="00F16251">
        <w:rPr>
          <w:rFonts w:cstheme="minorHAnsi"/>
          <w:kern w:val="0"/>
          <w14:ligatures w14:val="none"/>
        </w:rPr>
        <w:t>Rady</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drodze</w:t>
      </w:r>
      <w:r w:rsidR="003B50ED" w:rsidRPr="00F16251">
        <w:rPr>
          <w:rFonts w:cstheme="minorHAnsi"/>
          <w:kern w:val="0"/>
          <w14:ligatures w14:val="none"/>
        </w:rPr>
        <w:t xml:space="preserve"> </w:t>
      </w:r>
      <w:r w:rsidRPr="00F16251">
        <w:rPr>
          <w:rFonts w:cstheme="minorHAnsi"/>
          <w:kern w:val="0"/>
          <w14:ligatures w14:val="none"/>
        </w:rPr>
        <w:t>głosowania</w:t>
      </w:r>
      <w:r w:rsidR="003B50ED" w:rsidRPr="00F16251">
        <w:rPr>
          <w:rFonts w:cstheme="minorHAnsi"/>
          <w:kern w:val="0"/>
          <w14:ligatures w14:val="none"/>
        </w:rPr>
        <w:t xml:space="preserve"> </w:t>
      </w:r>
      <w:r w:rsidRPr="00F16251">
        <w:rPr>
          <w:rFonts w:cstheme="minorHAnsi"/>
          <w:kern w:val="0"/>
          <w14:ligatures w14:val="none"/>
        </w:rPr>
        <w:t>większością</w:t>
      </w:r>
      <w:r w:rsidR="003B50ED" w:rsidRPr="00F16251">
        <w:rPr>
          <w:rFonts w:cstheme="minorHAnsi"/>
          <w:kern w:val="0"/>
          <w14:ligatures w14:val="none"/>
        </w:rPr>
        <w:t xml:space="preserve"> </w:t>
      </w:r>
      <w:r w:rsidRPr="00F16251">
        <w:rPr>
          <w:rFonts w:cstheme="minorHAnsi"/>
          <w:kern w:val="0"/>
          <w14:ligatures w14:val="none"/>
        </w:rPr>
        <w:t>głosów.</w:t>
      </w:r>
      <w:r w:rsidR="003B50ED" w:rsidRPr="00F16251">
        <w:rPr>
          <w:rFonts w:cstheme="minorHAnsi"/>
          <w:kern w:val="0"/>
          <w14:ligatures w14:val="none"/>
        </w:rPr>
        <w:t xml:space="preserve"> </w:t>
      </w:r>
      <w:r w:rsidRPr="00F16251">
        <w:rPr>
          <w:rFonts w:cstheme="minorHAnsi"/>
          <w:kern w:val="0"/>
          <w14:ligatures w14:val="none"/>
        </w:rPr>
        <w:t>Przy</w:t>
      </w:r>
      <w:r w:rsidR="003B50ED" w:rsidRPr="00F16251">
        <w:rPr>
          <w:rFonts w:cstheme="minorHAnsi"/>
          <w:kern w:val="0"/>
          <w14:ligatures w14:val="none"/>
        </w:rPr>
        <w:t xml:space="preserve"> </w:t>
      </w:r>
      <w:r w:rsidRPr="00F16251">
        <w:rPr>
          <w:rFonts w:cstheme="minorHAnsi"/>
          <w:kern w:val="0"/>
          <w14:ligatures w14:val="none"/>
        </w:rPr>
        <w:t>równej</w:t>
      </w:r>
      <w:r w:rsidR="003B50ED" w:rsidRPr="00F16251">
        <w:rPr>
          <w:rFonts w:cstheme="minorHAnsi"/>
          <w:kern w:val="0"/>
          <w14:ligatures w14:val="none"/>
        </w:rPr>
        <w:t xml:space="preserve"> </w:t>
      </w:r>
      <w:r w:rsidRPr="00F16251">
        <w:rPr>
          <w:rFonts w:cstheme="minorHAnsi"/>
          <w:kern w:val="0"/>
          <w14:ligatures w14:val="none"/>
        </w:rPr>
        <w:t>liczbie</w:t>
      </w:r>
      <w:r w:rsidR="003B50ED" w:rsidRPr="00F16251">
        <w:rPr>
          <w:rFonts w:cstheme="minorHAnsi"/>
          <w:kern w:val="0"/>
          <w14:ligatures w14:val="none"/>
        </w:rPr>
        <w:t xml:space="preserve"> </w:t>
      </w:r>
      <w:r w:rsidRPr="00F16251">
        <w:rPr>
          <w:rFonts w:cstheme="minorHAnsi"/>
          <w:kern w:val="0"/>
          <w14:ligatures w14:val="none"/>
        </w:rPr>
        <w:t>głosów</w:t>
      </w:r>
      <w:r w:rsidR="003B50ED" w:rsidRPr="00F16251">
        <w:rPr>
          <w:rFonts w:cstheme="minorHAnsi"/>
          <w:kern w:val="0"/>
          <w14:ligatures w14:val="none"/>
        </w:rPr>
        <w:t xml:space="preserve"> </w:t>
      </w:r>
      <w:r w:rsidRPr="00D61194">
        <w:rPr>
          <w:rFonts w:cstheme="minorHAnsi"/>
          <w:kern w:val="0"/>
          <w14:ligatures w14:val="none"/>
        </w:rPr>
        <w:t>będzie</w:t>
      </w:r>
      <w:r w:rsidR="003B50ED" w:rsidRPr="00D61194">
        <w:rPr>
          <w:rFonts w:cstheme="minorHAnsi"/>
          <w:kern w:val="0"/>
          <w14:ligatures w14:val="none"/>
        </w:rPr>
        <w:t xml:space="preserve"> </w:t>
      </w:r>
      <w:r w:rsidRPr="00D61194">
        <w:rPr>
          <w:rFonts w:cstheme="minorHAnsi"/>
          <w:kern w:val="0"/>
          <w14:ligatures w14:val="none"/>
        </w:rPr>
        <w:t>decydować</w:t>
      </w:r>
      <w:r w:rsidR="003B50ED" w:rsidRPr="00D61194">
        <w:rPr>
          <w:rFonts w:cstheme="minorHAnsi"/>
          <w:kern w:val="0"/>
          <w14:ligatures w14:val="none"/>
        </w:rPr>
        <w:t xml:space="preserve"> </w:t>
      </w:r>
      <w:r w:rsidRPr="00D61194">
        <w:rPr>
          <w:rFonts w:cstheme="minorHAnsi"/>
          <w:kern w:val="0"/>
          <w14:ligatures w14:val="none"/>
        </w:rPr>
        <w:t>głos</w:t>
      </w:r>
      <w:r w:rsidR="003B50ED" w:rsidRPr="00D61194">
        <w:rPr>
          <w:rFonts w:cstheme="minorHAnsi"/>
          <w:kern w:val="0"/>
          <w14:ligatures w14:val="none"/>
        </w:rPr>
        <w:t xml:space="preserve"> </w:t>
      </w:r>
      <w:r w:rsidRPr="00D61194">
        <w:rPr>
          <w:rFonts w:cstheme="minorHAnsi"/>
          <w:kern w:val="0"/>
          <w14:ligatures w14:val="none"/>
        </w:rPr>
        <w:t>Przewodniczącego</w:t>
      </w:r>
      <w:r w:rsidR="003B50ED" w:rsidRPr="00D61194">
        <w:rPr>
          <w:rFonts w:cstheme="minorHAnsi"/>
          <w:kern w:val="0"/>
          <w14:ligatures w14:val="none"/>
        </w:rPr>
        <w:t xml:space="preserve"> </w:t>
      </w:r>
      <w:r w:rsidRPr="00D61194">
        <w:rPr>
          <w:rFonts w:cstheme="minorHAnsi"/>
          <w:kern w:val="0"/>
          <w14:ligatures w14:val="none"/>
        </w:rPr>
        <w:t>Rady</w:t>
      </w:r>
      <w:r w:rsidR="00D61194" w:rsidRPr="00D61194">
        <w:rPr>
          <w:rFonts w:asciiTheme="majorHAnsi" w:hAnsiTheme="majorHAnsi" w:cstheme="majorHAnsi"/>
        </w:rPr>
        <w:t>.</w:t>
      </w:r>
      <w:r w:rsidR="00D61194">
        <w:rPr>
          <w:rFonts w:asciiTheme="majorHAnsi" w:hAnsiTheme="majorHAnsi" w:cstheme="majorHAnsi"/>
          <w:color w:val="00B050"/>
        </w:rPr>
        <w:t xml:space="preserve"> </w:t>
      </w:r>
      <w:r w:rsidRPr="00D61194">
        <w:rPr>
          <w:rFonts w:cstheme="minorHAnsi"/>
          <w:kern w:val="0"/>
          <w14:ligatures w14:val="none"/>
        </w:rPr>
        <w:t>Zapewni</w:t>
      </w:r>
      <w:r w:rsidR="003B50ED" w:rsidRPr="00D61194">
        <w:rPr>
          <w:rFonts w:cstheme="minorHAnsi"/>
          <w:kern w:val="0"/>
          <w14:ligatures w14:val="none"/>
        </w:rPr>
        <w:t xml:space="preserve"> </w:t>
      </w:r>
      <w:r w:rsidRPr="00D61194">
        <w:rPr>
          <w:rFonts w:cstheme="minorHAnsi"/>
          <w:kern w:val="0"/>
          <w14:ligatures w14:val="none"/>
        </w:rPr>
        <w:t>to</w:t>
      </w:r>
      <w:r w:rsidR="003B50ED" w:rsidRPr="00D61194">
        <w:rPr>
          <w:rFonts w:cstheme="minorHAnsi"/>
          <w:kern w:val="0"/>
          <w14:ligatures w14:val="none"/>
        </w:rPr>
        <w:t xml:space="preserve"> </w:t>
      </w:r>
      <w:r w:rsidRPr="00D61194">
        <w:rPr>
          <w:rFonts w:cstheme="minorHAnsi"/>
          <w:kern w:val="0"/>
          <w14:ligatures w14:val="none"/>
        </w:rPr>
        <w:t>zgodność</w:t>
      </w:r>
      <w:r w:rsidR="003B50ED" w:rsidRPr="00D61194">
        <w:rPr>
          <w:rFonts w:cstheme="minorHAnsi"/>
          <w:kern w:val="0"/>
          <w14:ligatures w14:val="none"/>
        </w:rPr>
        <w:t xml:space="preserve"> </w:t>
      </w:r>
      <w:r w:rsidRPr="00D61194">
        <w:rPr>
          <w:rFonts w:cstheme="minorHAnsi"/>
          <w:kern w:val="0"/>
          <w14:ligatures w14:val="none"/>
        </w:rPr>
        <w:t>oceny</w:t>
      </w:r>
      <w:r w:rsidR="003B50ED" w:rsidRPr="00D61194">
        <w:rPr>
          <w:rFonts w:cstheme="minorHAnsi"/>
          <w:kern w:val="0"/>
          <w14:ligatures w14:val="none"/>
        </w:rPr>
        <w:t xml:space="preserve"> </w:t>
      </w:r>
      <w:r w:rsidRPr="00D61194">
        <w:rPr>
          <w:rFonts w:cstheme="minorHAnsi"/>
          <w:kern w:val="0"/>
          <w14:ligatures w14:val="none"/>
        </w:rPr>
        <w:t>z</w:t>
      </w:r>
      <w:r w:rsidR="003B50ED" w:rsidRPr="00D61194">
        <w:rPr>
          <w:rFonts w:cstheme="minorHAnsi"/>
          <w:kern w:val="0"/>
          <w14:ligatures w14:val="none"/>
        </w:rPr>
        <w:t xml:space="preserve"> </w:t>
      </w:r>
      <w:r w:rsidRPr="00D61194">
        <w:rPr>
          <w:rFonts w:cstheme="minorHAnsi"/>
          <w:kern w:val="0"/>
          <w14:ligatures w14:val="none"/>
        </w:rPr>
        <w:t>przyjętą</w:t>
      </w:r>
      <w:r w:rsidR="003B50ED" w:rsidRPr="00D61194">
        <w:rPr>
          <w:rFonts w:cstheme="minorHAnsi"/>
          <w:kern w:val="0"/>
          <w14:ligatures w14:val="none"/>
        </w:rPr>
        <w:t xml:space="preserve"> </w:t>
      </w:r>
      <w:r w:rsidRPr="00D61194">
        <w:rPr>
          <w:rFonts w:cstheme="minorHAnsi"/>
          <w:kern w:val="0"/>
          <w14:ligatures w14:val="none"/>
        </w:rPr>
        <w:t>punktacją,</w:t>
      </w:r>
      <w:r w:rsidR="003B50ED" w:rsidRPr="00D61194">
        <w:rPr>
          <w:rFonts w:cstheme="minorHAnsi"/>
          <w:kern w:val="0"/>
          <w14:ligatures w14:val="none"/>
        </w:rPr>
        <w:t xml:space="preserve"> </w:t>
      </w:r>
      <w:r w:rsidRPr="00D61194">
        <w:rPr>
          <w:rFonts w:cstheme="minorHAnsi"/>
          <w:kern w:val="0"/>
          <w14:ligatures w14:val="none"/>
        </w:rPr>
        <w:t>w</w:t>
      </w:r>
      <w:r w:rsidR="003B50ED" w:rsidRPr="00D61194">
        <w:rPr>
          <w:rFonts w:cstheme="minorHAnsi"/>
          <w:kern w:val="0"/>
          <w14:ligatures w14:val="none"/>
        </w:rPr>
        <w:t xml:space="preserve"> </w:t>
      </w:r>
      <w:r w:rsidRPr="00D61194">
        <w:rPr>
          <w:rFonts w:cstheme="minorHAnsi"/>
          <w:kern w:val="0"/>
          <w14:ligatures w14:val="none"/>
        </w:rPr>
        <w:t>ramach</w:t>
      </w:r>
      <w:r w:rsidR="003B50ED" w:rsidRPr="00D61194">
        <w:rPr>
          <w:rFonts w:cstheme="minorHAnsi"/>
          <w:kern w:val="0"/>
          <w14:ligatures w14:val="none"/>
        </w:rPr>
        <w:t xml:space="preserve"> </w:t>
      </w:r>
      <w:r w:rsidRPr="00D61194">
        <w:rPr>
          <w:rFonts w:cstheme="minorHAnsi"/>
          <w:kern w:val="0"/>
          <w14:ligatures w14:val="none"/>
        </w:rPr>
        <w:t>której</w:t>
      </w:r>
      <w:r w:rsidR="003B50ED" w:rsidRPr="00D61194">
        <w:rPr>
          <w:rFonts w:cstheme="minorHAnsi"/>
          <w:kern w:val="0"/>
          <w14:ligatures w14:val="none"/>
        </w:rPr>
        <w:t xml:space="preserve"> </w:t>
      </w:r>
      <w:r w:rsidRPr="00D61194">
        <w:rPr>
          <w:rFonts w:cstheme="minorHAnsi"/>
          <w:kern w:val="0"/>
          <w14:ligatures w14:val="none"/>
        </w:rPr>
        <w:t>nie</w:t>
      </w:r>
      <w:r w:rsidR="003B50ED" w:rsidRPr="00D61194">
        <w:rPr>
          <w:rFonts w:cstheme="minorHAnsi"/>
          <w:kern w:val="0"/>
          <w14:ligatures w14:val="none"/>
        </w:rPr>
        <w:t xml:space="preserve"> </w:t>
      </w:r>
      <w:r w:rsidRPr="00D61194">
        <w:rPr>
          <w:rFonts w:cstheme="minorHAnsi"/>
          <w:kern w:val="0"/>
          <w14:ligatures w14:val="none"/>
        </w:rPr>
        <w:t>będzie</w:t>
      </w:r>
      <w:r w:rsidR="003B50ED" w:rsidRPr="00D61194">
        <w:rPr>
          <w:rFonts w:cstheme="minorHAnsi"/>
          <w:kern w:val="0"/>
          <w14:ligatures w14:val="none"/>
        </w:rPr>
        <w:t xml:space="preserve"> </w:t>
      </w:r>
      <w:r w:rsidRPr="00D61194">
        <w:rPr>
          <w:rFonts w:cstheme="minorHAnsi"/>
          <w:kern w:val="0"/>
          <w14:ligatures w14:val="none"/>
        </w:rPr>
        <w:t>przewidziana</w:t>
      </w:r>
      <w:r w:rsidR="003B50ED" w:rsidRPr="00D61194">
        <w:rPr>
          <w:rFonts w:cstheme="minorHAnsi"/>
          <w:kern w:val="0"/>
          <w14:ligatures w14:val="none"/>
        </w:rPr>
        <w:t xml:space="preserve"> </w:t>
      </w:r>
      <w:r w:rsidRPr="00D61194">
        <w:rPr>
          <w:rFonts w:cstheme="minorHAnsi"/>
          <w:kern w:val="0"/>
          <w14:ligatures w14:val="none"/>
        </w:rPr>
        <w:t>oceny</w:t>
      </w:r>
      <w:r w:rsidR="003B50ED" w:rsidRPr="00D61194">
        <w:rPr>
          <w:rFonts w:cstheme="minorHAnsi"/>
          <w:kern w:val="0"/>
          <w14:ligatures w14:val="none"/>
        </w:rPr>
        <w:t xml:space="preserve"> </w:t>
      </w:r>
      <w:r w:rsidRPr="00D61194">
        <w:rPr>
          <w:rFonts w:cstheme="minorHAnsi"/>
          <w:kern w:val="0"/>
          <w14:ligatures w14:val="none"/>
        </w:rPr>
        <w:t>w</w:t>
      </w:r>
      <w:r w:rsidR="003B50ED" w:rsidRPr="00D61194">
        <w:rPr>
          <w:rFonts w:cstheme="minorHAnsi"/>
          <w:kern w:val="0"/>
          <w14:ligatures w14:val="none"/>
        </w:rPr>
        <w:t xml:space="preserve"> </w:t>
      </w:r>
      <w:r w:rsidRPr="00D61194">
        <w:rPr>
          <w:rFonts w:cstheme="minorHAnsi"/>
          <w:kern w:val="0"/>
          <w14:ligatures w14:val="none"/>
        </w:rPr>
        <w:t>przedziałach</w:t>
      </w:r>
      <w:r w:rsidR="003B50ED" w:rsidRPr="00D61194">
        <w:rPr>
          <w:rFonts w:cstheme="minorHAnsi"/>
          <w:kern w:val="0"/>
          <w14:ligatures w14:val="none"/>
        </w:rPr>
        <w:t xml:space="preserve"> </w:t>
      </w:r>
      <w:r w:rsidRPr="00D61194">
        <w:rPr>
          <w:rFonts w:cstheme="minorHAnsi"/>
          <w:kern w:val="0"/>
          <w14:ligatures w14:val="none"/>
        </w:rPr>
        <w:t>od</w:t>
      </w:r>
      <w:r w:rsidR="003B50ED" w:rsidRPr="00D61194">
        <w:rPr>
          <w:rFonts w:cstheme="minorHAnsi"/>
          <w:kern w:val="0"/>
          <w14:ligatures w14:val="none"/>
        </w:rPr>
        <w:t xml:space="preserve"> </w:t>
      </w:r>
      <w:r w:rsidRPr="00D61194">
        <w:rPr>
          <w:rFonts w:cstheme="minorHAnsi"/>
          <w:kern w:val="0"/>
          <w14:ligatures w14:val="none"/>
        </w:rPr>
        <w:t>-</w:t>
      </w:r>
      <w:r w:rsidR="003B50ED" w:rsidRPr="00D61194">
        <w:rPr>
          <w:rFonts w:cstheme="minorHAnsi"/>
          <w:kern w:val="0"/>
          <w14:ligatures w14:val="none"/>
        </w:rPr>
        <w:t xml:space="preserve"> </w:t>
      </w:r>
      <w:r w:rsidRPr="00D61194">
        <w:rPr>
          <w:rFonts w:cstheme="minorHAnsi"/>
          <w:kern w:val="0"/>
          <w14:ligatures w14:val="none"/>
        </w:rPr>
        <w:t>do,</w:t>
      </w:r>
      <w:r w:rsidR="003B50ED" w:rsidRPr="00D61194">
        <w:rPr>
          <w:rFonts w:cstheme="minorHAnsi"/>
          <w:kern w:val="0"/>
          <w14:ligatures w14:val="none"/>
        </w:rPr>
        <w:t xml:space="preserve"> </w:t>
      </w:r>
      <w:r w:rsidRPr="00D61194">
        <w:rPr>
          <w:rFonts w:cstheme="minorHAnsi"/>
          <w:kern w:val="0"/>
          <w14:ligatures w14:val="none"/>
        </w:rPr>
        <w:t>tylko</w:t>
      </w:r>
      <w:r w:rsidR="003B50ED" w:rsidRPr="00D61194">
        <w:rPr>
          <w:rFonts w:cstheme="minorHAnsi"/>
          <w:kern w:val="0"/>
          <w14:ligatures w14:val="none"/>
        </w:rPr>
        <w:t xml:space="preserve"> </w:t>
      </w:r>
      <w:r w:rsidRPr="00D61194">
        <w:rPr>
          <w:rFonts w:cstheme="minorHAnsi"/>
          <w:kern w:val="0"/>
          <w14:ligatures w14:val="none"/>
        </w:rPr>
        <w:t>została</w:t>
      </w:r>
      <w:r w:rsidR="003B50ED" w:rsidRPr="00D61194">
        <w:rPr>
          <w:rFonts w:cstheme="minorHAnsi"/>
          <w:kern w:val="0"/>
          <w14:ligatures w14:val="none"/>
        </w:rPr>
        <w:t xml:space="preserve"> </w:t>
      </w:r>
      <w:r w:rsidRPr="00D61194">
        <w:rPr>
          <w:rFonts w:cstheme="minorHAnsi"/>
          <w:kern w:val="0"/>
          <w14:ligatures w14:val="none"/>
        </w:rPr>
        <w:t>jednoznacznie</w:t>
      </w:r>
      <w:r w:rsidR="003B50ED" w:rsidRPr="00D61194">
        <w:rPr>
          <w:rFonts w:cstheme="minorHAnsi"/>
          <w:kern w:val="0"/>
          <w14:ligatures w14:val="none"/>
        </w:rPr>
        <w:t xml:space="preserve"> </w:t>
      </w:r>
      <w:r w:rsidRPr="00D61194">
        <w:rPr>
          <w:rFonts w:cstheme="minorHAnsi"/>
          <w:kern w:val="0"/>
          <w14:ligatures w14:val="none"/>
        </w:rPr>
        <w:t>określona</w:t>
      </w:r>
      <w:r w:rsidR="003B50ED" w:rsidRPr="00D61194">
        <w:rPr>
          <w:rFonts w:cstheme="minorHAnsi"/>
          <w:kern w:val="0"/>
          <w14:ligatures w14:val="none"/>
        </w:rPr>
        <w:t xml:space="preserve"> </w:t>
      </w:r>
      <w:r w:rsidRPr="00D61194">
        <w:rPr>
          <w:rFonts w:cstheme="minorHAnsi"/>
          <w:kern w:val="0"/>
          <w14:ligatures w14:val="none"/>
        </w:rPr>
        <w:t>liczba</w:t>
      </w:r>
      <w:r w:rsidR="003B50ED" w:rsidRPr="00D61194">
        <w:rPr>
          <w:rFonts w:cstheme="minorHAnsi"/>
          <w:kern w:val="0"/>
          <w14:ligatures w14:val="none"/>
        </w:rPr>
        <w:t xml:space="preserve"> </w:t>
      </w:r>
      <w:r w:rsidRPr="00D61194">
        <w:rPr>
          <w:rFonts w:cstheme="minorHAnsi"/>
          <w:kern w:val="0"/>
          <w14:ligatures w14:val="none"/>
        </w:rPr>
        <w:t>punktów</w:t>
      </w:r>
      <w:r w:rsidR="003B50ED" w:rsidRPr="00D61194">
        <w:rPr>
          <w:rFonts w:cstheme="minorHAnsi"/>
          <w:kern w:val="0"/>
          <w14:ligatures w14:val="none"/>
        </w:rPr>
        <w:t xml:space="preserve"> </w:t>
      </w:r>
      <w:r w:rsidRPr="00D61194">
        <w:rPr>
          <w:rFonts w:cstheme="minorHAnsi"/>
          <w:kern w:val="0"/>
          <w14:ligatures w14:val="none"/>
        </w:rPr>
        <w:t>za</w:t>
      </w:r>
      <w:r w:rsidR="003B50ED" w:rsidRPr="00D61194">
        <w:rPr>
          <w:rFonts w:cstheme="minorHAnsi"/>
          <w:kern w:val="0"/>
          <w14:ligatures w14:val="none"/>
        </w:rPr>
        <w:t xml:space="preserve"> </w:t>
      </w:r>
      <w:r w:rsidRPr="00D61194">
        <w:rPr>
          <w:rFonts w:cstheme="minorHAnsi"/>
          <w:kern w:val="0"/>
          <w14:ligatures w14:val="none"/>
        </w:rPr>
        <w:t>spełnienie</w:t>
      </w:r>
      <w:r w:rsidR="003B50ED" w:rsidRPr="00D61194">
        <w:rPr>
          <w:rFonts w:cstheme="minorHAnsi"/>
          <w:kern w:val="0"/>
          <w14:ligatures w14:val="none"/>
        </w:rPr>
        <w:t xml:space="preserve"> </w:t>
      </w:r>
      <w:r w:rsidRPr="00D61194">
        <w:rPr>
          <w:rFonts w:cstheme="minorHAnsi"/>
          <w:kern w:val="0"/>
          <w14:ligatures w14:val="none"/>
        </w:rPr>
        <w:t>danego</w:t>
      </w:r>
      <w:r w:rsidR="003B50ED" w:rsidRPr="00D61194">
        <w:rPr>
          <w:rFonts w:cstheme="minorHAnsi"/>
          <w:kern w:val="0"/>
          <w14:ligatures w14:val="none"/>
        </w:rPr>
        <w:t xml:space="preserve"> </w:t>
      </w:r>
      <w:r w:rsidRPr="00D61194">
        <w:rPr>
          <w:rFonts w:cstheme="minorHAnsi"/>
          <w:kern w:val="0"/>
          <w14:ligatures w14:val="none"/>
        </w:rPr>
        <w:t>kryterium,</w:t>
      </w:r>
      <w:r w:rsidR="003B50ED" w:rsidRPr="00D61194">
        <w:rPr>
          <w:rFonts w:cstheme="minorHAnsi"/>
          <w:kern w:val="0"/>
          <w14:ligatures w14:val="none"/>
        </w:rPr>
        <w:t xml:space="preserve"> </w:t>
      </w:r>
      <w:r w:rsidRPr="00D61194">
        <w:rPr>
          <w:rFonts w:cstheme="minorHAnsi"/>
          <w:kern w:val="0"/>
          <w14:ligatures w14:val="none"/>
        </w:rPr>
        <w:t>także</w:t>
      </w:r>
      <w:r w:rsidR="003B50ED" w:rsidRPr="00D61194">
        <w:rPr>
          <w:rFonts w:cstheme="minorHAnsi"/>
          <w:kern w:val="0"/>
          <w14:ligatures w14:val="none"/>
        </w:rPr>
        <w:t xml:space="preserve"> </w:t>
      </w:r>
      <w:r w:rsidRPr="00D61194">
        <w:rPr>
          <w:rFonts w:cstheme="minorHAnsi"/>
          <w:kern w:val="0"/>
          <w14:ligatures w14:val="none"/>
        </w:rPr>
        <w:t>w</w:t>
      </w:r>
      <w:r w:rsidR="003B50ED" w:rsidRPr="00D61194">
        <w:rPr>
          <w:rFonts w:cstheme="minorHAnsi"/>
          <w:kern w:val="0"/>
          <w14:ligatures w14:val="none"/>
        </w:rPr>
        <w:t xml:space="preserve"> </w:t>
      </w:r>
      <w:r w:rsidRPr="00D61194">
        <w:rPr>
          <w:rFonts w:cstheme="minorHAnsi"/>
          <w:kern w:val="0"/>
          <w14:ligatures w14:val="none"/>
        </w:rPr>
        <w:t>pełniejszym</w:t>
      </w:r>
      <w:r w:rsidR="003B50ED" w:rsidRPr="00D61194">
        <w:rPr>
          <w:rFonts w:cstheme="minorHAnsi"/>
          <w:kern w:val="0"/>
          <w14:ligatures w14:val="none"/>
        </w:rPr>
        <w:t xml:space="preserve"> </w:t>
      </w:r>
      <w:r w:rsidRPr="00D61194">
        <w:rPr>
          <w:rFonts w:cstheme="minorHAnsi"/>
          <w:kern w:val="0"/>
          <w14:ligatures w14:val="none"/>
        </w:rPr>
        <w:t>zakresie.</w:t>
      </w:r>
      <w:r w:rsidR="003B50ED" w:rsidRPr="00D61194">
        <w:rPr>
          <w:rFonts w:cstheme="minorHAnsi"/>
          <w:strike/>
          <w:kern w:val="0"/>
          <w14:ligatures w14:val="none"/>
        </w:rPr>
        <w:t xml:space="preserve"> </w:t>
      </w:r>
    </w:p>
    <w:p w14:paraId="531121C3" w14:textId="77777777" w:rsidR="002C63F4" w:rsidRPr="00F16251" w:rsidRDefault="002C63F4" w:rsidP="00A26C26">
      <w:pPr>
        <w:spacing w:line="276" w:lineRule="auto"/>
        <w:jc w:val="both"/>
        <w:rPr>
          <w:rFonts w:cstheme="minorHAnsi"/>
          <w:b/>
          <w:bCs/>
          <w:kern w:val="0"/>
          <w14:ligatures w14:val="none"/>
        </w:rPr>
      </w:pPr>
    </w:p>
    <w:p w14:paraId="2FF0A08A" w14:textId="77777777" w:rsidR="00FF22E7" w:rsidRDefault="00FF22E7" w:rsidP="00785CAB">
      <w:pPr>
        <w:spacing w:line="276" w:lineRule="auto"/>
        <w:jc w:val="both"/>
        <w:rPr>
          <w:rFonts w:cstheme="minorHAnsi"/>
          <w:b/>
          <w:bCs/>
          <w:kern w:val="0"/>
          <w14:ligatures w14:val="none"/>
        </w:rPr>
      </w:pPr>
    </w:p>
    <w:p w14:paraId="3D4B8CA0" w14:textId="77777777" w:rsidR="00FF22E7" w:rsidRDefault="00FF22E7" w:rsidP="00785CAB">
      <w:pPr>
        <w:spacing w:line="276" w:lineRule="auto"/>
        <w:jc w:val="both"/>
        <w:rPr>
          <w:rFonts w:cstheme="minorHAnsi"/>
          <w:b/>
          <w:bCs/>
          <w:kern w:val="0"/>
          <w14:ligatures w14:val="none"/>
        </w:rPr>
      </w:pPr>
    </w:p>
    <w:p w14:paraId="5E0A1F3A" w14:textId="77777777" w:rsidR="00D61194" w:rsidRDefault="00D61194" w:rsidP="00785CAB">
      <w:pPr>
        <w:spacing w:line="276" w:lineRule="auto"/>
        <w:jc w:val="both"/>
        <w:rPr>
          <w:rFonts w:cstheme="minorHAnsi"/>
          <w:b/>
          <w:bCs/>
          <w:kern w:val="0"/>
          <w14:ligatures w14:val="none"/>
        </w:rPr>
      </w:pPr>
    </w:p>
    <w:p w14:paraId="7A99B852" w14:textId="77777777" w:rsidR="00785CAB" w:rsidRPr="00F16251" w:rsidRDefault="002C63F4" w:rsidP="00785CAB">
      <w:pPr>
        <w:spacing w:line="276" w:lineRule="auto"/>
        <w:jc w:val="both"/>
        <w:rPr>
          <w:rFonts w:cstheme="minorHAnsi"/>
          <w:b/>
          <w:bCs/>
          <w:kern w:val="0"/>
          <w14:ligatures w14:val="none"/>
        </w:rPr>
      </w:pPr>
      <w:r w:rsidRPr="00F16251">
        <w:rPr>
          <w:rFonts w:cstheme="minorHAnsi"/>
          <w:b/>
          <w:bCs/>
          <w:kern w:val="0"/>
          <w14:ligatures w14:val="none"/>
        </w:rPr>
        <w:lastRenderedPageBreak/>
        <w:t>Dodatkowe</w:t>
      </w:r>
      <w:r w:rsidR="003B50ED" w:rsidRPr="00F16251">
        <w:rPr>
          <w:rFonts w:cstheme="minorHAnsi"/>
          <w:b/>
          <w:bCs/>
          <w:kern w:val="0"/>
          <w14:ligatures w14:val="none"/>
        </w:rPr>
        <w:t xml:space="preserve"> </w:t>
      </w:r>
      <w:r w:rsidRPr="00F16251">
        <w:rPr>
          <w:rFonts w:cstheme="minorHAnsi"/>
          <w:b/>
          <w:bCs/>
          <w:kern w:val="0"/>
          <w14:ligatures w14:val="none"/>
        </w:rPr>
        <w:t>warunki</w:t>
      </w:r>
      <w:r w:rsidR="003B50ED" w:rsidRPr="00F16251">
        <w:rPr>
          <w:rFonts w:cstheme="minorHAnsi"/>
          <w:b/>
          <w:bCs/>
          <w:kern w:val="0"/>
          <w14:ligatures w14:val="none"/>
        </w:rPr>
        <w:t xml:space="preserve"> </w:t>
      </w:r>
      <w:r w:rsidRPr="00F16251">
        <w:rPr>
          <w:rFonts w:cstheme="minorHAnsi"/>
          <w:b/>
          <w:bCs/>
          <w:kern w:val="0"/>
          <w14:ligatures w14:val="none"/>
        </w:rPr>
        <w:t>kwalifikowalności.</w:t>
      </w:r>
    </w:p>
    <w:p w14:paraId="36302945" w14:textId="30F163B1" w:rsidR="002C63F4" w:rsidRPr="00F16251" w:rsidRDefault="002C63F4" w:rsidP="00785CAB">
      <w:pPr>
        <w:spacing w:line="276" w:lineRule="auto"/>
        <w:ind w:firstLine="360"/>
        <w:jc w:val="both"/>
        <w:rPr>
          <w:rFonts w:cstheme="minorHAnsi"/>
          <w:kern w:val="0"/>
          <w14:ligatures w14:val="none"/>
        </w:rPr>
      </w:pPr>
      <w:r w:rsidRPr="00F16251">
        <w:rPr>
          <w:rFonts w:cstheme="minorHAnsi"/>
          <w:kern w:val="0"/>
          <w14:ligatures w14:val="none"/>
        </w:rPr>
        <w:t>Będą</w:t>
      </w:r>
      <w:r w:rsidR="003B50ED" w:rsidRPr="00F16251">
        <w:rPr>
          <w:rFonts w:cstheme="minorHAnsi"/>
          <w:b/>
          <w:bCs/>
          <w:kern w:val="0"/>
          <w14:ligatures w14:val="none"/>
        </w:rPr>
        <w:t xml:space="preserve"> </w:t>
      </w:r>
      <w:r w:rsidRPr="00F16251">
        <w:rPr>
          <w:rFonts w:cstheme="minorHAnsi"/>
          <w:kern w:val="0"/>
          <w14:ligatures w14:val="none"/>
        </w:rPr>
        <w:t>każdorazowo</w:t>
      </w:r>
      <w:r w:rsidR="003B50ED" w:rsidRPr="00F16251">
        <w:rPr>
          <w:rFonts w:cstheme="minorHAnsi"/>
          <w:kern w:val="0"/>
          <w14:ligatures w14:val="none"/>
        </w:rPr>
        <w:t xml:space="preserve"> </w:t>
      </w:r>
      <w:r w:rsidRPr="00F16251">
        <w:rPr>
          <w:rFonts w:cstheme="minorHAnsi"/>
          <w:kern w:val="0"/>
          <w14:ligatures w14:val="none"/>
        </w:rPr>
        <w:t>zamieszczane</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Regulaminie</w:t>
      </w:r>
      <w:r w:rsidR="003B50ED" w:rsidRPr="00F16251">
        <w:rPr>
          <w:rFonts w:cstheme="minorHAnsi"/>
          <w:kern w:val="0"/>
          <w14:ligatures w14:val="none"/>
        </w:rPr>
        <w:t xml:space="preserve"> </w:t>
      </w:r>
      <w:r w:rsidRPr="00F16251">
        <w:rPr>
          <w:rFonts w:cstheme="minorHAnsi"/>
          <w:kern w:val="0"/>
          <w14:ligatures w14:val="none"/>
        </w:rPr>
        <w:t>naboru</w:t>
      </w:r>
      <w:r w:rsidR="003B50ED" w:rsidRPr="00F16251">
        <w:rPr>
          <w:rFonts w:cstheme="minorHAnsi"/>
          <w:kern w:val="0"/>
          <w14:ligatures w14:val="none"/>
        </w:rPr>
        <w:t xml:space="preserve"> </w:t>
      </w:r>
      <w:r w:rsidRPr="00F16251">
        <w:rPr>
          <w:rFonts w:cstheme="minorHAnsi"/>
          <w:kern w:val="0"/>
          <w14:ligatures w14:val="none"/>
        </w:rPr>
        <w:t>wniosków</w:t>
      </w:r>
      <w:r w:rsidR="003B50ED" w:rsidRPr="00F16251">
        <w:rPr>
          <w:rFonts w:cstheme="minorHAnsi"/>
          <w:kern w:val="0"/>
          <w14:ligatures w14:val="none"/>
        </w:rPr>
        <w:t xml:space="preserve"> </w:t>
      </w:r>
      <w:r w:rsidRPr="00F16251">
        <w:rPr>
          <w:rFonts w:cstheme="minorHAnsi"/>
          <w:kern w:val="0"/>
          <w14:ligatures w14:val="none"/>
        </w:rPr>
        <w:t>o</w:t>
      </w:r>
      <w:r w:rsidR="003B50ED" w:rsidRPr="00F16251">
        <w:rPr>
          <w:rFonts w:cstheme="minorHAnsi"/>
          <w:kern w:val="0"/>
          <w14:ligatures w14:val="none"/>
        </w:rPr>
        <w:t xml:space="preserve"> </w:t>
      </w:r>
      <w:r w:rsidRPr="00F16251">
        <w:rPr>
          <w:rFonts w:cstheme="minorHAnsi"/>
          <w:kern w:val="0"/>
          <w14:ligatures w14:val="none"/>
        </w:rPr>
        <w:t>wsparcie</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będą</w:t>
      </w:r>
      <w:r w:rsidR="003B50ED" w:rsidRPr="00F16251">
        <w:rPr>
          <w:rFonts w:cstheme="minorHAnsi"/>
          <w:kern w:val="0"/>
          <w14:ligatures w14:val="none"/>
        </w:rPr>
        <w:t xml:space="preserve"> </w:t>
      </w:r>
      <w:r w:rsidRPr="00F16251">
        <w:rPr>
          <w:rFonts w:cstheme="minorHAnsi"/>
          <w:kern w:val="0"/>
          <w14:ligatures w14:val="none"/>
        </w:rPr>
        <w:t>wynikać</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szczególności</w:t>
      </w:r>
      <w:r w:rsidR="003B50ED" w:rsidRPr="00F16251">
        <w:rPr>
          <w:rFonts w:cstheme="minorHAnsi"/>
          <w:kern w:val="0"/>
          <w14:ligatures w14:val="none"/>
        </w:rPr>
        <w:t xml:space="preserve"> </w:t>
      </w:r>
      <w:r w:rsidRPr="00F16251">
        <w:rPr>
          <w:rFonts w:cstheme="minorHAnsi"/>
          <w:kern w:val="0"/>
          <w14:ligatures w14:val="none"/>
        </w:rPr>
        <w:t>z</w:t>
      </w:r>
      <w:r w:rsidR="003B50ED" w:rsidRPr="00F16251">
        <w:rPr>
          <w:rFonts w:cstheme="minorHAnsi"/>
          <w:kern w:val="0"/>
          <w14:ligatures w14:val="none"/>
        </w:rPr>
        <w:t xml:space="preserve"> </w:t>
      </w:r>
      <w:r w:rsidRPr="00F16251">
        <w:rPr>
          <w:rFonts w:cstheme="minorHAnsi"/>
          <w:kern w:val="0"/>
          <w14:ligatures w14:val="none"/>
        </w:rPr>
        <w:t>przyjętych</w:t>
      </w:r>
      <w:r w:rsidR="003B50ED" w:rsidRPr="00F16251">
        <w:rPr>
          <w:rFonts w:cstheme="minorHAnsi"/>
          <w:kern w:val="0"/>
          <w14:ligatures w14:val="none"/>
        </w:rPr>
        <w:t xml:space="preserve"> </w:t>
      </w:r>
      <w:r w:rsidRPr="00F16251">
        <w:rPr>
          <w:rFonts w:cstheme="minorHAnsi"/>
          <w:kern w:val="0"/>
          <w14:ligatures w14:val="none"/>
        </w:rPr>
        <w:t>kwot</w:t>
      </w:r>
      <w:r w:rsidR="003B50ED" w:rsidRPr="00F16251">
        <w:rPr>
          <w:rFonts w:cstheme="minorHAnsi"/>
          <w:kern w:val="0"/>
          <w14:ligatures w14:val="none"/>
        </w:rPr>
        <w:t xml:space="preserve"> </w:t>
      </w:r>
      <w:r w:rsidRPr="00F16251">
        <w:rPr>
          <w:rFonts w:cstheme="minorHAnsi"/>
          <w:kern w:val="0"/>
          <w14:ligatures w14:val="none"/>
        </w:rPr>
        <w:t>alokacji</w:t>
      </w:r>
      <w:r w:rsidR="003B50ED" w:rsidRPr="00F16251">
        <w:rPr>
          <w:rFonts w:cstheme="minorHAnsi"/>
          <w:kern w:val="0"/>
          <w14:ligatures w14:val="none"/>
        </w:rPr>
        <w:t xml:space="preserve"> </w:t>
      </w:r>
      <w:r w:rsidRPr="00F16251">
        <w:rPr>
          <w:rFonts w:cstheme="minorHAnsi"/>
          <w:kern w:val="0"/>
          <w14:ligatures w14:val="none"/>
        </w:rPr>
        <w:t>na</w:t>
      </w:r>
      <w:r w:rsidR="003B50ED" w:rsidRPr="00F16251">
        <w:rPr>
          <w:rFonts w:cstheme="minorHAnsi"/>
          <w:kern w:val="0"/>
          <w14:ligatures w14:val="none"/>
        </w:rPr>
        <w:t xml:space="preserve"> </w:t>
      </w:r>
      <w:r w:rsidRPr="00F16251">
        <w:rPr>
          <w:rFonts w:cstheme="minorHAnsi"/>
          <w:kern w:val="0"/>
          <w14:ligatures w14:val="none"/>
        </w:rPr>
        <w:t>dany</w:t>
      </w:r>
      <w:r w:rsidR="003B50ED" w:rsidRPr="00F16251">
        <w:rPr>
          <w:rFonts w:cstheme="minorHAnsi"/>
          <w:kern w:val="0"/>
          <w14:ligatures w14:val="none"/>
        </w:rPr>
        <w:t xml:space="preserve"> </w:t>
      </w:r>
      <w:r w:rsidRPr="00F16251">
        <w:rPr>
          <w:rFonts w:cstheme="minorHAnsi"/>
          <w:kern w:val="0"/>
          <w14:ligatures w14:val="none"/>
        </w:rPr>
        <w:t>nabór,</w:t>
      </w:r>
      <w:r w:rsidR="003B50ED" w:rsidRPr="00F16251">
        <w:rPr>
          <w:rFonts w:cstheme="minorHAnsi"/>
          <w:kern w:val="0"/>
          <w14:ligatures w14:val="none"/>
        </w:rPr>
        <w:t xml:space="preserve"> </w:t>
      </w:r>
      <w:r w:rsidRPr="00F16251">
        <w:rPr>
          <w:rFonts w:cstheme="minorHAnsi"/>
          <w:kern w:val="0"/>
          <w14:ligatures w14:val="none"/>
        </w:rPr>
        <w:t>liczby</w:t>
      </w:r>
      <w:r w:rsidR="003B50ED" w:rsidRPr="00F16251">
        <w:rPr>
          <w:rFonts w:cstheme="minorHAnsi"/>
          <w:kern w:val="0"/>
          <w14:ligatures w14:val="none"/>
        </w:rPr>
        <w:t xml:space="preserve"> </w:t>
      </w:r>
      <w:r w:rsidRPr="00F16251">
        <w:rPr>
          <w:rFonts w:cstheme="minorHAnsi"/>
          <w:kern w:val="0"/>
          <w14:ligatures w14:val="none"/>
        </w:rPr>
        <w:t>planowanych</w:t>
      </w:r>
      <w:r w:rsidR="003B50ED" w:rsidRPr="00F16251">
        <w:rPr>
          <w:rFonts w:cstheme="minorHAnsi"/>
          <w:kern w:val="0"/>
          <w14:ligatures w14:val="none"/>
        </w:rPr>
        <w:t xml:space="preserve"> </w:t>
      </w:r>
      <w:r w:rsidRPr="00F16251">
        <w:rPr>
          <w:rFonts w:cstheme="minorHAnsi"/>
          <w:kern w:val="0"/>
          <w14:ligatures w14:val="none"/>
        </w:rPr>
        <w:t>do</w:t>
      </w:r>
      <w:r w:rsidR="003B50ED" w:rsidRPr="00F16251">
        <w:rPr>
          <w:rFonts w:cstheme="minorHAnsi"/>
          <w:kern w:val="0"/>
          <w14:ligatures w14:val="none"/>
        </w:rPr>
        <w:t xml:space="preserve"> </w:t>
      </w:r>
      <w:r w:rsidRPr="00F16251">
        <w:rPr>
          <w:rFonts w:cstheme="minorHAnsi"/>
          <w:kern w:val="0"/>
          <w14:ligatures w14:val="none"/>
        </w:rPr>
        <w:t>osiągniecia</w:t>
      </w:r>
      <w:r w:rsidR="003B50ED" w:rsidRPr="00F16251">
        <w:rPr>
          <w:rFonts w:cstheme="minorHAnsi"/>
          <w:kern w:val="0"/>
          <w14:ligatures w14:val="none"/>
        </w:rPr>
        <w:t xml:space="preserve"> </w:t>
      </w:r>
      <w:r w:rsidRPr="00F16251">
        <w:rPr>
          <w:rFonts w:cstheme="minorHAnsi"/>
          <w:kern w:val="0"/>
          <w14:ligatures w14:val="none"/>
        </w:rPr>
        <w:t>wskaźników,</w:t>
      </w:r>
      <w:r w:rsidR="003B50ED" w:rsidRPr="00F16251">
        <w:rPr>
          <w:rFonts w:cstheme="minorHAnsi"/>
          <w:kern w:val="0"/>
          <w14:ligatures w14:val="none"/>
        </w:rPr>
        <w:t xml:space="preserve"> </w:t>
      </w:r>
      <w:r w:rsidRPr="00F16251">
        <w:rPr>
          <w:rFonts w:cstheme="minorHAnsi"/>
          <w:kern w:val="0"/>
          <w14:ligatures w14:val="none"/>
        </w:rPr>
        <w:t>dodatkowych</w:t>
      </w:r>
      <w:r w:rsidR="003B50ED" w:rsidRPr="00F16251">
        <w:rPr>
          <w:rFonts w:cstheme="minorHAnsi"/>
          <w:kern w:val="0"/>
          <w14:ligatures w14:val="none"/>
        </w:rPr>
        <w:t xml:space="preserve"> </w:t>
      </w:r>
      <w:r w:rsidRPr="00F16251">
        <w:rPr>
          <w:rFonts w:cstheme="minorHAnsi"/>
          <w:kern w:val="0"/>
          <w14:ligatures w14:val="none"/>
        </w:rPr>
        <w:t>kryteriów</w:t>
      </w:r>
      <w:r w:rsidR="003B50ED" w:rsidRPr="00F16251">
        <w:rPr>
          <w:rFonts w:cstheme="minorHAnsi"/>
          <w:kern w:val="0"/>
          <w14:ligatures w14:val="none"/>
        </w:rPr>
        <w:t xml:space="preserve"> </w:t>
      </w:r>
      <w:r w:rsidRPr="00F16251">
        <w:rPr>
          <w:rFonts w:cstheme="minorHAnsi"/>
          <w:kern w:val="0"/>
          <w14:ligatures w14:val="none"/>
        </w:rPr>
        <w:t>dostępowych</w:t>
      </w:r>
      <w:r w:rsidR="003B50ED" w:rsidRPr="00F16251">
        <w:rPr>
          <w:rFonts w:cstheme="minorHAnsi"/>
          <w:kern w:val="0"/>
          <w14:ligatures w14:val="none"/>
        </w:rPr>
        <w:t xml:space="preserve"> </w:t>
      </w:r>
      <w:r w:rsidRPr="00F16251">
        <w:rPr>
          <w:rFonts w:cstheme="minorHAnsi"/>
          <w:kern w:val="0"/>
          <w14:ligatures w14:val="none"/>
        </w:rPr>
        <w:t>określonych</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procedurach</w:t>
      </w:r>
      <w:r w:rsidR="003B50ED" w:rsidRPr="00F16251">
        <w:rPr>
          <w:rFonts w:cstheme="minorHAnsi"/>
          <w:kern w:val="0"/>
          <w14:ligatures w14:val="none"/>
        </w:rPr>
        <w:t xml:space="preserve"> </w:t>
      </w:r>
      <w:r w:rsidRPr="00F16251">
        <w:rPr>
          <w:rFonts w:cstheme="minorHAnsi"/>
          <w:kern w:val="0"/>
          <w14:ligatures w14:val="none"/>
        </w:rPr>
        <w:t>lub</w:t>
      </w:r>
      <w:r w:rsidR="003B50ED" w:rsidRPr="00F16251">
        <w:rPr>
          <w:rFonts w:cstheme="minorHAnsi"/>
          <w:kern w:val="0"/>
          <w14:ligatures w14:val="none"/>
        </w:rPr>
        <w:t xml:space="preserve"> </w:t>
      </w:r>
      <w:r w:rsidRPr="00F16251">
        <w:rPr>
          <w:rFonts w:cstheme="minorHAnsi"/>
          <w:kern w:val="0"/>
          <w14:ligatures w14:val="none"/>
        </w:rPr>
        <w:t>dodatkowych</w:t>
      </w:r>
      <w:r w:rsidR="003B50ED" w:rsidRPr="00F16251">
        <w:rPr>
          <w:rFonts w:cstheme="minorHAnsi"/>
          <w:kern w:val="0"/>
          <w14:ligatures w14:val="none"/>
        </w:rPr>
        <w:t xml:space="preserve"> </w:t>
      </w:r>
      <w:r w:rsidRPr="00F16251">
        <w:rPr>
          <w:rFonts w:cstheme="minorHAnsi"/>
          <w:kern w:val="0"/>
          <w14:ligatures w14:val="none"/>
        </w:rPr>
        <w:t>kryteriów</w:t>
      </w:r>
      <w:r w:rsidR="003B50ED" w:rsidRPr="00F16251">
        <w:rPr>
          <w:rFonts w:cstheme="minorHAnsi"/>
          <w:kern w:val="0"/>
          <w14:ligatures w14:val="none"/>
        </w:rPr>
        <w:t xml:space="preserve"> </w:t>
      </w:r>
      <w:r w:rsidRPr="00F16251">
        <w:rPr>
          <w:rFonts w:cstheme="minorHAnsi"/>
          <w:kern w:val="0"/>
          <w14:ligatures w14:val="none"/>
        </w:rPr>
        <w:t>wynikających</w:t>
      </w:r>
      <w:r w:rsidR="003B50ED" w:rsidRPr="00F16251">
        <w:rPr>
          <w:rFonts w:cstheme="minorHAnsi"/>
          <w:kern w:val="0"/>
          <w14:ligatures w14:val="none"/>
        </w:rPr>
        <w:t xml:space="preserve"> </w:t>
      </w:r>
      <w:r w:rsidRPr="00F16251">
        <w:rPr>
          <w:rFonts w:cstheme="minorHAnsi"/>
          <w:kern w:val="0"/>
          <w14:ligatures w14:val="none"/>
        </w:rPr>
        <w:t>z</w:t>
      </w:r>
      <w:r w:rsidR="003B50ED" w:rsidRPr="00F16251">
        <w:rPr>
          <w:rFonts w:cstheme="minorHAnsi"/>
          <w:kern w:val="0"/>
          <w14:ligatures w14:val="none"/>
        </w:rPr>
        <w:t xml:space="preserve"> </w:t>
      </w:r>
      <w:r w:rsidRPr="00F16251">
        <w:rPr>
          <w:rFonts w:cstheme="minorHAnsi"/>
          <w:kern w:val="0"/>
          <w14:ligatures w14:val="none"/>
        </w:rPr>
        <w:t>diagnozy</w:t>
      </w:r>
      <w:r w:rsidR="003B50ED" w:rsidRPr="00F16251">
        <w:rPr>
          <w:rFonts w:cstheme="minorHAnsi"/>
          <w:kern w:val="0"/>
          <w14:ligatures w14:val="none"/>
        </w:rPr>
        <w:t xml:space="preserve"> </w:t>
      </w:r>
      <w:r w:rsidRPr="00F16251">
        <w:rPr>
          <w:rFonts w:cstheme="minorHAnsi"/>
          <w:kern w:val="0"/>
          <w14:ligatures w14:val="none"/>
        </w:rPr>
        <w:t>potrzeb</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potencjału</w:t>
      </w:r>
      <w:r w:rsidR="003B50ED" w:rsidRPr="00F16251">
        <w:rPr>
          <w:rFonts w:cstheme="minorHAnsi"/>
          <w:kern w:val="0"/>
          <w14:ligatures w14:val="none"/>
        </w:rPr>
        <w:t xml:space="preserve"> </w:t>
      </w:r>
      <w:r w:rsidRPr="00F16251">
        <w:rPr>
          <w:rFonts w:cstheme="minorHAnsi"/>
          <w:kern w:val="0"/>
          <w14:ligatures w14:val="none"/>
        </w:rPr>
        <w:t>obszaru</w:t>
      </w:r>
      <w:r w:rsidR="003B50ED" w:rsidRPr="00F16251">
        <w:rPr>
          <w:rFonts w:cstheme="minorHAnsi"/>
          <w:kern w:val="0"/>
          <w14:ligatures w14:val="none"/>
        </w:rPr>
        <w:t xml:space="preserve"> </w:t>
      </w:r>
      <w:r w:rsidRPr="00F16251">
        <w:rPr>
          <w:rFonts w:cstheme="minorHAnsi"/>
          <w:kern w:val="0"/>
          <w14:ligatures w14:val="none"/>
        </w:rPr>
        <w:t>LSR.</w:t>
      </w:r>
      <w:r w:rsidR="003B50ED" w:rsidRPr="00F16251">
        <w:rPr>
          <w:rFonts w:cstheme="minorHAnsi"/>
          <w:kern w:val="0"/>
          <w14:ligatures w14:val="none"/>
        </w:rPr>
        <w:t xml:space="preserve"> </w:t>
      </w:r>
    </w:p>
    <w:p w14:paraId="70AC1022" w14:textId="77777777" w:rsidR="002C63F4" w:rsidRPr="00F16251" w:rsidRDefault="002C63F4" w:rsidP="00A26C26">
      <w:pPr>
        <w:spacing w:line="276" w:lineRule="auto"/>
        <w:jc w:val="both"/>
        <w:rPr>
          <w:rFonts w:cstheme="minorHAnsi"/>
          <w:kern w:val="0"/>
          <w14:ligatures w14:val="none"/>
        </w:rPr>
      </w:pPr>
    </w:p>
    <w:p w14:paraId="13F3E0EA" w14:textId="7B60DDE6" w:rsidR="002C63F4" w:rsidRPr="00F16251" w:rsidRDefault="002C63F4" w:rsidP="00A26C26">
      <w:pPr>
        <w:spacing w:line="276" w:lineRule="auto"/>
        <w:jc w:val="both"/>
        <w:rPr>
          <w:rFonts w:cstheme="minorHAnsi"/>
          <w:b/>
          <w:bCs/>
          <w:kern w:val="0"/>
          <w14:ligatures w14:val="none"/>
        </w:rPr>
      </w:pPr>
      <w:r w:rsidRPr="00F16251">
        <w:rPr>
          <w:rFonts w:cstheme="minorHAnsi"/>
          <w:b/>
          <w:bCs/>
          <w:kern w:val="0"/>
          <w14:ligatures w14:val="none"/>
        </w:rPr>
        <w:t>Lokalne</w:t>
      </w:r>
      <w:r w:rsidR="003B50ED" w:rsidRPr="00F16251">
        <w:rPr>
          <w:rFonts w:cstheme="minorHAnsi"/>
          <w:b/>
          <w:bCs/>
          <w:kern w:val="0"/>
          <w14:ligatures w14:val="none"/>
        </w:rPr>
        <w:t xml:space="preserve"> </w:t>
      </w:r>
      <w:r w:rsidRPr="00F16251">
        <w:rPr>
          <w:rFonts w:cstheme="minorHAnsi"/>
          <w:b/>
          <w:bCs/>
          <w:kern w:val="0"/>
          <w14:ligatures w14:val="none"/>
        </w:rPr>
        <w:t>kryteria</w:t>
      </w:r>
      <w:r w:rsidR="003B50ED" w:rsidRPr="00F16251">
        <w:rPr>
          <w:rFonts w:cstheme="minorHAnsi"/>
          <w:b/>
          <w:bCs/>
          <w:kern w:val="0"/>
          <w14:ligatures w14:val="none"/>
        </w:rPr>
        <w:t xml:space="preserve"> </w:t>
      </w:r>
      <w:r w:rsidRPr="00F16251">
        <w:rPr>
          <w:rFonts w:cstheme="minorHAnsi"/>
          <w:b/>
          <w:bCs/>
          <w:kern w:val="0"/>
          <w14:ligatures w14:val="none"/>
        </w:rPr>
        <w:t>wyboru</w:t>
      </w:r>
      <w:r w:rsidR="003B50ED" w:rsidRPr="00F16251">
        <w:rPr>
          <w:rFonts w:cstheme="minorHAnsi"/>
          <w:b/>
          <w:bCs/>
          <w:kern w:val="0"/>
          <w14:ligatures w14:val="none"/>
        </w:rPr>
        <w:t xml:space="preserve"> </w:t>
      </w:r>
      <w:r w:rsidRPr="00F16251">
        <w:rPr>
          <w:rFonts w:cstheme="minorHAnsi"/>
          <w:b/>
          <w:bCs/>
          <w:kern w:val="0"/>
          <w14:ligatures w14:val="none"/>
        </w:rPr>
        <w:t>operacji.</w:t>
      </w:r>
    </w:p>
    <w:p w14:paraId="0C729C6E" w14:textId="20739865" w:rsidR="00CF2876" w:rsidRPr="00F16251" w:rsidRDefault="002C63F4" w:rsidP="00CF2876">
      <w:pPr>
        <w:spacing w:line="276" w:lineRule="auto"/>
        <w:ind w:firstLine="360"/>
        <w:jc w:val="both"/>
        <w:rPr>
          <w:rFonts w:cstheme="minorHAnsi"/>
          <w:kern w:val="0"/>
          <w14:ligatures w14:val="none"/>
        </w:rPr>
      </w:pPr>
      <w:r w:rsidRPr="00F16251">
        <w:rPr>
          <w:rFonts w:cstheme="minorHAnsi"/>
          <w:kern w:val="0"/>
          <w14:ligatures w14:val="none"/>
        </w:rPr>
        <w:t>Lokalne</w:t>
      </w:r>
      <w:r w:rsidR="003B50ED" w:rsidRPr="00F16251">
        <w:rPr>
          <w:rFonts w:cstheme="minorHAnsi"/>
          <w:kern w:val="0"/>
          <w14:ligatures w14:val="none"/>
        </w:rPr>
        <w:t xml:space="preserve"> </w:t>
      </w:r>
      <w:r w:rsidRPr="00F16251">
        <w:rPr>
          <w:rFonts w:cstheme="minorHAnsi"/>
          <w:kern w:val="0"/>
          <w14:ligatures w14:val="none"/>
        </w:rPr>
        <w:t>kryteria</w:t>
      </w:r>
      <w:r w:rsidR="003B50ED" w:rsidRPr="00F16251">
        <w:rPr>
          <w:rFonts w:cstheme="minorHAnsi"/>
          <w:kern w:val="0"/>
          <w14:ligatures w14:val="none"/>
        </w:rPr>
        <w:t xml:space="preserve"> </w:t>
      </w:r>
      <w:r w:rsidRPr="00F16251">
        <w:rPr>
          <w:rFonts w:cstheme="minorHAnsi"/>
          <w:kern w:val="0"/>
          <w14:ligatures w14:val="none"/>
        </w:rPr>
        <w:t>będą</w:t>
      </w:r>
      <w:r w:rsidR="003B50ED" w:rsidRPr="00F16251">
        <w:rPr>
          <w:rFonts w:cstheme="minorHAnsi"/>
          <w:kern w:val="0"/>
          <w14:ligatures w14:val="none"/>
        </w:rPr>
        <w:t xml:space="preserve"> </w:t>
      </w:r>
      <w:r w:rsidRPr="00F16251">
        <w:rPr>
          <w:rFonts w:cstheme="minorHAnsi"/>
          <w:kern w:val="0"/>
          <w14:ligatures w14:val="none"/>
        </w:rPr>
        <w:t>przejrzyste</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wynikające</w:t>
      </w:r>
      <w:r w:rsidR="003B50ED" w:rsidRPr="00F16251">
        <w:rPr>
          <w:rFonts w:cstheme="minorHAnsi"/>
          <w:kern w:val="0"/>
          <w14:ligatures w14:val="none"/>
        </w:rPr>
        <w:t xml:space="preserve"> </w:t>
      </w:r>
      <w:r w:rsidRPr="00F16251">
        <w:rPr>
          <w:rFonts w:cstheme="minorHAnsi"/>
          <w:kern w:val="0"/>
          <w14:ligatures w14:val="none"/>
        </w:rPr>
        <w:t>ze</w:t>
      </w:r>
      <w:r w:rsidR="003B50ED" w:rsidRPr="00F16251">
        <w:rPr>
          <w:rFonts w:cstheme="minorHAnsi"/>
          <w:kern w:val="0"/>
          <w14:ligatures w14:val="none"/>
        </w:rPr>
        <w:t xml:space="preserve"> </w:t>
      </w:r>
      <w:r w:rsidRPr="00F16251">
        <w:rPr>
          <w:rFonts w:cstheme="minorHAnsi"/>
          <w:kern w:val="0"/>
          <w14:ligatures w14:val="none"/>
        </w:rPr>
        <w:t>specyfiki</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diagnozy</w:t>
      </w:r>
      <w:r w:rsidR="003B50ED" w:rsidRPr="00F16251">
        <w:rPr>
          <w:rFonts w:cstheme="minorHAnsi"/>
          <w:kern w:val="0"/>
          <w14:ligatures w14:val="none"/>
        </w:rPr>
        <w:t xml:space="preserve"> </w:t>
      </w:r>
      <w:r w:rsidRPr="00F16251">
        <w:rPr>
          <w:rFonts w:cstheme="minorHAnsi"/>
          <w:kern w:val="0"/>
          <w14:ligatures w14:val="none"/>
        </w:rPr>
        <w:t>obszaru</w:t>
      </w:r>
      <w:r w:rsidR="003B50ED" w:rsidRPr="00F16251">
        <w:rPr>
          <w:rFonts w:cstheme="minorHAnsi"/>
          <w:kern w:val="0"/>
          <w14:ligatures w14:val="none"/>
        </w:rPr>
        <w:t xml:space="preserve"> </w:t>
      </w:r>
      <w:r w:rsidRPr="00F16251">
        <w:rPr>
          <w:rFonts w:cstheme="minorHAnsi"/>
          <w:kern w:val="0"/>
          <w14:ligatures w14:val="none"/>
        </w:rPr>
        <w:t>LSR,</w:t>
      </w:r>
      <w:r w:rsidR="003B50ED" w:rsidRPr="00F16251">
        <w:rPr>
          <w:rFonts w:cstheme="minorHAnsi"/>
          <w:kern w:val="0"/>
          <w14:ligatures w14:val="none"/>
        </w:rPr>
        <w:t xml:space="preserve"> </w:t>
      </w:r>
      <w:r w:rsidRPr="00F16251">
        <w:rPr>
          <w:rFonts w:cstheme="minorHAnsi"/>
          <w:kern w:val="0"/>
          <w14:ligatures w14:val="none"/>
        </w:rPr>
        <w:t>Wytycznych,</w:t>
      </w:r>
      <w:r w:rsidR="003B50ED" w:rsidRPr="00F16251">
        <w:rPr>
          <w:rFonts w:cstheme="minorHAnsi"/>
          <w:kern w:val="0"/>
          <w14:ligatures w14:val="none"/>
        </w:rPr>
        <w:t xml:space="preserve"> </w:t>
      </w:r>
      <w:r w:rsidRPr="00F16251">
        <w:rPr>
          <w:rFonts w:cstheme="minorHAnsi"/>
          <w:kern w:val="0"/>
          <w14:ligatures w14:val="none"/>
        </w:rPr>
        <w:t>a</w:t>
      </w:r>
      <w:r w:rsidR="003B50ED" w:rsidRPr="00F16251">
        <w:rPr>
          <w:rFonts w:cstheme="minorHAnsi"/>
          <w:kern w:val="0"/>
          <w14:ligatures w14:val="none"/>
        </w:rPr>
        <w:t xml:space="preserve"> </w:t>
      </w:r>
      <w:r w:rsidRPr="00F16251">
        <w:rPr>
          <w:rFonts w:cstheme="minorHAnsi"/>
          <w:kern w:val="0"/>
          <w14:ligatures w14:val="none"/>
        </w:rPr>
        <w:t>ich</w:t>
      </w:r>
      <w:r w:rsidR="003B50ED" w:rsidRPr="00F16251">
        <w:rPr>
          <w:rFonts w:cstheme="minorHAnsi"/>
          <w:kern w:val="0"/>
          <w14:ligatures w14:val="none"/>
        </w:rPr>
        <w:t xml:space="preserve"> </w:t>
      </w:r>
      <w:r w:rsidRPr="00F16251">
        <w:rPr>
          <w:rFonts w:cstheme="minorHAnsi"/>
          <w:kern w:val="0"/>
          <w14:ligatures w14:val="none"/>
        </w:rPr>
        <w:t>spełnienie</w:t>
      </w:r>
      <w:r w:rsidR="003B50ED" w:rsidRPr="00F16251">
        <w:rPr>
          <w:rFonts w:cstheme="minorHAnsi"/>
          <w:kern w:val="0"/>
          <w14:ligatures w14:val="none"/>
        </w:rPr>
        <w:t xml:space="preserve"> </w:t>
      </w:r>
      <w:r w:rsidRPr="00F16251">
        <w:rPr>
          <w:rFonts w:cstheme="minorHAnsi"/>
          <w:kern w:val="0"/>
          <w14:ligatures w14:val="none"/>
        </w:rPr>
        <w:t>bezpośrednio</w:t>
      </w:r>
      <w:r w:rsidR="003B50ED" w:rsidRPr="00F16251">
        <w:rPr>
          <w:rFonts w:cstheme="minorHAnsi"/>
          <w:kern w:val="0"/>
          <w14:ligatures w14:val="none"/>
        </w:rPr>
        <w:t xml:space="preserve"> </w:t>
      </w:r>
      <w:r w:rsidRPr="00F16251">
        <w:rPr>
          <w:rFonts w:cstheme="minorHAnsi"/>
          <w:kern w:val="0"/>
          <w14:ligatures w14:val="none"/>
        </w:rPr>
        <w:t>przyczyni</w:t>
      </w:r>
      <w:r w:rsidR="003B50ED" w:rsidRPr="00F16251">
        <w:rPr>
          <w:rFonts w:cstheme="minorHAnsi"/>
          <w:kern w:val="0"/>
          <w14:ligatures w14:val="none"/>
        </w:rPr>
        <w:t xml:space="preserve"> </w:t>
      </w:r>
      <w:r w:rsidRPr="00F16251">
        <w:rPr>
          <w:rFonts w:cstheme="minorHAnsi"/>
          <w:kern w:val="0"/>
          <w14:ligatures w14:val="none"/>
        </w:rPr>
        <w:t>się</w:t>
      </w:r>
      <w:r w:rsidR="003B50ED" w:rsidRPr="00F16251">
        <w:rPr>
          <w:rFonts w:cstheme="minorHAnsi"/>
          <w:kern w:val="0"/>
          <w14:ligatures w14:val="none"/>
        </w:rPr>
        <w:t xml:space="preserve"> </w:t>
      </w:r>
      <w:r w:rsidRPr="00F16251">
        <w:rPr>
          <w:rFonts w:cstheme="minorHAnsi"/>
          <w:kern w:val="0"/>
          <w14:ligatures w14:val="none"/>
        </w:rPr>
        <w:t>do</w:t>
      </w:r>
      <w:r w:rsidR="003B50ED" w:rsidRPr="00F16251">
        <w:rPr>
          <w:rFonts w:cstheme="minorHAnsi"/>
          <w:kern w:val="0"/>
          <w14:ligatures w14:val="none"/>
        </w:rPr>
        <w:t xml:space="preserve"> </w:t>
      </w:r>
      <w:r w:rsidRPr="00F16251">
        <w:rPr>
          <w:rFonts w:cstheme="minorHAnsi"/>
          <w:kern w:val="0"/>
          <w14:ligatures w14:val="none"/>
        </w:rPr>
        <w:t>wyboru</w:t>
      </w:r>
      <w:r w:rsidR="003B50ED" w:rsidRPr="00F16251">
        <w:rPr>
          <w:rFonts w:cstheme="minorHAnsi"/>
          <w:kern w:val="0"/>
          <w14:ligatures w14:val="none"/>
        </w:rPr>
        <w:t xml:space="preserve"> </w:t>
      </w:r>
      <w:r w:rsidRPr="00F16251">
        <w:rPr>
          <w:rFonts w:cstheme="minorHAnsi"/>
          <w:kern w:val="0"/>
          <w14:ligatures w14:val="none"/>
        </w:rPr>
        <w:t>operacji</w:t>
      </w:r>
      <w:r w:rsidR="00CF2876" w:rsidRPr="00F16251">
        <w:rPr>
          <w:rFonts w:cstheme="minorHAnsi"/>
          <w:kern w:val="0"/>
          <w14:ligatures w14:val="none"/>
        </w:rPr>
        <w:t xml:space="preserve"> / grantów</w:t>
      </w:r>
      <w:r w:rsidRPr="00F16251">
        <w:rPr>
          <w:rFonts w:cstheme="minorHAnsi"/>
          <w:kern w:val="0"/>
          <w14:ligatures w14:val="none"/>
        </w:rPr>
        <w:t>,</w:t>
      </w:r>
      <w:r w:rsidR="003B50ED" w:rsidRPr="00F16251">
        <w:rPr>
          <w:rFonts w:cstheme="minorHAnsi"/>
          <w:kern w:val="0"/>
          <w14:ligatures w14:val="none"/>
        </w:rPr>
        <w:t xml:space="preserve"> </w:t>
      </w:r>
      <w:r w:rsidRPr="00F16251">
        <w:rPr>
          <w:rFonts w:cstheme="minorHAnsi"/>
          <w:kern w:val="0"/>
          <w14:ligatures w14:val="none"/>
        </w:rPr>
        <w:t>które</w:t>
      </w:r>
      <w:r w:rsidR="003B50ED" w:rsidRPr="00F16251">
        <w:rPr>
          <w:rFonts w:cstheme="minorHAnsi"/>
          <w:kern w:val="0"/>
          <w14:ligatures w14:val="none"/>
        </w:rPr>
        <w:t xml:space="preserve"> </w:t>
      </w:r>
      <w:r w:rsidRPr="00F16251">
        <w:rPr>
          <w:rFonts w:cstheme="minorHAnsi"/>
          <w:kern w:val="0"/>
          <w14:ligatures w14:val="none"/>
        </w:rPr>
        <w:t>będą</w:t>
      </w:r>
      <w:r w:rsidR="003B50ED" w:rsidRPr="00F16251">
        <w:rPr>
          <w:rFonts w:cstheme="minorHAnsi"/>
          <w:kern w:val="0"/>
          <w14:ligatures w14:val="none"/>
        </w:rPr>
        <w:t xml:space="preserve"> </w:t>
      </w:r>
      <w:r w:rsidRPr="00F16251">
        <w:rPr>
          <w:rFonts w:cstheme="minorHAnsi"/>
          <w:kern w:val="0"/>
          <w14:ligatures w14:val="none"/>
        </w:rPr>
        <w:t>realizowały</w:t>
      </w:r>
      <w:r w:rsidR="003B50ED" w:rsidRPr="00F16251">
        <w:rPr>
          <w:rFonts w:cstheme="minorHAnsi"/>
          <w:kern w:val="0"/>
          <w14:ligatures w14:val="none"/>
        </w:rPr>
        <w:t xml:space="preserve"> </w:t>
      </w:r>
      <w:r w:rsidRPr="00F16251">
        <w:rPr>
          <w:rFonts w:cstheme="minorHAnsi"/>
          <w:kern w:val="0"/>
          <w14:ligatures w14:val="none"/>
        </w:rPr>
        <w:t>cele</w:t>
      </w:r>
      <w:r w:rsidR="003B50ED" w:rsidRPr="00F16251">
        <w:rPr>
          <w:rFonts w:cstheme="minorHAnsi"/>
          <w:kern w:val="0"/>
          <w14:ligatures w14:val="none"/>
        </w:rPr>
        <w:t xml:space="preserve"> </w:t>
      </w:r>
      <w:r w:rsidRPr="00F16251">
        <w:rPr>
          <w:rFonts w:cstheme="minorHAnsi"/>
          <w:kern w:val="0"/>
          <w14:ligatures w14:val="none"/>
        </w:rPr>
        <w:t>zapisane</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LSR.</w:t>
      </w:r>
      <w:r w:rsidR="003B50ED" w:rsidRPr="00F16251">
        <w:rPr>
          <w:rFonts w:cstheme="minorHAnsi"/>
          <w:kern w:val="0"/>
          <w14:ligatures w14:val="none"/>
        </w:rPr>
        <w:t xml:space="preserve"> </w:t>
      </w:r>
      <w:r w:rsidR="00CF2876" w:rsidRPr="00F16251">
        <w:rPr>
          <w:rFonts w:cstheme="minorHAnsi"/>
          <w:kern w:val="0"/>
          <w14:ligatures w14:val="none"/>
        </w:rPr>
        <w:t xml:space="preserve">Kryteria będą </w:t>
      </w:r>
      <w:r w:rsidRPr="00F16251">
        <w:rPr>
          <w:rFonts w:cstheme="minorHAnsi"/>
          <w:kern w:val="0"/>
          <w14:ligatures w14:val="none"/>
        </w:rPr>
        <w:t>mierzaln</w:t>
      </w:r>
      <w:r w:rsidR="00CF2876" w:rsidRPr="00F16251">
        <w:rPr>
          <w:rFonts w:cstheme="minorHAnsi"/>
          <w:kern w:val="0"/>
          <w14:ligatures w14:val="none"/>
        </w:rPr>
        <w:t>e</w:t>
      </w:r>
      <w:r w:rsidRPr="00F16251">
        <w:rPr>
          <w:rFonts w:cstheme="minorHAnsi"/>
          <w:kern w:val="0"/>
          <w14:ligatures w14:val="none"/>
        </w:rPr>
        <w:t>.</w:t>
      </w:r>
      <w:r w:rsidR="003B50ED" w:rsidRPr="00F16251">
        <w:rPr>
          <w:rFonts w:cstheme="minorHAnsi"/>
          <w:kern w:val="0"/>
          <w14:ligatures w14:val="none"/>
        </w:rPr>
        <w:t xml:space="preserve"> </w:t>
      </w:r>
      <w:r w:rsidRPr="00F16251">
        <w:rPr>
          <w:rFonts w:cstheme="minorHAnsi"/>
          <w:kern w:val="0"/>
          <w14:ligatures w14:val="none"/>
        </w:rPr>
        <w:t>Dzięki</w:t>
      </w:r>
      <w:r w:rsidR="003B50ED" w:rsidRPr="00F16251">
        <w:rPr>
          <w:rFonts w:cstheme="minorHAnsi"/>
          <w:kern w:val="0"/>
          <w14:ligatures w14:val="none"/>
        </w:rPr>
        <w:t xml:space="preserve"> </w:t>
      </w:r>
      <w:r w:rsidRPr="00F16251">
        <w:rPr>
          <w:rFonts w:cstheme="minorHAnsi"/>
          <w:kern w:val="0"/>
          <w14:ligatures w14:val="none"/>
        </w:rPr>
        <w:t>temu</w:t>
      </w:r>
      <w:r w:rsidR="003B50ED" w:rsidRPr="00F16251">
        <w:rPr>
          <w:rFonts w:cstheme="minorHAnsi"/>
          <w:kern w:val="0"/>
          <w14:ligatures w14:val="none"/>
        </w:rPr>
        <w:t xml:space="preserve"> </w:t>
      </w:r>
      <w:r w:rsidRPr="00F16251">
        <w:rPr>
          <w:rFonts w:cstheme="minorHAnsi"/>
          <w:kern w:val="0"/>
          <w14:ligatures w14:val="none"/>
        </w:rPr>
        <w:t>można</w:t>
      </w:r>
      <w:r w:rsidR="003B50ED" w:rsidRPr="00F16251">
        <w:rPr>
          <w:rFonts w:cstheme="minorHAnsi"/>
          <w:kern w:val="0"/>
          <w14:ligatures w14:val="none"/>
        </w:rPr>
        <w:t xml:space="preserve"> </w:t>
      </w:r>
      <w:r w:rsidRPr="00F16251">
        <w:rPr>
          <w:rFonts w:cstheme="minorHAnsi"/>
          <w:kern w:val="0"/>
          <w14:ligatures w14:val="none"/>
        </w:rPr>
        <w:t>będzie</w:t>
      </w:r>
      <w:r w:rsidR="003B50ED" w:rsidRPr="00F16251">
        <w:rPr>
          <w:rFonts w:cstheme="minorHAnsi"/>
          <w:kern w:val="0"/>
          <w14:ligatures w14:val="none"/>
        </w:rPr>
        <w:t xml:space="preserve"> </w:t>
      </w:r>
      <w:r w:rsidRPr="00F16251">
        <w:rPr>
          <w:rFonts w:cstheme="minorHAnsi"/>
          <w:kern w:val="0"/>
          <w14:ligatures w14:val="none"/>
        </w:rPr>
        <w:t>obiektywnie</w:t>
      </w:r>
      <w:r w:rsidR="003B50ED" w:rsidRPr="00F16251">
        <w:rPr>
          <w:rFonts w:cstheme="minorHAnsi"/>
          <w:kern w:val="0"/>
          <w14:ligatures w14:val="none"/>
        </w:rPr>
        <w:t xml:space="preserve"> </w:t>
      </w:r>
      <w:r w:rsidRPr="00F16251">
        <w:rPr>
          <w:rFonts w:cstheme="minorHAnsi"/>
          <w:kern w:val="0"/>
          <w14:ligatures w14:val="none"/>
        </w:rPr>
        <w:t>zróżnicować</w:t>
      </w:r>
      <w:r w:rsidR="003B50ED" w:rsidRPr="00F16251">
        <w:rPr>
          <w:rFonts w:cstheme="minorHAnsi"/>
          <w:kern w:val="0"/>
          <w14:ligatures w14:val="none"/>
        </w:rPr>
        <w:t xml:space="preserve"> </w:t>
      </w:r>
      <w:r w:rsidRPr="00F16251">
        <w:rPr>
          <w:rFonts w:cstheme="minorHAnsi"/>
          <w:kern w:val="0"/>
          <w14:ligatures w14:val="none"/>
        </w:rPr>
        <w:t>ocenę,</w:t>
      </w:r>
      <w:r w:rsidR="003B50ED" w:rsidRPr="00F16251">
        <w:rPr>
          <w:rFonts w:cstheme="minorHAnsi"/>
          <w:kern w:val="0"/>
          <w14:ligatures w14:val="none"/>
        </w:rPr>
        <w:t xml:space="preserve"> </w:t>
      </w:r>
      <w:r w:rsidRPr="00F16251">
        <w:rPr>
          <w:rFonts w:cstheme="minorHAnsi"/>
          <w:kern w:val="0"/>
          <w14:ligatures w14:val="none"/>
        </w:rPr>
        <w:t>bez</w:t>
      </w:r>
      <w:r w:rsidR="003B50ED" w:rsidRPr="00F16251">
        <w:rPr>
          <w:rFonts w:cstheme="minorHAnsi"/>
          <w:kern w:val="0"/>
          <w14:ligatures w14:val="none"/>
        </w:rPr>
        <w:t xml:space="preserve"> </w:t>
      </w:r>
      <w:r w:rsidRPr="00F16251">
        <w:rPr>
          <w:rFonts w:cstheme="minorHAnsi"/>
          <w:kern w:val="0"/>
          <w14:ligatures w14:val="none"/>
        </w:rPr>
        <w:t>jakiejkolwiek</w:t>
      </w:r>
      <w:r w:rsidR="003B50ED" w:rsidRPr="00F16251">
        <w:rPr>
          <w:rFonts w:cstheme="minorHAnsi"/>
          <w:kern w:val="0"/>
          <w14:ligatures w14:val="none"/>
        </w:rPr>
        <w:t xml:space="preserve"> </w:t>
      </w:r>
      <w:r w:rsidRPr="00F16251">
        <w:rPr>
          <w:rFonts w:cstheme="minorHAnsi"/>
          <w:kern w:val="0"/>
          <w14:ligatures w14:val="none"/>
        </w:rPr>
        <w:t>dyskryminacji.</w:t>
      </w:r>
      <w:r w:rsidR="003B50ED" w:rsidRPr="00F16251">
        <w:rPr>
          <w:rFonts w:cstheme="minorHAnsi"/>
          <w:kern w:val="0"/>
          <w14:ligatures w14:val="none"/>
        </w:rPr>
        <w:t xml:space="preserve"> </w:t>
      </w:r>
      <w:r w:rsidRPr="00F16251">
        <w:rPr>
          <w:rFonts w:cstheme="minorHAnsi"/>
          <w:kern w:val="0"/>
          <w14:ligatures w14:val="none"/>
        </w:rPr>
        <w:t>Każdorazowo</w:t>
      </w:r>
      <w:r w:rsidR="003B50ED" w:rsidRPr="00F16251">
        <w:rPr>
          <w:rFonts w:cstheme="minorHAnsi"/>
          <w:kern w:val="0"/>
          <w14:ligatures w14:val="none"/>
        </w:rPr>
        <w:t xml:space="preserve"> </w:t>
      </w:r>
      <w:r w:rsidRPr="00F16251">
        <w:rPr>
          <w:rFonts w:cstheme="minorHAnsi"/>
          <w:kern w:val="0"/>
          <w14:ligatures w14:val="none"/>
        </w:rPr>
        <w:t>przy</w:t>
      </w:r>
      <w:r w:rsidR="003B50ED" w:rsidRPr="00F16251">
        <w:rPr>
          <w:rFonts w:cstheme="minorHAnsi"/>
          <w:kern w:val="0"/>
          <w14:ligatures w14:val="none"/>
        </w:rPr>
        <w:t xml:space="preserve"> </w:t>
      </w:r>
      <w:r w:rsidRPr="00F16251">
        <w:rPr>
          <w:rFonts w:cstheme="minorHAnsi"/>
          <w:kern w:val="0"/>
          <w14:ligatures w14:val="none"/>
        </w:rPr>
        <w:t>zmianie</w:t>
      </w:r>
      <w:r w:rsidR="003B50ED" w:rsidRPr="00F16251">
        <w:rPr>
          <w:rFonts w:cstheme="minorHAnsi"/>
          <w:kern w:val="0"/>
          <w14:ligatures w14:val="none"/>
        </w:rPr>
        <w:t xml:space="preserve"> </w:t>
      </w:r>
      <w:r w:rsidRPr="00F16251">
        <w:rPr>
          <w:rFonts w:cstheme="minorHAnsi"/>
          <w:kern w:val="0"/>
          <w14:ligatures w14:val="none"/>
        </w:rPr>
        <w:t>kryteriów</w:t>
      </w:r>
      <w:r w:rsidR="003B50ED" w:rsidRPr="00F16251">
        <w:rPr>
          <w:rFonts w:cstheme="minorHAnsi"/>
          <w:kern w:val="0"/>
          <w14:ligatures w14:val="none"/>
        </w:rPr>
        <w:t xml:space="preserve"> </w:t>
      </w:r>
      <w:r w:rsidRPr="00F16251">
        <w:rPr>
          <w:rFonts w:cstheme="minorHAnsi"/>
          <w:kern w:val="0"/>
          <w14:ligatures w14:val="none"/>
        </w:rPr>
        <w:t>będzie</w:t>
      </w:r>
      <w:r w:rsidR="003B50ED" w:rsidRPr="00F16251">
        <w:rPr>
          <w:rFonts w:cstheme="minorHAnsi"/>
          <w:kern w:val="0"/>
          <w14:ligatures w14:val="none"/>
        </w:rPr>
        <w:t xml:space="preserve"> </w:t>
      </w:r>
      <w:r w:rsidRPr="00F16251">
        <w:rPr>
          <w:rFonts w:cstheme="minorHAnsi"/>
          <w:kern w:val="0"/>
          <w14:ligatures w14:val="none"/>
        </w:rPr>
        <w:t>dokonywana</w:t>
      </w:r>
      <w:r w:rsidR="003B50ED" w:rsidRPr="00F16251">
        <w:rPr>
          <w:rFonts w:cstheme="minorHAnsi"/>
          <w:kern w:val="0"/>
          <w14:ligatures w14:val="none"/>
        </w:rPr>
        <w:t xml:space="preserve"> </w:t>
      </w:r>
      <w:r w:rsidRPr="00F16251">
        <w:rPr>
          <w:rFonts w:cstheme="minorHAnsi"/>
          <w:kern w:val="0"/>
          <w14:ligatures w14:val="none"/>
        </w:rPr>
        <w:t>weryfikacja</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zakresie</w:t>
      </w:r>
      <w:r w:rsidR="003B50ED" w:rsidRPr="00F16251">
        <w:rPr>
          <w:rFonts w:cstheme="minorHAnsi"/>
          <w:kern w:val="0"/>
          <w14:ligatures w14:val="none"/>
        </w:rPr>
        <w:t xml:space="preserve"> </w:t>
      </w:r>
      <w:r w:rsidRPr="00F16251">
        <w:rPr>
          <w:rFonts w:cstheme="minorHAnsi"/>
          <w:kern w:val="0"/>
          <w14:ligatures w14:val="none"/>
        </w:rPr>
        <w:t>mierzalności</w:t>
      </w:r>
      <w:r w:rsidR="003B50ED" w:rsidRPr="00F16251">
        <w:rPr>
          <w:rFonts w:cstheme="minorHAnsi"/>
          <w:kern w:val="0"/>
          <w14:ligatures w14:val="none"/>
        </w:rPr>
        <w:t xml:space="preserve"> </w:t>
      </w:r>
      <w:r w:rsidRPr="00F16251">
        <w:rPr>
          <w:rFonts w:cstheme="minorHAnsi"/>
          <w:kern w:val="0"/>
          <w14:ligatures w14:val="none"/>
        </w:rPr>
        <w:t>oraz</w:t>
      </w:r>
      <w:r w:rsidR="003B50ED" w:rsidRPr="00F16251">
        <w:rPr>
          <w:rFonts w:cstheme="minorHAnsi"/>
          <w:kern w:val="0"/>
          <w14:ligatures w14:val="none"/>
        </w:rPr>
        <w:t xml:space="preserve"> </w:t>
      </w:r>
      <w:r w:rsidRPr="00F16251">
        <w:rPr>
          <w:rFonts w:cstheme="minorHAnsi"/>
          <w:kern w:val="0"/>
          <w14:ligatures w14:val="none"/>
        </w:rPr>
        <w:t>zgodności</w:t>
      </w:r>
      <w:r w:rsidR="003B50ED" w:rsidRPr="00F16251">
        <w:rPr>
          <w:rFonts w:cstheme="minorHAnsi"/>
          <w:kern w:val="0"/>
          <w14:ligatures w14:val="none"/>
        </w:rPr>
        <w:t xml:space="preserve"> </w:t>
      </w:r>
      <w:r w:rsidR="00290B30">
        <w:rPr>
          <w:rFonts w:cstheme="minorHAnsi"/>
          <w:kern w:val="0"/>
          <w14:ligatures w14:val="none"/>
        </w:rPr>
        <w:t xml:space="preserve"> </w:t>
      </w:r>
      <w:r w:rsidRPr="00F16251">
        <w:rPr>
          <w:rFonts w:cstheme="minorHAnsi"/>
          <w:kern w:val="0"/>
          <w14:ligatures w14:val="none"/>
        </w:rPr>
        <w:t>z</w:t>
      </w:r>
      <w:r w:rsidR="003B50ED" w:rsidRPr="00F16251">
        <w:rPr>
          <w:rFonts w:cstheme="minorHAnsi"/>
          <w:kern w:val="0"/>
          <w14:ligatures w14:val="none"/>
        </w:rPr>
        <w:t xml:space="preserve"> </w:t>
      </w:r>
      <w:r w:rsidRPr="00F16251">
        <w:rPr>
          <w:rFonts w:cstheme="minorHAnsi"/>
          <w:kern w:val="0"/>
          <w14:ligatures w14:val="none"/>
        </w:rPr>
        <w:t>diagnozą</w:t>
      </w:r>
      <w:r w:rsidR="003B50ED" w:rsidRPr="00F16251">
        <w:rPr>
          <w:rFonts w:cstheme="minorHAnsi"/>
          <w:kern w:val="0"/>
          <w14:ligatures w14:val="none"/>
        </w:rPr>
        <w:t xml:space="preserve"> </w:t>
      </w:r>
      <w:r w:rsidRPr="00F16251">
        <w:rPr>
          <w:rFonts w:cstheme="minorHAnsi"/>
          <w:kern w:val="0"/>
          <w14:ligatures w14:val="none"/>
        </w:rPr>
        <w:t>obszaru.</w:t>
      </w:r>
      <w:r w:rsidR="003B50ED" w:rsidRPr="00F16251">
        <w:rPr>
          <w:rFonts w:cstheme="minorHAnsi"/>
          <w:kern w:val="0"/>
          <w14:ligatures w14:val="none"/>
        </w:rPr>
        <w:t xml:space="preserve"> </w:t>
      </w:r>
      <w:r w:rsidRPr="00F16251">
        <w:rPr>
          <w:rFonts w:cstheme="minorHAnsi"/>
          <w:kern w:val="0"/>
          <w14:ligatures w14:val="none"/>
        </w:rPr>
        <w:t>Kryteria</w:t>
      </w:r>
      <w:r w:rsidR="003B50ED" w:rsidRPr="00F16251">
        <w:rPr>
          <w:rFonts w:cstheme="minorHAnsi"/>
          <w:kern w:val="0"/>
          <w14:ligatures w14:val="none"/>
        </w:rPr>
        <w:t xml:space="preserve"> </w:t>
      </w:r>
      <w:r w:rsidRPr="00F16251">
        <w:rPr>
          <w:rFonts w:cstheme="minorHAnsi"/>
          <w:kern w:val="0"/>
          <w14:ligatures w14:val="none"/>
        </w:rPr>
        <w:t>będą</w:t>
      </w:r>
      <w:r w:rsidR="003B50ED" w:rsidRPr="00F16251">
        <w:rPr>
          <w:rFonts w:cstheme="minorHAnsi"/>
          <w:kern w:val="0"/>
          <w14:ligatures w14:val="none"/>
        </w:rPr>
        <w:t xml:space="preserve"> </w:t>
      </w:r>
      <w:r w:rsidRPr="00F16251">
        <w:rPr>
          <w:rFonts w:cstheme="minorHAnsi"/>
          <w:kern w:val="0"/>
          <w14:ligatures w14:val="none"/>
        </w:rPr>
        <w:t>dotyczyć</w:t>
      </w:r>
      <w:r w:rsidR="003B50ED" w:rsidRPr="00F16251">
        <w:rPr>
          <w:rFonts w:cstheme="minorHAnsi"/>
          <w:kern w:val="0"/>
          <w14:ligatures w14:val="none"/>
        </w:rPr>
        <w:t xml:space="preserve"> </w:t>
      </w:r>
      <w:r w:rsidRPr="00F16251">
        <w:rPr>
          <w:rFonts w:cstheme="minorHAnsi"/>
          <w:kern w:val="0"/>
          <w14:ligatures w14:val="none"/>
        </w:rPr>
        <w:t>poszczególnych</w:t>
      </w:r>
      <w:r w:rsidR="003B50ED" w:rsidRPr="00F16251">
        <w:rPr>
          <w:rFonts w:cstheme="minorHAnsi"/>
          <w:kern w:val="0"/>
          <w14:ligatures w14:val="none"/>
        </w:rPr>
        <w:t xml:space="preserve"> </w:t>
      </w:r>
      <w:r w:rsidRPr="00F16251">
        <w:rPr>
          <w:rFonts w:cstheme="minorHAnsi"/>
          <w:kern w:val="0"/>
          <w14:ligatures w14:val="none"/>
        </w:rPr>
        <w:t>przedsięwzięć.</w:t>
      </w:r>
    </w:p>
    <w:p w14:paraId="5DC2512A" w14:textId="77777777" w:rsidR="00CF2876" w:rsidRPr="00F16251" w:rsidRDefault="002C63F4" w:rsidP="00CF2876">
      <w:pPr>
        <w:spacing w:line="276" w:lineRule="auto"/>
        <w:ind w:firstLine="360"/>
        <w:jc w:val="both"/>
        <w:rPr>
          <w:rFonts w:cstheme="minorHAnsi"/>
          <w:kern w:val="0"/>
          <w14:ligatures w14:val="none"/>
        </w:rPr>
      </w:pPr>
      <w:r w:rsidRPr="00F16251">
        <w:rPr>
          <w:rFonts w:cstheme="minorHAnsi"/>
          <w:kern w:val="0"/>
          <w14:ligatures w14:val="none"/>
        </w:rPr>
        <w:t>Kryteria</w:t>
      </w:r>
      <w:r w:rsidR="003B50ED" w:rsidRPr="00F16251">
        <w:rPr>
          <w:rFonts w:cstheme="minorHAnsi"/>
          <w:kern w:val="0"/>
          <w14:ligatures w14:val="none"/>
        </w:rPr>
        <w:t xml:space="preserve"> </w:t>
      </w:r>
      <w:r w:rsidRPr="00F16251">
        <w:rPr>
          <w:rFonts w:cstheme="minorHAnsi"/>
          <w:kern w:val="0"/>
          <w14:ligatures w14:val="none"/>
        </w:rPr>
        <w:t>będą</w:t>
      </w:r>
      <w:r w:rsidR="003B50ED" w:rsidRPr="00F16251">
        <w:rPr>
          <w:rFonts w:cstheme="minorHAnsi"/>
          <w:kern w:val="0"/>
          <w14:ligatures w14:val="none"/>
        </w:rPr>
        <w:t xml:space="preserve"> </w:t>
      </w:r>
      <w:r w:rsidRPr="00F16251">
        <w:rPr>
          <w:rFonts w:cstheme="minorHAnsi"/>
          <w:kern w:val="0"/>
          <w14:ligatures w14:val="none"/>
        </w:rPr>
        <w:t>zawężać</w:t>
      </w:r>
      <w:r w:rsidR="003B50ED" w:rsidRPr="00F16251">
        <w:rPr>
          <w:rFonts w:cstheme="minorHAnsi"/>
          <w:kern w:val="0"/>
          <w14:ligatures w14:val="none"/>
        </w:rPr>
        <w:t xml:space="preserve"> </w:t>
      </w:r>
      <w:r w:rsidRPr="00F16251">
        <w:rPr>
          <w:rFonts w:cstheme="minorHAnsi"/>
          <w:kern w:val="0"/>
          <w14:ligatures w14:val="none"/>
        </w:rPr>
        <w:t>możliwość</w:t>
      </w:r>
      <w:r w:rsidR="003B50ED" w:rsidRPr="00F16251">
        <w:rPr>
          <w:rFonts w:cstheme="minorHAnsi"/>
          <w:kern w:val="0"/>
          <w14:ligatures w14:val="none"/>
        </w:rPr>
        <w:t xml:space="preserve"> </w:t>
      </w:r>
      <w:r w:rsidRPr="00F16251">
        <w:rPr>
          <w:rFonts w:cstheme="minorHAnsi"/>
          <w:kern w:val="0"/>
          <w14:ligatures w14:val="none"/>
        </w:rPr>
        <w:t>uzyskania</w:t>
      </w:r>
      <w:r w:rsidR="003B50ED" w:rsidRPr="00F16251">
        <w:rPr>
          <w:rFonts w:cstheme="minorHAnsi"/>
          <w:kern w:val="0"/>
          <w14:ligatures w14:val="none"/>
        </w:rPr>
        <w:t xml:space="preserve"> </w:t>
      </w:r>
      <w:r w:rsidRPr="00F16251">
        <w:rPr>
          <w:rFonts w:cstheme="minorHAnsi"/>
          <w:kern w:val="0"/>
          <w14:ligatures w14:val="none"/>
        </w:rPr>
        <w:t>wsparcia</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będą</w:t>
      </w:r>
      <w:r w:rsidR="003B50ED" w:rsidRPr="00F16251">
        <w:rPr>
          <w:rFonts w:cstheme="minorHAnsi"/>
          <w:kern w:val="0"/>
          <w14:ligatures w14:val="none"/>
        </w:rPr>
        <w:t xml:space="preserve"> </w:t>
      </w:r>
      <w:r w:rsidRPr="00F16251">
        <w:rPr>
          <w:rFonts w:cstheme="minorHAnsi"/>
          <w:kern w:val="0"/>
          <w14:ligatures w14:val="none"/>
        </w:rPr>
        <w:t>je</w:t>
      </w:r>
      <w:r w:rsidR="003B50ED" w:rsidRPr="00F16251">
        <w:rPr>
          <w:rFonts w:cstheme="minorHAnsi"/>
          <w:kern w:val="0"/>
          <w14:ligatures w14:val="none"/>
        </w:rPr>
        <w:t xml:space="preserve"> </w:t>
      </w:r>
      <w:r w:rsidRPr="00F16251">
        <w:rPr>
          <w:rFonts w:cstheme="minorHAnsi"/>
          <w:kern w:val="0"/>
          <w14:ligatures w14:val="none"/>
        </w:rPr>
        <w:t>kierunkować</w:t>
      </w:r>
      <w:r w:rsidR="003B50ED" w:rsidRPr="00F16251">
        <w:rPr>
          <w:rFonts w:cstheme="minorHAnsi"/>
          <w:kern w:val="0"/>
          <w14:ligatures w14:val="none"/>
        </w:rPr>
        <w:t xml:space="preserve"> </w:t>
      </w:r>
      <w:r w:rsidRPr="00F16251">
        <w:rPr>
          <w:rFonts w:cstheme="minorHAnsi"/>
          <w:kern w:val="0"/>
          <w14:ligatures w14:val="none"/>
        </w:rPr>
        <w:t>na</w:t>
      </w:r>
      <w:r w:rsidR="003B50ED" w:rsidRPr="00F16251">
        <w:rPr>
          <w:rFonts w:cstheme="minorHAnsi"/>
          <w:kern w:val="0"/>
          <w14:ligatures w14:val="none"/>
        </w:rPr>
        <w:t xml:space="preserve"> </w:t>
      </w:r>
      <w:r w:rsidRPr="00F16251">
        <w:rPr>
          <w:rFonts w:cstheme="minorHAnsi"/>
          <w:kern w:val="0"/>
          <w14:ligatures w14:val="none"/>
        </w:rPr>
        <w:t>operacje</w:t>
      </w:r>
      <w:r w:rsidR="003B50ED" w:rsidRPr="00F16251">
        <w:rPr>
          <w:rFonts w:cstheme="minorHAnsi"/>
          <w:kern w:val="0"/>
          <w14:ligatures w14:val="none"/>
        </w:rPr>
        <w:t xml:space="preserve"> </w:t>
      </w:r>
      <w:r w:rsidRPr="00F16251">
        <w:rPr>
          <w:rFonts w:cstheme="minorHAnsi"/>
          <w:kern w:val="0"/>
          <w14:ligatures w14:val="none"/>
        </w:rPr>
        <w:t>najpełniej</w:t>
      </w:r>
      <w:r w:rsidR="003B50ED" w:rsidRPr="00F16251">
        <w:rPr>
          <w:rFonts w:cstheme="minorHAnsi"/>
          <w:kern w:val="0"/>
          <w14:ligatures w14:val="none"/>
        </w:rPr>
        <w:t xml:space="preserve"> </w:t>
      </w:r>
      <w:r w:rsidRPr="00F16251">
        <w:rPr>
          <w:rFonts w:cstheme="minorHAnsi"/>
          <w:kern w:val="0"/>
          <w14:ligatures w14:val="none"/>
        </w:rPr>
        <w:t>odpowiadające</w:t>
      </w:r>
      <w:r w:rsidR="003B50ED" w:rsidRPr="00F16251">
        <w:rPr>
          <w:rFonts w:cstheme="minorHAnsi"/>
          <w:kern w:val="0"/>
          <w14:ligatures w14:val="none"/>
        </w:rPr>
        <w:t xml:space="preserve"> </w:t>
      </w:r>
      <w:r w:rsidRPr="00F16251">
        <w:rPr>
          <w:rFonts w:cstheme="minorHAnsi"/>
          <w:kern w:val="0"/>
          <w14:ligatures w14:val="none"/>
        </w:rPr>
        <w:t>potrzebom</w:t>
      </w:r>
      <w:r w:rsidR="003B50ED" w:rsidRPr="00F16251">
        <w:rPr>
          <w:rFonts w:cstheme="minorHAnsi"/>
          <w:kern w:val="0"/>
          <w14:ligatures w14:val="none"/>
        </w:rPr>
        <w:t xml:space="preserve"> </w:t>
      </w:r>
      <w:r w:rsidRPr="00F16251">
        <w:rPr>
          <w:rFonts w:cstheme="minorHAnsi"/>
          <w:kern w:val="0"/>
          <w14:ligatures w14:val="none"/>
        </w:rPr>
        <w:t>obszaru</w:t>
      </w:r>
      <w:r w:rsidR="003B50ED" w:rsidRPr="00F16251">
        <w:rPr>
          <w:rFonts w:cstheme="minorHAnsi"/>
          <w:kern w:val="0"/>
          <w14:ligatures w14:val="none"/>
        </w:rPr>
        <w:t xml:space="preserve"> </w:t>
      </w:r>
      <w:r w:rsidRPr="00F16251">
        <w:rPr>
          <w:rFonts w:cstheme="minorHAnsi"/>
          <w:kern w:val="0"/>
          <w14:ligatures w14:val="none"/>
        </w:rPr>
        <w:t>LSR</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najlepiej</w:t>
      </w:r>
      <w:r w:rsidR="003B50ED" w:rsidRPr="00F16251">
        <w:rPr>
          <w:rFonts w:cstheme="minorHAnsi"/>
          <w:kern w:val="0"/>
          <w14:ligatures w14:val="none"/>
        </w:rPr>
        <w:t xml:space="preserve"> </w:t>
      </w:r>
      <w:r w:rsidRPr="00F16251">
        <w:rPr>
          <w:rFonts w:cstheme="minorHAnsi"/>
          <w:kern w:val="0"/>
          <w14:ligatures w14:val="none"/>
        </w:rPr>
        <w:t>pasujące</w:t>
      </w:r>
      <w:r w:rsidR="003B50ED" w:rsidRPr="00F16251">
        <w:rPr>
          <w:rFonts w:cstheme="minorHAnsi"/>
          <w:kern w:val="0"/>
          <w14:ligatures w14:val="none"/>
        </w:rPr>
        <w:t xml:space="preserve"> </w:t>
      </w:r>
      <w:r w:rsidRPr="00F16251">
        <w:rPr>
          <w:rFonts w:cstheme="minorHAnsi"/>
          <w:kern w:val="0"/>
          <w14:ligatures w14:val="none"/>
        </w:rPr>
        <w:t>do</w:t>
      </w:r>
      <w:r w:rsidR="003B50ED" w:rsidRPr="00F16251">
        <w:rPr>
          <w:rFonts w:cstheme="minorHAnsi"/>
          <w:kern w:val="0"/>
          <w14:ligatures w14:val="none"/>
        </w:rPr>
        <w:t xml:space="preserve"> </w:t>
      </w:r>
      <w:r w:rsidRPr="00F16251">
        <w:rPr>
          <w:rFonts w:cstheme="minorHAnsi"/>
          <w:kern w:val="0"/>
          <w14:ligatures w14:val="none"/>
        </w:rPr>
        <w:t>zaplanowanych</w:t>
      </w:r>
      <w:r w:rsidR="003B50ED" w:rsidRPr="00F16251">
        <w:rPr>
          <w:rFonts w:cstheme="minorHAnsi"/>
          <w:kern w:val="0"/>
          <w14:ligatures w14:val="none"/>
        </w:rPr>
        <w:t xml:space="preserve"> </w:t>
      </w:r>
      <w:r w:rsidRPr="00F16251">
        <w:rPr>
          <w:rFonts w:cstheme="minorHAnsi"/>
          <w:kern w:val="0"/>
          <w14:ligatures w14:val="none"/>
        </w:rPr>
        <w:t>do</w:t>
      </w:r>
      <w:r w:rsidR="003B50ED" w:rsidRPr="00F16251">
        <w:rPr>
          <w:rFonts w:cstheme="minorHAnsi"/>
          <w:kern w:val="0"/>
          <w14:ligatures w14:val="none"/>
        </w:rPr>
        <w:t xml:space="preserve"> </w:t>
      </w:r>
      <w:r w:rsidRPr="00F16251">
        <w:rPr>
          <w:rFonts w:cstheme="minorHAnsi"/>
          <w:kern w:val="0"/>
          <w14:ligatures w14:val="none"/>
        </w:rPr>
        <w:t>realizacji</w:t>
      </w:r>
      <w:r w:rsidR="003B50ED" w:rsidRPr="00F16251">
        <w:rPr>
          <w:rFonts w:cstheme="minorHAnsi"/>
          <w:kern w:val="0"/>
          <w14:ligatures w14:val="none"/>
        </w:rPr>
        <w:t xml:space="preserve"> </w:t>
      </w:r>
      <w:r w:rsidRPr="00F16251">
        <w:rPr>
          <w:rFonts w:cstheme="minorHAnsi"/>
          <w:kern w:val="0"/>
          <w14:ligatures w14:val="none"/>
        </w:rPr>
        <w:t>przedsięwzięć.</w:t>
      </w:r>
      <w:r w:rsidR="003B50ED" w:rsidRPr="00F16251">
        <w:rPr>
          <w:rFonts w:cstheme="minorHAnsi"/>
          <w:kern w:val="0"/>
          <w14:ligatures w14:val="none"/>
        </w:rPr>
        <w:t xml:space="preserve"> </w:t>
      </w:r>
    </w:p>
    <w:p w14:paraId="67941941" w14:textId="77777777" w:rsidR="00CF2876" w:rsidRPr="00F16251" w:rsidRDefault="002C63F4" w:rsidP="00CF2876">
      <w:pPr>
        <w:spacing w:line="276" w:lineRule="auto"/>
        <w:ind w:firstLine="360"/>
        <w:jc w:val="both"/>
        <w:rPr>
          <w:rFonts w:cstheme="minorHAnsi"/>
          <w:kern w:val="0"/>
          <w14:ligatures w14:val="none"/>
        </w:rPr>
      </w:pPr>
      <w:r w:rsidRPr="00F16251">
        <w:rPr>
          <w:rFonts w:cstheme="minorHAnsi"/>
          <w:kern w:val="0"/>
          <w14:ligatures w14:val="none"/>
        </w:rPr>
        <w:t>Kryteria</w:t>
      </w:r>
      <w:r w:rsidR="003B50ED" w:rsidRPr="00F16251">
        <w:rPr>
          <w:rFonts w:cstheme="minorHAnsi"/>
          <w:kern w:val="0"/>
          <w14:ligatures w14:val="none"/>
        </w:rPr>
        <w:t xml:space="preserve"> </w:t>
      </w:r>
      <w:r w:rsidRPr="00F16251">
        <w:rPr>
          <w:rFonts w:cstheme="minorHAnsi"/>
          <w:kern w:val="0"/>
          <w14:ligatures w14:val="none"/>
        </w:rPr>
        <w:t>jakościowe</w:t>
      </w:r>
      <w:r w:rsidR="003B50ED" w:rsidRPr="00F16251">
        <w:rPr>
          <w:rFonts w:cstheme="minorHAnsi"/>
          <w:kern w:val="0"/>
          <w14:ligatures w14:val="none"/>
        </w:rPr>
        <w:t xml:space="preserve"> </w:t>
      </w:r>
      <w:r w:rsidRPr="00F16251">
        <w:rPr>
          <w:rFonts w:cstheme="minorHAnsi"/>
          <w:kern w:val="0"/>
          <w14:ligatures w14:val="none"/>
        </w:rPr>
        <w:t>będą</w:t>
      </w:r>
      <w:r w:rsidR="003B50ED" w:rsidRPr="00F16251">
        <w:rPr>
          <w:rFonts w:cstheme="minorHAnsi"/>
          <w:kern w:val="0"/>
          <w14:ligatures w14:val="none"/>
        </w:rPr>
        <w:t xml:space="preserve"> </w:t>
      </w:r>
      <w:r w:rsidRPr="00F16251">
        <w:rPr>
          <w:rFonts w:cstheme="minorHAnsi"/>
          <w:kern w:val="0"/>
          <w14:ligatures w14:val="none"/>
        </w:rPr>
        <w:t>zawierać</w:t>
      </w:r>
      <w:r w:rsidR="003B50ED" w:rsidRPr="00F16251">
        <w:rPr>
          <w:rFonts w:cstheme="minorHAnsi"/>
          <w:kern w:val="0"/>
          <w14:ligatures w14:val="none"/>
        </w:rPr>
        <w:t xml:space="preserve"> </w:t>
      </w:r>
      <w:r w:rsidRPr="00F16251">
        <w:rPr>
          <w:rFonts w:cstheme="minorHAnsi"/>
          <w:kern w:val="0"/>
          <w14:ligatures w14:val="none"/>
        </w:rPr>
        <w:t>szczegółowy</w:t>
      </w:r>
      <w:r w:rsidR="003B50ED" w:rsidRPr="00F16251">
        <w:rPr>
          <w:rFonts w:cstheme="minorHAnsi"/>
          <w:kern w:val="0"/>
          <w14:ligatures w14:val="none"/>
        </w:rPr>
        <w:t xml:space="preserve"> </w:t>
      </w:r>
      <w:r w:rsidRPr="00F16251">
        <w:rPr>
          <w:rFonts w:cstheme="minorHAnsi"/>
          <w:kern w:val="0"/>
          <w14:ligatures w14:val="none"/>
        </w:rPr>
        <w:t>opis</w:t>
      </w:r>
      <w:r w:rsidR="003B50ED" w:rsidRPr="00F16251">
        <w:rPr>
          <w:rFonts w:cstheme="minorHAnsi"/>
          <w:kern w:val="0"/>
          <w14:ligatures w14:val="none"/>
        </w:rPr>
        <w:t xml:space="preserve"> </w:t>
      </w:r>
      <w:r w:rsidRPr="00F16251">
        <w:rPr>
          <w:rFonts w:cstheme="minorHAnsi"/>
          <w:kern w:val="0"/>
          <w14:ligatures w14:val="none"/>
        </w:rPr>
        <w:t>podejścia</w:t>
      </w:r>
      <w:r w:rsidR="003B50ED" w:rsidRPr="00F16251">
        <w:rPr>
          <w:rFonts w:cstheme="minorHAnsi"/>
          <w:kern w:val="0"/>
          <w14:ligatures w14:val="none"/>
        </w:rPr>
        <w:t xml:space="preserve"> </w:t>
      </w:r>
      <w:r w:rsidRPr="00F16251">
        <w:rPr>
          <w:rFonts w:cstheme="minorHAnsi"/>
          <w:kern w:val="0"/>
          <w14:ligatures w14:val="none"/>
        </w:rPr>
        <w:t>do</w:t>
      </w:r>
      <w:r w:rsidR="003B50ED" w:rsidRPr="00F16251">
        <w:rPr>
          <w:rFonts w:cstheme="minorHAnsi"/>
          <w:kern w:val="0"/>
          <w14:ligatures w14:val="none"/>
        </w:rPr>
        <w:t xml:space="preserve"> </w:t>
      </w:r>
      <w:r w:rsidRPr="00F16251">
        <w:rPr>
          <w:rFonts w:cstheme="minorHAnsi"/>
          <w:kern w:val="0"/>
          <w14:ligatures w14:val="none"/>
        </w:rPr>
        <w:t>ich</w:t>
      </w:r>
      <w:r w:rsidR="003B50ED" w:rsidRPr="00F16251">
        <w:rPr>
          <w:rFonts w:cstheme="minorHAnsi"/>
          <w:kern w:val="0"/>
          <w14:ligatures w14:val="none"/>
        </w:rPr>
        <w:t xml:space="preserve"> </w:t>
      </w:r>
      <w:r w:rsidRPr="00F16251">
        <w:rPr>
          <w:rFonts w:cstheme="minorHAnsi"/>
          <w:kern w:val="0"/>
          <w14:ligatures w14:val="none"/>
        </w:rPr>
        <w:t>oceny,</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tym</w:t>
      </w:r>
      <w:r w:rsidR="003B50ED" w:rsidRPr="00F16251">
        <w:rPr>
          <w:rFonts w:cstheme="minorHAnsi"/>
          <w:kern w:val="0"/>
          <w14:ligatures w14:val="none"/>
        </w:rPr>
        <w:t xml:space="preserve"> </w:t>
      </w:r>
      <w:r w:rsidRPr="00F16251">
        <w:rPr>
          <w:rFonts w:cstheme="minorHAnsi"/>
          <w:kern w:val="0"/>
          <w14:ligatures w14:val="none"/>
        </w:rPr>
        <w:t>wskazanie</w:t>
      </w:r>
      <w:r w:rsidR="003B50ED" w:rsidRPr="00F16251">
        <w:rPr>
          <w:rFonts w:cstheme="minorHAnsi"/>
          <w:kern w:val="0"/>
          <w14:ligatures w14:val="none"/>
        </w:rPr>
        <w:t xml:space="preserve"> </w:t>
      </w:r>
      <w:r w:rsidRPr="00F16251">
        <w:rPr>
          <w:rFonts w:cstheme="minorHAnsi"/>
          <w:kern w:val="0"/>
          <w14:ligatures w14:val="none"/>
        </w:rPr>
        <w:t>jakie</w:t>
      </w:r>
      <w:r w:rsidR="003B50ED" w:rsidRPr="00F16251">
        <w:rPr>
          <w:rFonts w:cstheme="minorHAnsi"/>
          <w:kern w:val="0"/>
          <w14:ligatures w14:val="none"/>
        </w:rPr>
        <w:t xml:space="preserve"> </w:t>
      </w:r>
      <w:r w:rsidRPr="00F16251">
        <w:rPr>
          <w:rFonts w:cstheme="minorHAnsi"/>
          <w:kern w:val="0"/>
          <w14:ligatures w14:val="none"/>
        </w:rPr>
        <w:t>wymagania</w:t>
      </w:r>
      <w:r w:rsidR="003B50ED" w:rsidRPr="00F16251">
        <w:rPr>
          <w:rFonts w:cstheme="minorHAnsi"/>
          <w:kern w:val="0"/>
          <w14:ligatures w14:val="none"/>
        </w:rPr>
        <w:t xml:space="preserve"> </w:t>
      </w:r>
      <w:r w:rsidRPr="00F16251">
        <w:rPr>
          <w:rFonts w:cstheme="minorHAnsi"/>
          <w:kern w:val="0"/>
          <w14:ligatures w14:val="none"/>
        </w:rPr>
        <w:t>będą</w:t>
      </w:r>
      <w:r w:rsidR="003B50ED" w:rsidRPr="00F16251">
        <w:rPr>
          <w:rFonts w:cstheme="minorHAnsi"/>
          <w:kern w:val="0"/>
          <w14:ligatures w14:val="none"/>
        </w:rPr>
        <w:t xml:space="preserve"> </w:t>
      </w:r>
      <w:r w:rsidRPr="00F16251">
        <w:rPr>
          <w:rFonts w:cstheme="minorHAnsi"/>
          <w:kern w:val="0"/>
          <w14:ligatures w14:val="none"/>
        </w:rPr>
        <w:t>konieczne</w:t>
      </w:r>
      <w:r w:rsidR="003B50ED" w:rsidRPr="00F16251">
        <w:rPr>
          <w:rFonts w:cstheme="minorHAnsi"/>
          <w:kern w:val="0"/>
          <w14:ligatures w14:val="none"/>
        </w:rPr>
        <w:t xml:space="preserve"> </w:t>
      </w:r>
      <w:r w:rsidRPr="00F16251">
        <w:rPr>
          <w:rFonts w:cstheme="minorHAnsi"/>
          <w:kern w:val="0"/>
          <w14:ligatures w14:val="none"/>
        </w:rPr>
        <w:t>do</w:t>
      </w:r>
      <w:r w:rsidR="003B50ED" w:rsidRPr="00F16251">
        <w:rPr>
          <w:rFonts w:cstheme="minorHAnsi"/>
          <w:kern w:val="0"/>
          <w14:ligatures w14:val="none"/>
        </w:rPr>
        <w:t xml:space="preserve"> </w:t>
      </w:r>
      <w:r w:rsidRPr="00F16251">
        <w:rPr>
          <w:rFonts w:cstheme="minorHAnsi"/>
          <w:kern w:val="0"/>
          <w14:ligatures w14:val="none"/>
        </w:rPr>
        <w:t>spełnienia,</w:t>
      </w:r>
      <w:r w:rsidR="003B50ED" w:rsidRPr="00F16251">
        <w:rPr>
          <w:rFonts w:cstheme="minorHAnsi"/>
          <w:kern w:val="0"/>
          <w14:ligatures w14:val="none"/>
        </w:rPr>
        <w:t xml:space="preserve"> </w:t>
      </w:r>
      <w:r w:rsidRPr="00F16251">
        <w:rPr>
          <w:rFonts w:cstheme="minorHAnsi"/>
          <w:kern w:val="0"/>
          <w14:ligatures w14:val="none"/>
        </w:rPr>
        <w:t>żeby</w:t>
      </w:r>
      <w:r w:rsidR="003B50ED" w:rsidRPr="00F16251">
        <w:rPr>
          <w:rFonts w:cstheme="minorHAnsi"/>
          <w:kern w:val="0"/>
          <w14:ligatures w14:val="none"/>
        </w:rPr>
        <w:t xml:space="preserve"> </w:t>
      </w:r>
      <w:r w:rsidRPr="00F16251">
        <w:rPr>
          <w:rFonts w:cstheme="minorHAnsi"/>
          <w:kern w:val="0"/>
          <w14:ligatures w14:val="none"/>
        </w:rPr>
        <w:t>uzyskać</w:t>
      </w:r>
      <w:r w:rsidR="003B50ED" w:rsidRPr="00F16251">
        <w:rPr>
          <w:rFonts w:cstheme="minorHAnsi"/>
          <w:kern w:val="0"/>
          <w14:ligatures w14:val="none"/>
        </w:rPr>
        <w:t xml:space="preserve"> </w:t>
      </w:r>
      <w:r w:rsidRPr="00F16251">
        <w:rPr>
          <w:rFonts w:cstheme="minorHAnsi"/>
          <w:kern w:val="0"/>
          <w14:ligatures w14:val="none"/>
        </w:rPr>
        <w:t>określoną</w:t>
      </w:r>
      <w:r w:rsidR="003B50ED" w:rsidRPr="00F16251">
        <w:rPr>
          <w:rFonts w:cstheme="minorHAnsi"/>
          <w:kern w:val="0"/>
          <w14:ligatures w14:val="none"/>
        </w:rPr>
        <w:t xml:space="preserve"> </w:t>
      </w:r>
      <w:r w:rsidRPr="00F16251">
        <w:rPr>
          <w:rFonts w:cstheme="minorHAnsi"/>
          <w:kern w:val="0"/>
          <w14:ligatures w14:val="none"/>
        </w:rPr>
        <w:t>liczbę</w:t>
      </w:r>
      <w:r w:rsidR="003B50ED" w:rsidRPr="00F16251">
        <w:rPr>
          <w:rFonts w:cstheme="minorHAnsi"/>
          <w:kern w:val="0"/>
          <w14:ligatures w14:val="none"/>
        </w:rPr>
        <w:t xml:space="preserve"> </w:t>
      </w:r>
      <w:r w:rsidRPr="00F16251">
        <w:rPr>
          <w:rFonts w:cstheme="minorHAnsi"/>
          <w:kern w:val="0"/>
          <w14:ligatures w14:val="none"/>
        </w:rPr>
        <w:t>punktów.</w:t>
      </w:r>
      <w:r w:rsidR="003B50ED" w:rsidRPr="00F16251">
        <w:rPr>
          <w:rFonts w:cstheme="minorHAnsi"/>
          <w:kern w:val="0"/>
          <w14:ligatures w14:val="none"/>
        </w:rPr>
        <w:t xml:space="preserve"> </w:t>
      </w:r>
      <w:r w:rsidRPr="00F16251">
        <w:rPr>
          <w:rFonts w:cstheme="minorHAnsi"/>
          <w:kern w:val="0"/>
          <w14:ligatures w14:val="none"/>
        </w:rPr>
        <w:t>Będą</w:t>
      </w:r>
      <w:r w:rsidR="003B50ED" w:rsidRPr="00F16251">
        <w:rPr>
          <w:rFonts w:cstheme="minorHAnsi"/>
          <w:kern w:val="0"/>
          <w14:ligatures w14:val="none"/>
        </w:rPr>
        <w:t xml:space="preserve"> </w:t>
      </w:r>
      <w:r w:rsidRPr="00F16251">
        <w:rPr>
          <w:rFonts w:cstheme="minorHAnsi"/>
          <w:kern w:val="0"/>
          <w14:ligatures w14:val="none"/>
        </w:rPr>
        <w:t>zawierać</w:t>
      </w:r>
      <w:r w:rsidR="003B50ED" w:rsidRPr="00F16251">
        <w:rPr>
          <w:rFonts w:cstheme="minorHAnsi"/>
          <w:kern w:val="0"/>
          <w14:ligatures w14:val="none"/>
        </w:rPr>
        <w:t xml:space="preserve"> </w:t>
      </w:r>
      <w:r w:rsidRPr="00F16251">
        <w:rPr>
          <w:rFonts w:cstheme="minorHAnsi"/>
          <w:kern w:val="0"/>
          <w14:ligatures w14:val="none"/>
        </w:rPr>
        <w:t>opisy,</w:t>
      </w:r>
      <w:r w:rsidR="003B50ED" w:rsidRPr="00F16251">
        <w:rPr>
          <w:rFonts w:cstheme="minorHAnsi"/>
          <w:kern w:val="0"/>
          <w14:ligatures w14:val="none"/>
        </w:rPr>
        <w:t xml:space="preserve"> </w:t>
      </w:r>
      <w:r w:rsidRPr="00F16251">
        <w:rPr>
          <w:rFonts w:cstheme="minorHAnsi"/>
          <w:kern w:val="0"/>
          <w14:ligatures w14:val="none"/>
        </w:rPr>
        <w:t>niezbędne</w:t>
      </w:r>
      <w:r w:rsidR="003B50ED" w:rsidRPr="00F16251">
        <w:rPr>
          <w:rFonts w:cstheme="minorHAnsi"/>
          <w:kern w:val="0"/>
          <w14:ligatures w14:val="none"/>
        </w:rPr>
        <w:t xml:space="preserve"> </w:t>
      </w:r>
      <w:r w:rsidRPr="00F16251">
        <w:rPr>
          <w:rFonts w:cstheme="minorHAnsi"/>
          <w:kern w:val="0"/>
          <w14:ligatures w14:val="none"/>
        </w:rPr>
        <w:t>definicje</w:t>
      </w:r>
      <w:r w:rsidR="003B50ED" w:rsidRPr="00F16251">
        <w:rPr>
          <w:rFonts w:cstheme="minorHAnsi"/>
          <w:kern w:val="0"/>
          <w14:ligatures w14:val="none"/>
        </w:rPr>
        <w:t xml:space="preserve"> </w:t>
      </w:r>
      <w:r w:rsidRPr="00F16251">
        <w:rPr>
          <w:rFonts w:cstheme="minorHAnsi"/>
          <w:kern w:val="0"/>
          <w14:ligatures w14:val="none"/>
        </w:rPr>
        <w:t>oraz</w:t>
      </w:r>
      <w:r w:rsidR="003B50ED" w:rsidRPr="00F16251">
        <w:rPr>
          <w:rFonts w:cstheme="minorHAnsi"/>
          <w:kern w:val="0"/>
          <w14:ligatures w14:val="none"/>
        </w:rPr>
        <w:t xml:space="preserve"> </w:t>
      </w:r>
      <w:r w:rsidRPr="00F16251">
        <w:rPr>
          <w:rFonts w:cstheme="minorHAnsi"/>
          <w:kern w:val="0"/>
          <w14:ligatures w14:val="none"/>
        </w:rPr>
        <w:t>wskazanie</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dokumentacji</w:t>
      </w:r>
      <w:r w:rsidR="003B50ED" w:rsidRPr="00F16251">
        <w:rPr>
          <w:rFonts w:cstheme="minorHAnsi"/>
          <w:kern w:val="0"/>
          <w14:ligatures w14:val="none"/>
        </w:rPr>
        <w:t xml:space="preserve"> </w:t>
      </w:r>
      <w:r w:rsidRPr="00F16251">
        <w:rPr>
          <w:rFonts w:cstheme="minorHAnsi"/>
          <w:kern w:val="0"/>
          <w14:ligatures w14:val="none"/>
        </w:rPr>
        <w:t>konkursowej</w:t>
      </w:r>
      <w:r w:rsidR="003B50ED" w:rsidRPr="00F16251">
        <w:rPr>
          <w:rFonts w:cstheme="minorHAnsi"/>
          <w:kern w:val="0"/>
          <w14:ligatures w14:val="none"/>
        </w:rPr>
        <w:t xml:space="preserve"> </w:t>
      </w:r>
      <w:r w:rsidRPr="00F16251">
        <w:rPr>
          <w:rFonts w:cstheme="minorHAnsi"/>
          <w:kern w:val="0"/>
          <w14:ligatures w14:val="none"/>
        </w:rPr>
        <w:t>miejsca,</w:t>
      </w:r>
      <w:r w:rsidR="003B50ED" w:rsidRPr="00F16251">
        <w:rPr>
          <w:rFonts w:cstheme="minorHAnsi"/>
          <w:kern w:val="0"/>
          <w14:ligatures w14:val="none"/>
        </w:rPr>
        <w:t xml:space="preserve"> </w:t>
      </w:r>
      <w:r w:rsidRPr="00F16251">
        <w:rPr>
          <w:rFonts w:cstheme="minorHAnsi"/>
          <w:kern w:val="0"/>
          <w14:ligatures w14:val="none"/>
        </w:rPr>
        <w:t>które</w:t>
      </w:r>
      <w:r w:rsidR="003B50ED" w:rsidRPr="00F16251">
        <w:rPr>
          <w:rFonts w:cstheme="minorHAnsi"/>
          <w:kern w:val="0"/>
          <w14:ligatures w14:val="none"/>
        </w:rPr>
        <w:t xml:space="preserve"> </w:t>
      </w:r>
      <w:r w:rsidRPr="00F16251">
        <w:rPr>
          <w:rFonts w:cstheme="minorHAnsi"/>
          <w:kern w:val="0"/>
          <w14:ligatures w14:val="none"/>
        </w:rPr>
        <w:t>będzie</w:t>
      </w:r>
      <w:r w:rsidR="003B50ED" w:rsidRPr="00F16251">
        <w:rPr>
          <w:rFonts w:cstheme="minorHAnsi"/>
          <w:kern w:val="0"/>
          <w14:ligatures w14:val="none"/>
        </w:rPr>
        <w:t xml:space="preserve"> </w:t>
      </w:r>
      <w:r w:rsidRPr="00F16251">
        <w:rPr>
          <w:rFonts w:cstheme="minorHAnsi"/>
          <w:kern w:val="0"/>
          <w14:ligatures w14:val="none"/>
        </w:rPr>
        <w:t>podstawą</w:t>
      </w:r>
      <w:r w:rsidR="003B50ED" w:rsidRPr="00F16251">
        <w:rPr>
          <w:rFonts w:cstheme="minorHAnsi"/>
          <w:kern w:val="0"/>
          <w14:ligatures w14:val="none"/>
        </w:rPr>
        <w:t xml:space="preserve"> </w:t>
      </w:r>
      <w:r w:rsidRPr="00F16251">
        <w:rPr>
          <w:rFonts w:cstheme="minorHAnsi"/>
          <w:kern w:val="0"/>
          <w14:ligatures w14:val="none"/>
        </w:rPr>
        <w:t>oceny</w:t>
      </w:r>
      <w:r w:rsidR="003B50ED" w:rsidRPr="00F16251">
        <w:rPr>
          <w:rFonts w:cstheme="minorHAnsi"/>
          <w:kern w:val="0"/>
          <w14:ligatures w14:val="none"/>
        </w:rPr>
        <w:t xml:space="preserve"> </w:t>
      </w:r>
      <w:r w:rsidRPr="00F16251">
        <w:rPr>
          <w:rFonts w:cstheme="minorHAnsi"/>
          <w:kern w:val="0"/>
          <w14:ligatures w14:val="none"/>
        </w:rPr>
        <w:t>lub</w:t>
      </w:r>
      <w:r w:rsidR="003B50ED" w:rsidRPr="00F16251">
        <w:rPr>
          <w:rFonts w:cstheme="minorHAnsi"/>
          <w:kern w:val="0"/>
          <w14:ligatures w14:val="none"/>
        </w:rPr>
        <w:t xml:space="preserve"> </w:t>
      </w:r>
      <w:r w:rsidRPr="00F16251">
        <w:rPr>
          <w:rFonts w:cstheme="minorHAnsi"/>
          <w:kern w:val="0"/>
          <w14:ligatures w14:val="none"/>
        </w:rPr>
        <w:t>wskazanie</w:t>
      </w:r>
      <w:r w:rsidR="003B50ED" w:rsidRPr="00F16251">
        <w:rPr>
          <w:rFonts w:cstheme="minorHAnsi"/>
          <w:kern w:val="0"/>
          <w14:ligatures w14:val="none"/>
        </w:rPr>
        <w:t xml:space="preserve"> </w:t>
      </w:r>
      <w:r w:rsidRPr="00F16251">
        <w:rPr>
          <w:rFonts w:cstheme="minorHAnsi"/>
          <w:kern w:val="0"/>
          <w14:ligatures w14:val="none"/>
        </w:rPr>
        <w:t>wymaganych</w:t>
      </w:r>
      <w:r w:rsidR="003B50ED" w:rsidRPr="00F16251">
        <w:rPr>
          <w:rFonts w:cstheme="minorHAnsi"/>
          <w:kern w:val="0"/>
          <w14:ligatures w14:val="none"/>
        </w:rPr>
        <w:t xml:space="preserve"> </w:t>
      </w:r>
      <w:r w:rsidRPr="00F16251">
        <w:rPr>
          <w:rFonts w:cstheme="minorHAnsi"/>
          <w:kern w:val="0"/>
          <w14:ligatures w14:val="none"/>
        </w:rPr>
        <w:t>dodatkowych</w:t>
      </w:r>
      <w:r w:rsidR="003B50ED" w:rsidRPr="00F16251">
        <w:rPr>
          <w:rFonts w:cstheme="minorHAnsi"/>
          <w:kern w:val="0"/>
          <w14:ligatures w14:val="none"/>
        </w:rPr>
        <w:t xml:space="preserve"> </w:t>
      </w:r>
      <w:r w:rsidRPr="00F16251">
        <w:rPr>
          <w:rFonts w:cstheme="minorHAnsi"/>
          <w:kern w:val="0"/>
          <w14:ligatures w14:val="none"/>
        </w:rPr>
        <w:t>załączników,</w:t>
      </w:r>
      <w:r w:rsidR="003B50ED" w:rsidRPr="00F16251">
        <w:rPr>
          <w:rFonts w:cstheme="minorHAnsi"/>
          <w:kern w:val="0"/>
          <w14:ligatures w14:val="none"/>
        </w:rPr>
        <w:t xml:space="preserve"> </w:t>
      </w:r>
      <w:r w:rsidRPr="00F16251">
        <w:rPr>
          <w:rFonts w:cstheme="minorHAnsi"/>
          <w:kern w:val="0"/>
          <w14:ligatures w14:val="none"/>
        </w:rPr>
        <w:t>które</w:t>
      </w:r>
      <w:r w:rsidR="003B50ED" w:rsidRPr="00F16251">
        <w:rPr>
          <w:rFonts w:cstheme="minorHAnsi"/>
          <w:kern w:val="0"/>
          <w14:ligatures w14:val="none"/>
        </w:rPr>
        <w:t xml:space="preserve"> </w:t>
      </w:r>
      <w:r w:rsidRPr="00F16251">
        <w:rPr>
          <w:rFonts w:cstheme="minorHAnsi"/>
          <w:kern w:val="0"/>
          <w14:ligatures w14:val="none"/>
        </w:rPr>
        <w:t>będą</w:t>
      </w:r>
      <w:r w:rsidR="003B50ED" w:rsidRPr="00F16251">
        <w:rPr>
          <w:rFonts w:cstheme="minorHAnsi"/>
          <w:kern w:val="0"/>
          <w14:ligatures w14:val="none"/>
        </w:rPr>
        <w:t xml:space="preserve"> </w:t>
      </w:r>
      <w:r w:rsidRPr="00F16251">
        <w:rPr>
          <w:rFonts w:cstheme="minorHAnsi"/>
          <w:kern w:val="0"/>
          <w14:ligatures w14:val="none"/>
        </w:rPr>
        <w:t>dokumentować</w:t>
      </w:r>
      <w:r w:rsidR="003B50ED" w:rsidRPr="00F16251">
        <w:rPr>
          <w:rFonts w:cstheme="minorHAnsi"/>
          <w:kern w:val="0"/>
          <w14:ligatures w14:val="none"/>
        </w:rPr>
        <w:t xml:space="preserve"> </w:t>
      </w:r>
      <w:r w:rsidRPr="00F16251">
        <w:rPr>
          <w:rFonts w:cstheme="minorHAnsi"/>
          <w:kern w:val="0"/>
          <w14:ligatures w14:val="none"/>
        </w:rPr>
        <w:t>spełnienie</w:t>
      </w:r>
      <w:r w:rsidR="003B50ED" w:rsidRPr="00F16251">
        <w:rPr>
          <w:rFonts w:cstheme="minorHAnsi"/>
          <w:kern w:val="0"/>
          <w14:ligatures w14:val="none"/>
        </w:rPr>
        <w:t xml:space="preserve"> </w:t>
      </w:r>
      <w:r w:rsidRPr="00F16251">
        <w:rPr>
          <w:rFonts w:cstheme="minorHAnsi"/>
          <w:kern w:val="0"/>
          <w14:ligatures w14:val="none"/>
        </w:rPr>
        <w:t>danego</w:t>
      </w:r>
      <w:r w:rsidR="003B50ED" w:rsidRPr="00F16251">
        <w:rPr>
          <w:rFonts w:cstheme="minorHAnsi"/>
          <w:kern w:val="0"/>
          <w14:ligatures w14:val="none"/>
        </w:rPr>
        <w:t xml:space="preserve"> </w:t>
      </w:r>
      <w:r w:rsidRPr="00F16251">
        <w:rPr>
          <w:rFonts w:cstheme="minorHAnsi"/>
          <w:kern w:val="0"/>
          <w14:ligatures w14:val="none"/>
        </w:rPr>
        <w:t>kryterium,</w:t>
      </w:r>
      <w:r w:rsidR="003B50ED" w:rsidRPr="00F16251">
        <w:rPr>
          <w:rFonts w:cstheme="minorHAnsi"/>
          <w:kern w:val="0"/>
          <w14:ligatures w14:val="none"/>
        </w:rPr>
        <w:t xml:space="preserve"> </w:t>
      </w:r>
      <w:r w:rsidRPr="00F16251">
        <w:rPr>
          <w:rFonts w:cstheme="minorHAnsi"/>
          <w:kern w:val="0"/>
          <w14:ligatures w14:val="none"/>
        </w:rPr>
        <w:t>na</w:t>
      </w:r>
      <w:r w:rsidR="003B50ED" w:rsidRPr="00F16251">
        <w:rPr>
          <w:rFonts w:cstheme="minorHAnsi"/>
          <w:kern w:val="0"/>
          <w14:ligatures w14:val="none"/>
        </w:rPr>
        <w:t xml:space="preserve"> </w:t>
      </w:r>
      <w:r w:rsidRPr="00F16251">
        <w:rPr>
          <w:rFonts w:cstheme="minorHAnsi"/>
          <w:kern w:val="0"/>
          <w14:ligatures w14:val="none"/>
        </w:rPr>
        <w:t>każdym</w:t>
      </w:r>
      <w:r w:rsidR="003B50ED" w:rsidRPr="00F16251">
        <w:rPr>
          <w:rFonts w:cstheme="minorHAnsi"/>
          <w:kern w:val="0"/>
          <w14:ligatures w14:val="none"/>
        </w:rPr>
        <w:t xml:space="preserve"> </w:t>
      </w:r>
      <w:r w:rsidRPr="00F16251">
        <w:rPr>
          <w:rFonts w:cstheme="minorHAnsi"/>
          <w:kern w:val="0"/>
          <w14:ligatures w14:val="none"/>
        </w:rPr>
        <w:t>określonym</w:t>
      </w:r>
      <w:r w:rsidR="003B50ED" w:rsidRPr="00F16251">
        <w:rPr>
          <w:rFonts w:cstheme="minorHAnsi"/>
          <w:kern w:val="0"/>
          <w14:ligatures w14:val="none"/>
        </w:rPr>
        <w:t xml:space="preserve"> </w:t>
      </w:r>
      <w:r w:rsidRPr="00F16251">
        <w:rPr>
          <w:rFonts w:cstheme="minorHAnsi"/>
          <w:kern w:val="0"/>
          <w14:ligatures w14:val="none"/>
        </w:rPr>
        <w:t>poziomie.</w:t>
      </w:r>
    </w:p>
    <w:p w14:paraId="64286014" w14:textId="77777777" w:rsidR="00CF2876" w:rsidRPr="00F16251" w:rsidRDefault="002C63F4" w:rsidP="00CF2876">
      <w:pPr>
        <w:spacing w:line="276" w:lineRule="auto"/>
        <w:ind w:firstLine="360"/>
        <w:jc w:val="both"/>
        <w:rPr>
          <w:rFonts w:cstheme="minorHAnsi"/>
          <w:kern w:val="0"/>
          <w14:ligatures w14:val="none"/>
        </w:rPr>
      </w:pP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przypadku</w:t>
      </w:r>
      <w:r w:rsidR="003B50ED" w:rsidRPr="00F16251">
        <w:rPr>
          <w:rFonts w:cstheme="minorHAnsi"/>
          <w:kern w:val="0"/>
          <w14:ligatures w14:val="none"/>
        </w:rPr>
        <w:t xml:space="preserve"> </w:t>
      </w:r>
      <w:r w:rsidRPr="00F16251">
        <w:rPr>
          <w:rFonts w:cstheme="minorHAnsi"/>
          <w:kern w:val="0"/>
          <w14:ligatures w14:val="none"/>
        </w:rPr>
        <w:t>kryteriów</w:t>
      </w:r>
      <w:r w:rsidR="003B50ED" w:rsidRPr="00F16251">
        <w:rPr>
          <w:rFonts w:cstheme="minorHAnsi"/>
          <w:kern w:val="0"/>
          <w14:ligatures w14:val="none"/>
        </w:rPr>
        <w:t xml:space="preserve"> </w:t>
      </w:r>
      <w:r w:rsidRPr="00F16251">
        <w:rPr>
          <w:rFonts w:cstheme="minorHAnsi"/>
          <w:kern w:val="0"/>
          <w14:ligatures w14:val="none"/>
        </w:rPr>
        <w:t>mierzalnych</w:t>
      </w:r>
      <w:r w:rsidR="003B50ED" w:rsidRPr="00F16251">
        <w:rPr>
          <w:rFonts w:cstheme="minorHAnsi"/>
          <w:kern w:val="0"/>
          <w14:ligatures w14:val="none"/>
        </w:rPr>
        <w:t xml:space="preserve"> </w:t>
      </w:r>
      <w:r w:rsidRPr="00F16251">
        <w:rPr>
          <w:rFonts w:cstheme="minorHAnsi"/>
          <w:kern w:val="0"/>
          <w14:ligatures w14:val="none"/>
        </w:rPr>
        <w:t>zostanie</w:t>
      </w:r>
      <w:r w:rsidR="003B50ED" w:rsidRPr="00F16251">
        <w:rPr>
          <w:rFonts w:cstheme="minorHAnsi"/>
          <w:kern w:val="0"/>
          <w14:ligatures w14:val="none"/>
        </w:rPr>
        <w:t xml:space="preserve"> </w:t>
      </w:r>
      <w:r w:rsidRPr="00F16251">
        <w:rPr>
          <w:rFonts w:cstheme="minorHAnsi"/>
          <w:kern w:val="0"/>
          <w14:ligatures w14:val="none"/>
        </w:rPr>
        <w:t>jednoznacznie</w:t>
      </w:r>
      <w:r w:rsidR="003B50ED" w:rsidRPr="00F16251">
        <w:rPr>
          <w:rFonts w:cstheme="minorHAnsi"/>
          <w:kern w:val="0"/>
          <w14:ligatures w14:val="none"/>
        </w:rPr>
        <w:t xml:space="preserve"> </w:t>
      </w:r>
      <w:r w:rsidRPr="00F16251">
        <w:rPr>
          <w:rFonts w:cstheme="minorHAnsi"/>
          <w:kern w:val="0"/>
          <w14:ligatures w14:val="none"/>
        </w:rPr>
        <w:t>wskazane</w:t>
      </w:r>
      <w:r w:rsidR="003B50ED" w:rsidRPr="00F16251">
        <w:rPr>
          <w:rFonts w:cstheme="minorHAnsi"/>
          <w:kern w:val="0"/>
          <w14:ligatures w14:val="none"/>
        </w:rPr>
        <w:t xml:space="preserve"> </w:t>
      </w:r>
      <w:r w:rsidRPr="00F16251">
        <w:rPr>
          <w:rFonts w:cstheme="minorHAnsi"/>
          <w:kern w:val="0"/>
          <w14:ligatures w14:val="none"/>
        </w:rPr>
        <w:t>jakie</w:t>
      </w:r>
      <w:r w:rsidR="003B50ED" w:rsidRPr="00F16251">
        <w:rPr>
          <w:rFonts w:cstheme="minorHAnsi"/>
          <w:kern w:val="0"/>
          <w14:ligatures w14:val="none"/>
        </w:rPr>
        <w:t xml:space="preserve"> </w:t>
      </w:r>
      <w:r w:rsidRPr="00F16251">
        <w:rPr>
          <w:rFonts w:cstheme="minorHAnsi"/>
          <w:kern w:val="0"/>
          <w14:ligatures w14:val="none"/>
        </w:rPr>
        <w:t>wymogi</w:t>
      </w:r>
      <w:r w:rsidR="003B50ED" w:rsidRPr="00F16251">
        <w:rPr>
          <w:rFonts w:cstheme="minorHAnsi"/>
          <w:kern w:val="0"/>
          <w14:ligatures w14:val="none"/>
        </w:rPr>
        <w:t xml:space="preserve"> </w:t>
      </w:r>
      <w:r w:rsidRPr="00F16251">
        <w:rPr>
          <w:rFonts w:cstheme="minorHAnsi"/>
          <w:kern w:val="0"/>
          <w14:ligatures w14:val="none"/>
        </w:rPr>
        <w:t>będą</w:t>
      </w:r>
      <w:r w:rsidR="003B50ED" w:rsidRPr="00F16251">
        <w:rPr>
          <w:rFonts w:cstheme="minorHAnsi"/>
          <w:kern w:val="0"/>
          <w14:ligatures w14:val="none"/>
        </w:rPr>
        <w:t xml:space="preserve"> </w:t>
      </w:r>
      <w:r w:rsidRPr="00F16251">
        <w:rPr>
          <w:rFonts w:cstheme="minorHAnsi"/>
          <w:kern w:val="0"/>
          <w14:ligatures w14:val="none"/>
        </w:rPr>
        <w:t>konieczne</w:t>
      </w:r>
      <w:r w:rsidR="003B50ED" w:rsidRPr="00F16251">
        <w:rPr>
          <w:rFonts w:cstheme="minorHAnsi"/>
          <w:kern w:val="0"/>
          <w14:ligatures w14:val="none"/>
        </w:rPr>
        <w:t xml:space="preserve"> </w:t>
      </w:r>
      <w:r w:rsidRPr="00F16251">
        <w:rPr>
          <w:rFonts w:cstheme="minorHAnsi"/>
          <w:kern w:val="0"/>
          <w14:ligatures w14:val="none"/>
        </w:rPr>
        <w:t>do</w:t>
      </w:r>
      <w:r w:rsidR="003B50ED" w:rsidRPr="00F16251">
        <w:rPr>
          <w:rFonts w:cstheme="minorHAnsi"/>
          <w:kern w:val="0"/>
          <w14:ligatures w14:val="none"/>
        </w:rPr>
        <w:t xml:space="preserve"> </w:t>
      </w:r>
      <w:r w:rsidRPr="00F16251">
        <w:rPr>
          <w:rFonts w:cstheme="minorHAnsi"/>
          <w:kern w:val="0"/>
          <w14:ligatures w14:val="none"/>
        </w:rPr>
        <w:t>uzyskania</w:t>
      </w:r>
      <w:r w:rsidR="003B50ED" w:rsidRPr="00F16251">
        <w:rPr>
          <w:rFonts w:cstheme="minorHAnsi"/>
          <w:kern w:val="0"/>
          <w14:ligatures w14:val="none"/>
        </w:rPr>
        <w:t xml:space="preserve"> </w:t>
      </w:r>
      <w:r w:rsidRPr="00F16251">
        <w:rPr>
          <w:rFonts w:cstheme="minorHAnsi"/>
          <w:kern w:val="0"/>
          <w14:ligatures w14:val="none"/>
        </w:rPr>
        <w:t>danej</w:t>
      </w:r>
      <w:r w:rsidR="003B50ED" w:rsidRPr="00F16251">
        <w:rPr>
          <w:rFonts w:cstheme="minorHAnsi"/>
          <w:kern w:val="0"/>
          <w14:ligatures w14:val="none"/>
        </w:rPr>
        <w:t xml:space="preserve"> </w:t>
      </w:r>
      <w:r w:rsidRPr="00F16251">
        <w:rPr>
          <w:rFonts w:cstheme="minorHAnsi"/>
          <w:kern w:val="0"/>
          <w14:ligatures w14:val="none"/>
        </w:rPr>
        <w:t>liczby</w:t>
      </w:r>
      <w:r w:rsidR="003B50ED" w:rsidRPr="00F16251">
        <w:rPr>
          <w:rFonts w:cstheme="minorHAnsi"/>
          <w:kern w:val="0"/>
          <w14:ligatures w14:val="none"/>
        </w:rPr>
        <w:t xml:space="preserve"> </w:t>
      </w:r>
      <w:r w:rsidRPr="00F16251">
        <w:rPr>
          <w:rFonts w:cstheme="minorHAnsi"/>
          <w:kern w:val="0"/>
          <w14:ligatures w14:val="none"/>
        </w:rPr>
        <w:t>punktów.</w:t>
      </w:r>
    </w:p>
    <w:p w14:paraId="38E09DBC" w14:textId="77777777" w:rsidR="00CF2876" w:rsidRPr="00F16251" w:rsidRDefault="002C63F4" w:rsidP="00CF2876">
      <w:pPr>
        <w:spacing w:line="276" w:lineRule="auto"/>
        <w:ind w:firstLine="360"/>
        <w:jc w:val="both"/>
        <w:rPr>
          <w:rFonts w:cstheme="minorHAnsi"/>
          <w:kern w:val="0"/>
          <w14:ligatures w14:val="none"/>
        </w:rPr>
      </w:pPr>
      <w:r w:rsidRPr="00F16251">
        <w:rPr>
          <w:rFonts w:cstheme="minorHAnsi"/>
          <w:kern w:val="0"/>
          <w14:ligatures w14:val="none"/>
        </w:rPr>
        <w:t>Członkowie</w:t>
      </w:r>
      <w:r w:rsidR="003B50ED" w:rsidRPr="00F16251">
        <w:rPr>
          <w:rFonts w:cstheme="minorHAnsi"/>
          <w:kern w:val="0"/>
          <w14:ligatures w14:val="none"/>
        </w:rPr>
        <w:t xml:space="preserve"> </w:t>
      </w:r>
      <w:r w:rsidRPr="00F16251">
        <w:rPr>
          <w:rFonts w:cstheme="minorHAnsi"/>
          <w:kern w:val="0"/>
          <w14:ligatures w14:val="none"/>
        </w:rPr>
        <w:t>Rady</w:t>
      </w:r>
      <w:r w:rsidR="003B50ED" w:rsidRPr="00F16251">
        <w:rPr>
          <w:rFonts w:cstheme="minorHAnsi"/>
          <w:kern w:val="0"/>
          <w14:ligatures w14:val="none"/>
        </w:rPr>
        <w:t xml:space="preserve"> </w:t>
      </w:r>
      <w:r w:rsidRPr="00F16251">
        <w:rPr>
          <w:rFonts w:cstheme="minorHAnsi"/>
          <w:kern w:val="0"/>
          <w14:ligatures w14:val="none"/>
        </w:rPr>
        <w:t>dokonujący</w:t>
      </w:r>
      <w:r w:rsidR="003B50ED" w:rsidRPr="00F16251">
        <w:rPr>
          <w:rFonts w:cstheme="minorHAnsi"/>
          <w:kern w:val="0"/>
          <w14:ligatures w14:val="none"/>
        </w:rPr>
        <w:t xml:space="preserve"> </w:t>
      </w:r>
      <w:r w:rsidRPr="00F16251">
        <w:rPr>
          <w:rFonts w:cstheme="minorHAnsi"/>
          <w:kern w:val="0"/>
          <w14:ligatures w14:val="none"/>
        </w:rPr>
        <w:t>oceny</w:t>
      </w:r>
      <w:r w:rsidR="003B50ED" w:rsidRPr="00F16251">
        <w:rPr>
          <w:rFonts w:cstheme="minorHAnsi"/>
          <w:kern w:val="0"/>
          <w14:ligatures w14:val="none"/>
        </w:rPr>
        <w:t xml:space="preserve"> </w:t>
      </w:r>
      <w:r w:rsidRPr="00F16251">
        <w:rPr>
          <w:rFonts w:cstheme="minorHAnsi"/>
          <w:kern w:val="0"/>
          <w14:ligatures w14:val="none"/>
        </w:rPr>
        <w:t>według</w:t>
      </w:r>
      <w:r w:rsidR="003B50ED" w:rsidRPr="00F16251">
        <w:rPr>
          <w:rFonts w:cstheme="minorHAnsi"/>
          <w:kern w:val="0"/>
          <w14:ligatures w14:val="none"/>
        </w:rPr>
        <w:t xml:space="preserve"> </w:t>
      </w:r>
      <w:r w:rsidRPr="00F16251">
        <w:rPr>
          <w:rFonts w:cstheme="minorHAnsi"/>
          <w:kern w:val="0"/>
          <w14:ligatures w14:val="none"/>
        </w:rPr>
        <w:t>lokalnych</w:t>
      </w:r>
      <w:r w:rsidR="003B50ED" w:rsidRPr="00F16251">
        <w:rPr>
          <w:rFonts w:cstheme="minorHAnsi"/>
          <w:kern w:val="0"/>
          <w14:ligatures w14:val="none"/>
        </w:rPr>
        <w:t xml:space="preserve"> </w:t>
      </w:r>
      <w:r w:rsidRPr="00F16251">
        <w:rPr>
          <w:rFonts w:cstheme="minorHAnsi"/>
          <w:kern w:val="0"/>
          <w14:ligatures w14:val="none"/>
        </w:rPr>
        <w:t>kryteriów</w:t>
      </w:r>
      <w:r w:rsidR="003B50ED" w:rsidRPr="00F16251">
        <w:rPr>
          <w:rFonts w:cstheme="minorHAnsi"/>
          <w:kern w:val="0"/>
          <w14:ligatures w14:val="none"/>
        </w:rPr>
        <w:t xml:space="preserve"> </w:t>
      </w:r>
      <w:r w:rsidRPr="00F16251">
        <w:rPr>
          <w:rFonts w:cstheme="minorHAnsi"/>
          <w:kern w:val="0"/>
          <w14:ligatures w14:val="none"/>
        </w:rPr>
        <w:t>wyboru</w:t>
      </w:r>
      <w:r w:rsidR="003B50ED" w:rsidRPr="00F16251">
        <w:rPr>
          <w:rFonts w:cstheme="minorHAnsi"/>
          <w:kern w:val="0"/>
          <w14:ligatures w14:val="none"/>
        </w:rPr>
        <w:t xml:space="preserve"> </w:t>
      </w:r>
      <w:r w:rsidRPr="00F16251">
        <w:rPr>
          <w:rFonts w:cstheme="minorHAnsi"/>
          <w:kern w:val="0"/>
          <w14:ligatures w14:val="none"/>
        </w:rPr>
        <w:t>będą</w:t>
      </w:r>
      <w:r w:rsidR="003B50ED" w:rsidRPr="00F16251">
        <w:rPr>
          <w:rFonts w:cstheme="minorHAnsi"/>
          <w:kern w:val="0"/>
          <w14:ligatures w14:val="none"/>
        </w:rPr>
        <w:t xml:space="preserve"> </w:t>
      </w:r>
      <w:r w:rsidRPr="00F16251">
        <w:rPr>
          <w:rFonts w:cstheme="minorHAnsi"/>
          <w:kern w:val="0"/>
          <w14:ligatures w14:val="none"/>
        </w:rPr>
        <w:t>zobowiązani</w:t>
      </w:r>
      <w:r w:rsidR="003B50ED" w:rsidRPr="00F16251">
        <w:rPr>
          <w:rFonts w:cstheme="minorHAnsi"/>
          <w:kern w:val="0"/>
          <w14:ligatures w14:val="none"/>
        </w:rPr>
        <w:t xml:space="preserve"> </w:t>
      </w:r>
      <w:r w:rsidRPr="00F16251">
        <w:rPr>
          <w:rFonts w:cstheme="minorHAnsi"/>
          <w:kern w:val="0"/>
          <w14:ligatures w14:val="none"/>
        </w:rPr>
        <w:t>nie</w:t>
      </w:r>
      <w:r w:rsidR="003B50ED" w:rsidRPr="00F16251">
        <w:rPr>
          <w:rFonts w:cstheme="minorHAnsi"/>
          <w:kern w:val="0"/>
          <w14:ligatures w14:val="none"/>
        </w:rPr>
        <w:t xml:space="preserve"> </w:t>
      </w:r>
      <w:r w:rsidRPr="00F16251">
        <w:rPr>
          <w:rFonts w:cstheme="minorHAnsi"/>
          <w:kern w:val="0"/>
          <w14:ligatures w14:val="none"/>
        </w:rPr>
        <w:t>tylko</w:t>
      </w:r>
      <w:r w:rsidR="003B50ED" w:rsidRPr="00F16251">
        <w:rPr>
          <w:rFonts w:cstheme="minorHAnsi"/>
          <w:kern w:val="0"/>
          <w14:ligatures w14:val="none"/>
        </w:rPr>
        <w:t xml:space="preserve"> </w:t>
      </w:r>
      <w:r w:rsidRPr="00F16251">
        <w:rPr>
          <w:rFonts w:cstheme="minorHAnsi"/>
          <w:kern w:val="0"/>
          <w14:ligatures w14:val="none"/>
        </w:rPr>
        <w:t>podać</w:t>
      </w:r>
      <w:r w:rsidR="003B50ED" w:rsidRPr="00F16251">
        <w:rPr>
          <w:rFonts w:cstheme="minorHAnsi"/>
          <w:kern w:val="0"/>
          <w14:ligatures w14:val="none"/>
        </w:rPr>
        <w:t xml:space="preserve"> </w:t>
      </w:r>
      <w:r w:rsidRPr="00F16251">
        <w:rPr>
          <w:rFonts w:cstheme="minorHAnsi"/>
          <w:kern w:val="0"/>
          <w14:ligatures w14:val="none"/>
        </w:rPr>
        <w:t>przyznaną</w:t>
      </w:r>
      <w:r w:rsidR="003B50ED" w:rsidRPr="00F16251">
        <w:rPr>
          <w:rFonts w:cstheme="minorHAnsi"/>
          <w:kern w:val="0"/>
          <w14:ligatures w14:val="none"/>
        </w:rPr>
        <w:t xml:space="preserve"> </w:t>
      </w:r>
      <w:r w:rsidRPr="00F16251">
        <w:rPr>
          <w:rFonts w:cstheme="minorHAnsi"/>
          <w:kern w:val="0"/>
          <w14:ligatures w14:val="none"/>
        </w:rPr>
        <w:t>liczbę</w:t>
      </w:r>
      <w:r w:rsidR="003B50ED" w:rsidRPr="00F16251">
        <w:rPr>
          <w:rFonts w:cstheme="minorHAnsi"/>
          <w:kern w:val="0"/>
          <w14:ligatures w14:val="none"/>
        </w:rPr>
        <w:t xml:space="preserve"> </w:t>
      </w:r>
      <w:r w:rsidRPr="00F16251">
        <w:rPr>
          <w:rFonts w:cstheme="minorHAnsi"/>
          <w:kern w:val="0"/>
          <w14:ligatures w14:val="none"/>
        </w:rPr>
        <w:t>punktów,</w:t>
      </w:r>
      <w:r w:rsidR="003B50ED" w:rsidRPr="00F16251">
        <w:rPr>
          <w:rFonts w:cstheme="minorHAnsi"/>
          <w:kern w:val="0"/>
          <w14:ligatures w14:val="none"/>
        </w:rPr>
        <w:t xml:space="preserve"> </w:t>
      </w:r>
      <w:r w:rsidRPr="00F16251">
        <w:rPr>
          <w:rFonts w:cstheme="minorHAnsi"/>
          <w:kern w:val="0"/>
          <w14:ligatures w14:val="none"/>
        </w:rPr>
        <w:t>ale</w:t>
      </w:r>
      <w:r w:rsidR="003B50ED" w:rsidRPr="00F16251">
        <w:rPr>
          <w:rFonts w:cstheme="minorHAnsi"/>
          <w:kern w:val="0"/>
          <w14:ligatures w14:val="none"/>
        </w:rPr>
        <w:t xml:space="preserve"> </w:t>
      </w:r>
      <w:r w:rsidRPr="00F16251">
        <w:rPr>
          <w:rFonts w:cstheme="minorHAnsi"/>
          <w:kern w:val="0"/>
          <w14:ligatures w14:val="none"/>
        </w:rPr>
        <w:t>również</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każdym</w:t>
      </w:r>
      <w:r w:rsidR="003B50ED" w:rsidRPr="00F16251">
        <w:rPr>
          <w:rFonts w:cstheme="minorHAnsi"/>
          <w:kern w:val="0"/>
          <w14:ligatures w14:val="none"/>
        </w:rPr>
        <w:t xml:space="preserve"> </w:t>
      </w:r>
      <w:r w:rsidRPr="00F16251">
        <w:rPr>
          <w:rFonts w:cstheme="minorHAnsi"/>
          <w:kern w:val="0"/>
          <w14:ligatures w14:val="none"/>
        </w:rPr>
        <w:t>przypadku</w:t>
      </w:r>
      <w:r w:rsidR="003B50ED" w:rsidRPr="00F16251">
        <w:rPr>
          <w:rFonts w:cstheme="minorHAnsi"/>
          <w:kern w:val="0"/>
          <w14:ligatures w14:val="none"/>
        </w:rPr>
        <w:t xml:space="preserve"> </w:t>
      </w:r>
      <w:r w:rsidRPr="00F16251">
        <w:rPr>
          <w:rFonts w:cstheme="minorHAnsi"/>
          <w:kern w:val="0"/>
          <w14:ligatures w14:val="none"/>
        </w:rPr>
        <w:t>pisemnie</w:t>
      </w:r>
      <w:r w:rsidR="003B50ED" w:rsidRPr="00F16251">
        <w:rPr>
          <w:rFonts w:cstheme="minorHAnsi"/>
          <w:kern w:val="0"/>
          <w14:ligatures w14:val="none"/>
        </w:rPr>
        <w:t xml:space="preserve"> </w:t>
      </w:r>
      <w:r w:rsidRPr="00F16251">
        <w:rPr>
          <w:rFonts w:cstheme="minorHAnsi"/>
          <w:kern w:val="0"/>
          <w14:ligatures w14:val="none"/>
        </w:rPr>
        <w:t>uzasadnić</w:t>
      </w:r>
      <w:r w:rsidR="003B50ED" w:rsidRPr="00F16251">
        <w:rPr>
          <w:rFonts w:cstheme="minorHAnsi"/>
          <w:kern w:val="0"/>
          <w14:ligatures w14:val="none"/>
        </w:rPr>
        <w:t xml:space="preserve"> </w:t>
      </w:r>
      <w:r w:rsidRPr="00F16251">
        <w:rPr>
          <w:rFonts w:cstheme="minorHAnsi"/>
          <w:kern w:val="0"/>
          <w14:ligatures w14:val="none"/>
        </w:rPr>
        <w:t>przyczynę</w:t>
      </w:r>
      <w:r w:rsidR="003B50ED" w:rsidRPr="00F16251">
        <w:rPr>
          <w:rFonts w:cstheme="minorHAnsi"/>
          <w:kern w:val="0"/>
          <w14:ligatures w14:val="none"/>
        </w:rPr>
        <w:t xml:space="preserve"> </w:t>
      </w:r>
      <w:r w:rsidRPr="00F16251">
        <w:rPr>
          <w:rFonts w:cstheme="minorHAnsi"/>
          <w:kern w:val="0"/>
          <w14:ligatures w14:val="none"/>
        </w:rPr>
        <w:t>takiej</w:t>
      </w:r>
      <w:r w:rsidR="003B50ED" w:rsidRPr="00F16251">
        <w:rPr>
          <w:rFonts w:cstheme="minorHAnsi"/>
          <w:kern w:val="0"/>
          <w14:ligatures w14:val="none"/>
        </w:rPr>
        <w:t xml:space="preserve"> </w:t>
      </w:r>
      <w:r w:rsidRPr="00F16251">
        <w:rPr>
          <w:rFonts w:cstheme="minorHAnsi"/>
          <w:kern w:val="0"/>
          <w14:ligatures w14:val="none"/>
        </w:rPr>
        <w:t>oceny.</w:t>
      </w:r>
      <w:r w:rsidR="003B50ED" w:rsidRPr="00F16251">
        <w:rPr>
          <w:rFonts w:cstheme="minorHAnsi"/>
          <w:kern w:val="0"/>
          <w14:ligatures w14:val="none"/>
        </w:rPr>
        <w:t xml:space="preserve"> </w:t>
      </w:r>
    </w:p>
    <w:p w14:paraId="3BB66932" w14:textId="723BBD13" w:rsidR="00CF2876" w:rsidRPr="00F16251" w:rsidRDefault="002C63F4" w:rsidP="00CF2876">
      <w:pPr>
        <w:spacing w:line="276" w:lineRule="auto"/>
        <w:ind w:firstLine="360"/>
        <w:jc w:val="both"/>
        <w:rPr>
          <w:rFonts w:cstheme="minorHAnsi"/>
          <w:kern w:val="0"/>
          <w14:ligatures w14:val="none"/>
        </w:rPr>
      </w:pPr>
      <w:r w:rsidRPr="00F16251">
        <w:rPr>
          <w:rFonts w:cstheme="minorHAnsi"/>
          <w:kern w:val="0"/>
          <w14:ligatures w14:val="none"/>
        </w:rPr>
        <w:t>Ostateczny</w:t>
      </w:r>
      <w:r w:rsidR="003B50ED" w:rsidRPr="00F16251">
        <w:rPr>
          <w:rFonts w:cstheme="minorHAnsi"/>
          <w:kern w:val="0"/>
          <w14:ligatures w14:val="none"/>
        </w:rPr>
        <w:t xml:space="preserve"> </w:t>
      </w:r>
      <w:r w:rsidRPr="00F16251">
        <w:rPr>
          <w:rFonts w:cstheme="minorHAnsi"/>
          <w:kern w:val="0"/>
          <w14:ligatures w14:val="none"/>
        </w:rPr>
        <w:t>kształt</w:t>
      </w:r>
      <w:r w:rsidR="003B50ED" w:rsidRPr="00F16251">
        <w:rPr>
          <w:rFonts w:cstheme="minorHAnsi"/>
          <w:kern w:val="0"/>
          <w14:ligatures w14:val="none"/>
        </w:rPr>
        <w:t xml:space="preserve"> </w:t>
      </w:r>
      <w:r w:rsidRPr="00F16251">
        <w:rPr>
          <w:rFonts w:cstheme="minorHAnsi"/>
          <w:kern w:val="0"/>
          <w14:ligatures w14:val="none"/>
        </w:rPr>
        <w:t>kryteriów</w:t>
      </w:r>
      <w:r w:rsidR="003B50ED" w:rsidRPr="00F16251">
        <w:rPr>
          <w:rFonts w:cstheme="minorHAnsi"/>
          <w:kern w:val="0"/>
          <w14:ligatures w14:val="none"/>
        </w:rPr>
        <w:t xml:space="preserve"> </w:t>
      </w:r>
      <w:r w:rsidRPr="00F16251">
        <w:rPr>
          <w:rFonts w:cstheme="minorHAnsi"/>
          <w:kern w:val="0"/>
          <w14:ligatures w14:val="none"/>
        </w:rPr>
        <w:t>zostanie</w:t>
      </w:r>
      <w:r w:rsidR="003B50ED" w:rsidRPr="00F16251">
        <w:rPr>
          <w:rFonts w:cstheme="minorHAnsi"/>
          <w:kern w:val="0"/>
          <w14:ligatures w14:val="none"/>
        </w:rPr>
        <w:t xml:space="preserve"> </w:t>
      </w:r>
      <w:r w:rsidRPr="00F16251">
        <w:rPr>
          <w:rFonts w:cstheme="minorHAnsi"/>
          <w:kern w:val="0"/>
          <w14:ligatures w14:val="none"/>
        </w:rPr>
        <w:t>ustalony</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wyniku</w:t>
      </w:r>
      <w:r w:rsidR="003B50ED" w:rsidRPr="00F16251">
        <w:rPr>
          <w:rFonts w:cstheme="minorHAnsi"/>
          <w:kern w:val="0"/>
          <w14:ligatures w14:val="none"/>
        </w:rPr>
        <w:t xml:space="preserve"> </w:t>
      </w:r>
      <w:r w:rsidRPr="00F16251">
        <w:rPr>
          <w:rFonts w:cstheme="minorHAnsi"/>
          <w:kern w:val="0"/>
          <w14:ligatures w14:val="none"/>
        </w:rPr>
        <w:t>prac</w:t>
      </w:r>
      <w:r w:rsidR="003B50ED" w:rsidRPr="00F16251">
        <w:rPr>
          <w:rFonts w:cstheme="minorHAnsi"/>
          <w:kern w:val="0"/>
          <w14:ligatures w14:val="none"/>
        </w:rPr>
        <w:t xml:space="preserve"> </w:t>
      </w:r>
      <w:r w:rsidRPr="00F16251">
        <w:rPr>
          <w:rFonts w:cstheme="minorHAnsi"/>
          <w:kern w:val="0"/>
          <w14:ligatures w14:val="none"/>
        </w:rPr>
        <w:t>zespołu</w:t>
      </w:r>
      <w:r w:rsidR="003B50ED" w:rsidRPr="00F16251">
        <w:rPr>
          <w:rFonts w:cstheme="minorHAnsi"/>
          <w:kern w:val="0"/>
          <w14:ligatures w14:val="none"/>
        </w:rPr>
        <w:t xml:space="preserve"> </w:t>
      </w:r>
      <w:r w:rsidRPr="00F16251">
        <w:rPr>
          <w:rFonts w:cstheme="minorHAnsi"/>
          <w:kern w:val="0"/>
          <w14:ligatures w14:val="none"/>
        </w:rPr>
        <w:t>roboczego.</w:t>
      </w:r>
      <w:r w:rsidR="003B50ED" w:rsidRPr="00F16251">
        <w:rPr>
          <w:rFonts w:cstheme="minorHAnsi"/>
          <w:kern w:val="0"/>
          <w14:ligatures w14:val="none"/>
        </w:rPr>
        <w:t xml:space="preserve"> </w:t>
      </w:r>
      <w:r w:rsidRPr="00F16251">
        <w:rPr>
          <w:rFonts w:cstheme="minorHAnsi"/>
          <w:kern w:val="0"/>
          <w14:ligatures w14:val="none"/>
        </w:rPr>
        <w:t>Zatwierdzenie</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aktualizacja</w:t>
      </w:r>
      <w:r w:rsidR="003B50ED" w:rsidRPr="00F16251">
        <w:rPr>
          <w:rFonts w:cstheme="minorHAnsi"/>
          <w:kern w:val="0"/>
          <w14:ligatures w14:val="none"/>
        </w:rPr>
        <w:t xml:space="preserve"> </w:t>
      </w:r>
      <w:r w:rsidRPr="00F16251">
        <w:rPr>
          <w:rFonts w:cstheme="minorHAnsi"/>
          <w:kern w:val="0"/>
          <w14:ligatures w14:val="none"/>
        </w:rPr>
        <w:t>lokalnych</w:t>
      </w:r>
      <w:r w:rsidR="003B50ED" w:rsidRPr="00F16251">
        <w:rPr>
          <w:rFonts w:cstheme="minorHAnsi"/>
          <w:kern w:val="0"/>
          <w14:ligatures w14:val="none"/>
        </w:rPr>
        <w:t xml:space="preserve"> </w:t>
      </w:r>
      <w:r w:rsidRPr="00F16251">
        <w:rPr>
          <w:rFonts w:cstheme="minorHAnsi"/>
          <w:kern w:val="0"/>
          <w14:ligatures w14:val="none"/>
        </w:rPr>
        <w:t>kryteriów</w:t>
      </w:r>
      <w:r w:rsidR="003B50ED" w:rsidRPr="00F16251">
        <w:rPr>
          <w:rFonts w:cstheme="minorHAnsi"/>
          <w:kern w:val="0"/>
          <w14:ligatures w14:val="none"/>
        </w:rPr>
        <w:t xml:space="preserve"> </w:t>
      </w:r>
      <w:r w:rsidRPr="00F16251">
        <w:rPr>
          <w:rFonts w:cstheme="minorHAnsi"/>
          <w:kern w:val="0"/>
          <w14:ligatures w14:val="none"/>
        </w:rPr>
        <w:t>to</w:t>
      </w:r>
      <w:r w:rsidR="003B50ED" w:rsidRPr="00F16251">
        <w:rPr>
          <w:rFonts w:cstheme="minorHAnsi"/>
          <w:kern w:val="0"/>
          <w14:ligatures w14:val="none"/>
        </w:rPr>
        <w:t xml:space="preserve"> </w:t>
      </w:r>
      <w:r w:rsidRPr="00F16251">
        <w:rPr>
          <w:rFonts w:cstheme="minorHAnsi"/>
          <w:kern w:val="0"/>
          <w14:ligatures w14:val="none"/>
        </w:rPr>
        <w:t>zadanie</w:t>
      </w:r>
      <w:r w:rsidR="003B50ED" w:rsidRPr="00F16251">
        <w:rPr>
          <w:rFonts w:cstheme="minorHAnsi"/>
          <w:kern w:val="0"/>
          <w14:ligatures w14:val="none"/>
        </w:rPr>
        <w:t xml:space="preserve"> </w:t>
      </w:r>
      <w:r w:rsidR="008A4CF6" w:rsidRPr="00F16251">
        <w:rPr>
          <w:rFonts w:cstheme="minorHAnsi"/>
          <w:kern w:val="0"/>
          <w14:ligatures w14:val="none"/>
        </w:rPr>
        <w:t xml:space="preserve">Walnego Zebrania. </w:t>
      </w:r>
      <w:r w:rsidRPr="00F16251">
        <w:rPr>
          <w:rFonts w:cstheme="minorHAnsi"/>
          <w:kern w:val="0"/>
          <w14:ligatures w14:val="none"/>
        </w:rPr>
        <w:t>Zmiana</w:t>
      </w:r>
      <w:r w:rsidR="003B50ED" w:rsidRPr="00F16251">
        <w:rPr>
          <w:rFonts w:cstheme="minorHAnsi"/>
          <w:kern w:val="0"/>
          <w14:ligatures w14:val="none"/>
        </w:rPr>
        <w:t xml:space="preserve"> </w:t>
      </w:r>
      <w:r w:rsidRPr="00F16251">
        <w:rPr>
          <w:rFonts w:cstheme="minorHAnsi"/>
          <w:kern w:val="0"/>
          <w14:ligatures w14:val="none"/>
        </w:rPr>
        <w:t>kryteriów</w:t>
      </w:r>
      <w:r w:rsidR="003B50ED" w:rsidRPr="00F16251">
        <w:rPr>
          <w:rFonts w:cstheme="minorHAnsi"/>
          <w:kern w:val="0"/>
          <w14:ligatures w14:val="none"/>
        </w:rPr>
        <w:t xml:space="preserve"> </w:t>
      </w:r>
      <w:r w:rsidR="00CF2876" w:rsidRPr="00F16251">
        <w:rPr>
          <w:rFonts w:cstheme="minorHAnsi"/>
          <w:kern w:val="0"/>
          <w14:ligatures w14:val="none"/>
        </w:rPr>
        <w:t xml:space="preserve">będzie </w:t>
      </w:r>
      <w:r w:rsidRPr="00F16251">
        <w:rPr>
          <w:rFonts w:cstheme="minorHAnsi"/>
          <w:kern w:val="0"/>
          <w14:ligatures w14:val="none"/>
        </w:rPr>
        <w:t>się</w:t>
      </w:r>
      <w:r w:rsidR="003B50ED" w:rsidRPr="00F16251">
        <w:rPr>
          <w:rFonts w:cstheme="minorHAnsi"/>
          <w:kern w:val="0"/>
          <w14:ligatures w14:val="none"/>
        </w:rPr>
        <w:t xml:space="preserve"> </w:t>
      </w:r>
      <w:r w:rsidR="00CF2876" w:rsidRPr="00F16251">
        <w:rPr>
          <w:rFonts w:cstheme="minorHAnsi"/>
          <w:kern w:val="0"/>
          <w14:ligatures w14:val="none"/>
        </w:rPr>
        <w:t xml:space="preserve">odbywać </w:t>
      </w:r>
      <w:r w:rsidRPr="00F16251">
        <w:rPr>
          <w:rFonts w:cstheme="minorHAnsi"/>
          <w:kern w:val="0"/>
          <w14:ligatures w14:val="none"/>
        </w:rPr>
        <w:t>zgodnie</w:t>
      </w:r>
      <w:r w:rsidR="003B50ED" w:rsidRPr="00F16251">
        <w:rPr>
          <w:rFonts w:cstheme="minorHAnsi"/>
          <w:kern w:val="0"/>
          <w14:ligatures w14:val="none"/>
        </w:rPr>
        <w:t xml:space="preserve"> </w:t>
      </w:r>
      <w:r w:rsidRPr="00F16251">
        <w:rPr>
          <w:rFonts w:cstheme="minorHAnsi"/>
          <w:kern w:val="0"/>
          <w14:ligatures w14:val="none"/>
        </w:rPr>
        <w:t>z</w:t>
      </w:r>
      <w:r w:rsidR="003B50ED" w:rsidRPr="00F16251">
        <w:rPr>
          <w:rFonts w:cstheme="minorHAnsi"/>
          <w:kern w:val="0"/>
          <w14:ligatures w14:val="none"/>
        </w:rPr>
        <w:t xml:space="preserve"> </w:t>
      </w:r>
      <w:r w:rsidR="00CF2876" w:rsidRPr="00F16251">
        <w:rPr>
          <w:rFonts w:cstheme="minorHAnsi"/>
          <w:kern w:val="0"/>
          <w14:ligatures w14:val="none"/>
        </w:rPr>
        <w:t xml:space="preserve">procedurą </w:t>
      </w:r>
      <w:r w:rsidRPr="00F16251">
        <w:rPr>
          <w:rFonts w:cstheme="minorHAnsi"/>
          <w:kern w:val="0"/>
          <w14:ligatures w14:val="none"/>
        </w:rPr>
        <w:t>zmiany</w:t>
      </w:r>
      <w:r w:rsidR="003B50ED" w:rsidRPr="00F16251">
        <w:rPr>
          <w:rFonts w:cstheme="minorHAnsi"/>
          <w:kern w:val="0"/>
          <w14:ligatures w14:val="none"/>
        </w:rPr>
        <w:t xml:space="preserve"> </w:t>
      </w:r>
      <w:r w:rsidRPr="00F16251">
        <w:rPr>
          <w:rFonts w:cstheme="minorHAnsi"/>
          <w:kern w:val="0"/>
          <w14:ligatures w14:val="none"/>
        </w:rPr>
        <w:t>kryteriów,</w:t>
      </w:r>
      <w:r w:rsidR="003B50ED" w:rsidRPr="00F16251">
        <w:rPr>
          <w:rFonts w:cstheme="minorHAnsi"/>
          <w:kern w:val="0"/>
          <w14:ligatures w14:val="none"/>
        </w:rPr>
        <w:t xml:space="preserve"> </w:t>
      </w:r>
      <w:r w:rsidRPr="00F16251">
        <w:rPr>
          <w:rFonts w:cstheme="minorHAnsi"/>
          <w:kern w:val="0"/>
          <w14:ligatures w14:val="none"/>
        </w:rPr>
        <w:t>a</w:t>
      </w:r>
      <w:r w:rsidR="003B50ED" w:rsidRPr="00F16251">
        <w:rPr>
          <w:rFonts w:cstheme="minorHAnsi"/>
          <w:kern w:val="0"/>
          <w14:ligatures w14:val="none"/>
        </w:rPr>
        <w:t xml:space="preserve"> </w:t>
      </w:r>
      <w:r w:rsidRPr="00F16251">
        <w:rPr>
          <w:rFonts w:cstheme="minorHAnsi"/>
          <w:kern w:val="0"/>
          <w14:ligatures w14:val="none"/>
        </w:rPr>
        <w:t>także</w:t>
      </w:r>
      <w:r w:rsidR="003B50ED" w:rsidRPr="00F16251">
        <w:rPr>
          <w:rFonts w:cstheme="minorHAnsi"/>
          <w:kern w:val="0"/>
          <w14:ligatures w14:val="none"/>
        </w:rPr>
        <w:t xml:space="preserve"> </w:t>
      </w:r>
      <w:r w:rsidRPr="00F16251">
        <w:rPr>
          <w:rFonts w:cstheme="minorHAnsi"/>
          <w:kern w:val="0"/>
          <w14:ligatures w14:val="none"/>
        </w:rPr>
        <w:t>z</w:t>
      </w:r>
      <w:r w:rsidR="003B50ED" w:rsidRPr="00F16251">
        <w:rPr>
          <w:rFonts w:cstheme="minorHAnsi"/>
          <w:kern w:val="0"/>
          <w14:ligatures w14:val="none"/>
        </w:rPr>
        <w:t xml:space="preserve"> </w:t>
      </w:r>
      <w:r w:rsidRPr="00F16251">
        <w:rPr>
          <w:rFonts w:cstheme="minorHAnsi"/>
          <w:kern w:val="0"/>
          <w14:ligatures w14:val="none"/>
        </w:rPr>
        <w:t>zachowaniem</w:t>
      </w:r>
      <w:r w:rsidR="003B50ED" w:rsidRPr="00F16251">
        <w:rPr>
          <w:rFonts w:cstheme="minorHAnsi"/>
          <w:kern w:val="0"/>
          <w14:ligatures w14:val="none"/>
        </w:rPr>
        <w:t xml:space="preserve"> </w:t>
      </w:r>
      <w:r w:rsidRPr="00F16251">
        <w:rPr>
          <w:rFonts w:cstheme="minorHAnsi"/>
          <w:kern w:val="0"/>
          <w14:ligatures w14:val="none"/>
        </w:rPr>
        <w:t>ich</w:t>
      </w:r>
      <w:r w:rsidR="003B50ED" w:rsidRPr="00F16251">
        <w:rPr>
          <w:rFonts w:cstheme="minorHAnsi"/>
          <w:kern w:val="0"/>
          <w14:ligatures w14:val="none"/>
        </w:rPr>
        <w:t xml:space="preserve"> </w:t>
      </w:r>
      <w:r w:rsidRPr="00F16251">
        <w:rPr>
          <w:rFonts w:cstheme="minorHAnsi"/>
          <w:kern w:val="0"/>
          <w14:ligatures w14:val="none"/>
        </w:rPr>
        <w:t>mierzalności.</w:t>
      </w:r>
      <w:r w:rsidR="003B50ED" w:rsidRPr="00F16251">
        <w:rPr>
          <w:rFonts w:cstheme="minorHAnsi"/>
          <w:kern w:val="0"/>
          <w14:ligatures w14:val="none"/>
        </w:rPr>
        <w:t xml:space="preserve"> </w:t>
      </w:r>
    </w:p>
    <w:p w14:paraId="2CE0D99B" w14:textId="78D181CD" w:rsidR="00CF2876" w:rsidRPr="00F16251" w:rsidRDefault="002C63F4" w:rsidP="00CF2876">
      <w:pPr>
        <w:spacing w:line="276" w:lineRule="auto"/>
        <w:ind w:firstLine="360"/>
        <w:jc w:val="both"/>
        <w:rPr>
          <w:rFonts w:cstheme="minorHAnsi"/>
          <w:kern w:val="0"/>
          <w14:ligatures w14:val="none"/>
        </w:rPr>
      </w:pPr>
      <w:r w:rsidRPr="00F16251">
        <w:rPr>
          <w:rFonts w:cstheme="minorHAnsi"/>
          <w:kern w:val="0"/>
          <w14:ligatures w14:val="none"/>
        </w:rPr>
        <w:t>Dobór</w:t>
      </w:r>
      <w:r w:rsidR="003B50ED" w:rsidRPr="00F16251">
        <w:rPr>
          <w:rFonts w:cstheme="minorHAnsi"/>
          <w:kern w:val="0"/>
          <w14:ligatures w14:val="none"/>
        </w:rPr>
        <w:t xml:space="preserve"> </w:t>
      </w:r>
      <w:r w:rsidRPr="00F16251">
        <w:rPr>
          <w:rFonts w:cstheme="minorHAnsi"/>
          <w:kern w:val="0"/>
          <w14:ligatures w14:val="none"/>
        </w:rPr>
        <w:t>kryteriów</w:t>
      </w:r>
      <w:r w:rsidR="003B50ED" w:rsidRPr="00F16251">
        <w:rPr>
          <w:rFonts w:cstheme="minorHAnsi"/>
          <w:kern w:val="0"/>
          <w14:ligatures w14:val="none"/>
        </w:rPr>
        <w:t xml:space="preserve"> </w:t>
      </w:r>
      <w:r w:rsidRPr="00F16251">
        <w:rPr>
          <w:rFonts w:cstheme="minorHAnsi"/>
          <w:kern w:val="0"/>
          <w14:ligatures w14:val="none"/>
        </w:rPr>
        <w:t>został</w:t>
      </w:r>
      <w:r w:rsidR="003B50ED" w:rsidRPr="00F16251">
        <w:rPr>
          <w:rFonts w:cstheme="minorHAnsi"/>
          <w:kern w:val="0"/>
          <w14:ligatures w14:val="none"/>
        </w:rPr>
        <w:t xml:space="preserve"> </w:t>
      </w:r>
      <w:r w:rsidRPr="00F16251">
        <w:rPr>
          <w:rFonts w:cstheme="minorHAnsi"/>
          <w:kern w:val="0"/>
          <w14:ligatures w14:val="none"/>
        </w:rPr>
        <w:t>dokonany</w:t>
      </w:r>
      <w:r w:rsidR="003B50ED" w:rsidRPr="00F16251">
        <w:rPr>
          <w:rFonts w:cstheme="minorHAnsi"/>
          <w:kern w:val="0"/>
          <w14:ligatures w14:val="none"/>
        </w:rPr>
        <w:t xml:space="preserve"> </w:t>
      </w:r>
      <w:r w:rsidRPr="00F16251">
        <w:rPr>
          <w:rFonts w:cstheme="minorHAnsi"/>
          <w:kern w:val="0"/>
          <w14:ligatures w14:val="none"/>
        </w:rPr>
        <w:t>zgodnie</w:t>
      </w:r>
      <w:r w:rsidR="003B50ED" w:rsidRPr="00F16251">
        <w:rPr>
          <w:rFonts w:cstheme="minorHAnsi"/>
          <w:kern w:val="0"/>
          <w14:ligatures w14:val="none"/>
        </w:rPr>
        <w:t xml:space="preserve"> </w:t>
      </w:r>
      <w:r w:rsidRPr="00F16251">
        <w:rPr>
          <w:rFonts w:cstheme="minorHAnsi"/>
          <w:kern w:val="0"/>
          <w14:ligatures w14:val="none"/>
        </w:rPr>
        <w:t>z</w:t>
      </w:r>
      <w:r w:rsidR="003B50ED" w:rsidRPr="00F16251">
        <w:rPr>
          <w:rFonts w:cstheme="minorHAnsi"/>
          <w:kern w:val="0"/>
          <w14:ligatures w14:val="none"/>
        </w:rPr>
        <w:t xml:space="preserve"> </w:t>
      </w:r>
      <w:r w:rsidRPr="00F16251">
        <w:rPr>
          <w:rFonts w:cstheme="minorHAnsi"/>
          <w:kern w:val="0"/>
          <w14:ligatures w14:val="none"/>
        </w:rPr>
        <w:t>opisem</w:t>
      </w:r>
      <w:r w:rsidR="003B50ED" w:rsidRPr="00F16251">
        <w:rPr>
          <w:rFonts w:cstheme="minorHAnsi"/>
          <w:kern w:val="0"/>
          <w14:ligatures w14:val="none"/>
        </w:rPr>
        <w:t xml:space="preserve"> </w:t>
      </w:r>
      <w:r w:rsidRPr="00F16251">
        <w:rPr>
          <w:rFonts w:cstheme="minorHAnsi"/>
          <w:kern w:val="0"/>
          <w14:ligatures w14:val="none"/>
        </w:rPr>
        <w:t>procesu</w:t>
      </w:r>
      <w:r w:rsidR="003B50ED" w:rsidRPr="00F16251">
        <w:rPr>
          <w:rFonts w:cstheme="minorHAnsi"/>
          <w:kern w:val="0"/>
          <w14:ligatures w14:val="none"/>
        </w:rPr>
        <w:t xml:space="preserve"> </w:t>
      </w:r>
      <w:r w:rsidRPr="00F16251">
        <w:rPr>
          <w:rFonts w:cstheme="minorHAnsi"/>
          <w:kern w:val="0"/>
          <w14:ligatures w14:val="none"/>
        </w:rPr>
        <w:t>partycypacji</w:t>
      </w:r>
      <w:r w:rsidR="003B50ED" w:rsidRPr="00F16251">
        <w:rPr>
          <w:rFonts w:cstheme="minorHAnsi"/>
          <w:kern w:val="0"/>
          <w14:ligatures w14:val="none"/>
        </w:rPr>
        <w:t xml:space="preserve"> </w:t>
      </w:r>
      <w:r w:rsidRPr="00F16251">
        <w:rPr>
          <w:rFonts w:cstheme="minorHAnsi"/>
          <w:kern w:val="0"/>
          <w14:ligatures w14:val="none"/>
        </w:rPr>
        <w:t>przedstawionym</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Rozdziale</w:t>
      </w:r>
      <w:r w:rsidR="003B50ED" w:rsidRPr="00F16251">
        <w:rPr>
          <w:rFonts w:cstheme="minorHAnsi"/>
          <w:kern w:val="0"/>
          <w14:ligatures w14:val="none"/>
        </w:rPr>
        <w:t xml:space="preserve"> </w:t>
      </w:r>
      <w:r w:rsidRPr="00F16251">
        <w:rPr>
          <w:rFonts w:cstheme="minorHAnsi"/>
          <w:kern w:val="0"/>
          <w14:ligatures w14:val="none"/>
        </w:rPr>
        <w:t>3.</w:t>
      </w:r>
      <w:r w:rsidR="003B50ED" w:rsidRPr="00F16251">
        <w:rPr>
          <w:rFonts w:cstheme="minorHAnsi"/>
          <w:kern w:val="0"/>
          <w14:ligatures w14:val="none"/>
        </w:rPr>
        <w:t xml:space="preserve"> </w:t>
      </w:r>
      <w:r w:rsidR="006568AD" w:rsidRPr="00F16251">
        <w:rPr>
          <w:rFonts w:cstheme="minorHAnsi"/>
        </w:rPr>
        <w:t xml:space="preserve">Stowarzyszenie „Solidarni w Partnerstwie” </w:t>
      </w:r>
      <w:r w:rsidRPr="00F16251">
        <w:rPr>
          <w:rFonts w:cstheme="minorHAnsi"/>
          <w:kern w:val="0"/>
          <w14:ligatures w14:val="none"/>
        </w:rPr>
        <w:t>tworzy</w:t>
      </w:r>
      <w:r w:rsidR="003B50ED" w:rsidRPr="00F16251">
        <w:rPr>
          <w:rFonts w:cstheme="minorHAnsi"/>
          <w:kern w:val="0"/>
          <w14:ligatures w14:val="none"/>
        </w:rPr>
        <w:t xml:space="preserve"> </w:t>
      </w:r>
      <w:r w:rsidRPr="00F16251">
        <w:rPr>
          <w:rFonts w:cstheme="minorHAnsi"/>
          <w:kern w:val="0"/>
          <w14:ligatures w14:val="none"/>
        </w:rPr>
        <w:t>LSR</w:t>
      </w:r>
      <w:r w:rsidR="003B50ED" w:rsidRPr="00F16251">
        <w:rPr>
          <w:rFonts w:cstheme="minorHAnsi"/>
          <w:kern w:val="0"/>
          <w14:ligatures w14:val="none"/>
        </w:rPr>
        <w:t xml:space="preserve"> </w:t>
      </w:r>
      <w:r w:rsidRPr="00F16251">
        <w:rPr>
          <w:rFonts w:cstheme="minorHAnsi"/>
          <w:kern w:val="0"/>
          <w14:ligatures w14:val="none"/>
        </w:rPr>
        <w:t>wspólnie</w:t>
      </w:r>
      <w:r w:rsidR="003B50ED" w:rsidRPr="00F16251">
        <w:rPr>
          <w:rFonts w:cstheme="minorHAnsi"/>
          <w:kern w:val="0"/>
          <w14:ligatures w14:val="none"/>
        </w:rPr>
        <w:t xml:space="preserve"> </w:t>
      </w:r>
      <w:r w:rsidRPr="00F16251">
        <w:rPr>
          <w:rFonts w:cstheme="minorHAnsi"/>
          <w:kern w:val="0"/>
          <w14:ligatures w14:val="none"/>
        </w:rPr>
        <w:t>z</w:t>
      </w:r>
      <w:r w:rsidR="003B50ED" w:rsidRPr="00F16251">
        <w:rPr>
          <w:rFonts w:cstheme="minorHAnsi"/>
          <w:kern w:val="0"/>
          <w14:ligatures w14:val="none"/>
        </w:rPr>
        <w:t xml:space="preserve"> </w:t>
      </w:r>
      <w:r w:rsidRPr="00F16251">
        <w:rPr>
          <w:rFonts w:cstheme="minorHAnsi"/>
          <w:kern w:val="0"/>
          <w14:ligatures w14:val="none"/>
        </w:rPr>
        <w:t>mieszkańcami</w:t>
      </w:r>
      <w:r w:rsidR="003B50ED" w:rsidRPr="00F16251">
        <w:rPr>
          <w:rFonts w:cstheme="minorHAnsi"/>
          <w:kern w:val="0"/>
          <w14:ligatures w14:val="none"/>
        </w:rPr>
        <w:t xml:space="preserve"> </w:t>
      </w:r>
      <w:r w:rsidRPr="00F16251">
        <w:rPr>
          <w:rFonts w:cstheme="minorHAnsi"/>
          <w:kern w:val="0"/>
          <w14:ligatures w14:val="none"/>
        </w:rPr>
        <w:t>z</w:t>
      </w:r>
      <w:r w:rsidR="003B50ED" w:rsidRPr="00F16251">
        <w:rPr>
          <w:rFonts w:cstheme="minorHAnsi"/>
          <w:kern w:val="0"/>
          <w14:ligatures w14:val="none"/>
        </w:rPr>
        <w:t xml:space="preserve"> </w:t>
      </w:r>
      <w:r w:rsidRPr="00F16251">
        <w:rPr>
          <w:rFonts w:cstheme="minorHAnsi"/>
          <w:kern w:val="0"/>
          <w14:ligatures w14:val="none"/>
        </w:rPr>
        <w:t>obszaru</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odpowiedzi</w:t>
      </w:r>
      <w:r w:rsidR="003B50ED" w:rsidRPr="00F16251">
        <w:rPr>
          <w:rFonts w:cstheme="minorHAnsi"/>
          <w:kern w:val="0"/>
          <w14:ligatures w14:val="none"/>
        </w:rPr>
        <w:t xml:space="preserve"> </w:t>
      </w:r>
      <w:r w:rsidRPr="00F16251">
        <w:rPr>
          <w:rFonts w:cstheme="minorHAnsi"/>
          <w:kern w:val="0"/>
          <w14:ligatures w14:val="none"/>
        </w:rPr>
        <w:t>na</w:t>
      </w:r>
      <w:r w:rsidR="003B50ED" w:rsidRPr="00F16251">
        <w:rPr>
          <w:rFonts w:cstheme="minorHAnsi"/>
          <w:kern w:val="0"/>
          <w14:ligatures w14:val="none"/>
        </w:rPr>
        <w:t xml:space="preserve"> </w:t>
      </w:r>
      <w:r w:rsidRPr="00F16251">
        <w:rPr>
          <w:rFonts w:cstheme="minorHAnsi"/>
          <w:kern w:val="0"/>
          <w14:ligatures w14:val="none"/>
        </w:rPr>
        <w:t>ich</w:t>
      </w:r>
      <w:r w:rsidR="003B50ED" w:rsidRPr="00F16251">
        <w:rPr>
          <w:rFonts w:cstheme="minorHAnsi"/>
          <w:kern w:val="0"/>
          <w14:ligatures w14:val="none"/>
        </w:rPr>
        <w:t xml:space="preserve"> </w:t>
      </w:r>
      <w:r w:rsidRPr="00F16251">
        <w:rPr>
          <w:rFonts w:cstheme="minorHAnsi"/>
          <w:kern w:val="0"/>
          <w14:ligatures w14:val="none"/>
        </w:rPr>
        <w:t>potrzeby,</w:t>
      </w:r>
      <w:r w:rsidR="003B50ED" w:rsidRPr="00F16251">
        <w:rPr>
          <w:rFonts w:cstheme="minorHAnsi"/>
          <w:kern w:val="0"/>
          <w14:ligatures w14:val="none"/>
        </w:rPr>
        <w:t xml:space="preserve"> </w:t>
      </w:r>
      <w:r w:rsidRPr="00F16251">
        <w:rPr>
          <w:rFonts w:cstheme="minorHAnsi"/>
          <w:kern w:val="0"/>
          <w14:ligatures w14:val="none"/>
        </w:rPr>
        <w:t>żeby</w:t>
      </w:r>
      <w:r w:rsidR="003B50ED" w:rsidRPr="00F16251">
        <w:rPr>
          <w:rFonts w:cstheme="minorHAnsi"/>
          <w:kern w:val="0"/>
          <w14:ligatures w14:val="none"/>
        </w:rPr>
        <w:t xml:space="preserve"> </w:t>
      </w:r>
      <w:r w:rsidRPr="00F16251">
        <w:rPr>
          <w:rFonts w:cstheme="minorHAnsi"/>
          <w:kern w:val="0"/>
          <w14:ligatures w14:val="none"/>
        </w:rPr>
        <w:t>wspierać</w:t>
      </w:r>
      <w:r w:rsidR="003B50ED" w:rsidRPr="00F16251">
        <w:rPr>
          <w:rFonts w:cstheme="minorHAnsi"/>
          <w:kern w:val="0"/>
          <w14:ligatures w14:val="none"/>
        </w:rPr>
        <w:t xml:space="preserve"> </w:t>
      </w:r>
      <w:r w:rsidRPr="00F16251">
        <w:rPr>
          <w:rFonts w:cstheme="minorHAnsi"/>
          <w:kern w:val="0"/>
          <w14:ligatures w14:val="none"/>
        </w:rPr>
        <w:t>zrównoważony</w:t>
      </w:r>
      <w:r w:rsidR="003B50ED" w:rsidRPr="00F16251">
        <w:rPr>
          <w:rFonts w:cstheme="minorHAnsi"/>
          <w:kern w:val="0"/>
          <w14:ligatures w14:val="none"/>
        </w:rPr>
        <w:t xml:space="preserve"> </w:t>
      </w:r>
      <w:r w:rsidRPr="00F16251">
        <w:rPr>
          <w:rFonts w:cstheme="minorHAnsi"/>
          <w:kern w:val="0"/>
          <w14:ligatures w14:val="none"/>
        </w:rPr>
        <w:t>rozwój.</w:t>
      </w:r>
      <w:r w:rsidR="003B50ED" w:rsidRPr="00F16251">
        <w:rPr>
          <w:rFonts w:cstheme="minorHAnsi"/>
          <w:kern w:val="0"/>
          <w14:ligatures w14:val="none"/>
        </w:rPr>
        <w:t xml:space="preserve"> </w:t>
      </w:r>
      <w:r w:rsidRPr="00F16251">
        <w:rPr>
          <w:rFonts w:cstheme="minorHAnsi"/>
          <w:kern w:val="0"/>
          <w14:ligatures w14:val="none"/>
        </w:rPr>
        <w:t>Wraz</w:t>
      </w:r>
      <w:r w:rsidR="003B50ED" w:rsidRPr="00F16251">
        <w:rPr>
          <w:rFonts w:cstheme="minorHAnsi"/>
          <w:kern w:val="0"/>
          <w14:ligatures w14:val="none"/>
        </w:rPr>
        <w:t xml:space="preserve"> </w:t>
      </w:r>
      <w:r w:rsidRPr="00F16251">
        <w:rPr>
          <w:rFonts w:cstheme="minorHAnsi"/>
          <w:kern w:val="0"/>
          <w14:ligatures w14:val="none"/>
        </w:rPr>
        <w:t>z</w:t>
      </w:r>
      <w:r w:rsidR="003B50ED" w:rsidRPr="00F16251">
        <w:rPr>
          <w:rFonts w:cstheme="minorHAnsi"/>
          <w:kern w:val="0"/>
          <w14:ligatures w14:val="none"/>
        </w:rPr>
        <w:t xml:space="preserve"> </w:t>
      </w:r>
      <w:r w:rsidRPr="00F16251">
        <w:rPr>
          <w:rFonts w:cstheme="minorHAnsi"/>
          <w:kern w:val="0"/>
          <w14:ligatures w14:val="none"/>
        </w:rPr>
        <w:t>pojawianiem</w:t>
      </w:r>
      <w:r w:rsidR="003B50ED" w:rsidRPr="00F16251">
        <w:rPr>
          <w:rFonts w:cstheme="minorHAnsi"/>
          <w:kern w:val="0"/>
          <w14:ligatures w14:val="none"/>
        </w:rPr>
        <w:t xml:space="preserve"> </w:t>
      </w:r>
      <w:r w:rsidRPr="00F16251">
        <w:rPr>
          <w:rFonts w:cstheme="minorHAnsi"/>
          <w:kern w:val="0"/>
          <w14:ligatures w14:val="none"/>
        </w:rPr>
        <w:t>się</w:t>
      </w:r>
      <w:r w:rsidR="003B50ED" w:rsidRPr="00F16251">
        <w:rPr>
          <w:rFonts w:cstheme="minorHAnsi"/>
          <w:kern w:val="0"/>
          <w14:ligatures w14:val="none"/>
        </w:rPr>
        <w:t xml:space="preserve"> </w:t>
      </w:r>
      <w:r w:rsidRPr="00F16251">
        <w:rPr>
          <w:rFonts w:cstheme="minorHAnsi"/>
          <w:kern w:val="0"/>
          <w14:ligatures w14:val="none"/>
        </w:rPr>
        <w:t>nowych</w:t>
      </w:r>
      <w:r w:rsidR="003B50ED" w:rsidRPr="00F16251">
        <w:rPr>
          <w:rFonts w:cstheme="minorHAnsi"/>
          <w:kern w:val="0"/>
          <w14:ligatures w14:val="none"/>
        </w:rPr>
        <w:t xml:space="preserve"> </w:t>
      </w:r>
      <w:r w:rsidRPr="00F16251">
        <w:rPr>
          <w:rFonts w:cstheme="minorHAnsi"/>
          <w:kern w:val="0"/>
          <w14:ligatures w14:val="none"/>
        </w:rPr>
        <w:t>czynników</w:t>
      </w:r>
      <w:r w:rsidR="003B50ED" w:rsidRPr="00F16251">
        <w:rPr>
          <w:rFonts w:cstheme="minorHAnsi"/>
          <w:kern w:val="0"/>
          <w14:ligatures w14:val="none"/>
        </w:rPr>
        <w:t xml:space="preserve"> </w:t>
      </w:r>
      <w:r w:rsidRPr="00F16251">
        <w:rPr>
          <w:rFonts w:cstheme="minorHAnsi"/>
          <w:kern w:val="0"/>
          <w14:ligatures w14:val="none"/>
        </w:rPr>
        <w:t>zewnętrznych</w:t>
      </w:r>
      <w:r w:rsidR="003B50ED" w:rsidRPr="00F16251">
        <w:rPr>
          <w:rFonts w:cstheme="minorHAnsi"/>
          <w:kern w:val="0"/>
          <w14:ligatures w14:val="none"/>
        </w:rPr>
        <w:t xml:space="preserve"> </w:t>
      </w:r>
      <w:r w:rsidRPr="00F16251">
        <w:rPr>
          <w:rFonts w:cstheme="minorHAnsi"/>
          <w:kern w:val="0"/>
          <w14:ligatures w14:val="none"/>
        </w:rPr>
        <w:t>może</w:t>
      </w:r>
      <w:r w:rsidR="003B50ED" w:rsidRPr="00F16251">
        <w:rPr>
          <w:rFonts w:cstheme="minorHAnsi"/>
          <w:kern w:val="0"/>
          <w14:ligatures w14:val="none"/>
        </w:rPr>
        <w:t xml:space="preserve"> </w:t>
      </w:r>
      <w:r w:rsidRPr="00F16251">
        <w:rPr>
          <w:rFonts w:cstheme="minorHAnsi"/>
          <w:kern w:val="0"/>
          <w14:ligatures w14:val="none"/>
        </w:rPr>
        <w:t>wystąpić</w:t>
      </w:r>
      <w:r w:rsidR="003B50ED" w:rsidRPr="00F16251">
        <w:rPr>
          <w:rFonts w:cstheme="minorHAnsi"/>
          <w:kern w:val="0"/>
          <w14:ligatures w14:val="none"/>
        </w:rPr>
        <w:t xml:space="preserve"> </w:t>
      </w:r>
      <w:r w:rsidRPr="00F16251">
        <w:rPr>
          <w:rFonts w:cstheme="minorHAnsi"/>
          <w:kern w:val="0"/>
          <w14:ligatures w14:val="none"/>
        </w:rPr>
        <w:t>potrzeb</w:t>
      </w:r>
      <w:r w:rsidR="003555DB" w:rsidRPr="00F16251">
        <w:rPr>
          <w:rFonts w:cstheme="minorHAnsi"/>
          <w:kern w:val="0"/>
          <w14:ligatures w14:val="none"/>
        </w:rPr>
        <w:t>a</w:t>
      </w:r>
      <w:r w:rsidR="003B50ED" w:rsidRPr="00F16251">
        <w:rPr>
          <w:rFonts w:cstheme="minorHAnsi"/>
          <w:kern w:val="0"/>
          <w14:ligatures w14:val="none"/>
        </w:rPr>
        <w:t xml:space="preserve"> </w:t>
      </w:r>
      <w:r w:rsidRPr="00F16251">
        <w:rPr>
          <w:rFonts w:cstheme="minorHAnsi"/>
          <w:kern w:val="0"/>
          <w14:ligatures w14:val="none"/>
        </w:rPr>
        <w:t>ich</w:t>
      </w:r>
      <w:r w:rsidR="003B50ED" w:rsidRPr="00F16251">
        <w:rPr>
          <w:rFonts w:cstheme="minorHAnsi"/>
          <w:kern w:val="0"/>
          <w14:ligatures w14:val="none"/>
        </w:rPr>
        <w:t xml:space="preserve"> </w:t>
      </w:r>
      <w:r w:rsidRPr="00F16251">
        <w:rPr>
          <w:rFonts w:cstheme="minorHAnsi"/>
          <w:kern w:val="0"/>
          <w14:ligatures w14:val="none"/>
        </w:rPr>
        <w:t>zmiany</w:t>
      </w:r>
      <w:r w:rsidR="003B50ED" w:rsidRPr="00F16251">
        <w:rPr>
          <w:rFonts w:cstheme="minorHAnsi"/>
          <w:kern w:val="0"/>
          <w14:ligatures w14:val="none"/>
        </w:rPr>
        <w:t xml:space="preserve"> </w:t>
      </w:r>
      <w:r w:rsidRPr="00F16251">
        <w:rPr>
          <w:rFonts w:cstheme="minorHAnsi"/>
          <w:kern w:val="0"/>
          <w14:ligatures w14:val="none"/>
        </w:rPr>
        <w:t>lub</w:t>
      </w:r>
      <w:r w:rsidR="003B50ED" w:rsidRPr="00F16251">
        <w:rPr>
          <w:rFonts w:cstheme="minorHAnsi"/>
          <w:kern w:val="0"/>
          <w14:ligatures w14:val="none"/>
        </w:rPr>
        <w:t xml:space="preserve"> </w:t>
      </w:r>
      <w:r w:rsidRPr="00F16251">
        <w:rPr>
          <w:rFonts w:cstheme="minorHAnsi"/>
          <w:kern w:val="0"/>
          <w14:ligatures w14:val="none"/>
        </w:rPr>
        <w:t>lepszego</w:t>
      </w:r>
      <w:r w:rsidR="003B50ED" w:rsidRPr="00F16251">
        <w:rPr>
          <w:rFonts w:cstheme="minorHAnsi"/>
          <w:kern w:val="0"/>
          <w14:ligatures w14:val="none"/>
        </w:rPr>
        <w:t xml:space="preserve"> </w:t>
      </w:r>
      <w:r w:rsidRPr="00F16251">
        <w:rPr>
          <w:rFonts w:cstheme="minorHAnsi"/>
          <w:kern w:val="0"/>
          <w14:ligatures w14:val="none"/>
        </w:rPr>
        <w:t>dostosowania.</w:t>
      </w:r>
      <w:r w:rsidR="003B50ED" w:rsidRPr="00F16251">
        <w:rPr>
          <w:rFonts w:cstheme="minorHAnsi"/>
          <w:kern w:val="0"/>
          <w14:ligatures w14:val="none"/>
        </w:rPr>
        <w:t xml:space="preserve"> </w:t>
      </w:r>
      <w:r w:rsidRPr="00F16251">
        <w:rPr>
          <w:rFonts w:cstheme="minorHAnsi"/>
          <w:kern w:val="0"/>
          <w14:ligatures w14:val="none"/>
        </w:rPr>
        <w:t>Przygotowanie</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aktualizacja</w:t>
      </w:r>
      <w:r w:rsidR="003B50ED" w:rsidRPr="00F16251">
        <w:rPr>
          <w:rFonts w:cstheme="minorHAnsi"/>
          <w:kern w:val="0"/>
          <w14:ligatures w14:val="none"/>
        </w:rPr>
        <w:t xml:space="preserve"> </w:t>
      </w:r>
      <w:r w:rsidRPr="00F16251">
        <w:rPr>
          <w:rFonts w:cstheme="minorHAnsi"/>
          <w:kern w:val="0"/>
          <w14:ligatures w14:val="none"/>
        </w:rPr>
        <w:t>lokalnych</w:t>
      </w:r>
      <w:r w:rsidR="003B50ED" w:rsidRPr="00F16251">
        <w:rPr>
          <w:rFonts w:cstheme="minorHAnsi"/>
          <w:kern w:val="0"/>
          <w14:ligatures w14:val="none"/>
        </w:rPr>
        <w:t xml:space="preserve"> </w:t>
      </w:r>
      <w:r w:rsidRPr="00F16251">
        <w:rPr>
          <w:rFonts w:cstheme="minorHAnsi"/>
          <w:kern w:val="0"/>
          <w14:ligatures w14:val="none"/>
        </w:rPr>
        <w:t>kryteriów</w:t>
      </w:r>
      <w:r w:rsidR="003B50ED" w:rsidRPr="00F16251">
        <w:rPr>
          <w:rFonts w:cstheme="minorHAnsi"/>
          <w:kern w:val="0"/>
          <w14:ligatures w14:val="none"/>
        </w:rPr>
        <w:t xml:space="preserve"> </w:t>
      </w:r>
      <w:r w:rsidRPr="00F16251">
        <w:rPr>
          <w:rFonts w:cstheme="minorHAnsi"/>
          <w:kern w:val="0"/>
          <w14:ligatures w14:val="none"/>
        </w:rPr>
        <w:t>wyboru</w:t>
      </w:r>
      <w:r w:rsidR="003B50ED" w:rsidRPr="00F16251">
        <w:rPr>
          <w:rFonts w:cstheme="minorHAnsi"/>
          <w:kern w:val="0"/>
          <w14:ligatures w14:val="none"/>
        </w:rPr>
        <w:t xml:space="preserve"> </w:t>
      </w:r>
      <w:r w:rsidRPr="00F16251">
        <w:rPr>
          <w:rFonts w:cstheme="minorHAnsi"/>
          <w:kern w:val="0"/>
          <w14:ligatures w14:val="none"/>
        </w:rPr>
        <w:t>z</w:t>
      </w:r>
      <w:r w:rsidR="003B50ED" w:rsidRPr="00F16251">
        <w:rPr>
          <w:rFonts w:cstheme="minorHAnsi"/>
          <w:kern w:val="0"/>
          <w14:ligatures w14:val="none"/>
        </w:rPr>
        <w:t xml:space="preserve"> </w:t>
      </w:r>
      <w:r w:rsidRPr="00F16251">
        <w:rPr>
          <w:rFonts w:cstheme="minorHAnsi"/>
          <w:kern w:val="0"/>
          <w14:ligatures w14:val="none"/>
        </w:rPr>
        <w:t>wykorzystaniem</w:t>
      </w:r>
      <w:r w:rsidR="003B50ED" w:rsidRPr="00F16251">
        <w:rPr>
          <w:rFonts w:cstheme="minorHAnsi"/>
          <w:kern w:val="0"/>
          <w14:ligatures w14:val="none"/>
        </w:rPr>
        <w:t xml:space="preserve"> </w:t>
      </w:r>
      <w:r w:rsidRPr="00F16251">
        <w:rPr>
          <w:rFonts w:cstheme="minorHAnsi"/>
          <w:kern w:val="0"/>
          <w14:ligatures w14:val="none"/>
        </w:rPr>
        <w:t>partycypacyjnych</w:t>
      </w:r>
      <w:r w:rsidR="003B50ED" w:rsidRPr="00F16251">
        <w:rPr>
          <w:rFonts w:cstheme="minorHAnsi"/>
          <w:kern w:val="0"/>
          <w14:ligatures w14:val="none"/>
        </w:rPr>
        <w:t xml:space="preserve"> </w:t>
      </w:r>
      <w:r w:rsidRPr="00F16251">
        <w:rPr>
          <w:rFonts w:cstheme="minorHAnsi"/>
          <w:kern w:val="0"/>
          <w14:ligatures w14:val="none"/>
        </w:rPr>
        <w:t>metod</w:t>
      </w:r>
      <w:r w:rsidR="003B50ED" w:rsidRPr="00F16251">
        <w:rPr>
          <w:rFonts w:cstheme="minorHAnsi"/>
          <w:kern w:val="0"/>
          <w14:ligatures w14:val="none"/>
        </w:rPr>
        <w:t xml:space="preserve"> </w:t>
      </w:r>
      <w:r w:rsidRPr="00F16251">
        <w:rPr>
          <w:rFonts w:cstheme="minorHAnsi"/>
          <w:kern w:val="0"/>
          <w14:ligatures w14:val="none"/>
        </w:rPr>
        <w:t>zapewnia</w:t>
      </w:r>
      <w:r w:rsidR="003B50ED" w:rsidRPr="00F16251">
        <w:rPr>
          <w:rFonts w:cstheme="minorHAnsi"/>
          <w:kern w:val="0"/>
          <w14:ligatures w14:val="none"/>
        </w:rPr>
        <w:t xml:space="preserve"> </w:t>
      </w:r>
      <w:r w:rsidRPr="00F16251">
        <w:rPr>
          <w:rFonts w:cstheme="minorHAnsi"/>
          <w:kern w:val="0"/>
          <w14:ligatures w14:val="none"/>
        </w:rPr>
        <w:t>wszystkim</w:t>
      </w:r>
      <w:r w:rsidR="003B50ED" w:rsidRPr="00F16251">
        <w:rPr>
          <w:rFonts w:cstheme="minorHAnsi"/>
          <w:kern w:val="0"/>
          <w14:ligatures w14:val="none"/>
        </w:rPr>
        <w:t xml:space="preserve"> </w:t>
      </w:r>
      <w:r w:rsidRPr="00F16251">
        <w:rPr>
          <w:rFonts w:cstheme="minorHAnsi"/>
          <w:kern w:val="0"/>
          <w14:ligatures w14:val="none"/>
        </w:rPr>
        <w:t>interesariuszom</w:t>
      </w:r>
      <w:r w:rsidR="003B50ED" w:rsidRPr="00F16251">
        <w:rPr>
          <w:rFonts w:cstheme="minorHAnsi"/>
          <w:kern w:val="0"/>
          <w14:ligatures w14:val="none"/>
        </w:rPr>
        <w:t xml:space="preserve"> </w:t>
      </w:r>
      <w:r w:rsidRPr="00F16251">
        <w:rPr>
          <w:rFonts w:cstheme="minorHAnsi"/>
          <w:kern w:val="0"/>
          <w14:ligatures w14:val="none"/>
        </w:rPr>
        <w:t>realny</w:t>
      </w:r>
      <w:r w:rsidR="003B50ED" w:rsidRPr="00F16251">
        <w:rPr>
          <w:rFonts w:cstheme="minorHAnsi"/>
          <w:kern w:val="0"/>
          <w14:ligatures w14:val="none"/>
        </w:rPr>
        <w:t xml:space="preserve"> </w:t>
      </w:r>
      <w:r w:rsidRPr="00F16251">
        <w:rPr>
          <w:rFonts w:cstheme="minorHAnsi"/>
          <w:kern w:val="0"/>
          <w14:ligatures w14:val="none"/>
        </w:rPr>
        <w:t>wpływ</w:t>
      </w:r>
      <w:r w:rsidR="003B50ED" w:rsidRPr="00F16251">
        <w:rPr>
          <w:rFonts w:cstheme="minorHAnsi"/>
          <w:kern w:val="0"/>
          <w14:ligatures w14:val="none"/>
        </w:rPr>
        <w:t xml:space="preserve"> </w:t>
      </w:r>
      <w:r w:rsidRPr="00F16251">
        <w:rPr>
          <w:rFonts w:cstheme="minorHAnsi"/>
          <w:kern w:val="0"/>
          <w14:ligatures w14:val="none"/>
        </w:rPr>
        <w:t>na</w:t>
      </w:r>
      <w:r w:rsidR="003B50ED" w:rsidRPr="00F16251">
        <w:rPr>
          <w:rFonts w:cstheme="minorHAnsi"/>
          <w:kern w:val="0"/>
          <w14:ligatures w14:val="none"/>
        </w:rPr>
        <w:t xml:space="preserve"> </w:t>
      </w:r>
      <w:r w:rsidRPr="00F16251">
        <w:rPr>
          <w:rFonts w:cstheme="minorHAnsi"/>
          <w:kern w:val="0"/>
          <w14:ligatures w14:val="none"/>
        </w:rPr>
        <w:t>wybór</w:t>
      </w:r>
      <w:r w:rsidR="003B50ED" w:rsidRPr="00F16251">
        <w:rPr>
          <w:rFonts w:cstheme="minorHAnsi"/>
          <w:kern w:val="0"/>
          <w14:ligatures w14:val="none"/>
        </w:rPr>
        <w:t xml:space="preserve"> </w:t>
      </w:r>
      <w:r w:rsidRPr="00F16251">
        <w:rPr>
          <w:rFonts w:cstheme="minorHAnsi"/>
          <w:kern w:val="0"/>
          <w14:ligatures w14:val="none"/>
        </w:rPr>
        <w:t>operacji,</w:t>
      </w:r>
      <w:r w:rsidR="003B50ED" w:rsidRPr="00F16251">
        <w:rPr>
          <w:rFonts w:cstheme="minorHAnsi"/>
          <w:kern w:val="0"/>
          <w14:ligatures w14:val="none"/>
        </w:rPr>
        <w:t xml:space="preserve"> </w:t>
      </w:r>
      <w:r w:rsidRPr="00F16251">
        <w:rPr>
          <w:rFonts w:cstheme="minorHAnsi"/>
          <w:kern w:val="0"/>
          <w14:ligatures w14:val="none"/>
        </w:rPr>
        <w:t>które</w:t>
      </w:r>
      <w:r w:rsidR="003B50ED" w:rsidRPr="00F16251">
        <w:rPr>
          <w:rFonts w:cstheme="minorHAnsi"/>
          <w:kern w:val="0"/>
          <w14:ligatures w14:val="none"/>
        </w:rPr>
        <w:t xml:space="preserve"> </w:t>
      </w:r>
      <w:r w:rsidRPr="00F16251">
        <w:rPr>
          <w:rFonts w:cstheme="minorHAnsi"/>
          <w:kern w:val="0"/>
          <w14:ligatures w14:val="none"/>
        </w:rPr>
        <w:t>będą</w:t>
      </w:r>
      <w:r w:rsidR="003B50ED" w:rsidRPr="00F16251">
        <w:rPr>
          <w:rFonts w:cstheme="minorHAnsi"/>
          <w:kern w:val="0"/>
          <w14:ligatures w14:val="none"/>
        </w:rPr>
        <w:t xml:space="preserve"> </w:t>
      </w:r>
      <w:r w:rsidRPr="00F16251">
        <w:rPr>
          <w:rFonts w:cstheme="minorHAnsi"/>
          <w:kern w:val="0"/>
          <w14:ligatures w14:val="none"/>
        </w:rPr>
        <w:t>realizować</w:t>
      </w:r>
      <w:r w:rsidR="003B50ED" w:rsidRPr="00F16251">
        <w:rPr>
          <w:rFonts w:cstheme="minorHAnsi"/>
          <w:kern w:val="0"/>
          <w14:ligatures w14:val="none"/>
        </w:rPr>
        <w:t xml:space="preserve"> </w:t>
      </w:r>
      <w:r w:rsidRPr="00F16251">
        <w:rPr>
          <w:rFonts w:cstheme="minorHAnsi"/>
          <w:kern w:val="0"/>
          <w14:ligatures w14:val="none"/>
        </w:rPr>
        <w:t>LSR.</w:t>
      </w:r>
      <w:r w:rsidR="003B50ED" w:rsidRPr="00F16251">
        <w:rPr>
          <w:rFonts w:cstheme="minorHAnsi"/>
          <w:kern w:val="0"/>
          <w14:ligatures w14:val="none"/>
        </w:rPr>
        <w:t xml:space="preserve"> </w:t>
      </w:r>
      <w:r w:rsidRPr="00F16251">
        <w:rPr>
          <w:rFonts w:cstheme="minorHAnsi"/>
          <w:kern w:val="0"/>
          <w14:ligatures w14:val="none"/>
        </w:rPr>
        <w:t>Takie</w:t>
      </w:r>
      <w:r w:rsidR="003B50ED" w:rsidRPr="00F16251">
        <w:rPr>
          <w:rFonts w:cstheme="minorHAnsi"/>
          <w:kern w:val="0"/>
          <w14:ligatures w14:val="none"/>
        </w:rPr>
        <w:t xml:space="preserve"> </w:t>
      </w:r>
      <w:r w:rsidRPr="00F16251">
        <w:rPr>
          <w:rFonts w:cstheme="minorHAnsi"/>
          <w:kern w:val="0"/>
          <w14:ligatures w14:val="none"/>
        </w:rPr>
        <w:t>podejście</w:t>
      </w:r>
      <w:r w:rsidR="003B50ED" w:rsidRPr="00F16251">
        <w:rPr>
          <w:rFonts w:cstheme="minorHAnsi"/>
          <w:kern w:val="0"/>
          <w14:ligatures w14:val="none"/>
        </w:rPr>
        <w:t xml:space="preserve"> </w:t>
      </w:r>
      <w:r w:rsidRPr="00F16251">
        <w:rPr>
          <w:rFonts w:cstheme="minorHAnsi"/>
          <w:kern w:val="0"/>
          <w14:ligatures w14:val="none"/>
        </w:rPr>
        <w:t>zapewnia</w:t>
      </w:r>
      <w:r w:rsidR="003B50ED" w:rsidRPr="00F16251">
        <w:rPr>
          <w:rFonts w:cstheme="minorHAnsi"/>
          <w:kern w:val="0"/>
          <w14:ligatures w14:val="none"/>
        </w:rPr>
        <w:t xml:space="preserve"> </w:t>
      </w:r>
      <w:r w:rsidRPr="00F16251">
        <w:rPr>
          <w:rFonts w:cstheme="minorHAnsi"/>
          <w:kern w:val="0"/>
          <w14:ligatures w14:val="none"/>
        </w:rPr>
        <w:t>pełna</w:t>
      </w:r>
      <w:r w:rsidR="003B50ED" w:rsidRPr="00F16251">
        <w:rPr>
          <w:rFonts w:cstheme="minorHAnsi"/>
          <w:kern w:val="0"/>
          <w14:ligatures w14:val="none"/>
        </w:rPr>
        <w:t xml:space="preserve"> </w:t>
      </w:r>
      <w:proofErr w:type="spellStart"/>
      <w:r w:rsidRPr="00F16251">
        <w:rPr>
          <w:rFonts w:cstheme="minorHAnsi"/>
          <w:kern w:val="0"/>
          <w14:ligatures w14:val="none"/>
        </w:rPr>
        <w:t>inkluzywność</w:t>
      </w:r>
      <w:proofErr w:type="spellEnd"/>
      <w:r w:rsidRPr="00F16251">
        <w:rPr>
          <w:rFonts w:cstheme="minorHAnsi"/>
          <w:kern w:val="0"/>
          <w14:ligatures w14:val="none"/>
        </w:rPr>
        <w:t>.</w:t>
      </w:r>
      <w:r w:rsidR="003B50ED" w:rsidRPr="00F16251">
        <w:rPr>
          <w:rFonts w:cstheme="minorHAnsi"/>
          <w:kern w:val="0"/>
          <w14:ligatures w14:val="none"/>
        </w:rPr>
        <w:t xml:space="preserve"> </w:t>
      </w:r>
    </w:p>
    <w:p w14:paraId="6EB2CAA4" w14:textId="58C8DD5B" w:rsidR="002C63F4" w:rsidRPr="00F16251" w:rsidRDefault="002C63F4" w:rsidP="00CF2876">
      <w:pPr>
        <w:spacing w:line="276" w:lineRule="auto"/>
        <w:ind w:firstLine="360"/>
        <w:jc w:val="both"/>
        <w:rPr>
          <w:rFonts w:cstheme="minorHAnsi"/>
          <w:kern w:val="0"/>
          <w14:ligatures w14:val="none"/>
        </w:rPr>
      </w:pPr>
      <w:r w:rsidRPr="00F16251">
        <w:rPr>
          <w:rFonts w:cstheme="minorHAnsi"/>
          <w:kern w:val="0"/>
          <w14:ligatures w14:val="none"/>
        </w:rPr>
        <w:t>Ww.</w:t>
      </w:r>
      <w:r w:rsidR="003B50ED" w:rsidRPr="00F16251">
        <w:rPr>
          <w:rFonts w:cstheme="minorHAnsi"/>
          <w:kern w:val="0"/>
          <w14:ligatures w14:val="none"/>
        </w:rPr>
        <w:t xml:space="preserve"> </w:t>
      </w:r>
      <w:r w:rsidRPr="00F16251">
        <w:rPr>
          <w:rFonts w:cstheme="minorHAnsi"/>
          <w:kern w:val="0"/>
          <w14:ligatures w14:val="none"/>
        </w:rPr>
        <w:t>zasady</w:t>
      </w:r>
      <w:r w:rsidR="003B50ED" w:rsidRPr="00F16251">
        <w:rPr>
          <w:rFonts w:cstheme="minorHAnsi"/>
          <w:kern w:val="0"/>
          <w14:ligatures w14:val="none"/>
        </w:rPr>
        <w:t xml:space="preserve"> </w:t>
      </w:r>
      <w:r w:rsidRPr="00F16251">
        <w:rPr>
          <w:rFonts w:cstheme="minorHAnsi"/>
          <w:kern w:val="0"/>
          <w14:ligatures w14:val="none"/>
        </w:rPr>
        <w:t>obowiązują</w:t>
      </w:r>
      <w:r w:rsidR="003B50ED" w:rsidRPr="00F16251">
        <w:rPr>
          <w:rFonts w:cstheme="minorHAnsi"/>
          <w:kern w:val="0"/>
          <w14:ligatures w14:val="none"/>
        </w:rPr>
        <w:t xml:space="preserve"> </w:t>
      </w:r>
      <w:r w:rsidRPr="00F16251">
        <w:rPr>
          <w:rFonts w:cstheme="minorHAnsi"/>
          <w:kern w:val="0"/>
          <w14:ligatures w14:val="none"/>
        </w:rPr>
        <w:t>również</w:t>
      </w:r>
      <w:r w:rsidR="003B50ED" w:rsidRPr="00F16251">
        <w:rPr>
          <w:rFonts w:cstheme="minorHAnsi"/>
          <w:kern w:val="0"/>
          <w14:ligatures w14:val="none"/>
        </w:rPr>
        <w:t xml:space="preserve"> </w:t>
      </w:r>
      <w:r w:rsidRPr="00F16251">
        <w:rPr>
          <w:rFonts w:cstheme="minorHAnsi"/>
          <w:kern w:val="0"/>
          <w14:ligatures w14:val="none"/>
        </w:rPr>
        <w:t>do</w:t>
      </w:r>
      <w:r w:rsidR="003B50ED" w:rsidRPr="00F16251">
        <w:rPr>
          <w:rFonts w:cstheme="minorHAnsi"/>
          <w:kern w:val="0"/>
          <w14:ligatures w14:val="none"/>
        </w:rPr>
        <w:t xml:space="preserve"> </w:t>
      </w:r>
      <w:r w:rsidRPr="00F16251">
        <w:rPr>
          <w:rFonts w:cstheme="minorHAnsi"/>
          <w:kern w:val="0"/>
          <w14:ligatures w14:val="none"/>
        </w:rPr>
        <w:t>procedur</w:t>
      </w:r>
      <w:r w:rsidR="003B50ED" w:rsidRPr="00F16251">
        <w:rPr>
          <w:rFonts w:cstheme="minorHAnsi"/>
          <w:kern w:val="0"/>
          <w14:ligatures w14:val="none"/>
        </w:rPr>
        <w:t xml:space="preserve"> </w:t>
      </w:r>
      <w:r w:rsidRPr="00F16251">
        <w:rPr>
          <w:rFonts w:cstheme="minorHAnsi"/>
          <w:kern w:val="0"/>
          <w14:ligatures w14:val="none"/>
        </w:rPr>
        <w:t>wyboru</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oceny</w:t>
      </w:r>
      <w:r w:rsidR="003B50ED" w:rsidRPr="00F16251">
        <w:rPr>
          <w:rFonts w:cstheme="minorHAnsi"/>
          <w:kern w:val="0"/>
          <w14:ligatures w14:val="none"/>
        </w:rPr>
        <w:t xml:space="preserve"> </w:t>
      </w:r>
      <w:proofErr w:type="spellStart"/>
      <w:r w:rsidRPr="00F16251">
        <w:rPr>
          <w:rFonts w:cstheme="minorHAnsi"/>
          <w:kern w:val="0"/>
          <w14:ligatures w14:val="none"/>
        </w:rPr>
        <w:t>grantobiorców</w:t>
      </w:r>
      <w:proofErr w:type="spellEnd"/>
      <w:r w:rsidR="003B50ED" w:rsidRPr="00F16251">
        <w:rPr>
          <w:rFonts w:cstheme="minorHAnsi"/>
          <w:kern w:val="0"/>
          <w14:ligatures w14:val="none"/>
        </w:rPr>
        <w:t xml:space="preserve"> </w:t>
      </w:r>
      <w:r w:rsidRPr="00F16251">
        <w:rPr>
          <w:rFonts w:cstheme="minorHAnsi"/>
          <w:kern w:val="0"/>
          <w14:ligatures w14:val="none"/>
        </w:rPr>
        <w:t>uwzględniających</w:t>
      </w:r>
      <w:r w:rsidR="003B50ED" w:rsidRPr="00F16251">
        <w:rPr>
          <w:rFonts w:cstheme="minorHAnsi"/>
          <w:kern w:val="0"/>
          <w14:ligatures w14:val="none"/>
        </w:rPr>
        <w:t xml:space="preserve"> </w:t>
      </w:r>
      <w:r w:rsidRPr="00F16251">
        <w:rPr>
          <w:rFonts w:cstheme="minorHAnsi"/>
          <w:kern w:val="0"/>
          <w14:ligatures w14:val="none"/>
        </w:rPr>
        <w:t>kryteria</w:t>
      </w:r>
      <w:r w:rsidR="003B50ED" w:rsidRPr="00F16251">
        <w:rPr>
          <w:rFonts w:cstheme="minorHAnsi"/>
          <w:kern w:val="0"/>
          <w14:ligatures w14:val="none"/>
        </w:rPr>
        <w:t xml:space="preserve"> </w:t>
      </w:r>
      <w:r w:rsidRPr="00F16251">
        <w:rPr>
          <w:rFonts w:cstheme="minorHAnsi"/>
          <w:kern w:val="0"/>
          <w14:ligatures w14:val="none"/>
        </w:rPr>
        <w:t>wyboru</w:t>
      </w:r>
      <w:r w:rsidR="003B50ED" w:rsidRPr="00F16251">
        <w:rPr>
          <w:rFonts w:cstheme="minorHAnsi"/>
          <w:kern w:val="0"/>
          <w14:ligatures w14:val="none"/>
        </w:rPr>
        <w:t xml:space="preserve"> </w:t>
      </w:r>
      <w:proofErr w:type="spellStart"/>
      <w:r w:rsidRPr="00F16251">
        <w:rPr>
          <w:rFonts w:cstheme="minorHAnsi"/>
          <w:kern w:val="0"/>
          <w14:ligatures w14:val="none"/>
        </w:rPr>
        <w:t>grantobiorców</w:t>
      </w:r>
      <w:proofErr w:type="spellEnd"/>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ramach</w:t>
      </w:r>
      <w:r w:rsidR="003B50ED" w:rsidRPr="00F16251">
        <w:rPr>
          <w:rFonts w:cstheme="minorHAnsi"/>
          <w:kern w:val="0"/>
          <w14:ligatures w14:val="none"/>
        </w:rPr>
        <w:t xml:space="preserve"> </w:t>
      </w:r>
      <w:r w:rsidRPr="00F16251">
        <w:rPr>
          <w:rFonts w:cstheme="minorHAnsi"/>
          <w:kern w:val="0"/>
          <w14:ligatures w14:val="none"/>
        </w:rPr>
        <w:t>projektów</w:t>
      </w:r>
      <w:r w:rsidR="003B50ED" w:rsidRPr="00F16251">
        <w:rPr>
          <w:rFonts w:cstheme="minorHAnsi"/>
          <w:kern w:val="0"/>
          <w14:ligatures w14:val="none"/>
        </w:rPr>
        <w:t xml:space="preserve"> </w:t>
      </w:r>
      <w:r w:rsidRPr="00F16251">
        <w:rPr>
          <w:rFonts w:cstheme="minorHAnsi"/>
          <w:kern w:val="0"/>
          <w14:ligatures w14:val="none"/>
        </w:rPr>
        <w:t>grantowych,</w:t>
      </w:r>
      <w:r w:rsidR="003B50ED" w:rsidRPr="00F16251">
        <w:rPr>
          <w:rFonts w:cstheme="minorHAnsi"/>
          <w:kern w:val="0"/>
          <w14:ligatures w14:val="none"/>
        </w:rPr>
        <w:t xml:space="preserve"> </w:t>
      </w:r>
      <w:r w:rsidRPr="00F16251">
        <w:rPr>
          <w:rFonts w:cstheme="minorHAnsi"/>
          <w:kern w:val="0"/>
          <w14:ligatures w14:val="none"/>
        </w:rPr>
        <w:t>wraz</w:t>
      </w:r>
      <w:r w:rsidR="003B50ED" w:rsidRPr="00F16251">
        <w:rPr>
          <w:rFonts w:cstheme="minorHAnsi"/>
          <w:kern w:val="0"/>
          <w14:ligatures w14:val="none"/>
        </w:rPr>
        <w:t xml:space="preserve"> </w:t>
      </w:r>
      <w:r w:rsidRPr="00F16251">
        <w:rPr>
          <w:rFonts w:cstheme="minorHAnsi"/>
          <w:kern w:val="0"/>
          <w14:ligatures w14:val="none"/>
        </w:rPr>
        <w:t>z</w:t>
      </w:r>
      <w:r w:rsidR="003B50ED" w:rsidRPr="00F16251">
        <w:rPr>
          <w:rFonts w:cstheme="minorHAnsi"/>
          <w:kern w:val="0"/>
          <w14:ligatures w14:val="none"/>
        </w:rPr>
        <w:t xml:space="preserve"> </w:t>
      </w:r>
      <w:r w:rsidRPr="00F16251">
        <w:rPr>
          <w:rFonts w:cstheme="minorHAnsi"/>
          <w:kern w:val="0"/>
          <w14:ligatures w14:val="none"/>
        </w:rPr>
        <w:t>procedurą</w:t>
      </w:r>
      <w:r w:rsidR="003B50ED" w:rsidRPr="00F16251">
        <w:rPr>
          <w:rFonts w:cstheme="minorHAnsi"/>
          <w:kern w:val="0"/>
          <w14:ligatures w14:val="none"/>
        </w:rPr>
        <w:t xml:space="preserve"> </w:t>
      </w:r>
      <w:r w:rsidRPr="00F16251">
        <w:rPr>
          <w:rFonts w:cstheme="minorHAnsi"/>
          <w:kern w:val="0"/>
          <w14:ligatures w14:val="none"/>
        </w:rPr>
        <w:t>ustalania</w:t>
      </w:r>
      <w:r w:rsidR="003B50ED" w:rsidRPr="00F16251">
        <w:rPr>
          <w:rFonts w:cstheme="minorHAnsi"/>
          <w:kern w:val="0"/>
          <w14:ligatures w14:val="none"/>
        </w:rPr>
        <w:t xml:space="preserve"> </w:t>
      </w:r>
      <w:r w:rsidRPr="00F16251">
        <w:rPr>
          <w:rFonts w:cstheme="minorHAnsi"/>
          <w:kern w:val="0"/>
          <w14:ligatures w14:val="none"/>
        </w:rPr>
        <w:t>lub</w:t>
      </w:r>
      <w:r w:rsidR="003B50ED" w:rsidRPr="00F16251">
        <w:rPr>
          <w:rFonts w:cstheme="minorHAnsi"/>
          <w:kern w:val="0"/>
          <w14:ligatures w14:val="none"/>
        </w:rPr>
        <w:t xml:space="preserve"> </w:t>
      </w:r>
      <w:r w:rsidRPr="00F16251">
        <w:rPr>
          <w:rFonts w:cstheme="minorHAnsi"/>
          <w:kern w:val="0"/>
          <w14:ligatures w14:val="none"/>
        </w:rPr>
        <w:t>zmiany</w:t>
      </w:r>
      <w:r w:rsidR="003B50ED" w:rsidRPr="00F16251">
        <w:rPr>
          <w:rFonts w:cstheme="minorHAnsi"/>
          <w:kern w:val="0"/>
          <w14:ligatures w14:val="none"/>
        </w:rPr>
        <w:t xml:space="preserve"> </w:t>
      </w:r>
      <w:r w:rsidRPr="00F16251">
        <w:rPr>
          <w:rFonts w:cstheme="minorHAnsi"/>
          <w:kern w:val="0"/>
          <w14:ligatures w14:val="none"/>
        </w:rPr>
        <w:t>tych</w:t>
      </w:r>
      <w:r w:rsidR="003B50ED" w:rsidRPr="00F16251">
        <w:rPr>
          <w:rFonts w:cstheme="minorHAnsi"/>
          <w:kern w:val="0"/>
          <w14:ligatures w14:val="none"/>
        </w:rPr>
        <w:t xml:space="preserve"> </w:t>
      </w:r>
      <w:r w:rsidRPr="00F16251">
        <w:rPr>
          <w:rFonts w:cstheme="minorHAnsi"/>
          <w:kern w:val="0"/>
          <w14:ligatures w14:val="none"/>
        </w:rPr>
        <w:t>kryteriów.</w:t>
      </w:r>
      <w:r w:rsidR="003B50ED" w:rsidRPr="00F16251">
        <w:rPr>
          <w:rFonts w:cstheme="minorHAnsi"/>
          <w:kern w:val="0"/>
          <w14:ligatures w14:val="none"/>
        </w:rPr>
        <w:t xml:space="preserve"> </w:t>
      </w:r>
    </w:p>
    <w:p w14:paraId="0BE48CF1" w14:textId="3F6FDB75" w:rsidR="00864F84" w:rsidRPr="00F16251" w:rsidRDefault="00864F84" w:rsidP="00864F84">
      <w:pPr>
        <w:spacing w:line="276" w:lineRule="auto"/>
        <w:ind w:firstLine="426"/>
        <w:jc w:val="both"/>
        <w:rPr>
          <w:rFonts w:cstheme="minorHAnsi"/>
        </w:rPr>
      </w:pPr>
      <w:r w:rsidRPr="00F16251">
        <w:rPr>
          <w:rFonts w:cstheme="minorHAnsi"/>
        </w:rPr>
        <w:t xml:space="preserve">W przypadku FEWP ostateczny dobór wskaźników odbędzie się przed ogłaszaniem naborów wniosków </w:t>
      </w:r>
      <w:r w:rsidRPr="00F16251">
        <w:rPr>
          <w:rFonts w:cstheme="minorHAnsi"/>
        </w:rPr>
        <w:br/>
        <w:t xml:space="preserve">w ramach poszczególnych działań na podstawie SZOP FEWP 2021-2027. Uwzględnione będą wskaźniki wskazane </w:t>
      </w:r>
      <w:r w:rsidRPr="00F16251">
        <w:rPr>
          <w:rFonts w:cstheme="minorHAnsi"/>
        </w:rPr>
        <w:br/>
        <w:t>w LSR na lata 2023-2027, jak również inne, które zostaną określone</w:t>
      </w:r>
      <w:r w:rsidR="003555DB" w:rsidRPr="00F16251">
        <w:rPr>
          <w:rFonts w:cstheme="minorHAnsi"/>
        </w:rPr>
        <w:t xml:space="preserve"> dla </w:t>
      </w:r>
      <w:r w:rsidRPr="00F16251">
        <w:rPr>
          <w:rFonts w:cstheme="minorHAnsi"/>
        </w:rPr>
        <w:t xml:space="preserve">EFS+ lub EFRR. </w:t>
      </w:r>
    </w:p>
    <w:p w14:paraId="59FFA708" w14:textId="77777777" w:rsidR="00864F84" w:rsidRPr="00F16251" w:rsidRDefault="00864F84" w:rsidP="00864F84">
      <w:pPr>
        <w:spacing w:line="276" w:lineRule="auto"/>
        <w:ind w:firstLine="426"/>
        <w:jc w:val="both"/>
        <w:rPr>
          <w:rFonts w:cstheme="minorHAnsi"/>
        </w:rPr>
      </w:pPr>
      <w:r w:rsidRPr="00F16251">
        <w:rPr>
          <w:rFonts w:cstheme="minorHAnsi"/>
        </w:rPr>
        <w:t>Zgodnie z ww. zasadami na etapie wniosku o dofinansowanie w każdym celu szczegółowym będą mierzone wszystkie wskaźniki adekwatne do zakresu wsparcia - wskaźniki określone dla danego CS w LWK dla regionu, nawet jeśli nie zostały określone w danym programie.</w:t>
      </w:r>
    </w:p>
    <w:p w14:paraId="3FB7C190" w14:textId="4DEEE46F" w:rsidR="00864F84" w:rsidRPr="00F16251" w:rsidRDefault="00864F84" w:rsidP="00864F84">
      <w:pPr>
        <w:spacing w:line="276" w:lineRule="auto"/>
        <w:ind w:firstLine="426"/>
        <w:jc w:val="both"/>
        <w:rPr>
          <w:rFonts w:cstheme="minorHAnsi"/>
        </w:rPr>
      </w:pPr>
      <w:r w:rsidRPr="00F16251">
        <w:rPr>
          <w:rFonts w:cstheme="minorHAnsi"/>
        </w:rPr>
        <w:t xml:space="preserve">LGD opracowując kryteria wyboru operacji zachowa zasady zgodne z wymaganiami dla projektów realizowanych z EFS+ i EFRR w zakresie zgodnym z FEWP 2021-2027. Zapewniona zostanie zgodność z kryteriami wyboru projektów ustanowionych dla danego programu regionalnego w odniesieniu do danego typu projektu </w:t>
      </w:r>
      <w:r w:rsidRPr="00F16251">
        <w:rPr>
          <w:rFonts w:cstheme="minorHAnsi"/>
        </w:rPr>
        <w:br/>
        <w:t>i właściwego funduszu (wybór będzie zgodny z zasadami i warunkami obowiązującymi dla danego funduszu), a także</w:t>
      </w:r>
      <w:r w:rsidR="002308F2" w:rsidRPr="00F16251">
        <w:rPr>
          <w:rFonts w:cstheme="minorHAnsi"/>
        </w:rPr>
        <w:t xml:space="preserve"> </w:t>
      </w:r>
      <w:r w:rsidRPr="00F16251">
        <w:rPr>
          <w:rFonts w:cstheme="minorHAnsi"/>
        </w:rPr>
        <w:t xml:space="preserve">promowane będą projekty wpisujące się w inicjatywę Nowy Europejski </w:t>
      </w:r>
      <w:proofErr w:type="spellStart"/>
      <w:r w:rsidRPr="00F16251">
        <w:rPr>
          <w:rFonts w:cstheme="minorHAnsi"/>
        </w:rPr>
        <w:t>Bauhaus</w:t>
      </w:r>
      <w:proofErr w:type="spellEnd"/>
      <w:r w:rsidRPr="00F16251">
        <w:rPr>
          <w:rFonts w:cstheme="minorHAnsi"/>
        </w:rPr>
        <w:t>.</w:t>
      </w:r>
    </w:p>
    <w:p w14:paraId="7763D6A6" w14:textId="77777777" w:rsidR="000D5979" w:rsidRPr="00F16251" w:rsidRDefault="000D5979" w:rsidP="00864F84">
      <w:pPr>
        <w:spacing w:line="276" w:lineRule="auto"/>
        <w:ind w:firstLine="426"/>
        <w:jc w:val="both"/>
        <w:rPr>
          <w:rFonts w:cstheme="minorHAnsi"/>
        </w:rPr>
      </w:pPr>
    </w:p>
    <w:p w14:paraId="2B8D53DF" w14:textId="77777777" w:rsidR="000D5979" w:rsidRPr="00F16251" w:rsidRDefault="000D5979" w:rsidP="000D5979">
      <w:pPr>
        <w:spacing w:line="276" w:lineRule="auto"/>
        <w:ind w:firstLine="284"/>
        <w:jc w:val="both"/>
        <w:rPr>
          <w:rFonts w:eastAsia="Calibri" w:cstheme="minorHAnsi"/>
          <w:kern w:val="0"/>
          <w:lang w:eastAsia="pl-PL"/>
          <w14:ligatures w14:val="none"/>
        </w:rPr>
      </w:pPr>
      <w:r w:rsidRPr="00F16251">
        <w:rPr>
          <w:rFonts w:eastAsia="Calibri" w:cstheme="minorHAnsi"/>
          <w:kern w:val="0"/>
          <w:lang w:eastAsia="pl-PL"/>
          <w14:ligatures w14:val="none"/>
        </w:rPr>
        <w:t xml:space="preserve">Szczegółowe warunki i kryteria dostępu będą wynikać z PS dla WPR na lata 2023-2027, Wytycznych horyzontalnych i szczegółowych </w:t>
      </w:r>
      <w:proofErr w:type="spellStart"/>
      <w:r w:rsidRPr="00F16251">
        <w:rPr>
          <w:rFonts w:eastAsia="Calibri" w:cstheme="minorHAnsi"/>
          <w:kern w:val="0"/>
          <w:lang w:eastAsia="pl-PL"/>
          <w14:ligatures w14:val="none"/>
        </w:rPr>
        <w:t>MRiRW</w:t>
      </w:r>
      <w:proofErr w:type="spellEnd"/>
      <w:r w:rsidRPr="00F16251">
        <w:rPr>
          <w:rFonts w:eastAsia="Calibri" w:cstheme="minorHAnsi"/>
          <w:kern w:val="0"/>
          <w:lang w:eastAsia="pl-PL"/>
          <w14:ligatures w14:val="none"/>
        </w:rPr>
        <w:t xml:space="preserve"> oraz będą elementem:</w:t>
      </w:r>
    </w:p>
    <w:p w14:paraId="67D76E65" w14:textId="77777777" w:rsidR="000D5979" w:rsidRPr="00F16251" w:rsidRDefault="000D5979" w:rsidP="000D5979">
      <w:pPr>
        <w:spacing w:line="276" w:lineRule="auto"/>
        <w:jc w:val="both"/>
        <w:rPr>
          <w:rFonts w:eastAsia="Calibri" w:cstheme="minorHAnsi"/>
          <w:kern w:val="0"/>
          <w:lang w:eastAsia="pl-PL"/>
          <w14:ligatures w14:val="none"/>
        </w:rPr>
      </w:pPr>
      <w:r w:rsidRPr="00F16251">
        <w:rPr>
          <w:rFonts w:eastAsia="Calibri" w:cstheme="minorHAnsi"/>
          <w:kern w:val="0"/>
          <w:lang w:eastAsia="pl-PL"/>
          <w14:ligatures w14:val="none"/>
        </w:rPr>
        <w:lastRenderedPageBreak/>
        <w:t>a) procedur wyboru i oceny operacji w ramach LSR,</w:t>
      </w:r>
    </w:p>
    <w:p w14:paraId="4EB31778" w14:textId="77777777" w:rsidR="000D5979" w:rsidRPr="00F16251" w:rsidRDefault="000D5979" w:rsidP="000D5979">
      <w:pPr>
        <w:spacing w:line="276" w:lineRule="auto"/>
        <w:jc w:val="both"/>
        <w:rPr>
          <w:rFonts w:eastAsia="Calibri" w:cstheme="minorHAnsi"/>
          <w:kern w:val="0"/>
          <w:lang w:eastAsia="pl-PL"/>
          <w14:ligatures w14:val="none"/>
        </w:rPr>
      </w:pPr>
      <w:r w:rsidRPr="00F16251">
        <w:rPr>
          <w:rFonts w:eastAsia="Calibri" w:cstheme="minorHAnsi"/>
          <w:kern w:val="0"/>
          <w:lang w:eastAsia="pl-PL"/>
          <w14:ligatures w14:val="none"/>
        </w:rPr>
        <w:t>b) regulaminu organu decyzyjnego,</w:t>
      </w:r>
    </w:p>
    <w:p w14:paraId="47983D52" w14:textId="77777777" w:rsidR="000D5979" w:rsidRPr="00F16251" w:rsidRDefault="000D5979" w:rsidP="000D5979">
      <w:pPr>
        <w:spacing w:line="276" w:lineRule="auto"/>
        <w:jc w:val="both"/>
        <w:rPr>
          <w:rFonts w:eastAsia="Calibri" w:cstheme="minorHAnsi"/>
          <w:kern w:val="0"/>
          <w:lang w:eastAsia="pl-PL"/>
          <w14:ligatures w14:val="none"/>
        </w:rPr>
      </w:pPr>
      <w:r w:rsidRPr="00F16251">
        <w:rPr>
          <w:rFonts w:eastAsia="Calibri" w:cstheme="minorHAnsi"/>
          <w:kern w:val="0"/>
          <w:lang w:eastAsia="pl-PL"/>
          <w14:ligatures w14:val="none"/>
        </w:rPr>
        <w:t>c) procedury ustalania niebudzących wątpliwości interpretacyjnych kryteriów wyboru operacji,</w:t>
      </w:r>
    </w:p>
    <w:p w14:paraId="36754DC1" w14:textId="77777777" w:rsidR="000D5979" w:rsidRPr="00F16251" w:rsidRDefault="000D5979" w:rsidP="000D5979">
      <w:pPr>
        <w:spacing w:line="276" w:lineRule="auto"/>
        <w:jc w:val="both"/>
        <w:rPr>
          <w:rFonts w:eastAsia="Calibri" w:cstheme="minorHAnsi"/>
          <w:kern w:val="0"/>
          <w:lang w:eastAsia="pl-PL"/>
          <w14:ligatures w14:val="none"/>
        </w:rPr>
      </w:pPr>
      <w:r w:rsidRPr="00F16251">
        <w:rPr>
          <w:rFonts w:eastAsia="Calibri" w:cstheme="minorHAnsi"/>
          <w:kern w:val="0"/>
          <w:lang w:eastAsia="pl-PL"/>
          <w14:ligatures w14:val="none"/>
        </w:rPr>
        <w:t xml:space="preserve">d) procedur wyboru i oceny </w:t>
      </w:r>
      <w:proofErr w:type="spellStart"/>
      <w:r w:rsidRPr="00F16251">
        <w:rPr>
          <w:rFonts w:eastAsia="Calibri" w:cstheme="minorHAnsi"/>
          <w:kern w:val="0"/>
          <w:lang w:eastAsia="pl-PL"/>
          <w14:ligatures w14:val="none"/>
        </w:rPr>
        <w:t>grantobiorców</w:t>
      </w:r>
      <w:proofErr w:type="spellEnd"/>
      <w:r w:rsidRPr="00F16251">
        <w:rPr>
          <w:rFonts w:eastAsia="Calibri" w:cstheme="minorHAnsi"/>
          <w:kern w:val="0"/>
          <w:lang w:eastAsia="pl-PL"/>
          <w14:ligatures w14:val="none"/>
        </w:rPr>
        <w:t xml:space="preserve"> uwzględniających kryteria wyboru </w:t>
      </w:r>
      <w:proofErr w:type="spellStart"/>
      <w:r w:rsidRPr="00F16251">
        <w:rPr>
          <w:rFonts w:eastAsia="Calibri" w:cstheme="minorHAnsi"/>
          <w:kern w:val="0"/>
          <w:lang w:eastAsia="pl-PL"/>
          <w14:ligatures w14:val="none"/>
        </w:rPr>
        <w:t>grantobiorców</w:t>
      </w:r>
      <w:proofErr w:type="spellEnd"/>
      <w:r w:rsidRPr="00F16251">
        <w:rPr>
          <w:rFonts w:eastAsia="Calibri" w:cstheme="minorHAnsi"/>
          <w:kern w:val="0"/>
          <w:lang w:eastAsia="pl-PL"/>
          <w14:ligatures w14:val="none"/>
        </w:rPr>
        <w:t xml:space="preserve"> w ramach projektów grantowych, niebudzący wątpliwości interpretacyjnych szczegółowy opis wyjaśniający ich znaczenie oraz sposób oceny wraz z procedurą ustalania lub zmiany tych kryteriów,</w:t>
      </w:r>
    </w:p>
    <w:p w14:paraId="31C34726" w14:textId="3DCF2214" w:rsidR="000D5979" w:rsidRPr="00F16251" w:rsidRDefault="000D5979" w:rsidP="000D5979">
      <w:pPr>
        <w:spacing w:line="276" w:lineRule="auto"/>
        <w:jc w:val="both"/>
        <w:rPr>
          <w:rFonts w:eastAsia="Calibri" w:cstheme="minorHAnsi"/>
          <w:kern w:val="0"/>
          <w:lang w:eastAsia="pl-PL"/>
          <w14:ligatures w14:val="none"/>
        </w:rPr>
      </w:pPr>
      <w:r w:rsidRPr="00F16251">
        <w:rPr>
          <w:rFonts w:eastAsia="Calibri" w:cstheme="minorHAnsi"/>
          <w:kern w:val="0"/>
          <w:lang w:eastAsia="pl-PL"/>
          <w14:ligatures w14:val="none"/>
        </w:rPr>
        <w:t>które zo</w:t>
      </w:r>
      <w:r w:rsidR="00290B30">
        <w:rPr>
          <w:rFonts w:eastAsia="Calibri" w:cstheme="minorHAnsi"/>
          <w:kern w:val="0"/>
          <w:lang w:eastAsia="pl-PL"/>
          <w14:ligatures w14:val="none"/>
        </w:rPr>
        <w:t>staną przekazane do zatwierdzenia</w:t>
      </w:r>
      <w:r w:rsidRPr="00F16251">
        <w:rPr>
          <w:rFonts w:eastAsia="Calibri" w:cstheme="minorHAnsi"/>
          <w:kern w:val="0"/>
          <w:lang w:eastAsia="pl-PL"/>
          <w14:ligatures w14:val="none"/>
        </w:rPr>
        <w:t xml:space="preserve"> do Zarządu Woj</w:t>
      </w:r>
      <w:r w:rsidR="00290B30">
        <w:rPr>
          <w:rFonts w:eastAsia="Calibri" w:cstheme="minorHAnsi"/>
          <w:kern w:val="0"/>
          <w:lang w:eastAsia="pl-PL"/>
          <w14:ligatures w14:val="none"/>
        </w:rPr>
        <w:t>ewództwa, nie później niż w</w:t>
      </w:r>
      <w:r w:rsidRPr="00F16251">
        <w:rPr>
          <w:rFonts w:eastAsia="Calibri" w:cstheme="minorHAnsi"/>
          <w:kern w:val="0"/>
          <w:lang w:eastAsia="pl-PL"/>
          <w14:ligatures w14:val="none"/>
        </w:rPr>
        <w:t xml:space="preserve"> terminie 60 dni od dnia zawarcia umowy ramowej.</w:t>
      </w:r>
    </w:p>
    <w:p w14:paraId="735B85B4" w14:textId="77777777" w:rsidR="00CF2876" w:rsidRPr="00577463" w:rsidRDefault="00CF2876" w:rsidP="00A26C26">
      <w:pPr>
        <w:spacing w:line="276" w:lineRule="auto"/>
        <w:jc w:val="both"/>
        <w:rPr>
          <w:rFonts w:cstheme="minorHAnsi"/>
          <w:kern w:val="0"/>
          <w14:ligatures w14:val="none"/>
        </w:rPr>
      </w:pPr>
    </w:p>
    <w:p w14:paraId="169B339B" w14:textId="77777777" w:rsidR="00864F84" w:rsidRPr="00577463" w:rsidRDefault="00864F84" w:rsidP="00864F84">
      <w:pPr>
        <w:spacing w:line="276" w:lineRule="auto"/>
        <w:ind w:firstLine="426"/>
        <w:jc w:val="both"/>
        <w:rPr>
          <w:rFonts w:cstheme="minorHAnsi"/>
        </w:rPr>
      </w:pPr>
      <w:r w:rsidRPr="00577463">
        <w:rPr>
          <w:rFonts w:cstheme="minorHAnsi"/>
        </w:rPr>
        <w:t xml:space="preserve">Realizowane przedsięwzięcia będą się charakteryzować nie tylko komplementarnością, ale również synergią. </w:t>
      </w:r>
      <w:r w:rsidRPr="00577463">
        <w:rPr>
          <w:rFonts w:cstheme="minorHAnsi"/>
        </w:rPr>
        <w:br/>
        <w:t xml:space="preserve">W ramach jednego przedsięwzięcia możliwa będzie realizacja kilku zakresów (EFRROW) lub kilku działań (EFS+ i EFRR). </w:t>
      </w:r>
    </w:p>
    <w:p w14:paraId="5B176E90" w14:textId="77777777" w:rsidR="00864F84" w:rsidRPr="00577463" w:rsidRDefault="00864F84" w:rsidP="00864F84">
      <w:pPr>
        <w:spacing w:line="276" w:lineRule="auto"/>
        <w:jc w:val="both"/>
        <w:rPr>
          <w:rFonts w:cstheme="minorHAnsi"/>
        </w:rPr>
      </w:pPr>
      <w:r w:rsidRPr="00577463">
        <w:rPr>
          <w:rFonts w:cstheme="minorHAnsi"/>
        </w:rPr>
        <w:t>P.1.1. – Zakres PS dla WPR na lata 2023-2027 - 5</w:t>
      </w:r>
    </w:p>
    <w:p w14:paraId="2CF97F6D" w14:textId="112BE4E6" w:rsidR="00864F84" w:rsidRPr="00577463" w:rsidRDefault="00864F84" w:rsidP="00864F84">
      <w:pPr>
        <w:spacing w:line="276" w:lineRule="auto"/>
        <w:jc w:val="both"/>
        <w:rPr>
          <w:rFonts w:cstheme="minorHAnsi"/>
        </w:rPr>
      </w:pPr>
      <w:r w:rsidRPr="00577463">
        <w:rPr>
          <w:rFonts w:cstheme="minorHAnsi"/>
        </w:rPr>
        <w:t>P.1.2. – Zakres PS dla WPR na lata 2023-2027 – 6, EFRR</w:t>
      </w:r>
      <w:r w:rsidR="00290B30">
        <w:rPr>
          <w:rFonts w:cstheme="minorHAnsi"/>
        </w:rPr>
        <w:t xml:space="preserve"> - 6</w:t>
      </w:r>
    </w:p>
    <w:p w14:paraId="7A9A4EC3" w14:textId="5C122781" w:rsidR="00864F84" w:rsidRPr="00577463" w:rsidRDefault="00864F84" w:rsidP="00864F84">
      <w:pPr>
        <w:spacing w:line="276" w:lineRule="auto"/>
        <w:jc w:val="both"/>
        <w:rPr>
          <w:rFonts w:cstheme="minorHAnsi"/>
        </w:rPr>
      </w:pPr>
      <w:r w:rsidRPr="00577463">
        <w:rPr>
          <w:rFonts w:cstheme="minorHAnsi"/>
        </w:rPr>
        <w:t xml:space="preserve">P.1.3. – Zakres PS dla WPR na lata 2023-2027 – 9, 4 </w:t>
      </w:r>
    </w:p>
    <w:p w14:paraId="0CCC8AB3" w14:textId="6EBD104E" w:rsidR="00864F84" w:rsidRPr="00577463" w:rsidRDefault="00864F84" w:rsidP="00864F84">
      <w:pPr>
        <w:spacing w:line="276" w:lineRule="auto"/>
        <w:jc w:val="both"/>
        <w:rPr>
          <w:rFonts w:cstheme="minorHAnsi"/>
        </w:rPr>
      </w:pPr>
      <w:r w:rsidRPr="00577463">
        <w:rPr>
          <w:rFonts w:cstheme="minorHAnsi"/>
        </w:rPr>
        <w:t>P.1.4. – Zakres PS dla WPR na lata 2023-2027 – 7, 8</w:t>
      </w:r>
    </w:p>
    <w:p w14:paraId="21725D09" w14:textId="24CD9CE7" w:rsidR="00864F84" w:rsidRPr="00577463" w:rsidRDefault="00864F84" w:rsidP="00864F84">
      <w:pPr>
        <w:spacing w:line="276" w:lineRule="auto"/>
        <w:jc w:val="both"/>
        <w:rPr>
          <w:rFonts w:cstheme="minorHAnsi"/>
        </w:rPr>
      </w:pPr>
      <w:r w:rsidRPr="00577463">
        <w:rPr>
          <w:rFonts w:cstheme="minorHAnsi"/>
        </w:rPr>
        <w:t>P.1.5. – Zakres PS dla WPR na lata 2023-2027 – 7</w:t>
      </w:r>
    </w:p>
    <w:p w14:paraId="41E4CA63" w14:textId="013EB39C" w:rsidR="00864F84" w:rsidRPr="00577463" w:rsidRDefault="00864F84" w:rsidP="00864F84">
      <w:pPr>
        <w:spacing w:line="276" w:lineRule="auto"/>
        <w:jc w:val="both"/>
        <w:rPr>
          <w:rFonts w:cstheme="minorHAnsi"/>
        </w:rPr>
      </w:pPr>
      <w:r w:rsidRPr="00577463">
        <w:rPr>
          <w:rFonts w:cstheme="minorHAnsi"/>
        </w:rPr>
        <w:t>P.1.6. – EFS+</w:t>
      </w:r>
    </w:p>
    <w:p w14:paraId="1DF1B23F" w14:textId="1379A508" w:rsidR="00864F84" w:rsidRPr="00577463" w:rsidRDefault="00864F84" w:rsidP="00864F84">
      <w:pPr>
        <w:spacing w:line="276" w:lineRule="auto"/>
        <w:jc w:val="both"/>
        <w:rPr>
          <w:rFonts w:cstheme="minorHAnsi"/>
        </w:rPr>
      </w:pPr>
      <w:r w:rsidRPr="00577463">
        <w:rPr>
          <w:rFonts w:cstheme="minorHAnsi"/>
        </w:rPr>
        <w:t>P.2.1. – Zakresy PS dla WPR na lata 2023-2027 – 1a), 1b), 2a), 2b)</w:t>
      </w:r>
    </w:p>
    <w:p w14:paraId="361A4D8A" w14:textId="77777777" w:rsidR="00864F84" w:rsidRPr="00577463" w:rsidRDefault="00864F84" w:rsidP="00A26C26">
      <w:pPr>
        <w:spacing w:line="276" w:lineRule="auto"/>
        <w:jc w:val="both"/>
        <w:rPr>
          <w:rFonts w:cstheme="minorHAnsi"/>
          <w:kern w:val="0"/>
          <w14:ligatures w14:val="none"/>
        </w:rPr>
      </w:pPr>
    </w:p>
    <w:p w14:paraId="11FEE244" w14:textId="788EA261" w:rsidR="00915596" w:rsidRPr="00577463" w:rsidRDefault="00915596" w:rsidP="00915596">
      <w:pPr>
        <w:spacing w:line="276" w:lineRule="auto"/>
        <w:jc w:val="both"/>
        <w:rPr>
          <w:rFonts w:cstheme="minorHAnsi"/>
          <w:kern w:val="0"/>
          <w14:ligatures w14:val="none"/>
        </w:rPr>
      </w:pPr>
      <w:r w:rsidRPr="00577463">
        <w:rPr>
          <w:rFonts w:cstheme="minorHAnsi"/>
          <w:kern w:val="0"/>
          <w14:ligatures w14:val="none"/>
        </w:rPr>
        <w:t>Legenda:</w:t>
      </w:r>
    </w:p>
    <w:p w14:paraId="7A3B03B8" w14:textId="77777777" w:rsidR="00915596" w:rsidRPr="00577463" w:rsidRDefault="00915596" w:rsidP="00915596">
      <w:pPr>
        <w:spacing w:line="276" w:lineRule="auto"/>
        <w:jc w:val="both"/>
        <w:rPr>
          <w:rFonts w:cstheme="minorHAnsi"/>
          <w:kern w:val="0"/>
          <w14:ligatures w14:val="none"/>
        </w:rPr>
      </w:pPr>
      <w:r w:rsidRPr="00577463">
        <w:rPr>
          <w:rFonts w:cstheme="minorHAnsi"/>
          <w:kern w:val="0"/>
          <w14:ligatures w14:val="none"/>
        </w:rPr>
        <w:t xml:space="preserve">1a) rozwój przedsiębiorczości, w tym rozwój </w:t>
      </w:r>
      <w:proofErr w:type="spellStart"/>
      <w:r w:rsidRPr="00577463">
        <w:rPr>
          <w:rFonts w:cstheme="minorHAnsi"/>
          <w:kern w:val="0"/>
          <w14:ligatures w14:val="none"/>
        </w:rPr>
        <w:t>biogospodarki</w:t>
      </w:r>
      <w:proofErr w:type="spellEnd"/>
      <w:r w:rsidRPr="00577463">
        <w:rPr>
          <w:rFonts w:cstheme="minorHAnsi"/>
          <w:kern w:val="0"/>
          <w14:ligatures w14:val="none"/>
        </w:rPr>
        <w:t xml:space="preserve"> lub zielonej gospodarki poprzez podejmowanie pozarolniczej działalności gospodarczej przez osoby fizyczne</w:t>
      </w:r>
    </w:p>
    <w:p w14:paraId="450AB2D0" w14:textId="77777777" w:rsidR="00915596" w:rsidRPr="00577463" w:rsidRDefault="00915596" w:rsidP="00915596">
      <w:pPr>
        <w:spacing w:line="276" w:lineRule="auto"/>
        <w:jc w:val="both"/>
        <w:rPr>
          <w:rFonts w:cstheme="minorHAnsi"/>
          <w:kern w:val="0"/>
          <w14:ligatures w14:val="none"/>
        </w:rPr>
      </w:pPr>
      <w:r w:rsidRPr="00577463">
        <w:rPr>
          <w:rFonts w:cstheme="minorHAnsi"/>
          <w:kern w:val="0"/>
          <w14:ligatures w14:val="none"/>
        </w:rPr>
        <w:t xml:space="preserve">1b) rozwój przedsiębiorczości, w tym rozwój </w:t>
      </w:r>
      <w:proofErr w:type="spellStart"/>
      <w:r w:rsidRPr="00577463">
        <w:rPr>
          <w:rFonts w:cstheme="minorHAnsi"/>
          <w:kern w:val="0"/>
          <w14:ligatures w14:val="none"/>
        </w:rPr>
        <w:t>biogospodarki</w:t>
      </w:r>
      <w:proofErr w:type="spellEnd"/>
      <w:r w:rsidRPr="00577463">
        <w:rPr>
          <w:rFonts w:cstheme="minorHAnsi"/>
          <w:kern w:val="0"/>
          <w14:ligatures w14:val="none"/>
        </w:rPr>
        <w:t xml:space="preserve"> lub zielonej gospodarki poprzez rozwijanie pozarolniczej działalności gospodarczej </w:t>
      </w:r>
    </w:p>
    <w:p w14:paraId="467AB0E6" w14:textId="77777777" w:rsidR="00915596" w:rsidRPr="00577463" w:rsidRDefault="00915596" w:rsidP="00915596">
      <w:pPr>
        <w:spacing w:line="276" w:lineRule="auto"/>
        <w:jc w:val="both"/>
        <w:rPr>
          <w:rFonts w:cstheme="minorHAnsi"/>
          <w:kern w:val="0"/>
          <w14:ligatures w14:val="none"/>
        </w:rPr>
      </w:pPr>
      <w:r w:rsidRPr="00577463">
        <w:rPr>
          <w:rFonts w:cstheme="minorHAnsi"/>
          <w:kern w:val="0"/>
          <w14:ligatures w14:val="none"/>
        </w:rPr>
        <w:t xml:space="preserve">2a) rozwój pozarolniczych funkcji małych gospodarstw rolnych w zakresie tworzenia </w:t>
      </w:r>
      <w:r w:rsidRPr="00137086">
        <w:rPr>
          <w:rFonts w:cstheme="minorHAnsi"/>
          <w:strike/>
          <w:color w:val="FF0000"/>
          <w:kern w:val="0"/>
          <w14:ligatures w14:val="none"/>
        </w:rPr>
        <w:t>lub rozwijania</w:t>
      </w:r>
      <w:r w:rsidRPr="00137086">
        <w:rPr>
          <w:rFonts w:cstheme="minorHAnsi"/>
          <w:color w:val="FF0000"/>
          <w:kern w:val="0"/>
          <w14:ligatures w14:val="none"/>
        </w:rPr>
        <w:t xml:space="preserve"> </w:t>
      </w:r>
      <w:r w:rsidRPr="00577463">
        <w:rPr>
          <w:rFonts w:cstheme="minorHAnsi"/>
          <w:kern w:val="0"/>
          <w14:ligatures w14:val="none"/>
        </w:rPr>
        <w:t>gospodarstw agroturystycznych,</w:t>
      </w:r>
    </w:p>
    <w:p w14:paraId="6BE15180" w14:textId="77777777" w:rsidR="00915596" w:rsidRPr="00577463" w:rsidRDefault="00915596" w:rsidP="00915596">
      <w:pPr>
        <w:spacing w:line="276" w:lineRule="auto"/>
        <w:jc w:val="both"/>
        <w:rPr>
          <w:rFonts w:cstheme="minorHAnsi"/>
          <w:kern w:val="0"/>
          <w14:ligatures w14:val="none"/>
        </w:rPr>
      </w:pPr>
      <w:r w:rsidRPr="00577463">
        <w:rPr>
          <w:rFonts w:cstheme="minorHAnsi"/>
          <w:kern w:val="0"/>
          <w14:ligatures w14:val="none"/>
        </w:rPr>
        <w:t xml:space="preserve">2b) rozwój pozarolniczych funkcji małych gospodarstw rolnych w zakresie tworzenia </w:t>
      </w:r>
      <w:r w:rsidRPr="00137086">
        <w:rPr>
          <w:rFonts w:cstheme="minorHAnsi"/>
          <w:strike/>
          <w:color w:val="FF0000"/>
          <w:kern w:val="0"/>
          <w14:ligatures w14:val="none"/>
        </w:rPr>
        <w:t>lub rozwijania</w:t>
      </w:r>
      <w:r w:rsidRPr="00137086">
        <w:rPr>
          <w:rFonts w:cstheme="minorHAnsi"/>
          <w:color w:val="FF0000"/>
          <w:kern w:val="0"/>
          <w14:ligatures w14:val="none"/>
        </w:rPr>
        <w:t xml:space="preserve"> </w:t>
      </w:r>
      <w:r w:rsidRPr="00577463">
        <w:rPr>
          <w:rFonts w:cstheme="minorHAnsi"/>
          <w:kern w:val="0"/>
          <w14:ligatures w14:val="none"/>
        </w:rPr>
        <w:t>zagród edukacyjnych,</w:t>
      </w:r>
    </w:p>
    <w:p w14:paraId="5403A60A" w14:textId="5AC73D5B" w:rsidR="00915596" w:rsidRPr="00577463" w:rsidRDefault="00915596" w:rsidP="00915596">
      <w:pPr>
        <w:spacing w:line="276" w:lineRule="auto"/>
        <w:jc w:val="both"/>
        <w:rPr>
          <w:rFonts w:cstheme="minorHAnsi"/>
          <w:kern w:val="0"/>
          <w14:ligatures w14:val="none"/>
        </w:rPr>
      </w:pPr>
      <w:r w:rsidRPr="00577463">
        <w:rPr>
          <w:rFonts w:cstheme="minorHAnsi"/>
          <w:kern w:val="0"/>
          <w14:ligatures w14:val="none"/>
        </w:rPr>
        <w:t>4. poprawa dostępu do usług dla lokalnych społeczności, z wyłączeniem inwestycji infrastrukturalnych oraz operacji w zakresach wymienionych w punktach 1-2,</w:t>
      </w:r>
    </w:p>
    <w:p w14:paraId="2B059F62" w14:textId="77777777" w:rsidR="00915596" w:rsidRPr="00577463" w:rsidRDefault="00915596" w:rsidP="00915596">
      <w:pPr>
        <w:spacing w:line="276" w:lineRule="auto"/>
        <w:jc w:val="both"/>
        <w:rPr>
          <w:rFonts w:cstheme="minorHAnsi"/>
          <w:kern w:val="0"/>
          <w14:ligatures w14:val="none"/>
        </w:rPr>
      </w:pPr>
      <w:r w:rsidRPr="00577463">
        <w:rPr>
          <w:rFonts w:cstheme="minorHAnsi"/>
          <w:kern w:val="0"/>
          <w14:ligatures w14:val="none"/>
        </w:rPr>
        <w:t>5. przygotowanie koncepcji inteligentnej wsi,</w:t>
      </w:r>
    </w:p>
    <w:p w14:paraId="11C02C99" w14:textId="77777777" w:rsidR="00915596" w:rsidRPr="00577463" w:rsidRDefault="00915596" w:rsidP="00915596">
      <w:pPr>
        <w:spacing w:line="276" w:lineRule="auto"/>
        <w:jc w:val="both"/>
        <w:rPr>
          <w:rFonts w:cstheme="minorHAnsi"/>
          <w:kern w:val="0"/>
          <w14:ligatures w14:val="none"/>
        </w:rPr>
      </w:pPr>
      <w:r w:rsidRPr="00577463">
        <w:rPr>
          <w:rFonts w:cstheme="minorHAnsi"/>
          <w:kern w:val="0"/>
          <w14:ligatures w14:val="none"/>
        </w:rPr>
        <w:t xml:space="preserve">6. poprawa dostępu do małej infrastruktury publicznej, </w:t>
      </w:r>
    </w:p>
    <w:p w14:paraId="147BB3B0" w14:textId="02A62A5D" w:rsidR="00915596" w:rsidRPr="00577463" w:rsidRDefault="00915596" w:rsidP="00915596">
      <w:pPr>
        <w:spacing w:line="276" w:lineRule="auto"/>
        <w:jc w:val="both"/>
        <w:rPr>
          <w:rFonts w:cstheme="minorHAnsi"/>
          <w:kern w:val="0"/>
          <w14:ligatures w14:val="none"/>
        </w:rPr>
      </w:pPr>
      <w:r w:rsidRPr="00577463">
        <w:rPr>
          <w:rFonts w:cstheme="minorHAnsi"/>
          <w:kern w:val="0"/>
          <w14:ligatures w14:val="none"/>
        </w:rPr>
        <w:t xml:space="preserve">7. kształtowanie świadomości obywatelskiej o znaczeniu zrównoważonego rolnictwa, gospodarki rolno-spożywczej, zielonej gospodarki, </w:t>
      </w:r>
      <w:proofErr w:type="spellStart"/>
      <w:r w:rsidRPr="00577463">
        <w:rPr>
          <w:rFonts w:cstheme="minorHAnsi"/>
          <w:kern w:val="0"/>
          <w14:ligatures w14:val="none"/>
        </w:rPr>
        <w:t>biogospodarki</w:t>
      </w:r>
      <w:proofErr w:type="spellEnd"/>
      <w:r w:rsidRPr="00577463">
        <w:rPr>
          <w:rFonts w:cstheme="minorHAnsi"/>
          <w:kern w:val="0"/>
          <w14:ligatures w14:val="none"/>
        </w:rPr>
        <w:t>, wsparcie rozwoju wiedzy i umiejętności w zakresie innowacyjności, cyfryzacji lub przedsiębiorczości, a także wzmacnianie programów edukacji liderów życia publicznego i społecznego, z wyłączeniem inwestycji infrastrukturalnych,</w:t>
      </w:r>
    </w:p>
    <w:p w14:paraId="3E18DBA2" w14:textId="5D4EE2A3" w:rsidR="00915596" w:rsidRPr="00577463" w:rsidRDefault="00915596" w:rsidP="00577463">
      <w:pPr>
        <w:spacing w:line="276" w:lineRule="auto"/>
        <w:jc w:val="both"/>
        <w:rPr>
          <w:rFonts w:cstheme="minorHAnsi"/>
          <w:kern w:val="0"/>
          <w14:ligatures w14:val="none"/>
        </w:rPr>
      </w:pPr>
      <w:r w:rsidRPr="00577463">
        <w:rPr>
          <w:rFonts w:cstheme="minorHAnsi"/>
          <w:kern w:val="0"/>
          <w14:ligatures w14:val="none"/>
        </w:rPr>
        <w:t>8</w:t>
      </w:r>
      <w:r w:rsidR="00577463" w:rsidRPr="00577463">
        <w:rPr>
          <w:rFonts w:cstheme="minorHAnsi"/>
          <w:kern w:val="0"/>
          <w14:ligatures w14:val="none"/>
        </w:rPr>
        <w:t xml:space="preserve">. </w:t>
      </w:r>
      <w:r w:rsidRPr="00577463">
        <w:rPr>
          <w:rFonts w:cstheme="minorHAnsi"/>
          <w:kern w:val="0"/>
          <w14:ligatures w14:val="none"/>
        </w:rPr>
        <w:t xml:space="preserve">włączenie społeczne seniorów, ludzi młodych lub osób w niekorzystnej sytuacji </w:t>
      </w:r>
    </w:p>
    <w:p w14:paraId="5AAEA221" w14:textId="77777777" w:rsidR="00915596" w:rsidRPr="00577463" w:rsidRDefault="00915596" w:rsidP="00915596">
      <w:pPr>
        <w:spacing w:line="276" w:lineRule="auto"/>
        <w:jc w:val="both"/>
        <w:rPr>
          <w:rFonts w:cstheme="minorHAnsi"/>
          <w:kern w:val="0"/>
          <w14:ligatures w14:val="none"/>
        </w:rPr>
      </w:pPr>
      <w:r w:rsidRPr="00577463">
        <w:rPr>
          <w:rFonts w:cstheme="minorHAnsi"/>
          <w:kern w:val="0"/>
          <w14:ligatures w14:val="none"/>
        </w:rPr>
        <w:t>9. ochrona dziedzictwa kulturowego lub przyrodniczego polskiej wsi.</w:t>
      </w:r>
    </w:p>
    <w:p w14:paraId="54CE8631" w14:textId="77777777" w:rsidR="00915596" w:rsidRDefault="00915596" w:rsidP="00A26C26">
      <w:pPr>
        <w:spacing w:line="276" w:lineRule="auto"/>
        <w:jc w:val="both"/>
        <w:rPr>
          <w:rFonts w:cstheme="minorHAnsi"/>
          <w:kern w:val="0"/>
          <w14:ligatures w14:val="none"/>
        </w:rPr>
      </w:pPr>
    </w:p>
    <w:p w14:paraId="28378D3C" w14:textId="232A22CB" w:rsidR="002C63F4" w:rsidRPr="00A26C26" w:rsidRDefault="00864F84" w:rsidP="00A26C26">
      <w:pPr>
        <w:spacing w:line="276" w:lineRule="auto"/>
        <w:jc w:val="both"/>
        <w:rPr>
          <w:rFonts w:cstheme="minorHAnsi"/>
          <w:kern w:val="0"/>
          <w14:ligatures w14:val="none"/>
        </w:rPr>
      </w:pPr>
      <w:r>
        <w:rPr>
          <w:rFonts w:cstheme="minorHAnsi"/>
          <w:kern w:val="0"/>
          <w14:ligatures w14:val="none"/>
        </w:rPr>
        <w:t xml:space="preserve">Tabela nr </w:t>
      </w:r>
      <w:r w:rsidR="00396A11">
        <w:rPr>
          <w:rFonts w:cstheme="minorHAnsi"/>
          <w:kern w:val="0"/>
          <w14:ligatures w14:val="none"/>
        </w:rPr>
        <w:t>3</w:t>
      </w:r>
      <w:r w:rsidR="00203429">
        <w:rPr>
          <w:rFonts w:cstheme="minorHAnsi"/>
          <w:kern w:val="0"/>
          <w14:ligatures w14:val="none"/>
        </w:rPr>
        <w:t>2</w:t>
      </w:r>
      <w:r>
        <w:rPr>
          <w:rFonts w:cstheme="minorHAnsi"/>
          <w:kern w:val="0"/>
          <w14:ligatures w14:val="none"/>
        </w:rPr>
        <w:t xml:space="preserve"> </w:t>
      </w:r>
      <w:r w:rsidR="002C63F4" w:rsidRPr="00A26C26">
        <w:rPr>
          <w:rFonts w:cstheme="minorHAnsi"/>
          <w:kern w:val="0"/>
          <w14:ligatures w14:val="none"/>
        </w:rPr>
        <w:t>Matryca</w:t>
      </w:r>
      <w:r w:rsidR="003B50ED">
        <w:rPr>
          <w:rFonts w:cstheme="minorHAnsi"/>
          <w:kern w:val="0"/>
          <w14:ligatures w14:val="none"/>
        </w:rPr>
        <w:t xml:space="preserve"> </w:t>
      </w:r>
      <w:r w:rsidR="002C63F4" w:rsidRPr="00A26C26">
        <w:rPr>
          <w:rFonts w:cstheme="minorHAnsi"/>
          <w:kern w:val="0"/>
          <w14:ligatures w14:val="none"/>
        </w:rPr>
        <w:t>logiczna</w:t>
      </w:r>
      <w:r w:rsidR="003B50ED">
        <w:rPr>
          <w:rFonts w:cstheme="minorHAnsi"/>
          <w:kern w:val="0"/>
          <w14:ligatures w14:val="none"/>
        </w:rPr>
        <w:t xml:space="preserve"> </w:t>
      </w:r>
      <w:r w:rsidR="002C63F4" w:rsidRPr="00A26C26">
        <w:rPr>
          <w:rFonts w:cstheme="minorHAnsi"/>
          <w:kern w:val="0"/>
          <w14:ligatures w14:val="none"/>
        </w:rPr>
        <w:t>powiąza</w:t>
      </w:r>
      <w:r>
        <w:rPr>
          <w:rFonts w:cstheme="minorHAnsi"/>
          <w:kern w:val="0"/>
          <w14:ligatures w14:val="none"/>
        </w:rPr>
        <w:t>ń</w:t>
      </w:r>
      <w:r w:rsidR="003B50ED">
        <w:rPr>
          <w:rFonts w:cstheme="minorHAnsi"/>
          <w:kern w:val="0"/>
          <w14:ligatures w14:val="none"/>
        </w:rPr>
        <w:t xml:space="preserve"> </w:t>
      </w:r>
      <w:r w:rsidR="002C63F4" w:rsidRPr="00A26C26">
        <w:rPr>
          <w:rFonts w:cstheme="minorHAnsi"/>
          <w:kern w:val="0"/>
          <w14:ligatures w14:val="none"/>
        </w:rPr>
        <w:t>lokalnych</w:t>
      </w:r>
      <w:r w:rsidR="003B50ED">
        <w:rPr>
          <w:rFonts w:cstheme="minorHAnsi"/>
          <w:kern w:val="0"/>
          <w14:ligatures w14:val="none"/>
        </w:rPr>
        <w:t xml:space="preserve"> </w:t>
      </w:r>
      <w:r w:rsidR="002C63F4" w:rsidRPr="00A26C26">
        <w:rPr>
          <w:rFonts w:cstheme="minorHAnsi"/>
          <w:kern w:val="0"/>
          <w14:ligatures w14:val="none"/>
        </w:rPr>
        <w:t>kryteriów</w:t>
      </w:r>
      <w:r w:rsidR="003B50ED">
        <w:rPr>
          <w:rFonts w:cstheme="minorHAnsi"/>
          <w:kern w:val="0"/>
          <w14:ligatures w14:val="none"/>
        </w:rPr>
        <w:t xml:space="preserve"> </w:t>
      </w:r>
      <w:r w:rsidR="002C63F4" w:rsidRPr="00A26C26">
        <w:rPr>
          <w:rFonts w:cstheme="minorHAnsi"/>
          <w:kern w:val="0"/>
          <w14:ligatures w14:val="none"/>
        </w:rPr>
        <w:t>wyboru</w:t>
      </w:r>
      <w:r w:rsidR="003B50ED">
        <w:rPr>
          <w:rFonts w:cstheme="minorHAnsi"/>
          <w:kern w:val="0"/>
          <w14:ligatures w14:val="none"/>
        </w:rPr>
        <w:t xml:space="preserve"> </w:t>
      </w:r>
      <w:r w:rsidR="002C63F4" w:rsidRPr="00A26C26">
        <w:rPr>
          <w:rFonts w:cstheme="minorHAnsi"/>
          <w:kern w:val="0"/>
          <w14:ligatures w14:val="none"/>
        </w:rPr>
        <w:t>i</w:t>
      </w:r>
      <w:r w:rsidR="003B50ED">
        <w:rPr>
          <w:rFonts w:cstheme="minorHAnsi"/>
          <w:kern w:val="0"/>
          <w14:ligatures w14:val="none"/>
        </w:rPr>
        <w:t xml:space="preserve"> </w:t>
      </w:r>
      <w:r w:rsidR="002C63F4" w:rsidRPr="00A26C26">
        <w:rPr>
          <w:rFonts w:cstheme="minorHAnsi"/>
          <w:kern w:val="0"/>
          <w14:ligatures w14:val="none"/>
        </w:rPr>
        <w:t>przedsięwzięć</w:t>
      </w:r>
      <w:r>
        <w:rPr>
          <w:rFonts w:cstheme="minorHAnsi"/>
          <w:kern w:val="0"/>
          <w14:ligatures w14:val="none"/>
        </w:rPr>
        <w:t xml:space="preserve"> </w:t>
      </w:r>
    </w:p>
    <w:tbl>
      <w:tblPr>
        <w:tblStyle w:val="Tabela-Siatka"/>
        <w:tblW w:w="10201" w:type="dxa"/>
        <w:tblLook w:val="04A0" w:firstRow="1" w:lastRow="0" w:firstColumn="1" w:lastColumn="0" w:noHBand="0" w:noVBand="1"/>
      </w:tblPr>
      <w:tblGrid>
        <w:gridCol w:w="6374"/>
        <w:gridCol w:w="501"/>
        <w:gridCol w:w="495"/>
        <w:gridCol w:w="566"/>
        <w:gridCol w:w="566"/>
        <w:gridCol w:w="564"/>
        <w:gridCol w:w="569"/>
        <w:gridCol w:w="566"/>
      </w:tblGrid>
      <w:tr w:rsidR="00864F84" w:rsidRPr="00A26C26" w14:paraId="5E305E15" w14:textId="77777777" w:rsidTr="00864F84">
        <w:tc>
          <w:tcPr>
            <w:tcW w:w="6374" w:type="dxa"/>
          </w:tcPr>
          <w:p w14:paraId="4298FC0D" w14:textId="09C8771F" w:rsidR="00864F84" w:rsidRPr="00A26C26" w:rsidRDefault="00864F84" w:rsidP="00A26C26">
            <w:pPr>
              <w:spacing w:line="276" w:lineRule="auto"/>
              <w:rPr>
                <w:rFonts w:cstheme="minorHAnsi"/>
                <w:i/>
                <w:iCs/>
              </w:rPr>
            </w:pPr>
            <w:bookmarkStart w:id="104" w:name="_Hlk136799261"/>
            <w:r w:rsidRPr="00A26C26">
              <w:rPr>
                <w:rFonts w:cstheme="minorHAnsi"/>
                <w:b/>
                <w:bCs/>
              </w:rPr>
              <w:t>kryteri</w:t>
            </w:r>
            <w:r>
              <w:rPr>
                <w:rFonts w:cstheme="minorHAnsi"/>
                <w:b/>
                <w:bCs/>
              </w:rPr>
              <w:t xml:space="preserve">a </w:t>
            </w:r>
            <w:r w:rsidRPr="00A26C26">
              <w:rPr>
                <w:rFonts w:cstheme="minorHAnsi"/>
                <w:b/>
                <w:bCs/>
              </w:rPr>
              <w:t>obowiązkowego</w:t>
            </w:r>
            <w:r>
              <w:rPr>
                <w:rFonts w:cstheme="minorHAnsi"/>
                <w:b/>
                <w:bCs/>
              </w:rPr>
              <w:t xml:space="preserve"> dla PS WPR</w:t>
            </w:r>
            <w:r w:rsidR="00F16251">
              <w:rPr>
                <w:rFonts w:cstheme="minorHAnsi"/>
                <w:b/>
                <w:bCs/>
              </w:rPr>
              <w:t xml:space="preserve"> stosowane do projektów</w:t>
            </w:r>
          </w:p>
        </w:tc>
        <w:tc>
          <w:tcPr>
            <w:tcW w:w="501" w:type="dxa"/>
          </w:tcPr>
          <w:p w14:paraId="020A4768" w14:textId="77777777" w:rsidR="00864F84" w:rsidRPr="00A26C26" w:rsidRDefault="00864F84" w:rsidP="00A26C26">
            <w:pPr>
              <w:spacing w:line="276" w:lineRule="auto"/>
              <w:jc w:val="center"/>
              <w:rPr>
                <w:rFonts w:cstheme="minorHAnsi"/>
              </w:rPr>
            </w:pPr>
            <w:r w:rsidRPr="00A26C26">
              <w:rPr>
                <w:rFonts w:cstheme="minorHAnsi"/>
              </w:rPr>
              <w:t>1.1</w:t>
            </w:r>
          </w:p>
        </w:tc>
        <w:tc>
          <w:tcPr>
            <w:tcW w:w="495" w:type="dxa"/>
          </w:tcPr>
          <w:p w14:paraId="5F621B99" w14:textId="77777777" w:rsidR="00864F84" w:rsidRPr="00A26C26" w:rsidRDefault="00864F84" w:rsidP="00A26C26">
            <w:pPr>
              <w:spacing w:line="276" w:lineRule="auto"/>
              <w:jc w:val="center"/>
              <w:rPr>
                <w:rFonts w:cstheme="minorHAnsi"/>
              </w:rPr>
            </w:pPr>
            <w:r w:rsidRPr="00A26C26">
              <w:rPr>
                <w:rFonts w:cstheme="minorHAnsi"/>
              </w:rPr>
              <w:t>1.2</w:t>
            </w:r>
          </w:p>
        </w:tc>
        <w:tc>
          <w:tcPr>
            <w:tcW w:w="566" w:type="dxa"/>
          </w:tcPr>
          <w:p w14:paraId="51C9ACFA" w14:textId="77777777" w:rsidR="00864F84" w:rsidRPr="00A26C26" w:rsidRDefault="00864F84" w:rsidP="00A26C26">
            <w:pPr>
              <w:spacing w:line="276" w:lineRule="auto"/>
              <w:jc w:val="center"/>
              <w:rPr>
                <w:rFonts w:cstheme="minorHAnsi"/>
              </w:rPr>
            </w:pPr>
            <w:r w:rsidRPr="00A26C26">
              <w:rPr>
                <w:rFonts w:cstheme="minorHAnsi"/>
              </w:rPr>
              <w:t>1.3</w:t>
            </w:r>
          </w:p>
        </w:tc>
        <w:tc>
          <w:tcPr>
            <w:tcW w:w="566" w:type="dxa"/>
          </w:tcPr>
          <w:p w14:paraId="40FDCEFB" w14:textId="77777777" w:rsidR="00864F84" w:rsidRPr="00A26C26" w:rsidRDefault="00864F84" w:rsidP="00A26C26">
            <w:pPr>
              <w:spacing w:line="276" w:lineRule="auto"/>
              <w:jc w:val="center"/>
              <w:rPr>
                <w:rFonts w:cstheme="minorHAnsi"/>
              </w:rPr>
            </w:pPr>
            <w:r w:rsidRPr="00A26C26">
              <w:rPr>
                <w:rFonts w:cstheme="minorHAnsi"/>
              </w:rPr>
              <w:t>1.4</w:t>
            </w:r>
          </w:p>
        </w:tc>
        <w:tc>
          <w:tcPr>
            <w:tcW w:w="564" w:type="dxa"/>
          </w:tcPr>
          <w:p w14:paraId="63FA5D0E" w14:textId="77777777" w:rsidR="00864F84" w:rsidRPr="00A26C26" w:rsidRDefault="00864F84" w:rsidP="00A26C26">
            <w:pPr>
              <w:spacing w:line="276" w:lineRule="auto"/>
              <w:jc w:val="center"/>
              <w:rPr>
                <w:rFonts w:cstheme="minorHAnsi"/>
              </w:rPr>
            </w:pPr>
            <w:r w:rsidRPr="00A26C26">
              <w:rPr>
                <w:rFonts w:cstheme="minorHAnsi"/>
              </w:rPr>
              <w:t>1.5</w:t>
            </w:r>
          </w:p>
        </w:tc>
        <w:tc>
          <w:tcPr>
            <w:tcW w:w="569" w:type="dxa"/>
          </w:tcPr>
          <w:p w14:paraId="16D0D52E" w14:textId="77777777" w:rsidR="00864F84" w:rsidRPr="00A26C26" w:rsidRDefault="00864F84" w:rsidP="00A26C26">
            <w:pPr>
              <w:spacing w:line="276" w:lineRule="auto"/>
              <w:jc w:val="center"/>
              <w:rPr>
                <w:rFonts w:cstheme="minorHAnsi"/>
              </w:rPr>
            </w:pPr>
            <w:r w:rsidRPr="00A26C26">
              <w:rPr>
                <w:rFonts w:cstheme="minorHAnsi"/>
              </w:rPr>
              <w:t>1.6.</w:t>
            </w:r>
          </w:p>
        </w:tc>
        <w:tc>
          <w:tcPr>
            <w:tcW w:w="566" w:type="dxa"/>
          </w:tcPr>
          <w:p w14:paraId="648EF92F" w14:textId="77777777" w:rsidR="00864F84" w:rsidRPr="00A26C26" w:rsidRDefault="00864F84" w:rsidP="00A26C26">
            <w:pPr>
              <w:spacing w:line="276" w:lineRule="auto"/>
              <w:jc w:val="center"/>
              <w:rPr>
                <w:rFonts w:cstheme="minorHAnsi"/>
              </w:rPr>
            </w:pPr>
            <w:r w:rsidRPr="00A26C26">
              <w:rPr>
                <w:rFonts w:cstheme="minorHAnsi"/>
              </w:rPr>
              <w:t>2.1</w:t>
            </w:r>
          </w:p>
        </w:tc>
      </w:tr>
      <w:tr w:rsidR="00864F84" w:rsidRPr="00A26C26" w14:paraId="608A553D" w14:textId="77777777" w:rsidTr="00864F84">
        <w:tc>
          <w:tcPr>
            <w:tcW w:w="6374" w:type="dxa"/>
          </w:tcPr>
          <w:p w14:paraId="00962E17" w14:textId="1AD44994" w:rsidR="00864F84" w:rsidRPr="00A26C26" w:rsidRDefault="00864F84" w:rsidP="00A26C26">
            <w:pPr>
              <w:spacing w:line="276" w:lineRule="auto"/>
              <w:rPr>
                <w:rFonts w:cstheme="minorHAnsi"/>
                <w:i/>
                <w:iCs/>
              </w:rPr>
            </w:pPr>
            <w:r w:rsidRPr="00A26C26">
              <w:rPr>
                <w:rFonts w:cstheme="minorHAnsi"/>
                <w:i/>
                <w:iCs/>
              </w:rPr>
              <w:t>objęt</w:t>
            </w:r>
            <w:r w:rsidR="00F16251">
              <w:rPr>
                <w:rFonts w:cstheme="minorHAnsi"/>
                <w:i/>
                <w:iCs/>
              </w:rPr>
              <w:t>ych</w:t>
            </w:r>
            <w:r>
              <w:rPr>
                <w:rFonts w:cstheme="minorHAnsi"/>
                <w:i/>
                <w:iCs/>
              </w:rPr>
              <w:t xml:space="preserve"> </w:t>
            </w:r>
            <w:r w:rsidRPr="00A26C26">
              <w:rPr>
                <w:rFonts w:cstheme="minorHAnsi"/>
                <w:i/>
                <w:iCs/>
              </w:rPr>
              <w:t>oddolnymi</w:t>
            </w:r>
            <w:r>
              <w:rPr>
                <w:rFonts w:cstheme="minorHAnsi"/>
                <w:i/>
                <w:iCs/>
              </w:rPr>
              <w:t xml:space="preserve"> </w:t>
            </w:r>
            <w:r w:rsidRPr="00A26C26">
              <w:rPr>
                <w:rFonts w:cstheme="minorHAnsi"/>
                <w:i/>
                <w:iCs/>
              </w:rPr>
              <w:t>koncepcjami</w:t>
            </w:r>
            <w:r>
              <w:rPr>
                <w:rFonts w:cstheme="minorHAnsi"/>
                <w:i/>
                <w:iCs/>
              </w:rPr>
              <w:t xml:space="preserve"> </w:t>
            </w:r>
            <w:r w:rsidRPr="00A26C26">
              <w:rPr>
                <w:rFonts w:cstheme="minorHAnsi"/>
                <w:i/>
                <w:iCs/>
              </w:rPr>
              <w:t>inteligentnej</w:t>
            </w:r>
            <w:r>
              <w:rPr>
                <w:rFonts w:cstheme="minorHAnsi"/>
                <w:i/>
                <w:iCs/>
              </w:rPr>
              <w:t xml:space="preserve"> </w:t>
            </w:r>
            <w:r w:rsidRPr="00A26C26">
              <w:rPr>
                <w:rFonts w:cstheme="minorHAnsi"/>
                <w:i/>
                <w:iCs/>
              </w:rPr>
              <w:t>wsi</w:t>
            </w:r>
            <w:r>
              <w:rPr>
                <w:rFonts w:cstheme="minorHAnsi"/>
                <w:i/>
                <w:iCs/>
              </w:rPr>
              <w:t xml:space="preserve"> </w:t>
            </w:r>
          </w:p>
        </w:tc>
        <w:tc>
          <w:tcPr>
            <w:tcW w:w="501" w:type="dxa"/>
            <w:vAlign w:val="center"/>
          </w:tcPr>
          <w:p w14:paraId="1C72CF65" w14:textId="77777777" w:rsidR="00864F84" w:rsidRPr="00A26C26" w:rsidRDefault="00864F84" w:rsidP="00A26C26">
            <w:pPr>
              <w:spacing w:line="276" w:lineRule="auto"/>
              <w:jc w:val="center"/>
              <w:rPr>
                <w:rFonts w:cstheme="minorHAnsi"/>
              </w:rPr>
            </w:pPr>
            <w:r w:rsidRPr="00A26C26">
              <w:rPr>
                <w:rFonts w:cstheme="minorHAnsi"/>
              </w:rPr>
              <w:t>x</w:t>
            </w:r>
          </w:p>
        </w:tc>
        <w:tc>
          <w:tcPr>
            <w:tcW w:w="495" w:type="dxa"/>
            <w:vAlign w:val="center"/>
          </w:tcPr>
          <w:p w14:paraId="7B8B2184" w14:textId="77777777" w:rsidR="00864F84" w:rsidRPr="00A26C26" w:rsidRDefault="00864F84" w:rsidP="00A26C26">
            <w:pPr>
              <w:spacing w:line="276" w:lineRule="auto"/>
              <w:jc w:val="center"/>
              <w:rPr>
                <w:rFonts w:cstheme="minorHAnsi"/>
              </w:rPr>
            </w:pPr>
            <w:r w:rsidRPr="00A26C26">
              <w:rPr>
                <w:rFonts w:cstheme="minorHAnsi"/>
              </w:rPr>
              <w:t>x</w:t>
            </w:r>
          </w:p>
        </w:tc>
        <w:tc>
          <w:tcPr>
            <w:tcW w:w="566" w:type="dxa"/>
            <w:vAlign w:val="center"/>
          </w:tcPr>
          <w:p w14:paraId="2391C9C4" w14:textId="77777777" w:rsidR="00864F84" w:rsidRPr="00A26C26" w:rsidRDefault="00864F84" w:rsidP="00A26C26">
            <w:pPr>
              <w:spacing w:line="276" w:lineRule="auto"/>
              <w:jc w:val="center"/>
              <w:rPr>
                <w:rFonts w:cstheme="minorHAnsi"/>
              </w:rPr>
            </w:pPr>
            <w:r w:rsidRPr="00A26C26">
              <w:rPr>
                <w:rFonts w:cstheme="minorHAnsi"/>
              </w:rPr>
              <w:t>x</w:t>
            </w:r>
          </w:p>
        </w:tc>
        <w:tc>
          <w:tcPr>
            <w:tcW w:w="566" w:type="dxa"/>
            <w:vAlign w:val="center"/>
          </w:tcPr>
          <w:p w14:paraId="2AF6295D" w14:textId="77777777" w:rsidR="00864F84" w:rsidRPr="00A26C26" w:rsidRDefault="00864F84" w:rsidP="00A26C26">
            <w:pPr>
              <w:spacing w:line="276" w:lineRule="auto"/>
              <w:jc w:val="center"/>
              <w:rPr>
                <w:rFonts w:cstheme="minorHAnsi"/>
              </w:rPr>
            </w:pPr>
            <w:r w:rsidRPr="00A26C26">
              <w:rPr>
                <w:rFonts w:cstheme="minorHAnsi"/>
              </w:rPr>
              <w:t>x</w:t>
            </w:r>
          </w:p>
        </w:tc>
        <w:tc>
          <w:tcPr>
            <w:tcW w:w="564" w:type="dxa"/>
            <w:vAlign w:val="center"/>
          </w:tcPr>
          <w:p w14:paraId="409DA15D" w14:textId="77777777" w:rsidR="00864F84" w:rsidRPr="00A26C26" w:rsidRDefault="00864F84" w:rsidP="00A26C26">
            <w:pPr>
              <w:spacing w:line="276" w:lineRule="auto"/>
              <w:jc w:val="center"/>
              <w:rPr>
                <w:rFonts w:cstheme="minorHAnsi"/>
              </w:rPr>
            </w:pPr>
            <w:r w:rsidRPr="00A26C26">
              <w:rPr>
                <w:rFonts w:cstheme="minorHAnsi"/>
              </w:rPr>
              <w:t>x</w:t>
            </w:r>
          </w:p>
        </w:tc>
        <w:tc>
          <w:tcPr>
            <w:tcW w:w="569" w:type="dxa"/>
            <w:vAlign w:val="center"/>
          </w:tcPr>
          <w:p w14:paraId="7A4438AF" w14:textId="77777777" w:rsidR="00864F84" w:rsidRPr="00A26C26" w:rsidRDefault="00864F84" w:rsidP="00A26C26">
            <w:pPr>
              <w:spacing w:line="276" w:lineRule="auto"/>
              <w:jc w:val="center"/>
              <w:rPr>
                <w:rFonts w:cstheme="minorHAnsi"/>
              </w:rPr>
            </w:pPr>
          </w:p>
        </w:tc>
        <w:tc>
          <w:tcPr>
            <w:tcW w:w="566" w:type="dxa"/>
            <w:vAlign w:val="center"/>
          </w:tcPr>
          <w:p w14:paraId="263F91DA" w14:textId="77777777" w:rsidR="00864F84" w:rsidRPr="00A26C26" w:rsidRDefault="00864F84" w:rsidP="00A26C26">
            <w:pPr>
              <w:spacing w:line="276" w:lineRule="auto"/>
              <w:jc w:val="center"/>
              <w:rPr>
                <w:rFonts w:cstheme="minorHAnsi"/>
              </w:rPr>
            </w:pPr>
          </w:p>
        </w:tc>
      </w:tr>
      <w:tr w:rsidR="00864F84" w:rsidRPr="00A26C26" w14:paraId="09392F3F" w14:textId="77777777" w:rsidTr="00864F84">
        <w:tc>
          <w:tcPr>
            <w:tcW w:w="6374" w:type="dxa"/>
          </w:tcPr>
          <w:p w14:paraId="35F4E764" w14:textId="235F4AE4" w:rsidR="00864F84" w:rsidRPr="00A26C26" w:rsidRDefault="00864F84" w:rsidP="00A26C26">
            <w:pPr>
              <w:spacing w:line="276" w:lineRule="auto"/>
              <w:rPr>
                <w:rFonts w:cstheme="minorHAnsi"/>
                <w:i/>
                <w:iCs/>
              </w:rPr>
            </w:pPr>
            <w:r w:rsidRPr="00A26C26">
              <w:rPr>
                <w:rFonts w:cstheme="minorHAnsi"/>
                <w:i/>
                <w:iCs/>
              </w:rPr>
              <w:t>zapewniając</w:t>
            </w:r>
            <w:r w:rsidR="00F16251">
              <w:rPr>
                <w:rFonts w:cstheme="minorHAnsi"/>
                <w:i/>
                <w:iCs/>
              </w:rPr>
              <w:t>ych</w:t>
            </w:r>
            <w:r>
              <w:rPr>
                <w:rFonts w:cstheme="minorHAnsi"/>
                <w:i/>
                <w:iCs/>
              </w:rPr>
              <w:t xml:space="preserve"> </w:t>
            </w:r>
            <w:r w:rsidRPr="00A26C26">
              <w:rPr>
                <w:rFonts w:cstheme="minorHAnsi"/>
                <w:i/>
                <w:iCs/>
              </w:rPr>
              <w:t>racjonalne</w:t>
            </w:r>
            <w:r>
              <w:rPr>
                <w:rFonts w:cstheme="minorHAnsi"/>
                <w:i/>
                <w:iCs/>
              </w:rPr>
              <w:t xml:space="preserve"> </w:t>
            </w:r>
            <w:r w:rsidRPr="00A26C26">
              <w:rPr>
                <w:rFonts w:cstheme="minorHAnsi"/>
                <w:i/>
                <w:iCs/>
              </w:rPr>
              <w:t>gospodarowanie</w:t>
            </w:r>
            <w:r>
              <w:rPr>
                <w:rFonts w:cstheme="minorHAnsi"/>
                <w:i/>
                <w:iCs/>
              </w:rPr>
              <w:t xml:space="preserve"> </w:t>
            </w:r>
            <w:r w:rsidRPr="00A26C26">
              <w:rPr>
                <w:rFonts w:cstheme="minorHAnsi"/>
                <w:i/>
                <w:iCs/>
              </w:rPr>
              <w:t>zasobami</w:t>
            </w:r>
            <w:r>
              <w:rPr>
                <w:rFonts w:cstheme="minorHAnsi"/>
                <w:i/>
                <w:iCs/>
              </w:rPr>
              <w:t xml:space="preserve"> </w:t>
            </w:r>
            <w:r w:rsidRPr="00A26C26">
              <w:rPr>
                <w:rFonts w:cstheme="minorHAnsi"/>
                <w:i/>
                <w:iCs/>
              </w:rPr>
              <w:t>lub</w:t>
            </w:r>
            <w:r>
              <w:rPr>
                <w:rFonts w:cstheme="minorHAnsi"/>
                <w:i/>
                <w:iCs/>
              </w:rPr>
              <w:t xml:space="preserve"> </w:t>
            </w:r>
            <w:r w:rsidRPr="00A26C26">
              <w:rPr>
                <w:rFonts w:cstheme="minorHAnsi"/>
                <w:i/>
                <w:iCs/>
              </w:rPr>
              <w:t>ograniczające</w:t>
            </w:r>
            <w:r>
              <w:rPr>
                <w:rFonts w:cstheme="minorHAnsi"/>
                <w:i/>
                <w:iCs/>
              </w:rPr>
              <w:t xml:space="preserve"> </w:t>
            </w:r>
            <w:r w:rsidRPr="00A26C26">
              <w:rPr>
                <w:rFonts w:cstheme="minorHAnsi"/>
                <w:i/>
                <w:iCs/>
              </w:rPr>
              <w:t>presję</w:t>
            </w:r>
            <w:r>
              <w:rPr>
                <w:rFonts w:cstheme="minorHAnsi"/>
                <w:i/>
                <w:iCs/>
              </w:rPr>
              <w:t xml:space="preserve"> </w:t>
            </w:r>
            <w:r w:rsidRPr="00A26C26">
              <w:rPr>
                <w:rFonts w:cstheme="minorHAnsi"/>
                <w:i/>
                <w:iCs/>
              </w:rPr>
              <w:t>na</w:t>
            </w:r>
            <w:r>
              <w:rPr>
                <w:rFonts w:cstheme="minorHAnsi"/>
                <w:i/>
                <w:iCs/>
              </w:rPr>
              <w:t xml:space="preserve"> </w:t>
            </w:r>
            <w:r w:rsidRPr="00A26C26">
              <w:rPr>
                <w:rFonts w:cstheme="minorHAnsi"/>
                <w:i/>
                <w:iCs/>
              </w:rPr>
              <w:t>środowisko</w:t>
            </w:r>
          </w:p>
        </w:tc>
        <w:tc>
          <w:tcPr>
            <w:tcW w:w="501" w:type="dxa"/>
            <w:vAlign w:val="center"/>
          </w:tcPr>
          <w:p w14:paraId="0F5DC631" w14:textId="77777777" w:rsidR="00864F84" w:rsidRPr="00A26C26" w:rsidRDefault="00864F84" w:rsidP="00A26C26">
            <w:pPr>
              <w:spacing w:line="276" w:lineRule="auto"/>
              <w:jc w:val="center"/>
              <w:rPr>
                <w:rFonts w:cstheme="minorHAnsi"/>
              </w:rPr>
            </w:pPr>
          </w:p>
        </w:tc>
        <w:tc>
          <w:tcPr>
            <w:tcW w:w="495" w:type="dxa"/>
            <w:vAlign w:val="center"/>
          </w:tcPr>
          <w:p w14:paraId="1B88F7A1" w14:textId="77777777" w:rsidR="00864F84" w:rsidRPr="00A26C26" w:rsidRDefault="00864F84" w:rsidP="00A26C26">
            <w:pPr>
              <w:spacing w:line="276" w:lineRule="auto"/>
              <w:jc w:val="center"/>
              <w:rPr>
                <w:rFonts w:cstheme="minorHAnsi"/>
              </w:rPr>
            </w:pPr>
            <w:r w:rsidRPr="00A26C26">
              <w:rPr>
                <w:rFonts w:cstheme="minorHAnsi"/>
              </w:rPr>
              <w:t>x</w:t>
            </w:r>
          </w:p>
        </w:tc>
        <w:tc>
          <w:tcPr>
            <w:tcW w:w="566" w:type="dxa"/>
            <w:vAlign w:val="center"/>
          </w:tcPr>
          <w:p w14:paraId="7090AD4F" w14:textId="77777777" w:rsidR="00864F84" w:rsidRPr="00A26C26" w:rsidRDefault="00864F84" w:rsidP="00A26C26">
            <w:pPr>
              <w:spacing w:line="276" w:lineRule="auto"/>
              <w:jc w:val="center"/>
              <w:rPr>
                <w:rFonts w:cstheme="minorHAnsi"/>
              </w:rPr>
            </w:pPr>
            <w:r w:rsidRPr="00A26C26">
              <w:rPr>
                <w:rFonts w:cstheme="minorHAnsi"/>
              </w:rPr>
              <w:t>x</w:t>
            </w:r>
          </w:p>
        </w:tc>
        <w:tc>
          <w:tcPr>
            <w:tcW w:w="566" w:type="dxa"/>
            <w:vAlign w:val="center"/>
          </w:tcPr>
          <w:p w14:paraId="79559706" w14:textId="77777777" w:rsidR="00864F84" w:rsidRPr="00A26C26" w:rsidRDefault="00864F84" w:rsidP="00A26C26">
            <w:pPr>
              <w:spacing w:line="276" w:lineRule="auto"/>
              <w:jc w:val="center"/>
              <w:rPr>
                <w:rFonts w:cstheme="minorHAnsi"/>
              </w:rPr>
            </w:pPr>
          </w:p>
        </w:tc>
        <w:tc>
          <w:tcPr>
            <w:tcW w:w="564" w:type="dxa"/>
            <w:vAlign w:val="center"/>
          </w:tcPr>
          <w:p w14:paraId="638FAD99" w14:textId="77777777" w:rsidR="00864F84" w:rsidRPr="00A26C26" w:rsidRDefault="00864F84" w:rsidP="00A26C26">
            <w:pPr>
              <w:spacing w:line="276" w:lineRule="auto"/>
              <w:jc w:val="center"/>
              <w:rPr>
                <w:rFonts w:cstheme="minorHAnsi"/>
              </w:rPr>
            </w:pPr>
          </w:p>
        </w:tc>
        <w:tc>
          <w:tcPr>
            <w:tcW w:w="569" w:type="dxa"/>
            <w:vAlign w:val="center"/>
          </w:tcPr>
          <w:p w14:paraId="1A03C07E" w14:textId="77777777" w:rsidR="00864F84" w:rsidRPr="00A26C26" w:rsidRDefault="00864F84" w:rsidP="00A26C26">
            <w:pPr>
              <w:spacing w:line="276" w:lineRule="auto"/>
              <w:jc w:val="center"/>
              <w:rPr>
                <w:rFonts w:cstheme="minorHAnsi"/>
              </w:rPr>
            </w:pPr>
          </w:p>
        </w:tc>
        <w:tc>
          <w:tcPr>
            <w:tcW w:w="566" w:type="dxa"/>
            <w:vAlign w:val="center"/>
          </w:tcPr>
          <w:p w14:paraId="1CFC698F" w14:textId="77777777" w:rsidR="00864F84" w:rsidRPr="00A26C26" w:rsidRDefault="00864F84" w:rsidP="00A26C26">
            <w:pPr>
              <w:spacing w:line="276" w:lineRule="auto"/>
              <w:jc w:val="center"/>
              <w:rPr>
                <w:rFonts w:cstheme="minorHAnsi"/>
              </w:rPr>
            </w:pPr>
            <w:r w:rsidRPr="00A26C26">
              <w:rPr>
                <w:rFonts w:cstheme="minorHAnsi"/>
              </w:rPr>
              <w:t>x</w:t>
            </w:r>
          </w:p>
        </w:tc>
      </w:tr>
      <w:tr w:rsidR="00864F84" w:rsidRPr="00A26C26" w14:paraId="795558AD" w14:textId="77777777" w:rsidTr="00864F84">
        <w:tc>
          <w:tcPr>
            <w:tcW w:w="6374" w:type="dxa"/>
          </w:tcPr>
          <w:p w14:paraId="71D64A04" w14:textId="1A3274D0" w:rsidR="00864F84" w:rsidRPr="00A26C26" w:rsidRDefault="00864F84" w:rsidP="00A26C26">
            <w:pPr>
              <w:spacing w:line="276" w:lineRule="auto"/>
              <w:rPr>
                <w:rFonts w:cstheme="minorHAnsi"/>
                <w:i/>
                <w:iCs/>
              </w:rPr>
            </w:pPr>
            <w:r w:rsidRPr="00A26C26">
              <w:rPr>
                <w:rFonts w:cstheme="minorHAnsi"/>
                <w:i/>
                <w:iCs/>
              </w:rPr>
              <w:t>dedykowan</w:t>
            </w:r>
            <w:r w:rsidR="00F16251">
              <w:rPr>
                <w:rFonts w:cstheme="minorHAnsi"/>
                <w:i/>
                <w:iCs/>
              </w:rPr>
              <w:t>ych</w:t>
            </w:r>
            <w:r>
              <w:rPr>
                <w:rFonts w:cstheme="minorHAnsi"/>
                <w:i/>
                <w:iCs/>
              </w:rPr>
              <w:t xml:space="preserve"> </w:t>
            </w:r>
            <w:r w:rsidRPr="00A26C26">
              <w:rPr>
                <w:rFonts w:cstheme="minorHAnsi"/>
                <w:i/>
                <w:iCs/>
              </w:rPr>
              <w:t>dla</w:t>
            </w:r>
            <w:r>
              <w:rPr>
                <w:rFonts w:cstheme="minorHAnsi"/>
                <w:i/>
                <w:iCs/>
              </w:rPr>
              <w:t xml:space="preserve"> </w:t>
            </w:r>
            <w:r w:rsidRPr="00A26C26">
              <w:rPr>
                <w:rFonts w:cstheme="minorHAnsi"/>
                <w:i/>
                <w:iCs/>
              </w:rPr>
              <w:t>mieszkańców</w:t>
            </w:r>
            <w:r>
              <w:rPr>
                <w:rFonts w:cstheme="minorHAnsi"/>
                <w:i/>
                <w:iCs/>
              </w:rPr>
              <w:t xml:space="preserve"> </w:t>
            </w:r>
            <w:r w:rsidRPr="00A26C26">
              <w:rPr>
                <w:rFonts w:cstheme="minorHAnsi"/>
                <w:i/>
                <w:iCs/>
              </w:rPr>
              <w:t>obszarów</w:t>
            </w:r>
            <w:r>
              <w:rPr>
                <w:rFonts w:cstheme="minorHAnsi"/>
                <w:i/>
                <w:iCs/>
              </w:rPr>
              <w:t xml:space="preserve"> </w:t>
            </w:r>
            <w:r w:rsidRPr="00A26C26">
              <w:rPr>
                <w:rFonts w:cstheme="minorHAnsi"/>
                <w:i/>
                <w:iCs/>
              </w:rPr>
              <w:t>wiejskich,</w:t>
            </w:r>
            <w:r>
              <w:rPr>
                <w:rFonts w:cstheme="minorHAnsi"/>
                <w:i/>
                <w:iCs/>
              </w:rPr>
              <w:t xml:space="preserve"> </w:t>
            </w:r>
            <w:r w:rsidRPr="00A26C26">
              <w:rPr>
                <w:rFonts w:cstheme="minorHAnsi"/>
                <w:i/>
                <w:iCs/>
              </w:rPr>
              <w:t>wykluczonych</w:t>
            </w:r>
            <w:r>
              <w:rPr>
                <w:rFonts w:cstheme="minorHAnsi"/>
                <w:i/>
                <w:iCs/>
              </w:rPr>
              <w:t xml:space="preserve"> </w:t>
            </w:r>
            <w:r w:rsidRPr="00A26C26">
              <w:rPr>
                <w:rFonts w:cstheme="minorHAnsi"/>
                <w:i/>
                <w:iCs/>
              </w:rPr>
              <w:t>społecznie</w:t>
            </w:r>
            <w:r>
              <w:rPr>
                <w:rFonts w:cstheme="minorHAnsi"/>
                <w:i/>
                <w:iCs/>
              </w:rPr>
              <w:t xml:space="preserve"> </w:t>
            </w:r>
            <w:r w:rsidRPr="00A26C26">
              <w:rPr>
                <w:rFonts w:cstheme="minorHAnsi"/>
                <w:i/>
                <w:iCs/>
              </w:rPr>
              <w:t>ze</w:t>
            </w:r>
            <w:r>
              <w:rPr>
                <w:rFonts w:cstheme="minorHAnsi"/>
                <w:i/>
                <w:iCs/>
              </w:rPr>
              <w:t xml:space="preserve"> </w:t>
            </w:r>
            <w:r w:rsidRPr="00A26C26">
              <w:rPr>
                <w:rFonts w:cstheme="minorHAnsi"/>
                <w:i/>
                <w:iCs/>
              </w:rPr>
              <w:t>względu</w:t>
            </w:r>
            <w:r>
              <w:rPr>
                <w:rFonts w:cstheme="minorHAnsi"/>
                <w:i/>
                <w:iCs/>
              </w:rPr>
              <w:t xml:space="preserve"> </w:t>
            </w:r>
            <w:r w:rsidRPr="00A26C26">
              <w:rPr>
                <w:rFonts w:cstheme="minorHAnsi"/>
                <w:i/>
                <w:iCs/>
              </w:rPr>
              <w:t>na</w:t>
            </w:r>
            <w:r>
              <w:rPr>
                <w:rFonts w:cstheme="minorHAnsi"/>
                <w:i/>
                <w:iCs/>
              </w:rPr>
              <w:t xml:space="preserve"> </w:t>
            </w:r>
            <w:r w:rsidRPr="00A26C26">
              <w:rPr>
                <w:rFonts w:cstheme="minorHAnsi"/>
                <w:i/>
                <w:iCs/>
              </w:rPr>
              <w:t>przynależność</w:t>
            </w:r>
            <w:r>
              <w:rPr>
                <w:rFonts w:cstheme="minorHAnsi"/>
                <w:i/>
                <w:iCs/>
              </w:rPr>
              <w:t xml:space="preserve"> </w:t>
            </w:r>
            <w:r w:rsidRPr="00A26C26">
              <w:rPr>
                <w:rFonts w:cstheme="minorHAnsi"/>
                <w:i/>
                <w:iCs/>
              </w:rPr>
              <w:t>do</w:t>
            </w:r>
            <w:r>
              <w:rPr>
                <w:rFonts w:cstheme="minorHAnsi"/>
                <w:i/>
                <w:iCs/>
              </w:rPr>
              <w:t xml:space="preserve"> </w:t>
            </w:r>
            <w:r w:rsidRPr="00A26C26">
              <w:rPr>
                <w:rFonts w:cstheme="minorHAnsi"/>
                <w:i/>
                <w:iCs/>
              </w:rPr>
              <w:t>grup</w:t>
            </w:r>
            <w:r>
              <w:rPr>
                <w:rFonts w:cstheme="minorHAnsi"/>
                <w:i/>
                <w:iCs/>
              </w:rPr>
              <w:t xml:space="preserve"> </w:t>
            </w:r>
            <w:r w:rsidRPr="00A26C26">
              <w:rPr>
                <w:rFonts w:cstheme="minorHAnsi"/>
                <w:i/>
                <w:iCs/>
              </w:rPr>
              <w:t>zdiagnozowanych</w:t>
            </w:r>
            <w:r>
              <w:rPr>
                <w:rFonts w:cstheme="minorHAnsi"/>
                <w:i/>
                <w:iCs/>
              </w:rPr>
              <w:t xml:space="preserve"> </w:t>
            </w:r>
            <w:r w:rsidRPr="00A26C26">
              <w:rPr>
                <w:rFonts w:cstheme="minorHAnsi"/>
                <w:i/>
                <w:iCs/>
              </w:rPr>
              <w:t>jako</w:t>
            </w:r>
            <w:r>
              <w:rPr>
                <w:rFonts w:cstheme="minorHAnsi"/>
                <w:i/>
                <w:iCs/>
              </w:rPr>
              <w:t xml:space="preserve"> </w:t>
            </w:r>
            <w:r w:rsidRPr="00A26C26">
              <w:rPr>
                <w:rFonts w:cstheme="minorHAnsi"/>
                <w:i/>
                <w:iCs/>
              </w:rPr>
              <w:t>grupy</w:t>
            </w:r>
            <w:r>
              <w:rPr>
                <w:rFonts w:cstheme="minorHAnsi"/>
                <w:i/>
                <w:iCs/>
              </w:rPr>
              <w:t xml:space="preserve"> </w:t>
            </w:r>
            <w:r w:rsidRPr="00A26C26">
              <w:rPr>
                <w:rFonts w:cstheme="minorHAnsi"/>
                <w:i/>
                <w:iCs/>
              </w:rPr>
              <w:t>w</w:t>
            </w:r>
            <w:r>
              <w:rPr>
                <w:rFonts w:cstheme="minorHAnsi"/>
                <w:i/>
                <w:iCs/>
              </w:rPr>
              <w:t xml:space="preserve"> </w:t>
            </w:r>
            <w:r w:rsidRPr="00A26C26">
              <w:rPr>
                <w:rFonts w:cstheme="minorHAnsi"/>
                <w:i/>
                <w:iCs/>
              </w:rPr>
              <w:t>niekorzystnej</w:t>
            </w:r>
            <w:r>
              <w:rPr>
                <w:rFonts w:cstheme="minorHAnsi"/>
                <w:i/>
                <w:iCs/>
              </w:rPr>
              <w:t xml:space="preserve"> </w:t>
            </w:r>
            <w:r w:rsidRPr="00A26C26">
              <w:rPr>
                <w:rFonts w:cstheme="minorHAnsi"/>
                <w:i/>
                <w:iCs/>
              </w:rPr>
              <w:t>sytuacji</w:t>
            </w:r>
          </w:p>
        </w:tc>
        <w:tc>
          <w:tcPr>
            <w:tcW w:w="501" w:type="dxa"/>
            <w:vAlign w:val="center"/>
          </w:tcPr>
          <w:p w14:paraId="44E27C41" w14:textId="77777777" w:rsidR="00864F84" w:rsidRPr="00A26C26" w:rsidRDefault="00864F84" w:rsidP="00A26C26">
            <w:pPr>
              <w:spacing w:line="276" w:lineRule="auto"/>
              <w:jc w:val="center"/>
              <w:rPr>
                <w:rFonts w:cstheme="minorHAnsi"/>
              </w:rPr>
            </w:pPr>
            <w:r w:rsidRPr="00A26C26">
              <w:rPr>
                <w:rFonts w:cstheme="minorHAnsi"/>
              </w:rPr>
              <w:t>x</w:t>
            </w:r>
          </w:p>
        </w:tc>
        <w:tc>
          <w:tcPr>
            <w:tcW w:w="495" w:type="dxa"/>
            <w:vAlign w:val="center"/>
          </w:tcPr>
          <w:p w14:paraId="3FC5ACBE" w14:textId="77777777" w:rsidR="00864F84" w:rsidRPr="00A26C26" w:rsidRDefault="00864F84" w:rsidP="00A26C26">
            <w:pPr>
              <w:spacing w:line="276" w:lineRule="auto"/>
              <w:jc w:val="center"/>
              <w:rPr>
                <w:rFonts w:cstheme="minorHAnsi"/>
              </w:rPr>
            </w:pPr>
            <w:r w:rsidRPr="00A26C26">
              <w:rPr>
                <w:rFonts w:cstheme="minorHAnsi"/>
              </w:rPr>
              <w:t>X</w:t>
            </w:r>
          </w:p>
        </w:tc>
        <w:tc>
          <w:tcPr>
            <w:tcW w:w="566" w:type="dxa"/>
            <w:vAlign w:val="center"/>
          </w:tcPr>
          <w:p w14:paraId="1D80DAC7" w14:textId="77777777" w:rsidR="00864F84" w:rsidRPr="00A26C26" w:rsidRDefault="00864F84" w:rsidP="00A26C26">
            <w:pPr>
              <w:spacing w:line="276" w:lineRule="auto"/>
              <w:jc w:val="center"/>
              <w:rPr>
                <w:rFonts w:cstheme="minorHAnsi"/>
              </w:rPr>
            </w:pPr>
            <w:r w:rsidRPr="00A26C26">
              <w:rPr>
                <w:rFonts w:cstheme="minorHAnsi"/>
              </w:rPr>
              <w:t>x</w:t>
            </w:r>
          </w:p>
        </w:tc>
        <w:tc>
          <w:tcPr>
            <w:tcW w:w="566" w:type="dxa"/>
            <w:vAlign w:val="center"/>
          </w:tcPr>
          <w:p w14:paraId="7355D164" w14:textId="77777777" w:rsidR="00864F84" w:rsidRPr="00A26C26" w:rsidRDefault="00864F84" w:rsidP="00A26C26">
            <w:pPr>
              <w:spacing w:line="276" w:lineRule="auto"/>
              <w:jc w:val="center"/>
              <w:rPr>
                <w:rFonts w:cstheme="minorHAnsi"/>
              </w:rPr>
            </w:pPr>
            <w:r w:rsidRPr="00A26C26">
              <w:rPr>
                <w:rFonts w:cstheme="minorHAnsi"/>
              </w:rPr>
              <w:t>x</w:t>
            </w:r>
          </w:p>
        </w:tc>
        <w:tc>
          <w:tcPr>
            <w:tcW w:w="564" w:type="dxa"/>
            <w:vAlign w:val="center"/>
          </w:tcPr>
          <w:p w14:paraId="3E4EE602" w14:textId="77777777" w:rsidR="00864F84" w:rsidRPr="00A26C26" w:rsidRDefault="00864F84" w:rsidP="00A26C26">
            <w:pPr>
              <w:spacing w:line="276" w:lineRule="auto"/>
              <w:jc w:val="center"/>
              <w:rPr>
                <w:rFonts w:cstheme="minorHAnsi"/>
              </w:rPr>
            </w:pPr>
            <w:r w:rsidRPr="00A26C26">
              <w:rPr>
                <w:rFonts w:cstheme="minorHAnsi"/>
              </w:rPr>
              <w:t>x</w:t>
            </w:r>
          </w:p>
        </w:tc>
        <w:tc>
          <w:tcPr>
            <w:tcW w:w="569" w:type="dxa"/>
            <w:vAlign w:val="center"/>
          </w:tcPr>
          <w:p w14:paraId="73DABE27" w14:textId="77777777" w:rsidR="00864F84" w:rsidRPr="00A26C26" w:rsidRDefault="00864F84" w:rsidP="00A26C26">
            <w:pPr>
              <w:spacing w:line="276" w:lineRule="auto"/>
              <w:jc w:val="center"/>
              <w:rPr>
                <w:rFonts w:cstheme="minorHAnsi"/>
              </w:rPr>
            </w:pPr>
            <w:r w:rsidRPr="00A26C26">
              <w:rPr>
                <w:rFonts w:cstheme="minorHAnsi"/>
              </w:rPr>
              <w:t>x</w:t>
            </w:r>
          </w:p>
        </w:tc>
        <w:tc>
          <w:tcPr>
            <w:tcW w:w="566" w:type="dxa"/>
            <w:vAlign w:val="center"/>
          </w:tcPr>
          <w:p w14:paraId="29BDDFCC" w14:textId="77777777" w:rsidR="00864F84" w:rsidRPr="00A26C26" w:rsidRDefault="00864F84" w:rsidP="00A26C26">
            <w:pPr>
              <w:spacing w:line="276" w:lineRule="auto"/>
              <w:jc w:val="center"/>
              <w:rPr>
                <w:rFonts w:cstheme="minorHAnsi"/>
              </w:rPr>
            </w:pPr>
            <w:r w:rsidRPr="00A26C26">
              <w:rPr>
                <w:rFonts w:cstheme="minorHAnsi"/>
              </w:rPr>
              <w:t>x</w:t>
            </w:r>
          </w:p>
        </w:tc>
      </w:tr>
      <w:tr w:rsidR="00864F84" w:rsidRPr="00A26C26" w14:paraId="50650D36" w14:textId="77777777" w:rsidTr="00864F84">
        <w:tc>
          <w:tcPr>
            <w:tcW w:w="6374" w:type="dxa"/>
          </w:tcPr>
          <w:p w14:paraId="5A37CC53" w14:textId="2F349384" w:rsidR="00864F84" w:rsidRPr="00A26C26" w:rsidRDefault="00864F84" w:rsidP="00A26C26">
            <w:pPr>
              <w:spacing w:line="276" w:lineRule="auto"/>
              <w:rPr>
                <w:rFonts w:cstheme="minorHAnsi"/>
                <w:i/>
                <w:iCs/>
              </w:rPr>
            </w:pPr>
            <w:r w:rsidRPr="00A26C26">
              <w:rPr>
                <w:rFonts w:cstheme="minorHAnsi"/>
                <w:i/>
                <w:iCs/>
              </w:rPr>
              <w:lastRenderedPageBreak/>
              <w:t>realizowan</w:t>
            </w:r>
            <w:r w:rsidR="00F16251">
              <w:rPr>
                <w:rFonts w:cstheme="minorHAnsi"/>
                <w:i/>
                <w:iCs/>
              </w:rPr>
              <w:t>ych</w:t>
            </w:r>
            <w:r>
              <w:rPr>
                <w:rFonts w:cstheme="minorHAnsi"/>
                <w:i/>
                <w:iCs/>
              </w:rPr>
              <w:t xml:space="preserve"> </w:t>
            </w:r>
            <w:r w:rsidRPr="00A26C26">
              <w:rPr>
                <w:rFonts w:cstheme="minorHAnsi"/>
                <w:i/>
                <w:iCs/>
              </w:rPr>
              <w:t>przez</w:t>
            </w:r>
            <w:r>
              <w:rPr>
                <w:rFonts w:cstheme="minorHAnsi"/>
                <w:i/>
                <w:iCs/>
              </w:rPr>
              <w:t xml:space="preserve"> </w:t>
            </w:r>
            <w:r w:rsidRPr="00A26C26">
              <w:rPr>
                <w:rFonts w:cstheme="minorHAnsi"/>
                <w:i/>
                <w:iCs/>
              </w:rPr>
              <w:t>młode</w:t>
            </w:r>
            <w:r>
              <w:rPr>
                <w:rFonts w:cstheme="minorHAnsi"/>
                <w:i/>
                <w:iCs/>
              </w:rPr>
              <w:t xml:space="preserve"> </w:t>
            </w:r>
            <w:r w:rsidRPr="00A26C26">
              <w:rPr>
                <w:rFonts w:cstheme="minorHAnsi"/>
                <w:i/>
                <w:iCs/>
              </w:rPr>
              <w:t>kobiety</w:t>
            </w:r>
            <w:r>
              <w:rPr>
                <w:rFonts w:cstheme="minorHAnsi"/>
                <w:i/>
                <w:iCs/>
              </w:rPr>
              <w:t xml:space="preserve"> </w:t>
            </w:r>
            <w:r w:rsidRPr="00A26C26">
              <w:rPr>
                <w:rFonts w:cstheme="minorHAnsi"/>
                <w:i/>
                <w:iCs/>
              </w:rPr>
              <w:t>prowadzące/współprowadzące</w:t>
            </w:r>
            <w:r>
              <w:rPr>
                <w:rFonts w:cstheme="minorHAnsi"/>
                <w:i/>
                <w:iCs/>
              </w:rPr>
              <w:t xml:space="preserve"> </w:t>
            </w:r>
            <w:r w:rsidRPr="00A26C26">
              <w:rPr>
                <w:rFonts w:cstheme="minorHAnsi"/>
                <w:i/>
                <w:iCs/>
              </w:rPr>
              <w:t>gospodarstwo</w:t>
            </w:r>
            <w:r>
              <w:rPr>
                <w:rFonts w:cstheme="minorHAnsi"/>
                <w:i/>
                <w:iCs/>
              </w:rPr>
              <w:t xml:space="preserve"> </w:t>
            </w:r>
            <w:r w:rsidRPr="00A26C26">
              <w:rPr>
                <w:rFonts w:cstheme="minorHAnsi"/>
                <w:i/>
                <w:iCs/>
              </w:rPr>
              <w:t>rolne</w:t>
            </w:r>
            <w:r>
              <w:rPr>
                <w:rFonts w:cstheme="minorHAnsi"/>
                <w:i/>
                <w:iCs/>
              </w:rPr>
              <w:t xml:space="preserve"> </w:t>
            </w:r>
            <w:r w:rsidRPr="00A26C26">
              <w:rPr>
                <w:rFonts w:cstheme="minorHAnsi"/>
                <w:i/>
                <w:iCs/>
              </w:rPr>
              <w:t>w</w:t>
            </w:r>
            <w:r>
              <w:rPr>
                <w:rFonts w:cstheme="minorHAnsi"/>
                <w:i/>
                <w:iCs/>
              </w:rPr>
              <w:t xml:space="preserve"> </w:t>
            </w:r>
            <w:r w:rsidRPr="00A26C26">
              <w:rPr>
                <w:rFonts w:cstheme="minorHAnsi"/>
                <w:i/>
                <w:iCs/>
              </w:rPr>
              <w:t>ramach</w:t>
            </w:r>
            <w:r>
              <w:rPr>
                <w:rFonts w:cstheme="minorHAnsi"/>
                <w:i/>
                <w:iCs/>
              </w:rPr>
              <w:t xml:space="preserve"> </w:t>
            </w:r>
            <w:r w:rsidRPr="00A26C26">
              <w:rPr>
                <w:rFonts w:cstheme="minorHAnsi"/>
                <w:i/>
                <w:iCs/>
              </w:rPr>
              <w:t>zakresu</w:t>
            </w:r>
            <w:r>
              <w:rPr>
                <w:rFonts w:cstheme="minorHAnsi"/>
                <w:i/>
                <w:iCs/>
              </w:rPr>
              <w:t xml:space="preserve"> </w:t>
            </w:r>
            <w:r w:rsidRPr="00A26C26">
              <w:rPr>
                <w:rFonts w:cstheme="minorHAnsi"/>
                <w:i/>
                <w:iCs/>
              </w:rPr>
              <w:t>rozwoju</w:t>
            </w:r>
            <w:r>
              <w:rPr>
                <w:rFonts w:cstheme="minorHAnsi"/>
                <w:i/>
                <w:iCs/>
              </w:rPr>
              <w:t xml:space="preserve"> </w:t>
            </w:r>
            <w:r w:rsidRPr="00A26C26">
              <w:rPr>
                <w:rFonts w:cstheme="minorHAnsi"/>
                <w:i/>
                <w:iCs/>
              </w:rPr>
              <w:t>pozarolniczych</w:t>
            </w:r>
            <w:r>
              <w:rPr>
                <w:rFonts w:cstheme="minorHAnsi"/>
                <w:i/>
                <w:iCs/>
              </w:rPr>
              <w:t xml:space="preserve"> </w:t>
            </w:r>
            <w:r w:rsidRPr="00A26C26">
              <w:rPr>
                <w:rFonts w:cstheme="minorHAnsi"/>
                <w:i/>
                <w:iCs/>
              </w:rPr>
              <w:t>funkcji</w:t>
            </w:r>
            <w:r>
              <w:rPr>
                <w:rFonts w:cstheme="minorHAnsi"/>
                <w:i/>
                <w:iCs/>
              </w:rPr>
              <w:t xml:space="preserve"> </w:t>
            </w:r>
            <w:r w:rsidRPr="00A26C26">
              <w:rPr>
                <w:rFonts w:cstheme="minorHAnsi"/>
                <w:i/>
                <w:iCs/>
              </w:rPr>
              <w:t>małych</w:t>
            </w:r>
            <w:r>
              <w:rPr>
                <w:rFonts w:cstheme="minorHAnsi"/>
                <w:i/>
                <w:iCs/>
              </w:rPr>
              <w:t xml:space="preserve"> </w:t>
            </w:r>
            <w:r w:rsidRPr="00A26C26">
              <w:rPr>
                <w:rFonts w:cstheme="minorHAnsi"/>
                <w:i/>
                <w:iCs/>
              </w:rPr>
              <w:t>gospodarstw</w:t>
            </w:r>
            <w:r>
              <w:rPr>
                <w:rFonts w:cstheme="minorHAnsi"/>
                <w:i/>
                <w:iCs/>
              </w:rPr>
              <w:t xml:space="preserve"> </w:t>
            </w:r>
            <w:r w:rsidRPr="00A26C26">
              <w:rPr>
                <w:rFonts w:cstheme="minorHAnsi"/>
                <w:i/>
                <w:iCs/>
              </w:rPr>
              <w:t>rolnych</w:t>
            </w:r>
          </w:p>
        </w:tc>
        <w:tc>
          <w:tcPr>
            <w:tcW w:w="501" w:type="dxa"/>
            <w:vAlign w:val="center"/>
          </w:tcPr>
          <w:p w14:paraId="29A66026" w14:textId="77777777" w:rsidR="00864F84" w:rsidRPr="00A26C26" w:rsidRDefault="00864F84" w:rsidP="00A26C26">
            <w:pPr>
              <w:spacing w:line="276" w:lineRule="auto"/>
              <w:jc w:val="center"/>
              <w:rPr>
                <w:rFonts w:cstheme="minorHAnsi"/>
              </w:rPr>
            </w:pPr>
          </w:p>
        </w:tc>
        <w:tc>
          <w:tcPr>
            <w:tcW w:w="495" w:type="dxa"/>
            <w:vAlign w:val="center"/>
          </w:tcPr>
          <w:p w14:paraId="6EC35D08" w14:textId="77777777" w:rsidR="00864F84" w:rsidRPr="00A26C26" w:rsidRDefault="00864F84" w:rsidP="00A26C26">
            <w:pPr>
              <w:spacing w:line="276" w:lineRule="auto"/>
              <w:jc w:val="center"/>
              <w:rPr>
                <w:rFonts w:cstheme="minorHAnsi"/>
              </w:rPr>
            </w:pPr>
          </w:p>
        </w:tc>
        <w:tc>
          <w:tcPr>
            <w:tcW w:w="566" w:type="dxa"/>
            <w:vAlign w:val="center"/>
          </w:tcPr>
          <w:p w14:paraId="57D4E3D5" w14:textId="77777777" w:rsidR="00864F84" w:rsidRPr="00A26C26" w:rsidRDefault="00864F84" w:rsidP="00A26C26">
            <w:pPr>
              <w:spacing w:line="276" w:lineRule="auto"/>
              <w:jc w:val="center"/>
              <w:rPr>
                <w:rFonts w:cstheme="minorHAnsi"/>
              </w:rPr>
            </w:pPr>
          </w:p>
        </w:tc>
        <w:tc>
          <w:tcPr>
            <w:tcW w:w="566" w:type="dxa"/>
            <w:vAlign w:val="center"/>
          </w:tcPr>
          <w:p w14:paraId="1D3539D3" w14:textId="77777777" w:rsidR="00864F84" w:rsidRPr="00A26C26" w:rsidRDefault="00864F84" w:rsidP="00A26C26">
            <w:pPr>
              <w:spacing w:line="276" w:lineRule="auto"/>
              <w:jc w:val="center"/>
              <w:rPr>
                <w:rFonts w:cstheme="minorHAnsi"/>
              </w:rPr>
            </w:pPr>
          </w:p>
        </w:tc>
        <w:tc>
          <w:tcPr>
            <w:tcW w:w="564" w:type="dxa"/>
            <w:vAlign w:val="center"/>
          </w:tcPr>
          <w:p w14:paraId="1DF80628" w14:textId="77777777" w:rsidR="00864F84" w:rsidRPr="00A26C26" w:rsidRDefault="00864F84" w:rsidP="00A26C26">
            <w:pPr>
              <w:spacing w:line="276" w:lineRule="auto"/>
              <w:jc w:val="center"/>
              <w:rPr>
                <w:rFonts w:cstheme="minorHAnsi"/>
              </w:rPr>
            </w:pPr>
          </w:p>
        </w:tc>
        <w:tc>
          <w:tcPr>
            <w:tcW w:w="569" w:type="dxa"/>
            <w:vAlign w:val="center"/>
          </w:tcPr>
          <w:p w14:paraId="4F10F057" w14:textId="77777777" w:rsidR="00864F84" w:rsidRPr="00A26C26" w:rsidRDefault="00864F84" w:rsidP="00A26C26">
            <w:pPr>
              <w:spacing w:line="276" w:lineRule="auto"/>
              <w:jc w:val="center"/>
              <w:rPr>
                <w:rFonts w:cstheme="minorHAnsi"/>
              </w:rPr>
            </w:pPr>
          </w:p>
        </w:tc>
        <w:tc>
          <w:tcPr>
            <w:tcW w:w="566" w:type="dxa"/>
            <w:vAlign w:val="center"/>
          </w:tcPr>
          <w:p w14:paraId="57E12234" w14:textId="77777777" w:rsidR="00864F84" w:rsidRPr="00A26C26" w:rsidRDefault="00864F84" w:rsidP="00A26C26">
            <w:pPr>
              <w:spacing w:line="276" w:lineRule="auto"/>
              <w:jc w:val="center"/>
              <w:rPr>
                <w:rFonts w:cstheme="minorHAnsi"/>
              </w:rPr>
            </w:pPr>
            <w:r w:rsidRPr="00A26C26">
              <w:rPr>
                <w:rFonts w:cstheme="minorHAnsi"/>
              </w:rPr>
              <w:t>x</w:t>
            </w:r>
          </w:p>
        </w:tc>
      </w:tr>
      <w:tr w:rsidR="00864F84" w:rsidRPr="00A26C26" w14:paraId="77AF2011" w14:textId="77777777" w:rsidTr="00864F84">
        <w:tc>
          <w:tcPr>
            <w:tcW w:w="6374" w:type="dxa"/>
          </w:tcPr>
          <w:p w14:paraId="4FB8B459" w14:textId="389A8EEC" w:rsidR="00864F84" w:rsidRPr="00A26C26" w:rsidRDefault="00864F84" w:rsidP="00A26C26">
            <w:pPr>
              <w:spacing w:line="276" w:lineRule="auto"/>
              <w:rPr>
                <w:rFonts w:cstheme="minorHAnsi"/>
                <w:i/>
                <w:iCs/>
              </w:rPr>
            </w:pPr>
            <w:r w:rsidRPr="00A26C26">
              <w:rPr>
                <w:rFonts w:cstheme="minorHAnsi"/>
                <w:i/>
                <w:iCs/>
              </w:rPr>
              <w:t>realizowan</w:t>
            </w:r>
            <w:r w:rsidR="00F16251">
              <w:rPr>
                <w:rFonts w:cstheme="minorHAnsi"/>
                <w:i/>
                <w:iCs/>
              </w:rPr>
              <w:t>ych</w:t>
            </w:r>
            <w:r>
              <w:rPr>
                <w:rFonts w:cstheme="minorHAnsi"/>
                <w:i/>
                <w:iCs/>
              </w:rPr>
              <w:t xml:space="preserve"> </w:t>
            </w:r>
            <w:r w:rsidRPr="00A26C26">
              <w:rPr>
                <w:rFonts w:cstheme="minorHAnsi"/>
                <w:i/>
                <w:iCs/>
              </w:rPr>
              <w:t>w</w:t>
            </w:r>
            <w:r>
              <w:rPr>
                <w:rFonts w:cstheme="minorHAnsi"/>
                <w:i/>
                <w:iCs/>
              </w:rPr>
              <w:t xml:space="preserve"> </w:t>
            </w:r>
            <w:r w:rsidRPr="00A26C26">
              <w:rPr>
                <w:rFonts w:cstheme="minorHAnsi"/>
                <w:i/>
                <w:iCs/>
              </w:rPr>
              <w:t>partnerstwie</w:t>
            </w:r>
          </w:p>
        </w:tc>
        <w:tc>
          <w:tcPr>
            <w:tcW w:w="501" w:type="dxa"/>
            <w:vAlign w:val="center"/>
          </w:tcPr>
          <w:p w14:paraId="7BEB8B1A" w14:textId="77777777" w:rsidR="00864F84" w:rsidRPr="00A26C26" w:rsidRDefault="00864F84" w:rsidP="00A26C26">
            <w:pPr>
              <w:spacing w:line="276" w:lineRule="auto"/>
              <w:jc w:val="center"/>
              <w:rPr>
                <w:rFonts w:cstheme="minorHAnsi"/>
              </w:rPr>
            </w:pPr>
          </w:p>
        </w:tc>
        <w:tc>
          <w:tcPr>
            <w:tcW w:w="495" w:type="dxa"/>
            <w:vAlign w:val="center"/>
          </w:tcPr>
          <w:p w14:paraId="16445D4F" w14:textId="77777777" w:rsidR="00864F84" w:rsidRPr="00A26C26" w:rsidRDefault="00864F84" w:rsidP="00A26C26">
            <w:pPr>
              <w:spacing w:line="276" w:lineRule="auto"/>
              <w:jc w:val="center"/>
              <w:rPr>
                <w:rFonts w:cstheme="minorHAnsi"/>
              </w:rPr>
            </w:pPr>
          </w:p>
        </w:tc>
        <w:tc>
          <w:tcPr>
            <w:tcW w:w="566" w:type="dxa"/>
            <w:vAlign w:val="center"/>
          </w:tcPr>
          <w:p w14:paraId="57BC52B9" w14:textId="77777777" w:rsidR="00864F84" w:rsidRPr="00A26C26" w:rsidRDefault="00864F84" w:rsidP="00A26C26">
            <w:pPr>
              <w:spacing w:line="276" w:lineRule="auto"/>
              <w:jc w:val="center"/>
              <w:rPr>
                <w:rFonts w:cstheme="minorHAnsi"/>
              </w:rPr>
            </w:pPr>
          </w:p>
        </w:tc>
        <w:tc>
          <w:tcPr>
            <w:tcW w:w="566" w:type="dxa"/>
            <w:vAlign w:val="center"/>
          </w:tcPr>
          <w:p w14:paraId="6EBE77CB" w14:textId="77777777" w:rsidR="00864F84" w:rsidRPr="00A26C26" w:rsidRDefault="00864F84" w:rsidP="00A26C26">
            <w:pPr>
              <w:spacing w:line="276" w:lineRule="auto"/>
              <w:jc w:val="center"/>
              <w:rPr>
                <w:rFonts w:cstheme="minorHAnsi"/>
              </w:rPr>
            </w:pPr>
          </w:p>
        </w:tc>
        <w:tc>
          <w:tcPr>
            <w:tcW w:w="564" w:type="dxa"/>
            <w:vAlign w:val="center"/>
          </w:tcPr>
          <w:p w14:paraId="1C0698DD" w14:textId="77777777" w:rsidR="00864F84" w:rsidRPr="00A26C26" w:rsidRDefault="00864F84" w:rsidP="00A26C26">
            <w:pPr>
              <w:spacing w:line="276" w:lineRule="auto"/>
              <w:jc w:val="center"/>
              <w:rPr>
                <w:rFonts w:cstheme="minorHAnsi"/>
              </w:rPr>
            </w:pPr>
            <w:r w:rsidRPr="00A26C26">
              <w:rPr>
                <w:rFonts w:cstheme="minorHAnsi"/>
              </w:rPr>
              <w:t>x</w:t>
            </w:r>
          </w:p>
        </w:tc>
        <w:tc>
          <w:tcPr>
            <w:tcW w:w="569" w:type="dxa"/>
            <w:vAlign w:val="center"/>
          </w:tcPr>
          <w:p w14:paraId="44232256" w14:textId="77777777" w:rsidR="00864F84" w:rsidRPr="00A26C26" w:rsidRDefault="00864F84" w:rsidP="00A26C26">
            <w:pPr>
              <w:spacing w:line="276" w:lineRule="auto"/>
              <w:jc w:val="center"/>
              <w:rPr>
                <w:rFonts w:cstheme="minorHAnsi"/>
              </w:rPr>
            </w:pPr>
          </w:p>
        </w:tc>
        <w:tc>
          <w:tcPr>
            <w:tcW w:w="566" w:type="dxa"/>
            <w:vAlign w:val="center"/>
          </w:tcPr>
          <w:p w14:paraId="12E92519" w14:textId="77777777" w:rsidR="00864F84" w:rsidRPr="00A26C26" w:rsidRDefault="00864F84" w:rsidP="00A26C26">
            <w:pPr>
              <w:spacing w:line="276" w:lineRule="auto"/>
              <w:jc w:val="center"/>
              <w:rPr>
                <w:rFonts w:cstheme="minorHAnsi"/>
              </w:rPr>
            </w:pPr>
          </w:p>
        </w:tc>
      </w:tr>
      <w:tr w:rsidR="00864F84" w:rsidRPr="00A26C26" w14:paraId="24E2CDE8" w14:textId="77777777" w:rsidTr="00864F84">
        <w:tc>
          <w:tcPr>
            <w:tcW w:w="6374" w:type="dxa"/>
          </w:tcPr>
          <w:p w14:paraId="146E2E08" w14:textId="097D0041" w:rsidR="00864F84" w:rsidRPr="00A26C26" w:rsidRDefault="00F16251" w:rsidP="00A26C26">
            <w:pPr>
              <w:spacing w:line="276" w:lineRule="auto"/>
              <w:rPr>
                <w:rFonts w:cstheme="minorHAnsi"/>
                <w:i/>
                <w:iCs/>
              </w:rPr>
            </w:pPr>
            <w:r>
              <w:rPr>
                <w:rFonts w:cstheme="minorHAnsi"/>
                <w:i/>
                <w:iCs/>
              </w:rPr>
              <w:t>z</w:t>
            </w:r>
            <w:r w:rsidR="00864F84" w:rsidRPr="00A26C26">
              <w:rPr>
                <w:rFonts w:cstheme="minorHAnsi"/>
                <w:i/>
                <w:iCs/>
              </w:rPr>
              <w:t>integrowan</w:t>
            </w:r>
            <w:r>
              <w:rPr>
                <w:rFonts w:cstheme="minorHAnsi"/>
                <w:i/>
                <w:iCs/>
              </w:rPr>
              <w:t xml:space="preserve">ych </w:t>
            </w:r>
            <w:r w:rsidR="00864F84" w:rsidRPr="00A26C26">
              <w:rPr>
                <w:rFonts w:cstheme="minorHAnsi"/>
                <w:i/>
                <w:iCs/>
              </w:rPr>
              <w:t>(łączące</w:t>
            </w:r>
            <w:r w:rsidR="00864F84">
              <w:rPr>
                <w:rFonts w:cstheme="minorHAnsi"/>
                <w:i/>
                <w:iCs/>
              </w:rPr>
              <w:t xml:space="preserve"> </w:t>
            </w:r>
            <w:r w:rsidR="00864F84" w:rsidRPr="00A26C26">
              <w:rPr>
                <w:rFonts w:cstheme="minorHAnsi"/>
                <w:i/>
                <w:iCs/>
              </w:rPr>
              <w:t>różne</w:t>
            </w:r>
            <w:r w:rsidR="00864F84">
              <w:rPr>
                <w:rFonts w:cstheme="minorHAnsi"/>
                <w:i/>
                <w:iCs/>
              </w:rPr>
              <w:t xml:space="preserve"> </w:t>
            </w:r>
            <w:r w:rsidR="00864F84" w:rsidRPr="00A26C26">
              <w:rPr>
                <w:rFonts w:cstheme="minorHAnsi"/>
                <w:i/>
                <w:iCs/>
              </w:rPr>
              <w:t>dziedziny,</w:t>
            </w:r>
            <w:r w:rsidR="00864F84">
              <w:rPr>
                <w:rFonts w:cstheme="minorHAnsi"/>
                <w:i/>
                <w:iCs/>
              </w:rPr>
              <w:t xml:space="preserve"> </w:t>
            </w:r>
            <w:r w:rsidR="00864F84" w:rsidRPr="00A26C26">
              <w:rPr>
                <w:rFonts w:cstheme="minorHAnsi"/>
                <w:i/>
                <w:iCs/>
              </w:rPr>
              <w:t>tematyki,</w:t>
            </w:r>
            <w:r w:rsidR="00864F84">
              <w:rPr>
                <w:rFonts w:cstheme="minorHAnsi"/>
                <w:i/>
                <w:iCs/>
              </w:rPr>
              <w:t xml:space="preserve"> </w:t>
            </w:r>
            <w:r w:rsidR="00864F84" w:rsidRPr="00A26C26">
              <w:rPr>
                <w:rFonts w:cstheme="minorHAnsi"/>
                <w:i/>
                <w:iCs/>
              </w:rPr>
              <w:t>gospodarki,</w:t>
            </w:r>
            <w:r w:rsidR="00864F84">
              <w:rPr>
                <w:rFonts w:cstheme="minorHAnsi"/>
                <w:i/>
                <w:iCs/>
              </w:rPr>
              <w:t xml:space="preserve"> </w:t>
            </w:r>
            <w:r w:rsidR="00864F84" w:rsidRPr="00A26C26">
              <w:rPr>
                <w:rFonts w:cstheme="minorHAnsi"/>
                <w:i/>
                <w:iCs/>
              </w:rPr>
              <w:t>w</w:t>
            </w:r>
            <w:r w:rsidR="00864F84">
              <w:rPr>
                <w:rFonts w:cstheme="minorHAnsi"/>
                <w:i/>
                <w:iCs/>
              </w:rPr>
              <w:t xml:space="preserve"> </w:t>
            </w:r>
            <w:r w:rsidR="00864F84" w:rsidRPr="00A26C26">
              <w:rPr>
                <w:rFonts w:cstheme="minorHAnsi"/>
                <w:i/>
                <w:iCs/>
              </w:rPr>
              <w:t>celu</w:t>
            </w:r>
            <w:r w:rsidR="00864F84">
              <w:rPr>
                <w:rFonts w:cstheme="minorHAnsi"/>
                <w:i/>
                <w:iCs/>
              </w:rPr>
              <w:t xml:space="preserve"> </w:t>
            </w:r>
            <w:r w:rsidR="00864F84" w:rsidRPr="00A26C26">
              <w:rPr>
                <w:rFonts w:cstheme="minorHAnsi"/>
                <w:i/>
                <w:iCs/>
              </w:rPr>
              <w:t>kompleksowego</w:t>
            </w:r>
            <w:r w:rsidR="00864F84">
              <w:rPr>
                <w:rFonts w:cstheme="minorHAnsi"/>
                <w:i/>
                <w:iCs/>
              </w:rPr>
              <w:t xml:space="preserve"> </w:t>
            </w:r>
            <w:r w:rsidR="00864F84" w:rsidRPr="00A26C26">
              <w:rPr>
                <w:rFonts w:cstheme="minorHAnsi"/>
                <w:i/>
                <w:iCs/>
              </w:rPr>
              <w:t>zaspokojenia</w:t>
            </w:r>
            <w:r w:rsidR="00864F84">
              <w:rPr>
                <w:rFonts w:cstheme="minorHAnsi"/>
                <w:i/>
                <w:iCs/>
              </w:rPr>
              <w:t xml:space="preserve"> </w:t>
            </w:r>
            <w:r w:rsidR="00864F84" w:rsidRPr="00A26C26">
              <w:rPr>
                <w:rFonts w:cstheme="minorHAnsi"/>
                <w:i/>
                <w:iCs/>
              </w:rPr>
              <w:t>zdiagnozowanych</w:t>
            </w:r>
            <w:r w:rsidR="00864F84">
              <w:rPr>
                <w:rFonts w:cstheme="minorHAnsi"/>
                <w:i/>
                <w:iCs/>
              </w:rPr>
              <w:t xml:space="preserve"> </w:t>
            </w:r>
            <w:r w:rsidR="00864F84" w:rsidRPr="00A26C26">
              <w:rPr>
                <w:rFonts w:cstheme="minorHAnsi"/>
                <w:i/>
                <w:iCs/>
              </w:rPr>
              <w:t>potrzeb</w:t>
            </w:r>
            <w:r w:rsidR="00864F84">
              <w:rPr>
                <w:rFonts w:cstheme="minorHAnsi"/>
                <w:i/>
                <w:iCs/>
              </w:rPr>
              <w:t xml:space="preserve"> </w:t>
            </w:r>
            <w:r w:rsidR="00864F84" w:rsidRPr="00A26C26">
              <w:rPr>
                <w:rFonts w:cstheme="minorHAnsi"/>
                <w:i/>
                <w:iCs/>
              </w:rPr>
              <w:t>społeczności).</w:t>
            </w:r>
          </w:p>
        </w:tc>
        <w:tc>
          <w:tcPr>
            <w:tcW w:w="501" w:type="dxa"/>
            <w:vAlign w:val="center"/>
          </w:tcPr>
          <w:p w14:paraId="61E89423" w14:textId="77777777" w:rsidR="00864F84" w:rsidRPr="00A26C26" w:rsidRDefault="00864F84" w:rsidP="00A26C26">
            <w:pPr>
              <w:spacing w:line="276" w:lineRule="auto"/>
              <w:jc w:val="center"/>
              <w:rPr>
                <w:rFonts w:cstheme="minorHAnsi"/>
              </w:rPr>
            </w:pPr>
            <w:r w:rsidRPr="00A26C26">
              <w:rPr>
                <w:rFonts w:cstheme="minorHAnsi"/>
              </w:rPr>
              <w:t>x</w:t>
            </w:r>
          </w:p>
        </w:tc>
        <w:tc>
          <w:tcPr>
            <w:tcW w:w="495" w:type="dxa"/>
            <w:vAlign w:val="center"/>
          </w:tcPr>
          <w:p w14:paraId="3287FB80" w14:textId="08D9A3F6" w:rsidR="00864F84" w:rsidRPr="00A26C26" w:rsidRDefault="00864F84" w:rsidP="00A26C26">
            <w:pPr>
              <w:spacing w:line="276" w:lineRule="auto"/>
              <w:jc w:val="center"/>
              <w:rPr>
                <w:rFonts w:cstheme="minorHAnsi"/>
              </w:rPr>
            </w:pPr>
          </w:p>
        </w:tc>
        <w:tc>
          <w:tcPr>
            <w:tcW w:w="566" w:type="dxa"/>
            <w:vAlign w:val="center"/>
          </w:tcPr>
          <w:p w14:paraId="25C82FD9" w14:textId="77777777" w:rsidR="00864F84" w:rsidRPr="00A26C26" w:rsidRDefault="00864F84" w:rsidP="00A26C26">
            <w:pPr>
              <w:spacing w:line="276" w:lineRule="auto"/>
              <w:jc w:val="center"/>
              <w:rPr>
                <w:rFonts w:cstheme="minorHAnsi"/>
              </w:rPr>
            </w:pPr>
          </w:p>
        </w:tc>
        <w:tc>
          <w:tcPr>
            <w:tcW w:w="566" w:type="dxa"/>
            <w:vAlign w:val="center"/>
          </w:tcPr>
          <w:p w14:paraId="0BE06337" w14:textId="2073C7D8" w:rsidR="00864F84" w:rsidRPr="00A26C26" w:rsidRDefault="00864F84" w:rsidP="00A26C26">
            <w:pPr>
              <w:spacing w:line="276" w:lineRule="auto"/>
              <w:jc w:val="center"/>
              <w:rPr>
                <w:rFonts w:cstheme="minorHAnsi"/>
              </w:rPr>
            </w:pPr>
          </w:p>
        </w:tc>
        <w:tc>
          <w:tcPr>
            <w:tcW w:w="564" w:type="dxa"/>
            <w:vAlign w:val="center"/>
          </w:tcPr>
          <w:p w14:paraId="3A4ADE1E" w14:textId="77777777" w:rsidR="00864F84" w:rsidRPr="00A26C26" w:rsidRDefault="00864F84" w:rsidP="00A26C26">
            <w:pPr>
              <w:spacing w:line="276" w:lineRule="auto"/>
              <w:jc w:val="center"/>
              <w:rPr>
                <w:rFonts w:cstheme="minorHAnsi"/>
              </w:rPr>
            </w:pPr>
            <w:r w:rsidRPr="00A26C26">
              <w:rPr>
                <w:rFonts w:cstheme="minorHAnsi"/>
              </w:rPr>
              <w:t>x</w:t>
            </w:r>
          </w:p>
        </w:tc>
        <w:tc>
          <w:tcPr>
            <w:tcW w:w="569" w:type="dxa"/>
            <w:vAlign w:val="center"/>
          </w:tcPr>
          <w:p w14:paraId="6537F405" w14:textId="77777777" w:rsidR="00864F84" w:rsidRPr="00A26C26" w:rsidRDefault="00864F84" w:rsidP="00A26C26">
            <w:pPr>
              <w:spacing w:line="276" w:lineRule="auto"/>
              <w:jc w:val="center"/>
              <w:rPr>
                <w:rFonts w:cstheme="minorHAnsi"/>
              </w:rPr>
            </w:pPr>
            <w:r w:rsidRPr="00A26C26">
              <w:rPr>
                <w:rFonts w:cstheme="minorHAnsi"/>
              </w:rPr>
              <w:t>x</w:t>
            </w:r>
          </w:p>
        </w:tc>
        <w:tc>
          <w:tcPr>
            <w:tcW w:w="566" w:type="dxa"/>
            <w:vAlign w:val="center"/>
          </w:tcPr>
          <w:p w14:paraId="2E995CD4" w14:textId="77777777" w:rsidR="00864F84" w:rsidRPr="00A26C26" w:rsidRDefault="00864F84" w:rsidP="00A26C26">
            <w:pPr>
              <w:spacing w:line="276" w:lineRule="auto"/>
              <w:jc w:val="center"/>
              <w:rPr>
                <w:rFonts w:cstheme="minorHAnsi"/>
              </w:rPr>
            </w:pPr>
          </w:p>
        </w:tc>
      </w:tr>
      <w:tr w:rsidR="00864F84" w:rsidRPr="00A26C26" w14:paraId="3F12AB2A" w14:textId="77777777" w:rsidTr="00864F84">
        <w:tc>
          <w:tcPr>
            <w:tcW w:w="6374" w:type="dxa"/>
          </w:tcPr>
          <w:p w14:paraId="2C021433" w14:textId="55275B3E" w:rsidR="00864F84" w:rsidRPr="00A26C26" w:rsidRDefault="00864F84" w:rsidP="00A26C26">
            <w:pPr>
              <w:spacing w:line="276" w:lineRule="auto"/>
              <w:rPr>
                <w:rFonts w:cstheme="minorHAnsi"/>
                <w:i/>
                <w:iCs/>
              </w:rPr>
            </w:pPr>
            <w:r w:rsidRPr="00A26C26">
              <w:rPr>
                <w:rFonts w:cstheme="minorHAnsi"/>
                <w:i/>
                <w:iCs/>
              </w:rPr>
              <w:t>innowacyjn</w:t>
            </w:r>
            <w:r w:rsidR="00F16251">
              <w:rPr>
                <w:rFonts w:cstheme="minorHAnsi"/>
                <w:i/>
                <w:iCs/>
              </w:rPr>
              <w:t>ych</w:t>
            </w:r>
          </w:p>
        </w:tc>
        <w:tc>
          <w:tcPr>
            <w:tcW w:w="501" w:type="dxa"/>
            <w:vAlign w:val="center"/>
          </w:tcPr>
          <w:p w14:paraId="66CDB6FA" w14:textId="23124A6F" w:rsidR="00864F84" w:rsidRPr="00A26C26" w:rsidRDefault="00915596" w:rsidP="00A26C26">
            <w:pPr>
              <w:spacing w:line="276" w:lineRule="auto"/>
              <w:jc w:val="center"/>
              <w:rPr>
                <w:rFonts w:cstheme="minorHAnsi"/>
              </w:rPr>
            </w:pPr>
            <w:r>
              <w:rPr>
                <w:rFonts w:cstheme="minorHAnsi"/>
              </w:rPr>
              <w:t>X</w:t>
            </w:r>
          </w:p>
        </w:tc>
        <w:tc>
          <w:tcPr>
            <w:tcW w:w="495" w:type="dxa"/>
            <w:vAlign w:val="center"/>
          </w:tcPr>
          <w:p w14:paraId="7CF17579" w14:textId="77777777" w:rsidR="00864F84" w:rsidRPr="00A26C26" w:rsidRDefault="00864F84" w:rsidP="00A26C26">
            <w:pPr>
              <w:spacing w:line="276" w:lineRule="auto"/>
              <w:jc w:val="center"/>
              <w:rPr>
                <w:rFonts w:cstheme="minorHAnsi"/>
              </w:rPr>
            </w:pPr>
          </w:p>
        </w:tc>
        <w:tc>
          <w:tcPr>
            <w:tcW w:w="566" w:type="dxa"/>
            <w:vAlign w:val="center"/>
          </w:tcPr>
          <w:p w14:paraId="5634AF4C" w14:textId="77777777" w:rsidR="00864F84" w:rsidRPr="00A26C26" w:rsidRDefault="00864F84" w:rsidP="00A26C26">
            <w:pPr>
              <w:spacing w:line="276" w:lineRule="auto"/>
              <w:jc w:val="center"/>
              <w:rPr>
                <w:rFonts w:cstheme="minorHAnsi"/>
              </w:rPr>
            </w:pPr>
          </w:p>
        </w:tc>
        <w:tc>
          <w:tcPr>
            <w:tcW w:w="566" w:type="dxa"/>
            <w:vAlign w:val="center"/>
          </w:tcPr>
          <w:p w14:paraId="3E35D8B1" w14:textId="77777777" w:rsidR="00864F84" w:rsidRPr="00A26C26" w:rsidRDefault="00864F84" w:rsidP="00A26C26">
            <w:pPr>
              <w:spacing w:line="276" w:lineRule="auto"/>
              <w:jc w:val="center"/>
              <w:rPr>
                <w:rFonts w:cstheme="minorHAnsi"/>
              </w:rPr>
            </w:pPr>
          </w:p>
        </w:tc>
        <w:tc>
          <w:tcPr>
            <w:tcW w:w="564" w:type="dxa"/>
            <w:vAlign w:val="center"/>
          </w:tcPr>
          <w:p w14:paraId="32C6CF39" w14:textId="77777777" w:rsidR="00864F84" w:rsidRPr="00A26C26" w:rsidRDefault="00864F84" w:rsidP="00A26C26">
            <w:pPr>
              <w:spacing w:line="276" w:lineRule="auto"/>
              <w:jc w:val="center"/>
              <w:rPr>
                <w:rFonts w:cstheme="minorHAnsi"/>
              </w:rPr>
            </w:pPr>
          </w:p>
        </w:tc>
        <w:tc>
          <w:tcPr>
            <w:tcW w:w="569" w:type="dxa"/>
            <w:vAlign w:val="center"/>
          </w:tcPr>
          <w:p w14:paraId="10089E25" w14:textId="77777777" w:rsidR="00864F84" w:rsidRPr="00A26C26" w:rsidRDefault="00864F84" w:rsidP="00A26C26">
            <w:pPr>
              <w:spacing w:line="276" w:lineRule="auto"/>
              <w:jc w:val="center"/>
              <w:rPr>
                <w:rFonts w:cstheme="minorHAnsi"/>
              </w:rPr>
            </w:pPr>
          </w:p>
        </w:tc>
        <w:tc>
          <w:tcPr>
            <w:tcW w:w="566" w:type="dxa"/>
            <w:vAlign w:val="center"/>
          </w:tcPr>
          <w:p w14:paraId="35A79C27" w14:textId="77777777" w:rsidR="00864F84" w:rsidRPr="00A26C26" w:rsidRDefault="00864F84" w:rsidP="00A26C26">
            <w:pPr>
              <w:spacing w:line="276" w:lineRule="auto"/>
              <w:jc w:val="center"/>
              <w:rPr>
                <w:rFonts w:cstheme="minorHAnsi"/>
              </w:rPr>
            </w:pPr>
            <w:r w:rsidRPr="00A26C26">
              <w:rPr>
                <w:rFonts w:cstheme="minorHAnsi"/>
              </w:rPr>
              <w:t>x</w:t>
            </w:r>
          </w:p>
        </w:tc>
      </w:tr>
      <w:tr w:rsidR="00864F84" w:rsidRPr="00A26C26" w14:paraId="44CD7791" w14:textId="77777777" w:rsidTr="00864F84">
        <w:tc>
          <w:tcPr>
            <w:tcW w:w="6374" w:type="dxa"/>
          </w:tcPr>
          <w:p w14:paraId="4A3D41A0" w14:textId="044D94CE" w:rsidR="00864F84" w:rsidRPr="00A26C26" w:rsidRDefault="00864F84" w:rsidP="00A26C26">
            <w:pPr>
              <w:spacing w:line="276" w:lineRule="auto"/>
              <w:rPr>
                <w:rFonts w:cstheme="minorHAnsi"/>
                <w:i/>
                <w:iCs/>
              </w:rPr>
            </w:pPr>
            <w:r w:rsidRPr="00A26C26">
              <w:rPr>
                <w:rFonts w:cstheme="minorHAnsi"/>
                <w:i/>
                <w:iCs/>
              </w:rPr>
              <w:t>wykorzystując</w:t>
            </w:r>
            <w:r w:rsidR="00F16251">
              <w:rPr>
                <w:rFonts w:cstheme="minorHAnsi"/>
                <w:i/>
                <w:iCs/>
              </w:rPr>
              <w:t>ych</w:t>
            </w:r>
            <w:r>
              <w:rPr>
                <w:rFonts w:cstheme="minorHAnsi"/>
                <w:i/>
                <w:iCs/>
              </w:rPr>
              <w:t xml:space="preserve"> </w:t>
            </w:r>
            <w:r w:rsidRPr="00A26C26">
              <w:rPr>
                <w:rFonts w:cstheme="minorHAnsi"/>
                <w:i/>
                <w:iCs/>
              </w:rPr>
              <w:t>lokalny</w:t>
            </w:r>
            <w:r>
              <w:rPr>
                <w:rFonts w:cstheme="minorHAnsi"/>
                <w:i/>
                <w:iCs/>
              </w:rPr>
              <w:t xml:space="preserve"> </w:t>
            </w:r>
            <w:r w:rsidRPr="00A26C26">
              <w:rPr>
                <w:rFonts w:cstheme="minorHAnsi"/>
                <w:i/>
                <w:iCs/>
              </w:rPr>
              <w:t>potencjał</w:t>
            </w:r>
            <w:r>
              <w:rPr>
                <w:rFonts w:cstheme="minorHAnsi"/>
                <w:i/>
                <w:iCs/>
              </w:rPr>
              <w:t xml:space="preserve"> </w:t>
            </w:r>
            <w:r w:rsidRPr="00A26C26">
              <w:rPr>
                <w:rFonts w:cstheme="minorHAnsi"/>
                <w:i/>
                <w:iCs/>
              </w:rPr>
              <w:t>(najlepiej</w:t>
            </w:r>
            <w:r>
              <w:rPr>
                <w:rFonts w:cstheme="minorHAnsi"/>
                <w:i/>
                <w:iCs/>
              </w:rPr>
              <w:t xml:space="preserve"> </w:t>
            </w:r>
            <w:r w:rsidRPr="00A26C26">
              <w:rPr>
                <w:rFonts w:cstheme="minorHAnsi"/>
                <w:i/>
                <w:iCs/>
              </w:rPr>
              <w:t>endemiczny)</w:t>
            </w:r>
            <w:r>
              <w:rPr>
                <w:rFonts w:cstheme="minorHAnsi"/>
                <w:i/>
                <w:iCs/>
              </w:rPr>
              <w:t xml:space="preserve"> </w:t>
            </w:r>
            <w:r w:rsidRPr="00A26C26">
              <w:rPr>
                <w:rFonts w:cstheme="minorHAnsi"/>
                <w:i/>
                <w:iCs/>
              </w:rPr>
              <w:t>tj.</w:t>
            </w:r>
            <w:r>
              <w:rPr>
                <w:rFonts w:cstheme="minorHAnsi"/>
                <w:i/>
                <w:iCs/>
              </w:rPr>
              <w:t xml:space="preserve"> </w:t>
            </w:r>
            <w:r w:rsidRPr="00A26C26">
              <w:rPr>
                <w:rFonts w:cstheme="minorHAnsi"/>
                <w:i/>
                <w:iCs/>
              </w:rPr>
              <w:t>np.</w:t>
            </w:r>
            <w:r>
              <w:rPr>
                <w:rFonts w:cstheme="minorHAnsi"/>
                <w:i/>
                <w:iCs/>
              </w:rPr>
              <w:t xml:space="preserve"> </w:t>
            </w:r>
            <w:r w:rsidRPr="00A26C26">
              <w:rPr>
                <w:rFonts w:cstheme="minorHAnsi"/>
                <w:i/>
                <w:iCs/>
              </w:rPr>
              <w:t>zasoby</w:t>
            </w:r>
            <w:r>
              <w:rPr>
                <w:rFonts w:cstheme="minorHAnsi"/>
                <w:i/>
                <w:iCs/>
              </w:rPr>
              <w:t xml:space="preserve"> </w:t>
            </w:r>
            <w:r w:rsidRPr="00A26C26">
              <w:rPr>
                <w:rFonts w:cstheme="minorHAnsi"/>
                <w:i/>
                <w:iCs/>
              </w:rPr>
              <w:t>naturalne,</w:t>
            </w:r>
            <w:r>
              <w:rPr>
                <w:rFonts w:cstheme="minorHAnsi"/>
                <w:i/>
                <w:iCs/>
              </w:rPr>
              <w:t xml:space="preserve"> </w:t>
            </w:r>
            <w:r w:rsidRPr="00A26C26">
              <w:rPr>
                <w:rFonts w:cstheme="minorHAnsi"/>
                <w:i/>
                <w:iCs/>
              </w:rPr>
              <w:t>w</w:t>
            </w:r>
            <w:r>
              <w:rPr>
                <w:rFonts w:cstheme="minorHAnsi"/>
                <w:i/>
                <w:iCs/>
              </w:rPr>
              <w:t xml:space="preserve"> </w:t>
            </w:r>
            <w:r w:rsidRPr="00A26C26">
              <w:rPr>
                <w:rFonts w:cstheme="minorHAnsi"/>
                <w:i/>
                <w:iCs/>
              </w:rPr>
              <w:t>tym</w:t>
            </w:r>
            <w:r>
              <w:rPr>
                <w:rFonts w:cstheme="minorHAnsi"/>
                <w:i/>
                <w:iCs/>
              </w:rPr>
              <w:t xml:space="preserve"> </w:t>
            </w:r>
            <w:r w:rsidRPr="00A26C26">
              <w:rPr>
                <w:rFonts w:cstheme="minorHAnsi"/>
                <w:i/>
                <w:iCs/>
              </w:rPr>
              <w:t>przyrodnicze,</w:t>
            </w:r>
            <w:r>
              <w:rPr>
                <w:rFonts w:cstheme="minorHAnsi"/>
                <w:i/>
                <w:iCs/>
              </w:rPr>
              <w:t xml:space="preserve"> </w:t>
            </w:r>
            <w:r w:rsidRPr="00A26C26">
              <w:rPr>
                <w:rFonts w:cstheme="minorHAnsi"/>
                <w:i/>
                <w:iCs/>
              </w:rPr>
              <w:t>lokalizację,</w:t>
            </w:r>
            <w:r>
              <w:rPr>
                <w:rFonts w:cstheme="minorHAnsi"/>
                <w:i/>
                <w:iCs/>
              </w:rPr>
              <w:t xml:space="preserve"> </w:t>
            </w:r>
            <w:r w:rsidRPr="00A26C26">
              <w:rPr>
                <w:rFonts w:cstheme="minorHAnsi"/>
                <w:i/>
                <w:iCs/>
              </w:rPr>
              <w:t>dziedzictwo</w:t>
            </w:r>
            <w:r>
              <w:rPr>
                <w:rFonts w:cstheme="minorHAnsi"/>
                <w:i/>
                <w:iCs/>
              </w:rPr>
              <w:t xml:space="preserve"> </w:t>
            </w:r>
            <w:r w:rsidRPr="00A26C26">
              <w:rPr>
                <w:rFonts w:cstheme="minorHAnsi"/>
                <w:i/>
                <w:iCs/>
              </w:rPr>
              <w:t>lokalne,</w:t>
            </w:r>
            <w:r>
              <w:rPr>
                <w:rFonts w:cstheme="minorHAnsi"/>
                <w:i/>
                <w:iCs/>
              </w:rPr>
              <w:t xml:space="preserve"> </w:t>
            </w:r>
            <w:r w:rsidRPr="00A26C26">
              <w:rPr>
                <w:rFonts w:cstheme="minorHAnsi"/>
                <w:i/>
                <w:iCs/>
              </w:rPr>
              <w:t>w</w:t>
            </w:r>
            <w:r>
              <w:rPr>
                <w:rFonts w:cstheme="minorHAnsi"/>
                <w:i/>
                <w:iCs/>
              </w:rPr>
              <w:t xml:space="preserve"> </w:t>
            </w:r>
            <w:r w:rsidRPr="00A26C26">
              <w:rPr>
                <w:rFonts w:cstheme="minorHAnsi"/>
                <w:i/>
                <w:iCs/>
              </w:rPr>
              <w:t>tym</w:t>
            </w:r>
            <w:r>
              <w:rPr>
                <w:rFonts w:cstheme="minorHAnsi"/>
                <w:i/>
                <w:iCs/>
              </w:rPr>
              <w:t xml:space="preserve"> </w:t>
            </w:r>
            <w:r w:rsidRPr="00A26C26">
              <w:rPr>
                <w:rFonts w:cstheme="minorHAnsi"/>
                <w:i/>
                <w:iCs/>
              </w:rPr>
              <w:t>kulinarne,</w:t>
            </w:r>
            <w:r>
              <w:rPr>
                <w:rFonts w:cstheme="minorHAnsi"/>
                <w:i/>
                <w:iCs/>
              </w:rPr>
              <w:t xml:space="preserve"> </w:t>
            </w:r>
            <w:r w:rsidRPr="00A26C26">
              <w:rPr>
                <w:rFonts w:cstheme="minorHAnsi"/>
                <w:i/>
                <w:iCs/>
              </w:rPr>
              <w:t>popyt</w:t>
            </w:r>
            <w:r>
              <w:rPr>
                <w:rFonts w:cstheme="minorHAnsi"/>
                <w:i/>
                <w:iCs/>
              </w:rPr>
              <w:t xml:space="preserve"> </w:t>
            </w:r>
            <w:r w:rsidRPr="00A26C26">
              <w:rPr>
                <w:rFonts w:cstheme="minorHAnsi"/>
                <w:i/>
                <w:iCs/>
              </w:rPr>
              <w:t>na</w:t>
            </w:r>
            <w:r>
              <w:rPr>
                <w:rFonts w:cstheme="minorHAnsi"/>
                <w:i/>
                <w:iCs/>
              </w:rPr>
              <w:t xml:space="preserve"> </w:t>
            </w:r>
            <w:r w:rsidRPr="00A26C26">
              <w:rPr>
                <w:rFonts w:cstheme="minorHAnsi"/>
                <w:i/>
                <w:iCs/>
              </w:rPr>
              <w:t>szczególnego</w:t>
            </w:r>
            <w:r>
              <w:rPr>
                <w:rFonts w:cstheme="minorHAnsi"/>
                <w:i/>
                <w:iCs/>
              </w:rPr>
              <w:t xml:space="preserve"> </w:t>
            </w:r>
            <w:r w:rsidRPr="00A26C26">
              <w:rPr>
                <w:rFonts w:cstheme="minorHAnsi"/>
                <w:i/>
                <w:iCs/>
              </w:rPr>
              <w:t>rodzaju</w:t>
            </w:r>
            <w:r>
              <w:rPr>
                <w:rFonts w:cstheme="minorHAnsi"/>
                <w:i/>
                <w:iCs/>
              </w:rPr>
              <w:t xml:space="preserve"> </w:t>
            </w:r>
            <w:r w:rsidRPr="00A26C26">
              <w:rPr>
                <w:rFonts w:cstheme="minorHAnsi"/>
                <w:i/>
                <w:iCs/>
              </w:rPr>
              <w:t>usługi</w:t>
            </w:r>
            <w:r>
              <w:rPr>
                <w:rFonts w:cstheme="minorHAnsi"/>
                <w:i/>
                <w:iCs/>
              </w:rPr>
              <w:t xml:space="preserve"> </w:t>
            </w:r>
            <w:r w:rsidRPr="00A26C26">
              <w:rPr>
                <w:rFonts w:cstheme="minorHAnsi"/>
                <w:i/>
                <w:iCs/>
              </w:rPr>
              <w:t>(np.</w:t>
            </w:r>
            <w:r>
              <w:rPr>
                <w:rFonts w:cstheme="minorHAnsi"/>
                <w:i/>
                <w:iCs/>
              </w:rPr>
              <w:t xml:space="preserve"> </w:t>
            </w:r>
            <w:r w:rsidRPr="00A26C26">
              <w:rPr>
                <w:rFonts w:cstheme="minorHAnsi"/>
                <w:i/>
                <w:iCs/>
              </w:rPr>
              <w:t>srebrna</w:t>
            </w:r>
            <w:r>
              <w:rPr>
                <w:rFonts w:cstheme="minorHAnsi"/>
                <w:i/>
                <w:iCs/>
              </w:rPr>
              <w:t xml:space="preserve"> </w:t>
            </w:r>
            <w:r w:rsidRPr="00A26C26">
              <w:rPr>
                <w:rFonts w:cstheme="minorHAnsi"/>
                <w:i/>
                <w:iCs/>
              </w:rPr>
              <w:t>gospodarka</w:t>
            </w:r>
            <w:r>
              <w:rPr>
                <w:rFonts w:cstheme="minorHAnsi"/>
                <w:i/>
                <w:iCs/>
              </w:rPr>
              <w:t xml:space="preserve"> </w:t>
            </w:r>
            <w:r w:rsidRPr="00A26C26">
              <w:rPr>
                <w:rFonts w:cstheme="minorHAnsi"/>
                <w:i/>
                <w:iCs/>
              </w:rPr>
              <w:t>lub</w:t>
            </w:r>
            <w:r>
              <w:rPr>
                <w:rFonts w:cstheme="minorHAnsi"/>
                <w:i/>
                <w:iCs/>
              </w:rPr>
              <w:t xml:space="preserve"> </w:t>
            </w:r>
            <w:r w:rsidRPr="00A26C26">
              <w:rPr>
                <w:rFonts w:cstheme="minorHAnsi"/>
                <w:i/>
                <w:iCs/>
              </w:rPr>
              <w:t>usługi</w:t>
            </w:r>
            <w:r>
              <w:rPr>
                <w:rFonts w:cstheme="minorHAnsi"/>
                <w:i/>
                <w:iCs/>
              </w:rPr>
              <w:t xml:space="preserve"> </w:t>
            </w:r>
            <w:r w:rsidRPr="00A26C26">
              <w:rPr>
                <w:rFonts w:cstheme="minorHAnsi"/>
                <w:i/>
                <w:iCs/>
              </w:rPr>
              <w:t>opiekuńcze</w:t>
            </w:r>
            <w:r>
              <w:rPr>
                <w:rFonts w:cstheme="minorHAnsi"/>
                <w:i/>
                <w:iCs/>
              </w:rPr>
              <w:t xml:space="preserve"> </w:t>
            </w:r>
            <w:r w:rsidRPr="00A26C26">
              <w:rPr>
                <w:rFonts w:cstheme="minorHAnsi"/>
                <w:i/>
                <w:iCs/>
              </w:rPr>
              <w:t>nad</w:t>
            </w:r>
            <w:r>
              <w:rPr>
                <w:rFonts w:cstheme="minorHAnsi"/>
                <w:i/>
                <w:iCs/>
              </w:rPr>
              <w:t xml:space="preserve"> </w:t>
            </w:r>
            <w:r w:rsidRPr="00A26C26">
              <w:rPr>
                <w:rFonts w:cstheme="minorHAnsi"/>
                <w:i/>
                <w:iCs/>
              </w:rPr>
              <w:t>dziećmi</w:t>
            </w:r>
            <w:r>
              <w:rPr>
                <w:rFonts w:cstheme="minorHAnsi"/>
                <w:i/>
                <w:iCs/>
              </w:rPr>
              <w:t xml:space="preserve"> </w:t>
            </w:r>
            <w:r w:rsidRPr="00A26C26">
              <w:rPr>
                <w:rFonts w:cstheme="minorHAnsi"/>
                <w:i/>
                <w:iCs/>
              </w:rPr>
              <w:t>itp.,</w:t>
            </w:r>
          </w:p>
        </w:tc>
        <w:tc>
          <w:tcPr>
            <w:tcW w:w="501" w:type="dxa"/>
            <w:vAlign w:val="center"/>
          </w:tcPr>
          <w:p w14:paraId="2B0B6906" w14:textId="77777777" w:rsidR="00864F84" w:rsidRPr="00A26C26" w:rsidRDefault="00864F84" w:rsidP="00A26C26">
            <w:pPr>
              <w:spacing w:line="276" w:lineRule="auto"/>
              <w:jc w:val="center"/>
              <w:rPr>
                <w:rFonts w:cstheme="minorHAnsi"/>
              </w:rPr>
            </w:pPr>
            <w:r w:rsidRPr="00A26C26">
              <w:rPr>
                <w:rFonts w:cstheme="minorHAnsi"/>
              </w:rPr>
              <w:t>x</w:t>
            </w:r>
          </w:p>
        </w:tc>
        <w:tc>
          <w:tcPr>
            <w:tcW w:w="495" w:type="dxa"/>
            <w:vAlign w:val="center"/>
          </w:tcPr>
          <w:p w14:paraId="6FC8D31C" w14:textId="77777777" w:rsidR="00864F84" w:rsidRPr="00A26C26" w:rsidRDefault="00864F84" w:rsidP="00A26C26">
            <w:pPr>
              <w:spacing w:line="276" w:lineRule="auto"/>
              <w:jc w:val="center"/>
              <w:rPr>
                <w:rFonts w:cstheme="minorHAnsi"/>
              </w:rPr>
            </w:pPr>
            <w:r w:rsidRPr="00A26C26">
              <w:rPr>
                <w:rFonts w:cstheme="minorHAnsi"/>
              </w:rPr>
              <w:t>x</w:t>
            </w:r>
          </w:p>
        </w:tc>
        <w:tc>
          <w:tcPr>
            <w:tcW w:w="566" w:type="dxa"/>
            <w:vAlign w:val="center"/>
          </w:tcPr>
          <w:p w14:paraId="0657C167" w14:textId="77777777" w:rsidR="00864F84" w:rsidRPr="00A26C26" w:rsidRDefault="00864F84" w:rsidP="00A26C26">
            <w:pPr>
              <w:spacing w:line="276" w:lineRule="auto"/>
              <w:jc w:val="center"/>
              <w:rPr>
                <w:rFonts w:cstheme="minorHAnsi"/>
              </w:rPr>
            </w:pPr>
            <w:r w:rsidRPr="00A26C26">
              <w:rPr>
                <w:rFonts w:cstheme="minorHAnsi"/>
              </w:rPr>
              <w:t>x</w:t>
            </w:r>
          </w:p>
        </w:tc>
        <w:tc>
          <w:tcPr>
            <w:tcW w:w="566" w:type="dxa"/>
            <w:vAlign w:val="center"/>
          </w:tcPr>
          <w:p w14:paraId="6FA33301" w14:textId="77777777" w:rsidR="00864F84" w:rsidRPr="00A26C26" w:rsidRDefault="00864F84" w:rsidP="00A26C26">
            <w:pPr>
              <w:spacing w:line="276" w:lineRule="auto"/>
              <w:jc w:val="center"/>
              <w:rPr>
                <w:rFonts w:cstheme="minorHAnsi"/>
              </w:rPr>
            </w:pPr>
            <w:r w:rsidRPr="00A26C26">
              <w:rPr>
                <w:rFonts w:cstheme="minorHAnsi"/>
              </w:rPr>
              <w:t>x</w:t>
            </w:r>
          </w:p>
        </w:tc>
        <w:tc>
          <w:tcPr>
            <w:tcW w:w="564" w:type="dxa"/>
            <w:vAlign w:val="center"/>
          </w:tcPr>
          <w:p w14:paraId="62E89C1B" w14:textId="77777777" w:rsidR="00864F84" w:rsidRPr="00A26C26" w:rsidRDefault="00864F84" w:rsidP="00A26C26">
            <w:pPr>
              <w:spacing w:line="276" w:lineRule="auto"/>
              <w:jc w:val="center"/>
              <w:rPr>
                <w:rFonts w:cstheme="minorHAnsi"/>
              </w:rPr>
            </w:pPr>
            <w:r w:rsidRPr="00A26C26">
              <w:rPr>
                <w:rFonts w:cstheme="minorHAnsi"/>
              </w:rPr>
              <w:t>x</w:t>
            </w:r>
          </w:p>
        </w:tc>
        <w:tc>
          <w:tcPr>
            <w:tcW w:w="569" w:type="dxa"/>
            <w:vAlign w:val="center"/>
          </w:tcPr>
          <w:p w14:paraId="10B9A3A2" w14:textId="77777777" w:rsidR="00864F84" w:rsidRPr="00A26C26" w:rsidRDefault="00864F84" w:rsidP="00A26C26">
            <w:pPr>
              <w:spacing w:line="276" w:lineRule="auto"/>
              <w:jc w:val="center"/>
              <w:rPr>
                <w:rFonts w:cstheme="minorHAnsi"/>
              </w:rPr>
            </w:pPr>
            <w:r w:rsidRPr="00A26C26">
              <w:rPr>
                <w:rFonts w:cstheme="minorHAnsi"/>
              </w:rPr>
              <w:t>x</w:t>
            </w:r>
          </w:p>
        </w:tc>
        <w:tc>
          <w:tcPr>
            <w:tcW w:w="566" w:type="dxa"/>
            <w:vAlign w:val="center"/>
          </w:tcPr>
          <w:p w14:paraId="3CC73FF0" w14:textId="77777777" w:rsidR="00864F84" w:rsidRPr="00A26C26" w:rsidRDefault="00864F84" w:rsidP="00A26C26">
            <w:pPr>
              <w:spacing w:line="276" w:lineRule="auto"/>
              <w:jc w:val="center"/>
              <w:rPr>
                <w:rFonts w:cstheme="minorHAnsi"/>
              </w:rPr>
            </w:pPr>
            <w:r w:rsidRPr="00A26C26">
              <w:rPr>
                <w:rFonts w:cstheme="minorHAnsi"/>
              </w:rPr>
              <w:t>x</w:t>
            </w:r>
          </w:p>
        </w:tc>
      </w:tr>
      <w:tr w:rsidR="00864F84" w:rsidRPr="00A26C26" w14:paraId="5878842C" w14:textId="77777777" w:rsidTr="00864F84">
        <w:tc>
          <w:tcPr>
            <w:tcW w:w="6374" w:type="dxa"/>
          </w:tcPr>
          <w:p w14:paraId="1970DD4E" w14:textId="64217E45" w:rsidR="00864F84" w:rsidRPr="00A26C26" w:rsidRDefault="00864F84" w:rsidP="00A26C26">
            <w:pPr>
              <w:spacing w:line="276" w:lineRule="auto"/>
              <w:rPr>
                <w:rFonts w:cstheme="minorHAnsi"/>
                <w:i/>
                <w:iCs/>
              </w:rPr>
            </w:pPr>
            <w:r w:rsidRPr="00A26C26">
              <w:rPr>
                <w:rFonts w:cstheme="minorHAnsi"/>
                <w:i/>
                <w:iCs/>
              </w:rPr>
              <w:t>zapewniających</w:t>
            </w:r>
            <w:r>
              <w:rPr>
                <w:rFonts w:cstheme="minorHAnsi"/>
                <w:i/>
                <w:iCs/>
              </w:rPr>
              <w:t xml:space="preserve"> </w:t>
            </w:r>
            <w:r w:rsidRPr="00A26C26">
              <w:rPr>
                <w:rFonts w:cstheme="minorHAnsi"/>
                <w:i/>
                <w:iCs/>
              </w:rPr>
              <w:t>utworzył</w:t>
            </w:r>
            <w:r>
              <w:rPr>
                <w:rFonts w:cstheme="minorHAnsi"/>
                <w:i/>
                <w:iCs/>
              </w:rPr>
              <w:t xml:space="preserve"> </w:t>
            </w:r>
            <w:r w:rsidRPr="00A26C26">
              <w:rPr>
                <w:rFonts w:cstheme="minorHAnsi"/>
                <w:i/>
                <w:iCs/>
              </w:rPr>
              <w:t>deklarowanych</w:t>
            </w:r>
            <w:r>
              <w:rPr>
                <w:rFonts w:cstheme="minorHAnsi"/>
                <w:i/>
                <w:iCs/>
              </w:rPr>
              <w:t xml:space="preserve"> </w:t>
            </w:r>
            <w:r w:rsidRPr="00A26C26">
              <w:rPr>
                <w:rFonts w:cstheme="minorHAnsi"/>
                <w:i/>
                <w:iCs/>
              </w:rPr>
              <w:t>nowych</w:t>
            </w:r>
            <w:r>
              <w:rPr>
                <w:rFonts w:cstheme="minorHAnsi"/>
                <w:i/>
                <w:iCs/>
              </w:rPr>
              <w:t xml:space="preserve"> </w:t>
            </w:r>
            <w:r w:rsidRPr="00A26C26">
              <w:rPr>
                <w:rFonts w:cstheme="minorHAnsi"/>
                <w:i/>
                <w:iCs/>
              </w:rPr>
              <w:t>miejsc</w:t>
            </w:r>
            <w:r>
              <w:rPr>
                <w:rFonts w:cstheme="minorHAnsi"/>
                <w:i/>
                <w:iCs/>
              </w:rPr>
              <w:t xml:space="preserve"> </w:t>
            </w:r>
            <w:r w:rsidRPr="00A26C26">
              <w:rPr>
                <w:rFonts w:cstheme="minorHAnsi"/>
                <w:i/>
                <w:iCs/>
              </w:rPr>
              <w:t>pracy</w:t>
            </w:r>
            <w:r>
              <w:rPr>
                <w:rFonts w:cstheme="minorHAnsi"/>
                <w:i/>
                <w:iCs/>
              </w:rPr>
              <w:t xml:space="preserve"> </w:t>
            </w:r>
            <w:r w:rsidRPr="00A26C26">
              <w:rPr>
                <w:rFonts w:cstheme="minorHAnsi"/>
                <w:i/>
                <w:iCs/>
              </w:rPr>
              <w:t>oraz</w:t>
            </w:r>
            <w:r>
              <w:rPr>
                <w:rFonts w:cstheme="minorHAnsi"/>
                <w:i/>
                <w:iCs/>
              </w:rPr>
              <w:t xml:space="preserve"> </w:t>
            </w:r>
            <w:r w:rsidRPr="00A26C26">
              <w:rPr>
                <w:rFonts w:cstheme="minorHAnsi"/>
                <w:i/>
                <w:iCs/>
              </w:rPr>
              <w:t>zatrudnianie</w:t>
            </w:r>
            <w:r>
              <w:rPr>
                <w:rFonts w:cstheme="minorHAnsi"/>
                <w:i/>
                <w:iCs/>
              </w:rPr>
              <w:t xml:space="preserve"> </w:t>
            </w:r>
            <w:r w:rsidRPr="00A26C26">
              <w:rPr>
                <w:rFonts w:cstheme="minorHAnsi"/>
                <w:i/>
                <w:iCs/>
              </w:rPr>
              <w:t>na</w:t>
            </w:r>
            <w:r>
              <w:rPr>
                <w:rFonts w:cstheme="minorHAnsi"/>
                <w:i/>
                <w:iCs/>
              </w:rPr>
              <w:t xml:space="preserve"> </w:t>
            </w:r>
            <w:r w:rsidRPr="00A26C26">
              <w:rPr>
                <w:rFonts w:cstheme="minorHAnsi"/>
                <w:i/>
                <w:iCs/>
              </w:rPr>
              <w:t>nich</w:t>
            </w:r>
            <w:r>
              <w:rPr>
                <w:rFonts w:cstheme="minorHAnsi"/>
                <w:i/>
                <w:iCs/>
              </w:rPr>
              <w:t xml:space="preserve"> </w:t>
            </w:r>
            <w:r w:rsidRPr="00A26C26">
              <w:rPr>
                <w:rFonts w:cstheme="minorHAnsi"/>
                <w:i/>
                <w:iCs/>
              </w:rPr>
              <w:t>pracowników,</w:t>
            </w:r>
            <w:r>
              <w:rPr>
                <w:rFonts w:cstheme="minorHAnsi"/>
                <w:i/>
                <w:iCs/>
              </w:rPr>
              <w:t xml:space="preserve"> </w:t>
            </w:r>
            <w:r w:rsidRPr="00A26C26">
              <w:rPr>
                <w:rFonts w:cstheme="minorHAnsi"/>
                <w:i/>
                <w:iCs/>
              </w:rPr>
              <w:t>jeżeli</w:t>
            </w:r>
            <w:r>
              <w:rPr>
                <w:rFonts w:cstheme="minorHAnsi"/>
                <w:i/>
                <w:iCs/>
              </w:rPr>
              <w:t xml:space="preserve"> </w:t>
            </w:r>
            <w:r w:rsidRPr="00A26C26">
              <w:rPr>
                <w:rFonts w:cstheme="minorHAnsi"/>
                <w:i/>
                <w:iCs/>
              </w:rPr>
              <w:t>taką</w:t>
            </w:r>
            <w:r>
              <w:rPr>
                <w:rFonts w:cstheme="minorHAnsi"/>
                <w:i/>
                <w:iCs/>
              </w:rPr>
              <w:t xml:space="preserve"> </w:t>
            </w:r>
            <w:r w:rsidRPr="00A26C26">
              <w:rPr>
                <w:rFonts w:cstheme="minorHAnsi"/>
                <w:i/>
                <w:iCs/>
              </w:rPr>
              <w:t>deklarację</w:t>
            </w:r>
            <w:r>
              <w:rPr>
                <w:rFonts w:cstheme="minorHAnsi"/>
                <w:i/>
                <w:iCs/>
              </w:rPr>
              <w:t xml:space="preserve"> </w:t>
            </w:r>
            <w:r w:rsidRPr="00A26C26">
              <w:rPr>
                <w:rFonts w:cstheme="minorHAnsi"/>
                <w:i/>
                <w:iCs/>
              </w:rPr>
              <w:t>złożył</w:t>
            </w:r>
            <w:r>
              <w:rPr>
                <w:rFonts w:cstheme="minorHAnsi"/>
                <w:i/>
                <w:iCs/>
              </w:rPr>
              <w:t xml:space="preserve"> </w:t>
            </w:r>
            <w:r w:rsidRPr="00A26C26">
              <w:rPr>
                <w:rFonts w:cstheme="minorHAnsi"/>
                <w:i/>
                <w:iCs/>
              </w:rPr>
              <w:t>wnioskodawca</w:t>
            </w:r>
            <w:r>
              <w:rPr>
                <w:rFonts w:cstheme="minorHAnsi"/>
                <w:i/>
                <w:iCs/>
              </w:rPr>
              <w:t xml:space="preserve"> </w:t>
            </w:r>
            <w:r w:rsidRPr="00A26C26">
              <w:rPr>
                <w:rFonts w:cstheme="minorHAnsi"/>
                <w:i/>
                <w:iCs/>
              </w:rPr>
              <w:t>w</w:t>
            </w:r>
            <w:r>
              <w:rPr>
                <w:rFonts w:cstheme="minorHAnsi"/>
                <w:i/>
                <w:iCs/>
              </w:rPr>
              <w:t xml:space="preserve"> </w:t>
            </w:r>
            <w:r w:rsidRPr="00A26C26">
              <w:rPr>
                <w:rFonts w:cstheme="minorHAnsi"/>
                <w:i/>
                <w:iCs/>
              </w:rPr>
              <w:t>celu</w:t>
            </w:r>
            <w:r>
              <w:rPr>
                <w:rFonts w:cstheme="minorHAnsi"/>
                <w:i/>
                <w:iCs/>
              </w:rPr>
              <w:t xml:space="preserve"> </w:t>
            </w:r>
            <w:r w:rsidRPr="00A26C26">
              <w:rPr>
                <w:rFonts w:cstheme="minorHAnsi"/>
                <w:i/>
                <w:iCs/>
              </w:rPr>
              <w:t>uzyskania</w:t>
            </w:r>
            <w:r>
              <w:rPr>
                <w:rFonts w:cstheme="minorHAnsi"/>
                <w:i/>
                <w:iCs/>
              </w:rPr>
              <w:t xml:space="preserve"> </w:t>
            </w:r>
            <w:r w:rsidRPr="00A26C26">
              <w:rPr>
                <w:rFonts w:cstheme="minorHAnsi"/>
                <w:i/>
                <w:iCs/>
              </w:rPr>
              <w:t>dodatkowych</w:t>
            </w:r>
            <w:r>
              <w:rPr>
                <w:rFonts w:cstheme="minorHAnsi"/>
                <w:i/>
                <w:iCs/>
              </w:rPr>
              <w:t xml:space="preserve"> </w:t>
            </w:r>
            <w:r w:rsidRPr="00A26C26">
              <w:rPr>
                <w:rFonts w:cstheme="minorHAnsi"/>
                <w:i/>
                <w:iCs/>
              </w:rPr>
              <w:t>punktów</w:t>
            </w:r>
            <w:r>
              <w:rPr>
                <w:rFonts w:cstheme="minorHAnsi"/>
                <w:i/>
                <w:iCs/>
              </w:rPr>
              <w:t xml:space="preserve"> </w:t>
            </w:r>
            <w:r w:rsidRPr="00A26C26">
              <w:rPr>
                <w:rFonts w:cstheme="minorHAnsi"/>
                <w:i/>
                <w:iCs/>
              </w:rPr>
              <w:t>za</w:t>
            </w:r>
            <w:r>
              <w:rPr>
                <w:rFonts w:cstheme="minorHAnsi"/>
                <w:i/>
                <w:iCs/>
              </w:rPr>
              <w:t xml:space="preserve"> </w:t>
            </w:r>
            <w:r w:rsidRPr="00A26C26">
              <w:rPr>
                <w:rFonts w:cstheme="minorHAnsi"/>
                <w:i/>
                <w:iCs/>
              </w:rPr>
              <w:t>spełnienie</w:t>
            </w:r>
            <w:r>
              <w:rPr>
                <w:rFonts w:cstheme="minorHAnsi"/>
                <w:i/>
                <w:iCs/>
              </w:rPr>
              <w:t xml:space="preserve"> </w:t>
            </w:r>
            <w:r w:rsidRPr="00A26C26">
              <w:rPr>
                <w:rFonts w:cstheme="minorHAnsi"/>
                <w:i/>
                <w:iCs/>
              </w:rPr>
              <w:t>kryteriów</w:t>
            </w:r>
            <w:r>
              <w:rPr>
                <w:rFonts w:cstheme="minorHAnsi"/>
                <w:i/>
                <w:iCs/>
              </w:rPr>
              <w:t xml:space="preserve"> </w:t>
            </w:r>
            <w:r w:rsidRPr="00A26C26">
              <w:rPr>
                <w:rFonts w:cstheme="minorHAnsi"/>
                <w:i/>
                <w:iCs/>
              </w:rPr>
              <w:t>wyboru</w:t>
            </w:r>
          </w:p>
        </w:tc>
        <w:tc>
          <w:tcPr>
            <w:tcW w:w="501" w:type="dxa"/>
            <w:vAlign w:val="center"/>
          </w:tcPr>
          <w:p w14:paraId="19E6B4D5" w14:textId="77777777" w:rsidR="00864F84" w:rsidRPr="00A26C26" w:rsidRDefault="00864F84" w:rsidP="00A26C26">
            <w:pPr>
              <w:spacing w:line="276" w:lineRule="auto"/>
              <w:jc w:val="center"/>
              <w:rPr>
                <w:rFonts w:cstheme="minorHAnsi"/>
              </w:rPr>
            </w:pPr>
          </w:p>
        </w:tc>
        <w:tc>
          <w:tcPr>
            <w:tcW w:w="495" w:type="dxa"/>
            <w:vAlign w:val="center"/>
          </w:tcPr>
          <w:p w14:paraId="42B40B66" w14:textId="77777777" w:rsidR="00864F84" w:rsidRPr="00A26C26" w:rsidRDefault="00864F84" w:rsidP="00A26C26">
            <w:pPr>
              <w:spacing w:line="276" w:lineRule="auto"/>
              <w:jc w:val="center"/>
              <w:rPr>
                <w:rFonts w:cstheme="minorHAnsi"/>
              </w:rPr>
            </w:pPr>
          </w:p>
        </w:tc>
        <w:tc>
          <w:tcPr>
            <w:tcW w:w="566" w:type="dxa"/>
            <w:vAlign w:val="center"/>
          </w:tcPr>
          <w:p w14:paraId="10260E7E" w14:textId="77777777" w:rsidR="00864F84" w:rsidRPr="00A26C26" w:rsidRDefault="00864F84" w:rsidP="00A26C26">
            <w:pPr>
              <w:spacing w:line="276" w:lineRule="auto"/>
              <w:jc w:val="center"/>
              <w:rPr>
                <w:rFonts w:cstheme="minorHAnsi"/>
              </w:rPr>
            </w:pPr>
          </w:p>
        </w:tc>
        <w:tc>
          <w:tcPr>
            <w:tcW w:w="566" w:type="dxa"/>
            <w:vAlign w:val="center"/>
          </w:tcPr>
          <w:p w14:paraId="1F06A15C" w14:textId="77777777" w:rsidR="00864F84" w:rsidRPr="00A26C26" w:rsidRDefault="00864F84" w:rsidP="00A26C26">
            <w:pPr>
              <w:spacing w:line="276" w:lineRule="auto"/>
              <w:jc w:val="center"/>
              <w:rPr>
                <w:rFonts w:cstheme="minorHAnsi"/>
              </w:rPr>
            </w:pPr>
          </w:p>
        </w:tc>
        <w:tc>
          <w:tcPr>
            <w:tcW w:w="564" w:type="dxa"/>
            <w:vAlign w:val="center"/>
          </w:tcPr>
          <w:p w14:paraId="5C6918FE" w14:textId="77777777" w:rsidR="00864F84" w:rsidRPr="00A26C26" w:rsidRDefault="00864F84" w:rsidP="00A26C26">
            <w:pPr>
              <w:spacing w:line="276" w:lineRule="auto"/>
              <w:jc w:val="center"/>
              <w:rPr>
                <w:rFonts w:cstheme="minorHAnsi"/>
              </w:rPr>
            </w:pPr>
          </w:p>
        </w:tc>
        <w:tc>
          <w:tcPr>
            <w:tcW w:w="569" w:type="dxa"/>
            <w:vAlign w:val="center"/>
          </w:tcPr>
          <w:p w14:paraId="46F0A88E" w14:textId="77777777" w:rsidR="00864F84" w:rsidRPr="00A26C26" w:rsidRDefault="00864F84" w:rsidP="00A26C26">
            <w:pPr>
              <w:spacing w:line="276" w:lineRule="auto"/>
              <w:jc w:val="center"/>
              <w:rPr>
                <w:rFonts w:cstheme="minorHAnsi"/>
              </w:rPr>
            </w:pPr>
          </w:p>
        </w:tc>
        <w:tc>
          <w:tcPr>
            <w:tcW w:w="566" w:type="dxa"/>
            <w:vAlign w:val="center"/>
          </w:tcPr>
          <w:p w14:paraId="197F3916" w14:textId="104CDB31" w:rsidR="00864F84" w:rsidRPr="00A26C26" w:rsidRDefault="00864F84" w:rsidP="00A26C26">
            <w:pPr>
              <w:spacing w:line="276" w:lineRule="auto"/>
              <w:jc w:val="center"/>
              <w:rPr>
                <w:rFonts w:cstheme="minorHAnsi"/>
              </w:rPr>
            </w:pPr>
            <w:r w:rsidRPr="00A26C26">
              <w:rPr>
                <w:rFonts w:cstheme="minorHAnsi"/>
              </w:rPr>
              <w:t>x</w:t>
            </w:r>
          </w:p>
        </w:tc>
      </w:tr>
      <w:tr w:rsidR="00864F84" w:rsidRPr="00A26C26" w14:paraId="29E0AE72" w14:textId="77777777" w:rsidTr="00864F84">
        <w:tc>
          <w:tcPr>
            <w:tcW w:w="6374" w:type="dxa"/>
            <w:shd w:val="clear" w:color="auto" w:fill="D9D9D9" w:themeFill="background1" w:themeFillShade="D9"/>
          </w:tcPr>
          <w:p w14:paraId="06AF3643" w14:textId="2B54812A" w:rsidR="00864F84" w:rsidRPr="00A26C26" w:rsidRDefault="00864F84" w:rsidP="00A26C26">
            <w:pPr>
              <w:spacing w:line="276" w:lineRule="auto"/>
              <w:jc w:val="both"/>
              <w:rPr>
                <w:rFonts w:cstheme="minorHAnsi"/>
              </w:rPr>
            </w:pPr>
            <w:r>
              <w:rPr>
                <w:rFonts w:cstheme="minorHAnsi"/>
              </w:rPr>
              <w:t xml:space="preserve">Kryteria dodatkowe </w:t>
            </w:r>
            <w:r w:rsidR="00915596">
              <w:rPr>
                <w:rFonts w:cstheme="minorHAnsi"/>
              </w:rPr>
              <w:t xml:space="preserve">– wybrane </w:t>
            </w:r>
          </w:p>
        </w:tc>
        <w:tc>
          <w:tcPr>
            <w:tcW w:w="501" w:type="dxa"/>
            <w:shd w:val="clear" w:color="auto" w:fill="D9D9D9" w:themeFill="background1" w:themeFillShade="D9"/>
          </w:tcPr>
          <w:p w14:paraId="0AC169D5" w14:textId="77777777" w:rsidR="00864F84" w:rsidRPr="00A26C26" w:rsidRDefault="00864F84" w:rsidP="00A26C26">
            <w:pPr>
              <w:spacing w:line="276" w:lineRule="auto"/>
              <w:jc w:val="both"/>
              <w:rPr>
                <w:rFonts w:cstheme="minorHAnsi"/>
              </w:rPr>
            </w:pPr>
            <w:r w:rsidRPr="00A26C26">
              <w:rPr>
                <w:rFonts w:cstheme="minorHAnsi"/>
              </w:rPr>
              <w:t>1.1</w:t>
            </w:r>
          </w:p>
        </w:tc>
        <w:tc>
          <w:tcPr>
            <w:tcW w:w="495" w:type="dxa"/>
            <w:shd w:val="clear" w:color="auto" w:fill="D9D9D9" w:themeFill="background1" w:themeFillShade="D9"/>
          </w:tcPr>
          <w:p w14:paraId="3905BA6A" w14:textId="77777777" w:rsidR="00864F84" w:rsidRPr="00A26C26" w:rsidRDefault="00864F84" w:rsidP="00A26C26">
            <w:pPr>
              <w:spacing w:line="276" w:lineRule="auto"/>
              <w:jc w:val="both"/>
              <w:rPr>
                <w:rFonts w:cstheme="minorHAnsi"/>
              </w:rPr>
            </w:pPr>
            <w:r w:rsidRPr="00A26C26">
              <w:rPr>
                <w:rFonts w:cstheme="minorHAnsi"/>
              </w:rPr>
              <w:t>1.2</w:t>
            </w:r>
          </w:p>
        </w:tc>
        <w:tc>
          <w:tcPr>
            <w:tcW w:w="566" w:type="dxa"/>
            <w:shd w:val="clear" w:color="auto" w:fill="D9D9D9" w:themeFill="background1" w:themeFillShade="D9"/>
          </w:tcPr>
          <w:p w14:paraId="2BCD4A87" w14:textId="77777777" w:rsidR="00864F84" w:rsidRPr="00A26C26" w:rsidRDefault="00864F84" w:rsidP="00A26C26">
            <w:pPr>
              <w:spacing w:line="276" w:lineRule="auto"/>
              <w:jc w:val="both"/>
              <w:rPr>
                <w:rFonts w:cstheme="minorHAnsi"/>
              </w:rPr>
            </w:pPr>
            <w:r w:rsidRPr="00A26C26">
              <w:rPr>
                <w:rFonts w:cstheme="minorHAnsi"/>
              </w:rPr>
              <w:t>1.3</w:t>
            </w:r>
          </w:p>
        </w:tc>
        <w:tc>
          <w:tcPr>
            <w:tcW w:w="566" w:type="dxa"/>
            <w:shd w:val="clear" w:color="auto" w:fill="D9D9D9" w:themeFill="background1" w:themeFillShade="D9"/>
          </w:tcPr>
          <w:p w14:paraId="7DB0E499" w14:textId="77777777" w:rsidR="00864F84" w:rsidRPr="00A26C26" w:rsidRDefault="00864F84" w:rsidP="00A26C26">
            <w:pPr>
              <w:spacing w:line="276" w:lineRule="auto"/>
              <w:jc w:val="both"/>
              <w:rPr>
                <w:rFonts w:cstheme="minorHAnsi"/>
              </w:rPr>
            </w:pPr>
            <w:r w:rsidRPr="00A26C26">
              <w:rPr>
                <w:rFonts w:cstheme="minorHAnsi"/>
              </w:rPr>
              <w:t>1.4</w:t>
            </w:r>
          </w:p>
        </w:tc>
        <w:tc>
          <w:tcPr>
            <w:tcW w:w="564" w:type="dxa"/>
            <w:shd w:val="clear" w:color="auto" w:fill="D9D9D9" w:themeFill="background1" w:themeFillShade="D9"/>
          </w:tcPr>
          <w:p w14:paraId="063EAD55" w14:textId="77777777" w:rsidR="00864F84" w:rsidRPr="00A26C26" w:rsidRDefault="00864F84" w:rsidP="00A26C26">
            <w:pPr>
              <w:spacing w:line="276" w:lineRule="auto"/>
              <w:jc w:val="both"/>
              <w:rPr>
                <w:rFonts w:cstheme="minorHAnsi"/>
              </w:rPr>
            </w:pPr>
            <w:r w:rsidRPr="00A26C26">
              <w:rPr>
                <w:rFonts w:cstheme="minorHAnsi"/>
              </w:rPr>
              <w:t>1.5</w:t>
            </w:r>
          </w:p>
        </w:tc>
        <w:tc>
          <w:tcPr>
            <w:tcW w:w="569" w:type="dxa"/>
            <w:shd w:val="clear" w:color="auto" w:fill="D9D9D9" w:themeFill="background1" w:themeFillShade="D9"/>
          </w:tcPr>
          <w:p w14:paraId="2D8C5126" w14:textId="77777777" w:rsidR="00864F84" w:rsidRPr="00A26C26" w:rsidRDefault="00864F84" w:rsidP="00A26C26">
            <w:pPr>
              <w:spacing w:line="276" w:lineRule="auto"/>
              <w:jc w:val="both"/>
              <w:rPr>
                <w:rFonts w:cstheme="minorHAnsi"/>
              </w:rPr>
            </w:pPr>
            <w:r w:rsidRPr="00A26C26">
              <w:rPr>
                <w:rFonts w:cstheme="minorHAnsi"/>
              </w:rPr>
              <w:t>1.6.</w:t>
            </w:r>
          </w:p>
        </w:tc>
        <w:tc>
          <w:tcPr>
            <w:tcW w:w="566" w:type="dxa"/>
            <w:shd w:val="clear" w:color="auto" w:fill="D9D9D9" w:themeFill="background1" w:themeFillShade="D9"/>
          </w:tcPr>
          <w:p w14:paraId="7B11EC47" w14:textId="77777777" w:rsidR="00864F84" w:rsidRPr="00A26C26" w:rsidRDefault="00864F84" w:rsidP="00A26C26">
            <w:pPr>
              <w:spacing w:line="276" w:lineRule="auto"/>
              <w:jc w:val="both"/>
              <w:rPr>
                <w:rFonts w:cstheme="minorHAnsi"/>
              </w:rPr>
            </w:pPr>
            <w:r w:rsidRPr="00A26C26">
              <w:rPr>
                <w:rFonts w:cstheme="minorHAnsi"/>
              </w:rPr>
              <w:t>2.1</w:t>
            </w:r>
          </w:p>
        </w:tc>
      </w:tr>
      <w:tr w:rsidR="00864F84" w:rsidRPr="00A26C26" w14:paraId="69B16975" w14:textId="77777777" w:rsidTr="00864F84">
        <w:tc>
          <w:tcPr>
            <w:tcW w:w="6374" w:type="dxa"/>
          </w:tcPr>
          <w:p w14:paraId="644B1395" w14:textId="6B92DEDF" w:rsidR="00864F84" w:rsidRPr="00A26C26" w:rsidRDefault="00864F84" w:rsidP="00A26C26">
            <w:pPr>
              <w:spacing w:line="276" w:lineRule="auto"/>
              <w:rPr>
                <w:rFonts w:cstheme="minorHAnsi"/>
              </w:rPr>
            </w:pPr>
            <w:r w:rsidRPr="00A26C26">
              <w:rPr>
                <w:rFonts w:cstheme="minorHAnsi"/>
              </w:rPr>
              <w:t>Premiowanie</w:t>
            </w:r>
            <w:r>
              <w:rPr>
                <w:rFonts w:cstheme="minorHAnsi"/>
              </w:rPr>
              <w:t xml:space="preserve"> </w:t>
            </w:r>
            <w:r w:rsidRPr="00A26C26">
              <w:rPr>
                <w:rFonts w:cstheme="minorHAnsi"/>
              </w:rPr>
              <w:t>Wnioskodawców,</w:t>
            </w:r>
            <w:r>
              <w:rPr>
                <w:rFonts w:cstheme="minorHAnsi"/>
              </w:rPr>
              <w:t xml:space="preserve"> </w:t>
            </w:r>
            <w:r w:rsidRPr="00A26C26">
              <w:rPr>
                <w:rFonts w:cstheme="minorHAnsi"/>
              </w:rPr>
              <w:t>którzy</w:t>
            </w:r>
            <w:r>
              <w:rPr>
                <w:rFonts w:cstheme="minorHAnsi"/>
              </w:rPr>
              <w:t xml:space="preserve"> </w:t>
            </w:r>
            <w:r w:rsidRPr="00A26C26">
              <w:rPr>
                <w:rFonts w:cstheme="minorHAnsi"/>
              </w:rPr>
              <w:t>korzystali</w:t>
            </w:r>
            <w:r>
              <w:rPr>
                <w:rFonts w:cstheme="minorHAnsi"/>
              </w:rPr>
              <w:t xml:space="preserve"> </w:t>
            </w:r>
            <w:r w:rsidRPr="00A26C26">
              <w:rPr>
                <w:rFonts w:cstheme="minorHAnsi"/>
              </w:rPr>
              <w:t>ze</w:t>
            </w:r>
            <w:r>
              <w:rPr>
                <w:rFonts w:cstheme="minorHAnsi"/>
              </w:rPr>
              <w:t xml:space="preserve"> </w:t>
            </w:r>
            <w:r w:rsidRPr="00A26C26">
              <w:rPr>
                <w:rFonts w:cstheme="minorHAnsi"/>
              </w:rPr>
              <w:t>skutecznych</w:t>
            </w:r>
            <w:r>
              <w:rPr>
                <w:rFonts w:cstheme="minorHAnsi"/>
              </w:rPr>
              <w:t xml:space="preserve"> </w:t>
            </w:r>
            <w:r w:rsidRPr="00A26C26">
              <w:rPr>
                <w:rFonts w:cstheme="minorHAnsi"/>
              </w:rPr>
              <w:t>konsultacji</w:t>
            </w:r>
            <w:r>
              <w:rPr>
                <w:rFonts w:cstheme="minorHAnsi"/>
              </w:rPr>
              <w:t xml:space="preserve"> </w:t>
            </w:r>
            <w:r w:rsidRPr="00A26C26">
              <w:rPr>
                <w:rFonts w:cstheme="minorHAnsi"/>
              </w:rPr>
              <w:t>z</w:t>
            </w:r>
            <w:r>
              <w:rPr>
                <w:rFonts w:cstheme="minorHAnsi"/>
              </w:rPr>
              <w:t xml:space="preserve"> </w:t>
            </w:r>
            <w:r w:rsidRPr="00A26C26">
              <w:rPr>
                <w:rFonts w:cstheme="minorHAnsi"/>
              </w:rPr>
              <w:t>Biurem</w:t>
            </w:r>
            <w:r>
              <w:rPr>
                <w:rFonts w:cstheme="minorHAnsi"/>
              </w:rPr>
              <w:t xml:space="preserve"> </w:t>
            </w:r>
            <w:r w:rsidRPr="00A26C26">
              <w:rPr>
                <w:rFonts w:cstheme="minorHAnsi"/>
              </w:rPr>
              <w:t>LGD</w:t>
            </w:r>
          </w:p>
        </w:tc>
        <w:tc>
          <w:tcPr>
            <w:tcW w:w="501" w:type="dxa"/>
          </w:tcPr>
          <w:p w14:paraId="2F3B2C0C" w14:textId="77777777" w:rsidR="00864F84" w:rsidRPr="00A26C26" w:rsidRDefault="00864F84" w:rsidP="00A26C26">
            <w:pPr>
              <w:spacing w:line="276" w:lineRule="auto"/>
              <w:jc w:val="center"/>
              <w:rPr>
                <w:rFonts w:cstheme="minorHAnsi"/>
              </w:rPr>
            </w:pPr>
            <w:r w:rsidRPr="00A26C26">
              <w:rPr>
                <w:rFonts w:cstheme="minorHAnsi"/>
              </w:rPr>
              <w:t>x</w:t>
            </w:r>
          </w:p>
        </w:tc>
        <w:tc>
          <w:tcPr>
            <w:tcW w:w="495" w:type="dxa"/>
          </w:tcPr>
          <w:p w14:paraId="0C1597F0" w14:textId="77777777" w:rsidR="00864F84" w:rsidRPr="00A26C26" w:rsidRDefault="00864F84" w:rsidP="00A26C26">
            <w:pPr>
              <w:spacing w:line="276" w:lineRule="auto"/>
              <w:jc w:val="center"/>
              <w:rPr>
                <w:rFonts w:cstheme="minorHAnsi"/>
              </w:rPr>
            </w:pPr>
            <w:r w:rsidRPr="00A26C26">
              <w:rPr>
                <w:rFonts w:cstheme="minorHAnsi"/>
              </w:rPr>
              <w:t>x</w:t>
            </w:r>
          </w:p>
        </w:tc>
        <w:tc>
          <w:tcPr>
            <w:tcW w:w="566" w:type="dxa"/>
          </w:tcPr>
          <w:p w14:paraId="337281EB" w14:textId="77777777" w:rsidR="00864F84" w:rsidRPr="00A26C26" w:rsidRDefault="00864F84" w:rsidP="00A26C26">
            <w:pPr>
              <w:spacing w:line="276" w:lineRule="auto"/>
              <w:jc w:val="center"/>
              <w:rPr>
                <w:rFonts w:cstheme="minorHAnsi"/>
              </w:rPr>
            </w:pPr>
            <w:r w:rsidRPr="00A26C26">
              <w:rPr>
                <w:rFonts w:cstheme="minorHAnsi"/>
              </w:rPr>
              <w:t>x</w:t>
            </w:r>
          </w:p>
        </w:tc>
        <w:tc>
          <w:tcPr>
            <w:tcW w:w="566" w:type="dxa"/>
          </w:tcPr>
          <w:p w14:paraId="4AEEE2E5" w14:textId="77777777" w:rsidR="00864F84" w:rsidRPr="00A26C26" w:rsidRDefault="00864F84" w:rsidP="00A26C26">
            <w:pPr>
              <w:spacing w:line="276" w:lineRule="auto"/>
              <w:jc w:val="center"/>
              <w:rPr>
                <w:rFonts w:cstheme="minorHAnsi"/>
              </w:rPr>
            </w:pPr>
            <w:r w:rsidRPr="00A26C26">
              <w:rPr>
                <w:rFonts w:cstheme="minorHAnsi"/>
              </w:rPr>
              <w:t>x</w:t>
            </w:r>
          </w:p>
        </w:tc>
        <w:tc>
          <w:tcPr>
            <w:tcW w:w="564" w:type="dxa"/>
          </w:tcPr>
          <w:p w14:paraId="498352D1" w14:textId="77777777" w:rsidR="00864F84" w:rsidRPr="00A26C26" w:rsidRDefault="00864F84" w:rsidP="00A26C26">
            <w:pPr>
              <w:spacing w:line="276" w:lineRule="auto"/>
              <w:jc w:val="center"/>
              <w:rPr>
                <w:rFonts w:cstheme="minorHAnsi"/>
              </w:rPr>
            </w:pPr>
            <w:r w:rsidRPr="00A26C26">
              <w:rPr>
                <w:rFonts w:cstheme="minorHAnsi"/>
              </w:rPr>
              <w:t>x</w:t>
            </w:r>
          </w:p>
        </w:tc>
        <w:tc>
          <w:tcPr>
            <w:tcW w:w="569" w:type="dxa"/>
          </w:tcPr>
          <w:p w14:paraId="4E0CFDC8" w14:textId="77777777" w:rsidR="00864F84" w:rsidRPr="00A26C26" w:rsidRDefault="00864F84" w:rsidP="00A26C26">
            <w:pPr>
              <w:spacing w:line="276" w:lineRule="auto"/>
              <w:jc w:val="center"/>
              <w:rPr>
                <w:rFonts w:cstheme="minorHAnsi"/>
              </w:rPr>
            </w:pPr>
            <w:r w:rsidRPr="00A26C26">
              <w:rPr>
                <w:rFonts w:cstheme="minorHAnsi"/>
              </w:rPr>
              <w:t>x</w:t>
            </w:r>
          </w:p>
        </w:tc>
        <w:tc>
          <w:tcPr>
            <w:tcW w:w="566" w:type="dxa"/>
          </w:tcPr>
          <w:p w14:paraId="6370C409" w14:textId="77777777" w:rsidR="00864F84" w:rsidRPr="00A26C26" w:rsidRDefault="00864F84" w:rsidP="00A26C26">
            <w:pPr>
              <w:spacing w:line="276" w:lineRule="auto"/>
              <w:jc w:val="center"/>
              <w:rPr>
                <w:rFonts w:cstheme="minorHAnsi"/>
              </w:rPr>
            </w:pPr>
            <w:r w:rsidRPr="00A26C26">
              <w:rPr>
                <w:rFonts w:cstheme="minorHAnsi"/>
              </w:rPr>
              <w:t>x</w:t>
            </w:r>
          </w:p>
        </w:tc>
      </w:tr>
      <w:tr w:rsidR="00864F84" w:rsidRPr="00A26C26" w14:paraId="24594D98" w14:textId="77777777" w:rsidTr="00864F84">
        <w:tc>
          <w:tcPr>
            <w:tcW w:w="6374" w:type="dxa"/>
          </w:tcPr>
          <w:p w14:paraId="5627986D" w14:textId="60E58C86" w:rsidR="00864F84" w:rsidRPr="00F16251" w:rsidRDefault="00864F84" w:rsidP="00A26C26">
            <w:pPr>
              <w:spacing w:line="276" w:lineRule="auto"/>
              <w:rPr>
                <w:rFonts w:cstheme="minorHAnsi"/>
              </w:rPr>
            </w:pPr>
            <w:r w:rsidRPr="00F16251">
              <w:rPr>
                <w:rFonts w:cstheme="minorHAnsi"/>
              </w:rPr>
              <w:t>Premiowanie Wnioskodawców, którzy uczestniczyli w szkoleniu zorganizowanym przed prowadzonym naborem</w:t>
            </w:r>
          </w:p>
        </w:tc>
        <w:tc>
          <w:tcPr>
            <w:tcW w:w="501" w:type="dxa"/>
          </w:tcPr>
          <w:p w14:paraId="480F6F27" w14:textId="77777777" w:rsidR="00864F84" w:rsidRPr="00A26C26" w:rsidRDefault="00864F84" w:rsidP="00A26C26">
            <w:pPr>
              <w:spacing w:line="276" w:lineRule="auto"/>
              <w:jc w:val="center"/>
              <w:rPr>
                <w:rFonts w:cstheme="minorHAnsi"/>
              </w:rPr>
            </w:pPr>
            <w:r w:rsidRPr="00A26C26">
              <w:rPr>
                <w:rFonts w:cstheme="minorHAnsi"/>
              </w:rPr>
              <w:t>x</w:t>
            </w:r>
          </w:p>
        </w:tc>
        <w:tc>
          <w:tcPr>
            <w:tcW w:w="495" w:type="dxa"/>
          </w:tcPr>
          <w:p w14:paraId="1328180B" w14:textId="77777777" w:rsidR="00864F84" w:rsidRPr="00A26C26" w:rsidRDefault="00864F84" w:rsidP="00A26C26">
            <w:pPr>
              <w:spacing w:line="276" w:lineRule="auto"/>
              <w:jc w:val="center"/>
              <w:rPr>
                <w:rFonts w:cstheme="minorHAnsi"/>
              </w:rPr>
            </w:pPr>
            <w:r w:rsidRPr="00A26C26">
              <w:rPr>
                <w:rFonts w:cstheme="minorHAnsi"/>
              </w:rPr>
              <w:t>x</w:t>
            </w:r>
          </w:p>
        </w:tc>
        <w:tc>
          <w:tcPr>
            <w:tcW w:w="566" w:type="dxa"/>
          </w:tcPr>
          <w:p w14:paraId="042F0E8E" w14:textId="77777777" w:rsidR="00864F84" w:rsidRPr="00A26C26" w:rsidRDefault="00864F84" w:rsidP="00A26C26">
            <w:pPr>
              <w:spacing w:line="276" w:lineRule="auto"/>
              <w:jc w:val="center"/>
              <w:rPr>
                <w:rFonts w:cstheme="minorHAnsi"/>
              </w:rPr>
            </w:pPr>
            <w:r w:rsidRPr="00A26C26">
              <w:rPr>
                <w:rFonts w:cstheme="minorHAnsi"/>
              </w:rPr>
              <w:t>x</w:t>
            </w:r>
          </w:p>
        </w:tc>
        <w:tc>
          <w:tcPr>
            <w:tcW w:w="566" w:type="dxa"/>
          </w:tcPr>
          <w:p w14:paraId="1C4E05AD" w14:textId="77777777" w:rsidR="00864F84" w:rsidRPr="00A26C26" w:rsidRDefault="00864F84" w:rsidP="00A26C26">
            <w:pPr>
              <w:spacing w:line="276" w:lineRule="auto"/>
              <w:jc w:val="center"/>
              <w:rPr>
                <w:rFonts w:cstheme="minorHAnsi"/>
              </w:rPr>
            </w:pPr>
            <w:r w:rsidRPr="00A26C26">
              <w:rPr>
                <w:rFonts w:cstheme="minorHAnsi"/>
              </w:rPr>
              <w:t>x</w:t>
            </w:r>
          </w:p>
        </w:tc>
        <w:tc>
          <w:tcPr>
            <w:tcW w:w="564" w:type="dxa"/>
          </w:tcPr>
          <w:p w14:paraId="783C7824" w14:textId="77777777" w:rsidR="00864F84" w:rsidRPr="00A26C26" w:rsidRDefault="00864F84" w:rsidP="00A26C26">
            <w:pPr>
              <w:spacing w:line="276" w:lineRule="auto"/>
              <w:jc w:val="center"/>
              <w:rPr>
                <w:rFonts w:cstheme="minorHAnsi"/>
              </w:rPr>
            </w:pPr>
            <w:r w:rsidRPr="00A26C26">
              <w:rPr>
                <w:rFonts w:cstheme="minorHAnsi"/>
              </w:rPr>
              <w:t>x</w:t>
            </w:r>
          </w:p>
        </w:tc>
        <w:tc>
          <w:tcPr>
            <w:tcW w:w="569" w:type="dxa"/>
          </w:tcPr>
          <w:p w14:paraId="42D9E30E" w14:textId="77777777" w:rsidR="00864F84" w:rsidRPr="00A26C26" w:rsidRDefault="00864F84" w:rsidP="00A26C26">
            <w:pPr>
              <w:spacing w:line="276" w:lineRule="auto"/>
              <w:jc w:val="center"/>
              <w:rPr>
                <w:rFonts w:cstheme="minorHAnsi"/>
              </w:rPr>
            </w:pPr>
            <w:r w:rsidRPr="00A26C26">
              <w:rPr>
                <w:rFonts w:cstheme="minorHAnsi"/>
              </w:rPr>
              <w:t>x</w:t>
            </w:r>
          </w:p>
        </w:tc>
        <w:tc>
          <w:tcPr>
            <w:tcW w:w="566" w:type="dxa"/>
          </w:tcPr>
          <w:p w14:paraId="3BE8722B" w14:textId="77777777" w:rsidR="00864F84" w:rsidRPr="00A26C26" w:rsidRDefault="00864F84" w:rsidP="00A26C26">
            <w:pPr>
              <w:spacing w:line="276" w:lineRule="auto"/>
              <w:jc w:val="center"/>
              <w:rPr>
                <w:rFonts w:cstheme="minorHAnsi"/>
              </w:rPr>
            </w:pPr>
            <w:r w:rsidRPr="00A26C26">
              <w:rPr>
                <w:rFonts w:cstheme="minorHAnsi"/>
              </w:rPr>
              <w:t>x</w:t>
            </w:r>
          </w:p>
        </w:tc>
      </w:tr>
      <w:tr w:rsidR="00864F84" w:rsidRPr="00A26C26" w14:paraId="2AE3BE78" w14:textId="77777777" w:rsidTr="00864F84">
        <w:tc>
          <w:tcPr>
            <w:tcW w:w="6374" w:type="dxa"/>
          </w:tcPr>
          <w:p w14:paraId="110297AA" w14:textId="7E15DF85" w:rsidR="00864F84" w:rsidRPr="00F16251" w:rsidRDefault="00864F84" w:rsidP="00A26C26">
            <w:pPr>
              <w:spacing w:line="276" w:lineRule="auto"/>
              <w:rPr>
                <w:rFonts w:cstheme="minorHAnsi"/>
              </w:rPr>
            </w:pPr>
            <w:r w:rsidRPr="00F16251">
              <w:rPr>
                <w:rFonts w:cstheme="minorHAnsi"/>
              </w:rPr>
              <w:t>Premiowanie Wnioskodawców, którzy bra</w:t>
            </w:r>
            <w:r w:rsidR="00594AF0" w:rsidRPr="00F16251">
              <w:rPr>
                <w:rFonts w:cstheme="minorHAnsi"/>
              </w:rPr>
              <w:t>li</w:t>
            </w:r>
            <w:r w:rsidRPr="00F16251">
              <w:rPr>
                <w:rFonts w:cstheme="minorHAnsi"/>
              </w:rPr>
              <w:t xml:space="preserve"> udział wydarzeniach / spotkaniach lub innych formach aktywności oferowanych przez LGD w ramach Planu komunikacji (nie dotyczy wydarzeń otwartych / wizyt na stronie internetowej)</w:t>
            </w:r>
          </w:p>
        </w:tc>
        <w:tc>
          <w:tcPr>
            <w:tcW w:w="501" w:type="dxa"/>
          </w:tcPr>
          <w:p w14:paraId="2B810743" w14:textId="77777777" w:rsidR="00864F84" w:rsidRPr="00A26C26" w:rsidRDefault="00864F84" w:rsidP="00A26C26">
            <w:pPr>
              <w:spacing w:line="276" w:lineRule="auto"/>
              <w:jc w:val="center"/>
              <w:rPr>
                <w:rFonts w:cstheme="minorHAnsi"/>
              </w:rPr>
            </w:pPr>
            <w:r w:rsidRPr="00A26C26">
              <w:rPr>
                <w:rFonts w:cstheme="minorHAnsi"/>
              </w:rPr>
              <w:t>x</w:t>
            </w:r>
          </w:p>
        </w:tc>
        <w:tc>
          <w:tcPr>
            <w:tcW w:w="495" w:type="dxa"/>
          </w:tcPr>
          <w:p w14:paraId="10005927" w14:textId="77777777" w:rsidR="00864F84" w:rsidRPr="00A26C26" w:rsidRDefault="00864F84" w:rsidP="00A26C26">
            <w:pPr>
              <w:spacing w:line="276" w:lineRule="auto"/>
              <w:jc w:val="center"/>
              <w:rPr>
                <w:rFonts w:cstheme="minorHAnsi"/>
              </w:rPr>
            </w:pPr>
            <w:r w:rsidRPr="00A26C26">
              <w:rPr>
                <w:rFonts w:cstheme="minorHAnsi"/>
              </w:rPr>
              <w:t>x</w:t>
            </w:r>
          </w:p>
        </w:tc>
        <w:tc>
          <w:tcPr>
            <w:tcW w:w="566" w:type="dxa"/>
          </w:tcPr>
          <w:p w14:paraId="7868EF67" w14:textId="77777777" w:rsidR="00864F84" w:rsidRPr="00A26C26" w:rsidRDefault="00864F84" w:rsidP="00A26C26">
            <w:pPr>
              <w:spacing w:line="276" w:lineRule="auto"/>
              <w:jc w:val="center"/>
              <w:rPr>
                <w:rFonts w:cstheme="minorHAnsi"/>
              </w:rPr>
            </w:pPr>
            <w:r w:rsidRPr="00A26C26">
              <w:rPr>
                <w:rFonts w:cstheme="minorHAnsi"/>
              </w:rPr>
              <w:t>x</w:t>
            </w:r>
          </w:p>
        </w:tc>
        <w:tc>
          <w:tcPr>
            <w:tcW w:w="566" w:type="dxa"/>
          </w:tcPr>
          <w:p w14:paraId="6CB53222" w14:textId="77777777" w:rsidR="00864F84" w:rsidRPr="00A26C26" w:rsidRDefault="00864F84" w:rsidP="00A26C26">
            <w:pPr>
              <w:spacing w:line="276" w:lineRule="auto"/>
              <w:jc w:val="center"/>
              <w:rPr>
                <w:rFonts w:cstheme="minorHAnsi"/>
              </w:rPr>
            </w:pPr>
            <w:r w:rsidRPr="00A26C26">
              <w:rPr>
                <w:rFonts w:cstheme="minorHAnsi"/>
              </w:rPr>
              <w:t>x</w:t>
            </w:r>
          </w:p>
        </w:tc>
        <w:tc>
          <w:tcPr>
            <w:tcW w:w="564" w:type="dxa"/>
          </w:tcPr>
          <w:p w14:paraId="7E513BF5" w14:textId="77777777" w:rsidR="00864F84" w:rsidRPr="00A26C26" w:rsidRDefault="00864F84" w:rsidP="00A26C26">
            <w:pPr>
              <w:spacing w:line="276" w:lineRule="auto"/>
              <w:jc w:val="center"/>
              <w:rPr>
                <w:rFonts w:cstheme="minorHAnsi"/>
              </w:rPr>
            </w:pPr>
            <w:r w:rsidRPr="00A26C26">
              <w:rPr>
                <w:rFonts w:cstheme="minorHAnsi"/>
              </w:rPr>
              <w:t>x</w:t>
            </w:r>
          </w:p>
        </w:tc>
        <w:tc>
          <w:tcPr>
            <w:tcW w:w="569" w:type="dxa"/>
          </w:tcPr>
          <w:p w14:paraId="0D761EB8" w14:textId="77777777" w:rsidR="00864F84" w:rsidRPr="00A26C26" w:rsidRDefault="00864F84" w:rsidP="00A26C26">
            <w:pPr>
              <w:spacing w:line="276" w:lineRule="auto"/>
              <w:jc w:val="center"/>
              <w:rPr>
                <w:rFonts w:cstheme="minorHAnsi"/>
              </w:rPr>
            </w:pPr>
            <w:r w:rsidRPr="00A26C26">
              <w:rPr>
                <w:rFonts w:cstheme="minorHAnsi"/>
              </w:rPr>
              <w:t>x</w:t>
            </w:r>
          </w:p>
        </w:tc>
        <w:tc>
          <w:tcPr>
            <w:tcW w:w="566" w:type="dxa"/>
          </w:tcPr>
          <w:p w14:paraId="07851DF0" w14:textId="77777777" w:rsidR="00864F84" w:rsidRPr="00A26C26" w:rsidRDefault="00864F84" w:rsidP="00A26C26">
            <w:pPr>
              <w:spacing w:line="276" w:lineRule="auto"/>
              <w:jc w:val="center"/>
              <w:rPr>
                <w:rFonts w:cstheme="minorHAnsi"/>
              </w:rPr>
            </w:pPr>
            <w:r w:rsidRPr="00A26C26">
              <w:rPr>
                <w:rFonts w:cstheme="minorHAnsi"/>
              </w:rPr>
              <w:t>x</w:t>
            </w:r>
          </w:p>
        </w:tc>
      </w:tr>
      <w:tr w:rsidR="00864F84" w:rsidRPr="00A26C26" w14:paraId="59799ADF" w14:textId="77777777" w:rsidTr="00864F84">
        <w:tc>
          <w:tcPr>
            <w:tcW w:w="6374" w:type="dxa"/>
          </w:tcPr>
          <w:p w14:paraId="1A52CB04" w14:textId="5552D763" w:rsidR="00864F84" w:rsidRPr="00A26C26" w:rsidRDefault="00864F84" w:rsidP="00915596">
            <w:pPr>
              <w:spacing w:line="276" w:lineRule="auto"/>
              <w:rPr>
                <w:rFonts w:cstheme="minorHAnsi"/>
              </w:rPr>
            </w:pPr>
            <w:r w:rsidRPr="00A26C26">
              <w:rPr>
                <w:rFonts w:cstheme="minorHAnsi"/>
              </w:rPr>
              <w:t>Premiowanie</w:t>
            </w:r>
            <w:r>
              <w:rPr>
                <w:rFonts w:cstheme="minorHAnsi"/>
              </w:rPr>
              <w:t xml:space="preserve"> </w:t>
            </w:r>
            <w:r w:rsidRPr="00A26C26">
              <w:rPr>
                <w:rFonts w:cstheme="minorHAnsi"/>
              </w:rPr>
              <w:t>projektów,</w:t>
            </w:r>
            <w:r>
              <w:rPr>
                <w:rFonts w:cstheme="minorHAnsi"/>
              </w:rPr>
              <w:t xml:space="preserve"> </w:t>
            </w:r>
            <w:r w:rsidRPr="00A26C26">
              <w:rPr>
                <w:rFonts w:cstheme="minorHAnsi"/>
              </w:rPr>
              <w:t>w</w:t>
            </w:r>
            <w:r>
              <w:rPr>
                <w:rFonts w:cstheme="minorHAnsi"/>
              </w:rPr>
              <w:t xml:space="preserve"> </w:t>
            </w:r>
            <w:r w:rsidRPr="00A26C26">
              <w:rPr>
                <w:rFonts w:cstheme="minorHAnsi"/>
              </w:rPr>
              <w:t>których</w:t>
            </w:r>
            <w:r>
              <w:rPr>
                <w:rFonts w:cstheme="minorHAnsi"/>
              </w:rPr>
              <w:t xml:space="preserve"> </w:t>
            </w:r>
            <w:r w:rsidRPr="00A26C26">
              <w:rPr>
                <w:rFonts w:cstheme="minorHAnsi"/>
              </w:rPr>
              <w:t>wykazano</w:t>
            </w:r>
            <w:r>
              <w:rPr>
                <w:rFonts w:cstheme="minorHAnsi"/>
              </w:rPr>
              <w:t xml:space="preserve"> </w:t>
            </w:r>
            <w:r w:rsidRPr="00A26C26">
              <w:rPr>
                <w:rFonts w:cstheme="minorHAnsi"/>
              </w:rPr>
              <w:t>wyższą</w:t>
            </w:r>
            <w:r>
              <w:rPr>
                <w:rFonts w:cstheme="minorHAnsi"/>
              </w:rPr>
              <w:t xml:space="preserve"> </w:t>
            </w:r>
            <w:r w:rsidRPr="00A26C26">
              <w:rPr>
                <w:rFonts w:cstheme="minorHAnsi"/>
              </w:rPr>
              <w:t>niż</w:t>
            </w:r>
            <w:r>
              <w:rPr>
                <w:rFonts w:cstheme="minorHAnsi"/>
              </w:rPr>
              <w:t xml:space="preserve"> </w:t>
            </w:r>
            <w:r w:rsidRPr="00A26C26">
              <w:rPr>
                <w:rFonts w:cstheme="minorHAnsi"/>
              </w:rPr>
              <w:t>minimalna</w:t>
            </w:r>
            <w:r>
              <w:rPr>
                <w:rFonts w:cstheme="minorHAnsi"/>
              </w:rPr>
              <w:t xml:space="preserve"> </w:t>
            </w:r>
            <w:r w:rsidRPr="00A26C26">
              <w:rPr>
                <w:rFonts w:cstheme="minorHAnsi"/>
              </w:rPr>
              <w:t>wysokość</w:t>
            </w:r>
            <w:r>
              <w:rPr>
                <w:rFonts w:cstheme="minorHAnsi"/>
              </w:rPr>
              <w:t xml:space="preserve"> </w:t>
            </w:r>
            <w:r w:rsidRPr="00A26C26">
              <w:rPr>
                <w:rFonts w:cstheme="minorHAnsi"/>
              </w:rPr>
              <w:t>wkładu</w:t>
            </w:r>
            <w:r>
              <w:rPr>
                <w:rFonts w:cstheme="minorHAnsi"/>
              </w:rPr>
              <w:t xml:space="preserve"> </w:t>
            </w:r>
            <w:r w:rsidRPr="00A26C26">
              <w:rPr>
                <w:rFonts w:cstheme="minorHAnsi"/>
              </w:rPr>
              <w:t>własnego</w:t>
            </w:r>
          </w:p>
        </w:tc>
        <w:tc>
          <w:tcPr>
            <w:tcW w:w="501" w:type="dxa"/>
          </w:tcPr>
          <w:p w14:paraId="754324CD" w14:textId="77777777" w:rsidR="00864F84" w:rsidRPr="00A26C26" w:rsidRDefault="00864F84" w:rsidP="00A26C26">
            <w:pPr>
              <w:spacing w:line="276" w:lineRule="auto"/>
              <w:jc w:val="center"/>
              <w:rPr>
                <w:rFonts w:cstheme="minorHAnsi"/>
              </w:rPr>
            </w:pPr>
          </w:p>
        </w:tc>
        <w:tc>
          <w:tcPr>
            <w:tcW w:w="495" w:type="dxa"/>
          </w:tcPr>
          <w:p w14:paraId="2BE7D033" w14:textId="77777777" w:rsidR="00864F84" w:rsidRPr="00A26C26" w:rsidRDefault="00864F84" w:rsidP="00A26C26">
            <w:pPr>
              <w:spacing w:line="276" w:lineRule="auto"/>
              <w:jc w:val="center"/>
              <w:rPr>
                <w:rFonts w:cstheme="minorHAnsi"/>
              </w:rPr>
            </w:pPr>
          </w:p>
        </w:tc>
        <w:tc>
          <w:tcPr>
            <w:tcW w:w="566" w:type="dxa"/>
          </w:tcPr>
          <w:p w14:paraId="772AF497" w14:textId="77777777" w:rsidR="00864F84" w:rsidRPr="00A26C26" w:rsidRDefault="00864F84" w:rsidP="00A26C26">
            <w:pPr>
              <w:spacing w:line="276" w:lineRule="auto"/>
              <w:jc w:val="center"/>
              <w:rPr>
                <w:rFonts w:cstheme="minorHAnsi"/>
              </w:rPr>
            </w:pPr>
          </w:p>
        </w:tc>
        <w:tc>
          <w:tcPr>
            <w:tcW w:w="566" w:type="dxa"/>
          </w:tcPr>
          <w:p w14:paraId="45F62A4F" w14:textId="77777777" w:rsidR="00864F84" w:rsidRPr="00A26C26" w:rsidRDefault="00864F84" w:rsidP="00A26C26">
            <w:pPr>
              <w:spacing w:line="276" w:lineRule="auto"/>
              <w:jc w:val="center"/>
              <w:rPr>
                <w:rFonts w:cstheme="minorHAnsi"/>
              </w:rPr>
            </w:pPr>
          </w:p>
        </w:tc>
        <w:tc>
          <w:tcPr>
            <w:tcW w:w="564" w:type="dxa"/>
          </w:tcPr>
          <w:p w14:paraId="0FC1F072" w14:textId="77777777" w:rsidR="00864F84" w:rsidRPr="00A26C26" w:rsidRDefault="00864F84" w:rsidP="00A26C26">
            <w:pPr>
              <w:spacing w:line="276" w:lineRule="auto"/>
              <w:jc w:val="center"/>
              <w:rPr>
                <w:rFonts w:cstheme="minorHAnsi"/>
              </w:rPr>
            </w:pPr>
          </w:p>
        </w:tc>
        <w:tc>
          <w:tcPr>
            <w:tcW w:w="569" w:type="dxa"/>
          </w:tcPr>
          <w:p w14:paraId="1E31ED6E" w14:textId="77777777" w:rsidR="00864F84" w:rsidRPr="00A26C26" w:rsidRDefault="00864F84" w:rsidP="00A26C26">
            <w:pPr>
              <w:spacing w:line="276" w:lineRule="auto"/>
              <w:jc w:val="center"/>
              <w:rPr>
                <w:rFonts w:cstheme="minorHAnsi"/>
              </w:rPr>
            </w:pPr>
          </w:p>
        </w:tc>
        <w:tc>
          <w:tcPr>
            <w:tcW w:w="566" w:type="dxa"/>
          </w:tcPr>
          <w:p w14:paraId="7C6E4849" w14:textId="77777777" w:rsidR="00864F84" w:rsidRPr="00A26C26" w:rsidRDefault="00864F84" w:rsidP="00A26C26">
            <w:pPr>
              <w:spacing w:line="276" w:lineRule="auto"/>
              <w:jc w:val="center"/>
              <w:rPr>
                <w:rFonts w:cstheme="minorHAnsi"/>
              </w:rPr>
            </w:pPr>
            <w:r w:rsidRPr="00A26C26">
              <w:rPr>
                <w:rFonts w:cstheme="minorHAnsi"/>
              </w:rPr>
              <w:t>x</w:t>
            </w:r>
          </w:p>
        </w:tc>
      </w:tr>
      <w:tr w:rsidR="00864F84" w:rsidRPr="00A26C26" w14:paraId="7495E06B" w14:textId="77777777" w:rsidTr="00864F84">
        <w:tc>
          <w:tcPr>
            <w:tcW w:w="6374" w:type="dxa"/>
          </w:tcPr>
          <w:p w14:paraId="7CCDFBA7" w14:textId="0B727A9A" w:rsidR="00864F84" w:rsidRPr="00A26C26" w:rsidRDefault="00864F84" w:rsidP="00A26C26">
            <w:pPr>
              <w:spacing w:line="276" w:lineRule="auto"/>
              <w:rPr>
                <w:rFonts w:cstheme="minorHAnsi"/>
              </w:rPr>
            </w:pPr>
            <w:r w:rsidRPr="00A26C26">
              <w:rPr>
                <w:rFonts w:cstheme="minorHAnsi"/>
              </w:rPr>
              <w:t>Premiowanie</w:t>
            </w:r>
            <w:r>
              <w:rPr>
                <w:rFonts w:cstheme="minorHAnsi"/>
              </w:rPr>
              <w:t xml:space="preserve"> </w:t>
            </w:r>
            <w:r w:rsidRPr="00A26C26">
              <w:rPr>
                <w:rFonts w:cstheme="minorHAnsi"/>
              </w:rPr>
              <w:t>projektów,</w:t>
            </w:r>
            <w:r>
              <w:rPr>
                <w:rFonts w:cstheme="minorHAnsi"/>
              </w:rPr>
              <w:t xml:space="preserve"> </w:t>
            </w:r>
            <w:r w:rsidRPr="00A26C26">
              <w:rPr>
                <w:rFonts w:cstheme="minorHAnsi"/>
              </w:rPr>
              <w:t>które</w:t>
            </w:r>
            <w:r>
              <w:rPr>
                <w:rFonts w:cstheme="minorHAnsi"/>
              </w:rPr>
              <w:t xml:space="preserve"> </w:t>
            </w:r>
            <w:r w:rsidRPr="00A26C26">
              <w:rPr>
                <w:rFonts w:cstheme="minorHAnsi"/>
              </w:rPr>
              <w:t>będą</w:t>
            </w:r>
            <w:r>
              <w:rPr>
                <w:rFonts w:cstheme="minorHAnsi"/>
              </w:rPr>
              <w:t xml:space="preserve"> </w:t>
            </w:r>
            <w:r w:rsidRPr="00A26C26">
              <w:rPr>
                <w:rFonts w:cstheme="minorHAnsi"/>
              </w:rPr>
              <w:t>realizowane</w:t>
            </w:r>
            <w:r>
              <w:rPr>
                <w:rFonts w:cstheme="minorHAnsi"/>
              </w:rPr>
              <w:t xml:space="preserve"> </w:t>
            </w:r>
            <w:r w:rsidRPr="00A26C26">
              <w:rPr>
                <w:rFonts w:cstheme="minorHAnsi"/>
              </w:rPr>
              <w:t>w</w:t>
            </w:r>
            <w:r>
              <w:rPr>
                <w:rFonts w:cstheme="minorHAnsi"/>
              </w:rPr>
              <w:t xml:space="preserve"> </w:t>
            </w:r>
            <w:r w:rsidRPr="00A26C26">
              <w:rPr>
                <w:rFonts w:cstheme="minorHAnsi"/>
              </w:rPr>
              <w:t>krótszym</w:t>
            </w:r>
            <w:r>
              <w:rPr>
                <w:rFonts w:cstheme="minorHAnsi"/>
              </w:rPr>
              <w:t xml:space="preserve"> </w:t>
            </w:r>
            <w:r w:rsidRPr="00A26C26">
              <w:rPr>
                <w:rFonts w:cstheme="minorHAnsi"/>
              </w:rPr>
              <w:t>niż</w:t>
            </w:r>
            <w:r>
              <w:rPr>
                <w:rFonts w:cstheme="minorHAnsi"/>
              </w:rPr>
              <w:t xml:space="preserve"> </w:t>
            </w:r>
            <w:r w:rsidRPr="00A26C26">
              <w:rPr>
                <w:rFonts w:cstheme="minorHAnsi"/>
              </w:rPr>
              <w:t>maksymalny</w:t>
            </w:r>
            <w:r>
              <w:rPr>
                <w:rFonts w:cstheme="minorHAnsi"/>
              </w:rPr>
              <w:t xml:space="preserve"> </w:t>
            </w:r>
            <w:r w:rsidRPr="00A26C26">
              <w:rPr>
                <w:rFonts w:cstheme="minorHAnsi"/>
              </w:rPr>
              <w:t>czasie</w:t>
            </w:r>
            <w:r>
              <w:rPr>
                <w:rFonts w:cstheme="minorHAnsi"/>
              </w:rPr>
              <w:t xml:space="preserve"> </w:t>
            </w:r>
            <w:r w:rsidRPr="00A26C26">
              <w:rPr>
                <w:rFonts w:cstheme="minorHAnsi"/>
              </w:rPr>
              <w:t>realizacji</w:t>
            </w:r>
            <w:r>
              <w:rPr>
                <w:rFonts w:cstheme="minorHAnsi"/>
              </w:rPr>
              <w:t xml:space="preserve"> </w:t>
            </w:r>
            <w:r w:rsidRPr="00A26C26">
              <w:rPr>
                <w:rFonts w:cstheme="minorHAnsi"/>
              </w:rPr>
              <w:t>operacji</w:t>
            </w:r>
            <w:r>
              <w:rPr>
                <w:rFonts w:cstheme="minorHAnsi"/>
              </w:rPr>
              <w:t xml:space="preserve"> </w:t>
            </w:r>
            <w:r w:rsidRPr="00A26C26">
              <w:rPr>
                <w:rFonts w:cstheme="minorHAnsi"/>
              </w:rPr>
              <w:t>wynikających</w:t>
            </w:r>
            <w:r>
              <w:rPr>
                <w:rFonts w:cstheme="minorHAnsi"/>
              </w:rPr>
              <w:t xml:space="preserve"> </w:t>
            </w:r>
            <w:r w:rsidRPr="00A26C26">
              <w:rPr>
                <w:rFonts w:cstheme="minorHAnsi"/>
              </w:rPr>
              <w:t>z</w:t>
            </w:r>
            <w:r>
              <w:rPr>
                <w:rFonts w:cstheme="minorHAnsi"/>
              </w:rPr>
              <w:t xml:space="preserve"> </w:t>
            </w:r>
            <w:r w:rsidRPr="00A26C26">
              <w:rPr>
                <w:rFonts w:cstheme="minorHAnsi"/>
              </w:rPr>
              <w:t>Wytycznych</w:t>
            </w:r>
            <w:r>
              <w:rPr>
                <w:rFonts w:cstheme="minorHAnsi"/>
              </w:rPr>
              <w:t xml:space="preserve"> </w:t>
            </w:r>
          </w:p>
        </w:tc>
        <w:tc>
          <w:tcPr>
            <w:tcW w:w="501" w:type="dxa"/>
          </w:tcPr>
          <w:p w14:paraId="053C30B4" w14:textId="77777777" w:rsidR="00864F84" w:rsidRPr="00A26C26" w:rsidRDefault="00864F84" w:rsidP="00A26C26">
            <w:pPr>
              <w:spacing w:line="276" w:lineRule="auto"/>
              <w:jc w:val="center"/>
              <w:rPr>
                <w:rFonts w:cstheme="minorHAnsi"/>
              </w:rPr>
            </w:pPr>
            <w:r w:rsidRPr="00A26C26">
              <w:rPr>
                <w:rFonts w:cstheme="minorHAnsi"/>
              </w:rPr>
              <w:t>x</w:t>
            </w:r>
          </w:p>
        </w:tc>
        <w:tc>
          <w:tcPr>
            <w:tcW w:w="495" w:type="dxa"/>
          </w:tcPr>
          <w:p w14:paraId="712526C1" w14:textId="77777777" w:rsidR="00864F84" w:rsidRPr="00A26C26" w:rsidRDefault="00864F84" w:rsidP="00A26C26">
            <w:pPr>
              <w:spacing w:line="276" w:lineRule="auto"/>
              <w:jc w:val="center"/>
              <w:rPr>
                <w:rFonts w:cstheme="minorHAnsi"/>
              </w:rPr>
            </w:pPr>
            <w:r w:rsidRPr="00A26C26">
              <w:rPr>
                <w:rFonts w:cstheme="minorHAnsi"/>
              </w:rPr>
              <w:t>x</w:t>
            </w:r>
          </w:p>
        </w:tc>
        <w:tc>
          <w:tcPr>
            <w:tcW w:w="566" w:type="dxa"/>
          </w:tcPr>
          <w:p w14:paraId="394CB140" w14:textId="77777777" w:rsidR="00864F84" w:rsidRPr="00A26C26" w:rsidRDefault="00864F84" w:rsidP="00A26C26">
            <w:pPr>
              <w:spacing w:line="276" w:lineRule="auto"/>
              <w:jc w:val="center"/>
              <w:rPr>
                <w:rFonts w:cstheme="minorHAnsi"/>
              </w:rPr>
            </w:pPr>
            <w:r w:rsidRPr="00A26C26">
              <w:rPr>
                <w:rFonts w:cstheme="minorHAnsi"/>
              </w:rPr>
              <w:t>x</w:t>
            </w:r>
          </w:p>
        </w:tc>
        <w:tc>
          <w:tcPr>
            <w:tcW w:w="566" w:type="dxa"/>
          </w:tcPr>
          <w:p w14:paraId="4E38B6E5" w14:textId="77777777" w:rsidR="00864F84" w:rsidRPr="00A26C26" w:rsidRDefault="00864F84" w:rsidP="00A26C26">
            <w:pPr>
              <w:spacing w:line="276" w:lineRule="auto"/>
              <w:jc w:val="center"/>
              <w:rPr>
                <w:rFonts w:cstheme="minorHAnsi"/>
              </w:rPr>
            </w:pPr>
            <w:r w:rsidRPr="00A26C26">
              <w:rPr>
                <w:rFonts w:cstheme="minorHAnsi"/>
              </w:rPr>
              <w:t>x</w:t>
            </w:r>
          </w:p>
        </w:tc>
        <w:tc>
          <w:tcPr>
            <w:tcW w:w="564" w:type="dxa"/>
          </w:tcPr>
          <w:p w14:paraId="70CD5671" w14:textId="77777777" w:rsidR="00864F84" w:rsidRPr="00A26C26" w:rsidRDefault="00864F84" w:rsidP="00A26C26">
            <w:pPr>
              <w:spacing w:line="276" w:lineRule="auto"/>
              <w:jc w:val="center"/>
              <w:rPr>
                <w:rFonts w:cstheme="minorHAnsi"/>
              </w:rPr>
            </w:pPr>
            <w:r w:rsidRPr="00A26C26">
              <w:rPr>
                <w:rFonts w:cstheme="minorHAnsi"/>
              </w:rPr>
              <w:t>x</w:t>
            </w:r>
          </w:p>
        </w:tc>
        <w:tc>
          <w:tcPr>
            <w:tcW w:w="569" w:type="dxa"/>
          </w:tcPr>
          <w:p w14:paraId="107A126F" w14:textId="77777777" w:rsidR="00864F84" w:rsidRPr="00A26C26" w:rsidRDefault="00864F84" w:rsidP="00A26C26">
            <w:pPr>
              <w:spacing w:line="276" w:lineRule="auto"/>
              <w:jc w:val="center"/>
              <w:rPr>
                <w:rFonts w:cstheme="minorHAnsi"/>
              </w:rPr>
            </w:pPr>
          </w:p>
        </w:tc>
        <w:tc>
          <w:tcPr>
            <w:tcW w:w="566" w:type="dxa"/>
          </w:tcPr>
          <w:p w14:paraId="3621D6A9" w14:textId="77777777" w:rsidR="00864F84" w:rsidRPr="00A26C26" w:rsidRDefault="00864F84" w:rsidP="00A26C26">
            <w:pPr>
              <w:spacing w:line="276" w:lineRule="auto"/>
              <w:jc w:val="center"/>
              <w:rPr>
                <w:rFonts w:cstheme="minorHAnsi"/>
              </w:rPr>
            </w:pPr>
            <w:r w:rsidRPr="00A26C26">
              <w:rPr>
                <w:rFonts w:cstheme="minorHAnsi"/>
              </w:rPr>
              <w:t>x</w:t>
            </w:r>
          </w:p>
        </w:tc>
      </w:tr>
      <w:tr w:rsidR="00864F84" w:rsidRPr="00A26C26" w14:paraId="4C2E763E" w14:textId="77777777" w:rsidTr="00864F84">
        <w:tc>
          <w:tcPr>
            <w:tcW w:w="6374" w:type="dxa"/>
          </w:tcPr>
          <w:p w14:paraId="34CF639B" w14:textId="7240DE85" w:rsidR="00864F84" w:rsidRPr="00A26C26" w:rsidRDefault="00864F84" w:rsidP="00A26C26">
            <w:pPr>
              <w:spacing w:line="276" w:lineRule="auto"/>
              <w:rPr>
                <w:rFonts w:cstheme="minorHAnsi"/>
              </w:rPr>
            </w:pPr>
            <w:r w:rsidRPr="00A26C26">
              <w:rPr>
                <w:rFonts w:cstheme="minorHAnsi"/>
              </w:rPr>
              <w:t>Preferowanie</w:t>
            </w:r>
            <w:r>
              <w:rPr>
                <w:rFonts w:cstheme="minorHAnsi"/>
              </w:rPr>
              <w:t xml:space="preserve"> </w:t>
            </w:r>
            <w:r w:rsidRPr="00A26C26">
              <w:rPr>
                <w:rFonts w:cstheme="minorHAnsi"/>
              </w:rPr>
              <w:t>wnioskodawców</w:t>
            </w:r>
            <w:r>
              <w:rPr>
                <w:rFonts w:cstheme="minorHAnsi"/>
              </w:rPr>
              <w:t xml:space="preserve"> </w:t>
            </w:r>
            <w:r w:rsidRPr="00A26C26">
              <w:rPr>
                <w:rFonts w:cstheme="minorHAnsi"/>
              </w:rPr>
              <w:t>posiadających</w:t>
            </w:r>
            <w:r>
              <w:rPr>
                <w:rFonts w:cstheme="minorHAnsi"/>
              </w:rPr>
              <w:t xml:space="preserve"> </w:t>
            </w:r>
            <w:r w:rsidRPr="00A26C26">
              <w:rPr>
                <w:rFonts w:cstheme="minorHAnsi"/>
              </w:rPr>
              <w:t>doświadczenie</w:t>
            </w:r>
            <w:r>
              <w:rPr>
                <w:rFonts w:cstheme="minorHAnsi"/>
              </w:rPr>
              <w:t xml:space="preserve"> </w:t>
            </w:r>
            <w:r w:rsidRPr="00A26C26">
              <w:rPr>
                <w:rFonts w:cstheme="minorHAnsi"/>
              </w:rPr>
              <w:t>lub</w:t>
            </w:r>
            <w:r>
              <w:rPr>
                <w:rFonts w:cstheme="minorHAnsi"/>
              </w:rPr>
              <w:t xml:space="preserve"> </w:t>
            </w:r>
            <w:r w:rsidRPr="00A26C26">
              <w:rPr>
                <w:rFonts w:cstheme="minorHAnsi"/>
              </w:rPr>
              <w:t>kwalifikacje</w:t>
            </w:r>
            <w:r>
              <w:rPr>
                <w:rFonts w:cstheme="minorHAnsi"/>
              </w:rPr>
              <w:t xml:space="preserve"> </w:t>
            </w:r>
            <w:r w:rsidRPr="00A26C26">
              <w:rPr>
                <w:rFonts w:cstheme="minorHAnsi"/>
              </w:rPr>
              <w:t>w</w:t>
            </w:r>
            <w:r>
              <w:rPr>
                <w:rFonts w:cstheme="minorHAnsi"/>
              </w:rPr>
              <w:t xml:space="preserve"> </w:t>
            </w:r>
            <w:r w:rsidRPr="00A26C26">
              <w:rPr>
                <w:rFonts w:cstheme="minorHAnsi"/>
              </w:rPr>
              <w:t>zakresie</w:t>
            </w:r>
            <w:r>
              <w:rPr>
                <w:rFonts w:cstheme="minorHAnsi"/>
              </w:rPr>
              <w:t xml:space="preserve"> </w:t>
            </w:r>
            <w:r w:rsidRPr="00A26C26">
              <w:rPr>
                <w:rFonts w:cstheme="minorHAnsi"/>
              </w:rPr>
              <w:t>odpowiednim</w:t>
            </w:r>
            <w:r>
              <w:rPr>
                <w:rFonts w:cstheme="minorHAnsi"/>
              </w:rPr>
              <w:t xml:space="preserve"> </w:t>
            </w:r>
            <w:r w:rsidRPr="00A26C26">
              <w:rPr>
                <w:rFonts w:cstheme="minorHAnsi"/>
              </w:rPr>
              <w:t>do</w:t>
            </w:r>
            <w:r>
              <w:rPr>
                <w:rFonts w:cstheme="minorHAnsi"/>
              </w:rPr>
              <w:t xml:space="preserve"> </w:t>
            </w:r>
            <w:r w:rsidRPr="00A26C26">
              <w:rPr>
                <w:rFonts w:cstheme="minorHAnsi"/>
              </w:rPr>
              <w:t>zakresu</w:t>
            </w:r>
            <w:r>
              <w:rPr>
                <w:rFonts w:cstheme="minorHAnsi"/>
              </w:rPr>
              <w:t xml:space="preserve"> </w:t>
            </w:r>
            <w:r w:rsidRPr="00A26C26">
              <w:rPr>
                <w:rFonts w:cstheme="minorHAnsi"/>
              </w:rPr>
              <w:t>projektu</w:t>
            </w:r>
            <w:r>
              <w:rPr>
                <w:rFonts w:cstheme="minorHAnsi"/>
              </w:rPr>
              <w:t xml:space="preserve"> </w:t>
            </w:r>
          </w:p>
        </w:tc>
        <w:tc>
          <w:tcPr>
            <w:tcW w:w="501" w:type="dxa"/>
          </w:tcPr>
          <w:p w14:paraId="132CF92B" w14:textId="77777777" w:rsidR="00864F84" w:rsidRPr="00A26C26" w:rsidRDefault="00864F84" w:rsidP="00A26C26">
            <w:pPr>
              <w:spacing w:line="276" w:lineRule="auto"/>
              <w:jc w:val="center"/>
              <w:rPr>
                <w:rFonts w:cstheme="minorHAnsi"/>
              </w:rPr>
            </w:pPr>
          </w:p>
        </w:tc>
        <w:tc>
          <w:tcPr>
            <w:tcW w:w="495" w:type="dxa"/>
          </w:tcPr>
          <w:p w14:paraId="3F5FA184" w14:textId="77777777" w:rsidR="00864F84" w:rsidRPr="00A26C26" w:rsidRDefault="00864F84" w:rsidP="00A26C26">
            <w:pPr>
              <w:spacing w:line="276" w:lineRule="auto"/>
              <w:jc w:val="center"/>
              <w:rPr>
                <w:rFonts w:cstheme="minorHAnsi"/>
              </w:rPr>
            </w:pPr>
            <w:r w:rsidRPr="00A26C26">
              <w:rPr>
                <w:rFonts w:cstheme="minorHAnsi"/>
              </w:rPr>
              <w:t>x</w:t>
            </w:r>
          </w:p>
        </w:tc>
        <w:tc>
          <w:tcPr>
            <w:tcW w:w="566" w:type="dxa"/>
          </w:tcPr>
          <w:p w14:paraId="52C415F3" w14:textId="77777777" w:rsidR="00864F84" w:rsidRPr="00A26C26" w:rsidRDefault="00864F84" w:rsidP="00A26C26">
            <w:pPr>
              <w:spacing w:line="276" w:lineRule="auto"/>
              <w:jc w:val="center"/>
              <w:rPr>
                <w:rFonts w:cstheme="minorHAnsi"/>
              </w:rPr>
            </w:pPr>
            <w:r w:rsidRPr="00A26C26">
              <w:rPr>
                <w:rFonts w:cstheme="minorHAnsi"/>
              </w:rPr>
              <w:t>x</w:t>
            </w:r>
          </w:p>
        </w:tc>
        <w:tc>
          <w:tcPr>
            <w:tcW w:w="566" w:type="dxa"/>
          </w:tcPr>
          <w:p w14:paraId="478AF2AE" w14:textId="77777777" w:rsidR="00864F84" w:rsidRPr="00A26C26" w:rsidRDefault="00864F84" w:rsidP="00A26C26">
            <w:pPr>
              <w:spacing w:line="276" w:lineRule="auto"/>
              <w:jc w:val="center"/>
              <w:rPr>
                <w:rFonts w:cstheme="minorHAnsi"/>
              </w:rPr>
            </w:pPr>
          </w:p>
        </w:tc>
        <w:tc>
          <w:tcPr>
            <w:tcW w:w="564" w:type="dxa"/>
          </w:tcPr>
          <w:p w14:paraId="388CCA2A" w14:textId="77777777" w:rsidR="00864F84" w:rsidRPr="00A26C26" w:rsidRDefault="00864F84" w:rsidP="00A26C26">
            <w:pPr>
              <w:spacing w:line="276" w:lineRule="auto"/>
              <w:jc w:val="center"/>
              <w:rPr>
                <w:rFonts w:cstheme="minorHAnsi"/>
              </w:rPr>
            </w:pPr>
          </w:p>
        </w:tc>
        <w:tc>
          <w:tcPr>
            <w:tcW w:w="569" w:type="dxa"/>
          </w:tcPr>
          <w:p w14:paraId="0C3475A4" w14:textId="77777777" w:rsidR="00864F84" w:rsidRPr="00A26C26" w:rsidRDefault="00864F84" w:rsidP="00A26C26">
            <w:pPr>
              <w:spacing w:line="276" w:lineRule="auto"/>
              <w:jc w:val="center"/>
              <w:rPr>
                <w:rFonts w:cstheme="minorHAnsi"/>
              </w:rPr>
            </w:pPr>
          </w:p>
        </w:tc>
        <w:tc>
          <w:tcPr>
            <w:tcW w:w="566" w:type="dxa"/>
          </w:tcPr>
          <w:p w14:paraId="5391D9E3" w14:textId="77777777" w:rsidR="00864F84" w:rsidRPr="00A26C26" w:rsidRDefault="00864F84" w:rsidP="00A26C26">
            <w:pPr>
              <w:spacing w:line="276" w:lineRule="auto"/>
              <w:jc w:val="center"/>
              <w:rPr>
                <w:rFonts w:cstheme="minorHAnsi"/>
              </w:rPr>
            </w:pPr>
          </w:p>
        </w:tc>
      </w:tr>
      <w:tr w:rsidR="00864F84" w:rsidRPr="00A26C26" w14:paraId="2577A374" w14:textId="77777777" w:rsidTr="00864F84">
        <w:tc>
          <w:tcPr>
            <w:tcW w:w="6374" w:type="dxa"/>
          </w:tcPr>
          <w:p w14:paraId="660D5950" w14:textId="0A812B4F" w:rsidR="00864F84" w:rsidRPr="00A26C26" w:rsidRDefault="00864F84" w:rsidP="00915596">
            <w:pPr>
              <w:spacing w:line="276" w:lineRule="auto"/>
              <w:rPr>
                <w:rFonts w:cstheme="minorHAnsi"/>
              </w:rPr>
            </w:pPr>
            <w:r w:rsidRPr="00A26C26">
              <w:rPr>
                <w:rFonts w:cstheme="minorHAnsi"/>
              </w:rPr>
              <w:t>Premiowanie</w:t>
            </w:r>
            <w:r>
              <w:rPr>
                <w:rFonts w:cstheme="minorHAnsi"/>
              </w:rPr>
              <w:t xml:space="preserve"> </w:t>
            </w:r>
            <w:r w:rsidRPr="00A26C26">
              <w:rPr>
                <w:rFonts w:cstheme="minorHAnsi"/>
              </w:rPr>
              <w:t>operacji,</w:t>
            </w:r>
            <w:r>
              <w:rPr>
                <w:rFonts w:cstheme="minorHAnsi"/>
              </w:rPr>
              <w:t xml:space="preserve"> </w:t>
            </w:r>
            <w:r w:rsidRPr="00A26C26">
              <w:rPr>
                <w:rFonts w:cstheme="minorHAnsi"/>
              </w:rPr>
              <w:t>które</w:t>
            </w:r>
            <w:r>
              <w:rPr>
                <w:rFonts w:cstheme="minorHAnsi"/>
              </w:rPr>
              <w:t xml:space="preserve"> </w:t>
            </w:r>
            <w:r w:rsidRPr="00A26C26">
              <w:rPr>
                <w:rFonts w:cstheme="minorHAnsi"/>
              </w:rPr>
              <w:t>mają</w:t>
            </w:r>
            <w:r>
              <w:rPr>
                <w:rFonts w:cstheme="minorHAnsi"/>
              </w:rPr>
              <w:t xml:space="preserve"> </w:t>
            </w:r>
            <w:r w:rsidRPr="00A26C26">
              <w:rPr>
                <w:rFonts w:cstheme="minorHAnsi"/>
              </w:rPr>
              <w:t>na</w:t>
            </w:r>
            <w:r>
              <w:rPr>
                <w:rFonts w:cstheme="minorHAnsi"/>
              </w:rPr>
              <w:t xml:space="preserve"> </w:t>
            </w:r>
            <w:r w:rsidRPr="00A26C26">
              <w:rPr>
                <w:rFonts w:cstheme="minorHAnsi"/>
              </w:rPr>
              <w:t>celu</w:t>
            </w:r>
            <w:r>
              <w:rPr>
                <w:rFonts w:cstheme="minorHAnsi"/>
              </w:rPr>
              <w:t xml:space="preserve"> </w:t>
            </w:r>
            <w:r w:rsidRPr="00A26C26">
              <w:rPr>
                <w:rFonts w:cstheme="minorHAnsi"/>
              </w:rPr>
              <w:t>kultywowanie</w:t>
            </w:r>
            <w:r>
              <w:rPr>
                <w:rFonts w:cstheme="minorHAnsi"/>
              </w:rPr>
              <w:t xml:space="preserve"> </w:t>
            </w:r>
            <w:r w:rsidRPr="00A26C26">
              <w:rPr>
                <w:rFonts w:cstheme="minorHAnsi"/>
              </w:rPr>
              <w:t>lokalnych</w:t>
            </w:r>
            <w:r>
              <w:rPr>
                <w:rFonts w:cstheme="minorHAnsi"/>
              </w:rPr>
              <w:t xml:space="preserve"> </w:t>
            </w:r>
            <w:r w:rsidRPr="00A26C26">
              <w:rPr>
                <w:rFonts w:cstheme="minorHAnsi"/>
              </w:rPr>
              <w:t>tradycji</w:t>
            </w:r>
            <w:r>
              <w:rPr>
                <w:rFonts w:cstheme="minorHAnsi"/>
              </w:rPr>
              <w:t xml:space="preserve"> </w:t>
            </w:r>
            <w:r w:rsidRPr="00A26C26">
              <w:rPr>
                <w:rFonts w:cstheme="minorHAnsi"/>
              </w:rPr>
              <w:t>/</w:t>
            </w:r>
            <w:r>
              <w:rPr>
                <w:rFonts w:cstheme="minorHAnsi"/>
              </w:rPr>
              <w:t xml:space="preserve"> </w:t>
            </w:r>
            <w:r w:rsidRPr="00A26C26">
              <w:rPr>
                <w:rFonts w:cstheme="minorHAnsi"/>
              </w:rPr>
              <w:t>lokalnego</w:t>
            </w:r>
            <w:r>
              <w:rPr>
                <w:rFonts w:cstheme="minorHAnsi"/>
              </w:rPr>
              <w:t xml:space="preserve"> </w:t>
            </w:r>
            <w:r w:rsidRPr="00A26C26">
              <w:rPr>
                <w:rFonts w:cstheme="minorHAnsi"/>
              </w:rPr>
              <w:t>dziedzictwa</w:t>
            </w:r>
            <w:r>
              <w:rPr>
                <w:rFonts w:cstheme="minorHAnsi"/>
              </w:rPr>
              <w:t xml:space="preserve"> </w:t>
            </w:r>
            <w:r w:rsidRPr="00A26C26">
              <w:rPr>
                <w:rFonts w:cstheme="minorHAnsi"/>
              </w:rPr>
              <w:t>/</w:t>
            </w:r>
            <w:r>
              <w:rPr>
                <w:rFonts w:cstheme="minorHAnsi"/>
              </w:rPr>
              <w:t xml:space="preserve"> </w:t>
            </w:r>
            <w:r w:rsidRPr="00A26C26">
              <w:rPr>
                <w:rFonts w:cstheme="minorHAnsi"/>
              </w:rPr>
              <w:t>integracji</w:t>
            </w:r>
            <w:r>
              <w:rPr>
                <w:rFonts w:cstheme="minorHAnsi"/>
              </w:rPr>
              <w:t xml:space="preserve"> </w:t>
            </w:r>
            <w:r w:rsidRPr="00A26C26">
              <w:rPr>
                <w:rFonts w:cstheme="minorHAnsi"/>
              </w:rPr>
              <w:t>społeczności</w:t>
            </w:r>
            <w:r>
              <w:rPr>
                <w:rFonts w:cstheme="minorHAnsi"/>
              </w:rPr>
              <w:t xml:space="preserve"> </w:t>
            </w:r>
            <w:r w:rsidRPr="00A26C26">
              <w:rPr>
                <w:rFonts w:cstheme="minorHAnsi"/>
              </w:rPr>
              <w:t>lokalnej</w:t>
            </w:r>
            <w:r>
              <w:rPr>
                <w:rFonts w:cstheme="minorHAnsi"/>
              </w:rPr>
              <w:t xml:space="preserve"> </w:t>
            </w:r>
            <w:r w:rsidRPr="00A26C26">
              <w:rPr>
                <w:rFonts w:cstheme="minorHAnsi"/>
              </w:rPr>
              <w:t>/</w:t>
            </w:r>
            <w:r>
              <w:rPr>
                <w:rFonts w:cstheme="minorHAnsi"/>
              </w:rPr>
              <w:t xml:space="preserve"> </w:t>
            </w:r>
            <w:r w:rsidRPr="00A26C26">
              <w:rPr>
                <w:rFonts w:cstheme="minorHAnsi"/>
              </w:rPr>
              <w:t>włączeniu</w:t>
            </w:r>
            <w:r>
              <w:rPr>
                <w:rFonts w:cstheme="minorHAnsi"/>
              </w:rPr>
              <w:t xml:space="preserve"> </w:t>
            </w:r>
            <w:r w:rsidRPr="00A26C26">
              <w:rPr>
                <w:rFonts w:cstheme="minorHAnsi"/>
              </w:rPr>
              <w:t>społecznemu</w:t>
            </w:r>
            <w:r>
              <w:rPr>
                <w:rFonts w:cstheme="minorHAnsi"/>
              </w:rPr>
              <w:t xml:space="preserve"> </w:t>
            </w:r>
            <w:r w:rsidRPr="00A26C26">
              <w:rPr>
                <w:rFonts w:cstheme="minorHAnsi"/>
              </w:rPr>
              <w:t>/</w:t>
            </w:r>
            <w:r>
              <w:rPr>
                <w:rFonts w:cstheme="minorHAnsi"/>
              </w:rPr>
              <w:t xml:space="preserve"> </w:t>
            </w:r>
            <w:r w:rsidRPr="00A26C26">
              <w:rPr>
                <w:rFonts w:cstheme="minorHAnsi"/>
              </w:rPr>
              <w:t>innych</w:t>
            </w:r>
          </w:p>
        </w:tc>
        <w:tc>
          <w:tcPr>
            <w:tcW w:w="501" w:type="dxa"/>
          </w:tcPr>
          <w:p w14:paraId="29284408" w14:textId="77777777" w:rsidR="00864F84" w:rsidRPr="00A26C26" w:rsidRDefault="00864F84" w:rsidP="00A26C26">
            <w:pPr>
              <w:spacing w:line="276" w:lineRule="auto"/>
              <w:jc w:val="center"/>
              <w:rPr>
                <w:rFonts w:cstheme="minorHAnsi"/>
              </w:rPr>
            </w:pPr>
            <w:r w:rsidRPr="00A26C26">
              <w:rPr>
                <w:rFonts w:cstheme="minorHAnsi"/>
              </w:rPr>
              <w:t>x</w:t>
            </w:r>
          </w:p>
        </w:tc>
        <w:tc>
          <w:tcPr>
            <w:tcW w:w="495" w:type="dxa"/>
          </w:tcPr>
          <w:p w14:paraId="08C6A4F3" w14:textId="77777777" w:rsidR="00864F84" w:rsidRPr="00A26C26" w:rsidRDefault="00864F84" w:rsidP="00A26C26">
            <w:pPr>
              <w:spacing w:line="276" w:lineRule="auto"/>
              <w:jc w:val="center"/>
              <w:rPr>
                <w:rFonts w:cstheme="minorHAnsi"/>
              </w:rPr>
            </w:pPr>
            <w:r w:rsidRPr="00A26C26">
              <w:rPr>
                <w:rFonts w:cstheme="minorHAnsi"/>
              </w:rPr>
              <w:t>x</w:t>
            </w:r>
          </w:p>
        </w:tc>
        <w:tc>
          <w:tcPr>
            <w:tcW w:w="566" w:type="dxa"/>
          </w:tcPr>
          <w:p w14:paraId="47B2C10A" w14:textId="77777777" w:rsidR="00864F84" w:rsidRPr="00A26C26" w:rsidRDefault="00864F84" w:rsidP="00A26C26">
            <w:pPr>
              <w:spacing w:line="276" w:lineRule="auto"/>
              <w:jc w:val="center"/>
              <w:rPr>
                <w:rFonts w:cstheme="minorHAnsi"/>
              </w:rPr>
            </w:pPr>
            <w:r w:rsidRPr="00A26C26">
              <w:rPr>
                <w:rFonts w:cstheme="minorHAnsi"/>
              </w:rPr>
              <w:t>x</w:t>
            </w:r>
          </w:p>
        </w:tc>
        <w:tc>
          <w:tcPr>
            <w:tcW w:w="566" w:type="dxa"/>
          </w:tcPr>
          <w:p w14:paraId="2FA47067" w14:textId="77777777" w:rsidR="00864F84" w:rsidRPr="00A26C26" w:rsidRDefault="00864F84" w:rsidP="00A26C26">
            <w:pPr>
              <w:spacing w:line="276" w:lineRule="auto"/>
              <w:jc w:val="center"/>
              <w:rPr>
                <w:rFonts w:cstheme="minorHAnsi"/>
              </w:rPr>
            </w:pPr>
            <w:r w:rsidRPr="00A26C26">
              <w:rPr>
                <w:rFonts w:cstheme="minorHAnsi"/>
              </w:rPr>
              <w:t>x</w:t>
            </w:r>
          </w:p>
        </w:tc>
        <w:tc>
          <w:tcPr>
            <w:tcW w:w="564" w:type="dxa"/>
          </w:tcPr>
          <w:p w14:paraId="5278FC1A" w14:textId="77777777" w:rsidR="00864F84" w:rsidRPr="00A26C26" w:rsidRDefault="00864F84" w:rsidP="00A26C26">
            <w:pPr>
              <w:spacing w:line="276" w:lineRule="auto"/>
              <w:jc w:val="center"/>
              <w:rPr>
                <w:rFonts w:cstheme="minorHAnsi"/>
              </w:rPr>
            </w:pPr>
            <w:r w:rsidRPr="00A26C26">
              <w:rPr>
                <w:rFonts w:cstheme="minorHAnsi"/>
              </w:rPr>
              <w:t>x</w:t>
            </w:r>
          </w:p>
        </w:tc>
        <w:tc>
          <w:tcPr>
            <w:tcW w:w="569" w:type="dxa"/>
          </w:tcPr>
          <w:p w14:paraId="066C65BD" w14:textId="77777777" w:rsidR="00864F84" w:rsidRPr="00A26C26" w:rsidRDefault="00864F84" w:rsidP="00A26C26">
            <w:pPr>
              <w:spacing w:line="276" w:lineRule="auto"/>
              <w:jc w:val="center"/>
              <w:rPr>
                <w:rFonts w:cstheme="minorHAnsi"/>
              </w:rPr>
            </w:pPr>
            <w:r w:rsidRPr="00A26C26">
              <w:rPr>
                <w:rFonts w:cstheme="minorHAnsi"/>
              </w:rPr>
              <w:t>x</w:t>
            </w:r>
          </w:p>
        </w:tc>
        <w:tc>
          <w:tcPr>
            <w:tcW w:w="566" w:type="dxa"/>
          </w:tcPr>
          <w:p w14:paraId="0787B38B" w14:textId="77777777" w:rsidR="00864F84" w:rsidRPr="00A26C26" w:rsidRDefault="00864F84" w:rsidP="00A26C26">
            <w:pPr>
              <w:spacing w:line="276" w:lineRule="auto"/>
              <w:jc w:val="center"/>
              <w:rPr>
                <w:rFonts w:cstheme="minorHAnsi"/>
              </w:rPr>
            </w:pPr>
          </w:p>
        </w:tc>
      </w:tr>
      <w:tr w:rsidR="00F16251" w:rsidRPr="00F16251" w14:paraId="0E87B8A4" w14:textId="77777777" w:rsidTr="00864F84">
        <w:tc>
          <w:tcPr>
            <w:tcW w:w="6374" w:type="dxa"/>
          </w:tcPr>
          <w:p w14:paraId="79C66B55" w14:textId="48A09526" w:rsidR="00864F84" w:rsidRPr="00F16251" w:rsidRDefault="00864F84" w:rsidP="00A26C26">
            <w:pPr>
              <w:spacing w:line="276" w:lineRule="auto"/>
              <w:rPr>
                <w:rFonts w:cstheme="minorHAnsi"/>
              </w:rPr>
            </w:pPr>
            <w:r w:rsidRPr="00F16251">
              <w:rPr>
                <w:rFonts w:cstheme="minorHAnsi"/>
              </w:rPr>
              <w:t>Premiowanie operacji, które są dedykowane osobom młodym, seniorom, osobom w niekorzystnej sytuacji</w:t>
            </w:r>
          </w:p>
        </w:tc>
        <w:tc>
          <w:tcPr>
            <w:tcW w:w="501" w:type="dxa"/>
          </w:tcPr>
          <w:p w14:paraId="4C10A60C" w14:textId="77777777" w:rsidR="00864F84" w:rsidRPr="00F16251" w:rsidRDefault="00864F84" w:rsidP="00A26C26">
            <w:pPr>
              <w:spacing w:line="276" w:lineRule="auto"/>
              <w:jc w:val="center"/>
              <w:rPr>
                <w:rFonts w:cstheme="minorHAnsi"/>
              </w:rPr>
            </w:pPr>
            <w:r w:rsidRPr="00F16251">
              <w:rPr>
                <w:rFonts w:cstheme="minorHAnsi"/>
              </w:rPr>
              <w:t>x</w:t>
            </w:r>
          </w:p>
        </w:tc>
        <w:tc>
          <w:tcPr>
            <w:tcW w:w="495" w:type="dxa"/>
          </w:tcPr>
          <w:p w14:paraId="35BEF21A" w14:textId="77777777" w:rsidR="00864F84" w:rsidRPr="00F16251" w:rsidRDefault="00864F84" w:rsidP="00A26C26">
            <w:pPr>
              <w:spacing w:line="276" w:lineRule="auto"/>
              <w:jc w:val="center"/>
              <w:rPr>
                <w:rFonts w:cstheme="minorHAnsi"/>
              </w:rPr>
            </w:pPr>
            <w:r w:rsidRPr="00F16251">
              <w:rPr>
                <w:rFonts w:cstheme="minorHAnsi"/>
              </w:rPr>
              <w:t>x</w:t>
            </w:r>
          </w:p>
        </w:tc>
        <w:tc>
          <w:tcPr>
            <w:tcW w:w="566" w:type="dxa"/>
          </w:tcPr>
          <w:p w14:paraId="795A9DD1" w14:textId="77777777" w:rsidR="00864F84" w:rsidRPr="00F16251" w:rsidRDefault="00864F84" w:rsidP="00A26C26">
            <w:pPr>
              <w:spacing w:line="276" w:lineRule="auto"/>
              <w:jc w:val="center"/>
              <w:rPr>
                <w:rFonts w:cstheme="minorHAnsi"/>
              </w:rPr>
            </w:pPr>
            <w:r w:rsidRPr="00F16251">
              <w:rPr>
                <w:rFonts w:cstheme="minorHAnsi"/>
              </w:rPr>
              <w:t>x</w:t>
            </w:r>
          </w:p>
        </w:tc>
        <w:tc>
          <w:tcPr>
            <w:tcW w:w="566" w:type="dxa"/>
          </w:tcPr>
          <w:p w14:paraId="24655AFB" w14:textId="77777777" w:rsidR="00864F84" w:rsidRPr="00F16251" w:rsidRDefault="00864F84" w:rsidP="00A26C26">
            <w:pPr>
              <w:spacing w:line="276" w:lineRule="auto"/>
              <w:jc w:val="center"/>
              <w:rPr>
                <w:rFonts w:cstheme="minorHAnsi"/>
              </w:rPr>
            </w:pPr>
            <w:r w:rsidRPr="00F16251">
              <w:rPr>
                <w:rFonts w:cstheme="minorHAnsi"/>
              </w:rPr>
              <w:t>x</w:t>
            </w:r>
          </w:p>
        </w:tc>
        <w:tc>
          <w:tcPr>
            <w:tcW w:w="564" w:type="dxa"/>
          </w:tcPr>
          <w:p w14:paraId="5F6012FE" w14:textId="77777777" w:rsidR="00864F84" w:rsidRPr="00F16251" w:rsidRDefault="00864F84" w:rsidP="00A26C26">
            <w:pPr>
              <w:spacing w:line="276" w:lineRule="auto"/>
              <w:jc w:val="center"/>
              <w:rPr>
                <w:rFonts w:cstheme="minorHAnsi"/>
              </w:rPr>
            </w:pPr>
            <w:r w:rsidRPr="00F16251">
              <w:rPr>
                <w:rFonts w:cstheme="minorHAnsi"/>
              </w:rPr>
              <w:t>x</w:t>
            </w:r>
          </w:p>
        </w:tc>
        <w:tc>
          <w:tcPr>
            <w:tcW w:w="569" w:type="dxa"/>
          </w:tcPr>
          <w:p w14:paraId="03C582E1" w14:textId="77777777" w:rsidR="00864F84" w:rsidRPr="00F16251" w:rsidRDefault="00864F84" w:rsidP="00A26C26">
            <w:pPr>
              <w:spacing w:line="276" w:lineRule="auto"/>
              <w:jc w:val="center"/>
              <w:rPr>
                <w:rFonts w:cstheme="minorHAnsi"/>
              </w:rPr>
            </w:pPr>
            <w:r w:rsidRPr="00F16251">
              <w:rPr>
                <w:rFonts w:cstheme="minorHAnsi"/>
              </w:rPr>
              <w:t>x</w:t>
            </w:r>
          </w:p>
        </w:tc>
        <w:tc>
          <w:tcPr>
            <w:tcW w:w="566" w:type="dxa"/>
          </w:tcPr>
          <w:p w14:paraId="4B3A94BB" w14:textId="77777777" w:rsidR="00864F84" w:rsidRPr="00F16251" w:rsidRDefault="00864F84" w:rsidP="00A26C26">
            <w:pPr>
              <w:spacing w:line="276" w:lineRule="auto"/>
              <w:jc w:val="center"/>
              <w:rPr>
                <w:rFonts w:cstheme="minorHAnsi"/>
              </w:rPr>
            </w:pPr>
            <w:r w:rsidRPr="00F16251">
              <w:rPr>
                <w:rFonts w:cstheme="minorHAnsi"/>
              </w:rPr>
              <w:t>x</w:t>
            </w:r>
          </w:p>
        </w:tc>
      </w:tr>
      <w:tr w:rsidR="00F16251" w:rsidRPr="00F16251" w14:paraId="30E3C339" w14:textId="77777777" w:rsidTr="00915596">
        <w:trPr>
          <w:trHeight w:val="77"/>
        </w:trPr>
        <w:tc>
          <w:tcPr>
            <w:tcW w:w="6374" w:type="dxa"/>
          </w:tcPr>
          <w:p w14:paraId="07C318D7" w14:textId="0CFF60A4" w:rsidR="00864F84" w:rsidRPr="00F16251" w:rsidRDefault="00864F84" w:rsidP="00A26C26">
            <w:pPr>
              <w:spacing w:line="276" w:lineRule="auto"/>
              <w:rPr>
                <w:rFonts w:cstheme="minorHAnsi"/>
              </w:rPr>
            </w:pPr>
            <w:r w:rsidRPr="00F16251">
              <w:rPr>
                <w:rFonts w:cstheme="minorHAnsi"/>
              </w:rPr>
              <w:t xml:space="preserve">Premiowanie operacji, które będą uwzględniać promocję LGD, zgodnie z wymogami określonymi </w:t>
            </w:r>
            <w:r w:rsidR="00915596" w:rsidRPr="00F16251">
              <w:rPr>
                <w:rFonts w:cstheme="minorHAnsi"/>
              </w:rPr>
              <w:t xml:space="preserve">dla </w:t>
            </w:r>
            <w:r w:rsidRPr="00F16251">
              <w:rPr>
                <w:rFonts w:cstheme="minorHAnsi"/>
              </w:rPr>
              <w:t xml:space="preserve">wizualizacji </w:t>
            </w:r>
            <w:r w:rsidR="00915596" w:rsidRPr="00F16251">
              <w:rPr>
                <w:rFonts w:cstheme="minorHAnsi"/>
              </w:rPr>
              <w:t xml:space="preserve">funduszu </w:t>
            </w:r>
          </w:p>
        </w:tc>
        <w:tc>
          <w:tcPr>
            <w:tcW w:w="501" w:type="dxa"/>
          </w:tcPr>
          <w:p w14:paraId="629C987D" w14:textId="77777777" w:rsidR="00864F84" w:rsidRPr="00F16251" w:rsidRDefault="00864F84" w:rsidP="00A26C26">
            <w:pPr>
              <w:spacing w:line="276" w:lineRule="auto"/>
              <w:jc w:val="center"/>
              <w:rPr>
                <w:rFonts w:cstheme="minorHAnsi"/>
              </w:rPr>
            </w:pPr>
            <w:r w:rsidRPr="00F16251">
              <w:rPr>
                <w:rFonts w:cstheme="minorHAnsi"/>
              </w:rPr>
              <w:t>x</w:t>
            </w:r>
          </w:p>
        </w:tc>
        <w:tc>
          <w:tcPr>
            <w:tcW w:w="495" w:type="dxa"/>
          </w:tcPr>
          <w:p w14:paraId="2C92EFF1" w14:textId="77777777" w:rsidR="00864F84" w:rsidRPr="00F16251" w:rsidRDefault="00864F84" w:rsidP="00A26C26">
            <w:pPr>
              <w:spacing w:line="276" w:lineRule="auto"/>
              <w:jc w:val="center"/>
              <w:rPr>
                <w:rFonts w:cstheme="minorHAnsi"/>
              </w:rPr>
            </w:pPr>
            <w:r w:rsidRPr="00F16251">
              <w:rPr>
                <w:rFonts w:cstheme="minorHAnsi"/>
              </w:rPr>
              <w:t>x</w:t>
            </w:r>
          </w:p>
        </w:tc>
        <w:tc>
          <w:tcPr>
            <w:tcW w:w="566" w:type="dxa"/>
          </w:tcPr>
          <w:p w14:paraId="1C0BC60C" w14:textId="77777777" w:rsidR="00864F84" w:rsidRPr="00F16251" w:rsidRDefault="00864F84" w:rsidP="00A26C26">
            <w:pPr>
              <w:spacing w:line="276" w:lineRule="auto"/>
              <w:jc w:val="center"/>
              <w:rPr>
                <w:rFonts w:cstheme="minorHAnsi"/>
              </w:rPr>
            </w:pPr>
            <w:r w:rsidRPr="00F16251">
              <w:rPr>
                <w:rFonts w:cstheme="minorHAnsi"/>
              </w:rPr>
              <w:t>x</w:t>
            </w:r>
          </w:p>
        </w:tc>
        <w:tc>
          <w:tcPr>
            <w:tcW w:w="566" w:type="dxa"/>
          </w:tcPr>
          <w:p w14:paraId="0AB97781" w14:textId="77777777" w:rsidR="00864F84" w:rsidRPr="00F16251" w:rsidRDefault="00864F84" w:rsidP="00A26C26">
            <w:pPr>
              <w:spacing w:line="276" w:lineRule="auto"/>
              <w:jc w:val="center"/>
              <w:rPr>
                <w:rFonts w:cstheme="minorHAnsi"/>
              </w:rPr>
            </w:pPr>
            <w:r w:rsidRPr="00F16251">
              <w:rPr>
                <w:rFonts w:cstheme="minorHAnsi"/>
              </w:rPr>
              <w:t>x</w:t>
            </w:r>
          </w:p>
        </w:tc>
        <w:tc>
          <w:tcPr>
            <w:tcW w:w="564" w:type="dxa"/>
          </w:tcPr>
          <w:p w14:paraId="082A4BBC" w14:textId="77777777" w:rsidR="00864F84" w:rsidRPr="00F16251" w:rsidRDefault="00864F84" w:rsidP="00A26C26">
            <w:pPr>
              <w:spacing w:line="276" w:lineRule="auto"/>
              <w:jc w:val="center"/>
              <w:rPr>
                <w:rFonts w:cstheme="minorHAnsi"/>
              </w:rPr>
            </w:pPr>
            <w:r w:rsidRPr="00F16251">
              <w:rPr>
                <w:rFonts w:cstheme="minorHAnsi"/>
              </w:rPr>
              <w:t>x</w:t>
            </w:r>
          </w:p>
        </w:tc>
        <w:tc>
          <w:tcPr>
            <w:tcW w:w="569" w:type="dxa"/>
          </w:tcPr>
          <w:p w14:paraId="59A823CB" w14:textId="77777777" w:rsidR="00864F84" w:rsidRPr="00F16251" w:rsidRDefault="00864F84" w:rsidP="00A26C26">
            <w:pPr>
              <w:spacing w:line="276" w:lineRule="auto"/>
              <w:jc w:val="center"/>
              <w:rPr>
                <w:rFonts w:cstheme="minorHAnsi"/>
              </w:rPr>
            </w:pPr>
            <w:r w:rsidRPr="00F16251">
              <w:rPr>
                <w:rFonts w:cstheme="minorHAnsi"/>
              </w:rPr>
              <w:t>x</w:t>
            </w:r>
          </w:p>
        </w:tc>
        <w:tc>
          <w:tcPr>
            <w:tcW w:w="566" w:type="dxa"/>
          </w:tcPr>
          <w:p w14:paraId="2271FAF0" w14:textId="77777777" w:rsidR="00864F84" w:rsidRPr="00F16251" w:rsidRDefault="00864F84" w:rsidP="00A26C26">
            <w:pPr>
              <w:spacing w:line="276" w:lineRule="auto"/>
              <w:jc w:val="center"/>
              <w:rPr>
                <w:rFonts w:cstheme="minorHAnsi"/>
              </w:rPr>
            </w:pPr>
            <w:r w:rsidRPr="00F16251">
              <w:rPr>
                <w:rFonts w:cstheme="minorHAnsi"/>
              </w:rPr>
              <w:t>x</w:t>
            </w:r>
          </w:p>
        </w:tc>
      </w:tr>
      <w:tr w:rsidR="00F16251" w:rsidRPr="00F16251" w14:paraId="5C5FDF15" w14:textId="77777777" w:rsidTr="00864F84">
        <w:tc>
          <w:tcPr>
            <w:tcW w:w="6374" w:type="dxa"/>
          </w:tcPr>
          <w:p w14:paraId="2CC53D92" w14:textId="75320635" w:rsidR="00864F84" w:rsidRPr="00F16251" w:rsidRDefault="00864F84" w:rsidP="00A26C26">
            <w:pPr>
              <w:spacing w:line="276" w:lineRule="auto"/>
              <w:rPr>
                <w:rFonts w:cstheme="minorHAnsi"/>
              </w:rPr>
            </w:pPr>
            <w:r w:rsidRPr="00F16251">
              <w:rPr>
                <w:rFonts w:cstheme="minorHAnsi"/>
              </w:rPr>
              <w:t>Odpowiedzialność społeczna – po zrealizowaniu projektu beneficjent zobowiązuje się do wykonania bezpłatnie usługi związanej z projektem na rzecz lokalnej społeczności</w:t>
            </w:r>
          </w:p>
        </w:tc>
        <w:tc>
          <w:tcPr>
            <w:tcW w:w="501" w:type="dxa"/>
          </w:tcPr>
          <w:p w14:paraId="25D7E38B" w14:textId="77777777" w:rsidR="00864F84" w:rsidRPr="00F16251" w:rsidRDefault="00864F84" w:rsidP="00A26C26">
            <w:pPr>
              <w:spacing w:line="276" w:lineRule="auto"/>
              <w:jc w:val="center"/>
              <w:rPr>
                <w:rFonts w:cstheme="minorHAnsi"/>
              </w:rPr>
            </w:pPr>
          </w:p>
        </w:tc>
        <w:tc>
          <w:tcPr>
            <w:tcW w:w="495" w:type="dxa"/>
          </w:tcPr>
          <w:p w14:paraId="664110FD" w14:textId="77777777" w:rsidR="00864F84" w:rsidRPr="00F16251" w:rsidRDefault="00864F84" w:rsidP="00A26C26">
            <w:pPr>
              <w:spacing w:line="276" w:lineRule="auto"/>
              <w:jc w:val="center"/>
              <w:rPr>
                <w:rFonts w:cstheme="minorHAnsi"/>
              </w:rPr>
            </w:pPr>
          </w:p>
        </w:tc>
        <w:tc>
          <w:tcPr>
            <w:tcW w:w="566" w:type="dxa"/>
          </w:tcPr>
          <w:p w14:paraId="6935B906" w14:textId="77777777" w:rsidR="00864F84" w:rsidRPr="00F16251" w:rsidRDefault="00864F84" w:rsidP="00A26C26">
            <w:pPr>
              <w:spacing w:line="276" w:lineRule="auto"/>
              <w:jc w:val="center"/>
              <w:rPr>
                <w:rFonts w:cstheme="minorHAnsi"/>
              </w:rPr>
            </w:pPr>
          </w:p>
        </w:tc>
        <w:tc>
          <w:tcPr>
            <w:tcW w:w="566" w:type="dxa"/>
          </w:tcPr>
          <w:p w14:paraId="4D080E1F" w14:textId="77777777" w:rsidR="00864F84" w:rsidRPr="00F16251" w:rsidRDefault="00864F84" w:rsidP="00A26C26">
            <w:pPr>
              <w:spacing w:line="276" w:lineRule="auto"/>
              <w:jc w:val="center"/>
              <w:rPr>
                <w:rFonts w:cstheme="minorHAnsi"/>
              </w:rPr>
            </w:pPr>
          </w:p>
        </w:tc>
        <w:tc>
          <w:tcPr>
            <w:tcW w:w="564" w:type="dxa"/>
          </w:tcPr>
          <w:p w14:paraId="4912872A" w14:textId="77777777" w:rsidR="00864F84" w:rsidRPr="00F16251" w:rsidRDefault="00864F84" w:rsidP="00A26C26">
            <w:pPr>
              <w:spacing w:line="276" w:lineRule="auto"/>
              <w:jc w:val="center"/>
              <w:rPr>
                <w:rFonts w:cstheme="minorHAnsi"/>
              </w:rPr>
            </w:pPr>
          </w:p>
        </w:tc>
        <w:tc>
          <w:tcPr>
            <w:tcW w:w="569" w:type="dxa"/>
          </w:tcPr>
          <w:p w14:paraId="66D8302B" w14:textId="77777777" w:rsidR="00864F84" w:rsidRPr="00F16251" w:rsidRDefault="00864F84" w:rsidP="00A26C26">
            <w:pPr>
              <w:spacing w:line="276" w:lineRule="auto"/>
              <w:jc w:val="center"/>
              <w:rPr>
                <w:rFonts w:cstheme="minorHAnsi"/>
              </w:rPr>
            </w:pPr>
          </w:p>
        </w:tc>
        <w:tc>
          <w:tcPr>
            <w:tcW w:w="566" w:type="dxa"/>
          </w:tcPr>
          <w:p w14:paraId="0EBCE0A1" w14:textId="77777777" w:rsidR="00864F84" w:rsidRPr="00F16251" w:rsidRDefault="00864F84" w:rsidP="00A26C26">
            <w:pPr>
              <w:spacing w:line="276" w:lineRule="auto"/>
              <w:jc w:val="center"/>
              <w:rPr>
                <w:rFonts w:cstheme="minorHAnsi"/>
              </w:rPr>
            </w:pPr>
            <w:r w:rsidRPr="00F16251">
              <w:rPr>
                <w:rFonts w:cstheme="minorHAnsi"/>
              </w:rPr>
              <w:t>x</w:t>
            </w:r>
          </w:p>
        </w:tc>
      </w:tr>
      <w:tr w:rsidR="00864F84" w:rsidRPr="00A26C26" w14:paraId="28AA4B0B" w14:textId="77777777" w:rsidTr="00864F84">
        <w:tc>
          <w:tcPr>
            <w:tcW w:w="6374" w:type="dxa"/>
          </w:tcPr>
          <w:p w14:paraId="64FE1576" w14:textId="3A56AD31" w:rsidR="00864F84" w:rsidRPr="00A26C26" w:rsidRDefault="00864F84" w:rsidP="00A26C26">
            <w:pPr>
              <w:spacing w:line="276" w:lineRule="auto"/>
              <w:rPr>
                <w:rFonts w:cstheme="minorHAnsi"/>
              </w:rPr>
            </w:pPr>
            <w:r w:rsidRPr="00A26C26">
              <w:rPr>
                <w:rFonts w:cstheme="minorHAnsi"/>
              </w:rPr>
              <w:t>Wykazanie</w:t>
            </w:r>
            <w:r>
              <w:rPr>
                <w:rFonts w:cstheme="minorHAnsi"/>
              </w:rPr>
              <w:t xml:space="preserve"> </w:t>
            </w:r>
            <w:r w:rsidRPr="00A26C26">
              <w:rPr>
                <w:rFonts w:cstheme="minorHAnsi"/>
              </w:rPr>
              <w:t>spójności,</w:t>
            </w:r>
            <w:r>
              <w:rPr>
                <w:rFonts w:cstheme="minorHAnsi"/>
              </w:rPr>
              <w:t xml:space="preserve"> </w:t>
            </w:r>
            <w:r w:rsidRPr="00A26C26">
              <w:rPr>
                <w:rFonts w:cstheme="minorHAnsi"/>
              </w:rPr>
              <w:t>komplementarności</w:t>
            </w:r>
            <w:r>
              <w:rPr>
                <w:rFonts w:cstheme="minorHAnsi"/>
              </w:rPr>
              <w:t xml:space="preserve"> </w:t>
            </w:r>
            <w:r w:rsidRPr="00A26C26">
              <w:rPr>
                <w:rFonts w:cstheme="minorHAnsi"/>
              </w:rPr>
              <w:t>lub</w:t>
            </w:r>
            <w:r>
              <w:rPr>
                <w:rFonts w:cstheme="minorHAnsi"/>
              </w:rPr>
              <w:t xml:space="preserve"> </w:t>
            </w:r>
            <w:r w:rsidRPr="00A26C26">
              <w:rPr>
                <w:rFonts w:cstheme="minorHAnsi"/>
              </w:rPr>
              <w:t>synergii</w:t>
            </w:r>
            <w:r>
              <w:rPr>
                <w:rFonts w:cstheme="minorHAnsi"/>
              </w:rPr>
              <w:t xml:space="preserve"> </w:t>
            </w:r>
            <w:r w:rsidRPr="00A26C26">
              <w:rPr>
                <w:rFonts w:cstheme="minorHAnsi"/>
              </w:rPr>
              <w:t>z</w:t>
            </w:r>
            <w:r>
              <w:rPr>
                <w:rFonts w:cstheme="minorHAnsi"/>
              </w:rPr>
              <w:t xml:space="preserve"> </w:t>
            </w:r>
            <w:r w:rsidRPr="00A26C26">
              <w:rPr>
                <w:rFonts w:cstheme="minorHAnsi"/>
              </w:rPr>
              <w:t>innymi</w:t>
            </w:r>
            <w:r>
              <w:rPr>
                <w:rFonts w:cstheme="minorHAnsi"/>
              </w:rPr>
              <w:t xml:space="preserve"> </w:t>
            </w:r>
            <w:r w:rsidRPr="00A26C26">
              <w:rPr>
                <w:rFonts w:cstheme="minorHAnsi"/>
              </w:rPr>
              <w:t>projektami</w:t>
            </w:r>
            <w:r>
              <w:rPr>
                <w:rFonts w:cstheme="minorHAnsi"/>
              </w:rPr>
              <w:t xml:space="preserve"> </w:t>
            </w:r>
            <w:r w:rsidRPr="00A26C26">
              <w:rPr>
                <w:rFonts w:cstheme="minorHAnsi"/>
              </w:rPr>
              <w:t>z</w:t>
            </w:r>
            <w:r>
              <w:rPr>
                <w:rFonts w:cstheme="minorHAnsi"/>
              </w:rPr>
              <w:t xml:space="preserve"> </w:t>
            </w:r>
            <w:r w:rsidRPr="00A26C26">
              <w:rPr>
                <w:rFonts w:cstheme="minorHAnsi"/>
              </w:rPr>
              <w:t>obszaru</w:t>
            </w:r>
            <w:r>
              <w:rPr>
                <w:rFonts w:cstheme="minorHAnsi"/>
              </w:rPr>
              <w:t xml:space="preserve"> </w:t>
            </w:r>
            <w:r w:rsidRPr="00A26C26">
              <w:rPr>
                <w:rFonts w:cstheme="minorHAnsi"/>
              </w:rPr>
              <w:t>LSR</w:t>
            </w:r>
          </w:p>
        </w:tc>
        <w:tc>
          <w:tcPr>
            <w:tcW w:w="501" w:type="dxa"/>
          </w:tcPr>
          <w:p w14:paraId="028A3686" w14:textId="77777777" w:rsidR="00864F84" w:rsidRPr="00A26C26" w:rsidRDefault="00864F84" w:rsidP="00A26C26">
            <w:pPr>
              <w:spacing w:line="276" w:lineRule="auto"/>
              <w:jc w:val="center"/>
              <w:rPr>
                <w:rFonts w:cstheme="minorHAnsi"/>
              </w:rPr>
            </w:pPr>
            <w:r w:rsidRPr="00A26C26">
              <w:rPr>
                <w:rFonts w:cstheme="minorHAnsi"/>
              </w:rPr>
              <w:t>x</w:t>
            </w:r>
          </w:p>
        </w:tc>
        <w:tc>
          <w:tcPr>
            <w:tcW w:w="495" w:type="dxa"/>
          </w:tcPr>
          <w:p w14:paraId="0B5A6051" w14:textId="77777777" w:rsidR="00864F84" w:rsidRPr="00A26C26" w:rsidRDefault="00864F84" w:rsidP="00A26C26">
            <w:pPr>
              <w:spacing w:line="276" w:lineRule="auto"/>
              <w:jc w:val="center"/>
              <w:rPr>
                <w:rFonts w:cstheme="minorHAnsi"/>
              </w:rPr>
            </w:pPr>
            <w:r w:rsidRPr="00A26C26">
              <w:rPr>
                <w:rFonts w:cstheme="minorHAnsi"/>
              </w:rPr>
              <w:t>x</w:t>
            </w:r>
          </w:p>
        </w:tc>
        <w:tc>
          <w:tcPr>
            <w:tcW w:w="566" w:type="dxa"/>
          </w:tcPr>
          <w:p w14:paraId="252DA84B" w14:textId="77777777" w:rsidR="00864F84" w:rsidRPr="00A26C26" w:rsidRDefault="00864F84" w:rsidP="00A26C26">
            <w:pPr>
              <w:spacing w:line="276" w:lineRule="auto"/>
              <w:jc w:val="center"/>
              <w:rPr>
                <w:rFonts w:cstheme="minorHAnsi"/>
              </w:rPr>
            </w:pPr>
            <w:r w:rsidRPr="00A26C26">
              <w:rPr>
                <w:rFonts w:cstheme="minorHAnsi"/>
              </w:rPr>
              <w:t>x</w:t>
            </w:r>
          </w:p>
        </w:tc>
        <w:tc>
          <w:tcPr>
            <w:tcW w:w="566" w:type="dxa"/>
          </w:tcPr>
          <w:p w14:paraId="639E1DCD" w14:textId="77777777" w:rsidR="00864F84" w:rsidRPr="00A26C26" w:rsidRDefault="00864F84" w:rsidP="00A26C26">
            <w:pPr>
              <w:spacing w:line="276" w:lineRule="auto"/>
              <w:jc w:val="center"/>
              <w:rPr>
                <w:rFonts w:cstheme="minorHAnsi"/>
              </w:rPr>
            </w:pPr>
            <w:r w:rsidRPr="00A26C26">
              <w:rPr>
                <w:rFonts w:cstheme="minorHAnsi"/>
              </w:rPr>
              <w:t>x</w:t>
            </w:r>
          </w:p>
        </w:tc>
        <w:tc>
          <w:tcPr>
            <w:tcW w:w="564" w:type="dxa"/>
          </w:tcPr>
          <w:p w14:paraId="43EA26E3" w14:textId="77777777" w:rsidR="00864F84" w:rsidRPr="00A26C26" w:rsidRDefault="00864F84" w:rsidP="00A26C26">
            <w:pPr>
              <w:spacing w:line="276" w:lineRule="auto"/>
              <w:jc w:val="center"/>
              <w:rPr>
                <w:rFonts w:cstheme="minorHAnsi"/>
              </w:rPr>
            </w:pPr>
            <w:r w:rsidRPr="00A26C26">
              <w:rPr>
                <w:rFonts w:cstheme="minorHAnsi"/>
              </w:rPr>
              <w:t>x</w:t>
            </w:r>
          </w:p>
        </w:tc>
        <w:tc>
          <w:tcPr>
            <w:tcW w:w="569" w:type="dxa"/>
          </w:tcPr>
          <w:p w14:paraId="08E2B9B8" w14:textId="77777777" w:rsidR="00864F84" w:rsidRPr="00A26C26" w:rsidRDefault="00864F84" w:rsidP="00A26C26">
            <w:pPr>
              <w:spacing w:line="276" w:lineRule="auto"/>
              <w:jc w:val="center"/>
              <w:rPr>
                <w:rFonts w:cstheme="minorHAnsi"/>
              </w:rPr>
            </w:pPr>
            <w:r w:rsidRPr="00A26C26">
              <w:rPr>
                <w:rFonts w:cstheme="minorHAnsi"/>
              </w:rPr>
              <w:t>x</w:t>
            </w:r>
          </w:p>
        </w:tc>
        <w:tc>
          <w:tcPr>
            <w:tcW w:w="566" w:type="dxa"/>
          </w:tcPr>
          <w:p w14:paraId="7CFB86DB" w14:textId="77777777" w:rsidR="00864F84" w:rsidRPr="00A26C26" w:rsidRDefault="00864F84" w:rsidP="00A26C26">
            <w:pPr>
              <w:spacing w:line="276" w:lineRule="auto"/>
              <w:jc w:val="center"/>
              <w:rPr>
                <w:rFonts w:cstheme="minorHAnsi"/>
              </w:rPr>
            </w:pPr>
            <w:r w:rsidRPr="00A26C26">
              <w:rPr>
                <w:rFonts w:cstheme="minorHAnsi"/>
              </w:rPr>
              <w:t>x</w:t>
            </w:r>
          </w:p>
        </w:tc>
      </w:tr>
    </w:tbl>
    <w:bookmarkEnd w:id="104"/>
    <w:p w14:paraId="5F81A56B" w14:textId="0B18847F" w:rsidR="00915596" w:rsidRDefault="00915596" w:rsidP="00A26C26">
      <w:pPr>
        <w:spacing w:line="276" w:lineRule="auto"/>
        <w:jc w:val="both"/>
        <w:rPr>
          <w:rFonts w:cstheme="minorHAnsi"/>
          <w:kern w:val="0"/>
          <w14:ligatures w14:val="none"/>
        </w:rPr>
      </w:pPr>
      <w:r>
        <w:rPr>
          <w:rFonts w:cstheme="minorHAnsi"/>
          <w:kern w:val="0"/>
          <w14:ligatures w14:val="none"/>
        </w:rPr>
        <w:t xml:space="preserve">Źródło: opracowanie własne </w:t>
      </w:r>
    </w:p>
    <w:p w14:paraId="51482F9F" w14:textId="77777777" w:rsidR="002C63F4" w:rsidRPr="00A26C26" w:rsidRDefault="002C63F4" w:rsidP="00A26C26">
      <w:pPr>
        <w:spacing w:line="276" w:lineRule="auto"/>
        <w:jc w:val="both"/>
        <w:rPr>
          <w:rFonts w:cstheme="minorHAnsi"/>
          <w:kern w:val="0"/>
          <w14:ligatures w14:val="none"/>
        </w:rPr>
      </w:pPr>
    </w:p>
    <w:p w14:paraId="3BB3ECE4" w14:textId="77777777" w:rsidR="0020003E" w:rsidRDefault="0020003E" w:rsidP="000D5979">
      <w:pPr>
        <w:spacing w:line="276" w:lineRule="auto"/>
        <w:jc w:val="both"/>
        <w:rPr>
          <w:rFonts w:eastAsia="Times New Roman" w:cstheme="minorHAnsi"/>
          <w:b/>
          <w:bCs/>
          <w:kern w:val="0"/>
          <w:lang w:eastAsia="pl-PL"/>
          <w14:ligatures w14:val="none"/>
        </w:rPr>
      </w:pPr>
    </w:p>
    <w:p w14:paraId="455CEA88" w14:textId="77777777" w:rsidR="00D61194" w:rsidRDefault="00D61194" w:rsidP="000D5979">
      <w:pPr>
        <w:spacing w:line="276" w:lineRule="auto"/>
        <w:jc w:val="both"/>
        <w:rPr>
          <w:rFonts w:eastAsia="Times New Roman" w:cstheme="minorHAnsi"/>
          <w:b/>
          <w:bCs/>
          <w:kern w:val="0"/>
          <w:lang w:eastAsia="pl-PL"/>
          <w14:ligatures w14:val="none"/>
        </w:rPr>
      </w:pPr>
    </w:p>
    <w:p w14:paraId="189E43EB" w14:textId="77777777" w:rsidR="00D61194" w:rsidRDefault="00D61194" w:rsidP="000D5979">
      <w:pPr>
        <w:spacing w:line="276" w:lineRule="auto"/>
        <w:jc w:val="both"/>
        <w:rPr>
          <w:rFonts w:eastAsia="Times New Roman" w:cstheme="minorHAnsi"/>
          <w:b/>
          <w:bCs/>
          <w:kern w:val="0"/>
          <w:lang w:eastAsia="pl-PL"/>
          <w14:ligatures w14:val="none"/>
        </w:rPr>
      </w:pPr>
    </w:p>
    <w:p w14:paraId="506ED5F0" w14:textId="77777777" w:rsidR="000D5979" w:rsidRPr="00F16251" w:rsidRDefault="000D5979" w:rsidP="000D5979">
      <w:pPr>
        <w:spacing w:line="276" w:lineRule="auto"/>
        <w:jc w:val="both"/>
        <w:rPr>
          <w:rFonts w:eastAsia="Times New Roman" w:cstheme="minorHAnsi"/>
          <w:b/>
          <w:bCs/>
          <w:kern w:val="0"/>
          <w:lang w:eastAsia="pl-PL"/>
          <w14:ligatures w14:val="none"/>
        </w:rPr>
      </w:pPr>
      <w:r w:rsidRPr="00F16251">
        <w:rPr>
          <w:rFonts w:eastAsia="Times New Roman" w:cstheme="minorHAnsi"/>
          <w:b/>
          <w:bCs/>
          <w:kern w:val="0"/>
          <w:lang w:eastAsia="pl-PL"/>
          <w14:ligatures w14:val="none"/>
        </w:rPr>
        <w:lastRenderedPageBreak/>
        <w:t>Kryterium innowacyjność:</w:t>
      </w:r>
    </w:p>
    <w:p w14:paraId="47123313" w14:textId="77777777" w:rsidR="000D5979" w:rsidRPr="00F16251" w:rsidRDefault="000D5979" w:rsidP="000D5979">
      <w:pPr>
        <w:numPr>
          <w:ilvl w:val="0"/>
          <w:numId w:val="50"/>
        </w:numPr>
        <w:spacing w:line="276" w:lineRule="auto"/>
        <w:contextualSpacing/>
        <w:jc w:val="both"/>
        <w:rPr>
          <w:rFonts w:eastAsia="Times New Roman" w:cstheme="minorHAnsi"/>
          <w:kern w:val="0"/>
          <w:lang w:eastAsia="pl-PL"/>
          <w14:ligatures w14:val="none"/>
        </w:rPr>
      </w:pPr>
      <w:r w:rsidRPr="00F16251">
        <w:rPr>
          <w:rFonts w:eastAsia="Times New Roman" w:cstheme="minorHAnsi"/>
          <w:b/>
          <w:bCs/>
          <w:kern w:val="0"/>
          <w:lang w:eastAsia="pl-PL"/>
          <w14:ligatures w14:val="none"/>
        </w:rPr>
        <w:t>Definicja innowacyjności</w:t>
      </w:r>
      <w:r w:rsidRPr="00F16251">
        <w:rPr>
          <w:rFonts w:eastAsia="Times New Roman" w:cstheme="minorHAnsi"/>
          <w:kern w:val="0"/>
          <w:lang w:eastAsia="pl-PL"/>
          <w14:ligatures w14:val="none"/>
        </w:rPr>
        <w:t xml:space="preserve">. </w:t>
      </w:r>
    </w:p>
    <w:p w14:paraId="203E4668" w14:textId="77777777" w:rsidR="000D5979" w:rsidRPr="00F16251" w:rsidRDefault="000D5979" w:rsidP="000D5979">
      <w:pPr>
        <w:spacing w:line="276" w:lineRule="auto"/>
        <w:jc w:val="both"/>
        <w:rPr>
          <w:rFonts w:eastAsia="Times New Roman" w:cstheme="minorHAnsi"/>
          <w:b/>
          <w:bCs/>
          <w:kern w:val="0"/>
          <w:lang w:eastAsia="pl-PL"/>
          <w14:ligatures w14:val="none"/>
        </w:rPr>
      </w:pPr>
      <w:r w:rsidRPr="00F16251">
        <w:rPr>
          <w:rFonts w:eastAsia="Times New Roman" w:cstheme="minorHAnsi"/>
          <w:kern w:val="0"/>
          <w:lang w:eastAsia="pl-PL"/>
          <w14:ligatures w14:val="none"/>
        </w:rPr>
        <w:t xml:space="preserve">Doświadczenia z okresu programowania 2014-2020 pokazują, iż beneficjenci mają świadomość potrzeby zastosowania innowacji, żeby uzyskać lepszą ofertę usług, z drugiej walcząc o środki wręcz zabiegają, żeby projekty miały cechy innowacyjności. Obszar LSR, mimo specyfiki, jest obszarem oczekującym innowacyjnych rozwiązań. Stąd potrzeba wdrożenia systemu stopniowalnej oceny innowacyjności. </w:t>
      </w:r>
    </w:p>
    <w:p w14:paraId="101FC9D8" w14:textId="77777777" w:rsidR="000D5979" w:rsidRPr="00F16251" w:rsidRDefault="000D5979" w:rsidP="000D5979">
      <w:pPr>
        <w:spacing w:line="276" w:lineRule="auto"/>
        <w:jc w:val="both"/>
        <w:rPr>
          <w:rFonts w:eastAsia="Times New Roman" w:cstheme="minorHAnsi"/>
          <w:kern w:val="0"/>
          <w:lang w:eastAsia="pl-PL"/>
          <w14:ligatures w14:val="none"/>
        </w:rPr>
      </w:pPr>
      <w:r w:rsidRPr="00F16251">
        <w:rPr>
          <w:rFonts w:eastAsia="Times New Roman" w:cstheme="minorHAnsi"/>
          <w:kern w:val="0"/>
          <w:lang w:eastAsia="pl-PL"/>
          <w14:ligatures w14:val="none"/>
        </w:rPr>
        <w:t>Po wielu analizach i dyskusjach przyjęto definicję wynikającą z dokumentacji konkursowej, która najbardziej obiektywnie odzwierciedla specyfikę obszaru objętego LSR oraz zapewnia możliwość wyboru projektów innowacyjnych, znacząco oddziałujących na dane przedsięwzięcie..</w:t>
      </w:r>
    </w:p>
    <w:p w14:paraId="2E8F1094" w14:textId="77777777" w:rsidR="000D5979" w:rsidRPr="00F16251" w:rsidRDefault="000D5979" w:rsidP="000D5979">
      <w:pPr>
        <w:spacing w:line="276" w:lineRule="auto"/>
        <w:jc w:val="both"/>
        <w:rPr>
          <w:rFonts w:eastAsia="Times New Roman" w:cstheme="minorHAnsi"/>
          <w:kern w:val="0"/>
          <w:lang w:eastAsia="pl-PL"/>
          <w14:ligatures w14:val="none"/>
        </w:rPr>
      </w:pPr>
      <w:r w:rsidRPr="00F16251">
        <w:rPr>
          <w:rFonts w:eastAsia="Times New Roman" w:cstheme="minorHAnsi"/>
          <w:b/>
          <w:bCs/>
          <w:kern w:val="0"/>
          <w:u w:val="single"/>
          <w:lang w:eastAsia="pl-PL"/>
          <w14:ligatures w14:val="none"/>
        </w:rPr>
        <w:t>Innowacyjność</w:t>
      </w:r>
      <w:r w:rsidRPr="00F16251">
        <w:rPr>
          <w:rFonts w:eastAsia="Times New Roman" w:cstheme="minorHAnsi"/>
          <w:b/>
          <w:bCs/>
          <w:kern w:val="0"/>
          <w:lang w:eastAsia="pl-PL"/>
          <w14:ligatures w14:val="none"/>
        </w:rPr>
        <w:t xml:space="preserve"> – to zmiana mająca na celu wdrożenie nowego na obszarze objętym LSR lub znacząco udoskonalonego produktu, usługi, procesu, organizacji lub nowego sposobu wykorzystania lub zmobilizowania istniejących lokalnych zasobów przyrodniczych, historycznych, kulturowych czy społecznych.</w:t>
      </w:r>
      <w:r w:rsidRPr="00F16251">
        <w:rPr>
          <w:rFonts w:eastAsia="Times New Roman" w:cstheme="minorHAnsi"/>
          <w:kern w:val="0"/>
          <w:lang w:eastAsia="pl-PL"/>
          <w14:ligatures w14:val="none"/>
        </w:rPr>
        <w:t xml:space="preserve"> </w:t>
      </w:r>
    </w:p>
    <w:p w14:paraId="417BBE94" w14:textId="77777777" w:rsidR="000D5979" w:rsidRPr="00F16251" w:rsidRDefault="000D5979" w:rsidP="000D5979">
      <w:pPr>
        <w:spacing w:line="276" w:lineRule="auto"/>
        <w:jc w:val="both"/>
        <w:rPr>
          <w:rFonts w:eastAsia="Times New Roman" w:cstheme="minorHAnsi"/>
          <w:kern w:val="0"/>
          <w:lang w:eastAsia="pl-PL"/>
          <w14:ligatures w14:val="none"/>
        </w:rPr>
      </w:pPr>
      <w:r w:rsidRPr="00F16251">
        <w:rPr>
          <w:rFonts w:eastAsia="Times New Roman" w:cstheme="minorHAnsi"/>
          <w:kern w:val="0"/>
          <w:lang w:eastAsia="pl-PL"/>
          <w14:ligatures w14:val="none"/>
        </w:rPr>
        <w:t xml:space="preserve">Definicja najpełniej odpowiada specyfice obszaru i rodzajom planowanych do wdrożenia przedsięwzięć. </w:t>
      </w:r>
    </w:p>
    <w:p w14:paraId="434B122D" w14:textId="77777777" w:rsidR="000D5979" w:rsidRPr="00F16251" w:rsidRDefault="000D5979" w:rsidP="000D5979">
      <w:pPr>
        <w:numPr>
          <w:ilvl w:val="0"/>
          <w:numId w:val="50"/>
        </w:numPr>
        <w:spacing w:line="276" w:lineRule="auto"/>
        <w:contextualSpacing/>
        <w:jc w:val="both"/>
        <w:rPr>
          <w:rFonts w:eastAsia="Times New Roman" w:cstheme="minorHAnsi"/>
          <w:b/>
          <w:bCs/>
          <w:kern w:val="0"/>
          <w:lang w:eastAsia="pl-PL"/>
          <w14:ligatures w14:val="none"/>
        </w:rPr>
      </w:pPr>
      <w:r w:rsidRPr="00F16251">
        <w:rPr>
          <w:rFonts w:eastAsia="Times New Roman" w:cstheme="minorHAnsi"/>
          <w:b/>
          <w:bCs/>
          <w:kern w:val="0"/>
          <w:lang w:eastAsia="pl-PL"/>
          <w14:ligatures w14:val="none"/>
        </w:rPr>
        <w:t xml:space="preserve">Badanie innowacyjności będzie dotoczyć następujących przedsięwzięć: </w:t>
      </w:r>
    </w:p>
    <w:p w14:paraId="64334D5B" w14:textId="77777777" w:rsidR="00C55A89" w:rsidRPr="00F16251" w:rsidRDefault="000D5979" w:rsidP="000D5979">
      <w:pPr>
        <w:spacing w:line="276" w:lineRule="auto"/>
        <w:jc w:val="both"/>
        <w:rPr>
          <w:rFonts w:eastAsia="Times New Roman" w:cstheme="minorHAnsi"/>
          <w:b/>
          <w:bCs/>
          <w:kern w:val="0"/>
          <w:lang w:eastAsia="pl-PL"/>
          <w14:ligatures w14:val="none"/>
        </w:rPr>
      </w:pPr>
      <w:r w:rsidRPr="00F16251">
        <w:rPr>
          <w:rFonts w:eastAsia="Times New Roman" w:cstheme="minorHAnsi"/>
          <w:b/>
          <w:bCs/>
          <w:kern w:val="0"/>
          <w:lang w:eastAsia="pl-PL"/>
          <w14:ligatures w14:val="none"/>
        </w:rPr>
        <w:t>- P.</w:t>
      </w:r>
      <w:r w:rsidR="00C55A89" w:rsidRPr="00F16251">
        <w:rPr>
          <w:rFonts w:eastAsia="Times New Roman" w:cstheme="minorHAnsi"/>
          <w:b/>
          <w:bCs/>
          <w:kern w:val="0"/>
          <w:lang w:eastAsia="pl-PL"/>
          <w14:ligatures w14:val="none"/>
        </w:rPr>
        <w:t>2</w:t>
      </w:r>
      <w:r w:rsidRPr="00F16251">
        <w:rPr>
          <w:rFonts w:eastAsia="Times New Roman" w:cstheme="minorHAnsi"/>
          <w:b/>
          <w:bCs/>
          <w:kern w:val="0"/>
          <w:lang w:eastAsia="pl-PL"/>
          <w14:ligatures w14:val="none"/>
        </w:rPr>
        <w:t xml:space="preserve">.1; </w:t>
      </w:r>
      <w:r w:rsidRPr="00F16251">
        <w:rPr>
          <w:rFonts w:eastAsia="Times New Roman" w:cstheme="minorHAnsi"/>
          <w:kern w:val="0"/>
          <w:lang w:eastAsia="pl-PL"/>
          <w14:ligatures w14:val="none"/>
        </w:rPr>
        <w:t xml:space="preserve">w których pojawiają się </w:t>
      </w:r>
      <w:r w:rsidRPr="00F16251">
        <w:rPr>
          <w:rFonts w:eastAsia="Times New Roman" w:cstheme="minorHAnsi"/>
          <w:b/>
          <w:bCs/>
          <w:kern w:val="0"/>
          <w:lang w:eastAsia="pl-PL"/>
          <w14:ligatures w14:val="none"/>
        </w:rPr>
        <w:t>innowacyjne</w:t>
      </w:r>
      <w:r w:rsidR="00C55A89" w:rsidRPr="00F16251">
        <w:rPr>
          <w:rFonts w:eastAsia="Times New Roman" w:cstheme="minorHAnsi"/>
          <w:b/>
          <w:bCs/>
          <w:kern w:val="0"/>
          <w:lang w:eastAsia="pl-PL"/>
          <w14:ligatures w14:val="none"/>
        </w:rPr>
        <w:t xml:space="preserve"> biznesowe</w:t>
      </w:r>
      <w:r w:rsidRPr="00F16251">
        <w:rPr>
          <w:rFonts w:eastAsia="Times New Roman" w:cstheme="minorHAnsi"/>
          <w:kern w:val="0"/>
          <w:lang w:eastAsia="pl-PL"/>
          <w14:ligatures w14:val="none"/>
        </w:rPr>
        <w:t xml:space="preserve"> </w:t>
      </w:r>
      <w:r w:rsidR="00C55A89" w:rsidRPr="00F16251">
        <w:rPr>
          <w:rFonts w:eastAsia="Times New Roman" w:cstheme="minorHAnsi"/>
          <w:kern w:val="0"/>
          <w:lang w:eastAsia="pl-PL"/>
          <w14:ligatures w14:val="none"/>
        </w:rPr>
        <w:t>w zakresie usług komercyjnych</w:t>
      </w:r>
      <w:r w:rsidR="00C55A89" w:rsidRPr="00F16251">
        <w:rPr>
          <w:rFonts w:eastAsia="Times New Roman" w:cstheme="minorHAnsi"/>
          <w:b/>
          <w:bCs/>
          <w:kern w:val="0"/>
          <w:lang w:eastAsia="pl-PL"/>
          <w14:ligatures w14:val="none"/>
        </w:rPr>
        <w:t xml:space="preserve"> </w:t>
      </w:r>
    </w:p>
    <w:p w14:paraId="0D35B400" w14:textId="01D94DD0" w:rsidR="000D5979" w:rsidRPr="00F16251" w:rsidRDefault="000D5979" w:rsidP="000D5979">
      <w:pPr>
        <w:spacing w:line="276" w:lineRule="auto"/>
        <w:jc w:val="both"/>
        <w:rPr>
          <w:rFonts w:eastAsia="Times New Roman" w:cstheme="minorHAnsi"/>
          <w:b/>
          <w:bCs/>
          <w:kern w:val="0"/>
          <w:lang w:eastAsia="pl-PL"/>
          <w14:ligatures w14:val="none"/>
        </w:rPr>
      </w:pPr>
      <w:r w:rsidRPr="00F16251">
        <w:rPr>
          <w:rFonts w:eastAsia="Times New Roman" w:cstheme="minorHAnsi"/>
          <w:b/>
          <w:bCs/>
          <w:kern w:val="0"/>
          <w:lang w:eastAsia="pl-PL"/>
          <w14:ligatures w14:val="none"/>
        </w:rPr>
        <w:t>- P.1.</w:t>
      </w:r>
      <w:r w:rsidR="00C55A89" w:rsidRPr="00F16251">
        <w:rPr>
          <w:rFonts w:eastAsia="Times New Roman" w:cstheme="minorHAnsi"/>
          <w:b/>
          <w:bCs/>
          <w:kern w:val="0"/>
          <w:lang w:eastAsia="pl-PL"/>
          <w14:ligatures w14:val="none"/>
        </w:rPr>
        <w:t>1;</w:t>
      </w:r>
      <w:r w:rsidRPr="00F16251">
        <w:rPr>
          <w:rFonts w:eastAsia="Times New Roman" w:cstheme="minorHAnsi"/>
          <w:b/>
          <w:bCs/>
          <w:kern w:val="0"/>
          <w:lang w:eastAsia="pl-PL"/>
          <w14:ligatures w14:val="none"/>
        </w:rPr>
        <w:t xml:space="preserve"> </w:t>
      </w:r>
      <w:r w:rsidRPr="00F16251">
        <w:rPr>
          <w:rFonts w:eastAsia="Times New Roman" w:cstheme="minorHAnsi"/>
          <w:kern w:val="0"/>
          <w:lang w:eastAsia="pl-PL"/>
          <w14:ligatures w14:val="none"/>
        </w:rPr>
        <w:t xml:space="preserve">w którym pojawia się </w:t>
      </w:r>
      <w:r w:rsidR="00D22BF3" w:rsidRPr="00F16251">
        <w:rPr>
          <w:rFonts w:eastAsia="Times New Roman" w:cstheme="minorHAnsi"/>
          <w:b/>
          <w:bCs/>
          <w:kern w:val="0"/>
          <w:lang w:eastAsia="pl-PL"/>
          <w14:ligatures w14:val="none"/>
        </w:rPr>
        <w:t>innowacja społeczno-biznesowa</w:t>
      </w:r>
      <w:r w:rsidR="00D22BF3" w:rsidRPr="00F16251">
        <w:rPr>
          <w:rFonts w:eastAsia="Times New Roman" w:cstheme="minorHAnsi"/>
          <w:kern w:val="0"/>
          <w:lang w:eastAsia="pl-PL"/>
          <w14:ligatures w14:val="none"/>
        </w:rPr>
        <w:t xml:space="preserve"> w zakresie </w:t>
      </w:r>
      <w:r w:rsidRPr="00F16251">
        <w:rPr>
          <w:rFonts w:eastAsia="Times New Roman" w:cstheme="minorHAnsi"/>
          <w:kern w:val="0"/>
          <w:lang w:eastAsia="pl-PL"/>
          <w14:ligatures w14:val="none"/>
        </w:rPr>
        <w:t xml:space="preserve">przygotowanie koncepcji smart </w:t>
      </w:r>
      <w:proofErr w:type="spellStart"/>
      <w:r w:rsidRPr="00F16251">
        <w:rPr>
          <w:rFonts w:eastAsia="Times New Roman" w:cstheme="minorHAnsi"/>
          <w:kern w:val="0"/>
          <w:lang w:eastAsia="pl-PL"/>
          <w14:ligatures w14:val="none"/>
        </w:rPr>
        <w:t>village</w:t>
      </w:r>
      <w:proofErr w:type="spellEnd"/>
      <w:r w:rsidR="00D22BF3" w:rsidRPr="00F16251">
        <w:rPr>
          <w:rFonts w:eastAsia="Times New Roman" w:cstheme="minorHAnsi"/>
          <w:kern w:val="0"/>
          <w:lang w:eastAsia="pl-PL"/>
          <w14:ligatures w14:val="none"/>
        </w:rPr>
        <w:t xml:space="preserve"> </w:t>
      </w:r>
    </w:p>
    <w:p w14:paraId="604718BF" w14:textId="77777777" w:rsidR="000D5979" w:rsidRPr="00F16251" w:rsidRDefault="000D5979" w:rsidP="000D5979">
      <w:pPr>
        <w:spacing w:line="276" w:lineRule="auto"/>
        <w:jc w:val="both"/>
        <w:rPr>
          <w:rFonts w:eastAsia="Times New Roman" w:cstheme="minorHAnsi"/>
          <w:b/>
          <w:bCs/>
          <w:kern w:val="0"/>
          <w:lang w:eastAsia="pl-PL"/>
          <w14:ligatures w14:val="none"/>
        </w:rPr>
      </w:pPr>
      <w:r w:rsidRPr="00F16251">
        <w:rPr>
          <w:rFonts w:eastAsia="Times New Roman" w:cstheme="minorHAnsi"/>
          <w:b/>
          <w:bCs/>
          <w:kern w:val="0"/>
          <w:lang w:eastAsia="pl-PL"/>
          <w14:ligatures w14:val="none"/>
        </w:rPr>
        <w:t>Wdrożenia innowacji w ww. zakresach będzie obejmować:</w:t>
      </w:r>
    </w:p>
    <w:p w14:paraId="228D52CC" w14:textId="77777777" w:rsidR="000D5979" w:rsidRPr="00F16251" w:rsidRDefault="000D5979" w:rsidP="000D5979">
      <w:pPr>
        <w:spacing w:line="276" w:lineRule="auto"/>
        <w:jc w:val="both"/>
        <w:rPr>
          <w:rFonts w:eastAsia="Times New Roman" w:cstheme="minorHAnsi"/>
          <w:kern w:val="0"/>
          <w:lang w:eastAsia="pl-PL"/>
          <w14:ligatures w14:val="none"/>
        </w:rPr>
      </w:pPr>
      <w:r w:rsidRPr="00F16251">
        <w:rPr>
          <w:rFonts w:eastAsia="Times New Roman" w:cstheme="minorHAnsi"/>
          <w:kern w:val="0"/>
          <w:lang w:eastAsia="pl-PL"/>
          <w14:ligatures w14:val="none"/>
        </w:rPr>
        <w:t>- zwiększenie funkcjonalności, użyteczności produktów i usług, lub</w:t>
      </w:r>
    </w:p>
    <w:p w14:paraId="22AE15CE" w14:textId="77777777" w:rsidR="000D5979" w:rsidRPr="00F16251" w:rsidRDefault="000D5979" w:rsidP="000D5979">
      <w:pPr>
        <w:spacing w:line="276" w:lineRule="auto"/>
        <w:jc w:val="both"/>
        <w:rPr>
          <w:rFonts w:eastAsia="Times New Roman" w:cstheme="minorHAnsi"/>
          <w:kern w:val="0"/>
          <w:lang w:eastAsia="pl-PL"/>
          <w14:ligatures w14:val="none"/>
        </w:rPr>
      </w:pPr>
      <w:r w:rsidRPr="00F16251">
        <w:rPr>
          <w:rFonts w:eastAsia="Times New Roman" w:cstheme="minorHAnsi"/>
          <w:kern w:val="0"/>
          <w:lang w:eastAsia="pl-PL"/>
          <w14:ligatures w14:val="none"/>
        </w:rPr>
        <w:t>- unowocześnienie przestarzałych systemów, lub</w:t>
      </w:r>
    </w:p>
    <w:p w14:paraId="0B87546F" w14:textId="77777777" w:rsidR="000D5979" w:rsidRPr="00F16251" w:rsidRDefault="000D5979" w:rsidP="000D5979">
      <w:pPr>
        <w:spacing w:line="276" w:lineRule="auto"/>
        <w:jc w:val="both"/>
        <w:rPr>
          <w:rFonts w:eastAsia="Times New Roman" w:cstheme="minorHAnsi"/>
          <w:kern w:val="0"/>
          <w:lang w:eastAsia="pl-PL"/>
          <w14:ligatures w14:val="none"/>
        </w:rPr>
      </w:pPr>
      <w:r w:rsidRPr="00F16251">
        <w:rPr>
          <w:rFonts w:eastAsia="Times New Roman" w:cstheme="minorHAnsi"/>
          <w:kern w:val="0"/>
          <w:lang w:eastAsia="pl-PL"/>
          <w14:ligatures w14:val="none"/>
        </w:rPr>
        <w:t>- udoskonalenie technologii, lub</w:t>
      </w:r>
    </w:p>
    <w:p w14:paraId="61BEDC92" w14:textId="77777777" w:rsidR="000D5979" w:rsidRPr="00F16251" w:rsidRDefault="000D5979" w:rsidP="000D5979">
      <w:pPr>
        <w:spacing w:line="276" w:lineRule="auto"/>
        <w:jc w:val="both"/>
        <w:rPr>
          <w:rFonts w:eastAsia="Times New Roman" w:cstheme="minorHAnsi"/>
          <w:kern w:val="0"/>
          <w:lang w:eastAsia="pl-PL"/>
          <w14:ligatures w14:val="none"/>
        </w:rPr>
      </w:pPr>
      <w:r w:rsidRPr="00F16251">
        <w:rPr>
          <w:rFonts w:eastAsia="Times New Roman" w:cstheme="minorHAnsi"/>
          <w:kern w:val="0"/>
          <w:lang w:eastAsia="pl-PL"/>
          <w14:ligatures w14:val="none"/>
        </w:rPr>
        <w:t>- usprawnienie komunikacji międzyludzkiej, lub</w:t>
      </w:r>
    </w:p>
    <w:p w14:paraId="7220BA5B" w14:textId="77777777" w:rsidR="000D5979" w:rsidRPr="00F16251" w:rsidRDefault="000D5979" w:rsidP="000D5979">
      <w:pPr>
        <w:spacing w:line="276" w:lineRule="auto"/>
        <w:jc w:val="both"/>
        <w:rPr>
          <w:rFonts w:eastAsia="Times New Roman" w:cstheme="minorHAnsi"/>
          <w:kern w:val="0"/>
          <w:lang w:eastAsia="pl-PL"/>
          <w14:ligatures w14:val="none"/>
        </w:rPr>
      </w:pPr>
      <w:r w:rsidRPr="00F16251">
        <w:rPr>
          <w:rFonts w:eastAsia="Times New Roman" w:cstheme="minorHAnsi"/>
          <w:kern w:val="0"/>
          <w:lang w:eastAsia="pl-PL"/>
          <w14:ligatures w14:val="none"/>
        </w:rPr>
        <w:t>- optymalizację czasu pracy, lub</w:t>
      </w:r>
    </w:p>
    <w:p w14:paraId="6C9A35C8" w14:textId="77777777" w:rsidR="000D5979" w:rsidRPr="00F16251" w:rsidRDefault="000D5979" w:rsidP="000D5979">
      <w:pPr>
        <w:spacing w:line="276" w:lineRule="auto"/>
        <w:jc w:val="both"/>
        <w:rPr>
          <w:rFonts w:eastAsia="Times New Roman" w:cstheme="minorHAnsi"/>
          <w:kern w:val="0"/>
          <w:lang w:eastAsia="pl-PL"/>
          <w14:ligatures w14:val="none"/>
        </w:rPr>
      </w:pPr>
      <w:r w:rsidRPr="00F16251">
        <w:rPr>
          <w:rFonts w:eastAsia="Times New Roman" w:cstheme="minorHAnsi"/>
          <w:kern w:val="0"/>
          <w:lang w:eastAsia="pl-PL"/>
          <w14:ligatures w14:val="none"/>
        </w:rPr>
        <w:t>- ochronę środowiska naturalnego.</w:t>
      </w:r>
    </w:p>
    <w:p w14:paraId="730E3C41" w14:textId="77777777" w:rsidR="000D5979" w:rsidRPr="00F16251" w:rsidRDefault="000D5979" w:rsidP="000D5979">
      <w:pPr>
        <w:numPr>
          <w:ilvl w:val="0"/>
          <w:numId w:val="50"/>
        </w:numPr>
        <w:spacing w:line="276" w:lineRule="auto"/>
        <w:contextualSpacing/>
        <w:jc w:val="both"/>
        <w:rPr>
          <w:rFonts w:eastAsia="Times New Roman" w:cstheme="minorHAnsi"/>
          <w:b/>
          <w:bCs/>
          <w:kern w:val="0"/>
          <w:lang w:eastAsia="pl-PL"/>
          <w14:ligatures w14:val="none"/>
        </w:rPr>
      </w:pPr>
      <w:r w:rsidRPr="00F16251">
        <w:rPr>
          <w:rFonts w:eastAsia="Times New Roman" w:cstheme="minorHAnsi"/>
          <w:b/>
          <w:bCs/>
          <w:kern w:val="0"/>
          <w:lang w:eastAsia="pl-PL"/>
          <w14:ligatures w14:val="none"/>
        </w:rPr>
        <w:t>Oczekiwany wpływ innowacji na rozwój obszaru LSR to:</w:t>
      </w:r>
    </w:p>
    <w:p w14:paraId="042A7A89" w14:textId="77777777" w:rsidR="000D5979" w:rsidRPr="00F16251" w:rsidRDefault="000D5979" w:rsidP="000D5979">
      <w:pPr>
        <w:spacing w:line="276" w:lineRule="auto"/>
        <w:ind w:left="360"/>
        <w:jc w:val="both"/>
        <w:rPr>
          <w:rFonts w:eastAsia="Times New Roman" w:cstheme="minorHAnsi"/>
          <w:kern w:val="0"/>
          <w:lang w:eastAsia="pl-PL"/>
          <w14:ligatures w14:val="none"/>
        </w:rPr>
      </w:pPr>
      <w:r w:rsidRPr="00F16251">
        <w:rPr>
          <w:rFonts w:eastAsia="Times New Roman" w:cstheme="minorHAnsi"/>
          <w:kern w:val="0"/>
          <w:lang w:eastAsia="pl-PL"/>
          <w14:ligatures w14:val="none"/>
        </w:rPr>
        <w:t xml:space="preserve">1) innowacyjne biznesowe: </w:t>
      </w:r>
    </w:p>
    <w:p w14:paraId="6CAB830D" w14:textId="77777777" w:rsidR="000D5979" w:rsidRPr="00F16251" w:rsidRDefault="000D5979" w:rsidP="000D5979">
      <w:pPr>
        <w:spacing w:line="276" w:lineRule="auto"/>
        <w:ind w:left="360"/>
        <w:jc w:val="both"/>
        <w:rPr>
          <w:rFonts w:eastAsia="Times New Roman" w:cstheme="minorHAnsi"/>
          <w:kern w:val="0"/>
          <w:lang w:eastAsia="pl-PL"/>
          <w14:ligatures w14:val="none"/>
        </w:rPr>
      </w:pPr>
      <w:r w:rsidRPr="00F16251">
        <w:rPr>
          <w:rFonts w:eastAsiaTheme="majorEastAsia" w:cstheme="minorHAnsi"/>
          <w:kern w:val="0"/>
          <w:lang w:eastAsia="pl-PL"/>
          <w14:ligatures w14:val="none"/>
        </w:rPr>
        <w:t>- wpływ na wzrost gospodarczy; zwiększanie wydajności, przy takich samych nakładach; wzrostu wydajności wpływa na wzrost dostępności, co powoduje, że lokalna gospodarka się rozwija.</w:t>
      </w:r>
    </w:p>
    <w:p w14:paraId="0ACF8D27" w14:textId="77777777" w:rsidR="000D5979" w:rsidRPr="00F16251" w:rsidRDefault="000D5979" w:rsidP="000D5979">
      <w:pPr>
        <w:spacing w:line="276" w:lineRule="auto"/>
        <w:ind w:left="360"/>
        <w:jc w:val="both"/>
        <w:rPr>
          <w:rFonts w:eastAsia="Times New Roman" w:cstheme="minorHAnsi"/>
          <w:kern w:val="0"/>
          <w:lang w:eastAsia="pl-PL"/>
          <w14:ligatures w14:val="none"/>
        </w:rPr>
      </w:pPr>
      <w:r w:rsidRPr="00F16251">
        <w:rPr>
          <w:rFonts w:eastAsia="Times New Roman" w:cstheme="minorHAnsi"/>
          <w:kern w:val="0"/>
          <w:lang w:eastAsia="pl-PL"/>
          <w14:ligatures w14:val="none"/>
        </w:rPr>
        <w:t>- osiągnięcie przewagi konkurencyjnej, najlepiej trwałej (strategicznej w obszarze produktu/usługi, sposobu obsługi klienta, konkurencyjnej ceny opartej na przewadze kosztowej, strategii jakości oferowanego produktu/usługi,</w:t>
      </w:r>
    </w:p>
    <w:p w14:paraId="5766B55B" w14:textId="77777777" w:rsidR="000D5979" w:rsidRPr="00F16251" w:rsidRDefault="000D5979" w:rsidP="000D5979">
      <w:pPr>
        <w:spacing w:line="276" w:lineRule="auto"/>
        <w:ind w:left="360"/>
        <w:jc w:val="both"/>
        <w:rPr>
          <w:rFonts w:eastAsia="Times New Roman" w:cstheme="minorHAnsi"/>
          <w:kern w:val="0"/>
          <w:lang w:eastAsia="pl-PL"/>
          <w14:ligatures w14:val="none"/>
        </w:rPr>
      </w:pPr>
      <w:r w:rsidRPr="00F16251">
        <w:rPr>
          <w:rFonts w:eastAsia="Times New Roman" w:cstheme="minorHAnsi"/>
          <w:kern w:val="0"/>
          <w:lang w:eastAsia="pl-PL"/>
          <w14:ligatures w14:val="none"/>
        </w:rPr>
        <w:t>- wykorzystanie lokalnych zasobów przyrodniczych, historycznych, kulturowych czy społecznych.</w:t>
      </w:r>
    </w:p>
    <w:p w14:paraId="1A485A00" w14:textId="77777777" w:rsidR="000D5979" w:rsidRPr="00F16251" w:rsidRDefault="000D5979" w:rsidP="000D5979">
      <w:pPr>
        <w:spacing w:line="276" w:lineRule="auto"/>
        <w:ind w:left="360"/>
        <w:jc w:val="both"/>
        <w:rPr>
          <w:rFonts w:eastAsia="Times New Roman" w:cstheme="minorHAnsi"/>
          <w:kern w:val="0"/>
          <w:lang w:eastAsia="pl-PL"/>
          <w14:ligatures w14:val="none"/>
        </w:rPr>
      </w:pPr>
      <w:r w:rsidRPr="00F16251">
        <w:rPr>
          <w:rFonts w:eastAsia="Times New Roman" w:cstheme="minorHAnsi"/>
          <w:kern w:val="0"/>
          <w:lang w:eastAsia="pl-PL"/>
          <w14:ligatures w14:val="none"/>
        </w:rPr>
        <w:t xml:space="preserve">2) innowacje społeczne </w:t>
      </w:r>
    </w:p>
    <w:p w14:paraId="64B161BA" w14:textId="77777777" w:rsidR="000D5979" w:rsidRPr="00F16251" w:rsidRDefault="000D5979" w:rsidP="000D5979">
      <w:pPr>
        <w:spacing w:line="276" w:lineRule="auto"/>
        <w:ind w:left="360"/>
        <w:jc w:val="both"/>
        <w:rPr>
          <w:rFonts w:eastAsia="Times New Roman" w:cstheme="minorHAnsi"/>
          <w:kern w:val="0"/>
          <w:lang w:eastAsia="pl-PL"/>
          <w14:ligatures w14:val="none"/>
        </w:rPr>
      </w:pPr>
      <w:r w:rsidRPr="00F16251">
        <w:rPr>
          <w:rFonts w:eastAsia="Times New Roman" w:cstheme="minorHAnsi"/>
          <w:kern w:val="0"/>
          <w:lang w:eastAsia="pl-PL"/>
          <w14:ligatures w14:val="none"/>
        </w:rPr>
        <w:t>- aktywizacja i integracja osób młodych , seniorów oraz osób w niekorzystnej sytuacji</w:t>
      </w:r>
    </w:p>
    <w:p w14:paraId="03FF1176" w14:textId="77777777" w:rsidR="000D5979" w:rsidRPr="00F16251" w:rsidRDefault="000D5979" w:rsidP="000D5979">
      <w:pPr>
        <w:spacing w:line="276" w:lineRule="auto"/>
        <w:ind w:left="360"/>
        <w:jc w:val="both"/>
        <w:rPr>
          <w:rFonts w:eastAsia="Times New Roman" w:cstheme="minorHAnsi"/>
          <w:kern w:val="0"/>
          <w:lang w:eastAsia="pl-PL"/>
          <w14:ligatures w14:val="none"/>
        </w:rPr>
      </w:pPr>
      <w:r w:rsidRPr="00F16251">
        <w:rPr>
          <w:rFonts w:eastAsia="Times New Roman" w:cstheme="minorHAnsi"/>
          <w:kern w:val="0"/>
          <w:lang w:eastAsia="pl-PL"/>
          <w14:ligatures w14:val="none"/>
        </w:rPr>
        <w:t>- włączenie społeczne, cyfrowe i inne seniorów oraz osób z niekorzystnej sytuacji</w:t>
      </w:r>
    </w:p>
    <w:p w14:paraId="6B4D9D21" w14:textId="1251D1ED" w:rsidR="000D5979" w:rsidRPr="00F16251" w:rsidRDefault="000D5979" w:rsidP="000D5979">
      <w:pPr>
        <w:spacing w:line="276" w:lineRule="auto"/>
        <w:ind w:left="360"/>
        <w:jc w:val="both"/>
        <w:rPr>
          <w:rFonts w:eastAsia="Times New Roman" w:cstheme="minorHAnsi"/>
          <w:kern w:val="0"/>
          <w:lang w:eastAsia="pl-PL"/>
          <w14:ligatures w14:val="none"/>
        </w:rPr>
      </w:pPr>
      <w:r w:rsidRPr="00F16251">
        <w:rPr>
          <w:rFonts w:eastAsia="Times New Roman" w:cstheme="minorHAnsi"/>
          <w:kern w:val="0"/>
          <w:lang w:eastAsia="pl-PL"/>
          <w14:ligatures w14:val="none"/>
        </w:rPr>
        <w:t xml:space="preserve">- wzrost aktywności społecznej do działania, kreatywne podejście do odgrywania nowej roli lub relacji </w:t>
      </w:r>
      <w:r w:rsidR="00FA06CE">
        <w:rPr>
          <w:rFonts w:eastAsia="Times New Roman" w:cstheme="minorHAnsi"/>
          <w:kern w:val="0"/>
          <w:lang w:eastAsia="pl-PL"/>
          <w14:ligatures w14:val="none"/>
        </w:rPr>
        <w:t xml:space="preserve">                             </w:t>
      </w:r>
      <w:r w:rsidRPr="00F16251">
        <w:rPr>
          <w:rFonts w:eastAsia="Times New Roman" w:cstheme="minorHAnsi"/>
          <w:kern w:val="0"/>
          <w:lang w:eastAsia="pl-PL"/>
          <w14:ligatures w14:val="none"/>
        </w:rPr>
        <w:t xml:space="preserve">w społeczeństwie </w:t>
      </w:r>
    </w:p>
    <w:p w14:paraId="1B91DCD9" w14:textId="77777777" w:rsidR="000D5979" w:rsidRPr="00F16251" w:rsidRDefault="000D5979" w:rsidP="000D5979">
      <w:pPr>
        <w:spacing w:line="276" w:lineRule="auto"/>
        <w:ind w:left="360"/>
        <w:jc w:val="both"/>
        <w:rPr>
          <w:rFonts w:eastAsia="Times New Roman" w:cstheme="minorHAnsi"/>
          <w:kern w:val="0"/>
          <w:lang w:eastAsia="pl-PL"/>
          <w14:ligatures w14:val="none"/>
        </w:rPr>
      </w:pPr>
      <w:r w:rsidRPr="00F16251">
        <w:rPr>
          <w:rFonts w:eastAsia="Times New Roman" w:cstheme="minorHAnsi"/>
          <w:kern w:val="0"/>
          <w:lang w:eastAsia="pl-PL"/>
          <w14:ligatures w14:val="none"/>
        </w:rPr>
        <w:t>- wykorzystanie lokalnych zasobów przyrodniczych, historycznych, kulturowych czy społecznych.</w:t>
      </w:r>
    </w:p>
    <w:p w14:paraId="45D22D00" w14:textId="77777777" w:rsidR="000D5979" w:rsidRPr="00F16251" w:rsidRDefault="000D5979" w:rsidP="000D5979">
      <w:pPr>
        <w:spacing w:line="276" w:lineRule="auto"/>
        <w:ind w:left="360"/>
        <w:jc w:val="both"/>
        <w:rPr>
          <w:rFonts w:eastAsia="Times New Roman" w:cstheme="minorHAnsi"/>
          <w:b/>
          <w:bCs/>
          <w:kern w:val="0"/>
          <w:lang w:eastAsia="pl-PL"/>
          <w14:ligatures w14:val="none"/>
        </w:rPr>
      </w:pPr>
      <w:r w:rsidRPr="00F16251">
        <w:rPr>
          <w:rFonts w:eastAsia="Times New Roman" w:cstheme="minorHAnsi"/>
          <w:b/>
          <w:bCs/>
          <w:kern w:val="0"/>
          <w:lang w:eastAsia="pl-PL"/>
          <w14:ligatures w14:val="none"/>
        </w:rPr>
        <w:t xml:space="preserve">Pozwoli to odróżnić zmiany, które nie będą innowacyjnością od innowacji, które będą powodować oczekiwana zmianę. </w:t>
      </w:r>
    </w:p>
    <w:p w14:paraId="2B152D5F" w14:textId="77777777" w:rsidR="000D5979" w:rsidRPr="00F16251" w:rsidRDefault="000D5979" w:rsidP="000D5979">
      <w:pPr>
        <w:numPr>
          <w:ilvl w:val="0"/>
          <w:numId w:val="50"/>
        </w:numPr>
        <w:spacing w:line="276" w:lineRule="auto"/>
        <w:contextualSpacing/>
        <w:jc w:val="both"/>
        <w:rPr>
          <w:rFonts w:eastAsia="Times New Roman" w:cstheme="minorHAnsi"/>
          <w:b/>
          <w:bCs/>
          <w:kern w:val="0"/>
          <w:lang w:eastAsia="pl-PL"/>
          <w14:ligatures w14:val="none"/>
        </w:rPr>
      </w:pPr>
      <w:r w:rsidRPr="00F16251">
        <w:rPr>
          <w:rFonts w:eastAsia="Times New Roman" w:cstheme="minorHAnsi"/>
          <w:b/>
          <w:bCs/>
          <w:kern w:val="0"/>
          <w:lang w:eastAsia="pl-PL"/>
          <w14:ligatures w14:val="none"/>
        </w:rPr>
        <w:t xml:space="preserve">Ocena innowacyjności będzie stopniowalna i zapewni możliwość uzyskania punktów: </w:t>
      </w:r>
    </w:p>
    <w:p w14:paraId="667A5D37" w14:textId="77777777" w:rsidR="000D5979" w:rsidRPr="00F16251" w:rsidRDefault="000D5979" w:rsidP="000D5979">
      <w:pPr>
        <w:numPr>
          <w:ilvl w:val="0"/>
          <w:numId w:val="51"/>
        </w:numPr>
        <w:spacing w:line="276" w:lineRule="auto"/>
        <w:contextualSpacing/>
        <w:jc w:val="both"/>
        <w:rPr>
          <w:rFonts w:eastAsia="Times New Roman" w:cstheme="minorHAnsi"/>
          <w:kern w:val="0"/>
          <w:lang w:eastAsia="pl-PL"/>
          <w14:ligatures w14:val="none"/>
        </w:rPr>
      </w:pPr>
      <w:r w:rsidRPr="00F16251">
        <w:rPr>
          <w:rFonts w:eastAsia="Times New Roman" w:cstheme="minorHAnsi"/>
          <w:kern w:val="0"/>
          <w:lang w:eastAsia="pl-PL"/>
          <w14:ligatures w14:val="none"/>
        </w:rPr>
        <w:t xml:space="preserve">Maksymalna liczny punktów będzie dotyczyć </w:t>
      </w:r>
      <w:r w:rsidRPr="00F16251">
        <w:rPr>
          <w:rFonts w:eastAsia="Times New Roman" w:cstheme="minorHAnsi"/>
          <w:b/>
          <w:bCs/>
          <w:kern w:val="0"/>
          <w:lang w:eastAsia="pl-PL"/>
          <w14:ligatures w14:val="none"/>
        </w:rPr>
        <w:t>projektów</w:t>
      </w:r>
      <w:r w:rsidRPr="00F16251">
        <w:rPr>
          <w:rFonts w:eastAsia="Times New Roman" w:cstheme="minorHAnsi"/>
          <w:kern w:val="0"/>
          <w:lang w:eastAsia="pl-PL"/>
          <w14:ligatures w14:val="none"/>
        </w:rPr>
        <w:t xml:space="preserve"> </w:t>
      </w:r>
      <w:r w:rsidRPr="00F16251">
        <w:rPr>
          <w:rFonts w:eastAsia="Times New Roman" w:cstheme="minorHAnsi"/>
          <w:b/>
          <w:bCs/>
          <w:kern w:val="0"/>
          <w:lang w:eastAsia="pl-PL"/>
          <w14:ligatures w14:val="none"/>
        </w:rPr>
        <w:t>kreatywnych</w:t>
      </w:r>
      <w:r w:rsidRPr="00F16251">
        <w:rPr>
          <w:rFonts w:eastAsia="Times New Roman" w:cstheme="minorHAnsi"/>
          <w:kern w:val="0"/>
          <w:lang w:eastAsia="pl-PL"/>
          <w14:ligatures w14:val="none"/>
        </w:rPr>
        <w:t xml:space="preserve"> (powstających w wyniku autorskiego pomysłu, dotyczy nowych na obszarze LSR produktów, usług, procesów lub organizacji). </w:t>
      </w:r>
    </w:p>
    <w:p w14:paraId="7F5700A9" w14:textId="77777777" w:rsidR="000D5979" w:rsidRPr="00F16251" w:rsidRDefault="000D5979" w:rsidP="000D5979">
      <w:pPr>
        <w:numPr>
          <w:ilvl w:val="0"/>
          <w:numId w:val="51"/>
        </w:numPr>
        <w:spacing w:line="276" w:lineRule="auto"/>
        <w:contextualSpacing/>
        <w:jc w:val="both"/>
        <w:rPr>
          <w:rFonts w:eastAsia="Times New Roman" w:cstheme="minorHAnsi"/>
          <w:kern w:val="0"/>
          <w:lang w:eastAsia="pl-PL"/>
          <w14:ligatures w14:val="none"/>
        </w:rPr>
      </w:pPr>
      <w:r w:rsidRPr="00F16251">
        <w:rPr>
          <w:rFonts w:eastAsia="Times New Roman" w:cstheme="minorHAnsi"/>
          <w:kern w:val="0"/>
          <w:lang w:eastAsia="pl-PL"/>
          <w14:ligatures w14:val="none"/>
        </w:rPr>
        <w:t xml:space="preserve">Znacznie niższa liczba punktów będzie dotyczyć </w:t>
      </w:r>
      <w:r w:rsidRPr="00F16251">
        <w:rPr>
          <w:rFonts w:eastAsia="Times New Roman" w:cstheme="minorHAnsi"/>
          <w:b/>
          <w:bCs/>
          <w:kern w:val="0"/>
          <w:lang w:eastAsia="pl-PL"/>
          <w14:ligatures w14:val="none"/>
        </w:rPr>
        <w:t>projektów</w:t>
      </w:r>
      <w:r w:rsidRPr="00F16251">
        <w:rPr>
          <w:rFonts w:eastAsia="Times New Roman" w:cstheme="minorHAnsi"/>
          <w:kern w:val="0"/>
          <w:lang w:eastAsia="pl-PL"/>
          <w14:ligatures w14:val="none"/>
        </w:rPr>
        <w:t xml:space="preserve"> </w:t>
      </w:r>
      <w:r w:rsidRPr="00F16251">
        <w:rPr>
          <w:rFonts w:eastAsia="Times New Roman" w:cstheme="minorHAnsi"/>
          <w:b/>
          <w:bCs/>
          <w:kern w:val="0"/>
          <w:lang w:eastAsia="pl-PL"/>
          <w14:ligatures w14:val="none"/>
        </w:rPr>
        <w:t>imitujących</w:t>
      </w:r>
      <w:r w:rsidRPr="00F16251">
        <w:rPr>
          <w:rFonts w:eastAsia="Times New Roman" w:cstheme="minorHAnsi"/>
          <w:kern w:val="0"/>
          <w:lang w:eastAsia="pl-PL"/>
          <w14:ligatures w14:val="none"/>
        </w:rPr>
        <w:t xml:space="preserve"> (wzorowanych na wcześniej powstałych produktach, usługach, procesach lub organizacji, obejmują nowy sposób wykorzystania lub zmobilizowania istniejących lokalnych zasobów przyrodniczych, historycznych, kulturowych czy społecznych)</w:t>
      </w:r>
    </w:p>
    <w:p w14:paraId="47C152FF" w14:textId="77777777" w:rsidR="000D5979" w:rsidRPr="00F16251" w:rsidRDefault="000D5979" w:rsidP="000D5979">
      <w:pPr>
        <w:numPr>
          <w:ilvl w:val="0"/>
          <w:numId w:val="51"/>
        </w:numPr>
        <w:spacing w:line="276" w:lineRule="auto"/>
        <w:contextualSpacing/>
        <w:jc w:val="both"/>
        <w:rPr>
          <w:rFonts w:eastAsia="Times New Roman" w:cstheme="minorHAnsi"/>
          <w:kern w:val="0"/>
          <w:lang w:eastAsia="pl-PL"/>
          <w14:ligatures w14:val="none"/>
        </w:rPr>
      </w:pPr>
      <w:r w:rsidRPr="00F16251">
        <w:rPr>
          <w:rFonts w:eastAsia="Times New Roman" w:cstheme="minorHAnsi"/>
          <w:kern w:val="0"/>
          <w:lang w:eastAsia="pl-PL"/>
          <w14:ligatures w14:val="none"/>
        </w:rPr>
        <w:t xml:space="preserve">Braku możliwości przyznania punktów dla </w:t>
      </w:r>
      <w:r w:rsidRPr="00F16251">
        <w:rPr>
          <w:rFonts w:eastAsia="Times New Roman" w:cstheme="minorHAnsi"/>
          <w:b/>
          <w:bCs/>
          <w:kern w:val="0"/>
          <w:lang w:eastAsia="pl-PL"/>
          <w14:ligatures w14:val="none"/>
        </w:rPr>
        <w:t>innowacji pozornych</w:t>
      </w:r>
      <w:r w:rsidRPr="00F16251">
        <w:rPr>
          <w:rFonts w:eastAsia="Times New Roman" w:cstheme="minorHAnsi"/>
          <w:kern w:val="0"/>
          <w:lang w:eastAsia="pl-PL"/>
          <w14:ligatures w14:val="none"/>
        </w:rPr>
        <w:t>, które obejmują drobne zmiany oferujące rzekome nowości.</w:t>
      </w:r>
    </w:p>
    <w:p w14:paraId="5E99E75D" w14:textId="77777777" w:rsidR="000D5979" w:rsidRPr="00F16251" w:rsidRDefault="000D5979" w:rsidP="000D5979">
      <w:pPr>
        <w:numPr>
          <w:ilvl w:val="0"/>
          <w:numId w:val="50"/>
        </w:numPr>
        <w:spacing w:line="276" w:lineRule="auto"/>
        <w:contextualSpacing/>
        <w:jc w:val="both"/>
        <w:rPr>
          <w:rFonts w:eastAsia="Times New Roman" w:cstheme="minorHAnsi"/>
          <w:b/>
          <w:bCs/>
          <w:kern w:val="0"/>
          <w:lang w:eastAsia="pl-PL"/>
          <w14:ligatures w14:val="none"/>
        </w:rPr>
      </w:pPr>
      <w:r w:rsidRPr="00F16251">
        <w:rPr>
          <w:rFonts w:eastAsia="Times New Roman" w:cstheme="minorHAnsi"/>
          <w:b/>
          <w:bCs/>
          <w:kern w:val="0"/>
          <w:lang w:eastAsia="pl-PL"/>
          <w14:ligatures w14:val="none"/>
        </w:rPr>
        <w:lastRenderedPageBreak/>
        <w:t>Opis metod wdrożenia zdefiniowanych innowacji i ich oczekiwanego wpływu na rozwój obszaru LSR:</w:t>
      </w:r>
    </w:p>
    <w:p w14:paraId="2D424DDC" w14:textId="03B25B48" w:rsidR="000D5979" w:rsidRPr="00F16251" w:rsidRDefault="000D5979" w:rsidP="000D5979">
      <w:pPr>
        <w:spacing w:line="276" w:lineRule="auto"/>
        <w:ind w:left="360"/>
        <w:jc w:val="both"/>
        <w:rPr>
          <w:rFonts w:eastAsia="Times New Roman" w:cstheme="minorHAnsi"/>
          <w:kern w:val="0"/>
          <w:lang w:eastAsia="pl-PL"/>
          <w14:ligatures w14:val="none"/>
        </w:rPr>
      </w:pPr>
      <w:r w:rsidRPr="00F16251">
        <w:rPr>
          <w:rFonts w:eastAsia="Times New Roman" w:cstheme="minorHAnsi"/>
          <w:b/>
          <w:bCs/>
          <w:kern w:val="0"/>
          <w:lang w:eastAsia="pl-PL"/>
          <w14:ligatures w14:val="none"/>
        </w:rPr>
        <w:t xml:space="preserve">- P.2.1, </w:t>
      </w:r>
      <w:r w:rsidRPr="00F16251">
        <w:rPr>
          <w:rFonts w:eastAsia="Times New Roman" w:cstheme="minorHAnsi"/>
          <w:kern w:val="0"/>
          <w:lang w:eastAsia="pl-PL"/>
          <w14:ligatures w14:val="none"/>
        </w:rPr>
        <w:t>w których pojawią się konkursy (operacje klasyczne)</w:t>
      </w:r>
    </w:p>
    <w:p w14:paraId="63B1B2DB" w14:textId="502A5958" w:rsidR="000D5979" w:rsidRPr="00F16251" w:rsidRDefault="000D5979" w:rsidP="000D5979">
      <w:pPr>
        <w:spacing w:line="276" w:lineRule="auto"/>
        <w:ind w:left="360"/>
        <w:jc w:val="both"/>
        <w:rPr>
          <w:rFonts w:eastAsia="Times New Roman" w:cstheme="minorHAnsi"/>
          <w:b/>
          <w:bCs/>
          <w:kern w:val="0"/>
          <w:lang w:eastAsia="pl-PL"/>
          <w14:ligatures w14:val="none"/>
        </w:rPr>
      </w:pPr>
      <w:r w:rsidRPr="00F16251">
        <w:rPr>
          <w:rFonts w:eastAsia="Times New Roman" w:cstheme="minorHAnsi"/>
          <w:b/>
          <w:bCs/>
          <w:kern w:val="0"/>
          <w:lang w:eastAsia="pl-PL"/>
          <w14:ligatures w14:val="none"/>
        </w:rPr>
        <w:t>- P.1.</w:t>
      </w:r>
      <w:r w:rsidR="00D22BF3" w:rsidRPr="00F16251">
        <w:rPr>
          <w:rFonts w:eastAsia="Times New Roman" w:cstheme="minorHAnsi"/>
          <w:b/>
          <w:bCs/>
          <w:kern w:val="0"/>
          <w:lang w:eastAsia="pl-PL"/>
          <w14:ligatures w14:val="none"/>
        </w:rPr>
        <w:t>1</w:t>
      </w:r>
      <w:r w:rsidRPr="00F16251">
        <w:rPr>
          <w:rFonts w:eastAsia="Times New Roman" w:cstheme="minorHAnsi"/>
          <w:b/>
          <w:bCs/>
          <w:kern w:val="0"/>
          <w:lang w:eastAsia="pl-PL"/>
          <w14:ligatures w14:val="none"/>
        </w:rPr>
        <w:t xml:space="preserve"> </w:t>
      </w:r>
      <w:r w:rsidRPr="00F16251">
        <w:rPr>
          <w:rFonts w:eastAsia="Times New Roman" w:cstheme="minorHAnsi"/>
          <w:kern w:val="0"/>
          <w:lang w:eastAsia="pl-PL"/>
          <w14:ligatures w14:val="none"/>
        </w:rPr>
        <w:t xml:space="preserve">w którym pojawia się projekt granatowy na przygotowanie koncepcji smart </w:t>
      </w:r>
      <w:proofErr w:type="spellStart"/>
      <w:r w:rsidRPr="00F16251">
        <w:rPr>
          <w:rFonts w:eastAsia="Times New Roman" w:cstheme="minorHAnsi"/>
          <w:kern w:val="0"/>
          <w:lang w:eastAsia="pl-PL"/>
          <w14:ligatures w14:val="none"/>
        </w:rPr>
        <w:t>village</w:t>
      </w:r>
      <w:proofErr w:type="spellEnd"/>
    </w:p>
    <w:p w14:paraId="332775C5" w14:textId="77777777" w:rsidR="000D5979" w:rsidRPr="00F16251" w:rsidRDefault="000D5979" w:rsidP="000D5979">
      <w:pPr>
        <w:numPr>
          <w:ilvl w:val="0"/>
          <w:numId w:val="50"/>
        </w:numPr>
        <w:spacing w:line="276" w:lineRule="auto"/>
        <w:contextualSpacing/>
        <w:jc w:val="both"/>
        <w:rPr>
          <w:rFonts w:eastAsia="Times New Roman" w:cstheme="minorHAnsi"/>
          <w:b/>
          <w:bCs/>
          <w:kern w:val="0"/>
          <w:lang w:eastAsia="pl-PL"/>
          <w14:ligatures w14:val="none"/>
        </w:rPr>
      </w:pPr>
      <w:r w:rsidRPr="00F16251">
        <w:rPr>
          <w:rFonts w:eastAsia="Times New Roman" w:cstheme="minorHAnsi"/>
          <w:b/>
          <w:bCs/>
          <w:kern w:val="0"/>
          <w:lang w:eastAsia="pl-PL"/>
          <w14:ligatures w14:val="none"/>
        </w:rPr>
        <w:t>Animowanie do wdrażania innowacji:</w:t>
      </w:r>
    </w:p>
    <w:p w14:paraId="55F88060" w14:textId="4696222E" w:rsidR="000D5979" w:rsidRPr="00577463" w:rsidRDefault="000D5979" w:rsidP="00261827">
      <w:pPr>
        <w:spacing w:line="276" w:lineRule="auto"/>
        <w:ind w:firstLine="360"/>
        <w:jc w:val="both"/>
        <w:rPr>
          <w:rFonts w:eastAsia="Times New Roman" w:cstheme="minorHAnsi"/>
          <w:kern w:val="0"/>
          <w:lang w:eastAsia="pl-PL"/>
          <w14:ligatures w14:val="none"/>
        </w:rPr>
      </w:pPr>
      <w:r w:rsidRPr="00F16251">
        <w:rPr>
          <w:rFonts w:eastAsia="Times New Roman" w:cstheme="minorHAnsi"/>
          <w:kern w:val="0"/>
          <w:lang w:eastAsia="pl-PL"/>
          <w14:ligatures w14:val="none"/>
        </w:rPr>
        <w:t xml:space="preserve">Wdrożenie </w:t>
      </w:r>
      <w:r w:rsidRPr="00577463">
        <w:rPr>
          <w:rFonts w:eastAsia="Times New Roman" w:cstheme="minorHAnsi"/>
          <w:kern w:val="0"/>
          <w:lang w:eastAsia="pl-PL"/>
          <w14:ligatures w14:val="none"/>
        </w:rPr>
        <w:t>innowacji w powyższych obszarach będzie możliwe dzięki zastosowaniu szeregu działań aktywizujących, do realizacji których zaproszeni zostaną doświadczeni partnerzy. Będziemy wykorzystywać następujące mechanizmy</w:t>
      </w:r>
      <w:r w:rsidR="00261827" w:rsidRPr="00577463">
        <w:rPr>
          <w:rFonts w:eastAsia="Times New Roman" w:cstheme="minorHAnsi"/>
          <w:kern w:val="0"/>
          <w:lang w:eastAsia="pl-PL"/>
          <w14:ligatures w14:val="none"/>
        </w:rPr>
        <w:t xml:space="preserve">: </w:t>
      </w:r>
      <w:r w:rsidRPr="00577463">
        <w:rPr>
          <w:rFonts w:eastAsia="Times New Roman" w:cstheme="minorHAnsi"/>
          <w:kern w:val="0"/>
          <w:lang w:eastAsia="pl-PL"/>
          <w14:ligatures w14:val="none"/>
        </w:rPr>
        <w:t>doradztwo biura LGD,</w:t>
      </w:r>
      <w:r w:rsidR="00261827" w:rsidRPr="00577463">
        <w:rPr>
          <w:rFonts w:eastAsia="Times New Roman" w:cstheme="minorHAnsi"/>
          <w:kern w:val="0"/>
          <w:lang w:eastAsia="pl-PL"/>
          <w14:ligatures w14:val="none"/>
        </w:rPr>
        <w:t xml:space="preserve"> </w:t>
      </w:r>
      <w:r w:rsidRPr="00577463">
        <w:rPr>
          <w:rFonts w:eastAsia="Times New Roman" w:cstheme="minorHAnsi"/>
          <w:kern w:val="0"/>
          <w:lang w:eastAsia="pl-PL"/>
          <w14:ligatures w14:val="none"/>
        </w:rPr>
        <w:t xml:space="preserve">animowanie poprzez promocję dobrych praktyk (równie </w:t>
      </w:r>
      <w:r w:rsidR="008F12F4">
        <w:rPr>
          <w:rFonts w:eastAsia="Times New Roman" w:cstheme="minorHAnsi"/>
          <w:kern w:val="0"/>
          <w:lang w:eastAsia="pl-PL"/>
          <w14:ligatures w14:val="none"/>
        </w:rPr>
        <w:t xml:space="preserve">                                </w:t>
      </w:r>
      <w:r w:rsidRPr="00577463">
        <w:rPr>
          <w:rFonts w:eastAsia="Times New Roman" w:cstheme="minorHAnsi"/>
          <w:kern w:val="0"/>
          <w:lang w:eastAsia="pl-PL"/>
          <w14:ligatures w14:val="none"/>
        </w:rPr>
        <w:t>w tworzonej bazie projektów na stronie internetowej LGD i w mediach społecznościowych), identyfikacja korzyści płynących z rozwiązań innowacyjnych zwłaszcza w sferze biznesowej i społecznej,</w:t>
      </w:r>
      <w:r w:rsidR="00261827" w:rsidRPr="00577463">
        <w:rPr>
          <w:rFonts w:eastAsia="Times New Roman" w:cstheme="minorHAnsi"/>
          <w:kern w:val="0"/>
          <w:lang w:eastAsia="pl-PL"/>
          <w14:ligatures w14:val="none"/>
        </w:rPr>
        <w:t xml:space="preserve"> </w:t>
      </w:r>
      <w:r w:rsidRPr="00577463">
        <w:rPr>
          <w:rFonts w:eastAsia="Times New Roman" w:cstheme="minorHAnsi"/>
          <w:kern w:val="0"/>
          <w:lang w:eastAsia="pl-PL"/>
          <w14:ligatures w14:val="none"/>
        </w:rPr>
        <w:t xml:space="preserve">animowanie, sieciowanie </w:t>
      </w:r>
      <w:r w:rsidR="008F12F4">
        <w:rPr>
          <w:rFonts w:eastAsia="Times New Roman" w:cstheme="minorHAnsi"/>
          <w:kern w:val="0"/>
          <w:lang w:eastAsia="pl-PL"/>
          <w14:ligatures w14:val="none"/>
        </w:rPr>
        <w:t xml:space="preserve">                               </w:t>
      </w:r>
      <w:r w:rsidRPr="00577463">
        <w:rPr>
          <w:rFonts w:eastAsia="Times New Roman" w:cstheme="minorHAnsi"/>
          <w:kern w:val="0"/>
          <w:lang w:eastAsia="pl-PL"/>
          <w14:ligatures w14:val="none"/>
        </w:rPr>
        <w:t>i wdrożenie skutecznych ,mechanizmów wymiany doświadczeń i nawiązywania współpracy</w:t>
      </w:r>
      <w:r w:rsidR="00261827" w:rsidRPr="00577463">
        <w:rPr>
          <w:rFonts w:eastAsia="Times New Roman" w:cstheme="minorHAnsi"/>
          <w:kern w:val="0"/>
          <w:lang w:eastAsia="pl-PL"/>
          <w14:ligatures w14:val="none"/>
        </w:rPr>
        <w:t>.</w:t>
      </w:r>
      <w:r w:rsidRPr="00577463">
        <w:rPr>
          <w:rFonts w:eastAsia="Times New Roman" w:cstheme="minorHAnsi"/>
          <w:kern w:val="0"/>
          <w:lang w:eastAsia="pl-PL"/>
          <w14:ligatures w14:val="none"/>
        </w:rPr>
        <w:t xml:space="preserve"> </w:t>
      </w:r>
    </w:p>
    <w:p w14:paraId="3F879BBF" w14:textId="77777777" w:rsidR="000D5979" w:rsidRPr="00577463" w:rsidRDefault="000D5979" w:rsidP="00A26C26">
      <w:pPr>
        <w:spacing w:line="276" w:lineRule="auto"/>
        <w:jc w:val="both"/>
        <w:rPr>
          <w:rFonts w:cstheme="minorHAnsi"/>
          <w:b/>
          <w:bCs/>
          <w:kern w:val="0"/>
          <w14:ligatures w14:val="none"/>
        </w:rPr>
      </w:pPr>
    </w:p>
    <w:p w14:paraId="0CD2888E" w14:textId="41123050" w:rsidR="002C63F4" w:rsidRPr="00577463" w:rsidRDefault="002C63F4" w:rsidP="00915596">
      <w:pPr>
        <w:spacing w:line="276" w:lineRule="auto"/>
        <w:jc w:val="both"/>
        <w:rPr>
          <w:rFonts w:cstheme="minorHAnsi"/>
          <w:b/>
          <w:bCs/>
          <w:kern w:val="0"/>
          <w14:ligatures w14:val="none"/>
        </w:rPr>
      </w:pPr>
      <w:r w:rsidRPr="00577463">
        <w:rPr>
          <w:rFonts w:cstheme="minorHAnsi"/>
          <w:b/>
          <w:bCs/>
          <w:kern w:val="0"/>
          <w14:ligatures w14:val="none"/>
        </w:rPr>
        <w:t>Procedura</w:t>
      </w:r>
      <w:r w:rsidR="003B50ED" w:rsidRPr="00577463">
        <w:rPr>
          <w:rFonts w:cstheme="minorHAnsi"/>
          <w:b/>
          <w:bCs/>
          <w:kern w:val="0"/>
          <w14:ligatures w14:val="none"/>
        </w:rPr>
        <w:t xml:space="preserve"> </w:t>
      </w:r>
      <w:r w:rsidRPr="00577463">
        <w:rPr>
          <w:rFonts w:cstheme="minorHAnsi"/>
          <w:b/>
          <w:bCs/>
          <w:kern w:val="0"/>
          <w14:ligatures w14:val="none"/>
        </w:rPr>
        <w:t>zmiany</w:t>
      </w:r>
      <w:r w:rsidR="003B50ED" w:rsidRPr="00577463">
        <w:rPr>
          <w:rFonts w:cstheme="minorHAnsi"/>
          <w:b/>
          <w:bCs/>
          <w:kern w:val="0"/>
          <w14:ligatures w14:val="none"/>
        </w:rPr>
        <w:t xml:space="preserve"> </w:t>
      </w:r>
      <w:r w:rsidRPr="00577463">
        <w:rPr>
          <w:rFonts w:cstheme="minorHAnsi"/>
          <w:b/>
          <w:bCs/>
          <w:kern w:val="0"/>
          <w14:ligatures w14:val="none"/>
        </w:rPr>
        <w:t>lokalnych</w:t>
      </w:r>
      <w:r w:rsidR="003B50ED" w:rsidRPr="00577463">
        <w:rPr>
          <w:rFonts w:cstheme="minorHAnsi"/>
          <w:b/>
          <w:bCs/>
          <w:kern w:val="0"/>
          <w14:ligatures w14:val="none"/>
        </w:rPr>
        <w:t xml:space="preserve"> </w:t>
      </w:r>
      <w:r w:rsidRPr="00577463">
        <w:rPr>
          <w:rFonts w:cstheme="minorHAnsi"/>
          <w:b/>
          <w:bCs/>
          <w:kern w:val="0"/>
          <w14:ligatures w14:val="none"/>
        </w:rPr>
        <w:t>kryteriów</w:t>
      </w:r>
      <w:r w:rsidR="003B50ED" w:rsidRPr="00577463">
        <w:rPr>
          <w:rFonts w:cstheme="minorHAnsi"/>
          <w:b/>
          <w:bCs/>
          <w:kern w:val="0"/>
          <w14:ligatures w14:val="none"/>
        </w:rPr>
        <w:t xml:space="preserve"> </w:t>
      </w:r>
      <w:r w:rsidRPr="00577463">
        <w:rPr>
          <w:rFonts w:cstheme="minorHAnsi"/>
          <w:b/>
          <w:bCs/>
          <w:kern w:val="0"/>
          <w14:ligatures w14:val="none"/>
        </w:rPr>
        <w:t>wyboru.</w:t>
      </w:r>
    </w:p>
    <w:p w14:paraId="03CD55F4" w14:textId="00ED38A7" w:rsidR="002C63F4" w:rsidRPr="00577463" w:rsidRDefault="002C63F4" w:rsidP="008A412F">
      <w:pPr>
        <w:numPr>
          <w:ilvl w:val="0"/>
          <w:numId w:val="24"/>
        </w:numPr>
        <w:spacing w:line="276" w:lineRule="auto"/>
        <w:jc w:val="both"/>
        <w:rPr>
          <w:rFonts w:cstheme="minorHAnsi"/>
          <w:noProof/>
          <w:kern w:val="0"/>
          <w14:ligatures w14:val="none"/>
        </w:rPr>
      </w:pPr>
      <w:r w:rsidRPr="00577463">
        <w:rPr>
          <w:rFonts w:cstheme="minorHAnsi"/>
          <w:noProof/>
          <w:kern w:val="0"/>
          <w14:ligatures w14:val="none"/>
        </w:rPr>
        <w:t>Z</w:t>
      </w:r>
      <w:r w:rsidR="003B50ED" w:rsidRPr="00577463">
        <w:rPr>
          <w:rFonts w:cstheme="minorHAnsi"/>
          <w:noProof/>
          <w:kern w:val="0"/>
          <w14:ligatures w14:val="none"/>
        </w:rPr>
        <w:t xml:space="preserve"> </w:t>
      </w:r>
      <w:r w:rsidRPr="00577463">
        <w:rPr>
          <w:rFonts w:cstheme="minorHAnsi"/>
          <w:noProof/>
          <w:kern w:val="0"/>
          <w14:ligatures w14:val="none"/>
        </w:rPr>
        <w:t>inicjatywą</w:t>
      </w:r>
      <w:r w:rsidR="003B50ED" w:rsidRPr="00577463">
        <w:rPr>
          <w:rFonts w:cstheme="minorHAnsi"/>
          <w:noProof/>
          <w:kern w:val="0"/>
          <w14:ligatures w14:val="none"/>
        </w:rPr>
        <w:t xml:space="preserve"> </w:t>
      </w:r>
      <w:r w:rsidRPr="00577463">
        <w:rPr>
          <w:rFonts w:cstheme="minorHAnsi"/>
          <w:noProof/>
          <w:kern w:val="0"/>
          <w14:ligatures w14:val="none"/>
        </w:rPr>
        <w:t>zmian</w:t>
      </w:r>
      <w:r w:rsidR="003B50ED" w:rsidRPr="00577463">
        <w:rPr>
          <w:rFonts w:cstheme="minorHAnsi"/>
          <w:noProof/>
          <w:kern w:val="0"/>
          <w14:ligatures w14:val="none"/>
        </w:rPr>
        <w:t xml:space="preserve"> </w:t>
      </w:r>
      <w:r w:rsidRPr="00577463">
        <w:rPr>
          <w:rFonts w:cstheme="minorHAnsi"/>
          <w:noProof/>
          <w:kern w:val="0"/>
          <w14:ligatures w14:val="none"/>
        </w:rPr>
        <w:t>w</w:t>
      </w:r>
      <w:r w:rsidR="003B50ED" w:rsidRPr="00577463">
        <w:rPr>
          <w:rFonts w:cstheme="minorHAnsi"/>
          <w:noProof/>
          <w:kern w:val="0"/>
          <w14:ligatures w14:val="none"/>
        </w:rPr>
        <w:t xml:space="preserve"> </w:t>
      </w:r>
      <w:r w:rsidRPr="00577463">
        <w:rPr>
          <w:rFonts w:cstheme="minorHAnsi"/>
          <w:noProof/>
          <w:kern w:val="0"/>
          <w14:ligatures w14:val="none"/>
        </w:rPr>
        <w:t>lokalnych</w:t>
      </w:r>
      <w:r w:rsidR="003B50ED" w:rsidRPr="00577463">
        <w:rPr>
          <w:rFonts w:cstheme="minorHAnsi"/>
          <w:noProof/>
          <w:kern w:val="0"/>
          <w14:ligatures w14:val="none"/>
        </w:rPr>
        <w:t xml:space="preserve"> </w:t>
      </w:r>
      <w:r w:rsidRPr="00577463">
        <w:rPr>
          <w:rFonts w:cstheme="minorHAnsi"/>
          <w:noProof/>
          <w:kern w:val="0"/>
          <w14:ligatures w14:val="none"/>
        </w:rPr>
        <w:t>kryteriach</w:t>
      </w:r>
      <w:r w:rsidR="003B50ED" w:rsidRPr="00577463">
        <w:rPr>
          <w:rFonts w:cstheme="minorHAnsi"/>
          <w:noProof/>
          <w:kern w:val="0"/>
          <w14:ligatures w14:val="none"/>
        </w:rPr>
        <w:t xml:space="preserve"> </w:t>
      </w:r>
      <w:r w:rsidRPr="00577463">
        <w:rPr>
          <w:rFonts w:cstheme="minorHAnsi"/>
          <w:noProof/>
          <w:kern w:val="0"/>
          <w14:ligatures w14:val="none"/>
        </w:rPr>
        <w:t>wyboru</w:t>
      </w:r>
      <w:r w:rsidR="003B50ED" w:rsidRPr="00577463">
        <w:rPr>
          <w:rFonts w:cstheme="minorHAnsi"/>
          <w:noProof/>
          <w:kern w:val="0"/>
          <w14:ligatures w14:val="none"/>
        </w:rPr>
        <w:t xml:space="preserve"> </w:t>
      </w:r>
      <w:r w:rsidRPr="00577463">
        <w:rPr>
          <w:rFonts w:cstheme="minorHAnsi"/>
          <w:noProof/>
          <w:kern w:val="0"/>
          <w14:ligatures w14:val="none"/>
        </w:rPr>
        <w:t>może</w:t>
      </w:r>
      <w:r w:rsidR="003B50ED" w:rsidRPr="00577463">
        <w:rPr>
          <w:rFonts w:cstheme="minorHAnsi"/>
          <w:noProof/>
          <w:kern w:val="0"/>
          <w14:ligatures w14:val="none"/>
        </w:rPr>
        <w:t xml:space="preserve"> </w:t>
      </w:r>
      <w:r w:rsidRPr="00577463">
        <w:rPr>
          <w:rFonts w:cstheme="minorHAnsi"/>
          <w:noProof/>
          <w:kern w:val="0"/>
          <w14:ligatures w14:val="none"/>
        </w:rPr>
        <w:t>wystąpić</w:t>
      </w:r>
      <w:r w:rsidR="003B50ED" w:rsidRPr="00577463">
        <w:rPr>
          <w:rFonts w:cstheme="minorHAnsi"/>
          <w:noProof/>
          <w:kern w:val="0"/>
          <w14:ligatures w14:val="none"/>
        </w:rPr>
        <w:t xml:space="preserve"> </w:t>
      </w:r>
      <w:r w:rsidRPr="00577463">
        <w:rPr>
          <w:rFonts w:cstheme="minorHAnsi"/>
          <w:noProof/>
          <w:kern w:val="0"/>
          <w14:ligatures w14:val="none"/>
        </w:rPr>
        <w:t>członek</w:t>
      </w:r>
      <w:r w:rsidR="003B50ED" w:rsidRPr="00577463">
        <w:rPr>
          <w:rFonts w:cstheme="minorHAnsi"/>
          <w:noProof/>
          <w:kern w:val="0"/>
          <w14:ligatures w14:val="none"/>
        </w:rPr>
        <w:t xml:space="preserve"> </w:t>
      </w:r>
      <w:r w:rsidRPr="00577463">
        <w:rPr>
          <w:rFonts w:cstheme="minorHAnsi"/>
          <w:noProof/>
          <w:kern w:val="0"/>
          <w14:ligatures w14:val="none"/>
        </w:rPr>
        <w:t>LGD,</w:t>
      </w:r>
      <w:r w:rsidR="003B50ED" w:rsidRPr="00577463">
        <w:rPr>
          <w:rFonts w:cstheme="minorHAnsi"/>
          <w:noProof/>
          <w:kern w:val="0"/>
          <w14:ligatures w14:val="none"/>
        </w:rPr>
        <w:t xml:space="preserve"> </w:t>
      </w:r>
      <w:r w:rsidRPr="00577463">
        <w:rPr>
          <w:rFonts w:cstheme="minorHAnsi"/>
          <w:noProof/>
          <w:kern w:val="0"/>
          <w14:ligatures w14:val="none"/>
        </w:rPr>
        <w:t>członek</w:t>
      </w:r>
      <w:r w:rsidR="003B50ED" w:rsidRPr="00577463">
        <w:rPr>
          <w:rFonts w:cstheme="minorHAnsi"/>
          <w:noProof/>
          <w:kern w:val="0"/>
          <w14:ligatures w14:val="none"/>
        </w:rPr>
        <w:t xml:space="preserve"> </w:t>
      </w:r>
      <w:r w:rsidRPr="00577463">
        <w:rPr>
          <w:rFonts w:cstheme="minorHAnsi"/>
          <w:noProof/>
          <w:kern w:val="0"/>
          <w14:ligatures w14:val="none"/>
        </w:rPr>
        <w:t>Rady</w:t>
      </w:r>
      <w:r w:rsidR="003B50ED" w:rsidRPr="00577463">
        <w:rPr>
          <w:rFonts w:cstheme="minorHAnsi"/>
          <w:noProof/>
          <w:kern w:val="0"/>
          <w14:ligatures w14:val="none"/>
        </w:rPr>
        <w:t xml:space="preserve"> </w:t>
      </w:r>
      <w:r w:rsidRPr="00577463">
        <w:rPr>
          <w:rFonts w:cstheme="minorHAnsi"/>
          <w:noProof/>
          <w:kern w:val="0"/>
          <w14:ligatures w14:val="none"/>
        </w:rPr>
        <w:t>LGD,</w:t>
      </w:r>
      <w:r w:rsidR="003B50ED" w:rsidRPr="00577463">
        <w:rPr>
          <w:rFonts w:cstheme="minorHAnsi"/>
          <w:noProof/>
          <w:kern w:val="0"/>
          <w14:ligatures w14:val="none"/>
        </w:rPr>
        <w:t xml:space="preserve"> </w:t>
      </w:r>
      <w:r w:rsidRPr="00577463">
        <w:rPr>
          <w:rFonts w:cstheme="minorHAnsi"/>
          <w:noProof/>
          <w:kern w:val="0"/>
          <w14:ligatures w14:val="none"/>
        </w:rPr>
        <w:t>członek</w:t>
      </w:r>
      <w:r w:rsidR="003B50ED" w:rsidRPr="00577463">
        <w:rPr>
          <w:rFonts w:cstheme="minorHAnsi"/>
          <w:noProof/>
          <w:kern w:val="0"/>
          <w14:ligatures w14:val="none"/>
        </w:rPr>
        <w:t xml:space="preserve"> </w:t>
      </w:r>
      <w:r w:rsidRPr="00577463">
        <w:rPr>
          <w:rFonts w:cstheme="minorHAnsi"/>
          <w:noProof/>
          <w:kern w:val="0"/>
          <w14:ligatures w14:val="none"/>
        </w:rPr>
        <w:t>Zarządu,</w:t>
      </w:r>
      <w:r w:rsidR="003B50ED" w:rsidRPr="00577463">
        <w:rPr>
          <w:rFonts w:cstheme="minorHAnsi"/>
          <w:noProof/>
          <w:kern w:val="0"/>
          <w14:ligatures w14:val="none"/>
        </w:rPr>
        <w:t xml:space="preserve"> </w:t>
      </w:r>
      <w:r w:rsidRPr="00577463">
        <w:rPr>
          <w:rFonts w:cstheme="minorHAnsi"/>
          <w:noProof/>
          <w:kern w:val="0"/>
          <w14:ligatures w14:val="none"/>
        </w:rPr>
        <w:t>członek</w:t>
      </w:r>
      <w:r w:rsidR="003B50ED" w:rsidRPr="00577463">
        <w:rPr>
          <w:rFonts w:cstheme="minorHAnsi"/>
          <w:noProof/>
          <w:kern w:val="0"/>
          <w14:ligatures w14:val="none"/>
        </w:rPr>
        <w:t xml:space="preserve"> </w:t>
      </w:r>
      <w:r w:rsidRPr="00577463">
        <w:rPr>
          <w:rFonts w:cstheme="minorHAnsi"/>
          <w:noProof/>
          <w:kern w:val="0"/>
          <w14:ligatures w14:val="none"/>
        </w:rPr>
        <w:t>Komisji</w:t>
      </w:r>
      <w:r w:rsidR="003B50ED" w:rsidRPr="00577463">
        <w:rPr>
          <w:rFonts w:cstheme="minorHAnsi"/>
          <w:noProof/>
          <w:kern w:val="0"/>
          <w14:ligatures w14:val="none"/>
        </w:rPr>
        <w:t xml:space="preserve"> </w:t>
      </w:r>
      <w:r w:rsidRPr="00577463">
        <w:rPr>
          <w:rFonts w:cstheme="minorHAnsi"/>
          <w:noProof/>
          <w:kern w:val="0"/>
          <w14:ligatures w14:val="none"/>
        </w:rPr>
        <w:t>lub</w:t>
      </w:r>
      <w:r w:rsidR="003B50ED" w:rsidRPr="00577463">
        <w:rPr>
          <w:rFonts w:cstheme="minorHAnsi"/>
          <w:noProof/>
          <w:kern w:val="0"/>
          <w14:ligatures w14:val="none"/>
        </w:rPr>
        <w:t xml:space="preserve"> </w:t>
      </w:r>
      <w:r w:rsidRPr="00577463">
        <w:rPr>
          <w:rFonts w:cstheme="minorHAnsi"/>
          <w:noProof/>
          <w:kern w:val="0"/>
          <w14:ligatures w14:val="none"/>
        </w:rPr>
        <w:t>mieszkaniec</w:t>
      </w:r>
      <w:r w:rsidR="003B50ED" w:rsidRPr="00577463">
        <w:rPr>
          <w:rFonts w:cstheme="minorHAnsi"/>
          <w:noProof/>
          <w:kern w:val="0"/>
          <w14:ligatures w14:val="none"/>
        </w:rPr>
        <w:t xml:space="preserve"> </w:t>
      </w:r>
      <w:r w:rsidRPr="00577463">
        <w:rPr>
          <w:rFonts w:cstheme="minorHAnsi"/>
          <w:noProof/>
          <w:kern w:val="0"/>
          <w14:ligatures w14:val="none"/>
        </w:rPr>
        <w:t>obszaru</w:t>
      </w:r>
      <w:r w:rsidR="003B50ED" w:rsidRPr="00577463">
        <w:rPr>
          <w:rFonts w:cstheme="minorHAnsi"/>
          <w:noProof/>
          <w:kern w:val="0"/>
          <w14:ligatures w14:val="none"/>
        </w:rPr>
        <w:t xml:space="preserve"> </w:t>
      </w:r>
      <w:r w:rsidRPr="00577463">
        <w:rPr>
          <w:rFonts w:cstheme="minorHAnsi"/>
          <w:noProof/>
          <w:kern w:val="0"/>
          <w14:ligatures w14:val="none"/>
        </w:rPr>
        <w:t>LSR.</w:t>
      </w:r>
    </w:p>
    <w:p w14:paraId="7767251D" w14:textId="5ECCD2AA" w:rsidR="002C63F4" w:rsidRPr="00577463" w:rsidRDefault="002C63F4" w:rsidP="008A412F">
      <w:pPr>
        <w:numPr>
          <w:ilvl w:val="0"/>
          <w:numId w:val="24"/>
        </w:numPr>
        <w:spacing w:line="276" w:lineRule="auto"/>
        <w:jc w:val="both"/>
        <w:rPr>
          <w:rFonts w:cstheme="minorHAnsi"/>
          <w:noProof/>
          <w:kern w:val="0"/>
          <w14:ligatures w14:val="none"/>
        </w:rPr>
      </w:pPr>
      <w:r w:rsidRPr="00577463">
        <w:rPr>
          <w:rFonts w:cstheme="minorHAnsi"/>
          <w:noProof/>
          <w:kern w:val="0"/>
          <w14:ligatures w14:val="none"/>
        </w:rPr>
        <w:t>Wniosek</w:t>
      </w:r>
      <w:r w:rsidR="003B50ED" w:rsidRPr="00577463">
        <w:rPr>
          <w:rFonts w:cstheme="minorHAnsi"/>
          <w:noProof/>
          <w:kern w:val="0"/>
          <w14:ligatures w14:val="none"/>
        </w:rPr>
        <w:t xml:space="preserve"> </w:t>
      </w:r>
      <w:r w:rsidRPr="00577463">
        <w:rPr>
          <w:rFonts w:cstheme="minorHAnsi"/>
          <w:noProof/>
          <w:kern w:val="0"/>
          <w14:ligatures w14:val="none"/>
        </w:rPr>
        <w:t>/</w:t>
      </w:r>
      <w:r w:rsidR="003B50ED" w:rsidRPr="00577463">
        <w:rPr>
          <w:rFonts w:cstheme="minorHAnsi"/>
          <w:noProof/>
          <w:kern w:val="0"/>
          <w14:ligatures w14:val="none"/>
        </w:rPr>
        <w:t xml:space="preserve"> </w:t>
      </w:r>
      <w:r w:rsidRPr="00577463">
        <w:rPr>
          <w:rFonts w:cstheme="minorHAnsi"/>
          <w:noProof/>
          <w:kern w:val="0"/>
          <w14:ligatures w14:val="none"/>
        </w:rPr>
        <w:t>propozycja</w:t>
      </w:r>
      <w:r w:rsidR="003B50ED" w:rsidRPr="00577463">
        <w:rPr>
          <w:rFonts w:cstheme="minorHAnsi"/>
          <w:noProof/>
          <w:kern w:val="0"/>
          <w14:ligatures w14:val="none"/>
        </w:rPr>
        <w:t xml:space="preserve"> </w:t>
      </w:r>
      <w:r w:rsidRPr="00577463">
        <w:rPr>
          <w:rFonts w:cstheme="minorHAnsi"/>
          <w:noProof/>
          <w:kern w:val="0"/>
          <w14:ligatures w14:val="none"/>
        </w:rPr>
        <w:t>zmiany</w:t>
      </w:r>
      <w:r w:rsidR="003B50ED" w:rsidRPr="00577463">
        <w:rPr>
          <w:rFonts w:cstheme="minorHAnsi"/>
          <w:noProof/>
          <w:kern w:val="0"/>
          <w14:ligatures w14:val="none"/>
        </w:rPr>
        <w:t xml:space="preserve"> </w:t>
      </w:r>
      <w:r w:rsidRPr="00577463">
        <w:rPr>
          <w:rFonts w:cstheme="minorHAnsi"/>
          <w:noProof/>
          <w:kern w:val="0"/>
          <w14:ligatures w14:val="none"/>
        </w:rPr>
        <w:t>lokalnych</w:t>
      </w:r>
      <w:r w:rsidR="003B50ED" w:rsidRPr="00577463">
        <w:rPr>
          <w:rFonts w:cstheme="minorHAnsi"/>
          <w:noProof/>
          <w:kern w:val="0"/>
          <w14:ligatures w14:val="none"/>
        </w:rPr>
        <w:t xml:space="preserve"> </w:t>
      </w:r>
      <w:r w:rsidRPr="00577463">
        <w:rPr>
          <w:rFonts w:cstheme="minorHAnsi"/>
          <w:noProof/>
          <w:kern w:val="0"/>
          <w14:ligatures w14:val="none"/>
        </w:rPr>
        <w:t>kryteriów</w:t>
      </w:r>
      <w:r w:rsidR="003B50ED" w:rsidRPr="00577463">
        <w:rPr>
          <w:rFonts w:cstheme="minorHAnsi"/>
          <w:noProof/>
          <w:kern w:val="0"/>
          <w14:ligatures w14:val="none"/>
        </w:rPr>
        <w:t xml:space="preserve"> </w:t>
      </w:r>
      <w:r w:rsidRPr="00577463">
        <w:rPr>
          <w:rFonts w:cstheme="minorHAnsi"/>
          <w:noProof/>
          <w:kern w:val="0"/>
          <w14:ligatures w14:val="none"/>
        </w:rPr>
        <w:t>wyboru</w:t>
      </w:r>
      <w:r w:rsidR="003B50ED" w:rsidRPr="00577463">
        <w:rPr>
          <w:rFonts w:cstheme="minorHAnsi"/>
          <w:noProof/>
          <w:kern w:val="0"/>
          <w14:ligatures w14:val="none"/>
        </w:rPr>
        <w:t xml:space="preserve"> </w:t>
      </w:r>
      <w:r w:rsidRPr="00577463">
        <w:rPr>
          <w:rFonts w:cstheme="minorHAnsi"/>
          <w:noProof/>
          <w:kern w:val="0"/>
          <w14:ligatures w14:val="none"/>
        </w:rPr>
        <w:t>zawiera</w:t>
      </w:r>
      <w:r w:rsidR="003B50ED" w:rsidRPr="00577463">
        <w:rPr>
          <w:rFonts w:cstheme="minorHAnsi"/>
          <w:noProof/>
          <w:kern w:val="0"/>
          <w14:ligatures w14:val="none"/>
        </w:rPr>
        <w:t xml:space="preserve"> </w:t>
      </w:r>
      <w:r w:rsidRPr="00577463">
        <w:rPr>
          <w:rFonts w:cstheme="minorHAnsi"/>
          <w:noProof/>
          <w:kern w:val="0"/>
          <w14:ligatures w14:val="none"/>
        </w:rPr>
        <w:t>nazwę</w:t>
      </w:r>
      <w:r w:rsidR="003B50ED" w:rsidRPr="00577463">
        <w:rPr>
          <w:rFonts w:cstheme="minorHAnsi"/>
          <w:noProof/>
          <w:kern w:val="0"/>
          <w14:ligatures w14:val="none"/>
        </w:rPr>
        <w:t xml:space="preserve"> </w:t>
      </w:r>
      <w:r w:rsidRPr="00577463">
        <w:rPr>
          <w:rFonts w:cstheme="minorHAnsi"/>
          <w:noProof/>
          <w:kern w:val="0"/>
          <w14:ligatures w14:val="none"/>
        </w:rPr>
        <w:t>wprowadzanego</w:t>
      </w:r>
      <w:r w:rsidR="003B50ED" w:rsidRPr="00577463">
        <w:rPr>
          <w:rFonts w:cstheme="minorHAnsi"/>
          <w:noProof/>
          <w:kern w:val="0"/>
          <w14:ligatures w14:val="none"/>
        </w:rPr>
        <w:t xml:space="preserve"> </w:t>
      </w:r>
      <w:r w:rsidRPr="00577463">
        <w:rPr>
          <w:rFonts w:cstheme="minorHAnsi"/>
          <w:noProof/>
          <w:kern w:val="0"/>
          <w14:ligatures w14:val="none"/>
        </w:rPr>
        <w:t>/</w:t>
      </w:r>
      <w:r w:rsidR="003B50ED" w:rsidRPr="00577463">
        <w:rPr>
          <w:rFonts w:cstheme="minorHAnsi"/>
          <w:noProof/>
          <w:kern w:val="0"/>
          <w14:ligatures w14:val="none"/>
        </w:rPr>
        <w:t xml:space="preserve"> </w:t>
      </w:r>
      <w:r w:rsidRPr="00577463">
        <w:rPr>
          <w:rFonts w:cstheme="minorHAnsi"/>
          <w:noProof/>
          <w:kern w:val="0"/>
          <w14:ligatures w14:val="none"/>
        </w:rPr>
        <w:t>aktualizowanego</w:t>
      </w:r>
      <w:r w:rsidR="003B50ED" w:rsidRPr="00577463">
        <w:rPr>
          <w:rFonts w:cstheme="minorHAnsi"/>
          <w:noProof/>
          <w:kern w:val="0"/>
          <w14:ligatures w14:val="none"/>
        </w:rPr>
        <w:t xml:space="preserve"> </w:t>
      </w:r>
      <w:r w:rsidRPr="00577463">
        <w:rPr>
          <w:rFonts w:cstheme="minorHAnsi"/>
          <w:noProof/>
          <w:kern w:val="0"/>
          <w14:ligatures w14:val="none"/>
        </w:rPr>
        <w:t>/</w:t>
      </w:r>
      <w:r w:rsidR="003B50ED" w:rsidRPr="00577463">
        <w:rPr>
          <w:rFonts w:cstheme="minorHAnsi"/>
          <w:noProof/>
          <w:kern w:val="0"/>
          <w14:ligatures w14:val="none"/>
        </w:rPr>
        <w:t xml:space="preserve"> </w:t>
      </w:r>
      <w:r w:rsidRPr="00577463">
        <w:rPr>
          <w:rFonts w:cstheme="minorHAnsi"/>
          <w:noProof/>
          <w:kern w:val="0"/>
          <w14:ligatures w14:val="none"/>
        </w:rPr>
        <w:t>likwidowanego</w:t>
      </w:r>
      <w:r w:rsidR="003B50ED" w:rsidRPr="00577463">
        <w:rPr>
          <w:rFonts w:cstheme="minorHAnsi"/>
          <w:noProof/>
          <w:kern w:val="0"/>
          <w14:ligatures w14:val="none"/>
        </w:rPr>
        <w:t xml:space="preserve"> </w:t>
      </w:r>
      <w:r w:rsidRPr="00577463">
        <w:rPr>
          <w:rFonts w:cstheme="minorHAnsi"/>
          <w:noProof/>
          <w:kern w:val="0"/>
          <w14:ligatures w14:val="none"/>
        </w:rPr>
        <w:t>kryterium</w:t>
      </w:r>
      <w:r w:rsidR="003B50ED" w:rsidRPr="00577463">
        <w:rPr>
          <w:rFonts w:cstheme="minorHAnsi"/>
          <w:noProof/>
          <w:kern w:val="0"/>
          <w14:ligatures w14:val="none"/>
        </w:rPr>
        <w:t xml:space="preserve"> </w:t>
      </w:r>
      <w:r w:rsidRPr="00577463">
        <w:rPr>
          <w:rFonts w:cstheme="minorHAnsi"/>
          <w:noProof/>
          <w:kern w:val="0"/>
          <w14:ligatures w14:val="none"/>
        </w:rPr>
        <w:t>oraz</w:t>
      </w:r>
      <w:r w:rsidR="003B50ED" w:rsidRPr="00577463">
        <w:rPr>
          <w:rFonts w:cstheme="minorHAnsi"/>
          <w:noProof/>
          <w:kern w:val="0"/>
          <w14:ligatures w14:val="none"/>
        </w:rPr>
        <w:t xml:space="preserve"> </w:t>
      </w:r>
      <w:r w:rsidRPr="00577463">
        <w:rPr>
          <w:rFonts w:cstheme="minorHAnsi"/>
          <w:noProof/>
          <w:kern w:val="0"/>
          <w14:ligatures w14:val="none"/>
        </w:rPr>
        <w:t>uzasadnienie</w:t>
      </w:r>
      <w:r w:rsidR="003B50ED" w:rsidRPr="00577463">
        <w:rPr>
          <w:rFonts w:cstheme="minorHAnsi"/>
          <w:noProof/>
          <w:kern w:val="0"/>
          <w14:ligatures w14:val="none"/>
        </w:rPr>
        <w:t xml:space="preserve"> </w:t>
      </w:r>
      <w:r w:rsidRPr="00577463">
        <w:rPr>
          <w:rFonts w:cstheme="minorHAnsi"/>
          <w:noProof/>
          <w:kern w:val="0"/>
          <w14:ligatures w14:val="none"/>
        </w:rPr>
        <w:t>zmiany.</w:t>
      </w:r>
      <w:r w:rsidR="003B50ED" w:rsidRPr="00577463">
        <w:rPr>
          <w:rFonts w:cstheme="minorHAnsi"/>
          <w:noProof/>
          <w:kern w:val="0"/>
          <w14:ligatures w14:val="none"/>
        </w:rPr>
        <w:t xml:space="preserve"> </w:t>
      </w:r>
      <w:r w:rsidR="00290B30">
        <w:rPr>
          <w:rFonts w:cstheme="minorHAnsi"/>
          <w:noProof/>
          <w:kern w:val="0"/>
          <w14:ligatures w14:val="none"/>
        </w:rPr>
        <w:t>Wni</w:t>
      </w:r>
      <w:r w:rsidRPr="00577463">
        <w:rPr>
          <w:rFonts w:cstheme="minorHAnsi"/>
          <w:noProof/>
          <w:kern w:val="0"/>
          <w14:ligatures w14:val="none"/>
        </w:rPr>
        <w:t>o</w:t>
      </w:r>
      <w:r w:rsidR="00290B30">
        <w:rPr>
          <w:rFonts w:cstheme="minorHAnsi"/>
          <w:noProof/>
          <w:kern w:val="0"/>
          <w14:ligatures w14:val="none"/>
        </w:rPr>
        <w:t>s</w:t>
      </w:r>
      <w:r w:rsidRPr="00577463">
        <w:rPr>
          <w:rFonts w:cstheme="minorHAnsi"/>
          <w:noProof/>
          <w:kern w:val="0"/>
          <w14:ligatures w14:val="none"/>
        </w:rPr>
        <w:t>ek</w:t>
      </w:r>
      <w:r w:rsidR="003B50ED" w:rsidRPr="00577463">
        <w:rPr>
          <w:rFonts w:cstheme="minorHAnsi"/>
          <w:noProof/>
          <w:kern w:val="0"/>
          <w14:ligatures w14:val="none"/>
        </w:rPr>
        <w:t xml:space="preserve"> </w:t>
      </w:r>
      <w:r w:rsidRPr="00577463">
        <w:rPr>
          <w:rFonts w:cstheme="minorHAnsi"/>
          <w:noProof/>
          <w:kern w:val="0"/>
          <w14:ligatures w14:val="none"/>
        </w:rPr>
        <w:t>o</w:t>
      </w:r>
      <w:r w:rsidR="003B50ED" w:rsidRPr="00577463">
        <w:rPr>
          <w:rFonts w:cstheme="minorHAnsi"/>
          <w:noProof/>
          <w:kern w:val="0"/>
          <w14:ligatures w14:val="none"/>
        </w:rPr>
        <w:t xml:space="preserve"> </w:t>
      </w:r>
      <w:r w:rsidRPr="00577463">
        <w:rPr>
          <w:rFonts w:cstheme="minorHAnsi"/>
          <w:noProof/>
          <w:kern w:val="0"/>
          <w14:ligatures w14:val="none"/>
        </w:rPr>
        <w:t>wprowadzenie</w:t>
      </w:r>
      <w:r w:rsidR="003B50ED" w:rsidRPr="00577463">
        <w:rPr>
          <w:rFonts w:cstheme="minorHAnsi"/>
          <w:noProof/>
          <w:kern w:val="0"/>
          <w14:ligatures w14:val="none"/>
        </w:rPr>
        <w:t xml:space="preserve"> </w:t>
      </w:r>
      <w:r w:rsidRPr="00577463">
        <w:rPr>
          <w:rFonts w:cstheme="minorHAnsi"/>
          <w:noProof/>
          <w:kern w:val="0"/>
          <w14:ligatures w14:val="none"/>
        </w:rPr>
        <w:t>/</w:t>
      </w:r>
      <w:r w:rsidR="003B50ED" w:rsidRPr="00577463">
        <w:rPr>
          <w:rFonts w:cstheme="minorHAnsi"/>
          <w:noProof/>
          <w:kern w:val="0"/>
          <w14:ligatures w14:val="none"/>
        </w:rPr>
        <w:t xml:space="preserve"> </w:t>
      </w:r>
      <w:r w:rsidRPr="00577463">
        <w:rPr>
          <w:rFonts w:cstheme="minorHAnsi"/>
          <w:noProof/>
          <w:kern w:val="0"/>
          <w14:ligatures w14:val="none"/>
        </w:rPr>
        <w:t>zmianę</w:t>
      </w:r>
      <w:r w:rsidR="003B50ED" w:rsidRPr="00577463">
        <w:rPr>
          <w:rFonts w:cstheme="minorHAnsi"/>
          <w:noProof/>
          <w:kern w:val="0"/>
          <w14:ligatures w14:val="none"/>
        </w:rPr>
        <w:t xml:space="preserve"> </w:t>
      </w:r>
      <w:r w:rsidRPr="00577463">
        <w:rPr>
          <w:rFonts w:cstheme="minorHAnsi"/>
          <w:noProof/>
          <w:kern w:val="0"/>
          <w14:ligatures w14:val="none"/>
        </w:rPr>
        <w:t>nowego</w:t>
      </w:r>
      <w:r w:rsidR="003B50ED" w:rsidRPr="00577463">
        <w:rPr>
          <w:rFonts w:cstheme="minorHAnsi"/>
          <w:noProof/>
          <w:kern w:val="0"/>
          <w14:ligatures w14:val="none"/>
        </w:rPr>
        <w:t xml:space="preserve"> </w:t>
      </w:r>
      <w:r w:rsidRPr="00577463">
        <w:rPr>
          <w:rFonts w:cstheme="minorHAnsi"/>
          <w:noProof/>
          <w:kern w:val="0"/>
          <w14:ligatures w14:val="none"/>
        </w:rPr>
        <w:t>kryterium</w:t>
      </w:r>
      <w:r w:rsidR="003B50ED" w:rsidRPr="00577463">
        <w:rPr>
          <w:rFonts w:cstheme="minorHAnsi"/>
          <w:noProof/>
          <w:kern w:val="0"/>
          <w14:ligatures w14:val="none"/>
        </w:rPr>
        <w:t xml:space="preserve"> </w:t>
      </w:r>
      <w:r w:rsidRPr="00577463">
        <w:rPr>
          <w:rFonts w:cstheme="minorHAnsi"/>
          <w:noProof/>
          <w:kern w:val="0"/>
          <w14:ligatures w14:val="none"/>
        </w:rPr>
        <w:t>powinien</w:t>
      </w:r>
      <w:r w:rsidR="003B50ED" w:rsidRPr="00577463">
        <w:rPr>
          <w:rFonts w:cstheme="minorHAnsi"/>
          <w:noProof/>
          <w:kern w:val="0"/>
          <w14:ligatures w14:val="none"/>
        </w:rPr>
        <w:t xml:space="preserve"> </w:t>
      </w:r>
      <w:r w:rsidRPr="00577463">
        <w:rPr>
          <w:rFonts w:cstheme="minorHAnsi"/>
          <w:noProof/>
          <w:kern w:val="0"/>
          <w14:ligatures w14:val="none"/>
        </w:rPr>
        <w:t>również</w:t>
      </w:r>
      <w:r w:rsidR="003B50ED" w:rsidRPr="00577463">
        <w:rPr>
          <w:rFonts w:cstheme="minorHAnsi"/>
          <w:noProof/>
          <w:kern w:val="0"/>
          <w14:ligatures w14:val="none"/>
        </w:rPr>
        <w:t xml:space="preserve"> </w:t>
      </w:r>
      <w:r w:rsidRPr="00577463">
        <w:rPr>
          <w:rFonts w:cstheme="minorHAnsi"/>
          <w:noProof/>
          <w:kern w:val="0"/>
          <w14:ligatures w14:val="none"/>
        </w:rPr>
        <w:t>uwzgledniąć</w:t>
      </w:r>
      <w:r w:rsidR="003B50ED" w:rsidRPr="00577463">
        <w:rPr>
          <w:rFonts w:cstheme="minorHAnsi"/>
          <w:noProof/>
          <w:kern w:val="0"/>
          <w14:ligatures w14:val="none"/>
        </w:rPr>
        <w:t xml:space="preserve"> </w:t>
      </w:r>
      <w:r w:rsidRPr="00577463">
        <w:rPr>
          <w:rFonts w:cstheme="minorHAnsi"/>
          <w:noProof/>
          <w:kern w:val="0"/>
          <w14:ligatures w14:val="none"/>
        </w:rPr>
        <w:t>propozycję</w:t>
      </w:r>
      <w:r w:rsidR="003B50ED" w:rsidRPr="00577463">
        <w:rPr>
          <w:rFonts w:cstheme="minorHAnsi"/>
          <w:noProof/>
          <w:kern w:val="0"/>
          <w14:ligatures w14:val="none"/>
        </w:rPr>
        <w:t xml:space="preserve"> </w:t>
      </w:r>
      <w:r w:rsidRPr="00577463">
        <w:rPr>
          <w:rFonts w:cstheme="minorHAnsi"/>
          <w:noProof/>
          <w:kern w:val="0"/>
          <w14:ligatures w14:val="none"/>
        </w:rPr>
        <w:t>minimalnej</w:t>
      </w:r>
      <w:r w:rsidR="003B50ED" w:rsidRPr="00577463">
        <w:rPr>
          <w:rFonts w:cstheme="minorHAnsi"/>
          <w:noProof/>
          <w:kern w:val="0"/>
          <w14:ligatures w14:val="none"/>
        </w:rPr>
        <w:t xml:space="preserve"> </w:t>
      </w:r>
      <w:r w:rsidRPr="00577463">
        <w:rPr>
          <w:rFonts w:cstheme="minorHAnsi"/>
          <w:noProof/>
          <w:kern w:val="0"/>
          <w14:ligatures w14:val="none"/>
        </w:rPr>
        <w:t>i</w:t>
      </w:r>
      <w:r w:rsidR="003B50ED" w:rsidRPr="00577463">
        <w:rPr>
          <w:rFonts w:cstheme="minorHAnsi"/>
          <w:noProof/>
          <w:kern w:val="0"/>
          <w14:ligatures w14:val="none"/>
        </w:rPr>
        <w:t xml:space="preserve"> </w:t>
      </w:r>
      <w:r w:rsidRPr="00577463">
        <w:rPr>
          <w:rFonts w:cstheme="minorHAnsi"/>
          <w:noProof/>
          <w:kern w:val="0"/>
          <w14:ligatures w14:val="none"/>
        </w:rPr>
        <w:t>maksymalnej</w:t>
      </w:r>
      <w:r w:rsidR="003B50ED" w:rsidRPr="00577463">
        <w:rPr>
          <w:rFonts w:cstheme="minorHAnsi"/>
          <w:noProof/>
          <w:kern w:val="0"/>
          <w14:ligatures w14:val="none"/>
        </w:rPr>
        <w:t xml:space="preserve"> </w:t>
      </w:r>
      <w:r w:rsidRPr="00577463">
        <w:rPr>
          <w:rFonts w:cstheme="minorHAnsi"/>
          <w:noProof/>
          <w:kern w:val="0"/>
          <w14:ligatures w14:val="none"/>
        </w:rPr>
        <w:t>liczby</w:t>
      </w:r>
      <w:r w:rsidR="003B50ED" w:rsidRPr="00577463">
        <w:rPr>
          <w:rFonts w:cstheme="minorHAnsi"/>
          <w:noProof/>
          <w:kern w:val="0"/>
          <w14:ligatures w14:val="none"/>
        </w:rPr>
        <w:t xml:space="preserve"> </w:t>
      </w:r>
      <w:r w:rsidRPr="00577463">
        <w:rPr>
          <w:rFonts w:cstheme="minorHAnsi"/>
          <w:noProof/>
          <w:kern w:val="0"/>
          <w14:ligatures w14:val="none"/>
        </w:rPr>
        <w:t>punktów</w:t>
      </w:r>
      <w:r w:rsidR="003B50ED" w:rsidRPr="00577463">
        <w:rPr>
          <w:rFonts w:cstheme="minorHAnsi"/>
          <w:noProof/>
          <w:kern w:val="0"/>
          <w14:ligatures w14:val="none"/>
        </w:rPr>
        <w:t xml:space="preserve"> </w:t>
      </w:r>
      <w:r w:rsidRPr="00577463">
        <w:rPr>
          <w:rFonts w:cstheme="minorHAnsi"/>
          <w:noProof/>
          <w:kern w:val="0"/>
          <w14:ligatures w14:val="none"/>
        </w:rPr>
        <w:t>przyznawanych</w:t>
      </w:r>
      <w:r w:rsidR="003B50ED" w:rsidRPr="00577463">
        <w:rPr>
          <w:rFonts w:cstheme="minorHAnsi"/>
          <w:noProof/>
          <w:kern w:val="0"/>
          <w14:ligatures w14:val="none"/>
        </w:rPr>
        <w:t xml:space="preserve"> </w:t>
      </w:r>
      <w:r w:rsidRPr="00577463">
        <w:rPr>
          <w:rFonts w:cstheme="minorHAnsi"/>
          <w:noProof/>
          <w:kern w:val="0"/>
          <w14:ligatures w14:val="none"/>
        </w:rPr>
        <w:t>za</w:t>
      </w:r>
      <w:r w:rsidR="003B50ED" w:rsidRPr="00577463">
        <w:rPr>
          <w:rFonts w:cstheme="minorHAnsi"/>
          <w:noProof/>
          <w:kern w:val="0"/>
          <w14:ligatures w14:val="none"/>
        </w:rPr>
        <w:t xml:space="preserve"> </w:t>
      </w:r>
      <w:r w:rsidRPr="00577463">
        <w:rPr>
          <w:rFonts w:cstheme="minorHAnsi"/>
          <w:noProof/>
          <w:kern w:val="0"/>
          <w14:ligatures w14:val="none"/>
        </w:rPr>
        <w:t>to</w:t>
      </w:r>
      <w:r w:rsidR="003B50ED" w:rsidRPr="00577463">
        <w:rPr>
          <w:rFonts w:cstheme="minorHAnsi"/>
          <w:noProof/>
          <w:kern w:val="0"/>
          <w14:ligatures w14:val="none"/>
        </w:rPr>
        <w:t xml:space="preserve"> </w:t>
      </w:r>
      <w:r w:rsidRPr="00577463">
        <w:rPr>
          <w:rFonts w:cstheme="minorHAnsi"/>
          <w:noProof/>
          <w:kern w:val="0"/>
          <w14:ligatures w14:val="none"/>
        </w:rPr>
        <w:t>kryterium</w:t>
      </w:r>
      <w:r w:rsidR="003B50ED" w:rsidRPr="00577463">
        <w:rPr>
          <w:rFonts w:cstheme="minorHAnsi"/>
          <w:noProof/>
          <w:kern w:val="0"/>
          <w14:ligatures w14:val="none"/>
        </w:rPr>
        <w:t xml:space="preserve"> </w:t>
      </w:r>
      <w:r w:rsidRPr="00577463">
        <w:rPr>
          <w:rFonts w:cstheme="minorHAnsi"/>
          <w:noProof/>
          <w:kern w:val="0"/>
          <w14:ligatures w14:val="none"/>
        </w:rPr>
        <w:t>lub</w:t>
      </w:r>
      <w:r w:rsidR="003B50ED" w:rsidRPr="00577463">
        <w:rPr>
          <w:rFonts w:cstheme="minorHAnsi"/>
          <w:noProof/>
          <w:kern w:val="0"/>
          <w14:ligatures w14:val="none"/>
        </w:rPr>
        <w:t xml:space="preserve"> </w:t>
      </w:r>
      <w:r w:rsidRPr="00577463">
        <w:rPr>
          <w:rFonts w:cstheme="minorHAnsi"/>
          <w:noProof/>
          <w:kern w:val="0"/>
          <w14:ligatures w14:val="none"/>
        </w:rPr>
        <w:t>wagę</w:t>
      </w:r>
      <w:r w:rsidR="003B50ED" w:rsidRPr="00577463">
        <w:rPr>
          <w:rFonts w:cstheme="minorHAnsi"/>
          <w:noProof/>
          <w:kern w:val="0"/>
          <w14:ligatures w14:val="none"/>
        </w:rPr>
        <w:t xml:space="preserve"> </w:t>
      </w:r>
      <w:r w:rsidRPr="00577463">
        <w:rPr>
          <w:rFonts w:cstheme="minorHAnsi"/>
          <w:noProof/>
          <w:kern w:val="0"/>
          <w14:ligatures w14:val="none"/>
        </w:rPr>
        <w:t>tego</w:t>
      </w:r>
      <w:r w:rsidR="003B50ED" w:rsidRPr="00577463">
        <w:rPr>
          <w:rFonts w:cstheme="minorHAnsi"/>
          <w:noProof/>
          <w:kern w:val="0"/>
          <w14:ligatures w14:val="none"/>
        </w:rPr>
        <w:t xml:space="preserve"> </w:t>
      </w:r>
      <w:r w:rsidRPr="00577463">
        <w:rPr>
          <w:rFonts w:cstheme="minorHAnsi"/>
          <w:noProof/>
          <w:kern w:val="0"/>
          <w14:ligatures w14:val="none"/>
        </w:rPr>
        <w:t>kryterium</w:t>
      </w:r>
      <w:r w:rsidR="003B50ED" w:rsidRPr="00577463">
        <w:rPr>
          <w:rFonts w:cstheme="minorHAnsi"/>
          <w:noProof/>
          <w:kern w:val="0"/>
          <w14:ligatures w14:val="none"/>
        </w:rPr>
        <w:t xml:space="preserve"> </w:t>
      </w:r>
      <w:r w:rsidRPr="00577463">
        <w:rPr>
          <w:rFonts w:cstheme="minorHAnsi"/>
          <w:noProof/>
          <w:kern w:val="0"/>
          <w14:ligatures w14:val="none"/>
        </w:rPr>
        <w:t>w</w:t>
      </w:r>
      <w:r w:rsidR="003B50ED" w:rsidRPr="00577463">
        <w:rPr>
          <w:rFonts w:cstheme="minorHAnsi"/>
          <w:noProof/>
          <w:kern w:val="0"/>
          <w14:ligatures w14:val="none"/>
        </w:rPr>
        <w:t xml:space="preserve"> </w:t>
      </w:r>
      <w:r w:rsidRPr="00577463">
        <w:rPr>
          <w:rFonts w:cstheme="minorHAnsi"/>
          <w:noProof/>
          <w:kern w:val="0"/>
          <w14:ligatures w14:val="none"/>
        </w:rPr>
        <w:t>odniesieniu</w:t>
      </w:r>
      <w:r w:rsidR="003B50ED" w:rsidRPr="00577463">
        <w:rPr>
          <w:rFonts w:cstheme="minorHAnsi"/>
          <w:noProof/>
          <w:kern w:val="0"/>
          <w14:ligatures w14:val="none"/>
        </w:rPr>
        <w:t xml:space="preserve"> </w:t>
      </w:r>
      <w:r w:rsidRPr="00577463">
        <w:rPr>
          <w:rFonts w:cstheme="minorHAnsi"/>
          <w:noProof/>
          <w:kern w:val="0"/>
          <w14:ligatures w14:val="none"/>
        </w:rPr>
        <w:t>do</w:t>
      </w:r>
      <w:r w:rsidR="003B50ED" w:rsidRPr="00577463">
        <w:rPr>
          <w:rFonts w:cstheme="minorHAnsi"/>
          <w:noProof/>
          <w:kern w:val="0"/>
          <w14:ligatures w14:val="none"/>
        </w:rPr>
        <w:t xml:space="preserve"> </w:t>
      </w:r>
      <w:r w:rsidRPr="00577463">
        <w:rPr>
          <w:rFonts w:cstheme="minorHAnsi"/>
          <w:noProof/>
          <w:kern w:val="0"/>
          <w14:ligatures w14:val="none"/>
        </w:rPr>
        <w:t>pozostałych,</w:t>
      </w:r>
    </w:p>
    <w:p w14:paraId="4B07C192" w14:textId="62585032" w:rsidR="002C63F4" w:rsidRPr="00577463" w:rsidRDefault="002C63F4" w:rsidP="008A412F">
      <w:pPr>
        <w:numPr>
          <w:ilvl w:val="0"/>
          <w:numId w:val="24"/>
        </w:numPr>
        <w:spacing w:line="276" w:lineRule="auto"/>
        <w:jc w:val="both"/>
        <w:rPr>
          <w:rFonts w:cstheme="minorHAnsi"/>
          <w:noProof/>
          <w:kern w:val="0"/>
          <w14:ligatures w14:val="none"/>
        </w:rPr>
      </w:pPr>
      <w:r w:rsidRPr="00577463">
        <w:rPr>
          <w:rFonts w:cstheme="minorHAnsi"/>
          <w:noProof/>
          <w:kern w:val="0"/>
          <w14:ligatures w14:val="none"/>
        </w:rPr>
        <w:t>Zmiana</w:t>
      </w:r>
      <w:r w:rsidR="003B50ED" w:rsidRPr="00577463">
        <w:rPr>
          <w:rFonts w:cstheme="minorHAnsi"/>
          <w:noProof/>
          <w:kern w:val="0"/>
          <w14:ligatures w14:val="none"/>
        </w:rPr>
        <w:t xml:space="preserve"> </w:t>
      </w:r>
      <w:r w:rsidRPr="00577463">
        <w:rPr>
          <w:rFonts w:cstheme="minorHAnsi"/>
          <w:noProof/>
          <w:kern w:val="0"/>
          <w14:ligatures w14:val="none"/>
        </w:rPr>
        <w:t>kryteriów</w:t>
      </w:r>
      <w:r w:rsidR="003B50ED" w:rsidRPr="00577463">
        <w:rPr>
          <w:rFonts w:cstheme="minorHAnsi"/>
          <w:noProof/>
          <w:kern w:val="0"/>
          <w14:ligatures w14:val="none"/>
        </w:rPr>
        <w:t xml:space="preserve"> </w:t>
      </w:r>
      <w:r w:rsidRPr="00577463">
        <w:rPr>
          <w:rFonts w:cstheme="minorHAnsi"/>
          <w:noProof/>
          <w:kern w:val="0"/>
          <w14:ligatures w14:val="none"/>
        </w:rPr>
        <w:t>może</w:t>
      </w:r>
      <w:r w:rsidR="003B50ED" w:rsidRPr="00577463">
        <w:rPr>
          <w:rFonts w:cstheme="minorHAnsi"/>
          <w:noProof/>
          <w:kern w:val="0"/>
          <w14:ligatures w14:val="none"/>
        </w:rPr>
        <w:t xml:space="preserve"> </w:t>
      </w:r>
      <w:r w:rsidRPr="00577463">
        <w:rPr>
          <w:rFonts w:cstheme="minorHAnsi"/>
          <w:noProof/>
          <w:kern w:val="0"/>
          <w14:ligatures w14:val="none"/>
        </w:rPr>
        <w:t>również</w:t>
      </w:r>
      <w:r w:rsidR="003B50ED" w:rsidRPr="00577463">
        <w:rPr>
          <w:rFonts w:cstheme="minorHAnsi"/>
          <w:noProof/>
          <w:kern w:val="0"/>
          <w14:ligatures w14:val="none"/>
        </w:rPr>
        <w:t xml:space="preserve"> </w:t>
      </w:r>
      <w:r w:rsidRPr="00577463">
        <w:rPr>
          <w:rFonts w:cstheme="minorHAnsi"/>
          <w:noProof/>
          <w:kern w:val="0"/>
          <w14:ligatures w14:val="none"/>
        </w:rPr>
        <w:t>nastąpić</w:t>
      </w:r>
      <w:r w:rsidR="003B50ED" w:rsidRPr="00577463">
        <w:rPr>
          <w:rFonts w:cstheme="minorHAnsi"/>
          <w:noProof/>
          <w:kern w:val="0"/>
          <w14:ligatures w14:val="none"/>
        </w:rPr>
        <w:t xml:space="preserve"> </w:t>
      </w:r>
      <w:r w:rsidRPr="00577463">
        <w:rPr>
          <w:rFonts w:cstheme="minorHAnsi"/>
          <w:noProof/>
          <w:kern w:val="0"/>
          <w14:ligatures w14:val="none"/>
        </w:rPr>
        <w:t>na</w:t>
      </w:r>
      <w:r w:rsidR="003B50ED" w:rsidRPr="00577463">
        <w:rPr>
          <w:rFonts w:cstheme="minorHAnsi"/>
          <w:noProof/>
          <w:kern w:val="0"/>
          <w14:ligatures w14:val="none"/>
        </w:rPr>
        <w:t xml:space="preserve"> </w:t>
      </w:r>
      <w:r w:rsidRPr="00577463">
        <w:rPr>
          <w:rFonts w:cstheme="minorHAnsi"/>
          <w:noProof/>
          <w:kern w:val="0"/>
          <w14:ligatures w14:val="none"/>
        </w:rPr>
        <w:t>wniosek</w:t>
      </w:r>
      <w:r w:rsidR="003B50ED" w:rsidRPr="00577463">
        <w:rPr>
          <w:rFonts w:cstheme="minorHAnsi"/>
          <w:noProof/>
          <w:kern w:val="0"/>
          <w14:ligatures w14:val="none"/>
        </w:rPr>
        <w:t xml:space="preserve"> </w:t>
      </w:r>
      <w:r w:rsidRPr="00577463">
        <w:rPr>
          <w:rFonts w:cstheme="minorHAnsi"/>
          <w:noProof/>
          <w:kern w:val="0"/>
          <w14:ligatures w14:val="none"/>
        </w:rPr>
        <w:t>ZW</w:t>
      </w:r>
      <w:r w:rsidR="003B50ED" w:rsidRPr="00577463">
        <w:rPr>
          <w:rFonts w:cstheme="minorHAnsi"/>
          <w:noProof/>
          <w:kern w:val="0"/>
          <w14:ligatures w14:val="none"/>
        </w:rPr>
        <w:t xml:space="preserve"> </w:t>
      </w:r>
      <w:r w:rsidRPr="00577463">
        <w:rPr>
          <w:rFonts w:cstheme="minorHAnsi"/>
          <w:noProof/>
          <w:kern w:val="0"/>
          <w14:ligatures w14:val="none"/>
        </w:rPr>
        <w:t>lub</w:t>
      </w:r>
      <w:r w:rsidR="003B50ED" w:rsidRPr="00577463">
        <w:rPr>
          <w:rFonts w:cstheme="minorHAnsi"/>
          <w:noProof/>
          <w:kern w:val="0"/>
          <w14:ligatures w14:val="none"/>
        </w:rPr>
        <w:t xml:space="preserve"> </w:t>
      </w:r>
      <w:r w:rsidRPr="00577463">
        <w:rPr>
          <w:rFonts w:cstheme="minorHAnsi"/>
          <w:noProof/>
          <w:kern w:val="0"/>
          <w14:ligatures w14:val="none"/>
        </w:rPr>
        <w:t>innych</w:t>
      </w:r>
      <w:r w:rsidR="003B50ED" w:rsidRPr="00577463">
        <w:rPr>
          <w:rFonts w:cstheme="minorHAnsi"/>
          <w:noProof/>
          <w:kern w:val="0"/>
          <w14:ligatures w14:val="none"/>
        </w:rPr>
        <w:t xml:space="preserve"> </w:t>
      </w:r>
      <w:r w:rsidRPr="00577463">
        <w:rPr>
          <w:rFonts w:cstheme="minorHAnsi"/>
          <w:noProof/>
          <w:kern w:val="0"/>
          <w14:ligatures w14:val="none"/>
        </w:rPr>
        <w:t>organów</w:t>
      </w:r>
      <w:r w:rsidR="003B50ED" w:rsidRPr="00577463">
        <w:rPr>
          <w:rFonts w:cstheme="minorHAnsi"/>
          <w:noProof/>
          <w:kern w:val="0"/>
          <w14:ligatures w14:val="none"/>
        </w:rPr>
        <w:t xml:space="preserve"> </w:t>
      </w:r>
      <w:r w:rsidRPr="00577463">
        <w:rPr>
          <w:rFonts w:cstheme="minorHAnsi"/>
          <w:noProof/>
          <w:kern w:val="0"/>
          <w14:ligatures w14:val="none"/>
        </w:rPr>
        <w:t>kontrolnych.</w:t>
      </w:r>
    </w:p>
    <w:p w14:paraId="0399D795" w14:textId="2E575F2E" w:rsidR="002C63F4" w:rsidRPr="00577463" w:rsidRDefault="002C63F4" w:rsidP="008A412F">
      <w:pPr>
        <w:numPr>
          <w:ilvl w:val="0"/>
          <w:numId w:val="24"/>
        </w:numPr>
        <w:spacing w:line="276" w:lineRule="auto"/>
        <w:jc w:val="both"/>
        <w:rPr>
          <w:rFonts w:cstheme="minorHAnsi"/>
          <w:noProof/>
          <w:kern w:val="0"/>
          <w14:ligatures w14:val="none"/>
        </w:rPr>
      </w:pPr>
      <w:r w:rsidRPr="00577463">
        <w:rPr>
          <w:rFonts w:cstheme="minorHAnsi"/>
          <w:noProof/>
          <w:kern w:val="0"/>
          <w14:ligatures w14:val="none"/>
        </w:rPr>
        <w:t>Zgłaszanie</w:t>
      </w:r>
      <w:r w:rsidR="003B50ED" w:rsidRPr="00577463">
        <w:rPr>
          <w:rFonts w:cstheme="minorHAnsi"/>
          <w:noProof/>
          <w:kern w:val="0"/>
          <w14:ligatures w14:val="none"/>
        </w:rPr>
        <w:t xml:space="preserve"> </w:t>
      </w:r>
      <w:r w:rsidRPr="00577463">
        <w:rPr>
          <w:rFonts w:cstheme="minorHAnsi"/>
          <w:noProof/>
          <w:kern w:val="0"/>
          <w14:ligatures w14:val="none"/>
        </w:rPr>
        <w:t>wniosków</w:t>
      </w:r>
      <w:r w:rsidR="003B50ED" w:rsidRPr="00577463">
        <w:rPr>
          <w:rFonts w:cstheme="minorHAnsi"/>
          <w:noProof/>
          <w:kern w:val="0"/>
          <w14:ligatures w14:val="none"/>
        </w:rPr>
        <w:t xml:space="preserve"> </w:t>
      </w:r>
      <w:r w:rsidRPr="00577463">
        <w:rPr>
          <w:rFonts w:cstheme="minorHAnsi"/>
          <w:noProof/>
          <w:kern w:val="0"/>
          <w14:ligatures w14:val="none"/>
        </w:rPr>
        <w:t>i</w:t>
      </w:r>
      <w:r w:rsidR="003B50ED" w:rsidRPr="00577463">
        <w:rPr>
          <w:rFonts w:cstheme="minorHAnsi"/>
          <w:noProof/>
          <w:kern w:val="0"/>
          <w14:ligatures w14:val="none"/>
        </w:rPr>
        <w:t xml:space="preserve"> </w:t>
      </w:r>
      <w:r w:rsidRPr="00577463">
        <w:rPr>
          <w:rFonts w:cstheme="minorHAnsi"/>
          <w:noProof/>
          <w:kern w:val="0"/>
          <w14:ligatures w14:val="none"/>
        </w:rPr>
        <w:t>uwag</w:t>
      </w:r>
      <w:r w:rsidR="003B50ED" w:rsidRPr="00577463">
        <w:rPr>
          <w:rFonts w:cstheme="minorHAnsi"/>
          <w:noProof/>
          <w:kern w:val="0"/>
          <w14:ligatures w14:val="none"/>
        </w:rPr>
        <w:t xml:space="preserve"> </w:t>
      </w:r>
      <w:r w:rsidRPr="00577463">
        <w:rPr>
          <w:rFonts w:cstheme="minorHAnsi"/>
          <w:noProof/>
          <w:kern w:val="0"/>
          <w14:ligatures w14:val="none"/>
        </w:rPr>
        <w:t>od</w:t>
      </w:r>
      <w:r w:rsidR="003B50ED" w:rsidRPr="00577463">
        <w:rPr>
          <w:rFonts w:cstheme="minorHAnsi"/>
          <w:noProof/>
          <w:kern w:val="0"/>
          <w14:ligatures w14:val="none"/>
        </w:rPr>
        <w:t xml:space="preserve"> </w:t>
      </w:r>
      <w:r w:rsidRPr="00577463">
        <w:rPr>
          <w:rFonts w:cstheme="minorHAnsi"/>
          <w:noProof/>
          <w:kern w:val="0"/>
          <w14:ligatures w14:val="none"/>
        </w:rPr>
        <w:t>mieszkańców</w:t>
      </w:r>
      <w:r w:rsidR="003B50ED" w:rsidRPr="00577463">
        <w:rPr>
          <w:rFonts w:cstheme="minorHAnsi"/>
          <w:noProof/>
          <w:kern w:val="0"/>
          <w14:ligatures w14:val="none"/>
        </w:rPr>
        <w:t xml:space="preserve"> </w:t>
      </w:r>
      <w:r w:rsidRPr="00577463">
        <w:rPr>
          <w:rFonts w:cstheme="minorHAnsi"/>
          <w:noProof/>
          <w:kern w:val="0"/>
          <w14:ligatures w14:val="none"/>
        </w:rPr>
        <w:t>lub</w:t>
      </w:r>
      <w:r w:rsidR="003B50ED" w:rsidRPr="00577463">
        <w:rPr>
          <w:rFonts w:cstheme="minorHAnsi"/>
          <w:noProof/>
          <w:kern w:val="0"/>
          <w14:ligatures w14:val="none"/>
        </w:rPr>
        <w:t xml:space="preserve"> </w:t>
      </w:r>
      <w:r w:rsidRPr="00577463">
        <w:rPr>
          <w:rFonts w:cstheme="minorHAnsi"/>
          <w:noProof/>
          <w:kern w:val="0"/>
          <w14:ligatures w14:val="none"/>
        </w:rPr>
        <w:t>uprawnionych</w:t>
      </w:r>
      <w:r w:rsidR="003B50ED" w:rsidRPr="00577463">
        <w:rPr>
          <w:rFonts w:cstheme="minorHAnsi"/>
          <w:noProof/>
          <w:kern w:val="0"/>
          <w14:ligatures w14:val="none"/>
        </w:rPr>
        <w:t xml:space="preserve"> </w:t>
      </w:r>
      <w:r w:rsidRPr="00577463">
        <w:rPr>
          <w:rFonts w:cstheme="minorHAnsi"/>
          <w:noProof/>
          <w:kern w:val="0"/>
          <w14:ligatures w14:val="none"/>
        </w:rPr>
        <w:t>podmiotów</w:t>
      </w:r>
      <w:r w:rsidR="003B50ED" w:rsidRPr="00577463">
        <w:rPr>
          <w:rFonts w:cstheme="minorHAnsi"/>
          <w:noProof/>
          <w:kern w:val="0"/>
          <w14:ligatures w14:val="none"/>
        </w:rPr>
        <w:t xml:space="preserve"> </w:t>
      </w:r>
      <w:r w:rsidRPr="00577463">
        <w:rPr>
          <w:rFonts w:cstheme="minorHAnsi"/>
          <w:noProof/>
          <w:kern w:val="0"/>
          <w14:ligatures w14:val="none"/>
        </w:rPr>
        <w:t>w</w:t>
      </w:r>
      <w:r w:rsidR="003B50ED" w:rsidRPr="00577463">
        <w:rPr>
          <w:rFonts w:cstheme="minorHAnsi"/>
          <w:noProof/>
          <w:kern w:val="0"/>
          <w14:ligatures w14:val="none"/>
        </w:rPr>
        <w:t xml:space="preserve"> </w:t>
      </w:r>
      <w:r w:rsidRPr="00577463">
        <w:rPr>
          <w:rFonts w:cstheme="minorHAnsi"/>
          <w:noProof/>
          <w:kern w:val="0"/>
          <w14:ligatures w14:val="none"/>
        </w:rPr>
        <w:t>zakresie</w:t>
      </w:r>
      <w:r w:rsidR="003B50ED" w:rsidRPr="00577463">
        <w:rPr>
          <w:rFonts w:cstheme="minorHAnsi"/>
          <w:noProof/>
          <w:kern w:val="0"/>
          <w14:ligatures w14:val="none"/>
        </w:rPr>
        <w:t xml:space="preserve"> </w:t>
      </w:r>
      <w:r w:rsidRPr="00577463">
        <w:rPr>
          <w:rFonts w:cstheme="minorHAnsi"/>
          <w:noProof/>
          <w:kern w:val="0"/>
          <w14:ligatures w14:val="none"/>
        </w:rPr>
        <w:t>zmian</w:t>
      </w:r>
      <w:r w:rsidR="003B50ED" w:rsidRPr="00577463">
        <w:rPr>
          <w:rFonts w:cstheme="minorHAnsi"/>
          <w:noProof/>
          <w:kern w:val="0"/>
          <w14:ligatures w14:val="none"/>
        </w:rPr>
        <w:t xml:space="preserve"> </w:t>
      </w:r>
      <w:r w:rsidRPr="00577463">
        <w:rPr>
          <w:rFonts w:cstheme="minorHAnsi"/>
          <w:noProof/>
          <w:kern w:val="0"/>
          <w14:ligatures w14:val="none"/>
        </w:rPr>
        <w:t>lokalnych</w:t>
      </w:r>
      <w:r w:rsidR="003B50ED" w:rsidRPr="00577463">
        <w:rPr>
          <w:rFonts w:cstheme="minorHAnsi"/>
          <w:noProof/>
          <w:kern w:val="0"/>
          <w14:ligatures w14:val="none"/>
        </w:rPr>
        <w:t xml:space="preserve"> </w:t>
      </w:r>
      <w:r w:rsidRPr="00577463">
        <w:rPr>
          <w:rFonts w:cstheme="minorHAnsi"/>
          <w:noProof/>
          <w:kern w:val="0"/>
          <w14:ligatures w14:val="none"/>
        </w:rPr>
        <w:t>kryteriów</w:t>
      </w:r>
      <w:r w:rsidR="003B50ED" w:rsidRPr="00577463">
        <w:rPr>
          <w:rFonts w:cstheme="minorHAnsi"/>
          <w:noProof/>
          <w:kern w:val="0"/>
          <w14:ligatures w14:val="none"/>
        </w:rPr>
        <w:t xml:space="preserve"> </w:t>
      </w:r>
      <w:r w:rsidRPr="00577463">
        <w:rPr>
          <w:rFonts w:cstheme="minorHAnsi"/>
          <w:noProof/>
          <w:kern w:val="0"/>
          <w14:ligatures w14:val="none"/>
        </w:rPr>
        <w:t>wyboru</w:t>
      </w:r>
      <w:r w:rsidR="003B50ED" w:rsidRPr="00577463">
        <w:rPr>
          <w:rFonts w:cstheme="minorHAnsi"/>
          <w:noProof/>
          <w:kern w:val="0"/>
          <w14:ligatures w14:val="none"/>
        </w:rPr>
        <w:t xml:space="preserve"> </w:t>
      </w:r>
      <w:r w:rsidRPr="00577463">
        <w:rPr>
          <w:rFonts w:cstheme="minorHAnsi"/>
          <w:noProof/>
          <w:kern w:val="0"/>
          <w14:ligatures w14:val="none"/>
        </w:rPr>
        <w:t>będzie</w:t>
      </w:r>
      <w:r w:rsidR="003B50ED" w:rsidRPr="00577463">
        <w:rPr>
          <w:rFonts w:cstheme="minorHAnsi"/>
          <w:noProof/>
          <w:kern w:val="0"/>
          <w14:ligatures w14:val="none"/>
        </w:rPr>
        <w:t xml:space="preserve"> </w:t>
      </w:r>
      <w:r w:rsidRPr="00577463">
        <w:rPr>
          <w:rFonts w:cstheme="minorHAnsi"/>
          <w:noProof/>
          <w:kern w:val="0"/>
          <w14:ligatures w14:val="none"/>
        </w:rPr>
        <w:t>odbywać</w:t>
      </w:r>
      <w:r w:rsidR="003B50ED" w:rsidRPr="00577463">
        <w:rPr>
          <w:rFonts w:cstheme="minorHAnsi"/>
          <w:noProof/>
          <w:kern w:val="0"/>
          <w14:ligatures w14:val="none"/>
        </w:rPr>
        <w:t xml:space="preserve"> </w:t>
      </w:r>
      <w:r w:rsidRPr="00577463">
        <w:rPr>
          <w:rFonts w:cstheme="minorHAnsi"/>
          <w:noProof/>
          <w:kern w:val="0"/>
          <w14:ligatures w14:val="none"/>
        </w:rPr>
        <w:t>się</w:t>
      </w:r>
      <w:r w:rsidR="003B50ED" w:rsidRPr="00577463">
        <w:rPr>
          <w:rFonts w:cstheme="minorHAnsi"/>
          <w:noProof/>
          <w:kern w:val="0"/>
          <w14:ligatures w14:val="none"/>
        </w:rPr>
        <w:t xml:space="preserve"> </w:t>
      </w:r>
      <w:r w:rsidRPr="00577463">
        <w:rPr>
          <w:rFonts w:cstheme="minorHAnsi"/>
          <w:noProof/>
          <w:kern w:val="0"/>
          <w14:ligatures w14:val="none"/>
        </w:rPr>
        <w:t>w</w:t>
      </w:r>
      <w:r w:rsidR="003B50ED" w:rsidRPr="00577463">
        <w:rPr>
          <w:rFonts w:cstheme="minorHAnsi"/>
          <w:noProof/>
          <w:kern w:val="0"/>
          <w14:ligatures w14:val="none"/>
        </w:rPr>
        <w:t xml:space="preserve"> </w:t>
      </w:r>
      <w:r w:rsidRPr="00577463">
        <w:rPr>
          <w:rFonts w:cstheme="minorHAnsi"/>
          <w:noProof/>
          <w:kern w:val="0"/>
          <w14:ligatures w14:val="none"/>
        </w:rPr>
        <w:t>trybie</w:t>
      </w:r>
      <w:r w:rsidR="003B50ED" w:rsidRPr="00577463">
        <w:rPr>
          <w:rFonts w:cstheme="minorHAnsi"/>
          <w:noProof/>
          <w:kern w:val="0"/>
          <w14:ligatures w14:val="none"/>
        </w:rPr>
        <w:t xml:space="preserve"> </w:t>
      </w:r>
      <w:r w:rsidRPr="00577463">
        <w:rPr>
          <w:rFonts w:cstheme="minorHAnsi"/>
          <w:noProof/>
          <w:kern w:val="0"/>
          <w14:ligatures w14:val="none"/>
        </w:rPr>
        <w:t>ciągłym.</w:t>
      </w:r>
      <w:r w:rsidR="003B50ED" w:rsidRPr="00577463">
        <w:rPr>
          <w:rFonts w:cstheme="minorHAnsi"/>
          <w:noProof/>
          <w:kern w:val="0"/>
          <w14:ligatures w14:val="none"/>
        </w:rPr>
        <w:t xml:space="preserve"> </w:t>
      </w:r>
    </w:p>
    <w:p w14:paraId="3FF024EE" w14:textId="61D33028" w:rsidR="002C63F4" w:rsidRPr="00577463" w:rsidRDefault="002C63F4" w:rsidP="008A412F">
      <w:pPr>
        <w:numPr>
          <w:ilvl w:val="0"/>
          <w:numId w:val="24"/>
        </w:numPr>
        <w:spacing w:line="276" w:lineRule="auto"/>
        <w:jc w:val="both"/>
        <w:rPr>
          <w:rFonts w:cstheme="minorHAnsi"/>
          <w:noProof/>
          <w:kern w:val="0"/>
          <w14:ligatures w14:val="none"/>
        </w:rPr>
      </w:pPr>
      <w:r w:rsidRPr="00577463">
        <w:rPr>
          <w:rFonts w:cstheme="minorHAnsi"/>
          <w:noProof/>
          <w:kern w:val="0"/>
          <w14:ligatures w14:val="none"/>
        </w:rPr>
        <w:t>Modyfikacja</w:t>
      </w:r>
      <w:r w:rsidR="003B50ED" w:rsidRPr="00577463">
        <w:rPr>
          <w:rFonts w:cstheme="minorHAnsi"/>
          <w:noProof/>
          <w:kern w:val="0"/>
          <w14:ligatures w14:val="none"/>
        </w:rPr>
        <w:t xml:space="preserve"> </w:t>
      </w:r>
      <w:r w:rsidRPr="00577463">
        <w:rPr>
          <w:rFonts w:cstheme="minorHAnsi"/>
          <w:noProof/>
          <w:kern w:val="0"/>
          <w14:ligatures w14:val="none"/>
        </w:rPr>
        <w:t>kryteriów</w:t>
      </w:r>
      <w:r w:rsidR="003B50ED" w:rsidRPr="00577463">
        <w:rPr>
          <w:rFonts w:cstheme="minorHAnsi"/>
          <w:noProof/>
          <w:kern w:val="0"/>
          <w14:ligatures w14:val="none"/>
        </w:rPr>
        <w:t xml:space="preserve"> </w:t>
      </w:r>
      <w:r w:rsidRPr="00577463">
        <w:rPr>
          <w:rFonts w:cstheme="minorHAnsi"/>
          <w:noProof/>
          <w:kern w:val="0"/>
          <w14:ligatures w14:val="none"/>
        </w:rPr>
        <w:t>nie</w:t>
      </w:r>
      <w:r w:rsidR="003B50ED" w:rsidRPr="00577463">
        <w:rPr>
          <w:rFonts w:cstheme="minorHAnsi"/>
          <w:noProof/>
          <w:kern w:val="0"/>
          <w14:ligatures w14:val="none"/>
        </w:rPr>
        <w:t xml:space="preserve"> </w:t>
      </w:r>
      <w:r w:rsidRPr="00577463">
        <w:rPr>
          <w:rFonts w:cstheme="minorHAnsi"/>
          <w:noProof/>
          <w:kern w:val="0"/>
          <w14:ligatures w14:val="none"/>
        </w:rPr>
        <w:t>może</w:t>
      </w:r>
      <w:r w:rsidR="003B50ED" w:rsidRPr="00577463">
        <w:rPr>
          <w:rFonts w:cstheme="minorHAnsi"/>
          <w:noProof/>
          <w:kern w:val="0"/>
          <w14:ligatures w14:val="none"/>
        </w:rPr>
        <w:t xml:space="preserve"> </w:t>
      </w:r>
      <w:r w:rsidRPr="00577463">
        <w:rPr>
          <w:rFonts w:cstheme="minorHAnsi"/>
          <w:noProof/>
          <w:kern w:val="0"/>
          <w14:ligatures w14:val="none"/>
        </w:rPr>
        <w:t>prowadzić</w:t>
      </w:r>
      <w:r w:rsidR="003B50ED" w:rsidRPr="00577463">
        <w:rPr>
          <w:rFonts w:cstheme="minorHAnsi"/>
          <w:noProof/>
          <w:kern w:val="0"/>
          <w14:ligatures w14:val="none"/>
        </w:rPr>
        <w:t xml:space="preserve"> </w:t>
      </w:r>
      <w:r w:rsidRPr="00577463">
        <w:rPr>
          <w:rFonts w:cstheme="minorHAnsi"/>
          <w:noProof/>
          <w:kern w:val="0"/>
          <w14:ligatures w14:val="none"/>
        </w:rPr>
        <w:t>do</w:t>
      </w:r>
      <w:r w:rsidR="003B50ED" w:rsidRPr="00577463">
        <w:rPr>
          <w:rFonts w:cstheme="minorHAnsi"/>
          <w:noProof/>
          <w:kern w:val="0"/>
          <w14:ligatures w14:val="none"/>
        </w:rPr>
        <w:t xml:space="preserve"> </w:t>
      </w:r>
      <w:r w:rsidRPr="00577463">
        <w:rPr>
          <w:rFonts w:cstheme="minorHAnsi"/>
          <w:noProof/>
          <w:kern w:val="0"/>
          <w14:ligatures w14:val="none"/>
        </w:rPr>
        <w:t>usunięcia</w:t>
      </w:r>
      <w:r w:rsidR="003B50ED" w:rsidRPr="00577463">
        <w:rPr>
          <w:rFonts w:cstheme="minorHAnsi"/>
          <w:noProof/>
          <w:kern w:val="0"/>
          <w14:ligatures w14:val="none"/>
        </w:rPr>
        <w:t xml:space="preserve"> </w:t>
      </w:r>
      <w:r w:rsidRPr="00577463">
        <w:rPr>
          <w:rFonts w:cstheme="minorHAnsi"/>
          <w:noProof/>
          <w:kern w:val="0"/>
          <w14:ligatures w14:val="none"/>
        </w:rPr>
        <w:t>kryteriów</w:t>
      </w:r>
      <w:r w:rsidR="003B50ED" w:rsidRPr="00577463">
        <w:rPr>
          <w:rFonts w:cstheme="minorHAnsi"/>
          <w:noProof/>
          <w:kern w:val="0"/>
          <w14:ligatures w14:val="none"/>
        </w:rPr>
        <w:t xml:space="preserve"> </w:t>
      </w:r>
      <w:r w:rsidRPr="00577463">
        <w:rPr>
          <w:rFonts w:cstheme="minorHAnsi"/>
          <w:noProof/>
          <w:kern w:val="0"/>
          <w14:ligatures w14:val="none"/>
        </w:rPr>
        <w:t>obowiązkowych</w:t>
      </w:r>
      <w:r w:rsidR="003B50ED" w:rsidRPr="00577463">
        <w:rPr>
          <w:rFonts w:cstheme="minorHAnsi"/>
          <w:noProof/>
          <w:kern w:val="0"/>
          <w14:ligatures w14:val="none"/>
        </w:rPr>
        <w:t xml:space="preserve"> </w:t>
      </w:r>
      <w:r w:rsidRPr="00577463">
        <w:rPr>
          <w:rFonts w:cstheme="minorHAnsi"/>
          <w:noProof/>
          <w:kern w:val="0"/>
          <w14:ligatures w14:val="none"/>
        </w:rPr>
        <w:t>z</w:t>
      </w:r>
      <w:r w:rsidR="003B50ED" w:rsidRPr="00577463">
        <w:rPr>
          <w:rFonts w:cstheme="minorHAnsi"/>
          <w:noProof/>
          <w:kern w:val="0"/>
          <w14:ligatures w14:val="none"/>
        </w:rPr>
        <w:t xml:space="preserve"> </w:t>
      </w:r>
      <w:r w:rsidRPr="00577463">
        <w:rPr>
          <w:rFonts w:cstheme="minorHAnsi"/>
          <w:noProof/>
          <w:kern w:val="0"/>
          <w14:ligatures w14:val="none"/>
        </w:rPr>
        <w:t>punktu</w:t>
      </w:r>
      <w:r w:rsidR="003B50ED" w:rsidRPr="00577463">
        <w:rPr>
          <w:rFonts w:cstheme="minorHAnsi"/>
          <w:noProof/>
          <w:kern w:val="0"/>
          <w14:ligatures w14:val="none"/>
        </w:rPr>
        <w:t xml:space="preserve"> </w:t>
      </w:r>
      <w:r w:rsidRPr="00577463">
        <w:rPr>
          <w:rFonts w:cstheme="minorHAnsi"/>
          <w:noProof/>
          <w:kern w:val="0"/>
          <w14:ligatures w14:val="none"/>
        </w:rPr>
        <w:t>widzenia</w:t>
      </w:r>
      <w:r w:rsidR="003B50ED" w:rsidRPr="00577463">
        <w:rPr>
          <w:rFonts w:cstheme="minorHAnsi"/>
          <w:noProof/>
          <w:kern w:val="0"/>
          <w14:ligatures w14:val="none"/>
        </w:rPr>
        <w:t xml:space="preserve"> </w:t>
      </w:r>
      <w:r w:rsidRPr="00577463">
        <w:rPr>
          <w:rFonts w:cstheme="minorHAnsi"/>
          <w:noProof/>
          <w:kern w:val="0"/>
          <w14:ligatures w14:val="none"/>
        </w:rPr>
        <w:t>realizacji</w:t>
      </w:r>
      <w:r w:rsidR="003B50ED" w:rsidRPr="00577463">
        <w:rPr>
          <w:rFonts w:cstheme="minorHAnsi"/>
          <w:noProof/>
          <w:kern w:val="0"/>
          <w14:ligatures w14:val="none"/>
        </w:rPr>
        <w:t xml:space="preserve"> </w:t>
      </w:r>
      <w:r w:rsidRPr="00577463">
        <w:rPr>
          <w:rFonts w:cstheme="minorHAnsi"/>
          <w:noProof/>
          <w:kern w:val="0"/>
          <w14:ligatures w14:val="none"/>
        </w:rPr>
        <w:t>PS</w:t>
      </w:r>
      <w:r w:rsidR="003B50ED" w:rsidRPr="00577463">
        <w:rPr>
          <w:rFonts w:cstheme="minorHAnsi"/>
          <w:noProof/>
          <w:kern w:val="0"/>
          <w14:ligatures w14:val="none"/>
        </w:rPr>
        <w:t xml:space="preserve"> </w:t>
      </w:r>
      <w:r w:rsidRPr="00577463">
        <w:rPr>
          <w:rFonts w:cstheme="minorHAnsi"/>
          <w:noProof/>
          <w:kern w:val="0"/>
          <w14:ligatures w14:val="none"/>
        </w:rPr>
        <w:t>dla</w:t>
      </w:r>
      <w:r w:rsidR="003B50ED" w:rsidRPr="00577463">
        <w:rPr>
          <w:rFonts w:cstheme="minorHAnsi"/>
          <w:noProof/>
          <w:kern w:val="0"/>
          <w14:ligatures w14:val="none"/>
        </w:rPr>
        <w:t xml:space="preserve"> </w:t>
      </w:r>
      <w:r w:rsidRPr="00577463">
        <w:rPr>
          <w:rFonts w:cstheme="minorHAnsi"/>
          <w:noProof/>
          <w:kern w:val="0"/>
          <w14:ligatures w14:val="none"/>
        </w:rPr>
        <w:t>WPR</w:t>
      </w:r>
      <w:r w:rsidR="003B50ED" w:rsidRPr="00577463">
        <w:rPr>
          <w:rFonts w:cstheme="minorHAnsi"/>
          <w:noProof/>
          <w:kern w:val="0"/>
          <w14:ligatures w14:val="none"/>
        </w:rPr>
        <w:t xml:space="preserve"> </w:t>
      </w:r>
      <w:r w:rsidRPr="00577463">
        <w:rPr>
          <w:rFonts w:cstheme="minorHAnsi"/>
          <w:noProof/>
          <w:kern w:val="0"/>
          <w14:ligatures w14:val="none"/>
        </w:rPr>
        <w:t>na</w:t>
      </w:r>
      <w:r w:rsidR="003B50ED" w:rsidRPr="00577463">
        <w:rPr>
          <w:rFonts w:cstheme="minorHAnsi"/>
          <w:noProof/>
          <w:kern w:val="0"/>
          <w14:ligatures w14:val="none"/>
        </w:rPr>
        <w:t xml:space="preserve"> </w:t>
      </w:r>
      <w:r w:rsidRPr="00577463">
        <w:rPr>
          <w:rFonts w:cstheme="minorHAnsi"/>
          <w:noProof/>
          <w:kern w:val="0"/>
          <w14:ligatures w14:val="none"/>
        </w:rPr>
        <w:t>lata</w:t>
      </w:r>
      <w:r w:rsidR="003B50ED" w:rsidRPr="00577463">
        <w:rPr>
          <w:rFonts w:cstheme="minorHAnsi"/>
          <w:noProof/>
          <w:kern w:val="0"/>
          <w14:ligatures w14:val="none"/>
        </w:rPr>
        <w:t xml:space="preserve"> </w:t>
      </w:r>
      <w:r w:rsidRPr="00577463">
        <w:rPr>
          <w:rFonts w:cstheme="minorHAnsi"/>
          <w:noProof/>
          <w:kern w:val="0"/>
          <w14:ligatures w14:val="none"/>
        </w:rPr>
        <w:t>2013-2027</w:t>
      </w:r>
      <w:r w:rsidR="00915596" w:rsidRPr="00577463">
        <w:rPr>
          <w:rFonts w:cstheme="minorHAnsi"/>
          <w:noProof/>
          <w:kern w:val="0"/>
          <w14:ligatures w14:val="none"/>
        </w:rPr>
        <w:t xml:space="preserve"> lub FEWP 2021-2027 (jeśli zostana ustalone)</w:t>
      </w:r>
      <w:r w:rsidRPr="00577463">
        <w:rPr>
          <w:rFonts w:cstheme="minorHAnsi"/>
          <w:noProof/>
          <w:kern w:val="0"/>
          <w14:ligatures w14:val="none"/>
        </w:rPr>
        <w:t>.</w:t>
      </w:r>
    </w:p>
    <w:p w14:paraId="7AC581F8" w14:textId="0EE6E705" w:rsidR="002C63F4" w:rsidRPr="00577463" w:rsidRDefault="002C63F4" w:rsidP="008A412F">
      <w:pPr>
        <w:numPr>
          <w:ilvl w:val="0"/>
          <w:numId w:val="24"/>
        </w:numPr>
        <w:spacing w:line="276" w:lineRule="auto"/>
        <w:jc w:val="both"/>
        <w:rPr>
          <w:rFonts w:cstheme="minorHAnsi"/>
          <w:noProof/>
          <w:kern w:val="0"/>
          <w14:ligatures w14:val="none"/>
        </w:rPr>
      </w:pPr>
      <w:r w:rsidRPr="00577463">
        <w:rPr>
          <w:rFonts w:cstheme="minorHAnsi"/>
          <w:noProof/>
          <w:kern w:val="0"/>
          <w14:ligatures w14:val="none"/>
        </w:rPr>
        <w:t>Weryfikacji</w:t>
      </w:r>
      <w:r w:rsidR="003B50ED" w:rsidRPr="00577463">
        <w:rPr>
          <w:rFonts w:cstheme="minorHAnsi"/>
          <w:noProof/>
          <w:kern w:val="0"/>
          <w14:ligatures w14:val="none"/>
        </w:rPr>
        <w:t xml:space="preserve"> </w:t>
      </w:r>
      <w:r w:rsidRPr="00577463">
        <w:rPr>
          <w:rFonts w:cstheme="minorHAnsi"/>
          <w:noProof/>
          <w:kern w:val="0"/>
          <w14:ligatures w14:val="none"/>
        </w:rPr>
        <w:t>zasadności</w:t>
      </w:r>
      <w:r w:rsidR="003B50ED" w:rsidRPr="00577463">
        <w:rPr>
          <w:rFonts w:cstheme="minorHAnsi"/>
          <w:noProof/>
          <w:kern w:val="0"/>
          <w14:ligatures w14:val="none"/>
        </w:rPr>
        <w:t xml:space="preserve"> </w:t>
      </w:r>
      <w:r w:rsidRPr="00577463">
        <w:rPr>
          <w:rFonts w:cstheme="minorHAnsi"/>
          <w:noProof/>
          <w:kern w:val="0"/>
          <w14:ligatures w14:val="none"/>
        </w:rPr>
        <w:t>otrzymanych</w:t>
      </w:r>
      <w:r w:rsidR="003B50ED" w:rsidRPr="00577463">
        <w:rPr>
          <w:rFonts w:cstheme="minorHAnsi"/>
          <w:noProof/>
          <w:kern w:val="0"/>
          <w14:ligatures w14:val="none"/>
        </w:rPr>
        <w:t xml:space="preserve"> </w:t>
      </w:r>
      <w:r w:rsidRPr="00577463">
        <w:rPr>
          <w:rFonts w:cstheme="minorHAnsi"/>
          <w:noProof/>
          <w:kern w:val="0"/>
          <w14:ligatures w14:val="none"/>
        </w:rPr>
        <w:t>propozycji</w:t>
      </w:r>
      <w:r w:rsidR="003B50ED" w:rsidRPr="00577463">
        <w:rPr>
          <w:rFonts w:cstheme="minorHAnsi"/>
          <w:noProof/>
          <w:kern w:val="0"/>
          <w14:ligatures w14:val="none"/>
        </w:rPr>
        <w:t xml:space="preserve"> </w:t>
      </w:r>
      <w:r w:rsidRPr="00577463">
        <w:rPr>
          <w:rFonts w:cstheme="minorHAnsi"/>
          <w:noProof/>
          <w:kern w:val="0"/>
          <w14:ligatures w14:val="none"/>
        </w:rPr>
        <w:t>będzie</w:t>
      </w:r>
      <w:r w:rsidR="003B50ED" w:rsidRPr="00577463">
        <w:rPr>
          <w:rFonts w:cstheme="minorHAnsi"/>
          <w:noProof/>
          <w:kern w:val="0"/>
          <w14:ligatures w14:val="none"/>
        </w:rPr>
        <w:t xml:space="preserve"> </w:t>
      </w:r>
      <w:r w:rsidRPr="00577463">
        <w:rPr>
          <w:rFonts w:cstheme="minorHAnsi"/>
          <w:noProof/>
          <w:kern w:val="0"/>
          <w14:ligatures w14:val="none"/>
        </w:rPr>
        <w:t>dokonywał</w:t>
      </w:r>
      <w:r w:rsidR="003B50ED" w:rsidRPr="00577463">
        <w:rPr>
          <w:rFonts w:cstheme="minorHAnsi"/>
          <w:noProof/>
          <w:kern w:val="0"/>
          <w14:ligatures w14:val="none"/>
        </w:rPr>
        <w:t xml:space="preserve"> </w:t>
      </w:r>
      <w:r w:rsidRPr="00577463">
        <w:rPr>
          <w:rFonts w:cstheme="minorHAnsi"/>
          <w:noProof/>
          <w:kern w:val="0"/>
          <w14:ligatures w14:val="none"/>
        </w:rPr>
        <w:t>Zarząd</w:t>
      </w:r>
      <w:r w:rsidR="003B50ED" w:rsidRPr="00577463">
        <w:rPr>
          <w:rFonts w:cstheme="minorHAnsi"/>
          <w:noProof/>
          <w:kern w:val="0"/>
          <w14:ligatures w14:val="none"/>
        </w:rPr>
        <w:t xml:space="preserve"> </w:t>
      </w:r>
      <w:r w:rsidRPr="00577463">
        <w:rPr>
          <w:rFonts w:cstheme="minorHAnsi"/>
          <w:noProof/>
          <w:kern w:val="0"/>
          <w14:ligatures w14:val="none"/>
        </w:rPr>
        <w:t>w</w:t>
      </w:r>
      <w:r w:rsidR="003B50ED" w:rsidRPr="00577463">
        <w:rPr>
          <w:rFonts w:cstheme="minorHAnsi"/>
          <w:noProof/>
          <w:kern w:val="0"/>
          <w14:ligatures w14:val="none"/>
        </w:rPr>
        <w:t xml:space="preserve"> </w:t>
      </w:r>
      <w:r w:rsidRPr="00577463">
        <w:rPr>
          <w:rFonts w:cstheme="minorHAnsi"/>
          <w:noProof/>
          <w:kern w:val="0"/>
          <w14:ligatures w14:val="none"/>
        </w:rPr>
        <w:t>okresie</w:t>
      </w:r>
      <w:r w:rsidR="003B50ED" w:rsidRPr="00577463">
        <w:rPr>
          <w:rFonts w:cstheme="minorHAnsi"/>
          <w:noProof/>
          <w:kern w:val="0"/>
          <w14:ligatures w14:val="none"/>
        </w:rPr>
        <w:t xml:space="preserve"> </w:t>
      </w:r>
      <w:r w:rsidR="00915596" w:rsidRPr="00577463">
        <w:rPr>
          <w:rFonts w:cstheme="minorHAnsi"/>
          <w:noProof/>
          <w:kern w:val="0"/>
          <w14:ligatures w14:val="none"/>
        </w:rPr>
        <w:t>półrocznym</w:t>
      </w:r>
      <w:r w:rsidRPr="00577463">
        <w:rPr>
          <w:rFonts w:cstheme="minorHAnsi"/>
          <w:noProof/>
          <w:kern w:val="0"/>
          <w14:ligatures w14:val="none"/>
        </w:rPr>
        <w:t>,</w:t>
      </w:r>
      <w:r w:rsidR="003B50ED" w:rsidRPr="00577463">
        <w:rPr>
          <w:rFonts w:cstheme="minorHAnsi"/>
          <w:noProof/>
          <w:kern w:val="0"/>
          <w14:ligatures w14:val="none"/>
        </w:rPr>
        <w:t xml:space="preserve"> </w:t>
      </w:r>
      <w:r w:rsidRPr="00577463">
        <w:rPr>
          <w:rFonts w:cstheme="minorHAnsi"/>
          <w:noProof/>
          <w:kern w:val="0"/>
          <w14:ligatures w14:val="none"/>
        </w:rPr>
        <w:t>chyba</w:t>
      </w:r>
      <w:r w:rsidR="003B50ED" w:rsidRPr="00577463">
        <w:rPr>
          <w:rFonts w:cstheme="minorHAnsi"/>
          <w:noProof/>
          <w:kern w:val="0"/>
          <w14:ligatures w14:val="none"/>
        </w:rPr>
        <w:t xml:space="preserve"> </w:t>
      </w:r>
      <w:r w:rsidRPr="00577463">
        <w:rPr>
          <w:rFonts w:cstheme="minorHAnsi"/>
          <w:noProof/>
          <w:kern w:val="0"/>
          <w14:ligatures w14:val="none"/>
        </w:rPr>
        <w:t>że</w:t>
      </w:r>
      <w:r w:rsidR="003B50ED" w:rsidRPr="00577463">
        <w:rPr>
          <w:rFonts w:cstheme="minorHAnsi"/>
          <w:noProof/>
          <w:kern w:val="0"/>
          <w14:ligatures w14:val="none"/>
        </w:rPr>
        <w:t xml:space="preserve"> </w:t>
      </w:r>
      <w:r w:rsidRPr="00577463">
        <w:rPr>
          <w:rFonts w:cstheme="minorHAnsi"/>
          <w:noProof/>
          <w:kern w:val="0"/>
          <w14:ligatures w14:val="none"/>
        </w:rPr>
        <w:t>zmiana</w:t>
      </w:r>
      <w:r w:rsidR="003B50ED" w:rsidRPr="00577463">
        <w:rPr>
          <w:rFonts w:cstheme="minorHAnsi"/>
          <w:noProof/>
          <w:kern w:val="0"/>
          <w14:ligatures w14:val="none"/>
        </w:rPr>
        <w:t xml:space="preserve"> </w:t>
      </w:r>
      <w:r w:rsidRPr="00577463">
        <w:rPr>
          <w:rFonts w:cstheme="minorHAnsi"/>
          <w:noProof/>
          <w:kern w:val="0"/>
          <w14:ligatures w14:val="none"/>
        </w:rPr>
        <w:t>zostanie</w:t>
      </w:r>
      <w:r w:rsidR="003B50ED" w:rsidRPr="00577463">
        <w:rPr>
          <w:rFonts w:cstheme="minorHAnsi"/>
          <w:noProof/>
          <w:kern w:val="0"/>
          <w14:ligatures w14:val="none"/>
        </w:rPr>
        <w:t xml:space="preserve"> </w:t>
      </w:r>
      <w:r w:rsidRPr="00577463">
        <w:rPr>
          <w:rFonts w:cstheme="minorHAnsi"/>
          <w:noProof/>
          <w:kern w:val="0"/>
          <w14:ligatures w14:val="none"/>
        </w:rPr>
        <w:t>zainicjowana</w:t>
      </w:r>
      <w:r w:rsidR="003B50ED" w:rsidRPr="00577463">
        <w:rPr>
          <w:rFonts w:cstheme="minorHAnsi"/>
          <w:noProof/>
          <w:kern w:val="0"/>
          <w14:ligatures w14:val="none"/>
        </w:rPr>
        <w:t xml:space="preserve"> </w:t>
      </w:r>
      <w:r w:rsidRPr="00577463">
        <w:rPr>
          <w:rFonts w:cstheme="minorHAnsi"/>
          <w:noProof/>
          <w:kern w:val="0"/>
          <w14:ligatures w14:val="none"/>
        </w:rPr>
        <w:t>wskutek</w:t>
      </w:r>
      <w:r w:rsidR="003B50ED" w:rsidRPr="00577463">
        <w:rPr>
          <w:rFonts w:cstheme="minorHAnsi"/>
          <w:noProof/>
          <w:kern w:val="0"/>
          <w14:ligatures w14:val="none"/>
        </w:rPr>
        <w:t xml:space="preserve"> </w:t>
      </w:r>
      <w:r w:rsidRPr="00577463">
        <w:rPr>
          <w:rFonts w:cstheme="minorHAnsi"/>
          <w:noProof/>
          <w:kern w:val="0"/>
          <w14:ligatures w14:val="none"/>
        </w:rPr>
        <w:t>rekomendowania</w:t>
      </w:r>
      <w:r w:rsidR="003B50ED" w:rsidRPr="00577463">
        <w:rPr>
          <w:rFonts w:cstheme="minorHAnsi"/>
          <w:noProof/>
          <w:kern w:val="0"/>
          <w14:ligatures w14:val="none"/>
        </w:rPr>
        <w:t xml:space="preserve"> </w:t>
      </w:r>
      <w:r w:rsidRPr="00577463">
        <w:rPr>
          <w:rFonts w:cstheme="minorHAnsi"/>
          <w:noProof/>
          <w:kern w:val="0"/>
          <w14:ligatures w14:val="none"/>
        </w:rPr>
        <w:t>ZW</w:t>
      </w:r>
      <w:r w:rsidR="003B50ED" w:rsidRPr="00577463">
        <w:rPr>
          <w:rFonts w:cstheme="minorHAnsi"/>
          <w:noProof/>
          <w:kern w:val="0"/>
          <w14:ligatures w14:val="none"/>
        </w:rPr>
        <w:t xml:space="preserve"> </w:t>
      </w:r>
      <w:r w:rsidRPr="00577463">
        <w:rPr>
          <w:rFonts w:cstheme="minorHAnsi"/>
          <w:noProof/>
          <w:kern w:val="0"/>
          <w14:ligatures w14:val="none"/>
        </w:rPr>
        <w:t>lub</w:t>
      </w:r>
      <w:r w:rsidR="003B50ED" w:rsidRPr="00577463">
        <w:rPr>
          <w:rFonts w:cstheme="minorHAnsi"/>
          <w:noProof/>
          <w:kern w:val="0"/>
          <w14:ligatures w14:val="none"/>
        </w:rPr>
        <w:t xml:space="preserve"> </w:t>
      </w:r>
      <w:r w:rsidRPr="00577463">
        <w:rPr>
          <w:rFonts w:cstheme="minorHAnsi"/>
          <w:noProof/>
          <w:kern w:val="0"/>
          <w14:ligatures w14:val="none"/>
        </w:rPr>
        <w:t>ustaleń</w:t>
      </w:r>
      <w:r w:rsidR="003B50ED" w:rsidRPr="00577463">
        <w:rPr>
          <w:rFonts w:cstheme="minorHAnsi"/>
          <w:noProof/>
          <w:kern w:val="0"/>
          <w14:ligatures w14:val="none"/>
        </w:rPr>
        <w:t xml:space="preserve"> </w:t>
      </w:r>
      <w:r w:rsidRPr="00577463">
        <w:rPr>
          <w:rFonts w:cstheme="minorHAnsi"/>
          <w:noProof/>
          <w:kern w:val="0"/>
          <w14:ligatures w14:val="none"/>
        </w:rPr>
        <w:t>pokontrolnych.</w:t>
      </w:r>
      <w:r w:rsidR="003B50ED" w:rsidRPr="00577463">
        <w:rPr>
          <w:rFonts w:cstheme="minorHAnsi"/>
          <w:noProof/>
          <w:kern w:val="0"/>
          <w14:ligatures w14:val="none"/>
        </w:rPr>
        <w:t xml:space="preserve"> </w:t>
      </w:r>
      <w:r w:rsidRPr="00577463">
        <w:rPr>
          <w:rFonts w:cstheme="minorHAnsi"/>
          <w:noProof/>
          <w:kern w:val="0"/>
          <w14:ligatures w14:val="none"/>
        </w:rPr>
        <w:t>Zarząd</w:t>
      </w:r>
      <w:r w:rsidR="003B50ED" w:rsidRPr="00577463">
        <w:rPr>
          <w:rFonts w:cstheme="minorHAnsi"/>
          <w:noProof/>
          <w:kern w:val="0"/>
          <w14:ligatures w14:val="none"/>
        </w:rPr>
        <w:t xml:space="preserve"> </w:t>
      </w:r>
      <w:r w:rsidRPr="00577463">
        <w:rPr>
          <w:rFonts w:cstheme="minorHAnsi"/>
          <w:noProof/>
          <w:kern w:val="0"/>
          <w14:ligatures w14:val="none"/>
        </w:rPr>
        <w:t>będzie</w:t>
      </w:r>
      <w:r w:rsidR="003B50ED" w:rsidRPr="00577463">
        <w:rPr>
          <w:rFonts w:cstheme="minorHAnsi"/>
          <w:noProof/>
          <w:kern w:val="0"/>
          <w14:ligatures w14:val="none"/>
        </w:rPr>
        <w:t xml:space="preserve"> </w:t>
      </w:r>
      <w:r w:rsidRPr="00577463">
        <w:rPr>
          <w:rFonts w:cstheme="minorHAnsi"/>
          <w:noProof/>
          <w:kern w:val="0"/>
          <w14:ligatures w14:val="none"/>
        </w:rPr>
        <w:t>się</w:t>
      </w:r>
      <w:r w:rsidR="003B50ED" w:rsidRPr="00577463">
        <w:rPr>
          <w:rFonts w:cstheme="minorHAnsi"/>
          <w:noProof/>
          <w:kern w:val="0"/>
          <w14:ligatures w14:val="none"/>
        </w:rPr>
        <w:t xml:space="preserve"> </w:t>
      </w:r>
      <w:r w:rsidRPr="00577463">
        <w:rPr>
          <w:rFonts w:cstheme="minorHAnsi"/>
          <w:noProof/>
          <w:kern w:val="0"/>
          <w14:ligatures w14:val="none"/>
        </w:rPr>
        <w:t>posiłkować</w:t>
      </w:r>
      <w:r w:rsidR="003B50ED" w:rsidRPr="00577463">
        <w:rPr>
          <w:rFonts w:cstheme="minorHAnsi"/>
          <w:noProof/>
          <w:kern w:val="0"/>
          <w14:ligatures w14:val="none"/>
        </w:rPr>
        <w:t xml:space="preserve"> </w:t>
      </w:r>
      <w:r w:rsidRPr="00577463">
        <w:rPr>
          <w:rFonts w:cstheme="minorHAnsi"/>
          <w:noProof/>
          <w:kern w:val="0"/>
          <w14:ligatures w14:val="none"/>
        </w:rPr>
        <w:t>pracą</w:t>
      </w:r>
      <w:r w:rsidR="003B50ED" w:rsidRPr="00577463">
        <w:rPr>
          <w:rFonts w:cstheme="minorHAnsi"/>
          <w:noProof/>
          <w:kern w:val="0"/>
          <w14:ligatures w14:val="none"/>
        </w:rPr>
        <w:t xml:space="preserve"> </w:t>
      </w:r>
      <w:r w:rsidRPr="00577463">
        <w:rPr>
          <w:rFonts w:cstheme="minorHAnsi"/>
          <w:noProof/>
          <w:kern w:val="0"/>
          <w14:ligatures w14:val="none"/>
        </w:rPr>
        <w:t>zespołów</w:t>
      </w:r>
      <w:r w:rsidR="003B50ED" w:rsidRPr="00577463">
        <w:rPr>
          <w:rFonts w:cstheme="minorHAnsi"/>
          <w:noProof/>
          <w:kern w:val="0"/>
          <w14:ligatures w14:val="none"/>
        </w:rPr>
        <w:t xml:space="preserve"> </w:t>
      </w:r>
      <w:r w:rsidRPr="00577463">
        <w:rPr>
          <w:rFonts w:cstheme="minorHAnsi"/>
          <w:noProof/>
          <w:kern w:val="0"/>
          <w14:ligatures w14:val="none"/>
        </w:rPr>
        <w:t>roboczych.</w:t>
      </w:r>
      <w:r w:rsidR="003B50ED" w:rsidRPr="00577463">
        <w:rPr>
          <w:rFonts w:cstheme="minorHAnsi"/>
          <w:noProof/>
          <w:kern w:val="0"/>
          <w14:ligatures w14:val="none"/>
        </w:rPr>
        <w:t xml:space="preserve"> </w:t>
      </w:r>
    </w:p>
    <w:p w14:paraId="0617FA30" w14:textId="70EF667C" w:rsidR="002C63F4" w:rsidRPr="00A26C26" w:rsidRDefault="002C63F4" w:rsidP="008A412F">
      <w:pPr>
        <w:numPr>
          <w:ilvl w:val="0"/>
          <w:numId w:val="24"/>
        </w:numPr>
        <w:spacing w:line="276" w:lineRule="auto"/>
        <w:jc w:val="both"/>
        <w:rPr>
          <w:rFonts w:cstheme="minorHAnsi"/>
          <w:noProof/>
          <w:kern w:val="0"/>
          <w14:ligatures w14:val="none"/>
        </w:rPr>
      </w:pPr>
      <w:r w:rsidRPr="00577463">
        <w:rPr>
          <w:rFonts w:cstheme="minorHAnsi"/>
          <w:noProof/>
          <w:kern w:val="0"/>
          <w14:ligatures w14:val="none"/>
        </w:rPr>
        <w:t>W</w:t>
      </w:r>
      <w:r w:rsidR="003B50ED" w:rsidRPr="00577463">
        <w:rPr>
          <w:rFonts w:cstheme="minorHAnsi"/>
          <w:noProof/>
          <w:kern w:val="0"/>
          <w14:ligatures w14:val="none"/>
        </w:rPr>
        <w:t xml:space="preserve"> </w:t>
      </w:r>
      <w:r w:rsidRPr="00577463">
        <w:rPr>
          <w:rFonts w:cstheme="minorHAnsi"/>
          <w:noProof/>
          <w:kern w:val="0"/>
          <w14:ligatures w14:val="none"/>
        </w:rPr>
        <w:t>przypadku</w:t>
      </w:r>
      <w:r w:rsidR="003B50ED" w:rsidRPr="00577463">
        <w:rPr>
          <w:rFonts w:cstheme="minorHAnsi"/>
          <w:noProof/>
          <w:kern w:val="0"/>
          <w14:ligatures w14:val="none"/>
        </w:rPr>
        <w:t xml:space="preserve"> </w:t>
      </w:r>
      <w:r w:rsidRPr="00577463">
        <w:rPr>
          <w:rFonts w:cstheme="minorHAnsi"/>
          <w:noProof/>
          <w:kern w:val="0"/>
          <w14:ligatures w14:val="none"/>
        </w:rPr>
        <w:t>uznania</w:t>
      </w:r>
      <w:r w:rsidR="003B50ED" w:rsidRPr="00577463">
        <w:rPr>
          <w:rFonts w:cstheme="minorHAnsi"/>
          <w:noProof/>
          <w:kern w:val="0"/>
          <w14:ligatures w14:val="none"/>
        </w:rPr>
        <w:t xml:space="preserve"> </w:t>
      </w:r>
      <w:r w:rsidRPr="00577463">
        <w:rPr>
          <w:rFonts w:cstheme="minorHAnsi"/>
          <w:noProof/>
          <w:kern w:val="0"/>
          <w14:ligatures w14:val="none"/>
        </w:rPr>
        <w:t>zasadności</w:t>
      </w:r>
      <w:r w:rsidR="003B50ED" w:rsidRPr="00577463">
        <w:rPr>
          <w:rFonts w:cstheme="minorHAnsi"/>
          <w:noProof/>
          <w:kern w:val="0"/>
          <w14:ligatures w14:val="none"/>
        </w:rPr>
        <w:t xml:space="preserve"> </w:t>
      </w:r>
      <w:r w:rsidRPr="00577463">
        <w:rPr>
          <w:rFonts w:cstheme="minorHAnsi"/>
          <w:noProof/>
          <w:kern w:val="0"/>
          <w14:ligatures w14:val="none"/>
        </w:rPr>
        <w:t>proponowanych</w:t>
      </w:r>
      <w:r w:rsidR="003B50ED" w:rsidRPr="00577463">
        <w:rPr>
          <w:rFonts w:cstheme="minorHAnsi"/>
          <w:noProof/>
          <w:kern w:val="0"/>
          <w14:ligatures w14:val="none"/>
        </w:rPr>
        <w:t xml:space="preserve"> </w:t>
      </w:r>
      <w:r w:rsidRPr="00A26C26">
        <w:rPr>
          <w:rFonts w:cstheme="minorHAnsi"/>
          <w:noProof/>
          <w:kern w:val="0"/>
          <w14:ligatures w14:val="none"/>
        </w:rPr>
        <w:t>zmian</w:t>
      </w:r>
      <w:r w:rsidR="003B50ED">
        <w:rPr>
          <w:rFonts w:cstheme="minorHAnsi"/>
          <w:noProof/>
          <w:kern w:val="0"/>
          <w14:ligatures w14:val="none"/>
        </w:rPr>
        <w:t xml:space="preserve"> </w:t>
      </w:r>
      <w:r w:rsidRPr="00A26C26">
        <w:rPr>
          <w:rFonts w:cstheme="minorHAnsi"/>
          <w:noProof/>
          <w:kern w:val="0"/>
          <w14:ligatures w14:val="none"/>
        </w:rPr>
        <w:t>kryteriów</w:t>
      </w:r>
      <w:r w:rsidR="003B50ED">
        <w:rPr>
          <w:rFonts w:cstheme="minorHAnsi"/>
          <w:noProof/>
          <w:kern w:val="0"/>
          <w14:ligatures w14:val="none"/>
        </w:rPr>
        <w:t xml:space="preserve"> </w:t>
      </w:r>
      <w:r w:rsidRPr="00A26C26">
        <w:rPr>
          <w:rFonts w:cstheme="minorHAnsi"/>
          <w:noProof/>
          <w:kern w:val="0"/>
          <w14:ligatures w14:val="none"/>
        </w:rPr>
        <w:t>Biuro</w:t>
      </w:r>
      <w:r w:rsidR="003B50ED">
        <w:rPr>
          <w:rFonts w:cstheme="minorHAnsi"/>
          <w:noProof/>
          <w:kern w:val="0"/>
          <w14:ligatures w14:val="none"/>
        </w:rPr>
        <w:t xml:space="preserve"> </w:t>
      </w:r>
      <w:r w:rsidRPr="00A26C26">
        <w:rPr>
          <w:rFonts w:cstheme="minorHAnsi"/>
          <w:noProof/>
          <w:kern w:val="0"/>
          <w14:ligatures w14:val="none"/>
        </w:rPr>
        <w:t>LGD</w:t>
      </w:r>
      <w:r w:rsidR="003B50ED">
        <w:rPr>
          <w:rFonts w:cstheme="minorHAnsi"/>
          <w:noProof/>
          <w:kern w:val="0"/>
          <w14:ligatures w14:val="none"/>
        </w:rPr>
        <w:t xml:space="preserve"> </w:t>
      </w:r>
      <w:r w:rsidRPr="00A26C26">
        <w:rPr>
          <w:rFonts w:cstheme="minorHAnsi"/>
          <w:noProof/>
          <w:kern w:val="0"/>
          <w14:ligatures w14:val="none"/>
        </w:rPr>
        <w:t>będzie</w:t>
      </w:r>
      <w:r w:rsidR="003B50ED">
        <w:rPr>
          <w:rFonts w:cstheme="minorHAnsi"/>
          <w:noProof/>
          <w:kern w:val="0"/>
          <w14:ligatures w14:val="none"/>
        </w:rPr>
        <w:t xml:space="preserve"> </w:t>
      </w:r>
      <w:r w:rsidRPr="00A26C26">
        <w:rPr>
          <w:rFonts w:cstheme="minorHAnsi"/>
          <w:noProof/>
          <w:kern w:val="0"/>
          <w14:ligatures w14:val="none"/>
        </w:rPr>
        <w:t>zobowiązane</w:t>
      </w:r>
      <w:r w:rsidR="003B50ED">
        <w:rPr>
          <w:rFonts w:cstheme="minorHAnsi"/>
          <w:noProof/>
          <w:kern w:val="0"/>
          <w14:ligatures w14:val="none"/>
        </w:rPr>
        <w:t xml:space="preserve"> </w:t>
      </w:r>
      <w:r w:rsidRPr="00A26C26">
        <w:rPr>
          <w:rFonts w:cstheme="minorHAnsi"/>
          <w:noProof/>
          <w:kern w:val="0"/>
          <w14:ligatures w14:val="none"/>
        </w:rPr>
        <w:t>do</w:t>
      </w:r>
      <w:r w:rsidR="003B50ED">
        <w:rPr>
          <w:rFonts w:cstheme="minorHAnsi"/>
          <w:noProof/>
          <w:kern w:val="0"/>
          <w14:ligatures w14:val="none"/>
        </w:rPr>
        <w:t xml:space="preserve"> </w:t>
      </w:r>
      <w:r w:rsidRPr="00A26C26">
        <w:rPr>
          <w:rFonts w:cstheme="minorHAnsi"/>
          <w:noProof/>
          <w:kern w:val="0"/>
          <w14:ligatures w14:val="none"/>
        </w:rPr>
        <w:t>opracowania</w:t>
      </w:r>
      <w:r w:rsidR="003B50ED">
        <w:rPr>
          <w:rFonts w:cstheme="minorHAnsi"/>
          <w:noProof/>
          <w:kern w:val="0"/>
          <w14:ligatures w14:val="none"/>
        </w:rPr>
        <w:t xml:space="preserve"> </w:t>
      </w:r>
      <w:r w:rsidRPr="00A26C26">
        <w:rPr>
          <w:rFonts w:cstheme="minorHAnsi"/>
          <w:noProof/>
          <w:kern w:val="0"/>
          <w14:ligatures w14:val="none"/>
        </w:rPr>
        <w:t>nowych</w:t>
      </w:r>
      <w:r w:rsidR="003B50ED">
        <w:rPr>
          <w:rFonts w:cstheme="minorHAnsi"/>
          <w:noProof/>
          <w:kern w:val="0"/>
          <w14:ligatures w14:val="none"/>
        </w:rPr>
        <w:t xml:space="preserve"> </w:t>
      </w:r>
      <w:r w:rsidRPr="00A26C26">
        <w:rPr>
          <w:rFonts w:cstheme="minorHAnsi"/>
          <w:noProof/>
          <w:kern w:val="0"/>
          <w14:ligatures w14:val="none"/>
        </w:rPr>
        <w:t>kryteriów</w:t>
      </w:r>
      <w:r w:rsidR="003B50ED">
        <w:rPr>
          <w:rFonts w:cstheme="minorHAnsi"/>
          <w:noProof/>
          <w:kern w:val="0"/>
          <w14:ligatures w14:val="none"/>
        </w:rPr>
        <w:t xml:space="preserve"> </w:t>
      </w:r>
      <w:r w:rsidRPr="00A26C26">
        <w:rPr>
          <w:rFonts w:cstheme="minorHAnsi"/>
          <w:noProof/>
          <w:kern w:val="0"/>
          <w14:ligatures w14:val="none"/>
        </w:rPr>
        <w:t>i</w:t>
      </w:r>
      <w:r w:rsidR="003B50ED">
        <w:rPr>
          <w:rFonts w:cstheme="minorHAnsi"/>
          <w:noProof/>
          <w:kern w:val="0"/>
          <w14:ligatures w14:val="none"/>
        </w:rPr>
        <w:t xml:space="preserve"> </w:t>
      </w:r>
      <w:r w:rsidRPr="00A26C26">
        <w:rPr>
          <w:rFonts w:cstheme="minorHAnsi"/>
          <w:noProof/>
          <w:kern w:val="0"/>
          <w14:ligatures w14:val="none"/>
        </w:rPr>
        <w:t>kart</w:t>
      </w:r>
      <w:r w:rsidR="003B50ED">
        <w:rPr>
          <w:rFonts w:cstheme="minorHAnsi"/>
          <w:noProof/>
          <w:kern w:val="0"/>
          <w14:ligatures w14:val="none"/>
        </w:rPr>
        <w:t xml:space="preserve"> </w:t>
      </w:r>
      <w:r w:rsidRPr="00A26C26">
        <w:rPr>
          <w:rFonts w:cstheme="minorHAnsi"/>
          <w:noProof/>
          <w:kern w:val="0"/>
          <w14:ligatures w14:val="none"/>
        </w:rPr>
        <w:t>oceny,</w:t>
      </w:r>
      <w:r w:rsidR="003B50ED">
        <w:rPr>
          <w:rFonts w:cstheme="minorHAnsi"/>
          <w:noProof/>
          <w:kern w:val="0"/>
          <w14:ligatures w14:val="none"/>
        </w:rPr>
        <w:t xml:space="preserve"> </w:t>
      </w:r>
      <w:r w:rsidRPr="00A26C26">
        <w:rPr>
          <w:rFonts w:cstheme="minorHAnsi"/>
          <w:noProof/>
          <w:kern w:val="0"/>
          <w14:ligatures w14:val="none"/>
        </w:rPr>
        <w:t>które</w:t>
      </w:r>
      <w:r w:rsidR="003B50ED">
        <w:rPr>
          <w:rFonts w:cstheme="minorHAnsi"/>
          <w:noProof/>
          <w:kern w:val="0"/>
          <w14:ligatures w14:val="none"/>
        </w:rPr>
        <w:t xml:space="preserve"> </w:t>
      </w:r>
      <w:r w:rsidRPr="00A26C26">
        <w:rPr>
          <w:rFonts w:cstheme="minorHAnsi"/>
          <w:noProof/>
          <w:kern w:val="0"/>
          <w14:ligatures w14:val="none"/>
        </w:rPr>
        <w:t>będą</w:t>
      </w:r>
      <w:r w:rsidR="003B50ED">
        <w:rPr>
          <w:rFonts w:cstheme="minorHAnsi"/>
          <w:noProof/>
          <w:kern w:val="0"/>
          <w14:ligatures w14:val="none"/>
        </w:rPr>
        <w:t xml:space="preserve"> </w:t>
      </w:r>
      <w:r w:rsidRPr="00A26C26">
        <w:rPr>
          <w:rFonts w:cstheme="minorHAnsi"/>
          <w:noProof/>
          <w:kern w:val="0"/>
          <w14:ligatures w14:val="none"/>
        </w:rPr>
        <w:t>konsultowane</w:t>
      </w:r>
      <w:r w:rsidR="003B50ED">
        <w:rPr>
          <w:rFonts w:cstheme="minorHAnsi"/>
          <w:noProof/>
          <w:kern w:val="0"/>
          <w14:ligatures w14:val="none"/>
        </w:rPr>
        <w:t xml:space="preserve"> </w:t>
      </w:r>
      <w:r w:rsidRPr="00A26C26">
        <w:rPr>
          <w:rFonts w:cstheme="minorHAnsi"/>
          <w:noProof/>
          <w:kern w:val="0"/>
          <w14:ligatures w14:val="none"/>
        </w:rPr>
        <w:t>w</w:t>
      </w:r>
      <w:r w:rsidR="003B50ED">
        <w:rPr>
          <w:rFonts w:cstheme="minorHAnsi"/>
          <w:noProof/>
          <w:kern w:val="0"/>
          <w14:ligatures w14:val="none"/>
        </w:rPr>
        <w:t xml:space="preserve"> </w:t>
      </w:r>
      <w:r w:rsidRPr="00A26C26">
        <w:rPr>
          <w:rFonts w:cstheme="minorHAnsi"/>
          <w:noProof/>
          <w:kern w:val="0"/>
          <w14:ligatures w14:val="none"/>
        </w:rPr>
        <w:t>trybie</w:t>
      </w:r>
      <w:r w:rsidR="003B50ED">
        <w:rPr>
          <w:rFonts w:cstheme="minorHAnsi"/>
          <w:noProof/>
          <w:kern w:val="0"/>
          <w14:ligatures w14:val="none"/>
        </w:rPr>
        <w:t xml:space="preserve"> </w:t>
      </w:r>
      <w:r w:rsidRPr="00A26C26">
        <w:rPr>
          <w:rFonts w:cstheme="minorHAnsi"/>
          <w:noProof/>
          <w:kern w:val="0"/>
          <w14:ligatures w14:val="none"/>
        </w:rPr>
        <w:t>konsultacji</w:t>
      </w:r>
      <w:r w:rsidR="003B50ED">
        <w:rPr>
          <w:rFonts w:cstheme="minorHAnsi"/>
          <w:noProof/>
          <w:kern w:val="0"/>
          <w14:ligatures w14:val="none"/>
        </w:rPr>
        <w:t xml:space="preserve"> </w:t>
      </w:r>
      <w:r w:rsidRPr="00A26C26">
        <w:rPr>
          <w:rFonts w:cstheme="minorHAnsi"/>
          <w:noProof/>
          <w:kern w:val="0"/>
          <w14:ligatures w14:val="none"/>
        </w:rPr>
        <w:t>społecznych,</w:t>
      </w:r>
      <w:r w:rsidR="003B50ED">
        <w:rPr>
          <w:rFonts w:cstheme="minorHAnsi"/>
          <w:noProof/>
          <w:kern w:val="0"/>
          <w14:ligatures w14:val="none"/>
        </w:rPr>
        <w:t xml:space="preserve"> </w:t>
      </w:r>
      <w:r w:rsidRPr="00A26C26">
        <w:rPr>
          <w:rFonts w:cstheme="minorHAnsi"/>
          <w:noProof/>
          <w:kern w:val="0"/>
          <w14:ligatures w14:val="none"/>
        </w:rPr>
        <w:br/>
        <w:t>z</w:t>
      </w:r>
      <w:r w:rsidR="003B50ED">
        <w:rPr>
          <w:rFonts w:cstheme="minorHAnsi"/>
          <w:noProof/>
          <w:kern w:val="0"/>
          <w14:ligatures w14:val="none"/>
        </w:rPr>
        <w:t xml:space="preserve"> </w:t>
      </w:r>
      <w:r w:rsidRPr="00A26C26">
        <w:rPr>
          <w:rFonts w:cstheme="minorHAnsi"/>
          <w:noProof/>
          <w:kern w:val="0"/>
          <w14:ligatures w14:val="none"/>
        </w:rPr>
        <w:t>uwzględnieniem</w:t>
      </w:r>
      <w:r w:rsidR="003B50ED">
        <w:rPr>
          <w:rFonts w:cstheme="minorHAnsi"/>
          <w:noProof/>
          <w:kern w:val="0"/>
          <w14:ligatures w14:val="none"/>
        </w:rPr>
        <w:t xml:space="preserve"> </w:t>
      </w:r>
      <w:r w:rsidRPr="00A26C26">
        <w:rPr>
          <w:rFonts w:cstheme="minorHAnsi"/>
          <w:noProof/>
          <w:kern w:val="0"/>
          <w14:ligatures w14:val="none"/>
        </w:rPr>
        <w:t>zasad</w:t>
      </w:r>
      <w:r w:rsidR="003B50ED">
        <w:rPr>
          <w:rFonts w:cstheme="minorHAnsi"/>
          <w:noProof/>
          <w:kern w:val="0"/>
          <w14:ligatures w14:val="none"/>
        </w:rPr>
        <w:t xml:space="preserve"> </w:t>
      </w:r>
      <w:r w:rsidRPr="00A26C26">
        <w:rPr>
          <w:rFonts w:cstheme="minorHAnsi"/>
          <w:noProof/>
          <w:kern w:val="0"/>
          <w14:ligatures w14:val="none"/>
        </w:rPr>
        <w:t>partycypacji</w:t>
      </w:r>
      <w:r w:rsidR="003B50ED">
        <w:rPr>
          <w:rFonts w:cstheme="minorHAnsi"/>
          <w:noProof/>
          <w:kern w:val="0"/>
          <w14:ligatures w14:val="none"/>
        </w:rPr>
        <w:t xml:space="preserve"> </w:t>
      </w:r>
      <w:r w:rsidRPr="00A26C26">
        <w:rPr>
          <w:rFonts w:cstheme="minorHAnsi"/>
          <w:noProof/>
          <w:kern w:val="0"/>
          <w14:ligatures w14:val="none"/>
        </w:rPr>
        <w:t>jak</w:t>
      </w:r>
      <w:r w:rsidR="003B50ED">
        <w:rPr>
          <w:rFonts w:cstheme="minorHAnsi"/>
          <w:noProof/>
          <w:kern w:val="0"/>
          <w14:ligatures w14:val="none"/>
        </w:rPr>
        <w:t xml:space="preserve"> </w:t>
      </w:r>
      <w:r w:rsidRPr="00A26C26">
        <w:rPr>
          <w:rFonts w:cstheme="minorHAnsi"/>
          <w:noProof/>
          <w:kern w:val="0"/>
          <w14:ligatures w14:val="none"/>
        </w:rPr>
        <w:t>w</w:t>
      </w:r>
      <w:r w:rsidR="003B50ED">
        <w:rPr>
          <w:rFonts w:cstheme="minorHAnsi"/>
          <w:noProof/>
          <w:kern w:val="0"/>
          <w14:ligatures w14:val="none"/>
        </w:rPr>
        <w:t xml:space="preserve"> </w:t>
      </w:r>
      <w:r w:rsidRPr="00A26C26">
        <w:rPr>
          <w:rFonts w:cstheme="minorHAnsi"/>
          <w:noProof/>
          <w:kern w:val="0"/>
          <w14:ligatures w14:val="none"/>
        </w:rPr>
        <w:t>przypadku</w:t>
      </w:r>
      <w:r w:rsidR="003B50ED">
        <w:rPr>
          <w:rFonts w:cstheme="minorHAnsi"/>
          <w:noProof/>
          <w:kern w:val="0"/>
          <w14:ligatures w14:val="none"/>
        </w:rPr>
        <w:t xml:space="preserve"> </w:t>
      </w:r>
      <w:r w:rsidRPr="00A26C26">
        <w:rPr>
          <w:rFonts w:cstheme="minorHAnsi"/>
          <w:noProof/>
          <w:kern w:val="0"/>
          <w14:ligatures w14:val="none"/>
        </w:rPr>
        <w:t>tworzenia</w:t>
      </w:r>
      <w:r w:rsidR="003B50ED">
        <w:rPr>
          <w:rFonts w:cstheme="minorHAnsi"/>
          <w:noProof/>
          <w:kern w:val="0"/>
          <w14:ligatures w14:val="none"/>
        </w:rPr>
        <w:t xml:space="preserve"> </w:t>
      </w:r>
      <w:r w:rsidRPr="00A26C26">
        <w:rPr>
          <w:rFonts w:cstheme="minorHAnsi"/>
          <w:noProof/>
          <w:kern w:val="0"/>
          <w14:ligatures w14:val="none"/>
        </w:rPr>
        <w:t>kryteriów</w:t>
      </w:r>
      <w:r w:rsidR="003B50ED">
        <w:rPr>
          <w:rFonts w:cstheme="minorHAnsi"/>
          <w:noProof/>
          <w:kern w:val="0"/>
          <w14:ligatures w14:val="none"/>
        </w:rPr>
        <w:t xml:space="preserve"> </w:t>
      </w:r>
      <w:r w:rsidRPr="00A26C26">
        <w:rPr>
          <w:rFonts w:cstheme="minorHAnsi"/>
          <w:noProof/>
          <w:kern w:val="0"/>
          <w14:ligatures w14:val="none"/>
        </w:rPr>
        <w:t>(jeśli</w:t>
      </w:r>
      <w:r w:rsidR="003B50ED">
        <w:rPr>
          <w:rFonts w:cstheme="minorHAnsi"/>
          <w:noProof/>
          <w:kern w:val="0"/>
          <w14:ligatures w14:val="none"/>
        </w:rPr>
        <w:t xml:space="preserve"> </w:t>
      </w:r>
      <w:r w:rsidRPr="00A26C26">
        <w:rPr>
          <w:rFonts w:cstheme="minorHAnsi"/>
          <w:noProof/>
          <w:kern w:val="0"/>
          <w14:ligatures w14:val="none"/>
        </w:rPr>
        <w:t>będzie</w:t>
      </w:r>
      <w:r w:rsidR="003B50ED">
        <w:rPr>
          <w:rFonts w:cstheme="minorHAnsi"/>
          <w:noProof/>
          <w:kern w:val="0"/>
          <w14:ligatures w14:val="none"/>
        </w:rPr>
        <w:t xml:space="preserve"> </w:t>
      </w:r>
      <w:r w:rsidRPr="00A26C26">
        <w:rPr>
          <w:rFonts w:cstheme="minorHAnsi"/>
          <w:noProof/>
          <w:kern w:val="0"/>
          <w14:ligatures w14:val="none"/>
        </w:rPr>
        <w:t>to</w:t>
      </w:r>
      <w:r w:rsidR="003B50ED">
        <w:rPr>
          <w:rFonts w:cstheme="minorHAnsi"/>
          <w:noProof/>
          <w:kern w:val="0"/>
          <w14:ligatures w14:val="none"/>
        </w:rPr>
        <w:t xml:space="preserve"> </w:t>
      </w:r>
      <w:r w:rsidRPr="00A26C26">
        <w:rPr>
          <w:rFonts w:cstheme="minorHAnsi"/>
          <w:noProof/>
          <w:kern w:val="0"/>
          <w14:ligatures w14:val="none"/>
        </w:rPr>
        <w:t>możliwe</w:t>
      </w:r>
      <w:r w:rsidR="003B50ED">
        <w:rPr>
          <w:rFonts w:cstheme="minorHAnsi"/>
          <w:noProof/>
          <w:kern w:val="0"/>
          <w14:ligatures w14:val="none"/>
        </w:rPr>
        <w:t xml:space="preserve"> </w:t>
      </w:r>
      <w:r w:rsidRPr="00A26C26">
        <w:rPr>
          <w:rFonts w:cstheme="minorHAnsi"/>
          <w:noProof/>
          <w:kern w:val="0"/>
          <w14:ligatures w14:val="none"/>
        </w:rPr>
        <w:t>i</w:t>
      </w:r>
      <w:r w:rsidR="003B50ED">
        <w:rPr>
          <w:rFonts w:cstheme="minorHAnsi"/>
          <w:noProof/>
          <w:kern w:val="0"/>
          <w14:ligatures w14:val="none"/>
        </w:rPr>
        <w:t xml:space="preserve"> </w:t>
      </w:r>
      <w:r w:rsidRPr="00A26C26">
        <w:rPr>
          <w:rFonts w:cstheme="minorHAnsi"/>
          <w:noProof/>
          <w:kern w:val="0"/>
          <w14:ligatures w14:val="none"/>
        </w:rPr>
        <w:t>zasadne),</w:t>
      </w:r>
      <w:r w:rsidR="003B50ED">
        <w:rPr>
          <w:rFonts w:cstheme="minorHAnsi"/>
          <w:noProof/>
          <w:kern w:val="0"/>
          <w14:ligatures w14:val="none"/>
        </w:rPr>
        <w:t xml:space="preserve"> </w:t>
      </w:r>
      <w:r w:rsidRPr="00A26C26">
        <w:rPr>
          <w:rFonts w:cstheme="minorHAnsi"/>
          <w:noProof/>
          <w:kern w:val="0"/>
          <w14:ligatures w14:val="none"/>
        </w:rPr>
        <w:t>jednak</w:t>
      </w:r>
      <w:r w:rsidR="003B50ED">
        <w:rPr>
          <w:rFonts w:cstheme="minorHAnsi"/>
          <w:noProof/>
          <w:kern w:val="0"/>
          <w14:ligatures w14:val="none"/>
        </w:rPr>
        <w:t xml:space="preserve"> </w:t>
      </w:r>
      <w:r w:rsidRPr="00A26C26">
        <w:rPr>
          <w:rFonts w:cstheme="minorHAnsi"/>
          <w:noProof/>
          <w:kern w:val="0"/>
          <w14:ligatures w14:val="none"/>
        </w:rPr>
        <w:t>minimum</w:t>
      </w:r>
      <w:r w:rsidR="003B50ED">
        <w:rPr>
          <w:rFonts w:cstheme="minorHAnsi"/>
          <w:noProof/>
          <w:kern w:val="0"/>
          <w14:ligatures w14:val="none"/>
        </w:rPr>
        <w:t xml:space="preserve"> </w:t>
      </w:r>
      <w:r w:rsidRPr="00A26C26">
        <w:rPr>
          <w:rFonts w:cstheme="minorHAnsi"/>
          <w:noProof/>
          <w:kern w:val="0"/>
          <w14:ligatures w14:val="none"/>
        </w:rPr>
        <w:t>przy</w:t>
      </w:r>
      <w:r w:rsidR="003B50ED">
        <w:rPr>
          <w:rFonts w:cstheme="minorHAnsi"/>
          <w:noProof/>
          <w:kern w:val="0"/>
          <w14:ligatures w14:val="none"/>
        </w:rPr>
        <w:t xml:space="preserve"> </w:t>
      </w:r>
      <w:r w:rsidRPr="00A26C26">
        <w:rPr>
          <w:rFonts w:cstheme="minorHAnsi"/>
          <w:noProof/>
          <w:kern w:val="0"/>
          <w14:ligatures w14:val="none"/>
        </w:rPr>
        <w:t>zastosowaniu</w:t>
      </w:r>
      <w:r w:rsidR="003B50ED">
        <w:rPr>
          <w:rFonts w:cstheme="minorHAnsi"/>
          <w:noProof/>
          <w:kern w:val="0"/>
          <w14:ligatures w14:val="none"/>
        </w:rPr>
        <w:t xml:space="preserve"> </w:t>
      </w:r>
      <w:r w:rsidRPr="00A26C26">
        <w:rPr>
          <w:rFonts w:cstheme="minorHAnsi"/>
          <w:noProof/>
          <w:kern w:val="0"/>
          <w14:ligatures w14:val="none"/>
        </w:rPr>
        <w:t>informacji</w:t>
      </w:r>
      <w:r w:rsidR="003B50ED">
        <w:rPr>
          <w:rFonts w:cstheme="minorHAnsi"/>
          <w:noProof/>
          <w:kern w:val="0"/>
          <w14:ligatures w14:val="none"/>
        </w:rPr>
        <w:t xml:space="preserve"> </w:t>
      </w:r>
      <w:r w:rsidRPr="00A26C26">
        <w:rPr>
          <w:rFonts w:cstheme="minorHAnsi"/>
          <w:noProof/>
          <w:kern w:val="0"/>
          <w14:ligatures w14:val="none"/>
        </w:rPr>
        <w:t>zamieszczanych</w:t>
      </w:r>
      <w:r w:rsidR="003B50ED">
        <w:rPr>
          <w:rFonts w:cstheme="minorHAnsi"/>
          <w:noProof/>
          <w:kern w:val="0"/>
          <w14:ligatures w14:val="none"/>
        </w:rPr>
        <w:t xml:space="preserve"> </w:t>
      </w:r>
      <w:r w:rsidRPr="00A26C26">
        <w:rPr>
          <w:rFonts w:cstheme="minorHAnsi"/>
          <w:noProof/>
          <w:kern w:val="0"/>
          <w14:ligatures w14:val="none"/>
        </w:rPr>
        <w:t>za</w:t>
      </w:r>
      <w:r w:rsidR="003B50ED">
        <w:rPr>
          <w:rFonts w:cstheme="minorHAnsi"/>
          <w:noProof/>
          <w:kern w:val="0"/>
          <w14:ligatures w14:val="none"/>
        </w:rPr>
        <w:t xml:space="preserve"> </w:t>
      </w:r>
      <w:r w:rsidRPr="00A26C26">
        <w:rPr>
          <w:rFonts w:cstheme="minorHAnsi"/>
          <w:noProof/>
          <w:kern w:val="0"/>
          <w14:ligatures w14:val="none"/>
        </w:rPr>
        <w:t>pośrednictwem</w:t>
      </w:r>
      <w:r w:rsidR="003B50ED">
        <w:rPr>
          <w:rFonts w:cstheme="minorHAnsi"/>
          <w:noProof/>
          <w:kern w:val="0"/>
          <w14:ligatures w14:val="none"/>
        </w:rPr>
        <w:t xml:space="preserve"> </w:t>
      </w:r>
      <w:r w:rsidRPr="00A26C26">
        <w:rPr>
          <w:rFonts w:cstheme="minorHAnsi"/>
          <w:noProof/>
          <w:kern w:val="0"/>
          <w14:ligatures w14:val="none"/>
        </w:rPr>
        <w:t>strony</w:t>
      </w:r>
      <w:r w:rsidR="003B50ED">
        <w:rPr>
          <w:rFonts w:cstheme="minorHAnsi"/>
          <w:noProof/>
          <w:kern w:val="0"/>
          <w14:ligatures w14:val="none"/>
        </w:rPr>
        <w:t xml:space="preserve"> </w:t>
      </w:r>
      <w:r w:rsidRPr="00A26C26">
        <w:rPr>
          <w:rFonts w:cstheme="minorHAnsi"/>
          <w:noProof/>
          <w:kern w:val="0"/>
          <w14:ligatures w14:val="none"/>
        </w:rPr>
        <w:t>internetowej,</w:t>
      </w:r>
      <w:r w:rsidR="003B50ED">
        <w:rPr>
          <w:rFonts w:cstheme="minorHAnsi"/>
          <w:noProof/>
          <w:kern w:val="0"/>
          <w14:ligatures w14:val="none"/>
        </w:rPr>
        <w:t xml:space="preserve"> </w:t>
      </w:r>
      <w:r w:rsidRPr="00A26C26">
        <w:rPr>
          <w:rFonts w:cstheme="minorHAnsi"/>
          <w:noProof/>
          <w:kern w:val="0"/>
          <w14:ligatures w14:val="none"/>
        </w:rPr>
        <w:t>tablicy</w:t>
      </w:r>
      <w:r w:rsidR="003B50ED">
        <w:rPr>
          <w:rFonts w:cstheme="minorHAnsi"/>
          <w:noProof/>
          <w:kern w:val="0"/>
          <w14:ligatures w14:val="none"/>
        </w:rPr>
        <w:t xml:space="preserve"> </w:t>
      </w:r>
      <w:r w:rsidRPr="00A26C26">
        <w:rPr>
          <w:rFonts w:cstheme="minorHAnsi"/>
          <w:noProof/>
          <w:kern w:val="0"/>
          <w14:ligatures w14:val="none"/>
        </w:rPr>
        <w:t>ogłoszeń</w:t>
      </w:r>
      <w:r w:rsidR="003B50ED">
        <w:rPr>
          <w:rFonts w:cstheme="minorHAnsi"/>
          <w:noProof/>
          <w:kern w:val="0"/>
          <w14:ligatures w14:val="none"/>
        </w:rPr>
        <w:t xml:space="preserve"> </w:t>
      </w:r>
      <w:r w:rsidRPr="00A26C26">
        <w:rPr>
          <w:rFonts w:cstheme="minorHAnsi"/>
          <w:noProof/>
          <w:kern w:val="0"/>
          <w14:ligatures w14:val="none"/>
        </w:rPr>
        <w:t>oraz</w:t>
      </w:r>
      <w:r w:rsidR="003B50ED">
        <w:rPr>
          <w:rFonts w:cstheme="minorHAnsi"/>
          <w:noProof/>
          <w:kern w:val="0"/>
          <w14:ligatures w14:val="none"/>
        </w:rPr>
        <w:t xml:space="preserve"> </w:t>
      </w:r>
      <w:r w:rsidRPr="00A26C26">
        <w:rPr>
          <w:rFonts w:cstheme="minorHAnsi"/>
          <w:noProof/>
          <w:kern w:val="0"/>
          <w14:ligatures w14:val="none"/>
        </w:rPr>
        <w:t>w</w:t>
      </w:r>
      <w:r w:rsidR="003B50ED">
        <w:rPr>
          <w:rFonts w:cstheme="minorHAnsi"/>
          <w:noProof/>
          <w:kern w:val="0"/>
          <w14:ligatures w14:val="none"/>
        </w:rPr>
        <w:t xml:space="preserve"> </w:t>
      </w:r>
      <w:r w:rsidRPr="00A26C26">
        <w:rPr>
          <w:rFonts w:cstheme="minorHAnsi"/>
          <w:noProof/>
          <w:kern w:val="0"/>
          <w14:ligatures w14:val="none"/>
        </w:rPr>
        <w:t>biurze</w:t>
      </w:r>
      <w:r w:rsidR="003B50ED">
        <w:rPr>
          <w:rFonts w:cstheme="minorHAnsi"/>
          <w:noProof/>
          <w:kern w:val="0"/>
          <w14:ligatures w14:val="none"/>
        </w:rPr>
        <w:t xml:space="preserve"> </w:t>
      </w:r>
      <w:r w:rsidRPr="00A26C26">
        <w:rPr>
          <w:rFonts w:cstheme="minorHAnsi"/>
          <w:noProof/>
          <w:kern w:val="0"/>
          <w14:ligatures w14:val="none"/>
        </w:rPr>
        <w:t>LGD.</w:t>
      </w:r>
      <w:r w:rsidR="003B50ED">
        <w:rPr>
          <w:rFonts w:cstheme="minorHAnsi"/>
          <w:noProof/>
          <w:kern w:val="0"/>
          <w14:ligatures w14:val="none"/>
        </w:rPr>
        <w:t xml:space="preserve"> </w:t>
      </w:r>
    </w:p>
    <w:p w14:paraId="60E5B6E9" w14:textId="57F86B4D" w:rsidR="002C63F4" w:rsidRPr="00A26C26" w:rsidRDefault="002C63F4" w:rsidP="008A412F">
      <w:pPr>
        <w:numPr>
          <w:ilvl w:val="0"/>
          <w:numId w:val="24"/>
        </w:numPr>
        <w:spacing w:line="276" w:lineRule="auto"/>
        <w:jc w:val="both"/>
        <w:rPr>
          <w:rFonts w:cstheme="minorHAnsi"/>
          <w:noProof/>
          <w:kern w:val="0"/>
          <w14:ligatures w14:val="none"/>
        </w:rPr>
      </w:pPr>
      <w:r w:rsidRPr="00A26C26">
        <w:rPr>
          <w:rFonts w:cstheme="minorHAnsi"/>
          <w:noProof/>
          <w:kern w:val="0"/>
          <w14:ligatures w14:val="none"/>
        </w:rPr>
        <w:t>Ocena</w:t>
      </w:r>
      <w:r w:rsidR="003B50ED">
        <w:rPr>
          <w:rFonts w:cstheme="minorHAnsi"/>
          <w:noProof/>
          <w:kern w:val="0"/>
          <w14:ligatures w14:val="none"/>
        </w:rPr>
        <w:t xml:space="preserve"> </w:t>
      </w:r>
      <w:r w:rsidRPr="00A26C26">
        <w:rPr>
          <w:rFonts w:cstheme="minorHAnsi"/>
          <w:noProof/>
          <w:kern w:val="0"/>
          <w14:ligatures w14:val="none"/>
        </w:rPr>
        <w:t>trafności</w:t>
      </w:r>
      <w:r w:rsidR="003B50ED">
        <w:rPr>
          <w:rFonts w:cstheme="minorHAnsi"/>
          <w:noProof/>
          <w:kern w:val="0"/>
          <w14:ligatures w14:val="none"/>
        </w:rPr>
        <w:t xml:space="preserve"> </w:t>
      </w:r>
      <w:r w:rsidRPr="00A26C26">
        <w:rPr>
          <w:rFonts w:cstheme="minorHAnsi"/>
          <w:noProof/>
          <w:kern w:val="0"/>
          <w14:ligatures w14:val="none"/>
        </w:rPr>
        <w:t>i</w:t>
      </w:r>
      <w:r w:rsidR="003B50ED">
        <w:rPr>
          <w:rFonts w:cstheme="minorHAnsi"/>
          <w:noProof/>
          <w:kern w:val="0"/>
          <w14:ligatures w14:val="none"/>
        </w:rPr>
        <w:t xml:space="preserve"> </w:t>
      </w:r>
      <w:r w:rsidRPr="00A26C26">
        <w:rPr>
          <w:rFonts w:cstheme="minorHAnsi"/>
          <w:noProof/>
          <w:kern w:val="0"/>
          <w14:ligatures w14:val="none"/>
        </w:rPr>
        <w:t>adekwatności</w:t>
      </w:r>
      <w:r w:rsidR="003B50ED">
        <w:rPr>
          <w:rFonts w:cstheme="minorHAnsi"/>
          <w:noProof/>
          <w:kern w:val="0"/>
          <w14:ligatures w14:val="none"/>
        </w:rPr>
        <w:t xml:space="preserve"> </w:t>
      </w:r>
      <w:r w:rsidRPr="00A26C26">
        <w:rPr>
          <w:rFonts w:cstheme="minorHAnsi"/>
          <w:noProof/>
          <w:kern w:val="0"/>
          <w14:ligatures w14:val="none"/>
        </w:rPr>
        <w:t>lokalnych</w:t>
      </w:r>
      <w:r w:rsidR="003B50ED">
        <w:rPr>
          <w:rFonts w:cstheme="minorHAnsi"/>
          <w:noProof/>
          <w:kern w:val="0"/>
          <w14:ligatures w14:val="none"/>
        </w:rPr>
        <w:t xml:space="preserve"> </w:t>
      </w:r>
      <w:r w:rsidRPr="00A26C26">
        <w:rPr>
          <w:rFonts w:cstheme="minorHAnsi"/>
          <w:noProof/>
          <w:kern w:val="0"/>
          <w14:ligatures w14:val="none"/>
        </w:rPr>
        <w:t>kryteriów</w:t>
      </w:r>
      <w:r w:rsidR="003B50ED">
        <w:rPr>
          <w:rFonts w:cstheme="minorHAnsi"/>
          <w:noProof/>
          <w:kern w:val="0"/>
          <w14:ligatures w14:val="none"/>
        </w:rPr>
        <w:t xml:space="preserve"> </w:t>
      </w:r>
      <w:r w:rsidRPr="00A26C26">
        <w:rPr>
          <w:rFonts w:cstheme="minorHAnsi"/>
          <w:noProof/>
          <w:kern w:val="0"/>
          <w14:ligatures w14:val="none"/>
        </w:rPr>
        <w:t>będzie</w:t>
      </w:r>
      <w:r w:rsidR="003B50ED">
        <w:rPr>
          <w:rFonts w:cstheme="minorHAnsi"/>
          <w:noProof/>
          <w:kern w:val="0"/>
          <w14:ligatures w14:val="none"/>
        </w:rPr>
        <w:t xml:space="preserve"> </w:t>
      </w:r>
      <w:r w:rsidRPr="00A26C26">
        <w:rPr>
          <w:rFonts w:cstheme="minorHAnsi"/>
          <w:noProof/>
          <w:kern w:val="0"/>
          <w14:ligatures w14:val="none"/>
        </w:rPr>
        <w:t>przeprowadzana</w:t>
      </w:r>
      <w:r w:rsidR="003B50ED">
        <w:rPr>
          <w:rFonts w:cstheme="minorHAnsi"/>
          <w:noProof/>
          <w:kern w:val="0"/>
          <w14:ligatures w14:val="none"/>
        </w:rPr>
        <w:t xml:space="preserve"> </w:t>
      </w:r>
      <w:r w:rsidRPr="00A26C26">
        <w:rPr>
          <w:rFonts w:cstheme="minorHAnsi"/>
          <w:noProof/>
          <w:kern w:val="0"/>
          <w14:ligatures w14:val="none"/>
        </w:rPr>
        <w:t>w</w:t>
      </w:r>
      <w:r w:rsidR="003B50ED">
        <w:rPr>
          <w:rFonts w:cstheme="minorHAnsi"/>
          <w:noProof/>
          <w:kern w:val="0"/>
          <w14:ligatures w14:val="none"/>
        </w:rPr>
        <w:t xml:space="preserve"> </w:t>
      </w:r>
      <w:r w:rsidRPr="00A26C26">
        <w:rPr>
          <w:rFonts w:cstheme="minorHAnsi"/>
          <w:noProof/>
          <w:kern w:val="0"/>
          <w14:ligatures w14:val="none"/>
        </w:rPr>
        <w:t>ramach</w:t>
      </w:r>
      <w:r w:rsidR="003B50ED">
        <w:rPr>
          <w:rFonts w:cstheme="minorHAnsi"/>
          <w:noProof/>
          <w:kern w:val="0"/>
          <w14:ligatures w14:val="none"/>
        </w:rPr>
        <w:t xml:space="preserve"> </w:t>
      </w:r>
      <w:r w:rsidRPr="00A26C26">
        <w:rPr>
          <w:rFonts w:cstheme="minorHAnsi"/>
          <w:noProof/>
          <w:kern w:val="0"/>
          <w14:ligatures w14:val="none"/>
        </w:rPr>
        <w:t>ewaluacji.</w:t>
      </w:r>
      <w:r w:rsidR="003B50ED">
        <w:rPr>
          <w:rFonts w:cstheme="minorHAnsi"/>
          <w:noProof/>
          <w:kern w:val="0"/>
          <w14:ligatures w14:val="none"/>
        </w:rPr>
        <w:t xml:space="preserve"> </w:t>
      </w:r>
    </w:p>
    <w:p w14:paraId="67A700AD" w14:textId="3F358E9A" w:rsidR="002C63F4" w:rsidRPr="00A26C26" w:rsidRDefault="002C63F4" w:rsidP="008A412F">
      <w:pPr>
        <w:numPr>
          <w:ilvl w:val="0"/>
          <w:numId w:val="24"/>
        </w:numPr>
        <w:spacing w:line="276" w:lineRule="auto"/>
        <w:ind w:left="357" w:hanging="357"/>
        <w:jc w:val="both"/>
        <w:rPr>
          <w:rFonts w:cstheme="minorHAnsi"/>
          <w:noProof/>
          <w:kern w:val="0"/>
          <w14:ligatures w14:val="none"/>
        </w:rPr>
      </w:pPr>
      <w:r w:rsidRPr="00A26C26">
        <w:rPr>
          <w:rFonts w:cstheme="minorHAnsi"/>
          <w:noProof/>
          <w:kern w:val="0"/>
          <w14:ligatures w14:val="none"/>
        </w:rPr>
        <w:t>Wyniki</w:t>
      </w:r>
      <w:r w:rsidR="003B50ED">
        <w:rPr>
          <w:rFonts w:cstheme="minorHAnsi"/>
          <w:noProof/>
          <w:kern w:val="0"/>
          <w14:ligatures w14:val="none"/>
        </w:rPr>
        <w:t xml:space="preserve"> </w:t>
      </w:r>
      <w:r w:rsidRPr="00A26C26">
        <w:rPr>
          <w:rFonts w:cstheme="minorHAnsi"/>
          <w:noProof/>
          <w:kern w:val="0"/>
          <w14:ligatures w14:val="none"/>
        </w:rPr>
        <w:t>badania</w:t>
      </w:r>
      <w:r w:rsidR="003B50ED">
        <w:rPr>
          <w:rFonts w:cstheme="minorHAnsi"/>
          <w:noProof/>
          <w:kern w:val="0"/>
          <w14:ligatures w14:val="none"/>
        </w:rPr>
        <w:t xml:space="preserve"> </w:t>
      </w:r>
      <w:r w:rsidRPr="00A26C26">
        <w:rPr>
          <w:rFonts w:cstheme="minorHAnsi"/>
          <w:noProof/>
          <w:kern w:val="0"/>
          <w14:ligatures w14:val="none"/>
        </w:rPr>
        <w:t>mogą</w:t>
      </w:r>
      <w:r w:rsidR="003B50ED">
        <w:rPr>
          <w:rFonts w:cstheme="minorHAnsi"/>
          <w:noProof/>
          <w:kern w:val="0"/>
          <w14:ligatures w14:val="none"/>
        </w:rPr>
        <w:t xml:space="preserve"> </w:t>
      </w:r>
      <w:r w:rsidRPr="00A26C26">
        <w:rPr>
          <w:rFonts w:cstheme="minorHAnsi"/>
          <w:noProof/>
          <w:kern w:val="0"/>
          <w14:ligatures w14:val="none"/>
        </w:rPr>
        <w:t>stanowić</w:t>
      </w:r>
      <w:r w:rsidR="003B50ED">
        <w:rPr>
          <w:rFonts w:cstheme="minorHAnsi"/>
          <w:noProof/>
          <w:kern w:val="0"/>
          <w14:ligatures w14:val="none"/>
        </w:rPr>
        <w:t xml:space="preserve"> </w:t>
      </w:r>
      <w:r w:rsidRPr="00A26C26">
        <w:rPr>
          <w:rFonts w:cstheme="minorHAnsi"/>
          <w:noProof/>
          <w:kern w:val="0"/>
          <w14:ligatures w14:val="none"/>
        </w:rPr>
        <w:t>podstawę</w:t>
      </w:r>
      <w:r w:rsidR="003B50ED">
        <w:rPr>
          <w:rFonts w:cstheme="minorHAnsi"/>
          <w:noProof/>
          <w:kern w:val="0"/>
          <w14:ligatures w14:val="none"/>
        </w:rPr>
        <w:t xml:space="preserve"> </w:t>
      </w:r>
      <w:r w:rsidRPr="00A26C26">
        <w:rPr>
          <w:rFonts w:cstheme="minorHAnsi"/>
          <w:noProof/>
          <w:kern w:val="0"/>
          <w14:ligatures w14:val="none"/>
        </w:rPr>
        <w:t>do</w:t>
      </w:r>
      <w:r w:rsidR="003B50ED">
        <w:rPr>
          <w:rFonts w:cstheme="minorHAnsi"/>
          <w:noProof/>
          <w:kern w:val="0"/>
          <w14:ligatures w14:val="none"/>
        </w:rPr>
        <w:t xml:space="preserve"> </w:t>
      </w:r>
      <w:r w:rsidRPr="00A26C26">
        <w:rPr>
          <w:rFonts w:cstheme="minorHAnsi"/>
          <w:noProof/>
          <w:kern w:val="0"/>
          <w14:ligatures w14:val="none"/>
        </w:rPr>
        <w:t>wdrożenia</w:t>
      </w:r>
      <w:r w:rsidR="003B50ED">
        <w:rPr>
          <w:rFonts w:cstheme="minorHAnsi"/>
          <w:noProof/>
          <w:kern w:val="0"/>
          <w14:ligatures w14:val="none"/>
        </w:rPr>
        <w:t xml:space="preserve"> </w:t>
      </w:r>
      <w:r w:rsidRPr="00A26C26">
        <w:rPr>
          <w:rFonts w:cstheme="minorHAnsi"/>
          <w:noProof/>
          <w:kern w:val="0"/>
          <w14:ligatures w14:val="none"/>
        </w:rPr>
        <w:t>procedury</w:t>
      </w:r>
      <w:r w:rsidR="003B50ED">
        <w:rPr>
          <w:rFonts w:cstheme="minorHAnsi"/>
          <w:noProof/>
          <w:kern w:val="0"/>
          <w14:ligatures w14:val="none"/>
        </w:rPr>
        <w:t xml:space="preserve"> </w:t>
      </w:r>
      <w:r w:rsidRPr="00A26C26">
        <w:rPr>
          <w:rFonts w:cstheme="minorHAnsi"/>
          <w:noProof/>
          <w:kern w:val="0"/>
          <w14:ligatures w14:val="none"/>
        </w:rPr>
        <w:t>zmiany</w:t>
      </w:r>
      <w:r w:rsidR="003B50ED">
        <w:rPr>
          <w:rFonts w:cstheme="minorHAnsi"/>
          <w:noProof/>
          <w:kern w:val="0"/>
          <w14:ligatures w14:val="none"/>
        </w:rPr>
        <w:t xml:space="preserve"> </w:t>
      </w:r>
      <w:r w:rsidRPr="00A26C26">
        <w:rPr>
          <w:rFonts w:cstheme="minorHAnsi"/>
          <w:noProof/>
          <w:kern w:val="0"/>
          <w14:ligatures w14:val="none"/>
        </w:rPr>
        <w:t>kryteriów.</w:t>
      </w:r>
    </w:p>
    <w:p w14:paraId="0CD1EC9B" w14:textId="2591FEB6" w:rsidR="002C63F4" w:rsidRPr="00A26C26" w:rsidRDefault="002C63F4" w:rsidP="008A412F">
      <w:pPr>
        <w:numPr>
          <w:ilvl w:val="0"/>
          <w:numId w:val="24"/>
        </w:numPr>
        <w:spacing w:line="276" w:lineRule="auto"/>
        <w:ind w:left="357" w:hanging="357"/>
        <w:jc w:val="both"/>
        <w:rPr>
          <w:rFonts w:cstheme="minorHAnsi"/>
          <w:noProof/>
          <w:kern w:val="0"/>
          <w14:ligatures w14:val="none"/>
        </w:rPr>
      </w:pPr>
      <w:r w:rsidRPr="00A26C26">
        <w:rPr>
          <w:rFonts w:cstheme="minorHAnsi"/>
          <w:noProof/>
          <w:kern w:val="0"/>
          <w14:ligatures w14:val="none"/>
        </w:rPr>
        <w:t>Zmiana</w:t>
      </w:r>
      <w:r w:rsidR="003B50ED">
        <w:rPr>
          <w:rFonts w:cstheme="minorHAnsi"/>
          <w:noProof/>
          <w:kern w:val="0"/>
          <w14:ligatures w14:val="none"/>
        </w:rPr>
        <w:t xml:space="preserve"> </w:t>
      </w:r>
      <w:r w:rsidRPr="00A26C26">
        <w:rPr>
          <w:rFonts w:cstheme="minorHAnsi"/>
          <w:noProof/>
          <w:kern w:val="0"/>
          <w14:ligatures w14:val="none"/>
        </w:rPr>
        <w:t>kryteriów</w:t>
      </w:r>
      <w:r w:rsidR="003B50ED">
        <w:rPr>
          <w:rFonts w:cstheme="minorHAnsi"/>
          <w:noProof/>
          <w:kern w:val="0"/>
          <w14:ligatures w14:val="none"/>
        </w:rPr>
        <w:t xml:space="preserve"> </w:t>
      </w:r>
      <w:r w:rsidRPr="00A26C26">
        <w:rPr>
          <w:rFonts w:cstheme="minorHAnsi"/>
          <w:noProof/>
          <w:kern w:val="0"/>
          <w14:ligatures w14:val="none"/>
        </w:rPr>
        <w:t>nie</w:t>
      </w:r>
      <w:r w:rsidR="003B50ED">
        <w:rPr>
          <w:rFonts w:cstheme="minorHAnsi"/>
          <w:noProof/>
          <w:kern w:val="0"/>
          <w14:ligatures w14:val="none"/>
        </w:rPr>
        <w:t xml:space="preserve"> </w:t>
      </w:r>
      <w:r w:rsidRPr="00A26C26">
        <w:rPr>
          <w:rFonts w:cstheme="minorHAnsi"/>
          <w:noProof/>
          <w:kern w:val="0"/>
          <w14:ligatures w14:val="none"/>
        </w:rPr>
        <w:t>jest</w:t>
      </w:r>
      <w:r w:rsidR="003B50ED">
        <w:rPr>
          <w:rFonts w:cstheme="minorHAnsi"/>
          <w:noProof/>
          <w:kern w:val="0"/>
          <w14:ligatures w14:val="none"/>
        </w:rPr>
        <w:t xml:space="preserve"> </w:t>
      </w:r>
      <w:r w:rsidRPr="00A26C26">
        <w:rPr>
          <w:rFonts w:cstheme="minorHAnsi"/>
          <w:noProof/>
          <w:kern w:val="0"/>
          <w14:ligatures w14:val="none"/>
        </w:rPr>
        <w:t>możliwa</w:t>
      </w:r>
      <w:r w:rsidR="003B50ED">
        <w:rPr>
          <w:rFonts w:cstheme="minorHAnsi"/>
          <w:noProof/>
          <w:kern w:val="0"/>
          <w14:ligatures w14:val="none"/>
        </w:rPr>
        <w:t xml:space="preserve"> </w:t>
      </w:r>
      <w:r w:rsidRPr="00A26C26">
        <w:rPr>
          <w:rFonts w:cstheme="minorHAnsi"/>
          <w:noProof/>
          <w:kern w:val="0"/>
          <w14:ligatures w14:val="none"/>
        </w:rPr>
        <w:t>w</w:t>
      </w:r>
      <w:r w:rsidR="003B50ED">
        <w:rPr>
          <w:rFonts w:cstheme="minorHAnsi"/>
          <w:noProof/>
          <w:kern w:val="0"/>
          <w14:ligatures w14:val="none"/>
        </w:rPr>
        <w:t xml:space="preserve"> </w:t>
      </w:r>
      <w:r w:rsidRPr="00A26C26">
        <w:rPr>
          <w:rFonts w:cstheme="minorHAnsi"/>
          <w:noProof/>
          <w:kern w:val="0"/>
          <w14:ligatures w14:val="none"/>
        </w:rPr>
        <w:t>trakcie</w:t>
      </w:r>
      <w:r w:rsidR="003B50ED">
        <w:rPr>
          <w:rFonts w:cstheme="minorHAnsi"/>
          <w:noProof/>
          <w:kern w:val="0"/>
          <w14:ligatures w14:val="none"/>
        </w:rPr>
        <w:t xml:space="preserve"> </w:t>
      </w:r>
      <w:r w:rsidRPr="00A26C26">
        <w:rPr>
          <w:rFonts w:cstheme="minorHAnsi"/>
          <w:noProof/>
          <w:kern w:val="0"/>
          <w14:ligatures w14:val="none"/>
        </w:rPr>
        <w:t>trwania</w:t>
      </w:r>
      <w:r w:rsidR="003B50ED">
        <w:rPr>
          <w:rFonts w:cstheme="minorHAnsi"/>
          <w:noProof/>
          <w:kern w:val="0"/>
          <w14:ligatures w14:val="none"/>
        </w:rPr>
        <w:t xml:space="preserve"> </w:t>
      </w:r>
      <w:r w:rsidRPr="00A26C26">
        <w:rPr>
          <w:rFonts w:cstheme="minorHAnsi"/>
          <w:noProof/>
          <w:kern w:val="0"/>
          <w14:ligatures w14:val="none"/>
        </w:rPr>
        <w:t>konkursu.</w:t>
      </w:r>
      <w:r w:rsidR="003B50ED">
        <w:rPr>
          <w:rFonts w:cstheme="minorHAnsi"/>
          <w:noProof/>
          <w:kern w:val="0"/>
          <w14:ligatures w14:val="none"/>
        </w:rPr>
        <w:t xml:space="preserve"> </w:t>
      </w:r>
    </w:p>
    <w:p w14:paraId="6C6E9E2B" w14:textId="50B5703F" w:rsidR="002C63F4" w:rsidRPr="00A26C26" w:rsidRDefault="002C63F4" w:rsidP="008A412F">
      <w:pPr>
        <w:numPr>
          <w:ilvl w:val="0"/>
          <w:numId w:val="24"/>
        </w:numPr>
        <w:spacing w:line="276" w:lineRule="auto"/>
        <w:ind w:left="357" w:hanging="357"/>
        <w:jc w:val="both"/>
        <w:rPr>
          <w:rFonts w:cstheme="minorHAnsi"/>
          <w:noProof/>
          <w:kern w:val="0"/>
          <w14:ligatures w14:val="none"/>
        </w:rPr>
      </w:pPr>
      <w:r w:rsidRPr="00A26C26">
        <w:rPr>
          <w:rFonts w:cstheme="minorHAnsi"/>
          <w:noProof/>
          <w:kern w:val="0"/>
          <w14:ligatures w14:val="none"/>
        </w:rPr>
        <w:t>Przeslanką</w:t>
      </w:r>
      <w:r w:rsidR="003B50ED">
        <w:rPr>
          <w:rFonts w:cstheme="minorHAnsi"/>
          <w:noProof/>
          <w:kern w:val="0"/>
          <w14:ligatures w14:val="none"/>
        </w:rPr>
        <w:t xml:space="preserve"> </w:t>
      </w:r>
      <w:r w:rsidRPr="00A26C26">
        <w:rPr>
          <w:rFonts w:cstheme="minorHAnsi"/>
          <w:noProof/>
          <w:kern w:val="0"/>
          <w14:ligatures w14:val="none"/>
        </w:rPr>
        <w:t>do</w:t>
      </w:r>
      <w:r w:rsidR="003B50ED">
        <w:rPr>
          <w:rFonts w:cstheme="minorHAnsi"/>
          <w:noProof/>
          <w:kern w:val="0"/>
          <w14:ligatures w14:val="none"/>
        </w:rPr>
        <w:t xml:space="preserve"> </w:t>
      </w:r>
      <w:r w:rsidRPr="00A26C26">
        <w:rPr>
          <w:rFonts w:cstheme="minorHAnsi"/>
          <w:noProof/>
          <w:kern w:val="0"/>
          <w14:ligatures w14:val="none"/>
        </w:rPr>
        <w:t>uruchomienia</w:t>
      </w:r>
      <w:r w:rsidR="003B50ED">
        <w:rPr>
          <w:rFonts w:cstheme="minorHAnsi"/>
          <w:noProof/>
          <w:kern w:val="0"/>
          <w14:ligatures w14:val="none"/>
        </w:rPr>
        <w:t xml:space="preserve"> </w:t>
      </w:r>
      <w:r w:rsidRPr="00A26C26">
        <w:rPr>
          <w:rFonts w:cstheme="minorHAnsi"/>
          <w:noProof/>
          <w:kern w:val="0"/>
          <w14:ligatures w14:val="none"/>
        </w:rPr>
        <w:t>procedury</w:t>
      </w:r>
      <w:r w:rsidR="003B50ED">
        <w:rPr>
          <w:rFonts w:cstheme="minorHAnsi"/>
          <w:noProof/>
          <w:kern w:val="0"/>
          <w14:ligatures w14:val="none"/>
        </w:rPr>
        <w:t xml:space="preserve"> </w:t>
      </w:r>
      <w:r w:rsidRPr="00A26C26">
        <w:rPr>
          <w:rFonts w:cstheme="minorHAnsi"/>
          <w:noProof/>
          <w:kern w:val="0"/>
          <w14:ligatures w14:val="none"/>
        </w:rPr>
        <w:t>zmiany</w:t>
      </w:r>
      <w:r w:rsidR="003B50ED">
        <w:rPr>
          <w:rFonts w:cstheme="minorHAnsi"/>
          <w:noProof/>
          <w:kern w:val="0"/>
          <w14:ligatures w14:val="none"/>
        </w:rPr>
        <w:t xml:space="preserve"> </w:t>
      </w:r>
      <w:r w:rsidRPr="00A26C26">
        <w:rPr>
          <w:rFonts w:cstheme="minorHAnsi"/>
          <w:noProof/>
          <w:kern w:val="0"/>
          <w14:ligatures w14:val="none"/>
        </w:rPr>
        <w:t>kryteriów</w:t>
      </w:r>
      <w:r w:rsidR="003B50ED">
        <w:rPr>
          <w:rFonts w:cstheme="minorHAnsi"/>
          <w:noProof/>
          <w:kern w:val="0"/>
          <w14:ligatures w14:val="none"/>
        </w:rPr>
        <w:t xml:space="preserve"> </w:t>
      </w:r>
      <w:r w:rsidRPr="00A26C26">
        <w:rPr>
          <w:rFonts w:cstheme="minorHAnsi"/>
          <w:noProof/>
          <w:kern w:val="0"/>
          <w14:ligatures w14:val="none"/>
        </w:rPr>
        <w:t>może</w:t>
      </w:r>
      <w:r w:rsidR="003B50ED">
        <w:rPr>
          <w:rFonts w:cstheme="minorHAnsi"/>
          <w:noProof/>
          <w:kern w:val="0"/>
          <w14:ligatures w14:val="none"/>
        </w:rPr>
        <w:t xml:space="preserve"> </w:t>
      </w:r>
      <w:r w:rsidRPr="00A26C26">
        <w:rPr>
          <w:rFonts w:cstheme="minorHAnsi"/>
          <w:noProof/>
          <w:kern w:val="0"/>
          <w14:ligatures w14:val="none"/>
        </w:rPr>
        <w:t>być</w:t>
      </w:r>
      <w:r w:rsidR="003B50ED">
        <w:rPr>
          <w:rFonts w:cstheme="minorHAnsi"/>
          <w:noProof/>
          <w:kern w:val="0"/>
          <w14:ligatures w14:val="none"/>
        </w:rPr>
        <w:t xml:space="preserve"> </w:t>
      </w:r>
      <w:r w:rsidRPr="00A26C26">
        <w:rPr>
          <w:rFonts w:cstheme="minorHAnsi"/>
          <w:noProof/>
          <w:kern w:val="0"/>
          <w14:ligatures w14:val="none"/>
        </w:rPr>
        <w:t>również</w:t>
      </w:r>
      <w:r w:rsidR="003B50ED">
        <w:rPr>
          <w:rFonts w:cstheme="minorHAnsi"/>
          <w:noProof/>
          <w:kern w:val="0"/>
          <w14:ligatures w14:val="none"/>
        </w:rPr>
        <w:t xml:space="preserve"> </w:t>
      </w:r>
      <w:r w:rsidRPr="00A26C26">
        <w:rPr>
          <w:rFonts w:cstheme="minorHAnsi"/>
          <w:noProof/>
          <w:kern w:val="0"/>
          <w14:ligatures w14:val="none"/>
        </w:rPr>
        <w:t>zagrożenie</w:t>
      </w:r>
      <w:r w:rsidR="003B50ED">
        <w:rPr>
          <w:rFonts w:cstheme="minorHAnsi"/>
          <w:noProof/>
          <w:kern w:val="0"/>
          <w14:ligatures w14:val="none"/>
        </w:rPr>
        <w:t xml:space="preserve"> </w:t>
      </w:r>
      <w:r w:rsidRPr="00A26C26">
        <w:rPr>
          <w:rFonts w:cstheme="minorHAnsi"/>
          <w:noProof/>
          <w:kern w:val="0"/>
          <w14:ligatures w14:val="none"/>
        </w:rPr>
        <w:t>realizacji</w:t>
      </w:r>
      <w:r w:rsidR="003B50ED">
        <w:rPr>
          <w:rFonts w:cstheme="minorHAnsi"/>
          <w:noProof/>
          <w:kern w:val="0"/>
          <w14:ligatures w14:val="none"/>
        </w:rPr>
        <w:t xml:space="preserve"> </w:t>
      </w:r>
      <w:r w:rsidRPr="00A26C26">
        <w:rPr>
          <w:rFonts w:cstheme="minorHAnsi"/>
          <w:noProof/>
          <w:kern w:val="0"/>
          <w14:ligatures w14:val="none"/>
        </w:rPr>
        <w:t>LSR,</w:t>
      </w:r>
      <w:r w:rsidR="003B50ED">
        <w:rPr>
          <w:rFonts w:cstheme="minorHAnsi"/>
          <w:noProof/>
          <w:kern w:val="0"/>
          <w14:ligatures w14:val="none"/>
        </w:rPr>
        <w:t xml:space="preserve"> </w:t>
      </w:r>
      <w:r w:rsidRPr="00A26C26">
        <w:rPr>
          <w:rFonts w:cstheme="minorHAnsi"/>
          <w:noProof/>
          <w:kern w:val="0"/>
          <w14:ligatures w14:val="none"/>
        </w:rPr>
        <w:t>np.:</w:t>
      </w:r>
      <w:r w:rsidR="003B50ED">
        <w:rPr>
          <w:rFonts w:cstheme="minorHAnsi"/>
          <w:noProof/>
          <w:kern w:val="0"/>
          <w14:ligatures w14:val="none"/>
        </w:rPr>
        <w:t xml:space="preserve"> </w:t>
      </w:r>
      <w:r w:rsidRPr="00A26C26">
        <w:rPr>
          <w:rFonts w:cstheme="minorHAnsi"/>
          <w:noProof/>
          <w:kern w:val="0"/>
          <w14:ligatures w14:val="none"/>
        </w:rPr>
        <w:t>gdy</w:t>
      </w:r>
      <w:r w:rsidR="003B50ED">
        <w:rPr>
          <w:rFonts w:cstheme="minorHAnsi"/>
          <w:noProof/>
          <w:kern w:val="0"/>
          <w14:ligatures w14:val="none"/>
        </w:rPr>
        <w:t xml:space="preserve"> </w:t>
      </w:r>
      <w:r w:rsidRPr="00A26C26">
        <w:rPr>
          <w:rFonts w:cstheme="minorHAnsi"/>
          <w:noProof/>
          <w:kern w:val="0"/>
          <w14:ligatures w14:val="none"/>
        </w:rPr>
        <w:t>osiągnięcie</w:t>
      </w:r>
      <w:r w:rsidR="003B50ED">
        <w:rPr>
          <w:rFonts w:cstheme="minorHAnsi"/>
          <w:noProof/>
          <w:kern w:val="0"/>
          <w14:ligatures w14:val="none"/>
        </w:rPr>
        <w:t xml:space="preserve"> </w:t>
      </w:r>
      <w:r w:rsidRPr="00A26C26">
        <w:rPr>
          <w:rFonts w:cstheme="minorHAnsi"/>
          <w:noProof/>
          <w:kern w:val="0"/>
          <w14:ligatures w14:val="none"/>
        </w:rPr>
        <w:t>zakładanych</w:t>
      </w:r>
      <w:r w:rsidR="003B50ED">
        <w:rPr>
          <w:rFonts w:cstheme="minorHAnsi"/>
          <w:noProof/>
          <w:kern w:val="0"/>
          <w14:ligatures w14:val="none"/>
        </w:rPr>
        <w:t xml:space="preserve"> </w:t>
      </w:r>
      <w:r w:rsidRPr="00A26C26">
        <w:rPr>
          <w:rFonts w:cstheme="minorHAnsi"/>
          <w:noProof/>
          <w:kern w:val="0"/>
          <w14:ligatures w14:val="none"/>
        </w:rPr>
        <w:t>wskaźników</w:t>
      </w:r>
      <w:r w:rsidR="003B50ED">
        <w:rPr>
          <w:rFonts w:cstheme="minorHAnsi"/>
          <w:noProof/>
          <w:kern w:val="0"/>
          <w14:ligatures w14:val="none"/>
        </w:rPr>
        <w:t xml:space="preserve"> </w:t>
      </w:r>
      <w:r w:rsidRPr="00A26C26">
        <w:rPr>
          <w:rFonts w:cstheme="minorHAnsi"/>
          <w:noProof/>
          <w:kern w:val="0"/>
          <w14:ligatures w14:val="none"/>
        </w:rPr>
        <w:t>okaże</w:t>
      </w:r>
      <w:r w:rsidR="003B50ED">
        <w:rPr>
          <w:rFonts w:cstheme="minorHAnsi"/>
          <w:noProof/>
          <w:kern w:val="0"/>
          <w14:ligatures w14:val="none"/>
        </w:rPr>
        <w:t xml:space="preserve"> </w:t>
      </w:r>
      <w:r w:rsidRPr="00A26C26">
        <w:rPr>
          <w:rFonts w:cstheme="minorHAnsi"/>
          <w:noProof/>
          <w:kern w:val="0"/>
          <w14:ligatures w14:val="none"/>
        </w:rPr>
        <w:t>się</w:t>
      </w:r>
      <w:r w:rsidR="003B50ED">
        <w:rPr>
          <w:rFonts w:cstheme="minorHAnsi"/>
          <w:noProof/>
          <w:kern w:val="0"/>
          <w14:ligatures w14:val="none"/>
        </w:rPr>
        <w:t xml:space="preserve"> </w:t>
      </w:r>
      <w:r w:rsidRPr="00A26C26">
        <w:rPr>
          <w:rFonts w:cstheme="minorHAnsi"/>
          <w:noProof/>
          <w:kern w:val="0"/>
          <w14:ligatures w14:val="none"/>
        </w:rPr>
        <w:t>niemożliwe.</w:t>
      </w:r>
      <w:r w:rsidR="003B50ED">
        <w:rPr>
          <w:rFonts w:cstheme="minorHAnsi"/>
          <w:noProof/>
          <w:kern w:val="0"/>
          <w14:ligatures w14:val="none"/>
        </w:rPr>
        <w:t xml:space="preserve"> </w:t>
      </w:r>
    </w:p>
    <w:p w14:paraId="6640963C" w14:textId="5A91587D" w:rsidR="002C63F4" w:rsidRPr="00A26C26" w:rsidRDefault="002C63F4" w:rsidP="00A26C26">
      <w:pPr>
        <w:spacing w:line="276" w:lineRule="auto"/>
        <w:rPr>
          <w:rFonts w:eastAsiaTheme="majorEastAsia" w:cstheme="minorHAnsi"/>
          <w:b/>
          <w:bCs/>
          <w:color w:val="2F5496" w:themeColor="accent1" w:themeShade="BF"/>
        </w:rPr>
      </w:pPr>
    </w:p>
    <w:p w14:paraId="44C3142F" w14:textId="77777777" w:rsidR="00BD17DA" w:rsidRDefault="00BD17DA">
      <w:pPr>
        <w:rPr>
          <w:rFonts w:eastAsiaTheme="majorEastAsia" w:cstheme="minorHAnsi"/>
          <w:b/>
          <w:bCs/>
          <w:color w:val="2F5496" w:themeColor="accent1" w:themeShade="BF"/>
        </w:rPr>
      </w:pPr>
      <w:r>
        <w:rPr>
          <w:rFonts w:cstheme="minorHAnsi"/>
          <w:b/>
          <w:bCs/>
        </w:rPr>
        <w:br w:type="page"/>
      </w:r>
    </w:p>
    <w:p w14:paraId="3F47A240" w14:textId="2864F977" w:rsidR="00E924BA" w:rsidRPr="00A26C26" w:rsidRDefault="00E924BA" w:rsidP="00A26C26">
      <w:pPr>
        <w:pStyle w:val="Nagwek1"/>
        <w:spacing w:before="0" w:line="276" w:lineRule="auto"/>
        <w:rPr>
          <w:rFonts w:asciiTheme="minorHAnsi" w:hAnsiTheme="minorHAnsi" w:cstheme="minorHAnsi"/>
          <w:b/>
          <w:bCs/>
          <w:sz w:val="22"/>
          <w:szCs w:val="22"/>
        </w:rPr>
      </w:pPr>
      <w:bookmarkStart w:id="105" w:name="_Toc136944430"/>
      <w:r w:rsidRPr="00A26C26">
        <w:rPr>
          <w:rFonts w:asciiTheme="minorHAnsi" w:hAnsiTheme="minorHAnsi" w:cstheme="minorHAnsi"/>
          <w:b/>
          <w:bCs/>
          <w:sz w:val="22"/>
          <w:szCs w:val="22"/>
        </w:rPr>
        <w:lastRenderedPageBreak/>
        <w:t>ROZDZIAŁ</w:t>
      </w:r>
      <w:r w:rsidR="003B50ED">
        <w:rPr>
          <w:rFonts w:asciiTheme="minorHAnsi" w:hAnsiTheme="minorHAnsi" w:cstheme="minorHAnsi"/>
          <w:b/>
          <w:bCs/>
          <w:sz w:val="22"/>
          <w:szCs w:val="22"/>
        </w:rPr>
        <w:t xml:space="preserve"> </w:t>
      </w:r>
      <w:r w:rsidRPr="00A26C26">
        <w:rPr>
          <w:rFonts w:asciiTheme="minorHAnsi" w:hAnsiTheme="minorHAnsi" w:cstheme="minorHAnsi"/>
          <w:b/>
          <w:bCs/>
          <w:sz w:val="22"/>
          <w:szCs w:val="22"/>
        </w:rPr>
        <w:t>VIII</w:t>
      </w:r>
      <w:r w:rsidR="003B50ED">
        <w:rPr>
          <w:rFonts w:asciiTheme="minorHAnsi" w:hAnsiTheme="minorHAnsi" w:cstheme="minorHAnsi"/>
          <w:b/>
          <w:bCs/>
          <w:sz w:val="22"/>
          <w:szCs w:val="22"/>
        </w:rPr>
        <w:t xml:space="preserve"> </w:t>
      </w:r>
      <w:r w:rsidRPr="00A26C26">
        <w:rPr>
          <w:rFonts w:asciiTheme="minorHAnsi" w:hAnsiTheme="minorHAnsi" w:cstheme="minorHAnsi"/>
          <w:b/>
          <w:bCs/>
          <w:sz w:val="22"/>
          <w:szCs w:val="22"/>
        </w:rPr>
        <w:t>–</w:t>
      </w:r>
      <w:r w:rsidR="003B50ED">
        <w:rPr>
          <w:rFonts w:asciiTheme="minorHAnsi" w:hAnsiTheme="minorHAnsi" w:cstheme="minorHAnsi"/>
          <w:b/>
          <w:bCs/>
          <w:sz w:val="22"/>
          <w:szCs w:val="22"/>
        </w:rPr>
        <w:t xml:space="preserve"> </w:t>
      </w:r>
      <w:r w:rsidRPr="00A26C26">
        <w:rPr>
          <w:rFonts w:asciiTheme="minorHAnsi" w:hAnsiTheme="minorHAnsi" w:cstheme="minorHAnsi"/>
          <w:b/>
          <w:bCs/>
          <w:sz w:val="22"/>
          <w:szCs w:val="22"/>
        </w:rPr>
        <w:t>PLAN</w:t>
      </w:r>
      <w:r w:rsidR="003B50ED">
        <w:rPr>
          <w:rFonts w:asciiTheme="minorHAnsi" w:hAnsiTheme="minorHAnsi" w:cstheme="minorHAnsi"/>
          <w:b/>
          <w:bCs/>
          <w:sz w:val="22"/>
          <w:szCs w:val="22"/>
        </w:rPr>
        <w:t xml:space="preserve"> </w:t>
      </w:r>
      <w:r w:rsidRPr="00A26C26">
        <w:rPr>
          <w:rFonts w:asciiTheme="minorHAnsi" w:hAnsiTheme="minorHAnsi" w:cstheme="minorHAnsi"/>
          <w:b/>
          <w:bCs/>
          <w:sz w:val="22"/>
          <w:szCs w:val="22"/>
        </w:rPr>
        <w:t>DZIAŁANIA</w:t>
      </w:r>
      <w:bookmarkEnd w:id="105"/>
    </w:p>
    <w:p w14:paraId="4C8E30C9" w14:textId="61135C9F" w:rsidR="00595CDE" w:rsidRPr="0067357C" w:rsidRDefault="00595CDE" w:rsidP="00595CDE">
      <w:pPr>
        <w:autoSpaceDE w:val="0"/>
        <w:autoSpaceDN w:val="0"/>
        <w:adjustRightInd w:val="0"/>
        <w:spacing w:line="276" w:lineRule="auto"/>
        <w:ind w:firstLine="426"/>
        <w:jc w:val="both"/>
        <w:rPr>
          <w:rFonts w:eastAsia="Calibri" w:cstheme="minorHAnsi"/>
        </w:rPr>
      </w:pPr>
      <w:bookmarkStart w:id="106" w:name="_Hlk136413688"/>
      <w:r w:rsidRPr="0067357C">
        <w:rPr>
          <w:rFonts w:cstheme="minorHAnsi"/>
        </w:rPr>
        <w:t xml:space="preserve">Plan Działania, który stanowi Załącznik nr 2 obejmuje cele oraz przypisane im przedsięwzięcia, jest ściśle powiązany z zapisami rozdziału VI Cele i wskaźniki. </w:t>
      </w:r>
      <w:r w:rsidRPr="0067357C">
        <w:rPr>
          <w:rFonts w:eastAsia="Calibri" w:cstheme="minorHAnsi"/>
        </w:rPr>
        <w:t xml:space="preserve">Realizacja LSR będzie przebiegać w etapach wdrażania wynikających z umowy ramowej. </w:t>
      </w:r>
    </w:p>
    <w:p w14:paraId="05F271EE" w14:textId="77777777" w:rsidR="00595CDE" w:rsidRPr="0067357C" w:rsidRDefault="00595CDE" w:rsidP="00595CDE">
      <w:pPr>
        <w:spacing w:line="276" w:lineRule="auto"/>
        <w:jc w:val="both"/>
        <w:rPr>
          <w:rFonts w:eastAsia="Calibri" w:cstheme="minorHAnsi"/>
          <w:b/>
          <w:bCs/>
        </w:rPr>
      </w:pPr>
      <w:r w:rsidRPr="0067357C">
        <w:rPr>
          <w:rFonts w:eastAsia="Calibri" w:cstheme="minorHAnsi"/>
          <w:b/>
          <w:bCs/>
        </w:rPr>
        <w:t>Pierwszy etap – terminy i zakres działań.</w:t>
      </w:r>
    </w:p>
    <w:p w14:paraId="41096D69" w14:textId="77777777" w:rsidR="00595CDE" w:rsidRPr="0067357C" w:rsidRDefault="00595CDE" w:rsidP="00595CDE">
      <w:pPr>
        <w:spacing w:line="276" w:lineRule="auto"/>
        <w:jc w:val="both"/>
        <w:rPr>
          <w:rFonts w:eastAsia="Calibri" w:cstheme="minorHAnsi"/>
        </w:rPr>
      </w:pPr>
      <w:r w:rsidRPr="0067357C">
        <w:rPr>
          <w:rFonts w:eastAsia="Calibri" w:cstheme="minorHAnsi"/>
        </w:rPr>
        <w:t xml:space="preserve">W przypadku EFRROW: od 2024 r. do I poł. 2026 r. (I kamień milowy) </w:t>
      </w:r>
    </w:p>
    <w:p w14:paraId="21B72698" w14:textId="258949B3" w:rsidR="00595CDE" w:rsidRPr="0067357C" w:rsidRDefault="00595CDE" w:rsidP="00595CDE">
      <w:pPr>
        <w:spacing w:line="276" w:lineRule="auto"/>
        <w:jc w:val="both"/>
        <w:rPr>
          <w:rFonts w:eastAsia="Calibri" w:cstheme="minorHAnsi"/>
        </w:rPr>
      </w:pPr>
      <w:r w:rsidRPr="0067357C">
        <w:rPr>
          <w:rFonts w:eastAsia="Calibri" w:cstheme="minorHAnsi"/>
        </w:rPr>
        <w:t xml:space="preserve">W przypadku EFS+ oraz EFRR: od 2024 r. do II poł. 2026 r. (I kamień milowy) </w:t>
      </w:r>
    </w:p>
    <w:p w14:paraId="0A5059B5" w14:textId="017910A1" w:rsidR="00595CDE" w:rsidRPr="0067357C" w:rsidRDefault="00595CDE" w:rsidP="00595CDE">
      <w:pPr>
        <w:spacing w:line="276" w:lineRule="auto"/>
        <w:jc w:val="both"/>
        <w:rPr>
          <w:rFonts w:eastAsia="Calibri" w:cstheme="minorHAnsi"/>
        </w:rPr>
      </w:pPr>
      <w:r w:rsidRPr="0067357C">
        <w:rPr>
          <w:rFonts w:eastAsia="Calibri" w:cstheme="minorHAnsi"/>
        </w:rPr>
        <w:t xml:space="preserve">W tym czasie zostanie położony szczególny nacisk na realizację działań komunikacyjnych skierowanych na poszerzenie współpracy z lokalnym środowiskiem w celu skorzystania dużej grupy potencjalnych beneficjentów ze szkoleń, warsztatów i doradztwa świadczonego przez Biuro LGD. Będą również udostępnione materiały informacyjno-promocyjne, dokumenty aplikacyjne (w tym dostęp do generatora wniosków, jeśli zostanie zapewniona możliwość składana </w:t>
      </w:r>
      <w:r w:rsidRPr="00577463">
        <w:rPr>
          <w:rFonts w:eastAsia="Calibri" w:cstheme="minorHAnsi"/>
        </w:rPr>
        <w:t xml:space="preserve">wniosków elektronicznie). Na tym etapie zostaną uruchomione pierwsze konkursy mające zapewnić możliwość zakontraktowania przez </w:t>
      </w:r>
      <w:r w:rsidR="005768FC" w:rsidRPr="00577463">
        <w:rPr>
          <w:rFonts w:eastAsia="Calibri" w:cstheme="minorHAnsi"/>
        </w:rPr>
        <w:t>ZWW</w:t>
      </w:r>
      <w:r w:rsidR="000D4E11" w:rsidRPr="00577463">
        <w:rPr>
          <w:rFonts w:eastAsia="Calibri" w:cstheme="minorHAnsi"/>
        </w:rPr>
        <w:t xml:space="preserve"> </w:t>
      </w:r>
      <w:r w:rsidR="00C406F6">
        <w:rPr>
          <w:rFonts w:eastAsia="Calibri" w:cstheme="minorHAnsi"/>
        </w:rPr>
        <w:t>ok.</w:t>
      </w:r>
      <w:r w:rsidR="00357EE3">
        <w:rPr>
          <w:rFonts w:eastAsia="Calibri" w:cstheme="minorHAnsi"/>
        </w:rPr>
        <w:t xml:space="preserve"> </w:t>
      </w:r>
      <w:r w:rsidR="00357EE3" w:rsidRPr="005A4792">
        <w:rPr>
          <w:rFonts w:eastAsia="Calibri" w:cstheme="minorHAnsi"/>
        </w:rPr>
        <w:t>50</w:t>
      </w:r>
      <w:r w:rsidR="0070635E">
        <w:rPr>
          <w:rFonts w:eastAsia="Calibri" w:cstheme="minorHAnsi"/>
        </w:rPr>
        <w:t xml:space="preserve"> </w:t>
      </w:r>
      <w:r w:rsidRPr="00255B73">
        <w:rPr>
          <w:rFonts w:eastAsia="Calibri" w:cstheme="minorHAnsi"/>
        </w:rPr>
        <w:t xml:space="preserve">% środków z budżetu </w:t>
      </w:r>
      <w:r w:rsidR="00DF7ACD" w:rsidRPr="00255B73">
        <w:rPr>
          <w:rFonts w:eastAsia="Calibri" w:cstheme="minorHAnsi"/>
        </w:rPr>
        <w:t xml:space="preserve">EFRROW oraz 100% </w:t>
      </w:r>
      <w:r w:rsidRPr="00255B73">
        <w:rPr>
          <w:rFonts w:eastAsia="Calibri" w:cstheme="minorHAnsi"/>
        </w:rPr>
        <w:t xml:space="preserve"> </w:t>
      </w:r>
      <w:r w:rsidR="00DF7ACD" w:rsidRPr="00255B73">
        <w:rPr>
          <w:rFonts w:eastAsia="Calibri" w:cstheme="minorHAnsi"/>
        </w:rPr>
        <w:t xml:space="preserve">EFRR i EFS+ 100%. </w:t>
      </w:r>
      <w:r w:rsidRPr="0067357C">
        <w:rPr>
          <w:rFonts w:eastAsia="Calibri" w:cstheme="minorHAnsi"/>
        </w:rPr>
        <w:t>Działania będą również dotyczyć aktywizacji mieszkańców oraz wspierania budowy partnerstw.</w:t>
      </w:r>
    </w:p>
    <w:p w14:paraId="478E28FB" w14:textId="77777777" w:rsidR="00595CDE" w:rsidRPr="0067357C" w:rsidRDefault="00595CDE" w:rsidP="00595CDE">
      <w:pPr>
        <w:spacing w:line="276" w:lineRule="auto"/>
        <w:jc w:val="both"/>
        <w:rPr>
          <w:rFonts w:eastAsia="Calibri" w:cstheme="minorHAnsi"/>
          <w:b/>
          <w:bCs/>
        </w:rPr>
      </w:pPr>
      <w:r w:rsidRPr="0067357C">
        <w:rPr>
          <w:rFonts w:eastAsia="Calibri" w:cstheme="minorHAnsi"/>
          <w:b/>
          <w:bCs/>
        </w:rPr>
        <w:t>Drugi etap – terminy i zakres działań.</w:t>
      </w:r>
    </w:p>
    <w:p w14:paraId="33C6EFD0" w14:textId="77777777" w:rsidR="00595CDE" w:rsidRPr="0067357C" w:rsidRDefault="00595CDE" w:rsidP="00595CDE">
      <w:pPr>
        <w:spacing w:line="276" w:lineRule="auto"/>
        <w:jc w:val="both"/>
        <w:rPr>
          <w:rFonts w:eastAsia="Calibri" w:cstheme="minorHAnsi"/>
        </w:rPr>
      </w:pPr>
      <w:r w:rsidRPr="0067357C">
        <w:rPr>
          <w:rFonts w:eastAsia="Calibri" w:cstheme="minorHAnsi"/>
        </w:rPr>
        <w:t xml:space="preserve">W przypadku EFRROW: od II poł. 2026 r. do II poł. 2027 r. (II kamień milowy) </w:t>
      </w:r>
    </w:p>
    <w:p w14:paraId="71EAD51A" w14:textId="4049AEB9" w:rsidR="00595CDE" w:rsidRPr="0067357C" w:rsidRDefault="00595CDE" w:rsidP="00595CDE">
      <w:pPr>
        <w:spacing w:line="276" w:lineRule="auto"/>
        <w:jc w:val="both"/>
        <w:rPr>
          <w:rFonts w:eastAsia="Calibri" w:cstheme="minorHAnsi"/>
        </w:rPr>
      </w:pPr>
      <w:r w:rsidRPr="0067357C">
        <w:rPr>
          <w:rFonts w:eastAsia="Calibri" w:cstheme="minorHAnsi"/>
        </w:rPr>
        <w:t>W przypadku EFS+</w:t>
      </w:r>
      <w:r w:rsidR="0020003E">
        <w:rPr>
          <w:rFonts w:eastAsia="Calibri" w:cstheme="minorHAnsi"/>
        </w:rPr>
        <w:t xml:space="preserve"> oraz EFRR</w:t>
      </w:r>
      <w:r w:rsidRPr="0067357C">
        <w:rPr>
          <w:rFonts w:eastAsia="Calibri" w:cstheme="minorHAnsi"/>
        </w:rPr>
        <w:t>: od I poł. 2027 r. do II poł. 2028 r. (II kamień milowy)</w:t>
      </w:r>
    </w:p>
    <w:p w14:paraId="58FE3EC7" w14:textId="40B5BC0C" w:rsidR="00595CDE" w:rsidRPr="0067357C" w:rsidRDefault="00595CDE" w:rsidP="00595CDE">
      <w:pPr>
        <w:spacing w:line="276" w:lineRule="auto"/>
        <w:jc w:val="both"/>
        <w:rPr>
          <w:rFonts w:eastAsia="Calibri" w:cstheme="minorHAnsi"/>
        </w:rPr>
      </w:pPr>
      <w:r w:rsidRPr="0067357C">
        <w:rPr>
          <w:rFonts w:eastAsia="Calibri" w:cstheme="minorHAnsi"/>
        </w:rPr>
        <w:t xml:space="preserve">W tym czasie </w:t>
      </w:r>
      <w:r w:rsidRPr="0067357C">
        <w:rPr>
          <w:rFonts w:cstheme="minorHAnsi"/>
        </w:rPr>
        <w:t xml:space="preserve">LGD </w:t>
      </w:r>
      <w:r w:rsidRPr="0067357C">
        <w:rPr>
          <w:rFonts w:eastAsia="Calibri" w:cstheme="minorHAnsi"/>
        </w:rPr>
        <w:t xml:space="preserve">będzie się </w:t>
      </w:r>
      <w:r w:rsidRPr="00F16251">
        <w:rPr>
          <w:rFonts w:eastAsia="Calibri" w:cstheme="minorHAnsi"/>
        </w:rPr>
        <w:t>koncentrować na prowadzeniu działań mających na celu zakontraktowanie środków dopełniających realizację założonych celów. Ponadto, przewiduje się zakont</w:t>
      </w:r>
      <w:r w:rsidR="00717EE9">
        <w:rPr>
          <w:rFonts w:eastAsia="Calibri" w:cstheme="minorHAnsi"/>
        </w:rPr>
        <w:t>raktowanie budżetu EFR</w:t>
      </w:r>
      <w:r w:rsidRPr="00F16251">
        <w:rPr>
          <w:rFonts w:eastAsia="Calibri" w:cstheme="minorHAnsi"/>
        </w:rPr>
        <w:t xml:space="preserve">ROW </w:t>
      </w:r>
      <w:r w:rsidR="00FA06CE">
        <w:rPr>
          <w:rFonts w:eastAsia="Calibri" w:cstheme="minorHAnsi"/>
        </w:rPr>
        <w:t xml:space="preserve">                                </w:t>
      </w:r>
      <w:r w:rsidR="00DF7ACD">
        <w:rPr>
          <w:rFonts w:eastAsia="Calibri" w:cstheme="minorHAnsi"/>
        </w:rPr>
        <w:t xml:space="preserve">na poziomie ok. </w:t>
      </w:r>
      <w:r w:rsidR="00DF7ACD" w:rsidRPr="00255B73">
        <w:rPr>
          <w:rFonts w:eastAsia="Calibri" w:cstheme="minorHAnsi"/>
        </w:rPr>
        <w:t>100</w:t>
      </w:r>
      <w:r w:rsidRPr="00255B73">
        <w:rPr>
          <w:rFonts w:eastAsia="Calibri" w:cstheme="minorHAnsi"/>
        </w:rPr>
        <w:t xml:space="preserve">%, </w:t>
      </w:r>
      <w:r w:rsidRPr="00F16251">
        <w:rPr>
          <w:rFonts w:eastAsia="Calibri" w:cstheme="minorHAnsi"/>
        </w:rPr>
        <w:t xml:space="preserve">a budżetu EFS+ i EFRR na poziomie </w:t>
      </w:r>
      <w:r w:rsidR="00DF7ACD">
        <w:rPr>
          <w:rFonts w:eastAsia="Calibri" w:cstheme="minorHAnsi"/>
        </w:rPr>
        <w:t xml:space="preserve">ok. </w:t>
      </w:r>
      <w:r w:rsidR="00DF7ACD" w:rsidRPr="00255B73">
        <w:rPr>
          <w:rFonts w:eastAsia="Calibri" w:cstheme="minorHAnsi"/>
        </w:rPr>
        <w:t>100</w:t>
      </w:r>
      <w:r w:rsidRPr="00255B73">
        <w:rPr>
          <w:rFonts w:eastAsia="Calibri" w:cstheme="minorHAnsi"/>
        </w:rPr>
        <w:t xml:space="preserve">%. </w:t>
      </w:r>
      <w:r w:rsidRPr="00F16251">
        <w:rPr>
          <w:rFonts w:eastAsia="Calibri" w:cstheme="minorHAnsi"/>
        </w:rPr>
        <w:t xml:space="preserve">W istotnym dla obszaru </w:t>
      </w:r>
      <w:r w:rsidR="00C406F6">
        <w:rPr>
          <w:rFonts w:eastAsia="Calibri" w:cstheme="minorHAnsi"/>
        </w:rPr>
        <w:t xml:space="preserve"> </w:t>
      </w:r>
      <w:r w:rsidR="00950C17" w:rsidRPr="00F16251">
        <w:rPr>
          <w:rFonts w:eastAsia="Calibri" w:cstheme="minorHAnsi"/>
        </w:rPr>
        <w:t xml:space="preserve">w </w:t>
      </w:r>
      <w:r w:rsidRPr="00F16251">
        <w:rPr>
          <w:rFonts w:eastAsia="Calibri" w:cstheme="minorHAnsi"/>
        </w:rPr>
        <w:t xml:space="preserve">zakresie tworzenia partnerstw planuje się dalsze wdrażanie projektów aktywizujących, wspierających integrację. Będą one bazowały na doświadczeniach projektów już realizowanych. Działalność bieżąca </w:t>
      </w:r>
      <w:r w:rsidRPr="00F16251">
        <w:rPr>
          <w:rFonts w:cstheme="minorHAnsi"/>
        </w:rPr>
        <w:t xml:space="preserve">LGD </w:t>
      </w:r>
      <w:r w:rsidRPr="00F16251">
        <w:rPr>
          <w:rFonts w:eastAsia="Calibri" w:cstheme="minorHAnsi"/>
        </w:rPr>
        <w:t>będzie skierowana na dalszą aktywizację oraz wprowadzenie rozwiązań wspomagających</w:t>
      </w:r>
      <w:r w:rsidRPr="0067357C">
        <w:rPr>
          <w:rFonts w:eastAsia="Calibri" w:cstheme="minorHAnsi"/>
        </w:rPr>
        <w:t xml:space="preserve"> rozwój obszaru i jego promocję będących skutkiem zrealizowanych projektów.</w:t>
      </w:r>
    </w:p>
    <w:p w14:paraId="2CBB4DB5" w14:textId="77777777" w:rsidR="00595CDE" w:rsidRPr="0067357C" w:rsidRDefault="00595CDE" w:rsidP="00595CDE">
      <w:pPr>
        <w:spacing w:line="276" w:lineRule="auto"/>
        <w:jc w:val="both"/>
        <w:rPr>
          <w:rFonts w:eastAsia="Calibri" w:cstheme="minorHAnsi"/>
          <w:b/>
          <w:bCs/>
        </w:rPr>
      </w:pPr>
      <w:r w:rsidRPr="0067357C">
        <w:rPr>
          <w:rFonts w:eastAsia="Calibri" w:cstheme="minorHAnsi"/>
          <w:b/>
          <w:bCs/>
        </w:rPr>
        <w:t>Trzeci etap – terminy i zakres działań.</w:t>
      </w:r>
    </w:p>
    <w:p w14:paraId="28A0E46F" w14:textId="19446B76" w:rsidR="00595CDE" w:rsidRPr="0067357C" w:rsidRDefault="00595CDE" w:rsidP="00595CDE">
      <w:pPr>
        <w:spacing w:line="276" w:lineRule="auto"/>
        <w:jc w:val="both"/>
        <w:rPr>
          <w:rFonts w:eastAsia="Calibri" w:cstheme="minorHAnsi"/>
        </w:rPr>
      </w:pPr>
      <w:r w:rsidRPr="0067357C">
        <w:rPr>
          <w:rFonts w:eastAsia="Calibri" w:cstheme="minorHAnsi"/>
        </w:rPr>
        <w:t xml:space="preserve">W </w:t>
      </w:r>
      <w:r w:rsidR="0020003E">
        <w:rPr>
          <w:rFonts w:eastAsia="Calibri" w:cstheme="minorHAnsi"/>
        </w:rPr>
        <w:t>przypadku EFRROW: od I poł. 2028</w:t>
      </w:r>
      <w:r w:rsidRPr="0067357C">
        <w:rPr>
          <w:rFonts w:eastAsia="Calibri" w:cstheme="minorHAnsi"/>
        </w:rPr>
        <w:t xml:space="preserve"> r. do II poł. 2029 r. </w:t>
      </w:r>
    </w:p>
    <w:p w14:paraId="3F683B55" w14:textId="6F0D504E" w:rsidR="00595CDE" w:rsidRPr="0067357C" w:rsidRDefault="00595CDE" w:rsidP="00595CDE">
      <w:pPr>
        <w:spacing w:line="276" w:lineRule="auto"/>
        <w:jc w:val="both"/>
        <w:rPr>
          <w:rFonts w:eastAsia="Calibri" w:cstheme="minorHAnsi"/>
        </w:rPr>
      </w:pPr>
      <w:r w:rsidRPr="0067357C">
        <w:rPr>
          <w:rFonts w:eastAsia="Calibri" w:cstheme="minorHAnsi"/>
        </w:rPr>
        <w:t>W przypadku EFS+</w:t>
      </w:r>
      <w:r w:rsidR="0020003E">
        <w:rPr>
          <w:rFonts w:eastAsia="Calibri" w:cstheme="minorHAnsi"/>
        </w:rPr>
        <w:t xml:space="preserve"> oraz EFRR: od I poł. 2029</w:t>
      </w:r>
      <w:r w:rsidRPr="0067357C">
        <w:rPr>
          <w:rFonts w:eastAsia="Calibri" w:cstheme="minorHAnsi"/>
        </w:rPr>
        <w:t xml:space="preserve"> r. do II poł. 2029 r. </w:t>
      </w:r>
    </w:p>
    <w:p w14:paraId="1CB910E2" w14:textId="77777777" w:rsidR="00595CDE" w:rsidRPr="0067357C" w:rsidRDefault="00595CDE" w:rsidP="00595CDE">
      <w:pPr>
        <w:spacing w:line="276" w:lineRule="auto"/>
        <w:jc w:val="both"/>
        <w:rPr>
          <w:rFonts w:eastAsia="Calibri" w:cstheme="minorHAnsi"/>
        </w:rPr>
      </w:pPr>
      <w:r w:rsidRPr="0067357C">
        <w:rPr>
          <w:rFonts w:eastAsia="Calibri" w:cstheme="minorHAnsi"/>
        </w:rPr>
        <w:t xml:space="preserve">W tym czasie niezbędne będzie uzupełnienie naborów w celu pełnej realizacji budżetu LSR zapewniającego osiągniecie wskaźników. LGD zakłada możliwość wprowadzenia zmian w Planie działania, uwzględniając wyniki monitoringu lub ewaluacji oraz inne przesłanki (jeśli wystąpią). Może się to wydarzyć we wcześniejszych etapach. </w:t>
      </w:r>
    </w:p>
    <w:p w14:paraId="02C98240" w14:textId="125E008E" w:rsidR="00595CDE" w:rsidRPr="0067357C" w:rsidRDefault="00595CDE" w:rsidP="00595CDE">
      <w:pPr>
        <w:spacing w:line="276" w:lineRule="auto"/>
        <w:jc w:val="both"/>
        <w:rPr>
          <w:rFonts w:eastAsia="Calibri" w:cstheme="minorHAnsi"/>
        </w:rPr>
      </w:pPr>
      <w:r w:rsidRPr="0067357C">
        <w:rPr>
          <w:rFonts w:eastAsia="Calibri" w:cstheme="minorHAnsi"/>
        </w:rPr>
        <w:t xml:space="preserve">Określone w Planie działania wskaźniki (ilościowe i wartościowe) zostały </w:t>
      </w:r>
      <w:r w:rsidRPr="000D4E11">
        <w:rPr>
          <w:rFonts w:eastAsia="Calibri" w:cstheme="minorHAnsi"/>
        </w:rPr>
        <w:t xml:space="preserve">podzielone </w:t>
      </w:r>
      <w:r w:rsidR="00950C17" w:rsidRPr="000D4E11">
        <w:rPr>
          <w:rFonts w:eastAsia="Calibri" w:cstheme="minorHAnsi"/>
        </w:rPr>
        <w:t xml:space="preserve">na </w:t>
      </w:r>
      <w:r w:rsidRPr="000D4E11">
        <w:rPr>
          <w:rFonts w:eastAsia="Calibri" w:cstheme="minorHAnsi"/>
        </w:rPr>
        <w:t>lata,</w:t>
      </w:r>
      <w:r w:rsidRPr="0067357C">
        <w:rPr>
          <w:rFonts w:eastAsia="Calibri" w:cstheme="minorHAnsi"/>
        </w:rPr>
        <w:t xml:space="preserve"> co pozwoli na sprawne wdrażanie LSR oraz racjonalne planowanie ogłaszanych przez LGD naborów.</w:t>
      </w:r>
    </w:p>
    <w:p w14:paraId="0796840E" w14:textId="77777777" w:rsidR="00595CDE" w:rsidRPr="0067357C" w:rsidRDefault="00595CDE" w:rsidP="00595CDE">
      <w:pPr>
        <w:spacing w:line="276" w:lineRule="auto"/>
        <w:ind w:firstLine="426"/>
        <w:jc w:val="both"/>
        <w:rPr>
          <w:rFonts w:eastAsia="Calibri" w:cstheme="minorHAnsi"/>
        </w:rPr>
      </w:pPr>
      <w:r w:rsidRPr="0067357C">
        <w:rPr>
          <w:rFonts w:eastAsia="Calibri" w:cstheme="minorHAnsi"/>
        </w:rPr>
        <w:t xml:space="preserve">W przypadku EFS+ i EFRR poziom realizacji budżetu przypisany do kamieni milowych został ustalony na podstawie dostępnych danych. </w:t>
      </w:r>
    </w:p>
    <w:p w14:paraId="01280995" w14:textId="52F2DAB1" w:rsidR="00915596" w:rsidRPr="0067357C" w:rsidRDefault="00595CDE" w:rsidP="008D2139">
      <w:pPr>
        <w:spacing w:line="276" w:lineRule="auto"/>
        <w:ind w:firstLine="360"/>
        <w:jc w:val="both"/>
        <w:rPr>
          <w:rFonts w:cstheme="minorHAnsi"/>
          <w:kern w:val="0"/>
          <w14:ligatures w14:val="none"/>
        </w:rPr>
      </w:pPr>
      <w:r w:rsidRPr="0067357C">
        <w:rPr>
          <w:rFonts w:cstheme="minorHAnsi"/>
          <w:kern w:val="0"/>
          <w14:ligatures w14:val="none"/>
        </w:rPr>
        <w:t xml:space="preserve">Maksymalna wysokość pomocy, poziomy dofinansowania oraz limity </w:t>
      </w:r>
      <w:r w:rsidR="008D2139" w:rsidRPr="0067357C">
        <w:rPr>
          <w:rFonts w:cstheme="minorHAnsi"/>
          <w:kern w:val="0"/>
          <w14:ligatures w14:val="none"/>
        </w:rPr>
        <w:t>środków na projekt / beneficjenta zostaną ustalone na poziomie procedur.</w:t>
      </w:r>
    </w:p>
    <w:p w14:paraId="3A7B2602" w14:textId="0D651A1C" w:rsidR="00577463" w:rsidRDefault="008D2139" w:rsidP="008D2139">
      <w:pPr>
        <w:spacing w:line="276" w:lineRule="auto"/>
        <w:ind w:firstLine="360"/>
        <w:jc w:val="both"/>
        <w:rPr>
          <w:rFonts w:cstheme="minorHAnsi"/>
          <w:kern w:val="0"/>
          <w14:ligatures w14:val="none"/>
        </w:rPr>
      </w:pPr>
      <w:r w:rsidRPr="0067357C">
        <w:rPr>
          <w:rFonts w:cstheme="minorHAnsi"/>
          <w:kern w:val="0"/>
          <w14:ligatures w14:val="none"/>
        </w:rPr>
        <w:t xml:space="preserve">W załączniku: Formularz 2: Plan działania określono wskaźniki produktu i rezultatu możliwe do identyfikacji na etapie sporządzania niniejszej LSR. W momencie zatwierdzenia Wytycznych może okazać się konieczna ich aktualizacja. Ważne jednak będzie odpowiednie rozłożenie w czasie terminów naborów w celu zrównoważonej realizacji LSR, uwzględniającej dbałość o płynność finansową, która ma zapewnić realizację tych przedsięwzięć </w:t>
      </w:r>
      <w:r w:rsidR="00FA06CE">
        <w:rPr>
          <w:rFonts w:cstheme="minorHAnsi"/>
          <w:kern w:val="0"/>
          <w14:ligatures w14:val="none"/>
        </w:rPr>
        <w:t xml:space="preserve">                    </w:t>
      </w:r>
      <w:r w:rsidRPr="0067357C">
        <w:rPr>
          <w:rFonts w:cstheme="minorHAnsi"/>
          <w:kern w:val="0"/>
          <w14:ligatures w14:val="none"/>
        </w:rPr>
        <w:t xml:space="preserve">w </w:t>
      </w:r>
      <w:r w:rsidR="00930438" w:rsidRPr="0067357C">
        <w:rPr>
          <w:rFonts w:cstheme="minorHAnsi"/>
          <w:kern w:val="0"/>
          <w14:ligatures w14:val="none"/>
        </w:rPr>
        <w:t>których</w:t>
      </w:r>
      <w:r w:rsidRPr="0067357C">
        <w:rPr>
          <w:rFonts w:cstheme="minorHAnsi"/>
          <w:kern w:val="0"/>
          <w14:ligatures w14:val="none"/>
        </w:rPr>
        <w:t xml:space="preserve"> </w:t>
      </w:r>
      <w:r w:rsidR="00930438" w:rsidRPr="0067357C">
        <w:rPr>
          <w:rFonts w:cstheme="minorHAnsi"/>
          <w:kern w:val="0"/>
          <w14:ligatures w14:val="none"/>
        </w:rPr>
        <w:t xml:space="preserve">będzie </w:t>
      </w:r>
      <w:r w:rsidRPr="0067357C">
        <w:rPr>
          <w:rFonts w:cstheme="minorHAnsi"/>
          <w:kern w:val="0"/>
          <w14:ligatures w14:val="none"/>
        </w:rPr>
        <w:t xml:space="preserve">konieczne </w:t>
      </w:r>
      <w:r w:rsidR="00930438" w:rsidRPr="0067357C">
        <w:rPr>
          <w:rFonts w:cstheme="minorHAnsi"/>
          <w:kern w:val="0"/>
          <w14:ligatures w14:val="none"/>
        </w:rPr>
        <w:t>wykazanie</w:t>
      </w:r>
      <w:r w:rsidRPr="0067357C">
        <w:rPr>
          <w:rFonts w:cstheme="minorHAnsi"/>
          <w:kern w:val="0"/>
          <w14:ligatures w14:val="none"/>
        </w:rPr>
        <w:t xml:space="preserve"> </w:t>
      </w:r>
      <w:r w:rsidR="00930438" w:rsidRPr="0067357C">
        <w:rPr>
          <w:rFonts w:cstheme="minorHAnsi"/>
          <w:kern w:val="0"/>
          <w14:ligatures w14:val="none"/>
        </w:rPr>
        <w:t>wkładu</w:t>
      </w:r>
      <w:r w:rsidRPr="0067357C">
        <w:rPr>
          <w:rFonts w:cstheme="minorHAnsi"/>
          <w:kern w:val="0"/>
          <w14:ligatures w14:val="none"/>
        </w:rPr>
        <w:t xml:space="preserve"> własnego (np. EFS+) lub </w:t>
      </w:r>
      <w:r w:rsidR="00930438" w:rsidRPr="0067357C">
        <w:rPr>
          <w:rFonts w:cstheme="minorHAnsi"/>
          <w:kern w:val="0"/>
          <w14:ligatures w14:val="none"/>
        </w:rPr>
        <w:t>pomoc będzie udzielana w formie refundacji (np. EF</w:t>
      </w:r>
      <w:r w:rsidR="0067357C" w:rsidRPr="0067357C">
        <w:rPr>
          <w:rFonts w:cstheme="minorHAnsi"/>
          <w:kern w:val="0"/>
          <w14:ligatures w14:val="none"/>
        </w:rPr>
        <w:t>R</w:t>
      </w:r>
      <w:r w:rsidR="00930438" w:rsidRPr="0067357C">
        <w:rPr>
          <w:rFonts w:cstheme="minorHAnsi"/>
          <w:kern w:val="0"/>
          <w14:ligatures w14:val="none"/>
        </w:rPr>
        <w:t>ROW). Ponadto, u</w:t>
      </w:r>
      <w:r w:rsidRPr="0067357C">
        <w:rPr>
          <w:rFonts w:cstheme="minorHAnsi"/>
          <w:kern w:val="0"/>
          <w14:ligatures w14:val="none"/>
        </w:rPr>
        <w:t xml:space="preserve">nikanie kumulacji działań umożliwi efektywną animację lokalną, </w:t>
      </w:r>
      <w:r w:rsidR="00930438" w:rsidRPr="0067357C">
        <w:rPr>
          <w:rFonts w:cstheme="minorHAnsi"/>
          <w:kern w:val="0"/>
          <w14:ligatures w14:val="none"/>
        </w:rPr>
        <w:t xml:space="preserve">prowadzenie działań informacyjno-edukacyjnych, </w:t>
      </w:r>
      <w:proofErr w:type="spellStart"/>
      <w:r w:rsidR="00930438" w:rsidRPr="0067357C">
        <w:rPr>
          <w:rFonts w:cstheme="minorHAnsi"/>
          <w:kern w:val="0"/>
          <w14:ligatures w14:val="none"/>
        </w:rPr>
        <w:t>włączeniowych</w:t>
      </w:r>
      <w:proofErr w:type="spellEnd"/>
      <w:r w:rsidR="00930438" w:rsidRPr="0067357C">
        <w:rPr>
          <w:rFonts w:cstheme="minorHAnsi"/>
          <w:kern w:val="0"/>
          <w14:ligatures w14:val="none"/>
        </w:rPr>
        <w:t xml:space="preserve"> oraz odpowiednie </w:t>
      </w:r>
      <w:r w:rsidRPr="0067357C">
        <w:rPr>
          <w:rFonts w:cstheme="minorHAnsi"/>
          <w:kern w:val="0"/>
          <w14:ligatures w14:val="none"/>
        </w:rPr>
        <w:t xml:space="preserve">przygotowanie beneficjentów do </w:t>
      </w:r>
      <w:r w:rsidR="000E653B">
        <w:rPr>
          <w:rFonts w:cstheme="minorHAnsi"/>
          <w:kern w:val="0"/>
          <w14:ligatures w14:val="none"/>
        </w:rPr>
        <w:t xml:space="preserve">aplikowania, </w:t>
      </w:r>
      <w:r w:rsidR="00930438" w:rsidRPr="0067357C">
        <w:rPr>
          <w:rFonts w:cstheme="minorHAnsi"/>
          <w:kern w:val="0"/>
          <w14:ligatures w14:val="none"/>
        </w:rPr>
        <w:t xml:space="preserve">a później </w:t>
      </w:r>
      <w:r w:rsidRPr="0067357C">
        <w:rPr>
          <w:rFonts w:cstheme="minorHAnsi"/>
          <w:kern w:val="0"/>
          <w14:ligatures w14:val="none"/>
        </w:rPr>
        <w:t xml:space="preserve">realizacji projektów. </w:t>
      </w:r>
      <w:r w:rsidR="00930438" w:rsidRPr="0067357C">
        <w:rPr>
          <w:rFonts w:cstheme="minorHAnsi"/>
          <w:kern w:val="0"/>
          <w14:ligatures w14:val="none"/>
        </w:rPr>
        <w:t xml:space="preserve">Dodatkowym </w:t>
      </w:r>
      <w:r w:rsidRPr="0067357C">
        <w:rPr>
          <w:rFonts w:cstheme="minorHAnsi"/>
          <w:kern w:val="0"/>
          <w14:ligatures w14:val="none"/>
        </w:rPr>
        <w:t xml:space="preserve">efektem </w:t>
      </w:r>
      <w:r w:rsidR="00930438" w:rsidRPr="0067357C">
        <w:rPr>
          <w:rFonts w:cstheme="minorHAnsi"/>
          <w:kern w:val="0"/>
          <w14:ligatures w14:val="none"/>
        </w:rPr>
        <w:t>równomiernej realizacji P</w:t>
      </w:r>
      <w:r w:rsidRPr="0067357C">
        <w:rPr>
          <w:rFonts w:cstheme="minorHAnsi"/>
          <w:kern w:val="0"/>
          <w14:ligatures w14:val="none"/>
        </w:rPr>
        <w:t xml:space="preserve">lanu działania jest możliwość rozłożenia w czasie promocji poszczególnych przedsięwzięć, w tym poszukiwanie komplementarnych przedsięwzięć dla zaplanowanych działań. </w:t>
      </w:r>
      <w:r w:rsidR="00930438" w:rsidRPr="0067357C">
        <w:rPr>
          <w:rFonts w:cstheme="minorHAnsi"/>
          <w:kern w:val="0"/>
          <w14:ligatures w14:val="none"/>
        </w:rPr>
        <w:t>Takie działania z</w:t>
      </w:r>
      <w:r w:rsidRPr="0067357C">
        <w:rPr>
          <w:rFonts w:cstheme="minorHAnsi"/>
          <w:kern w:val="0"/>
          <w14:ligatures w14:val="none"/>
        </w:rPr>
        <w:t>minimaliz</w:t>
      </w:r>
      <w:r w:rsidR="00930438" w:rsidRPr="0067357C">
        <w:rPr>
          <w:rFonts w:cstheme="minorHAnsi"/>
          <w:kern w:val="0"/>
          <w14:ligatures w14:val="none"/>
        </w:rPr>
        <w:t>ują</w:t>
      </w:r>
      <w:r w:rsidR="002308F2">
        <w:rPr>
          <w:rFonts w:cstheme="minorHAnsi"/>
          <w:kern w:val="0"/>
          <w14:ligatures w14:val="none"/>
        </w:rPr>
        <w:t xml:space="preserve"> </w:t>
      </w:r>
      <w:r w:rsidRPr="0067357C">
        <w:rPr>
          <w:rFonts w:cstheme="minorHAnsi"/>
          <w:kern w:val="0"/>
          <w14:ligatures w14:val="none"/>
        </w:rPr>
        <w:t xml:space="preserve">ryzyko związane z </w:t>
      </w:r>
      <w:r w:rsidR="00930438" w:rsidRPr="0067357C">
        <w:rPr>
          <w:rFonts w:cstheme="minorHAnsi"/>
          <w:kern w:val="0"/>
          <w14:ligatures w14:val="none"/>
        </w:rPr>
        <w:t xml:space="preserve">nie </w:t>
      </w:r>
      <w:r w:rsidRPr="0067357C">
        <w:rPr>
          <w:rFonts w:cstheme="minorHAnsi"/>
          <w:kern w:val="0"/>
          <w14:ligatures w14:val="none"/>
        </w:rPr>
        <w:t xml:space="preserve">osiąganiem </w:t>
      </w:r>
      <w:r w:rsidRPr="0067357C">
        <w:rPr>
          <w:rFonts w:cstheme="minorHAnsi"/>
          <w:kern w:val="0"/>
          <w14:ligatures w14:val="none"/>
        </w:rPr>
        <w:lastRenderedPageBreak/>
        <w:t xml:space="preserve">wskaźników </w:t>
      </w:r>
      <w:r w:rsidR="00930438" w:rsidRPr="0067357C">
        <w:rPr>
          <w:rFonts w:cstheme="minorHAnsi"/>
          <w:kern w:val="0"/>
          <w14:ligatures w14:val="none"/>
        </w:rPr>
        <w:t>przypisanych do celów (rezultat) oraz przedsięwzięć (produkt)</w:t>
      </w:r>
      <w:r w:rsidRPr="0067357C">
        <w:rPr>
          <w:rFonts w:cstheme="minorHAnsi"/>
          <w:kern w:val="0"/>
          <w14:ligatures w14:val="none"/>
        </w:rPr>
        <w:t>.</w:t>
      </w:r>
      <w:r w:rsidR="00930438" w:rsidRPr="0067357C">
        <w:rPr>
          <w:rFonts w:cstheme="minorHAnsi"/>
          <w:kern w:val="0"/>
          <w14:ligatures w14:val="none"/>
        </w:rPr>
        <w:t xml:space="preserve"> Ponadto, terminy na osiągnięcie wskaźników produktu są zgodne z zakładanymi terminami kontraktacji (zawierania umów). </w:t>
      </w:r>
    </w:p>
    <w:p w14:paraId="09CFDAC9" w14:textId="3A39122D" w:rsidR="008D2139" w:rsidRPr="0067357C" w:rsidRDefault="00930438" w:rsidP="008D2139">
      <w:pPr>
        <w:spacing w:line="276" w:lineRule="auto"/>
        <w:ind w:firstLine="360"/>
        <w:jc w:val="both"/>
        <w:rPr>
          <w:rFonts w:cstheme="minorHAnsi"/>
          <w:kern w:val="0"/>
          <w14:ligatures w14:val="none"/>
        </w:rPr>
      </w:pPr>
      <w:r w:rsidRPr="0067357C">
        <w:rPr>
          <w:rFonts w:cstheme="minorHAnsi"/>
          <w:kern w:val="0"/>
          <w14:ligatures w14:val="none"/>
        </w:rPr>
        <w:t xml:space="preserve">W przypadku wskaźników rezultatu, których osiągnięcie wiąże się z koniecznością zrealizowania przez beneficjenta lub </w:t>
      </w:r>
      <w:proofErr w:type="spellStart"/>
      <w:r w:rsidRPr="0067357C">
        <w:rPr>
          <w:rFonts w:cstheme="minorHAnsi"/>
          <w:kern w:val="0"/>
          <w14:ligatures w14:val="none"/>
        </w:rPr>
        <w:t>grantobiorcę</w:t>
      </w:r>
      <w:proofErr w:type="spellEnd"/>
      <w:r w:rsidRPr="0067357C">
        <w:rPr>
          <w:rFonts w:cstheme="minorHAnsi"/>
          <w:kern w:val="0"/>
          <w14:ligatures w14:val="none"/>
        </w:rPr>
        <w:t xml:space="preserve"> danego projektu, przyjęto dwuletni okres na udokumentowanie jego osiągnięcia.</w:t>
      </w:r>
    </w:p>
    <w:p w14:paraId="3ED14385" w14:textId="5183EDE7" w:rsidR="00930438" w:rsidRPr="0067357C" w:rsidRDefault="00930438" w:rsidP="008D2139">
      <w:pPr>
        <w:spacing w:line="276" w:lineRule="auto"/>
        <w:ind w:firstLine="360"/>
        <w:jc w:val="both"/>
        <w:rPr>
          <w:rFonts w:cstheme="minorHAnsi"/>
          <w:kern w:val="0"/>
          <w14:ligatures w14:val="none"/>
        </w:rPr>
      </w:pPr>
      <w:r w:rsidRPr="0067357C">
        <w:rPr>
          <w:rFonts w:cstheme="minorHAnsi"/>
          <w:kern w:val="0"/>
          <w14:ligatures w14:val="none"/>
        </w:rPr>
        <w:t>Ponadto, przypisując w załączniku Formularz 4: Plan wykorzystania budżetu LSR, ogólne kwoty kontraktacji do poszczególnych lat realizacji LSR, kierowano się doświadczeniami z lat ubiegłych, z których wynikało iż średni czas na ocenę złożonych wniosków wraz z czasem potrzebnym LGD na dokonanie wyboru projektów to około 6 miesięcy. Jeśli okaże się że przyjęte terminy są dłuższe konieczna będzie aktualizacja P</w:t>
      </w:r>
      <w:r w:rsidR="0020003E">
        <w:rPr>
          <w:rFonts w:cstheme="minorHAnsi"/>
          <w:kern w:val="0"/>
          <w14:ligatures w14:val="none"/>
        </w:rPr>
        <w:t xml:space="preserve">lan wykorzystania budżetu oraz </w:t>
      </w:r>
      <w:r w:rsidRPr="0067357C">
        <w:rPr>
          <w:rFonts w:cstheme="minorHAnsi"/>
          <w:kern w:val="0"/>
          <w14:ligatures w14:val="none"/>
        </w:rPr>
        <w:t>w następstwie tej aktualizacji również Planu działania.</w:t>
      </w:r>
    </w:p>
    <w:p w14:paraId="2E6B8507" w14:textId="77777777" w:rsidR="008D2139" w:rsidRPr="0067357C" w:rsidRDefault="008D2139">
      <w:pPr>
        <w:rPr>
          <w:rFonts w:ascii="Times New Roman" w:hAnsi="Times New Roman" w:cs="Times New Roman"/>
        </w:rPr>
      </w:pPr>
    </w:p>
    <w:p w14:paraId="448E9783" w14:textId="14FC95F2" w:rsidR="001B22BD" w:rsidRPr="0067357C" w:rsidRDefault="001B22BD" w:rsidP="001B22BD">
      <w:pPr>
        <w:spacing w:line="276" w:lineRule="auto"/>
        <w:ind w:firstLine="360"/>
        <w:jc w:val="both"/>
        <w:rPr>
          <w:rFonts w:cstheme="minorHAnsi"/>
          <w:kern w:val="0"/>
          <w14:ligatures w14:val="none"/>
        </w:rPr>
      </w:pPr>
      <w:r w:rsidRPr="00F16251">
        <w:rPr>
          <w:rFonts w:cstheme="minorHAnsi"/>
          <w:kern w:val="0"/>
          <w14:ligatures w14:val="none"/>
        </w:rPr>
        <w:t>W załączniku nr Formularz 1: Cele i przedsięwzięcia w kolumnie sposób realizacji (konkurs, projekt grantowy, operacja własna,</w:t>
      </w:r>
      <w:r w:rsidR="002308F2" w:rsidRPr="00F16251">
        <w:rPr>
          <w:rFonts w:cstheme="minorHAnsi"/>
          <w:kern w:val="0"/>
          <w14:ligatures w14:val="none"/>
        </w:rPr>
        <w:t xml:space="preserve"> </w:t>
      </w:r>
      <w:r w:rsidRPr="00F16251">
        <w:rPr>
          <w:rFonts w:cstheme="minorHAnsi"/>
          <w:kern w:val="0"/>
          <w14:ligatures w14:val="none"/>
        </w:rPr>
        <w:t>animacja itp.) przypisane zostały wybrane metody aktywizujące lokalna społeczność.</w:t>
      </w:r>
      <w:r w:rsidRPr="0067357C">
        <w:rPr>
          <w:rFonts w:cstheme="minorHAnsi"/>
          <w:kern w:val="0"/>
          <w14:ligatures w14:val="none"/>
        </w:rPr>
        <w:t xml:space="preserve"> </w:t>
      </w:r>
    </w:p>
    <w:bookmarkEnd w:id="106"/>
    <w:p w14:paraId="409001DA" w14:textId="77777777" w:rsidR="001B22BD" w:rsidRPr="00577463" w:rsidRDefault="001B22BD" w:rsidP="001B22BD">
      <w:pPr>
        <w:spacing w:line="276" w:lineRule="auto"/>
        <w:ind w:firstLine="360"/>
        <w:jc w:val="both"/>
        <w:rPr>
          <w:rFonts w:cstheme="minorHAnsi"/>
          <w:kern w:val="0"/>
          <w14:ligatures w14:val="none"/>
        </w:rPr>
      </w:pPr>
    </w:p>
    <w:p w14:paraId="2EFF1983" w14:textId="77777777" w:rsidR="00BD17DA" w:rsidRDefault="00BD17DA">
      <w:pPr>
        <w:rPr>
          <w:rFonts w:eastAsiaTheme="majorEastAsia" w:cstheme="minorHAnsi"/>
          <w:b/>
          <w:bCs/>
          <w:color w:val="2F5496" w:themeColor="accent1" w:themeShade="BF"/>
        </w:rPr>
      </w:pPr>
      <w:r>
        <w:rPr>
          <w:rFonts w:cstheme="minorHAnsi"/>
          <w:b/>
          <w:bCs/>
        </w:rPr>
        <w:br w:type="page"/>
      </w:r>
    </w:p>
    <w:p w14:paraId="3A284E63" w14:textId="25F47A28" w:rsidR="00E924BA" w:rsidRPr="00BD17DA" w:rsidRDefault="00E924BA" w:rsidP="00A26C26">
      <w:pPr>
        <w:pStyle w:val="Nagwek1"/>
        <w:spacing w:before="0" w:line="276" w:lineRule="auto"/>
        <w:rPr>
          <w:rFonts w:asciiTheme="minorHAnsi" w:hAnsiTheme="minorHAnsi" w:cstheme="minorHAnsi"/>
          <w:b/>
          <w:bCs/>
          <w:sz w:val="22"/>
          <w:szCs w:val="22"/>
        </w:rPr>
      </w:pPr>
      <w:bookmarkStart w:id="107" w:name="_Toc136944431"/>
      <w:r w:rsidRPr="00BD17DA">
        <w:rPr>
          <w:rFonts w:asciiTheme="minorHAnsi" w:hAnsiTheme="minorHAnsi" w:cstheme="minorHAnsi"/>
          <w:b/>
          <w:bCs/>
          <w:sz w:val="22"/>
          <w:szCs w:val="22"/>
        </w:rPr>
        <w:lastRenderedPageBreak/>
        <w:t>ROZDZIAŁ</w:t>
      </w:r>
      <w:r w:rsidR="003B50ED" w:rsidRPr="00BD17DA">
        <w:rPr>
          <w:rFonts w:asciiTheme="minorHAnsi" w:hAnsiTheme="minorHAnsi" w:cstheme="minorHAnsi"/>
          <w:b/>
          <w:bCs/>
          <w:sz w:val="22"/>
          <w:szCs w:val="22"/>
        </w:rPr>
        <w:t xml:space="preserve"> </w:t>
      </w:r>
      <w:r w:rsidRPr="00BD17DA">
        <w:rPr>
          <w:rFonts w:asciiTheme="minorHAnsi" w:hAnsiTheme="minorHAnsi" w:cstheme="minorHAnsi"/>
          <w:b/>
          <w:bCs/>
          <w:sz w:val="22"/>
          <w:szCs w:val="22"/>
        </w:rPr>
        <w:t>IX</w:t>
      </w:r>
      <w:r w:rsidR="003B50ED" w:rsidRPr="00BD17DA">
        <w:rPr>
          <w:rFonts w:asciiTheme="minorHAnsi" w:hAnsiTheme="minorHAnsi" w:cstheme="minorHAnsi"/>
          <w:b/>
          <w:bCs/>
          <w:sz w:val="22"/>
          <w:szCs w:val="22"/>
        </w:rPr>
        <w:t xml:space="preserve"> </w:t>
      </w:r>
      <w:r w:rsidRPr="00BD17DA">
        <w:rPr>
          <w:rFonts w:asciiTheme="minorHAnsi" w:hAnsiTheme="minorHAnsi" w:cstheme="minorHAnsi"/>
          <w:b/>
          <w:bCs/>
          <w:sz w:val="22"/>
          <w:szCs w:val="22"/>
        </w:rPr>
        <w:t>–</w:t>
      </w:r>
      <w:r w:rsidR="003B50ED" w:rsidRPr="00BD17DA">
        <w:rPr>
          <w:rFonts w:asciiTheme="minorHAnsi" w:hAnsiTheme="minorHAnsi" w:cstheme="minorHAnsi"/>
          <w:b/>
          <w:bCs/>
          <w:sz w:val="22"/>
          <w:szCs w:val="22"/>
        </w:rPr>
        <w:t xml:space="preserve"> </w:t>
      </w:r>
      <w:r w:rsidRPr="00BD17DA">
        <w:rPr>
          <w:rFonts w:asciiTheme="minorHAnsi" w:hAnsiTheme="minorHAnsi" w:cstheme="minorHAnsi"/>
          <w:b/>
          <w:bCs/>
          <w:sz w:val="22"/>
          <w:szCs w:val="22"/>
        </w:rPr>
        <w:t>PLAN</w:t>
      </w:r>
      <w:r w:rsidR="003B50ED" w:rsidRPr="00BD17DA">
        <w:rPr>
          <w:rFonts w:asciiTheme="minorHAnsi" w:hAnsiTheme="minorHAnsi" w:cstheme="minorHAnsi"/>
          <w:b/>
          <w:bCs/>
          <w:sz w:val="22"/>
          <w:szCs w:val="22"/>
        </w:rPr>
        <w:t xml:space="preserve"> </w:t>
      </w:r>
      <w:r w:rsidRPr="00BD17DA">
        <w:rPr>
          <w:rFonts w:asciiTheme="minorHAnsi" w:hAnsiTheme="minorHAnsi" w:cstheme="minorHAnsi"/>
          <w:b/>
          <w:bCs/>
          <w:sz w:val="22"/>
          <w:szCs w:val="22"/>
        </w:rPr>
        <w:t>FINANSOWY</w:t>
      </w:r>
      <w:r w:rsidR="003B50ED" w:rsidRPr="00BD17DA">
        <w:rPr>
          <w:rFonts w:asciiTheme="minorHAnsi" w:hAnsiTheme="minorHAnsi" w:cstheme="minorHAnsi"/>
          <w:b/>
          <w:bCs/>
          <w:sz w:val="22"/>
          <w:szCs w:val="22"/>
        </w:rPr>
        <w:t xml:space="preserve"> </w:t>
      </w:r>
      <w:r w:rsidRPr="00BD17DA">
        <w:rPr>
          <w:rFonts w:asciiTheme="minorHAnsi" w:hAnsiTheme="minorHAnsi" w:cstheme="minorHAnsi"/>
          <w:b/>
          <w:bCs/>
          <w:sz w:val="22"/>
          <w:szCs w:val="22"/>
        </w:rPr>
        <w:t>LSR</w:t>
      </w:r>
      <w:bookmarkEnd w:id="107"/>
    </w:p>
    <w:p w14:paraId="5A5855DA" w14:textId="06C22C4E" w:rsidR="0003565E" w:rsidRPr="00577463" w:rsidRDefault="0003565E" w:rsidP="0003565E">
      <w:pPr>
        <w:spacing w:line="276" w:lineRule="auto"/>
        <w:ind w:firstLine="360"/>
        <w:jc w:val="both"/>
        <w:rPr>
          <w:rFonts w:cstheme="minorHAnsi"/>
          <w:kern w:val="0"/>
          <w14:ligatures w14:val="none"/>
        </w:rPr>
      </w:pPr>
      <w:r w:rsidRPr="00577463">
        <w:rPr>
          <w:rFonts w:cstheme="minorHAnsi"/>
          <w:kern w:val="0"/>
          <w14:ligatures w14:val="none"/>
        </w:rPr>
        <w:t xml:space="preserve">W województwie wielkopolskim LSR będzie realizowana w ramach formuły wielofunduszowej RLKS. Głównym źródłem finansowania budżetu LSR będzie Europejski Fundusz Rolny na rzecz Rozwoju Obszarów Wiejskich, </w:t>
      </w:r>
      <w:r w:rsidR="00FA06CE">
        <w:rPr>
          <w:rFonts w:cstheme="minorHAnsi"/>
          <w:kern w:val="0"/>
          <w14:ligatures w14:val="none"/>
        </w:rPr>
        <w:t xml:space="preserve">                         </w:t>
      </w:r>
      <w:r w:rsidRPr="00577463">
        <w:rPr>
          <w:rFonts w:cstheme="minorHAnsi"/>
          <w:kern w:val="0"/>
          <w14:ligatures w14:val="none"/>
        </w:rPr>
        <w:t>w ramach PS dla WPR na lata 2023-2027. Ponadto, projekty będą równie</w:t>
      </w:r>
      <w:r w:rsidR="00E464ED" w:rsidRPr="00577463">
        <w:rPr>
          <w:rFonts w:cstheme="minorHAnsi"/>
          <w:kern w:val="0"/>
          <w14:ligatures w14:val="none"/>
        </w:rPr>
        <w:t>ż realizowane ze wsparciem EFRR</w:t>
      </w:r>
      <w:r w:rsidRPr="00577463">
        <w:rPr>
          <w:rFonts w:cstheme="minorHAnsi"/>
          <w:kern w:val="0"/>
          <w14:ligatures w14:val="none"/>
        </w:rPr>
        <w:t xml:space="preserve"> oraz </w:t>
      </w:r>
      <w:r w:rsidR="00FA06CE">
        <w:rPr>
          <w:rFonts w:cstheme="minorHAnsi"/>
          <w:kern w:val="0"/>
          <w14:ligatures w14:val="none"/>
        </w:rPr>
        <w:t xml:space="preserve">                  </w:t>
      </w:r>
      <w:r w:rsidRPr="00577463">
        <w:rPr>
          <w:rFonts w:cstheme="minorHAnsi"/>
          <w:kern w:val="0"/>
          <w14:ligatures w14:val="none"/>
        </w:rPr>
        <w:t>z EFS + w ramach Wsparcie w ramach Priorytet FEWP.08 Rozwój Lokalny Kierowany przez Społeczność</w:t>
      </w:r>
      <w:r w:rsidR="002308F2" w:rsidRPr="00577463">
        <w:rPr>
          <w:rFonts w:cstheme="minorHAnsi"/>
          <w:kern w:val="0"/>
          <w14:ligatures w14:val="none"/>
        </w:rPr>
        <w:t xml:space="preserve"> </w:t>
      </w:r>
      <w:r w:rsidRPr="00577463">
        <w:rPr>
          <w:rFonts w:cstheme="minorHAnsi"/>
          <w:kern w:val="0"/>
          <w14:ligatures w14:val="none"/>
        </w:rPr>
        <w:t>(EFRR)</w:t>
      </w:r>
      <w:r w:rsidR="00FA06CE">
        <w:rPr>
          <w:rFonts w:cstheme="minorHAnsi"/>
          <w:kern w:val="0"/>
          <w14:ligatures w14:val="none"/>
        </w:rPr>
        <w:t xml:space="preserve">                        </w:t>
      </w:r>
      <w:r w:rsidRPr="00577463">
        <w:rPr>
          <w:rFonts w:cstheme="minorHAnsi"/>
          <w:kern w:val="0"/>
          <w14:ligatures w14:val="none"/>
        </w:rPr>
        <w:t xml:space="preserve"> i Priorytet FEWP.09 Rozwój Lokalny Kierowany przez Społeczność (EFS+) w programie regionalnym Fundusze Europejskie dla Wielkopolski 2021-2027. </w:t>
      </w:r>
    </w:p>
    <w:p w14:paraId="09E27C24" w14:textId="5B9504E5" w:rsidR="0003565E" w:rsidRPr="00577463" w:rsidRDefault="0003565E" w:rsidP="0003565E">
      <w:pPr>
        <w:spacing w:line="276" w:lineRule="auto"/>
        <w:ind w:firstLine="360"/>
        <w:jc w:val="both"/>
        <w:rPr>
          <w:rFonts w:cstheme="minorHAnsi"/>
          <w:kern w:val="0"/>
          <w14:ligatures w14:val="none"/>
        </w:rPr>
      </w:pPr>
      <w:r w:rsidRPr="00577463">
        <w:rPr>
          <w:rFonts w:cstheme="minorHAnsi"/>
          <w:kern w:val="0"/>
          <w14:ligatures w14:val="none"/>
        </w:rPr>
        <w:t>Wielkość środków na realizację LSR został</w:t>
      </w:r>
      <w:r w:rsidR="00E464ED" w:rsidRPr="00577463">
        <w:rPr>
          <w:rFonts w:cstheme="minorHAnsi"/>
          <w:kern w:val="0"/>
          <w14:ligatures w14:val="none"/>
        </w:rPr>
        <w:t>a wyznaczona</w:t>
      </w:r>
      <w:r w:rsidRPr="00577463">
        <w:rPr>
          <w:rFonts w:cstheme="minorHAnsi"/>
          <w:kern w:val="0"/>
          <w14:ligatures w14:val="none"/>
        </w:rPr>
        <w:t xml:space="preserve"> zgodnie z liczbą ludności wg stanu na 31.12.2020 r.</w:t>
      </w:r>
    </w:p>
    <w:p w14:paraId="50C132CA" w14:textId="77777777" w:rsidR="0003565E" w:rsidRPr="00577463" w:rsidRDefault="0003565E" w:rsidP="0003565E">
      <w:pPr>
        <w:spacing w:line="276" w:lineRule="auto"/>
        <w:jc w:val="both"/>
        <w:rPr>
          <w:rFonts w:cstheme="minorHAnsi"/>
          <w:kern w:val="0"/>
          <w14:ligatures w14:val="none"/>
        </w:rPr>
      </w:pPr>
      <w:r w:rsidRPr="00577463">
        <w:rPr>
          <w:rFonts w:cstheme="minorHAnsi"/>
          <w:kern w:val="0"/>
          <w14:ligatures w14:val="none"/>
        </w:rPr>
        <w:t xml:space="preserve">Źródła finansowania LSR na lata 2023 – 2027: </w:t>
      </w:r>
    </w:p>
    <w:p w14:paraId="1EC654B0" w14:textId="7B997B08" w:rsidR="0003565E" w:rsidRPr="00577463" w:rsidRDefault="0003565E" w:rsidP="0003565E">
      <w:pPr>
        <w:spacing w:line="276" w:lineRule="auto"/>
        <w:jc w:val="both"/>
        <w:rPr>
          <w:rFonts w:cstheme="minorHAnsi"/>
          <w:kern w:val="0"/>
          <w14:ligatures w14:val="none"/>
        </w:rPr>
      </w:pPr>
      <w:r w:rsidRPr="00577463">
        <w:rPr>
          <w:rFonts w:cstheme="minorHAnsi"/>
          <w:kern w:val="0"/>
          <w14:ligatures w14:val="none"/>
        </w:rPr>
        <w:t>- środki EFRROW,</w:t>
      </w:r>
    </w:p>
    <w:p w14:paraId="39ABAD98" w14:textId="4E153F69" w:rsidR="0003565E" w:rsidRPr="00577463" w:rsidRDefault="0003565E" w:rsidP="0003565E">
      <w:pPr>
        <w:spacing w:line="276" w:lineRule="auto"/>
        <w:jc w:val="both"/>
        <w:rPr>
          <w:rFonts w:cstheme="minorHAnsi"/>
          <w:kern w:val="0"/>
          <w14:ligatures w14:val="none"/>
        </w:rPr>
      </w:pPr>
      <w:r w:rsidRPr="00577463">
        <w:rPr>
          <w:rFonts w:cstheme="minorHAnsi"/>
          <w:kern w:val="0"/>
          <w14:ligatures w14:val="none"/>
        </w:rPr>
        <w:t>- środki EFS +,</w:t>
      </w:r>
    </w:p>
    <w:p w14:paraId="6C3DBA29" w14:textId="456D33D2" w:rsidR="0003565E" w:rsidRPr="00577463" w:rsidRDefault="0003565E" w:rsidP="0003565E">
      <w:pPr>
        <w:spacing w:line="276" w:lineRule="auto"/>
        <w:jc w:val="both"/>
        <w:rPr>
          <w:rFonts w:cstheme="minorHAnsi"/>
          <w:kern w:val="0"/>
          <w14:ligatures w14:val="none"/>
        </w:rPr>
      </w:pPr>
      <w:r w:rsidRPr="00577463">
        <w:rPr>
          <w:rFonts w:cstheme="minorHAnsi"/>
          <w:kern w:val="0"/>
          <w14:ligatures w14:val="none"/>
        </w:rPr>
        <w:t>- środki EFRR,</w:t>
      </w:r>
    </w:p>
    <w:p w14:paraId="0A2F68E7" w14:textId="6417E396" w:rsidR="0003565E" w:rsidRPr="00577463" w:rsidRDefault="0003565E" w:rsidP="0003565E">
      <w:pPr>
        <w:spacing w:line="276" w:lineRule="auto"/>
        <w:jc w:val="both"/>
        <w:rPr>
          <w:rFonts w:cstheme="minorHAnsi"/>
          <w:kern w:val="0"/>
          <w14:ligatures w14:val="none"/>
        </w:rPr>
      </w:pPr>
      <w:r w:rsidRPr="00577463">
        <w:rPr>
          <w:rFonts w:cstheme="minorHAnsi"/>
          <w:kern w:val="0"/>
          <w14:ligatures w14:val="none"/>
        </w:rPr>
        <w:t>- środki budżetu państwa,</w:t>
      </w:r>
    </w:p>
    <w:p w14:paraId="57D820BC" w14:textId="205B51A5" w:rsidR="0003565E" w:rsidRPr="00577463" w:rsidRDefault="0003565E" w:rsidP="0003565E">
      <w:pPr>
        <w:spacing w:line="276" w:lineRule="auto"/>
        <w:jc w:val="both"/>
        <w:rPr>
          <w:rFonts w:cstheme="minorHAnsi"/>
          <w:kern w:val="0"/>
          <w14:ligatures w14:val="none"/>
        </w:rPr>
      </w:pPr>
      <w:r w:rsidRPr="00577463">
        <w:rPr>
          <w:rFonts w:cstheme="minorHAnsi"/>
          <w:kern w:val="0"/>
          <w14:ligatures w14:val="none"/>
        </w:rPr>
        <w:t>- wkład własny jednostek sektora finansów publicznych będący wkładem krajowych środków publicznych (wykazywany PS dla WPR na lata 2023-2027).</w:t>
      </w:r>
    </w:p>
    <w:p w14:paraId="2266CF1C" w14:textId="77777777" w:rsidR="00445531" w:rsidRDefault="0003565E" w:rsidP="0003565E">
      <w:pPr>
        <w:spacing w:line="276" w:lineRule="auto"/>
        <w:ind w:firstLine="360"/>
        <w:jc w:val="both"/>
        <w:rPr>
          <w:rFonts w:cstheme="minorHAnsi"/>
          <w:kern w:val="0"/>
          <w14:ligatures w14:val="none"/>
        </w:rPr>
      </w:pPr>
      <w:r w:rsidRPr="0003565E">
        <w:rPr>
          <w:rFonts w:cstheme="minorHAnsi"/>
          <w:kern w:val="0"/>
          <w14:ligatures w14:val="none"/>
        </w:rPr>
        <w:t xml:space="preserve">Planowana wysokość środków na komponent Wdrażanie LSR i Zarządzanie LSR jest zgodna z limitami określonymi w ramach Konkursu na wybór LSR. Wysokość dostępnego budżetu została odzwierciedlona </w:t>
      </w:r>
      <w:r w:rsidR="00445531">
        <w:rPr>
          <w:rFonts w:cstheme="minorHAnsi"/>
          <w:kern w:val="0"/>
          <w14:ligatures w14:val="none"/>
        </w:rPr>
        <w:br/>
      </w:r>
      <w:r w:rsidRPr="0003565E">
        <w:rPr>
          <w:rFonts w:cstheme="minorHAnsi"/>
          <w:kern w:val="0"/>
          <w14:ligatures w14:val="none"/>
        </w:rPr>
        <w:t xml:space="preserve">w załączniku: Formularz 3: Budżet LSR. </w:t>
      </w:r>
    </w:p>
    <w:p w14:paraId="73041127" w14:textId="77777777" w:rsidR="00445531" w:rsidRDefault="0003565E" w:rsidP="0003565E">
      <w:pPr>
        <w:spacing w:line="276" w:lineRule="auto"/>
        <w:ind w:firstLine="360"/>
        <w:jc w:val="both"/>
        <w:rPr>
          <w:rFonts w:cstheme="minorHAnsi"/>
          <w:kern w:val="0"/>
          <w14:ligatures w14:val="none"/>
        </w:rPr>
      </w:pPr>
      <w:r w:rsidRPr="0003565E">
        <w:rPr>
          <w:rFonts w:cstheme="minorHAnsi"/>
          <w:kern w:val="0"/>
          <w14:ligatures w14:val="none"/>
        </w:rPr>
        <w:t>Liczba ludności na obszarze objętym LSR wynosi 55</w:t>
      </w:r>
      <w:r w:rsidR="00445531">
        <w:rPr>
          <w:rFonts w:cstheme="minorHAnsi"/>
          <w:kern w:val="0"/>
          <w14:ligatures w14:val="none"/>
        </w:rPr>
        <w:t> </w:t>
      </w:r>
      <w:r w:rsidRPr="0003565E">
        <w:rPr>
          <w:rFonts w:cstheme="minorHAnsi"/>
          <w:kern w:val="0"/>
          <w14:ligatures w14:val="none"/>
        </w:rPr>
        <w:t>246</w:t>
      </w:r>
      <w:r w:rsidR="00445531">
        <w:rPr>
          <w:rFonts w:cstheme="minorHAnsi"/>
          <w:kern w:val="0"/>
          <w14:ligatures w14:val="none"/>
        </w:rPr>
        <w:t xml:space="preserve"> </w:t>
      </w:r>
      <w:r w:rsidRPr="0003565E">
        <w:rPr>
          <w:rFonts w:cstheme="minorHAnsi"/>
          <w:kern w:val="0"/>
          <w14:ligatures w14:val="none"/>
        </w:rPr>
        <w:t xml:space="preserve">osób (wg stanu na 31.12.2020 r.), co pozwala aplikować </w:t>
      </w:r>
    </w:p>
    <w:p w14:paraId="7D456A2F" w14:textId="7FCAA42E" w:rsidR="00445531" w:rsidRDefault="00445531" w:rsidP="00445531">
      <w:pPr>
        <w:spacing w:line="276" w:lineRule="auto"/>
        <w:jc w:val="both"/>
        <w:rPr>
          <w:rFonts w:cstheme="minorHAnsi"/>
          <w:kern w:val="0"/>
          <w14:ligatures w14:val="none"/>
        </w:rPr>
      </w:pPr>
      <w:r>
        <w:rPr>
          <w:rFonts w:cstheme="minorHAnsi"/>
          <w:kern w:val="0"/>
          <w14:ligatures w14:val="none"/>
        </w:rPr>
        <w:t xml:space="preserve">- </w:t>
      </w:r>
      <w:r w:rsidR="0003565E" w:rsidRPr="0003565E">
        <w:rPr>
          <w:rFonts w:cstheme="minorHAnsi"/>
          <w:kern w:val="0"/>
          <w14:ligatures w14:val="none"/>
        </w:rPr>
        <w:t xml:space="preserve">w ramach PS dla WPR na lata 2023-2027 o środki w wysokości 1 750 000 euro na Wdrażanie LSR oraz 412 500 euro na Zarządzanie LSR. </w:t>
      </w:r>
    </w:p>
    <w:p w14:paraId="2125EE04" w14:textId="59FD0540" w:rsidR="00445531" w:rsidRPr="00C17661" w:rsidRDefault="00445531" w:rsidP="00445531">
      <w:pPr>
        <w:spacing w:line="276" w:lineRule="auto"/>
        <w:jc w:val="both"/>
        <w:rPr>
          <w:rFonts w:cstheme="minorHAnsi"/>
          <w:kern w:val="0"/>
          <w14:ligatures w14:val="none"/>
        </w:rPr>
      </w:pPr>
      <w:r>
        <w:rPr>
          <w:rFonts w:cstheme="minorHAnsi"/>
          <w:kern w:val="0"/>
          <w14:ligatures w14:val="none"/>
        </w:rPr>
        <w:t xml:space="preserve">- </w:t>
      </w:r>
      <w:r w:rsidR="0003565E" w:rsidRPr="0003565E">
        <w:rPr>
          <w:rFonts w:cstheme="minorHAnsi"/>
          <w:kern w:val="0"/>
          <w14:ligatures w14:val="none"/>
        </w:rPr>
        <w:t xml:space="preserve">w ramach EFS+ </w:t>
      </w:r>
      <w:r w:rsidR="00255B73">
        <w:rPr>
          <w:rFonts w:cstheme="minorHAnsi"/>
          <w:kern w:val="0"/>
          <w14:ligatures w14:val="none"/>
        </w:rPr>
        <w:t xml:space="preserve">o środki w wysokości </w:t>
      </w:r>
      <w:r w:rsidR="00255B73" w:rsidRPr="000B514D">
        <w:rPr>
          <w:rFonts w:cstheme="minorHAnsi"/>
          <w:kern w:val="0"/>
          <w14:ligatures w14:val="none"/>
        </w:rPr>
        <w:t>673</w:t>
      </w:r>
      <w:r w:rsidRPr="000B514D">
        <w:rPr>
          <w:rFonts w:cstheme="minorHAnsi"/>
          <w:kern w:val="0"/>
          <w14:ligatures w14:val="none"/>
        </w:rPr>
        <w:t xml:space="preserve"> 000 euro na Wdrażanie LSR oraz </w:t>
      </w:r>
      <w:r w:rsidR="00120688" w:rsidRPr="00C17661">
        <w:rPr>
          <w:rFonts w:ascii="Calibri" w:eastAsia="Times New Roman" w:hAnsi="Calibri" w:cs="Calibri"/>
          <w:kern w:val="0"/>
          <w:lang w:eastAsia="pl-PL"/>
          <w14:ligatures w14:val="none"/>
        </w:rPr>
        <w:t>158 626,10</w:t>
      </w:r>
      <w:r w:rsidRPr="00C17661">
        <w:rPr>
          <w:rFonts w:ascii="Calibri" w:eastAsia="Times New Roman" w:hAnsi="Calibri" w:cs="Calibri"/>
          <w:kern w:val="0"/>
          <w:lang w:eastAsia="pl-PL"/>
          <w14:ligatures w14:val="none"/>
        </w:rPr>
        <w:t xml:space="preserve"> </w:t>
      </w:r>
      <w:r w:rsidRPr="00C17661">
        <w:rPr>
          <w:rFonts w:cstheme="minorHAnsi"/>
          <w:kern w:val="0"/>
          <w14:ligatures w14:val="none"/>
        </w:rPr>
        <w:t>euro na Zarządzanie LSR,</w:t>
      </w:r>
    </w:p>
    <w:p w14:paraId="4EB25671" w14:textId="2D682CA7" w:rsidR="0003565E" w:rsidRPr="0003565E" w:rsidRDefault="00445531" w:rsidP="00445531">
      <w:pPr>
        <w:spacing w:line="276" w:lineRule="auto"/>
        <w:jc w:val="both"/>
        <w:rPr>
          <w:rFonts w:cstheme="minorHAnsi"/>
          <w:kern w:val="0"/>
          <w14:ligatures w14:val="none"/>
        </w:rPr>
      </w:pPr>
      <w:r w:rsidRPr="00C17661">
        <w:rPr>
          <w:rFonts w:cstheme="minorHAnsi"/>
          <w:kern w:val="0"/>
          <w14:ligatures w14:val="none"/>
        </w:rPr>
        <w:t xml:space="preserve">- w ramach </w:t>
      </w:r>
      <w:r w:rsidR="0003565E" w:rsidRPr="00C17661">
        <w:rPr>
          <w:rFonts w:cstheme="minorHAnsi"/>
          <w:kern w:val="0"/>
          <w14:ligatures w14:val="none"/>
        </w:rPr>
        <w:t>EFRR</w:t>
      </w:r>
      <w:r w:rsidRPr="00C17661">
        <w:rPr>
          <w:rFonts w:cstheme="minorHAnsi"/>
          <w:kern w:val="0"/>
          <w14:ligatures w14:val="none"/>
        </w:rPr>
        <w:t xml:space="preserve"> </w:t>
      </w:r>
      <w:r w:rsidR="00255B73" w:rsidRPr="00C17661">
        <w:rPr>
          <w:rFonts w:cstheme="minorHAnsi"/>
          <w:kern w:val="0"/>
          <w14:ligatures w14:val="none"/>
        </w:rPr>
        <w:t xml:space="preserve">o środki w wysokości 448 </w:t>
      </w:r>
      <w:r w:rsidRPr="00C17661">
        <w:rPr>
          <w:rFonts w:cstheme="minorHAnsi"/>
          <w:kern w:val="0"/>
          <w14:ligatures w14:val="none"/>
        </w:rPr>
        <w:t xml:space="preserve">000 euro na Wdrażanie LSR oraz </w:t>
      </w:r>
      <w:r w:rsidR="00120688" w:rsidRPr="00C17661">
        <w:rPr>
          <w:rFonts w:ascii="Calibri" w:eastAsia="Times New Roman" w:hAnsi="Calibri" w:cs="Calibri"/>
          <w:kern w:val="0"/>
          <w:lang w:eastAsia="pl-PL"/>
          <w14:ligatures w14:val="none"/>
        </w:rPr>
        <w:t>105 593,60</w:t>
      </w:r>
      <w:r w:rsidRPr="00C17661">
        <w:rPr>
          <w:rFonts w:ascii="Calibri" w:eastAsia="Times New Roman" w:hAnsi="Calibri" w:cs="Calibri"/>
          <w:kern w:val="0"/>
          <w:lang w:eastAsia="pl-PL"/>
          <w14:ligatures w14:val="none"/>
        </w:rPr>
        <w:t xml:space="preserve"> </w:t>
      </w:r>
      <w:r w:rsidRPr="0003565E">
        <w:rPr>
          <w:rFonts w:cstheme="minorHAnsi"/>
          <w:kern w:val="0"/>
          <w14:ligatures w14:val="none"/>
        </w:rPr>
        <w:t>euro na Zarządzanie LSR</w:t>
      </w:r>
      <w:r>
        <w:rPr>
          <w:rFonts w:cstheme="minorHAnsi"/>
          <w:kern w:val="0"/>
          <w14:ligatures w14:val="none"/>
        </w:rPr>
        <w:t>.</w:t>
      </w:r>
    </w:p>
    <w:p w14:paraId="2AAB1F78" w14:textId="77777777" w:rsidR="0003565E" w:rsidRPr="0003565E" w:rsidRDefault="0003565E" w:rsidP="0003565E">
      <w:pPr>
        <w:spacing w:line="276" w:lineRule="auto"/>
        <w:ind w:firstLine="360"/>
        <w:jc w:val="both"/>
        <w:rPr>
          <w:rFonts w:cstheme="minorHAnsi"/>
          <w:kern w:val="0"/>
          <w14:ligatures w14:val="none"/>
        </w:rPr>
      </w:pPr>
      <w:r w:rsidRPr="0003565E">
        <w:rPr>
          <w:rFonts w:cstheme="minorHAnsi"/>
          <w:kern w:val="0"/>
          <w14:ligatures w14:val="none"/>
        </w:rPr>
        <w:t xml:space="preserve">Kwota dostępnych środków obejmuje wkład ze środków unijnych, jak i wymagany krajowy wkład środków publicznych. </w:t>
      </w:r>
    </w:p>
    <w:p w14:paraId="01E30016" w14:textId="77777777" w:rsidR="0003565E" w:rsidRPr="0003565E" w:rsidRDefault="0003565E" w:rsidP="0003565E">
      <w:pPr>
        <w:spacing w:line="276" w:lineRule="auto"/>
        <w:ind w:firstLine="360"/>
        <w:jc w:val="both"/>
        <w:rPr>
          <w:rFonts w:cstheme="minorHAnsi"/>
          <w:kern w:val="0"/>
          <w14:ligatures w14:val="none"/>
        </w:rPr>
      </w:pPr>
      <w:r w:rsidRPr="0003565E">
        <w:rPr>
          <w:rFonts w:cstheme="minorHAnsi"/>
          <w:kern w:val="0"/>
          <w14:ligatures w14:val="none"/>
        </w:rPr>
        <w:t>Szczegółowy Plan wykorzystania budżetu LSR został zaplanowany w załączniku Formularz 4: Plan wykorzystania budżetu LSR.</w:t>
      </w:r>
    </w:p>
    <w:p w14:paraId="60994090" w14:textId="792E31ED" w:rsidR="0003565E" w:rsidRPr="0003565E" w:rsidRDefault="0003565E" w:rsidP="0003565E">
      <w:pPr>
        <w:spacing w:line="276" w:lineRule="auto"/>
        <w:ind w:firstLine="360"/>
        <w:jc w:val="both"/>
        <w:rPr>
          <w:rFonts w:cstheme="minorHAnsi"/>
          <w:kern w:val="0"/>
          <w14:ligatures w14:val="none"/>
        </w:rPr>
      </w:pPr>
      <w:r w:rsidRPr="0003565E">
        <w:rPr>
          <w:rFonts w:cstheme="minorHAnsi"/>
          <w:kern w:val="0"/>
          <w14:ligatures w14:val="none"/>
        </w:rPr>
        <w:t>W Formularzu 2: Plan działania przedstawione zostały planowane do realizacji przedsięwzięcia ze wskazaniem Programu, w ramach którego te przedsięwzięcia będą realizowane, a Formularzu 4: Plan wykorzystania budżetu LSR – przedstawiono harmonogram realizacji wszystkich zaplanowanych przedsięwzięć w poszczególnych latach.</w:t>
      </w:r>
    </w:p>
    <w:p w14:paraId="724EB2F2" w14:textId="7C3E4010" w:rsidR="0003565E" w:rsidRPr="0003565E" w:rsidRDefault="0003565E" w:rsidP="0003565E">
      <w:pPr>
        <w:spacing w:line="276" w:lineRule="auto"/>
        <w:ind w:firstLine="360"/>
        <w:jc w:val="both"/>
        <w:rPr>
          <w:rFonts w:cstheme="minorHAnsi"/>
          <w:kern w:val="0"/>
          <w14:ligatures w14:val="none"/>
        </w:rPr>
      </w:pPr>
      <w:r w:rsidRPr="0003565E">
        <w:rPr>
          <w:rFonts w:cstheme="minorHAnsi"/>
          <w:kern w:val="0"/>
          <w14:ligatures w14:val="none"/>
        </w:rPr>
        <w:t xml:space="preserve">Wsparcie zostanie skierowane do organizacji pozarządowych, jednostek sektora finansów publicznych, mikro </w:t>
      </w:r>
      <w:r w:rsidR="00445531">
        <w:rPr>
          <w:rFonts w:cstheme="minorHAnsi"/>
          <w:kern w:val="0"/>
          <w14:ligatures w14:val="none"/>
        </w:rPr>
        <w:br/>
      </w:r>
      <w:r w:rsidRPr="0003565E">
        <w:rPr>
          <w:rFonts w:cstheme="minorHAnsi"/>
          <w:kern w:val="0"/>
          <w14:ligatures w14:val="none"/>
        </w:rPr>
        <w:t>i małych przedsiębiorców, rolników z małych gospodarstw oraz mieszkańców obszarów wiejskich. Przyjęte założenia zapewniają realizację długookresowych celów LSR. Wpłynie to na wzrost dostępności oferty usług komercyjnych na obszarze LSR oraz poprawę warunków życia poprzez zwiększenie dostępu do niekomercyjnej infrastruktury i usług, kształtowanie świadomości społeczno-obywatelskiej oraz zwiększenie włączenia mieszkańców, również poprzez wykorzystanie innowacyjnych narzędzi.</w:t>
      </w:r>
    </w:p>
    <w:p w14:paraId="5033D790" w14:textId="77777777" w:rsidR="0003565E" w:rsidRPr="005B47B3" w:rsidRDefault="0003565E" w:rsidP="0003565E">
      <w:pPr>
        <w:spacing w:line="276" w:lineRule="auto"/>
        <w:ind w:firstLine="360"/>
        <w:jc w:val="both"/>
        <w:rPr>
          <w:rFonts w:cstheme="minorHAnsi"/>
          <w:kern w:val="0"/>
          <w14:ligatures w14:val="none"/>
        </w:rPr>
      </w:pPr>
      <w:r w:rsidRPr="0003565E">
        <w:rPr>
          <w:rFonts w:cstheme="minorHAnsi"/>
          <w:kern w:val="0"/>
          <w14:ligatures w14:val="none"/>
        </w:rPr>
        <w:t xml:space="preserve">Założeniem planowanych celów i przedsięwzięć jest budowanie lokalnej tożsamości bazującej na aktywizacji społecznej, przy wykorzystaniu lokalnych zasobów w sposób zapewniający najlepsze zaspokojenie potrzeb społeczności wiejskich, w tym poprzez </w:t>
      </w:r>
      <w:r w:rsidRPr="005B47B3">
        <w:rPr>
          <w:rFonts w:cstheme="minorHAnsi"/>
          <w:kern w:val="0"/>
          <w14:ligatures w14:val="none"/>
        </w:rPr>
        <w:t xml:space="preserve">wykorzystanie wiedzy, innowacji i rozwiązań cyfrowych. </w:t>
      </w:r>
    </w:p>
    <w:p w14:paraId="3B03E715" w14:textId="0DA4924C" w:rsidR="0003565E" w:rsidRPr="0003565E" w:rsidRDefault="0003565E" w:rsidP="0003565E">
      <w:pPr>
        <w:spacing w:line="276" w:lineRule="auto"/>
        <w:ind w:firstLine="360"/>
        <w:jc w:val="both"/>
        <w:rPr>
          <w:rFonts w:cstheme="minorHAnsi"/>
          <w:kern w:val="0"/>
          <w14:ligatures w14:val="none"/>
        </w:rPr>
      </w:pPr>
      <w:r w:rsidRPr="005B47B3">
        <w:rPr>
          <w:rFonts w:cstheme="minorHAnsi"/>
          <w:kern w:val="0"/>
          <w14:ligatures w14:val="none"/>
        </w:rPr>
        <w:t xml:space="preserve">Zaproponowane w ramach LSR cele Poprawa jakości życia na obszarze </w:t>
      </w:r>
      <w:r w:rsidR="00644ED0" w:rsidRPr="005B47B3">
        <w:rPr>
          <w:rFonts w:cstheme="minorHAnsi"/>
          <w:kern w:val="0"/>
          <w14:ligatures w14:val="none"/>
        </w:rPr>
        <w:t xml:space="preserve">LSR, aktywizacja i zwiększenie włączenia społecznego </w:t>
      </w:r>
      <w:r w:rsidRPr="005B47B3">
        <w:rPr>
          <w:rFonts w:cstheme="minorHAnsi"/>
          <w:kern w:val="0"/>
          <w14:ligatures w14:val="none"/>
        </w:rPr>
        <w:t xml:space="preserve">oraz Zwiększenie </w:t>
      </w:r>
      <w:r w:rsidR="00644ED0" w:rsidRPr="005B47B3">
        <w:rPr>
          <w:rFonts w:cstheme="minorHAnsi"/>
          <w:kern w:val="0"/>
          <w14:ligatures w14:val="none"/>
        </w:rPr>
        <w:t>dostępności do usług i produktów</w:t>
      </w:r>
      <w:r w:rsidR="005C61F1" w:rsidRPr="005B47B3">
        <w:rPr>
          <w:rFonts w:cstheme="minorHAnsi"/>
          <w:kern w:val="0"/>
          <w14:ligatures w14:val="none"/>
        </w:rPr>
        <w:t xml:space="preserve"> na obszarze LSR</w:t>
      </w:r>
      <w:r w:rsidRPr="005B47B3">
        <w:rPr>
          <w:rFonts w:cstheme="minorHAnsi"/>
          <w:kern w:val="0"/>
          <w14:ligatures w14:val="none"/>
        </w:rPr>
        <w:t xml:space="preserve"> zostaną wdrożone dzięki bezpośredniemu wsparciu finansowemu EFRROW</w:t>
      </w:r>
      <w:r w:rsidR="005C61F1" w:rsidRPr="005B47B3">
        <w:rPr>
          <w:rFonts w:cstheme="minorHAnsi"/>
          <w:kern w:val="0"/>
          <w14:ligatures w14:val="none"/>
        </w:rPr>
        <w:t xml:space="preserve">, EFRR i EFS+. </w:t>
      </w:r>
      <w:r w:rsidRPr="005B47B3">
        <w:rPr>
          <w:rFonts w:cstheme="minorHAnsi"/>
          <w:kern w:val="0"/>
          <w14:ligatures w14:val="none"/>
        </w:rPr>
        <w:t>Przedstawiony Plan działania jest w bezpośredni sposób powiązany z celami i przedsięwzięciami.</w:t>
      </w:r>
      <w:r w:rsidRPr="0003565E">
        <w:rPr>
          <w:rFonts w:cstheme="minorHAnsi"/>
          <w:kern w:val="0"/>
          <w14:ligatures w14:val="none"/>
        </w:rPr>
        <w:t xml:space="preserve"> </w:t>
      </w:r>
    </w:p>
    <w:p w14:paraId="54AC65D4" w14:textId="77777777" w:rsidR="00B46E98" w:rsidRDefault="00B46E98" w:rsidP="00C06A78">
      <w:pPr>
        <w:spacing w:line="276" w:lineRule="auto"/>
        <w:jc w:val="both"/>
        <w:rPr>
          <w:rFonts w:cstheme="minorHAnsi"/>
          <w:kern w:val="0"/>
          <w14:ligatures w14:val="none"/>
        </w:rPr>
      </w:pPr>
    </w:p>
    <w:p w14:paraId="5DC8ED45" w14:textId="20C0E3E7" w:rsidR="0003565E" w:rsidRPr="0003565E" w:rsidRDefault="0003565E" w:rsidP="00C06A78">
      <w:pPr>
        <w:spacing w:line="276" w:lineRule="auto"/>
        <w:jc w:val="both"/>
        <w:rPr>
          <w:rFonts w:cstheme="minorHAnsi"/>
          <w:kern w:val="0"/>
          <w14:ligatures w14:val="none"/>
        </w:rPr>
      </w:pPr>
      <w:r w:rsidRPr="00B46E98">
        <w:rPr>
          <w:rFonts w:cstheme="minorHAnsi"/>
          <w:b/>
          <w:bCs/>
          <w:kern w:val="0"/>
          <w14:ligatures w14:val="none"/>
        </w:rPr>
        <w:t>Cel 1. Poprawa jakości życia na obszarze LSR, aktywizacja i zwiększenie włączenia społecznego</w:t>
      </w:r>
      <w:r w:rsidR="00C06A78">
        <w:rPr>
          <w:rFonts w:cstheme="minorHAnsi"/>
          <w:kern w:val="0"/>
          <w14:ligatures w14:val="none"/>
        </w:rPr>
        <w:t xml:space="preserve"> z budżetem </w:t>
      </w:r>
      <w:r w:rsidR="00B46E98">
        <w:rPr>
          <w:rFonts w:cstheme="minorHAnsi"/>
          <w:kern w:val="0"/>
          <w14:ligatures w14:val="none"/>
        </w:rPr>
        <w:br/>
      </w:r>
      <w:r w:rsidR="00C06A78">
        <w:rPr>
          <w:rFonts w:cstheme="minorHAnsi"/>
          <w:kern w:val="0"/>
          <w14:ligatures w14:val="none"/>
        </w:rPr>
        <w:t xml:space="preserve">w wysokości </w:t>
      </w:r>
      <w:r w:rsidR="00704C05" w:rsidRPr="000B514D">
        <w:rPr>
          <w:rFonts w:cstheme="minorHAnsi"/>
          <w:kern w:val="0"/>
          <w14:ligatures w14:val="none"/>
        </w:rPr>
        <w:t>2 093</w:t>
      </w:r>
      <w:r w:rsidRPr="000B514D">
        <w:rPr>
          <w:rFonts w:cstheme="minorHAnsi"/>
          <w:kern w:val="0"/>
          <w14:ligatures w14:val="none"/>
        </w:rPr>
        <w:t xml:space="preserve"> 224 </w:t>
      </w:r>
      <w:r w:rsidRPr="0003565E">
        <w:rPr>
          <w:rFonts w:cstheme="minorHAnsi"/>
          <w:kern w:val="0"/>
          <w14:ligatures w14:val="none"/>
        </w:rPr>
        <w:t>euro</w:t>
      </w:r>
      <w:r w:rsidR="00C06A78">
        <w:rPr>
          <w:rFonts w:cstheme="minorHAnsi"/>
          <w:kern w:val="0"/>
          <w14:ligatures w14:val="none"/>
        </w:rPr>
        <w:t xml:space="preserve"> zostanie osiągnięty poprzez realizację następujących </w:t>
      </w:r>
      <w:r w:rsidRPr="0003565E">
        <w:rPr>
          <w:rFonts w:cstheme="minorHAnsi"/>
          <w:kern w:val="0"/>
          <w14:ligatures w14:val="none"/>
        </w:rPr>
        <w:t>przedsięwzię</w:t>
      </w:r>
      <w:r w:rsidR="00C06A78">
        <w:rPr>
          <w:rFonts w:cstheme="minorHAnsi"/>
          <w:kern w:val="0"/>
          <w14:ligatures w14:val="none"/>
        </w:rPr>
        <w:t>ć</w:t>
      </w:r>
      <w:r w:rsidRPr="0003565E">
        <w:rPr>
          <w:rFonts w:cstheme="minorHAnsi"/>
          <w:kern w:val="0"/>
          <w14:ligatures w14:val="none"/>
        </w:rPr>
        <w:t>:</w:t>
      </w:r>
    </w:p>
    <w:p w14:paraId="626E1A24" w14:textId="16FBEDA1" w:rsidR="00445531" w:rsidRDefault="00445531" w:rsidP="00445531">
      <w:pPr>
        <w:spacing w:line="276" w:lineRule="auto"/>
        <w:jc w:val="both"/>
        <w:rPr>
          <w:rFonts w:cstheme="minorHAnsi"/>
          <w:kern w:val="0"/>
          <w14:ligatures w14:val="none"/>
        </w:rPr>
      </w:pPr>
      <w:r>
        <w:rPr>
          <w:rFonts w:cstheme="minorHAnsi"/>
          <w:kern w:val="0"/>
          <w14:ligatures w14:val="none"/>
        </w:rPr>
        <w:t xml:space="preserve">- </w:t>
      </w:r>
      <w:r w:rsidR="0003565E" w:rsidRPr="0003565E">
        <w:rPr>
          <w:rFonts w:cstheme="minorHAnsi"/>
          <w:kern w:val="0"/>
          <w14:ligatures w14:val="none"/>
        </w:rPr>
        <w:t xml:space="preserve">Przedsięwzięcie 1.1. Opracowanie koncepcji inteligentnych wsi, alokacja </w:t>
      </w:r>
      <w:r w:rsidR="00C84953" w:rsidRPr="00C406F6">
        <w:rPr>
          <w:rFonts w:cstheme="minorHAnsi"/>
          <w:kern w:val="0"/>
          <w14:ligatures w14:val="none"/>
        </w:rPr>
        <w:t xml:space="preserve">11 800 </w:t>
      </w:r>
      <w:r w:rsidR="0003565E" w:rsidRPr="0003565E">
        <w:rPr>
          <w:rFonts w:cstheme="minorHAnsi"/>
          <w:kern w:val="0"/>
          <w14:ligatures w14:val="none"/>
        </w:rPr>
        <w:t xml:space="preserve">euro; </w:t>
      </w:r>
    </w:p>
    <w:p w14:paraId="26A290C4" w14:textId="61EC3E08" w:rsidR="00445531" w:rsidRDefault="00445531" w:rsidP="00445531">
      <w:pPr>
        <w:spacing w:line="276" w:lineRule="auto"/>
        <w:jc w:val="both"/>
        <w:rPr>
          <w:rFonts w:cstheme="minorHAnsi"/>
          <w:kern w:val="0"/>
          <w14:ligatures w14:val="none"/>
        </w:rPr>
      </w:pPr>
      <w:r w:rsidRPr="005B47B3">
        <w:rPr>
          <w:rFonts w:cstheme="minorHAnsi"/>
          <w:kern w:val="0"/>
          <w14:ligatures w14:val="none"/>
        </w:rPr>
        <w:lastRenderedPageBreak/>
        <w:t xml:space="preserve">- </w:t>
      </w:r>
      <w:r w:rsidR="0003565E" w:rsidRPr="005B47B3">
        <w:rPr>
          <w:rFonts w:cstheme="minorHAnsi"/>
          <w:kern w:val="0"/>
          <w14:ligatures w14:val="none"/>
        </w:rPr>
        <w:t>Przedsięwzięcie 1.2. Poprawa dostępu do małej infrastruktury publicznej, alokacja</w:t>
      </w:r>
      <w:r w:rsidR="00396A11">
        <w:rPr>
          <w:rFonts w:cstheme="minorHAnsi"/>
          <w:kern w:val="0"/>
          <w14:ligatures w14:val="none"/>
        </w:rPr>
        <w:t xml:space="preserve"> </w:t>
      </w:r>
      <w:r w:rsidR="00704C05" w:rsidRPr="000B514D">
        <w:rPr>
          <w:rFonts w:cstheme="minorHAnsi"/>
          <w:kern w:val="0"/>
          <w14:ligatures w14:val="none"/>
        </w:rPr>
        <w:t>848</w:t>
      </w:r>
      <w:r w:rsidR="00616776" w:rsidRPr="000B514D">
        <w:rPr>
          <w:rFonts w:cstheme="minorHAnsi"/>
          <w:kern w:val="0"/>
          <w14:ligatures w14:val="none"/>
        </w:rPr>
        <w:t xml:space="preserve"> 000 </w:t>
      </w:r>
      <w:r w:rsidR="0003565E" w:rsidRPr="005B47B3">
        <w:rPr>
          <w:rFonts w:cstheme="minorHAnsi"/>
          <w:kern w:val="0"/>
          <w14:ligatures w14:val="none"/>
        </w:rPr>
        <w:t>euro;</w:t>
      </w:r>
    </w:p>
    <w:p w14:paraId="00434677" w14:textId="59D80816" w:rsidR="0003565E" w:rsidRPr="0003565E" w:rsidRDefault="00445531" w:rsidP="00445531">
      <w:pPr>
        <w:spacing w:line="276" w:lineRule="auto"/>
        <w:jc w:val="both"/>
        <w:rPr>
          <w:rFonts w:cstheme="minorHAnsi"/>
          <w:kern w:val="0"/>
          <w14:ligatures w14:val="none"/>
        </w:rPr>
      </w:pPr>
      <w:r>
        <w:rPr>
          <w:rFonts w:cstheme="minorHAnsi"/>
          <w:kern w:val="0"/>
          <w14:ligatures w14:val="none"/>
        </w:rPr>
        <w:t xml:space="preserve">- </w:t>
      </w:r>
      <w:r w:rsidR="0003565E" w:rsidRPr="0003565E">
        <w:rPr>
          <w:rFonts w:cstheme="minorHAnsi"/>
          <w:kern w:val="0"/>
          <w14:ligatures w14:val="none"/>
        </w:rPr>
        <w:t xml:space="preserve">Przedsięwzięcie 1.3. Ochrona dziedzictwa kulturowego lub przyrodniczego polskiej wsi, alokacja </w:t>
      </w:r>
      <w:r w:rsidR="00C84953" w:rsidRPr="00C406F6">
        <w:rPr>
          <w:rFonts w:cstheme="minorHAnsi"/>
          <w:kern w:val="0"/>
          <w14:ligatures w14:val="none"/>
        </w:rPr>
        <w:t xml:space="preserve">357 046 </w:t>
      </w:r>
      <w:r w:rsidR="0003565E" w:rsidRPr="0003565E">
        <w:rPr>
          <w:rFonts w:cstheme="minorHAnsi"/>
          <w:kern w:val="0"/>
          <w14:ligatures w14:val="none"/>
        </w:rPr>
        <w:t>euro;</w:t>
      </w:r>
    </w:p>
    <w:p w14:paraId="2FF2E0E7" w14:textId="4FBB2296" w:rsidR="0003565E" w:rsidRPr="0003565E" w:rsidRDefault="00445531" w:rsidP="00445531">
      <w:pPr>
        <w:spacing w:line="276" w:lineRule="auto"/>
        <w:jc w:val="both"/>
        <w:rPr>
          <w:rFonts w:cstheme="minorHAnsi"/>
          <w:kern w:val="0"/>
          <w14:ligatures w14:val="none"/>
        </w:rPr>
      </w:pPr>
      <w:r>
        <w:rPr>
          <w:rFonts w:cstheme="minorHAnsi"/>
          <w:kern w:val="0"/>
          <w14:ligatures w14:val="none"/>
        </w:rPr>
        <w:t xml:space="preserve">- </w:t>
      </w:r>
      <w:r w:rsidR="0003565E" w:rsidRPr="0003565E">
        <w:rPr>
          <w:rFonts w:cstheme="minorHAnsi"/>
          <w:kern w:val="0"/>
          <w14:ligatures w14:val="none"/>
        </w:rPr>
        <w:t xml:space="preserve">Przedsięwzięcie 1.4. Aktywizacja i włączenie społeczne lokalnej społeczności, w tym seniorów, ludzi młodych lub osób w niekorzystnej sytuacji, alokacja </w:t>
      </w:r>
      <w:r w:rsidR="00C84953" w:rsidRPr="00C406F6">
        <w:rPr>
          <w:rFonts w:cstheme="minorHAnsi"/>
          <w:kern w:val="0"/>
          <w14:ligatures w14:val="none"/>
        </w:rPr>
        <w:t xml:space="preserve">118 000 </w:t>
      </w:r>
      <w:r w:rsidR="0003565E" w:rsidRPr="0003565E">
        <w:rPr>
          <w:rFonts w:cstheme="minorHAnsi"/>
          <w:kern w:val="0"/>
          <w14:ligatures w14:val="none"/>
        </w:rPr>
        <w:t>euro;</w:t>
      </w:r>
    </w:p>
    <w:p w14:paraId="13AAD510" w14:textId="592AB23A" w:rsidR="0003565E" w:rsidRPr="0003565E" w:rsidRDefault="00445531" w:rsidP="00445531">
      <w:pPr>
        <w:spacing w:line="276" w:lineRule="auto"/>
        <w:jc w:val="both"/>
        <w:rPr>
          <w:rFonts w:cstheme="minorHAnsi"/>
          <w:kern w:val="0"/>
          <w14:ligatures w14:val="none"/>
        </w:rPr>
      </w:pPr>
      <w:r>
        <w:rPr>
          <w:rFonts w:cstheme="minorHAnsi"/>
          <w:kern w:val="0"/>
          <w14:ligatures w14:val="none"/>
        </w:rPr>
        <w:t xml:space="preserve">- </w:t>
      </w:r>
      <w:r w:rsidR="0003565E" w:rsidRPr="0003565E">
        <w:rPr>
          <w:rFonts w:cstheme="minorHAnsi"/>
          <w:kern w:val="0"/>
          <w14:ligatures w14:val="none"/>
        </w:rPr>
        <w:t xml:space="preserve">Przedsięwzięcie 1.5. Wspieranie partnerstwa, inicjatyw edukacyjnych i turystyki na obszarze LSR, alokacja </w:t>
      </w:r>
      <w:r w:rsidR="00C84953" w:rsidRPr="00C406F6">
        <w:rPr>
          <w:rFonts w:cstheme="minorHAnsi"/>
          <w:kern w:val="0"/>
          <w14:ligatures w14:val="none"/>
        </w:rPr>
        <w:t xml:space="preserve">85 378 </w:t>
      </w:r>
      <w:r w:rsidR="0003565E" w:rsidRPr="0003565E">
        <w:rPr>
          <w:rFonts w:cstheme="minorHAnsi"/>
          <w:kern w:val="0"/>
          <w14:ligatures w14:val="none"/>
        </w:rPr>
        <w:t>euro;</w:t>
      </w:r>
    </w:p>
    <w:p w14:paraId="1BBC9231" w14:textId="524F65AD" w:rsidR="00445531" w:rsidRPr="0003565E" w:rsidRDefault="00445531" w:rsidP="00445531">
      <w:pPr>
        <w:spacing w:line="276" w:lineRule="auto"/>
        <w:jc w:val="both"/>
        <w:rPr>
          <w:rFonts w:cstheme="minorHAnsi"/>
          <w:kern w:val="0"/>
          <w14:ligatures w14:val="none"/>
        </w:rPr>
      </w:pPr>
      <w:r>
        <w:rPr>
          <w:rFonts w:cstheme="minorHAnsi"/>
          <w:kern w:val="0"/>
          <w14:ligatures w14:val="none"/>
        </w:rPr>
        <w:t xml:space="preserve">- </w:t>
      </w:r>
      <w:r w:rsidR="0003565E" w:rsidRPr="0003565E">
        <w:rPr>
          <w:rFonts w:cstheme="minorHAnsi"/>
          <w:kern w:val="0"/>
          <w14:ligatures w14:val="none"/>
        </w:rPr>
        <w:t xml:space="preserve">Przedsięwzięcie 1.6. Integracja społeczna na </w:t>
      </w:r>
      <w:r w:rsidR="00C75E17">
        <w:rPr>
          <w:rFonts w:cstheme="minorHAnsi"/>
          <w:kern w:val="0"/>
          <w14:ligatures w14:val="none"/>
        </w:rPr>
        <w:t xml:space="preserve">obszarach wiejskich alokacja </w:t>
      </w:r>
      <w:r w:rsidR="00C75E17" w:rsidRPr="000B514D">
        <w:rPr>
          <w:rFonts w:cstheme="minorHAnsi"/>
          <w:kern w:val="0"/>
          <w14:ligatures w14:val="none"/>
        </w:rPr>
        <w:t>673</w:t>
      </w:r>
      <w:r w:rsidR="0003565E" w:rsidRPr="000B514D">
        <w:rPr>
          <w:rFonts w:cstheme="minorHAnsi"/>
          <w:kern w:val="0"/>
          <w14:ligatures w14:val="none"/>
        </w:rPr>
        <w:t xml:space="preserve"> 000 </w:t>
      </w:r>
      <w:r w:rsidR="0003565E" w:rsidRPr="0003565E">
        <w:rPr>
          <w:rFonts w:cstheme="minorHAnsi"/>
          <w:kern w:val="0"/>
          <w14:ligatures w14:val="none"/>
        </w:rPr>
        <w:t>euro.</w:t>
      </w:r>
    </w:p>
    <w:p w14:paraId="5C0D2618" w14:textId="77777777" w:rsidR="0003565E" w:rsidRPr="00445531" w:rsidRDefault="0003565E" w:rsidP="00445531">
      <w:pPr>
        <w:spacing w:line="276" w:lineRule="auto"/>
        <w:jc w:val="both"/>
        <w:rPr>
          <w:rFonts w:cstheme="minorHAnsi"/>
          <w:b/>
          <w:bCs/>
          <w:kern w:val="0"/>
          <w14:ligatures w14:val="none"/>
        </w:rPr>
      </w:pPr>
      <w:r w:rsidRPr="00445531">
        <w:rPr>
          <w:rFonts w:cstheme="minorHAnsi"/>
          <w:b/>
          <w:bCs/>
          <w:kern w:val="0"/>
          <w14:ligatures w14:val="none"/>
        </w:rPr>
        <w:t>Powiązania celu z budżetem oraz Planem działania:</w:t>
      </w:r>
    </w:p>
    <w:p w14:paraId="7F7B5FB9" w14:textId="6C9713FC" w:rsidR="0003565E" w:rsidRPr="0003565E" w:rsidRDefault="0003565E" w:rsidP="0003565E">
      <w:pPr>
        <w:spacing w:line="276" w:lineRule="auto"/>
        <w:ind w:firstLine="360"/>
        <w:jc w:val="both"/>
        <w:rPr>
          <w:rFonts w:cstheme="minorHAnsi"/>
          <w:kern w:val="0"/>
          <w14:ligatures w14:val="none"/>
        </w:rPr>
      </w:pPr>
      <w:r w:rsidRPr="0003565E">
        <w:rPr>
          <w:rFonts w:cstheme="minorHAnsi"/>
          <w:kern w:val="0"/>
          <w14:ligatures w14:val="none"/>
        </w:rPr>
        <w:t xml:space="preserve">Zaplanowana alokacja będzie mieć pozytywny wpływ na wsparcie projektów dotyczących włączenia społecznego i integracji społecznej. Planowane do podjęcia działania miękkie mają przyczynić się do podniesienia świadomości i kompetencji </w:t>
      </w:r>
      <w:r w:rsidRPr="005B47B3">
        <w:rPr>
          <w:rFonts w:cstheme="minorHAnsi"/>
          <w:kern w:val="0"/>
          <w14:ligatures w14:val="none"/>
        </w:rPr>
        <w:t xml:space="preserve">uczestników. Operacje przewidziane w ramach celu nr 1. mają się przyczynić do integracji społecznej i budować świadomość i postawy obywatelskie, innowacyjne, przedsiębiorcze, </w:t>
      </w:r>
      <w:r w:rsidR="005D4905" w:rsidRPr="005B47B3">
        <w:rPr>
          <w:rFonts w:cstheme="minorHAnsi"/>
          <w:kern w:val="0"/>
          <w14:ligatures w14:val="none"/>
        </w:rPr>
        <w:t>pro</w:t>
      </w:r>
      <w:r w:rsidRPr="005B47B3">
        <w:rPr>
          <w:rFonts w:cstheme="minorHAnsi"/>
          <w:kern w:val="0"/>
          <w14:ligatures w14:val="none"/>
        </w:rPr>
        <w:t xml:space="preserve">ekologiczne mieszkańców </w:t>
      </w:r>
      <w:r w:rsidR="005C61F1" w:rsidRPr="005B47B3">
        <w:rPr>
          <w:rFonts w:cstheme="minorHAnsi"/>
          <w:kern w:val="0"/>
          <w14:ligatures w14:val="none"/>
        </w:rPr>
        <w:t>obszaru LSR.</w:t>
      </w:r>
      <w:r w:rsidRPr="005B47B3">
        <w:rPr>
          <w:rFonts w:cstheme="minorHAnsi"/>
          <w:kern w:val="0"/>
          <w14:ligatures w14:val="none"/>
        </w:rPr>
        <w:t xml:space="preserve"> Zaproponowany podział środków w swoich założeniem kładzie równomierny nacisk na rozwój inteligentnych społeczności lokalnych oraz na pomoc i wsparcie dla osób w niekorzystnej sytuacji uwzględniające trendy demograficzne (starzejące</w:t>
      </w:r>
      <w:r w:rsidRPr="0003565E">
        <w:rPr>
          <w:rFonts w:cstheme="minorHAnsi"/>
          <w:kern w:val="0"/>
          <w14:ligatures w14:val="none"/>
        </w:rPr>
        <w:t xml:space="preserve"> się społeczeństwo). Środki finansowe zostaną wykorzystane na operacje dotyczące wsparcia mieszkańców z różnych grup wiekowych i pochodzących z różnych środowisk. Równolegle będą wdrażane operacje inwestycje dotyczące infrastruktury publicznej oraz zachowania dziedzictwa kulturowego lub przyrodniczego. Poprawa warunków życia na wsi w kontekście dostępu do zadowalającej infrastruktury rekreacyjnej, sportowej, turystycznej wymaga od wnioskodawców przemyślanej strategii w stosunku do potrzeb i planowanych zakresów operacji. Jak wynika z konsultacji społecznych infrastruktura publiczna jest bardzo pożądanym rezultatem, dlatego przygotowana alokacja powoli na sprawiedliwy i równomierny podział dotacji na obszarze LGD. Dzięki unijnemu wsparciu uda się zrealizować cele i szereg przedsięwzięć rozwoju dla obszaru LSR.</w:t>
      </w:r>
      <w:r w:rsidR="002308F2">
        <w:rPr>
          <w:rFonts w:cstheme="minorHAnsi"/>
          <w:kern w:val="0"/>
          <w14:ligatures w14:val="none"/>
        </w:rPr>
        <w:t xml:space="preserve"> </w:t>
      </w:r>
      <w:r w:rsidRPr="0003565E">
        <w:rPr>
          <w:rFonts w:cstheme="minorHAnsi"/>
          <w:kern w:val="0"/>
          <w14:ligatures w14:val="none"/>
        </w:rPr>
        <w:t>W celu potwierdzenia obszaru LSR, jako atrakcyjnego miejsca do życia, zamieszkania, pracy, wypoczynku czy prowadzenia działalności, należy dołożyć starań, aby realizacja operacji była sprawiedliwa i dawała szanse wszystkim interesariuszom.</w:t>
      </w:r>
    </w:p>
    <w:p w14:paraId="3B1449D2" w14:textId="77777777" w:rsidR="0003565E" w:rsidRPr="0003565E" w:rsidRDefault="0003565E" w:rsidP="0003565E">
      <w:pPr>
        <w:spacing w:line="276" w:lineRule="auto"/>
        <w:ind w:firstLine="360"/>
        <w:jc w:val="both"/>
        <w:rPr>
          <w:rFonts w:cstheme="minorHAnsi"/>
          <w:kern w:val="0"/>
          <w14:ligatures w14:val="none"/>
        </w:rPr>
      </w:pPr>
    </w:p>
    <w:p w14:paraId="1460E2D2" w14:textId="08B57A96" w:rsidR="0003565E" w:rsidRPr="00B46E98" w:rsidRDefault="00445531" w:rsidP="00445531">
      <w:pPr>
        <w:spacing w:line="276" w:lineRule="auto"/>
        <w:jc w:val="both"/>
        <w:rPr>
          <w:rFonts w:cstheme="minorHAnsi"/>
          <w:kern w:val="0"/>
          <w14:ligatures w14:val="none"/>
        </w:rPr>
      </w:pPr>
      <w:r w:rsidRPr="00B46E98">
        <w:rPr>
          <w:rFonts w:cstheme="minorHAnsi"/>
          <w:b/>
          <w:bCs/>
          <w:kern w:val="0"/>
          <w14:ligatures w14:val="none"/>
        </w:rPr>
        <w:t>C</w:t>
      </w:r>
      <w:r w:rsidR="0003565E" w:rsidRPr="00B46E98">
        <w:rPr>
          <w:rFonts w:cstheme="minorHAnsi"/>
          <w:b/>
          <w:bCs/>
          <w:kern w:val="0"/>
          <w14:ligatures w14:val="none"/>
        </w:rPr>
        <w:t>el 2. Zwiększenie dostępności do usług i produktów na obszarze LSR</w:t>
      </w:r>
      <w:r w:rsidRPr="00B46E98">
        <w:rPr>
          <w:rFonts w:cstheme="minorHAnsi"/>
          <w:b/>
          <w:bCs/>
          <w:kern w:val="0"/>
          <w14:ligatures w14:val="none"/>
        </w:rPr>
        <w:t xml:space="preserve"> z </w:t>
      </w:r>
      <w:r w:rsidR="00FA7988" w:rsidRPr="00B46E98">
        <w:rPr>
          <w:rFonts w:cstheme="minorHAnsi"/>
          <w:b/>
          <w:bCs/>
          <w:kern w:val="0"/>
          <w14:ligatures w14:val="none"/>
        </w:rPr>
        <w:t xml:space="preserve">budżetem </w:t>
      </w:r>
      <w:r w:rsidR="0003565E" w:rsidRPr="00B46E98">
        <w:rPr>
          <w:rFonts w:cstheme="minorHAnsi"/>
          <w:b/>
          <w:bCs/>
          <w:kern w:val="0"/>
          <w14:ligatures w14:val="none"/>
        </w:rPr>
        <w:t>777 776 euro</w:t>
      </w:r>
      <w:r w:rsidR="00FA7988" w:rsidRPr="00B46E98">
        <w:rPr>
          <w:rFonts w:cstheme="minorHAnsi"/>
          <w:b/>
          <w:bCs/>
          <w:kern w:val="0"/>
          <w14:ligatures w14:val="none"/>
        </w:rPr>
        <w:t xml:space="preserve"> </w:t>
      </w:r>
      <w:r w:rsidR="00FA7988" w:rsidRPr="00B46E98">
        <w:rPr>
          <w:rFonts w:cstheme="minorHAnsi"/>
          <w:kern w:val="0"/>
          <w14:ligatures w14:val="none"/>
        </w:rPr>
        <w:t>z</w:t>
      </w:r>
      <w:r w:rsidR="0003565E" w:rsidRPr="00B46E98">
        <w:rPr>
          <w:rFonts w:cstheme="minorHAnsi"/>
          <w:kern w:val="0"/>
          <w14:ligatures w14:val="none"/>
        </w:rPr>
        <w:t xml:space="preserve">ostanie </w:t>
      </w:r>
      <w:r w:rsidR="00FA7988" w:rsidRPr="00B46E98">
        <w:rPr>
          <w:rFonts w:cstheme="minorHAnsi"/>
          <w:kern w:val="0"/>
          <w14:ligatures w14:val="none"/>
        </w:rPr>
        <w:t xml:space="preserve">osiągnięty poprzez realizację następującego </w:t>
      </w:r>
      <w:r w:rsidR="0003565E" w:rsidRPr="00B46E98">
        <w:rPr>
          <w:rFonts w:cstheme="minorHAnsi"/>
          <w:kern w:val="0"/>
          <w14:ligatures w14:val="none"/>
        </w:rPr>
        <w:t>przedsięwzięci</w:t>
      </w:r>
      <w:r w:rsidR="00FA7988" w:rsidRPr="00B46E98">
        <w:rPr>
          <w:rFonts w:cstheme="minorHAnsi"/>
          <w:kern w:val="0"/>
          <w14:ligatures w14:val="none"/>
        </w:rPr>
        <w:t>a</w:t>
      </w:r>
      <w:r w:rsidR="0003565E" w:rsidRPr="00B46E98">
        <w:rPr>
          <w:rFonts w:cstheme="minorHAnsi"/>
          <w:kern w:val="0"/>
          <w14:ligatures w14:val="none"/>
        </w:rPr>
        <w:t>:</w:t>
      </w:r>
    </w:p>
    <w:p w14:paraId="63EA4A7C" w14:textId="153260F3" w:rsidR="0003565E" w:rsidRPr="0003565E" w:rsidRDefault="00FA7988" w:rsidP="00FA7988">
      <w:pPr>
        <w:spacing w:line="276" w:lineRule="auto"/>
        <w:jc w:val="both"/>
        <w:rPr>
          <w:rFonts w:cstheme="minorHAnsi"/>
          <w:kern w:val="0"/>
          <w14:ligatures w14:val="none"/>
        </w:rPr>
      </w:pPr>
      <w:r>
        <w:rPr>
          <w:rFonts w:cstheme="minorHAnsi"/>
          <w:kern w:val="0"/>
          <w14:ligatures w14:val="none"/>
        </w:rPr>
        <w:t xml:space="preserve">- </w:t>
      </w:r>
      <w:r w:rsidR="0003565E" w:rsidRPr="0003565E">
        <w:rPr>
          <w:rFonts w:cstheme="minorHAnsi"/>
          <w:kern w:val="0"/>
          <w14:ligatures w14:val="none"/>
        </w:rPr>
        <w:t xml:space="preserve">Przedsięwzięcie 2.1. Rozwój pozarolniczej działalności gospodarczej w tym gospodarstw agroturystycznych </w:t>
      </w:r>
      <w:r>
        <w:rPr>
          <w:rFonts w:cstheme="minorHAnsi"/>
          <w:kern w:val="0"/>
          <w14:ligatures w14:val="none"/>
        </w:rPr>
        <w:br/>
      </w:r>
      <w:r w:rsidR="0003565E" w:rsidRPr="0003565E">
        <w:rPr>
          <w:rFonts w:cstheme="minorHAnsi"/>
          <w:kern w:val="0"/>
          <w14:ligatures w14:val="none"/>
        </w:rPr>
        <w:t xml:space="preserve">i zagród edukacyjnych, alokacja 777 776 euro. </w:t>
      </w:r>
    </w:p>
    <w:p w14:paraId="19A76FB5" w14:textId="77777777" w:rsidR="00577463" w:rsidRDefault="00577463" w:rsidP="00FA7988">
      <w:pPr>
        <w:spacing w:line="276" w:lineRule="auto"/>
        <w:jc w:val="both"/>
        <w:rPr>
          <w:rFonts w:cstheme="minorHAnsi"/>
          <w:b/>
          <w:bCs/>
          <w:kern w:val="0"/>
          <w14:ligatures w14:val="none"/>
        </w:rPr>
      </w:pPr>
    </w:p>
    <w:p w14:paraId="2E3859BB" w14:textId="430E60E1" w:rsidR="0003565E" w:rsidRPr="00FA7988" w:rsidRDefault="0003565E" w:rsidP="00FA7988">
      <w:pPr>
        <w:spacing w:line="276" w:lineRule="auto"/>
        <w:jc w:val="both"/>
        <w:rPr>
          <w:rFonts w:cstheme="minorHAnsi"/>
          <w:b/>
          <w:bCs/>
          <w:kern w:val="0"/>
          <w14:ligatures w14:val="none"/>
        </w:rPr>
      </w:pPr>
      <w:r w:rsidRPr="00FA7988">
        <w:rPr>
          <w:rFonts w:cstheme="minorHAnsi"/>
          <w:b/>
          <w:bCs/>
          <w:kern w:val="0"/>
          <w14:ligatures w14:val="none"/>
        </w:rPr>
        <w:t>Powiązania celu z budżetem oraz Planem działania:</w:t>
      </w:r>
    </w:p>
    <w:p w14:paraId="095DEC12" w14:textId="0F56F87A" w:rsidR="00915596" w:rsidRPr="00915596" w:rsidRDefault="0003565E" w:rsidP="0003565E">
      <w:pPr>
        <w:spacing w:line="276" w:lineRule="auto"/>
        <w:ind w:firstLine="360"/>
        <w:jc w:val="both"/>
        <w:rPr>
          <w:rFonts w:cstheme="minorHAnsi"/>
          <w:kern w:val="0"/>
          <w14:ligatures w14:val="none"/>
        </w:rPr>
      </w:pPr>
      <w:r w:rsidRPr="0003565E">
        <w:rPr>
          <w:rFonts w:cstheme="minorHAnsi"/>
          <w:kern w:val="0"/>
          <w14:ligatures w14:val="none"/>
        </w:rPr>
        <w:t>Alokacja w ramach celu będzie także przeznaczona na rozwój przedsiębiorczości, w tym gospodarki turystycznej. Racjonalne rozłożenie planowanych naborów i</w:t>
      </w:r>
      <w:r w:rsidR="00616776">
        <w:rPr>
          <w:rFonts w:cstheme="minorHAnsi"/>
          <w:kern w:val="0"/>
          <w14:ligatures w14:val="none"/>
        </w:rPr>
        <w:t xml:space="preserve"> samego procesu zarządzania LSR</w:t>
      </w:r>
      <w:r w:rsidRPr="0003565E">
        <w:rPr>
          <w:rFonts w:cstheme="minorHAnsi"/>
          <w:kern w:val="0"/>
          <w14:ligatures w14:val="none"/>
        </w:rPr>
        <w:t xml:space="preserve"> spowoduje, </w:t>
      </w:r>
      <w:r w:rsidR="00FA06CE">
        <w:rPr>
          <w:rFonts w:cstheme="minorHAnsi"/>
          <w:kern w:val="0"/>
          <w14:ligatures w14:val="none"/>
        </w:rPr>
        <w:t xml:space="preserve">                               </w:t>
      </w:r>
      <w:r w:rsidRPr="0003565E">
        <w:rPr>
          <w:rFonts w:cstheme="minorHAnsi"/>
          <w:kern w:val="0"/>
          <w14:ligatures w14:val="none"/>
        </w:rPr>
        <w:t>że wszystkie grupy interesu osoby</w:t>
      </w:r>
      <w:r w:rsidR="00616776">
        <w:rPr>
          <w:rFonts w:cstheme="minorHAnsi"/>
          <w:kern w:val="0"/>
          <w14:ligatures w14:val="none"/>
        </w:rPr>
        <w:t>,</w:t>
      </w:r>
      <w:r w:rsidRPr="0003565E">
        <w:rPr>
          <w:rFonts w:cstheme="minorHAnsi"/>
          <w:kern w:val="0"/>
          <w14:ligatures w14:val="none"/>
        </w:rPr>
        <w:t xml:space="preserve"> planujące rozpoczęcie działalności gospodarczej, jak również już funkcjonujące na rynku podmioty, będą miały możliwości przygotowania wniosków. Intensyfikacja naborów w ciągu trzech pierwszych lat wdrażania LSR pozwoli na znacznie szybsze osiągnięcie zamierzonych rezultatów. Realizacja poszczególnych naborów w sposób zamierzony została zaplanowana na początek wdrażania LSR. Przewidziane </w:t>
      </w:r>
      <w:r w:rsidR="00FA06CE">
        <w:rPr>
          <w:rFonts w:cstheme="minorHAnsi"/>
          <w:kern w:val="0"/>
          <w14:ligatures w14:val="none"/>
        </w:rPr>
        <w:t xml:space="preserve">                     </w:t>
      </w:r>
      <w:r w:rsidRPr="0003565E">
        <w:rPr>
          <w:rFonts w:cstheme="minorHAnsi"/>
          <w:kern w:val="0"/>
          <w14:ligatures w14:val="none"/>
        </w:rPr>
        <w:t>są inwestycje podnoszące jakość istniejącej infrastruktury lub podejmowanie i rozwijanie działalności gospodarczej Przedsięwzięcia w tym zakresie stanowić będą bezpośrednie przełożenie na jakość życia mieszkańców obszaru LGD.</w:t>
      </w:r>
    </w:p>
    <w:p w14:paraId="1289D352" w14:textId="395080A4" w:rsidR="002C63F4" w:rsidRDefault="002C63F4" w:rsidP="00A26C26">
      <w:pPr>
        <w:spacing w:line="276" w:lineRule="auto"/>
        <w:rPr>
          <w:rFonts w:eastAsiaTheme="majorEastAsia" w:cstheme="minorHAnsi"/>
          <w:b/>
          <w:bCs/>
          <w:color w:val="2F5496" w:themeColor="accent1" w:themeShade="BF"/>
        </w:rPr>
      </w:pPr>
    </w:p>
    <w:p w14:paraId="0C6A3C21" w14:textId="0EF2F231" w:rsidR="003C0995" w:rsidRDefault="003C0995" w:rsidP="00A26C26">
      <w:pPr>
        <w:spacing w:line="276" w:lineRule="auto"/>
        <w:rPr>
          <w:rFonts w:eastAsiaTheme="majorEastAsia" w:cstheme="minorHAnsi"/>
          <w:b/>
          <w:bCs/>
          <w:color w:val="2F5496" w:themeColor="accent1" w:themeShade="BF"/>
        </w:rPr>
      </w:pPr>
      <w:r>
        <w:rPr>
          <w:rFonts w:eastAsiaTheme="majorEastAsia" w:cstheme="minorHAnsi"/>
          <w:b/>
          <w:bCs/>
          <w:color w:val="2F5496" w:themeColor="accent1" w:themeShade="BF"/>
        </w:rPr>
        <w:t xml:space="preserve">Dodatkowe źródła finansowania: </w:t>
      </w:r>
    </w:p>
    <w:p w14:paraId="5380B320" w14:textId="675869DD" w:rsidR="003C0995" w:rsidRPr="003C0995" w:rsidRDefault="003C0995" w:rsidP="003C0995">
      <w:pPr>
        <w:spacing w:line="276" w:lineRule="auto"/>
        <w:ind w:firstLine="360"/>
        <w:jc w:val="both"/>
        <w:rPr>
          <w:rFonts w:ascii="Calibri" w:eastAsia="Calibri" w:hAnsi="Calibri" w:cs="Times New Roman"/>
          <w:kern w:val="0"/>
          <w14:ligatures w14:val="none"/>
        </w:rPr>
      </w:pPr>
      <w:r w:rsidRPr="00F16251">
        <w:rPr>
          <w:rFonts w:ascii="Calibri" w:eastAsia="Calibri" w:hAnsi="Calibri" w:cs="Times New Roman"/>
          <w:kern w:val="0"/>
          <w14:ligatures w14:val="none"/>
        </w:rPr>
        <w:t xml:space="preserve">Realizacja LSR finansowana będzie głównie z PS WPR, EFRR i EFS+. Jednakże LGD aby wzmocnić uzyskane </w:t>
      </w:r>
      <w:r w:rsidRPr="003C0995">
        <w:rPr>
          <w:rFonts w:ascii="Calibri" w:eastAsia="Calibri" w:hAnsi="Calibri" w:cs="Times New Roman"/>
          <w:kern w:val="0"/>
          <w14:ligatures w14:val="none"/>
        </w:rPr>
        <w:t>rezultaty oraz dodatkowo wesprzeć skuteczność działań podejmowanych w ramach LSR, deklaruje również aplikowanie w konkursach w ramach programów rządowych. Szczegółowy opis</w:t>
      </w:r>
      <w:r w:rsidR="00BD17DA">
        <w:rPr>
          <w:rFonts w:ascii="Calibri" w:eastAsia="Calibri" w:hAnsi="Calibri" w:cs="Times New Roman"/>
          <w:kern w:val="0"/>
          <w14:ligatures w14:val="none"/>
        </w:rPr>
        <w:t xml:space="preserve"> </w:t>
      </w:r>
      <w:r w:rsidRPr="003C0995">
        <w:rPr>
          <w:rFonts w:ascii="Calibri" w:eastAsia="Calibri" w:hAnsi="Calibri" w:cs="Times New Roman"/>
          <w:kern w:val="0"/>
          <w14:ligatures w14:val="none"/>
        </w:rPr>
        <w:t>tym zakresie został zamieszczony w Rozdziale V. pkt. Dywersyfikacja źródeł finansowania LSR.</w:t>
      </w:r>
    </w:p>
    <w:p w14:paraId="01D7471A" w14:textId="77777777" w:rsidR="003C0995" w:rsidRPr="003C0995" w:rsidRDefault="003C0995" w:rsidP="003C0995">
      <w:pPr>
        <w:spacing w:line="276" w:lineRule="auto"/>
        <w:ind w:firstLine="360"/>
        <w:jc w:val="both"/>
        <w:rPr>
          <w:rFonts w:ascii="Calibri" w:eastAsia="Calibri" w:hAnsi="Calibri" w:cs="Times New Roman"/>
          <w:kern w:val="0"/>
          <w14:ligatures w14:val="none"/>
        </w:rPr>
      </w:pPr>
    </w:p>
    <w:p w14:paraId="4635BC35" w14:textId="77777777" w:rsidR="003C0995" w:rsidRPr="003C0995" w:rsidRDefault="003C0995" w:rsidP="003C0995">
      <w:pPr>
        <w:spacing w:line="276" w:lineRule="auto"/>
        <w:ind w:firstLine="360"/>
        <w:jc w:val="both"/>
        <w:rPr>
          <w:rFonts w:ascii="Calibri" w:eastAsia="Calibri" w:hAnsi="Calibri" w:cs="Times New Roman"/>
          <w:kern w:val="0"/>
          <w14:ligatures w14:val="none"/>
        </w:rPr>
      </w:pPr>
    </w:p>
    <w:p w14:paraId="5215D2B5" w14:textId="275D264B" w:rsidR="00BD17DA" w:rsidRDefault="00BD17DA">
      <w:pPr>
        <w:rPr>
          <w:rFonts w:eastAsiaTheme="majorEastAsia" w:cstheme="minorHAnsi"/>
          <w:b/>
          <w:bCs/>
          <w:color w:val="2F5496" w:themeColor="accent1" w:themeShade="BF"/>
        </w:rPr>
      </w:pPr>
    </w:p>
    <w:p w14:paraId="3753FD56" w14:textId="4C6176C2" w:rsidR="00E924BA" w:rsidRPr="00A26C26" w:rsidRDefault="00E924BA" w:rsidP="00A26C26">
      <w:pPr>
        <w:pStyle w:val="Nagwek1"/>
        <w:spacing w:before="0" w:line="276" w:lineRule="auto"/>
        <w:rPr>
          <w:rFonts w:asciiTheme="minorHAnsi" w:hAnsiTheme="minorHAnsi" w:cstheme="minorHAnsi"/>
          <w:b/>
          <w:bCs/>
          <w:sz w:val="22"/>
          <w:szCs w:val="22"/>
        </w:rPr>
      </w:pPr>
      <w:bookmarkStart w:id="108" w:name="_Toc136944432"/>
      <w:r w:rsidRPr="00A26C26">
        <w:rPr>
          <w:rFonts w:asciiTheme="minorHAnsi" w:hAnsiTheme="minorHAnsi" w:cstheme="minorHAnsi"/>
          <w:b/>
          <w:bCs/>
          <w:sz w:val="22"/>
          <w:szCs w:val="22"/>
        </w:rPr>
        <w:t>ROZDZIAŁ</w:t>
      </w:r>
      <w:r w:rsidR="003B50ED">
        <w:rPr>
          <w:rFonts w:asciiTheme="minorHAnsi" w:hAnsiTheme="minorHAnsi" w:cstheme="minorHAnsi"/>
          <w:b/>
          <w:bCs/>
          <w:sz w:val="22"/>
          <w:szCs w:val="22"/>
        </w:rPr>
        <w:t xml:space="preserve"> </w:t>
      </w:r>
      <w:r w:rsidRPr="00A26C26">
        <w:rPr>
          <w:rFonts w:asciiTheme="minorHAnsi" w:hAnsiTheme="minorHAnsi" w:cstheme="minorHAnsi"/>
          <w:b/>
          <w:bCs/>
          <w:sz w:val="22"/>
          <w:szCs w:val="22"/>
        </w:rPr>
        <w:t>X</w:t>
      </w:r>
      <w:r w:rsidR="003B50ED">
        <w:rPr>
          <w:rFonts w:asciiTheme="minorHAnsi" w:hAnsiTheme="minorHAnsi" w:cstheme="minorHAnsi"/>
          <w:b/>
          <w:bCs/>
          <w:sz w:val="22"/>
          <w:szCs w:val="22"/>
        </w:rPr>
        <w:t xml:space="preserve"> </w:t>
      </w:r>
      <w:r w:rsidRPr="00A26C26">
        <w:rPr>
          <w:rFonts w:asciiTheme="minorHAnsi" w:hAnsiTheme="minorHAnsi" w:cstheme="minorHAnsi"/>
          <w:b/>
          <w:bCs/>
          <w:sz w:val="22"/>
          <w:szCs w:val="22"/>
        </w:rPr>
        <w:t>–</w:t>
      </w:r>
      <w:r w:rsidR="003B50ED">
        <w:rPr>
          <w:rFonts w:asciiTheme="minorHAnsi" w:hAnsiTheme="minorHAnsi" w:cstheme="minorHAnsi"/>
          <w:b/>
          <w:bCs/>
          <w:sz w:val="22"/>
          <w:szCs w:val="22"/>
        </w:rPr>
        <w:t xml:space="preserve"> </w:t>
      </w:r>
      <w:r w:rsidRPr="00A26C26">
        <w:rPr>
          <w:rFonts w:asciiTheme="minorHAnsi" w:hAnsiTheme="minorHAnsi" w:cstheme="minorHAnsi"/>
          <w:b/>
          <w:bCs/>
          <w:sz w:val="22"/>
          <w:szCs w:val="22"/>
        </w:rPr>
        <w:t>MONITORING</w:t>
      </w:r>
      <w:r w:rsidR="003B50ED">
        <w:rPr>
          <w:rFonts w:asciiTheme="minorHAnsi" w:hAnsiTheme="minorHAnsi" w:cstheme="minorHAnsi"/>
          <w:b/>
          <w:bCs/>
          <w:sz w:val="22"/>
          <w:szCs w:val="22"/>
        </w:rPr>
        <w:t xml:space="preserve"> </w:t>
      </w:r>
      <w:r w:rsidRPr="00A26C26">
        <w:rPr>
          <w:rFonts w:asciiTheme="minorHAnsi" w:hAnsiTheme="minorHAnsi" w:cstheme="minorHAnsi"/>
          <w:b/>
          <w:bCs/>
          <w:sz w:val="22"/>
          <w:szCs w:val="22"/>
        </w:rPr>
        <w:t>I</w:t>
      </w:r>
      <w:r w:rsidR="003B50ED">
        <w:rPr>
          <w:rFonts w:asciiTheme="minorHAnsi" w:hAnsiTheme="minorHAnsi" w:cstheme="minorHAnsi"/>
          <w:b/>
          <w:bCs/>
          <w:sz w:val="22"/>
          <w:szCs w:val="22"/>
        </w:rPr>
        <w:t xml:space="preserve"> </w:t>
      </w:r>
      <w:r w:rsidRPr="00A26C26">
        <w:rPr>
          <w:rFonts w:asciiTheme="minorHAnsi" w:hAnsiTheme="minorHAnsi" w:cstheme="minorHAnsi"/>
          <w:b/>
          <w:bCs/>
          <w:sz w:val="22"/>
          <w:szCs w:val="22"/>
        </w:rPr>
        <w:t>EWALUACJA</w:t>
      </w:r>
      <w:bookmarkEnd w:id="108"/>
    </w:p>
    <w:p w14:paraId="54F1C4E1" w14:textId="035AF361" w:rsidR="008A072F" w:rsidRPr="00F16251" w:rsidRDefault="0071475D" w:rsidP="0077296E">
      <w:pPr>
        <w:spacing w:line="276" w:lineRule="auto"/>
        <w:ind w:firstLine="360"/>
        <w:jc w:val="both"/>
        <w:rPr>
          <w:rFonts w:cstheme="minorHAnsi"/>
        </w:rPr>
      </w:pPr>
      <w:r w:rsidRPr="003539CF">
        <w:rPr>
          <w:rFonts w:cstheme="minorHAnsi"/>
        </w:rPr>
        <w:t xml:space="preserve">Do wypracowania rozwiązań wykorzystano współpracę z przedstawicielami lokalnych grup działania. Możliwość wymiany doświadczeń oraz wypracowania wspólnych propozycji rozwiązań stanowi wartość dodaną Podejścia Leader. </w:t>
      </w:r>
      <w:r w:rsidR="00377C35">
        <w:rPr>
          <w:rFonts w:cstheme="minorHAnsi"/>
        </w:rPr>
        <w:t xml:space="preserve">Współpraca w tym zakresie miała zapewnić zastosowanie uniwersalnych rozwiązań, które będą zgodne </w:t>
      </w:r>
      <w:r w:rsidR="00377C35">
        <w:rPr>
          <w:rFonts w:cstheme="minorHAnsi"/>
        </w:rPr>
        <w:br/>
        <w:t xml:space="preserve">z </w:t>
      </w:r>
      <w:r w:rsidR="00377C35" w:rsidRPr="00377C35">
        <w:rPr>
          <w:rFonts w:cstheme="minorHAnsi"/>
        </w:rPr>
        <w:t>obowiązującymi</w:t>
      </w:r>
      <w:r w:rsidR="00377C35">
        <w:rPr>
          <w:rFonts w:cstheme="minorHAnsi"/>
        </w:rPr>
        <w:t xml:space="preserve"> W</w:t>
      </w:r>
      <w:r w:rsidR="00377C35" w:rsidRPr="00377C35">
        <w:rPr>
          <w:rFonts w:cstheme="minorHAnsi"/>
        </w:rPr>
        <w:t>ytycznymi</w:t>
      </w:r>
      <w:r w:rsidR="00377C35">
        <w:rPr>
          <w:rFonts w:cstheme="minorHAnsi"/>
        </w:rPr>
        <w:t xml:space="preserve"> z jednej strony oraz </w:t>
      </w:r>
      <w:r w:rsidR="00377C35" w:rsidRPr="00377C35">
        <w:rPr>
          <w:rFonts w:cstheme="minorHAnsi"/>
        </w:rPr>
        <w:t>zapewnią</w:t>
      </w:r>
      <w:r w:rsidR="00377C35">
        <w:rPr>
          <w:rFonts w:cstheme="minorHAnsi"/>
        </w:rPr>
        <w:t xml:space="preserve"> </w:t>
      </w:r>
      <w:r w:rsidR="00377C35" w:rsidRPr="00377C35">
        <w:rPr>
          <w:rFonts w:cstheme="minorHAnsi"/>
        </w:rPr>
        <w:t>uzyskanie optymalnych efektów</w:t>
      </w:r>
      <w:r w:rsidR="00377C35">
        <w:rPr>
          <w:rFonts w:cstheme="minorHAnsi"/>
        </w:rPr>
        <w:t xml:space="preserve"> </w:t>
      </w:r>
      <w:r w:rsidR="00377C35" w:rsidRPr="00377C35">
        <w:rPr>
          <w:rFonts w:cstheme="minorHAnsi"/>
        </w:rPr>
        <w:t xml:space="preserve">posiadanych zasobach </w:t>
      </w:r>
      <w:r w:rsidR="00377C35" w:rsidRPr="00F16251">
        <w:rPr>
          <w:rFonts w:cstheme="minorHAnsi"/>
        </w:rPr>
        <w:t xml:space="preserve">kadrowych. Przyjęte założenia </w:t>
      </w:r>
      <w:r w:rsidRPr="00F16251">
        <w:rPr>
          <w:rFonts w:cstheme="minorHAnsi"/>
        </w:rPr>
        <w:t xml:space="preserve">wpisują się w </w:t>
      </w:r>
      <w:r w:rsidR="00377C35" w:rsidRPr="00F16251">
        <w:rPr>
          <w:rFonts w:cstheme="minorHAnsi"/>
        </w:rPr>
        <w:t xml:space="preserve">obowiązujące </w:t>
      </w:r>
      <w:r w:rsidRPr="00F16251">
        <w:rPr>
          <w:rFonts w:cstheme="minorHAnsi"/>
        </w:rPr>
        <w:t>standardy</w:t>
      </w:r>
      <w:r w:rsidR="00377C35" w:rsidRPr="00F16251">
        <w:rPr>
          <w:rFonts w:cstheme="minorHAnsi"/>
        </w:rPr>
        <w:t xml:space="preserve">, tym bardziej, iż </w:t>
      </w:r>
      <w:r w:rsidRPr="00F16251">
        <w:rPr>
          <w:rFonts w:cstheme="minorHAnsi"/>
        </w:rPr>
        <w:t xml:space="preserve">zostały oparte na doświadczeniach dwóch perspektyw programowych UE związanych z wdrażaniem Podejścia Leader. </w:t>
      </w:r>
      <w:r w:rsidR="00377C35" w:rsidRPr="00F16251">
        <w:rPr>
          <w:rFonts w:cstheme="minorHAnsi"/>
        </w:rPr>
        <w:t>Zapewniło to odpowiedni dobór elementów podlegających bieżącemu monitoringowi oraz okresowej ewaluacji. Nabyte doświadczenia okazały się również istotne przy określeniu czasu, w jaki</w:t>
      </w:r>
      <w:r w:rsidR="00616776" w:rsidRPr="00F16251">
        <w:rPr>
          <w:rFonts w:cstheme="minorHAnsi"/>
        </w:rPr>
        <w:t>m</w:t>
      </w:r>
      <w:r w:rsidR="00377C35" w:rsidRPr="00F16251">
        <w:rPr>
          <w:rFonts w:cstheme="minorHAnsi"/>
        </w:rPr>
        <w:t xml:space="preserve"> została zaplanowana ewaluacja ex-post oraz ewaluacje wewnętrzne poparte badaniami monitoringowymi.</w:t>
      </w:r>
      <w:r w:rsidR="008A072F" w:rsidRPr="00F16251">
        <w:rPr>
          <w:rFonts w:cstheme="minorHAnsi"/>
        </w:rPr>
        <w:t xml:space="preserve"> Wnioski i rekomendacje z prowadzonych badań powinny być podstawą do podejmowania działań zaradczych, jeśli pojawiłoby się zagrożenie nie osiągniecia kamieni milowych określonych w umowie ramowej, czy poziomów realizacji wskaźników produktu i rezultatu. Istotna będzie również ocena poziomu zainteresowania potencjalnych beneficjentów wsparciem przewidzianym w LSR. Może to być przesłanką do podjęcia decyzji o aktualizacji LSR. </w:t>
      </w:r>
    </w:p>
    <w:p w14:paraId="4AAABB48" w14:textId="77777777" w:rsidR="0071475D" w:rsidRPr="00F16251" w:rsidRDefault="0071475D" w:rsidP="0071475D">
      <w:pPr>
        <w:spacing w:line="276" w:lineRule="auto"/>
        <w:ind w:right="6" w:firstLine="336"/>
        <w:jc w:val="both"/>
        <w:rPr>
          <w:rFonts w:cstheme="minorHAnsi"/>
        </w:rPr>
      </w:pPr>
      <w:r w:rsidRPr="00F16251">
        <w:rPr>
          <w:rFonts w:cstheme="minorHAnsi"/>
        </w:rPr>
        <w:t xml:space="preserve">Przygotowane propozycje zostały skonsultowane w trakcie tworzenia LSR, w szczególności podczas otwartych spotkań informacyjno-konsultacyjnych w biurze LGD, w trakcie spotkań grupy roboczej oraz w trakcie konsultacji całości dokumentu. </w:t>
      </w:r>
    </w:p>
    <w:p w14:paraId="4AF04725" w14:textId="77777777" w:rsidR="00377C35" w:rsidRPr="00F16251" w:rsidRDefault="00377C35" w:rsidP="0071475D">
      <w:pPr>
        <w:spacing w:line="276" w:lineRule="auto"/>
        <w:ind w:right="6" w:firstLine="336"/>
        <w:jc w:val="both"/>
        <w:rPr>
          <w:rFonts w:cstheme="minorHAnsi"/>
        </w:rPr>
      </w:pPr>
    </w:p>
    <w:p w14:paraId="12DFA7AE" w14:textId="77777777" w:rsidR="0071475D" w:rsidRPr="00F16251" w:rsidRDefault="0071475D" w:rsidP="0071475D">
      <w:pPr>
        <w:spacing w:line="276" w:lineRule="auto"/>
        <w:ind w:right="6" w:hanging="11"/>
        <w:jc w:val="both"/>
        <w:rPr>
          <w:rFonts w:cstheme="minorHAnsi"/>
          <w:b/>
          <w:bCs/>
        </w:rPr>
      </w:pPr>
      <w:r w:rsidRPr="00F16251">
        <w:rPr>
          <w:rFonts w:cstheme="minorHAnsi"/>
          <w:b/>
          <w:bCs/>
        </w:rPr>
        <w:t>Zasady monitoringu i ewaluacji.</w:t>
      </w:r>
    </w:p>
    <w:p w14:paraId="29306E9E" w14:textId="35552A09" w:rsidR="0071475D" w:rsidRPr="003C0995" w:rsidRDefault="0071475D" w:rsidP="00377C35">
      <w:pPr>
        <w:spacing w:line="276" w:lineRule="auto"/>
        <w:ind w:right="6" w:firstLine="426"/>
        <w:jc w:val="both"/>
        <w:rPr>
          <w:rFonts w:cstheme="minorHAnsi"/>
        </w:rPr>
      </w:pPr>
      <w:r w:rsidRPr="00F16251">
        <w:rPr>
          <w:rFonts w:cstheme="minorHAnsi"/>
          <w:b/>
          <w:bCs/>
        </w:rPr>
        <w:t>Monitoring</w:t>
      </w:r>
      <w:r w:rsidRPr="00F16251">
        <w:rPr>
          <w:rFonts w:cstheme="minorHAnsi"/>
        </w:rPr>
        <w:t xml:space="preserve"> jest narzędziem do systematycznego pozyskiwania, analizowania oraz wykorzystywania informacji dla celów kontroli, zarządzania i podejmowania decyzji. Zapewnia identyfikację bezpośrednich efektów wdrażania LSR obejmujących dane ilościowe i jakościowe na temat </w:t>
      </w:r>
      <w:r w:rsidRPr="003C0995">
        <w:rPr>
          <w:rFonts w:cstheme="minorHAnsi"/>
        </w:rPr>
        <w:t xml:space="preserve">funkcjonowania LGD </w:t>
      </w:r>
      <w:r w:rsidR="008D3E59" w:rsidRPr="003C0995">
        <w:rPr>
          <w:rFonts w:cstheme="minorHAnsi"/>
        </w:rPr>
        <w:t>„Solidarni w Partnerstwie”</w:t>
      </w:r>
      <w:r w:rsidRPr="003C0995">
        <w:rPr>
          <w:rFonts w:cstheme="minorHAnsi"/>
        </w:rPr>
        <w:t xml:space="preserve"> oraz stanu realizacji LSR w aspekcie finansowym i rzeczowym. Umożliwia również ocenę postępu w zakresie osiągania wskaźników produktu i rezultatu przypisanych do celów i przedsięwzięć. Głównym celem monitoringu jest uzyskanie informacji zwrotnych na temat skuteczności i wydajności wdrażanej LSR. </w:t>
      </w:r>
    </w:p>
    <w:p w14:paraId="421063E9" w14:textId="77777777" w:rsidR="0071475D" w:rsidRPr="00F16251" w:rsidRDefault="0071475D" w:rsidP="0071475D">
      <w:pPr>
        <w:spacing w:line="276" w:lineRule="auto"/>
        <w:ind w:right="6" w:firstLine="426"/>
        <w:jc w:val="both"/>
        <w:rPr>
          <w:rFonts w:cstheme="minorHAnsi"/>
        </w:rPr>
      </w:pPr>
      <w:r w:rsidRPr="003C0995">
        <w:rPr>
          <w:rFonts w:cstheme="minorHAnsi"/>
        </w:rPr>
        <w:t>Monitoring opiera się na zasadach: wiarygodności, aktualności, obiektywności</w:t>
      </w:r>
      <w:r w:rsidRPr="00F16251">
        <w:rPr>
          <w:rFonts w:cstheme="minorHAnsi"/>
        </w:rPr>
        <w:t xml:space="preserve">, koncentracji, realizmu, koordynacji informacji i elastyczności. </w:t>
      </w:r>
    </w:p>
    <w:p w14:paraId="09D5CA8C" w14:textId="77777777" w:rsidR="0071475D" w:rsidRPr="00F16251" w:rsidRDefault="0071475D" w:rsidP="0071475D">
      <w:pPr>
        <w:spacing w:line="276" w:lineRule="auto"/>
        <w:ind w:right="6" w:firstLine="426"/>
        <w:jc w:val="both"/>
        <w:rPr>
          <w:rFonts w:cstheme="minorHAnsi"/>
        </w:rPr>
      </w:pPr>
      <w:r w:rsidRPr="00F16251">
        <w:rPr>
          <w:rFonts w:cstheme="minorHAnsi"/>
        </w:rPr>
        <w:t>Zebrane dane i informacje będą odnoszone do założeń bazowych (wartości założonych w momencie rozpoczęcia wdrażania LSR), wskaźników pośrednich (przedstawiających pożądane wartości na konkretnym etapie wdrażania LSR – tzw. kamieni milowych) oraz wskaźników docelowych (ostatecznych rezultatów jakie ma przynieść wdrażanie LSR).</w:t>
      </w:r>
    </w:p>
    <w:p w14:paraId="69C81BB9" w14:textId="77777777" w:rsidR="0071475D" w:rsidRPr="00F16251" w:rsidRDefault="0071475D" w:rsidP="0071475D">
      <w:pPr>
        <w:spacing w:line="276" w:lineRule="auto"/>
        <w:ind w:right="6" w:firstLine="426"/>
        <w:jc w:val="both"/>
        <w:rPr>
          <w:rFonts w:cstheme="minorHAnsi"/>
        </w:rPr>
      </w:pPr>
      <w:r w:rsidRPr="00F16251">
        <w:rPr>
          <w:rFonts w:cstheme="minorHAnsi"/>
        </w:rPr>
        <w:t xml:space="preserve">Realizacja badań monitoringowych pozwoli na odniesienie wyników do oczekiwań oraz ocenę adekwatności wykorzystanych zasobów do uzyskanych efektów. </w:t>
      </w:r>
    </w:p>
    <w:p w14:paraId="3CDC7142" w14:textId="77777777" w:rsidR="0071475D" w:rsidRPr="00F16251" w:rsidRDefault="0071475D" w:rsidP="0071475D">
      <w:pPr>
        <w:spacing w:line="276" w:lineRule="auto"/>
        <w:ind w:right="6" w:firstLine="426"/>
        <w:jc w:val="both"/>
        <w:rPr>
          <w:rFonts w:cstheme="minorHAnsi"/>
        </w:rPr>
      </w:pPr>
      <w:r w:rsidRPr="00F16251">
        <w:rPr>
          <w:rFonts w:cstheme="minorHAnsi"/>
        </w:rPr>
        <w:t>Monitoring będzie miał na celu: usprawnianie procesów zarządczych, bieżące kontrolowanie stanu wdrażania LSR, przewidywanie lub identyfikację pojawiających się problemów, optymalizowanie wykorzystanych zasobów, weryfikowanie zgodności przebiegu wdrażania z planowanymi zamierzeniami.</w:t>
      </w:r>
    </w:p>
    <w:p w14:paraId="6FF1BDC7" w14:textId="499F409B" w:rsidR="0071475D" w:rsidRPr="00F16251" w:rsidRDefault="0071475D" w:rsidP="0071475D">
      <w:pPr>
        <w:spacing w:line="276" w:lineRule="auto"/>
        <w:ind w:right="6" w:firstLine="336"/>
        <w:jc w:val="both"/>
        <w:rPr>
          <w:rFonts w:cstheme="minorHAnsi"/>
        </w:rPr>
      </w:pPr>
      <w:r w:rsidRPr="00F16251">
        <w:rPr>
          <w:rFonts w:cstheme="minorHAnsi"/>
          <w:b/>
          <w:bCs/>
        </w:rPr>
        <w:t>Ewaluacja</w:t>
      </w:r>
      <w:r w:rsidRPr="00F16251">
        <w:rPr>
          <w:rFonts w:cstheme="minorHAnsi"/>
        </w:rPr>
        <w:t xml:space="preserve"> to proces prowadzony dla ustalenia efektywności pomocy pochodzącej ze środków Unii Europejskiej (efektywności wdrażania LSR) oraz oszacowania poziomu jej oddziaływania w odniesieniu do założeń LSR, zakresów tematycznych czy też analizy wpływu na poszczególne problemy oraz potrzeby zidentyfikowane w diagnozie obszaru. Zapewnia ustalenie związków przyczynowo skutkowych między podejmowanymi działaniami, a uzyskanymi rezultatami, zwłaszcza w ujęciu długookresowym. Będzie obejmować badanie wartości oraz cech LSR z punktu widzenia przyjętych kryteriów, w celu oceny jej efektów oraz wykorzystania nabytej wiedzy w kolejnym okresie. Jednym z głównych celów ewaluacji będzie ocena rzeczywistych i spodziewanych efektów. Ewaluacja będzie próbą znalezienia odpowiedzi na pytanie, czy nasze działania przyniosły pożądane efekty w odniesieniu do </w:t>
      </w:r>
      <w:r w:rsidRPr="00F16251">
        <w:rPr>
          <w:rFonts w:cstheme="minorHAnsi"/>
        </w:rPr>
        <w:lastRenderedPageBreak/>
        <w:t>wykorzystanych zasobów. W procesie ewaluacji będą stosowane następujące kryteria: trafność / adekwatność / odpowiedniość; efektywność / wydajność; skuteczność; użyteczność; trwałość.</w:t>
      </w:r>
    </w:p>
    <w:p w14:paraId="280A5C1A" w14:textId="77777777" w:rsidR="0071475D" w:rsidRPr="00F16251" w:rsidRDefault="0071475D" w:rsidP="0071475D">
      <w:pPr>
        <w:spacing w:line="276" w:lineRule="auto"/>
        <w:ind w:left="-90" w:right="6" w:firstLine="426"/>
        <w:jc w:val="both"/>
        <w:rPr>
          <w:rFonts w:cstheme="minorHAnsi"/>
        </w:rPr>
      </w:pPr>
      <w:r w:rsidRPr="00F16251">
        <w:rPr>
          <w:rFonts w:cstheme="minorHAnsi"/>
        </w:rPr>
        <w:t>W procesie wdrażania LSR na lata 2023-2027 zostaną wykorzystane następujące działania ewaluacyjne:</w:t>
      </w:r>
    </w:p>
    <w:p w14:paraId="307C1EFF" w14:textId="5CC1451C" w:rsidR="0071475D" w:rsidRPr="00F16251" w:rsidRDefault="0071475D" w:rsidP="0071475D">
      <w:pPr>
        <w:spacing w:line="276" w:lineRule="auto"/>
        <w:ind w:right="6" w:hanging="11"/>
        <w:jc w:val="both"/>
        <w:rPr>
          <w:rFonts w:cstheme="minorHAnsi"/>
        </w:rPr>
      </w:pPr>
      <w:r w:rsidRPr="00F16251">
        <w:rPr>
          <w:rFonts w:cstheme="minorHAnsi"/>
        </w:rPr>
        <w:t xml:space="preserve">- </w:t>
      </w:r>
      <w:r w:rsidRPr="00F16251">
        <w:rPr>
          <w:rFonts w:cstheme="minorHAnsi"/>
          <w:b/>
          <w:bCs/>
        </w:rPr>
        <w:t>autoewaluacja</w:t>
      </w:r>
      <w:r w:rsidRPr="00F16251">
        <w:rPr>
          <w:rFonts w:cstheme="minorHAnsi"/>
        </w:rPr>
        <w:t xml:space="preserve"> (</w:t>
      </w:r>
      <w:proofErr w:type="spellStart"/>
      <w:r w:rsidRPr="00F16251">
        <w:rPr>
          <w:rFonts w:cstheme="minorHAnsi"/>
        </w:rPr>
        <w:t>self-evaluation</w:t>
      </w:r>
      <w:proofErr w:type="spellEnd"/>
      <w:r w:rsidRPr="00F16251">
        <w:rPr>
          <w:rFonts w:cstheme="minorHAnsi"/>
        </w:rPr>
        <w:t xml:space="preserve">), tj. ocena stopnia realizacji LSR i osiąganych lub osiągniętych efektów. Będzie wykonywana przez pracowników biura LGD, na podstawie zbioru informacji pochodzących z monitoringu </w:t>
      </w:r>
      <w:r w:rsidR="00377C35" w:rsidRPr="00F16251">
        <w:rPr>
          <w:rFonts w:cstheme="minorHAnsi"/>
        </w:rPr>
        <w:br/>
      </w:r>
      <w:r w:rsidRPr="00F16251">
        <w:rPr>
          <w:rFonts w:cstheme="minorHAnsi"/>
        </w:rPr>
        <w:t>i sprawozdawczości oraz innych elementów poddanych procesowi oceny. W procesie będzie możliwy udział ekspertów zewnętrznych. Kluczowy będzie partycypacyjny charakter badania, z wykorzystaniem adekwatnych do zakładanych efektów metod partycypacji. Będą one zgodnie z tymi, które zostały wykorzystane przy przygotowaniu i aktualizacji LSR. Rzetelna ocena efektywności wdrażania LSR będzie również oparta o ocenę stanu realizacji zobowiązań oraz wyników badań monitoringowych. Podsumowaniem badania będzie warsztat strategiczny, przeprowadzany np. w formie warsztatu refleksyjnego, z udziałem kluczowych grup interesu zidentyfikowanych na obszarze objętym LSR</w:t>
      </w:r>
      <w:r w:rsidR="00377C35" w:rsidRPr="00F16251">
        <w:rPr>
          <w:rFonts w:cstheme="minorHAnsi"/>
        </w:rPr>
        <w:t xml:space="preserve">, jak również </w:t>
      </w:r>
      <w:r w:rsidRPr="00F16251">
        <w:rPr>
          <w:rFonts w:cstheme="minorHAnsi"/>
        </w:rPr>
        <w:t xml:space="preserve">osób młodych, seniorów i osób w niekorzystnej sytuacji. Podsumowaniem badania </w:t>
      </w:r>
      <w:r w:rsidR="00377C35" w:rsidRPr="00F16251">
        <w:rPr>
          <w:rFonts w:cstheme="minorHAnsi"/>
        </w:rPr>
        <w:t>będzie raport / sprawozdan</w:t>
      </w:r>
      <w:r w:rsidR="00625BE4" w:rsidRPr="00F16251">
        <w:rPr>
          <w:rFonts w:cstheme="minorHAnsi"/>
        </w:rPr>
        <w:t>i</w:t>
      </w:r>
      <w:r w:rsidR="00377C35" w:rsidRPr="00F16251">
        <w:rPr>
          <w:rFonts w:cstheme="minorHAnsi"/>
        </w:rPr>
        <w:t xml:space="preserve">e, w którym zostaną zawarte zalecenia / </w:t>
      </w:r>
      <w:r w:rsidR="00625BE4" w:rsidRPr="00F16251">
        <w:rPr>
          <w:rFonts w:cstheme="minorHAnsi"/>
        </w:rPr>
        <w:t>rekomendacje</w:t>
      </w:r>
      <w:r w:rsidR="00377C35" w:rsidRPr="00F16251">
        <w:rPr>
          <w:rFonts w:cstheme="minorHAnsi"/>
        </w:rPr>
        <w:t xml:space="preserve"> wraz z </w:t>
      </w:r>
      <w:r w:rsidRPr="00F16251">
        <w:rPr>
          <w:rFonts w:cstheme="minorHAnsi"/>
        </w:rPr>
        <w:t>propozycj</w:t>
      </w:r>
      <w:r w:rsidR="00377C35" w:rsidRPr="00F16251">
        <w:rPr>
          <w:rFonts w:cstheme="minorHAnsi"/>
        </w:rPr>
        <w:t>ą</w:t>
      </w:r>
      <w:r w:rsidRPr="00F16251">
        <w:rPr>
          <w:rFonts w:cstheme="minorHAnsi"/>
        </w:rPr>
        <w:t xml:space="preserve"> działań zaradczych</w:t>
      </w:r>
      <w:r w:rsidR="00377C35" w:rsidRPr="00F16251">
        <w:rPr>
          <w:rFonts w:cstheme="minorHAnsi"/>
        </w:rPr>
        <w:t>,</w:t>
      </w:r>
      <w:r w:rsidRPr="00F16251">
        <w:rPr>
          <w:rFonts w:cstheme="minorHAnsi"/>
        </w:rPr>
        <w:t xml:space="preserve"> </w:t>
      </w:r>
      <w:r w:rsidR="00377C35" w:rsidRPr="00F16251">
        <w:rPr>
          <w:rFonts w:cstheme="minorHAnsi"/>
        </w:rPr>
        <w:t xml:space="preserve">sposobem </w:t>
      </w:r>
      <w:r w:rsidRPr="00F16251">
        <w:rPr>
          <w:rFonts w:cstheme="minorHAnsi"/>
        </w:rPr>
        <w:t xml:space="preserve">ich wdrożenia </w:t>
      </w:r>
      <w:r w:rsidR="00377C35" w:rsidRPr="00F16251">
        <w:rPr>
          <w:rFonts w:cstheme="minorHAnsi"/>
        </w:rPr>
        <w:t xml:space="preserve">oraz </w:t>
      </w:r>
      <w:r w:rsidRPr="00F16251">
        <w:rPr>
          <w:rFonts w:cstheme="minorHAnsi"/>
        </w:rPr>
        <w:t xml:space="preserve">terminami wykonania. </w:t>
      </w:r>
    </w:p>
    <w:p w14:paraId="24BDF667" w14:textId="0FBBBA8B" w:rsidR="0071475D" w:rsidRPr="00F16251" w:rsidRDefault="0071475D" w:rsidP="0071475D">
      <w:pPr>
        <w:spacing w:line="276" w:lineRule="auto"/>
        <w:ind w:right="6"/>
        <w:jc w:val="both"/>
        <w:rPr>
          <w:rFonts w:cstheme="minorHAnsi"/>
        </w:rPr>
      </w:pPr>
      <w:r w:rsidRPr="00F16251">
        <w:rPr>
          <w:rFonts w:cstheme="minorHAnsi"/>
        </w:rPr>
        <w:t xml:space="preserve">- </w:t>
      </w:r>
      <w:r w:rsidRPr="00F16251">
        <w:rPr>
          <w:rFonts w:cstheme="minorHAnsi"/>
          <w:b/>
          <w:bCs/>
        </w:rPr>
        <w:t>ewaluacja zewnętrzna</w:t>
      </w:r>
      <w:r w:rsidR="00377C35" w:rsidRPr="00F16251">
        <w:rPr>
          <w:rFonts w:cstheme="minorHAnsi"/>
          <w:b/>
          <w:bCs/>
        </w:rPr>
        <w:t xml:space="preserve"> ex-post</w:t>
      </w:r>
      <w:r w:rsidRPr="00F16251">
        <w:rPr>
          <w:rFonts w:cstheme="minorHAnsi"/>
        </w:rPr>
        <w:t xml:space="preserve">, tj. ocena zlecana zewnętrznemu wykonawcy z doświadczeniem w zakresie badań dotyczących LSR. Badanie ex-post zostanie wykonane po zakończeniu realizacji LSR, do końca 2028 r. (maksymalnie do połowy 2029 r.). Badanie będzie miało charakter całościowy w kontekście postawionych pytań ewaluacyjnych. Do analizy zostaną wykorzystane dostępne metody i techniki badawcze, adekwatne do zakresu badania, obszaru </w:t>
      </w:r>
      <w:r w:rsidR="00377C35" w:rsidRPr="00F16251">
        <w:rPr>
          <w:rFonts w:cstheme="minorHAnsi"/>
        </w:rPr>
        <w:br/>
      </w:r>
      <w:r w:rsidRPr="00F16251">
        <w:rPr>
          <w:rFonts w:cstheme="minorHAnsi"/>
        </w:rPr>
        <w:t>i uczestników. Dzięki temu możliwe będzie zgromadzenie kompletnego i wiarygodnego materiału oraz wypracowanie rekomendacji na poziomie eksperckim. Wykorzystana zostanie przede wszystkim koncepcja triangulacji metodologicznej, zapewniająca zróżnicowanie źródeł danych, metod i perspektyw badawczych. Kluczowy będzie również partycypacyjny charakter badania na każdym jego etapie, z wykorzystaniem metod partycypacji stosowanych przy przygotowaniu i aktualizacji LSR. Rzetelna ocena efektywności wdrażania LSR będzie również oparta o ocenę stanu realizacji zobowiązań oraz wyników badań monitoringowych oraz przy uwzględnieniu wyników ewaluacji wewnętrznych on-</w:t>
      </w:r>
      <w:proofErr w:type="spellStart"/>
      <w:r w:rsidRPr="00F16251">
        <w:rPr>
          <w:rFonts w:cstheme="minorHAnsi"/>
        </w:rPr>
        <w:t>going</w:t>
      </w:r>
      <w:proofErr w:type="spellEnd"/>
      <w:r w:rsidRPr="00F16251">
        <w:rPr>
          <w:rFonts w:cstheme="minorHAnsi"/>
        </w:rPr>
        <w:t>. Badanie ewaluacyjne ex-post będzie obejmowało w szczególności ocenę, na ile udało się osiągnąć założone cele, ocenę skuteczności i efektywności interwencji oraz jej trafności</w:t>
      </w:r>
      <w:r w:rsidR="00FA06CE">
        <w:rPr>
          <w:rFonts w:cstheme="minorHAnsi"/>
        </w:rPr>
        <w:t xml:space="preserve"> </w:t>
      </w:r>
      <w:r w:rsidRPr="00F16251">
        <w:rPr>
          <w:rFonts w:cstheme="minorHAnsi"/>
        </w:rPr>
        <w:t>i użyteczności oraz badanie długotrwałych efektów (oddziaływanie) LSR oraz ich trwałość. Będzie ona dotyczyć następujących obszarów badawczych: ocena wpływu na cel/cele LSR; kapitał społeczny, przedsiębiorczość, współpracę, osoby młode, seniorów oraz w niekorzystnej sytuacji, innowacyjność, funkcjonowania LGD, proces wdrażania oraz wartość dodaną podejścia LEADER i innych (jeśli zajdzie taka potrzeba).</w:t>
      </w:r>
    </w:p>
    <w:p w14:paraId="26A29820" w14:textId="77777777" w:rsidR="0071475D" w:rsidRPr="00F16251" w:rsidRDefault="0071475D" w:rsidP="0071475D">
      <w:pPr>
        <w:spacing w:line="276" w:lineRule="auto"/>
        <w:ind w:right="6" w:firstLine="336"/>
        <w:jc w:val="both"/>
        <w:rPr>
          <w:rFonts w:cstheme="minorHAnsi"/>
        </w:rPr>
      </w:pPr>
      <w:r w:rsidRPr="00F16251">
        <w:rPr>
          <w:rFonts w:cstheme="minorHAnsi"/>
        </w:rPr>
        <w:t xml:space="preserve">Ewaluacja zewnętrzna może zostać zlecona wspólnie, tj. badanie obejmuje kilka lub wszystkie LGD z terenu województwa. </w:t>
      </w:r>
    </w:p>
    <w:p w14:paraId="4E701609" w14:textId="77777777" w:rsidR="00AA50BB" w:rsidRPr="00F16251" w:rsidRDefault="00AA50BB" w:rsidP="00AA50BB">
      <w:pPr>
        <w:spacing w:line="276" w:lineRule="auto"/>
        <w:ind w:right="6"/>
        <w:jc w:val="both"/>
        <w:rPr>
          <w:rFonts w:cstheme="minorHAnsi"/>
          <w:b/>
          <w:bCs/>
        </w:rPr>
      </w:pPr>
    </w:p>
    <w:p w14:paraId="0334C6EF" w14:textId="49C61067" w:rsidR="0071475D" w:rsidRPr="00F16251" w:rsidRDefault="0071475D" w:rsidP="00AA50BB">
      <w:pPr>
        <w:spacing w:line="276" w:lineRule="auto"/>
        <w:ind w:right="6"/>
        <w:jc w:val="both"/>
        <w:rPr>
          <w:rFonts w:cstheme="minorHAnsi"/>
          <w:b/>
          <w:bCs/>
        </w:rPr>
      </w:pPr>
      <w:r w:rsidRPr="00F16251">
        <w:rPr>
          <w:rFonts w:cstheme="minorHAnsi"/>
          <w:b/>
          <w:bCs/>
        </w:rPr>
        <w:t xml:space="preserve">Sposób wykorzystania wyników z monitoringu i ewaluacji </w:t>
      </w:r>
    </w:p>
    <w:p w14:paraId="1AC0790C" w14:textId="7AE6A7F9" w:rsidR="0071475D" w:rsidRPr="00F16251" w:rsidRDefault="0071475D" w:rsidP="00AA50BB">
      <w:pPr>
        <w:spacing w:line="276" w:lineRule="auto"/>
        <w:ind w:right="6" w:firstLine="336"/>
        <w:jc w:val="both"/>
        <w:rPr>
          <w:rFonts w:cstheme="minorHAnsi"/>
        </w:rPr>
      </w:pPr>
      <w:r w:rsidRPr="00F16251">
        <w:rPr>
          <w:rFonts w:cstheme="minorHAnsi"/>
        </w:rPr>
        <w:t>Informacje uzyskane w wyniku badań oraz podejmowane działania zaradcze (jeśli wystąpi taka potrzeba) zapewnią terminowe i skuteczne wdrażania LSR, odpowiednią jakość stosowanych procedur, wyższą efektywność lokalnych kryteriów wyboru czy jakość świadczonych przez LGD usług. Dzięki temu zwiększy się szansa na osiągnięcie założeń LSR</w:t>
      </w:r>
      <w:r w:rsidR="00625BE4" w:rsidRPr="00F16251">
        <w:rPr>
          <w:rFonts w:cstheme="minorHAnsi"/>
        </w:rPr>
        <w:t>. Wyniki</w:t>
      </w:r>
      <w:r w:rsidRPr="00F16251">
        <w:rPr>
          <w:rFonts w:cstheme="minorHAnsi"/>
        </w:rPr>
        <w:t xml:space="preserve"> badań mogą być również przesłanką do zmiany zasad funkcjonowania LGD, czy zmian </w:t>
      </w:r>
      <w:r w:rsidR="00AA50BB" w:rsidRPr="00F16251">
        <w:rPr>
          <w:rFonts w:cstheme="minorHAnsi"/>
        </w:rPr>
        <w:br/>
      </w:r>
      <w:r w:rsidRPr="00F16251">
        <w:rPr>
          <w:rFonts w:cstheme="minorHAnsi"/>
        </w:rPr>
        <w:t xml:space="preserve">w LSR, w szczególności w zakresie aktualizacji problemów lub potrzeb oraz dostosowania budżetu, wskaźników lub innych założeń do zmieniających się warunków otoczenia LSR. </w:t>
      </w:r>
    </w:p>
    <w:p w14:paraId="7885757E" w14:textId="0631BDB4" w:rsidR="0071475D" w:rsidRPr="00F16251" w:rsidRDefault="0071475D" w:rsidP="0071475D">
      <w:pPr>
        <w:spacing w:line="276" w:lineRule="auto"/>
        <w:ind w:right="6" w:firstLine="336"/>
        <w:jc w:val="both"/>
        <w:rPr>
          <w:rFonts w:cstheme="minorHAnsi"/>
        </w:rPr>
      </w:pPr>
      <w:r w:rsidRPr="00F16251">
        <w:rPr>
          <w:rFonts w:cstheme="minorHAnsi"/>
        </w:rPr>
        <w:t xml:space="preserve">Z tego punktu widzenia systematyczne monitorowanie stanowi ważną część codziennego zarządzania organizacją i wdrażaną LSR. Dostarczane informacje pozwolą uzyskać wiedzę o występowaniu problemów </w:t>
      </w:r>
      <w:r w:rsidR="00AA50BB" w:rsidRPr="00F16251">
        <w:rPr>
          <w:rFonts w:cstheme="minorHAnsi"/>
        </w:rPr>
        <w:t xml:space="preserve">lub </w:t>
      </w:r>
      <w:r w:rsidRPr="00F16251">
        <w:rPr>
          <w:rFonts w:cstheme="minorHAnsi"/>
        </w:rPr>
        <w:t>rozbieżnościach w realizacji planów czy osiąganiu celów.</w:t>
      </w:r>
    </w:p>
    <w:p w14:paraId="5A2E66D4" w14:textId="2FF0224A" w:rsidR="00FA06CE" w:rsidRPr="00F16251" w:rsidRDefault="0071475D" w:rsidP="00E761B4">
      <w:pPr>
        <w:spacing w:line="276" w:lineRule="auto"/>
        <w:ind w:right="6" w:firstLine="336"/>
        <w:jc w:val="both"/>
        <w:rPr>
          <w:rFonts w:cstheme="minorHAnsi"/>
        </w:rPr>
      </w:pPr>
      <w:r w:rsidRPr="00F16251">
        <w:rPr>
          <w:rFonts w:cstheme="minorHAnsi"/>
        </w:rPr>
        <w:t xml:space="preserve">W przypadku wykrycia istotnych </w:t>
      </w:r>
      <w:r w:rsidR="00AA50BB" w:rsidRPr="00F16251">
        <w:rPr>
          <w:rFonts w:cstheme="minorHAnsi"/>
        </w:rPr>
        <w:t xml:space="preserve">odchyleń </w:t>
      </w:r>
      <w:r w:rsidR="00625BE4" w:rsidRPr="00F16251">
        <w:rPr>
          <w:rFonts w:cstheme="minorHAnsi"/>
        </w:rPr>
        <w:t>na etapie wdrażania</w:t>
      </w:r>
      <w:r w:rsidRPr="00F16251">
        <w:rPr>
          <w:rFonts w:cstheme="minorHAnsi"/>
        </w:rPr>
        <w:t xml:space="preserve"> lub zarządzania LSR, </w:t>
      </w:r>
      <w:r w:rsidR="00AA50BB" w:rsidRPr="00F16251">
        <w:rPr>
          <w:rFonts w:cstheme="minorHAnsi"/>
        </w:rPr>
        <w:t xml:space="preserve">Stowarzyszenie „Solidarni w Partnerstwie” </w:t>
      </w:r>
      <w:r w:rsidRPr="00F16251">
        <w:rPr>
          <w:rFonts w:cstheme="minorHAnsi"/>
        </w:rPr>
        <w:t xml:space="preserve">przygotuje i wdroży program naprawczy. Program ten zostanie stworzony przy udziale pracowników Biura, członków organów LGD oraz pozostałych członków Stowarzyszenia. Będzie podlegać akceptacji </w:t>
      </w:r>
      <w:r w:rsidR="00AA50BB" w:rsidRPr="00F16251">
        <w:rPr>
          <w:rFonts w:cstheme="minorHAnsi"/>
        </w:rPr>
        <w:lastRenderedPageBreak/>
        <w:t xml:space="preserve">społecznej </w:t>
      </w:r>
      <w:r w:rsidRPr="00F16251">
        <w:rPr>
          <w:rFonts w:cstheme="minorHAnsi"/>
        </w:rPr>
        <w:t xml:space="preserve">np. </w:t>
      </w:r>
      <w:r w:rsidR="00AA50BB" w:rsidRPr="00F16251">
        <w:rPr>
          <w:rFonts w:cstheme="minorHAnsi"/>
        </w:rPr>
        <w:t xml:space="preserve">poprzez aktualizację zapisów w </w:t>
      </w:r>
      <w:r w:rsidRPr="00F16251">
        <w:rPr>
          <w:rFonts w:cstheme="minorHAnsi"/>
        </w:rPr>
        <w:t>LSR. Proces</w:t>
      </w:r>
      <w:r w:rsidR="00AA50BB" w:rsidRPr="00F16251">
        <w:rPr>
          <w:rFonts w:cstheme="minorHAnsi"/>
        </w:rPr>
        <w:t>y</w:t>
      </w:r>
      <w:r w:rsidRPr="00F16251">
        <w:rPr>
          <w:rFonts w:cstheme="minorHAnsi"/>
        </w:rPr>
        <w:t xml:space="preserve"> monitoringu </w:t>
      </w:r>
      <w:r w:rsidR="00AA50BB" w:rsidRPr="00F16251">
        <w:rPr>
          <w:rFonts w:cstheme="minorHAnsi"/>
        </w:rPr>
        <w:t xml:space="preserve">i ewaluacji łączą się z zadaniami określonymi Planie </w:t>
      </w:r>
      <w:r w:rsidRPr="00F16251">
        <w:rPr>
          <w:rFonts w:cstheme="minorHAnsi"/>
        </w:rPr>
        <w:t>komunikacji</w:t>
      </w:r>
      <w:r w:rsidR="00AA50BB" w:rsidRPr="00F16251">
        <w:rPr>
          <w:rFonts w:cstheme="minorHAnsi"/>
        </w:rPr>
        <w:t>,</w:t>
      </w:r>
      <w:r w:rsidRPr="00F16251">
        <w:rPr>
          <w:rFonts w:cstheme="minorHAnsi"/>
        </w:rPr>
        <w:t xml:space="preserve"> w celu zaangażowania odpowiednich grup społecznych (adresatów LSR, ludzi młodych, seniorów czy osób w niekorzystnej sytuacji). </w:t>
      </w:r>
    </w:p>
    <w:p w14:paraId="684AEFA9" w14:textId="4A2EF938" w:rsidR="002C63F4" w:rsidRPr="00F16251" w:rsidRDefault="002C63F4" w:rsidP="00A26C26">
      <w:pPr>
        <w:tabs>
          <w:tab w:val="num" w:pos="720"/>
        </w:tabs>
        <w:spacing w:line="276" w:lineRule="auto"/>
        <w:ind w:left="90" w:right="6" w:hanging="11"/>
        <w:jc w:val="both"/>
        <w:rPr>
          <w:rFonts w:eastAsia="Calibri" w:cstheme="minorHAnsi"/>
          <w:kern w:val="0"/>
          <w:lang w:eastAsia="pl-PL"/>
          <w14:ligatures w14:val="none"/>
        </w:rPr>
      </w:pPr>
    </w:p>
    <w:p w14:paraId="4EBD210D" w14:textId="04F2010E" w:rsidR="002C63F4" w:rsidRPr="00F16251" w:rsidRDefault="002C63F4" w:rsidP="00A26C26">
      <w:pPr>
        <w:tabs>
          <w:tab w:val="num" w:pos="720"/>
        </w:tabs>
        <w:spacing w:line="276" w:lineRule="auto"/>
        <w:ind w:left="90" w:right="6" w:hanging="11"/>
        <w:jc w:val="both"/>
        <w:rPr>
          <w:rFonts w:eastAsia="Calibri" w:cstheme="minorHAnsi"/>
          <w:b/>
          <w:bCs/>
          <w:kern w:val="0"/>
          <w:lang w:eastAsia="pl-PL"/>
          <w14:ligatures w14:val="none"/>
        </w:rPr>
      </w:pPr>
      <w:r w:rsidRPr="00F16251">
        <w:rPr>
          <w:rFonts w:eastAsia="Calibri" w:cstheme="minorHAnsi"/>
          <w:b/>
          <w:bCs/>
          <w:kern w:val="0"/>
          <w:lang w:eastAsia="pl-PL"/>
          <w14:ligatures w14:val="none"/>
        </w:rPr>
        <w:t>Procedura</w:t>
      </w:r>
      <w:r w:rsidR="003B50ED" w:rsidRPr="00F16251">
        <w:rPr>
          <w:rFonts w:eastAsia="Calibri" w:cstheme="minorHAnsi"/>
          <w:b/>
          <w:bCs/>
          <w:kern w:val="0"/>
          <w:lang w:eastAsia="pl-PL"/>
          <w14:ligatures w14:val="none"/>
        </w:rPr>
        <w:t xml:space="preserve"> </w:t>
      </w:r>
      <w:r w:rsidRPr="00F16251">
        <w:rPr>
          <w:rFonts w:eastAsia="Calibri" w:cstheme="minorHAnsi"/>
          <w:b/>
          <w:bCs/>
          <w:kern w:val="0"/>
          <w:lang w:eastAsia="pl-PL"/>
          <w14:ligatures w14:val="none"/>
        </w:rPr>
        <w:t>ewaluacji</w:t>
      </w:r>
      <w:r w:rsidR="003B50ED" w:rsidRPr="00F16251">
        <w:rPr>
          <w:rFonts w:eastAsia="Calibri" w:cstheme="minorHAnsi"/>
          <w:b/>
          <w:bCs/>
          <w:kern w:val="0"/>
          <w:lang w:eastAsia="pl-PL"/>
          <w14:ligatures w14:val="none"/>
        </w:rPr>
        <w:t xml:space="preserve"> </w:t>
      </w:r>
      <w:r w:rsidRPr="00F16251">
        <w:rPr>
          <w:rFonts w:eastAsia="Calibri" w:cstheme="minorHAnsi"/>
          <w:b/>
          <w:bCs/>
          <w:kern w:val="0"/>
          <w:lang w:eastAsia="pl-PL"/>
          <w14:ligatures w14:val="none"/>
        </w:rPr>
        <w:t>i</w:t>
      </w:r>
      <w:r w:rsidR="003B50ED" w:rsidRPr="00F16251">
        <w:rPr>
          <w:rFonts w:eastAsia="Calibri" w:cstheme="minorHAnsi"/>
          <w:b/>
          <w:bCs/>
          <w:kern w:val="0"/>
          <w:lang w:eastAsia="pl-PL"/>
          <w14:ligatures w14:val="none"/>
        </w:rPr>
        <w:t xml:space="preserve"> </w:t>
      </w:r>
      <w:r w:rsidRPr="00F16251">
        <w:rPr>
          <w:rFonts w:eastAsia="Calibri" w:cstheme="minorHAnsi"/>
          <w:b/>
          <w:bCs/>
          <w:kern w:val="0"/>
          <w:lang w:eastAsia="pl-PL"/>
          <w14:ligatures w14:val="none"/>
        </w:rPr>
        <w:t>monitoringu</w:t>
      </w:r>
      <w:r w:rsidR="003B50ED" w:rsidRPr="00F16251">
        <w:rPr>
          <w:rFonts w:eastAsia="Calibri" w:cstheme="minorHAnsi"/>
          <w:b/>
          <w:bCs/>
          <w:kern w:val="0"/>
          <w:lang w:eastAsia="pl-PL"/>
          <w14:ligatures w14:val="none"/>
        </w:rPr>
        <w:t xml:space="preserve"> </w:t>
      </w:r>
    </w:p>
    <w:p w14:paraId="48A9DAF2" w14:textId="40A3B16A" w:rsidR="002C63F4" w:rsidRPr="00F16251" w:rsidRDefault="002C63F4" w:rsidP="00A26C26">
      <w:pPr>
        <w:tabs>
          <w:tab w:val="num" w:pos="720"/>
        </w:tabs>
        <w:spacing w:line="276" w:lineRule="auto"/>
        <w:ind w:left="90" w:right="6" w:hanging="11"/>
        <w:jc w:val="both"/>
        <w:rPr>
          <w:rFonts w:eastAsia="Calibri" w:cstheme="minorHAnsi"/>
          <w:kern w:val="0"/>
          <w:lang w:eastAsia="pl-PL"/>
          <w14:ligatures w14:val="none"/>
        </w:rPr>
      </w:pPr>
      <w:r w:rsidRPr="00F16251">
        <w:rPr>
          <w:rFonts w:eastAsia="Calibri" w:cstheme="minorHAnsi"/>
          <w:kern w:val="0"/>
          <w:lang w:eastAsia="pl-PL"/>
          <w14:ligatures w14:val="none"/>
        </w:rPr>
        <w:t>Procedura</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określa</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przebieg</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procesu</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monitorowania</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i</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ewaluacji.</w:t>
      </w:r>
    </w:p>
    <w:p w14:paraId="37414CFB" w14:textId="050F70F9" w:rsidR="002C63F4" w:rsidRPr="00F16251" w:rsidRDefault="002C63F4" w:rsidP="00A26C26">
      <w:pPr>
        <w:tabs>
          <w:tab w:val="num" w:pos="720"/>
        </w:tabs>
        <w:spacing w:line="276" w:lineRule="auto"/>
        <w:ind w:left="90" w:right="6" w:hanging="11"/>
        <w:jc w:val="both"/>
        <w:rPr>
          <w:rFonts w:eastAsia="Calibri" w:cstheme="minorHAnsi"/>
          <w:kern w:val="0"/>
          <w:lang w:eastAsia="pl-PL"/>
          <w14:ligatures w14:val="none"/>
        </w:rPr>
      </w:pPr>
      <w:r w:rsidRPr="00F16251">
        <w:rPr>
          <w:rFonts w:eastAsia="Calibri" w:cstheme="minorHAnsi"/>
          <w:kern w:val="0"/>
          <w:u w:val="single"/>
          <w:lang w:eastAsia="pl-PL"/>
          <w14:ligatures w14:val="none"/>
        </w:rPr>
        <w:t>Zakres</w:t>
      </w:r>
      <w:r w:rsidR="003B50ED" w:rsidRPr="00F16251">
        <w:rPr>
          <w:rFonts w:eastAsia="Calibri" w:cstheme="minorHAnsi"/>
          <w:kern w:val="0"/>
          <w:u w:val="single"/>
          <w:lang w:eastAsia="pl-PL"/>
          <w14:ligatures w14:val="none"/>
        </w:rPr>
        <w:t xml:space="preserve"> </w:t>
      </w:r>
      <w:r w:rsidRPr="00F16251">
        <w:rPr>
          <w:rFonts w:eastAsia="Calibri" w:cstheme="minorHAnsi"/>
          <w:kern w:val="0"/>
          <w:u w:val="single"/>
          <w:lang w:eastAsia="pl-PL"/>
          <w14:ligatures w14:val="none"/>
        </w:rPr>
        <w:t>procedury:</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Proces</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obejmuje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czynności</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w</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zakresie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monitoringu</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i</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ewaluacji</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od</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momentu</w:t>
      </w:r>
      <w:r w:rsidR="003B50ED" w:rsidRPr="00F16251">
        <w:rPr>
          <w:rFonts w:eastAsia="Calibri" w:cstheme="minorHAnsi"/>
          <w:kern w:val="0"/>
          <w:lang w:eastAsia="pl-PL"/>
          <w14:ligatures w14:val="none"/>
        </w:rPr>
        <w:t xml:space="preserve"> </w:t>
      </w:r>
      <w:r w:rsidR="00AA50BB" w:rsidRPr="00F16251">
        <w:rPr>
          <w:rFonts w:eastAsia="Calibri" w:cstheme="minorHAnsi"/>
          <w:kern w:val="0"/>
          <w:lang w:eastAsia="pl-PL"/>
          <w14:ligatures w14:val="none"/>
        </w:rPr>
        <w:t xml:space="preserve">zawarcia umowy ramowej </w:t>
      </w:r>
      <w:r w:rsidRPr="00F16251">
        <w:rPr>
          <w:rFonts w:eastAsia="Calibri" w:cstheme="minorHAnsi"/>
          <w:kern w:val="0"/>
          <w:lang w:eastAsia="pl-PL"/>
          <w14:ligatures w14:val="none"/>
        </w:rPr>
        <w:t>do</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momentu</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publikacji</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Raport</w:t>
      </w:r>
      <w:r w:rsidR="00625BE4" w:rsidRPr="00F16251">
        <w:rPr>
          <w:rFonts w:eastAsia="Calibri" w:cstheme="minorHAnsi"/>
          <w:kern w:val="0"/>
          <w:lang w:eastAsia="pl-PL"/>
          <w14:ligatures w14:val="none"/>
        </w:rPr>
        <w:t>u</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z</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ewaluacji</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ex-post.</w:t>
      </w:r>
      <w:r w:rsidR="003B50ED" w:rsidRPr="00F16251">
        <w:rPr>
          <w:rFonts w:eastAsia="Calibri" w:cstheme="minorHAnsi"/>
          <w:kern w:val="0"/>
          <w:lang w:eastAsia="pl-PL"/>
          <w14:ligatures w14:val="none"/>
        </w:rPr>
        <w:t xml:space="preserve"> </w:t>
      </w:r>
    </w:p>
    <w:p w14:paraId="5F331592" w14:textId="1FD115FA" w:rsidR="002C63F4" w:rsidRPr="00F16251" w:rsidRDefault="002C63F4" w:rsidP="00A26C26">
      <w:pPr>
        <w:tabs>
          <w:tab w:val="num" w:pos="720"/>
        </w:tabs>
        <w:spacing w:line="276" w:lineRule="auto"/>
        <w:ind w:left="90" w:right="6" w:hanging="11"/>
        <w:jc w:val="both"/>
        <w:rPr>
          <w:rFonts w:eastAsia="Calibri" w:cstheme="minorHAnsi"/>
          <w:kern w:val="0"/>
          <w:lang w:eastAsia="pl-PL"/>
          <w14:ligatures w14:val="none"/>
        </w:rPr>
      </w:pPr>
      <w:r w:rsidRPr="00F16251">
        <w:rPr>
          <w:rFonts w:eastAsia="Calibri" w:cstheme="minorHAnsi"/>
          <w:kern w:val="0"/>
          <w:u w:val="single"/>
          <w:lang w:eastAsia="pl-PL"/>
          <w14:ligatures w14:val="none"/>
        </w:rPr>
        <w:t>Założenie</w:t>
      </w:r>
      <w:r w:rsidR="003B50ED" w:rsidRPr="00F16251">
        <w:rPr>
          <w:rFonts w:eastAsia="Calibri" w:cstheme="minorHAnsi"/>
          <w:kern w:val="0"/>
          <w:u w:val="single"/>
          <w:lang w:eastAsia="pl-PL"/>
          <w14:ligatures w14:val="none"/>
        </w:rPr>
        <w:t xml:space="preserve"> </w:t>
      </w:r>
      <w:r w:rsidRPr="00F16251">
        <w:rPr>
          <w:rFonts w:eastAsia="Calibri" w:cstheme="minorHAnsi"/>
          <w:kern w:val="0"/>
          <w:u w:val="single"/>
          <w:lang w:eastAsia="pl-PL"/>
          <w14:ligatures w14:val="none"/>
        </w:rPr>
        <w:t>ogólne</w:t>
      </w:r>
      <w:r w:rsidRPr="00F16251">
        <w:rPr>
          <w:rFonts w:eastAsia="Calibri" w:cstheme="minorHAnsi"/>
          <w:kern w:val="0"/>
          <w:lang w:eastAsia="pl-PL"/>
          <w14:ligatures w14:val="none"/>
        </w:rPr>
        <w:t>:</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Monitoring</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będzie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procesem</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ciągłym,</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przy</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czym</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wyniki</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będą</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gromadzone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półrocznie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lub</w:t>
      </w:r>
      <w:r w:rsidR="003B50ED" w:rsidRPr="00F16251">
        <w:rPr>
          <w:rFonts w:eastAsia="Calibri" w:cstheme="minorHAnsi"/>
          <w:kern w:val="0"/>
          <w:lang w:eastAsia="pl-PL"/>
          <w14:ligatures w14:val="none"/>
        </w:rPr>
        <w:t xml:space="preserve"> </w:t>
      </w:r>
      <w:r w:rsidR="00AA50BB" w:rsidRPr="00F16251">
        <w:rPr>
          <w:rFonts w:eastAsia="Calibri" w:cstheme="minorHAnsi"/>
          <w:kern w:val="0"/>
          <w:lang w:eastAsia="pl-PL"/>
          <w14:ligatures w14:val="none"/>
        </w:rPr>
        <w:t xml:space="preserve">– jeśli zajedzie taka potrzeba - </w:t>
      </w:r>
      <w:r w:rsidRPr="00F16251">
        <w:rPr>
          <w:rFonts w:eastAsia="Calibri" w:cstheme="minorHAnsi"/>
          <w:kern w:val="0"/>
          <w:lang w:eastAsia="pl-PL"/>
          <w14:ligatures w14:val="none"/>
        </w:rPr>
        <w:t>kwartalnie.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Ewaluacja</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będzie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prowadzona</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okresowo.</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W</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ramach</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ewaluacji</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on-</w:t>
      </w:r>
      <w:proofErr w:type="spellStart"/>
      <w:r w:rsidRPr="00F16251">
        <w:rPr>
          <w:rFonts w:eastAsia="Calibri" w:cstheme="minorHAnsi"/>
          <w:kern w:val="0"/>
          <w:lang w:eastAsia="pl-PL"/>
          <w14:ligatures w14:val="none"/>
        </w:rPr>
        <w:t>going</w:t>
      </w:r>
      <w:proofErr w:type="spellEnd"/>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raporty</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będę</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sporządzane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w</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kwartale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następującym</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po</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roku,</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którego</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badanie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on-</w:t>
      </w:r>
      <w:proofErr w:type="spellStart"/>
      <w:r w:rsidRPr="00F16251">
        <w:rPr>
          <w:rFonts w:eastAsia="Calibri" w:cstheme="minorHAnsi"/>
          <w:kern w:val="0"/>
          <w:lang w:eastAsia="pl-PL"/>
          <w14:ligatures w14:val="none"/>
        </w:rPr>
        <w:t>going</w:t>
      </w:r>
      <w:proofErr w:type="spellEnd"/>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dotyczy.</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W</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przypadku</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ewaluacji</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ex-post</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raport</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powstanie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po</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realizacji</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LSR</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lub</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na</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końcowym</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etapie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wdrażania.</w:t>
      </w:r>
      <w:r w:rsidR="003B50ED" w:rsidRPr="00F16251">
        <w:rPr>
          <w:rFonts w:eastAsia="Calibri" w:cstheme="minorHAnsi"/>
          <w:kern w:val="0"/>
          <w:lang w:eastAsia="pl-PL"/>
          <w14:ligatures w14:val="none"/>
        </w:rPr>
        <w:t xml:space="preserve"> </w:t>
      </w:r>
    </w:p>
    <w:p w14:paraId="45CF5A74" w14:textId="2CE35A9F" w:rsidR="002C63F4" w:rsidRPr="00F16251" w:rsidRDefault="002C63F4" w:rsidP="00A26C26">
      <w:pPr>
        <w:tabs>
          <w:tab w:val="num" w:pos="720"/>
        </w:tabs>
        <w:spacing w:line="276" w:lineRule="auto"/>
        <w:ind w:left="90" w:right="6" w:hanging="11"/>
        <w:jc w:val="both"/>
        <w:rPr>
          <w:rFonts w:eastAsia="Calibri" w:cstheme="minorHAnsi"/>
          <w:kern w:val="0"/>
          <w:lang w:eastAsia="pl-PL"/>
          <w14:ligatures w14:val="none"/>
        </w:rPr>
      </w:pPr>
      <w:r w:rsidRPr="00F16251">
        <w:rPr>
          <w:rFonts w:eastAsia="Calibri" w:cstheme="minorHAnsi"/>
          <w:kern w:val="0"/>
          <w:u w:val="single"/>
          <w:lang w:eastAsia="pl-PL"/>
          <w14:ligatures w14:val="none"/>
        </w:rPr>
        <w:t>Osoby</w:t>
      </w:r>
      <w:r w:rsidR="003B50ED" w:rsidRPr="00F16251">
        <w:rPr>
          <w:rFonts w:eastAsia="Calibri" w:cstheme="minorHAnsi"/>
          <w:kern w:val="0"/>
          <w:u w:val="single"/>
          <w:lang w:eastAsia="pl-PL"/>
          <w14:ligatures w14:val="none"/>
        </w:rPr>
        <w:t xml:space="preserve"> </w:t>
      </w:r>
      <w:r w:rsidRPr="00F16251">
        <w:rPr>
          <w:rFonts w:eastAsia="Calibri" w:cstheme="minorHAnsi"/>
          <w:kern w:val="0"/>
          <w:u w:val="single"/>
          <w:lang w:eastAsia="pl-PL"/>
          <w14:ligatures w14:val="none"/>
        </w:rPr>
        <w:t>odpowiedzialne: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Nadzór</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nad</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procesem</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monitoringu</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i</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ewaluacji</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będzie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sprawować</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Zarząd.</w:t>
      </w:r>
      <w:r w:rsidR="003B50ED" w:rsidRPr="00F16251">
        <w:rPr>
          <w:rFonts w:eastAsia="Calibri" w:cstheme="minorHAnsi"/>
          <w:kern w:val="0"/>
          <w:lang w:eastAsia="pl-PL"/>
          <w14:ligatures w14:val="none"/>
        </w:rPr>
        <w:t xml:space="preserve"> </w:t>
      </w:r>
    </w:p>
    <w:p w14:paraId="3ECDFADE" w14:textId="28FE82D6" w:rsidR="002C63F4" w:rsidRPr="00F16251" w:rsidRDefault="002C63F4" w:rsidP="00A26C26">
      <w:pPr>
        <w:tabs>
          <w:tab w:val="num" w:pos="720"/>
        </w:tabs>
        <w:spacing w:line="276" w:lineRule="auto"/>
        <w:ind w:left="90" w:right="6" w:hanging="11"/>
        <w:jc w:val="both"/>
        <w:rPr>
          <w:rFonts w:eastAsia="Calibri" w:cstheme="minorHAnsi"/>
          <w:kern w:val="0"/>
          <w:lang w:eastAsia="pl-PL"/>
          <w14:ligatures w14:val="none"/>
        </w:rPr>
      </w:pPr>
      <w:r w:rsidRPr="00F16251">
        <w:rPr>
          <w:rFonts w:eastAsia="Calibri" w:cstheme="minorHAnsi"/>
          <w:kern w:val="0"/>
          <w:lang w:eastAsia="pl-PL"/>
          <w14:ligatures w14:val="none"/>
        </w:rPr>
        <w:t>Proces</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monitoringu</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i</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ewaluacji</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on-</w:t>
      </w:r>
      <w:proofErr w:type="spellStart"/>
      <w:r w:rsidRPr="00F16251">
        <w:rPr>
          <w:rFonts w:eastAsia="Calibri" w:cstheme="minorHAnsi"/>
          <w:kern w:val="0"/>
          <w:lang w:eastAsia="pl-PL"/>
          <w14:ligatures w14:val="none"/>
        </w:rPr>
        <w:t>going</w:t>
      </w:r>
      <w:proofErr w:type="spellEnd"/>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będzie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prowadzony</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przez</w:t>
      </w:r>
      <w:r w:rsidR="003B50ED" w:rsidRPr="00F16251">
        <w:rPr>
          <w:rFonts w:eastAsia="Calibri" w:cstheme="minorHAnsi"/>
          <w:kern w:val="0"/>
          <w:lang w:eastAsia="pl-PL"/>
          <w14:ligatures w14:val="none"/>
        </w:rPr>
        <w:t xml:space="preserve"> </w:t>
      </w:r>
      <w:r w:rsidR="005D4905" w:rsidRPr="00F16251">
        <w:rPr>
          <w:rFonts w:eastAsia="Calibri" w:cstheme="minorHAnsi"/>
          <w:kern w:val="0"/>
          <w:lang w:eastAsia="pl-PL"/>
          <w14:ligatures w14:val="none"/>
        </w:rPr>
        <w:t>pracowników</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Biura</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LGD</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lub</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przez</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eksperta</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zewnętrznego.</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Proces</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ewaluacji</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ex-post</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będzie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mógł</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być</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prowadzony</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przez</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doświadczoną</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firmę</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zewnętrzną.</w:t>
      </w:r>
    </w:p>
    <w:p w14:paraId="7F1DF19C" w14:textId="7B532683" w:rsidR="002C63F4" w:rsidRPr="00F16251" w:rsidRDefault="002C63F4" w:rsidP="00A26C26">
      <w:pPr>
        <w:tabs>
          <w:tab w:val="num" w:pos="720"/>
        </w:tabs>
        <w:spacing w:line="276" w:lineRule="auto"/>
        <w:ind w:left="90" w:right="6" w:hanging="11"/>
        <w:jc w:val="both"/>
        <w:rPr>
          <w:rFonts w:eastAsia="Calibri" w:cstheme="minorHAnsi"/>
          <w:kern w:val="0"/>
          <w:u w:val="single"/>
          <w:lang w:eastAsia="pl-PL"/>
          <w14:ligatures w14:val="none"/>
        </w:rPr>
      </w:pPr>
      <w:r w:rsidRPr="00F16251">
        <w:rPr>
          <w:rFonts w:eastAsia="Calibri" w:cstheme="minorHAnsi"/>
          <w:kern w:val="0"/>
          <w:u w:val="single"/>
          <w:lang w:eastAsia="pl-PL"/>
          <w14:ligatures w14:val="none"/>
        </w:rPr>
        <w:t>Przebieg</w:t>
      </w:r>
      <w:r w:rsidR="003B50ED" w:rsidRPr="00F16251">
        <w:rPr>
          <w:rFonts w:eastAsia="Calibri" w:cstheme="minorHAnsi"/>
          <w:kern w:val="0"/>
          <w:u w:val="single"/>
          <w:lang w:eastAsia="pl-PL"/>
          <w14:ligatures w14:val="none"/>
        </w:rPr>
        <w:t xml:space="preserve"> </w:t>
      </w:r>
      <w:r w:rsidRPr="00F16251">
        <w:rPr>
          <w:rFonts w:eastAsia="Calibri" w:cstheme="minorHAnsi"/>
          <w:kern w:val="0"/>
          <w:u w:val="single"/>
          <w:lang w:eastAsia="pl-PL"/>
          <w14:ligatures w14:val="none"/>
        </w:rPr>
        <w:t>procedury:</w:t>
      </w:r>
      <w:r w:rsidR="003B50ED" w:rsidRPr="00F16251">
        <w:rPr>
          <w:rFonts w:eastAsia="Calibri" w:cstheme="minorHAnsi"/>
          <w:kern w:val="0"/>
          <w:u w:val="single"/>
          <w:lang w:eastAsia="pl-PL"/>
          <w14:ligatures w14:val="none"/>
        </w:rPr>
        <w:t xml:space="preserve"> </w:t>
      </w:r>
    </w:p>
    <w:p w14:paraId="6900B827" w14:textId="77777777" w:rsidR="00AA50BB" w:rsidRPr="00F16251" w:rsidRDefault="00AA50BB" w:rsidP="008A412F">
      <w:pPr>
        <w:pStyle w:val="Akapitzlist"/>
        <w:numPr>
          <w:ilvl w:val="0"/>
          <w:numId w:val="25"/>
        </w:numPr>
        <w:tabs>
          <w:tab w:val="num" w:pos="720"/>
        </w:tabs>
        <w:spacing w:line="276" w:lineRule="auto"/>
        <w:ind w:right="6"/>
        <w:jc w:val="both"/>
        <w:rPr>
          <w:rFonts w:cstheme="minorHAnsi"/>
          <w:kern w:val="0"/>
          <w14:ligatures w14:val="none"/>
        </w:rPr>
      </w:pPr>
      <w:r w:rsidRPr="00691436">
        <w:rPr>
          <w:rFonts w:cstheme="minorHAnsi"/>
          <w:b/>
          <w:kern w:val="0"/>
          <w14:ligatures w14:val="none"/>
        </w:rPr>
        <w:t>Zarząd</w:t>
      </w:r>
      <w:r w:rsidRPr="00F16251">
        <w:rPr>
          <w:rFonts w:cstheme="minorHAnsi"/>
          <w:kern w:val="0"/>
          <w14:ligatures w14:val="none"/>
        </w:rPr>
        <w:t xml:space="preserve"> - z pomocą pracowników Biura - określa czynności niezbędne do pozyskania danych i informacji niezbędnych do monitorowania, dokonuje wyboru narzędzi adekwatnych do zakresu badania. </w:t>
      </w:r>
    </w:p>
    <w:p w14:paraId="4B5AF82D" w14:textId="3124C00D" w:rsidR="002C63F4" w:rsidRPr="00F16251" w:rsidRDefault="002C63F4" w:rsidP="008A412F">
      <w:pPr>
        <w:numPr>
          <w:ilvl w:val="0"/>
          <w:numId w:val="25"/>
        </w:numPr>
        <w:tabs>
          <w:tab w:val="num" w:pos="720"/>
        </w:tabs>
        <w:spacing w:line="276" w:lineRule="auto"/>
        <w:ind w:right="6"/>
        <w:jc w:val="both"/>
        <w:rPr>
          <w:rFonts w:cstheme="minorHAnsi"/>
          <w:kern w:val="0"/>
          <w14:ligatures w14:val="none"/>
        </w:rPr>
      </w:pP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procesie</w:t>
      </w:r>
      <w:r w:rsidR="003B50ED" w:rsidRPr="00F16251">
        <w:rPr>
          <w:rFonts w:cstheme="minorHAnsi"/>
          <w:kern w:val="0"/>
          <w14:ligatures w14:val="none"/>
        </w:rPr>
        <w:t xml:space="preserve"> </w:t>
      </w:r>
      <w:r w:rsidRPr="00F16251">
        <w:rPr>
          <w:rFonts w:cstheme="minorHAnsi"/>
          <w:kern w:val="0"/>
          <w14:ligatures w14:val="none"/>
        </w:rPr>
        <w:t>monitoringu</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ewaluacji</w:t>
      </w:r>
      <w:r w:rsidR="003B50ED" w:rsidRPr="00F16251">
        <w:rPr>
          <w:rFonts w:cstheme="minorHAnsi"/>
          <w:kern w:val="0"/>
          <w14:ligatures w14:val="none"/>
        </w:rPr>
        <w:t xml:space="preserve"> </w:t>
      </w:r>
      <w:r w:rsidRPr="00F16251">
        <w:rPr>
          <w:rFonts w:cstheme="minorHAnsi"/>
          <w:kern w:val="0"/>
          <w14:ligatures w14:val="none"/>
        </w:rPr>
        <w:t>wykorzystywane</w:t>
      </w:r>
      <w:r w:rsidR="003B50ED" w:rsidRPr="00F16251">
        <w:rPr>
          <w:rFonts w:cstheme="minorHAnsi"/>
          <w:kern w:val="0"/>
          <w14:ligatures w14:val="none"/>
        </w:rPr>
        <w:t xml:space="preserve"> </w:t>
      </w:r>
      <w:r w:rsidRPr="00F16251">
        <w:rPr>
          <w:rFonts w:cstheme="minorHAnsi"/>
          <w:kern w:val="0"/>
          <w14:ligatures w14:val="none"/>
        </w:rPr>
        <w:t>będą</w:t>
      </w:r>
      <w:r w:rsidR="003B50ED" w:rsidRPr="00F16251">
        <w:rPr>
          <w:rFonts w:cstheme="minorHAnsi"/>
          <w:kern w:val="0"/>
          <w14:ligatures w14:val="none"/>
        </w:rPr>
        <w:t xml:space="preserve"> </w:t>
      </w:r>
      <w:r w:rsidRPr="00F16251">
        <w:rPr>
          <w:rFonts w:cstheme="minorHAnsi"/>
          <w:kern w:val="0"/>
          <w14:ligatures w14:val="none"/>
        </w:rPr>
        <w:t>różnorodne</w:t>
      </w:r>
      <w:r w:rsidR="003B50ED" w:rsidRPr="00F16251">
        <w:rPr>
          <w:rFonts w:cstheme="minorHAnsi"/>
          <w:kern w:val="0"/>
          <w14:ligatures w14:val="none"/>
        </w:rPr>
        <w:t xml:space="preserve"> </w:t>
      </w:r>
      <w:r w:rsidRPr="00F16251">
        <w:rPr>
          <w:rFonts w:cstheme="minorHAnsi"/>
          <w:kern w:val="0"/>
          <w14:ligatures w14:val="none"/>
        </w:rPr>
        <w:t>narzędzia</w:t>
      </w:r>
      <w:r w:rsidR="003B50ED" w:rsidRPr="00F16251">
        <w:rPr>
          <w:rFonts w:cstheme="minorHAnsi"/>
          <w:kern w:val="0"/>
          <w14:ligatures w14:val="none"/>
        </w:rPr>
        <w:t xml:space="preserve"> </w:t>
      </w:r>
      <w:r w:rsidRPr="00F16251">
        <w:rPr>
          <w:rFonts w:cstheme="minorHAnsi"/>
          <w:kern w:val="0"/>
          <w14:ligatures w14:val="none"/>
        </w:rPr>
        <w:t>oraz</w:t>
      </w:r>
      <w:r w:rsidR="003B50ED" w:rsidRPr="00F16251">
        <w:rPr>
          <w:rFonts w:cstheme="minorHAnsi"/>
          <w:kern w:val="0"/>
          <w14:ligatures w14:val="none"/>
        </w:rPr>
        <w:t xml:space="preserve"> </w:t>
      </w:r>
      <w:r w:rsidRPr="00F16251">
        <w:rPr>
          <w:rFonts w:cstheme="minorHAnsi"/>
          <w:kern w:val="0"/>
          <w14:ligatures w14:val="none"/>
        </w:rPr>
        <w:t>partycypacyjne</w:t>
      </w:r>
      <w:r w:rsidR="003B50ED" w:rsidRPr="00F16251">
        <w:rPr>
          <w:rFonts w:cstheme="minorHAnsi"/>
          <w:kern w:val="0"/>
          <w14:ligatures w14:val="none"/>
        </w:rPr>
        <w:t xml:space="preserve"> </w:t>
      </w:r>
      <w:r w:rsidRPr="00F16251">
        <w:rPr>
          <w:rFonts w:cstheme="minorHAnsi"/>
          <w:kern w:val="0"/>
          <w14:ligatures w14:val="none"/>
        </w:rPr>
        <w:t>metody</w:t>
      </w:r>
      <w:r w:rsidR="003B50ED" w:rsidRPr="00F16251">
        <w:rPr>
          <w:rFonts w:cstheme="minorHAnsi"/>
          <w:kern w:val="0"/>
          <w14:ligatures w14:val="none"/>
        </w:rPr>
        <w:t xml:space="preserve"> </w:t>
      </w:r>
      <w:r w:rsidRPr="00F16251">
        <w:rPr>
          <w:rFonts w:cstheme="minorHAnsi"/>
          <w:kern w:val="0"/>
          <w14:ligatures w14:val="none"/>
        </w:rPr>
        <w:t>zapewniające</w:t>
      </w:r>
      <w:r w:rsidR="003B50ED" w:rsidRPr="00F16251">
        <w:rPr>
          <w:rFonts w:cstheme="minorHAnsi"/>
          <w:kern w:val="0"/>
          <w14:ligatures w14:val="none"/>
        </w:rPr>
        <w:t xml:space="preserve"> </w:t>
      </w:r>
      <w:r w:rsidRPr="00F16251">
        <w:rPr>
          <w:rFonts w:cstheme="minorHAnsi"/>
          <w:kern w:val="0"/>
          <w14:ligatures w14:val="none"/>
        </w:rPr>
        <w:t>zaangażowanie</w:t>
      </w:r>
      <w:r w:rsidR="003B50ED" w:rsidRPr="00F16251">
        <w:rPr>
          <w:rFonts w:cstheme="minorHAnsi"/>
          <w:kern w:val="0"/>
          <w14:ligatures w14:val="none"/>
        </w:rPr>
        <w:t xml:space="preserve"> </w:t>
      </w:r>
      <w:r w:rsidRPr="00F16251">
        <w:rPr>
          <w:rFonts w:cstheme="minorHAnsi"/>
          <w:kern w:val="0"/>
          <w14:ligatures w14:val="none"/>
        </w:rPr>
        <w:t>lokalnej</w:t>
      </w:r>
      <w:r w:rsidR="003B50ED" w:rsidRPr="00F16251">
        <w:rPr>
          <w:rFonts w:cstheme="minorHAnsi"/>
          <w:kern w:val="0"/>
          <w14:ligatures w14:val="none"/>
        </w:rPr>
        <w:t xml:space="preserve"> </w:t>
      </w:r>
      <w:r w:rsidRPr="00F16251">
        <w:rPr>
          <w:rFonts w:cstheme="minorHAnsi"/>
          <w:kern w:val="0"/>
          <w14:ligatures w14:val="none"/>
        </w:rPr>
        <w:t>społeczności,</w:t>
      </w:r>
      <w:r w:rsidR="003B50ED" w:rsidRPr="00F16251">
        <w:rPr>
          <w:rFonts w:cstheme="minorHAnsi"/>
          <w:kern w:val="0"/>
          <w14:ligatures w14:val="none"/>
        </w:rPr>
        <w:t xml:space="preserve"> </w:t>
      </w:r>
      <w:r w:rsidRPr="00F16251">
        <w:rPr>
          <w:rFonts w:cstheme="minorHAnsi"/>
          <w:kern w:val="0"/>
          <w14:ligatures w14:val="none"/>
        </w:rPr>
        <w:t>stosowane</w:t>
      </w:r>
      <w:r w:rsidR="003B50ED" w:rsidRPr="00F16251">
        <w:rPr>
          <w:rFonts w:cstheme="minorHAnsi"/>
          <w:kern w:val="0"/>
          <w14:ligatures w14:val="none"/>
        </w:rPr>
        <w:t xml:space="preserve"> </w:t>
      </w:r>
      <w:r w:rsidRPr="00F16251">
        <w:rPr>
          <w:rFonts w:cstheme="minorHAnsi"/>
          <w:kern w:val="0"/>
          <w14:ligatures w14:val="none"/>
        </w:rPr>
        <w:t>wcześniej</w:t>
      </w:r>
      <w:r w:rsidR="003B50ED" w:rsidRPr="00F16251">
        <w:rPr>
          <w:rFonts w:cstheme="minorHAnsi"/>
          <w:kern w:val="0"/>
          <w14:ligatures w14:val="none"/>
        </w:rPr>
        <w:t xml:space="preserve"> </w:t>
      </w:r>
      <w:r w:rsidRPr="00F16251">
        <w:rPr>
          <w:rFonts w:cstheme="minorHAnsi"/>
          <w:kern w:val="0"/>
          <w14:ligatures w14:val="none"/>
        </w:rPr>
        <w:t>przy</w:t>
      </w:r>
      <w:r w:rsidR="003B50ED" w:rsidRPr="00F16251">
        <w:rPr>
          <w:rFonts w:cstheme="minorHAnsi"/>
          <w:kern w:val="0"/>
          <w14:ligatures w14:val="none"/>
        </w:rPr>
        <w:t xml:space="preserve"> </w:t>
      </w:r>
      <w:r w:rsidRPr="00F16251">
        <w:rPr>
          <w:rFonts w:cstheme="minorHAnsi"/>
          <w:kern w:val="0"/>
          <w14:ligatures w14:val="none"/>
        </w:rPr>
        <w:t>przygotowaniu</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aktualizacji</w:t>
      </w:r>
      <w:r w:rsidR="003B50ED" w:rsidRPr="00F16251">
        <w:rPr>
          <w:rFonts w:cstheme="minorHAnsi"/>
          <w:kern w:val="0"/>
          <w14:ligatures w14:val="none"/>
        </w:rPr>
        <w:t xml:space="preserve"> </w:t>
      </w:r>
      <w:r w:rsidRPr="00F16251">
        <w:rPr>
          <w:rFonts w:cstheme="minorHAnsi"/>
          <w:kern w:val="0"/>
          <w14:ligatures w14:val="none"/>
        </w:rPr>
        <w:t>LSR,</w:t>
      </w:r>
      <w:r w:rsidR="003B50ED" w:rsidRPr="00F16251">
        <w:rPr>
          <w:rFonts w:cstheme="minorHAnsi"/>
          <w:kern w:val="0"/>
          <w14:ligatures w14:val="none"/>
        </w:rPr>
        <w:t xml:space="preserve"> </w:t>
      </w:r>
      <w:r w:rsidRPr="00F16251">
        <w:rPr>
          <w:rFonts w:cstheme="minorHAnsi"/>
          <w:kern w:val="0"/>
          <w14:ligatures w14:val="none"/>
        </w:rPr>
        <w:t>żeby</w:t>
      </w:r>
      <w:r w:rsidR="003B50ED" w:rsidRPr="00F16251">
        <w:rPr>
          <w:rFonts w:cstheme="minorHAnsi"/>
          <w:kern w:val="0"/>
          <w14:ligatures w14:val="none"/>
        </w:rPr>
        <w:t xml:space="preserve"> </w:t>
      </w:r>
      <w:r w:rsidRPr="00F16251">
        <w:rPr>
          <w:rFonts w:cstheme="minorHAnsi"/>
          <w:kern w:val="0"/>
          <w14:ligatures w14:val="none"/>
        </w:rPr>
        <w:t>możliwa</w:t>
      </w:r>
      <w:r w:rsidR="003B50ED" w:rsidRPr="00F16251">
        <w:rPr>
          <w:rFonts w:cstheme="minorHAnsi"/>
          <w:kern w:val="0"/>
          <w14:ligatures w14:val="none"/>
        </w:rPr>
        <w:t xml:space="preserve"> </w:t>
      </w:r>
      <w:r w:rsidRPr="00F16251">
        <w:rPr>
          <w:rFonts w:cstheme="minorHAnsi"/>
          <w:kern w:val="0"/>
          <w14:ligatures w14:val="none"/>
        </w:rPr>
        <w:t>była</w:t>
      </w:r>
      <w:r w:rsidR="003B50ED" w:rsidRPr="00F16251">
        <w:rPr>
          <w:rFonts w:cstheme="minorHAnsi"/>
          <w:kern w:val="0"/>
          <w14:ligatures w14:val="none"/>
        </w:rPr>
        <w:t xml:space="preserve"> </w:t>
      </w:r>
      <w:r w:rsidRPr="00F16251">
        <w:rPr>
          <w:rFonts w:cstheme="minorHAnsi"/>
          <w:kern w:val="0"/>
          <w14:ligatures w14:val="none"/>
        </w:rPr>
        <w:t>kompleksowa</w:t>
      </w:r>
      <w:r w:rsidR="003B50ED" w:rsidRPr="00F16251">
        <w:rPr>
          <w:rFonts w:cstheme="minorHAnsi"/>
          <w:kern w:val="0"/>
          <w14:ligatures w14:val="none"/>
        </w:rPr>
        <w:t xml:space="preserve"> </w:t>
      </w:r>
      <w:r w:rsidRPr="00F16251">
        <w:rPr>
          <w:rFonts w:cstheme="minorHAnsi"/>
          <w:kern w:val="0"/>
          <w14:ligatures w14:val="none"/>
        </w:rPr>
        <w:t>analiza</w:t>
      </w:r>
      <w:r w:rsidR="003B50ED" w:rsidRPr="00F16251">
        <w:rPr>
          <w:rFonts w:cstheme="minorHAnsi"/>
          <w:kern w:val="0"/>
          <w14:ligatures w14:val="none"/>
        </w:rPr>
        <w:t xml:space="preserve"> </w:t>
      </w:r>
      <w:r w:rsidRPr="00F16251">
        <w:rPr>
          <w:rFonts w:cstheme="minorHAnsi"/>
          <w:kern w:val="0"/>
          <w14:ligatures w14:val="none"/>
        </w:rPr>
        <w:t>danych,</w:t>
      </w:r>
      <w:r w:rsidR="003B50ED" w:rsidRPr="00F16251">
        <w:rPr>
          <w:rFonts w:cstheme="minorHAnsi"/>
          <w:kern w:val="0"/>
          <w14:ligatures w14:val="none"/>
        </w:rPr>
        <w:t xml:space="preserve"> </w:t>
      </w:r>
      <w:r w:rsidRPr="00F16251">
        <w:rPr>
          <w:rFonts w:cstheme="minorHAnsi"/>
          <w:kern w:val="0"/>
          <w14:ligatures w14:val="none"/>
        </w:rPr>
        <w:t>zebranie</w:t>
      </w:r>
      <w:r w:rsidR="003B50ED" w:rsidRPr="00F16251">
        <w:rPr>
          <w:rFonts w:cstheme="minorHAnsi"/>
          <w:kern w:val="0"/>
          <w14:ligatures w14:val="none"/>
        </w:rPr>
        <w:t xml:space="preserve"> </w:t>
      </w:r>
      <w:r w:rsidRPr="00F16251">
        <w:rPr>
          <w:rFonts w:cstheme="minorHAnsi"/>
          <w:kern w:val="0"/>
          <w14:ligatures w14:val="none"/>
        </w:rPr>
        <w:t>reprezentatywnych</w:t>
      </w:r>
      <w:r w:rsidR="003B50ED" w:rsidRPr="00F16251">
        <w:rPr>
          <w:rFonts w:cstheme="minorHAnsi"/>
          <w:kern w:val="0"/>
          <w14:ligatures w14:val="none"/>
        </w:rPr>
        <w:t xml:space="preserve"> </w:t>
      </w:r>
      <w:r w:rsidRPr="00F16251">
        <w:rPr>
          <w:rFonts w:cstheme="minorHAnsi"/>
          <w:kern w:val="0"/>
          <w14:ligatures w14:val="none"/>
        </w:rPr>
        <w:t>opinii</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wykorzystanie</w:t>
      </w:r>
      <w:r w:rsidR="003B50ED" w:rsidRPr="00F16251">
        <w:rPr>
          <w:rFonts w:cstheme="minorHAnsi"/>
          <w:kern w:val="0"/>
          <w14:ligatures w14:val="none"/>
        </w:rPr>
        <w:t xml:space="preserve"> </w:t>
      </w:r>
      <w:r w:rsidRPr="00F16251">
        <w:rPr>
          <w:rFonts w:cstheme="minorHAnsi"/>
          <w:kern w:val="0"/>
          <w14:ligatures w14:val="none"/>
        </w:rPr>
        <w:t>wniosków.</w:t>
      </w:r>
      <w:r w:rsidR="003B50ED" w:rsidRPr="00F16251">
        <w:rPr>
          <w:rFonts w:cstheme="minorHAnsi"/>
          <w:kern w:val="0"/>
          <w14:ligatures w14:val="none"/>
        </w:rPr>
        <w:t xml:space="preserve"> </w:t>
      </w:r>
    </w:p>
    <w:p w14:paraId="32F10E03" w14:textId="426803B1" w:rsidR="002C63F4" w:rsidRPr="00F16251" w:rsidRDefault="00AA50BB" w:rsidP="008A412F">
      <w:pPr>
        <w:numPr>
          <w:ilvl w:val="0"/>
          <w:numId w:val="25"/>
        </w:numPr>
        <w:tabs>
          <w:tab w:val="num" w:pos="720"/>
        </w:tabs>
        <w:spacing w:line="276" w:lineRule="auto"/>
        <w:ind w:right="6"/>
        <w:jc w:val="both"/>
        <w:rPr>
          <w:rFonts w:cstheme="minorHAnsi"/>
          <w:kern w:val="0"/>
          <w14:ligatures w14:val="none"/>
        </w:rPr>
      </w:pPr>
      <w:r w:rsidRPr="00F16251">
        <w:rPr>
          <w:rFonts w:cstheme="minorHAnsi"/>
          <w:kern w:val="0"/>
          <w14:ligatures w14:val="none"/>
        </w:rPr>
        <w:t xml:space="preserve">Biuro LGD </w:t>
      </w:r>
      <w:r w:rsidR="002C63F4" w:rsidRPr="00F16251">
        <w:rPr>
          <w:rFonts w:cstheme="minorHAnsi"/>
          <w:kern w:val="0"/>
          <w14:ligatures w14:val="none"/>
        </w:rPr>
        <w:t>może</w:t>
      </w:r>
      <w:r w:rsidR="003B50ED" w:rsidRPr="00F16251">
        <w:rPr>
          <w:rFonts w:cstheme="minorHAnsi"/>
          <w:kern w:val="0"/>
          <w14:ligatures w14:val="none"/>
        </w:rPr>
        <w:t xml:space="preserve"> </w:t>
      </w:r>
      <w:r w:rsidR="002C63F4" w:rsidRPr="00F16251">
        <w:rPr>
          <w:rFonts w:cstheme="minorHAnsi"/>
          <w:kern w:val="0"/>
          <w14:ligatures w14:val="none"/>
        </w:rPr>
        <w:t>zwrócić</w:t>
      </w:r>
      <w:r w:rsidR="003B50ED" w:rsidRPr="00F16251">
        <w:rPr>
          <w:rFonts w:cstheme="minorHAnsi"/>
          <w:kern w:val="0"/>
          <w14:ligatures w14:val="none"/>
        </w:rPr>
        <w:t xml:space="preserve"> </w:t>
      </w:r>
      <w:r w:rsidR="002C63F4" w:rsidRPr="00F16251">
        <w:rPr>
          <w:rFonts w:cstheme="minorHAnsi"/>
          <w:kern w:val="0"/>
          <w14:ligatures w14:val="none"/>
        </w:rPr>
        <w:t>się</w:t>
      </w:r>
      <w:r w:rsidR="003B50ED" w:rsidRPr="00F16251">
        <w:rPr>
          <w:rFonts w:cstheme="minorHAnsi"/>
          <w:kern w:val="0"/>
          <w14:ligatures w14:val="none"/>
        </w:rPr>
        <w:t xml:space="preserve"> </w:t>
      </w:r>
      <w:r w:rsidR="002C63F4" w:rsidRPr="00F16251">
        <w:rPr>
          <w:rFonts w:cstheme="minorHAnsi"/>
          <w:kern w:val="0"/>
          <w14:ligatures w14:val="none"/>
        </w:rPr>
        <w:t>do</w:t>
      </w:r>
      <w:r w:rsidR="003B50ED" w:rsidRPr="00F16251">
        <w:rPr>
          <w:rFonts w:cstheme="minorHAnsi"/>
          <w:kern w:val="0"/>
          <w14:ligatures w14:val="none"/>
        </w:rPr>
        <w:t xml:space="preserve"> </w:t>
      </w:r>
      <w:r w:rsidR="002C63F4" w:rsidRPr="00F16251">
        <w:rPr>
          <w:rFonts w:cstheme="minorHAnsi"/>
          <w:kern w:val="0"/>
          <w14:ligatures w14:val="none"/>
        </w:rPr>
        <w:t>Zarządu</w:t>
      </w:r>
      <w:r w:rsidR="003B50ED" w:rsidRPr="00F16251">
        <w:rPr>
          <w:rFonts w:cstheme="minorHAnsi"/>
          <w:kern w:val="0"/>
          <w14:ligatures w14:val="none"/>
        </w:rPr>
        <w:t xml:space="preserve"> </w:t>
      </w:r>
      <w:r w:rsidR="002C63F4" w:rsidRPr="00F16251">
        <w:rPr>
          <w:rFonts w:cstheme="minorHAnsi"/>
          <w:kern w:val="0"/>
          <w14:ligatures w14:val="none"/>
        </w:rPr>
        <w:t>w</w:t>
      </w:r>
      <w:r w:rsidR="003B50ED" w:rsidRPr="00F16251">
        <w:rPr>
          <w:rFonts w:cstheme="minorHAnsi"/>
          <w:kern w:val="0"/>
          <w14:ligatures w14:val="none"/>
        </w:rPr>
        <w:t xml:space="preserve"> </w:t>
      </w:r>
      <w:r w:rsidR="002C63F4" w:rsidRPr="00F16251">
        <w:rPr>
          <w:rFonts w:cstheme="minorHAnsi"/>
          <w:kern w:val="0"/>
          <w14:ligatures w14:val="none"/>
        </w:rPr>
        <w:t>sprawie</w:t>
      </w:r>
      <w:r w:rsidRPr="00F16251">
        <w:rPr>
          <w:rFonts w:cstheme="minorHAnsi"/>
          <w:kern w:val="0"/>
          <w14:ligatures w14:val="none"/>
        </w:rPr>
        <w:t xml:space="preserve"> </w:t>
      </w:r>
      <w:r w:rsidR="002C63F4" w:rsidRPr="00F16251">
        <w:rPr>
          <w:rFonts w:cstheme="minorHAnsi"/>
          <w:kern w:val="0"/>
          <w14:ligatures w14:val="none"/>
        </w:rPr>
        <w:t>powołania</w:t>
      </w:r>
      <w:r w:rsidR="003B50ED" w:rsidRPr="00F16251">
        <w:rPr>
          <w:rFonts w:cstheme="minorHAnsi"/>
          <w:kern w:val="0"/>
          <w14:ligatures w14:val="none"/>
        </w:rPr>
        <w:t xml:space="preserve"> </w:t>
      </w:r>
      <w:r w:rsidR="002C63F4" w:rsidRPr="00F16251">
        <w:rPr>
          <w:rFonts w:cstheme="minorHAnsi"/>
          <w:kern w:val="0"/>
          <w14:ligatures w14:val="none"/>
        </w:rPr>
        <w:t>Zespołu</w:t>
      </w:r>
      <w:r w:rsidR="003B50ED" w:rsidRPr="00F16251">
        <w:rPr>
          <w:rFonts w:cstheme="minorHAnsi"/>
          <w:kern w:val="0"/>
          <w14:ligatures w14:val="none"/>
        </w:rPr>
        <w:t xml:space="preserve"> </w:t>
      </w:r>
      <w:r w:rsidR="002C63F4" w:rsidRPr="00F16251">
        <w:rPr>
          <w:rFonts w:cstheme="minorHAnsi"/>
          <w:kern w:val="0"/>
          <w14:ligatures w14:val="none"/>
        </w:rPr>
        <w:t>ds.</w:t>
      </w:r>
      <w:r w:rsidR="003B50ED" w:rsidRPr="00F16251">
        <w:rPr>
          <w:rFonts w:cstheme="minorHAnsi"/>
          <w:kern w:val="0"/>
          <w14:ligatures w14:val="none"/>
        </w:rPr>
        <w:t xml:space="preserve"> </w:t>
      </w:r>
      <w:r w:rsidR="002C63F4" w:rsidRPr="00F16251">
        <w:rPr>
          <w:rFonts w:cstheme="minorHAnsi"/>
          <w:kern w:val="0"/>
          <w14:ligatures w14:val="none"/>
        </w:rPr>
        <w:t>Monitoringu</w:t>
      </w:r>
      <w:r w:rsidR="003B50ED" w:rsidRPr="00F16251">
        <w:rPr>
          <w:rFonts w:cstheme="minorHAnsi"/>
          <w:kern w:val="0"/>
          <w14:ligatures w14:val="none"/>
        </w:rPr>
        <w:t xml:space="preserve"> </w:t>
      </w:r>
      <w:r w:rsidR="002C63F4" w:rsidRPr="00F16251">
        <w:rPr>
          <w:rFonts w:cstheme="minorHAnsi"/>
          <w:kern w:val="0"/>
          <w14:ligatures w14:val="none"/>
        </w:rPr>
        <w:t>i</w:t>
      </w:r>
      <w:r w:rsidR="003B50ED" w:rsidRPr="00F16251">
        <w:rPr>
          <w:rFonts w:cstheme="minorHAnsi"/>
          <w:kern w:val="0"/>
          <w14:ligatures w14:val="none"/>
        </w:rPr>
        <w:t xml:space="preserve"> </w:t>
      </w:r>
      <w:r w:rsidR="002C63F4" w:rsidRPr="00F16251">
        <w:rPr>
          <w:rFonts w:cstheme="minorHAnsi"/>
          <w:kern w:val="0"/>
          <w14:ligatures w14:val="none"/>
        </w:rPr>
        <w:t>Ewaluacji</w:t>
      </w:r>
      <w:r w:rsidRPr="00F16251">
        <w:rPr>
          <w:rFonts w:cstheme="minorHAnsi"/>
          <w:kern w:val="0"/>
          <w14:ligatures w14:val="none"/>
        </w:rPr>
        <w:t xml:space="preserve"> lub zapewnienia wsparcia eksperta zewnętrznego</w:t>
      </w:r>
      <w:r w:rsidR="00785EE8" w:rsidRPr="00F16251">
        <w:rPr>
          <w:rFonts w:cstheme="minorHAnsi"/>
          <w:kern w:val="0"/>
          <w14:ligatures w14:val="none"/>
        </w:rPr>
        <w:t xml:space="preserve"> lub zlenienia</w:t>
      </w:r>
      <w:r w:rsidR="003B50ED" w:rsidRPr="00F16251">
        <w:rPr>
          <w:rFonts w:cstheme="minorHAnsi"/>
          <w:kern w:val="0"/>
          <w14:ligatures w14:val="none"/>
        </w:rPr>
        <w:t xml:space="preserve"> </w:t>
      </w:r>
      <w:r w:rsidR="002C63F4" w:rsidRPr="00F16251">
        <w:rPr>
          <w:rFonts w:cstheme="minorHAnsi"/>
          <w:kern w:val="0"/>
          <w14:ligatures w14:val="none"/>
        </w:rPr>
        <w:t>ocen</w:t>
      </w:r>
      <w:r w:rsidR="003B50ED" w:rsidRPr="00F16251">
        <w:rPr>
          <w:rFonts w:cstheme="minorHAnsi"/>
          <w:kern w:val="0"/>
          <w14:ligatures w14:val="none"/>
        </w:rPr>
        <w:t xml:space="preserve"> </w:t>
      </w:r>
      <w:r w:rsidR="002C63F4" w:rsidRPr="00F16251">
        <w:rPr>
          <w:rFonts w:cstheme="minorHAnsi"/>
          <w:kern w:val="0"/>
          <w14:ligatures w14:val="none"/>
        </w:rPr>
        <w:t>/</w:t>
      </w:r>
      <w:r w:rsidR="003B50ED" w:rsidRPr="00F16251">
        <w:rPr>
          <w:rFonts w:cstheme="minorHAnsi"/>
          <w:kern w:val="0"/>
          <w14:ligatures w14:val="none"/>
        </w:rPr>
        <w:t xml:space="preserve"> </w:t>
      </w:r>
      <w:r w:rsidR="002C63F4" w:rsidRPr="00F16251">
        <w:rPr>
          <w:rFonts w:cstheme="minorHAnsi"/>
          <w:kern w:val="0"/>
          <w14:ligatures w14:val="none"/>
        </w:rPr>
        <w:t>ekspertyz</w:t>
      </w:r>
      <w:r w:rsidR="003B50ED" w:rsidRPr="00F16251">
        <w:rPr>
          <w:rFonts w:cstheme="minorHAnsi"/>
          <w:kern w:val="0"/>
          <w14:ligatures w14:val="none"/>
        </w:rPr>
        <w:t xml:space="preserve"> </w:t>
      </w:r>
      <w:r w:rsidR="002C63F4" w:rsidRPr="00F16251">
        <w:rPr>
          <w:rFonts w:cstheme="minorHAnsi"/>
          <w:kern w:val="0"/>
          <w14:ligatures w14:val="none"/>
        </w:rPr>
        <w:t>zewnętrznych.</w:t>
      </w:r>
      <w:r w:rsidR="003B50ED" w:rsidRPr="00F16251">
        <w:rPr>
          <w:rFonts w:cstheme="minorHAnsi"/>
          <w:kern w:val="0"/>
          <w14:ligatures w14:val="none"/>
        </w:rPr>
        <w:t xml:space="preserve"> </w:t>
      </w:r>
    </w:p>
    <w:p w14:paraId="64B34974" w14:textId="0E14783A" w:rsidR="002C63F4" w:rsidRPr="00F16251" w:rsidRDefault="002C63F4" w:rsidP="008A412F">
      <w:pPr>
        <w:numPr>
          <w:ilvl w:val="0"/>
          <w:numId w:val="25"/>
        </w:numPr>
        <w:tabs>
          <w:tab w:val="num" w:pos="720"/>
        </w:tabs>
        <w:spacing w:line="276" w:lineRule="auto"/>
        <w:ind w:right="6"/>
        <w:jc w:val="both"/>
        <w:rPr>
          <w:rFonts w:cstheme="minorHAnsi"/>
          <w:kern w:val="0"/>
          <w14:ligatures w14:val="none"/>
        </w:rPr>
      </w:pPr>
      <w:r w:rsidRPr="00F16251">
        <w:rPr>
          <w:rFonts w:cstheme="minorHAnsi"/>
          <w:kern w:val="0"/>
          <w14:ligatures w14:val="none"/>
        </w:rPr>
        <w:t>Dane</w:t>
      </w:r>
      <w:r w:rsidR="003B50ED" w:rsidRPr="00F16251">
        <w:rPr>
          <w:rFonts w:cstheme="minorHAnsi"/>
          <w:kern w:val="0"/>
          <w14:ligatures w14:val="none"/>
        </w:rPr>
        <w:t xml:space="preserve"> </w:t>
      </w:r>
      <w:r w:rsidRPr="00F16251">
        <w:rPr>
          <w:rFonts w:cstheme="minorHAnsi"/>
          <w:kern w:val="0"/>
          <w14:ligatures w14:val="none"/>
        </w:rPr>
        <w:t>są</w:t>
      </w:r>
      <w:r w:rsidR="003B50ED" w:rsidRPr="00F16251">
        <w:rPr>
          <w:rFonts w:cstheme="minorHAnsi"/>
          <w:kern w:val="0"/>
          <w14:ligatures w14:val="none"/>
        </w:rPr>
        <w:t xml:space="preserve"> </w:t>
      </w:r>
      <w:r w:rsidRPr="00F16251">
        <w:rPr>
          <w:rFonts w:cstheme="minorHAnsi"/>
          <w:kern w:val="0"/>
          <w14:ligatures w14:val="none"/>
        </w:rPr>
        <w:t>gromadzone</w:t>
      </w:r>
      <w:r w:rsidR="003B50ED" w:rsidRPr="00F16251">
        <w:rPr>
          <w:rFonts w:cstheme="minorHAnsi"/>
          <w:kern w:val="0"/>
          <w14:ligatures w14:val="none"/>
        </w:rPr>
        <w:t xml:space="preserve"> </w:t>
      </w:r>
      <w:r w:rsidRPr="00F16251">
        <w:rPr>
          <w:rFonts w:cstheme="minorHAnsi"/>
          <w:kern w:val="0"/>
          <w14:ligatures w14:val="none"/>
        </w:rPr>
        <w:t>systematycznie,</w:t>
      </w:r>
      <w:r w:rsidR="003B50ED" w:rsidRPr="00F16251">
        <w:rPr>
          <w:rFonts w:cstheme="minorHAnsi"/>
          <w:kern w:val="0"/>
          <w14:ligatures w14:val="none"/>
        </w:rPr>
        <w:t xml:space="preserve"> </w:t>
      </w:r>
      <w:r w:rsidRPr="00F16251">
        <w:rPr>
          <w:rFonts w:cstheme="minorHAnsi"/>
          <w:kern w:val="0"/>
          <w14:ligatures w14:val="none"/>
        </w:rPr>
        <w:t>z</w:t>
      </w:r>
      <w:r w:rsidR="003B50ED" w:rsidRPr="00F16251">
        <w:rPr>
          <w:rFonts w:cstheme="minorHAnsi"/>
          <w:kern w:val="0"/>
          <w14:ligatures w14:val="none"/>
        </w:rPr>
        <w:t xml:space="preserve"> </w:t>
      </w:r>
      <w:r w:rsidRPr="00F16251">
        <w:rPr>
          <w:rFonts w:cstheme="minorHAnsi"/>
          <w:kern w:val="0"/>
          <w14:ligatures w14:val="none"/>
        </w:rPr>
        <w:t>zachowaniem</w:t>
      </w:r>
      <w:r w:rsidR="003B50ED" w:rsidRPr="00F16251">
        <w:rPr>
          <w:rFonts w:cstheme="minorHAnsi"/>
          <w:kern w:val="0"/>
          <w14:ligatures w14:val="none"/>
        </w:rPr>
        <w:t xml:space="preserve"> </w:t>
      </w:r>
      <w:r w:rsidRPr="00F16251">
        <w:rPr>
          <w:rFonts w:cstheme="minorHAnsi"/>
          <w:kern w:val="0"/>
          <w14:ligatures w14:val="none"/>
        </w:rPr>
        <w:t>śladu</w:t>
      </w:r>
      <w:r w:rsidR="003B50ED" w:rsidRPr="00F16251">
        <w:rPr>
          <w:rFonts w:cstheme="minorHAnsi"/>
          <w:kern w:val="0"/>
          <w14:ligatures w14:val="none"/>
        </w:rPr>
        <w:t xml:space="preserve"> </w:t>
      </w:r>
      <w:r w:rsidRPr="00F16251">
        <w:rPr>
          <w:rFonts w:cstheme="minorHAnsi"/>
          <w:kern w:val="0"/>
          <w14:ligatures w14:val="none"/>
        </w:rPr>
        <w:t>rewizyjnego</w:t>
      </w:r>
      <w:r w:rsidR="00785EE8" w:rsidRPr="00F16251">
        <w:rPr>
          <w:rFonts w:cstheme="minorHAnsi"/>
          <w:kern w:val="0"/>
          <w14:ligatures w14:val="none"/>
        </w:rPr>
        <w:t xml:space="preserve"> i zgodności zestawionych danych </w:t>
      </w:r>
      <w:r w:rsidR="00785EE8" w:rsidRPr="00F16251">
        <w:rPr>
          <w:rFonts w:cstheme="minorHAnsi"/>
          <w:kern w:val="0"/>
          <w14:ligatures w14:val="none"/>
        </w:rPr>
        <w:br/>
        <w:t>z danymi źródłowymi</w:t>
      </w:r>
      <w:r w:rsidRPr="00F16251">
        <w:rPr>
          <w:rFonts w:cstheme="minorHAnsi"/>
          <w:kern w:val="0"/>
          <w14:ligatures w14:val="none"/>
        </w:rPr>
        <w:t>.</w:t>
      </w:r>
      <w:r w:rsidR="003B50ED" w:rsidRPr="00F16251">
        <w:rPr>
          <w:rFonts w:cstheme="minorHAnsi"/>
          <w:kern w:val="0"/>
          <w14:ligatures w14:val="none"/>
        </w:rPr>
        <w:t xml:space="preserve"> </w:t>
      </w:r>
      <w:r w:rsidR="00785EE8" w:rsidRPr="00F16251">
        <w:rPr>
          <w:rFonts w:cstheme="minorHAnsi"/>
          <w:kern w:val="0"/>
          <w14:ligatures w14:val="none"/>
        </w:rPr>
        <w:t xml:space="preserve">Dane są zestawiane w </w:t>
      </w:r>
      <w:r w:rsidRPr="00F16251">
        <w:rPr>
          <w:rFonts w:cstheme="minorHAnsi"/>
          <w:kern w:val="0"/>
          <w14:ligatures w14:val="none"/>
        </w:rPr>
        <w:t>arkusz</w:t>
      </w:r>
      <w:r w:rsidR="00785EE8" w:rsidRPr="00F16251">
        <w:rPr>
          <w:rFonts w:cstheme="minorHAnsi"/>
          <w:kern w:val="0"/>
          <w14:ligatures w14:val="none"/>
        </w:rPr>
        <w:t>ach</w:t>
      </w:r>
      <w:r w:rsidR="003B50ED" w:rsidRPr="00F16251">
        <w:rPr>
          <w:rFonts w:cstheme="minorHAnsi"/>
          <w:kern w:val="0"/>
          <w14:ligatures w14:val="none"/>
        </w:rPr>
        <w:t xml:space="preserve"> </w:t>
      </w:r>
      <w:r w:rsidRPr="00F16251">
        <w:rPr>
          <w:rFonts w:cstheme="minorHAnsi"/>
          <w:kern w:val="0"/>
          <w14:ligatures w14:val="none"/>
        </w:rPr>
        <w:t>kalkulacyjn</w:t>
      </w:r>
      <w:r w:rsidR="00785EE8" w:rsidRPr="00F16251">
        <w:rPr>
          <w:rFonts w:cstheme="minorHAnsi"/>
          <w:kern w:val="0"/>
          <w14:ligatures w14:val="none"/>
        </w:rPr>
        <w:t>ych</w:t>
      </w:r>
      <w:r w:rsidR="003B50ED" w:rsidRPr="00F16251">
        <w:rPr>
          <w:rFonts w:cstheme="minorHAnsi"/>
          <w:kern w:val="0"/>
          <w14:ligatures w14:val="none"/>
        </w:rPr>
        <w:t xml:space="preserve"> </w:t>
      </w:r>
      <w:r w:rsidRPr="00F16251">
        <w:rPr>
          <w:rFonts w:cstheme="minorHAnsi"/>
          <w:kern w:val="0"/>
          <w14:ligatures w14:val="none"/>
        </w:rPr>
        <w:t>lub</w:t>
      </w:r>
      <w:r w:rsidR="003B50ED" w:rsidRPr="00F16251">
        <w:rPr>
          <w:rFonts w:cstheme="minorHAnsi"/>
          <w:kern w:val="0"/>
          <w14:ligatures w14:val="none"/>
        </w:rPr>
        <w:t xml:space="preserve"> </w:t>
      </w:r>
      <w:r w:rsidR="00785EE8" w:rsidRPr="00F16251">
        <w:rPr>
          <w:rFonts w:cstheme="minorHAnsi"/>
          <w:kern w:val="0"/>
          <w14:ligatures w14:val="none"/>
        </w:rPr>
        <w:t xml:space="preserve">w </w:t>
      </w:r>
      <w:r w:rsidRPr="00F16251">
        <w:rPr>
          <w:rFonts w:cstheme="minorHAnsi"/>
          <w:kern w:val="0"/>
          <w14:ligatures w14:val="none"/>
        </w:rPr>
        <w:t>system</w:t>
      </w:r>
      <w:r w:rsidR="00785EE8" w:rsidRPr="00F16251">
        <w:rPr>
          <w:rFonts w:cstheme="minorHAnsi"/>
          <w:kern w:val="0"/>
          <w14:ligatures w14:val="none"/>
        </w:rPr>
        <w:t>ach</w:t>
      </w:r>
      <w:r w:rsidR="003B50ED" w:rsidRPr="00F16251">
        <w:rPr>
          <w:rFonts w:cstheme="minorHAnsi"/>
          <w:kern w:val="0"/>
          <w14:ligatures w14:val="none"/>
        </w:rPr>
        <w:t xml:space="preserve"> </w:t>
      </w:r>
      <w:r w:rsidRPr="00F16251">
        <w:rPr>
          <w:rFonts w:cstheme="minorHAnsi"/>
          <w:kern w:val="0"/>
          <w14:ligatures w14:val="none"/>
        </w:rPr>
        <w:t>informatyczn</w:t>
      </w:r>
      <w:r w:rsidR="00785EE8" w:rsidRPr="00F16251">
        <w:rPr>
          <w:rFonts w:cstheme="minorHAnsi"/>
          <w:kern w:val="0"/>
          <w14:ligatures w14:val="none"/>
        </w:rPr>
        <w:t>ych</w:t>
      </w:r>
      <w:r w:rsidR="003B50ED" w:rsidRPr="00F16251">
        <w:rPr>
          <w:rFonts w:cstheme="minorHAnsi"/>
          <w:kern w:val="0"/>
          <w14:ligatures w14:val="none"/>
        </w:rPr>
        <w:t xml:space="preserve"> </w:t>
      </w:r>
      <w:r w:rsidRPr="00F16251">
        <w:rPr>
          <w:rFonts w:cstheme="minorHAnsi"/>
          <w:kern w:val="0"/>
          <w14:ligatures w14:val="none"/>
        </w:rPr>
        <w:t>wspierając</w:t>
      </w:r>
      <w:r w:rsidR="00785EE8" w:rsidRPr="00F16251">
        <w:rPr>
          <w:rFonts w:cstheme="minorHAnsi"/>
          <w:kern w:val="0"/>
          <w14:ligatures w14:val="none"/>
        </w:rPr>
        <w:t>ych</w:t>
      </w:r>
      <w:r w:rsidR="003B50ED" w:rsidRPr="00F16251">
        <w:rPr>
          <w:rFonts w:cstheme="minorHAnsi"/>
          <w:kern w:val="0"/>
          <w14:ligatures w14:val="none"/>
        </w:rPr>
        <w:t xml:space="preserve"> </w:t>
      </w:r>
      <w:r w:rsidRPr="00F16251">
        <w:rPr>
          <w:rFonts w:cstheme="minorHAnsi"/>
          <w:kern w:val="0"/>
          <w14:ligatures w14:val="none"/>
        </w:rPr>
        <w:t>obsługę</w:t>
      </w:r>
      <w:r w:rsidR="003B50ED" w:rsidRPr="00F16251">
        <w:rPr>
          <w:rFonts w:cstheme="minorHAnsi"/>
          <w:kern w:val="0"/>
          <w14:ligatures w14:val="none"/>
        </w:rPr>
        <w:t xml:space="preserve"> </w:t>
      </w:r>
      <w:r w:rsidRPr="00F16251">
        <w:rPr>
          <w:rFonts w:cstheme="minorHAnsi"/>
          <w:kern w:val="0"/>
          <w14:ligatures w14:val="none"/>
        </w:rPr>
        <w:t>wniosków.</w:t>
      </w:r>
      <w:r w:rsidR="003B50ED" w:rsidRPr="00F16251">
        <w:rPr>
          <w:rFonts w:cstheme="minorHAnsi"/>
          <w:kern w:val="0"/>
          <w14:ligatures w14:val="none"/>
        </w:rPr>
        <w:t xml:space="preserve"> </w:t>
      </w:r>
    </w:p>
    <w:p w14:paraId="4D15C21A" w14:textId="4FBD0BCD" w:rsidR="002C63F4" w:rsidRPr="00F16251" w:rsidRDefault="00785EE8" w:rsidP="008A412F">
      <w:pPr>
        <w:numPr>
          <w:ilvl w:val="0"/>
          <w:numId w:val="25"/>
        </w:numPr>
        <w:tabs>
          <w:tab w:val="num" w:pos="720"/>
        </w:tabs>
        <w:spacing w:line="276" w:lineRule="auto"/>
        <w:ind w:right="6"/>
        <w:jc w:val="both"/>
        <w:rPr>
          <w:rFonts w:cstheme="minorHAnsi"/>
          <w:kern w:val="0"/>
          <w14:ligatures w14:val="none"/>
        </w:rPr>
      </w:pPr>
      <w:r w:rsidRPr="00F16251">
        <w:rPr>
          <w:rFonts w:cstheme="minorHAnsi"/>
          <w:kern w:val="0"/>
          <w14:ligatures w14:val="none"/>
        </w:rPr>
        <w:t>B</w:t>
      </w:r>
      <w:r w:rsidR="002C63F4" w:rsidRPr="00F16251">
        <w:rPr>
          <w:rFonts w:cstheme="minorHAnsi"/>
          <w:kern w:val="0"/>
          <w14:ligatures w14:val="none"/>
        </w:rPr>
        <w:t>adania</w:t>
      </w:r>
      <w:r w:rsidR="003B50ED" w:rsidRPr="00F16251">
        <w:rPr>
          <w:rFonts w:cstheme="minorHAnsi"/>
          <w:kern w:val="0"/>
          <w14:ligatures w14:val="none"/>
        </w:rPr>
        <w:t xml:space="preserve"> </w:t>
      </w:r>
      <w:r w:rsidR="002C63F4" w:rsidRPr="00F16251">
        <w:rPr>
          <w:rFonts w:cstheme="minorHAnsi"/>
          <w:kern w:val="0"/>
          <w14:ligatures w14:val="none"/>
        </w:rPr>
        <w:t>ewaluacyjne</w:t>
      </w:r>
      <w:r w:rsidR="003B50ED" w:rsidRPr="00F16251">
        <w:rPr>
          <w:rFonts w:cstheme="minorHAnsi"/>
          <w:kern w:val="0"/>
          <w14:ligatures w14:val="none"/>
        </w:rPr>
        <w:t xml:space="preserve"> </w:t>
      </w:r>
      <w:r w:rsidR="002C63F4" w:rsidRPr="00F16251">
        <w:rPr>
          <w:rFonts w:cstheme="minorHAnsi"/>
          <w:kern w:val="0"/>
          <w14:ligatures w14:val="none"/>
        </w:rPr>
        <w:t>obejmują</w:t>
      </w:r>
      <w:r w:rsidR="003B50ED" w:rsidRPr="00F16251">
        <w:rPr>
          <w:rFonts w:cstheme="minorHAnsi"/>
          <w:kern w:val="0"/>
          <w14:ligatures w14:val="none"/>
        </w:rPr>
        <w:t xml:space="preserve"> </w:t>
      </w:r>
      <w:r w:rsidR="002C63F4" w:rsidRPr="00F16251">
        <w:rPr>
          <w:rFonts w:cstheme="minorHAnsi"/>
          <w:kern w:val="0"/>
          <w14:ligatures w14:val="none"/>
        </w:rPr>
        <w:t>co</w:t>
      </w:r>
      <w:r w:rsidR="003B50ED" w:rsidRPr="00F16251">
        <w:rPr>
          <w:rFonts w:cstheme="minorHAnsi"/>
          <w:kern w:val="0"/>
          <w14:ligatures w14:val="none"/>
        </w:rPr>
        <w:t xml:space="preserve"> </w:t>
      </w:r>
      <w:r w:rsidR="002C63F4" w:rsidRPr="00F16251">
        <w:rPr>
          <w:rFonts w:cstheme="minorHAnsi"/>
          <w:kern w:val="0"/>
          <w14:ligatures w14:val="none"/>
        </w:rPr>
        <w:t>najmniej</w:t>
      </w:r>
      <w:r w:rsidR="003B50ED" w:rsidRPr="00F16251">
        <w:rPr>
          <w:rFonts w:cstheme="minorHAnsi"/>
          <w:kern w:val="0"/>
          <w14:ligatures w14:val="none"/>
        </w:rPr>
        <w:t xml:space="preserve"> </w:t>
      </w:r>
      <w:r w:rsidR="002C63F4" w:rsidRPr="00F16251">
        <w:rPr>
          <w:rFonts w:cstheme="minorHAnsi"/>
          <w:kern w:val="0"/>
          <w14:ligatures w14:val="none"/>
        </w:rPr>
        <w:t>ocenę</w:t>
      </w:r>
      <w:r w:rsidR="003B50ED" w:rsidRPr="00F16251">
        <w:rPr>
          <w:rFonts w:cstheme="minorHAnsi"/>
          <w:kern w:val="0"/>
          <w14:ligatures w14:val="none"/>
        </w:rPr>
        <w:t xml:space="preserve"> </w:t>
      </w:r>
      <w:r w:rsidR="002C63F4" w:rsidRPr="00F16251">
        <w:rPr>
          <w:rFonts w:cstheme="minorHAnsi"/>
          <w:kern w:val="0"/>
          <w14:ligatures w14:val="none"/>
        </w:rPr>
        <w:t>na</w:t>
      </w:r>
      <w:r w:rsidR="003B50ED" w:rsidRPr="00F16251">
        <w:rPr>
          <w:rFonts w:cstheme="minorHAnsi"/>
          <w:kern w:val="0"/>
          <w14:ligatures w14:val="none"/>
        </w:rPr>
        <w:t xml:space="preserve"> </w:t>
      </w:r>
      <w:r w:rsidR="002C63F4" w:rsidRPr="00F16251">
        <w:rPr>
          <w:rFonts w:cstheme="minorHAnsi"/>
          <w:kern w:val="0"/>
          <w14:ligatures w14:val="none"/>
        </w:rPr>
        <w:t>ile</w:t>
      </w:r>
      <w:r w:rsidR="003B50ED" w:rsidRPr="00F16251">
        <w:rPr>
          <w:rFonts w:cstheme="minorHAnsi"/>
          <w:kern w:val="0"/>
          <w14:ligatures w14:val="none"/>
        </w:rPr>
        <w:t xml:space="preserve"> </w:t>
      </w:r>
      <w:r w:rsidR="002C63F4" w:rsidRPr="00F16251">
        <w:rPr>
          <w:rFonts w:cstheme="minorHAnsi"/>
          <w:kern w:val="0"/>
          <w14:ligatures w14:val="none"/>
        </w:rPr>
        <w:t>udało</w:t>
      </w:r>
      <w:r w:rsidR="003B50ED" w:rsidRPr="00F16251">
        <w:rPr>
          <w:rFonts w:cstheme="minorHAnsi"/>
          <w:kern w:val="0"/>
          <w14:ligatures w14:val="none"/>
        </w:rPr>
        <w:t xml:space="preserve"> </w:t>
      </w:r>
      <w:r w:rsidR="002C63F4" w:rsidRPr="00F16251">
        <w:rPr>
          <w:rFonts w:cstheme="minorHAnsi"/>
          <w:kern w:val="0"/>
          <w14:ligatures w14:val="none"/>
        </w:rPr>
        <w:t>się</w:t>
      </w:r>
      <w:r w:rsidR="003B50ED" w:rsidRPr="00F16251">
        <w:rPr>
          <w:rFonts w:cstheme="minorHAnsi"/>
          <w:kern w:val="0"/>
          <w14:ligatures w14:val="none"/>
        </w:rPr>
        <w:t xml:space="preserve"> </w:t>
      </w:r>
      <w:r w:rsidR="002C63F4" w:rsidRPr="00F16251">
        <w:rPr>
          <w:rFonts w:cstheme="minorHAnsi"/>
          <w:kern w:val="0"/>
          <w14:ligatures w14:val="none"/>
        </w:rPr>
        <w:t>osiągnąć</w:t>
      </w:r>
      <w:r w:rsidR="003B50ED" w:rsidRPr="00F16251">
        <w:rPr>
          <w:rFonts w:cstheme="minorHAnsi"/>
          <w:kern w:val="0"/>
          <w14:ligatures w14:val="none"/>
        </w:rPr>
        <w:t xml:space="preserve"> </w:t>
      </w:r>
      <w:r w:rsidR="002C63F4" w:rsidRPr="00F16251">
        <w:rPr>
          <w:rFonts w:cstheme="minorHAnsi"/>
          <w:kern w:val="0"/>
          <w14:ligatures w14:val="none"/>
        </w:rPr>
        <w:t>założone</w:t>
      </w:r>
      <w:r w:rsidR="003B50ED" w:rsidRPr="00F16251">
        <w:rPr>
          <w:rFonts w:cstheme="minorHAnsi"/>
          <w:kern w:val="0"/>
          <w14:ligatures w14:val="none"/>
        </w:rPr>
        <w:t xml:space="preserve"> </w:t>
      </w:r>
      <w:r w:rsidR="002C63F4" w:rsidRPr="00F16251">
        <w:rPr>
          <w:rFonts w:cstheme="minorHAnsi"/>
          <w:kern w:val="0"/>
          <w14:ligatures w14:val="none"/>
        </w:rPr>
        <w:t>cele,</w:t>
      </w:r>
      <w:r w:rsidR="003B50ED" w:rsidRPr="00F16251">
        <w:rPr>
          <w:rFonts w:cstheme="minorHAnsi"/>
          <w:kern w:val="0"/>
          <w14:ligatures w14:val="none"/>
        </w:rPr>
        <w:t xml:space="preserve"> </w:t>
      </w:r>
      <w:r w:rsidR="002C63F4" w:rsidRPr="00F16251">
        <w:rPr>
          <w:rFonts w:cstheme="minorHAnsi"/>
          <w:kern w:val="0"/>
          <w14:ligatures w14:val="none"/>
        </w:rPr>
        <w:t>ocenę</w:t>
      </w:r>
      <w:r w:rsidR="003B50ED" w:rsidRPr="00F16251">
        <w:rPr>
          <w:rFonts w:cstheme="minorHAnsi"/>
          <w:kern w:val="0"/>
          <w14:ligatures w14:val="none"/>
        </w:rPr>
        <w:t xml:space="preserve"> </w:t>
      </w:r>
      <w:r w:rsidR="002C63F4" w:rsidRPr="00F16251">
        <w:rPr>
          <w:rFonts w:cstheme="minorHAnsi"/>
          <w:kern w:val="0"/>
          <w14:ligatures w14:val="none"/>
        </w:rPr>
        <w:t>skuteczności</w:t>
      </w:r>
      <w:r w:rsidR="003B50ED" w:rsidRPr="00F16251">
        <w:rPr>
          <w:rFonts w:cstheme="minorHAnsi"/>
          <w:kern w:val="0"/>
          <w14:ligatures w14:val="none"/>
        </w:rPr>
        <w:t xml:space="preserve"> </w:t>
      </w:r>
      <w:r w:rsidR="002C63F4" w:rsidRPr="00F16251">
        <w:rPr>
          <w:rFonts w:cstheme="minorHAnsi"/>
          <w:kern w:val="0"/>
          <w14:ligatures w14:val="none"/>
        </w:rPr>
        <w:t>i</w:t>
      </w:r>
      <w:r w:rsidR="003B50ED" w:rsidRPr="00F16251">
        <w:rPr>
          <w:rFonts w:cstheme="minorHAnsi"/>
          <w:kern w:val="0"/>
          <w14:ligatures w14:val="none"/>
        </w:rPr>
        <w:t xml:space="preserve"> </w:t>
      </w:r>
      <w:r w:rsidR="002C63F4" w:rsidRPr="00F16251">
        <w:rPr>
          <w:rFonts w:cstheme="minorHAnsi"/>
          <w:kern w:val="0"/>
          <w14:ligatures w14:val="none"/>
        </w:rPr>
        <w:t>efektywności</w:t>
      </w:r>
      <w:r w:rsidR="003B50ED" w:rsidRPr="00F16251">
        <w:rPr>
          <w:rFonts w:cstheme="minorHAnsi"/>
          <w:kern w:val="0"/>
          <w14:ligatures w14:val="none"/>
        </w:rPr>
        <w:t xml:space="preserve"> </w:t>
      </w:r>
      <w:r w:rsidR="002C63F4" w:rsidRPr="00F16251">
        <w:rPr>
          <w:rFonts w:cstheme="minorHAnsi"/>
          <w:kern w:val="0"/>
          <w14:ligatures w14:val="none"/>
        </w:rPr>
        <w:t>interwencji</w:t>
      </w:r>
      <w:r w:rsidR="003B50ED" w:rsidRPr="00F16251">
        <w:rPr>
          <w:rFonts w:cstheme="minorHAnsi"/>
          <w:kern w:val="0"/>
          <w14:ligatures w14:val="none"/>
        </w:rPr>
        <w:t xml:space="preserve"> </w:t>
      </w:r>
      <w:r w:rsidR="002C63F4" w:rsidRPr="00F16251">
        <w:rPr>
          <w:rFonts w:cstheme="minorHAnsi"/>
          <w:kern w:val="0"/>
          <w14:ligatures w14:val="none"/>
        </w:rPr>
        <w:t>oraz</w:t>
      </w:r>
      <w:r w:rsidR="003B50ED" w:rsidRPr="00F16251">
        <w:rPr>
          <w:rFonts w:cstheme="minorHAnsi"/>
          <w:kern w:val="0"/>
          <w14:ligatures w14:val="none"/>
        </w:rPr>
        <w:t xml:space="preserve"> </w:t>
      </w:r>
      <w:r w:rsidR="002C63F4" w:rsidRPr="00F16251">
        <w:rPr>
          <w:rFonts w:cstheme="minorHAnsi"/>
          <w:kern w:val="0"/>
          <w14:ligatures w14:val="none"/>
        </w:rPr>
        <w:t>jej</w:t>
      </w:r>
      <w:r w:rsidR="003B50ED" w:rsidRPr="00F16251">
        <w:rPr>
          <w:rFonts w:cstheme="minorHAnsi"/>
          <w:kern w:val="0"/>
          <w14:ligatures w14:val="none"/>
        </w:rPr>
        <w:t xml:space="preserve"> </w:t>
      </w:r>
      <w:r w:rsidR="002C63F4" w:rsidRPr="00F16251">
        <w:rPr>
          <w:rFonts w:cstheme="minorHAnsi"/>
          <w:kern w:val="0"/>
          <w14:ligatures w14:val="none"/>
        </w:rPr>
        <w:t>trafności</w:t>
      </w:r>
      <w:r w:rsidR="003B50ED" w:rsidRPr="00F16251">
        <w:rPr>
          <w:rFonts w:cstheme="minorHAnsi"/>
          <w:kern w:val="0"/>
          <w14:ligatures w14:val="none"/>
        </w:rPr>
        <w:t xml:space="preserve"> </w:t>
      </w:r>
      <w:r w:rsidR="002C63F4" w:rsidRPr="00F16251">
        <w:rPr>
          <w:rFonts w:cstheme="minorHAnsi"/>
          <w:kern w:val="0"/>
          <w14:ligatures w14:val="none"/>
        </w:rPr>
        <w:t>i</w:t>
      </w:r>
      <w:r w:rsidR="003B50ED" w:rsidRPr="00F16251">
        <w:rPr>
          <w:rFonts w:cstheme="minorHAnsi"/>
          <w:kern w:val="0"/>
          <w14:ligatures w14:val="none"/>
        </w:rPr>
        <w:t xml:space="preserve"> </w:t>
      </w:r>
      <w:r w:rsidR="002C63F4" w:rsidRPr="00F16251">
        <w:rPr>
          <w:rFonts w:cstheme="minorHAnsi"/>
          <w:kern w:val="0"/>
          <w14:ligatures w14:val="none"/>
        </w:rPr>
        <w:t>użyteczności</w:t>
      </w:r>
      <w:r w:rsidR="003B50ED" w:rsidRPr="00F16251">
        <w:rPr>
          <w:rFonts w:cstheme="minorHAnsi"/>
          <w:kern w:val="0"/>
          <w14:ligatures w14:val="none"/>
        </w:rPr>
        <w:t xml:space="preserve"> </w:t>
      </w:r>
      <w:r w:rsidR="002C63F4" w:rsidRPr="00F16251">
        <w:rPr>
          <w:rFonts w:cstheme="minorHAnsi"/>
          <w:kern w:val="0"/>
          <w14:ligatures w14:val="none"/>
        </w:rPr>
        <w:t>oraz</w:t>
      </w:r>
      <w:r w:rsidR="003B50ED" w:rsidRPr="00F16251">
        <w:rPr>
          <w:rFonts w:cstheme="minorHAnsi"/>
          <w:kern w:val="0"/>
          <w14:ligatures w14:val="none"/>
        </w:rPr>
        <w:t xml:space="preserve"> </w:t>
      </w:r>
      <w:r w:rsidR="002C63F4" w:rsidRPr="00F16251">
        <w:rPr>
          <w:rFonts w:cstheme="minorHAnsi"/>
          <w:kern w:val="0"/>
          <w14:ligatures w14:val="none"/>
        </w:rPr>
        <w:t>badanie</w:t>
      </w:r>
      <w:r w:rsidR="003B50ED" w:rsidRPr="00F16251">
        <w:rPr>
          <w:rFonts w:cstheme="minorHAnsi"/>
          <w:kern w:val="0"/>
          <w14:ligatures w14:val="none"/>
        </w:rPr>
        <w:t xml:space="preserve"> </w:t>
      </w:r>
      <w:r w:rsidR="002C63F4" w:rsidRPr="00F16251">
        <w:rPr>
          <w:rFonts w:cstheme="minorHAnsi"/>
          <w:kern w:val="0"/>
          <w14:ligatures w14:val="none"/>
        </w:rPr>
        <w:t>długotrwałych</w:t>
      </w:r>
      <w:r w:rsidR="003B50ED" w:rsidRPr="00F16251">
        <w:rPr>
          <w:rFonts w:cstheme="minorHAnsi"/>
          <w:kern w:val="0"/>
          <w14:ligatures w14:val="none"/>
        </w:rPr>
        <w:t xml:space="preserve"> </w:t>
      </w:r>
      <w:r w:rsidR="002C63F4" w:rsidRPr="00F16251">
        <w:rPr>
          <w:rFonts w:cstheme="minorHAnsi"/>
          <w:kern w:val="0"/>
          <w14:ligatures w14:val="none"/>
        </w:rPr>
        <w:t>efektów</w:t>
      </w:r>
      <w:r w:rsidR="003B50ED" w:rsidRPr="00F16251">
        <w:rPr>
          <w:rFonts w:cstheme="minorHAnsi"/>
          <w:kern w:val="0"/>
          <w14:ligatures w14:val="none"/>
        </w:rPr>
        <w:t xml:space="preserve"> </w:t>
      </w:r>
      <w:r w:rsidR="002C63F4" w:rsidRPr="00F16251">
        <w:rPr>
          <w:rFonts w:cstheme="minorHAnsi"/>
          <w:kern w:val="0"/>
          <w14:ligatures w14:val="none"/>
        </w:rPr>
        <w:t>(oddziaływanie)</w:t>
      </w:r>
      <w:r w:rsidR="003B50ED" w:rsidRPr="00F16251">
        <w:rPr>
          <w:rFonts w:cstheme="minorHAnsi"/>
          <w:kern w:val="0"/>
          <w14:ligatures w14:val="none"/>
        </w:rPr>
        <w:t xml:space="preserve"> </w:t>
      </w:r>
      <w:r w:rsidR="002C63F4" w:rsidRPr="00F16251">
        <w:rPr>
          <w:rFonts w:cstheme="minorHAnsi"/>
          <w:kern w:val="0"/>
          <w14:ligatures w14:val="none"/>
        </w:rPr>
        <w:t>LSR</w:t>
      </w:r>
      <w:r w:rsidR="003B50ED" w:rsidRPr="00F16251">
        <w:rPr>
          <w:rFonts w:cstheme="minorHAnsi"/>
          <w:kern w:val="0"/>
          <w14:ligatures w14:val="none"/>
        </w:rPr>
        <w:t xml:space="preserve"> </w:t>
      </w:r>
      <w:r w:rsidR="002C63F4" w:rsidRPr="00F16251">
        <w:rPr>
          <w:rFonts w:cstheme="minorHAnsi"/>
          <w:kern w:val="0"/>
          <w14:ligatures w14:val="none"/>
        </w:rPr>
        <w:t>oraz</w:t>
      </w:r>
      <w:r w:rsidR="003B50ED" w:rsidRPr="00F16251">
        <w:rPr>
          <w:rFonts w:cstheme="minorHAnsi"/>
          <w:kern w:val="0"/>
          <w14:ligatures w14:val="none"/>
        </w:rPr>
        <w:t xml:space="preserve"> </w:t>
      </w:r>
      <w:r w:rsidR="002C63F4" w:rsidRPr="00F16251">
        <w:rPr>
          <w:rFonts w:cstheme="minorHAnsi"/>
          <w:kern w:val="0"/>
          <w14:ligatures w14:val="none"/>
        </w:rPr>
        <w:t>ich</w:t>
      </w:r>
      <w:r w:rsidR="003B50ED" w:rsidRPr="00F16251">
        <w:rPr>
          <w:rFonts w:cstheme="minorHAnsi"/>
          <w:kern w:val="0"/>
          <w14:ligatures w14:val="none"/>
        </w:rPr>
        <w:t xml:space="preserve"> </w:t>
      </w:r>
      <w:r w:rsidR="002C63F4" w:rsidRPr="00F16251">
        <w:rPr>
          <w:rFonts w:cstheme="minorHAnsi"/>
          <w:kern w:val="0"/>
          <w14:ligatures w14:val="none"/>
        </w:rPr>
        <w:t>trwałość.</w:t>
      </w:r>
      <w:r w:rsidR="003B50ED" w:rsidRPr="00F16251">
        <w:rPr>
          <w:rFonts w:cstheme="minorHAnsi"/>
          <w:kern w:val="0"/>
          <w14:ligatures w14:val="none"/>
        </w:rPr>
        <w:t xml:space="preserve"> </w:t>
      </w:r>
    </w:p>
    <w:p w14:paraId="56C44CEA" w14:textId="71C8BCC6" w:rsidR="002C63F4" w:rsidRPr="00F16251" w:rsidRDefault="002C63F4" w:rsidP="008A412F">
      <w:pPr>
        <w:numPr>
          <w:ilvl w:val="0"/>
          <w:numId w:val="25"/>
        </w:numPr>
        <w:tabs>
          <w:tab w:val="num" w:pos="720"/>
        </w:tabs>
        <w:spacing w:line="276" w:lineRule="auto"/>
        <w:ind w:right="6"/>
        <w:jc w:val="both"/>
        <w:rPr>
          <w:rFonts w:cstheme="minorHAnsi"/>
          <w:kern w:val="0"/>
          <w14:ligatures w14:val="none"/>
        </w:rPr>
      </w:pPr>
      <w:r w:rsidRPr="00F16251">
        <w:rPr>
          <w:rFonts w:cstheme="minorHAnsi"/>
          <w:kern w:val="0"/>
          <w14:ligatures w14:val="none"/>
        </w:rPr>
        <w:t>Zakres</w:t>
      </w:r>
      <w:r w:rsidR="003B50ED" w:rsidRPr="00F16251">
        <w:rPr>
          <w:rFonts w:cstheme="minorHAnsi"/>
          <w:kern w:val="0"/>
          <w14:ligatures w14:val="none"/>
        </w:rPr>
        <w:t xml:space="preserve"> </w:t>
      </w:r>
      <w:r w:rsidRPr="00F16251">
        <w:rPr>
          <w:rFonts w:cstheme="minorHAnsi"/>
          <w:kern w:val="0"/>
          <w14:ligatures w14:val="none"/>
        </w:rPr>
        <w:t>monitoringu</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ewaluacji</w:t>
      </w:r>
      <w:r w:rsidR="003B50ED" w:rsidRPr="00F16251">
        <w:rPr>
          <w:rFonts w:cstheme="minorHAnsi"/>
          <w:kern w:val="0"/>
          <w14:ligatures w14:val="none"/>
        </w:rPr>
        <w:t xml:space="preserve"> </w:t>
      </w:r>
      <w:r w:rsidRPr="00F16251">
        <w:rPr>
          <w:rFonts w:cstheme="minorHAnsi"/>
          <w:kern w:val="0"/>
          <w14:ligatures w14:val="none"/>
        </w:rPr>
        <w:t>oraz</w:t>
      </w:r>
      <w:r w:rsidR="003B50ED" w:rsidRPr="00F16251">
        <w:rPr>
          <w:rFonts w:cstheme="minorHAnsi"/>
          <w:kern w:val="0"/>
          <w14:ligatures w14:val="none"/>
        </w:rPr>
        <w:t xml:space="preserve"> </w:t>
      </w:r>
      <w:r w:rsidRPr="00F16251">
        <w:rPr>
          <w:rFonts w:cstheme="minorHAnsi"/>
          <w:kern w:val="0"/>
          <w14:ligatures w14:val="none"/>
        </w:rPr>
        <w:t>elementy</w:t>
      </w:r>
      <w:r w:rsidR="003B50ED" w:rsidRPr="00F16251">
        <w:rPr>
          <w:rFonts w:cstheme="minorHAnsi"/>
          <w:kern w:val="0"/>
          <w14:ligatures w14:val="none"/>
        </w:rPr>
        <w:t xml:space="preserve"> </w:t>
      </w:r>
      <w:r w:rsidRPr="00F16251">
        <w:rPr>
          <w:rFonts w:cstheme="minorHAnsi"/>
          <w:kern w:val="0"/>
          <w14:ligatures w14:val="none"/>
        </w:rPr>
        <w:t>podlegające</w:t>
      </w:r>
      <w:r w:rsidR="003B50ED" w:rsidRPr="00F16251">
        <w:rPr>
          <w:rFonts w:cstheme="minorHAnsi"/>
          <w:kern w:val="0"/>
          <w14:ligatures w14:val="none"/>
        </w:rPr>
        <w:t xml:space="preserve"> </w:t>
      </w:r>
      <w:r w:rsidRPr="00F16251">
        <w:rPr>
          <w:rFonts w:cstheme="minorHAnsi"/>
          <w:kern w:val="0"/>
          <w14:ligatures w14:val="none"/>
        </w:rPr>
        <w:t>ocenie</w:t>
      </w:r>
      <w:r w:rsidR="003B50ED" w:rsidRPr="00F16251">
        <w:rPr>
          <w:rFonts w:cstheme="minorHAnsi"/>
          <w:kern w:val="0"/>
          <w14:ligatures w14:val="none"/>
        </w:rPr>
        <w:t xml:space="preserve"> </w:t>
      </w:r>
      <w:r w:rsidRPr="00F16251">
        <w:rPr>
          <w:rFonts w:cstheme="minorHAnsi"/>
          <w:kern w:val="0"/>
          <w14:ligatures w14:val="none"/>
        </w:rPr>
        <w:t>zostały</w:t>
      </w:r>
      <w:r w:rsidR="003B50ED" w:rsidRPr="00F16251">
        <w:rPr>
          <w:rFonts w:cstheme="minorHAnsi"/>
          <w:kern w:val="0"/>
          <w14:ligatures w14:val="none"/>
        </w:rPr>
        <w:t xml:space="preserve"> </w:t>
      </w:r>
      <w:r w:rsidRPr="00F16251">
        <w:rPr>
          <w:rFonts w:cstheme="minorHAnsi"/>
          <w:kern w:val="0"/>
          <w14:ligatures w14:val="none"/>
        </w:rPr>
        <w:t>określane</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Tabeli</w:t>
      </w:r>
      <w:r w:rsidR="003B50ED" w:rsidRPr="00F16251">
        <w:rPr>
          <w:rFonts w:cstheme="minorHAnsi"/>
          <w:kern w:val="0"/>
          <w14:ligatures w14:val="none"/>
        </w:rPr>
        <w:t xml:space="preserve"> </w:t>
      </w:r>
      <w:r w:rsidRPr="00F16251">
        <w:rPr>
          <w:rFonts w:cstheme="minorHAnsi"/>
          <w:kern w:val="0"/>
          <w14:ligatures w14:val="none"/>
        </w:rPr>
        <w:t>Elementy</w:t>
      </w:r>
      <w:r w:rsidR="003B50ED" w:rsidRPr="00F16251">
        <w:rPr>
          <w:rFonts w:cstheme="minorHAnsi"/>
          <w:kern w:val="0"/>
          <w14:ligatures w14:val="none"/>
        </w:rPr>
        <w:t xml:space="preserve"> </w:t>
      </w:r>
      <w:r w:rsidRPr="00F16251">
        <w:rPr>
          <w:rFonts w:cstheme="minorHAnsi"/>
          <w:kern w:val="0"/>
          <w14:ligatures w14:val="none"/>
        </w:rPr>
        <w:t>podlegające</w:t>
      </w:r>
      <w:r w:rsidR="003B50ED" w:rsidRPr="00F16251">
        <w:rPr>
          <w:rFonts w:cstheme="minorHAnsi"/>
          <w:kern w:val="0"/>
          <w14:ligatures w14:val="none"/>
        </w:rPr>
        <w:t xml:space="preserve"> </w:t>
      </w:r>
      <w:r w:rsidRPr="00F16251">
        <w:rPr>
          <w:rFonts w:cstheme="minorHAnsi"/>
          <w:kern w:val="0"/>
          <w14:ligatures w14:val="none"/>
        </w:rPr>
        <w:t>monitorowaniu</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ewaluacji</w:t>
      </w:r>
      <w:r w:rsidR="003B50ED" w:rsidRPr="00F16251">
        <w:rPr>
          <w:rFonts w:cstheme="minorHAnsi"/>
          <w:kern w:val="0"/>
          <w14:ligatures w14:val="none"/>
        </w:rPr>
        <w:t xml:space="preserve"> </w:t>
      </w:r>
      <w:r w:rsidRPr="00F16251">
        <w:rPr>
          <w:rFonts w:cstheme="minorHAnsi"/>
          <w:kern w:val="0"/>
          <w14:ligatures w14:val="none"/>
        </w:rPr>
        <w:t>(on</w:t>
      </w:r>
      <w:r w:rsidR="003B50ED" w:rsidRPr="00F16251">
        <w:rPr>
          <w:rFonts w:cstheme="minorHAnsi"/>
          <w:kern w:val="0"/>
          <w14:ligatures w14:val="none"/>
        </w:rPr>
        <w:t xml:space="preserve"> </w:t>
      </w:r>
      <w:proofErr w:type="spellStart"/>
      <w:r w:rsidRPr="00F16251">
        <w:rPr>
          <w:rFonts w:cstheme="minorHAnsi"/>
          <w:kern w:val="0"/>
          <w14:ligatures w14:val="none"/>
        </w:rPr>
        <w:t>going</w:t>
      </w:r>
      <w:proofErr w:type="spellEnd"/>
      <w:r w:rsidR="003B50ED" w:rsidRPr="00F16251">
        <w:rPr>
          <w:rFonts w:cstheme="minorHAnsi"/>
          <w:kern w:val="0"/>
          <w14:ligatures w14:val="none"/>
        </w:rPr>
        <w:t xml:space="preserve"> </w:t>
      </w:r>
      <w:r w:rsidRPr="00F16251">
        <w:rPr>
          <w:rFonts w:cstheme="minorHAnsi"/>
          <w:kern w:val="0"/>
          <w14:ligatures w14:val="none"/>
        </w:rPr>
        <w:t>/</w:t>
      </w:r>
      <w:r w:rsidR="003B50ED" w:rsidRPr="00F16251">
        <w:rPr>
          <w:rFonts w:cstheme="minorHAnsi"/>
          <w:kern w:val="0"/>
          <w14:ligatures w14:val="none"/>
        </w:rPr>
        <w:t xml:space="preserve"> </w:t>
      </w:r>
      <w:r w:rsidRPr="00F16251">
        <w:rPr>
          <w:rFonts w:cstheme="minorHAnsi"/>
          <w:kern w:val="0"/>
          <w14:ligatures w14:val="none"/>
        </w:rPr>
        <w:t>ex-post)</w:t>
      </w:r>
      <w:r w:rsidR="003B50ED" w:rsidRPr="00F16251">
        <w:rPr>
          <w:rFonts w:cstheme="minorHAnsi"/>
          <w:kern w:val="0"/>
          <w14:ligatures w14:val="none"/>
        </w:rPr>
        <w:t xml:space="preserve"> </w:t>
      </w:r>
      <w:r w:rsidRPr="00F16251">
        <w:rPr>
          <w:rFonts w:cstheme="minorHAnsi"/>
          <w:kern w:val="0"/>
          <w14:ligatures w14:val="none"/>
        </w:rPr>
        <w:t>ze</w:t>
      </w:r>
      <w:r w:rsidR="003B50ED" w:rsidRPr="00F16251">
        <w:rPr>
          <w:rFonts w:cstheme="minorHAnsi"/>
          <w:kern w:val="0"/>
          <w14:ligatures w14:val="none"/>
        </w:rPr>
        <w:t xml:space="preserve"> </w:t>
      </w:r>
      <w:r w:rsidRPr="00F16251">
        <w:rPr>
          <w:rFonts w:cstheme="minorHAnsi"/>
          <w:kern w:val="0"/>
          <w14:ligatures w14:val="none"/>
        </w:rPr>
        <w:t>wskazaniem</w:t>
      </w:r>
      <w:r w:rsidR="003B50ED" w:rsidRPr="00F16251">
        <w:rPr>
          <w:rFonts w:cstheme="minorHAnsi"/>
          <w:kern w:val="0"/>
          <w14:ligatures w14:val="none"/>
        </w:rPr>
        <w:t xml:space="preserve"> </w:t>
      </w:r>
      <w:r w:rsidRPr="00F16251">
        <w:rPr>
          <w:rFonts w:cstheme="minorHAnsi"/>
          <w:kern w:val="0"/>
          <w14:ligatures w14:val="none"/>
        </w:rPr>
        <w:t>sposobu</w:t>
      </w:r>
      <w:r w:rsidR="003B50ED" w:rsidRPr="00F16251">
        <w:rPr>
          <w:rFonts w:cstheme="minorHAnsi"/>
          <w:kern w:val="0"/>
          <w14:ligatures w14:val="none"/>
        </w:rPr>
        <w:t xml:space="preserve"> </w:t>
      </w:r>
      <w:r w:rsidRPr="00F16251">
        <w:rPr>
          <w:rFonts w:cstheme="minorHAnsi"/>
          <w:kern w:val="0"/>
          <w14:ligatures w14:val="none"/>
        </w:rPr>
        <w:t>ich</w:t>
      </w:r>
      <w:r w:rsidR="003B50ED" w:rsidRPr="00F16251">
        <w:rPr>
          <w:rFonts w:cstheme="minorHAnsi"/>
          <w:kern w:val="0"/>
          <w14:ligatures w14:val="none"/>
        </w:rPr>
        <w:t xml:space="preserve"> </w:t>
      </w:r>
      <w:r w:rsidRPr="00F16251">
        <w:rPr>
          <w:rFonts w:cstheme="minorHAnsi"/>
          <w:kern w:val="0"/>
          <w14:ligatures w14:val="none"/>
        </w:rPr>
        <w:t>pozyskania</w:t>
      </w:r>
      <w:r w:rsidR="003B50ED" w:rsidRPr="00F16251">
        <w:rPr>
          <w:rFonts w:cstheme="minorHAnsi"/>
          <w:kern w:val="0"/>
          <w14:ligatures w14:val="none"/>
        </w:rPr>
        <w:t xml:space="preserve"> </w:t>
      </w:r>
      <w:r w:rsidRPr="00F16251">
        <w:rPr>
          <w:rFonts w:cstheme="minorHAnsi"/>
          <w:kern w:val="0"/>
          <w14:ligatures w14:val="none"/>
        </w:rPr>
        <w:t>oraz</w:t>
      </w:r>
      <w:r w:rsidR="003B50ED" w:rsidRPr="00F16251">
        <w:rPr>
          <w:rFonts w:cstheme="minorHAnsi"/>
          <w:kern w:val="0"/>
          <w14:ligatures w14:val="none"/>
        </w:rPr>
        <w:t xml:space="preserve"> </w:t>
      </w:r>
      <w:r w:rsidRPr="00F16251">
        <w:rPr>
          <w:rFonts w:cstheme="minorHAnsi"/>
          <w:kern w:val="0"/>
          <w14:ligatures w14:val="none"/>
        </w:rPr>
        <w:t>zakresu</w:t>
      </w:r>
      <w:r w:rsidR="003B50ED" w:rsidRPr="00F16251">
        <w:rPr>
          <w:rFonts w:cstheme="minorHAnsi"/>
          <w:kern w:val="0"/>
          <w14:ligatures w14:val="none"/>
        </w:rPr>
        <w:t xml:space="preserve"> </w:t>
      </w:r>
      <w:r w:rsidRPr="00F16251">
        <w:rPr>
          <w:rFonts w:cstheme="minorHAnsi"/>
          <w:kern w:val="0"/>
          <w14:ligatures w14:val="none"/>
        </w:rPr>
        <w:t>analizy</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oceny</w:t>
      </w:r>
      <w:r w:rsidR="003B50ED" w:rsidRPr="00F16251">
        <w:rPr>
          <w:rFonts w:cstheme="minorHAnsi"/>
          <w:kern w:val="0"/>
          <w14:ligatures w14:val="none"/>
        </w:rPr>
        <w:t xml:space="preserve"> </w:t>
      </w:r>
      <w:r w:rsidRPr="00F16251">
        <w:rPr>
          <w:rFonts w:cstheme="minorHAnsi"/>
          <w:kern w:val="0"/>
          <w14:ligatures w14:val="none"/>
        </w:rPr>
        <w:t>danych.</w:t>
      </w:r>
      <w:r w:rsidR="003B50ED" w:rsidRPr="00F16251">
        <w:rPr>
          <w:rFonts w:cstheme="minorHAnsi"/>
          <w:kern w:val="0"/>
          <w14:ligatures w14:val="none"/>
        </w:rPr>
        <w:t xml:space="preserve"> </w:t>
      </w:r>
    </w:p>
    <w:p w14:paraId="43C7954F" w14:textId="22FBDC84" w:rsidR="002C63F4" w:rsidRPr="00F16251" w:rsidRDefault="002C63F4" w:rsidP="008A412F">
      <w:pPr>
        <w:numPr>
          <w:ilvl w:val="0"/>
          <w:numId w:val="25"/>
        </w:numPr>
        <w:tabs>
          <w:tab w:val="num" w:pos="720"/>
        </w:tabs>
        <w:spacing w:line="276" w:lineRule="auto"/>
        <w:ind w:right="6"/>
        <w:jc w:val="both"/>
        <w:rPr>
          <w:rFonts w:cstheme="minorHAnsi"/>
          <w:kern w:val="0"/>
          <w14:ligatures w14:val="none"/>
        </w:rPr>
      </w:pPr>
      <w:r w:rsidRPr="00F16251">
        <w:rPr>
          <w:rFonts w:cstheme="minorHAnsi"/>
          <w:kern w:val="0"/>
          <w14:ligatures w14:val="none"/>
        </w:rPr>
        <w:t>Z</w:t>
      </w:r>
      <w:r w:rsidR="003B50ED" w:rsidRPr="00F16251">
        <w:rPr>
          <w:rFonts w:cstheme="minorHAnsi"/>
          <w:kern w:val="0"/>
          <w14:ligatures w14:val="none"/>
        </w:rPr>
        <w:t xml:space="preserve"> </w:t>
      </w:r>
      <w:r w:rsidRPr="00F16251">
        <w:rPr>
          <w:rFonts w:cstheme="minorHAnsi"/>
          <w:kern w:val="0"/>
          <w14:ligatures w14:val="none"/>
        </w:rPr>
        <w:t>badań</w:t>
      </w:r>
      <w:r w:rsidR="003B50ED" w:rsidRPr="00F16251">
        <w:rPr>
          <w:rFonts w:cstheme="minorHAnsi"/>
          <w:kern w:val="0"/>
          <w14:ligatures w14:val="none"/>
        </w:rPr>
        <w:t xml:space="preserve"> </w:t>
      </w:r>
      <w:r w:rsidRPr="00F16251">
        <w:rPr>
          <w:rFonts w:cstheme="minorHAnsi"/>
          <w:kern w:val="0"/>
          <w14:ligatures w14:val="none"/>
        </w:rPr>
        <w:t>monitoringowych</w:t>
      </w:r>
      <w:r w:rsidR="003B50ED" w:rsidRPr="00F16251">
        <w:rPr>
          <w:rFonts w:cstheme="minorHAnsi"/>
          <w:kern w:val="0"/>
          <w14:ligatures w14:val="none"/>
        </w:rPr>
        <w:t xml:space="preserve"> </w:t>
      </w:r>
      <w:r w:rsidRPr="00F16251">
        <w:rPr>
          <w:rFonts w:cstheme="minorHAnsi"/>
          <w:kern w:val="0"/>
          <w14:ligatures w14:val="none"/>
        </w:rPr>
        <w:t>/</w:t>
      </w:r>
      <w:r w:rsidR="003B50ED" w:rsidRPr="00F16251">
        <w:rPr>
          <w:rFonts w:cstheme="minorHAnsi"/>
          <w:kern w:val="0"/>
          <w14:ligatures w14:val="none"/>
        </w:rPr>
        <w:t xml:space="preserve"> </w:t>
      </w:r>
      <w:r w:rsidRPr="00F16251">
        <w:rPr>
          <w:rFonts w:cstheme="minorHAnsi"/>
          <w:kern w:val="0"/>
          <w14:ligatures w14:val="none"/>
        </w:rPr>
        <w:t>ewaluacyjnych</w:t>
      </w:r>
      <w:r w:rsidR="003B50ED" w:rsidRPr="00F16251">
        <w:rPr>
          <w:rFonts w:cstheme="minorHAnsi"/>
          <w:kern w:val="0"/>
          <w14:ligatures w14:val="none"/>
        </w:rPr>
        <w:t xml:space="preserve"> </w:t>
      </w:r>
      <w:r w:rsidRPr="00F16251">
        <w:rPr>
          <w:rFonts w:cstheme="minorHAnsi"/>
          <w:kern w:val="0"/>
          <w14:ligatures w14:val="none"/>
        </w:rPr>
        <w:t>powstają</w:t>
      </w:r>
      <w:r w:rsidR="003B50ED" w:rsidRPr="00F16251">
        <w:rPr>
          <w:rFonts w:cstheme="minorHAnsi"/>
          <w:kern w:val="0"/>
          <w14:ligatures w14:val="none"/>
        </w:rPr>
        <w:t xml:space="preserve"> </w:t>
      </w:r>
      <w:r w:rsidRPr="00F16251">
        <w:rPr>
          <w:rFonts w:cstheme="minorHAnsi"/>
          <w:kern w:val="0"/>
          <w14:ligatures w14:val="none"/>
        </w:rPr>
        <w:t>sprawozdania</w:t>
      </w:r>
      <w:r w:rsidR="003B50ED" w:rsidRPr="00F16251">
        <w:rPr>
          <w:rFonts w:cstheme="minorHAnsi"/>
          <w:kern w:val="0"/>
          <w14:ligatures w14:val="none"/>
        </w:rPr>
        <w:t xml:space="preserve"> </w:t>
      </w:r>
      <w:r w:rsidRPr="00F16251">
        <w:rPr>
          <w:rFonts w:cstheme="minorHAnsi"/>
          <w:kern w:val="0"/>
          <w14:ligatures w14:val="none"/>
        </w:rPr>
        <w:t>/</w:t>
      </w:r>
      <w:r w:rsidR="003B50ED" w:rsidRPr="00F16251">
        <w:rPr>
          <w:rFonts w:cstheme="minorHAnsi"/>
          <w:kern w:val="0"/>
          <w14:ligatures w14:val="none"/>
        </w:rPr>
        <w:t xml:space="preserve"> </w:t>
      </w:r>
      <w:r w:rsidRPr="00F16251">
        <w:rPr>
          <w:rFonts w:cstheme="minorHAnsi"/>
          <w:kern w:val="0"/>
          <w14:ligatures w14:val="none"/>
        </w:rPr>
        <w:t>raporty.</w:t>
      </w:r>
      <w:r w:rsidR="003B50ED" w:rsidRPr="00F16251">
        <w:rPr>
          <w:rFonts w:cstheme="minorHAnsi"/>
          <w:kern w:val="0"/>
          <w14:ligatures w14:val="none"/>
        </w:rPr>
        <w:t xml:space="preserve"> </w:t>
      </w:r>
      <w:r w:rsidRPr="00F16251">
        <w:rPr>
          <w:rFonts w:cstheme="minorHAnsi"/>
          <w:kern w:val="0"/>
          <w14:ligatures w14:val="none"/>
        </w:rPr>
        <w:t>Struktura</w:t>
      </w:r>
      <w:r w:rsidR="003B50ED" w:rsidRPr="00F16251">
        <w:rPr>
          <w:rFonts w:cstheme="minorHAnsi"/>
          <w:kern w:val="0"/>
          <w14:ligatures w14:val="none"/>
        </w:rPr>
        <w:t xml:space="preserve"> </w:t>
      </w:r>
      <w:r w:rsidRPr="00F16251">
        <w:rPr>
          <w:rFonts w:cstheme="minorHAnsi"/>
          <w:kern w:val="0"/>
          <w14:ligatures w14:val="none"/>
        </w:rPr>
        <w:t>sprawozdania</w:t>
      </w:r>
      <w:r w:rsidR="003B50ED" w:rsidRPr="00F16251">
        <w:rPr>
          <w:rFonts w:cstheme="minorHAnsi"/>
          <w:kern w:val="0"/>
          <w14:ligatures w14:val="none"/>
        </w:rPr>
        <w:t xml:space="preserve"> </w:t>
      </w:r>
      <w:r w:rsidRPr="00F16251">
        <w:rPr>
          <w:rFonts w:cstheme="minorHAnsi"/>
          <w:kern w:val="0"/>
          <w14:ligatures w14:val="none"/>
        </w:rPr>
        <w:t>/</w:t>
      </w:r>
      <w:r w:rsidR="003B50ED" w:rsidRPr="00F16251">
        <w:rPr>
          <w:rFonts w:cstheme="minorHAnsi"/>
          <w:kern w:val="0"/>
          <w14:ligatures w14:val="none"/>
        </w:rPr>
        <w:t xml:space="preserve"> </w:t>
      </w:r>
      <w:r w:rsidRPr="00F16251">
        <w:rPr>
          <w:rFonts w:cstheme="minorHAnsi"/>
          <w:kern w:val="0"/>
          <w14:ligatures w14:val="none"/>
        </w:rPr>
        <w:t>raportu</w:t>
      </w:r>
      <w:r w:rsidR="003B50ED" w:rsidRPr="00F16251">
        <w:rPr>
          <w:rFonts w:cstheme="minorHAnsi"/>
          <w:kern w:val="0"/>
          <w14:ligatures w14:val="none"/>
        </w:rPr>
        <w:t xml:space="preserve"> </w:t>
      </w:r>
      <w:r w:rsidRPr="00F16251">
        <w:rPr>
          <w:rFonts w:cstheme="minorHAnsi"/>
          <w:kern w:val="0"/>
          <w14:ligatures w14:val="none"/>
        </w:rPr>
        <w:t>stanowi</w:t>
      </w:r>
      <w:r w:rsidR="003B50ED" w:rsidRPr="00F16251">
        <w:rPr>
          <w:rFonts w:cstheme="minorHAnsi"/>
          <w:kern w:val="0"/>
          <w14:ligatures w14:val="none"/>
        </w:rPr>
        <w:t xml:space="preserve"> </w:t>
      </w:r>
      <w:r w:rsidRPr="00F16251">
        <w:rPr>
          <w:rFonts w:cstheme="minorHAnsi"/>
          <w:kern w:val="0"/>
          <w14:ligatures w14:val="none"/>
        </w:rPr>
        <w:t>odzwierciedlenie</w:t>
      </w:r>
      <w:r w:rsidR="003B50ED" w:rsidRPr="00F16251">
        <w:rPr>
          <w:rFonts w:cstheme="minorHAnsi"/>
          <w:kern w:val="0"/>
          <w14:ligatures w14:val="none"/>
        </w:rPr>
        <w:t xml:space="preserve"> </w:t>
      </w:r>
      <w:r w:rsidRPr="00F16251">
        <w:rPr>
          <w:rFonts w:cstheme="minorHAnsi"/>
          <w:kern w:val="0"/>
          <w14:ligatures w14:val="none"/>
        </w:rPr>
        <w:t>zakresu</w:t>
      </w:r>
      <w:r w:rsidR="003B50ED" w:rsidRPr="00F16251">
        <w:rPr>
          <w:rFonts w:cstheme="minorHAnsi"/>
          <w:kern w:val="0"/>
          <w14:ligatures w14:val="none"/>
        </w:rPr>
        <w:t xml:space="preserve"> </w:t>
      </w:r>
      <w:r w:rsidRPr="00F16251">
        <w:rPr>
          <w:rFonts w:cstheme="minorHAnsi"/>
          <w:kern w:val="0"/>
          <w14:ligatures w14:val="none"/>
        </w:rPr>
        <w:t>badania.</w:t>
      </w:r>
      <w:r w:rsidR="003B50ED" w:rsidRPr="00F16251">
        <w:rPr>
          <w:rFonts w:cstheme="minorHAnsi"/>
          <w:kern w:val="0"/>
          <w14:ligatures w14:val="none"/>
        </w:rPr>
        <w:t xml:space="preserve"> </w:t>
      </w:r>
      <w:r w:rsidRPr="00F16251">
        <w:rPr>
          <w:rFonts w:cstheme="minorHAnsi"/>
          <w:kern w:val="0"/>
          <w14:ligatures w14:val="none"/>
        </w:rPr>
        <w:t>Dokumenty</w:t>
      </w:r>
      <w:r w:rsidR="003B50ED" w:rsidRPr="00F16251">
        <w:rPr>
          <w:rFonts w:cstheme="minorHAnsi"/>
          <w:kern w:val="0"/>
          <w14:ligatures w14:val="none"/>
        </w:rPr>
        <w:t xml:space="preserve"> </w:t>
      </w:r>
      <w:r w:rsidRPr="00F16251">
        <w:rPr>
          <w:rFonts w:cstheme="minorHAnsi"/>
          <w:kern w:val="0"/>
          <w14:ligatures w14:val="none"/>
        </w:rPr>
        <w:t>są</w:t>
      </w:r>
      <w:r w:rsidR="003B50ED" w:rsidRPr="00F16251">
        <w:rPr>
          <w:rFonts w:cstheme="minorHAnsi"/>
          <w:kern w:val="0"/>
          <w14:ligatures w14:val="none"/>
        </w:rPr>
        <w:t xml:space="preserve"> </w:t>
      </w:r>
      <w:r w:rsidRPr="00F16251">
        <w:rPr>
          <w:rFonts w:cstheme="minorHAnsi"/>
          <w:kern w:val="0"/>
          <w14:ligatures w14:val="none"/>
        </w:rPr>
        <w:t>przyjmowane</w:t>
      </w:r>
      <w:r w:rsidR="003B50ED" w:rsidRPr="00F16251">
        <w:rPr>
          <w:rFonts w:cstheme="minorHAnsi"/>
          <w:kern w:val="0"/>
          <w14:ligatures w14:val="none"/>
        </w:rPr>
        <w:t xml:space="preserve"> </w:t>
      </w:r>
      <w:r w:rsidRPr="00F16251">
        <w:rPr>
          <w:rFonts w:cstheme="minorHAnsi"/>
          <w:kern w:val="0"/>
          <w14:ligatures w14:val="none"/>
        </w:rPr>
        <w:t>przez</w:t>
      </w:r>
      <w:r w:rsidR="003B50ED" w:rsidRPr="00F16251">
        <w:rPr>
          <w:rFonts w:cstheme="minorHAnsi"/>
          <w:kern w:val="0"/>
          <w14:ligatures w14:val="none"/>
        </w:rPr>
        <w:t xml:space="preserve"> </w:t>
      </w:r>
      <w:r w:rsidRPr="00F16251">
        <w:rPr>
          <w:rFonts w:cstheme="minorHAnsi"/>
          <w:kern w:val="0"/>
          <w14:ligatures w14:val="none"/>
        </w:rPr>
        <w:t>Zarząd.</w:t>
      </w:r>
      <w:r w:rsidR="003B50ED" w:rsidRPr="00F16251">
        <w:rPr>
          <w:rFonts w:cstheme="minorHAnsi"/>
          <w:kern w:val="0"/>
          <w14:ligatures w14:val="none"/>
        </w:rPr>
        <w:t xml:space="preserve"> </w:t>
      </w:r>
    </w:p>
    <w:p w14:paraId="5AB7CB8B" w14:textId="240CD100" w:rsidR="002C63F4" w:rsidRPr="00F16251" w:rsidRDefault="002C63F4" w:rsidP="008A412F">
      <w:pPr>
        <w:numPr>
          <w:ilvl w:val="0"/>
          <w:numId w:val="25"/>
        </w:numPr>
        <w:spacing w:line="276" w:lineRule="auto"/>
        <w:ind w:right="6"/>
        <w:jc w:val="both"/>
        <w:rPr>
          <w:rFonts w:cstheme="minorHAnsi"/>
          <w:kern w:val="0"/>
          <w14:ligatures w14:val="none"/>
        </w:rPr>
      </w:pPr>
      <w:r w:rsidRPr="00F16251">
        <w:rPr>
          <w:rFonts w:cstheme="minorHAnsi"/>
          <w:kern w:val="0"/>
          <w14:ligatures w14:val="none"/>
        </w:rPr>
        <w:t>Sporządzane</w:t>
      </w:r>
      <w:r w:rsidR="003B50ED" w:rsidRPr="00F16251">
        <w:rPr>
          <w:rFonts w:cstheme="minorHAnsi"/>
          <w:kern w:val="0"/>
          <w14:ligatures w14:val="none"/>
        </w:rPr>
        <w:t xml:space="preserve"> </w:t>
      </w:r>
      <w:r w:rsidRPr="00F16251">
        <w:rPr>
          <w:rFonts w:cstheme="minorHAnsi"/>
          <w:kern w:val="0"/>
          <w14:ligatures w14:val="none"/>
        </w:rPr>
        <w:t>informacje</w:t>
      </w:r>
      <w:r w:rsidR="003B50ED" w:rsidRPr="00F16251">
        <w:rPr>
          <w:rFonts w:cstheme="minorHAnsi"/>
          <w:kern w:val="0"/>
          <w14:ligatures w14:val="none"/>
        </w:rPr>
        <w:t xml:space="preserve"> </w:t>
      </w:r>
      <w:r w:rsidRPr="00F16251">
        <w:rPr>
          <w:rFonts w:cstheme="minorHAnsi"/>
          <w:kern w:val="0"/>
          <w14:ligatures w14:val="none"/>
        </w:rPr>
        <w:t>/</w:t>
      </w:r>
      <w:r w:rsidR="003B50ED" w:rsidRPr="00F16251">
        <w:rPr>
          <w:rFonts w:cstheme="minorHAnsi"/>
          <w:kern w:val="0"/>
          <w14:ligatures w14:val="none"/>
        </w:rPr>
        <w:t xml:space="preserve"> </w:t>
      </w:r>
      <w:r w:rsidRPr="00F16251">
        <w:rPr>
          <w:rFonts w:cstheme="minorHAnsi"/>
          <w:kern w:val="0"/>
          <w14:ligatures w14:val="none"/>
        </w:rPr>
        <w:t>raporty</w:t>
      </w:r>
      <w:r w:rsidR="003B50ED" w:rsidRPr="00F16251">
        <w:rPr>
          <w:rFonts w:cstheme="minorHAnsi"/>
          <w:kern w:val="0"/>
          <w14:ligatures w14:val="none"/>
        </w:rPr>
        <w:t xml:space="preserve"> </w:t>
      </w:r>
      <w:r w:rsidRPr="00F16251">
        <w:rPr>
          <w:rFonts w:cstheme="minorHAnsi"/>
          <w:kern w:val="0"/>
          <w14:ligatures w14:val="none"/>
        </w:rPr>
        <w:t>będą</w:t>
      </w:r>
      <w:r w:rsidR="003B50ED" w:rsidRPr="00F16251">
        <w:rPr>
          <w:rFonts w:cstheme="minorHAnsi"/>
          <w:kern w:val="0"/>
          <w14:ligatures w14:val="none"/>
        </w:rPr>
        <w:t xml:space="preserve"> </w:t>
      </w:r>
      <w:r w:rsidRPr="00F16251">
        <w:rPr>
          <w:rFonts w:cstheme="minorHAnsi"/>
          <w:kern w:val="0"/>
          <w14:ligatures w14:val="none"/>
        </w:rPr>
        <w:t>przedstawiane</w:t>
      </w:r>
      <w:r w:rsidR="003B50ED" w:rsidRPr="00F16251">
        <w:rPr>
          <w:rFonts w:cstheme="minorHAnsi"/>
          <w:kern w:val="0"/>
          <w14:ligatures w14:val="none"/>
        </w:rPr>
        <w:t xml:space="preserve"> </w:t>
      </w:r>
      <w:r w:rsidRPr="00F16251">
        <w:rPr>
          <w:rFonts w:cstheme="minorHAnsi"/>
          <w:kern w:val="0"/>
          <w14:ligatures w14:val="none"/>
        </w:rPr>
        <w:t>na</w:t>
      </w:r>
      <w:r w:rsidR="003B50ED" w:rsidRPr="00F16251">
        <w:rPr>
          <w:rFonts w:cstheme="minorHAnsi"/>
          <w:kern w:val="0"/>
          <w14:ligatures w14:val="none"/>
        </w:rPr>
        <w:t xml:space="preserve"> </w:t>
      </w:r>
      <w:r w:rsidRPr="00F16251">
        <w:rPr>
          <w:rFonts w:cstheme="minorHAnsi"/>
          <w:kern w:val="0"/>
          <w14:ligatures w14:val="none"/>
        </w:rPr>
        <w:t>Walnym</w:t>
      </w:r>
      <w:r w:rsidR="003B50ED" w:rsidRPr="00F16251">
        <w:rPr>
          <w:rFonts w:cstheme="minorHAnsi"/>
          <w:kern w:val="0"/>
          <w14:ligatures w14:val="none"/>
        </w:rPr>
        <w:t xml:space="preserve"> </w:t>
      </w:r>
      <w:r w:rsidRPr="00F16251">
        <w:rPr>
          <w:rFonts w:cstheme="minorHAnsi"/>
          <w:kern w:val="0"/>
          <w14:ligatures w14:val="none"/>
        </w:rPr>
        <w:t>Zebraniu</w:t>
      </w:r>
      <w:r w:rsidR="003B50ED" w:rsidRPr="00F16251">
        <w:rPr>
          <w:rFonts w:cstheme="minorHAnsi"/>
          <w:kern w:val="0"/>
          <w14:ligatures w14:val="none"/>
        </w:rPr>
        <w:t xml:space="preserve"> </w:t>
      </w:r>
      <w:r w:rsidRPr="00F16251">
        <w:rPr>
          <w:rFonts w:cstheme="minorHAnsi"/>
          <w:kern w:val="0"/>
          <w14:ligatures w14:val="none"/>
        </w:rPr>
        <w:t>Członków</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podawane</w:t>
      </w:r>
      <w:r w:rsidR="003B50ED" w:rsidRPr="00F16251">
        <w:rPr>
          <w:rFonts w:cstheme="minorHAnsi"/>
          <w:kern w:val="0"/>
          <w14:ligatures w14:val="none"/>
        </w:rPr>
        <w:t xml:space="preserve"> </w:t>
      </w:r>
      <w:r w:rsidRPr="00F16251">
        <w:rPr>
          <w:rFonts w:cstheme="minorHAnsi"/>
          <w:kern w:val="0"/>
          <w14:ligatures w14:val="none"/>
        </w:rPr>
        <w:t>do</w:t>
      </w:r>
      <w:r w:rsidR="003B50ED" w:rsidRPr="00F16251">
        <w:rPr>
          <w:rFonts w:cstheme="minorHAnsi"/>
          <w:kern w:val="0"/>
          <w14:ligatures w14:val="none"/>
        </w:rPr>
        <w:t xml:space="preserve"> </w:t>
      </w:r>
      <w:r w:rsidRPr="00F16251">
        <w:rPr>
          <w:rFonts w:cstheme="minorHAnsi"/>
          <w:kern w:val="0"/>
          <w14:ligatures w14:val="none"/>
        </w:rPr>
        <w:t>publicznej</w:t>
      </w:r>
      <w:r w:rsidR="003B50ED" w:rsidRPr="00F16251">
        <w:rPr>
          <w:rFonts w:cstheme="minorHAnsi"/>
          <w:kern w:val="0"/>
          <w14:ligatures w14:val="none"/>
        </w:rPr>
        <w:t xml:space="preserve"> </w:t>
      </w:r>
      <w:r w:rsidRPr="00F16251">
        <w:rPr>
          <w:rFonts w:cstheme="minorHAnsi"/>
          <w:kern w:val="0"/>
          <w14:ligatures w14:val="none"/>
        </w:rPr>
        <w:t>wiadomości</w:t>
      </w:r>
      <w:r w:rsidR="003B50ED" w:rsidRPr="00F16251">
        <w:rPr>
          <w:rFonts w:cstheme="minorHAnsi"/>
          <w:kern w:val="0"/>
          <w14:ligatures w14:val="none"/>
        </w:rPr>
        <w:t xml:space="preserve"> </w:t>
      </w:r>
      <w:r w:rsidRPr="00F16251">
        <w:rPr>
          <w:rFonts w:cstheme="minorHAnsi"/>
          <w:kern w:val="0"/>
          <w14:ligatures w14:val="none"/>
        </w:rPr>
        <w:t>m.in.</w:t>
      </w:r>
      <w:r w:rsidR="003B50ED" w:rsidRPr="00F16251">
        <w:rPr>
          <w:rFonts w:cstheme="minorHAnsi"/>
          <w:kern w:val="0"/>
          <w14:ligatures w14:val="none"/>
        </w:rPr>
        <w:t xml:space="preserve"> </w:t>
      </w:r>
      <w:r w:rsidRPr="00F16251">
        <w:rPr>
          <w:rFonts w:cstheme="minorHAnsi"/>
          <w:kern w:val="0"/>
          <w14:ligatures w14:val="none"/>
        </w:rPr>
        <w:t>poprzez</w:t>
      </w:r>
      <w:r w:rsidR="003B50ED" w:rsidRPr="00F16251">
        <w:rPr>
          <w:rFonts w:cstheme="minorHAnsi"/>
          <w:kern w:val="0"/>
          <w14:ligatures w14:val="none"/>
        </w:rPr>
        <w:t xml:space="preserve"> </w:t>
      </w:r>
      <w:r w:rsidRPr="00F16251">
        <w:rPr>
          <w:rFonts w:cstheme="minorHAnsi"/>
          <w:kern w:val="0"/>
          <w14:ligatures w14:val="none"/>
        </w:rPr>
        <w:t>umieszczenie</w:t>
      </w:r>
      <w:r w:rsidR="003B50ED" w:rsidRPr="00F16251">
        <w:rPr>
          <w:rFonts w:cstheme="minorHAnsi"/>
          <w:kern w:val="0"/>
          <w14:ligatures w14:val="none"/>
        </w:rPr>
        <w:t xml:space="preserve"> </w:t>
      </w:r>
      <w:r w:rsidRPr="00F16251">
        <w:rPr>
          <w:rFonts w:cstheme="minorHAnsi"/>
          <w:kern w:val="0"/>
          <w14:ligatures w14:val="none"/>
        </w:rPr>
        <w:t>na</w:t>
      </w:r>
      <w:r w:rsidR="003B50ED" w:rsidRPr="00F16251">
        <w:rPr>
          <w:rFonts w:cstheme="minorHAnsi"/>
          <w:kern w:val="0"/>
          <w14:ligatures w14:val="none"/>
        </w:rPr>
        <w:t xml:space="preserve"> </w:t>
      </w:r>
      <w:r w:rsidRPr="00F16251">
        <w:rPr>
          <w:rFonts w:cstheme="minorHAnsi"/>
          <w:kern w:val="0"/>
          <w14:ligatures w14:val="none"/>
        </w:rPr>
        <w:t>stronie</w:t>
      </w:r>
      <w:r w:rsidR="003B50ED" w:rsidRPr="00F16251">
        <w:rPr>
          <w:rFonts w:cstheme="minorHAnsi"/>
          <w:kern w:val="0"/>
          <w14:ligatures w14:val="none"/>
        </w:rPr>
        <w:t xml:space="preserve"> </w:t>
      </w:r>
      <w:r w:rsidRPr="00F16251">
        <w:rPr>
          <w:rFonts w:cstheme="minorHAnsi"/>
          <w:kern w:val="0"/>
          <w14:ligatures w14:val="none"/>
        </w:rPr>
        <w:t>internetowej</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udostępnione</w:t>
      </w:r>
      <w:r w:rsidR="003B50ED" w:rsidRPr="00F16251">
        <w:rPr>
          <w:rFonts w:cstheme="minorHAnsi"/>
          <w:kern w:val="0"/>
          <w14:ligatures w14:val="none"/>
        </w:rPr>
        <w:t xml:space="preserve"> </w:t>
      </w:r>
      <w:r w:rsidRPr="00F16251">
        <w:rPr>
          <w:rFonts w:cstheme="minorHAnsi"/>
          <w:kern w:val="0"/>
          <w14:ligatures w14:val="none"/>
        </w:rPr>
        <w:t>do</w:t>
      </w:r>
      <w:r w:rsidR="003B50ED" w:rsidRPr="00F16251">
        <w:rPr>
          <w:rFonts w:cstheme="minorHAnsi"/>
          <w:kern w:val="0"/>
          <w14:ligatures w14:val="none"/>
        </w:rPr>
        <w:t xml:space="preserve"> </w:t>
      </w:r>
      <w:r w:rsidRPr="00F16251">
        <w:rPr>
          <w:rFonts w:cstheme="minorHAnsi"/>
          <w:kern w:val="0"/>
          <w14:ligatures w14:val="none"/>
        </w:rPr>
        <w:t>wglądu</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Biurze</w:t>
      </w:r>
      <w:r w:rsidR="003B50ED" w:rsidRPr="00F16251">
        <w:rPr>
          <w:rFonts w:cstheme="minorHAnsi"/>
          <w:kern w:val="0"/>
          <w14:ligatures w14:val="none"/>
        </w:rPr>
        <w:t xml:space="preserve"> </w:t>
      </w:r>
      <w:r w:rsidRPr="00F16251">
        <w:rPr>
          <w:rFonts w:cstheme="minorHAnsi"/>
          <w:kern w:val="0"/>
          <w14:ligatures w14:val="none"/>
        </w:rPr>
        <w:t>LGD</w:t>
      </w:r>
      <w:r w:rsidR="003B50ED" w:rsidRPr="00F16251">
        <w:rPr>
          <w:rFonts w:cstheme="minorHAnsi"/>
          <w:kern w:val="0"/>
          <w14:ligatures w14:val="none"/>
        </w:rPr>
        <w:t xml:space="preserve"> </w:t>
      </w:r>
      <w:r w:rsidRPr="00F16251">
        <w:rPr>
          <w:rFonts w:cstheme="minorHAnsi"/>
          <w:kern w:val="0"/>
          <w14:ligatures w14:val="none"/>
        </w:rPr>
        <w:t>(upowszechnienie</w:t>
      </w:r>
      <w:r w:rsidR="003B50ED" w:rsidRPr="00F16251">
        <w:rPr>
          <w:rFonts w:cstheme="minorHAnsi"/>
          <w:kern w:val="0"/>
          <w14:ligatures w14:val="none"/>
        </w:rPr>
        <w:t xml:space="preserve"> </w:t>
      </w:r>
      <w:r w:rsidRPr="00F16251">
        <w:rPr>
          <w:rFonts w:cstheme="minorHAnsi"/>
          <w:kern w:val="0"/>
          <w14:ligatures w14:val="none"/>
        </w:rPr>
        <w:t>wyników).</w:t>
      </w:r>
      <w:r w:rsidR="003B50ED" w:rsidRPr="00F16251">
        <w:rPr>
          <w:rFonts w:cstheme="minorHAnsi"/>
          <w:kern w:val="0"/>
          <w14:ligatures w14:val="none"/>
        </w:rPr>
        <w:t xml:space="preserve"> </w:t>
      </w:r>
      <w:r w:rsidRPr="00F16251">
        <w:rPr>
          <w:rFonts w:cstheme="minorHAnsi"/>
          <w:kern w:val="0"/>
          <w14:ligatures w14:val="none"/>
        </w:rPr>
        <w:t>Będzie</w:t>
      </w:r>
      <w:r w:rsidR="003B50ED" w:rsidRPr="00F16251">
        <w:rPr>
          <w:rFonts w:cstheme="minorHAnsi"/>
          <w:kern w:val="0"/>
          <w14:ligatures w14:val="none"/>
        </w:rPr>
        <w:t xml:space="preserve"> </w:t>
      </w:r>
      <w:r w:rsidRPr="00F16251">
        <w:rPr>
          <w:rFonts w:cstheme="minorHAnsi"/>
          <w:kern w:val="0"/>
          <w14:ligatures w14:val="none"/>
        </w:rPr>
        <w:t>to</w:t>
      </w:r>
      <w:r w:rsidR="003B50ED" w:rsidRPr="00F16251">
        <w:rPr>
          <w:rFonts w:cstheme="minorHAnsi"/>
          <w:kern w:val="0"/>
          <w14:ligatures w14:val="none"/>
        </w:rPr>
        <w:t xml:space="preserve"> </w:t>
      </w:r>
      <w:r w:rsidRPr="00F16251">
        <w:rPr>
          <w:rFonts w:cstheme="minorHAnsi"/>
          <w:kern w:val="0"/>
          <w14:ligatures w14:val="none"/>
        </w:rPr>
        <w:t>forma</w:t>
      </w:r>
      <w:r w:rsidR="003B50ED" w:rsidRPr="00F16251">
        <w:rPr>
          <w:rFonts w:cstheme="minorHAnsi"/>
          <w:kern w:val="0"/>
          <w14:ligatures w14:val="none"/>
        </w:rPr>
        <w:t xml:space="preserve"> </w:t>
      </w:r>
      <w:r w:rsidRPr="00F16251">
        <w:rPr>
          <w:rFonts w:cstheme="minorHAnsi"/>
          <w:kern w:val="0"/>
          <w14:ligatures w14:val="none"/>
        </w:rPr>
        <w:t>zachęty</w:t>
      </w:r>
      <w:r w:rsidR="003B50ED" w:rsidRPr="00F16251">
        <w:rPr>
          <w:rFonts w:cstheme="minorHAnsi"/>
          <w:kern w:val="0"/>
          <w14:ligatures w14:val="none"/>
        </w:rPr>
        <w:t xml:space="preserve"> </w:t>
      </w:r>
      <w:r w:rsidRPr="00F16251">
        <w:rPr>
          <w:rFonts w:cstheme="minorHAnsi"/>
          <w:kern w:val="0"/>
          <w14:ligatures w14:val="none"/>
        </w:rPr>
        <w:t>do</w:t>
      </w:r>
      <w:r w:rsidR="003B50ED" w:rsidRPr="00F16251">
        <w:rPr>
          <w:rFonts w:cstheme="minorHAnsi"/>
          <w:kern w:val="0"/>
          <w14:ligatures w14:val="none"/>
        </w:rPr>
        <w:t xml:space="preserve"> </w:t>
      </w:r>
      <w:r w:rsidRPr="00F16251">
        <w:rPr>
          <w:rFonts w:cstheme="minorHAnsi"/>
          <w:kern w:val="0"/>
          <w14:ligatures w14:val="none"/>
        </w:rPr>
        <w:t>dyskusji</w:t>
      </w:r>
      <w:r w:rsidR="003B50ED" w:rsidRPr="00F16251">
        <w:rPr>
          <w:rFonts w:cstheme="minorHAnsi"/>
          <w:kern w:val="0"/>
          <w14:ligatures w14:val="none"/>
        </w:rPr>
        <w:t xml:space="preserve"> </w:t>
      </w:r>
      <w:r w:rsidR="00785EE8" w:rsidRPr="00F16251">
        <w:rPr>
          <w:rFonts w:cstheme="minorHAnsi"/>
          <w:kern w:val="0"/>
          <w14:ligatures w14:val="none"/>
        </w:rPr>
        <w:t xml:space="preserve">nad funkcjonowaniem </w:t>
      </w:r>
      <w:r w:rsidRPr="00F16251">
        <w:rPr>
          <w:rFonts w:cstheme="minorHAnsi"/>
          <w:kern w:val="0"/>
          <w14:ligatures w14:val="none"/>
        </w:rPr>
        <w:t>LGD</w:t>
      </w:r>
      <w:r w:rsidR="00785EE8" w:rsidRPr="00F16251">
        <w:rPr>
          <w:rFonts w:cstheme="minorHAnsi"/>
          <w:kern w:val="0"/>
          <w14:ligatures w14:val="none"/>
        </w:rPr>
        <w:t xml:space="preserve">, w tym </w:t>
      </w:r>
      <w:r w:rsidRPr="00F16251">
        <w:rPr>
          <w:rFonts w:cstheme="minorHAnsi"/>
          <w:kern w:val="0"/>
          <w14:ligatures w14:val="none"/>
        </w:rPr>
        <w:t>Zarządu</w:t>
      </w:r>
      <w:r w:rsidR="00785EE8" w:rsidRPr="00F16251">
        <w:rPr>
          <w:rFonts w:cstheme="minorHAnsi"/>
          <w:kern w:val="0"/>
          <w14:ligatures w14:val="none"/>
        </w:rPr>
        <w:t xml:space="preserve"> oraz wdrażaniem LSR.</w:t>
      </w:r>
      <w:r w:rsidRPr="00F16251">
        <w:rPr>
          <w:rFonts w:cstheme="minorHAnsi"/>
          <w:kern w:val="0"/>
          <w14:ligatures w14:val="none"/>
        </w:rPr>
        <w:t>.</w:t>
      </w:r>
      <w:r w:rsidR="003B50ED" w:rsidRPr="00F16251">
        <w:rPr>
          <w:rFonts w:cstheme="minorHAnsi"/>
          <w:kern w:val="0"/>
          <w14:ligatures w14:val="none"/>
        </w:rPr>
        <w:t xml:space="preserve"> </w:t>
      </w:r>
    </w:p>
    <w:p w14:paraId="58087726" w14:textId="1ABAA679" w:rsidR="002C63F4" w:rsidRPr="00F16251" w:rsidRDefault="002C63F4" w:rsidP="008A412F">
      <w:pPr>
        <w:numPr>
          <w:ilvl w:val="0"/>
          <w:numId w:val="25"/>
        </w:numPr>
        <w:tabs>
          <w:tab w:val="num" w:pos="720"/>
        </w:tabs>
        <w:spacing w:line="276" w:lineRule="auto"/>
        <w:ind w:right="6"/>
        <w:jc w:val="both"/>
        <w:rPr>
          <w:rFonts w:cstheme="minorHAnsi"/>
          <w:kern w:val="0"/>
          <w14:ligatures w14:val="none"/>
        </w:rPr>
      </w:pP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przypadku</w:t>
      </w:r>
      <w:r w:rsidR="003B50ED" w:rsidRPr="00F16251">
        <w:rPr>
          <w:rFonts w:cstheme="minorHAnsi"/>
          <w:kern w:val="0"/>
          <w14:ligatures w14:val="none"/>
        </w:rPr>
        <w:t xml:space="preserve"> </w:t>
      </w:r>
      <w:r w:rsidRPr="00F16251">
        <w:rPr>
          <w:rFonts w:cstheme="minorHAnsi"/>
          <w:kern w:val="0"/>
          <w14:ligatures w14:val="none"/>
        </w:rPr>
        <w:t>wydania</w:t>
      </w:r>
      <w:r w:rsidR="003B50ED" w:rsidRPr="00F16251">
        <w:rPr>
          <w:rFonts w:cstheme="minorHAnsi"/>
          <w:kern w:val="0"/>
          <w14:ligatures w14:val="none"/>
        </w:rPr>
        <w:t xml:space="preserve"> </w:t>
      </w:r>
      <w:r w:rsidRPr="00F16251">
        <w:rPr>
          <w:rFonts w:cstheme="minorHAnsi"/>
          <w:kern w:val="0"/>
          <w14:ligatures w14:val="none"/>
        </w:rPr>
        <w:t>rekomendacji</w:t>
      </w:r>
      <w:r w:rsidR="00785EE8" w:rsidRPr="00F16251">
        <w:rPr>
          <w:rFonts w:cstheme="minorHAnsi"/>
          <w:kern w:val="0"/>
          <w14:ligatures w14:val="none"/>
        </w:rPr>
        <w:t>,</w:t>
      </w:r>
      <w:r w:rsidR="003B50ED" w:rsidRPr="00F16251">
        <w:rPr>
          <w:rFonts w:cstheme="minorHAnsi"/>
          <w:kern w:val="0"/>
          <w14:ligatures w14:val="none"/>
        </w:rPr>
        <w:t xml:space="preserve"> </w:t>
      </w:r>
      <w:r w:rsidRPr="00F16251">
        <w:rPr>
          <w:rFonts w:cstheme="minorHAnsi"/>
          <w:kern w:val="0"/>
          <w14:ligatures w14:val="none"/>
        </w:rPr>
        <w:t>Zarząd</w:t>
      </w:r>
      <w:r w:rsidR="003B50ED" w:rsidRPr="00F16251">
        <w:rPr>
          <w:rFonts w:cstheme="minorHAnsi"/>
          <w:kern w:val="0"/>
          <w14:ligatures w14:val="none"/>
        </w:rPr>
        <w:t xml:space="preserve"> </w:t>
      </w:r>
      <w:r w:rsidRPr="00F16251">
        <w:rPr>
          <w:rFonts w:cstheme="minorHAnsi"/>
          <w:kern w:val="0"/>
          <w14:ligatures w14:val="none"/>
        </w:rPr>
        <w:t>wskazuje</w:t>
      </w:r>
      <w:r w:rsidR="003B50ED" w:rsidRPr="00F16251">
        <w:rPr>
          <w:rFonts w:cstheme="minorHAnsi"/>
          <w:kern w:val="0"/>
          <w14:ligatures w14:val="none"/>
        </w:rPr>
        <w:t xml:space="preserve"> </w:t>
      </w:r>
      <w:r w:rsidRPr="00F16251">
        <w:rPr>
          <w:rFonts w:cstheme="minorHAnsi"/>
          <w:kern w:val="0"/>
          <w14:ligatures w14:val="none"/>
        </w:rPr>
        <w:t>osobę/osoby</w:t>
      </w:r>
      <w:r w:rsidR="003B50ED" w:rsidRPr="00F16251">
        <w:rPr>
          <w:rFonts w:cstheme="minorHAnsi"/>
          <w:kern w:val="0"/>
          <w14:ligatures w14:val="none"/>
        </w:rPr>
        <w:t xml:space="preserve"> </w:t>
      </w:r>
      <w:r w:rsidRPr="00F16251">
        <w:rPr>
          <w:rFonts w:cstheme="minorHAnsi"/>
          <w:kern w:val="0"/>
          <w14:ligatures w14:val="none"/>
        </w:rPr>
        <w:t>odpowiedzialne</w:t>
      </w:r>
      <w:r w:rsidR="003B50ED" w:rsidRPr="00F16251">
        <w:rPr>
          <w:rFonts w:cstheme="minorHAnsi"/>
          <w:kern w:val="0"/>
          <w14:ligatures w14:val="none"/>
        </w:rPr>
        <w:t xml:space="preserve"> </w:t>
      </w:r>
      <w:r w:rsidRPr="00F16251">
        <w:rPr>
          <w:rFonts w:cstheme="minorHAnsi"/>
          <w:kern w:val="0"/>
          <w14:ligatures w14:val="none"/>
        </w:rPr>
        <w:t>za</w:t>
      </w:r>
      <w:r w:rsidR="003B50ED" w:rsidRPr="00F16251">
        <w:rPr>
          <w:rFonts w:cstheme="minorHAnsi"/>
          <w:kern w:val="0"/>
          <w14:ligatures w14:val="none"/>
        </w:rPr>
        <w:t xml:space="preserve"> </w:t>
      </w:r>
      <w:r w:rsidRPr="00F16251">
        <w:rPr>
          <w:rFonts w:cstheme="minorHAnsi"/>
          <w:kern w:val="0"/>
          <w14:ligatures w14:val="none"/>
        </w:rPr>
        <w:t>ich</w:t>
      </w:r>
      <w:r w:rsidR="003B50ED" w:rsidRPr="00F16251">
        <w:rPr>
          <w:rFonts w:cstheme="minorHAnsi"/>
          <w:kern w:val="0"/>
          <w14:ligatures w14:val="none"/>
        </w:rPr>
        <w:t xml:space="preserve"> </w:t>
      </w:r>
      <w:r w:rsidRPr="00F16251">
        <w:rPr>
          <w:rFonts w:cstheme="minorHAnsi"/>
          <w:kern w:val="0"/>
          <w14:ligatures w14:val="none"/>
        </w:rPr>
        <w:t>realizację</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określa</w:t>
      </w:r>
      <w:r w:rsidR="003B50ED" w:rsidRPr="00F16251">
        <w:rPr>
          <w:rFonts w:cstheme="minorHAnsi"/>
          <w:kern w:val="0"/>
          <w14:ligatures w14:val="none"/>
        </w:rPr>
        <w:t xml:space="preserve"> </w:t>
      </w:r>
      <w:r w:rsidRPr="00F16251">
        <w:rPr>
          <w:rFonts w:cstheme="minorHAnsi"/>
          <w:kern w:val="0"/>
          <w14:ligatures w14:val="none"/>
        </w:rPr>
        <w:t>terminy</w:t>
      </w:r>
      <w:r w:rsidR="003B50ED" w:rsidRPr="00F16251">
        <w:rPr>
          <w:rFonts w:cstheme="minorHAnsi"/>
          <w:kern w:val="0"/>
          <w14:ligatures w14:val="none"/>
        </w:rPr>
        <w:t xml:space="preserve"> </w:t>
      </w:r>
      <w:r w:rsidRPr="00F16251">
        <w:rPr>
          <w:rFonts w:cstheme="minorHAnsi"/>
          <w:kern w:val="0"/>
          <w14:ligatures w14:val="none"/>
        </w:rPr>
        <w:t>ich</w:t>
      </w:r>
      <w:r w:rsidR="003B50ED" w:rsidRPr="00F16251">
        <w:rPr>
          <w:rFonts w:cstheme="minorHAnsi"/>
          <w:kern w:val="0"/>
          <w14:ligatures w14:val="none"/>
        </w:rPr>
        <w:t xml:space="preserve"> </w:t>
      </w:r>
      <w:r w:rsidRPr="00F16251">
        <w:rPr>
          <w:rFonts w:cstheme="minorHAnsi"/>
          <w:kern w:val="0"/>
          <w14:ligatures w14:val="none"/>
        </w:rPr>
        <w:t>wdrożenia.</w:t>
      </w:r>
      <w:r w:rsidR="003B50ED" w:rsidRPr="00F16251">
        <w:rPr>
          <w:rFonts w:cstheme="minorHAnsi"/>
          <w:kern w:val="0"/>
          <w14:ligatures w14:val="none"/>
        </w:rPr>
        <w:t xml:space="preserve"> </w:t>
      </w:r>
    </w:p>
    <w:p w14:paraId="57CFDCF9" w14:textId="1536B2A5" w:rsidR="002C63F4" w:rsidRPr="00F16251" w:rsidRDefault="002C63F4" w:rsidP="008A412F">
      <w:pPr>
        <w:numPr>
          <w:ilvl w:val="0"/>
          <w:numId w:val="25"/>
        </w:numPr>
        <w:tabs>
          <w:tab w:val="num" w:pos="720"/>
        </w:tabs>
        <w:spacing w:line="276" w:lineRule="auto"/>
        <w:ind w:right="6"/>
        <w:jc w:val="both"/>
        <w:rPr>
          <w:rFonts w:cstheme="minorHAnsi"/>
          <w:kern w:val="0"/>
          <w14:ligatures w14:val="none"/>
        </w:rPr>
      </w:pPr>
      <w:r w:rsidRPr="00F16251">
        <w:rPr>
          <w:rFonts w:cstheme="minorHAnsi"/>
          <w:kern w:val="0"/>
          <w14:ligatures w14:val="none"/>
        </w:rPr>
        <w:t>Monitorowaniem</w:t>
      </w:r>
      <w:r w:rsidR="003B50ED" w:rsidRPr="00F16251">
        <w:rPr>
          <w:rFonts w:cstheme="minorHAnsi"/>
          <w:kern w:val="0"/>
          <w14:ligatures w14:val="none"/>
        </w:rPr>
        <w:t xml:space="preserve"> </w:t>
      </w:r>
      <w:r w:rsidRPr="00F16251">
        <w:rPr>
          <w:rFonts w:cstheme="minorHAnsi"/>
          <w:kern w:val="0"/>
          <w14:ligatures w14:val="none"/>
        </w:rPr>
        <w:t>terminowości</w:t>
      </w:r>
      <w:r w:rsidR="003B50ED" w:rsidRPr="00F16251">
        <w:rPr>
          <w:rFonts w:cstheme="minorHAnsi"/>
          <w:kern w:val="0"/>
          <w14:ligatures w14:val="none"/>
        </w:rPr>
        <w:t xml:space="preserve"> </w:t>
      </w:r>
      <w:r w:rsidRPr="00F16251">
        <w:rPr>
          <w:rFonts w:cstheme="minorHAnsi"/>
          <w:kern w:val="0"/>
          <w14:ligatures w14:val="none"/>
        </w:rPr>
        <w:t>realizacji</w:t>
      </w:r>
      <w:r w:rsidR="003B50ED" w:rsidRPr="00F16251">
        <w:rPr>
          <w:rFonts w:cstheme="minorHAnsi"/>
          <w:kern w:val="0"/>
          <w14:ligatures w14:val="none"/>
        </w:rPr>
        <w:t xml:space="preserve"> </w:t>
      </w:r>
      <w:r w:rsidRPr="00F16251">
        <w:rPr>
          <w:rFonts w:cstheme="minorHAnsi"/>
          <w:kern w:val="0"/>
          <w14:ligatures w14:val="none"/>
        </w:rPr>
        <w:t>rekomendacji</w:t>
      </w:r>
      <w:r w:rsidR="003B50ED" w:rsidRPr="00F16251">
        <w:rPr>
          <w:rFonts w:cstheme="minorHAnsi"/>
          <w:kern w:val="0"/>
          <w14:ligatures w14:val="none"/>
        </w:rPr>
        <w:t xml:space="preserve"> </w:t>
      </w:r>
      <w:r w:rsidRPr="00F16251">
        <w:rPr>
          <w:rFonts w:cstheme="minorHAnsi"/>
          <w:kern w:val="0"/>
          <w14:ligatures w14:val="none"/>
        </w:rPr>
        <w:t>zajmuje</w:t>
      </w:r>
      <w:r w:rsidR="003B50ED" w:rsidRPr="00F16251">
        <w:rPr>
          <w:rFonts w:cstheme="minorHAnsi"/>
          <w:kern w:val="0"/>
          <w14:ligatures w14:val="none"/>
        </w:rPr>
        <w:t xml:space="preserve"> </w:t>
      </w:r>
      <w:r w:rsidR="000E61A9" w:rsidRPr="00F16251">
        <w:rPr>
          <w:rFonts w:cstheme="minorHAnsi"/>
          <w:kern w:val="0"/>
          <w14:ligatures w14:val="none"/>
        </w:rPr>
        <w:t xml:space="preserve">się </w:t>
      </w:r>
      <w:r w:rsidR="00785EE8" w:rsidRPr="00F16251">
        <w:rPr>
          <w:rFonts w:cstheme="minorHAnsi"/>
          <w:kern w:val="0"/>
          <w14:ligatures w14:val="none"/>
        </w:rPr>
        <w:t>Biuro LGD</w:t>
      </w:r>
      <w:r w:rsidRPr="00F16251">
        <w:rPr>
          <w:rFonts w:cstheme="minorHAnsi"/>
          <w:kern w:val="0"/>
          <w14:ligatures w14:val="none"/>
        </w:rPr>
        <w:t>.</w:t>
      </w:r>
      <w:r w:rsidR="003B50ED" w:rsidRPr="00F16251">
        <w:rPr>
          <w:rFonts w:cstheme="minorHAnsi"/>
          <w:kern w:val="0"/>
          <w14:ligatures w14:val="none"/>
        </w:rPr>
        <w:t xml:space="preserve"> </w:t>
      </w:r>
      <w:r w:rsidRPr="00F16251">
        <w:rPr>
          <w:rFonts w:cstheme="minorHAnsi"/>
          <w:kern w:val="0"/>
          <w14:ligatures w14:val="none"/>
        </w:rPr>
        <w:t>Jeśli</w:t>
      </w:r>
      <w:r w:rsidR="003B50ED" w:rsidRPr="00F16251">
        <w:rPr>
          <w:rFonts w:cstheme="minorHAnsi"/>
          <w:kern w:val="0"/>
          <w14:ligatures w14:val="none"/>
        </w:rPr>
        <w:t xml:space="preserve"> </w:t>
      </w:r>
      <w:r w:rsidRPr="00F16251">
        <w:rPr>
          <w:rFonts w:cstheme="minorHAnsi"/>
          <w:kern w:val="0"/>
          <w14:ligatures w14:val="none"/>
        </w:rPr>
        <w:t>wdrożenie</w:t>
      </w:r>
      <w:r w:rsidR="003B50ED" w:rsidRPr="00F16251">
        <w:rPr>
          <w:rFonts w:cstheme="minorHAnsi"/>
          <w:kern w:val="0"/>
          <w14:ligatures w14:val="none"/>
        </w:rPr>
        <w:t xml:space="preserve"> </w:t>
      </w:r>
      <w:r w:rsidRPr="00F16251">
        <w:rPr>
          <w:rFonts w:cstheme="minorHAnsi"/>
          <w:kern w:val="0"/>
          <w14:ligatures w14:val="none"/>
        </w:rPr>
        <w:t>rekomendacji</w:t>
      </w:r>
      <w:r w:rsidR="003B50ED" w:rsidRPr="00F16251">
        <w:rPr>
          <w:rFonts w:cstheme="minorHAnsi"/>
          <w:kern w:val="0"/>
          <w14:ligatures w14:val="none"/>
        </w:rPr>
        <w:t xml:space="preserve"> </w:t>
      </w:r>
      <w:r w:rsidRPr="00F16251">
        <w:rPr>
          <w:rFonts w:cstheme="minorHAnsi"/>
          <w:kern w:val="0"/>
          <w14:ligatures w14:val="none"/>
        </w:rPr>
        <w:t>nie</w:t>
      </w:r>
      <w:r w:rsidR="003B50ED" w:rsidRPr="00F16251">
        <w:rPr>
          <w:rFonts w:cstheme="minorHAnsi"/>
          <w:kern w:val="0"/>
          <w14:ligatures w14:val="none"/>
        </w:rPr>
        <w:t xml:space="preserve"> </w:t>
      </w:r>
      <w:r w:rsidRPr="00F16251">
        <w:rPr>
          <w:rFonts w:cstheme="minorHAnsi"/>
          <w:kern w:val="0"/>
          <w14:ligatures w14:val="none"/>
        </w:rPr>
        <w:t>jest</w:t>
      </w:r>
      <w:r w:rsidR="003B50ED" w:rsidRPr="00F16251">
        <w:rPr>
          <w:rFonts w:cstheme="minorHAnsi"/>
          <w:kern w:val="0"/>
          <w14:ligatures w14:val="none"/>
        </w:rPr>
        <w:t xml:space="preserve"> </w:t>
      </w:r>
      <w:r w:rsidRPr="00F16251">
        <w:rPr>
          <w:rFonts w:cstheme="minorHAnsi"/>
          <w:kern w:val="0"/>
          <w14:ligatures w14:val="none"/>
        </w:rPr>
        <w:t>możliwe</w:t>
      </w:r>
      <w:r w:rsidR="003B50ED" w:rsidRPr="00F16251">
        <w:rPr>
          <w:rFonts w:cstheme="minorHAnsi"/>
          <w:kern w:val="0"/>
          <w14:ligatures w14:val="none"/>
        </w:rPr>
        <w:t xml:space="preserve"> </w:t>
      </w:r>
      <w:r w:rsidRPr="00F16251">
        <w:rPr>
          <w:rFonts w:cstheme="minorHAnsi"/>
          <w:kern w:val="0"/>
          <w14:ligatures w14:val="none"/>
        </w:rPr>
        <w:t>w</w:t>
      </w:r>
      <w:r w:rsidR="003B50ED" w:rsidRPr="00F16251">
        <w:rPr>
          <w:rFonts w:cstheme="minorHAnsi"/>
          <w:kern w:val="0"/>
          <w14:ligatures w14:val="none"/>
        </w:rPr>
        <w:t xml:space="preserve"> </w:t>
      </w:r>
      <w:r w:rsidRPr="00F16251">
        <w:rPr>
          <w:rFonts w:cstheme="minorHAnsi"/>
          <w:kern w:val="0"/>
          <w14:ligatures w14:val="none"/>
        </w:rPr>
        <w:t>wyznaczonym</w:t>
      </w:r>
      <w:r w:rsidR="003B50ED" w:rsidRPr="00F16251">
        <w:rPr>
          <w:rFonts w:cstheme="minorHAnsi"/>
          <w:kern w:val="0"/>
          <w14:ligatures w14:val="none"/>
        </w:rPr>
        <w:t xml:space="preserve"> </w:t>
      </w:r>
      <w:r w:rsidRPr="00F16251">
        <w:rPr>
          <w:rFonts w:cstheme="minorHAnsi"/>
          <w:kern w:val="0"/>
          <w14:ligatures w14:val="none"/>
        </w:rPr>
        <w:t>terminie</w:t>
      </w:r>
      <w:r w:rsidR="003B50ED" w:rsidRPr="00F16251">
        <w:rPr>
          <w:rFonts w:cstheme="minorHAnsi"/>
          <w:kern w:val="0"/>
          <w14:ligatures w14:val="none"/>
        </w:rPr>
        <w:t xml:space="preserve"> </w:t>
      </w:r>
      <w:r w:rsidRPr="00F16251">
        <w:rPr>
          <w:rFonts w:cstheme="minorHAnsi"/>
          <w:kern w:val="0"/>
          <w14:ligatures w14:val="none"/>
        </w:rPr>
        <w:t>–</w:t>
      </w:r>
      <w:r w:rsidR="003B50ED" w:rsidRPr="00F16251">
        <w:rPr>
          <w:rFonts w:cstheme="minorHAnsi"/>
          <w:kern w:val="0"/>
          <w14:ligatures w14:val="none"/>
        </w:rPr>
        <w:t xml:space="preserve"> </w:t>
      </w:r>
      <w:r w:rsidRPr="00F16251">
        <w:rPr>
          <w:rFonts w:cstheme="minorHAnsi"/>
          <w:kern w:val="0"/>
          <w14:ligatures w14:val="none"/>
        </w:rPr>
        <w:t>wnioskuje</w:t>
      </w:r>
      <w:r w:rsidR="003B50ED" w:rsidRPr="00F16251">
        <w:rPr>
          <w:rFonts w:cstheme="minorHAnsi"/>
          <w:kern w:val="0"/>
          <w14:ligatures w14:val="none"/>
        </w:rPr>
        <w:t xml:space="preserve"> </w:t>
      </w:r>
      <w:r w:rsidRPr="00F16251">
        <w:rPr>
          <w:rFonts w:cstheme="minorHAnsi"/>
          <w:kern w:val="0"/>
          <w14:ligatures w14:val="none"/>
        </w:rPr>
        <w:t>się</w:t>
      </w:r>
      <w:r w:rsidR="003B50ED" w:rsidRPr="00F16251">
        <w:rPr>
          <w:rFonts w:cstheme="minorHAnsi"/>
          <w:kern w:val="0"/>
          <w14:ligatures w14:val="none"/>
        </w:rPr>
        <w:t xml:space="preserve"> </w:t>
      </w:r>
      <w:r w:rsidRPr="00F16251">
        <w:rPr>
          <w:rFonts w:cstheme="minorHAnsi"/>
          <w:kern w:val="0"/>
          <w14:ligatures w14:val="none"/>
        </w:rPr>
        <w:t>o</w:t>
      </w:r>
      <w:r w:rsidR="003B50ED" w:rsidRPr="00F16251">
        <w:rPr>
          <w:rFonts w:cstheme="minorHAnsi"/>
          <w:kern w:val="0"/>
          <w14:ligatures w14:val="none"/>
        </w:rPr>
        <w:t xml:space="preserve"> </w:t>
      </w:r>
      <w:r w:rsidRPr="00F16251">
        <w:rPr>
          <w:rFonts w:cstheme="minorHAnsi"/>
          <w:kern w:val="0"/>
          <w14:ligatures w14:val="none"/>
        </w:rPr>
        <w:t>zmianę</w:t>
      </w:r>
      <w:r w:rsidR="003B50ED" w:rsidRPr="00F16251">
        <w:rPr>
          <w:rFonts w:cstheme="minorHAnsi"/>
          <w:kern w:val="0"/>
          <w14:ligatures w14:val="none"/>
        </w:rPr>
        <w:t xml:space="preserve"> </w:t>
      </w:r>
      <w:r w:rsidRPr="00F16251">
        <w:rPr>
          <w:rFonts w:cstheme="minorHAnsi"/>
          <w:kern w:val="0"/>
          <w14:ligatures w14:val="none"/>
        </w:rPr>
        <w:t>terminu</w:t>
      </w:r>
      <w:r w:rsidR="003B50ED" w:rsidRPr="00F16251">
        <w:rPr>
          <w:rFonts w:cstheme="minorHAnsi"/>
          <w:kern w:val="0"/>
          <w14:ligatures w14:val="none"/>
        </w:rPr>
        <w:t xml:space="preserve"> </w:t>
      </w:r>
      <w:r w:rsidRPr="00F16251">
        <w:rPr>
          <w:rFonts w:cstheme="minorHAnsi"/>
          <w:kern w:val="0"/>
          <w14:ligatures w14:val="none"/>
        </w:rPr>
        <w:t>lub</w:t>
      </w:r>
      <w:r w:rsidR="003B50ED" w:rsidRPr="00F16251">
        <w:rPr>
          <w:rFonts w:cstheme="minorHAnsi"/>
          <w:kern w:val="0"/>
          <w14:ligatures w14:val="none"/>
        </w:rPr>
        <w:t xml:space="preserve"> </w:t>
      </w:r>
      <w:r w:rsidRPr="00F16251">
        <w:rPr>
          <w:rFonts w:cstheme="minorHAnsi"/>
          <w:kern w:val="0"/>
          <w14:ligatures w14:val="none"/>
        </w:rPr>
        <w:t>podjęcie</w:t>
      </w:r>
      <w:r w:rsidR="003B50ED" w:rsidRPr="00F16251">
        <w:rPr>
          <w:rFonts w:cstheme="minorHAnsi"/>
          <w:kern w:val="0"/>
          <w14:ligatures w14:val="none"/>
        </w:rPr>
        <w:t xml:space="preserve"> </w:t>
      </w:r>
      <w:r w:rsidRPr="00F16251">
        <w:rPr>
          <w:rFonts w:cstheme="minorHAnsi"/>
          <w:kern w:val="0"/>
          <w14:ligatures w14:val="none"/>
        </w:rPr>
        <w:t>dodatkowych</w:t>
      </w:r>
      <w:r w:rsidR="003B50ED" w:rsidRPr="00F16251">
        <w:rPr>
          <w:rFonts w:cstheme="minorHAnsi"/>
          <w:kern w:val="0"/>
          <w14:ligatures w14:val="none"/>
        </w:rPr>
        <w:t xml:space="preserve"> </w:t>
      </w:r>
      <w:r w:rsidRPr="00F16251">
        <w:rPr>
          <w:rFonts w:cstheme="minorHAnsi"/>
          <w:kern w:val="0"/>
          <w14:ligatures w14:val="none"/>
        </w:rPr>
        <w:t>działań</w:t>
      </w:r>
      <w:r w:rsidR="003B50ED" w:rsidRPr="00F16251">
        <w:rPr>
          <w:rFonts w:cstheme="minorHAnsi"/>
          <w:kern w:val="0"/>
          <w14:ligatures w14:val="none"/>
        </w:rPr>
        <w:t xml:space="preserve"> </w:t>
      </w:r>
      <w:r w:rsidRPr="00F16251">
        <w:rPr>
          <w:rFonts w:cstheme="minorHAnsi"/>
          <w:kern w:val="0"/>
          <w14:ligatures w14:val="none"/>
        </w:rPr>
        <w:t>warunkujących</w:t>
      </w:r>
      <w:r w:rsidR="003B50ED" w:rsidRPr="00F16251">
        <w:rPr>
          <w:rFonts w:cstheme="minorHAnsi"/>
          <w:kern w:val="0"/>
          <w14:ligatures w14:val="none"/>
        </w:rPr>
        <w:t xml:space="preserve"> </w:t>
      </w:r>
      <w:r w:rsidRPr="00F16251">
        <w:rPr>
          <w:rFonts w:cstheme="minorHAnsi"/>
          <w:kern w:val="0"/>
          <w14:ligatures w14:val="none"/>
        </w:rPr>
        <w:t>wykonanie</w:t>
      </w:r>
      <w:r w:rsidR="003B50ED" w:rsidRPr="00F16251">
        <w:rPr>
          <w:rFonts w:cstheme="minorHAnsi"/>
          <w:kern w:val="0"/>
          <w14:ligatures w14:val="none"/>
        </w:rPr>
        <w:t xml:space="preserve"> </w:t>
      </w:r>
      <w:r w:rsidRPr="00F16251">
        <w:rPr>
          <w:rFonts w:cstheme="minorHAnsi"/>
          <w:kern w:val="0"/>
          <w14:ligatures w14:val="none"/>
        </w:rPr>
        <w:t>rekomendacji.</w:t>
      </w:r>
      <w:r w:rsidR="003B50ED" w:rsidRPr="00F16251">
        <w:rPr>
          <w:rFonts w:cstheme="minorHAnsi"/>
          <w:kern w:val="0"/>
          <w14:ligatures w14:val="none"/>
        </w:rPr>
        <w:t xml:space="preserve"> </w:t>
      </w:r>
    </w:p>
    <w:p w14:paraId="5C5D1313" w14:textId="44E5541A" w:rsidR="002C63F4" w:rsidRPr="00F16251" w:rsidRDefault="002C63F4" w:rsidP="008A412F">
      <w:pPr>
        <w:numPr>
          <w:ilvl w:val="0"/>
          <w:numId w:val="25"/>
        </w:numPr>
        <w:tabs>
          <w:tab w:val="num" w:pos="720"/>
        </w:tabs>
        <w:spacing w:line="276" w:lineRule="auto"/>
        <w:ind w:right="6"/>
        <w:jc w:val="both"/>
        <w:rPr>
          <w:rFonts w:cstheme="minorHAnsi"/>
          <w:kern w:val="0"/>
          <w14:ligatures w14:val="none"/>
        </w:rPr>
      </w:pPr>
      <w:r w:rsidRPr="00F16251">
        <w:rPr>
          <w:rFonts w:cstheme="minorHAnsi"/>
          <w:kern w:val="0"/>
          <w14:ligatures w14:val="none"/>
        </w:rPr>
        <w:t>Za</w:t>
      </w:r>
      <w:r w:rsidR="003B50ED" w:rsidRPr="00F16251">
        <w:rPr>
          <w:rFonts w:cstheme="minorHAnsi"/>
          <w:kern w:val="0"/>
          <w14:ligatures w14:val="none"/>
        </w:rPr>
        <w:t xml:space="preserve"> </w:t>
      </w:r>
      <w:r w:rsidRPr="00F16251">
        <w:rPr>
          <w:rFonts w:cstheme="minorHAnsi"/>
          <w:kern w:val="0"/>
          <w14:ligatures w14:val="none"/>
        </w:rPr>
        <w:t>realizację</w:t>
      </w:r>
      <w:r w:rsidR="003B50ED" w:rsidRPr="00F16251">
        <w:rPr>
          <w:rFonts w:cstheme="minorHAnsi"/>
          <w:kern w:val="0"/>
          <w14:ligatures w14:val="none"/>
        </w:rPr>
        <w:t xml:space="preserve"> </w:t>
      </w:r>
      <w:r w:rsidRPr="00F16251">
        <w:rPr>
          <w:rFonts w:cstheme="minorHAnsi"/>
          <w:kern w:val="0"/>
          <w14:ligatures w14:val="none"/>
        </w:rPr>
        <w:t>rekomendacji</w:t>
      </w:r>
      <w:r w:rsidR="003B50ED" w:rsidRPr="00F16251">
        <w:rPr>
          <w:rFonts w:cstheme="minorHAnsi"/>
          <w:kern w:val="0"/>
          <w14:ligatures w14:val="none"/>
        </w:rPr>
        <w:t xml:space="preserve"> </w:t>
      </w:r>
      <w:r w:rsidRPr="00F16251">
        <w:rPr>
          <w:rFonts w:cstheme="minorHAnsi"/>
          <w:kern w:val="0"/>
          <w14:ligatures w14:val="none"/>
        </w:rPr>
        <w:t>lub</w:t>
      </w:r>
      <w:r w:rsidR="003B50ED" w:rsidRPr="00F16251">
        <w:rPr>
          <w:rFonts w:cstheme="minorHAnsi"/>
          <w:kern w:val="0"/>
          <w14:ligatures w14:val="none"/>
        </w:rPr>
        <w:t xml:space="preserve"> </w:t>
      </w:r>
      <w:r w:rsidRPr="00F16251">
        <w:rPr>
          <w:rFonts w:cstheme="minorHAnsi"/>
          <w:kern w:val="0"/>
          <w14:ligatures w14:val="none"/>
        </w:rPr>
        <w:t>uzasadnienie</w:t>
      </w:r>
      <w:r w:rsidR="003B50ED" w:rsidRPr="00F16251">
        <w:rPr>
          <w:rFonts w:cstheme="minorHAnsi"/>
          <w:kern w:val="0"/>
          <w14:ligatures w14:val="none"/>
        </w:rPr>
        <w:t xml:space="preserve"> </w:t>
      </w:r>
      <w:r w:rsidRPr="00F16251">
        <w:rPr>
          <w:rFonts w:cstheme="minorHAnsi"/>
          <w:kern w:val="0"/>
          <w14:ligatures w14:val="none"/>
        </w:rPr>
        <w:t>przyczyn</w:t>
      </w:r>
      <w:r w:rsidR="003B50ED" w:rsidRPr="00F16251">
        <w:rPr>
          <w:rFonts w:cstheme="minorHAnsi"/>
          <w:kern w:val="0"/>
          <w14:ligatures w14:val="none"/>
        </w:rPr>
        <w:t xml:space="preserve"> </w:t>
      </w:r>
      <w:r w:rsidRPr="00F16251">
        <w:rPr>
          <w:rFonts w:cstheme="minorHAnsi"/>
          <w:kern w:val="0"/>
          <w14:ligatures w14:val="none"/>
        </w:rPr>
        <w:t>odstąpienia</w:t>
      </w:r>
      <w:r w:rsidR="003B50ED" w:rsidRPr="00F16251">
        <w:rPr>
          <w:rFonts w:cstheme="minorHAnsi"/>
          <w:kern w:val="0"/>
          <w14:ligatures w14:val="none"/>
        </w:rPr>
        <w:t xml:space="preserve"> </w:t>
      </w:r>
      <w:r w:rsidRPr="00F16251">
        <w:rPr>
          <w:rFonts w:cstheme="minorHAnsi"/>
          <w:kern w:val="0"/>
          <w14:ligatures w14:val="none"/>
        </w:rPr>
        <w:t>od</w:t>
      </w:r>
      <w:r w:rsidR="003B50ED" w:rsidRPr="00F16251">
        <w:rPr>
          <w:rFonts w:cstheme="minorHAnsi"/>
          <w:kern w:val="0"/>
          <w14:ligatures w14:val="none"/>
        </w:rPr>
        <w:t xml:space="preserve"> </w:t>
      </w:r>
      <w:r w:rsidRPr="00F16251">
        <w:rPr>
          <w:rFonts w:cstheme="minorHAnsi"/>
          <w:kern w:val="0"/>
          <w14:ligatures w14:val="none"/>
        </w:rPr>
        <w:t>ich</w:t>
      </w:r>
      <w:r w:rsidR="003B50ED" w:rsidRPr="00F16251">
        <w:rPr>
          <w:rFonts w:cstheme="minorHAnsi"/>
          <w:kern w:val="0"/>
          <w14:ligatures w14:val="none"/>
        </w:rPr>
        <w:t xml:space="preserve"> </w:t>
      </w:r>
      <w:r w:rsidRPr="00F16251">
        <w:rPr>
          <w:rFonts w:cstheme="minorHAnsi"/>
          <w:kern w:val="0"/>
          <w14:ligatures w14:val="none"/>
        </w:rPr>
        <w:t>realizacji</w:t>
      </w:r>
      <w:r w:rsidR="003B50ED" w:rsidRPr="00F16251">
        <w:rPr>
          <w:rFonts w:cstheme="minorHAnsi"/>
          <w:kern w:val="0"/>
          <w14:ligatures w14:val="none"/>
        </w:rPr>
        <w:t xml:space="preserve"> </w:t>
      </w:r>
      <w:r w:rsidRPr="00F16251">
        <w:rPr>
          <w:rFonts w:cstheme="minorHAnsi"/>
          <w:kern w:val="0"/>
          <w14:ligatures w14:val="none"/>
        </w:rPr>
        <w:t>odpowiada</w:t>
      </w:r>
      <w:r w:rsidR="003B50ED" w:rsidRPr="00F16251">
        <w:rPr>
          <w:rFonts w:cstheme="minorHAnsi"/>
          <w:kern w:val="0"/>
          <w14:ligatures w14:val="none"/>
        </w:rPr>
        <w:t xml:space="preserve"> </w:t>
      </w:r>
      <w:r w:rsidRPr="00F16251">
        <w:rPr>
          <w:rFonts w:cstheme="minorHAnsi"/>
          <w:kern w:val="0"/>
          <w14:ligatures w14:val="none"/>
        </w:rPr>
        <w:t>Zarząd.</w:t>
      </w:r>
    </w:p>
    <w:p w14:paraId="79B198D7" w14:textId="05325D21" w:rsidR="002C63F4" w:rsidRPr="00F16251" w:rsidRDefault="002C63F4" w:rsidP="008A412F">
      <w:pPr>
        <w:numPr>
          <w:ilvl w:val="0"/>
          <w:numId w:val="25"/>
        </w:numPr>
        <w:tabs>
          <w:tab w:val="num" w:pos="720"/>
        </w:tabs>
        <w:spacing w:line="276" w:lineRule="auto"/>
        <w:ind w:right="6"/>
        <w:jc w:val="both"/>
        <w:rPr>
          <w:rFonts w:cstheme="minorHAnsi"/>
          <w:kern w:val="0"/>
          <w14:ligatures w14:val="none"/>
        </w:rPr>
      </w:pPr>
      <w:r w:rsidRPr="00F16251">
        <w:rPr>
          <w:rFonts w:cstheme="minorHAnsi"/>
          <w:kern w:val="0"/>
          <w14:ligatures w14:val="none"/>
        </w:rPr>
        <w:t>Zakończeniem</w:t>
      </w:r>
      <w:r w:rsidR="003B50ED" w:rsidRPr="00F16251">
        <w:rPr>
          <w:rFonts w:cstheme="minorHAnsi"/>
          <w:kern w:val="0"/>
          <w14:ligatures w14:val="none"/>
        </w:rPr>
        <w:t xml:space="preserve"> </w:t>
      </w:r>
      <w:r w:rsidRPr="00F16251">
        <w:rPr>
          <w:rFonts w:cstheme="minorHAnsi"/>
          <w:kern w:val="0"/>
          <w14:ligatures w14:val="none"/>
        </w:rPr>
        <w:t>procesu</w:t>
      </w:r>
      <w:r w:rsidR="003B50ED" w:rsidRPr="00F16251">
        <w:rPr>
          <w:rFonts w:cstheme="minorHAnsi"/>
          <w:kern w:val="0"/>
          <w14:ligatures w14:val="none"/>
        </w:rPr>
        <w:t xml:space="preserve"> </w:t>
      </w:r>
      <w:r w:rsidRPr="00F16251">
        <w:rPr>
          <w:rFonts w:cstheme="minorHAnsi"/>
          <w:kern w:val="0"/>
          <w14:ligatures w14:val="none"/>
        </w:rPr>
        <w:t>monitorowania</w:t>
      </w:r>
      <w:r w:rsidR="003B50ED" w:rsidRPr="00F16251">
        <w:rPr>
          <w:rFonts w:cstheme="minorHAnsi"/>
          <w:kern w:val="0"/>
          <w14:ligatures w14:val="none"/>
        </w:rPr>
        <w:t xml:space="preserve"> </w:t>
      </w:r>
      <w:r w:rsidRPr="00F16251">
        <w:rPr>
          <w:rFonts w:cstheme="minorHAnsi"/>
          <w:kern w:val="0"/>
          <w14:ligatures w14:val="none"/>
        </w:rPr>
        <w:t>i</w:t>
      </w:r>
      <w:r w:rsidR="003B50ED" w:rsidRPr="00F16251">
        <w:rPr>
          <w:rFonts w:cstheme="minorHAnsi"/>
          <w:kern w:val="0"/>
          <w14:ligatures w14:val="none"/>
        </w:rPr>
        <w:t xml:space="preserve"> </w:t>
      </w:r>
      <w:r w:rsidRPr="00F16251">
        <w:rPr>
          <w:rFonts w:cstheme="minorHAnsi"/>
          <w:kern w:val="0"/>
          <w14:ligatures w14:val="none"/>
        </w:rPr>
        <w:t>ewaluacji</w:t>
      </w:r>
      <w:r w:rsidR="003B50ED" w:rsidRPr="00F16251">
        <w:rPr>
          <w:rFonts w:cstheme="minorHAnsi"/>
          <w:kern w:val="0"/>
          <w14:ligatures w14:val="none"/>
        </w:rPr>
        <w:t xml:space="preserve"> </w:t>
      </w:r>
      <w:r w:rsidRPr="00F16251">
        <w:rPr>
          <w:rFonts w:cstheme="minorHAnsi"/>
          <w:kern w:val="0"/>
          <w14:ligatures w14:val="none"/>
        </w:rPr>
        <w:t>jest</w:t>
      </w:r>
      <w:r w:rsidR="003B50ED" w:rsidRPr="00F16251">
        <w:rPr>
          <w:rFonts w:cstheme="minorHAnsi"/>
          <w:kern w:val="0"/>
          <w14:ligatures w14:val="none"/>
        </w:rPr>
        <w:t xml:space="preserve"> </w:t>
      </w:r>
      <w:r w:rsidRPr="00F16251">
        <w:rPr>
          <w:rFonts w:cstheme="minorHAnsi"/>
          <w:kern w:val="0"/>
          <w14:ligatures w14:val="none"/>
        </w:rPr>
        <w:t>przedstawienie</w:t>
      </w:r>
      <w:r w:rsidR="003B50ED" w:rsidRPr="00F16251">
        <w:rPr>
          <w:rFonts w:cstheme="minorHAnsi"/>
          <w:kern w:val="0"/>
          <w14:ligatures w14:val="none"/>
        </w:rPr>
        <w:t xml:space="preserve"> </w:t>
      </w:r>
      <w:r w:rsidRPr="00F16251">
        <w:rPr>
          <w:rFonts w:cstheme="minorHAnsi"/>
          <w:kern w:val="0"/>
          <w14:ligatures w14:val="none"/>
        </w:rPr>
        <w:t>przez</w:t>
      </w:r>
      <w:r w:rsidR="003B50ED" w:rsidRPr="00F16251">
        <w:rPr>
          <w:rFonts w:cstheme="minorHAnsi"/>
          <w:kern w:val="0"/>
          <w14:ligatures w14:val="none"/>
        </w:rPr>
        <w:t xml:space="preserve"> </w:t>
      </w:r>
      <w:r w:rsidRPr="00F16251">
        <w:rPr>
          <w:rFonts w:cstheme="minorHAnsi"/>
          <w:kern w:val="0"/>
          <w14:ligatures w14:val="none"/>
        </w:rPr>
        <w:t>Zarząd</w:t>
      </w:r>
      <w:r w:rsidR="003B50ED" w:rsidRPr="00F16251">
        <w:rPr>
          <w:rFonts w:cstheme="minorHAnsi"/>
          <w:kern w:val="0"/>
          <w14:ligatures w14:val="none"/>
        </w:rPr>
        <w:t xml:space="preserve"> </w:t>
      </w:r>
      <w:r w:rsidRPr="00F16251">
        <w:rPr>
          <w:rFonts w:cstheme="minorHAnsi"/>
          <w:kern w:val="0"/>
          <w14:ligatures w14:val="none"/>
        </w:rPr>
        <w:t>na</w:t>
      </w:r>
      <w:r w:rsidR="003B50ED" w:rsidRPr="00F16251">
        <w:rPr>
          <w:rFonts w:cstheme="minorHAnsi"/>
          <w:kern w:val="0"/>
          <w14:ligatures w14:val="none"/>
        </w:rPr>
        <w:t xml:space="preserve"> </w:t>
      </w:r>
      <w:r w:rsidRPr="00F16251">
        <w:rPr>
          <w:rFonts w:cstheme="minorHAnsi"/>
          <w:kern w:val="0"/>
          <w14:ligatures w14:val="none"/>
        </w:rPr>
        <w:t>W</w:t>
      </w:r>
      <w:r w:rsidR="00785EE8" w:rsidRPr="00F16251">
        <w:rPr>
          <w:rFonts w:cstheme="minorHAnsi"/>
          <w:kern w:val="0"/>
          <w14:ligatures w14:val="none"/>
        </w:rPr>
        <w:t xml:space="preserve">alnym </w:t>
      </w:r>
      <w:r w:rsidRPr="00F16251">
        <w:rPr>
          <w:rFonts w:cstheme="minorHAnsi"/>
          <w:kern w:val="0"/>
          <w14:ligatures w14:val="none"/>
        </w:rPr>
        <w:t>Z</w:t>
      </w:r>
      <w:r w:rsidR="00785EE8" w:rsidRPr="00F16251">
        <w:rPr>
          <w:rFonts w:cstheme="minorHAnsi"/>
          <w:kern w:val="0"/>
          <w14:ligatures w14:val="none"/>
        </w:rPr>
        <w:t xml:space="preserve">ebraniu </w:t>
      </w:r>
      <w:r w:rsidRPr="00F16251">
        <w:rPr>
          <w:rFonts w:cstheme="minorHAnsi"/>
          <w:kern w:val="0"/>
          <w14:ligatures w14:val="none"/>
        </w:rPr>
        <w:t>C</w:t>
      </w:r>
      <w:r w:rsidR="00785EE8" w:rsidRPr="00F16251">
        <w:rPr>
          <w:rFonts w:cstheme="minorHAnsi"/>
          <w:kern w:val="0"/>
          <w14:ligatures w14:val="none"/>
        </w:rPr>
        <w:t xml:space="preserve">złonków </w:t>
      </w:r>
      <w:r w:rsidRPr="00F16251">
        <w:rPr>
          <w:rFonts w:cstheme="minorHAnsi"/>
          <w:kern w:val="0"/>
          <w14:ligatures w14:val="none"/>
        </w:rPr>
        <w:t>raportu</w:t>
      </w:r>
      <w:r w:rsidR="003B50ED" w:rsidRPr="00F16251">
        <w:rPr>
          <w:rFonts w:cstheme="minorHAnsi"/>
          <w:kern w:val="0"/>
          <w14:ligatures w14:val="none"/>
        </w:rPr>
        <w:t xml:space="preserve"> </w:t>
      </w:r>
      <w:r w:rsidRPr="00F16251">
        <w:rPr>
          <w:rFonts w:cstheme="minorHAnsi"/>
          <w:kern w:val="0"/>
          <w14:ligatures w14:val="none"/>
        </w:rPr>
        <w:t>z</w:t>
      </w:r>
      <w:r w:rsidR="003B50ED" w:rsidRPr="00F16251">
        <w:rPr>
          <w:rFonts w:cstheme="minorHAnsi"/>
          <w:kern w:val="0"/>
          <w14:ligatures w14:val="none"/>
        </w:rPr>
        <w:t xml:space="preserve"> </w:t>
      </w:r>
      <w:r w:rsidRPr="00F16251">
        <w:rPr>
          <w:rFonts w:cstheme="minorHAnsi"/>
          <w:kern w:val="0"/>
          <w14:ligatures w14:val="none"/>
        </w:rPr>
        <w:t>ewaluacji</w:t>
      </w:r>
      <w:r w:rsidR="003B50ED" w:rsidRPr="00F16251">
        <w:rPr>
          <w:rFonts w:cstheme="minorHAnsi"/>
          <w:kern w:val="0"/>
          <w14:ligatures w14:val="none"/>
        </w:rPr>
        <w:t xml:space="preserve"> </w:t>
      </w:r>
      <w:r w:rsidRPr="00F16251">
        <w:rPr>
          <w:rFonts w:cstheme="minorHAnsi"/>
          <w:kern w:val="0"/>
          <w14:ligatures w14:val="none"/>
        </w:rPr>
        <w:t>ex-post</w:t>
      </w:r>
      <w:r w:rsidR="003B50ED" w:rsidRPr="00F16251">
        <w:rPr>
          <w:rFonts w:cstheme="minorHAnsi"/>
          <w:kern w:val="0"/>
          <w14:ligatures w14:val="none"/>
        </w:rPr>
        <w:t xml:space="preserve"> </w:t>
      </w:r>
      <w:r w:rsidRPr="00F16251">
        <w:rPr>
          <w:rFonts w:cstheme="minorHAnsi"/>
          <w:kern w:val="0"/>
          <w14:ligatures w14:val="none"/>
        </w:rPr>
        <w:t>wraz</w:t>
      </w:r>
      <w:r w:rsidR="003B50ED" w:rsidRPr="00F16251">
        <w:rPr>
          <w:rFonts w:cstheme="minorHAnsi"/>
          <w:kern w:val="0"/>
          <w14:ligatures w14:val="none"/>
        </w:rPr>
        <w:t xml:space="preserve"> </w:t>
      </w:r>
      <w:r w:rsidRPr="00F16251">
        <w:rPr>
          <w:rFonts w:cstheme="minorHAnsi"/>
          <w:kern w:val="0"/>
          <w14:ligatures w14:val="none"/>
        </w:rPr>
        <w:t>z</w:t>
      </w:r>
      <w:r w:rsidR="003B50ED" w:rsidRPr="00F16251">
        <w:rPr>
          <w:rFonts w:cstheme="minorHAnsi"/>
          <w:kern w:val="0"/>
          <w14:ligatures w14:val="none"/>
        </w:rPr>
        <w:t xml:space="preserve"> </w:t>
      </w:r>
      <w:r w:rsidRPr="00F16251">
        <w:rPr>
          <w:rFonts w:cstheme="minorHAnsi"/>
          <w:kern w:val="0"/>
          <w14:ligatures w14:val="none"/>
        </w:rPr>
        <w:t>informacją</w:t>
      </w:r>
      <w:r w:rsidR="003B50ED" w:rsidRPr="00F16251">
        <w:rPr>
          <w:rFonts w:cstheme="minorHAnsi"/>
          <w:kern w:val="0"/>
          <w14:ligatures w14:val="none"/>
        </w:rPr>
        <w:t xml:space="preserve"> </w:t>
      </w:r>
      <w:r w:rsidRPr="00F16251">
        <w:rPr>
          <w:rFonts w:cstheme="minorHAnsi"/>
          <w:kern w:val="0"/>
          <w14:ligatures w14:val="none"/>
        </w:rPr>
        <w:t>o</w:t>
      </w:r>
      <w:r w:rsidR="003B50ED" w:rsidRPr="00F16251">
        <w:rPr>
          <w:rFonts w:cstheme="minorHAnsi"/>
          <w:kern w:val="0"/>
          <w14:ligatures w14:val="none"/>
        </w:rPr>
        <w:t xml:space="preserve"> </w:t>
      </w:r>
      <w:r w:rsidRPr="00F16251">
        <w:rPr>
          <w:rFonts w:cstheme="minorHAnsi"/>
          <w:kern w:val="0"/>
          <w14:ligatures w14:val="none"/>
        </w:rPr>
        <w:t>poziomie</w:t>
      </w:r>
      <w:r w:rsidR="003B50ED" w:rsidRPr="00F16251">
        <w:rPr>
          <w:rFonts w:cstheme="minorHAnsi"/>
          <w:kern w:val="0"/>
          <w14:ligatures w14:val="none"/>
        </w:rPr>
        <w:t xml:space="preserve"> </w:t>
      </w:r>
      <w:r w:rsidRPr="00F16251">
        <w:rPr>
          <w:rFonts w:cstheme="minorHAnsi"/>
          <w:kern w:val="0"/>
          <w14:ligatures w14:val="none"/>
        </w:rPr>
        <w:t>wdrożenia</w:t>
      </w:r>
      <w:r w:rsidR="003B50ED" w:rsidRPr="00F16251">
        <w:rPr>
          <w:rFonts w:cstheme="minorHAnsi"/>
          <w:kern w:val="0"/>
          <w14:ligatures w14:val="none"/>
        </w:rPr>
        <w:t xml:space="preserve"> </w:t>
      </w:r>
      <w:r w:rsidRPr="00F16251">
        <w:rPr>
          <w:rFonts w:cstheme="minorHAnsi"/>
          <w:kern w:val="0"/>
          <w14:ligatures w14:val="none"/>
        </w:rPr>
        <w:t>rekomendacji</w:t>
      </w:r>
      <w:r w:rsidR="00785EE8" w:rsidRPr="00F16251">
        <w:rPr>
          <w:rFonts w:cstheme="minorHAnsi"/>
          <w:kern w:val="0"/>
          <w14:ligatures w14:val="none"/>
        </w:rPr>
        <w:t xml:space="preserve"> (jeśli zostały wydane)</w:t>
      </w:r>
      <w:r w:rsidRPr="00F16251">
        <w:rPr>
          <w:rFonts w:cstheme="minorHAnsi"/>
          <w:kern w:val="0"/>
          <w14:ligatures w14:val="none"/>
        </w:rPr>
        <w:t>.</w:t>
      </w:r>
    </w:p>
    <w:p w14:paraId="0A776E05" w14:textId="77777777" w:rsidR="00D702C0" w:rsidRPr="00F16251" w:rsidRDefault="00D702C0" w:rsidP="00A26C26">
      <w:pPr>
        <w:spacing w:line="276" w:lineRule="auto"/>
        <w:ind w:left="87" w:right="5" w:hanging="10"/>
        <w:jc w:val="both"/>
        <w:rPr>
          <w:rFonts w:eastAsia="Calibri" w:cstheme="minorHAnsi"/>
          <w:b/>
          <w:bCs/>
          <w:kern w:val="0"/>
          <w:lang w:eastAsia="pl-PL"/>
          <w14:ligatures w14:val="none"/>
        </w:rPr>
      </w:pPr>
    </w:p>
    <w:p w14:paraId="2D416140" w14:textId="443273D7" w:rsidR="002C63F4" w:rsidRPr="00F16251" w:rsidRDefault="002C63F4" w:rsidP="00D702C0">
      <w:pPr>
        <w:spacing w:line="276" w:lineRule="auto"/>
        <w:ind w:left="87" w:right="5"/>
        <w:jc w:val="both"/>
        <w:rPr>
          <w:rFonts w:eastAsia="Calibri" w:cstheme="minorHAnsi"/>
          <w:kern w:val="0"/>
          <w:lang w:eastAsia="pl-PL"/>
          <w14:ligatures w14:val="none"/>
        </w:rPr>
      </w:pPr>
      <w:r w:rsidRPr="00F16251">
        <w:rPr>
          <w:rFonts w:eastAsia="Calibri" w:cstheme="minorHAnsi"/>
          <w:b/>
          <w:bCs/>
          <w:kern w:val="0"/>
          <w:lang w:eastAsia="pl-PL"/>
          <w14:ligatures w14:val="none"/>
        </w:rPr>
        <w:t>Wykonawca</w:t>
      </w:r>
      <w:r w:rsidR="003B50ED" w:rsidRPr="00F16251">
        <w:rPr>
          <w:rFonts w:eastAsia="Calibri" w:cstheme="minorHAnsi"/>
          <w:b/>
          <w:bCs/>
          <w:kern w:val="0"/>
          <w:lang w:eastAsia="pl-PL"/>
          <w14:ligatures w14:val="none"/>
        </w:rPr>
        <w:t xml:space="preserve"> </w:t>
      </w:r>
      <w:r w:rsidRPr="00F16251">
        <w:rPr>
          <w:rFonts w:eastAsia="Calibri" w:cstheme="minorHAnsi"/>
          <w:b/>
          <w:bCs/>
          <w:kern w:val="0"/>
          <w:lang w:eastAsia="pl-PL"/>
          <w14:ligatures w14:val="none"/>
        </w:rPr>
        <w:t>badań</w:t>
      </w:r>
      <w:r w:rsidR="003B50ED" w:rsidRPr="00F16251">
        <w:rPr>
          <w:rFonts w:eastAsia="Calibri" w:cstheme="minorHAnsi"/>
          <w:b/>
          <w:bCs/>
          <w:kern w:val="0"/>
          <w:lang w:eastAsia="pl-PL"/>
          <w14:ligatures w14:val="none"/>
        </w:rPr>
        <w:t xml:space="preserve"> </w:t>
      </w:r>
      <w:r w:rsidRPr="00F16251">
        <w:rPr>
          <w:rFonts w:eastAsia="Calibri" w:cstheme="minorHAnsi"/>
          <w:b/>
          <w:bCs/>
          <w:kern w:val="0"/>
          <w:lang w:eastAsia="pl-PL"/>
          <w14:ligatures w14:val="none"/>
        </w:rPr>
        <w:t>monitoringowych</w:t>
      </w:r>
      <w:r w:rsidR="003B50ED" w:rsidRPr="00F16251">
        <w:rPr>
          <w:rFonts w:eastAsia="Calibri" w:cstheme="minorHAnsi"/>
          <w:b/>
          <w:bCs/>
          <w:kern w:val="0"/>
          <w:lang w:eastAsia="pl-PL"/>
          <w14:ligatures w14:val="none"/>
        </w:rPr>
        <w:t xml:space="preserve"> </w:t>
      </w:r>
      <w:r w:rsidRPr="00F16251">
        <w:rPr>
          <w:rFonts w:eastAsia="Calibri" w:cstheme="minorHAnsi"/>
          <w:b/>
          <w:bCs/>
          <w:kern w:val="0"/>
          <w:lang w:eastAsia="pl-PL"/>
          <w14:ligatures w14:val="none"/>
        </w:rPr>
        <w:t>oraz</w:t>
      </w:r>
      <w:r w:rsidR="003B50ED" w:rsidRPr="00F16251">
        <w:rPr>
          <w:rFonts w:eastAsia="Calibri" w:cstheme="minorHAnsi"/>
          <w:b/>
          <w:bCs/>
          <w:kern w:val="0"/>
          <w:lang w:eastAsia="pl-PL"/>
          <w14:ligatures w14:val="none"/>
        </w:rPr>
        <w:t xml:space="preserve"> </w:t>
      </w:r>
      <w:r w:rsidRPr="00F16251">
        <w:rPr>
          <w:rFonts w:eastAsia="Calibri" w:cstheme="minorHAnsi"/>
          <w:b/>
          <w:bCs/>
          <w:kern w:val="0"/>
          <w:lang w:eastAsia="pl-PL"/>
          <w14:ligatures w14:val="none"/>
        </w:rPr>
        <w:t>ewaluacji</w:t>
      </w:r>
      <w:r w:rsidR="003B50ED" w:rsidRPr="00F16251">
        <w:rPr>
          <w:rFonts w:eastAsia="Calibri" w:cstheme="minorHAnsi"/>
          <w:b/>
          <w:bCs/>
          <w:kern w:val="0"/>
          <w:lang w:eastAsia="pl-PL"/>
          <w14:ligatures w14:val="none"/>
        </w:rPr>
        <w:t xml:space="preserve"> </w:t>
      </w:r>
      <w:r w:rsidRPr="00F16251">
        <w:rPr>
          <w:rFonts w:eastAsia="Calibri" w:cstheme="minorHAnsi"/>
          <w:b/>
          <w:bCs/>
          <w:kern w:val="0"/>
          <w:lang w:eastAsia="pl-PL"/>
          <w14:ligatures w14:val="none"/>
        </w:rPr>
        <w:t>on-</w:t>
      </w:r>
      <w:proofErr w:type="spellStart"/>
      <w:r w:rsidRPr="00F16251">
        <w:rPr>
          <w:rFonts w:eastAsia="Calibri" w:cstheme="minorHAnsi"/>
          <w:b/>
          <w:bCs/>
          <w:kern w:val="0"/>
          <w:lang w:eastAsia="pl-PL"/>
          <w14:ligatures w14:val="none"/>
        </w:rPr>
        <w:t>going</w:t>
      </w:r>
      <w:proofErr w:type="spellEnd"/>
      <w:r w:rsidR="003B50ED" w:rsidRPr="00F16251">
        <w:rPr>
          <w:rFonts w:eastAsia="Calibri" w:cstheme="minorHAnsi"/>
          <w:b/>
          <w:bCs/>
          <w:kern w:val="0"/>
          <w:lang w:eastAsia="pl-PL"/>
          <w14:ligatures w14:val="none"/>
        </w:rPr>
        <w:t xml:space="preserve"> </w:t>
      </w:r>
      <w:r w:rsidRPr="00F16251">
        <w:rPr>
          <w:rFonts w:eastAsia="Calibri" w:cstheme="minorHAnsi"/>
          <w:b/>
          <w:bCs/>
          <w:kern w:val="0"/>
          <w:lang w:eastAsia="pl-PL"/>
          <w14:ligatures w14:val="none"/>
        </w:rPr>
        <w:t>(własna)</w:t>
      </w:r>
      <w:r w:rsidRPr="00F16251">
        <w:rPr>
          <w:rFonts w:eastAsia="Calibri" w:cstheme="minorHAnsi"/>
          <w:kern w:val="0"/>
          <w:lang w:eastAsia="pl-PL"/>
          <w14:ligatures w14:val="none"/>
        </w:rPr>
        <w:t>:</w:t>
      </w:r>
      <w:r w:rsidR="003B50ED" w:rsidRPr="00F16251">
        <w:rPr>
          <w:rFonts w:eastAsia="Calibri" w:cstheme="minorHAnsi"/>
          <w:kern w:val="0"/>
          <w:lang w:eastAsia="pl-PL"/>
          <w14:ligatures w14:val="none"/>
        </w:rPr>
        <w:t xml:space="preserve"> </w:t>
      </w:r>
      <w:r w:rsidR="00D702C0" w:rsidRPr="00F16251">
        <w:rPr>
          <w:rFonts w:eastAsia="Calibri" w:cstheme="minorHAnsi"/>
          <w:kern w:val="0"/>
          <w:lang w:eastAsia="pl-PL"/>
          <w14:ligatures w14:val="none"/>
        </w:rPr>
        <w:t>Biuro LGD</w:t>
      </w:r>
      <w:r w:rsidRPr="00F16251">
        <w:rPr>
          <w:rFonts w:eastAsia="Calibri" w:cstheme="minorHAnsi"/>
          <w:kern w:val="0"/>
          <w:lang w:eastAsia="pl-PL"/>
          <w14:ligatures w14:val="none"/>
        </w:rPr>
        <w:t>,</w:t>
      </w:r>
      <w:r w:rsidR="003B50ED" w:rsidRPr="00F16251">
        <w:rPr>
          <w:rFonts w:eastAsia="Calibri" w:cstheme="minorHAnsi"/>
          <w:kern w:val="0"/>
          <w:lang w:eastAsia="pl-PL"/>
          <w14:ligatures w14:val="none"/>
        </w:rPr>
        <w:t xml:space="preserve"> </w:t>
      </w:r>
      <w:r w:rsidR="00D702C0" w:rsidRPr="00F16251">
        <w:rPr>
          <w:rFonts w:eastAsia="Calibri" w:cstheme="minorHAnsi"/>
          <w:kern w:val="0"/>
          <w:lang w:eastAsia="pl-PL"/>
          <w14:ligatures w14:val="none"/>
        </w:rPr>
        <w:t xml:space="preserve">z </w:t>
      </w:r>
      <w:r w:rsidRPr="00F16251">
        <w:rPr>
          <w:rFonts w:eastAsia="Calibri" w:cstheme="minorHAnsi"/>
          <w:kern w:val="0"/>
          <w:lang w:eastAsia="pl-PL"/>
          <w14:ligatures w14:val="none"/>
        </w:rPr>
        <w:t>możliwoś</w:t>
      </w:r>
      <w:r w:rsidR="00D702C0" w:rsidRPr="00F16251">
        <w:rPr>
          <w:rFonts w:eastAsia="Calibri" w:cstheme="minorHAnsi"/>
          <w:kern w:val="0"/>
          <w:lang w:eastAsia="pl-PL"/>
          <w14:ligatures w14:val="none"/>
        </w:rPr>
        <w:t>ci</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wsparcia</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przez</w:t>
      </w:r>
      <w:r w:rsidR="003B50ED" w:rsidRPr="00F16251">
        <w:rPr>
          <w:rFonts w:eastAsia="Calibri" w:cstheme="minorHAnsi"/>
          <w:kern w:val="0"/>
          <w:lang w:eastAsia="pl-PL"/>
          <w14:ligatures w14:val="none"/>
        </w:rPr>
        <w:t xml:space="preserve"> </w:t>
      </w:r>
      <w:r w:rsidR="00D702C0" w:rsidRPr="00F16251">
        <w:rPr>
          <w:rFonts w:eastAsia="Calibri" w:cstheme="minorHAnsi"/>
          <w:kern w:val="0"/>
          <w:lang w:eastAsia="pl-PL"/>
          <w14:ligatures w14:val="none"/>
        </w:rPr>
        <w:t xml:space="preserve">Zespól ds. monitoringu i ewaluacji lub </w:t>
      </w:r>
      <w:r w:rsidRPr="00F16251">
        <w:rPr>
          <w:rFonts w:eastAsia="Calibri" w:cstheme="minorHAnsi"/>
          <w:kern w:val="0"/>
          <w:lang w:eastAsia="pl-PL"/>
          <w14:ligatures w14:val="none"/>
        </w:rPr>
        <w:t>ekspertów</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zewnętrznych.</w:t>
      </w:r>
    </w:p>
    <w:p w14:paraId="403C9284" w14:textId="29E64DB1" w:rsidR="002C63F4" w:rsidRPr="00F16251" w:rsidRDefault="002C63F4" w:rsidP="00A26C26">
      <w:pPr>
        <w:spacing w:line="276" w:lineRule="auto"/>
        <w:ind w:left="87" w:right="5" w:hanging="10"/>
        <w:jc w:val="both"/>
        <w:rPr>
          <w:rFonts w:eastAsia="Calibri" w:cstheme="minorHAnsi"/>
          <w:kern w:val="0"/>
          <w:lang w:eastAsia="pl-PL"/>
          <w14:ligatures w14:val="none"/>
        </w:rPr>
      </w:pPr>
      <w:r w:rsidRPr="00F16251">
        <w:rPr>
          <w:rFonts w:eastAsia="Calibri" w:cstheme="minorHAnsi"/>
          <w:b/>
          <w:bCs/>
          <w:kern w:val="0"/>
          <w:lang w:eastAsia="pl-PL"/>
          <w14:ligatures w14:val="none"/>
        </w:rPr>
        <w:t>Wykonawca</w:t>
      </w:r>
      <w:r w:rsidR="003B50ED" w:rsidRPr="00F16251">
        <w:rPr>
          <w:rFonts w:eastAsia="Calibri" w:cstheme="minorHAnsi"/>
          <w:b/>
          <w:bCs/>
          <w:kern w:val="0"/>
          <w:lang w:eastAsia="pl-PL"/>
          <w14:ligatures w14:val="none"/>
        </w:rPr>
        <w:t xml:space="preserve"> </w:t>
      </w:r>
      <w:r w:rsidRPr="00F16251">
        <w:rPr>
          <w:rFonts w:eastAsia="Calibri" w:cstheme="minorHAnsi"/>
          <w:b/>
          <w:bCs/>
          <w:kern w:val="0"/>
          <w:lang w:eastAsia="pl-PL"/>
          <w14:ligatures w14:val="none"/>
        </w:rPr>
        <w:t>badania</w:t>
      </w:r>
      <w:r w:rsidR="003B50ED" w:rsidRPr="00F16251">
        <w:rPr>
          <w:rFonts w:eastAsia="Calibri" w:cstheme="minorHAnsi"/>
          <w:b/>
          <w:bCs/>
          <w:kern w:val="0"/>
          <w:lang w:eastAsia="pl-PL"/>
          <w14:ligatures w14:val="none"/>
        </w:rPr>
        <w:t xml:space="preserve"> </w:t>
      </w:r>
      <w:r w:rsidRPr="00F16251">
        <w:rPr>
          <w:rFonts w:eastAsia="Calibri" w:cstheme="minorHAnsi"/>
          <w:b/>
          <w:bCs/>
          <w:kern w:val="0"/>
          <w:lang w:eastAsia="pl-PL"/>
          <w14:ligatures w14:val="none"/>
        </w:rPr>
        <w:t>ex-post</w:t>
      </w:r>
      <w:r w:rsidRPr="00F16251">
        <w:rPr>
          <w:rFonts w:eastAsia="Calibri" w:cstheme="minorHAnsi"/>
          <w:kern w:val="0"/>
          <w:lang w:eastAsia="pl-PL"/>
          <w14:ligatures w14:val="none"/>
        </w:rPr>
        <w:t>:</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Firma</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zewnętrzna</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posiadająca</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doświadczenie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w</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realizacji</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ewaluacji</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LSR.</w:t>
      </w:r>
    </w:p>
    <w:p w14:paraId="6ECDA99E" w14:textId="0B066DD1" w:rsidR="002C63F4" w:rsidRPr="00F16251" w:rsidRDefault="002C63F4" w:rsidP="00A26C26">
      <w:pPr>
        <w:tabs>
          <w:tab w:val="num" w:pos="720"/>
        </w:tabs>
        <w:spacing w:line="276" w:lineRule="auto"/>
        <w:ind w:left="90" w:right="6" w:hanging="11"/>
        <w:jc w:val="both"/>
        <w:rPr>
          <w:rFonts w:eastAsia="Calibri" w:cstheme="minorHAnsi"/>
          <w:kern w:val="0"/>
          <w:lang w:eastAsia="pl-PL"/>
          <w14:ligatures w14:val="none"/>
        </w:rPr>
      </w:pPr>
      <w:r w:rsidRPr="00F16251">
        <w:rPr>
          <w:rFonts w:eastAsia="Calibri" w:cstheme="minorHAnsi"/>
          <w:b/>
          <w:bCs/>
          <w:kern w:val="0"/>
          <w:lang w:eastAsia="pl-PL"/>
          <w14:ligatures w14:val="none"/>
        </w:rPr>
        <w:t>Czas</w:t>
      </w:r>
      <w:r w:rsidR="003B50ED" w:rsidRPr="00F16251">
        <w:rPr>
          <w:rFonts w:eastAsia="Calibri" w:cstheme="minorHAnsi"/>
          <w:b/>
          <w:bCs/>
          <w:kern w:val="0"/>
          <w:lang w:eastAsia="pl-PL"/>
          <w14:ligatures w14:val="none"/>
        </w:rPr>
        <w:t xml:space="preserve"> </w:t>
      </w:r>
      <w:r w:rsidRPr="00F16251">
        <w:rPr>
          <w:rFonts w:eastAsia="Calibri" w:cstheme="minorHAnsi"/>
          <w:b/>
          <w:bCs/>
          <w:kern w:val="0"/>
          <w:lang w:eastAsia="pl-PL"/>
          <w14:ligatures w14:val="none"/>
        </w:rPr>
        <w:t>realizacji</w:t>
      </w:r>
      <w:r w:rsidR="003B50ED" w:rsidRPr="00F16251">
        <w:rPr>
          <w:rFonts w:eastAsia="Calibri" w:cstheme="minorHAnsi"/>
          <w:b/>
          <w:bCs/>
          <w:kern w:val="0"/>
          <w:lang w:eastAsia="pl-PL"/>
          <w14:ligatures w14:val="none"/>
        </w:rPr>
        <w:t xml:space="preserve"> </w:t>
      </w:r>
      <w:r w:rsidRPr="00F16251">
        <w:rPr>
          <w:rFonts w:eastAsia="Calibri" w:cstheme="minorHAnsi"/>
          <w:b/>
          <w:bCs/>
          <w:kern w:val="0"/>
          <w:lang w:eastAsia="pl-PL"/>
          <w14:ligatures w14:val="none"/>
        </w:rPr>
        <w:t>badania</w:t>
      </w:r>
      <w:r w:rsidRPr="00F16251">
        <w:rPr>
          <w:rFonts w:eastAsia="Calibri" w:cstheme="minorHAnsi"/>
          <w:kern w:val="0"/>
          <w:lang w:eastAsia="pl-PL"/>
          <w14:ligatures w14:val="none"/>
        </w:rPr>
        <w:t>:</w:t>
      </w:r>
      <w:r w:rsidR="003B50ED" w:rsidRPr="00F16251">
        <w:rPr>
          <w:rFonts w:eastAsia="Calibri" w:cstheme="minorHAnsi"/>
          <w:kern w:val="0"/>
          <w:lang w:eastAsia="pl-PL"/>
          <w14:ligatures w14:val="none"/>
        </w:rPr>
        <w:t xml:space="preserve"> </w:t>
      </w:r>
    </w:p>
    <w:p w14:paraId="62F1002B" w14:textId="1B129B17" w:rsidR="002C63F4" w:rsidRPr="00F16251" w:rsidRDefault="00D702C0" w:rsidP="00A26C26">
      <w:pPr>
        <w:tabs>
          <w:tab w:val="num" w:pos="720"/>
        </w:tabs>
        <w:spacing w:line="276" w:lineRule="auto"/>
        <w:ind w:left="90" w:right="6" w:hanging="11"/>
        <w:jc w:val="both"/>
        <w:rPr>
          <w:rFonts w:eastAsia="Calibri" w:cstheme="minorHAnsi"/>
          <w:kern w:val="0"/>
          <w:lang w:eastAsia="pl-PL"/>
          <w14:ligatures w14:val="none"/>
        </w:rPr>
      </w:pPr>
      <w:r w:rsidRPr="00F16251">
        <w:rPr>
          <w:rFonts w:eastAsia="Calibri" w:cstheme="minorHAnsi"/>
          <w:kern w:val="0"/>
          <w:lang w:eastAsia="pl-PL"/>
          <w14:ligatures w14:val="none"/>
        </w:rPr>
        <w:t>D</w:t>
      </w:r>
      <w:r w:rsidR="002C63F4" w:rsidRPr="00F16251">
        <w:rPr>
          <w:rFonts w:eastAsia="Calibri" w:cstheme="minorHAnsi"/>
          <w:kern w:val="0"/>
          <w:lang w:eastAsia="pl-PL"/>
          <w14:ligatures w14:val="none"/>
        </w:rPr>
        <w:t>ane</w:t>
      </w:r>
      <w:r w:rsidR="003B50ED" w:rsidRPr="00F16251">
        <w:rPr>
          <w:rFonts w:eastAsia="Calibri" w:cstheme="minorHAnsi"/>
          <w:kern w:val="0"/>
          <w:lang w:eastAsia="pl-PL"/>
          <w14:ligatures w14:val="none"/>
        </w:rPr>
        <w:t xml:space="preserve"> </w:t>
      </w:r>
      <w:r w:rsidR="002C63F4" w:rsidRPr="00F16251">
        <w:rPr>
          <w:rFonts w:eastAsia="Calibri" w:cstheme="minorHAnsi"/>
          <w:kern w:val="0"/>
          <w:lang w:eastAsia="pl-PL"/>
          <w14:ligatures w14:val="none"/>
        </w:rPr>
        <w:t>monitoringowe</w:t>
      </w:r>
      <w:r w:rsidR="003B50ED" w:rsidRPr="00F16251">
        <w:rPr>
          <w:rFonts w:eastAsia="Calibri" w:cstheme="minorHAnsi"/>
          <w:kern w:val="0"/>
          <w:lang w:eastAsia="pl-PL"/>
          <w14:ligatures w14:val="none"/>
        </w:rPr>
        <w:t xml:space="preserve"> </w:t>
      </w:r>
      <w:r w:rsidR="002C63F4" w:rsidRPr="00F16251">
        <w:rPr>
          <w:rFonts w:eastAsia="Calibri" w:cstheme="minorHAnsi"/>
          <w:kern w:val="0"/>
          <w:lang w:eastAsia="pl-PL"/>
          <w14:ligatures w14:val="none"/>
        </w:rPr>
        <w:t>będą</w:t>
      </w:r>
      <w:r w:rsidR="003B50ED" w:rsidRPr="00F16251">
        <w:rPr>
          <w:rFonts w:eastAsia="Calibri" w:cstheme="minorHAnsi"/>
          <w:kern w:val="0"/>
          <w:lang w:eastAsia="pl-PL"/>
          <w14:ligatures w14:val="none"/>
        </w:rPr>
        <w:t xml:space="preserve"> </w:t>
      </w:r>
      <w:r w:rsidR="002C63F4" w:rsidRPr="00F16251">
        <w:rPr>
          <w:rFonts w:eastAsia="Calibri" w:cstheme="minorHAnsi"/>
          <w:kern w:val="0"/>
          <w:lang w:eastAsia="pl-PL"/>
          <w14:ligatures w14:val="none"/>
        </w:rPr>
        <w:t>zbierane</w:t>
      </w:r>
      <w:r w:rsidR="003B50ED" w:rsidRPr="00F16251">
        <w:rPr>
          <w:rFonts w:eastAsia="Calibri" w:cstheme="minorHAnsi"/>
          <w:kern w:val="0"/>
          <w:lang w:eastAsia="pl-PL"/>
          <w14:ligatures w14:val="none"/>
        </w:rPr>
        <w:t xml:space="preserve"> </w:t>
      </w:r>
      <w:r w:rsidR="002C63F4" w:rsidRPr="00F16251">
        <w:rPr>
          <w:rFonts w:eastAsia="Calibri" w:cstheme="minorHAnsi"/>
          <w:kern w:val="0"/>
          <w:lang w:eastAsia="pl-PL"/>
          <w14:ligatures w14:val="none"/>
        </w:rPr>
        <w:t>w</w:t>
      </w:r>
      <w:r w:rsidR="003B50ED" w:rsidRPr="00F16251">
        <w:rPr>
          <w:rFonts w:eastAsia="Calibri" w:cstheme="minorHAnsi"/>
          <w:kern w:val="0"/>
          <w:lang w:eastAsia="pl-PL"/>
          <w14:ligatures w14:val="none"/>
        </w:rPr>
        <w:t xml:space="preserve"> </w:t>
      </w:r>
      <w:r w:rsidR="002C63F4" w:rsidRPr="00F16251">
        <w:rPr>
          <w:rFonts w:eastAsia="Calibri" w:cstheme="minorHAnsi"/>
          <w:kern w:val="0"/>
          <w:lang w:eastAsia="pl-PL"/>
          <w14:ligatures w14:val="none"/>
        </w:rPr>
        <w:t>okresach</w:t>
      </w:r>
      <w:r w:rsidR="003B50ED" w:rsidRPr="00F16251">
        <w:rPr>
          <w:rFonts w:eastAsia="Calibri" w:cstheme="minorHAnsi"/>
          <w:kern w:val="0"/>
          <w:lang w:eastAsia="pl-PL"/>
          <w14:ligatures w14:val="none"/>
        </w:rPr>
        <w:t xml:space="preserve"> </w:t>
      </w:r>
      <w:r w:rsidR="002C63F4" w:rsidRPr="00F16251">
        <w:rPr>
          <w:rFonts w:eastAsia="Calibri" w:cstheme="minorHAnsi"/>
          <w:kern w:val="0"/>
          <w:lang w:eastAsia="pl-PL"/>
          <w14:ligatures w14:val="none"/>
        </w:rPr>
        <w:t>półrocznych</w:t>
      </w:r>
      <w:r w:rsidRPr="00F16251">
        <w:rPr>
          <w:rFonts w:eastAsia="Calibri" w:cstheme="minorHAnsi"/>
          <w:kern w:val="0"/>
          <w:lang w:eastAsia="pl-PL"/>
          <w14:ligatures w14:val="none"/>
        </w:rPr>
        <w:t xml:space="preserve">, z możliwością </w:t>
      </w:r>
      <w:r w:rsidR="00E031E8" w:rsidRPr="00F16251">
        <w:rPr>
          <w:rFonts w:eastAsia="Calibri" w:cstheme="minorHAnsi"/>
          <w:kern w:val="0"/>
          <w:lang w:eastAsia="pl-PL"/>
          <w14:ligatures w14:val="none"/>
        </w:rPr>
        <w:t xml:space="preserve">zwiększenia częstotliwości lub zakresu badania w okresach poprzedzających osiągnięcie kamieni milowych, tj. </w:t>
      </w:r>
    </w:p>
    <w:p w14:paraId="52A04F81" w14:textId="1BD47100" w:rsidR="002C63F4" w:rsidRPr="00F16251" w:rsidRDefault="002C63F4" w:rsidP="00A26C26">
      <w:pPr>
        <w:tabs>
          <w:tab w:val="num" w:pos="720"/>
        </w:tabs>
        <w:spacing w:line="276" w:lineRule="auto"/>
        <w:ind w:left="90" w:right="6" w:hanging="11"/>
        <w:jc w:val="both"/>
        <w:rPr>
          <w:rFonts w:eastAsia="Calibri" w:cstheme="minorHAnsi"/>
          <w:kern w:val="0"/>
          <w:lang w:eastAsia="pl-PL"/>
          <w14:ligatures w14:val="none"/>
        </w:rPr>
      </w:pPr>
      <w:r w:rsidRPr="00F16251">
        <w:rPr>
          <w:rFonts w:eastAsia="Calibri" w:cstheme="minorHAnsi"/>
          <w:kern w:val="0"/>
          <w:lang w:eastAsia="pl-PL"/>
          <w14:ligatures w14:val="none"/>
        </w:rPr>
        <w:t>-</w:t>
      </w:r>
      <w:r w:rsidR="003B50ED" w:rsidRPr="00F16251">
        <w:rPr>
          <w:rFonts w:eastAsia="Calibri" w:cstheme="minorHAnsi"/>
          <w:kern w:val="0"/>
          <w:lang w:eastAsia="pl-PL"/>
          <w14:ligatures w14:val="none"/>
        </w:rPr>
        <w:t xml:space="preserve"> </w:t>
      </w:r>
      <w:r w:rsidR="00E031E8" w:rsidRPr="00F16251">
        <w:rPr>
          <w:rFonts w:eastAsia="Calibri" w:cstheme="minorHAnsi"/>
          <w:kern w:val="0"/>
          <w:lang w:eastAsia="pl-PL"/>
          <w14:ligatures w14:val="none"/>
        </w:rPr>
        <w:t xml:space="preserve">I kamień milowy </w:t>
      </w:r>
      <w:r w:rsidRPr="00F16251">
        <w:rPr>
          <w:rFonts w:eastAsia="Calibri" w:cstheme="minorHAnsi"/>
          <w:kern w:val="0"/>
          <w:lang w:eastAsia="pl-PL"/>
          <w14:ligatures w14:val="none"/>
        </w:rPr>
        <w:t>do</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30</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czerwca</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2026</w:t>
      </w:r>
      <w:r w:rsidR="003B50ED" w:rsidRPr="00F16251">
        <w:rPr>
          <w:rFonts w:eastAsia="Calibri" w:cstheme="minorHAnsi"/>
          <w:kern w:val="0"/>
          <w:lang w:eastAsia="pl-PL"/>
          <w14:ligatures w14:val="none"/>
        </w:rPr>
        <w:t xml:space="preserve"> r. </w:t>
      </w:r>
      <w:r w:rsidRPr="00F16251">
        <w:rPr>
          <w:rFonts w:eastAsia="Calibri" w:cstheme="minorHAnsi"/>
          <w:kern w:val="0"/>
          <w:lang w:eastAsia="pl-PL"/>
          <w14:ligatures w14:val="none"/>
        </w:rPr>
        <w:t>(</w:t>
      </w:r>
      <w:r w:rsidR="00E031E8" w:rsidRPr="00F16251">
        <w:rPr>
          <w:rFonts w:eastAsia="Calibri" w:cstheme="minorHAnsi"/>
          <w:kern w:val="0"/>
          <w:lang w:eastAsia="pl-PL"/>
          <w14:ligatures w14:val="none"/>
        </w:rPr>
        <w:t>EFRROW</w:t>
      </w:r>
      <w:r w:rsidRPr="00F16251">
        <w:rPr>
          <w:rFonts w:eastAsia="Calibri" w:cstheme="minorHAnsi"/>
          <w:kern w:val="0"/>
          <w:lang w:eastAsia="pl-PL"/>
          <w14:ligatures w14:val="none"/>
        </w:rPr>
        <w:t>)</w:t>
      </w:r>
      <w:r w:rsidR="00E031E8" w:rsidRPr="00F16251">
        <w:rPr>
          <w:rFonts w:eastAsia="Calibri" w:cstheme="minorHAnsi"/>
          <w:kern w:val="0"/>
          <w:lang w:eastAsia="pl-PL"/>
          <w14:ligatures w14:val="none"/>
        </w:rPr>
        <w:t xml:space="preserve"> oraz 31 grudnia 2026 roku (FEW 2021-2023),</w:t>
      </w:r>
    </w:p>
    <w:p w14:paraId="55BDC97E" w14:textId="142FE063" w:rsidR="00E031E8" w:rsidRPr="00F16251" w:rsidRDefault="00E031E8" w:rsidP="00E031E8">
      <w:pPr>
        <w:tabs>
          <w:tab w:val="num" w:pos="720"/>
        </w:tabs>
        <w:spacing w:line="276" w:lineRule="auto"/>
        <w:ind w:left="90" w:right="6" w:hanging="11"/>
        <w:jc w:val="both"/>
        <w:rPr>
          <w:rFonts w:eastAsia="Calibri" w:cstheme="minorHAnsi"/>
          <w:kern w:val="0"/>
          <w:lang w:eastAsia="pl-PL"/>
          <w14:ligatures w14:val="none"/>
        </w:rPr>
      </w:pPr>
      <w:r w:rsidRPr="00F16251">
        <w:rPr>
          <w:rFonts w:eastAsia="Calibri" w:cstheme="minorHAnsi"/>
          <w:kern w:val="0"/>
          <w:lang w:eastAsia="pl-PL"/>
          <w14:ligatures w14:val="none"/>
        </w:rPr>
        <w:t>- II kamień milowy do 31 grudnia 2027 r. (EFRROW) oraz 31 grudnia 2027 roku (FEW 2021-2023).</w:t>
      </w:r>
    </w:p>
    <w:p w14:paraId="6B4A409E" w14:textId="49F9A5C4" w:rsidR="002C63F4" w:rsidRPr="00F16251" w:rsidRDefault="002C63F4" w:rsidP="00A26C26">
      <w:pPr>
        <w:tabs>
          <w:tab w:val="num" w:pos="720"/>
        </w:tabs>
        <w:spacing w:line="276" w:lineRule="auto"/>
        <w:ind w:left="90" w:right="6" w:hanging="11"/>
        <w:jc w:val="both"/>
        <w:rPr>
          <w:rFonts w:eastAsia="Calibri" w:cstheme="minorHAnsi"/>
          <w:kern w:val="0"/>
          <w:lang w:eastAsia="pl-PL"/>
          <w14:ligatures w14:val="none"/>
        </w:rPr>
      </w:pPr>
      <w:r w:rsidRPr="00F16251">
        <w:rPr>
          <w:rFonts w:eastAsia="Calibri" w:cstheme="minorHAnsi"/>
          <w:kern w:val="0"/>
          <w:lang w:eastAsia="pl-PL"/>
          <w14:ligatures w14:val="none"/>
        </w:rPr>
        <w:t>Zapewni</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to</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bieżące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informacje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o</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postępie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wdrażania</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LSR</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i</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umożliwi</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podejmowanie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działań</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zaradczych,</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gdyby</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tempo</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wdrażania</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nie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było</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wystarczające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dla</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osiągniecia</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założeń</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wynikających</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z</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umowy</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ramowej.</w:t>
      </w:r>
    </w:p>
    <w:p w14:paraId="170C63E5" w14:textId="7A048997" w:rsidR="00E031E8" w:rsidRPr="00F16251" w:rsidRDefault="002C63F4" w:rsidP="00E031E8">
      <w:pPr>
        <w:spacing w:line="276" w:lineRule="auto"/>
        <w:ind w:left="90" w:right="6" w:hanging="11"/>
        <w:jc w:val="both"/>
        <w:rPr>
          <w:rFonts w:eastAsia="Calibri" w:cstheme="minorHAnsi"/>
          <w:kern w:val="0"/>
          <w:lang w:eastAsia="pl-PL"/>
          <w14:ligatures w14:val="none"/>
        </w:rPr>
      </w:pPr>
      <w:r w:rsidRPr="00F16251">
        <w:rPr>
          <w:rFonts w:eastAsia="Calibri" w:cstheme="minorHAnsi"/>
          <w:kern w:val="0"/>
          <w:lang w:eastAsia="pl-PL"/>
          <w14:ligatures w14:val="none"/>
        </w:rPr>
        <w:t>Proces</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wdrażania</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LSR</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rozpocznie</w:t>
      </w:r>
      <w:r w:rsidR="003B50ED" w:rsidRPr="00F16251">
        <w:rPr>
          <w:rFonts w:eastAsia="Calibri" w:cstheme="minorHAnsi"/>
          <w:kern w:val="0"/>
          <w:lang w:eastAsia="pl-PL"/>
          <w14:ligatures w14:val="none"/>
        </w:rPr>
        <w:t xml:space="preserve"> </w:t>
      </w:r>
      <w:r w:rsidR="00D920B2" w:rsidRPr="00F16251">
        <w:rPr>
          <w:rFonts w:eastAsia="Calibri" w:cstheme="minorHAnsi"/>
          <w:kern w:val="0"/>
          <w:lang w:eastAsia="pl-PL"/>
          <w14:ligatures w14:val="none"/>
        </w:rPr>
        <w:t xml:space="preserve">się </w:t>
      </w:r>
      <w:r w:rsidR="00E031E8" w:rsidRPr="00F16251">
        <w:rPr>
          <w:rFonts w:eastAsia="Calibri" w:cstheme="minorHAnsi"/>
          <w:kern w:val="0"/>
          <w:lang w:eastAsia="pl-PL"/>
          <w14:ligatures w14:val="none"/>
        </w:rPr>
        <w:t>po zawarciu umowy ramowej</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Pierwsze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efekty</w:t>
      </w:r>
      <w:r w:rsidR="00E031E8" w:rsidRPr="00F16251">
        <w:rPr>
          <w:rFonts w:eastAsia="Calibri" w:cstheme="minorHAnsi"/>
          <w:kern w:val="0"/>
          <w:lang w:eastAsia="pl-PL"/>
          <w14:ligatures w14:val="none"/>
        </w:rPr>
        <w:t xml:space="preserve">, dotyczące m.in. Planu szkoleń, czy Planu komunikacji będą możliwe do badania po I półroczu 2024 r. </w:t>
      </w:r>
    </w:p>
    <w:p w14:paraId="073BDFF6" w14:textId="62A4D946" w:rsidR="002C63F4" w:rsidRPr="00F16251" w:rsidRDefault="002C63F4" w:rsidP="00A26C26">
      <w:pPr>
        <w:tabs>
          <w:tab w:val="num" w:pos="720"/>
        </w:tabs>
        <w:spacing w:line="276" w:lineRule="auto"/>
        <w:ind w:left="90" w:right="6" w:hanging="11"/>
        <w:jc w:val="both"/>
        <w:rPr>
          <w:rFonts w:eastAsia="Calibri" w:cstheme="minorHAnsi"/>
          <w:kern w:val="0"/>
          <w:lang w:eastAsia="pl-PL"/>
          <w14:ligatures w14:val="none"/>
        </w:rPr>
      </w:pPr>
      <w:r w:rsidRPr="00F16251">
        <w:rPr>
          <w:rFonts w:eastAsia="Calibri" w:cstheme="minorHAnsi"/>
          <w:b/>
          <w:bCs/>
          <w:kern w:val="0"/>
          <w:lang w:eastAsia="pl-PL"/>
          <w14:ligatures w14:val="none"/>
        </w:rPr>
        <w:t>Źródło</w:t>
      </w:r>
      <w:r w:rsidR="003B50ED" w:rsidRPr="00F16251">
        <w:rPr>
          <w:rFonts w:eastAsia="Calibri" w:cstheme="minorHAnsi"/>
          <w:b/>
          <w:bCs/>
          <w:kern w:val="0"/>
          <w:lang w:eastAsia="pl-PL"/>
          <w14:ligatures w14:val="none"/>
        </w:rPr>
        <w:t xml:space="preserve"> </w:t>
      </w:r>
      <w:r w:rsidRPr="00F16251">
        <w:rPr>
          <w:rFonts w:eastAsia="Calibri" w:cstheme="minorHAnsi"/>
          <w:b/>
          <w:bCs/>
          <w:kern w:val="0"/>
          <w:lang w:eastAsia="pl-PL"/>
          <w14:ligatures w14:val="none"/>
        </w:rPr>
        <w:t>danych</w:t>
      </w:r>
      <w:r w:rsidRPr="00F16251">
        <w:rPr>
          <w:rFonts w:eastAsia="Calibri" w:cstheme="minorHAnsi"/>
          <w:kern w:val="0"/>
          <w:lang w:eastAsia="pl-PL"/>
          <w14:ligatures w14:val="none"/>
        </w:rPr>
        <w:t>.</w:t>
      </w:r>
      <w:r w:rsidR="003B50ED" w:rsidRPr="00F16251">
        <w:rPr>
          <w:rFonts w:eastAsia="Calibri" w:cstheme="minorHAnsi"/>
          <w:kern w:val="0"/>
          <w:lang w:eastAsia="pl-PL"/>
          <w14:ligatures w14:val="none"/>
        </w:rPr>
        <w:t xml:space="preserve"> </w:t>
      </w:r>
    </w:p>
    <w:p w14:paraId="1F0B8935" w14:textId="5FBDE94A" w:rsidR="002C63F4" w:rsidRPr="00F16251" w:rsidRDefault="002C63F4" w:rsidP="00A26C26">
      <w:pPr>
        <w:spacing w:line="276" w:lineRule="auto"/>
        <w:ind w:left="90" w:right="6" w:hanging="11"/>
        <w:jc w:val="both"/>
        <w:rPr>
          <w:rFonts w:eastAsia="Calibri" w:cstheme="minorHAnsi"/>
          <w:kern w:val="0"/>
          <w:lang w:eastAsia="pl-PL"/>
          <w14:ligatures w14:val="none"/>
        </w:rPr>
      </w:pPr>
      <w:r w:rsidRPr="00F16251">
        <w:rPr>
          <w:rFonts w:eastAsia="Calibri" w:cstheme="minorHAnsi"/>
          <w:b/>
          <w:bCs/>
          <w:kern w:val="0"/>
          <w:lang w:eastAsia="pl-PL"/>
          <w14:ligatures w14:val="none"/>
        </w:rPr>
        <w:t>Dane</w:t>
      </w:r>
      <w:r w:rsidR="003B50ED" w:rsidRPr="00F16251">
        <w:rPr>
          <w:rFonts w:eastAsia="Calibri" w:cstheme="minorHAnsi"/>
          <w:b/>
          <w:bCs/>
          <w:kern w:val="0"/>
          <w:lang w:eastAsia="pl-PL"/>
          <w14:ligatures w14:val="none"/>
        </w:rPr>
        <w:t xml:space="preserve"> </w:t>
      </w:r>
      <w:r w:rsidRPr="00F16251">
        <w:rPr>
          <w:rFonts w:eastAsia="Calibri" w:cstheme="minorHAnsi"/>
          <w:b/>
          <w:bCs/>
          <w:kern w:val="0"/>
          <w:lang w:eastAsia="pl-PL"/>
          <w14:ligatures w14:val="none"/>
        </w:rPr>
        <w:t>źródłowe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będą</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pozyskiwane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z</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dokumentacji</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własnej</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gromadzonej</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przez</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LGD,</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z</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samorządu</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województwa</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lub</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systemu</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informatycznego</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jeśli</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będzie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dostępny,</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z</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GUS</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oraz</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badań</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ankietowych</w:t>
      </w:r>
      <w:r w:rsidR="00C9266B"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Istotnym</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źródłem</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będą</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bezpośrednie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wywiady</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z</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beneficjentami,</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analiza</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pomysłów/inicjatyw</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zgłaszanych</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przez</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mieszkańców</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dotyczących</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funkcjonowania</w:t>
      </w:r>
      <w:r w:rsidR="003B50ED" w:rsidRPr="00F16251">
        <w:rPr>
          <w:rFonts w:eastAsia="Calibri" w:cstheme="minorHAnsi"/>
          <w:kern w:val="0"/>
          <w:lang w:eastAsia="pl-PL"/>
          <w14:ligatures w14:val="none"/>
        </w:rPr>
        <w:t xml:space="preserve"> </w:t>
      </w:r>
      <w:r w:rsidR="008247A9" w:rsidRPr="00F16251">
        <w:rPr>
          <w:rFonts w:cstheme="minorHAnsi"/>
        </w:rPr>
        <w:t xml:space="preserve">Stowarzyszenia „Solidarni w Partnerstwie” </w:t>
      </w:r>
      <w:r w:rsidRPr="00F16251">
        <w:rPr>
          <w:rFonts w:eastAsia="Calibri" w:cstheme="minorHAnsi"/>
          <w:kern w:val="0"/>
          <w:lang w:eastAsia="pl-PL"/>
          <w14:ligatures w14:val="none"/>
        </w:rPr>
        <w:t>i</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wdrażania</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LSR</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w</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ramach</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stworzonego</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systemu</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zachęt</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lub</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wizje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lokalne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w</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miejscach</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realizacji</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projektów</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grantów.</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Informacje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będą</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pochodzić</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od</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różnych</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interesariuszy</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z</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obszaru</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LSR,</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żeby</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zastosować</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jak</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najszerszy</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poziom</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włączenia</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i</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uzyskać</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reprezentatywne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wyniki.</w:t>
      </w:r>
      <w:r w:rsidR="003B50ED" w:rsidRPr="00F16251">
        <w:rPr>
          <w:rFonts w:eastAsia="Calibri" w:cstheme="minorHAnsi"/>
          <w:kern w:val="0"/>
          <w:lang w:eastAsia="pl-PL"/>
          <w14:ligatures w14:val="none"/>
        </w:rPr>
        <w:t xml:space="preserve"> </w:t>
      </w:r>
    </w:p>
    <w:p w14:paraId="749DA1A6" w14:textId="77777777" w:rsidR="00C9266B" w:rsidRPr="00F16251" w:rsidRDefault="002C63F4" w:rsidP="00A26C26">
      <w:pPr>
        <w:spacing w:line="276" w:lineRule="auto"/>
        <w:ind w:left="90" w:right="6" w:hanging="11"/>
        <w:jc w:val="both"/>
        <w:rPr>
          <w:rFonts w:eastAsia="Calibri" w:cstheme="minorHAnsi"/>
          <w:kern w:val="0"/>
          <w:lang w:eastAsia="pl-PL"/>
          <w14:ligatures w14:val="none"/>
        </w:rPr>
      </w:pPr>
      <w:r w:rsidRPr="00F16251">
        <w:rPr>
          <w:rFonts w:eastAsia="Calibri" w:cstheme="minorHAnsi"/>
          <w:kern w:val="0"/>
          <w:lang w:eastAsia="pl-PL"/>
          <w14:ligatures w14:val="none"/>
        </w:rPr>
        <w:t>Zakres</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analizy</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będzie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również</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obejmować</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dane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ilościowe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o</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prowadzonych</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naborach,</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postępie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rzeczowym,</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efektach</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realizacji</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Planu</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komunikacji,</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Planu</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szkoleń</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oraz</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dane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finansowe.</w:t>
      </w:r>
      <w:r w:rsidR="003B50ED" w:rsidRPr="00F16251">
        <w:rPr>
          <w:rFonts w:eastAsia="Calibri" w:cstheme="minorHAnsi"/>
          <w:kern w:val="0"/>
          <w:lang w:eastAsia="pl-PL"/>
          <w14:ligatures w14:val="none"/>
        </w:rPr>
        <w:t xml:space="preserve"> </w:t>
      </w:r>
    </w:p>
    <w:p w14:paraId="189B6982" w14:textId="65A07826" w:rsidR="002C63F4" w:rsidRPr="00F16251" w:rsidRDefault="002C63F4" w:rsidP="00A26C26">
      <w:pPr>
        <w:spacing w:line="276" w:lineRule="auto"/>
        <w:ind w:left="90" w:right="6" w:hanging="11"/>
        <w:jc w:val="both"/>
        <w:rPr>
          <w:rFonts w:eastAsia="Calibri" w:cstheme="minorHAnsi"/>
          <w:kern w:val="0"/>
          <w:lang w:eastAsia="pl-PL"/>
          <w14:ligatures w14:val="none"/>
        </w:rPr>
      </w:pPr>
      <w:r w:rsidRPr="00F16251">
        <w:rPr>
          <w:rFonts w:eastAsia="Calibri" w:cstheme="minorHAnsi"/>
          <w:kern w:val="0"/>
          <w:lang w:eastAsia="pl-PL"/>
          <w14:ligatures w14:val="none"/>
        </w:rPr>
        <w:t>Dane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będą</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dotyczyć</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tych</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elementów,</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które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stanowią</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kluczowe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zobowiązania</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wynikające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z</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zawartych</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umów.</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Kluczowym</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źródłem</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danych</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będą</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również</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badanie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jakościowe,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obejmujące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w</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szczególności</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wywiady</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z</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członkami</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LGD,</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pracownikami</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Biura</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LGD</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oraz</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przedstawicielami</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organów</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stowarzyszenia</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(Zarządu,</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Rady</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decyzyjnej,</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Komisji</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rewizyjnej)</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oraz</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przede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wszystkich</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odbiorcami</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pomocy.</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W</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badaniu</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będą</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uwzględnione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opinie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tych</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podmiotów,</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które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nie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uzyskały</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wsparcia.</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Wywiady</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będą</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prowadzone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przy</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wykorzystaniu</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instrumentów</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adekwatnych</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do</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grupy</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interesariuszy,</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żeby</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włączyć</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do</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badania</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wszystkich</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zainteresowanych.</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Na</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potrzeby</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wywiadów</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stworzymy</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scenariusze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dostosowywane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do</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ró</w:t>
      </w:r>
      <w:r w:rsidR="00C9266B" w:rsidRPr="00F16251">
        <w:rPr>
          <w:rFonts w:eastAsia="Calibri" w:cstheme="minorHAnsi"/>
          <w:kern w:val="0"/>
          <w:lang w:eastAsia="pl-PL"/>
          <w14:ligatures w14:val="none"/>
        </w:rPr>
        <w:t>ż</w:t>
      </w:r>
      <w:r w:rsidRPr="00F16251">
        <w:rPr>
          <w:rFonts w:eastAsia="Calibri" w:cstheme="minorHAnsi"/>
          <w:kern w:val="0"/>
          <w:lang w:eastAsia="pl-PL"/>
          <w14:ligatures w14:val="none"/>
        </w:rPr>
        <w:t>nych</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odbiorców.</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Zebrane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dane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będą</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wykorzystane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nie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tylko</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do</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oceny</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wdrażania</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LSR,</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ale</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będą</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podstawą</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do</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formułowania</w:t>
      </w:r>
      <w:r w:rsidR="003B50ED" w:rsidRPr="00F16251">
        <w:rPr>
          <w:rFonts w:eastAsia="Calibri" w:cstheme="minorHAnsi"/>
          <w:kern w:val="0"/>
          <w:lang w:eastAsia="pl-PL"/>
          <w14:ligatures w14:val="none"/>
        </w:rPr>
        <w:t xml:space="preserve"> </w:t>
      </w:r>
      <w:r w:rsidRPr="00F16251">
        <w:rPr>
          <w:rFonts w:eastAsia="Calibri" w:cstheme="minorHAnsi"/>
          <w:kern w:val="0"/>
          <w:lang w:eastAsia="pl-PL"/>
          <w14:ligatures w14:val="none"/>
        </w:rPr>
        <w:t>rekomendacji.</w:t>
      </w:r>
    </w:p>
    <w:p w14:paraId="3A1A8897" w14:textId="77777777" w:rsidR="00C9266B" w:rsidRPr="00F16251" w:rsidRDefault="00C9266B" w:rsidP="00C9266B">
      <w:pPr>
        <w:spacing w:line="276" w:lineRule="auto"/>
        <w:ind w:left="90" w:right="6" w:hanging="11"/>
        <w:jc w:val="both"/>
        <w:rPr>
          <w:rFonts w:eastAsia="Calibri" w:cstheme="minorHAnsi"/>
          <w:kern w:val="0"/>
          <w:lang w:eastAsia="pl-PL"/>
          <w14:ligatures w14:val="none"/>
        </w:rPr>
      </w:pPr>
      <w:r w:rsidRPr="00F16251">
        <w:rPr>
          <w:rFonts w:eastAsia="Calibri" w:cstheme="minorHAnsi"/>
          <w:b/>
          <w:bCs/>
          <w:kern w:val="0"/>
          <w:lang w:eastAsia="pl-PL"/>
          <w14:ligatures w14:val="none"/>
        </w:rPr>
        <w:t>Dane statystyczne</w:t>
      </w:r>
      <w:r w:rsidRPr="00F16251">
        <w:rPr>
          <w:rFonts w:eastAsia="Calibri" w:cstheme="minorHAnsi"/>
          <w:kern w:val="0"/>
          <w:lang w:eastAsia="pl-PL"/>
          <w14:ligatures w14:val="none"/>
        </w:rPr>
        <w:t xml:space="preserve"> dostarczą obiektywnych informacji na temat zmian w obszarze badania i jego otoczeniu. Będą obejmować zjawiska demograficzne, rynek pracy, lokalną gospodarkę oraz sytuację społeczną. </w:t>
      </w:r>
    </w:p>
    <w:p w14:paraId="6851CB89" w14:textId="77777777" w:rsidR="002473EE" w:rsidRPr="00F16251" w:rsidRDefault="002473EE" w:rsidP="00C9266B">
      <w:pPr>
        <w:spacing w:line="276" w:lineRule="auto"/>
        <w:ind w:left="90" w:right="6" w:hanging="11"/>
        <w:jc w:val="both"/>
        <w:rPr>
          <w:rFonts w:eastAsia="Calibri" w:cstheme="minorHAnsi"/>
          <w:kern w:val="0"/>
          <w:lang w:eastAsia="pl-PL"/>
          <w14:ligatures w14:val="none"/>
        </w:rPr>
      </w:pPr>
    </w:p>
    <w:p w14:paraId="2DDE0E86" w14:textId="3C93AEC0" w:rsidR="002473EE" w:rsidRPr="00F16251" w:rsidRDefault="002473EE" w:rsidP="00C9266B">
      <w:pPr>
        <w:spacing w:line="276" w:lineRule="auto"/>
        <w:ind w:left="90" w:right="6" w:hanging="11"/>
        <w:jc w:val="both"/>
        <w:rPr>
          <w:rFonts w:eastAsia="Calibri" w:cstheme="minorHAnsi"/>
          <w:kern w:val="0"/>
          <w:lang w:eastAsia="pl-PL"/>
          <w14:ligatures w14:val="none"/>
        </w:rPr>
      </w:pPr>
      <w:r w:rsidRPr="00F16251">
        <w:rPr>
          <w:rFonts w:eastAsia="Calibri" w:cstheme="minorHAnsi"/>
          <w:kern w:val="0"/>
          <w:lang w:eastAsia="pl-PL"/>
          <w14:ligatures w14:val="none"/>
        </w:rPr>
        <w:t xml:space="preserve">Tabela nr </w:t>
      </w:r>
      <w:r w:rsidR="00396A11">
        <w:rPr>
          <w:rFonts w:eastAsia="Calibri" w:cstheme="minorHAnsi"/>
          <w:kern w:val="0"/>
          <w:lang w:eastAsia="pl-PL"/>
          <w14:ligatures w14:val="none"/>
        </w:rPr>
        <w:t>34</w:t>
      </w:r>
      <w:r w:rsidRPr="00F16251">
        <w:rPr>
          <w:rFonts w:eastAsia="Calibri" w:cstheme="minorHAnsi"/>
          <w:kern w:val="0"/>
          <w:lang w:eastAsia="pl-PL"/>
          <w14:ligatures w14:val="none"/>
        </w:rPr>
        <w:t xml:space="preserve"> Elementy podlegające monitorowaniu i ewaluacji (on </w:t>
      </w:r>
      <w:proofErr w:type="spellStart"/>
      <w:r w:rsidRPr="00F16251">
        <w:rPr>
          <w:rFonts w:eastAsia="Calibri" w:cstheme="minorHAnsi"/>
          <w:kern w:val="0"/>
          <w:lang w:eastAsia="pl-PL"/>
          <w14:ligatures w14:val="none"/>
        </w:rPr>
        <w:t>going</w:t>
      </w:r>
      <w:proofErr w:type="spellEnd"/>
      <w:r w:rsidRPr="00F16251">
        <w:rPr>
          <w:rFonts w:eastAsia="Calibri" w:cstheme="minorHAnsi"/>
          <w:kern w:val="0"/>
          <w:lang w:eastAsia="pl-PL"/>
          <w14:ligatures w14:val="none"/>
        </w:rPr>
        <w:t xml:space="preserve"> / ex-post) ze wskazaniem sposobu ich pozyskania oraz zakresu analizy i oceny danych.</w:t>
      </w:r>
    </w:p>
    <w:tbl>
      <w:tblPr>
        <w:tblStyle w:val="Tabelalisty4akcent32"/>
        <w:tblW w:w="10201" w:type="dxa"/>
        <w:tblLayout w:type="fixed"/>
        <w:tblLook w:val="04A0" w:firstRow="1" w:lastRow="0" w:firstColumn="1" w:lastColumn="0" w:noHBand="0" w:noVBand="1"/>
      </w:tblPr>
      <w:tblGrid>
        <w:gridCol w:w="3256"/>
        <w:gridCol w:w="2976"/>
        <w:gridCol w:w="3969"/>
      </w:tblGrid>
      <w:tr w:rsidR="00F16251" w:rsidRPr="00F16251" w14:paraId="43A187FA" w14:textId="77777777" w:rsidTr="00BC3D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7BD5742" w14:textId="2E400B13" w:rsidR="002C63F4" w:rsidRPr="00F16251" w:rsidRDefault="002C63F4" w:rsidP="00611E7C">
            <w:pPr>
              <w:spacing w:line="276" w:lineRule="auto"/>
              <w:ind w:right="5"/>
              <w:jc w:val="center"/>
              <w:rPr>
                <w:rFonts w:eastAsia="Calibri" w:cstheme="minorHAnsi"/>
                <w:color w:val="auto"/>
              </w:rPr>
            </w:pPr>
            <w:r w:rsidRPr="00F16251">
              <w:rPr>
                <w:rFonts w:eastAsia="Calibri" w:cstheme="minorHAnsi"/>
                <w:color w:val="auto"/>
              </w:rPr>
              <w:t>Wyszczególnienie</w:t>
            </w:r>
            <w:r w:rsidR="003B50ED" w:rsidRPr="00F16251">
              <w:rPr>
                <w:rFonts w:eastAsia="Calibri" w:cstheme="minorHAnsi"/>
                <w:color w:val="auto"/>
              </w:rPr>
              <w:t xml:space="preserve"> </w:t>
            </w:r>
          </w:p>
        </w:tc>
        <w:tc>
          <w:tcPr>
            <w:tcW w:w="2976" w:type="dxa"/>
          </w:tcPr>
          <w:p w14:paraId="45C96268" w14:textId="5188B154" w:rsidR="002C63F4" w:rsidRPr="00F16251" w:rsidRDefault="00611E7C" w:rsidP="00611E7C">
            <w:pPr>
              <w:spacing w:line="276" w:lineRule="auto"/>
              <w:ind w:right="5"/>
              <w:jc w:val="center"/>
              <w:cnfStyle w:val="100000000000" w:firstRow="1" w:lastRow="0" w:firstColumn="0" w:lastColumn="0" w:oddVBand="0" w:evenVBand="0" w:oddHBand="0" w:evenHBand="0" w:firstRowFirstColumn="0" w:firstRowLastColumn="0" w:lastRowFirstColumn="0" w:lastRowLastColumn="0"/>
              <w:rPr>
                <w:rFonts w:eastAsia="Calibri" w:cstheme="minorHAnsi"/>
                <w:color w:val="auto"/>
              </w:rPr>
            </w:pPr>
            <w:r w:rsidRPr="00F16251">
              <w:rPr>
                <w:rFonts w:eastAsia="Calibri" w:cstheme="minorHAnsi"/>
                <w:color w:val="auto"/>
              </w:rPr>
              <w:t>Ź</w:t>
            </w:r>
            <w:r w:rsidR="002C63F4" w:rsidRPr="00F16251">
              <w:rPr>
                <w:rFonts w:eastAsia="Calibri" w:cstheme="minorHAnsi"/>
                <w:color w:val="auto"/>
              </w:rPr>
              <w:t>ródł</w:t>
            </w:r>
            <w:r w:rsidRPr="00F16251">
              <w:rPr>
                <w:rFonts w:eastAsia="Calibri" w:cstheme="minorHAnsi"/>
                <w:color w:val="auto"/>
              </w:rPr>
              <w:t>o</w:t>
            </w:r>
            <w:r w:rsidR="003B50ED" w:rsidRPr="00F16251">
              <w:rPr>
                <w:rFonts w:eastAsia="Calibri" w:cstheme="minorHAnsi"/>
                <w:color w:val="auto"/>
              </w:rPr>
              <w:t xml:space="preserve"> </w:t>
            </w:r>
            <w:r w:rsidR="002C63F4" w:rsidRPr="00F16251">
              <w:rPr>
                <w:rFonts w:eastAsia="Calibri" w:cstheme="minorHAnsi"/>
                <w:color w:val="auto"/>
              </w:rPr>
              <w:t>danych</w:t>
            </w:r>
            <w:r w:rsidR="003B50ED" w:rsidRPr="00F16251">
              <w:rPr>
                <w:rFonts w:eastAsia="Calibri" w:cstheme="minorHAnsi"/>
                <w:color w:val="auto"/>
              </w:rPr>
              <w:t xml:space="preserve"> </w:t>
            </w:r>
            <w:r w:rsidR="002C63F4" w:rsidRPr="00F16251">
              <w:rPr>
                <w:rFonts w:eastAsia="Calibri" w:cstheme="minorHAnsi"/>
                <w:color w:val="auto"/>
              </w:rPr>
              <w:t>/</w:t>
            </w:r>
            <w:r w:rsidR="003B50ED" w:rsidRPr="00F16251">
              <w:rPr>
                <w:rFonts w:eastAsia="Calibri" w:cstheme="minorHAnsi"/>
                <w:color w:val="auto"/>
              </w:rPr>
              <w:t xml:space="preserve"> </w:t>
            </w:r>
            <w:r w:rsidR="002C63F4" w:rsidRPr="00F16251">
              <w:rPr>
                <w:rFonts w:eastAsia="Calibri" w:cstheme="minorHAnsi"/>
                <w:color w:val="auto"/>
              </w:rPr>
              <w:t>rodzaj</w:t>
            </w:r>
            <w:r w:rsidR="003B50ED" w:rsidRPr="00F16251">
              <w:rPr>
                <w:rFonts w:eastAsia="Calibri" w:cstheme="minorHAnsi"/>
                <w:color w:val="auto"/>
              </w:rPr>
              <w:t xml:space="preserve"> </w:t>
            </w:r>
            <w:r w:rsidR="002C63F4" w:rsidRPr="00F16251">
              <w:rPr>
                <w:rFonts w:eastAsia="Calibri" w:cstheme="minorHAnsi"/>
                <w:color w:val="auto"/>
              </w:rPr>
              <w:t>i</w:t>
            </w:r>
            <w:r w:rsidR="003B50ED" w:rsidRPr="00F16251">
              <w:rPr>
                <w:rFonts w:eastAsia="Calibri" w:cstheme="minorHAnsi"/>
                <w:color w:val="auto"/>
              </w:rPr>
              <w:t xml:space="preserve"> </w:t>
            </w:r>
            <w:r w:rsidR="002C63F4" w:rsidRPr="00F16251">
              <w:rPr>
                <w:rFonts w:eastAsia="Calibri" w:cstheme="minorHAnsi"/>
                <w:color w:val="auto"/>
              </w:rPr>
              <w:t>częstotliwość</w:t>
            </w:r>
            <w:r w:rsidR="003B50ED" w:rsidRPr="00F16251">
              <w:rPr>
                <w:rFonts w:eastAsia="Calibri" w:cstheme="minorHAnsi"/>
                <w:color w:val="auto"/>
              </w:rPr>
              <w:t xml:space="preserve"> </w:t>
            </w:r>
            <w:r w:rsidR="002C63F4" w:rsidRPr="00F16251">
              <w:rPr>
                <w:rFonts w:eastAsia="Calibri" w:cstheme="minorHAnsi"/>
                <w:color w:val="auto"/>
              </w:rPr>
              <w:t>badania</w:t>
            </w:r>
          </w:p>
        </w:tc>
        <w:tc>
          <w:tcPr>
            <w:tcW w:w="3969" w:type="dxa"/>
          </w:tcPr>
          <w:p w14:paraId="59D10B0B" w14:textId="47859E29" w:rsidR="002C63F4" w:rsidRPr="00F16251" w:rsidRDefault="002C63F4" w:rsidP="00611E7C">
            <w:pPr>
              <w:spacing w:line="276" w:lineRule="auto"/>
              <w:ind w:right="5"/>
              <w:jc w:val="center"/>
              <w:cnfStyle w:val="100000000000" w:firstRow="1" w:lastRow="0" w:firstColumn="0" w:lastColumn="0" w:oddVBand="0" w:evenVBand="0" w:oddHBand="0" w:evenHBand="0" w:firstRowFirstColumn="0" w:firstRowLastColumn="0" w:lastRowFirstColumn="0" w:lastRowLastColumn="0"/>
              <w:rPr>
                <w:rFonts w:eastAsia="Calibri" w:cstheme="minorHAnsi"/>
                <w:color w:val="auto"/>
              </w:rPr>
            </w:pPr>
            <w:r w:rsidRPr="00F16251">
              <w:rPr>
                <w:rFonts w:eastAsia="Calibri" w:cstheme="minorHAnsi"/>
                <w:color w:val="auto"/>
              </w:rPr>
              <w:t>Analiza</w:t>
            </w:r>
            <w:r w:rsidR="003B50ED" w:rsidRPr="00F16251">
              <w:rPr>
                <w:rFonts w:eastAsia="Calibri" w:cstheme="minorHAnsi"/>
                <w:color w:val="auto"/>
              </w:rPr>
              <w:t xml:space="preserve"> </w:t>
            </w:r>
            <w:r w:rsidRPr="00F16251">
              <w:rPr>
                <w:rFonts w:eastAsia="Calibri" w:cstheme="minorHAnsi"/>
                <w:color w:val="auto"/>
              </w:rPr>
              <w:t>i</w:t>
            </w:r>
            <w:r w:rsidR="003B50ED" w:rsidRPr="00F16251">
              <w:rPr>
                <w:rFonts w:eastAsia="Calibri" w:cstheme="minorHAnsi"/>
                <w:color w:val="auto"/>
              </w:rPr>
              <w:t xml:space="preserve"> </w:t>
            </w:r>
            <w:r w:rsidRPr="00F16251">
              <w:rPr>
                <w:rFonts w:eastAsia="Calibri" w:cstheme="minorHAnsi"/>
                <w:color w:val="auto"/>
              </w:rPr>
              <w:t>ocena</w:t>
            </w:r>
            <w:r w:rsidR="003B50ED" w:rsidRPr="00F16251">
              <w:rPr>
                <w:rFonts w:eastAsia="Calibri" w:cstheme="minorHAnsi"/>
                <w:color w:val="auto"/>
              </w:rPr>
              <w:t xml:space="preserve"> </w:t>
            </w:r>
            <w:r w:rsidRPr="00F16251">
              <w:rPr>
                <w:rFonts w:eastAsia="Calibri" w:cstheme="minorHAnsi"/>
                <w:color w:val="auto"/>
              </w:rPr>
              <w:t>danych</w:t>
            </w:r>
          </w:p>
        </w:tc>
      </w:tr>
      <w:tr w:rsidR="00F16251" w:rsidRPr="00F16251" w14:paraId="12BABDDD" w14:textId="77777777" w:rsidTr="00BC3D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6EA59A3" w14:textId="08189A99" w:rsidR="002C63F4" w:rsidRPr="00F16251" w:rsidRDefault="002C63F4" w:rsidP="00611E7C">
            <w:pPr>
              <w:spacing w:line="276" w:lineRule="auto"/>
              <w:ind w:right="6"/>
              <w:rPr>
                <w:rFonts w:eastAsia="Calibri" w:cstheme="minorHAnsi"/>
                <w:b w:val="0"/>
                <w:bCs w:val="0"/>
              </w:rPr>
            </w:pPr>
            <w:r w:rsidRPr="00F16251">
              <w:rPr>
                <w:rFonts w:eastAsia="Calibri" w:cstheme="minorHAnsi"/>
                <w:b w:val="0"/>
                <w:bCs w:val="0"/>
              </w:rPr>
              <w:t>Efektywność</w:t>
            </w:r>
            <w:r w:rsidR="003B50ED" w:rsidRPr="00F16251">
              <w:rPr>
                <w:rFonts w:eastAsia="Calibri" w:cstheme="minorHAnsi"/>
                <w:b w:val="0"/>
                <w:bCs w:val="0"/>
              </w:rPr>
              <w:t xml:space="preserve"> </w:t>
            </w:r>
            <w:r w:rsidRPr="00F16251">
              <w:rPr>
                <w:rFonts w:eastAsia="Calibri" w:cstheme="minorHAnsi"/>
                <w:b w:val="0"/>
                <w:bCs w:val="0"/>
              </w:rPr>
              <w:t>pracy</w:t>
            </w:r>
            <w:r w:rsidR="003B50ED" w:rsidRPr="00F16251">
              <w:rPr>
                <w:rFonts w:eastAsia="Calibri" w:cstheme="minorHAnsi"/>
                <w:b w:val="0"/>
                <w:bCs w:val="0"/>
              </w:rPr>
              <w:t xml:space="preserve"> </w:t>
            </w:r>
            <w:r w:rsidRPr="00F16251">
              <w:rPr>
                <w:rFonts w:eastAsia="Calibri" w:cstheme="minorHAnsi"/>
                <w:b w:val="0"/>
                <w:bCs w:val="0"/>
              </w:rPr>
              <w:t>Biura</w:t>
            </w:r>
            <w:r w:rsidR="003B50ED" w:rsidRPr="00F16251">
              <w:rPr>
                <w:rFonts w:eastAsia="Calibri" w:cstheme="minorHAnsi"/>
                <w:b w:val="0"/>
                <w:bCs w:val="0"/>
              </w:rPr>
              <w:t xml:space="preserve"> </w:t>
            </w:r>
            <w:r w:rsidRPr="00F16251">
              <w:rPr>
                <w:rFonts w:eastAsia="Calibri" w:cstheme="minorHAnsi"/>
                <w:b w:val="0"/>
                <w:bCs w:val="0"/>
              </w:rPr>
              <w:t>LGD</w:t>
            </w:r>
            <w:r w:rsidR="003B50ED" w:rsidRPr="00F16251">
              <w:rPr>
                <w:rFonts w:eastAsia="Calibri" w:cstheme="minorHAnsi"/>
                <w:b w:val="0"/>
                <w:bCs w:val="0"/>
              </w:rPr>
              <w:t xml:space="preserve"> </w:t>
            </w:r>
            <w:r w:rsidRPr="00F16251">
              <w:rPr>
                <w:rFonts w:eastAsia="Calibri" w:cstheme="minorHAnsi"/>
                <w:b w:val="0"/>
                <w:bCs w:val="0"/>
              </w:rPr>
              <w:t>i</w:t>
            </w:r>
            <w:r w:rsidR="003B50ED" w:rsidRPr="00F16251">
              <w:rPr>
                <w:rFonts w:eastAsia="Calibri" w:cstheme="minorHAnsi"/>
                <w:b w:val="0"/>
                <w:bCs w:val="0"/>
              </w:rPr>
              <w:t xml:space="preserve"> </w:t>
            </w:r>
            <w:r w:rsidRPr="00F16251">
              <w:rPr>
                <w:rFonts w:eastAsia="Calibri" w:cstheme="minorHAnsi"/>
                <w:b w:val="0"/>
                <w:bCs w:val="0"/>
              </w:rPr>
              <w:t>organów</w:t>
            </w:r>
            <w:r w:rsidR="003B50ED" w:rsidRPr="00F16251">
              <w:rPr>
                <w:rFonts w:eastAsia="Calibri" w:cstheme="minorHAnsi"/>
                <w:b w:val="0"/>
                <w:bCs w:val="0"/>
              </w:rPr>
              <w:t xml:space="preserve"> </w:t>
            </w:r>
            <w:r w:rsidRPr="00F16251">
              <w:rPr>
                <w:rFonts w:eastAsia="Calibri" w:cstheme="minorHAnsi"/>
                <w:b w:val="0"/>
                <w:bCs w:val="0"/>
              </w:rPr>
              <w:t>LGD,</w:t>
            </w:r>
            <w:r w:rsidR="003B50ED" w:rsidRPr="00F16251">
              <w:rPr>
                <w:rFonts w:eastAsia="Calibri" w:cstheme="minorHAnsi"/>
                <w:b w:val="0"/>
                <w:bCs w:val="0"/>
              </w:rPr>
              <w:t xml:space="preserve"> </w:t>
            </w:r>
            <w:r w:rsidRPr="00F16251">
              <w:rPr>
                <w:rFonts w:eastAsia="Calibri" w:cstheme="minorHAnsi"/>
                <w:b w:val="0"/>
                <w:bCs w:val="0"/>
              </w:rPr>
              <w:t>w</w:t>
            </w:r>
            <w:r w:rsidR="003B50ED" w:rsidRPr="00F16251">
              <w:rPr>
                <w:rFonts w:eastAsia="Calibri" w:cstheme="minorHAnsi"/>
                <w:b w:val="0"/>
                <w:bCs w:val="0"/>
              </w:rPr>
              <w:t xml:space="preserve"> </w:t>
            </w:r>
            <w:r w:rsidRPr="00F16251">
              <w:rPr>
                <w:rFonts w:eastAsia="Calibri" w:cstheme="minorHAnsi"/>
                <w:b w:val="0"/>
                <w:bCs w:val="0"/>
              </w:rPr>
              <w:t>tym</w:t>
            </w:r>
            <w:r w:rsidR="003B50ED" w:rsidRPr="00F16251">
              <w:rPr>
                <w:rFonts w:eastAsia="Calibri" w:cstheme="minorHAnsi"/>
                <w:b w:val="0"/>
                <w:bCs w:val="0"/>
              </w:rPr>
              <w:t xml:space="preserve"> </w:t>
            </w:r>
            <w:r w:rsidRPr="00F16251">
              <w:rPr>
                <w:rFonts w:eastAsia="Calibri" w:cstheme="minorHAnsi"/>
                <w:b w:val="0"/>
                <w:bCs w:val="0"/>
              </w:rPr>
              <w:t>jakość</w:t>
            </w:r>
            <w:r w:rsidR="003B50ED" w:rsidRPr="00F16251">
              <w:rPr>
                <w:rFonts w:eastAsia="Calibri" w:cstheme="minorHAnsi"/>
                <w:b w:val="0"/>
                <w:bCs w:val="0"/>
              </w:rPr>
              <w:t xml:space="preserve"> </w:t>
            </w:r>
            <w:r w:rsidRPr="00F16251">
              <w:rPr>
                <w:rFonts w:eastAsia="Calibri" w:cstheme="minorHAnsi"/>
                <w:b w:val="0"/>
                <w:bCs w:val="0"/>
              </w:rPr>
              <w:t>doradztwa,</w:t>
            </w:r>
            <w:r w:rsidR="003B50ED" w:rsidRPr="00F16251">
              <w:rPr>
                <w:rFonts w:eastAsia="Calibri" w:cstheme="minorHAnsi"/>
                <w:b w:val="0"/>
                <w:bCs w:val="0"/>
              </w:rPr>
              <w:t xml:space="preserve"> </w:t>
            </w:r>
            <w:r w:rsidRPr="00F16251">
              <w:rPr>
                <w:rFonts w:eastAsia="Calibri" w:cstheme="minorHAnsi"/>
                <w:b w:val="0"/>
                <w:bCs w:val="0"/>
              </w:rPr>
              <w:t>stan</w:t>
            </w:r>
            <w:r w:rsidR="003B50ED" w:rsidRPr="00F16251">
              <w:rPr>
                <w:rFonts w:eastAsia="Calibri" w:cstheme="minorHAnsi"/>
                <w:b w:val="0"/>
                <w:bCs w:val="0"/>
              </w:rPr>
              <w:t xml:space="preserve"> </w:t>
            </w:r>
            <w:r w:rsidRPr="00F16251">
              <w:rPr>
                <w:rFonts w:eastAsia="Calibri" w:cstheme="minorHAnsi"/>
                <w:b w:val="0"/>
                <w:bCs w:val="0"/>
              </w:rPr>
              <w:t>realizacji</w:t>
            </w:r>
            <w:r w:rsidR="003B50ED" w:rsidRPr="00F16251">
              <w:rPr>
                <w:rFonts w:eastAsia="Calibri" w:cstheme="minorHAnsi"/>
                <w:b w:val="0"/>
                <w:bCs w:val="0"/>
              </w:rPr>
              <w:t xml:space="preserve"> </w:t>
            </w:r>
            <w:r w:rsidRPr="00F16251">
              <w:rPr>
                <w:rFonts w:eastAsia="Calibri" w:cstheme="minorHAnsi"/>
                <w:b w:val="0"/>
                <w:bCs w:val="0"/>
              </w:rPr>
              <w:t>Planu</w:t>
            </w:r>
            <w:r w:rsidR="003B50ED" w:rsidRPr="00F16251">
              <w:rPr>
                <w:rFonts w:eastAsia="Calibri" w:cstheme="minorHAnsi"/>
                <w:b w:val="0"/>
                <w:bCs w:val="0"/>
              </w:rPr>
              <w:t xml:space="preserve"> </w:t>
            </w:r>
            <w:r w:rsidRPr="00F16251">
              <w:rPr>
                <w:rFonts w:eastAsia="Calibri" w:cstheme="minorHAnsi"/>
                <w:b w:val="0"/>
                <w:bCs w:val="0"/>
              </w:rPr>
              <w:t>komunikacji</w:t>
            </w:r>
            <w:r w:rsidR="003B50ED" w:rsidRPr="00F16251">
              <w:rPr>
                <w:rFonts w:eastAsia="Calibri" w:cstheme="minorHAnsi"/>
                <w:b w:val="0"/>
                <w:bCs w:val="0"/>
              </w:rPr>
              <w:t xml:space="preserve"> </w:t>
            </w:r>
            <w:r w:rsidRPr="00F16251">
              <w:rPr>
                <w:rFonts w:eastAsia="Calibri" w:cstheme="minorHAnsi"/>
                <w:b w:val="0"/>
                <w:bCs w:val="0"/>
              </w:rPr>
              <w:t>/</w:t>
            </w:r>
            <w:r w:rsidR="003B50ED" w:rsidRPr="00F16251">
              <w:rPr>
                <w:rFonts w:eastAsia="Calibri" w:cstheme="minorHAnsi"/>
                <w:b w:val="0"/>
                <w:bCs w:val="0"/>
              </w:rPr>
              <w:t xml:space="preserve"> </w:t>
            </w:r>
            <w:r w:rsidRPr="00F16251">
              <w:rPr>
                <w:rFonts w:eastAsia="Calibri" w:cstheme="minorHAnsi"/>
                <w:b w:val="0"/>
                <w:bCs w:val="0"/>
              </w:rPr>
              <w:t>Planu</w:t>
            </w:r>
            <w:r w:rsidR="003B50ED" w:rsidRPr="00F16251">
              <w:rPr>
                <w:rFonts w:eastAsia="Calibri" w:cstheme="minorHAnsi"/>
                <w:b w:val="0"/>
                <w:bCs w:val="0"/>
              </w:rPr>
              <w:t xml:space="preserve"> </w:t>
            </w:r>
            <w:r w:rsidRPr="00F16251">
              <w:rPr>
                <w:rFonts w:eastAsia="Calibri" w:cstheme="minorHAnsi"/>
                <w:b w:val="0"/>
                <w:bCs w:val="0"/>
              </w:rPr>
              <w:t>szkoleń</w:t>
            </w:r>
            <w:r w:rsidR="003B50ED" w:rsidRPr="00F16251">
              <w:rPr>
                <w:rFonts w:eastAsia="Calibri" w:cstheme="minorHAnsi"/>
                <w:b w:val="0"/>
                <w:bCs w:val="0"/>
              </w:rPr>
              <w:t xml:space="preserve"> </w:t>
            </w:r>
            <w:r w:rsidRPr="00F16251">
              <w:rPr>
                <w:rFonts w:eastAsia="Calibri" w:cstheme="minorHAnsi"/>
                <w:b w:val="0"/>
                <w:bCs w:val="0"/>
              </w:rPr>
              <w:t>oraz</w:t>
            </w:r>
            <w:r w:rsidR="003B50ED" w:rsidRPr="00F16251">
              <w:rPr>
                <w:rFonts w:eastAsia="Calibri" w:cstheme="minorHAnsi"/>
                <w:b w:val="0"/>
                <w:bCs w:val="0"/>
              </w:rPr>
              <w:t xml:space="preserve"> </w:t>
            </w:r>
            <w:r w:rsidRPr="00F16251">
              <w:rPr>
                <w:rFonts w:eastAsia="Calibri" w:cstheme="minorHAnsi"/>
                <w:b w:val="0"/>
                <w:bCs w:val="0"/>
              </w:rPr>
              <w:t>działań</w:t>
            </w:r>
            <w:r w:rsidR="003B50ED" w:rsidRPr="00F16251">
              <w:rPr>
                <w:rFonts w:eastAsia="Calibri" w:cstheme="minorHAnsi"/>
                <w:b w:val="0"/>
                <w:bCs w:val="0"/>
              </w:rPr>
              <w:t xml:space="preserve"> </w:t>
            </w:r>
            <w:r w:rsidRPr="00F16251">
              <w:rPr>
                <w:rFonts w:eastAsia="Calibri" w:cstheme="minorHAnsi"/>
                <w:b w:val="0"/>
                <w:bCs w:val="0"/>
              </w:rPr>
              <w:t>animacyjno-integracyjnych</w:t>
            </w:r>
            <w:r w:rsidR="003B50ED" w:rsidRPr="00F16251">
              <w:rPr>
                <w:rFonts w:eastAsia="Calibri" w:cstheme="minorHAnsi"/>
                <w:b w:val="0"/>
                <w:bCs w:val="0"/>
              </w:rPr>
              <w:t xml:space="preserve"> </w:t>
            </w:r>
            <w:r w:rsidRPr="00F16251">
              <w:rPr>
                <w:rFonts w:eastAsia="Calibri" w:cstheme="minorHAnsi"/>
                <w:b w:val="0"/>
                <w:bCs w:val="0"/>
              </w:rPr>
              <w:t>i</w:t>
            </w:r>
            <w:r w:rsidR="003B50ED" w:rsidRPr="00F16251">
              <w:rPr>
                <w:rFonts w:eastAsia="Calibri" w:cstheme="minorHAnsi"/>
                <w:b w:val="0"/>
                <w:bCs w:val="0"/>
              </w:rPr>
              <w:t xml:space="preserve"> </w:t>
            </w:r>
            <w:r w:rsidRPr="00F16251">
              <w:rPr>
                <w:rFonts w:eastAsia="Calibri" w:cstheme="minorHAnsi"/>
                <w:b w:val="0"/>
                <w:bCs w:val="0"/>
              </w:rPr>
              <w:t>wyłączeniowych</w:t>
            </w:r>
            <w:r w:rsidR="003B50ED" w:rsidRPr="00F16251">
              <w:rPr>
                <w:rFonts w:eastAsia="Calibri" w:cstheme="minorHAnsi"/>
                <w:b w:val="0"/>
                <w:bCs w:val="0"/>
              </w:rPr>
              <w:t xml:space="preserve"> </w:t>
            </w:r>
            <w:r w:rsidRPr="00F16251">
              <w:rPr>
                <w:rFonts w:eastAsia="Calibri" w:cstheme="minorHAnsi"/>
                <w:b w:val="0"/>
                <w:bCs w:val="0"/>
              </w:rPr>
              <w:t>skierowanych</w:t>
            </w:r>
            <w:r w:rsidR="003B50ED" w:rsidRPr="00F16251">
              <w:rPr>
                <w:rFonts w:eastAsia="Calibri" w:cstheme="minorHAnsi"/>
                <w:b w:val="0"/>
                <w:bCs w:val="0"/>
              </w:rPr>
              <w:t xml:space="preserve"> </w:t>
            </w:r>
            <w:r w:rsidRPr="00F16251">
              <w:rPr>
                <w:rFonts w:eastAsia="Calibri" w:cstheme="minorHAnsi"/>
                <w:b w:val="0"/>
                <w:bCs w:val="0"/>
              </w:rPr>
              <w:t>do</w:t>
            </w:r>
            <w:r w:rsidR="003B50ED" w:rsidRPr="00F16251">
              <w:rPr>
                <w:rFonts w:eastAsia="Calibri" w:cstheme="minorHAnsi"/>
                <w:b w:val="0"/>
                <w:bCs w:val="0"/>
              </w:rPr>
              <w:t xml:space="preserve"> </w:t>
            </w:r>
            <w:r w:rsidRPr="00F16251">
              <w:rPr>
                <w:rFonts w:eastAsia="Calibri" w:cstheme="minorHAnsi"/>
                <w:b w:val="0"/>
                <w:bCs w:val="0"/>
              </w:rPr>
              <w:t>lokalnej</w:t>
            </w:r>
            <w:r w:rsidR="003B50ED" w:rsidRPr="00F16251">
              <w:rPr>
                <w:rFonts w:eastAsia="Calibri" w:cstheme="minorHAnsi"/>
                <w:b w:val="0"/>
                <w:bCs w:val="0"/>
              </w:rPr>
              <w:t xml:space="preserve"> </w:t>
            </w:r>
            <w:r w:rsidRPr="00F16251">
              <w:rPr>
                <w:rFonts w:eastAsia="Calibri" w:cstheme="minorHAnsi"/>
                <w:b w:val="0"/>
                <w:bCs w:val="0"/>
              </w:rPr>
              <w:t>społeczności,</w:t>
            </w:r>
            <w:r w:rsidR="003B50ED" w:rsidRPr="00F16251">
              <w:rPr>
                <w:rFonts w:eastAsia="Calibri" w:cstheme="minorHAnsi"/>
                <w:b w:val="0"/>
                <w:bCs w:val="0"/>
              </w:rPr>
              <w:t xml:space="preserve"> </w:t>
            </w:r>
            <w:r w:rsidRPr="00F16251">
              <w:rPr>
                <w:rFonts w:eastAsia="Calibri" w:cstheme="minorHAnsi"/>
                <w:b w:val="0"/>
                <w:bCs w:val="0"/>
              </w:rPr>
              <w:t>dostępność</w:t>
            </w:r>
            <w:r w:rsidR="003B50ED" w:rsidRPr="00F16251">
              <w:rPr>
                <w:rFonts w:eastAsia="Calibri" w:cstheme="minorHAnsi"/>
                <w:b w:val="0"/>
                <w:bCs w:val="0"/>
              </w:rPr>
              <w:t xml:space="preserve"> </w:t>
            </w:r>
            <w:r w:rsidRPr="00F16251">
              <w:rPr>
                <w:rFonts w:eastAsia="Calibri" w:cstheme="minorHAnsi"/>
                <w:b w:val="0"/>
                <w:bCs w:val="0"/>
              </w:rPr>
              <w:t>Biura,</w:t>
            </w:r>
            <w:r w:rsidR="003B50ED" w:rsidRPr="00F16251">
              <w:rPr>
                <w:rFonts w:eastAsia="Calibri" w:cstheme="minorHAnsi"/>
                <w:b w:val="0"/>
                <w:bCs w:val="0"/>
              </w:rPr>
              <w:t xml:space="preserve"> </w:t>
            </w:r>
            <w:r w:rsidRPr="00F16251">
              <w:rPr>
                <w:rFonts w:eastAsia="Calibri" w:cstheme="minorHAnsi"/>
                <w:b w:val="0"/>
                <w:bCs w:val="0"/>
              </w:rPr>
              <w:t>sprawność</w:t>
            </w:r>
            <w:r w:rsidR="003B50ED" w:rsidRPr="00F16251">
              <w:rPr>
                <w:rFonts w:eastAsia="Calibri" w:cstheme="minorHAnsi"/>
                <w:b w:val="0"/>
                <w:bCs w:val="0"/>
              </w:rPr>
              <w:t xml:space="preserve"> </w:t>
            </w:r>
            <w:r w:rsidRPr="00F16251">
              <w:rPr>
                <w:rFonts w:eastAsia="Calibri" w:cstheme="minorHAnsi"/>
                <w:b w:val="0"/>
                <w:bCs w:val="0"/>
              </w:rPr>
              <w:t>podejmowania</w:t>
            </w:r>
            <w:r w:rsidR="003B50ED" w:rsidRPr="00F16251">
              <w:rPr>
                <w:rFonts w:eastAsia="Calibri" w:cstheme="minorHAnsi"/>
                <w:b w:val="0"/>
                <w:bCs w:val="0"/>
              </w:rPr>
              <w:t xml:space="preserve"> </w:t>
            </w:r>
            <w:r w:rsidRPr="00F16251">
              <w:rPr>
                <w:rFonts w:eastAsia="Calibri" w:cstheme="minorHAnsi"/>
                <w:b w:val="0"/>
                <w:bCs w:val="0"/>
              </w:rPr>
              <w:t>decyzji</w:t>
            </w:r>
            <w:r w:rsidR="003B50ED" w:rsidRPr="00F16251">
              <w:rPr>
                <w:rFonts w:eastAsia="Calibri" w:cstheme="minorHAnsi"/>
                <w:b w:val="0"/>
                <w:bCs w:val="0"/>
              </w:rPr>
              <w:t xml:space="preserve"> </w:t>
            </w:r>
            <w:r w:rsidRPr="00F16251">
              <w:rPr>
                <w:rFonts w:eastAsia="Calibri" w:cstheme="minorHAnsi"/>
                <w:b w:val="0"/>
                <w:bCs w:val="0"/>
              </w:rPr>
              <w:t>przez</w:t>
            </w:r>
            <w:r w:rsidR="003B50ED" w:rsidRPr="00F16251">
              <w:rPr>
                <w:rFonts w:eastAsia="Calibri" w:cstheme="minorHAnsi"/>
                <w:b w:val="0"/>
                <w:bCs w:val="0"/>
              </w:rPr>
              <w:t xml:space="preserve"> </w:t>
            </w:r>
            <w:r w:rsidRPr="00F16251">
              <w:rPr>
                <w:rFonts w:eastAsia="Calibri" w:cstheme="minorHAnsi"/>
                <w:b w:val="0"/>
                <w:bCs w:val="0"/>
              </w:rPr>
              <w:t>LGD</w:t>
            </w:r>
            <w:r w:rsidR="003B50ED" w:rsidRPr="00F16251">
              <w:rPr>
                <w:rFonts w:eastAsia="Calibri" w:cstheme="minorHAnsi"/>
                <w:b w:val="0"/>
                <w:bCs w:val="0"/>
              </w:rPr>
              <w:t xml:space="preserve"> </w:t>
            </w:r>
            <w:r w:rsidRPr="00F16251">
              <w:rPr>
                <w:rFonts w:eastAsia="Calibri" w:cstheme="minorHAnsi"/>
                <w:b w:val="0"/>
                <w:bCs w:val="0"/>
              </w:rPr>
              <w:t>oraz</w:t>
            </w:r>
            <w:r w:rsidR="003B50ED" w:rsidRPr="00F16251">
              <w:rPr>
                <w:rFonts w:eastAsia="Calibri" w:cstheme="minorHAnsi"/>
                <w:b w:val="0"/>
                <w:bCs w:val="0"/>
              </w:rPr>
              <w:t xml:space="preserve"> </w:t>
            </w:r>
            <w:r w:rsidRPr="00F16251">
              <w:rPr>
                <w:rFonts w:eastAsia="Calibri" w:cstheme="minorHAnsi"/>
                <w:b w:val="0"/>
                <w:bCs w:val="0"/>
              </w:rPr>
              <w:t>stosowanie</w:t>
            </w:r>
            <w:r w:rsidR="003B50ED" w:rsidRPr="00F16251">
              <w:rPr>
                <w:rFonts w:eastAsia="Calibri" w:cstheme="minorHAnsi"/>
                <w:b w:val="0"/>
                <w:bCs w:val="0"/>
              </w:rPr>
              <w:t xml:space="preserve"> </w:t>
            </w:r>
            <w:r w:rsidRPr="00F16251">
              <w:rPr>
                <w:rFonts w:eastAsia="Calibri" w:cstheme="minorHAnsi"/>
                <w:b w:val="0"/>
                <w:bCs w:val="0"/>
              </w:rPr>
              <w:lastRenderedPageBreak/>
              <w:t>obowiązujących</w:t>
            </w:r>
            <w:r w:rsidR="003B50ED" w:rsidRPr="00F16251">
              <w:rPr>
                <w:rFonts w:eastAsia="Calibri" w:cstheme="minorHAnsi"/>
                <w:b w:val="0"/>
                <w:bCs w:val="0"/>
              </w:rPr>
              <w:t xml:space="preserve"> </w:t>
            </w:r>
            <w:r w:rsidRPr="00F16251">
              <w:rPr>
                <w:rFonts w:eastAsia="Calibri" w:cstheme="minorHAnsi"/>
                <w:b w:val="0"/>
                <w:bCs w:val="0"/>
              </w:rPr>
              <w:t>przepisów</w:t>
            </w:r>
            <w:r w:rsidR="003B50ED" w:rsidRPr="00F16251">
              <w:rPr>
                <w:rFonts w:eastAsia="Calibri" w:cstheme="minorHAnsi"/>
                <w:b w:val="0"/>
                <w:bCs w:val="0"/>
              </w:rPr>
              <w:t xml:space="preserve"> </w:t>
            </w:r>
            <w:r w:rsidRPr="00F16251">
              <w:rPr>
                <w:rFonts w:eastAsia="Calibri" w:cstheme="minorHAnsi"/>
                <w:b w:val="0"/>
                <w:bCs w:val="0"/>
              </w:rPr>
              <w:t>i</w:t>
            </w:r>
            <w:r w:rsidR="003B50ED" w:rsidRPr="00F16251">
              <w:rPr>
                <w:rFonts w:eastAsia="Calibri" w:cstheme="minorHAnsi"/>
                <w:b w:val="0"/>
                <w:bCs w:val="0"/>
              </w:rPr>
              <w:t xml:space="preserve"> </w:t>
            </w:r>
            <w:r w:rsidRPr="00F16251">
              <w:rPr>
                <w:rFonts w:eastAsia="Calibri" w:cstheme="minorHAnsi"/>
                <w:b w:val="0"/>
                <w:bCs w:val="0"/>
              </w:rPr>
              <w:t>wytycznych</w:t>
            </w:r>
            <w:r w:rsidR="003B50ED" w:rsidRPr="00F16251">
              <w:rPr>
                <w:rFonts w:eastAsia="Calibri" w:cstheme="minorHAnsi"/>
                <w:b w:val="0"/>
                <w:bCs w:val="0"/>
              </w:rPr>
              <w:t xml:space="preserve"> </w:t>
            </w:r>
            <w:r w:rsidRPr="00F16251">
              <w:rPr>
                <w:rFonts w:eastAsia="Calibri" w:cstheme="minorHAnsi"/>
                <w:b w:val="0"/>
                <w:bCs w:val="0"/>
              </w:rPr>
              <w:t>–</w:t>
            </w:r>
            <w:r w:rsidR="003B50ED" w:rsidRPr="00F16251">
              <w:rPr>
                <w:rFonts w:eastAsia="Calibri" w:cstheme="minorHAnsi"/>
                <w:b w:val="0"/>
                <w:bCs w:val="0"/>
              </w:rPr>
              <w:t xml:space="preserve"> </w:t>
            </w:r>
            <w:r w:rsidRPr="00F16251">
              <w:rPr>
                <w:rFonts w:eastAsia="Calibri" w:cstheme="minorHAnsi"/>
                <w:b w:val="0"/>
                <w:bCs w:val="0"/>
              </w:rPr>
              <w:t>zarządzenie</w:t>
            </w:r>
            <w:r w:rsidR="003B50ED" w:rsidRPr="00F16251">
              <w:rPr>
                <w:rFonts w:eastAsia="Calibri" w:cstheme="minorHAnsi"/>
                <w:b w:val="0"/>
                <w:bCs w:val="0"/>
              </w:rPr>
              <w:t xml:space="preserve"> </w:t>
            </w:r>
            <w:r w:rsidRPr="00F16251">
              <w:rPr>
                <w:rFonts w:eastAsia="Calibri" w:cstheme="minorHAnsi"/>
                <w:b w:val="0"/>
                <w:bCs w:val="0"/>
              </w:rPr>
              <w:t>LSR</w:t>
            </w:r>
          </w:p>
        </w:tc>
        <w:tc>
          <w:tcPr>
            <w:tcW w:w="2976" w:type="dxa"/>
          </w:tcPr>
          <w:p w14:paraId="077D9790" w14:textId="5F86A2C4" w:rsidR="002C63F4" w:rsidRPr="00F16251" w:rsidRDefault="002C63F4" w:rsidP="00611E7C">
            <w:pPr>
              <w:spacing w:line="276" w:lineRule="auto"/>
              <w:ind w:right="6"/>
              <w:cnfStyle w:val="000000100000" w:firstRow="0" w:lastRow="0" w:firstColumn="0" w:lastColumn="0" w:oddVBand="0" w:evenVBand="0" w:oddHBand="1" w:evenHBand="0" w:firstRowFirstColumn="0" w:firstRowLastColumn="0" w:lastRowFirstColumn="0" w:lastRowLastColumn="0"/>
              <w:rPr>
                <w:rFonts w:eastAsia="Calibri" w:cstheme="minorHAnsi"/>
              </w:rPr>
            </w:pPr>
            <w:r w:rsidRPr="00F16251">
              <w:rPr>
                <w:rFonts w:eastAsia="Calibri" w:cstheme="minorHAnsi"/>
              </w:rPr>
              <w:lastRenderedPageBreak/>
              <w:t>opinia</w:t>
            </w:r>
            <w:r w:rsidR="003B50ED" w:rsidRPr="00F16251">
              <w:rPr>
                <w:rFonts w:eastAsia="Calibri" w:cstheme="minorHAnsi"/>
              </w:rPr>
              <w:t xml:space="preserve"> </w:t>
            </w:r>
            <w:r w:rsidRPr="00F16251">
              <w:rPr>
                <w:rFonts w:eastAsia="Calibri" w:cstheme="minorHAnsi"/>
              </w:rPr>
              <w:t>przełożonego,</w:t>
            </w:r>
            <w:r w:rsidR="003B50ED" w:rsidRPr="00F16251">
              <w:rPr>
                <w:rFonts w:eastAsia="Calibri" w:cstheme="minorHAnsi"/>
              </w:rPr>
              <w:t xml:space="preserve"> </w:t>
            </w:r>
            <w:r w:rsidRPr="00F16251">
              <w:rPr>
                <w:rFonts w:eastAsia="Calibri" w:cstheme="minorHAnsi"/>
              </w:rPr>
              <w:t>wywiady</w:t>
            </w:r>
            <w:r w:rsidR="003B50ED" w:rsidRPr="00F16251">
              <w:rPr>
                <w:rFonts w:eastAsia="Calibri" w:cstheme="minorHAnsi"/>
              </w:rPr>
              <w:t xml:space="preserve"> </w:t>
            </w:r>
            <w:r w:rsidRPr="00F16251">
              <w:rPr>
                <w:rFonts w:eastAsia="Calibri" w:cstheme="minorHAnsi"/>
              </w:rPr>
              <w:t>z</w:t>
            </w:r>
            <w:r w:rsidR="003B50ED" w:rsidRPr="00F16251">
              <w:rPr>
                <w:rFonts w:eastAsia="Calibri" w:cstheme="minorHAnsi"/>
              </w:rPr>
              <w:t xml:space="preserve"> </w:t>
            </w:r>
            <w:r w:rsidRPr="00F16251">
              <w:rPr>
                <w:rFonts w:eastAsia="Calibri" w:cstheme="minorHAnsi"/>
              </w:rPr>
              <w:t>beneficjentami</w:t>
            </w:r>
            <w:r w:rsidR="003B50ED" w:rsidRPr="00F16251">
              <w:rPr>
                <w:rFonts w:eastAsia="Calibri" w:cstheme="minorHAnsi"/>
              </w:rPr>
              <w:t xml:space="preserve"> </w:t>
            </w:r>
            <w:r w:rsidRPr="00F16251">
              <w:rPr>
                <w:rFonts w:eastAsia="Calibri" w:cstheme="minorHAnsi"/>
              </w:rPr>
              <w:t>i</w:t>
            </w:r>
            <w:r w:rsidR="003B50ED" w:rsidRPr="00F16251">
              <w:rPr>
                <w:rFonts w:eastAsia="Calibri" w:cstheme="minorHAnsi"/>
              </w:rPr>
              <w:t xml:space="preserve"> </w:t>
            </w:r>
            <w:r w:rsidRPr="00F16251">
              <w:rPr>
                <w:rFonts w:eastAsia="Calibri" w:cstheme="minorHAnsi"/>
              </w:rPr>
              <w:t>członkami</w:t>
            </w:r>
            <w:r w:rsidR="003B50ED" w:rsidRPr="00F16251">
              <w:rPr>
                <w:rFonts w:eastAsia="Calibri" w:cstheme="minorHAnsi"/>
              </w:rPr>
              <w:t xml:space="preserve"> </w:t>
            </w:r>
            <w:r w:rsidRPr="00F16251">
              <w:rPr>
                <w:rFonts w:eastAsia="Calibri" w:cstheme="minorHAnsi"/>
              </w:rPr>
              <w:t>LGD,</w:t>
            </w:r>
            <w:r w:rsidR="003B50ED" w:rsidRPr="00F16251">
              <w:rPr>
                <w:rFonts w:eastAsia="Calibri" w:cstheme="minorHAnsi"/>
              </w:rPr>
              <w:t xml:space="preserve"> </w:t>
            </w:r>
            <w:r w:rsidRPr="00F16251">
              <w:rPr>
                <w:rFonts w:eastAsia="Calibri" w:cstheme="minorHAnsi"/>
              </w:rPr>
              <w:t>badania</w:t>
            </w:r>
            <w:r w:rsidR="003B50ED" w:rsidRPr="00F16251">
              <w:rPr>
                <w:rFonts w:eastAsia="Calibri" w:cstheme="minorHAnsi"/>
              </w:rPr>
              <w:t xml:space="preserve"> </w:t>
            </w:r>
            <w:r w:rsidRPr="00F16251">
              <w:rPr>
                <w:rFonts w:eastAsia="Calibri" w:cstheme="minorHAnsi"/>
              </w:rPr>
              <w:t>ankietowe,</w:t>
            </w:r>
            <w:r w:rsidR="003B50ED" w:rsidRPr="00F16251">
              <w:rPr>
                <w:rFonts w:eastAsia="Calibri" w:cstheme="minorHAnsi"/>
              </w:rPr>
              <w:t xml:space="preserve"> </w:t>
            </w:r>
            <w:r w:rsidRPr="00F16251">
              <w:rPr>
                <w:rFonts w:eastAsia="Calibri" w:cstheme="minorHAnsi"/>
              </w:rPr>
              <w:t>wyniki</w:t>
            </w:r>
            <w:r w:rsidR="003B50ED" w:rsidRPr="00F16251">
              <w:rPr>
                <w:rFonts w:eastAsia="Calibri" w:cstheme="minorHAnsi"/>
              </w:rPr>
              <w:t xml:space="preserve"> </w:t>
            </w:r>
            <w:r w:rsidRPr="00F16251">
              <w:rPr>
                <w:rFonts w:eastAsia="Calibri" w:cstheme="minorHAnsi"/>
              </w:rPr>
              <w:t>kontroli,</w:t>
            </w:r>
            <w:r w:rsidR="003B50ED" w:rsidRPr="00F16251">
              <w:rPr>
                <w:rFonts w:eastAsia="Calibri" w:cstheme="minorHAnsi"/>
              </w:rPr>
              <w:t xml:space="preserve"> </w:t>
            </w:r>
            <w:r w:rsidRPr="00F16251">
              <w:rPr>
                <w:rFonts w:eastAsia="Calibri" w:cstheme="minorHAnsi"/>
              </w:rPr>
              <w:t>anonimowe</w:t>
            </w:r>
            <w:r w:rsidR="003B50ED" w:rsidRPr="00F16251">
              <w:rPr>
                <w:rFonts w:eastAsia="Calibri" w:cstheme="minorHAnsi"/>
              </w:rPr>
              <w:t xml:space="preserve"> </w:t>
            </w:r>
            <w:r w:rsidRPr="00F16251">
              <w:rPr>
                <w:rFonts w:eastAsia="Calibri" w:cstheme="minorHAnsi"/>
              </w:rPr>
              <w:t>ankiety,</w:t>
            </w:r>
            <w:r w:rsidR="003B50ED" w:rsidRPr="00F16251">
              <w:rPr>
                <w:rFonts w:eastAsia="Calibri" w:cstheme="minorHAnsi"/>
              </w:rPr>
              <w:t xml:space="preserve"> </w:t>
            </w:r>
            <w:r w:rsidRPr="00F16251">
              <w:rPr>
                <w:rFonts w:eastAsia="Calibri" w:cstheme="minorHAnsi"/>
              </w:rPr>
              <w:t>wywiady,</w:t>
            </w:r>
            <w:r w:rsidR="003B50ED" w:rsidRPr="00F16251">
              <w:rPr>
                <w:rFonts w:eastAsia="Calibri" w:cstheme="minorHAnsi"/>
              </w:rPr>
              <w:t xml:space="preserve"> </w:t>
            </w:r>
            <w:r w:rsidRPr="00F16251">
              <w:rPr>
                <w:rFonts w:eastAsia="Calibri" w:cstheme="minorHAnsi"/>
              </w:rPr>
              <w:t>dokumentacja</w:t>
            </w:r>
            <w:r w:rsidR="003B50ED" w:rsidRPr="00F16251">
              <w:rPr>
                <w:rFonts w:eastAsia="Calibri" w:cstheme="minorHAnsi"/>
              </w:rPr>
              <w:t xml:space="preserve"> </w:t>
            </w:r>
            <w:r w:rsidRPr="00F16251">
              <w:rPr>
                <w:rFonts w:eastAsia="Calibri" w:cstheme="minorHAnsi"/>
              </w:rPr>
              <w:t>własna</w:t>
            </w:r>
            <w:r w:rsidR="003B50ED" w:rsidRPr="00F16251">
              <w:rPr>
                <w:rFonts w:eastAsia="Calibri" w:cstheme="minorHAnsi"/>
              </w:rPr>
              <w:t xml:space="preserve"> </w:t>
            </w:r>
            <w:r w:rsidRPr="00F16251">
              <w:rPr>
                <w:rFonts w:eastAsia="Calibri" w:cstheme="minorHAnsi"/>
              </w:rPr>
              <w:t>LGD</w:t>
            </w:r>
          </w:p>
          <w:p w14:paraId="7E87F93A" w14:textId="6633373E" w:rsidR="00611E7C" w:rsidRPr="00F16251" w:rsidRDefault="00611E7C" w:rsidP="00611E7C">
            <w:pPr>
              <w:spacing w:line="276" w:lineRule="auto"/>
              <w:ind w:right="6"/>
              <w:cnfStyle w:val="000000100000" w:firstRow="0" w:lastRow="0" w:firstColumn="0" w:lastColumn="0" w:oddVBand="0" w:evenVBand="0" w:oddHBand="1" w:evenHBand="0" w:firstRowFirstColumn="0" w:firstRowLastColumn="0" w:lastRowFirstColumn="0" w:lastRowLastColumn="0"/>
              <w:rPr>
                <w:rFonts w:eastAsia="Calibri" w:cstheme="minorHAnsi"/>
              </w:rPr>
            </w:pPr>
            <w:r w:rsidRPr="00F16251">
              <w:rPr>
                <w:rFonts w:eastAsia="Calibri" w:cstheme="minorHAnsi"/>
              </w:rPr>
              <w:t>M6 – monitoring półroczny (do wybranych elementów)</w:t>
            </w:r>
          </w:p>
          <w:p w14:paraId="4171302A" w14:textId="30FD2474" w:rsidR="00611E7C" w:rsidRPr="00F16251" w:rsidRDefault="00611E7C" w:rsidP="00611E7C">
            <w:pPr>
              <w:spacing w:line="276" w:lineRule="auto"/>
              <w:ind w:right="6"/>
              <w:cnfStyle w:val="000000100000" w:firstRow="0" w:lastRow="0" w:firstColumn="0" w:lastColumn="0" w:oddVBand="0" w:evenVBand="0" w:oddHBand="1" w:evenHBand="0" w:firstRowFirstColumn="0" w:firstRowLastColumn="0" w:lastRowFirstColumn="0" w:lastRowLastColumn="0"/>
              <w:rPr>
                <w:rFonts w:eastAsia="Calibri" w:cstheme="minorHAnsi"/>
              </w:rPr>
            </w:pPr>
            <w:r w:rsidRPr="00F16251">
              <w:rPr>
                <w:rFonts w:eastAsia="Calibri" w:cstheme="minorHAnsi"/>
              </w:rPr>
              <w:t>E1 – roczna ewaluacja on-</w:t>
            </w:r>
            <w:proofErr w:type="spellStart"/>
            <w:r w:rsidRPr="00F16251">
              <w:rPr>
                <w:rFonts w:eastAsia="Calibri" w:cstheme="minorHAnsi"/>
              </w:rPr>
              <w:t>going</w:t>
            </w:r>
            <w:proofErr w:type="spellEnd"/>
          </w:p>
          <w:p w14:paraId="782C1E84" w14:textId="74B9E80E" w:rsidR="002C63F4" w:rsidRPr="00F16251" w:rsidRDefault="00611E7C" w:rsidP="00611E7C">
            <w:pPr>
              <w:spacing w:line="276" w:lineRule="auto"/>
              <w:ind w:right="6"/>
              <w:cnfStyle w:val="000000100000" w:firstRow="0" w:lastRow="0" w:firstColumn="0" w:lastColumn="0" w:oddVBand="0" w:evenVBand="0" w:oddHBand="1" w:evenHBand="0" w:firstRowFirstColumn="0" w:firstRowLastColumn="0" w:lastRowFirstColumn="0" w:lastRowLastColumn="0"/>
              <w:rPr>
                <w:rFonts w:eastAsia="Calibri" w:cstheme="minorHAnsi"/>
              </w:rPr>
            </w:pPr>
            <w:r w:rsidRPr="00F16251">
              <w:rPr>
                <w:rFonts w:eastAsia="Calibri" w:cstheme="minorHAnsi"/>
              </w:rPr>
              <w:lastRenderedPageBreak/>
              <w:t>EX – ewaluacja ex-post</w:t>
            </w:r>
          </w:p>
        </w:tc>
        <w:tc>
          <w:tcPr>
            <w:tcW w:w="3969" w:type="dxa"/>
          </w:tcPr>
          <w:p w14:paraId="4F9B986D" w14:textId="2E5E50C0" w:rsidR="002C63F4" w:rsidRPr="00F16251" w:rsidRDefault="002C63F4" w:rsidP="00611E7C">
            <w:pPr>
              <w:spacing w:line="276" w:lineRule="auto"/>
              <w:ind w:right="6"/>
              <w:cnfStyle w:val="000000100000" w:firstRow="0" w:lastRow="0" w:firstColumn="0" w:lastColumn="0" w:oddVBand="0" w:evenVBand="0" w:oddHBand="1" w:evenHBand="0" w:firstRowFirstColumn="0" w:firstRowLastColumn="0" w:lastRowFirstColumn="0" w:lastRowLastColumn="0"/>
              <w:rPr>
                <w:rFonts w:eastAsia="Calibri" w:cstheme="minorHAnsi"/>
              </w:rPr>
            </w:pPr>
            <w:r w:rsidRPr="00F16251">
              <w:rPr>
                <w:rFonts w:eastAsia="Calibri" w:cstheme="minorHAnsi"/>
              </w:rPr>
              <w:lastRenderedPageBreak/>
              <w:t>Rzetelne</w:t>
            </w:r>
            <w:r w:rsidR="003B50ED" w:rsidRPr="00F16251">
              <w:rPr>
                <w:rFonts w:eastAsia="Calibri" w:cstheme="minorHAnsi"/>
              </w:rPr>
              <w:t xml:space="preserve"> </w:t>
            </w:r>
            <w:r w:rsidRPr="00F16251">
              <w:rPr>
                <w:rFonts w:eastAsia="Calibri" w:cstheme="minorHAnsi"/>
              </w:rPr>
              <w:t>i</w:t>
            </w:r>
            <w:r w:rsidR="003B50ED" w:rsidRPr="00F16251">
              <w:rPr>
                <w:rFonts w:eastAsia="Calibri" w:cstheme="minorHAnsi"/>
              </w:rPr>
              <w:t xml:space="preserve"> </w:t>
            </w:r>
            <w:r w:rsidRPr="00F16251">
              <w:rPr>
                <w:rFonts w:eastAsia="Calibri" w:cstheme="minorHAnsi"/>
              </w:rPr>
              <w:t>terminowe</w:t>
            </w:r>
            <w:r w:rsidR="003B50ED" w:rsidRPr="00F16251">
              <w:rPr>
                <w:rFonts w:eastAsia="Calibri" w:cstheme="minorHAnsi"/>
              </w:rPr>
              <w:t xml:space="preserve"> </w:t>
            </w:r>
            <w:r w:rsidRPr="00F16251">
              <w:rPr>
                <w:rFonts w:eastAsia="Calibri" w:cstheme="minorHAnsi"/>
              </w:rPr>
              <w:t>wypełnianie</w:t>
            </w:r>
            <w:r w:rsidR="003B50ED" w:rsidRPr="00F16251">
              <w:rPr>
                <w:rFonts w:eastAsia="Calibri" w:cstheme="minorHAnsi"/>
              </w:rPr>
              <w:t xml:space="preserve"> </w:t>
            </w:r>
            <w:r w:rsidRPr="00F16251">
              <w:rPr>
                <w:rFonts w:eastAsia="Calibri" w:cstheme="minorHAnsi"/>
              </w:rPr>
              <w:t>obowiązków,</w:t>
            </w:r>
            <w:r w:rsidR="003B50ED" w:rsidRPr="00F16251">
              <w:rPr>
                <w:rFonts w:eastAsia="Calibri" w:cstheme="minorHAnsi"/>
              </w:rPr>
              <w:t xml:space="preserve"> </w:t>
            </w:r>
            <w:r w:rsidRPr="00F16251">
              <w:rPr>
                <w:rFonts w:eastAsia="Calibri" w:cstheme="minorHAnsi"/>
              </w:rPr>
              <w:t>ocena</w:t>
            </w:r>
            <w:r w:rsidR="003B50ED" w:rsidRPr="00F16251">
              <w:rPr>
                <w:rFonts w:eastAsia="Calibri" w:cstheme="minorHAnsi"/>
              </w:rPr>
              <w:t xml:space="preserve"> </w:t>
            </w:r>
            <w:r w:rsidRPr="00F16251">
              <w:rPr>
                <w:rFonts w:eastAsia="Calibri" w:cstheme="minorHAnsi"/>
              </w:rPr>
              <w:t>jakości</w:t>
            </w:r>
            <w:r w:rsidR="003B50ED" w:rsidRPr="00F16251">
              <w:rPr>
                <w:rFonts w:eastAsia="Calibri" w:cstheme="minorHAnsi"/>
              </w:rPr>
              <w:t xml:space="preserve"> </w:t>
            </w:r>
            <w:r w:rsidRPr="00F16251">
              <w:rPr>
                <w:rFonts w:eastAsia="Calibri" w:cstheme="minorHAnsi"/>
              </w:rPr>
              <w:t>prowadzonych</w:t>
            </w:r>
            <w:r w:rsidR="003B50ED" w:rsidRPr="00F16251">
              <w:rPr>
                <w:rFonts w:eastAsia="Calibri" w:cstheme="minorHAnsi"/>
              </w:rPr>
              <w:t xml:space="preserve"> </w:t>
            </w:r>
            <w:r w:rsidRPr="00F16251">
              <w:rPr>
                <w:rFonts w:eastAsia="Calibri" w:cstheme="minorHAnsi"/>
              </w:rPr>
              <w:t>działań</w:t>
            </w:r>
            <w:r w:rsidR="003B50ED" w:rsidRPr="00F16251">
              <w:rPr>
                <w:rFonts w:eastAsia="Calibri" w:cstheme="minorHAnsi"/>
              </w:rPr>
              <w:t xml:space="preserve"> </w:t>
            </w:r>
            <w:r w:rsidRPr="00F16251">
              <w:rPr>
                <w:rFonts w:eastAsia="Calibri" w:cstheme="minorHAnsi"/>
              </w:rPr>
              <w:t>i</w:t>
            </w:r>
            <w:r w:rsidR="003B50ED" w:rsidRPr="00F16251">
              <w:rPr>
                <w:rFonts w:eastAsia="Calibri" w:cstheme="minorHAnsi"/>
              </w:rPr>
              <w:t xml:space="preserve"> </w:t>
            </w:r>
            <w:r w:rsidRPr="00F16251">
              <w:rPr>
                <w:rFonts w:eastAsia="Calibri" w:cstheme="minorHAnsi"/>
              </w:rPr>
              <w:t>ich</w:t>
            </w:r>
            <w:r w:rsidR="003B50ED" w:rsidRPr="00F16251">
              <w:rPr>
                <w:rFonts w:eastAsia="Calibri" w:cstheme="minorHAnsi"/>
              </w:rPr>
              <w:t xml:space="preserve"> </w:t>
            </w:r>
            <w:r w:rsidRPr="00F16251">
              <w:rPr>
                <w:rFonts w:eastAsia="Calibri" w:cstheme="minorHAnsi"/>
              </w:rPr>
              <w:t>skuteczności</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odniesieniu</w:t>
            </w:r>
            <w:r w:rsidR="003B50ED" w:rsidRPr="00F16251">
              <w:rPr>
                <w:rFonts w:eastAsia="Calibri" w:cstheme="minorHAnsi"/>
              </w:rPr>
              <w:t xml:space="preserve"> </w:t>
            </w:r>
            <w:r w:rsidRPr="00F16251">
              <w:rPr>
                <w:rFonts w:eastAsia="Calibri" w:cstheme="minorHAnsi"/>
              </w:rPr>
              <w:t>do</w:t>
            </w:r>
            <w:r w:rsidR="003B50ED" w:rsidRPr="00F16251">
              <w:rPr>
                <w:rFonts w:eastAsia="Calibri" w:cstheme="minorHAnsi"/>
              </w:rPr>
              <w:t xml:space="preserve"> </w:t>
            </w:r>
            <w:r w:rsidRPr="00F16251">
              <w:rPr>
                <w:rFonts w:eastAsia="Calibri" w:cstheme="minorHAnsi"/>
              </w:rPr>
              <w:t>założeń</w:t>
            </w:r>
            <w:r w:rsidR="003B50ED" w:rsidRPr="00F16251">
              <w:rPr>
                <w:rFonts w:eastAsia="Calibri" w:cstheme="minorHAnsi"/>
              </w:rPr>
              <w:t xml:space="preserve"> </w:t>
            </w:r>
            <w:r w:rsidRPr="00F16251">
              <w:rPr>
                <w:rFonts w:eastAsia="Calibri" w:cstheme="minorHAnsi"/>
              </w:rPr>
              <w:t>LSR,</w:t>
            </w:r>
            <w:r w:rsidR="003B50ED" w:rsidRPr="00F16251">
              <w:rPr>
                <w:rFonts w:eastAsia="Calibri" w:cstheme="minorHAnsi"/>
              </w:rPr>
              <w:t xml:space="preserve"> </w:t>
            </w:r>
            <w:r w:rsidRPr="00F16251">
              <w:rPr>
                <w:rFonts w:eastAsia="Calibri" w:cstheme="minorHAnsi"/>
              </w:rPr>
              <w:t>jakość</w:t>
            </w:r>
            <w:r w:rsidR="003B50ED" w:rsidRPr="00F16251">
              <w:rPr>
                <w:rFonts w:eastAsia="Calibri" w:cstheme="minorHAnsi"/>
              </w:rPr>
              <w:t xml:space="preserve"> </w:t>
            </w:r>
            <w:r w:rsidRPr="00F16251">
              <w:rPr>
                <w:rFonts w:eastAsia="Calibri" w:cstheme="minorHAnsi"/>
              </w:rPr>
              <w:t>doradztwa,</w:t>
            </w:r>
            <w:r w:rsidR="003B50ED" w:rsidRPr="00F16251">
              <w:rPr>
                <w:rFonts w:eastAsia="Calibri" w:cstheme="minorHAnsi"/>
              </w:rPr>
              <w:t xml:space="preserve"> </w:t>
            </w:r>
            <w:r w:rsidRPr="00F16251">
              <w:rPr>
                <w:rFonts w:eastAsia="Calibri" w:cstheme="minorHAnsi"/>
              </w:rPr>
              <w:t>adekwatność</w:t>
            </w:r>
            <w:r w:rsidR="003B50ED" w:rsidRPr="00F16251">
              <w:rPr>
                <w:rFonts w:eastAsia="Calibri" w:cstheme="minorHAnsi"/>
              </w:rPr>
              <w:t xml:space="preserve"> </w:t>
            </w:r>
            <w:r w:rsidRPr="00F16251">
              <w:rPr>
                <w:rFonts w:eastAsia="Calibri" w:cstheme="minorHAnsi"/>
              </w:rPr>
              <w:t>działań</w:t>
            </w:r>
            <w:r w:rsidR="003B50ED" w:rsidRPr="00F16251">
              <w:rPr>
                <w:rFonts w:eastAsia="Calibri" w:cstheme="minorHAnsi"/>
              </w:rPr>
              <w:t xml:space="preserve"> </w:t>
            </w:r>
            <w:r w:rsidRPr="00F16251">
              <w:rPr>
                <w:rFonts w:eastAsia="Calibri" w:cstheme="minorHAnsi"/>
              </w:rPr>
              <w:t>komunikacyjnych</w:t>
            </w:r>
            <w:r w:rsidR="003B50ED" w:rsidRPr="00F16251">
              <w:rPr>
                <w:rFonts w:eastAsia="Calibri" w:cstheme="minorHAnsi"/>
              </w:rPr>
              <w:t xml:space="preserve"> </w:t>
            </w:r>
            <w:r w:rsidRPr="00F16251">
              <w:rPr>
                <w:rFonts w:eastAsia="Calibri" w:cstheme="minorHAnsi"/>
              </w:rPr>
              <w:t>i</w:t>
            </w:r>
            <w:r w:rsidR="003B50ED" w:rsidRPr="00F16251">
              <w:rPr>
                <w:rFonts w:eastAsia="Calibri" w:cstheme="minorHAnsi"/>
              </w:rPr>
              <w:t xml:space="preserve"> </w:t>
            </w:r>
            <w:r w:rsidRPr="00F16251">
              <w:rPr>
                <w:rFonts w:eastAsia="Calibri" w:cstheme="minorHAnsi"/>
              </w:rPr>
              <w:t>szkoleniowych,</w:t>
            </w:r>
            <w:r w:rsidR="003B50ED" w:rsidRPr="00F16251">
              <w:rPr>
                <w:rFonts w:eastAsia="Calibri" w:cstheme="minorHAnsi"/>
              </w:rPr>
              <w:t xml:space="preserve"> </w:t>
            </w:r>
            <w:r w:rsidRPr="00F16251">
              <w:rPr>
                <w:rFonts w:eastAsia="Calibri" w:cstheme="minorHAnsi"/>
              </w:rPr>
              <w:t>zaangażowanie</w:t>
            </w:r>
            <w:r w:rsidR="003B50ED" w:rsidRPr="00F16251">
              <w:rPr>
                <w:rFonts w:eastAsia="Calibri" w:cstheme="minorHAnsi"/>
              </w:rPr>
              <w:t xml:space="preserve"> </w:t>
            </w:r>
            <w:r w:rsidRPr="00F16251">
              <w:rPr>
                <w:rFonts w:eastAsia="Calibri" w:cstheme="minorHAnsi"/>
              </w:rPr>
              <w:t>i</w:t>
            </w:r>
            <w:r w:rsidR="003B50ED" w:rsidRPr="00F16251">
              <w:rPr>
                <w:rFonts w:eastAsia="Calibri" w:cstheme="minorHAnsi"/>
              </w:rPr>
              <w:t xml:space="preserve"> </w:t>
            </w:r>
            <w:r w:rsidRPr="00F16251">
              <w:rPr>
                <w:rFonts w:eastAsia="Calibri" w:cstheme="minorHAnsi"/>
              </w:rPr>
              <w:t>chęć</w:t>
            </w:r>
            <w:r w:rsidR="003B50ED" w:rsidRPr="00F16251">
              <w:rPr>
                <w:rFonts w:eastAsia="Calibri" w:cstheme="minorHAnsi"/>
              </w:rPr>
              <w:t xml:space="preserve"> </w:t>
            </w:r>
            <w:r w:rsidRPr="00F16251">
              <w:rPr>
                <w:rFonts w:eastAsia="Calibri" w:cstheme="minorHAnsi"/>
              </w:rPr>
              <w:t>rozwiazywania</w:t>
            </w:r>
            <w:r w:rsidR="003B50ED" w:rsidRPr="00F16251">
              <w:rPr>
                <w:rFonts w:eastAsia="Calibri" w:cstheme="minorHAnsi"/>
              </w:rPr>
              <w:t xml:space="preserve"> </w:t>
            </w:r>
            <w:r w:rsidRPr="00F16251">
              <w:rPr>
                <w:rFonts w:eastAsia="Calibri" w:cstheme="minorHAnsi"/>
              </w:rPr>
              <w:t>problemów.</w:t>
            </w:r>
          </w:p>
          <w:p w14:paraId="1F336BC9" w14:textId="5E161B41" w:rsidR="002C63F4" w:rsidRPr="00F16251" w:rsidRDefault="002C63F4" w:rsidP="00611E7C">
            <w:pPr>
              <w:spacing w:line="276" w:lineRule="auto"/>
              <w:ind w:right="6"/>
              <w:cnfStyle w:val="000000100000" w:firstRow="0" w:lastRow="0" w:firstColumn="0" w:lastColumn="0" w:oddVBand="0" w:evenVBand="0" w:oddHBand="1" w:evenHBand="0" w:firstRowFirstColumn="0" w:firstRowLastColumn="0" w:lastRowFirstColumn="0" w:lastRowLastColumn="0"/>
              <w:rPr>
                <w:rFonts w:eastAsia="Calibri" w:cstheme="minorHAnsi"/>
              </w:rPr>
            </w:pPr>
            <w:r w:rsidRPr="00F16251">
              <w:rPr>
                <w:rFonts w:eastAsia="Calibri" w:cstheme="minorHAnsi"/>
              </w:rPr>
              <w:t>Kryterium:</w:t>
            </w:r>
            <w:r w:rsidR="003B50ED" w:rsidRPr="00F16251">
              <w:rPr>
                <w:rFonts w:eastAsia="Calibri" w:cstheme="minorHAnsi"/>
              </w:rPr>
              <w:t xml:space="preserve"> </w:t>
            </w:r>
            <w:r w:rsidRPr="00F16251">
              <w:rPr>
                <w:rFonts w:eastAsia="Calibri" w:cstheme="minorHAnsi"/>
              </w:rPr>
              <w:t>Efektywność</w:t>
            </w:r>
          </w:p>
        </w:tc>
      </w:tr>
      <w:tr w:rsidR="00F16251" w:rsidRPr="00F16251" w14:paraId="6FA06721" w14:textId="77777777" w:rsidTr="00BC3DF7">
        <w:tc>
          <w:tcPr>
            <w:cnfStyle w:val="001000000000" w:firstRow="0" w:lastRow="0" w:firstColumn="1" w:lastColumn="0" w:oddVBand="0" w:evenVBand="0" w:oddHBand="0" w:evenHBand="0" w:firstRowFirstColumn="0" w:firstRowLastColumn="0" w:lastRowFirstColumn="0" w:lastRowLastColumn="0"/>
            <w:tcW w:w="3256" w:type="dxa"/>
          </w:tcPr>
          <w:p w14:paraId="21127179" w14:textId="42F74E94" w:rsidR="002C63F4" w:rsidRPr="00F16251" w:rsidRDefault="002C63F4" w:rsidP="00611E7C">
            <w:pPr>
              <w:spacing w:line="276" w:lineRule="auto"/>
              <w:ind w:right="6"/>
              <w:rPr>
                <w:rFonts w:eastAsia="Calibri" w:cstheme="minorHAnsi"/>
                <w:b w:val="0"/>
                <w:bCs w:val="0"/>
              </w:rPr>
            </w:pPr>
            <w:r w:rsidRPr="00F16251">
              <w:rPr>
                <w:rFonts w:eastAsia="Calibri" w:cstheme="minorHAnsi"/>
                <w:b w:val="0"/>
                <w:bCs w:val="0"/>
              </w:rPr>
              <w:lastRenderedPageBreak/>
              <w:t>Postęp</w:t>
            </w:r>
            <w:r w:rsidR="003B50ED" w:rsidRPr="00F16251">
              <w:rPr>
                <w:rFonts w:eastAsia="Calibri" w:cstheme="minorHAnsi"/>
                <w:b w:val="0"/>
                <w:bCs w:val="0"/>
              </w:rPr>
              <w:t xml:space="preserve"> </w:t>
            </w:r>
            <w:r w:rsidRPr="00F16251">
              <w:rPr>
                <w:rFonts w:eastAsia="Calibri" w:cstheme="minorHAnsi"/>
                <w:b w:val="0"/>
                <w:bCs w:val="0"/>
              </w:rPr>
              <w:t>rzeczowy</w:t>
            </w:r>
            <w:r w:rsidR="003B50ED" w:rsidRPr="00F16251">
              <w:rPr>
                <w:rFonts w:eastAsia="Calibri" w:cstheme="minorHAnsi"/>
                <w:b w:val="0"/>
                <w:bCs w:val="0"/>
              </w:rPr>
              <w:t xml:space="preserve"> </w:t>
            </w:r>
            <w:r w:rsidRPr="00F16251">
              <w:rPr>
                <w:rFonts w:eastAsia="Calibri" w:cstheme="minorHAnsi"/>
                <w:b w:val="0"/>
                <w:bCs w:val="0"/>
              </w:rPr>
              <w:t>LSR</w:t>
            </w:r>
            <w:r w:rsidR="003B50ED" w:rsidRPr="00F16251">
              <w:rPr>
                <w:rFonts w:eastAsia="Calibri" w:cstheme="minorHAnsi"/>
                <w:b w:val="0"/>
                <w:bCs w:val="0"/>
              </w:rPr>
              <w:t xml:space="preserve"> </w:t>
            </w:r>
            <w:r w:rsidRPr="00F16251">
              <w:rPr>
                <w:rFonts w:eastAsia="Calibri" w:cstheme="minorHAnsi"/>
                <w:b w:val="0"/>
                <w:bCs w:val="0"/>
              </w:rPr>
              <w:t>w</w:t>
            </w:r>
            <w:r w:rsidR="003B50ED" w:rsidRPr="00F16251">
              <w:rPr>
                <w:rFonts w:eastAsia="Calibri" w:cstheme="minorHAnsi"/>
                <w:b w:val="0"/>
                <w:bCs w:val="0"/>
              </w:rPr>
              <w:t xml:space="preserve"> </w:t>
            </w:r>
            <w:r w:rsidRPr="00F16251">
              <w:rPr>
                <w:rFonts w:eastAsia="Calibri" w:cstheme="minorHAnsi"/>
                <w:b w:val="0"/>
                <w:bCs w:val="0"/>
              </w:rPr>
              <w:t>zakresie</w:t>
            </w:r>
            <w:r w:rsidR="003B50ED" w:rsidRPr="00F16251">
              <w:rPr>
                <w:rFonts w:eastAsia="Calibri" w:cstheme="minorHAnsi"/>
                <w:b w:val="0"/>
                <w:bCs w:val="0"/>
              </w:rPr>
              <w:t xml:space="preserve"> </w:t>
            </w:r>
            <w:r w:rsidRPr="00F16251">
              <w:rPr>
                <w:rFonts w:eastAsia="Calibri" w:cstheme="minorHAnsi"/>
                <w:b w:val="0"/>
                <w:bCs w:val="0"/>
              </w:rPr>
              <w:t>stopnia</w:t>
            </w:r>
            <w:r w:rsidR="003B50ED" w:rsidRPr="00F16251">
              <w:rPr>
                <w:rFonts w:eastAsia="Calibri" w:cstheme="minorHAnsi"/>
                <w:b w:val="0"/>
                <w:bCs w:val="0"/>
              </w:rPr>
              <w:t xml:space="preserve"> </w:t>
            </w:r>
            <w:r w:rsidRPr="00F16251">
              <w:rPr>
                <w:rFonts w:eastAsia="Calibri" w:cstheme="minorHAnsi"/>
                <w:b w:val="0"/>
                <w:bCs w:val="0"/>
              </w:rPr>
              <w:t>osiągnięcia</w:t>
            </w:r>
            <w:r w:rsidR="003B50ED" w:rsidRPr="00F16251">
              <w:rPr>
                <w:rFonts w:eastAsia="Calibri" w:cstheme="minorHAnsi"/>
                <w:b w:val="0"/>
                <w:bCs w:val="0"/>
              </w:rPr>
              <w:t xml:space="preserve"> </w:t>
            </w:r>
            <w:r w:rsidRPr="00F16251">
              <w:rPr>
                <w:rFonts w:eastAsia="Calibri" w:cstheme="minorHAnsi"/>
                <w:b w:val="0"/>
                <w:bCs w:val="0"/>
              </w:rPr>
              <w:t>mierzalnych</w:t>
            </w:r>
            <w:r w:rsidR="003B50ED" w:rsidRPr="00F16251">
              <w:rPr>
                <w:rFonts w:eastAsia="Calibri" w:cstheme="minorHAnsi"/>
                <w:b w:val="0"/>
                <w:bCs w:val="0"/>
              </w:rPr>
              <w:t xml:space="preserve"> </w:t>
            </w:r>
            <w:r w:rsidRPr="00F16251">
              <w:rPr>
                <w:rFonts w:eastAsia="Calibri" w:cstheme="minorHAnsi"/>
                <w:b w:val="0"/>
                <w:bCs w:val="0"/>
              </w:rPr>
              <w:t>wskaźników</w:t>
            </w:r>
            <w:r w:rsidR="003B50ED" w:rsidRPr="00F16251">
              <w:rPr>
                <w:rFonts w:eastAsia="Calibri" w:cstheme="minorHAnsi"/>
                <w:b w:val="0"/>
                <w:bCs w:val="0"/>
              </w:rPr>
              <w:t xml:space="preserve"> </w:t>
            </w:r>
            <w:r w:rsidRPr="00F16251">
              <w:rPr>
                <w:rFonts w:eastAsia="Calibri" w:cstheme="minorHAnsi"/>
                <w:b w:val="0"/>
                <w:bCs w:val="0"/>
              </w:rPr>
              <w:t>wykonalności</w:t>
            </w:r>
            <w:r w:rsidR="003B50ED" w:rsidRPr="00F16251">
              <w:rPr>
                <w:rFonts w:eastAsia="Calibri" w:cstheme="minorHAnsi"/>
                <w:b w:val="0"/>
                <w:bCs w:val="0"/>
              </w:rPr>
              <w:t xml:space="preserve"> </w:t>
            </w:r>
            <w:r w:rsidRPr="00F16251">
              <w:rPr>
                <w:rFonts w:eastAsia="Calibri" w:cstheme="minorHAnsi"/>
                <w:b w:val="0"/>
                <w:bCs w:val="0"/>
              </w:rPr>
              <w:t>celów</w:t>
            </w:r>
            <w:r w:rsidR="003B50ED" w:rsidRPr="00F16251">
              <w:rPr>
                <w:rFonts w:eastAsia="Calibri" w:cstheme="minorHAnsi"/>
                <w:b w:val="0"/>
                <w:bCs w:val="0"/>
              </w:rPr>
              <w:t xml:space="preserve"> </w:t>
            </w:r>
            <w:r w:rsidRPr="00F16251">
              <w:rPr>
                <w:rFonts w:eastAsia="Calibri" w:cstheme="minorHAnsi"/>
                <w:b w:val="0"/>
                <w:bCs w:val="0"/>
              </w:rPr>
              <w:t>–</w:t>
            </w:r>
            <w:r w:rsidR="003B50ED" w:rsidRPr="00F16251">
              <w:rPr>
                <w:rFonts w:eastAsia="Calibri" w:cstheme="minorHAnsi"/>
                <w:b w:val="0"/>
                <w:bCs w:val="0"/>
              </w:rPr>
              <w:t xml:space="preserve"> </w:t>
            </w:r>
            <w:r w:rsidRPr="00F16251">
              <w:rPr>
                <w:rFonts w:eastAsia="Calibri" w:cstheme="minorHAnsi"/>
                <w:b w:val="0"/>
                <w:bCs w:val="0"/>
              </w:rPr>
              <w:t>wdrażanie</w:t>
            </w:r>
            <w:r w:rsidR="003B50ED" w:rsidRPr="00F16251">
              <w:rPr>
                <w:rFonts w:eastAsia="Calibri" w:cstheme="minorHAnsi"/>
                <w:b w:val="0"/>
                <w:bCs w:val="0"/>
              </w:rPr>
              <w:t xml:space="preserve"> </w:t>
            </w:r>
            <w:r w:rsidRPr="00F16251">
              <w:rPr>
                <w:rFonts w:eastAsia="Calibri" w:cstheme="minorHAnsi"/>
                <w:b w:val="0"/>
                <w:bCs w:val="0"/>
              </w:rPr>
              <w:t>LSR</w:t>
            </w:r>
          </w:p>
        </w:tc>
        <w:tc>
          <w:tcPr>
            <w:tcW w:w="2976" w:type="dxa"/>
          </w:tcPr>
          <w:p w14:paraId="5B97EC8C" w14:textId="0FC27C33" w:rsidR="002C63F4" w:rsidRPr="00F16251" w:rsidRDefault="002C63F4" w:rsidP="00611E7C">
            <w:pPr>
              <w:spacing w:line="276" w:lineRule="auto"/>
              <w:ind w:right="6"/>
              <w:cnfStyle w:val="000000000000" w:firstRow="0" w:lastRow="0" w:firstColumn="0" w:lastColumn="0" w:oddVBand="0" w:evenVBand="0" w:oddHBand="0" w:evenHBand="0" w:firstRowFirstColumn="0" w:firstRowLastColumn="0" w:lastRowFirstColumn="0" w:lastRowLastColumn="0"/>
              <w:rPr>
                <w:rFonts w:eastAsia="Calibri" w:cstheme="minorHAnsi"/>
              </w:rPr>
            </w:pPr>
            <w:r w:rsidRPr="00F16251">
              <w:rPr>
                <w:rFonts w:eastAsia="Calibri" w:cstheme="minorHAnsi"/>
              </w:rPr>
              <w:t>dokumentacja</w:t>
            </w:r>
            <w:r w:rsidR="003B50ED" w:rsidRPr="00F16251">
              <w:rPr>
                <w:rFonts w:eastAsia="Calibri" w:cstheme="minorHAnsi"/>
              </w:rPr>
              <w:t xml:space="preserve"> </w:t>
            </w:r>
            <w:r w:rsidRPr="00F16251">
              <w:rPr>
                <w:rFonts w:eastAsia="Calibri" w:cstheme="minorHAnsi"/>
              </w:rPr>
              <w:t>konkursowa,</w:t>
            </w:r>
            <w:r w:rsidR="003B50ED" w:rsidRPr="00F16251">
              <w:rPr>
                <w:rFonts w:eastAsia="Calibri" w:cstheme="minorHAnsi"/>
              </w:rPr>
              <w:t xml:space="preserve"> </w:t>
            </w:r>
            <w:r w:rsidRPr="00F16251">
              <w:rPr>
                <w:rFonts w:eastAsia="Calibri" w:cstheme="minorHAnsi"/>
              </w:rPr>
              <w:t>dane</w:t>
            </w:r>
            <w:r w:rsidR="003B50ED" w:rsidRPr="00F16251">
              <w:rPr>
                <w:rFonts w:eastAsia="Calibri" w:cstheme="minorHAnsi"/>
              </w:rPr>
              <w:t xml:space="preserve"> </w:t>
            </w:r>
            <w:r w:rsidRPr="00F16251">
              <w:rPr>
                <w:rFonts w:eastAsia="Calibri" w:cstheme="minorHAnsi"/>
              </w:rPr>
              <w:t>pozyskane</w:t>
            </w:r>
            <w:r w:rsidR="003B50ED" w:rsidRPr="00F16251">
              <w:rPr>
                <w:rFonts w:eastAsia="Calibri" w:cstheme="minorHAnsi"/>
              </w:rPr>
              <w:t xml:space="preserve"> </w:t>
            </w:r>
            <w:r w:rsidRPr="00F16251">
              <w:rPr>
                <w:rFonts w:eastAsia="Calibri" w:cstheme="minorHAnsi"/>
              </w:rPr>
              <w:t>z</w:t>
            </w:r>
            <w:r w:rsidR="003B50ED" w:rsidRPr="00F16251">
              <w:rPr>
                <w:rFonts w:eastAsia="Calibri" w:cstheme="minorHAnsi"/>
              </w:rPr>
              <w:t xml:space="preserve"> </w:t>
            </w:r>
            <w:r w:rsidRPr="00F16251">
              <w:rPr>
                <w:rFonts w:eastAsia="Calibri" w:cstheme="minorHAnsi"/>
              </w:rPr>
              <w:t>samorządu</w:t>
            </w:r>
            <w:r w:rsidR="003B50ED" w:rsidRPr="00F16251">
              <w:rPr>
                <w:rFonts w:eastAsia="Calibri" w:cstheme="minorHAnsi"/>
              </w:rPr>
              <w:t xml:space="preserve"> </w:t>
            </w:r>
            <w:r w:rsidRPr="00F16251">
              <w:rPr>
                <w:rFonts w:eastAsia="Calibri" w:cstheme="minorHAnsi"/>
              </w:rPr>
              <w:t>województwa,</w:t>
            </w:r>
            <w:r w:rsidR="003B50ED" w:rsidRPr="00F16251">
              <w:rPr>
                <w:rFonts w:eastAsia="Calibri" w:cstheme="minorHAnsi"/>
              </w:rPr>
              <w:t xml:space="preserve"> </w:t>
            </w:r>
            <w:r w:rsidRPr="00F16251">
              <w:rPr>
                <w:rFonts w:eastAsia="Calibri" w:cstheme="minorHAnsi"/>
              </w:rPr>
              <w:t>ankiety</w:t>
            </w:r>
            <w:r w:rsidR="003B50ED" w:rsidRPr="00F16251">
              <w:rPr>
                <w:rFonts w:eastAsia="Calibri" w:cstheme="minorHAnsi"/>
              </w:rPr>
              <w:t xml:space="preserve"> </w:t>
            </w:r>
            <w:r w:rsidRPr="00F16251">
              <w:rPr>
                <w:rFonts w:eastAsia="Calibri" w:cstheme="minorHAnsi"/>
              </w:rPr>
              <w:t>monitorujące</w:t>
            </w:r>
            <w:r w:rsidR="003B50ED" w:rsidRPr="00F16251">
              <w:rPr>
                <w:rFonts w:eastAsia="Calibri" w:cstheme="minorHAnsi"/>
              </w:rPr>
              <w:t xml:space="preserve"> </w:t>
            </w:r>
            <w:r w:rsidRPr="00F16251">
              <w:rPr>
                <w:rFonts w:eastAsia="Calibri" w:cstheme="minorHAnsi"/>
              </w:rPr>
              <w:t>/</w:t>
            </w:r>
            <w:r w:rsidR="003B50ED" w:rsidRPr="00F16251">
              <w:rPr>
                <w:rFonts w:eastAsia="Calibri" w:cstheme="minorHAnsi"/>
              </w:rPr>
              <w:t xml:space="preserve"> </w:t>
            </w:r>
            <w:r w:rsidRPr="00F16251">
              <w:rPr>
                <w:rFonts w:eastAsia="Calibri" w:cstheme="minorHAnsi"/>
              </w:rPr>
              <w:t>sprawozdania</w:t>
            </w:r>
            <w:r w:rsidR="003B50ED" w:rsidRPr="00F16251">
              <w:rPr>
                <w:rFonts w:eastAsia="Calibri" w:cstheme="minorHAnsi"/>
              </w:rPr>
              <w:t xml:space="preserve"> </w:t>
            </w:r>
            <w:r w:rsidRPr="00F16251">
              <w:rPr>
                <w:rFonts w:eastAsia="Calibri" w:cstheme="minorHAnsi"/>
              </w:rPr>
              <w:t>beneficjentów</w:t>
            </w:r>
          </w:p>
          <w:p w14:paraId="6E5A9C89" w14:textId="1B084950" w:rsidR="002C63F4" w:rsidRPr="00F16251" w:rsidRDefault="002C63F4" w:rsidP="00611E7C">
            <w:pPr>
              <w:spacing w:line="276" w:lineRule="auto"/>
              <w:ind w:right="6"/>
              <w:cnfStyle w:val="000000000000" w:firstRow="0" w:lastRow="0" w:firstColumn="0" w:lastColumn="0" w:oddVBand="0" w:evenVBand="0" w:oddHBand="0" w:evenHBand="0" w:firstRowFirstColumn="0" w:firstRowLastColumn="0" w:lastRowFirstColumn="0" w:lastRowLastColumn="0"/>
              <w:rPr>
                <w:rFonts w:eastAsia="Calibri" w:cstheme="minorHAnsi"/>
              </w:rPr>
            </w:pPr>
            <w:r w:rsidRPr="00F16251">
              <w:rPr>
                <w:rFonts w:eastAsia="Calibri" w:cstheme="minorHAnsi"/>
              </w:rPr>
              <w:t>M6,</w:t>
            </w:r>
            <w:r w:rsidR="003B50ED" w:rsidRPr="00F16251">
              <w:rPr>
                <w:rFonts w:eastAsia="Calibri" w:cstheme="minorHAnsi"/>
              </w:rPr>
              <w:t xml:space="preserve"> </w:t>
            </w:r>
            <w:r w:rsidRPr="00F16251">
              <w:rPr>
                <w:rFonts w:eastAsia="Calibri" w:cstheme="minorHAnsi"/>
              </w:rPr>
              <w:t>E1,</w:t>
            </w:r>
            <w:r w:rsidR="003B50ED" w:rsidRPr="00F16251">
              <w:rPr>
                <w:rFonts w:eastAsia="Calibri" w:cstheme="minorHAnsi"/>
              </w:rPr>
              <w:t xml:space="preserve"> </w:t>
            </w:r>
            <w:r w:rsidRPr="00F16251">
              <w:rPr>
                <w:rFonts w:eastAsia="Calibri" w:cstheme="minorHAnsi"/>
              </w:rPr>
              <w:t>EX</w:t>
            </w:r>
          </w:p>
        </w:tc>
        <w:tc>
          <w:tcPr>
            <w:tcW w:w="3969" w:type="dxa"/>
          </w:tcPr>
          <w:p w14:paraId="25342045" w14:textId="73DFF6CF" w:rsidR="002C63F4" w:rsidRPr="00F16251" w:rsidRDefault="002C63F4" w:rsidP="00611E7C">
            <w:pPr>
              <w:spacing w:line="276" w:lineRule="auto"/>
              <w:ind w:right="6"/>
              <w:cnfStyle w:val="000000000000" w:firstRow="0" w:lastRow="0" w:firstColumn="0" w:lastColumn="0" w:oddVBand="0" w:evenVBand="0" w:oddHBand="0" w:evenHBand="0" w:firstRowFirstColumn="0" w:firstRowLastColumn="0" w:lastRowFirstColumn="0" w:lastRowLastColumn="0"/>
              <w:rPr>
                <w:rFonts w:eastAsia="Calibri" w:cstheme="minorHAnsi"/>
              </w:rPr>
            </w:pPr>
            <w:r w:rsidRPr="00F16251">
              <w:rPr>
                <w:rFonts w:eastAsia="Calibri" w:cstheme="minorHAnsi"/>
              </w:rPr>
              <w:t>Stopień</w:t>
            </w:r>
            <w:r w:rsidR="003B50ED" w:rsidRPr="00F16251">
              <w:rPr>
                <w:rFonts w:eastAsia="Calibri" w:cstheme="minorHAnsi"/>
              </w:rPr>
              <w:t xml:space="preserve"> </w:t>
            </w:r>
            <w:r w:rsidRPr="00F16251">
              <w:rPr>
                <w:rFonts w:eastAsia="Calibri" w:cstheme="minorHAnsi"/>
              </w:rPr>
              <w:t>realizacji</w:t>
            </w:r>
            <w:r w:rsidR="003B50ED" w:rsidRPr="00F16251">
              <w:rPr>
                <w:rFonts w:eastAsia="Calibri" w:cstheme="minorHAnsi"/>
              </w:rPr>
              <w:t xml:space="preserve"> </w:t>
            </w:r>
            <w:r w:rsidRPr="00F16251">
              <w:rPr>
                <w:rFonts w:eastAsia="Calibri" w:cstheme="minorHAnsi"/>
              </w:rPr>
              <w:t>celów,</w:t>
            </w:r>
            <w:r w:rsidR="003B50ED" w:rsidRPr="00F16251">
              <w:rPr>
                <w:rFonts w:eastAsia="Calibri" w:cstheme="minorHAnsi"/>
              </w:rPr>
              <w:t xml:space="preserve"> </w:t>
            </w:r>
            <w:r w:rsidRPr="00F16251">
              <w:rPr>
                <w:rFonts w:eastAsia="Calibri" w:cstheme="minorHAnsi"/>
              </w:rPr>
              <w:t>przedsięwzięć,</w:t>
            </w:r>
            <w:r w:rsidR="003B50ED" w:rsidRPr="00F16251">
              <w:rPr>
                <w:rFonts w:eastAsia="Calibri" w:cstheme="minorHAnsi"/>
              </w:rPr>
              <w:t xml:space="preserve"> </w:t>
            </w:r>
            <w:r w:rsidRPr="00F16251">
              <w:rPr>
                <w:rFonts w:eastAsia="Calibri" w:cstheme="minorHAnsi"/>
              </w:rPr>
              <w:t>wskaźników;</w:t>
            </w:r>
            <w:r w:rsidR="003B50ED" w:rsidRPr="00F16251">
              <w:rPr>
                <w:rFonts w:eastAsia="Calibri" w:cstheme="minorHAnsi"/>
              </w:rPr>
              <w:t xml:space="preserve"> </w:t>
            </w:r>
            <w:r w:rsidRPr="00F16251">
              <w:rPr>
                <w:rFonts w:eastAsia="Calibri" w:cstheme="minorHAnsi"/>
              </w:rPr>
              <w:t>ocena</w:t>
            </w:r>
            <w:r w:rsidR="003B50ED" w:rsidRPr="00F16251">
              <w:rPr>
                <w:rFonts w:eastAsia="Calibri" w:cstheme="minorHAnsi"/>
              </w:rPr>
              <w:t xml:space="preserve"> </w:t>
            </w:r>
            <w:r w:rsidRPr="00F16251">
              <w:rPr>
                <w:rFonts w:eastAsia="Calibri" w:cstheme="minorHAnsi"/>
              </w:rPr>
              <w:t>celowości</w:t>
            </w:r>
            <w:r w:rsidR="003B50ED" w:rsidRPr="00F16251">
              <w:rPr>
                <w:rFonts w:eastAsia="Calibri" w:cstheme="minorHAnsi"/>
              </w:rPr>
              <w:t xml:space="preserve"> </w:t>
            </w:r>
            <w:r w:rsidRPr="00F16251">
              <w:rPr>
                <w:rFonts w:eastAsia="Calibri" w:cstheme="minorHAnsi"/>
              </w:rPr>
              <w:t>i</w:t>
            </w:r>
            <w:r w:rsidR="003B50ED" w:rsidRPr="00F16251">
              <w:rPr>
                <w:rFonts w:eastAsia="Calibri" w:cstheme="minorHAnsi"/>
              </w:rPr>
              <w:t xml:space="preserve"> </w:t>
            </w:r>
            <w:r w:rsidRPr="00F16251">
              <w:rPr>
                <w:rFonts w:eastAsia="Calibri" w:cstheme="minorHAnsi"/>
              </w:rPr>
              <w:t>trafności</w:t>
            </w:r>
            <w:r w:rsidR="003B50ED" w:rsidRPr="00F16251">
              <w:rPr>
                <w:rFonts w:eastAsia="Calibri" w:cstheme="minorHAnsi"/>
              </w:rPr>
              <w:t xml:space="preserve"> </w:t>
            </w:r>
            <w:r w:rsidRPr="00F16251">
              <w:rPr>
                <w:rFonts w:eastAsia="Calibri" w:cstheme="minorHAnsi"/>
              </w:rPr>
              <w:t>założeń</w:t>
            </w:r>
            <w:r w:rsidR="003B50ED" w:rsidRPr="00F16251">
              <w:rPr>
                <w:rFonts w:eastAsia="Calibri" w:cstheme="minorHAnsi"/>
              </w:rPr>
              <w:t xml:space="preserve"> </w:t>
            </w:r>
            <w:r w:rsidRPr="00F16251">
              <w:rPr>
                <w:rFonts w:eastAsia="Calibri" w:cstheme="minorHAnsi"/>
              </w:rPr>
              <w:t>realizowanych</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ramach</w:t>
            </w:r>
            <w:r w:rsidR="003B50ED" w:rsidRPr="00F16251">
              <w:rPr>
                <w:rFonts w:eastAsia="Calibri" w:cstheme="minorHAnsi"/>
              </w:rPr>
              <w:t xml:space="preserve"> </w:t>
            </w:r>
            <w:r w:rsidRPr="00F16251">
              <w:rPr>
                <w:rFonts w:eastAsia="Calibri" w:cstheme="minorHAnsi"/>
              </w:rPr>
              <w:t>LSR;</w:t>
            </w:r>
            <w:r w:rsidR="003B50ED" w:rsidRPr="00F16251">
              <w:rPr>
                <w:rFonts w:eastAsia="Calibri" w:cstheme="minorHAnsi"/>
              </w:rPr>
              <w:t xml:space="preserve"> </w:t>
            </w:r>
            <w:r w:rsidRPr="00F16251">
              <w:rPr>
                <w:rFonts w:eastAsia="Calibri" w:cstheme="minorHAnsi"/>
              </w:rPr>
              <w:t>wpływ</w:t>
            </w:r>
            <w:r w:rsidR="003B50ED" w:rsidRPr="00F16251">
              <w:rPr>
                <w:rFonts w:eastAsia="Calibri" w:cstheme="minorHAnsi"/>
              </w:rPr>
              <w:t xml:space="preserve"> </w:t>
            </w:r>
            <w:r w:rsidRPr="00F16251">
              <w:rPr>
                <w:rFonts w:eastAsia="Calibri" w:cstheme="minorHAnsi"/>
              </w:rPr>
              <w:t>podejmowanych</w:t>
            </w:r>
            <w:r w:rsidR="003B50ED" w:rsidRPr="00F16251">
              <w:rPr>
                <w:rFonts w:eastAsia="Calibri" w:cstheme="minorHAnsi"/>
              </w:rPr>
              <w:t xml:space="preserve"> </w:t>
            </w:r>
            <w:r w:rsidRPr="00F16251">
              <w:rPr>
                <w:rFonts w:eastAsia="Calibri" w:cstheme="minorHAnsi"/>
              </w:rPr>
              <w:t>przez</w:t>
            </w:r>
            <w:r w:rsidR="003B50ED" w:rsidRPr="00F16251">
              <w:rPr>
                <w:rFonts w:eastAsia="Calibri" w:cstheme="minorHAnsi"/>
              </w:rPr>
              <w:t xml:space="preserve"> </w:t>
            </w:r>
            <w:r w:rsidRPr="00F16251">
              <w:rPr>
                <w:rFonts w:eastAsia="Calibri" w:cstheme="minorHAnsi"/>
              </w:rPr>
              <w:t>Biuro</w:t>
            </w:r>
            <w:r w:rsidR="003B50ED" w:rsidRPr="00F16251">
              <w:rPr>
                <w:rFonts w:eastAsia="Calibri" w:cstheme="minorHAnsi"/>
              </w:rPr>
              <w:t xml:space="preserve"> </w:t>
            </w:r>
            <w:r w:rsidRPr="00F16251">
              <w:rPr>
                <w:rFonts w:eastAsia="Calibri" w:cstheme="minorHAnsi"/>
              </w:rPr>
              <w:t>LGD</w:t>
            </w:r>
            <w:r w:rsidR="003B50ED" w:rsidRPr="00F16251">
              <w:rPr>
                <w:rFonts w:eastAsia="Calibri" w:cstheme="minorHAnsi"/>
              </w:rPr>
              <w:t xml:space="preserve"> </w:t>
            </w:r>
            <w:r w:rsidRPr="00F16251">
              <w:rPr>
                <w:rFonts w:eastAsia="Calibri" w:cstheme="minorHAnsi"/>
              </w:rPr>
              <w:t>działań</w:t>
            </w:r>
            <w:r w:rsidR="003B50ED" w:rsidRPr="00F16251">
              <w:rPr>
                <w:rFonts w:eastAsia="Calibri" w:cstheme="minorHAnsi"/>
              </w:rPr>
              <w:t xml:space="preserve"> </w:t>
            </w:r>
            <w:r w:rsidRPr="00F16251">
              <w:rPr>
                <w:rFonts w:eastAsia="Calibri" w:cstheme="minorHAnsi"/>
              </w:rPr>
              <w:t>na</w:t>
            </w:r>
            <w:r w:rsidR="003B50ED" w:rsidRPr="00F16251">
              <w:rPr>
                <w:rFonts w:eastAsia="Calibri" w:cstheme="minorHAnsi"/>
              </w:rPr>
              <w:t xml:space="preserve"> </w:t>
            </w:r>
            <w:r w:rsidRPr="00F16251">
              <w:rPr>
                <w:rFonts w:eastAsia="Calibri" w:cstheme="minorHAnsi"/>
              </w:rPr>
              <w:t>postęp</w:t>
            </w:r>
            <w:r w:rsidR="003B50ED" w:rsidRPr="00F16251">
              <w:rPr>
                <w:rFonts w:eastAsia="Calibri" w:cstheme="minorHAnsi"/>
              </w:rPr>
              <w:t xml:space="preserve"> </w:t>
            </w:r>
            <w:r w:rsidRPr="00F16251">
              <w:rPr>
                <w:rFonts w:eastAsia="Calibri" w:cstheme="minorHAnsi"/>
              </w:rPr>
              <w:t>rzeczowy;</w:t>
            </w:r>
            <w:r w:rsidR="003B50ED" w:rsidRPr="00F16251">
              <w:rPr>
                <w:rFonts w:eastAsia="Calibri" w:cstheme="minorHAnsi"/>
              </w:rPr>
              <w:t xml:space="preserve"> </w:t>
            </w:r>
            <w:r w:rsidRPr="00F16251">
              <w:rPr>
                <w:rFonts w:eastAsia="Calibri" w:cstheme="minorHAnsi"/>
              </w:rPr>
              <w:t>określenie</w:t>
            </w:r>
            <w:r w:rsidR="003B50ED" w:rsidRPr="00F16251">
              <w:rPr>
                <w:rFonts w:eastAsia="Calibri" w:cstheme="minorHAnsi"/>
              </w:rPr>
              <w:t xml:space="preserve"> </w:t>
            </w:r>
            <w:r w:rsidRPr="00F16251">
              <w:rPr>
                <w:rFonts w:eastAsia="Calibri" w:cstheme="minorHAnsi"/>
              </w:rPr>
              <w:t>stopnia</w:t>
            </w:r>
            <w:r w:rsidR="003B50ED" w:rsidRPr="00F16251">
              <w:rPr>
                <w:rFonts w:eastAsia="Calibri" w:cstheme="minorHAnsi"/>
              </w:rPr>
              <w:t xml:space="preserve"> </w:t>
            </w:r>
            <w:r w:rsidRPr="00F16251">
              <w:rPr>
                <w:rFonts w:eastAsia="Calibri" w:cstheme="minorHAnsi"/>
              </w:rPr>
              <w:t>realizacji</w:t>
            </w:r>
            <w:r w:rsidR="003B50ED" w:rsidRPr="00F16251">
              <w:rPr>
                <w:rFonts w:eastAsia="Calibri" w:cstheme="minorHAnsi"/>
              </w:rPr>
              <w:t xml:space="preserve"> </w:t>
            </w:r>
            <w:r w:rsidRPr="00F16251">
              <w:rPr>
                <w:rFonts w:eastAsia="Calibri" w:cstheme="minorHAnsi"/>
              </w:rPr>
              <w:t>poszczególnych</w:t>
            </w:r>
            <w:r w:rsidR="003B50ED" w:rsidRPr="00F16251">
              <w:rPr>
                <w:rFonts w:eastAsia="Calibri" w:cstheme="minorHAnsi"/>
              </w:rPr>
              <w:t xml:space="preserve"> </w:t>
            </w:r>
            <w:r w:rsidRPr="00F16251">
              <w:rPr>
                <w:rFonts w:eastAsia="Calibri" w:cstheme="minorHAnsi"/>
              </w:rPr>
              <w:t>operacji.</w:t>
            </w:r>
          </w:p>
          <w:p w14:paraId="5BC6AB24" w14:textId="3B3E1361" w:rsidR="002C63F4" w:rsidRPr="00F16251" w:rsidRDefault="002C63F4" w:rsidP="00611E7C">
            <w:pPr>
              <w:spacing w:line="276" w:lineRule="auto"/>
              <w:ind w:right="6"/>
              <w:cnfStyle w:val="000000000000" w:firstRow="0" w:lastRow="0" w:firstColumn="0" w:lastColumn="0" w:oddVBand="0" w:evenVBand="0" w:oddHBand="0" w:evenHBand="0" w:firstRowFirstColumn="0" w:firstRowLastColumn="0" w:lastRowFirstColumn="0" w:lastRowLastColumn="0"/>
              <w:rPr>
                <w:rFonts w:eastAsia="Calibri" w:cstheme="minorHAnsi"/>
              </w:rPr>
            </w:pPr>
            <w:r w:rsidRPr="00F16251">
              <w:rPr>
                <w:rFonts w:eastAsia="Calibri" w:cstheme="minorHAnsi"/>
              </w:rPr>
              <w:t>Kryterium:</w:t>
            </w:r>
            <w:r w:rsidR="003B50ED" w:rsidRPr="00F16251">
              <w:rPr>
                <w:rFonts w:eastAsia="Calibri" w:cstheme="minorHAnsi"/>
              </w:rPr>
              <w:t xml:space="preserve"> </w:t>
            </w:r>
            <w:r w:rsidRPr="00F16251">
              <w:rPr>
                <w:rFonts w:eastAsia="Calibri" w:cstheme="minorHAnsi"/>
              </w:rPr>
              <w:t>Skuteczność</w:t>
            </w:r>
            <w:r w:rsidR="003B50ED" w:rsidRPr="00F16251">
              <w:rPr>
                <w:rFonts w:eastAsia="Calibri" w:cstheme="minorHAnsi"/>
              </w:rPr>
              <w:t xml:space="preserve"> </w:t>
            </w:r>
            <w:r w:rsidRPr="00F16251">
              <w:rPr>
                <w:rFonts w:eastAsia="Calibri" w:cstheme="minorHAnsi"/>
              </w:rPr>
              <w:t>i</w:t>
            </w:r>
            <w:r w:rsidR="003B50ED" w:rsidRPr="00F16251">
              <w:rPr>
                <w:rFonts w:eastAsia="Calibri" w:cstheme="minorHAnsi"/>
              </w:rPr>
              <w:t xml:space="preserve"> </w:t>
            </w:r>
            <w:r w:rsidRPr="00F16251">
              <w:rPr>
                <w:rFonts w:eastAsia="Calibri" w:cstheme="minorHAnsi"/>
              </w:rPr>
              <w:t>użyteczność,</w:t>
            </w:r>
            <w:r w:rsidR="003B50ED" w:rsidRPr="00F16251">
              <w:rPr>
                <w:rFonts w:eastAsia="Calibri" w:cstheme="minorHAnsi"/>
              </w:rPr>
              <w:t xml:space="preserve"> </w:t>
            </w:r>
            <w:r w:rsidRPr="00F16251">
              <w:rPr>
                <w:rFonts w:eastAsia="Calibri" w:cstheme="minorHAnsi"/>
              </w:rPr>
              <w:t>trwałość.</w:t>
            </w:r>
          </w:p>
        </w:tc>
      </w:tr>
      <w:tr w:rsidR="00F16251" w:rsidRPr="00F16251" w14:paraId="1AC79EC4" w14:textId="77777777" w:rsidTr="00BC3D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7A16222" w14:textId="2E72D19A" w:rsidR="002C63F4" w:rsidRPr="00F16251" w:rsidRDefault="002C63F4" w:rsidP="00611E7C">
            <w:pPr>
              <w:spacing w:line="276" w:lineRule="auto"/>
              <w:ind w:right="5"/>
              <w:rPr>
                <w:rFonts w:eastAsia="Calibri" w:cstheme="minorHAnsi"/>
                <w:b w:val="0"/>
                <w:bCs w:val="0"/>
              </w:rPr>
            </w:pPr>
            <w:r w:rsidRPr="00F16251">
              <w:rPr>
                <w:rFonts w:eastAsia="Calibri" w:cstheme="minorHAnsi"/>
                <w:b w:val="0"/>
                <w:bCs w:val="0"/>
              </w:rPr>
              <w:t>Postęp</w:t>
            </w:r>
            <w:r w:rsidR="003B50ED" w:rsidRPr="00F16251">
              <w:rPr>
                <w:rFonts w:eastAsia="Calibri" w:cstheme="minorHAnsi"/>
                <w:b w:val="0"/>
                <w:bCs w:val="0"/>
              </w:rPr>
              <w:t xml:space="preserve"> </w:t>
            </w:r>
            <w:r w:rsidRPr="00F16251">
              <w:rPr>
                <w:rFonts w:eastAsia="Calibri" w:cstheme="minorHAnsi"/>
                <w:b w:val="0"/>
                <w:bCs w:val="0"/>
              </w:rPr>
              <w:t>finansowy</w:t>
            </w:r>
            <w:r w:rsidR="003B50ED" w:rsidRPr="00F16251">
              <w:rPr>
                <w:rFonts w:eastAsia="Calibri" w:cstheme="minorHAnsi"/>
                <w:b w:val="0"/>
                <w:bCs w:val="0"/>
              </w:rPr>
              <w:t xml:space="preserve"> </w:t>
            </w:r>
            <w:r w:rsidRPr="00F16251">
              <w:rPr>
                <w:rFonts w:eastAsia="Calibri" w:cstheme="minorHAnsi"/>
                <w:b w:val="0"/>
                <w:bCs w:val="0"/>
              </w:rPr>
              <w:t>w</w:t>
            </w:r>
            <w:r w:rsidR="003B50ED" w:rsidRPr="00F16251">
              <w:rPr>
                <w:rFonts w:eastAsia="Calibri" w:cstheme="minorHAnsi"/>
                <w:b w:val="0"/>
                <w:bCs w:val="0"/>
              </w:rPr>
              <w:t xml:space="preserve"> </w:t>
            </w:r>
            <w:r w:rsidRPr="00F16251">
              <w:rPr>
                <w:rFonts w:eastAsia="Calibri" w:cstheme="minorHAnsi"/>
                <w:b w:val="0"/>
                <w:bCs w:val="0"/>
              </w:rPr>
              <w:t>zakresie</w:t>
            </w:r>
            <w:r w:rsidR="003B50ED" w:rsidRPr="00F16251">
              <w:rPr>
                <w:rFonts w:eastAsia="Calibri" w:cstheme="minorHAnsi"/>
                <w:b w:val="0"/>
                <w:bCs w:val="0"/>
              </w:rPr>
              <w:t xml:space="preserve"> </w:t>
            </w:r>
            <w:r w:rsidRPr="00F16251">
              <w:rPr>
                <w:rFonts w:eastAsia="Calibri" w:cstheme="minorHAnsi"/>
                <w:b w:val="0"/>
                <w:bCs w:val="0"/>
              </w:rPr>
              <w:t>stanu</w:t>
            </w:r>
            <w:r w:rsidR="003B50ED" w:rsidRPr="00F16251">
              <w:rPr>
                <w:rFonts w:eastAsia="Calibri" w:cstheme="minorHAnsi"/>
                <w:b w:val="0"/>
                <w:bCs w:val="0"/>
              </w:rPr>
              <w:t xml:space="preserve"> </w:t>
            </w:r>
            <w:r w:rsidRPr="00F16251">
              <w:rPr>
                <w:rFonts w:eastAsia="Calibri" w:cstheme="minorHAnsi"/>
                <w:b w:val="0"/>
                <w:bCs w:val="0"/>
              </w:rPr>
              <w:t>realizacji</w:t>
            </w:r>
            <w:r w:rsidR="003B50ED" w:rsidRPr="00F16251">
              <w:rPr>
                <w:rFonts w:eastAsia="Calibri" w:cstheme="minorHAnsi"/>
                <w:b w:val="0"/>
                <w:bCs w:val="0"/>
              </w:rPr>
              <w:t xml:space="preserve"> </w:t>
            </w:r>
            <w:r w:rsidRPr="00F16251">
              <w:rPr>
                <w:rFonts w:eastAsia="Calibri" w:cstheme="minorHAnsi"/>
                <w:b w:val="0"/>
                <w:bCs w:val="0"/>
              </w:rPr>
              <w:t>budżetu</w:t>
            </w:r>
            <w:r w:rsidR="003B50ED" w:rsidRPr="00F16251">
              <w:rPr>
                <w:rFonts w:eastAsia="Calibri" w:cstheme="minorHAnsi"/>
                <w:b w:val="0"/>
                <w:bCs w:val="0"/>
              </w:rPr>
              <w:t xml:space="preserve"> </w:t>
            </w:r>
            <w:r w:rsidRPr="00F16251">
              <w:rPr>
                <w:rFonts w:eastAsia="Calibri" w:cstheme="minorHAnsi"/>
                <w:b w:val="0"/>
                <w:bCs w:val="0"/>
              </w:rPr>
              <w:t>w</w:t>
            </w:r>
            <w:r w:rsidR="003B50ED" w:rsidRPr="00F16251">
              <w:rPr>
                <w:rFonts w:eastAsia="Calibri" w:cstheme="minorHAnsi"/>
                <w:b w:val="0"/>
                <w:bCs w:val="0"/>
              </w:rPr>
              <w:t xml:space="preserve"> </w:t>
            </w:r>
            <w:r w:rsidRPr="00F16251">
              <w:rPr>
                <w:rFonts w:eastAsia="Calibri" w:cstheme="minorHAnsi"/>
                <w:b w:val="0"/>
                <w:bCs w:val="0"/>
              </w:rPr>
              <w:t>poszczególnych</w:t>
            </w:r>
            <w:r w:rsidR="003B50ED" w:rsidRPr="00F16251">
              <w:rPr>
                <w:rFonts w:eastAsia="Calibri" w:cstheme="minorHAnsi"/>
                <w:b w:val="0"/>
                <w:bCs w:val="0"/>
              </w:rPr>
              <w:t xml:space="preserve"> </w:t>
            </w:r>
            <w:r w:rsidRPr="00F16251">
              <w:rPr>
                <w:rFonts w:eastAsia="Calibri" w:cstheme="minorHAnsi"/>
                <w:b w:val="0"/>
                <w:bCs w:val="0"/>
              </w:rPr>
              <w:t>naborach</w:t>
            </w:r>
            <w:r w:rsidR="003B50ED" w:rsidRPr="00F16251">
              <w:rPr>
                <w:rFonts w:eastAsia="Calibri" w:cstheme="minorHAnsi"/>
                <w:b w:val="0"/>
                <w:bCs w:val="0"/>
              </w:rPr>
              <w:t xml:space="preserve"> </w:t>
            </w:r>
            <w:r w:rsidRPr="00F16251">
              <w:rPr>
                <w:rFonts w:eastAsia="Calibri" w:cstheme="minorHAnsi"/>
                <w:b w:val="0"/>
                <w:bCs w:val="0"/>
              </w:rPr>
              <w:t>i</w:t>
            </w:r>
            <w:r w:rsidR="003B50ED" w:rsidRPr="00F16251">
              <w:rPr>
                <w:rFonts w:eastAsia="Calibri" w:cstheme="minorHAnsi"/>
                <w:b w:val="0"/>
                <w:bCs w:val="0"/>
              </w:rPr>
              <w:t xml:space="preserve"> </w:t>
            </w:r>
            <w:r w:rsidRPr="00F16251">
              <w:rPr>
                <w:rFonts w:eastAsia="Calibri" w:cstheme="minorHAnsi"/>
                <w:b w:val="0"/>
                <w:bCs w:val="0"/>
              </w:rPr>
              <w:t>możliwości</w:t>
            </w:r>
            <w:r w:rsidR="003B50ED" w:rsidRPr="00F16251">
              <w:rPr>
                <w:rFonts w:eastAsia="Calibri" w:cstheme="minorHAnsi"/>
                <w:b w:val="0"/>
                <w:bCs w:val="0"/>
              </w:rPr>
              <w:t xml:space="preserve"> </w:t>
            </w:r>
            <w:r w:rsidRPr="00F16251">
              <w:rPr>
                <w:rFonts w:eastAsia="Calibri" w:cstheme="minorHAnsi"/>
                <w:b w:val="0"/>
                <w:bCs w:val="0"/>
              </w:rPr>
              <w:t>osiągniecia</w:t>
            </w:r>
            <w:r w:rsidR="003B50ED" w:rsidRPr="00F16251">
              <w:rPr>
                <w:rFonts w:eastAsia="Calibri" w:cstheme="minorHAnsi"/>
                <w:b w:val="0"/>
                <w:bCs w:val="0"/>
              </w:rPr>
              <w:t xml:space="preserve"> </w:t>
            </w:r>
            <w:r w:rsidRPr="00F16251">
              <w:rPr>
                <w:rFonts w:eastAsia="Calibri" w:cstheme="minorHAnsi"/>
                <w:b w:val="0"/>
                <w:bCs w:val="0"/>
              </w:rPr>
              <w:t>kamieni</w:t>
            </w:r>
            <w:r w:rsidR="003B50ED" w:rsidRPr="00F16251">
              <w:rPr>
                <w:rFonts w:eastAsia="Calibri" w:cstheme="minorHAnsi"/>
                <w:b w:val="0"/>
                <w:bCs w:val="0"/>
              </w:rPr>
              <w:t xml:space="preserve"> </w:t>
            </w:r>
            <w:r w:rsidRPr="00F16251">
              <w:rPr>
                <w:rFonts w:eastAsia="Calibri" w:cstheme="minorHAnsi"/>
                <w:b w:val="0"/>
                <w:bCs w:val="0"/>
              </w:rPr>
              <w:t>milowych,</w:t>
            </w:r>
            <w:r w:rsidR="003B50ED" w:rsidRPr="00F16251">
              <w:rPr>
                <w:rFonts w:eastAsia="Calibri" w:cstheme="minorHAnsi"/>
                <w:b w:val="0"/>
                <w:bCs w:val="0"/>
              </w:rPr>
              <w:t xml:space="preserve"> </w:t>
            </w:r>
            <w:r w:rsidRPr="00F16251">
              <w:rPr>
                <w:rFonts w:eastAsia="Calibri" w:cstheme="minorHAnsi"/>
                <w:b w:val="0"/>
                <w:bCs w:val="0"/>
              </w:rPr>
              <w:t>z</w:t>
            </w:r>
            <w:r w:rsidR="003B50ED" w:rsidRPr="00F16251">
              <w:rPr>
                <w:rFonts w:eastAsia="Calibri" w:cstheme="minorHAnsi"/>
                <w:b w:val="0"/>
                <w:bCs w:val="0"/>
              </w:rPr>
              <w:t xml:space="preserve"> </w:t>
            </w:r>
            <w:r w:rsidRPr="00F16251">
              <w:rPr>
                <w:rFonts w:eastAsia="Calibri" w:cstheme="minorHAnsi"/>
                <w:b w:val="0"/>
                <w:bCs w:val="0"/>
              </w:rPr>
              <w:t>uwzględnieniem</w:t>
            </w:r>
            <w:r w:rsidR="003B50ED" w:rsidRPr="00F16251">
              <w:rPr>
                <w:rFonts w:eastAsia="Calibri" w:cstheme="minorHAnsi"/>
                <w:b w:val="0"/>
                <w:bCs w:val="0"/>
              </w:rPr>
              <w:t xml:space="preserve"> </w:t>
            </w:r>
            <w:r w:rsidRPr="00F16251">
              <w:rPr>
                <w:rFonts w:eastAsia="Calibri" w:cstheme="minorHAnsi"/>
                <w:b w:val="0"/>
                <w:bCs w:val="0"/>
              </w:rPr>
              <w:t>czynników</w:t>
            </w:r>
            <w:r w:rsidR="003B50ED" w:rsidRPr="00F16251">
              <w:rPr>
                <w:rFonts w:eastAsia="Calibri" w:cstheme="minorHAnsi"/>
                <w:b w:val="0"/>
                <w:bCs w:val="0"/>
              </w:rPr>
              <w:t xml:space="preserve"> </w:t>
            </w:r>
            <w:r w:rsidRPr="00F16251">
              <w:rPr>
                <w:rFonts w:eastAsia="Calibri" w:cstheme="minorHAnsi"/>
                <w:b w:val="0"/>
                <w:bCs w:val="0"/>
              </w:rPr>
              <w:t>zewnętrznych</w:t>
            </w:r>
            <w:r w:rsidR="003B50ED" w:rsidRPr="00F16251">
              <w:rPr>
                <w:rFonts w:eastAsia="Calibri" w:cstheme="minorHAnsi"/>
                <w:b w:val="0"/>
                <w:bCs w:val="0"/>
              </w:rPr>
              <w:t xml:space="preserve"> </w:t>
            </w:r>
            <w:r w:rsidRPr="00F16251">
              <w:rPr>
                <w:rFonts w:eastAsia="Calibri" w:cstheme="minorHAnsi"/>
                <w:b w:val="0"/>
                <w:bCs w:val="0"/>
              </w:rPr>
              <w:t>wpływających</w:t>
            </w:r>
            <w:r w:rsidR="003B50ED" w:rsidRPr="00F16251">
              <w:rPr>
                <w:rFonts w:eastAsia="Calibri" w:cstheme="minorHAnsi"/>
                <w:b w:val="0"/>
                <w:bCs w:val="0"/>
              </w:rPr>
              <w:t xml:space="preserve"> </w:t>
            </w:r>
            <w:r w:rsidRPr="00F16251">
              <w:rPr>
                <w:rFonts w:eastAsia="Calibri" w:cstheme="minorHAnsi"/>
                <w:b w:val="0"/>
                <w:bCs w:val="0"/>
              </w:rPr>
              <w:t>na</w:t>
            </w:r>
            <w:r w:rsidR="003B50ED" w:rsidRPr="00F16251">
              <w:rPr>
                <w:rFonts w:eastAsia="Calibri" w:cstheme="minorHAnsi"/>
                <w:b w:val="0"/>
                <w:bCs w:val="0"/>
              </w:rPr>
              <w:t xml:space="preserve"> </w:t>
            </w:r>
            <w:r w:rsidRPr="00F16251">
              <w:rPr>
                <w:rFonts w:eastAsia="Calibri" w:cstheme="minorHAnsi"/>
                <w:b w:val="0"/>
                <w:bCs w:val="0"/>
              </w:rPr>
              <w:t>tempo</w:t>
            </w:r>
            <w:r w:rsidR="003B50ED" w:rsidRPr="00F16251">
              <w:rPr>
                <w:rFonts w:eastAsia="Calibri" w:cstheme="minorHAnsi"/>
                <w:b w:val="0"/>
                <w:bCs w:val="0"/>
              </w:rPr>
              <w:t xml:space="preserve"> </w:t>
            </w:r>
            <w:r w:rsidRPr="00F16251">
              <w:rPr>
                <w:rFonts w:eastAsia="Calibri" w:cstheme="minorHAnsi"/>
                <w:b w:val="0"/>
                <w:bCs w:val="0"/>
              </w:rPr>
              <w:t>kontraktacji</w:t>
            </w:r>
            <w:r w:rsidR="003B50ED" w:rsidRPr="00F16251">
              <w:rPr>
                <w:rFonts w:eastAsia="Calibri" w:cstheme="minorHAnsi"/>
                <w:b w:val="0"/>
                <w:bCs w:val="0"/>
              </w:rPr>
              <w:t xml:space="preserve"> </w:t>
            </w:r>
            <w:r w:rsidRPr="00F16251">
              <w:rPr>
                <w:rFonts w:eastAsia="Calibri" w:cstheme="minorHAnsi"/>
                <w:b w:val="0"/>
                <w:bCs w:val="0"/>
              </w:rPr>
              <w:t>oraz</w:t>
            </w:r>
            <w:r w:rsidR="003B50ED" w:rsidRPr="00F16251">
              <w:rPr>
                <w:rFonts w:eastAsia="Calibri" w:cstheme="minorHAnsi"/>
                <w:b w:val="0"/>
                <w:bCs w:val="0"/>
              </w:rPr>
              <w:t xml:space="preserve"> </w:t>
            </w:r>
            <w:r w:rsidRPr="00F16251">
              <w:rPr>
                <w:rFonts w:eastAsia="Calibri" w:cstheme="minorHAnsi"/>
                <w:b w:val="0"/>
                <w:bCs w:val="0"/>
              </w:rPr>
              <w:t>tempo</w:t>
            </w:r>
            <w:r w:rsidR="003B50ED" w:rsidRPr="00F16251">
              <w:rPr>
                <w:rFonts w:eastAsia="Calibri" w:cstheme="minorHAnsi"/>
                <w:b w:val="0"/>
                <w:bCs w:val="0"/>
              </w:rPr>
              <w:t xml:space="preserve"> </w:t>
            </w:r>
            <w:r w:rsidRPr="00F16251">
              <w:rPr>
                <w:rFonts w:eastAsia="Calibri" w:cstheme="minorHAnsi"/>
                <w:b w:val="0"/>
                <w:bCs w:val="0"/>
              </w:rPr>
              <w:t>realizacji</w:t>
            </w:r>
            <w:r w:rsidR="003B50ED" w:rsidRPr="00F16251">
              <w:rPr>
                <w:rFonts w:eastAsia="Calibri" w:cstheme="minorHAnsi"/>
                <w:b w:val="0"/>
                <w:bCs w:val="0"/>
              </w:rPr>
              <w:t xml:space="preserve"> </w:t>
            </w:r>
            <w:r w:rsidRPr="00F16251">
              <w:rPr>
                <w:rFonts w:eastAsia="Calibri" w:cstheme="minorHAnsi"/>
                <w:b w:val="0"/>
                <w:bCs w:val="0"/>
              </w:rPr>
              <w:t>projektów</w:t>
            </w:r>
            <w:r w:rsidR="003B50ED" w:rsidRPr="00F16251">
              <w:rPr>
                <w:rFonts w:eastAsia="Calibri" w:cstheme="minorHAnsi"/>
                <w:b w:val="0"/>
                <w:bCs w:val="0"/>
              </w:rPr>
              <w:t xml:space="preserve"> </w:t>
            </w:r>
            <w:r w:rsidRPr="00F16251">
              <w:rPr>
                <w:rFonts w:eastAsia="Calibri" w:cstheme="minorHAnsi"/>
                <w:b w:val="0"/>
                <w:bCs w:val="0"/>
              </w:rPr>
              <w:t>–</w:t>
            </w:r>
            <w:r w:rsidR="003B50ED" w:rsidRPr="00F16251">
              <w:rPr>
                <w:rFonts w:eastAsia="Calibri" w:cstheme="minorHAnsi"/>
                <w:b w:val="0"/>
                <w:bCs w:val="0"/>
              </w:rPr>
              <w:t xml:space="preserve"> </w:t>
            </w:r>
            <w:r w:rsidRPr="00F16251">
              <w:rPr>
                <w:rFonts w:eastAsia="Calibri" w:cstheme="minorHAnsi"/>
                <w:b w:val="0"/>
                <w:bCs w:val="0"/>
              </w:rPr>
              <w:t>wdrażanie</w:t>
            </w:r>
            <w:r w:rsidR="003B50ED" w:rsidRPr="00F16251">
              <w:rPr>
                <w:rFonts w:eastAsia="Calibri" w:cstheme="minorHAnsi"/>
                <w:b w:val="0"/>
                <w:bCs w:val="0"/>
              </w:rPr>
              <w:t xml:space="preserve"> </w:t>
            </w:r>
            <w:r w:rsidRPr="00F16251">
              <w:rPr>
                <w:rFonts w:eastAsia="Calibri" w:cstheme="minorHAnsi"/>
                <w:b w:val="0"/>
                <w:bCs w:val="0"/>
              </w:rPr>
              <w:t>i</w:t>
            </w:r>
            <w:r w:rsidR="003B50ED" w:rsidRPr="00F16251">
              <w:rPr>
                <w:rFonts w:eastAsia="Calibri" w:cstheme="minorHAnsi"/>
                <w:b w:val="0"/>
                <w:bCs w:val="0"/>
              </w:rPr>
              <w:t xml:space="preserve"> </w:t>
            </w:r>
            <w:r w:rsidRPr="00F16251">
              <w:rPr>
                <w:rFonts w:eastAsia="Calibri" w:cstheme="minorHAnsi"/>
                <w:b w:val="0"/>
                <w:bCs w:val="0"/>
              </w:rPr>
              <w:t>zarządzanie</w:t>
            </w:r>
            <w:r w:rsidR="003B50ED" w:rsidRPr="00F16251">
              <w:rPr>
                <w:rFonts w:eastAsia="Calibri" w:cstheme="minorHAnsi"/>
                <w:b w:val="0"/>
                <w:bCs w:val="0"/>
              </w:rPr>
              <w:t xml:space="preserve"> </w:t>
            </w:r>
            <w:r w:rsidRPr="00F16251">
              <w:rPr>
                <w:rFonts w:eastAsia="Calibri" w:cstheme="minorHAnsi"/>
                <w:b w:val="0"/>
                <w:bCs w:val="0"/>
              </w:rPr>
              <w:t>LSR</w:t>
            </w:r>
            <w:r w:rsidR="003B50ED" w:rsidRPr="00F16251">
              <w:rPr>
                <w:rFonts w:eastAsia="Calibri" w:cstheme="minorHAnsi"/>
                <w:b w:val="0"/>
                <w:bCs w:val="0"/>
              </w:rPr>
              <w:t xml:space="preserve"> </w:t>
            </w:r>
          </w:p>
        </w:tc>
        <w:tc>
          <w:tcPr>
            <w:tcW w:w="2976" w:type="dxa"/>
          </w:tcPr>
          <w:p w14:paraId="053EAA04" w14:textId="3BDC46FE" w:rsidR="002C63F4" w:rsidRPr="00F16251" w:rsidRDefault="002C63F4" w:rsidP="00611E7C">
            <w:pPr>
              <w:spacing w:line="276" w:lineRule="auto"/>
              <w:ind w:right="5"/>
              <w:cnfStyle w:val="000000100000" w:firstRow="0" w:lastRow="0" w:firstColumn="0" w:lastColumn="0" w:oddVBand="0" w:evenVBand="0" w:oddHBand="1" w:evenHBand="0" w:firstRowFirstColumn="0" w:firstRowLastColumn="0" w:lastRowFirstColumn="0" w:lastRowLastColumn="0"/>
              <w:rPr>
                <w:rFonts w:eastAsia="Calibri" w:cstheme="minorHAnsi"/>
              </w:rPr>
            </w:pPr>
            <w:r w:rsidRPr="00F16251">
              <w:rPr>
                <w:rFonts w:eastAsia="Calibri" w:cstheme="minorHAnsi"/>
              </w:rPr>
              <w:t>dokumentacja</w:t>
            </w:r>
            <w:r w:rsidR="003B50ED" w:rsidRPr="00F16251">
              <w:rPr>
                <w:rFonts w:eastAsia="Calibri" w:cstheme="minorHAnsi"/>
              </w:rPr>
              <w:t xml:space="preserve"> </w:t>
            </w:r>
            <w:r w:rsidRPr="00F16251">
              <w:rPr>
                <w:rFonts w:eastAsia="Calibri" w:cstheme="minorHAnsi"/>
              </w:rPr>
              <w:t>konkursowa,</w:t>
            </w:r>
            <w:r w:rsidR="003B50ED" w:rsidRPr="00F16251">
              <w:rPr>
                <w:rFonts w:eastAsia="Calibri" w:cstheme="minorHAnsi"/>
              </w:rPr>
              <w:t xml:space="preserve"> </w:t>
            </w:r>
            <w:r w:rsidRPr="00F16251">
              <w:rPr>
                <w:rFonts w:eastAsia="Calibri" w:cstheme="minorHAnsi"/>
              </w:rPr>
              <w:t>dane</w:t>
            </w:r>
            <w:r w:rsidR="003B50ED" w:rsidRPr="00F16251">
              <w:rPr>
                <w:rFonts w:eastAsia="Calibri" w:cstheme="minorHAnsi"/>
              </w:rPr>
              <w:t xml:space="preserve"> </w:t>
            </w:r>
            <w:r w:rsidRPr="00F16251">
              <w:rPr>
                <w:rFonts w:eastAsia="Calibri" w:cstheme="minorHAnsi"/>
              </w:rPr>
              <w:t>pozyskane</w:t>
            </w:r>
            <w:r w:rsidR="003B50ED" w:rsidRPr="00F16251">
              <w:rPr>
                <w:rFonts w:eastAsia="Calibri" w:cstheme="minorHAnsi"/>
              </w:rPr>
              <w:t xml:space="preserve"> </w:t>
            </w:r>
            <w:r w:rsidRPr="00F16251">
              <w:rPr>
                <w:rFonts w:eastAsia="Calibri" w:cstheme="minorHAnsi"/>
              </w:rPr>
              <w:t>z</w:t>
            </w:r>
            <w:r w:rsidR="003B50ED" w:rsidRPr="00F16251">
              <w:rPr>
                <w:rFonts w:eastAsia="Calibri" w:cstheme="minorHAnsi"/>
              </w:rPr>
              <w:t xml:space="preserve"> </w:t>
            </w:r>
            <w:r w:rsidRPr="00F16251">
              <w:rPr>
                <w:rFonts w:eastAsia="Calibri" w:cstheme="minorHAnsi"/>
              </w:rPr>
              <w:t>samorządu</w:t>
            </w:r>
            <w:r w:rsidR="003B50ED" w:rsidRPr="00F16251">
              <w:rPr>
                <w:rFonts w:eastAsia="Calibri" w:cstheme="minorHAnsi"/>
              </w:rPr>
              <w:t xml:space="preserve"> </w:t>
            </w:r>
            <w:r w:rsidRPr="00F16251">
              <w:rPr>
                <w:rFonts w:eastAsia="Calibri" w:cstheme="minorHAnsi"/>
              </w:rPr>
              <w:t>województwa,</w:t>
            </w:r>
            <w:r w:rsidR="003B50ED" w:rsidRPr="00F16251">
              <w:rPr>
                <w:rFonts w:eastAsia="Calibri" w:cstheme="minorHAnsi"/>
              </w:rPr>
              <w:t xml:space="preserve"> </w:t>
            </w:r>
            <w:r w:rsidRPr="00F16251">
              <w:rPr>
                <w:rFonts w:eastAsia="Calibri" w:cstheme="minorHAnsi"/>
              </w:rPr>
              <w:t>ankiety</w:t>
            </w:r>
            <w:r w:rsidR="003B50ED" w:rsidRPr="00F16251">
              <w:rPr>
                <w:rFonts w:eastAsia="Calibri" w:cstheme="minorHAnsi"/>
              </w:rPr>
              <w:t xml:space="preserve"> </w:t>
            </w:r>
            <w:r w:rsidRPr="00F16251">
              <w:rPr>
                <w:rFonts w:eastAsia="Calibri" w:cstheme="minorHAnsi"/>
              </w:rPr>
              <w:t>monitorujące</w:t>
            </w:r>
            <w:r w:rsidR="003B50ED" w:rsidRPr="00F16251">
              <w:rPr>
                <w:rFonts w:eastAsia="Calibri" w:cstheme="minorHAnsi"/>
              </w:rPr>
              <w:t xml:space="preserve"> </w:t>
            </w:r>
            <w:r w:rsidRPr="00F16251">
              <w:rPr>
                <w:rFonts w:eastAsia="Calibri" w:cstheme="minorHAnsi"/>
              </w:rPr>
              <w:t>/</w:t>
            </w:r>
            <w:r w:rsidR="003B50ED" w:rsidRPr="00F16251">
              <w:rPr>
                <w:rFonts w:eastAsia="Calibri" w:cstheme="minorHAnsi"/>
              </w:rPr>
              <w:t xml:space="preserve"> </w:t>
            </w:r>
            <w:r w:rsidRPr="00F16251">
              <w:rPr>
                <w:rFonts w:eastAsia="Calibri" w:cstheme="minorHAnsi"/>
              </w:rPr>
              <w:t>sprawozdania</w:t>
            </w:r>
            <w:r w:rsidR="003B50ED" w:rsidRPr="00F16251">
              <w:rPr>
                <w:rFonts w:eastAsia="Calibri" w:cstheme="minorHAnsi"/>
              </w:rPr>
              <w:t xml:space="preserve"> </w:t>
            </w:r>
            <w:r w:rsidRPr="00F16251">
              <w:rPr>
                <w:rFonts w:eastAsia="Calibri" w:cstheme="minorHAnsi"/>
              </w:rPr>
              <w:t>beneficjentów</w:t>
            </w:r>
          </w:p>
          <w:p w14:paraId="500D1213" w14:textId="27F14F04" w:rsidR="002C63F4" w:rsidRPr="00F16251" w:rsidRDefault="002C63F4" w:rsidP="00611E7C">
            <w:pPr>
              <w:spacing w:line="276" w:lineRule="auto"/>
              <w:ind w:right="5"/>
              <w:cnfStyle w:val="000000100000" w:firstRow="0" w:lastRow="0" w:firstColumn="0" w:lastColumn="0" w:oddVBand="0" w:evenVBand="0" w:oddHBand="1" w:evenHBand="0" w:firstRowFirstColumn="0" w:firstRowLastColumn="0" w:lastRowFirstColumn="0" w:lastRowLastColumn="0"/>
              <w:rPr>
                <w:rFonts w:eastAsia="Calibri" w:cstheme="minorHAnsi"/>
              </w:rPr>
            </w:pPr>
            <w:r w:rsidRPr="00F16251">
              <w:rPr>
                <w:rFonts w:eastAsia="Calibri" w:cstheme="minorHAnsi"/>
              </w:rPr>
              <w:t>M6,</w:t>
            </w:r>
            <w:r w:rsidR="003B50ED" w:rsidRPr="00F16251">
              <w:rPr>
                <w:rFonts w:eastAsia="Calibri" w:cstheme="minorHAnsi"/>
              </w:rPr>
              <w:t xml:space="preserve"> </w:t>
            </w:r>
            <w:r w:rsidRPr="00F16251">
              <w:rPr>
                <w:rFonts w:eastAsia="Calibri" w:cstheme="minorHAnsi"/>
              </w:rPr>
              <w:t>E1,</w:t>
            </w:r>
            <w:r w:rsidR="003B50ED" w:rsidRPr="00F16251">
              <w:rPr>
                <w:rFonts w:eastAsia="Calibri" w:cstheme="minorHAnsi"/>
              </w:rPr>
              <w:t xml:space="preserve"> </w:t>
            </w:r>
            <w:r w:rsidRPr="00F16251">
              <w:rPr>
                <w:rFonts w:eastAsia="Calibri" w:cstheme="minorHAnsi"/>
              </w:rPr>
              <w:t>EX</w:t>
            </w:r>
          </w:p>
        </w:tc>
        <w:tc>
          <w:tcPr>
            <w:tcW w:w="3969" w:type="dxa"/>
          </w:tcPr>
          <w:p w14:paraId="207B4CB4" w14:textId="7F193F4B" w:rsidR="002C63F4" w:rsidRPr="00F16251" w:rsidRDefault="002C63F4" w:rsidP="00611E7C">
            <w:pPr>
              <w:spacing w:line="276" w:lineRule="auto"/>
              <w:ind w:right="6"/>
              <w:cnfStyle w:val="000000100000" w:firstRow="0" w:lastRow="0" w:firstColumn="0" w:lastColumn="0" w:oddVBand="0" w:evenVBand="0" w:oddHBand="1" w:evenHBand="0" w:firstRowFirstColumn="0" w:firstRowLastColumn="0" w:lastRowFirstColumn="0" w:lastRowLastColumn="0"/>
              <w:rPr>
                <w:rFonts w:eastAsia="Calibri" w:cstheme="minorHAnsi"/>
              </w:rPr>
            </w:pPr>
            <w:r w:rsidRPr="00F16251">
              <w:rPr>
                <w:rFonts w:eastAsia="Calibri" w:cstheme="minorHAnsi"/>
              </w:rPr>
              <w:t>Stopień</w:t>
            </w:r>
            <w:r w:rsidR="003B50ED" w:rsidRPr="00F16251">
              <w:rPr>
                <w:rFonts w:eastAsia="Calibri" w:cstheme="minorHAnsi"/>
              </w:rPr>
              <w:t xml:space="preserve"> </w:t>
            </w:r>
            <w:r w:rsidRPr="00F16251">
              <w:rPr>
                <w:rFonts w:eastAsia="Calibri" w:cstheme="minorHAnsi"/>
              </w:rPr>
              <w:t>wykorzystania</w:t>
            </w:r>
            <w:r w:rsidR="003B50ED" w:rsidRPr="00F16251">
              <w:rPr>
                <w:rFonts w:eastAsia="Calibri" w:cstheme="minorHAnsi"/>
              </w:rPr>
              <w:t xml:space="preserve"> </w:t>
            </w:r>
            <w:r w:rsidRPr="00F16251">
              <w:rPr>
                <w:rFonts w:eastAsia="Calibri" w:cstheme="minorHAnsi"/>
              </w:rPr>
              <w:t>budżetu</w:t>
            </w:r>
            <w:r w:rsidR="003B50ED" w:rsidRPr="00F16251">
              <w:rPr>
                <w:rFonts w:eastAsia="Calibri" w:cstheme="minorHAnsi"/>
              </w:rPr>
              <w:t xml:space="preserve"> </w:t>
            </w:r>
            <w:r w:rsidRPr="00F16251">
              <w:rPr>
                <w:rFonts w:eastAsia="Calibri" w:cstheme="minorHAnsi"/>
              </w:rPr>
              <w:t>LGD</w:t>
            </w:r>
            <w:r w:rsidR="003B50ED" w:rsidRPr="00F16251">
              <w:rPr>
                <w:rFonts w:eastAsia="Calibri" w:cstheme="minorHAnsi"/>
              </w:rPr>
              <w:t xml:space="preserve"> </w:t>
            </w:r>
            <w:r w:rsidRPr="00F16251">
              <w:rPr>
                <w:rFonts w:eastAsia="Calibri" w:cstheme="minorHAnsi"/>
              </w:rPr>
              <w:t>przeznaczonego</w:t>
            </w:r>
            <w:r w:rsidR="003B50ED" w:rsidRPr="00F16251">
              <w:rPr>
                <w:rFonts w:eastAsia="Calibri" w:cstheme="minorHAnsi"/>
              </w:rPr>
              <w:t xml:space="preserve"> </w:t>
            </w:r>
            <w:r w:rsidRPr="00F16251">
              <w:rPr>
                <w:rFonts w:eastAsia="Calibri" w:cstheme="minorHAnsi"/>
              </w:rPr>
              <w:t>na</w:t>
            </w:r>
            <w:r w:rsidR="003B50ED" w:rsidRPr="00F16251">
              <w:rPr>
                <w:rFonts w:eastAsia="Calibri" w:cstheme="minorHAnsi"/>
              </w:rPr>
              <w:t xml:space="preserve"> </w:t>
            </w:r>
            <w:r w:rsidRPr="00F16251">
              <w:rPr>
                <w:rFonts w:eastAsia="Calibri" w:cstheme="minorHAnsi"/>
              </w:rPr>
              <w:t>wdrażanie</w:t>
            </w:r>
            <w:r w:rsidR="003B50ED" w:rsidRPr="00F16251">
              <w:rPr>
                <w:rFonts w:eastAsia="Calibri" w:cstheme="minorHAnsi"/>
              </w:rPr>
              <w:t xml:space="preserve"> </w:t>
            </w:r>
            <w:r w:rsidRPr="00F16251">
              <w:rPr>
                <w:rFonts w:eastAsia="Calibri" w:cstheme="minorHAnsi"/>
              </w:rPr>
              <w:t>LSR</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odniesieniu</w:t>
            </w:r>
            <w:r w:rsidR="003B50ED" w:rsidRPr="00F16251">
              <w:rPr>
                <w:rFonts w:eastAsia="Calibri" w:cstheme="minorHAnsi"/>
              </w:rPr>
              <w:t xml:space="preserve"> </w:t>
            </w:r>
            <w:r w:rsidRPr="00F16251">
              <w:rPr>
                <w:rFonts w:eastAsia="Calibri" w:cstheme="minorHAnsi"/>
              </w:rPr>
              <w:t>do</w:t>
            </w:r>
            <w:r w:rsidR="003B50ED" w:rsidRPr="00F16251">
              <w:rPr>
                <w:rFonts w:eastAsia="Calibri" w:cstheme="minorHAnsi"/>
              </w:rPr>
              <w:t xml:space="preserve"> </w:t>
            </w:r>
            <w:r w:rsidRPr="00F16251">
              <w:rPr>
                <w:rFonts w:eastAsia="Calibri" w:cstheme="minorHAnsi"/>
              </w:rPr>
              <w:t>podjętych</w:t>
            </w:r>
            <w:r w:rsidR="003B50ED" w:rsidRPr="00F16251">
              <w:rPr>
                <w:rFonts w:eastAsia="Calibri" w:cstheme="minorHAnsi"/>
              </w:rPr>
              <w:t xml:space="preserve"> </w:t>
            </w:r>
            <w:r w:rsidRPr="00F16251">
              <w:rPr>
                <w:rFonts w:eastAsia="Calibri" w:cstheme="minorHAnsi"/>
              </w:rPr>
              <w:t>środków,</w:t>
            </w:r>
            <w:r w:rsidR="003B50ED" w:rsidRPr="00F16251">
              <w:rPr>
                <w:rFonts w:eastAsia="Calibri" w:cstheme="minorHAnsi"/>
              </w:rPr>
              <w:t xml:space="preserve"> </w:t>
            </w:r>
            <w:r w:rsidRPr="00F16251">
              <w:rPr>
                <w:rFonts w:eastAsia="Calibri" w:cstheme="minorHAnsi"/>
              </w:rPr>
              <w:t>wpływ</w:t>
            </w:r>
            <w:r w:rsidR="003B50ED" w:rsidRPr="00F16251">
              <w:rPr>
                <w:rFonts w:eastAsia="Calibri" w:cstheme="minorHAnsi"/>
              </w:rPr>
              <w:t xml:space="preserve"> </w:t>
            </w:r>
            <w:r w:rsidRPr="00F16251">
              <w:rPr>
                <w:rFonts w:eastAsia="Calibri" w:cstheme="minorHAnsi"/>
              </w:rPr>
              <w:t>podejmowanych</w:t>
            </w:r>
            <w:r w:rsidR="003B50ED" w:rsidRPr="00F16251">
              <w:rPr>
                <w:rFonts w:eastAsia="Calibri" w:cstheme="minorHAnsi"/>
              </w:rPr>
              <w:t xml:space="preserve"> </w:t>
            </w:r>
            <w:r w:rsidRPr="00F16251">
              <w:rPr>
                <w:rFonts w:eastAsia="Calibri" w:cstheme="minorHAnsi"/>
              </w:rPr>
              <w:t>przez</w:t>
            </w:r>
            <w:r w:rsidR="003B50ED" w:rsidRPr="00F16251">
              <w:rPr>
                <w:rFonts w:eastAsia="Calibri" w:cstheme="minorHAnsi"/>
              </w:rPr>
              <w:t xml:space="preserve"> </w:t>
            </w:r>
            <w:r w:rsidRPr="00F16251">
              <w:rPr>
                <w:rFonts w:eastAsia="Calibri" w:cstheme="minorHAnsi"/>
              </w:rPr>
              <w:t>Biuro</w:t>
            </w:r>
            <w:r w:rsidR="003B50ED" w:rsidRPr="00F16251">
              <w:rPr>
                <w:rFonts w:eastAsia="Calibri" w:cstheme="minorHAnsi"/>
              </w:rPr>
              <w:t xml:space="preserve"> </w:t>
            </w:r>
            <w:r w:rsidRPr="00F16251">
              <w:rPr>
                <w:rFonts w:eastAsia="Calibri" w:cstheme="minorHAnsi"/>
              </w:rPr>
              <w:t>LGD</w:t>
            </w:r>
            <w:r w:rsidR="003B50ED" w:rsidRPr="00F16251">
              <w:rPr>
                <w:rFonts w:eastAsia="Calibri" w:cstheme="minorHAnsi"/>
              </w:rPr>
              <w:t xml:space="preserve"> </w:t>
            </w:r>
            <w:r w:rsidRPr="00F16251">
              <w:rPr>
                <w:rFonts w:eastAsia="Calibri" w:cstheme="minorHAnsi"/>
              </w:rPr>
              <w:t>działań</w:t>
            </w:r>
            <w:r w:rsidR="003B50ED" w:rsidRPr="00F16251">
              <w:rPr>
                <w:rFonts w:eastAsia="Calibri" w:cstheme="minorHAnsi"/>
              </w:rPr>
              <w:t xml:space="preserve"> </w:t>
            </w:r>
            <w:r w:rsidRPr="00F16251">
              <w:rPr>
                <w:rFonts w:eastAsia="Calibri" w:cstheme="minorHAnsi"/>
              </w:rPr>
              <w:t>na</w:t>
            </w:r>
            <w:r w:rsidR="003B50ED" w:rsidRPr="00F16251">
              <w:rPr>
                <w:rFonts w:eastAsia="Calibri" w:cstheme="minorHAnsi"/>
              </w:rPr>
              <w:t xml:space="preserve"> </w:t>
            </w:r>
            <w:r w:rsidRPr="00F16251">
              <w:rPr>
                <w:rFonts w:eastAsia="Calibri" w:cstheme="minorHAnsi"/>
              </w:rPr>
              <w:t>postęp</w:t>
            </w:r>
            <w:r w:rsidR="003B50ED" w:rsidRPr="00F16251">
              <w:rPr>
                <w:rFonts w:eastAsia="Calibri" w:cstheme="minorHAnsi"/>
              </w:rPr>
              <w:t xml:space="preserve"> </w:t>
            </w:r>
            <w:r w:rsidRPr="00F16251">
              <w:rPr>
                <w:rFonts w:eastAsia="Calibri" w:cstheme="minorHAnsi"/>
              </w:rPr>
              <w:t>finansowy,</w:t>
            </w:r>
            <w:r w:rsidR="003B50ED" w:rsidRPr="00F16251">
              <w:rPr>
                <w:rFonts w:eastAsia="Calibri" w:cstheme="minorHAnsi"/>
              </w:rPr>
              <w:t xml:space="preserve"> </w:t>
            </w:r>
            <w:r w:rsidRPr="00F16251">
              <w:rPr>
                <w:rFonts w:eastAsia="Calibri" w:cstheme="minorHAnsi"/>
              </w:rPr>
              <w:t>ocena</w:t>
            </w:r>
            <w:r w:rsidR="003B50ED" w:rsidRPr="00F16251">
              <w:rPr>
                <w:rFonts w:eastAsia="Calibri" w:cstheme="minorHAnsi"/>
              </w:rPr>
              <w:t xml:space="preserve"> </w:t>
            </w:r>
            <w:r w:rsidRPr="00F16251">
              <w:rPr>
                <w:rFonts w:eastAsia="Calibri" w:cstheme="minorHAnsi"/>
              </w:rPr>
              <w:t>trafności</w:t>
            </w:r>
            <w:r w:rsidR="003B50ED" w:rsidRPr="00F16251">
              <w:rPr>
                <w:rFonts w:eastAsia="Calibri" w:cstheme="minorHAnsi"/>
              </w:rPr>
              <w:t xml:space="preserve"> </w:t>
            </w:r>
            <w:r w:rsidRPr="00F16251">
              <w:rPr>
                <w:rFonts w:eastAsia="Calibri" w:cstheme="minorHAnsi"/>
              </w:rPr>
              <w:t>założeń</w:t>
            </w:r>
            <w:r w:rsidR="003B50ED" w:rsidRPr="00F16251">
              <w:rPr>
                <w:rFonts w:eastAsia="Calibri" w:cstheme="minorHAnsi"/>
              </w:rPr>
              <w:t xml:space="preserve"> </w:t>
            </w:r>
            <w:r w:rsidRPr="00F16251">
              <w:rPr>
                <w:rFonts w:eastAsia="Calibri" w:cstheme="minorHAnsi"/>
              </w:rPr>
              <w:t>finansowych</w:t>
            </w:r>
            <w:r w:rsidR="003B50ED" w:rsidRPr="00F16251">
              <w:rPr>
                <w:rFonts w:eastAsia="Calibri" w:cstheme="minorHAnsi"/>
              </w:rPr>
              <w:t xml:space="preserve"> </w:t>
            </w:r>
            <w:r w:rsidRPr="00F16251">
              <w:rPr>
                <w:rFonts w:eastAsia="Calibri" w:cstheme="minorHAnsi"/>
              </w:rPr>
              <w:t>LSR.</w:t>
            </w:r>
            <w:r w:rsidR="003B50ED" w:rsidRPr="00F16251">
              <w:rPr>
                <w:rFonts w:eastAsia="Calibri" w:cstheme="minorHAnsi"/>
              </w:rPr>
              <w:t xml:space="preserve"> </w:t>
            </w:r>
          </w:p>
          <w:p w14:paraId="353A5B26" w14:textId="7087DE84" w:rsidR="002C63F4" w:rsidRPr="00F16251" w:rsidRDefault="002C63F4" w:rsidP="00611E7C">
            <w:pPr>
              <w:spacing w:line="276" w:lineRule="auto"/>
              <w:ind w:right="5"/>
              <w:cnfStyle w:val="000000100000" w:firstRow="0" w:lastRow="0" w:firstColumn="0" w:lastColumn="0" w:oddVBand="0" w:evenVBand="0" w:oddHBand="1" w:evenHBand="0" w:firstRowFirstColumn="0" w:firstRowLastColumn="0" w:lastRowFirstColumn="0" w:lastRowLastColumn="0"/>
              <w:rPr>
                <w:rFonts w:eastAsia="Calibri" w:cstheme="minorHAnsi"/>
              </w:rPr>
            </w:pPr>
            <w:r w:rsidRPr="00F16251">
              <w:rPr>
                <w:rFonts w:eastAsia="Calibri" w:cstheme="minorHAnsi"/>
              </w:rPr>
              <w:t>Kryterium:</w:t>
            </w:r>
            <w:r w:rsidR="003B50ED" w:rsidRPr="00F16251">
              <w:rPr>
                <w:rFonts w:eastAsia="Calibri" w:cstheme="minorHAnsi"/>
              </w:rPr>
              <w:t xml:space="preserve"> </w:t>
            </w:r>
            <w:r w:rsidRPr="00F16251">
              <w:rPr>
                <w:rFonts w:eastAsia="Calibri" w:cstheme="minorHAnsi"/>
              </w:rPr>
              <w:t>Skuteczność</w:t>
            </w:r>
            <w:r w:rsidR="003B50ED" w:rsidRPr="00F16251">
              <w:rPr>
                <w:rFonts w:eastAsia="Calibri" w:cstheme="minorHAnsi"/>
              </w:rPr>
              <w:t xml:space="preserve"> </w:t>
            </w:r>
            <w:r w:rsidRPr="00F16251">
              <w:rPr>
                <w:rFonts w:eastAsia="Calibri" w:cstheme="minorHAnsi"/>
              </w:rPr>
              <w:t>i</w:t>
            </w:r>
            <w:r w:rsidR="003B50ED" w:rsidRPr="00F16251">
              <w:rPr>
                <w:rFonts w:eastAsia="Calibri" w:cstheme="minorHAnsi"/>
              </w:rPr>
              <w:t xml:space="preserve"> </w:t>
            </w:r>
            <w:r w:rsidRPr="00F16251">
              <w:rPr>
                <w:rFonts w:eastAsia="Calibri" w:cstheme="minorHAnsi"/>
              </w:rPr>
              <w:t>użyteczność</w:t>
            </w:r>
          </w:p>
        </w:tc>
      </w:tr>
      <w:tr w:rsidR="00F16251" w:rsidRPr="00F16251" w14:paraId="3C257ADB" w14:textId="77777777" w:rsidTr="00BC3DF7">
        <w:tc>
          <w:tcPr>
            <w:cnfStyle w:val="001000000000" w:firstRow="0" w:lastRow="0" w:firstColumn="1" w:lastColumn="0" w:oddVBand="0" w:evenVBand="0" w:oddHBand="0" w:evenHBand="0" w:firstRowFirstColumn="0" w:firstRowLastColumn="0" w:lastRowFirstColumn="0" w:lastRowLastColumn="0"/>
            <w:tcW w:w="3256" w:type="dxa"/>
          </w:tcPr>
          <w:p w14:paraId="7722967F" w14:textId="150B822E" w:rsidR="002C63F4" w:rsidRPr="00F16251" w:rsidRDefault="002C63F4" w:rsidP="00611E7C">
            <w:pPr>
              <w:spacing w:line="276" w:lineRule="auto"/>
              <w:ind w:right="5"/>
              <w:rPr>
                <w:rFonts w:eastAsia="Calibri" w:cstheme="minorHAnsi"/>
                <w:b w:val="0"/>
                <w:bCs w:val="0"/>
              </w:rPr>
            </w:pPr>
            <w:r w:rsidRPr="00F16251">
              <w:rPr>
                <w:rFonts w:eastAsia="Calibri" w:cstheme="minorHAnsi"/>
                <w:b w:val="0"/>
                <w:bCs w:val="0"/>
              </w:rPr>
              <w:t>Harmonogram</w:t>
            </w:r>
            <w:r w:rsidR="003B50ED" w:rsidRPr="00F16251">
              <w:rPr>
                <w:rFonts w:eastAsia="Calibri" w:cstheme="minorHAnsi"/>
                <w:b w:val="0"/>
                <w:bCs w:val="0"/>
              </w:rPr>
              <w:t xml:space="preserve"> </w:t>
            </w:r>
            <w:r w:rsidRPr="00F16251">
              <w:rPr>
                <w:rFonts w:eastAsia="Calibri" w:cstheme="minorHAnsi"/>
                <w:b w:val="0"/>
                <w:bCs w:val="0"/>
              </w:rPr>
              <w:t>ogłaszanych</w:t>
            </w:r>
            <w:r w:rsidR="003B50ED" w:rsidRPr="00F16251">
              <w:rPr>
                <w:rFonts w:eastAsia="Calibri" w:cstheme="minorHAnsi"/>
                <w:b w:val="0"/>
                <w:bCs w:val="0"/>
              </w:rPr>
              <w:t xml:space="preserve"> </w:t>
            </w:r>
            <w:r w:rsidRPr="00F16251">
              <w:rPr>
                <w:rFonts w:eastAsia="Calibri" w:cstheme="minorHAnsi"/>
                <w:b w:val="0"/>
                <w:bCs w:val="0"/>
              </w:rPr>
              <w:t>konkursów</w:t>
            </w:r>
            <w:r w:rsidR="003B50ED" w:rsidRPr="00F16251">
              <w:rPr>
                <w:rFonts w:eastAsia="Calibri" w:cstheme="minorHAnsi"/>
                <w:b w:val="0"/>
                <w:bCs w:val="0"/>
              </w:rPr>
              <w:t xml:space="preserve"> </w:t>
            </w:r>
            <w:r w:rsidRPr="00F16251">
              <w:rPr>
                <w:rFonts w:eastAsia="Calibri" w:cstheme="minorHAnsi"/>
                <w:b w:val="0"/>
                <w:bCs w:val="0"/>
              </w:rPr>
              <w:t>oraz</w:t>
            </w:r>
            <w:r w:rsidR="003B50ED" w:rsidRPr="00F16251">
              <w:rPr>
                <w:rFonts w:eastAsia="Calibri" w:cstheme="minorHAnsi"/>
                <w:b w:val="0"/>
                <w:bCs w:val="0"/>
              </w:rPr>
              <w:t xml:space="preserve"> </w:t>
            </w:r>
            <w:r w:rsidRPr="00F16251">
              <w:rPr>
                <w:rFonts w:eastAsia="Calibri" w:cstheme="minorHAnsi"/>
                <w:b w:val="0"/>
                <w:bCs w:val="0"/>
              </w:rPr>
              <w:t>poziom</w:t>
            </w:r>
            <w:r w:rsidR="003B50ED" w:rsidRPr="00F16251">
              <w:rPr>
                <w:rFonts w:eastAsia="Calibri" w:cstheme="minorHAnsi"/>
                <w:b w:val="0"/>
                <w:bCs w:val="0"/>
              </w:rPr>
              <w:t xml:space="preserve"> </w:t>
            </w:r>
            <w:r w:rsidRPr="00F16251">
              <w:rPr>
                <w:rFonts w:eastAsia="Calibri" w:cstheme="minorHAnsi"/>
                <w:b w:val="0"/>
                <w:bCs w:val="0"/>
              </w:rPr>
              <w:t>zainteresowania</w:t>
            </w:r>
            <w:r w:rsidR="003B50ED" w:rsidRPr="00F16251">
              <w:rPr>
                <w:rFonts w:eastAsia="Calibri" w:cstheme="minorHAnsi"/>
                <w:b w:val="0"/>
                <w:bCs w:val="0"/>
              </w:rPr>
              <w:t xml:space="preserve"> </w:t>
            </w:r>
            <w:r w:rsidRPr="00F16251">
              <w:rPr>
                <w:rFonts w:eastAsia="Calibri" w:cstheme="minorHAnsi"/>
                <w:b w:val="0"/>
                <w:bCs w:val="0"/>
              </w:rPr>
              <w:t>beneficjentów</w:t>
            </w:r>
            <w:r w:rsidR="003B50ED" w:rsidRPr="00F16251">
              <w:rPr>
                <w:rFonts w:eastAsia="Calibri" w:cstheme="minorHAnsi"/>
                <w:b w:val="0"/>
                <w:bCs w:val="0"/>
              </w:rPr>
              <w:t xml:space="preserve"> </w:t>
            </w:r>
            <w:r w:rsidRPr="00F16251">
              <w:rPr>
                <w:rFonts w:eastAsia="Calibri" w:cstheme="minorHAnsi"/>
                <w:b w:val="0"/>
                <w:bCs w:val="0"/>
              </w:rPr>
              <w:t>ogłaszanymi</w:t>
            </w:r>
            <w:r w:rsidR="003B50ED" w:rsidRPr="00F16251">
              <w:rPr>
                <w:rFonts w:eastAsia="Calibri" w:cstheme="minorHAnsi"/>
                <w:b w:val="0"/>
                <w:bCs w:val="0"/>
              </w:rPr>
              <w:t xml:space="preserve"> </w:t>
            </w:r>
            <w:r w:rsidRPr="00F16251">
              <w:rPr>
                <w:rFonts w:eastAsia="Calibri" w:cstheme="minorHAnsi"/>
                <w:b w:val="0"/>
                <w:bCs w:val="0"/>
              </w:rPr>
              <w:t>naborami</w:t>
            </w:r>
            <w:r w:rsidR="003B50ED" w:rsidRPr="00F16251">
              <w:rPr>
                <w:rFonts w:eastAsia="Calibri" w:cstheme="minorHAnsi"/>
                <w:b w:val="0"/>
                <w:bCs w:val="0"/>
              </w:rPr>
              <w:t xml:space="preserve"> </w:t>
            </w:r>
            <w:r w:rsidRPr="00F16251">
              <w:rPr>
                <w:rFonts w:eastAsia="Calibri" w:cstheme="minorHAnsi"/>
                <w:b w:val="0"/>
                <w:bCs w:val="0"/>
              </w:rPr>
              <w:t>–</w:t>
            </w:r>
            <w:r w:rsidR="003B50ED" w:rsidRPr="00F16251">
              <w:rPr>
                <w:rFonts w:eastAsia="Calibri" w:cstheme="minorHAnsi"/>
                <w:b w:val="0"/>
                <w:bCs w:val="0"/>
              </w:rPr>
              <w:t xml:space="preserve"> </w:t>
            </w:r>
            <w:r w:rsidRPr="00F16251">
              <w:rPr>
                <w:rFonts w:eastAsia="Calibri" w:cstheme="minorHAnsi"/>
                <w:b w:val="0"/>
                <w:bCs w:val="0"/>
              </w:rPr>
              <w:t>wdrażanie</w:t>
            </w:r>
            <w:r w:rsidR="003B50ED" w:rsidRPr="00F16251">
              <w:rPr>
                <w:rFonts w:eastAsia="Calibri" w:cstheme="minorHAnsi"/>
                <w:b w:val="0"/>
                <w:bCs w:val="0"/>
              </w:rPr>
              <w:t xml:space="preserve"> </w:t>
            </w:r>
            <w:r w:rsidRPr="00F16251">
              <w:rPr>
                <w:rFonts w:eastAsia="Calibri" w:cstheme="minorHAnsi"/>
                <w:b w:val="0"/>
                <w:bCs w:val="0"/>
              </w:rPr>
              <w:t>i</w:t>
            </w:r>
            <w:r w:rsidR="003B50ED" w:rsidRPr="00F16251">
              <w:rPr>
                <w:rFonts w:eastAsia="Calibri" w:cstheme="minorHAnsi"/>
                <w:b w:val="0"/>
                <w:bCs w:val="0"/>
              </w:rPr>
              <w:t xml:space="preserve"> </w:t>
            </w:r>
            <w:r w:rsidRPr="00F16251">
              <w:rPr>
                <w:rFonts w:eastAsia="Calibri" w:cstheme="minorHAnsi"/>
                <w:b w:val="0"/>
                <w:bCs w:val="0"/>
              </w:rPr>
              <w:t>zarządzanie</w:t>
            </w:r>
            <w:r w:rsidR="003B50ED" w:rsidRPr="00F16251">
              <w:rPr>
                <w:rFonts w:eastAsia="Calibri" w:cstheme="minorHAnsi"/>
                <w:b w:val="0"/>
                <w:bCs w:val="0"/>
              </w:rPr>
              <w:t xml:space="preserve"> </w:t>
            </w:r>
            <w:r w:rsidRPr="00F16251">
              <w:rPr>
                <w:rFonts w:eastAsia="Calibri" w:cstheme="minorHAnsi"/>
                <w:b w:val="0"/>
                <w:bCs w:val="0"/>
              </w:rPr>
              <w:t>LSR</w:t>
            </w:r>
          </w:p>
        </w:tc>
        <w:tc>
          <w:tcPr>
            <w:tcW w:w="2976" w:type="dxa"/>
          </w:tcPr>
          <w:p w14:paraId="04F4896A" w14:textId="49E07C0A" w:rsidR="002C63F4" w:rsidRPr="00F16251" w:rsidRDefault="002C63F4" w:rsidP="00611E7C">
            <w:pPr>
              <w:spacing w:line="276" w:lineRule="auto"/>
              <w:ind w:right="5"/>
              <w:cnfStyle w:val="000000000000" w:firstRow="0" w:lastRow="0" w:firstColumn="0" w:lastColumn="0" w:oddVBand="0" w:evenVBand="0" w:oddHBand="0" w:evenHBand="0" w:firstRowFirstColumn="0" w:firstRowLastColumn="0" w:lastRowFirstColumn="0" w:lastRowLastColumn="0"/>
              <w:rPr>
                <w:rFonts w:eastAsia="Calibri" w:cstheme="minorHAnsi"/>
              </w:rPr>
            </w:pPr>
            <w:r w:rsidRPr="00F16251">
              <w:rPr>
                <w:rFonts w:eastAsia="Calibri" w:cstheme="minorHAnsi"/>
              </w:rPr>
              <w:t>dokumentacja</w:t>
            </w:r>
            <w:r w:rsidR="003B50ED" w:rsidRPr="00F16251">
              <w:rPr>
                <w:rFonts w:eastAsia="Calibri" w:cstheme="minorHAnsi"/>
              </w:rPr>
              <w:t xml:space="preserve"> </w:t>
            </w:r>
            <w:r w:rsidRPr="00F16251">
              <w:rPr>
                <w:rFonts w:eastAsia="Calibri" w:cstheme="minorHAnsi"/>
              </w:rPr>
              <w:t>konkursowa,</w:t>
            </w:r>
            <w:r w:rsidR="003B50ED" w:rsidRPr="00F16251">
              <w:rPr>
                <w:rFonts w:eastAsia="Calibri" w:cstheme="minorHAnsi"/>
              </w:rPr>
              <w:t xml:space="preserve"> </w:t>
            </w:r>
            <w:r w:rsidRPr="00F16251">
              <w:rPr>
                <w:rFonts w:eastAsia="Calibri" w:cstheme="minorHAnsi"/>
              </w:rPr>
              <w:t>rejestr</w:t>
            </w:r>
            <w:r w:rsidR="003B50ED" w:rsidRPr="00F16251">
              <w:rPr>
                <w:rFonts w:eastAsia="Calibri" w:cstheme="minorHAnsi"/>
              </w:rPr>
              <w:t xml:space="preserve"> </w:t>
            </w:r>
            <w:r w:rsidRPr="00F16251">
              <w:rPr>
                <w:rFonts w:eastAsia="Calibri" w:cstheme="minorHAnsi"/>
              </w:rPr>
              <w:t>wniosków,</w:t>
            </w:r>
            <w:r w:rsidR="003B50ED" w:rsidRPr="00F16251">
              <w:rPr>
                <w:rFonts w:eastAsia="Calibri" w:cstheme="minorHAnsi"/>
              </w:rPr>
              <w:t xml:space="preserve"> </w:t>
            </w:r>
            <w:r w:rsidRPr="00F16251">
              <w:rPr>
                <w:rFonts w:eastAsia="Calibri" w:cstheme="minorHAnsi"/>
              </w:rPr>
              <w:t>rejestr</w:t>
            </w:r>
            <w:r w:rsidR="003B50ED" w:rsidRPr="00F16251">
              <w:rPr>
                <w:rFonts w:eastAsia="Calibri" w:cstheme="minorHAnsi"/>
              </w:rPr>
              <w:t xml:space="preserve"> </w:t>
            </w:r>
            <w:r w:rsidRPr="00F16251">
              <w:rPr>
                <w:rFonts w:eastAsia="Calibri" w:cstheme="minorHAnsi"/>
              </w:rPr>
              <w:t>doradztwa,</w:t>
            </w:r>
            <w:r w:rsidR="003B50ED" w:rsidRPr="00F16251">
              <w:rPr>
                <w:rFonts w:eastAsia="Calibri" w:cstheme="minorHAnsi"/>
              </w:rPr>
              <w:t xml:space="preserve"> </w:t>
            </w:r>
            <w:r w:rsidRPr="00F16251">
              <w:rPr>
                <w:rFonts w:eastAsia="Calibri" w:cstheme="minorHAnsi"/>
              </w:rPr>
              <w:t>listy</w:t>
            </w:r>
            <w:r w:rsidR="003B50ED" w:rsidRPr="00F16251">
              <w:rPr>
                <w:rFonts w:eastAsia="Calibri" w:cstheme="minorHAnsi"/>
              </w:rPr>
              <w:t xml:space="preserve"> </w:t>
            </w:r>
            <w:r w:rsidRPr="00F16251">
              <w:rPr>
                <w:rFonts w:eastAsia="Calibri" w:cstheme="minorHAnsi"/>
              </w:rPr>
              <w:t>obecności</w:t>
            </w:r>
            <w:r w:rsidR="003B50ED" w:rsidRPr="00F16251">
              <w:rPr>
                <w:rFonts w:eastAsia="Calibri" w:cstheme="minorHAnsi"/>
              </w:rPr>
              <w:t xml:space="preserve"> </w:t>
            </w:r>
            <w:r w:rsidRPr="00F16251">
              <w:rPr>
                <w:rFonts w:eastAsia="Calibri" w:cstheme="minorHAnsi"/>
              </w:rPr>
              <w:t>na</w:t>
            </w:r>
            <w:r w:rsidR="003B50ED" w:rsidRPr="00F16251">
              <w:rPr>
                <w:rFonts w:eastAsia="Calibri" w:cstheme="minorHAnsi"/>
              </w:rPr>
              <w:t xml:space="preserve"> </w:t>
            </w:r>
            <w:r w:rsidRPr="00F16251">
              <w:rPr>
                <w:rFonts w:eastAsia="Calibri" w:cstheme="minorHAnsi"/>
              </w:rPr>
              <w:t>spotkaniach</w:t>
            </w:r>
            <w:r w:rsidR="003B50ED" w:rsidRPr="00F16251">
              <w:rPr>
                <w:rFonts w:eastAsia="Calibri" w:cstheme="minorHAnsi"/>
              </w:rPr>
              <w:t xml:space="preserve"> </w:t>
            </w:r>
            <w:r w:rsidRPr="00F16251">
              <w:rPr>
                <w:rFonts w:eastAsia="Calibri" w:cstheme="minorHAnsi"/>
              </w:rPr>
              <w:t>szkoleniowych,</w:t>
            </w:r>
            <w:r w:rsidR="003B50ED" w:rsidRPr="00F16251">
              <w:rPr>
                <w:rFonts w:eastAsia="Calibri" w:cstheme="minorHAnsi"/>
              </w:rPr>
              <w:t xml:space="preserve"> </w:t>
            </w:r>
            <w:r w:rsidRPr="00F16251">
              <w:rPr>
                <w:rFonts w:eastAsia="Calibri" w:cstheme="minorHAnsi"/>
              </w:rPr>
              <w:t>licznik</w:t>
            </w:r>
            <w:r w:rsidR="003B50ED" w:rsidRPr="00F16251">
              <w:rPr>
                <w:rFonts w:eastAsia="Calibri" w:cstheme="minorHAnsi"/>
              </w:rPr>
              <w:t xml:space="preserve"> </w:t>
            </w:r>
            <w:r w:rsidRPr="00F16251">
              <w:rPr>
                <w:rFonts w:eastAsia="Calibri" w:cstheme="minorHAnsi"/>
              </w:rPr>
              <w:t>odwiedzin</w:t>
            </w:r>
            <w:r w:rsidR="003B50ED" w:rsidRPr="00F16251">
              <w:rPr>
                <w:rFonts w:eastAsia="Calibri" w:cstheme="minorHAnsi"/>
              </w:rPr>
              <w:t xml:space="preserve"> </w:t>
            </w:r>
            <w:r w:rsidRPr="00F16251">
              <w:rPr>
                <w:rFonts w:eastAsia="Calibri" w:cstheme="minorHAnsi"/>
              </w:rPr>
              <w:t>na</w:t>
            </w:r>
            <w:r w:rsidR="003B50ED" w:rsidRPr="00F16251">
              <w:rPr>
                <w:rFonts w:eastAsia="Calibri" w:cstheme="minorHAnsi"/>
              </w:rPr>
              <w:t xml:space="preserve"> </w:t>
            </w:r>
            <w:r w:rsidRPr="00F16251">
              <w:rPr>
                <w:rFonts w:eastAsia="Calibri" w:cstheme="minorHAnsi"/>
              </w:rPr>
              <w:t>stronie</w:t>
            </w:r>
            <w:r w:rsidR="003B50ED" w:rsidRPr="00F16251">
              <w:rPr>
                <w:rFonts w:eastAsia="Calibri" w:cstheme="minorHAnsi"/>
              </w:rPr>
              <w:t xml:space="preserve"> </w:t>
            </w:r>
            <w:r w:rsidRPr="00F16251">
              <w:rPr>
                <w:rFonts w:eastAsia="Calibri" w:cstheme="minorHAnsi"/>
              </w:rPr>
              <w:t>internetowej</w:t>
            </w:r>
            <w:r w:rsidR="003B50ED" w:rsidRPr="00F16251">
              <w:rPr>
                <w:rFonts w:eastAsia="Calibri" w:cstheme="minorHAnsi"/>
              </w:rPr>
              <w:t xml:space="preserve"> </w:t>
            </w:r>
            <w:r w:rsidRPr="00F16251">
              <w:rPr>
                <w:rFonts w:eastAsia="Calibri" w:cstheme="minorHAnsi"/>
              </w:rPr>
              <w:t>/</w:t>
            </w:r>
            <w:r w:rsidR="003B50ED" w:rsidRPr="00F16251">
              <w:rPr>
                <w:rFonts w:eastAsia="Calibri" w:cstheme="minorHAnsi"/>
              </w:rPr>
              <w:t xml:space="preserve"> </w:t>
            </w:r>
            <w:r w:rsidRPr="00F16251">
              <w:rPr>
                <w:rFonts w:eastAsia="Calibri" w:cstheme="minorHAnsi"/>
              </w:rPr>
              <w:t>na</w:t>
            </w:r>
            <w:r w:rsidR="003B50ED" w:rsidRPr="00F16251">
              <w:rPr>
                <w:rFonts w:eastAsia="Calibri" w:cstheme="minorHAnsi"/>
              </w:rPr>
              <w:t xml:space="preserve"> </w:t>
            </w:r>
            <w:r w:rsidRPr="00F16251">
              <w:rPr>
                <w:rFonts w:eastAsia="Calibri" w:cstheme="minorHAnsi"/>
              </w:rPr>
              <w:t>profilu</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mediach</w:t>
            </w:r>
            <w:r w:rsidR="003B50ED" w:rsidRPr="00F16251">
              <w:rPr>
                <w:rFonts w:eastAsia="Calibri" w:cstheme="minorHAnsi"/>
              </w:rPr>
              <w:t xml:space="preserve"> </w:t>
            </w:r>
            <w:r w:rsidRPr="00F16251">
              <w:rPr>
                <w:rFonts w:eastAsia="Calibri" w:cstheme="minorHAnsi"/>
              </w:rPr>
              <w:t>społecznościowych,</w:t>
            </w:r>
            <w:r w:rsidR="003B50ED" w:rsidRPr="00F16251">
              <w:rPr>
                <w:rFonts w:eastAsia="Calibri" w:cstheme="minorHAnsi"/>
              </w:rPr>
              <w:t xml:space="preserve"> </w:t>
            </w:r>
          </w:p>
          <w:p w14:paraId="344863FA" w14:textId="6F7114D5" w:rsidR="002C63F4" w:rsidRPr="00F16251" w:rsidRDefault="002C63F4" w:rsidP="00611E7C">
            <w:pPr>
              <w:spacing w:line="276" w:lineRule="auto"/>
              <w:ind w:right="5"/>
              <w:cnfStyle w:val="000000000000" w:firstRow="0" w:lastRow="0" w:firstColumn="0" w:lastColumn="0" w:oddVBand="0" w:evenVBand="0" w:oddHBand="0" w:evenHBand="0" w:firstRowFirstColumn="0" w:firstRowLastColumn="0" w:lastRowFirstColumn="0" w:lastRowLastColumn="0"/>
              <w:rPr>
                <w:rFonts w:eastAsia="Calibri" w:cstheme="minorHAnsi"/>
              </w:rPr>
            </w:pPr>
            <w:r w:rsidRPr="00F16251">
              <w:rPr>
                <w:rFonts w:eastAsia="Calibri" w:cstheme="minorHAnsi"/>
              </w:rPr>
              <w:t>M6,</w:t>
            </w:r>
            <w:r w:rsidR="003B50ED" w:rsidRPr="00F16251">
              <w:rPr>
                <w:rFonts w:eastAsia="Calibri" w:cstheme="minorHAnsi"/>
              </w:rPr>
              <w:t xml:space="preserve"> </w:t>
            </w:r>
            <w:r w:rsidRPr="00F16251">
              <w:rPr>
                <w:rFonts w:eastAsia="Calibri" w:cstheme="minorHAnsi"/>
              </w:rPr>
              <w:t>E1,</w:t>
            </w:r>
            <w:r w:rsidR="003B50ED" w:rsidRPr="00F16251">
              <w:rPr>
                <w:rFonts w:eastAsia="Calibri" w:cstheme="minorHAnsi"/>
              </w:rPr>
              <w:t xml:space="preserve"> </w:t>
            </w:r>
            <w:r w:rsidRPr="00F16251">
              <w:rPr>
                <w:rFonts w:eastAsia="Calibri" w:cstheme="minorHAnsi"/>
              </w:rPr>
              <w:t>EX</w:t>
            </w:r>
          </w:p>
        </w:tc>
        <w:tc>
          <w:tcPr>
            <w:tcW w:w="3969" w:type="dxa"/>
          </w:tcPr>
          <w:p w14:paraId="583037B3" w14:textId="05D69917" w:rsidR="002C63F4" w:rsidRPr="00F16251" w:rsidRDefault="002C63F4" w:rsidP="00611E7C">
            <w:pPr>
              <w:spacing w:line="276" w:lineRule="auto"/>
              <w:ind w:right="5"/>
              <w:cnfStyle w:val="000000000000" w:firstRow="0" w:lastRow="0" w:firstColumn="0" w:lastColumn="0" w:oddVBand="0" w:evenVBand="0" w:oddHBand="0" w:evenHBand="0" w:firstRowFirstColumn="0" w:firstRowLastColumn="0" w:lastRowFirstColumn="0" w:lastRowLastColumn="0"/>
              <w:rPr>
                <w:rFonts w:eastAsia="Calibri" w:cstheme="minorHAnsi"/>
              </w:rPr>
            </w:pPr>
            <w:r w:rsidRPr="00F16251">
              <w:rPr>
                <w:rFonts w:eastAsia="Calibri" w:cstheme="minorHAnsi"/>
              </w:rPr>
              <w:t>Zgodność</w:t>
            </w:r>
            <w:r w:rsidR="003B50ED" w:rsidRPr="00F16251">
              <w:rPr>
                <w:rFonts w:eastAsia="Calibri" w:cstheme="minorHAnsi"/>
              </w:rPr>
              <w:t xml:space="preserve"> </w:t>
            </w:r>
            <w:r w:rsidRPr="00F16251">
              <w:rPr>
                <w:rFonts w:eastAsia="Calibri" w:cstheme="minorHAnsi"/>
              </w:rPr>
              <w:t>ogłaszanych</w:t>
            </w:r>
            <w:r w:rsidR="003B50ED" w:rsidRPr="00F16251">
              <w:rPr>
                <w:rFonts w:eastAsia="Calibri" w:cstheme="minorHAnsi"/>
              </w:rPr>
              <w:t xml:space="preserve"> </w:t>
            </w:r>
            <w:r w:rsidRPr="00F16251">
              <w:rPr>
                <w:rFonts w:eastAsia="Calibri" w:cstheme="minorHAnsi"/>
              </w:rPr>
              <w:t>konkursów</w:t>
            </w:r>
            <w:r w:rsidR="003B50ED" w:rsidRPr="00F16251">
              <w:rPr>
                <w:rFonts w:eastAsia="Calibri" w:cstheme="minorHAnsi"/>
              </w:rPr>
              <w:t xml:space="preserve"> </w:t>
            </w:r>
            <w:r w:rsidRPr="00F16251">
              <w:rPr>
                <w:rFonts w:eastAsia="Calibri" w:cstheme="minorHAnsi"/>
              </w:rPr>
              <w:t>z</w:t>
            </w:r>
            <w:r w:rsidR="003B50ED" w:rsidRPr="00F16251">
              <w:rPr>
                <w:rFonts w:eastAsia="Calibri" w:cstheme="minorHAnsi"/>
              </w:rPr>
              <w:t xml:space="preserve"> </w:t>
            </w:r>
            <w:r w:rsidRPr="00F16251">
              <w:rPr>
                <w:rFonts w:eastAsia="Calibri" w:cstheme="minorHAnsi"/>
              </w:rPr>
              <w:t>przyjętym</w:t>
            </w:r>
            <w:r w:rsidR="003B50ED" w:rsidRPr="00F16251">
              <w:rPr>
                <w:rFonts w:eastAsia="Calibri" w:cstheme="minorHAnsi"/>
              </w:rPr>
              <w:t xml:space="preserve"> </w:t>
            </w:r>
            <w:r w:rsidRPr="00F16251">
              <w:rPr>
                <w:rFonts w:eastAsia="Calibri" w:cstheme="minorHAnsi"/>
              </w:rPr>
              <w:t>harmonogramem,</w:t>
            </w:r>
            <w:r w:rsidR="003B50ED" w:rsidRPr="00F16251">
              <w:rPr>
                <w:rFonts w:eastAsia="Calibri" w:cstheme="minorHAnsi"/>
              </w:rPr>
              <w:t xml:space="preserve"> </w:t>
            </w:r>
            <w:r w:rsidRPr="00F16251">
              <w:rPr>
                <w:rFonts w:eastAsia="Calibri" w:cstheme="minorHAnsi"/>
              </w:rPr>
              <w:t>ocena</w:t>
            </w:r>
            <w:r w:rsidR="003B50ED" w:rsidRPr="00F16251">
              <w:rPr>
                <w:rFonts w:eastAsia="Calibri" w:cstheme="minorHAnsi"/>
              </w:rPr>
              <w:t xml:space="preserve"> </w:t>
            </w:r>
            <w:r w:rsidRPr="00F16251">
              <w:rPr>
                <w:rFonts w:eastAsia="Calibri" w:cstheme="minorHAnsi"/>
              </w:rPr>
              <w:t>stopnia</w:t>
            </w:r>
            <w:r w:rsidR="003B50ED" w:rsidRPr="00F16251">
              <w:rPr>
                <w:rFonts w:eastAsia="Calibri" w:cstheme="minorHAnsi"/>
              </w:rPr>
              <w:t xml:space="preserve"> </w:t>
            </w:r>
            <w:r w:rsidRPr="00F16251">
              <w:rPr>
                <w:rFonts w:eastAsia="Calibri" w:cstheme="minorHAnsi"/>
              </w:rPr>
              <w:t>realizacji</w:t>
            </w:r>
            <w:r w:rsidR="003B50ED" w:rsidRPr="00F16251">
              <w:rPr>
                <w:rFonts w:eastAsia="Calibri" w:cstheme="minorHAnsi"/>
              </w:rPr>
              <w:t xml:space="preserve"> </w:t>
            </w:r>
            <w:r w:rsidRPr="00F16251">
              <w:rPr>
                <w:rFonts w:eastAsia="Calibri" w:cstheme="minorHAnsi"/>
              </w:rPr>
              <w:t>zadań</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ramach</w:t>
            </w:r>
            <w:r w:rsidR="003B50ED" w:rsidRPr="00F16251">
              <w:rPr>
                <w:rFonts w:eastAsia="Calibri" w:cstheme="minorHAnsi"/>
              </w:rPr>
              <w:t xml:space="preserve"> </w:t>
            </w:r>
            <w:r w:rsidRPr="00F16251">
              <w:rPr>
                <w:rFonts w:eastAsia="Calibri" w:cstheme="minorHAnsi"/>
              </w:rPr>
              <w:t>LSR</w:t>
            </w:r>
          </w:p>
          <w:p w14:paraId="4CD5AB9D" w14:textId="7F0B755B" w:rsidR="002C63F4" w:rsidRPr="00F16251" w:rsidRDefault="002C63F4" w:rsidP="00611E7C">
            <w:pPr>
              <w:spacing w:line="276" w:lineRule="auto"/>
              <w:ind w:right="5"/>
              <w:cnfStyle w:val="000000000000" w:firstRow="0" w:lastRow="0" w:firstColumn="0" w:lastColumn="0" w:oddVBand="0" w:evenVBand="0" w:oddHBand="0" w:evenHBand="0" w:firstRowFirstColumn="0" w:firstRowLastColumn="0" w:lastRowFirstColumn="0" w:lastRowLastColumn="0"/>
              <w:rPr>
                <w:rFonts w:eastAsia="Calibri" w:cstheme="minorHAnsi"/>
              </w:rPr>
            </w:pPr>
            <w:r w:rsidRPr="00F16251">
              <w:rPr>
                <w:rFonts w:eastAsia="Calibri" w:cstheme="minorHAnsi"/>
              </w:rPr>
              <w:t>Kryterium:</w:t>
            </w:r>
            <w:r w:rsidR="003B50ED" w:rsidRPr="00F16251">
              <w:rPr>
                <w:rFonts w:eastAsia="Calibri" w:cstheme="minorHAnsi"/>
              </w:rPr>
              <w:t xml:space="preserve"> </w:t>
            </w:r>
            <w:r w:rsidRPr="00F16251">
              <w:rPr>
                <w:rFonts w:eastAsia="Calibri" w:cstheme="minorHAnsi"/>
              </w:rPr>
              <w:t>Efektywność</w:t>
            </w:r>
          </w:p>
        </w:tc>
      </w:tr>
      <w:tr w:rsidR="00F16251" w:rsidRPr="00F16251" w14:paraId="3C543AC6" w14:textId="77777777" w:rsidTr="00BC3D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4E6EEB7" w14:textId="009D4B3F" w:rsidR="002C63F4" w:rsidRPr="00F16251" w:rsidRDefault="002C63F4" w:rsidP="00611E7C">
            <w:pPr>
              <w:spacing w:line="276" w:lineRule="auto"/>
              <w:ind w:right="5"/>
              <w:rPr>
                <w:rFonts w:eastAsia="Calibri" w:cstheme="minorHAnsi"/>
                <w:b w:val="0"/>
                <w:bCs w:val="0"/>
              </w:rPr>
            </w:pPr>
            <w:r w:rsidRPr="00F16251">
              <w:rPr>
                <w:rFonts w:eastAsia="Calibri" w:cstheme="minorHAnsi"/>
                <w:b w:val="0"/>
                <w:bCs w:val="0"/>
              </w:rPr>
              <w:t>Efektywność</w:t>
            </w:r>
            <w:r w:rsidR="003B50ED" w:rsidRPr="00F16251">
              <w:rPr>
                <w:rFonts w:eastAsia="Calibri" w:cstheme="minorHAnsi"/>
                <w:b w:val="0"/>
                <w:bCs w:val="0"/>
              </w:rPr>
              <w:t xml:space="preserve"> </w:t>
            </w:r>
            <w:r w:rsidRPr="00F16251">
              <w:rPr>
                <w:rFonts w:eastAsia="Calibri" w:cstheme="minorHAnsi"/>
                <w:b w:val="0"/>
                <w:bCs w:val="0"/>
              </w:rPr>
              <w:t>promocji</w:t>
            </w:r>
            <w:r w:rsidR="003B50ED" w:rsidRPr="00F16251">
              <w:rPr>
                <w:rFonts w:eastAsia="Calibri" w:cstheme="minorHAnsi"/>
                <w:b w:val="0"/>
                <w:bCs w:val="0"/>
              </w:rPr>
              <w:t xml:space="preserve"> </w:t>
            </w:r>
            <w:r w:rsidRPr="00F16251">
              <w:rPr>
                <w:rFonts w:eastAsia="Calibri" w:cstheme="minorHAnsi"/>
                <w:b w:val="0"/>
                <w:bCs w:val="0"/>
              </w:rPr>
              <w:t>i</w:t>
            </w:r>
            <w:r w:rsidR="003B50ED" w:rsidRPr="00F16251">
              <w:rPr>
                <w:rFonts w:eastAsia="Calibri" w:cstheme="minorHAnsi"/>
                <w:b w:val="0"/>
                <w:bCs w:val="0"/>
              </w:rPr>
              <w:t xml:space="preserve"> </w:t>
            </w:r>
            <w:r w:rsidRPr="00F16251">
              <w:rPr>
                <w:rFonts w:eastAsia="Calibri" w:cstheme="minorHAnsi"/>
                <w:b w:val="0"/>
                <w:bCs w:val="0"/>
              </w:rPr>
              <w:t>aktywizacji</w:t>
            </w:r>
            <w:r w:rsidR="003B50ED" w:rsidRPr="00F16251">
              <w:rPr>
                <w:rFonts w:eastAsia="Calibri" w:cstheme="minorHAnsi"/>
                <w:b w:val="0"/>
                <w:bCs w:val="0"/>
              </w:rPr>
              <w:t xml:space="preserve"> </w:t>
            </w:r>
            <w:r w:rsidRPr="00F16251">
              <w:rPr>
                <w:rFonts w:eastAsia="Calibri" w:cstheme="minorHAnsi"/>
                <w:b w:val="0"/>
                <w:bCs w:val="0"/>
              </w:rPr>
              <w:t>lokalnej</w:t>
            </w:r>
            <w:r w:rsidR="003B50ED" w:rsidRPr="00F16251">
              <w:rPr>
                <w:rFonts w:eastAsia="Calibri" w:cstheme="minorHAnsi"/>
                <w:b w:val="0"/>
                <w:bCs w:val="0"/>
              </w:rPr>
              <w:t xml:space="preserve"> </w:t>
            </w:r>
            <w:r w:rsidRPr="00F16251">
              <w:rPr>
                <w:rFonts w:eastAsia="Calibri" w:cstheme="minorHAnsi"/>
                <w:b w:val="0"/>
                <w:bCs w:val="0"/>
              </w:rPr>
              <w:t>społeczności,</w:t>
            </w:r>
            <w:r w:rsidR="003B50ED" w:rsidRPr="00F16251">
              <w:rPr>
                <w:rFonts w:eastAsia="Calibri" w:cstheme="minorHAnsi"/>
                <w:b w:val="0"/>
                <w:bCs w:val="0"/>
              </w:rPr>
              <w:t xml:space="preserve"> </w:t>
            </w:r>
            <w:r w:rsidRPr="00F16251">
              <w:rPr>
                <w:rFonts w:eastAsia="Calibri" w:cstheme="minorHAnsi"/>
                <w:b w:val="0"/>
                <w:bCs w:val="0"/>
              </w:rPr>
              <w:t>zainteresowanie</w:t>
            </w:r>
            <w:r w:rsidR="003B50ED" w:rsidRPr="00F16251">
              <w:rPr>
                <w:rFonts w:eastAsia="Calibri" w:cstheme="minorHAnsi"/>
                <w:b w:val="0"/>
                <w:bCs w:val="0"/>
              </w:rPr>
              <w:t xml:space="preserve"> </w:t>
            </w:r>
            <w:r w:rsidRPr="00F16251">
              <w:rPr>
                <w:rFonts w:eastAsia="Calibri" w:cstheme="minorHAnsi"/>
                <w:b w:val="0"/>
                <w:bCs w:val="0"/>
              </w:rPr>
              <w:t>stroną</w:t>
            </w:r>
            <w:r w:rsidR="003B50ED" w:rsidRPr="00F16251">
              <w:rPr>
                <w:rFonts w:eastAsia="Calibri" w:cstheme="minorHAnsi"/>
                <w:b w:val="0"/>
                <w:bCs w:val="0"/>
              </w:rPr>
              <w:t xml:space="preserve"> </w:t>
            </w:r>
            <w:r w:rsidRPr="00F16251">
              <w:rPr>
                <w:rFonts w:eastAsia="Calibri" w:cstheme="minorHAnsi"/>
                <w:b w:val="0"/>
                <w:bCs w:val="0"/>
              </w:rPr>
              <w:t>internetową</w:t>
            </w:r>
            <w:r w:rsidR="003B50ED" w:rsidRPr="00F16251">
              <w:rPr>
                <w:rFonts w:eastAsia="Calibri" w:cstheme="minorHAnsi"/>
                <w:b w:val="0"/>
                <w:bCs w:val="0"/>
              </w:rPr>
              <w:t xml:space="preserve"> </w:t>
            </w:r>
            <w:r w:rsidRPr="00F16251">
              <w:rPr>
                <w:rFonts w:eastAsia="Calibri" w:cstheme="minorHAnsi"/>
                <w:b w:val="0"/>
                <w:bCs w:val="0"/>
              </w:rPr>
              <w:t>LGD</w:t>
            </w:r>
            <w:r w:rsidR="003B50ED" w:rsidRPr="00F16251">
              <w:rPr>
                <w:rFonts w:eastAsia="Calibri" w:cstheme="minorHAnsi"/>
                <w:b w:val="0"/>
                <w:bCs w:val="0"/>
              </w:rPr>
              <w:t xml:space="preserve"> </w:t>
            </w:r>
            <w:r w:rsidRPr="00F16251">
              <w:rPr>
                <w:rFonts w:eastAsia="Calibri" w:cstheme="minorHAnsi"/>
                <w:b w:val="0"/>
                <w:bCs w:val="0"/>
              </w:rPr>
              <w:t>oraz</w:t>
            </w:r>
            <w:r w:rsidR="003B50ED" w:rsidRPr="00F16251">
              <w:rPr>
                <w:rFonts w:eastAsia="Calibri" w:cstheme="minorHAnsi"/>
                <w:b w:val="0"/>
                <w:bCs w:val="0"/>
              </w:rPr>
              <w:t xml:space="preserve"> </w:t>
            </w:r>
            <w:r w:rsidRPr="00F16251">
              <w:rPr>
                <w:rFonts w:eastAsia="Calibri" w:cstheme="minorHAnsi"/>
                <w:b w:val="0"/>
                <w:bCs w:val="0"/>
              </w:rPr>
              <w:t>profilem</w:t>
            </w:r>
            <w:r w:rsidR="003B50ED" w:rsidRPr="00F16251">
              <w:rPr>
                <w:rFonts w:eastAsia="Calibri" w:cstheme="minorHAnsi"/>
                <w:b w:val="0"/>
                <w:bCs w:val="0"/>
              </w:rPr>
              <w:t xml:space="preserve"> </w:t>
            </w:r>
            <w:r w:rsidRPr="00F16251">
              <w:rPr>
                <w:rFonts w:eastAsia="Calibri" w:cstheme="minorHAnsi"/>
                <w:b w:val="0"/>
                <w:bCs w:val="0"/>
              </w:rPr>
              <w:t>w</w:t>
            </w:r>
            <w:r w:rsidR="003B50ED" w:rsidRPr="00F16251">
              <w:rPr>
                <w:rFonts w:eastAsia="Calibri" w:cstheme="minorHAnsi"/>
                <w:b w:val="0"/>
                <w:bCs w:val="0"/>
              </w:rPr>
              <w:t xml:space="preserve"> </w:t>
            </w:r>
            <w:r w:rsidRPr="00F16251">
              <w:rPr>
                <w:rFonts w:eastAsia="Calibri" w:cstheme="minorHAnsi"/>
                <w:b w:val="0"/>
                <w:bCs w:val="0"/>
              </w:rPr>
              <w:t>mediach</w:t>
            </w:r>
            <w:r w:rsidR="003B50ED" w:rsidRPr="00F16251">
              <w:rPr>
                <w:rFonts w:eastAsia="Calibri" w:cstheme="minorHAnsi"/>
                <w:b w:val="0"/>
                <w:bCs w:val="0"/>
              </w:rPr>
              <w:t xml:space="preserve"> </w:t>
            </w:r>
            <w:r w:rsidRPr="00F16251">
              <w:rPr>
                <w:rFonts w:eastAsia="Calibri" w:cstheme="minorHAnsi"/>
                <w:b w:val="0"/>
                <w:bCs w:val="0"/>
              </w:rPr>
              <w:t>społecznościowych,</w:t>
            </w:r>
            <w:r w:rsidR="003B50ED" w:rsidRPr="00F16251">
              <w:rPr>
                <w:rFonts w:eastAsia="Calibri" w:cstheme="minorHAnsi"/>
                <w:b w:val="0"/>
                <w:bCs w:val="0"/>
              </w:rPr>
              <w:t xml:space="preserve"> </w:t>
            </w:r>
            <w:r w:rsidRPr="00F16251">
              <w:rPr>
                <w:rFonts w:eastAsia="Calibri" w:cstheme="minorHAnsi"/>
                <w:b w:val="0"/>
                <w:bCs w:val="0"/>
              </w:rPr>
              <w:t>udziałem</w:t>
            </w:r>
            <w:r w:rsidR="003B50ED" w:rsidRPr="00F16251">
              <w:rPr>
                <w:rFonts w:eastAsia="Calibri" w:cstheme="minorHAnsi"/>
                <w:b w:val="0"/>
                <w:bCs w:val="0"/>
              </w:rPr>
              <w:t xml:space="preserve"> </w:t>
            </w:r>
            <w:r w:rsidRPr="00F16251">
              <w:rPr>
                <w:rFonts w:eastAsia="Calibri" w:cstheme="minorHAnsi"/>
                <w:b w:val="0"/>
                <w:bCs w:val="0"/>
              </w:rPr>
              <w:t>w</w:t>
            </w:r>
            <w:r w:rsidR="003B50ED" w:rsidRPr="00F16251">
              <w:rPr>
                <w:rFonts w:eastAsia="Calibri" w:cstheme="minorHAnsi"/>
                <w:b w:val="0"/>
                <w:bCs w:val="0"/>
              </w:rPr>
              <w:t xml:space="preserve"> </w:t>
            </w:r>
            <w:r w:rsidRPr="00F16251">
              <w:rPr>
                <w:rFonts w:eastAsia="Calibri" w:cstheme="minorHAnsi"/>
                <w:b w:val="0"/>
                <w:bCs w:val="0"/>
              </w:rPr>
              <w:t>ofercie</w:t>
            </w:r>
            <w:r w:rsidR="003B50ED" w:rsidRPr="00F16251">
              <w:rPr>
                <w:rFonts w:eastAsia="Calibri" w:cstheme="minorHAnsi"/>
                <w:b w:val="0"/>
                <w:bCs w:val="0"/>
              </w:rPr>
              <w:t xml:space="preserve"> </w:t>
            </w:r>
            <w:r w:rsidRPr="00F16251">
              <w:rPr>
                <w:rFonts w:eastAsia="Calibri" w:cstheme="minorHAnsi"/>
                <w:b w:val="0"/>
                <w:bCs w:val="0"/>
              </w:rPr>
              <w:t>informacyjno-promocyjnej,</w:t>
            </w:r>
            <w:r w:rsidR="003B50ED" w:rsidRPr="00F16251">
              <w:rPr>
                <w:rFonts w:eastAsia="Calibri" w:cstheme="minorHAnsi"/>
                <w:b w:val="0"/>
                <w:bCs w:val="0"/>
              </w:rPr>
              <w:t xml:space="preserve"> </w:t>
            </w:r>
            <w:r w:rsidRPr="00F16251">
              <w:rPr>
                <w:rFonts w:eastAsia="Calibri" w:cstheme="minorHAnsi"/>
                <w:b w:val="0"/>
                <w:bCs w:val="0"/>
              </w:rPr>
              <w:t>czytelność</w:t>
            </w:r>
            <w:r w:rsidR="003B50ED" w:rsidRPr="00F16251">
              <w:rPr>
                <w:rFonts w:eastAsia="Calibri" w:cstheme="minorHAnsi"/>
                <w:b w:val="0"/>
                <w:bCs w:val="0"/>
              </w:rPr>
              <w:t xml:space="preserve"> </w:t>
            </w:r>
            <w:r w:rsidRPr="00F16251">
              <w:rPr>
                <w:rFonts w:eastAsia="Calibri" w:cstheme="minorHAnsi"/>
                <w:b w:val="0"/>
                <w:bCs w:val="0"/>
              </w:rPr>
              <w:t>i</w:t>
            </w:r>
            <w:r w:rsidR="003B50ED" w:rsidRPr="00F16251">
              <w:rPr>
                <w:rFonts w:eastAsia="Calibri" w:cstheme="minorHAnsi"/>
                <w:b w:val="0"/>
                <w:bCs w:val="0"/>
              </w:rPr>
              <w:t xml:space="preserve"> </w:t>
            </w:r>
            <w:r w:rsidRPr="00F16251">
              <w:rPr>
                <w:rFonts w:eastAsia="Calibri" w:cstheme="minorHAnsi"/>
                <w:b w:val="0"/>
                <w:bCs w:val="0"/>
              </w:rPr>
              <w:t>skuteczność</w:t>
            </w:r>
            <w:r w:rsidR="003B50ED" w:rsidRPr="00F16251">
              <w:rPr>
                <w:rFonts w:eastAsia="Calibri" w:cstheme="minorHAnsi"/>
                <w:b w:val="0"/>
                <w:bCs w:val="0"/>
              </w:rPr>
              <w:t xml:space="preserve"> </w:t>
            </w:r>
            <w:r w:rsidRPr="00F16251">
              <w:rPr>
                <w:rFonts w:eastAsia="Calibri" w:cstheme="minorHAnsi"/>
                <w:b w:val="0"/>
                <w:bCs w:val="0"/>
              </w:rPr>
              <w:t>przekazu,</w:t>
            </w:r>
            <w:r w:rsidR="003B50ED" w:rsidRPr="00F16251">
              <w:rPr>
                <w:rFonts w:eastAsia="Calibri" w:cstheme="minorHAnsi"/>
                <w:b w:val="0"/>
                <w:bCs w:val="0"/>
              </w:rPr>
              <w:t xml:space="preserve"> </w:t>
            </w:r>
            <w:r w:rsidRPr="00F16251">
              <w:rPr>
                <w:rFonts w:eastAsia="Calibri" w:cstheme="minorHAnsi"/>
                <w:b w:val="0"/>
                <w:bCs w:val="0"/>
              </w:rPr>
              <w:t>przepływ</w:t>
            </w:r>
            <w:r w:rsidR="003B50ED" w:rsidRPr="00F16251">
              <w:rPr>
                <w:rFonts w:eastAsia="Calibri" w:cstheme="minorHAnsi"/>
                <w:b w:val="0"/>
                <w:bCs w:val="0"/>
              </w:rPr>
              <w:t xml:space="preserve"> </w:t>
            </w:r>
            <w:r w:rsidRPr="00F16251">
              <w:rPr>
                <w:rFonts w:eastAsia="Calibri" w:cstheme="minorHAnsi"/>
                <w:b w:val="0"/>
                <w:bCs w:val="0"/>
              </w:rPr>
              <w:t>informacji</w:t>
            </w:r>
            <w:r w:rsidR="003B50ED" w:rsidRPr="00F16251">
              <w:rPr>
                <w:rFonts w:eastAsia="Calibri" w:cstheme="minorHAnsi"/>
                <w:b w:val="0"/>
                <w:bCs w:val="0"/>
              </w:rPr>
              <w:t xml:space="preserve"> </w:t>
            </w:r>
            <w:r w:rsidRPr="00F16251">
              <w:rPr>
                <w:rFonts w:eastAsia="Calibri" w:cstheme="minorHAnsi"/>
                <w:b w:val="0"/>
                <w:bCs w:val="0"/>
              </w:rPr>
              <w:t>–</w:t>
            </w:r>
            <w:r w:rsidR="003B50ED" w:rsidRPr="00F16251">
              <w:rPr>
                <w:rFonts w:eastAsia="Calibri" w:cstheme="minorHAnsi"/>
                <w:b w:val="0"/>
                <w:bCs w:val="0"/>
              </w:rPr>
              <w:t xml:space="preserve"> </w:t>
            </w:r>
            <w:r w:rsidRPr="00F16251">
              <w:rPr>
                <w:rFonts w:eastAsia="Calibri" w:cstheme="minorHAnsi"/>
                <w:b w:val="0"/>
                <w:bCs w:val="0"/>
              </w:rPr>
              <w:t>zarządzenie</w:t>
            </w:r>
            <w:r w:rsidR="003B50ED" w:rsidRPr="00F16251">
              <w:rPr>
                <w:rFonts w:eastAsia="Calibri" w:cstheme="minorHAnsi"/>
                <w:b w:val="0"/>
                <w:bCs w:val="0"/>
              </w:rPr>
              <w:t xml:space="preserve"> </w:t>
            </w:r>
            <w:r w:rsidRPr="00F16251">
              <w:rPr>
                <w:rFonts w:eastAsia="Calibri" w:cstheme="minorHAnsi"/>
                <w:b w:val="0"/>
                <w:bCs w:val="0"/>
              </w:rPr>
              <w:t>LSR</w:t>
            </w:r>
          </w:p>
        </w:tc>
        <w:tc>
          <w:tcPr>
            <w:tcW w:w="2976" w:type="dxa"/>
          </w:tcPr>
          <w:p w14:paraId="2A609D13" w14:textId="7AAD91A1" w:rsidR="002C63F4" w:rsidRPr="00F16251" w:rsidRDefault="002C63F4" w:rsidP="00611E7C">
            <w:pPr>
              <w:spacing w:line="276" w:lineRule="auto"/>
              <w:ind w:right="5"/>
              <w:cnfStyle w:val="000000100000" w:firstRow="0" w:lastRow="0" w:firstColumn="0" w:lastColumn="0" w:oddVBand="0" w:evenVBand="0" w:oddHBand="1" w:evenHBand="0" w:firstRowFirstColumn="0" w:firstRowLastColumn="0" w:lastRowFirstColumn="0" w:lastRowLastColumn="0"/>
              <w:rPr>
                <w:rFonts w:eastAsia="Calibri" w:cstheme="minorHAnsi"/>
              </w:rPr>
            </w:pPr>
            <w:r w:rsidRPr="00F16251">
              <w:rPr>
                <w:rFonts w:eastAsia="Calibri" w:cstheme="minorHAnsi"/>
              </w:rPr>
              <w:t>dokumentacja</w:t>
            </w:r>
            <w:r w:rsidR="003B50ED" w:rsidRPr="00F16251">
              <w:rPr>
                <w:rFonts w:eastAsia="Calibri" w:cstheme="minorHAnsi"/>
              </w:rPr>
              <w:t xml:space="preserve"> </w:t>
            </w:r>
            <w:r w:rsidRPr="00F16251">
              <w:rPr>
                <w:rFonts w:eastAsia="Calibri" w:cstheme="minorHAnsi"/>
              </w:rPr>
              <w:t>własna</w:t>
            </w:r>
            <w:r w:rsidR="003B50ED" w:rsidRPr="00F16251">
              <w:rPr>
                <w:rFonts w:eastAsia="Calibri" w:cstheme="minorHAnsi"/>
              </w:rPr>
              <w:t xml:space="preserve"> </w:t>
            </w:r>
            <w:r w:rsidRPr="00F16251">
              <w:rPr>
                <w:rFonts w:eastAsia="Calibri" w:cstheme="minorHAnsi"/>
              </w:rPr>
              <w:t>LGD,</w:t>
            </w:r>
            <w:r w:rsidR="003B50ED" w:rsidRPr="00F16251">
              <w:rPr>
                <w:rFonts w:eastAsia="Calibri" w:cstheme="minorHAnsi"/>
              </w:rPr>
              <w:t xml:space="preserve"> </w:t>
            </w:r>
            <w:r w:rsidRPr="00F16251">
              <w:rPr>
                <w:rFonts w:eastAsia="Calibri" w:cstheme="minorHAnsi"/>
              </w:rPr>
              <w:t>licznik</w:t>
            </w:r>
            <w:r w:rsidR="003B50ED" w:rsidRPr="00F16251">
              <w:rPr>
                <w:rFonts w:eastAsia="Calibri" w:cstheme="minorHAnsi"/>
              </w:rPr>
              <w:t xml:space="preserve"> </w:t>
            </w:r>
            <w:r w:rsidRPr="00F16251">
              <w:rPr>
                <w:rFonts w:eastAsia="Calibri" w:cstheme="minorHAnsi"/>
              </w:rPr>
              <w:t>odwiedzin</w:t>
            </w:r>
            <w:r w:rsidR="003B50ED" w:rsidRPr="00F16251">
              <w:rPr>
                <w:rFonts w:eastAsia="Calibri" w:cstheme="minorHAnsi"/>
              </w:rPr>
              <w:t xml:space="preserve"> </w:t>
            </w:r>
            <w:r w:rsidRPr="00F16251">
              <w:rPr>
                <w:rFonts w:eastAsia="Calibri" w:cstheme="minorHAnsi"/>
              </w:rPr>
              <w:t>na</w:t>
            </w:r>
            <w:r w:rsidR="003B50ED" w:rsidRPr="00F16251">
              <w:rPr>
                <w:rFonts w:eastAsia="Calibri" w:cstheme="minorHAnsi"/>
              </w:rPr>
              <w:t xml:space="preserve"> </w:t>
            </w:r>
            <w:r w:rsidRPr="00F16251">
              <w:rPr>
                <w:rFonts w:eastAsia="Calibri" w:cstheme="minorHAnsi"/>
              </w:rPr>
              <w:t>stronie</w:t>
            </w:r>
            <w:r w:rsidR="003B50ED" w:rsidRPr="00F16251">
              <w:rPr>
                <w:rFonts w:eastAsia="Calibri" w:cstheme="minorHAnsi"/>
              </w:rPr>
              <w:t xml:space="preserve"> </w:t>
            </w:r>
            <w:r w:rsidRPr="00F16251">
              <w:rPr>
                <w:rFonts w:eastAsia="Calibri" w:cstheme="minorHAnsi"/>
              </w:rPr>
              <w:t>internetowej</w:t>
            </w:r>
            <w:r w:rsidR="003B50ED" w:rsidRPr="00F16251">
              <w:rPr>
                <w:rFonts w:eastAsia="Calibri" w:cstheme="minorHAnsi"/>
              </w:rPr>
              <w:t xml:space="preserve"> </w:t>
            </w:r>
            <w:r w:rsidRPr="00F16251">
              <w:rPr>
                <w:rFonts w:eastAsia="Calibri" w:cstheme="minorHAnsi"/>
              </w:rPr>
              <w:t>/</w:t>
            </w:r>
            <w:r w:rsidR="003B50ED" w:rsidRPr="00F16251">
              <w:rPr>
                <w:rFonts w:eastAsia="Calibri" w:cstheme="minorHAnsi"/>
              </w:rPr>
              <w:t xml:space="preserve"> </w:t>
            </w:r>
            <w:r w:rsidRPr="00F16251">
              <w:rPr>
                <w:rFonts w:eastAsia="Calibri" w:cstheme="minorHAnsi"/>
              </w:rPr>
              <w:t>na</w:t>
            </w:r>
            <w:r w:rsidR="003B50ED" w:rsidRPr="00F16251">
              <w:rPr>
                <w:rFonts w:eastAsia="Calibri" w:cstheme="minorHAnsi"/>
              </w:rPr>
              <w:t xml:space="preserve"> </w:t>
            </w:r>
            <w:r w:rsidRPr="00F16251">
              <w:rPr>
                <w:rFonts w:eastAsia="Calibri" w:cstheme="minorHAnsi"/>
              </w:rPr>
              <w:t>profilu</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mediach</w:t>
            </w:r>
            <w:r w:rsidR="003B50ED" w:rsidRPr="00F16251">
              <w:rPr>
                <w:rFonts w:eastAsia="Calibri" w:cstheme="minorHAnsi"/>
              </w:rPr>
              <w:t xml:space="preserve"> </w:t>
            </w:r>
            <w:r w:rsidRPr="00F16251">
              <w:rPr>
                <w:rFonts w:eastAsia="Calibri" w:cstheme="minorHAnsi"/>
              </w:rPr>
              <w:t>społecznościowych,</w:t>
            </w:r>
            <w:r w:rsidR="003B50ED" w:rsidRPr="00F16251">
              <w:rPr>
                <w:rFonts w:eastAsia="Calibri" w:cstheme="minorHAnsi"/>
              </w:rPr>
              <w:t xml:space="preserve"> </w:t>
            </w:r>
            <w:r w:rsidRPr="00F16251">
              <w:rPr>
                <w:rFonts w:eastAsia="Calibri" w:cstheme="minorHAnsi"/>
              </w:rPr>
              <w:t>listy</w:t>
            </w:r>
            <w:r w:rsidR="003B50ED" w:rsidRPr="00F16251">
              <w:rPr>
                <w:rFonts w:eastAsia="Calibri" w:cstheme="minorHAnsi"/>
              </w:rPr>
              <w:t xml:space="preserve"> </w:t>
            </w:r>
            <w:r w:rsidRPr="00F16251">
              <w:rPr>
                <w:rFonts w:eastAsia="Calibri" w:cstheme="minorHAnsi"/>
              </w:rPr>
              <w:t>obecności,</w:t>
            </w:r>
            <w:r w:rsidR="003B50ED" w:rsidRPr="00F16251">
              <w:rPr>
                <w:rFonts w:eastAsia="Calibri" w:cstheme="minorHAnsi"/>
              </w:rPr>
              <w:t xml:space="preserve"> </w:t>
            </w:r>
            <w:r w:rsidRPr="00F16251">
              <w:rPr>
                <w:rFonts w:eastAsia="Calibri" w:cstheme="minorHAnsi"/>
              </w:rPr>
              <w:t>dokumentacja</w:t>
            </w:r>
            <w:r w:rsidR="003B50ED" w:rsidRPr="00F16251">
              <w:rPr>
                <w:rFonts w:eastAsia="Calibri" w:cstheme="minorHAnsi"/>
              </w:rPr>
              <w:t xml:space="preserve"> </w:t>
            </w:r>
            <w:r w:rsidRPr="00F16251">
              <w:rPr>
                <w:rFonts w:eastAsia="Calibri" w:cstheme="minorHAnsi"/>
              </w:rPr>
              <w:t>zdjęciowa,</w:t>
            </w:r>
            <w:r w:rsidR="003B50ED" w:rsidRPr="00F16251">
              <w:rPr>
                <w:rFonts w:eastAsia="Calibri" w:cstheme="minorHAnsi"/>
              </w:rPr>
              <w:t xml:space="preserve"> </w:t>
            </w:r>
            <w:r w:rsidRPr="00F16251">
              <w:rPr>
                <w:rFonts w:eastAsia="Calibri" w:cstheme="minorHAnsi"/>
              </w:rPr>
              <w:t>ankiety,</w:t>
            </w:r>
            <w:r w:rsidR="003B50ED" w:rsidRPr="00F16251">
              <w:rPr>
                <w:rFonts w:eastAsia="Calibri" w:cstheme="minorHAnsi"/>
              </w:rPr>
              <w:t xml:space="preserve"> </w:t>
            </w:r>
            <w:r w:rsidRPr="00F16251">
              <w:rPr>
                <w:rFonts w:eastAsia="Calibri" w:cstheme="minorHAnsi"/>
              </w:rPr>
              <w:t>wywiady</w:t>
            </w:r>
            <w:r w:rsidR="003B50ED" w:rsidRPr="00F16251">
              <w:rPr>
                <w:rFonts w:eastAsia="Calibri" w:cstheme="minorHAnsi"/>
              </w:rPr>
              <w:t xml:space="preserve"> </w:t>
            </w:r>
          </w:p>
          <w:p w14:paraId="5776BD64" w14:textId="60391B0D" w:rsidR="002C63F4" w:rsidRPr="00F16251" w:rsidRDefault="002C63F4" w:rsidP="00611E7C">
            <w:pPr>
              <w:spacing w:line="276" w:lineRule="auto"/>
              <w:ind w:right="5"/>
              <w:cnfStyle w:val="000000100000" w:firstRow="0" w:lastRow="0" w:firstColumn="0" w:lastColumn="0" w:oddVBand="0" w:evenVBand="0" w:oddHBand="1" w:evenHBand="0" w:firstRowFirstColumn="0" w:firstRowLastColumn="0" w:lastRowFirstColumn="0" w:lastRowLastColumn="0"/>
              <w:rPr>
                <w:rFonts w:eastAsia="Calibri" w:cstheme="minorHAnsi"/>
              </w:rPr>
            </w:pPr>
            <w:r w:rsidRPr="00F16251">
              <w:rPr>
                <w:rFonts w:eastAsia="Calibri" w:cstheme="minorHAnsi"/>
              </w:rPr>
              <w:t>M6,</w:t>
            </w:r>
            <w:r w:rsidR="003B50ED" w:rsidRPr="00F16251">
              <w:rPr>
                <w:rFonts w:eastAsia="Calibri" w:cstheme="minorHAnsi"/>
              </w:rPr>
              <w:t xml:space="preserve"> </w:t>
            </w:r>
            <w:r w:rsidRPr="00F16251">
              <w:rPr>
                <w:rFonts w:eastAsia="Calibri" w:cstheme="minorHAnsi"/>
              </w:rPr>
              <w:t>E1,</w:t>
            </w:r>
            <w:r w:rsidR="003B50ED" w:rsidRPr="00F16251">
              <w:rPr>
                <w:rFonts w:eastAsia="Calibri" w:cstheme="minorHAnsi"/>
              </w:rPr>
              <w:t xml:space="preserve"> </w:t>
            </w:r>
            <w:r w:rsidRPr="00F16251">
              <w:rPr>
                <w:rFonts w:eastAsia="Calibri" w:cstheme="minorHAnsi"/>
              </w:rPr>
              <w:t>EX</w:t>
            </w:r>
          </w:p>
        </w:tc>
        <w:tc>
          <w:tcPr>
            <w:tcW w:w="3969" w:type="dxa"/>
          </w:tcPr>
          <w:p w14:paraId="014C76DB" w14:textId="36D3EE9A" w:rsidR="002C63F4" w:rsidRPr="00F16251" w:rsidRDefault="002C63F4" w:rsidP="00611E7C">
            <w:pPr>
              <w:spacing w:line="276" w:lineRule="auto"/>
              <w:ind w:right="5"/>
              <w:cnfStyle w:val="000000100000" w:firstRow="0" w:lastRow="0" w:firstColumn="0" w:lastColumn="0" w:oddVBand="0" w:evenVBand="0" w:oddHBand="1" w:evenHBand="0" w:firstRowFirstColumn="0" w:firstRowLastColumn="0" w:lastRowFirstColumn="0" w:lastRowLastColumn="0"/>
              <w:rPr>
                <w:rFonts w:eastAsia="Calibri" w:cstheme="minorHAnsi"/>
              </w:rPr>
            </w:pPr>
            <w:r w:rsidRPr="00F16251">
              <w:rPr>
                <w:rFonts w:eastAsia="Calibri" w:cstheme="minorHAnsi"/>
              </w:rPr>
              <w:t>Ocena</w:t>
            </w:r>
            <w:r w:rsidR="003B50ED" w:rsidRPr="00F16251">
              <w:rPr>
                <w:rFonts w:eastAsia="Calibri" w:cstheme="minorHAnsi"/>
              </w:rPr>
              <w:t xml:space="preserve"> </w:t>
            </w:r>
            <w:r w:rsidRPr="00F16251">
              <w:rPr>
                <w:rFonts w:eastAsia="Calibri" w:cstheme="minorHAnsi"/>
              </w:rPr>
              <w:t>skuteczności</w:t>
            </w:r>
            <w:r w:rsidR="003B50ED" w:rsidRPr="00F16251">
              <w:rPr>
                <w:rFonts w:eastAsia="Calibri" w:cstheme="minorHAnsi"/>
              </w:rPr>
              <w:t xml:space="preserve"> </w:t>
            </w:r>
            <w:r w:rsidRPr="00F16251">
              <w:rPr>
                <w:rFonts w:eastAsia="Calibri" w:cstheme="minorHAnsi"/>
              </w:rPr>
              <w:t>przepływu</w:t>
            </w:r>
            <w:r w:rsidR="003B50ED" w:rsidRPr="00F16251">
              <w:rPr>
                <w:rFonts w:eastAsia="Calibri" w:cstheme="minorHAnsi"/>
              </w:rPr>
              <w:t xml:space="preserve"> </w:t>
            </w:r>
            <w:r w:rsidRPr="00F16251">
              <w:rPr>
                <w:rFonts w:eastAsia="Calibri" w:cstheme="minorHAnsi"/>
              </w:rPr>
              <w:t>informacji</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stosunku</w:t>
            </w:r>
            <w:r w:rsidR="003B50ED" w:rsidRPr="00F16251">
              <w:rPr>
                <w:rFonts w:eastAsia="Calibri" w:cstheme="minorHAnsi"/>
              </w:rPr>
              <w:t xml:space="preserve"> </w:t>
            </w:r>
            <w:r w:rsidRPr="00F16251">
              <w:rPr>
                <w:rFonts w:eastAsia="Calibri" w:cstheme="minorHAnsi"/>
              </w:rPr>
              <w:t>do</w:t>
            </w:r>
            <w:r w:rsidR="003B50ED" w:rsidRPr="00F16251">
              <w:rPr>
                <w:rFonts w:eastAsia="Calibri" w:cstheme="minorHAnsi"/>
              </w:rPr>
              <w:t xml:space="preserve"> </w:t>
            </w:r>
            <w:r w:rsidRPr="00F16251">
              <w:rPr>
                <w:rFonts w:eastAsia="Calibri" w:cstheme="minorHAnsi"/>
              </w:rPr>
              <w:t>osiągniętych</w:t>
            </w:r>
            <w:r w:rsidR="003B50ED" w:rsidRPr="00F16251">
              <w:rPr>
                <w:rFonts w:eastAsia="Calibri" w:cstheme="minorHAnsi"/>
              </w:rPr>
              <w:t xml:space="preserve"> </w:t>
            </w:r>
            <w:r w:rsidRPr="00F16251">
              <w:rPr>
                <w:rFonts w:eastAsia="Calibri" w:cstheme="minorHAnsi"/>
              </w:rPr>
              <w:t>rezultatów,</w:t>
            </w:r>
            <w:r w:rsidR="003B50ED" w:rsidRPr="00F16251">
              <w:rPr>
                <w:rFonts w:eastAsia="Calibri" w:cstheme="minorHAnsi"/>
              </w:rPr>
              <w:t xml:space="preserve"> </w:t>
            </w:r>
            <w:r w:rsidRPr="00F16251">
              <w:rPr>
                <w:rFonts w:eastAsia="Calibri" w:cstheme="minorHAnsi"/>
              </w:rPr>
              <w:t>badanie</w:t>
            </w:r>
            <w:r w:rsidR="003B50ED" w:rsidRPr="00F16251">
              <w:rPr>
                <w:rFonts w:eastAsia="Calibri" w:cstheme="minorHAnsi"/>
              </w:rPr>
              <w:t xml:space="preserve"> </w:t>
            </w:r>
            <w:r w:rsidRPr="00F16251">
              <w:rPr>
                <w:rFonts w:eastAsia="Calibri" w:cstheme="minorHAnsi"/>
              </w:rPr>
              <w:t>efektów</w:t>
            </w:r>
            <w:r w:rsidR="003B50ED" w:rsidRPr="00F16251">
              <w:rPr>
                <w:rFonts w:eastAsia="Calibri" w:cstheme="minorHAnsi"/>
              </w:rPr>
              <w:t xml:space="preserve"> </w:t>
            </w:r>
            <w:r w:rsidRPr="00F16251">
              <w:rPr>
                <w:rFonts w:eastAsia="Calibri" w:cstheme="minorHAnsi"/>
              </w:rPr>
              <w:t>dotarcia</w:t>
            </w:r>
            <w:r w:rsidR="003B50ED" w:rsidRPr="00F16251">
              <w:rPr>
                <w:rFonts w:eastAsia="Calibri" w:cstheme="minorHAnsi"/>
              </w:rPr>
              <w:t xml:space="preserve"> </w:t>
            </w:r>
            <w:r w:rsidRPr="00F16251">
              <w:rPr>
                <w:rFonts w:eastAsia="Calibri" w:cstheme="minorHAnsi"/>
              </w:rPr>
              <w:t>do</w:t>
            </w:r>
            <w:r w:rsidR="003B50ED" w:rsidRPr="00F16251">
              <w:rPr>
                <w:rFonts w:eastAsia="Calibri" w:cstheme="minorHAnsi"/>
              </w:rPr>
              <w:t xml:space="preserve"> </w:t>
            </w:r>
            <w:r w:rsidRPr="00F16251">
              <w:rPr>
                <w:rFonts w:eastAsia="Calibri" w:cstheme="minorHAnsi"/>
              </w:rPr>
              <w:t>poszczególnych</w:t>
            </w:r>
            <w:r w:rsidR="003B50ED" w:rsidRPr="00F16251">
              <w:rPr>
                <w:rFonts w:eastAsia="Calibri" w:cstheme="minorHAnsi"/>
              </w:rPr>
              <w:t xml:space="preserve"> </w:t>
            </w:r>
            <w:r w:rsidRPr="00F16251">
              <w:rPr>
                <w:rFonts w:eastAsia="Calibri" w:cstheme="minorHAnsi"/>
              </w:rPr>
              <w:t>beneficjentów,</w:t>
            </w:r>
            <w:r w:rsidR="003B50ED" w:rsidRPr="00F16251">
              <w:rPr>
                <w:rFonts w:eastAsia="Calibri" w:cstheme="minorHAnsi"/>
              </w:rPr>
              <w:t xml:space="preserve"> </w:t>
            </w:r>
            <w:r w:rsidRPr="00F16251">
              <w:rPr>
                <w:rFonts w:eastAsia="Calibri" w:cstheme="minorHAnsi"/>
              </w:rPr>
              <w:t>liczba</w:t>
            </w:r>
            <w:r w:rsidR="003B50ED" w:rsidRPr="00F16251">
              <w:rPr>
                <w:rFonts w:eastAsia="Calibri" w:cstheme="minorHAnsi"/>
              </w:rPr>
              <w:t xml:space="preserve"> </w:t>
            </w:r>
            <w:r w:rsidRPr="00F16251">
              <w:rPr>
                <w:rFonts w:eastAsia="Calibri" w:cstheme="minorHAnsi"/>
              </w:rPr>
              <w:t>osób,</w:t>
            </w:r>
            <w:r w:rsidR="003B50ED" w:rsidRPr="00F16251">
              <w:rPr>
                <w:rFonts w:eastAsia="Calibri" w:cstheme="minorHAnsi"/>
              </w:rPr>
              <w:t xml:space="preserve"> </w:t>
            </w:r>
            <w:r w:rsidRPr="00F16251">
              <w:rPr>
                <w:rFonts w:eastAsia="Calibri" w:cstheme="minorHAnsi"/>
              </w:rPr>
              <w:t>które</w:t>
            </w:r>
            <w:r w:rsidR="003B50ED" w:rsidRPr="00F16251">
              <w:rPr>
                <w:rFonts w:eastAsia="Calibri" w:cstheme="minorHAnsi"/>
              </w:rPr>
              <w:t xml:space="preserve"> </w:t>
            </w:r>
            <w:r w:rsidRPr="00F16251">
              <w:rPr>
                <w:rFonts w:eastAsia="Calibri" w:cstheme="minorHAnsi"/>
              </w:rPr>
              <w:t>uzyskały</w:t>
            </w:r>
            <w:r w:rsidR="003B50ED" w:rsidRPr="00F16251">
              <w:rPr>
                <w:rFonts w:eastAsia="Calibri" w:cstheme="minorHAnsi"/>
              </w:rPr>
              <w:t xml:space="preserve"> </w:t>
            </w:r>
            <w:r w:rsidRPr="00F16251">
              <w:rPr>
                <w:rFonts w:eastAsia="Calibri" w:cstheme="minorHAnsi"/>
              </w:rPr>
              <w:t>informację</w:t>
            </w:r>
            <w:r w:rsidR="003B50ED" w:rsidRPr="00F16251">
              <w:rPr>
                <w:rFonts w:eastAsia="Calibri" w:cstheme="minorHAnsi"/>
              </w:rPr>
              <w:t xml:space="preserve"> </w:t>
            </w:r>
            <w:r w:rsidRPr="00F16251">
              <w:rPr>
                <w:rFonts w:eastAsia="Calibri" w:cstheme="minorHAnsi"/>
              </w:rPr>
              <w:t>na</w:t>
            </w:r>
            <w:r w:rsidR="003B50ED" w:rsidRPr="00F16251">
              <w:rPr>
                <w:rFonts w:eastAsia="Calibri" w:cstheme="minorHAnsi"/>
              </w:rPr>
              <w:t xml:space="preserve"> </w:t>
            </w:r>
            <w:r w:rsidRPr="00F16251">
              <w:rPr>
                <w:rFonts w:eastAsia="Calibri" w:cstheme="minorHAnsi"/>
              </w:rPr>
              <w:t>temat</w:t>
            </w:r>
            <w:r w:rsidR="003B50ED" w:rsidRPr="00F16251">
              <w:rPr>
                <w:rFonts w:eastAsia="Calibri" w:cstheme="minorHAnsi"/>
              </w:rPr>
              <w:t xml:space="preserve"> </w:t>
            </w:r>
            <w:r w:rsidRPr="00F16251">
              <w:rPr>
                <w:rFonts w:eastAsia="Calibri" w:cstheme="minorHAnsi"/>
              </w:rPr>
              <w:t>LGD,</w:t>
            </w:r>
            <w:r w:rsidR="003B50ED" w:rsidRPr="00F16251">
              <w:rPr>
                <w:rFonts w:eastAsia="Calibri" w:cstheme="minorHAnsi"/>
              </w:rPr>
              <w:t xml:space="preserve"> </w:t>
            </w:r>
            <w:r w:rsidRPr="00F16251">
              <w:rPr>
                <w:rFonts w:eastAsia="Calibri" w:cstheme="minorHAnsi"/>
              </w:rPr>
              <w:t>skuteczność</w:t>
            </w:r>
            <w:r w:rsidR="003B50ED" w:rsidRPr="00F16251">
              <w:rPr>
                <w:rFonts w:eastAsia="Calibri" w:cstheme="minorHAnsi"/>
              </w:rPr>
              <w:t xml:space="preserve"> </w:t>
            </w:r>
            <w:r w:rsidRPr="00F16251">
              <w:rPr>
                <w:rFonts w:eastAsia="Calibri" w:cstheme="minorHAnsi"/>
              </w:rPr>
              <w:t>animacji</w:t>
            </w:r>
            <w:r w:rsidR="003B50ED" w:rsidRPr="00F16251">
              <w:rPr>
                <w:rFonts w:eastAsia="Calibri" w:cstheme="minorHAnsi"/>
              </w:rPr>
              <w:t xml:space="preserve"> </w:t>
            </w:r>
            <w:r w:rsidRPr="00F16251">
              <w:rPr>
                <w:rFonts w:eastAsia="Calibri" w:cstheme="minorHAnsi"/>
              </w:rPr>
              <w:t>lokalnej</w:t>
            </w:r>
            <w:r w:rsidR="003B50ED" w:rsidRPr="00F16251">
              <w:rPr>
                <w:rFonts w:eastAsia="Calibri" w:cstheme="minorHAnsi"/>
              </w:rPr>
              <w:t xml:space="preserve"> </w:t>
            </w:r>
            <w:r w:rsidRPr="00F16251">
              <w:rPr>
                <w:rFonts w:eastAsia="Calibri" w:cstheme="minorHAnsi"/>
              </w:rPr>
              <w:t>społeczności.</w:t>
            </w:r>
          </w:p>
          <w:p w14:paraId="6D7854A5" w14:textId="2C70723D" w:rsidR="002C63F4" w:rsidRPr="00F16251" w:rsidRDefault="002C63F4" w:rsidP="00611E7C">
            <w:pPr>
              <w:spacing w:line="276" w:lineRule="auto"/>
              <w:ind w:right="5"/>
              <w:cnfStyle w:val="000000100000" w:firstRow="0" w:lastRow="0" w:firstColumn="0" w:lastColumn="0" w:oddVBand="0" w:evenVBand="0" w:oddHBand="1" w:evenHBand="0" w:firstRowFirstColumn="0" w:firstRowLastColumn="0" w:lastRowFirstColumn="0" w:lastRowLastColumn="0"/>
              <w:rPr>
                <w:rFonts w:eastAsia="Calibri" w:cstheme="minorHAnsi"/>
              </w:rPr>
            </w:pPr>
            <w:r w:rsidRPr="00F16251">
              <w:rPr>
                <w:rFonts w:eastAsia="Calibri" w:cstheme="minorHAnsi"/>
              </w:rPr>
              <w:t>Kryterium:</w:t>
            </w:r>
            <w:r w:rsidR="003B50ED" w:rsidRPr="00F16251">
              <w:rPr>
                <w:rFonts w:eastAsia="Calibri" w:cstheme="minorHAnsi"/>
              </w:rPr>
              <w:t xml:space="preserve"> </w:t>
            </w:r>
            <w:r w:rsidRPr="00F16251">
              <w:rPr>
                <w:rFonts w:eastAsia="Calibri" w:cstheme="minorHAnsi"/>
              </w:rPr>
              <w:t>Skuteczność</w:t>
            </w:r>
            <w:r w:rsidR="003B50ED" w:rsidRPr="00F16251">
              <w:rPr>
                <w:rFonts w:eastAsia="Calibri" w:cstheme="minorHAnsi"/>
              </w:rPr>
              <w:t xml:space="preserve"> </w:t>
            </w:r>
            <w:r w:rsidRPr="00F16251">
              <w:rPr>
                <w:rFonts w:eastAsia="Calibri" w:cstheme="minorHAnsi"/>
              </w:rPr>
              <w:t>i</w:t>
            </w:r>
            <w:r w:rsidR="003B50ED" w:rsidRPr="00F16251">
              <w:rPr>
                <w:rFonts w:eastAsia="Calibri" w:cstheme="minorHAnsi"/>
              </w:rPr>
              <w:t xml:space="preserve"> </w:t>
            </w:r>
            <w:r w:rsidRPr="00F16251">
              <w:rPr>
                <w:rFonts w:eastAsia="Calibri" w:cstheme="minorHAnsi"/>
              </w:rPr>
              <w:t>efektywność</w:t>
            </w:r>
          </w:p>
        </w:tc>
      </w:tr>
      <w:tr w:rsidR="00F16251" w:rsidRPr="00F16251" w14:paraId="32A2A280" w14:textId="77777777" w:rsidTr="00BC3DF7">
        <w:tc>
          <w:tcPr>
            <w:cnfStyle w:val="001000000000" w:firstRow="0" w:lastRow="0" w:firstColumn="1" w:lastColumn="0" w:oddVBand="0" w:evenVBand="0" w:oddHBand="0" w:evenHBand="0" w:firstRowFirstColumn="0" w:firstRowLastColumn="0" w:lastRowFirstColumn="0" w:lastRowLastColumn="0"/>
            <w:tcW w:w="3256" w:type="dxa"/>
          </w:tcPr>
          <w:p w14:paraId="065F947A" w14:textId="43AE6530" w:rsidR="002C63F4" w:rsidRPr="00F16251" w:rsidRDefault="002C63F4" w:rsidP="00611E7C">
            <w:pPr>
              <w:spacing w:line="276" w:lineRule="auto"/>
              <w:ind w:right="5"/>
              <w:rPr>
                <w:rFonts w:eastAsia="Calibri" w:cstheme="minorHAnsi"/>
                <w:b w:val="0"/>
                <w:bCs w:val="0"/>
              </w:rPr>
            </w:pPr>
            <w:r w:rsidRPr="00F16251">
              <w:rPr>
                <w:rFonts w:eastAsia="Calibri" w:cstheme="minorHAnsi"/>
                <w:b w:val="0"/>
                <w:bCs w:val="0"/>
              </w:rPr>
              <w:t>Jakość</w:t>
            </w:r>
            <w:r w:rsidR="003B50ED" w:rsidRPr="00F16251">
              <w:rPr>
                <w:rFonts w:eastAsia="Calibri" w:cstheme="minorHAnsi"/>
                <w:b w:val="0"/>
                <w:bCs w:val="0"/>
              </w:rPr>
              <w:t xml:space="preserve"> </w:t>
            </w:r>
            <w:r w:rsidRPr="00F16251">
              <w:rPr>
                <w:rFonts w:eastAsia="Calibri" w:cstheme="minorHAnsi"/>
                <w:b w:val="0"/>
                <w:bCs w:val="0"/>
              </w:rPr>
              <w:t>procedur</w:t>
            </w:r>
            <w:r w:rsidR="003B50ED" w:rsidRPr="00F16251">
              <w:rPr>
                <w:rFonts w:eastAsia="Calibri" w:cstheme="minorHAnsi"/>
                <w:b w:val="0"/>
                <w:bCs w:val="0"/>
              </w:rPr>
              <w:t xml:space="preserve"> </w:t>
            </w:r>
            <w:r w:rsidRPr="00F16251">
              <w:rPr>
                <w:rFonts w:eastAsia="Calibri" w:cstheme="minorHAnsi"/>
                <w:b w:val="0"/>
                <w:bCs w:val="0"/>
              </w:rPr>
              <w:t>oceny</w:t>
            </w:r>
            <w:r w:rsidR="003B50ED" w:rsidRPr="00F16251">
              <w:rPr>
                <w:rFonts w:eastAsia="Calibri" w:cstheme="minorHAnsi"/>
                <w:b w:val="0"/>
                <w:bCs w:val="0"/>
              </w:rPr>
              <w:t xml:space="preserve"> </w:t>
            </w:r>
            <w:r w:rsidRPr="00F16251">
              <w:rPr>
                <w:rFonts w:eastAsia="Calibri" w:cstheme="minorHAnsi"/>
                <w:b w:val="0"/>
                <w:bCs w:val="0"/>
              </w:rPr>
              <w:t>i</w:t>
            </w:r>
            <w:r w:rsidR="003B50ED" w:rsidRPr="00F16251">
              <w:rPr>
                <w:rFonts w:eastAsia="Calibri" w:cstheme="minorHAnsi"/>
                <w:b w:val="0"/>
                <w:bCs w:val="0"/>
              </w:rPr>
              <w:t xml:space="preserve"> </w:t>
            </w:r>
            <w:r w:rsidRPr="00F16251">
              <w:rPr>
                <w:rFonts w:eastAsia="Calibri" w:cstheme="minorHAnsi"/>
                <w:b w:val="0"/>
                <w:bCs w:val="0"/>
              </w:rPr>
              <w:t>wyboru</w:t>
            </w:r>
            <w:r w:rsidR="003B50ED" w:rsidRPr="00F16251">
              <w:rPr>
                <w:rFonts w:eastAsia="Calibri" w:cstheme="minorHAnsi"/>
                <w:b w:val="0"/>
                <w:bCs w:val="0"/>
              </w:rPr>
              <w:t xml:space="preserve"> </w:t>
            </w:r>
            <w:r w:rsidRPr="00F16251">
              <w:rPr>
                <w:rFonts w:eastAsia="Calibri" w:cstheme="minorHAnsi"/>
                <w:b w:val="0"/>
                <w:bCs w:val="0"/>
              </w:rPr>
              <w:t>projektów</w:t>
            </w:r>
            <w:r w:rsidR="003B50ED" w:rsidRPr="00F16251">
              <w:rPr>
                <w:rFonts w:eastAsia="Calibri" w:cstheme="minorHAnsi"/>
                <w:b w:val="0"/>
                <w:bCs w:val="0"/>
              </w:rPr>
              <w:t xml:space="preserve"> </w:t>
            </w:r>
            <w:r w:rsidRPr="00F16251">
              <w:rPr>
                <w:rFonts w:eastAsia="Calibri" w:cstheme="minorHAnsi"/>
                <w:b w:val="0"/>
                <w:bCs w:val="0"/>
              </w:rPr>
              <w:t>oraz</w:t>
            </w:r>
            <w:r w:rsidR="003B50ED" w:rsidRPr="00F16251">
              <w:rPr>
                <w:rFonts w:eastAsia="Calibri" w:cstheme="minorHAnsi"/>
                <w:b w:val="0"/>
                <w:bCs w:val="0"/>
              </w:rPr>
              <w:t xml:space="preserve"> </w:t>
            </w:r>
            <w:r w:rsidRPr="00F16251">
              <w:rPr>
                <w:rFonts w:eastAsia="Calibri" w:cstheme="minorHAnsi"/>
                <w:b w:val="0"/>
                <w:bCs w:val="0"/>
              </w:rPr>
              <w:t>efektywności</w:t>
            </w:r>
            <w:r w:rsidR="003B50ED" w:rsidRPr="00F16251">
              <w:rPr>
                <w:rFonts w:eastAsia="Calibri" w:cstheme="minorHAnsi"/>
                <w:b w:val="0"/>
                <w:bCs w:val="0"/>
              </w:rPr>
              <w:t xml:space="preserve"> </w:t>
            </w:r>
            <w:r w:rsidRPr="00F16251">
              <w:rPr>
                <w:rFonts w:eastAsia="Calibri" w:cstheme="minorHAnsi"/>
                <w:b w:val="0"/>
                <w:bCs w:val="0"/>
              </w:rPr>
              <w:t>lokalnych</w:t>
            </w:r>
            <w:r w:rsidR="003B50ED" w:rsidRPr="00F16251">
              <w:rPr>
                <w:rFonts w:eastAsia="Calibri" w:cstheme="minorHAnsi"/>
                <w:b w:val="0"/>
                <w:bCs w:val="0"/>
              </w:rPr>
              <w:t xml:space="preserve"> </w:t>
            </w:r>
            <w:r w:rsidRPr="00F16251">
              <w:rPr>
                <w:rFonts w:eastAsia="Calibri" w:cstheme="minorHAnsi"/>
                <w:b w:val="0"/>
                <w:bCs w:val="0"/>
              </w:rPr>
              <w:t>kryteriów</w:t>
            </w:r>
            <w:r w:rsidR="003B50ED" w:rsidRPr="00F16251">
              <w:rPr>
                <w:rFonts w:eastAsia="Calibri" w:cstheme="minorHAnsi"/>
                <w:b w:val="0"/>
                <w:bCs w:val="0"/>
              </w:rPr>
              <w:t xml:space="preserve"> </w:t>
            </w:r>
            <w:r w:rsidRPr="00F16251">
              <w:rPr>
                <w:rFonts w:eastAsia="Calibri" w:cstheme="minorHAnsi"/>
                <w:b w:val="0"/>
                <w:bCs w:val="0"/>
              </w:rPr>
              <w:t>wyboru</w:t>
            </w:r>
            <w:r w:rsidR="003B50ED" w:rsidRPr="00F16251">
              <w:rPr>
                <w:rFonts w:eastAsia="Calibri" w:cstheme="minorHAnsi"/>
                <w:b w:val="0"/>
                <w:bCs w:val="0"/>
              </w:rPr>
              <w:t xml:space="preserve"> </w:t>
            </w:r>
            <w:r w:rsidRPr="00F16251">
              <w:rPr>
                <w:rFonts w:eastAsia="Calibri" w:cstheme="minorHAnsi"/>
                <w:b w:val="0"/>
                <w:bCs w:val="0"/>
              </w:rPr>
              <w:t>–</w:t>
            </w:r>
            <w:r w:rsidR="003B50ED" w:rsidRPr="00F16251">
              <w:rPr>
                <w:rFonts w:eastAsia="Calibri" w:cstheme="minorHAnsi"/>
                <w:b w:val="0"/>
                <w:bCs w:val="0"/>
              </w:rPr>
              <w:t xml:space="preserve"> </w:t>
            </w:r>
            <w:r w:rsidRPr="00F16251">
              <w:rPr>
                <w:rFonts w:eastAsia="Calibri" w:cstheme="minorHAnsi"/>
                <w:b w:val="0"/>
                <w:bCs w:val="0"/>
              </w:rPr>
              <w:t>wdrażanie</w:t>
            </w:r>
            <w:r w:rsidR="003B50ED" w:rsidRPr="00F16251">
              <w:rPr>
                <w:rFonts w:eastAsia="Calibri" w:cstheme="minorHAnsi"/>
                <w:b w:val="0"/>
                <w:bCs w:val="0"/>
              </w:rPr>
              <w:t xml:space="preserve"> </w:t>
            </w:r>
            <w:r w:rsidRPr="00F16251">
              <w:rPr>
                <w:rFonts w:eastAsia="Calibri" w:cstheme="minorHAnsi"/>
                <w:b w:val="0"/>
                <w:bCs w:val="0"/>
              </w:rPr>
              <w:t>LSR</w:t>
            </w:r>
          </w:p>
        </w:tc>
        <w:tc>
          <w:tcPr>
            <w:tcW w:w="2976" w:type="dxa"/>
          </w:tcPr>
          <w:p w14:paraId="1BCFB7EE" w14:textId="4DA35563" w:rsidR="002C63F4" w:rsidRPr="00F16251" w:rsidRDefault="002C63F4" w:rsidP="00611E7C">
            <w:pPr>
              <w:spacing w:line="276" w:lineRule="auto"/>
              <w:ind w:right="5"/>
              <w:cnfStyle w:val="000000000000" w:firstRow="0" w:lastRow="0" w:firstColumn="0" w:lastColumn="0" w:oddVBand="0" w:evenVBand="0" w:oddHBand="0" w:evenHBand="0" w:firstRowFirstColumn="0" w:firstRowLastColumn="0" w:lastRowFirstColumn="0" w:lastRowLastColumn="0"/>
              <w:rPr>
                <w:rFonts w:eastAsia="Calibri" w:cstheme="minorHAnsi"/>
              </w:rPr>
            </w:pPr>
            <w:r w:rsidRPr="00F16251">
              <w:rPr>
                <w:rFonts w:eastAsia="Calibri" w:cstheme="minorHAnsi"/>
              </w:rPr>
              <w:t>dokumentacja</w:t>
            </w:r>
            <w:r w:rsidR="003B50ED" w:rsidRPr="00F16251">
              <w:rPr>
                <w:rFonts w:eastAsia="Calibri" w:cstheme="minorHAnsi"/>
              </w:rPr>
              <w:t xml:space="preserve"> </w:t>
            </w:r>
            <w:r w:rsidRPr="00F16251">
              <w:rPr>
                <w:rFonts w:eastAsia="Calibri" w:cstheme="minorHAnsi"/>
              </w:rPr>
              <w:t>własna</w:t>
            </w:r>
            <w:r w:rsidR="003B50ED" w:rsidRPr="00F16251">
              <w:rPr>
                <w:rFonts w:eastAsia="Calibri" w:cstheme="minorHAnsi"/>
              </w:rPr>
              <w:t xml:space="preserve"> </w:t>
            </w:r>
            <w:r w:rsidRPr="00F16251">
              <w:rPr>
                <w:rFonts w:eastAsia="Calibri" w:cstheme="minorHAnsi"/>
              </w:rPr>
              <w:t>LGD,</w:t>
            </w:r>
            <w:r w:rsidR="003B50ED" w:rsidRPr="00F16251">
              <w:rPr>
                <w:rFonts w:eastAsia="Calibri" w:cstheme="minorHAnsi"/>
              </w:rPr>
              <w:t xml:space="preserve"> </w:t>
            </w:r>
            <w:r w:rsidRPr="00F16251">
              <w:rPr>
                <w:rFonts w:eastAsia="Calibri" w:cstheme="minorHAnsi"/>
              </w:rPr>
              <w:t>dokumentacja</w:t>
            </w:r>
            <w:r w:rsidR="003B50ED" w:rsidRPr="00F16251">
              <w:rPr>
                <w:rFonts w:eastAsia="Calibri" w:cstheme="minorHAnsi"/>
              </w:rPr>
              <w:t xml:space="preserve"> </w:t>
            </w:r>
            <w:r w:rsidRPr="00F16251">
              <w:rPr>
                <w:rFonts w:eastAsia="Calibri" w:cstheme="minorHAnsi"/>
              </w:rPr>
              <w:t>konkursowa,</w:t>
            </w:r>
            <w:r w:rsidR="003B50ED" w:rsidRPr="00F16251">
              <w:rPr>
                <w:rFonts w:eastAsia="Calibri" w:cstheme="minorHAnsi"/>
              </w:rPr>
              <w:t xml:space="preserve"> </w:t>
            </w:r>
            <w:r w:rsidRPr="00F16251">
              <w:rPr>
                <w:rFonts w:eastAsia="Calibri" w:cstheme="minorHAnsi"/>
              </w:rPr>
              <w:t>wyniki</w:t>
            </w:r>
            <w:r w:rsidR="003B50ED" w:rsidRPr="00F16251">
              <w:rPr>
                <w:rFonts w:eastAsia="Calibri" w:cstheme="minorHAnsi"/>
              </w:rPr>
              <w:t xml:space="preserve"> </w:t>
            </w:r>
            <w:r w:rsidRPr="00F16251">
              <w:rPr>
                <w:rFonts w:eastAsia="Calibri" w:cstheme="minorHAnsi"/>
              </w:rPr>
              <w:t>kontroli,</w:t>
            </w:r>
            <w:r w:rsidR="003B50ED" w:rsidRPr="00F16251">
              <w:rPr>
                <w:rFonts w:eastAsia="Calibri" w:cstheme="minorHAnsi"/>
              </w:rPr>
              <w:t xml:space="preserve"> </w:t>
            </w:r>
            <w:r w:rsidRPr="00F16251">
              <w:rPr>
                <w:rFonts w:eastAsia="Calibri" w:cstheme="minorHAnsi"/>
              </w:rPr>
              <w:t>rejestr</w:t>
            </w:r>
            <w:r w:rsidR="003B50ED" w:rsidRPr="00F16251">
              <w:rPr>
                <w:rFonts w:eastAsia="Calibri" w:cstheme="minorHAnsi"/>
              </w:rPr>
              <w:t xml:space="preserve"> </w:t>
            </w:r>
            <w:r w:rsidRPr="00F16251">
              <w:rPr>
                <w:rFonts w:eastAsia="Calibri" w:cstheme="minorHAnsi"/>
              </w:rPr>
              <w:t>wniosków,</w:t>
            </w:r>
            <w:r w:rsidR="003B50ED" w:rsidRPr="00F16251">
              <w:rPr>
                <w:rFonts w:eastAsia="Calibri" w:cstheme="minorHAnsi"/>
              </w:rPr>
              <w:t xml:space="preserve"> </w:t>
            </w:r>
            <w:r w:rsidRPr="00F16251">
              <w:rPr>
                <w:rFonts w:eastAsia="Calibri" w:cstheme="minorHAnsi"/>
              </w:rPr>
              <w:t>rejestr</w:t>
            </w:r>
            <w:r w:rsidR="003B50ED" w:rsidRPr="00F16251">
              <w:rPr>
                <w:rFonts w:eastAsia="Calibri" w:cstheme="minorHAnsi"/>
              </w:rPr>
              <w:t xml:space="preserve"> </w:t>
            </w:r>
            <w:r w:rsidRPr="00F16251">
              <w:rPr>
                <w:rFonts w:eastAsia="Calibri" w:cstheme="minorHAnsi"/>
              </w:rPr>
              <w:t>umów,</w:t>
            </w:r>
            <w:r w:rsidR="003B50ED" w:rsidRPr="00F16251">
              <w:rPr>
                <w:rFonts w:eastAsia="Calibri" w:cstheme="minorHAnsi"/>
              </w:rPr>
              <w:t xml:space="preserve"> </w:t>
            </w:r>
            <w:r w:rsidRPr="00F16251">
              <w:rPr>
                <w:rFonts w:eastAsia="Calibri" w:cstheme="minorHAnsi"/>
              </w:rPr>
              <w:t>analizy</w:t>
            </w:r>
            <w:r w:rsidR="003B50ED" w:rsidRPr="00F16251">
              <w:rPr>
                <w:rFonts w:eastAsia="Calibri" w:cstheme="minorHAnsi"/>
              </w:rPr>
              <w:t xml:space="preserve"> </w:t>
            </w:r>
            <w:r w:rsidRPr="00F16251">
              <w:rPr>
                <w:rFonts w:eastAsia="Calibri" w:cstheme="minorHAnsi"/>
              </w:rPr>
              <w:t>wewnętrzne,</w:t>
            </w:r>
            <w:r w:rsidR="003B50ED" w:rsidRPr="00F16251">
              <w:rPr>
                <w:rFonts w:eastAsia="Calibri" w:cstheme="minorHAnsi"/>
              </w:rPr>
              <w:t xml:space="preserve"> </w:t>
            </w:r>
            <w:r w:rsidRPr="00F16251">
              <w:rPr>
                <w:rFonts w:eastAsia="Calibri" w:cstheme="minorHAnsi"/>
              </w:rPr>
              <w:t>ankiety</w:t>
            </w:r>
            <w:r w:rsidR="003B50ED" w:rsidRPr="00F16251">
              <w:rPr>
                <w:rFonts w:eastAsia="Calibri" w:cstheme="minorHAnsi"/>
              </w:rPr>
              <w:t xml:space="preserve"> </w:t>
            </w:r>
            <w:r w:rsidRPr="00F16251">
              <w:rPr>
                <w:rFonts w:eastAsia="Calibri" w:cstheme="minorHAnsi"/>
              </w:rPr>
              <w:t>ewaluacyjne,</w:t>
            </w:r>
            <w:r w:rsidR="003B50ED" w:rsidRPr="00F16251">
              <w:rPr>
                <w:rFonts w:eastAsia="Calibri" w:cstheme="minorHAnsi"/>
              </w:rPr>
              <w:t xml:space="preserve"> </w:t>
            </w:r>
            <w:r w:rsidRPr="00F16251">
              <w:rPr>
                <w:rFonts w:eastAsia="Calibri" w:cstheme="minorHAnsi"/>
              </w:rPr>
              <w:t>ankiety,</w:t>
            </w:r>
            <w:r w:rsidR="003B50ED" w:rsidRPr="00F16251">
              <w:rPr>
                <w:rFonts w:eastAsia="Calibri" w:cstheme="minorHAnsi"/>
              </w:rPr>
              <w:t xml:space="preserve"> </w:t>
            </w:r>
            <w:r w:rsidRPr="00F16251">
              <w:rPr>
                <w:rFonts w:eastAsia="Calibri" w:cstheme="minorHAnsi"/>
              </w:rPr>
              <w:t>wywiady</w:t>
            </w:r>
            <w:r w:rsidR="003B50ED" w:rsidRPr="00F16251">
              <w:rPr>
                <w:rFonts w:eastAsia="Calibri" w:cstheme="minorHAnsi"/>
              </w:rPr>
              <w:t xml:space="preserve"> </w:t>
            </w:r>
          </w:p>
          <w:p w14:paraId="0ACFF45D" w14:textId="516EE784" w:rsidR="002C63F4" w:rsidRPr="00F16251" w:rsidRDefault="002C63F4" w:rsidP="00611E7C">
            <w:pPr>
              <w:spacing w:line="276" w:lineRule="auto"/>
              <w:ind w:right="5"/>
              <w:cnfStyle w:val="000000000000" w:firstRow="0" w:lastRow="0" w:firstColumn="0" w:lastColumn="0" w:oddVBand="0" w:evenVBand="0" w:oddHBand="0" w:evenHBand="0" w:firstRowFirstColumn="0" w:firstRowLastColumn="0" w:lastRowFirstColumn="0" w:lastRowLastColumn="0"/>
              <w:rPr>
                <w:rFonts w:eastAsia="Calibri" w:cstheme="minorHAnsi"/>
              </w:rPr>
            </w:pPr>
            <w:r w:rsidRPr="00F16251">
              <w:rPr>
                <w:rFonts w:eastAsia="Calibri" w:cstheme="minorHAnsi"/>
              </w:rPr>
              <w:t>M</w:t>
            </w:r>
            <w:r w:rsidR="00611E7C" w:rsidRPr="00F16251">
              <w:rPr>
                <w:rFonts w:eastAsia="Calibri" w:cstheme="minorHAnsi"/>
              </w:rPr>
              <w:t>6</w:t>
            </w:r>
            <w:r w:rsidRPr="00F16251">
              <w:rPr>
                <w:rFonts w:eastAsia="Calibri" w:cstheme="minorHAnsi"/>
              </w:rPr>
              <w:t>,</w:t>
            </w:r>
            <w:r w:rsidR="003B50ED" w:rsidRPr="00F16251">
              <w:rPr>
                <w:rFonts w:eastAsia="Calibri" w:cstheme="minorHAnsi"/>
              </w:rPr>
              <w:t xml:space="preserve"> </w:t>
            </w:r>
            <w:r w:rsidRPr="00F16251">
              <w:rPr>
                <w:rFonts w:eastAsia="Calibri" w:cstheme="minorHAnsi"/>
              </w:rPr>
              <w:t>E1,</w:t>
            </w:r>
            <w:r w:rsidR="003B50ED" w:rsidRPr="00F16251">
              <w:rPr>
                <w:rFonts w:eastAsia="Calibri" w:cstheme="minorHAnsi"/>
              </w:rPr>
              <w:t xml:space="preserve"> </w:t>
            </w:r>
            <w:r w:rsidRPr="00F16251">
              <w:rPr>
                <w:rFonts w:eastAsia="Calibri" w:cstheme="minorHAnsi"/>
              </w:rPr>
              <w:t>EX</w:t>
            </w:r>
          </w:p>
        </w:tc>
        <w:tc>
          <w:tcPr>
            <w:tcW w:w="3969" w:type="dxa"/>
          </w:tcPr>
          <w:p w14:paraId="66DE5186" w14:textId="6C12CD2F" w:rsidR="002C63F4" w:rsidRPr="00F16251" w:rsidRDefault="002C63F4" w:rsidP="00611E7C">
            <w:pPr>
              <w:spacing w:line="276" w:lineRule="auto"/>
              <w:ind w:right="5"/>
              <w:cnfStyle w:val="000000000000" w:firstRow="0" w:lastRow="0" w:firstColumn="0" w:lastColumn="0" w:oddVBand="0" w:evenVBand="0" w:oddHBand="0" w:evenHBand="0" w:firstRowFirstColumn="0" w:firstRowLastColumn="0" w:lastRowFirstColumn="0" w:lastRowLastColumn="0"/>
              <w:rPr>
                <w:rFonts w:eastAsia="Calibri" w:cstheme="minorHAnsi"/>
              </w:rPr>
            </w:pPr>
            <w:r w:rsidRPr="00F16251">
              <w:rPr>
                <w:rFonts w:eastAsia="Calibri" w:cstheme="minorHAnsi"/>
              </w:rPr>
              <w:t>Sposoby</w:t>
            </w:r>
            <w:r w:rsidR="003B50ED" w:rsidRPr="00F16251">
              <w:rPr>
                <w:rFonts w:eastAsia="Calibri" w:cstheme="minorHAnsi"/>
              </w:rPr>
              <w:t xml:space="preserve"> </w:t>
            </w:r>
            <w:r w:rsidRPr="00F16251">
              <w:rPr>
                <w:rFonts w:eastAsia="Calibri" w:cstheme="minorHAnsi"/>
              </w:rPr>
              <w:t>i</w:t>
            </w:r>
            <w:r w:rsidR="003B50ED" w:rsidRPr="00F16251">
              <w:rPr>
                <w:rFonts w:eastAsia="Calibri" w:cstheme="minorHAnsi"/>
              </w:rPr>
              <w:t xml:space="preserve"> </w:t>
            </w:r>
            <w:r w:rsidRPr="00F16251">
              <w:rPr>
                <w:rFonts w:eastAsia="Calibri" w:cstheme="minorHAnsi"/>
              </w:rPr>
              <w:t>efektywność</w:t>
            </w:r>
            <w:r w:rsidR="003B50ED" w:rsidRPr="00F16251">
              <w:rPr>
                <w:rFonts w:eastAsia="Calibri" w:cstheme="minorHAnsi"/>
              </w:rPr>
              <w:t xml:space="preserve"> </w:t>
            </w:r>
            <w:r w:rsidRPr="00F16251">
              <w:rPr>
                <w:rFonts w:eastAsia="Calibri" w:cstheme="minorHAnsi"/>
              </w:rPr>
              <w:t>przepływu</w:t>
            </w:r>
            <w:r w:rsidR="003B50ED" w:rsidRPr="00F16251">
              <w:rPr>
                <w:rFonts w:eastAsia="Calibri" w:cstheme="minorHAnsi"/>
              </w:rPr>
              <w:t xml:space="preserve"> </w:t>
            </w:r>
            <w:r w:rsidRPr="00F16251">
              <w:rPr>
                <w:rFonts w:eastAsia="Calibri" w:cstheme="minorHAnsi"/>
              </w:rPr>
              <w:t>informacji,</w:t>
            </w:r>
            <w:r w:rsidR="003B50ED" w:rsidRPr="00F16251">
              <w:rPr>
                <w:rFonts w:eastAsia="Calibri" w:cstheme="minorHAnsi"/>
              </w:rPr>
              <w:t xml:space="preserve"> </w:t>
            </w:r>
            <w:r w:rsidRPr="00F16251">
              <w:rPr>
                <w:rFonts w:eastAsia="Calibri" w:cstheme="minorHAnsi"/>
              </w:rPr>
              <w:t>sprawność</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podejmowaniu</w:t>
            </w:r>
            <w:r w:rsidR="003B50ED" w:rsidRPr="00F16251">
              <w:rPr>
                <w:rFonts w:eastAsia="Calibri" w:cstheme="minorHAnsi"/>
              </w:rPr>
              <w:t xml:space="preserve"> </w:t>
            </w:r>
            <w:r w:rsidRPr="00F16251">
              <w:rPr>
                <w:rFonts w:eastAsia="Calibri" w:cstheme="minorHAnsi"/>
              </w:rPr>
              <w:t>decyzji,</w:t>
            </w:r>
            <w:r w:rsidR="003B50ED" w:rsidRPr="00F16251">
              <w:rPr>
                <w:rFonts w:eastAsia="Calibri" w:cstheme="minorHAnsi"/>
              </w:rPr>
              <w:t xml:space="preserve"> </w:t>
            </w:r>
            <w:r w:rsidRPr="00F16251">
              <w:rPr>
                <w:rFonts w:eastAsia="Calibri" w:cstheme="minorHAnsi"/>
              </w:rPr>
              <w:t>skuteczność</w:t>
            </w:r>
            <w:r w:rsidR="003B50ED" w:rsidRPr="00F16251">
              <w:rPr>
                <w:rFonts w:eastAsia="Calibri" w:cstheme="minorHAnsi"/>
              </w:rPr>
              <w:t xml:space="preserve"> </w:t>
            </w:r>
            <w:r w:rsidRPr="00F16251">
              <w:rPr>
                <w:rFonts w:eastAsia="Calibri" w:cstheme="minorHAnsi"/>
              </w:rPr>
              <w:t>stosowania</w:t>
            </w:r>
            <w:r w:rsidR="003B50ED" w:rsidRPr="00F16251">
              <w:rPr>
                <w:rFonts w:eastAsia="Calibri" w:cstheme="minorHAnsi"/>
              </w:rPr>
              <w:t xml:space="preserve"> </w:t>
            </w:r>
            <w:r w:rsidRPr="00F16251">
              <w:rPr>
                <w:rFonts w:eastAsia="Calibri" w:cstheme="minorHAnsi"/>
              </w:rPr>
              <w:t>procedur,</w:t>
            </w:r>
            <w:r w:rsidR="003B50ED" w:rsidRPr="00F16251">
              <w:rPr>
                <w:rFonts w:eastAsia="Calibri" w:cstheme="minorHAnsi"/>
              </w:rPr>
              <w:t xml:space="preserve"> </w:t>
            </w:r>
            <w:r w:rsidRPr="00F16251">
              <w:rPr>
                <w:rFonts w:eastAsia="Calibri" w:cstheme="minorHAnsi"/>
              </w:rPr>
              <w:t>analiza</w:t>
            </w:r>
            <w:r w:rsidR="003B50ED" w:rsidRPr="00F16251">
              <w:rPr>
                <w:rFonts w:eastAsia="Calibri" w:cstheme="minorHAnsi"/>
              </w:rPr>
              <w:t xml:space="preserve"> </w:t>
            </w:r>
            <w:r w:rsidRPr="00F16251">
              <w:rPr>
                <w:rFonts w:eastAsia="Calibri" w:cstheme="minorHAnsi"/>
              </w:rPr>
              <w:t>zgodności</w:t>
            </w:r>
            <w:r w:rsidR="003B50ED" w:rsidRPr="00F16251">
              <w:rPr>
                <w:rFonts w:eastAsia="Calibri" w:cstheme="minorHAnsi"/>
              </w:rPr>
              <w:t xml:space="preserve"> </w:t>
            </w:r>
            <w:r w:rsidRPr="00F16251">
              <w:rPr>
                <w:rFonts w:eastAsia="Calibri" w:cstheme="minorHAnsi"/>
              </w:rPr>
              <w:t>oceny</w:t>
            </w:r>
            <w:r w:rsidR="003B50ED" w:rsidRPr="00F16251">
              <w:rPr>
                <w:rFonts w:eastAsia="Calibri" w:cstheme="minorHAnsi"/>
              </w:rPr>
              <w:t xml:space="preserve"> </w:t>
            </w:r>
            <w:r w:rsidRPr="00F16251">
              <w:rPr>
                <w:rFonts w:eastAsia="Calibri" w:cstheme="minorHAnsi"/>
              </w:rPr>
              <w:t>projektów</w:t>
            </w:r>
            <w:r w:rsidR="003B50ED" w:rsidRPr="00F16251">
              <w:rPr>
                <w:rFonts w:eastAsia="Calibri" w:cstheme="minorHAnsi"/>
              </w:rPr>
              <w:t xml:space="preserve"> </w:t>
            </w:r>
            <w:r w:rsidRPr="00F16251">
              <w:rPr>
                <w:rFonts w:eastAsia="Calibri" w:cstheme="minorHAnsi"/>
              </w:rPr>
              <w:t>z</w:t>
            </w:r>
            <w:r w:rsidR="003B50ED" w:rsidRPr="00F16251">
              <w:rPr>
                <w:rFonts w:eastAsia="Calibri" w:cstheme="minorHAnsi"/>
              </w:rPr>
              <w:t xml:space="preserve"> </w:t>
            </w:r>
            <w:r w:rsidRPr="00F16251">
              <w:rPr>
                <w:rFonts w:eastAsia="Calibri" w:cstheme="minorHAnsi"/>
              </w:rPr>
              <w:t>LSR,</w:t>
            </w:r>
            <w:r w:rsidR="003B50ED" w:rsidRPr="00F16251">
              <w:rPr>
                <w:rFonts w:eastAsia="Calibri" w:cstheme="minorHAnsi"/>
              </w:rPr>
              <w:t xml:space="preserve"> </w:t>
            </w:r>
            <w:r w:rsidRPr="00F16251">
              <w:rPr>
                <w:rFonts w:eastAsia="Calibri" w:cstheme="minorHAnsi"/>
              </w:rPr>
              <w:t>wg</w:t>
            </w:r>
            <w:r w:rsidR="003B50ED" w:rsidRPr="00F16251">
              <w:rPr>
                <w:rFonts w:eastAsia="Calibri" w:cstheme="minorHAnsi"/>
              </w:rPr>
              <w:t xml:space="preserve"> </w:t>
            </w:r>
            <w:r w:rsidRPr="00F16251">
              <w:rPr>
                <w:rFonts w:eastAsia="Calibri" w:cstheme="minorHAnsi"/>
              </w:rPr>
              <w:t>lokalnych</w:t>
            </w:r>
            <w:r w:rsidR="003B50ED" w:rsidRPr="00F16251">
              <w:rPr>
                <w:rFonts w:eastAsia="Calibri" w:cstheme="minorHAnsi"/>
              </w:rPr>
              <w:t xml:space="preserve"> </w:t>
            </w:r>
            <w:r w:rsidRPr="00F16251">
              <w:rPr>
                <w:rFonts w:eastAsia="Calibri" w:cstheme="minorHAnsi"/>
              </w:rPr>
              <w:t>kryteriów</w:t>
            </w:r>
            <w:r w:rsidR="003B50ED" w:rsidRPr="00F16251">
              <w:rPr>
                <w:rFonts w:eastAsia="Calibri" w:cstheme="minorHAnsi"/>
              </w:rPr>
              <w:t xml:space="preserve"> </w:t>
            </w:r>
            <w:r w:rsidRPr="00F16251">
              <w:rPr>
                <w:rFonts w:eastAsia="Calibri" w:cstheme="minorHAnsi"/>
              </w:rPr>
              <w:t>wyboru</w:t>
            </w:r>
            <w:r w:rsidR="003B50ED" w:rsidRPr="00F16251">
              <w:rPr>
                <w:rFonts w:eastAsia="Calibri" w:cstheme="minorHAnsi"/>
              </w:rPr>
              <w:t xml:space="preserve"> </w:t>
            </w:r>
            <w:r w:rsidRPr="00F16251">
              <w:rPr>
                <w:rFonts w:eastAsia="Calibri" w:cstheme="minorHAnsi"/>
              </w:rPr>
              <w:t>w</w:t>
            </w:r>
            <w:r w:rsidR="003B50ED" w:rsidRPr="00F16251">
              <w:rPr>
                <w:rFonts w:eastAsia="Calibri" w:cstheme="minorHAnsi"/>
              </w:rPr>
              <w:t xml:space="preserve"> </w:t>
            </w:r>
            <w:r w:rsidRPr="00F16251">
              <w:rPr>
                <w:rFonts w:eastAsia="Calibri" w:cstheme="minorHAnsi"/>
              </w:rPr>
              <w:t>odniesieniu</w:t>
            </w:r>
            <w:r w:rsidR="003B50ED" w:rsidRPr="00F16251">
              <w:rPr>
                <w:rFonts w:eastAsia="Calibri" w:cstheme="minorHAnsi"/>
              </w:rPr>
              <w:t xml:space="preserve"> </w:t>
            </w:r>
            <w:r w:rsidRPr="00F16251">
              <w:rPr>
                <w:rFonts w:eastAsia="Calibri" w:cstheme="minorHAnsi"/>
              </w:rPr>
              <w:t>do</w:t>
            </w:r>
            <w:r w:rsidR="003B50ED" w:rsidRPr="00F16251">
              <w:rPr>
                <w:rFonts w:eastAsia="Calibri" w:cstheme="minorHAnsi"/>
              </w:rPr>
              <w:t xml:space="preserve"> </w:t>
            </w:r>
            <w:r w:rsidRPr="00F16251">
              <w:rPr>
                <w:rFonts w:eastAsia="Calibri" w:cstheme="minorHAnsi"/>
              </w:rPr>
              <w:t>przyjętych</w:t>
            </w:r>
            <w:r w:rsidR="003B50ED" w:rsidRPr="00F16251">
              <w:rPr>
                <w:rFonts w:eastAsia="Calibri" w:cstheme="minorHAnsi"/>
              </w:rPr>
              <w:t xml:space="preserve"> </w:t>
            </w:r>
            <w:r w:rsidRPr="00F16251">
              <w:rPr>
                <w:rFonts w:eastAsia="Calibri" w:cstheme="minorHAnsi"/>
              </w:rPr>
              <w:t>zasad</w:t>
            </w:r>
            <w:r w:rsidR="003B50ED" w:rsidRPr="00F16251">
              <w:rPr>
                <w:rFonts w:eastAsia="Calibri" w:cstheme="minorHAnsi"/>
              </w:rPr>
              <w:t xml:space="preserve"> </w:t>
            </w:r>
            <w:r w:rsidRPr="00F16251">
              <w:rPr>
                <w:rFonts w:eastAsia="Calibri" w:cstheme="minorHAnsi"/>
              </w:rPr>
              <w:t>i</w:t>
            </w:r>
            <w:r w:rsidR="003B50ED" w:rsidRPr="00F16251">
              <w:rPr>
                <w:rFonts w:eastAsia="Calibri" w:cstheme="minorHAnsi"/>
              </w:rPr>
              <w:t xml:space="preserve"> </w:t>
            </w:r>
            <w:r w:rsidRPr="00F16251">
              <w:rPr>
                <w:rFonts w:eastAsia="Calibri" w:cstheme="minorHAnsi"/>
              </w:rPr>
              <w:t>Wytycznych,</w:t>
            </w:r>
            <w:r w:rsidR="003B50ED" w:rsidRPr="00F16251">
              <w:rPr>
                <w:rFonts w:eastAsia="Calibri" w:cstheme="minorHAnsi"/>
              </w:rPr>
              <w:t xml:space="preserve"> </w:t>
            </w:r>
            <w:r w:rsidRPr="00F16251">
              <w:rPr>
                <w:rFonts w:eastAsia="Calibri" w:cstheme="minorHAnsi"/>
              </w:rPr>
              <w:t>ocen</w:t>
            </w:r>
            <w:r w:rsidR="003B50ED" w:rsidRPr="00F16251">
              <w:rPr>
                <w:rFonts w:eastAsia="Calibri" w:cstheme="minorHAnsi"/>
              </w:rPr>
              <w:t xml:space="preserve"> </w:t>
            </w:r>
            <w:r w:rsidRPr="00F16251">
              <w:rPr>
                <w:rFonts w:eastAsia="Calibri" w:cstheme="minorHAnsi"/>
              </w:rPr>
              <w:t>jakości</w:t>
            </w:r>
            <w:r w:rsidR="003B50ED" w:rsidRPr="00F16251">
              <w:rPr>
                <w:rFonts w:eastAsia="Calibri" w:cstheme="minorHAnsi"/>
              </w:rPr>
              <w:t xml:space="preserve"> </w:t>
            </w:r>
            <w:r w:rsidRPr="00F16251">
              <w:rPr>
                <w:rFonts w:eastAsia="Calibri" w:cstheme="minorHAnsi"/>
              </w:rPr>
              <w:t>stosowanych</w:t>
            </w:r>
            <w:r w:rsidR="003B50ED" w:rsidRPr="00F16251">
              <w:rPr>
                <w:rFonts w:eastAsia="Calibri" w:cstheme="minorHAnsi"/>
              </w:rPr>
              <w:t xml:space="preserve"> </w:t>
            </w:r>
            <w:r w:rsidRPr="00F16251">
              <w:rPr>
                <w:rFonts w:eastAsia="Calibri" w:cstheme="minorHAnsi"/>
              </w:rPr>
              <w:t>kryteriów</w:t>
            </w:r>
            <w:r w:rsidR="003B50ED" w:rsidRPr="00F16251">
              <w:rPr>
                <w:rFonts w:eastAsia="Calibri" w:cstheme="minorHAnsi"/>
              </w:rPr>
              <w:t xml:space="preserve"> </w:t>
            </w:r>
            <w:r w:rsidRPr="00F16251">
              <w:rPr>
                <w:rFonts w:eastAsia="Calibri" w:cstheme="minorHAnsi"/>
              </w:rPr>
              <w:t>wyboru</w:t>
            </w:r>
            <w:r w:rsidR="003B50ED" w:rsidRPr="00F16251">
              <w:rPr>
                <w:rFonts w:eastAsia="Calibri" w:cstheme="minorHAnsi"/>
              </w:rPr>
              <w:t xml:space="preserve"> </w:t>
            </w:r>
            <w:r w:rsidRPr="00F16251">
              <w:rPr>
                <w:rFonts w:eastAsia="Calibri" w:cstheme="minorHAnsi"/>
              </w:rPr>
              <w:t>operacji</w:t>
            </w:r>
            <w:r w:rsidR="003B50ED" w:rsidRPr="00F16251">
              <w:rPr>
                <w:rFonts w:eastAsia="Calibri" w:cstheme="minorHAnsi"/>
              </w:rPr>
              <w:t xml:space="preserve"> </w:t>
            </w:r>
            <w:r w:rsidRPr="00F16251">
              <w:rPr>
                <w:rFonts w:eastAsia="Calibri" w:cstheme="minorHAnsi"/>
              </w:rPr>
              <w:t>i</w:t>
            </w:r>
            <w:r w:rsidR="003B50ED" w:rsidRPr="00F16251">
              <w:rPr>
                <w:rFonts w:eastAsia="Calibri" w:cstheme="minorHAnsi"/>
              </w:rPr>
              <w:t xml:space="preserve"> </w:t>
            </w:r>
            <w:r w:rsidRPr="00F16251">
              <w:rPr>
                <w:rFonts w:eastAsia="Calibri" w:cstheme="minorHAnsi"/>
              </w:rPr>
              <w:t>procedur</w:t>
            </w:r>
          </w:p>
          <w:p w14:paraId="79EA754A" w14:textId="2E17379A" w:rsidR="002C63F4" w:rsidRPr="00F16251" w:rsidRDefault="002C63F4" w:rsidP="00611E7C">
            <w:pPr>
              <w:spacing w:line="276" w:lineRule="auto"/>
              <w:ind w:right="5"/>
              <w:cnfStyle w:val="000000000000" w:firstRow="0" w:lastRow="0" w:firstColumn="0" w:lastColumn="0" w:oddVBand="0" w:evenVBand="0" w:oddHBand="0" w:evenHBand="0" w:firstRowFirstColumn="0" w:firstRowLastColumn="0" w:lastRowFirstColumn="0" w:lastRowLastColumn="0"/>
              <w:rPr>
                <w:rFonts w:eastAsia="Calibri" w:cstheme="minorHAnsi"/>
              </w:rPr>
            </w:pPr>
            <w:r w:rsidRPr="00F16251">
              <w:rPr>
                <w:rFonts w:eastAsia="Calibri" w:cstheme="minorHAnsi"/>
              </w:rPr>
              <w:t>Kryterium:</w:t>
            </w:r>
            <w:r w:rsidR="003B50ED" w:rsidRPr="00F16251">
              <w:rPr>
                <w:rFonts w:eastAsia="Calibri" w:cstheme="minorHAnsi"/>
              </w:rPr>
              <w:t xml:space="preserve"> </w:t>
            </w:r>
            <w:r w:rsidRPr="00F16251">
              <w:rPr>
                <w:rFonts w:eastAsia="Calibri" w:cstheme="minorHAnsi"/>
              </w:rPr>
              <w:t>Skuteczność</w:t>
            </w:r>
            <w:r w:rsidR="003B50ED" w:rsidRPr="00F16251">
              <w:rPr>
                <w:rFonts w:eastAsia="Calibri" w:cstheme="minorHAnsi"/>
              </w:rPr>
              <w:t xml:space="preserve"> </w:t>
            </w:r>
            <w:r w:rsidRPr="00F16251">
              <w:rPr>
                <w:rFonts w:eastAsia="Calibri" w:cstheme="minorHAnsi"/>
              </w:rPr>
              <w:t>i</w:t>
            </w:r>
            <w:r w:rsidR="003B50ED" w:rsidRPr="00F16251">
              <w:rPr>
                <w:rFonts w:eastAsia="Calibri" w:cstheme="minorHAnsi"/>
              </w:rPr>
              <w:t xml:space="preserve"> </w:t>
            </w:r>
            <w:r w:rsidRPr="00F16251">
              <w:rPr>
                <w:rFonts w:eastAsia="Calibri" w:cstheme="minorHAnsi"/>
              </w:rPr>
              <w:t>trafność</w:t>
            </w:r>
          </w:p>
        </w:tc>
      </w:tr>
      <w:tr w:rsidR="00F16251" w:rsidRPr="00F16251" w14:paraId="50DAD9BF" w14:textId="77777777" w:rsidTr="00BC3D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440E3D7" w14:textId="548F229F" w:rsidR="002C63F4" w:rsidRPr="00F16251" w:rsidRDefault="002C63F4" w:rsidP="00611E7C">
            <w:pPr>
              <w:spacing w:line="276" w:lineRule="auto"/>
              <w:ind w:right="5"/>
              <w:rPr>
                <w:rFonts w:eastAsia="Calibri" w:cstheme="minorHAnsi"/>
                <w:b w:val="0"/>
                <w:bCs w:val="0"/>
              </w:rPr>
            </w:pPr>
            <w:r w:rsidRPr="00F16251">
              <w:rPr>
                <w:rFonts w:eastAsia="Calibri" w:cstheme="minorHAnsi"/>
                <w:b w:val="0"/>
                <w:bCs w:val="0"/>
              </w:rPr>
              <w:t>Postrzegania</w:t>
            </w:r>
            <w:r w:rsidR="003B50ED" w:rsidRPr="00F16251">
              <w:rPr>
                <w:rFonts w:eastAsia="Calibri" w:cstheme="minorHAnsi"/>
                <w:b w:val="0"/>
                <w:bCs w:val="0"/>
              </w:rPr>
              <w:t xml:space="preserve"> </w:t>
            </w:r>
            <w:r w:rsidRPr="00F16251">
              <w:rPr>
                <w:rFonts w:eastAsia="Calibri" w:cstheme="minorHAnsi"/>
                <w:b w:val="0"/>
                <w:bCs w:val="0"/>
              </w:rPr>
              <w:t>LGD</w:t>
            </w:r>
            <w:r w:rsidR="003B50ED" w:rsidRPr="00F16251">
              <w:rPr>
                <w:rFonts w:eastAsia="Calibri" w:cstheme="minorHAnsi"/>
                <w:b w:val="0"/>
                <w:bCs w:val="0"/>
              </w:rPr>
              <w:t xml:space="preserve"> </w:t>
            </w:r>
            <w:r w:rsidRPr="00F16251">
              <w:rPr>
                <w:rFonts w:eastAsia="Calibri" w:cstheme="minorHAnsi"/>
                <w:b w:val="0"/>
                <w:bCs w:val="0"/>
              </w:rPr>
              <w:t>w</w:t>
            </w:r>
            <w:r w:rsidR="003B50ED" w:rsidRPr="00F16251">
              <w:rPr>
                <w:rFonts w:eastAsia="Calibri" w:cstheme="minorHAnsi"/>
                <w:b w:val="0"/>
                <w:bCs w:val="0"/>
              </w:rPr>
              <w:t xml:space="preserve"> </w:t>
            </w:r>
            <w:r w:rsidRPr="00F16251">
              <w:rPr>
                <w:rFonts w:eastAsia="Calibri" w:cstheme="minorHAnsi"/>
                <w:b w:val="0"/>
                <w:bCs w:val="0"/>
              </w:rPr>
              <w:t>otoczeniu,</w:t>
            </w:r>
            <w:r w:rsidR="003B50ED" w:rsidRPr="00F16251">
              <w:rPr>
                <w:rFonts w:eastAsia="Calibri" w:cstheme="minorHAnsi"/>
                <w:b w:val="0"/>
                <w:bCs w:val="0"/>
              </w:rPr>
              <w:t xml:space="preserve"> </w:t>
            </w:r>
            <w:r w:rsidRPr="00F16251">
              <w:rPr>
                <w:rFonts w:eastAsia="Calibri" w:cstheme="minorHAnsi"/>
                <w:b w:val="0"/>
                <w:bCs w:val="0"/>
              </w:rPr>
              <w:t>ocena</w:t>
            </w:r>
            <w:r w:rsidR="003B50ED" w:rsidRPr="00F16251">
              <w:rPr>
                <w:rFonts w:eastAsia="Calibri" w:cstheme="minorHAnsi"/>
                <w:b w:val="0"/>
                <w:bCs w:val="0"/>
              </w:rPr>
              <w:t xml:space="preserve"> </w:t>
            </w:r>
            <w:r w:rsidRPr="00F16251">
              <w:rPr>
                <w:rFonts w:eastAsia="Calibri" w:cstheme="minorHAnsi"/>
                <w:b w:val="0"/>
                <w:bCs w:val="0"/>
              </w:rPr>
              <w:t>jakości</w:t>
            </w:r>
            <w:r w:rsidR="003B50ED" w:rsidRPr="00F16251">
              <w:rPr>
                <w:rFonts w:eastAsia="Calibri" w:cstheme="minorHAnsi"/>
                <w:b w:val="0"/>
                <w:bCs w:val="0"/>
              </w:rPr>
              <w:t xml:space="preserve"> </w:t>
            </w:r>
            <w:r w:rsidRPr="00F16251">
              <w:rPr>
                <w:rFonts w:eastAsia="Calibri" w:cstheme="minorHAnsi"/>
                <w:b w:val="0"/>
                <w:bCs w:val="0"/>
              </w:rPr>
              <w:t>partnerstwa</w:t>
            </w:r>
            <w:r w:rsidR="003B50ED" w:rsidRPr="00F16251">
              <w:rPr>
                <w:rFonts w:eastAsia="Calibri" w:cstheme="minorHAnsi"/>
                <w:b w:val="0"/>
                <w:bCs w:val="0"/>
              </w:rPr>
              <w:t xml:space="preserve"> </w:t>
            </w:r>
            <w:r w:rsidRPr="00F16251">
              <w:rPr>
                <w:rFonts w:eastAsia="Calibri" w:cstheme="minorHAnsi"/>
                <w:b w:val="0"/>
                <w:bCs w:val="0"/>
              </w:rPr>
              <w:t>–</w:t>
            </w:r>
            <w:r w:rsidR="003B50ED" w:rsidRPr="00F16251">
              <w:rPr>
                <w:rFonts w:eastAsia="Calibri" w:cstheme="minorHAnsi"/>
                <w:b w:val="0"/>
                <w:bCs w:val="0"/>
              </w:rPr>
              <w:t xml:space="preserve"> </w:t>
            </w:r>
            <w:r w:rsidRPr="00F16251">
              <w:rPr>
                <w:rFonts w:eastAsia="Calibri" w:cstheme="minorHAnsi"/>
                <w:b w:val="0"/>
                <w:bCs w:val="0"/>
              </w:rPr>
              <w:lastRenderedPageBreak/>
              <w:t>zarządzenie</w:t>
            </w:r>
            <w:r w:rsidR="003B50ED" w:rsidRPr="00F16251">
              <w:rPr>
                <w:rFonts w:eastAsia="Calibri" w:cstheme="minorHAnsi"/>
                <w:b w:val="0"/>
                <w:bCs w:val="0"/>
              </w:rPr>
              <w:t xml:space="preserve"> </w:t>
            </w:r>
            <w:r w:rsidRPr="00F16251">
              <w:rPr>
                <w:rFonts w:eastAsia="Calibri" w:cstheme="minorHAnsi"/>
                <w:b w:val="0"/>
                <w:bCs w:val="0"/>
              </w:rPr>
              <w:t>LSR</w:t>
            </w:r>
          </w:p>
        </w:tc>
        <w:tc>
          <w:tcPr>
            <w:tcW w:w="2976" w:type="dxa"/>
          </w:tcPr>
          <w:p w14:paraId="687172B0" w14:textId="58CC75B9" w:rsidR="002C63F4" w:rsidRPr="00F16251" w:rsidRDefault="002C63F4" w:rsidP="00611E7C">
            <w:pPr>
              <w:spacing w:line="276" w:lineRule="auto"/>
              <w:ind w:right="5"/>
              <w:cnfStyle w:val="000000100000" w:firstRow="0" w:lastRow="0" w:firstColumn="0" w:lastColumn="0" w:oddVBand="0" w:evenVBand="0" w:oddHBand="1" w:evenHBand="0" w:firstRowFirstColumn="0" w:firstRowLastColumn="0" w:lastRowFirstColumn="0" w:lastRowLastColumn="0"/>
              <w:rPr>
                <w:rFonts w:eastAsia="Calibri" w:cstheme="minorHAnsi"/>
              </w:rPr>
            </w:pPr>
            <w:r w:rsidRPr="00F16251">
              <w:rPr>
                <w:rFonts w:eastAsia="Calibri" w:cstheme="minorHAnsi"/>
              </w:rPr>
              <w:lastRenderedPageBreak/>
              <w:t>dokumentacja</w:t>
            </w:r>
            <w:r w:rsidR="003B50ED" w:rsidRPr="00F16251">
              <w:rPr>
                <w:rFonts w:eastAsia="Calibri" w:cstheme="minorHAnsi"/>
              </w:rPr>
              <w:t xml:space="preserve"> </w:t>
            </w:r>
            <w:r w:rsidRPr="00F16251">
              <w:rPr>
                <w:rFonts w:eastAsia="Calibri" w:cstheme="minorHAnsi"/>
              </w:rPr>
              <w:t>własna</w:t>
            </w:r>
            <w:r w:rsidR="003B50ED" w:rsidRPr="00F16251">
              <w:rPr>
                <w:rFonts w:eastAsia="Calibri" w:cstheme="minorHAnsi"/>
              </w:rPr>
              <w:t xml:space="preserve"> </w:t>
            </w:r>
            <w:r w:rsidRPr="00F16251">
              <w:rPr>
                <w:rFonts w:eastAsia="Calibri" w:cstheme="minorHAnsi"/>
              </w:rPr>
              <w:t>LGD,</w:t>
            </w:r>
            <w:r w:rsidR="003B50ED" w:rsidRPr="00F16251">
              <w:rPr>
                <w:rFonts w:eastAsia="Calibri" w:cstheme="minorHAnsi"/>
              </w:rPr>
              <w:t xml:space="preserve"> </w:t>
            </w:r>
            <w:r w:rsidRPr="00F16251">
              <w:rPr>
                <w:rFonts w:eastAsia="Calibri" w:cstheme="minorHAnsi"/>
              </w:rPr>
              <w:t>rejestr</w:t>
            </w:r>
            <w:r w:rsidR="003B50ED" w:rsidRPr="00F16251">
              <w:rPr>
                <w:rFonts w:eastAsia="Calibri" w:cstheme="minorHAnsi"/>
              </w:rPr>
              <w:t xml:space="preserve"> </w:t>
            </w:r>
            <w:r w:rsidRPr="00F16251">
              <w:rPr>
                <w:rFonts w:eastAsia="Calibri" w:cstheme="minorHAnsi"/>
              </w:rPr>
              <w:t>umów,</w:t>
            </w:r>
            <w:r w:rsidR="003B50ED" w:rsidRPr="00F16251">
              <w:rPr>
                <w:rFonts w:eastAsia="Calibri" w:cstheme="minorHAnsi"/>
              </w:rPr>
              <w:t xml:space="preserve"> </w:t>
            </w:r>
            <w:r w:rsidRPr="00F16251">
              <w:rPr>
                <w:rFonts w:eastAsia="Calibri" w:cstheme="minorHAnsi"/>
              </w:rPr>
              <w:t>ankiety</w:t>
            </w:r>
            <w:r w:rsidR="003B50ED" w:rsidRPr="00F16251">
              <w:rPr>
                <w:rFonts w:eastAsia="Calibri" w:cstheme="minorHAnsi"/>
              </w:rPr>
              <w:t xml:space="preserve"> </w:t>
            </w:r>
            <w:r w:rsidRPr="00F16251">
              <w:rPr>
                <w:rFonts w:eastAsia="Calibri" w:cstheme="minorHAnsi"/>
              </w:rPr>
              <w:lastRenderedPageBreak/>
              <w:t>ewaluacyjne,</w:t>
            </w:r>
            <w:r w:rsidR="003B50ED" w:rsidRPr="00F16251">
              <w:rPr>
                <w:rFonts w:eastAsia="Calibri" w:cstheme="minorHAnsi"/>
              </w:rPr>
              <w:t xml:space="preserve"> </w:t>
            </w:r>
            <w:r w:rsidRPr="00F16251">
              <w:rPr>
                <w:rFonts w:eastAsia="Calibri" w:cstheme="minorHAnsi"/>
              </w:rPr>
              <w:t>ankiety,</w:t>
            </w:r>
            <w:r w:rsidR="003B50ED" w:rsidRPr="00F16251">
              <w:rPr>
                <w:rFonts w:eastAsia="Calibri" w:cstheme="minorHAnsi"/>
              </w:rPr>
              <w:t xml:space="preserve"> </w:t>
            </w:r>
            <w:r w:rsidRPr="00F16251">
              <w:rPr>
                <w:rFonts w:eastAsia="Calibri" w:cstheme="minorHAnsi"/>
              </w:rPr>
              <w:t>wywiady</w:t>
            </w:r>
          </w:p>
          <w:p w14:paraId="6349C3FE" w14:textId="7CAC73B0" w:rsidR="002C63F4" w:rsidRPr="00F16251" w:rsidRDefault="002C63F4" w:rsidP="00611E7C">
            <w:pPr>
              <w:spacing w:line="276" w:lineRule="auto"/>
              <w:ind w:right="5"/>
              <w:cnfStyle w:val="000000100000" w:firstRow="0" w:lastRow="0" w:firstColumn="0" w:lastColumn="0" w:oddVBand="0" w:evenVBand="0" w:oddHBand="1" w:evenHBand="0" w:firstRowFirstColumn="0" w:firstRowLastColumn="0" w:lastRowFirstColumn="0" w:lastRowLastColumn="0"/>
              <w:rPr>
                <w:rFonts w:eastAsia="Calibri" w:cstheme="minorHAnsi"/>
              </w:rPr>
            </w:pPr>
            <w:r w:rsidRPr="00F16251">
              <w:rPr>
                <w:rFonts w:eastAsia="Calibri" w:cstheme="minorHAnsi"/>
              </w:rPr>
              <w:t>M</w:t>
            </w:r>
            <w:r w:rsidR="00611E7C" w:rsidRPr="00F16251">
              <w:rPr>
                <w:rFonts w:eastAsia="Calibri" w:cstheme="minorHAnsi"/>
              </w:rPr>
              <w:t>6</w:t>
            </w:r>
            <w:r w:rsidRPr="00F16251">
              <w:rPr>
                <w:rFonts w:eastAsia="Calibri" w:cstheme="minorHAnsi"/>
              </w:rPr>
              <w:t>,</w:t>
            </w:r>
            <w:r w:rsidR="003B50ED" w:rsidRPr="00F16251">
              <w:rPr>
                <w:rFonts w:eastAsia="Calibri" w:cstheme="minorHAnsi"/>
              </w:rPr>
              <w:t xml:space="preserve"> </w:t>
            </w:r>
            <w:r w:rsidRPr="00F16251">
              <w:rPr>
                <w:rFonts w:eastAsia="Calibri" w:cstheme="minorHAnsi"/>
              </w:rPr>
              <w:t>E1,</w:t>
            </w:r>
            <w:r w:rsidR="003B50ED" w:rsidRPr="00F16251">
              <w:rPr>
                <w:rFonts w:eastAsia="Calibri" w:cstheme="minorHAnsi"/>
              </w:rPr>
              <w:t xml:space="preserve"> </w:t>
            </w:r>
            <w:r w:rsidRPr="00F16251">
              <w:rPr>
                <w:rFonts w:eastAsia="Calibri" w:cstheme="minorHAnsi"/>
              </w:rPr>
              <w:t>EX</w:t>
            </w:r>
          </w:p>
        </w:tc>
        <w:tc>
          <w:tcPr>
            <w:tcW w:w="3969" w:type="dxa"/>
          </w:tcPr>
          <w:p w14:paraId="76E1D5FA" w14:textId="0AE6F36D" w:rsidR="002C63F4" w:rsidRPr="00F16251" w:rsidRDefault="002C63F4" w:rsidP="00611E7C">
            <w:pPr>
              <w:spacing w:line="276" w:lineRule="auto"/>
              <w:ind w:right="5"/>
              <w:cnfStyle w:val="000000100000" w:firstRow="0" w:lastRow="0" w:firstColumn="0" w:lastColumn="0" w:oddVBand="0" w:evenVBand="0" w:oddHBand="1" w:evenHBand="0" w:firstRowFirstColumn="0" w:firstRowLastColumn="0" w:lastRowFirstColumn="0" w:lastRowLastColumn="0"/>
              <w:rPr>
                <w:rFonts w:eastAsia="Calibri" w:cstheme="minorHAnsi"/>
              </w:rPr>
            </w:pPr>
            <w:r w:rsidRPr="00F16251">
              <w:rPr>
                <w:rFonts w:eastAsia="Calibri" w:cstheme="minorHAnsi"/>
              </w:rPr>
              <w:lastRenderedPageBreak/>
              <w:t>Skuteczność,</w:t>
            </w:r>
            <w:r w:rsidR="003B50ED" w:rsidRPr="00F16251">
              <w:rPr>
                <w:rFonts w:eastAsia="Calibri" w:cstheme="minorHAnsi"/>
              </w:rPr>
              <w:t xml:space="preserve"> </w:t>
            </w:r>
            <w:r w:rsidRPr="00F16251">
              <w:rPr>
                <w:rFonts w:eastAsia="Calibri" w:cstheme="minorHAnsi"/>
              </w:rPr>
              <w:t>użyteczność</w:t>
            </w:r>
            <w:r w:rsidR="003B50ED" w:rsidRPr="00F16251">
              <w:rPr>
                <w:rFonts w:eastAsia="Calibri" w:cstheme="minorHAnsi"/>
              </w:rPr>
              <w:t xml:space="preserve"> </w:t>
            </w:r>
            <w:r w:rsidRPr="00F16251">
              <w:rPr>
                <w:rFonts w:eastAsia="Calibri" w:cstheme="minorHAnsi"/>
              </w:rPr>
              <w:t>i</w:t>
            </w:r>
            <w:r w:rsidR="003B50ED" w:rsidRPr="00F16251">
              <w:rPr>
                <w:rFonts w:eastAsia="Calibri" w:cstheme="minorHAnsi"/>
              </w:rPr>
              <w:t xml:space="preserve"> </w:t>
            </w:r>
            <w:r w:rsidRPr="00F16251">
              <w:rPr>
                <w:rFonts w:eastAsia="Calibri" w:cstheme="minorHAnsi"/>
              </w:rPr>
              <w:t>trwałość</w:t>
            </w:r>
            <w:r w:rsidR="003B50ED" w:rsidRPr="00F16251">
              <w:rPr>
                <w:rFonts w:eastAsia="Calibri" w:cstheme="minorHAnsi"/>
              </w:rPr>
              <w:t xml:space="preserve"> </w:t>
            </w:r>
            <w:r w:rsidRPr="00F16251">
              <w:rPr>
                <w:rFonts w:eastAsia="Calibri" w:cstheme="minorHAnsi"/>
              </w:rPr>
              <w:t>wykorzystywanych</w:t>
            </w:r>
            <w:r w:rsidR="003B50ED" w:rsidRPr="00F16251">
              <w:rPr>
                <w:rFonts w:eastAsia="Calibri" w:cstheme="minorHAnsi"/>
              </w:rPr>
              <w:t xml:space="preserve"> </w:t>
            </w:r>
            <w:r w:rsidRPr="00F16251">
              <w:rPr>
                <w:rFonts w:eastAsia="Calibri" w:cstheme="minorHAnsi"/>
              </w:rPr>
              <w:t>narzędzi</w:t>
            </w:r>
            <w:r w:rsidR="003B50ED" w:rsidRPr="00F16251">
              <w:rPr>
                <w:rFonts w:eastAsia="Calibri" w:cstheme="minorHAnsi"/>
              </w:rPr>
              <w:t xml:space="preserve"> </w:t>
            </w:r>
            <w:r w:rsidRPr="00F16251">
              <w:rPr>
                <w:rFonts w:eastAsia="Calibri" w:cstheme="minorHAnsi"/>
              </w:rPr>
              <w:t>promocji</w:t>
            </w:r>
          </w:p>
        </w:tc>
      </w:tr>
      <w:tr w:rsidR="00F16251" w:rsidRPr="00F16251" w14:paraId="33ACDFEE" w14:textId="77777777" w:rsidTr="00BC3DF7">
        <w:tc>
          <w:tcPr>
            <w:cnfStyle w:val="001000000000" w:firstRow="0" w:lastRow="0" w:firstColumn="1" w:lastColumn="0" w:oddVBand="0" w:evenVBand="0" w:oddHBand="0" w:evenHBand="0" w:firstRowFirstColumn="0" w:firstRowLastColumn="0" w:lastRowFirstColumn="0" w:lastRowLastColumn="0"/>
            <w:tcW w:w="3256" w:type="dxa"/>
          </w:tcPr>
          <w:p w14:paraId="76E04D06" w14:textId="11207B79" w:rsidR="002C63F4" w:rsidRPr="00F16251" w:rsidRDefault="002C63F4" w:rsidP="00611E7C">
            <w:pPr>
              <w:spacing w:line="276" w:lineRule="auto"/>
              <w:ind w:right="5"/>
              <w:rPr>
                <w:rFonts w:eastAsia="Calibri" w:cstheme="minorHAnsi"/>
                <w:b w:val="0"/>
                <w:bCs w:val="0"/>
              </w:rPr>
            </w:pPr>
            <w:r w:rsidRPr="00F16251">
              <w:rPr>
                <w:rFonts w:eastAsia="Calibri" w:cstheme="minorHAnsi"/>
                <w:b w:val="0"/>
                <w:bCs w:val="0"/>
              </w:rPr>
              <w:lastRenderedPageBreak/>
              <w:t>Identyfikację</w:t>
            </w:r>
            <w:r w:rsidR="003B50ED" w:rsidRPr="00F16251">
              <w:rPr>
                <w:rFonts w:eastAsia="Calibri" w:cstheme="minorHAnsi"/>
                <w:b w:val="0"/>
                <w:bCs w:val="0"/>
              </w:rPr>
              <w:t xml:space="preserve"> </w:t>
            </w:r>
            <w:r w:rsidRPr="00F16251">
              <w:rPr>
                <w:rFonts w:eastAsia="Calibri" w:cstheme="minorHAnsi"/>
                <w:b w:val="0"/>
                <w:bCs w:val="0"/>
              </w:rPr>
              <w:t>zmian</w:t>
            </w:r>
            <w:r w:rsidR="003B50ED" w:rsidRPr="00F16251">
              <w:rPr>
                <w:rFonts w:eastAsia="Calibri" w:cstheme="minorHAnsi"/>
                <w:b w:val="0"/>
                <w:bCs w:val="0"/>
              </w:rPr>
              <w:t xml:space="preserve"> </w:t>
            </w:r>
            <w:r w:rsidRPr="00F16251">
              <w:rPr>
                <w:rFonts w:eastAsia="Calibri" w:cstheme="minorHAnsi"/>
                <w:b w:val="0"/>
                <w:bCs w:val="0"/>
              </w:rPr>
              <w:t>w</w:t>
            </w:r>
            <w:r w:rsidR="003B50ED" w:rsidRPr="00F16251">
              <w:rPr>
                <w:rFonts w:eastAsia="Calibri" w:cstheme="minorHAnsi"/>
                <w:b w:val="0"/>
                <w:bCs w:val="0"/>
              </w:rPr>
              <w:t xml:space="preserve"> </w:t>
            </w:r>
            <w:r w:rsidRPr="00F16251">
              <w:rPr>
                <w:rFonts w:eastAsia="Calibri" w:cstheme="minorHAnsi"/>
                <w:b w:val="0"/>
                <w:bCs w:val="0"/>
              </w:rPr>
              <w:t>otoczeniu</w:t>
            </w:r>
            <w:r w:rsidR="003B50ED" w:rsidRPr="00F16251">
              <w:rPr>
                <w:rFonts w:eastAsia="Calibri" w:cstheme="minorHAnsi"/>
                <w:b w:val="0"/>
                <w:bCs w:val="0"/>
              </w:rPr>
              <w:t xml:space="preserve"> </w:t>
            </w:r>
            <w:r w:rsidRPr="00F16251">
              <w:rPr>
                <w:rFonts w:eastAsia="Calibri" w:cstheme="minorHAnsi"/>
                <w:b w:val="0"/>
                <w:bCs w:val="0"/>
              </w:rPr>
              <w:t>LSR</w:t>
            </w:r>
            <w:r w:rsidR="003B50ED" w:rsidRPr="00F16251">
              <w:rPr>
                <w:rFonts w:eastAsia="Calibri" w:cstheme="minorHAnsi"/>
                <w:b w:val="0"/>
                <w:bCs w:val="0"/>
              </w:rPr>
              <w:t xml:space="preserve"> </w:t>
            </w:r>
            <w:r w:rsidRPr="00F16251">
              <w:rPr>
                <w:rFonts w:eastAsia="Calibri" w:cstheme="minorHAnsi"/>
                <w:b w:val="0"/>
                <w:bCs w:val="0"/>
              </w:rPr>
              <w:t>i</w:t>
            </w:r>
            <w:r w:rsidR="003B50ED" w:rsidRPr="00F16251">
              <w:rPr>
                <w:rFonts w:eastAsia="Calibri" w:cstheme="minorHAnsi"/>
                <w:b w:val="0"/>
                <w:bCs w:val="0"/>
              </w:rPr>
              <w:t xml:space="preserve"> </w:t>
            </w:r>
            <w:r w:rsidRPr="00F16251">
              <w:rPr>
                <w:rFonts w:eastAsia="Calibri" w:cstheme="minorHAnsi"/>
                <w:b w:val="0"/>
                <w:bCs w:val="0"/>
              </w:rPr>
              <w:t>czynników</w:t>
            </w:r>
            <w:r w:rsidR="003B50ED" w:rsidRPr="00F16251">
              <w:rPr>
                <w:rFonts w:eastAsia="Calibri" w:cstheme="minorHAnsi"/>
                <w:b w:val="0"/>
                <w:bCs w:val="0"/>
              </w:rPr>
              <w:t xml:space="preserve"> </w:t>
            </w:r>
            <w:r w:rsidRPr="00F16251">
              <w:rPr>
                <w:rFonts w:eastAsia="Calibri" w:cstheme="minorHAnsi"/>
                <w:b w:val="0"/>
                <w:bCs w:val="0"/>
              </w:rPr>
              <w:t>zakłócających</w:t>
            </w:r>
            <w:r w:rsidR="00BC3DF7" w:rsidRPr="00F16251">
              <w:rPr>
                <w:rFonts w:eastAsia="Calibri" w:cstheme="minorHAnsi"/>
                <w:b w:val="0"/>
                <w:bCs w:val="0"/>
              </w:rPr>
              <w:t xml:space="preserve"> </w:t>
            </w:r>
            <w:r w:rsidRPr="00F16251">
              <w:rPr>
                <w:rFonts w:eastAsia="Calibri" w:cstheme="minorHAnsi"/>
                <w:b w:val="0"/>
                <w:bCs w:val="0"/>
              </w:rPr>
              <w:t>–</w:t>
            </w:r>
            <w:r w:rsidR="003B50ED" w:rsidRPr="00F16251">
              <w:rPr>
                <w:rFonts w:eastAsia="Calibri" w:cstheme="minorHAnsi"/>
                <w:b w:val="0"/>
                <w:bCs w:val="0"/>
              </w:rPr>
              <w:t xml:space="preserve"> </w:t>
            </w:r>
            <w:r w:rsidRPr="00F16251">
              <w:rPr>
                <w:rFonts w:eastAsia="Calibri" w:cstheme="minorHAnsi"/>
                <w:b w:val="0"/>
                <w:bCs w:val="0"/>
              </w:rPr>
              <w:t>wdrażanie</w:t>
            </w:r>
            <w:r w:rsidR="003B50ED" w:rsidRPr="00F16251">
              <w:rPr>
                <w:rFonts w:eastAsia="Calibri" w:cstheme="minorHAnsi"/>
                <w:b w:val="0"/>
                <w:bCs w:val="0"/>
              </w:rPr>
              <w:t xml:space="preserve"> </w:t>
            </w:r>
            <w:r w:rsidRPr="00F16251">
              <w:rPr>
                <w:rFonts w:eastAsia="Calibri" w:cstheme="minorHAnsi"/>
                <w:b w:val="0"/>
                <w:bCs w:val="0"/>
              </w:rPr>
              <w:t>LSR</w:t>
            </w:r>
          </w:p>
        </w:tc>
        <w:tc>
          <w:tcPr>
            <w:tcW w:w="2976" w:type="dxa"/>
          </w:tcPr>
          <w:p w14:paraId="15F7DAD0" w14:textId="1791C7E8" w:rsidR="002C63F4" w:rsidRPr="00F16251" w:rsidRDefault="002C63F4" w:rsidP="00611E7C">
            <w:pPr>
              <w:spacing w:line="276" w:lineRule="auto"/>
              <w:ind w:right="5"/>
              <w:cnfStyle w:val="000000000000" w:firstRow="0" w:lastRow="0" w:firstColumn="0" w:lastColumn="0" w:oddVBand="0" w:evenVBand="0" w:oddHBand="0" w:evenHBand="0" w:firstRowFirstColumn="0" w:firstRowLastColumn="0" w:lastRowFirstColumn="0" w:lastRowLastColumn="0"/>
              <w:rPr>
                <w:rFonts w:eastAsia="Calibri" w:cstheme="minorHAnsi"/>
              </w:rPr>
            </w:pPr>
            <w:r w:rsidRPr="00F16251">
              <w:rPr>
                <w:rFonts w:eastAsia="Calibri" w:cstheme="minorHAnsi"/>
              </w:rPr>
              <w:t>analiza</w:t>
            </w:r>
            <w:r w:rsidR="003B50ED" w:rsidRPr="00F16251">
              <w:rPr>
                <w:rFonts w:eastAsia="Calibri" w:cstheme="minorHAnsi"/>
              </w:rPr>
              <w:t xml:space="preserve"> </w:t>
            </w:r>
            <w:r w:rsidRPr="00F16251">
              <w:rPr>
                <w:rFonts w:eastAsia="Calibri" w:cstheme="minorHAnsi"/>
              </w:rPr>
              <w:t>danych</w:t>
            </w:r>
            <w:r w:rsidR="003B50ED" w:rsidRPr="00F16251">
              <w:rPr>
                <w:rFonts w:eastAsia="Calibri" w:cstheme="minorHAnsi"/>
              </w:rPr>
              <w:t xml:space="preserve"> </w:t>
            </w:r>
            <w:r w:rsidRPr="00F16251">
              <w:rPr>
                <w:rFonts w:eastAsia="Calibri" w:cstheme="minorHAnsi"/>
              </w:rPr>
              <w:t>GUS,</w:t>
            </w:r>
            <w:r w:rsidR="003B50ED" w:rsidRPr="00F16251">
              <w:rPr>
                <w:rFonts w:eastAsia="Calibri" w:cstheme="minorHAnsi"/>
              </w:rPr>
              <w:t xml:space="preserve"> </w:t>
            </w:r>
            <w:r w:rsidRPr="00F16251">
              <w:rPr>
                <w:rFonts w:eastAsia="Calibri" w:cstheme="minorHAnsi"/>
              </w:rPr>
              <w:t>dokumentacja</w:t>
            </w:r>
            <w:r w:rsidR="003B50ED" w:rsidRPr="00F16251">
              <w:rPr>
                <w:rFonts w:eastAsia="Calibri" w:cstheme="minorHAnsi"/>
              </w:rPr>
              <w:t xml:space="preserve"> </w:t>
            </w:r>
            <w:r w:rsidRPr="00F16251">
              <w:rPr>
                <w:rFonts w:eastAsia="Calibri" w:cstheme="minorHAnsi"/>
              </w:rPr>
              <w:t>własna</w:t>
            </w:r>
            <w:r w:rsidR="003B50ED" w:rsidRPr="00F16251">
              <w:rPr>
                <w:rFonts w:eastAsia="Calibri" w:cstheme="minorHAnsi"/>
              </w:rPr>
              <w:t xml:space="preserve"> </w:t>
            </w:r>
            <w:r w:rsidRPr="00F16251">
              <w:rPr>
                <w:rFonts w:eastAsia="Calibri" w:cstheme="minorHAnsi"/>
              </w:rPr>
              <w:t>LGD,</w:t>
            </w:r>
            <w:r w:rsidR="003B50ED" w:rsidRPr="00F16251">
              <w:rPr>
                <w:rFonts w:eastAsia="Calibri" w:cstheme="minorHAnsi"/>
              </w:rPr>
              <w:t xml:space="preserve"> </w:t>
            </w:r>
            <w:r w:rsidRPr="00F16251">
              <w:rPr>
                <w:rFonts w:eastAsia="Calibri" w:cstheme="minorHAnsi"/>
              </w:rPr>
              <w:t>ankiety,</w:t>
            </w:r>
            <w:r w:rsidR="003B50ED" w:rsidRPr="00F16251">
              <w:rPr>
                <w:rFonts w:eastAsia="Calibri" w:cstheme="minorHAnsi"/>
              </w:rPr>
              <w:t xml:space="preserve"> </w:t>
            </w:r>
            <w:r w:rsidRPr="00F16251">
              <w:rPr>
                <w:rFonts w:eastAsia="Calibri" w:cstheme="minorHAnsi"/>
              </w:rPr>
              <w:t>wywiady</w:t>
            </w:r>
          </w:p>
          <w:p w14:paraId="60922C4F" w14:textId="209DA7B9" w:rsidR="002C63F4" w:rsidRPr="00F16251" w:rsidRDefault="002C63F4" w:rsidP="00611E7C">
            <w:pPr>
              <w:spacing w:line="276" w:lineRule="auto"/>
              <w:ind w:right="5"/>
              <w:cnfStyle w:val="000000000000" w:firstRow="0" w:lastRow="0" w:firstColumn="0" w:lastColumn="0" w:oddVBand="0" w:evenVBand="0" w:oddHBand="0" w:evenHBand="0" w:firstRowFirstColumn="0" w:firstRowLastColumn="0" w:lastRowFirstColumn="0" w:lastRowLastColumn="0"/>
              <w:rPr>
                <w:rFonts w:eastAsia="Calibri" w:cstheme="minorHAnsi"/>
              </w:rPr>
            </w:pPr>
            <w:r w:rsidRPr="00F16251">
              <w:rPr>
                <w:rFonts w:eastAsia="Calibri" w:cstheme="minorHAnsi"/>
              </w:rPr>
              <w:t>E1,</w:t>
            </w:r>
            <w:r w:rsidR="003B50ED" w:rsidRPr="00F16251">
              <w:rPr>
                <w:rFonts w:eastAsia="Calibri" w:cstheme="minorHAnsi"/>
              </w:rPr>
              <w:t xml:space="preserve"> </w:t>
            </w:r>
            <w:r w:rsidRPr="00F16251">
              <w:rPr>
                <w:rFonts w:eastAsia="Calibri" w:cstheme="minorHAnsi"/>
              </w:rPr>
              <w:t>EX</w:t>
            </w:r>
          </w:p>
        </w:tc>
        <w:tc>
          <w:tcPr>
            <w:tcW w:w="3969" w:type="dxa"/>
          </w:tcPr>
          <w:p w14:paraId="62BACF3A" w14:textId="737A0552" w:rsidR="002C63F4" w:rsidRPr="00F16251" w:rsidRDefault="002C63F4" w:rsidP="00611E7C">
            <w:pPr>
              <w:spacing w:line="276" w:lineRule="auto"/>
              <w:ind w:right="5"/>
              <w:cnfStyle w:val="000000000000" w:firstRow="0" w:lastRow="0" w:firstColumn="0" w:lastColumn="0" w:oddVBand="0" w:evenVBand="0" w:oddHBand="0" w:evenHBand="0" w:firstRowFirstColumn="0" w:firstRowLastColumn="0" w:lastRowFirstColumn="0" w:lastRowLastColumn="0"/>
              <w:rPr>
                <w:rFonts w:eastAsia="Calibri" w:cstheme="minorHAnsi"/>
              </w:rPr>
            </w:pPr>
            <w:r w:rsidRPr="00F16251">
              <w:rPr>
                <w:rFonts w:eastAsia="Calibri" w:cstheme="minorHAnsi"/>
              </w:rPr>
              <w:t>Efektywność,</w:t>
            </w:r>
            <w:r w:rsidR="003B50ED" w:rsidRPr="00F16251">
              <w:rPr>
                <w:rFonts w:eastAsia="Calibri" w:cstheme="minorHAnsi"/>
              </w:rPr>
              <w:t xml:space="preserve"> </w:t>
            </w:r>
            <w:r w:rsidRPr="00F16251">
              <w:rPr>
                <w:rFonts w:eastAsia="Calibri" w:cstheme="minorHAnsi"/>
              </w:rPr>
              <w:t>trafność</w:t>
            </w:r>
            <w:r w:rsidR="003B50ED" w:rsidRPr="00F16251">
              <w:rPr>
                <w:rFonts w:eastAsia="Calibri" w:cstheme="minorHAnsi"/>
              </w:rPr>
              <w:t xml:space="preserve"> </w:t>
            </w:r>
            <w:r w:rsidRPr="00F16251">
              <w:rPr>
                <w:rFonts w:eastAsia="Calibri" w:cstheme="minorHAnsi"/>
              </w:rPr>
              <w:t>i</w:t>
            </w:r>
            <w:r w:rsidR="003B50ED" w:rsidRPr="00F16251">
              <w:rPr>
                <w:rFonts w:eastAsia="Calibri" w:cstheme="minorHAnsi"/>
              </w:rPr>
              <w:t xml:space="preserve"> </w:t>
            </w:r>
            <w:r w:rsidRPr="00F16251">
              <w:rPr>
                <w:rFonts w:eastAsia="Calibri" w:cstheme="minorHAnsi"/>
              </w:rPr>
              <w:t>trwałość</w:t>
            </w:r>
            <w:r w:rsidR="003B50ED" w:rsidRPr="00F16251">
              <w:rPr>
                <w:rFonts w:eastAsia="Calibri" w:cstheme="minorHAnsi"/>
              </w:rPr>
              <w:t xml:space="preserve"> </w:t>
            </w:r>
            <w:r w:rsidRPr="00F16251">
              <w:rPr>
                <w:rFonts w:eastAsia="Calibri" w:cstheme="minorHAnsi"/>
              </w:rPr>
              <w:t>aktywizacji</w:t>
            </w:r>
            <w:r w:rsidR="003B50ED" w:rsidRPr="00F16251">
              <w:rPr>
                <w:rFonts w:eastAsia="Calibri" w:cstheme="minorHAnsi"/>
              </w:rPr>
              <w:t xml:space="preserve"> </w:t>
            </w:r>
            <w:r w:rsidRPr="00F16251">
              <w:rPr>
                <w:rFonts w:eastAsia="Calibri" w:cstheme="minorHAnsi"/>
              </w:rPr>
              <w:t>lokalnej</w:t>
            </w:r>
            <w:r w:rsidR="003B50ED" w:rsidRPr="00F16251">
              <w:rPr>
                <w:rFonts w:eastAsia="Calibri" w:cstheme="minorHAnsi"/>
              </w:rPr>
              <w:t xml:space="preserve"> </w:t>
            </w:r>
            <w:r w:rsidRPr="00F16251">
              <w:rPr>
                <w:rFonts w:eastAsia="Calibri" w:cstheme="minorHAnsi"/>
              </w:rPr>
              <w:t>społeczności</w:t>
            </w:r>
          </w:p>
        </w:tc>
      </w:tr>
    </w:tbl>
    <w:p w14:paraId="3D07EFCD" w14:textId="77777777" w:rsidR="00BD17DA" w:rsidRDefault="00BD17DA" w:rsidP="00A26C26">
      <w:pPr>
        <w:pStyle w:val="Nagwek1"/>
        <w:spacing w:before="0" w:line="276" w:lineRule="auto"/>
        <w:rPr>
          <w:rFonts w:asciiTheme="minorHAnsi" w:hAnsiTheme="minorHAnsi" w:cstheme="minorHAnsi"/>
          <w:b/>
          <w:bCs/>
          <w:color w:val="auto"/>
          <w:sz w:val="22"/>
          <w:szCs w:val="22"/>
        </w:rPr>
      </w:pPr>
    </w:p>
    <w:p w14:paraId="0AB0AF71" w14:textId="77777777" w:rsidR="00BD17DA" w:rsidRDefault="00BD17DA">
      <w:pPr>
        <w:rPr>
          <w:rFonts w:eastAsiaTheme="majorEastAsia" w:cstheme="minorHAnsi"/>
          <w:b/>
          <w:bCs/>
        </w:rPr>
      </w:pPr>
      <w:r>
        <w:rPr>
          <w:rFonts w:cstheme="minorHAnsi"/>
          <w:b/>
          <w:bCs/>
        </w:rPr>
        <w:br w:type="page"/>
      </w:r>
    </w:p>
    <w:p w14:paraId="2C2AB020" w14:textId="74876EC0" w:rsidR="00E924BA" w:rsidRPr="00BD17DA" w:rsidRDefault="00E924BA" w:rsidP="00A26C26">
      <w:pPr>
        <w:pStyle w:val="Nagwek1"/>
        <w:spacing w:before="0" w:line="276" w:lineRule="auto"/>
        <w:rPr>
          <w:rFonts w:asciiTheme="minorHAnsi" w:hAnsiTheme="minorHAnsi" w:cstheme="minorHAnsi"/>
          <w:b/>
          <w:bCs/>
          <w:webHidden/>
          <w:sz w:val="22"/>
          <w:szCs w:val="22"/>
        </w:rPr>
      </w:pPr>
      <w:bookmarkStart w:id="109" w:name="_Toc136944433"/>
      <w:r w:rsidRPr="00BD17DA">
        <w:rPr>
          <w:rFonts w:asciiTheme="minorHAnsi" w:hAnsiTheme="minorHAnsi" w:cstheme="minorHAnsi"/>
          <w:b/>
          <w:bCs/>
          <w:sz w:val="22"/>
          <w:szCs w:val="22"/>
        </w:rPr>
        <w:lastRenderedPageBreak/>
        <w:t>Wykaz</w:t>
      </w:r>
      <w:r w:rsidR="003B50ED" w:rsidRPr="00BD17DA">
        <w:rPr>
          <w:rFonts w:asciiTheme="minorHAnsi" w:hAnsiTheme="minorHAnsi" w:cstheme="minorHAnsi"/>
          <w:b/>
          <w:bCs/>
          <w:sz w:val="22"/>
          <w:szCs w:val="22"/>
        </w:rPr>
        <w:t xml:space="preserve"> </w:t>
      </w:r>
      <w:r w:rsidRPr="00BD17DA">
        <w:rPr>
          <w:rFonts w:asciiTheme="minorHAnsi" w:hAnsiTheme="minorHAnsi" w:cstheme="minorHAnsi"/>
          <w:b/>
          <w:bCs/>
          <w:sz w:val="22"/>
          <w:szCs w:val="22"/>
        </w:rPr>
        <w:t>wykorzystanej</w:t>
      </w:r>
      <w:r w:rsidR="003B50ED" w:rsidRPr="00BD17DA">
        <w:rPr>
          <w:rFonts w:asciiTheme="minorHAnsi" w:hAnsiTheme="minorHAnsi" w:cstheme="minorHAnsi"/>
          <w:b/>
          <w:bCs/>
          <w:sz w:val="22"/>
          <w:szCs w:val="22"/>
        </w:rPr>
        <w:t xml:space="preserve"> </w:t>
      </w:r>
      <w:r w:rsidRPr="00BD17DA">
        <w:rPr>
          <w:rFonts w:asciiTheme="minorHAnsi" w:hAnsiTheme="minorHAnsi" w:cstheme="minorHAnsi"/>
          <w:b/>
          <w:bCs/>
          <w:sz w:val="22"/>
          <w:szCs w:val="22"/>
        </w:rPr>
        <w:t>literatury</w:t>
      </w:r>
      <w:bookmarkEnd w:id="109"/>
    </w:p>
    <w:p w14:paraId="4E1FC7C7" w14:textId="77777777" w:rsidR="00F32737" w:rsidRPr="00F16251" w:rsidRDefault="00F32737" w:rsidP="00F32737">
      <w:pPr>
        <w:spacing w:line="276" w:lineRule="auto"/>
        <w:ind w:right="6"/>
        <w:jc w:val="both"/>
        <w:rPr>
          <w:rFonts w:eastAsia="Calibri" w:cstheme="minorHAnsi"/>
          <w:kern w:val="0"/>
          <w:lang w:eastAsia="pl-PL"/>
          <w14:ligatures w14:val="none"/>
        </w:rPr>
      </w:pPr>
    </w:p>
    <w:p w14:paraId="65CB231A" w14:textId="77777777" w:rsidR="00F32737" w:rsidRPr="00F16251" w:rsidRDefault="00F32737" w:rsidP="008A412F">
      <w:pPr>
        <w:pStyle w:val="Akapitzlist"/>
        <w:numPr>
          <w:ilvl w:val="0"/>
          <w:numId w:val="27"/>
        </w:numPr>
        <w:autoSpaceDE w:val="0"/>
        <w:autoSpaceDN w:val="0"/>
        <w:adjustRightInd w:val="0"/>
        <w:spacing w:line="276" w:lineRule="auto"/>
        <w:ind w:left="357" w:hanging="357"/>
        <w:contextualSpacing w:val="0"/>
        <w:jc w:val="both"/>
        <w:rPr>
          <w:rFonts w:cstheme="minorHAnsi"/>
        </w:rPr>
      </w:pPr>
      <w:r w:rsidRPr="00F16251">
        <w:rPr>
          <w:rFonts w:cstheme="minorHAnsi"/>
        </w:rPr>
        <w:t>Plan Strategiczny dla Wspólnej Polityki Rolnej na lata 2023-2027 (aktualizacja, maj 2023 r.).</w:t>
      </w:r>
    </w:p>
    <w:p w14:paraId="3D0E9707" w14:textId="77777777" w:rsidR="00F32737" w:rsidRPr="00F16251" w:rsidRDefault="00F32737" w:rsidP="008A412F">
      <w:pPr>
        <w:pStyle w:val="Akapitzlist"/>
        <w:numPr>
          <w:ilvl w:val="0"/>
          <w:numId w:val="27"/>
        </w:numPr>
        <w:autoSpaceDE w:val="0"/>
        <w:autoSpaceDN w:val="0"/>
        <w:adjustRightInd w:val="0"/>
        <w:spacing w:line="276" w:lineRule="auto"/>
        <w:ind w:left="357" w:hanging="357"/>
        <w:contextualSpacing w:val="0"/>
        <w:jc w:val="both"/>
        <w:rPr>
          <w:rFonts w:cstheme="minorHAnsi"/>
        </w:rPr>
      </w:pPr>
      <w:r w:rsidRPr="00F16251">
        <w:rPr>
          <w:rFonts w:cstheme="minorHAnsi"/>
        </w:rPr>
        <w:t>Program regionalny Fundusze Europejskie dla Wielkopolski 2021-2027.</w:t>
      </w:r>
    </w:p>
    <w:p w14:paraId="73C4C7AC" w14:textId="77777777" w:rsidR="00F32737" w:rsidRPr="00F16251" w:rsidRDefault="00F32737" w:rsidP="008A412F">
      <w:pPr>
        <w:pStyle w:val="Akapitzlist"/>
        <w:numPr>
          <w:ilvl w:val="0"/>
          <w:numId w:val="27"/>
        </w:numPr>
        <w:autoSpaceDE w:val="0"/>
        <w:autoSpaceDN w:val="0"/>
        <w:adjustRightInd w:val="0"/>
        <w:spacing w:line="276" w:lineRule="auto"/>
        <w:ind w:left="357" w:hanging="357"/>
        <w:contextualSpacing w:val="0"/>
        <w:jc w:val="both"/>
        <w:rPr>
          <w:rFonts w:cstheme="minorHAnsi"/>
        </w:rPr>
      </w:pPr>
      <w:r w:rsidRPr="00F16251">
        <w:rPr>
          <w:rFonts w:cstheme="minorHAnsi"/>
        </w:rPr>
        <w:t>Szczegółowy Opis Priorytetów programu regionalnego Fundusze Europejskie dla Wielkopolski 2021-2027.</w:t>
      </w:r>
    </w:p>
    <w:p w14:paraId="5F2D1369" w14:textId="77777777" w:rsidR="00F32737" w:rsidRPr="00F16251" w:rsidRDefault="00F32737" w:rsidP="008A412F">
      <w:pPr>
        <w:pStyle w:val="Akapitzlist"/>
        <w:numPr>
          <w:ilvl w:val="0"/>
          <w:numId w:val="27"/>
        </w:numPr>
        <w:autoSpaceDE w:val="0"/>
        <w:autoSpaceDN w:val="0"/>
        <w:adjustRightInd w:val="0"/>
        <w:spacing w:line="276" w:lineRule="auto"/>
        <w:ind w:left="357" w:hanging="357"/>
        <w:contextualSpacing w:val="0"/>
        <w:jc w:val="both"/>
        <w:rPr>
          <w:rFonts w:cstheme="minorHAnsi"/>
        </w:rPr>
      </w:pPr>
      <w:r w:rsidRPr="00F16251">
        <w:rPr>
          <w:rFonts w:cstheme="minorHAnsi"/>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159-706).</w:t>
      </w:r>
    </w:p>
    <w:p w14:paraId="5F4E7BC8" w14:textId="77777777" w:rsidR="00F32737" w:rsidRPr="00F16251" w:rsidRDefault="00F32737" w:rsidP="008A412F">
      <w:pPr>
        <w:pStyle w:val="Akapitzlist"/>
        <w:numPr>
          <w:ilvl w:val="0"/>
          <w:numId w:val="27"/>
        </w:numPr>
        <w:autoSpaceDE w:val="0"/>
        <w:autoSpaceDN w:val="0"/>
        <w:adjustRightInd w:val="0"/>
        <w:spacing w:line="276" w:lineRule="auto"/>
        <w:ind w:left="357" w:hanging="357"/>
        <w:contextualSpacing w:val="0"/>
        <w:jc w:val="both"/>
        <w:rPr>
          <w:rFonts w:cstheme="minorHAnsi"/>
        </w:rPr>
      </w:pPr>
      <w:r w:rsidRPr="00F16251">
        <w:rPr>
          <w:rFonts w:cstheme="minorHAnsi"/>
        </w:rPr>
        <w:t>Europejski Zielony Ład, Komisja Europejska 2021.</w:t>
      </w:r>
    </w:p>
    <w:p w14:paraId="64581C7B" w14:textId="77777777" w:rsidR="00F32737" w:rsidRPr="00F16251" w:rsidRDefault="00F32737" w:rsidP="008A412F">
      <w:pPr>
        <w:pStyle w:val="Akapitzlist"/>
        <w:numPr>
          <w:ilvl w:val="0"/>
          <w:numId w:val="27"/>
        </w:numPr>
        <w:autoSpaceDE w:val="0"/>
        <w:autoSpaceDN w:val="0"/>
        <w:adjustRightInd w:val="0"/>
        <w:spacing w:line="276" w:lineRule="auto"/>
        <w:ind w:left="357" w:hanging="357"/>
        <w:contextualSpacing w:val="0"/>
        <w:jc w:val="both"/>
        <w:rPr>
          <w:rFonts w:cstheme="minorHAnsi"/>
        </w:rPr>
      </w:pPr>
      <w:r w:rsidRPr="00F16251">
        <w:rPr>
          <w:rFonts w:cstheme="minorHAnsi"/>
        </w:rPr>
        <w:t>Ustawa z dnia 20 lutego 2015 r. o rozwoju lokalnym z udziałem lokalnej społeczności (Dz. U. z 2022 r. poz. 943), zwanej dalej „ustawą RLKS”.</w:t>
      </w:r>
    </w:p>
    <w:p w14:paraId="23498948" w14:textId="5C5641B3" w:rsidR="00F32737" w:rsidRPr="00F16251" w:rsidRDefault="00F32737" w:rsidP="008A412F">
      <w:pPr>
        <w:pStyle w:val="Akapitzlist"/>
        <w:numPr>
          <w:ilvl w:val="0"/>
          <w:numId w:val="27"/>
        </w:numPr>
        <w:autoSpaceDE w:val="0"/>
        <w:autoSpaceDN w:val="0"/>
        <w:adjustRightInd w:val="0"/>
        <w:spacing w:line="276" w:lineRule="auto"/>
        <w:ind w:left="357" w:hanging="357"/>
        <w:contextualSpacing w:val="0"/>
        <w:jc w:val="both"/>
        <w:rPr>
          <w:rFonts w:cstheme="minorHAnsi"/>
        </w:rPr>
      </w:pPr>
      <w:r w:rsidRPr="00F16251">
        <w:rPr>
          <w:rFonts w:cstheme="minorHAnsi"/>
        </w:rPr>
        <w:t xml:space="preserve">Ustawa z dnia 28 kwietnia 2022 r. o zasadach realizacji zadań finansowanych ze środków europejskich </w:t>
      </w:r>
      <w:r w:rsidRPr="00F16251">
        <w:rPr>
          <w:rFonts w:cstheme="minorHAnsi"/>
        </w:rPr>
        <w:br/>
        <w:t>w perspektywie finansowej 2021–2027.</w:t>
      </w:r>
    </w:p>
    <w:p w14:paraId="57244687" w14:textId="77777777" w:rsidR="00F32737" w:rsidRPr="00F16251" w:rsidRDefault="00F32737" w:rsidP="008A412F">
      <w:pPr>
        <w:pStyle w:val="Akapitzlist"/>
        <w:numPr>
          <w:ilvl w:val="0"/>
          <w:numId w:val="27"/>
        </w:numPr>
        <w:autoSpaceDE w:val="0"/>
        <w:autoSpaceDN w:val="0"/>
        <w:adjustRightInd w:val="0"/>
        <w:spacing w:line="276" w:lineRule="auto"/>
        <w:ind w:left="357" w:hanging="357"/>
        <w:contextualSpacing w:val="0"/>
        <w:jc w:val="both"/>
        <w:rPr>
          <w:rFonts w:cstheme="minorHAnsi"/>
        </w:rPr>
      </w:pPr>
      <w:r w:rsidRPr="00F16251">
        <w:rPr>
          <w:rFonts w:cstheme="minorHAnsi"/>
        </w:rPr>
        <w:t>Ustawa z dnia 8 kwietnia 2023 r. o Planie Strategicznym dla Wspólnej Polityki Rolnej na lata 2023–2027 (Dz. U. z 2023 poz. 412).</w:t>
      </w:r>
    </w:p>
    <w:p w14:paraId="25B28BCD" w14:textId="77777777" w:rsidR="00F32737" w:rsidRPr="00F16251" w:rsidRDefault="00F32737" w:rsidP="008A412F">
      <w:pPr>
        <w:pStyle w:val="Akapitzlist"/>
        <w:numPr>
          <w:ilvl w:val="0"/>
          <w:numId w:val="27"/>
        </w:numPr>
        <w:autoSpaceDE w:val="0"/>
        <w:autoSpaceDN w:val="0"/>
        <w:adjustRightInd w:val="0"/>
        <w:spacing w:line="276" w:lineRule="auto"/>
        <w:ind w:left="357" w:hanging="357"/>
        <w:contextualSpacing w:val="0"/>
        <w:jc w:val="both"/>
        <w:rPr>
          <w:rFonts w:cstheme="minorHAnsi"/>
        </w:rPr>
      </w:pPr>
      <w:r w:rsidRPr="00F16251">
        <w:rPr>
          <w:rFonts w:cstheme="minorHAnsi"/>
        </w:rPr>
        <w:t xml:space="preserve">Ustawa z 7 kwietnia 1989 r. Prawo o stowarzyszeniach (Dz. U. z 2020 r. poz. 2261 z </w:t>
      </w:r>
      <w:proofErr w:type="spellStart"/>
      <w:r w:rsidRPr="00F16251">
        <w:rPr>
          <w:rFonts w:cstheme="minorHAnsi"/>
        </w:rPr>
        <w:t>późn</w:t>
      </w:r>
      <w:proofErr w:type="spellEnd"/>
      <w:r w:rsidRPr="00F16251">
        <w:rPr>
          <w:rFonts w:cstheme="minorHAnsi"/>
        </w:rPr>
        <w:t>. zm.).</w:t>
      </w:r>
    </w:p>
    <w:p w14:paraId="4DA9FA62" w14:textId="77777777" w:rsidR="00F32737" w:rsidRPr="00F16251" w:rsidRDefault="00F32737" w:rsidP="008A412F">
      <w:pPr>
        <w:pStyle w:val="Akapitzlist"/>
        <w:numPr>
          <w:ilvl w:val="0"/>
          <w:numId w:val="27"/>
        </w:numPr>
        <w:autoSpaceDE w:val="0"/>
        <w:autoSpaceDN w:val="0"/>
        <w:adjustRightInd w:val="0"/>
        <w:spacing w:line="276" w:lineRule="auto"/>
        <w:ind w:left="357" w:hanging="357"/>
        <w:contextualSpacing w:val="0"/>
        <w:jc w:val="both"/>
        <w:rPr>
          <w:rFonts w:cstheme="minorHAnsi"/>
        </w:rPr>
      </w:pPr>
      <w:r w:rsidRPr="00F16251">
        <w:rPr>
          <w:rFonts w:cstheme="minorHAnsi"/>
        </w:rPr>
        <w:t>Krajowa Strategia Rozwoju Regionalnego 2030.</w:t>
      </w:r>
    </w:p>
    <w:p w14:paraId="0CF76350" w14:textId="6F9B5F50" w:rsidR="00F32737" w:rsidRPr="00F16251" w:rsidRDefault="00F32737" w:rsidP="008A412F">
      <w:pPr>
        <w:pStyle w:val="Akapitzlist"/>
        <w:numPr>
          <w:ilvl w:val="0"/>
          <w:numId w:val="27"/>
        </w:numPr>
        <w:autoSpaceDE w:val="0"/>
        <w:autoSpaceDN w:val="0"/>
        <w:adjustRightInd w:val="0"/>
        <w:spacing w:line="276" w:lineRule="auto"/>
        <w:ind w:left="357" w:hanging="357"/>
        <w:contextualSpacing w:val="0"/>
        <w:jc w:val="both"/>
        <w:rPr>
          <w:rFonts w:cstheme="minorHAnsi"/>
        </w:rPr>
      </w:pPr>
      <w:r w:rsidRPr="00F16251">
        <w:rPr>
          <w:rFonts w:cstheme="minorHAnsi"/>
        </w:rPr>
        <w:t>Strategia rozwoju województwa wielkopolskiego do 2030 roku.</w:t>
      </w:r>
    </w:p>
    <w:p w14:paraId="09A9A226" w14:textId="4F72F8F5" w:rsidR="00F32737" w:rsidRPr="00F16251" w:rsidRDefault="00F32737" w:rsidP="008A412F">
      <w:pPr>
        <w:pStyle w:val="Akapitzlist"/>
        <w:numPr>
          <w:ilvl w:val="0"/>
          <w:numId w:val="27"/>
        </w:numPr>
        <w:autoSpaceDE w:val="0"/>
        <w:autoSpaceDN w:val="0"/>
        <w:adjustRightInd w:val="0"/>
        <w:spacing w:line="276" w:lineRule="auto"/>
        <w:ind w:left="357" w:hanging="357"/>
        <w:contextualSpacing w:val="0"/>
        <w:jc w:val="both"/>
        <w:rPr>
          <w:rFonts w:cstheme="minorHAnsi"/>
        </w:rPr>
      </w:pPr>
      <w:r w:rsidRPr="00F16251">
        <w:rPr>
          <w:rFonts w:cstheme="minorHAnsi"/>
        </w:rPr>
        <w:t xml:space="preserve">Regionalna Strategia Innowacji Dla Wielkopolski 2030 (RIS 2030). </w:t>
      </w:r>
    </w:p>
    <w:p w14:paraId="4BBE341E" w14:textId="3387E147" w:rsidR="00F32737" w:rsidRPr="00F16251" w:rsidRDefault="00F32737" w:rsidP="008A412F">
      <w:pPr>
        <w:pStyle w:val="Akapitzlist"/>
        <w:numPr>
          <w:ilvl w:val="0"/>
          <w:numId w:val="27"/>
        </w:numPr>
        <w:autoSpaceDE w:val="0"/>
        <w:autoSpaceDN w:val="0"/>
        <w:adjustRightInd w:val="0"/>
        <w:spacing w:line="276" w:lineRule="auto"/>
        <w:ind w:left="357" w:hanging="357"/>
        <w:contextualSpacing w:val="0"/>
        <w:jc w:val="both"/>
        <w:rPr>
          <w:rFonts w:cstheme="minorHAnsi"/>
        </w:rPr>
      </w:pPr>
      <w:r w:rsidRPr="00F16251">
        <w:rPr>
          <w:rFonts w:cstheme="minorHAnsi"/>
        </w:rPr>
        <w:t xml:space="preserve">Wytyczne dotyczące realizacji projektów z udziałem środków Europejskiego Funduszu Społecznego Plus </w:t>
      </w:r>
      <w:r w:rsidRPr="00F16251">
        <w:rPr>
          <w:rFonts w:cstheme="minorHAnsi"/>
        </w:rPr>
        <w:br/>
        <w:t>w regionalnych programach na lata 2021–2027.</w:t>
      </w:r>
    </w:p>
    <w:p w14:paraId="5AE23219" w14:textId="77777777" w:rsidR="00F32737" w:rsidRPr="00F16251" w:rsidRDefault="00F32737" w:rsidP="008A412F">
      <w:pPr>
        <w:pStyle w:val="Akapitzlist"/>
        <w:numPr>
          <w:ilvl w:val="0"/>
          <w:numId w:val="27"/>
        </w:numPr>
        <w:autoSpaceDE w:val="0"/>
        <w:autoSpaceDN w:val="0"/>
        <w:adjustRightInd w:val="0"/>
        <w:spacing w:line="276" w:lineRule="auto"/>
        <w:ind w:left="357" w:hanging="357"/>
        <w:contextualSpacing w:val="0"/>
        <w:jc w:val="both"/>
        <w:rPr>
          <w:rFonts w:cstheme="minorHAnsi"/>
        </w:rPr>
      </w:pPr>
      <w:r w:rsidRPr="00F16251">
        <w:rPr>
          <w:rFonts w:cstheme="minorHAnsi"/>
        </w:rPr>
        <w:t>Wytyczne dotyczące warunków gromadzenia i przekazywania danych w postaci elektronicznej na lata 2021-2027.</w:t>
      </w:r>
    </w:p>
    <w:p w14:paraId="32A8C2B3" w14:textId="77777777" w:rsidR="00F32737" w:rsidRPr="00F16251" w:rsidRDefault="00F32737" w:rsidP="008A412F">
      <w:pPr>
        <w:pStyle w:val="Akapitzlist"/>
        <w:numPr>
          <w:ilvl w:val="0"/>
          <w:numId w:val="27"/>
        </w:numPr>
        <w:autoSpaceDE w:val="0"/>
        <w:autoSpaceDN w:val="0"/>
        <w:adjustRightInd w:val="0"/>
        <w:spacing w:line="276" w:lineRule="auto"/>
        <w:ind w:left="357" w:hanging="357"/>
        <w:contextualSpacing w:val="0"/>
        <w:jc w:val="both"/>
        <w:rPr>
          <w:rFonts w:cstheme="minorHAnsi"/>
        </w:rPr>
      </w:pPr>
      <w:r w:rsidRPr="00F16251">
        <w:rPr>
          <w:rFonts w:cstheme="minorHAnsi"/>
        </w:rPr>
        <w:t>Wytyczne dotyczące kwalifikowalności wydatków na lata 2021-2027.</w:t>
      </w:r>
    </w:p>
    <w:p w14:paraId="0F4209CC" w14:textId="77777777" w:rsidR="00F32737" w:rsidRPr="00F16251" w:rsidRDefault="00F32737" w:rsidP="008A412F">
      <w:pPr>
        <w:pStyle w:val="Akapitzlist"/>
        <w:numPr>
          <w:ilvl w:val="0"/>
          <w:numId w:val="27"/>
        </w:numPr>
        <w:autoSpaceDE w:val="0"/>
        <w:autoSpaceDN w:val="0"/>
        <w:adjustRightInd w:val="0"/>
        <w:spacing w:line="276" w:lineRule="auto"/>
        <w:ind w:left="357" w:hanging="357"/>
        <w:contextualSpacing w:val="0"/>
        <w:jc w:val="both"/>
        <w:rPr>
          <w:rFonts w:cstheme="minorHAnsi"/>
        </w:rPr>
      </w:pPr>
      <w:r w:rsidRPr="00F16251">
        <w:rPr>
          <w:rFonts w:cstheme="minorHAnsi"/>
        </w:rPr>
        <w:t>Wytyczne dotyczące wyboru projektów na lata 2021-2027.</w:t>
      </w:r>
    </w:p>
    <w:p w14:paraId="737E967F" w14:textId="77777777" w:rsidR="00F32737" w:rsidRPr="00F16251" w:rsidRDefault="00F32737" w:rsidP="008A412F">
      <w:pPr>
        <w:pStyle w:val="Akapitzlist"/>
        <w:numPr>
          <w:ilvl w:val="0"/>
          <w:numId w:val="27"/>
        </w:numPr>
        <w:autoSpaceDE w:val="0"/>
        <w:autoSpaceDN w:val="0"/>
        <w:adjustRightInd w:val="0"/>
        <w:spacing w:line="276" w:lineRule="auto"/>
        <w:ind w:left="357" w:hanging="357"/>
        <w:contextualSpacing w:val="0"/>
        <w:jc w:val="both"/>
        <w:rPr>
          <w:rFonts w:cstheme="minorHAnsi"/>
        </w:rPr>
      </w:pPr>
      <w:r w:rsidRPr="00F16251">
        <w:rPr>
          <w:rFonts w:cstheme="minorHAnsi"/>
        </w:rPr>
        <w:t>Wytyczne dotyczące monitorowania postępu rzeczowego realizacji programów na lata 2021-2027.</w:t>
      </w:r>
    </w:p>
    <w:p w14:paraId="5A60799A" w14:textId="77777777" w:rsidR="00F32737" w:rsidRPr="00F16251" w:rsidRDefault="00F32737" w:rsidP="008A412F">
      <w:pPr>
        <w:pStyle w:val="Akapitzlist"/>
        <w:numPr>
          <w:ilvl w:val="0"/>
          <w:numId w:val="27"/>
        </w:numPr>
        <w:autoSpaceDE w:val="0"/>
        <w:autoSpaceDN w:val="0"/>
        <w:adjustRightInd w:val="0"/>
        <w:spacing w:line="276" w:lineRule="auto"/>
        <w:ind w:left="357" w:hanging="357"/>
        <w:contextualSpacing w:val="0"/>
        <w:jc w:val="both"/>
        <w:rPr>
          <w:rFonts w:cstheme="minorHAnsi"/>
        </w:rPr>
      </w:pPr>
      <w:r w:rsidRPr="00F16251">
        <w:rPr>
          <w:rFonts w:cstheme="minorHAnsi"/>
        </w:rPr>
        <w:t>Wytyczne dotyczące realizacji zasad równościowych w ramach funduszy unijnych na lata 2021-2027.</w:t>
      </w:r>
    </w:p>
    <w:p w14:paraId="4225DF56" w14:textId="77777777" w:rsidR="00F32737" w:rsidRPr="00F16251" w:rsidRDefault="00F32737" w:rsidP="008A412F">
      <w:pPr>
        <w:pStyle w:val="Akapitzlist"/>
        <w:numPr>
          <w:ilvl w:val="0"/>
          <w:numId w:val="27"/>
        </w:numPr>
        <w:autoSpaceDE w:val="0"/>
        <w:autoSpaceDN w:val="0"/>
        <w:adjustRightInd w:val="0"/>
        <w:spacing w:line="276" w:lineRule="auto"/>
        <w:ind w:left="357" w:hanging="357"/>
        <w:contextualSpacing w:val="0"/>
        <w:jc w:val="both"/>
        <w:rPr>
          <w:rFonts w:cstheme="minorHAnsi"/>
        </w:rPr>
      </w:pPr>
      <w:r w:rsidRPr="00F16251">
        <w:rPr>
          <w:rFonts w:cstheme="minorHAnsi"/>
        </w:rPr>
        <w:t>Wytyczne dotyczące kontroli realizacji programów polityki spójności na lata 2021–2027.</w:t>
      </w:r>
    </w:p>
    <w:p w14:paraId="1660A829" w14:textId="65F289DE" w:rsidR="00F32737" w:rsidRPr="00F16251" w:rsidRDefault="00F32737" w:rsidP="008A412F">
      <w:pPr>
        <w:pStyle w:val="Akapitzlist"/>
        <w:numPr>
          <w:ilvl w:val="0"/>
          <w:numId w:val="27"/>
        </w:numPr>
        <w:autoSpaceDE w:val="0"/>
        <w:autoSpaceDN w:val="0"/>
        <w:adjustRightInd w:val="0"/>
        <w:spacing w:line="276" w:lineRule="auto"/>
        <w:ind w:left="357" w:hanging="357"/>
        <w:contextualSpacing w:val="0"/>
        <w:jc w:val="both"/>
        <w:rPr>
          <w:rFonts w:cstheme="minorHAnsi"/>
        </w:rPr>
      </w:pPr>
      <w:r w:rsidRPr="00F16251">
        <w:rPr>
          <w:rFonts w:cstheme="minorHAnsi"/>
        </w:rPr>
        <w:t>Kryteria Wyboru Projektów w zakresie Europejskiego Funduszu Rozwoju Regionalnego (EFRR) w ramach Programu Fundusze Europejskie dla Wielkopolski 2021-2027.</w:t>
      </w:r>
    </w:p>
    <w:p w14:paraId="0356E988" w14:textId="249FFB8B" w:rsidR="00F32737" w:rsidRPr="00F16251" w:rsidRDefault="00F32737" w:rsidP="008A412F">
      <w:pPr>
        <w:pStyle w:val="Akapitzlist"/>
        <w:numPr>
          <w:ilvl w:val="0"/>
          <w:numId w:val="27"/>
        </w:numPr>
        <w:autoSpaceDE w:val="0"/>
        <w:autoSpaceDN w:val="0"/>
        <w:adjustRightInd w:val="0"/>
        <w:spacing w:line="276" w:lineRule="auto"/>
        <w:ind w:left="357" w:hanging="357"/>
        <w:contextualSpacing w:val="0"/>
        <w:jc w:val="both"/>
        <w:rPr>
          <w:rFonts w:cstheme="minorHAnsi"/>
        </w:rPr>
      </w:pPr>
      <w:r w:rsidRPr="00F16251">
        <w:rPr>
          <w:rFonts w:cstheme="minorHAnsi"/>
        </w:rPr>
        <w:t>Kryteria Wyboru Projektów w zakresie Europejskiego Funduszu Społecznego Plus (EFS+) w ramach Programu Fundusze Europejskie dla Wielkopolski 2021-2027.</w:t>
      </w:r>
    </w:p>
    <w:p w14:paraId="0E51FAB9" w14:textId="151FE312" w:rsidR="00F32737" w:rsidRPr="00F16251" w:rsidRDefault="00F32737" w:rsidP="008A412F">
      <w:pPr>
        <w:pStyle w:val="Akapitzlist"/>
        <w:numPr>
          <w:ilvl w:val="0"/>
          <w:numId w:val="27"/>
        </w:numPr>
        <w:autoSpaceDE w:val="0"/>
        <w:autoSpaceDN w:val="0"/>
        <w:adjustRightInd w:val="0"/>
        <w:spacing w:line="276" w:lineRule="auto"/>
        <w:ind w:left="357" w:hanging="357"/>
        <w:contextualSpacing w:val="0"/>
        <w:jc w:val="both"/>
        <w:rPr>
          <w:rFonts w:cstheme="minorHAnsi"/>
        </w:rPr>
      </w:pPr>
      <w:r w:rsidRPr="00F16251">
        <w:rPr>
          <w:rFonts w:cstheme="minorHAnsi"/>
        </w:rPr>
        <w:t>Zasady realizacji instrumentów terytorialnych w Polsce w perspektywie finansowej UE na lata 2021-2027.</w:t>
      </w:r>
    </w:p>
    <w:p w14:paraId="7A0C4832" w14:textId="77777777" w:rsidR="00F32737" w:rsidRPr="00F16251" w:rsidRDefault="00F32737" w:rsidP="008A412F">
      <w:pPr>
        <w:pStyle w:val="Akapitzlist"/>
        <w:numPr>
          <w:ilvl w:val="0"/>
          <w:numId w:val="27"/>
        </w:numPr>
        <w:autoSpaceDE w:val="0"/>
        <w:autoSpaceDN w:val="0"/>
        <w:adjustRightInd w:val="0"/>
        <w:spacing w:line="276" w:lineRule="auto"/>
        <w:ind w:left="357" w:hanging="357"/>
        <w:contextualSpacing w:val="0"/>
        <w:jc w:val="both"/>
        <w:rPr>
          <w:rFonts w:cstheme="minorHAnsi"/>
        </w:rPr>
      </w:pPr>
      <w:r w:rsidRPr="00F16251">
        <w:rPr>
          <w:rFonts w:cstheme="minorHAnsi"/>
        </w:rPr>
        <w:t>Strategia Na Rzecz Odpowiedzialnego Rozwoju do roku 2020 (z perspektywą do 2030 r.). (2017 r.).</w:t>
      </w:r>
    </w:p>
    <w:p w14:paraId="443AA0D2" w14:textId="43220FA7" w:rsidR="00F32737" w:rsidRPr="00F16251" w:rsidRDefault="00F32737" w:rsidP="008A412F">
      <w:pPr>
        <w:pStyle w:val="Akapitzlist"/>
        <w:numPr>
          <w:ilvl w:val="0"/>
          <w:numId w:val="27"/>
        </w:numPr>
        <w:autoSpaceDE w:val="0"/>
        <w:autoSpaceDN w:val="0"/>
        <w:adjustRightInd w:val="0"/>
        <w:spacing w:line="276" w:lineRule="auto"/>
        <w:ind w:left="357" w:hanging="357"/>
        <w:contextualSpacing w:val="0"/>
        <w:jc w:val="both"/>
        <w:rPr>
          <w:rFonts w:cstheme="minorHAnsi"/>
        </w:rPr>
      </w:pPr>
      <w:r w:rsidRPr="00F16251">
        <w:rPr>
          <w:rFonts w:cstheme="minorHAnsi"/>
        </w:rPr>
        <w:t>Strategia Rozwoju Kapitału Społecznego 2030 (2020 r.).</w:t>
      </w:r>
    </w:p>
    <w:p w14:paraId="18387F78" w14:textId="77777777" w:rsidR="00F32737" w:rsidRPr="00F16251" w:rsidRDefault="00F32737" w:rsidP="008A412F">
      <w:pPr>
        <w:pStyle w:val="Akapitzlist"/>
        <w:numPr>
          <w:ilvl w:val="0"/>
          <w:numId w:val="27"/>
        </w:numPr>
        <w:autoSpaceDE w:val="0"/>
        <w:autoSpaceDN w:val="0"/>
        <w:adjustRightInd w:val="0"/>
        <w:spacing w:line="276" w:lineRule="auto"/>
        <w:ind w:left="357" w:hanging="357"/>
        <w:contextualSpacing w:val="0"/>
        <w:jc w:val="both"/>
        <w:rPr>
          <w:rFonts w:cstheme="minorHAnsi"/>
        </w:rPr>
      </w:pPr>
      <w:r w:rsidRPr="00F16251">
        <w:rPr>
          <w:rFonts w:cstheme="minorHAnsi"/>
        </w:rPr>
        <w:t>Strategia zrównoważonego rozwoju wsi, rolnictwa i rybactwa 2030. (2019). Warszawa.</w:t>
      </w:r>
    </w:p>
    <w:p w14:paraId="4A7ED6A4" w14:textId="3C581107" w:rsidR="00F32737" w:rsidRPr="00F16251" w:rsidRDefault="00F32737" w:rsidP="008A412F">
      <w:pPr>
        <w:pStyle w:val="Akapitzlist"/>
        <w:numPr>
          <w:ilvl w:val="0"/>
          <w:numId w:val="27"/>
        </w:numPr>
        <w:autoSpaceDE w:val="0"/>
        <w:autoSpaceDN w:val="0"/>
        <w:adjustRightInd w:val="0"/>
        <w:spacing w:line="276" w:lineRule="auto"/>
        <w:ind w:left="357" w:hanging="357"/>
        <w:contextualSpacing w:val="0"/>
        <w:jc w:val="both"/>
        <w:rPr>
          <w:rFonts w:cstheme="minorHAnsi"/>
        </w:rPr>
      </w:pPr>
      <w:r w:rsidRPr="00F16251">
        <w:rPr>
          <w:rFonts w:cstheme="minorHAnsi"/>
        </w:rPr>
        <w:t>Projekt wytycznych szczegółowych dotyczących udzielania w wsparcia finansowego w ramach PS WPR dla interwencji I.13.1 LEADER w zakresie komponentu Wdrażanie LSR.</w:t>
      </w:r>
    </w:p>
    <w:p w14:paraId="7EFD2652" w14:textId="15C1B3F9" w:rsidR="00F32737" w:rsidRPr="00F16251" w:rsidRDefault="00F32737" w:rsidP="008A412F">
      <w:pPr>
        <w:pStyle w:val="Akapitzlist"/>
        <w:numPr>
          <w:ilvl w:val="0"/>
          <w:numId w:val="27"/>
        </w:numPr>
        <w:autoSpaceDE w:val="0"/>
        <w:autoSpaceDN w:val="0"/>
        <w:adjustRightInd w:val="0"/>
        <w:spacing w:line="276" w:lineRule="auto"/>
        <w:ind w:left="357" w:hanging="357"/>
        <w:contextualSpacing w:val="0"/>
        <w:jc w:val="both"/>
        <w:rPr>
          <w:rFonts w:cstheme="minorHAnsi"/>
        </w:rPr>
      </w:pPr>
      <w:r w:rsidRPr="00F16251">
        <w:rPr>
          <w:rFonts w:cstheme="minorHAnsi"/>
        </w:rPr>
        <w:t>Projekt wytycznych szczegółowych dotyczących udzielania w wsparcia finansowego w ramach PS WPR dla interwencji I.13.1 LEADER w zakresie komponentu Zarządzanie LSR.</w:t>
      </w:r>
    </w:p>
    <w:p w14:paraId="50B40256" w14:textId="77777777" w:rsidR="00F32737" w:rsidRPr="00F16251" w:rsidRDefault="00F32737" w:rsidP="008A412F">
      <w:pPr>
        <w:pStyle w:val="Akapitzlist"/>
        <w:numPr>
          <w:ilvl w:val="0"/>
          <w:numId w:val="27"/>
        </w:numPr>
        <w:autoSpaceDE w:val="0"/>
        <w:autoSpaceDN w:val="0"/>
        <w:adjustRightInd w:val="0"/>
        <w:spacing w:line="276" w:lineRule="auto"/>
        <w:ind w:left="357" w:hanging="357"/>
        <w:contextualSpacing w:val="0"/>
        <w:jc w:val="both"/>
        <w:rPr>
          <w:rFonts w:cstheme="minorHAnsi"/>
        </w:rPr>
      </w:pPr>
      <w:r w:rsidRPr="00F16251">
        <w:rPr>
          <w:rFonts w:cstheme="minorHAnsi"/>
        </w:rPr>
        <w:t xml:space="preserve">PORADNIK DLA LOKALNYCH GRUP DZIAŁANIA W ZAKRESIE OPRACOWANIA LOKALNYCH STRATEGII ROZWOJU NA LATA 2014-2020, Materiał zredagowany w Departamencie Rozwoju Obszarów Wiejskich Ministerstwa Rolnictwa i Rozwoju Wsi na podstawie wyników prac Zespołu Roboczego ds. Opracowania Zakresu Lokalnych </w:t>
      </w:r>
      <w:r w:rsidRPr="00F16251">
        <w:rPr>
          <w:rFonts w:cstheme="minorHAnsi"/>
        </w:rPr>
        <w:lastRenderedPageBreak/>
        <w:t>Strategii Rozwoju przy Grupie tematycznej ds. Podejścia Leader, Wydanie III uzupełnione i zaktualizowane, Warszawa 2015.</w:t>
      </w:r>
    </w:p>
    <w:p w14:paraId="24CA8279" w14:textId="342EE290" w:rsidR="00F32737" w:rsidRPr="00F16251" w:rsidRDefault="00F32737" w:rsidP="008A412F">
      <w:pPr>
        <w:pStyle w:val="Akapitzlist"/>
        <w:numPr>
          <w:ilvl w:val="0"/>
          <w:numId w:val="27"/>
        </w:numPr>
        <w:autoSpaceDE w:val="0"/>
        <w:autoSpaceDN w:val="0"/>
        <w:adjustRightInd w:val="0"/>
        <w:spacing w:line="276" w:lineRule="auto"/>
        <w:ind w:left="357" w:hanging="357"/>
        <w:contextualSpacing w:val="0"/>
        <w:jc w:val="both"/>
        <w:rPr>
          <w:rFonts w:cstheme="minorHAnsi"/>
        </w:rPr>
      </w:pPr>
      <w:r w:rsidRPr="00F16251">
        <w:rPr>
          <w:rFonts w:cstheme="minorHAnsi"/>
        </w:rPr>
        <w:t>Raport z ewaluacji ex-post.</w:t>
      </w:r>
    </w:p>
    <w:p w14:paraId="07FC1EA6" w14:textId="2847D289" w:rsidR="00F32737" w:rsidRPr="00F16251" w:rsidRDefault="00F32737" w:rsidP="008A412F">
      <w:pPr>
        <w:pStyle w:val="Akapitzlist"/>
        <w:numPr>
          <w:ilvl w:val="0"/>
          <w:numId w:val="27"/>
        </w:numPr>
        <w:autoSpaceDE w:val="0"/>
        <w:autoSpaceDN w:val="0"/>
        <w:adjustRightInd w:val="0"/>
        <w:spacing w:line="276" w:lineRule="auto"/>
        <w:ind w:left="357" w:hanging="357"/>
        <w:contextualSpacing w:val="0"/>
        <w:jc w:val="both"/>
        <w:rPr>
          <w:rFonts w:cstheme="minorHAnsi"/>
        </w:rPr>
      </w:pPr>
      <w:r w:rsidRPr="00F16251">
        <w:rPr>
          <w:rFonts w:cstheme="minorHAnsi"/>
        </w:rPr>
        <w:t xml:space="preserve">Raport „Polska wieś 2020. Raport o stanie wsi”, Fundacja na rzecz Rozwoju Polskiego Rolnictwa (FDPA). </w:t>
      </w:r>
    </w:p>
    <w:p w14:paraId="6E306CBE" w14:textId="1BDDFD50" w:rsidR="00F32737" w:rsidRPr="00F16251" w:rsidRDefault="00F32737" w:rsidP="008A412F">
      <w:pPr>
        <w:pStyle w:val="Akapitzlist"/>
        <w:numPr>
          <w:ilvl w:val="0"/>
          <w:numId w:val="27"/>
        </w:numPr>
        <w:autoSpaceDE w:val="0"/>
        <w:autoSpaceDN w:val="0"/>
        <w:adjustRightInd w:val="0"/>
        <w:spacing w:line="276" w:lineRule="auto"/>
        <w:ind w:left="357" w:hanging="357"/>
        <w:contextualSpacing w:val="0"/>
        <w:jc w:val="both"/>
        <w:rPr>
          <w:rFonts w:cstheme="minorHAnsi"/>
        </w:rPr>
      </w:pPr>
      <w:r w:rsidRPr="00F16251">
        <w:rPr>
          <w:rFonts w:cstheme="minorHAnsi"/>
        </w:rPr>
        <w:t>Raport „Polska wieś 2022. Raport o stanie wsi”, Fundacja na rzecz Rozwoju Polskiego Rolnictwa (FDPA).</w:t>
      </w:r>
    </w:p>
    <w:p w14:paraId="5C19A327" w14:textId="563661ED" w:rsidR="00F32737" w:rsidRPr="005B47B3" w:rsidRDefault="00F32737" w:rsidP="008A412F">
      <w:pPr>
        <w:pStyle w:val="Akapitzlist"/>
        <w:numPr>
          <w:ilvl w:val="0"/>
          <w:numId w:val="27"/>
        </w:numPr>
        <w:autoSpaceDE w:val="0"/>
        <w:autoSpaceDN w:val="0"/>
        <w:adjustRightInd w:val="0"/>
        <w:spacing w:line="276" w:lineRule="auto"/>
        <w:ind w:left="357" w:hanging="357"/>
        <w:contextualSpacing w:val="0"/>
        <w:jc w:val="both"/>
        <w:rPr>
          <w:rFonts w:cstheme="minorHAnsi"/>
        </w:rPr>
      </w:pPr>
      <w:r w:rsidRPr="00F16251">
        <w:rPr>
          <w:rFonts w:cstheme="minorHAnsi"/>
        </w:rPr>
        <w:t xml:space="preserve">Brodziński Z., 2009: Problemy partycypacji społecznej w Lokalnych Grupach Działania, Roczniki Naukowe </w:t>
      </w:r>
      <w:proofErr w:type="spellStart"/>
      <w:r w:rsidRPr="00F16251">
        <w:rPr>
          <w:rFonts w:cstheme="minorHAnsi"/>
        </w:rPr>
        <w:t>SERiA</w:t>
      </w:r>
      <w:proofErr w:type="spellEnd"/>
      <w:r w:rsidRPr="00F16251">
        <w:rPr>
          <w:rFonts w:cstheme="minorHAnsi"/>
        </w:rPr>
        <w:t xml:space="preserve">, t. XI. z. 4, </w:t>
      </w:r>
      <w:r w:rsidRPr="005B47B3">
        <w:rPr>
          <w:rFonts w:cstheme="minorHAnsi"/>
        </w:rPr>
        <w:t>Warszawa – Poznań – Olsztyn,</w:t>
      </w:r>
    </w:p>
    <w:p w14:paraId="5E94FF56" w14:textId="7F57ABB8" w:rsidR="00F32737" w:rsidRPr="005B47B3" w:rsidRDefault="00F32737" w:rsidP="008A412F">
      <w:pPr>
        <w:pStyle w:val="Akapitzlist"/>
        <w:numPr>
          <w:ilvl w:val="0"/>
          <w:numId w:val="27"/>
        </w:numPr>
        <w:autoSpaceDE w:val="0"/>
        <w:autoSpaceDN w:val="0"/>
        <w:adjustRightInd w:val="0"/>
        <w:spacing w:line="276" w:lineRule="auto"/>
        <w:ind w:left="357" w:hanging="357"/>
        <w:contextualSpacing w:val="0"/>
        <w:jc w:val="both"/>
        <w:rPr>
          <w:rFonts w:cstheme="minorHAnsi"/>
        </w:rPr>
      </w:pPr>
      <w:r w:rsidRPr="005B47B3">
        <w:rPr>
          <w:rFonts w:cstheme="minorHAnsi"/>
        </w:rPr>
        <w:t xml:space="preserve">Długosz D., Wygnański J. J., Obywatele współdecydują. Przewodnik po partycypacji społecznej. </w:t>
      </w:r>
    </w:p>
    <w:p w14:paraId="0A7ED6FD" w14:textId="301419A9" w:rsidR="0071475D" w:rsidRPr="005B47B3" w:rsidRDefault="00F32737" w:rsidP="008A412F">
      <w:pPr>
        <w:pStyle w:val="Akapitzlist"/>
        <w:numPr>
          <w:ilvl w:val="0"/>
          <w:numId w:val="27"/>
        </w:numPr>
        <w:autoSpaceDE w:val="0"/>
        <w:autoSpaceDN w:val="0"/>
        <w:adjustRightInd w:val="0"/>
        <w:spacing w:line="276" w:lineRule="auto"/>
        <w:ind w:left="357" w:hanging="357"/>
        <w:contextualSpacing w:val="0"/>
        <w:jc w:val="both"/>
        <w:rPr>
          <w:rFonts w:cstheme="minorHAnsi"/>
        </w:rPr>
      </w:pPr>
      <w:r w:rsidRPr="005B47B3">
        <w:rPr>
          <w:rFonts w:cstheme="minorHAnsi"/>
        </w:rPr>
        <w:t>Partycypacja obywatelska</w:t>
      </w:r>
      <w:r w:rsidR="0071475D" w:rsidRPr="005B47B3">
        <w:rPr>
          <w:rFonts w:cstheme="minorHAnsi"/>
        </w:rPr>
        <w:t>. Od teorii do praktyki społecznej. Redakcja naukowa Anna Przybylska, Anna Giza, Wydawnictwo Naukowe Scholar, Warszawa 2014.</w:t>
      </w:r>
    </w:p>
    <w:p w14:paraId="2446A4A4" w14:textId="3750CC48" w:rsidR="00F32737" w:rsidRPr="005B47B3" w:rsidRDefault="00F32737" w:rsidP="008A412F">
      <w:pPr>
        <w:pStyle w:val="Akapitzlist"/>
        <w:numPr>
          <w:ilvl w:val="0"/>
          <w:numId w:val="27"/>
        </w:numPr>
        <w:autoSpaceDE w:val="0"/>
        <w:autoSpaceDN w:val="0"/>
        <w:adjustRightInd w:val="0"/>
        <w:spacing w:line="276" w:lineRule="auto"/>
        <w:ind w:left="357" w:hanging="357"/>
        <w:contextualSpacing w:val="0"/>
        <w:jc w:val="both"/>
        <w:rPr>
          <w:rFonts w:cstheme="minorHAnsi"/>
        </w:rPr>
      </w:pPr>
      <w:r w:rsidRPr="005B47B3">
        <w:rPr>
          <w:rFonts w:cstheme="minorHAnsi"/>
        </w:rPr>
        <w:t xml:space="preserve">Skrzypczak B., </w:t>
      </w:r>
      <w:proofErr w:type="spellStart"/>
      <w:r w:rsidRPr="005B47B3">
        <w:rPr>
          <w:rFonts w:cstheme="minorHAnsi"/>
        </w:rPr>
        <w:t>Theiss</w:t>
      </w:r>
      <w:proofErr w:type="spellEnd"/>
      <w:r w:rsidRPr="005B47B3">
        <w:rPr>
          <w:rFonts w:cstheme="minorHAnsi"/>
        </w:rPr>
        <w:t xml:space="preserve"> W. (red), Edukacja i animacja społeczna w środowisku lokalnym, Stowarzyszenie Centrum Wspierania Aktywności Lokalnej, Warszawa 2006.</w:t>
      </w:r>
    </w:p>
    <w:p w14:paraId="52C895D4" w14:textId="4236E4FD" w:rsidR="00F32737" w:rsidRPr="005B47B3" w:rsidRDefault="009B4EFD" w:rsidP="008A412F">
      <w:pPr>
        <w:pStyle w:val="Akapitzlist"/>
        <w:numPr>
          <w:ilvl w:val="0"/>
          <w:numId w:val="27"/>
        </w:numPr>
        <w:autoSpaceDE w:val="0"/>
        <w:autoSpaceDN w:val="0"/>
        <w:adjustRightInd w:val="0"/>
        <w:spacing w:line="276" w:lineRule="auto"/>
        <w:ind w:left="357" w:hanging="357"/>
        <w:contextualSpacing w:val="0"/>
        <w:jc w:val="both"/>
        <w:rPr>
          <w:rFonts w:cstheme="minorHAnsi"/>
        </w:rPr>
      </w:pPr>
      <w:r w:rsidRPr="005B47B3">
        <w:rPr>
          <w:rFonts w:cstheme="minorHAnsi"/>
        </w:rPr>
        <w:t>Statut, przyjęty Uchwałą nr 11/2023 z dnia 05.06.2023 roku.</w:t>
      </w:r>
      <w:r w:rsidR="00F32737" w:rsidRPr="005B47B3">
        <w:rPr>
          <w:rFonts w:cstheme="minorHAnsi"/>
        </w:rPr>
        <w:t>.</w:t>
      </w:r>
    </w:p>
    <w:p w14:paraId="5E3D5939" w14:textId="77777777" w:rsidR="00F32737" w:rsidRPr="005B47B3" w:rsidRDefault="00F32737" w:rsidP="008A412F">
      <w:pPr>
        <w:pStyle w:val="Akapitzlist"/>
        <w:numPr>
          <w:ilvl w:val="0"/>
          <w:numId w:val="27"/>
        </w:numPr>
        <w:autoSpaceDE w:val="0"/>
        <w:autoSpaceDN w:val="0"/>
        <w:adjustRightInd w:val="0"/>
        <w:spacing w:line="276" w:lineRule="auto"/>
        <w:ind w:left="357" w:hanging="357"/>
        <w:contextualSpacing w:val="0"/>
        <w:jc w:val="both"/>
        <w:rPr>
          <w:rFonts w:cstheme="minorHAnsi"/>
        </w:rPr>
      </w:pPr>
      <w:r w:rsidRPr="005B47B3">
        <w:rPr>
          <w:rFonts w:cstheme="minorHAnsi"/>
        </w:rPr>
        <w:t xml:space="preserve">Strona internetowa Głównego Urzędu Statystycznego, bank Danych Lokalnych, </w:t>
      </w:r>
      <w:hyperlink r:id="rId20" w:history="1">
        <w:r w:rsidRPr="005B47B3">
          <w:rPr>
            <w:rFonts w:cstheme="minorHAnsi"/>
          </w:rPr>
          <w:t>https://bdl.stat.gov.pl</w:t>
        </w:r>
      </w:hyperlink>
    </w:p>
    <w:p w14:paraId="7294D0EC" w14:textId="77777777" w:rsidR="00F32737" w:rsidRPr="005B47B3" w:rsidRDefault="00F32737" w:rsidP="008A412F">
      <w:pPr>
        <w:pStyle w:val="Akapitzlist"/>
        <w:numPr>
          <w:ilvl w:val="0"/>
          <w:numId w:val="27"/>
        </w:numPr>
        <w:autoSpaceDE w:val="0"/>
        <w:autoSpaceDN w:val="0"/>
        <w:adjustRightInd w:val="0"/>
        <w:spacing w:line="276" w:lineRule="auto"/>
        <w:ind w:left="357" w:hanging="357"/>
        <w:contextualSpacing w:val="0"/>
        <w:jc w:val="both"/>
        <w:rPr>
          <w:rFonts w:cstheme="minorHAnsi"/>
        </w:rPr>
      </w:pPr>
      <w:r w:rsidRPr="005B47B3">
        <w:rPr>
          <w:rFonts w:cstheme="minorHAnsi"/>
        </w:rPr>
        <w:t xml:space="preserve">Strona internetowa </w:t>
      </w:r>
      <w:proofErr w:type="spellStart"/>
      <w:r w:rsidRPr="005B47B3">
        <w:rPr>
          <w:rFonts w:cstheme="minorHAnsi"/>
        </w:rPr>
        <w:t>Geoportalu</w:t>
      </w:r>
      <w:proofErr w:type="spellEnd"/>
      <w:r w:rsidRPr="005B47B3">
        <w:rPr>
          <w:rFonts w:cstheme="minorHAnsi"/>
        </w:rPr>
        <w:t xml:space="preserve"> Krajowego, </w:t>
      </w:r>
      <w:hyperlink r:id="rId21" w:history="1">
        <w:r w:rsidRPr="005B47B3">
          <w:rPr>
            <w:rFonts w:cstheme="minorHAnsi"/>
          </w:rPr>
          <w:t>https://www.geoportal.gov.pl</w:t>
        </w:r>
      </w:hyperlink>
    </w:p>
    <w:p w14:paraId="521FD92E" w14:textId="77777777" w:rsidR="00F32737" w:rsidRPr="005B47B3" w:rsidRDefault="00F32737" w:rsidP="008A412F">
      <w:pPr>
        <w:pStyle w:val="Akapitzlist"/>
        <w:numPr>
          <w:ilvl w:val="0"/>
          <w:numId w:val="27"/>
        </w:numPr>
        <w:autoSpaceDE w:val="0"/>
        <w:autoSpaceDN w:val="0"/>
        <w:adjustRightInd w:val="0"/>
        <w:spacing w:line="276" w:lineRule="auto"/>
        <w:ind w:left="357" w:hanging="357"/>
        <w:contextualSpacing w:val="0"/>
        <w:jc w:val="both"/>
        <w:rPr>
          <w:rFonts w:cstheme="minorHAnsi"/>
        </w:rPr>
      </w:pPr>
      <w:r w:rsidRPr="005B47B3">
        <w:rPr>
          <w:rFonts w:cstheme="minorHAnsi"/>
        </w:rPr>
        <w:t xml:space="preserve">Strona internetowa Generalnej Dyrekcji Ochrony Środowiska, Centralny Rejestr Form Ochrony Przyrody, </w:t>
      </w:r>
      <w:hyperlink r:id="rId22" w:history="1">
        <w:r w:rsidRPr="005B47B3">
          <w:rPr>
            <w:rFonts w:cstheme="minorHAnsi"/>
          </w:rPr>
          <w:t>https://crfop.gdos.gov.pl/CRFOP/</w:t>
        </w:r>
      </w:hyperlink>
    </w:p>
    <w:p w14:paraId="2ADBA5D6" w14:textId="3286074A" w:rsidR="00F32737" w:rsidRPr="005B47B3" w:rsidRDefault="00F32737" w:rsidP="008A412F">
      <w:pPr>
        <w:pStyle w:val="Akapitzlist"/>
        <w:numPr>
          <w:ilvl w:val="0"/>
          <w:numId w:val="27"/>
        </w:numPr>
        <w:autoSpaceDE w:val="0"/>
        <w:autoSpaceDN w:val="0"/>
        <w:adjustRightInd w:val="0"/>
        <w:spacing w:line="276" w:lineRule="auto"/>
        <w:ind w:left="357" w:hanging="357"/>
        <w:contextualSpacing w:val="0"/>
        <w:jc w:val="both"/>
        <w:rPr>
          <w:rFonts w:cstheme="minorHAnsi"/>
        </w:rPr>
      </w:pPr>
      <w:r w:rsidRPr="005B47B3">
        <w:rPr>
          <w:rFonts w:cstheme="minorHAnsi"/>
        </w:rPr>
        <w:t xml:space="preserve">Strona internetowa Stowarzyszenia „Solidarni w Partnerstwie” </w:t>
      </w:r>
      <w:hyperlink r:id="rId23" w:history="1">
        <w:r w:rsidRPr="005B47B3">
          <w:rPr>
            <w:rStyle w:val="Hipercze"/>
            <w:rFonts w:cstheme="minorHAnsi"/>
            <w:color w:val="auto"/>
          </w:rPr>
          <w:t>http://sswp.com.pl/</w:t>
        </w:r>
      </w:hyperlink>
      <w:r w:rsidRPr="005B47B3">
        <w:rPr>
          <w:rFonts w:cstheme="minorHAnsi"/>
        </w:rPr>
        <w:t xml:space="preserve"> .</w:t>
      </w:r>
    </w:p>
    <w:p w14:paraId="4775BA57" w14:textId="046DA857" w:rsidR="00F32737" w:rsidRPr="005B47B3" w:rsidRDefault="00F32737" w:rsidP="008A412F">
      <w:pPr>
        <w:pStyle w:val="Akapitzlist"/>
        <w:numPr>
          <w:ilvl w:val="0"/>
          <w:numId w:val="27"/>
        </w:numPr>
        <w:autoSpaceDE w:val="0"/>
        <w:autoSpaceDN w:val="0"/>
        <w:adjustRightInd w:val="0"/>
        <w:spacing w:line="276" w:lineRule="auto"/>
        <w:ind w:left="357" w:hanging="357"/>
        <w:contextualSpacing w:val="0"/>
        <w:jc w:val="both"/>
        <w:rPr>
          <w:rFonts w:cstheme="minorHAnsi"/>
        </w:rPr>
      </w:pPr>
      <w:r w:rsidRPr="005B47B3">
        <w:rPr>
          <w:rFonts w:cstheme="minorHAnsi"/>
        </w:rPr>
        <w:t>Strategi</w:t>
      </w:r>
      <w:r w:rsidR="00184507" w:rsidRPr="005B47B3">
        <w:rPr>
          <w:rFonts w:cstheme="minorHAnsi"/>
        </w:rPr>
        <w:t xml:space="preserve">e </w:t>
      </w:r>
      <w:r w:rsidRPr="005B47B3">
        <w:rPr>
          <w:rFonts w:cstheme="minorHAnsi"/>
        </w:rPr>
        <w:t>Rozwoju</w:t>
      </w:r>
      <w:r w:rsidR="00184507" w:rsidRPr="005B47B3">
        <w:rPr>
          <w:rFonts w:cstheme="minorHAnsi"/>
        </w:rPr>
        <w:t xml:space="preserve"> </w:t>
      </w:r>
      <w:r w:rsidRPr="005B47B3">
        <w:rPr>
          <w:rFonts w:cstheme="minorHAnsi"/>
        </w:rPr>
        <w:t>Gmin</w:t>
      </w:r>
      <w:r w:rsidR="00184507" w:rsidRPr="005B47B3">
        <w:rPr>
          <w:rFonts w:cstheme="minorHAnsi"/>
        </w:rPr>
        <w:t xml:space="preserve"> </w:t>
      </w:r>
      <w:r w:rsidR="00184507" w:rsidRPr="005B47B3">
        <w:rPr>
          <w:rFonts w:eastAsia="Calibri" w:cstheme="minorHAnsi"/>
        </w:rPr>
        <w:t>Golina, Grodziec, Rychwał, Rzgów, Stare Miasto, Tuliszków</w:t>
      </w:r>
    </w:p>
    <w:p w14:paraId="0A7A6CE8" w14:textId="288CCD99" w:rsidR="00F32737" w:rsidRPr="005B47B3" w:rsidRDefault="00F32737" w:rsidP="008A412F">
      <w:pPr>
        <w:pStyle w:val="Akapitzlist"/>
        <w:numPr>
          <w:ilvl w:val="0"/>
          <w:numId w:val="27"/>
        </w:numPr>
        <w:autoSpaceDE w:val="0"/>
        <w:autoSpaceDN w:val="0"/>
        <w:adjustRightInd w:val="0"/>
        <w:spacing w:line="276" w:lineRule="auto"/>
        <w:ind w:left="357" w:hanging="357"/>
        <w:contextualSpacing w:val="0"/>
        <w:jc w:val="both"/>
        <w:rPr>
          <w:rFonts w:cstheme="minorHAnsi"/>
        </w:rPr>
      </w:pPr>
      <w:r w:rsidRPr="005B47B3">
        <w:rPr>
          <w:rFonts w:cstheme="minorHAnsi"/>
        </w:rPr>
        <w:t>Strategi</w:t>
      </w:r>
      <w:r w:rsidR="00184507" w:rsidRPr="005B47B3">
        <w:rPr>
          <w:rFonts w:cstheme="minorHAnsi"/>
        </w:rPr>
        <w:t>e</w:t>
      </w:r>
      <w:r w:rsidRPr="005B47B3">
        <w:rPr>
          <w:rFonts w:cstheme="minorHAnsi"/>
        </w:rPr>
        <w:t xml:space="preserve"> Rozwoju Powiat</w:t>
      </w:r>
      <w:r w:rsidR="00184507" w:rsidRPr="005B47B3">
        <w:rPr>
          <w:rFonts w:cstheme="minorHAnsi"/>
        </w:rPr>
        <w:t>ów Konińskiego i Tureckiego</w:t>
      </w:r>
    </w:p>
    <w:p w14:paraId="15B0B6D5" w14:textId="77777777" w:rsidR="00F32737" w:rsidRPr="005B47B3" w:rsidRDefault="00F32737" w:rsidP="008A412F">
      <w:pPr>
        <w:pStyle w:val="Akapitzlist"/>
        <w:numPr>
          <w:ilvl w:val="0"/>
          <w:numId w:val="27"/>
        </w:numPr>
        <w:autoSpaceDE w:val="0"/>
        <w:autoSpaceDN w:val="0"/>
        <w:adjustRightInd w:val="0"/>
        <w:spacing w:line="276" w:lineRule="auto"/>
        <w:ind w:left="357" w:hanging="357"/>
        <w:contextualSpacing w:val="0"/>
        <w:jc w:val="both"/>
        <w:rPr>
          <w:rFonts w:cstheme="minorHAnsi"/>
        </w:rPr>
      </w:pPr>
      <w:r w:rsidRPr="005B47B3">
        <w:rPr>
          <w:rFonts w:cstheme="minorHAnsi"/>
        </w:rPr>
        <w:t>Plan zagospodarowania przestrzennego województwa wielkopolskiego. Wielkopolska 2020+.</w:t>
      </w:r>
    </w:p>
    <w:p w14:paraId="77875861" w14:textId="77777777" w:rsidR="00F32737" w:rsidRPr="00F16251" w:rsidRDefault="00F32737" w:rsidP="00F32737">
      <w:pPr>
        <w:spacing w:line="276" w:lineRule="auto"/>
        <w:ind w:right="6"/>
        <w:jc w:val="both"/>
        <w:rPr>
          <w:rFonts w:eastAsia="Calibri" w:cstheme="minorHAnsi"/>
          <w:kern w:val="0"/>
          <w:lang w:eastAsia="pl-PL"/>
          <w14:ligatures w14:val="none"/>
        </w:rPr>
      </w:pPr>
    </w:p>
    <w:p w14:paraId="07C58BC1" w14:textId="77777777" w:rsidR="00F32737" w:rsidRPr="00F16251" w:rsidRDefault="00F32737" w:rsidP="00F32737">
      <w:pPr>
        <w:spacing w:line="276" w:lineRule="auto"/>
        <w:ind w:right="6"/>
        <w:jc w:val="both"/>
        <w:rPr>
          <w:rFonts w:eastAsia="Calibri" w:cstheme="minorHAnsi"/>
          <w:kern w:val="0"/>
          <w:lang w:eastAsia="pl-PL"/>
          <w14:ligatures w14:val="none"/>
        </w:rPr>
      </w:pPr>
    </w:p>
    <w:p w14:paraId="6D710062" w14:textId="77777777" w:rsidR="00F32737" w:rsidRDefault="00F32737" w:rsidP="00F32737">
      <w:pPr>
        <w:spacing w:line="276" w:lineRule="auto"/>
        <w:ind w:right="6"/>
        <w:jc w:val="both"/>
        <w:rPr>
          <w:rFonts w:eastAsia="Calibri" w:cstheme="minorHAnsi"/>
          <w:kern w:val="0"/>
          <w:lang w:eastAsia="pl-PL"/>
          <w14:ligatures w14:val="none"/>
        </w:rPr>
      </w:pPr>
    </w:p>
    <w:p w14:paraId="21382B4D" w14:textId="6567D818" w:rsidR="00F32737" w:rsidRDefault="00F32737">
      <w:pPr>
        <w:rPr>
          <w:rFonts w:eastAsia="Calibri" w:cstheme="minorHAnsi"/>
          <w:kern w:val="0"/>
          <w:lang w:eastAsia="pl-PL"/>
          <w14:ligatures w14:val="none"/>
        </w:rPr>
      </w:pPr>
      <w:r>
        <w:rPr>
          <w:rFonts w:eastAsia="Calibri" w:cstheme="minorHAnsi"/>
          <w:kern w:val="0"/>
          <w:lang w:eastAsia="pl-PL"/>
          <w14:ligatures w14:val="none"/>
        </w:rPr>
        <w:br w:type="page"/>
      </w:r>
    </w:p>
    <w:p w14:paraId="0CFB1DBD" w14:textId="77777777" w:rsidR="00BD17DA" w:rsidRDefault="00BD17DA" w:rsidP="00A26C26">
      <w:pPr>
        <w:pStyle w:val="Nagwek1"/>
        <w:spacing w:before="0" w:line="276" w:lineRule="auto"/>
        <w:rPr>
          <w:rFonts w:asciiTheme="minorHAnsi" w:hAnsiTheme="minorHAnsi" w:cstheme="minorHAnsi"/>
          <w:b/>
          <w:bCs/>
          <w:sz w:val="22"/>
          <w:szCs w:val="22"/>
        </w:rPr>
        <w:sectPr w:rsidR="00BD17DA" w:rsidSect="001D60A0">
          <w:footerReference w:type="default" r:id="rId24"/>
          <w:pgSz w:w="11906" w:h="16838"/>
          <w:pgMar w:top="851" w:right="851" w:bottom="851" w:left="851" w:header="709" w:footer="709" w:gutter="0"/>
          <w:cols w:space="708"/>
          <w:docGrid w:linePitch="360"/>
        </w:sectPr>
      </w:pPr>
    </w:p>
    <w:p w14:paraId="6FBA19C4" w14:textId="51E2CF75" w:rsidR="00907EC2" w:rsidRPr="00BD17DA" w:rsidRDefault="00E924BA" w:rsidP="00A26C26">
      <w:pPr>
        <w:pStyle w:val="Nagwek1"/>
        <w:spacing w:before="0" w:line="276" w:lineRule="auto"/>
        <w:rPr>
          <w:rFonts w:asciiTheme="minorHAnsi" w:hAnsiTheme="minorHAnsi" w:cstheme="minorHAnsi"/>
          <w:b/>
          <w:bCs/>
          <w:webHidden/>
          <w:sz w:val="22"/>
          <w:szCs w:val="22"/>
        </w:rPr>
      </w:pPr>
      <w:bookmarkStart w:id="110" w:name="_Toc136944434"/>
      <w:r w:rsidRPr="00A26C26">
        <w:rPr>
          <w:rFonts w:asciiTheme="minorHAnsi" w:hAnsiTheme="minorHAnsi" w:cstheme="minorHAnsi"/>
          <w:b/>
          <w:bCs/>
          <w:sz w:val="22"/>
          <w:szCs w:val="22"/>
        </w:rPr>
        <w:lastRenderedPageBreak/>
        <w:t>Załączniki</w:t>
      </w:r>
      <w:r w:rsidR="003B50ED">
        <w:rPr>
          <w:rFonts w:asciiTheme="minorHAnsi" w:hAnsiTheme="minorHAnsi" w:cstheme="minorHAnsi"/>
          <w:b/>
          <w:bCs/>
          <w:sz w:val="22"/>
          <w:szCs w:val="22"/>
        </w:rPr>
        <w:t xml:space="preserve"> </w:t>
      </w:r>
      <w:r w:rsidRPr="00A26C26">
        <w:rPr>
          <w:rFonts w:asciiTheme="minorHAnsi" w:hAnsiTheme="minorHAnsi" w:cstheme="minorHAnsi"/>
          <w:b/>
          <w:bCs/>
          <w:sz w:val="22"/>
          <w:szCs w:val="22"/>
        </w:rPr>
        <w:t>do</w:t>
      </w:r>
      <w:r w:rsidR="003B50ED">
        <w:rPr>
          <w:rFonts w:asciiTheme="minorHAnsi" w:hAnsiTheme="minorHAnsi" w:cstheme="minorHAnsi"/>
          <w:b/>
          <w:bCs/>
          <w:sz w:val="22"/>
          <w:szCs w:val="22"/>
        </w:rPr>
        <w:t xml:space="preserve"> </w:t>
      </w:r>
      <w:r w:rsidRPr="00A26C26">
        <w:rPr>
          <w:rFonts w:asciiTheme="minorHAnsi" w:hAnsiTheme="minorHAnsi" w:cstheme="minorHAnsi"/>
          <w:b/>
          <w:bCs/>
          <w:sz w:val="22"/>
          <w:szCs w:val="22"/>
        </w:rPr>
        <w:t>LSR</w:t>
      </w:r>
      <w:bookmarkEnd w:id="110"/>
    </w:p>
    <w:tbl>
      <w:tblPr>
        <w:tblW w:w="13776" w:type="dxa"/>
        <w:tblCellMar>
          <w:left w:w="70" w:type="dxa"/>
          <w:right w:w="70" w:type="dxa"/>
        </w:tblCellMar>
        <w:tblLook w:val="04A0" w:firstRow="1" w:lastRow="0" w:firstColumn="1" w:lastColumn="0" w:noHBand="0" w:noVBand="1"/>
      </w:tblPr>
      <w:tblGrid>
        <w:gridCol w:w="1420"/>
        <w:gridCol w:w="1120"/>
        <w:gridCol w:w="3820"/>
        <w:gridCol w:w="3760"/>
        <w:gridCol w:w="2620"/>
        <w:gridCol w:w="1000"/>
        <w:gridCol w:w="146"/>
      </w:tblGrid>
      <w:tr w:rsidR="00BD17DA" w:rsidRPr="00BD17DA" w14:paraId="6788C832" w14:textId="77777777" w:rsidTr="00BD17DA">
        <w:trPr>
          <w:gridAfter w:val="1"/>
          <w:wAfter w:w="36" w:type="dxa"/>
          <w:trHeight w:val="315"/>
        </w:trPr>
        <w:tc>
          <w:tcPr>
            <w:tcW w:w="6360" w:type="dxa"/>
            <w:gridSpan w:val="3"/>
            <w:tcBorders>
              <w:top w:val="nil"/>
              <w:left w:val="nil"/>
              <w:bottom w:val="nil"/>
              <w:right w:val="nil"/>
            </w:tcBorders>
            <w:shd w:val="clear" w:color="auto" w:fill="auto"/>
            <w:noWrap/>
            <w:vAlign w:val="center"/>
            <w:hideMark/>
          </w:tcPr>
          <w:p w14:paraId="58E28EDF" w14:textId="77777777" w:rsidR="00BD17DA" w:rsidRPr="00BD17DA" w:rsidRDefault="00BD17DA" w:rsidP="00BD17DA">
            <w:pPr>
              <w:rPr>
                <w:rFonts w:ascii="Calibri" w:eastAsia="Times New Roman" w:hAnsi="Calibri" w:cs="Calibri"/>
                <w:b/>
                <w:bCs/>
                <w:i/>
                <w:iCs/>
                <w:color w:val="000000"/>
                <w:kern w:val="0"/>
                <w:sz w:val="24"/>
                <w:szCs w:val="24"/>
                <w:lang w:eastAsia="pl-PL"/>
                <w14:ligatures w14:val="none"/>
              </w:rPr>
            </w:pPr>
            <w:bookmarkStart w:id="111" w:name="RANGE!B1:G13"/>
            <w:r w:rsidRPr="00BD17DA">
              <w:rPr>
                <w:rFonts w:ascii="Calibri" w:eastAsia="Times New Roman" w:hAnsi="Calibri" w:cs="Calibri"/>
                <w:b/>
                <w:bCs/>
                <w:i/>
                <w:iCs/>
                <w:color w:val="000000"/>
                <w:kern w:val="0"/>
                <w:sz w:val="24"/>
                <w:szCs w:val="24"/>
                <w:lang w:eastAsia="pl-PL"/>
                <w14:ligatures w14:val="none"/>
              </w:rPr>
              <w:t>Formularz 1: Cele i przedsięwzięcia</w:t>
            </w:r>
            <w:bookmarkEnd w:id="111"/>
          </w:p>
        </w:tc>
        <w:tc>
          <w:tcPr>
            <w:tcW w:w="3760" w:type="dxa"/>
            <w:tcBorders>
              <w:top w:val="nil"/>
              <w:left w:val="nil"/>
              <w:bottom w:val="nil"/>
              <w:right w:val="nil"/>
            </w:tcBorders>
            <w:shd w:val="clear" w:color="auto" w:fill="auto"/>
            <w:noWrap/>
            <w:vAlign w:val="bottom"/>
            <w:hideMark/>
          </w:tcPr>
          <w:p w14:paraId="068FEEEF" w14:textId="77777777" w:rsidR="00BD17DA" w:rsidRPr="00BD17DA" w:rsidRDefault="00BD17DA" w:rsidP="00BD17DA">
            <w:pPr>
              <w:rPr>
                <w:rFonts w:ascii="Calibri" w:eastAsia="Times New Roman" w:hAnsi="Calibri" w:cs="Calibri"/>
                <w:b/>
                <w:bCs/>
                <w:i/>
                <w:iCs/>
                <w:color w:val="000000"/>
                <w:kern w:val="0"/>
                <w:sz w:val="24"/>
                <w:szCs w:val="24"/>
                <w:lang w:eastAsia="pl-PL"/>
                <w14:ligatures w14:val="none"/>
              </w:rPr>
            </w:pPr>
          </w:p>
        </w:tc>
        <w:tc>
          <w:tcPr>
            <w:tcW w:w="2620" w:type="dxa"/>
            <w:tcBorders>
              <w:top w:val="nil"/>
              <w:left w:val="nil"/>
              <w:bottom w:val="nil"/>
              <w:right w:val="nil"/>
            </w:tcBorders>
            <w:shd w:val="clear" w:color="auto" w:fill="auto"/>
            <w:noWrap/>
            <w:vAlign w:val="bottom"/>
            <w:hideMark/>
          </w:tcPr>
          <w:p w14:paraId="5ACE0C35" w14:textId="77777777" w:rsidR="00BD17DA" w:rsidRPr="00BD17DA" w:rsidRDefault="00BD17DA" w:rsidP="00BD17DA">
            <w:pPr>
              <w:rPr>
                <w:rFonts w:ascii="Times New Roman" w:eastAsia="Times New Roman" w:hAnsi="Times New Roman" w:cs="Times New Roman"/>
                <w:kern w:val="0"/>
                <w:sz w:val="20"/>
                <w:szCs w:val="20"/>
                <w:lang w:eastAsia="pl-PL"/>
                <w14:ligatures w14:val="none"/>
              </w:rPr>
            </w:pPr>
          </w:p>
        </w:tc>
        <w:tc>
          <w:tcPr>
            <w:tcW w:w="1000" w:type="dxa"/>
            <w:tcBorders>
              <w:top w:val="nil"/>
              <w:left w:val="nil"/>
              <w:bottom w:val="nil"/>
              <w:right w:val="nil"/>
            </w:tcBorders>
            <w:shd w:val="clear" w:color="auto" w:fill="auto"/>
            <w:noWrap/>
            <w:vAlign w:val="bottom"/>
            <w:hideMark/>
          </w:tcPr>
          <w:p w14:paraId="2DB72EBD" w14:textId="77777777" w:rsidR="00BD17DA" w:rsidRPr="00BD17DA" w:rsidRDefault="00BD17DA" w:rsidP="00BD17DA">
            <w:pPr>
              <w:rPr>
                <w:rFonts w:ascii="Times New Roman" w:eastAsia="Times New Roman" w:hAnsi="Times New Roman" w:cs="Times New Roman"/>
                <w:kern w:val="0"/>
                <w:sz w:val="20"/>
                <w:szCs w:val="20"/>
                <w:lang w:eastAsia="pl-PL"/>
                <w14:ligatures w14:val="none"/>
              </w:rPr>
            </w:pPr>
          </w:p>
        </w:tc>
      </w:tr>
      <w:tr w:rsidR="00BD17DA" w:rsidRPr="00BD17DA" w14:paraId="5D24E3FD" w14:textId="77777777" w:rsidTr="00BD17DA">
        <w:trPr>
          <w:gridAfter w:val="1"/>
          <w:wAfter w:w="36" w:type="dxa"/>
          <w:trHeight w:val="90"/>
        </w:trPr>
        <w:tc>
          <w:tcPr>
            <w:tcW w:w="1420" w:type="dxa"/>
            <w:tcBorders>
              <w:top w:val="nil"/>
              <w:left w:val="nil"/>
              <w:bottom w:val="nil"/>
              <w:right w:val="nil"/>
            </w:tcBorders>
            <w:shd w:val="clear" w:color="auto" w:fill="auto"/>
            <w:vAlign w:val="center"/>
            <w:hideMark/>
          </w:tcPr>
          <w:p w14:paraId="05752792" w14:textId="77777777" w:rsidR="00BD17DA" w:rsidRPr="00BD17DA" w:rsidRDefault="00BD17DA" w:rsidP="00BD17DA">
            <w:pPr>
              <w:rPr>
                <w:rFonts w:ascii="Times New Roman" w:eastAsia="Times New Roman" w:hAnsi="Times New Roman" w:cs="Times New Roman"/>
                <w:kern w:val="0"/>
                <w:sz w:val="20"/>
                <w:szCs w:val="20"/>
                <w:lang w:eastAsia="pl-PL"/>
                <w14:ligatures w14:val="none"/>
              </w:rPr>
            </w:pPr>
          </w:p>
        </w:tc>
        <w:tc>
          <w:tcPr>
            <w:tcW w:w="1120" w:type="dxa"/>
            <w:tcBorders>
              <w:top w:val="nil"/>
              <w:left w:val="nil"/>
              <w:bottom w:val="nil"/>
              <w:right w:val="nil"/>
            </w:tcBorders>
            <w:shd w:val="clear" w:color="auto" w:fill="auto"/>
            <w:vAlign w:val="center"/>
            <w:hideMark/>
          </w:tcPr>
          <w:p w14:paraId="7A7BB3BF" w14:textId="77777777" w:rsidR="00BD17DA" w:rsidRPr="00BD17DA" w:rsidRDefault="00BD17DA" w:rsidP="00BD17DA">
            <w:pPr>
              <w:rPr>
                <w:rFonts w:ascii="Times New Roman" w:eastAsia="Times New Roman" w:hAnsi="Times New Roman" w:cs="Times New Roman"/>
                <w:kern w:val="0"/>
                <w:sz w:val="20"/>
                <w:szCs w:val="20"/>
                <w:lang w:eastAsia="pl-PL"/>
                <w14:ligatures w14:val="none"/>
              </w:rPr>
            </w:pPr>
          </w:p>
        </w:tc>
        <w:tc>
          <w:tcPr>
            <w:tcW w:w="3820" w:type="dxa"/>
            <w:tcBorders>
              <w:top w:val="nil"/>
              <w:left w:val="nil"/>
              <w:bottom w:val="nil"/>
              <w:right w:val="nil"/>
            </w:tcBorders>
            <w:shd w:val="clear" w:color="auto" w:fill="auto"/>
            <w:vAlign w:val="center"/>
            <w:hideMark/>
          </w:tcPr>
          <w:p w14:paraId="76ABB0ED" w14:textId="77777777" w:rsidR="00BD17DA" w:rsidRPr="00BD17DA" w:rsidRDefault="00BD17DA" w:rsidP="00BD17DA">
            <w:pPr>
              <w:rPr>
                <w:rFonts w:ascii="Times New Roman" w:eastAsia="Times New Roman" w:hAnsi="Times New Roman" w:cs="Times New Roman"/>
                <w:kern w:val="0"/>
                <w:sz w:val="20"/>
                <w:szCs w:val="20"/>
                <w:lang w:eastAsia="pl-PL"/>
                <w14:ligatures w14:val="none"/>
              </w:rPr>
            </w:pPr>
          </w:p>
        </w:tc>
        <w:tc>
          <w:tcPr>
            <w:tcW w:w="3760" w:type="dxa"/>
            <w:tcBorders>
              <w:top w:val="nil"/>
              <w:left w:val="nil"/>
              <w:bottom w:val="nil"/>
              <w:right w:val="nil"/>
            </w:tcBorders>
            <w:shd w:val="clear" w:color="auto" w:fill="auto"/>
            <w:vAlign w:val="center"/>
            <w:hideMark/>
          </w:tcPr>
          <w:p w14:paraId="33AF6EC2" w14:textId="77777777" w:rsidR="00BD17DA" w:rsidRPr="00BD17DA" w:rsidRDefault="00BD17DA" w:rsidP="00BD17DA">
            <w:pPr>
              <w:jc w:val="center"/>
              <w:rPr>
                <w:rFonts w:ascii="Times New Roman" w:eastAsia="Times New Roman" w:hAnsi="Times New Roman" w:cs="Times New Roman"/>
                <w:kern w:val="0"/>
                <w:sz w:val="20"/>
                <w:szCs w:val="20"/>
                <w:lang w:eastAsia="pl-PL"/>
                <w14:ligatures w14:val="none"/>
              </w:rPr>
            </w:pPr>
          </w:p>
        </w:tc>
        <w:tc>
          <w:tcPr>
            <w:tcW w:w="2620" w:type="dxa"/>
            <w:tcBorders>
              <w:top w:val="nil"/>
              <w:left w:val="nil"/>
              <w:bottom w:val="nil"/>
              <w:right w:val="nil"/>
            </w:tcBorders>
            <w:shd w:val="clear" w:color="auto" w:fill="auto"/>
            <w:vAlign w:val="center"/>
            <w:hideMark/>
          </w:tcPr>
          <w:p w14:paraId="6C38C94A" w14:textId="77777777" w:rsidR="00BD17DA" w:rsidRPr="00BD17DA" w:rsidRDefault="00BD17DA" w:rsidP="00BD17DA">
            <w:pPr>
              <w:jc w:val="center"/>
              <w:rPr>
                <w:rFonts w:ascii="Times New Roman" w:eastAsia="Times New Roman" w:hAnsi="Times New Roman" w:cs="Times New Roman"/>
                <w:kern w:val="0"/>
                <w:sz w:val="20"/>
                <w:szCs w:val="20"/>
                <w:lang w:eastAsia="pl-PL"/>
                <w14:ligatures w14:val="none"/>
              </w:rPr>
            </w:pPr>
          </w:p>
        </w:tc>
        <w:tc>
          <w:tcPr>
            <w:tcW w:w="1000" w:type="dxa"/>
            <w:tcBorders>
              <w:top w:val="nil"/>
              <w:left w:val="nil"/>
              <w:bottom w:val="nil"/>
              <w:right w:val="nil"/>
            </w:tcBorders>
            <w:shd w:val="clear" w:color="000000" w:fill="FFFFFF"/>
            <w:vAlign w:val="center"/>
            <w:hideMark/>
          </w:tcPr>
          <w:p w14:paraId="598EFA4B" w14:textId="77777777" w:rsidR="00BD17DA" w:rsidRPr="00BD17DA" w:rsidRDefault="00BD17DA" w:rsidP="00BD17DA">
            <w:pPr>
              <w:jc w:val="center"/>
              <w:rPr>
                <w:rFonts w:ascii="Calibri" w:eastAsia="Times New Roman" w:hAnsi="Calibri" w:cs="Calibri"/>
                <w:color w:val="000000"/>
                <w:kern w:val="0"/>
                <w:sz w:val="18"/>
                <w:szCs w:val="18"/>
                <w:lang w:eastAsia="pl-PL"/>
                <w14:ligatures w14:val="none"/>
              </w:rPr>
            </w:pPr>
            <w:r w:rsidRPr="00BD17DA">
              <w:rPr>
                <w:rFonts w:ascii="Calibri" w:eastAsia="Times New Roman" w:hAnsi="Calibri" w:cs="Calibri"/>
                <w:color w:val="000000"/>
                <w:kern w:val="0"/>
                <w:sz w:val="18"/>
                <w:szCs w:val="18"/>
                <w:lang w:eastAsia="pl-PL"/>
                <w14:ligatures w14:val="none"/>
              </w:rPr>
              <w:t> </w:t>
            </w:r>
          </w:p>
        </w:tc>
      </w:tr>
      <w:tr w:rsidR="00BD17DA" w:rsidRPr="00BD17DA" w14:paraId="69C48A9F" w14:textId="77777777" w:rsidTr="00BD17DA">
        <w:trPr>
          <w:gridAfter w:val="1"/>
          <w:wAfter w:w="36" w:type="dxa"/>
          <w:trHeight w:val="315"/>
        </w:trPr>
        <w:tc>
          <w:tcPr>
            <w:tcW w:w="1420" w:type="dxa"/>
            <w:vMerge w:val="restart"/>
            <w:tcBorders>
              <w:top w:val="single" w:sz="4" w:space="0" w:color="auto"/>
              <w:left w:val="single" w:sz="4" w:space="0" w:color="auto"/>
              <w:bottom w:val="single" w:sz="4" w:space="0" w:color="000000"/>
              <w:right w:val="single" w:sz="4" w:space="0" w:color="auto"/>
            </w:tcBorders>
            <w:shd w:val="clear" w:color="000000" w:fill="FBD4B4"/>
            <w:vAlign w:val="center"/>
            <w:hideMark/>
          </w:tcPr>
          <w:p w14:paraId="6B4B4B75" w14:textId="77777777" w:rsidR="00BD17DA" w:rsidRPr="00BD17DA" w:rsidRDefault="00BD17DA" w:rsidP="00BD17DA">
            <w:pPr>
              <w:jc w:val="center"/>
              <w:rPr>
                <w:rFonts w:ascii="Calibri" w:eastAsia="Times New Roman" w:hAnsi="Calibri" w:cs="Calibri"/>
                <w:color w:val="000000"/>
                <w:kern w:val="0"/>
                <w:sz w:val="18"/>
                <w:szCs w:val="18"/>
                <w:lang w:eastAsia="pl-PL"/>
                <w14:ligatures w14:val="none"/>
              </w:rPr>
            </w:pPr>
            <w:r w:rsidRPr="00BD17DA">
              <w:rPr>
                <w:rFonts w:ascii="Calibri" w:eastAsia="Times New Roman" w:hAnsi="Calibri" w:cs="Calibri"/>
                <w:color w:val="000000"/>
                <w:kern w:val="0"/>
                <w:sz w:val="18"/>
                <w:szCs w:val="18"/>
                <w:lang w:eastAsia="pl-PL"/>
                <w14:ligatures w14:val="none"/>
              </w:rPr>
              <w:t>Budżet (w EUR)</w:t>
            </w:r>
          </w:p>
        </w:tc>
        <w:tc>
          <w:tcPr>
            <w:tcW w:w="4940" w:type="dxa"/>
            <w:gridSpan w:val="2"/>
            <w:vMerge w:val="restart"/>
            <w:tcBorders>
              <w:top w:val="single" w:sz="4" w:space="0" w:color="auto"/>
              <w:left w:val="single" w:sz="4" w:space="0" w:color="auto"/>
              <w:bottom w:val="single" w:sz="4" w:space="0" w:color="000000"/>
              <w:right w:val="single" w:sz="4" w:space="0" w:color="000000"/>
            </w:tcBorders>
            <w:shd w:val="clear" w:color="000000" w:fill="FBD4B4"/>
            <w:vAlign w:val="center"/>
            <w:hideMark/>
          </w:tcPr>
          <w:p w14:paraId="429AAC95" w14:textId="77777777" w:rsidR="00BD17DA" w:rsidRPr="00BD17DA" w:rsidRDefault="00BD17DA" w:rsidP="00BD17DA">
            <w:pPr>
              <w:jc w:val="center"/>
              <w:rPr>
                <w:rFonts w:ascii="Calibri" w:eastAsia="Times New Roman" w:hAnsi="Calibri" w:cs="Calibri"/>
                <w:color w:val="000000"/>
                <w:kern w:val="0"/>
                <w:sz w:val="18"/>
                <w:szCs w:val="18"/>
                <w:lang w:eastAsia="pl-PL"/>
                <w14:ligatures w14:val="none"/>
              </w:rPr>
            </w:pPr>
            <w:r w:rsidRPr="00BD17DA">
              <w:rPr>
                <w:rFonts w:ascii="Calibri" w:eastAsia="Times New Roman" w:hAnsi="Calibri" w:cs="Calibri"/>
                <w:color w:val="000000"/>
                <w:kern w:val="0"/>
                <w:sz w:val="18"/>
                <w:szCs w:val="18"/>
                <w:lang w:eastAsia="pl-PL"/>
                <w14:ligatures w14:val="none"/>
              </w:rPr>
              <w:t xml:space="preserve">Przedsięwzięcia </w:t>
            </w:r>
            <w:r w:rsidRPr="00BD17DA">
              <w:rPr>
                <w:rFonts w:ascii="Calibri" w:eastAsia="Times New Roman" w:hAnsi="Calibri" w:cs="Calibri"/>
                <w:color w:val="000000"/>
                <w:kern w:val="0"/>
                <w:sz w:val="20"/>
                <w:szCs w:val="20"/>
                <w:lang w:eastAsia="pl-PL"/>
                <w14:ligatures w14:val="none"/>
              </w:rPr>
              <w:t>w ramach celu</w:t>
            </w:r>
          </w:p>
        </w:tc>
        <w:tc>
          <w:tcPr>
            <w:tcW w:w="3760"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42DBAB51" w14:textId="77777777" w:rsidR="00BD17DA" w:rsidRPr="00BD17DA" w:rsidRDefault="00BD17DA" w:rsidP="00BD17DA">
            <w:pPr>
              <w:jc w:val="center"/>
              <w:rPr>
                <w:rFonts w:ascii="Calibri" w:eastAsia="Times New Roman" w:hAnsi="Calibri" w:cs="Calibri"/>
                <w:color w:val="000000"/>
                <w:kern w:val="0"/>
                <w:sz w:val="18"/>
                <w:szCs w:val="18"/>
                <w:lang w:eastAsia="pl-PL"/>
                <w14:ligatures w14:val="none"/>
              </w:rPr>
            </w:pPr>
            <w:r w:rsidRPr="00BD17DA">
              <w:rPr>
                <w:rFonts w:ascii="Calibri" w:eastAsia="Times New Roman" w:hAnsi="Calibri" w:cs="Calibri"/>
                <w:color w:val="000000"/>
                <w:kern w:val="0"/>
                <w:sz w:val="18"/>
                <w:szCs w:val="18"/>
                <w:lang w:eastAsia="pl-PL"/>
                <w14:ligatures w14:val="none"/>
              </w:rPr>
              <w:t>grupy docelowe</w:t>
            </w:r>
          </w:p>
        </w:tc>
        <w:tc>
          <w:tcPr>
            <w:tcW w:w="3620" w:type="dxa"/>
            <w:gridSpan w:val="2"/>
            <w:vMerge w:val="restart"/>
            <w:tcBorders>
              <w:top w:val="single" w:sz="4" w:space="0" w:color="auto"/>
              <w:left w:val="single" w:sz="4" w:space="0" w:color="auto"/>
              <w:bottom w:val="single" w:sz="4" w:space="0" w:color="auto"/>
              <w:right w:val="single" w:sz="4" w:space="0" w:color="000000"/>
            </w:tcBorders>
            <w:shd w:val="clear" w:color="000000" w:fill="FBD4B4"/>
            <w:vAlign w:val="center"/>
            <w:hideMark/>
          </w:tcPr>
          <w:p w14:paraId="00481E71" w14:textId="0EFA00FF" w:rsidR="00BD17DA" w:rsidRPr="00BD17DA" w:rsidRDefault="00BD17DA" w:rsidP="00BD17DA">
            <w:pPr>
              <w:jc w:val="center"/>
              <w:rPr>
                <w:rFonts w:ascii="Calibri" w:eastAsia="Times New Roman" w:hAnsi="Calibri" w:cs="Calibri"/>
                <w:color w:val="000000"/>
                <w:kern w:val="0"/>
                <w:sz w:val="18"/>
                <w:szCs w:val="18"/>
                <w:lang w:eastAsia="pl-PL"/>
                <w14:ligatures w14:val="none"/>
              </w:rPr>
            </w:pPr>
            <w:r w:rsidRPr="00BD17DA">
              <w:rPr>
                <w:rFonts w:ascii="Calibri" w:eastAsia="Times New Roman" w:hAnsi="Calibri" w:cs="Calibri"/>
                <w:color w:val="000000"/>
                <w:kern w:val="0"/>
                <w:sz w:val="18"/>
                <w:szCs w:val="18"/>
                <w:lang w:eastAsia="pl-PL"/>
                <w14:ligatures w14:val="none"/>
              </w:rPr>
              <w:t xml:space="preserve"> sposób realizacji (konkurs, projekt grantowy, operacja własna,</w:t>
            </w:r>
            <w:r>
              <w:rPr>
                <w:rFonts w:ascii="Calibri" w:eastAsia="Times New Roman" w:hAnsi="Calibri" w:cs="Calibri"/>
                <w:color w:val="000000"/>
                <w:kern w:val="0"/>
                <w:sz w:val="18"/>
                <w:szCs w:val="18"/>
                <w:lang w:eastAsia="pl-PL"/>
                <w14:ligatures w14:val="none"/>
              </w:rPr>
              <w:t xml:space="preserve"> </w:t>
            </w:r>
            <w:r w:rsidRPr="00BD17DA">
              <w:rPr>
                <w:rFonts w:ascii="Calibri" w:eastAsia="Times New Roman" w:hAnsi="Calibri" w:cs="Calibri"/>
                <w:color w:val="000000"/>
                <w:kern w:val="0"/>
                <w:sz w:val="18"/>
                <w:szCs w:val="18"/>
                <w:lang w:eastAsia="pl-PL"/>
                <w14:ligatures w14:val="none"/>
              </w:rPr>
              <w:t>animacja itp.)</w:t>
            </w:r>
          </w:p>
        </w:tc>
      </w:tr>
      <w:tr w:rsidR="00BD17DA" w:rsidRPr="00BD17DA" w14:paraId="1FFB98C1" w14:textId="77777777" w:rsidTr="00BD17DA">
        <w:trPr>
          <w:trHeight w:val="432"/>
        </w:trPr>
        <w:tc>
          <w:tcPr>
            <w:tcW w:w="1420" w:type="dxa"/>
            <w:vMerge/>
            <w:tcBorders>
              <w:top w:val="single" w:sz="4" w:space="0" w:color="auto"/>
              <w:left w:val="single" w:sz="4" w:space="0" w:color="auto"/>
              <w:bottom w:val="single" w:sz="4" w:space="0" w:color="000000"/>
              <w:right w:val="single" w:sz="4" w:space="0" w:color="auto"/>
            </w:tcBorders>
            <w:vAlign w:val="center"/>
            <w:hideMark/>
          </w:tcPr>
          <w:p w14:paraId="3406F119" w14:textId="77777777" w:rsidR="00BD17DA" w:rsidRPr="00BD17DA" w:rsidRDefault="00BD17DA" w:rsidP="00BD17DA">
            <w:pPr>
              <w:rPr>
                <w:rFonts w:ascii="Calibri" w:eastAsia="Times New Roman" w:hAnsi="Calibri" w:cs="Calibri"/>
                <w:color w:val="000000"/>
                <w:kern w:val="0"/>
                <w:sz w:val="18"/>
                <w:szCs w:val="18"/>
                <w:lang w:eastAsia="pl-PL"/>
                <w14:ligatures w14:val="none"/>
              </w:rPr>
            </w:pPr>
          </w:p>
        </w:tc>
        <w:tc>
          <w:tcPr>
            <w:tcW w:w="4940" w:type="dxa"/>
            <w:gridSpan w:val="2"/>
            <w:vMerge/>
            <w:tcBorders>
              <w:top w:val="single" w:sz="4" w:space="0" w:color="auto"/>
              <w:left w:val="single" w:sz="4" w:space="0" w:color="auto"/>
              <w:bottom w:val="single" w:sz="4" w:space="0" w:color="000000"/>
              <w:right w:val="single" w:sz="4" w:space="0" w:color="000000"/>
            </w:tcBorders>
            <w:vAlign w:val="center"/>
            <w:hideMark/>
          </w:tcPr>
          <w:p w14:paraId="095C0D33" w14:textId="77777777" w:rsidR="00BD17DA" w:rsidRPr="00BD17DA" w:rsidRDefault="00BD17DA" w:rsidP="00BD17DA">
            <w:pPr>
              <w:rPr>
                <w:rFonts w:ascii="Calibri" w:eastAsia="Times New Roman" w:hAnsi="Calibri" w:cs="Calibri"/>
                <w:color w:val="000000"/>
                <w:kern w:val="0"/>
                <w:sz w:val="18"/>
                <w:szCs w:val="18"/>
                <w:lang w:eastAsia="pl-PL"/>
                <w14:ligatures w14:val="none"/>
              </w:rPr>
            </w:pPr>
          </w:p>
        </w:tc>
        <w:tc>
          <w:tcPr>
            <w:tcW w:w="3760" w:type="dxa"/>
            <w:vMerge/>
            <w:tcBorders>
              <w:top w:val="single" w:sz="4" w:space="0" w:color="auto"/>
              <w:left w:val="single" w:sz="4" w:space="0" w:color="auto"/>
              <w:bottom w:val="single" w:sz="4" w:space="0" w:color="auto"/>
              <w:right w:val="single" w:sz="4" w:space="0" w:color="auto"/>
            </w:tcBorders>
            <w:vAlign w:val="center"/>
            <w:hideMark/>
          </w:tcPr>
          <w:p w14:paraId="2B730B16" w14:textId="77777777" w:rsidR="00BD17DA" w:rsidRPr="00BD17DA" w:rsidRDefault="00BD17DA" w:rsidP="00BD17DA">
            <w:pPr>
              <w:rPr>
                <w:rFonts w:ascii="Calibri" w:eastAsia="Times New Roman" w:hAnsi="Calibri" w:cs="Calibri"/>
                <w:color w:val="000000"/>
                <w:kern w:val="0"/>
                <w:sz w:val="18"/>
                <w:szCs w:val="18"/>
                <w:lang w:eastAsia="pl-PL"/>
                <w14:ligatures w14:val="none"/>
              </w:rPr>
            </w:pPr>
          </w:p>
        </w:tc>
        <w:tc>
          <w:tcPr>
            <w:tcW w:w="3620" w:type="dxa"/>
            <w:gridSpan w:val="2"/>
            <w:vMerge/>
            <w:tcBorders>
              <w:top w:val="single" w:sz="4" w:space="0" w:color="auto"/>
              <w:left w:val="single" w:sz="4" w:space="0" w:color="auto"/>
              <w:bottom w:val="single" w:sz="4" w:space="0" w:color="auto"/>
              <w:right w:val="single" w:sz="4" w:space="0" w:color="000000"/>
            </w:tcBorders>
            <w:vAlign w:val="center"/>
            <w:hideMark/>
          </w:tcPr>
          <w:p w14:paraId="777D0F40" w14:textId="77777777" w:rsidR="00BD17DA" w:rsidRPr="00BD17DA" w:rsidRDefault="00BD17DA" w:rsidP="00BD17DA">
            <w:pPr>
              <w:rPr>
                <w:rFonts w:ascii="Calibri" w:eastAsia="Times New Roman" w:hAnsi="Calibri" w:cs="Calibri"/>
                <w:color w:val="000000"/>
                <w:kern w:val="0"/>
                <w:sz w:val="18"/>
                <w:szCs w:val="18"/>
                <w:lang w:eastAsia="pl-PL"/>
                <w14:ligatures w14:val="none"/>
              </w:rPr>
            </w:pPr>
          </w:p>
        </w:tc>
        <w:tc>
          <w:tcPr>
            <w:tcW w:w="36" w:type="dxa"/>
            <w:tcBorders>
              <w:top w:val="nil"/>
              <w:left w:val="nil"/>
              <w:bottom w:val="nil"/>
              <w:right w:val="nil"/>
            </w:tcBorders>
            <w:shd w:val="clear" w:color="auto" w:fill="auto"/>
            <w:noWrap/>
            <w:vAlign w:val="bottom"/>
            <w:hideMark/>
          </w:tcPr>
          <w:p w14:paraId="13BEF64D" w14:textId="77777777" w:rsidR="00BD17DA" w:rsidRPr="00BD17DA" w:rsidRDefault="00BD17DA" w:rsidP="00BD17DA">
            <w:pPr>
              <w:jc w:val="center"/>
              <w:rPr>
                <w:rFonts w:ascii="Calibri" w:eastAsia="Times New Roman" w:hAnsi="Calibri" w:cs="Calibri"/>
                <w:color w:val="000000"/>
                <w:kern w:val="0"/>
                <w:sz w:val="18"/>
                <w:szCs w:val="18"/>
                <w:lang w:eastAsia="pl-PL"/>
                <w14:ligatures w14:val="none"/>
              </w:rPr>
            </w:pPr>
          </w:p>
        </w:tc>
      </w:tr>
      <w:tr w:rsidR="00BD17DA" w:rsidRPr="00BD17DA" w14:paraId="798B334C" w14:textId="77777777" w:rsidTr="00BD17DA">
        <w:trPr>
          <w:trHeight w:val="705"/>
        </w:trPr>
        <w:tc>
          <w:tcPr>
            <w:tcW w:w="1420" w:type="dxa"/>
            <w:tcBorders>
              <w:top w:val="nil"/>
              <w:left w:val="single" w:sz="4" w:space="0" w:color="auto"/>
              <w:bottom w:val="single" w:sz="4" w:space="0" w:color="auto"/>
              <w:right w:val="single" w:sz="4" w:space="0" w:color="auto"/>
            </w:tcBorders>
            <w:shd w:val="clear" w:color="auto" w:fill="auto"/>
            <w:vAlign w:val="center"/>
            <w:hideMark/>
          </w:tcPr>
          <w:p w14:paraId="121FE11C" w14:textId="77777777" w:rsidR="00BD17DA" w:rsidRPr="00BD17DA" w:rsidRDefault="00BD17DA" w:rsidP="00BD17DA">
            <w:pPr>
              <w:rPr>
                <w:rFonts w:ascii="Calibri" w:eastAsia="Times New Roman" w:hAnsi="Calibri" w:cs="Calibri"/>
                <w:color w:val="000000"/>
                <w:kern w:val="0"/>
                <w:sz w:val="18"/>
                <w:szCs w:val="18"/>
                <w:lang w:eastAsia="pl-PL"/>
                <w14:ligatures w14:val="none"/>
              </w:rPr>
            </w:pPr>
            <w:r w:rsidRPr="00BD17DA">
              <w:rPr>
                <w:rFonts w:ascii="Calibri" w:eastAsia="Times New Roman" w:hAnsi="Calibri" w:cs="Calibri"/>
                <w:color w:val="000000"/>
                <w:kern w:val="0"/>
                <w:sz w:val="18"/>
                <w:szCs w:val="18"/>
                <w:lang w:eastAsia="pl-PL"/>
                <w14:ligatures w14:val="none"/>
              </w:rPr>
              <w:t> </w:t>
            </w:r>
          </w:p>
        </w:tc>
        <w:tc>
          <w:tcPr>
            <w:tcW w:w="1232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C0B9D1A" w14:textId="77777777" w:rsidR="00BD17DA" w:rsidRPr="00BD17DA" w:rsidRDefault="00BD17DA" w:rsidP="00BD17DA">
            <w:pPr>
              <w:rPr>
                <w:rFonts w:ascii="Calibri" w:eastAsia="Times New Roman" w:hAnsi="Calibri" w:cs="Calibri"/>
                <w:color w:val="000000"/>
                <w:kern w:val="0"/>
                <w:sz w:val="18"/>
                <w:szCs w:val="18"/>
                <w:lang w:eastAsia="pl-PL"/>
                <w14:ligatures w14:val="none"/>
              </w:rPr>
            </w:pPr>
            <w:r w:rsidRPr="00BD17DA">
              <w:rPr>
                <w:rFonts w:ascii="Calibri" w:eastAsia="Times New Roman" w:hAnsi="Calibri" w:cs="Calibri"/>
                <w:color w:val="000000"/>
                <w:kern w:val="0"/>
                <w:sz w:val="18"/>
                <w:szCs w:val="18"/>
                <w:lang w:eastAsia="pl-PL"/>
                <w14:ligatures w14:val="none"/>
              </w:rPr>
              <w:t>C.1 Poprawa jakości życia na obszarze LSR, aktywizacja i zwiększenie włączenia społecznego</w:t>
            </w:r>
          </w:p>
        </w:tc>
        <w:tc>
          <w:tcPr>
            <w:tcW w:w="36" w:type="dxa"/>
            <w:vAlign w:val="center"/>
            <w:hideMark/>
          </w:tcPr>
          <w:p w14:paraId="1496D58D" w14:textId="77777777" w:rsidR="00BD17DA" w:rsidRPr="00BD17DA" w:rsidRDefault="00BD17DA" w:rsidP="00BD17DA">
            <w:pPr>
              <w:rPr>
                <w:rFonts w:ascii="Times New Roman" w:eastAsia="Times New Roman" w:hAnsi="Times New Roman" w:cs="Times New Roman"/>
                <w:kern w:val="0"/>
                <w:sz w:val="20"/>
                <w:szCs w:val="20"/>
                <w:lang w:eastAsia="pl-PL"/>
                <w14:ligatures w14:val="none"/>
              </w:rPr>
            </w:pPr>
          </w:p>
        </w:tc>
      </w:tr>
      <w:tr w:rsidR="00BD17DA" w:rsidRPr="00BD17DA" w14:paraId="5E01B0B9" w14:textId="77777777" w:rsidTr="00BD17DA">
        <w:trPr>
          <w:trHeight w:val="705"/>
        </w:trPr>
        <w:tc>
          <w:tcPr>
            <w:tcW w:w="1420" w:type="dxa"/>
            <w:tcBorders>
              <w:top w:val="nil"/>
              <w:left w:val="single" w:sz="4" w:space="0" w:color="auto"/>
              <w:bottom w:val="single" w:sz="4" w:space="0" w:color="auto"/>
              <w:right w:val="single" w:sz="4" w:space="0" w:color="auto"/>
            </w:tcBorders>
            <w:shd w:val="clear" w:color="auto" w:fill="auto"/>
            <w:vAlign w:val="center"/>
            <w:hideMark/>
          </w:tcPr>
          <w:p w14:paraId="6C3BE9D6" w14:textId="7BC4B0EC" w:rsidR="00C84953" w:rsidRPr="00C84953" w:rsidRDefault="00C84953" w:rsidP="00BD17DA">
            <w:pPr>
              <w:jc w:val="right"/>
              <w:rPr>
                <w:rFonts w:ascii="Calibri" w:eastAsia="Times New Roman" w:hAnsi="Calibri" w:cs="Calibri"/>
                <w:strike/>
                <w:color w:val="000000"/>
                <w:kern w:val="0"/>
                <w:sz w:val="18"/>
                <w:szCs w:val="18"/>
                <w:lang w:eastAsia="pl-PL"/>
                <w14:ligatures w14:val="none"/>
              </w:rPr>
            </w:pPr>
            <w:r w:rsidRPr="00C406F6">
              <w:rPr>
                <w:rFonts w:ascii="Calibri" w:eastAsia="Times New Roman" w:hAnsi="Calibri" w:cs="Calibri"/>
                <w:kern w:val="0"/>
                <w:sz w:val="18"/>
                <w:szCs w:val="18"/>
                <w:lang w:eastAsia="pl-PL"/>
                <w14:ligatures w14:val="none"/>
              </w:rPr>
              <w:t>11</w:t>
            </w:r>
            <w:r w:rsidR="00C406F6">
              <w:rPr>
                <w:rFonts w:ascii="Calibri" w:eastAsia="Times New Roman" w:hAnsi="Calibri" w:cs="Calibri"/>
                <w:kern w:val="0"/>
                <w:sz w:val="18"/>
                <w:szCs w:val="18"/>
                <w:lang w:eastAsia="pl-PL"/>
                <w14:ligatures w14:val="none"/>
              </w:rPr>
              <w:t xml:space="preserve"> </w:t>
            </w:r>
            <w:r w:rsidRPr="00C406F6">
              <w:rPr>
                <w:rFonts w:ascii="Calibri" w:eastAsia="Times New Roman" w:hAnsi="Calibri" w:cs="Calibri"/>
                <w:kern w:val="0"/>
                <w:sz w:val="18"/>
                <w:szCs w:val="18"/>
                <w:lang w:eastAsia="pl-PL"/>
                <w14:ligatures w14:val="none"/>
              </w:rPr>
              <w:t>800</w:t>
            </w:r>
          </w:p>
        </w:tc>
        <w:tc>
          <w:tcPr>
            <w:tcW w:w="4940" w:type="dxa"/>
            <w:gridSpan w:val="2"/>
            <w:tcBorders>
              <w:top w:val="single" w:sz="4" w:space="0" w:color="auto"/>
              <w:left w:val="nil"/>
              <w:bottom w:val="single" w:sz="4" w:space="0" w:color="auto"/>
              <w:right w:val="single" w:sz="4" w:space="0" w:color="000000"/>
            </w:tcBorders>
            <w:shd w:val="clear" w:color="auto" w:fill="auto"/>
            <w:vAlign w:val="center"/>
            <w:hideMark/>
          </w:tcPr>
          <w:p w14:paraId="5186A111" w14:textId="77777777" w:rsidR="00BD17DA" w:rsidRPr="00BD17DA" w:rsidRDefault="00BD17DA" w:rsidP="00BD17DA">
            <w:pPr>
              <w:rPr>
                <w:rFonts w:ascii="Calibri" w:eastAsia="Times New Roman" w:hAnsi="Calibri" w:cs="Calibri"/>
                <w:color w:val="000000"/>
                <w:kern w:val="0"/>
                <w:sz w:val="18"/>
                <w:szCs w:val="18"/>
                <w:lang w:eastAsia="pl-PL"/>
                <w14:ligatures w14:val="none"/>
              </w:rPr>
            </w:pPr>
            <w:r w:rsidRPr="00BD17DA">
              <w:rPr>
                <w:rFonts w:ascii="Calibri" w:eastAsia="Times New Roman" w:hAnsi="Calibri" w:cs="Calibri"/>
                <w:color w:val="000000"/>
                <w:kern w:val="0"/>
                <w:sz w:val="18"/>
                <w:szCs w:val="18"/>
                <w:lang w:eastAsia="pl-PL"/>
                <w14:ligatures w14:val="none"/>
              </w:rPr>
              <w:t>P.1.1 Opracowanie koncepcji inteligentnych wsi</w:t>
            </w:r>
          </w:p>
        </w:tc>
        <w:tc>
          <w:tcPr>
            <w:tcW w:w="3760" w:type="dxa"/>
            <w:tcBorders>
              <w:top w:val="nil"/>
              <w:left w:val="nil"/>
              <w:bottom w:val="single" w:sz="4" w:space="0" w:color="auto"/>
              <w:right w:val="single" w:sz="4" w:space="0" w:color="auto"/>
            </w:tcBorders>
            <w:shd w:val="clear" w:color="auto" w:fill="auto"/>
            <w:vAlign w:val="center"/>
            <w:hideMark/>
          </w:tcPr>
          <w:p w14:paraId="34DDD96D" w14:textId="77777777" w:rsidR="00BD17DA" w:rsidRPr="00BD17DA" w:rsidRDefault="00BD17DA" w:rsidP="00BD17DA">
            <w:pPr>
              <w:jc w:val="center"/>
              <w:rPr>
                <w:rFonts w:ascii="Calibri" w:eastAsia="Times New Roman" w:hAnsi="Calibri" w:cs="Calibri"/>
                <w:color w:val="000000"/>
                <w:kern w:val="0"/>
                <w:sz w:val="18"/>
                <w:szCs w:val="18"/>
                <w:lang w:eastAsia="pl-PL"/>
                <w14:ligatures w14:val="none"/>
              </w:rPr>
            </w:pPr>
            <w:r w:rsidRPr="00BD17DA">
              <w:rPr>
                <w:rFonts w:ascii="Calibri" w:eastAsia="Times New Roman" w:hAnsi="Calibri" w:cs="Calibri"/>
                <w:color w:val="000000"/>
                <w:kern w:val="0"/>
                <w:sz w:val="18"/>
                <w:szCs w:val="18"/>
                <w:lang w:eastAsia="pl-PL"/>
                <w14:ligatures w14:val="none"/>
              </w:rPr>
              <w:t>mieszkańcy, organizacje pozarządowe, jednostki samorządu terytorialnego</w:t>
            </w:r>
          </w:p>
        </w:tc>
        <w:tc>
          <w:tcPr>
            <w:tcW w:w="3620" w:type="dxa"/>
            <w:gridSpan w:val="2"/>
            <w:tcBorders>
              <w:top w:val="single" w:sz="4" w:space="0" w:color="auto"/>
              <w:left w:val="nil"/>
              <w:bottom w:val="single" w:sz="4" w:space="0" w:color="auto"/>
              <w:right w:val="single" w:sz="4" w:space="0" w:color="000000"/>
            </w:tcBorders>
            <w:shd w:val="clear" w:color="auto" w:fill="auto"/>
            <w:vAlign w:val="center"/>
            <w:hideMark/>
          </w:tcPr>
          <w:p w14:paraId="3DEAF2AE" w14:textId="77777777" w:rsidR="00BD17DA" w:rsidRPr="00BD17DA" w:rsidRDefault="00BD17DA" w:rsidP="00BD17DA">
            <w:pPr>
              <w:jc w:val="center"/>
              <w:rPr>
                <w:rFonts w:ascii="Calibri" w:eastAsia="Times New Roman" w:hAnsi="Calibri" w:cs="Calibri"/>
                <w:kern w:val="0"/>
                <w:sz w:val="20"/>
                <w:szCs w:val="20"/>
                <w:lang w:eastAsia="pl-PL"/>
                <w14:ligatures w14:val="none"/>
              </w:rPr>
            </w:pPr>
            <w:r w:rsidRPr="00BD17DA">
              <w:rPr>
                <w:rFonts w:ascii="Calibri" w:eastAsia="Times New Roman" w:hAnsi="Calibri" w:cs="Calibri"/>
                <w:kern w:val="0"/>
                <w:sz w:val="20"/>
                <w:szCs w:val="20"/>
                <w:lang w:eastAsia="pl-PL"/>
                <w14:ligatures w14:val="none"/>
              </w:rPr>
              <w:t>granty</w:t>
            </w:r>
          </w:p>
        </w:tc>
        <w:tc>
          <w:tcPr>
            <w:tcW w:w="36" w:type="dxa"/>
            <w:vAlign w:val="center"/>
            <w:hideMark/>
          </w:tcPr>
          <w:p w14:paraId="796CCD02" w14:textId="77777777" w:rsidR="00BD17DA" w:rsidRPr="00BD17DA" w:rsidRDefault="00BD17DA" w:rsidP="00BD17DA">
            <w:pPr>
              <w:rPr>
                <w:rFonts w:ascii="Times New Roman" w:eastAsia="Times New Roman" w:hAnsi="Times New Roman" w:cs="Times New Roman"/>
                <w:kern w:val="0"/>
                <w:sz w:val="20"/>
                <w:szCs w:val="20"/>
                <w:lang w:eastAsia="pl-PL"/>
                <w14:ligatures w14:val="none"/>
              </w:rPr>
            </w:pPr>
          </w:p>
        </w:tc>
      </w:tr>
      <w:tr w:rsidR="00BD17DA" w:rsidRPr="00BD17DA" w14:paraId="75F74D35" w14:textId="77777777" w:rsidTr="00BD17DA">
        <w:trPr>
          <w:trHeight w:val="705"/>
        </w:trPr>
        <w:tc>
          <w:tcPr>
            <w:tcW w:w="1420" w:type="dxa"/>
            <w:tcBorders>
              <w:top w:val="nil"/>
              <w:left w:val="single" w:sz="4" w:space="0" w:color="auto"/>
              <w:bottom w:val="single" w:sz="4" w:space="0" w:color="auto"/>
              <w:right w:val="single" w:sz="4" w:space="0" w:color="auto"/>
            </w:tcBorders>
            <w:shd w:val="clear" w:color="auto" w:fill="auto"/>
            <w:vAlign w:val="center"/>
            <w:hideMark/>
          </w:tcPr>
          <w:p w14:paraId="01E591BC" w14:textId="1F0114E4" w:rsidR="00BD17DA" w:rsidRPr="00BD17DA" w:rsidRDefault="00DC06BB" w:rsidP="00BD17DA">
            <w:pPr>
              <w:jc w:val="right"/>
              <w:rPr>
                <w:rFonts w:ascii="Calibri" w:eastAsia="Times New Roman" w:hAnsi="Calibri" w:cs="Calibri"/>
                <w:color w:val="000000"/>
                <w:kern w:val="0"/>
                <w:sz w:val="18"/>
                <w:szCs w:val="18"/>
                <w:lang w:eastAsia="pl-PL"/>
                <w14:ligatures w14:val="none"/>
              </w:rPr>
            </w:pPr>
            <w:r>
              <w:rPr>
                <w:rFonts w:ascii="Calibri" w:eastAsia="Times New Roman" w:hAnsi="Calibri" w:cs="Calibri"/>
                <w:color w:val="000000"/>
                <w:kern w:val="0"/>
                <w:sz w:val="18"/>
                <w:szCs w:val="18"/>
                <w:lang w:eastAsia="pl-PL"/>
                <w14:ligatures w14:val="none"/>
              </w:rPr>
              <w:t>40</w:t>
            </w:r>
            <w:r w:rsidR="00BD17DA" w:rsidRPr="00BD17DA">
              <w:rPr>
                <w:rFonts w:ascii="Calibri" w:eastAsia="Times New Roman" w:hAnsi="Calibri" w:cs="Calibri"/>
                <w:color w:val="000000"/>
                <w:kern w:val="0"/>
                <w:sz w:val="18"/>
                <w:szCs w:val="18"/>
                <w:lang w:eastAsia="pl-PL"/>
                <w14:ligatures w14:val="none"/>
              </w:rPr>
              <w:t>0 000</w:t>
            </w:r>
          </w:p>
        </w:tc>
        <w:tc>
          <w:tcPr>
            <w:tcW w:w="4940" w:type="dxa"/>
            <w:gridSpan w:val="2"/>
            <w:tcBorders>
              <w:top w:val="single" w:sz="4" w:space="0" w:color="auto"/>
              <w:left w:val="nil"/>
              <w:bottom w:val="single" w:sz="4" w:space="0" w:color="auto"/>
              <w:right w:val="single" w:sz="4" w:space="0" w:color="000000"/>
            </w:tcBorders>
            <w:shd w:val="clear" w:color="auto" w:fill="auto"/>
            <w:vAlign w:val="center"/>
            <w:hideMark/>
          </w:tcPr>
          <w:p w14:paraId="5F149BAF" w14:textId="5D0BA75D" w:rsidR="00BD17DA" w:rsidRPr="00BD17DA" w:rsidRDefault="00DC06BB" w:rsidP="00BD17DA">
            <w:pPr>
              <w:rPr>
                <w:rFonts w:ascii="Calibri" w:eastAsia="Times New Roman" w:hAnsi="Calibri" w:cs="Calibri"/>
                <w:color w:val="000000"/>
                <w:kern w:val="0"/>
                <w:sz w:val="18"/>
                <w:szCs w:val="18"/>
                <w:lang w:eastAsia="pl-PL"/>
                <w14:ligatures w14:val="none"/>
              </w:rPr>
            </w:pPr>
            <w:r>
              <w:rPr>
                <w:rFonts w:ascii="Calibri" w:eastAsia="Times New Roman" w:hAnsi="Calibri" w:cs="Calibri"/>
                <w:color w:val="000000"/>
                <w:kern w:val="0"/>
                <w:sz w:val="18"/>
                <w:szCs w:val="18"/>
                <w:lang w:eastAsia="pl-PL"/>
                <w14:ligatures w14:val="none"/>
              </w:rPr>
              <w:t>P.</w:t>
            </w:r>
            <w:r w:rsidR="00BD17DA" w:rsidRPr="00BD17DA">
              <w:rPr>
                <w:rFonts w:ascii="Calibri" w:eastAsia="Times New Roman" w:hAnsi="Calibri" w:cs="Calibri"/>
                <w:color w:val="000000"/>
                <w:kern w:val="0"/>
                <w:sz w:val="18"/>
                <w:szCs w:val="18"/>
                <w:lang w:eastAsia="pl-PL"/>
                <w14:ligatures w14:val="none"/>
              </w:rPr>
              <w:t>1.2</w:t>
            </w:r>
            <w:r w:rsidR="00BD17DA">
              <w:rPr>
                <w:rFonts w:ascii="Calibri" w:eastAsia="Times New Roman" w:hAnsi="Calibri" w:cs="Calibri"/>
                <w:color w:val="000000"/>
                <w:kern w:val="0"/>
                <w:sz w:val="18"/>
                <w:szCs w:val="18"/>
                <w:lang w:eastAsia="pl-PL"/>
                <w14:ligatures w14:val="none"/>
              </w:rPr>
              <w:t xml:space="preserve"> </w:t>
            </w:r>
            <w:r w:rsidR="00BD17DA" w:rsidRPr="00BD17DA">
              <w:rPr>
                <w:rFonts w:ascii="Calibri" w:eastAsia="Times New Roman" w:hAnsi="Calibri" w:cs="Calibri"/>
                <w:color w:val="000000"/>
                <w:kern w:val="0"/>
                <w:sz w:val="18"/>
                <w:szCs w:val="18"/>
                <w:lang w:eastAsia="pl-PL"/>
                <w14:ligatures w14:val="none"/>
              </w:rPr>
              <w:t>Poprawa dostępu do małej infrastruktury publicznej</w:t>
            </w:r>
          </w:p>
        </w:tc>
        <w:tc>
          <w:tcPr>
            <w:tcW w:w="3760" w:type="dxa"/>
            <w:tcBorders>
              <w:top w:val="nil"/>
              <w:left w:val="nil"/>
              <w:bottom w:val="single" w:sz="4" w:space="0" w:color="auto"/>
              <w:right w:val="single" w:sz="4" w:space="0" w:color="auto"/>
            </w:tcBorders>
            <w:shd w:val="clear" w:color="auto" w:fill="auto"/>
            <w:vAlign w:val="center"/>
            <w:hideMark/>
          </w:tcPr>
          <w:p w14:paraId="34A55FDE" w14:textId="27B2C1F1" w:rsidR="00BD17DA" w:rsidRPr="00BD17DA" w:rsidRDefault="00BD17DA" w:rsidP="000F12A0">
            <w:pPr>
              <w:jc w:val="center"/>
              <w:rPr>
                <w:rFonts w:ascii="Calibri" w:eastAsia="Times New Roman" w:hAnsi="Calibri" w:cs="Calibri"/>
                <w:color w:val="000000"/>
                <w:kern w:val="0"/>
                <w:sz w:val="18"/>
                <w:szCs w:val="18"/>
                <w:lang w:eastAsia="pl-PL"/>
                <w14:ligatures w14:val="none"/>
              </w:rPr>
            </w:pPr>
            <w:r w:rsidRPr="00BD17DA">
              <w:rPr>
                <w:rFonts w:ascii="Calibri" w:eastAsia="Times New Roman" w:hAnsi="Calibri" w:cs="Calibri"/>
                <w:color w:val="000000"/>
                <w:kern w:val="0"/>
                <w:sz w:val="18"/>
                <w:szCs w:val="18"/>
                <w:lang w:eastAsia="pl-PL"/>
                <w14:ligatures w14:val="none"/>
              </w:rPr>
              <w:t>mieszkańcy, turyści</w:t>
            </w:r>
          </w:p>
        </w:tc>
        <w:tc>
          <w:tcPr>
            <w:tcW w:w="3620" w:type="dxa"/>
            <w:gridSpan w:val="2"/>
            <w:tcBorders>
              <w:top w:val="single" w:sz="4" w:space="0" w:color="auto"/>
              <w:left w:val="nil"/>
              <w:bottom w:val="single" w:sz="4" w:space="0" w:color="auto"/>
              <w:right w:val="single" w:sz="4" w:space="0" w:color="000000"/>
            </w:tcBorders>
            <w:shd w:val="clear" w:color="auto" w:fill="auto"/>
            <w:vAlign w:val="center"/>
            <w:hideMark/>
          </w:tcPr>
          <w:p w14:paraId="475BA994" w14:textId="77777777" w:rsidR="00BD17DA" w:rsidRPr="00BD17DA" w:rsidRDefault="00BD17DA" w:rsidP="00BD17DA">
            <w:pPr>
              <w:jc w:val="center"/>
              <w:rPr>
                <w:rFonts w:ascii="Calibri" w:eastAsia="Times New Roman" w:hAnsi="Calibri" w:cs="Calibri"/>
                <w:kern w:val="0"/>
                <w:sz w:val="20"/>
                <w:szCs w:val="20"/>
                <w:lang w:eastAsia="pl-PL"/>
                <w14:ligatures w14:val="none"/>
              </w:rPr>
            </w:pPr>
            <w:r w:rsidRPr="00BD17DA">
              <w:rPr>
                <w:rFonts w:ascii="Calibri" w:eastAsia="Times New Roman" w:hAnsi="Calibri" w:cs="Calibri"/>
                <w:kern w:val="0"/>
                <w:sz w:val="20"/>
                <w:szCs w:val="20"/>
                <w:lang w:eastAsia="pl-PL"/>
                <w14:ligatures w14:val="none"/>
              </w:rPr>
              <w:t xml:space="preserve">konkursy </w:t>
            </w:r>
          </w:p>
        </w:tc>
        <w:tc>
          <w:tcPr>
            <w:tcW w:w="36" w:type="dxa"/>
            <w:vAlign w:val="center"/>
            <w:hideMark/>
          </w:tcPr>
          <w:p w14:paraId="22857C1E" w14:textId="77777777" w:rsidR="00BD17DA" w:rsidRPr="00BD17DA" w:rsidRDefault="00BD17DA" w:rsidP="00BD17DA">
            <w:pPr>
              <w:rPr>
                <w:rFonts w:ascii="Times New Roman" w:eastAsia="Times New Roman" w:hAnsi="Times New Roman" w:cs="Times New Roman"/>
                <w:kern w:val="0"/>
                <w:sz w:val="20"/>
                <w:szCs w:val="20"/>
                <w:lang w:eastAsia="pl-PL"/>
                <w14:ligatures w14:val="none"/>
              </w:rPr>
            </w:pPr>
          </w:p>
        </w:tc>
      </w:tr>
      <w:tr w:rsidR="00DC06BB" w:rsidRPr="00BD17DA" w14:paraId="4FF64273" w14:textId="77777777" w:rsidTr="00BD17DA">
        <w:trPr>
          <w:trHeight w:val="705"/>
        </w:trPr>
        <w:tc>
          <w:tcPr>
            <w:tcW w:w="1420" w:type="dxa"/>
            <w:tcBorders>
              <w:top w:val="nil"/>
              <w:left w:val="single" w:sz="4" w:space="0" w:color="auto"/>
              <w:bottom w:val="single" w:sz="4" w:space="0" w:color="auto"/>
              <w:right w:val="single" w:sz="4" w:space="0" w:color="auto"/>
            </w:tcBorders>
            <w:shd w:val="clear" w:color="auto" w:fill="auto"/>
            <w:vAlign w:val="center"/>
          </w:tcPr>
          <w:p w14:paraId="09933045" w14:textId="790E2531" w:rsidR="00DC06BB" w:rsidRPr="000B514D" w:rsidRDefault="00255B73" w:rsidP="00BD17DA">
            <w:pPr>
              <w:jc w:val="right"/>
              <w:rPr>
                <w:rFonts w:ascii="Calibri" w:eastAsia="Times New Roman" w:hAnsi="Calibri" w:cs="Calibri"/>
                <w:kern w:val="0"/>
                <w:sz w:val="18"/>
                <w:szCs w:val="18"/>
                <w:lang w:eastAsia="pl-PL"/>
                <w14:ligatures w14:val="none"/>
              </w:rPr>
            </w:pPr>
            <w:r w:rsidRPr="000B514D">
              <w:rPr>
                <w:rFonts w:ascii="Calibri" w:eastAsia="Times New Roman" w:hAnsi="Calibri" w:cs="Calibri"/>
                <w:kern w:val="0"/>
                <w:sz w:val="18"/>
                <w:szCs w:val="18"/>
                <w:lang w:eastAsia="pl-PL"/>
                <w14:ligatures w14:val="none"/>
              </w:rPr>
              <w:t>448</w:t>
            </w:r>
            <w:r w:rsidR="00DC06BB" w:rsidRPr="000B514D">
              <w:rPr>
                <w:rFonts w:ascii="Calibri" w:eastAsia="Times New Roman" w:hAnsi="Calibri" w:cs="Calibri"/>
                <w:kern w:val="0"/>
                <w:sz w:val="18"/>
                <w:szCs w:val="18"/>
                <w:lang w:eastAsia="pl-PL"/>
                <w14:ligatures w14:val="none"/>
              </w:rPr>
              <w:t xml:space="preserve"> 000</w:t>
            </w:r>
          </w:p>
        </w:tc>
        <w:tc>
          <w:tcPr>
            <w:tcW w:w="4940" w:type="dxa"/>
            <w:gridSpan w:val="2"/>
            <w:tcBorders>
              <w:top w:val="single" w:sz="4" w:space="0" w:color="auto"/>
              <w:left w:val="nil"/>
              <w:bottom w:val="single" w:sz="4" w:space="0" w:color="auto"/>
              <w:right w:val="single" w:sz="4" w:space="0" w:color="000000"/>
            </w:tcBorders>
            <w:shd w:val="clear" w:color="auto" w:fill="auto"/>
            <w:vAlign w:val="center"/>
          </w:tcPr>
          <w:p w14:paraId="6EAF6DCD" w14:textId="33430077" w:rsidR="00DC06BB" w:rsidRPr="000B514D" w:rsidRDefault="00DC06BB" w:rsidP="00BD17DA">
            <w:pPr>
              <w:rPr>
                <w:rFonts w:ascii="Calibri" w:eastAsia="Times New Roman" w:hAnsi="Calibri" w:cs="Calibri"/>
                <w:kern w:val="0"/>
                <w:sz w:val="18"/>
                <w:szCs w:val="18"/>
                <w:lang w:eastAsia="pl-PL"/>
                <w14:ligatures w14:val="none"/>
              </w:rPr>
            </w:pPr>
            <w:r w:rsidRPr="000B514D">
              <w:rPr>
                <w:rFonts w:ascii="Calibri" w:eastAsia="Times New Roman" w:hAnsi="Calibri" w:cs="Calibri"/>
                <w:kern w:val="0"/>
                <w:sz w:val="18"/>
                <w:szCs w:val="18"/>
                <w:lang w:eastAsia="pl-PL"/>
                <w14:ligatures w14:val="none"/>
              </w:rPr>
              <w:t>P.1.2 Poprawa dostępu do małej infrastruktury publicznej</w:t>
            </w:r>
          </w:p>
        </w:tc>
        <w:tc>
          <w:tcPr>
            <w:tcW w:w="3760" w:type="dxa"/>
            <w:tcBorders>
              <w:top w:val="nil"/>
              <w:left w:val="nil"/>
              <w:bottom w:val="single" w:sz="4" w:space="0" w:color="auto"/>
              <w:right w:val="single" w:sz="4" w:space="0" w:color="auto"/>
            </w:tcBorders>
            <w:shd w:val="clear" w:color="auto" w:fill="auto"/>
            <w:vAlign w:val="center"/>
          </w:tcPr>
          <w:p w14:paraId="5B144E27" w14:textId="7381A84A" w:rsidR="00DC06BB" w:rsidRPr="00BD17DA" w:rsidRDefault="000F12A0" w:rsidP="00BD17DA">
            <w:pPr>
              <w:jc w:val="center"/>
              <w:rPr>
                <w:rFonts w:ascii="Calibri" w:eastAsia="Times New Roman" w:hAnsi="Calibri" w:cs="Calibri"/>
                <w:color w:val="000000"/>
                <w:kern w:val="0"/>
                <w:sz w:val="18"/>
                <w:szCs w:val="18"/>
                <w:lang w:eastAsia="pl-PL"/>
                <w14:ligatures w14:val="none"/>
              </w:rPr>
            </w:pPr>
            <w:r w:rsidRPr="000F12A0">
              <w:rPr>
                <w:rFonts w:ascii="Calibri" w:eastAsia="Times New Roman" w:hAnsi="Calibri" w:cs="Calibri"/>
                <w:color w:val="000000"/>
                <w:kern w:val="0"/>
                <w:sz w:val="18"/>
                <w:szCs w:val="18"/>
                <w:lang w:eastAsia="pl-PL"/>
                <w14:ligatures w14:val="none"/>
              </w:rPr>
              <w:t>mieszkańcy, turyści</w:t>
            </w:r>
          </w:p>
        </w:tc>
        <w:tc>
          <w:tcPr>
            <w:tcW w:w="3620" w:type="dxa"/>
            <w:gridSpan w:val="2"/>
            <w:tcBorders>
              <w:top w:val="single" w:sz="4" w:space="0" w:color="auto"/>
              <w:left w:val="nil"/>
              <w:bottom w:val="single" w:sz="4" w:space="0" w:color="auto"/>
              <w:right w:val="single" w:sz="4" w:space="0" w:color="000000"/>
            </w:tcBorders>
            <w:shd w:val="clear" w:color="auto" w:fill="auto"/>
            <w:vAlign w:val="center"/>
          </w:tcPr>
          <w:p w14:paraId="35071199" w14:textId="00005864" w:rsidR="00DC06BB" w:rsidRPr="00BD17DA" w:rsidRDefault="00DC06BB" w:rsidP="00BD17DA">
            <w:pPr>
              <w:jc w:val="center"/>
              <w:rPr>
                <w:rFonts w:ascii="Calibri" w:eastAsia="Times New Roman" w:hAnsi="Calibri" w:cs="Calibri"/>
                <w:kern w:val="0"/>
                <w:sz w:val="20"/>
                <w:szCs w:val="20"/>
                <w:lang w:eastAsia="pl-PL"/>
                <w14:ligatures w14:val="none"/>
              </w:rPr>
            </w:pPr>
            <w:r>
              <w:rPr>
                <w:rFonts w:ascii="Calibri" w:eastAsia="Times New Roman" w:hAnsi="Calibri" w:cs="Calibri"/>
                <w:kern w:val="0"/>
                <w:sz w:val="20"/>
                <w:szCs w:val="20"/>
                <w:lang w:eastAsia="pl-PL"/>
                <w14:ligatures w14:val="none"/>
              </w:rPr>
              <w:t>konkursy</w:t>
            </w:r>
          </w:p>
        </w:tc>
        <w:tc>
          <w:tcPr>
            <w:tcW w:w="36" w:type="dxa"/>
            <w:vAlign w:val="center"/>
          </w:tcPr>
          <w:p w14:paraId="6B3AF5D8" w14:textId="77777777" w:rsidR="00DC06BB" w:rsidRPr="00BD17DA" w:rsidRDefault="00DC06BB" w:rsidP="00BD17DA">
            <w:pPr>
              <w:rPr>
                <w:rFonts w:ascii="Times New Roman" w:eastAsia="Times New Roman" w:hAnsi="Times New Roman" w:cs="Times New Roman"/>
                <w:kern w:val="0"/>
                <w:sz w:val="20"/>
                <w:szCs w:val="20"/>
                <w:lang w:eastAsia="pl-PL"/>
                <w14:ligatures w14:val="none"/>
              </w:rPr>
            </w:pPr>
          </w:p>
        </w:tc>
      </w:tr>
      <w:tr w:rsidR="00BD17DA" w:rsidRPr="00BD17DA" w14:paraId="2D92BE34" w14:textId="77777777" w:rsidTr="00BD17DA">
        <w:trPr>
          <w:trHeight w:val="705"/>
        </w:trPr>
        <w:tc>
          <w:tcPr>
            <w:tcW w:w="1420" w:type="dxa"/>
            <w:tcBorders>
              <w:top w:val="nil"/>
              <w:left w:val="single" w:sz="4" w:space="0" w:color="auto"/>
              <w:bottom w:val="single" w:sz="4" w:space="0" w:color="auto"/>
              <w:right w:val="single" w:sz="4" w:space="0" w:color="auto"/>
            </w:tcBorders>
            <w:shd w:val="clear" w:color="auto" w:fill="auto"/>
            <w:vAlign w:val="center"/>
            <w:hideMark/>
          </w:tcPr>
          <w:p w14:paraId="2B59E0F1" w14:textId="79D3E481" w:rsidR="00C84953" w:rsidRPr="00C84953" w:rsidRDefault="00C84953" w:rsidP="00C406F6">
            <w:pPr>
              <w:jc w:val="right"/>
              <w:rPr>
                <w:rFonts w:ascii="Calibri" w:eastAsia="Times New Roman" w:hAnsi="Calibri" w:cs="Calibri"/>
                <w:strike/>
                <w:color w:val="000000"/>
                <w:kern w:val="0"/>
                <w:sz w:val="18"/>
                <w:szCs w:val="18"/>
                <w:lang w:eastAsia="pl-PL"/>
                <w14:ligatures w14:val="none"/>
              </w:rPr>
            </w:pPr>
            <w:r w:rsidRPr="00C406F6">
              <w:rPr>
                <w:rFonts w:ascii="Calibri" w:eastAsia="Times New Roman" w:hAnsi="Calibri" w:cs="Calibri"/>
                <w:kern w:val="0"/>
                <w:sz w:val="18"/>
                <w:szCs w:val="18"/>
                <w:lang w:eastAsia="pl-PL"/>
                <w14:ligatures w14:val="none"/>
              </w:rPr>
              <w:t>357 046</w:t>
            </w:r>
          </w:p>
        </w:tc>
        <w:tc>
          <w:tcPr>
            <w:tcW w:w="4940" w:type="dxa"/>
            <w:gridSpan w:val="2"/>
            <w:tcBorders>
              <w:top w:val="nil"/>
              <w:left w:val="nil"/>
              <w:bottom w:val="single" w:sz="4" w:space="0" w:color="auto"/>
              <w:right w:val="single" w:sz="4" w:space="0" w:color="000000"/>
            </w:tcBorders>
            <w:shd w:val="clear" w:color="auto" w:fill="auto"/>
            <w:vAlign w:val="center"/>
            <w:hideMark/>
          </w:tcPr>
          <w:p w14:paraId="32174C9A" w14:textId="2315E6A1" w:rsidR="00BD17DA" w:rsidRPr="00BD17DA" w:rsidRDefault="00063FE6" w:rsidP="00BD17DA">
            <w:pPr>
              <w:rPr>
                <w:rFonts w:ascii="Calibri" w:eastAsia="Times New Roman" w:hAnsi="Calibri" w:cs="Calibri"/>
                <w:color w:val="000000"/>
                <w:kern w:val="0"/>
                <w:sz w:val="18"/>
                <w:szCs w:val="18"/>
                <w:lang w:eastAsia="pl-PL"/>
                <w14:ligatures w14:val="none"/>
              </w:rPr>
            </w:pPr>
            <w:r>
              <w:rPr>
                <w:rFonts w:ascii="Calibri" w:eastAsia="Times New Roman" w:hAnsi="Calibri" w:cs="Calibri"/>
                <w:color w:val="000000"/>
                <w:kern w:val="0"/>
                <w:sz w:val="18"/>
                <w:szCs w:val="18"/>
                <w:lang w:eastAsia="pl-PL"/>
                <w14:ligatures w14:val="none"/>
              </w:rPr>
              <w:t>P.</w:t>
            </w:r>
            <w:r w:rsidR="00BD17DA" w:rsidRPr="00BD17DA">
              <w:rPr>
                <w:rFonts w:ascii="Calibri" w:eastAsia="Times New Roman" w:hAnsi="Calibri" w:cs="Calibri"/>
                <w:color w:val="000000"/>
                <w:kern w:val="0"/>
                <w:sz w:val="18"/>
                <w:szCs w:val="18"/>
                <w:lang w:eastAsia="pl-PL"/>
                <w14:ligatures w14:val="none"/>
              </w:rPr>
              <w:t>1.3 Ochrona dziedzictwa kulturowego lub przyrodniczego polskiej wsi</w:t>
            </w:r>
          </w:p>
        </w:tc>
        <w:tc>
          <w:tcPr>
            <w:tcW w:w="3760" w:type="dxa"/>
            <w:tcBorders>
              <w:top w:val="nil"/>
              <w:left w:val="nil"/>
              <w:bottom w:val="nil"/>
              <w:right w:val="nil"/>
            </w:tcBorders>
            <w:shd w:val="clear" w:color="auto" w:fill="auto"/>
            <w:vAlign w:val="bottom"/>
            <w:hideMark/>
          </w:tcPr>
          <w:p w14:paraId="42E27B9F" w14:textId="77777777" w:rsidR="00BD17DA" w:rsidRPr="00BD17DA" w:rsidRDefault="00BD17DA" w:rsidP="00BD17DA">
            <w:pPr>
              <w:jc w:val="center"/>
              <w:rPr>
                <w:rFonts w:ascii="Calibri" w:eastAsia="Times New Roman" w:hAnsi="Calibri" w:cs="Calibri"/>
                <w:color w:val="000000"/>
                <w:kern w:val="0"/>
                <w:sz w:val="18"/>
                <w:szCs w:val="18"/>
                <w:lang w:eastAsia="pl-PL"/>
                <w14:ligatures w14:val="none"/>
              </w:rPr>
            </w:pPr>
            <w:r w:rsidRPr="00BD17DA">
              <w:rPr>
                <w:rFonts w:ascii="Calibri" w:eastAsia="Times New Roman" w:hAnsi="Calibri" w:cs="Calibri"/>
                <w:color w:val="000000"/>
                <w:kern w:val="0"/>
                <w:sz w:val="18"/>
                <w:szCs w:val="18"/>
                <w:lang w:eastAsia="pl-PL"/>
                <w14:ligatures w14:val="none"/>
              </w:rPr>
              <w:t>mieszkańcy, organizacje pozarządowe, jednostki samorządu terytorialnego, parafie</w:t>
            </w:r>
          </w:p>
        </w:tc>
        <w:tc>
          <w:tcPr>
            <w:tcW w:w="36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AD6E23" w14:textId="77777777" w:rsidR="00BD17DA" w:rsidRPr="00BD17DA" w:rsidRDefault="00BD17DA" w:rsidP="00BD17DA">
            <w:pPr>
              <w:jc w:val="center"/>
              <w:rPr>
                <w:rFonts w:ascii="Calibri" w:eastAsia="Times New Roman" w:hAnsi="Calibri" w:cs="Calibri"/>
                <w:kern w:val="0"/>
                <w:sz w:val="18"/>
                <w:szCs w:val="18"/>
                <w:lang w:eastAsia="pl-PL"/>
                <w14:ligatures w14:val="none"/>
              </w:rPr>
            </w:pPr>
            <w:r w:rsidRPr="00BD17DA">
              <w:rPr>
                <w:rFonts w:ascii="Calibri" w:eastAsia="Times New Roman" w:hAnsi="Calibri" w:cs="Calibri"/>
                <w:kern w:val="0"/>
                <w:sz w:val="18"/>
                <w:szCs w:val="18"/>
                <w:lang w:eastAsia="pl-PL"/>
                <w14:ligatures w14:val="none"/>
              </w:rPr>
              <w:t>konkursy</w:t>
            </w:r>
          </w:p>
        </w:tc>
        <w:tc>
          <w:tcPr>
            <w:tcW w:w="36" w:type="dxa"/>
            <w:vAlign w:val="center"/>
            <w:hideMark/>
          </w:tcPr>
          <w:p w14:paraId="6966F35A" w14:textId="77777777" w:rsidR="00BD17DA" w:rsidRPr="00BD17DA" w:rsidRDefault="00BD17DA" w:rsidP="00BD17DA">
            <w:pPr>
              <w:rPr>
                <w:rFonts w:ascii="Times New Roman" w:eastAsia="Times New Roman" w:hAnsi="Times New Roman" w:cs="Times New Roman"/>
                <w:kern w:val="0"/>
                <w:sz w:val="20"/>
                <w:szCs w:val="20"/>
                <w:lang w:eastAsia="pl-PL"/>
                <w14:ligatures w14:val="none"/>
              </w:rPr>
            </w:pPr>
          </w:p>
        </w:tc>
      </w:tr>
      <w:tr w:rsidR="00BD17DA" w:rsidRPr="00BD17DA" w14:paraId="65F44E2B" w14:textId="77777777" w:rsidTr="00BD17DA">
        <w:trPr>
          <w:trHeight w:val="960"/>
        </w:trPr>
        <w:tc>
          <w:tcPr>
            <w:tcW w:w="1420" w:type="dxa"/>
            <w:tcBorders>
              <w:top w:val="nil"/>
              <w:left w:val="single" w:sz="4" w:space="0" w:color="auto"/>
              <w:bottom w:val="single" w:sz="4" w:space="0" w:color="auto"/>
              <w:right w:val="single" w:sz="4" w:space="0" w:color="auto"/>
            </w:tcBorders>
            <w:shd w:val="clear" w:color="auto" w:fill="auto"/>
            <w:vAlign w:val="center"/>
            <w:hideMark/>
          </w:tcPr>
          <w:p w14:paraId="7197AA0D" w14:textId="0A0655FB" w:rsidR="00C84953" w:rsidRPr="00C84953" w:rsidRDefault="00C84953" w:rsidP="00BD17DA">
            <w:pPr>
              <w:jc w:val="right"/>
              <w:rPr>
                <w:rFonts w:ascii="Calibri" w:eastAsia="Times New Roman" w:hAnsi="Calibri" w:cs="Calibri"/>
                <w:strike/>
                <w:color w:val="000000"/>
                <w:kern w:val="0"/>
                <w:sz w:val="18"/>
                <w:szCs w:val="18"/>
                <w:lang w:eastAsia="pl-PL"/>
                <w14:ligatures w14:val="none"/>
              </w:rPr>
            </w:pPr>
            <w:r w:rsidRPr="00C406F6">
              <w:rPr>
                <w:rFonts w:ascii="Calibri" w:eastAsia="Times New Roman" w:hAnsi="Calibri" w:cs="Calibri"/>
                <w:kern w:val="0"/>
                <w:sz w:val="18"/>
                <w:szCs w:val="18"/>
                <w:lang w:eastAsia="pl-PL"/>
                <w14:ligatures w14:val="none"/>
              </w:rPr>
              <w:t>118 000</w:t>
            </w:r>
          </w:p>
        </w:tc>
        <w:tc>
          <w:tcPr>
            <w:tcW w:w="4940" w:type="dxa"/>
            <w:gridSpan w:val="2"/>
            <w:tcBorders>
              <w:top w:val="single" w:sz="4" w:space="0" w:color="auto"/>
              <w:left w:val="nil"/>
              <w:bottom w:val="single" w:sz="4" w:space="0" w:color="auto"/>
              <w:right w:val="single" w:sz="4" w:space="0" w:color="000000"/>
            </w:tcBorders>
            <w:shd w:val="clear" w:color="auto" w:fill="auto"/>
            <w:vAlign w:val="center"/>
            <w:hideMark/>
          </w:tcPr>
          <w:p w14:paraId="6263BAC5" w14:textId="3FFDF13D" w:rsidR="00BD17DA" w:rsidRPr="00BD17DA" w:rsidRDefault="00063FE6" w:rsidP="00BD17DA">
            <w:pPr>
              <w:rPr>
                <w:rFonts w:ascii="Calibri" w:eastAsia="Times New Roman" w:hAnsi="Calibri" w:cs="Calibri"/>
                <w:color w:val="000000"/>
                <w:kern w:val="0"/>
                <w:sz w:val="18"/>
                <w:szCs w:val="18"/>
                <w:lang w:eastAsia="pl-PL"/>
                <w14:ligatures w14:val="none"/>
              </w:rPr>
            </w:pPr>
            <w:r>
              <w:rPr>
                <w:rFonts w:ascii="Calibri" w:eastAsia="Times New Roman" w:hAnsi="Calibri" w:cs="Calibri"/>
                <w:color w:val="000000"/>
                <w:kern w:val="0"/>
                <w:sz w:val="18"/>
                <w:szCs w:val="18"/>
                <w:lang w:eastAsia="pl-PL"/>
                <w14:ligatures w14:val="none"/>
              </w:rPr>
              <w:t>P.</w:t>
            </w:r>
            <w:r w:rsidR="00BD17DA" w:rsidRPr="00BD17DA">
              <w:rPr>
                <w:rFonts w:ascii="Calibri" w:eastAsia="Times New Roman" w:hAnsi="Calibri" w:cs="Calibri"/>
                <w:color w:val="000000"/>
                <w:kern w:val="0"/>
                <w:sz w:val="18"/>
                <w:szCs w:val="18"/>
                <w:lang w:eastAsia="pl-PL"/>
                <w14:ligatures w14:val="none"/>
              </w:rPr>
              <w:t>1.4. Aktywizacja i włączenie społeczne lokalnej społeczności, w tym seniorów, ludzi młodych lub osób w niekorzystnej sytuacji</w:t>
            </w:r>
          </w:p>
        </w:tc>
        <w:tc>
          <w:tcPr>
            <w:tcW w:w="3760" w:type="dxa"/>
            <w:tcBorders>
              <w:top w:val="single" w:sz="4" w:space="0" w:color="auto"/>
              <w:left w:val="nil"/>
              <w:bottom w:val="single" w:sz="4" w:space="0" w:color="auto"/>
              <w:right w:val="single" w:sz="4" w:space="0" w:color="auto"/>
            </w:tcBorders>
            <w:shd w:val="clear" w:color="auto" w:fill="auto"/>
            <w:vAlign w:val="center"/>
            <w:hideMark/>
          </w:tcPr>
          <w:p w14:paraId="2700EFC2" w14:textId="77777777" w:rsidR="00BD17DA" w:rsidRPr="00BD17DA" w:rsidRDefault="00BD17DA" w:rsidP="00BD17DA">
            <w:pPr>
              <w:jc w:val="center"/>
              <w:rPr>
                <w:rFonts w:ascii="Calibri" w:eastAsia="Times New Roman" w:hAnsi="Calibri" w:cs="Calibri"/>
                <w:color w:val="000000"/>
                <w:kern w:val="0"/>
                <w:sz w:val="18"/>
                <w:szCs w:val="18"/>
                <w:lang w:eastAsia="pl-PL"/>
                <w14:ligatures w14:val="none"/>
              </w:rPr>
            </w:pPr>
            <w:r w:rsidRPr="00BD17DA">
              <w:rPr>
                <w:rFonts w:ascii="Calibri" w:eastAsia="Times New Roman" w:hAnsi="Calibri" w:cs="Calibri"/>
                <w:color w:val="000000"/>
                <w:kern w:val="0"/>
                <w:sz w:val="18"/>
                <w:szCs w:val="18"/>
                <w:lang w:eastAsia="pl-PL"/>
                <w14:ligatures w14:val="none"/>
              </w:rPr>
              <w:t>mieszkańcy, organizacje pozarządowe, przedsiębiorcy, jednostki samorządu terytorialnego</w:t>
            </w:r>
          </w:p>
        </w:tc>
        <w:tc>
          <w:tcPr>
            <w:tcW w:w="36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9FAB74C" w14:textId="7F533A57" w:rsidR="00BD17DA" w:rsidRPr="00BD17DA" w:rsidRDefault="003229AA" w:rsidP="00BD17DA">
            <w:pPr>
              <w:jc w:val="center"/>
              <w:rPr>
                <w:rFonts w:ascii="Calibri" w:eastAsia="Times New Roman" w:hAnsi="Calibri" w:cs="Calibri"/>
                <w:kern w:val="0"/>
                <w:sz w:val="20"/>
                <w:szCs w:val="20"/>
                <w:lang w:eastAsia="pl-PL"/>
                <w14:ligatures w14:val="none"/>
              </w:rPr>
            </w:pPr>
            <w:r w:rsidRPr="00C6441B">
              <w:rPr>
                <w:rFonts w:ascii="Calibri" w:eastAsia="Times New Roman" w:hAnsi="Calibri" w:cs="Calibri"/>
                <w:kern w:val="0"/>
                <w:sz w:val="20"/>
                <w:szCs w:val="20"/>
                <w:lang w:eastAsia="pl-PL"/>
                <w14:ligatures w14:val="none"/>
              </w:rPr>
              <w:t xml:space="preserve">granty, </w:t>
            </w:r>
            <w:r w:rsidR="00BD17DA" w:rsidRPr="00BD17DA">
              <w:rPr>
                <w:rFonts w:ascii="Calibri" w:eastAsia="Times New Roman" w:hAnsi="Calibri" w:cs="Calibri"/>
                <w:kern w:val="0"/>
                <w:sz w:val="20"/>
                <w:szCs w:val="20"/>
                <w:lang w:eastAsia="pl-PL"/>
                <w14:ligatures w14:val="none"/>
              </w:rPr>
              <w:t>konkursy, operacje własne</w:t>
            </w:r>
          </w:p>
        </w:tc>
        <w:tc>
          <w:tcPr>
            <w:tcW w:w="36" w:type="dxa"/>
            <w:vAlign w:val="center"/>
            <w:hideMark/>
          </w:tcPr>
          <w:p w14:paraId="5256C5EF" w14:textId="77777777" w:rsidR="00BD17DA" w:rsidRPr="00BD17DA" w:rsidRDefault="00BD17DA" w:rsidP="00BD17DA">
            <w:pPr>
              <w:rPr>
                <w:rFonts w:ascii="Times New Roman" w:eastAsia="Times New Roman" w:hAnsi="Times New Roman" w:cs="Times New Roman"/>
                <w:kern w:val="0"/>
                <w:sz w:val="20"/>
                <w:szCs w:val="20"/>
                <w:lang w:eastAsia="pl-PL"/>
                <w14:ligatures w14:val="none"/>
              </w:rPr>
            </w:pPr>
          </w:p>
        </w:tc>
      </w:tr>
      <w:tr w:rsidR="00BD17DA" w:rsidRPr="00BD17DA" w14:paraId="37C7ABC3" w14:textId="77777777" w:rsidTr="00BD17DA">
        <w:trPr>
          <w:trHeight w:val="1035"/>
        </w:trPr>
        <w:tc>
          <w:tcPr>
            <w:tcW w:w="1420" w:type="dxa"/>
            <w:tcBorders>
              <w:top w:val="nil"/>
              <w:left w:val="single" w:sz="4" w:space="0" w:color="auto"/>
              <w:bottom w:val="single" w:sz="4" w:space="0" w:color="auto"/>
              <w:right w:val="single" w:sz="4" w:space="0" w:color="auto"/>
            </w:tcBorders>
            <w:shd w:val="clear" w:color="auto" w:fill="auto"/>
            <w:vAlign w:val="center"/>
            <w:hideMark/>
          </w:tcPr>
          <w:p w14:paraId="6867BA7C" w14:textId="1FC0AF64" w:rsidR="00C84953" w:rsidRPr="00C84953" w:rsidRDefault="00C84953" w:rsidP="00BD17DA">
            <w:pPr>
              <w:jc w:val="right"/>
              <w:rPr>
                <w:rFonts w:ascii="Calibri" w:eastAsia="Times New Roman" w:hAnsi="Calibri" w:cs="Calibri"/>
                <w:color w:val="00B050"/>
                <w:kern w:val="0"/>
                <w:sz w:val="18"/>
                <w:szCs w:val="18"/>
                <w:lang w:eastAsia="pl-PL"/>
                <w14:ligatures w14:val="none"/>
              </w:rPr>
            </w:pPr>
            <w:r w:rsidRPr="00C406F6">
              <w:rPr>
                <w:rFonts w:ascii="Calibri" w:eastAsia="Times New Roman" w:hAnsi="Calibri" w:cs="Calibri"/>
                <w:kern w:val="0"/>
                <w:sz w:val="18"/>
                <w:szCs w:val="18"/>
                <w:lang w:eastAsia="pl-PL"/>
                <w14:ligatures w14:val="none"/>
              </w:rPr>
              <w:t>85 378</w:t>
            </w:r>
          </w:p>
        </w:tc>
        <w:tc>
          <w:tcPr>
            <w:tcW w:w="4940" w:type="dxa"/>
            <w:gridSpan w:val="2"/>
            <w:tcBorders>
              <w:top w:val="single" w:sz="4" w:space="0" w:color="auto"/>
              <w:left w:val="nil"/>
              <w:bottom w:val="single" w:sz="4" w:space="0" w:color="auto"/>
              <w:right w:val="single" w:sz="4" w:space="0" w:color="000000"/>
            </w:tcBorders>
            <w:shd w:val="clear" w:color="auto" w:fill="auto"/>
            <w:vAlign w:val="center"/>
            <w:hideMark/>
          </w:tcPr>
          <w:p w14:paraId="6E6A1257" w14:textId="3E2CEF40" w:rsidR="00BD17DA" w:rsidRPr="00BD17DA" w:rsidRDefault="00063FE6" w:rsidP="00BD17DA">
            <w:pPr>
              <w:rPr>
                <w:rFonts w:ascii="Calibri" w:eastAsia="Times New Roman" w:hAnsi="Calibri" w:cs="Calibri"/>
                <w:color w:val="000000"/>
                <w:kern w:val="0"/>
                <w:sz w:val="18"/>
                <w:szCs w:val="18"/>
                <w:lang w:eastAsia="pl-PL"/>
                <w14:ligatures w14:val="none"/>
              </w:rPr>
            </w:pPr>
            <w:r>
              <w:rPr>
                <w:rFonts w:ascii="Calibri" w:eastAsia="Times New Roman" w:hAnsi="Calibri" w:cs="Calibri"/>
                <w:color w:val="000000"/>
                <w:kern w:val="0"/>
                <w:sz w:val="18"/>
                <w:szCs w:val="18"/>
                <w:lang w:eastAsia="pl-PL"/>
                <w14:ligatures w14:val="none"/>
              </w:rPr>
              <w:t>P.</w:t>
            </w:r>
            <w:r w:rsidR="00BD17DA" w:rsidRPr="00BD17DA">
              <w:rPr>
                <w:rFonts w:ascii="Calibri" w:eastAsia="Times New Roman" w:hAnsi="Calibri" w:cs="Calibri"/>
                <w:color w:val="000000"/>
                <w:kern w:val="0"/>
                <w:sz w:val="18"/>
                <w:szCs w:val="18"/>
                <w:lang w:eastAsia="pl-PL"/>
                <w14:ligatures w14:val="none"/>
              </w:rPr>
              <w:t>1.5. Wspieranie partnerstwa, inicjatyw edukacyjnych i turystyki na obszarze LSR</w:t>
            </w:r>
          </w:p>
        </w:tc>
        <w:tc>
          <w:tcPr>
            <w:tcW w:w="3760" w:type="dxa"/>
            <w:tcBorders>
              <w:top w:val="nil"/>
              <w:left w:val="nil"/>
              <w:bottom w:val="single" w:sz="4" w:space="0" w:color="auto"/>
              <w:right w:val="single" w:sz="4" w:space="0" w:color="auto"/>
            </w:tcBorders>
            <w:shd w:val="clear" w:color="auto" w:fill="auto"/>
            <w:vAlign w:val="center"/>
            <w:hideMark/>
          </w:tcPr>
          <w:p w14:paraId="764E9800" w14:textId="77777777" w:rsidR="00BD17DA" w:rsidRPr="00BD17DA" w:rsidRDefault="00BD17DA" w:rsidP="00BD17DA">
            <w:pPr>
              <w:jc w:val="center"/>
              <w:rPr>
                <w:rFonts w:ascii="Calibri" w:eastAsia="Times New Roman" w:hAnsi="Calibri" w:cs="Calibri"/>
                <w:color w:val="000000"/>
                <w:kern w:val="0"/>
                <w:sz w:val="18"/>
                <w:szCs w:val="18"/>
                <w:lang w:eastAsia="pl-PL"/>
                <w14:ligatures w14:val="none"/>
              </w:rPr>
            </w:pPr>
            <w:r w:rsidRPr="00BD17DA">
              <w:rPr>
                <w:rFonts w:ascii="Calibri" w:eastAsia="Times New Roman" w:hAnsi="Calibri" w:cs="Calibri"/>
                <w:color w:val="000000"/>
                <w:kern w:val="0"/>
                <w:sz w:val="18"/>
                <w:szCs w:val="18"/>
                <w:lang w:eastAsia="pl-PL"/>
                <w14:ligatures w14:val="none"/>
              </w:rPr>
              <w:t>organizacje pozarządowe (w tym grupy nieformalne), przedsiębiorcy, jednostki samorządu terytorialnego</w:t>
            </w:r>
          </w:p>
        </w:tc>
        <w:tc>
          <w:tcPr>
            <w:tcW w:w="36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02A36B4" w14:textId="77777777" w:rsidR="00BD17DA" w:rsidRPr="00BD17DA" w:rsidRDefault="00BD17DA" w:rsidP="00BD17DA">
            <w:pPr>
              <w:jc w:val="center"/>
              <w:rPr>
                <w:rFonts w:ascii="Calibri" w:eastAsia="Times New Roman" w:hAnsi="Calibri" w:cs="Calibri"/>
                <w:kern w:val="0"/>
                <w:sz w:val="20"/>
                <w:szCs w:val="20"/>
                <w:lang w:eastAsia="pl-PL"/>
                <w14:ligatures w14:val="none"/>
              </w:rPr>
            </w:pPr>
            <w:r w:rsidRPr="00BD17DA">
              <w:rPr>
                <w:rFonts w:ascii="Calibri" w:eastAsia="Times New Roman" w:hAnsi="Calibri" w:cs="Calibri"/>
                <w:kern w:val="0"/>
                <w:sz w:val="20"/>
                <w:szCs w:val="20"/>
                <w:lang w:eastAsia="pl-PL"/>
                <w14:ligatures w14:val="none"/>
              </w:rPr>
              <w:t>konkursy</w:t>
            </w:r>
          </w:p>
        </w:tc>
        <w:tc>
          <w:tcPr>
            <w:tcW w:w="36" w:type="dxa"/>
            <w:vAlign w:val="center"/>
            <w:hideMark/>
          </w:tcPr>
          <w:p w14:paraId="2E81773A" w14:textId="77777777" w:rsidR="00BD17DA" w:rsidRPr="00BD17DA" w:rsidRDefault="00BD17DA" w:rsidP="00BD17DA">
            <w:pPr>
              <w:rPr>
                <w:rFonts w:ascii="Times New Roman" w:eastAsia="Times New Roman" w:hAnsi="Times New Roman" w:cs="Times New Roman"/>
                <w:kern w:val="0"/>
                <w:sz w:val="20"/>
                <w:szCs w:val="20"/>
                <w:lang w:eastAsia="pl-PL"/>
                <w14:ligatures w14:val="none"/>
              </w:rPr>
            </w:pPr>
          </w:p>
        </w:tc>
      </w:tr>
      <w:tr w:rsidR="00BD17DA" w:rsidRPr="00BD17DA" w14:paraId="6056B287" w14:textId="77777777" w:rsidTr="00BD17DA">
        <w:trPr>
          <w:trHeight w:val="705"/>
        </w:trPr>
        <w:tc>
          <w:tcPr>
            <w:tcW w:w="1420" w:type="dxa"/>
            <w:tcBorders>
              <w:top w:val="nil"/>
              <w:left w:val="single" w:sz="4" w:space="0" w:color="auto"/>
              <w:bottom w:val="single" w:sz="4" w:space="0" w:color="auto"/>
              <w:right w:val="single" w:sz="4" w:space="0" w:color="auto"/>
            </w:tcBorders>
            <w:shd w:val="clear" w:color="auto" w:fill="auto"/>
            <w:vAlign w:val="center"/>
            <w:hideMark/>
          </w:tcPr>
          <w:p w14:paraId="02151A75" w14:textId="5A0CC9C3" w:rsidR="00BD17DA" w:rsidRPr="00BD17DA" w:rsidRDefault="00C75E17" w:rsidP="00BD17DA">
            <w:pPr>
              <w:jc w:val="right"/>
              <w:rPr>
                <w:rFonts w:ascii="Calibri" w:eastAsia="Times New Roman" w:hAnsi="Calibri" w:cs="Calibri"/>
                <w:color w:val="000000"/>
                <w:kern w:val="0"/>
                <w:sz w:val="18"/>
                <w:szCs w:val="18"/>
                <w:lang w:eastAsia="pl-PL"/>
                <w14:ligatures w14:val="none"/>
              </w:rPr>
            </w:pPr>
            <w:r w:rsidRPr="000B514D">
              <w:rPr>
                <w:rFonts w:ascii="Calibri" w:eastAsia="Times New Roman" w:hAnsi="Calibri" w:cs="Calibri"/>
                <w:kern w:val="0"/>
                <w:sz w:val="18"/>
                <w:szCs w:val="18"/>
                <w:lang w:eastAsia="pl-PL"/>
                <w14:ligatures w14:val="none"/>
              </w:rPr>
              <w:t>673</w:t>
            </w:r>
            <w:r w:rsidR="00BD17DA" w:rsidRPr="000B514D">
              <w:rPr>
                <w:rFonts w:ascii="Calibri" w:eastAsia="Times New Roman" w:hAnsi="Calibri" w:cs="Calibri"/>
                <w:kern w:val="0"/>
                <w:sz w:val="18"/>
                <w:szCs w:val="18"/>
                <w:lang w:eastAsia="pl-PL"/>
                <w14:ligatures w14:val="none"/>
              </w:rPr>
              <w:t xml:space="preserve"> 000</w:t>
            </w:r>
          </w:p>
        </w:tc>
        <w:tc>
          <w:tcPr>
            <w:tcW w:w="4940" w:type="dxa"/>
            <w:gridSpan w:val="2"/>
            <w:tcBorders>
              <w:top w:val="nil"/>
              <w:left w:val="nil"/>
              <w:bottom w:val="single" w:sz="4" w:space="0" w:color="auto"/>
              <w:right w:val="single" w:sz="4" w:space="0" w:color="000000"/>
            </w:tcBorders>
            <w:shd w:val="clear" w:color="auto" w:fill="auto"/>
            <w:vAlign w:val="center"/>
            <w:hideMark/>
          </w:tcPr>
          <w:p w14:paraId="7EA499F8" w14:textId="149B64D5" w:rsidR="00BD17DA" w:rsidRPr="00BD17DA" w:rsidRDefault="00063FE6" w:rsidP="00BD17DA">
            <w:pPr>
              <w:rPr>
                <w:rFonts w:ascii="Calibri" w:eastAsia="Times New Roman" w:hAnsi="Calibri" w:cs="Calibri"/>
                <w:color w:val="000000"/>
                <w:kern w:val="0"/>
                <w:sz w:val="18"/>
                <w:szCs w:val="18"/>
                <w:lang w:eastAsia="pl-PL"/>
                <w14:ligatures w14:val="none"/>
              </w:rPr>
            </w:pPr>
            <w:r>
              <w:rPr>
                <w:rFonts w:ascii="Calibri" w:eastAsia="Times New Roman" w:hAnsi="Calibri" w:cs="Calibri"/>
                <w:color w:val="000000"/>
                <w:kern w:val="0"/>
                <w:sz w:val="18"/>
                <w:szCs w:val="18"/>
                <w:lang w:eastAsia="pl-PL"/>
                <w14:ligatures w14:val="none"/>
              </w:rPr>
              <w:t>P.</w:t>
            </w:r>
            <w:r w:rsidR="00BD17DA" w:rsidRPr="00BD17DA">
              <w:rPr>
                <w:rFonts w:ascii="Calibri" w:eastAsia="Times New Roman" w:hAnsi="Calibri" w:cs="Calibri"/>
                <w:color w:val="000000"/>
                <w:kern w:val="0"/>
                <w:sz w:val="18"/>
                <w:szCs w:val="18"/>
                <w:lang w:eastAsia="pl-PL"/>
                <w14:ligatures w14:val="none"/>
              </w:rPr>
              <w:t>1.6. Integracja społeczna na obszarach wiejskich</w:t>
            </w:r>
          </w:p>
        </w:tc>
        <w:tc>
          <w:tcPr>
            <w:tcW w:w="3760" w:type="dxa"/>
            <w:tcBorders>
              <w:top w:val="nil"/>
              <w:left w:val="nil"/>
              <w:bottom w:val="nil"/>
              <w:right w:val="nil"/>
            </w:tcBorders>
            <w:shd w:val="clear" w:color="auto" w:fill="auto"/>
            <w:vAlign w:val="bottom"/>
            <w:hideMark/>
          </w:tcPr>
          <w:p w14:paraId="0BB3CA64" w14:textId="77777777" w:rsidR="00BD17DA" w:rsidRPr="00BD17DA" w:rsidRDefault="00BD17DA" w:rsidP="00BD17DA">
            <w:pPr>
              <w:jc w:val="center"/>
              <w:rPr>
                <w:rFonts w:ascii="Calibri" w:eastAsia="Times New Roman" w:hAnsi="Calibri" w:cs="Calibri"/>
                <w:color w:val="000000"/>
                <w:kern w:val="0"/>
                <w:sz w:val="18"/>
                <w:szCs w:val="18"/>
                <w:lang w:eastAsia="pl-PL"/>
                <w14:ligatures w14:val="none"/>
              </w:rPr>
            </w:pPr>
            <w:r w:rsidRPr="00BD17DA">
              <w:rPr>
                <w:rFonts w:ascii="Calibri" w:eastAsia="Times New Roman" w:hAnsi="Calibri" w:cs="Calibri"/>
                <w:color w:val="000000"/>
                <w:kern w:val="0"/>
                <w:sz w:val="18"/>
                <w:szCs w:val="18"/>
                <w:lang w:eastAsia="pl-PL"/>
                <w14:ligatures w14:val="none"/>
              </w:rPr>
              <w:t>mieszkańcy, organizacje pozarządowe oraz grupy nieformalne</w:t>
            </w:r>
          </w:p>
        </w:tc>
        <w:tc>
          <w:tcPr>
            <w:tcW w:w="36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681C26" w14:textId="67B8CABA" w:rsidR="00BD17DA" w:rsidRPr="0012032D" w:rsidRDefault="00717EE9" w:rsidP="00BD17DA">
            <w:pPr>
              <w:jc w:val="center"/>
              <w:rPr>
                <w:rFonts w:ascii="Calibri" w:eastAsia="Times New Roman" w:hAnsi="Calibri" w:cs="Calibri"/>
                <w:color w:val="FF0000"/>
                <w:kern w:val="0"/>
                <w:sz w:val="18"/>
                <w:szCs w:val="18"/>
                <w:lang w:eastAsia="pl-PL"/>
                <w14:ligatures w14:val="none"/>
              </w:rPr>
            </w:pPr>
            <w:r w:rsidRPr="003229AA">
              <w:rPr>
                <w:rFonts w:ascii="Calibri" w:eastAsia="Times New Roman" w:hAnsi="Calibri" w:cs="Calibri"/>
                <w:kern w:val="0"/>
                <w:sz w:val="18"/>
                <w:szCs w:val="18"/>
                <w:lang w:eastAsia="pl-PL"/>
                <w14:ligatures w14:val="none"/>
              </w:rPr>
              <w:t>k</w:t>
            </w:r>
            <w:r w:rsidR="0012032D" w:rsidRPr="003229AA">
              <w:rPr>
                <w:rFonts w:ascii="Calibri" w:eastAsia="Times New Roman" w:hAnsi="Calibri" w:cs="Calibri"/>
                <w:kern w:val="0"/>
                <w:sz w:val="18"/>
                <w:szCs w:val="18"/>
                <w:lang w:eastAsia="pl-PL"/>
                <w14:ligatures w14:val="none"/>
              </w:rPr>
              <w:t>onkursy</w:t>
            </w:r>
          </w:p>
        </w:tc>
        <w:tc>
          <w:tcPr>
            <w:tcW w:w="36" w:type="dxa"/>
            <w:vAlign w:val="center"/>
            <w:hideMark/>
          </w:tcPr>
          <w:p w14:paraId="340C8BA9" w14:textId="77777777" w:rsidR="00BD17DA" w:rsidRPr="00BD17DA" w:rsidRDefault="00BD17DA" w:rsidP="00BD17DA">
            <w:pPr>
              <w:rPr>
                <w:rFonts w:ascii="Times New Roman" w:eastAsia="Times New Roman" w:hAnsi="Times New Roman" w:cs="Times New Roman"/>
                <w:kern w:val="0"/>
                <w:sz w:val="20"/>
                <w:szCs w:val="20"/>
                <w:lang w:eastAsia="pl-PL"/>
                <w14:ligatures w14:val="none"/>
              </w:rPr>
            </w:pPr>
          </w:p>
        </w:tc>
      </w:tr>
      <w:tr w:rsidR="00BD17DA" w:rsidRPr="00BD17DA" w14:paraId="18AC9A8D" w14:textId="77777777" w:rsidTr="00BD17DA">
        <w:trPr>
          <w:trHeight w:val="705"/>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90BC09A" w14:textId="77777777" w:rsidR="00BD17DA" w:rsidRPr="00BD17DA" w:rsidRDefault="00BD17DA" w:rsidP="00BD17DA">
            <w:pPr>
              <w:rPr>
                <w:rFonts w:ascii="Calibri" w:eastAsia="Times New Roman" w:hAnsi="Calibri" w:cs="Calibri"/>
                <w:color w:val="000000"/>
                <w:kern w:val="0"/>
                <w:lang w:eastAsia="pl-PL"/>
                <w14:ligatures w14:val="none"/>
              </w:rPr>
            </w:pPr>
            <w:r w:rsidRPr="00BD17DA">
              <w:rPr>
                <w:rFonts w:ascii="Calibri" w:eastAsia="Times New Roman" w:hAnsi="Calibri" w:cs="Calibri"/>
                <w:color w:val="000000"/>
                <w:kern w:val="0"/>
                <w:lang w:eastAsia="pl-PL"/>
                <w14:ligatures w14:val="none"/>
              </w:rPr>
              <w:t> </w:t>
            </w:r>
          </w:p>
        </w:tc>
        <w:tc>
          <w:tcPr>
            <w:tcW w:w="1232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52E8D2CC" w14:textId="77777777" w:rsidR="00BD17DA" w:rsidRPr="00BD17DA" w:rsidRDefault="00BD17DA" w:rsidP="00BD17DA">
            <w:pPr>
              <w:rPr>
                <w:rFonts w:ascii="Calibri" w:eastAsia="Times New Roman" w:hAnsi="Calibri" w:cs="Calibri"/>
                <w:color w:val="000000"/>
                <w:kern w:val="0"/>
                <w:sz w:val="18"/>
                <w:szCs w:val="18"/>
                <w:lang w:eastAsia="pl-PL"/>
                <w14:ligatures w14:val="none"/>
              </w:rPr>
            </w:pPr>
            <w:r w:rsidRPr="00BD17DA">
              <w:rPr>
                <w:rFonts w:ascii="Calibri" w:eastAsia="Times New Roman" w:hAnsi="Calibri" w:cs="Calibri"/>
                <w:color w:val="000000"/>
                <w:kern w:val="0"/>
                <w:sz w:val="18"/>
                <w:szCs w:val="18"/>
                <w:lang w:eastAsia="pl-PL"/>
                <w14:ligatures w14:val="none"/>
              </w:rPr>
              <w:t>C.2 Zwiększenie dostępności do usług i produktów na obszarze LSR</w:t>
            </w:r>
          </w:p>
        </w:tc>
        <w:tc>
          <w:tcPr>
            <w:tcW w:w="36" w:type="dxa"/>
            <w:vAlign w:val="center"/>
            <w:hideMark/>
          </w:tcPr>
          <w:p w14:paraId="48EBC9E1" w14:textId="77777777" w:rsidR="00BD17DA" w:rsidRPr="00BD17DA" w:rsidRDefault="00BD17DA" w:rsidP="00BD17DA">
            <w:pPr>
              <w:rPr>
                <w:rFonts w:ascii="Times New Roman" w:eastAsia="Times New Roman" w:hAnsi="Times New Roman" w:cs="Times New Roman"/>
                <w:kern w:val="0"/>
                <w:sz w:val="20"/>
                <w:szCs w:val="20"/>
                <w:lang w:eastAsia="pl-PL"/>
                <w14:ligatures w14:val="none"/>
              </w:rPr>
            </w:pPr>
          </w:p>
        </w:tc>
      </w:tr>
      <w:tr w:rsidR="00BD17DA" w:rsidRPr="00BD17DA" w14:paraId="7535C4E2" w14:textId="77777777" w:rsidTr="00BD17DA">
        <w:trPr>
          <w:trHeight w:val="705"/>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30B1D696" w14:textId="77777777" w:rsidR="00BD17DA" w:rsidRPr="00BD17DA" w:rsidRDefault="00BD17DA" w:rsidP="00BD17DA">
            <w:pPr>
              <w:jc w:val="right"/>
              <w:rPr>
                <w:rFonts w:ascii="Calibri" w:eastAsia="Times New Roman" w:hAnsi="Calibri" w:cs="Calibri"/>
                <w:color w:val="000000"/>
                <w:kern w:val="0"/>
                <w:sz w:val="18"/>
                <w:szCs w:val="18"/>
                <w:lang w:eastAsia="pl-PL"/>
                <w14:ligatures w14:val="none"/>
              </w:rPr>
            </w:pPr>
            <w:r w:rsidRPr="00BD17DA">
              <w:rPr>
                <w:rFonts w:ascii="Calibri" w:eastAsia="Times New Roman" w:hAnsi="Calibri" w:cs="Calibri"/>
                <w:color w:val="000000"/>
                <w:kern w:val="0"/>
                <w:sz w:val="18"/>
                <w:szCs w:val="18"/>
                <w:lang w:eastAsia="pl-PL"/>
                <w14:ligatures w14:val="none"/>
              </w:rPr>
              <w:t>777 776</w:t>
            </w:r>
          </w:p>
        </w:tc>
        <w:tc>
          <w:tcPr>
            <w:tcW w:w="4940" w:type="dxa"/>
            <w:gridSpan w:val="2"/>
            <w:tcBorders>
              <w:top w:val="single" w:sz="4" w:space="0" w:color="auto"/>
              <w:left w:val="nil"/>
              <w:bottom w:val="single" w:sz="4" w:space="0" w:color="auto"/>
              <w:right w:val="single" w:sz="4" w:space="0" w:color="auto"/>
            </w:tcBorders>
            <w:shd w:val="clear" w:color="auto" w:fill="auto"/>
            <w:vAlign w:val="center"/>
            <w:hideMark/>
          </w:tcPr>
          <w:p w14:paraId="3181F749" w14:textId="204183FA" w:rsidR="00BD17DA" w:rsidRPr="00BD17DA" w:rsidRDefault="00063FE6" w:rsidP="00BD17DA">
            <w:pPr>
              <w:rPr>
                <w:rFonts w:ascii="Calibri" w:eastAsia="Times New Roman" w:hAnsi="Calibri" w:cs="Calibri"/>
                <w:color w:val="000000"/>
                <w:kern w:val="0"/>
                <w:sz w:val="18"/>
                <w:szCs w:val="18"/>
                <w:lang w:eastAsia="pl-PL"/>
                <w14:ligatures w14:val="none"/>
              </w:rPr>
            </w:pPr>
            <w:r>
              <w:rPr>
                <w:rFonts w:ascii="Calibri" w:eastAsia="Times New Roman" w:hAnsi="Calibri" w:cs="Calibri"/>
                <w:color w:val="000000"/>
                <w:kern w:val="0"/>
                <w:sz w:val="18"/>
                <w:szCs w:val="18"/>
                <w:lang w:eastAsia="pl-PL"/>
                <w14:ligatures w14:val="none"/>
              </w:rPr>
              <w:t>P.</w:t>
            </w:r>
            <w:r w:rsidR="00BD17DA" w:rsidRPr="00BD17DA">
              <w:rPr>
                <w:rFonts w:ascii="Calibri" w:eastAsia="Times New Roman" w:hAnsi="Calibri" w:cs="Calibri"/>
                <w:color w:val="000000"/>
                <w:kern w:val="0"/>
                <w:sz w:val="18"/>
                <w:szCs w:val="18"/>
                <w:lang w:eastAsia="pl-PL"/>
                <w14:ligatures w14:val="none"/>
              </w:rPr>
              <w:t>2.1. Rozwój pozarolniczej działalności gospodarczej w tym gospodarstw agroturystycznych i zagród edukacyjnych</w:t>
            </w:r>
          </w:p>
        </w:tc>
        <w:tc>
          <w:tcPr>
            <w:tcW w:w="3760" w:type="dxa"/>
            <w:tcBorders>
              <w:top w:val="nil"/>
              <w:left w:val="nil"/>
              <w:bottom w:val="single" w:sz="4" w:space="0" w:color="auto"/>
              <w:right w:val="single" w:sz="4" w:space="0" w:color="auto"/>
            </w:tcBorders>
            <w:shd w:val="clear" w:color="auto" w:fill="auto"/>
            <w:vAlign w:val="center"/>
            <w:hideMark/>
          </w:tcPr>
          <w:p w14:paraId="61F8673C" w14:textId="77777777" w:rsidR="00BD17DA" w:rsidRPr="00BD17DA" w:rsidRDefault="00BD17DA" w:rsidP="00BD17DA">
            <w:pPr>
              <w:jc w:val="center"/>
              <w:rPr>
                <w:rFonts w:ascii="Calibri" w:eastAsia="Times New Roman" w:hAnsi="Calibri" w:cs="Calibri"/>
                <w:color w:val="000000"/>
                <w:kern w:val="0"/>
                <w:sz w:val="18"/>
                <w:szCs w:val="18"/>
                <w:lang w:eastAsia="pl-PL"/>
                <w14:ligatures w14:val="none"/>
              </w:rPr>
            </w:pPr>
            <w:r w:rsidRPr="00BD17DA">
              <w:rPr>
                <w:rFonts w:ascii="Calibri" w:eastAsia="Times New Roman" w:hAnsi="Calibri" w:cs="Calibri"/>
                <w:color w:val="000000"/>
                <w:kern w:val="0"/>
                <w:sz w:val="18"/>
                <w:szCs w:val="18"/>
                <w:lang w:eastAsia="pl-PL"/>
                <w14:ligatures w14:val="none"/>
              </w:rPr>
              <w:t>mieszkańcy, turyści.</w:t>
            </w:r>
          </w:p>
        </w:tc>
        <w:tc>
          <w:tcPr>
            <w:tcW w:w="36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19D6016" w14:textId="77777777" w:rsidR="00BD17DA" w:rsidRPr="00BD17DA" w:rsidRDefault="00BD17DA" w:rsidP="00BD17DA">
            <w:pPr>
              <w:jc w:val="center"/>
              <w:rPr>
                <w:rFonts w:ascii="Calibri" w:eastAsia="Times New Roman" w:hAnsi="Calibri" w:cs="Calibri"/>
                <w:color w:val="000000"/>
                <w:kern w:val="0"/>
                <w:sz w:val="18"/>
                <w:szCs w:val="18"/>
                <w:lang w:eastAsia="pl-PL"/>
                <w14:ligatures w14:val="none"/>
              </w:rPr>
            </w:pPr>
            <w:r w:rsidRPr="00BD17DA">
              <w:rPr>
                <w:rFonts w:ascii="Calibri" w:eastAsia="Times New Roman" w:hAnsi="Calibri" w:cs="Calibri"/>
                <w:color w:val="000000"/>
                <w:kern w:val="0"/>
                <w:sz w:val="18"/>
                <w:szCs w:val="18"/>
                <w:lang w:eastAsia="pl-PL"/>
                <w14:ligatures w14:val="none"/>
              </w:rPr>
              <w:t>konkursy</w:t>
            </w:r>
          </w:p>
        </w:tc>
        <w:tc>
          <w:tcPr>
            <w:tcW w:w="36" w:type="dxa"/>
            <w:vAlign w:val="center"/>
            <w:hideMark/>
          </w:tcPr>
          <w:p w14:paraId="5D7BE60F" w14:textId="77777777" w:rsidR="00BD17DA" w:rsidRPr="00BD17DA" w:rsidRDefault="00BD17DA" w:rsidP="00BD17DA">
            <w:pPr>
              <w:rPr>
                <w:rFonts w:ascii="Times New Roman" w:eastAsia="Times New Roman" w:hAnsi="Times New Roman" w:cs="Times New Roman"/>
                <w:kern w:val="0"/>
                <w:sz w:val="20"/>
                <w:szCs w:val="20"/>
                <w:lang w:eastAsia="pl-PL"/>
                <w14:ligatures w14:val="none"/>
              </w:rPr>
            </w:pPr>
          </w:p>
        </w:tc>
      </w:tr>
    </w:tbl>
    <w:p w14:paraId="126A1AAC" w14:textId="77777777" w:rsidR="00F32737" w:rsidRDefault="00F32737" w:rsidP="00F32737">
      <w:pPr>
        <w:spacing w:line="276" w:lineRule="auto"/>
        <w:ind w:right="6"/>
        <w:jc w:val="both"/>
        <w:rPr>
          <w:rFonts w:eastAsia="Calibri" w:cstheme="minorHAnsi"/>
          <w:kern w:val="0"/>
          <w:lang w:eastAsia="pl-PL"/>
          <w14:ligatures w14:val="none"/>
        </w:rPr>
      </w:pPr>
    </w:p>
    <w:p w14:paraId="0B8DE9A4" w14:textId="77777777" w:rsidR="00F32737" w:rsidRDefault="00F32737" w:rsidP="00F32737">
      <w:pPr>
        <w:spacing w:line="276" w:lineRule="auto"/>
        <w:ind w:right="6"/>
        <w:jc w:val="both"/>
        <w:rPr>
          <w:rFonts w:eastAsia="Calibri" w:cstheme="minorHAnsi"/>
          <w:kern w:val="0"/>
          <w:lang w:eastAsia="pl-PL"/>
          <w14:ligatures w14:val="none"/>
        </w:rPr>
      </w:pPr>
    </w:p>
    <w:p w14:paraId="5E48F20C" w14:textId="77777777" w:rsidR="00F32737" w:rsidRDefault="00F32737" w:rsidP="00F32737">
      <w:pPr>
        <w:spacing w:line="276" w:lineRule="auto"/>
        <w:ind w:right="6"/>
        <w:jc w:val="both"/>
        <w:rPr>
          <w:rFonts w:eastAsia="Calibri" w:cstheme="minorHAnsi"/>
          <w:kern w:val="0"/>
          <w:lang w:eastAsia="pl-PL"/>
          <w14:ligatures w14:val="none"/>
        </w:rPr>
      </w:pPr>
    </w:p>
    <w:p w14:paraId="2F7A9C6A" w14:textId="77777777" w:rsidR="00F32737" w:rsidRDefault="00F32737" w:rsidP="00F32737">
      <w:pPr>
        <w:spacing w:line="276" w:lineRule="auto"/>
        <w:ind w:right="6"/>
        <w:jc w:val="both"/>
        <w:rPr>
          <w:rFonts w:eastAsia="Calibri" w:cstheme="minorHAnsi"/>
          <w:kern w:val="0"/>
          <w:lang w:eastAsia="pl-PL"/>
          <w14:ligatures w14:val="none"/>
        </w:rPr>
      </w:pPr>
    </w:p>
    <w:tbl>
      <w:tblPr>
        <w:tblW w:w="0" w:type="auto"/>
        <w:tblCellMar>
          <w:left w:w="70" w:type="dxa"/>
          <w:right w:w="70" w:type="dxa"/>
        </w:tblCellMar>
        <w:tblLook w:val="04A0" w:firstRow="1" w:lastRow="0" w:firstColumn="1" w:lastColumn="0" w:noHBand="0" w:noVBand="1"/>
      </w:tblPr>
      <w:tblGrid>
        <w:gridCol w:w="1601"/>
        <w:gridCol w:w="3615"/>
        <w:gridCol w:w="780"/>
        <w:gridCol w:w="780"/>
        <w:gridCol w:w="780"/>
        <w:gridCol w:w="780"/>
        <w:gridCol w:w="780"/>
        <w:gridCol w:w="780"/>
        <w:gridCol w:w="780"/>
        <w:gridCol w:w="780"/>
        <w:gridCol w:w="780"/>
        <w:gridCol w:w="780"/>
        <w:gridCol w:w="780"/>
        <w:gridCol w:w="780"/>
        <w:gridCol w:w="700"/>
      </w:tblGrid>
      <w:tr w:rsidR="00BD17DA" w:rsidRPr="00BD17DA" w14:paraId="59D76DF6" w14:textId="77777777" w:rsidTr="00B70DF5">
        <w:trPr>
          <w:trHeight w:val="315"/>
        </w:trPr>
        <w:tc>
          <w:tcPr>
            <w:tcW w:w="5216" w:type="dxa"/>
            <w:gridSpan w:val="2"/>
            <w:tcBorders>
              <w:top w:val="nil"/>
              <w:left w:val="nil"/>
              <w:bottom w:val="nil"/>
              <w:right w:val="nil"/>
            </w:tcBorders>
            <w:shd w:val="clear" w:color="auto" w:fill="auto"/>
            <w:noWrap/>
            <w:vAlign w:val="center"/>
            <w:hideMark/>
          </w:tcPr>
          <w:p w14:paraId="23F005FA" w14:textId="77777777" w:rsidR="00BD17DA" w:rsidRPr="00BD17DA" w:rsidRDefault="00BD17DA" w:rsidP="00BD17DA">
            <w:pPr>
              <w:rPr>
                <w:rFonts w:ascii="Calibri" w:eastAsia="Times New Roman" w:hAnsi="Calibri" w:cs="Calibri"/>
                <w:b/>
                <w:bCs/>
                <w:i/>
                <w:iCs/>
                <w:color w:val="000000"/>
                <w:kern w:val="0"/>
                <w:sz w:val="24"/>
                <w:szCs w:val="24"/>
                <w:lang w:eastAsia="pl-PL"/>
                <w14:ligatures w14:val="none"/>
              </w:rPr>
            </w:pPr>
            <w:bookmarkStart w:id="112" w:name="_GoBack"/>
            <w:r w:rsidRPr="00BD17DA">
              <w:rPr>
                <w:rFonts w:ascii="Calibri" w:eastAsia="Times New Roman" w:hAnsi="Calibri" w:cs="Calibri"/>
                <w:b/>
                <w:bCs/>
                <w:i/>
                <w:iCs/>
                <w:color w:val="000000"/>
                <w:kern w:val="0"/>
                <w:sz w:val="24"/>
                <w:szCs w:val="24"/>
                <w:lang w:eastAsia="pl-PL"/>
                <w14:ligatures w14:val="none"/>
              </w:rPr>
              <w:t>Formularz 2: Plan działania</w:t>
            </w:r>
            <w:bookmarkEnd w:id="112"/>
          </w:p>
        </w:tc>
        <w:tc>
          <w:tcPr>
            <w:tcW w:w="780" w:type="dxa"/>
            <w:tcBorders>
              <w:top w:val="nil"/>
              <w:left w:val="nil"/>
              <w:bottom w:val="nil"/>
              <w:right w:val="nil"/>
            </w:tcBorders>
            <w:shd w:val="clear" w:color="auto" w:fill="auto"/>
            <w:noWrap/>
            <w:vAlign w:val="bottom"/>
            <w:hideMark/>
          </w:tcPr>
          <w:p w14:paraId="4A221093" w14:textId="77777777" w:rsidR="00BD17DA" w:rsidRPr="00BD17DA" w:rsidRDefault="00BD17DA" w:rsidP="00BD17DA">
            <w:pPr>
              <w:rPr>
                <w:rFonts w:ascii="Calibri" w:eastAsia="Times New Roman" w:hAnsi="Calibri" w:cs="Calibri"/>
                <w:b/>
                <w:bCs/>
                <w:i/>
                <w:iCs/>
                <w:color w:val="000000"/>
                <w:kern w:val="0"/>
                <w:sz w:val="24"/>
                <w:szCs w:val="24"/>
                <w:lang w:eastAsia="pl-PL"/>
                <w14:ligatures w14:val="none"/>
              </w:rPr>
            </w:pPr>
          </w:p>
        </w:tc>
        <w:tc>
          <w:tcPr>
            <w:tcW w:w="780" w:type="dxa"/>
            <w:tcBorders>
              <w:top w:val="nil"/>
              <w:left w:val="nil"/>
              <w:bottom w:val="nil"/>
              <w:right w:val="nil"/>
            </w:tcBorders>
            <w:shd w:val="clear" w:color="auto" w:fill="auto"/>
            <w:noWrap/>
            <w:vAlign w:val="bottom"/>
            <w:hideMark/>
          </w:tcPr>
          <w:p w14:paraId="17E2BF8E" w14:textId="77777777" w:rsidR="00BD17DA" w:rsidRPr="00BD17DA" w:rsidRDefault="00BD17DA" w:rsidP="00BD17DA">
            <w:pPr>
              <w:rPr>
                <w:rFonts w:ascii="Times New Roman" w:eastAsia="Times New Roman" w:hAnsi="Times New Roman" w:cs="Times New Roman"/>
                <w:kern w:val="0"/>
                <w:sz w:val="20"/>
                <w:szCs w:val="20"/>
                <w:lang w:eastAsia="pl-PL"/>
                <w14:ligatures w14:val="none"/>
              </w:rPr>
            </w:pPr>
          </w:p>
        </w:tc>
        <w:tc>
          <w:tcPr>
            <w:tcW w:w="780" w:type="dxa"/>
            <w:tcBorders>
              <w:top w:val="nil"/>
              <w:left w:val="nil"/>
              <w:bottom w:val="nil"/>
              <w:right w:val="nil"/>
            </w:tcBorders>
            <w:shd w:val="clear" w:color="auto" w:fill="auto"/>
            <w:noWrap/>
            <w:vAlign w:val="bottom"/>
            <w:hideMark/>
          </w:tcPr>
          <w:p w14:paraId="70DB707E" w14:textId="77777777" w:rsidR="00BD17DA" w:rsidRPr="00BD17DA" w:rsidRDefault="00BD17DA" w:rsidP="00BD17DA">
            <w:pPr>
              <w:rPr>
                <w:rFonts w:ascii="Times New Roman" w:eastAsia="Times New Roman" w:hAnsi="Times New Roman" w:cs="Times New Roman"/>
                <w:kern w:val="0"/>
                <w:sz w:val="20"/>
                <w:szCs w:val="20"/>
                <w:lang w:eastAsia="pl-PL"/>
                <w14:ligatures w14:val="none"/>
              </w:rPr>
            </w:pPr>
          </w:p>
        </w:tc>
        <w:tc>
          <w:tcPr>
            <w:tcW w:w="780" w:type="dxa"/>
            <w:tcBorders>
              <w:top w:val="nil"/>
              <w:left w:val="nil"/>
              <w:bottom w:val="nil"/>
              <w:right w:val="nil"/>
            </w:tcBorders>
            <w:shd w:val="clear" w:color="auto" w:fill="auto"/>
            <w:noWrap/>
            <w:vAlign w:val="bottom"/>
            <w:hideMark/>
          </w:tcPr>
          <w:p w14:paraId="2D777DAC" w14:textId="77777777" w:rsidR="00BD17DA" w:rsidRPr="00BD17DA" w:rsidRDefault="00BD17DA" w:rsidP="00BD17DA">
            <w:pPr>
              <w:rPr>
                <w:rFonts w:ascii="Times New Roman" w:eastAsia="Times New Roman" w:hAnsi="Times New Roman" w:cs="Times New Roman"/>
                <w:kern w:val="0"/>
                <w:sz w:val="20"/>
                <w:szCs w:val="20"/>
                <w:lang w:eastAsia="pl-PL"/>
                <w14:ligatures w14:val="none"/>
              </w:rPr>
            </w:pPr>
          </w:p>
        </w:tc>
        <w:tc>
          <w:tcPr>
            <w:tcW w:w="780" w:type="dxa"/>
            <w:tcBorders>
              <w:top w:val="nil"/>
              <w:left w:val="nil"/>
              <w:bottom w:val="nil"/>
              <w:right w:val="nil"/>
            </w:tcBorders>
            <w:shd w:val="clear" w:color="auto" w:fill="auto"/>
            <w:noWrap/>
            <w:vAlign w:val="bottom"/>
            <w:hideMark/>
          </w:tcPr>
          <w:p w14:paraId="5C1CF88A" w14:textId="77777777" w:rsidR="00BD17DA" w:rsidRPr="00BD17DA" w:rsidRDefault="00BD17DA" w:rsidP="00BD17DA">
            <w:pPr>
              <w:rPr>
                <w:rFonts w:ascii="Times New Roman" w:eastAsia="Times New Roman" w:hAnsi="Times New Roman" w:cs="Times New Roman"/>
                <w:kern w:val="0"/>
                <w:sz w:val="20"/>
                <w:szCs w:val="20"/>
                <w:lang w:eastAsia="pl-PL"/>
                <w14:ligatures w14:val="none"/>
              </w:rPr>
            </w:pPr>
          </w:p>
        </w:tc>
        <w:tc>
          <w:tcPr>
            <w:tcW w:w="780" w:type="dxa"/>
            <w:tcBorders>
              <w:top w:val="nil"/>
              <w:left w:val="nil"/>
              <w:bottom w:val="nil"/>
              <w:right w:val="nil"/>
            </w:tcBorders>
            <w:shd w:val="clear" w:color="auto" w:fill="auto"/>
            <w:noWrap/>
            <w:vAlign w:val="bottom"/>
            <w:hideMark/>
          </w:tcPr>
          <w:p w14:paraId="5E77A3CB" w14:textId="77777777" w:rsidR="00BD17DA" w:rsidRPr="00BD17DA" w:rsidRDefault="00BD17DA" w:rsidP="00BD17DA">
            <w:pPr>
              <w:rPr>
                <w:rFonts w:ascii="Times New Roman" w:eastAsia="Times New Roman" w:hAnsi="Times New Roman" w:cs="Times New Roman"/>
                <w:kern w:val="0"/>
                <w:sz w:val="20"/>
                <w:szCs w:val="20"/>
                <w:lang w:eastAsia="pl-PL"/>
                <w14:ligatures w14:val="none"/>
              </w:rPr>
            </w:pPr>
          </w:p>
        </w:tc>
        <w:tc>
          <w:tcPr>
            <w:tcW w:w="780" w:type="dxa"/>
            <w:tcBorders>
              <w:top w:val="nil"/>
              <w:left w:val="nil"/>
              <w:bottom w:val="nil"/>
              <w:right w:val="nil"/>
            </w:tcBorders>
            <w:shd w:val="clear" w:color="auto" w:fill="auto"/>
            <w:noWrap/>
            <w:vAlign w:val="bottom"/>
            <w:hideMark/>
          </w:tcPr>
          <w:p w14:paraId="2ED37E89" w14:textId="77777777" w:rsidR="00BD17DA" w:rsidRPr="00BD17DA" w:rsidRDefault="00BD17DA" w:rsidP="00BD17DA">
            <w:pPr>
              <w:rPr>
                <w:rFonts w:ascii="Times New Roman" w:eastAsia="Times New Roman" w:hAnsi="Times New Roman" w:cs="Times New Roman"/>
                <w:kern w:val="0"/>
                <w:sz w:val="20"/>
                <w:szCs w:val="20"/>
                <w:lang w:eastAsia="pl-PL"/>
                <w14:ligatures w14:val="none"/>
              </w:rPr>
            </w:pPr>
          </w:p>
        </w:tc>
        <w:tc>
          <w:tcPr>
            <w:tcW w:w="780" w:type="dxa"/>
            <w:tcBorders>
              <w:top w:val="nil"/>
              <w:left w:val="nil"/>
              <w:bottom w:val="nil"/>
              <w:right w:val="nil"/>
            </w:tcBorders>
            <w:shd w:val="clear" w:color="auto" w:fill="auto"/>
            <w:noWrap/>
            <w:vAlign w:val="bottom"/>
            <w:hideMark/>
          </w:tcPr>
          <w:p w14:paraId="02AA14CE" w14:textId="77777777" w:rsidR="00BD17DA" w:rsidRPr="00BD17DA" w:rsidRDefault="00BD17DA" w:rsidP="00BD17DA">
            <w:pPr>
              <w:rPr>
                <w:rFonts w:ascii="Times New Roman" w:eastAsia="Times New Roman" w:hAnsi="Times New Roman" w:cs="Times New Roman"/>
                <w:kern w:val="0"/>
                <w:sz w:val="20"/>
                <w:szCs w:val="20"/>
                <w:lang w:eastAsia="pl-PL"/>
                <w14:ligatures w14:val="none"/>
              </w:rPr>
            </w:pPr>
          </w:p>
        </w:tc>
        <w:tc>
          <w:tcPr>
            <w:tcW w:w="780" w:type="dxa"/>
            <w:tcBorders>
              <w:top w:val="nil"/>
              <w:left w:val="nil"/>
              <w:bottom w:val="nil"/>
              <w:right w:val="nil"/>
            </w:tcBorders>
            <w:shd w:val="clear" w:color="auto" w:fill="auto"/>
            <w:noWrap/>
            <w:vAlign w:val="bottom"/>
            <w:hideMark/>
          </w:tcPr>
          <w:p w14:paraId="51ECDDCE" w14:textId="77777777" w:rsidR="00BD17DA" w:rsidRPr="00BD17DA" w:rsidRDefault="00BD17DA" w:rsidP="00BD17DA">
            <w:pPr>
              <w:rPr>
                <w:rFonts w:ascii="Times New Roman" w:eastAsia="Times New Roman" w:hAnsi="Times New Roman" w:cs="Times New Roman"/>
                <w:kern w:val="0"/>
                <w:sz w:val="20"/>
                <w:szCs w:val="20"/>
                <w:lang w:eastAsia="pl-PL"/>
                <w14:ligatures w14:val="none"/>
              </w:rPr>
            </w:pPr>
          </w:p>
        </w:tc>
        <w:tc>
          <w:tcPr>
            <w:tcW w:w="780" w:type="dxa"/>
            <w:tcBorders>
              <w:top w:val="nil"/>
              <w:left w:val="nil"/>
              <w:bottom w:val="nil"/>
              <w:right w:val="nil"/>
            </w:tcBorders>
            <w:shd w:val="clear" w:color="auto" w:fill="auto"/>
            <w:noWrap/>
            <w:vAlign w:val="bottom"/>
            <w:hideMark/>
          </w:tcPr>
          <w:p w14:paraId="0705FFCF" w14:textId="77777777" w:rsidR="00BD17DA" w:rsidRPr="00BD17DA" w:rsidRDefault="00BD17DA" w:rsidP="00BD17DA">
            <w:pPr>
              <w:rPr>
                <w:rFonts w:ascii="Times New Roman" w:eastAsia="Times New Roman" w:hAnsi="Times New Roman" w:cs="Times New Roman"/>
                <w:kern w:val="0"/>
                <w:sz w:val="20"/>
                <w:szCs w:val="20"/>
                <w:lang w:eastAsia="pl-PL"/>
                <w14:ligatures w14:val="none"/>
              </w:rPr>
            </w:pPr>
          </w:p>
        </w:tc>
        <w:tc>
          <w:tcPr>
            <w:tcW w:w="780" w:type="dxa"/>
            <w:tcBorders>
              <w:top w:val="nil"/>
              <w:left w:val="nil"/>
              <w:bottom w:val="nil"/>
              <w:right w:val="nil"/>
            </w:tcBorders>
            <w:shd w:val="clear" w:color="auto" w:fill="auto"/>
            <w:noWrap/>
            <w:vAlign w:val="bottom"/>
            <w:hideMark/>
          </w:tcPr>
          <w:p w14:paraId="0C3355C2" w14:textId="77777777" w:rsidR="00BD17DA" w:rsidRPr="00BD17DA" w:rsidRDefault="00BD17DA" w:rsidP="00BD17DA">
            <w:pPr>
              <w:rPr>
                <w:rFonts w:ascii="Times New Roman" w:eastAsia="Times New Roman" w:hAnsi="Times New Roman" w:cs="Times New Roman"/>
                <w:kern w:val="0"/>
                <w:sz w:val="20"/>
                <w:szCs w:val="20"/>
                <w:lang w:eastAsia="pl-PL"/>
                <w14:ligatures w14:val="none"/>
              </w:rPr>
            </w:pPr>
          </w:p>
        </w:tc>
        <w:tc>
          <w:tcPr>
            <w:tcW w:w="780" w:type="dxa"/>
            <w:tcBorders>
              <w:top w:val="nil"/>
              <w:left w:val="nil"/>
              <w:bottom w:val="nil"/>
              <w:right w:val="nil"/>
            </w:tcBorders>
            <w:shd w:val="clear" w:color="auto" w:fill="auto"/>
            <w:noWrap/>
            <w:vAlign w:val="bottom"/>
            <w:hideMark/>
          </w:tcPr>
          <w:p w14:paraId="286DB7BD" w14:textId="77777777" w:rsidR="00BD17DA" w:rsidRPr="00BD17DA" w:rsidRDefault="00BD17DA" w:rsidP="00BD17DA">
            <w:pPr>
              <w:rPr>
                <w:rFonts w:ascii="Times New Roman" w:eastAsia="Times New Roman" w:hAnsi="Times New Roman" w:cs="Times New Roman"/>
                <w:kern w:val="0"/>
                <w:sz w:val="20"/>
                <w:szCs w:val="20"/>
                <w:lang w:eastAsia="pl-PL"/>
                <w14:ligatures w14:val="none"/>
              </w:rPr>
            </w:pPr>
          </w:p>
        </w:tc>
        <w:tc>
          <w:tcPr>
            <w:tcW w:w="700" w:type="dxa"/>
            <w:tcBorders>
              <w:top w:val="nil"/>
              <w:left w:val="nil"/>
              <w:bottom w:val="nil"/>
              <w:right w:val="nil"/>
            </w:tcBorders>
            <w:shd w:val="clear" w:color="auto" w:fill="auto"/>
            <w:noWrap/>
            <w:vAlign w:val="bottom"/>
            <w:hideMark/>
          </w:tcPr>
          <w:p w14:paraId="142E9359" w14:textId="77777777" w:rsidR="00BD17DA" w:rsidRPr="00BD17DA" w:rsidRDefault="00BD17DA" w:rsidP="00BD17DA">
            <w:pPr>
              <w:rPr>
                <w:rFonts w:ascii="Times New Roman" w:eastAsia="Times New Roman" w:hAnsi="Times New Roman" w:cs="Times New Roman"/>
                <w:kern w:val="0"/>
                <w:sz w:val="20"/>
                <w:szCs w:val="20"/>
                <w:lang w:eastAsia="pl-PL"/>
                <w14:ligatures w14:val="none"/>
              </w:rPr>
            </w:pPr>
          </w:p>
        </w:tc>
      </w:tr>
      <w:tr w:rsidR="00BD17DA" w:rsidRPr="00BD17DA" w14:paraId="585DD681" w14:textId="77777777" w:rsidTr="00B70DF5">
        <w:trPr>
          <w:trHeight w:val="600"/>
        </w:trPr>
        <w:tc>
          <w:tcPr>
            <w:tcW w:w="1601" w:type="dxa"/>
            <w:vMerge w:val="restart"/>
            <w:tcBorders>
              <w:top w:val="single" w:sz="4" w:space="0" w:color="auto"/>
              <w:left w:val="single" w:sz="4" w:space="0" w:color="auto"/>
              <w:bottom w:val="single" w:sz="4" w:space="0" w:color="auto"/>
              <w:right w:val="single" w:sz="4" w:space="0" w:color="auto"/>
            </w:tcBorders>
            <w:shd w:val="clear" w:color="000000" w:fill="FF944B"/>
            <w:vAlign w:val="center"/>
            <w:hideMark/>
          </w:tcPr>
          <w:p w14:paraId="38A24BC9" w14:textId="77777777" w:rsidR="00BD17DA" w:rsidRPr="00BD17DA" w:rsidRDefault="00BD17DA" w:rsidP="00BD17DA">
            <w:pPr>
              <w:jc w:val="center"/>
              <w:rPr>
                <w:rFonts w:ascii="Calibri" w:eastAsia="Times New Roman" w:hAnsi="Calibri" w:cs="Calibri"/>
                <w:b/>
                <w:bCs/>
                <w:color w:val="000000"/>
                <w:kern w:val="0"/>
                <w:sz w:val="16"/>
                <w:szCs w:val="16"/>
                <w:lang w:eastAsia="pl-PL"/>
                <w14:ligatures w14:val="none"/>
              </w:rPr>
            </w:pPr>
            <w:r w:rsidRPr="00BD17DA">
              <w:rPr>
                <w:rFonts w:ascii="Calibri" w:eastAsia="Times New Roman" w:hAnsi="Calibri" w:cs="Calibri"/>
                <w:b/>
                <w:bCs/>
                <w:color w:val="000000"/>
                <w:kern w:val="0"/>
                <w:sz w:val="16"/>
                <w:szCs w:val="16"/>
                <w:lang w:eastAsia="pl-PL"/>
                <w14:ligatures w14:val="none"/>
              </w:rPr>
              <w:t xml:space="preserve">CEL </w:t>
            </w:r>
          </w:p>
        </w:tc>
        <w:tc>
          <w:tcPr>
            <w:tcW w:w="3615" w:type="dxa"/>
            <w:tcBorders>
              <w:top w:val="single" w:sz="4" w:space="0" w:color="auto"/>
              <w:left w:val="nil"/>
              <w:bottom w:val="single" w:sz="4" w:space="0" w:color="auto"/>
              <w:right w:val="single" w:sz="4" w:space="0" w:color="auto"/>
            </w:tcBorders>
            <w:shd w:val="clear" w:color="000000" w:fill="FFFF00"/>
            <w:vAlign w:val="center"/>
            <w:hideMark/>
          </w:tcPr>
          <w:p w14:paraId="45423A8E" w14:textId="77777777" w:rsidR="00BD17DA" w:rsidRPr="00BD17DA" w:rsidRDefault="00BD17DA" w:rsidP="00BD17DA">
            <w:pPr>
              <w:jc w:val="center"/>
              <w:rPr>
                <w:rFonts w:ascii="Calibri" w:eastAsia="Times New Roman" w:hAnsi="Calibri" w:cs="Calibri"/>
                <w:b/>
                <w:bCs/>
                <w:color w:val="000000"/>
                <w:kern w:val="0"/>
                <w:sz w:val="16"/>
                <w:szCs w:val="16"/>
                <w:lang w:eastAsia="pl-PL"/>
                <w14:ligatures w14:val="none"/>
              </w:rPr>
            </w:pPr>
            <w:r w:rsidRPr="00BD17DA">
              <w:rPr>
                <w:rFonts w:ascii="Calibri" w:eastAsia="Times New Roman" w:hAnsi="Calibri" w:cs="Calibri"/>
                <w:b/>
                <w:bCs/>
                <w:color w:val="000000"/>
                <w:kern w:val="0"/>
                <w:sz w:val="16"/>
                <w:szCs w:val="16"/>
                <w:lang w:eastAsia="pl-PL"/>
                <w14:ligatures w14:val="none"/>
              </w:rPr>
              <w:t>lata</w:t>
            </w:r>
          </w:p>
        </w:tc>
        <w:tc>
          <w:tcPr>
            <w:tcW w:w="1560" w:type="dxa"/>
            <w:gridSpan w:val="2"/>
            <w:tcBorders>
              <w:top w:val="single" w:sz="4" w:space="0" w:color="auto"/>
              <w:left w:val="nil"/>
              <w:bottom w:val="single" w:sz="4" w:space="0" w:color="auto"/>
              <w:right w:val="single" w:sz="4" w:space="0" w:color="000000"/>
            </w:tcBorders>
            <w:shd w:val="clear" w:color="000000" w:fill="FFFF00"/>
            <w:vAlign w:val="center"/>
            <w:hideMark/>
          </w:tcPr>
          <w:p w14:paraId="18CD3FF1" w14:textId="213522CC" w:rsidR="00BD17DA" w:rsidRPr="00BD17DA" w:rsidRDefault="00BD17DA" w:rsidP="00BD17DA">
            <w:pPr>
              <w:jc w:val="center"/>
              <w:rPr>
                <w:rFonts w:ascii="Calibri" w:eastAsia="Times New Roman" w:hAnsi="Calibri" w:cs="Calibri"/>
                <w:b/>
                <w:bCs/>
                <w:color w:val="000000"/>
                <w:kern w:val="0"/>
                <w:sz w:val="16"/>
                <w:szCs w:val="16"/>
                <w:lang w:eastAsia="pl-PL"/>
                <w14:ligatures w14:val="none"/>
              </w:rPr>
            </w:pPr>
            <w:r w:rsidRPr="00BD17DA">
              <w:rPr>
                <w:rFonts w:ascii="Calibri" w:eastAsia="Times New Roman" w:hAnsi="Calibri" w:cs="Calibri"/>
                <w:b/>
                <w:bCs/>
                <w:color w:val="000000"/>
                <w:kern w:val="0"/>
                <w:sz w:val="16"/>
                <w:szCs w:val="16"/>
                <w:lang w:eastAsia="pl-PL"/>
                <w14:ligatures w14:val="none"/>
              </w:rPr>
              <w:t>do 31.12.2024</w:t>
            </w:r>
            <w:r>
              <w:rPr>
                <w:rFonts w:ascii="Times New Roman" w:eastAsia="Times New Roman" w:hAnsi="Times New Roman" w:cs="Times New Roman"/>
                <w:color w:val="000000"/>
                <w:kern w:val="0"/>
                <w:sz w:val="16"/>
                <w:szCs w:val="16"/>
                <w:lang w:eastAsia="pl-PL"/>
                <w14:ligatures w14:val="none"/>
              </w:rPr>
              <w:t xml:space="preserve"> </w:t>
            </w:r>
          </w:p>
        </w:tc>
        <w:tc>
          <w:tcPr>
            <w:tcW w:w="1560" w:type="dxa"/>
            <w:gridSpan w:val="2"/>
            <w:tcBorders>
              <w:top w:val="single" w:sz="4" w:space="0" w:color="auto"/>
              <w:left w:val="nil"/>
              <w:bottom w:val="single" w:sz="4" w:space="0" w:color="auto"/>
              <w:right w:val="single" w:sz="4" w:space="0" w:color="000000"/>
            </w:tcBorders>
            <w:shd w:val="clear" w:color="000000" w:fill="FFFF00"/>
            <w:vAlign w:val="center"/>
            <w:hideMark/>
          </w:tcPr>
          <w:p w14:paraId="151AB8AD" w14:textId="77777777" w:rsidR="00BD17DA" w:rsidRPr="00BD17DA" w:rsidRDefault="00BD17DA" w:rsidP="00BD17DA">
            <w:pPr>
              <w:jc w:val="center"/>
              <w:rPr>
                <w:rFonts w:ascii="Calibri" w:eastAsia="Times New Roman" w:hAnsi="Calibri" w:cs="Calibri"/>
                <w:b/>
                <w:bCs/>
                <w:color w:val="000000"/>
                <w:kern w:val="0"/>
                <w:sz w:val="16"/>
                <w:szCs w:val="16"/>
                <w:lang w:eastAsia="pl-PL"/>
                <w14:ligatures w14:val="none"/>
              </w:rPr>
            </w:pPr>
            <w:r w:rsidRPr="00BD17DA">
              <w:rPr>
                <w:rFonts w:ascii="Calibri" w:eastAsia="Times New Roman" w:hAnsi="Calibri" w:cs="Calibri"/>
                <w:b/>
                <w:bCs/>
                <w:color w:val="000000"/>
                <w:kern w:val="0"/>
                <w:sz w:val="16"/>
                <w:szCs w:val="16"/>
                <w:lang w:eastAsia="pl-PL"/>
                <w14:ligatures w14:val="none"/>
              </w:rPr>
              <w:t>do 31.12.2025</w:t>
            </w:r>
          </w:p>
        </w:tc>
        <w:tc>
          <w:tcPr>
            <w:tcW w:w="1560" w:type="dxa"/>
            <w:gridSpan w:val="2"/>
            <w:tcBorders>
              <w:top w:val="single" w:sz="4" w:space="0" w:color="auto"/>
              <w:left w:val="nil"/>
              <w:bottom w:val="single" w:sz="4" w:space="0" w:color="auto"/>
              <w:right w:val="single" w:sz="4" w:space="0" w:color="000000"/>
            </w:tcBorders>
            <w:shd w:val="clear" w:color="000000" w:fill="FFFF00"/>
            <w:vAlign w:val="center"/>
            <w:hideMark/>
          </w:tcPr>
          <w:p w14:paraId="3D2B7A32" w14:textId="77777777" w:rsidR="00BD17DA" w:rsidRPr="00BD17DA" w:rsidRDefault="00BD17DA" w:rsidP="00BD17DA">
            <w:pPr>
              <w:jc w:val="center"/>
              <w:rPr>
                <w:rFonts w:ascii="Calibri" w:eastAsia="Times New Roman" w:hAnsi="Calibri" w:cs="Calibri"/>
                <w:b/>
                <w:bCs/>
                <w:color w:val="000000"/>
                <w:kern w:val="0"/>
                <w:sz w:val="16"/>
                <w:szCs w:val="16"/>
                <w:lang w:eastAsia="pl-PL"/>
                <w14:ligatures w14:val="none"/>
              </w:rPr>
            </w:pPr>
            <w:r w:rsidRPr="00BD17DA">
              <w:rPr>
                <w:rFonts w:ascii="Calibri" w:eastAsia="Times New Roman" w:hAnsi="Calibri" w:cs="Calibri"/>
                <w:b/>
                <w:bCs/>
                <w:color w:val="000000"/>
                <w:kern w:val="0"/>
                <w:sz w:val="16"/>
                <w:szCs w:val="16"/>
                <w:lang w:eastAsia="pl-PL"/>
                <w14:ligatures w14:val="none"/>
              </w:rPr>
              <w:t>do 31.12.2026</w:t>
            </w:r>
          </w:p>
        </w:tc>
        <w:tc>
          <w:tcPr>
            <w:tcW w:w="1560" w:type="dxa"/>
            <w:gridSpan w:val="2"/>
            <w:tcBorders>
              <w:top w:val="single" w:sz="4" w:space="0" w:color="auto"/>
              <w:left w:val="nil"/>
              <w:bottom w:val="single" w:sz="4" w:space="0" w:color="auto"/>
              <w:right w:val="single" w:sz="4" w:space="0" w:color="000000"/>
            </w:tcBorders>
            <w:shd w:val="clear" w:color="000000" w:fill="FFFF00"/>
            <w:vAlign w:val="center"/>
            <w:hideMark/>
          </w:tcPr>
          <w:p w14:paraId="47FBB697" w14:textId="77777777" w:rsidR="00BD17DA" w:rsidRPr="00BD17DA" w:rsidRDefault="00BD17DA" w:rsidP="00BD17DA">
            <w:pPr>
              <w:jc w:val="center"/>
              <w:rPr>
                <w:rFonts w:ascii="Calibri" w:eastAsia="Times New Roman" w:hAnsi="Calibri" w:cs="Calibri"/>
                <w:b/>
                <w:bCs/>
                <w:color w:val="000000"/>
                <w:kern w:val="0"/>
                <w:sz w:val="16"/>
                <w:szCs w:val="16"/>
                <w:lang w:eastAsia="pl-PL"/>
                <w14:ligatures w14:val="none"/>
              </w:rPr>
            </w:pPr>
            <w:r w:rsidRPr="00BD17DA">
              <w:rPr>
                <w:rFonts w:ascii="Calibri" w:eastAsia="Times New Roman" w:hAnsi="Calibri" w:cs="Calibri"/>
                <w:b/>
                <w:bCs/>
                <w:color w:val="000000"/>
                <w:kern w:val="0"/>
                <w:sz w:val="16"/>
                <w:szCs w:val="16"/>
                <w:lang w:eastAsia="pl-PL"/>
                <w14:ligatures w14:val="none"/>
              </w:rPr>
              <w:t>do 31.12.2027</w:t>
            </w:r>
          </w:p>
        </w:tc>
        <w:tc>
          <w:tcPr>
            <w:tcW w:w="1560" w:type="dxa"/>
            <w:gridSpan w:val="2"/>
            <w:tcBorders>
              <w:top w:val="single" w:sz="4" w:space="0" w:color="auto"/>
              <w:left w:val="nil"/>
              <w:bottom w:val="single" w:sz="4" w:space="0" w:color="auto"/>
              <w:right w:val="single" w:sz="4" w:space="0" w:color="000000"/>
            </w:tcBorders>
            <w:shd w:val="clear" w:color="000000" w:fill="FFFF00"/>
            <w:vAlign w:val="center"/>
            <w:hideMark/>
          </w:tcPr>
          <w:p w14:paraId="1E98A450" w14:textId="77777777" w:rsidR="00BD17DA" w:rsidRPr="00BD17DA" w:rsidRDefault="00BD17DA" w:rsidP="00BD17DA">
            <w:pPr>
              <w:jc w:val="center"/>
              <w:rPr>
                <w:rFonts w:ascii="Calibri" w:eastAsia="Times New Roman" w:hAnsi="Calibri" w:cs="Calibri"/>
                <w:b/>
                <w:bCs/>
                <w:color w:val="000000"/>
                <w:kern w:val="0"/>
                <w:sz w:val="16"/>
                <w:szCs w:val="16"/>
                <w:lang w:eastAsia="pl-PL"/>
                <w14:ligatures w14:val="none"/>
              </w:rPr>
            </w:pPr>
            <w:r w:rsidRPr="00BD17DA">
              <w:rPr>
                <w:rFonts w:ascii="Calibri" w:eastAsia="Times New Roman" w:hAnsi="Calibri" w:cs="Calibri"/>
                <w:b/>
                <w:bCs/>
                <w:color w:val="000000"/>
                <w:kern w:val="0"/>
                <w:sz w:val="16"/>
                <w:szCs w:val="16"/>
                <w:lang w:eastAsia="pl-PL"/>
                <w14:ligatures w14:val="none"/>
              </w:rPr>
              <w:t>do 31.12.2028</w:t>
            </w:r>
          </w:p>
        </w:tc>
        <w:tc>
          <w:tcPr>
            <w:tcW w:w="1560" w:type="dxa"/>
            <w:gridSpan w:val="2"/>
            <w:tcBorders>
              <w:top w:val="single" w:sz="4" w:space="0" w:color="auto"/>
              <w:left w:val="nil"/>
              <w:bottom w:val="single" w:sz="4" w:space="0" w:color="auto"/>
              <w:right w:val="single" w:sz="4" w:space="0" w:color="000000"/>
            </w:tcBorders>
            <w:shd w:val="clear" w:color="000000" w:fill="FFFF00"/>
            <w:vAlign w:val="center"/>
            <w:hideMark/>
          </w:tcPr>
          <w:p w14:paraId="60E4424A" w14:textId="77777777" w:rsidR="00BD17DA" w:rsidRPr="00BD17DA" w:rsidRDefault="00BD17DA" w:rsidP="00BD17DA">
            <w:pPr>
              <w:jc w:val="center"/>
              <w:rPr>
                <w:rFonts w:ascii="Calibri" w:eastAsia="Times New Roman" w:hAnsi="Calibri" w:cs="Calibri"/>
                <w:b/>
                <w:bCs/>
                <w:color w:val="000000"/>
                <w:kern w:val="0"/>
                <w:sz w:val="16"/>
                <w:szCs w:val="16"/>
                <w:lang w:eastAsia="pl-PL"/>
                <w14:ligatures w14:val="none"/>
              </w:rPr>
            </w:pPr>
            <w:r w:rsidRPr="00BD17DA">
              <w:rPr>
                <w:rFonts w:ascii="Calibri" w:eastAsia="Times New Roman" w:hAnsi="Calibri" w:cs="Calibri"/>
                <w:b/>
                <w:bCs/>
                <w:color w:val="000000"/>
                <w:kern w:val="0"/>
                <w:sz w:val="16"/>
                <w:szCs w:val="16"/>
                <w:lang w:eastAsia="pl-PL"/>
                <w14:ligatures w14:val="none"/>
              </w:rPr>
              <w:t>do 31.12.2029</w:t>
            </w:r>
          </w:p>
        </w:tc>
        <w:tc>
          <w:tcPr>
            <w:tcW w:w="700" w:type="dxa"/>
            <w:vMerge w:val="restart"/>
            <w:tcBorders>
              <w:top w:val="single" w:sz="4" w:space="0" w:color="auto"/>
              <w:left w:val="single" w:sz="4" w:space="0" w:color="auto"/>
              <w:bottom w:val="single" w:sz="4" w:space="0" w:color="auto"/>
              <w:right w:val="single" w:sz="4" w:space="0" w:color="auto"/>
            </w:tcBorders>
            <w:shd w:val="clear" w:color="000000" w:fill="FE9786"/>
            <w:textDirection w:val="tbRl"/>
            <w:vAlign w:val="center"/>
            <w:hideMark/>
          </w:tcPr>
          <w:p w14:paraId="2FCFF7B0" w14:textId="77777777" w:rsidR="00BD17DA" w:rsidRPr="00BD17DA" w:rsidRDefault="00BD17DA" w:rsidP="00BD17DA">
            <w:pPr>
              <w:jc w:val="center"/>
              <w:rPr>
                <w:rFonts w:ascii="Calibri" w:eastAsia="Times New Roman" w:hAnsi="Calibri" w:cs="Calibri"/>
                <w:b/>
                <w:bCs/>
                <w:color w:val="000000"/>
                <w:kern w:val="0"/>
                <w:sz w:val="16"/>
                <w:szCs w:val="16"/>
                <w:lang w:eastAsia="pl-PL"/>
                <w14:ligatures w14:val="none"/>
              </w:rPr>
            </w:pPr>
            <w:r w:rsidRPr="00BD17DA">
              <w:rPr>
                <w:rFonts w:ascii="Calibri" w:eastAsia="Times New Roman" w:hAnsi="Calibri" w:cs="Calibri"/>
                <w:b/>
                <w:bCs/>
                <w:color w:val="000000"/>
                <w:kern w:val="0"/>
                <w:sz w:val="16"/>
                <w:szCs w:val="16"/>
                <w:lang w:eastAsia="pl-PL"/>
                <w14:ligatures w14:val="none"/>
              </w:rPr>
              <w:t>Program</w:t>
            </w:r>
          </w:p>
        </w:tc>
      </w:tr>
      <w:tr w:rsidR="00BD17DA" w:rsidRPr="00BD17DA" w14:paraId="33C0EB85" w14:textId="77777777" w:rsidTr="00B70DF5">
        <w:trPr>
          <w:trHeight w:val="2355"/>
        </w:trPr>
        <w:tc>
          <w:tcPr>
            <w:tcW w:w="1601" w:type="dxa"/>
            <w:vMerge/>
            <w:tcBorders>
              <w:top w:val="single" w:sz="4" w:space="0" w:color="auto"/>
              <w:left w:val="single" w:sz="4" w:space="0" w:color="auto"/>
              <w:bottom w:val="single" w:sz="4" w:space="0" w:color="auto"/>
              <w:right w:val="single" w:sz="4" w:space="0" w:color="auto"/>
            </w:tcBorders>
            <w:vAlign w:val="center"/>
            <w:hideMark/>
          </w:tcPr>
          <w:p w14:paraId="22FAFC37" w14:textId="77777777" w:rsidR="00BD17DA" w:rsidRPr="00BD17DA" w:rsidRDefault="00BD17DA" w:rsidP="00BD17DA">
            <w:pPr>
              <w:rPr>
                <w:rFonts w:ascii="Calibri" w:eastAsia="Times New Roman" w:hAnsi="Calibri" w:cs="Calibri"/>
                <w:b/>
                <w:bCs/>
                <w:color w:val="000000"/>
                <w:kern w:val="0"/>
                <w:sz w:val="16"/>
                <w:szCs w:val="16"/>
                <w:lang w:eastAsia="pl-PL"/>
                <w14:ligatures w14:val="none"/>
              </w:rPr>
            </w:pPr>
          </w:p>
        </w:tc>
        <w:tc>
          <w:tcPr>
            <w:tcW w:w="3615" w:type="dxa"/>
            <w:tcBorders>
              <w:top w:val="nil"/>
              <w:left w:val="nil"/>
              <w:bottom w:val="single" w:sz="4" w:space="0" w:color="auto"/>
              <w:right w:val="single" w:sz="4" w:space="0" w:color="auto"/>
            </w:tcBorders>
            <w:shd w:val="clear" w:color="000000" w:fill="FFFFCC"/>
            <w:textDirection w:val="tbRl"/>
            <w:vAlign w:val="center"/>
            <w:hideMark/>
          </w:tcPr>
          <w:p w14:paraId="11AA8C4C" w14:textId="77777777"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Nazwa wskaźnika</w:t>
            </w:r>
          </w:p>
        </w:tc>
        <w:tc>
          <w:tcPr>
            <w:tcW w:w="780" w:type="dxa"/>
            <w:tcBorders>
              <w:top w:val="nil"/>
              <w:left w:val="nil"/>
              <w:bottom w:val="nil"/>
              <w:right w:val="nil"/>
            </w:tcBorders>
            <w:shd w:val="clear" w:color="000000" w:fill="FFFFCC"/>
            <w:textDirection w:val="tbRl"/>
            <w:vAlign w:val="center"/>
            <w:hideMark/>
          </w:tcPr>
          <w:p w14:paraId="56D4E991" w14:textId="77777777"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Wartość z jednostką miary</w:t>
            </w:r>
          </w:p>
        </w:tc>
        <w:tc>
          <w:tcPr>
            <w:tcW w:w="780" w:type="dxa"/>
            <w:tcBorders>
              <w:top w:val="nil"/>
              <w:left w:val="single" w:sz="4" w:space="0" w:color="auto"/>
              <w:bottom w:val="single" w:sz="4" w:space="0" w:color="auto"/>
              <w:right w:val="single" w:sz="4" w:space="0" w:color="auto"/>
            </w:tcBorders>
            <w:shd w:val="clear" w:color="000000" w:fill="FFFFCC"/>
            <w:textDirection w:val="tbRl"/>
            <w:vAlign w:val="center"/>
            <w:hideMark/>
          </w:tcPr>
          <w:p w14:paraId="41115517" w14:textId="77777777"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 realizacji wskaźnika narastająco</w:t>
            </w:r>
          </w:p>
        </w:tc>
        <w:tc>
          <w:tcPr>
            <w:tcW w:w="780" w:type="dxa"/>
            <w:tcBorders>
              <w:top w:val="nil"/>
              <w:left w:val="nil"/>
              <w:bottom w:val="single" w:sz="4" w:space="0" w:color="auto"/>
              <w:right w:val="single" w:sz="4" w:space="0" w:color="auto"/>
            </w:tcBorders>
            <w:shd w:val="clear" w:color="000000" w:fill="FFFFCC"/>
            <w:textDirection w:val="tbRl"/>
            <w:vAlign w:val="center"/>
            <w:hideMark/>
          </w:tcPr>
          <w:p w14:paraId="50FA1F08" w14:textId="77777777"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Wartość z jednostką miary</w:t>
            </w:r>
          </w:p>
        </w:tc>
        <w:tc>
          <w:tcPr>
            <w:tcW w:w="780" w:type="dxa"/>
            <w:tcBorders>
              <w:top w:val="nil"/>
              <w:left w:val="nil"/>
              <w:bottom w:val="single" w:sz="4" w:space="0" w:color="auto"/>
              <w:right w:val="single" w:sz="4" w:space="0" w:color="auto"/>
            </w:tcBorders>
            <w:shd w:val="clear" w:color="000000" w:fill="FFFFCC"/>
            <w:textDirection w:val="tbRl"/>
            <w:vAlign w:val="center"/>
            <w:hideMark/>
          </w:tcPr>
          <w:p w14:paraId="26856148" w14:textId="77777777"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 realizacji wskaźnika narastająco</w:t>
            </w:r>
          </w:p>
        </w:tc>
        <w:tc>
          <w:tcPr>
            <w:tcW w:w="780" w:type="dxa"/>
            <w:tcBorders>
              <w:top w:val="nil"/>
              <w:left w:val="nil"/>
              <w:bottom w:val="single" w:sz="4" w:space="0" w:color="auto"/>
              <w:right w:val="single" w:sz="4" w:space="0" w:color="auto"/>
            </w:tcBorders>
            <w:shd w:val="clear" w:color="000000" w:fill="FFFFCC"/>
            <w:textDirection w:val="tbRl"/>
            <w:vAlign w:val="center"/>
            <w:hideMark/>
          </w:tcPr>
          <w:p w14:paraId="65F1C5CB" w14:textId="77777777"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Wartość z jednostką miary</w:t>
            </w:r>
          </w:p>
        </w:tc>
        <w:tc>
          <w:tcPr>
            <w:tcW w:w="780" w:type="dxa"/>
            <w:tcBorders>
              <w:top w:val="nil"/>
              <w:left w:val="nil"/>
              <w:bottom w:val="single" w:sz="4" w:space="0" w:color="auto"/>
              <w:right w:val="single" w:sz="4" w:space="0" w:color="auto"/>
            </w:tcBorders>
            <w:shd w:val="clear" w:color="000000" w:fill="FFFFCC"/>
            <w:textDirection w:val="tbRl"/>
            <w:vAlign w:val="center"/>
            <w:hideMark/>
          </w:tcPr>
          <w:p w14:paraId="073DF742" w14:textId="77777777"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 realizacji wskaźnika narastająco</w:t>
            </w:r>
          </w:p>
        </w:tc>
        <w:tc>
          <w:tcPr>
            <w:tcW w:w="780" w:type="dxa"/>
            <w:tcBorders>
              <w:top w:val="nil"/>
              <w:left w:val="nil"/>
              <w:bottom w:val="single" w:sz="4" w:space="0" w:color="auto"/>
              <w:right w:val="single" w:sz="4" w:space="0" w:color="auto"/>
            </w:tcBorders>
            <w:shd w:val="clear" w:color="000000" w:fill="FFFFCC"/>
            <w:textDirection w:val="tbRl"/>
            <w:vAlign w:val="center"/>
            <w:hideMark/>
          </w:tcPr>
          <w:p w14:paraId="6F4351C6" w14:textId="77777777"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Wartość z jednostką miary</w:t>
            </w:r>
          </w:p>
        </w:tc>
        <w:tc>
          <w:tcPr>
            <w:tcW w:w="780" w:type="dxa"/>
            <w:tcBorders>
              <w:top w:val="nil"/>
              <w:left w:val="nil"/>
              <w:bottom w:val="single" w:sz="4" w:space="0" w:color="auto"/>
              <w:right w:val="single" w:sz="4" w:space="0" w:color="auto"/>
            </w:tcBorders>
            <w:shd w:val="clear" w:color="000000" w:fill="FFFFCC"/>
            <w:textDirection w:val="tbRl"/>
            <w:vAlign w:val="center"/>
            <w:hideMark/>
          </w:tcPr>
          <w:p w14:paraId="04A51EFB" w14:textId="77777777"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 realizacji wskaźnika narastająco</w:t>
            </w:r>
          </w:p>
        </w:tc>
        <w:tc>
          <w:tcPr>
            <w:tcW w:w="780" w:type="dxa"/>
            <w:tcBorders>
              <w:top w:val="nil"/>
              <w:left w:val="nil"/>
              <w:bottom w:val="single" w:sz="4" w:space="0" w:color="auto"/>
              <w:right w:val="single" w:sz="4" w:space="0" w:color="auto"/>
            </w:tcBorders>
            <w:shd w:val="clear" w:color="000000" w:fill="FFFFCC"/>
            <w:textDirection w:val="tbRl"/>
            <w:vAlign w:val="center"/>
            <w:hideMark/>
          </w:tcPr>
          <w:p w14:paraId="4DA23503" w14:textId="77777777"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Wartość z jednostką miary</w:t>
            </w:r>
          </w:p>
        </w:tc>
        <w:tc>
          <w:tcPr>
            <w:tcW w:w="780" w:type="dxa"/>
            <w:tcBorders>
              <w:top w:val="nil"/>
              <w:left w:val="nil"/>
              <w:bottom w:val="single" w:sz="4" w:space="0" w:color="auto"/>
              <w:right w:val="single" w:sz="4" w:space="0" w:color="auto"/>
            </w:tcBorders>
            <w:shd w:val="clear" w:color="000000" w:fill="FFFFCC"/>
            <w:textDirection w:val="tbRl"/>
            <w:vAlign w:val="center"/>
            <w:hideMark/>
          </w:tcPr>
          <w:p w14:paraId="62D885E9" w14:textId="77777777"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 realizacji wskaźnika narastająco</w:t>
            </w:r>
          </w:p>
        </w:tc>
        <w:tc>
          <w:tcPr>
            <w:tcW w:w="780" w:type="dxa"/>
            <w:tcBorders>
              <w:top w:val="nil"/>
              <w:left w:val="nil"/>
              <w:bottom w:val="single" w:sz="4" w:space="0" w:color="auto"/>
              <w:right w:val="single" w:sz="4" w:space="0" w:color="auto"/>
            </w:tcBorders>
            <w:shd w:val="clear" w:color="000000" w:fill="FFFFCC"/>
            <w:textDirection w:val="tbRl"/>
            <w:vAlign w:val="center"/>
            <w:hideMark/>
          </w:tcPr>
          <w:p w14:paraId="279622F9" w14:textId="77777777"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Wartość z jednostką miary</w:t>
            </w:r>
          </w:p>
        </w:tc>
        <w:tc>
          <w:tcPr>
            <w:tcW w:w="780" w:type="dxa"/>
            <w:tcBorders>
              <w:top w:val="nil"/>
              <w:left w:val="nil"/>
              <w:bottom w:val="single" w:sz="4" w:space="0" w:color="auto"/>
              <w:right w:val="single" w:sz="4" w:space="0" w:color="auto"/>
            </w:tcBorders>
            <w:shd w:val="clear" w:color="000000" w:fill="FFFFCC"/>
            <w:textDirection w:val="tbRl"/>
            <w:vAlign w:val="center"/>
            <w:hideMark/>
          </w:tcPr>
          <w:p w14:paraId="45C87071" w14:textId="77777777"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 realizacji wskaźnika narastająco</w:t>
            </w: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358E6B8E" w14:textId="77777777" w:rsidR="00BD17DA" w:rsidRPr="00BD17DA" w:rsidRDefault="00BD17DA" w:rsidP="00BD17DA">
            <w:pPr>
              <w:rPr>
                <w:rFonts w:ascii="Calibri" w:eastAsia="Times New Roman" w:hAnsi="Calibri" w:cs="Calibri"/>
                <w:b/>
                <w:bCs/>
                <w:color w:val="000000"/>
                <w:kern w:val="0"/>
                <w:sz w:val="16"/>
                <w:szCs w:val="16"/>
                <w:lang w:eastAsia="pl-PL"/>
                <w14:ligatures w14:val="none"/>
              </w:rPr>
            </w:pPr>
          </w:p>
        </w:tc>
      </w:tr>
      <w:tr w:rsidR="00BD17DA" w:rsidRPr="00BD17DA" w14:paraId="7EF2FD27" w14:textId="77777777" w:rsidTr="00B70DF5">
        <w:trPr>
          <w:trHeight w:val="435"/>
        </w:trPr>
        <w:tc>
          <w:tcPr>
            <w:tcW w:w="1601" w:type="dxa"/>
            <w:tcBorders>
              <w:top w:val="nil"/>
              <w:left w:val="single" w:sz="4" w:space="0" w:color="auto"/>
              <w:bottom w:val="single" w:sz="4" w:space="0" w:color="auto"/>
              <w:right w:val="single" w:sz="4" w:space="0" w:color="auto"/>
            </w:tcBorders>
            <w:shd w:val="clear" w:color="000000" w:fill="FFD5B9"/>
            <w:vAlign w:val="center"/>
            <w:hideMark/>
          </w:tcPr>
          <w:p w14:paraId="0B182B5B" w14:textId="77777777" w:rsidR="00BD17DA" w:rsidRPr="00BD17DA" w:rsidRDefault="00BD17DA" w:rsidP="00BD17DA">
            <w:pPr>
              <w:rPr>
                <w:rFonts w:ascii="Calibri" w:eastAsia="Times New Roman" w:hAnsi="Calibri" w:cs="Calibri"/>
                <w:b/>
                <w:bCs/>
                <w:kern w:val="0"/>
                <w:sz w:val="16"/>
                <w:szCs w:val="16"/>
                <w:lang w:eastAsia="pl-PL"/>
                <w14:ligatures w14:val="none"/>
              </w:rPr>
            </w:pPr>
            <w:r w:rsidRPr="00BD17DA">
              <w:rPr>
                <w:rFonts w:ascii="Calibri" w:eastAsia="Times New Roman" w:hAnsi="Calibri" w:cs="Calibri"/>
                <w:b/>
                <w:bCs/>
                <w:kern w:val="0"/>
                <w:sz w:val="16"/>
                <w:szCs w:val="16"/>
                <w:lang w:eastAsia="pl-PL"/>
                <w14:ligatures w14:val="none"/>
              </w:rPr>
              <w:t>C.1.</w:t>
            </w:r>
          </w:p>
        </w:tc>
        <w:tc>
          <w:tcPr>
            <w:tcW w:w="13675" w:type="dxa"/>
            <w:gridSpan w:val="14"/>
            <w:tcBorders>
              <w:top w:val="single" w:sz="4" w:space="0" w:color="auto"/>
              <w:left w:val="nil"/>
              <w:bottom w:val="single" w:sz="4" w:space="0" w:color="auto"/>
              <w:right w:val="nil"/>
            </w:tcBorders>
            <w:shd w:val="clear" w:color="000000" w:fill="FFD5B9"/>
            <w:vAlign w:val="center"/>
            <w:hideMark/>
          </w:tcPr>
          <w:p w14:paraId="3943F3F6" w14:textId="198F2C51" w:rsidR="00BD17DA" w:rsidRPr="00BD17DA" w:rsidRDefault="00BD17DA" w:rsidP="00BD17DA">
            <w:pPr>
              <w:rPr>
                <w:rFonts w:ascii="Calibri" w:eastAsia="Times New Roman" w:hAnsi="Calibri" w:cs="Calibri"/>
                <w:b/>
                <w:bCs/>
                <w:kern w:val="0"/>
                <w:sz w:val="16"/>
                <w:szCs w:val="16"/>
                <w:lang w:eastAsia="pl-PL"/>
                <w14:ligatures w14:val="none"/>
              </w:rPr>
            </w:pPr>
            <w:r w:rsidRPr="00BD17DA">
              <w:rPr>
                <w:rFonts w:ascii="Calibri" w:eastAsia="Times New Roman" w:hAnsi="Calibri" w:cs="Calibri"/>
                <w:b/>
                <w:bCs/>
                <w:kern w:val="0"/>
                <w:sz w:val="16"/>
                <w:szCs w:val="16"/>
                <w:lang w:eastAsia="pl-PL"/>
                <w14:ligatures w14:val="none"/>
              </w:rPr>
              <w:t xml:space="preserve"> Poprawa jakości życia na obszarze LSR, aktywizacja i zwiększenie włączenia społecznego.</w:t>
            </w:r>
            <w:r>
              <w:rPr>
                <w:rFonts w:ascii="Calibri" w:eastAsia="Times New Roman" w:hAnsi="Calibri" w:cs="Calibri"/>
                <w:b/>
                <w:bCs/>
                <w:kern w:val="0"/>
                <w:sz w:val="16"/>
                <w:szCs w:val="16"/>
                <w:lang w:eastAsia="pl-PL"/>
                <w14:ligatures w14:val="none"/>
              </w:rPr>
              <w:t xml:space="preserve"> </w:t>
            </w:r>
          </w:p>
        </w:tc>
      </w:tr>
      <w:tr w:rsidR="00BD17DA" w:rsidRPr="00BD17DA" w14:paraId="3E88323A" w14:textId="77777777" w:rsidTr="00B70DF5">
        <w:trPr>
          <w:trHeight w:val="641"/>
        </w:trPr>
        <w:tc>
          <w:tcPr>
            <w:tcW w:w="1601" w:type="dxa"/>
            <w:tcBorders>
              <w:top w:val="nil"/>
              <w:left w:val="single" w:sz="4" w:space="0" w:color="auto"/>
              <w:bottom w:val="single" w:sz="4" w:space="0" w:color="auto"/>
              <w:right w:val="single" w:sz="4" w:space="0" w:color="auto"/>
            </w:tcBorders>
            <w:shd w:val="clear" w:color="000000" w:fill="FFD5B9"/>
            <w:vAlign w:val="center"/>
            <w:hideMark/>
          </w:tcPr>
          <w:p w14:paraId="4AE6CABC" w14:textId="3CA230CC"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Przedsięwzięcie P. 1.1 Opracowanie koncepcji inteligentnych wsi.</w:t>
            </w:r>
            <w:r>
              <w:rPr>
                <w:rFonts w:ascii="Calibri" w:eastAsia="Times New Roman" w:hAnsi="Calibri" w:cs="Calibri"/>
                <w:color w:val="000000"/>
                <w:kern w:val="0"/>
                <w:sz w:val="16"/>
                <w:szCs w:val="16"/>
                <w:lang w:eastAsia="pl-PL"/>
                <w14:ligatures w14:val="none"/>
              </w:rPr>
              <w:t xml:space="preserve"> </w:t>
            </w:r>
          </w:p>
        </w:tc>
        <w:tc>
          <w:tcPr>
            <w:tcW w:w="3615" w:type="dxa"/>
            <w:tcBorders>
              <w:top w:val="nil"/>
              <w:left w:val="nil"/>
              <w:bottom w:val="single" w:sz="4" w:space="0" w:color="auto"/>
              <w:right w:val="single" w:sz="4" w:space="0" w:color="auto"/>
            </w:tcBorders>
            <w:shd w:val="clear" w:color="auto" w:fill="auto"/>
            <w:vAlign w:val="center"/>
            <w:hideMark/>
          </w:tcPr>
          <w:p w14:paraId="12FC7B05" w14:textId="7CF40098"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Wskaźnik produktu</w:t>
            </w:r>
            <w:r>
              <w:rPr>
                <w:rFonts w:ascii="Times New Roman" w:eastAsia="Times New Roman" w:hAnsi="Times New Roman" w:cs="Times New Roman"/>
                <w:color w:val="000000"/>
                <w:kern w:val="0"/>
                <w:sz w:val="16"/>
                <w:szCs w:val="16"/>
                <w:lang w:eastAsia="pl-PL"/>
                <w14:ligatures w14:val="none"/>
              </w:rPr>
              <w:t xml:space="preserve"> </w:t>
            </w:r>
            <w:r w:rsidRPr="00BD17DA">
              <w:rPr>
                <w:rFonts w:ascii="Calibri" w:eastAsia="Times New Roman" w:hAnsi="Calibri" w:cs="Calibri"/>
                <w:color w:val="000000"/>
                <w:kern w:val="0"/>
                <w:sz w:val="16"/>
                <w:szCs w:val="16"/>
                <w:lang w:eastAsia="pl-PL"/>
                <w14:ligatures w14:val="none"/>
              </w:rPr>
              <w:t xml:space="preserve">:1.1.1. Liczba przygotowanych koncepcji Smart </w:t>
            </w:r>
            <w:proofErr w:type="spellStart"/>
            <w:r w:rsidRPr="00BD17DA">
              <w:rPr>
                <w:rFonts w:ascii="Calibri" w:eastAsia="Times New Roman" w:hAnsi="Calibri" w:cs="Calibri"/>
                <w:color w:val="000000"/>
                <w:kern w:val="0"/>
                <w:sz w:val="16"/>
                <w:szCs w:val="16"/>
                <w:lang w:eastAsia="pl-PL"/>
                <w14:ligatures w14:val="none"/>
              </w:rPr>
              <w:t>Villages</w:t>
            </w:r>
            <w:proofErr w:type="spellEnd"/>
            <w:r w:rsidRPr="00BD17DA">
              <w:rPr>
                <w:rFonts w:ascii="Calibri" w:eastAsia="Times New Roman" w:hAnsi="Calibri" w:cs="Calibri"/>
                <w:color w:val="000000"/>
                <w:kern w:val="0"/>
                <w:sz w:val="16"/>
                <w:szCs w:val="16"/>
                <w:lang w:eastAsia="pl-PL"/>
                <w14:ligatures w14:val="none"/>
              </w:rPr>
              <w:t>.</w:t>
            </w:r>
          </w:p>
        </w:tc>
        <w:tc>
          <w:tcPr>
            <w:tcW w:w="780" w:type="dxa"/>
            <w:tcBorders>
              <w:top w:val="nil"/>
              <w:left w:val="nil"/>
              <w:bottom w:val="single" w:sz="4" w:space="0" w:color="auto"/>
              <w:right w:val="single" w:sz="4" w:space="0" w:color="auto"/>
            </w:tcBorders>
            <w:shd w:val="clear" w:color="auto" w:fill="auto"/>
            <w:vAlign w:val="center"/>
            <w:hideMark/>
          </w:tcPr>
          <w:p w14:paraId="7B0837CB"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055163CE"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1E6E8F75" w14:textId="457E10AD" w:rsidR="00BD17DA" w:rsidRPr="00C406F6" w:rsidRDefault="00D307A5" w:rsidP="00BD17DA">
            <w:pPr>
              <w:jc w:val="right"/>
              <w:rPr>
                <w:rFonts w:ascii="Calibri" w:eastAsia="Times New Roman" w:hAnsi="Calibri" w:cs="Calibri"/>
                <w:kern w:val="0"/>
                <w:sz w:val="16"/>
                <w:szCs w:val="16"/>
                <w:lang w:eastAsia="pl-PL"/>
                <w14:ligatures w14:val="none"/>
              </w:rPr>
            </w:pPr>
            <w:r w:rsidRPr="00C406F6">
              <w:rPr>
                <w:rFonts w:ascii="Calibri" w:eastAsia="Times New Roman" w:hAnsi="Calibri" w:cs="Calibri"/>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12824922" w14:textId="492FA958" w:rsidR="00D307A5" w:rsidRPr="00C406F6" w:rsidRDefault="00D307A5" w:rsidP="00BD17DA">
            <w:pPr>
              <w:jc w:val="right"/>
              <w:rPr>
                <w:rFonts w:ascii="Calibri" w:eastAsia="Times New Roman" w:hAnsi="Calibri" w:cs="Calibri"/>
                <w:kern w:val="0"/>
                <w:sz w:val="16"/>
                <w:szCs w:val="16"/>
                <w:lang w:eastAsia="pl-PL"/>
                <w14:ligatures w14:val="none"/>
              </w:rPr>
            </w:pPr>
            <w:r w:rsidRPr="00C406F6">
              <w:rPr>
                <w:rFonts w:ascii="Calibri" w:eastAsia="Times New Roman" w:hAnsi="Calibri" w:cs="Calibri"/>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2B3C57B9" w14:textId="22103755" w:rsidR="00BD17DA" w:rsidRPr="00C406F6" w:rsidRDefault="00D307A5" w:rsidP="00BD17DA">
            <w:pPr>
              <w:jc w:val="right"/>
              <w:rPr>
                <w:rFonts w:ascii="Calibri" w:eastAsia="Times New Roman" w:hAnsi="Calibri" w:cs="Calibri"/>
                <w:kern w:val="0"/>
                <w:sz w:val="16"/>
                <w:szCs w:val="16"/>
                <w:lang w:eastAsia="pl-PL"/>
                <w14:ligatures w14:val="none"/>
              </w:rPr>
            </w:pPr>
            <w:r w:rsidRPr="00C406F6">
              <w:rPr>
                <w:rFonts w:ascii="Calibri" w:eastAsia="Times New Roman" w:hAnsi="Calibri" w:cs="Calibri"/>
                <w:kern w:val="0"/>
                <w:sz w:val="16"/>
                <w:szCs w:val="16"/>
                <w:lang w:eastAsia="pl-PL"/>
                <w14:ligatures w14:val="none"/>
              </w:rPr>
              <w:t>12 sztuk</w:t>
            </w:r>
          </w:p>
        </w:tc>
        <w:tc>
          <w:tcPr>
            <w:tcW w:w="780" w:type="dxa"/>
            <w:tcBorders>
              <w:top w:val="nil"/>
              <w:left w:val="nil"/>
              <w:bottom w:val="single" w:sz="4" w:space="0" w:color="auto"/>
              <w:right w:val="single" w:sz="4" w:space="0" w:color="auto"/>
            </w:tcBorders>
            <w:shd w:val="clear" w:color="auto" w:fill="auto"/>
            <w:vAlign w:val="center"/>
            <w:hideMark/>
          </w:tcPr>
          <w:p w14:paraId="44FE1ACA" w14:textId="18A2003C" w:rsidR="00BD17DA" w:rsidRPr="00A90EBA" w:rsidRDefault="00F206D1" w:rsidP="00BD17DA">
            <w:pPr>
              <w:jc w:val="right"/>
              <w:rPr>
                <w:rFonts w:ascii="Calibri" w:eastAsia="Times New Roman" w:hAnsi="Calibri" w:cs="Calibri"/>
                <w:kern w:val="0"/>
                <w:sz w:val="16"/>
                <w:szCs w:val="16"/>
                <w:lang w:eastAsia="pl-PL"/>
                <w14:ligatures w14:val="none"/>
              </w:rPr>
            </w:pPr>
            <w:r w:rsidRPr="00A90EBA">
              <w:rPr>
                <w:rFonts w:ascii="Calibri" w:eastAsia="Times New Roman" w:hAnsi="Calibri" w:cs="Calibri"/>
                <w:kern w:val="0"/>
                <w:sz w:val="16"/>
                <w:szCs w:val="16"/>
                <w:lang w:eastAsia="pl-PL"/>
                <w14:ligatures w14:val="none"/>
              </w:rPr>
              <w:t>100</w:t>
            </w:r>
            <w:r w:rsidR="00BD17DA" w:rsidRPr="00A90EBA">
              <w:rPr>
                <w:rFonts w:ascii="Calibri" w:eastAsia="Times New Roman" w:hAnsi="Calibri" w:cs="Calibri"/>
                <w:kern w:val="0"/>
                <w:sz w:val="16"/>
                <w:szCs w:val="16"/>
                <w:lang w:eastAsia="pl-PL"/>
                <w14:ligatures w14:val="none"/>
              </w:rPr>
              <w:t>%</w:t>
            </w:r>
          </w:p>
        </w:tc>
        <w:tc>
          <w:tcPr>
            <w:tcW w:w="780" w:type="dxa"/>
            <w:tcBorders>
              <w:top w:val="nil"/>
              <w:left w:val="nil"/>
              <w:bottom w:val="single" w:sz="4" w:space="0" w:color="auto"/>
              <w:right w:val="single" w:sz="4" w:space="0" w:color="auto"/>
            </w:tcBorders>
            <w:shd w:val="clear" w:color="auto" w:fill="auto"/>
            <w:vAlign w:val="center"/>
            <w:hideMark/>
          </w:tcPr>
          <w:p w14:paraId="63569544"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0BA94266" w14:textId="5F19CEAF"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100</w:t>
            </w:r>
            <w:r w:rsidR="00F206D1">
              <w:rPr>
                <w:rFonts w:ascii="Calibri" w:eastAsia="Times New Roman" w:hAnsi="Calibri" w:cs="Calibri"/>
                <w:color w:val="000000"/>
                <w:kern w:val="0"/>
                <w:sz w:val="16"/>
                <w:szCs w:val="16"/>
                <w:lang w:eastAsia="pl-PL"/>
                <w14:ligatures w14:val="none"/>
              </w:rPr>
              <w:t>%</w:t>
            </w:r>
          </w:p>
        </w:tc>
        <w:tc>
          <w:tcPr>
            <w:tcW w:w="780" w:type="dxa"/>
            <w:tcBorders>
              <w:top w:val="nil"/>
              <w:left w:val="nil"/>
              <w:bottom w:val="single" w:sz="4" w:space="0" w:color="auto"/>
              <w:right w:val="single" w:sz="4" w:space="0" w:color="auto"/>
            </w:tcBorders>
            <w:shd w:val="clear" w:color="auto" w:fill="auto"/>
            <w:vAlign w:val="center"/>
            <w:hideMark/>
          </w:tcPr>
          <w:p w14:paraId="7764FDB8"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786684A9" w14:textId="3EC17442"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100</w:t>
            </w:r>
            <w:r w:rsidR="00F206D1">
              <w:rPr>
                <w:rFonts w:ascii="Calibri" w:eastAsia="Times New Roman" w:hAnsi="Calibri" w:cs="Calibri"/>
                <w:color w:val="000000"/>
                <w:kern w:val="0"/>
                <w:sz w:val="16"/>
                <w:szCs w:val="16"/>
                <w:lang w:eastAsia="pl-PL"/>
                <w14:ligatures w14:val="none"/>
              </w:rPr>
              <w:t>%</w:t>
            </w:r>
          </w:p>
        </w:tc>
        <w:tc>
          <w:tcPr>
            <w:tcW w:w="780" w:type="dxa"/>
            <w:tcBorders>
              <w:top w:val="nil"/>
              <w:left w:val="nil"/>
              <w:bottom w:val="single" w:sz="4" w:space="0" w:color="auto"/>
              <w:right w:val="single" w:sz="4" w:space="0" w:color="auto"/>
            </w:tcBorders>
            <w:shd w:val="clear" w:color="auto" w:fill="auto"/>
            <w:vAlign w:val="center"/>
            <w:hideMark/>
          </w:tcPr>
          <w:p w14:paraId="0FFC3B50"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5A7C1F89" w14:textId="29E54729"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100</w:t>
            </w:r>
            <w:r w:rsidR="00F206D1">
              <w:rPr>
                <w:rFonts w:ascii="Calibri" w:eastAsia="Times New Roman" w:hAnsi="Calibri" w:cs="Calibri"/>
                <w:color w:val="000000"/>
                <w:kern w:val="0"/>
                <w:sz w:val="16"/>
                <w:szCs w:val="16"/>
                <w:lang w:eastAsia="pl-PL"/>
                <w14:ligatures w14:val="none"/>
              </w:rPr>
              <w:t>%</w:t>
            </w:r>
          </w:p>
        </w:tc>
        <w:tc>
          <w:tcPr>
            <w:tcW w:w="700" w:type="dxa"/>
            <w:tcBorders>
              <w:top w:val="nil"/>
              <w:left w:val="nil"/>
              <w:bottom w:val="single" w:sz="4" w:space="0" w:color="auto"/>
              <w:right w:val="single" w:sz="4" w:space="0" w:color="auto"/>
            </w:tcBorders>
            <w:shd w:val="clear" w:color="auto" w:fill="auto"/>
            <w:vAlign w:val="center"/>
            <w:hideMark/>
          </w:tcPr>
          <w:p w14:paraId="66D2C2CD" w14:textId="77777777"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PS WPR</w:t>
            </w:r>
          </w:p>
        </w:tc>
      </w:tr>
      <w:tr w:rsidR="00BD17DA" w:rsidRPr="00BD17DA" w14:paraId="68E83308" w14:textId="77777777" w:rsidTr="00B70DF5">
        <w:trPr>
          <w:trHeight w:val="1291"/>
        </w:trPr>
        <w:tc>
          <w:tcPr>
            <w:tcW w:w="1601" w:type="dxa"/>
            <w:vMerge w:val="restart"/>
            <w:tcBorders>
              <w:top w:val="nil"/>
              <w:left w:val="single" w:sz="4" w:space="0" w:color="auto"/>
              <w:bottom w:val="nil"/>
              <w:right w:val="single" w:sz="4" w:space="0" w:color="auto"/>
            </w:tcBorders>
            <w:shd w:val="clear" w:color="000000" w:fill="FFD5B9"/>
            <w:vAlign w:val="center"/>
            <w:hideMark/>
          </w:tcPr>
          <w:p w14:paraId="09FBA94D"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Przedsięwzięcie P.1.2 Poprawa dostępu do małej infrastruktury publicznej.</w:t>
            </w:r>
          </w:p>
        </w:tc>
        <w:tc>
          <w:tcPr>
            <w:tcW w:w="3615" w:type="dxa"/>
            <w:tcBorders>
              <w:top w:val="nil"/>
              <w:left w:val="nil"/>
              <w:bottom w:val="single" w:sz="4" w:space="0" w:color="auto"/>
              <w:right w:val="single" w:sz="4" w:space="0" w:color="auto"/>
            </w:tcBorders>
            <w:shd w:val="clear" w:color="auto" w:fill="auto"/>
            <w:vAlign w:val="center"/>
            <w:hideMark/>
          </w:tcPr>
          <w:p w14:paraId="169A945D"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Wskaźnik produktu : 1.2.1 Liczba utworzonych / dostosowanych / doposażonych obiektów ogólnodostępnej infrastruktury publicznej, w tym turystycznej / rekreacyjnej / kulturalnej lub innej publicznej.</w:t>
            </w:r>
          </w:p>
        </w:tc>
        <w:tc>
          <w:tcPr>
            <w:tcW w:w="780" w:type="dxa"/>
            <w:tcBorders>
              <w:top w:val="nil"/>
              <w:left w:val="nil"/>
              <w:bottom w:val="single" w:sz="4" w:space="0" w:color="auto"/>
              <w:right w:val="single" w:sz="4" w:space="0" w:color="auto"/>
            </w:tcBorders>
            <w:shd w:val="clear" w:color="auto" w:fill="auto"/>
            <w:vAlign w:val="center"/>
            <w:hideMark/>
          </w:tcPr>
          <w:p w14:paraId="433A7FC3"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36443CB9"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72DA59B9" w14:textId="78104C78" w:rsidR="00BD17DA" w:rsidRPr="00C406F6" w:rsidRDefault="00E2440A" w:rsidP="00BD17DA">
            <w:pPr>
              <w:jc w:val="right"/>
              <w:rPr>
                <w:rFonts w:ascii="Calibri" w:eastAsia="Times New Roman" w:hAnsi="Calibri" w:cs="Calibri"/>
                <w:kern w:val="0"/>
                <w:sz w:val="16"/>
                <w:szCs w:val="16"/>
                <w:lang w:eastAsia="pl-PL"/>
                <w14:ligatures w14:val="none"/>
              </w:rPr>
            </w:pPr>
            <w:r w:rsidRPr="00C406F6">
              <w:rPr>
                <w:rFonts w:ascii="Calibri" w:eastAsia="Times New Roman" w:hAnsi="Calibri" w:cs="Calibri"/>
                <w:kern w:val="0"/>
                <w:sz w:val="16"/>
                <w:szCs w:val="16"/>
                <w:lang w:eastAsia="pl-PL"/>
                <w14:ligatures w14:val="none"/>
              </w:rPr>
              <w:t>6 sztuk</w:t>
            </w:r>
          </w:p>
        </w:tc>
        <w:tc>
          <w:tcPr>
            <w:tcW w:w="780" w:type="dxa"/>
            <w:tcBorders>
              <w:top w:val="nil"/>
              <w:left w:val="nil"/>
              <w:bottom w:val="single" w:sz="4" w:space="0" w:color="auto"/>
              <w:right w:val="single" w:sz="4" w:space="0" w:color="auto"/>
            </w:tcBorders>
            <w:shd w:val="clear" w:color="auto" w:fill="auto"/>
            <w:vAlign w:val="center"/>
            <w:hideMark/>
          </w:tcPr>
          <w:p w14:paraId="3DB10A37" w14:textId="352114E9" w:rsidR="000770A0" w:rsidRPr="00C406F6" w:rsidRDefault="000770A0" w:rsidP="00BD17DA">
            <w:pPr>
              <w:jc w:val="right"/>
              <w:rPr>
                <w:rFonts w:ascii="Calibri" w:eastAsia="Times New Roman" w:hAnsi="Calibri" w:cs="Calibri"/>
                <w:kern w:val="0"/>
                <w:sz w:val="16"/>
                <w:szCs w:val="16"/>
                <w:lang w:eastAsia="pl-PL"/>
                <w14:ligatures w14:val="none"/>
              </w:rPr>
            </w:pPr>
            <w:r w:rsidRPr="00C406F6">
              <w:rPr>
                <w:rFonts w:ascii="Calibri" w:eastAsia="Times New Roman" w:hAnsi="Calibri" w:cs="Calibri"/>
                <w:kern w:val="0"/>
                <w:sz w:val="16"/>
                <w:szCs w:val="16"/>
                <w:lang w:eastAsia="pl-PL"/>
                <w14:ligatures w14:val="none"/>
              </w:rPr>
              <w:t>100%</w:t>
            </w:r>
          </w:p>
        </w:tc>
        <w:tc>
          <w:tcPr>
            <w:tcW w:w="780" w:type="dxa"/>
            <w:tcBorders>
              <w:top w:val="nil"/>
              <w:left w:val="nil"/>
              <w:bottom w:val="single" w:sz="4" w:space="0" w:color="auto"/>
              <w:right w:val="single" w:sz="4" w:space="0" w:color="auto"/>
            </w:tcBorders>
            <w:shd w:val="clear" w:color="auto" w:fill="auto"/>
            <w:vAlign w:val="center"/>
            <w:hideMark/>
          </w:tcPr>
          <w:p w14:paraId="4BE1AB22" w14:textId="68F0C001" w:rsidR="000E653B" w:rsidRPr="00C406F6" w:rsidRDefault="000770A0" w:rsidP="00BD17DA">
            <w:pPr>
              <w:jc w:val="right"/>
              <w:rPr>
                <w:rFonts w:ascii="Calibri" w:eastAsia="Times New Roman" w:hAnsi="Calibri" w:cs="Calibri"/>
                <w:kern w:val="0"/>
                <w:sz w:val="16"/>
                <w:szCs w:val="16"/>
                <w:lang w:eastAsia="pl-PL"/>
                <w14:ligatures w14:val="none"/>
              </w:rPr>
            </w:pPr>
            <w:r w:rsidRPr="00C406F6">
              <w:rPr>
                <w:rFonts w:ascii="Calibri" w:eastAsia="Times New Roman" w:hAnsi="Calibri" w:cs="Calibri"/>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2B6F184F" w14:textId="3B01A802" w:rsidR="00BD17DA" w:rsidRPr="00A90EBA" w:rsidRDefault="00E2440A" w:rsidP="00E2440A">
            <w:pPr>
              <w:jc w:val="right"/>
              <w:rPr>
                <w:rFonts w:ascii="Calibri" w:eastAsia="Times New Roman" w:hAnsi="Calibri" w:cs="Calibri"/>
                <w:kern w:val="0"/>
                <w:sz w:val="16"/>
                <w:szCs w:val="16"/>
                <w:lang w:eastAsia="pl-PL"/>
                <w14:ligatures w14:val="none"/>
              </w:rPr>
            </w:pPr>
            <w:r w:rsidRPr="00A90EBA">
              <w:rPr>
                <w:rFonts w:ascii="Calibri" w:eastAsia="Times New Roman" w:hAnsi="Calibri" w:cs="Calibri"/>
                <w:kern w:val="0"/>
                <w:sz w:val="16"/>
                <w:szCs w:val="16"/>
                <w:lang w:eastAsia="pl-PL"/>
                <w14:ligatures w14:val="none"/>
              </w:rPr>
              <w:t>100</w:t>
            </w:r>
            <w:r w:rsidR="00F206D1" w:rsidRPr="00A90EBA">
              <w:rPr>
                <w:rFonts w:ascii="Calibri" w:eastAsia="Times New Roman" w:hAnsi="Calibri" w:cs="Calibri"/>
                <w:kern w:val="0"/>
                <w:sz w:val="16"/>
                <w:szCs w:val="16"/>
                <w:lang w:eastAsia="pl-PL"/>
                <w14:ligatures w14:val="none"/>
              </w:rPr>
              <w:t>%</w:t>
            </w:r>
          </w:p>
        </w:tc>
        <w:tc>
          <w:tcPr>
            <w:tcW w:w="780" w:type="dxa"/>
            <w:tcBorders>
              <w:top w:val="nil"/>
              <w:left w:val="nil"/>
              <w:bottom w:val="single" w:sz="4" w:space="0" w:color="auto"/>
              <w:right w:val="single" w:sz="4" w:space="0" w:color="auto"/>
            </w:tcBorders>
            <w:shd w:val="clear" w:color="auto" w:fill="auto"/>
            <w:vAlign w:val="center"/>
            <w:hideMark/>
          </w:tcPr>
          <w:p w14:paraId="60046A2F" w14:textId="45F6B876" w:rsidR="00BD17DA" w:rsidRPr="00BD17DA" w:rsidRDefault="00E2440A" w:rsidP="00BD17DA">
            <w:pPr>
              <w:jc w:val="right"/>
              <w:rPr>
                <w:rFonts w:ascii="Calibri" w:eastAsia="Times New Roman" w:hAnsi="Calibri" w:cs="Calibri"/>
                <w:color w:val="000000"/>
                <w:kern w:val="0"/>
                <w:sz w:val="16"/>
                <w:szCs w:val="16"/>
                <w:lang w:eastAsia="pl-PL"/>
                <w14:ligatures w14:val="none"/>
              </w:rPr>
            </w:pPr>
            <w:r>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246A84F6" w14:textId="7C1AEDFB"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100</w:t>
            </w:r>
            <w:r w:rsidR="00F206D1">
              <w:rPr>
                <w:rFonts w:ascii="Calibri" w:eastAsia="Times New Roman" w:hAnsi="Calibri" w:cs="Calibri"/>
                <w:color w:val="000000"/>
                <w:kern w:val="0"/>
                <w:sz w:val="16"/>
                <w:szCs w:val="16"/>
                <w:lang w:eastAsia="pl-PL"/>
                <w14:ligatures w14:val="none"/>
              </w:rPr>
              <w:t>%</w:t>
            </w:r>
          </w:p>
        </w:tc>
        <w:tc>
          <w:tcPr>
            <w:tcW w:w="780" w:type="dxa"/>
            <w:tcBorders>
              <w:top w:val="nil"/>
              <w:left w:val="nil"/>
              <w:bottom w:val="single" w:sz="4" w:space="0" w:color="auto"/>
              <w:right w:val="single" w:sz="4" w:space="0" w:color="auto"/>
            </w:tcBorders>
            <w:shd w:val="clear" w:color="auto" w:fill="auto"/>
            <w:vAlign w:val="center"/>
            <w:hideMark/>
          </w:tcPr>
          <w:p w14:paraId="257B9CD2"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123BFAC2" w14:textId="1E95EA36"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100</w:t>
            </w:r>
            <w:r w:rsidR="00F206D1">
              <w:rPr>
                <w:rFonts w:ascii="Calibri" w:eastAsia="Times New Roman" w:hAnsi="Calibri" w:cs="Calibri"/>
                <w:color w:val="000000"/>
                <w:kern w:val="0"/>
                <w:sz w:val="16"/>
                <w:szCs w:val="16"/>
                <w:lang w:eastAsia="pl-PL"/>
                <w14:ligatures w14:val="none"/>
              </w:rPr>
              <w:t>%</w:t>
            </w:r>
          </w:p>
        </w:tc>
        <w:tc>
          <w:tcPr>
            <w:tcW w:w="780" w:type="dxa"/>
            <w:tcBorders>
              <w:top w:val="nil"/>
              <w:left w:val="nil"/>
              <w:bottom w:val="single" w:sz="4" w:space="0" w:color="auto"/>
              <w:right w:val="single" w:sz="4" w:space="0" w:color="auto"/>
            </w:tcBorders>
            <w:shd w:val="clear" w:color="auto" w:fill="auto"/>
            <w:vAlign w:val="center"/>
            <w:hideMark/>
          </w:tcPr>
          <w:p w14:paraId="220FAF7B"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4ECBD4B4" w14:textId="5BE7B14E"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100</w:t>
            </w:r>
            <w:r w:rsidR="00F206D1">
              <w:rPr>
                <w:rFonts w:ascii="Calibri" w:eastAsia="Times New Roman" w:hAnsi="Calibri" w:cs="Calibri"/>
                <w:color w:val="000000"/>
                <w:kern w:val="0"/>
                <w:sz w:val="16"/>
                <w:szCs w:val="16"/>
                <w:lang w:eastAsia="pl-PL"/>
                <w14:ligatures w14:val="none"/>
              </w:rPr>
              <w:t>%</w:t>
            </w:r>
          </w:p>
        </w:tc>
        <w:tc>
          <w:tcPr>
            <w:tcW w:w="700" w:type="dxa"/>
            <w:tcBorders>
              <w:top w:val="nil"/>
              <w:left w:val="nil"/>
              <w:bottom w:val="single" w:sz="4" w:space="0" w:color="auto"/>
              <w:right w:val="single" w:sz="4" w:space="0" w:color="auto"/>
            </w:tcBorders>
            <w:shd w:val="clear" w:color="auto" w:fill="auto"/>
            <w:vAlign w:val="center"/>
            <w:hideMark/>
          </w:tcPr>
          <w:p w14:paraId="7CABE11E"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PS WPR</w:t>
            </w:r>
          </w:p>
        </w:tc>
      </w:tr>
      <w:tr w:rsidR="00BD17DA" w:rsidRPr="00BD17DA" w14:paraId="6BD0E691" w14:textId="77777777" w:rsidTr="00B70DF5">
        <w:trPr>
          <w:trHeight w:val="542"/>
        </w:trPr>
        <w:tc>
          <w:tcPr>
            <w:tcW w:w="1601" w:type="dxa"/>
            <w:vMerge/>
            <w:tcBorders>
              <w:top w:val="nil"/>
              <w:left w:val="single" w:sz="4" w:space="0" w:color="auto"/>
              <w:bottom w:val="nil"/>
              <w:right w:val="single" w:sz="4" w:space="0" w:color="auto"/>
            </w:tcBorders>
            <w:vAlign w:val="center"/>
            <w:hideMark/>
          </w:tcPr>
          <w:p w14:paraId="2EFAB2EB" w14:textId="77777777" w:rsidR="00BD17DA" w:rsidRPr="00BD17DA" w:rsidRDefault="00BD17DA" w:rsidP="00BD17DA">
            <w:pPr>
              <w:rPr>
                <w:rFonts w:ascii="Calibri" w:eastAsia="Times New Roman" w:hAnsi="Calibri" w:cs="Calibri"/>
                <w:color w:val="000000"/>
                <w:kern w:val="0"/>
                <w:sz w:val="16"/>
                <w:szCs w:val="16"/>
                <w:lang w:eastAsia="pl-PL"/>
                <w14:ligatures w14:val="none"/>
              </w:rPr>
            </w:pPr>
          </w:p>
        </w:tc>
        <w:tc>
          <w:tcPr>
            <w:tcW w:w="3615" w:type="dxa"/>
            <w:tcBorders>
              <w:top w:val="nil"/>
              <w:left w:val="nil"/>
              <w:bottom w:val="single" w:sz="4" w:space="0" w:color="auto"/>
              <w:right w:val="single" w:sz="4" w:space="0" w:color="auto"/>
            </w:tcBorders>
            <w:shd w:val="clear" w:color="auto" w:fill="auto"/>
            <w:vAlign w:val="center"/>
            <w:hideMark/>
          </w:tcPr>
          <w:p w14:paraId="62AEA242" w14:textId="5C7A0BF8"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Wskaźnik produktu : 1.2.2</w:t>
            </w:r>
            <w:r w:rsidR="00E761B4">
              <w:rPr>
                <w:rFonts w:ascii="Calibri" w:eastAsia="Times New Roman" w:hAnsi="Calibri" w:cs="Calibri"/>
                <w:color w:val="000000"/>
                <w:kern w:val="0"/>
                <w:sz w:val="16"/>
                <w:szCs w:val="16"/>
                <w:lang w:eastAsia="pl-PL"/>
                <w14:ligatures w14:val="none"/>
              </w:rPr>
              <w:t xml:space="preserve"> RC077 </w:t>
            </w:r>
            <w:r w:rsidRPr="00BD17DA">
              <w:rPr>
                <w:rFonts w:ascii="Calibri" w:eastAsia="Times New Roman" w:hAnsi="Calibri" w:cs="Calibri"/>
                <w:color w:val="000000"/>
                <w:kern w:val="0"/>
                <w:sz w:val="16"/>
                <w:szCs w:val="16"/>
                <w:lang w:eastAsia="pl-PL"/>
                <w14:ligatures w14:val="none"/>
              </w:rPr>
              <w:t xml:space="preserve"> Liczba obiektów kulturalnych i turystycznych objętych wsparciem.</w:t>
            </w:r>
          </w:p>
        </w:tc>
        <w:tc>
          <w:tcPr>
            <w:tcW w:w="780" w:type="dxa"/>
            <w:tcBorders>
              <w:top w:val="nil"/>
              <w:left w:val="nil"/>
              <w:bottom w:val="single" w:sz="4" w:space="0" w:color="auto"/>
              <w:right w:val="single" w:sz="4" w:space="0" w:color="auto"/>
            </w:tcBorders>
            <w:shd w:val="clear" w:color="auto" w:fill="auto"/>
            <w:vAlign w:val="center"/>
            <w:hideMark/>
          </w:tcPr>
          <w:p w14:paraId="6093A35A"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1AEEAAAF"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5116C022" w14:textId="43C455CE" w:rsidR="00BD17DA" w:rsidRPr="00C406F6" w:rsidRDefault="000770A0" w:rsidP="00BD17DA">
            <w:pPr>
              <w:jc w:val="right"/>
              <w:rPr>
                <w:rFonts w:ascii="Calibri" w:eastAsia="Times New Roman" w:hAnsi="Calibri" w:cs="Calibri"/>
                <w:kern w:val="0"/>
                <w:sz w:val="16"/>
                <w:szCs w:val="16"/>
                <w:lang w:eastAsia="pl-PL"/>
                <w14:ligatures w14:val="none"/>
              </w:rPr>
            </w:pPr>
            <w:r w:rsidRPr="00C406F6">
              <w:rPr>
                <w:rFonts w:ascii="Calibri" w:eastAsia="Times New Roman" w:hAnsi="Calibri" w:cs="Calibri"/>
                <w:kern w:val="0"/>
                <w:sz w:val="16"/>
                <w:szCs w:val="16"/>
                <w:lang w:eastAsia="pl-PL"/>
                <w14:ligatures w14:val="none"/>
              </w:rPr>
              <w:t xml:space="preserve">6 </w:t>
            </w:r>
            <w:r w:rsidR="00E2440A" w:rsidRPr="00C406F6">
              <w:rPr>
                <w:rFonts w:ascii="Calibri" w:eastAsia="Times New Roman" w:hAnsi="Calibri" w:cs="Calibri"/>
                <w:kern w:val="0"/>
                <w:sz w:val="16"/>
                <w:szCs w:val="16"/>
                <w:lang w:eastAsia="pl-PL"/>
                <w14:ligatures w14:val="none"/>
              </w:rPr>
              <w:t>sztuk</w:t>
            </w:r>
          </w:p>
        </w:tc>
        <w:tc>
          <w:tcPr>
            <w:tcW w:w="780" w:type="dxa"/>
            <w:tcBorders>
              <w:top w:val="nil"/>
              <w:left w:val="nil"/>
              <w:bottom w:val="single" w:sz="4" w:space="0" w:color="auto"/>
              <w:right w:val="single" w:sz="4" w:space="0" w:color="auto"/>
            </w:tcBorders>
            <w:shd w:val="clear" w:color="auto" w:fill="auto"/>
            <w:vAlign w:val="center"/>
            <w:hideMark/>
          </w:tcPr>
          <w:p w14:paraId="70D5B9E8" w14:textId="2C95989C" w:rsidR="000770A0" w:rsidRPr="00C406F6" w:rsidRDefault="000770A0" w:rsidP="00C406F6">
            <w:pPr>
              <w:jc w:val="right"/>
              <w:rPr>
                <w:rFonts w:ascii="Calibri" w:eastAsia="Times New Roman" w:hAnsi="Calibri" w:cs="Calibri"/>
                <w:kern w:val="0"/>
                <w:sz w:val="16"/>
                <w:szCs w:val="16"/>
                <w:lang w:eastAsia="pl-PL"/>
                <w14:ligatures w14:val="none"/>
              </w:rPr>
            </w:pPr>
            <w:r w:rsidRPr="00C406F6">
              <w:rPr>
                <w:rFonts w:ascii="Calibri" w:eastAsia="Times New Roman" w:hAnsi="Calibri" w:cs="Calibri"/>
                <w:kern w:val="0"/>
                <w:sz w:val="16"/>
                <w:szCs w:val="16"/>
                <w:lang w:eastAsia="pl-PL"/>
                <w14:ligatures w14:val="none"/>
              </w:rPr>
              <w:t>100%</w:t>
            </w:r>
          </w:p>
        </w:tc>
        <w:tc>
          <w:tcPr>
            <w:tcW w:w="780" w:type="dxa"/>
            <w:tcBorders>
              <w:top w:val="nil"/>
              <w:left w:val="nil"/>
              <w:bottom w:val="single" w:sz="4" w:space="0" w:color="auto"/>
              <w:right w:val="single" w:sz="4" w:space="0" w:color="auto"/>
            </w:tcBorders>
            <w:shd w:val="clear" w:color="auto" w:fill="auto"/>
            <w:vAlign w:val="center"/>
            <w:hideMark/>
          </w:tcPr>
          <w:p w14:paraId="5249E627" w14:textId="6BBDEF45" w:rsidR="000770A0" w:rsidRPr="00C406F6" w:rsidRDefault="000770A0" w:rsidP="00BD17DA">
            <w:pPr>
              <w:jc w:val="right"/>
              <w:rPr>
                <w:rFonts w:ascii="Calibri" w:eastAsia="Times New Roman" w:hAnsi="Calibri" w:cs="Calibri"/>
                <w:kern w:val="0"/>
                <w:sz w:val="16"/>
                <w:szCs w:val="16"/>
                <w:lang w:eastAsia="pl-PL"/>
                <w14:ligatures w14:val="none"/>
              </w:rPr>
            </w:pPr>
            <w:r w:rsidRPr="00C406F6">
              <w:rPr>
                <w:rFonts w:ascii="Calibri" w:eastAsia="Times New Roman" w:hAnsi="Calibri" w:cs="Calibri"/>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780F3D28" w14:textId="37E509FF" w:rsidR="00BD17DA" w:rsidRPr="00A90EBA" w:rsidRDefault="00E2440A" w:rsidP="00BD17DA">
            <w:pPr>
              <w:jc w:val="right"/>
              <w:rPr>
                <w:rFonts w:ascii="Calibri" w:eastAsia="Times New Roman" w:hAnsi="Calibri" w:cs="Calibri"/>
                <w:kern w:val="0"/>
                <w:sz w:val="16"/>
                <w:szCs w:val="16"/>
                <w:lang w:eastAsia="pl-PL"/>
                <w14:ligatures w14:val="none"/>
              </w:rPr>
            </w:pPr>
            <w:r w:rsidRPr="00A90EBA">
              <w:rPr>
                <w:rFonts w:ascii="Calibri" w:eastAsia="Times New Roman" w:hAnsi="Calibri" w:cs="Calibri"/>
                <w:kern w:val="0"/>
                <w:sz w:val="16"/>
                <w:szCs w:val="16"/>
                <w:lang w:eastAsia="pl-PL"/>
                <w14:ligatures w14:val="none"/>
              </w:rPr>
              <w:t>10</w:t>
            </w:r>
            <w:r w:rsidR="00BD17DA" w:rsidRPr="00A90EBA">
              <w:rPr>
                <w:rFonts w:ascii="Calibri" w:eastAsia="Times New Roman" w:hAnsi="Calibri" w:cs="Calibri"/>
                <w:kern w:val="0"/>
                <w:sz w:val="16"/>
                <w:szCs w:val="16"/>
                <w:lang w:eastAsia="pl-PL"/>
                <w14:ligatures w14:val="none"/>
              </w:rPr>
              <w:t>0</w:t>
            </w:r>
            <w:r w:rsidR="00F206D1" w:rsidRPr="00A90EBA">
              <w:rPr>
                <w:rFonts w:ascii="Calibri" w:eastAsia="Times New Roman" w:hAnsi="Calibri" w:cs="Calibri"/>
                <w:kern w:val="0"/>
                <w:sz w:val="16"/>
                <w:szCs w:val="16"/>
                <w:lang w:eastAsia="pl-PL"/>
                <w14:ligatures w14:val="none"/>
              </w:rPr>
              <w:t>%</w:t>
            </w:r>
          </w:p>
        </w:tc>
        <w:tc>
          <w:tcPr>
            <w:tcW w:w="780" w:type="dxa"/>
            <w:tcBorders>
              <w:top w:val="nil"/>
              <w:left w:val="nil"/>
              <w:bottom w:val="single" w:sz="4" w:space="0" w:color="auto"/>
              <w:right w:val="single" w:sz="4" w:space="0" w:color="auto"/>
            </w:tcBorders>
            <w:shd w:val="clear" w:color="auto" w:fill="auto"/>
            <w:vAlign w:val="center"/>
            <w:hideMark/>
          </w:tcPr>
          <w:p w14:paraId="7BAA234F" w14:textId="3EC4E630" w:rsidR="00BD17DA" w:rsidRPr="00BD17DA" w:rsidRDefault="00E2440A" w:rsidP="00BD17DA">
            <w:pPr>
              <w:jc w:val="right"/>
              <w:rPr>
                <w:rFonts w:ascii="Calibri" w:eastAsia="Times New Roman" w:hAnsi="Calibri" w:cs="Calibri"/>
                <w:color w:val="000000"/>
                <w:kern w:val="0"/>
                <w:sz w:val="16"/>
                <w:szCs w:val="16"/>
                <w:lang w:eastAsia="pl-PL"/>
                <w14:ligatures w14:val="none"/>
              </w:rPr>
            </w:pPr>
            <w:r>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49199099" w14:textId="3028B14B"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100</w:t>
            </w:r>
            <w:r w:rsidR="00F206D1">
              <w:rPr>
                <w:rFonts w:ascii="Calibri" w:eastAsia="Times New Roman" w:hAnsi="Calibri" w:cs="Calibri"/>
                <w:color w:val="000000"/>
                <w:kern w:val="0"/>
                <w:sz w:val="16"/>
                <w:szCs w:val="16"/>
                <w:lang w:eastAsia="pl-PL"/>
                <w14:ligatures w14:val="none"/>
              </w:rPr>
              <w:t>%</w:t>
            </w:r>
          </w:p>
        </w:tc>
        <w:tc>
          <w:tcPr>
            <w:tcW w:w="780" w:type="dxa"/>
            <w:tcBorders>
              <w:top w:val="nil"/>
              <w:left w:val="nil"/>
              <w:bottom w:val="single" w:sz="4" w:space="0" w:color="auto"/>
              <w:right w:val="single" w:sz="4" w:space="0" w:color="auto"/>
            </w:tcBorders>
            <w:shd w:val="clear" w:color="auto" w:fill="auto"/>
            <w:vAlign w:val="center"/>
            <w:hideMark/>
          </w:tcPr>
          <w:p w14:paraId="74CD2402"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7CEB462D" w14:textId="7846D21C"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100</w:t>
            </w:r>
            <w:r w:rsidR="00F206D1">
              <w:rPr>
                <w:rFonts w:ascii="Calibri" w:eastAsia="Times New Roman" w:hAnsi="Calibri" w:cs="Calibri"/>
                <w:color w:val="000000"/>
                <w:kern w:val="0"/>
                <w:sz w:val="16"/>
                <w:szCs w:val="16"/>
                <w:lang w:eastAsia="pl-PL"/>
                <w14:ligatures w14:val="none"/>
              </w:rPr>
              <w:t>%</w:t>
            </w:r>
          </w:p>
        </w:tc>
        <w:tc>
          <w:tcPr>
            <w:tcW w:w="780" w:type="dxa"/>
            <w:tcBorders>
              <w:top w:val="nil"/>
              <w:left w:val="nil"/>
              <w:bottom w:val="single" w:sz="4" w:space="0" w:color="auto"/>
              <w:right w:val="single" w:sz="4" w:space="0" w:color="auto"/>
            </w:tcBorders>
            <w:shd w:val="clear" w:color="auto" w:fill="auto"/>
            <w:vAlign w:val="center"/>
            <w:hideMark/>
          </w:tcPr>
          <w:p w14:paraId="68F02A73"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60997297" w14:textId="6289ED21"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100</w:t>
            </w:r>
            <w:r w:rsidR="00F206D1">
              <w:rPr>
                <w:rFonts w:ascii="Calibri" w:eastAsia="Times New Roman" w:hAnsi="Calibri" w:cs="Calibri"/>
                <w:color w:val="000000"/>
                <w:kern w:val="0"/>
                <w:sz w:val="16"/>
                <w:szCs w:val="16"/>
                <w:lang w:eastAsia="pl-PL"/>
                <w14:ligatures w14:val="none"/>
              </w:rPr>
              <w:t>%</w:t>
            </w:r>
          </w:p>
        </w:tc>
        <w:tc>
          <w:tcPr>
            <w:tcW w:w="700" w:type="dxa"/>
            <w:tcBorders>
              <w:top w:val="nil"/>
              <w:left w:val="nil"/>
              <w:bottom w:val="single" w:sz="4" w:space="0" w:color="auto"/>
              <w:right w:val="single" w:sz="4" w:space="0" w:color="auto"/>
            </w:tcBorders>
            <w:shd w:val="clear" w:color="auto" w:fill="auto"/>
            <w:vAlign w:val="center"/>
            <w:hideMark/>
          </w:tcPr>
          <w:p w14:paraId="79CDEB82"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FEW</w:t>
            </w:r>
          </w:p>
        </w:tc>
      </w:tr>
      <w:tr w:rsidR="00BD17DA" w:rsidRPr="00BD17DA" w14:paraId="730EE3E0" w14:textId="77777777" w:rsidTr="00B70DF5">
        <w:trPr>
          <w:trHeight w:val="834"/>
        </w:trPr>
        <w:tc>
          <w:tcPr>
            <w:tcW w:w="1601" w:type="dxa"/>
            <w:vMerge w:val="restart"/>
            <w:tcBorders>
              <w:top w:val="single" w:sz="4" w:space="0" w:color="auto"/>
              <w:left w:val="single" w:sz="4" w:space="0" w:color="auto"/>
              <w:bottom w:val="single" w:sz="4" w:space="0" w:color="000000"/>
              <w:right w:val="single" w:sz="4" w:space="0" w:color="auto"/>
            </w:tcBorders>
            <w:shd w:val="clear" w:color="000000" w:fill="FFD5B9"/>
            <w:vAlign w:val="center"/>
            <w:hideMark/>
          </w:tcPr>
          <w:p w14:paraId="482A2AC2" w14:textId="563271A2" w:rsidR="00BD17DA" w:rsidRPr="00BD17DA" w:rsidRDefault="00F206D1" w:rsidP="00BD17DA">
            <w:pPr>
              <w:rPr>
                <w:rFonts w:ascii="Calibri" w:eastAsia="Times New Roman" w:hAnsi="Calibri" w:cs="Calibri"/>
                <w:color w:val="000000"/>
                <w:kern w:val="0"/>
                <w:sz w:val="16"/>
                <w:szCs w:val="16"/>
                <w:lang w:eastAsia="pl-PL"/>
                <w14:ligatures w14:val="none"/>
              </w:rPr>
            </w:pPr>
            <w:r>
              <w:rPr>
                <w:rFonts w:ascii="Calibri" w:eastAsia="Times New Roman" w:hAnsi="Calibri" w:cs="Calibri"/>
                <w:color w:val="000000"/>
                <w:kern w:val="0"/>
                <w:sz w:val="16"/>
                <w:szCs w:val="16"/>
                <w:lang w:eastAsia="pl-PL"/>
                <w14:ligatures w14:val="none"/>
              </w:rPr>
              <w:t>Przedsięwzięcie P.</w:t>
            </w:r>
            <w:r w:rsidR="00BD17DA" w:rsidRPr="00BD17DA">
              <w:rPr>
                <w:rFonts w:ascii="Calibri" w:eastAsia="Times New Roman" w:hAnsi="Calibri" w:cs="Calibri"/>
                <w:color w:val="000000"/>
                <w:kern w:val="0"/>
                <w:sz w:val="16"/>
                <w:szCs w:val="16"/>
                <w:lang w:eastAsia="pl-PL"/>
                <w14:ligatures w14:val="none"/>
              </w:rPr>
              <w:t>1.3. Ochrona dziedzictwa kulturowego lub przyrodniczego polskiej wsi.</w:t>
            </w:r>
            <w:r w:rsidR="00BD17DA">
              <w:rPr>
                <w:rFonts w:ascii="Calibri" w:eastAsia="Times New Roman" w:hAnsi="Calibri" w:cs="Calibri"/>
                <w:color w:val="000000"/>
                <w:kern w:val="0"/>
                <w:sz w:val="16"/>
                <w:szCs w:val="16"/>
                <w:lang w:eastAsia="pl-PL"/>
                <w14:ligatures w14:val="none"/>
              </w:rPr>
              <w:t xml:space="preserve"> </w:t>
            </w:r>
          </w:p>
        </w:tc>
        <w:tc>
          <w:tcPr>
            <w:tcW w:w="3615" w:type="dxa"/>
            <w:tcBorders>
              <w:top w:val="nil"/>
              <w:left w:val="nil"/>
              <w:bottom w:val="single" w:sz="4" w:space="0" w:color="auto"/>
              <w:right w:val="single" w:sz="4" w:space="0" w:color="auto"/>
            </w:tcBorders>
            <w:shd w:val="clear" w:color="auto" w:fill="auto"/>
            <w:vAlign w:val="center"/>
            <w:hideMark/>
          </w:tcPr>
          <w:p w14:paraId="14B7257A"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Wskaźnik produktu : 1.3.1 Liczba zabytków poddanych pracom konserwatorskim lub restauratorskim</w:t>
            </w:r>
          </w:p>
        </w:tc>
        <w:tc>
          <w:tcPr>
            <w:tcW w:w="780" w:type="dxa"/>
            <w:tcBorders>
              <w:top w:val="nil"/>
              <w:left w:val="nil"/>
              <w:bottom w:val="single" w:sz="4" w:space="0" w:color="auto"/>
              <w:right w:val="single" w:sz="4" w:space="0" w:color="auto"/>
            </w:tcBorders>
            <w:shd w:val="clear" w:color="auto" w:fill="auto"/>
            <w:vAlign w:val="center"/>
            <w:hideMark/>
          </w:tcPr>
          <w:p w14:paraId="51257A5B"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25D3E860"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4D867341" w14:textId="77777777" w:rsidR="00BD17DA" w:rsidRPr="00A90EBA" w:rsidRDefault="00BD17DA" w:rsidP="00BD17DA">
            <w:pPr>
              <w:jc w:val="right"/>
              <w:rPr>
                <w:rFonts w:ascii="Calibri" w:eastAsia="Times New Roman" w:hAnsi="Calibri" w:cs="Calibri"/>
                <w:kern w:val="0"/>
                <w:sz w:val="16"/>
                <w:szCs w:val="16"/>
                <w:lang w:eastAsia="pl-PL"/>
                <w14:ligatures w14:val="none"/>
              </w:rPr>
            </w:pPr>
            <w:r w:rsidRPr="00A90EBA">
              <w:rPr>
                <w:rFonts w:ascii="Calibri" w:eastAsia="Times New Roman" w:hAnsi="Calibri" w:cs="Calibri"/>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3A007049" w14:textId="31620BF7" w:rsidR="00BD17DA" w:rsidRPr="00A90EBA" w:rsidRDefault="00BD17DA" w:rsidP="00BD17DA">
            <w:pPr>
              <w:jc w:val="right"/>
              <w:rPr>
                <w:rFonts w:ascii="Calibri" w:eastAsia="Times New Roman" w:hAnsi="Calibri" w:cs="Calibri"/>
                <w:kern w:val="0"/>
                <w:sz w:val="16"/>
                <w:szCs w:val="16"/>
                <w:lang w:eastAsia="pl-PL"/>
                <w14:ligatures w14:val="none"/>
              </w:rPr>
            </w:pPr>
            <w:r w:rsidRPr="00A90EBA">
              <w:rPr>
                <w:rFonts w:ascii="Calibri" w:eastAsia="Times New Roman" w:hAnsi="Calibri" w:cs="Calibri"/>
                <w:kern w:val="0"/>
                <w:sz w:val="16"/>
                <w:szCs w:val="16"/>
                <w:lang w:eastAsia="pl-PL"/>
                <w14:ligatures w14:val="none"/>
              </w:rPr>
              <w:t>0</w:t>
            </w:r>
            <w:r w:rsidR="00F206D1" w:rsidRPr="00A90EBA">
              <w:rPr>
                <w:rFonts w:ascii="Calibri" w:eastAsia="Times New Roman" w:hAnsi="Calibri" w:cs="Calibri"/>
                <w:kern w:val="0"/>
                <w:sz w:val="16"/>
                <w:szCs w:val="16"/>
                <w:lang w:eastAsia="pl-PL"/>
                <w14:ligatures w14:val="none"/>
              </w:rPr>
              <w:t>%</w:t>
            </w:r>
          </w:p>
        </w:tc>
        <w:tc>
          <w:tcPr>
            <w:tcW w:w="780" w:type="dxa"/>
            <w:tcBorders>
              <w:top w:val="nil"/>
              <w:left w:val="nil"/>
              <w:bottom w:val="single" w:sz="4" w:space="0" w:color="auto"/>
              <w:right w:val="single" w:sz="4" w:space="0" w:color="auto"/>
            </w:tcBorders>
            <w:shd w:val="clear" w:color="auto" w:fill="auto"/>
            <w:vAlign w:val="center"/>
            <w:hideMark/>
          </w:tcPr>
          <w:p w14:paraId="3DE07B09" w14:textId="2AA49343" w:rsidR="00BD17DA" w:rsidRPr="00A90EBA" w:rsidRDefault="00E2440A" w:rsidP="00BD17DA">
            <w:pPr>
              <w:jc w:val="right"/>
              <w:rPr>
                <w:rFonts w:ascii="Calibri" w:eastAsia="Times New Roman" w:hAnsi="Calibri" w:cs="Calibri"/>
                <w:kern w:val="0"/>
                <w:sz w:val="16"/>
                <w:szCs w:val="16"/>
                <w:lang w:eastAsia="pl-PL"/>
                <w14:ligatures w14:val="none"/>
              </w:rPr>
            </w:pPr>
            <w:r w:rsidRPr="00A90EBA">
              <w:rPr>
                <w:rFonts w:ascii="Calibri" w:eastAsia="Times New Roman" w:hAnsi="Calibri" w:cs="Calibri"/>
                <w:kern w:val="0"/>
                <w:sz w:val="16"/>
                <w:szCs w:val="16"/>
                <w:lang w:eastAsia="pl-PL"/>
                <w14:ligatures w14:val="none"/>
              </w:rPr>
              <w:t>6 sztuk</w:t>
            </w:r>
          </w:p>
        </w:tc>
        <w:tc>
          <w:tcPr>
            <w:tcW w:w="780" w:type="dxa"/>
            <w:tcBorders>
              <w:top w:val="nil"/>
              <w:left w:val="nil"/>
              <w:bottom w:val="single" w:sz="4" w:space="0" w:color="auto"/>
              <w:right w:val="single" w:sz="4" w:space="0" w:color="auto"/>
            </w:tcBorders>
            <w:shd w:val="clear" w:color="auto" w:fill="auto"/>
            <w:vAlign w:val="center"/>
            <w:hideMark/>
          </w:tcPr>
          <w:p w14:paraId="67DCCBED" w14:textId="06B2300F" w:rsidR="00BD17DA" w:rsidRPr="00A90EBA" w:rsidRDefault="00E2440A" w:rsidP="00BD17DA">
            <w:pPr>
              <w:jc w:val="right"/>
              <w:rPr>
                <w:rFonts w:ascii="Calibri" w:eastAsia="Times New Roman" w:hAnsi="Calibri" w:cs="Calibri"/>
                <w:kern w:val="0"/>
                <w:sz w:val="16"/>
                <w:szCs w:val="16"/>
                <w:lang w:eastAsia="pl-PL"/>
                <w14:ligatures w14:val="none"/>
              </w:rPr>
            </w:pPr>
            <w:r w:rsidRPr="00A90EBA">
              <w:rPr>
                <w:rFonts w:ascii="Calibri" w:eastAsia="Times New Roman" w:hAnsi="Calibri" w:cs="Calibri"/>
                <w:kern w:val="0"/>
                <w:sz w:val="16"/>
                <w:szCs w:val="16"/>
                <w:lang w:eastAsia="pl-PL"/>
                <w14:ligatures w14:val="none"/>
              </w:rPr>
              <w:t>10</w:t>
            </w:r>
            <w:r w:rsidR="00BD17DA" w:rsidRPr="00A90EBA">
              <w:rPr>
                <w:rFonts w:ascii="Calibri" w:eastAsia="Times New Roman" w:hAnsi="Calibri" w:cs="Calibri"/>
                <w:kern w:val="0"/>
                <w:sz w:val="16"/>
                <w:szCs w:val="16"/>
                <w:lang w:eastAsia="pl-PL"/>
                <w14:ligatures w14:val="none"/>
              </w:rPr>
              <w:t>0</w:t>
            </w:r>
            <w:r w:rsidR="00F206D1" w:rsidRPr="00A90EBA">
              <w:rPr>
                <w:rFonts w:ascii="Calibri" w:eastAsia="Times New Roman" w:hAnsi="Calibri" w:cs="Calibri"/>
                <w:kern w:val="0"/>
                <w:sz w:val="16"/>
                <w:szCs w:val="16"/>
                <w:lang w:eastAsia="pl-PL"/>
                <w14:ligatures w14:val="none"/>
              </w:rPr>
              <w:t>%</w:t>
            </w:r>
          </w:p>
        </w:tc>
        <w:tc>
          <w:tcPr>
            <w:tcW w:w="780" w:type="dxa"/>
            <w:tcBorders>
              <w:top w:val="nil"/>
              <w:left w:val="nil"/>
              <w:bottom w:val="single" w:sz="4" w:space="0" w:color="auto"/>
              <w:right w:val="single" w:sz="4" w:space="0" w:color="auto"/>
            </w:tcBorders>
            <w:shd w:val="clear" w:color="auto" w:fill="auto"/>
            <w:vAlign w:val="center"/>
            <w:hideMark/>
          </w:tcPr>
          <w:p w14:paraId="1C884420" w14:textId="4712CD92" w:rsidR="00BD17DA" w:rsidRPr="00BD17DA" w:rsidRDefault="00E2440A" w:rsidP="00BD17DA">
            <w:pPr>
              <w:jc w:val="right"/>
              <w:rPr>
                <w:rFonts w:ascii="Calibri" w:eastAsia="Times New Roman" w:hAnsi="Calibri" w:cs="Calibri"/>
                <w:color w:val="000000"/>
                <w:kern w:val="0"/>
                <w:sz w:val="16"/>
                <w:szCs w:val="16"/>
                <w:lang w:eastAsia="pl-PL"/>
                <w14:ligatures w14:val="none"/>
              </w:rPr>
            </w:pPr>
            <w:r>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32AA5139" w14:textId="24264E82"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100</w:t>
            </w:r>
            <w:r w:rsidR="00F206D1">
              <w:rPr>
                <w:rFonts w:ascii="Calibri" w:eastAsia="Times New Roman" w:hAnsi="Calibri" w:cs="Calibri"/>
                <w:color w:val="000000"/>
                <w:kern w:val="0"/>
                <w:sz w:val="16"/>
                <w:szCs w:val="16"/>
                <w:lang w:eastAsia="pl-PL"/>
                <w14:ligatures w14:val="none"/>
              </w:rPr>
              <w:t>%</w:t>
            </w:r>
          </w:p>
        </w:tc>
        <w:tc>
          <w:tcPr>
            <w:tcW w:w="780" w:type="dxa"/>
            <w:tcBorders>
              <w:top w:val="nil"/>
              <w:left w:val="nil"/>
              <w:bottom w:val="single" w:sz="4" w:space="0" w:color="auto"/>
              <w:right w:val="single" w:sz="4" w:space="0" w:color="auto"/>
            </w:tcBorders>
            <w:shd w:val="clear" w:color="auto" w:fill="auto"/>
            <w:vAlign w:val="center"/>
            <w:hideMark/>
          </w:tcPr>
          <w:p w14:paraId="4AFACA21"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12292656" w14:textId="4FF77ABA"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100</w:t>
            </w:r>
            <w:r w:rsidR="00F206D1">
              <w:rPr>
                <w:rFonts w:ascii="Calibri" w:eastAsia="Times New Roman" w:hAnsi="Calibri" w:cs="Calibri"/>
                <w:color w:val="000000"/>
                <w:kern w:val="0"/>
                <w:sz w:val="16"/>
                <w:szCs w:val="16"/>
                <w:lang w:eastAsia="pl-PL"/>
                <w14:ligatures w14:val="none"/>
              </w:rPr>
              <w:t>%</w:t>
            </w:r>
          </w:p>
        </w:tc>
        <w:tc>
          <w:tcPr>
            <w:tcW w:w="780" w:type="dxa"/>
            <w:tcBorders>
              <w:top w:val="nil"/>
              <w:left w:val="nil"/>
              <w:bottom w:val="single" w:sz="4" w:space="0" w:color="auto"/>
              <w:right w:val="single" w:sz="4" w:space="0" w:color="auto"/>
            </w:tcBorders>
            <w:shd w:val="clear" w:color="auto" w:fill="auto"/>
            <w:vAlign w:val="center"/>
            <w:hideMark/>
          </w:tcPr>
          <w:p w14:paraId="4FB07C9F"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40A9AF43" w14:textId="605AE520"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100</w:t>
            </w:r>
            <w:r w:rsidR="00F206D1">
              <w:rPr>
                <w:rFonts w:ascii="Calibri" w:eastAsia="Times New Roman" w:hAnsi="Calibri" w:cs="Calibri"/>
                <w:color w:val="000000"/>
                <w:kern w:val="0"/>
                <w:sz w:val="16"/>
                <w:szCs w:val="16"/>
                <w:lang w:eastAsia="pl-PL"/>
                <w14:ligatures w14:val="none"/>
              </w:rPr>
              <w:t>%</w:t>
            </w:r>
          </w:p>
        </w:tc>
        <w:tc>
          <w:tcPr>
            <w:tcW w:w="700" w:type="dxa"/>
            <w:tcBorders>
              <w:top w:val="nil"/>
              <w:left w:val="nil"/>
              <w:bottom w:val="single" w:sz="4" w:space="0" w:color="auto"/>
              <w:right w:val="single" w:sz="4" w:space="0" w:color="auto"/>
            </w:tcBorders>
            <w:shd w:val="clear" w:color="auto" w:fill="auto"/>
            <w:vAlign w:val="center"/>
            <w:hideMark/>
          </w:tcPr>
          <w:p w14:paraId="48B56C77"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PS WPR</w:t>
            </w:r>
          </w:p>
        </w:tc>
      </w:tr>
      <w:tr w:rsidR="00BD17DA" w:rsidRPr="00BD17DA" w14:paraId="28A1F407" w14:textId="77777777" w:rsidTr="00B70DF5">
        <w:trPr>
          <w:trHeight w:val="832"/>
        </w:trPr>
        <w:tc>
          <w:tcPr>
            <w:tcW w:w="1601" w:type="dxa"/>
            <w:vMerge/>
            <w:tcBorders>
              <w:top w:val="single" w:sz="4" w:space="0" w:color="auto"/>
              <w:left w:val="single" w:sz="4" w:space="0" w:color="auto"/>
              <w:bottom w:val="single" w:sz="4" w:space="0" w:color="000000"/>
              <w:right w:val="single" w:sz="4" w:space="0" w:color="auto"/>
            </w:tcBorders>
            <w:vAlign w:val="center"/>
            <w:hideMark/>
          </w:tcPr>
          <w:p w14:paraId="1D48EFA1" w14:textId="77777777" w:rsidR="00BD17DA" w:rsidRPr="00BD17DA" w:rsidRDefault="00BD17DA" w:rsidP="00BD17DA">
            <w:pPr>
              <w:rPr>
                <w:rFonts w:ascii="Calibri" w:eastAsia="Times New Roman" w:hAnsi="Calibri" w:cs="Calibri"/>
                <w:color w:val="000000"/>
                <w:kern w:val="0"/>
                <w:sz w:val="16"/>
                <w:szCs w:val="16"/>
                <w:lang w:eastAsia="pl-PL"/>
                <w14:ligatures w14:val="none"/>
              </w:rPr>
            </w:pPr>
          </w:p>
        </w:tc>
        <w:tc>
          <w:tcPr>
            <w:tcW w:w="3615" w:type="dxa"/>
            <w:tcBorders>
              <w:top w:val="nil"/>
              <w:left w:val="nil"/>
              <w:bottom w:val="single" w:sz="4" w:space="0" w:color="auto"/>
              <w:right w:val="single" w:sz="4" w:space="0" w:color="auto"/>
            </w:tcBorders>
            <w:shd w:val="clear" w:color="auto" w:fill="auto"/>
            <w:vAlign w:val="center"/>
            <w:hideMark/>
          </w:tcPr>
          <w:p w14:paraId="121DB2A8"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1.3.2 Liczba zrealizowanych operacji obejmujących wyposażenie mające na celu szerzenie lokalnej kultury i dziedzictwa lokalnego</w:t>
            </w:r>
          </w:p>
        </w:tc>
        <w:tc>
          <w:tcPr>
            <w:tcW w:w="780" w:type="dxa"/>
            <w:tcBorders>
              <w:top w:val="nil"/>
              <w:left w:val="nil"/>
              <w:bottom w:val="single" w:sz="4" w:space="0" w:color="auto"/>
              <w:right w:val="single" w:sz="4" w:space="0" w:color="auto"/>
            </w:tcBorders>
            <w:shd w:val="clear" w:color="auto" w:fill="auto"/>
            <w:vAlign w:val="center"/>
            <w:hideMark/>
          </w:tcPr>
          <w:p w14:paraId="185B8F3B"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0B9286C1"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0F48560F" w14:textId="77777777" w:rsidR="00BD17DA" w:rsidRPr="00A90EBA" w:rsidRDefault="00BD17DA" w:rsidP="00BD17DA">
            <w:pPr>
              <w:jc w:val="right"/>
              <w:rPr>
                <w:rFonts w:ascii="Calibri" w:eastAsia="Times New Roman" w:hAnsi="Calibri" w:cs="Calibri"/>
                <w:kern w:val="0"/>
                <w:sz w:val="16"/>
                <w:szCs w:val="16"/>
                <w:lang w:eastAsia="pl-PL"/>
                <w14:ligatures w14:val="none"/>
              </w:rPr>
            </w:pPr>
            <w:r w:rsidRPr="00A90EBA">
              <w:rPr>
                <w:rFonts w:ascii="Calibri" w:eastAsia="Times New Roman" w:hAnsi="Calibri" w:cs="Calibri"/>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651A3CE9" w14:textId="1971DAB3" w:rsidR="00BD17DA" w:rsidRPr="00A90EBA" w:rsidRDefault="00BD17DA" w:rsidP="00BD17DA">
            <w:pPr>
              <w:jc w:val="right"/>
              <w:rPr>
                <w:rFonts w:ascii="Calibri" w:eastAsia="Times New Roman" w:hAnsi="Calibri" w:cs="Calibri"/>
                <w:kern w:val="0"/>
                <w:sz w:val="16"/>
                <w:szCs w:val="16"/>
                <w:lang w:eastAsia="pl-PL"/>
                <w14:ligatures w14:val="none"/>
              </w:rPr>
            </w:pPr>
            <w:r w:rsidRPr="00A90EBA">
              <w:rPr>
                <w:rFonts w:ascii="Calibri" w:eastAsia="Times New Roman" w:hAnsi="Calibri" w:cs="Calibri"/>
                <w:kern w:val="0"/>
                <w:sz w:val="16"/>
                <w:szCs w:val="16"/>
                <w:lang w:eastAsia="pl-PL"/>
                <w14:ligatures w14:val="none"/>
              </w:rPr>
              <w:t>0</w:t>
            </w:r>
            <w:r w:rsidR="00F206D1" w:rsidRPr="00A90EBA">
              <w:rPr>
                <w:rFonts w:ascii="Calibri" w:eastAsia="Times New Roman" w:hAnsi="Calibri" w:cs="Calibri"/>
                <w:kern w:val="0"/>
                <w:sz w:val="16"/>
                <w:szCs w:val="16"/>
                <w:lang w:eastAsia="pl-PL"/>
                <w14:ligatures w14:val="none"/>
              </w:rPr>
              <w:t>%</w:t>
            </w:r>
          </w:p>
        </w:tc>
        <w:tc>
          <w:tcPr>
            <w:tcW w:w="780" w:type="dxa"/>
            <w:tcBorders>
              <w:top w:val="nil"/>
              <w:left w:val="nil"/>
              <w:bottom w:val="single" w:sz="4" w:space="0" w:color="auto"/>
              <w:right w:val="single" w:sz="4" w:space="0" w:color="auto"/>
            </w:tcBorders>
            <w:shd w:val="clear" w:color="auto" w:fill="auto"/>
            <w:vAlign w:val="center"/>
            <w:hideMark/>
          </w:tcPr>
          <w:p w14:paraId="3A9FB114" w14:textId="1DA22C73" w:rsidR="00BD17DA" w:rsidRPr="00A90EBA" w:rsidRDefault="00E2440A" w:rsidP="00BD17DA">
            <w:pPr>
              <w:jc w:val="right"/>
              <w:rPr>
                <w:rFonts w:ascii="Calibri" w:eastAsia="Times New Roman" w:hAnsi="Calibri" w:cs="Calibri"/>
                <w:kern w:val="0"/>
                <w:sz w:val="16"/>
                <w:szCs w:val="16"/>
                <w:lang w:eastAsia="pl-PL"/>
                <w14:ligatures w14:val="none"/>
              </w:rPr>
            </w:pPr>
            <w:r w:rsidRPr="00A90EBA">
              <w:rPr>
                <w:rFonts w:ascii="Calibri" w:eastAsia="Times New Roman" w:hAnsi="Calibri" w:cs="Calibri"/>
                <w:kern w:val="0"/>
                <w:sz w:val="16"/>
                <w:szCs w:val="16"/>
                <w:lang w:eastAsia="pl-PL"/>
                <w14:ligatures w14:val="none"/>
              </w:rPr>
              <w:t>6 sztuk</w:t>
            </w:r>
          </w:p>
        </w:tc>
        <w:tc>
          <w:tcPr>
            <w:tcW w:w="780" w:type="dxa"/>
            <w:tcBorders>
              <w:top w:val="nil"/>
              <w:left w:val="nil"/>
              <w:bottom w:val="single" w:sz="4" w:space="0" w:color="auto"/>
              <w:right w:val="single" w:sz="4" w:space="0" w:color="auto"/>
            </w:tcBorders>
            <w:shd w:val="clear" w:color="auto" w:fill="auto"/>
            <w:vAlign w:val="center"/>
            <w:hideMark/>
          </w:tcPr>
          <w:p w14:paraId="1B591E77" w14:textId="54912459" w:rsidR="00BD17DA" w:rsidRPr="00A90EBA" w:rsidRDefault="00E2440A" w:rsidP="00BD17DA">
            <w:pPr>
              <w:jc w:val="right"/>
              <w:rPr>
                <w:rFonts w:ascii="Calibri" w:eastAsia="Times New Roman" w:hAnsi="Calibri" w:cs="Calibri"/>
                <w:kern w:val="0"/>
                <w:sz w:val="16"/>
                <w:szCs w:val="16"/>
                <w:lang w:eastAsia="pl-PL"/>
                <w14:ligatures w14:val="none"/>
              </w:rPr>
            </w:pPr>
            <w:r w:rsidRPr="00A90EBA">
              <w:rPr>
                <w:rFonts w:ascii="Calibri" w:eastAsia="Times New Roman" w:hAnsi="Calibri" w:cs="Calibri"/>
                <w:kern w:val="0"/>
                <w:sz w:val="16"/>
                <w:szCs w:val="16"/>
                <w:lang w:eastAsia="pl-PL"/>
                <w14:ligatures w14:val="none"/>
              </w:rPr>
              <w:t>10</w:t>
            </w:r>
            <w:r w:rsidR="00BD17DA" w:rsidRPr="00A90EBA">
              <w:rPr>
                <w:rFonts w:ascii="Calibri" w:eastAsia="Times New Roman" w:hAnsi="Calibri" w:cs="Calibri"/>
                <w:kern w:val="0"/>
                <w:sz w:val="16"/>
                <w:szCs w:val="16"/>
                <w:lang w:eastAsia="pl-PL"/>
                <w14:ligatures w14:val="none"/>
              </w:rPr>
              <w:t>0</w:t>
            </w:r>
            <w:r w:rsidR="00F206D1" w:rsidRPr="00A90EBA">
              <w:rPr>
                <w:rFonts w:ascii="Calibri" w:eastAsia="Times New Roman" w:hAnsi="Calibri" w:cs="Calibri"/>
                <w:kern w:val="0"/>
                <w:sz w:val="16"/>
                <w:szCs w:val="16"/>
                <w:lang w:eastAsia="pl-PL"/>
                <w14:ligatures w14:val="none"/>
              </w:rPr>
              <w:t>%</w:t>
            </w:r>
          </w:p>
        </w:tc>
        <w:tc>
          <w:tcPr>
            <w:tcW w:w="780" w:type="dxa"/>
            <w:tcBorders>
              <w:top w:val="nil"/>
              <w:left w:val="nil"/>
              <w:bottom w:val="single" w:sz="4" w:space="0" w:color="auto"/>
              <w:right w:val="single" w:sz="4" w:space="0" w:color="auto"/>
            </w:tcBorders>
            <w:shd w:val="clear" w:color="auto" w:fill="auto"/>
            <w:vAlign w:val="center"/>
            <w:hideMark/>
          </w:tcPr>
          <w:p w14:paraId="44F278AC" w14:textId="4339DB63" w:rsidR="00BD17DA" w:rsidRPr="00BD17DA" w:rsidRDefault="00E2440A" w:rsidP="00E2440A">
            <w:pPr>
              <w:jc w:val="right"/>
              <w:rPr>
                <w:rFonts w:ascii="Calibri" w:eastAsia="Times New Roman" w:hAnsi="Calibri" w:cs="Calibri"/>
                <w:color w:val="000000"/>
                <w:kern w:val="0"/>
                <w:sz w:val="16"/>
                <w:szCs w:val="16"/>
                <w:lang w:eastAsia="pl-PL"/>
                <w14:ligatures w14:val="none"/>
              </w:rPr>
            </w:pPr>
            <w:r>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250C363A" w14:textId="6C9E96E8"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100</w:t>
            </w:r>
            <w:r w:rsidR="00F206D1">
              <w:rPr>
                <w:rFonts w:ascii="Calibri" w:eastAsia="Times New Roman" w:hAnsi="Calibri" w:cs="Calibri"/>
                <w:color w:val="000000"/>
                <w:kern w:val="0"/>
                <w:sz w:val="16"/>
                <w:szCs w:val="16"/>
                <w:lang w:eastAsia="pl-PL"/>
                <w14:ligatures w14:val="none"/>
              </w:rPr>
              <w:t>%</w:t>
            </w:r>
          </w:p>
        </w:tc>
        <w:tc>
          <w:tcPr>
            <w:tcW w:w="780" w:type="dxa"/>
            <w:tcBorders>
              <w:top w:val="nil"/>
              <w:left w:val="nil"/>
              <w:bottom w:val="single" w:sz="4" w:space="0" w:color="auto"/>
              <w:right w:val="single" w:sz="4" w:space="0" w:color="auto"/>
            </w:tcBorders>
            <w:shd w:val="clear" w:color="auto" w:fill="auto"/>
            <w:vAlign w:val="center"/>
            <w:hideMark/>
          </w:tcPr>
          <w:p w14:paraId="60891D72"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073B781B" w14:textId="642C03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100</w:t>
            </w:r>
            <w:r w:rsidR="00F206D1">
              <w:rPr>
                <w:rFonts w:ascii="Calibri" w:eastAsia="Times New Roman" w:hAnsi="Calibri" w:cs="Calibri"/>
                <w:color w:val="000000"/>
                <w:kern w:val="0"/>
                <w:sz w:val="16"/>
                <w:szCs w:val="16"/>
                <w:lang w:eastAsia="pl-PL"/>
                <w14:ligatures w14:val="none"/>
              </w:rPr>
              <w:t>%</w:t>
            </w:r>
          </w:p>
        </w:tc>
        <w:tc>
          <w:tcPr>
            <w:tcW w:w="780" w:type="dxa"/>
            <w:tcBorders>
              <w:top w:val="nil"/>
              <w:left w:val="nil"/>
              <w:bottom w:val="single" w:sz="4" w:space="0" w:color="auto"/>
              <w:right w:val="single" w:sz="4" w:space="0" w:color="auto"/>
            </w:tcBorders>
            <w:shd w:val="clear" w:color="auto" w:fill="auto"/>
            <w:vAlign w:val="center"/>
            <w:hideMark/>
          </w:tcPr>
          <w:p w14:paraId="0F7B678C"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0C402122" w14:textId="1A14EA2C"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100</w:t>
            </w:r>
            <w:r w:rsidR="00F206D1">
              <w:rPr>
                <w:rFonts w:ascii="Calibri" w:eastAsia="Times New Roman" w:hAnsi="Calibri" w:cs="Calibri"/>
                <w:color w:val="000000"/>
                <w:kern w:val="0"/>
                <w:sz w:val="16"/>
                <w:szCs w:val="16"/>
                <w:lang w:eastAsia="pl-PL"/>
                <w14:ligatures w14:val="none"/>
              </w:rPr>
              <w:t>%</w:t>
            </w:r>
          </w:p>
        </w:tc>
        <w:tc>
          <w:tcPr>
            <w:tcW w:w="700" w:type="dxa"/>
            <w:tcBorders>
              <w:top w:val="nil"/>
              <w:left w:val="nil"/>
              <w:bottom w:val="single" w:sz="4" w:space="0" w:color="auto"/>
              <w:right w:val="single" w:sz="4" w:space="0" w:color="auto"/>
            </w:tcBorders>
            <w:shd w:val="clear" w:color="auto" w:fill="auto"/>
            <w:vAlign w:val="center"/>
            <w:hideMark/>
          </w:tcPr>
          <w:p w14:paraId="1343BC78"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PS WPR</w:t>
            </w:r>
          </w:p>
        </w:tc>
      </w:tr>
      <w:tr w:rsidR="00BD17DA" w:rsidRPr="00BD17DA" w14:paraId="6560B957" w14:textId="77777777" w:rsidTr="00B70DF5">
        <w:trPr>
          <w:trHeight w:val="702"/>
        </w:trPr>
        <w:tc>
          <w:tcPr>
            <w:tcW w:w="1601" w:type="dxa"/>
            <w:vMerge w:val="restart"/>
            <w:tcBorders>
              <w:top w:val="nil"/>
              <w:left w:val="single" w:sz="4" w:space="0" w:color="auto"/>
              <w:bottom w:val="single" w:sz="4" w:space="0" w:color="000000"/>
              <w:right w:val="single" w:sz="4" w:space="0" w:color="auto"/>
            </w:tcBorders>
            <w:shd w:val="clear" w:color="000000" w:fill="FFD5B9"/>
            <w:vAlign w:val="center"/>
            <w:hideMark/>
          </w:tcPr>
          <w:p w14:paraId="681B7F5E" w14:textId="37DB4966"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 xml:space="preserve">Przedsięwzięcie </w:t>
            </w:r>
            <w:r w:rsidR="00F206D1">
              <w:rPr>
                <w:rFonts w:ascii="Calibri" w:eastAsia="Times New Roman" w:hAnsi="Calibri" w:cs="Calibri"/>
                <w:color w:val="000000"/>
                <w:kern w:val="0"/>
                <w:sz w:val="16"/>
                <w:szCs w:val="16"/>
                <w:lang w:eastAsia="pl-PL"/>
                <w14:ligatures w14:val="none"/>
              </w:rPr>
              <w:t>P.</w:t>
            </w:r>
            <w:r w:rsidRPr="00BD17DA">
              <w:rPr>
                <w:rFonts w:ascii="Calibri" w:eastAsia="Times New Roman" w:hAnsi="Calibri" w:cs="Calibri"/>
                <w:color w:val="000000"/>
                <w:kern w:val="0"/>
                <w:sz w:val="16"/>
                <w:szCs w:val="16"/>
                <w:lang w:eastAsia="pl-PL"/>
                <w14:ligatures w14:val="none"/>
              </w:rPr>
              <w:t>1.4. Aktywizacja i włączenie społeczne lokalnej społeczności, w tym seniorów, ludzi młodych lub osób w niekorzystnej sytuacji.</w:t>
            </w:r>
            <w:r>
              <w:rPr>
                <w:rFonts w:ascii="Calibri" w:eastAsia="Times New Roman" w:hAnsi="Calibri" w:cs="Calibri"/>
                <w:color w:val="000000"/>
                <w:kern w:val="0"/>
                <w:sz w:val="16"/>
                <w:szCs w:val="16"/>
                <w:lang w:eastAsia="pl-PL"/>
                <w14:ligatures w14:val="none"/>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1F2164A" w14:textId="105EF2C1"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1.4.1. Liczba wydarzeń integrujących i animujących ludzi młodych/seniorów/osoby</w:t>
            </w:r>
            <w:r>
              <w:rPr>
                <w:rFonts w:ascii="Calibri" w:eastAsia="Times New Roman" w:hAnsi="Calibri" w:cs="Calibri"/>
                <w:color w:val="000000"/>
                <w:kern w:val="0"/>
                <w:sz w:val="16"/>
                <w:szCs w:val="16"/>
                <w:lang w:eastAsia="pl-PL"/>
                <w14:ligatures w14:val="none"/>
              </w:rPr>
              <w:t xml:space="preserve"> </w:t>
            </w:r>
            <w:r w:rsidRPr="00BD17DA">
              <w:rPr>
                <w:rFonts w:ascii="Calibri" w:eastAsia="Times New Roman" w:hAnsi="Calibri" w:cs="Calibri"/>
                <w:color w:val="000000"/>
                <w:kern w:val="0"/>
                <w:sz w:val="16"/>
                <w:szCs w:val="16"/>
                <w:lang w:eastAsia="pl-PL"/>
                <w14:ligatures w14:val="none"/>
              </w:rPr>
              <w:t>w niekorzystnej sytuacji</w:t>
            </w:r>
          </w:p>
        </w:tc>
        <w:tc>
          <w:tcPr>
            <w:tcW w:w="780" w:type="dxa"/>
            <w:tcBorders>
              <w:top w:val="nil"/>
              <w:left w:val="nil"/>
              <w:bottom w:val="single" w:sz="4" w:space="0" w:color="auto"/>
              <w:right w:val="single" w:sz="4" w:space="0" w:color="auto"/>
            </w:tcBorders>
            <w:shd w:val="clear" w:color="auto" w:fill="auto"/>
            <w:vAlign w:val="center"/>
            <w:hideMark/>
          </w:tcPr>
          <w:p w14:paraId="3F4DBFE4"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24C771B6"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12622278" w14:textId="77777777" w:rsidR="00BD17DA" w:rsidRPr="00A90EBA" w:rsidRDefault="00BD17DA" w:rsidP="00BD17DA">
            <w:pPr>
              <w:jc w:val="right"/>
              <w:rPr>
                <w:rFonts w:ascii="Calibri" w:eastAsia="Times New Roman" w:hAnsi="Calibri" w:cs="Calibri"/>
                <w:kern w:val="0"/>
                <w:sz w:val="16"/>
                <w:szCs w:val="16"/>
                <w:lang w:eastAsia="pl-PL"/>
                <w14:ligatures w14:val="none"/>
              </w:rPr>
            </w:pPr>
            <w:r w:rsidRPr="00A90EBA">
              <w:rPr>
                <w:rFonts w:ascii="Calibri" w:eastAsia="Times New Roman" w:hAnsi="Calibri" w:cs="Calibri"/>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59D116C8" w14:textId="3FDFC1F2" w:rsidR="00BD17DA" w:rsidRPr="00A90EBA" w:rsidRDefault="00BD17DA" w:rsidP="00BD17DA">
            <w:pPr>
              <w:jc w:val="right"/>
              <w:rPr>
                <w:rFonts w:ascii="Calibri" w:eastAsia="Times New Roman" w:hAnsi="Calibri" w:cs="Calibri"/>
                <w:kern w:val="0"/>
                <w:sz w:val="16"/>
                <w:szCs w:val="16"/>
                <w:lang w:eastAsia="pl-PL"/>
                <w14:ligatures w14:val="none"/>
              </w:rPr>
            </w:pPr>
            <w:r w:rsidRPr="00A90EBA">
              <w:rPr>
                <w:rFonts w:ascii="Calibri" w:eastAsia="Times New Roman" w:hAnsi="Calibri" w:cs="Calibri"/>
                <w:kern w:val="0"/>
                <w:sz w:val="16"/>
                <w:szCs w:val="16"/>
                <w:lang w:eastAsia="pl-PL"/>
                <w14:ligatures w14:val="none"/>
              </w:rPr>
              <w:t>0</w:t>
            </w:r>
            <w:r w:rsidR="00F206D1" w:rsidRPr="00A90EBA">
              <w:rPr>
                <w:rFonts w:ascii="Calibri" w:eastAsia="Times New Roman" w:hAnsi="Calibri" w:cs="Calibri"/>
                <w:kern w:val="0"/>
                <w:sz w:val="16"/>
                <w:szCs w:val="16"/>
                <w:lang w:eastAsia="pl-PL"/>
                <w14:ligatures w14:val="none"/>
              </w:rPr>
              <w:t>%</w:t>
            </w:r>
          </w:p>
        </w:tc>
        <w:tc>
          <w:tcPr>
            <w:tcW w:w="780" w:type="dxa"/>
            <w:tcBorders>
              <w:top w:val="nil"/>
              <w:left w:val="nil"/>
              <w:bottom w:val="single" w:sz="4" w:space="0" w:color="auto"/>
              <w:right w:val="single" w:sz="4" w:space="0" w:color="auto"/>
            </w:tcBorders>
            <w:shd w:val="clear" w:color="auto" w:fill="auto"/>
            <w:vAlign w:val="center"/>
            <w:hideMark/>
          </w:tcPr>
          <w:p w14:paraId="4563D18B" w14:textId="3AE49B67" w:rsidR="00BD17DA" w:rsidRPr="00A90EBA" w:rsidRDefault="00E2440A" w:rsidP="00BD17DA">
            <w:pPr>
              <w:jc w:val="right"/>
              <w:rPr>
                <w:rFonts w:ascii="Calibri" w:eastAsia="Times New Roman" w:hAnsi="Calibri" w:cs="Calibri"/>
                <w:kern w:val="0"/>
                <w:sz w:val="16"/>
                <w:szCs w:val="16"/>
                <w:lang w:eastAsia="pl-PL"/>
                <w14:ligatures w14:val="none"/>
              </w:rPr>
            </w:pPr>
            <w:r w:rsidRPr="00A90EBA">
              <w:rPr>
                <w:rFonts w:ascii="Calibri" w:eastAsia="Times New Roman" w:hAnsi="Calibri" w:cs="Calibri"/>
                <w:kern w:val="0"/>
                <w:sz w:val="16"/>
                <w:szCs w:val="16"/>
                <w:lang w:eastAsia="pl-PL"/>
                <w14:ligatures w14:val="none"/>
              </w:rPr>
              <w:t>6 sztuk</w:t>
            </w:r>
          </w:p>
        </w:tc>
        <w:tc>
          <w:tcPr>
            <w:tcW w:w="780" w:type="dxa"/>
            <w:tcBorders>
              <w:top w:val="nil"/>
              <w:left w:val="nil"/>
              <w:bottom w:val="single" w:sz="4" w:space="0" w:color="auto"/>
              <w:right w:val="single" w:sz="4" w:space="0" w:color="auto"/>
            </w:tcBorders>
            <w:shd w:val="clear" w:color="auto" w:fill="auto"/>
            <w:vAlign w:val="center"/>
            <w:hideMark/>
          </w:tcPr>
          <w:p w14:paraId="216AA800" w14:textId="6F2AA3F1" w:rsidR="00BD17DA" w:rsidRPr="00A90EBA" w:rsidRDefault="00E2440A" w:rsidP="00BD17DA">
            <w:pPr>
              <w:jc w:val="right"/>
              <w:rPr>
                <w:rFonts w:ascii="Calibri" w:eastAsia="Times New Roman" w:hAnsi="Calibri" w:cs="Calibri"/>
                <w:kern w:val="0"/>
                <w:sz w:val="16"/>
                <w:szCs w:val="16"/>
                <w:lang w:eastAsia="pl-PL"/>
                <w14:ligatures w14:val="none"/>
              </w:rPr>
            </w:pPr>
            <w:r w:rsidRPr="00A90EBA">
              <w:rPr>
                <w:rFonts w:ascii="Calibri" w:eastAsia="Times New Roman" w:hAnsi="Calibri" w:cs="Calibri"/>
                <w:kern w:val="0"/>
                <w:sz w:val="16"/>
                <w:szCs w:val="16"/>
                <w:lang w:eastAsia="pl-PL"/>
                <w14:ligatures w14:val="none"/>
              </w:rPr>
              <w:t>5</w:t>
            </w:r>
            <w:r w:rsidR="00BD17DA" w:rsidRPr="00A90EBA">
              <w:rPr>
                <w:rFonts w:ascii="Calibri" w:eastAsia="Times New Roman" w:hAnsi="Calibri" w:cs="Calibri"/>
                <w:kern w:val="0"/>
                <w:sz w:val="16"/>
                <w:szCs w:val="16"/>
                <w:lang w:eastAsia="pl-PL"/>
                <w14:ligatures w14:val="none"/>
              </w:rPr>
              <w:t>0</w:t>
            </w:r>
            <w:r w:rsidR="00F206D1" w:rsidRPr="00A90EBA">
              <w:rPr>
                <w:rFonts w:ascii="Calibri" w:eastAsia="Times New Roman" w:hAnsi="Calibri" w:cs="Calibri"/>
                <w:kern w:val="0"/>
                <w:sz w:val="16"/>
                <w:szCs w:val="16"/>
                <w:lang w:eastAsia="pl-PL"/>
                <w14:ligatures w14:val="none"/>
              </w:rPr>
              <w:t>%</w:t>
            </w:r>
          </w:p>
        </w:tc>
        <w:tc>
          <w:tcPr>
            <w:tcW w:w="780" w:type="dxa"/>
            <w:tcBorders>
              <w:top w:val="nil"/>
              <w:left w:val="nil"/>
              <w:bottom w:val="single" w:sz="4" w:space="0" w:color="auto"/>
              <w:right w:val="single" w:sz="4" w:space="0" w:color="auto"/>
            </w:tcBorders>
            <w:shd w:val="clear" w:color="auto" w:fill="auto"/>
            <w:vAlign w:val="center"/>
            <w:hideMark/>
          </w:tcPr>
          <w:p w14:paraId="13BBCE10" w14:textId="1EC4EEB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6</w:t>
            </w:r>
            <w:r w:rsidR="00E2440A">
              <w:rPr>
                <w:rFonts w:ascii="Calibri" w:eastAsia="Times New Roman" w:hAnsi="Calibri" w:cs="Calibri"/>
                <w:color w:val="000000"/>
                <w:kern w:val="0"/>
                <w:sz w:val="16"/>
                <w:szCs w:val="16"/>
                <w:lang w:eastAsia="pl-PL"/>
                <w14:ligatures w14:val="none"/>
              </w:rPr>
              <w:t xml:space="preserve"> sztuk</w:t>
            </w:r>
          </w:p>
        </w:tc>
        <w:tc>
          <w:tcPr>
            <w:tcW w:w="780" w:type="dxa"/>
            <w:tcBorders>
              <w:top w:val="nil"/>
              <w:left w:val="nil"/>
              <w:bottom w:val="single" w:sz="4" w:space="0" w:color="auto"/>
              <w:right w:val="single" w:sz="4" w:space="0" w:color="auto"/>
            </w:tcBorders>
            <w:shd w:val="clear" w:color="auto" w:fill="auto"/>
            <w:vAlign w:val="center"/>
            <w:hideMark/>
          </w:tcPr>
          <w:p w14:paraId="26DCE8EC" w14:textId="452D3BED" w:rsidR="00BD17DA" w:rsidRPr="00BD17DA" w:rsidRDefault="00E2440A" w:rsidP="00BD17DA">
            <w:pPr>
              <w:jc w:val="right"/>
              <w:rPr>
                <w:rFonts w:ascii="Calibri" w:eastAsia="Times New Roman" w:hAnsi="Calibri" w:cs="Calibri"/>
                <w:color w:val="000000"/>
                <w:kern w:val="0"/>
                <w:sz w:val="16"/>
                <w:szCs w:val="16"/>
                <w:lang w:eastAsia="pl-PL"/>
                <w14:ligatures w14:val="none"/>
              </w:rPr>
            </w:pPr>
            <w:r>
              <w:rPr>
                <w:rFonts w:ascii="Calibri" w:eastAsia="Times New Roman" w:hAnsi="Calibri" w:cs="Calibri"/>
                <w:color w:val="000000"/>
                <w:kern w:val="0"/>
                <w:sz w:val="16"/>
                <w:szCs w:val="16"/>
                <w:lang w:eastAsia="pl-PL"/>
                <w14:ligatures w14:val="none"/>
              </w:rPr>
              <w:t>10</w:t>
            </w:r>
            <w:r w:rsidR="00BD17DA" w:rsidRPr="00BD17DA">
              <w:rPr>
                <w:rFonts w:ascii="Calibri" w:eastAsia="Times New Roman" w:hAnsi="Calibri" w:cs="Calibri"/>
                <w:color w:val="000000"/>
                <w:kern w:val="0"/>
                <w:sz w:val="16"/>
                <w:szCs w:val="16"/>
                <w:lang w:eastAsia="pl-PL"/>
                <w14:ligatures w14:val="none"/>
              </w:rPr>
              <w:t>0</w:t>
            </w:r>
            <w:r w:rsidR="00F206D1">
              <w:rPr>
                <w:rFonts w:ascii="Calibri" w:eastAsia="Times New Roman" w:hAnsi="Calibri" w:cs="Calibri"/>
                <w:color w:val="000000"/>
                <w:kern w:val="0"/>
                <w:sz w:val="16"/>
                <w:szCs w:val="16"/>
                <w:lang w:eastAsia="pl-PL"/>
                <w14:ligatures w14:val="none"/>
              </w:rPr>
              <w:t>%</w:t>
            </w:r>
          </w:p>
        </w:tc>
        <w:tc>
          <w:tcPr>
            <w:tcW w:w="780" w:type="dxa"/>
            <w:tcBorders>
              <w:top w:val="nil"/>
              <w:left w:val="nil"/>
              <w:bottom w:val="single" w:sz="4" w:space="0" w:color="auto"/>
              <w:right w:val="single" w:sz="4" w:space="0" w:color="auto"/>
            </w:tcBorders>
            <w:shd w:val="clear" w:color="auto" w:fill="auto"/>
            <w:vAlign w:val="center"/>
            <w:hideMark/>
          </w:tcPr>
          <w:p w14:paraId="03E0668D" w14:textId="26D559CA" w:rsidR="00BD17DA" w:rsidRPr="00BD17DA" w:rsidRDefault="00E2440A" w:rsidP="00BD17DA">
            <w:pPr>
              <w:jc w:val="right"/>
              <w:rPr>
                <w:rFonts w:ascii="Calibri" w:eastAsia="Times New Roman" w:hAnsi="Calibri" w:cs="Calibri"/>
                <w:color w:val="000000"/>
                <w:kern w:val="0"/>
                <w:sz w:val="16"/>
                <w:szCs w:val="16"/>
                <w:lang w:eastAsia="pl-PL"/>
                <w14:ligatures w14:val="none"/>
              </w:rPr>
            </w:pPr>
            <w:r>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52CAE745" w14:textId="078DDA8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100</w:t>
            </w:r>
            <w:r w:rsidR="00F206D1">
              <w:rPr>
                <w:rFonts w:ascii="Calibri" w:eastAsia="Times New Roman" w:hAnsi="Calibri" w:cs="Calibri"/>
                <w:color w:val="000000"/>
                <w:kern w:val="0"/>
                <w:sz w:val="16"/>
                <w:szCs w:val="16"/>
                <w:lang w:eastAsia="pl-PL"/>
                <w14:ligatures w14:val="none"/>
              </w:rPr>
              <w:t>%</w:t>
            </w:r>
          </w:p>
        </w:tc>
        <w:tc>
          <w:tcPr>
            <w:tcW w:w="780" w:type="dxa"/>
            <w:tcBorders>
              <w:top w:val="nil"/>
              <w:left w:val="nil"/>
              <w:bottom w:val="single" w:sz="4" w:space="0" w:color="auto"/>
              <w:right w:val="single" w:sz="4" w:space="0" w:color="auto"/>
            </w:tcBorders>
            <w:shd w:val="clear" w:color="auto" w:fill="auto"/>
            <w:vAlign w:val="center"/>
            <w:hideMark/>
          </w:tcPr>
          <w:p w14:paraId="4D1716CF"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09D2EDC0" w14:textId="2F6862E4"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100</w:t>
            </w:r>
            <w:r w:rsidR="00F206D1">
              <w:rPr>
                <w:rFonts w:ascii="Calibri" w:eastAsia="Times New Roman" w:hAnsi="Calibri" w:cs="Calibri"/>
                <w:color w:val="000000"/>
                <w:kern w:val="0"/>
                <w:sz w:val="16"/>
                <w:szCs w:val="16"/>
                <w:lang w:eastAsia="pl-PL"/>
                <w14:ligatures w14:val="none"/>
              </w:rPr>
              <w:t>%</w:t>
            </w:r>
          </w:p>
        </w:tc>
        <w:tc>
          <w:tcPr>
            <w:tcW w:w="700" w:type="dxa"/>
            <w:tcBorders>
              <w:top w:val="nil"/>
              <w:left w:val="nil"/>
              <w:bottom w:val="single" w:sz="4" w:space="0" w:color="auto"/>
              <w:right w:val="single" w:sz="4" w:space="0" w:color="auto"/>
            </w:tcBorders>
            <w:shd w:val="clear" w:color="auto" w:fill="auto"/>
            <w:vAlign w:val="center"/>
            <w:hideMark/>
          </w:tcPr>
          <w:p w14:paraId="7BF79D76"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PS WPR</w:t>
            </w:r>
          </w:p>
        </w:tc>
      </w:tr>
      <w:tr w:rsidR="00BD17DA" w:rsidRPr="00BD17DA" w14:paraId="141905DF" w14:textId="77777777" w:rsidTr="00B70DF5">
        <w:tc>
          <w:tcPr>
            <w:tcW w:w="1601" w:type="dxa"/>
            <w:vMerge/>
            <w:tcBorders>
              <w:top w:val="nil"/>
              <w:left w:val="single" w:sz="4" w:space="0" w:color="auto"/>
              <w:bottom w:val="single" w:sz="4" w:space="0" w:color="000000"/>
              <w:right w:val="single" w:sz="4" w:space="0" w:color="auto"/>
            </w:tcBorders>
            <w:vAlign w:val="center"/>
            <w:hideMark/>
          </w:tcPr>
          <w:p w14:paraId="4AB33A03" w14:textId="77777777" w:rsidR="00BD17DA" w:rsidRPr="00BD17DA" w:rsidRDefault="00BD17DA" w:rsidP="00BD17DA">
            <w:pPr>
              <w:rPr>
                <w:rFonts w:ascii="Calibri" w:eastAsia="Times New Roman" w:hAnsi="Calibri" w:cs="Calibri"/>
                <w:color w:val="000000"/>
                <w:kern w:val="0"/>
                <w:sz w:val="16"/>
                <w:szCs w:val="16"/>
                <w:lang w:eastAsia="pl-PL"/>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58C56526" w14:textId="2BC3ECFB"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1.4.2. Liczba operacji ukierunkowanych na</w:t>
            </w:r>
            <w:r>
              <w:rPr>
                <w:rFonts w:ascii="Calibri" w:eastAsia="Times New Roman" w:hAnsi="Calibri" w:cs="Calibri"/>
                <w:color w:val="000000"/>
                <w:kern w:val="0"/>
                <w:sz w:val="16"/>
                <w:szCs w:val="16"/>
                <w:lang w:eastAsia="pl-PL"/>
                <w14:ligatures w14:val="none"/>
              </w:rPr>
              <w:t xml:space="preserve"> </w:t>
            </w:r>
            <w:r w:rsidRPr="00BD17DA">
              <w:rPr>
                <w:rFonts w:ascii="Calibri" w:eastAsia="Times New Roman" w:hAnsi="Calibri" w:cs="Calibri"/>
                <w:color w:val="000000"/>
                <w:kern w:val="0"/>
                <w:sz w:val="16"/>
                <w:szCs w:val="16"/>
                <w:lang w:eastAsia="pl-PL"/>
                <w14:ligatures w14:val="none"/>
              </w:rPr>
              <w:t xml:space="preserve">aktywizację mieszkańców i poznawanie dobrych praktyk. </w:t>
            </w:r>
          </w:p>
        </w:tc>
        <w:tc>
          <w:tcPr>
            <w:tcW w:w="780" w:type="dxa"/>
            <w:tcBorders>
              <w:top w:val="nil"/>
              <w:left w:val="nil"/>
              <w:bottom w:val="single" w:sz="4" w:space="0" w:color="auto"/>
              <w:right w:val="single" w:sz="4" w:space="0" w:color="auto"/>
            </w:tcBorders>
            <w:shd w:val="clear" w:color="auto" w:fill="auto"/>
            <w:vAlign w:val="center"/>
            <w:hideMark/>
          </w:tcPr>
          <w:p w14:paraId="27C63767"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7A4820AA"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3C1A0714" w14:textId="77777777" w:rsidR="00BD17DA" w:rsidRPr="00A90EBA" w:rsidRDefault="00BD17DA" w:rsidP="00BD17DA">
            <w:pPr>
              <w:jc w:val="right"/>
              <w:rPr>
                <w:rFonts w:ascii="Calibri" w:eastAsia="Times New Roman" w:hAnsi="Calibri" w:cs="Calibri"/>
                <w:kern w:val="0"/>
                <w:sz w:val="16"/>
                <w:szCs w:val="16"/>
                <w:lang w:eastAsia="pl-PL"/>
                <w14:ligatures w14:val="none"/>
              </w:rPr>
            </w:pPr>
            <w:r w:rsidRPr="00A90EBA">
              <w:rPr>
                <w:rFonts w:ascii="Calibri" w:eastAsia="Times New Roman" w:hAnsi="Calibri" w:cs="Calibri"/>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4D8E64B4" w14:textId="06202E3E" w:rsidR="00BD17DA" w:rsidRPr="00A90EBA" w:rsidRDefault="00BD17DA" w:rsidP="00BD17DA">
            <w:pPr>
              <w:jc w:val="right"/>
              <w:rPr>
                <w:rFonts w:ascii="Calibri" w:eastAsia="Times New Roman" w:hAnsi="Calibri" w:cs="Calibri"/>
                <w:kern w:val="0"/>
                <w:sz w:val="16"/>
                <w:szCs w:val="16"/>
                <w:lang w:eastAsia="pl-PL"/>
                <w14:ligatures w14:val="none"/>
              </w:rPr>
            </w:pPr>
            <w:r w:rsidRPr="00A90EBA">
              <w:rPr>
                <w:rFonts w:ascii="Calibri" w:eastAsia="Times New Roman" w:hAnsi="Calibri" w:cs="Calibri"/>
                <w:kern w:val="0"/>
                <w:sz w:val="16"/>
                <w:szCs w:val="16"/>
                <w:lang w:eastAsia="pl-PL"/>
                <w14:ligatures w14:val="none"/>
              </w:rPr>
              <w:t>0</w:t>
            </w:r>
            <w:r w:rsidR="00F206D1" w:rsidRPr="00A90EBA">
              <w:rPr>
                <w:rFonts w:ascii="Calibri" w:eastAsia="Times New Roman" w:hAnsi="Calibri" w:cs="Calibri"/>
                <w:kern w:val="0"/>
                <w:sz w:val="16"/>
                <w:szCs w:val="16"/>
                <w:lang w:eastAsia="pl-PL"/>
                <w14:ligatures w14:val="none"/>
              </w:rPr>
              <w:t>%</w:t>
            </w:r>
          </w:p>
        </w:tc>
        <w:tc>
          <w:tcPr>
            <w:tcW w:w="780" w:type="dxa"/>
            <w:tcBorders>
              <w:top w:val="nil"/>
              <w:left w:val="nil"/>
              <w:bottom w:val="single" w:sz="4" w:space="0" w:color="auto"/>
              <w:right w:val="single" w:sz="4" w:space="0" w:color="auto"/>
            </w:tcBorders>
            <w:shd w:val="clear" w:color="auto" w:fill="auto"/>
            <w:vAlign w:val="center"/>
            <w:hideMark/>
          </w:tcPr>
          <w:p w14:paraId="6ABA3072" w14:textId="62E24D86" w:rsidR="00BD17DA" w:rsidRPr="00A90EBA" w:rsidRDefault="00E2440A" w:rsidP="00BD17DA">
            <w:pPr>
              <w:jc w:val="right"/>
              <w:rPr>
                <w:rFonts w:ascii="Calibri" w:eastAsia="Times New Roman" w:hAnsi="Calibri" w:cs="Calibri"/>
                <w:kern w:val="0"/>
                <w:sz w:val="16"/>
                <w:szCs w:val="16"/>
                <w:lang w:eastAsia="pl-PL"/>
                <w14:ligatures w14:val="none"/>
              </w:rPr>
            </w:pPr>
            <w:r w:rsidRPr="00A90EBA">
              <w:rPr>
                <w:rFonts w:ascii="Calibri" w:eastAsia="Times New Roman" w:hAnsi="Calibri" w:cs="Calibri"/>
                <w:kern w:val="0"/>
                <w:sz w:val="16"/>
                <w:szCs w:val="16"/>
                <w:lang w:eastAsia="pl-PL"/>
                <w14:ligatures w14:val="none"/>
              </w:rPr>
              <w:t>12 sztuk</w:t>
            </w:r>
          </w:p>
        </w:tc>
        <w:tc>
          <w:tcPr>
            <w:tcW w:w="780" w:type="dxa"/>
            <w:tcBorders>
              <w:top w:val="nil"/>
              <w:left w:val="nil"/>
              <w:bottom w:val="single" w:sz="4" w:space="0" w:color="auto"/>
              <w:right w:val="single" w:sz="4" w:space="0" w:color="auto"/>
            </w:tcBorders>
            <w:shd w:val="clear" w:color="auto" w:fill="auto"/>
            <w:vAlign w:val="center"/>
            <w:hideMark/>
          </w:tcPr>
          <w:p w14:paraId="03E16434" w14:textId="1022BCAB" w:rsidR="00BD17DA" w:rsidRPr="00A90EBA" w:rsidRDefault="00E2440A" w:rsidP="00BD17DA">
            <w:pPr>
              <w:jc w:val="right"/>
              <w:rPr>
                <w:rFonts w:ascii="Calibri" w:eastAsia="Times New Roman" w:hAnsi="Calibri" w:cs="Calibri"/>
                <w:kern w:val="0"/>
                <w:sz w:val="16"/>
                <w:szCs w:val="16"/>
                <w:lang w:eastAsia="pl-PL"/>
                <w14:ligatures w14:val="none"/>
              </w:rPr>
            </w:pPr>
            <w:r w:rsidRPr="00A90EBA">
              <w:rPr>
                <w:rFonts w:ascii="Calibri" w:eastAsia="Times New Roman" w:hAnsi="Calibri" w:cs="Calibri"/>
                <w:kern w:val="0"/>
                <w:sz w:val="16"/>
                <w:szCs w:val="16"/>
                <w:lang w:eastAsia="pl-PL"/>
                <w14:ligatures w14:val="none"/>
              </w:rPr>
              <w:t>10</w:t>
            </w:r>
            <w:r w:rsidR="00BD17DA" w:rsidRPr="00A90EBA">
              <w:rPr>
                <w:rFonts w:ascii="Calibri" w:eastAsia="Times New Roman" w:hAnsi="Calibri" w:cs="Calibri"/>
                <w:kern w:val="0"/>
                <w:sz w:val="16"/>
                <w:szCs w:val="16"/>
                <w:lang w:eastAsia="pl-PL"/>
                <w14:ligatures w14:val="none"/>
              </w:rPr>
              <w:t>0</w:t>
            </w:r>
            <w:r w:rsidR="00F206D1" w:rsidRPr="00A90EBA">
              <w:rPr>
                <w:rFonts w:ascii="Calibri" w:eastAsia="Times New Roman" w:hAnsi="Calibri" w:cs="Calibri"/>
                <w:kern w:val="0"/>
                <w:sz w:val="16"/>
                <w:szCs w:val="16"/>
                <w:lang w:eastAsia="pl-PL"/>
                <w14:ligatures w14:val="none"/>
              </w:rPr>
              <w:t>%</w:t>
            </w:r>
          </w:p>
        </w:tc>
        <w:tc>
          <w:tcPr>
            <w:tcW w:w="780" w:type="dxa"/>
            <w:tcBorders>
              <w:top w:val="nil"/>
              <w:left w:val="nil"/>
              <w:bottom w:val="single" w:sz="4" w:space="0" w:color="auto"/>
              <w:right w:val="single" w:sz="4" w:space="0" w:color="auto"/>
            </w:tcBorders>
            <w:shd w:val="clear" w:color="auto" w:fill="auto"/>
            <w:vAlign w:val="center"/>
            <w:hideMark/>
          </w:tcPr>
          <w:p w14:paraId="78CDC9BF" w14:textId="0CFE3ACF" w:rsidR="00BD17DA" w:rsidRPr="00BD17DA" w:rsidRDefault="00E2440A" w:rsidP="00BD17DA">
            <w:pPr>
              <w:jc w:val="right"/>
              <w:rPr>
                <w:rFonts w:ascii="Calibri" w:eastAsia="Times New Roman" w:hAnsi="Calibri" w:cs="Calibri"/>
                <w:color w:val="000000"/>
                <w:kern w:val="0"/>
                <w:sz w:val="16"/>
                <w:szCs w:val="16"/>
                <w:lang w:eastAsia="pl-PL"/>
                <w14:ligatures w14:val="none"/>
              </w:rPr>
            </w:pPr>
            <w:r>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09C1A0B2" w14:textId="596625B5"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100</w:t>
            </w:r>
            <w:r w:rsidR="00F206D1">
              <w:rPr>
                <w:rFonts w:ascii="Calibri" w:eastAsia="Times New Roman" w:hAnsi="Calibri" w:cs="Calibri"/>
                <w:color w:val="000000"/>
                <w:kern w:val="0"/>
                <w:sz w:val="16"/>
                <w:szCs w:val="16"/>
                <w:lang w:eastAsia="pl-PL"/>
                <w14:ligatures w14:val="none"/>
              </w:rPr>
              <w:t>%</w:t>
            </w:r>
          </w:p>
        </w:tc>
        <w:tc>
          <w:tcPr>
            <w:tcW w:w="780" w:type="dxa"/>
            <w:tcBorders>
              <w:top w:val="nil"/>
              <w:left w:val="nil"/>
              <w:bottom w:val="single" w:sz="4" w:space="0" w:color="auto"/>
              <w:right w:val="single" w:sz="4" w:space="0" w:color="auto"/>
            </w:tcBorders>
            <w:shd w:val="clear" w:color="auto" w:fill="auto"/>
            <w:vAlign w:val="center"/>
            <w:hideMark/>
          </w:tcPr>
          <w:p w14:paraId="643E8D53"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4EC09FFD" w14:textId="68052EE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100</w:t>
            </w:r>
            <w:r w:rsidR="00F206D1">
              <w:rPr>
                <w:rFonts w:ascii="Calibri" w:eastAsia="Times New Roman" w:hAnsi="Calibri" w:cs="Calibri"/>
                <w:color w:val="000000"/>
                <w:kern w:val="0"/>
                <w:sz w:val="16"/>
                <w:szCs w:val="16"/>
                <w:lang w:eastAsia="pl-PL"/>
                <w14:ligatures w14:val="none"/>
              </w:rPr>
              <w:t>%</w:t>
            </w:r>
          </w:p>
        </w:tc>
        <w:tc>
          <w:tcPr>
            <w:tcW w:w="780" w:type="dxa"/>
            <w:tcBorders>
              <w:top w:val="nil"/>
              <w:left w:val="nil"/>
              <w:bottom w:val="single" w:sz="4" w:space="0" w:color="auto"/>
              <w:right w:val="single" w:sz="4" w:space="0" w:color="auto"/>
            </w:tcBorders>
            <w:shd w:val="clear" w:color="auto" w:fill="auto"/>
            <w:vAlign w:val="center"/>
            <w:hideMark/>
          </w:tcPr>
          <w:p w14:paraId="4EC689E5"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31A4FFFE" w14:textId="52A6948D"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100</w:t>
            </w:r>
            <w:r w:rsidR="00F206D1">
              <w:rPr>
                <w:rFonts w:ascii="Calibri" w:eastAsia="Times New Roman" w:hAnsi="Calibri" w:cs="Calibri"/>
                <w:color w:val="000000"/>
                <w:kern w:val="0"/>
                <w:sz w:val="16"/>
                <w:szCs w:val="16"/>
                <w:lang w:eastAsia="pl-PL"/>
                <w14:ligatures w14:val="none"/>
              </w:rPr>
              <w:t>%</w:t>
            </w:r>
          </w:p>
        </w:tc>
        <w:tc>
          <w:tcPr>
            <w:tcW w:w="700" w:type="dxa"/>
            <w:tcBorders>
              <w:top w:val="nil"/>
              <w:left w:val="nil"/>
              <w:bottom w:val="single" w:sz="4" w:space="0" w:color="auto"/>
              <w:right w:val="single" w:sz="4" w:space="0" w:color="auto"/>
            </w:tcBorders>
            <w:shd w:val="clear" w:color="auto" w:fill="auto"/>
            <w:vAlign w:val="center"/>
            <w:hideMark/>
          </w:tcPr>
          <w:p w14:paraId="21FD7909"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PS WPR</w:t>
            </w:r>
          </w:p>
        </w:tc>
      </w:tr>
      <w:tr w:rsidR="00BD17DA" w:rsidRPr="00BD17DA" w14:paraId="2FD847E1" w14:textId="77777777" w:rsidTr="00B70DF5">
        <w:trPr>
          <w:trHeight w:val="1350"/>
        </w:trPr>
        <w:tc>
          <w:tcPr>
            <w:tcW w:w="1601" w:type="dxa"/>
            <w:tcBorders>
              <w:top w:val="nil"/>
              <w:left w:val="single" w:sz="4" w:space="0" w:color="auto"/>
              <w:bottom w:val="single" w:sz="4" w:space="0" w:color="auto"/>
              <w:right w:val="single" w:sz="4" w:space="0" w:color="auto"/>
            </w:tcBorders>
            <w:shd w:val="clear" w:color="000000" w:fill="FFD5B9"/>
            <w:vAlign w:val="center"/>
            <w:hideMark/>
          </w:tcPr>
          <w:p w14:paraId="1F02E6F3" w14:textId="5931461A"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lastRenderedPageBreak/>
              <w:t xml:space="preserve">Przedsięwzięcie </w:t>
            </w:r>
            <w:r w:rsidR="00F206D1">
              <w:rPr>
                <w:rFonts w:ascii="Calibri" w:eastAsia="Times New Roman" w:hAnsi="Calibri" w:cs="Calibri"/>
                <w:color w:val="000000"/>
                <w:kern w:val="0"/>
                <w:sz w:val="16"/>
                <w:szCs w:val="16"/>
                <w:lang w:eastAsia="pl-PL"/>
                <w14:ligatures w14:val="none"/>
              </w:rPr>
              <w:t>P.</w:t>
            </w:r>
            <w:r w:rsidRPr="00BD17DA">
              <w:rPr>
                <w:rFonts w:ascii="Calibri" w:eastAsia="Times New Roman" w:hAnsi="Calibri" w:cs="Calibri"/>
                <w:color w:val="000000"/>
                <w:kern w:val="0"/>
                <w:sz w:val="16"/>
                <w:szCs w:val="16"/>
                <w:lang w:eastAsia="pl-PL"/>
                <w14:ligatures w14:val="none"/>
              </w:rPr>
              <w:t>1.5. Wspieranie partnerstwa, inicjatyw edukacyjnych i turystyki na obszarze LSR.</w:t>
            </w:r>
            <w:r>
              <w:rPr>
                <w:rFonts w:ascii="Calibri" w:eastAsia="Times New Roman" w:hAnsi="Calibri" w:cs="Calibri"/>
                <w:color w:val="000000"/>
                <w:kern w:val="0"/>
                <w:sz w:val="16"/>
                <w:szCs w:val="16"/>
                <w:lang w:eastAsia="pl-PL"/>
                <w14:ligatures w14:val="none"/>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D62AED3"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 xml:space="preserve">1.5.1 Liczba projektów partnerskich </w:t>
            </w:r>
            <w:r w:rsidRPr="00BD17DA">
              <w:rPr>
                <w:rFonts w:ascii="Calibri" w:eastAsia="Times New Roman" w:hAnsi="Calibri" w:cs="Calibri"/>
                <w:color w:val="000000"/>
                <w:kern w:val="0"/>
                <w:sz w:val="16"/>
                <w:szCs w:val="16"/>
                <w:lang w:eastAsia="pl-PL"/>
                <w14:ligatures w14:val="none"/>
              </w:rPr>
              <w:br w:type="page"/>
              <w:t>ukierunkowanych na aktywizację mieszkańców i poznawanie dobrych praktyk.</w:t>
            </w:r>
            <w:r w:rsidRPr="00BD17DA">
              <w:rPr>
                <w:rFonts w:ascii="Calibri" w:eastAsia="Times New Roman" w:hAnsi="Calibri" w:cs="Calibri"/>
                <w:color w:val="000000"/>
                <w:kern w:val="0"/>
                <w:sz w:val="16"/>
                <w:szCs w:val="16"/>
                <w:lang w:eastAsia="pl-PL"/>
                <w14:ligatures w14:val="none"/>
              </w:rPr>
              <w:br w:type="page"/>
            </w:r>
          </w:p>
        </w:tc>
        <w:tc>
          <w:tcPr>
            <w:tcW w:w="780" w:type="dxa"/>
            <w:tcBorders>
              <w:top w:val="nil"/>
              <w:left w:val="nil"/>
              <w:bottom w:val="single" w:sz="4" w:space="0" w:color="auto"/>
              <w:right w:val="single" w:sz="4" w:space="0" w:color="auto"/>
            </w:tcBorders>
            <w:shd w:val="clear" w:color="auto" w:fill="auto"/>
            <w:vAlign w:val="center"/>
            <w:hideMark/>
          </w:tcPr>
          <w:p w14:paraId="5DD9B77B"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0460D9EE"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129536B0" w14:textId="77777777" w:rsidR="00BD17DA" w:rsidRPr="00A90EBA" w:rsidRDefault="00BD17DA" w:rsidP="00BD17DA">
            <w:pPr>
              <w:jc w:val="right"/>
              <w:rPr>
                <w:rFonts w:ascii="Calibri" w:eastAsia="Times New Roman" w:hAnsi="Calibri" w:cs="Calibri"/>
                <w:kern w:val="0"/>
                <w:sz w:val="16"/>
                <w:szCs w:val="16"/>
                <w:lang w:eastAsia="pl-PL"/>
                <w14:ligatures w14:val="none"/>
              </w:rPr>
            </w:pPr>
            <w:r w:rsidRPr="00A90EBA">
              <w:rPr>
                <w:rFonts w:ascii="Calibri" w:eastAsia="Times New Roman" w:hAnsi="Calibri" w:cs="Calibri"/>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015FAC66" w14:textId="5B9DC940" w:rsidR="00BD17DA" w:rsidRPr="00A90EBA" w:rsidRDefault="00BD17DA" w:rsidP="00BD17DA">
            <w:pPr>
              <w:jc w:val="right"/>
              <w:rPr>
                <w:rFonts w:ascii="Calibri" w:eastAsia="Times New Roman" w:hAnsi="Calibri" w:cs="Calibri"/>
                <w:kern w:val="0"/>
                <w:sz w:val="16"/>
                <w:szCs w:val="16"/>
                <w:lang w:eastAsia="pl-PL"/>
                <w14:ligatures w14:val="none"/>
              </w:rPr>
            </w:pPr>
            <w:r w:rsidRPr="00A90EBA">
              <w:rPr>
                <w:rFonts w:ascii="Calibri" w:eastAsia="Times New Roman" w:hAnsi="Calibri" w:cs="Calibri"/>
                <w:kern w:val="0"/>
                <w:sz w:val="16"/>
                <w:szCs w:val="16"/>
                <w:lang w:eastAsia="pl-PL"/>
                <w14:ligatures w14:val="none"/>
              </w:rPr>
              <w:t>0</w:t>
            </w:r>
            <w:r w:rsidR="00F206D1" w:rsidRPr="00A90EBA">
              <w:rPr>
                <w:rFonts w:ascii="Calibri" w:eastAsia="Times New Roman" w:hAnsi="Calibri" w:cs="Calibri"/>
                <w:kern w:val="0"/>
                <w:sz w:val="16"/>
                <w:szCs w:val="16"/>
                <w:lang w:eastAsia="pl-PL"/>
                <w14:ligatures w14:val="none"/>
              </w:rPr>
              <w:t>%</w:t>
            </w:r>
          </w:p>
        </w:tc>
        <w:tc>
          <w:tcPr>
            <w:tcW w:w="780" w:type="dxa"/>
            <w:tcBorders>
              <w:top w:val="nil"/>
              <w:left w:val="nil"/>
              <w:bottom w:val="single" w:sz="4" w:space="0" w:color="auto"/>
              <w:right w:val="single" w:sz="4" w:space="0" w:color="auto"/>
            </w:tcBorders>
            <w:shd w:val="clear" w:color="auto" w:fill="auto"/>
            <w:vAlign w:val="center"/>
            <w:hideMark/>
          </w:tcPr>
          <w:p w14:paraId="4E6569D8" w14:textId="3B6B0E27" w:rsidR="00BD17DA" w:rsidRPr="00A90EBA" w:rsidRDefault="00E2440A" w:rsidP="00BD17DA">
            <w:pPr>
              <w:jc w:val="right"/>
              <w:rPr>
                <w:rFonts w:ascii="Calibri" w:eastAsia="Times New Roman" w:hAnsi="Calibri" w:cs="Calibri"/>
                <w:kern w:val="0"/>
                <w:sz w:val="16"/>
                <w:szCs w:val="16"/>
                <w:lang w:eastAsia="pl-PL"/>
                <w14:ligatures w14:val="none"/>
              </w:rPr>
            </w:pPr>
            <w:r w:rsidRPr="00A90EBA">
              <w:rPr>
                <w:rFonts w:ascii="Calibri" w:eastAsia="Times New Roman" w:hAnsi="Calibri" w:cs="Calibri"/>
                <w:kern w:val="0"/>
                <w:sz w:val="16"/>
                <w:szCs w:val="16"/>
                <w:lang w:eastAsia="pl-PL"/>
                <w14:ligatures w14:val="none"/>
              </w:rPr>
              <w:t>6 sztuk</w:t>
            </w:r>
          </w:p>
        </w:tc>
        <w:tc>
          <w:tcPr>
            <w:tcW w:w="780" w:type="dxa"/>
            <w:tcBorders>
              <w:top w:val="nil"/>
              <w:left w:val="nil"/>
              <w:bottom w:val="single" w:sz="4" w:space="0" w:color="auto"/>
              <w:right w:val="single" w:sz="4" w:space="0" w:color="auto"/>
            </w:tcBorders>
            <w:shd w:val="clear" w:color="auto" w:fill="auto"/>
            <w:vAlign w:val="center"/>
            <w:hideMark/>
          </w:tcPr>
          <w:p w14:paraId="239A646E" w14:textId="150AC311" w:rsidR="00BD17DA" w:rsidRPr="00A90EBA" w:rsidRDefault="00E2440A" w:rsidP="00BD17DA">
            <w:pPr>
              <w:jc w:val="right"/>
              <w:rPr>
                <w:rFonts w:ascii="Calibri" w:eastAsia="Times New Roman" w:hAnsi="Calibri" w:cs="Calibri"/>
                <w:kern w:val="0"/>
                <w:sz w:val="16"/>
                <w:szCs w:val="16"/>
                <w:lang w:eastAsia="pl-PL"/>
                <w14:ligatures w14:val="none"/>
              </w:rPr>
            </w:pPr>
            <w:r w:rsidRPr="00A90EBA">
              <w:rPr>
                <w:rFonts w:ascii="Calibri" w:eastAsia="Times New Roman" w:hAnsi="Calibri" w:cs="Calibri"/>
                <w:kern w:val="0"/>
                <w:sz w:val="16"/>
                <w:szCs w:val="16"/>
                <w:lang w:eastAsia="pl-PL"/>
                <w14:ligatures w14:val="none"/>
              </w:rPr>
              <w:t>10</w:t>
            </w:r>
            <w:r w:rsidR="00BD17DA" w:rsidRPr="00A90EBA">
              <w:rPr>
                <w:rFonts w:ascii="Calibri" w:eastAsia="Times New Roman" w:hAnsi="Calibri" w:cs="Calibri"/>
                <w:kern w:val="0"/>
                <w:sz w:val="16"/>
                <w:szCs w:val="16"/>
                <w:lang w:eastAsia="pl-PL"/>
                <w14:ligatures w14:val="none"/>
              </w:rPr>
              <w:t>0</w:t>
            </w:r>
            <w:r w:rsidR="00F206D1" w:rsidRPr="00A90EBA">
              <w:rPr>
                <w:rFonts w:ascii="Calibri" w:eastAsia="Times New Roman" w:hAnsi="Calibri" w:cs="Calibri"/>
                <w:kern w:val="0"/>
                <w:sz w:val="16"/>
                <w:szCs w:val="16"/>
                <w:lang w:eastAsia="pl-PL"/>
                <w14:ligatures w14:val="none"/>
              </w:rPr>
              <w:t>%</w:t>
            </w:r>
          </w:p>
        </w:tc>
        <w:tc>
          <w:tcPr>
            <w:tcW w:w="780" w:type="dxa"/>
            <w:tcBorders>
              <w:top w:val="nil"/>
              <w:left w:val="nil"/>
              <w:bottom w:val="single" w:sz="4" w:space="0" w:color="auto"/>
              <w:right w:val="single" w:sz="4" w:space="0" w:color="auto"/>
            </w:tcBorders>
            <w:shd w:val="clear" w:color="auto" w:fill="auto"/>
            <w:vAlign w:val="center"/>
            <w:hideMark/>
          </w:tcPr>
          <w:p w14:paraId="750B908C" w14:textId="264BC3AA" w:rsidR="00BD17DA" w:rsidRPr="00BD17DA" w:rsidRDefault="00E2440A" w:rsidP="00BD17DA">
            <w:pPr>
              <w:jc w:val="right"/>
              <w:rPr>
                <w:rFonts w:ascii="Calibri" w:eastAsia="Times New Roman" w:hAnsi="Calibri" w:cs="Calibri"/>
                <w:color w:val="000000"/>
                <w:kern w:val="0"/>
                <w:sz w:val="16"/>
                <w:szCs w:val="16"/>
                <w:lang w:eastAsia="pl-PL"/>
                <w14:ligatures w14:val="none"/>
              </w:rPr>
            </w:pPr>
            <w:r>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57B53ABA" w14:textId="2D16A191"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100</w:t>
            </w:r>
            <w:r w:rsidR="00F206D1">
              <w:rPr>
                <w:rFonts w:ascii="Calibri" w:eastAsia="Times New Roman" w:hAnsi="Calibri" w:cs="Calibri"/>
                <w:color w:val="000000"/>
                <w:kern w:val="0"/>
                <w:sz w:val="16"/>
                <w:szCs w:val="16"/>
                <w:lang w:eastAsia="pl-PL"/>
                <w14:ligatures w14:val="none"/>
              </w:rPr>
              <w:t>%</w:t>
            </w:r>
          </w:p>
        </w:tc>
        <w:tc>
          <w:tcPr>
            <w:tcW w:w="780" w:type="dxa"/>
            <w:tcBorders>
              <w:top w:val="nil"/>
              <w:left w:val="nil"/>
              <w:bottom w:val="single" w:sz="4" w:space="0" w:color="auto"/>
              <w:right w:val="single" w:sz="4" w:space="0" w:color="auto"/>
            </w:tcBorders>
            <w:shd w:val="clear" w:color="auto" w:fill="auto"/>
            <w:vAlign w:val="center"/>
            <w:hideMark/>
          </w:tcPr>
          <w:p w14:paraId="5E9AD2C0"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74940024" w14:textId="5841127D"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100</w:t>
            </w:r>
            <w:r w:rsidR="00F206D1">
              <w:rPr>
                <w:rFonts w:ascii="Calibri" w:eastAsia="Times New Roman" w:hAnsi="Calibri" w:cs="Calibri"/>
                <w:color w:val="000000"/>
                <w:kern w:val="0"/>
                <w:sz w:val="16"/>
                <w:szCs w:val="16"/>
                <w:lang w:eastAsia="pl-PL"/>
                <w14:ligatures w14:val="none"/>
              </w:rPr>
              <w:t>%</w:t>
            </w:r>
          </w:p>
        </w:tc>
        <w:tc>
          <w:tcPr>
            <w:tcW w:w="780" w:type="dxa"/>
            <w:tcBorders>
              <w:top w:val="nil"/>
              <w:left w:val="nil"/>
              <w:bottom w:val="single" w:sz="4" w:space="0" w:color="auto"/>
              <w:right w:val="single" w:sz="4" w:space="0" w:color="auto"/>
            </w:tcBorders>
            <w:shd w:val="clear" w:color="auto" w:fill="auto"/>
            <w:vAlign w:val="center"/>
            <w:hideMark/>
          </w:tcPr>
          <w:p w14:paraId="6CD65099"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74DEF098" w14:textId="536F24F1"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100</w:t>
            </w:r>
            <w:r w:rsidR="00F206D1">
              <w:rPr>
                <w:rFonts w:ascii="Calibri" w:eastAsia="Times New Roman" w:hAnsi="Calibri" w:cs="Calibri"/>
                <w:color w:val="000000"/>
                <w:kern w:val="0"/>
                <w:sz w:val="16"/>
                <w:szCs w:val="16"/>
                <w:lang w:eastAsia="pl-PL"/>
                <w14:ligatures w14:val="none"/>
              </w:rPr>
              <w:t>%</w:t>
            </w:r>
          </w:p>
        </w:tc>
        <w:tc>
          <w:tcPr>
            <w:tcW w:w="700" w:type="dxa"/>
            <w:tcBorders>
              <w:top w:val="nil"/>
              <w:left w:val="nil"/>
              <w:bottom w:val="single" w:sz="4" w:space="0" w:color="auto"/>
              <w:right w:val="single" w:sz="4" w:space="0" w:color="auto"/>
            </w:tcBorders>
            <w:shd w:val="clear" w:color="auto" w:fill="auto"/>
            <w:vAlign w:val="center"/>
            <w:hideMark/>
          </w:tcPr>
          <w:p w14:paraId="27C0F088"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PS WPR</w:t>
            </w:r>
          </w:p>
        </w:tc>
      </w:tr>
      <w:tr w:rsidR="00BD17DA" w:rsidRPr="00BD17DA" w14:paraId="41429811" w14:textId="77777777" w:rsidTr="00B70DF5">
        <w:trPr>
          <w:trHeight w:val="904"/>
        </w:trPr>
        <w:tc>
          <w:tcPr>
            <w:tcW w:w="1601" w:type="dxa"/>
            <w:tcBorders>
              <w:top w:val="nil"/>
              <w:left w:val="single" w:sz="4" w:space="0" w:color="auto"/>
              <w:bottom w:val="single" w:sz="4" w:space="0" w:color="auto"/>
              <w:right w:val="single" w:sz="4" w:space="0" w:color="auto"/>
            </w:tcBorders>
            <w:shd w:val="clear" w:color="000000" w:fill="FFD5B9"/>
            <w:vAlign w:val="center"/>
            <w:hideMark/>
          </w:tcPr>
          <w:p w14:paraId="174A5E9A" w14:textId="1204373E"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 xml:space="preserve">Przedsięwzięcie </w:t>
            </w:r>
            <w:r w:rsidR="00F206D1">
              <w:rPr>
                <w:rFonts w:ascii="Calibri" w:eastAsia="Times New Roman" w:hAnsi="Calibri" w:cs="Calibri"/>
                <w:color w:val="000000"/>
                <w:kern w:val="0"/>
                <w:sz w:val="16"/>
                <w:szCs w:val="16"/>
                <w:lang w:eastAsia="pl-PL"/>
                <w14:ligatures w14:val="none"/>
              </w:rPr>
              <w:t>P.</w:t>
            </w:r>
            <w:r w:rsidRPr="00BD17DA">
              <w:rPr>
                <w:rFonts w:ascii="Calibri" w:eastAsia="Times New Roman" w:hAnsi="Calibri" w:cs="Calibri"/>
                <w:color w:val="000000"/>
                <w:kern w:val="0"/>
                <w:sz w:val="16"/>
                <w:szCs w:val="16"/>
                <w:lang w:eastAsia="pl-PL"/>
                <w14:ligatures w14:val="none"/>
              </w:rPr>
              <w:t>1.6. Integracja społeczna na obszarach wiejskich.</w:t>
            </w:r>
            <w:r>
              <w:rPr>
                <w:rFonts w:ascii="Calibri" w:eastAsia="Times New Roman" w:hAnsi="Calibri" w:cs="Calibri"/>
                <w:color w:val="000000"/>
                <w:kern w:val="0"/>
                <w:sz w:val="16"/>
                <w:szCs w:val="16"/>
                <w:lang w:eastAsia="pl-PL"/>
                <w14:ligatures w14:val="none"/>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B1C07F3" w14:textId="5E723B55" w:rsidR="00BD17DA" w:rsidRPr="00BD17DA" w:rsidRDefault="00BD17DA" w:rsidP="00E761B4">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 xml:space="preserve">1.6.1 </w:t>
            </w:r>
            <w:r w:rsidR="00E761B4">
              <w:rPr>
                <w:rFonts w:ascii="Calibri" w:eastAsia="Times New Roman" w:hAnsi="Calibri" w:cs="Calibri"/>
                <w:color w:val="000000"/>
                <w:kern w:val="0"/>
                <w:sz w:val="16"/>
                <w:szCs w:val="16"/>
                <w:lang w:eastAsia="pl-PL"/>
                <w14:ligatures w14:val="none"/>
              </w:rPr>
              <w:t xml:space="preserve">FEW 4l-P1 </w:t>
            </w:r>
            <w:r w:rsidRPr="00BD17DA">
              <w:rPr>
                <w:rFonts w:ascii="Calibri" w:eastAsia="Times New Roman" w:hAnsi="Calibri" w:cs="Calibri"/>
                <w:color w:val="000000"/>
                <w:kern w:val="0"/>
                <w:sz w:val="16"/>
                <w:szCs w:val="16"/>
                <w:lang w:eastAsia="pl-PL"/>
                <w14:ligatures w14:val="none"/>
              </w:rPr>
              <w:t xml:space="preserve">Liczba inicjatyw w zakresie </w:t>
            </w:r>
            <w:r w:rsidR="00E761B4">
              <w:rPr>
                <w:rFonts w:ascii="Calibri" w:eastAsia="Times New Roman" w:hAnsi="Calibri" w:cs="Calibri"/>
                <w:color w:val="000000"/>
                <w:kern w:val="0"/>
                <w:sz w:val="16"/>
                <w:szCs w:val="16"/>
                <w:lang w:eastAsia="pl-PL"/>
                <w14:ligatures w14:val="none"/>
              </w:rPr>
              <w:t>aktywizacji</w:t>
            </w:r>
            <w:r w:rsidRPr="00BD17DA">
              <w:rPr>
                <w:rFonts w:ascii="Calibri" w:eastAsia="Times New Roman" w:hAnsi="Calibri" w:cs="Calibri"/>
                <w:color w:val="000000"/>
                <w:kern w:val="0"/>
                <w:sz w:val="16"/>
                <w:szCs w:val="16"/>
                <w:lang w:eastAsia="pl-PL"/>
                <w14:ligatures w14:val="none"/>
              </w:rPr>
              <w:t xml:space="preserve"> społe</w:t>
            </w:r>
            <w:r w:rsidR="00E761B4">
              <w:rPr>
                <w:rFonts w:ascii="Calibri" w:eastAsia="Times New Roman" w:hAnsi="Calibri" w:cs="Calibri"/>
                <w:color w:val="000000"/>
                <w:kern w:val="0"/>
                <w:sz w:val="16"/>
                <w:szCs w:val="16"/>
                <w:lang w:eastAsia="pl-PL"/>
                <w14:ligatures w14:val="none"/>
              </w:rPr>
              <w:t>czności na rzecz rozwoju lokalnego</w:t>
            </w:r>
          </w:p>
        </w:tc>
        <w:tc>
          <w:tcPr>
            <w:tcW w:w="780" w:type="dxa"/>
            <w:tcBorders>
              <w:top w:val="nil"/>
              <w:left w:val="nil"/>
              <w:bottom w:val="single" w:sz="4" w:space="0" w:color="auto"/>
              <w:right w:val="single" w:sz="4" w:space="0" w:color="auto"/>
            </w:tcBorders>
            <w:shd w:val="clear" w:color="auto" w:fill="auto"/>
            <w:vAlign w:val="center"/>
            <w:hideMark/>
          </w:tcPr>
          <w:p w14:paraId="1D69AC21"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79FD1FF6"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7EC0267C" w14:textId="77777777" w:rsidR="00BD17DA" w:rsidRPr="00A90EBA" w:rsidRDefault="00BD17DA" w:rsidP="00BD17DA">
            <w:pPr>
              <w:jc w:val="right"/>
              <w:rPr>
                <w:rFonts w:ascii="Calibri" w:eastAsia="Times New Roman" w:hAnsi="Calibri" w:cs="Calibri"/>
                <w:kern w:val="0"/>
                <w:sz w:val="16"/>
                <w:szCs w:val="16"/>
                <w:lang w:eastAsia="pl-PL"/>
                <w14:ligatures w14:val="none"/>
              </w:rPr>
            </w:pPr>
            <w:r w:rsidRPr="00A90EBA">
              <w:rPr>
                <w:rFonts w:ascii="Calibri" w:eastAsia="Times New Roman" w:hAnsi="Calibri" w:cs="Calibri"/>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2C9168A5" w14:textId="69E92217" w:rsidR="00BD17DA" w:rsidRPr="00A90EBA" w:rsidRDefault="00BD17DA" w:rsidP="00BD17DA">
            <w:pPr>
              <w:jc w:val="right"/>
              <w:rPr>
                <w:rFonts w:ascii="Calibri" w:eastAsia="Times New Roman" w:hAnsi="Calibri" w:cs="Calibri"/>
                <w:kern w:val="0"/>
                <w:sz w:val="16"/>
                <w:szCs w:val="16"/>
                <w:lang w:eastAsia="pl-PL"/>
                <w14:ligatures w14:val="none"/>
              </w:rPr>
            </w:pPr>
            <w:r w:rsidRPr="00A90EBA">
              <w:rPr>
                <w:rFonts w:ascii="Calibri" w:eastAsia="Times New Roman" w:hAnsi="Calibri" w:cs="Calibri"/>
                <w:kern w:val="0"/>
                <w:sz w:val="16"/>
                <w:szCs w:val="16"/>
                <w:lang w:eastAsia="pl-PL"/>
                <w14:ligatures w14:val="none"/>
              </w:rPr>
              <w:t>0</w:t>
            </w:r>
            <w:r w:rsidR="00F206D1" w:rsidRPr="00A90EBA">
              <w:rPr>
                <w:rFonts w:ascii="Calibri" w:eastAsia="Times New Roman" w:hAnsi="Calibri" w:cs="Calibri"/>
                <w:kern w:val="0"/>
                <w:sz w:val="16"/>
                <w:szCs w:val="16"/>
                <w:lang w:eastAsia="pl-PL"/>
                <w14:ligatures w14:val="none"/>
              </w:rPr>
              <w:t>%</w:t>
            </w:r>
          </w:p>
        </w:tc>
        <w:tc>
          <w:tcPr>
            <w:tcW w:w="780" w:type="dxa"/>
            <w:tcBorders>
              <w:top w:val="nil"/>
              <w:left w:val="nil"/>
              <w:bottom w:val="single" w:sz="4" w:space="0" w:color="auto"/>
              <w:right w:val="single" w:sz="4" w:space="0" w:color="auto"/>
            </w:tcBorders>
            <w:shd w:val="clear" w:color="auto" w:fill="auto"/>
            <w:vAlign w:val="center"/>
            <w:hideMark/>
          </w:tcPr>
          <w:p w14:paraId="616856AF" w14:textId="516EB073" w:rsidR="000770A0" w:rsidRPr="00C406F6" w:rsidRDefault="000770A0" w:rsidP="00BD17DA">
            <w:pPr>
              <w:jc w:val="right"/>
              <w:rPr>
                <w:rFonts w:ascii="Calibri" w:eastAsia="Times New Roman" w:hAnsi="Calibri" w:cs="Calibri"/>
                <w:kern w:val="0"/>
                <w:sz w:val="16"/>
                <w:szCs w:val="16"/>
                <w:lang w:eastAsia="pl-PL"/>
                <w14:ligatures w14:val="none"/>
              </w:rPr>
            </w:pPr>
            <w:r w:rsidRPr="00C406F6">
              <w:rPr>
                <w:rFonts w:ascii="Calibri" w:eastAsia="Times New Roman" w:hAnsi="Calibri" w:cs="Calibri"/>
                <w:kern w:val="0"/>
                <w:sz w:val="16"/>
                <w:szCs w:val="16"/>
                <w:lang w:eastAsia="pl-PL"/>
                <w14:ligatures w14:val="none"/>
              </w:rPr>
              <w:t>6 sztuk</w:t>
            </w:r>
          </w:p>
        </w:tc>
        <w:tc>
          <w:tcPr>
            <w:tcW w:w="780" w:type="dxa"/>
            <w:tcBorders>
              <w:top w:val="nil"/>
              <w:left w:val="nil"/>
              <w:bottom w:val="single" w:sz="4" w:space="0" w:color="auto"/>
              <w:right w:val="single" w:sz="4" w:space="0" w:color="auto"/>
            </w:tcBorders>
            <w:shd w:val="clear" w:color="auto" w:fill="auto"/>
            <w:vAlign w:val="center"/>
            <w:hideMark/>
          </w:tcPr>
          <w:p w14:paraId="7AD2621E" w14:textId="00EEA859" w:rsidR="00F5486B" w:rsidRPr="005A4792" w:rsidRDefault="00F5486B" w:rsidP="00BD17DA">
            <w:pPr>
              <w:jc w:val="right"/>
              <w:rPr>
                <w:rFonts w:ascii="Calibri" w:eastAsia="Times New Roman" w:hAnsi="Calibri" w:cs="Calibri"/>
                <w:kern w:val="0"/>
                <w:sz w:val="16"/>
                <w:szCs w:val="16"/>
                <w:lang w:eastAsia="pl-PL"/>
                <w14:ligatures w14:val="none"/>
              </w:rPr>
            </w:pPr>
            <w:r w:rsidRPr="005A4792">
              <w:rPr>
                <w:rFonts w:ascii="Calibri" w:eastAsia="Times New Roman" w:hAnsi="Calibri" w:cs="Calibri"/>
                <w:kern w:val="0"/>
                <w:sz w:val="16"/>
                <w:szCs w:val="16"/>
                <w:lang w:eastAsia="pl-PL"/>
                <w14:ligatures w14:val="none"/>
              </w:rPr>
              <w:t>60%</w:t>
            </w:r>
          </w:p>
        </w:tc>
        <w:tc>
          <w:tcPr>
            <w:tcW w:w="780" w:type="dxa"/>
            <w:tcBorders>
              <w:top w:val="nil"/>
              <w:left w:val="nil"/>
              <w:bottom w:val="single" w:sz="4" w:space="0" w:color="auto"/>
              <w:right w:val="single" w:sz="4" w:space="0" w:color="auto"/>
            </w:tcBorders>
            <w:shd w:val="clear" w:color="auto" w:fill="auto"/>
            <w:vAlign w:val="center"/>
            <w:hideMark/>
          </w:tcPr>
          <w:p w14:paraId="740B2456" w14:textId="60809EA5" w:rsidR="00BD17DA" w:rsidRPr="005A4792" w:rsidRDefault="00E2440A" w:rsidP="00BD17DA">
            <w:pPr>
              <w:jc w:val="right"/>
              <w:rPr>
                <w:rFonts w:ascii="Calibri" w:eastAsia="Times New Roman" w:hAnsi="Calibri" w:cs="Calibri"/>
                <w:kern w:val="0"/>
                <w:sz w:val="16"/>
                <w:szCs w:val="16"/>
                <w:lang w:eastAsia="pl-PL"/>
                <w14:ligatures w14:val="none"/>
              </w:rPr>
            </w:pPr>
            <w:r w:rsidRPr="005A4792">
              <w:rPr>
                <w:rFonts w:ascii="Calibri" w:eastAsia="Times New Roman" w:hAnsi="Calibri" w:cs="Calibri"/>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6A7DF8CA" w14:textId="54F3EF59" w:rsidR="00BD17DA" w:rsidRPr="005A4792" w:rsidRDefault="00F5486B" w:rsidP="00F5486B">
            <w:pPr>
              <w:jc w:val="right"/>
              <w:rPr>
                <w:rFonts w:ascii="Calibri" w:eastAsia="Times New Roman" w:hAnsi="Calibri" w:cs="Calibri"/>
                <w:kern w:val="0"/>
                <w:sz w:val="16"/>
                <w:szCs w:val="16"/>
                <w:lang w:eastAsia="pl-PL"/>
                <w14:ligatures w14:val="none"/>
              </w:rPr>
            </w:pPr>
            <w:r w:rsidRPr="005A4792">
              <w:rPr>
                <w:rFonts w:ascii="Calibri" w:eastAsia="Times New Roman" w:hAnsi="Calibri" w:cs="Calibri"/>
                <w:kern w:val="0"/>
                <w:sz w:val="16"/>
                <w:szCs w:val="16"/>
                <w:lang w:eastAsia="pl-PL"/>
                <w14:ligatures w14:val="none"/>
              </w:rPr>
              <w:t>60%</w:t>
            </w:r>
          </w:p>
        </w:tc>
        <w:tc>
          <w:tcPr>
            <w:tcW w:w="780" w:type="dxa"/>
            <w:tcBorders>
              <w:top w:val="nil"/>
              <w:left w:val="nil"/>
              <w:bottom w:val="single" w:sz="4" w:space="0" w:color="auto"/>
              <w:right w:val="single" w:sz="4" w:space="0" w:color="auto"/>
            </w:tcBorders>
            <w:shd w:val="clear" w:color="auto" w:fill="auto"/>
            <w:vAlign w:val="center"/>
            <w:hideMark/>
          </w:tcPr>
          <w:p w14:paraId="7DBE5FD4" w14:textId="3F7E8661" w:rsidR="00BD17DA" w:rsidRPr="005A4792" w:rsidRDefault="00F5486B" w:rsidP="00BD17DA">
            <w:pPr>
              <w:jc w:val="right"/>
              <w:rPr>
                <w:rFonts w:ascii="Calibri" w:eastAsia="Times New Roman" w:hAnsi="Calibri" w:cs="Calibri"/>
                <w:strike/>
                <w:kern w:val="0"/>
                <w:sz w:val="16"/>
                <w:szCs w:val="16"/>
                <w:lang w:eastAsia="pl-PL"/>
                <w14:ligatures w14:val="none"/>
              </w:rPr>
            </w:pPr>
            <w:r w:rsidRPr="005A4792">
              <w:rPr>
                <w:rFonts w:ascii="Calibri" w:eastAsia="Times New Roman" w:hAnsi="Calibri" w:cs="Calibri"/>
                <w:kern w:val="0"/>
                <w:sz w:val="16"/>
                <w:szCs w:val="16"/>
                <w:lang w:eastAsia="pl-PL"/>
                <w14:ligatures w14:val="none"/>
              </w:rPr>
              <w:t>4</w:t>
            </w:r>
          </w:p>
        </w:tc>
        <w:tc>
          <w:tcPr>
            <w:tcW w:w="780" w:type="dxa"/>
            <w:tcBorders>
              <w:top w:val="nil"/>
              <w:left w:val="nil"/>
              <w:bottom w:val="single" w:sz="4" w:space="0" w:color="auto"/>
              <w:right w:val="single" w:sz="4" w:space="0" w:color="auto"/>
            </w:tcBorders>
            <w:shd w:val="clear" w:color="auto" w:fill="auto"/>
            <w:vAlign w:val="center"/>
            <w:hideMark/>
          </w:tcPr>
          <w:p w14:paraId="0B6F514A" w14:textId="735F81FD"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100</w:t>
            </w:r>
            <w:r w:rsidR="00F206D1">
              <w:rPr>
                <w:rFonts w:ascii="Calibri" w:eastAsia="Times New Roman" w:hAnsi="Calibri" w:cs="Calibri"/>
                <w:color w:val="000000"/>
                <w:kern w:val="0"/>
                <w:sz w:val="16"/>
                <w:szCs w:val="16"/>
                <w:lang w:eastAsia="pl-PL"/>
                <w14:ligatures w14:val="none"/>
              </w:rPr>
              <w:t>%</w:t>
            </w:r>
          </w:p>
        </w:tc>
        <w:tc>
          <w:tcPr>
            <w:tcW w:w="780" w:type="dxa"/>
            <w:tcBorders>
              <w:top w:val="nil"/>
              <w:left w:val="nil"/>
              <w:bottom w:val="single" w:sz="4" w:space="0" w:color="auto"/>
              <w:right w:val="single" w:sz="4" w:space="0" w:color="auto"/>
            </w:tcBorders>
            <w:shd w:val="clear" w:color="auto" w:fill="auto"/>
            <w:vAlign w:val="center"/>
            <w:hideMark/>
          </w:tcPr>
          <w:p w14:paraId="488E2E5E"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1195A59E" w14:textId="320AC025"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100</w:t>
            </w:r>
            <w:r w:rsidR="00F206D1">
              <w:rPr>
                <w:rFonts w:ascii="Calibri" w:eastAsia="Times New Roman" w:hAnsi="Calibri" w:cs="Calibri"/>
                <w:color w:val="000000"/>
                <w:kern w:val="0"/>
                <w:sz w:val="16"/>
                <w:szCs w:val="16"/>
                <w:lang w:eastAsia="pl-PL"/>
                <w14:ligatures w14:val="none"/>
              </w:rPr>
              <w:t>%</w:t>
            </w:r>
          </w:p>
        </w:tc>
        <w:tc>
          <w:tcPr>
            <w:tcW w:w="700" w:type="dxa"/>
            <w:tcBorders>
              <w:top w:val="nil"/>
              <w:left w:val="nil"/>
              <w:bottom w:val="single" w:sz="4" w:space="0" w:color="auto"/>
              <w:right w:val="single" w:sz="4" w:space="0" w:color="auto"/>
            </w:tcBorders>
            <w:shd w:val="clear" w:color="auto" w:fill="auto"/>
            <w:vAlign w:val="center"/>
            <w:hideMark/>
          </w:tcPr>
          <w:p w14:paraId="34FF4D3B"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EFS+</w:t>
            </w:r>
          </w:p>
        </w:tc>
      </w:tr>
      <w:tr w:rsidR="00BD17DA" w:rsidRPr="00BD17DA" w14:paraId="2EB2841E" w14:textId="77777777" w:rsidTr="00B70DF5">
        <w:trPr>
          <w:trHeight w:val="704"/>
        </w:trPr>
        <w:tc>
          <w:tcPr>
            <w:tcW w:w="1601" w:type="dxa"/>
            <w:tcBorders>
              <w:top w:val="nil"/>
              <w:left w:val="single" w:sz="4" w:space="0" w:color="auto"/>
              <w:bottom w:val="single" w:sz="4" w:space="0" w:color="auto"/>
              <w:right w:val="single" w:sz="4" w:space="0" w:color="auto"/>
            </w:tcBorders>
            <w:shd w:val="clear" w:color="000000" w:fill="FFD5B9"/>
            <w:vAlign w:val="center"/>
            <w:hideMark/>
          </w:tcPr>
          <w:p w14:paraId="32D09087" w14:textId="58B9BA03"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Wskaźnik rezultatu W.1.1.1</w:t>
            </w:r>
            <w:r>
              <w:rPr>
                <w:rFonts w:ascii="Calibri" w:eastAsia="Times New Roman" w:hAnsi="Calibri" w:cs="Calibri"/>
                <w:color w:val="000000"/>
                <w:kern w:val="0"/>
                <w:sz w:val="16"/>
                <w:szCs w:val="16"/>
                <w:lang w:eastAsia="pl-PL"/>
                <w14:ligatures w14:val="none"/>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6456868" w14:textId="5F5B1813" w:rsidR="00BD17DA" w:rsidRPr="00BD17DA" w:rsidRDefault="00BD17DA" w:rsidP="00BD17DA">
            <w:pPr>
              <w:rPr>
                <w:rFonts w:ascii="Calibri" w:eastAsia="Times New Roman" w:hAnsi="Calibri" w:cs="Calibri"/>
                <w:color w:val="000000"/>
                <w:kern w:val="0"/>
                <w:sz w:val="16"/>
                <w:szCs w:val="16"/>
                <w:lang w:eastAsia="pl-PL"/>
                <w14:ligatures w14:val="none"/>
              </w:rPr>
            </w:pPr>
            <w:r>
              <w:rPr>
                <w:rFonts w:ascii="Calibri" w:eastAsia="Times New Roman" w:hAnsi="Calibri" w:cs="Calibri"/>
                <w:color w:val="000000"/>
                <w:kern w:val="0"/>
                <w:sz w:val="16"/>
                <w:szCs w:val="16"/>
                <w:lang w:eastAsia="pl-PL"/>
                <w14:ligatures w14:val="none"/>
              </w:rPr>
              <w:t xml:space="preserve"> </w:t>
            </w:r>
            <w:r w:rsidRPr="00BD17DA">
              <w:rPr>
                <w:rFonts w:ascii="Calibri" w:eastAsia="Times New Roman" w:hAnsi="Calibri" w:cs="Calibri"/>
                <w:color w:val="000000"/>
                <w:kern w:val="0"/>
                <w:sz w:val="16"/>
                <w:szCs w:val="16"/>
                <w:lang w:eastAsia="pl-PL"/>
                <w14:ligatures w14:val="none"/>
              </w:rPr>
              <w:t>R.40 Inteligentna przemiana gospodarki wiejskiej: liczba wspieranych strategii</w:t>
            </w:r>
            <w:r w:rsidR="00E761B4">
              <w:rPr>
                <w:rFonts w:ascii="Calibri" w:eastAsia="Times New Roman" w:hAnsi="Calibri" w:cs="Calibri"/>
                <w:color w:val="000000"/>
                <w:kern w:val="0"/>
                <w:sz w:val="16"/>
                <w:szCs w:val="16"/>
                <w:lang w:eastAsia="pl-PL"/>
                <w14:ligatures w14:val="none"/>
              </w:rPr>
              <w:t xml:space="preserve"> inteligentnych wsi.</w:t>
            </w:r>
          </w:p>
        </w:tc>
        <w:tc>
          <w:tcPr>
            <w:tcW w:w="780" w:type="dxa"/>
            <w:tcBorders>
              <w:top w:val="nil"/>
              <w:left w:val="nil"/>
              <w:bottom w:val="single" w:sz="4" w:space="0" w:color="auto"/>
              <w:right w:val="single" w:sz="4" w:space="0" w:color="auto"/>
            </w:tcBorders>
            <w:shd w:val="clear" w:color="auto" w:fill="auto"/>
            <w:vAlign w:val="center"/>
            <w:hideMark/>
          </w:tcPr>
          <w:p w14:paraId="2FC31DB2"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6B570D2E"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single" w:sz="4" w:space="0" w:color="auto"/>
            </w:tcBorders>
            <w:shd w:val="clear" w:color="auto" w:fill="auto"/>
            <w:vAlign w:val="center"/>
            <w:hideMark/>
          </w:tcPr>
          <w:p w14:paraId="05A17D8C" w14:textId="749CB38F" w:rsidR="00D307A5" w:rsidRPr="00C406F6" w:rsidRDefault="00D307A5" w:rsidP="00BD17DA">
            <w:pPr>
              <w:jc w:val="right"/>
              <w:rPr>
                <w:rFonts w:ascii="Calibri" w:eastAsia="Times New Roman" w:hAnsi="Calibri" w:cs="Calibri"/>
                <w:kern w:val="0"/>
                <w:sz w:val="16"/>
                <w:szCs w:val="16"/>
                <w:lang w:eastAsia="pl-PL"/>
                <w14:ligatures w14:val="none"/>
              </w:rPr>
            </w:pPr>
            <w:r w:rsidRPr="00C406F6">
              <w:rPr>
                <w:rFonts w:ascii="Calibri" w:eastAsia="Times New Roman" w:hAnsi="Calibri" w:cs="Calibri"/>
                <w:kern w:val="0"/>
                <w:sz w:val="16"/>
                <w:szCs w:val="16"/>
                <w:lang w:eastAsia="pl-PL"/>
                <w14:ligatures w14:val="none"/>
              </w:rPr>
              <w:t>0</w:t>
            </w:r>
          </w:p>
        </w:tc>
        <w:tc>
          <w:tcPr>
            <w:tcW w:w="780"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1F5A23A0" w14:textId="77777777" w:rsidR="00BD17DA" w:rsidRPr="00C406F6" w:rsidRDefault="00BD17DA" w:rsidP="00BD17DA">
            <w:pPr>
              <w:rPr>
                <w:rFonts w:ascii="Calibri" w:eastAsia="Times New Roman" w:hAnsi="Calibri" w:cs="Calibri"/>
                <w:kern w:val="0"/>
                <w:sz w:val="16"/>
                <w:szCs w:val="16"/>
                <w:lang w:eastAsia="pl-PL"/>
                <w14:ligatures w14:val="none"/>
              </w:rPr>
            </w:pPr>
            <w:r w:rsidRPr="00C406F6">
              <w:rPr>
                <w:rFonts w:ascii="Calibri" w:eastAsia="Times New Roman" w:hAnsi="Calibri" w:cs="Calibri"/>
                <w:strike/>
                <w:kern w:val="0"/>
                <w:sz w:val="16"/>
                <w:szCs w:val="16"/>
                <w:lang w:eastAsia="pl-PL"/>
                <w14:ligatures w14:val="none"/>
              </w:rPr>
              <w:t> </w:t>
            </w:r>
          </w:p>
        </w:tc>
        <w:tc>
          <w:tcPr>
            <w:tcW w:w="780" w:type="dxa"/>
            <w:tcBorders>
              <w:top w:val="nil"/>
              <w:left w:val="nil"/>
              <w:bottom w:val="single" w:sz="4" w:space="0" w:color="auto"/>
              <w:right w:val="single" w:sz="4" w:space="0" w:color="auto"/>
            </w:tcBorders>
            <w:shd w:val="clear" w:color="auto" w:fill="auto"/>
            <w:vAlign w:val="center"/>
            <w:hideMark/>
          </w:tcPr>
          <w:p w14:paraId="60157AB4" w14:textId="44E93EE3" w:rsidR="00BD17DA" w:rsidRPr="00C406F6" w:rsidRDefault="00D307A5" w:rsidP="00BD17DA">
            <w:pPr>
              <w:jc w:val="right"/>
              <w:rPr>
                <w:rFonts w:ascii="Calibri" w:eastAsia="Times New Roman" w:hAnsi="Calibri" w:cs="Calibri"/>
                <w:kern w:val="0"/>
                <w:sz w:val="16"/>
                <w:szCs w:val="16"/>
                <w:lang w:eastAsia="pl-PL"/>
                <w14:ligatures w14:val="none"/>
              </w:rPr>
            </w:pPr>
            <w:r w:rsidRPr="00C406F6">
              <w:rPr>
                <w:rFonts w:ascii="Calibri" w:eastAsia="Times New Roman" w:hAnsi="Calibri" w:cs="Calibri"/>
                <w:kern w:val="0"/>
                <w:sz w:val="16"/>
                <w:szCs w:val="16"/>
                <w:lang w:eastAsia="pl-PL"/>
                <w14:ligatures w14:val="none"/>
              </w:rPr>
              <w:t>12</w:t>
            </w:r>
          </w:p>
        </w:tc>
        <w:tc>
          <w:tcPr>
            <w:tcW w:w="780"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33113378"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single" w:sz="4" w:space="0" w:color="auto"/>
            </w:tcBorders>
            <w:shd w:val="clear" w:color="auto" w:fill="auto"/>
            <w:vAlign w:val="center"/>
            <w:hideMark/>
          </w:tcPr>
          <w:p w14:paraId="35F04189"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5D0EEE6C"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single" w:sz="4" w:space="0" w:color="auto"/>
            </w:tcBorders>
            <w:shd w:val="clear" w:color="auto" w:fill="auto"/>
            <w:vAlign w:val="center"/>
            <w:hideMark/>
          </w:tcPr>
          <w:p w14:paraId="20DD9448"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6F8E48F9"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single" w:sz="4" w:space="0" w:color="auto"/>
            </w:tcBorders>
            <w:shd w:val="clear" w:color="auto" w:fill="auto"/>
            <w:vAlign w:val="center"/>
            <w:hideMark/>
          </w:tcPr>
          <w:p w14:paraId="409268DA"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4BCD385B"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00" w:type="dxa"/>
            <w:tcBorders>
              <w:top w:val="nil"/>
              <w:left w:val="nil"/>
              <w:bottom w:val="single" w:sz="4" w:space="0" w:color="auto"/>
              <w:right w:val="single" w:sz="4" w:space="0" w:color="auto"/>
            </w:tcBorders>
            <w:shd w:val="clear" w:color="auto" w:fill="auto"/>
            <w:vAlign w:val="center"/>
            <w:hideMark/>
          </w:tcPr>
          <w:p w14:paraId="1AF7C7A3" w14:textId="77777777"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PS WPR</w:t>
            </w:r>
          </w:p>
        </w:tc>
      </w:tr>
      <w:tr w:rsidR="00BD17DA" w:rsidRPr="00BD17DA" w14:paraId="21408630" w14:textId="77777777" w:rsidTr="00B70DF5">
        <w:trPr>
          <w:trHeight w:val="1185"/>
        </w:trPr>
        <w:tc>
          <w:tcPr>
            <w:tcW w:w="1601" w:type="dxa"/>
            <w:tcBorders>
              <w:top w:val="nil"/>
              <w:left w:val="single" w:sz="4" w:space="0" w:color="auto"/>
              <w:bottom w:val="single" w:sz="4" w:space="0" w:color="auto"/>
              <w:right w:val="single" w:sz="4" w:space="0" w:color="auto"/>
            </w:tcBorders>
            <w:shd w:val="clear" w:color="000000" w:fill="FFD5B9"/>
            <w:vAlign w:val="center"/>
            <w:hideMark/>
          </w:tcPr>
          <w:p w14:paraId="11834CD1" w14:textId="75E548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Wskaźnik rezultatu W.1.2.1</w:t>
            </w:r>
            <w:r>
              <w:rPr>
                <w:rFonts w:ascii="Calibri" w:eastAsia="Times New Roman" w:hAnsi="Calibri" w:cs="Calibri"/>
                <w:color w:val="000000"/>
                <w:kern w:val="0"/>
                <w:sz w:val="16"/>
                <w:szCs w:val="16"/>
                <w:lang w:eastAsia="pl-PL"/>
                <w14:ligatures w14:val="none"/>
              </w:rPr>
              <w:t xml:space="preserve"> </w:t>
            </w:r>
          </w:p>
        </w:tc>
        <w:tc>
          <w:tcPr>
            <w:tcW w:w="0" w:type="auto"/>
            <w:tcBorders>
              <w:top w:val="nil"/>
              <w:left w:val="nil"/>
              <w:bottom w:val="single" w:sz="4" w:space="0" w:color="auto"/>
              <w:right w:val="nil"/>
            </w:tcBorders>
            <w:shd w:val="clear" w:color="auto" w:fill="auto"/>
            <w:vAlign w:val="center"/>
            <w:hideMark/>
          </w:tcPr>
          <w:p w14:paraId="7526A033"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R.41 Łączenie obszarów wiejskich w Europie: odsetek ludności wiejskiej korzystającej z lepszego dostępu do usług i infrastruktury dzięki wsparciu z WPR.</w:t>
            </w:r>
          </w:p>
        </w:tc>
        <w:tc>
          <w:tcPr>
            <w:tcW w:w="780" w:type="dxa"/>
            <w:tcBorders>
              <w:top w:val="nil"/>
              <w:left w:val="single" w:sz="4" w:space="0" w:color="auto"/>
              <w:bottom w:val="single" w:sz="4" w:space="0" w:color="auto"/>
              <w:right w:val="single" w:sz="4" w:space="0" w:color="auto"/>
            </w:tcBorders>
            <w:shd w:val="clear" w:color="auto" w:fill="auto"/>
            <w:vAlign w:val="center"/>
            <w:hideMark/>
          </w:tcPr>
          <w:p w14:paraId="65DCC028"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60C4B3A4"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nil"/>
            </w:tcBorders>
            <w:shd w:val="clear" w:color="auto" w:fill="auto"/>
            <w:vAlign w:val="center"/>
            <w:hideMark/>
          </w:tcPr>
          <w:p w14:paraId="0657DFBE" w14:textId="14FACBDD" w:rsidR="000770A0" w:rsidRPr="00C406F6" w:rsidRDefault="000770A0" w:rsidP="00BD17DA">
            <w:pPr>
              <w:jc w:val="right"/>
              <w:rPr>
                <w:rFonts w:ascii="Calibri" w:eastAsia="Times New Roman" w:hAnsi="Calibri" w:cs="Calibri"/>
                <w:kern w:val="0"/>
                <w:sz w:val="16"/>
                <w:szCs w:val="16"/>
                <w:lang w:eastAsia="pl-PL"/>
                <w14:ligatures w14:val="none"/>
              </w:rPr>
            </w:pPr>
            <w:r w:rsidRPr="00C406F6">
              <w:rPr>
                <w:rFonts w:ascii="Calibri" w:eastAsia="Times New Roman" w:hAnsi="Calibri" w:cs="Calibri"/>
                <w:kern w:val="0"/>
                <w:sz w:val="16"/>
                <w:szCs w:val="16"/>
                <w:lang w:eastAsia="pl-PL"/>
                <w14:ligatures w14:val="none"/>
              </w:rPr>
              <w:t>4500</w:t>
            </w:r>
          </w:p>
          <w:p w14:paraId="752C971B" w14:textId="3FA2F49C" w:rsidR="00E2440A" w:rsidRPr="00C406F6" w:rsidRDefault="00E2440A" w:rsidP="00BD17DA">
            <w:pPr>
              <w:jc w:val="right"/>
              <w:rPr>
                <w:rFonts w:ascii="Calibri" w:eastAsia="Times New Roman" w:hAnsi="Calibri" w:cs="Calibri"/>
                <w:kern w:val="0"/>
                <w:sz w:val="16"/>
                <w:szCs w:val="16"/>
                <w:lang w:eastAsia="pl-PL"/>
                <w14:ligatures w14:val="none"/>
              </w:rPr>
            </w:pPr>
            <w:r w:rsidRPr="00C406F6">
              <w:rPr>
                <w:rFonts w:ascii="Calibri" w:eastAsia="Times New Roman" w:hAnsi="Calibri" w:cs="Calibri"/>
                <w:kern w:val="0"/>
                <w:sz w:val="16"/>
                <w:szCs w:val="16"/>
                <w:lang w:eastAsia="pl-PL"/>
                <w14:ligatures w14:val="none"/>
              </w:rPr>
              <w:t>osób</w:t>
            </w:r>
          </w:p>
        </w:tc>
        <w:tc>
          <w:tcPr>
            <w:tcW w:w="780"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vAlign w:val="center"/>
            <w:hideMark/>
          </w:tcPr>
          <w:p w14:paraId="4AADE2AA" w14:textId="77777777" w:rsidR="00BD17DA" w:rsidRPr="00C406F6" w:rsidRDefault="00BD17DA" w:rsidP="00BD17DA">
            <w:pPr>
              <w:rPr>
                <w:rFonts w:ascii="Calibri" w:eastAsia="Times New Roman" w:hAnsi="Calibri" w:cs="Calibri"/>
                <w:kern w:val="0"/>
                <w:sz w:val="16"/>
                <w:szCs w:val="16"/>
                <w:lang w:eastAsia="pl-PL"/>
                <w14:ligatures w14:val="none"/>
              </w:rPr>
            </w:pPr>
            <w:r w:rsidRPr="00C406F6">
              <w:rPr>
                <w:rFonts w:ascii="Calibri" w:eastAsia="Times New Roman" w:hAnsi="Calibri" w:cs="Calibri"/>
                <w:strike/>
                <w:kern w:val="0"/>
                <w:sz w:val="16"/>
                <w:szCs w:val="16"/>
                <w:lang w:eastAsia="pl-PL"/>
                <w14:ligatures w14:val="none"/>
              </w:rPr>
              <w:t> </w:t>
            </w:r>
          </w:p>
        </w:tc>
        <w:tc>
          <w:tcPr>
            <w:tcW w:w="780" w:type="dxa"/>
            <w:tcBorders>
              <w:top w:val="nil"/>
              <w:left w:val="nil"/>
              <w:bottom w:val="single" w:sz="4" w:space="0" w:color="auto"/>
              <w:right w:val="nil"/>
            </w:tcBorders>
            <w:shd w:val="clear" w:color="auto" w:fill="auto"/>
            <w:vAlign w:val="center"/>
            <w:hideMark/>
          </w:tcPr>
          <w:p w14:paraId="1C0C6C9C" w14:textId="77777777" w:rsidR="000770A0" w:rsidRPr="00C406F6" w:rsidRDefault="000770A0" w:rsidP="00BD17DA">
            <w:pPr>
              <w:rPr>
                <w:rFonts w:ascii="Calibri" w:eastAsia="Times New Roman" w:hAnsi="Calibri" w:cs="Calibri"/>
                <w:kern w:val="0"/>
                <w:sz w:val="16"/>
                <w:szCs w:val="16"/>
                <w:lang w:eastAsia="pl-PL"/>
                <w14:ligatures w14:val="none"/>
              </w:rPr>
            </w:pPr>
            <w:r w:rsidRPr="00C406F6">
              <w:rPr>
                <w:rFonts w:ascii="Calibri" w:eastAsia="Times New Roman" w:hAnsi="Calibri" w:cs="Calibri"/>
                <w:kern w:val="0"/>
                <w:sz w:val="16"/>
                <w:szCs w:val="16"/>
                <w:lang w:eastAsia="pl-PL"/>
                <w14:ligatures w14:val="none"/>
              </w:rPr>
              <w:t>4500</w:t>
            </w:r>
          </w:p>
          <w:p w14:paraId="0BDD7757" w14:textId="23AF4BF4" w:rsidR="00BD17DA" w:rsidRPr="00C406F6" w:rsidRDefault="00E2440A" w:rsidP="00BD17DA">
            <w:pPr>
              <w:rPr>
                <w:rFonts w:ascii="Calibri" w:eastAsia="Times New Roman" w:hAnsi="Calibri" w:cs="Calibri"/>
                <w:kern w:val="0"/>
                <w:sz w:val="16"/>
                <w:szCs w:val="16"/>
                <w:lang w:eastAsia="pl-PL"/>
                <w14:ligatures w14:val="none"/>
              </w:rPr>
            </w:pPr>
            <w:r w:rsidRPr="00C406F6">
              <w:rPr>
                <w:rFonts w:ascii="Calibri" w:eastAsia="Times New Roman" w:hAnsi="Calibri" w:cs="Calibri"/>
                <w:kern w:val="0"/>
                <w:sz w:val="16"/>
                <w:szCs w:val="16"/>
                <w:lang w:eastAsia="pl-PL"/>
                <w14:ligatures w14:val="none"/>
              </w:rPr>
              <w:t>osób</w:t>
            </w:r>
          </w:p>
        </w:tc>
        <w:tc>
          <w:tcPr>
            <w:tcW w:w="780"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vAlign w:val="center"/>
            <w:hideMark/>
          </w:tcPr>
          <w:p w14:paraId="4A380771"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nil"/>
            </w:tcBorders>
            <w:shd w:val="clear" w:color="auto" w:fill="auto"/>
            <w:vAlign w:val="center"/>
            <w:hideMark/>
          </w:tcPr>
          <w:p w14:paraId="628254CA" w14:textId="048D2F55" w:rsidR="00BD17DA" w:rsidRPr="00BD17DA" w:rsidRDefault="00E2440A" w:rsidP="00E2440A">
            <w:pPr>
              <w:jc w:val="right"/>
              <w:rPr>
                <w:rFonts w:ascii="Calibri" w:eastAsia="Times New Roman" w:hAnsi="Calibri" w:cs="Calibri"/>
                <w:color w:val="000000"/>
                <w:kern w:val="0"/>
                <w:sz w:val="16"/>
                <w:szCs w:val="16"/>
                <w:lang w:eastAsia="pl-PL"/>
                <w14:ligatures w14:val="none"/>
              </w:rPr>
            </w:pPr>
            <w:r>
              <w:rPr>
                <w:rFonts w:ascii="Calibri" w:eastAsia="Times New Roman" w:hAnsi="Calibri" w:cs="Calibri"/>
                <w:color w:val="000000"/>
                <w:kern w:val="0"/>
                <w:sz w:val="16"/>
                <w:szCs w:val="16"/>
                <w:lang w:eastAsia="pl-PL"/>
                <w14:ligatures w14:val="none"/>
              </w:rPr>
              <w:t>0</w:t>
            </w:r>
          </w:p>
        </w:tc>
        <w:tc>
          <w:tcPr>
            <w:tcW w:w="780"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vAlign w:val="center"/>
            <w:hideMark/>
          </w:tcPr>
          <w:p w14:paraId="3CFBA1F3"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nil"/>
            </w:tcBorders>
            <w:shd w:val="clear" w:color="auto" w:fill="auto"/>
            <w:vAlign w:val="center"/>
            <w:hideMark/>
          </w:tcPr>
          <w:p w14:paraId="1C80B594" w14:textId="4563FBD0" w:rsidR="00BD17DA" w:rsidRPr="00BD17DA" w:rsidRDefault="00E17D35" w:rsidP="00E17D35">
            <w:pPr>
              <w:jc w:val="right"/>
              <w:rPr>
                <w:rFonts w:ascii="Calibri" w:eastAsia="Times New Roman" w:hAnsi="Calibri" w:cs="Calibri"/>
                <w:color w:val="000000"/>
                <w:kern w:val="0"/>
                <w:sz w:val="16"/>
                <w:szCs w:val="16"/>
                <w:lang w:eastAsia="pl-PL"/>
                <w14:ligatures w14:val="none"/>
              </w:rPr>
            </w:pPr>
            <w:r>
              <w:rPr>
                <w:rFonts w:ascii="Calibri" w:eastAsia="Times New Roman" w:hAnsi="Calibri" w:cs="Calibri"/>
                <w:color w:val="000000"/>
                <w:kern w:val="0"/>
                <w:sz w:val="16"/>
                <w:szCs w:val="16"/>
                <w:lang w:eastAsia="pl-PL"/>
                <w14:ligatures w14:val="none"/>
              </w:rPr>
              <w:t>0</w:t>
            </w:r>
          </w:p>
        </w:tc>
        <w:tc>
          <w:tcPr>
            <w:tcW w:w="780"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vAlign w:val="center"/>
            <w:hideMark/>
          </w:tcPr>
          <w:p w14:paraId="10C2C17D"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nil"/>
            </w:tcBorders>
            <w:shd w:val="clear" w:color="auto" w:fill="auto"/>
            <w:vAlign w:val="center"/>
            <w:hideMark/>
          </w:tcPr>
          <w:p w14:paraId="1A85A045" w14:textId="162DE7FF" w:rsidR="00BD17DA" w:rsidRPr="00BD17DA" w:rsidRDefault="00E17D35" w:rsidP="00E17D35">
            <w:pPr>
              <w:jc w:val="right"/>
              <w:rPr>
                <w:rFonts w:ascii="Calibri" w:eastAsia="Times New Roman" w:hAnsi="Calibri" w:cs="Calibri"/>
                <w:color w:val="000000"/>
                <w:kern w:val="0"/>
                <w:sz w:val="16"/>
                <w:szCs w:val="16"/>
                <w:lang w:eastAsia="pl-PL"/>
                <w14:ligatures w14:val="none"/>
              </w:rPr>
            </w:pPr>
            <w:r>
              <w:rPr>
                <w:rFonts w:ascii="Calibri" w:eastAsia="Times New Roman" w:hAnsi="Calibri" w:cs="Calibri"/>
                <w:color w:val="000000"/>
                <w:kern w:val="0"/>
                <w:sz w:val="16"/>
                <w:szCs w:val="16"/>
                <w:lang w:eastAsia="pl-PL"/>
                <w14:ligatures w14:val="none"/>
              </w:rPr>
              <w:t>0</w:t>
            </w:r>
          </w:p>
        </w:tc>
        <w:tc>
          <w:tcPr>
            <w:tcW w:w="780"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vAlign w:val="center"/>
            <w:hideMark/>
          </w:tcPr>
          <w:p w14:paraId="136231F7"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00" w:type="dxa"/>
            <w:tcBorders>
              <w:top w:val="nil"/>
              <w:left w:val="nil"/>
              <w:bottom w:val="single" w:sz="4" w:space="0" w:color="auto"/>
              <w:right w:val="single" w:sz="4" w:space="0" w:color="auto"/>
            </w:tcBorders>
            <w:shd w:val="clear" w:color="auto" w:fill="auto"/>
            <w:vAlign w:val="center"/>
            <w:hideMark/>
          </w:tcPr>
          <w:p w14:paraId="39237B5E" w14:textId="77777777"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PS WPR</w:t>
            </w:r>
          </w:p>
        </w:tc>
      </w:tr>
      <w:tr w:rsidR="00BD17DA" w:rsidRPr="00BD17DA" w14:paraId="7B40C708" w14:textId="77777777" w:rsidTr="00B70DF5">
        <w:trPr>
          <w:trHeight w:val="1185"/>
        </w:trPr>
        <w:tc>
          <w:tcPr>
            <w:tcW w:w="1601" w:type="dxa"/>
            <w:tcBorders>
              <w:top w:val="nil"/>
              <w:left w:val="single" w:sz="4" w:space="0" w:color="auto"/>
              <w:bottom w:val="single" w:sz="4" w:space="0" w:color="auto"/>
              <w:right w:val="single" w:sz="4" w:space="0" w:color="auto"/>
            </w:tcBorders>
            <w:shd w:val="clear" w:color="000000" w:fill="FFD5B9"/>
            <w:vAlign w:val="center"/>
            <w:hideMark/>
          </w:tcPr>
          <w:p w14:paraId="4368AC64"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Wskaźnik rezultatu 1.2.2</w:t>
            </w:r>
          </w:p>
        </w:tc>
        <w:tc>
          <w:tcPr>
            <w:tcW w:w="0" w:type="auto"/>
            <w:tcBorders>
              <w:top w:val="nil"/>
              <w:left w:val="nil"/>
              <w:bottom w:val="single" w:sz="4" w:space="0" w:color="auto"/>
              <w:right w:val="nil"/>
            </w:tcBorders>
            <w:shd w:val="clear" w:color="auto" w:fill="auto"/>
            <w:vAlign w:val="center"/>
            <w:hideMark/>
          </w:tcPr>
          <w:p w14:paraId="21AA40B6" w14:textId="4D30398E" w:rsidR="00BD17DA" w:rsidRPr="00BD17DA" w:rsidRDefault="00E761B4" w:rsidP="00BD17DA">
            <w:pPr>
              <w:rPr>
                <w:rFonts w:ascii="Calibri" w:eastAsia="Times New Roman" w:hAnsi="Calibri" w:cs="Calibri"/>
                <w:color w:val="000000"/>
                <w:kern w:val="0"/>
                <w:sz w:val="16"/>
                <w:szCs w:val="16"/>
                <w:lang w:eastAsia="pl-PL"/>
                <w14:ligatures w14:val="none"/>
              </w:rPr>
            </w:pPr>
            <w:r>
              <w:rPr>
                <w:rFonts w:ascii="Calibri" w:eastAsia="Times New Roman" w:hAnsi="Calibri" w:cs="Calibri"/>
                <w:color w:val="000000"/>
                <w:kern w:val="0"/>
                <w:sz w:val="16"/>
                <w:szCs w:val="16"/>
                <w:lang w:eastAsia="pl-PL"/>
                <w14:ligatures w14:val="none"/>
              </w:rPr>
              <w:t xml:space="preserve">RCR77 </w:t>
            </w:r>
            <w:r w:rsidR="00BD17DA" w:rsidRPr="00BD17DA">
              <w:rPr>
                <w:rFonts w:ascii="Calibri" w:eastAsia="Times New Roman" w:hAnsi="Calibri" w:cs="Calibri"/>
                <w:color w:val="000000"/>
                <w:kern w:val="0"/>
                <w:sz w:val="16"/>
                <w:szCs w:val="16"/>
                <w:lang w:eastAsia="pl-PL"/>
                <w14:ligatures w14:val="none"/>
              </w:rPr>
              <w:t>Liczba osób odwiedzających obiekty kulturalne i turystyczne objęte wsparciem ( osoby odwiedzające/rok.</w:t>
            </w:r>
          </w:p>
        </w:tc>
        <w:tc>
          <w:tcPr>
            <w:tcW w:w="780" w:type="dxa"/>
            <w:tcBorders>
              <w:top w:val="nil"/>
              <w:left w:val="single" w:sz="4" w:space="0" w:color="auto"/>
              <w:bottom w:val="single" w:sz="4" w:space="0" w:color="auto"/>
              <w:right w:val="single" w:sz="4" w:space="0" w:color="auto"/>
            </w:tcBorders>
            <w:shd w:val="clear" w:color="auto" w:fill="auto"/>
            <w:vAlign w:val="center"/>
            <w:hideMark/>
          </w:tcPr>
          <w:p w14:paraId="1B814B6E"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4A376F1C"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nil"/>
            </w:tcBorders>
            <w:shd w:val="clear" w:color="auto" w:fill="auto"/>
            <w:vAlign w:val="center"/>
            <w:hideMark/>
          </w:tcPr>
          <w:p w14:paraId="05CB8EB7" w14:textId="6E5ACED8" w:rsidR="00B70DF5" w:rsidRPr="00C406F6" w:rsidRDefault="00B70DF5" w:rsidP="00BD17DA">
            <w:pPr>
              <w:jc w:val="right"/>
              <w:rPr>
                <w:rFonts w:ascii="Calibri" w:eastAsia="Times New Roman" w:hAnsi="Calibri" w:cs="Calibri"/>
                <w:kern w:val="0"/>
                <w:sz w:val="16"/>
                <w:szCs w:val="16"/>
                <w:lang w:eastAsia="pl-PL"/>
                <w14:ligatures w14:val="none"/>
              </w:rPr>
            </w:pPr>
            <w:r w:rsidRPr="00C406F6">
              <w:rPr>
                <w:rFonts w:ascii="Calibri" w:eastAsia="Times New Roman" w:hAnsi="Calibri" w:cs="Calibri"/>
                <w:kern w:val="0"/>
                <w:sz w:val="16"/>
                <w:szCs w:val="16"/>
                <w:lang w:eastAsia="pl-PL"/>
                <w14:ligatures w14:val="none"/>
              </w:rPr>
              <w:t>4500</w:t>
            </w:r>
          </w:p>
          <w:p w14:paraId="4BAE6F32" w14:textId="1127B7F8" w:rsidR="00E2440A" w:rsidRPr="00C406F6" w:rsidRDefault="00E2440A" w:rsidP="00BD17DA">
            <w:pPr>
              <w:jc w:val="right"/>
              <w:rPr>
                <w:rFonts w:ascii="Calibri" w:eastAsia="Times New Roman" w:hAnsi="Calibri" w:cs="Calibri"/>
                <w:kern w:val="0"/>
                <w:sz w:val="16"/>
                <w:szCs w:val="16"/>
                <w:lang w:eastAsia="pl-PL"/>
                <w14:ligatures w14:val="none"/>
              </w:rPr>
            </w:pPr>
            <w:r w:rsidRPr="00C406F6">
              <w:rPr>
                <w:rFonts w:ascii="Calibri" w:eastAsia="Times New Roman" w:hAnsi="Calibri" w:cs="Calibri"/>
                <w:kern w:val="0"/>
                <w:sz w:val="16"/>
                <w:szCs w:val="16"/>
                <w:lang w:eastAsia="pl-PL"/>
                <w14:ligatures w14:val="none"/>
              </w:rPr>
              <w:t>osób</w:t>
            </w:r>
          </w:p>
        </w:tc>
        <w:tc>
          <w:tcPr>
            <w:tcW w:w="780"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vAlign w:val="center"/>
            <w:hideMark/>
          </w:tcPr>
          <w:p w14:paraId="7DECABD3" w14:textId="77777777" w:rsidR="00BD17DA" w:rsidRPr="00C406F6" w:rsidRDefault="00BD17DA" w:rsidP="00BD17DA">
            <w:pPr>
              <w:rPr>
                <w:rFonts w:ascii="Calibri" w:eastAsia="Times New Roman" w:hAnsi="Calibri" w:cs="Calibri"/>
                <w:kern w:val="0"/>
                <w:sz w:val="16"/>
                <w:szCs w:val="16"/>
                <w:lang w:eastAsia="pl-PL"/>
                <w14:ligatures w14:val="none"/>
              </w:rPr>
            </w:pPr>
            <w:r w:rsidRPr="00C406F6">
              <w:rPr>
                <w:rFonts w:ascii="Calibri" w:eastAsia="Times New Roman" w:hAnsi="Calibri" w:cs="Calibri"/>
                <w:strike/>
                <w:kern w:val="0"/>
                <w:sz w:val="16"/>
                <w:szCs w:val="16"/>
                <w:lang w:eastAsia="pl-PL"/>
                <w14:ligatures w14:val="none"/>
              </w:rPr>
              <w:t> </w:t>
            </w:r>
          </w:p>
        </w:tc>
        <w:tc>
          <w:tcPr>
            <w:tcW w:w="780" w:type="dxa"/>
            <w:tcBorders>
              <w:top w:val="nil"/>
              <w:left w:val="nil"/>
              <w:bottom w:val="single" w:sz="4" w:space="0" w:color="auto"/>
              <w:right w:val="nil"/>
            </w:tcBorders>
            <w:shd w:val="clear" w:color="auto" w:fill="auto"/>
            <w:vAlign w:val="center"/>
            <w:hideMark/>
          </w:tcPr>
          <w:p w14:paraId="794DC0FD" w14:textId="77777777" w:rsidR="00B70DF5" w:rsidRPr="00C406F6" w:rsidRDefault="00B70DF5" w:rsidP="00BD17DA">
            <w:pPr>
              <w:rPr>
                <w:rFonts w:ascii="Calibri" w:eastAsia="Times New Roman" w:hAnsi="Calibri" w:cs="Calibri"/>
                <w:kern w:val="0"/>
                <w:sz w:val="16"/>
                <w:szCs w:val="16"/>
                <w:lang w:eastAsia="pl-PL"/>
                <w14:ligatures w14:val="none"/>
              </w:rPr>
            </w:pPr>
            <w:r w:rsidRPr="00C406F6">
              <w:rPr>
                <w:rFonts w:ascii="Calibri" w:eastAsia="Times New Roman" w:hAnsi="Calibri" w:cs="Calibri"/>
                <w:kern w:val="0"/>
                <w:sz w:val="16"/>
                <w:szCs w:val="16"/>
                <w:lang w:eastAsia="pl-PL"/>
                <w14:ligatures w14:val="none"/>
              </w:rPr>
              <w:t>4500</w:t>
            </w:r>
          </w:p>
          <w:p w14:paraId="7B88B59C" w14:textId="36F1ABE9" w:rsidR="00BD17DA" w:rsidRPr="00C406F6" w:rsidRDefault="00BD17DA" w:rsidP="00BD17DA">
            <w:pPr>
              <w:rPr>
                <w:rFonts w:ascii="Calibri" w:eastAsia="Times New Roman" w:hAnsi="Calibri" w:cs="Calibri"/>
                <w:kern w:val="0"/>
                <w:sz w:val="16"/>
                <w:szCs w:val="16"/>
                <w:lang w:eastAsia="pl-PL"/>
                <w14:ligatures w14:val="none"/>
              </w:rPr>
            </w:pPr>
            <w:r w:rsidRPr="00C406F6">
              <w:rPr>
                <w:rFonts w:ascii="Calibri" w:eastAsia="Times New Roman" w:hAnsi="Calibri" w:cs="Calibri"/>
                <w:kern w:val="0"/>
                <w:sz w:val="16"/>
                <w:szCs w:val="16"/>
                <w:lang w:eastAsia="pl-PL"/>
                <w14:ligatures w14:val="none"/>
              </w:rPr>
              <w:t>osób</w:t>
            </w:r>
          </w:p>
        </w:tc>
        <w:tc>
          <w:tcPr>
            <w:tcW w:w="780"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vAlign w:val="center"/>
            <w:hideMark/>
          </w:tcPr>
          <w:p w14:paraId="46AC1A88"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nil"/>
            </w:tcBorders>
            <w:shd w:val="clear" w:color="auto" w:fill="auto"/>
            <w:vAlign w:val="center"/>
            <w:hideMark/>
          </w:tcPr>
          <w:p w14:paraId="5382ACCB" w14:textId="5F83A32B" w:rsidR="00BD17DA" w:rsidRPr="00BD17DA" w:rsidRDefault="00F10EC2" w:rsidP="00BD17DA">
            <w:pPr>
              <w:jc w:val="right"/>
              <w:rPr>
                <w:rFonts w:ascii="Calibri" w:eastAsia="Times New Roman" w:hAnsi="Calibri" w:cs="Calibri"/>
                <w:color w:val="000000"/>
                <w:kern w:val="0"/>
                <w:sz w:val="16"/>
                <w:szCs w:val="16"/>
                <w:lang w:eastAsia="pl-PL"/>
                <w14:ligatures w14:val="none"/>
              </w:rPr>
            </w:pPr>
            <w:r>
              <w:rPr>
                <w:rFonts w:ascii="Calibri" w:eastAsia="Times New Roman" w:hAnsi="Calibri" w:cs="Calibri"/>
                <w:color w:val="000000"/>
                <w:kern w:val="0"/>
                <w:sz w:val="16"/>
                <w:szCs w:val="16"/>
                <w:lang w:eastAsia="pl-PL"/>
                <w14:ligatures w14:val="none"/>
              </w:rPr>
              <w:t>0</w:t>
            </w:r>
          </w:p>
        </w:tc>
        <w:tc>
          <w:tcPr>
            <w:tcW w:w="780"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vAlign w:val="center"/>
            <w:hideMark/>
          </w:tcPr>
          <w:p w14:paraId="572BDC55"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nil"/>
            </w:tcBorders>
            <w:shd w:val="clear" w:color="auto" w:fill="auto"/>
            <w:vAlign w:val="center"/>
            <w:hideMark/>
          </w:tcPr>
          <w:p w14:paraId="48B09AFF"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vAlign w:val="center"/>
            <w:hideMark/>
          </w:tcPr>
          <w:p w14:paraId="3A36F49D"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nil"/>
            </w:tcBorders>
            <w:shd w:val="clear" w:color="auto" w:fill="auto"/>
            <w:vAlign w:val="center"/>
            <w:hideMark/>
          </w:tcPr>
          <w:p w14:paraId="69530BEA"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vAlign w:val="center"/>
            <w:hideMark/>
          </w:tcPr>
          <w:p w14:paraId="31FD0AE4"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00" w:type="dxa"/>
            <w:tcBorders>
              <w:top w:val="nil"/>
              <w:left w:val="nil"/>
              <w:bottom w:val="single" w:sz="4" w:space="0" w:color="auto"/>
              <w:right w:val="single" w:sz="4" w:space="0" w:color="auto"/>
            </w:tcBorders>
            <w:shd w:val="clear" w:color="auto" w:fill="auto"/>
            <w:vAlign w:val="center"/>
            <w:hideMark/>
          </w:tcPr>
          <w:p w14:paraId="5397A278" w14:textId="77777777"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EFRR</w:t>
            </w:r>
          </w:p>
        </w:tc>
      </w:tr>
      <w:tr w:rsidR="00BD17DA" w:rsidRPr="00BD17DA" w14:paraId="6D20F12A" w14:textId="77777777" w:rsidTr="00B70DF5">
        <w:tc>
          <w:tcPr>
            <w:tcW w:w="1601" w:type="dxa"/>
            <w:tcBorders>
              <w:top w:val="nil"/>
              <w:left w:val="single" w:sz="4" w:space="0" w:color="auto"/>
              <w:bottom w:val="single" w:sz="4" w:space="0" w:color="auto"/>
              <w:right w:val="single" w:sz="4" w:space="0" w:color="auto"/>
            </w:tcBorders>
            <w:shd w:val="clear" w:color="000000" w:fill="FFD5B9"/>
            <w:vAlign w:val="center"/>
            <w:hideMark/>
          </w:tcPr>
          <w:p w14:paraId="7F207E41"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Wskaźnik rezultatu 1.3.1</w:t>
            </w:r>
          </w:p>
        </w:tc>
        <w:tc>
          <w:tcPr>
            <w:tcW w:w="0" w:type="auto"/>
            <w:tcBorders>
              <w:top w:val="nil"/>
              <w:left w:val="nil"/>
              <w:bottom w:val="single" w:sz="4" w:space="0" w:color="auto"/>
              <w:right w:val="nil"/>
            </w:tcBorders>
            <w:shd w:val="clear" w:color="auto" w:fill="auto"/>
            <w:vAlign w:val="center"/>
            <w:hideMark/>
          </w:tcPr>
          <w:p w14:paraId="1C9889AA"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R.41 Łączenie obszarów wiejskich w Europie: odsetek ludności wiejskiej korzystającej z lepszego dostępu do usług i infrastruktury dzięki wsparciu z WPR.</w:t>
            </w:r>
          </w:p>
        </w:tc>
        <w:tc>
          <w:tcPr>
            <w:tcW w:w="780" w:type="dxa"/>
            <w:tcBorders>
              <w:top w:val="nil"/>
              <w:left w:val="single" w:sz="4" w:space="0" w:color="auto"/>
              <w:bottom w:val="nil"/>
              <w:right w:val="single" w:sz="4" w:space="0" w:color="auto"/>
            </w:tcBorders>
            <w:shd w:val="clear" w:color="auto" w:fill="auto"/>
            <w:vAlign w:val="center"/>
            <w:hideMark/>
          </w:tcPr>
          <w:p w14:paraId="22E5F096"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6A4B7C50"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nil"/>
            </w:tcBorders>
            <w:shd w:val="clear" w:color="auto" w:fill="auto"/>
            <w:vAlign w:val="center"/>
            <w:hideMark/>
          </w:tcPr>
          <w:p w14:paraId="6CECF063"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vAlign w:val="center"/>
            <w:hideMark/>
          </w:tcPr>
          <w:p w14:paraId="58CEF24F"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nil"/>
            </w:tcBorders>
            <w:shd w:val="clear" w:color="auto" w:fill="auto"/>
            <w:vAlign w:val="center"/>
            <w:hideMark/>
          </w:tcPr>
          <w:p w14:paraId="1632B3B8" w14:textId="58178F7F"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 </w:t>
            </w:r>
            <w:r w:rsidR="00F10EC2">
              <w:rPr>
                <w:rFonts w:ascii="Calibri" w:eastAsia="Times New Roman" w:hAnsi="Calibri" w:cs="Calibri"/>
                <w:color w:val="000000"/>
                <w:kern w:val="0"/>
                <w:sz w:val="16"/>
                <w:szCs w:val="16"/>
                <w:lang w:eastAsia="pl-PL"/>
                <w14:ligatures w14:val="none"/>
              </w:rPr>
              <w:t>600 osób</w:t>
            </w:r>
          </w:p>
        </w:tc>
        <w:tc>
          <w:tcPr>
            <w:tcW w:w="780"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vAlign w:val="center"/>
            <w:hideMark/>
          </w:tcPr>
          <w:p w14:paraId="3225465A"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nil"/>
            </w:tcBorders>
            <w:shd w:val="clear" w:color="auto" w:fill="auto"/>
            <w:vAlign w:val="center"/>
            <w:hideMark/>
          </w:tcPr>
          <w:p w14:paraId="5B08C07D" w14:textId="39AF7B30" w:rsidR="00BD17DA" w:rsidRPr="00BD17DA" w:rsidRDefault="00F10EC2" w:rsidP="00F10EC2">
            <w:pPr>
              <w:jc w:val="right"/>
              <w:rPr>
                <w:rFonts w:ascii="Calibri" w:eastAsia="Times New Roman" w:hAnsi="Calibri" w:cs="Calibri"/>
                <w:color w:val="000000"/>
                <w:kern w:val="0"/>
                <w:sz w:val="16"/>
                <w:szCs w:val="16"/>
                <w:lang w:eastAsia="pl-PL"/>
                <w14:ligatures w14:val="none"/>
              </w:rPr>
            </w:pPr>
            <w:r>
              <w:rPr>
                <w:rFonts w:ascii="Calibri" w:eastAsia="Times New Roman" w:hAnsi="Calibri" w:cs="Calibri"/>
                <w:color w:val="000000"/>
                <w:kern w:val="0"/>
                <w:sz w:val="16"/>
                <w:szCs w:val="16"/>
                <w:lang w:eastAsia="pl-PL"/>
                <w14:ligatures w14:val="none"/>
              </w:rPr>
              <w:t>0</w:t>
            </w:r>
          </w:p>
        </w:tc>
        <w:tc>
          <w:tcPr>
            <w:tcW w:w="780"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vAlign w:val="center"/>
            <w:hideMark/>
          </w:tcPr>
          <w:p w14:paraId="79CD546C"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nil"/>
            </w:tcBorders>
            <w:shd w:val="clear" w:color="auto" w:fill="auto"/>
            <w:vAlign w:val="center"/>
            <w:hideMark/>
          </w:tcPr>
          <w:p w14:paraId="552CAB58"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vAlign w:val="center"/>
            <w:hideMark/>
          </w:tcPr>
          <w:p w14:paraId="2DB62F67"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nil"/>
            </w:tcBorders>
            <w:shd w:val="clear" w:color="auto" w:fill="auto"/>
            <w:vAlign w:val="center"/>
            <w:hideMark/>
          </w:tcPr>
          <w:p w14:paraId="4145537E"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vAlign w:val="center"/>
            <w:hideMark/>
          </w:tcPr>
          <w:p w14:paraId="1BA0D0C8"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00" w:type="dxa"/>
            <w:tcBorders>
              <w:top w:val="nil"/>
              <w:left w:val="nil"/>
              <w:bottom w:val="single" w:sz="4" w:space="0" w:color="auto"/>
              <w:right w:val="single" w:sz="4" w:space="0" w:color="auto"/>
            </w:tcBorders>
            <w:shd w:val="clear" w:color="auto" w:fill="auto"/>
            <w:vAlign w:val="center"/>
            <w:hideMark/>
          </w:tcPr>
          <w:p w14:paraId="0376517E" w14:textId="77777777"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PS WPR</w:t>
            </w:r>
          </w:p>
        </w:tc>
      </w:tr>
      <w:tr w:rsidR="00BD17DA" w:rsidRPr="00BD17DA" w14:paraId="493DBECA" w14:textId="77777777" w:rsidTr="00B70DF5">
        <w:trPr>
          <w:trHeight w:val="1185"/>
        </w:trPr>
        <w:tc>
          <w:tcPr>
            <w:tcW w:w="1601" w:type="dxa"/>
            <w:tcBorders>
              <w:top w:val="nil"/>
              <w:left w:val="single" w:sz="4" w:space="0" w:color="auto"/>
              <w:bottom w:val="single" w:sz="4" w:space="0" w:color="auto"/>
              <w:right w:val="single" w:sz="4" w:space="0" w:color="auto"/>
            </w:tcBorders>
            <w:shd w:val="clear" w:color="000000" w:fill="FFD5B9"/>
            <w:vAlign w:val="center"/>
            <w:hideMark/>
          </w:tcPr>
          <w:p w14:paraId="23D0C069"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Wskaźnik rezultatu 1.3.2</w:t>
            </w:r>
          </w:p>
        </w:tc>
        <w:tc>
          <w:tcPr>
            <w:tcW w:w="0" w:type="auto"/>
            <w:tcBorders>
              <w:top w:val="nil"/>
              <w:left w:val="nil"/>
              <w:bottom w:val="single" w:sz="4" w:space="0" w:color="auto"/>
              <w:right w:val="nil"/>
            </w:tcBorders>
            <w:shd w:val="clear" w:color="auto" w:fill="auto"/>
            <w:vAlign w:val="center"/>
            <w:hideMark/>
          </w:tcPr>
          <w:p w14:paraId="1A724235"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R.41 Łączenie obszarów wiejskich w Europie: odsetek ludności wiejskiej korzystającej z lepszego dostępu do usług i infrastruktury dzięki wsparciu z WPR.</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2985D"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5D7BE899"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nil"/>
            </w:tcBorders>
            <w:shd w:val="clear" w:color="auto" w:fill="auto"/>
            <w:vAlign w:val="center"/>
            <w:hideMark/>
          </w:tcPr>
          <w:p w14:paraId="759713FD"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vAlign w:val="center"/>
            <w:hideMark/>
          </w:tcPr>
          <w:p w14:paraId="3FE6CC05"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nil"/>
            </w:tcBorders>
            <w:shd w:val="clear" w:color="auto" w:fill="auto"/>
            <w:vAlign w:val="center"/>
            <w:hideMark/>
          </w:tcPr>
          <w:p w14:paraId="142DA014" w14:textId="61EBB8AE"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 </w:t>
            </w:r>
            <w:r w:rsidR="00F10EC2" w:rsidRPr="00F10EC2">
              <w:rPr>
                <w:rFonts w:ascii="Calibri" w:eastAsia="Times New Roman" w:hAnsi="Calibri" w:cs="Calibri"/>
                <w:color w:val="000000"/>
                <w:kern w:val="0"/>
                <w:sz w:val="16"/>
                <w:szCs w:val="16"/>
                <w:lang w:eastAsia="pl-PL"/>
                <w14:ligatures w14:val="none"/>
              </w:rPr>
              <w:t>600 osób</w:t>
            </w:r>
          </w:p>
        </w:tc>
        <w:tc>
          <w:tcPr>
            <w:tcW w:w="780"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vAlign w:val="center"/>
            <w:hideMark/>
          </w:tcPr>
          <w:p w14:paraId="3562E4F3"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nil"/>
            </w:tcBorders>
            <w:shd w:val="clear" w:color="auto" w:fill="auto"/>
            <w:vAlign w:val="center"/>
            <w:hideMark/>
          </w:tcPr>
          <w:p w14:paraId="2DF61545" w14:textId="2B18D131" w:rsidR="00BD17DA" w:rsidRPr="00BD17DA" w:rsidRDefault="00F10EC2" w:rsidP="00F10EC2">
            <w:pPr>
              <w:jc w:val="right"/>
              <w:rPr>
                <w:rFonts w:ascii="Calibri" w:eastAsia="Times New Roman" w:hAnsi="Calibri" w:cs="Calibri"/>
                <w:color w:val="000000"/>
                <w:kern w:val="0"/>
                <w:sz w:val="16"/>
                <w:szCs w:val="16"/>
                <w:lang w:eastAsia="pl-PL"/>
                <w14:ligatures w14:val="none"/>
              </w:rPr>
            </w:pPr>
            <w:r>
              <w:rPr>
                <w:rFonts w:ascii="Calibri" w:eastAsia="Times New Roman" w:hAnsi="Calibri" w:cs="Calibri"/>
                <w:color w:val="000000"/>
                <w:kern w:val="0"/>
                <w:sz w:val="16"/>
                <w:szCs w:val="16"/>
                <w:lang w:eastAsia="pl-PL"/>
                <w14:ligatures w14:val="none"/>
              </w:rPr>
              <w:t>0</w:t>
            </w:r>
          </w:p>
        </w:tc>
        <w:tc>
          <w:tcPr>
            <w:tcW w:w="780"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vAlign w:val="center"/>
            <w:hideMark/>
          </w:tcPr>
          <w:p w14:paraId="549ACD7C"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nil"/>
            </w:tcBorders>
            <w:shd w:val="clear" w:color="auto" w:fill="auto"/>
            <w:vAlign w:val="center"/>
            <w:hideMark/>
          </w:tcPr>
          <w:p w14:paraId="51C9EA95"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vAlign w:val="center"/>
            <w:hideMark/>
          </w:tcPr>
          <w:p w14:paraId="4A393C7B"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nil"/>
            </w:tcBorders>
            <w:shd w:val="clear" w:color="auto" w:fill="auto"/>
            <w:vAlign w:val="center"/>
            <w:hideMark/>
          </w:tcPr>
          <w:p w14:paraId="10D2192C"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vAlign w:val="center"/>
            <w:hideMark/>
          </w:tcPr>
          <w:p w14:paraId="671C6255"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00" w:type="dxa"/>
            <w:tcBorders>
              <w:top w:val="nil"/>
              <w:left w:val="nil"/>
              <w:bottom w:val="single" w:sz="4" w:space="0" w:color="auto"/>
              <w:right w:val="single" w:sz="4" w:space="0" w:color="auto"/>
            </w:tcBorders>
            <w:shd w:val="clear" w:color="auto" w:fill="auto"/>
            <w:vAlign w:val="center"/>
            <w:hideMark/>
          </w:tcPr>
          <w:p w14:paraId="46F53D4E" w14:textId="77777777"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PS WPR</w:t>
            </w:r>
          </w:p>
        </w:tc>
      </w:tr>
      <w:tr w:rsidR="00BD17DA" w:rsidRPr="00BD17DA" w14:paraId="607A62A0" w14:textId="77777777" w:rsidTr="00B70DF5">
        <w:trPr>
          <w:trHeight w:val="1185"/>
        </w:trPr>
        <w:tc>
          <w:tcPr>
            <w:tcW w:w="1601" w:type="dxa"/>
            <w:tcBorders>
              <w:top w:val="nil"/>
              <w:left w:val="single" w:sz="4" w:space="0" w:color="auto"/>
              <w:bottom w:val="single" w:sz="4" w:space="0" w:color="auto"/>
              <w:right w:val="single" w:sz="4" w:space="0" w:color="auto"/>
            </w:tcBorders>
            <w:shd w:val="clear" w:color="000000" w:fill="FFD5B9"/>
            <w:vAlign w:val="center"/>
            <w:hideMark/>
          </w:tcPr>
          <w:p w14:paraId="60CD22F9"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Wskaźnik rezultatu 1.4.1</w:t>
            </w:r>
          </w:p>
        </w:tc>
        <w:tc>
          <w:tcPr>
            <w:tcW w:w="0" w:type="auto"/>
            <w:tcBorders>
              <w:top w:val="nil"/>
              <w:left w:val="nil"/>
              <w:bottom w:val="single" w:sz="4" w:space="0" w:color="auto"/>
              <w:right w:val="nil"/>
            </w:tcBorders>
            <w:shd w:val="clear" w:color="auto" w:fill="auto"/>
            <w:vAlign w:val="center"/>
            <w:hideMark/>
          </w:tcPr>
          <w:p w14:paraId="38C39142"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R.42 Promowanie włączenia społecznego: liczba osób objętych wspieranymi projektami włączenia społecznego</w:t>
            </w:r>
          </w:p>
        </w:tc>
        <w:tc>
          <w:tcPr>
            <w:tcW w:w="780" w:type="dxa"/>
            <w:tcBorders>
              <w:top w:val="nil"/>
              <w:left w:val="single" w:sz="4" w:space="0" w:color="auto"/>
              <w:bottom w:val="single" w:sz="4" w:space="0" w:color="auto"/>
              <w:right w:val="single" w:sz="4" w:space="0" w:color="auto"/>
            </w:tcBorders>
            <w:shd w:val="clear" w:color="auto" w:fill="auto"/>
            <w:vAlign w:val="center"/>
            <w:hideMark/>
          </w:tcPr>
          <w:p w14:paraId="41A872E8"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764D17A1"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nil"/>
            </w:tcBorders>
            <w:shd w:val="clear" w:color="auto" w:fill="auto"/>
            <w:vAlign w:val="center"/>
            <w:hideMark/>
          </w:tcPr>
          <w:p w14:paraId="0690642B"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vAlign w:val="center"/>
            <w:hideMark/>
          </w:tcPr>
          <w:p w14:paraId="6C5F6FA7"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nil"/>
            </w:tcBorders>
            <w:shd w:val="clear" w:color="auto" w:fill="auto"/>
            <w:vAlign w:val="center"/>
            <w:hideMark/>
          </w:tcPr>
          <w:p w14:paraId="244B560D" w14:textId="30385A51"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 </w:t>
            </w:r>
            <w:r w:rsidR="00F10EC2" w:rsidRPr="00F10EC2">
              <w:rPr>
                <w:rFonts w:ascii="Calibri" w:eastAsia="Times New Roman" w:hAnsi="Calibri" w:cs="Calibri"/>
                <w:color w:val="000000"/>
                <w:kern w:val="0"/>
                <w:sz w:val="16"/>
                <w:szCs w:val="16"/>
                <w:lang w:eastAsia="pl-PL"/>
                <w14:ligatures w14:val="none"/>
              </w:rPr>
              <w:t>360 osób</w:t>
            </w:r>
          </w:p>
        </w:tc>
        <w:tc>
          <w:tcPr>
            <w:tcW w:w="780"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vAlign w:val="center"/>
            <w:hideMark/>
          </w:tcPr>
          <w:p w14:paraId="7930F847"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nil"/>
            </w:tcBorders>
            <w:shd w:val="clear" w:color="auto" w:fill="auto"/>
            <w:vAlign w:val="center"/>
            <w:hideMark/>
          </w:tcPr>
          <w:p w14:paraId="66B1A78A" w14:textId="7CED9736" w:rsidR="00BD17DA" w:rsidRPr="00BD17DA" w:rsidRDefault="00F10EC2" w:rsidP="00F10EC2">
            <w:pPr>
              <w:jc w:val="right"/>
              <w:rPr>
                <w:rFonts w:ascii="Calibri" w:eastAsia="Times New Roman" w:hAnsi="Calibri" w:cs="Calibri"/>
                <w:color w:val="000000"/>
                <w:kern w:val="0"/>
                <w:sz w:val="16"/>
                <w:szCs w:val="16"/>
                <w:lang w:eastAsia="pl-PL"/>
                <w14:ligatures w14:val="none"/>
              </w:rPr>
            </w:pPr>
            <w:r>
              <w:rPr>
                <w:rFonts w:ascii="Calibri" w:eastAsia="Times New Roman" w:hAnsi="Calibri" w:cs="Calibri"/>
                <w:color w:val="000000"/>
                <w:kern w:val="0"/>
                <w:sz w:val="16"/>
                <w:szCs w:val="16"/>
                <w:lang w:eastAsia="pl-PL"/>
                <w14:ligatures w14:val="none"/>
              </w:rPr>
              <w:t>0</w:t>
            </w:r>
          </w:p>
        </w:tc>
        <w:tc>
          <w:tcPr>
            <w:tcW w:w="780"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vAlign w:val="center"/>
            <w:hideMark/>
          </w:tcPr>
          <w:p w14:paraId="48753AC4"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nil"/>
            </w:tcBorders>
            <w:shd w:val="clear" w:color="auto" w:fill="auto"/>
            <w:vAlign w:val="center"/>
            <w:hideMark/>
          </w:tcPr>
          <w:p w14:paraId="545C3EAE"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vAlign w:val="center"/>
            <w:hideMark/>
          </w:tcPr>
          <w:p w14:paraId="71DD6C01"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nil"/>
            </w:tcBorders>
            <w:shd w:val="clear" w:color="auto" w:fill="auto"/>
            <w:vAlign w:val="center"/>
            <w:hideMark/>
          </w:tcPr>
          <w:p w14:paraId="5685578D"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vAlign w:val="center"/>
            <w:hideMark/>
          </w:tcPr>
          <w:p w14:paraId="547C995C"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00" w:type="dxa"/>
            <w:tcBorders>
              <w:top w:val="nil"/>
              <w:left w:val="nil"/>
              <w:bottom w:val="single" w:sz="4" w:space="0" w:color="auto"/>
              <w:right w:val="single" w:sz="4" w:space="0" w:color="auto"/>
            </w:tcBorders>
            <w:shd w:val="clear" w:color="auto" w:fill="auto"/>
            <w:vAlign w:val="center"/>
            <w:hideMark/>
          </w:tcPr>
          <w:p w14:paraId="4B142FCB" w14:textId="77777777"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PS WPR</w:t>
            </w:r>
          </w:p>
        </w:tc>
      </w:tr>
      <w:tr w:rsidR="00BD17DA" w:rsidRPr="00BD17DA" w14:paraId="692E1F0E" w14:textId="77777777" w:rsidTr="00B70DF5">
        <w:trPr>
          <w:trHeight w:val="3435"/>
        </w:trPr>
        <w:tc>
          <w:tcPr>
            <w:tcW w:w="1601" w:type="dxa"/>
            <w:tcBorders>
              <w:top w:val="nil"/>
              <w:left w:val="single" w:sz="4" w:space="0" w:color="auto"/>
              <w:bottom w:val="single" w:sz="4" w:space="0" w:color="auto"/>
              <w:right w:val="single" w:sz="4" w:space="0" w:color="auto"/>
            </w:tcBorders>
            <w:shd w:val="clear" w:color="000000" w:fill="FFD5B9"/>
            <w:vAlign w:val="center"/>
            <w:hideMark/>
          </w:tcPr>
          <w:p w14:paraId="522672D5"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lastRenderedPageBreak/>
              <w:t>Wskaźnik rezultatu 1.4.2</w:t>
            </w:r>
          </w:p>
        </w:tc>
        <w:tc>
          <w:tcPr>
            <w:tcW w:w="0" w:type="auto"/>
            <w:tcBorders>
              <w:top w:val="nil"/>
              <w:left w:val="nil"/>
              <w:bottom w:val="single" w:sz="4" w:space="0" w:color="auto"/>
              <w:right w:val="nil"/>
            </w:tcBorders>
            <w:shd w:val="clear" w:color="auto" w:fill="auto"/>
            <w:vAlign w:val="center"/>
            <w:hideMark/>
          </w:tcPr>
          <w:p w14:paraId="281045FF" w14:textId="59F29B80"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R.1</w:t>
            </w:r>
            <w:r w:rsidR="00BC43D2">
              <w:rPr>
                <w:rFonts w:ascii="Calibri" w:eastAsia="Times New Roman" w:hAnsi="Calibri" w:cs="Calibri"/>
                <w:color w:val="000000"/>
                <w:kern w:val="0"/>
                <w:sz w:val="16"/>
                <w:szCs w:val="16"/>
                <w:lang w:eastAsia="pl-PL"/>
                <w14:ligatures w14:val="none"/>
              </w:rPr>
              <w:t xml:space="preserve">PR </w:t>
            </w:r>
            <w:r w:rsidRPr="00BD17DA">
              <w:rPr>
                <w:rFonts w:ascii="Calibri" w:eastAsia="Times New Roman" w:hAnsi="Calibri" w:cs="Calibri"/>
                <w:color w:val="000000"/>
                <w:kern w:val="0"/>
                <w:sz w:val="16"/>
                <w:szCs w:val="16"/>
                <w:lang w:eastAsia="pl-PL"/>
                <w14:ligatures w14:val="none"/>
              </w:rPr>
              <w:t xml:space="preserve"> Poprawa realizacji celów dzięki wiedzy i innowacjom: liczba osób korzystających</w:t>
            </w:r>
            <w:r w:rsidRPr="00BD17DA">
              <w:rPr>
                <w:rFonts w:ascii="Calibri" w:eastAsia="Times New Roman" w:hAnsi="Calibri" w:cs="Calibri"/>
                <w:color w:val="000000"/>
                <w:kern w:val="0"/>
                <w:sz w:val="16"/>
                <w:szCs w:val="16"/>
                <w:lang w:eastAsia="pl-PL"/>
                <w14:ligatures w14:val="none"/>
              </w:rPr>
              <w:br w:type="page"/>
              <w:t>z doradztwa, szkoleń, wymiany wiedzy lub biorących udział w grupach operacyjnych europejskiego partnerstwa innowacyjnego (EPI) wspieranych w ramach WPR, by</w:t>
            </w:r>
            <w:r w:rsidRPr="00BD17DA">
              <w:rPr>
                <w:rFonts w:ascii="Calibri" w:eastAsia="Times New Roman" w:hAnsi="Calibri" w:cs="Calibri"/>
                <w:color w:val="000000"/>
                <w:kern w:val="0"/>
                <w:sz w:val="16"/>
                <w:szCs w:val="16"/>
                <w:lang w:eastAsia="pl-PL"/>
                <w14:ligatures w14:val="none"/>
              </w:rPr>
              <w:br w:type="page"/>
              <w:t>zwiększyć zrównoważoną efektywność gospodarczą, społeczną, środowiskową,</w:t>
            </w:r>
            <w:r w:rsidRPr="00BD17DA">
              <w:rPr>
                <w:rFonts w:ascii="Calibri" w:eastAsia="Times New Roman" w:hAnsi="Calibri" w:cs="Calibri"/>
                <w:color w:val="000000"/>
                <w:kern w:val="0"/>
                <w:sz w:val="16"/>
                <w:szCs w:val="16"/>
                <w:lang w:eastAsia="pl-PL"/>
                <w14:ligatures w14:val="none"/>
              </w:rPr>
              <w:br w:type="page"/>
              <w:t>klimatyczną i w zakresie gospodarowania zasobami.</w:t>
            </w:r>
          </w:p>
        </w:tc>
        <w:tc>
          <w:tcPr>
            <w:tcW w:w="780" w:type="dxa"/>
            <w:tcBorders>
              <w:top w:val="nil"/>
              <w:left w:val="single" w:sz="4" w:space="0" w:color="auto"/>
              <w:bottom w:val="single" w:sz="4" w:space="0" w:color="auto"/>
              <w:right w:val="single" w:sz="4" w:space="0" w:color="auto"/>
            </w:tcBorders>
            <w:shd w:val="clear" w:color="auto" w:fill="auto"/>
            <w:vAlign w:val="center"/>
            <w:hideMark/>
          </w:tcPr>
          <w:p w14:paraId="135A21B4"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03CBB69C"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nil"/>
            </w:tcBorders>
            <w:shd w:val="clear" w:color="auto" w:fill="auto"/>
            <w:vAlign w:val="center"/>
            <w:hideMark/>
          </w:tcPr>
          <w:p w14:paraId="39292556"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vAlign w:val="center"/>
            <w:hideMark/>
          </w:tcPr>
          <w:p w14:paraId="7A8A2397"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nil"/>
            </w:tcBorders>
            <w:shd w:val="clear" w:color="auto" w:fill="auto"/>
            <w:vAlign w:val="center"/>
            <w:hideMark/>
          </w:tcPr>
          <w:p w14:paraId="20843F69"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vAlign w:val="center"/>
            <w:hideMark/>
          </w:tcPr>
          <w:p w14:paraId="0C8153D3"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nil"/>
            </w:tcBorders>
            <w:shd w:val="clear" w:color="auto" w:fill="auto"/>
            <w:vAlign w:val="center"/>
            <w:hideMark/>
          </w:tcPr>
          <w:p w14:paraId="58796D5D" w14:textId="36401C39"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 </w:t>
            </w:r>
            <w:r w:rsidR="00F10EC2" w:rsidRPr="00F10EC2">
              <w:rPr>
                <w:rFonts w:ascii="Calibri" w:eastAsia="Times New Roman" w:hAnsi="Calibri" w:cs="Calibri"/>
                <w:color w:val="000000"/>
                <w:kern w:val="0"/>
                <w:sz w:val="16"/>
                <w:szCs w:val="16"/>
                <w:lang w:eastAsia="pl-PL"/>
                <w14:ligatures w14:val="none"/>
              </w:rPr>
              <w:t>120 osób</w:t>
            </w:r>
          </w:p>
        </w:tc>
        <w:tc>
          <w:tcPr>
            <w:tcW w:w="780"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vAlign w:val="center"/>
            <w:hideMark/>
          </w:tcPr>
          <w:p w14:paraId="45656CF7"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nil"/>
            </w:tcBorders>
            <w:shd w:val="clear" w:color="auto" w:fill="auto"/>
            <w:vAlign w:val="center"/>
            <w:hideMark/>
          </w:tcPr>
          <w:p w14:paraId="5F1213F3" w14:textId="548785FB" w:rsidR="00BD17DA" w:rsidRPr="00BD17DA" w:rsidRDefault="00F10EC2" w:rsidP="00F10EC2">
            <w:pPr>
              <w:jc w:val="right"/>
              <w:rPr>
                <w:rFonts w:ascii="Calibri" w:eastAsia="Times New Roman" w:hAnsi="Calibri" w:cs="Calibri"/>
                <w:color w:val="000000"/>
                <w:kern w:val="0"/>
                <w:sz w:val="16"/>
                <w:szCs w:val="16"/>
                <w:lang w:eastAsia="pl-PL"/>
                <w14:ligatures w14:val="none"/>
              </w:rPr>
            </w:pPr>
            <w:r>
              <w:rPr>
                <w:rFonts w:ascii="Calibri" w:eastAsia="Times New Roman" w:hAnsi="Calibri" w:cs="Calibri"/>
                <w:color w:val="000000"/>
                <w:kern w:val="0"/>
                <w:sz w:val="16"/>
                <w:szCs w:val="16"/>
                <w:lang w:eastAsia="pl-PL"/>
                <w14:ligatures w14:val="none"/>
              </w:rPr>
              <w:t>0</w:t>
            </w:r>
          </w:p>
        </w:tc>
        <w:tc>
          <w:tcPr>
            <w:tcW w:w="780"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vAlign w:val="center"/>
            <w:hideMark/>
          </w:tcPr>
          <w:p w14:paraId="53943169"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nil"/>
            </w:tcBorders>
            <w:shd w:val="clear" w:color="auto" w:fill="auto"/>
            <w:vAlign w:val="center"/>
            <w:hideMark/>
          </w:tcPr>
          <w:p w14:paraId="773864B4"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vAlign w:val="center"/>
            <w:hideMark/>
          </w:tcPr>
          <w:p w14:paraId="497C4C3E"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00" w:type="dxa"/>
            <w:tcBorders>
              <w:top w:val="nil"/>
              <w:left w:val="nil"/>
              <w:bottom w:val="single" w:sz="4" w:space="0" w:color="auto"/>
              <w:right w:val="single" w:sz="4" w:space="0" w:color="auto"/>
            </w:tcBorders>
            <w:shd w:val="clear" w:color="auto" w:fill="auto"/>
            <w:vAlign w:val="center"/>
            <w:hideMark/>
          </w:tcPr>
          <w:p w14:paraId="4085D44B" w14:textId="77777777"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PS WPR</w:t>
            </w:r>
          </w:p>
        </w:tc>
      </w:tr>
      <w:tr w:rsidR="00BD17DA" w:rsidRPr="00BD17DA" w14:paraId="69B9CE48" w14:textId="77777777" w:rsidTr="00B70DF5">
        <w:tc>
          <w:tcPr>
            <w:tcW w:w="1601" w:type="dxa"/>
            <w:tcBorders>
              <w:top w:val="nil"/>
              <w:left w:val="single" w:sz="4" w:space="0" w:color="auto"/>
              <w:bottom w:val="single" w:sz="4" w:space="0" w:color="auto"/>
              <w:right w:val="single" w:sz="4" w:space="0" w:color="auto"/>
            </w:tcBorders>
            <w:shd w:val="clear" w:color="000000" w:fill="FFD5B9"/>
            <w:vAlign w:val="center"/>
            <w:hideMark/>
          </w:tcPr>
          <w:p w14:paraId="296A45D0"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Wskaźnik rezultatu 1.5.1</w:t>
            </w:r>
          </w:p>
        </w:tc>
        <w:tc>
          <w:tcPr>
            <w:tcW w:w="0" w:type="auto"/>
            <w:tcBorders>
              <w:top w:val="nil"/>
              <w:left w:val="nil"/>
              <w:bottom w:val="single" w:sz="4" w:space="0" w:color="auto"/>
              <w:right w:val="nil"/>
            </w:tcBorders>
            <w:shd w:val="clear" w:color="auto" w:fill="auto"/>
            <w:vAlign w:val="center"/>
            <w:hideMark/>
          </w:tcPr>
          <w:p w14:paraId="6D04FB5A" w14:textId="4B446773"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R.1</w:t>
            </w:r>
            <w:r w:rsidR="00BC43D2">
              <w:rPr>
                <w:rFonts w:ascii="Calibri" w:eastAsia="Times New Roman" w:hAnsi="Calibri" w:cs="Calibri"/>
                <w:color w:val="000000"/>
                <w:kern w:val="0"/>
                <w:sz w:val="16"/>
                <w:szCs w:val="16"/>
                <w:lang w:eastAsia="pl-PL"/>
                <w14:ligatures w14:val="none"/>
              </w:rPr>
              <w:t>PR</w:t>
            </w:r>
            <w:r w:rsidRPr="00BD17DA">
              <w:rPr>
                <w:rFonts w:ascii="Calibri" w:eastAsia="Times New Roman" w:hAnsi="Calibri" w:cs="Calibri"/>
                <w:color w:val="000000"/>
                <w:kern w:val="0"/>
                <w:sz w:val="16"/>
                <w:szCs w:val="16"/>
                <w:lang w:eastAsia="pl-PL"/>
                <w14:ligatures w14:val="none"/>
              </w:rPr>
              <w:t xml:space="preserve"> Poprawa realizacji celów dzięki wiedzy i innowacjom: liczba osób korzystających</w:t>
            </w:r>
            <w:r w:rsidRPr="00BD17DA">
              <w:rPr>
                <w:rFonts w:ascii="Calibri" w:eastAsia="Times New Roman" w:hAnsi="Calibri" w:cs="Calibri"/>
                <w:color w:val="000000"/>
                <w:kern w:val="0"/>
                <w:sz w:val="16"/>
                <w:szCs w:val="16"/>
                <w:lang w:eastAsia="pl-PL"/>
                <w14:ligatures w14:val="none"/>
              </w:rPr>
              <w:br/>
              <w:t>z doradztwa, szkoleń, wymiany wiedzy lub biorących udział w grupach operacyjnych europejskiego partnerstwa innowacyjnego (EPI) wspieranych w ramach WPR, by</w:t>
            </w:r>
            <w:r w:rsidRPr="00BD17DA">
              <w:rPr>
                <w:rFonts w:ascii="Calibri" w:eastAsia="Times New Roman" w:hAnsi="Calibri" w:cs="Calibri"/>
                <w:color w:val="000000"/>
                <w:kern w:val="0"/>
                <w:sz w:val="16"/>
                <w:szCs w:val="16"/>
                <w:lang w:eastAsia="pl-PL"/>
                <w14:ligatures w14:val="none"/>
              </w:rPr>
              <w:br/>
              <w:t>zwiększyć zrównoważoną efektywność gospodarczą, społeczną, środowiskową,</w:t>
            </w:r>
            <w:r w:rsidRPr="00BD17DA">
              <w:rPr>
                <w:rFonts w:ascii="Calibri" w:eastAsia="Times New Roman" w:hAnsi="Calibri" w:cs="Calibri"/>
                <w:color w:val="000000"/>
                <w:kern w:val="0"/>
                <w:sz w:val="16"/>
                <w:szCs w:val="16"/>
                <w:lang w:eastAsia="pl-PL"/>
                <w14:ligatures w14:val="none"/>
              </w:rPr>
              <w:br/>
              <w:t>klimatyczną i w zakresie gospodarowania zasobami.</w:t>
            </w:r>
          </w:p>
        </w:tc>
        <w:tc>
          <w:tcPr>
            <w:tcW w:w="780" w:type="dxa"/>
            <w:tcBorders>
              <w:top w:val="nil"/>
              <w:left w:val="single" w:sz="4" w:space="0" w:color="auto"/>
              <w:bottom w:val="single" w:sz="4" w:space="0" w:color="auto"/>
              <w:right w:val="single" w:sz="4" w:space="0" w:color="auto"/>
            </w:tcBorders>
            <w:shd w:val="clear" w:color="auto" w:fill="auto"/>
            <w:vAlign w:val="center"/>
            <w:hideMark/>
          </w:tcPr>
          <w:p w14:paraId="732B8DC6"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68EADC4A"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nil"/>
            </w:tcBorders>
            <w:shd w:val="clear" w:color="auto" w:fill="auto"/>
            <w:vAlign w:val="center"/>
            <w:hideMark/>
          </w:tcPr>
          <w:p w14:paraId="1511EA5D"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vAlign w:val="center"/>
            <w:hideMark/>
          </w:tcPr>
          <w:p w14:paraId="6B589F57"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nil"/>
            </w:tcBorders>
            <w:shd w:val="clear" w:color="auto" w:fill="auto"/>
            <w:vAlign w:val="center"/>
            <w:hideMark/>
          </w:tcPr>
          <w:p w14:paraId="41E5B73B"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vAlign w:val="center"/>
            <w:hideMark/>
          </w:tcPr>
          <w:p w14:paraId="24B31832"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nil"/>
            </w:tcBorders>
            <w:shd w:val="clear" w:color="auto" w:fill="auto"/>
            <w:vAlign w:val="center"/>
            <w:hideMark/>
          </w:tcPr>
          <w:p w14:paraId="05B3EDC4" w14:textId="14C4090F" w:rsidR="00BD17DA" w:rsidRPr="00BD17DA" w:rsidRDefault="00F10EC2" w:rsidP="00BD17DA">
            <w:pPr>
              <w:jc w:val="right"/>
              <w:rPr>
                <w:rFonts w:ascii="Calibri" w:eastAsia="Times New Roman" w:hAnsi="Calibri" w:cs="Calibri"/>
                <w:color w:val="000000"/>
                <w:kern w:val="0"/>
                <w:sz w:val="16"/>
                <w:szCs w:val="16"/>
                <w:lang w:eastAsia="pl-PL"/>
                <w14:ligatures w14:val="none"/>
              </w:rPr>
            </w:pPr>
            <w:r w:rsidRPr="00F10EC2">
              <w:rPr>
                <w:rFonts w:ascii="Calibri" w:eastAsia="Times New Roman" w:hAnsi="Calibri" w:cs="Calibri"/>
                <w:color w:val="000000"/>
                <w:kern w:val="0"/>
                <w:sz w:val="16"/>
                <w:szCs w:val="16"/>
                <w:lang w:eastAsia="pl-PL"/>
                <w14:ligatures w14:val="none"/>
              </w:rPr>
              <w:t>300 osób</w:t>
            </w:r>
          </w:p>
        </w:tc>
        <w:tc>
          <w:tcPr>
            <w:tcW w:w="780"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vAlign w:val="center"/>
            <w:hideMark/>
          </w:tcPr>
          <w:p w14:paraId="62B52323"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nil"/>
            </w:tcBorders>
            <w:shd w:val="clear" w:color="auto" w:fill="auto"/>
            <w:vAlign w:val="center"/>
            <w:hideMark/>
          </w:tcPr>
          <w:p w14:paraId="5A11D2A0" w14:textId="3F9C53CC" w:rsidR="00BD17DA" w:rsidRPr="00BD17DA" w:rsidRDefault="00F10EC2" w:rsidP="00F10EC2">
            <w:pPr>
              <w:jc w:val="right"/>
              <w:rPr>
                <w:rFonts w:ascii="Calibri" w:eastAsia="Times New Roman" w:hAnsi="Calibri" w:cs="Calibri"/>
                <w:color w:val="000000"/>
                <w:kern w:val="0"/>
                <w:sz w:val="16"/>
                <w:szCs w:val="16"/>
                <w:lang w:eastAsia="pl-PL"/>
                <w14:ligatures w14:val="none"/>
              </w:rPr>
            </w:pPr>
            <w:r>
              <w:rPr>
                <w:rFonts w:ascii="Calibri" w:eastAsia="Times New Roman" w:hAnsi="Calibri" w:cs="Calibri"/>
                <w:color w:val="000000"/>
                <w:kern w:val="0"/>
                <w:sz w:val="16"/>
                <w:szCs w:val="16"/>
                <w:lang w:eastAsia="pl-PL"/>
                <w14:ligatures w14:val="none"/>
              </w:rPr>
              <w:t>0</w:t>
            </w:r>
          </w:p>
        </w:tc>
        <w:tc>
          <w:tcPr>
            <w:tcW w:w="780"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vAlign w:val="center"/>
            <w:hideMark/>
          </w:tcPr>
          <w:p w14:paraId="78CA26F4"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nil"/>
            </w:tcBorders>
            <w:shd w:val="clear" w:color="auto" w:fill="auto"/>
            <w:vAlign w:val="center"/>
            <w:hideMark/>
          </w:tcPr>
          <w:p w14:paraId="7E454EE1"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vAlign w:val="center"/>
            <w:hideMark/>
          </w:tcPr>
          <w:p w14:paraId="43F011D6"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00" w:type="dxa"/>
            <w:tcBorders>
              <w:top w:val="nil"/>
              <w:left w:val="nil"/>
              <w:bottom w:val="single" w:sz="4" w:space="0" w:color="auto"/>
              <w:right w:val="single" w:sz="4" w:space="0" w:color="auto"/>
            </w:tcBorders>
            <w:shd w:val="clear" w:color="auto" w:fill="auto"/>
            <w:vAlign w:val="center"/>
            <w:hideMark/>
          </w:tcPr>
          <w:p w14:paraId="6BE92192" w14:textId="77777777"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PS WPR</w:t>
            </w:r>
          </w:p>
        </w:tc>
      </w:tr>
      <w:tr w:rsidR="00BD17DA" w:rsidRPr="00BD17DA" w14:paraId="6DE20A0B" w14:textId="77777777" w:rsidTr="00B70DF5">
        <w:trPr>
          <w:trHeight w:val="990"/>
        </w:trPr>
        <w:tc>
          <w:tcPr>
            <w:tcW w:w="1601" w:type="dxa"/>
            <w:tcBorders>
              <w:top w:val="nil"/>
              <w:left w:val="single" w:sz="4" w:space="0" w:color="auto"/>
              <w:bottom w:val="single" w:sz="4" w:space="0" w:color="auto"/>
              <w:right w:val="single" w:sz="4" w:space="0" w:color="auto"/>
            </w:tcBorders>
            <w:shd w:val="clear" w:color="000000" w:fill="FFD5B9"/>
            <w:vAlign w:val="center"/>
            <w:hideMark/>
          </w:tcPr>
          <w:p w14:paraId="182B7DE5"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Wskaźnik rezultatu 1.6.1</w:t>
            </w:r>
          </w:p>
        </w:tc>
        <w:tc>
          <w:tcPr>
            <w:tcW w:w="0" w:type="auto"/>
            <w:tcBorders>
              <w:top w:val="nil"/>
              <w:left w:val="nil"/>
              <w:bottom w:val="single" w:sz="4" w:space="0" w:color="auto"/>
              <w:right w:val="nil"/>
            </w:tcBorders>
            <w:shd w:val="clear" w:color="auto" w:fill="auto"/>
            <w:vAlign w:val="center"/>
            <w:hideMark/>
          </w:tcPr>
          <w:p w14:paraId="57897695" w14:textId="61B87E0F" w:rsidR="00BD17DA" w:rsidRPr="00BD17DA" w:rsidRDefault="00BC43D2" w:rsidP="00BD17DA">
            <w:pPr>
              <w:rPr>
                <w:rFonts w:ascii="Calibri" w:eastAsia="Times New Roman" w:hAnsi="Calibri" w:cs="Calibri"/>
                <w:color w:val="000000"/>
                <w:kern w:val="0"/>
                <w:sz w:val="16"/>
                <w:szCs w:val="16"/>
                <w:lang w:eastAsia="pl-PL"/>
                <w14:ligatures w14:val="none"/>
              </w:rPr>
            </w:pPr>
            <w:r>
              <w:rPr>
                <w:rFonts w:ascii="Calibri" w:eastAsia="Times New Roman" w:hAnsi="Calibri" w:cs="Calibri"/>
                <w:color w:val="000000"/>
                <w:kern w:val="0"/>
                <w:sz w:val="16"/>
                <w:szCs w:val="16"/>
                <w:lang w:eastAsia="pl-PL"/>
                <w14:ligatures w14:val="none"/>
              </w:rPr>
              <w:t xml:space="preserve">FEW 4l-R1 </w:t>
            </w:r>
            <w:r w:rsidR="00BD17DA" w:rsidRPr="00BD17DA">
              <w:rPr>
                <w:rFonts w:ascii="Calibri" w:eastAsia="Times New Roman" w:hAnsi="Calibri" w:cs="Calibri"/>
                <w:color w:val="000000"/>
                <w:kern w:val="0"/>
                <w:sz w:val="16"/>
                <w:szCs w:val="16"/>
                <w:lang w:eastAsia="pl-PL"/>
                <w14:ligatures w14:val="none"/>
              </w:rPr>
              <w:t>Liczba gmin, które zostały objęte inicjatywą w zakresie aktywizacji społeczności na rzecz rozwoju lokalnego [SZT.]</w:t>
            </w:r>
          </w:p>
        </w:tc>
        <w:tc>
          <w:tcPr>
            <w:tcW w:w="780" w:type="dxa"/>
            <w:tcBorders>
              <w:top w:val="nil"/>
              <w:left w:val="single" w:sz="4" w:space="0" w:color="auto"/>
              <w:bottom w:val="single" w:sz="4" w:space="0" w:color="auto"/>
              <w:right w:val="single" w:sz="4" w:space="0" w:color="auto"/>
            </w:tcBorders>
            <w:shd w:val="clear" w:color="auto" w:fill="auto"/>
            <w:vAlign w:val="center"/>
            <w:hideMark/>
          </w:tcPr>
          <w:p w14:paraId="4F971B67"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7303201F"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nil"/>
            </w:tcBorders>
            <w:shd w:val="clear" w:color="auto" w:fill="auto"/>
            <w:vAlign w:val="center"/>
            <w:hideMark/>
          </w:tcPr>
          <w:p w14:paraId="59F44011"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vAlign w:val="center"/>
            <w:hideMark/>
          </w:tcPr>
          <w:p w14:paraId="0A4AC14B"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nil"/>
            </w:tcBorders>
            <w:shd w:val="clear" w:color="auto" w:fill="auto"/>
            <w:vAlign w:val="center"/>
            <w:hideMark/>
          </w:tcPr>
          <w:p w14:paraId="70E60A0C"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vAlign w:val="center"/>
            <w:hideMark/>
          </w:tcPr>
          <w:p w14:paraId="441C6A37"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nil"/>
            </w:tcBorders>
            <w:shd w:val="clear" w:color="auto" w:fill="auto"/>
            <w:vAlign w:val="center"/>
            <w:hideMark/>
          </w:tcPr>
          <w:p w14:paraId="1123A390" w14:textId="5CC09702" w:rsidR="00BD17DA" w:rsidRPr="00BD17DA" w:rsidRDefault="00F10EC2" w:rsidP="00BD17DA">
            <w:pPr>
              <w:jc w:val="right"/>
              <w:rPr>
                <w:rFonts w:ascii="Calibri" w:eastAsia="Times New Roman" w:hAnsi="Calibri" w:cs="Calibri"/>
                <w:color w:val="000000"/>
                <w:kern w:val="0"/>
                <w:sz w:val="16"/>
                <w:szCs w:val="16"/>
                <w:lang w:eastAsia="pl-PL"/>
                <w14:ligatures w14:val="none"/>
              </w:rPr>
            </w:pPr>
            <w:r w:rsidRPr="00F10EC2">
              <w:rPr>
                <w:rFonts w:ascii="Calibri" w:eastAsia="Times New Roman" w:hAnsi="Calibri" w:cs="Calibri"/>
                <w:color w:val="000000"/>
                <w:kern w:val="0"/>
                <w:sz w:val="16"/>
                <w:szCs w:val="16"/>
                <w:lang w:eastAsia="pl-PL"/>
                <w14:ligatures w14:val="none"/>
              </w:rPr>
              <w:t>6 gmin</w:t>
            </w:r>
          </w:p>
        </w:tc>
        <w:tc>
          <w:tcPr>
            <w:tcW w:w="780"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vAlign w:val="center"/>
            <w:hideMark/>
          </w:tcPr>
          <w:p w14:paraId="1F468E27"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nil"/>
            </w:tcBorders>
            <w:shd w:val="clear" w:color="auto" w:fill="auto"/>
            <w:vAlign w:val="center"/>
            <w:hideMark/>
          </w:tcPr>
          <w:p w14:paraId="70C8228A" w14:textId="636DFC78" w:rsidR="00BD17DA" w:rsidRPr="00BD17DA" w:rsidRDefault="00F10EC2" w:rsidP="00F10EC2">
            <w:pPr>
              <w:jc w:val="right"/>
              <w:rPr>
                <w:rFonts w:ascii="Calibri" w:eastAsia="Times New Roman" w:hAnsi="Calibri" w:cs="Calibri"/>
                <w:color w:val="000000"/>
                <w:kern w:val="0"/>
                <w:sz w:val="16"/>
                <w:szCs w:val="16"/>
                <w:lang w:eastAsia="pl-PL"/>
                <w14:ligatures w14:val="none"/>
              </w:rPr>
            </w:pPr>
            <w:r>
              <w:rPr>
                <w:rFonts w:ascii="Calibri" w:eastAsia="Times New Roman" w:hAnsi="Calibri" w:cs="Calibri"/>
                <w:color w:val="000000"/>
                <w:kern w:val="0"/>
                <w:sz w:val="16"/>
                <w:szCs w:val="16"/>
                <w:lang w:eastAsia="pl-PL"/>
                <w14:ligatures w14:val="none"/>
              </w:rPr>
              <w:t>0</w:t>
            </w:r>
          </w:p>
        </w:tc>
        <w:tc>
          <w:tcPr>
            <w:tcW w:w="780"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vAlign w:val="center"/>
            <w:hideMark/>
          </w:tcPr>
          <w:p w14:paraId="48E20710"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nil"/>
            </w:tcBorders>
            <w:shd w:val="clear" w:color="auto" w:fill="auto"/>
            <w:vAlign w:val="center"/>
            <w:hideMark/>
          </w:tcPr>
          <w:p w14:paraId="2235BF44" w14:textId="77777777" w:rsidR="00BD17DA" w:rsidRPr="00BD17DA" w:rsidRDefault="00BD17DA" w:rsidP="00BD17DA">
            <w:pPr>
              <w:jc w:val="right"/>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vAlign w:val="center"/>
            <w:hideMark/>
          </w:tcPr>
          <w:p w14:paraId="02F74E00"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00" w:type="dxa"/>
            <w:tcBorders>
              <w:top w:val="nil"/>
              <w:left w:val="nil"/>
              <w:bottom w:val="single" w:sz="4" w:space="0" w:color="auto"/>
              <w:right w:val="single" w:sz="4" w:space="0" w:color="auto"/>
            </w:tcBorders>
            <w:shd w:val="clear" w:color="auto" w:fill="auto"/>
            <w:vAlign w:val="center"/>
            <w:hideMark/>
          </w:tcPr>
          <w:p w14:paraId="6478159D" w14:textId="77777777"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EFS+</w:t>
            </w:r>
          </w:p>
        </w:tc>
      </w:tr>
      <w:tr w:rsidR="00BD17DA" w:rsidRPr="00BD17DA" w14:paraId="1425ABD4" w14:textId="77777777" w:rsidTr="00B70DF5">
        <w:trPr>
          <w:trHeight w:val="420"/>
        </w:trPr>
        <w:tc>
          <w:tcPr>
            <w:tcW w:w="1601" w:type="dxa"/>
            <w:tcBorders>
              <w:top w:val="nil"/>
              <w:left w:val="single" w:sz="4" w:space="0" w:color="auto"/>
              <w:bottom w:val="single" w:sz="4" w:space="0" w:color="auto"/>
              <w:right w:val="single" w:sz="4" w:space="0" w:color="auto"/>
            </w:tcBorders>
            <w:shd w:val="clear" w:color="000000" w:fill="FFD5B9"/>
            <w:vAlign w:val="center"/>
            <w:hideMark/>
          </w:tcPr>
          <w:p w14:paraId="13A828F5" w14:textId="77777777" w:rsidR="00BD17DA" w:rsidRPr="00BD17DA" w:rsidRDefault="00BD17DA" w:rsidP="00BD17DA">
            <w:pPr>
              <w:rPr>
                <w:rFonts w:ascii="Calibri" w:eastAsia="Times New Roman" w:hAnsi="Calibri" w:cs="Calibri"/>
                <w:b/>
                <w:bCs/>
                <w:color w:val="000000"/>
                <w:kern w:val="0"/>
                <w:sz w:val="18"/>
                <w:szCs w:val="18"/>
                <w:lang w:eastAsia="pl-PL"/>
                <w14:ligatures w14:val="none"/>
              </w:rPr>
            </w:pPr>
            <w:r w:rsidRPr="00BD17DA">
              <w:rPr>
                <w:rFonts w:ascii="Calibri" w:eastAsia="Times New Roman" w:hAnsi="Calibri" w:cs="Calibri"/>
                <w:b/>
                <w:bCs/>
                <w:color w:val="000000"/>
                <w:kern w:val="0"/>
                <w:sz w:val="18"/>
                <w:szCs w:val="18"/>
                <w:lang w:eastAsia="pl-PL"/>
                <w14:ligatures w14:val="none"/>
              </w:rPr>
              <w:t>C.2</w:t>
            </w:r>
          </w:p>
        </w:tc>
        <w:tc>
          <w:tcPr>
            <w:tcW w:w="0" w:type="auto"/>
            <w:gridSpan w:val="13"/>
            <w:tcBorders>
              <w:top w:val="single" w:sz="4" w:space="0" w:color="auto"/>
              <w:left w:val="nil"/>
              <w:bottom w:val="single" w:sz="4" w:space="0" w:color="auto"/>
              <w:right w:val="single" w:sz="4" w:space="0" w:color="000000"/>
            </w:tcBorders>
            <w:shd w:val="clear" w:color="auto" w:fill="auto"/>
            <w:vAlign w:val="center"/>
            <w:hideMark/>
          </w:tcPr>
          <w:p w14:paraId="3537F447" w14:textId="77777777" w:rsidR="00BD17DA" w:rsidRPr="00BD17DA" w:rsidRDefault="00BD17DA" w:rsidP="00BD17DA">
            <w:pPr>
              <w:rPr>
                <w:rFonts w:ascii="Calibri" w:eastAsia="Times New Roman" w:hAnsi="Calibri" w:cs="Calibri"/>
                <w:b/>
                <w:bCs/>
                <w:color w:val="000000"/>
                <w:kern w:val="0"/>
                <w:sz w:val="18"/>
                <w:szCs w:val="18"/>
                <w:lang w:eastAsia="pl-PL"/>
                <w14:ligatures w14:val="none"/>
              </w:rPr>
            </w:pPr>
            <w:r w:rsidRPr="00BD17DA">
              <w:rPr>
                <w:rFonts w:ascii="Calibri" w:eastAsia="Times New Roman" w:hAnsi="Calibri" w:cs="Calibri"/>
                <w:b/>
                <w:bCs/>
                <w:color w:val="000000"/>
                <w:kern w:val="0"/>
                <w:sz w:val="18"/>
                <w:szCs w:val="18"/>
                <w:lang w:eastAsia="pl-PL"/>
                <w14:ligatures w14:val="none"/>
              </w:rPr>
              <w:t>Zwiększenie dostępności do usług i produktów na obszarze LSR.</w:t>
            </w:r>
          </w:p>
        </w:tc>
        <w:tc>
          <w:tcPr>
            <w:tcW w:w="700" w:type="dxa"/>
            <w:tcBorders>
              <w:top w:val="nil"/>
              <w:left w:val="nil"/>
              <w:bottom w:val="single" w:sz="4" w:space="0" w:color="auto"/>
              <w:right w:val="single" w:sz="4" w:space="0" w:color="auto"/>
            </w:tcBorders>
            <w:shd w:val="clear" w:color="auto" w:fill="auto"/>
            <w:vAlign w:val="center"/>
            <w:hideMark/>
          </w:tcPr>
          <w:p w14:paraId="3EA32741" w14:textId="77777777" w:rsidR="00BD17DA" w:rsidRPr="00BD17DA" w:rsidRDefault="00BD17DA" w:rsidP="00BD17DA">
            <w:pPr>
              <w:rPr>
                <w:rFonts w:ascii="Calibri" w:eastAsia="Times New Roman" w:hAnsi="Calibri" w:cs="Calibri"/>
                <w:color w:val="000000"/>
                <w:kern w:val="0"/>
                <w:sz w:val="18"/>
                <w:szCs w:val="18"/>
                <w:lang w:eastAsia="pl-PL"/>
                <w14:ligatures w14:val="none"/>
              </w:rPr>
            </w:pPr>
            <w:r w:rsidRPr="00BD17DA">
              <w:rPr>
                <w:rFonts w:ascii="Calibri" w:eastAsia="Times New Roman" w:hAnsi="Calibri" w:cs="Calibri"/>
                <w:color w:val="000000"/>
                <w:kern w:val="0"/>
                <w:sz w:val="18"/>
                <w:szCs w:val="18"/>
                <w:lang w:eastAsia="pl-PL"/>
                <w14:ligatures w14:val="none"/>
              </w:rPr>
              <w:t> </w:t>
            </w:r>
          </w:p>
        </w:tc>
      </w:tr>
      <w:tr w:rsidR="00BD17DA" w:rsidRPr="00BD17DA" w14:paraId="4D9186C1" w14:textId="77777777" w:rsidTr="00B70DF5">
        <w:trPr>
          <w:trHeight w:val="855"/>
        </w:trPr>
        <w:tc>
          <w:tcPr>
            <w:tcW w:w="1601" w:type="dxa"/>
            <w:vMerge w:val="restart"/>
            <w:tcBorders>
              <w:top w:val="nil"/>
              <w:left w:val="single" w:sz="4" w:space="0" w:color="auto"/>
              <w:bottom w:val="single" w:sz="4" w:space="0" w:color="000000"/>
              <w:right w:val="single" w:sz="4" w:space="0" w:color="auto"/>
            </w:tcBorders>
            <w:shd w:val="clear" w:color="000000" w:fill="FFD5B9"/>
            <w:vAlign w:val="center"/>
            <w:hideMark/>
          </w:tcPr>
          <w:p w14:paraId="043D94DF" w14:textId="01603E66"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 xml:space="preserve">Przedsięwzięcie </w:t>
            </w:r>
            <w:r w:rsidR="00F206D1">
              <w:rPr>
                <w:rFonts w:ascii="Calibri" w:eastAsia="Times New Roman" w:hAnsi="Calibri" w:cs="Calibri"/>
                <w:color w:val="000000"/>
                <w:kern w:val="0"/>
                <w:sz w:val="16"/>
                <w:szCs w:val="16"/>
                <w:lang w:eastAsia="pl-PL"/>
                <w14:ligatures w14:val="none"/>
              </w:rPr>
              <w:t>P.</w:t>
            </w:r>
            <w:r w:rsidRPr="00BD17DA">
              <w:rPr>
                <w:rFonts w:ascii="Calibri" w:eastAsia="Times New Roman" w:hAnsi="Calibri" w:cs="Calibri"/>
                <w:color w:val="000000"/>
                <w:kern w:val="0"/>
                <w:sz w:val="16"/>
                <w:szCs w:val="16"/>
                <w:lang w:eastAsia="pl-PL"/>
                <w14:ligatures w14:val="none"/>
              </w:rPr>
              <w:t xml:space="preserve">2.1. Rozwój pozarolniczej działalności gospodarczej w tym gospodarstw agroturystycznych i zagród edukacyjnych. </w:t>
            </w:r>
          </w:p>
        </w:tc>
        <w:tc>
          <w:tcPr>
            <w:tcW w:w="0" w:type="auto"/>
            <w:tcBorders>
              <w:top w:val="nil"/>
              <w:left w:val="nil"/>
              <w:bottom w:val="single" w:sz="4" w:space="0" w:color="auto"/>
              <w:right w:val="nil"/>
            </w:tcBorders>
            <w:shd w:val="clear" w:color="auto" w:fill="auto"/>
            <w:vAlign w:val="center"/>
            <w:hideMark/>
          </w:tcPr>
          <w:p w14:paraId="4984F2F9" w14:textId="009DB45B"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2.1.1</w:t>
            </w:r>
            <w:r>
              <w:rPr>
                <w:rFonts w:ascii="Calibri" w:eastAsia="Times New Roman" w:hAnsi="Calibri" w:cs="Calibri"/>
                <w:color w:val="000000"/>
                <w:kern w:val="0"/>
                <w:sz w:val="16"/>
                <w:szCs w:val="16"/>
                <w:lang w:eastAsia="pl-PL"/>
                <w14:ligatures w14:val="none"/>
              </w:rPr>
              <w:t xml:space="preserve"> </w:t>
            </w:r>
            <w:r w:rsidRPr="00BD17DA">
              <w:rPr>
                <w:rFonts w:ascii="Calibri" w:eastAsia="Times New Roman" w:hAnsi="Calibri" w:cs="Calibri"/>
                <w:color w:val="000000"/>
                <w:kern w:val="0"/>
                <w:sz w:val="16"/>
                <w:szCs w:val="16"/>
                <w:lang w:eastAsia="pl-PL"/>
                <w14:ligatures w14:val="none"/>
              </w:rPr>
              <w:t>Liczba operacji polegających na utworzeniu przedsiębiorstwa.</w:t>
            </w:r>
          </w:p>
        </w:tc>
        <w:tc>
          <w:tcPr>
            <w:tcW w:w="780" w:type="dxa"/>
            <w:tcBorders>
              <w:top w:val="nil"/>
              <w:left w:val="single" w:sz="4" w:space="0" w:color="auto"/>
              <w:bottom w:val="single" w:sz="4" w:space="0" w:color="auto"/>
              <w:right w:val="single" w:sz="4" w:space="0" w:color="auto"/>
            </w:tcBorders>
            <w:shd w:val="clear" w:color="auto" w:fill="auto"/>
            <w:vAlign w:val="center"/>
            <w:hideMark/>
          </w:tcPr>
          <w:p w14:paraId="0C6A0AA2" w14:textId="77777777"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5B26A9F7" w14:textId="77777777"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75533CA6" w14:textId="7A71A088" w:rsidR="00BD17DA" w:rsidRPr="00BD17DA" w:rsidRDefault="00995AB5" w:rsidP="00BD17DA">
            <w:pPr>
              <w:jc w:val="center"/>
              <w:rPr>
                <w:rFonts w:ascii="Calibri" w:eastAsia="Times New Roman" w:hAnsi="Calibri" w:cs="Calibri"/>
                <w:color w:val="000000"/>
                <w:kern w:val="0"/>
                <w:sz w:val="16"/>
                <w:szCs w:val="16"/>
                <w:lang w:eastAsia="pl-PL"/>
                <w14:ligatures w14:val="none"/>
              </w:rPr>
            </w:pPr>
            <w:r w:rsidRPr="00995AB5">
              <w:rPr>
                <w:rFonts w:ascii="Calibri" w:eastAsia="Times New Roman" w:hAnsi="Calibri" w:cs="Calibri"/>
                <w:strike/>
                <w:color w:val="FF0000"/>
                <w:kern w:val="0"/>
                <w:sz w:val="16"/>
                <w:szCs w:val="16"/>
                <w:lang w:eastAsia="pl-PL"/>
                <w14:ligatures w14:val="none"/>
              </w:rPr>
              <w:t>10</w:t>
            </w:r>
            <w:r>
              <w:rPr>
                <w:rFonts w:ascii="Calibri" w:eastAsia="Times New Roman" w:hAnsi="Calibri" w:cs="Calibri"/>
                <w:color w:val="000000"/>
                <w:kern w:val="0"/>
                <w:sz w:val="16"/>
                <w:szCs w:val="16"/>
                <w:lang w:eastAsia="pl-PL"/>
                <w14:ligatures w14:val="none"/>
              </w:rPr>
              <w:t xml:space="preserve"> </w:t>
            </w:r>
            <w:r w:rsidRPr="00995AB5">
              <w:rPr>
                <w:rFonts w:ascii="Calibri" w:eastAsia="Times New Roman" w:hAnsi="Calibri" w:cs="Calibri"/>
                <w:color w:val="00B050"/>
                <w:kern w:val="0"/>
                <w:sz w:val="16"/>
                <w:szCs w:val="16"/>
                <w:lang w:eastAsia="pl-PL"/>
                <w14:ligatures w14:val="none"/>
              </w:rPr>
              <w:t>6</w:t>
            </w:r>
            <w:r w:rsidR="00F10EC2">
              <w:rPr>
                <w:rFonts w:ascii="Calibri" w:eastAsia="Times New Roman" w:hAnsi="Calibri" w:cs="Calibri"/>
                <w:color w:val="000000"/>
                <w:kern w:val="0"/>
                <w:sz w:val="16"/>
                <w:szCs w:val="16"/>
                <w:lang w:eastAsia="pl-PL"/>
                <w14:ligatures w14:val="none"/>
              </w:rPr>
              <w:t xml:space="preserve"> sztuk</w:t>
            </w:r>
          </w:p>
        </w:tc>
        <w:tc>
          <w:tcPr>
            <w:tcW w:w="780" w:type="dxa"/>
            <w:tcBorders>
              <w:top w:val="nil"/>
              <w:left w:val="nil"/>
              <w:bottom w:val="single" w:sz="4" w:space="0" w:color="auto"/>
              <w:right w:val="single" w:sz="4" w:space="0" w:color="auto"/>
            </w:tcBorders>
            <w:shd w:val="clear" w:color="auto" w:fill="auto"/>
            <w:vAlign w:val="center"/>
            <w:hideMark/>
          </w:tcPr>
          <w:p w14:paraId="154A96EE" w14:textId="3BD1FDD6" w:rsidR="00BD17DA" w:rsidRPr="00BD17DA" w:rsidRDefault="00F10EC2" w:rsidP="00BD17DA">
            <w:pPr>
              <w:jc w:val="center"/>
              <w:rPr>
                <w:rFonts w:ascii="Calibri" w:eastAsia="Times New Roman" w:hAnsi="Calibri" w:cs="Calibri"/>
                <w:color w:val="000000"/>
                <w:kern w:val="0"/>
                <w:sz w:val="16"/>
                <w:szCs w:val="16"/>
                <w:lang w:eastAsia="pl-PL"/>
                <w14:ligatures w14:val="none"/>
              </w:rPr>
            </w:pPr>
            <w:r w:rsidRPr="00995AB5">
              <w:rPr>
                <w:rFonts w:ascii="Calibri" w:eastAsia="Times New Roman" w:hAnsi="Calibri" w:cs="Calibri"/>
                <w:strike/>
                <w:color w:val="FF0000"/>
                <w:kern w:val="0"/>
                <w:sz w:val="16"/>
                <w:szCs w:val="16"/>
                <w:lang w:eastAsia="pl-PL"/>
                <w14:ligatures w14:val="none"/>
              </w:rPr>
              <w:t>10</w:t>
            </w:r>
            <w:r w:rsidR="00BD17DA" w:rsidRPr="00995AB5">
              <w:rPr>
                <w:rFonts w:ascii="Calibri" w:eastAsia="Times New Roman" w:hAnsi="Calibri" w:cs="Calibri"/>
                <w:strike/>
                <w:color w:val="FF0000"/>
                <w:kern w:val="0"/>
                <w:sz w:val="16"/>
                <w:szCs w:val="16"/>
                <w:lang w:eastAsia="pl-PL"/>
                <w14:ligatures w14:val="none"/>
              </w:rPr>
              <w:t>0</w:t>
            </w:r>
            <w:r w:rsidR="00995AB5">
              <w:rPr>
                <w:rFonts w:ascii="Calibri" w:eastAsia="Times New Roman" w:hAnsi="Calibri" w:cs="Calibri"/>
                <w:color w:val="000000"/>
                <w:kern w:val="0"/>
                <w:sz w:val="16"/>
                <w:szCs w:val="16"/>
                <w:lang w:eastAsia="pl-PL"/>
                <w14:ligatures w14:val="none"/>
              </w:rPr>
              <w:t xml:space="preserve"> </w:t>
            </w:r>
            <w:r w:rsidR="00995AB5" w:rsidRPr="00995AB5">
              <w:rPr>
                <w:rFonts w:ascii="Calibri" w:eastAsia="Times New Roman" w:hAnsi="Calibri" w:cs="Calibri"/>
                <w:color w:val="00B050"/>
                <w:kern w:val="0"/>
                <w:sz w:val="16"/>
                <w:szCs w:val="16"/>
                <w:lang w:eastAsia="pl-PL"/>
                <w14:ligatures w14:val="none"/>
              </w:rPr>
              <w:t>60</w:t>
            </w:r>
            <w:r w:rsidR="00E17D35">
              <w:rPr>
                <w:rFonts w:ascii="Calibri" w:eastAsia="Times New Roman" w:hAnsi="Calibri" w:cs="Calibri"/>
                <w:color w:val="000000"/>
                <w:kern w:val="0"/>
                <w:sz w:val="16"/>
                <w:szCs w:val="16"/>
                <w:lang w:eastAsia="pl-PL"/>
                <w14:ligatures w14:val="none"/>
              </w:rPr>
              <w:t>%</w:t>
            </w:r>
          </w:p>
        </w:tc>
        <w:tc>
          <w:tcPr>
            <w:tcW w:w="780" w:type="dxa"/>
            <w:tcBorders>
              <w:top w:val="nil"/>
              <w:left w:val="nil"/>
              <w:bottom w:val="single" w:sz="4" w:space="0" w:color="auto"/>
              <w:right w:val="single" w:sz="4" w:space="0" w:color="auto"/>
            </w:tcBorders>
            <w:shd w:val="clear" w:color="auto" w:fill="auto"/>
            <w:vAlign w:val="center"/>
            <w:hideMark/>
          </w:tcPr>
          <w:p w14:paraId="698CEE38" w14:textId="59BE1EAE" w:rsidR="00BD17DA" w:rsidRPr="00BD17DA" w:rsidRDefault="00F10EC2" w:rsidP="00BD17DA">
            <w:pPr>
              <w:jc w:val="center"/>
              <w:rPr>
                <w:rFonts w:ascii="Calibri" w:eastAsia="Times New Roman" w:hAnsi="Calibri" w:cs="Calibri"/>
                <w:color w:val="000000"/>
                <w:kern w:val="0"/>
                <w:sz w:val="16"/>
                <w:szCs w:val="16"/>
                <w:lang w:eastAsia="pl-PL"/>
                <w14:ligatures w14:val="none"/>
              </w:rPr>
            </w:pPr>
            <w:r>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5E9BB84D" w14:textId="15CDE6F2" w:rsidR="00BD17DA" w:rsidRPr="00BD17DA" w:rsidRDefault="00995AB5" w:rsidP="00BD17DA">
            <w:pPr>
              <w:jc w:val="center"/>
              <w:rPr>
                <w:rFonts w:ascii="Calibri" w:eastAsia="Times New Roman" w:hAnsi="Calibri" w:cs="Calibri"/>
                <w:color w:val="000000"/>
                <w:kern w:val="0"/>
                <w:sz w:val="16"/>
                <w:szCs w:val="16"/>
                <w:lang w:eastAsia="pl-PL"/>
                <w14:ligatures w14:val="none"/>
              </w:rPr>
            </w:pPr>
            <w:r w:rsidRPr="00995AB5">
              <w:rPr>
                <w:rFonts w:ascii="Calibri" w:eastAsia="Times New Roman" w:hAnsi="Calibri" w:cs="Calibri"/>
                <w:strike/>
                <w:color w:val="FF0000"/>
                <w:kern w:val="0"/>
                <w:sz w:val="16"/>
                <w:szCs w:val="16"/>
                <w:lang w:eastAsia="pl-PL"/>
                <w14:ligatures w14:val="none"/>
              </w:rPr>
              <w:t>100</w:t>
            </w:r>
            <w:r>
              <w:rPr>
                <w:rFonts w:ascii="Calibri" w:eastAsia="Times New Roman" w:hAnsi="Calibri" w:cs="Calibri"/>
                <w:color w:val="000000"/>
                <w:kern w:val="0"/>
                <w:sz w:val="16"/>
                <w:szCs w:val="16"/>
                <w:lang w:eastAsia="pl-PL"/>
                <w14:ligatures w14:val="none"/>
              </w:rPr>
              <w:t xml:space="preserve"> </w:t>
            </w:r>
            <w:r w:rsidRPr="00995AB5">
              <w:rPr>
                <w:rFonts w:ascii="Calibri" w:eastAsia="Times New Roman" w:hAnsi="Calibri" w:cs="Calibri"/>
                <w:color w:val="00B050"/>
                <w:kern w:val="0"/>
                <w:sz w:val="16"/>
                <w:szCs w:val="16"/>
                <w:lang w:eastAsia="pl-PL"/>
                <w14:ligatures w14:val="none"/>
              </w:rPr>
              <w:t>60</w:t>
            </w:r>
            <w:r>
              <w:rPr>
                <w:rFonts w:ascii="Calibri" w:eastAsia="Times New Roman" w:hAnsi="Calibri" w:cs="Calibri"/>
                <w:color w:val="000000"/>
                <w:kern w:val="0"/>
                <w:sz w:val="16"/>
                <w:szCs w:val="16"/>
                <w:lang w:eastAsia="pl-PL"/>
                <w14:ligatures w14:val="none"/>
              </w:rPr>
              <w:t>%</w:t>
            </w:r>
          </w:p>
        </w:tc>
        <w:tc>
          <w:tcPr>
            <w:tcW w:w="780" w:type="dxa"/>
            <w:tcBorders>
              <w:top w:val="nil"/>
              <w:left w:val="nil"/>
              <w:bottom w:val="single" w:sz="4" w:space="0" w:color="auto"/>
              <w:right w:val="single" w:sz="4" w:space="0" w:color="auto"/>
            </w:tcBorders>
            <w:shd w:val="clear" w:color="auto" w:fill="auto"/>
            <w:vAlign w:val="center"/>
            <w:hideMark/>
          </w:tcPr>
          <w:p w14:paraId="16FA59A3" w14:textId="095E33C1" w:rsidR="00BD17DA" w:rsidRPr="00995AB5" w:rsidRDefault="00BD17DA" w:rsidP="00BD17DA">
            <w:pPr>
              <w:jc w:val="center"/>
              <w:rPr>
                <w:rFonts w:ascii="Calibri" w:eastAsia="Times New Roman" w:hAnsi="Calibri" w:cs="Calibri"/>
                <w:strike/>
                <w:color w:val="00B050"/>
                <w:kern w:val="0"/>
                <w:sz w:val="16"/>
                <w:szCs w:val="16"/>
                <w:lang w:eastAsia="pl-PL"/>
                <w14:ligatures w14:val="none"/>
              </w:rPr>
            </w:pPr>
            <w:r w:rsidRPr="00995AB5">
              <w:rPr>
                <w:rFonts w:ascii="Calibri" w:eastAsia="Times New Roman" w:hAnsi="Calibri" w:cs="Calibri"/>
                <w:strike/>
                <w:color w:val="FF0000"/>
                <w:kern w:val="0"/>
                <w:sz w:val="16"/>
                <w:szCs w:val="16"/>
                <w:lang w:eastAsia="pl-PL"/>
                <w14:ligatures w14:val="none"/>
              </w:rPr>
              <w:t>0</w:t>
            </w:r>
            <w:r w:rsidR="00995AB5">
              <w:rPr>
                <w:rFonts w:ascii="Calibri" w:eastAsia="Times New Roman" w:hAnsi="Calibri" w:cs="Calibri"/>
                <w:strike/>
                <w:color w:val="FF0000"/>
                <w:kern w:val="0"/>
                <w:sz w:val="16"/>
                <w:szCs w:val="16"/>
                <w:lang w:eastAsia="pl-PL"/>
                <w14:ligatures w14:val="none"/>
              </w:rPr>
              <w:t xml:space="preserve"> </w:t>
            </w:r>
            <w:r w:rsidR="00995AB5">
              <w:rPr>
                <w:rFonts w:ascii="Calibri" w:eastAsia="Times New Roman" w:hAnsi="Calibri" w:cs="Calibri"/>
                <w:strike/>
                <w:color w:val="00B050"/>
                <w:kern w:val="0"/>
                <w:sz w:val="16"/>
                <w:szCs w:val="16"/>
                <w:lang w:eastAsia="pl-PL"/>
                <w14:ligatures w14:val="none"/>
              </w:rPr>
              <w:t>4</w:t>
            </w:r>
          </w:p>
        </w:tc>
        <w:tc>
          <w:tcPr>
            <w:tcW w:w="780" w:type="dxa"/>
            <w:tcBorders>
              <w:top w:val="nil"/>
              <w:left w:val="nil"/>
              <w:bottom w:val="single" w:sz="4" w:space="0" w:color="auto"/>
              <w:right w:val="single" w:sz="4" w:space="0" w:color="auto"/>
            </w:tcBorders>
            <w:shd w:val="clear" w:color="auto" w:fill="auto"/>
            <w:vAlign w:val="center"/>
            <w:hideMark/>
          </w:tcPr>
          <w:p w14:paraId="1D4D78C4" w14:textId="3B387115"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100</w:t>
            </w:r>
            <w:r w:rsidR="00E17D35">
              <w:rPr>
                <w:rFonts w:ascii="Calibri" w:eastAsia="Times New Roman" w:hAnsi="Calibri" w:cs="Calibri"/>
                <w:color w:val="000000"/>
                <w:kern w:val="0"/>
                <w:sz w:val="16"/>
                <w:szCs w:val="16"/>
                <w:lang w:eastAsia="pl-PL"/>
                <w14:ligatures w14:val="none"/>
              </w:rPr>
              <w:t>%</w:t>
            </w:r>
          </w:p>
        </w:tc>
        <w:tc>
          <w:tcPr>
            <w:tcW w:w="780" w:type="dxa"/>
            <w:tcBorders>
              <w:top w:val="nil"/>
              <w:left w:val="nil"/>
              <w:bottom w:val="single" w:sz="4" w:space="0" w:color="auto"/>
              <w:right w:val="single" w:sz="4" w:space="0" w:color="auto"/>
            </w:tcBorders>
            <w:shd w:val="clear" w:color="auto" w:fill="auto"/>
            <w:vAlign w:val="center"/>
            <w:hideMark/>
          </w:tcPr>
          <w:p w14:paraId="401EB3AC" w14:textId="77777777"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74DF975C" w14:textId="624A009E"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100</w:t>
            </w:r>
            <w:r w:rsidR="00E17D35">
              <w:rPr>
                <w:rFonts w:ascii="Calibri" w:eastAsia="Times New Roman" w:hAnsi="Calibri" w:cs="Calibri"/>
                <w:color w:val="000000"/>
                <w:kern w:val="0"/>
                <w:sz w:val="16"/>
                <w:szCs w:val="16"/>
                <w:lang w:eastAsia="pl-PL"/>
                <w14:ligatures w14:val="none"/>
              </w:rPr>
              <w:t>%</w:t>
            </w:r>
          </w:p>
        </w:tc>
        <w:tc>
          <w:tcPr>
            <w:tcW w:w="780" w:type="dxa"/>
            <w:tcBorders>
              <w:top w:val="nil"/>
              <w:left w:val="nil"/>
              <w:bottom w:val="single" w:sz="4" w:space="0" w:color="auto"/>
              <w:right w:val="single" w:sz="4" w:space="0" w:color="auto"/>
            </w:tcBorders>
            <w:shd w:val="clear" w:color="auto" w:fill="auto"/>
            <w:vAlign w:val="center"/>
            <w:hideMark/>
          </w:tcPr>
          <w:p w14:paraId="40BEA85F" w14:textId="77777777"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6D4E1967" w14:textId="0CF63ED6"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100</w:t>
            </w:r>
            <w:r w:rsidR="00E17D35">
              <w:rPr>
                <w:rFonts w:ascii="Calibri" w:eastAsia="Times New Roman" w:hAnsi="Calibri" w:cs="Calibri"/>
                <w:color w:val="000000"/>
                <w:kern w:val="0"/>
                <w:sz w:val="16"/>
                <w:szCs w:val="16"/>
                <w:lang w:eastAsia="pl-PL"/>
                <w14:ligatures w14:val="none"/>
              </w:rPr>
              <w:t>%</w:t>
            </w:r>
          </w:p>
        </w:tc>
        <w:tc>
          <w:tcPr>
            <w:tcW w:w="700" w:type="dxa"/>
            <w:tcBorders>
              <w:top w:val="nil"/>
              <w:left w:val="nil"/>
              <w:bottom w:val="single" w:sz="4" w:space="0" w:color="auto"/>
              <w:right w:val="single" w:sz="4" w:space="0" w:color="auto"/>
            </w:tcBorders>
            <w:shd w:val="clear" w:color="auto" w:fill="auto"/>
            <w:vAlign w:val="center"/>
            <w:hideMark/>
          </w:tcPr>
          <w:p w14:paraId="68317CE7"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PS WPR</w:t>
            </w:r>
          </w:p>
        </w:tc>
      </w:tr>
      <w:tr w:rsidR="00BD17DA" w:rsidRPr="00BD17DA" w14:paraId="5F766D64" w14:textId="77777777" w:rsidTr="00B70DF5">
        <w:trPr>
          <w:trHeight w:val="765"/>
        </w:trPr>
        <w:tc>
          <w:tcPr>
            <w:tcW w:w="1601" w:type="dxa"/>
            <w:vMerge/>
            <w:tcBorders>
              <w:top w:val="nil"/>
              <w:left w:val="single" w:sz="4" w:space="0" w:color="auto"/>
              <w:bottom w:val="single" w:sz="4" w:space="0" w:color="000000"/>
              <w:right w:val="single" w:sz="4" w:space="0" w:color="auto"/>
            </w:tcBorders>
            <w:vAlign w:val="center"/>
            <w:hideMark/>
          </w:tcPr>
          <w:p w14:paraId="62EB75F9" w14:textId="77777777" w:rsidR="00BD17DA" w:rsidRPr="00BD17DA" w:rsidRDefault="00BD17DA" w:rsidP="00BD17DA">
            <w:pPr>
              <w:rPr>
                <w:rFonts w:ascii="Calibri" w:eastAsia="Times New Roman" w:hAnsi="Calibri" w:cs="Calibri"/>
                <w:color w:val="000000"/>
                <w:kern w:val="0"/>
                <w:sz w:val="16"/>
                <w:szCs w:val="16"/>
                <w:lang w:eastAsia="pl-PL"/>
                <w14:ligatures w14:val="none"/>
              </w:rPr>
            </w:pPr>
          </w:p>
        </w:tc>
        <w:tc>
          <w:tcPr>
            <w:tcW w:w="0" w:type="auto"/>
            <w:tcBorders>
              <w:top w:val="nil"/>
              <w:left w:val="nil"/>
              <w:bottom w:val="single" w:sz="4" w:space="0" w:color="auto"/>
              <w:right w:val="nil"/>
            </w:tcBorders>
            <w:shd w:val="clear" w:color="auto" w:fill="auto"/>
            <w:vAlign w:val="center"/>
            <w:hideMark/>
          </w:tcPr>
          <w:p w14:paraId="7E19C5D1"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2.1.2 Liczba operacji polegających na rozwoju przedsiębiorstwa</w:t>
            </w:r>
          </w:p>
        </w:tc>
        <w:tc>
          <w:tcPr>
            <w:tcW w:w="780" w:type="dxa"/>
            <w:tcBorders>
              <w:top w:val="nil"/>
              <w:left w:val="single" w:sz="4" w:space="0" w:color="auto"/>
              <w:bottom w:val="single" w:sz="4" w:space="0" w:color="auto"/>
              <w:right w:val="single" w:sz="4" w:space="0" w:color="auto"/>
            </w:tcBorders>
            <w:shd w:val="clear" w:color="auto" w:fill="auto"/>
            <w:vAlign w:val="center"/>
            <w:hideMark/>
          </w:tcPr>
          <w:p w14:paraId="3DC6E680" w14:textId="77777777"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128594D8" w14:textId="77777777"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29ABDBDE" w14:textId="2903E8BA" w:rsidR="00BD17DA" w:rsidRPr="00BD17DA" w:rsidRDefault="00F10EC2" w:rsidP="00BD17DA">
            <w:pPr>
              <w:jc w:val="center"/>
              <w:rPr>
                <w:rFonts w:ascii="Calibri" w:eastAsia="Times New Roman" w:hAnsi="Calibri" w:cs="Calibri"/>
                <w:color w:val="000000"/>
                <w:kern w:val="0"/>
                <w:sz w:val="16"/>
                <w:szCs w:val="16"/>
                <w:lang w:eastAsia="pl-PL"/>
                <w14:ligatures w14:val="none"/>
              </w:rPr>
            </w:pPr>
            <w:r w:rsidRPr="00F10EC2">
              <w:rPr>
                <w:rFonts w:ascii="Calibri" w:eastAsia="Times New Roman" w:hAnsi="Calibri" w:cs="Calibri"/>
                <w:color w:val="000000"/>
                <w:kern w:val="0"/>
                <w:sz w:val="16"/>
                <w:szCs w:val="16"/>
                <w:lang w:eastAsia="pl-PL"/>
                <w14:ligatures w14:val="none"/>
              </w:rPr>
              <w:t>10 sztuk</w:t>
            </w:r>
          </w:p>
        </w:tc>
        <w:tc>
          <w:tcPr>
            <w:tcW w:w="780" w:type="dxa"/>
            <w:tcBorders>
              <w:top w:val="nil"/>
              <w:left w:val="nil"/>
              <w:bottom w:val="single" w:sz="4" w:space="0" w:color="auto"/>
              <w:right w:val="single" w:sz="4" w:space="0" w:color="auto"/>
            </w:tcBorders>
            <w:shd w:val="clear" w:color="auto" w:fill="auto"/>
            <w:vAlign w:val="center"/>
            <w:hideMark/>
          </w:tcPr>
          <w:p w14:paraId="411E8C5F" w14:textId="2DA3A546" w:rsidR="00BD17DA" w:rsidRPr="00BD17DA" w:rsidRDefault="00F10EC2" w:rsidP="00BD17DA">
            <w:pPr>
              <w:jc w:val="center"/>
              <w:rPr>
                <w:rFonts w:ascii="Calibri" w:eastAsia="Times New Roman" w:hAnsi="Calibri" w:cs="Calibri"/>
                <w:color w:val="000000"/>
                <w:kern w:val="0"/>
                <w:sz w:val="16"/>
                <w:szCs w:val="16"/>
                <w:lang w:eastAsia="pl-PL"/>
                <w14:ligatures w14:val="none"/>
              </w:rPr>
            </w:pPr>
            <w:r>
              <w:rPr>
                <w:rFonts w:ascii="Calibri" w:eastAsia="Times New Roman" w:hAnsi="Calibri" w:cs="Calibri"/>
                <w:color w:val="000000"/>
                <w:kern w:val="0"/>
                <w:sz w:val="16"/>
                <w:szCs w:val="16"/>
                <w:lang w:eastAsia="pl-PL"/>
                <w14:ligatures w14:val="none"/>
              </w:rPr>
              <w:t>10</w:t>
            </w:r>
            <w:r w:rsidR="00BD17DA" w:rsidRPr="00BD17DA">
              <w:rPr>
                <w:rFonts w:ascii="Calibri" w:eastAsia="Times New Roman" w:hAnsi="Calibri" w:cs="Calibri"/>
                <w:color w:val="000000"/>
                <w:kern w:val="0"/>
                <w:sz w:val="16"/>
                <w:szCs w:val="16"/>
                <w:lang w:eastAsia="pl-PL"/>
                <w14:ligatures w14:val="none"/>
              </w:rPr>
              <w:t>0</w:t>
            </w:r>
            <w:r w:rsidR="00E17D35">
              <w:rPr>
                <w:rFonts w:ascii="Calibri" w:eastAsia="Times New Roman" w:hAnsi="Calibri" w:cs="Calibri"/>
                <w:color w:val="000000"/>
                <w:kern w:val="0"/>
                <w:sz w:val="16"/>
                <w:szCs w:val="16"/>
                <w:lang w:eastAsia="pl-PL"/>
                <w14:ligatures w14:val="none"/>
              </w:rPr>
              <w:t>%</w:t>
            </w:r>
          </w:p>
        </w:tc>
        <w:tc>
          <w:tcPr>
            <w:tcW w:w="780" w:type="dxa"/>
            <w:tcBorders>
              <w:top w:val="nil"/>
              <w:left w:val="nil"/>
              <w:bottom w:val="single" w:sz="4" w:space="0" w:color="auto"/>
              <w:right w:val="single" w:sz="4" w:space="0" w:color="auto"/>
            </w:tcBorders>
            <w:shd w:val="clear" w:color="auto" w:fill="auto"/>
            <w:vAlign w:val="center"/>
            <w:hideMark/>
          </w:tcPr>
          <w:p w14:paraId="4BFBDF3E" w14:textId="1603DF8B" w:rsidR="00BD17DA" w:rsidRPr="00BD17DA" w:rsidRDefault="00F10EC2" w:rsidP="00BD17DA">
            <w:pPr>
              <w:jc w:val="center"/>
              <w:rPr>
                <w:rFonts w:ascii="Calibri" w:eastAsia="Times New Roman" w:hAnsi="Calibri" w:cs="Calibri"/>
                <w:color w:val="000000"/>
                <w:kern w:val="0"/>
                <w:sz w:val="16"/>
                <w:szCs w:val="16"/>
                <w:lang w:eastAsia="pl-PL"/>
                <w14:ligatures w14:val="none"/>
              </w:rPr>
            </w:pPr>
            <w:r>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18B03959" w14:textId="213222F3"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100</w:t>
            </w:r>
            <w:r w:rsidR="00E17D35">
              <w:rPr>
                <w:rFonts w:ascii="Calibri" w:eastAsia="Times New Roman" w:hAnsi="Calibri" w:cs="Calibri"/>
                <w:color w:val="000000"/>
                <w:kern w:val="0"/>
                <w:sz w:val="16"/>
                <w:szCs w:val="16"/>
                <w:lang w:eastAsia="pl-PL"/>
                <w14:ligatures w14:val="none"/>
              </w:rPr>
              <w:t>%</w:t>
            </w:r>
          </w:p>
        </w:tc>
        <w:tc>
          <w:tcPr>
            <w:tcW w:w="780" w:type="dxa"/>
            <w:tcBorders>
              <w:top w:val="nil"/>
              <w:left w:val="nil"/>
              <w:bottom w:val="single" w:sz="4" w:space="0" w:color="auto"/>
              <w:right w:val="single" w:sz="4" w:space="0" w:color="auto"/>
            </w:tcBorders>
            <w:shd w:val="clear" w:color="auto" w:fill="auto"/>
            <w:vAlign w:val="center"/>
            <w:hideMark/>
          </w:tcPr>
          <w:p w14:paraId="3B94CD6B" w14:textId="77777777"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569963A7" w14:textId="7F570CD7"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100</w:t>
            </w:r>
            <w:r w:rsidR="00E17D35">
              <w:rPr>
                <w:rFonts w:ascii="Calibri" w:eastAsia="Times New Roman" w:hAnsi="Calibri" w:cs="Calibri"/>
                <w:color w:val="000000"/>
                <w:kern w:val="0"/>
                <w:sz w:val="16"/>
                <w:szCs w:val="16"/>
                <w:lang w:eastAsia="pl-PL"/>
                <w14:ligatures w14:val="none"/>
              </w:rPr>
              <w:t>%</w:t>
            </w:r>
          </w:p>
        </w:tc>
        <w:tc>
          <w:tcPr>
            <w:tcW w:w="780" w:type="dxa"/>
            <w:tcBorders>
              <w:top w:val="nil"/>
              <w:left w:val="nil"/>
              <w:bottom w:val="single" w:sz="4" w:space="0" w:color="auto"/>
              <w:right w:val="single" w:sz="4" w:space="0" w:color="auto"/>
            </w:tcBorders>
            <w:shd w:val="clear" w:color="auto" w:fill="auto"/>
            <w:vAlign w:val="center"/>
            <w:hideMark/>
          </w:tcPr>
          <w:p w14:paraId="5590D914" w14:textId="77777777"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30E4C52F" w14:textId="4C06AAD4"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100</w:t>
            </w:r>
            <w:r w:rsidR="00E17D35">
              <w:rPr>
                <w:rFonts w:ascii="Calibri" w:eastAsia="Times New Roman" w:hAnsi="Calibri" w:cs="Calibri"/>
                <w:color w:val="000000"/>
                <w:kern w:val="0"/>
                <w:sz w:val="16"/>
                <w:szCs w:val="16"/>
                <w:lang w:eastAsia="pl-PL"/>
                <w14:ligatures w14:val="none"/>
              </w:rPr>
              <w:t>%</w:t>
            </w:r>
          </w:p>
        </w:tc>
        <w:tc>
          <w:tcPr>
            <w:tcW w:w="780" w:type="dxa"/>
            <w:tcBorders>
              <w:top w:val="nil"/>
              <w:left w:val="nil"/>
              <w:bottom w:val="single" w:sz="4" w:space="0" w:color="auto"/>
              <w:right w:val="single" w:sz="4" w:space="0" w:color="auto"/>
            </w:tcBorders>
            <w:shd w:val="clear" w:color="auto" w:fill="auto"/>
            <w:vAlign w:val="center"/>
            <w:hideMark/>
          </w:tcPr>
          <w:p w14:paraId="536D6BA6" w14:textId="77777777"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27C79566" w14:textId="5DD5581B"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100</w:t>
            </w:r>
            <w:r w:rsidR="00E17D35">
              <w:rPr>
                <w:rFonts w:ascii="Calibri" w:eastAsia="Times New Roman" w:hAnsi="Calibri" w:cs="Calibri"/>
                <w:color w:val="000000"/>
                <w:kern w:val="0"/>
                <w:sz w:val="16"/>
                <w:szCs w:val="16"/>
                <w:lang w:eastAsia="pl-PL"/>
                <w14:ligatures w14:val="none"/>
              </w:rPr>
              <w:t>%</w:t>
            </w:r>
          </w:p>
        </w:tc>
        <w:tc>
          <w:tcPr>
            <w:tcW w:w="700" w:type="dxa"/>
            <w:tcBorders>
              <w:top w:val="nil"/>
              <w:left w:val="nil"/>
              <w:bottom w:val="single" w:sz="4" w:space="0" w:color="auto"/>
              <w:right w:val="single" w:sz="4" w:space="0" w:color="auto"/>
            </w:tcBorders>
            <w:shd w:val="clear" w:color="auto" w:fill="auto"/>
            <w:vAlign w:val="center"/>
            <w:hideMark/>
          </w:tcPr>
          <w:p w14:paraId="2EBB3895"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PS WPR</w:t>
            </w:r>
          </w:p>
        </w:tc>
      </w:tr>
      <w:tr w:rsidR="00BD17DA" w:rsidRPr="00BD17DA" w14:paraId="0BD8AF1A" w14:textId="77777777" w:rsidTr="00B70DF5">
        <w:trPr>
          <w:trHeight w:val="1245"/>
        </w:trPr>
        <w:tc>
          <w:tcPr>
            <w:tcW w:w="1601" w:type="dxa"/>
            <w:vMerge/>
            <w:tcBorders>
              <w:top w:val="nil"/>
              <w:left w:val="single" w:sz="4" w:space="0" w:color="auto"/>
              <w:bottom w:val="single" w:sz="4" w:space="0" w:color="000000"/>
              <w:right w:val="single" w:sz="4" w:space="0" w:color="auto"/>
            </w:tcBorders>
            <w:vAlign w:val="center"/>
            <w:hideMark/>
          </w:tcPr>
          <w:p w14:paraId="5D4F772F" w14:textId="77777777" w:rsidR="00BD17DA" w:rsidRPr="00BD17DA" w:rsidRDefault="00BD17DA" w:rsidP="00BD17DA">
            <w:pPr>
              <w:rPr>
                <w:rFonts w:ascii="Calibri" w:eastAsia="Times New Roman" w:hAnsi="Calibri" w:cs="Calibri"/>
                <w:color w:val="000000"/>
                <w:kern w:val="0"/>
                <w:sz w:val="16"/>
                <w:szCs w:val="16"/>
                <w:lang w:eastAsia="pl-PL"/>
                <w14:ligatures w14:val="none"/>
              </w:rPr>
            </w:pPr>
          </w:p>
        </w:tc>
        <w:tc>
          <w:tcPr>
            <w:tcW w:w="0" w:type="auto"/>
            <w:tcBorders>
              <w:top w:val="nil"/>
              <w:left w:val="nil"/>
              <w:bottom w:val="single" w:sz="4" w:space="0" w:color="auto"/>
              <w:right w:val="nil"/>
            </w:tcBorders>
            <w:shd w:val="clear" w:color="auto" w:fill="auto"/>
            <w:vAlign w:val="center"/>
            <w:hideMark/>
          </w:tcPr>
          <w:p w14:paraId="4C9C2874" w14:textId="13C51915"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2.1.3 Liczba operacji polegających na utworzeniu</w:t>
            </w:r>
            <w:r>
              <w:rPr>
                <w:rFonts w:ascii="Calibri" w:eastAsia="Times New Roman" w:hAnsi="Calibri" w:cs="Calibri"/>
                <w:color w:val="000000"/>
                <w:kern w:val="0"/>
                <w:sz w:val="16"/>
                <w:szCs w:val="16"/>
                <w:lang w:eastAsia="pl-PL"/>
                <w14:ligatures w14:val="none"/>
              </w:rPr>
              <w:t xml:space="preserve"> </w:t>
            </w:r>
            <w:r w:rsidRPr="00BD17DA">
              <w:rPr>
                <w:rFonts w:ascii="Calibri" w:eastAsia="Times New Roman" w:hAnsi="Calibri" w:cs="Calibri"/>
                <w:color w:val="000000"/>
                <w:kern w:val="0"/>
                <w:sz w:val="16"/>
                <w:szCs w:val="16"/>
                <w:lang w:eastAsia="pl-PL"/>
                <w14:ligatures w14:val="none"/>
              </w:rPr>
              <w:t>gospodarstw agroturystycznych i zagród edukacyjnych.</w:t>
            </w:r>
          </w:p>
        </w:tc>
        <w:tc>
          <w:tcPr>
            <w:tcW w:w="780" w:type="dxa"/>
            <w:tcBorders>
              <w:top w:val="nil"/>
              <w:left w:val="single" w:sz="4" w:space="0" w:color="auto"/>
              <w:bottom w:val="single" w:sz="4" w:space="0" w:color="auto"/>
              <w:right w:val="single" w:sz="4" w:space="0" w:color="auto"/>
            </w:tcBorders>
            <w:shd w:val="clear" w:color="auto" w:fill="auto"/>
            <w:vAlign w:val="center"/>
            <w:hideMark/>
          </w:tcPr>
          <w:p w14:paraId="1DC8D6F0" w14:textId="77777777"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3CEA8523" w14:textId="77777777"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0C02624A" w14:textId="36D9F793" w:rsidR="00B70DF5" w:rsidRPr="00C406F6" w:rsidRDefault="00B70DF5" w:rsidP="00BD17DA">
            <w:pPr>
              <w:jc w:val="center"/>
              <w:rPr>
                <w:rFonts w:ascii="Calibri" w:eastAsia="Times New Roman" w:hAnsi="Calibri" w:cs="Calibri"/>
                <w:kern w:val="0"/>
                <w:sz w:val="16"/>
                <w:szCs w:val="16"/>
                <w:lang w:eastAsia="pl-PL"/>
                <w14:ligatures w14:val="none"/>
              </w:rPr>
            </w:pPr>
            <w:r w:rsidRPr="00C406F6">
              <w:rPr>
                <w:rFonts w:ascii="Calibri" w:eastAsia="Times New Roman" w:hAnsi="Calibri" w:cs="Calibri"/>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52816ACD" w14:textId="6894B47B" w:rsidR="00B70DF5" w:rsidRPr="00C406F6" w:rsidRDefault="00B70DF5" w:rsidP="00BD17DA">
            <w:pPr>
              <w:jc w:val="center"/>
              <w:rPr>
                <w:rFonts w:ascii="Calibri" w:eastAsia="Times New Roman" w:hAnsi="Calibri" w:cs="Calibri"/>
                <w:kern w:val="0"/>
                <w:sz w:val="16"/>
                <w:szCs w:val="16"/>
                <w:lang w:eastAsia="pl-PL"/>
                <w14:ligatures w14:val="none"/>
              </w:rPr>
            </w:pPr>
            <w:r w:rsidRPr="00C406F6">
              <w:rPr>
                <w:rFonts w:ascii="Calibri" w:eastAsia="Times New Roman" w:hAnsi="Calibri" w:cs="Calibri"/>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49EB23F9" w14:textId="60C75C37" w:rsidR="00BD17DA" w:rsidRPr="00C406F6" w:rsidRDefault="00B70DF5" w:rsidP="00BD17DA">
            <w:pPr>
              <w:jc w:val="center"/>
              <w:rPr>
                <w:rFonts w:ascii="Calibri" w:eastAsia="Times New Roman" w:hAnsi="Calibri" w:cs="Calibri"/>
                <w:kern w:val="0"/>
                <w:sz w:val="16"/>
                <w:szCs w:val="16"/>
                <w:lang w:eastAsia="pl-PL"/>
                <w14:ligatures w14:val="none"/>
              </w:rPr>
            </w:pPr>
            <w:r w:rsidRPr="00995AB5">
              <w:rPr>
                <w:rFonts w:ascii="Calibri" w:eastAsia="Times New Roman" w:hAnsi="Calibri" w:cs="Calibri"/>
                <w:strike/>
                <w:color w:val="FF0000"/>
                <w:kern w:val="0"/>
                <w:sz w:val="16"/>
                <w:szCs w:val="16"/>
                <w:lang w:eastAsia="pl-PL"/>
                <w14:ligatures w14:val="none"/>
              </w:rPr>
              <w:t>2</w:t>
            </w:r>
            <w:r w:rsidRPr="00C406F6">
              <w:rPr>
                <w:rFonts w:ascii="Calibri" w:eastAsia="Times New Roman" w:hAnsi="Calibri" w:cs="Calibri"/>
                <w:kern w:val="0"/>
                <w:sz w:val="16"/>
                <w:szCs w:val="16"/>
                <w:lang w:eastAsia="pl-PL"/>
                <w14:ligatures w14:val="none"/>
              </w:rPr>
              <w:t xml:space="preserve"> </w:t>
            </w:r>
            <w:r w:rsidR="00995AB5" w:rsidRPr="00995AB5">
              <w:rPr>
                <w:rFonts w:ascii="Calibri" w:eastAsia="Times New Roman" w:hAnsi="Calibri" w:cs="Calibri"/>
                <w:color w:val="00B050"/>
                <w:kern w:val="0"/>
                <w:sz w:val="16"/>
                <w:szCs w:val="16"/>
                <w:lang w:eastAsia="pl-PL"/>
                <w14:ligatures w14:val="none"/>
              </w:rPr>
              <w:t>3</w:t>
            </w:r>
            <w:r w:rsidR="00995AB5">
              <w:rPr>
                <w:rFonts w:ascii="Calibri" w:eastAsia="Times New Roman" w:hAnsi="Calibri" w:cs="Calibri"/>
                <w:kern w:val="0"/>
                <w:sz w:val="16"/>
                <w:szCs w:val="16"/>
                <w:lang w:eastAsia="pl-PL"/>
                <w14:ligatures w14:val="none"/>
              </w:rPr>
              <w:t xml:space="preserve"> </w:t>
            </w:r>
            <w:r w:rsidRPr="00C406F6">
              <w:rPr>
                <w:rFonts w:ascii="Calibri" w:eastAsia="Times New Roman" w:hAnsi="Calibri" w:cs="Calibri"/>
                <w:kern w:val="0"/>
                <w:sz w:val="16"/>
                <w:szCs w:val="16"/>
                <w:lang w:eastAsia="pl-PL"/>
                <w14:ligatures w14:val="none"/>
              </w:rPr>
              <w:t>sztuki</w:t>
            </w:r>
          </w:p>
        </w:tc>
        <w:tc>
          <w:tcPr>
            <w:tcW w:w="780" w:type="dxa"/>
            <w:tcBorders>
              <w:top w:val="nil"/>
              <w:left w:val="nil"/>
              <w:bottom w:val="single" w:sz="4" w:space="0" w:color="auto"/>
              <w:right w:val="single" w:sz="4" w:space="0" w:color="auto"/>
            </w:tcBorders>
            <w:shd w:val="clear" w:color="auto" w:fill="auto"/>
            <w:vAlign w:val="center"/>
            <w:hideMark/>
          </w:tcPr>
          <w:p w14:paraId="5CCFD7B4" w14:textId="1B738EC2"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100</w:t>
            </w:r>
            <w:r w:rsidR="00E17D35">
              <w:rPr>
                <w:rFonts w:ascii="Calibri" w:eastAsia="Times New Roman" w:hAnsi="Calibri" w:cs="Calibri"/>
                <w:color w:val="000000"/>
                <w:kern w:val="0"/>
                <w:sz w:val="16"/>
                <w:szCs w:val="16"/>
                <w:lang w:eastAsia="pl-PL"/>
                <w14:ligatures w14:val="none"/>
              </w:rPr>
              <w:t>%</w:t>
            </w:r>
          </w:p>
        </w:tc>
        <w:tc>
          <w:tcPr>
            <w:tcW w:w="780" w:type="dxa"/>
            <w:tcBorders>
              <w:top w:val="nil"/>
              <w:left w:val="nil"/>
              <w:bottom w:val="single" w:sz="4" w:space="0" w:color="auto"/>
              <w:right w:val="single" w:sz="4" w:space="0" w:color="auto"/>
            </w:tcBorders>
            <w:shd w:val="clear" w:color="auto" w:fill="auto"/>
            <w:vAlign w:val="center"/>
            <w:hideMark/>
          </w:tcPr>
          <w:p w14:paraId="2C9302D6" w14:textId="77777777"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1EE09B8B" w14:textId="4994889E"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100</w:t>
            </w:r>
            <w:r w:rsidR="00E17D35">
              <w:rPr>
                <w:rFonts w:ascii="Calibri" w:eastAsia="Times New Roman" w:hAnsi="Calibri" w:cs="Calibri"/>
                <w:color w:val="000000"/>
                <w:kern w:val="0"/>
                <w:sz w:val="16"/>
                <w:szCs w:val="16"/>
                <w:lang w:eastAsia="pl-PL"/>
                <w14:ligatures w14:val="none"/>
              </w:rPr>
              <w:t>%</w:t>
            </w:r>
          </w:p>
        </w:tc>
        <w:tc>
          <w:tcPr>
            <w:tcW w:w="780" w:type="dxa"/>
            <w:tcBorders>
              <w:top w:val="nil"/>
              <w:left w:val="nil"/>
              <w:bottom w:val="single" w:sz="4" w:space="0" w:color="auto"/>
              <w:right w:val="single" w:sz="4" w:space="0" w:color="auto"/>
            </w:tcBorders>
            <w:shd w:val="clear" w:color="auto" w:fill="auto"/>
            <w:vAlign w:val="center"/>
            <w:hideMark/>
          </w:tcPr>
          <w:p w14:paraId="29BBE822" w14:textId="77777777"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28C52284" w14:textId="36D46367"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100</w:t>
            </w:r>
            <w:r w:rsidR="00E17D35">
              <w:rPr>
                <w:rFonts w:ascii="Calibri" w:eastAsia="Times New Roman" w:hAnsi="Calibri" w:cs="Calibri"/>
                <w:color w:val="000000"/>
                <w:kern w:val="0"/>
                <w:sz w:val="16"/>
                <w:szCs w:val="16"/>
                <w:lang w:eastAsia="pl-PL"/>
                <w14:ligatures w14:val="none"/>
              </w:rPr>
              <w:t>%</w:t>
            </w:r>
          </w:p>
        </w:tc>
        <w:tc>
          <w:tcPr>
            <w:tcW w:w="780" w:type="dxa"/>
            <w:tcBorders>
              <w:top w:val="nil"/>
              <w:left w:val="nil"/>
              <w:bottom w:val="single" w:sz="4" w:space="0" w:color="auto"/>
              <w:right w:val="single" w:sz="4" w:space="0" w:color="auto"/>
            </w:tcBorders>
            <w:shd w:val="clear" w:color="auto" w:fill="auto"/>
            <w:vAlign w:val="center"/>
            <w:hideMark/>
          </w:tcPr>
          <w:p w14:paraId="2DC9E457" w14:textId="77777777"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3549B4E6" w14:textId="5CA1DEC5"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100</w:t>
            </w:r>
            <w:r w:rsidR="00E17D35">
              <w:rPr>
                <w:rFonts w:ascii="Calibri" w:eastAsia="Times New Roman" w:hAnsi="Calibri" w:cs="Calibri"/>
                <w:color w:val="000000"/>
                <w:kern w:val="0"/>
                <w:sz w:val="16"/>
                <w:szCs w:val="16"/>
                <w:lang w:eastAsia="pl-PL"/>
                <w14:ligatures w14:val="none"/>
              </w:rPr>
              <w:t>%</w:t>
            </w:r>
          </w:p>
        </w:tc>
        <w:tc>
          <w:tcPr>
            <w:tcW w:w="700" w:type="dxa"/>
            <w:tcBorders>
              <w:top w:val="nil"/>
              <w:left w:val="nil"/>
              <w:bottom w:val="single" w:sz="4" w:space="0" w:color="auto"/>
              <w:right w:val="single" w:sz="4" w:space="0" w:color="auto"/>
            </w:tcBorders>
            <w:shd w:val="clear" w:color="auto" w:fill="auto"/>
            <w:vAlign w:val="center"/>
            <w:hideMark/>
          </w:tcPr>
          <w:p w14:paraId="67ADA67B"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PS WPR</w:t>
            </w:r>
          </w:p>
        </w:tc>
      </w:tr>
      <w:tr w:rsidR="00B70DF5" w:rsidRPr="00BD17DA" w14:paraId="6B643CA6" w14:textId="77777777" w:rsidTr="00B70DF5">
        <w:trPr>
          <w:trHeight w:val="1095"/>
        </w:trPr>
        <w:tc>
          <w:tcPr>
            <w:tcW w:w="1601" w:type="dxa"/>
            <w:vMerge/>
            <w:tcBorders>
              <w:top w:val="nil"/>
              <w:left w:val="single" w:sz="4" w:space="0" w:color="auto"/>
              <w:bottom w:val="single" w:sz="4" w:space="0" w:color="000000"/>
              <w:right w:val="single" w:sz="4" w:space="0" w:color="auto"/>
            </w:tcBorders>
            <w:vAlign w:val="center"/>
            <w:hideMark/>
          </w:tcPr>
          <w:p w14:paraId="12C239F0" w14:textId="77777777" w:rsidR="00B70DF5" w:rsidRPr="00BD17DA" w:rsidRDefault="00B70DF5" w:rsidP="00BD17DA">
            <w:pPr>
              <w:rPr>
                <w:rFonts w:ascii="Calibri" w:eastAsia="Times New Roman" w:hAnsi="Calibri" w:cs="Calibri"/>
                <w:color w:val="000000"/>
                <w:kern w:val="0"/>
                <w:sz w:val="16"/>
                <w:szCs w:val="16"/>
                <w:lang w:eastAsia="pl-PL"/>
                <w14:ligatures w14:val="none"/>
              </w:rPr>
            </w:pPr>
          </w:p>
        </w:tc>
        <w:tc>
          <w:tcPr>
            <w:tcW w:w="0" w:type="auto"/>
            <w:tcBorders>
              <w:top w:val="nil"/>
              <w:left w:val="nil"/>
              <w:bottom w:val="single" w:sz="4" w:space="0" w:color="auto"/>
              <w:right w:val="nil"/>
            </w:tcBorders>
            <w:shd w:val="clear" w:color="auto" w:fill="auto"/>
            <w:vAlign w:val="center"/>
            <w:hideMark/>
          </w:tcPr>
          <w:p w14:paraId="40355639" w14:textId="09715CD6" w:rsidR="00B70DF5" w:rsidRPr="00995AB5" w:rsidRDefault="00B70DF5" w:rsidP="00C406F6">
            <w:pPr>
              <w:rPr>
                <w:rFonts w:ascii="Calibri" w:eastAsia="Times New Roman" w:hAnsi="Calibri" w:cs="Calibri"/>
                <w:strike/>
                <w:color w:val="FF0000"/>
                <w:kern w:val="0"/>
                <w:sz w:val="16"/>
                <w:szCs w:val="16"/>
                <w:lang w:eastAsia="pl-PL"/>
                <w14:ligatures w14:val="none"/>
              </w:rPr>
            </w:pPr>
            <w:r w:rsidRPr="00995AB5">
              <w:rPr>
                <w:rFonts w:ascii="Calibri" w:eastAsia="Times New Roman" w:hAnsi="Calibri" w:cs="Calibri"/>
                <w:strike/>
                <w:color w:val="FF0000"/>
                <w:kern w:val="0"/>
                <w:sz w:val="16"/>
                <w:szCs w:val="16"/>
                <w:lang w:eastAsia="pl-PL"/>
                <w14:ligatures w14:val="none"/>
              </w:rPr>
              <w:t xml:space="preserve">2.1.4 Liczba operacji polegających na rozwoju gospodarstw agroturystycznych </w:t>
            </w:r>
          </w:p>
        </w:tc>
        <w:tc>
          <w:tcPr>
            <w:tcW w:w="780" w:type="dxa"/>
            <w:tcBorders>
              <w:top w:val="nil"/>
              <w:left w:val="single" w:sz="4" w:space="0" w:color="auto"/>
              <w:bottom w:val="single" w:sz="4" w:space="0" w:color="auto"/>
              <w:right w:val="single" w:sz="4" w:space="0" w:color="auto"/>
            </w:tcBorders>
            <w:shd w:val="clear" w:color="auto" w:fill="auto"/>
            <w:vAlign w:val="center"/>
            <w:hideMark/>
          </w:tcPr>
          <w:p w14:paraId="59399EB9" w14:textId="77777777" w:rsidR="00B70DF5" w:rsidRPr="00995AB5" w:rsidRDefault="00B70DF5" w:rsidP="00BD17DA">
            <w:pPr>
              <w:jc w:val="center"/>
              <w:rPr>
                <w:rFonts w:ascii="Calibri" w:eastAsia="Times New Roman" w:hAnsi="Calibri" w:cs="Calibri"/>
                <w:strike/>
                <w:color w:val="FF0000"/>
                <w:kern w:val="0"/>
                <w:sz w:val="16"/>
                <w:szCs w:val="16"/>
                <w:lang w:eastAsia="pl-PL"/>
                <w14:ligatures w14:val="none"/>
              </w:rPr>
            </w:pPr>
            <w:r w:rsidRPr="00995AB5">
              <w:rPr>
                <w:rFonts w:ascii="Calibri" w:eastAsia="Times New Roman" w:hAnsi="Calibri" w:cs="Calibri"/>
                <w:strike/>
                <w:color w:val="FF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128B0D21" w14:textId="77777777" w:rsidR="00B70DF5" w:rsidRPr="00995AB5" w:rsidRDefault="00B70DF5" w:rsidP="00BD17DA">
            <w:pPr>
              <w:jc w:val="center"/>
              <w:rPr>
                <w:rFonts w:ascii="Calibri" w:eastAsia="Times New Roman" w:hAnsi="Calibri" w:cs="Calibri"/>
                <w:strike/>
                <w:color w:val="FF0000"/>
                <w:kern w:val="0"/>
                <w:sz w:val="16"/>
                <w:szCs w:val="16"/>
                <w:lang w:eastAsia="pl-PL"/>
                <w14:ligatures w14:val="none"/>
              </w:rPr>
            </w:pPr>
            <w:r w:rsidRPr="00995AB5">
              <w:rPr>
                <w:rFonts w:ascii="Calibri" w:eastAsia="Times New Roman" w:hAnsi="Calibri" w:cs="Calibri"/>
                <w:strike/>
                <w:color w:val="FF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7B83705E" w14:textId="2B2269AD" w:rsidR="00B70DF5" w:rsidRPr="00995AB5" w:rsidRDefault="00B70DF5" w:rsidP="00BD17DA">
            <w:pPr>
              <w:jc w:val="center"/>
              <w:rPr>
                <w:rFonts w:ascii="Calibri" w:eastAsia="Times New Roman" w:hAnsi="Calibri" w:cs="Calibri"/>
                <w:strike/>
                <w:color w:val="FF0000"/>
                <w:kern w:val="0"/>
                <w:sz w:val="16"/>
                <w:szCs w:val="16"/>
                <w:lang w:eastAsia="pl-PL"/>
                <w14:ligatures w14:val="none"/>
              </w:rPr>
            </w:pPr>
            <w:r w:rsidRPr="00995AB5">
              <w:rPr>
                <w:rFonts w:ascii="Calibri" w:eastAsia="Times New Roman" w:hAnsi="Calibri" w:cs="Calibri"/>
                <w:strike/>
                <w:color w:val="FF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7C7ACDFD" w14:textId="301ABE6C" w:rsidR="00B70DF5" w:rsidRPr="00995AB5" w:rsidRDefault="00B70DF5" w:rsidP="00BD17DA">
            <w:pPr>
              <w:jc w:val="center"/>
              <w:rPr>
                <w:rFonts w:ascii="Calibri" w:eastAsia="Times New Roman" w:hAnsi="Calibri" w:cs="Calibri"/>
                <w:strike/>
                <w:color w:val="FF0000"/>
                <w:kern w:val="0"/>
                <w:sz w:val="16"/>
                <w:szCs w:val="16"/>
                <w:lang w:eastAsia="pl-PL"/>
                <w14:ligatures w14:val="none"/>
              </w:rPr>
            </w:pPr>
            <w:r w:rsidRPr="00995AB5">
              <w:rPr>
                <w:rFonts w:ascii="Calibri" w:eastAsia="Times New Roman" w:hAnsi="Calibri" w:cs="Calibri"/>
                <w:strike/>
                <w:color w:val="FF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0E3D6F41" w14:textId="2C75528A" w:rsidR="00B70DF5" w:rsidRPr="00995AB5" w:rsidRDefault="00B70DF5" w:rsidP="00BD17DA">
            <w:pPr>
              <w:jc w:val="center"/>
              <w:rPr>
                <w:rFonts w:ascii="Calibri" w:eastAsia="Times New Roman" w:hAnsi="Calibri" w:cs="Calibri"/>
                <w:strike/>
                <w:color w:val="FF0000"/>
                <w:kern w:val="0"/>
                <w:sz w:val="16"/>
                <w:szCs w:val="16"/>
                <w:lang w:eastAsia="pl-PL"/>
                <w14:ligatures w14:val="none"/>
              </w:rPr>
            </w:pPr>
            <w:r w:rsidRPr="00995AB5">
              <w:rPr>
                <w:rFonts w:ascii="Calibri" w:eastAsia="Times New Roman" w:hAnsi="Calibri" w:cs="Calibri"/>
                <w:strike/>
                <w:color w:val="FF0000"/>
                <w:kern w:val="0"/>
                <w:sz w:val="16"/>
                <w:szCs w:val="16"/>
                <w:lang w:eastAsia="pl-PL"/>
                <w14:ligatures w14:val="none"/>
              </w:rPr>
              <w:t>2 sztuki</w:t>
            </w:r>
          </w:p>
        </w:tc>
        <w:tc>
          <w:tcPr>
            <w:tcW w:w="780" w:type="dxa"/>
            <w:tcBorders>
              <w:top w:val="nil"/>
              <w:left w:val="nil"/>
              <w:bottom w:val="single" w:sz="4" w:space="0" w:color="auto"/>
              <w:right w:val="single" w:sz="4" w:space="0" w:color="auto"/>
            </w:tcBorders>
            <w:shd w:val="clear" w:color="auto" w:fill="auto"/>
            <w:vAlign w:val="center"/>
            <w:hideMark/>
          </w:tcPr>
          <w:p w14:paraId="65E1CC54" w14:textId="59F0057D" w:rsidR="00B70DF5" w:rsidRPr="00995AB5" w:rsidRDefault="00B70DF5" w:rsidP="00BD17DA">
            <w:pPr>
              <w:jc w:val="center"/>
              <w:rPr>
                <w:rFonts w:ascii="Calibri" w:eastAsia="Times New Roman" w:hAnsi="Calibri" w:cs="Calibri"/>
                <w:strike/>
                <w:color w:val="FF0000"/>
                <w:kern w:val="0"/>
                <w:sz w:val="16"/>
                <w:szCs w:val="16"/>
                <w:lang w:eastAsia="pl-PL"/>
                <w14:ligatures w14:val="none"/>
              </w:rPr>
            </w:pPr>
            <w:r w:rsidRPr="00995AB5">
              <w:rPr>
                <w:rFonts w:ascii="Calibri" w:eastAsia="Times New Roman" w:hAnsi="Calibri" w:cs="Calibri"/>
                <w:strike/>
                <w:color w:val="FF0000"/>
                <w:kern w:val="0"/>
                <w:sz w:val="16"/>
                <w:szCs w:val="16"/>
                <w:lang w:eastAsia="pl-PL"/>
                <w14:ligatures w14:val="none"/>
              </w:rPr>
              <w:t>100%</w:t>
            </w:r>
          </w:p>
        </w:tc>
        <w:tc>
          <w:tcPr>
            <w:tcW w:w="780" w:type="dxa"/>
            <w:tcBorders>
              <w:top w:val="nil"/>
              <w:left w:val="nil"/>
              <w:bottom w:val="single" w:sz="4" w:space="0" w:color="auto"/>
              <w:right w:val="single" w:sz="4" w:space="0" w:color="auto"/>
            </w:tcBorders>
            <w:shd w:val="clear" w:color="auto" w:fill="auto"/>
            <w:vAlign w:val="center"/>
            <w:hideMark/>
          </w:tcPr>
          <w:p w14:paraId="2268A9CE" w14:textId="77777777" w:rsidR="00B70DF5" w:rsidRPr="00995AB5" w:rsidRDefault="00B70DF5" w:rsidP="00F10EC2">
            <w:pPr>
              <w:jc w:val="center"/>
              <w:rPr>
                <w:rFonts w:ascii="Calibri" w:eastAsia="Times New Roman" w:hAnsi="Calibri" w:cs="Calibri"/>
                <w:strike/>
                <w:color w:val="FF0000"/>
                <w:kern w:val="0"/>
                <w:sz w:val="16"/>
                <w:szCs w:val="16"/>
                <w:lang w:eastAsia="pl-PL"/>
                <w14:ligatures w14:val="none"/>
              </w:rPr>
            </w:pPr>
            <w:r w:rsidRPr="00995AB5">
              <w:rPr>
                <w:rFonts w:ascii="Calibri" w:eastAsia="Times New Roman" w:hAnsi="Calibri" w:cs="Calibri"/>
                <w:strike/>
                <w:color w:val="FF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2446FDE8" w14:textId="680F6ABE" w:rsidR="00B70DF5" w:rsidRPr="00995AB5" w:rsidRDefault="00B70DF5" w:rsidP="00BD17DA">
            <w:pPr>
              <w:jc w:val="center"/>
              <w:rPr>
                <w:rFonts w:ascii="Calibri" w:eastAsia="Times New Roman" w:hAnsi="Calibri" w:cs="Calibri"/>
                <w:strike/>
                <w:color w:val="FF0000"/>
                <w:kern w:val="0"/>
                <w:sz w:val="16"/>
                <w:szCs w:val="16"/>
                <w:lang w:eastAsia="pl-PL"/>
                <w14:ligatures w14:val="none"/>
              </w:rPr>
            </w:pPr>
            <w:r w:rsidRPr="00995AB5">
              <w:rPr>
                <w:rFonts w:ascii="Calibri" w:eastAsia="Times New Roman" w:hAnsi="Calibri" w:cs="Calibri"/>
                <w:strike/>
                <w:color w:val="FF0000"/>
                <w:kern w:val="0"/>
                <w:sz w:val="16"/>
                <w:szCs w:val="16"/>
                <w:lang w:eastAsia="pl-PL"/>
                <w14:ligatures w14:val="none"/>
              </w:rPr>
              <w:t>100%</w:t>
            </w:r>
          </w:p>
        </w:tc>
        <w:tc>
          <w:tcPr>
            <w:tcW w:w="780" w:type="dxa"/>
            <w:tcBorders>
              <w:top w:val="nil"/>
              <w:left w:val="nil"/>
              <w:bottom w:val="single" w:sz="4" w:space="0" w:color="auto"/>
              <w:right w:val="single" w:sz="4" w:space="0" w:color="auto"/>
            </w:tcBorders>
            <w:shd w:val="clear" w:color="auto" w:fill="auto"/>
            <w:vAlign w:val="center"/>
            <w:hideMark/>
          </w:tcPr>
          <w:p w14:paraId="52877E5A" w14:textId="77777777" w:rsidR="00B70DF5" w:rsidRPr="00995AB5" w:rsidRDefault="00B70DF5" w:rsidP="00BD17DA">
            <w:pPr>
              <w:jc w:val="center"/>
              <w:rPr>
                <w:rFonts w:ascii="Calibri" w:eastAsia="Times New Roman" w:hAnsi="Calibri" w:cs="Calibri"/>
                <w:strike/>
                <w:color w:val="FF0000"/>
                <w:kern w:val="0"/>
                <w:sz w:val="16"/>
                <w:szCs w:val="16"/>
                <w:lang w:eastAsia="pl-PL"/>
                <w14:ligatures w14:val="none"/>
              </w:rPr>
            </w:pPr>
            <w:r w:rsidRPr="00995AB5">
              <w:rPr>
                <w:rFonts w:ascii="Calibri" w:eastAsia="Times New Roman" w:hAnsi="Calibri" w:cs="Calibri"/>
                <w:strike/>
                <w:color w:val="FF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33073111" w14:textId="327EEF2A" w:rsidR="00B70DF5" w:rsidRPr="00995AB5" w:rsidRDefault="00B70DF5" w:rsidP="00BD17DA">
            <w:pPr>
              <w:jc w:val="center"/>
              <w:rPr>
                <w:rFonts w:ascii="Calibri" w:eastAsia="Times New Roman" w:hAnsi="Calibri" w:cs="Calibri"/>
                <w:strike/>
                <w:color w:val="FF0000"/>
                <w:kern w:val="0"/>
                <w:sz w:val="16"/>
                <w:szCs w:val="16"/>
                <w:lang w:eastAsia="pl-PL"/>
                <w14:ligatures w14:val="none"/>
              </w:rPr>
            </w:pPr>
            <w:r w:rsidRPr="00995AB5">
              <w:rPr>
                <w:rFonts w:ascii="Calibri" w:eastAsia="Times New Roman" w:hAnsi="Calibri" w:cs="Calibri"/>
                <w:strike/>
                <w:color w:val="FF0000"/>
                <w:kern w:val="0"/>
                <w:sz w:val="16"/>
                <w:szCs w:val="16"/>
                <w:lang w:eastAsia="pl-PL"/>
                <w14:ligatures w14:val="none"/>
              </w:rPr>
              <w:t>100%</w:t>
            </w:r>
          </w:p>
        </w:tc>
        <w:tc>
          <w:tcPr>
            <w:tcW w:w="780" w:type="dxa"/>
            <w:tcBorders>
              <w:top w:val="nil"/>
              <w:left w:val="nil"/>
              <w:bottom w:val="single" w:sz="4" w:space="0" w:color="auto"/>
              <w:right w:val="single" w:sz="4" w:space="0" w:color="auto"/>
            </w:tcBorders>
            <w:shd w:val="clear" w:color="auto" w:fill="auto"/>
            <w:vAlign w:val="center"/>
            <w:hideMark/>
          </w:tcPr>
          <w:p w14:paraId="35F22202" w14:textId="77777777" w:rsidR="00B70DF5" w:rsidRPr="00995AB5" w:rsidRDefault="00B70DF5" w:rsidP="00BD17DA">
            <w:pPr>
              <w:jc w:val="center"/>
              <w:rPr>
                <w:rFonts w:ascii="Calibri" w:eastAsia="Times New Roman" w:hAnsi="Calibri" w:cs="Calibri"/>
                <w:strike/>
                <w:color w:val="FF0000"/>
                <w:kern w:val="0"/>
                <w:sz w:val="16"/>
                <w:szCs w:val="16"/>
                <w:lang w:eastAsia="pl-PL"/>
                <w14:ligatures w14:val="none"/>
              </w:rPr>
            </w:pPr>
            <w:r w:rsidRPr="00995AB5">
              <w:rPr>
                <w:rFonts w:ascii="Calibri" w:eastAsia="Times New Roman" w:hAnsi="Calibri" w:cs="Calibri"/>
                <w:strike/>
                <w:color w:val="FF0000"/>
                <w:kern w:val="0"/>
                <w:sz w:val="16"/>
                <w:szCs w:val="16"/>
                <w:lang w:eastAsia="pl-PL"/>
                <w14:ligatures w14:val="none"/>
              </w:rPr>
              <w:t>0</w:t>
            </w:r>
          </w:p>
        </w:tc>
        <w:tc>
          <w:tcPr>
            <w:tcW w:w="780" w:type="dxa"/>
            <w:tcBorders>
              <w:top w:val="nil"/>
              <w:left w:val="nil"/>
              <w:bottom w:val="single" w:sz="4" w:space="0" w:color="auto"/>
              <w:right w:val="single" w:sz="4" w:space="0" w:color="auto"/>
            </w:tcBorders>
            <w:shd w:val="clear" w:color="auto" w:fill="auto"/>
            <w:vAlign w:val="center"/>
            <w:hideMark/>
          </w:tcPr>
          <w:p w14:paraId="250F6F7C" w14:textId="4AA9E690" w:rsidR="00B70DF5" w:rsidRPr="00995AB5" w:rsidRDefault="00B70DF5" w:rsidP="00BD17DA">
            <w:pPr>
              <w:jc w:val="center"/>
              <w:rPr>
                <w:rFonts w:ascii="Calibri" w:eastAsia="Times New Roman" w:hAnsi="Calibri" w:cs="Calibri"/>
                <w:strike/>
                <w:color w:val="FF0000"/>
                <w:kern w:val="0"/>
                <w:sz w:val="16"/>
                <w:szCs w:val="16"/>
                <w:lang w:eastAsia="pl-PL"/>
                <w14:ligatures w14:val="none"/>
              </w:rPr>
            </w:pPr>
            <w:r w:rsidRPr="00995AB5">
              <w:rPr>
                <w:rFonts w:ascii="Calibri" w:eastAsia="Times New Roman" w:hAnsi="Calibri" w:cs="Calibri"/>
                <w:strike/>
                <w:color w:val="FF0000"/>
                <w:kern w:val="0"/>
                <w:sz w:val="16"/>
                <w:szCs w:val="16"/>
                <w:lang w:eastAsia="pl-PL"/>
                <w14:ligatures w14:val="none"/>
              </w:rPr>
              <w:t>100%</w:t>
            </w:r>
          </w:p>
        </w:tc>
        <w:tc>
          <w:tcPr>
            <w:tcW w:w="700" w:type="dxa"/>
            <w:tcBorders>
              <w:top w:val="nil"/>
              <w:left w:val="nil"/>
              <w:bottom w:val="single" w:sz="4" w:space="0" w:color="auto"/>
              <w:right w:val="single" w:sz="4" w:space="0" w:color="auto"/>
            </w:tcBorders>
            <w:shd w:val="clear" w:color="auto" w:fill="auto"/>
            <w:vAlign w:val="center"/>
            <w:hideMark/>
          </w:tcPr>
          <w:p w14:paraId="5C34A9D5" w14:textId="77777777" w:rsidR="00B70DF5" w:rsidRPr="00995AB5" w:rsidRDefault="00B70DF5" w:rsidP="00BD17DA">
            <w:pPr>
              <w:rPr>
                <w:rFonts w:ascii="Calibri" w:eastAsia="Times New Roman" w:hAnsi="Calibri" w:cs="Calibri"/>
                <w:strike/>
                <w:color w:val="FF0000"/>
                <w:kern w:val="0"/>
                <w:sz w:val="16"/>
                <w:szCs w:val="16"/>
                <w:lang w:eastAsia="pl-PL"/>
                <w14:ligatures w14:val="none"/>
              </w:rPr>
            </w:pPr>
            <w:r w:rsidRPr="00995AB5">
              <w:rPr>
                <w:rFonts w:ascii="Calibri" w:eastAsia="Times New Roman" w:hAnsi="Calibri" w:cs="Calibri"/>
                <w:strike/>
                <w:color w:val="FF0000"/>
                <w:kern w:val="0"/>
                <w:sz w:val="16"/>
                <w:szCs w:val="16"/>
                <w:lang w:eastAsia="pl-PL"/>
                <w14:ligatures w14:val="none"/>
              </w:rPr>
              <w:t>PS WPR</w:t>
            </w:r>
          </w:p>
        </w:tc>
      </w:tr>
      <w:tr w:rsidR="00BD17DA" w:rsidRPr="00BD17DA" w14:paraId="4582BB67" w14:textId="77777777" w:rsidTr="00B70DF5">
        <w:trPr>
          <w:trHeight w:val="1155"/>
        </w:trPr>
        <w:tc>
          <w:tcPr>
            <w:tcW w:w="1601" w:type="dxa"/>
            <w:tcBorders>
              <w:top w:val="nil"/>
              <w:left w:val="single" w:sz="4" w:space="0" w:color="auto"/>
              <w:bottom w:val="single" w:sz="4" w:space="0" w:color="auto"/>
              <w:right w:val="single" w:sz="4" w:space="0" w:color="auto"/>
            </w:tcBorders>
            <w:shd w:val="clear" w:color="000000" w:fill="FFD5B9"/>
            <w:vAlign w:val="center"/>
            <w:hideMark/>
          </w:tcPr>
          <w:p w14:paraId="7F779833"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Wskaźnik rezultatu 2.1.1</w:t>
            </w:r>
          </w:p>
        </w:tc>
        <w:tc>
          <w:tcPr>
            <w:tcW w:w="0" w:type="auto"/>
            <w:tcBorders>
              <w:top w:val="nil"/>
              <w:left w:val="nil"/>
              <w:bottom w:val="single" w:sz="4" w:space="0" w:color="auto"/>
              <w:right w:val="nil"/>
            </w:tcBorders>
            <w:shd w:val="clear" w:color="auto" w:fill="auto"/>
            <w:vAlign w:val="center"/>
            <w:hideMark/>
          </w:tcPr>
          <w:p w14:paraId="2A16CBF3"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R.37 Wzrost gospodarczy i zatrudnienie na obszarach wiejskich: nowe miejsca pracy objęte wsparciem w ramach projektów WPR.</w:t>
            </w:r>
          </w:p>
        </w:tc>
        <w:tc>
          <w:tcPr>
            <w:tcW w:w="780" w:type="dxa"/>
            <w:tcBorders>
              <w:top w:val="nil"/>
              <w:left w:val="single" w:sz="4" w:space="0" w:color="auto"/>
              <w:bottom w:val="single" w:sz="4" w:space="0" w:color="auto"/>
              <w:right w:val="single" w:sz="4" w:space="0" w:color="auto"/>
            </w:tcBorders>
            <w:shd w:val="clear" w:color="auto" w:fill="auto"/>
            <w:vAlign w:val="center"/>
            <w:hideMark/>
          </w:tcPr>
          <w:p w14:paraId="479AE0A6" w14:textId="77777777" w:rsidR="00BD17DA" w:rsidRPr="00BD17DA" w:rsidRDefault="00BD17DA" w:rsidP="00F10EC2">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1BA92310"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single" w:sz="4" w:space="0" w:color="auto"/>
            </w:tcBorders>
            <w:shd w:val="clear" w:color="auto" w:fill="auto"/>
            <w:vAlign w:val="center"/>
            <w:hideMark/>
          </w:tcPr>
          <w:p w14:paraId="42B2DFB9" w14:textId="223B900E" w:rsidR="00BD17DA" w:rsidRPr="00BD17DA" w:rsidRDefault="00A90EBA" w:rsidP="00F10EC2">
            <w:pPr>
              <w:jc w:val="center"/>
              <w:rPr>
                <w:rFonts w:ascii="Calibri" w:eastAsia="Times New Roman" w:hAnsi="Calibri" w:cs="Calibri"/>
                <w:color w:val="000000"/>
                <w:kern w:val="0"/>
                <w:sz w:val="16"/>
                <w:szCs w:val="16"/>
                <w:lang w:eastAsia="pl-PL"/>
                <w14:ligatures w14:val="none"/>
              </w:rPr>
            </w:pPr>
            <w:r w:rsidRPr="00995AB5">
              <w:rPr>
                <w:rFonts w:ascii="Calibri" w:eastAsia="Times New Roman" w:hAnsi="Calibri" w:cs="Calibri"/>
                <w:strike/>
                <w:color w:val="FF0000"/>
                <w:kern w:val="0"/>
                <w:sz w:val="16"/>
                <w:szCs w:val="16"/>
                <w:lang w:eastAsia="pl-PL"/>
                <w14:ligatures w14:val="none"/>
              </w:rPr>
              <w:t>10</w:t>
            </w:r>
            <w:r w:rsidRPr="00995AB5">
              <w:rPr>
                <w:rFonts w:ascii="Calibri" w:eastAsia="Times New Roman" w:hAnsi="Calibri" w:cs="Calibri"/>
                <w:color w:val="00B050"/>
                <w:kern w:val="0"/>
                <w:sz w:val="16"/>
                <w:szCs w:val="16"/>
                <w:lang w:eastAsia="pl-PL"/>
                <w14:ligatures w14:val="none"/>
              </w:rPr>
              <w:t xml:space="preserve"> </w:t>
            </w:r>
            <w:r w:rsidR="00995AB5" w:rsidRPr="00995AB5">
              <w:rPr>
                <w:rFonts w:ascii="Calibri" w:eastAsia="Times New Roman" w:hAnsi="Calibri" w:cs="Calibri"/>
                <w:color w:val="00B050"/>
                <w:kern w:val="0"/>
                <w:sz w:val="16"/>
                <w:szCs w:val="16"/>
                <w:lang w:eastAsia="pl-PL"/>
                <w14:ligatures w14:val="none"/>
              </w:rPr>
              <w:t xml:space="preserve">6 </w:t>
            </w:r>
            <w:r w:rsidRPr="00A90EBA">
              <w:rPr>
                <w:rFonts w:ascii="Calibri" w:eastAsia="Times New Roman" w:hAnsi="Calibri" w:cs="Calibri"/>
                <w:color w:val="000000"/>
                <w:kern w:val="0"/>
                <w:sz w:val="16"/>
                <w:szCs w:val="16"/>
                <w:lang w:eastAsia="pl-PL"/>
                <w14:ligatures w14:val="none"/>
              </w:rPr>
              <w:t>sztuk</w:t>
            </w:r>
          </w:p>
        </w:tc>
        <w:tc>
          <w:tcPr>
            <w:tcW w:w="780"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633D9DE9"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single" w:sz="4" w:space="0" w:color="auto"/>
            </w:tcBorders>
            <w:shd w:val="clear" w:color="auto" w:fill="auto"/>
            <w:vAlign w:val="center"/>
            <w:hideMark/>
          </w:tcPr>
          <w:p w14:paraId="4DDFEE74" w14:textId="3435CD93" w:rsidR="00BD17DA" w:rsidRPr="00BD17DA" w:rsidRDefault="00A90EBA" w:rsidP="00A90EBA">
            <w:pPr>
              <w:jc w:val="center"/>
              <w:rPr>
                <w:rFonts w:ascii="Calibri" w:eastAsia="Times New Roman" w:hAnsi="Calibri" w:cs="Calibri"/>
                <w:color w:val="000000"/>
                <w:kern w:val="0"/>
                <w:sz w:val="16"/>
                <w:szCs w:val="16"/>
                <w:lang w:eastAsia="pl-PL"/>
                <w14:ligatures w14:val="none"/>
              </w:rPr>
            </w:pPr>
            <w:r>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22CBA6D1"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single" w:sz="4" w:space="0" w:color="auto"/>
            </w:tcBorders>
            <w:shd w:val="clear" w:color="auto" w:fill="auto"/>
            <w:vAlign w:val="center"/>
            <w:hideMark/>
          </w:tcPr>
          <w:p w14:paraId="79CB6F1F" w14:textId="57AEDF0D" w:rsidR="00BD17DA" w:rsidRPr="00995AB5" w:rsidRDefault="00BD17DA" w:rsidP="00F10EC2">
            <w:pPr>
              <w:jc w:val="center"/>
              <w:rPr>
                <w:rFonts w:ascii="Calibri" w:eastAsia="Times New Roman" w:hAnsi="Calibri" w:cs="Calibri"/>
                <w:strike/>
                <w:color w:val="000000"/>
                <w:kern w:val="0"/>
                <w:sz w:val="16"/>
                <w:szCs w:val="16"/>
                <w:lang w:eastAsia="pl-PL"/>
                <w14:ligatures w14:val="none"/>
              </w:rPr>
            </w:pPr>
            <w:r w:rsidRPr="00995AB5">
              <w:rPr>
                <w:rFonts w:ascii="Calibri" w:eastAsia="Times New Roman" w:hAnsi="Calibri" w:cs="Calibri"/>
                <w:strike/>
                <w:color w:val="FF0000"/>
                <w:kern w:val="0"/>
                <w:sz w:val="16"/>
                <w:szCs w:val="16"/>
                <w:lang w:eastAsia="pl-PL"/>
                <w14:ligatures w14:val="none"/>
              </w:rPr>
              <w:t>0</w:t>
            </w:r>
            <w:r w:rsidR="00995AB5">
              <w:rPr>
                <w:rFonts w:ascii="Calibri" w:eastAsia="Times New Roman" w:hAnsi="Calibri" w:cs="Calibri"/>
                <w:strike/>
                <w:color w:val="FF0000"/>
                <w:kern w:val="0"/>
                <w:sz w:val="16"/>
                <w:szCs w:val="16"/>
                <w:lang w:eastAsia="pl-PL"/>
                <w14:ligatures w14:val="none"/>
              </w:rPr>
              <w:t xml:space="preserve"> </w:t>
            </w:r>
            <w:r w:rsidR="00995AB5" w:rsidRPr="00995AB5">
              <w:rPr>
                <w:rFonts w:ascii="Calibri" w:eastAsia="Times New Roman" w:hAnsi="Calibri" w:cs="Calibri"/>
                <w:color w:val="00B050"/>
                <w:kern w:val="0"/>
                <w:sz w:val="16"/>
                <w:szCs w:val="16"/>
                <w:lang w:eastAsia="pl-PL"/>
                <w14:ligatures w14:val="none"/>
              </w:rPr>
              <w:t>4</w:t>
            </w:r>
          </w:p>
        </w:tc>
        <w:tc>
          <w:tcPr>
            <w:tcW w:w="780"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0C72F83E"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single" w:sz="4" w:space="0" w:color="auto"/>
            </w:tcBorders>
            <w:shd w:val="clear" w:color="auto" w:fill="auto"/>
            <w:vAlign w:val="center"/>
            <w:hideMark/>
          </w:tcPr>
          <w:p w14:paraId="31AA1F4B" w14:textId="77777777" w:rsidR="00BD17DA" w:rsidRPr="00BD17DA" w:rsidRDefault="00BD17DA" w:rsidP="00F10EC2">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667F3FA2"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single" w:sz="4" w:space="0" w:color="auto"/>
            </w:tcBorders>
            <w:shd w:val="clear" w:color="auto" w:fill="auto"/>
            <w:vAlign w:val="center"/>
            <w:hideMark/>
          </w:tcPr>
          <w:p w14:paraId="3AB91D51" w14:textId="77777777" w:rsidR="00BD17DA" w:rsidRPr="00BD17DA" w:rsidRDefault="00BD17DA" w:rsidP="00F10EC2">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6AA682BE"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00" w:type="dxa"/>
            <w:tcBorders>
              <w:top w:val="nil"/>
              <w:left w:val="nil"/>
              <w:bottom w:val="single" w:sz="4" w:space="0" w:color="auto"/>
              <w:right w:val="single" w:sz="4" w:space="0" w:color="auto"/>
            </w:tcBorders>
            <w:shd w:val="clear" w:color="auto" w:fill="auto"/>
            <w:vAlign w:val="center"/>
            <w:hideMark/>
          </w:tcPr>
          <w:p w14:paraId="10F29675" w14:textId="77777777"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PS WPR</w:t>
            </w:r>
          </w:p>
        </w:tc>
      </w:tr>
      <w:tr w:rsidR="00BD17DA" w:rsidRPr="00BD17DA" w14:paraId="33F38A94" w14:textId="77777777" w:rsidTr="00B70DF5">
        <w:trPr>
          <w:trHeight w:val="1155"/>
        </w:trPr>
        <w:tc>
          <w:tcPr>
            <w:tcW w:w="1601" w:type="dxa"/>
            <w:tcBorders>
              <w:top w:val="nil"/>
              <w:left w:val="single" w:sz="4" w:space="0" w:color="auto"/>
              <w:bottom w:val="single" w:sz="4" w:space="0" w:color="auto"/>
              <w:right w:val="single" w:sz="4" w:space="0" w:color="auto"/>
            </w:tcBorders>
            <w:shd w:val="clear" w:color="000000" w:fill="FFD5B9"/>
            <w:vAlign w:val="center"/>
            <w:hideMark/>
          </w:tcPr>
          <w:p w14:paraId="435C4166"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Wskaźnik rezultatu 2.1.2</w:t>
            </w:r>
          </w:p>
        </w:tc>
        <w:tc>
          <w:tcPr>
            <w:tcW w:w="0" w:type="auto"/>
            <w:tcBorders>
              <w:top w:val="nil"/>
              <w:left w:val="nil"/>
              <w:bottom w:val="single" w:sz="4" w:space="0" w:color="auto"/>
              <w:right w:val="nil"/>
            </w:tcBorders>
            <w:shd w:val="clear" w:color="auto" w:fill="auto"/>
            <w:vAlign w:val="center"/>
            <w:hideMark/>
          </w:tcPr>
          <w:p w14:paraId="4545BDDF"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R.37 Wzrost gospodarczy i zatrudnienie na obszarach wiejskich: nowe miejsca pracy objęte wsparciem w ramach projektów WPR.</w:t>
            </w:r>
          </w:p>
        </w:tc>
        <w:tc>
          <w:tcPr>
            <w:tcW w:w="780" w:type="dxa"/>
            <w:tcBorders>
              <w:top w:val="nil"/>
              <w:left w:val="single" w:sz="4" w:space="0" w:color="auto"/>
              <w:bottom w:val="single" w:sz="4" w:space="0" w:color="auto"/>
              <w:right w:val="single" w:sz="4" w:space="0" w:color="auto"/>
            </w:tcBorders>
            <w:shd w:val="clear" w:color="auto" w:fill="auto"/>
            <w:vAlign w:val="center"/>
            <w:hideMark/>
          </w:tcPr>
          <w:p w14:paraId="1F91E95B" w14:textId="77777777" w:rsidR="00BD17DA" w:rsidRPr="00BD17DA" w:rsidRDefault="00BD17DA" w:rsidP="00F10EC2">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3BB21DA1"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single" w:sz="4" w:space="0" w:color="auto"/>
            </w:tcBorders>
            <w:shd w:val="clear" w:color="auto" w:fill="auto"/>
            <w:vAlign w:val="center"/>
            <w:hideMark/>
          </w:tcPr>
          <w:p w14:paraId="3B276D99" w14:textId="1BE0B992" w:rsidR="00BD17DA" w:rsidRPr="00BD17DA" w:rsidRDefault="00A90EBA" w:rsidP="00F10EC2">
            <w:pPr>
              <w:jc w:val="center"/>
              <w:rPr>
                <w:rFonts w:ascii="Calibri" w:eastAsia="Times New Roman" w:hAnsi="Calibri" w:cs="Calibri"/>
                <w:color w:val="000000"/>
                <w:kern w:val="0"/>
                <w:sz w:val="16"/>
                <w:szCs w:val="16"/>
                <w:lang w:eastAsia="pl-PL"/>
                <w14:ligatures w14:val="none"/>
              </w:rPr>
            </w:pPr>
            <w:r w:rsidRPr="00A90EBA">
              <w:rPr>
                <w:rFonts w:ascii="Calibri" w:eastAsia="Times New Roman" w:hAnsi="Calibri" w:cs="Calibri"/>
                <w:color w:val="000000"/>
                <w:kern w:val="0"/>
                <w:sz w:val="16"/>
                <w:szCs w:val="16"/>
                <w:lang w:eastAsia="pl-PL"/>
                <w14:ligatures w14:val="none"/>
              </w:rPr>
              <w:t>10 sztuk</w:t>
            </w:r>
          </w:p>
        </w:tc>
        <w:tc>
          <w:tcPr>
            <w:tcW w:w="780"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72A464B0"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single" w:sz="4" w:space="0" w:color="auto"/>
            </w:tcBorders>
            <w:shd w:val="clear" w:color="auto" w:fill="auto"/>
            <w:vAlign w:val="center"/>
            <w:hideMark/>
          </w:tcPr>
          <w:p w14:paraId="27B7B989" w14:textId="173BE1A5" w:rsidR="00BD17DA" w:rsidRPr="00BD17DA" w:rsidRDefault="00A90EBA" w:rsidP="00A90EBA">
            <w:pPr>
              <w:jc w:val="center"/>
              <w:rPr>
                <w:rFonts w:ascii="Calibri" w:eastAsia="Times New Roman" w:hAnsi="Calibri" w:cs="Calibri"/>
                <w:color w:val="000000"/>
                <w:kern w:val="0"/>
                <w:sz w:val="16"/>
                <w:szCs w:val="16"/>
                <w:lang w:eastAsia="pl-PL"/>
                <w14:ligatures w14:val="none"/>
              </w:rPr>
            </w:pPr>
            <w:r>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4E559183"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single" w:sz="4" w:space="0" w:color="auto"/>
            </w:tcBorders>
            <w:shd w:val="clear" w:color="auto" w:fill="auto"/>
            <w:vAlign w:val="center"/>
            <w:hideMark/>
          </w:tcPr>
          <w:p w14:paraId="43BC3923" w14:textId="77777777" w:rsidR="00BD17DA" w:rsidRPr="00BD17DA" w:rsidRDefault="00BD17DA" w:rsidP="00F10EC2">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26E8D8CC"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single" w:sz="4" w:space="0" w:color="auto"/>
            </w:tcBorders>
            <w:shd w:val="clear" w:color="auto" w:fill="auto"/>
            <w:vAlign w:val="center"/>
            <w:hideMark/>
          </w:tcPr>
          <w:p w14:paraId="4DD1BEDC" w14:textId="77777777" w:rsidR="00BD17DA" w:rsidRPr="00BD17DA" w:rsidRDefault="00BD17DA" w:rsidP="00F10EC2">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0293D2F8"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single" w:sz="4" w:space="0" w:color="auto"/>
            </w:tcBorders>
            <w:shd w:val="clear" w:color="auto" w:fill="auto"/>
            <w:vAlign w:val="center"/>
            <w:hideMark/>
          </w:tcPr>
          <w:p w14:paraId="7C112DC9" w14:textId="77777777" w:rsidR="00BD17DA" w:rsidRPr="00BD17DA" w:rsidRDefault="00BD17DA" w:rsidP="00F10EC2">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3A1672FB"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00" w:type="dxa"/>
            <w:tcBorders>
              <w:top w:val="nil"/>
              <w:left w:val="nil"/>
              <w:bottom w:val="single" w:sz="4" w:space="0" w:color="auto"/>
              <w:right w:val="single" w:sz="4" w:space="0" w:color="auto"/>
            </w:tcBorders>
            <w:shd w:val="clear" w:color="auto" w:fill="auto"/>
            <w:vAlign w:val="center"/>
            <w:hideMark/>
          </w:tcPr>
          <w:p w14:paraId="0A45D470" w14:textId="77777777"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PS WPR</w:t>
            </w:r>
          </w:p>
        </w:tc>
      </w:tr>
      <w:tr w:rsidR="00BD17DA" w:rsidRPr="00BD17DA" w14:paraId="4328142D" w14:textId="77777777" w:rsidTr="00B70DF5">
        <w:trPr>
          <w:trHeight w:val="1155"/>
        </w:trPr>
        <w:tc>
          <w:tcPr>
            <w:tcW w:w="1601" w:type="dxa"/>
            <w:tcBorders>
              <w:top w:val="nil"/>
              <w:left w:val="single" w:sz="4" w:space="0" w:color="auto"/>
              <w:bottom w:val="single" w:sz="4" w:space="0" w:color="auto"/>
              <w:right w:val="single" w:sz="4" w:space="0" w:color="auto"/>
            </w:tcBorders>
            <w:shd w:val="clear" w:color="000000" w:fill="FFD5B9"/>
            <w:vAlign w:val="center"/>
            <w:hideMark/>
          </w:tcPr>
          <w:p w14:paraId="21182AF5"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Wskaźnik rezultatu 2.1.3</w:t>
            </w:r>
          </w:p>
        </w:tc>
        <w:tc>
          <w:tcPr>
            <w:tcW w:w="0" w:type="auto"/>
            <w:tcBorders>
              <w:top w:val="nil"/>
              <w:left w:val="nil"/>
              <w:bottom w:val="single" w:sz="4" w:space="0" w:color="auto"/>
              <w:right w:val="nil"/>
            </w:tcBorders>
            <w:shd w:val="clear" w:color="auto" w:fill="auto"/>
            <w:vAlign w:val="center"/>
            <w:hideMark/>
          </w:tcPr>
          <w:p w14:paraId="3734AEA7"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 xml:space="preserve">R.39 Rozwój gospodarki wiejskiej: liczba przedsiębiorstw rolnych, w tym przedsiębiorstw zajmujących się </w:t>
            </w:r>
            <w:proofErr w:type="spellStart"/>
            <w:r w:rsidRPr="00BD17DA">
              <w:rPr>
                <w:rFonts w:ascii="Calibri" w:eastAsia="Times New Roman" w:hAnsi="Calibri" w:cs="Calibri"/>
                <w:color w:val="000000"/>
                <w:kern w:val="0"/>
                <w:sz w:val="16"/>
                <w:szCs w:val="16"/>
                <w:lang w:eastAsia="pl-PL"/>
                <w14:ligatures w14:val="none"/>
              </w:rPr>
              <w:t>biogospodarką</w:t>
            </w:r>
            <w:proofErr w:type="spellEnd"/>
            <w:r w:rsidRPr="00BD17DA">
              <w:rPr>
                <w:rFonts w:ascii="Calibri" w:eastAsia="Times New Roman" w:hAnsi="Calibri" w:cs="Calibri"/>
                <w:color w:val="000000"/>
                <w:kern w:val="0"/>
                <w:sz w:val="16"/>
                <w:szCs w:val="16"/>
                <w:lang w:eastAsia="pl-PL"/>
                <w14:ligatures w14:val="none"/>
              </w:rPr>
              <w:t>, rozwiniętych dzięki wsparciu w ramach WPR.</w:t>
            </w:r>
          </w:p>
        </w:tc>
        <w:tc>
          <w:tcPr>
            <w:tcW w:w="780" w:type="dxa"/>
            <w:tcBorders>
              <w:top w:val="nil"/>
              <w:left w:val="single" w:sz="4" w:space="0" w:color="auto"/>
              <w:bottom w:val="single" w:sz="4" w:space="0" w:color="auto"/>
              <w:right w:val="single" w:sz="4" w:space="0" w:color="auto"/>
            </w:tcBorders>
            <w:shd w:val="clear" w:color="auto" w:fill="auto"/>
            <w:vAlign w:val="center"/>
            <w:hideMark/>
          </w:tcPr>
          <w:p w14:paraId="7B1D189A" w14:textId="77777777" w:rsidR="00BD17DA" w:rsidRPr="00BD17DA" w:rsidRDefault="00BD17DA" w:rsidP="00F10EC2">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2645C747"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single" w:sz="4" w:space="0" w:color="auto"/>
            </w:tcBorders>
            <w:shd w:val="clear" w:color="auto" w:fill="auto"/>
            <w:vAlign w:val="center"/>
            <w:hideMark/>
          </w:tcPr>
          <w:p w14:paraId="5DFAC808" w14:textId="5A67778C" w:rsidR="00B70DF5" w:rsidRPr="00C406F6" w:rsidRDefault="00B70DF5" w:rsidP="00F10EC2">
            <w:pPr>
              <w:jc w:val="center"/>
              <w:rPr>
                <w:rFonts w:ascii="Calibri" w:eastAsia="Times New Roman" w:hAnsi="Calibri" w:cs="Calibri"/>
                <w:kern w:val="0"/>
                <w:sz w:val="16"/>
                <w:szCs w:val="16"/>
                <w:lang w:eastAsia="pl-PL"/>
                <w14:ligatures w14:val="none"/>
              </w:rPr>
            </w:pPr>
            <w:r w:rsidRPr="00C406F6">
              <w:rPr>
                <w:rFonts w:ascii="Calibri" w:eastAsia="Times New Roman" w:hAnsi="Calibri" w:cs="Calibri"/>
                <w:kern w:val="0"/>
                <w:sz w:val="16"/>
                <w:szCs w:val="16"/>
                <w:lang w:eastAsia="pl-PL"/>
                <w14:ligatures w14:val="none"/>
              </w:rPr>
              <w:t>0</w:t>
            </w:r>
          </w:p>
        </w:tc>
        <w:tc>
          <w:tcPr>
            <w:tcW w:w="780"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78D8C18E" w14:textId="77777777" w:rsidR="00BD17DA" w:rsidRPr="00C406F6" w:rsidRDefault="00BD17DA" w:rsidP="00BD17DA">
            <w:pPr>
              <w:rPr>
                <w:rFonts w:ascii="Calibri" w:eastAsia="Times New Roman" w:hAnsi="Calibri" w:cs="Calibri"/>
                <w:kern w:val="0"/>
                <w:sz w:val="16"/>
                <w:szCs w:val="16"/>
                <w:lang w:eastAsia="pl-PL"/>
                <w14:ligatures w14:val="none"/>
              </w:rPr>
            </w:pPr>
            <w:r w:rsidRPr="00C406F6">
              <w:rPr>
                <w:rFonts w:ascii="Calibri" w:eastAsia="Times New Roman" w:hAnsi="Calibri" w:cs="Calibri"/>
                <w:strike/>
                <w:kern w:val="0"/>
                <w:sz w:val="16"/>
                <w:szCs w:val="16"/>
                <w:lang w:eastAsia="pl-PL"/>
                <w14:ligatures w14:val="none"/>
              </w:rPr>
              <w:t> </w:t>
            </w:r>
          </w:p>
        </w:tc>
        <w:tc>
          <w:tcPr>
            <w:tcW w:w="780" w:type="dxa"/>
            <w:tcBorders>
              <w:top w:val="nil"/>
              <w:left w:val="nil"/>
              <w:bottom w:val="single" w:sz="4" w:space="0" w:color="auto"/>
              <w:right w:val="single" w:sz="4" w:space="0" w:color="auto"/>
            </w:tcBorders>
            <w:shd w:val="clear" w:color="auto" w:fill="auto"/>
            <w:vAlign w:val="center"/>
            <w:hideMark/>
          </w:tcPr>
          <w:p w14:paraId="2E865EF2" w14:textId="2D28CECE" w:rsidR="00BD17DA" w:rsidRPr="00C406F6" w:rsidRDefault="00B70DF5" w:rsidP="00A90EBA">
            <w:pPr>
              <w:jc w:val="center"/>
              <w:rPr>
                <w:rFonts w:ascii="Calibri" w:eastAsia="Times New Roman" w:hAnsi="Calibri" w:cs="Calibri"/>
                <w:kern w:val="0"/>
                <w:sz w:val="16"/>
                <w:szCs w:val="16"/>
                <w:lang w:eastAsia="pl-PL"/>
                <w14:ligatures w14:val="none"/>
              </w:rPr>
            </w:pPr>
            <w:r w:rsidRPr="00995AB5">
              <w:rPr>
                <w:rFonts w:ascii="Calibri" w:eastAsia="Times New Roman" w:hAnsi="Calibri" w:cs="Calibri"/>
                <w:strike/>
                <w:color w:val="FF0000"/>
                <w:kern w:val="0"/>
                <w:sz w:val="16"/>
                <w:szCs w:val="16"/>
                <w:lang w:eastAsia="pl-PL"/>
                <w14:ligatures w14:val="none"/>
              </w:rPr>
              <w:t>2</w:t>
            </w:r>
            <w:r w:rsidRPr="00C406F6">
              <w:rPr>
                <w:rFonts w:ascii="Calibri" w:eastAsia="Times New Roman" w:hAnsi="Calibri" w:cs="Calibri"/>
                <w:kern w:val="0"/>
                <w:sz w:val="16"/>
                <w:szCs w:val="16"/>
                <w:lang w:eastAsia="pl-PL"/>
                <w14:ligatures w14:val="none"/>
              </w:rPr>
              <w:t xml:space="preserve"> </w:t>
            </w:r>
            <w:r w:rsidR="00995AB5" w:rsidRPr="00995AB5">
              <w:rPr>
                <w:rFonts w:ascii="Calibri" w:eastAsia="Times New Roman" w:hAnsi="Calibri" w:cs="Calibri"/>
                <w:color w:val="00B050"/>
                <w:kern w:val="0"/>
                <w:sz w:val="16"/>
                <w:szCs w:val="16"/>
                <w:lang w:eastAsia="pl-PL"/>
                <w14:ligatures w14:val="none"/>
              </w:rPr>
              <w:t xml:space="preserve">3 </w:t>
            </w:r>
            <w:r w:rsidRPr="00C406F6">
              <w:rPr>
                <w:rFonts w:ascii="Calibri" w:eastAsia="Times New Roman" w:hAnsi="Calibri" w:cs="Calibri"/>
                <w:kern w:val="0"/>
                <w:sz w:val="16"/>
                <w:szCs w:val="16"/>
                <w:lang w:eastAsia="pl-PL"/>
                <w14:ligatures w14:val="none"/>
              </w:rPr>
              <w:t>sztuki</w:t>
            </w:r>
          </w:p>
        </w:tc>
        <w:tc>
          <w:tcPr>
            <w:tcW w:w="780"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73F53537"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single" w:sz="4" w:space="0" w:color="auto"/>
            </w:tcBorders>
            <w:shd w:val="clear" w:color="auto" w:fill="auto"/>
            <w:vAlign w:val="center"/>
            <w:hideMark/>
          </w:tcPr>
          <w:p w14:paraId="21076DE0" w14:textId="77777777" w:rsidR="00BD17DA" w:rsidRPr="00BD17DA" w:rsidRDefault="00BD17DA" w:rsidP="00F10EC2">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350EFD9F"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single" w:sz="4" w:space="0" w:color="auto"/>
            </w:tcBorders>
            <w:shd w:val="clear" w:color="auto" w:fill="auto"/>
            <w:vAlign w:val="center"/>
            <w:hideMark/>
          </w:tcPr>
          <w:p w14:paraId="1B248F09" w14:textId="77777777" w:rsidR="00BD17DA" w:rsidRPr="00BD17DA" w:rsidRDefault="00BD17DA" w:rsidP="00F10EC2">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649010AD"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80" w:type="dxa"/>
            <w:tcBorders>
              <w:top w:val="nil"/>
              <w:left w:val="nil"/>
              <w:bottom w:val="single" w:sz="4" w:space="0" w:color="auto"/>
              <w:right w:val="single" w:sz="4" w:space="0" w:color="auto"/>
            </w:tcBorders>
            <w:shd w:val="clear" w:color="auto" w:fill="auto"/>
            <w:vAlign w:val="center"/>
            <w:hideMark/>
          </w:tcPr>
          <w:p w14:paraId="05DCB6D6" w14:textId="77777777" w:rsidR="00BD17DA" w:rsidRPr="00BD17DA" w:rsidRDefault="00BD17DA" w:rsidP="00F10EC2">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0</w:t>
            </w:r>
          </w:p>
        </w:tc>
        <w:tc>
          <w:tcPr>
            <w:tcW w:w="780"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7F5ED820" w14:textId="77777777" w:rsidR="00BD17DA" w:rsidRPr="00BD17DA" w:rsidRDefault="00BD17DA" w:rsidP="00BD17DA">
            <w:pP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strike/>
                <w:color w:val="000000"/>
                <w:kern w:val="0"/>
                <w:sz w:val="16"/>
                <w:szCs w:val="16"/>
                <w:lang w:eastAsia="pl-PL"/>
                <w14:ligatures w14:val="none"/>
              </w:rPr>
              <w:t> </w:t>
            </w:r>
          </w:p>
        </w:tc>
        <w:tc>
          <w:tcPr>
            <w:tcW w:w="700" w:type="dxa"/>
            <w:tcBorders>
              <w:top w:val="nil"/>
              <w:left w:val="nil"/>
              <w:bottom w:val="single" w:sz="4" w:space="0" w:color="auto"/>
              <w:right w:val="single" w:sz="4" w:space="0" w:color="auto"/>
            </w:tcBorders>
            <w:shd w:val="clear" w:color="auto" w:fill="auto"/>
            <w:vAlign w:val="center"/>
            <w:hideMark/>
          </w:tcPr>
          <w:p w14:paraId="74964027" w14:textId="77777777" w:rsidR="00BD17DA" w:rsidRPr="00BD17DA" w:rsidRDefault="00BD17DA" w:rsidP="00BD17DA">
            <w:pPr>
              <w:jc w:val="center"/>
              <w:rPr>
                <w:rFonts w:ascii="Calibri" w:eastAsia="Times New Roman" w:hAnsi="Calibri" w:cs="Calibri"/>
                <w:color w:val="000000"/>
                <w:kern w:val="0"/>
                <w:sz w:val="16"/>
                <w:szCs w:val="16"/>
                <w:lang w:eastAsia="pl-PL"/>
                <w14:ligatures w14:val="none"/>
              </w:rPr>
            </w:pPr>
            <w:r w:rsidRPr="00BD17DA">
              <w:rPr>
                <w:rFonts w:ascii="Calibri" w:eastAsia="Times New Roman" w:hAnsi="Calibri" w:cs="Calibri"/>
                <w:color w:val="000000"/>
                <w:kern w:val="0"/>
                <w:sz w:val="16"/>
                <w:szCs w:val="16"/>
                <w:lang w:eastAsia="pl-PL"/>
                <w14:ligatures w14:val="none"/>
              </w:rPr>
              <w:t>PS WPR</w:t>
            </w:r>
          </w:p>
        </w:tc>
      </w:tr>
      <w:tr w:rsidR="00BD17DA" w:rsidRPr="00BD17DA" w14:paraId="5C5958AE" w14:textId="77777777" w:rsidTr="00B70DF5">
        <w:trPr>
          <w:trHeight w:val="1230"/>
        </w:trPr>
        <w:tc>
          <w:tcPr>
            <w:tcW w:w="1601" w:type="dxa"/>
            <w:tcBorders>
              <w:top w:val="nil"/>
              <w:left w:val="single" w:sz="4" w:space="0" w:color="auto"/>
              <w:bottom w:val="single" w:sz="4" w:space="0" w:color="auto"/>
              <w:right w:val="single" w:sz="4" w:space="0" w:color="auto"/>
            </w:tcBorders>
            <w:shd w:val="clear" w:color="000000" w:fill="FFD5B9"/>
            <w:vAlign w:val="center"/>
            <w:hideMark/>
          </w:tcPr>
          <w:p w14:paraId="739ACD7F" w14:textId="77777777" w:rsidR="00BD17DA" w:rsidRPr="00995AB5" w:rsidRDefault="00BD17DA" w:rsidP="00BD17DA">
            <w:pPr>
              <w:rPr>
                <w:rFonts w:ascii="Calibri" w:eastAsia="Times New Roman" w:hAnsi="Calibri" w:cs="Calibri"/>
                <w:strike/>
                <w:color w:val="FF0000"/>
                <w:kern w:val="0"/>
                <w:sz w:val="16"/>
                <w:szCs w:val="16"/>
                <w:lang w:eastAsia="pl-PL"/>
                <w14:ligatures w14:val="none"/>
              </w:rPr>
            </w:pPr>
            <w:r w:rsidRPr="00995AB5">
              <w:rPr>
                <w:rFonts w:ascii="Calibri" w:eastAsia="Times New Roman" w:hAnsi="Calibri" w:cs="Calibri"/>
                <w:strike/>
                <w:color w:val="FF0000"/>
                <w:kern w:val="0"/>
                <w:sz w:val="16"/>
                <w:szCs w:val="16"/>
                <w:lang w:eastAsia="pl-PL"/>
                <w14:ligatures w14:val="none"/>
              </w:rPr>
              <w:t>Wskaźnik rezultatu 2.1.4</w:t>
            </w:r>
          </w:p>
        </w:tc>
        <w:tc>
          <w:tcPr>
            <w:tcW w:w="0" w:type="auto"/>
            <w:tcBorders>
              <w:top w:val="nil"/>
              <w:left w:val="nil"/>
              <w:bottom w:val="single" w:sz="4" w:space="0" w:color="auto"/>
              <w:right w:val="nil"/>
            </w:tcBorders>
            <w:shd w:val="clear" w:color="auto" w:fill="auto"/>
            <w:vAlign w:val="center"/>
            <w:hideMark/>
          </w:tcPr>
          <w:p w14:paraId="14CA8876" w14:textId="77777777" w:rsidR="00BD17DA" w:rsidRPr="00995AB5" w:rsidRDefault="00BD17DA" w:rsidP="00BD17DA">
            <w:pPr>
              <w:rPr>
                <w:rFonts w:ascii="Calibri" w:eastAsia="Times New Roman" w:hAnsi="Calibri" w:cs="Calibri"/>
                <w:strike/>
                <w:color w:val="FF0000"/>
                <w:kern w:val="0"/>
                <w:sz w:val="16"/>
                <w:szCs w:val="16"/>
                <w:lang w:eastAsia="pl-PL"/>
                <w14:ligatures w14:val="none"/>
              </w:rPr>
            </w:pPr>
            <w:r w:rsidRPr="00995AB5">
              <w:rPr>
                <w:rFonts w:ascii="Calibri" w:eastAsia="Times New Roman" w:hAnsi="Calibri" w:cs="Calibri"/>
                <w:strike/>
                <w:color w:val="FF0000"/>
                <w:kern w:val="0"/>
                <w:sz w:val="16"/>
                <w:szCs w:val="16"/>
                <w:lang w:eastAsia="pl-PL"/>
                <w14:ligatures w14:val="none"/>
              </w:rPr>
              <w:t xml:space="preserve">R.39 Rozwój gospodarki wiejskiej: liczba przedsiębiorstw rolnych, w tym przedsiębiorstw zajmujących się </w:t>
            </w:r>
            <w:proofErr w:type="spellStart"/>
            <w:r w:rsidRPr="00995AB5">
              <w:rPr>
                <w:rFonts w:ascii="Calibri" w:eastAsia="Times New Roman" w:hAnsi="Calibri" w:cs="Calibri"/>
                <w:strike/>
                <w:color w:val="FF0000"/>
                <w:kern w:val="0"/>
                <w:sz w:val="16"/>
                <w:szCs w:val="16"/>
                <w:lang w:eastAsia="pl-PL"/>
                <w14:ligatures w14:val="none"/>
              </w:rPr>
              <w:t>biogospodarką</w:t>
            </w:r>
            <w:proofErr w:type="spellEnd"/>
            <w:r w:rsidRPr="00995AB5">
              <w:rPr>
                <w:rFonts w:ascii="Calibri" w:eastAsia="Times New Roman" w:hAnsi="Calibri" w:cs="Calibri"/>
                <w:strike/>
                <w:color w:val="FF0000"/>
                <w:kern w:val="0"/>
                <w:sz w:val="16"/>
                <w:szCs w:val="16"/>
                <w:lang w:eastAsia="pl-PL"/>
                <w14:ligatures w14:val="none"/>
              </w:rPr>
              <w:t>, rozwiniętych dzięki wsparciu w ramach WPR.</w:t>
            </w:r>
          </w:p>
        </w:tc>
        <w:tc>
          <w:tcPr>
            <w:tcW w:w="780" w:type="dxa"/>
            <w:tcBorders>
              <w:top w:val="nil"/>
              <w:left w:val="single" w:sz="4" w:space="0" w:color="auto"/>
              <w:bottom w:val="single" w:sz="4" w:space="0" w:color="auto"/>
              <w:right w:val="single" w:sz="4" w:space="0" w:color="auto"/>
            </w:tcBorders>
            <w:shd w:val="clear" w:color="auto" w:fill="auto"/>
            <w:vAlign w:val="center"/>
            <w:hideMark/>
          </w:tcPr>
          <w:p w14:paraId="38E1CC24" w14:textId="77777777" w:rsidR="00BD17DA" w:rsidRPr="00995AB5" w:rsidRDefault="00BD17DA" w:rsidP="00F10EC2">
            <w:pPr>
              <w:jc w:val="center"/>
              <w:rPr>
                <w:rFonts w:ascii="Calibri" w:eastAsia="Times New Roman" w:hAnsi="Calibri" w:cs="Calibri"/>
                <w:strike/>
                <w:color w:val="FF0000"/>
                <w:kern w:val="0"/>
                <w:sz w:val="16"/>
                <w:szCs w:val="16"/>
                <w:lang w:eastAsia="pl-PL"/>
                <w14:ligatures w14:val="none"/>
              </w:rPr>
            </w:pPr>
            <w:r w:rsidRPr="00995AB5">
              <w:rPr>
                <w:rFonts w:ascii="Calibri" w:eastAsia="Times New Roman" w:hAnsi="Calibri" w:cs="Calibri"/>
                <w:strike/>
                <w:color w:val="FF0000"/>
                <w:kern w:val="0"/>
                <w:sz w:val="16"/>
                <w:szCs w:val="16"/>
                <w:lang w:eastAsia="pl-PL"/>
                <w14:ligatures w14:val="none"/>
              </w:rPr>
              <w:t>0</w:t>
            </w:r>
          </w:p>
        </w:tc>
        <w:tc>
          <w:tcPr>
            <w:tcW w:w="780"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49616089" w14:textId="77777777" w:rsidR="00BD17DA" w:rsidRPr="00995AB5" w:rsidRDefault="00BD17DA" w:rsidP="00BD17DA">
            <w:pPr>
              <w:rPr>
                <w:rFonts w:ascii="Calibri" w:eastAsia="Times New Roman" w:hAnsi="Calibri" w:cs="Calibri"/>
                <w:strike/>
                <w:color w:val="FF0000"/>
                <w:kern w:val="0"/>
                <w:sz w:val="16"/>
                <w:szCs w:val="16"/>
                <w:lang w:eastAsia="pl-PL"/>
                <w14:ligatures w14:val="none"/>
              </w:rPr>
            </w:pPr>
            <w:r w:rsidRPr="00995AB5">
              <w:rPr>
                <w:rFonts w:ascii="Calibri" w:eastAsia="Times New Roman" w:hAnsi="Calibri" w:cs="Calibri"/>
                <w:strike/>
                <w:color w:val="FF0000"/>
                <w:kern w:val="0"/>
                <w:sz w:val="16"/>
                <w:szCs w:val="16"/>
                <w:lang w:eastAsia="pl-PL"/>
                <w14:ligatures w14:val="none"/>
              </w:rPr>
              <w:t> </w:t>
            </w:r>
          </w:p>
        </w:tc>
        <w:tc>
          <w:tcPr>
            <w:tcW w:w="780" w:type="dxa"/>
            <w:tcBorders>
              <w:top w:val="nil"/>
              <w:left w:val="nil"/>
              <w:bottom w:val="single" w:sz="4" w:space="0" w:color="auto"/>
              <w:right w:val="single" w:sz="4" w:space="0" w:color="auto"/>
            </w:tcBorders>
            <w:shd w:val="clear" w:color="auto" w:fill="auto"/>
            <w:vAlign w:val="center"/>
            <w:hideMark/>
          </w:tcPr>
          <w:p w14:paraId="37C15158" w14:textId="41445847" w:rsidR="00BD17DA" w:rsidRPr="00995AB5" w:rsidRDefault="00B70DF5" w:rsidP="00B70DF5">
            <w:pPr>
              <w:jc w:val="center"/>
              <w:rPr>
                <w:rFonts w:ascii="Calibri" w:eastAsia="Times New Roman" w:hAnsi="Calibri" w:cs="Calibri"/>
                <w:strike/>
                <w:color w:val="FF0000"/>
                <w:kern w:val="0"/>
                <w:sz w:val="16"/>
                <w:szCs w:val="16"/>
                <w:lang w:eastAsia="pl-PL"/>
                <w14:ligatures w14:val="none"/>
              </w:rPr>
            </w:pPr>
            <w:r w:rsidRPr="00995AB5">
              <w:rPr>
                <w:rFonts w:ascii="Calibri" w:eastAsia="Times New Roman" w:hAnsi="Calibri" w:cs="Calibri"/>
                <w:strike/>
                <w:color w:val="FF0000"/>
                <w:kern w:val="0"/>
                <w:sz w:val="16"/>
                <w:szCs w:val="16"/>
                <w:lang w:eastAsia="pl-PL"/>
                <w14:ligatures w14:val="none"/>
              </w:rPr>
              <w:t>0</w:t>
            </w:r>
          </w:p>
        </w:tc>
        <w:tc>
          <w:tcPr>
            <w:tcW w:w="780"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0E5A7430" w14:textId="77777777" w:rsidR="00BD17DA" w:rsidRPr="00995AB5" w:rsidRDefault="00BD17DA" w:rsidP="00BD17DA">
            <w:pPr>
              <w:rPr>
                <w:rFonts w:ascii="Calibri" w:eastAsia="Times New Roman" w:hAnsi="Calibri" w:cs="Calibri"/>
                <w:strike/>
                <w:color w:val="FF0000"/>
                <w:kern w:val="0"/>
                <w:sz w:val="16"/>
                <w:szCs w:val="16"/>
                <w:lang w:eastAsia="pl-PL"/>
                <w14:ligatures w14:val="none"/>
              </w:rPr>
            </w:pPr>
            <w:r w:rsidRPr="00995AB5">
              <w:rPr>
                <w:rFonts w:ascii="Calibri" w:eastAsia="Times New Roman" w:hAnsi="Calibri" w:cs="Calibri"/>
                <w:strike/>
                <w:color w:val="FF0000"/>
                <w:kern w:val="0"/>
                <w:sz w:val="16"/>
                <w:szCs w:val="16"/>
                <w:lang w:eastAsia="pl-PL"/>
                <w14:ligatures w14:val="none"/>
              </w:rPr>
              <w:t> </w:t>
            </w:r>
          </w:p>
        </w:tc>
        <w:tc>
          <w:tcPr>
            <w:tcW w:w="780" w:type="dxa"/>
            <w:tcBorders>
              <w:top w:val="nil"/>
              <w:left w:val="nil"/>
              <w:bottom w:val="single" w:sz="4" w:space="0" w:color="auto"/>
              <w:right w:val="single" w:sz="4" w:space="0" w:color="auto"/>
            </w:tcBorders>
            <w:shd w:val="clear" w:color="auto" w:fill="auto"/>
            <w:vAlign w:val="center"/>
            <w:hideMark/>
          </w:tcPr>
          <w:p w14:paraId="3F281966" w14:textId="5AA2778B" w:rsidR="00BD17DA" w:rsidRPr="00995AB5" w:rsidRDefault="00B70DF5" w:rsidP="00A90EBA">
            <w:pPr>
              <w:jc w:val="center"/>
              <w:rPr>
                <w:rFonts w:ascii="Calibri" w:eastAsia="Times New Roman" w:hAnsi="Calibri" w:cs="Calibri"/>
                <w:strike/>
                <w:color w:val="FF0000"/>
                <w:kern w:val="0"/>
                <w:sz w:val="16"/>
                <w:szCs w:val="16"/>
                <w:lang w:eastAsia="pl-PL"/>
                <w14:ligatures w14:val="none"/>
              </w:rPr>
            </w:pPr>
            <w:r w:rsidRPr="00995AB5">
              <w:rPr>
                <w:rFonts w:ascii="Calibri" w:eastAsia="Times New Roman" w:hAnsi="Calibri" w:cs="Calibri"/>
                <w:strike/>
                <w:color w:val="FF0000"/>
                <w:kern w:val="0"/>
                <w:sz w:val="16"/>
                <w:szCs w:val="16"/>
                <w:lang w:eastAsia="pl-PL"/>
                <w14:ligatures w14:val="none"/>
              </w:rPr>
              <w:t>2 sztuki</w:t>
            </w:r>
          </w:p>
        </w:tc>
        <w:tc>
          <w:tcPr>
            <w:tcW w:w="780"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00632E3B" w14:textId="77777777" w:rsidR="00BD17DA" w:rsidRPr="00995AB5" w:rsidRDefault="00BD17DA" w:rsidP="00BD17DA">
            <w:pPr>
              <w:rPr>
                <w:rFonts w:ascii="Calibri" w:eastAsia="Times New Roman" w:hAnsi="Calibri" w:cs="Calibri"/>
                <w:strike/>
                <w:color w:val="FF0000"/>
                <w:kern w:val="0"/>
                <w:sz w:val="16"/>
                <w:szCs w:val="16"/>
                <w:lang w:eastAsia="pl-PL"/>
                <w14:ligatures w14:val="none"/>
              </w:rPr>
            </w:pPr>
            <w:r w:rsidRPr="00995AB5">
              <w:rPr>
                <w:rFonts w:ascii="Calibri" w:eastAsia="Times New Roman" w:hAnsi="Calibri" w:cs="Calibri"/>
                <w:strike/>
                <w:color w:val="FF0000"/>
                <w:kern w:val="0"/>
                <w:sz w:val="16"/>
                <w:szCs w:val="16"/>
                <w:lang w:eastAsia="pl-PL"/>
                <w14:ligatures w14:val="none"/>
              </w:rPr>
              <w:t> </w:t>
            </w:r>
          </w:p>
        </w:tc>
        <w:tc>
          <w:tcPr>
            <w:tcW w:w="780" w:type="dxa"/>
            <w:tcBorders>
              <w:top w:val="nil"/>
              <w:left w:val="nil"/>
              <w:bottom w:val="single" w:sz="4" w:space="0" w:color="auto"/>
              <w:right w:val="single" w:sz="4" w:space="0" w:color="auto"/>
            </w:tcBorders>
            <w:shd w:val="clear" w:color="auto" w:fill="auto"/>
            <w:vAlign w:val="center"/>
            <w:hideMark/>
          </w:tcPr>
          <w:p w14:paraId="77F14E8B" w14:textId="77777777" w:rsidR="00BD17DA" w:rsidRPr="00995AB5" w:rsidRDefault="00BD17DA" w:rsidP="00F10EC2">
            <w:pPr>
              <w:jc w:val="center"/>
              <w:rPr>
                <w:rFonts w:ascii="Calibri" w:eastAsia="Times New Roman" w:hAnsi="Calibri" w:cs="Calibri"/>
                <w:strike/>
                <w:color w:val="FF0000"/>
                <w:kern w:val="0"/>
                <w:sz w:val="16"/>
                <w:szCs w:val="16"/>
                <w:lang w:eastAsia="pl-PL"/>
                <w14:ligatures w14:val="none"/>
              </w:rPr>
            </w:pPr>
            <w:r w:rsidRPr="00995AB5">
              <w:rPr>
                <w:rFonts w:ascii="Calibri" w:eastAsia="Times New Roman" w:hAnsi="Calibri" w:cs="Calibri"/>
                <w:strike/>
                <w:color w:val="FF0000"/>
                <w:kern w:val="0"/>
                <w:sz w:val="16"/>
                <w:szCs w:val="16"/>
                <w:lang w:eastAsia="pl-PL"/>
                <w14:ligatures w14:val="none"/>
              </w:rPr>
              <w:t>0</w:t>
            </w:r>
          </w:p>
        </w:tc>
        <w:tc>
          <w:tcPr>
            <w:tcW w:w="780"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7F5F24C7" w14:textId="77777777" w:rsidR="00BD17DA" w:rsidRPr="00995AB5" w:rsidRDefault="00BD17DA" w:rsidP="00BD17DA">
            <w:pPr>
              <w:rPr>
                <w:rFonts w:ascii="Calibri" w:eastAsia="Times New Roman" w:hAnsi="Calibri" w:cs="Calibri"/>
                <w:strike/>
                <w:color w:val="FF0000"/>
                <w:kern w:val="0"/>
                <w:sz w:val="16"/>
                <w:szCs w:val="16"/>
                <w:lang w:eastAsia="pl-PL"/>
                <w14:ligatures w14:val="none"/>
              </w:rPr>
            </w:pPr>
            <w:r w:rsidRPr="00995AB5">
              <w:rPr>
                <w:rFonts w:ascii="Calibri" w:eastAsia="Times New Roman" w:hAnsi="Calibri" w:cs="Calibri"/>
                <w:strike/>
                <w:color w:val="FF0000"/>
                <w:kern w:val="0"/>
                <w:sz w:val="16"/>
                <w:szCs w:val="16"/>
                <w:lang w:eastAsia="pl-PL"/>
                <w14:ligatures w14:val="none"/>
              </w:rPr>
              <w:t> </w:t>
            </w:r>
          </w:p>
        </w:tc>
        <w:tc>
          <w:tcPr>
            <w:tcW w:w="780" w:type="dxa"/>
            <w:tcBorders>
              <w:top w:val="nil"/>
              <w:left w:val="nil"/>
              <w:bottom w:val="single" w:sz="4" w:space="0" w:color="auto"/>
              <w:right w:val="single" w:sz="4" w:space="0" w:color="auto"/>
            </w:tcBorders>
            <w:shd w:val="clear" w:color="auto" w:fill="auto"/>
            <w:vAlign w:val="center"/>
            <w:hideMark/>
          </w:tcPr>
          <w:p w14:paraId="0012DF4E" w14:textId="77777777" w:rsidR="00BD17DA" w:rsidRPr="00995AB5" w:rsidRDefault="00BD17DA" w:rsidP="00F10EC2">
            <w:pPr>
              <w:jc w:val="center"/>
              <w:rPr>
                <w:rFonts w:ascii="Calibri" w:eastAsia="Times New Roman" w:hAnsi="Calibri" w:cs="Calibri"/>
                <w:strike/>
                <w:color w:val="FF0000"/>
                <w:kern w:val="0"/>
                <w:sz w:val="16"/>
                <w:szCs w:val="16"/>
                <w:lang w:eastAsia="pl-PL"/>
                <w14:ligatures w14:val="none"/>
              </w:rPr>
            </w:pPr>
            <w:r w:rsidRPr="00995AB5">
              <w:rPr>
                <w:rFonts w:ascii="Calibri" w:eastAsia="Times New Roman" w:hAnsi="Calibri" w:cs="Calibri"/>
                <w:strike/>
                <w:color w:val="FF0000"/>
                <w:kern w:val="0"/>
                <w:sz w:val="16"/>
                <w:szCs w:val="16"/>
                <w:lang w:eastAsia="pl-PL"/>
                <w14:ligatures w14:val="none"/>
              </w:rPr>
              <w:t>0</w:t>
            </w:r>
          </w:p>
        </w:tc>
        <w:tc>
          <w:tcPr>
            <w:tcW w:w="780"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6F0D744C" w14:textId="77777777" w:rsidR="00BD17DA" w:rsidRPr="00995AB5" w:rsidRDefault="00BD17DA" w:rsidP="00BD17DA">
            <w:pPr>
              <w:rPr>
                <w:rFonts w:ascii="Calibri" w:eastAsia="Times New Roman" w:hAnsi="Calibri" w:cs="Calibri"/>
                <w:strike/>
                <w:color w:val="FF0000"/>
                <w:kern w:val="0"/>
                <w:sz w:val="16"/>
                <w:szCs w:val="16"/>
                <w:lang w:eastAsia="pl-PL"/>
                <w14:ligatures w14:val="none"/>
              </w:rPr>
            </w:pPr>
            <w:r w:rsidRPr="00995AB5">
              <w:rPr>
                <w:rFonts w:ascii="Calibri" w:eastAsia="Times New Roman" w:hAnsi="Calibri" w:cs="Calibri"/>
                <w:strike/>
                <w:color w:val="FF0000"/>
                <w:kern w:val="0"/>
                <w:sz w:val="16"/>
                <w:szCs w:val="16"/>
                <w:lang w:eastAsia="pl-PL"/>
                <w14:ligatures w14:val="none"/>
              </w:rPr>
              <w:t> </w:t>
            </w:r>
          </w:p>
        </w:tc>
        <w:tc>
          <w:tcPr>
            <w:tcW w:w="780" w:type="dxa"/>
            <w:tcBorders>
              <w:top w:val="nil"/>
              <w:left w:val="nil"/>
              <w:bottom w:val="single" w:sz="4" w:space="0" w:color="auto"/>
              <w:right w:val="single" w:sz="4" w:space="0" w:color="auto"/>
            </w:tcBorders>
            <w:shd w:val="clear" w:color="auto" w:fill="auto"/>
            <w:vAlign w:val="center"/>
            <w:hideMark/>
          </w:tcPr>
          <w:p w14:paraId="723373F4" w14:textId="77777777" w:rsidR="00BD17DA" w:rsidRPr="00995AB5" w:rsidRDefault="00BD17DA" w:rsidP="00F10EC2">
            <w:pPr>
              <w:jc w:val="center"/>
              <w:rPr>
                <w:rFonts w:ascii="Calibri" w:eastAsia="Times New Roman" w:hAnsi="Calibri" w:cs="Calibri"/>
                <w:strike/>
                <w:color w:val="FF0000"/>
                <w:kern w:val="0"/>
                <w:sz w:val="16"/>
                <w:szCs w:val="16"/>
                <w:lang w:eastAsia="pl-PL"/>
                <w14:ligatures w14:val="none"/>
              </w:rPr>
            </w:pPr>
            <w:r w:rsidRPr="00995AB5">
              <w:rPr>
                <w:rFonts w:ascii="Calibri" w:eastAsia="Times New Roman" w:hAnsi="Calibri" w:cs="Calibri"/>
                <w:strike/>
                <w:color w:val="FF0000"/>
                <w:kern w:val="0"/>
                <w:sz w:val="16"/>
                <w:szCs w:val="16"/>
                <w:lang w:eastAsia="pl-PL"/>
                <w14:ligatures w14:val="none"/>
              </w:rPr>
              <w:t>0</w:t>
            </w:r>
          </w:p>
        </w:tc>
        <w:tc>
          <w:tcPr>
            <w:tcW w:w="780" w:type="dxa"/>
            <w:tcBorders>
              <w:top w:val="nil"/>
              <w:left w:val="nil"/>
              <w:bottom w:val="single" w:sz="4" w:space="0" w:color="auto"/>
              <w:right w:val="single" w:sz="4" w:space="0" w:color="auto"/>
              <w:tl2br w:val="single" w:sz="4" w:space="0" w:color="auto"/>
              <w:tr2bl w:val="single" w:sz="4" w:space="0" w:color="auto"/>
            </w:tcBorders>
            <w:shd w:val="clear" w:color="auto" w:fill="auto"/>
            <w:vAlign w:val="center"/>
            <w:hideMark/>
          </w:tcPr>
          <w:p w14:paraId="3AF4584B" w14:textId="77777777" w:rsidR="00BD17DA" w:rsidRPr="00995AB5" w:rsidRDefault="00BD17DA" w:rsidP="00BD17DA">
            <w:pPr>
              <w:rPr>
                <w:rFonts w:ascii="Calibri" w:eastAsia="Times New Roman" w:hAnsi="Calibri" w:cs="Calibri"/>
                <w:strike/>
                <w:color w:val="FF0000"/>
                <w:kern w:val="0"/>
                <w:sz w:val="16"/>
                <w:szCs w:val="16"/>
                <w:lang w:eastAsia="pl-PL"/>
                <w14:ligatures w14:val="none"/>
              </w:rPr>
            </w:pPr>
            <w:r w:rsidRPr="00995AB5">
              <w:rPr>
                <w:rFonts w:ascii="Calibri" w:eastAsia="Times New Roman" w:hAnsi="Calibri" w:cs="Calibri"/>
                <w:strike/>
                <w:color w:val="FF0000"/>
                <w:kern w:val="0"/>
                <w:sz w:val="16"/>
                <w:szCs w:val="16"/>
                <w:lang w:eastAsia="pl-PL"/>
                <w14:ligatures w14:val="none"/>
              </w:rPr>
              <w:t> </w:t>
            </w:r>
          </w:p>
        </w:tc>
        <w:tc>
          <w:tcPr>
            <w:tcW w:w="700" w:type="dxa"/>
            <w:tcBorders>
              <w:top w:val="nil"/>
              <w:left w:val="nil"/>
              <w:bottom w:val="single" w:sz="4" w:space="0" w:color="auto"/>
              <w:right w:val="single" w:sz="4" w:space="0" w:color="auto"/>
            </w:tcBorders>
            <w:shd w:val="clear" w:color="auto" w:fill="auto"/>
            <w:vAlign w:val="center"/>
            <w:hideMark/>
          </w:tcPr>
          <w:p w14:paraId="4AEC0A70" w14:textId="77777777" w:rsidR="00BD17DA" w:rsidRPr="00995AB5" w:rsidRDefault="00BD17DA" w:rsidP="00BD17DA">
            <w:pPr>
              <w:jc w:val="center"/>
              <w:rPr>
                <w:rFonts w:ascii="Calibri" w:eastAsia="Times New Roman" w:hAnsi="Calibri" w:cs="Calibri"/>
                <w:strike/>
                <w:color w:val="FF0000"/>
                <w:kern w:val="0"/>
                <w:sz w:val="16"/>
                <w:szCs w:val="16"/>
                <w:lang w:eastAsia="pl-PL"/>
                <w14:ligatures w14:val="none"/>
              </w:rPr>
            </w:pPr>
            <w:r w:rsidRPr="00995AB5">
              <w:rPr>
                <w:rFonts w:ascii="Calibri" w:eastAsia="Times New Roman" w:hAnsi="Calibri" w:cs="Calibri"/>
                <w:strike/>
                <w:color w:val="FF0000"/>
                <w:kern w:val="0"/>
                <w:sz w:val="16"/>
                <w:szCs w:val="16"/>
                <w:lang w:eastAsia="pl-PL"/>
                <w14:ligatures w14:val="none"/>
              </w:rPr>
              <w:t>PS WPR</w:t>
            </w:r>
          </w:p>
        </w:tc>
      </w:tr>
    </w:tbl>
    <w:p w14:paraId="0DCF511F" w14:textId="32B45B4F" w:rsidR="00BD17DA" w:rsidRDefault="00BD17DA" w:rsidP="00F32737">
      <w:pPr>
        <w:spacing w:line="276" w:lineRule="auto"/>
        <w:ind w:right="6"/>
        <w:jc w:val="both"/>
        <w:rPr>
          <w:rFonts w:eastAsia="Calibri" w:cstheme="minorHAnsi"/>
          <w:kern w:val="0"/>
          <w:lang w:eastAsia="pl-PL"/>
          <w14:ligatures w14:val="none"/>
        </w:rPr>
      </w:pPr>
    </w:p>
    <w:p w14:paraId="4C1FB220" w14:textId="77777777" w:rsidR="00BD17DA" w:rsidRDefault="00BD17DA">
      <w:pPr>
        <w:rPr>
          <w:rFonts w:eastAsia="Calibri" w:cstheme="minorHAnsi"/>
          <w:kern w:val="0"/>
          <w:lang w:eastAsia="pl-PL"/>
          <w14:ligatures w14:val="none"/>
        </w:rPr>
      </w:pPr>
      <w:r>
        <w:rPr>
          <w:rFonts w:eastAsia="Calibri" w:cstheme="minorHAnsi"/>
          <w:kern w:val="0"/>
          <w:lang w:eastAsia="pl-PL"/>
          <w14:ligatures w14:val="none"/>
        </w:rPr>
        <w:br w:type="page"/>
      </w:r>
    </w:p>
    <w:tbl>
      <w:tblPr>
        <w:tblW w:w="8676" w:type="dxa"/>
        <w:tblCellMar>
          <w:left w:w="70" w:type="dxa"/>
          <w:right w:w="70" w:type="dxa"/>
        </w:tblCellMar>
        <w:tblLook w:val="04A0" w:firstRow="1" w:lastRow="0" w:firstColumn="1" w:lastColumn="0" w:noHBand="0" w:noVBand="1"/>
      </w:tblPr>
      <w:tblGrid>
        <w:gridCol w:w="2320"/>
        <w:gridCol w:w="1540"/>
        <w:gridCol w:w="1540"/>
        <w:gridCol w:w="1540"/>
        <w:gridCol w:w="1700"/>
        <w:gridCol w:w="146"/>
      </w:tblGrid>
      <w:tr w:rsidR="00BD17DA" w:rsidRPr="00BD17DA" w14:paraId="68B9DBBC" w14:textId="77777777" w:rsidTr="00BD17DA">
        <w:trPr>
          <w:gridAfter w:val="1"/>
          <w:wAfter w:w="36" w:type="dxa"/>
          <w:trHeight w:val="315"/>
        </w:trPr>
        <w:tc>
          <w:tcPr>
            <w:tcW w:w="3860" w:type="dxa"/>
            <w:gridSpan w:val="2"/>
            <w:tcBorders>
              <w:top w:val="nil"/>
              <w:left w:val="nil"/>
              <w:bottom w:val="nil"/>
              <w:right w:val="nil"/>
            </w:tcBorders>
            <w:shd w:val="clear" w:color="auto" w:fill="auto"/>
            <w:noWrap/>
            <w:vAlign w:val="center"/>
            <w:hideMark/>
          </w:tcPr>
          <w:p w14:paraId="328625E3" w14:textId="77777777" w:rsidR="00BD17DA" w:rsidRPr="00BD17DA" w:rsidRDefault="00BD17DA" w:rsidP="00BD17DA">
            <w:pPr>
              <w:rPr>
                <w:rFonts w:ascii="Calibri" w:eastAsia="Times New Roman" w:hAnsi="Calibri" w:cs="Calibri"/>
                <w:b/>
                <w:bCs/>
                <w:color w:val="000000"/>
                <w:kern w:val="0"/>
                <w:sz w:val="24"/>
                <w:szCs w:val="24"/>
                <w:lang w:eastAsia="pl-PL"/>
                <w14:ligatures w14:val="none"/>
              </w:rPr>
            </w:pPr>
            <w:bookmarkStart w:id="113" w:name="RANGE!B1"/>
            <w:r w:rsidRPr="00BD17DA">
              <w:rPr>
                <w:rFonts w:ascii="Calibri" w:eastAsia="Times New Roman" w:hAnsi="Calibri" w:cs="Calibri"/>
                <w:b/>
                <w:bCs/>
                <w:color w:val="000000"/>
                <w:kern w:val="0"/>
                <w:sz w:val="24"/>
                <w:szCs w:val="24"/>
                <w:lang w:eastAsia="pl-PL"/>
                <w14:ligatures w14:val="none"/>
              </w:rPr>
              <w:lastRenderedPageBreak/>
              <w:t>Formularz 3: Budżet LSR</w:t>
            </w:r>
            <w:bookmarkEnd w:id="113"/>
          </w:p>
        </w:tc>
        <w:tc>
          <w:tcPr>
            <w:tcW w:w="1540" w:type="dxa"/>
            <w:tcBorders>
              <w:top w:val="nil"/>
              <w:left w:val="nil"/>
              <w:bottom w:val="nil"/>
              <w:right w:val="nil"/>
            </w:tcBorders>
            <w:shd w:val="clear" w:color="auto" w:fill="auto"/>
            <w:noWrap/>
            <w:vAlign w:val="bottom"/>
            <w:hideMark/>
          </w:tcPr>
          <w:p w14:paraId="5F6844D0" w14:textId="77777777" w:rsidR="00BD17DA" w:rsidRPr="00BD17DA" w:rsidRDefault="00BD17DA" w:rsidP="00BD17DA">
            <w:pPr>
              <w:rPr>
                <w:rFonts w:ascii="Calibri" w:eastAsia="Times New Roman" w:hAnsi="Calibri" w:cs="Calibri"/>
                <w:b/>
                <w:bCs/>
                <w:color w:val="000000"/>
                <w:kern w:val="0"/>
                <w:sz w:val="24"/>
                <w:szCs w:val="24"/>
                <w:lang w:eastAsia="pl-PL"/>
                <w14:ligatures w14:val="none"/>
              </w:rPr>
            </w:pPr>
          </w:p>
        </w:tc>
        <w:tc>
          <w:tcPr>
            <w:tcW w:w="1540" w:type="dxa"/>
            <w:tcBorders>
              <w:top w:val="nil"/>
              <w:left w:val="nil"/>
              <w:bottom w:val="nil"/>
              <w:right w:val="nil"/>
            </w:tcBorders>
            <w:shd w:val="clear" w:color="auto" w:fill="auto"/>
            <w:noWrap/>
            <w:vAlign w:val="bottom"/>
            <w:hideMark/>
          </w:tcPr>
          <w:p w14:paraId="3E24C71D" w14:textId="77777777" w:rsidR="00BD17DA" w:rsidRPr="00BD17DA" w:rsidRDefault="00BD17DA" w:rsidP="00BD17DA">
            <w:pPr>
              <w:rPr>
                <w:rFonts w:ascii="Times New Roman" w:eastAsia="Times New Roman" w:hAnsi="Times New Roman" w:cs="Times New Roman"/>
                <w:kern w:val="0"/>
                <w:sz w:val="20"/>
                <w:szCs w:val="20"/>
                <w:lang w:eastAsia="pl-PL"/>
                <w14:ligatures w14:val="none"/>
              </w:rPr>
            </w:pPr>
          </w:p>
        </w:tc>
        <w:tc>
          <w:tcPr>
            <w:tcW w:w="1700" w:type="dxa"/>
            <w:tcBorders>
              <w:top w:val="nil"/>
              <w:left w:val="nil"/>
              <w:bottom w:val="nil"/>
              <w:right w:val="nil"/>
            </w:tcBorders>
            <w:shd w:val="clear" w:color="auto" w:fill="auto"/>
            <w:noWrap/>
            <w:vAlign w:val="bottom"/>
            <w:hideMark/>
          </w:tcPr>
          <w:p w14:paraId="23F77E6D" w14:textId="77777777" w:rsidR="00BD17DA" w:rsidRPr="00BD17DA" w:rsidRDefault="00BD17DA" w:rsidP="00BD17DA">
            <w:pPr>
              <w:rPr>
                <w:rFonts w:ascii="Times New Roman" w:eastAsia="Times New Roman" w:hAnsi="Times New Roman" w:cs="Times New Roman"/>
                <w:kern w:val="0"/>
                <w:sz w:val="20"/>
                <w:szCs w:val="20"/>
                <w:lang w:eastAsia="pl-PL"/>
                <w14:ligatures w14:val="none"/>
              </w:rPr>
            </w:pPr>
          </w:p>
        </w:tc>
      </w:tr>
      <w:tr w:rsidR="00BD17DA" w:rsidRPr="00BD17DA" w14:paraId="57C98B47" w14:textId="77777777" w:rsidTr="00BD17DA">
        <w:trPr>
          <w:gridAfter w:val="1"/>
          <w:wAfter w:w="36" w:type="dxa"/>
          <w:trHeight w:val="315"/>
        </w:trPr>
        <w:tc>
          <w:tcPr>
            <w:tcW w:w="2320" w:type="dxa"/>
            <w:tcBorders>
              <w:top w:val="nil"/>
              <w:left w:val="nil"/>
              <w:bottom w:val="nil"/>
              <w:right w:val="nil"/>
            </w:tcBorders>
            <w:shd w:val="clear" w:color="auto" w:fill="auto"/>
            <w:noWrap/>
            <w:vAlign w:val="bottom"/>
            <w:hideMark/>
          </w:tcPr>
          <w:p w14:paraId="3D2FA7B8" w14:textId="77777777" w:rsidR="00BD17DA" w:rsidRPr="00BD17DA" w:rsidRDefault="00BD17DA" w:rsidP="00BD17DA">
            <w:pPr>
              <w:rPr>
                <w:rFonts w:ascii="Times New Roman" w:eastAsia="Times New Roman" w:hAnsi="Times New Roman" w:cs="Times New Roman"/>
                <w:kern w:val="0"/>
                <w:sz w:val="20"/>
                <w:szCs w:val="20"/>
                <w:lang w:eastAsia="pl-PL"/>
                <w14:ligatures w14:val="none"/>
              </w:rPr>
            </w:pPr>
          </w:p>
        </w:tc>
        <w:tc>
          <w:tcPr>
            <w:tcW w:w="1540" w:type="dxa"/>
            <w:tcBorders>
              <w:top w:val="nil"/>
              <w:left w:val="nil"/>
              <w:bottom w:val="nil"/>
              <w:right w:val="nil"/>
            </w:tcBorders>
            <w:shd w:val="clear" w:color="auto" w:fill="auto"/>
            <w:noWrap/>
            <w:vAlign w:val="bottom"/>
            <w:hideMark/>
          </w:tcPr>
          <w:p w14:paraId="68421150" w14:textId="77777777" w:rsidR="00BD17DA" w:rsidRPr="00BD17DA" w:rsidRDefault="00BD17DA" w:rsidP="00BD17DA">
            <w:pPr>
              <w:rPr>
                <w:rFonts w:ascii="Times New Roman" w:eastAsia="Times New Roman" w:hAnsi="Times New Roman" w:cs="Times New Roman"/>
                <w:kern w:val="0"/>
                <w:sz w:val="20"/>
                <w:szCs w:val="20"/>
                <w:lang w:eastAsia="pl-PL"/>
                <w14:ligatures w14:val="none"/>
              </w:rPr>
            </w:pPr>
          </w:p>
        </w:tc>
        <w:tc>
          <w:tcPr>
            <w:tcW w:w="1540" w:type="dxa"/>
            <w:tcBorders>
              <w:top w:val="nil"/>
              <w:left w:val="nil"/>
              <w:bottom w:val="nil"/>
              <w:right w:val="nil"/>
            </w:tcBorders>
            <w:shd w:val="clear" w:color="auto" w:fill="auto"/>
            <w:noWrap/>
            <w:vAlign w:val="bottom"/>
            <w:hideMark/>
          </w:tcPr>
          <w:p w14:paraId="499F113D" w14:textId="77777777" w:rsidR="00BD17DA" w:rsidRPr="00BD17DA" w:rsidRDefault="00BD17DA" w:rsidP="00BD17DA">
            <w:pPr>
              <w:rPr>
                <w:rFonts w:ascii="Times New Roman" w:eastAsia="Times New Roman" w:hAnsi="Times New Roman" w:cs="Times New Roman"/>
                <w:kern w:val="0"/>
                <w:sz w:val="20"/>
                <w:szCs w:val="20"/>
                <w:lang w:eastAsia="pl-PL"/>
                <w14:ligatures w14:val="none"/>
              </w:rPr>
            </w:pPr>
          </w:p>
        </w:tc>
        <w:tc>
          <w:tcPr>
            <w:tcW w:w="1540" w:type="dxa"/>
            <w:tcBorders>
              <w:top w:val="nil"/>
              <w:left w:val="nil"/>
              <w:bottom w:val="nil"/>
              <w:right w:val="nil"/>
            </w:tcBorders>
            <w:shd w:val="clear" w:color="auto" w:fill="auto"/>
            <w:noWrap/>
            <w:vAlign w:val="bottom"/>
            <w:hideMark/>
          </w:tcPr>
          <w:p w14:paraId="76652F91" w14:textId="77777777" w:rsidR="00BD17DA" w:rsidRPr="00BD17DA" w:rsidRDefault="00BD17DA" w:rsidP="00BD17DA">
            <w:pPr>
              <w:rPr>
                <w:rFonts w:ascii="Times New Roman" w:eastAsia="Times New Roman" w:hAnsi="Times New Roman" w:cs="Times New Roman"/>
                <w:kern w:val="0"/>
                <w:sz w:val="20"/>
                <w:szCs w:val="20"/>
                <w:lang w:eastAsia="pl-PL"/>
                <w14:ligatures w14:val="none"/>
              </w:rPr>
            </w:pPr>
          </w:p>
        </w:tc>
        <w:tc>
          <w:tcPr>
            <w:tcW w:w="1700" w:type="dxa"/>
            <w:tcBorders>
              <w:top w:val="nil"/>
              <w:left w:val="nil"/>
              <w:bottom w:val="nil"/>
              <w:right w:val="nil"/>
            </w:tcBorders>
            <w:shd w:val="clear" w:color="auto" w:fill="auto"/>
            <w:noWrap/>
            <w:vAlign w:val="bottom"/>
            <w:hideMark/>
          </w:tcPr>
          <w:p w14:paraId="22DEC8C9" w14:textId="77777777" w:rsidR="00BD17DA" w:rsidRPr="00BD17DA" w:rsidRDefault="00BD17DA" w:rsidP="00BD17DA">
            <w:pPr>
              <w:rPr>
                <w:rFonts w:ascii="Times New Roman" w:eastAsia="Times New Roman" w:hAnsi="Times New Roman" w:cs="Times New Roman"/>
                <w:kern w:val="0"/>
                <w:sz w:val="20"/>
                <w:szCs w:val="20"/>
                <w:lang w:eastAsia="pl-PL"/>
                <w14:ligatures w14:val="none"/>
              </w:rPr>
            </w:pPr>
          </w:p>
        </w:tc>
      </w:tr>
      <w:tr w:rsidR="00BD17DA" w:rsidRPr="00BD17DA" w14:paraId="5FD32518" w14:textId="77777777" w:rsidTr="00BD17DA">
        <w:trPr>
          <w:gridAfter w:val="1"/>
          <w:wAfter w:w="36" w:type="dxa"/>
          <w:trHeight w:val="630"/>
        </w:trPr>
        <w:tc>
          <w:tcPr>
            <w:tcW w:w="8640" w:type="dxa"/>
            <w:gridSpan w:val="5"/>
            <w:tcBorders>
              <w:top w:val="single" w:sz="8" w:space="0" w:color="auto"/>
              <w:left w:val="single" w:sz="8" w:space="0" w:color="auto"/>
              <w:bottom w:val="single" w:sz="8" w:space="0" w:color="auto"/>
              <w:right w:val="single" w:sz="8" w:space="0" w:color="000000"/>
            </w:tcBorders>
            <w:shd w:val="clear" w:color="000000" w:fill="FFFF00"/>
            <w:vAlign w:val="center"/>
            <w:hideMark/>
          </w:tcPr>
          <w:p w14:paraId="69F10ED6" w14:textId="77777777" w:rsidR="00BD17DA" w:rsidRPr="00BD17DA" w:rsidRDefault="00BD17DA" w:rsidP="00BD17DA">
            <w:pPr>
              <w:jc w:val="center"/>
              <w:rPr>
                <w:rFonts w:ascii="Calibri" w:eastAsia="Times New Roman" w:hAnsi="Calibri" w:cs="Calibri"/>
                <w:b/>
                <w:bCs/>
                <w:color w:val="000000"/>
                <w:kern w:val="0"/>
                <w:sz w:val="24"/>
                <w:szCs w:val="24"/>
                <w:lang w:eastAsia="pl-PL"/>
                <w14:ligatures w14:val="none"/>
              </w:rPr>
            </w:pPr>
            <w:r w:rsidRPr="00BD17DA">
              <w:rPr>
                <w:rFonts w:ascii="Calibri" w:eastAsia="Times New Roman" w:hAnsi="Calibri" w:cs="Calibri"/>
                <w:b/>
                <w:bCs/>
                <w:color w:val="000000"/>
                <w:kern w:val="0"/>
                <w:sz w:val="24"/>
                <w:szCs w:val="24"/>
                <w:lang w:eastAsia="pl-PL"/>
                <w14:ligatures w14:val="none"/>
              </w:rPr>
              <w:t xml:space="preserve">PLANOWANA WYSOKOŚĆ ŚRODKÓW NA WDRAŻANIE LSR I ZARZĄDZANIE LSR </w:t>
            </w:r>
          </w:p>
        </w:tc>
      </w:tr>
      <w:tr w:rsidR="00BD17DA" w:rsidRPr="00BD17DA" w14:paraId="7C2A513E" w14:textId="77777777" w:rsidTr="00BD17DA">
        <w:trPr>
          <w:gridAfter w:val="1"/>
          <w:wAfter w:w="36" w:type="dxa"/>
          <w:trHeight w:val="330"/>
        </w:trPr>
        <w:tc>
          <w:tcPr>
            <w:tcW w:w="2320" w:type="dxa"/>
            <w:vMerge w:val="restart"/>
            <w:tcBorders>
              <w:top w:val="nil"/>
              <w:left w:val="single" w:sz="8" w:space="0" w:color="auto"/>
              <w:bottom w:val="single" w:sz="8" w:space="0" w:color="000000"/>
              <w:right w:val="single" w:sz="8" w:space="0" w:color="auto"/>
            </w:tcBorders>
            <w:shd w:val="clear" w:color="000000" w:fill="FFFF66"/>
            <w:vAlign w:val="center"/>
            <w:hideMark/>
          </w:tcPr>
          <w:p w14:paraId="42430580" w14:textId="77777777" w:rsidR="00BD17DA" w:rsidRPr="00BD17DA" w:rsidRDefault="00BD17DA" w:rsidP="00BD17DA">
            <w:pPr>
              <w:jc w:val="center"/>
              <w:rPr>
                <w:rFonts w:ascii="Calibri" w:eastAsia="Times New Roman" w:hAnsi="Calibri" w:cs="Calibri"/>
                <w:b/>
                <w:bCs/>
                <w:color w:val="000000"/>
                <w:kern w:val="0"/>
                <w:sz w:val="24"/>
                <w:szCs w:val="24"/>
                <w:lang w:eastAsia="pl-PL"/>
                <w14:ligatures w14:val="none"/>
              </w:rPr>
            </w:pPr>
            <w:r w:rsidRPr="00BD17DA">
              <w:rPr>
                <w:rFonts w:ascii="Calibri" w:eastAsia="Times New Roman" w:hAnsi="Calibri" w:cs="Calibri"/>
                <w:b/>
                <w:bCs/>
                <w:color w:val="000000"/>
                <w:kern w:val="0"/>
                <w:sz w:val="24"/>
                <w:szCs w:val="24"/>
                <w:lang w:eastAsia="pl-PL"/>
                <w14:ligatures w14:val="none"/>
              </w:rPr>
              <w:t>Zakres wsparcia</w:t>
            </w:r>
          </w:p>
        </w:tc>
        <w:tc>
          <w:tcPr>
            <w:tcW w:w="4620" w:type="dxa"/>
            <w:gridSpan w:val="3"/>
            <w:tcBorders>
              <w:top w:val="single" w:sz="8" w:space="0" w:color="auto"/>
              <w:left w:val="nil"/>
              <w:bottom w:val="single" w:sz="8" w:space="0" w:color="auto"/>
              <w:right w:val="single" w:sz="8" w:space="0" w:color="000000"/>
            </w:tcBorders>
            <w:shd w:val="clear" w:color="000000" w:fill="FFFF66"/>
            <w:vAlign w:val="center"/>
            <w:hideMark/>
          </w:tcPr>
          <w:p w14:paraId="2036DC0A" w14:textId="77777777" w:rsidR="00BD17DA" w:rsidRPr="00BD17DA" w:rsidRDefault="00BD17DA" w:rsidP="00BD17DA">
            <w:pPr>
              <w:jc w:val="center"/>
              <w:rPr>
                <w:rFonts w:ascii="Calibri" w:eastAsia="Times New Roman" w:hAnsi="Calibri" w:cs="Calibri"/>
                <w:b/>
                <w:bCs/>
                <w:color w:val="000000"/>
                <w:kern w:val="0"/>
                <w:sz w:val="24"/>
                <w:szCs w:val="24"/>
                <w:lang w:eastAsia="pl-PL"/>
                <w14:ligatures w14:val="none"/>
              </w:rPr>
            </w:pPr>
            <w:r w:rsidRPr="00BD17DA">
              <w:rPr>
                <w:rFonts w:ascii="Calibri" w:eastAsia="Times New Roman" w:hAnsi="Calibri" w:cs="Calibri"/>
                <w:b/>
                <w:bCs/>
                <w:color w:val="000000"/>
                <w:kern w:val="0"/>
                <w:sz w:val="24"/>
                <w:szCs w:val="24"/>
                <w:lang w:eastAsia="pl-PL"/>
                <w14:ligatures w14:val="none"/>
              </w:rPr>
              <w:t>Program/Fundusz</w:t>
            </w:r>
          </w:p>
        </w:tc>
        <w:tc>
          <w:tcPr>
            <w:tcW w:w="1700" w:type="dxa"/>
            <w:tcBorders>
              <w:top w:val="nil"/>
              <w:left w:val="nil"/>
              <w:bottom w:val="nil"/>
              <w:right w:val="single" w:sz="8" w:space="0" w:color="auto"/>
            </w:tcBorders>
            <w:shd w:val="clear" w:color="000000" w:fill="FFFF66"/>
            <w:vAlign w:val="center"/>
            <w:hideMark/>
          </w:tcPr>
          <w:p w14:paraId="73A42B9E" w14:textId="77777777" w:rsidR="00BD17DA" w:rsidRPr="00BD17DA" w:rsidRDefault="00BD17DA" w:rsidP="00BD17DA">
            <w:pPr>
              <w:jc w:val="center"/>
              <w:rPr>
                <w:rFonts w:ascii="Calibri" w:eastAsia="Times New Roman" w:hAnsi="Calibri" w:cs="Calibri"/>
                <w:b/>
                <w:bCs/>
                <w:color w:val="000000"/>
                <w:kern w:val="0"/>
                <w:sz w:val="24"/>
                <w:szCs w:val="24"/>
                <w:lang w:eastAsia="pl-PL"/>
                <w14:ligatures w14:val="none"/>
              </w:rPr>
            </w:pPr>
            <w:r w:rsidRPr="00BD17DA">
              <w:rPr>
                <w:rFonts w:ascii="Calibri" w:eastAsia="Times New Roman" w:hAnsi="Calibri" w:cs="Calibri"/>
                <w:b/>
                <w:bCs/>
                <w:color w:val="000000"/>
                <w:kern w:val="0"/>
                <w:sz w:val="24"/>
                <w:szCs w:val="24"/>
                <w:lang w:eastAsia="pl-PL"/>
                <w14:ligatures w14:val="none"/>
              </w:rPr>
              <w:t>Środki ogółem</w:t>
            </w:r>
          </w:p>
        </w:tc>
      </w:tr>
      <w:tr w:rsidR="00BD17DA" w:rsidRPr="00BD17DA" w14:paraId="3DD4013B" w14:textId="77777777" w:rsidTr="00BD17DA">
        <w:trPr>
          <w:gridAfter w:val="1"/>
          <w:wAfter w:w="36" w:type="dxa"/>
          <w:trHeight w:val="330"/>
        </w:trPr>
        <w:tc>
          <w:tcPr>
            <w:tcW w:w="2320" w:type="dxa"/>
            <w:vMerge/>
            <w:tcBorders>
              <w:top w:val="nil"/>
              <w:left w:val="single" w:sz="8" w:space="0" w:color="auto"/>
              <w:bottom w:val="single" w:sz="8" w:space="0" w:color="000000"/>
              <w:right w:val="single" w:sz="8" w:space="0" w:color="auto"/>
            </w:tcBorders>
            <w:vAlign w:val="center"/>
            <w:hideMark/>
          </w:tcPr>
          <w:p w14:paraId="7E7BB9AC" w14:textId="77777777" w:rsidR="00BD17DA" w:rsidRPr="00BD17DA" w:rsidRDefault="00BD17DA" w:rsidP="00BD17DA">
            <w:pPr>
              <w:rPr>
                <w:rFonts w:ascii="Calibri" w:eastAsia="Times New Roman" w:hAnsi="Calibri" w:cs="Calibri"/>
                <w:b/>
                <w:bCs/>
                <w:color w:val="000000"/>
                <w:kern w:val="0"/>
                <w:sz w:val="24"/>
                <w:szCs w:val="24"/>
                <w:lang w:eastAsia="pl-PL"/>
                <w14:ligatures w14:val="none"/>
              </w:rPr>
            </w:pPr>
          </w:p>
        </w:tc>
        <w:tc>
          <w:tcPr>
            <w:tcW w:w="1540" w:type="dxa"/>
            <w:tcBorders>
              <w:top w:val="nil"/>
              <w:left w:val="nil"/>
              <w:bottom w:val="single" w:sz="8" w:space="0" w:color="auto"/>
              <w:right w:val="single" w:sz="8" w:space="0" w:color="auto"/>
            </w:tcBorders>
            <w:shd w:val="clear" w:color="000000" w:fill="FFFF66"/>
            <w:vAlign w:val="center"/>
            <w:hideMark/>
          </w:tcPr>
          <w:p w14:paraId="6B8EE8F4" w14:textId="77777777" w:rsidR="00BD17DA" w:rsidRPr="00BD17DA" w:rsidRDefault="00BD17DA" w:rsidP="00BD17DA">
            <w:pPr>
              <w:jc w:val="center"/>
              <w:rPr>
                <w:rFonts w:ascii="Calibri" w:eastAsia="Times New Roman" w:hAnsi="Calibri" w:cs="Calibri"/>
                <w:b/>
                <w:bCs/>
                <w:color w:val="000000"/>
                <w:kern w:val="0"/>
                <w:sz w:val="24"/>
                <w:szCs w:val="24"/>
                <w:lang w:eastAsia="pl-PL"/>
                <w14:ligatures w14:val="none"/>
              </w:rPr>
            </w:pPr>
            <w:r w:rsidRPr="00BD17DA">
              <w:rPr>
                <w:rFonts w:ascii="Calibri" w:eastAsia="Times New Roman" w:hAnsi="Calibri" w:cs="Calibri"/>
                <w:b/>
                <w:bCs/>
                <w:color w:val="000000"/>
                <w:kern w:val="0"/>
                <w:sz w:val="24"/>
                <w:szCs w:val="24"/>
                <w:lang w:eastAsia="pl-PL"/>
                <w14:ligatures w14:val="none"/>
              </w:rPr>
              <w:t>PS WPR</w:t>
            </w:r>
          </w:p>
        </w:tc>
        <w:tc>
          <w:tcPr>
            <w:tcW w:w="1540" w:type="dxa"/>
            <w:tcBorders>
              <w:top w:val="nil"/>
              <w:left w:val="nil"/>
              <w:bottom w:val="single" w:sz="8" w:space="0" w:color="auto"/>
              <w:right w:val="single" w:sz="8" w:space="0" w:color="auto"/>
            </w:tcBorders>
            <w:shd w:val="clear" w:color="000000" w:fill="FFFF66"/>
            <w:vAlign w:val="center"/>
            <w:hideMark/>
          </w:tcPr>
          <w:p w14:paraId="648BC104" w14:textId="77777777" w:rsidR="00BD17DA" w:rsidRPr="00BD17DA" w:rsidRDefault="00BD17DA" w:rsidP="00BD17DA">
            <w:pPr>
              <w:jc w:val="center"/>
              <w:rPr>
                <w:rFonts w:ascii="Calibri" w:eastAsia="Times New Roman" w:hAnsi="Calibri" w:cs="Calibri"/>
                <w:b/>
                <w:bCs/>
                <w:color w:val="000000"/>
                <w:kern w:val="0"/>
                <w:sz w:val="24"/>
                <w:szCs w:val="24"/>
                <w:lang w:eastAsia="pl-PL"/>
                <w14:ligatures w14:val="none"/>
              </w:rPr>
            </w:pPr>
            <w:r w:rsidRPr="00BD17DA">
              <w:rPr>
                <w:rFonts w:ascii="Calibri" w:eastAsia="Times New Roman" w:hAnsi="Calibri" w:cs="Calibri"/>
                <w:b/>
                <w:bCs/>
                <w:color w:val="000000"/>
                <w:kern w:val="0"/>
                <w:sz w:val="24"/>
                <w:szCs w:val="24"/>
                <w:lang w:eastAsia="pl-PL"/>
                <w14:ligatures w14:val="none"/>
              </w:rPr>
              <w:t>EFRR*</w:t>
            </w:r>
          </w:p>
        </w:tc>
        <w:tc>
          <w:tcPr>
            <w:tcW w:w="1540" w:type="dxa"/>
            <w:tcBorders>
              <w:top w:val="nil"/>
              <w:left w:val="nil"/>
              <w:bottom w:val="single" w:sz="8" w:space="0" w:color="auto"/>
              <w:right w:val="single" w:sz="8" w:space="0" w:color="auto"/>
            </w:tcBorders>
            <w:shd w:val="clear" w:color="000000" w:fill="FFFF66"/>
            <w:vAlign w:val="center"/>
            <w:hideMark/>
          </w:tcPr>
          <w:p w14:paraId="60789157" w14:textId="77777777" w:rsidR="00BD17DA" w:rsidRPr="00BD17DA" w:rsidRDefault="00BD17DA" w:rsidP="00BD17DA">
            <w:pPr>
              <w:jc w:val="center"/>
              <w:rPr>
                <w:rFonts w:ascii="Calibri" w:eastAsia="Times New Roman" w:hAnsi="Calibri" w:cs="Calibri"/>
                <w:b/>
                <w:bCs/>
                <w:color w:val="000000"/>
                <w:kern w:val="0"/>
                <w:sz w:val="24"/>
                <w:szCs w:val="24"/>
                <w:lang w:eastAsia="pl-PL"/>
                <w14:ligatures w14:val="none"/>
              </w:rPr>
            </w:pPr>
            <w:r w:rsidRPr="00BD17DA">
              <w:rPr>
                <w:rFonts w:ascii="Calibri" w:eastAsia="Times New Roman" w:hAnsi="Calibri" w:cs="Calibri"/>
                <w:b/>
                <w:bCs/>
                <w:color w:val="000000"/>
                <w:kern w:val="0"/>
                <w:sz w:val="24"/>
                <w:szCs w:val="24"/>
                <w:lang w:eastAsia="pl-PL"/>
                <w14:ligatures w14:val="none"/>
              </w:rPr>
              <w:t>EFS+*</w:t>
            </w:r>
          </w:p>
        </w:tc>
        <w:tc>
          <w:tcPr>
            <w:tcW w:w="1700" w:type="dxa"/>
            <w:tcBorders>
              <w:top w:val="nil"/>
              <w:left w:val="nil"/>
              <w:bottom w:val="single" w:sz="8" w:space="0" w:color="auto"/>
              <w:right w:val="single" w:sz="8" w:space="0" w:color="auto"/>
            </w:tcBorders>
            <w:shd w:val="clear" w:color="000000" w:fill="FFFF66"/>
            <w:vAlign w:val="center"/>
            <w:hideMark/>
          </w:tcPr>
          <w:p w14:paraId="0C6C9D1C" w14:textId="77777777" w:rsidR="00BD17DA" w:rsidRPr="00BD17DA" w:rsidRDefault="00BD17DA" w:rsidP="00BD17DA">
            <w:pPr>
              <w:jc w:val="center"/>
              <w:rPr>
                <w:rFonts w:ascii="Calibri" w:eastAsia="Times New Roman" w:hAnsi="Calibri" w:cs="Calibri"/>
                <w:b/>
                <w:bCs/>
                <w:color w:val="000000"/>
                <w:kern w:val="0"/>
                <w:sz w:val="24"/>
                <w:szCs w:val="24"/>
                <w:lang w:eastAsia="pl-PL"/>
                <w14:ligatures w14:val="none"/>
              </w:rPr>
            </w:pPr>
            <w:r w:rsidRPr="00BD17DA">
              <w:rPr>
                <w:rFonts w:ascii="Calibri" w:eastAsia="Times New Roman" w:hAnsi="Calibri" w:cs="Calibri"/>
                <w:b/>
                <w:bCs/>
                <w:color w:val="000000"/>
                <w:kern w:val="0"/>
                <w:sz w:val="24"/>
                <w:szCs w:val="24"/>
                <w:lang w:eastAsia="pl-PL"/>
                <w14:ligatures w14:val="none"/>
              </w:rPr>
              <w:t>(EUR)</w:t>
            </w:r>
          </w:p>
        </w:tc>
      </w:tr>
      <w:tr w:rsidR="00BD17DA" w:rsidRPr="00BD17DA" w14:paraId="67C45CC3" w14:textId="77777777" w:rsidTr="00BD17DA">
        <w:trPr>
          <w:gridAfter w:val="1"/>
          <w:wAfter w:w="36" w:type="dxa"/>
          <w:trHeight w:val="510"/>
        </w:trPr>
        <w:tc>
          <w:tcPr>
            <w:tcW w:w="2320" w:type="dxa"/>
            <w:tcBorders>
              <w:top w:val="nil"/>
              <w:left w:val="single" w:sz="8" w:space="0" w:color="auto"/>
              <w:bottom w:val="nil"/>
              <w:right w:val="single" w:sz="8" w:space="0" w:color="auto"/>
            </w:tcBorders>
            <w:shd w:val="clear" w:color="000000" w:fill="FFFF66"/>
            <w:vAlign w:val="center"/>
            <w:hideMark/>
          </w:tcPr>
          <w:p w14:paraId="094007E8" w14:textId="77777777" w:rsidR="00BD17DA" w:rsidRPr="00BD17DA" w:rsidRDefault="00BD17DA" w:rsidP="00BD17DA">
            <w:pPr>
              <w:jc w:val="center"/>
              <w:rPr>
                <w:rFonts w:ascii="Calibri" w:eastAsia="Times New Roman" w:hAnsi="Calibri" w:cs="Calibri"/>
                <w:b/>
                <w:bCs/>
                <w:color w:val="000000"/>
                <w:kern w:val="0"/>
                <w:sz w:val="24"/>
                <w:szCs w:val="24"/>
                <w:lang w:eastAsia="pl-PL"/>
                <w14:ligatures w14:val="none"/>
              </w:rPr>
            </w:pPr>
            <w:r w:rsidRPr="00BD17DA">
              <w:rPr>
                <w:rFonts w:ascii="Calibri" w:eastAsia="Times New Roman" w:hAnsi="Calibri" w:cs="Calibri"/>
                <w:b/>
                <w:bCs/>
                <w:color w:val="000000"/>
                <w:kern w:val="0"/>
                <w:sz w:val="24"/>
                <w:szCs w:val="24"/>
                <w:lang w:eastAsia="pl-PL"/>
                <w14:ligatures w14:val="none"/>
              </w:rPr>
              <w:t>Wdrażanie LSR</w:t>
            </w:r>
          </w:p>
        </w:tc>
        <w:tc>
          <w:tcPr>
            <w:tcW w:w="1540" w:type="dxa"/>
            <w:vMerge w:val="restart"/>
            <w:tcBorders>
              <w:top w:val="nil"/>
              <w:left w:val="single" w:sz="8" w:space="0" w:color="auto"/>
              <w:bottom w:val="single" w:sz="8" w:space="0" w:color="000000"/>
              <w:right w:val="single" w:sz="8" w:space="0" w:color="auto"/>
            </w:tcBorders>
            <w:shd w:val="clear" w:color="auto" w:fill="auto"/>
            <w:vAlign w:val="center"/>
            <w:hideMark/>
          </w:tcPr>
          <w:p w14:paraId="787C1017" w14:textId="77777777" w:rsidR="00BD17DA" w:rsidRPr="00BD17DA" w:rsidRDefault="00BD17DA" w:rsidP="00BD17DA">
            <w:pPr>
              <w:jc w:val="center"/>
              <w:rPr>
                <w:rFonts w:ascii="Calibri" w:eastAsia="Times New Roman" w:hAnsi="Calibri" w:cs="Calibri"/>
                <w:color w:val="000000"/>
                <w:kern w:val="0"/>
                <w:lang w:eastAsia="pl-PL"/>
                <w14:ligatures w14:val="none"/>
              </w:rPr>
            </w:pPr>
            <w:r w:rsidRPr="00BD17DA">
              <w:rPr>
                <w:rFonts w:ascii="Calibri" w:eastAsia="Times New Roman" w:hAnsi="Calibri" w:cs="Calibri"/>
                <w:color w:val="000000"/>
                <w:kern w:val="0"/>
                <w:lang w:eastAsia="pl-PL"/>
                <w14:ligatures w14:val="none"/>
              </w:rPr>
              <w:t>1 750 000</w:t>
            </w:r>
          </w:p>
        </w:tc>
        <w:tc>
          <w:tcPr>
            <w:tcW w:w="1540" w:type="dxa"/>
            <w:vMerge w:val="restart"/>
            <w:tcBorders>
              <w:top w:val="nil"/>
              <w:left w:val="single" w:sz="8" w:space="0" w:color="auto"/>
              <w:bottom w:val="single" w:sz="8" w:space="0" w:color="000000"/>
              <w:right w:val="single" w:sz="8" w:space="0" w:color="auto"/>
            </w:tcBorders>
            <w:shd w:val="clear" w:color="auto" w:fill="auto"/>
            <w:vAlign w:val="center"/>
            <w:hideMark/>
          </w:tcPr>
          <w:p w14:paraId="4A824721" w14:textId="583F9D6C" w:rsidR="00BD17DA" w:rsidRPr="000B514D" w:rsidRDefault="00255B73" w:rsidP="00BD17DA">
            <w:pPr>
              <w:jc w:val="center"/>
              <w:rPr>
                <w:rFonts w:ascii="Calibri" w:eastAsia="Times New Roman" w:hAnsi="Calibri" w:cs="Calibri"/>
                <w:kern w:val="0"/>
                <w:lang w:eastAsia="pl-PL"/>
                <w14:ligatures w14:val="none"/>
              </w:rPr>
            </w:pPr>
            <w:r w:rsidRPr="000B514D">
              <w:rPr>
                <w:rFonts w:ascii="Calibri" w:eastAsia="Times New Roman" w:hAnsi="Calibri" w:cs="Calibri"/>
                <w:kern w:val="0"/>
                <w:lang w:eastAsia="pl-PL"/>
                <w14:ligatures w14:val="none"/>
              </w:rPr>
              <w:t>448</w:t>
            </w:r>
            <w:r w:rsidR="00BD17DA" w:rsidRPr="000B514D">
              <w:rPr>
                <w:rFonts w:ascii="Calibri" w:eastAsia="Times New Roman" w:hAnsi="Calibri" w:cs="Calibri"/>
                <w:kern w:val="0"/>
                <w:lang w:eastAsia="pl-PL"/>
                <w14:ligatures w14:val="none"/>
              </w:rPr>
              <w:t xml:space="preserve"> 000</w:t>
            </w:r>
          </w:p>
        </w:tc>
        <w:tc>
          <w:tcPr>
            <w:tcW w:w="1540" w:type="dxa"/>
            <w:vMerge w:val="restart"/>
            <w:tcBorders>
              <w:top w:val="nil"/>
              <w:left w:val="single" w:sz="8" w:space="0" w:color="auto"/>
              <w:bottom w:val="single" w:sz="8" w:space="0" w:color="000000"/>
              <w:right w:val="single" w:sz="8" w:space="0" w:color="auto"/>
            </w:tcBorders>
            <w:shd w:val="clear" w:color="auto" w:fill="auto"/>
            <w:vAlign w:val="center"/>
            <w:hideMark/>
          </w:tcPr>
          <w:p w14:paraId="02EF91BC" w14:textId="2C024E02" w:rsidR="00BD17DA" w:rsidRPr="000B514D" w:rsidRDefault="00255B73" w:rsidP="00BD17DA">
            <w:pPr>
              <w:jc w:val="center"/>
              <w:rPr>
                <w:rFonts w:ascii="Calibri" w:eastAsia="Times New Roman" w:hAnsi="Calibri" w:cs="Calibri"/>
                <w:kern w:val="0"/>
                <w:lang w:eastAsia="pl-PL"/>
                <w14:ligatures w14:val="none"/>
              </w:rPr>
            </w:pPr>
            <w:r w:rsidRPr="000B514D">
              <w:rPr>
                <w:rFonts w:ascii="Calibri" w:eastAsia="Times New Roman" w:hAnsi="Calibri" w:cs="Calibri"/>
                <w:kern w:val="0"/>
                <w:lang w:eastAsia="pl-PL"/>
                <w14:ligatures w14:val="none"/>
              </w:rPr>
              <w:t>673</w:t>
            </w:r>
            <w:r w:rsidR="00BD17DA" w:rsidRPr="000B514D">
              <w:rPr>
                <w:rFonts w:ascii="Calibri" w:eastAsia="Times New Roman" w:hAnsi="Calibri" w:cs="Calibri"/>
                <w:kern w:val="0"/>
                <w:lang w:eastAsia="pl-PL"/>
                <w14:ligatures w14:val="none"/>
              </w:rPr>
              <w:t xml:space="preserve"> 000</w:t>
            </w:r>
          </w:p>
        </w:tc>
        <w:tc>
          <w:tcPr>
            <w:tcW w:w="1700" w:type="dxa"/>
            <w:vMerge w:val="restart"/>
            <w:tcBorders>
              <w:top w:val="nil"/>
              <w:left w:val="single" w:sz="8" w:space="0" w:color="auto"/>
              <w:bottom w:val="single" w:sz="8" w:space="0" w:color="000000"/>
              <w:right w:val="single" w:sz="8" w:space="0" w:color="auto"/>
            </w:tcBorders>
            <w:shd w:val="clear" w:color="auto" w:fill="auto"/>
            <w:vAlign w:val="center"/>
            <w:hideMark/>
          </w:tcPr>
          <w:p w14:paraId="3BB69D7B" w14:textId="1F3AC7E2" w:rsidR="00BD17DA" w:rsidRPr="000B514D" w:rsidRDefault="00C75E17" w:rsidP="00BD17DA">
            <w:pPr>
              <w:jc w:val="center"/>
              <w:rPr>
                <w:rFonts w:ascii="Times New Roman" w:eastAsia="Times New Roman" w:hAnsi="Times New Roman" w:cs="Times New Roman"/>
                <w:kern w:val="0"/>
                <w:lang w:eastAsia="pl-PL"/>
                <w14:ligatures w14:val="none"/>
              </w:rPr>
            </w:pPr>
            <w:r w:rsidRPr="000B514D">
              <w:rPr>
                <w:rFonts w:ascii="Times New Roman" w:eastAsia="Times New Roman" w:hAnsi="Times New Roman" w:cs="Times New Roman"/>
                <w:kern w:val="0"/>
                <w:lang w:eastAsia="pl-PL"/>
                <w14:ligatures w14:val="none"/>
              </w:rPr>
              <w:t>2 871</w:t>
            </w:r>
            <w:r w:rsidR="00BD17DA" w:rsidRPr="000B514D">
              <w:rPr>
                <w:rFonts w:ascii="Times New Roman" w:eastAsia="Times New Roman" w:hAnsi="Times New Roman" w:cs="Times New Roman"/>
                <w:kern w:val="0"/>
                <w:lang w:eastAsia="pl-PL"/>
                <w14:ligatures w14:val="none"/>
              </w:rPr>
              <w:t xml:space="preserve"> 000</w:t>
            </w:r>
          </w:p>
        </w:tc>
      </w:tr>
      <w:tr w:rsidR="00BD17DA" w:rsidRPr="00BD17DA" w14:paraId="6A3D522E" w14:textId="77777777" w:rsidTr="00BD17DA">
        <w:trPr>
          <w:gridAfter w:val="1"/>
          <w:wAfter w:w="36" w:type="dxa"/>
          <w:trHeight w:val="840"/>
        </w:trPr>
        <w:tc>
          <w:tcPr>
            <w:tcW w:w="2320" w:type="dxa"/>
            <w:tcBorders>
              <w:top w:val="nil"/>
              <w:left w:val="single" w:sz="8" w:space="0" w:color="auto"/>
              <w:bottom w:val="nil"/>
              <w:right w:val="single" w:sz="8" w:space="0" w:color="auto"/>
            </w:tcBorders>
            <w:shd w:val="clear" w:color="000000" w:fill="FFFF66"/>
            <w:vAlign w:val="center"/>
            <w:hideMark/>
          </w:tcPr>
          <w:p w14:paraId="732796F4" w14:textId="77777777" w:rsidR="00BD17DA" w:rsidRPr="00BD17DA" w:rsidRDefault="00BD17DA" w:rsidP="00BD17DA">
            <w:pPr>
              <w:jc w:val="center"/>
              <w:rPr>
                <w:rFonts w:ascii="Calibri" w:eastAsia="Times New Roman" w:hAnsi="Calibri" w:cs="Calibri"/>
                <w:color w:val="000000"/>
                <w:kern w:val="0"/>
                <w:sz w:val="24"/>
                <w:szCs w:val="24"/>
                <w:lang w:eastAsia="pl-PL"/>
                <w14:ligatures w14:val="none"/>
              </w:rPr>
            </w:pPr>
            <w:r w:rsidRPr="00BD17DA">
              <w:rPr>
                <w:rFonts w:ascii="Calibri" w:eastAsia="Times New Roman" w:hAnsi="Calibri" w:cs="Calibri"/>
                <w:color w:val="000000"/>
                <w:kern w:val="0"/>
                <w:sz w:val="24"/>
                <w:szCs w:val="24"/>
                <w:lang w:eastAsia="pl-PL"/>
                <w14:ligatures w14:val="none"/>
              </w:rPr>
              <w:t>(art. 34 ust. 1 lit. b rozporządzenia nr 2021/1060)</w:t>
            </w:r>
          </w:p>
        </w:tc>
        <w:tc>
          <w:tcPr>
            <w:tcW w:w="1540" w:type="dxa"/>
            <w:vMerge/>
            <w:tcBorders>
              <w:top w:val="nil"/>
              <w:left w:val="single" w:sz="8" w:space="0" w:color="auto"/>
              <w:bottom w:val="single" w:sz="8" w:space="0" w:color="000000"/>
              <w:right w:val="single" w:sz="8" w:space="0" w:color="auto"/>
            </w:tcBorders>
            <w:vAlign w:val="center"/>
            <w:hideMark/>
          </w:tcPr>
          <w:p w14:paraId="50D700FB" w14:textId="77777777" w:rsidR="00BD17DA" w:rsidRPr="00BD17DA" w:rsidRDefault="00BD17DA" w:rsidP="00BD17DA">
            <w:pPr>
              <w:rPr>
                <w:rFonts w:ascii="Calibri" w:eastAsia="Times New Roman" w:hAnsi="Calibri" w:cs="Calibri"/>
                <w:color w:val="000000"/>
                <w:kern w:val="0"/>
                <w:lang w:eastAsia="pl-PL"/>
                <w14:ligatures w14:val="none"/>
              </w:rPr>
            </w:pPr>
          </w:p>
        </w:tc>
        <w:tc>
          <w:tcPr>
            <w:tcW w:w="1540" w:type="dxa"/>
            <w:vMerge/>
            <w:tcBorders>
              <w:top w:val="nil"/>
              <w:left w:val="single" w:sz="8" w:space="0" w:color="auto"/>
              <w:bottom w:val="single" w:sz="8" w:space="0" w:color="000000"/>
              <w:right w:val="single" w:sz="8" w:space="0" w:color="auto"/>
            </w:tcBorders>
            <w:vAlign w:val="center"/>
            <w:hideMark/>
          </w:tcPr>
          <w:p w14:paraId="634D7E37" w14:textId="77777777" w:rsidR="00BD17DA" w:rsidRPr="000B514D" w:rsidRDefault="00BD17DA" w:rsidP="00BD17DA">
            <w:pPr>
              <w:rPr>
                <w:rFonts w:ascii="Calibri" w:eastAsia="Times New Roman" w:hAnsi="Calibri" w:cs="Calibri"/>
                <w:kern w:val="0"/>
                <w:lang w:eastAsia="pl-PL"/>
                <w14:ligatures w14:val="none"/>
              </w:rPr>
            </w:pPr>
          </w:p>
        </w:tc>
        <w:tc>
          <w:tcPr>
            <w:tcW w:w="1540" w:type="dxa"/>
            <w:vMerge/>
            <w:tcBorders>
              <w:top w:val="nil"/>
              <w:left w:val="single" w:sz="8" w:space="0" w:color="auto"/>
              <w:bottom w:val="single" w:sz="8" w:space="0" w:color="000000"/>
              <w:right w:val="single" w:sz="8" w:space="0" w:color="auto"/>
            </w:tcBorders>
            <w:vAlign w:val="center"/>
            <w:hideMark/>
          </w:tcPr>
          <w:p w14:paraId="2EEFE670" w14:textId="77777777" w:rsidR="00BD17DA" w:rsidRPr="000B514D" w:rsidRDefault="00BD17DA" w:rsidP="00BD17DA">
            <w:pPr>
              <w:rPr>
                <w:rFonts w:ascii="Calibri" w:eastAsia="Times New Roman" w:hAnsi="Calibri" w:cs="Calibri"/>
                <w:kern w:val="0"/>
                <w:lang w:eastAsia="pl-PL"/>
                <w14:ligatures w14:val="none"/>
              </w:rPr>
            </w:pPr>
          </w:p>
        </w:tc>
        <w:tc>
          <w:tcPr>
            <w:tcW w:w="1700" w:type="dxa"/>
            <w:vMerge/>
            <w:tcBorders>
              <w:top w:val="nil"/>
              <w:left w:val="single" w:sz="8" w:space="0" w:color="auto"/>
              <w:bottom w:val="single" w:sz="8" w:space="0" w:color="000000"/>
              <w:right w:val="single" w:sz="8" w:space="0" w:color="auto"/>
            </w:tcBorders>
            <w:vAlign w:val="center"/>
            <w:hideMark/>
          </w:tcPr>
          <w:p w14:paraId="44682417" w14:textId="77777777" w:rsidR="00BD17DA" w:rsidRPr="000B514D" w:rsidRDefault="00BD17DA" w:rsidP="00BD17DA">
            <w:pPr>
              <w:rPr>
                <w:rFonts w:ascii="Times New Roman" w:eastAsia="Times New Roman" w:hAnsi="Times New Roman" w:cs="Times New Roman"/>
                <w:kern w:val="0"/>
                <w:lang w:eastAsia="pl-PL"/>
                <w14:ligatures w14:val="none"/>
              </w:rPr>
            </w:pPr>
          </w:p>
        </w:tc>
      </w:tr>
      <w:tr w:rsidR="00BD17DA" w:rsidRPr="00BD17DA" w14:paraId="53CBB03E" w14:textId="77777777" w:rsidTr="00BD17DA">
        <w:trPr>
          <w:gridAfter w:val="1"/>
          <w:wAfter w:w="36" w:type="dxa"/>
          <w:trHeight w:val="330"/>
        </w:trPr>
        <w:tc>
          <w:tcPr>
            <w:tcW w:w="2320" w:type="dxa"/>
            <w:tcBorders>
              <w:top w:val="nil"/>
              <w:left w:val="single" w:sz="8" w:space="0" w:color="auto"/>
              <w:bottom w:val="single" w:sz="8" w:space="0" w:color="auto"/>
              <w:right w:val="single" w:sz="8" w:space="0" w:color="auto"/>
            </w:tcBorders>
            <w:shd w:val="clear" w:color="000000" w:fill="FFFF66"/>
            <w:hideMark/>
          </w:tcPr>
          <w:p w14:paraId="4D86A805" w14:textId="77777777" w:rsidR="00BD17DA" w:rsidRPr="00BD17DA" w:rsidRDefault="00BD17DA" w:rsidP="00BD17DA">
            <w:pPr>
              <w:jc w:val="center"/>
              <w:rPr>
                <w:rFonts w:ascii="Calibri" w:eastAsia="Times New Roman" w:hAnsi="Calibri" w:cs="Calibri"/>
                <w:color w:val="000000"/>
                <w:kern w:val="0"/>
                <w:lang w:eastAsia="pl-PL"/>
                <w14:ligatures w14:val="none"/>
              </w:rPr>
            </w:pPr>
            <w:r w:rsidRPr="00BD17DA">
              <w:rPr>
                <w:rFonts w:ascii="Calibri" w:eastAsia="Times New Roman" w:hAnsi="Calibri" w:cs="Calibri"/>
                <w:color w:val="000000"/>
                <w:kern w:val="0"/>
                <w:lang w:eastAsia="pl-PL"/>
                <w14:ligatures w14:val="none"/>
              </w:rPr>
              <w:t> </w:t>
            </w:r>
          </w:p>
        </w:tc>
        <w:tc>
          <w:tcPr>
            <w:tcW w:w="1540" w:type="dxa"/>
            <w:vMerge/>
            <w:tcBorders>
              <w:top w:val="nil"/>
              <w:left w:val="single" w:sz="8" w:space="0" w:color="auto"/>
              <w:bottom w:val="single" w:sz="8" w:space="0" w:color="000000"/>
              <w:right w:val="single" w:sz="8" w:space="0" w:color="auto"/>
            </w:tcBorders>
            <w:vAlign w:val="center"/>
            <w:hideMark/>
          </w:tcPr>
          <w:p w14:paraId="41E8A494" w14:textId="77777777" w:rsidR="00BD17DA" w:rsidRPr="00BD17DA" w:rsidRDefault="00BD17DA" w:rsidP="00BD17DA">
            <w:pPr>
              <w:rPr>
                <w:rFonts w:ascii="Calibri" w:eastAsia="Times New Roman" w:hAnsi="Calibri" w:cs="Calibri"/>
                <w:color w:val="000000"/>
                <w:kern w:val="0"/>
                <w:lang w:eastAsia="pl-PL"/>
                <w14:ligatures w14:val="none"/>
              </w:rPr>
            </w:pPr>
          </w:p>
        </w:tc>
        <w:tc>
          <w:tcPr>
            <w:tcW w:w="1540" w:type="dxa"/>
            <w:vMerge/>
            <w:tcBorders>
              <w:top w:val="nil"/>
              <w:left w:val="single" w:sz="8" w:space="0" w:color="auto"/>
              <w:bottom w:val="single" w:sz="8" w:space="0" w:color="000000"/>
              <w:right w:val="single" w:sz="8" w:space="0" w:color="auto"/>
            </w:tcBorders>
            <w:vAlign w:val="center"/>
            <w:hideMark/>
          </w:tcPr>
          <w:p w14:paraId="14FE96AA" w14:textId="77777777" w:rsidR="00BD17DA" w:rsidRPr="000B514D" w:rsidRDefault="00BD17DA" w:rsidP="00BD17DA">
            <w:pPr>
              <w:rPr>
                <w:rFonts w:ascii="Calibri" w:eastAsia="Times New Roman" w:hAnsi="Calibri" w:cs="Calibri"/>
                <w:kern w:val="0"/>
                <w:lang w:eastAsia="pl-PL"/>
                <w14:ligatures w14:val="none"/>
              </w:rPr>
            </w:pPr>
          </w:p>
        </w:tc>
        <w:tc>
          <w:tcPr>
            <w:tcW w:w="1540" w:type="dxa"/>
            <w:vMerge/>
            <w:tcBorders>
              <w:top w:val="nil"/>
              <w:left w:val="single" w:sz="8" w:space="0" w:color="auto"/>
              <w:bottom w:val="single" w:sz="8" w:space="0" w:color="000000"/>
              <w:right w:val="single" w:sz="8" w:space="0" w:color="auto"/>
            </w:tcBorders>
            <w:vAlign w:val="center"/>
            <w:hideMark/>
          </w:tcPr>
          <w:p w14:paraId="05E6A385" w14:textId="77777777" w:rsidR="00BD17DA" w:rsidRPr="000B514D" w:rsidRDefault="00BD17DA" w:rsidP="00BD17DA">
            <w:pPr>
              <w:rPr>
                <w:rFonts w:ascii="Calibri" w:eastAsia="Times New Roman" w:hAnsi="Calibri" w:cs="Calibri"/>
                <w:kern w:val="0"/>
                <w:lang w:eastAsia="pl-PL"/>
                <w14:ligatures w14:val="none"/>
              </w:rPr>
            </w:pPr>
          </w:p>
        </w:tc>
        <w:tc>
          <w:tcPr>
            <w:tcW w:w="1700" w:type="dxa"/>
            <w:vMerge/>
            <w:tcBorders>
              <w:top w:val="nil"/>
              <w:left w:val="single" w:sz="8" w:space="0" w:color="auto"/>
              <w:bottom w:val="single" w:sz="8" w:space="0" w:color="000000"/>
              <w:right w:val="single" w:sz="8" w:space="0" w:color="auto"/>
            </w:tcBorders>
            <w:vAlign w:val="center"/>
            <w:hideMark/>
          </w:tcPr>
          <w:p w14:paraId="7C1BDBC9" w14:textId="77777777" w:rsidR="00BD17DA" w:rsidRPr="000B514D" w:rsidRDefault="00BD17DA" w:rsidP="00BD17DA">
            <w:pPr>
              <w:rPr>
                <w:rFonts w:ascii="Times New Roman" w:eastAsia="Times New Roman" w:hAnsi="Times New Roman" w:cs="Times New Roman"/>
                <w:kern w:val="0"/>
                <w:lang w:eastAsia="pl-PL"/>
                <w14:ligatures w14:val="none"/>
              </w:rPr>
            </w:pPr>
          </w:p>
        </w:tc>
      </w:tr>
      <w:tr w:rsidR="00BD17DA" w:rsidRPr="00BD17DA" w14:paraId="53DF25DF" w14:textId="77777777" w:rsidTr="00BD17DA">
        <w:trPr>
          <w:gridAfter w:val="1"/>
          <w:wAfter w:w="36" w:type="dxa"/>
          <w:trHeight w:val="465"/>
        </w:trPr>
        <w:tc>
          <w:tcPr>
            <w:tcW w:w="2320" w:type="dxa"/>
            <w:tcBorders>
              <w:top w:val="nil"/>
              <w:left w:val="single" w:sz="8" w:space="0" w:color="auto"/>
              <w:bottom w:val="nil"/>
              <w:right w:val="single" w:sz="8" w:space="0" w:color="auto"/>
            </w:tcBorders>
            <w:shd w:val="clear" w:color="000000" w:fill="FFFF66"/>
            <w:vAlign w:val="center"/>
            <w:hideMark/>
          </w:tcPr>
          <w:p w14:paraId="48352F09" w14:textId="77777777" w:rsidR="00BD17DA" w:rsidRPr="00BD17DA" w:rsidRDefault="00BD17DA" w:rsidP="00BD17DA">
            <w:pPr>
              <w:jc w:val="center"/>
              <w:rPr>
                <w:rFonts w:ascii="Calibri" w:eastAsia="Times New Roman" w:hAnsi="Calibri" w:cs="Calibri"/>
                <w:b/>
                <w:bCs/>
                <w:color w:val="000000"/>
                <w:kern w:val="0"/>
                <w:sz w:val="24"/>
                <w:szCs w:val="24"/>
                <w:lang w:eastAsia="pl-PL"/>
                <w14:ligatures w14:val="none"/>
              </w:rPr>
            </w:pPr>
            <w:r w:rsidRPr="00BD17DA">
              <w:rPr>
                <w:rFonts w:ascii="Calibri" w:eastAsia="Times New Roman" w:hAnsi="Calibri" w:cs="Calibri"/>
                <w:b/>
                <w:bCs/>
                <w:color w:val="000000"/>
                <w:kern w:val="0"/>
                <w:sz w:val="24"/>
                <w:szCs w:val="24"/>
                <w:lang w:eastAsia="pl-PL"/>
                <w14:ligatures w14:val="none"/>
              </w:rPr>
              <w:t>Zarządzanie LSR</w:t>
            </w:r>
          </w:p>
        </w:tc>
        <w:tc>
          <w:tcPr>
            <w:tcW w:w="1540" w:type="dxa"/>
            <w:vMerge w:val="restart"/>
            <w:tcBorders>
              <w:top w:val="nil"/>
              <w:left w:val="single" w:sz="8" w:space="0" w:color="auto"/>
              <w:bottom w:val="single" w:sz="8" w:space="0" w:color="000000"/>
              <w:right w:val="single" w:sz="8" w:space="0" w:color="auto"/>
            </w:tcBorders>
            <w:shd w:val="clear" w:color="auto" w:fill="auto"/>
            <w:vAlign w:val="center"/>
            <w:hideMark/>
          </w:tcPr>
          <w:p w14:paraId="3B5A576B" w14:textId="77777777" w:rsidR="00BD17DA" w:rsidRPr="00BD17DA" w:rsidRDefault="00BD17DA" w:rsidP="00BD17DA">
            <w:pPr>
              <w:jc w:val="center"/>
              <w:rPr>
                <w:rFonts w:ascii="Calibri" w:eastAsia="Times New Roman" w:hAnsi="Calibri" w:cs="Calibri"/>
                <w:color w:val="000000"/>
                <w:kern w:val="0"/>
                <w:lang w:eastAsia="pl-PL"/>
                <w14:ligatures w14:val="none"/>
              </w:rPr>
            </w:pPr>
            <w:r w:rsidRPr="00BD17DA">
              <w:rPr>
                <w:rFonts w:ascii="Calibri" w:eastAsia="Times New Roman" w:hAnsi="Calibri" w:cs="Calibri"/>
                <w:color w:val="000000"/>
                <w:kern w:val="0"/>
                <w:lang w:eastAsia="pl-PL"/>
                <w14:ligatures w14:val="none"/>
              </w:rPr>
              <w:t>412 500</w:t>
            </w:r>
          </w:p>
        </w:tc>
        <w:tc>
          <w:tcPr>
            <w:tcW w:w="1540" w:type="dxa"/>
            <w:vMerge w:val="restart"/>
            <w:tcBorders>
              <w:top w:val="nil"/>
              <w:left w:val="single" w:sz="8" w:space="0" w:color="auto"/>
              <w:bottom w:val="single" w:sz="8" w:space="0" w:color="000000"/>
              <w:right w:val="single" w:sz="8" w:space="0" w:color="auto"/>
            </w:tcBorders>
            <w:shd w:val="clear" w:color="auto" w:fill="auto"/>
            <w:vAlign w:val="center"/>
            <w:hideMark/>
          </w:tcPr>
          <w:p w14:paraId="13D873F9" w14:textId="7A23024E" w:rsidR="00BD17DA" w:rsidRPr="000B514D" w:rsidRDefault="00B24503" w:rsidP="00BD17DA">
            <w:pPr>
              <w:jc w:val="center"/>
              <w:rPr>
                <w:rFonts w:ascii="Calibri" w:eastAsia="Times New Roman" w:hAnsi="Calibri" w:cs="Calibri"/>
                <w:kern w:val="0"/>
                <w:highlight w:val="yellow"/>
                <w:lang w:eastAsia="pl-PL"/>
                <w14:ligatures w14:val="none"/>
              </w:rPr>
            </w:pPr>
            <w:r w:rsidRPr="000B514D">
              <w:rPr>
                <w:rFonts w:ascii="Calibri" w:eastAsia="Times New Roman" w:hAnsi="Calibri" w:cs="Calibri"/>
                <w:kern w:val="0"/>
                <w:lang w:eastAsia="pl-PL"/>
                <w14:ligatures w14:val="none"/>
              </w:rPr>
              <w:t>105 593,60</w:t>
            </w:r>
          </w:p>
        </w:tc>
        <w:tc>
          <w:tcPr>
            <w:tcW w:w="1540" w:type="dxa"/>
            <w:vMerge w:val="restart"/>
            <w:tcBorders>
              <w:top w:val="nil"/>
              <w:left w:val="single" w:sz="8" w:space="0" w:color="auto"/>
              <w:bottom w:val="single" w:sz="8" w:space="0" w:color="000000"/>
              <w:right w:val="single" w:sz="8" w:space="0" w:color="auto"/>
            </w:tcBorders>
            <w:shd w:val="clear" w:color="auto" w:fill="auto"/>
            <w:vAlign w:val="center"/>
            <w:hideMark/>
          </w:tcPr>
          <w:p w14:paraId="71E5D199" w14:textId="4CA902ED" w:rsidR="00BD17DA" w:rsidRPr="000B514D" w:rsidRDefault="00B24503" w:rsidP="00BD17DA">
            <w:pPr>
              <w:jc w:val="center"/>
              <w:rPr>
                <w:rFonts w:ascii="Calibri" w:eastAsia="Times New Roman" w:hAnsi="Calibri" w:cs="Calibri"/>
                <w:kern w:val="0"/>
                <w:highlight w:val="yellow"/>
                <w:lang w:eastAsia="pl-PL"/>
                <w14:ligatures w14:val="none"/>
              </w:rPr>
            </w:pPr>
            <w:r w:rsidRPr="000B514D">
              <w:rPr>
                <w:rFonts w:ascii="Calibri" w:eastAsia="Times New Roman" w:hAnsi="Calibri" w:cs="Calibri"/>
                <w:kern w:val="0"/>
                <w:lang w:eastAsia="pl-PL"/>
                <w14:ligatures w14:val="none"/>
              </w:rPr>
              <w:t>158 626,10</w:t>
            </w:r>
          </w:p>
        </w:tc>
        <w:tc>
          <w:tcPr>
            <w:tcW w:w="1700" w:type="dxa"/>
            <w:vMerge w:val="restart"/>
            <w:tcBorders>
              <w:top w:val="nil"/>
              <w:left w:val="single" w:sz="8" w:space="0" w:color="auto"/>
              <w:bottom w:val="single" w:sz="8" w:space="0" w:color="000000"/>
              <w:right w:val="single" w:sz="8" w:space="0" w:color="auto"/>
            </w:tcBorders>
            <w:shd w:val="clear" w:color="auto" w:fill="auto"/>
            <w:vAlign w:val="center"/>
            <w:hideMark/>
          </w:tcPr>
          <w:p w14:paraId="18A6D8FD" w14:textId="6BA1BC77" w:rsidR="00BD17DA" w:rsidRPr="000B514D" w:rsidRDefault="00145722" w:rsidP="00BD17DA">
            <w:pPr>
              <w:jc w:val="center"/>
              <w:rPr>
                <w:rFonts w:ascii="Times New Roman" w:eastAsia="Times New Roman" w:hAnsi="Times New Roman" w:cs="Times New Roman"/>
                <w:kern w:val="0"/>
                <w:highlight w:val="yellow"/>
                <w:lang w:eastAsia="pl-PL"/>
                <w14:ligatures w14:val="none"/>
              </w:rPr>
            </w:pPr>
            <w:r w:rsidRPr="000B514D">
              <w:rPr>
                <w:rFonts w:ascii="Times New Roman" w:eastAsia="Times New Roman" w:hAnsi="Times New Roman" w:cs="Times New Roman"/>
                <w:kern w:val="0"/>
                <w:lang w:eastAsia="pl-PL"/>
                <w14:ligatures w14:val="none"/>
              </w:rPr>
              <w:t>676 719,70</w:t>
            </w:r>
          </w:p>
        </w:tc>
      </w:tr>
      <w:tr w:rsidR="00BD17DA" w:rsidRPr="00BD17DA" w14:paraId="6440B0E4" w14:textId="77777777" w:rsidTr="00BD17DA">
        <w:trPr>
          <w:gridAfter w:val="1"/>
          <w:wAfter w:w="36" w:type="dxa"/>
          <w:trHeight w:val="1020"/>
        </w:trPr>
        <w:tc>
          <w:tcPr>
            <w:tcW w:w="2320" w:type="dxa"/>
            <w:tcBorders>
              <w:top w:val="nil"/>
              <w:left w:val="single" w:sz="8" w:space="0" w:color="auto"/>
              <w:bottom w:val="nil"/>
              <w:right w:val="single" w:sz="8" w:space="0" w:color="auto"/>
            </w:tcBorders>
            <w:shd w:val="clear" w:color="000000" w:fill="FFFF66"/>
            <w:vAlign w:val="center"/>
            <w:hideMark/>
          </w:tcPr>
          <w:p w14:paraId="32BCAC30" w14:textId="77777777" w:rsidR="00BD17DA" w:rsidRPr="00BD17DA" w:rsidRDefault="00BD17DA" w:rsidP="00BD17DA">
            <w:pPr>
              <w:jc w:val="center"/>
              <w:rPr>
                <w:rFonts w:ascii="Calibri" w:eastAsia="Times New Roman" w:hAnsi="Calibri" w:cs="Calibri"/>
                <w:color w:val="000000"/>
                <w:kern w:val="0"/>
                <w:sz w:val="24"/>
                <w:szCs w:val="24"/>
                <w:lang w:eastAsia="pl-PL"/>
                <w14:ligatures w14:val="none"/>
              </w:rPr>
            </w:pPr>
            <w:r w:rsidRPr="00BD17DA">
              <w:rPr>
                <w:rFonts w:ascii="Calibri" w:eastAsia="Times New Roman" w:hAnsi="Calibri" w:cs="Calibri"/>
                <w:color w:val="000000"/>
                <w:kern w:val="0"/>
                <w:sz w:val="24"/>
                <w:szCs w:val="24"/>
                <w:lang w:eastAsia="pl-PL"/>
                <w14:ligatures w14:val="none"/>
              </w:rPr>
              <w:t>(art. 34 ust. 1 lit. c rozporządzenia nr 2021/1060)</w:t>
            </w:r>
          </w:p>
        </w:tc>
        <w:tc>
          <w:tcPr>
            <w:tcW w:w="1540" w:type="dxa"/>
            <w:vMerge/>
            <w:tcBorders>
              <w:top w:val="nil"/>
              <w:left w:val="single" w:sz="8" w:space="0" w:color="auto"/>
              <w:bottom w:val="single" w:sz="8" w:space="0" w:color="000000"/>
              <w:right w:val="single" w:sz="8" w:space="0" w:color="auto"/>
            </w:tcBorders>
            <w:vAlign w:val="center"/>
            <w:hideMark/>
          </w:tcPr>
          <w:p w14:paraId="0B266E8E" w14:textId="77777777" w:rsidR="00BD17DA" w:rsidRPr="00BD17DA" w:rsidRDefault="00BD17DA" w:rsidP="00BD17DA">
            <w:pPr>
              <w:rPr>
                <w:rFonts w:ascii="Calibri" w:eastAsia="Times New Roman" w:hAnsi="Calibri" w:cs="Calibri"/>
                <w:color w:val="000000"/>
                <w:kern w:val="0"/>
                <w:lang w:eastAsia="pl-PL"/>
                <w14:ligatures w14:val="none"/>
              </w:rPr>
            </w:pPr>
          </w:p>
        </w:tc>
        <w:tc>
          <w:tcPr>
            <w:tcW w:w="1540" w:type="dxa"/>
            <w:vMerge/>
            <w:tcBorders>
              <w:top w:val="nil"/>
              <w:left w:val="single" w:sz="8" w:space="0" w:color="auto"/>
              <w:bottom w:val="single" w:sz="8" w:space="0" w:color="000000"/>
              <w:right w:val="single" w:sz="8" w:space="0" w:color="auto"/>
            </w:tcBorders>
            <w:vAlign w:val="center"/>
            <w:hideMark/>
          </w:tcPr>
          <w:p w14:paraId="5C6BEB24" w14:textId="77777777" w:rsidR="00BD17DA" w:rsidRPr="000B514D" w:rsidRDefault="00BD17DA" w:rsidP="00BD17DA">
            <w:pPr>
              <w:rPr>
                <w:rFonts w:ascii="Calibri" w:eastAsia="Times New Roman" w:hAnsi="Calibri" w:cs="Calibri"/>
                <w:kern w:val="0"/>
                <w:lang w:eastAsia="pl-PL"/>
                <w14:ligatures w14:val="none"/>
              </w:rPr>
            </w:pPr>
          </w:p>
        </w:tc>
        <w:tc>
          <w:tcPr>
            <w:tcW w:w="1540" w:type="dxa"/>
            <w:vMerge/>
            <w:tcBorders>
              <w:top w:val="nil"/>
              <w:left w:val="single" w:sz="8" w:space="0" w:color="auto"/>
              <w:bottom w:val="single" w:sz="8" w:space="0" w:color="000000"/>
              <w:right w:val="single" w:sz="8" w:space="0" w:color="auto"/>
            </w:tcBorders>
            <w:vAlign w:val="center"/>
            <w:hideMark/>
          </w:tcPr>
          <w:p w14:paraId="3328AEB4" w14:textId="77777777" w:rsidR="00BD17DA" w:rsidRPr="000B514D" w:rsidRDefault="00BD17DA" w:rsidP="00BD17DA">
            <w:pPr>
              <w:rPr>
                <w:rFonts w:ascii="Calibri" w:eastAsia="Times New Roman" w:hAnsi="Calibri" w:cs="Calibri"/>
                <w:kern w:val="0"/>
                <w:lang w:eastAsia="pl-PL"/>
                <w14:ligatures w14:val="none"/>
              </w:rPr>
            </w:pPr>
          </w:p>
        </w:tc>
        <w:tc>
          <w:tcPr>
            <w:tcW w:w="1700" w:type="dxa"/>
            <w:vMerge/>
            <w:tcBorders>
              <w:top w:val="nil"/>
              <w:left w:val="single" w:sz="8" w:space="0" w:color="auto"/>
              <w:bottom w:val="single" w:sz="8" w:space="0" w:color="000000"/>
              <w:right w:val="single" w:sz="8" w:space="0" w:color="auto"/>
            </w:tcBorders>
            <w:vAlign w:val="center"/>
            <w:hideMark/>
          </w:tcPr>
          <w:p w14:paraId="3AC2F513" w14:textId="77777777" w:rsidR="00BD17DA" w:rsidRPr="000B514D" w:rsidRDefault="00BD17DA" w:rsidP="00BD17DA">
            <w:pPr>
              <w:rPr>
                <w:rFonts w:ascii="Times New Roman" w:eastAsia="Times New Roman" w:hAnsi="Times New Roman" w:cs="Times New Roman"/>
                <w:kern w:val="0"/>
                <w:lang w:eastAsia="pl-PL"/>
                <w14:ligatures w14:val="none"/>
              </w:rPr>
            </w:pPr>
          </w:p>
        </w:tc>
      </w:tr>
      <w:tr w:rsidR="00BD17DA" w:rsidRPr="00BD17DA" w14:paraId="0CD06FEF" w14:textId="77777777" w:rsidTr="00BD17DA">
        <w:trPr>
          <w:gridAfter w:val="1"/>
          <w:wAfter w:w="36" w:type="dxa"/>
          <w:trHeight w:val="165"/>
        </w:trPr>
        <w:tc>
          <w:tcPr>
            <w:tcW w:w="2320" w:type="dxa"/>
            <w:tcBorders>
              <w:top w:val="nil"/>
              <w:left w:val="single" w:sz="8" w:space="0" w:color="auto"/>
              <w:bottom w:val="single" w:sz="8" w:space="0" w:color="auto"/>
              <w:right w:val="single" w:sz="8" w:space="0" w:color="auto"/>
            </w:tcBorders>
            <w:shd w:val="clear" w:color="000000" w:fill="FFFF66"/>
            <w:hideMark/>
          </w:tcPr>
          <w:p w14:paraId="20CF169D" w14:textId="77777777" w:rsidR="00BD17DA" w:rsidRPr="00BD17DA" w:rsidRDefault="00BD17DA" w:rsidP="00BD17DA">
            <w:pPr>
              <w:jc w:val="center"/>
              <w:rPr>
                <w:rFonts w:ascii="Calibri" w:eastAsia="Times New Roman" w:hAnsi="Calibri" w:cs="Calibri"/>
                <w:color w:val="000000"/>
                <w:kern w:val="0"/>
                <w:lang w:eastAsia="pl-PL"/>
                <w14:ligatures w14:val="none"/>
              </w:rPr>
            </w:pPr>
            <w:r w:rsidRPr="00BD17DA">
              <w:rPr>
                <w:rFonts w:ascii="Calibri" w:eastAsia="Times New Roman" w:hAnsi="Calibri" w:cs="Calibri"/>
                <w:color w:val="000000"/>
                <w:kern w:val="0"/>
                <w:lang w:eastAsia="pl-PL"/>
                <w14:ligatures w14:val="none"/>
              </w:rPr>
              <w:t> </w:t>
            </w:r>
          </w:p>
        </w:tc>
        <w:tc>
          <w:tcPr>
            <w:tcW w:w="1540" w:type="dxa"/>
            <w:vMerge/>
            <w:tcBorders>
              <w:top w:val="nil"/>
              <w:left w:val="single" w:sz="8" w:space="0" w:color="auto"/>
              <w:bottom w:val="single" w:sz="8" w:space="0" w:color="000000"/>
              <w:right w:val="single" w:sz="8" w:space="0" w:color="auto"/>
            </w:tcBorders>
            <w:vAlign w:val="center"/>
            <w:hideMark/>
          </w:tcPr>
          <w:p w14:paraId="43A33B35" w14:textId="77777777" w:rsidR="00BD17DA" w:rsidRPr="00BD17DA" w:rsidRDefault="00BD17DA" w:rsidP="00BD17DA">
            <w:pPr>
              <w:rPr>
                <w:rFonts w:ascii="Calibri" w:eastAsia="Times New Roman" w:hAnsi="Calibri" w:cs="Calibri"/>
                <w:color w:val="000000"/>
                <w:kern w:val="0"/>
                <w:lang w:eastAsia="pl-PL"/>
                <w14:ligatures w14:val="none"/>
              </w:rPr>
            </w:pPr>
          </w:p>
        </w:tc>
        <w:tc>
          <w:tcPr>
            <w:tcW w:w="1540" w:type="dxa"/>
            <w:vMerge/>
            <w:tcBorders>
              <w:top w:val="nil"/>
              <w:left w:val="single" w:sz="8" w:space="0" w:color="auto"/>
              <w:bottom w:val="single" w:sz="8" w:space="0" w:color="000000"/>
              <w:right w:val="single" w:sz="8" w:space="0" w:color="auto"/>
            </w:tcBorders>
            <w:vAlign w:val="center"/>
            <w:hideMark/>
          </w:tcPr>
          <w:p w14:paraId="6823469B" w14:textId="77777777" w:rsidR="00BD17DA" w:rsidRPr="000B514D" w:rsidRDefault="00BD17DA" w:rsidP="00BD17DA">
            <w:pPr>
              <w:rPr>
                <w:rFonts w:ascii="Calibri" w:eastAsia="Times New Roman" w:hAnsi="Calibri" w:cs="Calibri"/>
                <w:kern w:val="0"/>
                <w:lang w:eastAsia="pl-PL"/>
                <w14:ligatures w14:val="none"/>
              </w:rPr>
            </w:pPr>
          </w:p>
        </w:tc>
        <w:tc>
          <w:tcPr>
            <w:tcW w:w="1540" w:type="dxa"/>
            <w:vMerge/>
            <w:tcBorders>
              <w:top w:val="nil"/>
              <w:left w:val="single" w:sz="8" w:space="0" w:color="auto"/>
              <w:bottom w:val="single" w:sz="8" w:space="0" w:color="000000"/>
              <w:right w:val="single" w:sz="8" w:space="0" w:color="auto"/>
            </w:tcBorders>
            <w:vAlign w:val="center"/>
            <w:hideMark/>
          </w:tcPr>
          <w:p w14:paraId="2C5886CB" w14:textId="77777777" w:rsidR="00BD17DA" w:rsidRPr="000B514D" w:rsidRDefault="00BD17DA" w:rsidP="00BD17DA">
            <w:pPr>
              <w:rPr>
                <w:rFonts w:ascii="Calibri" w:eastAsia="Times New Roman" w:hAnsi="Calibri" w:cs="Calibri"/>
                <w:kern w:val="0"/>
                <w:lang w:eastAsia="pl-PL"/>
                <w14:ligatures w14:val="none"/>
              </w:rPr>
            </w:pPr>
          </w:p>
        </w:tc>
        <w:tc>
          <w:tcPr>
            <w:tcW w:w="1700" w:type="dxa"/>
            <w:vMerge/>
            <w:tcBorders>
              <w:top w:val="nil"/>
              <w:left w:val="single" w:sz="8" w:space="0" w:color="auto"/>
              <w:bottom w:val="single" w:sz="8" w:space="0" w:color="000000"/>
              <w:right w:val="single" w:sz="8" w:space="0" w:color="auto"/>
            </w:tcBorders>
            <w:vAlign w:val="center"/>
            <w:hideMark/>
          </w:tcPr>
          <w:p w14:paraId="5B37F575" w14:textId="77777777" w:rsidR="00BD17DA" w:rsidRPr="000B514D" w:rsidRDefault="00BD17DA" w:rsidP="00BD17DA">
            <w:pPr>
              <w:rPr>
                <w:rFonts w:ascii="Times New Roman" w:eastAsia="Times New Roman" w:hAnsi="Times New Roman" w:cs="Times New Roman"/>
                <w:kern w:val="0"/>
                <w:lang w:eastAsia="pl-PL"/>
                <w14:ligatures w14:val="none"/>
              </w:rPr>
            </w:pPr>
          </w:p>
        </w:tc>
      </w:tr>
      <w:tr w:rsidR="00BD17DA" w:rsidRPr="00BD17DA" w14:paraId="3F3A55CA" w14:textId="77777777" w:rsidTr="00BD17DA">
        <w:trPr>
          <w:gridAfter w:val="1"/>
          <w:wAfter w:w="36" w:type="dxa"/>
          <w:trHeight w:val="315"/>
        </w:trPr>
        <w:tc>
          <w:tcPr>
            <w:tcW w:w="2320" w:type="dxa"/>
            <w:vMerge w:val="restart"/>
            <w:tcBorders>
              <w:top w:val="nil"/>
              <w:left w:val="single" w:sz="8" w:space="0" w:color="auto"/>
              <w:bottom w:val="single" w:sz="8" w:space="0" w:color="000000"/>
              <w:right w:val="single" w:sz="8" w:space="0" w:color="auto"/>
            </w:tcBorders>
            <w:shd w:val="clear" w:color="000000" w:fill="FFFF00"/>
            <w:vAlign w:val="center"/>
            <w:hideMark/>
          </w:tcPr>
          <w:p w14:paraId="3362E2EA" w14:textId="77777777" w:rsidR="00BD17DA" w:rsidRPr="00BD17DA" w:rsidRDefault="00BD17DA" w:rsidP="00BD17DA">
            <w:pPr>
              <w:jc w:val="center"/>
              <w:rPr>
                <w:rFonts w:ascii="Calibri" w:eastAsia="Times New Roman" w:hAnsi="Calibri" w:cs="Calibri"/>
                <w:b/>
                <w:bCs/>
                <w:color w:val="000000"/>
                <w:kern w:val="0"/>
                <w:sz w:val="24"/>
                <w:szCs w:val="24"/>
                <w:lang w:eastAsia="pl-PL"/>
                <w14:ligatures w14:val="none"/>
              </w:rPr>
            </w:pPr>
            <w:r w:rsidRPr="00BD17DA">
              <w:rPr>
                <w:rFonts w:ascii="Calibri" w:eastAsia="Times New Roman" w:hAnsi="Calibri" w:cs="Calibri"/>
                <w:b/>
                <w:bCs/>
                <w:color w:val="000000"/>
                <w:kern w:val="0"/>
                <w:sz w:val="24"/>
                <w:szCs w:val="24"/>
                <w:lang w:eastAsia="pl-PL"/>
                <w14:ligatures w14:val="none"/>
              </w:rPr>
              <w:t>Razem</w:t>
            </w:r>
          </w:p>
        </w:tc>
        <w:tc>
          <w:tcPr>
            <w:tcW w:w="1540" w:type="dxa"/>
            <w:vMerge w:val="restart"/>
            <w:tcBorders>
              <w:top w:val="nil"/>
              <w:left w:val="single" w:sz="8" w:space="0" w:color="auto"/>
              <w:bottom w:val="single" w:sz="8" w:space="0" w:color="000000"/>
              <w:right w:val="single" w:sz="8" w:space="0" w:color="auto"/>
            </w:tcBorders>
            <w:shd w:val="clear" w:color="auto" w:fill="auto"/>
            <w:vAlign w:val="center"/>
            <w:hideMark/>
          </w:tcPr>
          <w:p w14:paraId="73A80299" w14:textId="77777777" w:rsidR="00BD17DA" w:rsidRPr="00BD17DA" w:rsidRDefault="00BD17DA" w:rsidP="00BD17DA">
            <w:pPr>
              <w:jc w:val="center"/>
              <w:rPr>
                <w:rFonts w:ascii="Calibri" w:eastAsia="Times New Roman" w:hAnsi="Calibri" w:cs="Calibri"/>
                <w:color w:val="000000"/>
                <w:kern w:val="0"/>
                <w:lang w:eastAsia="pl-PL"/>
                <w14:ligatures w14:val="none"/>
              </w:rPr>
            </w:pPr>
            <w:r w:rsidRPr="00BD17DA">
              <w:rPr>
                <w:rFonts w:ascii="Calibri" w:eastAsia="Times New Roman" w:hAnsi="Calibri" w:cs="Calibri"/>
                <w:color w:val="000000"/>
                <w:kern w:val="0"/>
                <w:lang w:eastAsia="pl-PL"/>
                <w14:ligatures w14:val="none"/>
              </w:rPr>
              <w:t>2 162 500</w:t>
            </w:r>
          </w:p>
        </w:tc>
        <w:tc>
          <w:tcPr>
            <w:tcW w:w="1540" w:type="dxa"/>
            <w:vMerge w:val="restart"/>
            <w:tcBorders>
              <w:top w:val="nil"/>
              <w:left w:val="single" w:sz="8" w:space="0" w:color="auto"/>
              <w:bottom w:val="single" w:sz="8" w:space="0" w:color="000000"/>
              <w:right w:val="single" w:sz="8" w:space="0" w:color="auto"/>
            </w:tcBorders>
            <w:shd w:val="clear" w:color="auto" w:fill="auto"/>
            <w:vAlign w:val="center"/>
            <w:hideMark/>
          </w:tcPr>
          <w:p w14:paraId="0F788E63" w14:textId="6D056677" w:rsidR="00BD17DA" w:rsidRPr="000B514D" w:rsidRDefault="00145722" w:rsidP="00BD17DA">
            <w:pPr>
              <w:jc w:val="center"/>
              <w:rPr>
                <w:rFonts w:ascii="Calibri" w:eastAsia="Times New Roman" w:hAnsi="Calibri" w:cs="Calibri"/>
                <w:kern w:val="0"/>
                <w:highlight w:val="yellow"/>
                <w:lang w:eastAsia="pl-PL"/>
                <w14:ligatures w14:val="none"/>
              </w:rPr>
            </w:pPr>
            <w:r w:rsidRPr="000B514D">
              <w:rPr>
                <w:rFonts w:ascii="Calibri" w:eastAsia="Times New Roman" w:hAnsi="Calibri" w:cs="Calibri"/>
                <w:kern w:val="0"/>
                <w:lang w:eastAsia="pl-PL"/>
                <w14:ligatures w14:val="none"/>
              </w:rPr>
              <w:t>553 593,60</w:t>
            </w:r>
          </w:p>
        </w:tc>
        <w:tc>
          <w:tcPr>
            <w:tcW w:w="1540" w:type="dxa"/>
            <w:vMerge w:val="restart"/>
            <w:tcBorders>
              <w:top w:val="nil"/>
              <w:left w:val="single" w:sz="8" w:space="0" w:color="auto"/>
              <w:bottom w:val="single" w:sz="8" w:space="0" w:color="000000"/>
              <w:right w:val="single" w:sz="8" w:space="0" w:color="auto"/>
            </w:tcBorders>
            <w:shd w:val="clear" w:color="auto" w:fill="auto"/>
            <w:vAlign w:val="center"/>
            <w:hideMark/>
          </w:tcPr>
          <w:p w14:paraId="1EFB2789" w14:textId="35855D32" w:rsidR="00BD17DA" w:rsidRPr="000B514D" w:rsidRDefault="00145722" w:rsidP="00BD17DA">
            <w:pPr>
              <w:jc w:val="center"/>
              <w:rPr>
                <w:rFonts w:ascii="Calibri" w:eastAsia="Times New Roman" w:hAnsi="Calibri" w:cs="Calibri"/>
                <w:kern w:val="0"/>
                <w:highlight w:val="yellow"/>
                <w:lang w:eastAsia="pl-PL"/>
                <w14:ligatures w14:val="none"/>
              </w:rPr>
            </w:pPr>
            <w:r w:rsidRPr="000B514D">
              <w:rPr>
                <w:rFonts w:ascii="Calibri" w:eastAsia="Times New Roman" w:hAnsi="Calibri" w:cs="Calibri"/>
                <w:kern w:val="0"/>
                <w:lang w:eastAsia="pl-PL"/>
                <w14:ligatures w14:val="none"/>
              </w:rPr>
              <w:t>831 626,10</w:t>
            </w:r>
          </w:p>
        </w:tc>
        <w:tc>
          <w:tcPr>
            <w:tcW w:w="1700" w:type="dxa"/>
            <w:vMerge w:val="restart"/>
            <w:tcBorders>
              <w:top w:val="nil"/>
              <w:left w:val="single" w:sz="8" w:space="0" w:color="auto"/>
              <w:bottom w:val="single" w:sz="8" w:space="0" w:color="000000"/>
              <w:right w:val="single" w:sz="8" w:space="0" w:color="auto"/>
            </w:tcBorders>
            <w:shd w:val="clear" w:color="auto" w:fill="auto"/>
            <w:vAlign w:val="center"/>
            <w:hideMark/>
          </w:tcPr>
          <w:p w14:paraId="242875C2" w14:textId="3C5CD028" w:rsidR="00BD17DA" w:rsidRPr="000B514D" w:rsidRDefault="00C75E17" w:rsidP="00BD17DA">
            <w:pPr>
              <w:jc w:val="center"/>
              <w:rPr>
                <w:rFonts w:ascii="Calibri" w:eastAsia="Times New Roman" w:hAnsi="Calibri" w:cs="Calibri"/>
                <w:kern w:val="0"/>
                <w:lang w:eastAsia="pl-PL"/>
                <w14:ligatures w14:val="none"/>
              </w:rPr>
            </w:pPr>
            <w:r w:rsidRPr="000B514D">
              <w:rPr>
                <w:rFonts w:ascii="Calibri" w:eastAsia="Times New Roman" w:hAnsi="Calibri" w:cs="Calibri"/>
                <w:kern w:val="0"/>
                <w:lang w:eastAsia="pl-PL"/>
                <w14:ligatures w14:val="none"/>
              </w:rPr>
              <w:t>3</w:t>
            </w:r>
            <w:r w:rsidR="00145722" w:rsidRPr="000B514D">
              <w:rPr>
                <w:rFonts w:ascii="Calibri" w:eastAsia="Times New Roman" w:hAnsi="Calibri" w:cs="Calibri"/>
                <w:kern w:val="0"/>
                <w:lang w:eastAsia="pl-PL"/>
                <w14:ligatures w14:val="none"/>
              </w:rPr>
              <w:t> </w:t>
            </w:r>
            <w:r w:rsidRPr="000B514D">
              <w:rPr>
                <w:rFonts w:ascii="Calibri" w:eastAsia="Times New Roman" w:hAnsi="Calibri" w:cs="Calibri"/>
                <w:kern w:val="0"/>
                <w:lang w:eastAsia="pl-PL"/>
                <w14:ligatures w14:val="none"/>
              </w:rPr>
              <w:t>5</w:t>
            </w:r>
            <w:r w:rsidR="00145722" w:rsidRPr="000B514D">
              <w:rPr>
                <w:rFonts w:ascii="Calibri" w:eastAsia="Times New Roman" w:hAnsi="Calibri" w:cs="Calibri"/>
                <w:kern w:val="0"/>
                <w:lang w:eastAsia="pl-PL"/>
                <w14:ligatures w14:val="none"/>
              </w:rPr>
              <w:t>47 719,70</w:t>
            </w:r>
          </w:p>
        </w:tc>
      </w:tr>
      <w:tr w:rsidR="00BD17DA" w:rsidRPr="00BD17DA" w14:paraId="2855AA9A" w14:textId="77777777" w:rsidTr="00BD17DA">
        <w:trPr>
          <w:trHeight w:val="330"/>
        </w:trPr>
        <w:tc>
          <w:tcPr>
            <w:tcW w:w="2320" w:type="dxa"/>
            <w:vMerge/>
            <w:tcBorders>
              <w:top w:val="nil"/>
              <w:left w:val="single" w:sz="8" w:space="0" w:color="auto"/>
              <w:bottom w:val="single" w:sz="8" w:space="0" w:color="000000"/>
              <w:right w:val="single" w:sz="8" w:space="0" w:color="auto"/>
            </w:tcBorders>
            <w:vAlign w:val="center"/>
            <w:hideMark/>
          </w:tcPr>
          <w:p w14:paraId="3BF9F6B5" w14:textId="77777777" w:rsidR="00BD17DA" w:rsidRPr="00BD17DA" w:rsidRDefault="00BD17DA" w:rsidP="00BD17DA">
            <w:pPr>
              <w:rPr>
                <w:rFonts w:ascii="Calibri" w:eastAsia="Times New Roman" w:hAnsi="Calibri" w:cs="Calibri"/>
                <w:b/>
                <w:bCs/>
                <w:color w:val="000000"/>
                <w:kern w:val="0"/>
                <w:sz w:val="24"/>
                <w:szCs w:val="24"/>
                <w:lang w:eastAsia="pl-PL"/>
                <w14:ligatures w14:val="none"/>
              </w:rPr>
            </w:pPr>
          </w:p>
        </w:tc>
        <w:tc>
          <w:tcPr>
            <w:tcW w:w="1540" w:type="dxa"/>
            <w:vMerge/>
            <w:tcBorders>
              <w:top w:val="nil"/>
              <w:left w:val="single" w:sz="8" w:space="0" w:color="auto"/>
              <w:bottom w:val="single" w:sz="8" w:space="0" w:color="000000"/>
              <w:right w:val="single" w:sz="8" w:space="0" w:color="auto"/>
            </w:tcBorders>
            <w:vAlign w:val="center"/>
            <w:hideMark/>
          </w:tcPr>
          <w:p w14:paraId="7F7A4CCD" w14:textId="77777777" w:rsidR="00BD17DA" w:rsidRPr="00BD17DA" w:rsidRDefault="00BD17DA" w:rsidP="00BD17DA">
            <w:pPr>
              <w:rPr>
                <w:rFonts w:ascii="Calibri" w:eastAsia="Times New Roman" w:hAnsi="Calibri" w:cs="Calibri"/>
                <w:color w:val="000000"/>
                <w:kern w:val="0"/>
                <w:lang w:eastAsia="pl-PL"/>
                <w14:ligatures w14:val="none"/>
              </w:rPr>
            </w:pPr>
          </w:p>
        </w:tc>
        <w:tc>
          <w:tcPr>
            <w:tcW w:w="1540" w:type="dxa"/>
            <w:vMerge/>
            <w:tcBorders>
              <w:top w:val="nil"/>
              <w:left w:val="single" w:sz="8" w:space="0" w:color="auto"/>
              <w:bottom w:val="single" w:sz="8" w:space="0" w:color="000000"/>
              <w:right w:val="single" w:sz="8" w:space="0" w:color="auto"/>
            </w:tcBorders>
            <w:vAlign w:val="center"/>
            <w:hideMark/>
          </w:tcPr>
          <w:p w14:paraId="11E14684" w14:textId="77777777" w:rsidR="00BD17DA" w:rsidRPr="00BD17DA" w:rsidRDefault="00BD17DA" w:rsidP="00BD17DA">
            <w:pPr>
              <w:rPr>
                <w:rFonts w:ascii="Calibri" w:eastAsia="Times New Roman" w:hAnsi="Calibri" w:cs="Calibri"/>
                <w:color w:val="000000"/>
                <w:kern w:val="0"/>
                <w:lang w:eastAsia="pl-PL"/>
                <w14:ligatures w14:val="none"/>
              </w:rPr>
            </w:pPr>
          </w:p>
        </w:tc>
        <w:tc>
          <w:tcPr>
            <w:tcW w:w="1540" w:type="dxa"/>
            <w:vMerge/>
            <w:tcBorders>
              <w:top w:val="nil"/>
              <w:left w:val="single" w:sz="8" w:space="0" w:color="auto"/>
              <w:bottom w:val="single" w:sz="8" w:space="0" w:color="000000"/>
              <w:right w:val="single" w:sz="8" w:space="0" w:color="auto"/>
            </w:tcBorders>
            <w:vAlign w:val="center"/>
            <w:hideMark/>
          </w:tcPr>
          <w:p w14:paraId="0A5AFB1E" w14:textId="77777777" w:rsidR="00BD17DA" w:rsidRPr="00BD17DA" w:rsidRDefault="00BD17DA" w:rsidP="00BD17DA">
            <w:pPr>
              <w:rPr>
                <w:rFonts w:ascii="Calibri" w:eastAsia="Times New Roman" w:hAnsi="Calibri" w:cs="Calibri"/>
                <w:color w:val="000000"/>
                <w:kern w:val="0"/>
                <w:lang w:eastAsia="pl-PL"/>
                <w14:ligatures w14:val="none"/>
              </w:rPr>
            </w:pPr>
          </w:p>
        </w:tc>
        <w:tc>
          <w:tcPr>
            <w:tcW w:w="1700" w:type="dxa"/>
            <w:vMerge/>
            <w:tcBorders>
              <w:top w:val="nil"/>
              <w:left w:val="single" w:sz="8" w:space="0" w:color="auto"/>
              <w:bottom w:val="single" w:sz="8" w:space="0" w:color="000000"/>
              <w:right w:val="single" w:sz="8" w:space="0" w:color="auto"/>
            </w:tcBorders>
            <w:vAlign w:val="center"/>
            <w:hideMark/>
          </w:tcPr>
          <w:p w14:paraId="5F60541C" w14:textId="77777777" w:rsidR="00BD17DA" w:rsidRPr="00BD17DA" w:rsidRDefault="00BD17DA" w:rsidP="00BD17DA">
            <w:pPr>
              <w:rPr>
                <w:rFonts w:ascii="Calibri" w:eastAsia="Times New Roman" w:hAnsi="Calibri" w:cs="Calibri"/>
                <w:color w:val="000000"/>
                <w:kern w:val="0"/>
                <w:lang w:eastAsia="pl-PL"/>
                <w14:ligatures w14:val="none"/>
              </w:rPr>
            </w:pPr>
          </w:p>
        </w:tc>
        <w:tc>
          <w:tcPr>
            <w:tcW w:w="36" w:type="dxa"/>
            <w:tcBorders>
              <w:top w:val="nil"/>
              <w:left w:val="nil"/>
              <w:bottom w:val="nil"/>
              <w:right w:val="nil"/>
            </w:tcBorders>
            <w:shd w:val="clear" w:color="auto" w:fill="auto"/>
            <w:noWrap/>
            <w:vAlign w:val="bottom"/>
            <w:hideMark/>
          </w:tcPr>
          <w:p w14:paraId="0D87A871" w14:textId="77777777" w:rsidR="00BD17DA" w:rsidRPr="00BD17DA" w:rsidRDefault="00BD17DA" w:rsidP="00BD17DA">
            <w:pPr>
              <w:jc w:val="center"/>
              <w:rPr>
                <w:rFonts w:ascii="Calibri" w:eastAsia="Times New Roman" w:hAnsi="Calibri" w:cs="Calibri"/>
                <w:color w:val="000000"/>
                <w:kern w:val="0"/>
                <w:lang w:eastAsia="pl-PL"/>
                <w14:ligatures w14:val="none"/>
              </w:rPr>
            </w:pPr>
          </w:p>
        </w:tc>
      </w:tr>
      <w:tr w:rsidR="00BD17DA" w:rsidRPr="00BD17DA" w14:paraId="71A45896" w14:textId="77777777" w:rsidTr="00BD17DA">
        <w:trPr>
          <w:trHeight w:val="660"/>
        </w:trPr>
        <w:tc>
          <w:tcPr>
            <w:tcW w:w="8640" w:type="dxa"/>
            <w:gridSpan w:val="5"/>
            <w:tcBorders>
              <w:top w:val="single" w:sz="8" w:space="0" w:color="auto"/>
              <w:left w:val="single" w:sz="8" w:space="0" w:color="auto"/>
              <w:bottom w:val="nil"/>
              <w:right w:val="single" w:sz="8" w:space="0" w:color="000000"/>
            </w:tcBorders>
            <w:shd w:val="clear" w:color="auto" w:fill="auto"/>
            <w:vAlign w:val="center"/>
            <w:hideMark/>
          </w:tcPr>
          <w:p w14:paraId="797EAE95" w14:textId="77777777" w:rsidR="00BD17DA" w:rsidRPr="00BD17DA" w:rsidRDefault="00BD17DA" w:rsidP="00BD17DA">
            <w:pPr>
              <w:rPr>
                <w:rFonts w:ascii="Calibri" w:eastAsia="Times New Roman" w:hAnsi="Calibri" w:cs="Calibri"/>
                <w:i/>
                <w:iCs/>
                <w:color w:val="000000"/>
                <w:kern w:val="0"/>
                <w:sz w:val="20"/>
                <w:szCs w:val="20"/>
                <w:lang w:eastAsia="pl-PL"/>
                <w14:ligatures w14:val="none"/>
              </w:rPr>
            </w:pPr>
            <w:r w:rsidRPr="00BD17DA">
              <w:rPr>
                <w:rFonts w:ascii="Calibri" w:eastAsia="Times New Roman" w:hAnsi="Calibri" w:cs="Calibri"/>
                <w:i/>
                <w:iCs/>
                <w:color w:val="000000"/>
                <w:kern w:val="0"/>
                <w:sz w:val="20"/>
                <w:szCs w:val="20"/>
                <w:lang w:eastAsia="pl-PL"/>
                <w14:ligatures w14:val="none"/>
              </w:rPr>
              <w:t>* Wysokość środków danego funduszu na RLKS dostępnych dla LGD w danym województwie będzie wyższa o wartość wkładu krajowego, którego procentowy udział w tej kwocie jest określony dla danego FEW.</w:t>
            </w:r>
          </w:p>
        </w:tc>
        <w:tc>
          <w:tcPr>
            <w:tcW w:w="36" w:type="dxa"/>
            <w:vAlign w:val="center"/>
            <w:hideMark/>
          </w:tcPr>
          <w:p w14:paraId="0BFC85C4" w14:textId="77777777" w:rsidR="00BD17DA" w:rsidRPr="00BD17DA" w:rsidRDefault="00BD17DA" w:rsidP="00BD17DA">
            <w:pPr>
              <w:rPr>
                <w:rFonts w:ascii="Times New Roman" w:eastAsia="Times New Roman" w:hAnsi="Times New Roman" w:cs="Times New Roman"/>
                <w:kern w:val="0"/>
                <w:sz w:val="20"/>
                <w:szCs w:val="20"/>
                <w:lang w:eastAsia="pl-PL"/>
                <w14:ligatures w14:val="none"/>
              </w:rPr>
            </w:pPr>
          </w:p>
        </w:tc>
      </w:tr>
      <w:tr w:rsidR="00BD17DA" w:rsidRPr="00BD17DA" w14:paraId="64947FBB" w14:textId="77777777" w:rsidTr="00BD17DA">
        <w:trPr>
          <w:trHeight w:val="630"/>
        </w:trPr>
        <w:tc>
          <w:tcPr>
            <w:tcW w:w="8640" w:type="dxa"/>
            <w:gridSpan w:val="5"/>
            <w:tcBorders>
              <w:top w:val="nil"/>
              <w:left w:val="single" w:sz="8" w:space="0" w:color="auto"/>
              <w:bottom w:val="single" w:sz="8" w:space="0" w:color="auto"/>
              <w:right w:val="single" w:sz="8" w:space="0" w:color="000000"/>
            </w:tcBorders>
            <w:shd w:val="clear" w:color="auto" w:fill="auto"/>
            <w:vAlign w:val="center"/>
            <w:hideMark/>
          </w:tcPr>
          <w:p w14:paraId="48E76F06" w14:textId="77777777" w:rsidR="00BD17DA" w:rsidRPr="00BD17DA" w:rsidRDefault="00BD17DA" w:rsidP="00BD17DA">
            <w:pPr>
              <w:rPr>
                <w:rFonts w:ascii="Calibri" w:eastAsia="Times New Roman" w:hAnsi="Calibri" w:cs="Calibri"/>
                <w:i/>
                <w:iCs/>
                <w:color w:val="000000"/>
                <w:kern w:val="0"/>
                <w:sz w:val="20"/>
                <w:szCs w:val="20"/>
                <w:lang w:eastAsia="pl-PL"/>
                <w14:ligatures w14:val="none"/>
              </w:rPr>
            </w:pPr>
            <w:r w:rsidRPr="00BD17DA">
              <w:rPr>
                <w:rFonts w:ascii="Calibri" w:eastAsia="Times New Roman" w:hAnsi="Calibri" w:cs="Calibri"/>
                <w:i/>
                <w:iCs/>
                <w:color w:val="000000"/>
                <w:kern w:val="0"/>
                <w:sz w:val="20"/>
                <w:szCs w:val="20"/>
                <w:lang w:eastAsia="pl-PL"/>
                <w14:ligatures w14:val="none"/>
              </w:rPr>
              <w:t>** W wierszu odpowiadającemu danemu EFSI, z którego LSR nie będzie finansowana, należy wstawić wartość „0”.</w:t>
            </w:r>
          </w:p>
        </w:tc>
        <w:tc>
          <w:tcPr>
            <w:tcW w:w="36" w:type="dxa"/>
            <w:vAlign w:val="center"/>
            <w:hideMark/>
          </w:tcPr>
          <w:p w14:paraId="719B0ED2" w14:textId="77777777" w:rsidR="00BD17DA" w:rsidRPr="00BD17DA" w:rsidRDefault="00BD17DA" w:rsidP="00BD17DA">
            <w:pPr>
              <w:rPr>
                <w:rFonts w:ascii="Times New Roman" w:eastAsia="Times New Roman" w:hAnsi="Times New Roman" w:cs="Times New Roman"/>
                <w:kern w:val="0"/>
                <w:sz w:val="20"/>
                <w:szCs w:val="20"/>
                <w:lang w:eastAsia="pl-PL"/>
                <w14:ligatures w14:val="none"/>
              </w:rPr>
            </w:pPr>
          </w:p>
        </w:tc>
      </w:tr>
    </w:tbl>
    <w:p w14:paraId="53139E7F" w14:textId="77777777" w:rsidR="00F32737" w:rsidRPr="00F32737" w:rsidRDefault="00F32737" w:rsidP="00F32737">
      <w:pPr>
        <w:spacing w:line="276" w:lineRule="auto"/>
        <w:ind w:right="6"/>
        <w:jc w:val="both"/>
        <w:rPr>
          <w:rFonts w:eastAsia="Calibri" w:cstheme="minorHAnsi"/>
          <w:kern w:val="0"/>
          <w:lang w:eastAsia="pl-PL"/>
          <w14:ligatures w14:val="none"/>
        </w:rPr>
      </w:pPr>
    </w:p>
    <w:p w14:paraId="2A5177B5" w14:textId="7F5872DE" w:rsidR="00BD17DA" w:rsidRDefault="00BD17DA">
      <w:r>
        <w:br w:type="page"/>
      </w:r>
    </w:p>
    <w:p w14:paraId="7F3BBF6F" w14:textId="465CF54A" w:rsidR="00C7290F" w:rsidRPr="00BD17DA" w:rsidRDefault="00C7290F" w:rsidP="00F32737">
      <w:pPr>
        <w:rPr>
          <w:noProof/>
          <w:lang w:eastAsia="pl-PL"/>
        </w:rPr>
      </w:pPr>
      <w:r w:rsidRPr="00C7290F">
        <w:rPr>
          <w:noProof/>
          <w:lang w:eastAsia="pl-PL"/>
        </w:rPr>
        <w:lastRenderedPageBreak/>
        <w:t>Formularz 4: Plan wykorzystania budżetu LSR</w:t>
      </w:r>
    </w:p>
    <w:tbl>
      <w:tblPr>
        <w:tblW w:w="16171" w:type="dxa"/>
        <w:tblInd w:w="-577" w:type="dxa"/>
        <w:tblLayout w:type="fixed"/>
        <w:tblCellMar>
          <w:left w:w="70" w:type="dxa"/>
          <w:right w:w="70" w:type="dxa"/>
        </w:tblCellMar>
        <w:tblLook w:val="04A0" w:firstRow="1" w:lastRow="0" w:firstColumn="1" w:lastColumn="0" w:noHBand="0" w:noVBand="1"/>
      </w:tblPr>
      <w:tblGrid>
        <w:gridCol w:w="851"/>
        <w:gridCol w:w="851"/>
        <w:gridCol w:w="1276"/>
        <w:gridCol w:w="991"/>
        <w:gridCol w:w="1182"/>
        <w:gridCol w:w="1041"/>
        <w:gridCol w:w="1085"/>
        <w:gridCol w:w="992"/>
        <w:gridCol w:w="1276"/>
        <w:gridCol w:w="993"/>
        <w:gridCol w:w="1275"/>
        <w:gridCol w:w="992"/>
        <w:gridCol w:w="1182"/>
        <w:gridCol w:w="948"/>
        <w:gridCol w:w="1236"/>
      </w:tblGrid>
      <w:tr w:rsidR="008B0AFE" w:rsidRPr="00C7290F" w14:paraId="11553D37" w14:textId="77777777" w:rsidTr="00D2758B">
        <w:trPr>
          <w:trHeight w:val="300"/>
        </w:trPr>
        <w:tc>
          <w:tcPr>
            <w:tcW w:w="851" w:type="dxa"/>
            <w:vMerge w:val="restart"/>
            <w:tcBorders>
              <w:top w:val="single" w:sz="4" w:space="0" w:color="auto"/>
              <w:left w:val="single" w:sz="8" w:space="0" w:color="auto"/>
              <w:bottom w:val="single" w:sz="4" w:space="0" w:color="000000"/>
              <w:right w:val="single" w:sz="4" w:space="0" w:color="auto"/>
            </w:tcBorders>
            <w:shd w:val="clear" w:color="000000" w:fill="FFD966"/>
            <w:noWrap/>
            <w:vAlign w:val="center"/>
            <w:hideMark/>
          </w:tcPr>
          <w:p w14:paraId="322BF4AB" w14:textId="77777777" w:rsidR="00C7290F" w:rsidRPr="00C7290F" w:rsidRDefault="00C7290F" w:rsidP="00C7290F">
            <w:pPr>
              <w:jc w:val="center"/>
              <w:rPr>
                <w:rFonts w:ascii="Calibri" w:eastAsia="Times New Roman" w:hAnsi="Calibri" w:cs="Calibri"/>
                <w:color w:val="000000"/>
                <w:kern w:val="0"/>
                <w:sz w:val="18"/>
                <w:szCs w:val="18"/>
                <w:lang w:eastAsia="pl-PL"/>
                <w14:ligatures w14:val="none"/>
              </w:rPr>
            </w:pPr>
            <w:r w:rsidRPr="00C7290F">
              <w:rPr>
                <w:rFonts w:ascii="Calibri" w:eastAsia="Times New Roman" w:hAnsi="Calibri" w:cs="Calibri"/>
                <w:color w:val="000000"/>
                <w:kern w:val="0"/>
                <w:sz w:val="18"/>
                <w:szCs w:val="18"/>
                <w:lang w:eastAsia="pl-PL"/>
                <w14:ligatures w14:val="none"/>
              </w:rPr>
              <w:t>fundusz</w:t>
            </w:r>
          </w:p>
        </w:tc>
        <w:tc>
          <w:tcPr>
            <w:tcW w:w="15320" w:type="dxa"/>
            <w:gridSpan w:val="14"/>
            <w:tcBorders>
              <w:top w:val="single" w:sz="4" w:space="0" w:color="auto"/>
              <w:left w:val="single" w:sz="4" w:space="0" w:color="auto"/>
              <w:bottom w:val="single" w:sz="4" w:space="0" w:color="auto"/>
              <w:right w:val="single" w:sz="8" w:space="0" w:color="000000"/>
            </w:tcBorders>
            <w:shd w:val="clear" w:color="000000" w:fill="F4B084"/>
            <w:noWrap/>
            <w:vAlign w:val="bottom"/>
            <w:hideMark/>
          </w:tcPr>
          <w:p w14:paraId="5B561AF6" w14:textId="77777777" w:rsidR="00C7290F" w:rsidRPr="00C7290F" w:rsidRDefault="00C7290F" w:rsidP="00C7290F">
            <w:pPr>
              <w:jc w:val="center"/>
              <w:rPr>
                <w:rFonts w:ascii="Calibri" w:eastAsia="Times New Roman" w:hAnsi="Calibri" w:cs="Calibri"/>
                <w:b/>
                <w:bCs/>
                <w:color w:val="000000"/>
                <w:kern w:val="0"/>
                <w:sz w:val="18"/>
                <w:szCs w:val="18"/>
                <w:lang w:eastAsia="pl-PL"/>
                <w14:ligatures w14:val="none"/>
              </w:rPr>
            </w:pPr>
            <w:r w:rsidRPr="00C7290F">
              <w:rPr>
                <w:rFonts w:ascii="Calibri" w:eastAsia="Times New Roman" w:hAnsi="Calibri" w:cs="Calibri"/>
                <w:b/>
                <w:bCs/>
                <w:color w:val="000000"/>
                <w:kern w:val="0"/>
                <w:sz w:val="18"/>
                <w:szCs w:val="18"/>
                <w:lang w:eastAsia="pl-PL"/>
                <w14:ligatures w14:val="none"/>
              </w:rPr>
              <w:t>środki zakontraktowane (w Euro) do:</w:t>
            </w:r>
          </w:p>
        </w:tc>
      </w:tr>
      <w:tr w:rsidR="008B0AFE" w:rsidRPr="00C7290F" w14:paraId="15702EA4" w14:textId="77777777" w:rsidTr="00D2758B">
        <w:trPr>
          <w:trHeight w:val="300"/>
        </w:trPr>
        <w:tc>
          <w:tcPr>
            <w:tcW w:w="851" w:type="dxa"/>
            <w:vMerge/>
            <w:tcBorders>
              <w:top w:val="single" w:sz="4" w:space="0" w:color="auto"/>
              <w:left w:val="single" w:sz="8" w:space="0" w:color="auto"/>
              <w:bottom w:val="single" w:sz="4" w:space="0" w:color="000000"/>
              <w:right w:val="single" w:sz="4" w:space="0" w:color="auto"/>
            </w:tcBorders>
            <w:vAlign w:val="center"/>
            <w:hideMark/>
          </w:tcPr>
          <w:p w14:paraId="0E1A2566" w14:textId="77777777" w:rsidR="00C7290F" w:rsidRPr="00C7290F" w:rsidRDefault="00C7290F" w:rsidP="00C7290F">
            <w:pPr>
              <w:rPr>
                <w:rFonts w:ascii="Calibri" w:eastAsia="Times New Roman" w:hAnsi="Calibri" w:cs="Calibri"/>
                <w:color w:val="000000"/>
                <w:kern w:val="0"/>
                <w:sz w:val="18"/>
                <w:szCs w:val="18"/>
                <w:lang w:eastAsia="pl-PL"/>
                <w14:ligatures w14:val="none"/>
              </w:rPr>
            </w:pPr>
          </w:p>
        </w:tc>
        <w:tc>
          <w:tcPr>
            <w:tcW w:w="2127" w:type="dxa"/>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1C19794C" w14:textId="77777777" w:rsidR="00C7290F" w:rsidRPr="00C7290F" w:rsidRDefault="00C7290F" w:rsidP="00C7290F">
            <w:pPr>
              <w:jc w:val="center"/>
              <w:rPr>
                <w:rFonts w:ascii="Calibri" w:eastAsia="Times New Roman" w:hAnsi="Calibri" w:cs="Calibri"/>
                <w:color w:val="000000"/>
                <w:kern w:val="0"/>
                <w:sz w:val="18"/>
                <w:szCs w:val="18"/>
                <w:lang w:eastAsia="pl-PL"/>
                <w14:ligatures w14:val="none"/>
              </w:rPr>
            </w:pPr>
            <w:r w:rsidRPr="00C7290F">
              <w:rPr>
                <w:rFonts w:ascii="Calibri" w:eastAsia="Times New Roman" w:hAnsi="Calibri" w:cs="Calibri"/>
                <w:color w:val="000000"/>
                <w:kern w:val="0"/>
                <w:sz w:val="18"/>
                <w:szCs w:val="18"/>
                <w:lang w:eastAsia="pl-PL"/>
                <w14:ligatures w14:val="none"/>
              </w:rPr>
              <w:t>31.12.2024</w:t>
            </w:r>
          </w:p>
        </w:tc>
        <w:tc>
          <w:tcPr>
            <w:tcW w:w="2173" w:type="dxa"/>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184F17C7" w14:textId="77777777" w:rsidR="00C7290F" w:rsidRPr="00C7290F" w:rsidRDefault="00C7290F" w:rsidP="00C7290F">
            <w:pPr>
              <w:jc w:val="center"/>
              <w:rPr>
                <w:rFonts w:ascii="Calibri" w:eastAsia="Times New Roman" w:hAnsi="Calibri" w:cs="Calibri"/>
                <w:color w:val="000000"/>
                <w:kern w:val="0"/>
                <w:sz w:val="18"/>
                <w:szCs w:val="18"/>
                <w:lang w:eastAsia="pl-PL"/>
                <w14:ligatures w14:val="none"/>
              </w:rPr>
            </w:pPr>
            <w:r w:rsidRPr="00C7290F">
              <w:rPr>
                <w:rFonts w:ascii="Calibri" w:eastAsia="Times New Roman" w:hAnsi="Calibri" w:cs="Calibri"/>
                <w:color w:val="000000"/>
                <w:kern w:val="0"/>
                <w:sz w:val="18"/>
                <w:szCs w:val="18"/>
                <w:lang w:eastAsia="pl-PL"/>
                <w14:ligatures w14:val="none"/>
              </w:rPr>
              <w:t>31.12.2025</w:t>
            </w:r>
          </w:p>
        </w:tc>
        <w:tc>
          <w:tcPr>
            <w:tcW w:w="2126" w:type="dxa"/>
            <w:gridSpan w:val="2"/>
            <w:tcBorders>
              <w:top w:val="single" w:sz="4" w:space="0" w:color="auto"/>
              <w:left w:val="single" w:sz="4" w:space="0" w:color="auto"/>
              <w:bottom w:val="single" w:sz="4" w:space="0" w:color="auto"/>
              <w:right w:val="single" w:sz="8" w:space="0" w:color="000000"/>
            </w:tcBorders>
            <w:shd w:val="clear" w:color="000000" w:fill="FFD966"/>
            <w:noWrap/>
            <w:vAlign w:val="bottom"/>
            <w:hideMark/>
          </w:tcPr>
          <w:p w14:paraId="2D4FE57E" w14:textId="77777777" w:rsidR="00C7290F" w:rsidRPr="00C7290F" w:rsidRDefault="00C7290F" w:rsidP="00C7290F">
            <w:pPr>
              <w:jc w:val="center"/>
              <w:rPr>
                <w:rFonts w:ascii="Calibri" w:eastAsia="Times New Roman" w:hAnsi="Calibri" w:cs="Calibri"/>
                <w:color w:val="000000"/>
                <w:kern w:val="0"/>
                <w:sz w:val="18"/>
                <w:szCs w:val="18"/>
                <w:lang w:eastAsia="pl-PL"/>
                <w14:ligatures w14:val="none"/>
              </w:rPr>
            </w:pPr>
            <w:r w:rsidRPr="00C7290F">
              <w:rPr>
                <w:rFonts w:ascii="Calibri" w:eastAsia="Times New Roman" w:hAnsi="Calibri" w:cs="Calibri"/>
                <w:color w:val="000000"/>
                <w:kern w:val="0"/>
                <w:sz w:val="18"/>
                <w:szCs w:val="18"/>
                <w:lang w:eastAsia="pl-PL"/>
                <w14:ligatures w14:val="none"/>
              </w:rPr>
              <w:t>30.06.2026</w:t>
            </w:r>
          </w:p>
        </w:tc>
        <w:tc>
          <w:tcPr>
            <w:tcW w:w="2268" w:type="dxa"/>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6D23CF17" w14:textId="77777777" w:rsidR="00C7290F" w:rsidRPr="00C7290F" w:rsidRDefault="00C7290F" w:rsidP="00C7290F">
            <w:pPr>
              <w:jc w:val="center"/>
              <w:rPr>
                <w:rFonts w:ascii="Calibri" w:eastAsia="Times New Roman" w:hAnsi="Calibri" w:cs="Calibri"/>
                <w:color w:val="000000"/>
                <w:kern w:val="0"/>
                <w:sz w:val="18"/>
                <w:szCs w:val="18"/>
                <w:lang w:eastAsia="pl-PL"/>
                <w14:ligatures w14:val="none"/>
              </w:rPr>
            </w:pPr>
            <w:r w:rsidRPr="00C7290F">
              <w:rPr>
                <w:rFonts w:ascii="Calibri" w:eastAsia="Times New Roman" w:hAnsi="Calibri" w:cs="Calibri"/>
                <w:color w:val="000000"/>
                <w:kern w:val="0"/>
                <w:sz w:val="18"/>
                <w:szCs w:val="18"/>
                <w:lang w:eastAsia="pl-PL"/>
                <w14:ligatures w14:val="none"/>
              </w:rPr>
              <w:t>31.12.2026</w:t>
            </w:r>
          </w:p>
        </w:tc>
        <w:tc>
          <w:tcPr>
            <w:tcW w:w="2268" w:type="dxa"/>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11CC87AA" w14:textId="77777777" w:rsidR="00C7290F" w:rsidRPr="00C7290F" w:rsidRDefault="00C7290F" w:rsidP="00C7290F">
            <w:pPr>
              <w:jc w:val="center"/>
              <w:rPr>
                <w:rFonts w:ascii="Calibri" w:eastAsia="Times New Roman" w:hAnsi="Calibri" w:cs="Calibri"/>
                <w:color w:val="000000"/>
                <w:kern w:val="0"/>
                <w:sz w:val="18"/>
                <w:szCs w:val="18"/>
                <w:lang w:eastAsia="pl-PL"/>
                <w14:ligatures w14:val="none"/>
              </w:rPr>
            </w:pPr>
            <w:r w:rsidRPr="00C7290F">
              <w:rPr>
                <w:rFonts w:ascii="Calibri" w:eastAsia="Times New Roman" w:hAnsi="Calibri" w:cs="Calibri"/>
                <w:color w:val="000000"/>
                <w:kern w:val="0"/>
                <w:sz w:val="18"/>
                <w:szCs w:val="18"/>
                <w:lang w:eastAsia="pl-PL"/>
                <w14:ligatures w14:val="none"/>
              </w:rPr>
              <w:t>31.12.2027</w:t>
            </w:r>
          </w:p>
        </w:tc>
        <w:tc>
          <w:tcPr>
            <w:tcW w:w="2174" w:type="dxa"/>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6E7D4438" w14:textId="77777777" w:rsidR="00C7290F" w:rsidRPr="00C7290F" w:rsidRDefault="00C7290F" w:rsidP="00C7290F">
            <w:pPr>
              <w:jc w:val="center"/>
              <w:rPr>
                <w:rFonts w:ascii="Calibri" w:eastAsia="Times New Roman" w:hAnsi="Calibri" w:cs="Calibri"/>
                <w:color w:val="000000"/>
                <w:kern w:val="0"/>
                <w:sz w:val="18"/>
                <w:szCs w:val="18"/>
                <w:lang w:eastAsia="pl-PL"/>
                <w14:ligatures w14:val="none"/>
              </w:rPr>
            </w:pPr>
            <w:r w:rsidRPr="00C7290F">
              <w:rPr>
                <w:rFonts w:ascii="Calibri" w:eastAsia="Times New Roman" w:hAnsi="Calibri" w:cs="Calibri"/>
                <w:color w:val="000000"/>
                <w:kern w:val="0"/>
                <w:sz w:val="18"/>
                <w:szCs w:val="18"/>
                <w:lang w:eastAsia="pl-PL"/>
                <w14:ligatures w14:val="none"/>
              </w:rPr>
              <w:t>31.12.2028</w:t>
            </w:r>
          </w:p>
        </w:tc>
        <w:tc>
          <w:tcPr>
            <w:tcW w:w="2184" w:type="dxa"/>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56AF12C7" w14:textId="77777777" w:rsidR="00C7290F" w:rsidRPr="00C7290F" w:rsidRDefault="00C7290F" w:rsidP="00C7290F">
            <w:pPr>
              <w:jc w:val="center"/>
              <w:rPr>
                <w:rFonts w:ascii="Calibri" w:eastAsia="Times New Roman" w:hAnsi="Calibri" w:cs="Calibri"/>
                <w:color w:val="000000"/>
                <w:kern w:val="0"/>
                <w:sz w:val="18"/>
                <w:szCs w:val="18"/>
                <w:lang w:eastAsia="pl-PL"/>
                <w14:ligatures w14:val="none"/>
              </w:rPr>
            </w:pPr>
            <w:r w:rsidRPr="00C7290F">
              <w:rPr>
                <w:rFonts w:ascii="Calibri" w:eastAsia="Times New Roman" w:hAnsi="Calibri" w:cs="Calibri"/>
                <w:color w:val="000000"/>
                <w:kern w:val="0"/>
                <w:sz w:val="18"/>
                <w:szCs w:val="18"/>
                <w:lang w:eastAsia="pl-PL"/>
                <w14:ligatures w14:val="none"/>
              </w:rPr>
              <w:t>31.12.2029</w:t>
            </w:r>
          </w:p>
        </w:tc>
      </w:tr>
      <w:tr w:rsidR="008B0AFE" w:rsidRPr="008B0AFE" w14:paraId="095A311A" w14:textId="77777777" w:rsidTr="00D2758B">
        <w:trPr>
          <w:trHeight w:val="1215"/>
        </w:trPr>
        <w:tc>
          <w:tcPr>
            <w:tcW w:w="851" w:type="dxa"/>
            <w:vMerge/>
            <w:tcBorders>
              <w:top w:val="single" w:sz="4" w:space="0" w:color="auto"/>
              <w:left w:val="single" w:sz="8" w:space="0" w:color="auto"/>
              <w:bottom w:val="single" w:sz="4" w:space="0" w:color="000000"/>
              <w:right w:val="single" w:sz="4" w:space="0" w:color="auto"/>
            </w:tcBorders>
            <w:vAlign w:val="center"/>
            <w:hideMark/>
          </w:tcPr>
          <w:p w14:paraId="0BBA14F6" w14:textId="77777777" w:rsidR="00C7290F" w:rsidRPr="00C7290F" w:rsidRDefault="00C7290F" w:rsidP="00C7290F">
            <w:pPr>
              <w:rPr>
                <w:rFonts w:ascii="Calibri" w:eastAsia="Times New Roman" w:hAnsi="Calibri" w:cs="Calibri"/>
                <w:color w:val="000000"/>
                <w:kern w:val="0"/>
                <w:sz w:val="18"/>
                <w:szCs w:val="18"/>
                <w:lang w:eastAsia="pl-PL"/>
                <w14:ligatures w14:val="none"/>
              </w:rPr>
            </w:pPr>
          </w:p>
        </w:tc>
        <w:tc>
          <w:tcPr>
            <w:tcW w:w="851" w:type="dxa"/>
            <w:tcBorders>
              <w:top w:val="nil"/>
              <w:left w:val="nil"/>
              <w:bottom w:val="single" w:sz="8" w:space="0" w:color="auto"/>
              <w:right w:val="single" w:sz="4" w:space="0" w:color="auto"/>
            </w:tcBorders>
            <w:shd w:val="clear" w:color="000000" w:fill="FFE699"/>
            <w:vAlign w:val="center"/>
            <w:hideMark/>
          </w:tcPr>
          <w:p w14:paraId="7CC2CA80" w14:textId="4C222103" w:rsidR="00C7290F" w:rsidRPr="00C7290F" w:rsidRDefault="00C7290F" w:rsidP="00C7290F">
            <w:pPr>
              <w:jc w:val="center"/>
              <w:rPr>
                <w:rFonts w:ascii="Calibri" w:eastAsia="Times New Roman" w:hAnsi="Calibri" w:cs="Calibri"/>
                <w:color w:val="000000"/>
                <w:kern w:val="0"/>
                <w:sz w:val="16"/>
                <w:szCs w:val="16"/>
                <w:lang w:eastAsia="pl-PL"/>
                <w14:ligatures w14:val="none"/>
              </w:rPr>
            </w:pPr>
            <w:r w:rsidRPr="00C7290F">
              <w:rPr>
                <w:rFonts w:ascii="Calibri" w:eastAsia="Times New Roman" w:hAnsi="Calibri" w:cs="Calibri"/>
                <w:color w:val="000000"/>
                <w:kern w:val="0"/>
                <w:sz w:val="16"/>
                <w:szCs w:val="16"/>
                <w:lang w:eastAsia="pl-PL"/>
                <w14:ligatures w14:val="none"/>
              </w:rPr>
              <w:t>kwota ogółem (UE+</w:t>
            </w:r>
            <w:r w:rsidR="008B0AFE" w:rsidRPr="008B0AFE">
              <w:rPr>
                <w:rFonts w:ascii="Calibri" w:eastAsia="Times New Roman" w:hAnsi="Calibri" w:cs="Calibri"/>
                <w:color w:val="000000"/>
                <w:kern w:val="0"/>
                <w:sz w:val="16"/>
                <w:szCs w:val="16"/>
                <w:lang w:eastAsia="pl-PL"/>
                <w14:ligatures w14:val="none"/>
              </w:rPr>
              <w:t xml:space="preserve"> </w:t>
            </w:r>
            <w:r w:rsidRPr="00C7290F">
              <w:rPr>
                <w:rFonts w:ascii="Calibri" w:eastAsia="Times New Roman" w:hAnsi="Calibri" w:cs="Calibri"/>
                <w:color w:val="000000"/>
                <w:kern w:val="0"/>
                <w:sz w:val="16"/>
                <w:szCs w:val="16"/>
                <w:lang w:eastAsia="pl-PL"/>
                <w14:ligatures w14:val="none"/>
              </w:rPr>
              <w:t>krajowe)</w:t>
            </w:r>
          </w:p>
        </w:tc>
        <w:tc>
          <w:tcPr>
            <w:tcW w:w="1276" w:type="dxa"/>
            <w:tcBorders>
              <w:top w:val="nil"/>
              <w:left w:val="nil"/>
              <w:bottom w:val="single" w:sz="8" w:space="0" w:color="auto"/>
              <w:right w:val="single" w:sz="8" w:space="0" w:color="auto"/>
            </w:tcBorders>
            <w:shd w:val="clear" w:color="000000" w:fill="FFE699"/>
            <w:vAlign w:val="center"/>
            <w:hideMark/>
          </w:tcPr>
          <w:p w14:paraId="57DF85FD" w14:textId="77777777" w:rsidR="00C7290F" w:rsidRPr="00C7290F" w:rsidRDefault="00C7290F" w:rsidP="00C7290F">
            <w:pPr>
              <w:jc w:val="center"/>
              <w:rPr>
                <w:rFonts w:ascii="Calibri" w:eastAsia="Times New Roman" w:hAnsi="Calibri" w:cs="Calibri"/>
                <w:color w:val="000000"/>
                <w:kern w:val="0"/>
                <w:sz w:val="16"/>
                <w:szCs w:val="16"/>
                <w:lang w:eastAsia="pl-PL"/>
                <w14:ligatures w14:val="none"/>
              </w:rPr>
            </w:pPr>
            <w:r w:rsidRPr="00C7290F">
              <w:rPr>
                <w:rFonts w:ascii="Calibri" w:eastAsia="Times New Roman" w:hAnsi="Calibri" w:cs="Calibri"/>
                <w:color w:val="000000"/>
                <w:kern w:val="0"/>
                <w:sz w:val="16"/>
                <w:szCs w:val="16"/>
                <w:lang w:eastAsia="pl-PL"/>
                <w14:ligatures w14:val="none"/>
              </w:rPr>
              <w:t>% wykorzystania budżetu LSR</w:t>
            </w:r>
          </w:p>
        </w:tc>
        <w:tc>
          <w:tcPr>
            <w:tcW w:w="991" w:type="dxa"/>
            <w:tcBorders>
              <w:top w:val="nil"/>
              <w:left w:val="single" w:sz="4" w:space="0" w:color="auto"/>
              <w:bottom w:val="single" w:sz="8" w:space="0" w:color="auto"/>
              <w:right w:val="single" w:sz="4" w:space="0" w:color="auto"/>
            </w:tcBorders>
            <w:shd w:val="clear" w:color="000000" w:fill="FFE699"/>
            <w:vAlign w:val="center"/>
            <w:hideMark/>
          </w:tcPr>
          <w:p w14:paraId="35240D8F" w14:textId="20FAAF41" w:rsidR="00C7290F" w:rsidRPr="00C7290F" w:rsidRDefault="00C7290F" w:rsidP="00C7290F">
            <w:pPr>
              <w:jc w:val="center"/>
              <w:rPr>
                <w:rFonts w:ascii="Calibri" w:eastAsia="Times New Roman" w:hAnsi="Calibri" w:cs="Calibri"/>
                <w:color w:val="000000"/>
                <w:kern w:val="0"/>
                <w:sz w:val="16"/>
                <w:szCs w:val="16"/>
                <w:lang w:eastAsia="pl-PL"/>
                <w14:ligatures w14:val="none"/>
              </w:rPr>
            </w:pPr>
            <w:r w:rsidRPr="00C7290F">
              <w:rPr>
                <w:rFonts w:ascii="Calibri" w:eastAsia="Times New Roman" w:hAnsi="Calibri" w:cs="Calibri"/>
                <w:color w:val="000000"/>
                <w:kern w:val="0"/>
                <w:sz w:val="16"/>
                <w:szCs w:val="16"/>
                <w:lang w:eastAsia="pl-PL"/>
                <w14:ligatures w14:val="none"/>
              </w:rPr>
              <w:t>kwota ogółem (UE+</w:t>
            </w:r>
            <w:r w:rsidR="008B0AFE" w:rsidRPr="008B0AFE">
              <w:rPr>
                <w:rFonts w:ascii="Calibri" w:eastAsia="Times New Roman" w:hAnsi="Calibri" w:cs="Calibri"/>
                <w:color w:val="000000"/>
                <w:kern w:val="0"/>
                <w:sz w:val="16"/>
                <w:szCs w:val="16"/>
                <w:lang w:eastAsia="pl-PL"/>
                <w14:ligatures w14:val="none"/>
              </w:rPr>
              <w:t xml:space="preserve"> </w:t>
            </w:r>
            <w:r w:rsidRPr="00C7290F">
              <w:rPr>
                <w:rFonts w:ascii="Calibri" w:eastAsia="Times New Roman" w:hAnsi="Calibri" w:cs="Calibri"/>
                <w:color w:val="000000"/>
                <w:kern w:val="0"/>
                <w:sz w:val="16"/>
                <w:szCs w:val="16"/>
                <w:lang w:eastAsia="pl-PL"/>
                <w14:ligatures w14:val="none"/>
              </w:rPr>
              <w:t>krajowe)</w:t>
            </w:r>
          </w:p>
        </w:tc>
        <w:tc>
          <w:tcPr>
            <w:tcW w:w="1182" w:type="dxa"/>
            <w:tcBorders>
              <w:top w:val="nil"/>
              <w:left w:val="nil"/>
              <w:bottom w:val="single" w:sz="8" w:space="0" w:color="auto"/>
              <w:right w:val="single" w:sz="8" w:space="0" w:color="auto"/>
            </w:tcBorders>
            <w:shd w:val="clear" w:color="000000" w:fill="FFE699"/>
            <w:vAlign w:val="center"/>
            <w:hideMark/>
          </w:tcPr>
          <w:p w14:paraId="4328E7D6" w14:textId="77777777" w:rsidR="00C7290F" w:rsidRPr="00C7290F" w:rsidRDefault="00C7290F" w:rsidP="00C7290F">
            <w:pPr>
              <w:jc w:val="center"/>
              <w:rPr>
                <w:rFonts w:ascii="Calibri" w:eastAsia="Times New Roman" w:hAnsi="Calibri" w:cs="Calibri"/>
                <w:color w:val="000000"/>
                <w:kern w:val="0"/>
                <w:sz w:val="16"/>
                <w:szCs w:val="16"/>
                <w:lang w:eastAsia="pl-PL"/>
                <w14:ligatures w14:val="none"/>
              </w:rPr>
            </w:pPr>
            <w:r w:rsidRPr="00C7290F">
              <w:rPr>
                <w:rFonts w:ascii="Calibri" w:eastAsia="Times New Roman" w:hAnsi="Calibri" w:cs="Calibri"/>
                <w:color w:val="000000"/>
                <w:kern w:val="0"/>
                <w:sz w:val="16"/>
                <w:szCs w:val="16"/>
                <w:lang w:eastAsia="pl-PL"/>
                <w14:ligatures w14:val="none"/>
              </w:rPr>
              <w:t>% wykorzystania budżetu LSR</w:t>
            </w:r>
          </w:p>
        </w:tc>
        <w:tc>
          <w:tcPr>
            <w:tcW w:w="1041" w:type="dxa"/>
            <w:tcBorders>
              <w:top w:val="nil"/>
              <w:left w:val="single" w:sz="4" w:space="0" w:color="auto"/>
              <w:bottom w:val="single" w:sz="8" w:space="0" w:color="auto"/>
              <w:right w:val="single" w:sz="4" w:space="0" w:color="auto"/>
            </w:tcBorders>
            <w:shd w:val="clear" w:color="000000" w:fill="FFD966"/>
            <w:vAlign w:val="center"/>
            <w:hideMark/>
          </w:tcPr>
          <w:p w14:paraId="1352E220" w14:textId="183AC094" w:rsidR="00C7290F" w:rsidRPr="00C7290F" w:rsidRDefault="00C7290F" w:rsidP="00C7290F">
            <w:pPr>
              <w:jc w:val="center"/>
              <w:rPr>
                <w:rFonts w:ascii="Calibri" w:eastAsia="Times New Roman" w:hAnsi="Calibri" w:cs="Calibri"/>
                <w:color w:val="000000"/>
                <w:kern w:val="0"/>
                <w:sz w:val="16"/>
                <w:szCs w:val="16"/>
                <w:lang w:eastAsia="pl-PL"/>
                <w14:ligatures w14:val="none"/>
              </w:rPr>
            </w:pPr>
            <w:r w:rsidRPr="00C7290F">
              <w:rPr>
                <w:rFonts w:ascii="Calibri" w:eastAsia="Times New Roman" w:hAnsi="Calibri" w:cs="Calibri"/>
                <w:color w:val="000000"/>
                <w:kern w:val="0"/>
                <w:sz w:val="16"/>
                <w:szCs w:val="16"/>
                <w:lang w:eastAsia="pl-PL"/>
                <w14:ligatures w14:val="none"/>
              </w:rPr>
              <w:t>kwota ogółem (UE+</w:t>
            </w:r>
            <w:r w:rsidR="008B0AFE" w:rsidRPr="008B0AFE">
              <w:rPr>
                <w:rFonts w:ascii="Calibri" w:eastAsia="Times New Roman" w:hAnsi="Calibri" w:cs="Calibri"/>
                <w:color w:val="000000"/>
                <w:kern w:val="0"/>
                <w:sz w:val="16"/>
                <w:szCs w:val="16"/>
                <w:lang w:eastAsia="pl-PL"/>
                <w14:ligatures w14:val="none"/>
              </w:rPr>
              <w:t xml:space="preserve"> </w:t>
            </w:r>
            <w:r w:rsidRPr="00C7290F">
              <w:rPr>
                <w:rFonts w:ascii="Calibri" w:eastAsia="Times New Roman" w:hAnsi="Calibri" w:cs="Calibri"/>
                <w:color w:val="000000"/>
                <w:kern w:val="0"/>
                <w:sz w:val="16"/>
                <w:szCs w:val="16"/>
                <w:lang w:eastAsia="pl-PL"/>
                <w14:ligatures w14:val="none"/>
              </w:rPr>
              <w:t>krajowe)</w:t>
            </w:r>
          </w:p>
        </w:tc>
        <w:tc>
          <w:tcPr>
            <w:tcW w:w="1085" w:type="dxa"/>
            <w:tcBorders>
              <w:top w:val="nil"/>
              <w:left w:val="nil"/>
              <w:bottom w:val="single" w:sz="8" w:space="0" w:color="auto"/>
              <w:right w:val="single" w:sz="8" w:space="0" w:color="auto"/>
            </w:tcBorders>
            <w:shd w:val="clear" w:color="000000" w:fill="FFD966"/>
            <w:vAlign w:val="center"/>
            <w:hideMark/>
          </w:tcPr>
          <w:p w14:paraId="6DB98FE2" w14:textId="77777777" w:rsidR="00C7290F" w:rsidRPr="00C7290F" w:rsidRDefault="00C7290F" w:rsidP="00C7290F">
            <w:pPr>
              <w:jc w:val="center"/>
              <w:rPr>
                <w:rFonts w:ascii="Calibri" w:eastAsia="Times New Roman" w:hAnsi="Calibri" w:cs="Calibri"/>
                <w:color w:val="000000"/>
                <w:kern w:val="0"/>
                <w:sz w:val="16"/>
                <w:szCs w:val="16"/>
                <w:lang w:eastAsia="pl-PL"/>
                <w14:ligatures w14:val="none"/>
              </w:rPr>
            </w:pPr>
            <w:r w:rsidRPr="00C7290F">
              <w:rPr>
                <w:rFonts w:ascii="Calibri" w:eastAsia="Times New Roman" w:hAnsi="Calibri" w:cs="Calibri"/>
                <w:color w:val="000000"/>
                <w:kern w:val="0"/>
                <w:sz w:val="16"/>
                <w:szCs w:val="16"/>
                <w:lang w:eastAsia="pl-PL"/>
                <w14:ligatures w14:val="none"/>
              </w:rPr>
              <w:t>% wykorzystania budżetu LSR</w:t>
            </w:r>
          </w:p>
        </w:tc>
        <w:tc>
          <w:tcPr>
            <w:tcW w:w="992" w:type="dxa"/>
            <w:tcBorders>
              <w:top w:val="nil"/>
              <w:left w:val="single" w:sz="4" w:space="0" w:color="auto"/>
              <w:bottom w:val="single" w:sz="8" w:space="0" w:color="auto"/>
              <w:right w:val="single" w:sz="4" w:space="0" w:color="auto"/>
            </w:tcBorders>
            <w:shd w:val="clear" w:color="000000" w:fill="FFE699"/>
            <w:vAlign w:val="center"/>
            <w:hideMark/>
          </w:tcPr>
          <w:p w14:paraId="02D1BC07" w14:textId="3B584631" w:rsidR="00C7290F" w:rsidRPr="00C7290F" w:rsidRDefault="00C7290F" w:rsidP="00C7290F">
            <w:pPr>
              <w:jc w:val="center"/>
              <w:rPr>
                <w:rFonts w:ascii="Calibri" w:eastAsia="Times New Roman" w:hAnsi="Calibri" w:cs="Calibri"/>
                <w:color w:val="000000"/>
                <w:kern w:val="0"/>
                <w:sz w:val="16"/>
                <w:szCs w:val="16"/>
                <w:lang w:eastAsia="pl-PL"/>
                <w14:ligatures w14:val="none"/>
              </w:rPr>
            </w:pPr>
            <w:r w:rsidRPr="00C7290F">
              <w:rPr>
                <w:rFonts w:ascii="Calibri" w:eastAsia="Times New Roman" w:hAnsi="Calibri" w:cs="Calibri"/>
                <w:color w:val="000000"/>
                <w:kern w:val="0"/>
                <w:sz w:val="16"/>
                <w:szCs w:val="16"/>
                <w:lang w:eastAsia="pl-PL"/>
                <w14:ligatures w14:val="none"/>
              </w:rPr>
              <w:t>kwota ogółem (UE+</w:t>
            </w:r>
            <w:r w:rsidR="008B0AFE" w:rsidRPr="008B0AFE">
              <w:rPr>
                <w:rFonts w:ascii="Calibri" w:eastAsia="Times New Roman" w:hAnsi="Calibri" w:cs="Calibri"/>
                <w:color w:val="000000"/>
                <w:kern w:val="0"/>
                <w:sz w:val="16"/>
                <w:szCs w:val="16"/>
                <w:lang w:eastAsia="pl-PL"/>
                <w14:ligatures w14:val="none"/>
              </w:rPr>
              <w:t xml:space="preserve"> </w:t>
            </w:r>
            <w:r w:rsidRPr="00C7290F">
              <w:rPr>
                <w:rFonts w:ascii="Calibri" w:eastAsia="Times New Roman" w:hAnsi="Calibri" w:cs="Calibri"/>
                <w:color w:val="000000"/>
                <w:kern w:val="0"/>
                <w:sz w:val="16"/>
                <w:szCs w:val="16"/>
                <w:lang w:eastAsia="pl-PL"/>
                <w14:ligatures w14:val="none"/>
              </w:rPr>
              <w:t>krajowe)</w:t>
            </w:r>
          </w:p>
        </w:tc>
        <w:tc>
          <w:tcPr>
            <w:tcW w:w="1276" w:type="dxa"/>
            <w:tcBorders>
              <w:top w:val="nil"/>
              <w:left w:val="nil"/>
              <w:bottom w:val="single" w:sz="8" w:space="0" w:color="auto"/>
              <w:right w:val="single" w:sz="8" w:space="0" w:color="auto"/>
            </w:tcBorders>
            <w:shd w:val="clear" w:color="000000" w:fill="FFE699"/>
            <w:vAlign w:val="center"/>
            <w:hideMark/>
          </w:tcPr>
          <w:p w14:paraId="432713D0" w14:textId="77777777" w:rsidR="00C7290F" w:rsidRPr="00C7290F" w:rsidRDefault="00C7290F" w:rsidP="00C7290F">
            <w:pPr>
              <w:jc w:val="center"/>
              <w:rPr>
                <w:rFonts w:ascii="Calibri" w:eastAsia="Times New Roman" w:hAnsi="Calibri" w:cs="Calibri"/>
                <w:color w:val="000000"/>
                <w:kern w:val="0"/>
                <w:sz w:val="16"/>
                <w:szCs w:val="16"/>
                <w:lang w:eastAsia="pl-PL"/>
                <w14:ligatures w14:val="none"/>
              </w:rPr>
            </w:pPr>
            <w:r w:rsidRPr="00C7290F">
              <w:rPr>
                <w:rFonts w:ascii="Calibri" w:eastAsia="Times New Roman" w:hAnsi="Calibri" w:cs="Calibri"/>
                <w:color w:val="000000"/>
                <w:kern w:val="0"/>
                <w:sz w:val="16"/>
                <w:szCs w:val="16"/>
                <w:lang w:eastAsia="pl-PL"/>
                <w14:ligatures w14:val="none"/>
              </w:rPr>
              <w:t>% wykorzystania budżetu LSR</w:t>
            </w:r>
          </w:p>
        </w:tc>
        <w:tc>
          <w:tcPr>
            <w:tcW w:w="993" w:type="dxa"/>
            <w:tcBorders>
              <w:top w:val="nil"/>
              <w:left w:val="single" w:sz="4" w:space="0" w:color="auto"/>
              <w:bottom w:val="single" w:sz="8" w:space="0" w:color="auto"/>
              <w:right w:val="single" w:sz="4" w:space="0" w:color="auto"/>
            </w:tcBorders>
            <w:shd w:val="clear" w:color="000000" w:fill="FFE699"/>
            <w:vAlign w:val="center"/>
            <w:hideMark/>
          </w:tcPr>
          <w:p w14:paraId="4D2FE00A" w14:textId="576791FC" w:rsidR="00C7290F" w:rsidRPr="00C7290F" w:rsidRDefault="00C7290F" w:rsidP="00C7290F">
            <w:pPr>
              <w:jc w:val="center"/>
              <w:rPr>
                <w:rFonts w:ascii="Calibri" w:eastAsia="Times New Roman" w:hAnsi="Calibri" w:cs="Calibri"/>
                <w:color w:val="000000"/>
                <w:kern w:val="0"/>
                <w:sz w:val="16"/>
                <w:szCs w:val="16"/>
                <w:lang w:eastAsia="pl-PL"/>
                <w14:ligatures w14:val="none"/>
              </w:rPr>
            </w:pPr>
            <w:r w:rsidRPr="00C7290F">
              <w:rPr>
                <w:rFonts w:ascii="Calibri" w:eastAsia="Times New Roman" w:hAnsi="Calibri" w:cs="Calibri"/>
                <w:color w:val="000000"/>
                <w:kern w:val="0"/>
                <w:sz w:val="16"/>
                <w:szCs w:val="16"/>
                <w:lang w:eastAsia="pl-PL"/>
                <w14:ligatures w14:val="none"/>
              </w:rPr>
              <w:t>kwota ogółem (UE+</w:t>
            </w:r>
            <w:r w:rsidR="008B0AFE" w:rsidRPr="008B0AFE">
              <w:rPr>
                <w:rFonts w:ascii="Calibri" w:eastAsia="Times New Roman" w:hAnsi="Calibri" w:cs="Calibri"/>
                <w:color w:val="000000"/>
                <w:kern w:val="0"/>
                <w:sz w:val="16"/>
                <w:szCs w:val="16"/>
                <w:lang w:eastAsia="pl-PL"/>
                <w14:ligatures w14:val="none"/>
              </w:rPr>
              <w:t xml:space="preserve"> </w:t>
            </w:r>
            <w:r w:rsidRPr="00C7290F">
              <w:rPr>
                <w:rFonts w:ascii="Calibri" w:eastAsia="Times New Roman" w:hAnsi="Calibri" w:cs="Calibri"/>
                <w:color w:val="000000"/>
                <w:kern w:val="0"/>
                <w:sz w:val="16"/>
                <w:szCs w:val="16"/>
                <w:lang w:eastAsia="pl-PL"/>
                <w14:ligatures w14:val="none"/>
              </w:rPr>
              <w:t>krajowe)</w:t>
            </w:r>
          </w:p>
        </w:tc>
        <w:tc>
          <w:tcPr>
            <w:tcW w:w="1275" w:type="dxa"/>
            <w:tcBorders>
              <w:top w:val="nil"/>
              <w:left w:val="nil"/>
              <w:bottom w:val="single" w:sz="8" w:space="0" w:color="auto"/>
              <w:right w:val="single" w:sz="8" w:space="0" w:color="auto"/>
            </w:tcBorders>
            <w:shd w:val="clear" w:color="000000" w:fill="FFE699"/>
            <w:vAlign w:val="center"/>
            <w:hideMark/>
          </w:tcPr>
          <w:p w14:paraId="40B2C96F" w14:textId="77777777" w:rsidR="00C7290F" w:rsidRPr="00C7290F" w:rsidRDefault="00C7290F" w:rsidP="00C7290F">
            <w:pPr>
              <w:jc w:val="center"/>
              <w:rPr>
                <w:rFonts w:ascii="Calibri" w:eastAsia="Times New Roman" w:hAnsi="Calibri" w:cs="Calibri"/>
                <w:color w:val="000000"/>
                <w:kern w:val="0"/>
                <w:sz w:val="16"/>
                <w:szCs w:val="16"/>
                <w:lang w:eastAsia="pl-PL"/>
                <w14:ligatures w14:val="none"/>
              </w:rPr>
            </w:pPr>
            <w:r w:rsidRPr="00C7290F">
              <w:rPr>
                <w:rFonts w:ascii="Calibri" w:eastAsia="Times New Roman" w:hAnsi="Calibri" w:cs="Calibri"/>
                <w:color w:val="000000"/>
                <w:kern w:val="0"/>
                <w:sz w:val="16"/>
                <w:szCs w:val="16"/>
                <w:lang w:eastAsia="pl-PL"/>
                <w14:ligatures w14:val="none"/>
              </w:rPr>
              <w:t>% wykorzystania budżetu LSR</w:t>
            </w:r>
          </w:p>
        </w:tc>
        <w:tc>
          <w:tcPr>
            <w:tcW w:w="992" w:type="dxa"/>
            <w:tcBorders>
              <w:top w:val="nil"/>
              <w:left w:val="single" w:sz="4" w:space="0" w:color="auto"/>
              <w:bottom w:val="single" w:sz="8" w:space="0" w:color="auto"/>
              <w:right w:val="single" w:sz="4" w:space="0" w:color="auto"/>
            </w:tcBorders>
            <w:shd w:val="clear" w:color="000000" w:fill="FFE699"/>
            <w:vAlign w:val="center"/>
            <w:hideMark/>
          </w:tcPr>
          <w:p w14:paraId="25E66D16" w14:textId="0886BC28" w:rsidR="00C7290F" w:rsidRPr="00C7290F" w:rsidRDefault="00C7290F" w:rsidP="00C7290F">
            <w:pPr>
              <w:jc w:val="center"/>
              <w:rPr>
                <w:rFonts w:ascii="Calibri" w:eastAsia="Times New Roman" w:hAnsi="Calibri" w:cs="Calibri"/>
                <w:color w:val="000000"/>
                <w:kern w:val="0"/>
                <w:sz w:val="16"/>
                <w:szCs w:val="16"/>
                <w:lang w:eastAsia="pl-PL"/>
                <w14:ligatures w14:val="none"/>
              </w:rPr>
            </w:pPr>
            <w:r w:rsidRPr="00C7290F">
              <w:rPr>
                <w:rFonts w:ascii="Calibri" w:eastAsia="Times New Roman" w:hAnsi="Calibri" w:cs="Calibri"/>
                <w:color w:val="000000"/>
                <w:kern w:val="0"/>
                <w:sz w:val="16"/>
                <w:szCs w:val="16"/>
                <w:lang w:eastAsia="pl-PL"/>
                <w14:ligatures w14:val="none"/>
              </w:rPr>
              <w:t>kwota ogółem (UE+</w:t>
            </w:r>
            <w:r w:rsidR="008B0AFE" w:rsidRPr="008B0AFE">
              <w:rPr>
                <w:rFonts w:ascii="Calibri" w:eastAsia="Times New Roman" w:hAnsi="Calibri" w:cs="Calibri"/>
                <w:color w:val="000000"/>
                <w:kern w:val="0"/>
                <w:sz w:val="16"/>
                <w:szCs w:val="16"/>
                <w:lang w:eastAsia="pl-PL"/>
                <w14:ligatures w14:val="none"/>
              </w:rPr>
              <w:t xml:space="preserve"> </w:t>
            </w:r>
            <w:r w:rsidRPr="00C7290F">
              <w:rPr>
                <w:rFonts w:ascii="Calibri" w:eastAsia="Times New Roman" w:hAnsi="Calibri" w:cs="Calibri"/>
                <w:color w:val="000000"/>
                <w:kern w:val="0"/>
                <w:sz w:val="16"/>
                <w:szCs w:val="16"/>
                <w:lang w:eastAsia="pl-PL"/>
                <w14:ligatures w14:val="none"/>
              </w:rPr>
              <w:t>krajowe)</w:t>
            </w:r>
          </w:p>
        </w:tc>
        <w:tc>
          <w:tcPr>
            <w:tcW w:w="1182" w:type="dxa"/>
            <w:tcBorders>
              <w:top w:val="nil"/>
              <w:left w:val="nil"/>
              <w:bottom w:val="single" w:sz="8" w:space="0" w:color="auto"/>
              <w:right w:val="single" w:sz="8" w:space="0" w:color="auto"/>
            </w:tcBorders>
            <w:shd w:val="clear" w:color="000000" w:fill="FFE699"/>
            <w:vAlign w:val="center"/>
            <w:hideMark/>
          </w:tcPr>
          <w:p w14:paraId="13F39C98" w14:textId="77777777" w:rsidR="00C7290F" w:rsidRPr="00C7290F" w:rsidRDefault="00C7290F" w:rsidP="00C7290F">
            <w:pPr>
              <w:jc w:val="center"/>
              <w:rPr>
                <w:rFonts w:ascii="Calibri" w:eastAsia="Times New Roman" w:hAnsi="Calibri" w:cs="Calibri"/>
                <w:color w:val="000000"/>
                <w:kern w:val="0"/>
                <w:sz w:val="16"/>
                <w:szCs w:val="16"/>
                <w:lang w:eastAsia="pl-PL"/>
                <w14:ligatures w14:val="none"/>
              </w:rPr>
            </w:pPr>
            <w:r w:rsidRPr="00C7290F">
              <w:rPr>
                <w:rFonts w:ascii="Calibri" w:eastAsia="Times New Roman" w:hAnsi="Calibri" w:cs="Calibri"/>
                <w:color w:val="000000"/>
                <w:kern w:val="0"/>
                <w:sz w:val="16"/>
                <w:szCs w:val="16"/>
                <w:lang w:eastAsia="pl-PL"/>
                <w14:ligatures w14:val="none"/>
              </w:rPr>
              <w:t>% wykorzystania budżetu LSR</w:t>
            </w:r>
          </w:p>
        </w:tc>
        <w:tc>
          <w:tcPr>
            <w:tcW w:w="948" w:type="dxa"/>
            <w:tcBorders>
              <w:top w:val="nil"/>
              <w:left w:val="single" w:sz="4" w:space="0" w:color="auto"/>
              <w:bottom w:val="single" w:sz="8" w:space="0" w:color="auto"/>
              <w:right w:val="single" w:sz="4" w:space="0" w:color="auto"/>
            </w:tcBorders>
            <w:shd w:val="clear" w:color="000000" w:fill="FFE699"/>
            <w:vAlign w:val="center"/>
            <w:hideMark/>
          </w:tcPr>
          <w:p w14:paraId="03CB1E28" w14:textId="453E77CD" w:rsidR="00C7290F" w:rsidRPr="00C7290F" w:rsidRDefault="00C7290F" w:rsidP="00C7290F">
            <w:pPr>
              <w:jc w:val="center"/>
              <w:rPr>
                <w:rFonts w:ascii="Calibri" w:eastAsia="Times New Roman" w:hAnsi="Calibri" w:cs="Calibri"/>
                <w:color w:val="000000"/>
                <w:kern w:val="0"/>
                <w:sz w:val="16"/>
                <w:szCs w:val="16"/>
                <w:lang w:eastAsia="pl-PL"/>
                <w14:ligatures w14:val="none"/>
              </w:rPr>
            </w:pPr>
            <w:r w:rsidRPr="00C7290F">
              <w:rPr>
                <w:rFonts w:ascii="Calibri" w:eastAsia="Times New Roman" w:hAnsi="Calibri" w:cs="Calibri"/>
                <w:color w:val="000000"/>
                <w:kern w:val="0"/>
                <w:sz w:val="16"/>
                <w:szCs w:val="16"/>
                <w:lang w:eastAsia="pl-PL"/>
                <w14:ligatures w14:val="none"/>
              </w:rPr>
              <w:t>kwota ogółem (UE+</w:t>
            </w:r>
            <w:r w:rsidR="008B0AFE" w:rsidRPr="008B0AFE">
              <w:rPr>
                <w:rFonts w:ascii="Calibri" w:eastAsia="Times New Roman" w:hAnsi="Calibri" w:cs="Calibri"/>
                <w:color w:val="000000"/>
                <w:kern w:val="0"/>
                <w:sz w:val="16"/>
                <w:szCs w:val="16"/>
                <w:lang w:eastAsia="pl-PL"/>
                <w14:ligatures w14:val="none"/>
              </w:rPr>
              <w:t xml:space="preserve"> </w:t>
            </w:r>
            <w:r w:rsidRPr="00C7290F">
              <w:rPr>
                <w:rFonts w:ascii="Calibri" w:eastAsia="Times New Roman" w:hAnsi="Calibri" w:cs="Calibri"/>
                <w:color w:val="000000"/>
                <w:kern w:val="0"/>
                <w:sz w:val="16"/>
                <w:szCs w:val="16"/>
                <w:lang w:eastAsia="pl-PL"/>
                <w14:ligatures w14:val="none"/>
              </w:rPr>
              <w:t>krajowe)</w:t>
            </w:r>
          </w:p>
        </w:tc>
        <w:tc>
          <w:tcPr>
            <w:tcW w:w="1236" w:type="dxa"/>
            <w:tcBorders>
              <w:top w:val="nil"/>
              <w:left w:val="nil"/>
              <w:bottom w:val="single" w:sz="8" w:space="0" w:color="auto"/>
              <w:right w:val="single" w:sz="8" w:space="0" w:color="auto"/>
            </w:tcBorders>
            <w:shd w:val="clear" w:color="000000" w:fill="FFE699"/>
            <w:vAlign w:val="center"/>
            <w:hideMark/>
          </w:tcPr>
          <w:p w14:paraId="22509B15" w14:textId="77777777" w:rsidR="00C7290F" w:rsidRPr="00C7290F" w:rsidRDefault="00C7290F" w:rsidP="00C7290F">
            <w:pPr>
              <w:jc w:val="center"/>
              <w:rPr>
                <w:rFonts w:ascii="Calibri" w:eastAsia="Times New Roman" w:hAnsi="Calibri" w:cs="Calibri"/>
                <w:color w:val="000000"/>
                <w:kern w:val="0"/>
                <w:sz w:val="16"/>
                <w:szCs w:val="16"/>
                <w:lang w:eastAsia="pl-PL"/>
                <w14:ligatures w14:val="none"/>
              </w:rPr>
            </w:pPr>
            <w:r w:rsidRPr="00C7290F">
              <w:rPr>
                <w:rFonts w:ascii="Calibri" w:eastAsia="Times New Roman" w:hAnsi="Calibri" w:cs="Calibri"/>
                <w:color w:val="000000"/>
                <w:kern w:val="0"/>
                <w:sz w:val="16"/>
                <w:szCs w:val="16"/>
                <w:lang w:eastAsia="pl-PL"/>
                <w14:ligatures w14:val="none"/>
              </w:rPr>
              <w:t>% wykorzystania budżetu LSR</w:t>
            </w:r>
          </w:p>
        </w:tc>
      </w:tr>
      <w:tr w:rsidR="008B0AFE" w:rsidRPr="008B0AFE" w14:paraId="23B39898" w14:textId="77777777" w:rsidTr="00D2758B">
        <w:trPr>
          <w:trHeight w:val="735"/>
        </w:trPr>
        <w:tc>
          <w:tcPr>
            <w:tcW w:w="851" w:type="dxa"/>
            <w:tcBorders>
              <w:top w:val="nil"/>
              <w:left w:val="single" w:sz="8" w:space="0" w:color="auto"/>
              <w:bottom w:val="single" w:sz="4" w:space="0" w:color="auto"/>
              <w:right w:val="single" w:sz="8" w:space="0" w:color="auto"/>
            </w:tcBorders>
            <w:shd w:val="clear" w:color="000000" w:fill="FFD966"/>
            <w:noWrap/>
            <w:vAlign w:val="bottom"/>
            <w:hideMark/>
          </w:tcPr>
          <w:p w14:paraId="641A55F6" w14:textId="77777777" w:rsidR="00C7290F" w:rsidRPr="00C7290F" w:rsidRDefault="00C7290F" w:rsidP="00C7290F">
            <w:pPr>
              <w:rPr>
                <w:rFonts w:ascii="Calibri" w:eastAsia="Times New Roman" w:hAnsi="Calibri" w:cs="Calibri"/>
                <w:color w:val="000000"/>
                <w:kern w:val="0"/>
                <w:sz w:val="16"/>
                <w:szCs w:val="16"/>
                <w:lang w:eastAsia="pl-PL"/>
                <w14:ligatures w14:val="none"/>
              </w:rPr>
            </w:pPr>
            <w:r w:rsidRPr="00C7290F">
              <w:rPr>
                <w:rFonts w:ascii="Calibri" w:eastAsia="Times New Roman" w:hAnsi="Calibri" w:cs="Calibri"/>
                <w:color w:val="000000"/>
                <w:kern w:val="0"/>
                <w:sz w:val="16"/>
                <w:szCs w:val="16"/>
                <w:lang w:eastAsia="pl-PL"/>
                <w14:ligatures w14:val="none"/>
              </w:rPr>
              <w:t>EFRROW</w:t>
            </w:r>
          </w:p>
        </w:tc>
        <w:tc>
          <w:tcPr>
            <w:tcW w:w="851" w:type="dxa"/>
            <w:tcBorders>
              <w:top w:val="nil"/>
              <w:left w:val="nil"/>
              <w:bottom w:val="nil"/>
              <w:right w:val="nil"/>
            </w:tcBorders>
            <w:shd w:val="clear" w:color="auto" w:fill="auto"/>
            <w:vAlign w:val="bottom"/>
            <w:hideMark/>
          </w:tcPr>
          <w:p w14:paraId="61609BF3" w14:textId="3E0966DE" w:rsidR="00C7290F" w:rsidRPr="00C7290F" w:rsidRDefault="00D2758B" w:rsidP="00D2758B">
            <w:pPr>
              <w:ind w:left="-733" w:right="4"/>
              <w:jc w:val="right"/>
              <w:rPr>
                <w:rFonts w:ascii="Calibri" w:eastAsia="Times New Roman" w:hAnsi="Calibri" w:cs="Calibri"/>
                <w:color w:val="000000"/>
                <w:kern w:val="0"/>
                <w:sz w:val="16"/>
                <w:szCs w:val="16"/>
                <w:lang w:eastAsia="pl-PL"/>
                <w14:ligatures w14:val="none"/>
              </w:rPr>
            </w:pPr>
            <w:r>
              <w:rPr>
                <w:rFonts w:ascii="Calibri" w:eastAsia="Times New Roman" w:hAnsi="Calibri" w:cs="Calibri"/>
                <w:color w:val="000000"/>
                <w:kern w:val="0"/>
                <w:sz w:val="16"/>
                <w:szCs w:val="16"/>
                <w:lang w:eastAsia="pl-PL"/>
                <w14:ligatures w14:val="none"/>
              </w:rPr>
              <w:t>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14:paraId="524BB475" w14:textId="28D4DFB5" w:rsidR="00C7290F" w:rsidRPr="00C7290F" w:rsidRDefault="00C7290F" w:rsidP="00D2758B">
            <w:pPr>
              <w:jc w:val="right"/>
              <w:rPr>
                <w:rFonts w:ascii="Calibri" w:eastAsia="Times New Roman" w:hAnsi="Calibri" w:cs="Calibri"/>
                <w:color w:val="000000"/>
                <w:kern w:val="0"/>
                <w:sz w:val="16"/>
                <w:szCs w:val="16"/>
                <w:lang w:eastAsia="pl-PL"/>
                <w14:ligatures w14:val="none"/>
              </w:rPr>
            </w:pPr>
            <w:r w:rsidRPr="00C7290F">
              <w:rPr>
                <w:rFonts w:ascii="Calibri" w:eastAsia="Times New Roman" w:hAnsi="Calibri" w:cs="Calibri"/>
                <w:color w:val="000000"/>
                <w:kern w:val="0"/>
                <w:sz w:val="16"/>
                <w:szCs w:val="16"/>
                <w:lang w:eastAsia="pl-PL"/>
                <w14:ligatures w14:val="none"/>
              </w:rPr>
              <w:t> </w:t>
            </w:r>
            <w:r w:rsidR="00D2758B">
              <w:rPr>
                <w:rFonts w:ascii="Calibri" w:eastAsia="Times New Roman" w:hAnsi="Calibri" w:cs="Calibri"/>
                <w:color w:val="000000"/>
                <w:kern w:val="0"/>
                <w:sz w:val="16"/>
                <w:szCs w:val="16"/>
                <w:lang w:eastAsia="pl-PL"/>
                <w14:ligatures w14:val="none"/>
              </w:rPr>
              <w:t>0</w:t>
            </w:r>
            <w:r w:rsidR="004063DC">
              <w:rPr>
                <w:rFonts w:ascii="Calibri" w:eastAsia="Times New Roman" w:hAnsi="Calibri" w:cs="Calibri"/>
                <w:color w:val="000000"/>
                <w:kern w:val="0"/>
                <w:sz w:val="16"/>
                <w:szCs w:val="16"/>
                <w:lang w:eastAsia="pl-PL"/>
                <w14:ligatures w14:val="none"/>
              </w:rPr>
              <w:t>%</w:t>
            </w:r>
          </w:p>
        </w:tc>
        <w:tc>
          <w:tcPr>
            <w:tcW w:w="991" w:type="dxa"/>
            <w:tcBorders>
              <w:top w:val="nil"/>
              <w:left w:val="nil"/>
              <w:bottom w:val="nil"/>
              <w:right w:val="nil"/>
            </w:tcBorders>
            <w:shd w:val="clear" w:color="auto" w:fill="auto"/>
            <w:noWrap/>
            <w:vAlign w:val="bottom"/>
            <w:hideMark/>
          </w:tcPr>
          <w:p w14:paraId="3D56DE05" w14:textId="635AC52F" w:rsidR="0070635E" w:rsidRPr="00C406F6" w:rsidRDefault="0070635E" w:rsidP="00C7290F">
            <w:pPr>
              <w:jc w:val="right"/>
              <w:rPr>
                <w:rFonts w:ascii="Calibri" w:eastAsia="Times New Roman" w:hAnsi="Calibri" w:cs="Calibri"/>
                <w:kern w:val="0"/>
                <w:sz w:val="16"/>
                <w:szCs w:val="16"/>
                <w:lang w:eastAsia="pl-PL"/>
                <w14:ligatures w14:val="none"/>
              </w:rPr>
            </w:pPr>
            <w:r w:rsidRPr="00C406F6">
              <w:rPr>
                <w:rFonts w:ascii="Calibri" w:eastAsia="Times New Roman" w:hAnsi="Calibri" w:cs="Calibri"/>
                <w:kern w:val="0"/>
                <w:sz w:val="16"/>
                <w:szCs w:val="16"/>
                <w:lang w:eastAsia="pl-PL"/>
                <w14:ligatures w14:val="none"/>
              </w:rPr>
              <w:t>175 000</w:t>
            </w:r>
          </w:p>
        </w:tc>
        <w:tc>
          <w:tcPr>
            <w:tcW w:w="1182" w:type="dxa"/>
            <w:tcBorders>
              <w:top w:val="nil"/>
              <w:left w:val="single" w:sz="4" w:space="0" w:color="auto"/>
              <w:bottom w:val="single" w:sz="4" w:space="0" w:color="auto"/>
              <w:right w:val="single" w:sz="8" w:space="0" w:color="auto"/>
            </w:tcBorders>
            <w:shd w:val="clear" w:color="auto" w:fill="auto"/>
            <w:noWrap/>
            <w:vAlign w:val="bottom"/>
            <w:hideMark/>
          </w:tcPr>
          <w:p w14:paraId="489046C6" w14:textId="78EC8AA9" w:rsidR="0070635E" w:rsidRPr="00C406F6" w:rsidRDefault="0070635E" w:rsidP="00C7290F">
            <w:pPr>
              <w:jc w:val="right"/>
              <w:rPr>
                <w:rFonts w:ascii="Calibri" w:eastAsia="Times New Roman" w:hAnsi="Calibri" w:cs="Calibri"/>
                <w:kern w:val="0"/>
                <w:sz w:val="16"/>
                <w:szCs w:val="16"/>
                <w:lang w:eastAsia="pl-PL"/>
                <w14:ligatures w14:val="none"/>
              </w:rPr>
            </w:pPr>
            <w:r w:rsidRPr="00C406F6">
              <w:rPr>
                <w:rFonts w:ascii="Calibri" w:eastAsia="Times New Roman" w:hAnsi="Calibri" w:cs="Calibri"/>
                <w:kern w:val="0"/>
                <w:sz w:val="16"/>
                <w:szCs w:val="16"/>
                <w:lang w:eastAsia="pl-PL"/>
                <w14:ligatures w14:val="none"/>
              </w:rPr>
              <w:t>10%</w:t>
            </w:r>
          </w:p>
        </w:tc>
        <w:tc>
          <w:tcPr>
            <w:tcW w:w="1041" w:type="dxa"/>
            <w:tcBorders>
              <w:top w:val="nil"/>
              <w:left w:val="single" w:sz="4" w:space="0" w:color="auto"/>
              <w:bottom w:val="single" w:sz="4" w:space="0" w:color="auto"/>
              <w:right w:val="single" w:sz="4" w:space="0" w:color="auto"/>
            </w:tcBorders>
            <w:shd w:val="clear" w:color="auto" w:fill="auto"/>
            <w:noWrap/>
            <w:vAlign w:val="bottom"/>
            <w:hideMark/>
          </w:tcPr>
          <w:p w14:paraId="61F7F56A" w14:textId="3635E1AB" w:rsidR="0070635E" w:rsidRPr="00C406F6" w:rsidRDefault="00B233A1" w:rsidP="00C7290F">
            <w:pPr>
              <w:jc w:val="right"/>
              <w:rPr>
                <w:rFonts w:ascii="Calibri" w:eastAsia="Times New Roman" w:hAnsi="Calibri" w:cs="Calibri"/>
                <w:kern w:val="0"/>
                <w:sz w:val="16"/>
                <w:szCs w:val="16"/>
                <w:lang w:eastAsia="pl-PL"/>
                <w14:ligatures w14:val="none"/>
              </w:rPr>
            </w:pPr>
            <w:r w:rsidRPr="00C406F6">
              <w:rPr>
                <w:rFonts w:ascii="Calibri" w:eastAsia="Times New Roman" w:hAnsi="Calibri" w:cs="Calibri"/>
                <w:kern w:val="0"/>
                <w:sz w:val="16"/>
                <w:szCs w:val="16"/>
                <w:lang w:eastAsia="pl-PL"/>
                <w14:ligatures w14:val="none"/>
              </w:rPr>
              <w:t>700 000</w:t>
            </w:r>
          </w:p>
        </w:tc>
        <w:tc>
          <w:tcPr>
            <w:tcW w:w="1085" w:type="dxa"/>
            <w:tcBorders>
              <w:top w:val="nil"/>
              <w:left w:val="single" w:sz="4" w:space="0" w:color="auto"/>
              <w:bottom w:val="single" w:sz="4" w:space="0" w:color="auto"/>
              <w:right w:val="single" w:sz="8" w:space="0" w:color="auto"/>
            </w:tcBorders>
            <w:shd w:val="clear" w:color="auto" w:fill="auto"/>
            <w:noWrap/>
            <w:vAlign w:val="bottom"/>
            <w:hideMark/>
          </w:tcPr>
          <w:p w14:paraId="008EDB66" w14:textId="73F604DC" w:rsidR="0070635E" w:rsidRPr="00C406F6" w:rsidRDefault="00F5486B" w:rsidP="005A4792">
            <w:pPr>
              <w:jc w:val="right"/>
              <w:rPr>
                <w:rFonts w:ascii="Calibri" w:eastAsia="Times New Roman" w:hAnsi="Calibri" w:cs="Calibri"/>
                <w:kern w:val="0"/>
                <w:sz w:val="16"/>
                <w:szCs w:val="16"/>
                <w:lang w:eastAsia="pl-PL"/>
                <w14:ligatures w14:val="none"/>
              </w:rPr>
            </w:pPr>
            <w:r w:rsidRPr="005A4792">
              <w:rPr>
                <w:rFonts w:ascii="Calibri" w:eastAsia="Times New Roman" w:hAnsi="Calibri" w:cs="Calibri"/>
                <w:kern w:val="0"/>
                <w:sz w:val="16"/>
                <w:szCs w:val="16"/>
                <w:lang w:eastAsia="pl-PL"/>
                <w14:ligatures w14:val="none"/>
              </w:rPr>
              <w:t xml:space="preserve">50 </w:t>
            </w:r>
            <w:r w:rsidRPr="00F5486B">
              <w:rPr>
                <w:rFonts w:ascii="Calibri" w:eastAsia="Times New Roman" w:hAnsi="Calibri" w:cs="Calibri"/>
                <w:color w:val="00B050"/>
                <w:kern w:val="0"/>
                <w:sz w:val="16"/>
                <w:szCs w:val="16"/>
                <w:lang w:eastAsia="pl-PL"/>
                <w14:ligatures w14:val="none"/>
              </w:rPr>
              <w:t xml:space="preserve"> </w:t>
            </w:r>
            <w:r w:rsidR="0070635E" w:rsidRPr="00C406F6">
              <w:rPr>
                <w:rFonts w:ascii="Calibri" w:eastAsia="Times New Roman" w:hAnsi="Calibri" w:cs="Calibri"/>
                <w:kern w:val="0"/>
                <w:sz w:val="16"/>
                <w:szCs w:val="16"/>
                <w:lang w:eastAsia="pl-PL"/>
                <w14:ligatures w14:val="none"/>
              </w:rPr>
              <w:t>%</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03837D26" w14:textId="32F751B0" w:rsidR="00C7290F" w:rsidRPr="00C406F6" w:rsidRDefault="00B233A1" w:rsidP="00C7290F">
            <w:pPr>
              <w:jc w:val="right"/>
              <w:rPr>
                <w:rFonts w:ascii="Calibri" w:eastAsia="Times New Roman" w:hAnsi="Calibri" w:cs="Calibri"/>
                <w:kern w:val="0"/>
                <w:sz w:val="16"/>
                <w:szCs w:val="16"/>
                <w:lang w:eastAsia="pl-PL"/>
                <w14:ligatures w14:val="none"/>
              </w:rPr>
            </w:pPr>
            <w:r w:rsidRPr="00C406F6">
              <w:rPr>
                <w:rFonts w:ascii="Calibri" w:eastAsia="Times New Roman" w:hAnsi="Calibri" w:cs="Calibri"/>
                <w:kern w:val="0"/>
                <w:sz w:val="16"/>
                <w:szCs w:val="16"/>
                <w:lang w:eastAsia="pl-PL"/>
                <w14:ligatures w14:val="none"/>
              </w:rPr>
              <w:t>181 244</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14:paraId="6664CAE8" w14:textId="75401018" w:rsidR="00B233A1" w:rsidRPr="00C406F6" w:rsidRDefault="00B233A1" w:rsidP="00C7290F">
            <w:pPr>
              <w:jc w:val="right"/>
              <w:rPr>
                <w:rFonts w:ascii="Calibri" w:eastAsia="Times New Roman" w:hAnsi="Calibri" w:cs="Calibri"/>
                <w:kern w:val="0"/>
                <w:sz w:val="16"/>
                <w:szCs w:val="16"/>
                <w:lang w:eastAsia="pl-PL"/>
                <w14:ligatures w14:val="none"/>
              </w:rPr>
            </w:pPr>
            <w:r w:rsidRPr="00C406F6">
              <w:rPr>
                <w:rFonts w:ascii="Calibri" w:eastAsia="Times New Roman" w:hAnsi="Calibri" w:cs="Calibri"/>
                <w:kern w:val="0"/>
                <w:sz w:val="16"/>
                <w:szCs w:val="16"/>
                <w:lang w:eastAsia="pl-PL"/>
                <w14:ligatures w14:val="none"/>
              </w:rPr>
              <w:t>60,36</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3C92325" w14:textId="3DC014E8" w:rsidR="00B233A1" w:rsidRPr="00C406F6" w:rsidRDefault="00B233A1" w:rsidP="00C7290F">
            <w:pPr>
              <w:jc w:val="right"/>
              <w:rPr>
                <w:rFonts w:ascii="Calibri" w:eastAsia="Times New Roman" w:hAnsi="Calibri" w:cs="Calibri"/>
                <w:kern w:val="0"/>
                <w:sz w:val="16"/>
                <w:szCs w:val="16"/>
                <w:lang w:eastAsia="pl-PL"/>
                <w14:ligatures w14:val="none"/>
              </w:rPr>
            </w:pPr>
            <w:r w:rsidRPr="00C406F6">
              <w:rPr>
                <w:rFonts w:ascii="Calibri" w:eastAsia="Times New Roman" w:hAnsi="Calibri" w:cs="Calibri"/>
                <w:kern w:val="0"/>
                <w:sz w:val="16"/>
                <w:szCs w:val="16"/>
                <w:lang w:eastAsia="pl-PL"/>
                <w14:ligatures w14:val="none"/>
              </w:rPr>
              <w:t>693 756</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14:paraId="16561C82" w14:textId="71A3E7F9" w:rsidR="00C7290F" w:rsidRPr="00C7290F" w:rsidRDefault="00C7290F" w:rsidP="00C7290F">
            <w:pPr>
              <w:jc w:val="right"/>
              <w:rPr>
                <w:rFonts w:ascii="Calibri" w:eastAsia="Times New Roman" w:hAnsi="Calibri" w:cs="Calibri"/>
                <w:color w:val="000000"/>
                <w:kern w:val="0"/>
                <w:sz w:val="16"/>
                <w:szCs w:val="16"/>
                <w:lang w:eastAsia="pl-PL"/>
                <w14:ligatures w14:val="none"/>
              </w:rPr>
            </w:pPr>
            <w:r w:rsidRPr="00C7290F">
              <w:rPr>
                <w:rFonts w:ascii="Calibri" w:eastAsia="Times New Roman" w:hAnsi="Calibri" w:cs="Calibri"/>
                <w:color w:val="000000"/>
                <w:kern w:val="0"/>
                <w:sz w:val="16"/>
                <w:szCs w:val="16"/>
                <w:lang w:eastAsia="pl-PL"/>
                <w14:ligatures w14:val="none"/>
              </w:rPr>
              <w:t>100</w:t>
            </w:r>
            <w:r w:rsidR="0055550E">
              <w:rPr>
                <w:rFonts w:ascii="Calibri" w:eastAsia="Times New Roman" w:hAnsi="Calibri" w:cs="Calibri"/>
                <w:color w:val="000000"/>
                <w:kern w:val="0"/>
                <w:sz w:val="16"/>
                <w:szCs w:val="16"/>
                <w:lang w:eastAsia="pl-PL"/>
                <w14:ligatures w14:val="none"/>
              </w:rPr>
              <w:t>%</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00906772" w14:textId="77777777" w:rsidR="00C7290F" w:rsidRPr="00C7290F" w:rsidRDefault="00C7290F" w:rsidP="00C7290F">
            <w:pPr>
              <w:jc w:val="right"/>
              <w:rPr>
                <w:rFonts w:ascii="Calibri" w:eastAsia="Times New Roman" w:hAnsi="Calibri" w:cs="Calibri"/>
                <w:color w:val="000000"/>
                <w:kern w:val="0"/>
                <w:sz w:val="16"/>
                <w:szCs w:val="16"/>
                <w:lang w:eastAsia="pl-PL"/>
                <w14:ligatures w14:val="none"/>
              </w:rPr>
            </w:pPr>
            <w:r w:rsidRPr="00C7290F">
              <w:rPr>
                <w:rFonts w:ascii="Calibri" w:eastAsia="Times New Roman" w:hAnsi="Calibri" w:cs="Calibri"/>
                <w:color w:val="000000"/>
                <w:kern w:val="0"/>
                <w:sz w:val="16"/>
                <w:szCs w:val="16"/>
                <w:lang w:eastAsia="pl-PL"/>
                <w14:ligatures w14:val="none"/>
              </w:rPr>
              <w:t>0</w:t>
            </w:r>
          </w:p>
        </w:tc>
        <w:tc>
          <w:tcPr>
            <w:tcW w:w="1182" w:type="dxa"/>
            <w:tcBorders>
              <w:top w:val="nil"/>
              <w:left w:val="single" w:sz="4" w:space="0" w:color="auto"/>
              <w:bottom w:val="single" w:sz="4" w:space="0" w:color="auto"/>
              <w:right w:val="single" w:sz="8" w:space="0" w:color="auto"/>
            </w:tcBorders>
            <w:shd w:val="clear" w:color="auto" w:fill="auto"/>
            <w:noWrap/>
            <w:vAlign w:val="bottom"/>
            <w:hideMark/>
          </w:tcPr>
          <w:p w14:paraId="3EDD2714" w14:textId="6116F90E" w:rsidR="00C7290F" w:rsidRPr="00C7290F" w:rsidRDefault="00C7290F" w:rsidP="00C7290F">
            <w:pPr>
              <w:jc w:val="right"/>
              <w:rPr>
                <w:rFonts w:ascii="Calibri" w:eastAsia="Times New Roman" w:hAnsi="Calibri" w:cs="Calibri"/>
                <w:color w:val="000000"/>
                <w:kern w:val="0"/>
                <w:sz w:val="16"/>
                <w:szCs w:val="16"/>
                <w:lang w:eastAsia="pl-PL"/>
                <w14:ligatures w14:val="none"/>
              </w:rPr>
            </w:pPr>
            <w:r w:rsidRPr="00C7290F">
              <w:rPr>
                <w:rFonts w:ascii="Calibri" w:eastAsia="Times New Roman" w:hAnsi="Calibri" w:cs="Calibri"/>
                <w:color w:val="000000"/>
                <w:kern w:val="0"/>
                <w:sz w:val="16"/>
                <w:szCs w:val="16"/>
                <w:lang w:eastAsia="pl-PL"/>
                <w14:ligatures w14:val="none"/>
              </w:rPr>
              <w:t>100</w:t>
            </w:r>
            <w:r w:rsidR="0055550E">
              <w:rPr>
                <w:rFonts w:ascii="Calibri" w:eastAsia="Times New Roman" w:hAnsi="Calibri" w:cs="Calibri"/>
                <w:color w:val="000000"/>
                <w:kern w:val="0"/>
                <w:sz w:val="16"/>
                <w:szCs w:val="16"/>
                <w:lang w:eastAsia="pl-PL"/>
                <w14:ligatures w14:val="none"/>
              </w:rPr>
              <w:t>%</w:t>
            </w:r>
          </w:p>
        </w:tc>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4530F99E" w14:textId="77777777" w:rsidR="00C7290F" w:rsidRPr="00C7290F" w:rsidRDefault="00C7290F" w:rsidP="00C7290F">
            <w:pPr>
              <w:jc w:val="right"/>
              <w:rPr>
                <w:rFonts w:ascii="Calibri" w:eastAsia="Times New Roman" w:hAnsi="Calibri" w:cs="Calibri"/>
                <w:color w:val="000000"/>
                <w:kern w:val="0"/>
                <w:sz w:val="16"/>
                <w:szCs w:val="16"/>
                <w:lang w:eastAsia="pl-PL"/>
                <w14:ligatures w14:val="none"/>
              </w:rPr>
            </w:pPr>
            <w:r w:rsidRPr="00C7290F">
              <w:rPr>
                <w:rFonts w:ascii="Calibri" w:eastAsia="Times New Roman" w:hAnsi="Calibri" w:cs="Calibri"/>
                <w:color w:val="000000"/>
                <w:kern w:val="0"/>
                <w:sz w:val="16"/>
                <w:szCs w:val="16"/>
                <w:lang w:eastAsia="pl-PL"/>
                <w14:ligatures w14:val="none"/>
              </w:rPr>
              <w:t>0</w:t>
            </w:r>
          </w:p>
        </w:tc>
        <w:tc>
          <w:tcPr>
            <w:tcW w:w="1236" w:type="dxa"/>
            <w:tcBorders>
              <w:top w:val="nil"/>
              <w:left w:val="single" w:sz="4" w:space="0" w:color="auto"/>
              <w:bottom w:val="single" w:sz="4" w:space="0" w:color="auto"/>
              <w:right w:val="single" w:sz="8" w:space="0" w:color="auto"/>
            </w:tcBorders>
            <w:shd w:val="clear" w:color="auto" w:fill="auto"/>
            <w:noWrap/>
            <w:vAlign w:val="bottom"/>
            <w:hideMark/>
          </w:tcPr>
          <w:p w14:paraId="02E4EF0E" w14:textId="3C7003AB" w:rsidR="00C7290F" w:rsidRPr="00C7290F" w:rsidRDefault="0055550E" w:rsidP="00C7290F">
            <w:pPr>
              <w:jc w:val="right"/>
              <w:rPr>
                <w:rFonts w:ascii="Calibri" w:eastAsia="Times New Roman" w:hAnsi="Calibri" w:cs="Calibri"/>
                <w:color w:val="000000"/>
                <w:kern w:val="0"/>
                <w:sz w:val="16"/>
                <w:szCs w:val="16"/>
                <w:lang w:eastAsia="pl-PL"/>
                <w14:ligatures w14:val="none"/>
              </w:rPr>
            </w:pPr>
            <w:r>
              <w:rPr>
                <w:rFonts w:ascii="Calibri" w:eastAsia="Times New Roman" w:hAnsi="Calibri" w:cs="Calibri"/>
                <w:color w:val="000000"/>
                <w:kern w:val="0"/>
                <w:sz w:val="16"/>
                <w:szCs w:val="16"/>
                <w:lang w:eastAsia="pl-PL"/>
                <w14:ligatures w14:val="none"/>
              </w:rPr>
              <w:t>10</w:t>
            </w:r>
            <w:r w:rsidR="00AA70C6">
              <w:rPr>
                <w:rFonts w:ascii="Calibri" w:eastAsia="Times New Roman" w:hAnsi="Calibri" w:cs="Calibri"/>
                <w:color w:val="000000"/>
                <w:kern w:val="0"/>
                <w:sz w:val="16"/>
                <w:szCs w:val="16"/>
                <w:lang w:eastAsia="pl-PL"/>
                <w14:ligatures w14:val="none"/>
              </w:rPr>
              <w:t>0</w:t>
            </w:r>
            <w:r>
              <w:rPr>
                <w:rFonts w:ascii="Calibri" w:eastAsia="Times New Roman" w:hAnsi="Calibri" w:cs="Calibri"/>
                <w:color w:val="000000"/>
                <w:kern w:val="0"/>
                <w:sz w:val="16"/>
                <w:szCs w:val="16"/>
                <w:lang w:eastAsia="pl-PL"/>
                <w14:ligatures w14:val="none"/>
              </w:rPr>
              <w:t>%</w:t>
            </w:r>
          </w:p>
        </w:tc>
      </w:tr>
      <w:tr w:rsidR="008B0AFE" w:rsidRPr="008B0AFE" w14:paraId="2EC0145C" w14:textId="77777777" w:rsidTr="004063DC">
        <w:trPr>
          <w:trHeight w:val="495"/>
        </w:trPr>
        <w:tc>
          <w:tcPr>
            <w:tcW w:w="851" w:type="dxa"/>
            <w:tcBorders>
              <w:top w:val="nil"/>
              <w:left w:val="single" w:sz="8" w:space="0" w:color="auto"/>
              <w:bottom w:val="single" w:sz="4" w:space="0" w:color="auto"/>
              <w:right w:val="single" w:sz="8" w:space="0" w:color="auto"/>
            </w:tcBorders>
            <w:shd w:val="clear" w:color="000000" w:fill="FFD966"/>
            <w:noWrap/>
            <w:vAlign w:val="bottom"/>
            <w:hideMark/>
          </w:tcPr>
          <w:p w14:paraId="3BF1D504" w14:textId="77777777" w:rsidR="00C7290F" w:rsidRPr="00C7290F" w:rsidRDefault="00C7290F" w:rsidP="00C7290F">
            <w:pPr>
              <w:rPr>
                <w:rFonts w:ascii="Calibri" w:eastAsia="Times New Roman" w:hAnsi="Calibri" w:cs="Calibri"/>
                <w:color w:val="000000"/>
                <w:kern w:val="0"/>
                <w:sz w:val="16"/>
                <w:szCs w:val="16"/>
                <w:lang w:eastAsia="pl-PL"/>
                <w14:ligatures w14:val="none"/>
              </w:rPr>
            </w:pPr>
            <w:r w:rsidRPr="00C7290F">
              <w:rPr>
                <w:rFonts w:ascii="Calibri" w:eastAsia="Times New Roman" w:hAnsi="Calibri" w:cs="Calibri"/>
                <w:color w:val="000000"/>
                <w:kern w:val="0"/>
                <w:sz w:val="16"/>
                <w:szCs w:val="16"/>
                <w:lang w:eastAsia="pl-PL"/>
                <w14:ligatures w14:val="none"/>
              </w:rPr>
              <w:t>EFS+</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785C41C" w14:textId="77777777" w:rsidR="00C7290F" w:rsidRPr="00C7290F" w:rsidRDefault="00C7290F" w:rsidP="00D2758B">
            <w:pPr>
              <w:jc w:val="right"/>
              <w:rPr>
                <w:rFonts w:ascii="Calibri" w:eastAsia="Times New Roman" w:hAnsi="Calibri" w:cs="Calibri"/>
                <w:color w:val="000000"/>
                <w:kern w:val="0"/>
                <w:sz w:val="16"/>
                <w:szCs w:val="16"/>
                <w:lang w:eastAsia="pl-PL"/>
                <w14:ligatures w14:val="none"/>
              </w:rPr>
            </w:pPr>
            <w:r w:rsidRPr="00C7290F">
              <w:rPr>
                <w:rFonts w:ascii="Calibri" w:eastAsia="Times New Roman" w:hAnsi="Calibri" w:cs="Calibri"/>
                <w:color w:val="000000"/>
                <w:kern w:val="0"/>
                <w:sz w:val="16"/>
                <w:szCs w:val="16"/>
                <w:lang w:eastAsia="pl-PL"/>
                <w14:ligatures w14:val="none"/>
              </w:rPr>
              <w:t>0</w:t>
            </w:r>
          </w:p>
        </w:tc>
        <w:tc>
          <w:tcPr>
            <w:tcW w:w="1276" w:type="dxa"/>
            <w:tcBorders>
              <w:top w:val="nil"/>
              <w:left w:val="nil"/>
              <w:bottom w:val="single" w:sz="4" w:space="0" w:color="auto"/>
              <w:right w:val="single" w:sz="8" w:space="0" w:color="auto"/>
            </w:tcBorders>
            <w:shd w:val="clear" w:color="auto" w:fill="auto"/>
            <w:noWrap/>
            <w:vAlign w:val="bottom"/>
            <w:hideMark/>
          </w:tcPr>
          <w:p w14:paraId="71C12ED9" w14:textId="0996D9B8" w:rsidR="00C7290F" w:rsidRPr="00C7290F" w:rsidRDefault="00D2758B" w:rsidP="00D2758B">
            <w:pPr>
              <w:jc w:val="right"/>
              <w:rPr>
                <w:rFonts w:ascii="Calibri" w:eastAsia="Times New Roman" w:hAnsi="Calibri" w:cs="Calibri"/>
                <w:color w:val="000000"/>
                <w:kern w:val="0"/>
                <w:sz w:val="16"/>
                <w:szCs w:val="16"/>
                <w:lang w:eastAsia="pl-PL"/>
                <w14:ligatures w14:val="none"/>
              </w:rPr>
            </w:pPr>
            <w:r>
              <w:rPr>
                <w:rFonts w:ascii="Calibri" w:eastAsia="Times New Roman" w:hAnsi="Calibri" w:cs="Calibri"/>
                <w:color w:val="000000"/>
                <w:kern w:val="0"/>
                <w:sz w:val="16"/>
                <w:szCs w:val="16"/>
                <w:lang w:eastAsia="pl-PL"/>
                <w14:ligatures w14:val="none"/>
              </w:rPr>
              <w:t>0</w:t>
            </w:r>
            <w:r w:rsidR="004063DC">
              <w:rPr>
                <w:rFonts w:ascii="Calibri" w:eastAsia="Times New Roman" w:hAnsi="Calibri" w:cs="Calibri"/>
                <w:color w:val="000000"/>
                <w:kern w:val="0"/>
                <w:sz w:val="16"/>
                <w:szCs w:val="16"/>
                <w:lang w:eastAsia="pl-PL"/>
                <w14:ligatures w14:val="none"/>
              </w:rPr>
              <w:t>%</w:t>
            </w:r>
            <w:r w:rsidR="00C7290F" w:rsidRPr="00C7290F">
              <w:rPr>
                <w:rFonts w:ascii="Calibri" w:eastAsia="Times New Roman" w:hAnsi="Calibri" w:cs="Calibri"/>
                <w:color w:val="000000"/>
                <w:kern w:val="0"/>
                <w:sz w:val="16"/>
                <w:szCs w:val="16"/>
                <w:lang w:eastAsia="pl-PL"/>
                <w14:ligatures w14:val="none"/>
              </w:rPr>
              <w:t> </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F4261" w14:textId="77777777" w:rsidR="00C7290F" w:rsidRPr="00C7290F" w:rsidRDefault="00C7290F" w:rsidP="00C7290F">
            <w:pPr>
              <w:jc w:val="right"/>
              <w:rPr>
                <w:rFonts w:ascii="Calibri" w:eastAsia="Times New Roman" w:hAnsi="Calibri" w:cs="Calibri"/>
                <w:color w:val="000000"/>
                <w:kern w:val="0"/>
                <w:sz w:val="16"/>
                <w:szCs w:val="16"/>
                <w:lang w:eastAsia="pl-PL"/>
                <w14:ligatures w14:val="none"/>
              </w:rPr>
            </w:pPr>
            <w:r w:rsidRPr="00C7290F">
              <w:rPr>
                <w:rFonts w:ascii="Calibri" w:eastAsia="Times New Roman" w:hAnsi="Calibri" w:cs="Calibri"/>
                <w:color w:val="000000"/>
                <w:kern w:val="0"/>
                <w:sz w:val="16"/>
                <w:szCs w:val="16"/>
                <w:lang w:eastAsia="pl-PL"/>
                <w14:ligatures w14:val="none"/>
              </w:rPr>
              <w:t>0</w:t>
            </w:r>
          </w:p>
        </w:tc>
        <w:tc>
          <w:tcPr>
            <w:tcW w:w="1182" w:type="dxa"/>
            <w:tcBorders>
              <w:top w:val="nil"/>
              <w:left w:val="single" w:sz="4" w:space="0" w:color="auto"/>
              <w:bottom w:val="single" w:sz="4" w:space="0" w:color="auto"/>
              <w:right w:val="single" w:sz="8" w:space="0" w:color="auto"/>
            </w:tcBorders>
            <w:shd w:val="clear" w:color="auto" w:fill="auto"/>
            <w:noWrap/>
            <w:vAlign w:val="bottom"/>
            <w:hideMark/>
          </w:tcPr>
          <w:p w14:paraId="7F124D57" w14:textId="117778EA" w:rsidR="00C7290F" w:rsidRPr="00C7290F" w:rsidRDefault="00C7290F" w:rsidP="00C7290F">
            <w:pPr>
              <w:jc w:val="right"/>
              <w:rPr>
                <w:rFonts w:ascii="Calibri" w:eastAsia="Times New Roman" w:hAnsi="Calibri" w:cs="Calibri"/>
                <w:color w:val="000000"/>
                <w:kern w:val="0"/>
                <w:sz w:val="16"/>
                <w:szCs w:val="16"/>
                <w:lang w:eastAsia="pl-PL"/>
                <w14:ligatures w14:val="none"/>
              </w:rPr>
            </w:pPr>
            <w:r w:rsidRPr="00C7290F">
              <w:rPr>
                <w:rFonts w:ascii="Calibri" w:eastAsia="Times New Roman" w:hAnsi="Calibri" w:cs="Calibri"/>
                <w:color w:val="000000"/>
                <w:kern w:val="0"/>
                <w:sz w:val="16"/>
                <w:szCs w:val="16"/>
                <w:lang w:eastAsia="pl-PL"/>
                <w14:ligatures w14:val="none"/>
              </w:rPr>
              <w:t>0</w:t>
            </w:r>
            <w:r w:rsidR="004063DC">
              <w:rPr>
                <w:rFonts w:ascii="Calibri" w:eastAsia="Times New Roman" w:hAnsi="Calibri" w:cs="Calibri"/>
                <w:color w:val="000000"/>
                <w:kern w:val="0"/>
                <w:sz w:val="16"/>
                <w:szCs w:val="16"/>
                <w:lang w:eastAsia="pl-PL"/>
                <w14:ligatures w14:val="none"/>
              </w:rPr>
              <w:t>%</w:t>
            </w:r>
          </w:p>
        </w:tc>
        <w:tc>
          <w:tcPr>
            <w:tcW w:w="1041" w:type="dxa"/>
            <w:tcBorders>
              <w:top w:val="nil"/>
              <w:left w:val="single" w:sz="4" w:space="0" w:color="auto"/>
              <w:bottom w:val="single" w:sz="4" w:space="0" w:color="auto"/>
              <w:right w:val="single" w:sz="4" w:space="0" w:color="auto"/>
            </w:tcBorders>
            <w:shd w:val="clear" w:color="auto" w:fill="AEAAAA" w:themeFill="background2" w:themeFillShade="BF"/>
            <w:noWrap/>
            <w:vAlign w:val="bottom"/>
            <w:hideMark/>
          </w:tcPr>
          <w:p w14:paraId="7C2DF518" w14:textId="4419B849" w:rsidR="00C7290F" w:rsidRPr="00C7290F" w:rsidRDefault="00C7290F" w:rsidP="00C7290F">
            <w:pPr>
              <w:jc w:val="right"/>
              <w:rPr>
                <w:rFonts w:ascii="Calibri" w:eastAsia="Times New Roman" w:hAnsi="Calibri" w:cs="Calibri"/>
                <w:kern w:val="0"/>
                <w:sz w:val="16"/>
                <w:szCs w:val="16"/>
                <w:lang w:eastAsia="pl-PL"/>
                <w14:ligatures w14:val="none"/>
              </w:rPr>
            </w:pPr>
          </w:p>
        </w:tc>
        <w:tc>
          <w:tcPr>
            <w:tcW w:w="1085" w:type="dxa"/>
            <w:tcBorders>
              <w:top w:val="nil"/>
              <w:left w:val="single" w:sz="4" w:space="0" w:color="auto"/>
              <w:bottom w:val="single" w:sz="4" w:space="0" w:color="auto"/>
              <w:right w:val="single" w:sz="8" w:space="0" w:color="auto"/>
            </w:tcBorders>
            <w:shd w:val="clear" w:color="auto" w:fill="AEAAAA" w:themeFill="background2" w:themeFillShade="BF"/>
            <w:noWrap/>
            <w:vAlign w:val="bottom"/>
            <w:hideMark/>
          </w:tcPr>
          <w:p w14:paraId="0A20888B" w14:textId="29BFB11F" w:rsidR="00C7290F" w:rsidRPr="00C7290F" w:rsidRDefault="00C7290F" w:rsidP="00C7290F">
            <w:pPr>
              <w:jc w:val="right"/>
              <w:rPr>
                <w:rFonts w:ascii="Calibri" w:eastAsia="Times New Roman" w:hAnsi="Calibri" w:cs="Calibri"/>
                <w:kern w:val="0"/>
                <w:sz w:val="16"/>
                <w:szCs w:val="16"/>
                <w:lang w:eastAsia="pl-PL"/>
                <w14:ligatures w14:val="none"/>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1D22E27D" w14:textId="3997D23E" w:rsidR="00C7290F" w:rsidRPr="000B514D" w:rsidRDefault="00255B73" w:rsidP="00C7290F">
            <w:pPr>
              <w:jc w:val="right"/>
              <w:rPr>
                <w:rFonts w:ascii="Calibri" w:eastAsia="Times New Roman" w:hAnsi="Calibri" w:cs="Calibri"/>
                <w:kern w:val="0"/>
                <w:sz w:val="16"/>
                <w:szCs w:val="16"/>
                <w:lang w:eastAsia="pl-PL"/>
                <w14:ligatures w14:val="none"/>
              </w:rPr>
            </w:pPr>
            <w:r w:rsidRPr="000B514D">
              <w:rPr>
                <w:rFonts w:ascii="Calibri" w:eastAsia="Times New Roman" w:hAnsi="Calibri" w:cs="Calibri"/>
                <w:kern w:val="0"/>
                <w:sz w:val="16"/>
                <w:szCs w:val="16"/>
                <w:lang w:eastAsia="pl-PL"/>
                <w14:ligatures w14:val="none"/>
              </w:rPr>
              <w:t>673</w:t>
            </w:r>
            <w:r w:rsidR="004063DC" w:rsidRPr="000B514D">
              <w:rPr>
                <w:rFonts w:ascii="Calibri" w:eastAsia="Times New Roman" w:hAnsi="Calibri" w:cs="Calibri"/>
                <w:kern w:val="0"/>
                <w:sz w:val="16"/>
                <w:szCs w:val="16"/>
                <w:lang w:eastAsia="pl-PL"/>
                <w14:ligatures w14:val="none"/>
              </w:rPr>
              <w:t xml:space="preserve"> 00</w:t>
            </w:r>
            <w:r w:rsidR="00C7290F" w:rsidRPr="000B514D">
              <w:rPr>
                <w:rFonts w:ascii="Calibri" w:eastAsia="Times New Roman" w:hAnsi="Calibri" w:cs="Calibri"/>
                <w:kern w:val="0"/>
                <w:sz w:val="16"/>
                <w:szCs w:val="16"/>
                <w:lang w:eastAsia="pl-PL"/>
                <w14:ligatures w14:val="none"/>
              </w:rPr>
              <w:t>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14:paraId="5E578C68" w14:textId="245B37A4" w:rsidR="00C7290F" w:rsidRPr="000B514D" w:rsidRDefault="004063DC" w:rsidP="00C7290F">
            <w:pPr>
              <w:jc w:val="right"/>
              <w:rPr>
                <w:rFonts w:ascii="Calibri" w:eastAsia="Times New Roman" w:hAnsi="Calibri" w:cs="Calibri"/>
                <w:kern w:val="0"/>
                <w:sz w:val="16"/>
                <w:szCs w:val="16"/>
                <w:lang w:eastAsia="pl-PL"/>
                <w14:ligatures w14:val="none"/>
              </w:rPr>
            </w:pPr>
            <w:r w:rsidRPr="000B514D">
              <w:rPr>
                <w:rFonts w:ascii="Calibri" w:eastAsia="Times New Roman" w:hAnsi="Calibri" w:cs="Calibri"/>
                <w:kern w:val="0"/>
                <w:sz w:val="16"/>
                <w:szCs w:val="16"/>
                <w:lang w:eastAsia="pl-PL"/>
                <w14:ligatures w14:val="none"/>
              </w:rPr>
              <w:t>10</w:t>
            </w:r>
            <w:r w:rsidR="00C7290F" w:rsidRPr="000B514D">
              <w:rPr>
                <w:rFonts w:ascii="Calibri" w:eastAsia="Times New Roman" w:hAnsi="Calibri" w:cs="Calibri"/>
                <w:kern w:val="0"/>
                <w:sz w:val="16"/>
                <w:szCs w:val="16"/>
                <w:lang w:eastAsia="pl-PL"/>
                <w14:ligatures w14:val="none"/>
              </w:rPr>
              <w:t>0</w:t>
            </w:r>
            <w:r w:rsidR="0055550E" w:rsidRPr="000B514D">
              <w:rPr>
                <w:rFonts w:ascii="Calibri" w:eastAsia="Times New Roman" w:hAnsi="Calibri" w:cs="Calibri"/>
                <w:kern w:val="0"/>
                <w:sz w:val="16"/>
                <w:szCs w:val="16"/>
                <w:lang w:eastAsia="pl-PL"/>
                <w14:ligatures w14:val="none"/>
              </w:rPr>
              <w:t>%</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FB2580F" w14:textId="77777777" w:rsidR="00C7290F" w:rsidRPr="00C7290F" w:rsidRDefault="00C7290F" w:rsidP="00C7290F">
            <w:pPr>
              <w:jc w:val="right"/>
              <w:rPr>
                <w:rFonts w:ascii="Calibri" w:eastAsia="Times New Roman" w:hAnsi="Calibri" w:cs="Calibri"/>
                <w:color w:val="000000"/>
                <w:kern w:val="0"/>
                <w:sz w:val="16"/>
                <w:szCs w:val="16"/>
                <w:lang w:eastAsia="pl-PL"/>
                <w14:ligatures w14:val="none"/>
              </w:rPr>
            </w:pPr>
            <w:r w:rsidRPr="00C7290F">
              <w:rPr>
                <w:rFonts w:ascii="Calibri" w:eastAsia="Times New Roman" w:hAnsi="Calibri" w:cs="Calibri"/>
                <w:color w:val="000000"/>
                <w:kern w:val="0"/>
                <w:sz w:val="16"/>
                <w:szCs w:val="16"/>
                <w:lang w:eastAsia="pl-PL"/>
                <w14:ligatures w14:val="none"/>
              </w:rPr>
              <w:t>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14:paraId="57E90EF7" w14:textId="6374471D" w:rsidR="00C7290F" w:rsidRPr="00C7290F" w:rsidRDefault="0055550E" w:rsidP="00C7290F">
            <w:pPr>
              <w:jc w:val="right"/>
              <w:rPr>
                <w:rFonts w:ascii="Calibri" w:eastAsia="Times New Roman" w:hAnsi="Calibri" w:cs="Calibri"/>
                <w:color w:val="000000"/>
                <w:kern w:val="0"/>
                <w:sz w:val="16"/>
                <w:szCs w:val="16"/>
                <w:lang w:eastAsia="pl-PL"/>
                <w14:ligatures w14:val="none"/>
              </w:rPr>
            </w:pPr>
            <w:r>
              <w:rPr>
                <w:rFonts w:ascii="Calibri" w:eastAsia="Times New Roman" w:hAnsi="Calibri" w:cs="Calibri"/>
                <w:color w:val="000000"/>
                <w:kern w:val="0"/>
                <w:sz w:val="16"/>
                <w:szCs w:val="16"/>
                <w:lang w:eastAsia="pl-PL"/>
                <w14:ligatures w14:val="none"/>
              </w:rPr>
              <w:t>10</w:t>
            </w:r>
            <w:r w:rsidR="00C7290F" w:rsidRPr="00C7290F">
              <w:rPr>
                <w:rFonts w:ascii="Calibri" w:eastAsia="Times New Roman" w:hAnsi="Calibri" w:cs="Calibri"/>
                <w:color w:val="000000"/>
                <w:kern w:val="0"/>
                <w:sz w:val="16"/>
                <w:szCs w:val="16"/>
                <w:lang w:eastAsia="pl-PL"/>
                <w14:ligatures w14:val="none"/>
              </w:rPr>
              <w:t>0</w:t>
            </w:r>
            <w:r>
              <w:rPr>
                <w:rFonts w:ascii="Calibri" w:eastAsia="Times New Roman" w:hAnsi="Calibri" w:cs="Calibri"/>
                <w:color w:val="000000"/>
                <w:kern w:val="0"/>
                <w:sz w:val="16"/>
                <w:szCs w:val="16"/>
                <w:lang w:eastAsia="pl-PL"/>
                <w14:ligatures w14:val="none"/>
              </w:rPr>
              <w:t>%</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22EFF991" w14:textId="77777777" w:rsidR="00C7290F" w:rsidRPr="00C7290F" w:rsidRDefault="00C7290F" w:rsidP="00C7290F">
            <w:pPr>
              <w:jc w:val="right"/>
              <w:rPr>
                <w:rFonts w:ascii="Calibri" w:eastAsia="Times New Roman" w:hAnsi="Calibri" w:cs="Calibri"/>
                <w:color w:val="000000"/>
                <w:kern w:val="0"/>
                <w:sz w:val="16"/>
                <w:szCs w:val="16"/>
                <w:lang w:eastAsia="pl-PL"/>
                <w14:ligatures w14:val="none"/>
              </w:rPr>
            </w:pPr>
            <w:r w:rsidRPr="00C7290F">
              <w:rPr>
                <w:rFonts w:ascii="Calibri" w:eastAsia="Times New Roman" w:hAnsi="Calibri" w:cs="Calibri"/>
                <w:color w:val="000000"/>
                <w:kern w:val="0"/>
                <w:sz w:val="16"/>
                <w:szCs w:val="16"/>
                <w:lang w:eastAsia="pl-PL"/>
                <w14:ligatures w14:val="none"/>
              </w:rPr>
              <w:t>0</w:t>
            </w:r>
          </w:p>
        </w:tc>
        <w:tc>
          <w:tcPr>
            <w:tcW w:w="1182" w:type="dxa"/>
            <w:tcBorders>
              <w:top w:val="nil"/>
              <w:left w:val="single" w:sz="4" w:space="0" w:color="auto"/>
              <w:bottom w:val="single" w:sz="4" w:space="0" w:color="auto"/>
              <w:right w:val="single" w:sz="8" w:space="0" w:color="auto"/>
            </w:tcBorders>
            <w:shd w:val="clear" w:color="auto" w:fill="auto"/>
            <w:noWrap/>
            <w:vAlign w:val="bottom"/>
            <w:hideMark/>
          </w:tcPr>
          <w:p w14:paraId="6B45EF5D" w14:textId="495D7590" w:rsidR="00C7290F" w:rsidRPr="00C7290F" w:rsidRDefault="00C7290F" w:rsidP="00C7290F">
            <w:pPr>
              <w:jc w:val="right"/>
              <w:rPr>
                <w:rFonts w:ascii="Calibri" w:eastAsia="Times New Roman" w:hAnsi="Calibri" w:cs="Calibri"/>
                <w:color w:val="000000"/>
                <w:kern w:val="0"/>
                <w:sz w:val="16"/>
                <w:szCs w:val="16"/>
                <w:lang w:eastAsia="pl-PL"/>
                <w14:ligatures w14:val="none"/>
              </w:rPr>
            </w:pPr>
            <w:r w:rsidRPr="00C7290F">
              <w:rPr>
                <w:rFonts w:ascii="Calibri" w:eastAsia="Times New Roman" w:hAnsi="Calibri" w:cs="Calibri"/>
                <w:color w:val="000000"/>
                <w:kern w:val="0"/>
                <w:sz w:val="16"/>
                <w:szCs w:val="16"/>
                <w:lang w:eastAsia="pl-PL"/>
                <w14:ligatures w14:val="none"/>
              </w:rPr>
              <w:t>100</w:t>
            </w:r>
            <w:r w:rsidR="0055550E">
              <w:rPr>
                <w:rFonts w:ascii="Calibri" w:eastAsia="Times New Roman" w:hAnsi="Calibri" w:cs="Calibri"/>
                <w:color w:val="000000"/>
                <w:kern w:val="0"/>
                <w:sz w:val="16"/>
                <w:szCs w:val="16"/>
                <w:lang w:eastAsia="pl-PL"/>
                <w14:ligatures w14:val="none"/>
              </w:rPr>
              <w:t>%</w:t>
            </w:r>
          </w:p>
        </w:tc>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74FCABC2" w14:textId="77777777" w:rsidR="00C7290F" w:rsidRPr="00C7290F" w:rsidRDefault="00C7290F" w:rsidP="00C7290F">
            <w:pPr>
              <w:jc w:val="right"/>
              <w:rPr>
                <w:rFonts w:ascii="Calibri" w:eastAsia="Times New Roman" w:hAnsi="Calibri" w:cs="Calibri"/>
                <w:color w:val="000000"/>
                <w:kern w:val="0"/>
                <w:sz w:val="16"/>
                <w:szCs w:val="16"/>
                <w:lang w:eastAsia="pl-PL"/>
                <w14:ligatures w14:val="none"/>
              </w:rPr>
            </w:pPr>
            <w:r w:rsidRPr="00C7290F">
              <w:rPr>
                <w:rFonts w:ascii="Calibri" w:eastAsia="Times New Roman" w:hAnsi="Calibri" w:cs="Calibri"/>
                <w:color w:val="000000"/>
                <w:kern w:val="0"/>
                <w:sz w:val="16"/>
                <w:szCs w:val="16"/>
                <w:lang w:eastAsia="pl-PL"/>
                <w14:ligatures w14:val="none"/>
              </w:rPr>
              <w:t>0</w:t>
            </w:r>
          </w:p>
        </w:tc>
        <w:tc>
          <w:tcPr>
            <w:tcW w:w="1236" w:type="dxa"/>
            <w:tcBorders>
              <w:top w:val="nil"/>
              <w:left w:val="single" w:sz="4" w:space="0" w:color="auto"/>
              <w:bottom w:val="single" w:sz="4" w:space="0" w:color="auto"/>
              <w:right w:val="single" w:sz="8" w:space="0" w:color="auto"/>
            </w:tcBorders>
            <w:shd w:val="clear" w:color="auto" w:fill="auto"/>
            <w:noWrap/>
            <w:vAlign w:val="bottom"/>
            <w:hideMark/>
          </w:tcPr>
          <w:p w14:paraId="1C561DC0" w14:textId="0D03EEB1" w:rsidR="00C7290F" w:rsidRPr="00C7290F" w:rsidRDefault="00C7290F" w:rsidP="00C7290F">
            <w:pPr>
              <w:jc w:val="right"/>
              <w:rPr>
                <w:rFonts w:ascii="Calibri" w:eastAsia="Times New Roman" w:hAnsi="Calibri" w:cs="Calibri"/>
                <w:color w:val="000000"/>
                <w:kern w:val="0"/>
                <w:sz w:val="16"/>
                <w:szCs w:val="16"/>
                <w:lang w:eastAsia="pl-PL"/>
                <w14:ligatures w14:val="none"/>
              </w:rPr>
            </w:pPr>
            <w:r w:rsidRPr="00C7290F">
              <w:rPr>
                <w:rFonts w:ascii="Calibri" w:eastAsia="Times New Roman" w:hAnsi="Calibri" w:cs="Calibri"/>
                <w:color w:val="000000"/>
                <w:kern w:val="0"/>
                <w:sz w:val="16"/>
                <w:szCs w:val="16"/>
                <w:lang w:eastAsia="pl-PL"/>
                <w14:ligatures w14:val="none"/>
              </w:rPr>
              <w:t>100</w:t>
            </w:r>
            <w:r w:rsidR="0055550E">
              <w:rPr>
                <w:rFonts w:ascii="Calibri" w:eastAsia="Times New Roman" w:hAnsi="Calibri" w:cs="Calibri"/>
                <w:color w:val="000000"/>
                <w:kern w:val="0"/>
                <w:sz w:val="16"/>
                <w:szCs w:val="16"/>
                <w:lang w:eastAsia="pl-PL"/>
                <w14:ligatures w14:val="none"/>
              </w:rPr>
              <w:t>%</w:t>
            </w:r>
          </w:p>
        </w:tc>
      </w:tr>
      <w:tr w:rsidR="008B0AFE" w:rsidRPr="008B0AFE" w14:paraId="70137B81" w14:textId="77777777" w:rsidTr="004063DC">
        <w:trPr>
          <w:trHeight w:val="510"/>
        </w:trPr>
        <w:tc>
          <w:tcPr>
            <w:tcW w:w="851" w:type="dxa"/>
            <w:tcBorders>
              <w:top w:val="nil"/>
              <w:left w:val="single" w:sz="8" w:space="0" w:color="auto"/>
              <w:bottom w:val="nil"/>
              <w:right w:val="single" w:sz="8" w:space="0" w:color="auto"/>
            </w:tcBorders>
            <w:shd w:val="clear" w:color="000000" w:fill="FFD966"/>
            <w:noWrap/>
            <w:vAlign w:val="bottom"/>
            <w:hideMark/>
          </w:tcPr>
          <w:p w14:paraId="19D9DD73" w14:textId="77777777" w:rsidR="00C7290F" w:rsidRPr="00C7290F" w:rsidRDefault="00C7290F" w:rsidP="00C7290F">
            <w:pPr>
              <w:rPr>
                <w:rFonts w:ascii="Calibri" w:eastAsia="Times New Roman" w:hAnsi="Calibri" w:cs="Calibri"/>
                <w:color w:val="000000"/>
                <w:kern w:val="0"/>
                <w:sz w:val="16"/>
                <w:szCs w:val="16"/>
                <w:lang w:eastAsia="pl-PL"/>
                <w14:ligatures w14:val="none"/>
              </w:rPr>
            </w:pPr>
            <w:r w:rsidRPr="00C7290F">
              <w:rPr>
                <w:rFonts w:ascii="Calibri" w:eastAsia="Times New Roman" w:hAnsi="Calibri" w:cs="Calibri"/>
                <w:color w:val="000000"/>
                <w:kern w:val="0"/>
                <w:sz w:val="16"/>
                <w:szCs w:val="16"/>
                <w:lang w:eastAsia="pl-PL"/>
                <w14:ligatures w14:val="none"/>
              </w:rPr>
              <w:t>EFRR</w:t>
            </w:r>
          </w:p>
        </w:tc>
        <w:tc>
          <w:tcPr>
            <w:tcW w:w="851" w:type="dxa"/>
            <w:tcBorders>
              <w:top w:val="nil"/>
              <w:left w:val="nil"/>
              <w:bottom w:val="nil"/>
              <w:right w:val="single" w:sz="4" w:space="0" w:color="auto"/>
            </w:tcBorders>
            <w:shd w:val="clear" w:color="auto" w:fill="auto"/>
            <w:noWrap/>
            <w:vAlign w:val="bottom"/>
            <w:hideMark/>
          </w:tcPr>
          <w:p w14:paraId="561137F4" w14:textId="77777777" w:rsidR="00C7290F" w:rsidRPr="00C7290F" w:rsidRDefault="00C7290F" w:rsidP="00D2758B">
            <w:pPr>
              <w:jc w:val="right"/>
              <w:rPr>
                <w:rFonts w:ascii="Calibri" w:eastAsia="Times New Roman" w:hAnsi="Calibri" w:cs="Calibri"/>
                <w:color w:val="000000"/>
                <w:kern w:val="0"/>
                <w:sz w:val="16"/>
                <w:szCs w:val="16"/>
                <w:lang w:eastAsia="pl-PL"/>
                <w14:ligatures w14:val="none"/>
              </w:rPr>
            </w:pPr>
            <w:r w:rsidRPr="00C7290F">
              <w:rPr>
                <w:rFonts w:ascii="Calibri" w:eastAsia="Times New Roman" w:hAnsi="Calibri" w:cs="Calibri"/>
                <w:color w:val="000000"/>
                <w:kern w:val="0"/>
                <w:sz w:val="16"/>
                <w:szCs w:val="16"/>
                <w:lang w:eastAsia="pl-PL"/>
                <w14:ligatures w14:val="none"/>
              </w:rPr>
              <w:t>0</w:t>
            </w:r>
          </w:p>
        </w:tc>
        <w:tc>
          <w:tcPr>
            <w:tcW w:w="1276" w:type="dxa"/>
            <w:tcBorders>
              <w:top w:val="nil"/>
              <w:left w:val="nil"/>
              <w:bottom w:val="nil"/>
              <w:right w:val="single" w:sz="8" w:space="0" w:color="auto"/>
            </w:tcBorders>
            <w:shd w:val="clear" w:color="auto" w:fill="auto"/>
            <w:noWrap/>
            <w:vAlign w:val="bottom"/>
            <w:hideMark/>
          </w:tcPr>
          <w:p w14:paraId="6D9C67CD" w14:textId="7B2B1117" w:rsidR="00C7290F" w:rsidRPr="00C7290F" w:rsidRDefault="00C7290F" w:rsidP="00D2758B">
            <w:pPr>
              <w:jc w:val="right"/>
              <w:rPr>
                <w:rFonts w:ascii="Calibri" w:eastAsia="Times New Roman" w:hAnsi="Calibri" w:cs="Calibri"/>
                <w:color w:val="000000"/>
                <w:kern w:val="0"/>
                <w:sz w:val="16"/>
                <w:szCs w:val="16"/>
                <w:lang w:eastAsia="pl-PL"/>
                <w14:ligatures w14:val="none"/>
              </w:rPr>
            </w:pPr>
            <w:r w:rsidRPr="00C7290F">
              <w:rPr>
                <w:rFonts w:ascii="Calibri" w:eastAsia="Times New Roman" w:hAnsi="Calibri" w:cs="Calibri"/>
                <w:color w:val="000000"/>
                <w:kern w:val="0"/>
                <w:sz w:val="16"/>
                <w:szCs w:val="16"/>
                <w:lang w:eastAsia="pl-PL"/>
                <w14:ligatures w14:val="none"/>
              </w:rPr>
              <w:t>0</w:t>
            </w:r>
            <w:r w:rsidR="004063DC">
              <w:rPr>
                <w:rFonts w:ascii="Calibri" w:eastAsia="Times New Roman" w:hAnsi="Calibri" w:cs="Calibri"/>
                <w:color w:val="000000"/>
                <w:kern w:val="0"/>
                <w:sz w:val="16"/>
                <w:szCs w:val="16"/>
                <w:lang w:eastAsia="pl-PL"/>
                <w14:ligatures w14:val="none"/>
              </w:rPr>
              <w:t>%</w:t>
            </w:r>
          </w:p>
        </w:tc>
        <w:tc>
          <w:tcPr>
            <w:tcW w:w="991" w:type="dxa"/>
            <w:tcBorders>
              <w:top w:val="nil"/>
              <w:left w:val="single" w:sz="4" w:space="0" w:color="auto"/>
              <w:bottom w:val="nil"/>
              <w:right w:val="single" w:sz="4" w:space="0" w:color="auto"/>
            </w:tcBorders>
            <w:shd w:val="clear" w:color="auto" w:fill="auto"/>
            <w:noWrap/>
            <w:vAlign w:val="bottom"/>
            <w:hideMark/>
          </w:tcPr>
          <w:p w14:paraId="24470D59" w14:textId="77777777" w:rsidR="00C7290F" w:rsidRPr="00C7290F" w:rsidRDefault="00C7290F" w:rsidP="00C7290F">
            <w:pPr>
              <w:jc w:val="right"/>
              <w:rPr>
                <w:rFonts w:ascii="Calibri" w:eastAsia="Times New Roman" w:hAnsi="Calibri" w:cs="Calibri"/>
                <w:color w:val="000000"/>
                <w:kern w:val="0"/>
                <w:sz w:val="16"/>
                <w:szCs w:val="16"/>
                <w:lang w:eastAsia="pl-PL"/>
                <w14:ligatures w14:val="none"/>
              </w:rPr>
            </w:pPr>
            <w:r w:rsidRPr="00C7290F">
              <w:rPr>
                <w:rFonts w:ascii="Calibri" w:eastAsia="Times New Roman" w:hAnsi="Calibri" w:cs="Calibri"/>
                <w:color w:val="000000"/>
                <w:kern w:val="0"/>
                <w:sz w:val="16"/>
                <w:szCs w:val="16"/>
                <w:lang w:eastAsia="pl-PL"/>
                <w14:ligatures w14:val="none"/>
              </w:rPr>
              <w:t>225 000</w:t>
            </w:r>
          </w:p>
        </w:tc>
        <w:tc>
          <w:tcPr>
            <w:tcW w:w="1182" w:type="dxa"/>
            <w:tcBorders>
              <w:top w:val="nil"/>
              <w:left w:val="single" w:sz="4" w:space="0" w:color="auto"/>
              <w:bottom w:val="nil"/>
              <w:right w:val="single" w:sz="8" w:space="0" w:color="auto"/>
            </w:tcBorders>
            <w:shd w:val="clear" w:color="auto" w:fill="auto"/>
            <w:noWrap/>
            <w:vAlign w:val="bottom"/>
            <w:hideMark/>
          </w:tcPr>
          <w:p w14:paraId="54D7DC22" w14:textId="53AED02D" w:rsidR="00C7290F" w:rsidRPr="00C7290F" w:rsidRDefault="00C7290F" w:rsidP="00C7290F">
            <w:pPr>
              <w:jc w:val="right"/>
              <w:rPr>
                <w:rFonts w:ascii="Calibri" w:eastAsia="Times New Roman" w:hAnsi="Calibri" w:cs="Calibri"/>
                <w:color w:val="000000"/>
                <w:kern w:val="0"/>
                <w:sz w:val="16"/>
                <w:szCs w:val="16"/>
                <w:lang w:eastAsia="pl-PL"/>
                <w14:ligatures w14:val="none"/>
              </w:rPr>
            </w:pPr>
            <w:r w:rsidRPr="000B514D">
              <w:rPr>
                <w:rFonts w:ascii="Calibri" w:eastAsia="Times New Roman" w:hAnsi="Calibri" w:cs="Calibri"/>
                <w:kern w:val="0"/>
                <w:sz w:val="16"/>
                <w:szCs w:val="16"/>
                <w:lang w:eastAsia="pl-PL"/>
                <w14:ligatures w14:val="none"/>
              </w:rPr>
              <w:t>50</w:t>
            </w:r>
            <w:r w:rsidR="00255B73" w:rsidRPr="000B514D">
              <w:rPr>
                <w:rFonts w:ascii="Calibri" w:eastAsia="Times New Roman" w:hAnsi="Calibri" w:cs="Calibri"/>
                <w:kern w:val="0"/>
                <w:sz w:val="16"/>
                <w:szCs w:val="16"/>
                <w:lang w:eastAsia="pl-PL"/>
                <w14:ligatures w14:val="none"/>
              </w:rPr>
              <w:t>,22</w:t>
            </w:r>
            <w:r w:rsidR="004063DC" w:rsidRPr="000B514D">
              <w:rPr>
                <w:rFonts w:ascii="Calibri" w:eastAsia="Times New Roman" w:hAnsi="Calibri" w:cs="Calibri"/>
                <w:kern w:val="0"/>
                <w:sz w:val="16"/>
                <w:szCs w:val="16"/>
                <w:lang w:eastAsia="pl-PL"/>
                <w14:ligatures w14:val="none"/>
              </w:rPr>
              <w:t>%</w:t>
            </w:r>
          </w:p>
        </w:tc>
        <w:tc>
          <w:tcPr>
            <w:tcW w:w="1041" w:type="dxa"/>
            <w:tcBorders>
              <w:top w:val="nil"/>
              <w:left w:val="single" w:sz="4" w:space="0" w:color="auto"/>
              <w:bottom w:val="nil"/>
              <w:right w:val="single" w:sz="4" w:space="0" w:color="auto"/>
            </w:tcBorders>
            <w:shd w:val="clear" w:color="auto" w:fill="AEAAAA" w:themeFill="background2" w:themeFillShade="BF"/>
            <w:noWrap/>
            <w:vAlign w:val="bottom"/>
            <w:hideMark/>
          </w:tcPr>
          <w:p w14:paraId="7824E528" w14:textId="39FABB9E" w:rsidR="00C7290F" w:rsidRPr="00C7290F" w:rsidRDefault="00C7290F" w:rsidP="00C7290F">
            <w:pPr>
              <w:jc w:val="right"/>
              <w:rPr>
                <w:rFonts w:ascii="Calibri" w:eastAsia="Times New Roman" w:hAnsi="Calibri" w:cs="Calibri"/>
                <w:kern w:val="0"/>
                <w:sz w:val="16"/>
                <w:szCs w:val="16"/>
                <w:lang w:eastAsia="pl-PL"/>
                <w14:ligatures w14:val="none"/>
              </w:rPr>
            </w:pPr>
          </w:p>
        </w:tc>
        <w:tc>
          <w:tcPr>
            <w:tcW w:w="1085"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3A782372" w14:textId="62FC6F91" w:rsidR="00C7290F" w:rsidRPr="00C7290F" w:rsidRDefault="00C7290F" w:rsidP="00C7290F">
            <w:pPr>
              <w:jc w:val="right"/>
              <w:rPr>
                <w:rFonts w:ascii="Calibri" w:eastAsia="Times New Roman" w:hAnsi="Calibri" w:cs="Calibri"/>
                <w:kern w:val="0"/>
                <w:sz w:val="16"/>
                <w:szCs w:val="16"/>
                <w:lang w:eastAsia="pl-PL"/>
                <w14:ligatures w14:val="none"/>
              </w:rPr>
            </w:pPr>
          </w:p>
        </w:tc>
        <w:tc>
          <w:tcPr>
            <w:tcW w:w="992" w:type="dxa"/>
            <w:tcBorders>
              <w:top w:val="nil"/>
              <w:left w:val="nil"/>
              <w:bottom w:val="single" w:sz="4" w:space="0" w:color="auto"/>
              <w:right w:val="single" w:sz="4" w:space="0" w:color="auto"/>
            </w:tcBorders>
            <w:shd w:val="clear" w:color="auto" w:fill="auto"/>
            <w:noWrap/>
            <w:vAlign w:val="bottom"/>
            <w:hideMark/>
          </w:tcPr>
          <w:p w14:paraId="2DF4A641" w14:textId="0B9EFC8F" w:rsidR="00C7290F" w:rsidRPr="000B514D" w:rsidRDefault="00255B73" w:rsidP="00C7290F">
            <w:pPr>
              <w:jc w:val="right"/>
              <w:rPr>
                <w:rFonts w:ascii="Calibri" w:eastAsia="Times New Roman" w:hAnsi="Calibri" w:cs="Calibri"/>
                <w:kern w:val="0"/>
                <w:sz w:val="16"/>
                <w:szCs w:val="16"/>
                <w:lang w:eastAsia="pl-PL"/>
                <w14:ligatures w14:val="none"/>
              </w:rPr>
            </w:pPr>
            <w:r w:rsidRPr="000B514D">
              <w:rPr>
                <w:rFonts w:ascii="Calibri" w:eastAsia="Times New Roman" w:hAnsi="Calibri" w:cs="Calibri"/>
                <w:kern w:val="0"/>
                <w:sz w:val="16"/>
                <w:szCs w:val="16"/>
                <w:lang w:eastAsia="pl-PL"/>
                <w14:ligatures w14:val="none"/>
              </w:rPr>
              <w:t>223</w:t>
            </w:r>
            <w:r w:rsidR="0055550E" w:rsidRPr="000B514D">
              <w:rPr>
                <w:rFonts w:ascii="Calibri" w:eastAsia="Times New Roman" w:hAnsi="Calibri" w:cs="Calibri"/>
                <w:kern w:val="0"/>
                <w:sz w:val="16"/>
                <w:szCs w:val="16"/>
                <w:lang w:eastAsia="pl-PL"/>
                <w14:ligatures w14:val="none"/>
              </w:rPr>
              <w:t xml:space="preserve"> 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D9ADD4A" w14:textId="2B20CCBD" w:rsidR="00C7290F" w:rsidRPr="000B514D" w:rsidRDefault="0055550E" w:rsidP="00C7290F">
            <w:pPr>
              <w:jc w:val="right"/>
              <w:rPr>
                <w:rFonts w:ascii="Calibri" w:eastAsia="Times New Roman" w:hAnsi="Calibri" w:cs="Calibri"/>
                <w:kern w:val="0"/>
                <w:sz w:val="16"/>
                <w:szCs w:val="16"/>
                <w:lang w:eastAsia="pl-PL"/>
                <w14:ligatures w14:val="none"/>
              </w:rPr>
            </w:pPr>
            <w:r w:rsidRPr="000B514D">
              <w:rPr>
                <w:rFonts w:ascii="Calibri" w:eastAsia="Times New Roman" w:hAnsi="Calibri" w:cs="Calibri"/>
                <w:kern w:val="0"/>
                <w:sz w:val="16"/>
                <w:szCs w:val="16"/>
                <w:lang w:eastAsia="pl-PL"/>
                <w14:ligatures w14:val="none"/>
              </w:rPr>
              <w:t>10</w:t>
            </w:r>
            <w:r w:rsidR="00C7290F" w:rsidRPr="000B514D">
              <w:rPr>
                <w:rFonts w:ascii="Calibri" w:eastAsia="Times New Roman" w:hAnsi="Calibri" w:cs="Calibri"/>
                <w:kern w:val="0"/>
                <w:sz w:val="16"/>
                <w:szCs w:val="16"/>
                <w:lang w:eastAsia="pl-PL"/>
                <w14:ligatures w14:val="none"/>
              </w:rPr>
              <w:t>0</w:t>
            </w:r>
            <w:r w:rsidRPr="000B514D">
              <w:rPr>
                <w:rFonts w:ascii="Calibri" w:eastAsia="Times New Roman" w:hAnsi="Calibri" w:cs="Calibri"/>
                <w:kern w:val="0"/>
                <w:sz w:val="16"/>
                <w:szCs w:val="16"/>
                <w:lang w:eastAsia="pl-PL"/>
                <w14:ligatures w14:val="none"/>
              </w:rPr>
              <w:t>%</w:t>
            </w:r>
          </w:p>
        </w:tc>
        <w:tc>
          <w:tcPr>
            <w:tcW w:w="993" w:type="dxa"/>
            <w:tcBorders>
              <w:top w:val="nil"/>
              <w:left w:val="nil"/>
              <w:bottom w:val="single" w:sz="4" w:space="0" w:color="auto"/>
              <w:right w:val="single" w:sz="4" w:space="0" w:color="auto"/>
            </w:tcBorders>
            <w:shd w:val="clear" w:color="auto" w:fill="auto"/>
            <w:noWrap/>
            <w:vAlign w:val="bottom"/>
            <w:hideMark/>
          </w:tcPr>
          <w:p w14:paraId="592812E8" w14:textId="77777777" w:rsidR="00C7290F" w:rsidRPr="00C7290F" w:rsidRDefault="00C7290F" w:rsidP="00C7290F">
            <w:pPr>
              <w:jc w:val="right"/>
              <w:rPr>
                <w:rFonts w:ascii="Calibri" w:eastAsia="Times New Roman" w:hAnsi="Calibri" w:cs="Calibri"/>
                <w:color w:val="000000"/>
                <w:kern w:val="0"/>
                <w:sz w:val="16"/>
                <w:szCs w:val="16"/>
                <w:lang w:eastAsia="pl-PL"/>
                <w14:ligatures w14:val="none"/>
              </w:rPr>
            </w:pPr>
            <w:r w:rsidRPr="00C7290F">
              <w:rPr>
                <w:rFonts w:ascii="Calibri" w:eastAsia="Times New Roman" w:hAnsi="Calibri" w:cs="Calibri"/>
                <w:color w:val="000000"/>
                <w:kern w:val="0"/>
                <w:sz w:val="16"/>
                <w:szCs w:val="16"/>
                <w:lang w:eastAsia="pl-PL"/>
                <w14:ligatures w14:val="none"/>
              </w:rPr>
              <w:t>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6A42DE" w14:textId="01A63A4B" w:rsidR="00C7290F" w:rsidRPr="00C7290F" w:rsidRDefault="0055550E" w:rsidP="00C7290F">
            <w:pPr>
              <w:jc w:val="right"/>
              <w:rPr>
                <w:rFonts w:ascii="Calibri" w:eastAsia="Times New Roman" w:hAnsi="Calibri" w:cs="Calibri"/>
                <w:color w:val="000000"/>
                <w:kern w:val="0"/>
                <w:sz w:val="16"/>
                <w:szCs w:val="16"/>
                <w:lang w:eastAsia="pl-PL"/>
                <w14:ligatures w14:val="none"/>
              </w:rPr>
            </w:pPr>
            <w:r>
              <w:rPr>
                <w:rFonts w:ascii="Calibri" w:eastAsia="Times New Roman" w:hAnsi="Calibri" w:cs="Calibri"/>
                <w:color w:val="000000"/>
                <w:kern w:val="0"/>
                <w:sz w:val="16"/>
                <w:szCs w:val="16"/>
                <w:lang w:eastAsia="pl-PL"/>
                <w14:ligatures w14:val="none"/>
              </w:rPr>
              <w:t>100%</w:t>
            </w:r>
          </w:p>
        </w:tc>
        <w:tc>
          <w:tcPr>
            <w:tcW w:w="992" w:type="dxa"/>
            <w:tcBorders>
              <w:top w:val="nil"/>
              <w:left w:val="nil"/>
              <w:bottom w:val="nil"/>
              <w:right w:val="single" w:sz="4" w:space="0" w:color="auto"/>
            </w:tcBorders>
            <w:shd w:val="clear" w:color="auto" w:fill="auto"/>
            <w:noWrap/>
            <w:vAlign w:val="bottom"/>
            <w:hideMark/>
          </w:tcPr>
          <w:p w14:paraId="149430C4" w14:textId="77777777" w:rsidR="00C7290F" w:rsidRPr="00C7290F" w:rsidRDefault="00C7290F" w:rsidP="00C7290F">
            <w:pPr>
              <w:jc w:val="right"/>
              <w:rPr>
                <w:rFonts w:ascii="Calibri" w:eastAsia="Times New Roman" w:hAnsi="Calibri" w:cs="Calibri"/>
                <w:color w:val="000000"/>
                <w:kern w:val="0"/>
                <w:sz w:val="16"/>
                <w:szCs w:val="16"/>
                <w:lang w:eastAsia="pl-PL"/>
                <w14:ligatures w14:val="none"/>
              </w:rPr>
            </w:pPr>
            <w:r w:rsidRPr="00C7290F">
              <w:rPr>
                <w:rFonts w:ascii="Calibri" w:eastAsia="Times New Roman" w:hAnsi="Calibri" w:cs="Calibri"/>
                <w:color w:val="000000"/>
                <w:kern w:val="0"/>
                <w:sz w:val="16"/>
                <w:szCs w:val="16"/>
                <w:lang w:eastAsia="pl-PL"/>
                <w14:ligatures w14:val="none"/>
              </w:rPr>
              <w:t>0</w:t>
            </w:r>
          </w:p>
        </w:tc>
        <w:tc>
          <w:tcPr>
            <w:tcW w:w="1182" w:type="dxa"/>
            <w:tcBorders>
              <w:top w:val="nil"/>
              <w:left w:val="single" w:sz="4" w:space="0" w:color="auto"/>
              <w:bottom w:val="nil"/>
              <w:right w:val="single" w:sz="8" w:space="0" w:color="auto"/>
            </w:tcBorders>
            <w:shd w:val="clear" w:color="auto" w:fill="auto"/>
            <w:noWrap/>
            <w:vAlign w:val="bottom"/>
            <w:hideMark/>
          </w:tcPr>
          <w:p w14:paraId="141F9B42" w14:textId="42DEB967" w:rsidR="00C7290F" w:rsidRPr="00C7290F" w:rsidRDefault="00C7290F" w:rsidP="00C7290F">
            <w:pPr>
              <w:jc w:val="right"/>
              <w:rPr>
                <w:rFonts w:ascii="Calibri" w:eastAsia="Times New Roman" w:hAnsi="Calibri" w:cs="Calibri"/>
                <w:color w:val="000000"/>
                <w:kern w:val="0"/>
                <w:sz w:val="16"/>
                <w:szCs w:val="16"/>
                <w:lang w:eastAsia="pl-PL"/>
                <w14:ligatures w14:val="none"/>
              </w:rPr>
            </w:pPr>
            <w:r w:rsidRPr="00C7290F">
              <w:rPr>
                <w:rFonts w:ascii="Calibri" w:eastAsia="Times New Roman" w:hAnsi="Calibri" w:cs="Calibri"/>
                <w:color w:val="000000"/>
                <w:kern w:val="0"/>
                <w:sz w:val="16"/>
                <w:szCs w:val="16"/>
                <w:lang w:eastAsia="pl-PL"/>
                <w14:ligatures w14:val="none"/>
              </w:rPr>
              <w:t>100</w:t>
            </w:r>
            <w:r w:rsidR="0055550E">
              <w:rPr>
                <w:rFonts w:ascii="Calibri" w:eastAsia="Times New Roman" w:hAnsi="Calibri" w:cs="Calibri"/>
                <w:color w:val="000000"/>
                <w:kern w:val="0"/>
                <w:sz w:val="16"/>
                <w:szCs w:val="16"/>
                <w:lang w:eastAsia="pl-PL"/>
                <w14:ligatures w14:val="none"/>
              </w:rPr>
              <w:t>%</w:t>
            </w:r>
          </w:p>
        </w:tc>
        <w:tc>
          <w:tcPr>
            <w:tcW w:w="948" w:type="dxa"/>
            <w:tcBorders>
              <w:top w:val="nil"/>
              <w:left w:val="single" w:sz="4" w:space="0" w:color="auto"/>
              <w:bottom w:val="nil"/>
              <w:right w:val="single" w:sz="4" w:space="0" w:color="auto"/>
            </w:tcBorders>
            <w:shd w:val="clear" w:color="auto" w:fill="auto"/>
            <w:noWrap/>
            <w:vAlign w:val="bottom"/>
            <w:hideMark/>
          </w:tcPr>
          <w:p w14:paraId="1B93F477" w14:textId="77777777" w:rsidR="00C7290F" w:rsidRPr="00C7290F" w:rsidRDefault="00C7290F" w:rsidP="00C7290F">
            <w:pPr>
              <w:jc w:val="right"/>
              <w:rPr>
                <w:rFonts w:ascii="Calibri" w:eastAsia="Times New Roman" w:hAnsi="Calibri" w:cs="Calibri"/>
                <w:color w:val="000000"/>
                <w:kern w:val="0"/>
                <w:sz w:val="16"/>
                <w:szCs w:val="16"/>
                <w:lang w:eastAsia="pl-PL"/>
                <w14:ligatures w14:val="none"/>
              </w:rPr>
            </w:pPr>
            <w:r w:rsidRPr="00C7290F">
              <w:rPr>
                <w:rFonts w:ascii="Calibri" w:eastAsia="Times New Roman" w:hAnsi="Calibri" w:cs="Calibri"/>
                <w:color w:val="000000"/>
                <w:kern w:val="0"/>
                <w:sz w:val="16"/>
                <w:szCs w:val="16"/>
                <w:lang w:eastAsia="pl-PL"/>
                <w14:ligatures w14:val="none"/>
              </w:rPr>
              <w:t>0</w:t>
            </w:r>
          </w:p>
        </w:tc>
        <w:tc>
          <w:tcPr>
            <w:tcW w:w="1236" w:type="dxa"/>
            <w:tcBorders>
              <w:top w:val="nil"/>
              <w:left w:val="single" w:sz="4" w:space="0" w:color="auto"/>
              <w:bottom w:val="nil"/>
              <w:right w:val="single" w:sz="8" w:space="0" w:color="auto"/>
            </w:tcBorders>
            <w:shd w:val="clear" w:color="auto" w:fill="auto"/>
            <w:noWrap/>
            <w:vAlign w:val="bottom"/>
            <w:hideMark/>
          </w:tcPr>
          <w:p w14:paraId="161649A2" w14:textId="05441E0F" w:rsidR="00C7290F" w:rsidRPr="00C7290F" w:rsidRDefault="00C7290F" w:rsidP="00C7290F">
            <w:pPr>
              <w:jc w:val="right"/>
              <w:rPr>
                <w:rFonts w:ascii="Calibri" w:eastAsia="Times New Roman" w:hAnsi="Calibri" w:cs="Calibri"/>
                <w:color w:val="000000"/>
                <w:kern w:val="0"/>
                <w:sz w:val="16"/>
                <w:szCs w:val="16"/>
                <w:lang w:eastAsia="pl-PL"/>
                <w14:ligatures w14:val="none"/>
              </w:rPr>
            </w:pPr>
            <w:r w:rsidRPr="00C7290F">
              <w:rPr>
                <w:rFonts w:ascii="Calibri" w:eastAsia="Times New Roman" w:hAnsi="Calibri" w:cs="Calibri"/>
                <w:color w:val="000000"/>
                <w:kern w:val="0"/>
                <w:sz w:val="16"/>
                <w:szCs w:val="16"/>
                <w:lang w:eastAsia="pl-PL"/>
                <w14:ligatures w14:val="none"/>
              </w:rPr>
              <w:t>100</w:t>
            </w:r>
            <w:r w:rsidR="0055550E">
              <w:rPr>
                <w:rFonts w:ascii="Calibri" w:eastAsia="Times New Roman" w:hAnsi="Calibri" w:cs="Calibri"/>
                <w:color w:val="000000"/>
                <w:kern w:val="0"/>
                <w:sz w:val="16"/>
                <w:szCs w:val="16"/>
                <w:lang w:eastAsia="pl-PL"/>
                <w14:ligatures w14:val="none"/>
              </w:rPr>
              <w:t>%</w:t>
            </w:r>
          </w:p>
        </w:tc>
      </w:tr>
      <w:tr w:rsidR="005A4792" w:rsidRPr="005A4792" w14:paraId="616F74B0" w14:textId="77777777" w:rsidTr="004063DC">
        <w:trPr>
          <w:trHeight w:val="495"/>
        </w:trPr>
        <w:tc>
          <w:tcPr>
            <w:tcW w:w="851" w:type="dxa"/>
            <w:tcBorders>
              <w:top w:val="single" w:sz="8" w:space="0" w:color="auto"/>
              <w:left w:val="single" w:sz="8" w:space="0" w:color="auto"/>
              <w:bottom w:val="single" w:sz="4" w:space="0" w:color="auto"/>
              <w:right w:val="nil"/>
            </w:tcBorders>
            <w:shd w:val="clear" w:color="000000" w:fill="FFE699"/>
            <w:noWrap/>
            <w:vAlign w:val="bottom"/>
            <w:hideMark/>
          </w:tcPr>
          <w:p w14:paraId="3675F1C9" w14:textId="77777777" w:rsidR="00C7290F" w:rsidRPr="005A4792" w:rsidRDefault="00C7290F" w:rsidP="00C7290F">
            <w:pPr>
              <w:rPr>
                <w:rFonts w:ascii="Calibri" w:eastAsia="Times New Roman" w:hAnsi="Calibri" w:cs="Calibri"/>
                <w:kern w:val="0"/>
                <w:sz w:val="16"/>
                <w:szCs w:val="16"/>
                <w:lang w:eastAsia="pl-PL"/>
                <w14:ligatures w14:val="none"/>
              </w:rPr>
            </w:pPr>
            <w:r w:rsidRPr="005A4792">
              <w:rPr>
                <w:rFonts w:ascii="Calibri" w:eastAsia="Times New Roman" w:hAnsi="Calibri" w:cs="Calibri"/>
                <w:kern w:val="0"/>
                <w:sz w:val="16"/>
                <w:szCs w:val="16"/>
                <w:lang w:eastAsia="pl-PL"/>
                <w14:ligatures w14:val="none"/>
              </w:rPr>
              <w:t>RAZEM</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9717A" w14:textId="09BC1F4E" w:rsidR="00C7290F" w:rsidRPr="005A4792" w:rsidRDefault="00C7290F" w:rsidP="00D2758B">
            <w:pPr>
              <w:jc w:val="right"/>
              <w:rPr>
                <w:rFonts w:ascii="Calibri" w:eastAsia="Times New Roman" w:hAnsi="Calibri" w:cs="Calibri"/>
                <w:kern w:val="0"/>
                <w:sz w:val="16"/>
                <w:szCs w:val="16"/>
                <w:lang w:eastAsia="pl-PL"/>
                <w14:ligatures w14:val="none"/>
              </w:rPr>
            </w:pPr>
            <w:r w:rsidRPr="005A4792">
              <w:rPr>
                <w:rFonts w:ascii="Calibri" w:eastAsia="Times New Roman" w:hAnsi="Calibri" w:cs="Calibri"/>
                <w:kern w:val="0"/>
                <w:sz w:val="16"/>
                <w:szCs w:val="16"/>
                <w:lang w:eastAsia="pl-PL"/>
                <w14:ligatures w14:val="none"/>
              </w:rPr>
              <w:t> </w:t>
            </w:r>
            <w:r w:rsidR="00D2758B" w:rsidRPr="005A4792">
              <w:rPr>
                <w:rFonts w:ascii="Calibri" w:eastAsia="Times New Roman" w:hAnsi="Calibri" w:cs="Calibri"/>
                <w:kern w:val="0"/>
                <w:sz w:val="16"/>
                <w:szCs w:val="16"/>
                <w:lang w:eastAsia="pl-PL"/>
                <w14:ligatures w14:val="none"/>
              </w:rPr>
              <w:t>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C133DC4" w14:textId="3E3B8C1D" w:rsidR="00C7290F" w:rsidRPr="005A4792" w:rsidRDefault="00C7290F" w:rsidP="00D2758B">
            <w:pPr>
              <w:jc w:val="right"/>
              <w:rPr>
                <w:rFonts w:ascii="Calibri" w:eastAsia="Times New Roman" w:hAnsi="Calibri" w:cs="Calibri"/>
                <w:kern w:val="0"/>
                <w:sz w:val="16"/>
                <w:szCs w:val="16"/>
                <w:lang w:eastAsia="pl-PL"/>
                <w14:ligatures w14:val="none"/>
              </w:rPr>
            </w:pPr>
            <w:r w:rsidRPr="005A4792">
              <w:rPr>
                <w:rFonts w:ascii="Calibri" w:eastAsia="Times New Roman" w:hAnsi="Calibri" w:cs="Calibri"/>
                <w:kern w:val="0"/>
                <w:sz w:val="16"/>
                <w:szCs w:val="16"/>
                <w:lang w:eastAsia="pl-PL"/>
                <w14:ligatures w14:val="none"/>
              </w:rPr>
              <w:t> </w:t>
            </w:r>
            <w:r w:rsidR="00D2758B" w:rsidRPr="005A4792">
              <w:rPr>
                <w:rFonts w:ascii="Calibri" w:eastAsia="Times New Roman" w:hAnsi="Calibri" w:cs="Calibri"/>
                <w:kern w:val="0"/>
                <w:sz w:val="16"/>
                <w:szCs w:val="16"/>
                <w:lang w:eastAsia="pl-PL"/>
                <w14:ligatures w14:val="none"/>
              </w:rPr>
              <w:t>0</w:t>
            </w:r>
            <w:r w:rsidR="004063DC" w:rsidRPr="005A4792">
              <w:rPr>
                <w:rFonts w:ascii="Calibri" w:eastAsia="Times New Roman" w:hAnsi="Calibri" w:cs="Calibri"/>
                <w:kern w:val="0"/>
                <w:sz w:val="16"/>
                <w:szCs w:val="16"/>
                <w:lang w:eastAsia="pl-PL"/>
                <w14:ligatures w14:val="none"/>
              </w:rPr>
              <w:t>%</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14:paraId="0935905A" w14:textId="172DC8D4" w:rsidR="00EC3BD9" w:rsidRPr="005A4792" w:rsidRDefault="00EC3BD9" w:rsidP="00C7290F">
            <w:pPr>
              <w:jc w:val="right"/>
              <w:rPr>
                <w:rFonts w:ascii="Calibri" w:eastAsia="Times New Roman" w:hAnsi="Calibri" w:cs="Calibri"/>
                <w:kern w:val="0"/>
                <w:sz w:val="16"/>
                <w:szCs w:val="16"/>
                <w:lang w:eastAsia="pl-PL"/>
                <w14:ligatures w14:val="none"/>
              </w:rPr>
            </w:pPr>
            <w:r w:rsidRPr="005A4792">
              <w:rPr>
                <w:rFonts w:ascii="Calibri" w:eastAsia="Times New Roman" w:hAnsi="Calibri" w:cs="Calibri"/>
                <w:kern w:val="0"/>
                <w:sz w:val="16"/>
                <w:szCs w:val="16"/>
                <w:lang w:eastAsia="pl-PL"/>
                <w14:ligatures w14:val="none"/>
              </w:rPr>
              <w:t>400 000</w:t>
            </w:r>
          </w:p>
        </w:tc>
        <w:tc>
          <w:tcPr>
            <w:tcW w:w="1182" w:type="dxa"/>
            <w:tcBorders>
              <w:top w:val="single" w:sz="4" w:space="0" w:color="auto"/>
              <w:left w:val="nil"/>
              <w:bottom w:val="single" w:sz="4" w:space="0" w:color="auto"/>
              <w:right w:val="single" w:sz="4" w:space="0" w:color="auto"/>
            </w:tcBorders>
            <w:shd w:val="clear" w:color="auto" w:fill="auto"/>
            <w:noWrap/>
            <w:vAlign w:val="bottom"/>
            <w:hideMark/>
          </w:tcPr>
          <w:p w14:paraId="66EF81D1" w14:textId="07B43EAB" w:rsidR="00C7290F" w:rsidRPr="005A4792" w:rsidRDefault="00C7290F" w:rsidP="00D2758B">
            <w:pPr>
              <w:jc w:val="right"/>
              <w:rPr>
                <w:rFonts w:ascii="Calibri" w:eastAsia="Times New Roman" w:hAnsi="Calibri" w:cs="Calibri"/>
                <w:kern w:val="0"/>
                <w:sz w:val="16"/>
                <w:szCs w:val="16"/>
                <w:lang w:eastAsia="pl-PL"/>
                <w14:ligatures w14:val="none"/>
              </w:rPr>
            </w:pPr>
            <w:r w:rsidRPr="005A4792">
              <w:rPr>
                <w:rFonts w:ascii="Calibri" w:eastAsia="Times New Roman" w:hAnsi="Calibri" w:cs="Calibri"/>
                <w:kern w:val="0"/>
                <w:sz w:val="16"/>
                <w:szCs w:val="16"/>
                <w:lang w:eastAsia="pl-PL"/>
                <w14:ligatures w14:val="none"/>
              </w:rPr>
              <w:t> </w:t>
            </w:r>
            <w:r w:rsidR="00D2758B" w:rsidRPr="005A4792">
              <w:rPr>
                <w:rFonts w:ascii="Calibri" w:eastAsia="Times New Roman" w:hAnsi="Calibri" w:cs="Calibri"/>
                <w:kern w:val="0"/>
                <w:sz w:val="16"/>
                <w:szCs w:val="16"/>
                <w:lang w:eastAsia="pl-PL"/>
                <w14:ligatures w14:val="none"/>
              </w:rPr>
              <w:t>0</w:t>
            </w:r>
            <w:r w:rsidR="004063DC" w:rsidRPr="005A4792">
              <w:rPr>
                <w:rFonts w:ascii="Calibri" w:eastAsia="Times New Roman" w:hAnsi="Calibri" w:cs="Calibri"/>
                <w:kern w:val="0"/>
                <w:sz w:val="16"/>
                <w:szCs w:val="16"/>
                <w:lang w:eastAsia="pl-PL"/>
                <w14:ligatures w14:val="none"/>
              </w:rPr>
              <w:t>%</w:t>
            </w:r>
          </w:p>
        </w:tc>
        <w:tc>
          <w:tcPr>
            <w:tcW w:w="1041"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0D5426D1" w14:textId="262E249F" w:rsidR="00EC3BD9" w:rsidRPr="005A4792" w:rsidRDefault="00EC3BD9" w:rsidP="00C7290F">
            <w:pPr>
              <w:jc w:val="right"/>
              <w:rPr>
                <w:rFonts w:ascii="Calibri" w:eastAsia="Times New Roman" w:hAnsi="Calibri" w:cs="Calibri"/>
                <w:kern w:val="0"/>
                <w:sz w:val="16"/>
                <w:szCs w:val="16"/>
                <w:lang w:eastAsia="pl-PL"/>
                <w14:ligatures w14:val="none"/>
              </w:rPr>
            </w:pPr>
            <w:r w:rsidRPr="005A4792">
              <w:rPr>
                <w:rFonts w:ascii="Calibri" w:eastAsia="Times New Roman" w:hAnsi="Calibri" w:cs="Calibri"/>
                <w:kern w:val="0"/>
                <w:sz w:val="16"/>
                <w:szCs w:val="16"/>
                <w:lang w:eastAsia="pl-PL"/>
                <w14:ligatures w14:val="none"/>
              </w:rPr>
              <w:t>700 000</w:t>
            </w:r>
          </w:p>
        </w:tc>
        <w:tc>
          <w:tcPr>
            <w:tcW w:w="1085" w:type="dxa"/>
            <w:tcBorders>
              <w:top w:val="nil"/>
              <w:left w:val="nil"/>
              <w:bottom w:val="single" w:sz="4" w:space="0" w:color="auto"/>
              <w:right w:val="single" w:sz="4" w:space="0" w:color="auto"/>
            </w:tcBorders>
            <w:shd w:val="clear" w:color="auto" w:fill="AEAAAA" w:themeFill="background2" w:themeFillShade="BF"/>
            <w:noWrap/>
            <w:vAlign w:val="bottom"/>
            <w:hideMark/>
          </w:tcPr>
          <w:p w14:paraId="7061C503" w14:textId="2C3A50BF" w:rsidR="00C7290F" w:rsidRPr="005A4792" w:rsidRDefault="00C7290F" w:rsidP="00C7290F">
            <w:pPr>
              <w:jc w:val="right"/>
              <w:rPr>
                <w:rFonts w:ascii="Calibri" w:eastAsia="Times New Roman" w:hAnsi="Calibri" w:cs="Calibri"/>
                <w:kern w:val="0"/>
                <w:sz w:val="16"/>
                <w:szCs w:val="16"/>
                <w:lang w:eastAsia="pl-PL"/>
                <w14:ligatures w14:val="none"/>
              </w:rPr>
            </w:pPr>
          </w:p>
        </w:tc>
        <w:tc>
          <w:tcPr>
            <w:tcW w:w="992" w:type="dxa"/>
            <w:tcBorders>
              <w:top w:val="nil"/>
              <w:left w:val="nil"/>
              <w:bottom w:val="single" w:sz="4" w:space="0" w:color="auto"/>
              <w:right w:val="single" w:sz="4" w:space="0" w:color="auto"/>
            </w:tcBorders>
            <w:shd w:val="clear" w:color="auto" w:fill="auto"/>
            <w:noWrap/>
            <w:vAlign w:val="bottom"/>
            <w:hideMark/>
          </w:tcPr>
          <w:p w14:paraId="71D000EB" w14:textId="0ADAC2BD" w:rsidR="00EC3BD9" w:rsidRPr="005A4792" w:rsidRDefault="00EC3BD9" w:rsidP="00C7290F">
            <w:pPr>
              <w:jc w:val="right"/>
              <w:rPr>
                <w:rFonts w:ascii="Calibri" w:eastAsia="Times New Roman" w:hAnsi="Calibri" w:cs="Calibri"/>
                <w:kern w:val="0"/>
                <w:sz w:val="16"/>
                <w:szCs w:val="16"/>
                <w:lang w:eastAsia="pl-PL"/>
                <w14:ligatures w14:val="none"/>
              </w:rPr>
            </w:pPr>
            <w:r w:rsidRPr="005A4792">
              <w:rPr>
                <w:rFonts w:ascii="Calibri" w:eastAsia="Times New Roman" w:hAnsi="Calibri" w:cs="Calibri"/>
                <w:kern w:val="0"/>
                <w:sz w:val="16"/>
                <w:szCs w:val="16"/>
                <w:lang w:eastAsia="pl-PL"/>
                <w14:ligatures w14:val="none"/>
              </w:rPr>
              <w:t>1 077 244</w:t>
            </w:r>
          </w:p>
        </w:tc>
        <w:tc>
          <w:tcPr>
            <w:tcW w:w="1276" w:type="dxa"/>
            <w:tcBorders>
              <w:top w:val="nil"/>
              <w:left w:val="nil"/>
              <w:bottom w:val="single" w:sz="4" w:space="0" w:color="auto"/>
              <w:right w:val="single" w:sz="4" w:space="0" w:color="auto"/>
            </w:tcBorders>
            <w:shd w:val="clear" w:color="auto" w:fill="auto"/>
            <w:noWrap/>
            <w:vAlign w:val="bottom"/>
            <w:hideMark/>
          </w:tcPr>
          <w:p w14:paraId="53C028E3" w14:textId="77777777" w:rsidR="00C7290F" w:rsidRPr="005A4792" w:rsidRDefault="00C7290F" w:rsidP="00C7290F">
            <w:pPr>
              <w:jc w:val="right"/>
              <w:rPr>
                <w:rFonts w:ascii="Calibri" w:eastAsia="Times New Roman" w:hAnsi="Calibri" w:cs="Calibri"/>
                <w:kern w:val="0"/>
                <w:sz w:val="16"/>
                <w:szCs w:val="16"/>
                <w:lang w:eastAsia="pl-PL"/>
                <w14:ligatures w14:val="none"/>
              </w:rPr>
            </w:pPr>
            <w:r w:rsidRPr="005A4792">
              <w:rPr>
                <w:rFonts w:ascii="Calibri" w:eastAsia="Times New Roman" w:hAnsi="Calibri" w:cs="Calibri"/>
                <w:kern w:val="0"/>
                <w:sz w:val="16"/>
                <w:szCs w:val="16"/>
                <w:lang w:eastAsia="pl-PL"/>
                <w14:ligatures w14:val="none"/>
              </w:rPr>
              <w:t>0</w:t>
            </w:r>
          </w:p>
        </w:tc>
        <w:tc>
          <w:tcPr>
            <w:tcW w:w="993" w:type="dxa"/>
            <w:tcBorders>
              <w:top w:val="nil"/>
              <w:left w:val="nil"/>
              <w:bottom w:val="single" w:sz="4" w:space="0" w:color="auto"/>
              <w:right w:val="single" w:sz="4" w:space="0" w:color="auto"/>
            </w:tcBorders>
            <w:shd w:val="clear" w:color="auto" w:fill="auto"/>
            <w:noWrap/>
            <w:vAlign w:val="bottom"/>
            <w:hideMark/>
          </w:tcPr>
          <w:p w14:paraId="0DED6D80" w14:textId="1D5FD823" w:rsidR="00EC3BD9" w:rsidRPr="005A4792" w:rsidRDefault="00EC3BD9" w:rsidP="00C7290F">
            <w:pPr>
              <w:jc w:val="right"/>
              <w:rPr>
                <w:rFonts w:ascii="Calibri" w:eastAsia="Times New Roman" w:hAnsi="Calibri" w:cs="Calibri"/>
                <w:kern w:val="0"/>
                <w:sz w:val="16"/>
                <w:szCs w:val="16"/>
                <w:lang w:eastAsia="pl-PL"/>
                <w14:ligatures w14:val="none"/>
              </w:rPr>
            </w:pPr>
            <w:r w:rsidRPr="005A4792">
              <w:rPr>
                <w:rFonts w:ascii="Calibri" w:eastAsia="Times New Roman" w:hAnsi="Calibri" w:cs="Calibri"/>
                <w:kern w:val="0"/>
                <w:sz w:val="16"/>
                <w:szCs w:val="16"/>
                <w:lang w:eastAsia="pl-PL"/>
                <w14:ligatures w14:val="none"/>
              </w:rPr>
              <w:t>693 756</w:t>
            </w:r>
          </w:p>
        </w:tc>
        <w:tc>
          <w:tcPr>
            <w:tcW w:w="1275" w:type="dxa"/>
            <w:tcBorders>
              <w:top w:val="nil"/>
              <w:left w:val="nil"/>
              <w:bottom w:val="single" w:sz="4" w:space="0" w:color="auto"/>
              <w:right w:val="single" w:sz="4" w:space="0" w:color="auto"/>
            </w:tcBorders>
            <w:shd w:val="clear" w:color="auto" w:fill="auto"/>
            <w:noWrap/>
            <w:vAlign w:val="bottom"/>
            <w:hideMark/>
          </w:tcPr>
          <w:p w14:paraId="688E8397" w14:textId="77777777" w:rsidR="00C7290F" w:rsidRPr="005A4792" w:rsidRDefault="00C7290F" w:rsidP="00C7290F">
            <w:pPr>
              <w:jc w:val="right"/>
              <w:rPr>
                <w:rFonts w:ascii="Calibri" w:eastAsia="Times New Roman" w:hAnsi="Calibri" w:cs="Calibri"/>
                <w:kern w:val="0"/>
                <w:sz w:val="16"/>
                <w:szCs w:val="16"/>
                <w:lang w:eastAsia="pl-PL"/>
                <w14:ligatures w14:val="none"/>
              </w:rPr>
            </w:pPr>
            <w:r w:rsidRPr="005A4792">
              <w:rPr>
                <w:rFonts w:ascii="Calibri" w:eastAsia="Times New Roman" w:hAnsi="Calibri" w:cs="Calibri"/>
                <w:kern w:val="0"/>
                <w:sz w:val="16"/>
                <w:szCs w:val="16"/>
                <w:lang w:eastAsia="pl-PL"/>
                <w14:ligatures w14:val="none"/>
              </w:rPr>
              <w:t>0</w:t>
            </w:r>
          </w:p>
        </w:tc>
        <w:tc>
          <w:tcPr>
            <w:tcW w:w="992" w:type="dxa"/>
            <w:tcBorders>
              <w:top w:val="single" w:sz="8" w:space="0" w:color="auto"/>
              <w:left w:val="nil"/>
              <w:bottom w:val="single" w:sz="4" w:space="0" w:color="auto"/>
              <w:right w:val="single" w:sz="4" w:space="0" w:color="auto"/>
            </w:tcBorders>
            <w:shd w:val="clear" w:color="auto" w:fill="auto"/>
            <w:noWrap/>
            <w:vAlign w:val="bottom"/>
            <w:hideMark/>
          </w:tcPr>
          <w:p w14:paraId="3E5B2B9F" w14:textId="4C2B9E5B" w:rsidR="00C7290F" w:rsidRPr="005A4792" w:rsidRDefault="00C7290F" w:rsidP="00D2758B">
            <w:pPr>
              <w:jc w:val="right"/>
              <w:rPr>
                <w:rFonts w:ascii="Calibri" w:eastAsia="Times New Roman" w:hAnsi="Calibri" w:cs="Calibri"/>
                <w:kern w:val="0"/>
                <w:sz w:val="16"/>
                <w:szCs w:val="16"/>
                <w:lang w:eastAsia="pl-PL"/>
                <w14:ligatures w14:val="none"/>
              </w:rPr>
            </w:pPr>
            <w:r w:rsidRPr="005A4792">
              <w:rPr>
                <w:rFonts w:ascii="Calibri" w:eastAsia="Times New Roman" w:hAnsi="Calibri" w:cs="Calibri"/>
                <w:kern w:val="0"/>
                <w:sz w:val="16"/>
                <w:szCs w:val="16"/>
                <w:lang w:eastAsia="pl-PL"/>
                <w14:ligatures w14:val="none"/>
              </w:rPr>
              <w:t> </w:t>
            </w:r>
            <w:r w:rsidR="00D2758B" w:rsidRPr="005A4792">
              <w:rPr>
                <w:rFonts w:ascii="Calibri" w:eastAsia="Times New Roman" w:hAnsi="Calibri" w:cs="Calibri"/>
                <w:kern w:val="0"/>
                <w:sz w:val="16"/>
                <w:szCs w:val="16"/>
                <w:lang w:eastAsia="pl-PL"/>
                <w14:ligatures w14:val="none"/>
              </w:rPr>
              <w:t>0</w:t>
            </w:r>
          </w:p>
        </w:tc>
        <w:tc>
          <w:tcPr>
            <w:tcW w:w="1182" w:type="dxa"/>
            <w:tcBorders>
              <w:top w:val="single" w:sz="8" w:space="0" w:color="auto"/>
              <w:left w:val="nil"/>
              <w:bottom w:val="single" w:sz="4" w:space="0" w:color="auto"/>
              <w:right w:val="single" w:sz="8" w:space="0" w:color="auto"/>
            </w:tcBorders>
            <w:shd w:val="clear" w:color="auto" w:fill="auto"/>
            <w:noWrap/>
            <w:vAlign w:val="bottom"/>
            <w:hideMark/>
          </w:tcPr>
          <w:p w14:paraId="4AA53E97" w14:textId="77777777" w:rsidR="00C7290F" w:rsidRPr="005A4792" w:rsidRDefault="00C7290F" w:rsidP="00C7290F">
            <w:pPr>
              <w:jc w:val="right"/>
              <w:rPr>
                <w:rFonts w:ascii="Calibri" w:eastAsia="Times New Roman" w:hAnsi="Calibri" w:cs="Calibri"/>
                <w:kern w:val="0"/>
                <w:sz w:val="16"/>
                <w:szCs w:val="16"/>
                <w:lang w:eastAsia="pl-PL"/>
                <w14:ligatures w14:val="none"/>
              </w:rPr>
            </w:pPr>
            <w:r w:rsidRPr="005A4792">
              <w:rPr>
                <w:rFonts w:ascii="Calibri" w:eastAsia="Times New Roman" w:hAnsi="Calibri" w:cs="Calibri"/>
                <w:kern w:val="0"/>
                <w:sz w:val="16"/>
                <w:szCs w:val="16"/>
                <w:lang w:eastAsia="pl-PL"/>
                <w14:ligatures w14:val="none"/>
              </w:rPr>
              <w:t>0</w:t>
            </w:r>
          </w:p>
        </w:tc>
        <w:tc>
          <w:tcPr>
            <w:tcW w:w="948"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405EF9CD" w14:textId="77777777" w:rsidR="00C7290F" w:rsidRPr="005A4792" w:rsidRDefault="00C7290F" w:rsidP="00C7290F">
            <w:pPr>
              <w:jc w:val="right"/>
              <w:rPr>
                <w:rFonts w:ascii="Calibri" w:eastAsia="Times New Roman" w:hAnsi="Calibri" w:cs="Calibri"/>
                <w:kern w:val="0"/>
                <w:sz w:val="16"/>
                <w:szCs w:val="16"/>
                <w:lang w:eastAsia="pl-PL"/>
                <w14:ligatures w14:val="none"/>
              </w:rPr>
            </w:pPr>
            <w:r w:rsidRPr="005A4792">
              <w:rPr>
                <w:rFonts w:ascii="Calibri" w:eastAsia="Times New Roman" w:hAnsi="Calibri" w:cs="Calibri"/>
                <w:kern w:val="0"/>
                <w:sz w:val="16"/>
                <w:szCs w:val="16"/>
                <w:lang w:eastAsia="pl-PL"/>
                <w14:ligatures w14:val="none"/>
              </w:rPr>
              <w:t>0</w:t>
            </w:r>
          </w:p>
        </w:tc>
        <w:tc>
          <w:tcPr>
            <w:tcW w:w="1236" w:type="dxa"/>
            <w:tcBorders>
              <w:top w:val="single" w:sz="8" w:space="0" w:color="auto"/>
              <w:left w:val="nil"/>
              <w:bottom w:val="single" w:sz="4" w:space="0" w:color="auto"/>
              <w:right w:val="single" w:sz="8" w:space="0" w:color="auto"/>
            </w:tcBorders>
            <w:shd w:val="clear" w:color="auto" w:fill="auto"/>
            <w:noWrap/>
            <w:vAlign w:val="bottom"/>
            <w:hideMark/>
          </w:tcPr>
          <w:p w14:paraId="16A20A3D" w14:textId="77777777" w:rsidR="00C7290F" w:rsidRPr="005A4792" w:rsidRDefault="00C7290F" w:rsidP="00C7290F">
            <w:pPr>
              <w:jc w:val="right"/>
              <w:rPr>
                <w:rFonts w:ascii="Calibri" w:eastAsia="Times New Roman" w:hAnsi="Calibri" w:cs="Calibri"/>
                <w:kern w:val="0"/>
                <w:sz w:val="16"/>
                <w:szCs w:val="16"/>
                <w:lang w:eastAsia="pl-PL"/>
                <w14:ligatures w14:val="none"/>
              </w:rPr>
            </w:pPr>
            <w:r w:rsidRPr="005A4792">
              <w:rPr>
                <w:rFonts w:ascii="Calibri" w:eastAsia="Times New Roman" w:hAnsi="Calibri" w:cs="Calibri"/>
                <w:kern w:val="0"/>
                <w:sz w:val="16"/>
                <w:szCs w:val="16"/>
                <w:lang w:eastAsia="pl-PL"/>
                <w14:ligatures w14:val="none"/>
              </w:rPr>
              <w:t>0</w:t>
            </w:r>
          </w:p>
        </w:tc>
      </w:tr>
    </w:tbl>
    <w:p w14:paraId="7F3B9DFD" w14:textId="0BDC7C6D" w:rsidR="00F32737" w:rsidRPr="005A4792" w:rsidRDefault="00F32737" w:rsidP="00F32737">
      <w:pPr>
        <w:rPr>
          <w:sz w:val="16"/>
          <w:szCs w:val="16"/>
        </w:rPr>
      </w:pPr>
    </w:p>
    <w:sectPr w:rsidR="00F32737" w:rsidRPr="005A4792" w:rsidSect="00BD17DA">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CEBB4" w14:textId="77777777" w:rsidR="00137086" w:rsidRDefault="00137086" w:rsidP="00444111">
      <w:r>
        <w:separator/>
      </w:r>
    </w:p>
  </w:endnote>
  <w:endnote w:type="continuationSeparator" w:id="0">
    <w:p w14:paraId="713494DB" w14:textId="77777777" w:rsidR="00137086" w:rsidRDefault="00137086" w:rsidP="00444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EUAlbertina">
    <w:altName w:val="Cambria"/>
    <w:panose1 w:val="00000000000000000000"/>
    <w:charset w:val="00"/>
    <w:family w:val="roman"/>
    <w:notTrueType/>
    <w:pitch w:val="default"/>
    <w:sig w:usb0="00000001"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Heavy">
    <w:charset w:val="EE"/>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EE"/>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2927998"/>
      <w:docPartObj>
        <w:docPartGallery w:val="Page Numbers (Bottom of Page)"/>
        <w:docPartUnique/>
      </w:docPartObj>
    </w:sdtPr>
    <w:sdtEndPr>
      <w:rPr>
        <w:sz w:val="20"/>
        <w:szCs w:val="20"/>
      </w:rPr>
    </w:sdtEndPr>
    <w:sdtContent>
      <w:p w14:paraId="2ED8AA20" w14:textId="77777777" w:rsidR="00137086" w:rsidRPr="00B37E38" w:rsidRDefault="00137086" w:rsidP="007F1E76">
        <w:pPr>
          <w:pStyle w:val="Stopka"/>
          <w:jc w:val="right"/>
          <w:rPr>
            <w:sz w:val="20"/>
            <w:szCs w:val="20"/>
          </w:rPr>
        </w:pPr>
        <w:r w:rsidRPr="00B37E38">
          <w:rPr>
            <w:sz w:val="20"/>
            <w:szCs w:val="20"/>
          </w:rPr>
          <w:fldChar w:fldCharType="begin"/>
        </w:r>
        <w:r w:rsidRPr="00B37E38">
          <w:rPr>
            <w:sz w:val="20"/>
            <w:szCs w:val="20"/>
          </w:rPr>
          <w:instrText>PAGE   \* MERGEFORMAT</w:instrText>
        </w:r>
        <w:r w:rsidRPr="00B37E38">
          <w:rPr>
            <w:sz w:val="20"/>
            <w:szCs w:val="20"/>
          </w:rPr>
          <w:fldChar w:fldCharType="separate"/>
        </w:r>
        <w:r w:rsidR="00942705">
          <w:rPr>
            <w:noProof/>
            <w:sz w:val="20"/>
            <w:szCs w:val="20"/>
          </w:rPr>
          <w:t>90</w:t>
        </w:r>
        <w:r w:rsidRPr="00B37E38">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FE024" w14:textId="77777777" w:rsidR="00137086" w:rsidRDefault="00137086" w:rsidP="00444111">
      <w:r>
        <w:separator/>
      </w:r>
    </w:p>
  </w:footnote>
  <w:footnote w:type="continuationSeparator" w:id="0">
    <w:p w14:paraId="57FFAF3E" w14:textId="77777777" w:rsidR="00137086" w:rsidRDefault="00137086" w:rsidP="004441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08065E2"/>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AA2CF3"/>
    <w:multiLevelType w:val="hybridMultilevel"/>
    <w:tmpl w:val="454AB16E"/>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2176A9B"/>
    <w:multiLevelType w:val="hybridMultilevel"/>
    <w:tmpl w:val="FC3EA198"/>
    <w:lvl w:ilvl="0" w:tplc="04150011">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29A7A42"/>
    <w:multiLevelType w:val="hybridMultilevel"/>
    <w:tmpl w:val="37B68B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A9A69C7"/>
    <w:multiLevelType w:val="hybridMultilevel"/>
    <w:tmpl w:val="A4BAE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EE4CFC"/>
    <w:multiLevelType w:val="hybridMultilevel"/>
    <w:tmpl w:val="0C16039E"/>
    <w:lvl w:ilvl="0" w:tplc="1916C4AE">
      <w:start w:val="1"/>
      <w:numFmt w:val="upperLetter"/>
      <w:pStyle w:val="Tytudodatkowy"/>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
    <w:nsid w:val="0F667A94"/>
    <w:multiLevelType w:val="hybridMultilevel"/>
    <w:tmpl w:val="2F8C8B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1A176A8"/>
    <w:multiLevelType w:val="hybridMultilevel"/>
    <w:tmpl w:val="D062C3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4CE4558"/>
    <w:multiLevelType w:val="hybridMultilevel"/>
    <w:tmpl w:val="EF8EBF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191B631A"/>
    <w:multiLevelType w:val="multilevel"/>
    <w:tmpl w:val="128CCE2A"/>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bullet"/>
      <w:pStyle w:val="Celpunkty"/>
      <w:lvlText w:val=""/>
      <w:lvlJc w:val="left"/>
      <w:pPr>
        <w:ind w:left="1440" w:hanging="1080"/>
      </w:pPr>
      <w:rPr>
        <w:rFonts w:ascii="Wingdings" w:hAnsi="Wingdings" w:hint="default"/>
        <w:color w:val="FFC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1B74628A"/>
    <w:multiLevelType w:val="hybridMultilevel"/>
    <w:tmpl w:val="CDDC2124"/>
    <w:lvl w:ilvl="0" w:tplc="F1422188">
      <w:start w:val="1"/>
      <w:numFmt w:val="upperLetter"/>
      <w:lvlText w:val="Cel strategiczny %1."/>
      <w:lvlJc w:val="left"/>
      <w:pPr>
        <w:ind w:left="1571" w:hanging="360"/>
      </w:pPr>
      <w:rPr>
        <w:rFonts w:hint="default"/>
      </w:rPr>
    </w:lvl>
    <w:lvl w:ilvl="1" w:tplc="D0D87F1E">
      <w:start w:val="1"/>
      <w:numFmt w:val="decimal"/>
      <w:lvlText w:val="%2."/>
      <w:lvlJc w:val="left"/>
      <w:pPr>
        <w:ind w:left="1440" w:hanging="360"/>
      </w:pPr>
      <w:rPr>
        <w:rFonts w:hint="default"/>
      </w:rPr>
    </w:lvl>
    <w:lvl w:ilvl="2" w:tplc="A97CA942">
      <w:start w:val="1"/>
      <w:numFmt w:val="upperLetter"/>
      <w:pStyle w:val="Celstrategiczny"/>
      <w:lvlText w:val="Cel strategiczny %3."/>
      <w:lvlJc w:val="left"/>
      <w:pPr>
        <w:ind w:left="2160" w:hanging="180"/>
      </w:pPr>
      <w:rPr>
        <w:rFonts w:hint="default"/>
        <w:b w:val="0"/>
        <w:bCs w:val="0"/>
        <w:i w:val="0"/>
        <w:iCs w:val="0"/>
        <w:caps w:val="0"/>
        <w:smallCaps w:val="0"/>
        <w:strike w:val="0"/>
        <w:dstrike w:val="0"/>
        <w:outline w:val="0"/>
        <w:shadow w:val="0"/>
        <w:emboss w:val="0"/>
        <w:imprint w:val="0"/>
        <w:noProof w:val="0"/>
        <w:vanish w:val="0"/>
        <w:spacing w:val="0"/>
        <w:kern w:val="0"/>
        <w:position w:val="0"/>
        <w:u w:val="single" w:color="FFC000"/>
        <w:effect w:val="none"/>
        <w:vertAlign w:val="baseline"/>
        <w:em w:val="none"/>
        <w:specVanish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D882321"/>
    <w:multiLevelType w:val="hybridMultilevel"/>
    <w:tmpl w:val="3656E744"/>
    <w:lvl w:ilvl="0" w:tplc="21B0B8BC">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nsid w:val="20F74F1B"/>
    <w:multiLevelType w:val="hybridMultilevel"/>
    <w:tmpl w:val="160287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22106606"/>
    <w:multiLevelType w:val="hybridMultilevel"/>
    <w:tmpl w:val="5EF09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42D14CC"/>
    <w:multiLevelType w:val="hybridMultilevel"/>
    <w:tmpl w:val="2C0E7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4A202D6"/>
    <w:multiLevelType w:val="hybridMultilevel"/>
    <w:tmpl w:val="C83880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5FC5E2C"/>
    <w:multiLevelType w:val="hybridMultilevel"/>
    <w:tmpl w:val="AB406ACE"/>
    <w:lvl w:ilvl="0" w:tplc="21B0B8BC">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27A05A31"/>
    <w:multiLevelType w:val="multilevel"/>
    <w:tmpl w:val="2EDCF7AE"/>
    <w:lvl w:ilvl="0">
      <w:start w:val="1"/>
      <w:numFmt w:val="decimal"/>
      <w:pStyle w:val="Tytu"/>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8">
    <w:nsid w:val="2A0B2B75"/>
    <w:multiLevelType w:val="multilevel"/>
    <w:tmpl w:val="D980C384"/>
    <w:lvl w:ilvl="0">
      <w:start w:val="1"/>
      <w:numFmt w:val="ordinal"/>
      <w:lvlText w:val="Rozdział %1"/>
      <w:lvlJc w:val="left"/>
      <w:pPr>
        <w:ind w:left="0" w:firstLine="0"/>
      </w:pPr>
      <w:rPr>
        <w:rFonts w:hint="default"/>
      </w:rPr>
    </w:lvl>
    <w:lvl w:ilvl="1">
      <w:start w:val="1"/>
      <w:numFmt w:val="ordinal"/>
      <w:lvlText w:val="%1%2"/>
      <w:lvlJc w:val="left"/>
      <w:pPr>
        <w:ind w:left="567" w:hanging="567"/>
      </w:pPr>
      <w:rPr>
        <w:rFonts w:hint="default"/>
      </w:rPr>
    </w:lvl>
    <w:lvl w:ilvl="2">
      <w:start w:val="1"/>
      <w:numFmt w:val="ordinal"/>
      <w:pStyle w:val="paragraf"/>
      <w:lvlText w:val="%1%2%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2BA91B65"/>
    <w:multiLevelType w:val="hybridMultilevel"/>
    <w:tmpl w:val="33D247E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2F727656"/>
    <w:multiLevelType w:val="hybridMultilevel"/>
    <w:tmpl w:val="4176C702"/>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2FA178EE"/>
    <w:multiLevelType w:val="hybridMultilevel"/>
    <w:tmpl w:val="E7CC00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34B7F85"/>
    <w:multiLevelType w:val="hybridMultilevel"/>
    <w:tmpl w:val="ECAE68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36191F0A"/>
    <w:multiLevelType w:val="multilevel"/>
    <w:tmpl w:val="E9B0C74E"/>
    <w:lvl w:ilvl="0">
      <w:start w:val="1"/>
      <w:numFmt w:val="decimal"/>
      <w:pStyle w:val="Paragraf0"/>
      <w:lvlText w:val="§ %1."/>
      <w:lvlJc w:val="center"/>
      <w:pPr>
        <w:tabs>
          <w:tab w:val="num" w:pos="3969"/>
        </w:tabs>
        <w:ind w:left="3685" w:firstLine="284"/>
      </w:pPr>
      <w:rPr>
        <w:rFonts w:ascii="Arial" w:hAnsi="Arial" w:cs="Arial" w:hint="default"/>
        <w:caps w:val="0"/>
        <w:strike w:val="0"/>
        <w:dstrike w:val="0"/>
        <w:vanish w:val="0"/>
        <w:color w:val="000000"/>
        <w:sz w:val="24"/>
        <w:szCs w:val="24"/>
        <w:vertAlign w:val="baseline"/>
      </w:rPr>
    </w:lvl>
    <w:lvl w:ilvl="1">
      <w:start w:val="1"/>
      <w:numFmt w:val="decimal"/>
      <w:pStyle w:val="Ustp0"/>
      <w:lvlText w:val="%2."/>
      <w:lvlJc w:val="left"/>
      <w:pPr>
        <w:tabs>
          <w:tab w:val="num" w:pos="0"/>
        </w:tabs>
        <w:ind w:left="0" w:firstLine="0"/>
      </w:pPr>
      <w:rPr>
        <w:rFonts w:hint="default"/>
        <w:caps w:val="0"/>
        <w:strike w:val="0"/>
        <w:dstrike w:val="0"/>
        <w:vanish w:val="0"/>
        <w:color w:val="000000"/>
        <w:sz w:val="24"/>
        <w:szCs w:val="22"/>
        <w:vertAlign w:val="baseline"/>
      </w:rPr>
    </w:lvl>
    <w:lvl w:ilvl="2">
      <w:start w:val="1"/>
      <w:numFmt w:val="decimal"/>
      <w:pStyle w:val="Ustp"/>
      <w:lvlText w:val="%3."/>
      <w:lvlJc w:val="left"/>
      <w:pPr>
        <w:tabs>
          <w:tab w:val="num" w:pos="397"/>
        </w:tabs>
        <w:ind w:left="397" w:hanging="397"/>
      </w:pPr>
      <w:rPr>
        <w:rFonts w:ascii="Arial" w:hAnsi="Arial" w:cs="Arial" w:hint="default"/>
        <w:caps w:val="0"/>
        <w:strike w:val="0"/>
        <w:dstrike w:val="0"/>
        <w:vanish w:val="0"/>
        <w:color w:val="000000"/>
        <w:sz w:val="24"/>
        <w:szCs w:val="24"/>
        <w:vertAlign w:val="baseline"/>
      </w:rPr>
    </w:lvl>
    <w:lvl w:ilvl="3">
      <w:start w:val="1"/>
      <w:numFmt w:val="decimal"/>
      <w:pStyle w:val="Punkt"/>
      <w:lvlText w:val="%4)"/>
      <w:lvlJc w:val="left"/>
      <w:pPr>
        <w:tabs>
          <w:tab w:val="num" w:pos="681"/>
        </w:tabs>
        <w:ind w:left="681" w:hanging="397"/>
      </w:pPr>
      <w:rPr>
        <w:rFonts w:ascii="Arial" w:eastAsia="Times New Roman" w:hAnsi="Arial" w:cs="Arial" w:hint="default"/>
        <w:caps w:val="0"/>
        <w:strike w:val="0"/>
        <w:dstrike w:val="0"/>
        <w:vanish w:val="0"/>
        <w:color w:val="000000"/>
        <w:sz w:val="24"/>
        <w:szCs w:val="22"/>
        <w:vertAlign w:val="baseline"/>
      </w:rPr>
    </w:lvl>
    <w:lvl w:ilvl="4">
      <w:start w:val="1"/>
      <w:numFmt w:val="lowerLetter"/>
      <w:lvlText w:val="%5)"/>
      <w:lvlJc w:val="left"/>
      <w:pPr>
        <w:tabs>
          <w:tab w:val="num" w:pos="255"/>
        </w:tabs>
        <w:ind w:left="255" w:firstLine="0"/>
      </w:pPr>
      <w:rPr>
        <w:rFonts w:hint="default"/>
        <w:caps w:val="0"/>
        <w:strike w:val="0"/>
        <w:dstrike w:val="0"/>
        <w:vanish w:val="0"/>
        <w:color w:val="000000"/>
        <w:sz w:val="24"/>
        <w:vertAlign w:val="baseline"/>
      </w:rPr>
    </w:lvl>
    <w:lvl w:ilvl="5">
      <w:start w:val="1"/>
      <w:numFmt w:val="decimal"/>
      <w:pStyle w:val="Litera"/>
      <w:lvlText w:val="%6)"/>
      <w:lvlJc w:val="left"/>
      <w:pPr>
        <w:tabs>
          <w:tab w:val="num" w:pos="284"/>
        </w:tabs>
        <w:ind w:left="681" w:hanging="397"/>
      </w:pPr>
      <w:rPr>
        <w:rFonts w:hint="default"/>
        <w:caps w:val="0"/>
        <w:strike w:val="0"/>
        <w:dstrike w:val="0"/>
        <w:vanish w:val="0"/>
        <w:color w:val="000000"/>
        <w:sz w:val="24"/>
        <w:szCs w:val="22"/>
        <w:vertAlign w:val="baseline"/>
      </w:rPr>
    </w:lvl>
    <w:lvl w:ilvl="6">
      <w:start w:val="1"/>
      <w:numFmt w:val="none"/>
      <w:lvlText w:val=""/>
      <w:lvlJc w:val="left"/>
      <w:pPr>
        <w:tabs>
          <w:tab w:val="num" w:pos="652"/>
        </w:tabs>
        <w:ind w:left="652" w:firstLine="0"/>
      </w:pPr>
      <w:rPr>
        <w:rFonts w:hint="default"/>
      </w:rPr>
    </w:lvl>
    <w:lvl w:ilvl="7">
      <w:start w:val="1"/>
      <w:numFmt w:val="lowerLetter"/>
      <w:pStyle w:val="Zdanie"/>
      <w:lvlText w:val="%8)"/>
      <w:lvlJc w:val="left"/>
      <w:pPr>
        <w:tabs>
          <w:tab w:val="num" w:pos="1049"/>
        </w:tabs>
        <w:ind w:left="1049" w:firstLine="0"/>
      </w:pPr>
      <w:rPr>
        <w:rFonts w:hint="default"/>
      </w:rPr>
    </w:lvl>
    <w:lvl w:ilvl="8">
      <w:start w:val="1"/>
      <w:numFmt w:val="none"/>
      <w:lvlText w:val=""/>
      <w:lvlJc w:val="left"/>
      <w:pPr>
        <w:tabs>
          <w:tab w:val="num" w:pos="4538"/>
        </w:tabs>
        <w:ind w:left="4178" w:hanging="1440"/>
      </w:pPr>
      <w:rPr>
        <w:rFonts w:hint="default"/>
      </w:rPr>
    </w:lvl>
  </w:abstractNum>
  <w:abstractNum w:abstractNumId="24">
    <w:nsid w:val="38570E0B"/>
    <w:multiLevelType w:val="hybridMultilevel"/>
    <w:tmpl w:val="7270BB3A"/>
    <w:lvl w:ilvl="0" w:tplc="361089CE">
      <w:start w:val="1"/>
      <w:numFmt w:val="bullet"/>
      <w:lvlText w:val="-"/>
      <w:lvlJc w:val="left"/>
      <w:pPr>
        <w:ind w:left="360" w:hanging="360"/>
      </w:pPr>
      <w:rPr>
        <w:rFonts w:ascii="Times New Roman" w:eastAsiaTheme="minorHAnsi"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3C705708"/>
    <w:multiLevelType w:val="multilevel"/>
    <w:tmpl w:val="E8F6E776"/>
    <w:lvl w:ilvl="0">
      <w:start w:val="1"/>
      <w:numFmt w:val="none"/>
      <w:lvlText w:val="%1"/>
      <w:lvlJc w:val="left"/>
      <w:pPr>
        <w:ind w:left="360" w:hanging="360"/>
      </w:pPr>
      <w:rPr>
        <w:rFonts w:hint="default"/>
      </w:rPr>
    </w:lvl>
    <w:lvl w:ilvl="1">
      <w:start w:val="1"/>
      <w:numFmt w:val="upperLetter"/>
      <w:lvlText w:val="Obszar strategiczny %2."/>
      <w:lvlJc w:val="left"/>
      <w:pPr>
        <w:ind w:left="1080" w:hanging="720"/>
      </w:pPr>
      <w:rPr>
        <w:rFonts w:hint="default"/>
      </w:rPr>
    </w:lvl>
    <w:lvl w:ilvl="2">
      <w:start w:val="1"/>
      <w:numFmt w:val="decimal"/>
      <w:pStyle w:val="Projekt"/>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40DE3F38"/>
    <w:multiLevelType w:val="hybridMultilevel"/>
    <w:tmpl w:val="2F8C8B64"/>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0FF2A21"/>
    <w:multiLevelType w:val="multilevel"/>
    <w:tmpl w:val="E3C805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43AC6622"/>
    <w:multiLevelType w:val="hybridMultilevel"/>
    <w:tmpl w:val="5D3072FE"/>
    <w:lvl w:ilvl="0" w:tplc="F738BB52">
      <w:start w:val="1"/>
      <w:numFmt w:val="decimal"/>
      <w:pStyle w:val="Rycina-NUMERACJA"/>
      <w:lvlText w:val="Ryc.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775090E"/>
    <w:multiLevelType w:val="hybridMultilevel"/>
    <w:tmpl w:val="36EA3502"/>
    <w:lvl w:ilvl="0" w:tplc="361089CE">
      <w:start w:val="1"/>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478A4931"/>
    <w:multiLevelType w:val="hybridMultilevel"/>
    <w:tmpl w:val="F3EC3468"/>
    <w:lvl w:ilvl="0" w:tplc="21B0B8BC">
      <w:start w:val="1"/>
      <w:numFmt w:val="bullet"/>
      <w:lvlText w:val="-"/>
      <w:lvlJc w:val="left"/>
      <w:pPr>
        <w:ind w:left="360" w:hanging="360"/>
      </w:pPr>
      <w:rPr>
        <w:rFonts w:ascii="Calibri" w:hAnsi="Calibri"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nsid w:val="4816289D"/>
    <w:multiLevelType w:val="hybridMultilevel"/>
    <w:tmpl w:val="B052D394"/>
    <w:lvl w:ilvl="0" w:tplc="21B0B8B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BBB044F"/>
    <w:multiLevelType w:val="hybridMultilevel"/>
    <w:tmpl w:val="410E2E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4DA627A1"/>
    <w:multiLevelType w:val="hybridMultilevel"/>
    <w:tmpl w:val="6FD0229C"/>
    <w:lvl w:ilvl="0" w:tplc="06AE8444">
      <w:start w:val="1"/>
      <w:numFmt w:val="decimal"/>
      <w:lvlText w:val="%1."/>
      <w:lvlJc w:val="left"/>
      <w:pPr>
        <w:ind w:left="720" w:hanging="360"/>
      </w:pPr>
    </w:lvl>
    <w:lvl w:ilvl="1" w:tplc="04150019" w:tentative="1">
      <w:start w:val="1"/>
      <w:numFmt w:val="lowerLetter"/>
      <w:pStyle w:val="Podtytu"/>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FEF3ED0"/>
    <w:multiLevelType w:val="hybridMultilevel"/>
    <w:tmpl w:val="E800E5E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52026E61"/>
    <w:multiLevelType w:val="hybridMultilevel"/>
    <w:tmpl w:val="876CE32A"/>
    <w:lvl w:ilvl="0" w:tplc="361089CE">
      <w:start w:val="1"/>
      <w:numFmt w:val="bullet"/>
      <w:lvlText w:val="-"/>
      <w:lvlJc w:val="left"/>
      <w:pPr>
        <w:ind w:left="360" w:hanging="360"/>
      </w:pPr>
      <w:rPr>
        <w:rFonts w:ascii="Times New Roman" w:eastAsiaTheme="minorHAnsi"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nsid w:val="568567A7"/>
    <w:multiLevelType w:val="hybridMultilevel"/>
    <w:tmpl w:val="70502118"/>
    <w:lvl w:ilvl="0" w:tplc="361089CE">
      <w:start w:val="1"/>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57A47B8A"/>
    <w:multiLevelType w:val="hybridMultilevel"/>
    <w:tmpl w:val="15723C7C"/>
    <w:lvl w:ilvl="0" w:tplc="F1C471CC">
      <w:start w:val="1"/>
      <w:numFmt w:val="bullet"/>
      <w:pStyle w:val="Punktorp1"/>
      <w:lvlText w:val=""/>
      <w:lvlJc w:val="left"/>
      <w:pPr>
        <w:tabs>
          <w:tab w:val="num" w:pos="720"/>
        </w:tabs>
        <w:ind w:left="720" w:hanging="360"/>
      </w:pPr>
      <w:rPr>
        <w:rFonts w:ascii="Wingdings" w:hAnsi="Wingdings" w:hint="default"/>
        <w:sz w:val="20"/>
      </w:rPr>
    </w:lvl>
    <w:lvl w:ilvl="1" w:tplc="D9AC1992" w:tentative="1">
      <w:start w:val="1"/>
      <w:numFmt w:val="bullet"/>
      <w:lvlText w:val=""/>
      <w:lvlJc w:val="left"/>
      <w:pPr>
        <w:tabs>
          <w:tab w:val="num" w:pos="1440"/>
        </w:tabs>
        <w:ind w:left="1440" w:hanging="360"/>
      </w:pPr>
      <w:rPr>
        <w:rFonts w:ascii="Wingdings" w:hAnsi="Wingdings" w:hint="default"/>
        <w:sz w:val="20"/>
      </w:rPr>
    </w:lvl>
    <w:lvl w:ilvl="2" w:tplc="4E56BDD2" w:tentative="1">
      <w:start w:val="1"/>
      <w:numFmt w:val="bullet"/>
      <w:lvlText w:val=""/>
      <w:lvlJc w:val="left"/>
      <w:pPr>
        <w:tabs>
          <w:tab w:val="num" w:pos="2160"/>
        </w:tabs>
        <w:ind w:left="2160" w:hanging="360"/>
      </w:pPr>
      <w:rPr>
        <w:rFonts w:ascii="Wingdings" w:hAnsi="Wingdings" w:hint="default"/>
        <w:sz w:val="20"/>
      </w:rPr>
    </w:lvl>
    <w:lvl w:ilvl="3" w:tplc="B0D46616" w:tentative="1">
      <w:start w:val="1"/>
      <w:numFmt w:val="bullet"/>
      <w:lvlText w:val=""/>
      <w:lvlJc w:val="left"/>
      <w:pPr>
        <w:tabs>
          <w:tab w:val="num" w:pos="2880"/>
        </w:tabs>
        <w:ind w:left="2880" w:hanging="360"/>
      </w:pPr>
      <w:rPr>
        <w:rFonts w:ascii="Wingdings" w:hAnsi="Wingdings" w:hint="default"/>
        <w:sz w:val="20"/>
      </w:rPr>
    </w:lvl>
    <w:lvl w:ilvl="4" w:tplc="AEF20684" w:tentative="1">
      <w:start w:val="1"/>
      <w:numFmt w:val="bullet"/>
      <w:lvlText w:val=""/>
      <w:lvlJc w:val="left"/>
      <w:pPr>
        <w:tabs>
          <w:tab w:val="num" w:pos="3600"/>
        </w:tabs>
        <w:ind w:left="3600" w:hanging="360"/>
      </w:pPr>
      <w:rPr>
        <w:rFonts w:ascii="Wingdings" w:hAnsi="Wingdings" w:hint="default"/>
        <w:sz w:val="20"/>
      </w:rPr>
    </w:lvl>
    <w:lvl w:ilvl="5" w:tplc="3C46D7F6" w:tentative="1">
      <w:start w:val="1"/>
      <w:numFmt w:val="bullet"/>
      <w:lvlText w:val=""/>
      <w:lvlJc w:val="left"/>
      <w:pPr>
        <w:tabs>
          <w:tab w:val="num" w:pos="4320"/>
        </w:tabs>
        <w:ind w:left="4320" w:hanging="360"/>
      </w:pPr>
      <w:rPr>
        <w:rFonts w:ascii="Wingdings" w:hAnsi="Wingdings" w:hint="default"/>
        <w:sz w:val="20"/>
      </w:rPr>
    </w:lvl>
    <w:lvl w:ilvl="6" w:tplc="B1709F72" w:tentative="1">
      <w:start w:val="1"/>
      <w:numFmt w:val="bullet"/>
      <w:lvlText w:val=""/>
      <w:lvlJc w:val="left"/>
      <w:pPr>
        <w:tabs>
          <w:tab w:val="num" w:pos="5040"/>
        </w:tabs>
        <w:ind w:left="5040" w:hanging="360"/>
      </w:pPr>
      <w:rPr>
        <w:rFonts w:ascii="Wingdings" w:hAnsi="Wingdings" w:hint="default"/>
        <w:sz w:val="20"/>
      </w:rPr>
    </w:lvl>
    <w:lvl w:ilvl="7" w:tplc="49AA741A" w:tentative="1">
      <w:start w:val="1"/>
      <w:numFmt w:val="bullet"/>
      <w:lvlText w:val=""/>
      <w:lvlJc w:val="left"/>
      <w:pPr>
        <w:tabs>
          <w:tab w:val="num" w:pos="5760"/>
        </w:tabs>
        <w:ind w:left="5760" w:hanging="360"/>
      </w:pPr>
      <w:rPr>
        <w:rFonts w:ascii="Wingdings" w:hAnsi="Wingdings" w:hint="default"/>
        <w:sz w:val="20"/>
      </w:rPr>
    </w:lvl>
    <w:lvl w:ilvl="8" w:tplc="7D464620" w:tentative="1">
      <w:start w:val="1"/>
      <w:numFmt w:val="bullet"/>
      <w:lvlText w:val=""/>
      <w:lvlJc w:val="left"/>
      <w:pPr>
        <w:tabs>
          <w:tab w:val="num" w:pos="6480"/>
        </w:tabs>
        <w:ind w:left="6480" w:hanging="360"/>
      </w:pPr>
      <w:rPr>
        <w:rFonts w:ascii="Wingdings" w:hAnsi="Wingdings" w:hint="default"/>
        <w:sz w:val="20"/>
      </w:rPr>
    </w:lvl>
  </w:abstractNum>
  <w:abstractNum w:abstractNumId="38">
    <w:nsid w:val="57C72489"/>
    <w:multiLevelType w:val="hybridMultilevel"/>
    <w:tmpl w:val="A4748C1A"/>
    <w:lvl w:ilvl="0" w:tplc="5E066656">
      <w:start w:val="1"/>
      <w:numFmt w:val="bullet"/>
      <w:pStyle w:val="wypunktowanie1"/>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9">
    <w:nsid w:val="57C914B9"/>
    <w:multiLevelType w:val="hybridMultilevel"/>
    <w:tmpl w:val="677695A2"/>
    <w:lvl w:ilvl="0" w:tplc="21B0B8BC">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nsid w:val="5FA453D3"/>
    <w:multiLevelType w:val="multilevel"/>
    <w:tmpl w:val="59CC6950"/>
    <w:lvl w:ilvl="0">
      <w:start w:val="1"/>
      <w:numFmt w:val="decimal"/>
      <w:lvlText w:val="%1."/>
      <w:lvlJc w:val="left"/>
      <w:pPr>
        <w:ind w:left="720" w:hanging="360"/>
      </w:pPr>
    </w:lvl>
    <w:lvl w:ilvl="1">
      <w:start w:val="1"/>
      <w:numFmt w:val="decimal"/>
      <w:pStyle w:val="Podrozdzia2poziom"/>
      <w:lvlText w:val="%1.%2."/>
      <w:lvlJc w:val="left"/>
      <w:pPr>
        <w:ind w:left="3479" w:hanging="360"/>
      </w:pPr>
    </w:lvl>
    <w:lvl w:ilvl="2">
      <w:start w:val="1"/>
      <w:numFmt w:val="decimal"/>
      <w:pStyle w:val="Podtytu3poziom"/>
      <w:isLgl/>
      <w:lvlText w:val="%1.%2.%3."/>
      <w:lvlJc w:val="left"/>
      <w:pPr>
        <w:ind w:left="483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649D1AD6"/>
    <w:multiLevelType w:val="hybridMultilevel"/>
    <w:tmpl w:val="AADC4E98"/>
    <w:lvl w:ilvl="0" w:tplc="8F54099E">
      <w:start w:val="1"/>
      <w:numFmt w:val="upperRoman"/>
      <w:pStyle w:val="ASstylLSR"/>
      <w:lvlText w:val="%1."/>
      <w:lvlJc w:val="left"/>
      <w:pPr>
        <w:ind w:left="1080" w:hanging="720"/>
      </w:pPr>
      <w:rPr>
        <w:rFonts w:hint="default"/>
      </w:rPr>
    </w:lvl>
    <w:lvl w:ilvl="1" w:tplc="1AB4D71C">
      <w:start w:val="1"/>
      <w:numFmt w:val="decimal"/>
      <w:lvlText w:val="%2."/>
      <w:lvlJc w:val="left"/>
      <w:pPr>
        <w:ind w:left="1440" w:hanging="360"/>
      </w:pPr>
      <w:rPr>
        <w:rFonts w:hint="default"/>
      </w:rPr>
    </w:lvl>
    <w:lvl w:ilvl="2" w:tplc="361089CE">
      <w:start w:val="1"/>
      <w:numFmt w:val="bullet"/>
      <w:lvlText w:val="-"/>
      <w:lvlJc w:val="left"/>
      <w:pPr>
        <w:ind w:left="2340" w:hanging="360"/>
      </w:pPr>
      <w:rPr>
        <w:rFonts w:ascii="Times New Roman" w:eastAsiaTheme="minorHAnsi"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BEB62F2"/>
    <w:multiLevelType w:val="hybridMultilevel"/>
    <w:tmpl w:val="E200CAB8"/>
    <w:lvl w:ilvl="0" w:tplc="21B0B8BC">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nsid w:val="6D92461A"/>
    <w:multiLevelType w:val="hybridMultilevel"/>
    <w:tmpl w:val="AD260AA0"/>
    <w:lvl w:ilvl="0" w:tplc="041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nsid w:val="70220EFA"/>
    <w:multiLevelType w:val="hybridMultilevel"/>
    <w:tmpl w:val="0420931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079165C"/>
    <w:multiLevelType w:val="hybridMultilevel"/>
    <w:tmpl w:val="BBCE55E0"/>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nsid w:val="740249F3"/>
    <w:multiLevelType w:val="hybridMultilevel"/>
    <w:tmpl w:val="6F966D2A"/>
    <w:lvl w:ilvl="0" w:tplc="361089CE">
      <w:start w:val="1"/>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763B17B5"/>
    <w:multiLevelType w:val="hybridMultilevel"/>
    <w:tmpl w:val="CE9A73DE"/>
    <w:lvl w:ilvl="0" w:tplc="B99E961A">
      <w:start w:val="1"/>
      <w:numFmt w:val="decimal"/>
      <w:lvlText w:val="%1."/>
      <w:lvlJc w:val="left"/>
      <w:pPr>
        <w:ind w:left="439" w:hanging="360"/>
      </w:pPr>
      <w:rPr>
        <w:rFonts w:hint="default"/>
      </w:rPr>
    </w:lvl>
    <w:lvl w:ilvl="1" w:tplc="04150019" w:tentative="1">
      <w:start w:val="1"/>
      <w:numFmt w:val="lowerLetter"/>
      <w:lvlText w:val="%2."/>
      <w:lvlJc w:val="left"/>
      <w:pPr>
        <w:ind w:left="1159" w:hanging="360"/>
      </w:pPr>
    </w:lvl>
    <w:lvl w:ilvl="2" w:tplc="0415001B" w:tentative="1">
      <w:start w:val="1"/>
      <w:numFmt w:val="lowerRoman"/>
      <w:lvlText w:val="%3."/>
      <w:lvlJc w:val="right"/>
      <w:pPr>
        <w:ind w:left="1879" w:hanging="180"/>
      </w:pPr>
    </w:lvl>
    <w:lvl w:ilvl="3" w:tplc="0415000F" w:tentative="1">
      <w:start w:val="1"/>
      <w:numFmt w:val="decimal"/>
      <w:lvlText w:val="%4."/>
      <w:lvlJc w:val="left"/>
      <w:pPr>
        <w:ind w:left="2599" w:hanging="360"/>
      </w:pPr>
    </w:lvl>
    <w:lvl w:ilvl="4" w:tplc="04150019" w:tentative="1">
      <w:start w:val="1"/>
      <w:numFmt w:val="lowerLetter"/>
      <w:lvlText w:val="%5."/>
      <w:lvlJc w:val="left"/>
      <w:pPr>
        <w:ind w:left="3319" w:hanging="360"/>
      </w:pPr>
    </w:lvl>
    <w:lvl w:ilvl="5" w:tplc="0415001B" w:tentative="1">
      <w:start w:val="1"/>
      <w:numFmt w:val="lowerRoman"/>
      <w:lvlText w:val="%6."/>
      <w:lvlJc w:val="right"/>
      <w:pPr>
        <w:ind w:left="4039" w:hanging="180"/>
      </w:pPr>
    </w:lvl>
    <w:lvl w:ilvl="6" w:tplc="0415000F" w:tentative="1">
      <w:start w:val="1"/>
      <w:numFmt w:val="decimal"/>
      <w:lvlText w:val="%7."/>
      <w:lvlJc w:val="left"/>
      <w:pPr>
        <w:ind w:left="4759" w:hanging="360"/>
      </w:pPr>
    </w:lvl>
    <w:lvl w:ilvl="7" w:tplc="04150019" w:tentative="1">
      <w:start w:val="1"/>
      <w:numFmt w:val="lowerLetter"/>
      <w:lvlText w:val="%8."/>
      <w:lvlJc w:val="left"/>
      <w:pPr>
        <w:ind w:left="5479" w:hanging="360"/>
      </w:pPr>
    </w:lvl>
    <w:lvl w:ilvl="8" w:tplc="0415001B" w:tentative="1">
      <w:start w:val="1"/>
      <w:numFmt w:val="lowerRoman"/>
      <w:lvlText w:val="%9."/>
      <w:lvlJc w:val="right"/>
      <w:pPr>
        <w:ind w:left="6199" w:hanging="180"/>
      </w:pPr>
    </w:lvl>
  </w:abstractNum>
  <w:abstractNum w:abstractNumId="48">
    <w:nsid w:val="79772BD4"/>
    <w:multiLevelType w:val="hybridMultilevel"/>
    <w:tmpl w:val="475606D2"/>
    <w:lvl w:ilvl="0" w:tplc="361089CE">
      <w:start w:val="1"/>
      <w:numFmt w:val="bullet"/>
      <w:lvlText w:val="-"/>
      <w:lvlJc w:val="left"/>
      <w:pPr>
        <w:ind w:left="720" w:hanging="360"/>
      </w:pPr>
      <w:rPr>
        <w:rFonts w:ascii="Times New Roman" w:eastAsiaTheme="minorHAnsi"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7C1A47DA"/>
    <w:multiLevelType w:val="multilevel"/>
    <w:tmpl w:val="EAAA2D52"/>
    <w:lvl w:ilvl="0">
      <w:start w:val="1"/>
      <w:numFmt w:val="decimal"/>
      <w:lvlText w:val="%1."/>
      <w:lvlJc w:val="left"/>
      <w:pPr>
        <w:ind w:left="360" w:hanging="360"/>
      </w:pPr>
    </w:lvl>
    <w:lvl w:ilvl="1">
      <w:start w:val="1"/>
      <w:numFmt w:val="decimal"/>
      <w:lvlText w:val="%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50">
    <w:nsid w:val="7CA932FF"/>
    <w:multiLevelType w:val="hybridMultilevel"/>
    <w:tmpl w:val="4440D50E"/>
    <w:lvl w:ilvl="0" w:tplc="17CA0402">
      <w:start w:val="1"/>
      <w:numFmt w:val="decimal"/>
      <w:pStyle w:val="Rycina-tytu"/>
      <w:lvlText w:val="Ryc. %1."/>
      <w:lvlJc w:val="left"/>
      <w:pPr>
        <w:ind w:left="644" w:hanging="360"/>
      </w:pPr>
      <w:rPr>
        <w:rFonts w:cs="Arial" w:hint="default"/>
        <w:b/>
        <w:bCs/>
        <w:i w:val="0"/>
        <w:iCs w:val="0"/>
        <w:strike w:val="0"/>
        <w:color w:val="000000"/>
        <w:sz w:val="22"/>
        <w:szCs w:val="22"/>
        <w:u w:val="no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nsid w:val="7D602D27"/>
    <w:multiLevelType w:val="hybridMultilevel"/>
    <w:tmpl w:val="9452B55C"/>
    <w:lvl w:ilvl="0" w:tplc="12DE33BE">
      <w:start w:val="1"/>
      <w:numFmt w:val="decimal"/>
      <w:lvlText w:val="%1."/>
      <w:lvlJc w:val="left"/>
      <w:pPr>
        <w:ind w:left="502" w:hanging="360"/>
      </w:pPr>
      <w:rPr>
        <w:b w:val="0"/>
        <w:bCs/>
        <w:strike w:val="0"/>
        <w:dstrike w:val="0"/>
        <w:color w:val="auto"/>
        <w:u w:val="none"/>
        <w:effect w:val="none"/>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52">
    <w:nsid w:val="7D672CB8"/>
    <w:multiLevelType w:val="hybridMultilevel"/>
    <w:tmpl w:val="11541B18"/>
    <w:lvl w:ilvl="0" w:tplc="23D89086">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7D6F4C53"/>
    <w:multiLevelType w:val="hybridMultilevel"/>
    <w:tmpl w:val="E44E4534"/>
    <w:lvl w:ilvl="0" w:tplc="361089CE">
      <w:start w:val="1"/>
      <w:numFmt w:val="bullet"/>
      <w:lvlText w:val="-"/>
      <w:lvlJc w:val="left"/>
      <w:pPr>
        <w:ind w:left="360" w:hanging="360"/>
      </w:pPr>
      <w:rPr>
        <w:rFonts w:ascii="Times New Roman" w:eastAsiaTheme="minorHAnsi" w:hAnsi="Times New Roman" w:cs="Times New Roman"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nsid w:val="7F3F6444"/>
    <w:multiLevelType w:val="hybridMultilevel"/>
    <w:tmpl w:val="BDB8CB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1"/>
  </w:num>
  <w:num w:numId="2">
    <w:abstractNumId w:val="14"/>
  </w:num>
  <w:num w:numId="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44"/>
  </w:num>
  <w:num w:numId="6">
    <w:abstractNumId w:val="8"/>
  </w:num>
  <w:num w:numId="7">
    <w:abstractNumId w:val="20"/>
  </w:num>
  <w:num w:numId="8">
    <w:abstractNumId w:val="15"/>
  </w:num>
  <w:num w:numId="9">
    <w:abstractNumId w:val="13"/>
  </w:num>
  <w:num w:numId="10">
    <w:abstractNumId w:val="7"/>
  </w:num>
  <w:num w:numId="11">
    <w:abstractNumId w:val="4"/>
  </w:num>
  <w:num w:numId="12">
    <w:abstractNumId w:val="22"/>
  </w:num>
  <w:num w:numId="13">
    <w:abstractNumId w:val="16"/>
  </w:num>
  <w:num w:numId="14">
    <w:abstractNumId w:val="31"/>
  </w:num>
  <w:num w:numId="15">
    <w:abstractNumId w:val="36"/>
  </w:num>
  <w:num w:numId="16">
    <w:abstractNumId w:val="48"/>
  </w:num>
  <w:num w:numId="17">
    <w:abstractNumId w:val="46"/>
  </w:num>
  <w:num w:numId="18">
    <w:abstractNumId w:val="29"/>
  </w:num>
  <w:num w:numId="19">
    <w:abstractNumId w:val="42"/>
  </w:num>
  <w:num w:numId="20">
    <w:abstractNumId w:val="39"/>
  </w:num>
  <w:num w:numId="21">
    <w:abstractNumId w:val="26"/>
  </w:num>
  <w:num w:numId="22">
    <w:abstractNumId w:val="2"/>
  </w:num>
  <w:num w:numId="23">
    <w:abstractNumId w:val="23"/>
  </w:num>
  <w:num w:numId="24">
    <w:abstractNumId w:val="34"/>
  </w:num>
  <w:num w:numId="25">
    <w:abstractNumId w:val="47"/>
  </w:num>
  <w:num w:numId="26">
    <w:abstractNumId w:val="19"/>
  </w:num>
  <w:num w:numId="27">
    <w:abstractNumId w:val="32"/>
  </w:num>
  <w:num w:numId="28">
    <w:abstractNumId w:val="0"/>
  </w:num>
  <w:num w:numId="29">
    <w:abstractNumId w:val="35"/>
  </w:num>
  <w:num w:numId="30">
    <w:abstractNumId w:val="24"/>
  </w:num>
  <w:num w:numId="31">
    <w:abstractNumId w:val="18"/>
  </w:num>
  <w:num w:numId="32">
    <w:abstractNumId w:val="33"/>
  </w:num>
  <w:num w:numId="33">
    <w:abstractNumId w:val="17"/>
  </w:num>
  <w:num w:numId="34">
    <w:abstractNumId w:val="37"/>
  </w:num>
  <w:num w:numId="35">
    <w:abstractNumId w:val="38"/>
  </w:num>
  <w:num w:numId="36">
    <w:abstractNumId w:val="28"/>
  </w:num>
  <w:num w:numId="37">
    <w:abstractNumId w:val="50"/>
  </w:num>
  <w:num w:numId="38">
    <w:abstractNumId w:val="40"/>
  </w:num>
  <w:num w:numId="39">
    <w:abstractNumId w:val="5"/>
  </w:num>
  <w:num w:numId="40">
    <w:abstractNumId w:val="9"/>
  </w:num>
  <w:num w:numId="41">
    <w:abstractNumId w:val="10"/>
  </w:num>
  <w:num w:numId="42">
    <w:abstractNumId w:val="25"/>
  </w:num>
  <w:num w:numId="43">
    <w:abstractNumId w:val="41"/>
  </w:num>
  <w:num w:numId="44">
    <w:abstractNumId w:val="43"/>
  </w:num>
  <w:num w:numId="45">
    <w:abstractNumId w:val="12"/>
  </w:num>
  <w:num w:numId="46">
    <w:abstractNumId w:val="53"/>
  </w:num>
  <w:num w:numId="47">
    <w:abstractNumId w:val="30"/>
  </w:num>
  <w:num w:numId="48">
    <w:abstractNumId w:val="3"/>
  </w:num>
  <w:num w:numId="49">
    <w:abstractNumId w:val="6"/>
  </w:num>
  <w:num w:numId="50">
    <w:abstractNumId w:val="52"/>
  </w:num>
  <w:num w:numId="51">
    <w:abstractNumId w:val="45"/>
  </w:num>
  <w:num w:numId="52">
    <w:abstractNumId w:val="54"/>
  </w:num>
  <w:num w:numId="53">
    <w:abstractNumId w:val="1"/>
  </w:num>
  <w:num w:numId="54">
    <w:abstractNumId w:val="27"/>
  </w:num>
  <w:num w:numId="5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182"/>
    <w:rsid w:val="000046FA"/>
    <w:rsid w:val="00005A0B"/>
    <w:rsid w:val="00007BF1"/>
    <w:rsid w:val="000116BE"/>
    <w:rsid w:val="00016A61"/>
    <w:rsid w:val="00023941"/>
    <w:rsid w:val="00027186"/>
    <w:rsid w:val="0003565E"/>
    <w:rsid w:val="00037899"/>
    <w:rsid w:val="0004264B"/>
    <w:rsid w:val="00044405"/>
    <w:rsid w:val="0004602C"/>
    <w:rsid w:val="0004789C"/>
    <w:rsid w:val="000507C8"/>
    <w:rsid w:val="00053CD1"/>
    <w:rsid w:val="000630D7"/>
    <w:rsid w:val="00063FE6"/>
    <w:rsid w:val="00065077"/>
    <w:rsid w:val="00067EC6"/>
    <w:rsid w:val="00071171"/>
    <w:rsid w:val="00076B61"/>
    <w:rsid w:val="000770A0"/>
    <w:rsid w:val="0008102A"/>
    <w:rsid w:val="00082AC1"/>
    <w:rsid w:val="0008476E"/>
    <w:rsid w:val="00086355"/>
    <w:rsid w:val="00090C5E"/>
    <w:rsid w:val="000932C2"/>
    <w:rsid w:val="000A0CF2"/>
    <w:rsid w:val="000A61F4"/>
    <w:rsid w:val="000A6DA3"/>
    <w:rsid w:val="000A6E57"/>
    <w:rsid w:val="000B514D"/>
    <w:rsid w:val="000B571F"/>
    <w:rsid w:val="000B603C"/>
    <w:rsid w:val="000B7EC5"/>
    <w:rsid w:val="000C70C3"/>
    <w:rsid w:val="000D4533"/>
    <w:rsid w:val="000D4E11"/>
    <w:rsid w:val="000D5979"/>
    <w:rsid w:val="000E24D7"/>
    <w:rsid w:val="000E61A9"/>
    <w:rsid w:val="000E653B"/>
    <w:rsid w:val="000F0B6A"/>
    <w:rsid w:val="000F12A0"/>
    <w:rsid w:val="00110363"/>
    <w:rsid w:val="00112B40"/>
    <w:rsid w:val="00113277"/>
    <w:rsid w:val="0011498F"/>
    <w:rsid w:val="00117B5A"/>
    <w:rsid w:val="0012032D"/>
    <w:rsid w:val="00120688"/>
    <w:rsid w:val="00121F8C"/>
    <w:rsid w:val="00124197"/>
    <w:rsid w:val="00130167"/>
    <w:rsid w:val="00132E8D"/>
    <w:rsid w:val="0013331D"/>
    <w:rsid w:val="00135142"/>
    <w:rsid w:val="00135EDE"/>
    <w:rsid w:val="001367EA"/>
    <w:rsid w:val="00137086"/>
    <w:rsid w:val="00140D67"/>
    <w:rsid w:val="001416B5"/>
    <w:rsid w:val="00142300"/>
    <w:rsid w:val="001432C5"/>
    <w:rsid w:val="00145722"/>
    <w:rsid w:val="0014638C"/>
    <w:rsid w:val="00151568"/>
    <w:rsid w:val="0015158B"/>
    <w:rsid w:val="00151E4D"/>
    <w:rsid w:val="0015244D"/>
    <w:rsid w:val="001535CC"/>
    <w:rsid w:val="00153FDC"/>
    <w:rsid w:val="00155723"/>
    <w:rsid w:val="001575EF"/>
    <w:rsid w:val="0016205D"/>
    <w:rsid w:val="0016405D"/>
    <w:rsid w:val="001651C8"/>
    <w:rsid w:val="00171BB1"/>
    <w:rsid w:val="00172B02"/>
    <w:rsid w:val="00173E21"/>
    <w:rsid w:val="00175FC2"/>
    <w:rsid w:val="00177F2B"/>
    <w:rsid w:val="00182CE8"/>
    <w:rsid w:val="00184507"/>
    <w:rsid w:val="001904A5"/>
    <w:rsid w:val="001A0F8E"/>
    <w:rsid w:val="001A6300"/>
    <w:rsid w:val="001B19FE"/>
    <w:rsid w:val="001B22BD"/>
    <w:rsid w:val="001C16C3"/>
    <w:rsid w:val="001C1B81"/>
    <w:rsid w:val="001C2101"/>
    <w:rsid w:val="001C27CF"/>
    <w:rsid w:val="001C5423"/>
    <w:rsid w:val="001D0163"/>
    <w:rsid w:val="001D60A0"/>
    <w:rsid w:val="001E07AA"/>
    <w:rsid w:val="001E3FBF"/>
    <w:rsid w:val="001E7AE3"/>
    <w:rsid w:val="0020003E"/>
    <w:rsid w:val="00202084"/>
    <w:rsid w:val="00202FE4"/>
    <w:rsid w:val="00203429"/>
    <w:rsid w:val="002035F2"/>
    <w:rsid w:val="00206F64"/>
    <w:rsid w:val="00210334"/>
    <w:rsid w:val="00211340"/>
    <w:rsid w:val="00213E7C"/>
    <w:rsid w:val="002155F5"/>
    <w:rsid w:val="002158F0"/>
    <w:rsid w:val="00216991"/>
    <w:rsid w:val="00224658"/>
    <w:rsid w:val="002308F2"/>
    <w:rsid w:val="00233140"/>
    <w:rsid w:val="00241A86"/>
    <w:rsid w:val="00242220"/>
    <w:rsid w:val="0024346B"/>
    <w:rsid w:val="002473EE"/>
    <w:rsid w:val="0024741D"/>
    <w:rsid w:val="00252B65"/>
    <w:rsid w:val="0025357C"/>
    <w:rsid w:val="00255B73"/>
    <w:rsid w:val="00261827"/>
    <w:rsid w:val="0026347F"/>
    <w:rsid w:val="002656CA"/>
    <w:rsid w:val="0027018D"/>
    <w:rsid w:val="00273E14"/>
    <w:rsid w:val="00276131"/>
    <w:rsid w:val="00283508"/>
    <w:rsid w:val="00285A63"/>
    <w:rsid w:val="00285D5D"/>
    <w:rsid w:val="00290B30"/>
    <w:rsid w:val="0029479C"/>
    <w:rsid w:val="002A0A9E"/>
    <w:rsid w:val="002A51F6"/>
    <w:rsid w:val="002B055F"/>
    <w:rsid w:val="002B2A04"/>
    <w:rsid w:val="002B4F1A"/>
    <w:rsid w:val="002B575D"/>
    <w:rsid w:val="002B6374"/>
    <w:rsid w:val="002B67AA"/>
    <w:rsid w:val="002C0BB0"/>
    <w:rsid w:val="002C63F4"/>
    <w:rsid w:val="002D4886"/>
    <w:rsid w:val="002E1D7C"/>
    <w:rsid w:val="002F1175"/>
    <w:rsid w:val="002F43CA"/>
    <w:rsid w:val="002F76B3"/>
    <w:rsid w:val="003017ED"/>
    <w:rsid w:val="003036C0"/>
    <w:rsid w:val="00315182"/>
    <w:rsid w:val="00315C5A"/>
    <w:rsid w:val="0032172C"/>
    <w:rsid w:val="00321BE0"/>
    <w:rsid w:val="003229AA"/>
    <w:rsid w:val="003260B4"/>
    <w:rsid w:val="00326532"/>
    <w:rsid w:val="003301BC"/>
    <w:rsid w:val="003339ED"/>
    <w:rsid w:val="00341F56"/>
    <w:rsid w:val="00345A05"/>
    <w:rsid w:val="003470D9"/>
    <w:rsid w:val="0035174A"/>
    <w:rsid w:val="00351D0E"/>
    <w:rsid w:val="00352DEE"/>
    <w:rsid w:val="003555DB"/>
    <w:rsid w:val="00357EE3"/>
    <w:rsid w:val="00361A71"/>
    <w:rsid w:val="00361C66"/>
    <w:rsid w:val="00367CB6"/>
    <w:rsid w:val="0037597D"/>
    <w:rsid w:val="00377C35"/>
    <w:rsid w:val="003811CE"/>
    <w:rsid w:val="00383417"/>
    <w:rsid w:val="00383D5D"/>
    <w:rsid w:val="0038786A"/>
    <w:rsid w:val="00396A11"/>
    <w:rsid w:val="003A2DC2"/>
    <w:rsid w:val="003A3590"/>
    <w:rsid w:val="003A7121"/>
    <w:rsid w:val="003B3B45"/>
    <w:rsid w:val="003B3E8E"/>
    <w:rsid w:val="003B49E6"/>
    <w:rsid w:val="003B50ED"/>
    <w:rsid w:val="003B5515"/>
    <w:rsid w:val="003B6567"/>
    <w:rsid w:val="003B7294"/>
    <w:rsid w:val="003B76CD"/>
    <w:rsid w:val="003C0995"/>
    <w:rsid w:val="003E19E8"/>
    <w:rsid w:val="003F45CB"/>
    <w:rsid w:val="004002F3"/>
    <w:rsid w:val="004063DC"/>
    <w:rsid w:val="00414523"/>
    <w:rsid w:val="00416FC4"/>
    <w:rsid w:val="00425212"/>
    <w:rsid w:val="004278B3"/>
    <w:rsid w:val="00430086"/>
    <w:rsid w:val="004322B6"/>
    <w:rsid w:val="0043248A"/>
    <w:rsid w:val="00444111"/>
    <w:rsid w:val="00444EBB"/>
    <w:rsid w:val="00445531"/>
    <w:rsid w:val="00454E72"/>
    <w:rsid w:val="004550A5"/>
    <w:rsid w:val="0045598C"/>
    <w:rsid w:val="0046545D"/>
    <w:rsid w:val="00467397"/>
    <w:rsid w:val="004709B8"/>
    <w:rsid w:val="004719DC"/>
    <w:rsid w:val="0047367B"/>
    <w:rsid w:val="0047446E"/>
    <w:rsid w:val="00475054"/>
    <w:rsid w:val="004806C7"/>
    <w:rsid w:val="004851AB"/>
    <w:rsid w:val="004A127B"/>
    <w:rsid w:val="004A15A6"/>
    <w:rsid w:val="004A4D90"/>
    <w:rsid w:val="004A5F4D"/>
    <w:rsid w:val="004B665D"/>
    <w:rsid w:val="004B6D13"/>
    <w:rsid w:val="004C36B1"/>
    <w:rsid w:val="004D6762"/>
    <w:rsid w:val="004E006D"/>
    <w:rsid w:val="004E530E"/>
    <w:rsid w:val="004E60D7"/>
    <w:rsid w:val="004F30C0"/>
    <w:rsid w:val="004F5292"/>
    <w:rsid w:val="004F5C1E"/>
    <w:rsid w:val="004F6F0F"/>
    <w:rsid w:val="00515C84"/>
    <w:rsid w:val="005213BB"/>
    <w:rsid w:val="005226DD"/>
    <w:rsid w:val="00525C90"/>
    <w:rsid w:val="00541441"/>
    <w:rsid w:val="005505AF"/>
    <w:rsid w:val="00551D41"/>
    <w:rsid w:val="00552416"/>
    <w:rsid w:val="00552B9D"/>
    <w:rsid w:val="0055550E"/>
    <w:rsid w:val="00555B24"/>
    <w:rsid w:val="0056202C"/>
    <w:rsid w:val="00566216"/>
    <w:rsid w:val="005702E3"/>
    <w:rsid w:val="00570E7B"/>
    <w:rsid w:val="005768FC"/>
    <w:rsid w:val="00577463"/>
    <w:rsid w:val="00580D3E"/>
    <w:rsid w:val="00581749"/>
    <w:rsid w:val="00590E23"/>
    <w:rsid w:val="00594AF0"/>
    <w:rsid w:val="00595CDE"/>
    <w:rsid w:val="005A4792"/>
    <w:rsid w:val="005B3017"/>
    <w:rsid w:val="005B47B3"/>
    <w:rsid w:val="005C30D4"/>
    <w:rsid w:val="005C40E5"/>
    <w:rsid w:val="005C5DE8"/>
    <w:rsid w:val="005C61F1"/>
    <w:rsid w:val="005C744E"/>
    <w:rsid w:val="005D445D"/>
    <w:rsid w:val="005D48C1"/>
    <w:rsid w:val="005D4905"/>
    <w:rsid w:val="005D57A1"/>
    <w:rsid w:val="005E1831"/>
    <w:rsid w:val="005E3E12"/>
    <w:rsid w:val="0060091B"/>
    <w:rsid w:val="00601F4A"/>
    <w:rsid w:val="006057CC"/>
    <w:rsid w:val="006066AE"/>
    <w:rsid w:val="00611E7C"/>
    <w:rsid w:val="00616776"/>
    <w:rsid w:val="00620337"/>
    <w:rsid w:val="006207FD"/>
    <w:rsid w:val="00622173"/>
    <w:rsid w:val="00624A74"/>
    <w:rsid w:val="00625BE4"/>
    <w:rsid w:val="00627390"/>
    <w:rsid w:val="006343C4"/>
    <w:rsid w:val="0064487A"/>
    <w:rsid w:val="00644ED0"/>
    <w:rsid w:val="006476AC"/>
    <w:rsid w:val="006534BA"/>
    <w:rsid w:val="00654176"/>
    <w:rsid w:val="006568AD"/>
    <w:rsid w:val="0066007F"/>
    <w:rsid w:val="00665A15"/>
    <w:rsid w:val="0066789E"/>
    <w:rsid w:val="006704BD"/>
    <w:rsid w:val="0067357C"/>
    <w:rsid w:val="00673DE9"/>
    <w:rsid w:val="00674A2D"/>
    <w:rsid w:val="006756A8"/>
    <w:rsid w:val="00675D79"/>
    <w:rsid w:val="006812A0"/>
    <w:rsid w:val="00683E7D"/>
    <w:rsid w:val="00691436"/>
    <w:rsid w:val="006A24B7"/>
    <w:rsid w:val="006A555B"/>
    <w:rsid w:val="006B3C3B"/>
    <w:rsid w:val="006B5841"/>
    <w:rsid w:val="006C3653"/>
    <w:rsid w:val="006C468D"/>
    <w:rsid w:val="006C4DC7"/>
    <w:rsid w:val="006C70DD"/>
    <w:rsid w:val="006C751C"/>
    <w:rsid w:val="006D0640"/>
    <w:rsid w:val="006D2D0B"/>
    <w:rsid w:val="006D34C4"/>
    <w:rsid w:val="006D43E4"/>
    <w:rsid w:val="006E3B6D"/>
    <w:rsid w:val="006E4F2A"/>
    <w:rsid w:val="006E7762"/>
    <w:rsid w:val="006F26E4"/>
    <w:rsid w:val="00700DA0"/>
    <w:rsid w:val="00701577"/>
    <w:rsid w:val="00703ECD"/>
    <w:rsid w:val="00704C05"/>
    <w:rsid w:val="0070635E"/>
    <w:rsid w:val="0071026A"/>
    <w:rsid w:val="00711493"/>
    <w:rsid w:val="0071475D"/>
    <w:rsid w:val="00717EE9"/>
    <w:rsid w:val="00725A1C"/>
    <w:rsid w:val="007315F2"/>
    <w:rsid w:val="00732EED"/>
    <w:rsid w:val="00740541"/>
    <w:rsid w:val="007416CA"/>
    <w:rsid w:val="0074308B"/>
    <w:rsid w:val="0074340E"/>
    <w:rsid w:val="00764A8D"/>
    <w:rsid w:val="007679F8"/>
    <w:rsid w:val="0077296E"/>
    <w:rsid w:val="00777C1B"/>
    <w:rsid w:val="00781320"/>
    <w:rsid w:val="00785CAB"/>
    <w:rsid w:val="00785EE8"/>
    <w:rsid w:val="00787110"/>
    <w:rsid w:val="00795A4D"/>
    <w:rsid w:val="007A5005"/>
    <w:rsid w:val="007A6170"/>
    <w:rsid w:val="007A7550"/>
    <w:rsid w:val="007B5C54"/>
    <w:rsid w:val="007C44CB"/>
    <w:rsid w:val="007D6687"/>
    <w:rsid w:val="007E217F"/>
    <w:rsid w:val="007E3E1A"/>
    <w:rsid w:val="007E4C24"/>
    <w:rsid w:val="007F123D"/>
    <w:rsid w:val="007F1E76"/>
    <w:rsid w:val="007F5673"/>
    <w:rsid w:val="0080076F"/>
    <w:rsid w:val="00807BD6"/>
    <w:rsid w:val="00807F74"/>
    <w:rsid w:val="00820417"/>
    <w:rsid w:val="008247A9"/>
    <w:rsid w:val="00826D5B"/>
    <w:rsid w:val="00830F08"/>
    <w:rsid w:val="00833C0B"/>
    <w:rsid w:val="00834EE5"/>
    <w:rsid w:val="00836F5F"/>
    <w:rsid w:val="008370AE"/>
    <w:rsid w:val="008415FC"/>
    <w:rsid w:val="00846E15"/>
    <w:rsid w:val="00851102"/>
    <w:rsid w:val="00857736"/>
    <w:rsid w:val="00860118"/>
    <w:rsid w:val="00864F84"/>
    <w:rsid w:val="00873026"/>
    <w:rsid w:val="00873CD8"/>
    <w:rsid w:val="008750C3"/>
    <w:rsid w:val="00885052"/>
    <w:rsid w:val="00885771"/>
    <w:rsid w:val="0089505F"/>
    <w:rsid w:val="008A072F"/>
    <w:rsid w:val="008A1F9F"/>
    <w:rsid w:val="008A412F"/>
    <w:rsid w:val="008A4CF6"/>
    <w:rsid w:val="008B0AFE"/>
    <w:rsid w:val="008C3A67"/>
    <w:rsid w:val="008D2139"/>
    <w:rsid w:val="008D3828"/>
    <w:rsid w:val="008D3E59"/>
    <w:rsid w:val="008D675F"/>
    <w:rsid w:val="008D7485"/>
    <w:rsid w:val="008E0174"/>
    <w:rsid w:val="008E58CC"/>
    <w:rsid w:val="008F12F4"/>
    <w:rsid w:val="008F24BE"/>
    <w:rsid w:val="008F2CA8"/>
    <w:rsid w:val="008F45EE"/>
    <w:rsid w:val="008F662E"/>
    <w:rsid w:val="009014D5"/>
    <w:rsid w:val="00902601"/>
    <w:rsid w:val="00905359"/>
    <w:rsid w:val="00907EC2"/>
    <w:rsid w:val="00910182"/>
    <w:rsid w:val="00915596"/>
    <w:rsid w:val="00921C63"/>
    <w:rsid w:val="00924C29"/>
    <w:rsid w:val="009257BD"/>
    <w:rsid w:val="00927B4D"/>
    <w:rsid w:val="00930438"/>
    <w:rsid w:val="0093051A"/>
    <w:rsid w:val="00932B59"/>
    <w:rsid w:val="009332A2"/>
    <w:rsid w:val="0093426C"/>
    <w:rsid w:val="00937F07"/>
    <w:rsid w:val="00942705"/>
    <w:rsid w:val="009453FC"/>
    <w:rsid w:val="00946B6F"/>
    <w:rsid w:val="00950C17"/>
    <w:rsid w:val="0095221B"/>
    <w:rsid w:val="00956CD9"/>
    <w:rsid w:val="00957133"/>
    <w:rsid w:val="00962FF8"/>
    <w:rsid w:val="009713CD"/>
    <w:rsid w:val="009727DF"/>
    <w:rsid w:val="00972EBA"/>
    <w:rsid w:val="00976CCC"/>
    <w:rsid w:val="00977893"/>
    <w:rsid w:val="009844F4"/>
    <w:rsid w:val="00990CC1"/>
    <w:rsid w:val="009948DE"/>
    <w:rsid w:val="00995AB5"/>
    <w:rsid w:val="00995F46"/>
    <w:rsid w:val="0099730D"/>
    <w:rsid w:val="009A5D8B"/>
    <w:rsid w:val="009B4EFD"/>
    <w:rsid w:val="009B5673"/>
    <w:rsid w:val="009B6C5F"/>
    <w:rsid w:val="009C199B"/>
    <w:rsid w:val="009C33D3"/>
    <w:rsid w:val="009C6D3E"/>
    <w:rsid w:val="009D0EAE"/>
    <w:rsid w:val="009E33C5"/>
    <w:rsid w:val="009E4F8F"/>
    <w:rsid w:val="009F1202"/>
    <w:rsid w:val="009F40D1"/>
    <w:rsid w:val="00A007E3"/>
    <w:rsid w:val="00A00DAD"/>
    <w:rsid w:val="00A026E0"/>
    <w:rsid w:val="00A03AE7"/>
    <w:rsid w:val="00A06FFF"/>
    <w:rsid w:val="00A11F42"/>
    <w:rsid w:val="00A15C37"/>
    <w:rsid w:val="00A16AE2"/>
    <w:rsid w:val="00A20FE3"/>
    <w:rsid w:val="00A21AD5"/>
    <w:rsid w:val="00A21B4C"/>
    <w:rsid w:val="00A2443B"/>
    <w:rsid w:val="00A26C26"/>
    <w:rsid w:val="00A337AC"/>
    <w:rsid w:val="00A33F61"/>
    <w:rsid w:val="00A36B6A"/>
    <w:rsid w:val="00A372F4"/>
    <w:rsid w:val="00A5359F"/>
    <w:rsid w:val="00A539E1"/>
    <w:rsid w:val="00A67908"/>
    <w:rsid w:val="00A705D7"/>
    <w:rsid w:val="00A7385A"/>
    <w:rsid w:val="00A761E0"/>
    <w:rsid w:val="00A90EBA"/>
    <w:rsid w:val="00A938D8"/>
    <w:rsid w:val="00A96B09"/>
    <w:rsid w:val="00AA50BB"/>
    <w:rsid w:val="00AA61A8"/>
    <w:rsid w:val="00AA6325"/>
    <w:rsid w:val="00AA70C6"/>
    <w:rsid w:val="00AA737D"/>
    <w:rsid w:val="00AB2333"/>
    <w:rsid w:val="00AB2426"/>
    <w:rsid w:val="00AB742D"/>
    <w:rsid w:val="00AC426A"/>
    <w:rsid w:val="00AC5DDC"/>
    <w:rsid w:val="00AC6A36"/>
    <w:rsid w:val="00AD0BAC"/>
    <w:rsid w:val="00AD35B9"/>
    <w:rsid w:val="00AD362D"/>
    <w:rsid w:val="00AE0AF9"/>
    <w:rsid w:val="00AE14E1"/>
    <w:rsid w:val="00AF24A4"/>
    <w:rsid w:val="00B00A76"/>
    <w:rsid w:val="00B03AE6"/>
    <w:rsid w:val="00B11425"/>
    <w:rsid w:val="00B12072"/>
    <w:rsid w:val="00B14C8A"/>
    <w:rsid w:val="00B233A1"/>
    <w:rsid w:val="00B24503"/>
    <w:rsid w:val="00B275F4"/>
    <w:rsid w:val="00B329E9"/>
    <w:rsid w:val="00B34BD5"/>
    <w:rsid w:val="00B36F26"/>
    <w:rsid w:val="00B40A00"/>
    <w:rsid w:val="00B42E4F"/>
    <w:rsid w:val="00B46E98"/>
    <w:rsid w:val="00B50849"/>
    <w:rsid w:val="00B520BD"/>
    <w:rsid w:val="00B52FD9"/>
    <w:rsid w:val="00B70083"/>
    <w:rsid w:val="00B70DF5"/>
    <w:rsid w:val="00B713BE"/>
    <w:rsid w:val="00B82FB4"/>
    <w:rsid w:val="00B852A9"/>
    <w:rsid w:val="00B870C2"/>
    <w:rsid w:val="00B8720B"/>
    <w:rsid w:val="00B90149"/>
    <w:rsid w:val="00B93210"/>
    <w:rsid w:val="00B978D0"/>
    <w:rsid w:val="00BA0B82"/>
    <w:rsid w:val="00BA1F1B"/>
    <w:rsid w:val="00BC08F3"/>
    <w:rsid w:val="00BC3DF7"/>
    <w:rsid w:val="00BC43D2"/>
    <w:rsid w:val="00BC665F"/>
    <w:rsid w:val="00BD17DA"/>
    <w:rsid w:val="00BD5E29"/>
    <w:rsid w:val="00BF052F"/>
    <w:rsid w:val="00BF0C96"/>
    <w:rsid w:val="00BF27BE"/>
    <w:rsid w:val="00C04BBD"/>
    <w:rsid w:val="00C0662B"/>
    <w:rsid w:val="00C06A78"/>
    <w:rsid w:val="00C10B26"/>
    <w:rsid w:val="00C136C4"/>
    <w:rsid w:val="00C14FF0"/>
    <w:rsid w:val="00C17317"/>
    <w:rsid w:val="00C17661"/>
    <w:rsid w:val="00C20F06"/>
    <w:rsid w:val="00C234F6"/>
    <w:rsid w:val="00C25142"/>
    <w:rsid w:val="00C339C9"/>
    <w:rsid w:val="00C36D36"/>
    <w:rsid w:val="00C406F6"/>
    <w:rsid w:val="00C410C9"/>
    <w:rsid w:val="00C46FB5"/>
    <w:rsid w:val="00C536B1"/>
    <w:rsid w:val="00C55A89"/>
    <w:rsid w:val="00C55B6F"/>
    <w:rsid w:val="00C6441B"/>
    <w:rsid w:val="00C675EC"/>
    <w:rsid w:val="00C70DD0"/>
    <w:rsid w:val="00C71928"/>
    <w:rsid w:val="00C71E9E"/>
    <w:rsid w:val="00C7290F"/>
    <w:rsid w:val="00C73F31"/>
    <w:rsid w:val="00C7528D"/>
    <w:rsid w:val="00C75E17"/>
    <w:rsid w:val="00C826DF"/>
    <w:rsid w:val="00C84953"/>
    <w:rsid w:val="00C86C5D"/>
    <w:rsid w:val="00C9266B"/>
    <w:rsid w:val="00C92EBB"/>
    <w:rsid w:val="00C93660"/>
    <w:rsid w:val="00C93D5F"/>
    <w:rsid w:val="00CA438F"/>
    <w:rsid w:val="00CB1987"/>
    <w:rsid w:val="00CB5579"/>
    <w:rsid w:val="00CB7078"/>
    <w:rsid w:val="00CC0329"/>
    <w:rsid w:val="00CC67E2"/>
    <w:rsid w:val="00CD1159"/>
    <w:rsid w:val="00CD3F08"/>
    <w:rsid w:val="00CD43FD"/>
    <w:rsid w:val="00CD5C67"/>
    <w:rsid w:val="00CE0EAE"/>
    <w:rsid w:val="00CE49D6"/>
    <w:rsid w:val="00CF2876"/>
    <w:rsid w:val="00CF3003"/>
    <w:rsid w:val="00D02820"/>
    <w:rsid w:val="00D02DB8"/>
    <w:rsid w:val="00D05097"/>
    <w:rsid w:val="00D0661C"/>
    <w:rsid w:val="00D14019"/>
    <w:rsid w:val="00D22BF3"/>
    <w:rsid w:val="00D243EB"/>
    <w:rsid w:val="00D253D8"/>
    <w:rsid w:val="00D2758B"/>
    <w:rsid w:val="00D307A5"/>
    <w:rsid w:val="00D30D40"/>
    <w:rsid w:val="00D426D3"/>
    <w:rsid w:val="00D42DF0"/>
    <w:rsid w:val="00D43F21"/>
    <w:rsid w:val="00D45C84"/>
    <w:rsid w:val="00D4683E"/>
    <w:rsid w:val="00D47463"/>
    <w:rsid w:val="00D5105C"/>
    <w:rsid w:val="00D53B90"/>
    <w:rsid w:val="00D543AB"/>
    <w:rsid w:val="00D57CAE"/>
    <w:rsid w:val="00D61194"/>
    <w:rsid w:val="00D615FF"/>
    <w:rsid w:val="00D67218"/>
    <w:rsid w:val="00D676B4"/>
    <w:rsid w:val="00D67A6E"/>
    <w:rsid w:val="00D67BF7"/>
    <w:rsid w:val="00D700CC"/>
    <w:rsid w:val="00D702C0"/>
    <w:rsid w:val="00D74D80"/>
    <w:rsid w:val="00D80114"/>
    <w:rsid w:val="00D85DCE"/>
    <w:rsid w:val="00D91E61"/>
    <w:rsid w:val="00D920B2"/>
    <w:rsid w:val="00D922AA"/>
    <w:rsid w:val="00D95629"/>
    <w:rsid w:val="00D97863"/>
    <w:rsid w:val="00DA551B"/>
    <w:rsid w:val="00DA6F01"/>
    <w:rsid w:val="00DA7A07"/>
    <w:rsid w:val="00DB574D"/>
    <w:rsid w:val="00DB7370"/>
    <w:rsid w:val="00DC06BB"/>
    <w:rsid w:val="00DC1599"/>
    <w:rsid w:val="00DC1705"/>
    <w:rsid w:val="00DC3A22"/>
    <w:rsid w:val="00DC55C3"/>
    <w:rsid w:val="00DE110A"/>
    <w:rsid w:val="00DE18F5"/>
    <w:rsid w:val="00DE53D6"/>
    <w:rsid w:val="00DF4974"/>
    <w:rsid w:val="00DF4F63"/>
    <w:rsid w:val="00DF60A0"/>
    <w:rsid w:val="00DF7ACD"/>
    <w:rsid w:val="00E01240"/>
    <w:rsid w:val="00E02BC3"/>
    <w:rsid w:val="00E031E8"/>
    <w:rsid w:val="00E07BED"/>
    <w:rsid w:val="00E15132"/>
    <w:rsid w:val="00E15C1D"/>
    <w:rsid w:val="00E16619"/>
    <w:rsid w:val="00E172AB"/>
    <w:rsid w:val="00E17D35"/>
    <w:rsid w:val="00E17E5A"/>
    <w:rsid w:val="00E2372E"/>
    <w:rsid w:val="00E2440A"/>
    <w:rsid w:val="00E2456B"/>
    <w:rsid w:val="00E25395"/>
    <w:rsid w:val="00E25EBB"/>
    <w:rsid w:val="00E2622D"/>
    <w:rsid w:val="00E27B8B"/>
    <w:rsid w:val="00E30CB1"/>
    <w:rsid w:val="00E319F6"/>
    <w:rsid w:val="00E33680"/>
    <w:rsid w:val="00E34A59"/>
    <w:rsid w:val="00E42D1E"/>
    <w:rsid w:val="00E43C42"/>
    <w:rsid w:val="00E464ED"/>
    <w:rsid w:val="00E477AB"/>
    <w:rsid w:val="00E51B2D"/>
    <w:rsid w:val="00E600A5"/>
    <w:rsid w:val="00E601CD"/>
    <w:rsid w:val="00E625D8"/>
    <w:rsid w:val="00E63F5C"/>
    <w:rsid w:val="00E66FB4"/>
    <w:rsid w:val="00E737ED"/>
    <w:rsid w:val="00E74559"/>
    <w:rsid w:val="00E74F89"/>
    <w:rsid w:val="00E761B4"/>
    <w:rsid w:val="00E923F1"/>
    <w:rsid w:val="00E924BA"/>
    <w:rsid w:val="00E9263F"/>
    <w:rsid w:val="00E9617F"/>
    <w:rsid w:val="00E965D2"/>
    <w:rsid w:val="00EA3064"/>
    <w:rsid w:val="00EA6EBF"/>
    <w:rsid w:val="00EA772B"/>
    <w:rsid w:val="00EA7802"/>
    <w:rsid w:val="00EC0382"/>
    <w:rsid w:val="00EC3BD9"/>
    <w:rsid w:val="00EC42B8"/>
    <w:rsid w:val="00EC682B"/>
    <w:rsid w:val="00EC7A0A"/>
    <w:rsid w:val="00ED0DBF"/>
    <w:rsid w:val="00ED2EA4"/>
    <w:rsid w:val="00ED4002"/>
    <w:rsid w:val="00EE12A5"/>
    <w:rsid w:val="00EE6F0C"/>
    <w:rsid w:val="00EF253B"/>
    <w:rsid w:val="00F019BC"/>
    <w:rsid w:val="00F06E84"/>
    <w:rsid w:val="00F10EC2"/>
    <w:rsid w:val="00F11CEB"/>
    <w:rsid w:val="00F16251"/>
    <w:rsid w:val="00F206D1"/>
    <w:rsid w:val="00F22284"/>
    <w:rsid w:val="00F22D4E"/>
    <w:rsid w:val="00F25026"/>
    <w:rsid w:val="00F32737"/>
    <w:rsid w:val="00F32C35"/>
    <w:rsid w:val="00F450C7"/>
    <w:rsid w:val="00F503C9"/>
    <w:rsid w:val="00F50A79"/>
    <w:rsid w:val="00F54816"/>
    <w:rsid w:val="00F5486B"/>
    <w:rsid w:val="00F56136"/>
    <w:rsid w:val="00F62B8F"/>
    <w:rsid w:val="00F638F8"/>
    <w:rsid w:val="00F6473E"/>
    <w:rsid w:val="00F65B64"/>
    <w:rsid w:val="00F65DB9"/>
    <w:rsid w:val="00F67E0B"/>
    <w:rsid w:val="00F85305"/>
    <w:rsid w:val="00F86146"/>
    <w:rsid w:val="00F96579"/>
    <w:rsid w:val="00FA06CE"/>
    <w:rsid w:val="00FA703D"/>
    <w:rsid w:val="00FA7988"/>
    <w:rsid w:val="00FB18EA"/>
    <w:rsid w:val="00FB268B"/>
    <w:rsid w:val="00FB4477"/>
    <w:rsid w:val="00FC214F"/>
    <w:rsid w:val="00FC2AD5"/>
    <w:rsid w:val="00FC31B3"/>
    <w:rsid w:val="00FC3E79"/>
    <w:rsid w:val="00FD1B3F"/>
    <w:rsid w:val="00FD5438"/>
    <w:rsid w:val="00FE0977"/>
    <w:rsid w:val="00FF22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6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l-PL"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able of figures" w:qFormat="1"/>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70DF5"/>
  </w:style>
  <w:style w:type="paragraph" w:styleId="Nagwek1">
    <w:name w:val="heading 1"/>
    <w:basedOn w:val="Normalny"/>
    <w:next w:val="Normalny"/>
    <w:link w:val="Nagwek1Znak"/>
    <w:uiPriority w:val="9"/>
    <w:qFormat/>
    <w:rsid w:val="00907EC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aliases w:val="drugi"/>
    <w:basedOn w:val="Normalny"/>
    <w:next w:val="Normalny"/>
    <w:link w:val="Nagwek2Znak"/>
    <w:uiPriority w:val="9"/>
    <w:unhideWhenUsed/>
    <w:qFormat/>
    <w:rsid w:val="00907EC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15572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autoRedefine/>
    <w:unhideWhenUsed/>
    <w:qFormat/>
    <w:rsid w:val="002C63F4"/>
    <w:pPr>
      <w:keepNext/>
      <w:keepLines/>
      <w:spacing w:before="40" w:line="276" w:lineRule="auto"/>
      <w:ind w:left="1440" w:hanging="1080"/>
      <w:outlineLvl w:val="3"/>
    </w:pPr>
    <w:rPr>
      <w:rFonts w:ascii="Calibri" w:eastAsiaTheme="majorEastAsia" w:hAnsi="Calibri" w:cstheme="majorBidi"/>
      <w:b/>
      <w:iCs/>
      <w:noProof/>
      <w:kern w:val="0"/>
      <w:sz w:val="24"/>
      <w14:ligatures w14:val="none"/>
    </w:rPr>
  </w:style>
  <w:style w:type="paragraph" w:styleId="Nagwek5">
    <w:name w:val="heading 5"/>
    <w:basedOn w:val="Normalny"/>
    <w:next w:val="Normalny"/>
    <w:link w:val="Nagwek5Znak"/>
    <w:uiPriority w:val="9"/>
    <w:unhideWhenUsed/>
    <w:qFormat/>
    <w:rsid w:val="00224658"/>
    <w:pPr>
      <w:keepNext/>
      <w:keepLines/>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nhideWhenUsed/>
    <w:qFormat/>
    <w:rsid w:val="0071475D"/>
    <w:pPr>
      <w:keepNext/>
      <w:keepLines/>
      <w:spacing w:before="40" w:line="259" w:lineRule="auto"/>
      <w:outlineLvl w:val="5"/>
    </w:pPr>
    <w:rPr>
      <w:rFonts w:asciiTheme="majorHAnsi" w:eastAsiaTheme="majorEastAsia" w:hAnsiTheme="majorHAnsi" w:cstheme="majorBidi"/>
      <w:color w:val="1F3763" w:themeColor="accent1" w:themeShade="7F"/>
      <w:kern w:val="0"/>
      <w:sz w:val="24"/>
      <w:szCs w:val="24"/>
      <w:lang w:eastAsia="pl-PL"/>
      <w14:ligatures w14:val="none"/>
    </w:rPr>
  </w:style>
  <w:style w:type="paragraph" w:styleId="Nagwek7">
    <w:name w:val="heading 7"/>
    <w:basedOn w:val="Normalny"/>
    <w:next w:val="Normalny"/>
    <w:link w:val="Nagwek7Znak"/>
    <w:uiPriority w:val="9"/>
    <w:unhideWhenUsed/>
    <w:qFormat/>
    <w:rsid w:val="0071475D"/>
    <w:pPr>
      <w:keepNext/>
      <w:keepLines/>
      <w:spacing w:before="40" w:line="259" w:lineRule="auto"/>
      <w:outlineLvl w:val="6"/>
    </w:pPr>
    <w:rPr>
      <w:rFonts w:asciiTheme="majorHAnsi" w:eastAsiaTheme="majorEastAsia" w:hAnsiTheme="majorHAnsi" w:cstheme="majorBidi"/>
      <w:i/>
      <w:iCs/>
      <w:color w:val="1F3763" w:themeColor="accent1" w:themeShade="7F"/>
      <w:kern w:val="0"/>
      <w:sz w:val="24"/>
      <w:szCs w:val="24"/>
      <w:lang w:eastAsia="pl-PL"/>
      <w14:ligatures w14:val="none"/>
    </w:rPr>
  </w:style>
  <w:style w:type="paragraph" w:styleId="Nagwek8">
    <w:name w:val="heading 8"/>
    <w:basedOn w:val="Normalny"/>
    <w:next w:val="Normalny"/>
    <w:link w:val="Nagwek8Znak"/>
    <w:uiPriority w:val="9"/>
    <w:semiHidden/>
    <w:unhideWhenUsed/>
    <w:qFormat/>
    <w:rsid w:val="0071475D"/>
    <w:pPr>
      <w:keepNext/>
      <w:keepLines/>
      <w:spacing w:before="40"/>
      <w:ind w:left="1440" w:hanging="1440"/>
      <w:jc w:val="both"/>
      <w:outlineLvl w:val="7"/>
    </w:pPr>
    <w:rPr>
      <w:rFonts w:asciiTheme="majorHAnsi" w:eastAsiaTheme="majorEastAsia" w:hAnsiTheme="majorHAnsi" w:cstheme="majorBidi"/>
      <w:color w:val="272727" w:themeColor="text1" w:themeTint="D8"/>
      <w:kern w:val="0"/>
      <w:sz w:val="21"/>
      <w:szCs w:val="21"/>
      <w:lang w:eastAsia="pl-PL"/>
      <w14:ligatures w14:val="none"/>
    </w:rPr>
  </w:style>
  <w:style w:type="paragraph" w:styleId="Nagwek9">
    <w:name w:val="heading 9"/>
    <w:basedOn w:val="Normalny"/>
    <w:next w:val="Normalny"/>
    <w:link w:val="Nagwek9Znak"/>
    <w:uiPriority w:val="9"/>
    <w:semiHidden/>
    <w:unhideWhenUsed/>
    <w:qFormat/>
    <w:rsid w:val="0071475D"/>
    <w:pPr>
      <w:keepNext/>
      <w:keepLines/>
      <w:spacing w:before="40"/>
      <w:ind w:left="1584" w:hanging="1584"/>
      <w:jc w:val="both"/>
      <w:outlineLvl w:val="8"/>
    </w:pPr>
    <w:rPr>
      <w:rFonts w:asciiTheme="majorHAnsi" w:eastAsiaTheme="majorEastAsia" w:hAnsiTheme="majorHAnsi" w:cstheme="majorBidi"/>
      <w:i/>
      <w:iCs/>
      <w:color w:val="272727" w:themeColor="text1" w:themeTint="D8"/>
      <w:kern w:val="0"/>
      <w:sz w:val="21"/>
      <w:szCs w:val="21"/>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7EC2"/>
    <w:rPr>
      <w:rFonts w:asciiTheme="majorHAnsi" w:eastAsiaTheme="majorEastAsia" w:hAnsiTheme="majorHAnsi" w:cstheme="majorBidi"/>
      <w:color w:val="2F5496" w:themeColor="accent1" w:themeShade="BF"/>
      <w:sz w:val="32"/>
      <w:szCs w:val="32"/>
    </w:rPr>
  </w:style>
  <w:style w:type="character" w:customStyle="1" w:styleId="Nagwek2Znak">
    <w:name w:val="Nagłówek 2 Znak"/>
    <w:aliases w:val="drugi Znak"/>
    <w:basedOn w:val="Domylnaczcionkaakapitu"/>
    <w:link w:val="Nagwek2"/>
    <w:uiPriority w:val="9"/>
    <w:rsid w:val="00907EC2"/>
    <w:rPr>
      <w:rFonts w:asciiTheme="majorHAnsi" w:eastAsiaTheme="majorEastAsia" w:hAnsiTheme="majorHAnsi" w:cstheme="majorBidi"/>
      <w:color w:val="2F5496" w:themeColor="accent1" w:themeShade="BF"/>
      <w:sz w:val="26"/>
      <w:szCs w:val="26"/>
    </w:rPr>
  </w:style>
  <w:style w:type="paragraph" w:styleId="Akapitzlist">
    <w:name w:val="List Paragraph"/>
    <w:aliases w:val="L1,Numerowanie,List Paragraph,Akapit z listą BS,Kolorowa lista — akcent 11,Normal,maz_wyliczenie,opis dzialania,K-P_odwolanie,A_wyliczenie,Akapit z listą5,Obiekt,List Paragraph1,BulletC,normalny tekst,Akapit z listą31,TRAKO Akapit z listą"/>
    <w:basedOn w:val="Normalny"/>
    <w:link w:val="AkapitzlistZnak"/>
    <w:uiPriority w:val="34"/>
    <w:qFormat/>
    <w:rsid w:val="00907EC2"/>
    <w:pPr>
      <w:ind w:left="720"/>
      <w:contextualSpacing/>
    </w:pPr>
  </w:style>
  <w:style w:type="paragraph" w:styleId="NormalnyWeb">
    <w:name w:val="Normal (Web)"/>
    <w:basedOn w:val="Normalny"/>
    <w:link w:val="NormalnyWebZnak"/>
    <w:uiPriority w:val="99"/>
    <w:rsid w:val="00121F8C"/>
    <w:pPr>
      <w:suppressAutoHyphens/>
      <w:spacing w:before="280" w:after="280"/>
    </w:pPr>
    <w:rPr>
      <w:rFonts w:ascii="Times New Roman" w:eastAsia="Times New Roman" w:hAnsi="Times New Roman" w:cs="Times New Roman"/>
      <w:kern w:val="0"/>
      <w:sz w:val="24"/>
      <w:szCs w:val="24"/>
      <w:lang w:eastAsia="ar-SA"/>
      <w14:ligatures w14:val="none"/>
    </w:rPr>
  </w:style>
  <w:style w:type="character" w:customStyle="1" w:styleId="Nagwek3Znak">
    <w:name w:val="Nagłówek 3 Znak"/>
    <w:basedOn w:val="Domylnaczcionkaakapitu"/>
    <w:link w:val="Nagwek3"/>
    <w:uiPriority w:val="9"/>
    <w:rsid w:val="00155723"/>
    <w:rPr>
      <w:rFonts w:asciiTheme="majorHAnsi" w:eastAsiaTheme="majorEastAsia" w:hAnsiTheme="majorHAnsi" w:cstheme="majorBidi"/>
      <w:color w:val="1F3763" w:themeColor="accent1" w:themeShade="7F"/>
      <w:sz w:val="24"/>
      <w:szCs w:val="24"/>
    </w:rPr>
  </w:style>
  <w:style w:type="paragraph" w:styleId="Tekstprzypisukocowego">
    <w:name w:val="endnote text"/>
    <w:basedOn w:val="Normalny"/>
    <w:link w:val="TekstprzypisukocowegoZnak"/>
    <w:uiPriority w:val="99"/>
    <w:semiHidden/>
    <w:unhideWhenUsed/>
    <w:rsid w:val="00444111"/>
    <w:rPr>
      <w:sz w:val="20"/>
      <w:szCs w:val="20"/>
    </w:rPr>
  </w:style>
  <w:style w:type="character" w:customStyle="1" w:styleId="TekstprzypisukocowegoZnak">
    <w:name w:val="Tekst przypisu końcowego Znak"/>
    <w:basedOn w:val="Domylnaczcionkaakapitu"/>
    <w:link w:val="Tekstprzypisukocowego"/>
    <w:uiPriority w:val="99"/>
    <w:semiHidden/>
    <w:rsid w:val="00444111"/>
    <w:rPr>
      <w:sz w:val="20"/>
      <w:szCs w:val="20"/>
    </w:rPr>
  </w:style>
  <w:style w:type="character" w:styleId="Odwoanieprzypisukocowego">
    <w:name w:val="endnote reference"/>
    <w:basedOn w:val="Domylnaczcionkaakapitu"/>
    <w:uiPriority w:val="99"/>
    <w:semiHidden/>
    <w:unhideWhenUsed/>
    <w:rsid w:val="00444111"/>
    <w:rPr>
      <w:vertAlign w:val="superscript"/>
    </w:rPr>
  </w:style>
  <w:style w:type="character" w:styleId="Pogrubienie">
    <w:name w:val="Strong"/>
    <w:basedOn w:val="Domylnaczcionkaakapitu"/>
    <w:uiPriority w:val="22"/>
    <w:qFormat/>
    <w:rsid w:val="00777C1B"/>
    <w:rPr>
      <w:b/>
      <w:bCs/>
    </w:rPr>
  </w:style>
  <w:style w:type="paragraph" w:customStyle="1" w:styleId="Default">
    <w:name w:val="Default"/>
    <w:link w:val="DefaultZnak"/>
    <w:rsid w:val="0038786A"/>
    <w:pPr>
      <w:autoSpaceDE w:val="0"/>
      <w:autoSpaceDN w:val="0"/>
      <w:adjustRightInd w:val="0"/>
    </w:pPr>
    <w:rPr>
      <w:rFonts w:ascii="Times New Roman" w:eastAsia="Times New Roman" w:hAnsi="Times New Roman" w:cs="Times New Roman"/>
      <w:color w:val="000000"/>
      <w:kern w:val="0"/>
      <w:sz w:val="24"/>
      <w:szCs w:val="24"/>
      <w:lang w:eastAsia="pl-PL"/>
      <w14:ligatures w14:val="none"/>
    </w:rPr>
  </w:style>
  <w:style w:type="character" w:styleId="Odwoaniedokomentarza">
    <w:name w:val="annotation reference"/>
    <w:uiPriority w:val="99"/>
    <w:semiHidden/>
    <w:rsid w:val="0064487A"/>
    <w:rPr>
      <w:sz w:val="16"/>
      <w:szCs w:val="16"/>
    </w:rPr>
  </w:style>
  <w:style w:type="paragraph" w:styleId="Tekstkomentarza">
    <w:name w:val="annotation text"/>
    <w:basedOn w:val="Normalny"/>
    <w:link w:val="TekstkomentarzaZnak"/>
    <w:uiPriority w:val="99"/>
    <w:rsid w:val="0064487A"/>
    <w:rPr>
      <w:rFonts w:ascii="Times New Roman" w:eastAsia="Times New Roman" w:hAnsi="Times New Roman" w:cs="Times New Roman"/>
      <w:kern w:val="0"/>
      <w:sz w:val="20"/>
      <w:szCs w:val="20"/>
      <w:lang w:eastAsia="pl-PL"/>
      <w14:ligatures w14:val="none"/>
    </w:rPr>
  </w:style>
  <w:style w:type="character" w:customStyle="1" w:styleId="TekstkomentarzaZnak">
    <w:name w:val="Tekst komentarza Znak"/>
    <w:basedOn w:val="Domylnaczcionkaakapitu"/>
    <w:link w:val="Tekstkomentarza"/>
    <w:uiPriority w:val="99"/>
    <w:rsid w:val="0064487A"/>
    <w:rPr>
      <w:rFonts w:ascii="Times New Roman" w:eastAsia="Times New Roman" w:hAnsi="Times New Roman" w:cs="Times New Roman"/>
      <w:kern w:val="0"/>
      <w:sz w:val="20"/>
      <w:szCs w:val="20"/>
      <w:lang w:eastAsia="pl-PL"/>
      <w14:ligatures w14:val="none"/>
    </w:rPr>
  </w:style>
  <w:style w:type="character" w:styleId="Hipercze">
    <w:name w:val="Hyperlink"/>
    <w:basedOn w:val="Domylnaczcionkaakapitu"/>
    <w:uiPriority w:val="99"/>
    <w:unhideWhenUsed/>
    <w:rsid w:val="00AD0BAC"/>
    <w:rPr>
      <w:color w:val="0000FF"/>
      <w:u w:val="single"/>
    </w:rPr>
  </w:style>
  <w:style w:type="paragraph" w:customStyle="1" w:styleId="Akapitzlist1">
    <w:name w:val="Akapit z listą1"/>
    <w:basedOn w:val="Normalny"/>
    <w:uiPriority w:val="99"/>
    <w:rsid w:val="00383D5D"/>
    <w:pPr>
      <w:spacing w:after="160" w:line="259" w:lineRule="auto"/>
      <w:ind w:left="720"/>
      <w:contextualSpacing/>
    </w:pPr>
    <w:rPr>
      <w:rFonts w:ascii="Calibri" w:eastAsia="Times New Roman" w:hAnsi="Calibri" w:cs="Times New Roman"/>
      <w:kern w:val="0"/>
      <w:sz w:val="21"/>
      <w:szCs w:val="21"/>
      <w:lang w:eastAsia="pl-PL"/>
      <w14:ligatures w14:val="none"/>
    </w:rPr>
  </w:style>
  <w:style w:type="paragraph" w:styleId="Tekstpodstawowy">
    <w:name w:val="Body Text"/>
    <w:basedOn w:val="Normalny"/>
    <w:link w:val="TekstpodstawowyZnak"/>
    <w:qFormat/>
    <w:rsid w:val="00A15C37"/>
    <w:pPr>
      <w:suppressAutoHyphens/>
      <w:jc w:val="both"/>
    </w:pPr>
    <w:rPr>
      <w:rFonts w:ascii="Times New Roman" w:eastAsia="Times New Roman" w:hAnsi="Times New Roman" w:cs="Times New Roman"/>
      <w:kern w:val="0"/>
      <w:sz w:val="24"/>
      <w:szCs w:val="24"/>
      <w:lang w:eastAsia="ar-SA"/>
      <w14:ligatures w14:val="none"/>
    </w:rPr>
  </w:style>
  <w:style w:type="character" w:customStyle="1" w:styleId="TekstpodstawowyZnak">
    <w:name w:val="Tekst podstawowy Znak"/>
    <w:basedOn w:val="Domylnaczcionkaakapitu"/>
    <w:link w:val="Tekstpodstawowy"/>
    <w:rsid w:val="00A15C37"/>
    <w:rPr>
      <w:rFonts w:ascii="Times New Roman" w:eastAsia="Times New Roman" w:hAnsi="Times New Roman" w:cs="Times New Roman"/>
      <w:kern w:val="0"/>
      <w:sz w:val="24"/>
      <w:szCs w:val="24"/>
      <w:lang w:eastAsia="ar-SA"/>
      <w14:ligatures w14:val="none"/>
    </w:rPr>
  </w:style>
  <w:style w:type="paragraph" w:styleId="Nagwekspisutreci">
    <w:name w:val="TOC Heading"/>
    <w:basedOn w:val="Nagwek1"/>
    <w:next w:val="Normalny"/>
    <w:uiPriority w:val="39"/>
    <w:unhideWhenUsed/>
    <w:qFormat/>
    <w:rsid w:val="000A61F4"/>
    <w:pPr>
      <w:spacing w:line="259" w:lineRule="auto"/>
      <w:outlineLvl w:val="9"/>
    </w:pPr>
    <w:rPr>
      <w:kern w:val="0"/>
      <w:lang w:eastAsia="pl-PL"/>
      <w14:ligatures w14:val="none"/>
    </w:rPr>
  </w:style>
  <w:style w:type="paragraph" w:styleId="Spistreci1">
    <w:name w:val="toc 1"/>
    <w:basedOn w:val="Normalny"/>
    <w:next w:val="Normalny"/>
    <w:autoRedefine/>
    <w:uiPriority w:val="39"/>
    <w:unhideWhenUsed/>
    <w:rsid w:val="000A61F4"/>
    <w:pPr>
      <w:spacing w:after="100"/>
    </w:pPr>
  </w:style>
  <w:style w:type="paragraph" w:styleId="Spistreci2">
    <w:name w:val="toc 2"/>
    <w:basedOn w:val="Normalny"/>
    <w:next w:val="Normalny"/>
    <w:autoRedefine/>
    <w:uiPriority w:val="39"/>
    <w:unhideWhenUsed/>
    <w:rsid w:val="000A61F4"/>
    <w:pPr>
      <w:spacing w:after="100"/>
      <w:ind w:left="220"/>
    </w:pPr>
  </w:style>
  <w:style w:type="table" w:customStyle="1" w:styleId="Tabelalisty4akcent31">
    <w:name w:val="Tabela listy 4 — akcent 31"/>
    <w:basedOn w:val="Standardowy"/>
    <w:next w:val="Tabelalisty4akcent32"/>
    <w:uiPriority w:val="49"/>
    <w:rsid w:val="00E2372E"/>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Tabela-Siatka">
    <w:name w:val="Table Grid"/>
    <w:basedOn w:val="Standardowy"/>
    <w:uiPriority w:val="59"/>
    <w:rsid w:val="00E2372E"/>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listy4akcent32">
    <w:name w:val="Tabela listy 4 — akcent 32"/>
    <w:basedOn w:val="Standardowy"/>
    <w:uiPriority w:val="49"/>
    <w:rsid w:val="00E2372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asiatki1jasnaakcent11">
    <w:name w:val="Tabela siatki 1 — jasna — akcent 11"/>
    <w:basedOn w:val="Standardowy"/>
    <w:uiPriority w:val="46"/>
    <w:rsid w:val="00B520BD"/>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Nagwek5Znak">
    <w:name w:val="Nagłówek 5 Znak"/>
    <w:basedOn w:val="Domylnaczcionkaakapitu"/>
    <w:link w:val="Nagwek5"/>
    <w:uiPriority w:val="9"/>
    <w:rsid w:val="00224658"/>
    <w:rPr>
      <w:rFonts w:asciiTheme="majorHAnsi" w:eastAsiaTheme="majorEastAsia" w:hAnsiTheme="majorHAnsi" w:cstheme="majorBidi"/>
      <w:color w:val="2F5496" w:themeColor="accent1" w:themeShade="BF"/>
    </w:rPr>
  </w:style>
  <w:style w:type="character" w:customStyle="1" w:styleId="Nierozpoznanawzmianka1">
    <w:name w:val="Nierozpoznana wzmianka1"/>
    <w:basedOn w:val="Domylnaczcionkaakapitu"/>
    <w:uiPriority w:val="99"/>
    <w:semiHidden/>
    <w:unhideWhenUsed/>
    <w:rsid w:val="00224658"/>
    <w:rPr>
      <w:color w:val="605E5C"/>
      <w:shd w:val="clear" w:color="auto" w:fill="E1DFDD"/>
    </w:rPr>
  </w:style>
  <w:style w:type="paragraph" w:customStyle="1" w:styleId="Styl1Znak">
    <w:name w:val="Styl1 Znak"/>
    <w:basedOn w:val="Normalny"/>
    <w:rsid w:val="00224658"/>
    <w:pPr>
      <w:spacing w:after="100" w:afterAutospacing="1" w:line="264" w:lineRule="auto"/>
      <w:ind w:firstLine="680"/>
      <w:jc w:val="both"/>
    </w:pPr>
    <w:rPr>
      <w:rFonts w:ascii="Times New Roman" w:eastAsia="Times New Roman" w:hAnsi="Times New Roman" w:cs="Times New Roman"/>
      <w:kern w:val="0"/>
      <w:sz w:val="24"/>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224658"/>
    <w:rPr>
      <w:rFonts w:asciiTheme="minorHAnsi" w:eastAsiaTheme="minorHAnsi" w:hAnsiTheme="minorHAnsi" w:cstheme="minorBidi"/>
      <w:b/>
      <w:bCs/>
      <w:kern w:val="2"/>
      <w:lang w:eastAsia="en-US"/>
      <w14:ligatures w14:val="standardContextual"/>
    </w:rPr>
  </w:style>
  <w:style w:type="character" w:customStyle="1" w:styleId="TematkomentarzaZnak">
    <w:name w:val="Temat komentarza Znak"/>
    <w:basedOn w:val="TekstkomentarzaZnak"/>
    <w:link w:val="Tematkomentarza"/>
    <w:uiPriority w:val="99"/>
    <w:semiHidden/>
    <w:rsid w:val="00224658"/>
    <w:rPr>
      <w:rFonts w:ascii="Times New Roman" w:eastAsia="Times New Roman" w:hAnsi="Times New Roman" w:cs="Times New Roman"/>
      <w:b/>
      <w:bCs/>
      <w:kern w:val="0"/>
      <w:sz w:val="20"/>
      <w:szCs w:val="20"/>
      <w:lang w:eastAsia="pl-PL"/>
      <w14:ligatures w14:val="none"/>
    </w:rPr>
  </w:style>
  <w:style w:type="table" w:customStyle="1" w:styleId="Tabela-Siatka1">
    <w:name w:val="Tabela - Siatka1"/>
    <w:basedOn w:val="Standardowy"/>
    <w:next w:val="Tabela-Siatka"/>
    <w:uiPriority w:val="39"/>
    <w:rsid w:val="00224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224658"/>
    <w:pPr>
      <w:widowControl w:val="0"/>
      <w:autoSpaceDE w:val="0"/>
      <w:autoSpaceDN w:val="0"/>
      <w:spacing w:line="269" w:lineRule="exact"/>
      <w:ind w:left="427" w:hanging="284"/>
    </w:pPr>
    <w:rPr>
      <w:rFonts w:ascii="Times New Roman" w:eastAsia="Times New Roman" w:hAnsi="Times New Roman" w:cs="Times New Roman"/>
      <w:kern w:val="0"/>
      <w14:ligatures w14:val="none"/>
    </w:rPr>
  </w:style>
  <w:style w:type="paragraph" w:styleId="Bezodstpw">
    <w:name w:val="No Spacing"/>
    <w:link w:val="BezodstpwZnak"/>
    <w:uiPriority w:val="1"/>
    <w:qFormat/>
    <w:rsid w:val="00224658"/>
    <w:rPr>
      <w:kern w:val="0"/>
      <w14:ligatures w14:val="none"/>
    </w:rPr>
  </w:style>
  <w:style w:type="character" w:customStyle="1" w:styleId="AkapitzlistZnak">
    <w:name w:val="Akapit z listą Znak"/>
    <w:aliases w:val="L1 Znak,Numerowanie Znak,List Paragraph Znak,Akapit z listą BS Znak,Kolorowa lista — akcent 11 Znak,Normal Znak,maz_wyliczenie Znak,opis dzialania Znak,K-P_odwolanie Znak,A_wyliczenie Znak,Akapit z listą5 Znak,Obiekt Znak"/>
    <w:link w:val="Akapitzlist"/>
    <w:uiPriority w:val="34"/>
    <w:qFormat/>
    <w:locked/>
    <w:rsid w:val="00224658"/>
  </w:style>
  <w:style w:type="paragraph" w:styleId="Tekstprzypisudolnego">
    <w:name w:val="footnote text"/>
    <w:aliases w:val="Podrozdział,Podrozdzia3,Footnote,-E Fuﬂnotentext,Fuﬂnotentext Ursprung,Fußnotentext Ursprung,-E Fußnotentext,Fußnote,Footnote text,Tekst przypisu Znak Znak Znak Znak,Tekst przypisu Znak Znak Znak Znak Znak,Podrozdzia3 Znak Znak"/>
    <w:basedOn w:val="Normalny"/>
    <w:link w:val="TekstprzypisudolnegoZnak"/>
    <w:uiPriority w:val="99"/>
    <w:unhideWhenUsed/>
    <w:qFormat/>
    <w:rsid w:val="00224658"/>
    <w:rPr>
      <w:kern w:val="0"/>
      <w:sz w:val="20"/>
      <w:szCs w:val="20"/>
      <w14:ligatures w14:val="none"/>
    </w:rPr>
  </w:style>
  <w:style w:type="character" w:customStyle="1" w:styleId="TekstprzypisudolnegoZnak">
    <w:name w:val="Tekst przypisu dolnego Znak"/>
    <w:aliases w:val="Podrozdział Znak,Podrozdzia3 Znak,Footnote Znak,-E Fuﬂnotentext Znak,Fuﬂnotentext Ursprung Znak,Fußnotentext Ursprung Znak,-E Fußnotentext Znak,Fußnote Znak,Footnote text Znak,Tekst przypisu Znak Znak Znak Znak Znak1"/>
    <w:basedOn w:val="Domylnaczcionkaakapitu"/>
    <w:link w:val="Tekstprzypisudolnego"/>
    <w:uiPriority w:val="99"/>
    <w:rsid w:val="00224658"/>
    <w:rPr>
      <w:kern w:val="0"/>
      <w:sz w:val="20"/>
      <w:szCs w:val="20"/>
      <w14:ligatures w14:val="none"/>
    </w:rPr>
  </w:style>
  <w:style w:type="character" w:styleId="Odwoanieprzypisudolnego">
    <w:name w:val="footnote reference"/>
    <w:aliases w:val="Odwołanie przypisu,Footnote Reference Number,Odwołanie przypisu1,Odwołanie przypisu2"/>
    <w:basedOn w:val="Domylnaczcionkaakapitu"/>
    <w:uiPriority w:val="99"/>
    <w:unhideWhenUsed/>
    <w:rsid w:val="00224658"/>
    <w:rPr>
      <w:vertAlign w:val="superscript"/>
    </w:rPr>
  </w:style>
  <w:style w:type="paragraph" w:styleId="Spistreci3">
    <w:name w:val="toc 3"/>
    <w:basedOn w:val="Normalny"/>
    <w:next w:val="Normalny"/>
    <w:autoRedefine/>
    <w:uiPriority w:val="39"/>
    <w:unhideWhenUsed/>
    <w:rsid w:val="007E3E1A"/>
    <w:pPr>
      <w:spacing w:after="100" w:line="259" w:lineRule="auto"/>
      <w:ind w:left="440"/>
    </w:pPr>
    <w:rPr>
      <w:rFonts w:eastAsiaTheme="minorEastAsia" w:cs="Times New Roman"/>
      <w:kern w:val="0"/>
      <w:lang w:eastAsia="pl-PL"/>
      <w14:ligatures w14:val="none"/>
    </w:rPr>
  </w:style>
  <w:style w:type="table" w:customStyle="1" w:styleId="Tabela-Siatka2">
    <w:name w:val="Tabela - Siatka2"/>
    <w:basedOn w:val="Standardowy"/>
    <w:next w:val="Tabela-Siatka"/>
    <w:uiPriority w:val="39"/>
    <w:rsid w:val="002B0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111">
    <w:name w:val="Zwykła tabela 111"/>
    <w:basedOn w:val="Standardowy"/>
    <w:next w:val="Zwykatabela11"/>
    <w:uiPriority w:val="41"/>
    <w:rsid w:val="00857736"/>
    <w:rPr>
      <w:rFonts w:ascii="Calibri"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Zwykatabela11">
    <w:name w:val="Zwykła tabela 11"/>
    <w:basedOn w:val="Standardowy"/>
    <w:uiPriority w:val="41"/>
    <w:rsid w:val="0085773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ierozpoznanawzmianka2">
    <w:name w:val="Nierozpoznana wzmianka2"/>
    <w:basedOn w:val="Domylnaczcionkaakapitu"/>
    <w:uiPriority w:val="99"/>
    <w:semiHidden/>
    <w:unhideWhenUsed/>
    <w:rsid w:val="00E924BA"/>
    <w:rPr>
      <w:color w:val="605E5C"/>
      <w:shd w:val="clear" w:color="auto" w:fill="E1DFDD"/>
    </w:rPr>
  </w:style>
  <w:style w:type="character" w:customStyle="1" w:styleId="Nagwek4Znak">
    <w:name w:val="Nagłówek 4 Znak"/>
    <w:basedOn w:val="Domylnaczcionkaakapitu"/>
    <w:link w:val="Nagwek4"/>
    <w:rsid w:val="002C63F4"/>
    <w:rPr>
      <w:rFonts w:ascii="Calibri" w:eastAsiaTheme="majorEastAsia" w:hAnsi="Calibri" w:cstheme="majorBidi"/>
      <w:b/>
      <w:iCs/>
      <w:noProof/>
      <w:kern w:val="0"/>
      <w:sz w:val="24"/>
      <w14:ligatures w14:val="none"/>
    </w:rPr>
  </w:style>
  <w:style w:type="numbering" w:customStyle="1" w:styleId="Bezlisty1">
    <w:name w:val="Bez listy1"/>
    <w:next w:val="Bezlisty"/>
    <w:uiPriority w:val="99"/>
    <w:semiHidden/>
    <w:unhideWhenUsed/>
    <w:rsid w:val="002C63F4"/>
  </w:style>
  <w:style w:type="paragraph" w:customStyle="1" w:styleId="Paragraf0">
    <w:name w:val="Paragraf"/>
    <w:basedOn w:val="Normalny"/>
    <w:qFormat/>
    <w:rsid w:val="002C63F4"/>
    <w:pPr>
      <w:numPr>
        <w:numId w:val="23"/>
      </w:numPr>
      <w:spacing w:before="240" w:after="120"/>
      <w:jc w:val="center"/>
    </w:pPr>
    <w:rPr>
      <w:rFonts w:ascii="Arial" w:eastAsia="Times New Roman" w:hAnsi="Arial" w:cs="Arial"/>
      <w:b/>
      <w:kern w:val="0"/>
      <w:sz w:val="24"/>
      <w:szCs w:val="24"/>
      <w:lang w:eastAsia="pl-PL"/>
      <w14:ligatures w14:val="none"/>
    </w:rPr>
  </w:style>
  <w:style w:type="paragraph" w:customStyle="1" w:styleId="Ustp0">
    <w:name w:val="Ustęp0"/>
    <w:basedOn w:val="Normalny"/>
    <w:qFormat/>
    <w:rsid w:val="002C63F4"/>
    <w:pPr>
      <w:numPr>
        <w:ilvl w:val="1"/>
        <w:numId w:val="23"/>
      </w:numPr>
      <w:spacing w:before="60"/>
      <w:jc w:val="both"/>
    </w:pPr>
    <w:rPr>
      <w:rFonts w:ascii="Times New Roman" w:eastAsia="Times New Roman" w:hAnsi="Times New Roman" w:cs="Times New Roman"/>
      <w:kern w:val="0"/>
      <w:sz w:val="26"/>
      <w:szCs w:val="20"/>
      <w:lang w:eastAsia="pl-PL"/>
      <w14:ligatures w14:val="none"/>
    </w:rPr>
  </w:style>
  <w:style w:type="paragraph" w:customStyle="1" w:styleId="Ustp">
    <w:name w:val="Ustęp"/>
    <w:basedOn w:val="Normalny"/>
    <w:qFormat/>
    <w:rsid w:val="002C63F4"/>
    <w:pPr>
      <w:numPr>
        <w:ilvl w:val="2"/>
        <w:numId w:val="23"/>
      </w:numPr>
      <w:spacing w:before="60"/>
      <w:jc w:val="both"/>
    </w:pPr>
    <w:rPr>
      <w:rFonts w:ascii="Times New Roman" w:eastAsia="Times New Roman" w:hAnsi="Times New Roman" w:cs="Times New Roman"/>
      <w:kern w:val="0"/>
      <w:sz w:val="26"/>
      <w:szCs w:val="20"/>
      <w:lang w:eastAsia="pl-PL"/>
      <w14:ligatures w14:val="none"/>
    </w:rPr>
  </w:style>
  <w:style w:type="paragraph" w:customStyle="1" w:styleId="Punkt">
    <w:name w:val="Punkt"/>
    <w:basedOn w:val="Normalny"/>
    <w:qFormat/>
    <w:rsid w:val="002C63F4"/>
    <w:pPr>
      <w:numPr>
        <w:ilvl w:val="3"/>
        <w:numId w:val="23"/>
      </w:numPr>
      <w:jc w:val="both"/>
    </w:pPr>
    <w:rPr>
      <w:rFonts w:ascii="Times New Roman" w:eastAsia="Times New Roman" w:hAnsi="Times New Roman" w:cs="Times New Roman"/>
      <w:kern w:val="0"/>
      <w:sz w:val="26"/>
      <w:szCs w:val="20"/>
      <w:lang w:eastAsia="pl-PL"/>
      <w14:ligatures w14:val="none"/>
    </w:rPr>
  </w:style>
  <w:style w:type="paragraph" w:customStyle="1" w:styleId="Litera">
    <w:name w:val="Litera"/>
    <w:basedOn w:val="Normalny"/>
    <w:qFormat/>
    <w:rsid w:val="002C63F4"/>
    <w:pPr>
      <w:numPr>
        <w:ilvl w:val="5"/>
        <w:numId w:val="23"/>
      </w:numPr>
      <w:jc w:val="both"/>
    </w:pPr>
    <w:rPr>
      <w:rFonts w:ascii="Times New Roman" w:eastAsia="Times New Roman" w:hAnsi="Times New Roman" w:cs="Times New Roman"/>
      <w:kern w:val="0"/>
      <w:sz w:val="26"/>
      <w:szCs w:val="20"/>
      <w:lang w:eastAsia="pl-PL"/>
      <w14:ligatures w14:val="none"/>
    </w:rPr>
  </w:style>
  <w:style w:type="paragraph" w:customStyle="1" w:styleId="Zdanie">
    <w:name w:val="Zdanie"/>
    <w:basedOn w:val="Normalny"/>
    <w:qFormat/>
    <w:rsid w:val="002C63F4"/>
    <w:pPr>
      <w:numPr>
        <w:ilvl w:val="7"/>
        <w:numId w:val="23"/>
      </w:numPr>
      <w:jc w:val="both"/>
    </w:pPr>
    <w:rPr>
      <w:rFonts w:ascii="Times New Roman" w:eastAsia="Times New Roman" w:hAnsi="Times New Roman" w:cs="Times New Roman"/>
      <w:kern w:val="0"/>
      <w:sz w:val="26"/>
      <w:szCs w:val="20"/>
      <w:lang w:eastAsia="pl-PL"/>
      <w14:ligatures w14:val="none"/>
    </w:rPr>
  </w:style>
  <w:style w:type="paragraph" w:styleId="Nagwek">
    <w:name w:val="header"/>
    <w:aliases w:val=" Znak"/>
    <w:basedOn w:val="Normalny"/>
    <w:link w:val="NagwekZnak"/>
    <w:uiPriority w:val="99"/>
    <w:unhideWhenUsed/>
    <w:rsid w:val="002C63F4"/>
    <w:pPr>
      <w:tabs>
        <w:tab w:val="center" w:pos="4536"/>
        <w:tab w:val="right" w:pos="9072"/>
      </w:tabs>
      <w:ind w:left="851"/>
    </w:pPr>
    <w:rPr>
      <w:kern w:val="0"/>
      <w:sz w:val="24"/>
      <w14:ligatures w14:val="none"/>
    </w:rPr>
  </w:style>
  <w:style w:type="character" w:customStyle="1" w:styleId="NagwekZnak">
    <w:name w:val="Nagłówek Znak"/>
    <w:aliases w:val=" Znak Znak"/>
    <w:basedOn w:val="Domylnaczcionkaakapitu"/>
    <w:link w:val="Nagwek"/>
    <w:uiPriority w:val="99"/>
    <w:rsid w:val="002C63F4"/>
    <w:rPr>
      <w:kern w:val="0"/>
      <w:sz w:val="24"/>
      <w14:ligatures w14:val="none"/>
    </w:rPr>
  </w:style>
  <w:style w:type="paragraph" w:styleId="Stopka">
    <w:name w:val="footer"/>
    <w:basedOn w:val="Normalny"/>
    <w:link w:val="StopkaZnak"/>
    <w:uiPriority w:val="99"/>
    <w:unhideWhenUsed/>
    <w:rsid w:val="002C63F4"/>
    <w:pPr>
      <w:tabs>
        <w:tab w:val="center" w:pos="4536"/>
        <w:tab w:val="right" w:pos="9072"/>
      </w:tabs>
      <w:ind w:left="851"/>
    </w:pPr>
    <w:rPr>
      <w:kern w:val="0"/>
      <w:sz w:val="24"/>
      <w14:ligatures w14:val="none"/>
    </w:rPr>
  </w:style>
  <w:style w:type="character" w:customStyle="1" w:styleId="StopkaZnak">
    <w:name w:val="Stopka Znak"/>
    <w:basedOn w:val="Domylnaczcionkaakapitu"/>
    <w:link w:val="Stopka"/>
    <w:uiPriority w:val="99"/>
    <w:rsid w:val="002C63F4"/>
    <w:rPr>
      <w:kern w:val="0"/>
      <w:sz w:val="24"/>
      <w14:ligatures w14:val="none"/>
    </w:rPr>
  </w:style>
  <w:style w:type="paragraph" w:styleId="Tekstdymka">
    <w:name w:val="Balloon Text"/>
    <w:basedOn w:val="Normalny"/>
    <w:link w:val="TekstdymkaZnak"/>
    <w:uiPriority w:val="99"/>
    <w:semiHidden/>
    <w:unhideWhenUsed/>
    <w:rsid w:val="002C63F4"/>
    <w:pPr>
      <w:ind w:left="851"/>
    </w:pPr>
    <w:rPr>
      <w:rFonts w:ascii="Segoe UI" w:hAnsi="Segoe UI" w:cs="Segoe UI"/>
      <w:kern w:val="0"/>
      <w:sz w:val="18"/>
      <w:szCs w:val="18"/>
      <w14:ligatures w14:val="none"/>
    </w:rPr>
  </w:style>
  <w:style w:type="character" w:customStyle="1" w:styleId="TekstdymkaZnak">
    <w:name w:val="Tekst dymka Znak"/>
    <w:basedOn w:val="Domylnaczcionkaakapitu"/>
    <w:link w:val="Tekstdymka"/>
    <w:uiPriority w:val="99"/>
    <w:semiHidden/>
    <w:rsid w:val="002C63F4"/>
    <w:rPr>
      <w:rFonts w:ascii="Segoe UI" w:hAnsi="Segoe UI" w:cs="Segoe UI"/>
      <w:kern w:val="0"/>
      <w:sz w:val="18"/>
      <w:szCs w:val="18"/>
      <w14:ligatures w14:val="none"/>
    </w:rPr>
  </w:style>
  <w:style w:type="table" w:styleId="Jasnalistaakcent3">
    <w:name w:val="Light List Accent 3"/>
    <w:basedOn w:val="Standardowy"/>
    <w:uiPriority w:val="61"/>
    <w:rsid w:val="002C63F4"/>
    <w:rPr>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Tabelasiatki4akcent31">
    <w:name w:val="Tabela siatki 4 — akcent 31"/>
    <w:basedOn w:val="Standardowy"/>
    <w:uiPriority w:val="49"/>
    <w:rsid w:val="003260B4"/>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agwek6Znak">
    <w:name w:val="Nagłówek 6 Znak"/>
    <w:basedOn w:val="Domylnaczcionkaakapitu"/>
    <w:link w:val="Nagwek6"/>
    <w:rsid w:val="0071475D"/>
    <w:rPr>
      <w:rFonts w:asciiTheme="majorHAnsi" w:eastAsiaTheme="majorEastAsia" w:hAnsiTheme="majorHAnsi" w:cstheme="majorBidi"/>
      <w:color w:val="1F3763" w:themeColor="accent1" w:themeShade="7F"/>
      <w:kern w:val="0"/>
      <w:sz w:val="24"/>
      <w:szCs w:val="24"/>
      <w:lang w:eastAsia="pl-PL"/>
      <w14:ligatures w14:val="none"/>
    </w:rPr>
  </w:style>
  <w:style w:type="character" w:customStyle="1" w:styleId="Nagwek7Znak">
    <w:name w:val="Nagłówek 7 Znak"/>
    <w:basedOn w:val="Domylnaczcionkaakapitu"/>
    <w:link w:val="Nagwek7"/>
    <w:uiPriority w:val="9"/>
    <w:rsid w:val="0071475D"/>
    <w:rPr>
      <w:rFonts w:asciiTheme="majorHAnsi" w:eastAsiaTheme="majorEastAsia" w:hAnsiTheme="majorHAnsi" w:cstheme="majorBidi"/>
      <w:i/>
      <w:iCs/>
      <w:color w:val="1F3763" w:themeColor="accent1" w:themeShade="7F"/>
      <w:kern w:val="0"/>
      <w:sz w:val="24"/>
      <w:szCs w:val="24"/>
      <w:lang w:eastAsia="pl-PL"/>
      <w14:ligatures w14:val="none"/>
    </w:rPr>
  </w:style>
  <w:style w:type="character" w:customStyle="1" w:styleId="Nagwek8Znak">
    <w:name w:val="Nagłówek 8 Znak"/>
    <w:basedOn w:val="Domylnaczcionkaakapitu"/>
    <w:link w:val="Nagwek8"/>
    <w:uiPriority w:val="9"/>
    <w:semiHidden/>
    <w:rsid w:val="0071475D"/>
    <w:rPr>
      <w:rFonts w:asciiTheme="majorHAnsi" w:eastAsiaTheme="majorEastAsia" w:hAnsiTheme="majorHAnsi" w:cstheme="majorBidi"/>
      <w:color w:val="272727" w:themeColor="text1" w:themeTint="D8"/>
      <w:kern w:val="0"/>
      <w:sz w:val="21"/>
      <w:szCs w:val="21"/>
      <w:lang w:eastAsia="pl-PL"/>
      <w14:ligatures w14:val="none"/>
    </w:rPr>
  </w:style>
  <w:style w:type="character" w:customStyle="1" w:styleId="Nagwek9Znak">
    <w:name w:val="Nagłówek 9 Znak"/>
    <w:basedOn w:val="Domylnaczcionkaakapitu"/>
    <w:link w:val="Nagwek9"/>
    <w:uiPriority w:val="9"/>
    <w:semiHidden/>
    <w:rsid w:val="0071475D"/>
    <w:rPr>
      <w:rFonts w:asciiTheme="majorHAnsi" w:eastAsiaTheme="majorEastAsia" w:hAnsiTheme="majorHAnsi" w:cstheme="majorBidi"/>
      <w:i/>
      <w:iCs/>
      <w:color w:val="272727" w:themeColor="text1" w:themeTint="D8"/>
      <w:kern w:val="0"/>
      <w:sz w:val="21"/>
      <w:szCs w:val="21"/>
      <w:lang w:eastAsia="pl-PL"/>
      <w14:ligatures w14:val="none"/>
    </w:rPr>
  </w:style>
  <w:style w:type="paragraph" w:customStyle="1" w:styleId="Styl">
    <w:name w:val="Styl"/>
    <w:rsid w:val="0071475D"/>
    <w:pPr>
      <w:widowControl w:val="0"/>
      <w:autoSpaceDE w:val="0"/>
      <w:autoSpaceDN w:val="0"/>
      <w:adjustRightInd w:val="0"/>
    </w:pPr>
    <w:rPr>
      <w:rFonts w:ascii="Times New Roman" w:eastAsia="Times New Roman" w:hAnsi="Times New Roman" w:cs="Times New Roman"/>
      <w:kern w:val="0"/>
      <w:sz w:val="24"/>
      <w:szCs w:val="24"/>
      <w:lang w:eastAsia="pl-PL"/>
      <w14:ligatures w14:val="none"/>
    </w:rPr>
  </w:style>
  <w:style w:type="table" w:styleId="rednialista1">
    <w:name w:val="Medium List 1"/>
    <w:basedOn w:val="Standardowy"/>
    <w:uiPriority w:val="65"/>
    <w:rsid w:val="0071475D"/>
    <w:rPr>
      <w:color w:val="000000" w:themeColor="text1"/>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Jasnecieniowanie">
    <w:name w:val="Light Shading"/>
    <w:basedOn w:val="Standardowy"/>
    <w:uiPriority w:val="60"/>
    <w:rsid w:val="0071475D"/>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Zagicieodgryformularza">
    <w:name w:val="HTML Top of Form"/>
    <w:basedOn w:val="Normalny"/>
    <w:next w:val="Normalny"/>
    <w:link w:val="ZagicieodgryformularzaZnak"/>
    <w:hidden/>
    <w:uiPriority w:val="99"/>
    <w:semiHidden/>
    <w:unhideWhenUsed/>
    <w:rsid w:val="0071475D"/>
    <w:pPr>
      <w:pBdr>
        <w:bottom w:val="single" w:sz="6" w:space="1" w:color="auto"/>
      </w:pBdr>
      <w:jc w:val="center"/>
    </w:pPr>
    <w:rPr>
      <w:rFonts w:ascii="Arial" w:eastAsia="Times New Roman" w:hAnsi="Arial" w:cs="Arial"/>
      <w:vanish/>
      <w:kern w:val="0"/>
      <w:sz w:val="16"/>
      <w:szCs w:val="16"/>
      <w:lang w:eastAsia="pl-PL"/>
      <w14:ligatures w14:val="none"/>
    </w:rPr>
  </w:style>
  <w:style w:type="character" w:customStyle="1" w:styleId="ZagicieodgryformularzaZnak">
    <w:name w:val="Zagięcie od góry formularza Znak"/>
    <w:basedOn w:val="Domylnaczcionkaakapitu"/>
    <w:link w:val="Zagicieodgryformularza"/>
    <w:uiPriority w:val="99"/>
    <w:semiHidden/>
    <w:rsid w:val="0071475D"/>
    <w:rPr>
      <w:rFonts w:ascii="Arial" w:eastAsia="Times New Roman" w:hAnsi="Arial" w:cs="Arial"/>
      <w:vanish/>
      <w:kern w:val="0"/>
      <w:sz w:val="16"/>
      <w:szCs w:val="16"/>
      <w:lang w:eastAsia="pl-PL"/>
      <w14:ligatures w14:val="none"/>
    </w:rPr>
  </w:style>
  <w:style w:type="table" w:customStyle="1" w:styleId="Zwykatabela51">
    <w:name w:val="Zwykła tabela 51"/>
    <w:basedOn w:val="Standardowy"/>
    <w:uiPriority w:val="45"/>
    <w:rsid w:val="0071475D"/>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Zwykatabela31">
    <w:name w:val="Zwykła tabela 31"/>
    <w:basedOn w:val="Standardowy"/>
    <w:uiPriority w:val="43"/>
    <w:rsid w:val="0071475D"/>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i3akcent51">
    <w:name w:val="Tabela siatki 3 — akcent 51"/>
    <w:basedOn w:val="Standardowy"/>
    <w:uiPriority w:val="48"/>
    <w:rsid w:val="0071475D"/>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Tabelasiatki4akcent51">
    <w:name w:val="Tabela siatki 4 — akcent 51"/>
    <w:basedOn w:val="Standardowy"/>
    <w:uiPriority w:val="49"/>
    <w:rsid w:val="0071475D"/>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listy7kolorowa1">
    <w:name w:val="Tabela listy 7 — kolorowa1"/>
    <w:basedOn w:val="Standardowy"/>
    <w:uiPriority w:val="52"/>
    <w:rsid w:val="0071475D"/>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egenda">
    <w:name w:val="caption"/>
    <w:aliases w:val="Tabela"/>
    <w:basedOn w:val="Normalny"/>
    <w:next w:val="Normalny"/>
    <w:link w:val="LegendaZnak"/>
    <w:uiPriority w:val="35"/>
    <w:qFormat/>
    <w:rsid w:val="0071475D"/>
    <w:rPr>
      <w:rFonts w:ascii="Times New Roman" w:eastAsia="Times New Roman" w:hAnsi="Times New Roman" w:cs="Times New Roman"/>
      <w:b/>
      <w:bCs/>
      <w:color w:val="002060"/>
      <w:kern w:val="0"/>
      <w:sz w:val="20"/>
      <w:szCs w:val="20"/>
      <w:lang w:eastAsia="pl-PL"/>
      <w14:ligatures w14:val="none"/>
    </w:rPr>
  </w:style>
  <w:style w:type="table" w:customStyle="1" w:styleId="Tabelasiatki1jasnaakcent51">
    <w:name w:val="Tabela siatki 1 — jasna — akcent 51"/>
    <w:basedOn w:val="Standardowy"/>
    <w:uiPriority w:val="46"/>
    <w:rsid w:val="0071475D"/>
    <w:rPr>
      <w:kern w:val="0"/>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elasiatki1jasnaakcent110">
    <w:name w:val="Tabela siatki 1 — jasna — akcent 11"/>
    <w:basedOn w:val="Standardowy"/>
    <w:uiPriority w:val="46"/>
    <w:rsid w:val="0071475D"/>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listy3akcent11">
    <w:name w:val="Tabela listy 3 — akcent 11"/>
    <w:basedOn w:val="Standardowy"/>
    <w:uiPriority w:val="48"/>
    <w:rsid w:val="0071475D"/>
    <w:rPr>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elalisty3akcent51">
    <w:name w:val="Tabela listy 3 — akcent 51"/>
    <w:basedOn w:val="Standardowy"/>
    <w:uiPriority w:val="48"/>
    <w:rsid w:val="0071475D"/>
    <w:rPr>
      <w:kern w:val="0"/>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Tabelalisty4akcent51">
    <w:name w:val="Tabela listy 4 — akcent 51"/>
    <w:basedOn w:val="Standardowy"/>
    <w:uiPriority w:val="49"/>
    <w:rsid w:val="0071475D"/>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odpis">
    <w:name w:val="podpis"/>
    <w:basedOn w:val="Normalny"/>
    <w:autoRedefine/>
    <w:qFormat/>
    <w:rsid w:val="0071475D"/>
    <w:pPr>
      <w:spacing w:before="240" w:after="120"/>
      <w:contextualSpacing/>
    </w:pPr>
    <w:rPr>
      <w:rFonts w:ascii="Times New Roman" w:eastAsia="Times New Roman" w:hAnsi="Times New Roman" w:cs="Times New Roman"/>
      <w:i/>
      <w:kern w:val="0"/>
      <w:sz w:val="24"/>
      <w:szCs w:val="24"/>
      <w:lang w:eastAsia="pl-PL"/>
      <w14:ligatures w14:val="none"/>
    </w:rPr>
  </w:style>
  <w:style w:type="paragraph" w:customStyle="1" w:styleId="rdo">
    <w:name w:val="źródło"/>
    <w:basedOn w:val="Legenda"/>
    <w:qFormat/>
    <w:rsid w:val="0071475D"/>
    <w:pPr>
      <w:spacing w:before="120" w:after="240"/>
      <w:contextualSpacing/>
    </w:pPr>
    <w:rPr>
      <w:rFonts w:asciiTheme="minorHAnsi" w:eastAsiaTheme="minorHAnsi" w:hAnsiTheme="minorHAnsi" w:cstheme="minorHAnsi"/>
      <w:b w:val="0"/>
      <w:color w:val="4472C4" w:themeColor="accent1"/>
      <w:szCs w:val="24"/>
      <w:lang w:eastAsia="en-US"/>
    </w:rPr>
  </w:style>
  <w:style w:type="table" w:customStyle="1" w:styleId="Jasnecieniowanieakcent11">
    <w:name w:val="Jasne cieniowanie — akcent 11"/>
    <w:basedOn w:val="Standardowy"/>
    <w:uiPriority w:val="60"/>
    <w:rsid w:val="0071475D"/>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Lines="0" w:beforeAutospacing="0" w:afterLines="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Siatkatabelijasna1">
    <w:name w:val="Siatka tabeli — jasna1"/>
    <w:basedOn w:val="Standardowy"/>
    <w:uiPriority w:val="40"/>
    <w:rsid w:val="0071475D"/>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5ciemnaakcent51">
    <w:name w:val="Tabela siatki 5 — ciemna — akcent 51"/>
    <w:basedOn w:val="Standardowy"/>
    <w:uiPriority w:val="50"/>
    <w:rsid w:val="0071475D"/>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elasiatki5ciemnaakcent11">
    <w:name w:val="Tabela siatki 5 — ciemna — akcent 11"/>
    <w:basedOn w:val="Standardowy"/>
    <w:uiPriority w:val="50"/>
    <w:rsid w:val="0071475D"/>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Listapunktowana">
    <w:name w:val="List Bullet"/>
    <w:basedOn w:val="Normalny"/>
    <w:semiHidden/>
    <w:unhideWhenUsed/>
    <w:rsid w:val="0071475D"/>
    <w:pPr>
      <w:numPr>
        <w:numId w:val="28"/>
      </w:numPr>
    </w:pPr>
    <w:rPr>
      <w:rFonts w:ascii="Times New Roman" w:eastAsia="Times New Roman" w:hAnsi="Times New Roman" w:cs="Times New Roman"/>
      <w:kern w:val="0"/>
      <w:sz w:val="24"/>
      <w:szCs w:val="24"/>
      <w:lang w:eastAsia="pl-PL"/>
      <w14:ligatures w14:val="none"/>
    </w:rPr>
  </w:style>
  <w:style w:type="paragraph" w:styleId="Tekstpodstawowywcity">
    <w:name w:val="Body Text Indent"/>
    <w:basedOn w:val="Normalny"/>
    <w:link w:val="TekstpodstawowywcityZnak"/>
    <w:rsid w:val="0071475D"/>
    <w:pPr>
      <w:spacing w:after="120"/>
      <w:ind w:left="283"/>
    </w:pPr>
    <w:rPr>
      <w:rFonts w:ascii="Times New Roman" w:eastAsia="Times New Roman" w:hAnsi="Times New Roman" w:cs="Times New Roman"/>
      <w:kern w:val="0"/>
      <w:sz w:val="24"/>
      <w:szCs w:val="24"/>
      <w:lang w:eastAsia="pl-PL"/>
      <w14:ligatures w14:val="none"/>
    </w:rPr>
  </w:style>
  <w:style w:type="character" w:customStyle="1" w:styleId="TekstpodstawowywcityZnak">
    <w:name w:val="Tekst podstawowy wcięty Znak"/>
    <w:basedOn w:val="Domylnaczcionkaakapitu"/>
    <w:link w:val="Tekstpodstawowywcity"/>
    <w:rsid w:val="0071475D"/>
    <w:rPr>
      <w:rFonts w:ascii="Times New Roman" w:eastAsia="Times New Roman" w:hAnsi="Times New Roman" w:cs="Times New Roman"/>
      <w:kern w:val="0"/>
      <w:sz w:val="24"/>
      <w:szCs w:val="24"/>
      <w:lang w:eastAsia="pl-PL"/>
      <w14:ligatures w14:val="none"/>
    </w:rPr>
  </w:style>
  <w:style w:type="table" w:customStyle="1" w:styleId="Tabelalisty6kolorowaakcent51">
    <w:name w:val="Tabela listy 6 — kolorowa — akcent 51"/>
    <w:basedOn w:val="Standardowy"/>
    <w:uiPriority w:val="51"/>
    <w:rsid w:val="0071475D"/>
    <w:rPr>
      <w:color w:val="2E74B5" w:themeColor="accent5" w:themeShade="BF"/>
      <w:kern w:val="0"/>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Poprawka">
    <w:name w:val="Revision"/>
    <w:hidden/>
    <w:uiPriority w:val="99"/>
    <w:semiHidden/>
    <w:rsid w:val="0071475D"/>
    <w:rPr>
      <w:kern w:val="0"/>
      <w14:ligatures w14:val="none"/>
    </w:rPr>
  </w:style>
  <w:style w:type="table" w:customStyle="1" w:styleId="Jasnalistaakcent11">
    <w:name w:val="Jasna lista — akcent 11"/>
    <w:basedOn w:val="Standardowy"/>
    <w:uiPriority w:val="61"/>
    <w:rsid w:val="0071475D"/>
    <w:rPr>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Jasnalista1">
    <w:name w:val="Jasna lista1"/>
    <w:basedOn w:val="Standardowy"/>
    <w:uiPriority w:val="61"/>
    <w:rsid w:val="0071475D"/>
    <w:rPr>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Jasnasiatka1">
    <w:name w:val="Jasna siatka1"/>
    <w:basedOn w:val="Standardowy"/>
    <w:uiPriority w:val="62"/>
    <w:rsid w:val="0071475D"/>
    <w:rPr>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redniecieniowanie11">
    <w:name w:val="Średnie cieniowanie 11"/>
    <w:basedOn w:val="Standardowy"/>
    <w:uiPriority w:val="63"/>
    <w:rsid w:val="0071475D"/>
    <w:rPr>
      <w:kern w:val="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Jasnasiatkaakcent11">
    <w:name w:val="Jasna siatka — akcent 11"/>
    <w:basedOn w:val="Standardowy"/>
    <w:uiPriority w:val="62"/>
    <w:rsid w:val="0071475D"/>
    <w:rPr>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redniecieniowanie1akcent4">
    <w:name w:val="Medium Shading 1 Accent 4"/>
    <w:basedOn w:val="Standardowy"/>
    <w:uiPriority w:val="63"/>
    <w:rsid w:val="0071475D"/>
    <w:rPr>
      <w:kern w:val="0"/>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customStyle="1" w:styleId="redniecieniowanie1akcent11">
    <w:name w:val="Średnie cieniowanie 1 — akcent 11"/>
    <w:basedOn w:val="Standardowy"/>
    <w:uiPriority w:val="63"/>
    <w:rsid w:val="0071475D"/>
    <w:rPr>
      <w:kern w:val="0"/>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styleId="Spisilustracji">
    <w:name w:val="table of figures"/>
    <w:basedOn w:val="Normalny"/>
    <w:next w:val="Normalny"/>
    <w:link w:val="SpisilustracjiZnak"/>
    <w:uiPriority w:val="99"/>
    <w:unhideWhenUsed/>
    <w:qFormat/>
    <w:rsid w:val="0071475D"/>
    <w:rPr>
      <w:rFonts w:ascii="Times New Roman" w:eastAsia="Times New Roman" w:hAnsi="Times New Roman" w:cs="Times New Roman"/>
      <w:kern w:val="0"/>
      <w:sz w:val="24"/>
      <w:szCs w:val="24"/>
      <w:lang w:eastAsia="pl-PL"/>
      <w14:ligatures w14:val="none"/>
    </w:rPr>
  </w:style>
  <w:style w:type="table" w:styleId="rednialista1akcent5">
    <w:name w:val="Medium List 1 Accent 5"/>
    <w:basedOn w:val="Standardowy"/>
    <w:uiPriority w:val="65"/>
    <w:rsid w:val="0071475D"/>
    <w:rPr>
      <w:color w:val="000000" w:themeColor="text1"/>
      <w:kern w:val="0"/>
      <w14:ligatures w14:val="none"/>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character" w:customStyle="1" w:styleId="HTML-wstpniesformatowanyZnak">
    <w:name w:val="HTML - wstępnie sformatowany Znak"/>
    <w:basedOn w:val="Domylnaczcionkaakapitu"/>
    <w:link w:val="HTML-wstpniesformatowany"/>
    <w:uiPriority w:val="99"/>
    <w:semiHidden/>
    <w:rsid w:val="0071475D"/>
    <w:rPr>
      <w:rFonts w:ascii="Consolas" w:hAnsi="Consolas" w:cs="Consolas"/>
      <w:sz w:val="20"/>
      <w:szCs w:val="20"/>
    </w:rPr>
  </w:style>
  <w:style w:type="paragraph" w:styleId="HTML-wstpniesformatowany">
    <w:name w:val="HTML Preformatted"/>
    <w:basedOn w:val="Normalny"/>
    <w:link w:val="HTML-wstpniesformatowanyZnak"/>
    <w:uiPriority w:val="99"/>
    <w:semiHidden/>
    <w:unhideWhenUsed/>
    <w:rsid w:val="0071475D"/>
    <w:rPr>
      <w:rFonts w:ascii="Consolas" w:hAnsi="Consolas" w:cs="Consolas"/>
      <w:sz w:val="20"/>
      <w:szCs w:val="20"/>
    </w:rPr>
  </w:style>
  <w:style w:type="character" w:customStyle="1" w:styleId="HTML-wstpniesformatowanyZnak1">
    <w:name w:val="HTML - wstępnie sformatowany Znak1"/>
    <w:basedOn w:val="Domylnaczcionkaakapitu"/>
    <w:uiPriority w:val="99"/>
    <w:semiHidden/>
    <w:rsid w:val="0071475D"/>
    <w:rPr>
      <w:rFonts w:ascii="Consolas" w:hAnsi="Consolas"/>
      <w:sz w:val="20"/>
      <w:szCs w:val="20"/>
    </w:rPr>
  </w:style>
  <w:style w:type="paragraph" w:customStyle="1" w:styleId="CM1">
    <w:name w:val="CM1"/>
    <w:basedOn w:val="Default"/>
    <w:next w:val="Default"/>
    <w:uiPriority w:val="99"/>
    <w:rsid w:val="0071475D"/>
    <w:rPr>
      <w:rFonts w:ascii="EUAlbertina" w:eastAsiaTheme="minorHAnsi" w:hAnsi="EUAlbertina" w:cstheme="minorBidi"/>
      <w:color w:val="auto"/>
      <w:lang w:eastAsia="en-US"/>
    </w:rPr>
  </w:style>
  <w:style w:type="paragraph" w:customStyle="1" w:styleId="CM3">
    <w:name w:val="CM3"/>
    <w:basedOn w:val="Default"/>
    <w:next w:val="Default"/>
    <w:uiPriority w:val="99"/>
    <w:rsid w:val="0071475D"/>
    <w:rPr>
      <w:rFonts w:ascii="EUAlbertina" w:eastAsiaTheme="minorHAnsi" w:hAnsi="EUAlbertina" w:cstheme="minorBidi"/>
      <w:color w:val="auto"/>
      <w:lang w:eastAsia="en-US"/>
    </w:rPr>
  </w:style>
  <w:style w:type="paragraph" w:customStyle="1" w:styleId="Tekstpodstawowy33">
    <w:name w:val="Tekst podstawowy 33"/>
    <w:basedOn w:val="Normalny"/>
    <w:rsid w:val="0071475D"/>
    <w:pPr>
      <w:keepNext/>
      <w:suppressAutoHyphens/>
      <w:spacing w:before="120" w:after="120"/>
      <w:jc w:val="both"/>
    </w:pPr>
    <w:rPr>
      <w:rFonts w:ascii="Times New Roman" w:eastAsia="Times New Roman" w:hAnsi="Times New Roman" w:cs="Times New Roman"/>
      <w:kern w:val="0"/>
      <w:sz w:val="24"/>
      <w:szCs w:val="24"/>
      <w:lang w:eastAsia="ar-SA"/>
      <w14:ligatures w14:val="none"/>
    </w:rPr>
  </w:style>
  <w:style w:type="paragraph" w:styleId="Tekstpodstawowywcity2">
    <w:name w:val="Body Text Indent 2"/>
    <w:basedOn w:val="Normalny"/>
    <w:link w:val="Tekstpodstawowywcity2Znak"/>
    <w:rsid w:val="0071475D"/>
    <w:pPr>
      <w:ind w:left="540" w:firstLine="141"/>
      <w:jc w:val="both"/>
    </w:pPr>
    <w:rPr>
      <w:rFonts w:ascii="Times New Roman" w:eastAsia="Times New Roman" w:hAnsi="Times New Roman" w:cs="Times New Roman"/>
      <w:kern w:val="0"/>
      <w:sz w:val="24"/>
      <w:szCs w:val="24"/>
      <w:lang w:eastAsia="pl-PL"/>
      <w14:ligatures w14:val="none"/>
    </w:rPr>
  </w:style>
  <w:style w:type="character" w:customStyle="1" w:styleId="Tekstpodstawowywcity2Znak">
    <w:name w:val="Tekst podstawowy wcięty 2 Znak"/>
    <w:basedOn w:val="Domylnaczcionkaakapitu"/>
    <w:link w:val="Tekstpodstawowywcity2"/>
    <w:rsid w:val="0071475D"/>
    <w:rPr>
      <w:rFonts w:ascii="Times New Roman" w:eastAsia="Times New Roman" w:hAnsi="Times New Roman" w:cs="Times New Roman"/>
      <w:kern w:val="0"/>
      <w:sz w:val="24"/>
      <w:szCs w:val="24"/>
      <w:lang w:eastAsia="pl-PL"/>
      <w14:ligatures w14:val="none"/>
    </w:rPr>
  </w:style>
  <w:style w:type="paragraph" w:styleId="Tekstpodstawowywcity3">
    <w:name w:val="Body Text Indent 3"/>
    <w:basedOn w:val="Normalny"/>
    <w:link w:val="Tekstpodstawowywcity3Znak"/>
    <w:rsid w:val="0071475D"/>
    <w:pPr>
      <w:ind w:firstLine="709"/>
      <w:jc w:val="both"/>
    </w:pPr>
    <w:rPr>
      <w:rFonts w:ascii="Arial Narrow" w:eastAsia="Times New Roman" w:hAnsi="Arial Narrow" w:cs="Times New Roman"/>
      <w:kern w:val="0"/>
      <w:sz w:val="24"/>
      <w:szCs w:val="24"/>
      <w:lang w:eastAsia="pl-PL"/>
      <w14:ligatures w14:val="none"/>
    </w:rPr>
  </w:style>
  <w:style w:type="character" w:customStyle="1" w:styleId="Tekstpodstawowywcity3Znak">
    <w:name w:val="Tekst podstawowy wcięty 3 Znak"/>
    <w:basedOn w:val="Domylnaczcionkaakapitu"/>
    <w:link w:val="Tekstpodstawowywcity3"/>
    <w:rsid w:val="0071475D"/>
    <w:rPr>
      <w:rFonts w:ascii="Arial Narrow" w:eastAsia="Times New Roman" w:hAnsi="Arial Narrow" w:cs="Times New Roman"/>
      <w:kern w:val="0"/>
      <w:sz w:val="24"/>
      <w:szCs w:val="24"/>
      <w:lang w:eastAsia="pl-PL"/>
      <w14:ligatures w14:val="none"/>
    </w:rPr>
  </w:style>
  <w:style w:type="paragraph" w:customStyle="1" w:styleId="standardmaly">
    <w:name w:val="!!!!!standard maly"/>
    <w:basedOn w:val="sandardgruby"/>
    <w:rsid w:val="0071475D"/>
    <w:pPr>
      <w:spacing w:line="240" w:lineRule="auto"/>
      <w:jc w:val="left"/>
    </w:pPr>
    <w:rPr>
      <w:sz w:val="20"/>
    </w:rPr>
  </w:style>
  <w:style w:type="paragraph" w:customStyle="1" w:styleId="sandardgruby">
    <w:name w:val="!!!!sandard gruby"/>
    <w:basedOn w:val="Normalny"/>
    <w:rsid w:val="0071475D"/>
    <w:pPr>
      <w:spacing w:line="360" w:lineRule="auto"/>
      <w:jc w:val="center"/>
    </w:pPr>
    <w:rPr>
      <w:rFonts w:ascii="Times New Roman" w:eastAsia="Times New Roman" w:hAnsi="Times New Roman" w:cs="Times New Roman"/>
      <w:b/>
      <w:kern w:val="0"/>
      <w:sz w:val="24"/>
      <w:szCs w:val="24"/>
      <w:lang w:eastAsia="pl-PL"/>
      <w14:ligatures w14:val="none"/>
    </w:rPr>
  </w:style>
  <w:style w:type="paragraph" w:customStyle="1" w:styleId="xl71">
    <w:name w:val="xl71"/>
    <w:basedOn w:val="Normalny"/>
    <w:rsid w:val="0071475D"/>
    <w:pPr>
      <w:spacing w:before="100" w:beforeAutospacing="1" w:after="100" w:afterAutospacing="1"/>
      <w:jc w:val="center"/>
    </w:pPr>
    <w:rPr>
      <w:rFonts w:ascii="Times New Roman" w:eastAsia="Arial Unicode MS" w:hAnsi="Times New Roman" w:cs="Times New Roman"/>
      <w:kern w:val="0"/>
      <w:sz w:val="24"/>
      <w:szCs w:val="24"/>
      <w:lang w:eastAsia="pl-PL"/>
      <w14:ligatures w14:val="none"/>
    </w:rPr>
  </w:style>
  <w:style w:type="paragraph" w:styleId="Tekstpodstawowy2">
    <w:name w:val="Body Text 2"/>
    <w:basedOn w:val="Normalny"/>
    <w:link w:val="Tekstpodstawowy2Znak"/>
    <w:rsid w:val="0071475D"/>
    <w:pPr>
      <w:autoSpaceDE w:val="0"/>
      <w:autoSpaceDN w:val="0"/>
      <w:adjustRightInd w:val="0"/>
      <w:jc w:val="both"/>
    </w:pPr>
    <w:rPr>
      <w:rFonts w:ascii="Arial Narrow" w:eastAsia="Times New Roman" w:hAnsi="Arial Narrow" w:cs="Times New Roman"/>
      <w:kern w:val="0"/>
      <w:sz w:val="24"/>
      <w:szCs w:val="24"/>
      <w:lang w:eastAsia="pl-PL"/>
      <w14:ligatures w14:val="none"/>
    </w:rPr>
  </w:style>
  <w:style w:type="character" w:customStyle="1" w:styleId="Tekstpodstawowy2Znak">
    <w:name w:val="Tekst podstawowy 2 Znak"/>
    <w:basedOn w:val="Domylnaczcionkaakapitu"/>
    <w:link w:val="Tekstpodstawowy2"/>
    <w:rsid w:val="0071475D"/>
    <w:rPr>
      <w:rFonts w:ascii="Arial Narrow" w:eastAsia="Times New Roman" w:hAnsi="Arial Narrow" w:cs="Times New Roman"/>
      <w:kern w:val="0"/>
      <w:sz w:val="24"/>
      <w:szCs w:val="24"/>
      <w:lang w:eastAsia="pl-PL"/>
      <w14:ligatures w14:val="none"/>
    </w:rPr>
  </w:style>
  <w:style w:type="character" w:customStyle="1" w:styleId="tyszowcenews1">
    <w:name w:val="tyszowce_news1"/>
    <w:basedOn w:val="Domylnaczcionkaakapitu"/>
    <w:rsid w:val="0071475D"/>
  </w:style>
  <w:style w:type="character" w:customStyle="1" w:styleId="apple-converted-space">
    <w:name w:val="apple-converted-space"/>
    <w:basedOn w:val="Domylnaczcionkaakapitu"/>
    <w:rsid w:val="0071475D"/>
  </w:style>
  <w:style w:type="character" w:styleId="Wyrnienieintensywne">
    <w:name w:val="Intense Emphasis"/>
    <w:basedOn w:val="Domylnaczcionkaakapitu"/>
    <w:uiPriority w:val="21"/>
    <w:qFormat/>
    <w:rsid w:val="0071475D"/>
    <w:rPr>
      <w:b/>
      <w:bCs/>
      <w:i/>
      <w:iCs/>
      <w:color w:val="4472C4" w:themeColor="accent1"/>
    </w:rPr>
  </w:style>
  <w:style w:type="character" w:styleId="Tytuksiki">
    <w:name w:val="Book Title"/>
    <w:basedOn w:val="Domylnaczcionkaakapitu"/>
    <w:uiPriority w:val="33"/>
    <w:qFormat/>
    <w:rsid w:val="0071475D"/>
    <w:rPr>
      <w:b/>
      <w:bCs/>
      <w:smallCaps/>
      <w:spacing w:val="5"/>
    </w:rPr>
  </w:style>
  <w:style w:type="character" w:styleId="Uwydatnienie">
    <w:name w:val="Emphasis"/>
    <w:qFormat/>
    <w:rsid w:val="0071475D"/>
    <w:rPr>
      <w:i/>
      <w:iCs/>
    </w:rPr>
  </w:style>
  <w:style w:type="table" w:customStyle="1" w:styleId="LightList-Accent11">
    <w:name w:val="Light List - Accent 11"/>
    <w:basedOn w:val="Standardowy"/>
    <w:uiPriority w:val="61"/>
    <w:rsid w:val="0071475D"/>
    <w:rPr>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Tabelasiatki4akcent11">
    <w:name w:val="Tabela siatki 4 — akcent 11"/>
    <w:basedOn w:val="Standardowy"/>
    <w:next w:val="Tabelasiatki4akcent12"/>
    <w:uiPriority w:val="49"/>
    <w:rsid w:val="0071475D"/>
    <w:rPr>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siatki4akcent12">
    <w:name w:val="Tabela siatki 4 — akcent 12"/>
    <w:basedOn w:val="Standardowy"/>
    <w:uiPriority w:val="49"/>
    <w:rsid w:val="0071475D"/>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agwek51">
    <w:name w:val="Nagłówek 51"/>
    <w:basedOn w:val="Normalny"/>
    <w:next w:val="Normalny"/>
    <w:uiPriority w:val="9"/>
    <w:semiHidden/>
    <w:unhideWhenUsed/>
    <w:qFormat/>
    <w:rsid w:val="0071475D"/>
    <w:pPr>
      <w:keepNext/>
      <w:keepLines/>
      <w:spacing w:before="40"/>
      <w:outlineLvl w:val="4"/>
    </w:pPr>
    <w:rPr>
      <w:rFonts w:ascii="Calibri Light" w:eastAsia="Times New Roman" w:hAnsi="Calibri Light" w:cs="Times New Roman"/>
      <w:color w:val="2F5496"/>
      <w:sz w:val="24"/>
      <w:szCs w:val="24"/>
      <w:lang w:eastAsia="pl-PL"/>
      <w14:ligatures w14:val="none"/>
    </w:rPr>
  </w:style>
  <w:style w:type="paragraph" w:customStyle="1" w:styleId="Tekstkomentarza1">
    <w:name w:val="Tekst komentarza1"/>
    <w:basedOn w:val="Normalny"/>
    <w:next w:val="Tekstkomentarza"/>
    <w:uiPriority w:val="99"/>
    <w:unhideWhenUsed/>
    <w:rsid w:val="0071475D"/>
    <w:pPr>
      <w:spacing w:before="120" w:after="240"/>
      <w:ind w:left="851"/>
    </w:pPr>
    <w:rPr>
      <w:rFonts w:ascii="Helvetica Neue" w:eastAsia="Helvetica Neue" w:hAnsi="Helvetica Neue" w:cs="Helvetica Neue"/>
      <w:color w:val="FFFFFF"/>
      <w:kern w:val="0"/>
      <w:sz w:val="20"/>
      <w:szCs w:val="20"/>
      <w:lang w:val="en-AU" w:eastAsia="pl-PL"/>
      <w14:ligatures w14:val="none"/>
    </w:rPr>
  </w:style>
  <w:style w:type="table" w:customStyle="1" w:styleId="Tabela-Siatka11">
    <w:name w:val="Tabela - Siatka11"/>
    <w:basedOn w:val="Standardowy"/>
    <w:next w:val="Tabela-Siatka"/>
    <w:uiPriority w:val="59"/>
    <w:rsid w:val="0071475D"/>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1">
    <w:name w:val="Nagłówek 5 Znak1"/>
    <w:basedOn w:val="Domylnaczcionkaakapitu"/>
    <w:uiPriority w:val="9"/>
    <w:semiHidden/>
    <w:rsid w:val="0071475D"/>
    <w:rPr>
      <w:rFonts w:asciiTheme="majorHAnsi" w:eastAsiaTheme="majorEastAsia" w:hAnsiTheme="majorHAnsi" w:cstheme="majorBidi"/>
      <w:color w:val="2F5496" w:themeColor="accent1" w:themeShade="BF"/>
    </w:rPr>
  </w:style>
  <w:style w:type="character" w:customStyle="1" w:styleId="LegendaZnak">
    <w:name w:val="Legenda Znak"/>
    <w:aliases w:val="Tabela Znak"/>
    <w:basedOn w:val="Domylnaczcionkaakapitu"/>
    <w:link w:val="Legenda"/>
    <w:uiPriority w:val="35"/>
    <w:rsid w:val="0071475D"/>
    <w:rPr>
      <w:rFonts w:ascii="Times New Roman" w:eastAsia="Times New Roman" w:hAnsi="Times New Roman" w:cs="Times New Roman"/>
      <w:b/>
      <w:bCs/>
      <w:color w:val="002060"/>
      <w:kern w:val="0"/>
      <w:sz w:val="20"/>
      <w:szCs w:val="20"/>
      <w:lang w:eastAsia="pl-PL"/>
      <w14:ligatures w14:val="none"/>
    </w:rPr>
  </w:style>
  <w:style w:type="table" w:customStyle="1" w:styleId="Tabelasiatki5ciemnaakcent31">
    <w:name w:val="Tabela siatki 5 — ciemna — akcent 31"/>
    <w:basedOn w:val="Standardowy"/>
    <w:uiPriority w:val="50"/>
    <w:rsid w:val="0071475D"/>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elasiatki31">
    <w:name w:val="Tabela siatki 31"/>
    <w:basedOn w:val="Standardowy"/>
    <w:uiPriority w:val="48"/>
    <w:rsid w:val="0071475D"/>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DefaultZnak">
    <w:name w:val="Default Znak"/>
    <w:link w:val="Default"/>
    <w:rsid w:val="0071475D"/>
    <w:rPr>
      <w:rFonts w:ascii="Times New Roman" w:eastAsia="Times New Roman" w:hAnsi="Times New Roman" w:cs="Times New Roman"/>
      <w:color w:val="000000"/>
      <w:kern w:val="0"/>
      <w:sz w:val="24"/>
      <w:szCs w:val="24"/>
      <w:lang w:eastAsia="pl-PL"/>
      <w14:ligatures w14:val="none"/>
    </w:rPr>
  </w:style>
  <w:style w:type="table" w:customStyle="1" w:styleId="Tabelalisty3akcent31">
    <w:name w:val="Tabela listy 3 — akcent 31"/>
    <w:basedOn w:val="Standardowy"/>
    <w:uiPriority w:val="48"/>
    <w:rsid w:val="0071475D"/>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elasiatki2akcent31">
    <w:name w:val="Tabela siatki 2 — akcent 31"/>
    <w:basedOn w:val="Standardowy"/>
    <w:uiPriority w:val="47"/>
    <w:rsid w:val="0071475D"/>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gkelc">
    <w:name w:val="hgkelc"/>
    <w:basedOn w:val="Domylnaczcionkaakapitu"/>
    <w:rsid w:val="0071475D"/>
  </w:style>
  <w:style w:type="character" w:customStyle="1" w:styleId="lrzxr">
    <w:name w:val="lrzxr"/>
    <w:basedOn w:val="Domylnaczcionkaakapitu"/>
    <w:rsid w:val="0071475D"/>
  </w:style>
  <w:style w:type="character" w:customStyle="1" w:styleId="markedcontent">
    <w:name w:val="markedcontent"/>
    <w:basedOn w:val="Domylnaczcionkaakapitu"/>
    <w:rsid w:val="0071475D"/>
  </w:style>
  <w:style w:type="character" w:styleId="Tekstzastpczy">
    <w:name w:val="Placeholder Text"/>
    <w:basedOn w:val="Domylnaczcionkaakapitu"/>
    <w:uiPriority w:val="99"/>
    <w:semiHidden/>
    <w:rsid w:val="0071475D"/>
    <w:rPr>
      <w:color w:val="808080"/>
    </w:rPr>
  </w:style>
  <w:style w:type="paragraph" w:customStyle="1" w:styleId="gwpa29efa75gwp517b247dmsonormal">
    <w:name w:val="gwpa29efa75_gwp517b247d_msonormal"/>
    <w:basedOn w:val="Normalny"/>
    <w:rsid w:val="0071475D"/>
    <w:pPr>
      <w:spacing w:before="100" w:beforeAutospacing="1" w:after="100" w:afterAutospacing="1"/>
      <w:ind w:firstLine="284"/>
      <w:jc w:val="both"/>
    </w:pPr>
    <w:rPr>
      <w:rFonts w:ascii="Times New Roman" w:hAnsi="Times New Roman" w:cs="Times New Roman"/>
      <w:kern w:val="0"/>
      <w:sz w:val="24"/>
      <w:szCs w:val="24"/>
      <w:lang w:eastAsia="pl-PL"/>
      <w14:ligatures w14:val="none"/>
    </w:rPr>
  </w:style>
  <w:style w:type="table" w:customStyle="1" w:styleId="Tabelasiatki4akcent21">
    <w:name w:val="Tabela siatki 4 — akcent 21"/>
    <w:basedOn w:val="Standardowy"/>
    <w:uiPriority w:val="49"/>
    <w:rsid w:val="0071475D"/>
    <w:pPr>
      <w:ind w:firstLine="284"/>
      <w:jc w:val="both"/>
    </w:pPr>
    <w:rPr>
      <w:kern w:val="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elasiatki5ciemnaakcent21">
    <w:name w:val="Tabela siatki 5 — ciemna — akcent 21"/>
    <w:basedOn w:val="Standardowy"/>
    <w:uiPriority w:val="50"/>
    <w:rsid w:val="0071475D"/>
    <w:pPr>
      <w:ind w:firstLine="284"/>
      <w:jc w:val="both"/>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customStyle="1" w:styleId="css-96zuhp-word-diff">
    <w:name w:val="css-96zuhp-word-diff"/>
    <w:basedOn w:val="Domylnaczcionkaakapitu"/>
    <w:rsid w:val="0071475D"/>
  </w:style>
  <w:style w:type="table" w:customStyle="1" w:styleId="Tabelasiatki5ciemnaakcent41">
    <w:name w:val="Tabela siatki 5 — ciemna — akcent 41"/>
    <w:basedOn w:val="Standardowy"/>
    <w:uiPriority w:val="50"/>
    <w:rsid w:val="0071475D"/>
    <w:pPr>
      <w:ind w:firstLine="284"/>
      <w:jc w:val="both"/>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elasiatki4akcent210">
    <w:name w:val="Tabela siatki 4 — akcent 21"/>
    <w:basedOn w:val="Standardowy"/>
    <w:next w:val="Tabelasiatki4akcent21"/>
    <w:uiPriority w:val="49"/>
    <w:rsid w:val="0071475D"/>
    <w:pPr>
      <w:ind w:firstLine="284"/>
      <w:jc w:val="both"/>
    </w:pPr>
    <w:rPr>
      <w:kern w:val="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elasiatki1jasna1">
    <w:name w:val="Tabela siatki 1 — jasna1"/>
    <w:basedOn w:val="Standardowy"/>
    <w:uiPriority w:val="46"/>
    <w:rsid w:val="0071475D"/>
    <w:rPr>
      <w:rFonts w:eastAsiaTheme="minorEastAsia"/>
      <w:kern w:val="0"/>
      <w:lang w:eastAsia="pl-PL"/>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siatki4akcent211">
    <w:name w:val="Tabela siatki 4 — akcent 211"/>
    <w:basedOn w:val="Standardowy"/>
    <w:uiPriority w:val="49"/>
    <w:rsid w:val="0071475D"/>
    <w:rPr>
      <w:kern w:val="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paragraf">
    <w:name w:val="paragraf"/>
    <w:basedOn w:val="Normalny"/>
    <w:rsid w:val="0071475D"/>
    <w:pPr>
      <w:numPr>
        <w:ilvl w:val="2"/>
        <w:numId w:val="31"/>
      </w:numPr>
      <w:spacing w:before="80" w:after="240"/>
    </w:pPr>
    <w:rPr>
      <w:rFonts w:eastAsiaTheme="minorEastAsia" w:cs="Times New Roman"/>
      <w:noProof/>
      <w:kern w:val="0"/>
      <w:lang w:eastAsia="pl-PL"/>
      <w14:ligatures w14:val="none"/>
    </w:rPr>
  </w:style>
  <w:style w:type="table" w:customStyle="1" w:styleId="Tabelasiatki4akcent212">
    <w:name w:val="Tabela siatki 4 — akcent 212"/>
    <w:basedOn w:val="Standardowy"/>
    <w:uiPriority w:val="49"/>
    <w:rsid w:val="0071475D"/>
    <w:rPr>
      <w:kern w:val="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Siatkatabelijasna2">
    <w:name w:val="Siatka tabeli — jasna2"/>
    <w:basedOn w:val="Standardowy"/>
    <w:uiPriority w:val="40"/>
    <w:rsid w:val="0071475D"/>
    <w:pPr>
      <w:ind w:firstLine="284"/>
      <w:jc w:val="both"/>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ewwordinitemsuggestion">
    <w:name w:val="newwordinitemsuggestion"/>
    <w:basedOn w:val="Domylnaczcionkaakapitu"/>
    <w:rsid w:val="0071475D"/>
  </w:style>
  <w:style w:type="table" w:customStyle="1" w:styleId="Tabelasiatki4akcent310">
    <w:name w:val="Tabela siatki 4 — akcent 31"/>
    <w:basedOn w:val="Standardowy"/>
    <w:next w:val="Standardowy"/>
    <w:uiPriority w:val="49"/>
    <w:rsid w:val="0071475D"/>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elasiatki21">
    <w:name w:val="Tabela siatki 21"/>
    <w:basedOn w:val="Standardowy"/>
    <w:uiPriority w:val="47"/>
    <w:rsid w:val="0071475D"/>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i1jasna10">
    <w:name w:val="Tabela siatki 1 — jasna1"/>
    <w:basedOn w:val="Standardowy"/>
    <w:uiPriority w:val="46"/>
    <w:rsid w:val="0071475D"/>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
    <w:name w:val="Table Normal"/>
    <w:uiPriority w:val="2"/>
    <w:semiHidden/>
    <w:unhideWhenUsed/>
    <w:qFormat/>
    <w:rsid w:val="0071475D"/>
    <w:pPr>
      <w:widowControl w:val="0"/>
      <w:autoSpaceDE w:val="0"/>
      <w:autoSpaceDN w:val="0"/>
    </w:pPr>
    <w:rPr>
      <w:kern w:val="0"/>
      <w:lang w:val="en-US"/>
      <w14:ligatures w14:val="none"/>
    </w:rPr>
    <w:tblPr>
      <w:tblInd w:w="0" w:type="dxa"/>
      <w:tblCellMar>
        <w:top w:w="0" w:type="dxa"/>
        <w:left w:w="0" w:type="dxa"/>
        <w:bottom w:w="0" w:type="dxa"/>
        <w:right w:w="0" w:type="dxa"/>
      </w:tblCellMar>
    </w:tblPr>
  </w:style>
  <w:style w:type="paragraph" w:styleId="Zagicieoddouformularza">
    <w:name w:val="HTML Bottom of Form"/>
    <w:basedOn w:val="Normalny"/>
    <w:next w:val="Normalny"/>
    <w:link w:val="ZagicieoddouformularzaZnak"/>
    <w:hidden/>
    <w:uiPriority w:val="99"/>
    <w:semiHidden/>
    <w:unhideWhenUsed/>
    <w:rsid w:val="0071475D"/>
    <w:pPr>
      <w:pBdr>
        <w:top w:val="single" w:sz="6" w:space="1" w:color="auto"/>
      </w:pBdr>
      <w:jc w:val="center"/>
    </w:pPr>
    <w:rPr>
      <w:rFonts w:ascii="Arial" w:eastAsia="Times New Roman" w:hAnsi="Arial" w:cs="Arial"/>
      <w:vanish/>
      <w:kern w:val="0"/>
      <w:sz w:val="16"/>
      <w:szCs w:val="16"/>
      <w:lang w:eastAsia="pl-PL"/>
      <w14:ligatures w14:val="none"/>
    </w:rPr>
  </w:style>
  <w:style w:type="character" w:customStyle="1" w:styleId="ZagicieoddouformularzaZnak">
    <w:name w:val="Zagięcie od dołu formularza Znak"/>
    <w:basedOn w:val="Domylnaczcionkaakapitu"/>
    <w:link w:val="Zagicieoddouformularza"/>
    <w:uiPriority w:val="99"/>
    <w:semiHidden/>
    <w:rsid w:val="0071475D"/>
    <w:rPr>
      <w:rFonts w:ascii="Arial" w:eastAsia="Times New Roman" w:hAnsi="Arial" w:cs="Arial"/>
      <w:vanish/>
      <w:kern w:val="0"/>
      <w:sz w:val="16"/>
      <w:szCs w:val="16"/>
      <w:lang w:eastAsia="pl-PL"/>
      <w14:ligatures w14:val="none"/>
    </w:rPr>
  </w:style>
  <w:style w:type="paragraph" w:styleId="Tytu">
    <w:name w:val="Title"/>
    <w:basedOn w:val="Normalny"/>
    <w:next w:val="Normalny"/>
    <w:link w:val="TytuZnak"/>
    <w:uiPriority w:val="10"/>
    <w:rsid w:val="0071475D"/>
    <w:pPr>
      <w:numPr>
        <w:numId w:val="33"/>
      </w:numPr>
      <w:spacing w:before="480" w:after="720"/>
      <w:contextualSpacing/>
    </w:pPr>
    <w:rPr>
      <w:rFonts w:eastAsiaTheme="majorEastAsia" w:cstheme="majorBidi"/>
      <w:b/>
      <w:spacing w:val="-10"/>
      <w:kern w:val="28"/>
      <w:sz w:val="48"/>
      <w:szCs w:val="56"/>
      <w14:ligatures w14:val="none"/>
    </w:rPr>
  </w:style>
  <w:style w:type="character" w:customStyle="1" w:styleId="TytuZnak">
    <w:name w:val="Tytuł Znak"/>
    <w:basedOn w:val="Domylnaczcionkaakapitu"/>
    <w:link w:val="Tytu"/>
    <w:uiPriority w:val="10"/>
    <w:rsid w:val="0071475D"/>
    <w:rPr>
      <w:rFonts w:eastAsiaTheme="majorEastAsia" w:cstheme="majorBidi"/>
      <w:b/>
      <w:spacing w:val="-10"/>
      <w:kern w:val="28"/>
      <w:sz w:val="48"/>
      <w:szCs w:val="56"/>
      <w14:ligatures w14:val="none"/>
    </w:rPr>
  </w:style>
  <w:style w:type="paragraph" w:styleId="Podtytu">
    <w:name w:val="Subtitle"/>
    <w:basedOn w:val="Normalny"/>
    <w:next w:val="Normalny"/>
    <w:link w:val="PodtytuZnak"/>
    <w:uiPriority w:val="11"/>
    <w:rsid w:val="0071475D"/>
    <w:pPr>
      <w:numPr>
        <w:ilvl w:val="1"/>
        <w:numId w:val="32"/>
      </w:numPr>
      <w:spacing w:before="720" w:after="480" w:line="276" w:lineRule="auto"/>
      <w:ind w:left="851" w:hanging="851"/>
    </w:pPr>
    <w:rPr>
      <w:rFonts w:ascii="Calibri" w:eastAsiaTheme="minorEastAsia" w:hAnsi="Calibri"/>
      <w:b/>
      <w:spacing w:val="15"/>
      <w:kern w:val="0"/>
      <w:sz w:val="28"/>
      <w14:ligatures w14:val="none"/>
    </w:rPr>
  </w:style>
  <w:style w:type="character" w:customStyle="1" w:styleId="PodtytuZnak">
    <w:name w:val="Podtytuł Znak"/>
    <w:basedOn w:val="Domylnaczcionkaakapitu"/>
    <w:link w:val="Podtytu"/>
    <w:uiPriority w:val="11"/>
    <w:rsid w:val="0071475D"/>
    <w:rPr>
      <w:rFonts w:ascii="Calibri" w:eastAsiaTheme="minorEastAsia" w:hAnsi="Calibri"/>
      <w:b/>
      <w:spacing w:val="15"/>
      <w:kern w:val="0"/>
      <w:sz w:val="28"/>
      <w14:ligatures w14:val="none"/>
    </w:rPr>
  </w:style>
  <w:style w:type="character" w:styleId="Wyrnieniedelikatne">
    <w:name w:val="Subtle Emphasis"/>
    <w:uiPriority w:val="19"/>
    <w:rsid w:val="0071475D"/>
    <w:rPr>
      <w:rFonts w:asciiTheme="minorHAnsi" w:hAnsiTheme="minorHAnsi"/>
      <w:b/>
      <w:bCs/>
      <w:i w:val="0"/>
      <w:iCs/>
      <w:color w:val="auto"/>
      <w:sz w:val="26"/>
    </w:rPr>
  </w:style>
  <w:style w:type="character" w:customStyle="1" w:styleId="SpisilustracjiZnak">
    <w:name w:val="Spis ilustracji Znak"/>
    <w:basedOn w:val="Domylnaczcionkaakapitu"/>
    <w:link w:val="Spisilustracji"/>
    <w:uiPriority w:val="99"/>
    <w:rsid w:val="0071475D"/>
    <w:rPr>
      <w:rFonts w:ascii="Times New Roman" w:eastAsia="Times New Roman" w:hAnsi="Times New Roman" w:cs="Times New Roman"/>
      <w:kern w:val="0"/>
      <w:sz w:val="24"/>
      <w:szCs w:val="24"/>
      <w:lang w:eastAsia="pl-PL"/>
      <w14:ligatures w14:val="none"/>
    </w:rPr>
  </w:style>
  <w:style w:type="paragraph" w:customStyle="1" w:styleId="elementgraficznytabela">
    <w:name w:val="element graficzny / tabela"/>
    <w:basedOn w:val="Normalny"/>
    <w:next w:val="podpiselementu"/>
    <w:link w:val="elementgraficznytabelaZnak"/>
    <w:qFormat/>
    <w:rsid w:val="0071475D"/>
    <w:pPr>
      <w:keepNext/>
      <w:spacing w:before="120" w:after="120" w:line="276" w:lineRule="auto"/>
    </w:pPr>
    <w:rPr>
      <w:noProof/>
      <w:kern w:val="0"/>
      <w:sz w:val="24"/>
      <w14:ligatures w14:val="none"/>
    </w:rPr>
  </w:style>
  <w:style w:type="paragraph" w:customStyle="1" w:styleId="podpiselementu">
    <w:name w:val="podpis elementu"/>
    <w:basedOn w:val="Normalny"/>
    <w:next w:val="Normalny"/>
    <w:link w:val="podpiselementuZnak"/>
    <w:qFormat/>
    <w:rsid w:val="0071475D"/>
    <w:pPr>
      <w:spacing w:before="120" w:after="360" w:line="276" w:lineRule="auto"/>
      <w:jc w:val="right"/>
    </w:pPr>
    <w:rPr>
      <w:rFonts w:ascii="Calibri Light" w:hAnsi="Calibri Light"/>
      <w:noProof/>
      <w:kern w:val="0"/>
      <w:sz w:val="24"/>
      <w14:ligatures w14:val="none"/>
    </w:rPr>
  </w:style>
  <w:style w:type="character" w:customStyle="1" w:styleId="podpiselementuZnak">
    <w:name w:val="podpis elementu Znak"/>
    <w:basedOn w:val="elementgraficznytabelaZnak"/>
    <w:link w:val="podpiselementu"/>
    <w:rsid w:val="0071475D"/>
    <w:rPr>
      <w:rFonts w:ascii="Calibri Light" w:hAnsi="Calibri Light"/>
      <w:noProof/>
      <w:kern w:val="0"/>
      <w:sz w:val="24"/>
      <w14:ligatures w14:val="none"/>
    </w:rPr>
  </w:style>
  <w:style w:type="character" w:customStyle="1" w:styleId="elementgraficznytabelaZnak">
    <w:name w:val="element graficzny / tabela Znak"/>
    <w:basedOn w:val="Domylnaczcionkaakapitu"/>
    <w:link w:val="elementgraficznytabela"/>
    <w:rsid w:val="0071475D"/>
    <w:rPr>
      <w:noProof/>
      <w:kern w:val="0"/>
      <w:sz w:val="24"/>
      <w14:ligatures w14:val="none"/>
    </w:rPr>
  </w:style>
  <w:style w:type="character" w:styleId="Odwoaniedelikatne">
    <w:name w:val="Subtle Reference"/>
    <w:basedOn w:val="Domylnaczcionkaakapitu"/>
    <w:uiPriority w:val="31"/>
    <w:rsid w:val="0071475D"/>
    <w:rPr>
      <w:smallCaps/>
      <w:color w:val="5A5A5A" w:themeColor="text1" w:themeTint="A5"/>
    </w:rPr>
  </w:style>
  <w:style w:type="paragraph" w:customStyle="1" w:styleId="metryczka">
    <w:name w:val="metryczka"/>
    <w:basedOn w:val="Normalny"/>
    <w:link w:val="metryczkaZnak"/>
    <w:rsid w:val="0071475D"/>
    <w:pPr>
      <w:spacing w:before="120" w:after="120" w:line="276" w:lineRule="auto"/>
    </w:pPr>
    <w:rPr>
      <w:noProof/>
      <w:kern w:val="0"/>
      <w:sz w:val="24"/>
      <w14:ligatures w14:val="none"/>
    </w:rPr>
  </w:style>
  <w:style w:type="character" w:customStyle="1" w:styleId="metryczkaZnak">
    <w:name w:val="metryczka Znak"/>
    <w:basedOn w:val="elementgraficznytabelaZnak"/>
    <w:link w:val="metryczka"/>
    <w:rsid w:val="0071475D"/>
    <w:rPr>
      <w:noProof/>
      <w:kern w:val="0"/>
      <w:sz w:val="24"/>
      <w14:ligatures w14:val="none"/>
    </w:rPr>
  </w:style>
  <w:style w:type="character" w:customStyle="1" w:styleId="A3">
    <w:name w:val="A3"/>
    <w:uiPriority w:val="99"/>
    <w:rsid w:val="0071475D"/>
    <w:rPr>
      <w:rFonts w:cs="Cambria"/>
      <w:color w:val="000000"/>
      <w:sz w:val="20"/>
      <w:szCs w:val="20"/>
    </w:rPr>
  </w:style>
  <w:style w:type="table" w:customStyle="1" w:styleId="CWD">
    <w:name w:val="CWD"/>
    <w:basedOn w:val="Standardowy"/>
    <w:uiPriority w:val="99"/>
    <w:rsid w:val="0071475D"/>
    <w:pPr>
      <w:jc w:val="right"/>
    </w:pPr>
    <w:rPr>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b/>
      </w:rPr>
      <w:tblPr/>
      <w:tcPr>
        <w:shd w:val="clear" w:color="auto" w:fill="FBB613"/>
      </w:tcPr>
    </w:tblStylePr>
    <w:tblStylePr w:type="firstCol">
      <w:pPr>
        <w:jc w:val="left"/>
      </w:pPr>
      <w:rPr>
        <w:b/>
      </w:rPr>
      <w:tblPr/>
      <w:tcPr>
        <w:shd w:val="clear" w:color="auto" w:fill="D9D9D9" w:themeFill="background1" w:themeFillShade="D9"/>
      </w:tcPr>
    </w:tblStylePr>
  </w:style>
  <w:style w:type="paragraph" w:customStyle="1" w:styleId="Punktorp1">
    <w:name w:val="Punktor_p1"/>
    <w:basedOn w:val="Akapitzlist"/>
    <w:link w:val="Punktorp1Znak"/>
    <w:qFormat/>
    <w:rsid w:val="0071475D"/>
    <w:pPr>
      <w:numPr>
        <w:numId w:val="34"/>
      </w:numPr>
      <w:spacing w:before="60" w:after="60"/>
      <w:jc w:val="both"/>
    </w:pPr>
    <w:rPr>
      <w:rFonts w:cstheme="minorHAnsi"/>
      <w:color w:val="000000" w:themeColor="text1"/>
      <w:kern w:val="0"/>
      <w:sz w:val="21"/>
      <w:szCs w:val="21"/>
      <w:lang w:eastAsia="pl-PL"/>
      <w14:ligatures w14:val="none"/>
    </w:rPr>
  </w:style>
  <w:style w:type="character" w:customStyle="1" w:styleId="Punktorp1Znak">
    <w:name w:val="Punktor_p1 Znak"/>
    <w:basedOn w:val="Domylnaczcionkaakapitu"/>
    <w:link w:val="Punktorp1"/>
    <w:rsid w:val="0071475D"/>
    <w:rPr>
      <w:rFonts w:cstheme="minorHAnsi"/>
      <w:color w:val="000000" w:themeColor="text1"/>
      <w:kern w:val="0"/>
      <w:sz w:val="21"/>
      <w:szCs w:val="21"/>
      <w:lang w:eastAsia="pl-PL"/>
      <w14:ligatures w14:val="none"/>
    </w:rPr>
  </w:style>
  <w:style w:type="paragraph" w:customStyle="1" w:styleId="Podpiselementugraficznego">
    <w:name w:val="Podpis elementu graficznego"/>
    <w:basedOn w:val="Legenda"/>
    <w:next w:val="Normalny"/>
    <w:link w:val="PodpiselementugraficznegoZnak"/>
    <w:rsid w:val="0071475D"/>
    <w:pPr>
      <w:spacing w:after="240" w:line="276" w:lineRule="auto"/>
      <w:jc w:val="right"/>
    </w:pPr>
    <w:rPr>
      <w:rFonts w:ascii="Calibri" w:eastAsia="Calibri" w:hAnsi="Calibri" w:cs="Calibri"/>
      <w:b w:val="0"/>
      <w:i/>
      <w:iCs/>
      <w:noProof/>
      <w:sz w:val="24"/>
      <w:szCs w:val="18"/>
      <w:lang w:eastAsia="ja-JP"/>
    </w:rPr>
  </w:style>
  <w:style w:type="character" w:customStyle="1" w:styleId="PodpiselementugraficznegoZnak">
    <w:name w:val="Podpis elementu graficznego Znak"/>
    <w:basedOn w:val="LegendaZnak"/>
    <w:link w:val="Podpiselementugraficznego"/>
    <w:rsid w:val="0071475D"/>
    <w:rPr>
      <w:rFonts w:ascii="Calibri" w:eastAsia="Calibri" w:hAnsi="Calibri" w:cs="Calibri"/>
      <w:b w:val="0"/>
      <w:bCs/>
      <w:i/>
      <w:iCs/>
      <w:noProof/>
      <w:color w:val="002060"/>
      <w:kern w:val="0"/>
      <w:sz w:val="24"/>
      <w:szCs w:val="18"/>
      <w:lang w:eastAsia="ja-JP"/>
      <w14:ligatures w14:val="none"/>
    </w:rPr>
  </w:style>
  <w:style w:type="paragraph" w:customStyle="1" w:styleId="Elementgraficzny">
    <w:name w:val="Element graficzny"/>
    <w:basedOn w:val="Normalny"/>
    <w:next w:val="podpiselementu"/>
    <w:link w:val="ElementgraficznyZnak"/>
    <w:qFormat/>
    <w:rsid w:val="0071475D"/>
    <w:pPr>
      <w:keepNext/>
      <w:spacing w:before="120" w:after="120" w:line="276" w:lineRule="auto"/>
    </w:pPr>
    <w:rPr>
      <w:noProof/>
      <w:kern w:val="0"/>
      <w:sz w:val="24"/>
      <w14:ligatures w14:val="none"/>
    </w:rPr>
  </w:style>
  <w:style w:type="character" w:customStyle="1" w:styleId="ElementgraficznyZnak">
    <w:name w:val="Element graficzny Znak"/>
    <w:basedOn w:val="Domylnaczcionkaakapitu"/>
    <w:link w:val="Elementgraficzny"/>
    <w:rsid w:val="0071475D"/>
    <w:rPr>
      <w:noProof/>
      <w:kern w:val="0"/>
      <w:sz w:val="24"/>
      <w14:ligatures w14:val="none"/>
    </w:rPr>
  </w:style>
  <w:style w:type="character" w:customStyle="1" w:styleId="eop">
    <w:name w:val="eop"/>
    <w:basedOn w:val="Domylnaczcionkaakapitu"/>
    <w:rsid w:val="0071475D"/>
  </w:style>
  <w:style w:type="paragraph" w:customStyle="1" w:styleId="paragraph">
    <w:name w:val="paragraph"/>
    <w:basedOn w:val="Normalny"/>
    <w:rsid w:val="0071475D"/>
    <w:pPr>
      <w:spacing w:before="100" w:beforeAutospacing="1" w:after="100" w:afterAutospacing="1"/>
      <w:jc w:val="both"/>
    </w:pPr>
    <w:rPr>
      <w:rFonts w:ascii="Times New Roman" w:eastAsia="Times New Roman" w:hAnsi="Times New Roman" w:cs="Times New Roman"/>
      <w:color w:val="000000" w:themeColor="text1"/>
      <w:kern w:val="0"/>
      <w:sz w:val="24"/>
      <w:szCs w:val="21"/>
      <w:lang w:eastAsia="pl-PL"/>
      <w14:ligatures w14:val="none"/>
    </w:rPr>
  </w:style>
  <w:style w:type="paragraph" w:customStyle="1" w:styleId="SWpunktor">
    <w:name w:val="SW punktor"/>
    <w:basedOn w:val="Normalny"/>
    <w:link w:val="SWpunktorZnak"/>
    <w:rsid w:val="0071475D"/>
    <w:pPr>
      <w:spacing w:before="60" w:after="60"/>
      <w:jc w:val="both"/>
    </w:pPr>
    <w:rPr>
      <w:rFonts w:ascii="Tahoma" w:eastAsia="Times New Roman" w:hAnsi="Tahoma" w:cs="Times New Roman"/>
      <w:color w:val="000000" w:themeColor="text1"/>
      <w:kern w:val="0"/>
      <w:sz w:val="21"/>
      <w:szCs w:val="21"/>
      <w14:ligatures w14:val="none"/>
    </w:rPr>
  </w:style>
  <w:style w:type="character" w:customStyle="1" w:styleId="SWpunktorZnak">
    <w:name w:val="SW punktor Znak"/>
    <w:link w:val="SWpunktor"/>
    <w:rsid w:val="0071475D"/>
    <w:rPr>
      <w:rFonts w:ascii="Tahoma" w:eastAsia="Times New Roman" w:hAnsi="Tahoma" w:cs="Times New Roman"/>
      <w:color w:val="000000" w:themeColor="text1"/>
      <w:kern w:val="0"/>
      <w:sz w:val="21"/>
      <w:szCs w:val="21"/>
      <w14:ligatures w14:val="none"/>
    </w:rPr>
  </w:style>
  <w:style w:type="paragraph" w:customStyle="1" w:styleId="xmsolistparagraph">
    <w:name w:val="x_msolistparagraph"/>
    <w:basedOn w:val="Normalny"/>
    <w:rsid w:val="0071475D"/>
    <w:pPr>
      <w:ind w:left="720"/>
      <w:jc w:val="both"/>
    </w:pPr>
    <w:rPr>
      <w:rFonts w:ascii="Calibri" w:eastAsia="Times New Roman" w:hAnsi="Calibri" w:cs="Calibri"/>
      <w:color w:val="000000" w:themeColor="text1"/>
      <w:kern w:val="0"/>
      <w:sz w:val="21"/>
      <w:szCs w:val="21"/>
      <w:lang w:eastAsia="pl-PL"/>
      <w14:ligatures w14:val="none"/>
    </w:rPr>
  </w:style>
  <w:style w:type="character" w:customStyle="1" w:styleId="normaltextrun">
    <w:name w:val="normaltextrun"/>
    <w:basedOn w:val="Domylnaczcionkaakapitu"/>
    <w:rsid w:val="0071475D"/>
  </w:style>
  <w:style w:type="paragraph" w:customStyle="1" w:styleId="Styl1">
    <w:name w:val="Styl1"/>
    <w:basedOn w:val="Nagwek3"/>
    <w:autoRedefine/>
    <w:rsid w:val="0071475D"/>
    <w:pPr>
      <w:widowControl w:val="0"/>
      <w:pBdr>
        <w:top w:val="single" w:sz="6" w:space="1" w:color="2F5496" w:themeColor="accent1" w:themeShade="BF"/>
      </w:pBdr>
      <w:suppressAutoHyphens/>
      <w:spacing w:before="1080" w:after="240"/>
    </w:pPr>
    <w:rPr>
      <w:rFonts w:ascii="Lato Heavy" w:hAnsi="Lato Heavy" w:cs="Arial"/>
      <w:b/>
      <w:bCs/>
      <w:iCs/>
      <w:noProof/>
      <w:color w:val="2F5496" w:themeColor="accent1" w:themeShade="BF"/>
      <w:kern w:val="0"/>
      <w:sz w:val="28"/>
      <w:szCs w:val="28"/>
      <w:lang w:val="en-AU" w:eastAsia="pl-PL"/>
      <w14:ligatures w14:val="none"/>
    </w:rPr>
  </w:style>
  <w:style w:type="paragraph" w:customStyle="1" w:styleId="normalny0">
    <w:name w:val="normalny"/>
    <w:basedOn w:val="Normalny"/>
    <w:link w:val="normalnyZnak"/>
    <w:rsid w:val="0071475D"/>
    <w:pPr>
      <w:spacing w:after="120"/>
      <w:jc w:val="both"/>
    </w:pPr>
    <w:rPr>
      <w:rFonts w:eastAsia="Times New Roman" w:cs="Arial"/>
      <w:color w:val="000000" w:themeColor="text1"/>
      <w:kern w:val="0"/>
      <w:sz w:val="21"/>
      <w:szCs w:val="21"/>
      <w:lang w:eastAsia="pl-PL"/>
      <w14:ligatures w14:val="none"/>
    </w:rPr>
  </w:style>
  <w:style w:type="character" w:customStyle="1" w:styleId="normalnyZnak">
    <w:name w:val="normalny Znak"/>
    <w:basedOn w:val="Domylnaczcionkaakapitu"/>
    <w:link w:val="normalny0"/>
    <w:rsid w:val="0071475D"/>
    <w:rPr>
      <w:rFonts w:eastAsia="Times New Roman" w:cs="Arial"/>
      <w:color w:val="000000" w:themeColor="text1"/>
      <w:kern w:val="0"/>
      <w:sz w:val="21"/>
      <w:szCs w:val="21"/>
      <w:lang w:eastAsia="pl-PL"/>
      <w14:ligatures w14:val="none"/>
    </w:rPr>
  </w:style>
  <w:style w:type="paragraph" w:customStyle="1" w:styleId="wypunktowanie1">
    <w:name w:val="wypunktowanie1"/>
    <w:basedOn w:val="Normalny"/>
    <w:link w:val="wypunktowanie1Znak"/>
    <w:autoRedefine/>
    <w:rsid w:val="0071475D"/>
    <w:pPr>
      <w:numPr>
        <w:numId w:val="35"/>
      </w:numPr>
      <w:spacing w:before="60" w:after="60"/>
      <w:jc w:val="both"/>
    </w:pPr>
    <w:rPr>
      <w:rFonts w:eastAsia="Times New Roman" w:cs="Arial"/>
      <w:color w:val="000000" w:themeColor="text1"/>
      <w:kern w:val="0"/>
      <w:sz w:val="21"/>
      <w:szCs w:val="21"/>
      <w:lang w:eastAsia="pl-PL"/>
      <w14:ligatures w14:val="none"/>
    </w:rPr>
  </w:style>
  <w:style w:type="character" w:customStyle="1" w:styleId="wypunktowanie1Znak">
    <w:name w:val="wypunktowanie1 Znak"/>
    <w:basedOn w:val="Domylnaczcionkaakapitu"/>
    <w:link w:val="wypunktowanie1"/>
    <w:rsid w:val="0071475D"/>
    <w:rPr>
      <w:rFonts w:eastAsia="Times New Roman" w:cs="Arial"/>
      <w:color w:val="000000" w:themeColor="text1"/>
      <w:kern w:val="0"/>
      <w:sz w:val="21"/>
      <w:szCs w:val="21"/>
      <w:lang w:eastAsia="pl-PL"/>
      <w14:ligatures w14:val="none"/>
    </w:rPr>
  </w:style>
  <w:style w:type="character" w:customStyle="1" w:styleId="UnresolvedMention1">
    <w:name w:val="Unresolved Mention1"/>
    <w:basedOn w:val="Domylnaczcionkaakapitu"/>
    <w:uiPriority w:val="99"/>
    <w:unhideWhenUsed/>
    <w:rsid w:val="0071475D"/>
    <w:rPr>
      <w:color w:val="605E5C"/>
      <w:shd w:val="clear" w:color="auto" w:fill="E1DFDD"/>
    </w:rPr>
  </w:style>
  <w:style w:type="character" w:customStyle="1" w:styleId="Mention1">
    <w:name w:val="Mention1"/>
    <w:basedOn w:val="Domylnaczcionkaakapitu"/>
    <w:uiPriority w:val="99"/>
    <w:unhideWhenUsed/>
    <w:rsid w:val="0071475D"/>
    <w:rPr>
      <w:color w:val="2B579A"/>
      <w:shd w:val="clear" w:color="auto" w:fill="E1DFDD"/>
    </w:rPr>
  </w:style>
  <w:style w:type="paragraph" w:customStyle="1" w:styleId="OkadkaPodtytu">
    <w:name w:val="Okładka Podtytuł"/>
    <w:basedOn w:val="normalny0"/>
    <w:link w:val="OkadkaPodtytuZnak"/>
    <w:rsid w:val="0071475D"/>
    <w:pPr>
      <w:shd w:val="clear" w:color="auto" w:fill="2F5496" w:themeFill="accent1" w:themeFillShade="BF"/>
      <w:jc w:val="center"/>
    </w:pPr>
    <w:rPr>
      <w:color w:val="B4C6E7" w:themeColor="accent1" w:themeTint="66"/>
    </w:rPr>
  </w:style>
  <w:style w:type="character" w:customStyle="1" w:styleId="OkadkaPodtytuZnak">
    <w:name w:val="Okładka Podtytuł Znak"/>
    <w:basedOn w:val="normalnyZnak"/>
    <w:link w:val="OkadkaPodtytu"/>
    <w:rsid w:val="0071475D"/>
    <w:rPr>
      <w:rFonts w:eastAsia="Times New Roman" w:cs="Arial"/>
      <w:color w:val="B4C6E7" w:themeColor="accent1" w:themeTint="66"/>
      <w:kern w:val="0"/>
      <w:sz w:val="21"/>
      <w:szCs w:val="21"/>
      <w:shd w:val="clear" w:color="auto" w:fill="2F5496" w:themeFill="accent1" w:themeFillShade="BF"/>
      <w:lang w:eastAsia="pl-PL"/>
      <w14:ligatures w14:val="none"/>
    </w:rPr>
  </w:style>
  <w:style w:type="paragraph" w:customStyle="1" w:styleId="IlustracjaOkadka">
    <w:name w:val="Ilustracja Okładka"/>
    <w:basedOn w:val="Normalny"/>
    <w:link w:val="IlustracjaOkadkaZnak"/>
    <w:rsid w:val="0071475D"/>
    <w:pPr>
      <w:spacing w:after="960"/>
      <w:jc w:val="center"/>
    </w:pPr>
    <w:rPr>
      <w:rFonts w:eastAsia="Times New Roman" w:cs="Arial"/>
      <w:color w:val="000000" w:themeColor="text1"/>
      <w:kern w:val="0"/>
      <w:sz w:val="21"/>
      <w:szCs w:val="21"/>
      <w:lang w:eastAsia="pl-PL"/>
      <w14:ligatures w14:val="none"/>
    </w:rPr>
  </w:style>
  <w:style w:type="character" w:customStyle="1" w:styleId="IlustracjaOkadkaZnak">
    <w:name w:val="Ilustracja Okładka Znak"/>
    <w:basedOn w:val="Domylnaczcionkaakapitu"/>
    <w:link w:val="IlustracjaOkadka"/>
    <w:rsid w:val="0071475D"/>
    <w:rPr>
      <w:rFonts w:eastAsia="Times New Roman" w:cs="Arial"/>
      <w:color w:val="000000" w:themeColor="text1"/>
      <w:kern w:val="0"/>
      <w:sz w:val="21"/>
      <w:szCs w:val="21"/>
      <w:lang w:eastAsia="pl-PL"/>
      <w14:ligatures w14:val="none"/>
    </w:rPr>
  </w:style>
  <w:style w:type="paragraph" w:customStyle="1" w:styleId="Rycina-NUMERACJA">
    <w:name w:val="Rycina - NUMERACJA"/>
    <w:basedOn w:val="Akapitzlist"/>
    <w:next w:val="Rycina-OBRAZEK"/>
    <w:link w:val="Rycina-NUMERACJAZnak"/>
    <w:rsid w:val="0071475D"/>
    <w:pPr>
      <w:keepNext/>
      <w:numPr>
        <w:numId w:val="36"/>
      </w:numPr>
      <w:spacing w:before="360" w:after="120"/>
      <w:ind w:left="709" w:hanging="709"/>
      <w:contextualSpacing w:val="0"/>
    </w:pPr>
    <w:rPr>
      <w:rFonts w:ascii="Calibri" w:eastAsia="Calibri" w:hAnsi="Calibri" w:cs="Times New Roman"/>
      <w:b/>
      <w:bCs/>
      <w:noProof/>
      <w:kern w:val="0"/>
      <w:sz w:val="21"/>
      <w:szCs w:val="21"/>
      <w:lang w:eastAsia="ja-JP"/>
      <w14:ligatures w14:val="none"/>
    </w:rPr>
  </w:style>
  <w:style w:type="paragraph" w:customStyle="1" w:styleId="Rycina-OBRAZEK">
    <w:name w:val="Rycina - OBRAZEK"/>
    <w:basedOn w:val="Normalny"/>
    <w:next w:val="Rycina-PODPIS"/>
    <w:link w:val="Rycina-OBRAZEKZnak"/>
    <w:rsid w:val="0071475D"/>
    <w:pPr>
      <w:keepNext/>
      <w:spacing w:after="120"/>
      <w:jc w:val="center"/>
    </w:pPr>
    <w:rPr>
      <w:rFonts w:eastAsia="Times New Roman" w:cs="Arial"/>
      <w:color w:val="000000" w:themeColor="text1"/>
      <w:kern w:val="0"/>
      <w:sz w:val="21"/>
      <w:szCs w:val="21"/>
      <w:lang w:eastAsia="ja-JP"/>
      <w14:ligatures w14:val="none"/>
    </w:rPr>
  </w:style>
  <w:style w:type="paragraph" w:customStyle="1" w:styleId="Rycina-PODPIS">
    <w:name w:val="Rycina - PODPIS"/>
    <w:basedOn w:val="Normalny"/>
    <w:next w:val="Normalny"/>
    <w:link w:val="Rycina-PODPISZnak"/>
    <w:rsid w:val="0071475D"/>
    <w:pPr>
      <w:spacing w:after="360"/>
      <w:jc w:val="right"/>
    </w:pPr>
    <w:rPr>
      <w:rFonts w:eastAsia="Times New Roman" w:cs="Arial"/>
      <w:i/>
      <w:iCs/>
      <w:color w:val="8EAADB" w:themeColor="accent1" w:themeTint="99"/>
      <w:kern w:val="0"/>
      <w:sz w:val="18"/>
      <w:szCs w:val="18"/>
      <w:lang w:eastAsia="pl-PL"/>
      <w14:ligatures w14:val="none"/>
    </w:rPr>
  </w:style>
  <w:style w:type="character" w:customStyle="1" w:styleId="Rycina-PODPISZnak">
    <w:name w:val="Rycina - PODPIS Znak"/>
    <w:basedOn w:val="Domylnaczcionkaakapitu"/>
    <w:link w:val="Rycina-PODPIS"/>
    <w:rsid w:val="0071475D"/>
    <w:rPr>
      <w:rFonts w:eastAsia="Times New Roman" w:cs="Arial"/>
      <w:i/>
      <w:iCs/>
      <w:color w:val="8EAADB" w:themeColor="accent1" w:themeTint="99"/>
      <w:kern w:val="0"/>
      <w:sz w:val="18"/>
      <w:szCs w:val="18"/>
      <w:lang w:eastAsia="pl-PL"/>
      <w14:ligatures w14:val="none"/>
    </w:rPr>
  </w:style>
  <w:style w:type="character" w:customStyle="1" w:styleId="Rycina-OBRAZEKZnak">
    <w:name w:val="Rycina - OBRAZEK Znak"/>
    <w:basedOn w:val="Domylnaczcionkaakapitu"/>
    <w:link w:val="Rycina-OBRAZEK"/>
    <w:rsid w:val="0071475D"/>
    <w:rPr>
      <w:rFonts w:eastAsia="Times New Roman" w:cs="Arial"/>
      <w:color w:val="000000" w:themeColor="text1"/>
      <w:kern w:val="0"/>
      <w:sz w:val="21"/>
      <w:szCs w:val="21"/>
      <w:lang w:eastAsia="ja-JP"/>
      <w14:ligatures w14:val="none"/>
    </w:rPr>
  </w:style>
  <w:style w:type="character" w:customStyle="1" w:styleId="Rycina-NUMERACJAZnak">
    <w:name w:val="Rycina - NUMERACJA Znak"/>
    <w:basedOn w:val="Domylnaczcionkaakapitu"/>
    <w:link w:val="Rycina-NUMERACJA"/>
    <w:rsid w:val="0071475D"/>
    <w:rPr>
      <w:rFonts w:ascii="Calibri" w:eastAsia="Calibri" w:hAnsi="Calibri" w:cs="Times New Roman"/>
      <w:b/>
      <w:bCs/>
      <w:noProof/>
      <w:kern w:val="0"/>
      <w:sz w:val="21"/>
      <w:szCs w:val="21"/>
      <w:lang w:eastAsia="ja-JP"/>
      <w14:ligatures w14:val="none"/>
    </w:rPr>
  </w:style>
  <w:style w:type="paragraph" w:customStyle="1" w:styleId="Numeracjastron">
    <w:name w:val="Numeracja stron"/>
    <w:basedOn w:val="Stopka"/>
    <w:link w:val="NumeracjastronZnak"/>
    <w:rsid w:val="0071475D"/>
    <w:pPr>
      <w:ind w:left="0"/>
      <w:jc w:val="center"/>
    </w:pPr>
    <w:rPr>
      <w:rFonts w:eastAsia="Times New Roman" w:cs="Arial"/>
      <w:color w:val="000000" w:themeColor="text1"/>
      <w:sz w:val="21"/>
      <w:szCs w:val="21"/>
      <w:lang w:eastAsia="pl-PL"/>
    </w:rPr>
  </w:style>
  <w:style w:type="character" w:customStyle="1" w:styleId="NumeracjastronZnak">
    <w:name w:val="Numeracja stron Znak"/>
    <w:basedOn w:val="StopkaZnak"/>
    <w:link w:val="Numeracjastron"/>
    <w:rsid w:val="0071475D"/>
    <w:rPr>
      <w:rFonts w:eastAsia="Times New Roman" w:cs="Arial"/>
      <w:color w:val="000000" w:themeColor="text1"/>
      <w:kern w:val="0"/>
      <w:sz w:val="21"/>
      <w:szCs w:val="21"/>
      <w:lang w:eastAsia="pl-PL"/>
      <w14:ligatures w14:val="none"/>
    </w:rPr>
  </w:style>
  <w:style w:type="paragraph" w:customStyle="1" w:styleId="Metryczka1">
    <w:name w:val="Metryczka1"/>
    <w:basedOn w:val="Normalny"/>
    <w:link w:val="Metryczka1Znak"/>
    <w:rsid w:val="0071475D"/>
    <w:pPr>
      <w:keepNext/>
      <w:spacing w:after="120"/>
      <w:jc w:val="right"/>
    </w:pPr>
    <w:rPr>
      <w:rFonts w:eastAsia="Times New Roman" w:cs="Arial"/>
      <w:b/>
      <w:bCs/>
      <w:color w:val="1F3864" w:themeColor="accent1" w:themeShade="80"/>
      <w:kern w:val="0"/>
      <w:sz w:val="18"/>
      <w:szCs w:val="18"/>
      <w:lang w:eastAsia="pl-PL"/>
      <w14:ligatures w14:val="none"/>
    </w:rPr>
  </w:style>
  <w:style w:type="character" w:customStyle="1" w:styleId="Metryczka1Znak">
    <w:name w:val="Metryczka1 Znak"/>
    <w:basedOn w:val="Domylnaczcionkaakapitu"/>
    <w:link w:val="Metryczka1"/>
    <w:rsid w:val="0071475D"/>
    <w:rPr>
      <w:rFonts w:eastAsia="Times New Roman" w:cs="Arial"/>
      <w:b/>
      <w:bCs/>
      <w:color w:val="1F3864" w:themeColor="accent1" w:themeShade="80"/>
      <w:kern w:val="0"/>
      <w:sz w:val="18"/>
      <w:szCs w:val="18"/>
      <w:lang w:eastAsia="pl-PL"/>
      <w14:ligatures w14:val="none"/>
    </w:rPr>
  </w:style>
  <w:style w:type="paragraph" w:customStyle="1" w:styleId="Metryczka2">
    <w:name w:val="Metryczka2"/>
    <w:basedOn w:val="Metryczka1"/>
    <w:link w:val="Metryczka2Znak"/>
    <w:rsid w:val="0071475D"/>
    <w:pPr>
      <w:jc w:val="left"/>
    </w:pPr>
    <w:rPr>
      <w:b w:val="0"/>
      <w:bCs w:val="0"/>
    </w:rPr>
  </w:style>
  <w:style w:type="character" w:customStyle="1" w:styleId="Metryczka2Znak">
    <w:name w:val="Metryczka2 Znak"/>
    <w:basedOn w:val="Metryczka1Znak"/>
    <w:link w:val="Metryczka2"/>
    <w:rsid w:val="0071475D"/>
    <w:rPr>
      <w:rFonts w:eastAsia="Times New Roman" w:cs="Arial"/>
      <w:b w:val="0"/>
      <w:bCs w:val="0"/>
      <w:color w:val="1F3864" w:themeColor="accent1" w:themeShade="80"/>
      <w:kern w:val="0"/>
      <w:sz w:val="18"/>
      <w:szCs w:val="18"/>
      <w:lang w:eastAsia="pl-PL"/>
      <w14:ligatures w14:val="none"/>
    </w:rPr>
  </w:style>
  <w:style w:type="character" w:customStyle="1" w:styleId="scxw96636749">
    <w:name w:val="scxw96636749"/>
    <w:basedOn w:val="Domylnaczcionkaakapitu"/>
    <w:rsid w:val="0071475D"/>
  </w:style>
  <w:style w:type="character" w:customStyle="1" w:styleId="spellingerror">
    <w:name w:val="spellingerror"/>
    <w:basedOn w:val="Domylnaczcionkaakapitu"/>
    <w:rsid w:val="0071475D"/>
  </w:style>
  <w:style w:type="character" w:customStyle="1" w:styleId="bcx0">
    <w:name w:val="bcx0"/>
    <w:basedOn w:val="Domylnaczcionkaakapitu"/>
    <w:rsid w:val="0071475D"/>
  </w:style>
  <w:style w:type="character" w:customStyle="1" w:styleId="contextualspellingandgrammarerror">
    <w:name w:val="contextualspellingandgrammarerror"/>
    <w:basedOn w:val="Domylnaczcionkaakapitu"/>
    <w:rsid w:val="0071475D"/>
  </w:style>
  <w:style w:type="character" w:customStyle="1" w:styleId="pagebreaktextspan">
    <w:name w:val="pagebreaktextspan"/>
    <w:basedOn w:val="Domylnaczcionkaakapitu"/>
    <w:rsid w:val="0071475D"/>
  </w:style>
  <w:style w:type="paragraph" w:customStyle="1" w:styleId="Pozycjaspisurycin">
    <w:name w:val="Pozycja spisu rycin"/>
    <w:basedOn w:val="Spisilustracji"/>
    <w:link w:val="PozycjaspisurycinZnak"/>
    <w:rsid w:val="0071475D"/>
    <w:pPr>
      <w:tabs>
        <w:tab w:val="left" w:pos="1100"/>
        <w:tab w:val="left" w:pos="1276"/>
        <w:tab w:val="right" w:leader="dot" w:pos="9060"/>
      </w:tabs>
      <w:spacing w:before="120" w:line="276" w:lineRule="auto"/>
      <w:ind w:left="1134" w:hanging="1134"/>
    </w:pPr>
    <w:rPr>
      <w:noProof/>
    </w:rPr>
  </w:style>
  <w:style w:type="character" w:customStyle="1" w:styleId="PozycjaspisurycinZnak">
    <w:name w:val="Pozycja spisu rycin Znak"/>
    <w:basedOn w:val="SpisilustracjiZnak"/>
    <w:link w:val="Pozycjaspisurycin"/>
    <w:rsid w:val="0071475D"/>
    <w:rPr>
      <w:rFonts w:ascii="Times New Roman" w:eastAsia="Times New Roman" w:hAnsi="Times New Roman" w:cs="Times New Roman"/>
      <w:noProof/>
      <w:kern w:val="0"/>
      <w:sz w:val="24"/>
      <w:szCs w:val="24"/>
      <w:lang w:eastAsia="pl-PL"/>
      <w14:ligatures w14:val="none"/>
    </w:rPr>
  </w:style>
  <w:style w:type="paragraph" w:customStyle="1" w:styleId="podpisryciny">
    <w:name w:val="podpis ryciny"/>
    <w:basedOn w:val="Normalny"/>
    <w:uiPriority w:val="99"/>
    <w:rsid w:val="0071475D"/>
    <w:pPr>
      <w:widowControl w:val="0"/>
      <w:autoSpaceDE w:val="0"/>
      <w:autoSpaceDN w:val="0"/>
      <w:adjustRightInd w:val="0"/>
      <w:spacing w:before="40" w:after="240"/>
      <w:jc w:val="right"/>
    </w:pPr>
    <w:rPr>
      <w:rFonts w:ascii="Calibri" w:eastAsia="SimSun" w:hAnsi="Calibri" w:cs="Arial"/>
      <w:i/>
      <w:color w:val="808080"/>
      <w:spacing w:val="-4"/>
      <w:kern w:val="0"/>
      <w:sz w:val="18"/>
      <w:lang w:eastAsia="pl-PL"/>
      <w14:ligatures w14:val="none"/>
    </w:rPr>
  </w:style>
  <w:style w:type="paragraph" w:customStyle="1" w:styleId="Rycina-tytu">
    <w:name w:val="Rycina - tytuł"/>
    <w:basedOn w:val="Normalny"/>
    <w:next w:val="Rycina"/>
    <w:uiPriority w:val="99"/>
    <w:rsid w:val="0071475D"/>
    <w:pPr>
      <w:keepNext/>
      <w:numPr>
        <w:numId w:val="37"/>
      </w:numPr>
      <w:tabs>
        <w:tab w:val="left" w:pos="851"/>
      </w:tabs>
      <w:suppressAutoHyphens/>
      <w:autoSpaceDE w:val="0"/>
      <w:autoSpaceDN w:val="0"/>
      <w:adjustRightInd w:val="0"/>
      <w:spacing w:before="360" w:after="120"/>
      <w:ind w:left="851" w:hanging="851"/>
    </w:pPr>
    <w:rPr>
      <w:rFonts w:ascii="Calibri" w:eastAsia="Calibri" w:hAnsi="Calibri" w:cs="Calibri"/>
      <w:b/>
      <w:color w:val="000000"/>
      <w:spacing w:val="-4"/>
      <w:kern w:val="0"/>
      <w14:ligatures w14:val="none"/>
    </w:rPr>
  </w:style>
  <w:style w:type="paragraph" w:customStyle="1" w:styleId="Rycina">
    <w:name w:val="Rycina"/>
    <w:basedOn w:val="Normalny"/>
    <w:next w:val="Normalny"/>
    <w:link w:val="RycinaZnak"/>
    <w:uiPriority w:val="99"/>
    <w:rsid w:val="0071475D"/>
    <w:pPr>
      <w:keepNext/>
      <w:jc w:val="center"/>
    </w:pPr>
    <w:rPr>
      <w:rFonts w:ascii="Calibri" w:eastAsia="Times New Roman" w:hAnsi="Calibri" w:cs="Times New Roman"/>
      <w:noProof/>
      <w:kern w:val="0"/>
      <w:sz w:val="20"/>
      <w:szCs w:val="20"/>
      <w:lang w:eastAsia="pl-PL"/>
      <w14:ligatures w14:val="none"/>
    </w:rPr>
  </w:style>
  <w:style w:type="character" w:customStyle="1" w:styleId="RycinaZnak">
    <w:name w:val="Rycina Znak"/>
    <w:link w:val="Rycina"/>
    <w:uiPriority w:val="99"/>
    <w:locked/>
    <w:rsid w:val="0071475D"/>
    <w:rPr>
      <w:rFonts w:ascii="Calibri" w:eastAsia="Times New Roman" w:hAnsi="Calibri" w:cs="Times New Roman"/>
      <w:noProof/>
      <w:kern w:val="0"/>
      <w:sz w:val="20"/>
      <w:szCs w:val="20"/>
      <w:lang w:eastAsia="pl-PL"/>
      <w14:ligatures w14:val="none"/>
    </w:rPr>
  </w:style>
  <w:style w:type="character" w:customStyle="1" w:styleId="scxw247298666">
    <w:name w:val="scxw247298666"/>
    <w:basedOn w:val="Domylnaczcionkaakapitu"/>
    <w:rsid w:val="0071475D"/>
  </w:style>
  <w:style w:type="character" w:styleId="UyteHipercze">
    <w:name w:val="FollowedHyperlink"/>
    <w:basedOn w:val="Domylnaczcionkaakapitu"/>
    <w:uiPriority w:val="99"/>
    <w:semiHidden/>
    <w:unhideWhenUsed/>
    <w:rsid w:val="0071475D"/>
    <w:rPr>
      <w:color w:val="954F72" w:themeColor="followedHyperlink"/>
      <w:u w:val="single"/>
    </w:rPr>
  </w:style>
  <w:style w:type="paragraph" w:customStyle="1" w:styleId="Wiersztabelibezkleju">
    <w:name w:val="Wiersz tabeli bez kleju"/>
    <w:basedOn w:val="elementgraficznytabela"/>
    <w:link w:val="WiersztabelibezklejuZnak"/>
    <w:rsid w:val="0071475D"/>
    <w:pPr>
      <w:keepNext w:val="0"/>
    </w:pPr>
  </w:style>
  <w:style w:type="character" w:customStyle="1" w:styleId="WiersztabelibezklejuZnak">
    <w:name w:val="Wiersz tabeli bez kleju Znak"/>
    <w:basedOn w:val="elementgraficznytabelaZnak"/>
    <w:link w:val="Wiersztabelibezkleju"/>
    <w:rsid w:val="0071475D"/>
    <w:rPr>
      <w:noProof/>
      <w:kern w:val="0"/>
      <w:sz w:val="24"/>
      <w14:ligatures w14:val="none"/>
    </w:rPr>
  </w:style>
  <w:style w:type="paragraph" w:customStyle="1" w:styleId="Tytuspisutreci">
    <w:name w:val="Tytuł spisu treści"/>
    <w:basedOn w:val="Elementgraficzny"/>
    <w:link w:val="TytuspisutreciZnak"/>
    <w:rsid w:val="0071475D"/>
    <w:rPr>
      <w:b/>
      <w:bCs/>
      <w:sz w:val="36"/>
      <w:szCs w:val="32"/>
      <w:lang w:val="en-AU"/>
    </w:rPr>
  </w:style>
  <w:style w:type="character" w:customStyle="1" w:styleId="TytuspisutreciZnak">
    <w:name w:val="Tytuł spisu treści Znak"/>
    <w:basedOn w:val="ElementgraficznyZnak"/>
    <w:link w:val="Tytuspisutreci"/>
    <w:rsid w:val="0071475D"/>
    <w:rPr>
      <w:b/>
      <w:bCs/>
      <w:noProof/>
      <w:kern w:val="0"/>
      <w:sz w:val="36"/>
      <w:szCs w:val="32"/>
      <w:lang w:val="en-AU"/>
      <w14:ligatures w14:val="none"/>
    </w:rPr>
  </w:style>
  <w:style w:type="paragraph" w:customStyle="1" w:styleId="Rozdzial1">
    <w:name w:val="Rozdzial 1"/>
    <w:basedOn w:val="NormalnyWeb"/>
    <w:link w:val="Rozdzial1Znak"/>
    <w:rsid w:val="0071475D"/>
    <w:pPr>
      <w:keepNext/>
      <w:keepLines/>
      <w:suppressAutoHyphens w:val="0"/>
      <w:spacing w:before="2400" w:after="720"/>
      <w:ind w:left="851" w:hanging="851"/>
      <w:outlineLvl w:val="0"/>
    </w:pPr>
    <w:rPr>
      <w:rFonts w:cstheme="minorHAnsi"/>
      <w:b/>
      <w:bCs/>
      <w:sz w:val="40"/>
      <w:szCs w:val="40"/>
    </w:rPr>
  </w:style>
  <w:style w:type="paragraph" w:customStyle="1" w:styleId="Norm1">
    <w:name w:val="Norm.1"/>
    <w:basedOn w:val="Normalny"/>
    <w:link w:val="Norm1Znak"/>
    <w:rsid w:val="0071475D"/>
    <w:pPr>
      <w:spacing w:before="60" w:after="60"/>
      <w:ind w:left="851" w:firstLine="567"/>
      <w:jc w:val="both"/>
    </w:pPr>
    <w:rPr>
      <w:rFonts w:ascii="Tahoma" w:hAnsi="Tahoma" w:cstheme="minorHAnsi"/>
      <w:color w:val="000000" w:themeColor="text1"/>
      <w:kern w:val="0"/>
      <w:sz w:val="24"/>
      <w:szCs w:val="24"/>
      <w14:ligatures w14:val="none"/>
    </w:rPr>
  </w:style>
  <w:style w:type="character" w:customStyle="1" w:styleId="NormalnyWebZnak">
    <w:name w:val="Normalny (Web) Znak"/>
    <w:basedOn w:val="Domylnaczcionkaakapitu"/>
    <w:link w:val="NormalnyWeb"/>
    <w:uiPriority w:val="99"/>
    <w:rsid w:val="0071475D"/>
    <w:rPr>
      <w:rFonts w:ascii="Times New Roman" w:eastAsia="Times New Roman" w:hAnsi="Times New Roman" w:cs="Times New Roman"/>
      <w:kern w:val="0"/>
      <w:sz w:val="24"/>
      <w:szCs w:val="24"/>
      <w:lang w:eastAsia="ar-SA"/>
      <w14:ligatures w14:val="none"/>
    </w:rPr>
  </w:style>
  <w:style w:type="character" w:customStyle="1" w:styleId="Rozdzial1Znak">
    <w:name w:val="Rozdzial 1 Znak"/>
    <w:basedOn w:val="NormalnyWebZnak"/>
    <w:link w:val="Rozdzial1"/>
    <w:rsid w:val="0071475D"/>
    <w:rPr>
      <w:rFonts w:ascii="Times New Roman" w:eastAsia="Times New Roman" w:hAnsi="Times New Roman" w:cstheme="minorHAnsi"/>
      <w:b/>
      <w:bCs/>
      <w:kern w:val="0"/>
      <w:sz w:val="40"/>
      <w:szCs w:val="40"/>
      <w:lang w:eastAsia="ar-SA"/>
      <w14:ligatures w14:val="none"/>
    </w:rPr>
  </w:style>
  <w:style w:type="paragraph" w:customStyle="1" w:styleId="Podpowiedzi">
    <w:name w:val="Podpowiedzi"/>
    <w:basedOn w:val="NormalnyWeb"/>
    <w:link w:val="PodpowiedziZnak"/>
    <w:rsid w:val="0071475D"/>
    <w:pPr>
      <w:shd w:val="clear" w:color="auto" w:fill="F2F2F2" w:themeFill="background1" w:themeFillShade="F2"/>
      <w:suppressAutoHyphens w:val="0"/>
      <w:spacing w:before="0" w:after="0" w:line="276" w:lineRule="auto"/>
      <w:ind w:left="851"/>
      <w:jc w:val="both"/>
    </w:pPr>
    <w:rPr>
      <w:rFonts w:ascii="Tahoma" w:hAnsi="Tahoma" w:cs="Tahoma"/>
      <w:color w:val="44546A" w:themeColor="text2"/>
      <w:sz w:val="20"/>
      <w:szCs w:val="20"/>
      <w:lang w:eastAsia="pl-PL"/>
    </w:rPr>
  </w:style>
  <w:style w:type="character" w:customStyle="1" w:styleId="Norm1Znak">
    <w:name w:val="Norm.1 Znak"/>
    <w:basedOn w:val="Domylnaczcionkaakapitu"/>
    <w:link w:val="Norm1"/>
    <w:rsid w:val="0071475D"/>
    <w:rPr>
      <w:rFonts w:ascii="Tahoma" w:hAnsi="Tahoma" w:cstheme="minorHAnsi"/>
      <w:color w:val="000000" w:themeColor="text1"/>
      <w:kern w:val="0"/>
      <w:sz w:val="24"/>
      <w:szCs w:val="24"/>
      <w14:ligatures w14:val="none"/>
    </w:rPr>
  </w:style>
  <w:style w:type="character" w:customStyle="1" w:styleId="PodpowiedziZnak">
    <w:name w:val="Podpowiedzi Znak"/>
    <w:basedOn w:val="NormalnyWebZnak"/>
    <w:link w:val="Podpowiedzi"/>
    <w:rsid w:val="0071475D"/>
    <w:rPr>
      <w:rFonts w:ascii="Tahoma" w:eastAsia="Times New Roman" w:hAnsi="Tahoma" w:cs="Tahoma"/>
      <w:color w:val="44546A" w:themeColor="text2"/>
      <w:kern w:val="0"/>
      <w:sz w:val="20"/>
      <w:szCs w:val="20"/>
      <w:shd w:val="clear" w:color="auto" w:fill="F2F2F2" w:themeFill="background1" w:themeFillShade="F2"/>
      <w:lang w:eastAsia="pl-PL"/>
      <w14:ligatures w14:val="none"/>
    </w:rPr>
  </w:style>
  <w:style w:type="paragraph" w:customStyle="1" w:styleId="Podrozdzia2poziom">
    <w:name w:val="Podrozdział 2 poziom"/>
    <w:basedOn w:val="NormalnyWeb"/>
    <w:link w:val="Podrozdzia2poziomZnak"/>
    <w:rsid w:val="0071475D"/>
    <w:pPr>
      <w:keepNext/>
      <w:keepLines/>
      <w:numPr>
        <w:ilvl w:val="1"/>
        <w:numId w:val="38"/>
      </w:numPr>
      <w:spacing w:before="600" w:after="120"/>
      <w:ind w:left="851" w:hanging="851"/>
    </w:pPr>
    <w:rPr>
      <w:rFonts w:cstheme="minorHAnsi"/>
      <w:b/>
      <w:bCs/>
      <w:color w:val="44546A" w:themeColor="text2"/>
      <w:sz w:val="30"/>
      <w:szCs w:val="30"/>
      <w:lang w:eastAsia="pl-PL"/>
    </w:rPr>
  </w:style>
  <w:style w:type="paragraph" w:customStyle="1" w:styleId="TABELAzawarto">
    <w:name w:val="TABELA zawartość"/>
    <w:basedOn w:val="Normalny"/>
    <w:link w:val="TABELAzawartoZnak"/>
    <w:rsid w:val="0071475D"/>
    <w:pPr>
      <w:spacing w:before="60" w:after="60"/>
      <w:ind w:left="26"/>
    </w:pPr>
    <w:rPr>
      <w:rFonts w:cstheme="minorHAnsi"/>
      <w:color w:val="44546A" w:themeColor="text2"/>
      <w:kern w:val="0"/>
      <w:sz w:val="24"/>
      <w:szCs w:val="24"/>
      <w14:ligatures w14:val="none"/>
    </w:rPr>
  </w:style>
  <w:style w:type="character" w:customStyle="1" w:styleId="Podrozdzia2poziomZnak">
    <w:name w:val="Podrozdział 2 poziom Znak"/>
    <w:basedOn w:val="NormalnyWebZnak"/>
    <w:link w:val="Podrozdzia2poziom"/>
    <w:rsid w:val="0071475D"/>
    <w:rPr>
      <w:rFonts w:ascii="Times New Roman" w:eastAsia="Times New Roman" w:hAnsi="Times New Roman" w:cstheme="minorHAnsi"/>
      <w:b/>
      <w:bCs/>
      <w:color w:val="44546A" w:themeColor="text2"/>
      <w:kern w:val="0"/>
      <w:sz w:val="30"/>
      <w:szCs w:val="30"/>
      <w:lang w:eastAsia="pl-PL"/>
      <w14:ligatures w14:val="none"/>
    </w:rPr>
  </w:style>
  <w:style w:type="character" w:customStyle="1" w:styleId="TABELAzawartoZnak">
    <w:name w:val="TABELA zawartość Znak"/>
    <w:basedOn w:val="Domylnaczcionkaakapitu"/>
    <w:link w:val="TABELAzawarto"/>
    <w:rsid w:val="0071475D"/>
    <w:rPr>
      <w:rFonts w:cstheme="minorHAnsi"/>
      <w:color w:val="44546A" w:themeColor="text2"/>
      <w:kern w:val="0"/>
      <w:sz w:val="24"/>
      <w:szCs w:val="24"/>
      <w14:ligatures w14:val="none"/>
    </w:rPr>
  </w:style>
  <w:style w:type="paragraph" w:customStyle="1" w:styleId="Podtytu3poziom">
    <w:name w:val="Podtytuł 3 poziom"/>
    <w:basedOn w:val="Podrozdzia2poziom"/>
    <w:link w:val="Podtytu3poziomZnak"/>
    <w:rsid w:val="0071475D"/>
    <w:pPr>
      <w:numPr>
        <w:ilvl w:val="2"/>
      </w:numPr>
      <w:spacing w:before="360" w:after="0"/>
      <w:ind w:left="1702" w:hanging="851"/>
    </w:pPr>
    <w:rPr>
      <w:sz w:val="28"/>
      <w:szCs w:val="28"/>
    </w:rPr>
  </w:style>
  <w:style w:type="character" w:customStyle="1" w:styleId="Podtytu3poziomZnak">
    <w:name w:val="Podtytuł 3 poziom Znak"/>
    <w:basedOn w:val="Podrozdzia2poziomZnak"/>
    <w:link w:val="Podtytu3poziom"/>
    <w:rsid w:val="0071475D"/>
    <w:rPr>
      <w:rFonts w:ascii="Times New Roman" w:eastAsia="Times New Roman" w:hAnsi="Times New Roman" w:cstheme="minorHAnsi"/>
      <w:b/>
      <w:bCs/>
      <w:color w:val="44546A" w:themeColor="text2"/>
      <w:kern w:val="0"/>
      <w:sz w:val="28"/>
      <w:szCs w:val="28"/>
      <w:lang w:eastAsia="pl-PL"/>
      <w14:ligatures w14:val="none"/>
    </w:rPr>
  </w:style>
  <w:style w:type="paragraph" w:customStyle="1" w:styleId="Tytudodatkowy">
    <w:name w:val="Tytuł dodatkowy"/>
    <w:basedOn w:val="Akapitzlist"/>
    <w:link w:val="TytudodatkowyZnak"/>
    <w:rsid w:val="0071475D"/>
    <w:pPr>
      <w:numPr>
        <w:numId w:val="39"/>
      </w:numPr>
      <w:spacing w:before="720" w:after="240" w:line="276" w:lineRule="auto"/>
    </w:pPr>
    <w:rPr>
      <w:rFonts w:ascii="Calibri" w:eastAsia="Calibri" w:hAnsi="Calibri" w:cs="Times New Roman"/>
      <w:b/>
      <w:bCs/>
      <w:noProof/>
      <w:kern w:val="0"/>
      <w:sz w:val="32"/>
      <w:szCs w:val="32"/>
      <w14:ligatures w14:val="none"/>
    </w:rPr>
  </w:style>
  <w:style w:type="character" w:customStyle="1" w:styleId="TytudodatkowyZnak">
    <w:name w:val="Tytuł dodatkowy Znak"/>
    <w:basedOn w:val="Domylnaczcionkaakapitu"/>
    <w:link w:val="Tytudodatkowy"/>
    <w:rsid w:val="0071475D"/>
    <w:rPr>
      <w:rFonts w:ascii="Calibri" w:eastAsia="Calibri" w:hAnsi="Calibri" w:cs="Times New Roman"/>
      <w:b/>
      <w:bCs/>
      <w:noProof/>
      <w:kern w:val="0"/>
      <w:sz w:val="32"/>
      <w:szCs w:val="32"/>
      <w14:ligatures w14:val="none"/>
    </w:rPr>
  </w:style>
  <w:style w:type="paragraph" w:customStyle="1" w:styleId="Celstrategiczny">
    <w:name w:val="Cel strategiczny"/>
    <w:basedOn w:val="Nagwek3"/>
    <w:link w:val="CelstrategicznyZnak"/>
    <w:rsid w:val="0071475D"/>
    <w:pPr>
      <w:numPr>
        <w:ilvl w:val="2"/>
        <w:numId w:val="41"/>
      </w:numPr>
      <w:spacing w:before="600" w:after="120" w:line="276" w:lineRule="auto"/>
      <w:ind w:left="2268" w:hanging="2268"/>
    </w:pPr>
    <w:rPr>
      <w:rFonts w:ascii="Calibri" w:hAnsi="Calibri"/>
      <w:b/>
      <w:bCs/>
      <w:noProof/>
      <w:sz w:val="28"/>
      <w:szCs w:val="28"/>
    </w:rPr>
  </w:style>
  <w:style w:type="paragraph" w:customStyle="1" w:styleId="Celpunkty">
    <w:name w:val="Cel punkty"/>
    <w:basedOn w:val="Nagwek4"/>
    <w:link w:val="CelpunktyZnak"/>
    <w:rsid w:val="0071475D"/>
    <w:pPr>
      <w:numPr>
        <w:ilvl w:val="3"/>
        <w:numId w:val="40"/>
      </w:numPr>
      <w:ind w:left="851" w:hanging="491"/>
    </w:pPr>
    <w:rPr>
      <w:szCs w:val="28"/>
      <w:lang w:eastAsia="pl-PL"/>
    </w:rPr>
  </w:style>
  <w:style w:type="character" w:customStyle="1" w:styleId="CelstrategicznyZnak">
    <w:name w:val="Cel strategiczny Znak"/>
    <w:basedOn w:val="Nagwek3Znak"/>
    <w:link w:val="Celstrategiczny"/>
    <w:rsid w:val="0071475D"/>
    <w:rPr>
      <w:rFonts w:ascii="Calibri" w:eastAsiaTheme="majorEastAsia" w:hAnsi="Calibri" w:cstheme="majorBidi"/>
      <w:b/>
      <w:bCs/>
      <w:noProof/>
      <w:color w:val="1F3763" w:themeColor="accent1" w:themeShade="7F"/>
      <w:sz w:val="28"/>
      <w:szCs w:val="28"/>
    </w:rPr>
  </w:style>
  <w:style w:type="paragraph" w:customStyle="1" w:styleId="TekstpodstawowywcityTekstgwny">
    <w:name w:val="Tekst podstawowy wcięty (Tekst główny)"/>
    <w:basedOn w:val="Normalny"/>
    <w:uiPriority w:val="99"/>
    <w:rsid w:val="0071475D"/>
    <w:pPr>
      <w:autoSpaceDE w:val="0"/>
      <w:autoSpaceDN w:val="0"/>
      <w:adjustRightInd w:val="0"/>
      <w:spacing w:before="60" w:after="60" w:line="288" w:lineRule="auto"/>
      <w:ind w:left="567"/>
      <w:jc w:val="both"/>
      <w:textAlignment w:val="center"/>
    </w:pPr>
    <w:rPr>
      <w:rFonts w:ascii="Palatino Linotype" w:hAnsi="Palatino Linotype" w:cs="Palatino Linotype"/>
      <w:color w:val="000000"/>
      <w:kern w:val="0"/>
      <w14:ligatures w14:val="none"/>
    </w:rPr>
  </w:style>
  <w:style w:type="character" w:customStyle="1" w:styleId="CelpunktyZnak">
    <w:name w:val="Cel punkty Znak"/>
    <w:basedOn w:val="Nagwek4Znak"/>
    <w:link w:val="Celpunkty"/>
    <w:rsid w:val="0071475D"/>
    <w:rPr>
      <w:rFonts w:ascii="Calibri" w:eastAsiaTheme="majorEastAsia" w:hAnsi="Calibri" w:cstheme="majorBidi"/>
      <w:b/>
      <w:iCs/>
      <w:noProof/>
      <w:kern w:val="0"/>
      <w:sz w:val="24"/>
      <w:szCs w:val="28"/>
      <w:lang w:eastAsia="pl-PL"/>
      <w14:ligatures w14:val="none"/>
    </w:rPr>
  </w:style>
  <w:style w:type="paragraph" w:customStyle="1" w:styleId="ProjektyObszaru">
    <w:name w:val="Projekty Obszaru"/>
    <w:basedOn w:val="Nagwek2"/>
    <w:link w:val="ProjektyObszaruZnak"/>
    <w:rsid w:val="0071475D"/>
    <w:pPr>
      <w:spacing w:before="0" w:line="276" w:lineRule="auto"/>
      <w:ind w:left="1440" w:hanging="360"/>
      <w:jc w:val="both"/>
    </w:pPr>
    <w:rPr>
      <w:rFonts w:ascii="Calibri" w:hAnsi="Calibri"/>
      <w:b/>
      <w:color w:val="000000" w:themeColor="text1"/>
    </w:rPr>
  </w:style>
  <w:style w:type="paragraph" w:customStyle="1" w:styleId="Projekt">
    <w:name w:val="Projekt"/>
    <w:basedOn w:val="Nagwek3"/>
    <w:link w:val="ProjektZnak"/>
    <w:rsid w:val="0071475D"/>
    <w:pPr>
      <w:numPr>
        <w:ilvl w:val="2"/>
        <w:numId w:val="42"/>
      </w:numPr>
      <w:spacing w:before="120" w:after="120" w:line="276" w:lineRule="auto"/>
    </w:pPr>
    <w:rPr>
      <w:rFonts w:ascii="Calibri" w:hAnsi="Calibri"/>
      <w:b/>
      <w:bCs/>
      <w:noProof/>
      <w:sz w:val="26"/>
    </w:rPr>
  </w:style>
  <w:style w:type="character" w:customStyle="1" w:styleId="ProjektyObszaruZnak">
    <w:name w:val="Projekty Obszaru Znak"/>
    <w:basedOn w:val="Nagwek2Znak"/>
    <w:link w:val="ProjektyObszaru"/>
    <w:rsid w:val="0071475D"/>
    <w:rPr>
      <w:rFonts w:ascii="Calibri" w:eastAsiaTheme="majorEastAsia" w:hAnsi="Calibri" w:cstheme="majorBidi"/>
      <w:b/>
      <w:color w:val="000000" w:themeColor="text1"/>
      <w:sz w:val="26"/>
      <w:szCs w:val="26"/>
    </w:rPr>
  </w:style>
  <w:style w:type="paragraph" w:customStyle="1" w:styleId="OBSZAR">
    <w:name w:val="OBSZAR"/>
    <w:basedOn w:val="ProjektyObszaru"/>
    <w:link w:val="OBSZARZnak"/>
    <w:rsid w:val="0071475D"/>
    <w:rPr>
      <w:sz w:val="36"/>
      <w:szCs w:val="36"/>
    </w:rPr>
  </w:style>
  <w:style w:type="character" w:customStyle="1" w:styleId="ProjektZnak">
    <w:name w:val="Projekt Znak"/>
    <w:basedOn w:val="Nagwek3Znak"/>
    <w:link w:val="Projekt"/>
    <w:rsid w:val="0071475D"/>
    <w:rPr>
      <w:rFonts w:ascii="Calibri" w:eastAsiaTheme="majorEastAsia" w:hAnsi="Calibri" w:cstheme="majorBidi"/>
      <w:b/>
      <w:bCs/>
      <w:noProof/>
      <w:color w:val="1F3763" w:themeColor="accent1" w:themeShade="7F"/>
      <w:sz w:val="26"/>
      <w:szCs w:val="24"/>
    </w:rPr>
  </w:style>
  <w:style w:type="paragraph" w:customStyle="1" w:styleId="PROJEKT0">
    <w:name w:val="PROJEKT"/>
    <w:basedOn w:val="Nagwek3"/>
    <w:link w:val="PROJEKTZnak0"/>
    <w:rsid w:val="0071475D"/>
    <w:pPr>
      <w:spacing w:before="360" w:after="120" w:line="276" w:lineRule="auto"/>
      <w:ind w:left="1560" w:hanging="1560"/>
    </w:pPr>
    <w:rPr>
      <w:rFonts w:ascii="Calibri" w:hAnsi="Calibri"/>
      <w:b/>
      <w:bCs/>
      <w:noProof/>
      <w:sz w:val="26"/>
    </w:rPr>
  </w:style>
  <w:style w:type="character" w:customStyle="1" w:styleId="OBSZARZnak">
    <w:name w:val="OBSZAR Znak"/>
    <w:basedOn w:val="ProjektyObszaruZnak"/>
    <w:link w:val="OBSZAR"/>
    <w:rsid w:val="0071475D"/>
    <w:rPr>
      <w:rFonts w:ascii="Calibri" w:eastAsiaTheme="majorEastAsia" w:hAnsi="Calibri" w:cstheme="majorBidi"/>
      <w:b/>
      <w:color w:val="000000" w:themeColor="text1"/>
      <w:sz w:val="36"/>
      <w:szCs w:val="36"/>
    </w:rPr>
  </w:style>
  <w:style w:type="character" w:customStyle="1" w:styleId="PROJEKTZnak0">
    <w:name w:val="PROJEKT Znak"/>
    <w:basedOn w:val="Nagwek3Znak"/>
    <w:link w:val="PROJEKT0"/>
    <w:rsid w:val="0071475D"/>
    <w:rPr>
      <w:rFonts w:ascii="Calibri" w:eastAsiaTheme="majorEastAsia" w:hAnsi="Calibri" w:cstheme="majorBidi"/>
      <w:b/>
      <w:bCs/>
      <w:noProof/>
      <w:color w:val="1F3763" w:themeColor="accent1" w:themeShade="7F"/>
      <w:sz w:val="26"/>
      <w:szCs w:val="24"/>
    </w:rPr>
  </w:style>
  <w:style w:type="paragraph" w:styleId="Zwykytekst">
    <w:name w:val="Plain Text"/>
    <w:basedOn w:val="Normalny"/>
    <w:link w:val="ZwykytekstZnak"/>
    <w:uiPriority w:val="99"/>
    <w:unhideWhenUsed/>
    <w:rsid w:val="0071475D"/>
    <w:rPr>
      <w:rFonts w:ascii="Calibri" w:hAnsi="Calibri"/>
      <w:kern w:val="0"/>
      <w:szCs w:val="21"/>
      <w14:ligatures w14:val="none"/>
    </w:rPr>
  </w:style>
  <w:style w:type="character" w:customStyle="1" w:styleId="ZwykytekstZnak">
    <w:name w:val="Zwykły tekst Znak"/>
    <w:basedOn w:val="Domylnaczcionkaakapitu"/>
    <w:link w:val="Zwykytekst"/>
    <w:uiPriority w:val="99"/>
    <w:rsid w:val="0071475D"/>
    <w:rPr>
      <w:rFonts w:ascii="Calibri" w:hAnsi="Calibri"/>
      <w:kern w:val="0"/>
      <w:szCs w:val="21"/>
      <w14:ligatures w14:val="none"/>
    </w:rPr>
  </w:style>
  <w:style w:type="character" w:styleId="Numerstrony">
    <w:name w:val="page number"/>
    <w:basedOn w:val="Domylnaczcionkaakapitu"/>
    <w:uiPriority w:val="99"/>
    <w:semiHidden/>
    <w:unhideWhenUsed/>
    <w:rsid w:val="0071475D"/>
  </w:style>
  <w:style w:type="paragraph" w:styleId="Cytat">
    <w:name w:val="Quote"/>
    <w:basedOn w:val="Normalny"/>
    <w:next w:val="Normalny"/>
    <w:link w:val="CytatZnak"/>
    <w:uiPriority w:val="29"/>
    <w:qFormat/>
    <w:rsid w:val="0071475D"/>
    <w:pPr>
      <w:spacing w:before="200" w:after="160" w:line="276" w:lineRule="auto"/>
      <w:ind w:left="864" w:right="864"/>
      <w:jc w:val="center"/>
    </w:pPr>
    <w:rPr>
      <w:i/>
      <w:iCs/>
      <w:color w:val="404040" w:themeColor="text1" w:themeTint="BF"/>
      <w:kern w:val="0"/>
      <w:sz w:val="24"/>
      <w14:ligatures w14:val="none"/>
    </w:rPr>
  </w:style>
  <w:style w:type="character" w:customStyle="1" w:styleId="CytatZnak">
    <w:name w:val="Cytat Znak"/>
    <w:basedOn w:val="Domylnaczcionkaakapitu"/>
    <w:link w:val="Cytat"/>
    <w:uiPriority w:val="29"/>
    <w:rsid w:val="0071475D"/>
    <w:rPr>
      <w:i/>
      <w:iCs/>
      <w:color w:val="404040" w:themeColor="text1" w:themeTint="BF"/>
      <w:kern w:val="0"/>
      <w:sz w:val="24"/>
      <w14:ligatures w14:val="none"/>
    </w:rPr>
  </w:style>
  <w:style w:type="character" w:customStyle="1" w:styleId="BezodstpwZnak">
    <w:name w:val="Bez odstępów Znak"/>
    <w:basedOn w:val="Domylnaczcionkaakapitu"/>
    <w:link w:val="Bezodstpw"/>
    <w:uiPriority w:val="1"/>
    <w:rsid w:val="0071475D"/>
    <w:rPr>
      <w:kern w:val="0"/>
      <w14:ligatures w14:val="none"/>
    </w:rPr>
  </w:style>
  <w:style w:type="character" w:customStyle="1" w:styleId="Nierozpoznanawzmianka20">
    <w:name w:val="Nierozpoznana wzmianka2"/>
    <w:basedOn w:val="Domylnaczcionkaakapitu"/>
    <w:uiPriority w:val="99"/>
    <w:semiHidden/>
    <w:unhideWhenUsed/>
    <w:rsid w:val="0071475D"/>
    <w:rPr>
      <w:color w:val="605E5C"/>
      <w:shd w:val="clear" w:color="auto" w:fill="E1DFDD"/>
    </w:rPr>
  </w:style>
  <w:style w:type="paragraph" w:customStyle="1" w:styleId="font7">
    <w:name w:val="font_7"/>
    <w:basedOn w:val="Normalny"/>
    <w:rsid w:val="0071475D"/>
    <w:pPr>
      <w:spacing w:before="100" w:beforeAutospacing="1" w:after="100" w:afterAutospacing="1"/>
    </w:pPr>
    <w:rPr>
      <w:rFonts w:ascii="Times New Roman" w:eastAsia="Times New Roman" w:hAnsi="Times New Roman" w:cs="Times New Roman"/>
      <w:kern w:val="0"/>
      <w:sz w:val="24"/>
      <w:szCs w:val="24"/>
      <w:lang w:eastAsia="pl-PL"/>
      <w14:ligatures w14:val="none"/>
    </w:rPr>
  </w:style>
  <w:style w:type="character" w:customStyle="1" w:styleId="color11">
    <w:name w:val="color_11"/>
    <w:basedOn w:val="Domylnaczcionkaakapitu"/>
    <w:rsid w:val="0071475D"/>
  </w:style>
  <w:style w:type="paragraph" w:customStyle="1" w:styleId="footnotedescription">
    <w:name w:val="footnote description"/>
    <w:next w:val="Normalny"/>
    <w:link w:val="footnotedescriptionChar"/>
    <w:hidden/>
    <w:rsid w:val="0071475D"/>
    <w:pPr>
      <w:spacing w:after="11" w:line="259" w:lineRule="auto"/>
      <w:ind w:right="140"/>
    </w:pPr>
    <w:rPr>
      <w:rFonts w:ascii="Times New Roman" w:eastAsia="Times New Roman" w:hAnsi="Times New Roman" w:cs="Times New Roman"/>
      <w:color w:val="000000"/>
      <w:kern w:val="0"/>
      <w:sz w:val="18"/>
      <w:lang w:eastAsia="pl-PL"/>
      <w14:ligatures w14:val="none"/>
    </w:rPr>
  </w:style>
  <w:style w:type="character" w:customStyle="1" w:styleId="footnotedescriptionChar">
    <w:name w:val="footnote description Char"/>
    <w:link w:val="footnotedescription"/>
    <w:rsid w:val="0071475D"/>
    <w:rPr>
      <w:rFonts w:ascii="Times New Roman" w:eastAsia="Times New Roman" w:hAnsi="Times New Roman" w:cs="Times New Roman"/>
      <w:color w:val="000000"/>
      <w:kern w:val="0"/>
      <w:sz w:val="18"/>
      <w:lang w:eastAsia="pl-PL"/>
      <w14:ligatures w14:val="none"/>
    </w:rPr>
  </w:style>
  <w:style w:type="character" w:customStyle="1" w:styleId="footnotemark">
    <w:name w:val="footnote mark"/>
    <w:hidden/>
    <w:rsid w:val="0071475D"/>
    <w:rPr>
      <w:rFonts w:ascii="Times New Roman" w:eastAsia="Times New Roman" w:hAnsi="Times New Roman" w:cs="Times New Roman"/>
      <w:color w:val="000000"/>
      <w:sz w:val="18"/>
      <w:vertAlign w:val="superscript"/>
    </w:rPr>
  </w:style>
  <w:style w:type="paragraph" w:customStyle="1" w:styleId="font8">
    <w:name w:val="font_8"/>
    <w:basedOn w:val="Normalny"/>
    <w:rsid w:val="0071475D"/>
    <w:pPr>
      <w:spacing w:before="100" w:beforeAutospacing="1" w:after="100" w:afterAutospacing="1"/>
    </w:pPr>
    <w:rPr>
      <w:rFonts w:ascii="Times New Roman" w:eastAsia="Times New Roman" w:hAnsi="Times New Roman" w:cs="Times New Roman"/>
      <w:kern w:val="0"/>
      <w:sz w:val="24"/>
      <w:szCs w:val="24"/>
      <w:lang w:eastAsia="pl-PL"/>
      <w14:ligatures w14:val="none"/>
    </w:rPr>
  </w:style>
  <w:style w:type="character" w:customStyle="1" w:styleId="Tytu1">
    <w:name w:val="Tytuł1"/>
    <w:basedOn w:val="Domylnaczcionkaakapitu"/>
    <w:rsid w:val="0071475D"/>
  </w:style>
  <w:style w:type="character" w:customStyle="1" w:styleId="Nierozpoznanawzmianka10">
    <w:name w:val="Nierozpoznana wzmianka10"/>
    <w:basedOn w:val="Domylnaczcionkaakapitu"/>
    <w:uiPriority w:val="99"/>
    <w:semiHidden/>
    <w:unhideWhenUsed/>
    <w:rsid w:val="0071475D"/>
    <w:rPr>
      <w:color w:val="605E5C"/>
      <w:shd w:val="clear" w:color="auto" w:fill="E1DFDD"/>
    </w:rPr>
  </w:style>
  <w:style w:type="table" w:customStyle="1" w:styleId="TableGrid0">
    <w:name w:val="Table Grid0"/>
    <w:rsid w:val="0071475D"/>
    <w:rPr>
      <w:rFonts w:eastAsiaTheme="minorEastAsia"/>
      <w:kern w:val="0"/>
      <w:lang w:eastAsia="pl-PL"/>
      <w14:ligatures w14:val="none"/>
    </w:rPr>
    <w:tblPr>
      <w:tblCellMar>
        <w:top w:w="0" w:type="dxa"/>
        <w:left w:w="0" w:type="dxa"/>
        <w:bottom w:w="0" w:type="dxa"/>
        <w:right w:w="0" w:type="dxa"/>
      </w:tblCellMar>
    </w:tblPr>
  </w:style>
  <w:style w:type="character" w:customStyle="1" w:styleId="Nierozpoznanawzmianka100">
    <w:name w:val="Nierozpoznana wzmianka100"/>
    <w:basedOn w:val="Domylnaczcionkaakapitu"/>
    <w:uiPriority w:val="99"/>
    <w:semiHidden/>
    <w:unhideWhenUsed/>
    <w:rsid w:val="0071475D"/>
    <w:rPr>
      <w:color w:val="605E5C"/>
      <w:shd w:val="clear" w:color="auto" w:fill="E1DFDD"/>
    </w:rPr>
  </w:style>
  <w:style w:type="character" w:customStyle="1" w:styleId="cf01">
    <w:name w:val="cf01"/>
    <w:basedOn w:val="Domylnaczcionkaakapitu"/>
    <w:rsid w:val="0071475D"/>
    <w:rPr>
      <w:rFonts w:ascii="Segoe UI" w:hAnsi="Segoe UI" w:cs="Segoe UI" w:hint="default"/>
      <w:sz w:val="18"/>
      <w:szCs w:val="18"/>
    </w:rPr>
  </w:style>
  <w:style w:type="character" w:customStyle="1" w:styleId="Nierozpoznanawzmianka1000">
    <w:name w:val="Nierozpoznana wzmianka1000"/>
    <w:basedOn w:val="Domylnaczcionkaakapitu"/>
    <w:uiPriority w:val="99"/>
    <w:semiHidden/>
    <w:unhideWhenUsed/>
    <w:rsid w:val="0071475D"/>
    <w:rPr>
      <w:color w:val="605E5C"/>
      <w:shd w:val="clear" w:color="auto" w:fill="E1DFDD"/>
    </w:rPr>
  </w:style>
  <w:style w:type="character" w:customStyle="1" w:styleId="xxxxxnormaltextrun">
    <w:name w:val="x_xxxxnormaltextrun"/>
    <w:basedOn w:val="Domylnaczcionkaakapitu"/>
    <w:rsid w:val="0071475D"/>
  </w:style>
  <w:style w:type="character" w:customStyle="1" w:styleId="xxxnormaltextrun">
    <w:name w:val="x_xxnormaltextrun"/>
    <w:basedOn w:val="Domylnaczcionkaakapitu"/>
    <w:rsid w:val="0071475D"/>
  </w:style>
  <w:style w:type="character" w:customStyle="1" w:styleId="Nierozpoznanawzmianka10000">
    <w:name w:val="Nierozpoznana wzmianka10000"/>
    <w:basedOn w:val="Domylnaczcionkaakapitu"/>
    <w:uiPriority w:val="99"/>
    <w:semiHidden/>
    <w:unhideWhenUsed/>
    <w:rsid w:val="0071475D"/>
    <w:rPr>
      <w:color w:val="605E5C"/>
      <w:shd w:val="clear" w:color="auto" w:fill="E1DFDD"/>
    </w:rPr>
  </w:style>
  <w:style w:type="character" w:customStyle="1" w:styleId="Nierozpoznanawzmianka100000">
    <w:name w:val="Nierozpoznana wzmianka100000"/>
    <w:basedOn w:val="Domylnaczcionkaakapitu"/>
    <w:uiPriority w:val="99"/>
    <w:semiHidden/>
    <w:unhideWhenUsed/>
    <w:rsid w:val="0071475D"/>
    <w:rPr>
      <w:color w:val="605E5C"/>
      <w:shd w:val="clear" w:color="auto" w:fill="E1DFDD"/>
    </w:rPr>
  </w:style>
  <w:style w:type="character" w:customStyle="1" w:styleId="Nierozpoznanawzmianka1000000">
    <w:name w:val="Nierozpoznana wzmianka1000000"/>
    <w:basedOn w:val="Domylnaczcionkaakapitu"/>
    <w:uiPriority w:val="99"/>
    <w:semiHidden/>
    <w:unhideWhenUsed/>
    <w:rsid w:val="0071475D"/>
    <w:rPr>
      <w:color w:val="605E5C"/>
      <w:shd w:val="clear" w:color="auto" w:fill="E1DFDD"/>
    </w:rPr>
  </w:style>
  <w:style w:type="character" w:customStyle="1" w:styleId="Nierozpoznanawzmianka10000000">
    <w:name w:val="Nierozpoznana wzmianka10000000"/>
    <w:basedOn w:val="Domylnaczcionkaakapitu"/>
    <w:uiPriority w:val="99"/>
    <w:semiHidden/>
    <w:unhideWhenUsed/>
    <w:rsid w:val="0071475D"/>
    <w:rPr>
      <w:color w:val="605E5C"/>
      <w:shd w:val="clear" w:color="auto" w:fill="E1DFDD"/>
    </w:rPr>
  </w:style>
  <w:style w:type="character" w:customStyle="1" w:styleId="Nierozpoznanawzmianka100000000">
    <w:name w:val="Nierozpoznana wzmianka100000000"/>
    <w:basedOn w:val="Domylnaczcionkaakapitu"/>
    <w:uiPriority w:val="99"/>
    <w:semiHidden/>
    <w:unhideWhenUsed/>
    <w:rsid w:val="0071475D"/>
    <w:rPr>
      <w:color w:val="605E5C"/>
      <w:shd w:val="clear" w:color="auto" w:fill="E1DFDD"/>
    </w:rPr>
  </w:style>
  <w:style w:type="character" w:customStyle="1" w:styleId="Nierozpoznanawzmianka1000000000">
    <w:name w:val="Nierozpoznana wzmianka1000000000"/>
    <w:basedOn w:val="Domylnaczcionkaakapitu"/>
    <w:uiPriority w:val="99"/>
    <w:semiHidden/>
    <w:unhideWhenUsed/>
    <w:rsid w:val="0071475D"/>
    <w:rPr>
      <w:color w:val="605E5C"/>
      <w:shd w:val="clear" w:color="auto" w:fill="E1DFDD"/>
    </w:rPr>
  </w:style>
  <w:style w:type="character" w:customStyle="1" w:styleId="Nierozpoznanawzmianka10000000000">
    <w:name w:val="Nierozpoznana wzmianka10000000000"/>
    <w:basedOn w:val="Domylnaczcionkaakapitu"/>
    <w:uiPriority w:val="99"/>
    <w:semiHidden/>
    <w:unhideWhenUsed/>
    <w:rsid w:val="0071475D"/>
    <w:rPr>
      <w:color w:val="605E5C"/>
      <w:shd w:val="clear" w:color="auto" w:fill="E1DFDD"/>
    </w:rPr>
  </w:style>
  <w:style w:type="character" w:customStyle="1" w:styleId="Nierozpoznanawzmianka100000000000">
    <w:name w:val="Nierozpoznana wzmianka100000000000"/>
    <w:basedOn w:val="Domylnaczcionkaakapitu"/>
    <w:uiPriority w:val="99"/>
    <w:semiHidden/>
    <w:unhideWhenUsed/>
    <w:rsid w:val="0071475D"/>
    <w:rPr>
      <w:color w:val="605E5C"/>
      <w:shd w:val="clear" w:color="auto" w:fill="E1DFDD"/>
    </w:rPr>
  </w:style>
  <w:style w:type="character" w:customStyle="1" w:styleId="Nierozpoznanawzmianka1000000000000">
    <w:name w:val="Nierozpoznana wzmianka1000000000000"/>
    <w:basedOn w:val="Domylnaczcionkaakapitu"/>
    <w:uiPriority w:val="99"/>
    <w:semiHidden/>
    <w:unhideWhenUsed/>
    <w:rsid w:val="0071475D"/>
    <w:rPr>
      <w:color w:val="605E5C"/>
      <w:shd w:val="clear" w:color="auto" w:fill="E1DFDD"/>
    </w:rPr>
  </w:style>
  <w:style w:type="character" w:customStyle="1" w:styleId="Nierozpoznanawzmianka10000000000000">
    <w:name w:val="Nierozpoznana wzmianka10000000000000"/>
    <w:basedOn w:val="Domylnaczcionkaakapitu"/>
    <w:uiPriority w:val="99"/>
    <w:semiHidden/>
    <w:unhideWhenUsed/>
    <w:rsid w:val="0071475D"/>
    <w:rPr>
      <w:color w:val="605E5C"/>
      <w:shd w:val="clear" w:color="auto" w:fill="E1DFDD"/>
    </w:rPr>
  </w:style>
  <w:style w:type="character" w:customStyle="1" w:styleId="Nierozpoznanawzmianka100000000000000">
    <w:name w:val="Nierozpoznana wzmianka100000000000000"/>
    <w:basedOn w:val="Domylnaczcionkaakapitu"/>
    <w:uiPriority w:val="99"/>
    <w:semiHidden/>
    <w:unhideWhenUsed/>
    <w:rsid w:val="0071475D"/>
    <w:rPr>
      <w:color w:val="605E5C"/>
      <w:shd w:val="clear" w:color="auto" w:fill="E1DFDD"/>
    </w:rPr>
  </w:style>
  <w:style w:type="character" w:customStyle="1" w:styleId="Nierozpoznanawzmianka1000000000000000">
    <w:name w:val="Nierozpoznana wzmianka1000000000000000"/>
    <w:basedOn w:val="Domylnaczcionkaakapitu"/>
    <w:uiPriority w:val="99"/>
    <w:semiHidden/>
    <w:unhideWhenUsed/>
    <w:rsid w:val="0071475D"/>
    <w:rPr>
      <w:color w:val="605E5C"/>
      <w:shd w:val="clear" w:color="auto" w:fill="E1DFDD"/>
    </w:rPr>
  </w:style>
  <w:style w:type="character" w:customStyle="1" w:styleId="Nierozpoznanawzmianka10000000000000000">
    <w:name w:val="Nierozpoznana wzmianka10000000000000000"/>
    <w:basedOn w:val="Domylnaczcionkaakapitu"/>
    <w:uiPriority w:val="99"/>
    <w:semiHidden/>
    <w:unhideWhenUsed/>
    <w:rsid w:val="0071475D"/>
    <w:rPr>
      <w:color w:val="605E5C"/>
      <w:shd w:val="clear" w:color="auto" w:fill="E1DFDD"/>
    </w:rPr>
  </w:style>
  <w:style w:type="character" w:customStyle="1" w:styleId="Nierozpoznanawzmianka100000000000000000">
    <w:name w:val="Nierozpoznana wzmianka100000000000000000"/>
    <w:basedOn w:val="Domylnaczcionkaakapitu"/>
    <w:uiPriority w:val="99"/>
    <w:semiHidden/>
    <w:unhideWhenUsed/>
    <w:rsid w:val="0071475D"/>
    <w:rPr>
      <w:color w:val="605E5C"/>
      <w:shd w:val="clear" w:color="auto" w:fill="E1DFDD"/>
    </w:rPr>
  </w:style>
  <w:style w:type="character" w:customStyle="1" w:styleId="Nierozpoznanawzmianka1000000000000000000">
    <w:name w:val="Nierozpoznana wzmianka1000000000000000000"/>
    <w:basedOn w:val="Domylnaczcionkaakapitu"/>
    <w:uiPriority w:val="99"/>
    <w:semiHidden/>
    <w:unhideWhenUsed/>
    <w:rsid w:val="0071475D"/>
    <w:rPr>
      <w:color w:val="605E5C"/>
      <w:shd w:val="clear" w:color="auto" w:fill="E1DFDD"/>
    </w:rPr>
  </w:style>
  <w:style w:type="character" w:customStyle="1" w:styleId="Nierozpoznanawzmianka10000000000000000000">
    <w:name w:val="Nierozpoznana wzmianka10000000000000000000"/>
    <w:basedOn w:val="Domylnaczcionkaakapitu"/>
    <w:uiPriority w:val="99"/>
    <w:semiHidden/>
    <w:unhideWhenUsed/>
    <w:rsid w:val="0071475D"/>
    <w:rPr>
      <w:color w:val="605E5C"/>
      <w:shd w:val="clear" w:color="auto" w:fill="E1DFDD"/>
    </w:rPr>
  </w:style>
  <w:style w:type="character" w:customStyle="1" w:styleId="Nierozpoznanawzmianka100000000000000000000">
    <w:name w:val="Nierozpoznana wzmianka100000000000000000000"/>
    <w:basedOn w:val="Domylnaczcionkaakapitu"/>
    <w:uiPriority w:val="99"/>
    <w:semiHidden/>
    <w:unhideWhenUsed/>
    <w:rsid w:val="0071475D"/>
    <w:rPr>
      <w:color w:val="605E5C"/>
      <w:shd w:val="clear" w:color="auto" w:fill="E1DFDD"/>
    </w:rPr>
  </w:style>
  <w:style w:type="character" w:customStyle="1" w:styleId="Nierozpoznanawzmianka1000000000000000000000">
    <w:name w:val="Nierozpoznana wzmianka1000000000000000000000"/>
    <w:basedOn w:val="Domylnaczcionkaakapitu"/>
    <w:uiPriority w:val="99"/>
    <w:semiHidden/>
    <w:unhideWhenUsed/>
    <w:rsid w:val="0071475D"/>
    <w:rPr>
      <w:color w:val="605E5C"/>
      <w:shd w:val="clear" w:color="auto" w:fill="E1DFDD"/>
    </w:rPr>
  </w:style>
  <w:style w:type="character" w:customStyle="1" w:styleId="Nierozpoznanawzmianka10000000000000000000000">
    <w:name w:val="Nierozpoznana wzmianka10000000000000000000000"/>
    <w:basedOn w:val="Domylnaczcionkaakapitu"/>
    <w:uiPriority w:val="99"/>
    <w:semiHidden/>
    <w:unhideWhenUsed/>
    <w:rsid w:val="0071475D"/>
    <w:rPr>
      <w:color w:val="605E5C"/>
      <w:shd w:val="clear" w:color="auto" w:fill="E1DFDD"/>
    </w:rPr>
  </w:style>
  <w:style w:type="character" w:customStyle="1" w:styleId="Nierozpoznanawzmianka100000000000000000000000">
    <w:name w:val="Nierozpoznana wzmianka100000000000000000000000"/>
    <w:basedOn w:val="Domylnaczcionkaakapitu"/>
    <w:uiPriority w:val="99"/>
    <w:semiHidden/>
    <w:unhideWhenUsed/>
    <w:rsid w:val="0071475D"/>
    <w:rPr>
      <w:color w:val="605E5C"/>
      <w:shd w:val="clear" w:color="auto" w:fill="E1DFDD"/>
    </w:rPr>
  </w:style>
  <w:style w:type="character" w:customStyle="1" w:styleId="Nierozpoznanawzmianka1000000000000000000000000">
    <w:name w:val="Nierozpoznana wzmianka1000000000000000000000000"/>
    <w:basedOn w:val="Domylnaczcionkaakapitu"/>
    <w:uiPriority w:val="99"/>
    <w:semiHidden/>
    <w:unhideWhenUsed/>
    <w:rsid w:val="0071475D"/>
    <w:rPr>
      <w:color w:val="605E5C"/>
      <w:shd w:val="clear" w:color="auto" w:fill="E1DFDD"/>
    </w:rPr>
  </w:style>
  <w:style w:type="character" w:customStyle="1" w:styleId="Nierozpoznanawzmianka10000000000000000000000000">
    <w:name w:val="Nierozpoznana wzmianka10000000000000000000000000"/>
    <w:basedOn w:val="Domylnaczcionkaakapitu"/>
    <w:uiPriority w:val="99"/>
    <w:semiHidden/>
    <w:unhideWhenUsed/>
    <w:rsid w:val="0071475D"/>
    <w:rPr>
      <w:color w:val="605E5C"/>
      <w:shd w:val="clear" w:color="auto" w:fill="E1DFDD"/>
    </w:rPr>
  </w:style>
  <w:style w:type="character" w:customStyle="1" w:styleId="Nierozpoznanawzmianka100000000000000000000000000">
    <w:name w:val="Nierozpoznana wzmianka100000000000000000000000000"/>
    <w:basedOn w:val="Domylnaczcionkaakapitu"/>
    <w:uiPriority w:val="99"/>
    <w:semiHidden/>
    <w:unhideWhenUsed/>
    <w:rsid w:val="0071475D"/>
    <w:rPr>
      <w:color w:val="605E5C"/>
      <w:shd w:val="clear" w:color="auto" w:fill="E1DFDD"/>
    </w:rPr>
  </w:style>
  <w:style w:type="character" w:customStyle="1" w:styleId="Nierozpoznanawzmianka1000000000000000000000000000">
    <w:name w:val="Nierozpoznana wzmianka1000000000000000000000000000"/>
    <w:basedOn w:val="Domylnaczcionkaakapitu"/>
    <w:uiPriority w:val="99"/>
    <w:semiHidden/>
    <w:unhideWhenUsed/>
    <w:rsid w:val="0071475D"/>
    <w:rPr>
      <w:color w:val="605E5C"/>
      <w:shd w:val="clear" w:color="auto" w:fill="E1DFDD"/>
    </w:rPr>
  </w:style>
  <w:style w:type="character" w:customStyle="1" w:styleId="Nierozpoznanawzmianka10000000000000000000000000000">
    <w:name w:val="Nierozpoznana wzmianka10000000000000000000000000000"/>
    <w:basedOn w:val="Domylnaczcionkaakapitu"/>
    <w:uiPriority w:val="99"/>
    <w:semiHidden/>
    <w:unhideWhenUsed/>
    <w:rsid w:val="0071475D"/>
    <w:rPr>
      <w:color w:val="605E5C"/>
      <w:shd w:val="clear" w:color="auto" w:fill="E1DFDD"/>
    </w:rPr>
  </w:style>
  <w:style w:type="character" w:customStyle="1" w:styleId="Nierozpoznanawzmianka100000000000000000000000000000">
    <w:name w:val="Nierozpoznana wzmianka100000000000000000000000000000"/>
    <w:basedOn w:val="Domylnaczcionkaakapitu"/>
    <w:uiPriority w:val="99"/>
    <w:semiHidden/>
    <w:unhideWhenUsed/>
    <w:rsid w:val="0071475D"/>
    <w:rPr>
      <w:color w:val="605E5C"/>
      <w:shd w:val="clear" w:color="auto" w:fill="E1DFDD"/>
    </w:rPr>
  </w:style>
  <w:style w:type="character" w:customStyle="1" w:styleId="Nierozpoznanawzmianka1000000000000000000000000000000">
    <w:name w:val="Nierozpoznana wzmianka1000000000000000000000000000000"/>
    <w:basedOn w:val="Domylnaczcionkaakapitu"/>
    <w:uiPriority w:val="99"/>
    <w:semiHidden/>
    <w:unhideWhenUsed/>
    <w:rsid w:val="0071475D"/>
    <w:rPr>
      <w:color w:val="605E5C"/>
      <w:shd w:val="clear" w:color="auto" w:fill="E1DFDD"/>
    </w:rPr>
  </w:style>
  <w:style w:type="character" w:customStyle="1" w:styleId="Nierozpoznanawzmianka10000000000000000000000000000000">
    <w:name w:val="Nierozpoznana wzmianka10000000000000000000000000000000"/>
    <w:basedOn w:val="Domylnaczcionkaakapitu"/>
    <w:uiPriority w:val="99"/>
    <w:semiHidden/>
    <w:unhideWhenUsed/>
    <w:rsid w:val="0071475D"/>
    <w:rPr>
      <w:color w:val="605E5C"/>
      <w:shd w:val="clear" w:color="auto" w:fill="E1DFDD"/>
    </w:rPr>
  </w:style>
  <w:style w:type="character" w:customStyle="1" w:styleId="Nierozpoznanawzmianka100000000000000000000000000000000">
    <w:name w:val="Nierozpoznana wzmianka100000000000000000000000000000000"/>
    <w:basedOn w:val="Domylnaczcionkaakapitu"/>
    <w:uiPriority w:val="99"/>
    <w:semiHidden/>
    <w:unhideWhenUsed/>
    <w:rsid w:val="0071475D"/>
    <w:rPr>
      <w:color w:val="605E5C"/>
      <w:shd w:val="clear" w:color="auto" w:fill="E1DFDD"/>
    </w:rPr>
  </w:style>
  <w:style w:type="paragraph" w:customStyle="1" w:styleId="Tre">
    <w:name w:val="Treść"/>
    <w:rsid w:val="0071475D"/>
    <w:pPr>
      <w:pBdr>
        <w:top w:val="nil"/>
        <w:left w:val="nil"/>
        <w:bottom w:val="nil"/>
        <w:right w:val="nil"/>
        <w:between w:val="nil"/>
        <w:bar w:val="nil"/>
      </w:pBdr>
    </w:pPr>
    <w:rPr>
      <w:rFonts w:ascii="Helvetica" w:eastAsia="Arial Unicode MS" w:hAnsi="Arial Unicode MS" w:cs="Arial Unicode MS"/>
      <w:color w:val="000000"/>
      <w:kern w:val="0"/>
      <w:szCs w:val="24"/>
      <w:bdr w:val="nil"/>
      <w:lang w:eastAsia="pl-PL"/>
      <w14:ligatures w14:val="none"/>
    </w:rPr>
  </w:style>
  <w:style w:type="paragraph" w:customStyle="1" w:styleId="ASstylLSR">
    <w:name w:val="AS_styl_LSR"/>
    <w:basedOn w:val="Akapitzlist"/>
    <w:autoRedefine/>
    <w:qFormat/>
    <w:rsid w:val="0071475D"/>
    <w:pPr>
      <w:numPr>
        <w:numId w:val="43"/>
      </w:numPr>
      <w:tabs>
        <w:tab w:val="left" w:pos="10206"/>
      </w:tabs>
      <w:spacing w:line="276" w:lineRule="auto"/>
      <w:ind w:left="426" w:hanging="426"/>
      <w:outlineLvl w:val="0"/>
    </w:pPr>
    <w:rPr>
      <w:rFonts w:ascii="Calibri" w:hAnsi="Calibri"/>
      <w:b/>
      <w:kern w:val="0"/>
      <w:sz w:val="24"/>
      <w:szCs w:val="24"/>
      <w14:ligatures w14:val="none"/>
    </w:rPr>
  </w:style>
  <w:style w:type="table" w:customStyle="1" w:styleId="Tabela-Siatka3">
    <w:name w:val="Tabela - Siatka3"/>
    <w:basedOn w:val="Standardowy"/>
    <w:next w:val="Tabela-Siatka"/>
    <w:uiPriority w:val="39"/>
    <w:rsid w:val="0071475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listy6kolorowaakcent61">
    <w:name w:val="Tabela listy 6 — kolorowa — akcent 61"/>
    <w:basedOn w:val="Standardowy"/>
    <w:uiPriority w:val="51"/>
    <w:rsid w:val="0071475D"/>
    <w:rPr>
      <w:color w:val="538135" w:themeColor="accent6" w:themeShade="BF"/>
      <w:kern w:val="0"/>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elalisty7kolorowaakcent11">
    <w:name w:val="Tabela listy 7 — kolorowa — akcent 11"/>
    <w:basedOn w:val="Standardowy"/>
    <w:uiPriority w:val="52"/>
    <w:rsid w:val="0071475D"/>
    <w:rPr>
      <w:color w:val="2F5496" w:themeColor="accent1" w:themeShade="BF"/>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listy3akcent310">
    <w:name w:val="Tabela listy 3 — akcent 31"/>
    <w:basedOn w:val="Standardowy"/>
    <w:uiPriority w:val="48"/>
    <w:rsid w:val="0071475D"/>
    <w:rPr>
      <w:kern w:val="0"/>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msonormal0">
    <w:name w:val="msonormal"/>
    <w:basedOn w:val="Normalny"/>
    <w:rsid w:val="0071475D"/>
    <w:pPr>
      <w:spacing w:before="100" w:beforeAutospacing="1" w:after="100" w:afterAutospacing="1"/>
    </w:pPr>
    <w:rPr>
      <w:rFonts w:ascii="Times New Roman" w:eastAsia="Times New Roman" w:hAnsi="Times New Roman" w:cs="Times New Roman"/>
      <w:kern w:val="0"/>
      <w:sz w:val="24"/>
      <w:szCs w:val="24"/>
      <w:lang w:eastAsia="pl-PL"/>
      <w14:ligatures w14:val="none"/>
    </w:rPr>
  </w:style>
  <w:style w:type="table" w:customStyle="1" w:styleId="Tabelasiatki4akcent61">
    <w:name w:val="Tabela siatki 4 — akcent 61"/>
    <w:basedOn w:val="Standardowy"/>
    <w:uiPriority w:val="49"/>
    <w:rsid w:val="0071475D"/>
    <w:rPr>
      <w:kern w:val="0"/>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elasiatki5ciemnaakcent61">
    <w:name w:val="Tabela siatki 5 — ciemna — akcent 61"/>
    <w:basedOn w:val="Standardowy"/>
    <w:uiPriority w:val="50"/>
    <w:rsid w:val="0071475D"/>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elasiatki210">
    <w:name w:val="Tabela siatki 21"/>
    <w:basedOn w:val="Standardowy"/>
    <w:uiPriority w:val="47"/>
    <w:rsid w:val="0071475D"/>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listy1jasna1">
    <w:name w:val="Tabela listy 1 — jasna1"/>
    <w:basedOn w:val="Standardowy"/>
    <w:uiPriority w:val="46"/>
    <w:rsid w:val="0071475D"/>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i310">
    <w:name w:val="Tabela siatki 31"/>
    <w:basedOn w:val="Standardowy"/>
    <w:uiPriority w:val="48"/>
    <w:rsid w:val="0071475D"/>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elasiatki5ciemnaakcent310">
    <w:name w:val="Tabela siatki 5 — ciemna — akcent 31"/>
    <w:basedOn w:val="Standardowy"/>
    <w:uiPriority w:val="50"/>
    <w:rsid w:val="0071475D"/>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ela-Siatka4">
    <w:name w:val="Tabela - Siatka4"/>
    <w:basedOn w:val="Standardowy"/>
    <w:next w:val="Tabela-Siatka"/>
    <w:uiPriority w:val="39"/>
    <w:rsid w:val="0071475D"/>
    <w:pPr>
      <w:spacing w:before="200"/>
    </w:pPr>
    <w:rPr>
      <w:rFonts w:ascii="Times New Roman" w:eastAsia="Times New Roman" w:hAnsi="Times New Roman" w:cs="Times New Roman"/>
      <w:kern w:val="0"/>
      <w:sz w:val="24"/>
      <w:szCs w:val="24"/>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31">
    <w:name w:val="Nagłówek 31"/>
    <w:basedOn w:val="Normalny"/>
    <w:next w:val="Normalny"/>
    <w:uiPriority w:val="9"/>
    <w:semiHidden/>
    <w:unhideWhenUsed/>
    <w:qFormat/>
    <w:rsid w:val="0071475D"/>
    <w:pPr>
      <w:keepNext/>
      <w:keepLines/>
      <w:spacing w:before="40"/>
      <w:outlineLvl w:val="2"/>
    </w:pPr>
    <w:rPr>
      <w:rFonts w:ascii="Calibri Light" w:eastAsia="Times New Roman" w:hAnsi="Calibri Light" w:cs="Times New Roman"/>
      <w:color w:val="1F3763"/>
      <w:sz w:val="24"/>
      <w:szCs w:val="24"/>
      <w14:ligatures w14:val="none"/>
    </w:rPr>
  </w:style>
  <w:style w:type="paragraph" w:customStyle="1" w:styleId="Nagwek61">
    <w:name w:val="Nagłówek 61"/>
    <w:basedOn w:val="Normalny"/>
    <w:next w:val="Normalny"/>
    <w:uiPriority w:val="9"/>
    <w:semiHidden/>
    <w:unhideWhenUsed/>
    <w:qFormat/>
    <w:rsid w:val="0071475D"/>
    <w:pPr>
      <w:keepNext/>
      <w:keepLines/>
      <w:spacing w:before="40"/>
      <w:outlineLvl w:val="5"/>
    </w:pPr>
    <w:rPr>
      <w:rFonts w:ascii="Calibri Light" w:eastAsia="Times New Roman" w:hAnsi="Calibri Light" w:cs="Times New Roman"/>
      <w:color w:val="1F3763"/>
      <w14:ligatures w14:val="none"/>
    </w:rPr>
  </w:style>
  <w:style w:type="paragraph" w:customStyle="1" w:styleId="Tekstprzypisukocowego1">
    <w:name w:val="Tekst przypisu końcowego1"/>
    <w:basedOn w:val="Normalny"/>
    <w:next w:val="Tekstprzypisukocowego"/>
    <w:uiPriority w:val="99"/>
    <w:semiHidden/>
    <w:unhideWhenUsed/>
    <w:rsid w:val="0071475D"/>
    <w:rPr>
      <w:kern w:val="0"/>
      <w:sz w:val="20"/>
      <w:szCs w:val="20"/>
      <w14:ligatures w14:val="none"/>
    </w:rPr>
  </w:style>
  <w:style w:type="character" w:customStyle="1" w:styleId="Hipercze1">
    <w:name w:val="Hiperłącze1"/>
    <w:basedOn w:val="Domylnaczcionkaakapitu"/>
    <w:uiPriority w:val="99"/>
    <w:unhideWhenUsed/>
    <w:rsid w:val="0071475D"/>
    <w:rPr>
      <w:color w:val="0563C1"/>
      <w:u w:val="single"/>
    </w:rPr>
  </w:style>
  <w:style w:type="paragraph" w:customStyle="1" w:styleId="Tematkomentarza1">
    <w:name w:val="Temat komentarza1"/>
    <w:basedOn w:val="Tekstkomentarza"/>
    <w:next w:val="Tekstkomentarza"/>
    <w:uiPriority w:val="99"/>
    <w:semiHidden/>
    <w:unhideWhenUsed/>
    <w:rsid w:val="0071475D"/>
    <w:rPr>
      <w:rFonts w:ascii="Calibri" w:eastAsia="Calibri" w:hAnsi="Calibri"/>
      <w:b/>
      <w:bCs/>
      <w:kern w:val="2"/>
      <w:lang w:eastAsia="en-US"/>
    </w:rPr>
  </w:style>
  <w:style w:type="character" w:customStyle="1" w:styleId="Nagwek3Znak1">
    <w:name w:val="Nagłówek 3 Znak1"/>
    <w:basedOn w:val="Domylnaczcionkaakapitu"/>
    <w:uiPriority w:val="9"/>
    <w:semiHidden/>
    <w:rsid w:val="0071475D"/>
    <w:rPr>
      <w:rFonts w:asciiTheme="majorHAnsi" w:eastAsiaTheme="majorEastAsia" w:hAnsiTheme="majorHAnsi" w:cstheme="majorBidi"/>
      <w:b/>
      <w:bCs/>
      <w:color w:val="4472C4" w:themeColor="accent1"/>
    </w:rPr>
  </w:style>
  <w:style w:type="character" w:customStyle="1" w:styleId="Nagwek6Znak1">
    <w:name w:val="Nagłówek 6 Znak1"/>
    <w:basedOn w:val="Domylnaczcionkaakapitu"/>
    <w:uiPriority w:val="9"/>
    <w:semiHidden/>
    <w:rsid w:val="0071475D"/>
    <w:rPr>
      <w:rFonts w:asciiTheme="majorHAnsi" w:eastAsiaTheme="majorEastAsia" w:hAnsiTheme="majorHAnsi" w:cstheme="majorBidi"/>
      <w:i/>
      <w:iCs/>
      <w:color w:val="1F3763" w:themeColor="accent1" w:themeShade="7F"/>
    </w:rPr>
  </w:style>
  <w:style w:type="character" w:customStyle="1" w:styleId="TekstprzypisukocowegoZnak1">
    <w:name w:val="Tekst przypisu końcowego Znak1"/>
    <w:basedOn w:val="Domylnaczcionkaakapitu"/>
    <w:uiPriority w:val="99"/>
    <w:semiHidden/>
    <w:rsid w:val="0071475D"/>
    <w:rPr>
      <w:sz w:val="20"/>
      <w:szCs w:val="20"/>
    </w:rPr>
  </w:style>
  <w:style w:type="character" w:customStyle="1" w:styleId="TematkomentarzaZnak1">
    <w:name w:val="Temat komentarza Znak1"/>
    <w:basedOn w:val="TekstkomentarzaZnak"/>
    <w:uiPriority w:val="99"/>
    <w:semiHidden/>
    <w:rsid w:val="0071475D"/>
    <w:rPr>
      <w:rFonts w:ascii="Times New Roman" w:eastAsia="Times New Roman" w:hAnsi="Times New Roman" w:cs="Times New Roman"/>
      <w:b/>
      <w:bCs/>
      <w:kern w:val="0"/>
      <w:sz w:val="20"/>
      <w:szCs w:val="20"/>
      <w:lang w:eastAsia="pl-PL"/>
      <w14:ligatures w14:val="none"/>
    </w:rPr>
  </w:style>
  <w:style w:type="character" w:customStyle="1" w:styleId="TekstdymkaZnak1">
    <w:name w:val="Tekst dymka Znak1"/>
    <w:basedOn w:val="Domylnaczcionkaakapitu"/>
    <w:uiPriority w:val="99"/>
    <w:semiHidden/>
    <w:rsid w:val="0071475D"/>
    <w:rPr>
      <w:rFonts w:ascii="Segoe UI" w:hAnsi="Segoe UI" w:cs="Segoe UI"/>
      <w:sz w:val="18"/>
      <w:szCs w:val="18"/>
    </w:rPr>
  </w:style>
  <w:style w:type="table" w:customStyle="1" w:styleId="Tabelalisty4akcent11">
    <w:name w:val="Tabela listy 4 — akcent 11"/>
    <w:basedOn w:val="Standardowy"/>
    <w:uiPriority w:val="49"/>
    <w:rsid w:val="0071475D"/>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Siatka12">
    <w:name w:val="Tabela - Siatka12"/>
    <w:basedOn w:val="Standardowy"/>
    <w:next w:val="Tabela-Siatka"/>
    <w:uiPriority w:val="39"/>
    <w:rsid w:val="0071475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dniecieniowanie1akcent41">
    <w:name w:val="Średnie cieniowanie 1 — akcent 41"/>
    <w:basedOn w:val="Standardowy"/>
    <w:next w:val="redniecieniowanie1akcent4"/>
    <w:uiPriority w:val="63"/>
    <w:rsid w:val="0071475D"/>
    <w:rPr>
      <w:kern w:val="0"/>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rednialista1akcent51">
    <w:name w:val="Średnia lista 1 — akcent 51"/>
    <w:basedOn w:val="Standardowy"/>
    <w:next w:val="rednialista1akcent5"/>
    <w:uiPriority w:val="65"/>
    <w:rsid w:val="0071475D"/>
    <w:rPr>
      <w:color w:val="000000"/>
      <w:kern w:val="0"/>
      <w14:ligatures w14:val="none"/>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character" w:customStyle="1" w:styleId="Wyrnienieintensywne1">
    <w:name w:val="Wyróżnienie intensywne1"/>
    <w:basedOn w:val="Domylnaczcionkaakapitu"/>
    <w:uiPriority w:val="21"/>
    <w:qFormat/>
    <w:rsid w:val="0071475D"/>
    <w:rPr>
      <w:b/>
      <w:bCs/>
      <w:i/>
      <w:iCs/>
      <w:color w:val="4472C4"/>
    </w:rPr>
  </w:style>
  <w:style w:type="table" w:customStyle="1" w:styleId="Tabelasiatki4akcent120">
    <w:name w:val="Tabela siatki 4 — akcent 12"/>
    <w:basedOn w:val="Standardowy"/>
    <w:next w:val="Tabelasiatki4akcent11"/>
    <w:uiPriority w:val="49"/>
    <w:rsid w:val="0071475D"/>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Siatka21">
    <w:name w:val="Tabela - Siatka21"/>
    <w:basedOn w:val="Standardowy"/>
    <w:next w:val="Tabela-Siatka"/>
    <w:uiPriority w:val="39"/>
    <w:rsid w:val="0071475D"/>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110">
    <w:name w:val="Zwykła tabela 11"/>
    <w:basedOn w:val="Standardowy"/>
    <w:next w:val="Zwykatabela12"/>
    <w:uiPriority w:val="41"/>
    <w:rsid w:val="0071475D"/>
    <w:rPr>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atki2akcent310">
    <w:name w:val="Tabela siatki 2 — akcent 31"/>
    <w:basedOn w:val="Standardowy"/>
    <w:next w:val="Tabelasiatki2akcent32"/>
    <w:uiPriority w:val="47"/>
    <w:rsid w:val="0071475D"/>
    <w:rPr>
      <w14:ligatures w14:val="none"/>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Zwykatabela12">
    <w:name w:val="Zwykła tabela 12"/>
    <w:basedOn w:val="Standardowy"/>
    <w:uiPriority w:val="41"/>
    <w:rsid w:val="0071475D"/>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iatki4akcent32">
    <w:name w:val="Tabela siatki 4 — akcent 32"/>
    <w:basedOn w:val="Standardowy"/>
    <w:uiPriority w:val="49"/>
    <w:rsid w:val="0071475D"/>
    <w:rPr>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asiatki2akcent32">
    <w:name w:val="Tabela siatki 2 — akcent 32"/>
    <w:basedOn w:val="Standardowy"/>
    <w:uiPriority w:val="47"/>
    <w:rsid w:val="0071475D"/>
    <w:rPr>
      <w:kern w:val="0"/>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alisty7kolorowa2">
    <w:name w:val="Tabela listy 7 — kolorowa2"/>
    <w:basedOn w:val="Standardowy"/>
    <w:uiPriority w:val="52"/>
    <w:rsid w:val="0071475D"/>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siatki7kolorowa1">
    <w:name w:val="Tabela siatki 7 — kolorowa1"/>
    <w:basedOn w:val="Standardowy"/>
    <w:uiPriority w:val="52"/>
    <w:rsid w:val="0071475D"/>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elasiatki6kolorowa1">
    <w:name w:val="Tabela siatki 6 — kolorowa1"/>
    <w:basedOn w:val="Standardowy"/>
    <w:uiPriority w:val="51"/>
    <w:rsid w:val="0071475D"/>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listy21">
    <w:name w:val="Tabela listy 21"/>
    <w:basedOn w:val="Standardowy"/>
    <w:uiPriority w:val="47"/>
    <w:rsid w:val="0071475D"/>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3">
    <w:name w:val="Nierozpoznana wzmianka3"/>
    <w:basedOn w:val="Domylnaczcionkaakapitu"/>
    <w:uiPriority w:val="99"/>
    <w:semiHidden/>
    <w:unhideWhenUsed/>
    <w:rsid w:val="0071475D"/>
    <w:rPr>
      <w:color w:val="605E5C"/>
      <w:shd w:val="clear" w:color="auto" w:fill="E1DFDD"/>
    </w:rPr>
  </w:style>
  <w:style w:type="table" w:customStyle="1" w:styleId="Tabelasiatki1jasna2">
    <w:name w:val="Tabela siatki 1 — jasna2"/>
    <w:basedOn w:val="Standardowy"/>
    <w:uiPriority w:val="46"/>
    <w:rsid w:val="0071475D"/>
    <w:rPr>
      <w:rFonts w:eastAsiaTheme="minorEastAsia"/>
      <w:kern w:val="0"/>
      <w:lang w:eastAsia="pl-PL"/>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listy7kolorowa20">
    <w:name w:val="Tabela listy 7 — kolorowa2"/>
    <w:basedOn w:val="Standardowy"/>
    <w:uiPriority w:val="52"/>
    <w:rsid w:val="0071475D"/>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siatki7kolorowa10">
    <w:name w:val="Tabela siatki 7 — kolorowa1"/>
    <w:basedOn w:val="Standardowy"/>
    <w:uiPriority w:val="52"/>
    <w:rsid w:val="0071475D"/>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elasiatki32">
    <w:name w:val="Tabela siatki 32"/>
    <w:basedOn w:val="Standardowy"/>
    <w:uiPriority w:val="48"/>
    <w:rsid w:val="0071475D"/>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l-PL"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able of figures" w:qFormat="1"/>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70DF5"/>
  </w:style>
  <w:style w:type="paragraph" w:styleId="Nagwek1">
    <w:name w:val="heading 1"/>
    <w:basedOn w:val="Normalny"/>
    <w:next w:val="Normalny"/>
    <w:link w:val="Nagwek1Znak"/>
    <w:uiPriority w:val="9"/>
    <w:qFormat/>
    <w:rsid w:val="00907EC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aliases w:val="drugi"/>
    <w:basedOn w:val="Normalny"/>
    <w:next w:val="Normalny"/>
    <w:link w:val="Nagwek2Znak"/>
    <w:uiPriority w:val="9"/>
    <w:unhideWhenUsed/>
    <w:qFormat/>
    <w:rsid w:val="00907EC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15572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autoRedefine/>
    <w:unhideWhenUsed/>
    <w:qFormat/>
    <w:rsid w:val="002C63F4"/>
    <w:pPr>
      <w:keepNext/>
      <w:keepLines/>
      <w:spacing w:before="40" w:line="276" w:lineRule="auto"/>
      <w:ind w:left="1440" w:hanging="1080"/>
      <w:outlineLvl w:val="3"/>
    </w:pPr>
    <w:rPr>
      <w:rFonts w:ascii="Calibri" w:eastAsiaTheme="majorEastAsia" w:hAnsi="Calibri" w:cstheme="majorBidi"/>
      <w:b/>
      <w:iCs/>
      <w:noProof/>
      <w:kern w:val="0"/>
      <w:sz w:val="24"/>
      <w14:ligatures w14:val="none"/>
    </w:rPr>
  </w:style>
  <w:style w:type="paragraph" w:styleId="Nagwek5">
    <w:name w:val="heading 5"/>
    <w:basedOn w:val="Normalny"/>
    <w:next w:val="Normalny"/>
    <w:link w:val="Nagwek5Znak"/>
    <w:uiPriority w:val="9"/>
    <w:unhideWhenUsed/>
    <w:qFormat/>
    <w:rsid w:val="00224658"/>
    <w:pPr>
      <w:keepNext/>
      <w:keepLines/>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nhideWhenUsed/>
    <w:qFormat/>
    <w:rsid w:val="0071475D"/>
    <w:pPr>
      <w:keepNext/>
      <w:keepLines/>
      <w:spacing w:before="40" w:line="259" w:lineRule="auto"/>
      <w:outlineLvl w:val="5"/>
    </w:pPr>
    <w:rPr>
      <w:rFonts w:asciiTheme="majorHAnsi" w:eastAsiaTheme="majorEastAsia" w:hAnsiTheme="majorHAnsi" w:cstheme="majorBidi"/>
      <w:color w:val="1F3763" w:themeColor="accent1" w:themeShade="7F"/>
      <w:kern w:val="0"/>
      <w:sz w:val="24"/>
      <w:szCs w:val="24"/>
      <w:lang w:eastAsia="pl-PL"/>
      <w14:ligatures w14:val="none"/>
    </w:rPr>
  </w:style>
  <w:style w:type="paragraph" w:styleId="Nagwek7">
    <w:name w:val="heading 7"/>
    <w:basedOn w:val="Normalny"/>
    <w:next w:val="Normalny"/>
    <w:link w:val="Nagwek7Znak"/>
    <w:uiPriority w:val="9"/>
    <w:unhideWhenUsed/>
    <w:qFormat/>
    <w:rsid w:val="0071475D"/>
    <w:pPr>
      <w:keepNext/>
      <w:keepLines/>
      <w:spacing w:before="40" w:line="259" w:lineRule="auto"/>
      <w:outlineLvl w:val="6"/>
    </w:pPr>
    <w:rPr>
      <w:rFonts w:asciiTheme="majorHAnsi" w:eastAsiaTheme="majorEastAsia" w:hAnsiTheme="majorHAnsi" w:cstheme="majorBidi"/>
      <w:i/>
      <w:iCs/>
      <w:color w:val="1F3763" w:themeColor="accent1" w:themeShade="7F"/>
      <w:kern w:val="0"/>
      <w:sz w:val="24"/>
      <w:szCs w:val="24"/>
      <w:lang w:eastAsia="pl-PL"/>
      <w14:ligatures w14:val="none"/>
    </w:rPr>
  </w:style>
  <w:style w:type="paragraph" w:styleId="Nagwek8">
    <w:name w:val="heading 8"/>
    <w:basedOn w:val="Normalny"/>
    <w:next w:val="Normalny"/>
    <w:link w:val="Nagwek8Znak"/>
    <w:uiPriority w:val="9"/>
    <w:semiHidden/>
    <w:unhideWhenUsed/>
    <w:qFormat/>
    <w:rsid w:val="0071475D"/>
    <w:pPr>
      <w:keepNext/>
      <w:keepLines/>
      <w:spacing w:before="40"/>
      <w:ind w:left="1440" w:hanging="1440"/>
      <w:jc w:val="both"/>
      <w:outlineLvl w:val="7"/>
    </w:pPr>
    <w:rPr>
      <w:rFonts w:asciiTheme="majorHAnsi" w:eastAsiaTheme="majorEastAsia" w:hAnsiTheme="majorHAnsi" w:cstheme="majorBidi"/>
      <w:color w:val="272727" w:themeColor="text1" w:themeTint="D8"/>
      <w:kern w:val="0"/>
      <w:sz w:val="21"/>
      <w:szCs w:val="21"/>
      <w:lang w:eastAsia="pl-PL"/>
      <w14:ligatures w14:val="none"/>
    </w:rPr>
  </w:style>
  <w:style w:type="paragraph" w:styleId="Nagwek9">
    <w:name w:val="heading 9"/>
    <w:basedOn w:val="Normalny"/>
    <w:next w:val="Normalny"/>
    <w:link w:val="Nagwek9Znak"/>
    <w:uiPriority w:val="9"/>
    <w:semiHidden/>
    <w:unhideWhenUsed/>
    <w:qFormat/>
    <w:rsid w:val="0071475D"/>
    <w:pPr>
      <w:keepNext/>
      <w:keepLines/>
      <w:spacing w:before="40"/>
      <w:ind w:left="1584" w:hanging="1584"/>
      <w:jc w:val="both"/>
      <w:outlineLvl w:val="8"/>
    </w:pPr>
    <w:rPr>
      <w:rFonts w:asciiTheme="majorHAnsi" w:eastAsiaTheme="majorEastAsia" w:hAnsiTheme="majorHAnsi" w:cstheme="majorBidi"/>
      <w:i/>
      <w:iCs/>
      <w:color w:val="272727" w:themeColor="text1" w:themeTint="D8"/>
      <w:kern w:val="0"/>
      <w:sz w:val="21"/>
      <w:szCs w:val="21"/>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7EC2"/>
    <w:rPr>
      <w:rFonts w:asciiTheme="majorHAnsi" w:eastAsiaTheme="majorEastAsia" w:hAnsiTheme="majorHAnsi" w:cstheme="majorBidi"/>
      <w:color w:val="2F5496" w:themeColor="accent1" w:themeShade="BF"/>
      <w:sz w:val="32"/>
      <w:szCs w:val="32"/>
    </w:rPr>
  </w:style>
  <w:style w:type="character" w:customStyle="1" w:styleId="Nagwek2Znak">
    <w:name w:val="Nagłówek 2 Znak"/>
    <w:aliases w:val="drugi Znak"/>
    <w:basedOn w:val="Domylnaczcionkaakapitu"/>
    <w:link w:val="Nagwek2"/>
    <w:uiPriority w:val="9"/>
    <w:rsid w:val="00907EC2"/>
    <w:rPr>
      <w:rFonts w:asciiTheme="majorHAnsi" w:eastAsiaTheme="majorEastAsia" w:hAnsiTheme="majorHAnsi" w:cstheme="majorBidi"/>
      <w:color w:val="2F5496" w:themeColor="accent1" w:themeShade="BF"/>
      <w:sz w:val="26"/>
      <w:szCs w:val="26"/>
    </w:rPr>
  </w:style>
  <w:style w:type="paragraph" w:styleId="Akapitzlist">
    <w:name w:val="List Paragraph"/>
    <w:aliases w:val="L1,Numerowanie,List Paragraph,Akapit z listą BS,Kolorowa lista — akcent 11,Normal,maz_wyliczenie,opis dzialania,K-P_odwolanie,A_wyliczenie,Akapit z listą5,Obiekt,List Paragraph1,BulletC,normalny tekst,Akapit z listą31,TRAKO Akapit z listą"/>
    <w:basedOn w:val="Normalny"/>
    <w:link w:val="AkapitzlistZnak"/>
    <w:uiPriority w:val="34"/>
    <w:qFormat/>
    <w:rsid w:val="00907EC2"/>
    <w:pPr>
      <w:ind w:left="720"/>
      <w:contextualSpacing/>
    </w:pPr>
  </w:style>
  <w:style w:type="paragraph" w:styleId="NormalnyWeb">
    <w:name w:val="Normal (Web)"/>
    <w:basedOn w:val="Normalny"/>
    <w:link w:val="NormalnyWebZnak"/>
    <w:uiPriority w:val="99"/>
    <w:rsid w:val="00121F8C"/>
    <w:pPr>
      <w:suppressAutoHyphens/>
      <w:spacing w:before="280" w:after="280"/>
    </w:pPr>
    <w:rPr>
      <w:rFonts w:ascii="Times New Roman" w:eastAsia="Times New Roman" w:hAnsi="Times New Roman" w:cs="Times New Roman"/>
      <w:kern w:val="0"/>
      <w:sz w:val="24"/>
      <w:szCs w:val="24"/>
      <w:lang w:eastAsia="ar-SA"/>
      <w14:ligatures w14:val="none"/>
    </w:rPr>
  </w:style>
  <w:style w:type="character" w:customStyle="1" w:styleId="Nagwek3Znak">
    <w:name w:val="Nagłówek 3 Znak"/>
    <w:basedOn w:val="Domylnaczcionkaakapitu"/>
    <w:link w:val="Nagwek3"/>
    <w:uiPriority w:val="9"/>
    <w:rsid w:val="00155723"/>
    <w:rPr>
      <w:rFonts w:asciiTheme="majorHAnsi" w:eastAsiaTheme="majorEastAsia" w:hAnsiTheme="majorHAnsi" w:cstheme="majorBidi"/>
      <w:color w:val="1F3763" w:themeColor="accent1" w:themeShade="7F"/>
      <w:sz w:val="24"/>
      <w:szCs w:val="24"/>
    </w:rPr>
  </w:style>
  <w:style w:type="paragraph" w:styleId="Tekstprzypisukocowego">
    <w:name w:val="endnote text"/>
    <w:basedOn w:val="Normalny"/>
    <w:link w:val="TekstprzypisukocowegoZnak"/>
    <w:uiPriority w:val="99"/>
    <w:semiHidden/>
    <w:unhideWhenUsed/>
    <w:rsid w:val="00444111"/>
    <w:rPr>
      <w:sz w:val="20"/>
      <w:szCs w:val="20"/>
    </w:rPr>
  </w:style>
  <w:style w:type="character" w:customStyle="1" w:styleId="TekstprzypisukocowegoZnak">
    <w:name w:val="Tekst przypisu końcowego Znak"/>
    <w:basedOn w:val="Domylnaczcionkaakapitu"/>
    <w:link w:val="Tekstprzypisukocowego"/>
    <w:uiPriority w:val="99"/>
    <w:semiHidden/>
    <w:rsid w:val="00444111"/>
    <w:rPr>
      <w:sz w:val="20"/>
      <w:szCs w:val="20"/>
    </w:rPr>
  </w:style>
  <w:style w:type="character" w:styleId="Odwoanieprzypisukocowego">
    <w:name w:val="endnote reference"/>
    <w:basedOn w:val="Domylnaczcionkaakapitu"/>
    <w:uiPriority w:val="99"/>
    <w:semiHidden/>
    <w:unhideWhenUsed/>
    <w:rsid w:val="00444111"/>
    <w:rPr>
      <w:vertAlign w:val="superscript"/>
    </w:rPr>
  </w:style>
  <w:style w:type="character" w:styleId="Pogrubienie">
    <w:name w:val="Strong"/>
    <w:basedOn w:val="Domylnaczcionkaakapitu"/>
    <w:uiPriority w:val="22"/>
    <w:qFormat/>
    <w:rsid w:val="00777C1B"/>
    <w:rPr>
      <w:b/>
      <w:bCs/>
    </w:rPr>
  </w:style>
  <w:style w:type="paragraph" w:customStyle="1" w:styleId="Default">
    <w:name w:val="Default"/>
    <w:link w:val="DefaultZnak"/>
    <w:rsid w:val="0038786A"/>
    <w:pPr>
      <w:autoSpaceDE w:val="0"/>
      <w:autoSpaceDN w:val="0"/>
      <w:adjustRightInd w:val="0"/>
    </w:pPr>
    <w:rPr>
      <w:rFonts w:ascii="Times New Roman" w:eastAsia="Times New Roman" w:hAnsi="Times New Roman" w:cs="Times New Roman"/>
      <w:color w:val="000000"/>
      <w:kern w:val="0"/>
      <w:sz w:val="24"/>
      <w:szCs w:val="24"/>
      <w:lang w:eastAsia="pl-PL"/>
      <w14:ligatures w14:val="none"/>
    </w:rPr>
  </w:style>
  <w:style w:type="character" w:styleId="Odwoaniedokomentarza">
    <w:name w:val="annotation reference"/>
    <w:uiPriority w:val="99"/>
    <w:semiHidden/>
    <w:rsid w:val="0064487A"/>
    <w:rPr>
      <w:sz w:val="16"/>
      <w:szCs w:val="16"/>
    </w:rPr>
  </w:style>
  <w:style w:type="paragraph" w:styleId="Tekstkomentarza">
    <w:name w:val="annotation text"/>
    <w:basedOn w:val="Normalny"/>
    <w:link w:val="TekstkomentarzaZnak"/>
    <w:uiPriority w:val="99"/>
    <w:rsid w:val="0064487A"/>
    <w:rPr>
      <w:rFonts w:ascii="Times New Roman" w:eastAsia="Times New Roman" w:hAnsi="Times New Roman" w:cs="Times New Roman"/>
      <w:kern w:val="0"/>
      <w:sz w:val="20"/>
      <w:szCs w:val="20"/>
      <w:lang w:eastAsia="pl-PL"/>
      <w14:ligatures w14:val="none"/>
    </w:rPr>
  </w:style>
  <w:style w:type="character" w:customStyle="1" w:styleId="TekstkomentarzaZnak">
    <w:name w:val="Tekst komentarza Znak"/>
    <w:basedOn w:val="Domylnaczcionkaakapitu"/>
    <w:link w:val="Tekstkomentarza"/>
    <w:uiPriority w:val="99"/>
    <w:rsid w:val="0064487A"/>
    <w:rPr>
      <w:rFonts w:ascii="Times New Roman" w:eastAsia="Times New Roman" w:hAnsi="Times New Roman" w:cs="Times New Roman"/>
      <w:kern w:val="0"/>
      <w:sz w:val="20"/>
      <w:szCs w:val="20"/>
      <w:lang w:eastAsia="pl-PL"/>
      <w14:ligatures w14:val="none"/>
    </w:rPr>
  </w:style>
  <w:style w:type="character" w:styleId="Hipercze">
    <w:name w:val="Hyperlink"/>
    <w:basedOn w:val="Domylnaczcionkaakapitu"/>
    <w:uiPriority w:val="99"/>
    <w:unhideWhenUsed/>
    <w:rsid w:val="00AD0BAC"/>
    <w:rPr>
      <w:color w:val="0000FF"/>
      <w:u w:val="single"/>
    </w:rPr>
  </w:style>
  <w:style w:type="paragraph" w:customStyle="1" w:styleId="Akapitzlist1">
    <w:name w:val="Akapit z listą1"/>
    <w:basedOn w:val="Normalny"/>
    <w:uiPriority w:val="99"/>
    <w:rsid w:val="00383D5D"/>
    <w:pPr>
      <w:spacing w:after="160" w:line="259" w:lineRule="auto"/>
      <w:ind w:left="720"/>
      <w:contextualSpacing/>
    </w:pPr>
    <w:rPr>
      <w:rFonts w:ascii="Calibri" w:eastAsia="Times New Roman" w:hAnsi="Calibri" w:cs="Times New Roman"/>
      <w:kern w:val="0"/>
      <w:sz w:val="21"/>
      <w:szCs w:val="21"/>
      <w:lang w:eastAsia="pl-PL"/>
      <w14:ligatures w14:val="none"/>
    </w:rPr>
  </w:style>
  <w:style w:type="paragraph" w:styleId="Tekstpodstawowy">
    <w:name w:val="Body Text"/>
    <w:basedOn w:val="Normalny"/>
    <w:link w:val="TekstpodstawowyZnak"/>
    <w:qFormat/>
    <w:rsid w:val="00A15C37"/>
    <w:pPr>
      <w:suppressAutoHyphens/>
      <w:jc w:val="both"/>
    </w:pPr>
    <w:rPr>
      <w:rFonts w:ascii="Times New Roman" w:eastAsia="Times New Roman" w:hAnsi="Times New Roman" w:cs="Times New Roman"/>
      <w:kern w:val="0"/>
      <w:sz w:val="24"/>
      <w:szCs w:val="24"/>
      <w:lang w:eastAsia="ar-SA"/>
      <w14:ligatures w14:val="none"/>
    </w:rPr>
  </w:style>
  <w:style w:type="character" w:customStyle="1" w:styleId="TekstpodstawowyZnak">
    <w:name w:val="Tekst podstawowy Znak"/>
    <w:basedOn w:val="Domylnaczcionkaakapitu"/>
    <w:link w:val="Tekstpodstawowy"/>
    <w:rsid w:val="00A15C37"/>
    <w:rPr>
      <w:rFonts w:ascii="Times New Roman" w:eastAsia="Times New Roman" w:hAnsi="Times New Roman" w:cs="Times New Roman"/>
      <w:kern w:val="0"/>
      <w:sz w:val="24"/>
      <w:szCs w:val="24"/>
      <w:lang w:eastAsia="ar-SA"/>
      <w14:ligatures w14:val="none"/>
    </w:rPr>
  </w:style>
  <w:style w:type="paragraph" w:styleId="Nagwekspisutreci">
    <w:name w:val="TOC Heading"/>
    <w:basedOn w:val="Nagwek1"/>
    <w:next w:val="Normalny"/>
    <w:uiPriority w:val="39"/>
    <w:unhideWhenUsed/>
    <w:qFormat/>
    <w:rsid w:val="000A61F4"/>
    <w:pPr>
      <w:spacing w:line="259" w:lineRule="auto"/>
      <w:outlineLvl w:val="9"/>
    </w:pPr>
    <w:rPr>
      <w:kern w:val="0"/>
      <w:lang w:eastAsia="pl-PL"/>
      <w14:ligatures w14:val="none"/>
    </w:rPr>
  </w:style>
  <w:style w:type="paragraph" w:styleId="Spistreci1">
    <w:name w:val="toc 1"/>
    <w:basedOn w:val="Normalny"/>
    <w:next w:val="Normalny"/>
    <w:autoRedefine/>
    <w:uiPriority w:val="39"/>
    <w:unhideWhenUsed/>
    <w:rsid w:val="000A61F4"/>
    <w:pPr>
      <w:spacing w:after="100"/>
    </w:pPr>
  </w:style>
  <w:style w:type="paragraph" w:styleId="Spistreci2">
    <w:name w:val="toc 2"/>
    <w:basedOn w:val="Normalny"/>
    <w:next w:val="Normalny"/>
    <w:autoRedefine/>
    <w:uiPriority w:val="39"/>
    <w:unhideWhenUsed/>
    <w:rsid w:val="000A61F4"/>
    <w:pPr>
      <w:spacing w:after="100"/>
      <w:ind w:left="220"/>
    </w:pPr>
  </w:style>
  <w:style w:type="table" w:customStyle="1" w:styleId="Tabelalisty4akcent31">
    <w:name w:val="Tabela listy 4 — akcent 31"/>
    <w:basedOn w:val="Standardowy"/>
    <w:next w:val="Tabelalisty4akcent32"/>
    <w:uiPriority w:val="49"/>
    <w:rsid w:val="00E2372E"/>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Tabela-Siatka">
    <w:name w:val="Table Grid"/>
    <w:basedOn w:val="Standardowy"/>
    <w:uiPriority w:val="59"/>
    <w:rsid w:val="00E2372E"/>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listy4akcent32">
    <w:name w:val="Tabela listy 4 — akcent 32"/>
    <w:basedOn w:val="Standardowy"/>
    <w:uiPriority w:val="49"/>
    <w:rsid w:val="00E2372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asiatki1jasnaakcent11">
    <w:name w:val="Tabela siatki 1 — jasna — akcent 11"/>
    <w:basedOn w:val="Standardowy"/>
    <w:uiPriority w:val="46"/>
    <w:rsid w:val="00B520BD"/>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Nagwek5Znak">
    <w:name w:val="Nagłówek 5 Znak"/>
    <w:basedOn w:val="Domylnaczcionkaakapitu"/>
    <w:link w:val="Nagwek5"/>
    <w:uiPriority w:val="9"/>
    <w:rsid w:val="00224658"/>
    <w:rPr>
      <w:rFonts w:asciiTheme="majorHAnsi" w:eastAsiaTheme="majorEastAsia" w:hAnsiTheme="majorHAnsi" w:cstheme="majorBidi"/>
      <w:color w:val="2F5496" w:themeColor="accent1" w:themeShade="BF"/>
    </w:rPr>
  </w:style>
  <w:style w:type="character" w:customStyle="1" w:styleId="Nierozpoznanawzmianka1">
    <w:name w:val="Nierozpoznana wzmianka1"/>
    <w:basedOn w:val="Domylnaczcionkaakapitu"/>
    <w:uiPriority w:val="99"/>
    <w:semiHidden/>
    <w:unhideWhenUsed/>
    <w:rsid w:val="00224658"/>
    <w:rPr>
      <w:color w:val="605E5C"/>
      <w:shd w:val="clear" w:color="auto" w:fill="E1DFDD"/>
    </w:rPr>
  </w:style>
  <w:style w:type="paragraph" w:customStyle="1" w:styleId="Styl1Znak">
    <w:name w:val="Styl1 Znak"/>
    <w:basedOn w:val="Normalny"/>
    <w:rsid w:val="00224658"/>
    <w:pPr>
      <w:spacing w:after="100" w:afterAutospacing="1" w:line="264" w:lineRule="auto"/>
      <w:ind w:firstLine="680"/>
      <w:jc w:val="both"/>
    </w:pPr>
    <w:rPr>
      <w:rFonts w:ascii="Times New Roman" w:eastAsia="Times New Roman" w:hAnsi="Times New Roman" w:cs="Times New Roman"/>
      <w:kern w:val="0"/>
      <w:sz w:val="24"/>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224658"/>
    <w:rPr>
      <w:rFonts w:asciiTheme="minorHAnsi" w:eastAsiaTheme="minorHAnsi" w:hAnsiTheme="minorHAnsi" w:cstheme="minorBidi"/>
      <w:b/>
      <w:bCs/>
      <w:kern w:val="2"/>
      <w:lang w:eastAsia="en-US"/>
      <w14:ligatures w14:val="standardContextual"/>
    </w:rPr>
  </w:style>
  <w:style w:type="character" w:customStyle="1" w:styleId="TematkomentarzaZnak">
    <w:name w:val="Temat komentarza Znak"/>
    <w:basedOn w:val="TekstkomentarzaZnak"/>
    <w:link w:val="Tematkomentarza"/>
    <w:uiPriority w:val="99"/>
    <w:semiHidden/>
    <w:rsid w:val="00224658"/>
    <w:rPr>
      <w:rFonts w:ascii="Times New Roman" w:eastAsia="Times New Roman" w:hAnsi="Times New Roman" w:cs="Times New Roman"/>
      <w:b/>
      <w:bCs/>
      <w:kern w:val="0"/>
      <w:sz w:val="20"/>
      <w:szCs w:val="20"/>
      <w:lang w:eastAsia="pl-PL"/>
      <w14:ligatures w14:val="none"/>
    </w:rPr>
  </w:style>
  <w:style w:type="table" w:customStyle="1" w:styleId="Tabela-Siatka1">
    <w:name w:val="Tabela - Siatka1"/>
    <w:basedOn w:val="Standardowy"/>
    <w:next w:val="Tabela-Siatka"/>
    <w:uiPriority w:val="39"/>
    <w:rsid w:val="00224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224658"/>
    <w:pPr>
      <w:widowControl w:val="0"/>
      <w:autoSpaceDE w:val="0"/>
      <w:autoSpaceDN w:val="0"/>
      <w:spacing w:line="269" w:lineRule="exact"/>
      <w:ind w:left="427" w:hanging="284"/>
    </w:pPr>
    <w:rPr>
      <w:rFonts w:ascii="Times New Roman" w:eastAsia="Times New Roman" w:hAnsi="Times New Roman" w:cs="Times New Roman"/>
      <w:kern w:val="0"/>
      <w14:ligatures w14:val="none"/>
    </w:rPr>
  </w:style>
  <w:style w:type="paragraph" w:styleId="Bezodstpw">
    <w:name w:val="No Spacing"/>
    <w:link w:val="BezodstpwZnak"/>
    <w:uiPriority w:val="1"/>
    <w:qFormat/>
    <w:rsid w:val="00224658"/>
    <w:rPr>
      <w:kern w:val="0"/>
      <w14:ligatures w14:val="none"/>
    </w:rPr>
  </w:style>
  <w:style w:type="character" w:customStyle="1" w:styleId="AkapitzlistZnak">
    <w:name w:val="Akapit z listą Znak"/>
    <w:aliases w:val="L1 Znak,Numerowanie Znak,List Paragraph Znak,Akapit z listą BS Znak,Kolorowa lista — akcent 11 Znak,Normal Znak,maz_wyliczenie Znak,opis dzialania Znak,K-P_odwolanie Znak,A_wyliczenie Znak,Akapit z listą5 Znak,Obiekt Znak"/>
    <w:link w:val="Akapitzlist"/>
    <w:uiPriority w:val="34"/>
    <w:qFormat/>
    <w:locked/>
    <w:rsid w:val="00224658"/>
  </w:style>
  <w:style w:type="paragraph" w:styleId="Tekstprzypisudolnego">
    <w:name w:val="footnote text"/>
    <w:aliases w:val="Podrozdział,Podrozdzia3,Footnote,-E Fuﬂnotentext,Fuﬂnotentext Ursprung,Fußnotentext Ursprung,-E Fußnotentext,Fußnote,Footnote text,Tekst przypisu Znak Znak Znak Znak,Tekst przypisu Znak Znak Znak Znak Znak,Podrozdzia3 Znak Znak"/>
    <w:basedOn w:val="Normalny"/>
    <w:link w:val="TekstprzypisudolnegoZnak"/>
    <w:uiPriority w:val="99"/>
    <w:unhideWhenUsed/>
    <w:qFormat/>
    <w:rsid w:val="00224658"/>
    <w:rPr>
      <w:kern w:val="0"/>
      <w:sz w:val="20"/>
      <w:szCs w:val="20"/>
      <w14:ligatures w14:val="none"/>
    </w:rPr>
  </w:style>
  <w:style w:type="character" w:customStyle="1" w:styleId="TekstprzypisudolnegoZnak">
    <w:name w:val="Tekst przypisu dolnego Znak"/>
    <w:aliases w:val="Podrozdział Znak,Podrozdzia3 Znak,Footnote Znak,-E Fuﬂnotentext Znak,Fuﬂnotentext Ursprung Znak,Fußnotentext Ursprung Znak,-E Fußnotentext Znak,Fußnote Znak,Footnote text Znak,Tekst przypisu Znak Znak Znak Znak Znak1"/>
    <w:basedOn w:val="Domylnaczcionkaakapitu"/>
    <w:link w:val="Tekstprzypisudolnego"/>
    <w:uiPriority w:val="99"/>
    <w:rsid w:val="00224658"/>
    <w:rPr>
      <w:kern w:val="0"/>
      <w:sz w:val="20"/>
      <w:szCs w:val="20"/>
      <w14:ligatures w14:val="none"/>
    </w:rPr>
  </w:style>
  <w:style w:type="character" w:styleId="Odwoanieprzypisudolnego">
    <w:name w:val="footnote reference"/>
    <w:aliases w:val="Odwołanie przypisu,Footnote Reference Number,Odwołanie przypisu1,Odwołanie przypisu2"/>
    <w:basedOn w:val="Domylnaczcionkaakapitu"/>
    <w:uiPriority w:val="99"/>
    <w:unhideWhenUsed/>
    <w:rsid w:val="00224658"/>
    <w:rPr>
      <w:vertAlign w:val="superscript"/>
    </w:rPr>
  </w:style>
  <w:style w:type="paragraph" w:styleId="Spistreci3">
    <w:name w:val="toc 3"/>
    <w:basedOn w:val="Normalny"/>
    <w:next w:val="Normalny"/>
    <w:autoRedefine/>
    <w:uiPriority w:val="39"/>
    <w:unhideWhenUsed/>
    <w:rsid w:val="007E3E1A"/>
    <w:pPr>
      <w:spacing w:after="100" w:line="259" w:lineRule="auto"/>
      <w:ind w:left="440"/>
    </w:pPr>
    <w:rPr>
      <w:rFonts w:eastAsiaTheme="minorEastAsia" w:cs="Times New Roman"/>
      <w:kern w:val="0"/>
      <w:lang w:eastAsia="pl-PL"/>
      <w14:ligatures w14:val="none"/>
    </w:rPr>
  </w:style>
  <w:style w:type="table" w:customStyle="1" w:styleId="Tabela-Siatka2">
    <w:name w:val="Tabela - Siatka2"/>
    <w:basedOn w:val="Standardowy"/>
    <w:next w:val="Tabela-Siatka"/>
    <w:uiPriority w:val="39"/>
    <w:rsid w:val="002B0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111">
    <w:name w:val="Zwykła tabela 111"/>
    <w:basedOn w:val="Standardowy"/>
    <w:next w:val="Zwykatabela11"/>
    <w:uiPriority w:val="41"/>
    <w:rsid w:val="00857736"/>
    <w:rPr>
      <w:rFonts w:ascii="Calibri"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Zwykatabela11">
    <w:name w:val="Zwykła tabela 11"/>
    <w:basedOn w:val="Standardowy"/>
    <w:uiPriority w:val="41"/>
    <w:rsid w:val="0085773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ierozpoznanawzmianka2">
    <w:name w:val="Nierozpoznana wzmianka2"/>
    <w:basedOn w:val="Domylnaczcionkaakapitu"/>
    <w:uiPriority w:val="99"/>
    <w:semiHidden/>
    <w:unhideWhenUsed/>
    <w:rsid w:val="00E924BA"/>
    <w:rPr>
      <w:color w:val="605E5C"/>
      <w:shd w:val="clear" w:color="auto" w:fill="E1DFDD"/>
    </w:rPr>
  </w:style>
  <w:style w:type="character" w:customStyle="1" w:styleId="Nagwek4Znak">
    <w:name w:val="Nagłówek 4 Znak"/>
    <w:basedOn w:val="Domylnaczcionkaakapitu"/>
    <w:link w:val="Nagwek4"/>
    <w:rsid w:val="002C63F4"/>
    <w:rPr>
      <w:rFonts w:ascii="Calibri" w:eastAsiaTheme="majorEastAsia" w:hAnsi="Calibri" w:cstheme="majorBidi"/>
      <w:b/>
      <w:iCs/>
      <w:noProof/>
      <w:kern w:val="0"/>
      <w:sz w:val="24"/>
      <w14:ligatures w14:val="none"/>
    </w:rPr>
  </w:style>
  <w:style w:type="numbering" w:customStyle="1" w:styleId="Bezlisty1">
    <w:name w:val="Bez listy1"/>
    <w:next w:val="Bezlisty"/>
    <w:uiPriority w:val="99"/>
    <w:semiHidden/>
    <w:unhideWhenUsed/>
    <w:rsid w:val="002C63F4"/>
  </w:style>
  <w:style w:type="paragraph" w:customStyle="1" w:styleId="Paragraf0">
    <w:name w:val="Paragraf"/>
    <w:basedOn w:val="Normalny"/>
    <w:qFormat/>
    <w:rsid w:val="002C63F4"/>
    <w:pPr>
      <w:numPr>
        <w:numId w:val="23"/>
      </w:numPr>
      <w:spacing w:before="240" w:after="120"/>
      <w:jc w:val="center"/>
    </w:pPr>
    <w:rPr>
      <w:rFonts w:ascii="Arial" w:eastAsia="Times New Roman" w:hAnsi="Arial" w:cs="Arial"/>
      <w:b/>
      <w:kern w:val="0"/>
      <w:sz w:val="24"/>
      <w:szCs w:val="24"/>
      <w:lang w:eastAsia="pl-PL"/>
      <w14:ligatures w14:val="none"/>
    </w:rPr>
  </w:style>
  <w:style w:type="paragraph" w:customStyle="1" w:styleId="Ustp0">
    <w:name w:val="Ustęp0"/>
    <w:basedOn w:val="Normalny"/>
    <w:qFormat/>
    <w:rsid w:val="002C63F4"/>
    <w:pPr>
      <w:numPr>
        <w:ilvl w:val="1"/>
        <w:numId w:val="23"/>
      </w:numPr>
      <w:spacing w:before="60"/>
      <w:jc w:val="both"/>
    </w:pPr>
    <w:rPr>
      <w:rFonts w:ascii="Times New Roman" w:eastAsia="Times New Roman" w:hAnsi="Times New Roman" w:cs="Times New Roman"/>
      <w:kern w:val="0"/>
      <w:sz w:val="26"/>
      <w:szCs w:val="20"/>
      <w:lang w:eastAsia="pl-PL"/>
      <w14:ligatures w14:val="none"/>
    </w:rPr>
  </w:style>
  <w:style w:type="paragraph" w:customStyle="1" w:styleId="Ustp">
    <w:name w:val="Ustęp"/>
    <w:basedOn w:val="Normalny"/>
    <w:qFormat/>
    <w:rsid w:val="002C63F4"/>
    <w:pPr>
      <w:numPr>
        <w:ilvl w:val="2"/>
        <w:numId w:val="23"/>
      </w:numPr>
      <w:spacing w:before="60"/>
      <w:jc w:val="both"/>
    </w:pPr>
    <w:rPr>
      <w:rFonts w:ascii="Times New Roman" w:eastAsia="Times New Roman" w:hAnsi="Times New Roman" w:cs="Times New Roman"/>
      <w:kern w:val="0"/>
      <w:sz w:val="26"/>
      <w:szCs w:val="20"/>
      <w:lang w:eastAsia="pl-PL"/>
      <w14:ligatures w14:val="none"/>
    </w:rPr>
  </w:style>
  <w:style w:type="paragraph" w:customStyle="1" w:styleId="Punkt">
    <w:name w:val="Punkt"/>
    <w:basedOn w:val="Normalny"/>
    <w:qFormat/>
    <w:rsid w:val="002C63F4"/>
    <w:pPr>
      <w:numPr>
        <w:ilvl w:val="3"/>
        <w:numId w:val="23"/>
      </w:numPr>
      <w:jc w:val="both"/>
    </w:pPr>
    <w:rPr>
      <w:rFonts w:ascii="Times New Roman" w:eastAsia="Times New Roman" w:hAnsi="Times New Roman" w:cs="Times New Roman"/>
      <w:kern w:val="0"/>
      <w:sz w:val="26"/>
      <w:szCs w:val="20"/>
      <w:lang w:eastAsia="pl-PL"/>
      <w14:ligatures w14:val="none"/>
    </w:rPr>
  </w:style>
  <w:style w:type="paragraph" w:customStyle="1" w:styleId="Litera">
    <w:name w:val="Litera"/>
    <w:basedOn w:val="Normalny"/>
    <w:qFormat/>
    <w:rsid w:val="002C63F4"/>
    <w:pPr>
      <w:numPr>
        <w:ilvl w:val="5"/>
        <w:numId w:val="23"/>
      </w:numPr>
      <w:jc w:val="both"/>
    </w:pPr>
    <w:rPr>
      <w:rFonts w:ascii="Times New Roman" w:eastAsia="Times New Roman" w:hAnsi="Times New Roman" w:cs="Times New Roman"/>
      <w:kern w:val="0"/>
      <w:sz w:val="26"/>
      <w:szCs w:val="20"/>
      <w:lang w:eastAsia="pl-PL"/>
      <w14:ligatures w14:val="none"/>
    </w:rPr>
  </w:style>
  <w:style w:type="paragraph" w:customStyle="1" w:styleId="Zdanie">
    <w:name w:val="Zdanie"/>
    <w:basedOn w:val="Normalny"/>
    <w:qFormat/>
    <w:rsid w:val="002C63F4"/>
    <w:pPr>
      <w:numPr>
        <w:ilvl w:val="7"/>
        <w:numId w:val="23"/>
      </w:numPr>
      <w:jc w:val="both"/>
    </w:pPr>
    <w:rPr>
      <w:rFonts w:ascii="Times New Roman" w:eastAsia="Times New Roman" w:hAnsi="Times New Roman" w:cs="Times New Roman"/>
      <w:kern w:val="0"/>
      <w:sz w:val="26"/>
      <w:szCs w:val="20"/>
      <w:lang w:eastAsia="pl-PL"/>
      <w14:ligatures w14:val="none"/>
    </w:rPr>
  </w:style>
  <w:style w:type="paragraph" w:styleId="Nagwek">
    <w:name w:val="header"/>
    <w:aliases w:val=" Znak"/>
    <w:basedOn w:val="Normalny"/>
    <w:link w:val="NagwekZnak"/>
    <w:uiPriority w:val="99"/>
    <w:unhideWhenUsed/>
    <w:rsid w:val="002C63F4"/>
    <w:pPr>
      <w:tabs>
        <w:tab w:val="center" w:pos="4536"/>
        <w:tab w:val="right" w:pos="9072"/>
      </w:tabs>
      <w:ind w:left="851"/>
    </w:pPr>
    <w:rPr>
      <w:kern w:val="0"/>
      <w:sz w:val="24"/>
      <w14:ligatures w14:val="none"/>
    </w:rPr>
  </w:style>
  <w:style w:type="character" w:customStyle="1" w:styleId="NagwekZnak">
    <w:name w:val="Nagłówek Znak"/>
    <w:aliases w:val=" Znak Znak"/>
    <w:basedOn w:val="Domylnaczcionkaakapitu"/>
    <w:link w:val="Nagwek"/>
    <w:uiPriority w:val="99"/>
    <w:rsid w:val="002C63F4"/>
    <w:rPr>
      <w:kern w:val="0"/>
      <w:sz w:val="24"/>
      <w14:ligatures w14:val="none"/>
    </w:rPr>
  </w:style>
  <w:style w:type="paragraph" w:styleId="Stopka">
    <w:name w:val="footer"/>
    <w:basedOn w:val="Normalny"/>
    <w:link w:val="StopkaZnak"/>
    <w:uiPriority w:val="99"/>
    <w:unhideWhenUsed/>
    <w:rsid w:val="002C63F4"/>
    <w:pPr>
      <w:tabs>
        <w:tab w:val="center" w:pos="4536"/>
        <w:tab w:val="right" w:pos="9072"/>
      </w:tabs>
      <w:ind w:left="851"/>
    </w:pPr>
    <w:rPr>
      <w:kern w:val="0"/>
      <w:sz w:val="24"/>
      <w14:ligatures w14:val="none"/>
    </w:rPr>
  </w:style>
  <w:style w:type="character" w:customStyle="1" w:styleId="StopkaZnak">
    <w:name w:val="Stopka Znak"/>
    <w:basedOn w:val="Domylnaczcionkaakapitu"/>
    <w:link w:val="Stopka"/>
    <w:uiPriority w:val="99"/>
    <w:rsid w:val="002C63F4"/>
    <w:rPr>
      <w:kern w:val="0"/>
      <w:sz w:val="24"/>
      <w14:ligatures w14:val="none"/>
    </w:rPr>
  </w:style>
  <w:style w:type="paragraph" w:styleId="Tekstdymka">
    <w:name w:val="Balloon Text"/>
    <w:basedOn w:val="Normalny"/>
    <w:link w:val="TekstdymkaZnak"/>
    <w:uiPriority w:val="99"/>
    <w:semiHidden/>
    <w:unhideWhenUsed/>
    <w:rsid w:val="002C63F4"/>
    <w:pPr>
      <w:ind w:left="851"/>
    </w:pPr>
    <w:rPr>
      <w:rFonts w:ascii="Segoe UI" w:hAnsi="Segoe UI" w:cs="Segoe UI"/>
      <w:kern w:val="0"/>
      <w:sz w:val="18"/>
      <w:szCs w:val="18"/>
      <w14:ligatures w14:val="none"/>
    </w:rPr>
  </w:style>
  <w:style w:type="character" w:customStyle="1" w:styleId="TekstdymkaZnak">
    <w:name w:val="Tekst dymka Znak"/>
    <w:basedOn w:val="Domylnaczcionkaakapitu"/>
    <w:link w:val="Tekstdymka"/>
    <w:uiPriority w:val="99"/>
    <w:semiHidden/>
    <w:rsid w:val="002C63F4"/>
    <w:rPr>
      <w:rFonts w:ascii="Segoe UI" w:hAnsi="Segoe UI" w:cs="Segoe UI"/>
      <w:kern w:val="0"/>
      <w:sz w:val="18"/>
      <w:szCs w:val="18"/>
      <w14:ligatures w14:val="none"/>
    </w:rPr>
  </w:style>
  <w:style w:type="table" w:styleId="Jasnalistaakcent3">
    <w:name w:val="Light List Accent 3"/>
    <w:basedOn w:val="Standardowy"/>
    <w:uiPriority w:val="61"/>
    <w:rsid w:val="002C63F4"/>
    <w:rPr>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Tabelasiatki4akcent31">
    <w:name w:val="Tabela siatki 4 — akcent 31"/>
    <w:basedOn w:val="Standardowy"/>
    <w:uiPriority w:val="49"/>
    <w:rsid w:val="003260B4"/>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agwek6Znak">
    <w:name w:val="Nagłówek 6 Znak"/>
    <w:basedOn w:val="Domylnaczcionkaakapitu"/>
    <w:link w:val="Nagwek6"/>
    <w:rsid w:val="0071475D"/>
    <w:rPr>
      <w:rFonts w:asciiTheme="majorHAnsi" w:eastAsiaTheme="majorEastAsia" w:hAnsiTheme="majorHAnsi" w:cstheme="majorBidi"/>
      <w:color w:val="1F3763" w:themeColor="accent1" w:themeShade="7F"/>
      <w:kern w:val="0"/>
      <w:sz w:val="24"/>
      <w:szCs w:val="24"/>
      <w:lang w:eastAsia="pl-PL"/>
      <w14:ligatures w14:val="none"/>
    </w:rPr>
  </w:style>
  <w:style w:type="character" w:customStyle="1" w:styleId="Nagwek7Znak">
    <w:name w:val="Nagłówek 7 Znak"/>
    <w:basedOn w:val="Domylnaczcionkaakapitu"/>
    <w:link w:val="Nagwek7"/>
    <w:uiPriority w:val="9"/>
    <w:rsid w:val="0071475D"/>
    <w:rPr>
      <w:rFonts w:asciiTheme="majorHAnsi" w:eastAsiaTheme="majorEastAsia" w:hAnsiTheme="majorHAnsi" w:cstheme="majorBidi"/>
      <w:i/>
      <w:iCs/>
      <w:color w:val="1F3763" w:themeColor="accent1" w:themeShade="7F"/>
      <w:kern w:val="0"/>
      <w:sz w:val="24"/>
      <w:szCs w:val="24"/>
      <w:lang w:eastAsia="pl-PL"/>
      <w14:ligatures w14:val="none"/>
    </w:rPr>
  </w:style>
  <w:style w:type="character" w:customStyle="1" w:styleId="Nagwek8Znak">
    <w:name w:val="Nagłówek 8 Znak"/>
    <w:basedOn w:val="Domylnaczcionkaakapitu"/>
    <w:link w:val="Nagwek8"/>
    <w:uiPriority w:val="9"/>
    <w:semiHidden/>
    <w:rsid w:val="0071475D"/>
    <w:rPr>
      <w:rFonts w:asciiTheme="majorHAnsi" w:eastAsiaTheme="majorEastAsia" w:hAnsiTheme="majorHAnsi" w:cstheme="majorBidi"/>
      <w:color w:val="272727" w:themeColor="text1" w:themeTint="D8"/>
      <w:kern w:val="0"/>
      <w:sz w:val="21"/>
      <w:szCs w:val="21"/>
      <w:lang w:eastAsia="pl-PL"/>
      <w14:ligatures w14:val="none"/>
    </w:rPr>
  </w:style>
  <w:style w:type="character" w:customStyle="1" w:styleId="Nagwek9Znak">
    <w:name w:val="Nagłówek 9 Znak"/>
    <w:basedOn w:val="Domylnaczcionkaakapitu"/>
    <w:link w:val="Nagwek9"/>
    <w:uiPriority w:val="9"/>
    <w:semiHidden/>
    <w:rsid w:val="0071475D"/>
    <w:rPr>
      <w:rFonts w:asciiTheme="majorHAnsi" w:eastAsiaTheme="majorEastAsia" w:hAnsiTheme="majorHAnsi" w:cstheme="majorBidi"/>
      <w:i/>
      <w:iCs/>
      <w:color w:val="272727" w:themeColor="text1" w:themeTint="D8"/>
      <w:kern w:val="0"/>
      <w:sz w:val="21"/>
      <w:szCs w:val="21"/>
      <w:lang w:eastAsia="pl-PL"/>
      <w14:ligatures w14:val="none"/>
    </w:rPr>
  </w:style>
  <w:style w:type="paragraph" w:customStyle="1" w:styleId="Styl">
    <w:name w:val="Styl"/>
    <w:rsid w:val="0071475D"/>
    <w:pPr>
      <w:widowControl w:val="0"/>
      <w:autoSpaceDE w:val="0"/>
      <w:autoSpaceDN w:val="0"/>
      <w:adjustRightInd w:val="0"/>
    </w:pPr>
    <w:rPr>
      <w:rFonts w:ascii="Times New Roman" w:eastAsia="Times New Roman" w:hAnsi="Times New Roman" w:cs="Times New Roman"/>
      <w:kern w:val="0"/>
      <w:sz w:val="24"/>
      <w:szCs w:val="24"/>
      <w:lang w:eastAsia="pl-PL"/>
      <w14:ligatures w14:val="none"/>
    </w:rPr>
  </w:style>
  <w:style w:type="table" w:styleId="rednialista1">
    <w:name w:val="Medium List 1"/>
    <w:basedOn w:val="Standardowy"/>
    <w:uiPriority w:val="65"/>
    <w:rsid w:val="0071475D"/>
    <w:rPr>
      <w:color w:val="000000" w:themeColor="text1"/>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Jasnecieniowanie">
    <w:name w:val="Light Shading"/>
    <w:basedOn w:val="Standardowy"/>
    <w:uiPriority w:val="60"/>
    <w:rsid w:val="0071475D"/>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Zagicieodgryformularza">
    <w:name w:val="HTML Top of Form"/>
    <w:basedOn w:val="Normalny"/>
    <w:next w:val="Normalny"/>
    <w:link w:val="ZagicieodgryformularzaZnak"/>
    <w:hidden/>
    <w:uiPriority w:val="99"/>
    <w:semiHidden/>
    <w:unhideWhenUsed/>
    <w:rsid w:val="0071475D"/>
    <w:pPr>
      <w:pBdr>
        <w:bottom w:val="single" w:sz="6" w:space="1" w:color="auto"/>
      </w:pBdr>
      <w:jc w:val="center"/>
    </w:pPr>
    <w:rPr>
      <w:rFonts w:ascii="Arial" w:eastAsia="Times New Roman" w:hAnsi="Arial" w:cs="Arial"/>
      <w:vanish/>
      <w:kern w:val="0"/>
      <w:sz w:val="16"/>
      <w:szCs w:val="16"/>
      <w:lang w:eastAsia="pl-PL"/>
      <w14:ligatures w14:val="none"/>
    </w:rPr>
  </w:style>
  <w:style w:type="character" w:customStyle="1" w:styleId="ZagicieodgryformularzaZnak">
    <w:name w:val="Zagięcie od góry formularza Znak"/>
    <w:basedOn w:val="Domylnaczcionkaakapitu"/>
    <w:link w:val="Zagicieodgryformularza"/>
    <w:uiPriority w:val="99"/>
    <w:semiHidden/>
    <w:rsid w:val="0071475D"/>
    <w:rPr>
      <w:rFonts w:ascii="Arial" w:eastAsia="Times New Roman" w:hAnsi="Arial" w:cs="Arial"/>
      <w:vanish/>
      <w:kern w:val="0"/>
      <w:sz w:val="16"/>
      <w:szCs w:val="16"/>
      <w:lang w:eastAsia="pl-PL"/>
      <w14:ligatures w14:val="none"/>
    </w:rPr>
  </w:style>
  <w:style w:type="table" w:customStyle="1" w:styleId="Zwykatabela51">
    <w:name w:val="Zwykła tabela 51"/>
    <w:basedOn w:val="Standardowy"/>
    <w:uiPriority w:val="45"/>
    <w:rsid w:val="0071475D"/>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Zwykatabela31">
    <w:name w:val="Zwykła tabela 31"/>
    <w:basedOn w:val="Standardowy"/>
    <w:uiPriority w:val="43"/>
    <w:rsid w:val="0071475D"/>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i3akcent51">
    <w:name w:val="Tabela siatki 3 — akcent 51"/>
    <w:basedOn w:val="Standardowy"/>
    <w:uiPriority w:val="48"/>
    <w:rsid w:val="0071475D"/>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Tabelasiatki4akcent51">
    <w:name w:val="Tabela siatki 4 — akcent 51"/>
    <w:basedOn w:val="Standardowy"/>
    <w:uiPriority w:val="49"/>
    <w:rsid w:val="0071475D"/>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listy7kolorowa1">
    <w:name w:val="Tabela listy 7 — kolorowa1"/>
    <w:basedOn w:val="Standardowy"/>
    <w:uiPriority w:val="52"/>
    <w:rsid w:val="0071475D"/>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egenda">
    <w:name w:val="caption"/>
    <w:aliases w:val="Tabela"/>
    <w:basedOn w:val="Normalny"/>
    <w:next w:val="Normalny"/>
    <w:link w:val="LegendaZnak"/>
    <w:uiPriority w:val="35"/>
    <w:qFormat/>
    <w:rsid w:val="0071475D"/>
    <w:rPr>
      <w:rFonts w:ascii="Times New Roman" w:eastAsia="Times New Roman" w:hAnsi="Times New Roman" w:cs="Times New Roman"/>
      <w:b/>
      <w:bCs/>
      <w:color w:val="002060"/>
      <w:kern w:val="0"/>
      <w:sz w:val="20"/>
      <w:szCs w:val="20"/>
      <w:lang w:eastAsia="pl-PL"/>
      <w14:ligatures w14:val="none"/>
    </w:rPr>
  </w:style>
  <w:style w:type="table" w:customStyle="1" w:styleId="Tabelasiatki1jasnaakcent51">
    <w:name w:val="Tabela siatki 1 — jasna — akcent 51"/>
    <w:basedOn w:val="Standardowy"/>
    <w:uiPriority w:val="46"/>
    <w:rsid w:val="0071475D"/>
    <w:rPr>
      <w:kern w:val="0"/>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elasiatki1jasnaakcent110">
    <w:name w:val="Tabela siatki 1 — jasna — akcent 11"/>
    <w:basedOn w:val="Standardowy"/>
    <w:uiPriority w:val="46"/>
    <w:rsid w:val="0071475D"/>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listy3akcent11">
    <w:name w:val="Tabela listy 3 — akcent 11"/>
    <w:basedOn w:val="Standardowy"/>
    <w:uiPriority w:val="48"/>
    <w:rsid w:val="0071475D"/>
    <w:rPr>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elalisty3akcent51">
    <w:name w:val="Tabela listy 3 — akcent 51"/>
    <w:basedOn w:val="Standardowy"/>
    <w:uiPriority w:val="48"/>
    <w:rsid w:val="0071475D"/>
    <w:rPr>
      <w:kern w:val="0"/>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Tabelalisty4akcent51">
    <w:name w:val="Tabela listy 4 — akcent 51"/>
    <w:basedOn w:val="Standardowy"/>
    <w:uiPriority w:val="49"/>
    <w:rsid w:val="0071475D"/>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odpis">
    <w:name w:val="podpis"/>
    <w:basedOn w:val="Normalny"/>
    <w:autoRedefine/>
    <w:qFormat/>
    <w:rsid w:val="0071475D"/>
    <w:pPr>
      <w:spacing w:before="240" w:after="120"/>
      <w:contextualSpacing/>
    </w:pPr>
    <w:rPr>
      <w:rFonts w:ascii="Times New Roman" w:eastAsia="Times New Roman" w:hAnsi="Times New Roman" w:cs="Times New Roman"/>
      <w:i/>
      <w:kern w:val="0"/>
      <w:sz w:val="24"/>
      <w:szCs w:val="24"/>
      <w:lang w:eastAsia="pl-PL"/>
      <w14:ligatures w14:val="none"/>
    </w:rPr>
  </w:style>
  <w:style w:type="paragraph" w:customStyle="1" w:styleId="rdo">
    <w:name w:val="źródło"/>
    <w:basedOn w:val="Legenda"/>
    <w:qFormat/>
    <w:rsid w:val="0071475D"/>
    <w:pPr>
      <w:spacing w:before="120" w:after="240"/>
      <w:contextualSpacing/>
    </w:pPr>
    <w:rPr>
      <w:rFonts w:asciiTheme="minorHAnsi" w:eastAsiaTheme="minorHAnsi" w:hAnsiTheme="minorHAnsi" w:cstheme="minorHAnsi"/>
      <w:b w:val="0"/>
      <w:color w:val="4472C4" w:themeColor="accent1"/>
      <w:szCs w:val="24"/>
      <w:lang w:eastAsia="en-US"/>
    </w:rPr>
  </w:style>
  <w:style w:type="table" w:customStyle="1" w:styleId="Jasnecieniowanieakcent11">
    <w:name w:val="Jasne cieniowanie — akcent 11"/>
    <w:basedOn w:val="Standardowy"/>
    <w:uiPriority w:val="60"/>
    <w:rsid w:val="0071475D"/>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Lines="0" w:beforeAutospacing="0" w:afterLines="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Siatkatabelijasna1">
    <w:name w:val="Siatka tabeli — jasna1"/>
    <w:basedOn w:val="Standardowy"/>
    <w:uiPriority w:val="40"/>
    <w:rsid w:val="0071475D"/>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5ciemnaakcent51">
    <w:name w:val="Tabela siatki 5 — ciemna — akcent 51"/>
    <w:basedOn w:val="Standardowy"/>
    <w:uiPriority w:val="50"/>
    <w:rsid w:val="0071475D"/>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elasiatki5ciemnaakcent11">
    <w:name w:val="Tabela siatki 5 — ciemna — akcent 11"/>
    <w:basedOn w:val="Standardowy"/>
    <w:uiPriority w:val="50"/>
    <w:rsid w:val="0071475D"/>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Listapunktowana">
    <w:name w:val="List Bullet"/>
    <w:basedOn w:val="Normalny"/>
    <w:semiHidden/>
    <w:unhideWhenUsed/>
    <w:rsid w:val="0071475D"/>
    <w:pPr>
      <w:numPr>
        <w:numId w:val="28"/>
      </w:numPr>
    </w:pPr>
    <w:rPr>
      <w:rFonts w:ascii="Times New Roman" w:eastAsia="Times New Roman" w:hAnsi="Times New Roman" w:cs="Times New Roman"/>
      <w:kern w:val="0"/>
      <w:sz w:val="24"/>
      <w:szCs w:val="24"/>
      <w:lang w:eastAsia="pl-PL"/>
      <w14:ligatures w14:val="none"/>
    </w:rPr>
  </w:style>
  <w:style w:type="paragraph" w:styleId="Tekstpodstawowywcity">
    <w:name w:val="Body Text Indent"/>
    <w:basedOn w:val="Normalny"/>
    <w:link w:val="TekstpodstawowywcityZnak"/>
    <w:rsid w:val="0071475D"/>
    <w:pPr>
      <w:spacing w:after="120"/>
      <w:ind w:left="283"/>
    </w:pPr>
    <w:rPr>
      <w:rFonts w:ascii="Times New Roman" w:eastAsia="Times New Roman" w:hAnsi="Times New Roman" w:cs="Times New Roman"/>
      <w:kern w:val="0"/>
      <w:sz w:val="24"/>
      <w:szCs w:val="24"/>
      <w:lang w:eastAsia="pl-PL"/>
      <w14:ligatures w14:val="none"/>
    </w:rPr>
  </w:style>
  <w:style w:type="character" w:customStyle="1" w:styleId="TekstpodstawowywcityZnak">
    <w:name w:val="Tekst podstawowy wcięty Znak"/>
    <w:basedOn w:val="Domylnaczcionkaakapitu"/>
    <w:link w:val="Tekstpodstawowywcity"/>
    <w:rsid w:val="0071475D"/>
    <w:rPr>
      <w:rFonts w:ascii="Times New Roman" w:eastAsia="Times New Roman" w:hAnsi="Times New Roman" w:cs="Times New Roman"/>
      <w:kern w:val="0"/>
      <w:sz w:val="24"/>
      <w:szCs w:val="24"/>
      <w:lang w:eastAsia="pl-PL"/>
      <w14:ligatures w14:val="none"/>
    </w:rPr>
  </w:style>
  <w:style w:type="table" w:customStyle="1" w:styleId="Tabelalisty6kolorowaakcent51">
    <w:name w:val="Tabela listy 6 — kolorowa — akcent 51"/>
    <w:basedOn w:val="Standardowy"/>
    <w:uiPriority w:val="51"/>
    <w:rsid w:val="0071475D"/>
    <w:rPr>
      <w:color w:val="2E74B5" w:themeColor="accent5" w:themeShade="BF"/>
      <w:kern w:val="0"/>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Poprawka">
    <w:name w:val="Revision"/>
    <w:hidden/>
    <w:uiPriority w:val="99"/>
    <w:semiHidden/>
    <w:rsid w:val="0071475D"/>
    <w:rPr>
      <w:kern w:val="0"/>
      <w14:ligatures w14:val="none"/>
    </w:rPr>
  </w:style>
  <w:style w:type="table" w:customStyle="1" w:styleId="Jasnalistaakcent11">
    <w:name w:val="Jasna lista — akcent 11"/>
    <w:basedOn w:val="Standardowy"/>
    <w:uiPriority w:val="61"/>
    <w:rsid w:val="0071475D"/>
    <w:rPr>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Jasnalista1">
    <w:name w:val="Jasna lista1"/>
    <w:basedOn w:val="Standardowy"/>
    <w:uiPriority w:val="61"/>
    <w:rsid w:val="0071475D"/>
    <w:rPr>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Jasnasiatka1">
    <w:name w:val="Jasna siatka1"/>
    <w:basedOn w:val="Standardowy"/>
    <w:uiPriority w:val="62"/>
    <w:rsid w:val="0071475D"/>
    <w:rPr>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redniecieniowanie11">
    <w:name w:val="Średnie cieniowanie 11"/>
    <w:basedOn w:val="Standardowy"/>
    <w:uiPriority w:val="63"/>
    <w:rsid w:val="0071475D"/>
    <w:rPr>
      <w:kern w:val="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Jasnasiatkaakcent11">
    <w:name w:val="Jasna siatka — akcent 11"/>
    <w:basedOn w:val="Standardowy"/>
    <w:uiPriority w:val="62"/>
    <w:rsid w:val="0071475D"/>
    <w:rPr>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redniecieniowanie1akcent4">
    <w:name w:val="Medium Shading 1 Accent 4"/>
    <w:basedOn w:val="Standardowy"/>
    <w:uiPriority w:val="63"/>
    <w:rsid w:val="0071475D"/>
    <w:rPr>
      <w:kern w:val="0"/>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customStyle="1" w:styleId="redniecieniowanie1akcent11">
    <w:name w:val="Średnie cieniowanie 1 — akcent 11"/>
    <w:basedOn w:val="Standardowy"/>
    <w:uiPriority w:val="63"/>
    <w:rsid w:val="0071475D"/>
    <w:rPr>
      <w:kern w:val="0"/>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styleId="Spisilustracji">
    <w:name w:val="table of figures"/>
    <w:basedOn w:val="Normalny"/>
    <w:next w:val="Normalny"/>
    <w:link w:val="SpisilustracjiZnak"/>
    <w:uiPriority w:val="99"/>
    <w:unhideWhenUsed/>
    <w:qFormat/>
    <w:rsid w:val="0071475D"/>
    <w:rPr>
      <w:rFonts w:ascii="Times New Roman" w:eastAsia="Times New Roman" w:hAnsi="Times New Roman" w:cs="Times New Roman"/>
      <w:kern w:val="0"/>
      <w:sz w:val="24"/>
      <w:szCs w:val="24"/>
      <w:lang w:eastAsia="pl-PL"/>
      <w14:ligatures w14:val="none"/>
    </w:rPr>
  </w:style>
  <w:style w:type="table" w:styleId="rednialista1akcent5">
    <w:name w:val="Medium List 1 Accent 5"/>
    <w:basedOn w:val="Standardowy"/>
    <w:uiPriority w:val="65"/>
    <w:rsid w:val="0071475D"/>
    <w:rPr>
      <w:color w:val="000000" w:themeColor="text1"/>
      <w:kern w:val="0"/>
      <w14:ligatures w14:val="none"/>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character" w:customStyle="1" w:styleId="HTML-wstpniesformatowanyZnak">
    <w:name w:val="HTML - wstępnie sformatowany Znak"/>
    <w:basedOn w:val="Domylnaczcionkaakapitu"/>
    <w:link w:val="HTML-wstpniesformatowany"/>
    <w:uiPriority w:val="99"/>
    <w:semiHidden/>
    <w:rsid w:val="0071475D"/>
    <w:rPr>
      <w:rFonts w:ascii="Consolas" w:hAnsi="Consolas" w:cs="Consolas"/>
      <w:sz w:val="20"/>
      <w:szCs w:val="20"/>
    </w:rPr>
  </w:style>
  <w:style w:type="paragraph" w:styleId="HTML-wstpniesformatowany">
    <w:name w:val="HTML Preformatted"/>
    <w:basedOn w:val="Normalny"/>
    <w:link w:val="HTML-wstpniesformatowanyZnak"/>
    <w:uiPriority w:val="99"/>
    <w:semiHidden/>
    <w:unhideWhenUsed/>
    <w:rsid w:val="0071475D"/>
    <w:rPr>
      <w:rFonts w:ascii="Consolas" w:hAnsi="Consolas" w:cs="Consolas"/>
      <w:sz w:val="20"/>
      <w:szCs w:val="20"/>
    </w:rPr>
  </w:style>
  <w:style w:type="character" w:customStyle="1" w:styleId="HTML-wstpniesformatowanyZnak1">
    <w:name w:val="HTML - wstępnie sformatowany Znak1"/>
    <w:basedOn w:val="Domylnaczcionkaakapitu"/>
    <w:uiPriority w:val="99"/>
    <w:semiHidden/>
    <w:rsid w:val="0071475D"/>
    <w:rPr>
      <w:rFonts w:ascii="Consolas" w:hAnsi="Consolas"/>
      <w:sz w:val="20"/>
      <w:szCs w:val="20"/>
    </w:rPr>
  </w:style>
  <w:style w:type="paragraph" w:customStyle="1" w:styleId="CM1">
    <w:name w:val="CM1"/>
    <w:basedOn w:val="Default"/>
    <w:next w:val="Default"/>
    <w:uiPriority w:val="99"/>
    <w:rsid w:val="0071475D"/>
    <w:rPr>
      <w:rFonts w:ascii="EUAlbertina" w:eastAsiaTheme="minorHAnsi" w:hAnsi="EUAlbertina" w:cstheme="minorBidi"/>
      <w:color w:val="auto"/>
      <w:lang w:eastAsia="en-US"/>
    </w:rPr>
  </w:style>
  <w:style w:type="paragraph" w:customStyle="1" w:styleId="CM3">
    <w:name w:val="CM3"/>
    <w:basedOn w:val="Default"/>
    <w:next w:val="Default"/>
    <w:uiPriority w:val="99"/>
    <w:rsid w:val="0071475D"/>
    <w:rPr>
      <w:rFonts w:ascii="EUAlbertina" w:eastAsiaTheme="minorHAnsi" w:hAnsi="EUAlbertina" w:cstheme="minorBidi"/>
      <w:color w:val="auto"/>
      <w:lang w:eastAsia="en-US"/>
    </w:rPr>
  </w:style>
  <w:style w:type="paragraph" w:customStyle="1" w:styleId="Tekstpodstawowy33">
    <w:name w:val="Tekst podstawowy 33"/>
    <w:basedOn w:val="Normalny"/>
    <w:rsid w:val="0071475D"/>
    <w:pPr>
      <w:keepNext/>
      <w:suppressAutoHyphens/>
      <w:spacing w:before="120" w:after="120"/>
      <w:jc w:val="both"/>
    </w:pPr>
    <w:rPr>
      <w:rFonts w:ascii="Times New Roman" w:eastAsia="Times New Roman" w:hAnsi="Times New Roman" w:cs="Times New Roman"/>
      <w:kern w:val="0"/>
      <w:sz w:val="24"/>
      <w:szCs w:val="24"/>
      <w:lang w:eastAsia="ar-SA"/>
      <w14:ligatures w14:val="none"/>
    </w:rPr>
  </w:style>
  <w:style w:type="paragraph" w:styleId="Tekstpodstawowywcity2">
    <w:name w:val="Body Text Indent 2"/>
    <w:basedOn w:val="Normalny"/>
    <w:link w:val="Tekstpodstawowywcity2Znak"/>
    <w:rsid w:val="0071475D"/>
    <w:pPr>
      <w:ind w:left="540" w:firstLine="141"/>
      <w:jc w:val="both"/>
    </w:pPr>
    <w:rPr>
      <w:rFonts w:ascii="Times New Roman" w:eastAsia="Times New Roman" w:hAnsi="Times New Roman" w:cs="Times New Roman"/>
      <w:kern w:val="0"/>
      <w:sz w:val="24"/>
      <w:szCs w:val="24"/>
      <w:lang w:eastAsia="pl-PL"/>
      <w14:ligatures w14:val="none"/>
    </w:rPr>
  </w:style>
  <w:style w:type="character" w:customStyle="1" w:styleId="Tekstpodstawowywcity2Znak">
    <w:name w:val="Tekst podstawowy wcięty 2 Znak"/>
    <w:basedOn w:val="Domylnaczcionkaakapitu"/>
    <w:link w:val="Tekstpodstawowywcity2"/>
    <w:rsid w:val="0071475D"/>
    <w:rPr>
      <w:rFonts w:ascii="Times New Roman" w:eastAsia="Times New Roman" w:hAnsi="Times New Roman" w:cs="Times New Roman"/>
      <w:kern w:val="0"/>
      <w:sz w:val="24"/>
      <w:szCs w:val="24"/>
      <w:lang w:eastAsia="pl-PL"/>
      <w14:ligatures w14:val="none"/>
    </w:rPr>
  </w:style>
  <w:style w:type="paragraph" w:styleId="Tekstpodstawowywcity3">
    <w:name w:val="Body Text Indent 3"/>
    <w:basedOn w:val="Normalny"/>
    <w:link w:val="Tekstpodstawowywcity3Znak"/>
    <w:rsid w:val="0071475D"/>
    <w:pPr>
      <w:ind w:firstLine="709"/>
      <w:jc w:val="both"/>
    </w:pPr>
    <w:rPr>
      <w:rFonts w:ascii="Arial Narrow" w:eastAsia="Times New Roman" w:hAnsi="Arial Narrow" w:cs="Times New Roman"/>
      <w:kern w:val="0"/>
      <w:sz w:val="24"/>
      <w:szCs w:val="24"/>
      <w:lang w:eastAsia="pl-PL"/>
      <w14:ligatures w14:val="none"/>
    </w:rPr>
  </w:style>
  <w:style w:type="character" w:customStyle="1" w:styleId="Tekstpodstawowywcity3Znak">
    <w:name w:val="Tekst podstawowy wcięty 3 Znak"/>
    <w:basedOn w:val="Domylnaczcionkaakapitu"/>
    <w:link w:val="Tekstpodstawowywcity3"/>
    <w:rsid w:val="0071475D"/>
    <w:rPr>
      <w:rFonts w:ascii="Arial Narrow" w:eastAsia="Times New Roman" w:hAnsi="Arial Narrow" w:cs="Times New Roman"/>
      <w:kern w:val="0"/>
      <w:sz w:val="24"/>
      <w:szCs w:val="24"/>
      <w:lang w:eastAsia="pl-PL"/>
      <w14:ligatures w14:val="none"/>
    </w:rPr>
  </w:style>
  <w:style w:type="paragraph" w:customStyle="1" w:styleId="standardmaly">
    <w:name w:val="!!!!!standard maly"/>
    <w:basedOn w:val="sandardgruby"/>
    <w:rsid w:val="0071475D"/>
    <w:pPr>
      <w:spacing w:line="240" w:lineRule="auto"/>
      <w:jc w:val="left"/>
    </w:pPr>
    <w:rPr>
      <w:sz w:val="20"/>
    </w:rPr>
  </w:style>
  <w:style w:type="paragraph" w:customStyle="1" w:styleId="sandardgruby">
    <w:name w:val="!!!!sandard gruby"/>
    <w:basedOn w:val="Normalny"/>
    <w:rsid w:val="0071475D"/>
    <w:pPr>
      <w:spacing w:line="360" w:lineRule="auto"/>
      <w:jc w:val="center"/>
    </w:pPr>
    <w:rPr>
      <w:rFonts w:ascii="Times New Roman" w:eastAsia="Times New Roman" w:hAnsi="Times New Roman" w:cs="Times New Roman"/>
      <w:b/>
      <w:kern w:val="0"/>
      <w:sz w:val="24"/>
      <w:szCs w:val="24"/>
      <w:lang w:eastAsia="pl-PL"/>
      <w14:ligatures w14:val="none"/>
    </w:rPr>
  </w:style>
  <w:style w:type="paragraph" w:customStyle="1" w:styleId="xl71">
    <w:name w:val="xl71"/>
    <w:basedOn w:val="Normalny"/>
    <w:rsid w:val="0071475D"/>
    <w:pPr>
      <w:spacing w:before="100" w:beforeAutospacing="1" w:after="100" w:afterAutospacing="1"/>
      <w:jc w:val="center"/>
    </w:pPr>
    <w:rPr>
      <w:rFonts w:ascii="Times New Roman" w:eastAsia="Arial Unicode MS" w:hAnsi="Times New Roman" w:cs="Times New Roman"/>
      <w:kern w:val="0"/>
      <w:sz w:val="24"/>
      <w:szCs w:val="24"/>
      <w:lang w:eastAsia="pl-PL"/>
      <w14:ligatures w14:val="none"/>
    </w:rPr>
  </w:style>
  <w:style w:type="paragraph" w:styleId="Tekstpodstawowy2">
    <w:name w:val="Body Text 2"/>
    <w:basedOn w:val="Normalny"/>
    <w:link w:val="Tekstpodstawowy2Znak"/>
    <w:rsid w:val="0071475D"/>
    <w:pPr>
      <w:autoSpaceDE w:val="0"/>
      <w:autoSpaceDN w:val="0"/>
      <w:adjustRightInd w:val="0"/>
      <w:jc w:val="both"/>
    </w:pPr>
    <w:rPr>
      <w:rFonts w:ascii="Arial Narrow" w:eastAsia="Times New Roman" w:hAnsi="Arial Narrow" w:cs="Times New Roman"/>
      <w:kern w:val="0"/>
      <w:sz w:val="24"/>
      <w:szCs w:val="24"/>
      <w:lang w:eastAsia="pl-PL"/>
      <w14:ligatures w14:val="none"/>
    </w:rPr>
  </w:style>
  <w:style w:type="character" w:customStyle="1" w:styleId="Tekstpodstawowy2Znak">
    <w:name w:val="Tekst podstawowy 2 Znak"/>
    <w:basedOn w:val="Domylnaczcionkaakapitu"/>
    <w:link w:val="Tekstpodstawowy2"/>
    <w:rsid w:val="0071475D"/>
    <w:rPr>
      <w:rFonts w:ascii="Arial Narrow" w:eastAsia="Times New Roman" w:hAnsi="Arial Narrow" w:cs="Times New Roman"/>
      <w:kern w:val="0"/>
      <w:sz w:val="24"/>
      <w:szCs w:val="24"/>
      <w:lang w:eastAsia="pl-PL"/>
      <w14:ligatures w14:val="none"/>
    </w:rPr>
  </w:style>
  <w:style w:type="character" w:customStyle="1" w:styleId="tyszowcenews1">
    <w:name w:val="tyszowce_news1"/>
    <w:basedOn w:val="Domylnaczcionkaakapitu"/>
    <w:rsid w:val="0071475D"/>
  </w:style>
  <w:style w:type="character" w:customStyle="1" w:styleId="apple-converted-space">
    <w:name w:val="apple-converted-space"/>
    <w:basedOn w:val="Domylnaczcionkaakapitu"/>
    <w:rsid w:val="0071475D"/>
  </w:style>
  <w:style w:type="character" w:styleId="Wyrnienieintensywne">
    <w:name w:val="Intense Emphasis"/>
    <w:basedOn w:val="Domylnaczcionkaakapitu"/>
    <w:uiPriority w:val="21"/>
    <w:qFormat/>
    <w:rsid w:val="0071475D"/>
    <w:rPr>
      <w:b/>
      <w:bCs/>
      <w:i/>
      <w:iCs/>
      <w:color w:val="4472C4" w:themeColor="accent1"/>
    </w:rPr>
  </w:style>
  <w:style w:type="character" w:styleId="Tytuksiki">
    <w:name w:val="Book Title"/>
    <w:basedOn w:val="Domylnaczcionkaakapitu"/>
    <w:uiPriority w:val="33"/>
    <w:qFormat/>
    <w:rsid w:val="0071475D"/>
    <w:rPr>
      <w:b/>
      <w:bCs/>
      <w:smallCaps/>
      <w:spacing w:val="5"/>
    </w:rPr>
  </w:style>
  <w:style w:type="character" w:styleId="Uwydatnienie">
    <w:name w:val="Emphasis"/>
    <w:qFormat/>
    <w:rsid w:val="0071475D"/>
    <w:rPr>
      <w:i/>
      <w:iCs/>
    </w:rPr>
  </w:style>
  <w:style w:type="table" w:customStyle="1" w:styleId="LightList-Accent11">
    <w:name w:val="Light List - Accent 11"/>
    <w:basedOn w:val="Standardowy"/>
    <w:uiPriority w:val="61"/>
    <w:rsid w:val="0071475D"/>
    <w:rPr>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Tabelasiatki4akcent11">
    <w:name w:val="Tabela siatki 4 — akcent 11"/>
    <w:basedOn w:val="Standardowy"/>
    <w:next w:val="Tabelasiatki4akcent12"/>
    <w:uiPriority w:val="49"/>
    <w:rsid w:val="0071475D"/>
    <w:rPr>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siatki4akcent12">
    <w:name w:val="Tabela siatki 4 — akcent 12"/>
    <w:basedOn w:val="Standardowy"/>
    <w:uiPriority w:val="49"/>
    <w:rsid w:val="0071475D"/>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agwek51">
    <w:name w:val="Nagłówek 51"/>
    <w:basedOn w:val="Normalny"/>
    <w:next w:val="Normalny"/>
    <w:uiPriority w:val="9"/>
    <w:semiHidden/>
    <w:unhideWhenUsed/>
    <w:qFormat/>
    <w:rsid w:val="0071475D"/>
    <w:pPr>
      <w:keepNext/>
      <w:keepLines/>
      <w:spacing w:before="40"/>
      <w:outlineLvl w:val="4"/>
    </w:pPr>
    <w:rPr>
      <w:rFonts w:ascii="Calibri Light" w:eastAsia="Times New Roman" w:hAnsi="Calibri Light" w:cs="Times New Roman"/>
      <w:color w:val="2F5496"/>
      <w:sz w:val="24"/>
      <w:szCs w:val="24"/>
      <w:lang w:eastAsia="pl-PL"/>
      <w14:ligatures w14:val="none"/>
    </w:rPr>
  </w:style>
  <w:style w:type="paragraph" w:customStyle="1" w:styleId="Tekstkomentarza1">
    <w:name w:val="Tekst komentarza1"/>
    <w:basedOn w:val="Normalny"/>
    <w:next w:val="Tekstkomentarza"/>
    <w:uiPriority w:val="99"/>
    <w:unhideWhenUsed/>
    <w:rsid w:val="0071475D"/>
    <w:pPr>
      <w:spacing w:before="120" w:after="240"/>
      <w:ind w:left="851"/>
    </w:pPr>
    <w:rPr>
      <w:rFonts w:ascii="Helvetica Neue" w:eastAsia="Helvetica Neue" w:hAnsi="Helvetica Neue" w:cs="Helvetica Neue"/>
      <w:color w:val="FFFFFF"/>
      <w:kern w:val="0"/>
      <w:sz w:val="20"/>
      <w:szCs w:val="20"/>
      <w:lang w:val="en-AU" w:eastAsia="pl-PL"/>
      <w14:ligatures w14:val="none"/>
    </w:rPr>
  </w:style>
  <w:style w:type="table" w:customStyle="1" w:styleId="Tabela-Siatka11">
    <w:name w:val="Tabela - Siatka11"/>
    <w:basedOn w:val="Standardowy"/>
    <w:next w:val="Tabela-Siatka"/>
    <w:uiPriority w:val="59"/>
    <w:rsid w:val="0071475D"/>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1">
    <w:name w:val="Nagłówek 5 Znak1"/>
    <w:basedOn w:val="Domylnaczcionkaakapitu"/>
    <w:uiPriority w:val="9"/>
    <w:semiHidden/>
    <w:rsid w:val="0071475D"/>
    <w:rPr>
      <w:rFonts w:asciiTheme="majorHAnsi" w:eastAsiaTheme="majorEastAsia" w:hAnsiTheme="majorHAnsi" w:cstheme="majorBidi"/>
      <w:color w:val="2F5496" w:themeColor="accent1" w:themeShade="BF"/>
    </w:rPr>
  </w:style>
  <w:style w:type="character" w:customStyle="1" w:styleId="LegendaZnak">
    <w:name w:val="Legenda Znak"/>
    <w:aliases w:val="Tabela Znak"/>
    <w:basedOn w:val="Domylnaczcionkaakapitu"/>
    <w:link w:val="Legenda"/>
    <w:uiPriority w:val="35"/>
    <w:rsid w:val="0071475D"/>
    <w:rPr>
      <w:rFonts w:ascii="Times New Roman" w:eastAsia="Times New Roman" w:hAnsi="Times New Roman" w:cs="Times New Roman"/>
      <w:b/>
      <w:bCs/>
      <w:color w:val="002060"/>
      <w:kern w:val="0"/>
      <w:sz w:val="20"/>
      <w:szCs w:val="20"/>
      <w:lang w:eastAsia="pl-PL"/>
      <w14:ligatures w14:val="none"/>
    </w:rPr>
  </w:style>
  <w:style w:type="table" w:customStyle="1" w:styleId="Tabelasiatki5ciemnaakcent31">
    <w:name w:val="Tabela siatki 5 — ciemna — akcent 31"/>
    <w:basedOn w:val="Standardowy"/>
    <w:uiPriority w:val="50"/>
    <w:rsid w:val="0071475D"/>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elasiatki31">
    <w:name w:val="Tabela siatki 31"/>
    <w:basedOn w:val="Standardowy"/>
    <w:uiPriority w:val="48"/>
    <w:rsid w:val="0071475D"/>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DefaultZnak">
    <w:name w:val="Default Znak"/>
    <w:link w:val="Default"/>
    <w:rsid w:val="0071475D"/>
    <w:rPr>
      <w:rFonts w:ascii="Times New Roman" w:eastAsia="Times New Roman" w:hAnsi="Times New Roman" w:cs="Times New Roman"/>
      <w:color w:val="000000"/>
      <w:kern w:val="0"/>
      <w:sz w:val="24"/>
      <w:szCs w:val="24"/>
      <w:lang w:eastAsia="pl-PL"/>
      <w14:ligatures w14:val="none"/>
    </w:rPr>
  </w:style>
  <w:style w:type="table" w:customStyle="1" w:styleId="Tabelalisty3akcent31">
    <w:name w:val="Tabela listy 3 — akcent 31"/>
    <w:basedOn w:val="Standardowy"/>
    <w:uiPriority w:val="48"/>
    <w:rsid w:val="0071475D"/>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elasiatki2akcent31">
    <w:name w:val="Tabela siatki 2 — akcent 31"/>
    <w:basedOn w:val="Standardowy"/>
    <w:uiPriority w:val="47"/>
    <w:rsid w:val="0071475D"/>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gkelc">
    <w:name w:val="hgkelc"/>
    <w:basedOn w:val="Domylnaczcionkaakapitu"/>
    <w:rsid w:val="0071475D"/>
  </w:style>
  <w:style w:type="character" w:customStyle="1" w:styleId="lrzxr">
    <w:name w:val="lrzxr"/>
    <w:basedOn w:val="Domylnaczcionkaakapitu"/>
    <w:rsid w:val="0071475D"/>
  </w:style>
  <w:style w:type="character" w:customStyle="1" w:styleId="markedcontent">
    <w:name w:val="markedcontent"/>
    <w:basedOn w:val="Domylnaczcionkaakapitu"/>
    <w:rsid w:val="0071475D"/>
  </w:style>
  <w:style w:type="character" w:styleId="Tekstzastpczy">
    <w:name w:val="Placeholder Text"/>
    <w:basedOn w:val="Domylnaczcionkaakapitu"/>
    <w:uiPriority w:val="99"/>
    <w:semiHidden/>
    <w:rsid w:val="0071475D"/>
    <w:rPr>
      <w:color w:val="808080"/>
    </w:rPr>
  </w:style>
  <w:style w:type="paragraph" w:customStyle="1" w:styleId="gwpa29efa75gwp517b247dmsonormal">
    <w:name w:val="gwpa29efa75_gwp517b247d_msonormal"/>
    <w:basedOn w:val="Normalny"/>
    <w:rsid w:val="0071475D"/>
    <w:pPr>
      <w:spacing w:before="100" w:beforeAutospacing="1" w:after="100" w:afterAutospacing="1"/>
      <w:ind w:firstLine="284"/>
      <w:jc w:val="both"/>
    </w:pPr>
    <w:rPr>
      <w:rFonts w:ascii="Times New Roman" w:hAnsi="Times New Roman" w:cs="Times New Roman"/>
      <w:kern w:val="0"/>
      <w:sz w:val="24"/>
      <w:szCs w:val="24"/>
      <w:lang w:eastAsia="pl-PL"/>
      <w14:ligatures w14:val="none"/>
    </w:rPr>
  </w:style>
  <w:style w:type="table" w:customStyle="1" w:styleId="Tabelasiatki4akcent21">
    <w:name w:val="Tabela siatki 4 — akcent 21"/>
    <w:basedOn w:val="Standardowy"/>
    <w:uiPriority w:val="49"/>
    <w:rsid w:val="0071475D"/>
    <w:pPr>
      <w:ind w:firstLine="284"/>
      <w:jc w:val="both"/>
    </w:pPr>
    <w:rPr>
      <w:kern w:val="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elasiatki5ciemnaakcent21">
    <w:name w:val="Tabela siatki 5 — ciemna — akcent 21"/>
    <w:basedOn w:val="Standardowy"/>
    <w:uiPriority w:val="50"/>
    <w:rsid w:val="0071475D"/>
    <w:pPr>
      <w:ind w:firstLine="284"/>
      <w:jc w:val="both"/>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customStyle="1" w:styleId="css-96zuhp-word-diff">
    <w:name w:val="css-96zuhp-word-diff"/>
    <w:basedOn w:val="Domylnaczcionkaakapitu"/>
    <w:rsid w:val="0071475D"/>
  </w:style>
  <w:style w:type="table" w:customStyle="1" w:styleId="Tabelasiatki5ciemnaakcent41">
    <w:name w:val="Tabela siatki 5 — ciemna — akcent 41"/>
    <w:basedOn w:val="Standardowy"/>
    <w:uiPriority w:val="50"/>
    <w:rsid w:val="0071475D"/>
    <w:pPr>
      <w:ind w:firstLine="284"/>
      <w:jc w:val="both"/>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elasiatki4akcent210">
    <w:name w:val="Tabela siatki 4 — akcent 21"/>
    <w:basedOn w:val="Standardowy"/>
    <w:next w:val="Tabelasiatki4akcent21"/>
    <w:uiPriority w:val="49"/>
    <w:rsid w:val="0071475D"/>
    <w:pPr>
      <w:ind w:firstLine="284"/>
      <w:jc w:val="both"/>
    </w:pPr>
    <w:rPr>
      <w:kern w:val="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elasiatki1jasna1">
    <w:name w:val="Tabela siatki 1 — jasna1"/>
    <w:basedOn w:val="Standardowy"/>
    <w:uiPriority w:val="46"/>
    <w:rsid w:val="0071475D"/>
    <w:rPr>
      <w:rFonts w:eastAsiaTheme="minorEastAsia"/>
      <w:kern w:val="0"/>
      <w:lang w:eastAsia="pl-PL"/>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siatki4akcent211">
    <w:name w:val="Tabela siatki 4 — akcent 211"/>
    <w:basedOn w:val="Standardowy"/>
    <w:uiPriority w:val="49"/>
    <w:rsid w:val="0071475D"/>
    <w:rPr>
      <w:kern w:val="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paragraf">
    <w:name w:val="paragraf"/>
    <w:basedOn w:val="Normalny"/>
    <w:rsid w:val="0071475D"/>
    <w:pPr>
      <w:numPr>
        <w:ilvl w:val="2"/>
        <w:numId w:val="31"/>
      </w:numPr>
      <w:spacing w:before="80" w:after="240"/>
    </w:pPr>
    <w:rPr>
      <w:rFonts w:eastAsiaTheme="minorEastAsia" w:cs="Times New Roman"/>
      <w:noProof/>
      <w:kern w:val="0"/>
      <w:lang w:eastAsia="pl-PL"/>
      <w14:ligatures w14:val="none"/>
    </w:rPr>
  </w:style>
  <w:style w:type="table" w:customStyle="1" w:styleId="Tabelasiatki4akcent212">
    <w:name w:val="Tabela siatki 4 — akcent 212"/>
    <w:basedOn w:val="Standardowy"/>
    <w:uiPriority w:val="49"/>
    <w:rsid w:val="0071475D"/>
    <w:rPr>
      <w:kern w:val="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Siatkatabelijasna2">
    <w:name w:val="Siatka tabeli — jasna2"/>
    <w:basedOn w:val="Standardowy"/>
    <w:uiPriority w:val="40"/>
    <w:rsid w:val="0071475D"/>
    <w:pPr>
      <w:ind w:firstLine="284"/>
      <w:jc w:val="both"/>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ewwordinitemsuggestion">
    <w:name w:val="newwordinitemsuggestion"/>
    <w:basedOn w:val="Domylnaczcionkaakapitu"/>
    <w:rsid w:val="0071475D"/>
  </w:style>
  <w:style w:type="table" w:customStyle="1" w:styleId="Tabelasiatki4akcent310">
    <w:name w:val="Tabela siatki 4 — akcent 31"/>
    <w:basedOn w:val="Standardowy"/>
    <w:next w:val="Standardowy"/>
    <w:uiPriority w:val="49"/>
    <w:rsid w:val="0071475D"/>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elasiatki21">
    <w:name w:val="Tabela siatki 21"/>
    <w:basedOn w:val="Standardowy"/>
    <w:uiPriority w:val="47"/>
    <w:rsid w:val="0071475D"/>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i1jasna10">
    <w:name w:val="Tabela siatki 1 — jasna1"/>
    <w:basedOn w:val="Standardowy"/>
    <w:uiPriority w:val="46"/>
    <w:rsid w:val="0071475D"/>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
    <w:name w:val="Table Normal"/>
    <w:uiPriority w:val="2"/>
    <w:semiHidden/>
    <w:unhideWhenUsed/>
    <w:qFormat/>
    <w:rsid w:val="0071475D"/>
    <w:pPr>
      <w:widowControl w:val="0"/>
      <w:autoSpaceDE w:val="0"/>
      <w:autoSpaceDN w:val="0"/>
    </w:pPr>
    <w:rPr>
      <w:kern w:val="0"/>
      <w:lang w:val="en-US"/>
      <w14:ligatures w14:val="none"/>
    </w:rPr>
    <w:tblPr>
      <w:tblInd w:w="0" w:type="dxa"/>
      <w:tblCellMar>
        <w:top w:w="0" w:type="dxa"/>
        <w:left w:w="0" w:type="dxa"/>
        <w:bottom w:w="0" w:type="dxa"/>
        <w:right w:w="0" w:type="dxa"/>
      </w:tblCellMar>
    </w:tblPr>
  </w:style>
  <w:style w:type="paragraph" w:styleId="Zagicieoddouformularza">
    <w:name w:val="HTML Bottom of Form"/>
    <w:basedOn w:val="Normalny"/>
    <w:next w:val="Normalny"/>
    <w:link w:val="ZagicieoddouformularzaZnak"/>
    <w:hidden/>
    <w:uiPriority w:val="99"/>
    <w:semiHidden/>
    <w:unhideWhenUsed/>
    <w:rsid w:val="0071475D"/>
    <w:pPr>
      <w:pBdr>
        <w:top w:val="single" w:sz="6" w:space="1" w:color="auto"/>
      </w:pBdr>
      <w:jc w:val="center"/>
    </w:pPr>
    <w:rPr>
      <w:rFonts w:ascii="Arial" w:eastAsia="Times New Roman" w:hAnsi="Arial" w:cs="Arial"/>
      <w:vanish/>
      <w:kern w:val="0"/>
      <w:sz w:val="16"/>
      <w:szCs w:val="16"/>
      <w:lang w:eastAsia="pl-PL"/>
      <w14:ligatures w14:val="none"/>
    </w:rPr>
  </w:style>
  <w:style w:type="character" w:customStyle="1" w:styleId="ZagicieoddouformularzaZnak">
    <w:name w:val="Zagięcie od dołu formularza Znak"/>
    <w:basedOn w:val="Domylnaczcionkaakapitu"/>
    <w:link w:val="Zagicieoddouformularza"/>
    <w:uiPriority w:val="99"/>
    <w:semiHidden/>
    <w:rsid w:val="0071475D"/>
    <w:rPr>
      <w:rFonts w:ascii="Arial" w:eastAsia="Times New Roman" w:hAnsi="Arial" w:cs="Arial"/>
      <w:vanish/>
      <w:kern w:val="0"/>
      <w:sz w:val="16"/>
      <w:szCs w:val="16"/>
      <w:lang w:eastAsia="pl-PL"/>
      <w14:ligatures w14:val="none"/>
    </w:rPr>
  </w:style>
  <w:style w:type="paragraph" w:styleId="Tytu">
    <w:name w:val="Title"/>
    <w:basedOn w:val="Normalny"/>
    <w:next w:val="Normalny"/>
    <w:link w:val="TytuZnak"/>
    <w:uiPriority w:val="10"/>
    <w:rsid w:val="0071475D"/>
    <w:pPr>
      <w:numPr>
        <w:numId w:val="33"/>
      </w:numPr>
      <w:spacing w:before="480" w:after="720"/>
      <w:contextualSpacing/>
    </w:pPr>
    <w:rPr>
      <w:rFonts w:eastAsiaTheme="majorEastAsia" w:cstheme="majorBidi"/>
      <w:b/>
      <w:spacing w:val="-10"/>
      <w:kern w:val="28"/>
      <w:sz w:val="48"/>
      <w:szCs w:val="56"/>
      <w14:ligatures w14:val="none"/>
    </w:rPr>
  </w:style>
  <w:style w:type="character" w:customStyle="1" w:styleId="TytuZnak">
    <w:name w:val="Tytuł Znak"/>
    <w:basedOn w:val="Domylnaczcionkaakapitu"/>
    <w:link w:val="Tytu"/>
    <w:uiPriority w:val="10"/>
    <w:rsid w:val="0071475D"/>
    <w:rPr>
      <w:rFonts w:eastAsiaTheme="majorEastAsia" w:cstheme="majorBidi"/>
      <w:b/>
      <w:spacing w:val="-10"/>
      <w:kern w:val="28"/>
      <w:sz w:val="48"/>
      <w:szCs w:val="56"/>
      <w14:ligatures w14:val="none"/>
    </w:rPr>
  </w:style>
  <w:style w:type="paragraph" w:styleId="Podtytu">
    <w:name w:val="Subtitle"/>
    <w:basedOn w:val="Normalny"/>
    <w:next w:val="Normalny"/>
    <w:link w:val="PodtytuZnak"/>
    <w:uiPriority w:val="11"/>
    <w:rsid w:val="0071475D"/>
    <w:pPr>
      <w:numPr>
        <w:ilvl w:val="1"/>
        <w:numId w:val="32"/>
      </w:numPr>
      <w:spacing w:before="720" w:after="480" w:line="276" w:lineRule="auto"/>
      <w:ind w:left="851" w:hanging="851"/>
    </w:pPr>
    <w:rPr>
      <w:rFonts w:ascii="Calibri" w:eastAsiaTheme="minorEastAsia" w:hAnsi="Calibri"/>
      <w:b/>
      <w:spacing w:val="15"/>
      <w:kern w:val="0"/>
      <w:sz w:val="28"/>
      <w14:ligatures w14:val="none"/>
    </w:rPr>
  </w:style>
  <w:style w:type="character" w:customStyle="1" w:styleId="PodtytuZnak">
    <w:name w:val="Podtytuł Znak"/>
    <w:basedOn w:val="Domylnaczcionkaakapitu"/>
    <w:link w:val="Podtytu"/>
    <w:uiPriority w:val="11"/>
    <w:rsid w:val="0071475D"/>
    <w:rPr>
      <w:rFonts w:ascii="Calibri" w:eastAsiaTheme="minorEastAsia" w:hAnsi="Calibri"/>
      <w:b/>
      <w:spacing w:val="15"/>
      <w:kern w:val="0"/>
      <w:sz w:val="28"/>
      <w14:ligatures w14:val="none"/>
    </w:rPr>
  </w:style>
  <w:style w:type="character" w:styleId="Wyrnieniedelikatne">
    <w:name w:val="Subtle Emphasis"/>
    <w:uiPriority w:val="19"/>
    <w:rsid w:val="0071475D"/>
    <w:rPr>
      <w:rFonts w:asciiTheme="minorHAnsi" w:hAnsiTheme="minorHAnsi"/>
      <w:b/>
      <w:bCs/>
      <w:i w:val="0"/>
      <w:iCs/>
      <w:color w:val="auto"/>
      <w:sz w:val="26"/>
    </w:rPr>
  </w:style>
  <w:style w:type="character" w:customStyle="1" w:styleId="SpisilustracjiZnak">
    <w:name w:val="Spis ilustracji Znak"/>
    <w:basedOn w:val="Domylnaczcionkaakapitu"/>
    <w:link w:val="Spisilustracji"/>
    <w:uiPriority w:val="99"/>
    <w:rsid w:val="0071475D"/>
    <w:rPr>
      <w:rFonts w:ascii="Times New Roman" w:eastAsia="Times New Roman" w:hAnsi="Times New Roman" w:cs="Times New Roman"/>
      <w:kern w:val="0"/>
      <w:sz w:val="24"/>
      <w:szCs w:val="24"/>
      <w:lang w:eastAsia="pl-PL"/>
      <w14:ligatures w14:val="none"/>
    </w:rPr>
  </w:style>
  <w:style w:type="paragraph" w:customStyle="1" w:styleId="elementgraficznytabela">
    <w:name w:val="element graficzny / tabela"/>
    <w:basedOn w:val="Normalny"/>
    <w:next w:val="podpiselementu"/>
    <w:link w:val="elementgraficznytabelaZnak"/>
    <w:qFormat/>
    <w:rsid w:val="0071475D"/>
    <w:pPr>
      <w:keepNext/>
      <w:spacing w:before="120" w:after="120" w:line="276" w:lineRule="auto"/>
    </w:pPr>
    <w:rPr>
      <w:noProof/>
      <w:kern w:val="0"/>
      <w:sz w:val="24"/>
      <w14:ligatures w14:val="none"/>
    </w:rPr>
  </w:style>
  <w:style w:type="paragraph" w:customStyle="1" w:styleId="podpiselementu">
    <w:name w:val="podpis elementu"/>
    <w:basedOn w:val="Normalny"/>
    <w:next w:val="Normalny"/>
    <w:link w:val="podpiselementuZnak"/>
    <w:qFormat/>
    <w:rsid w:val="0071475D"/>
    <w:pPr>
      <w:spacing w:before="120" w:after="360" w:line="276" w:lineRule="auto"/>
      <w:jc w:val="right"/>
    </w:pPr>
    <w:rPr>
      <w:rFonts w:ascii="Calibri Light" w:hAnsi="Calibri Light"/>
      <w:noProof/>
      <w:kern w:val="0"/>
      <w:sz w:val="24"/>
      <w14:ligatures w14:val="none"/>
    </w:rPr>
  </w:style>
  <w:style w:type="character" w:customStyle="1" w:styleId="podpiselementuZnak">
    <w:name w:val="podpis elementu Znak"/>
    <w:basedOn w:val="elementgraficznytabelaZnak"/>
    <w:link w:val="podpiselementu"/>
    <w:rsid w:val="0071475D"/>
    <w:rPr>
      <w:rFonts w:ascii="Calibri Light" w:hAnsi="Calibri Light"/>
      <w:noProof/>
      <w:kern w:val="0"/>
      <w:sz w:val="24"/>
      <w14:ligatures w14:val="none"/>
    </w:rPr>
  </w:style>
  <w:style w:type="character" w:customStyle="1" w:styleId="elementgraficznytabelaZnak">
    <w:name w:val="element graficzny / tabela Znak"/>
    <w:basedOn w:val="Domylnaczcionkaakapitu"/>
    <w:link w:val="elementgraficznytabela"/>
    <w:rsid w:val="0071475D"/>
    <w:rPr>
      <w:noProof/>
      <w:kern w:val="0"/>
      <w:sz w:val="24"/>
      <w14:ligatures w14:val="none"/>
    </w:rPr>
  </w:style>
  <w:style w:type="character" w:styleId="Odwoaniedelikatne">
    <w:name w:val="Subtle Reference"/>
    <w:basedOn w:val="Domylnaczcionkaakapitu"/>
    <w:uiPriority w:val="31"/>
    <w:rsid w:val="0071475D"/>
    <w:rPr>
      <w:smallCaps/>
      <w:color w:val="5A5A5A" w:themeColor="text1" w:themeTint="A5"/>
    </w:rPr>
  </w:style>
  <w:style w:type="paragraph" w:customStyle="1" w:styleId="metryczka">
    <w:name w:val="metryczka"/>
    <w:basedOn w:val="Normalny"/>
    <w:link w:val="metryczkaZnak"/>
    <w:rsid w:val="0071475D"/>
    <w:pPr>
      <w:spacing w:before="120" w:after="120" w:line="276" w:lineRule="auto"/>
    </w:pPr>
    <w:rPr>
      <w:noProof/>
      <w:kern w:val="0"/>
      <w:sz w:val="24"/>
      <w14:ligatures w14:val="none"/>
    </w:rPr>
  </w:style>
  <w:style w:type="character" w:customStyle="1" w:styleId="metryczkaZnak">
    <w:name w:val="metryczka Znak"/>
    <w:basedOn w:val="elementgraficznytabelaZnak"/>
    <w:link w:val="metryczka"/>
    <w:rsid w:val="0071475D"/>
    <w:rPr>
      <w:noProof/>
      <w:kern w:val="0"/>
      <w:sz w:val="24"/>
      <w14:ligatures w14:val="none"/>
    </w:rPr>
  </w:style>
  <w:style w:type="character" w:customStyle="1" w:styleId="A3">
    <w:name w:val="A3"/>
    <w:uiPriority w:val="99"/>
    <w:rsid w:val="0071475D"/>
    <w:rPr>
      <w:rFonts w:cs="Cambria"/>
      <w:color w:val="000000"/>
      <w:sz w:val="20"/>
      <w:szCs w:val="20"/>
    </w:rPr>
  </w:style>
  <w:style w:type="table" w:customStyle="1" w:styleId="CWD">
    <w:name w:val="CWD"/>
    <w:basedOn w:val="Standardowy"/>
    <w:uiPriority w:val="99"/>
    <w:rsid w:val="0071475D"/>
    <w:pPr>
      <w:jc w:val="right"/>
    </w:pPr>
    <w:rPr>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b/>
      </w:rPr>
      <w:tblPr/>
      <w:tcPr>
        <w:shd w:val="clear" w:color="auto" w:fill="FBB613"/>
      </w:tcPr>
    </w:tblStylePr>
    <w:tblStylePr w:type="firstCol">
      <w:pPr>
        <w:jc w:val="left"/>
      </w:pPr>
      <w:rPr>
        <w:b/>
      </w:rPr>
      <w:tblPr/>
      <w:tcPr>
        <w:shd w:val="clear" w:color="auto" w:fill="D9D9D9" w:themeFill="background1" w:themeFillShade="D9"/>
      </w:tcPr>
    </w:tblStylePr>
  </w:style>
  <w:style w:type="paragraph" w:customStyle="1" w:styleId="Punktorp1">
    <w:name w:val="Punktor_p1"/>
    <w:basedOn w:val="Akapitzlist"/>
    <w:link w:val="Punktorp1Znak"/>
    <w:qFormat/>
    <w:rsid w:val="0071475D"/>
    <w:pPr>
      <w:numPr>
        <w:numId w:val="34"/>
      </w:numPr>
      <w:spacing w:before="60" w:after="60"/>
      <w:jc w:val="both"/>
    </w:pPr>
    <w:rPr>
      <w:rFonts w:cstheme="minorHAnsi"/>
      <w:color w:val="000000" w:themeColor="text1"/>
      <w:kern w:val="0"/>
      <w:sz w:val="21"/>
      <w:szCs w:val="21"/>
      <w:lang w:eastAsia="pl-PL"/>
      <w14:ligatures w14:val="none"/>
    </w:rPr>
  </w:style>
  <w:style w:type="character" w:customStyle="1" w:styleId="Punktorp1Znak">
    <w:name w:val="Punktor_p1 Znak"/>
    <w:basedOn w:val="Domylnaczcionkaakapitu"/>
    <w:link w:val="Punktorp1"/>
    <w:rsid w:val="0071475D"/>
    <w:rPr>
      <w:rFonts w:cstheme="minorHAnsi"/>
      <w:color w:val="000000" w:themeColor="text1"/>
      <w:kern w:val="0"/>
      <w:sz w:val="21"/>
      <w:szCs w:val="21"/>
      <w:lang w:eastAsia="pl-PL"/>
      <w14:ligatures w14:val="none"/>
    </w:rPr>
  </w:style>
  <w:style w:type="paragraph" w:customStyle="1" w:styleId="Podpiselementugraficznego">
    <w:name w:val="Podpis elementu graficznego"/>
    <w:basedOn w:val="Legenda"/>
    <w:next w:val="Normalny"/>
    <w:link w:val="PodpiselementugraficznegoZnak"/>
    <w:rsid w:val="0071475D"/>
    <w:pPr>
      <w:spacing w:after="240" w:line="276" w:lineRule="auto"/>
      <w:jc w:val="right"/>
    </w:pPr>
    <w:rPr>
      <w:rFonts w:ascii="Calibri" w:eastAsia="Calibri" w:hAnsi="Calibri" w:cs="Calibri"/>
      <w:b w:val="0"/>
      <w:i/>
      <w:iCs/>
      <w:noProof/>
      <w:sz w:val="24"/>
      <w:szCs w:val="18"/>
      <w:lang w:eastAsia="ja-JP"/>
    </w:rPr>
  </w:style>
  <w:style w:type="character" w:customStyle="1" w:styleId="PodpiselementugraficznegoZnak">
    <w:name w:val="Podpis elementu graficznego Znak"/>
    <w:basedOn w:val="LegendaZnak"/>
    <w:link w:val="Podpiselementugraficznego"/>
    <w:rsid w:val="0071475D"/>
    <w:rPr>
      <w:rFonts w:ascii="Calibri" w:eastAsia="Calibri" w:hAnsi="Calibri" w:cs="Calibri"/>
      <w:b w:val="0"/>
      <w:bCs/>
      <w:i/>
      <w:iCs/>
      <w:noProof/>
      <w:color w:val="002060"/>
      <w:kern w:val="0"/>
      <w:sz w:val="24"/>
      <w:szCs w:val="18"/>
      <w:lang w:eastAsia="ja-JP"/>
      <w14:ligatures w14:val="none"/>
    </w:rPr>
  </w:style>
  <w:style w:type="paragraph" w:customStyle="1" w:styleId="Elementgraficzny">
    <w:name w:val="Element graficzny"/>
    <w:basedOn w:val="Normalny"/>
    <w:next w:val="podpiselementu"/>
    <w:link w:val="ElementgraficznyZnak"/>
    <w:qFormat/>
    <w:rsid w:val="0071475D"/>
    <w:pPr>
      <w:keepNext/>
      <w:spacing w:before="120" w:after="120" w:line="276" w:lineRule="auto"/>
    </w:pPr>
    <w:rPr>
      <w:noProof/>
      <w:kern w:val="0"/>
      <w:sz w:val="24"/>
      <w14:ligatures w14:val="none"/>
    </w:rPr>
  </w:style>
  <w:style w:type="character" w:customStyle="1" w:styleId="ElementgraficznyZnak">
    <w:name w:val="Element graficzny Znak"/>
    <w:basedOn w:val="Domylnaczcionkaakapitu"/>
    <w:link w:val="Elementgraficzny"/>
    <w:rsid w:val="0071475D"/>
    <w:rPr>
      <w:noProof/>
      <w:kern w:val="0"/>
      <w:sz w:val="24"/>
      <w14:ligatures w14:val="none"/>
    </w:rPr>
  </w:style>
  <w:style w:type="character" w:customStyle="1" w:styleId="eop">
    <w:name w:val="eop"/>
    <w:basedOn w:val="Domylnaczcionkaakapitu"/>
    <w:rsid w:val="0071475D"/>
  </w:style>
  <w:style w:type="paragraph" w:customStyle="1" w:styleId="paragraph">
    <w:name w:val="paragraph"/>
    <w:basedOn w:val="Normalny"/>
    <w:rsid w:val="0071475D"/>
    <w:pPr>
      <w:spacing w:before="100" w:beforeAutospacing="1" w:after="100" w:afterAutospacing="1"/>
      <w:jc w:val="both"/>
    </w:pPr>
    <w:rPr>
      <w:rFonts w:ascii="Times New Roman" w:eastAsia="Times New Roman" w:hAnsi="Times New Roman" w:cs="Times New Roman"/>
      <w:color w:val="000000" w:themeColor="text1"/>
      <w:kern w:val="0"/>
      <w:sz w:val="24"/>
      <w:szCs w:val="21"/>
      <w:lang w:eastAsia="pl-PL"/>
      <w14:ligatures w14:val="none"/>
    </w:rPr>
  </w:style>
  <w:style w:type="paragraph" w:customStyle="1" w:styleId="SWpunktor">
    <w:name w:val="SW punktor"/>
    <w:basedOn w:val="Normalny"/>
    <w:link w:val="SWpunktorZnak"/>
    <w:rsid w:val="0071475D"/>
    <w:pPr>
      <w:spacing w:before="60" w:after="60"/>
      <w:jc w:val="both"/>
    </w:pPr>
    <w:rPr>
      <w:rFonts w:ascii="Tahoma" w:eastAsia="Times New Roman" w:hAnsi="Tahoma" w:cs="Times New Roman"/>
      <w:color w:val="000000" w:themeColor="text1"/>
      <w:kern w:val="0"/>
      <w:sz w:val="21"/>
      <w:szCs w:val="21"/>
      <w14:ligatures w14:val="none"/>
    </w:rPr>
  </w:style>
  <w:style w:type="character" w:customStyle="1" w:styleId="SWpunktorZnak">
    <w:name w:val="SW punktor Znak"/>
    <w:link w:val="SWpunktor"/>
    <w:rsid w:val="0071475D"/>
    <w:rPr>
      <w:rFonts w:ascii="Tahoma" w:eastAsia="Times New Roman" w:hAnsi="Tahoma" w:cs="Times New Roman"/>
      <w:color w:val="000000" w:themeColor="text1"/>
      <w:kern w:val="0"/>
      <w:sz w:val="21"/>
      <w:szCs w:val="21"/>
      <w14:ligatures w14:val="none"/>
    </w:rPr>
  </w:style>
  <w:style w:type="paragraph" w:customStyle="1" w:styleId="xmsolistparagraph">
    <w:name w:val="x_msolistparagraph"/>
    <w:basedOn w:val="Normalny"/>
    <w:rsid w:val="0071475D"/>
    <w:pPr>
      <w:ind w:left="720"/>
      <w:jc w:val="both"/>
    </w:pPr>
    <w:rPr>
      <w:rFonts w:ascii="Calibri" w:eastAsia="Times New Roman" w:hAnsi="Calibri" w:cs="Calibri"/>
      <w:color w:val="000000" w:themeColor="text1"/>
      <w:kern w:val="0"/>
      <w:sz w:val="21"/>
      <w:szCs w:val="21"/>
      <w:lang w:eastAsia="pl-PL"/>
      <w14:ligatures w14:val="none"/>
    </w:rPr>
  </w:style>
  <w:style w:type="character" w:customStyle="1" w:styleId="normaltextrun">
    <w:name w:val="normaltextrun"/>
    <w:basedOn w:val="Domylnaczcionkaakapitu"/>
    <w:rsid w:val="0071475D"/>
  </w:style>
  <w:style w:type="paragraph" w:customStyle="1" w:styleId="Styl1">
    <w:name w:val="Styl1"/>
    <w:basedOn w:val="Nagwek3"/>
    <w:autoRedefine/>
    <w:rsid w:val="0071475D"/>
    <w:pPr>
      <w:widowControl w:val="0"/>
      <w:pBdr>
        <w:top w:val="single" w:sz="6" w:space="1" w:color="2F5496" w:themeColor="accent1" w:themeShade="BF"/>
      </w:pBdr>
      <w:suppressAutoHyphens/>
      <w:spacing w:before="1080" w:after="240"/>
    </w:pPr>
    <w:rPr>
      <w:rFonts w:ascii="Lato Heavy" w:hAnsi="Lato Heavy" w:cs="Arial"/>
      <w:b/>
      <w:bCs/>
      <w:iCs/>
      <w:noProof/>
      <w:color w:val="2F5496" w:themeColor="accent1" w:themeShade="BF"/>
      <w:kern w:val="0"/>
      <w:sz w:val="28"/>
      <w:szCs w:val="28"/>
      <w:lang w:val="en-AU" w:eastAsia="pl-PL"/>
      <w14:ligatures w14:val="none"/>
    </w:rPr>
  </w:style>
  <w:style w:type="paragraph" w:customStyle="1" w:styleId="normalny0">
    <w:name w:val="normalny"/>
    <w:basedOn w:val="Normalny"/>
    <w:link w:val="normalnyZnak"/>
    <w:rsid w:val="0071475D"/>
    <w:pPr>
      <w:spacing w:after="120"/>
      <w:jc w:val="both"/>
    </w:pPr>
    <w:rPr>
      <w:rFonts w:eastAsia="Times New Roman" w:cs="Arial"/>
      <w:color w:val="000000" w:themeColor="text1"/>
      <w:kern w:val="0"/>
      <w:sz w:val="21"/>
      <w:szCs w:val="21"/>
      <w:lang w:eastAsia="pl-PL"/>
      <w14:ligatures w14:val="none"/>
    </w:rPr>
  </w:style>
  <w:style w:type="character" w:customStyle="1" w:styleId="normalnyZnak">
    <w:name w:val="normalny Znak"/>
    <w:basedOn w:val="Domylnaczcionkaakapitu"/>
    <w:link w:val="normalny0"/>
    <w:rsid w:val="0071475D"/>
    <w:rPr>
      <w:rFonts w:eastAsia="Times New Roman" w:cs="Arial"/>
      <w:color w:val="000000" w:themeColor="text1"/>
      <w:kern w:val="0"/>
      <w:sz w:val="21"/>
      <w:szCs w:val="21"/>
      <w:lang w:eastAsia="pl-PL"/>
      <w14:ligatures w14:val="none"/>
    </w:rPr>
  </w:style>
  <w:style w:type="paragraph" w:customStyle="1" w:styleId="wypunktowanie1">
    <w:name w:val="wypunktowanie1"/>
    <w:basedOn w:val="Normalny"/>
    <w:link w:val="wypunktowanie1Znak"/>
    <w:autoRedefine/>
    <w:rsid w:val="0071475D"/>
    <w:pPr>
      <w:numPr>
        <w:numId w:val="35"/>
      </w:numPr>
      <w:spacing w:before="60" w:after="60"/>
      <w:jc w:val="both"/>
    </w:pPr>
    <w:rPr>
      <w:rFonts w:eastAsia="Times New Roman" w:cs="Arial"/>
      <w:color w:val="000000" w:themeColor="text1"/>
      <w:kern w:val="0"/>
      <w:sz w:val="21"/>
      <w:szCs w:val="21"/>
      <w:lang w:eastAsia="pl-PL"/>
      <w14:ligatures w14:val="none"/>
    </w:rPr>
  </w:style>
  <w:style w:type="character" w:customStyle="1" w:styleId="wypunktowanie1Znak">
    <w:name w:val="wypunktowanie1 Znak"/>
    <w:basedOn w:val="Domylnaczcionkaakapitu"/>
    <w:link w:val="wypunktowanie1"/>
    <w:rsid w:val="0071475D"/>
    <w:rPr>
      <w:rFonts w:eastAsia="Times New Roman" w:cs="Arial"/>
      <w:color w:val="000000" w:themeColor="text1"/>
      <w:kern w:val="0"/>
      <w:sz w:val="21"/>
      <w:szCs w:val="21"/>
      <w:lang w:eastAsia="pl-PL"/>
      <w14:ligatures w14:val="none"/>
    </w:rPr>
  </w:style>
  <w:style w:type="character" w:customStyle="1" w:styleId="UnresolvedMention1">
    <w:name w:val="Unresolved Mention1"/>
    <w:basedOn w:val="Domylnaczcionkaakapitu"/>
    <w:uiPriority w:val="99"/>
    <w:unhideWhenUsed/>
    <w:rsid w:val="0071475D"/>
    <w:rPr>
      <w:color w:val="605E5C"/>
      <w:shd w:val="clear" w:color="auto" w:fill="E1DFDD"/>
    </w:rPr>
  </w:style>
  <w:style w:type="character" w:customStyle="1" w:styleId="Mention1">
    <w:name w:val="Mention1"/>
    <w:basedOn w:val="Domylnaczcionkaakapitu"/>
    <w:uiPriority w:val="99"/>
    <w:unhideWhenUsed/>
    <w:rsid w:val="0071475D"/>
    <w:rPr>
      <w:color w:val="2B579A"/>
      <w:shd w:val="clear" w:color="auto" w:fill="E1DFDD"/>
    </w:rPr>
  </w:style>
  <w:style w:type="paragraph" w:customStyle="1" w:styleId="OkadkaPodtytu">
    <w:name w:val="Okładka Podtytuł"/>
    <w:basedOn w:val="normalny0"/>
    <w:link w:val="OkadkaPodtytuZnak"/>
    <w:rsid w:val="0071475D"/>
    <w:pPr>
      <w:shd w:val="clear" w:color="auto" w:fill="2F5496" w:themeFill="accent1" w:themeFillShade="BF"/>
      <w:jc w:val="center"/>
    </w:pPr>
    <w:rPr>
      <w:color w:val="B4C6E7" w:themeColor="accent1" w:themeTint="66"/>
    </w:rPr>
  </w:style>
  <w:style w:type="character" w:customStyle="1" w:styleId="OkadkaPodtytuZnak">
    <w:name w:val="Okładka Podtytuł Znak"/>
    <w:basedOn w:val="normalnyZnak"/>
    <w:link w:val="OkadkaPodtytu"/>
    <w:rsid w:val="0071475D"/>
    <w:rPr>
      <w:rFonts w:eastAsia="Times New Roman" w:cs="Arial"/>
      <w:color w:val="B4C6E7" w:themeColor="accent1" w:themeTint="66"/>
      <w:kern w:val="0"/>
      <w:sz w:val="21"/>
      <w:szCs w:val="21"/>
      <w:shd w:val="clear" w:color="auto" w:fill="2F5496" w:themeFill="accent1" w:themeFillShade="BF"/>
      <w:lang w:eastAsia="pl-PL"/>
      <w14:ligatures w14:val="none"/>
    </w:rPr>
  </w:style>
  <w:style w:type="paragraph" w:customStyle="1" w:styleId="IlustracjaOkadka">
    <w:name w:val="Ilustracja Okładka"/>
    <w:basedOn w:val="Normalny"/>
    <w:link w:val="IlustracjaOkadkaZnak"/>
    <w:rsid w:val="0071475D"/>
    <w:pPr>
      <w:spacing w:after="960"/>
      <w:jc w:val="center"/>
    </w:pPr>
    <w:rPr>
      <w:rFonts w:eastAsia="Times New Roman" w:cs="Arial"/>
      <w:color w:val="000000" w:themeColor="text1"/>
      <w:kern w:val="0"/>
      <w:sz w:val="21"/>
      <w:szCs w:val="21"/>
      <w:lang w:eastAsia="pl-PL"/>
      <w14:ligatures w14:val="none"/>
    </w:rPr>
  </w:style>
  <w:style w:type="character" w:customStyle="1" w:styleId="IlustracjaOkadkaZnak">
    <w:name w:val="Ilustracja Okładka Znak"/>
    <w:basedOn w:val="Domylnaczcionkaakapitu"/>
    <w:link w:val="IlustracjaOkadka"/>
    <w:rsid w:val="0071475D"/>
    <w:rPr>
      <w:rFonts w:eastAsia="Times New Roman" w:cs="Arial"/>
      <w:color w:val="000000" w:themeColor="text1"/>
      <w:kern w:val="0"/>
      <w:sz w:val="21"/>
      <w:szCs w:val="21"/>
      <w:lang w:eastAsia="pl-PL"/>
      <w14:ligatures w14:val="none"/>
    </w:rPr>
  </w:style>
  <w:style w:type="paragraph" w:customStyle="1" w:styleId="Rycina-NUMERACJA">
    <w:name w:val="Rycina - NUMERACJA"/>
    <w:basedOn w:val="Akapitzlist"/>
    <w:next w:val="Rycina-OBRAZEK"/>
    <w:link w:val="Rycina-NUMERACJAZnak"/>
    <w:rsid w:val="0071475D"/>
    <w:pPr>
      <w:keepNext/>
      <w:numPr>
        <w:numId w:val="36"/>
      </w:numPr>
      <w:spacing w:before="360" w:after="120"/>
      <w:ind w:left="709" w:hanging="709"/>
      <w:contextualSpacing w:val="0"/>
    </w:pPr>
    <w:rPr>
      <w:rFonts w:ascii="Calibri" w:eastAsia="Calibri" w:hAnsi="Calibri" w:cs="Times New Roman"/>
      <w:b/>
      <w:bCs/>
      <w:noProof/>
      <w:kern w:val="0"/>
      <w:sz w:val="21"/>
      <w:szCs w:val="21"/>
      <w:lang w:eastAsia="ja-JP"/>
      <w14:ligatures w14:val="none"/>
    </w:rPr>
  </w:style>
  <w:style w:type="paragraph" w:customStyle="1" w:styleId="Rycina-OBRAZEK">
    <w:name w:val="Rycina - OBRAZEK"/>
    <w:basedOn w:val="Normalny"/>
    <w:next w:val="Rycina-PODPIS"/>
    <w:link w:val="Rycina-OBRAZEKZnak"/>
    <w:rsid w:val="0071475D"/>
    <w:pPr>
      <w:keepNext/>
      <w:spacing w:after="120"/>
      <w:jc w:val="center"/>
    </w:pPr>
    <w:rPr>
      <w:rFonts w:eastAsia="Times New Roman" w:cs="Arial"/>
      <w:color w:val="000000" w:themeColor="text1"/>
      <w:kern w:val="0"/>
      <w:sz w:val="21"/>
      <w:szCs w:val="21"/>
      <w:lang w:eastAsia="ja-JP"/>
      <w14:ligatures w14:val="none"/>
    </w:rPr>
  </w:style>
  <w:style w:type="paragraph" w:customStyle="1" w:styleId="Rycina-PODPIS">
    <w:name w:val="Rycina - PODPIS"/>
    <w:basedOn w:val="Normalny"/>
    <w:next w:val="Normalny"/>
    <w:link w:val="Rycina-PODPISZnak"/>
    <w:rsid w:val="0071475D"/>
    <w:pPr>
      <w:spacing w:after="360"/>
      <w:jc w:val="right"/>
    </w:pPr>
    <w:rPr>
      <w:rFonts w:eastAsia="Times New Roman" w:cs="Arial"/>
      <w:i/>
      <w:iCs/>
      <w:color w:val="8EAADB" w:themeColor="accent1" w:themeTint="99"/>
      <w:kern w:val="0"/>
      <w:sz w:val="18"/>
      <w:szCs w:val="18"/>
      <w:lang w:eastAsia="pl-PL"/>
      <w14:ligatures w14:val="none"/>
    </w:rPr>
  </w:style>
  <w:style w:type="character" w:customStyle="1" w:styleId="Rycina-PODPISZnak">
    <w:name w:val="Rycina - PODPIS Znak"/>
    <w:basedOn w:val="Domylnaczcionkaakapitu"/>
    <w:link w:val="Rycina-PODPIS"/>
    <w:rsid w:val="0071475D"/>
    <w:rPr>
      <w:rFonts w:eastAsia="Times New Roman" w:cs="Arial"/>
      <w:i/>
      <w:iCs/>
      <w:color w:val="8EAADB" w:themeColor="accent1" w:themeTint="99"/>
      <w:kern w:val="0"/>
      <w:sz w:val="18"/>
      <w:szCs w:val="18"/>
      <w:lang w:eastAsia="pl-PL"/>
      <w14:ligatures w14:val="none"/>
    </w:rPr>
  </w:style>
  <w:style w:type="character" w:customStyle="1" w:styleId="Rycina-OBRAZEKZnak">
    <w:name w:val="Rycina - OBRAZEK Znak"/>
    <w:basedOn w:val="Domylnaczcionkaakapitu"/>
    <w:link w:val="Rycina-OBRAZEK"/>
    <w:rsid w:val="0071475D"/>
    <w:rPr>
      <w:rFonts w:eastAsia="Times New Roman" w:cs="Arial"/>
      <w:color w:val="000000" w:themeColor="text1"/>
      <w:kern w:val="0"/>
      <w:sz w:val="21"/>
      <w:szCs w:val="21"/>
      <w:lang w:eastAsia="ja-JP"/>
      <w14:ligatures w14:val="none"/>
    </w:rPr>
  </w:style>
  <w:style w:type="character" w:customStyle="1" w:styleId="Rycina-NUMERACJAZnak">
    <w:name w:val="Rycina - NUMERACJA Znak"/>
    <w:basedOn w:val="Domylnaczcionkaakapitu"/>
    <w:link w:val="Rycina-NUMERACJA"/>
    <w:rsid w:val="0071475D"/>
    <w:rPr>
      <w:rFonts w:ascii="Calibri" w:eastAsia="Calibri" w:hAnsi="Calibri" w:cs="Times New Roman"/>
      <w:b/>
      <w:bCs/>
      <w:noProof/>
      <w:kern w:val="0"/>
      <w:sz w:val="21"/>
      <w:szCs w:val="21"/>
      <w:lang w:eastAsia="ja-JP"/>
      <w14:ligatures w14:val="none"/>
    </w:rPr>
  </w:style>
  <w:style w:type="paragraph" w:customStyle="1" w:styleId="Numeracjastron">
    <w:name w:val="Numeracja stron"/>
    <w:basedOn w:val="Stopka"/>
    <w:link w:val="NumeracjastronZnak"/>
    <w:rsid w:val="0071475D"/>
    <w:pPr>
      <w:ind w:left="0"/>
      <w:jc w:val="center"/>
    </w:pPr>
    <w:rPr>
      <w:rFonts w:eastAsia="Times New Roman" w:cs="Arial"/>
      <w:color w:val="000000" w:themeColor="text1"/>
      <w:sz w:val="21"/>
      <w:szCs w:val="21"/>
      <w:lang w:eastAsia="pl-PL"/>
    </w:rPr>
  </w:style>
  <w:style w:type="character" w:customStyle="1" w:styleId="NumeracjastronZnak">
    <w:name w:val="Numeracja stron Znak"/>
    <w:basedOn w:val="StopkaZnak"/>
    <w:link w:val="Numeracjastron"/>
    <w:rsid w:val="0071475D"/>
    <w:rPr>
      <w:rFonts w:eastAsia="Times New Roman" w:cs="Arial"/>
      <w:color w:val="000000" w:themeColor="text1"/>
      <w:kern w:val="0"/>
      <w:sz w:val="21"/>
      <w:szCs w:val="21"/>
      <w:lang w:eastAsia="pl-PL"/>
      <w14:ligatures w14:val="none"/>
    </w:rPr>
  </w:style>
  <w:style w:type="paragraph" w:customStyle="1" w:styleId="Metryczka1">
    <w:name w:val="Metryczka1"/>
    <w:basedOn w:val="Normalny"/>
    <w:link w:val="Metryczka1Znak"/>
    <w:rsid w:val="0071475D"/>
    <w:pPr>
      <w:keepNext/>
      <w:spacing w:after="120"/>
      <w:jc w:val="right"/>
    </w:pPr>
    <w:rPr>
      <w:rFonts w:eastAsia="Times New Roman" w:cs="Arial"/>
      <w:b/>
      <w:bCs/>
      <w:color w:val="1F3864" w:themeColor="accent1" w:themeShade="80"/>
      <w:kern w:val="0"/>
      <w:sz w:val="18"/>
      <w:szCs w:val="18"/>
      <w:lang w:eastAsia="pl-PL"/>
      <w14:ligatures w14:val="none"/>
    </w:rPr>
  </w:style>
  <w:style w:type="character" w:customStyle="1" w:styleId="Metryczka1Znak">
    <w:name w:val="Metryczka1 Znak"/>
    <w:basedOn w:val="Domylnaczcionkaakapitu"/>
    <w:link w:val="Metryczka1"/>
    <w:rsid w:val="0071475D"/>
    <w:rPr>
      <w:rFonts w:eastAsia="Times New Roman" w:cs="Arial"/>
      <w:b/>
      <w:bCs/>
      <w:color w:val="1F3864" w:themeColor="accent1" w:themeShade="80"/>
      <w:kern w:val="0"/>
      <w:sz w:val="18"/>
      <w:szCs w:val="18"/>
      <w:lang w:eastAsia="pl-PL"/>
      <w14:ligatures w14:val="none"/>
    </w:rPr>
  </w:style>
  <w:style w:type="paragraph" w:customStyle="1" w:styleId="Metryczka2">
    <w:name w:val="Metryczka2"/>
    <w:basedOn w:val="Metryczka1"/>
    <w:link w:val="Metryczka2Znak"/>
    <w:rsid w:val="0071475D"/>
    <w:pPr>
      <w:jc w:val="left"/>
    </w:pPr>
    <w:rPr>
      <w:b w:val="0"/>
      <w:bCs w:val="0"/>
    </w:rPr>
  </w:style>
  <w:style w:type="character" w:customStyle="1" w:styleId="Metryczka2Znak">
    <w:name w:val="Metryczka2 Znak"/>
    <w:basedOn w:val="Metryczka1Znak"/>
    <w:link w:val="Metryczka2"/>
    <w:rsid w:val="0071475D"/>
    <w:rPr>
      <w:rFonts w:eastAsia="Times New Roman" w:cs="Arial"/>
      <w:b w:val="0"/>
      <w:bCs w:val="0"/>
      <w:color w:val="1F3864" w:themeColor="accent1" w:themeShade="80"/>
      <w:kern w:val="0"/>
      <w:sz w:val="18"/>
      <w:szCs w:val="18"/>
      <w:lang w:eastAsia="pl-PL"/>
      <w14:ligatures w14:val="none"/>
    </w:rPr>
  </w:style>
  <w:style w:type="character" w:customStyle="1" w:styleId="scxw96636749">
    <w:name w:val="scxw96636749"/>
    <w:basedOn w:val="Domylnaczcionkaakapitu"/>
    <w:rsid w:val="0071475D"/>
  </w:style>
  <w:style w:type="character" w:customStyle="1" w:styleId="spellingerror">
    <w:name w:val="spellingerror"/>
    <w:basedOn w:val="Domylnaczcionkaakapitu"/>
    <w:rsid w:val="0071475D"/>
  </w:style>
  <w:style w:type="character" w:customStyle="1" w:styleId="bcx0">
    <w:name w:val="bcx0"/>
    <w:basedOn w:val="Domylnaczcionkaakapitu"/>
    <w:rsid w:val="0071475D"/>
  </w:style>
  <w:style w:type="character" w:customStyle="1" w:styleId="contextualspellingandgrammarerror">
    <w:name w:val="contextualspellingandgrammarerror"/>
    <w:basedOn w:val="Domylnaczcionkaakapitu"/>
    <w:rsid w:val="0071475D"/>
  </w:style>
  <w:style w:type="character" w:customStyle="1" w:styleId="pagebreaktextspan">
    <w:name w:val="pagebreaktextspan"/>
    <w:basedOn w:val="Domylnaczcionkaakapitu"/>
    <w:rsid w:val="0071475D"/>
  </w:style>
  <w:style w:type="paragraph" w:customStyle="1" w:styleId="Pozycjaspisurycin">
    <w:name w:val="Pozycja spisu rycin"/>
    <w:basedOn w:val="Spisilustracji"/>
    <w:link w:val="PozycjaspisurycinZnak"/>
    <w:rsid w:val="0071475D"/>
    <w:pPr>
      <w:tabs>
        <w:tab w:val="left" w:pos="1100"/>
        <w:tab w:val="left" w:pos="1276"/>
        <w:tab w:val="right" w:leader="dot" w:pos="9060"/>
      </w:tabs>
      <w:spacing w:before="120" w:line="276" w:lineRule="auto"/>
      <w:ind w:left="1134" w:hanging="1134"/>
    </w:pPr>
    <w:rPr>
      <w:noProof/>
    </w:rPr>
  </w:style>
  <w:style w:type="character" w:customStyle="1" w:styleId="PozycjaspisurycinZnak">
    <w:name w:val="Pozycja spisu rycin Znak"/>
    <w:basedOn w:val="SpisilustracjiZnak"/>
    <w:link w:val="Pozycjaspisurycin"/>
    <w:rsid w:val="0071475D"/>
    <w:rPr>
      <w:rFonts w:ascii="Times New Roman" w:eastAsia="Times New Roman" w:hAnsi="Times New Roman" w:cs="Times New Roman"/>
      <w:noProof/>
      <w:kern w:val="0"/>
      <w:sz w:val="24"/>
      <w:szCs w:val="24"/>
      <w:lang w:eastAsia="pl-PL"/>
      <w14:ligatures w14:val="none"/>
    </w:rPr>
  </w:style>
  <w:style w:type="paragraph" w:customStyle="1" w:styleId="podpisryciny">
    <w:name w:val="podpis ryciny"/>
    <w:basedOn w:val="Normalny"/>
    <w:uiPriority w:val="99"/>
    <w:rsid w:val="0071475D"/>
    <w:pPr>
      <w:widowControl w:val="0"/>
      <w:autoSpaceDE w:val="0"/>
      <w:autoSpaceDN w:val="0"/>
      <w:adjustRightInd w:val="0"/>
      <w:spacing w:before="40" w:after="240"/>
      <w:jc w:val="right"/>
    </w:pPr>
    <w:rPr>
      <w:rFonts w:ascii="Calibri" w:eastAsia="SimSun" w:hAnsi="Calibri" w:cs="Arial"/>
      <w:i/>
      <w:color w:val="808080"/>
      <w:spacing w:val="-4"/>
      <w:kern w:val="0"/>
      <w:sz w:val="18"/>
      <w:lang w:eastAsia="pl-PL"/>
      <w14:ligatures w14:val="none"/>
    </w:rPr>
  </w:style>
  <w:style w:type="paragraph" w:customStyle="1" w:styleId="Rycina-tytu">
    <w:name w:val="Rycina - tytuł"/>
    <w:basedOn w:val="Normalny"/>
    <w:next w:val="Rycina"/>
    <w:uiPriority w:val="99"/>
    <w:rsid w:val="0071475D"/>
    <w:pPr>
      <w:keepNext/>
      <w:numPr>
        <w:numId w:val="37"/>
      </w:numPr>
      <w:tabs>
        <w:tab w:val="left" w:pos="851"/>
      </w:tabs>
      <w:suppressAutoHyphens/>
      <w:autoSpaceDE w:val="0"/>
      <w:autoSpaceDN w:val="0"/>
      <w:adjustRightInd w:val="0"/>
      <w:spacing w:before="360" w:after="120"/>
      <w:ind w:left="851" w:hanging="851"/>
    </w:pPr>
    <w:rPr>
      <w:rFonts w:ascii="Calibri" w:eastAsia="Calibri" w:hAnsi="Calibri" w:cs="Calibri"/>
      <w:b/>
      <w:color w:val="000000"/>
      <w:spacing w:val="-4"/>
      <w:kern w:val="0"/>
      <w14:ligatures w14:val="none"/>
    </w:rPr>
  </w:style>
  <w:style w:type="paragraph" w:customStyle="1" w:styleId="Rycina">
    <w:name w:val="Rycina"/>
    <w:basedOn w:val="Normalny"/>
    <w:next w:val="Normalny"/>
    <w:link w:val="RycinaZnak"/>
    <w:uiPriority w:val="99"/>
    <w:rsid w:val="0071475D"/>
    <w:pPr>
      <w:keepNext/>
      <w:jc w:val="center"/>
    </w:pPr>
    <w:rPr>
      <w:rFonts w:ascii="Calibri" w:eastAsia="Times New Roman" w:hAnsi="Calibri" w:cs="Times New Roman"/>
      <w:noProof/>
      <w:kern w:val="0"/>
      <w:sz w:val="20"/>
      <w:szCs w:val="20"/>
      <w:lang w:eastAsia="pl-PL"/>
      <w14:ligatures w14:val="none"/>
    </w:rPr>
  </w:style>
  <w:style w:type="character" w:customStyle="1" w:styleId="RycinaZnak">
    <w:name w:val="Rycina Znak"/>
    <w:link w:val="Rycina"/>
    <w:uiPriority w:val="99"/>
    <w:locked/>
    <w:rsid w:val="0071475D"/>
    <w:rPr>
      <w:rFonts w:ascii="Calibri" w:eastAsia="Times New Roman" w:hAnsi="Calibri" w:cs="Times New Roman"/>
      <w:noProof/>
      <w:kern w:val="0"/>
      <w:sz w:val="20"/>
      <w:szCs w:val="20"/>
      <w:lang w:eastAsia="pl-PL"/>
      <w14:ligatures w14:val="none"/>
    </w:rPr>
  </w:style>
  <w:style w:type="character" w:customStyle="1" w:styleId="scxw247298666">
    <w:name w:val="scxw247298666"/>
    <w:basedOn w:val="Domylnaczcionkaakapitu"/>
    <w:rsid w:val="0071475D"/>
  </w:style>
  <w:style w:type="character" w:styleId="UyteHipercze">
    <w:name w:val="FollowedHyperlink"/>
    <w:basedOn w:val="Domylnaczcionkaakapitu"/>
    <w:uiPriority w:val="99"/>
    <w:semiHidden/>
    <w:unhideWhenUsed/>
    <w:rsid w:val="0071475D"/>
    <w:rPr>
      <w:color w:val="954F72" w:themeColor="followedHyperlink"/>
      <w:u w:val="single"/>
    </w:rPr>
  </w:style>
  <w:style w:type="paragraph" w:customStyle="1" w:styleId="Wiersztabelibezkleju">
    <w:name w:val="Wiersz tabeli bez kleju"/>
    <w:basedOn w:val="elementgraficznytabela"/>
    <w:link w:val="WiersztabelibezklejuZnak"/>
    <w:rsid w:val="0071475D"/>
    <w:pPr>
      <w:keepNext w:val="0"/>
    </w:pPr>
  </w:style>
  <w:style w:type="character" w:customStyle="1" w:styleId="WiersztabelibezklejuZnak">
    <w:name w:val="Wiersz tabeli bez kleju Znak"/>
    <w:basedOn w:val="elementgraficznytabelaZnak"/>
    <w:link w:val="Wiersztabelibezkleju"/>
    <w:rsid w:val="0071475D"/>
    <w:rPr>
      <w:noProof/>
      <w:kern w:val="0"/>
      <w:sz w:val="24"/>
      <w14:ligatures w14:val="none"/>
    </w:rPr>
  </w:style>
  <w:style w:type="paragraph" w:customStyle="1" w:styleId="Tytuspisutreci">
    <w:name w:val="Tytuł spisu treści"/>
    <w:basedOn w:val="Elementgraficzny"/>
    <w:link w:val="TytuspisutreciZnak"/>
    <w:rsid w:val="0071475D"/>
    <w:rPr>
      <w:b/>
      <w:bCs/>
      <w:sz w:val="36"/>
      <w:szCs w:val="32"/>
      <w:lang w:val="en-AU"/>
    </w:rPr>
  </w:style>
  <w:style w:type="character" w:customStyle="1" w:styleId="TytuspisutreciZnak">
    <w:name w:val="Tytuł spisu treści Znak"/>
    <w:basedOn w:val="ElementgraficznyZnak"/>
    <w:link w:val="Tytuspisutreci"/>
    <w:rsid w:val="0071475D"/>
    <w:rPr>
      <w:b/>
      <w:bCs/>
      <w:noProof/>
      <w:kern w:val="0"/>
      <w:sz w:val="36"/>
      <w:szCs w:val="32"/>
      <w:lang w:val="en-AU"/>
      <w14:ligatures w14:val="none"/>
    </w:rPr>
  </w:style>
  <w:style w:type="paragraph" w:customStyle="1" w:styleId="Rozdzial1">
    <w:name w:val="Rozdzial 1"/>
    <w:basedOn w:val="NormalnyWeb"/>
    <w:link w:val="Rozdzial1Znak"/>
    <w:rsid w:val="0071475D"/>
    <w:pPr>
      <w:keepNext/>
      <w:keepLines/>
      <w:suppressAutoHyphens w:val="0"/>
      <w:spacing w:before="2400" w:after="720"/>
      <w:ind w:left="851" w:hanging="851"/>
      <w:outlineLvl w:val="0"/>
    </w:pPr>
    <w:rPr>
      <w:rFonts w:cstheme="minorHAnsi"/>
      <w:b/>
      <w:bCs/>
      <w:sz w:val="40"/>
      <w:szCs w:val="40"/>
    </w:rPr>
  </w:style>
  <w:style w:type="paragraph" w:customStyle="1" w:styleId="Norm1">
    <w:name w:val="Norm.1"/>
    <w:basedOn w:val="Normalny"/>
    <w:link w:val="Norm1Znak"/>
    <w:rsid w:val="0071475D"/>
    <w:pPr>
      <w:spacing w:before="60" w:after="60"/>
      <w:ind w:left="851" w:firstLine="567"/>
      <w:jc w:val="both"/>
    </w:pPr>
    <w:rPr>
      <w:rFonts w:ascii="Tahoma" w:hAnsi="Tahoma" w:cstheme="minorHAnsi"/>
      <w:color w:val="000000" w:themeColor="text1"/>
      <w:kern w:val="0"/>
      <w:sz w:val="24"/>
      <w:szCs w:val="24"/>
      <w14:ligatures w14:val="none"/>
    </w:rPr>
  </w:style>
  <w:style w:type="character" w:customStyle="1" w:styleId="NormalnyWebZnak">
    <w:name w:val="Normalny (Web) Znak"/>
    <w:basedOn w:val="Domylnaczcionkaakapitu"/>
    <w:link w:val="NormalnyWeb"/>
    <w:uiPriority w:val="99"/>
    <w:rsid w:val="0071475D"/>
    <w:rPr>
      <w:rFonts w:ascii="Times New Roman" w:eastAsia="Times New Roman" w:hAnsi="Times New Roman" w:cs="Times New Roman"/>
      <w:kern w:val="0"/>
      <w:sz w:val="24"/>
      <w:szCs w:val="24"/>
      <w:lang w:eastAsia="ar-SA"/>
      <w14:ligatures w14:val="none"/>
    </w:rPr>
  </w:style>
  <w:style w:type="character" w:customStyle="1" w:styleId="Rozdzial1Znak">
    <w:name w:val="Rozdzial 1 Znak"/>
    <w:basedOn w:val="NormalnyWebZnak"/>
    <w:link w:val="Rozdzial1"/>
    <w:rsid w:val="0071475D"/>
    <w:rPr>
      <w:rFonts w:ascii="Times New Roman" w:eastAsia="Times New Roman" w:hAnsi="Times New Roman" w:cstheme="minorHAnsi"/>
      <w:b/>
      <w:bCs/>
      <w:kern w:val="0"/>
      <w:sz w:val="40"/>
      <w:szCs w:val="40"/>
      <w:lang w:eastAsia="ar-SA"/>
      <w14:ligatures w14:val="none"/>
    </w:rPr>
  </w:style>
  <w:style w:type="paragraph" w:customStyle="1" w:styleId="Podpowiedzi">
    <w:name w:val="Podpowiedzi"/>
    <w:basedOn w:val="NormalnyWeb"/>
    <w:link w:val="PodpowiedziZnak"/>
    <w:rsid w:val="0071475D"/>
    <w:pPr>
      <w:shd w:val="clear" w:color="auto" w:fill="F2F2F2" w:themeFill="background1" w:themeFillShade="F2"/>
      <w:suppressAutoHyphens w:val="0"/>
      <w:spacing w:before="0" w:after="0" w:line="276" w:lineRule="auto"/>
      <w:ind w:left="851"/>
      <w:jc w:val="both"/>
    </w:pPr>
    <w:rPr>
      <w:rFonts w:ascii="Tahoma" w:hAnsi="Tahoma" w:cs="Tahoma"/>
      <w:color w:val="44546A" w:themeColor="text2"/>
      <w:sz w:val="20"/>
      <w:szCs w:val="20"/>
      <w:lang w:eastAsia="pl-PL"/>
    </w:rPr>
  </w:style>
  <w:style w:type="character" w:customStyle="1" w:styleId="Norm1Znak">
    <w:name w:val="Norm.1 Znak"/>
    <w:basedOn w:val="Domylnaczcionkaakapitu"/>
    <w:link w:val="Norm1"/>
    <w:rsid w:val="0071475D"/>
    <w:rPr>
      <w:rFonts w:ascii="Tahoma" w:hAnsi="Tahoma" w:cstheme="minorHAnsi"/>
      <w:color w:val="000000" w:themeColor="text1"/>
      <w:kern w:val="0"/>
      <w:sz w:val="24"/>
      <w:szCs w:val="24"/>
      <w14:ligatures w14:val="none"/>
    </w:rPr>
  </w:style>
  <w:style w:type="character" w:customStyle="1" w:styleId="PodpowiedziZnak">
    <w:name w:val="Podpowiedzi Znak"/>
    <w:basedOn w:val="NormalnyWebZnak"/>
    <w:link w:val="Podpowiedzi"/>
    <w:rsid w:val="0071475D"/>
    <w:rPr>
      <w:rFonts w:ascii="Tahoma" w:eastAsia="Times New Roman" w:hAnsi="Tahoma" w:cs="Tahoma"/>
      <w:color w:val="44546A" w:themeColor="text2"/>
      <w:kern w:val="0"/>
      <w:sz w:val="20"/>
      <w:szCs w:val="20"/>
      <w:shd w:val="clear" w:color="auto" w:fill="F2F2F2" w:themeFill="background1" w:themeFillShade="F2"/>
      <w:lang w:eastAsia="pl-PL"/>
      <w14:ligatures w14:val="none"/>
    </w:rPr>
  </w:style>
  <w:style w:type="paragraph" w:customStyle="1" w:styleId="Podrozdzia2poziom">
    <w:name w:val="Podrozdział 2 poziom"/>
    <w:basedOn w:val="NormalnyWeb"/>
    <w:link w:val="Podrozdzia2poziomZnak"/>
    <w:rsid w:val="0071475D"/>
    <w:pPr>
      <w:keepNext/>
      <w:keepLines/>
      <w:numPr>
        <w:ilvl w:val="1"/>
        <w:numId w:val="38"/>
      </w:numPr>
      <w:spacing w:before="600" w:after="120"/>
      <w:ind w:left="851" w:hanging="851"/>
    </w:pPr>
    <w:rPr>
      <w:rFonts w:cstheme="minorHAnsi"/>
      <w:b/>
      <w:bCs/>
      <w:color w:val="44546A" w:themeColor="text2"/>
      <w:sz w:val="30"/>
      <w:szCs w:val="30"/>
      <w:lang w:eastAsia="pl-PL"/>
    </w:rPr>
  </w:style>
  <w:style w:type="paragraph" w:customStyle="1" w:styleId="TABELAzawarto">
    <w:name w:val="TABELA zawartość"/>
    <w:basedOn w:val="Normalny"/>
    <w:link w:val="TABELAzawartoZnak"/>
    <w:rsid w:val="0071475D"/>
    <w:pPr>
      <w:spacing w:before="60" w:after="60"/>
      <w:ind w:left="26"/>
    </w:pPr>
    <w:rPr>
      <w:rFonts w:cstheme="minorHAnsi"/>
      <w:color w:val="44546A" w:themeColor="text2"/>
      <w:kern w:val="0"/>
      <w:sz w:val="24"/>
      <w:szCs w:val="24"/>
      <w14:ligatures w14:val="none"/>
    </w:rPr>
  </w:style>
  <w:style w:type="character" w:customStyle="1" w:styleId="Podrozdzia2poziomZnak">
    <w:name w:val="Podrozdział 2 poziom Znak"/>
    <w:basedOn w:val="NormalnyWebZnak"/>
    <w:link w:val="Podrozdzia2poziom"/>
    <w:rsid w:val="0071475D"/>
    <w:rPr>
      <w:rFonts w:ascii="Times New Roman" w:eastAsia="Times New Roman" w:hAnsi="Times New Roman" w:cstheme="minorHAnsi"/>
      <w:b/>
      <w:bCs/>
      <w:color w:val="44546A" w:themeColor="text2"/>
      <w:kern w:val="0"/>
      <w:sz w:val="30"/>
      <w:szCs w:val="30"/>
      <w:lang w:eastAsia="pl-PL"/>
      <w14:ligatures w14:val="none"/>
    </w:rPr>
  </w:style>
  <w:style w:type="character" w:customStyle="1" w:styleId="TABELAzawartoZnak">
    <w:name w:val="TABELA zawartość Znak"/>
    <w:basedOn w:val="Domylnaczcionkaakapitu"/>
    <w:link w:val="TABELAzawarto"/>
    <w:rsid w:val="0071475D"/>
    <w:rPr>
      <w:rFonts w:cstheme="minorHAnsi"/>
      <w:color w:val="44546A" w:themeColor="text2"/>
      <w:kern w:val="0"/>
      <w:sz w:val="24"/>
      <w:szCs w:val="24"/>
      <w14:ligatures w14:val="none"/>
    </w:rPr>
  </w:style>
  <w:style w:type="paragraph" w:customStyle="1" w:styleId="Podtytu3poziom">
    <w:name w:val="Podtytuł 3 poziom"/>
    <w:basedOn w:val="Podrozdzia2poziom"/>
    <w:link w:val="Podtytu3poziomZnak"/>
    <w:rsid w:val="0071475D"/>
    <w:pPr>
      <w:numPr>
        <w:ilvl w:val="2"/>
      </w:numPr>
      <w:spacing w:before="360" w:after="0"/>
      <w:ind w:left="1702" w:hanging="851"/>
    </w:pPr>
    <w:rPr>
      <w:sz w:val="28"/>
      <w:szCs w:val="28"/>
    </w:rPr>
  </w:style>
  <w:style w:type="character" w:customStyle="1" w:styleId="Podtytu3poziomZnak">
    <w:name w:val="Podtytuł 3 poziom Znak"/>
    <w:basedOn w:val="Podrozdzia2poziomZnak"/>
    <w:link w:val="Podtytu3poziom"/>
    <w:rsid w:val="0071475D"/>
    <w:rPr>
      <w:rFonts w:ascii="Times New Roman" w:eastAsia="Times New Roman" w:hAnsi="Times New Roman" w:cstheme="minorHAnsi"/>
      <w:b/>
      <w:bCs/>
      <w:color w:val="44546A" w:themeColor="text2"/>
      <w:kern w:val="0"/>
      <w:sz w:val="28"/>
      <w:szCs w:val="28"/>
      <w:lang w:eastAsia="pl-PL"/>
      <w14:ligatures w14:val="none"/>
    </w:rPr>
  </w:style>
  <w:style w:type="paragraph" w:customStyle="1" w:styleId="Tytudodatkowy">
    <w:name w:val="Tytuł dodatkowy"/>
    <w:basedOn w:val="Akapitzlist"/>
    <w:link w:val="TytudodatkowyZnak"/>
    <w:rsid w:val="0071475D"/>
    <w:pPr>
      <w:numPr>
        <w:numId w:val="39"/>
      </w:numPr>
      <w:spacing w:before="720" w:after="240" w:line="276" w:lineRule="auto"/>
    </w:pPr>
    <w:rPr>
      <w:rFonts w:ascii="Calibri" w:eastAsia="Calibri" w:hAnsi="Calibri" w:cs="Times New Roman"/>
      <w:b/>
      <w:bCs/>
      <w:noProof/>
      <w:kern w:val="0"/>
      <w:sz w:val="32"/>
      <w:szCs w:val="32"/>
      <w14:ligatures w14:val="none"/>
    </w:rPr>
  </w:style>
  <w:style w:type="character" w:customStyle="1" w:styleId="TytudodatkowyZnak">
    <w:name w:val="Tytuł dodatkowy Znak"/>
    <w:basedOn w:val="Domylnaczcionkaakapitu"/>
    <w:link w:val="Tytudodatkowy"/>
    <w:rsid w:val="0071475D"/>
    <w:rPr>
      <w:rFonts w:ascii="Calibri" w:eastAsia="Calibri" w:hAnsi="Calibri" w:cs="Times New Roman"/>
      <w:b/>
      <w:bCs/>
      <w:noProof/>
      <w:kern w:val="0"/>
      <w:sz w:val="32"/>
      <w:szCs w:val="32"/>
      <w14:ligatures w14:val="none"/>
    </w:rPr>
  </w:style>
  <w:style w:type="paragraph" w:customStyle="1" w:styleId="Celstrategiczny">
    <w:name w:val="Cel strategiczny"/>
    <w:basedOn w:val="Nagwek3"/>
    <w:link w:val="CelstrategicznyZnak"/>
    <w:rsid w:val="0071475D"/>
    <w:pPr>
      <w:numPr>
        <w:ilvl w:val="2"/>
        <w:numId w:val="41"/>
      </w:numPr>
      <w:spacing w:before="600" w:after="120" w:line="276" w:lineRule="auto"/>
      <w:ind w:left="2268" w:hanging="2268"/>
    </w:pPr>
    <w:rPr>
      <w:rFonts w:ascii="Calibri" w:hAnsi="Calibri"/>
      <w:b/>
      <w:bCs/>
      <w:noProof/>
      <w:sz w:val="28"/>
      <w:szCs w:val="28"/>
    </w:rPr>
  </w:style>
  <w:style w:type="paragraph" w:customStyle="1" w:styleId="Celpunkty">
    <w:name w:val="Cel punkty"/>
    <w:basedOn w:val="Nagwek4"/>
    <w:link w:val="CelpunktyZnak"/>
    <w:rsid w:val="0071475D"/>
    <w:pPr>
      <w:numPr>
        <w:ilvl w:val="3"/>
        <w:numId w:val="40"/>
      </w:numPr>
      <w:ind w:left="851" w:hanging="491"/>
    </w:pPr>
    <w:rPr>
      <w:szCs w:val="28"/>
      <w:lang w:eastAsia="pl-PL"/>
    </w:rPr>
  </w:style>
  <w:style w:type="character" w:customStyle="1" w:styleId="CelstrategicznyZnak">
    <w:name w:val="Cel strategiczny Znak"/>
    <w:basedOn w:val="Nagwek3Znak"/>
    <w:link w:val="Celstrategiczny"/>
    <w:rsid w:val="0071475D"/>
    <w:rPr>
      <w:rFonts w:ascii="Calibri" w:eastAsiaTheme="majorEastAsia" w:hAnsi="Calibri" w:cstheme="majorBidi"/>
      <w:b/>
      <w:bCs/>
      <w:noProof/>
      <w:color w:val="1F3763" w:themeColor="accent1" w:themeShade="7F"/>
      <w:sz w:val="28"/>
      <w:szCs w:val="28"/>
    </w:rPr>
  </w:style>
  <w:style w:type="paragraph" w:customStyle="1" w:styleId="TekstpodstawowywcityTekstgwny">
    <w:name w:val="Tekst podstawowy wcięty (Tekst główny)"/>
    <w:basedOn w:val="Normalny"/>
    <w:uiPriority w:val="99"/>
    <w:rsid w:val="0071475D"/>
    <w:pPr>
      <w:autoSpaceDE w:val="0"/>
      <w:autoSpaceDN w:val="0"/>
      <w:adjustRightInd w:val="0"/>
      <w:spacing w:before="60" w:after="60" w:line="288" w:lineRule="auto"/>
      <w:ind w:left="567"/>
      <w:jc w:val="both"/>
      <w:textAlignment w:val="center"/>
    </w:pPr>
    <w:rPr>
      <w:rFonts w:ascii="Palatino Linotype" w:hAnsi="Palatino Linotype" w:cs="Palatino Linotype"/>
      <w:color w:val="000000"/>
      <w:kern w:val="0"/>
      <w14:ligatures w14:val="none"/>
    </w:rPr>
  </w:style>
  <w:style w:type="character" w:customStyle="1" w:styleId="CelpunktyZnak">
    <w:name w:val="Cel punkty Znak"/>
    <w:basedOn w:val="Nagwek4Znak"/>
    <w:link w:val="Celpunkty"/>
    <w:rsid w:val="0071475D"/>
    <w:rPr>
      <w:rFonts w:ascii="Calibri" w:eastAsiaTheme="majorEastAsia" w:hAnsi="Calibri" w:cstheme="majorBidi"/>
      <w:b/>
      <w:iCs/>
      <w:noProof/>
      <w:kern w:val="0"/>
      <w:sz w:val="24"/>
      <w:szCs w:val="28"/>
      <w:lang w:eastAsia="pl-PL"/>
      <w14:ligatures w14:val="none"/>
    </w:rPr>
  </w:style>
  <w:style w:type="paragraph" w:customStyle="1" w:styleId="ProjektyObszaru">
    <w:name w:val="Projekty Obszaru"/>
    <w:basedOn w:val="Nagwek2"/>
    <w:link w:val="ProjektyObszaruZnak"/>
    <w:rsid w:val="0071475D"/>
    <w:pPr>
      <w:spacing w:before="0" w:line="276" w:lineRule="auto"/>
      <w:ind w:left="1440" w:hanging="360"/>
      <w:jc w:val="both"/>
    </w:pPr>
    <w:rPr>
      <w:rFonts w:ascii="Calibri" w:hAnsi="Calibri"/>
      <w:b/>
      <w:color w:val="000000" w:themeColor="text1"/>
    </w:rPr>
  </w:style>
  <w:style w:type="paragraph" w:customStyle="1" w:styleId="Projekt">
    <w:name w:val="Projekt"/>
    <w:basedOn w:val="Nagwek3"/>
    <w:link w:val="ProjektZnak"/>
    <w:rsid w:val="0071475D"/>
    <w:pPr>
      <w:numPr>
        <w:ilvl w:val="2"/>
        <w:numId w:val="42"/>
      </w:numPr>
      <w:spacing w:before="120" w:after="120" w:line="276" w:lineRule="auto"/>
    </w:pPr>
    <w:rPr>
      <w:rFonts w:ascii="Calibri" w:hAnsi="Calibri"/>
      <w:b/>
      <w:bCs/>
      <w:noProof/>
      <w:sz w:val="26"/>
    </w:rPr>
  </w:style>
  <w:style w:type="character" w:customStyle="1" w:styleId="ProjektyObszaruZnak">
    <w:name w:val="Projekty Obszaru Znak"/>
    <w:basedOn w:val="Nagwek2Znak"/>
    <w:link w:val="ProjektyObszaru"/>
    <w:rsid w:val="0071475D"/>
    <w:rPr>
      <w:rFonts w:ascii="Calibri" w:eastAsiaTheme="majorEastAsia" w:hAnsi="Calibri" w:cstheme="majorBidi"/>
      <w:b/>
      <w:color w:val="000000" w:themeColor="text1"/>
      <w:sz w:val="26"/>
      <w:szCs w:val="26"/>
    </w:rPr>
  </w:style>
  <w:style w:type="paragraph" w:customStyle="1" w:styleId="OBSZAR">
    <w:name w:val="OBSZAR"/>
    <w:basedOn w:val="ProjektyObszaru"/>
    <w:link w:val="OBSZARZnak"/>
    <w:rsid w:val="0071475D"/>
    <w:rPr>
      <w:sz w:val="36"/>
      <w:szCs w:val="36"/>
    </w:rPr>
  </w:style>
  <w:style w:type="character" w:customStyle="1" w:styleId="ProjektZnak">
    <w:name w:val="Projekt Znak"/>
    <w:basedOn w:val="Nagwek3Znak"/>
    <w:link w:val="Projekt"/>
    <w:rsid w:val="0071475D"/>
    <w:rPr>
      <w:rFonts w:ascii="Calibri" w:eastAsiaTheme="majorEastAsia" w:hAnsi="Calibri" w:cstheme="majorBidi"/>
      <w:b/>
      <w:bCs/>
      <w:noProof/>
      <w:color w:val="1F3763" w:themeColor="accent1" w:themeShade="7F"/>
      <w:sz w:val="26"/>
      <w:szCs w:val="24"/>
    </w:rPr>
  </w:style>
  <w:style w:type="paragraph" w:customStyle="1" w:styleId="PROJEKT0">
    <w:name w:val="PROJEKT"/>
    <w:basedOn w:val="Nagwek3"/>
    <w:link w:val="PROJEKTZnak0"/>
    <w:rsid w:val="0071475D"/>
    <w:pPr>
      <w:spacing w:before="360" w:after="120" w:line="276" w:lineRule="auto"/>
      <w:ind w:left="1560" w:hanging="1560"/>
    </w:pPr>
    <w:rPr>
      <w:rFonts w:ascii="Calibri" w:hAnsi="Calibri"/>
      <w:b/>
      <w:bCs/>
      <w:noProof/>
      <w:sz w:val="26"/>
    </w:rPr>
  </w:style>
  <w:style w:type="character" w:customStyle="1" w:styleId="OBSZARZnak">
    <w:name w:val="OBSZAR Znak"/>
    <w:basedOn w:val="ProjektyObszaruZnak"/>
    <w:link w:val="OBSZAR"/>
    <w:rsid w:val="0071475D"/>
    <w:rPr>
      <w:rFonts w:ascii="Calibri" w:eastAsiaTheme="majorEastAsia" w:hAnsi="Calibri" w:cstheme="majorBidi"/>
      <w:b/>
      <w:color w:val="000000" w:themeColor="text1"/>
      <w:sz w:val="36"/>
      <w:szCs w:val="36"/>
    </w:rPr>
  </w:style>
  <w:style w:type="character" w:customStyle="1" w:styleId="PROJEKTZnak0">
    <w:name w:val="PROJEKT Znak"/>
    <w:basedOn w:val="Nagwek3Znak"/>
    <w:link w:val="PROJEKT0"/>
    <w:rsid w:val="0071475D"/>
    <w:rPr>
      <w:rFonts w:ascii="Calibri" w:eastAsiaTheme="majorEastAsia" w:hAnsi="Calibri" w:cstheme="majorBidi"/>
      <w:b/>
      <w:bCs/>
      <w:noProof/>
      <w:color w:val="1F3763" w:themeColor="accent1" w:themeShade="7F"/>
      <w:sz w:val="26"/>
      <w:szCs w:val="24"/>
    </w:rPr>
  </w:style>
  <w:style w:type="paragraph" w:styleId="Zwykytekst">
    <w:name w:val="Plain Text"/>
    <w:basedOn w:val="Normalny"/>
    <w:link w:val="ZwykytekstZnak"/>
    <w:uiPriority w:val="99"/>
    <w:unhideWhenUsed/>
    <w:rsid w:val="0071475D"/>
    <w:rPr>
      <w:rFonts w:ascii="Calibri" w:hAnsi="Calibri"/>
      <w:kern w:val="0"/>
      <w:szCs w:val="21"/>
      <w14:ligatures w14:val="none"/>
    </w:rPr>
  </w:style>
  <w:style w:type="character" w:customStyle="1" w:styleId="ZwykytekstZnak">
    <w:name w:val="Zwykły tekst Znak"/>
    <w:basedOn w:val="Domylnaczcionkaakapitu"/>
    <w:link w:val="Zwykytekst"/>
    <w:uiPriority w:val="99"/>
    <w:rsid w:val="0071475D"/>
    <w:rPr>
      <w:rFonts w:ascii="Calibri" w:hAnsi="Calibri"/>
      <w:kern w:val="0"/>
      <w:szCs w:val="21"/>
      <w14:ligatures w14:val="none"/>
    </w:rPr>
  </w:style>
  <w:style w:type="character" w:styleId="Numerstrony">
    <w:name w:val="page number"/>
    <w:basedOn w:val="Domylnaczcionkaakapitu"/>
    <w:uiPriority w:val="99"/>
    <w:semiHidden/>
    <w:unhideWhenUsed/>
    <w:rsid w:val="0071475D"/>
  </w:style>
  <w:style w:type="paragraph" w:styleId="Cytat">
    <w:name w:val="Quote"/>
    <w:basedOn w:val="Normalny"/>
    <w:next w:val="Normalny"/>
    <w:link w:val="CytatZnak"/>
    <w:uiPriority w:val="29"/>
    <w:qFormat/>
    <w:rsid w:val="0071475D"/>
    <w:pPr>
      <w:spacing w:before="200" w:after="160" w:line="276" w:lineRule="auto"/>
      <w:ind w:left="864" w:right="864"/>
      <w:jc w:val="center"/>
    </w:pPr>
    <w:rPr>
      <w:i/>
      <w:iCs/>
      <w:color w:val="404040" w:themeColor="text1" w:themeTint="BF"/>
      <w:kern w:val="0"/>
      <w:sz w:val="24"/>
      <w14:ligatures w14:val="none"/>
    </w:rPr>
  </w:style>
  <w:style w:type="character" w:customStyle="1" w:styleId="CytatZnak">
    <w:name w:val="Cytat Znak"/>
    <w:basedOn w:val="Domylnaczcionkaakapitu"/>
    <w:link w:val="Cytat"/>
    <w:uiPriority w:val="29"/>
    <w:rsid w:val="0071475D"/>
    <w:rPr>
      <w:i/>
      <w:iCs/>
      <w:color w:val="404040" w:themeColor="text1" w:themeTint="BF"/>
      <w:kern w:val="0"/>
      <w:sz w:val="24"/>
      <w14:ligatures w14:val="none"/>
    </w:rPr>
  </w:style>
  <w:style w:type="character" w:customStyle="1" w:styleId="BezodstpwZnak">
    <w:name w:val="Bez odstępów Znak"/>
    <w:basedOn w:val="Domylnaczcionkaakapitu"/>
    <w:link w:val="Bezodstpw"/>
    <w:uiPriority w:val="1"/>
    <w:rsid w:val="0071475D"/>
    <w:rPr>
      <w:kern w:val="0"/>
      <w14:ligatures w14:val="none"/>
    </w:rPr>
  </w:style>
  <w:style w:type="character" w:customStyle="1" w:styleId="Nierozpoznanawzmianka20">
    <w:name w:val="Nierozpoznana wzmianka2"/>
    <w:basedOn w:val="Domylnaczcionkaakapitu"/>
    <w:uiPriority w:val="99"/>
    <w:semiHidden/>
    <w:unhideWhenUsed/>
    <w:rsid w:val="0071475D"/>
    <w:rPr>
      <w:color w:val="605E5C"/>
      <w:shd w:val="clear" w:color="auto" w:fill="E1DFDD"/>
    </w:rPr>
  </w:style>
  <w:style w:type="paragraph" w:customStyle="1" w:styleId="font7">
    <w:name w:val="font_7"/>
    <w:basedOn w:val="Normalny"/>
    <w:rsid w:val="0071475D"/>
    <w:pPr>
      <w:spacing w:before="100" w:beforeAutospacing="1" w:after="100" w:afterAutospacing="1"/>
    </w:pPr>
    <w:rPr>
      <w:rFonts w:ascii="Times New Roman" w:eastAsia="Times New Roman" w:hAnsi="Times New Roman" w:cs="Times New Roman"/>
      <w:kern w:val="0"/>
      <w:sz w:val="24"/>
      <w:szCs w:val="24"/>
      <w:lang w:eastAsia="pl-PL"/>
      <w14:ligatures w14:val="none"/>
    </w:rPr>
  </w:style>
  <w:style w:type="character" w:customStyle="1" w:styleId="color11">
    <w:name w:val="color_11"/>
    <w:basedOn w:val="Domylnaczcionkaakapitu"/>
    <w:rsid w:val="0071475D"/>
  </w:style>
  <w:style w:type="paragraph" w:customStyle="1" w:styleId="footnotedescription">
    <w:name w:val="footnote description"/>
    <w:next w:val="Normalny"/>
    <w:link w:val="footnotedescriptionChar"/>
    <w:hidden/>
    <w:rsid w:val="0071475D"/>
    <w:pPr>
      <w:spacing w:after="11" w:line="259" w:lineRule="auto"/>
      <w:ind w:right="140"/>
    </w:pPr>
    <w:rPr>
      <w:rFonts w:ascii="Times New Roman" w:eastAsia="Times New Roman" w:hAnsi="Times New Roman" w:cs="Times New Roman"/>
      <w:color w:val="000000"/>
      <w:kern w:val="0"/>
      <w:sz w:val="18"/>
      <w:lang w:eastAsia="pl-PL"/>
      <w14:ligatures w14:val="none"/>
    </w:rPr>
  </w:style>
  <w:style w:type="character" w:customStyle="1" w:styleId="footnotedescriptionChar">
    <w:name w:val="footnote description Char"/>
    <w:link w:val="footnotedescription"/>
    <w:rsid w:val="0071475D"/>
    <w:rPr>
      <w:rFonts w:ascii="Times New Roman" w:eastAsia="Times New Roman" w:hAnsi="Times New Roman" w:cs="Times New Roman"/>
      <w:color w:val="000000"/>
      <w:kern w:val="0"/>
      <w:sz w:val="18"/>
      <w:lang w:eastAsia="pl-PL"/>
      <w14:ligatures w14:val="none"/>
    </w:rPr>
  </w:style>
  <w:style w:type="character" w:customStyle="1" w:styleId="footnotemark">
    <w:name w:val="footnote mark"/>
    <w:hidden/>
    <w:rsid w:val="0071475D"/>
    <w:rPr>
      <w:rFonts w:ascii="Times New Roman" w:eastAsia="Times New Roman" w:hAnsi="Times New Roman" w:cs="Times New Roman"/>
      <w:color w:val="000000"/>
      <w:sz w:val="18"/>
      <w:vertAlign w:val="superscript"/>
    </w:rPr>
  </w:style>
  <w:style w:type="paragraph" w:customStyle="1" w:styleId="font8">
    <w:name w:val="font_8"/>
    <w:basedOn w:val="Normalny"/>
    <w:rsid w:val="0071475D"/>
    <w:pPr>
      <w:spacing w:before="100" w:beforeAutospacing="1" w:after="100" w:afterAutospacing="1"/>
    </w:pPr>
    <w:rPr>
      <w:rFonts w:ascii="Times New Roman" w:eastAsia="Times New Roman" w:hAnsi="Times New Roman" w:cs="Times New Roman"/>
      <w:kern w:val="0"/>
      <w:sz w:val="24"/>
      <w:szCs w:val="24"/>
      <w:lang w:eastAsia="pl-PL"/>
      <w14:ligatures w14:val="none"/>
    </w:rPr>
  </w:style>
  <w:style w:type="character" w:customStyle="1" w:styleId="Tytu1">
    <w:name w:val="Tytuł1"/>
    <w:basedOn w:val="Domylnaczcionkaakapitu"/>
    <w:rsid w:val="0071475D"/>
  </w:style>
  <w:style w:type="character" w:customStyle="1" w:styleId="Nierozpoznanawzmianka10">
    <w:name w:val="Nierozpoznana wzmianka10"/>
    <w:basedOn w:val="Domylnaczcionkaakapitu"/>
    <w:uiPriority w:val="99"/>
    <w:semiHidden/>
    <w:unhideWhenUsed/>
    <w:rsid w:val="0071475D"/>
    <w:rPr>
      <w:color w:val="605E5C"/>
      <w:shd w:val="clear" w:color="auto" w:fill="E1DFDD"/>
    </w:rPr>
  </w:style>
  <w:style w:type="table" w:customStyle="1" w:styleId="TableGrid0">
    <w:name w:val="Table Grid0"/>
    <w:rsid w:val="0071475D"/>
    <w:rPr>
      <w:rFonts w:eastAsiaTheme="minorEastAsia"/>
      <w:kern w:val="0"/>
      <w:lang w:eastAsia="pl-PL"/>
      <w14:ligatures w14:val="none"/>
    </w:rPr>
    <w:tblPr>
      <w:tblCellMar>
        <w:top w:w="0" w:type="dxa"/>
        <w:left w:w="0" w:type="dxa"/>
        <w:bottom w:w="0" w:type="dxa"/>
        <w:right w:w="0" w:type="dxa"/>
      </w:tblCellMar>
    </w:tblPr>
  </w:style>
  <w:style w:type="character" w:customStyle="1" w:styleId="Nierozpoznanawzmianka100">
    <w:name w:val="Nierozpoznana wzmianka100"/>
    <w:basedOn w:val="Domylnaczcionkaakapitu"/>
    <w:uiPriority w:val="99"/>
    <w:semiHidden/>
    <w:unhideWhenUsed/>
    <w:rsid w:val="0071475D"/>
    <w:rPr>
      <w:color w:val="605E5C"/>
      <w:shd w:val="clear" w:color="auto" w:fill="E1DFDD"/>
    </w:rPr>
  </w:style>
  <w:style w:type="character" w:customStyle="1" w:styleId="cf01">
    <w:name w:val="cf01"/>
    <w:basedOn w:val="Domylnaczcionkaakapitu"/>
    <w:rsid w:val="0071475D"/>
    <w:rPr>
      <w:rFonts w:ascii="Segoe UI" w:hAnsi="Segoe UI" w:cs="Segoe UI" w:hint="default"/>
      <w:sz w:val="18"/>
      <w:szCs w:val="18"/>
    </w:rPr>
  </w:style>
  <w:style w:type="character" w:customStyle="1" w:styleId="Nierozpoznanawzmianka1000">
    <w:name w:val="Nierozpoznana wzmianka1000"/>
    <w:basedOn w:val="Domylnaczcionkaakapitu"/>
    <w:uiPriority w:val="99"/>
    <w:semiHidden/>
    <w:unhideWhenUsed/>
    <w:rsid w:val="0071475D"/>
    <w:rPr>
      <w:color w:val="605E5C"/>
      <w:shd w:val="clear" w:color="auto" w:fill="E1DFDD"/>
    </w:rPr>
  </w:style>
  <w:style w:type="character" w:customStyle="1" w:styleId="xxxxxnormaltextrun">
    <w:name w:val="x_xxxxnormaltextrun"/>
    <w:basedOn w:val="Domylnaczcionkaakapitu"/>
    <w:rsid w:val="0071475D"/>
  </w:style>
  <w:style w:type="character" w:customStyle="1" w:styleId="xxxnormaltextrun">
    <w:name w:val="x_xxnormaltextrun"/>
    <w:basedOn w:val="Domylnaczcionkaakapitu"/>
    <w:rsid w:val="0071475D"/>
  </w:style>
  <w:style w:type="character" w:customStyle="1" w:styleId="Nierozpoznanawzmianka10000">
    <w:name w:val="Nierozpoznana wzmianka10000"/>
    <w:basedOn w:val="Domylnaczcionkaakapitu"/>
    <w:uiPriority w:val="99"/>
    <w:semiHidden/>
    <w:unhideWhenUsed/>
    <w:rsid w:val="0071475D"/>
    <w:rPr>
      <w:color w:val="605E5C"/>
      <w:shd w:val="clear" w:color="auto" w:fill="E1DFDD"/>
    </w:rPr>
  </w:style>
  <w:style w:type="character" w:customStyle="1" w:styleId="Nierozpoznanawzmianka100000">
    <w:name w:val="Nierozpoznana wzmianka100000"/>
    <w:basedOn w:val="Domylnaczcionkaakapitu"/>
    <w:uiPriority w:val="99"/>
    <w:semiHidden/>
    <w:unhideWhenUsed/>
    <w:rsid w:val="0071475D"/>
    <w:rPr>
      <w:color w:val="605E5C"/>
      <w:shd w:val="clear" w:color="auto" w:fill="E1DFDD"/>
    </w:rPr>
  </w:style>
  <w:style w:type="character" w:customStyle="1" w:styleId="Nierozpoznanawzmianka1000000">
    <w:name w:val="Nierozpoznana wzmianka1000000"/>
    <w:basedOn w:val="Domylnaczcionkaakapitu"/>
    <w:uiPriority w:val="99"/>
    <w:semiHidden/>
    <w:unhideWhenUsed/>
    <w:rsid w:val="0071475D"/>
    <w:rPr>
      <w:color w:val="605E5C"/>
      <w:shd w:val="clear" w:color="auto" w:fill="E1DFDD"/>
    </w:rPr>
  </w:style>
  <w:style w:type="character" w:customStyle="1" w:styleId="Nierozpoznanawzmianka10000000">
    <w:name w:val="Nierozpoznana wzmianka10000000"/>
    <w:basedOn w:val="Domylnaczcionkaakapitu"/>
    <w:uiPriority w:val="99"/>
    <w:semiHidden/>
    <w:unhideWhenUsed/>
    <w:rsid w:val="0071475D"/>
    <w:rPr>
      <w:color w:val="605E5C"/>
      <w:shd w:val="clear" w:color="auto" w:fill="E1DFDD"/>
    </w:rPr>
  </w:style>
  <w:style w:type="character" w:customStyle="1" w:styleId="Nierozpoznanawzmianka100000000">
    <w:name w:val="Nierozpoznana wzmianka100000000"/>
    <w:basedOn w:val="Domylnaczcionkaakapitu"/>
    <w:uiPriority w:val="99"/>
    <w:semiHidden/>
    <w:unhideWhenUsed/>
    <w:rsid w:val="0071475D"/>
    <w:rPr>
      <w:color w:val="605E5C"/>
      <w:shd w:val="clear" w:color="auto" w:fill="E1DFDD"/>
    </w:rPr>
  </w:style>
  <w:style w:type="character" w:customStyle="1" w:styleId="Nierozpoznanawzmianka1000000000">
    <w:name w:val="Nierozpoznana wzmianka1000000000"/>
    <w:basedOn w:val="Domylnaczcionkaakapitu"/>
    <w:uiPriority w:val="99"/>
    <w:semiHidden/>
    <w:unhideWhenUsed/>
    <w:rsid w:val="0071475D"/>
    <w:rPr>
      <w:color w:val="605E5C"/>
      <w:shd w:val="clear" w:color="auto" w:fill="E1DFDD"/>
    </w:rPr>
  </w:style>
  <w:style w:type="character" w:customStyle="1" w:styleId="Nierozpoznanawzmianka10000000000">
    <w:name w:val="Nierozpoznana wzmianka10000000000"/>
    <w:basedOn w:val="Domylnaczcionkaakapitu"/>
    <w:uiPriority w:val="99"/>
    <w:semiHidden/>
    <w:unhideWhenUsed/>
    <w:rsid w:val="0071475D"/>
    <w:rPr>
      <w:color w:val="605E5C"/>
      <w:shd w:val="clear" w:color="auto" w:fill="E1DFDD"/>
    </w:rPr>
  </w:style>
  <w:style w:type="character" w:customStyle="1" w:styleId="Nierozpoznanawzmianka100000000000">
    <w:name w:val="Nierozpoznana wzmianka100000000000"/>
    <w:basedOn w:val="Domylnaczcionkaakapitu"/>
    <w:uiPriority w:val="99"/>
    <w:semiHidden/>
    <w:unhideWhenUsed/>
    <w:rsid w:val="0071475D"/>
    <w:rPr>
      <w:color w:val="605E5C"/>
      <w:shd w:val="clear" w:color="auto" w:fill="E1DFDD"/>
    </w:rPr>
  </w:style>
  <w:style w:type="character" w:customStyle="1" w:styleId="Nierozpoznanawzmianka1000000000000">
    <w:name w:val="Nierozpoznana wzmianka1000000000000"/>
    <w:basedOn w:val="Domylnaczcionkaakapitu"/>
    <w:uiPriority w:val="99"/>
    <w:semiHidden/>
    <w:unhideWhenUsed/>
    <w:rsid w:val="0071475D"/>
    <w:rPr>
      <w:color w:val="605E5C"/>
      <w:shd w:val="clear" w:color="auto" w:fill="E1DFDD"/>
    </w:rPr>
  </w:style>
  <w:style w:type="character" w:customStyle="1" w:styleId="Nierozpoznanawzmianka10000000000000">
    <w:name w:val="Nierozpoznana wzmianka10000000000000"/>
    <w:basedOn w:val="Domylnaczcionkaakapitu"/>
    <w:uiPriority w:val="99"/>
    <w:semiHidden/>
    <w:unhideWhenUsed/>
    <w:rsid w:val="0071475D"/>
    <w:rPr>
      <w:color w:val="605E5C"/>
      <w:shd w:val="clear" w:color="auto" w:fill="E1DFDD"/>
    </w:rPr>
  </w:style>
  <w:style w:type="character" w:customStyle="1" w:styleId="Nierozpoznanawzmianka100000000000000">
    <w:name w:val="Nierozpoznana wzmianka100000000000000"/>
    <w:basedOn w:val="Domylnaczcionkaakapitu"/>
    <w:uiPriority w:val="99"/>
    <w:semiHidden/>
    <w:unhideWhenUsed/>
    <w:rsid w:val="0071475D"/>
    <w:rPr>
      <w:color w:val="605E5C"/>
      <w:shd w:val="clear" w:color="auto" w:fill="E1DFDD"/>
    </w:rPr>
  </w:style>
  <w:style w:type="character" w:customStyle="1" w:styleId="Nierozpoznanawzmianka1000000000000000">
    <w:name w:val="Nierozpoznana wzmianka1000000000000000"/>
    <w:basedOn w:val="Domylnaczcionkaakapitu"/>
    <w:uiPriority w:val="99"/>
    <w:semiHidden/>
    <w:unhideWhenUsed/>
    <w:rsid w:val="0071475D"/>
    <w:rPr>
      <w:color w:val="605E5C"/>
      <w:shd w:val="clear" w:color="auto" w:fill="E1DFDD"/>
    </w:rPr>
  </w:style>
  <w:style w:type="character" w:customStyle="1" w:styleId="Nierozpoznanawzmianka10000000000000000">
    <w:name w:val="Nierozpoznana wzmianka10000000000000000"/>
    <w:basedOn w:val="Domylnaczcionkaakapitu"/>
    <w:uiPriority w:val="99"/>
    <w:semiHidden/>
    <w:unhideWhenUsed/>
    <w:rsid w:val="0071475D"/>
    <w:rPr>
      <w:color w:val="605E5C"/>
      <w:shd w:val="clear" w:color="auto" w:fill="E1DFDD"/>
    </w:rPr>
  </w:style>
  <w:style w:type="character" w:customStyle="1" w:styleId="Nierozpoznanawzmianka100000000000000000">
    <w:name w:val="Nierozpoznana wzmianka100000000000000000"/>
    <w:basedOn w:val="Domylnaczcionkaakapitu"/>
    <w:uiPriority w:val="99"/>
    <w:semiHidden/>
    <w:unhideWhenUsed/>
    <w:rsid w:val="0071475D"/>
    <w:rPr>
      <w:color w:val="605E5C"/>
      <w:shd w:val="clear" w:color="auto" w:fill="E1DFDD"/>
    </w:rPr>
  </w:style>
  <w:style w:type="character" w:customStyle="1" w:styleId="Nierozpoznanawzmianka1000000000000000000">
    <w:name w:val="Nierozpoznana wzmianka1000000000000000000"/>
    <w:basedOn w:val="Domylnaczcionkaakapitu"/>
    <w:uiPriority w:val="99"/>
    <w:semiHidden/>
    <w:unhideWhenUsed/>
    <w:rsid w:val="0071475D"/>
    <w:rPr>
      <w:color w:val="605E5C"/>
      <w:shd w:val="clear" w:color="auto" w:fill="E1DFDD"/>
    </w:rPr>
  </w:style>
  <w:style w:type="character" w:customStyle="1" w:styleId="Nierozpoznanawzmianka10000000000000000000">
    <w:name w:val="Nierozpoznana wzmianka10000000000000000000"/>
    <w:basedOn w:val="Domylnaczcionkaakapitu"/>
    <w:uiPriority w:val="99"/>
    <w:semiHidden/>
    <w:unhideWhenUsed/>
    <w:rsid w:val="0071475D"/>
    <w:rPr>
      <w:color w:val="605E5C"/>
      <w:shd w:val="clear" w:color="auto" w:fill="E1DFDD"/>
    </w:rPr>
  </w:style>
  <w:style w:type="character" w:customStyle="1" w:styleId="Nierozpoznanawzmianka100000000000000000000">
    <w:name w:val="Nierozpoznana wzmianka100000000000000000000"/>
    <w:basedOn w:val="Domylnaczcionkaakapitu"/>
    <w:uiPriority w:val="99"/>
    <w:semiHidden/>
    <w:unhideWhenUsed/>
    <w:rsid w:val="0071475D"/>
    <w:rPr>
      <w:color w:val="605E5C"/>
      <w:shd w:val="clear" w:color="auto" w:fill="E1DFDD"/>
    </w:rPr>
  </w:style>
  <w:style w:type="character" w:customStyle="1" w:styleId="Nierozpoznanawzmianka1000000000000000000000">
    <w:name w:val="Nierozpoznana wzmianka1000000000000000000000"/>
    <w:basedOn w:val="Domylnaczcionkaakapitu"/>
    <w:uiPriority w:val="99"/>
    <w:semiHidden/>
    <w:unhideWhenUsed/>
    <w:rsid w:val="0071475D"/>
    <w:rPr>
      <w:color w:val="605E5C"/>
      <w:shd w:val="clear" w:color="auto" w:fill="E1DFDD"/>
    </w:rPr>
  </w:style>
  <w:style w:type="character" w:customStyle="1" w:styleId="Nierozpoznanawzmianka10000000000000000000000">
    <w:name w:val="Nierozpoznana wzmianka10000000000000000000000"/>
    <w:basedOn w:val="Domylnaczcionkaakapitu"/>
    <w:uiPriority w:val="99"/>
    <w:semiHidden/>
    <w:unhideWhenUsed/>
    <w:rsid w:val="0071475D"/>
    <w:rPr>
      <w:color w:val="605E5C"/>
      <w:shd w:val="clear" w:color="auto" w:fill="E1DFDD"/>
    </w:rPr>
  </w:style>
  <w:style w:type="character" w:customStyle="1" w:styleId="Nierozpoznanawzmianka100000000000000000000000">
    <w:name w:val="Nierozpoznana wzmianka100000000000000000000000"/>
    <w:basedOn w:val="Domylnaczcionkaakapitu"/>
    <w:uiPriority w:val="99"/>
    <w:semiHidden/>
    <w:unhideWhenUsed/>
    <w:rsid w:val="0071475D"/>
    <w:rPr>
      <w:color w:val="605E5C"/>
      <w:shd w:val="clear" w:color="auto" w:fill="E1DFDD"/>
    </w:rPr>
  </w:style>
  <w:style w:type="character" w:customStyle="1" w:styleId="Nierozpoznanawzmianka1000000000000000000000000">
    <w:name w:val="Nierozpoznana wzmianka1000000000000000000000000"/>
    <w:basedOn w:val="Domylnaczcionkaakapitu"/>
    <w:uiPriority w:val="99"/>
    <w:semiHidden/>
    <w:unhideWhenUsed/>
    <w:rsid w:val="0071475D"/>
    <w:rPr>
      <w:color w:val="605E5C"/>
      <w:shd w:val="clear" w:color="auto" w:fill="E1DFDD"/>
    </w:rPr>
  </w:style>
  <w:style w:type="character" w:customStyle="1" w:styleId="Nierozpoznanawzmianka10000000000000000000000000">
    <w:name w:val="Nierozpoznana wzmianka10000000000000000000000000"/>
    <w:basedOn w:val="Domylnaczcionkaakapitu"/>
    <w:uiPriority w:val="99"/>
    <w:semiHidden/>
    <w:unhideWhenUsed/>
    <w:rsid w:val="0071475D"/>
    <w:rPr>
      <w:color w:val="605E5C"/>
      <w:shd w:val="clear" w:color="auto" w:fill="E1DFDD"/>
    </w:rPr>
  </w:style>
  <w:style w:type="character" w:customStyle="1" w:styleId="Nierozpoznanawzmianka100000000000000000000000000">
    <w:name w:val="Nierozpoznana wzmianka100000000000000000000000000"/>
    <w:basedOn w:val="Domylnaczcionkaakapitu"/>
    <w:uiPriority w:val="99"/>
    <w:semiHidden/>
    <w:unhideWhenUsed/>
    <w:rsid w:val="0071475D"/>
    <w:rPr>
      <w:color w:val="605E5C"/>
      <w:shd w:val="clear" w:color="auto" w:fill="E1DFDD"/>
    </w:rPr>
  </w:style>
  <w:style w:type="character" w:customStyle="1" w:styleId="Nierozpoznanawzmianka1000000000000000000000000000">
    <w:name w:val="Nierozpoznana wzmianka1000000000000000000000000000"/>
    <w:basedOn w:val="Domylnaczcionkaakapitu"/>
    <w:uiPriority w:val="99"/>
    <w:semiHidden/>
    <w:unhideWhenUsed/>
    <w:rsid w:val="0071475D"/>
    <w:rPr>
      <w:color w:val="605E5C"/>
      <w:shd w:val="clear" w:color="auto" w:fill="E1DFDD"/>
    </w:rPr>
  </w:style>
  <w:style w:type="character" w:customStyle="1" w:styleId="Nierozpoznanawzmianka10000000000000000000000000000">
    <w:name w:val="Nierozpoznana wzmianka10000000000000000000000000000"/>
    <w:basedOn w:val="Domylnaczcionkaakapitu"/>
    <w:uiPriority w:val="99"/>
    <w:semiHidden/>
    <w:unhideWhenUsed/>
    <w:rsid w:val="0071475D"/>
    <w:rPr>
      <w:color w:val="605E5C"/>
      <w:shd w:val="clear" w:color="auto" w:fill="E1DFDD"/>
    </w:rPr>
  </w:style>
  <w:style w:type="character" w:customStyle="1" w:styleId="Nierozpoznanawzmianka100000000000000000000000000000">
    <w:name w:val="Nierozpoznana wzmianka100000000000000000000000000000"/>
    <w:basedOn w:val="Domylnaczcionkaakapitu"/>
    <w:uiPriority w:val="99"/>
    <w:semiHidden/>
    <w:unhideWhenUsed/>
    <w:rsid w:val="0071475D"/>
    <w:rPr>
      <w:color w:val="605E5C"/>
      <w:shd w:val="clear" w:color="auto" w:fill="E1DFDD"/>
    </w:rPr>
  </w:style>
  <w:style w:type="character" w:customStyle="1" w:styleId="Nierozpoznanawzmianka1000000000000000000000000000000">
    <w:name w:val="Nierozpoznana wzmianka1000000000000000000000000000000"/>
    <w:basedOn w:val="Domylnaczcionkaakapitu"/>
    <w:uiPriority w:val="99"/>
    <w:semiHidden/>
    <w:unhideWhenUsed/>
    <w:rsid w:val="0071475D"/>
    <w:rPr>
      <w:color w:val="605E5C"/>
      <w:shd w:val="clear" w:color="auto" w:fill="E1DFDD"/>
    </w:rPr>
  </w:style>
  <w:style w:type="character" w:customStyle="1" w:styleId="Nierozpoznanawzmianka10000000000000000000000000000000">
    <w:name w:val="Nierozpoznana wzmianka10000000000000000000000000000000"/>
    <w:basedOn w:val="Domylnaczcionkaakapitu"/>
    <w:uiPriority w:val="99"/>
    <w:semiHidden/>
    <w:unhideWhenUsed/>
    <w:rsid w:val="0071475D"/>
    <w:rPr>
      <w:color w:val="605E5C"/>
      <w:shd w:val="clear" w:color="auto" w:fill="E1DFDD"/>
    </w:rPr>
  </w:style>
  <w:style w:type="character" w:customStyle="1" w:styleId="Nierozpoznanawzmianka100000000000000000000000000000000">
    <w:name w:val="Nierozpoznana wzmianka100000000000000000000000000000000"/>
    <w:basedOn w:val="Domylnaczcionkaakapitu"/>
    <w:uiPriority w:val="99"/>
    <w:semiHidden/>
    <w:unhideWhenUsed/>
    <w:rsid w:val="0071475D"/>
    <w:rPr>
      <w:color w:val="605E5C"/>
      <w:shd w:val="clear" w:color="auto" w:fill="E1DFDD"/>
    </w:rPr>
  </w:style>
  <w:style w:type="paragraph" w:customStyle="1" w:styleId="Tre">
    <w:name w:val="Treść"/>
    <w:rsid w:val="0071475D"/>
    <w:pPr>
      <w:pBdr>
        <w:top w:val="nil"/>
        <w:left w:val="nil"/>
        <w:bottom w:val="nil"/>
        <w:right w:val="nil"/>
        <w:between w:val="nil"/>
        <w:bar w:val="nil"/>
      </w:pBdr>
    </w:pPr>
    <w:rPr>
      <w:rFonts w:ascii="Helvetica" w:eastAsia="Arial Unicode MS" w:hAnsi="Arial Unicode MS" w:cs="Arial Unicode MS"/>
      <w:color w:val="000000"/>
      <w:kern w:val="0"/>
      <w:szCs w:val="24"/>
      <w:bdr w:val="nil"/>
      <w:lang w:eastAsia="pl-PL"/>
      <w14:ligatures w14:val="none"/>
    </w:rPr>
  </w:style>
  <w:style w:type="paragraph" w:customStyle="1" w:styleId="ASstylLSR">
    <w:name w:val="AS_styl_LSR"/>
    <w:basedOn w:val="Akapitzlist"/>
    <w:autoRedefine/>
    <w:qFormat/>
    <w:rsid w:val="0071475D"/>
    <w:pPr>
      <w:numPr>
        <w:numId w:val="43"/>
      </w:numPr>
      <w:tabs>
        <w:tab w:val="left" w:pos="10206"/>
      </w:tabs>
      <w:spacing w:line="276" w:lineRule="auto"/>
      <w:ind w:left="426" w:hanging="426"/>
      <w:outlineLvl w:val="0"/>
    </w:pPr>
    <w:rPr>
      <w:rFonts w:ascii="Calibri" w:hAnsi="Calibri"/>
      <w:b/>
      <w:kern w:val="0"/>
      <w:sz w:val="24"/>
      <w:szCs w:val="24"/>
      <w14:ligatures w14:val="none"/>
    </w:rPr>
  </w:style>
  <w:style w:type="table" w:customStyle="1" w:styleId="Tabela-Siatka3">
    <w:name w:val="Tabela - Siatka3"/>
    <w:basedOn w:val="Standardowy"/>
    <w:next w:val="Tabela-Siatka"/>
    <w:uiPriority w:val="39"/>
    <w:rsid w:val="0071475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listy6kolorowaakcent61">
    <w:name w:val="Tabela listy 6 — kolorowa — akcent 61"/>
    <w:basedOn w:val="Standardowy"/>
    <w:uiPriority w:val="51"/>
    <w:rsid w:val="0071475D"/>
    <w:rPr>
      <w:color w:val="538135" w:themeColor="accent6" w:themeShade="BF"/>
      <w:kern w:val="0"/>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elalisty7kolorowaakcent11">
    <w:name w:val="Tabela listy 7 — kolorowa — akcent 11"/>
    <w:basedOn w:val="Standardowy"/>
    <w:uiPriority w:val="52"/>
    <w:rsid w:val="0071475D"/>
    <w:rPr>
      <w:color w:val="2F5496" w:themeColor="accent1" w:themeShade="BF"/>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listy3akcent310">
    <w:name w:val="Tabela listy 3 — akcent 31"/>
    <w:basedOn w:val="Standardowy"/>
    <w:uiPriority w:val="48"/>
    <w:rsid w:val="0071475D"/>
    <w:rPr>
      <w:kern w:val="0"/>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msonormal0">
    <w:name w:val="msonormal"/>
    <w:basedOn w:val="Normalny"/>
    <w:rsid w:val="0071475D"/>
    <w:pPr>
      <w:spacing w:before="100" w:beforeAutospacing="1" w:after="100" w:afterAutospacing="1"/>
    </w:pPr>
    <w:rPr>
      <w:rFonts w:ascii="Times New Roman" w:eastAsia="Times New Roman" w:hAnsi="Times New Roman" w:cs="Times New Roman"/>
      <w:kern w:val="0"/>
      <w:sz w:val="24"/>
      <w:szCs w:val="24"/>
      <w:lang w:eastAsia="pl-PL"/>
      <w14:ligatures w14:val="none"/>
    </w:rPr>
  </w:style>
  <w:style w:type="table" w:customStyle="1" w:styleId="Tabelasiatki4akcent61">
    <w:name w:val="Tabela siatki 4 — akcent 61"/>
    <w:basedOn w:val="Standardowy"/>
    <w:uiPriority w:val="49"/>
    <w:rsid w:val="0071475D"/>
    <w:rPr>
      <w:kern w:val="0"/>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elasiatki5ciemnaakcent61">
    <w:name w:val="Tabela siatki 5 — ciemna — akcent 61"/>
    <w:basedOn w:val="Standardowy"/>
    <w:uiPriority w:val="50"/>
    <w:rsid w:val="0071475D"/>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elasiatki210">
    <w:name w:val="Tabela siatki 21"/>
    <w:basedOn w:val="Standardowy"/>
    <w:uiPriority w:val="47"/>
    <w:rsid w:val="0071475D"/>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listy1jasna1">
    <w:name w:val="Tabela listy 1 — jasna1"/>
    <w:basedOn w:val="Standardowy"/>
    <w:uiPriority w:val="46"/>
    <w:rsid w:val="0071475D"/>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i310">
    <w:name w:val="Tabela siatki 31"/>
    <w:basedOn w:val="Standardowy"/>
    <w:uiPriority w:val="48"/>
    <w:rsid w:val="0071475D"/>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elasiatki5ciemnaakcent310">
    <w:name w:val="Tabela siatki 5 — ciemna — akcent 31"/>
    <w:basedOn w:val="Standardowy"/>
    <w:uiPriority w:val="50"/>
    <w:rsid w:val="0071475D"/>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ela-Siatka4">
    <w:name w:val="Tabela - Siatka4"/>
    <w:basedOn w:val="Standardowy"/>
    <w:next w:val="Tabela-Siatka"/>
    <w:uiPriority w:val="39"/>
    <w:rsid w:val="0071475D"/>
    <w:pPr>
      <w:spacing w:before="200"/>
    </w:pPr>
    <w:rPr>
      <w:rFonts w:ascii="Times New Roman" w:eastAsia="Times New Roman" w:hAnsi="Times New Roman" w:cs="Times New Roman"/>
      <w:kern w:val="0"/>
      <w:sz w:val="24"/>
      <w:szCs w:val="24"/>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31">
    <w:name w:val="Nagłówek 31"/>
    <w:basedOn w:val="Normalny"/>
    <w:next w:val="Normalny"/>
    <w:uiPriority w:val="9"/>
    <w:semiHidden/>
    <w:unhideWhenUsed/>
    <w:qFormat/>
    <w:rsid w:val="0071475D"/>
    <w:pPr>
      <w:keepNext/>
      <w:keepLines/>
      <w:spacing w:before="40"/>
      <w:outlineLvl w:val="2"/>
    </w:pPr>
    <w:rPr>
      <w:rFonts w:ascii="Calibri Light" w:eastAsia="Times New Roman" w:hAnsi="Calibri Light" w:cs="Times New Roman"/>
      <w:color w:val="1F3763"/>
      <w:sz w:val="24"/>
      <w:szCs w:val="24"/>
      <w14:ligatures w14:val="none"/>
    </w:rPr>
  </w:style>
  <w:style w:type="paragraph" w:customStyle="1" w:styleId="Nagwek61">
    <w:name w:val="Nagłówek 61"/>
    <w:basedOn w:val="Normalny"/>
    <w:next w:val="Normalny"/>
    <w:uiPriority w:val="9"/>
    <w:semiHidden/>
    <w:unhideWhenUsed/>
    <w:qFormat/>
    <w:rsid w:val="0071475D"/>
    <w:pPr>
      <w:keepNext/>
      <w:keepLines/>
      <w:spacing w:before="40"/>
      <w:outlineLvl w:val="5"/>
    </w:pPr>
    <w:rPr>
      <w:rFonts w:ascii="Calibri Light" w:eastAsia="Times New Roman" w:hAnsi="Calibri Light" w:cs="Times New Roman"/>
      <w:color w:val="1F3763"/>
      <w14:ligatures w14:val="none"/>
    </w:rPr>
  </w:style>
  <w:style w:type="paragraph" w:customStyle="1" w:styleId="Tekstprzypisukocowego1">
    <w:name w:val="Tekst przypisu końcowego1"/>
    <w:basedOn w:val="Normalny"/>
    <w:next w:val="Tekstprzypisukocowego"/>
    <w:uiPriority w:val="99"/>
    <w:semiHidden/>
    <w:unhideWhenUsed/>
    <w:rsid w:val="0071475D"/>
    <w:rPr>
      <w:kern w:val="0"/>
      <w:sz w:val="20"/>
      <w:szCs w:val="20"/>
      <w14:ligatures w14:val="none"/>
    </w:rPr>
  </w:style>
  <w:style w:type="character" w:customStyle="1" w:styleId="Hipercze1">
    <w:name w:val="Hiperłącze1"/>
    <w:basedOn w:val="Domylnaczcionkaakapitu"/>
    <w:uiPriority w:val="99"/>
    <w:unhideWhenUsed/>
    <w:rsid w:val="0071475D"/>
    <w:rPr>
      <w:color w:val="0563C1"/>
      <w:u w:val="single"/>
    </w:rPr>
  </w:style>
  <w:style w:type="paragraph" w:customStyle="1" w:styleId="Tematkomentarza1">
    <w:name w:val="Temat komentarza1"/>
    <w:basedOn w:val="Tekstkomentarza"/>
    <w:next w:val="Tekstkomentarza"/>
    <w:uiPriority w:val="99"/>
    <w:semiHidden/>
    <w:unhideWhenUsed/>
    <w:rsid w:val="0071475D"/>
    <w:rPr>
      <w:rFonts w:ascii="Calibri" w:eastAsia="Calibri" w:hAnsi="Calibri"/>
      <w:b/>
      <w:bCs/>
      <w:kern w:val="2"/>
      <w:lang w:eastAsia="en-US"/>
    </w:rPr>
  </w:style>
  <w:style w:type="character" w:customStyle="1" w:styleId="Nagwek3Znak1">
    <w:name w:val="Nagłówek 3 Znak1"/>
    <w:basedOn w:val="Domylnaczcionkaakapitu"/>
    <w:uiPriority w:val="9"/>
    <w:semiHidden/>
    <w:rsid w:val="0071475D"/>
    <w:rPr>
      <w:rFonts w:asciiTheme="majorHAnsi" w:eastAsiaTheme="majorEastAsia" w:hAnsiTheme="majorHAnsi" w:cstheme="majorBidi"/>
      <w:b/>
      <w:bCs/>
      <w:color w:val="4472C4" w:themeColor="accent1"/>
    </w:rPr>
  </w:style>
  <w:style w:type="character" w:customStyle="1" w:styleId="Nagwek6Znak1">
    <w:name w:val="Nagłówek 6 Znak1"/>
    <w:basedOn w:val="Domylnaczcionkaakapitu"/>
    <w:uiPriority w:val="9"/>
    <w:semiHidden/>
    <w:rsid w:val="0071475D"/>
    <w:rPr>
      <w:rFonts w:asciiTheme="majorHAnsi" w:eastAsiaTheme="majorEastAsia" w:hAnsiTheme="majorHAnsi" w:cstheme="majorBidi"/>
      <w:i/>
      <w:iCs/>
      <w:color w:val="1F3763" w:themeColor="accent1" w:themeShade="7F"/>
    </w:rPr>
  </w:style>
  <w:style w:type="character" w:customStyle="1" w:styleId="TekstprzypisukocowegoZnak1">
    <w:name w:val="Tekst przypisu końcowego Znak1"/>
    <w:basedOn w:val="Domylnaczcionkaakapitu"/>
    <w:uiPriority w:val="99"/>
    <w:semiHidden/>
    <w:rsid w:val="0071475D"/>
    <w:rPr>
      <w:sz w:val="20"/>
      <w:szCs w:val="20"/>
    </w:rPr>
  </w:style>
  <w:style w:type="character" w:customStyle="1" w:styleId="TematkomentarzaZnak1">
    <w:name w:val="Temat komentarza Znak1"/>
    <w:basedOn w:val="TekstkomentarzaZnak"/>
    <w:uiPriority w:val="99"/>
    <w:semiHidden/>
    <w:rsid w:val="0071475D"/>
    <w:rPr>
      <w:rFonts w:ascii="Times New Roman" w:eastAsia="Times New Roman" w:hAnsi="Times New Roman" w:cs="Times New Roman"/>
      <w:b/>
      <w:bCs/>
      <w:kern w:val="0"/>
      <w:sz w:val="20"/>
      <w:szCs w:val="20"/>
      <w:lang w:eastAsia="pl-PL"/>
      <w14:ligatures w14:val="none"/>
    </w:rPr>
  </w:style>
  <w:style w:type="character" w:customStyle="1" w:styleId="TekstdymkaZnak1">
    <w:name w:val="Tekst dymka Znak1"/>
    <w:basedOn w:val="Domylnaczcionkaakapitu"/>
    <w:uiPriority w:val="99"/>
    <w:semiHidden/>
    <w:rsid w:val="0071475D"/>
    <w:rPr>
      <w:rFonts w:ascii="Segoe UI" w:hAnsi="Segoe UI" w:cs="Segoe UI"/>
      <w:sz w:val="18"/>
      <w:szCs w:val="18"/>
    </w:rPr>
  </w:style>
  <w:style w:type="table" w:customStyle="1" w:styleId="Tabelalisty4akcent11">
    <w:name w:val="Tabela listy 4 — akcent 11"/>
    <w:basedOn w:val="Standardowy"/>
    <w:uiPriority w:val="49"/>
    <w:rsid w:val="0071475D"/>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Siatka12">
    <w:name w:val="Tabela - Siatka12"/>
    <w:basedOn w:val="Standardowy"/>
    <w:next w:val="Tabela-Siatka"/>
    <w:uiPriority w:val="39"/>
    <w:rsid w:val="0071475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dniecieniowanie1akcent41">
    <w:name w:val="Średnie cieniowanie 1 — akcent 41"/>
    <w:basedOn w:val="Standardowy"/>
    <w:next w:val="redniecieniowanie1akcent4"/>
    <w:uiPriority w:val="63"/>
    <w:rsid w:val="0071475D"/>
    <w:rPr>
      <w:kern w:val="0"/>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rednialista1akcent51">
    <w:name w:val="Średnia lista 1 — akcent 51"/>
    <w:basedOn w:val="Standardowy"/>
    <w:next w:val="rednialista1akcent5"/>
    <w:uiPriority w:val="65"/>
    <w:rsid w:val="0071475D"/>
    <w:rPr>
      <w:color w:val="000000"/>
      <w:kern w:val="0"/>
      <w14:ligatures w14:val="none"/>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character" w:customStyle="1" w:styleId="Wyrnienieintensywne1">
    <w:name w:val="Wyróżnienie intensywne1"/>
    <w:basedOn w:val="Domylnaczcionkaakapitu"/>
    <w:uiPriority w:val="21"/>
    <w:qFormat/>
    <w:rsid w:val="0071475D"/>
    <w:rPr>
      <w:b/>
      <w:bCs/>
      <w:i/>
      <w:iCs/>
      <w:color w:val="4472C4"/>
    </w:rPr>
  </w:style>
  <w:style w:type="table" w:customStyle="1" w:styleId="Tabelasiatki4akcent120">
    <w:name w:val="Tabela siatki 4 — akcent 12"/>
    <w:basedOn w:val="Standardowy"/>
    <w:next w:val="Tabelasiatki4akcent11"/>
    <w:uiPriority w:val="49"/>
    <w:rsid w:val="0071475D"/>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Siatka21">
    <w:name w:val="Tabela - Siatka21"/>
    <w:basedOn w:val="Standardowy"/>
    <w:next w:val="Tabela-Siatka"/>
    <w:uiPriority w:val="39"/>
    <w:rsid w:val="0071475D"/>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110">
    <w:name w:val="Zwykła tabela 11"/>
    <w:basedOn w:val="Standardowy"/>
    <w:next w:val="Zwykatabela12"/>
    <w:uiPriority w:val="41"/>
    <w:rsid w:val="0071475D"/>
    <w:rPr>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atki2akcent310">
    <w:name w:val="Tabela siatki 2 — akcent 31"/>
    <w:basedOn w:val="Standardowy"/>
    <w:next w:val="Tabelasiatki2akcent32"/>
    <w:uiPriority w:val="47"/>
    <w:rsid w:val="0071475D"/>
    <w:rPr>
      <w14:ligatures w14:val="none"/>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Zwykatabela12">
    <w:name w:val="Zwykła tabela 12"/>
    <w:basedOn w:val="Standardowy"/>
    <w:uiPriority w:val="41"/>
    <w:rsid w:val="0071475D"/>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iatki4akcent32">
    <w:name w:val="Tabela siatki 4 — akcent 32"/>
    <w:basedOn w:val="Standardowy"/>
    <w:uiPriority w:val="49"/>
    <w:rsid w:val="0071475D"/>
    <w:rPr>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asiatki2akcent32">
    <w:name w:val="Tabela siatki 2 — akcent 32"/>
    <w:basedOn w:val="Standardowy"/>
    <w:uiPriority w:val="47"/>
    <w:rsid w:val="0071475D"/>
    <w:rPr>
      <w:kern w:val="0"/>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alisty7kolorowa2">
    <w:name w:val="Tabela listy 7 — kolorowa2"/>
    <w:basedOn w:val="Standardowy"/>
    <w:uiPriority w:val="52"/>
    <w:rsid w:val="0071475D"/>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siatki7kolorowa1">
    <w:name w:val="Tabela siatki 7 — kolorowa1"/>
    <w:basedOn w:val="Standardowy"/>
    <w:uiPriority w:val="52"/>
    <w:rsid w:val="0071475D"/>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elasiatki6kolorowa1">
    <w:name w:val="Tabela siatki 6 — kolorowa1"/>
    <w:basedOn w:val="Standardowy"/>
    <w:uiPriority w:val="51"/>
    <w:rsid w:val="0071475D"/>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listy21">
    <w:name w:val="Tabela listy 21"/>
    <w:basedOn w:val="Standardowy"/>
    <w:uiPriority w:val="47"/>
    <w:rsid w:val="0071475D"/>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3">
    <w:name w:val="Nierozpoznana wzmianka3"/>
    <w:basedOn w:val="Domylnaczcionkaakapitu"/>
    <w:uiPriority w:val="99"/>
    <w:semiHidden/>
    <w:unhideWhenUsed/>
    <w:rsid w:val="0071475D"/>
    <w:rPr>
      <w:color w:val="605E5C"/>
      <w:shd w:val="clear" w:color="auto" w:fill="E1DFDD"/>
    </w:rPr>
  </w:style>
  <w:style w:type="table" w:customStyle="1" w:styleId="Tabelasiatki1jasna2">
    <w:name w:val="Tabela siatki 1 — jasna2"/>
    <w:basedOn w:val="Standardowy"/>
    <w:uiPriority w:val="46"/>
    <w:rsid w:val="0071475D"/>
    <w:rPr>
      <w:rFonts w:eastAsiaTheme="minorEastAsia"/>
      <w:kern w:val="0"/>
      <w:lang w:eastAsia="pl-PL"/>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listy7kolorowa20">
    <w:name w:val="Tabela listy 7 — kolorowa2"/>
    <w:basedOn w:val="Standardowy"/>
    <w:uiPriority w:val="52"/>
    <w:rsid w:val="0071475D"/>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siatki7kolorowa10">
    <w:name w:val="Tabela siatki 7 — kolorowa1"/>
    <w:basedOn w:val="Standardowy"/>
    <w:uiPriority w:val="52"/>
    <w:rsid w:val="0071475D"/>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elasiatki32">
    <w:name w:val="Tabela siatki 32"/>
    <w:basedOn w:val="Standardowy"/>
    <w:uiPriority w:val="48"/>
    <w:rsid w:val="0071475D"/>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865925">
      <w:bodyDiv w:val="1"/>
      <w:marLeft w:val="0"/>
      <w:marRight w:val="0"/>
      <w:marTop w:val="0"/>
      <w:marBottom w:val="0"/>
      <w:divBdr>
        <w:top w:val="none" w:sz="0" w:space="0" w:color="auto"/>
        <w:left w:val="none" w:sz="0" w:space="0" w:color="auto"/>
        <w:bottom w:val="none" w:sz="0" w:space="0" w:color="auto"/>
        <w:right w:val="none" w:sz="0" w:space="0" w:color="auto"/>
      </w:divBdr>
    </w:div>
    <w:div w:id="384138531">
      <w:bodyDiv w:val="1"/>
      <w:marLeft w:val="0"/>
      <w:marRight w:val="0"/>
      <w:marTop w:val="0"/>
      <w:marBottom w:val="0"/>
      <w:divBdr>
        <w:top w:val="none" w:sz="0" w:space="0" w:color="auto"/>
        <w:left w:val="none" w:sz="0" w:space="0" w:color="auto"/>
        <w:bottom w:val="none" w:sz="0" w:space="0" w:color="auto"/>
        <w:right w:val="none" w:sz="0" w:space="0" w:color="auto"/>
      </w:divBdr>
    </w:div>
    <w:div w:id="754520012">
      <w:bodyDiv w:val="1"/>
      <w:marLeft w:val="0"/>
      <w:marRight w:val="0"/>
      <w:marTop w:val="0"/>
      <w:marBottom w:val="0"/>
      <w:divBdr>
        <w:top w:val="none" w:sz="0" w:space="0" w:color="auto"/>
        <w:left w:val="none" w:sz="0" w:space="0" w:color="auto"/>
        <w:bottom w:val="none" w:sz="0" w:space="0" w:color="auto"/>
        <w:right w:val="none" w:sz="0" w:space="0" w:color="auto"/>
      </w:divBdr>
    </w:div>
    <w:div w:id="965043185">
      <w:bodyDiv w:val="1"/>
      <w:marLeft w:val="0"/>
      <w:marRight w:val="0"/>
      <w:marTop w:val="0"/>
      <w:marBottom w:val="0"/>
      <w:divBdr>
        <w:top w:val="none" w:sz="0" w:space="0" w:color="auto"/>
        <w:left w:val="none" w:sz="0" w:space="0" w:color="auto"/>
        <w:bottom w:val="none" w:sz="0" w:space="0" w:color="auto"/>
        <w:right w:val="none" w:sz="0" w:space="0" w:color="auto"/>
      </w:divBdr>
    </w:div>
    <w:div w:id="1080979925">
      <w:bodyDiv w:val="1"/>
      <w:marLeft w:val="0"/>
      <w:marRight w:val="0"/>
      <w:marTop w:val="0"/>
      <w:marBottom w:val="0"/>
      <w:divBdr>
        <w:top w:val="none" w:sz="0" w:space="0" w:color="auto"/>
        <w:left w:val="none" w:sz="0" w:space="0" w:color="auto"/>
        <w:bottom w:val="none" w:sz="0" w:space="0" w:color="auto"/>
        <w:right w:val="none" w:sz="0" w:space="0" w:color="auto"/>
      </w:divBdr>
    </w:div>
    <w:div w:id="1106580123">
      <w:bodyDiv w:val="1"/>
      <w:marLeft w:val="0"/>
      <w:marRight w:val="0"/>
      <w:marTop w:val="0"/>
      <w:marBottom w:val="0"/>
      <w:divBdr>
        <w:top w:val="none" w:sz="0" w:space="0" w:color="auto"/>
        <w:left w:val="none" w:sz="0" w:space="0" w:color="auto"/>
        <w:bottom w:val="none" w:sz="0" w:space="0" w:color="auto"/>
        <w:right w:val="none" w:sz="0" w:space="0" w:color="auto"/>
      </w:divBdr>
    </w:div>
    <w:div w:id="1253856064">
      <w:bodyDiv w:val="1"/>
      <w:marLeft w:val="0"/>
      <w:marRight w:val="0"/>
      <w:marTop w:val="0"/>
      <w:marBottom w:val="0"/>
      <w:divBdr>
        <w:top w:val="none" w:sz="0" w:space="0" w:color="auto"/>
        <w:left w:val="none" w:sz="0" w:space="0" w:color="auto"/>
        <w:bottom w:val="none" w:sz="0" w:space="0" w:color="auto"/>
        <w:right w:val="none" w:sz="0" w:space="0" w:color="auto"/>
      </w:divBdr>
    </w:div>
    <w:div w:id="1302660027">
      <w:bodyDiv w:val="1"/>
      <w:marLeft w:val="0"/>
      <w:marRight w:val="0"/>
      <w:marTop w:val="0"/>
      <w:marBottom w:val="0"/>
      <w:divBdr>
        <w:top w:val="none" w:sz="0" w:space="0" w:color="auto"/>
        <w:left w:val="none" w:sz="0" w:space="0" w:color="auto"/>
        <w:bottom w:val="none" w:sz="0" w:space="0" w:color="auto"/>
        <w:right w:val="none" w:sz="0" w:space="0" w:color="auto"/>
      </w:divBdr>
    </w:div>
    <w:div w:id="1347755658">
      <w:bodyDiv w:val="1"/>
      <w:marLeft w:val="0"/>
      <w:marRight w:val="0"/>
      <w:marTop w:val="0"/>
      <w:marBottom w:val="0"/>
      <w:divBdr>
        <w:top w:val="none" w:sz="0" w:space="0" w:color="auto"/>
        <w:left w:val="none" w:sz="0" w:space="0" w:color="auto"/>
        <w:bottom w:val="none" w:sz="0" w:space="0" w:color="auto"/>
        <w:right w:val="none" w:sz="0" w:space="0" w:color="auto"/>
      </w:divBdr>
    </w:div>
    <w:div w:id="1450197364">
      <w:bodyDiv w:val="1"/>
      <w:marLeft w:val="0"/>
      <w:marRight w:val="0"/>
      <w:marTop w:val="0"/>
      <w:marBottom w:val="0"/>
      <w:divBdr>
        <w:top w:val="none" w:sz="0" w:space="0" w:color="auto"/>
        <w:left w:val="none" w:sz="0" w:space="0" w:color="auto"/>
        <w:bottom w:val="none" w:sz="0" w:space="0" w:color="auto"/>
        <w:right w:val="none" w:sz="0" w:space="0" w:color="auto"/>
      </w:divBdr>
    </w:div>
    <w:div w:id="1789003631">
      <w:bodyDiv w:val="1"/>
      <w:marLeft w:val="0"/>
      <w:marRight w:val="0"/>
      <w:marTop w:val="0"/>
      <w:marBottom w:val="0"/>
      <w:divBdr>
        <w:top w:val="none" w:sz="0" w:space="0" w:color="auto"/>
        <w:left w:val="none" w:sz="0" w:space="0" w:color="auto"/>
        <w:bottom w:val="none" w:sz="0" w:space="0" w:color="auto"/>
        <w:right w:val="none" w:sz="0" w:space="0" w:color="auto"/>
      </w:divBdr>
    </w:div>
    <w:div w:id="214076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chart" Target="charts/chart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eoportal.gov.pl" TargetMode="Externa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bdl.stat.gov.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footer" Target="footer1.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hyperlink" Target="http://sswp.com.pl/" TargetMode="External"/><Relationship Id="rId10" Type="http://schemas.openxmlformats.org/officeDocument/2006/relationships/image" Target="media/image2.jpeg"/><Relationship Id="rId19"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Colors" Target="diagrams/colors1.xml"/><Relationship Id="rId22" Type="http://schemas.openxmlformats.org/officeDocument/2006/relationships/hyperlink" Target="https://crfop.gdos.gov.pl/CRFOP/" TargetMode="Externa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C:\Users\Mrowczynska\Desktop\MARZENA%20CIE&#346;LAK\wielkopolskie\solidarni%20w%20partnerstwie\Zeszyt2.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openxmlformats.org/officeDocument/2006/relationships/oleObject" Target="file:///D:\AMC\MARZENA%20CIE&#346;LAK\wielkopolskie\solidarni%20w%20partnerstwie\GUS_solidarni%20w%20partn..xlsx" TargetMode="External"/><Relationship Id="rId1" Type="http://schemas.openxmlformats.org/officeDocument/2006/relationships/themeOverride" Target="../theme/themeOverride1.xml"/><Relationship Id="rId4"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openxmlformats.org/officeDocument/2006/relationships/oleObject" Target="file:///D:\AMC\MARZENA%20CIE&#346;LAK\wielkopolskie\solidarni%20w%20partnerstwie\GUS_solidarni%20w%20partn..xlsx" TargetMode="External"/><Relationship Id="rId1" Type="http://schemas.openxmlformats.org/officeDocument/2006/relationships/themeOverride" Target="../theme/themeOverride2.xml"/><Relationship Id="rId4"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584094643955856E-2"/>
          <c:y val="7.2072072072072071E-2"/>
          <c:w val="0.29549927178983931"/>
          <c:h val="0.76898266095116485"/>
        </c:manualLayout>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0B7A-41A3-935F-E230BFA6579A}"/>
              </c:ext>
            </c:extLst>
          </c:dPt>
          <c:dPt>
            <c:idx val="1"/>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3-0B7A-41A3-935F-E230BFA6579A}"/>
              </c:ext>
            </c:extLst>
          </c:dPt>
          <c:dPt>
            <c:idx val="2"/>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5-0B7A-41A3-935F-E230BFA6579A}"/>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pl-PL"/>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Rada!$A$2:$C$2</c:f>
              <c:strCache>
                <c:ptCount val="3"/>
                <c:pt idx="0">
                  <c:v>Grupa interesu sektora publicznego </c:v>
                </c:pt>
                <c:pt idx="1">
                  <c:v>Grupa interesu sektora gospodarczego </c:v>
                </c:pt>
                <c:pt idx="2">
                  <c:v>Grupa interesu sektora społecznego</c:v>
                </c:pt>
              </c:strCache>
            </c:strRef>
          </c:cat>
          <c:val>
            <c:numRef>
              <c:f>Rada!$A$3:$C$3</c:f>
              <c:numCache>
                <c:formatCode>General</c:formatCode>
                <c:ptCount val="3"/>
                <c:pt idx="0" formatCode="0">
                  <c:v>5</c:v>
                </c:pt>
                <c:pt idx="1">
                  <c:v>4</c:v>
                </c:pt>
                <c:pt idx="2">
                  <c:v>3</c:v>
                </c:pt>
              </c:numCache>
            </c:numRef>
          </c:val>
          <c:extLst xmlns:c16r2="http://schemas.microsoft.com/office/drawing/2015/06/chart">
            <c:ext xmlns:c16="http://schemas.microsoft.com/office/drawing/2014/chart" uri="{C3380CC4-5D6E-409C-BE32-E72D297353CC}">
              <c16:uniqueId val="{00000006-0B7A-41A3-935F-E230BFA6579A}"/>
            </c:ext>
          </c:extLst>
        </c:ser>
        <c:ser>
          <c:idx val="1"/>
          <c:order val="1"/>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8-0B7A-41A3-935F-E230BFA6579A}"/>
              </c:ext>
            </c:extLst>
          </c:dPt>
          <c:dPt>
            <c:idx val="1"/>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A-0B7A-41A3-935F-E230BFA6579A}"/>
              </c:ext>
            </c:extLst>
          </c:dPt>
          <c:dPt>
            <c:idx val="2"/>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C-0B7A-41A3-935F-E230BFA6579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Rada!$A$2:$C$2</c:f>
              <c:strCache>
                <c:ptCount val="3"/>
                <c:pt idx="0">
                  <c:v>Grupa interesu sektora publicznego </c:v>
                </c:pt>
                <c:pt idx="1">
                  <c:v>Grupa interesu sektora gospodarczego </c:v>
                </c:pt>
                <c:pt idx="2">
                  <c:v>Grupa interesu sektora społecznego</c:v>
                </c:pt>
              </c:strCache>
            </c:strRef>
          </c:cat>
          <c:val>
            <c:numRef>
              <c:f>Rada!$A$4:$C$4</c:f>
              <c:numCache>
                <c:formatCode>General</c:formatCode>
                <c:ptCount val="3"/>
              </c:numCache>
            </c:numRef>
          </c:val>
          <c:extLst xmlns:c16r2="http://schemas.microsoft.com/office/drawing/2015/06/chart">
            <c:ext xmlns:c16="http://schemas.microsoft.com/office/drawing/2014/chart" uri="{C3380CC4-5D6E-409C-BE32-E72D297353CC}">
              <c16:uniqueId val="{0000000D-0B7A-41A3-935F-E230BFA6579A}"/>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36303278113974624"/>
          <c:y val="8.2036907548718577E-2"/>
          <c:w val="0.25158017761322632"/>
          <c:h val="0.789200252407473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bezrob.!$B$17</c:f>
              <c:strCache>
                <c:ptCount val="1"/>
                <c:pt idx="0">
                  <c:v>2017</c:v>
                </c:pt>
              </c:strCache>
            </c:strRef>
          </c:tx>
          <c:spPr>
            <a:solidFill>
              <a:schemeClr val="accent1"/>
            </a:solidFill>
            <a:ln>
              <a:noFill/>
            </a:ln>
            <a:effectLst/>
          </c:spPr>
          <c:invertIfNegative val="0"/>
          <c:cat>
            <c:strRef>
              <c:f>bezrob.!$A$18:$A$23</c:f>
              <c:strCache>
                <c:ptCount val="6"/>
                <c:pt idx="0">
                  <c:v>Golina</c:v>
                </c:pt>
                <c:pt idx="1">
                  <c:v>Grodziec</c:v>
                </c:pt>
                <c:pt idx="2">
                  <c:v>Rychwał</c:v>
                </c:pt>
                <c:pt idx="3">
                  <c:v>Rzgów</c:v>
                </c:pt>
                <c:pt idx="4">
                  <c:v>Stare Miasto</c:v>
                </c:pt>
                <c:pt idx="5">
                  <c:v>Tuliszków</c:v>
                </c:pt>
              </c:strCache>
            </c:strRef>
          </c:cat>
          <c:val>
            <c:numRef>
              <c:f>bezrob.!$B$18:$B$23</c:f>
              <c:numCache>
                <c:formatCode>#,##0</c:formatCode>
                <c:ptCount val="6"/>
                <c:pt idx="0">
                  <c:v>210</c:v>
                </c:pt>
                <c:pt idx="1">
                  <c:v>59</c:v>
                </c:pt>
                <c:pt idx="2">
                  <c:v>90</c:v>
                </c:pt>
                <c:pt idx="3">
                  <c:v>101</c:v>
                </c:pt>
                <c:pt idx="4">
                  <c:v>179</c:v>
                </c:pt>
                <c:pt idx="5">
                  <c:v>81</c:v>
                </c:pt>
              </c:numCache>
            </c:numRef>
          </c:val>
          <c:extLst xmlns:c16r2="http://schemas.microsoft.com/office/drawing/2015/06/chart">
            <c:ext xmlns:c16="http://schemas.microsoft.com/office/drawing/2014/chart" uri="{C3380CC4-5D6E-409C-BE32-E72D297353CC}">
              <c16:uniqueId val="{00000000-9796-47B2-AF5E-62123CCFD2BA}"/>
            </c:ext>
          </c:extLst>
        </c:ser>
        <c:ser>
          <c:idx val="1"/>
          <c:order val="1"/>
          <c:tx>
            <c:strRef>
              <c:f>bezrob.!$C$17</c:f>
              <c:strCache>
                <c:ptCount val="1"/>
                <c:pt idx="0">
                  <c:v>2018</c:v>
                </c:pt>
              </c:strCache>
            </c:strRef>
          </c:tx>
          <c:spPr>
            <a:solidFill>
              <a:schemeClr val="accent3"/>
            </a:solidFill>
            <a:ln>
              <a:noFill/>
            </a:ln>
            <a:effectLst/>
          </c:spPr>
          <c:invertIfNegative val="0"/>
          <c:cat>
            <c:strRef>
              <c:f>bezrob.!$A$18:$A$23</c:f>
              <c:strCache>
                <c:ptCount val="6"/>
                <c:pt idx="0">
                  <c:v>Golina</c:v>
                </c:pt>
                <c:pt idx="1">
                  <c:v>Grodziec</c:v>
                </c:pt>
                <c:pt idx="2">
                  <c:v>Rychwał</c:v>
                </c:pt>
                <c:pt idx="3">
                  <c:v>Rzgów</c:v>
                </c:pt>
                <c:pt idx="4">
                  <c:v>Stare Miasto</c:v>
                </c:pt>
                <c:pt idx="5">
                  <c:v>Tuliszków</c:v>
                </c:pt>
              </c:strCache>
            </c:strRef>
          </c:cat>
          <c:val>
            <c:numRef>
              <c:f>bezrob.!$C$18:$C$23</c:f>
              <c:numCache>
                <c:formatCode>#,##0</c:formatCode>
                <c:ptCount val="6"/>
                <c:pt idx="0">
                  <c:v>174</c:v>
                </c:pt>
                <c:pt idx="1">
                  <c:v>34</c:v>
                </c:pt>
                <c:pt idx="2">
                  <c:v>97</c:v>
                </c:pt>
                <c:pt idx="3">
                  <c:v>75</c:v>
                </c:pt>
                <c:pt idx="4">
                  <c:v>109</c:v>
                </c:pt>
                <c:pt idx="5">
                  <c:v>74</c:v>
                </c:pt>
              </c:numCache>
            </c:numRef>
          </c:val>
          <c:extLst xmlns:c16r2="http://schemas.microsoft.com/office/drawing/2015/06/chart">
            <c:ext xmlns:c16="http://schemas.microsoft.com/office/drawing/2014/chart" uri="{C3380CC4-5D6E-409C-BE32-E72D297353CC}">
              <c16:uniqueId val="{00000001-9796-47B2-AF5E-62123CCFD2BA}"/>
            </c:ext>
          </c:extLst>
        </c:ser>
        <c:ser>
          <c:idx val="2"/>
          <c:order val="2"/>
          <c:tx>
            <c:strRef>
              <c:f>bezrob.!$D$17</c:f>
              <c:strCache>
                <c:ptCount val="1"/>
                <c:pt idx="0">
                  <c:v>2019</c:v>
                </c:pt>
              </c:strCache>
            </c:strRef>
          </c:tx>
          <c:spPr>
            <a:solidFill>
              <a:schemeClr val="accent5"/>
            </a:solidFill>
            <a:ln>
              <a:noFill/>
            </a:ln>
            <a:effectLst/>
          </c:spPr>
          <c:invertIfNegative val="0"/>
          <c:cat>
            <c:strRef>
              <c:f>bezrob.!$A$18:$A$23</c:f>
              <c:strCache>
                <c:ptCount val="6"/>
                <c:pt idx="0">
                  <c:v>Golina</c:v>
                </c:pt>
                <c:pt idx="1">
                  <c:v>Grodziec</c:v>
                </c:pt>
                <c:pt idx="2">
                  <c:v>Rychwał</c:v>
                </c:pt>
                <c:pt idx="3">
                  <c:v>Rzgów</c:v>
                </c:pt>
                <c:pt idx="4">
                  <c:v>Stare Miasto</c:v>
                </c:pt>
                <c:pt idx="5">
                  <c:v>Tuliszków</c:v>
                </c:pt>
              </c:strCache>
            </c:strRef>
          </c:cat>
          <c:val>
            <c:numRef>
              <c:f>bezrob.!$D$18:$D$23</c:f>
              <c:numCache>
                <c:formatCode>#,##0</c:formatCode>
                <c:ptCount val="6"/>
                <c:pt idx="0">
                  <c:v>151</c:v>
                </c:pt>
                <c:pt idx="1">
                  <c:v>37</c:v>
                </c:pt>
                <c:pt idx="2">
                  <c:v>72</c:v>
                </c:pt>
                <c:pt idx="3">
                  <c:v>74</c:v>
                </c:pt>
                <c:pt idx="4">
                  <c:v>108</c:v>
                </c:pt>
                <c:pt idx="5">
                  <c:v>58</c:v>
                </c:pt>
              </c:numCache>
            </c:numRef>
          </c:val>
          <c:extLst xmlns:c16r2="http://schemas.microsoft.com/office/drawing/2015/06/chart">
            <c:ext xmlns:c16="http://schemas.microsoft.com/office/drawing/2014/chart" uri="{C3380CC4-5D6E-409C-BE32-E72D297353CC}">
              <c16:uniqueId val="{00000002-9796-47B2-AF5E-62123CCFD2BA}"/>
            </c:ext>
          </c:extLst>
        </c:ser>
        <c:ser>
          <c:idx val="3"/>
          <c:order val="3"/>
          <c:tx>
            <c:strRef>
              <c:f>bezrob.!$E$17</c:f>
              <c:strCache>
                <c:ptCount val="1"/>
                <c:pt idx="0">
                  <c:v>2020</c:v>
                </c:pt>
              </c:strCache>
            </c:strRef>
          </c:tx>
          <c:spPr>
            <a:solidFill>
              <a:schemeClr val="accent1">
                <a:lumMod val="60000"/>
              </a:schemeClr>
            </a:solidFill>
            <a:ln>
              <a:noFill/>
            </a:ln>
            <a:effectLst/>
          </c:spPr>
          <c:invertIfNegative val="0"/>
          <c:cat>
            <c:strRef>
              <c:f>bezrob.!$A$18:$A$23</c:f>
              <c:strCache>
                <c:ptCount val="6"/>
                <c:pt idx="0">
                  <c:v>Golina</c:v>
                </c:pt>
                <c:pt idx="1">
                  <c:v>Grodziec</c:v>
                </c:pt>
                <c:pt idx="2">
                  <c:v>Rychwał</c:v>
                </c:pt>
                <c:pt idx="3">
                  <c:v>Rzgów</c:v>
                </c:pt>
                <c:pt idx="4">
                  <c:v>Stare Miasto</c:v>
                </c:pt>
                <c:pt idx="5">
                  <c:v>Tuliszków</c:v>
                </c:pt>
              </c:strCache>
            </c:strRef>
          </c:cat>
          <c:val>
            <c:numRef>
              <c:f>bezrob.!$E$18:$E$23</c:f>
              <c:numCache>
                <c:formatCode>#,##0</c:formatCode>
                <c:ptCount val="6"/>
                <c:pt idx="0">
                  <c:v>201</c:v>
                </c:pt>
                <c:pt idx="1">
                  <c:v>48</c:v>
                </c:pt>
                <c:pt idx="2">
                  <c:v>83</c:v>
                </c:pt>
                <c:pt idx="3">
                  <c:v>83</c:v>
                </c:pt>
                <c:pt idx="4">
                  <c:v>118</c:v>
                </c:pt>
                <c:pt idx="5">
                  <c:v>90</c:v>
                </c:pt>
              </c:numCache>
            </c:numRef>
          </c:val>
          <c:extLst xmlns:c16r2="http://schemas.microsoft.com/office/drawing/2015/06/chart">
            <c:ext xmlns:c16="http://schemas.microsoft.com/office/drawing/2014/chart" uri="{C3380CC4-5D6E-409C-BE32-E72D297353CC}">
              <c16:uniqueId val="{00000003-9796-47B2-AF5E-62123CCFD2BA}"/>
            </c:ext>
          </c:extLst>
        </c:ser>
        <c:ser>
          <c:idx val="4"/>
          <c:order val="4"/>
          <c:tx>
            <c:strRef>
              <c:f>bezrob.!$F$17</c:f>
              <c:strCache>
                <c:ptCount val="1"/>
                <c:pt idx="0">
                  <c:v>2021</c:v>
                </c:pt>
              </c:strCache>
            </c:strRef>
          </c:tx>
          <c:spPr>
            <a:solidFill>
              <a:schemeClr val="accent3">
                <a:lumMod val="60000"/>
              </a:schemeClr>
            </a:solidFill>
            <a:ln>
              <a:noFill/>
            </a:ln>
            <a:effectLst/>
          </c:spPr>
          <c:invertIfNegative val="0"/>
          <c:cat>
            <c:strRef>
              <c:f>bezrob.!$A$18:$A$23</c:f>
              <c:strCache>
                <c:ptCount val="6"/>
                <c:pt idx="0">
                  <c:v>Golina</c:v>
                </c:pt>
                <c:pt idx="1">
                  <c:v>Grodziec</c:v>
                </c:pt>
                <c:pt idx="2">
                  <c:v>Rychwał</c:v>
                </c:pt>
                <c:pt idx="3">
                  <c:v>Rzgów</c:v>
                </c:pt>
                <c:pt idx="4">
                  <c:v>Stare Miasto</c:v>
                </c:pt>
                <c:pt idx="5">
                  <c:v>Tuliszków</c:v>
                </c:pt>
              </c:strCache>
            </c:strRef>
          </c:cat>
          <c:val>
            <c:numRef>
              <c:f>bezrob.!$F$18:$F$23</c:f>
              <c:numCache>
                <c:formatCode>#,##0</c:formatCode>
                <c:ptCount val="6"/>
                <c:pt idx="0">
                  <c:v>155</c:v>
                </c:pt>
                <c:pt idx="1">
                  <c:v>42</c:v>
                </c:pt>
                <c:pt idx="2">
                  <c:v>76</c:v>
                </c:pt>
                <c:pt idx="3">
                  <c:v>81</c:v>
                </c:pt>
                <c:pt idx="4">
                  <c:v>122</c:v>
                </c:pt>
                <c:pt idx="5">
                  <c:v>70</c:v>
                </c:pt>
              </c:numCache>
            </c:numRef>
          </c:val>
          <c:extLst xmlns:c16r2="http://schemas.microsoft.com/office/drawing/2015/06/chart">
            <c:ext xmlns:c16="http://schemas.microsoft.com/office/drawing/2014/chart" uri="{C3380CC4-5D6E-409C-BE32-E72D297353CC}">
              <c16:uniqueId val="{00000004-9796-47B2-AF5E-62123CCFD2BA}"/>
            </c:ext>
          </c:extLst>
        </c:ser>
        <c:dLbls>
          <c:showLegendKey val="0"/>
          <c:showVal val="0"/>
          <c:showCatName val="0"/>
          <c:showSerName val="0"/>
          <c:showPercent val="0"/>
          <c:showBubbleSize val="0"/>
        </c:dLbls>
        <c:gapWidth val="219"/>
        <c:overlap val="-27"/>
        <c:axId val="284092288"/>
        <c:axId val="284093824"/>
      </c:barChart>
      <c:catAx>
        <c:axId val="284092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84093824"/>
        <c:crosses val="autoZero"/>
        <c:auto val="1"/>
        <c:lblAlgn val="ctr"/>
        <c:lblOffset val="100"/>
        <c:noMultiLvlLbl val="0"/>
      </c:catAx>
      <c:valAx>
        <c:axId val="2840938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840922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bezrob.!$B$30</c:f>
              <c:strCache>
                <c:ptCount val="1"/>
                <c:pt idx="0">
                  <c:v>2017</c:v>
                </c:pt>
              </c:strCache>
            </c:strRef>
          </c:tx>
          <c:spPr>
            <a:solidFill>
              <a:schemeClr val="accent1"/>
            </a:solidFill>
            <a:ln>
              <a:noFill/>
            </a:ln>
            <a:effectLst/>
          </c:spPr>
          <c:invertIfNegative val="0"/>
          <c:cat>
            <c:strRef>
              <c:f>bezrob.!$A$31:$A$36</c:f>
              <c:strCache>
                <c:ptCount val="6"/>
                <c:pt idx="0">
                  <c:v>Golina</c:v>
                </c:pt>
                <c:pt idx="1">
                  <c:v>Grodziec</c:v>
                </c:pt>
                <c:pt idx="2">
                  <c:v>Rychwał</c:v>
                </c:pt>
                <c:pt idx="3">
                  <c:v>Rzgów</c:v>
                </c:pt>
                <c:pt idx="4">
                  <c:v>Stare Miasto</c:v>
                </c:pt>
                <c:pt idx="5">
                  <c:v>Tuliszków</c:v>
                </c:pt>
              </c:strCache>
            </c:strRef>
          </c:cat>
          <c:val>
            <c:numRef>
              <c:f>bezrob.!$B$31:$B$36</c:f>
              <c:numCache>
                <c:formatCode>#,##0</c:formatCode>
                <c:ptCount val="6"/>
                <c:pt idx="0">
                  <c:v>294</c:v>
                </c:pt>
                <c:pt idx="1">
                  <c:v>76</c:v>
                </c:pt>
                <c:pt idx="2">
                  <c:v>122</c:v>
                </c:pt>
                <c:pt idx="3">
                  <c:v>133</c:v>
                </c:pt>
                <c:pt idx="4">
                  <c:v>208</c:v>
                </c:pt>
                <c:pt idx="5">
                  <c:v>178</c:v>
                </c:pt>
              </c:numCache>
            </c:numRef>
          </c:val>
          <c:extLst xmlns:c16r2="http://schemas.microsoft.com/office/drawing/2015/06/chart">
            <c:ext xmlns:c16="http://schemas.microsoft.com/office/drawing/2014/chart" uri="{C3380CC4-5D6E-409C-BE32-E72D297353CC}">
              <c16:uniqueId val="{00000000-9558-4FE4-9F9D-F96B04904CA5}"/>
            </c:ext>
          </c:extLst>
        </c:ser>
        <c:ser>
          <c:idx val="1"/>
          <c:order val="1"/>
          <c:tx>
            <c:strRef>
              <c:f>bezrob.!$C$30</c:f>
              <c:strCache>
                <c:ptCount val="1"/>
                <c:pt idx="0">
                  <c:v>2018</c:v>
                </c:pt>
              </c:strCache>
            </c:strRef>
          </c:tx>
          <c:spPr>
            <a:solidFill>
              <a:schemeClr val="accent3"/>
            </a:solidFill>
            <a:ln>
              <a:noFill/>
            </a:ln>
            <a:effectLst/>
          </c:spPr>
          <c:invertIfNegative val="0"/>
          <c:cat>
            <c:strRef>
              <c:f>bezrob.!$A$31:$A$36</c:f>
              <c:strCache>
                <c:ptCount val="6"/>
                <c:pt idx="0">
                  <c:v>Golina</c:v>
                </c:pt>
                <c:pt idx="1">
                  <c:v>Grodziec</c:v>
                </c:pt>
                <c:pt idx="2">
                  <c:v>Rychwał</c:v>
                </c:pt>
                <c:pt idx="3">
                  <c:v>Rzgów</c:v>
                </c:pt>
                <c:pt idx="4">
                  <c:v>Stare Miasto</c:v>
                </c:pt>
                <c:pt idx="5">
                  <c:v>Tuliszków</c:v>
                </c:pt>
              </c:strCache>
            </c:strRef>
          </c:cat>
          <c:val>
            <c:numRef>
              <c:f>bezrob.!$C$31:$C$36</c:f>
              <c:numCache>
                <c:formatCode>#,##0</c:formatCode>
                <c:ptCount val="6"/>
                <c:pt idx="0">
                  <c:v>240</c:v>
                </c:pt>
                <c:pt idx="1">
                  <c:v>69</c:v>
                </c:pt>
                <c:pt idx="2">
                  <c:v>116</c:v>
                </c:pt>
                <c:pt idx="3">
                  <c:v>111</c:v>
                </c:pt>
                <c:pt idx="4">
                  <c:v>147</c:v>
                </c:pt>
                <c:pt idx="5">
                  <c:v>147</c:v>
                </c:pt>
              </c:numCache>
            </c:numRef>
          </c:val>
          <c:extLst xmlns:c16r2="http://schemas.microsoft.com/office/drawing/2015/06/chart">
            <c:ext xmlns:c16="http://schemas.microsoft.com/office/drawing/2014/chart" uri="{C3380CC4-5D6E-409C-BE32-E72D297353CC}">
              <c16:uniqueId val="{00000001-9558-4FE4-9F9D-F96B04904CA5}"/>
            </c:ext>
          </c:extLst>
        </c:ser>
        <c:ser>
          <c:idx val="2"/>
          <c:order val="2"/>
          <c:tx>
            <c:strRef>
              <c:f>bezrob.!$D$30</c:f>
              <c:strCache>
                <c:ptCount val="1"/>
                <c:pt idx="0">
                  <c:v>2019</c:v>
                </c:pt>
              </c:strCache>
            </c:strRef>
          </c:tx>
          <c:spPr>
            <a:solidFill>
              <a:schemeClr val="accent5"/>
            </a:solidFill>
            <a:ln>
              <a:noFill/>
            </a:ln>
            <a:effectLst/>
          </c:spPr>
          <c:invertIfNegative val="0"/>
          <c:cat>
            <c:strRef>
              <c:f>bezrob.!$A$31:$A$36</c:f>
              <c:strCache>
                <c:ptCount val="6"/>
                <c:pt idx="0">
                  <c:v>Golina</c:v>
                </c:pt>
                <c:pt idx="1">
                  <c:v>Grodziec</c:v>
                </c:pt>
                <c:pt idx="2">
                  <c:v>Rychwał</c:v>
                </c:pt>
                <c:pt idx="3">
                  <c:v>Rzgów</c:v>
                </c:pt>
                <c:pt idx="4">
                  <c:v>Stare Miasto</c:v>
                </c:pt>
                <c:pt idx="5">
                  <c:v>Tuliszków</c:v>
                </c:pt>
              </c:strCache>
            </c:strRef>
          </c:cat>
          <c:val>
            <c:numRef>
              <c:f>bezrob.!$D$31:$D$36</c:f>
              <c:numCache>
                <c:formatCode>#,##0</c:formatCode>
                <c:ptCount val="6"/>
                <c:pt idx="0">
                  <c:v>262</c:v>
                </c:pt>
                <c:pt idx="1">
                  <c:v>69</c:v>
                </c:pt>
                <c:pt idx="2">
                  <c:v>99</c:v>
                </c:pt>
                <c:pt idx="3">
                  <c:v>91</c:v>
                </c:pt>
                <c:pt idx="4">
                  <c:v>133</c:v>
                </c:pt>
                <c:pt idx="5">
                  <c:v>126</c:v>
                </c:pt>
              </c:numCache>
            </c:numRef>
          </c:val>
          <c:extLst xmlns:c16r2="http://schemas.microsoft.com/office/drawing/2015/06/chart">
            <c:ext xmlns:c16="http://schemas.microsoft.com/office/drawing/2014/chart" uri="{C3380CC4-5D6E-409C-BE32-E72D297353CC}">
              <c16:uniqueId val="{00000002-9558-4FE4-9F9D-F96B04904CA5}"/>
            </c:ext>
          </c:extLst>
        </c:ser>
        <c:ser>
          <c:idx val="3"/>
          <c:order val="3"/>
          <c:tx>
            <c:strRef>
              <c:f>bezrob.!$E$30</c:f>
              <c:strCache>
                <c:ptCount val="1"/>
                <c:pt idx="0">
                  <c:v>2020</c:v>
                </c:pt>
              </c:strCache>
            </c:strRef>
          </c:tx>
          <c:spPr>
            <a:solidFill>
              <a:schemeClr val="accent1">
                <a:lumMod val="60000"/>
              </a:schemeClr>
            </a:solidFill>
            <a:ln>
              <a:noFill/>
            </a:ln>
            <a:effectLst/>
          </c:spPr>
          <c:invertIfNegative val="0"/>
          <c:cat>
            <c:strRef>
              <c:f>bezrob.!$A$31:$A$36</c:f>
              <c:strCache>
                <c:ptCount val="6"/>
                <c:pt idx="0">
                  <c:v>Golina</c:v>
                </c:pt>
                <c:pt idx="1">
                  <c:v>Grodziec</c:v>
                </c:pt>
                <c:pt idx="2">
                  <c:v>Rychwał</c:v>
                </c:pt>
                <c:pt idx="3">
                  <c:v>Rzgów</c:v>
                </c:pt>
                <c:pt idx="4">
                  <c:v>Stare Miasto</c:v>
                </c:pt>
                <c:pt idx="5">
                  <c:v>Tuliszków</c:v>
                </c:pt>
              </c:strCache>
            </c:strRef>
          </c:cat>
          <c:val>
            <c:numRef>
              <c:f>bezrob.!$E$31:$E$36</c:f>
              <c:numCache>
                <c:formatCode>#,##0</c:formatCode>
                <c:ptCount val="6"/>
                <c:pt idx="0">
                  <c:v>278</c:v>
                </c:pt>
                <c:pt idx="1">
                  <c:v>72</c:v>
                </c:pt>
                <c:pt idx="2">
                  <c:v>116</c:v>
                </c:pt>
                <c:pt idx="3">
                  <c:v>97</c:v>
                </c:pt>
                <c:pt idx="4">
                  <c:v>177</c:v>
                </c:pt>
                <c:pt idx="5">
                  <c:v>124</c:v>
                </c:pt>
              </c:numCache>
            </c:numRef>
          </c:val>
          <c:extLst xmlns:c16r2="http://schemas.microsoft.com/office/drawing/2015/06/chart">
            <c:ext xmlns:c16="http://schemas.microsoft.com/office/drawing/2014/chart" uri="{C3380CC4-5D6E-409C-BE32-E72D297353CC}">
              <c16:uniqueId val="{00000003-9558-4FE4-9F9D-F96B04904CA5}"/>
            </c:ext>
          </c:extLst>
        </c:ser>
        <c:ser>
          <c:idx val="4"/>
          <c:order val="4"/>
          <c:tx>
            <c:strRef>
              <c:f>bezrob.!$F$30</c:f>
              <c:strCache>
                <c:ptCount val="1"/>
                <c:pt idx="0">
                  <c:v>2021</c:v>
                </c:pt>
              </c:strCache>
            </c:strRef>
          </c:tx>
          <c:spPr>
            <a:solidFill>
              <a:schemeClr val="accent3">
                <a:lumMod val="60000"/>
              </a:schemeClr>
            </a:solidFill>
            <a:ln>
              <a:noFill/>
            </a:ln>
            <a:effectLst/>
          </c:spPr>
          <c:invertIfNegative val="0"/>
          <c:cat>
            <c:strRef>
              <c:f>bezrob.!$A$31:$A$36</c:f>
              <c:strCache>
                <c:ptCount val="6"/>
                <c:pt idx="0">
                  <c:v>Golina</c:v>
                </c:pt>
                <c:pt idx="1">
                  <c:v>Grodziec</c:v>
                </c:pt>
                <c:pt idx="2">
                  <c:v>Rychwał</c:v>
                </c:pt>
                <c:pt idx="3">
                  <c:v>Rzgów</c:v>
                </c:pt>
                <c:pt idx="4">
                  <c:v>Stare Miasto</c:v>
                </c:pt>
                <c:pt idx="5">
                  <c:v>Tuliszków</c:v>
                </c:pt>
              </c:strCache>
            </c:strRef>
          </c:cat>
          <c:val>
            <c:numRef>
              <c:f>bezrob.!$F$31:$F$36</c:f>
              <c:numCache>
                <c:formatCode>#,##0</c:formatCode>
                <c:ptCount val="6"/>
                <c:pt idx="0">
                  <c:v>245</c:v>
                </c:pt>
                <c:pt idx="1">
                  <c:v>72</c:v>
                </c:pt>
                <c:pt idx="2">
                  <c:v>92</c:v>
                </c:pt>
                <c:pt idx="3">
                  <c:v>105</c:v>
                </c:pt>
                <c:pt idx="4">
                  <c:v>141</c:v>
                </c:pt>
                <c:pt idx="5">
                  <c:v>104</c:v>
                </c:pt>
              </c:numCache>
            </c:numRef>
          </c:val>
          <c:extLst xmlns:c16r2="http://schemas.microsoft.com/office/drawing/2015/06/chart">
            <c:ext xmlns:c16="http://schemas.microsoft.com/office/drawing/2014/chart" uri="{C3380CC4-5D6E-409C-BE32-E72D297353CC}">
              <c16:uniqueId val="{00000004-9558-4FE4-9F9D-F96B04904CA5}"/>
            </c:ext>
          </c:extLst>
        </c:ser>
        <c:dLbls>
          <c:showLegendKey val="0"/>
          <c:showVal val="0"/>
          <c:showCatName val="0"/>
          <c:showSerName val="0"/>
          <c:showPercent val="0"/>
          <c:showBubbleSize val="0"/>
        </c:dLbls>
        <c:gapWidth val="219"/>
        <c:overlap val="-27"/>
        <c:axId val="283740032"/>
        <c:axId val="283741568"/>
      </c:barChart>
      <c:catAx>
        <c:axId val="283740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83741568"/>
        <c:crosses val="autoZero"/>
        <c:auto val="1"/>
        <c:lblAlgn val="ctr"/>
        <c:lblOffset val="100"/>
        <c:noMultiLvlLbl val="0"/>
      </c:catAx>
      <c:valAx>
        <c:axId val="2837415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837400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58486C-94F0-4A61-BEB9-7C7E60024BD6}" type="doc">
      <dgm:prSet loTypeId="urn:microsoft.com/office/officeart/2008/layout/HorizontalMultiLevelHierarchy" loCatId="hierarchy" qsTypeId="urn:microsoft.com/office/officeart/2005/8/quickstyle/3d4" qsCatId="3D" csTypeId="urn:microsoft.com/office/officeart/2005/8/colors/colorful4" csCatId="colorful" phldr="1"/>
      <dgm:spPr/>
      <dgm:t>
        <a:bodyPr/>
        <a:lstStyle/>
        <a:p>
          <a:endParaRPr lang="pl-PL"/>
        </a:p>
      </dgm:t>
    </dgm:pt>
    <dgm:pt modelId="{01ACB208-9A16-4D3B-9951-00D154FA4F9F}">
      <dgm:prSet phldrT="[Tekst]"/>
      <dgm:spPr/>
      <dgm:t>
        <a:bodyPr/>
        <a:lstStyle/>
        <a:p>
          <a:r>
            <a:rPr lang="pl-PL"/>
            <a:t>Walne Zebranie Czlonków </a:t>
          </a:r>
        </a:p>
      </dgm:t>
    </dgm:pt>
    <dgm:pt modelId="{DCA6C184-2C0C-4E00-951E-2A336D4C5B68}" type="parTrans" cxnId="{334E9637-9925-487A-AE99-E2CA59F192C2}">
      <dgm:prSet/>
      <dgm:spPr/>
      <dgm:t>
        <a:bodyPr/>
        <a:lstStyle/>
        <a:p>
          <a:endParaRPr lang="pl-PL"/>
        </a:p>
      </dgm:t>
    </dgm:pt>
    <dgm:pt modelId="{3920E924-50FB-4C5B-8327-29EE7C788403}" type="sibTrans" cxnId="{334E9637-9925-487A-AE99-E2CA59F192C2}">
      <dgm:prSet/>
      <dgm:spPr/>
      <dgm:t>
        <a:bodyPr/>
        <a:lstStyle/>
        <a:p>
          <a:endParaRPr lang="pl-PL"/>
        </a:p>
      </dgm:t>
    </dgm:pt>
    <dgm:pt modelId="{D3D1197A-0B48-40CD-922E-27B3A6E5F565}">
      <dgm:prSet phldrT="[Tekst]"/>
      <dgm:spPr/>
      <dgm:t>
        <a:bodyPr/>
        <a:lstStyle/>
        <a:p>
          <a:r>
            <a:rPr lang="pl-PL"/>
            <a:t>Zarząd</a:t>
          </a:r>
        </a:p>
      </dgm:t>
    </dgm:pt>
    <dgm:pt modelId="{9D89A975-F9FA-4CBC-B187-DB6AE1A36ECA}" type="parTrans" cxnId="{3C38AD82-4024-4E8E-B1B9-DB01BB3C8CE3}">
      <dgm:prSet/>
      <dgm:spPr/>
      <dgm:t>
        <a:bodyPr/>
        <a:lstStyle/>
        <a:p>
          <a:endParaRPr lang="pl-PL"/>
        </a:p>
      </dgm:t>
    </dgm:pt>
    <dgm:pt modelId="{1E6C28DA-8DFC-4CDB-969F-B2064A8480FA}" type="sibTrans" cxnId="{3C38AD82-4024-4E8E-B1B9-DB01BB3C8CE3}">
      <dgm:prSet/>
      <dgm:spPr/>
      <dgm:t>
        <a:bodyPr/>
        <a:lstStyle/>
        <a:p>
          <a:endParaRPr lang="pl-PL"/>
        </a:p>
      </dgm:t>
    </dgm:pt>
    <dgm:pt modelId="{9F95480C-D57E-4D79-A380-207B6A4CF0BF}">
      <dgm:prSet phldrT="[Tekst]"/>
      <dgm:spPr/>
      <dgm:t>
        <a:bodyPr/>
        <a:lstStyle/>
        <a:p>
          <a:r>
            <a:rPr lang="pl-PL"/>
            <a:t>Rada</a:t>
          </a:r>
        </a:p>
      </dgm:t>
    </dgm:pt>
    <dgm:pt modelId="{BEBB5A84-A444-4AC0-A5EA-CAF5DE5F9375}" type="parTrans" cxnId="{61F7B75D-7965-4A80-A223-1F461FC7AB47}">
      <dgm:prSet/>
      <dgm:spPr/>
      <dgm:t>
        <a:bodyPr/>
        <a:lstStyle/>
        <a:p>
          <a:endParaRPr lang="pl-PL"/>
        </a:p>
      </dgm:t>
    </dgm:pt>
    <dgm:pt modelId="{6F4FCF8E-3A04-4A02-B4ED-9A5756A386F8}" type="sibTrans" cxnId="{61F7B75D-7965-4A80-A223-1F461FC7AB47}">
      <dgm:prSet/>
      <dgm:spPr/>
      <dgm:t>
        <a:bodyPr/>
        <a:lstStyle/>
        <a:p>
          <a:endParaRPr lang="pl-PL"/>
        </a:p>
      </dgm:t>
    </dgm:pt>
    <dgm:pt modelId="{2BDB80EE-2919-4481-B92B-E0F364F7655A}">
      <dgm:prSet phldrT="[Tekst]"/>
      <dgm:spPr/>
      <dgm:t>
        <a:bodyPr/>
        <a:lstStyle/>
        <a:p>
          <a:r>
            <a:rPr lang="pl-PL"/>
            <a:t>Komisja Rewizyjna</a:t>
          </a:r>
        </a:p>
      </dgm:t>
    </dgm:pt>
    <dgm:pt modelId="{E892F506-5BE3-47A2-AC89-2CB7DC003FCC}" type="parTrans" cxnId="{3B30DF4F-B448-412C-BD84-397CACD419E3}">
      <dgm:prSet/>
      <dgm:spPr/>
      <dgm:t>
        <a:bodyPr/>
        <a:lstStyle/>
        <a:p>
          <a:endParaRPr lang="pl-PL"/>
        </a:p>
      </dgm:t>
    </dgm:pt>
    <dgm:pt modelId="{3163930D-F337-4D38-8EA5-37E0C7CD143A}" type="sibTrans" cxnId="{3B30DF4F-B448-412C-BD84-397CACD419E3}">
      <dgm:prSet/>
      <dgm:spPr/>
      <dgm:t>
        <a:bodyPr/>
        <a:lstStyle/>
        <a:p>
          <a:endParaRPr lang="pl-PL"/>
        </a:p>
      </dgm:t>
    </dgm:pt>
    <dgm:pt modelId="{6DA57962-2CBA-4BD1-87B7-2A7F68FA6B2D}">
      <dgm:prSet/>
      <dgm:spPr/>
      <dgm:t>
        <a:bodyPr/>
        <a:lstStyle/>
        <a:p>
          <a:r>
            <a:rPr lang="pl-PL"/>
            <a:t>Biuro LGD</a:t>
          </a:r>
        </a:p>
      </dgm:t>
    </dgm:pt>
    <dgm:pt modelId="{834BCF42-8986-41FF-A26D-AB8F97FAED32}" type="parTrans" cxnId="{64646F68-AFD7-4985-89E3-A9FC6383B25C}">
      <dgm:prSet/>
      <dgm:spPr/>
      <dgm:t>
        <a:bodyPr/>
        <a:lstStyle/>
        <a:p>
          <a:endParaRPr lang="pl-PL"/>
        </a:p>
      </dgm:t>
    </dgm:pt>
    <dgm:pt modelId="{D06B2969-52A0-470A-AE4A-40B58CCC4BB6}" type="sibTrans" cxnId="{64646F68-AFD7-4985-89E3-A9FC6383B25C}">
      <dgm:prSet/>
      <dgm:spPr/>
      <dgm:t>
        <a:bodyPr/>
        <a:lstStyle/>
        <a:p>
          <a:endParaRPr lang="pl-PL"/>
        </a:p>
      </dgm:t>
    </dgm:pt>
    <dgm:pt modelId="{A7B0EBDD-B75F-46DE-B1C6-F00BC5B2C898}" type="pres">
      <dgm:prSet presAssocID="{8658486C-94F0-4A61-BEB9-7C7E60024BD6}" presName="Name0" presStyleCnt="0">
        <dgm:presLayoutVars>
          <dgm:chPref val="1"/>
          <dgm:dir/>
          <dgm:animOne val="branch"/>
          <dgm:animLvl val="lvl"/>
          <dgm:resizeHandles val="exact"/>
        </dgm:presLayoutVars>
      </dgm:prSet>
      <dgm:spPr/>
      <dgm:t>
        <a:bodyPr/>
        <a:lstStyle/>
        <a:p>
          <a:endParaRPr lang="pl-PL"/>
        </a:p>
      </dgm:t>
    </dgm:pt>
    <dgm:pt modelId="{96D23916-A140-42B5-AC3D-04156A9E824E}" type="pres">
      <dgm:prSet presAssocID="{01ACB208-9A16-4D3B-9951-00D154FA4F9F}" presName="root1" presStyleCnt="0"/>
      <dgm:spPr/>
    </dgm:pt>
    <dgm:pt modelId="{CF73FBFD-61C3-45E0-AAC3-6EB37BCDB82B}" type="pres">
      <dgm:prSet presAssocID="{01ACB208-9A16-4D3B-9951-00D154FA4F9F}" presName="LevelOneTextNode" presStyleLbl="node0" presStyleIdx="0" presStyleCnt="1">
        <dgm:presLayoutVars>
          <dgm:chPref val="3"/>
        </dgm:presLayoutVars>
      </dgm:prSet>
      <dgm:spPr/>
      <dgm:t>
        <a:bodyPr/>
        <a:lstStyle/>
        <a:p>
          <a:endParaRPr lang="pl-PL"/>
        </a:p>
      </dgm:t>
    </dgm:pt>
    <dgm:pt modelId="{0963CBAF-A543-4FA9-9D6D-BC618BA2FC0A}" type="pres">
      <dgm:prSet presAssocID="{01ACB208-9A16-4D3B-9951-00D154FA4F9F}" presName="level2hierChild" presStyleCnt="0"/>
      <dgm:spPr/>
    </dgm:pt>
    <dgm:pt modelId="{2F5B6D17-EB03-4AA3-AD68-2645BE2DDF3E}" type="pres">
      <dgm:prSet presAssocID="{9D89A975-F9FA-4CBC-B187-DB6AE1A36ECA}" presName="conn2-1" presStyleLbl="parChTrans1D2" presStyleIdx="0" presStyleCnt="3"/>
      <dgm:spPr/>
      <dgm:t>
        <a:bodyPr/>
        <a:lstStyle/>
        <a:p>
          <a:endParaRPr lang="pl-PL"/>
        </a:p>
      </dgm:t>
    </dgm:pt>
    <dgm:pt modelId="{5AACB9D0-19B9-45C6-8518-67B94A80D87B}" type="pres">
      <dgm:prSet presAssocID="{9D89A975-F9FA-4CBC-B187-DB6AE1A36ECA}" presName="connTx" presStyleLbl="parChTrans1D2" presStyleIdx="0" presStyleCnt="3"/>
      <dgm:spPr/>
      <dgm:t>
        <a:bodyPr/>
        <a:lstStyle/>
        <a:p>
          <a:endParaRPr lang="pl-PL"/>
        </a:p>
      </dgm:t>
    </dgm:pt>
    <dgm:pt modelId="{0E6216E1-0EB3-4C11-9F80-939EF6705734}" type="pres">
      <dgm:prSet presAssocID="{D3D1197A-0B48-40CD-922E-27B3A6E5F565}" presName="root2" presStyleCnt="0"/>
      <dgm:spPr/>
    </dgm:pt>
    <dgm:pt modelId="{6198E511-229E-483F-B2A2-3415C40EE3A9}" type="pres">
      <dgm:prSet presAssocID="{D3D1197A-0B48-40CD-922E-27B3A6E5F565}" presName="LevelTwoTextNode" presStyleLbl="node2" presStyleIdx="0" presStyleCnt="3">
        <dgm:presLayoutVars>
          <dgm:chPref val="3"/>
        </dgm:presLayoutVars>
      </dgm:prSet>
      <dgm:spPr/>
      <dgm:t>
        <a:bodyPr/>
        <a:lstStyle/>
        <a:p>
          <a:endParaRPr lang="pl-PL"/>
        </a:p>
      </dgm:t>
    </dgm:pt>
    <dgm:pt modelId="{5E57F96B-C065-4789-9746-A83A8D1A34CA}" type="pres">
      <dgm:prSet presAssocID="{D3D1197A-0B48-40CD-922E-27B3A6E5F565}" presName="level3hierChild" presStyleCnt="0"/>
      <dgm:spPr/>
    </dgm:pt>
    <dgm:pt modelId="{7C4F82AB-94D1-4E33-A835-46EFBA06A8B0}" type="pres">
      <dgm:prSet presAssocID="{834BCF42-8986-41FF-A26D-AB8F97FAED32}" presName="conn2-1" presStyleLbl="parChTrans1D3" presStyleIdx="0" presStyleCnt="1"/>
      <dgm:spPr/>
      <dgm:t>
        <a:bodyPr/>
        <a:lstStyle/>
        <a:p>
          <a:endParaRPr lang="pl-PL"/>
        </a:p>
      </dgm:t>
    </dgm:pt>
    <dgm:pt modelId="{7273BD11-5E28-41A7-B80C-ABE379554F1B}" type="pres">
      <dgm:prSet presAssocID="{834BCF42-8986-41FF-A26D-AB8F97FAED32}" presName="connTx" presStyleLbl="parChTrans1D3" presStyleIdx="0" presStyleCnt="1"/>
      <dgm:spPr/>
      <dgm:t>
        <a:bodyPr/>
        <a:lstStyle/>
        <a:p>
          <a:endParaRPr lang="pl-PL"/>
        </a:p>
      </dgm:t>
    </dgm:pt>
    <dgm:pt modelId="{8579E95F-E37A-4108-A07C-4C9CF07B3FEC}" type="pres">
      <dgm:prSet presAssocID="{6DA57962-2CBA-4BD1-87B7-2A7F68FA6B2D}" presName="root2" presStyleCnt="0"/>
      <dgm:spPr/>
    </dgm:pt>
    <dgm:pt modelId="{6C740B74-5E28-4C23-B445-27ECD038E075}" type="pres">
      <dgm:prSet presAssocID="{6DA57962-2CBA-4BD1-87B7-2A7F68FA6B2D}" presName="LevelTwoTextNode" presStyleLbl="node3" presStyleIdx="0" presStyleCnt="1">
        <dgm:presLayoutVars>
          <dgm:chPref val="3"/>
        </dgm:presLayoutVars>
      </dgm:prSet>
      <dgm:spPr/>
      <dgm:t>
        <a:bodyPr/>
        <a:lstStyle/>
        <a:p>
          <a:endParaRPr lang="pl-PL"/>
        </a:p>
      </dgm:t>
    </dgm:pt>
    <dgm:pt modelId="{21C91982-C313-4A98-B57C-C96ACBB4317D}" type="pres">
      <dgm:prSet presAssocID="{6DA57962-2CBA-4BD1-87B7-2A7F68FA6B2D}" presName="level3hierChild" presStyleCnt="0"/>
      <dgm:spPr/>
    </dgm:pt>
    <dgm:pt modelId="{08F4289A-C995-4B73-8AC2-0CD13715D906}" type="pres">
      <dgm:prSet presAssocID="{BEBB5A84-A444-4AC0-A5EA-CAF5DE5F9375}" presName="conn2-1" presStyleLbl="parChTrans1D2" presStyleIdx="1" presStyleCnt="3"/>
      <dgm:spPr/>
      <dgm:t>
        <a:bodyPr/>
        <a:lstStyle/>
        <a:p>
          <a:endParaRPr lang="pl-PL"/>
        </a:p>
      </dgm:t>
    </dgm:pt>
    <dgm:pt modelId="{7DD44E82-79C0-41C7-9B74-ECD4208422A7}" type="pres">
      <dgm:prSet presAssocID="{BEBB5A84-A444-4AC0-A5EA-CAF5DE5F9375}" presName="connTx" presStyleLbl="parChTrans1D2" presStyleIdx="1" presStyleCnt="3"/>
      <dgm:spPr/>
      <dgm:t>
        <a:bodyPr/>
        <a:lstStyle/>
        <a:p>
          <a:endParaRPr lang="pl-PL"/>
        </a:p>
      </dgm:t>
    </dgm:pt>
    <dgm:pt modelId="{02C01248-4E04-4120-8710-DEFE59667F03}" type="pres">
      <dgm:prSet presAssocID="{9F95480C-D57E-4D79-A380-207B6A4CF0BF}" presName="root2" presStyleCnt="0"/>
      <dgm:spPr/>
    </dgm:pt>
    <dgm:pt modelId="{4B4DD272-9BEB-4B61-A6A8-DB24F7DBA39E}" type="pres">
      <dgm:prSet presAssocID="{9F95480C-D57E-4D79-A380-207B6A4CF0BF}" presName="LevelTwoTextNode" presStyleLbl="node2" presStyleIdx="1" presStyleCnt="3">
        <dgm:presLayoutVars>
          <dgm:chPref val="3"/>
        </dgm:presLayoutVars>
      </dgm:prSet>
      <dgm:spPr/>
      <dgm:t>
        <a:bodyPr/>
        <a:lstStyle/>
        <a:p>
          <a:endParaRPr lang="pl-PL"/>
        </a:p>
      </dgm:t>
    </dgm:pt>
    <dgm:pt modelId="{BC55013D-510F-4E32-AF50-074FE09F4060}" type="pres">
      <dgm:prSet presAssocID="{9F95480C-D57E-4D79-A380-207B6A4CF0BF}" presName="level3hierChild" presStyleCnt="0"/>
      <dgm:spPr/>
    </dgm:pt>
    <dgm:pt modelId="{E8846AEF-4CA7-4139-9D65-97CA24617352}" type="pres">
      <dgm:prSet presAssocID="{E892F506-5BE3-47A2-AC89-2CB7DC003FCC}" presName="conn2-1" presStyleLbl="parChTrans1D2" presStyleIdx="2" presStyleCnt="3"/>
      <dgm:spPr/>
      <dgm:t>
        <a:bodyPr/>
        <a:lstStyle/>
        <a:p>
          <a:endParaRPr lang="pl-PL"/>
        </a:p>
      </dgm:t>
    </dgm:pt>
    <dgm:pt modelId="{667831AF-389A-410E-BEB7-A5B0870127B2}" type="pres">
      <dgm:prSet presAssocID="{E892F506-5BE3-47A2-AC89-2CB7DC003FCC}" presName="connTx" presStyleLbl="parChTrans1D2" presStyleIdx="2" presStyleCnt="3"/>
      <dgm:spPr/>
      <dgm:t>
        <a:bodyPr/>
        <a:lstStyle/>
        <a:p>
          <a:endParaRPr lang="pl-PL"/>
        </a:p>
      </dgm:t>
    </dgm:pt>
    <dgm:pt modelId="{82C7F588-719C-4582-946C-BBFDE574DE6D}" type="pres">
      <dgm:prSet presAssocID="{2BDB80EE-2919-4481-B92B-E0F364F7655A}" presName="root2" presStyleCnt="0"/>
      <dgm:spPr/>
    </dgm:pt>
    <dgm:pt modelId="{590CE0E3-2728-4E87-8216-4CFB31A37B28}" type="pres">
      <dgm:prSet presAssocID="{2BDB80EE-2919-4481-B92B-E0F364F7655A}" presName="LevelTwoTextNode" presStyleLbl="node2" presStyleIdx="2" presStyleCnt="3">
        <dgm:presLayoutVars>
          <dgm:chPref val="3"/>
        </dgm:presLayoutVars>
      </dgm:prSet>
      <dgm:spPr/>
      <dgm:t>
        <a:bodyPr/>
        <a:lstStyle/>
        <a:p>
          <a:endParaRPr lang="pl-PL"/>
        </a:p>
      </dgm:t>
    </dgm:pt>
    <dgm:pt modelId="{C2BA8FC1-9155-44EC-AB29-2B61B6721F64}" type="pres">
      <dgm:prSet presAssocID="{2BDB80EE-2919-4481-B92B-E0F364F7655A}" presName="level3hierChild" presStyleCnt="0"/>
      <dgm:spPr/>
    </dgm:pt>
  </dgm:ptLst>
  <dgm:cxnLst>
    <dgm:cxn modelId="{0DBEBE71-778F-41CB-990A-A32530E9499D}" type="presOf" srcId="{2BDB80EE-2919-4481-B92B-E0F364F7655A}" destId="{590CE0E3-2728-4E87-8216-4CFB31A37B28}" srcOrd="0" destOrd="0" presId="urn:microsoft.com/office/officeart/2008/layout/HorizontalMultiLevelHierarchy"/>
    <dgm:cxn modelId="{3B30DF4F-B448-412C-BD84-397CACD419E3}" srcId="{01ACB208-9A16-4D3B-9951-00D154FA4F9F}" destId="{2BDB80EE-2919-4481-B92B-E0F364F7655A}" srcOrd="2" destOrd="0" parTransId="{E892F506-5BE3-47A2-AC89-2CB7DC003FCC}" sibTransId="{3163930D-F337-4D38-8EA5-37E0C7CD143A}"/>
    <dgm:cxn modelId="{AEC6353E-F3B3-416D-8FFC-2164893F93C2}" type="presOf" srcId="{6DA57962-2CBA-4BD1-87B7-2A7F68FA6B2D}" destId="{6C740B74-5E28-4C23-B445-27ECD038E075}" srcOrd="0" destOrd="0" presId="urn:microsoft.com/office/officeart/2008/layout/HorizontalMultiLevelHierarchy"/>
    <dgm:cxn modelId="{46402B6E-98D8-4125-A124-E56556D168E1}" type="presOf" srcId="{834BCF42-8986-41FF-A26D-AB8F97FAED32}" destId="{7C4F82AB-94D1-4E33-A835-46EFBA06A8B0}" srcOrd="0" destOrd="0" presId="urn:microsoft.com/office/officeart/2008/layout/HorizontalMultiLevelHierarchy"/>
    <dgm:cxn modelId="{334E9637-9925-487A-AE99-E2CA59F192C2}" srcId="{8658486C-94F0-4A61-BEB9-7C7E60024BD6}" destId="{01ACB208-9A16-4D3B-9951-00D154FA4F9F}" srcOrd="0" destOrd="0" parTransId="{DCA6C184-2C0C-4E00-951E-2A336D4C5B68}" sibTransId="{3920E924-50FB-4C5B-8327-29EE7C788403}"/>
    <dgm:cxn modelId="{64646F68-AFD7-4985-89E3-A9FC6383B25C}" srcId="{D3D1197A-0B48-40CD-922E-27B3A6E5F565}" destId="{6DA57962-2CBA-4BD1-87B7-2A7F68FA6B2D}" srcOrd="0" destOrd="0" parTransId="{834BCF42-8986-41FF-A26D-AB8F97FAED32}" sibTransId="{D06B2969-52A0-470A-AE4A-40B58CCC4BB6}"/>
    <dgm:cxn modelId="{2BBDEF36-CD69-4C87-8222-A1D4BC3BA566}" type="presOf" srcId="{834BCF42-8986-41FF-A26D-AB8F97FAED32}" destId="{7273BD11-5E28-41A7-B80C-ABE379554F1B}" srcOrd="1" destOrd="0" presId="urn:microsoft.com/office/officeart/2008/layout/HorizontalMultiLevelHierarchy"/>
    <dgm:cxn modelId="{FA1B4997-2CAE-45B1-B744-916FC0872451}" type="presOf" srcId="{BEBB5A84-A444-4AC0-A5EA-CAF5DE5F9375}" destId="{7DD44E82-79C0-41C7-9B74-ECD4208422A7}" srcOrd="1" destOrd="0" presId="urn:microsoft.com/office/officeart/2008/layout/HorizontalMultiLevelHierarchy"/>
    <dgm:cxn modelId="{D99ED7B7-12B7-456A-8F01-F4E5866D07D6}" type="presOf" srcId="{9D89A975-F9FA-4CBC-B187-DB6AE1A36ECA}" destId="{5AACB9D0-19B9-45C6-8518-67B94A80D87B}" srcOrd="1" destOrd="0" presId="urn:microsoft.com/office/officeart/2008/layout/HorizontalMultiLevelHierarchy"/>
    <dgm:cxn modelId="{0A158248-93F2-4FA3-8C1F-E5A9AD790C1E}" type="presOf" srcId="{9F95480C-D57E-4D79-A380-207B6A4CF0BF}" destId="{4B4DD272-9BEB-4B61-A6A8-DB24F7DBA39E}" srcOrd="0" destOrd="0" presId="urn:microsoft.com/office/officeart/2008/layout/HorizontalMultiLevelHierarchy"/>
    <dgm:cxn modelId="{67661FFE-EF8E-49BC-9B93-6D10F8168B82}" type="presOf" srcId="{E892F506-5BE3-47A2-AC89-2CB7DC003FCC}" destId="{E8846AEF-4CA7-4139-9D65-97CA24617352}" srcOrd="0" destOrd="0" presId="urn:microsoft.com/office/officeart/2008/layout/HorizontalMultiLevelHierarchy"/>
    <dgm:cxn modelId="{61F7B75D-7965-4A80-A223-1F461FC7AB47}" srcId="{01ACB208-9A16-4D3B-9951-00D154FA4F9F}" destId="{9F95480C-D57E-4D79-A380-207B6A4CF0BF}" srcOrd="1" destOrd="0" parTransId="{BEBB5A84-A444-4AC0-A5EA-CAF5DE5F9375}" sibTransId="{6F4FCF8E-3A04-4A02-B4ED-9A5756A386F8}"/>
    <dgm:cxn modelId="{CF7397AC-6720-4119-996D-4AEB35A01B57}" type="presOf" srcId="{8658486C-94F0-4A61-BEB9-7C7E60024BD6}" destId="{A7B0EBDD-B75F-46DE-B1C6-F00BC5B2C898}" srcOrd="0" destOrd="0" presId="urn:microsoft.com/office/officeart/2008/layout/HorizontalMultiLevelHierarchy"/>
    <dgm:cxn modelId="{46252BD8-9E9A-4926-B92A-36BF451AD87F}" type="presOf" srcId="{9D89A975-F9FA-4CBC-B187-DB6AE1A36ECA}" destId="{2F5B6D17-EB03-4AA3-AD68-2645BE2DDF3E}" srcOrd="0" destOrd="0" presId="urn:microsoft.com/office/officeart/2008/layout/HorizontalMultiLevelHierarchy"/>
    <dgm:cxn modelId="{237EDD93-1D83-490D-883D-FDF6F64C5E49}" type="presOf" srcId="{E892F506-5BE3-47A2-AC89-2CB7DC003FCC}" destId="{667831AF-389A-410E-BEB7-A5B0870127B2}" srcOrd="1" destOrd="0" presId="urn:microsoft.com/office/officeart/2008/layout/HorizontalMultiLevelHierarchy"/>
    <dgm:cxn modelId="{9E21FA01-E9ED-4E1F-91A2-3C90263BA1A6}" type="presOf" srcId="{D3D1197A-0B48-40CD-922E-27B3A6E5F565}" destId="{6198E511-229E-483F-B2A2-3415C40EE3A9}" srcOrd="0" destOrd="0" presId="urn:microsoft.com/office/officeart/2008/layout/HorizontalMultiLevelHierarchy"/>
    <dgm:cxn modelId="{81EF7600-E0D0-4210-8161-E67690D87BE6}" type="presOf" srcId="{BEBB5A84-A444-4AC0-A5EA-CAF5DE5F9375}" destId="{08F4289A-C995-4B73-8AC2-0CD13715D906}" srcOrd="0" destOrd="0" presId="urn:microsoft.com/office/officeart/2008/layout/HorizontalMultiLevelHierarchy"/>
    <dgm:cxn modelId="{3C38AD82-4024-4E8E-B1B9-DB01BB3C8CE3}" srcId="{01ACB208-9A16-4D3B-9951-00D154FA4F9F}" destId="{D3D1197A-0B48-40CD-922E-27B3A6E5F565}" srcOrd="0" destOrd="0" parTransId="{9D89A975-F9FA-4CBC-B187-DB6AE1A36ECA}" sibTransId="{1E6C28DA-8DFC-4CDB-969F-B2064A8480FA}"/>
    <dgm:cxn modelId="{25E37CDA-739B-4B24-910B-69D5B3E06C4F}" type="presOf" srcId="{01ACB208-9A16-4D3B-9951-00D154FA4F9F}" destId="{CF73FBFD-61C3-45E0-AAC3-6EB37BCDB82B}" srcOrd="0" destOrd="0" presId="urn:microsoft.com/office/officeart/2008/layout/HorizontalMultiLevelHierarchy"/>
    <dgm:cxn modelId="{592FB2AB-0391-4706-8B69-D5455EC7F295}" type="presParOf" srcId="{A7B0EBDD-B75F-46DE-B1C6-F00BC5B2C898}" destId="{96D23916-A140-42B5-AC3D-04156A9E824E}" srcOrd="0" destOrd="0" presId="urn:microsoft.com/office/officeart/2008/layout/HorizontalMultiLevelHierarchy"/>
    <dgm:cxn modelId="{4BA9E452-864F-46D5-9907-FFA84392BDDF}" type="presParOf" srcId="{96D23916-A140-42B5-AC3D-04156A9E824E}" destId="{CF73FBFD-61C3-45E0-AAC3-6EB37BCDB82B}" srcOrd="0" destOrd="0" presId="urn:microsoft.com/office/officeart/2008/layout/HorizontalMultiLevelHierarchy"/>
    <dgm:cxn modelId="{67A91543-6487-4E0F-B753-CB4851AC0C8B}" type="presParOf" srcId="{96D23916-A140-42B5-AC3D-04156A9E824E}" destId="{0963CBAF-A543-4FA9-9D6D-BC618BA2FC0A}" srcOrd="1" destOrd="0" presId="urn:microsoft.com/office/officeart/2008/layout/HorizontalMultiLevelHierarchy"/>
    <dgm:cxn modelId="{E4737D89-470B-4312-B330-90535CCD6476}" type="presParOf" srcId="{0963CBAF-A543-4FA9-9D6D-BC618BA2FC0A}" destId="{2F5B6D17-EB03-4AA3-AD68-2645BE2DDF3E}" srcOrd="0" destOrd="0" presId="urn:microsoft.com/office/officeart/2008/layout/HorizontalMultiLevelHierarchy"/>
    <dgm:cxn modelId="{03134B84-0D5E-4E65-87EA-DAF36E98F713}" type="presParOf" srcId="{2F5B6D17-EB03-4AA3-AD68-2645BE2DDF3E}" destId="{5AACB9D0-19B9-45C6-8518-67B94A80D87B}" srcOrd="0" destOrd="0" presId="urn:microsoft.com/office/officeart/2008/layout/HorizontalMultiLevelHierarchy"/>
    <dgm:cxn modelId="{BC16707C-9F6E-48F6-8233-13CA02B6D490}" type="presParOf" srcId="{0963CBAF-A543-4FA9-9D6D-BC618BA2FC0A}" destId="{0E6216E1-0EB3-4C11-9F80-939EF6705734}" srcOrd="1" destOrd="0" presId="urn:microsoft.com/office/officeart/2008/layout/HorizontalMultiLevelHierarchy"/>
    <dgm:cxn modelId="{190EDF50-3197-46CB-B689-95EA22AF8010}" type="presParOf" srcId="{0E6216E1-0EB3-4C11-9F80-939EF6705734}" destId="{6198E511-229E-483F-B2A2-3415C40EE3A9}" srcOrd="0" destOrd="0" presId="urn:microsoft.com/office/officeart/2008/layout/HorizontalMultiLevelHierarchy"/>
    <dgm:cxn modelId="{E5FA53D4-3190-4651-BA8E-F7959E7EF7DC}" type="presParOf" srcId="{0E6216E1-0EB3-4C11-9F80-939EF6705734}" destId="{5E57F96B-C065-4789-9746-A83A8D1A34CA}" srcOrd="1" destOrd="0" presId="urn:microsoft.com/office/officeart/2008/layout/HorizontalMultiLevelHierarchy"/>
    <dgm:cxn modelId="{E938A32F-5E74-442F-BE80-0F7C15E61FF5}" type="presParOf" srcId="{5E57F96B-C065-4789-9746-A83A8D1A34CA}" destId="{7C4F82AB-94D1-4E33-A835-46EFBA06A8B0}" srcOrd="0" destOrd="0" presId="urn:microsoft.com/office/officeart/2008/layout/HorizontalMultiLevelHierarchy"/>
    <dgm:cxn modelId="{F71B2402-5CCF-47D5-810E-3C2545E43A54}" type="presParOf" srcId="{7C4F82AB-94D1-4E33-A835-46EFBA06A8B0}" destId="{7273BD11-5E28-41A7-B80C-ABE379554F1B}" srcOrd="0" destOrd="0" presId="urn:microsoft.com/office/officeart/2008/layout/HorizontalMultiLevelHierarchy"/>
    <dgm:cxn modelId="{C12E43DE-E58A-44C5-8A09-3540F7892723}" type="presParOf" srcId="{5E57F96B-C065-4789-9746-A83A8D1A34CA}" destId="{8579E95F-E37A-4108-A07C-4C9CF07B3FEC}" srcOrd="1" destOrd="0" presId="urn:microsoft.com/office/officeart/2008/layout/HorizontalMultiLevelHierarchy"/>
    <dgm:cxn modelId="{D93E47C8-58C0-4CFD-BE33-934AA537514A}" type="presParOf" srcId="{8579E95F-E37A-4108-A07C-4C9CF07B3FEC}" destId="{6C740B74-5E28-4C23-B445-27ECD038E075}" srcOrd="0" destOrd="0" presId="urn:microsoft.com/office/officeart/2008/layout/HorizontalMultiLevelHierarchy"/>
    <dgm:cxn modelId="{7AE6377B-49F3-44DE-9184-B9E567D0E253}" type="presParOf" srcId="{8579E95F-E37A-4108-A07C-4C9CF07B3FEC}" destId="{21C91982-C313-4A98-B57C-C96ACBB4317D}" srcOrd="1" destOrd="0" presId="urn:microsoft.com/office/officeart/2008/layout/HorizontalMultiLevelHierarchy"/>
    <dgm:cxn modelId="{A8CD7BD1-3911-4A37-ABDC-9543D231B252}" type="presParOf" srcId="{0963CBAF-A543-4FA9-9D6D-BC618BA2FC0A}" destId="{08F4289A-C995-4B73-8AC2-0CD13715D906}" srcOrd="2" destOrd="0" presId="urn:microsoft.com/office/officeart/2008/layout/HorizontalMultiLevelHierarchy"/>
    <dgm:cxn modelId="{FE4B17E5-9CEB-4695-A8F4-EAF83AC118A0}" type="presParOf" srcId="{08F4289A-C995-4B73-8AC2-0CD13715D906}" destId="{7DD44E82-79C0-41C7-9B74-ECD4208422A7}" srcOrd="0" destOrd="0" presId="urn:microsoft.com/office/officeart/2008/layout/HorizontalMultiLevelHierarchy"/>
    <dgm:cxn modelId="{74CF9B7B-E88D-4B06-9C3E-D7483B5CCB2F}" type="presParOf" srcId="{0963CBAF-A543-4FA9-9D6D-BC618BA2FC0A}" destId="{02C01248-4E04-4120-8710-DEFE59667F03}" srcOrd="3" destOrd="0" presId="urn:microsoft.com/office/officeart/2008/layout/HorizontalMultiLevelHierarchy"/>
    <dgm:cxn modelId="{7E2348C1-12DD-4FBF-A348-67909427CD34}" type="presParOf" srcId="{02C01248-4E04-4120-8710-DEFE59667F03}" destId="{4B4DD272-9BEB-4B61-A6A8-DB24F7DBA39E}" srcOrd="0" destOrd="0" presId="urn:microsoft.com/office/officeart/2008/layout/HorizontalMultiLevelHierarchy"/>
    <dgm:cxn modelId="{23BFCC1A-F688-4BA8-86E3-87F7EE1E2118}" type="presParOf" srcId="{02C01248-4E04-4120-8710-DEFE59667F03}" destId="{BC55013D-510F-4E32-AF50-074FE09F4060}" srcOrd="1" destOrd="0" presId="urn:microsoft.com/office/officeart/2008/layout/HorizontalMultiLevelHierarchy"/>
    <dgm:cxn modelId="{157DBFDB-F625-4E9A-8932-EB1A1C6AB068}" type="presParOf" srcId="{0963CBAF-A543-4FA9-9D6D-BC618BA2FC0A}" destId="{E8846AEF-4CA7-4139-9D65-97CA24617352}" srcOrd="4" destOrd="0" presId="urn:microsoft.com/office/officeart/2008/layout/HorizontalMultiLevelHierarchy"/>
    <dgm:cxn modelId="{28B1FC48-4F40-4A5A-A845-37C7A5AD50A8}" type="presParOf" srcId="{E8846AEF-4CA7-4139-9D65-97CA24617352}" destId="{667831AF-389A-410E-BEB7-A5B0870127B2}" srcOrd="0" destOrd="0" presId="urn:microsoft.com/office/officeart/2008/layout/HorizontalMultiLevelHierarchy"/>
    <dgm:cxn modelId="{37726E2D-7F5C-4A46-82D4-37A11D41A822}" type="presParOf" srcId="{0963CBAF-A543-4FA9-9D6D-BC618BA2FC0A}" destId="{82C7F588-719C-4582-946C-BBFDE574DE6D}" srcOrd="5" destOrd="0" presId="urn:microsoft.com/office/officeart/2008/layout/HorizontalMultiLevelHierarchy"/>
    <dgm:cxn modelId="{B8D3B6AA-ECF6-403A-9D9D-CEF2B45D890F}" type="presParOf" srcId="{82C7F588-719C-4582-946C-BBFDE574DE6D}" destId="{590CE0E3-2728-4E87-8216-4CFB31A37B28}" srcOrd="0" destOrd="0" presId="urn:microsoft.com/office/officeart/2008/layout/HorizontalMultiLevelHierarchy"/>
    <dgm:cxn modelId="{3EDCFB65-5465-4B42-8BA8-1DE790096EB2}" type="presParOf" srcId="{82C7F588-719C-4582-946C-BBFDE574DE6D}" destId="{C2BA8FC1-9155-44EC-AB29-2B61B6721F64}" srcOrd="1" destOrd="0" presId="urn:microsoft.com/office/officeart/2008/layout/HorizontalMultiLevelHierarchy"/>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846AEF-4CA7-4139-9D65-97CA24617352}">
      <dsp:nvSpPr>
        <dsp:cNvPr id="0" name=""/>
        <dsp:cNvSpPr/>
      </dsp:nvSpPr>
      <dsp:spPr>
        <a:xfrm>
          <a:off x="756059" y="688768"/>
          <a:ext cx="171696" cy="327165"/>
        </a:xfrm>
        <a:custGeom>
          <a:avLst/>
          <a:gdLst/>
          <a:ahLst/>
          <a:cxnLst/>
          <a:rect l="0" t="0" r="0" b="0"/>
          <a:pathLst>
            <a:path>
              <a:moveTo>
                <a:pt x="0" y="0"/>
              </a:moveTo>
              <a:lnTo>
                <a:pt x="85848" y="0"/>
              </a:lnTo>
              <a:lnTo>
                <a:pt x="85848" y="327165"/>
              </a:lnTo>
              <a:lnTo>
                <a:pt x="171696" y="327165"/>
              </a:lnTo>
            </a:path>
          </a:pathLst>
        </a:custGeom>
        <a:noFill/>
        <a:ln w="12700" cap="flat" cmpd="sng" algn="ctr">
          <a:solidFill>
            <a:schemeClr val="accent5">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p>
      </dsp:txBody>
      <dsp:txXfrm>
        <a:off x="832670" y="843113"/>
        <a:ext cx="18474" cy="18474"/>
      </dsp:txXfrm>
    </dsp:sp>
    <dsp:sp modelId="{08F4289A-C995-4B73-8AC2-0CD13715D906}">
      <dsp:nvSpPr>
        <dsp:cNvPr id="0" name=""/>
        <dsp:cNvSpPr/>
      </dsp:nvSpPr>
      <dsp:spPr>
        <a:xfrm>
          <a:off x="756059" y="643048"/>
          <a:ext cx="171696" cy="91440"/>
        </a:xfrm>
        <a:custGeom>
          <a:avLst/>
          <a:gdLst/>
          <a:ahLst/>
          <a:cxnLst/>
          <a:rect l="0" t="0" r="0" b="0"/>
          <a:pathLst>
            <a:path>
              <a:moveTo>
                <a:pt x="0" y="45720"/>
              </a:moveTo>
              <a:lnTo>
                <a:pt x="171696" y="45720"/>
              </a:lnTo>
            </a:path>
          </a:pathLst>
        </a:custGeom>
        <a:noFill/>
        <a:ln w="12700" cap="flat" cmpd="sng" algn="ctr">
          <a:solidFill>
            <a:schemeClr val="accent5">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p>
      </dsp:txBody>
      <dsp:txXfrm>
        <a:off x="837614" y="684476"/>
        <a:ext cx="8584" cy="8584"/>
      </dsp:txXfrm>
    </dsp:sp>
    <dsp:sp modelId="{7C4F82AB-94D1-4E33-A835-46EFBA06A8B0}">
      <dsp:nvSpPr>
        <dsp:cNvPr id="0" name=""/>
        <dsp:cNvSpPr/>
      </dsp:nvSpPr>
      <dsp:spPr>
        <a:xfrm>
          <a:off x="1786236" y="315883"/>
          <a:ext cx="171696" cy="91440"/>
        </a:xfrm>
        <a:custGeom>
          <a:avLst/>
          <a:gdLst/>
          <a:ahLst/>
          <a:cxnLst/>
          <a:rect l="0" t="0" r="0" b="0"/>
          <a:pathLst>
            <a:path>
              <a:moveTo>
                <a:pt x="0" y="45720"/>
              </a:moveTo>
              <a:lnTo>
                <a:pt x="171696" y="45720"/>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p>
      </dsp:txBody>
      <dsp:txXfrm>
        <a:off x="1867792" y="357311"/>
        <a:ext cx="8584" cy="8584"/>
      </dsp:txXfrm>
    </dsp:sp>
    <dsp:sp modelId="{2F5B6D17-EB03-4AA3-AD68-2645BE2DDF3E}">
      <dsp:nvSpPr>
        <dsp:cNvPr id="0" name=""/>
        <dsp:cNvSpPr/>
      </dsp:nvSpPr>
      <dsp:spPr>
        <a:xfrm>
          <a:off x="756059" y="361603"/>
          <a:ext cx="171696" cy="327165"/>
        </a:xfrm>
        <a:custGeom>
          <a:avLst/>
          <a:gdLst/>
          <a:ahLst/>
          <a:cxnLst/>
          <a:rect l="0" t="0" r="0" b="0"/>
          <a:pathLst>
            <a:path>
              <a:moveTo>
                <a:pt x="0" y="327165"/>
              </a:moveTo>
              <a:lnTo>
                <a:pt x="85848" y="327165"/>
              </a:lnTo>
              <a:lnTo>
                <a:pt x="85848" y="0"/>
              </a:lnTo>
              <a:lnTo>
                <a:pt x="171696" y="0"/>
              </a:lnTo>
            </a:path>
          </a:pathLst>
        </a:custGeom>
        <a:noFill/>
        <a:ln w="12700" cap="flat" cmpd="sng" algn="ctr">
          <a:solidFill>
            <a:schemeClr val="accent5">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p>
      </dsp:txBody>
      <dsp:txXfrm>
        <a:off x="832670" y="515948"/>
        <a:ext cx="18474" cy="18474"/>
      </dsp:txXfrm>
    </dsp:sp>
    <dsp:sp modelId="{CF73FBFD-61C3-45E0-AAC3-6EB37BCDB82B}">
      <dsp:nvSpPr>
        <dsp:cNvPr id="0" name=""/>
        <dsp:cNvSpPr/>
      </dsp:nvSpPr>
      <dsp:spPr>
        <a:xfrm rot="16200000">
          <a:off x="-63575" y="557902"/>
          <a:ext cx="1377536" cy="261732"/>
        </a:xfrm>
        <a:prstGeom prst="rect">
          <a:avLst/>
        </a:prstGeom>
        <a:solidFill>
          <a:schemeClr val="accent3">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t>Walne Zebranie Czlonków </a:t>
          </a:r>
        </a:p>
      </dsp:txBody>
      <dsp:txXfrm>
        <a:off x="-63575" y="557902"/>
        <a:ext cx="1377536" cy="261732"/>
      </dsp:txXfrm>
    </dsp:sp>
    <dsp:sp modelId="{6198E511-229E-483F-B2A2-3415C40EE3A9}">
      <dsp:nvSpPr>
        <dsp:cNvPr id="0" name=""/>
        <dsp:cNvSpPr/>
      </dsp:nvSpPr>
      <dsp:spPr>
        <a:xfrm>
          <a:off x="927755" y="230737"/>
          <a:ext cx="858481" cy="261732"/>
        </a:xfrm>
        <a:prstGeom prst="rect">
          <a:avLst/>
        </a:prstGeom>
        <a:solidFill>
          <a:schemeClr val="accent5">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l-PL" sz="800" kern="1200"/>
            <a:t>Zarząd</a:t>
          </a:r>
        </a:p>
      </dsp:txBody>
      <dsp:txXfrm>
        <a:off x="927755" y="230737"/>
        <a:ext cx="858481" cy="261732"/>
      </dsp:txXfrm>
    </dsp:sp>
    <dsp:sp modelId="{6C740B74-5E28-4C23-B445-27ECD038E075}">
      <dsp:nvSpPr>
        <dsp:cNvPr id="0" name=""/>
        <dsp:cNvSpPr/>
      </dsp:nvSpPr>
      <dsp:spPr>
        <a:xfrm>
          <a:off x="1957932" y="230737"/>
          <a:ext cx="858481" cy="261732"/>
        </a:xfrm>
        <a:prstGeom prst="rect">
          <a:avLst/>
        </a:prstGeom>
        <a:solidFill>
          <a:schemeClr val="accent6">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l-PL" sz="800" kern="1200"/>
            <a:t>Biuro LGD</a:t>
          </a:r>
        </a:p>
      </dsp:txBody>
      <dsp:txXfrm>
        <a:off x="1957932" y="230737"/>
        <a:ext cx="858481" cy="261732"/>
      </dsp:txXfrm>
    </dsp:sp>
    <dsp:sp modelId="{4B4DD272-9BEB-4B61-A6A8-DB24F7DBA39E}">
      <dsp:nvSpPr>
        <dsp:cNvPr id="0" name=""/>
        <dsp:cNvSpPr/>
      </dsp:nvSpPr>
      <dsp:spPr>
        <a:xfrm>
          <a:off x="927755" y="557902"/>
          <a:ext cx="858481" cy="261732"/>
        </a:xfrm>
        <a:prstGeom prst="rect">
          <a:avLst/>
        </a:prstGeom>
        <a:solidFill>
          <a:schemeClr val="accent5">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l-PL" sz="800" kern="1200"/>
            <a:t>Rada</a:t>
          </a:r>
        </a:p>
      </dsp:txBody>
      <dsp:txXfrm>
        <a:off x="927755" y="557902"/>
        <a:ext cx="858481" cy="261732"/>
      </dsp:txXfrm>
    </dsp:sp>
    <dsp:sp modelId="{590CE0E3-2728-4E87-8216-4CFB31A37B28}">
      <dsp:nvSpPr>
        <dsp:cNvPr id="0" name=""/>
        <dsp:cNvSpPr/>
      </dsp:nvSpPr>
      <dsp:spPr>
        <a:xfrm>
          <a:off x="927755" y="885067"/>
          <a:ext cx="858481" cy="261732"/>
        </a:xfrm>
        <a:prstGeom prst="rect">
          <a:avLst/>
        </a:prstGeom>
        <a:solidFill>
          <a:schemeClr val="accent5">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l-PL" sz="800" kern="1200"/>
            <a:t>Komisja Rewizyjna</a:t>
          </a:r>
        </a:p>
      </dsp:txBody>
      <dsp:txXfrm>
        <a:off x="927755" y="885067"/>
        <a:ext cx="858481" cy="261732"/>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5063B-9A3E-4ABA-8E2A-661DE5A4F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43526</Words>
  <Characters>261160</Characters>
  <Application>Microsoft Office Word</Application>
  <DocSecurity>4</DocSecurity>
  <Lines>2176</Lines>
  <Paragraphs>608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MMC</dc:creator>
  <cp:lastModifiedBy>Anna</cp:lastModifiedBy>
  <cp:revision>2</cp:revision>
  <cp:lastPrinted>2026-01-30T10:48:00Z</cp:lastPrinted>
  <dcterms:created xsi:type="dcterms:W3CDTF">2026-06-12T10:45:00Z</dcterms:created>
  <dcterms:modified xsi:type="dcterms:W3CDTF">2026-06-12T10:45:00Z</dcterms:modified>
</cp:coreProperties>
</file>